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D92875" w14:textId="32652EE7" w:rsidR="005D7EEF" w:rsidRPr="007F7EBF" w:rsidRDefault="00F035EE" w:rsidP="00D45B8E">
      <w:pPr>
        <w:autoSpaceDE w:val="0"/>
        <w:autoSpaceDN w:val="0"/>
        <w:adjustRightInd w:val="0"/>
        <w:rPr>
          <w:sz w:val="22"/>
          <w:szCs w:val="22"/>
        </w:rPr>
      </w:pPr>
      <w:r>
        <w:rPr>
          <w:sz w:val="22"/>
          <w:szCs w:val="22"/>
        </w:rPr>
        <w:t xml:space="preserve">  </w:t>
      </w:r>
    </w:p>
    <w:p w14:paraId="71FB626D" w14:textId="77777777" w:rsidR="00A82635" w:rsidRPr="00CC4518" w:rsidRDefault="00A82635" w:rsidP="00A82635">
      <w:pPr>
        <w:autoSpaceDE w:val="0"/>
        <w:autoSpaceDN w:val="0"/>
        <w:adjustRightInd w:val="0"/>
        <w:rPr>
          <w:b/>
          <w:sz w:val="28"/>
          <w:szCs w:val="28"/>
        </w:rPr>
      </w:pPr>
      <w:r w:rsidRPr="00CC4518">
        <w:rPr>
          <w:b/>
          <w:sz w:val="28"/>
          <w:szCs w:val="28"/>
        </w:rPr>
        <w:t>Diritto</w:t>
      </w:r>
    </w:p>
    <w:p w14:paraId="53FBE8AE" w14:textId="77777777" w:rsidR="00A82635" w:rsidRDefault="00A82635" w:rsidP="00A82635">
      <w:pPr>
        <w:autoSpaceDE w:val="0"/>
        <w:autoSpaceDN w:val="0"/>
        <w:adjustRightInd w:val="0"/>
        <w:rPr>
          <w:b/>
          <w:sz w:val="28"/>
          <w:szCs w:val="28"/>
        </w:rPr>
      </w:pPr>
      <w:r w:rsidRPr="00CC4518">
        <w:rPr>
          <w:b/>
          <w:sz w:val="28"/>
          <w:szCs w:val="28"/>
        </w:rPr>
        <w:t>Amministrativo dei tributi</w:t>
      </w:r>
    </w:p>
    <w:p w14:paraId="021A496F" w14:textId="77777777" w:rsidR="00A82635" w:rsidRDefault="00A82635" w:rsidP="00A82635">
      <w:pPr>
        <w:autoSpaceDE w:val="0"/>
        <w:autoSpaceDN w:val="0"/>
        <w:adjustRightInd w:val="0"/>
        <w:rPr>
          <w:b/>
          <w:sz w:val="28"/>
          <w:szCs w:val="28"/>
        </w:rPr>
      </w:pPr>
    </w:p>
    <w:p w14:paraId="457FE238" w14:textId="77777777" w:rsidR="00A82635" w:rsidRPr="000F0E2B" w:rsidRDefault="00A82635" w:rsidP="00A82635">
      <w:pPr>
        <w:autoSpaceDE w:val="0"/>
        <w:autoSpaceDN w:val="0"/>
        <w:adjustRightInd w:val="0"/>
        <w:rPr>
          <w:b/>
          <w:sz w:val="20"/>
          <w:szCs w:val="20"/>
        </w:rPr>
      </w:pPr>
      <w:r w:rsidRPr="000F0E2B">
        <w:rPr>
          <w:b/>
          <w:sz w:val="20"/>
          <w:szCs w:val="20"/>
        </w:rPr>
        <w:t>Seconda edizione interamente rielaborata</w:t>
      </w:r>
    </w:p>
    <w:p w14:paraId="56164F58" w14:textId="77777777" w:rsidR="00A82635" w:rsidRPr="007F7EBF" w:rsidRDefault="00A82635" w:rsidP="00A82635">
      <w:pPr>
        <w:rPr>
          <w:sz w:val="22"/>
          <w:szCs w:val="22"/>
        </w:rPr>
      </w:pPr>
    </w:p>
    <w:p w14:paraId="30EEBB03" w14:textId="632A6D6D" w:rsidR="00A82635" w:rsidRDefault="003E4829" w:rsidP="00A82635">
      <w:pPr>
        <w:rPr>
          <w:sz w:val="22"/>
          <w:szCs w:val="22"/>
        </w:rPr>
      </w:pPr>
      <w:r>
        <w:rPr>
          <w:sz w:val="22"/>
          <w:szCs w:val="22"/>
        </w:rPr>
        <w:t>Funzione tributaria: studio sociale e introduzione tecnica</w:t>
      </w:r>
    </w:p>
    <w:p w14:paraId="31BDAA20" w14:textId="77777777" w:rsidR="00AE2D31" w:rsidRPr="007F7EBF" w:rsidRDefault="00AE2D31" w:rsidP="00D45B8E">
      <w:pPr>
        <w:rPr>
          <w:sz w:val="22"/>
          <w:szCs w:val="22"/>
        </w:rPr>
      </w:pPr>
    </w:p>
    <w:p w14:paraId="54344BE4" w14:textId="77777777" w:rsidR="005E6D7B" w:rsidRPr="007F7EBF" w:rsidRDefault="00AE2D31" w:rsidP="00D45B8E">
      <w:pPr>
        <w:rPr>
          <w:sz w:val="22"/>
          <w:szCs w:val="22"/>
        </w:rPr>
      </w:pPr>
      <w:r w:rsidRPr="007F7EBF">
        <w:rPr>
          <w:sz w:val="22"/>
          <w:szCs w:val="22"/>
        </w:rPr>
        <w:t xml:space="preserve">Quarta di copertina </w:t>
      </w:r>
      <w:r w:rsidR="005E6D7B" w:rsidRPr="007F7EBF">
        <w:rPr>
          <w:sz w:val="22"/>
          <w:szCs w:val="22"/>
        </w:rPr>
        <w:t xml:space="preserve"> </w:t>
      </w:r>
    </w:p>
    <w:p w14:paraId="7550587F" w14:textId="596BB9EC" w:rsidR="00DE66D1" w:rsidRPr="007F7EBF" w:rsidRDefault="0041059E" w:rsidP="00D45B8E">
      <w:pPr>
        <w:rPr>
          <w:sz w:val="22"/>
          <w:szCs w:val="22"/>
        </w:rPr>
      </w:pPr>
      <w:r>
        <w:rPr>
          <w:sz w:val="22"/>
          <w:szCs w:val="22"/>
        </w:rPr>
        <w:t>L</w:t>
      </w:r>
      <w:r w:rsidR="008737DC">
        <w:rPr>
          <w:sz w:val="22"/>
          <w:szCs w:val="22"/>
        </w:rPr>
        <w:t xml:space="preserve">a </w:t>
      </w:r>
      <w:r w:rsidR="001854FA">
        <w:rPr>
          <w:sz w:val="22"/>
          <w:szCs w:val="22"/>
        </w:rPr>
        <w:t xml:space="preserve">maggior parte delle </w:t>
      </w:r>
      <w:r w:rsidR="00DA40F0">
        <w:rPr>
          <w:sz w:val="22"/>
          <w:szCs w:val="22"/>
        </w:rPr>
        <w:t>entrate pubbliche</w:t>
      </w:r>
      <w:r w:rsidR="008737DC">
        <w:rPr>
          <w:sz w:val="22"/>
          <w:szCs w:val="22"/>
        </w:rPr>
        <w:t xml:space="preserve"> deriva oggi dalle imposte, </w:t>
      </w:r>
      <w:r w:rsidR="0063279A">
        <w:rPr>
          <w:sz w:val="22"/>
          <w:szCs w:val="22"/>
        </w:rPr>
        <w:t>commisurate a concetti economici, come reddito, consumo, patrimonio</w:t>
      </w:r>
      <w:r w:rsidR="008737DC">
        <w:rPr>
          <w:sz w:val="22"/>
          <w:szCs w:val="22"/>
        </w:rPr>
        <w:t xml:space="preserve">. </w:t>
      </w:r>
      <w:r w:rsidR="0063279A">
        <w:rPr>
          <w:sz w:val="22"/>
          <w:szCs w:val="22"/>
        </w:rPr>
        <w:t xml:space="preserve"> </w:t>
      </w:r>
      <w:r w:rsidR="00DF4663">
        <w:rPr>
          <w:sz w:val="22"/>
          <w:szCs w:val="22"/>
        </w:rPr>
        <w:t>Una</w:t>
      </w:r>
      <w:r w:rsidR="00E26BB8">
        <w:rPr>
          <w:sz w:val="22"/>
          <w:szCs w:val="22"/>
        </w:rPr>
        <w:t xml:space="preserve"> loro determinazione</w:t>
      </w:r>
      <w:r w:rsidR="00BA36C0">
        <w:rPr>
          <w:sz w:val="22"/>
          <w:szCs w:val="22"/>
        </w:rPr>
        <w:t xml:space="preserve"> </w:t>
      </w:r>
      <w:r w:rsidR="00EE4AAB">
        <w:rPr>
          <w:sz w:val="22"/>
          <w:szCs w:val="22"/>
        </w:rPr>
        <w:t>perequata</w:t>
      </w:r>
      <w:r w:rsidR="00E26BB8">
        <w:rPr>
          <w:sz w:val="22"/>
          <w:szCs w:val="22"/>
        </w:rPr>
        <w:t xml:space="preserve"> è </w:t>
      </w:r>
      <w:r w:rsidR="00076C0D">
        <w:rPr>
          <w:sz w:val="22"/>
          <w:szCs w:val="22"/>
        </w:rPr>
        <w:t>il</w:t>
      </w:r>
      <w:r w:rsidR="00365B9C">
        <w:rPr>
          <w:sz w:val="22"/>
          <w:szCs w:val="22"/>
        </w:rPr>
        <w:t xml:space="preserve"> principale </w:t>
      </w:r>
      <w:r w:rsidR="00076C0D">
        <w:rPr>
          <w:sz w:val="22"/>
          <w:szCs w:val="22"/>
        </w:rPr>
        <w:t>compito</w:t>
      </w:r>
      <w:r w:rsidR="00365B9C">
        <w:rPr>
          <w:sz w:val="22"/>
          <w:szCs w:val="22"/>
        </w:rPr>
        <w:t xml:space="preserve"> </w:t>
      </w:r>
      <w:r w:rsidR="00E26BB8">
        <w:rPr>
          <w:sz w:val="22"/>
          <w:szCs w:val="22"/>
        </w:rPr>
        <w:t>d</w:t>
      </w:r>
      <w:r w:rsidR="00337C91">
        <w:rPr>
          <w:sz w:val="22"/>
          <w:szCs w:val="22"/>
        </w:rPr>
        <w:t xml:space="preserve">ell’unica funzione amministrativa studiata come tale nelle facoltà di giurisprudenza, cioè </w:t>
      </w:r>
      <w:r w:rsidR="00EE5063">
        <w:rPr>
          <w:sz w:val="22"/>
          <w:szCs w:val="22"/>
        </w:rPr>
        <w:t>quella</w:t>
      </w:r>
      <w:r w:rsidR="00365B9C">
        <w:rPr>
          <w:sz w:val="22"/>
          <w:szCs w:val="22"/>
        </w:rPr>
        <w:t xml:space="preserve"> </w:t>
      </w:r>
      <w:r w:rsidR="00A53841" w:rsidRPr="00076C0D">
        <w:rPr>
          <w:i/>
          <w:iCs/>
          <w:sz w:val="22"/>
          <w:szCs w:val="22"/>
        </w:rPr>
        <w:t>tributari</w:t>
      </w:r>
      <w:r w:rsidR="00076C0D" w:rsidRPr="00076C0D">
        <w:rPr>
          <w:i/>
          <w:iCs/>
          <w:sz w:val="22"/>
          <w:szCs w:val="22"/>
        </w:rPr>
        <w:t>a</w:t>
      </w:r>
      <w:r w:rsidR="00337C91">
        <w:rPr>
          <w:sz w:val="22"/>
          <w:szCs w:val="22"/>
        </w:rPr>
        <w:t xml:space="preserve">. </w:t>
      </w:r>
      <w:r w:rsidR="00EE5063">
        <w:rPr>
          <w:sz w:val="22"/>
          <w:szCs w:val="22"/>
        </w:rPr>
        <w:t>Oggi e</w:t>
      </w:r>
      <w:r w:rsidR="00337C91">
        <w:rPr>
          <w:sz w:val="22"/>
          <w:szCs w:val="22"/>
        </w:rPr>
        <w:t xml:space="preserve">ssa </w:t>
      </w:r>
      <w:r w:rsidR="00076C0D">
        <w:rPr>
          <w:sz w:val="22"/>
          <w:szCs w:val="22"/>
        </w:rPr>
        <w:t xml:space="preserve">deve </w:t>
      </w:r>
      <w:r w:rsidR="00EE5063">
        <w:rPr>
          <w:sz w:val="22"/>
          <w:szCs w:val="22"/>
        </w:rPr>
        <w:t>gestire</w:t>
      </w:r>
      <w:r w:rsidR="00076C0D">
        <w:rPr>
          <w:sz w:val="22"/>
          <w:szCs w:val="22"/>
        </w:rPr>
        <w:t xml:space="preserve"> </w:t>
      </w:r>
      <w:r w:rsidR="0036726B">
        <w:rPr>
          <w:sz w:val="22"/>
          <w:szCs w:val="22"/>
        </w:rPr>
        <w:t xml:space="preserve">la </w:t>
      </w:r>
      <w:r w:rsidR="00BA36C0">
        <w:rPr>
          <w:sz w:val="22"/>
          <w:szCs w:val="22"/>
        </w:rPr>
        <w:t xml:space="preserve">diversa determinabilità </w:t>
      </w:r>
      <w:r w:rsidR="00076C0D">
        <w:rPr>
          <w:sz w:val="22"/>
          <w:szCs w:val="22"/>
        </w:rPr>
        <w:t>dei presupposti economici delle imposte</w:t>
      </w:r>
      <w:r w:rsidR="00EE5063">
        <w:rPr>
          <w:sz w:val="22"/>
          <w:szCs w:val="22"/>
        </w:rPr>
        <w:t>, dove alle informazioni documentali d</w:t>
      </w:r>
      <w:r w:rsidR="008737DC">
        <w:rPr>
          <w:sz w:val="22"/>
          <w:szCs w:val="22"/>
        </w:rPr>
        <w:t xml:space="preserve">i </w:t>
      </w:r>
      <w:r w:rsidR="00EE5063">
        <w:rPr>
          <w:sz w:val="22"/>
          <w:szCs w:val="22"/>
        </w:rPr>
        <w:t xml:space="preserve">grandi </w:t>
      </w:r>
      <w:r w:rsidR="008737DC">
        <w:rPr>
          <w:sz w:val="22"/>
          <w:szCs w:val="22"/>
        </w:rPr>
        <w:t>aziende e uffici pubblici</w:t>
      </w:r>
      <w:r w:rsidR="00076C0D">
        <w:rPr>
          <w:sz w:val="22"/>
          <w:szCs w:val="22"/>
        </w:rPr>
        <w:t xml:space="preserve">, </w:t>
      </w:r>
      <w:r w:rsidR="00EE5063">
        <w:rPr>
          <w:sz w:val="22"/>
          <w:szCs w:val="22"/>
        </w:rPr>
        <w:t xml:space="preserve">si affianca </w:t>
      </w:r>
      <w:r w:rsidR="00BA36C0">
        <w:rPr>
          <w:sz w:val="22"/>
          <w:szCs w:val="22"/>
        </w:rPr>
        <w:t xml:space="preserve"> la </w:t>
      </w:r>
      <w:r w:rsidR="00EE5063">
        <w:rPr>
          <w:sz w:val="22"/>
          <w:szCs w:val="22"/>
        </w:rPr>
        <w:t xml:space="preserve">tradizionale, </w:t>
      </w:r>
      <w:r w:rsidR="005C3A08">
        <w:rPr>
          <w:sz w:val="22"/>
          <w:szCs w:val="22"/>
        </w:rPr>
        <w:t>millenaria</w:t>
      </w:r>
      <w:r w:rsidR="00EE5063">
        <w:rPr>
          <w:sz w:val="22"/>
          <w:szCs w:val="22"/>
        </w:rPr>
        <w:t>, necessità di stime per ordine d</w:t>
      </w:r>
      <w:r w:rsidR="00BA36C0">
        <w:rPr>
          <w:sz w:val="22"/>
          <w:szCs w:val="22"/>
        </w:rPr>
        <w:t>i grandezza</w:t>
      </w:r>
      <w:r w:rsidR="005C3A08">
        <w:rPr>
          <w:sz w:val="22"/>
          <w:szCs w:val="22"/>
        </w:rPr>
        <w:t xml:space="preserve">. </w:t>
      </w:r>
      <w:r w:rsidR="00EE5063">
        <w:rPr>
          <w:sz w:val="22"/>
          <w:szCs w:val="22"/>
        </w:rPr>
        <w:t xml:space="preserve">Tra grandi aziende e </w:t>
      </w:r>
      <w:r w:rsidR="00BA36C0">
        <w:rPr>
          <w:sz w:val="22"/>
          <w:szCs w:val="22"/>
        </w:rPr>
        <w:t>piccolo commercio</w:t>
      </w:r>
      <w:r w:rsidR="00EE5063">
        <w:rPr>
          <w:sz w:val="22"/>
          <w:szCs w:val="22"/>
        </w:rPr>
        <w:t xml:space="preserve"> c’è tutta una sfumatura di presupposti economici variamente determinabili. Su ognuno di essi s’intrecciano varie informazioni che richiedono la padronanza del diritto come studio sociale delle pubbliche funzioni</w:t>
      </w:r>
      <w:r w:rsidR="005C3A08">
        <w:rPr>
          <w:sz w:val="22"/>
          <w:szCs w:val="22"/>
        </w:rPr>
        <w:t>, su cui si innesta lo studio tecnico d</w:t>
      </w:r>
      <w:r w:rsidR="00EE5063">
        <w:rPr>
          <w:sz w:val="22"/>
          <w:szCs w:val="22"/>
        </w:rPr>
        <w:t xml:space="preserve">i quella </w:t>
      </w:r>
      <w:r w:rsidR="005C3A08">
        <w:rPr>
          <w:sz w:val="22"/>
          <w:szCs w:val="22"/>
        </w:rPr>
        <w:t>tributaria</w:t>
      </w:r>
      <w:r w:rsidR="00086045">
        <w:rPr>
          <w:sz w:val="22"/>
          <w:szCs w:val="22"/>
        </w:rPr>
        <w:t>.</w:t>
      </w:r>
      <w:r w:rsidR="00EB4B05">
        <w:rPr>
          <w:sz w:val="22"/>
          <w:szCs w:val="22"/>
        </w:rPr>
        <w:t xml:space="preserve">  </w:t>
      </w:r>
    </w:p>
    <w:p w14:paraId="265FE4D8" w14:textId="77777777" w:rsidR="00DE66D1" w:rsidRPr="007F7EBF" w:rsidRDefault="00DE66D1" w:rsidP="00D45B8E">
      <w:pPr>
        <w:rPr>
          <w:sz w:val="22"/>
          <w:szCs w:val="22"/>
        </w:rPr>
      </w:pPr>
    </w:p>
    <w:p w14:paraId="47DAEABD" w14:textId="77777777" w:rsidR="001B63D2" w:rsidRPr="007F7EBF" w:rsidRDefault="001B63D2" w:rsidP="001B63D2">
      <w:pPr>
        <w:rPr>
          <w:sz w:val="22"/>
          <w:szCs w:val="22"/>
        </w:rPr>
      </w:pPr>
    </w:p>
    <w:p w14:paraId="346C3E4F" w14:textId="77777777" w:rsidR="0079354C" w:rsidRPr="007F7EBF" w:rsidRDefault="0079354C" w:rsidP="002E288E">
      <w:pPr>
        <w:rPr>
          <w:sz w:val="22"/>
          <w:szCs w:val="22"/>
        </w:rPr>
      </w:pPr>
    </w:p>
    <w:p w14:paraId="379F3AE3" w14:textId="77777777" w:rsidR="006342C5" w:rsidRPr="007F7EBF" w:rsidRDefault="00A823A1" w:rsidP="00C44769">
      <w:pPr>
        <w:rPr>
          <w:sz w:val="22"/>
          <w:szCs w:val="22"/>
        </w:rPr>
      </w:pPr>
      <w:r w:rsidRPr="007F7EBF">
        <w:rPr>
          <w:sz w:val="22"/>
          <w:szCs w:val="22"/>
        </w:rPr>
        <w:t>Indice sommario</w:t>
      </w:r>
    </w:p>
    <w:p w14:paraId="72A2D64D" w14:textId="77777777" w:rsidR="006342C5" w:rsidRPr="007F7EBF" w:rsidRDefault="006342C5" w:rsidP="006342C5">
      <w:pPr>
        <w:autoSpaceDE w:val="0"/>
        <w:autoSpaceDN w:val="0"/>
        <w:adjustRightInd w:val="0"/>
        <w:rPr>
          <w:sz w:val="22"/>
          <w:szCs w:val="22"/>
        </w:rPr>
      </w:pPr>
    </w:p>
    <w:p w14:paraId="3BDB1B43" w14:textId="77777777" w:rsidR="003B7460" w:rsidRDefault="002B0C06">
      <w:pPr>
        <w:pStyle w:val="Sommario3"/>
        <w:tabs>
          <w:tab w:val="right" w:leader="dot" w:pos="6410"/>
        </w:tabs>
        <w:rPr>
          <w:noProof/>
        </w:rPr>
      </w:pPr>
      <w:bookmarkStart w:id="0" w:name="_Hlk534121121"/>
      <w:bookmarkStart w:id="1" w:name="_Hlk516432"/>
      <w:r>
        <w:rPr>
          <w:i w:val="0"/>
          <w:iCs w:val="0"/>
          <w:sz w:val="22"/>
          <w:szCs w:val="22"/>
        </w:rPr>
        <w:t xml:space="preserve">  </w:t>
      </w:r>
      <w:r w:rsidR="005A68DB" w:rsidRPr="007F7EBF">
        <w:rPr>
          <w:i w:val="0"/>
          <w:iCs w:val="0"/>
          <w:sz w:val="22"/>
          <w:szCs w:val="22"/>
        </w:rPr>
        <w:fldChar w:fldCharType="begin"/>
      </w:r>
      <w:r w:rsidR="005A68DB" w:rsidRPr="007F7EBF">
        <w:rPr>
          <w:i w:val="0"/>
          <w:iCs w:val="0"/>
          <w:sz w:val="22"/>
          <w:szCs w:val="22"/>
        </w:rPr>
        <w:instrText xml:space="preserve"> TOC \o "1-3" \h \z \u </w:instrText>
      </w:r>
      <w:r w:rsidR="005A68DB" w:rsidRPr="007F7EBF">
        <w:rPr>
          <w:i w:val="0"/>
          <w:iCs w:val="0"/>
          <w:sz w:val="22"/>
          <w:szCs w:val="22"/>
        </w:rPr>
        <w:fldChar w:fldCharType="separate"/>
      </w:r>
    </w:p>
    <w:p w14:paraId="5FB1A790" w14:textId="3994B9C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23" w:history="1">
        <w:r w:rsidRPr="00FD7211">
          <w:rPr>
            <w:rStyle w:val="Collegamentoipertestuale"/>
            <w:noProof/>
          </w:rPr>
          <w:t>Prefazione: studio del diritto tra tecnica e studio sociale delle pubbliche funzioni</w:t>
        </w:r>
        <w:r>
          <w:rPr>
            <w:noProof/>
            <w:webHidden/>
          </w:rPr>
          <w:tab/>
        </w:r>
        <w:r>
          <w:rPr>
            <w:noProof/>
            <w:webHidden/>
          </w:rPr>
          <w:fldChar w:fldCharType="begin"/>
        </w:r>
        <w:r>
          <w:rPr>
            <w:noProof/>
            <w:webHidden/>
          </w:rPr>
          <w:instrText xml:space="preserve"> PAGEREF _Toc63364923 \h </w:instrText>
        </w:r>
        <w:r>
          <w:rPr>
            <w:noProof/>
            <w:webHidden/>
          </w:rPr>
        </w:r>
        <w:r>
          <w:rPr>
            <w:noProof/>
            <w:webHidden/>
          </w:rPr>
          <w:fldChar w:fldCharType="separate"/>
        </w:r>
        <w:r>
          <w:rPr>
            <w:noProof/>
            <w:webHidden/>
          </w:rPr>
          <w:t>7</w:t>
        </w:r>
        <w:r>
          <w:rPr>
            <w:noProof/>
            <w:webHidden/>
          </w:rPr>
          <w:fldChar w:fldCharType="end"/>
        </w:r>
      </w:hyperlink>
    </w:p>
    <w:p w14:paraId="3D76316E" w14:textId="7B3AB73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24" w:history="1">
        <w:r w:rsidRPr="00FD7211">
          <w:rPr>
            <w:rStyle w:val="Collegamentoipertestuale"/>
            <w:noProof/>
          </w:rPr>
          <w:t>Parte Prima</w:t>
        </w:r>
        <w:r>
          <w:rPr>
            <w:noProof/>
            <w:webHidden/>
          </w:rPr>
          <w:tab/>
        </w:r>
        <w:r>
          <w:rPr>
            <w:noProof/>
            <w:webHidden/>
          </w:rPr>
          <w:fldChar w:fldCharType="begin"/>
        </w:r>
        <w:r>
          <w:rPr>
            <w:noProof/>
            <w:webHidden/>
          </w:rPr>
          <w:instrText xml:space="preserve"> PAGEREF _Toc63364924 \h </w:instrText>
        </w:r>
        <w:r>
          <w:rPr>
            <w:noProof/>
            <w:webHidden/>
          </w:rPr>
        </w:r>
        <w:r>
          <w:rPr>
            <w:noProof/>
            <w:webHidden/>
          </w:rPr>
          <w:fldChar w:fldCharType="separate"/>
        </w:r>
        <w:r>
          <w:rPr>
            <w:noProof/>
            <w:webHidden/>
          </w:rPr>
          <w:t>10</w:t>
        </w:r>
        <w:r>
          <w:rPr>
            <w:noProof/>
            <w:webHidden/>
          </w:rPr>
          <w:fldChar w:fldCharType="end"/>
        </w:r>
      </w:hyperlink>
    </w:p>
    <w:p w14:paraId="7A5314EF" w14:textId="6CFF2D8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25" w:history="1">
        <w:r w:rsidRPr="00FD7211">
          <w:rPr>
            <w:rStyle w:val="Collegamentoipertestuale"/>
            <w:noProof/>
          </w:rPr>
          <w:t>LA FUNZIONE TRIBUTARIA E LA SUA GIURIDICITA’ NON GIURISDIZIONALE</w:t>
        </w:r>
        <w:r>
          <w:rPr>
            <w:noProof/>
            <w:webHidden/>
          </w:rPr>
          <w:tab/>
        </w:r>
        <w:r>
          <w:rPr>
            <w:noProof/>
            <w:webHidden/>
          </w:rPr>
          <w:fldChar w:fldCharType="begin"/>
        </w:r>
        <w:r>
          <w:rPr>
            <w:noProof/>
            <w:webHidden/>
          </w:rPr>
          <w:instrText xml:space="preserve"> PAGEREF _Toc63364925 \h </w:instrText>
        </w:r>
        <w:r>
          <w:rPr>
            <w:noProof/>
            <w:webHidden/>
          </w:rPr>
        </w:r>
        <w:r>
          <w:rPr>
            <w:noProof/>
            <w:webHidden/>
          </w:rPr>
          <w:fldChar w:fldCharType="separate"/>
        </w:r>
        <w:r>
          <w:rPr>
            <w:noProof/>
            <w:webHidden/>
          </w:rPr>
          <w:t>11</w:t>
        </w:r>
        <w:r>
          <w:rPr>
            <w:noProof/>
            <w:webHidden/>
          </w:rPr>
          <w:fldChar w:fldCharType="end"/>
        </w:r>
      </w:hyperlink>
    </w:p>
    <w:p w14:paraId="60571C11" w14:textId="55A6137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26" w:history="1">
        <w:r w:rsidRPr="00FD7211">
          <w:rPr>
            <w:rStyle w:val="Collegamentoipertestuale"/>
            <w:noProof/>
          </w:rPr>
          <w:t>CAPITOLO 1  FINANZIAMENTO DELL’INTERVENTO PUBBLICO E FUNZIONE TRIBUTARIA</w:t>
        </w:r>
        <w:r>
          <w:rPr>
            <w:noProof/>
            <w:webHidden/>
          </w:rPr>
          <w:tab/>
        </w:r>
        <w:r>
          <w:rPr>
            <w:noProof/>
            <w:webHidden/>
          </w:rPr>
          <w:fldChar w:fldCharType="begin"/>
        </w:r>
        <w:r>
          <w:rPr>
            <w:noProof/>
            <w:webHidden/>
          </w:rPr>
          <w:instrText xml:space="preserve"> PAGEREF _Toc63364926 \h </w:instrText>
        </w:r>
        <w:r>
          <w:rPr>
            <w:noProof/>
            <w:webHidden/>
          </w:rPr>
        </w:r>
        <w:r>
          <w:rPr>
            <w:noProof/>
            <w:webHidden/>
          </w:rPr>
          <w:fldChar w:fldCharType="separate"/>
        </w:r>
        <w:r>
          <w:rPr>
            <w:noProof/>
            <w:webHidden/>
          </w:rPr>
          <w:t>11</w:t>
        </w:r>
        <w:r>
          <w:rPr>
            <w:noProof/>
            <w:webHidden/>
          </w:rPr>
          <w:fldChar w:fldCharType="end"/>
        </w:r>
      </w:hyperlink>
    </w:p>
    <w:p w14:paraId="08DCB323" w14:textId="214BEE63" w:rsidR="003B7460" w:rsidRDefault="003B7460">
      <w:pPr>
        <w:pStyle w:val="Sommario3"/>
        <w:tabs>
          <w:tab w:val="left" w:pos="1200"/>
          <w:tab w:val="right" w:leader="dot" w:pos="6410"/>
        </w:tabs>
        <w:rPr>
          <w:rFonts w:asciiTheme="minorHAnsi" w:eastAsiaTheme="minorEastAsia" w:hAnsiTheme="minorHAnsi" w:cstheme="minorBidi"/>
          <w:i w:val="0"/>
          <w:iCs w:val="0"/>
          <w:noProof/>
          <w:sz w:val="22"/>
          <w:szCs w:val="22"/>
        </w:rPr>
      </w:pPr>
      <w:hyperlink w:anchor="_Toc63364927" w:history="1">
        <w:r w:rsidRPr="00FD7211">
          <w:rPr>
            <w:rStyle w:val="Collegamentoipertestuale"/>
            <w:noProof/>
          </w:rPr>
          <w:t>1.1.</w:t>
        </w:r>
        <w:r>
          <w:rPr>
            <w:rFonts w:asciiTheme="minorHAnsi" w:eastAsiaTheme="minorEastAsia" w:hAnsiTheme="minorHAnsi" w:cstheme="minorBidi"/>
            <w:i w:val="0"/>
            <w:iCs w:val="0"/>
            <w:noProof/>
            <w:sz w:val="22"/>
            <w:szCs w:val="22"/>
          </w:rPr>
          <w:tab/>
        </w:r>
        <w:r w:rsidRPr="00FD7211">
          <w:rPr>
            <w:rStyle w:val="Collegamentoipertestuale"/>
            <w:noProof/>
          </w:rPr>
          <w:t>Funzioni pubbliche e loro finanziamento tra entrate patrimoniali, tributarie ed emissione monetaria</w:t>
        </w:r>
        <w:r>
          <w:rPr>
            <w:noProof/>
            <w:webHidden/>
          </w:rPr>
          <w:tab/>
        </w:r>
        <w:r>
          <w:rPr>
            <w:noProof/>
            <w:webHidden/>
          </w:rPr>
          <w:fldChar w:fldCharType="begin"/>
        </w:r>
        <w:r>
          <w:rPr>
            <w:noProof/>
            <w:webHidden/>
          </w:rPr>
          <w:instrText xml:space="preserve"> PAGEREF _Toc63364927 \h </w:instrText>
        </w:r>
        <w:r>
          <w:rPr>
            <w:noProof/>
            <w:webHidden/>
          </w:rPr>
        </w:r>
        <w:r>
          <w:rPr>
            <w:noProof/>
            <w:webHidden/>
          </w:rPr>
          <w:fldChar w:fldCharType="separate"/>
        </w:r>
        <w:r>
          <w:rPr>
            <w:noProof/>
            <w:webHidden/>
          </w:rPr>
          <w:t>12</w:t>
        </w:r>
        <w:r>
          <w:rPr>
            <w:noProof/>
            <w:webHidden/>
          </w:rPr>
          <w:fldChar w:fldCharType="end"/>
        </w:r>
      </w:hyperlink>
    </w:p>
    <w:p w14:paraId="15D0FBF7" w14:textId="66EB9BB7" w:rsidR="003B7460" w:rsidRDefault="003B7460">
      <w:pPr>
        <w:pStyle w:val="Sommario3"/>
        <w:tabs>
          <w:tab w:val="left" w:pos="1200"/>
          <w:tab w:val="right" w:leader="dot" w:pos="6410"/>
        </w:tabs>
        <w:rPr>
          <w:rFonts w:asciiTheme="minorHAnsi" w:eastAsiaTheme="minorEastAsia" w:hAnsiTheme="minorHAnsi" w:cstheme="minorBidi"/>
          <w:i w:val="0"/>
          <w:iCs w:val="0"/>
          <w:noProof/>
          <w:sz w:val="22"/>
          <w:szCs w:val="22"/>
        </w:rPr>
      </w:pPr>
      <w:hyperlink w:anchor="_Toc63364928" w:history="1">
        <w:r w:rsidRPr="00FD7211">
          <w:rPr>
            <w:rStyle w:val="Collegamentoipertestuale"/>
            <w:noProof/>
          </w:rPr>
          <w:t>1.2.</w:t>
        </w:r>
        <w:r>
          <w:rPr>
            <w:rFonts w:asciiTheme="minorHAnsi" w:eastAsiaTheme="minorEastAsia" w:hAnsiTheme="minorHAnsi" w:cstheme="minorBidi"/>
            <w:i w:val="0"/>
            <w:iCs w:val="0"/>
            <w:noProof/>
            <w:sz w:val="22"/>
            <w:szCs w:val="22"/>
          </w:rPr>
          <w:tab/>
        </w:r>
        <w:r w:rsidRPr="00FD7211">
          <w:rPr>
            <w:rStyle w:val="Collegamentoipertestuale"/>
            <w:noProof/>
          </w:rPr>
          <w:t>Dal principio del beneficio (tasse e tariffe) alle imposte (“sacrificio”) come centro della funzione tributaria</w:t>
        </w:r>
        <w:r>
          <w:rPr>
            <w:noProof/>
            <w:webHidden/>
          </w:rPr>
          <w:tab/>
        </w:r>
        <w:r>
          <w:rPr>
            <w:noProof/>
            <w:webHidden/>
          </w:rPr>
          <w:fldChar w:fldCharType="begin"/>
        </w:r>
        <w:r>
          <w:rPr>
            <w:noProof/>
            <w:webHidden/>
          </w:rPr>
          <w:instrText xml:space="preserve"> PAGEREF _Toc63364928 \h </w:instrText>
        </w:r>
        <w:r>
          <w:rPr>
            <w:noProof/>
            <w:webHidden/>
          </w:rPr>
        </w:r>
        <w:r>
          <w:rPr>
            <w:noProof/>
            <w:webHidden/>
          </w:rPr>
          <w:fldChar w:fldCharType="separate"/>
        </w:r>
        <w:r>
          <w:rPr>
            <w:noProof/>
            <w:webHidden/>
          </w:rPr>
          <w:t>14</w:t>
        </w:r>
        <w:r>
          <w:rPr>
            <w:noProof/>
            <w:webHidden/>
          </w:rPr>
          <w:fldChar w:fldCharType="end"/>
        </w:r>
      </w:hyperlink>
    </w:p>
    <w:p w14:paraId="0D5EF9B1" w14:textId="60903D8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29" w:history="1">
        <w:r w:rsidRPr="00FD7211">
          <w:rPr>
            <w:rStyle w:val="Collegamentoipertestuale"/>
            <w:noProof/>
          </w:rPr>
          <w:t>1.3 Giuridicità non giurisdizionale della funzione tributaria, tra diritto come tecnica e studio sociale</w:t>
        </w:r>
        <w:r>
          <w:rPr>
            <w:noProof/>
            <w:webHidden/>
          </w:rPr>
          <w:tab/>
        </w:r>
        <w:r>
          <w:rPr>
            <w:noProof/>
            <w:webHidden/>
          </w:rPr>
          <w:fldChar w:fldCharType="begin"/>
        </w:r>
        <w:r>
          <w:rPr>
            <w:noProof/>
            <w:webHidden/>
          </w:rPr>
          <w:instrText xml:space="preserve"> PAGEREF _Toc63364929 \h </w:instrText>
        </w:r>
        <w:r>
          <w:rPr>
            <w:noProof/>
            <w:webHidden/>
          </w:rPr>
        </w:r>
        <w:r>
          <w:rPr>
            <w:noProof/>
            <w:webHidden/>
          </w:rPr>
          <w:fldChar w:fldCharType="separate"/>
        </w:r>
        <w:r>
          <w:rPr>
            <w:noProof/>
            <w:webHidden/>
          </w:rPr>
          <w:t>17</w:t>
        </w:r>
        <w:r>
          <w:rPr>
            <w:noProof/>
            <w:webHidden/>
          </w:rPr>
          <w:fldChar w:fldCharType="end"/>
        </w:r>
      </w:hyperlink>
    </w:p>
    <w:p w14:paraId="0F9DAF4E" w14:textId="4D7239A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0" w:history="1">
        <w:r w:rsidRPr="00FD7211">
          <w:rPr>
            <w:rStyle w:val="Collegamentoipertestuale"/>
            <w:noProof/>
          </w:rPr>
          <w:t>1.4. La determinazione degli imponibili, dalle antiche stime alla documentazione aziendale</w:t>
        </w:r>
        <w:r>
          <w:rPr>
            <w:noProof/>
            <w:webHidden/>
          </w:rPr>
          <w:tab/>
        </w:r>
        <w:r>
          <w:rPr>
            <w:noProof/>
            <w:webHidden/>
          </w:rPr>
          <w:fldChar w:fldCharType="begin"/>
        </w:r>
        <w:r>
          <w:rPr>
            <w:noProof/>
            <w:webHidden/>
          </w:rPr>
          <w:instrText xml:space="preserve"> PAGEREF _Toc63364930 \h </w:instrText>
        </w:r>
        <w:r>
          <w:rPr>
            <w:noProof/>
            <w:webHidden/>
          </w:rPr>
        </w:r>
        <w:r>
          <w:rPr>
            <w:noProof/>
            <w:webHidden/>
          </w:rPr>
          <w:fldChar w:fldCharType="separate"/>
        </w:r>
        <w:r>
          <w:rPr>
            <w:noProof/>
            <w:webHidden/>
          </w:rPr>
          <w:t>23</w:t>
        </w:r>
        <w:r>
          <w:rPr>
            <w:noProof/>
            <w:webHidden/>
          </w:rPr>
          <w:fldChar w:fldCharType="end"/>
        </w:r>
      </w:hyperlink>
    </w:p>
    <w:p w14:paraId="2F5AF910" w14:textId="1E66F24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1" w:history="1">
        <w:r w:rsidRPr="00FD7211">
          <w:rPr>
            <w:rStyle w:val="Collegamentoipertestuale"/>
            <w:noProof/>
          </w:rPr>
          <w:t>1.5. Segue. L’autodeterminazione delle imposte in relazione a  visibilità degli imponibili, aliquote, controlli e sanzioni.</w:t>
        </w:r>
        <w:r>
          <w:rPr>
            <w:noProof/>
            <w:webHidden/>
          </w:rPr>
          <w:tab/>
        </w:r>
        <w:r>
          <w:rPr>
            <w:noProof/>
            <w:webHidden/>
          </w:rPr>
          <w:fldChar w:fldCharType="begin"/>
        </w:r>
        <w:r>
          <w:rPr>
            <w:noProof/>
            <w:webHidden/>
          </w:rPr>
          <w:instrText xml:space="preserve"> PAGEREF _Toc63364931 \h </w:instrText>
        </w:r>
        <w:r>
          <w:rPr>
            <w:noProof/>
            <w:webHidden/>
          </w:rPr>
        </w:r>
        <w:r>
          <w:rPr>
            <w:noProof/>
            <w:webHidden/>
          </w:rPr>
          <w:fldChar w:fldCharType="separate"/>
        </w:r>
        <w:r>
          <w:rPr>
            <w:noProof/>
            <w:webHidden/>
          </w:rPr>
          <w:t>27</w:t>
        </w:r>
        <w:r>
          <w:rPr>
            <w:noProof/>
            <w:webHidden/>
          </w:rPr>
          <w:fldChar w:fldCharType="end"/>
        </w:r>
      </w:hyperlink>
    </w:p>
    <w:p w14:paraId="5011975B" w14:textId="65730F7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2" w:history="1">
        <w:r w:rsidRPr="00FD7211">
          <w:rPr>
            <w:rStyle w:val="Collegamentoipertestuale"/>
            <w:noProof/>
          </w:rPr>
          <w:t>1.6 L’evasione in senso materiale come mancata registrazione di presupposti economici e evasione interpretativa: le stime.</w:t>
        </w:r>
        <w:r>
          <w:rPr>
            <w:noProof/>
            <w:webHidden/>
          </w:rPr>
          <w:tab/>
        </w:r>
        <w:r>
          <w:rPr>
            <w:noProof/>
            <w:webHidden/>
          </w:rPr>
          <w:fldChar w:fldCharType="begin"/>
        </w:r>
        <w:r>
          <w:rPr>
            <w:noProof/>
            <w:webHidden/>
          </w:rPr>
          <w:instrText xml:space="preserve"> PAGEREF _Toc63364932 \h </w:instrText>
        </w:r>
        <w:r>
          <w:rPr>
            <w:noProof/>
            <w:webHidden/>
          </w:rPr>
        </w:r>
        <w:r>
          <w:rPr>
            <w:noProof/>
            <w:webHidden/>
          </w:rPr>
          <w:fldChar w:fldCharType="separate"/>
        </w:r>
        <w:r>
          <w:rPr>
            <w:noProof/>
            <w:webHidden/>
          </w:rPr>
          <w:t>29</w:t>
        </w:r>
        <w:r>
          <w:rPr>
            <w:noProof/>
            <w:webHidden/>
          </w:rPr>
          <w:fldChar w:fldCharType="end"/>
        </w:r>
      </w:hyperlink>
    </w:p>
    <w:p w14:paraId="4DE84EE8" w14:textId="2A68332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3" w:history="1">
        <w:r w:rsidRPr="00FD7211">
          <w:rPr>
            <w:rStyle w:val="Collegamentoipertestuale"/>
            <w:noProof/>
          </w:rPr>
          <w:t>1.7 Sopravvalutazione dei controlli specie da parte di piccoli commercianti e artigiani “in sede fissa”.</w:t>
        </w:r>
        <w:r>
          <w:rPr>
            <w:noProof/>
            <w:webHidden/>
          </w:rPr>
          <w:tab/>
        </w:r>
        <w:r>
          <w:rPr>
            <w:noProof/>
            <w:webHidden/>
          </w:rPr>
          <w:fldChar w:fldCharType="begin"/>
        </w:r>
        <w:r>
          <w:rPr>
            <w:noProof/>
            <w:webHidden/>
          </w:rPr>
          <w:instrText xml:space="preserve"> PAGEREF _Toc63364933 \h </w:instrText>
        </w:r>
        <w:r>
          <w:rPr>
            <w:noProof/>
            <w:webHidden/>
          </w:rPr>
        </w:r>
        <w:r>
          <w:rPr>
            <w:noProof/>
            <w:webHidden/>
          </w:rPr>
          <w:fldChar w:fldCharType="separate"/>
        </w:r>
        <w:r>
          <w:rPr>
            <w:noProof/>
            <w:webHidden/>
          </w:rPr>
          <w:t>32</w:t>
        </w:r>
        <w:r>
          <w:rPr>
            <w:noProof/>
            <w:webHidden/>
          </w:rPr>
          <w:fldChar w:fldCharType="end"/>
        </w:r>
      </w:hyperlink>
    </w:p>
    <w:p w14:paraId="6427F3BE" w14:textId="02A9518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4" w:history="1">
        <w:r w:rsidRPr="00FD7211">
          <w:rPr>
            <w:rStyle w:val="Collegamentoipertestuale"/>
            <w:noProof/>
          </w:rPr>
          <w:t>1.8. I presupposti economici d’imposta, precisati dalla funzione tributaria (reddito e sue componenti, consumo, valore aggiunto, patrimonio)</w:t>
        </w:r>
        <w:r>
          <w:rPr>
            <w:noProof/>
            <w:webHidden/>
          </w:rPr>
          <w:tab/>
        </w:r>
        <w:r>
          <w:rPr>
            <w:noProof/>
            <w:webHidden/>
          </w:rPr>
          <w:fldChar w:fldCharType="begin"/>
        </w:r>
        <w:r>
          <w:rPr>
            <w:noProof/>
            <w:webHidden/>
          </w:rPr>
          <w:instrText xml:space="preserve"> PAGEREF _Toc63364934 \h </w:instrText>
        </w:r>
        <w:r>
          <w:rPr>
            <w:noProof/>
            <w:webHidden/>
          </w:rPr>
        </w:r>
        <w:r>
          <w:rPr>
            <w:noProof/>
            <w:webHidden/>
          </w:rPr>
          <w:fldChar w:fldCharType="separate"/>
        </w:r>
        <w:r>
          <w:rPr>
            <w:noProof/>
            <w:webHidden/>
          </w:rPr>
          <w:t>36</w:t>
        </w:r>
        <w:r>
          <w:rPr>
            <w:noProof/>
            <w:webHidden/>
          </w:rPr>
          <w:fldChar w:fldCharType="end"/>
        </w:r>
      </w:hyperlink>
    </w:p>
    <w:p w14:paraId="6BBEBB94" w14:textId="12BEA54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5" w:history="1">
        <w:r w:rsidRPr="00FD7211">
          <w:rPr>
            <w:rStyle w:val="Collegamentoipertestuale"/>
            <w:noProof/>
          </w:rPr>
          <w:t>1.9. Coordinamenti (e distorsioni) tra determinazione dell’imponibile e delle imposte</w:t>
        </w:r>
        <w:r>
          <w:rPr>
            <w:noProof/>
            <w:webHidden/>
          </w:rPr>
          <w:tab/>
        </w:r>
        <w:r>
          <w:rPr>
            <w:noProof/>
            <w:webHidden/>
          </w:rPr>
          <w:fldChar w:fldCharType="begin"/>
        </w:r>
        <w:r>
          <w:rPr>
            <w:noProof/>
            <w:webHidden/>
          </w:rPr>
          <w:instrText xml:space="preserve"> PAGEREF _Toc63364935 \h </w:instrText>
        </w:r>
        <w:r>
          <w:rPr>
            <w:noProof/>
            <w:webHidden/>
          </w:rPr>
        </w:r>
        <w:r>
          <w:rPr>
            <w:noProof/>
            <w:webHidden/>
          </w:rPr>
          <w:fldChar w:fldCharType="separate"/>
        </w:r>
        <w:r>
          <w:rPr>
            <w:noProof/>
            <w:webHidden/>
          </w:rPr>
          <w:t>43</w:t>
        </w:r>
        <w:r>
          <w:rPr>
            <w:noProof/>
            <w:webHidden/>
          </w:rPr>
          <w:fldChar w:fldCharType="end"/>
        </w:r>
      </w:hyperlink>
    </w:p>
    <w:p w14:paraId="0F2F0AC3" w14:textId="1CCC306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6" w:history="1">
        <w:r w:rsidRPr="00FD7211">
          <w:rPr>
            <w:rStyle w:val="Collegamentoipertestuale"/>
            <w:noProof/>
          </w:rPr>
          <w:t>1.10. Pluralità di tributi, perequazione e geografia del loro gettito</w:t>
        </w:r>
        <w:r>
          <w:rPr>
            <w:noProof/>
            <w:webHidden/>
          </w:rPr>
          <w:tab/>
        </w:r>
        <w:r>
          <w:rPr>
            <w:noProof/>
            <w:webHidden/>
          </w:rPr>
          <w:fldChar w:fldCharType="begin"/>
        </w:r>
        <w:r>
          <w:rPr>
            <w:noProof/>
            <w:webHidden/>
          </w:rPr>
          <w:instrText xml:space="preserve"> PAGEREF _Toc63364936 \h </w:instrText>
        </w:r>
        <w:r>
          <w:rPr>
            <w:noProof/>
            <w:webHidden/>
          </w:rPr>
        </w:r>
        <w:r>
          <w:rPr>
            <w:noProof/>
            <w:webHidden/>
          </w:rPr>
          <w:fldChar w:fldCharType="separate"/>
        </w:r>
        <w:r>
          <w:rPr>
            <w:noProof/>
            <w:webHidden/>
          </w:rPr>
          <w:t>45</w:t>
        </w:r>
        <w:r>
          <w:rPr>
            <w:noProof/>
            <w:webHidden/>
          </w:rPr>
          <w:fldChar w:fldCharType="end"/>
        </w:r>
      </w:hyperlink>
    </w:p>
    <w:p w14:paraId="1ABCA732" w14:textId="6C59DAE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7" w:history="1">
        <w:r w:rsidRPr="00FD7211">
          <w:rPr>
            <w:rStyle w:val="Collegamentoipertestuale"/>
            <w:noProof/>
          </w:rPr>
          <w:t>1.11. Segue. La diversa determinabilità dei presupposti economici d’imposta, valutativa e giuridico-contabile (stime, documenti,contabilità, etc.)</w:t>
        </w:r>
        <w:r>
          <w:rPr>
            <w:noProof/>
            <w:webHidden/>
          </w:rPr>
          <w:tab/>
        </w:r>
        <w:r>
          <w:rPr>
            <w:noProof/>
            <w:webHidden/>
          </w:rPr>
          <w:fldChar w:fldCharType="begin"/>
        </w:r>
        <w:r>
          <w:rPr>
            <w:noProof/>
            <w:webHidden/>
          </w:rPr>
          <w:instrText xml:space="preserve"> PAGEREF _Toc63364937 \h </w:instrText>
        </w:r>
        <w:r>
          <w:rPr>
            <w:noProof/>
            <w:webHidden/>
          </w:rPr>
        </w:r>
        <w:r>
          <w:rPr>
            <w:noProof/>
            <w:webHidden/>
          </w:rPr>
          <w:fldChar w:fldCharType="separate"/>
        </w:r>
        <w:r>
          <w:rPr>
            <w:noProof/>
            <w:webHidden/>
          </w:rPr>
          <w:t>48</w:t>
        </w:r>
        <w:r>
          <w:rPr>
            <w:noProof/>
            <w:webHidden/>
          </w:rPr>
          <w:fldChar w:fldCharType="end"/>
        </w:r>
      </w:hyperlink>
    </w:p>
    <w:p w14:paraId="5266E029" w14:textId="5CB4EE2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8" w:history="1">
        <w:r w:rsidRPr="00FD7211">
          <w:rPr>
            <w:rStyle w:val="Collegamentoipertestuale"/>
            <w:noProof/>
          </w:rPr>
          <w:t>1.12 Contributi previdenziali come “tributi di scopo”?</w:t>
        </w:r>
        <w:r>
          <w:rPr>
            <w:noProof/>
            <w:webHidden/>
          </w:rPr>
          <w:tab/>
        </w:r>
        <w:r>
          <w:rPr>
            <w:noProof/>
            <w:webHidden/>
          </w:rPr>
          <w:fldChar w:fldCharType="begin"/>
        </w:r>
        <w:r>
          <w:rPr>
            <w:noProof/>
            <w:webHidden/>
          </w:rPr>
          <w:instrText xml:space="preserve"> PAGEREF _Toc63364938 \h </w:instrText>
        </w:r>
        <w:r>
          <w:rPr>
            <w:noProof/>
            <w:webHidden/>
          </w:rPr>
        </w:r>
        <w:r>
          <w:rPr>
            <w:noProof/>
            <w:webHidden/>
          </w:rPr>
          <w:fldChar w:fldCharType="separate"/>
        </w:r>
        <w:r>
          <w:rPr>
            <w:noProof/>
            <w:webHidden/>
          </w:rPr>
          <w:t>51</w:t>
        </w:r>
        <w:r>
          <w:rPr>
            <w:noProof/>
            <w:webHidden/>
          </w:rPr>
          <w:fldChar w:fldCharType="end"/>
        </w:r>
      </w:hyperlink>
    </w:p>
    <w:p w14:paraId="4FB26B2C" w14:textId="21ADC30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39" w:history="1">
        <w:r w:rsidRPr="00FD7211">
          <w:rPr>
            <w:rStyle w:val="Collegamentoipertestuale"/>
            <w:noProof/>
          </w:rPr>
          <w:t>Capitolo 2- LEGISLAZIONE ORGANIZZATIVA E DECISORIA NELLA FUNZIONE TRIBUTARIA (PRINCIPI COSTITUZIONALI E COMUNITARI)</w:t>
        </w:r>
        <w:r>
          <w:rPr>
            <w:noProof/>
            <w:webHidden/>
          </w:rPr>
          <w:tab/>
        </w:r>
        <w:r>
          <w:rPr>
            <w:noProof/>
            <w:webHidden/>
          </w:rPr>
          <w:fldChar w:fldCharType="begin"/>
        </w:r>
        <w:r>
          <w:rPr>
            <w:noProof/>
            <w:webHidden/>
          </w:rPr>
          <w:instrText xml:space="preserve"> PAGEREF _Toc63364939 \h </w:instrText>
        </w:r>
        <w:r>
          <w:rPr>
            <w:noProof/>
            <w:webHidden/>
          </w:rPr>
        </w:r>
        <w:r>
          <w:rPr>
            <w:noProof/>
            <w:webHidden/>
          </w:rPr>
          <w:fldChar w:fldCharType="separate"/>
        </w:r>
        <w:r>
          <w:rPr>
            <w:noProof/>
            <w:webHidden/>
          </w:rPr>
          <w:t>53</w:t>
        </w:r>
        <w:r>
          <w:rPr>
            <w:noProof/>
            <w:webHidden/>
          </w:rPr>
          <w:fldChar w:fldCharType="end"/>
        </w:r>
      </w:hyperlink>
    </w:p>
    <w:p w14:paraId="0AC64E81" w14:textId="38432B8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0" w:history="1">
        <w:r w:rsidRPr="00FD7211">
          <w:rPr>
            <w:rStyle w:val="Collegamentoipertestuale"/>
            <w:noProof/>
          </w:rPr>
          <w:t>2.1. Legislazione organizzativa e decisoria (sostanziale) nella f</w:t>
        </w:r>
        <w:r w:rsidRPr="00FD7211">
          <w:rPr>
            <w:rStyle w:val="Collegamentoipertestuale"/>
            <w:noProof/>
          </w:rPr>
          <w:t>u</w:t>
        </w:r>
        <w:r w:rsidRPr="00FD7211">
          <w:rPr>
            <w:rStyle w:val="Collegamentoipertestuale"/>
            <w:noProof/>
          </w:rPr>
          <w:t>nzione tributaria.</w:t>
        </w:r>
        <w:r>
          <w:rPr>
            <w:noProof/>
            <w:webHidden/>
          </w:rPr>
          <w:tab/>
        </w:r>
        <w:r>
          <w:rPr>
            <w:noProof/>
            <w:webHidden/>
          </w:rPr>
          <w:fldChar w:fldCharType="begin"/>
        </w:r>
        <w:r>
          <w:rPr>
            <w:noProof/>
            <w:webHidden/>
          </w:rPr>
          <w:instrText xml:space="preserve"> PAGEREF _Toc63364940 \h </w:instrText>
        </w:r>
        <w:r>
          <w:rPr>
            <w:noProof/>
            <w:webHidden/>
          </w:rPr>
        </w:r>
        <w:r>
          <w:rPr>
            <w:noProof/>
            <w:webHidden/>
          </w:rPr>
          <w:fldChar w:fldCharType="separate"/>
        </w:r>
        <w:r>
          <w:rPr>
            <w:noProof/>
            <w:webHidden/>
          </w:rPr>
          <w:t>54</w:t>
        </w:r>
        <w:r>
          <w:rPr>
            <w:noProof/>
            <w:webHidden/>
          </w:rPr>
          <w:fldChar w:fldCharType="end"/>
        </w:r>
      </w:hyperlink>
    </w:p>
    <w:p w14:paraId="74BE6455" w14:textId="3EF0A3D3"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1" w:history="1">
        <w:r w:rsidRPr="00FD7211">
          <w:rPr>
            <w:rStyle w:val="Collegamentoipertestuale"/>
            <w:noProof/>
          </w:rPr>
          <w:t>2.2. Capacità contributiva come riflesso dell’oggetto economico della funzione tributaria e sua difficile considerazione “globale”</w:t>
        </w:r>
        <w:r>
          <w:rPr>
            <w:noProof/>
            <w:webHidden/>
          </w:rPr>
          <w:tab/>
        </w:r>
        <w:r>
          <w:rPr>
            <w:noProof/>
            <w:webHidden/>
          </w:rPr>
          <w:fldChar w:fldCharType="begin"/>
        </w:r>
        <w:r>
          <w:rPr>
            <w:noProof/>
            <w:webHidden/>
          </w:rPr>
          <w:instrText xml:space="preserve"> PAGEREF _Toc63364941 \h </w:instrText>
        </w:r>
        <w:r>
          <w:rPr>
            <w:noProof/>
            <w:webHidden/>
          </w:rPr>
        </w:r>
        <w:r>
          <w:rPr>
            <w:noProof/>
            <w:webHidden/>
          </w:rPr>
          <w:fldChar w:fldCharType="separate"/>
        </w:r>
        <w:r>
          <w:rPr>
            <w:noProof/>
            <w:webHidden/>
          </w:rPr>
          <w:t>56</w:t>
        </w:r>
        <w:r>
          <w:rPr>
            <w:noProof/>
            <w:webHidden/>
          </w:rPr>
          <w:fldChar w:fldCharType="end"/>
        </w:r>
      </w:hyperlink>
    </w:p>
    <w:p w14:paraId="471BF6EE" w14:textId="2A49320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2" w:history="1">
        <w:r w:rsidRPr="00FD7211">
          <w:rPr>
            <w:rStyle w:val="Collegamentoipertestuale"/>
            <w:noProof/>
          </w:rPr>
          <w:t>2.3. Riserva di legge, regolamenti, statuto del contribuente e codificazione.</w:t>
        </w:r>
        <w:r>
          <w:rPr>
            <w:noProof/>
            <w:webHidden/>
          </w:rPr>
          <w:tab/>
        </w:r>
        <w:r>
          <w:rPr>
            <w:noProof/>
            <w:webHidden/>
          </w:rPr>
          <w:fldChar w:fldCharType="begin"/>
        </w:r>
        <w:r>
          <w:rPr>
            <w:noProof/>
            <w:webHidden/>
          </w:rPr>
          <w:instrText xml:space="preserve"> PAGEREF _Toc63364942 \h </w:instrText>
        </w:r>
        <w:r>
          <w:rPr>
            <w:noProof/>
            <w:webHidden/>
          </w:rPr>
        </w:r>
        <w:r>
          <w:rPr>
            <w:noProof/>
            <w:webHidden/>
          </w:rPr>
          <w:fldChar w:fldCharType="separate"/>
        </w:r>
        <w:r>
          <w:rPr>
            <w:noProof/>
            <w:webHidden/>
          </w:rPr>
          <w:t>59</w:t>
        </w:r>
        <w:r>
          <w:rPr>
            <w:noProof/>
            <w:webHidden/>
          </w:rPr>
          <w:fldChar w:fldCharType="end"/>
        </w:r>
      </w:hyperlink>
    </w:p>
    <w:p w14:paraId="16DCF197" w14:textId="5DCD466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3" w:history="1">
        <w:r w:rsidRPr="00FD7211">
          <w:rPr>
            <w:rStyle w:val="Collegamentoipertestuale"/>
            <w:noProof/>
          </w:rPr>
          <w:t>2.4. Segue Confusione legislativa davanti alla diversa determinabilità  dei presupposti economici d’imposta.</w:t>
        </w:r>
        <w:r>
          <w:rPr>
            <w:noProof/>
            <w:webHidden/>
          </w:rPr>
          <w:tab/>
        </w:r>
        <w:r>
          <w:rPr>
            <w:noProof/>
            <w:webHidden/>
          </w:rPr>
          <w:fldChar w:fldCharType="begin"/>
        </w:r>
        <w:r>
          <w:rPr>
            <w:noProof/>
            <w:webHidden/>
          </w:rPr>
          <w:instrText xml:space="preserve"> PAGEREF _Toc63364943 \h </w:instrText>
        </w:r>
        <w:r>
          <w:rPr>
            <w:noProof/>
            <w:webHidden/>
          </w:rPr>
        </w:r>
        <w:r>
          <w:rPr>
            <w:noProof/>
            <w:webHidden/>
          </w:rPr>
          <w:fldChar w:fldCharType="separate"/>
        </w:r>
        <w:r>
          <w:rPr>
            <w:noProof/>
            <w:webHidden/>
          </w:rPr>
          <w:t>65</w:t>
        </w:r>
        <w:r>
          <w:rPr>
            <w:noProof/>
            <w:webHidden/>
          </w:rPr>
          <w:fldChar w:fldCharType="end"/>
        </w:r>
      </w:hyperlink>
    </w:p>
    <w:p w14:paraId="352CDB43" w14:textId="19CB42C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4" w:history="1">
        <w:r w:rsidRPr="00FD7211">
          <w:rPr>
            <w:rStyle w:val="Collegamentoipertestuale"/>
            <w:noProof/>
          </w:rPr>
          <w:t>2.5. Disorientamento della giurisprudenza, anche costituzionale, davanti all’oggetto economico della funzione tributaria.</w:t>
        </w:r>
        <w:r>
          <w:rPr>
            <w:noProof/>
            <w:webHidden/>
          </w:rPr>
          <w:tab/>
        </w:r>
        <w:r>
          <w:rPr>
            <w:noProof/>
            <w:webHidden/>
          </w:rPr>
          <w:fldChar w:fldCharType="begin"/>
        </w:r>
        <w:r>
          <w:rPr>
            <w:noProof/>
            <w:webHidden/>
          </w:rPr>
          <w:instrText xml:space="preserve"> PAGEREF _Toc63364944 \h </w:instrText>
        </w:r>
        <w:r>
          <w:rPr>
            <w:noProof/>
            <w:webHidden/>
          </w:rPr>
        </w:r>
        <w:r>
          <w:rPr>
            <w:noProof/>
            <w:webHidden/>
          </w:rPr>
          <w:fldChar w:fldCharType="separate"/>
        </w:r>
        <w:r>
          <w:rPr>
            <w:noProof/>
            <w:webHidden/>
          </w:rPr>
          <w:t>69</w:t>
        </w:r>
        <w:r>
          <w:rPr>
            <w:noProof/>
            <w:webHidden/>
          </w:rPr>
          <w:fldChar w:fldCharType="end"/>
        </w:r>
      </w:hyperlink>
    </w:p>
    <w:p w14:paraId="14E47607" w14:textId="166171E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5" w:history="1">
        <w:r w:rsidRPr="00FD7211">
          <w:rPr>
            <w:rStyle w:val="Collegamentoipertestuale"/>
            <w:noProof/>
          </w:rPr>
          <w:t>2.6. Funzione tributaria e vincoli Europei</w:t>
        </w:r>
        <w:r>
          <w:rPr>
            <w:noProof/>
            <w:webHidden/>
          </w:rPr>
          <w:tab/>
        </w:r>
        <w:r>
          <w:rPr>
            <w:noProof/>
            <w:webHidden/>
          </w:rPr>
          <w:fldChar w:fldCharType="begin"/>
        </w:r>
        <w:r>
          <w:rPr>
            <w:noProof/>
            <w:webHidden/>
          </w:rPr>
          <w:instrText xml:space="preserve"> PAGEREF _Toc63364945 \h </w:instrText>
        </w:r>
        <w:r>
          <w:rPr>
            <w:noProof/>
            <w:webHidden/>
          </w:rPr>
        </w:r>
        <w:r>
          <w:rPr>
            <w:noProof/>
            <w:webHidden/>
          </w:rPr>
          <w:fldChar w:fldCharType="separate"/>
        </w:r>
        <w:r>
          <w:rPr>
            <w:noProof/>
            <w:webHidden/>
          </w:rPr>
          <w:t>71</w:t>
        </w:r>
        <w:r>
          <w:rPr>
            <w:noProof/>
            <w:webHidden/>
          </w:rPr>
          <w:fldChar w:fldCharType="end"/>
        </w:r>
      </w:hyperlink>
    </w:p>
    <w:p w14:paraId="1B90B879" w14:textId="24C9C40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6" w:history="1">
        <w:r w:rsidRPr="00FD7211">
          <w:rPr>
            <w:rStyle w:val="Collegamentoipertestuale"/>
            <w:noProof/>
          </w:rPr>
          <w:t>Capitolo 3</w:t>
        </w:r>
        <w:r>
          <w:rPr>
            <w:noProof/>
            <w:webHidden/>
          </w:rPr>
          <w:tab/>
        </w:r>
        <w:r>
          <w:rPr>
            <w:noProof/>
            <w:webHidden/>
          </w:rPr>
          <w:fldChar w:fldCharType="begin"/>
        </w:r>
        <w:r>
          <w:rPr>
            <w:noProof/>
            <w:webHidden/>
          </w:rPr>
          <w:instrText xml:space="preserve"> PAGEREF _Toc63364946 \h </w:instrText>
        </w:r>
        <w:r>
          <w:rPr>
            <w:noProof/>
            <w:webHidden/>
          </w:rPr>
        </w:r>
        <w:r>
          <w:rPr>
            <w:noProof/>
            <w:webHidden/>
          </w:rPr>
          <w:fldChar w:fldCharType="separate"/>
        </w:r>
        <w:r>
          <w:rPr>
            <w:noProof/>
            <w:webHidden/>
          </w:rPr>
          <w:t>77</w:t>
        </w:r>
        <w:r>
          <w:rPr>
            <w:noProof/>
            <w:webHidden/>
          </w:rPr>
          <w:fldChar w:fldCharType="end"/>
        </w:r>
      </w:hyperlink>
    </w:p>
    <w:p w14:paraId="1A01A9D7" w14:textId="70645E5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7" w:history="1">
        <w:r w:rsidRPr="00FD7211">
          <w:rPr>
            <w:rStyle w:val="Collegamentoipertestuale"/>
            <w:noProof/>
          </w:rPr>
          <w:t>I PRIVATI NELLA FUNZIONE TRIBUTARIA:ORGANIZZAZIONI AZIENDALI, INDIVIDUI E CONSULENTI</w:t>
        </w:r>
        <w:r>
          <w:rPr>
            <w:noProof/>
            <w:webHidden/>
          </w:rPr>
          <w:tab/>
        </w:r>
        <w:r>
          <w:rPr>
            <w:noProof/>
            <w:webHidden/>
          </w:rPr>
          <w:fldChar w:fldCharType="begin"/>
        </w:r>
        <w:r>
          <w:rPr>
            <w:noProof/>
            <w:webHidden/>
          </w:rPr>
          <w:instrText xml:space="preserve"> PAGEREF _Toc63364947 \h </w:instrText>
        </w:r>
        <w:r>
          <w:rPr>
            <w:noProof/>
            <w:webHidden/>
          </w:rPr>
        </w:r>
        <w:r>
          <w:rPr>
            <w:noProof/>
            <w:webHidden/>
          </w:rPr>
          <w:fldChar w:fldCharType="separate"/>
        </w:r>
        <w:r>
          <w:rPr>
            <w:noProof/>
            <w:webHidden/>
          </w:rPr>
          <w:t>77</w:t>
        </w:r>
        <w:r>
          <w:rPr>
            <w:noProof/>
            <w:webHidden/>
          </w:rPr>
          <w:fldChar w:fldCharType="end"/>
        </w:r>
      </w:hyperlink>
    </w:p>
    <w:p w14:paraId="4CDD5334" w14:textId="320252B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8" w:history="1">
        <w:r w:rsidRPr="00FD7211">
          <w:rPr>
            <w:rStyle w:val="Collegamentoipertestuale"/>
            <w:noProof/>
          </w:rPr>
          <w:t>3.1. Aziende e altri organismi pluripersonali nella determinazione documentale dell’imponibile</w:t>
        </w:r>
        <w:r>
          <w:rPr>
            <w:noProof/>
            <w:webHidden/>
          </w:rPr>
          <w:tab/>
        </w:r>
        <w:r>
          <w:rPr>
            <w:noProof/>
            <w:webHidden/>
          </w:rPr>
          <w:fldChar w:fldCharType="begin"/>
        </w:r>
        <w:r>
          <w:rPr>
            <w:noProof/>
            <w:webHidden/>
          </w:rPr>
          <w:instrText xml:space="preserve"> PAGEREF _Toc63364948 \h </w:instrText>
        </w:r>
        <w:r>
          <w:rPr>
            <w:noProof/>
            <w:webHidden/>
          </w:rPr>
        </w:r>
        <w:r>
          <w:rPr>
            <w:noProof/>
            <w:webHidden/>
          </w:rPr>
          <w:fldChar w:fldCharType="separate"/>
        </w:r>
        <w:r>
          <w:rPr>
            <w:noProof/>
            <w:webHidden/>
          </w:rPr>
          <w:t>78</w:t>
        </w:r>
        <w:r>
          <w:rPr>
            <w:noProof/>
            <w:webHidden/>
          </w:rPr>
          <w:fldChar w:fldCharType="end"/>
        </w:r>
      </w:hyperlink>
    </w:p>
    <w:p w14:paraId="61CDD146" w14:textId="00DBE1C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49" w:history="1">
        <w:r w:rsidRPr="00FD7211">
          <w:rPr>
            <w:rStyle w:val="Collegamentoipertestuale"/>
            <w:noProof/>
          </w:rPr>
          <w:t>3.2. Funzioni aziendali e determinazione documentale degli imponibili</w:t>
        </w:r>
        <w:r>
          <w:rPr>
            <w:noProof/>
            <w:webHidden/>
          </w:rPr>
          <w:tab/>
        </w:r>
        <w:r>
          <w:rPr>
            <w:noProof/>
            <w:webHidden/>
          </w:rPr>
          <w:fldChar w:fldCharType="begin"/>
        </w:r>
        <w:r>
          <w:rPr>
            <w:noProof/>
            <w:webHidden/>
          </w:rPr>
          <w:instrText xml:space="preserve"> PAGEREF _Toc63364949 \h </w:instrText>
        </w:r>
        <w:r>
          <w:rPr>
            <w:noProof/>
            <w:webHidden/>
          </w:rPr>
        </w:r>
        <w:r>
          <w:rPr>
            <w:noProof/>
            <w:webHidden/>
          </w:rPr>
          <w:fldChar w:fldCharType="separate"/>
        </w:r>
        <w:r>
          <w:rPr>
            <w:noProof/>
            <w:webHidden/>
          </w:rPr>
          <w:t>86</w:t>
        </w:r>
        <w:r>
          <w:rPr>
            <w:noProof/>
            <w:webHidden/>
          </w:rPr>
          <w:fldChar w:fldCharType="end"/>
        </w:r>
      </w:hyperlink>
    </w:p>
    <w:p w14:paraId="2FE24D09" w14:textId="06D5F37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0" w:history="1">
        <w:r w:rsidRPr="00FD7211">
          <w:rPr>
            <w:rStyle w:val="Collegamentoipertestuale"/>
            <w:noProof/>
          </w:rPr>
          <w:t>3.3. Riflessi tributari dell’informalità documentazione aziendale</w:t>
        </w:r>
        <w:r>
          <w:rPr>
            <w:noProof/>
            <w:webHidden/>
          </w:rPr>
          <w:tab/>
        </w:r>
        <w:r>
          <w:rPr>
            <w:noProof/>
            <w:webHidden/>
          </w:rPr>
          <w:fldChar w:fldCharType="begin"/>
        </w:r>
        <w:r>
          <w:rPr>
            <w:noProof/>
            <w:webHidden/>
          </w:rPr>
          <w:instrText xml:space="preserve"> PAGEREF _Toc63364950 \h </w:instrText>
        </w:r>
        <w:r>
          <w:rPr>
            <w:noProof/>
            <w:webHidden/>
          </w:rPr>
        </w:r>
        <w:r>
          <w:rPr>
            <w:noProof/>
            <w:webHidden/>
          </w:rPr>
          <w:fldChar w:fldCharType="separate"/>
        </w:r>
        <w:r>
          <w:rPr>
            <w:noProof/>
            <w:webHidden/>
          </w:rPr>
          <w:t>91</w:t>
        </w:r>
        <w:r>
          <w:rPr>
            <w:noProof/>
            <w:webHidden/>
          </w:rPr>
          <w:fldChar w:fldCharType="end"/>
        </w:r>
      </w:hyperlink>
    </w:p>
    <w:p w14:paraId="17B22D9C" w14:textId="7C579143"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1" w:history="1">
        <w:r w:rsidRPr="00FD7211">
          <w:rPr>
            <w:rStyle w:val="Collegamentoipertestuale"/>
            <w:noProof/>
          </w:rPr>
          <w:t>3.4. Dai documenti civilistici agli adempimenti tributari: versamenti e dichiarazioni</w:t>
        </w:r>
        <w:r>
          <w:rPr>
            <w:noProof/>
            <w:webHidden/>
          </w:rPr>
          <w:tab/>
        </w:r>
        <w:r>
          <w:rPr>
            <w:noProof/>
            <w:webHidden/>
          </w:rPr>
          <w:fldChar w:fldCharType="begin"/>
        </w:r>
        <w:r>
          <w:rPr>
            <w:noProof/>
            <w:webHidden/>
          </w:rPr>
          <w:instrText xml:space="preserve"> PAGEREF _Toc63364951 \h </w:instrText>
        </w:r>
        <w:r>
          <w:rPr>
            <w:noProof/>
            <w:webHidden/>
          </w:rPr>
        </w:r>
        <w:r>
          <w:rPr>
            <w:noProof/>
            <w:webHidden/>
          </w:rPr>
          <w:fldChar w:fldCharType="separate"/>
        </w:r>
        <w:r>
          <w:rPr>
            <w:noProof/>
            <w:webHidden/>
          </w:rPr>
          <w:t>94</w:t>
        </w:r>
        <w:r>
          <w:rPr>
            <w:noProof/>
            <w:webHidden/>
          </w:rPr>
          <w:fldChar w:fldCharType="end"/>
        </w:r>
      </w:hyperlink>
    </w:p>
    <w:p w14:paraId="298C7D42" w14:textId="384C5FA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2" w:history="1">
        <w:r w:rsidRPr="00FD7211">
          <w:rPr>
            <w:rStyle w:val="Collegamentoipertestuale"/>
            <w:noProof/>
          </w:rPr>
          <w:t>3.5. Determinazione attraverso le aziende di imponibili di terzi:“contribuenti di diritto” e “di fatto” tra rivalse, traslazioni e controversie private con oggetto tributario</w:t>
        </w:r>
        <w:r>
          <w:rPr>
            <w:noProof/>
            <w:webHidden/>
          </w:rPr>
          <w:tab/>
        </w:r>
        <w:r>
          <w:rPr>
            <w:noProof/>
            <w:webHidden/>
          </w:rPr>
          <w:fldChar w:fldCharType="begin"/>
        </w:r>
        <w:r>
          <w:rPr>
            <w:noProof/>
            <w:webHidden/>
          </w:rPr>
          <w:instrText xml:space="preserve"> PAGEREF _Toc63364952 \h </w:instrText>
        </w:r>
        <w:r>
          <w:rPr>
            <w:noProof/>
            <w:webHidden/>
          </w:rPr>
        </w:r>
        <w:r>
          <w:rPr>
            <w:noProof/>
            <w:webHidden/>
          </w:rPr>
          <w:fldChar w:fldCharType="separate"/>
        </w:r>
        <w:r>
          <w:rPr>
            <w:noProof/>
            <w:webHidden/>
          </w:rPr>
          <w:t>102</w:t>
        </w:r>
        <w:r>
          <w:rPr>
            <w:noProof/>
            <w:webHidden/>
          </w:rPr>
          <w:fldChar w:fldCharType="end"/>
        </w:r>
      </w:hyperlink>
    </w:p>
    <w:p w14:paraId="0DAE20AD" w14:textId="64CE988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3" w:history="1">
        <w:r w:rsidRPr="00FD7211">
          <w:rPr>
            <w:rStyle w:val="Collegamentoipertestuale"/>
            <w:noProof/>
          </w:rPr>
          <w:t>3.6. Segue. Sostituto d’imposta e ritenute alla fonte su redditi erogati a terzi: funzione esattiva e segnaletica</w:t>
        </w:r>
        <w:r>
          <w:rPr>
            <w:noProof/>
            <w:webHidden/>
          </w:rPr>
          <w:tab/>
        </w:r>
        <w:r>
          <w:rPr>
            <w:noProof/>
            <w:webHidden/>
          </w:rPr>
          <w:fldChar w:fldCharType="begin"/>
        </w:r>
        <w:r>
          <w:rPr>
            <w:noProof/>
            <w:webHidden/>
          </w:rPr>
          <w:instrText xml:space="preserve"> PAGEREF _Toc63364953 \h </w:instrText>
        </w:r>
        <w:r>
          <w:rPr>
            <w:noProof/>
            <w:webHidden/>
          </w:rPr>
        </w:r>
        <w:r>
          <w:rPr>
            <w:noProof/>
            <w:webHidden/>
          </w:rPr>
          <w:fldChar w:fldCharType="separate"/>
        </w:r>
        <w:r>
          <w:rPr>
            <w:noProof/>
            <w:webHidden/>
          </w:rPr>
          <w:t>105</w:t>
        </w:r>
        <w:r>
          <w:rPr>
            <w:noProof/>
            <w:webHidden/>
          </w:rPr>
          <w:fldChar w:fldCharType="end"/>
        </w:r>
      </w:hyperlink>
    </w:p>
    <w:p w14:paraId="6C283C33" w14:textId="05FCBFB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4" w:history="1">
        <w:r w:rsidRPr="00FD7211">
          <w:rPr>
            <w:rStyle w:val="Collegamentoipertestuale"/>
            <w:noProof/>
          </w:rPr>
          <w:t>3.7. imponibili non registrati dai titolari di organizzazioni aziendali (ipotesi sulla “grande evasione”)</w:t>
        </w:r>
        <w:r>
          <w:rPr>
            <w:noProof/>
            <w:webHidden/>
          </w:rPr>
          <w:tab/>
        </w:r>
        <w:r>
          <w:rPr>
            <w:noProof/>
            <w:webHidden/>
          </w:rPr>
          <w:fldChar w:fldCharType="begin"/>
        </w:r>
        <w:r>
          <w:rPr>
            <w:noProof/>
            <w:webHidden/>
          </w:rPr>
          <w:instrText xml:space="preserve"> PAGEREF _Toc63364954 \h </w:instrText>
        </w:r>
        <w:r>
          <w:rPr>
            <w:noProof/>
            <w:webHidden/>
          </w:rPr>
        </w:r>
        <w:r>
          <w:rPr>
            <w:noProof/>
            <w:webHidden/>
          </w:rPr>
          <w:fldChar w:fldCharType="separate"/>
        </w:r>
        <w:r>
          <w:rPr>
            <w:noProof/>
            <w:webHidden/>
          </w:rPr>
          <w:t>112</w:t>
        </w:r>
        <w:r>
          <w:rPr>
            <w:noProof/>
            <w:webHidden/>
          </w:rPr>
          <w:fldChar w:fldCharType="end"/>
        </w:r>
      </w:hyperlink>
    </w:p>
    <w:p w14:paraId="5E9A68F0" w14:textId="7C9AF59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5" w:history="1">
        <w:r w:rsidRPr="00FD7211">
          <w:rPr>
            <w:rStyle w:val="Collegamentoipertestuale"/>
            <w:noProof/>
          </w:rPr>
          <w:t>3.8. I casi di “Evasione aziendale” come “concorrenza sleale”</w:t>
        </w:r>
        <w:r>
          <w:rPr>
            <w:noProof/>
            <w:webHidden/>
          </w:rPr>
          <w:tab/>
        </w:r>
        <w:r>
          <w:rPr>
            <w:noProof/>
            <w:webHidden/>
          </w:rPr>
          <w:fldChar w:fldCharType="begin"/>
        </w:r>
        <w:r>
          <w:rPr>
            <w:noProof/>
            <w:webHidden/>
          </w:rPr>
          <w:instrText xml:space="preserve"> PAGEREF _Toc63364955 \h </w:instrText>
        </w:r>
        <w:r>
          <w:rPr>
            <w:noProof/>
            <w:webHidden/>
          </w:rPr>
        </w:r>
        <w:r>
          <w:rPr>
            <w:noProof/>
            <w:webHidden/>
          </w:rPr>
          <w:fldChar w:fldCharType="separate"/>
        </w:r>
        <w:r>
          <w:rPr>
            <w:noProof/>
            <w:webHidden/>
          </w:rPr>
          <w:t>118</w:t>
        </w:r>
        <w:r>
          <w:rPr>
            <w:noProof/>
            <w:webHidden/>
          </w:rPr>
          <w:fldChar w:fldCharType="end"/>
        </w:r>
      </w:hyperlink>
    </w:p>
    <w:p w14:paraId="64B89521" w14:textId="69868B95"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6" w:history="1">
        <w:r w:rsidRPr="00FD7211">
          <w:rPr>
            <w:rStyle w:val="Collegamentoipertestuale"/>
            <w:noProof/>
          </w:rPr>
          <w:t>3.9. L’interpretazione come qualificazione giuridica della ricchezza nella cornice di concetti economici</w:t>
        </w:r>
        <w:r>
          <w:rPr>
            <w:noProof/>
            <w:webHidden/>
          </w:rPr>
          <w:tab/>
        </w:r>
        <w:r>
          <w:rPr>
            <w:noProof/>
            <w:webHidden/>
          </w:rPr>
          <w:fldChar w:fldCharType="begin"/>
        </w:r>
        <w:r>
          <w:rPr>
            <w:noProof/>
            <w:webHidden/>
          </w:rPr>
          <w:instrText xml:space="preserve"> PAGEREF _Toc63364956 \h </w:instrText>
        </w:r>
        <w:r>
          <w:rPr>
            <w:noProof/>
            <w:webHidden/>
          </w:rPr>
        </w:r>
        <w:r>
          <w:rPr>
            <w:noProof/>
            <w:webHidden/>
          </w:rPr>
          <w:fldChar w:fldCharType="separate"/>
        </w:r>
        <w:r>
          <w:rPr>
            <w:noProof/>
            <w:webHidden/>
          </w:rPr>
          <w:t>120</w:t>
        </w:r>
        <w:r>
          <w:rPr>
            <w:noProof/>
            <w:webHidden/>
          </w:rPr>
          <w:fldChar w:fldCharType="end"/>
        </w:r>
      </w:hyperlink>
    </w:p>
    <w:p w14:paraId="183DF9F1" w14:textId="2C59EC7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7" w:history="1">
        <w:r w:rsidRPr="00FD7211">
          <w:rPr>
            <w:rStyle w:val="Collegamentoipertestuale"/>
            <w:noProof/>
          </w:rPr>
          <w:t>3.10. Segue: inquadramento giuridico in funzione della convenienza tributaria, “evasione interpretativa ed elusione” come comportamenti aziendali e “diversivi istituzionali” (rinvio)</w:t>
        </w:r>
        <w:r>
          <w:rPr>
            <w:noProof/>
            <w:webHidden/>
          </w:rPr>
          <w:tab/>
        </w:r>
        <w:r>
          <w:rPr>
            <w:noProof/>
            <w:webHidden/>
          </w:rPr>
          <w:fldChar w:fldCharType="begin"/>
        </w:r>
        <w:r>
          <w:rPr>
            <w:noProof/>
            <w:webHidden/>
          </w:rPr>
          <w:instrText xml:space="preserve"> PAGEREF _Toc63364957 \h </w:instrText>
        </w:r>
        <w:r>
          <w:rPr>
            <w:noProof/>
            <w:webHidden/>
          </w:rPr>
        </w:r>
        <w:r>
          <w:rPr>
            <w:noProof/>
            <w:webHidden/>
          </w:rPr>
          <w:fldChar w:fldCharType="separate"/>
        </w:r>
        <w:r>
          <w:rPr>
            <w:noProof/>
            <w:webHidden/>
          </w:rPr>
          <w:t>127</w:t>
        </w:r>
        <w:r>
          <w:rPr>
            <w:noProof/>
            <w:webHidden/>
          </w:rPr>
          <w:fldChar w:fldCharType="end"/>
        </w:r>
      </w:hyperlink>
    </w:p>
    <w:p w14:paraId="1CAA5C0F" w14:textId="1685FAC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8" w:history="1">
        <w:r w:rsidRPr="00FD7211">
          <w:rPr>
            <w:rStyle w:val="Collegamentoipertestuale"/>
            <w:noProof/>
          </w:rPr>
          <w:t>3.11. Le varie forme di evasione fiscale nella filiera di produzione-distribuzione della ricchezza</w:t>
        </w:r>
        <w:r>
          <w:rPr>
            <w:noProof/>
            <w:webHidden/>
          </w:rPr>
          <w:tab/>
        </w:r>
        <w:r>
          <w:rPr>
            <w:noProof/>
            <w:webHidden/>
          </w:rPr>
          <w:fldChar w:fldCharType="begin"/>
        </w:r>
        <w:r>
          <w:rPr>
            <w:noProof/>
            <w:webHidden/>
          </w:rPr>
          <w:instrText xml:space="preserve"> PAGEREF _Toc63364958 \h </w:instrText>
        </w:r>
        <w:r>
          <w:rPr>
            <w:noProof/>
            <w:webHidden/>
          </w:rPr>
        </w:r>
        <w:r>
          <w:rPr>
            <w:noProof/>
            <w:webHidden/>
          </w:rPr>
          <w:fldChar w:fldCharType="separate"/>
        </w:r>
        <w:r>
          <w:rPr>
            <w:noProof/>
            <w:webHidden/>
          </w:rPr>
          <w:t>133</w:t>
        </w:r>
        <w:r>
          <w:rPr>
            <w:noProof/>
            <w:webHidden/>
          </w:rPr>
          <w:fldChar w:fldCharType="end"/>
        </w:r>
      </w:hyperlink>
    </w:p>
    <w:p w14:paraId="4E9A6631" w14:textId="3EAF8CA5"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59" w:history="1">
        <w:r w:rsidRPr="00FD7211">
          <w:rPr>
            <w:rStyle w:val="Collegamentoipertestuale"/>
            <w:noProof/>
          </w:rPr>
          <w:t>3.12. Riepilogo: Adempimento, evasione e simmetrie della determinazione documentale degli imponibili</w:t>
        </w:r>
        <w:r>
          <w:rPr>
            <w:noProof/>
            <w:webHidden/>
          </w:rPr>
          <w:tab/>
        </w:r>
        <w:r>
          <w:rPr>
            <w:noProof/>
            <w:webHidden/>
          </w:rPr>
          <w:fldChar w:fldCharType="begin"/>
        </w:r>
        <w:r>
          <w:rPr>
            <w:noProof/>
            <w:webHidden/>
          </w:rPr>
          <w:instrText xml:space="preserve"> PAGEREF _Toc63364959 \h </w:instrText>
        </w:r>
        <w:r>
          <w:rPr>
            <w:noProof/>
            <w:webHidden/>
          </w:rPr>
        </w:r>
        <w:r>
          <w:rPr>
            <w:noProof/>
            <w:webHidden/>
          </w:rPr>
          <w:fldChar w:fldCharType="separate"/>
        </w:r>
        <w:r>
          <w:rPr>
            <w:noProof/>
            <w:webHidden/>
          </w:rPr>
          <w:t>136</w:t>
        </w:r>
        <w:r>
          <w:rPr>
            <w:noProof/>
            <w:webHidden/>
          </w:rPr>
          <w:fldChar w:fldCharType="end"/>
        </w:r>
      </w:hyperlink>
    </w:p>
    <w:p w14:paraId="144F4F3A" w14:textId="56A951B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0" w:history="1">
        <w:r w:rsidRPr="00FD7211">
          <w:rPr>
            <w:rStyle w:val="Collegamentoipertestuale"/>
            <w:noProof/>
          </w:rPr>
          <w:t>3.13. Piccolo commercio, artigianato e loro inutile “ragionierizzazione”: il diversivo della “contabilità fiscale”</w:t>
        </w:r>
        <w:r>
          <w:rPr>
            <w:noProof/>
            <w:webHidden/>
          </w:rPr>
          <w:tab/>
        </w:r>
        <w:r>
          <w:rPr>
            <w:noProof/>
            <w:webHidden/>
          </w:rPr>
          <w:fldChar w:fldCharType="begin"/>
        </w:r>
        <w:r>
          <w:rPr>
            <w:noProof/>
            <w:webHidden/>
          </w:rPr>
          <w:instrText xml:space="preserve"> PAGEREF _Toc63364960 \h </w:instrText>
        </w:r>
        <w:r>
          <w:rPr>
            <w:noProof/>
            <w:webHidden/>
          </w:rPr>
        </w:r>
        <w:r>
          <w:rPr>
            <w:noProof/>
            <w:webHidden/>
          </w:rPr>
          <w:fldChar w:fldCharType="separate"/>
        </w:r>
        <w:r>
          <w:rPr>
            <w:noProof/>
            <w:webHidden/>
          </w:rPr>
          <w:t>140</w:t>
        </w:r>
        <w:r>
          <w:rPr>
            <w:noProof/>
            <w:webHidden/>
          </w:rPr>
          <w:fldChar w:fldCharType="end"/>
        </w:r>
      </w:hyperlink>
    </w:p>
    <w:p w14:paraId="419F2D5A" w14:textId="64D4E48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1" w:history="1">
        <w:r w:rsidRPr="00FD7211">
          <w:rPr>
            <w:rStyle w:val="Collegamentoipertestuale"/>
            <w:noProof/>
          </w:rPr>
          <w:t>3.14. Segue. Sopravvalutazione della funzione tributaria e adempimento relativamente alto di piccoli commercianti e artigiani in sede fissa</w:t>
        </w:r>
        <w:r>
          <w:rPr>
            <w:noProof/>
            <w:webHidden/>
          </w:rPr>
          <w:tab/>
        </w:r>
        <w:r>
          <w:rPr>
            <w:noProof/>
            <w:webHidden/>
          </w:rPr>
          <w:fldChar w:fldCharType="begin"/>
        </w:r>
        <w:r>
          <w:rPr>
            <w:noProof/>
            <w:webHidden/>
          </w:rPr>
          <w:instrText xml:space="preserve"> PAGEREF _Toc63364961 \h </w:instrText>
        </w:r>
        <w:r>
          <w:rPr>
            <w:noProof/>
            <w:webHidden/>
          </w:rPr>
        </w:r>
        <w:r>
          <w:rPr>
            <w:noProof/>
            <w:webHidden/>
          </w:rPr>
          <w:fldChar w:fldCharType="separate"/>
        </w:r>
        <w:r>
          <w:rPr>
            <w:noProof/>
            <w:webHidden/>
          </w:rPr>
          <w:t>143</w:t>
        </w:r>
        <w:r>
          <w:rPr>
            <w:noProof/>
            <w:webHidden/>
          </w:rPr>
          <w:fldChar w:fldCharType="end"/>
        </w:r>
      </w:hyperlink>
    </w:p>
    <w:p w14:paraId="129BA1E7" w14:textId="45F7A6D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2" w:history="1">
        <w:r w:rsidRPr="00FD7211">
          <w:rPr>
            <w:rStyle w:val="Collegamentoipertestuale"/>
            <w:noProof/>
          </w:rPr>
          <w:t>3.15. Diminuzione dell’adempimento quanto manca la sede fissa, anche in relazione al c.d. “lavoro liquido”</w:t>
        </w:r>
        <w:r>
          <w:rPr>
            <w:noProof/>
            <w:webHidden/>
          </w:rPr>
          <w:tab/>
        </w:r>
        <w:r>
          <w:rPr>
            <w:noProof/>
            <w:webHidden/>
          </w:rPr>
          <w:fldChar w:fldCharType="begin"/>
        </w:r>
        <w:r>
          <w:rPr>
            <w:noProof/>
            <w:webHidden/>
          </w:rPr>
          <w:instrText xml:space="preserve"> PAGEREF _Toc63364962 \h </w:instrText>
        </w:r>
        <w:r>
          <w:rPr>
            <w:noProof/>
            <w:webHidden/>
          </w:rPr>
        </w:r>
        <w:r>
          <w:rPr>
            <w:noProof/>
            <w:webHidden/>
          </w:rPr>
          <w:fldChar w:fldCharType="separate"/>
        </w:r>
        <w:r>
          <w:rPr>
            <w:noProof/>
            <w:webHidden/>
          </w:rPr>
          <w:t>145</w:t>
        </w:r>
        <w:r>
          <w:rPr>
            <w:noProof/>
            <w:webHidden/>
          </w:rPr>
          <w:fldChar w:fldCharType="end"/>
        </w:r>
      </w:hyperlink>
    </w:p>
    <w:p w14:paraId="779EC3FA" w14:textId="104F695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3" w:history="1">
        <w:r w:rsidRPr="00FD7211">
          <w:rPr>
            <w:rStyle w:val="Collegamentoipertestuale"/>
            <w:noProof/>
          </w:rPr>
          <w:t>3.16. Gli incaricati privati dell’adempimento tributario e la tassazione “attraverso i professionisti”.</w:t>
        </w:r>
        <w:r>
          <w:rPr>
            <w:noProof/>
            <w:webHidden/>
          </w:rPr>
          <w:tab/>
        </w:r>
        <w:r>
          <w:rPr>
            <w:noProof/>
            <w:webHidden/>
          </w:rPr>
          <w:fldChar w:fldCharType="begin"/>
        </w:r>
        <w:r>
          <w:rPr>
            <w:noProof/>
            <w:webHidden/>
          </w:rPr>
          <w:instrText xml:space="preserve"> PAGEREF _Toc63364963 \h </w:instrText>
        </w:r>
        <w:r>
          <w:rPr>
            <w:noProof/>
            <w:webHidden/>
          </w:rPr>
        </w:r>
        <w:r>
          <w:rPr>
            <w:noProof/>
            <w:webHidden/>
          </w:rPr>
          <w:fldChar w:fldCharType="separate"/>
        </w:r>
        <w:r>
          <w:rPr>
            <w:noProof/>
            <w:webHidden/>
          </w:rPr>
          <w:t>147</w:t>
        </w:r>
        <w:r>
          <w:rPr>
            <w:noProof/>
            <w:webHidden/>
          </w:rPr>
          <w:fldChar w:fldCharType="end"/>
        </w:r>
      </w:hyperlink>
    </w:p>
    <w:p w14:paraId="20D13C57" w14:textId="2C2CD3A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4" w:history="1">
        <w:r w:rsidRPr="00FD7211">
          <w:rPr>
            <w:rStyle w:val="Collegamentoipertestuale"/>
            <w:noProof/>
          </w:rPr>
          <w:t>CAPITOLO 4   PERCEZIONI E SPIEGAZIONI SCIENTIFICO SOCIALI DELLA PUBBLICA OPINIONE SULLA FUNZIONE TRIBUTARIA</w:t>
        </w:r>
        <w:r>
          <w:rPr>
            <w:noProof/>
            <w:webHidden/>
          </w:rPr>
          <w:tab/>
        </w:r>
        <w:r>
          <w:rPr>
            <w:noProof/>
            <w:webHidden/>
          </w:rPr>
          <w:fldChar w:fldCharType="begin"/>
        </w:r>
        <w:r>
          <w:rPr>
            <w:noProof/>
            <w:webHidden/>
          </w:rPr>
          <w:instrText xml:space="preserve"> PAGEREF _Toc63364964 \h </w:instrText>
        </w:r>
        <w:r>
          <w:rPr>
            <w:noProof/>
            <w:webHidden/>
          </w:rPr>
        </w:r>
        <w:r>
          <w:rPr>
            <w:noProof/>
            <w:webHidden/>
          </w:rPr>
          <w:fldChar w:fldCharType="separate"/>
        </w:r>
        <w:r>
          <w:rPr>
            <w:noProof/>
            <w:webHidden/>
          </w:rPr>
          <w:t>151</w:t>
        </w:r>
        <w:r>
          <w:rPr>
            <w:noProof/>
            <w:webHidden/>
          </w:rPr>
          <w:fldChar w:fldCharType="end"/>
        </w:r>
      </w:hyperlink>
    </w:p>
    <w:p w14:paraId="1604AC73" w14:textId="24DC7EC5"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5" w:history="1">
        <w:r w:rsidRPr="00FD7211">
          <w:rPr>
            <w:rStyle w:val="Collegamentoipertestuale"/>
            <w:noProof/>
          </w:rPr>
          <w:t>4.1 L’opinione pubblica come riferimento della funzione tributaria e il suo disorientamento</w:t>
        </w:r>
        <w:r>
          <w:rPr>
            <w:noProof/>
            <w:webHidden/>
          </w:rPr>
          <w:tab/>
        </w:r>
        <w:r>
          <w:rPr>
            <w:noProof/>
            <w:webHidden/>
          </w:rPr>
          <w:fldChar w:fldCharType="begin"/>
        </w:r>
        <w:r>
          <w:rPr>
            <w:noProof/>
            <w:webHidden/>
          </w:rPr>
          <w:instrText xml:space="preserve"> PAGEREF _Toc63364965 \h </w:instrText>
        </w:r>
        <w:r>
          <w:rPr>
            <w:noProof/>
            <w:webHidden/>
          </w:rPr>
        </w:r>
        <w:r>
          <w:rPr>
            <w:noProof/>
            <w:webHidden/>
          </w:rPr>
          <w:fldChar w:fldCharType="separate"/>
        </w:r>
        <w:r>
          <w:rPr>
            <w:noProof/>
            <w:webHidden/>
          </w:rPr>
          <w:t>152</w:t>
        </w:r>
        <w:r>
          <w:rPr>
            <w:noProof/>
            <w:webHidden/>
          </w:rPr>
          <w:fldChar w:fldCharType="end"/>
        </w:r>
      </w:hyperlink>
    </w:p>
    <w:p w14:paraId="4C587F42" w14:textId="7FB9218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6" w:history="1">
        <w:r w:rsidRPr="00FD7211">
          <w:rPr>
            <w:rStyle w:val="Collegamentoipertestuale"/>
            <w:noProof/>
          </w:rPr>
          <w:t>4.2 Le reazioni sugli effetti economici delle imposte e la “pressione fiscale”</w:t>
        </w:r>
        <w:r>
          <w:rPr>
            <w:noProof/>
            <w:webHidden/>
          </w:rPr>
          <w:tab/>
        </w:r>
        <w:r>
          <w:rPr>
            <w:noProof/>
            <w:webHidden/>
          </w:rPr>
          <w:fldChar w:fldCharType="begin"/>
        </w:r>
        <w:r>
          <w:rPr>
            <w:noProof/>
            <w:webHidden/>
          </w:rPr>
          <w:instrText xml:space="preserve"> PAGEREF _Toc63364966 \h </w:instrText>
        </w:r>
        <w:r>
          <w:rPr>
            <w:noProof/>
            <w:webHidden/>
          </w:rPr>
        </w:r>
        <w:r>
          <w:rPr>
            <w:noProof/>
            <w:webHidden/>
          </w:rPr>
          <w:fldChar w:fldCharType="separate"/>
        </w:r>
        <w:r>
          <w:rPr>
            <w:noProof/>
            <w:webHidden/>
          </w:rPr>
          <w:t>155</w:t>
        </w:r>
        <w:r>
          <w:rPr>
            <w:noProof/>
            <w:webHidden/>
          </w:rPr>
          <w:fldChar w:fldCharType="end"/>
        </w:r>
      </w:hyperlink>
    </w:p>
    <w:p w14:paraId="7A16EBC0" w14:textId="33E3693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7" w:history="1">
        <w:r w:rsidRPr="00FD7211">
          <w:rPr>
            <w:rStyle w:val="Collegamentoipertestuale"/>
            <w:noProof/>
          </w:rPr>
          <w:t>4.3. Mancate spiegazioni sociali della funzione tributaria da parte di un’accademia a matrice privatistico-giurisdizionale</w:t>
        </w:r>
        <w:r>
          <w:rPr>
            <w:noProof/>
            <w:webHidden/>
          </w:rPr>
          <w:tab/>
        </w:r>
        <w:r>
          <w:rPr>
            <w:noProof/>
            <w:webHidden/>
          </w:rPr>
          <w:fldChar w:fldCharType="begin"/>
        </w:r>
        <w:r>
          <w:rPr>
            <w:noProof/>
            <w:webHidden/>
          </w:rPr>
          <w:instrText xml:space="preserve"> PAGEREF _Toc63364967 \h </w:instrText>
        </w:r>
        <w:r>
          <w:rPr>
            <w:noProof/>
            <w:webHidden/>
          </w:rPr>
        </w:r>
        <w:r>
          <w:rPr>
            <w:noProof/>
            <w:webHidden/>
          </w:rPr>
          <w:fldChar w:fldCharType="separate"/>
        </w:r>
        <w:r>
          <w:rPr>
            <w:noProof/>
            <w:webHidden/>
          </w:rPr>
          <w:t>158</w:t>
        </w:r>
        <w:r>
          <w:rPr>
            <w:noProof/>
            <w:webHidden/>
          </w:rPr>
          <w:fldChar w:fldCharType="end"/>
        </w:r>
      </w:hyperlink>
    </w:p>
    <w:p w14:paraId="5C5F30B7" w14:textId="66C4E53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8" w:history="1">
        <w:r w:rsidRPr="00FD7211">
          <w:rPr>
            <w:rStyle w:val="Collegamentoipertestuale"/>
            <w:noProof/>
          </w:rPr>
          <w:t>4.4. Segue: Inadeguatezza delle spiegazioni economiche, professionali, istituzionali, aziendali e mediatiche.</w:t>
        </w:r>
        <w:r>
          <w:rPr>
            <w:noProof/>
            <w:webHidden/>
          </w:rPr>
          <w:tab/>
        </w:r>
        <w:r>
          <w:rPr>
            <w:noProof/>
            <w:webHidden/>
          </w:rPr>
          <w:fldChar w:fldCharType="begin"/>
        </w:r>
        <w:r>
          <w:rPr>
            <w:noProof/>
            <w:webHidden/>
          </w:rPr>
          <w:instrText xml:space="preserve"> PAGEREF _Toc63364968 \h </w:instrText>
        </w:r>
        <w:r>
          <w:rPr>
            <w:noProof/>
            <w:webHidden/>
          </w:rPr>
        </w:r>
        <w:r>
          <w:rPr>
            <w:noProof/>
            <w:webHidden/>
          </w:rPr>
          <w:fldChar w:fldCharType="separate"/>
        </w:r>
        <w:r>
          <w:rPr>
            <w:noProof/>
            <w:webHidden/>
          </w:rPr>
          <w:t>163</w:t>
        </w:r>
        <w:r>
          <w:rPr>
            <w:noProof/>
            <w:webHidden/>
          </w:rPr>
          <w:fldChar w:fldCharType="end"/>
        </w:r>
      </w:hyperlink>
    </w:p>
    <w:p w14:paraId="4ADCC202" w14:textId="33584E7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69" w:history="1">
        <w:r w:rsidRPr="00FD7211">
          <w:rPr>
            <w:rStyle w:val="Collegamentoipertestuale"/>
            <w:noProof/>
          </w:rPr>
          <w:t>4.5. Spontaneismo della pubblica opinione tra “eccessività delle aliquote”, “senso civico”, “generalizzazione della contabilità”, “catastizzazione”.</w:t>
        </w:r>
        <w:r>
          <w:rPr>
            <w:noProof/>
            <w:webHidden/>
          </w:rPr>
          <w:tab/>
        </w:r>
        <w:r>
          <w:rPr>
            <w:noProof/>
            <w:webHidden/>
          </w:rPr>
          <w:fldChar w:fldCharType="begin"/>
        </w:r>
        <w:r>
          <w:rPr>
            <w:noProof/>
            <w:webHidden/>
          </w:rPr>
          <w:instrText xml:space="preserve"> PAGEREF _Toc63364969 \h </w:instrText>
        </w:r>
        <w:r>
          <w:rPr>
            <w:noProof/>
            <w:webHidden/>
          </w:rPr>
        </w:r>
        <w:r>
          <w:rPr>
            <w:noProof/>
            <w:webHidden/>
          </w:rPr>
          <w:fldChar w:fldCharType="separate"/>
        </w:r>
        <w:r>
          <w:rPr>
            <w:noProof/>
            <w:webHidden/>
          </w:rPr>
          <w:t>168</w:t>
        </w:r>
        <w:r>
          <w:rPr>
            <w:noProof/>
            <w:webHidden/>
          </w:rPr>
          <w:fldChar w:fldCharType="end"/>
        </w:r>
      </w:hyperlink>
    </w:p>
    <w:p w14:paraId="120BA54A" w14:textId="0FB9D81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0" w:history="1">
        <w:r w:rsidRPr="00FD7211">
          <w:rPr>
            <w:rStyle w:val="Collegamentoipertestuale"/>
            <w:noProof/>
          </w:rPr>
          <w:t>4.6. Strumentalizzazioni politico-mediatiche della confusione sulla funzione tributaria</w:t>
        </w:r>
        <w:r>
          <w:rPr>
            <w:noProof/>
            <w:webHidden/>
          </w:rPr>
          <w:tab/>
        </w:r>
        <w:r>
          <w:rPr>
            <w:noProof/>
            <w:webHidden/>
          </w:rPr>
          <w:fldChar w:fldCharType="begin"/>
        </w:r>
        <w:r>
          <w:rPr>
            <w:noProof/>
            <w:webHidden/>
          </w:rPr>
          <w:instrText xml:space="preserve"> PAGEREF _Toc63364970 \h </w:instrText>
        </w:r>
        <w:r>
          <w:rPr>
            <w:noProof/>
            <w:webHidden/>
          </w:rPr>
        </w:r>
        <w:r>
          <w:rPr>
            <w:noProof/>
            <w:webHidden/>
          </w:rPr>
          <w:fldChar w:fldCharType="separate"/>
        </w:r>
        <w:r>
          <w:rPr>
            <w:noProof/>
            <w:webHidden/>
          </w:rPr>
          <w:t>174</w:t>
        </w:r>
        <w:r>
          <w:rPr>
            <w:noProof/>
            <w:webHidden/>
          </w:rPr>
          <w:fldChar w:fldCharType="end"/>
        </w:r>
      </w:hyperlink>
    </w:p>
    <w:p w14:paraId="63D0C433" w14:textId="7887ED1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1" w:history="1">
        <w:r w:rsidRPr="00FD7211">
          <w:rPr>
            <w:rStyle w:val="Collegamentoipertestuale"/>
            <w:noProof/>
          </w:rPr>
          <w:t>4.7. Diritto come studio sociale e funzione tributaria</w:t>
        </w:r>
        <w:r>
          <w:rPr>
            <w:noProof/>
            <w:webHidden/>
          </w:rPr>
          <w:tab/>
        </w:r>
        <w:r>
          <w:rPr>
            <w:noProof/>
            <w:webHidden/>
          </w:rPr>
          <w:fldChar w:fldCharType="begin"/>
        </w:r>
        <w:r>
          <w:rPr>
            <w:noProof/>
            <w:webHidden/>
          </w:rPr>
          <w:instrText xml:space="preserve"> PAGEREF _Toc63364971 \h </w:instrText>
        </w:r>
        <w:r>
          <w:rPr>
            <w:noProof/>
            <w:webHidden/>
          </w:rPr>
        </w:r>
        <w:r>
          <w:rPr>
            <w:noProof/>
            <w:webHidden/>
          </w:rPr>
          <w:fldChar w:fldCharType="separate"/>
        </w:r>
        <w:r>
          <w:rPr>
            <w:noProof/>
            <w:webHidden/>
          </w:rPr>
          <w:t>178</w:t>
        </w:r>
        <w:r>
          <w:rPr>
            <w:noProof/>
            <w:webHidden/>
          </w:rPr>
          <w:fldChar w:fldCharType="end"/>
        </w:r>
      </w:hyperlink>
    </w:p>
    <w:p w14:paraId="5B03BAD5" w14:textId="4606A09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2" w:history="1">
        <w:r w:rsidRPr="00FD7211">
          <w:rPr>
            <w:rStyle w:val="Collegamentoipertestuale"/>
            <w:noProof/>
          </w:rPr>
          <w:t>CAPITOLO 5  I PUBBLICI UFFICI INCARICATI DELLA FUNZIONE TRIBUTARIA</w:t>
        </w:r>
        <w:r>
          <w:rPr>
            <w:noProof/>
            <w:webHidden/>
          </w:rPr>
          <w:tab/>
        </w:r>
        <w:r>
          <w:rPr>
            <w:noProof/>
            <w:webHidden/>
          </w:rPr>
          <w:fldChar w:fldCharType="begin"/>
        </w:r>
        <w:r>
          <w:rPr>
            <w:noProof/>
            <w:webHidden/>
          </w:rPr>
          <w:instrText xml:space="preserve"> PAGEREF _Toc63364972 \h </w:instrText>
        </w:r>
        <w:r>
          <w:rPr>
            <w:noProof/>
            <w:webHidden/>
          </w:rPr>
        </w:r>
        <w:r>
          <w:rPr>
            <w:noProof/>
            <w:webHidden/>
          </w:rPr>
          <w:fldChar w:fldCharType="separate"/>
        </w:r>
        <w:r>
          <w:rPr>
            <w:noProof/>
            <w:webHidden/>
          </w:rPr>
          <w:t>184</w:t>
        </w:r>
        <w:r>
          <w:rPr>
            <w:noProof/>
            <w:webHidden/>
          </w:rPr>
          <w:fldChar w:fldCharType="end"/>
        </w:r>
      </w:hyperlink>
    </w:p>
    <w:p w14:paraId="39236335" w14:textId="7B63D7A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3" w:history="1">
        <w:r w:rsidRPr="00FD7211">
          <w:rPr>
            <w:rStyle w:val="Collegamentoipertestuale"/>
            <w:noProof/>
          </w:rPr>
          <w:t>5.1. Ruolo del pubblico potere nelle diverse entrate pubbliche (tariffe, tasse in senso stretto, monopoli, contributi, imposte etc...)</w:t>
        </w:r>
        <w:r>
          <w:rPr>
            <w:noProof/>
            <w:webHidden/>
          </w:rPr>
          <w:tab/>
        </w:r>
        <w:r>
          <w:rPr>
            <w:noProof/>
            <w:webHidden/>
          </w:rPr>
          <w:fldChar w:fldCharType="begin"/>
        </w:r>
        <w:r>
          <w:rPr>
            <w:noProof/>
            <w:webHidden/>
          </w:rPr>
          <w:instrText xml:space="preserve"> PAGEREF _Toc63364973 \h </w:instrText>
        </w:r>
        <w:r>
          <w:rPr>
            <w:noProof/>
            <w:webHidden/>
          </w:rPr>
        </w:r>
        <w:r>
          <w:rPr>
            <w:noProof/>
            <w:webHidden/>
          </w:rPr>
          <w:fldChar w:fldCharType="separate"/>
        </w:r>
        <w:r>
          <w:rPr>
            <w:noProof/>
            <w:webHidden/>
          </w:rPr>
          <w:t>185</w:t>
        </w:r>
        <w:r>
          <w:rPr>
            <w:noProof/>
            <w:webHidden/>
          </w:rPr>
          <w:fldChar w:fldCharType="end"/>
        </w:r>
      </w:hyperlink>
    </w:p>
    <w:p w14:paraId="1DA1BC53" w14:textId="27F05DAE"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4" w:history="1">
        <w:r w:rsidRPr="00FD7211">
          <w:rPr>
            <w:rStyle w:val="Collegamentoipertestuale"/>
            <w:noProof/>
          </w:rPr>
          <w:t>5.2. Geografia del potere impositivo: Agenzia delle Entrate – Guardia di Finanza – esattori – uffici comunali, etc.</w:t>
        </w:r>
        <w:r>
          <w:rPr>
            <w:noProof/>
            <w:webHidden/>
          </w:rPr>
          <w:tab/>
        </w:r>
        <w:r>
          <w:rPr>
            <w:noProof/>
            <w:webHidden/>
          </w:rPr>
          <w:fldChar w:fldCharType="begin"/>
        </w:r>
        <w:r>
          <w:rPr>
            <w:noProof/>
            <w:webHidden/>
          </w:rPr>
          <w:instrText xml:space="preserve"> PAGEREF _Toc63364974 \h </w:instrText>
        </w:r>
        <w:r>
          <w:rPr>
            <w:noProof/>
            <w:webHidden/>
          </w:rPr>
        </w:r>
        <w:r>
          <w:rPr>
            <w:noProof/>
            <w:webHidden/>
          </w:rPr>
          <w:fldChar w:fldCharType="separate"/>
        </w:r>
        <w:r>
          <w:rPr>
            <w:noProof/>
            <w:webHidden/>
          </w:rPr>
          <w:t>188</w:t>
        </w:r>
        <w:r>
          <w:rPr>
            <w:noProof/>
            <w:webHidden/>
          </w:rPr>
          <w:fldChar w:fldCharType="end"/>
        </w:r>
      </w:hyperlink>
    </w:p>
    <w:p w14:paraId="60C28E59" w14:textId="64CC05F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5" w:history="1">
        <w:r w:rsidRPr="00FD7211">
          <w:rPr>
            <w:rStyle w:val="Collegamentoipertestuale"/>
            <w:noProof/>
          </w:rPr>
          <w:t>5.3. Modelli organizzativi dei pubblici uffici e funzione tributaria</w:t>
        </w:r>
        <w:r>
          <w:rPr>
            <w:noProof/>
            <w:webHidden/>
          </w:rPr>
          <w:tab/>
        </w:r>
        <w:r>
          <w:rPr>
            <w:noProof/>
            <w:webHidden/>
          </w:rPr>
          <w:fldChar w:fldCharType="begin"/>
        </w:r>
        <w:r>
          <w:rPr>
            <w:noProof/>
            <w:webHidden/>
          </w:rPr>
          <w:instrText xml:space="preserve"> PAGEREF _Toc63364975 \h </w:instrText>
        </w:r>
        <w:r>
          <w:rPr>
            <w:noProof/>
            <w:webHidden/>
          </w:rPr>
        </w:r>
        <w:r>
          <w:rPr>
            <w:noProof/>
            <w:webHidden/>
          </w:rPr>
          <w:fldChar w:fldCharType="separate"/>
        </w:r>
        <w:r>
          <w:rPr>
            <w:noProof/>
            <w:webHidden/>
          </w:rPr>
          <w:t>195</w:t>
        </w:r>
        <w:r>
          <w:rPr>
            <w:noProof/>
            <w:webHidden/>
          </w:rPr>
          <w:fldChar w:fldCharType="end"/>
        </w:r>
      </w:hyperlink>
    </w:p>
    <w:p w14:paraId="22DBD023" w14:textId="01CC049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6" w:history="1">
        <w:r w:rsidRPr="00FD7211">
          <w:rPr>
            <w:rStyle w:val="Collegamentoipertestuale"/>
            <w:noProof/>
          </w:rPr>
          <w:t>5.4. Supporto degli uffici  all’autodeterminazione (amministrazione di servizio) e valore delle loro interpretazioni</w:t>
        </w:r>
        <w:r>
          <w:rPr>
            <w:noProof/>
            <w:webHidden/>
          </w:rPr>
          <w:tab/>
        </w:r>
        <w:r>
          <w:rPr>
            <w:noProof/>
            <w:webHidden/>
          </w:rPr>
          <w:fldChar w:fldCharType="begin"/>
        </w:r>
        <w:r>
          <w:rPr>
            <w:noProof/>
            <w:webHidden/>
          </w:rPr>
          <w:instrText xml:space="preserve"> PAGEREF _Toc63364976 \h </w:instrText>
        </w:r>
        <w:r>
          <w:rPr>
            <w:noProof/>
            <w:webHidden/>
          </w:rPr>
        </w:r>
        <w:r>
          <w:rPr>
            <w:noProof/>
            <w:webHidden/>
          </w:rPr>
          <w:fldChar w:fldCharType="separate"/>
        </w:r>
        <w:r>
          <w:rPr>
            <w:noProof/>
            <w:webHidden/>
          </w:rPr>
          <w:t>203</w:t>
        </w:r>
        <w:r>
          <w:rPr>
            <w:noProof/>
            <w:webHidden/>
          </w:rPr>
          <w:fldChar w:fldCharType="end"/>
        </w:r>
      </w:hyperlink>
    </w:p>
    <w:p w14:paraId="65CCA674" w14:textId="36E6936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7" w:history="1">
        <w:r w:rsidRPr="00FD7211">
          <w:rPr>
            <w:rStyle w:val="Collegamentoipertestuale"/>
            <w:noProof/>
          </w:rPr>
          <w:t>5.5. Acquisizione e controllo formale delle dichiarazioni e dei versamenti (incroci informatici e campionatura oneri deducibili)</w:t>
        </w:r>
        <w:r>
          <w:rPr>
            <w:noProof/>
            <w:webHidden/>
          </w:rPr>
          <w:tab/>
        </w:r>
        <w:r>
          <w:rPr>
            <w:noProof/>
            <w:webHidden/>
          </w:rPr>
          <w:fldChar w:fldCharType="begin"/>
        </w:r>
        <w:r>
          <w:rPr>
            <w:noProof/>
            <w:webHidden/>
          </w:rPr>
          <w:instrText xml:space="preserve"> PAGEREF _Toc63364977 \h </w:instrText>
        </w:r>
        <w:r>
          <w:rPr>
            <w:noProof/>
            <w:webHidden/>
          </w:rPr>
        </w:r>
        <w:r>
          <w:rPr>
            <w:noProof/>
            <w:webHidden/>
          </w:rPr>
          <w:fldChar w:fldCharType="separate"/>
        </w:r>
        <w:r>
          <w:rPr>
            <w:noProof/>
            <w:webHidden/>
          </w:rPr>
          <w:t>207</w:t>
        </w:r>
        <w:r>
          <w:rPr>
            <w:noProof/>
            <w:webHidden/>
          </w:rPr>
          <w:fldChar w:fldCharType="end"/>
        </w:r>
      </w:hyperlink>
    </w:p>
    <w:p w14:paraId="771AA4E0" w14:textId="62D3EF6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8" w:history="1">
        <w:r w:rsidRPr="00FD7211">
          <w:rPr>
            <w:rStyle w:val="Collegamentoipertestuale"/>
            <w:noProof/>
          </w:rPr>
          <w:t>5.6. Indagine amministrativa sulla determinazione delle imposte e relativa formalizzazione</w:t>
        </w:r>
        <w:r>
          <w:rPr>
            <w:noProof/>
            <w:webHidden/>
          </w:rPr>
          <w:tab/>
        </w:r>
        <w:r>
          <w:rPr>
            <w:noProof/>
            <w:webHidden/>
          </w:rPr>
          <w:fldChar w:fldCharType="begin"/>
        </w:r>
        <w:r>
          <w:rPr>
            <w:noProof/>
            <w:webHidden/>
          </w:rPr>
          <w:instrText xml:space="preserve"> PAGEREF _Toc63364978 \h </w:instrText>
        </w:r>
        <w:r>
          <w:rPr>
            <w:noProof/>
            <w:webHidden/>
          </w:rPr>
        </w:r>
        <w:r>
          <w:rPr>
            <w:noProof/>
            <w:webHidden/>
          </w:rPr>
          <w:fldChar w:fldCharType="separate"/>
        </w:r>
        <w:r>
          <w:rPr>
            <w:noProof/>
            <w:webHidden/>
          </w:rPr>
          <w:t>210</w:t>
        </w:r>
        <w:r>
          <w:rPr>
            <w:noProof/>
            <w:webHidden/>
          </w:rPr>
          <w:fldChar w:fldCharType="end"/>
        </w:r>
      </w:hyperlink>
    </w:p>
    <w:p w14:paraId="5434256D" w14:textId="78D5A37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79" w:history="1">
        <w:r w:rsidRPr="00FD7211">
          <w:rPr>
            <w:rStyle w:val="Collegamentoipertestuale"/>
            <w:noProof/>
          </w:rPr>
          <w:t>5.7.  Il ruolo dei controlli per indurre ad una credibile autotassazione</w:t>
        </w:r>
        <w:r>
          <w:rPr>
            <w:noProof/>
            <w:webHidden/>
          </w:rPr>
          <w:tab/>
        </w:r>
        <w:r>
          <w:rPr>
            <w:noProof/>
            <w:webHidden/>
          </w:rPr>
          <w:fldChar w:fldCharType="begin"/>
        </w:r>
        <w:r>
          <w:rPr>
            <w:noProof/>
            <w:webHidden/>
          </w:rPr>
          <w:instrText xml:space="preserve"> PAGEREF _Toc63364979 \h </w:instrText>
        </w:r>
        <w:r>
          <w:rPr>
            <w:noProof/>
            <w:webHidden/>
          </w:rPr>
        </w:r>
        <w:r>
          <w:rPr>
            <w:noProof/>
            <w:webHidden/>
          </w:rPr>
          <w:fldChar w:fldCharType="separate"/>
        </w:r>
        <w:r>
          <w:rPr>
            <w:noProof/>
            <w:webHidden/>
          </w:rPr>
          <w:t>219</w:t>
        </w:r>
        <w:r>
          <w:rPr>
            <w:noProof/>
            <w:webHidden/>
          </w:rPr>
          <w:fldChar w:fldCharType="end"/>
        </w:r>
      </w:hyperlink>
    </w:p>
    <w:p w14:paraId="6F8CB0C5" w14:textId="3828FC9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0" w:history="1">
        <w:r w:rsidRPr="00FD7211">
          <w:rPr>
            <w:rStyle w:val="Collegamentoipertestuale"/>
            <w:noProof/>
          </w:rPr>
          <w:t>5.8. L’empirismo e il probabilismo del giudizio di fatto nella determinazione degli imponibili</w:t>
        </w:r>
        <w:r>
          <w:rPr>
            <w:noProof/>
            <w:webHidden/>
          </w:rPr>
          <w:tab/>
        </w:r>
        <w:r>
          <w:rPr>
            <w:noProof/>
            <w:webHidden/>
          </w:rPr>
          <w:fldChar w:fldCharType="begin"/>
        </w:r>
        <w:r>
          <w:rPr>
            <w:noProof/>
            <w:webHidden/>
          </w:rPr>
          <w:instrText xml:space="preserve"> PAGEREF _Toc63364980 \h </w:instrText>
        </w:r>
        <w:r>
          <w:rPr>
            <w:noProof/>
            <w:webHidden/>
          </w:rPr>
        </w:r>
        <w:r>
          <w:rPr>
            <w:noProof/>
            <w:webHidden/>
          </w:rPr>
          <w:fldChar w:fldCharType="separate"/>
        </w:r>
        <w:r>
          <w:rPr>
            <w:noProof/>
            <w:webHidden/>
          </w:rPr>
          <w:t>224</w:t>
        </w:r>
        <w:r>
          <w:rPr>
            <w:noProof/>
            <w:webHidden/>
          </w:rPr>
          <w:fldChar w:fldCharType="end"/>
        </w:r>
      </w:hyperlink>
    </w:p>
    <w:p w14:paraId="03665E2C" w14:textId="0CAD11F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1" w:history="1">
        <w:r w:rsidRPr="00FD7211">
          <w:rPr>
            <w:rStyle w:val="Collegamentoipertestuale"/>
            <w:noProof/>
          </w:rPr>
          <w:t>5.9. Segue: Aumento dei parametri di stima per via degli “indizi contabili” e necessità di loro contestualizzazione</w:t>
        </w:r>
        <w:r>
          <w:rPr>
            <w:noProof/>
            <w:webHidden/>
          </w:rPr>
          <w:tab/>
        </w:r>
        <w:r>
          <w:rPr>
            <w:noProof/>
            <w:webHidden/>
          </w:rPr>
          <w:fldChar w:fldCharType="begin"/>
        </w:r>
        <w:r>
          <w:rPr>
            <w:noProof/>
            <w:webHidden/>
          </w:rPr>
          <w:instrText xml:space="preserve"> PAGEREF _Toc63364981 \h </w:instrText>
        </w:r>
        <w:r>
          <w:rPr>
            <w:noProof/>
            <w:webHidden/>
          </w:rPr>
        </w:r>
        <w:r>
          <w:rPr>
            <w:noProof/>
            <w:webHidden/>
          </w:rPr>
          <w:fldChar w:fldCharType="separate"/>
        </w:r>
        <w:r>
          <w:rPr>
            <w:noProof/>
            <w:webHidden/>
          </w:rPr>
          <w:t>229</w:t>
        </w:r>
        <w:r>
          <w:rPr>
            <w:noProof/>
            <w:webHidden/>
          </w:rPr>
          <w:fldChar w:fldCharType="end"/>
        </w:r>
      </w:hyperlink>
    </w:p>
    <w:p w14:paraId="093760FB" w14:textId="25AB38F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2" w:history="1">
        <w:r w:rsidRPr="00FD7211">
          <w:rPr>
            <w:rStyle w:val="Collegamentoipertestuale"/>
            <w:noProof/>
          </w:rPr>
          <w:t>5.10. La discrezionalità nella determinazione degli imponibili come funzione non giurisdizionale.</w:t>
        </w:r>
        <w:r>
          <w:rPr>
            <w:noProof/>
            <w:webHidden/>
          </w:rPr>
          <w:tab/>
        </w:r>
        <w:r>
          <w:rPr>
            <w:noProof/>
            <w:webHidden/>
          </w:rPr>
          <w:fldChar w:fldCharType="begin"/>
        </w:r>
        <w:r>
          <w:rPr>
            <w:noProof/>
            <w:webHidden/>
          </w:rPr>
          <w:instrText xml:space="preserve"> PAGEREF _Toc63364982 \h </w:instrText>
        </w:r>
        <w:r>
          <w:rPr>
            <w:noProof/>
            <w:webHidden/>
          </w:rPr>
        </w:r>
        <w:r>
          <w:rPr>
            <w:noProof/>
            <w:webHidden/>
          </w:rPr>
          <w:fldChar w:fldCharType="separate"/>
        </w:r>
        <w:r>
          <w:rPr>
            <w:noProof/>
            <w:webHidden/>
          </w:rPr>
          <w:t>231</w:t>
        </w:r>
        <w:r>
          <w:rPr>
            <w:noProof/>
            <w:webHidden/>
          </w:rPr>
          <w:fldChar w:fldCharType="end"/>
        </w:r>
      </w:hyperlink>
    </w:p>
    <w:p w14:paraId="2C9029FE" w14:textId="4153DA4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3" w:history="1">
        <w:r w:rsidRPr="00FD7211">
          <w:rPr>
            <w:rStyle w:val="Collegamentoipertestuale"/>
            <w:noProof/>
          </w:rPr>
          <w:t>5.11. Segue. timori di negligenza e connivenza come ostacolo alla stima dei presupposti economici d’imposta</w:t>
        </w:r>
        <w:r>
          <w:rPr>
            <w:noProof/>
            <w:webHidden/>
          </w:rPr>
          <w:tab/>
        </w:r>
        <w:r>
          <w:rPr>
            <w:noProof/>
            <w:webHidden/>
          </w:rPr>
          <w:fldChar w:fldCharType="begin"/>
        </w:r>
        <w:r>
          <w:rPr>
            <w:noProof/>
            <w:webHidden/>
          </w:rPr>
          <w:instrText xml:space="preserve"> PAGEREF _Toc63364983 \h </w:instrText>
        </w:r>
        <w:r>
          <w:rPr>
            <w:noProof/>
            <w:webHidden/>
          </w:rPr>
        </w:r>
        <w:r>
          <w:rPr>
            <w:noProof/>
            <w:webHidden/>
          </w:rPr>
          <w:fldChar w:fldCharType="separate"/>
        </w:r>
        <w:r>
          <w:rPr>
            <w:noProof/>
            <w:webHidden/>
          </w:rPr>
          <w:t>237</w:t>
        </w:r>
        <w:r>
          <w:rPr>
            <w:noProof/>
            <w:webHidden/>
          </w:rPr>
          <w:fldChar w:fldCharType="end"/>
        </w:r>
      </w:hyperlink>
    </w:p>
    <w:p w14:paraId="31A7C094" w14:textId="1F393A2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4" w:history="1">
        <w:r w:rsidRPr="00FD7211">
          <w:rPr>
            <w:rStyle w:val="Collegamentoipertestuale"/>
            <w:noProof/>
          </w:rPr>
          <w:t>5.12.  Ambiguità delle formule normative sull’accertamento tributario (analitico, sintetico, induttivo, contabile, etc.)</w:t>
        </w:r>
        <w:r>
          <w:rPr>
            <w:noProof/>
            <w:webHidden/>
          </w:rPr>
          <w:tab/>
        </w:r>
        <w:r>
          <w:rPr>
            <w:noProof/>
            <w:webHidden/>
          </w:rPr>
          <w:fldChar w:fldCharType="begin"/>
        </w:r>
        <w:r>
          <w:rPr>
            <w:noProof/>
            <w:webHidden/>
          </w:rPr>
          <w:instrText xml:space="preserve"> PAGEREF _Toc63364984 \h </w:instrText>
        </w:r>
        <w:r>
          <w:rPr>
            <w:noProof/>
            <w:webHidden/>
          </w:rPr>
        </w:r>
        <w:r>
          <w:rPr>
            <w:noProof/>
            <w:webHidden/>
          </w:rPr>
          <w:fldChar w:fldCharType="separate"/>
        </w:r>
        <w:r>
          <w:rPr>
            <w:noProof/>
            <w:webHidden/>
          </w:rPr>
          <w:t>241</w:t>
        </w:r>
        <w:r>
          <w:rPr>
            <w:noProof/>
            <w:webHidden/>
          </w:rPr>
          <w:fldChar w:fldCharType="end"/>
        </w:r>
      </w:hyperlink>
    </w:p>
    <w:p w14:paraId="0B93B64D" w14:textId="0045E55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5" w:history="1">
        <w:r w:rsidRPr="00FD7211">
          <w:rPr>
            <w:rStyle w:val="Collegamentoipertestuale"/>
            <w:noProof/>
          </w:rPr>
          <w:t>5.13. Valutazione amministrativa della ricchezza non registrata, tra indizi fisico-economico-contabili e studi di settore</w:t>
        </w:r>
        <w:r>
          <w:rPr>
            <w:noProof/>
            <w:webHidden/>
          </w:rPr>
          <w:tab/>
        </w:r>
        <w:r>
          <w:rPr>
            <w:noProof/>
            <w:webHidden/>
          </w:rPr>
          <w:fldChar w:fldCharType="begin"/>
        </w:r>
        <w:r>
          <w:rPr>
            <w:noProof/>
            <w:webHidden/>
          </w:rPr>
          <w:instrText xml:space="preserve"> PAGEREF _Toc63364985 \h </w:instrText>
        </w:r>
        <w:r>
          <w:rPr>
            <w:noProof/>
            <w:webHidden/>
          </w:rPr>
        </w:r>
        <w:r>
          <w:rPr>
            <w:noProof/>
            <w:webHidden/>
          </w:rPr>
          <w:fldChar w:fldCharType="separate"/>
        </w:r>
        <w:r>
          <w:rPr>
            <w:noProof/>
            <w:webHidden/>
          </w:rPr>
          <w:t>244</w:t>
        </w:r>
        <w:r>
          <w:rPr>
            <w:noProof/>
            <w:webHidden/>
          </w:rPr>
          <w:fldChar w:fldCharType="end"/>
        </w:r>
      </w:hyperlink>
    </w:p>
    <w:p w14:paraId="3CC554DB" w14:textId="62C356E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6" w:history="1">
        <w:r w:rsidRPr="00FD7211">
          <w:rPr>
            <w:rStyle w:val="Collegamentoipertestuale"/>
            <w:noProof/>
          </w:rPr>
          <w:t>5.14. Tenore di vita e spesa “privata” come indizio imponibili non registrati (accertamenti “sintetico-redditometrici”)</w:t>
        </w:r>
        <w:r>
          <w:rPr>
            <w:noProof/>
            <w:webHidden/>
          </w:rPr>
          <w:tab/>
        </w:r>
        <w:r>
          <w:rPr>
            <w:noProof/>
            <w:webHidden/>
          </w:rPr>
          <w:fldChar w:fldCharType="begin"/>
        </w:r>
        <w:r>
          <w:rPr>
            <w:noProof/>
            <w:webHidden/>
          </w:rPr>
          <w:instrText xml:space="preserve"> PAGEREF _Toc63364986 \h </w:instrText>
        </w:r>
        <w:r>
          <w:rPr>
            <w:noProof/>
            <w:webHidden/>
          </w:rPr>
        </w:r>
        <w:r>
          <w:rPr>
            <w:noProof/>
            <w:webHidden/>
          </w:rPr>
          <w:fldChar w:fldCharType="separate"/>
        </w:r>
        <w:r>
          <w:rPr>
            <w:noProof/>
            <w:webHidden/>
          </w:rPr>
          <w:t>251</w:t>
        </w:r>
        <w:r>
          <w:rPr>
            <w:noProof/>
            <w:webHidden/>
          </w:rPr>
          <w:fldChar w:fldCharType="end"/>
        </w:r>
      </w:hyperlink>
    </w:p>
    <w:p w14:paraId="795527D4" w14:textId="5D7289B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7" w:history="1">
        <w:r w:rsidRPr="00FD7211">
          <w:rPr>
            <w:rStyle w:val="Collegamentoipertestuale"/>
            <w:noProof/>
          </w:rPr>
          <w:t>5.15. Difficoltà di controllo degli operatori economici senza sede fissa</w:t>
        </w:r>
        <w:r>
          <w:rPr>
            <w:noProof/>
            <w:webHidden/>
          </w:rPr>
          <w:tab/>
        </w:r>
        <w:r>
          <w:rPr>
            <w:noProof/>
            <w:webHidden/>
          </w:rPr>
          <w:fldChar w:fldCharType="begin"/>
        </w:r>
        <w:r>
          <w:rPr>
            <w:noProof/>
            <w:webHidden/>
          </w:rPr>
          <w:instrText xml:space="preserve"> PAGEREF _Toc63364987 \h </w:instrText>
        </w:r>
        <w:r>
          <w:rPr>
            <w:noProof/>
            <w:webHidden/>
          </w:rPr>
        </w:r>
        <w:r>
          <w:rPr>
            <w:noProof/>
            <w:webHidden/>
          </w:rPr>
          <w:fldChar w:fldCharType="separate"/>
        </w:r>
        <w:r>
          <w:rPr>
            <w:noProof/>
            <w:webHidden/>
          </w:rPr>
          <w:t>255</w:t>
        </w:r>
        <w:r>
          <w:rPr>
            <w:noProof/>
            <w:webHidden/>
          </w:rPr>
          <w:fldChar w:fldCharType="end"/>
        </w:r>
      </w:hyperlink>
    </w:p>
    <w:p w14:paraId="52E5DACA" w14:textId="6B25CA8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8" w:history="1">
        <w:r w:rsidRPr="00FD7211">
          <w:rPr>
            <w:rStyle w:val="Collegamentoipertestuale"/>
            <w:noProof/>
          </w:rPr>
          <w:t>5.16. Tracciabilità dei pagamenti, indagini bancarie e inefficienza delle relative presunzioni</w:t>
        </w:r>
        <w:r>
          <w:rPr>
            <w:noProof/>
            <w:webHidden/>
          </w:rPr>
          <w:tab/>
        </w:r>
        <w:r>
          <w:rPr>
            <w:noProof/>
            <w:webHidden/>
          </w:rPr>
          <w:fldChar w:fldCharType="begin"/>
        </w:r>
        <w:r>
          <w:rPr>
            <w:noProof/>
            <w:webHidden/>
          </w:rPr>
          <w:instrText xml:space="preserve"> PAGEREF _Toc63364988 \h </w:instrText>
        </w:r>
        <w:r>
          <w:rPr>
            <w:noProof/>
            <w:webHidden/>
          </w:rPr>
        </w:r>
        <w:r>
          <w:rPr>
            <w:noProof/>
            <w:webHidden/>
          </w:rPr>
          <w:fldChar w:fldCharType="separate"/>
        </w:r>
        <w:r>
          <w:rPr>
            <w:noProof/>
            <w:webHidden/>
          </w:rPr>
          <w:t>256</w:t>
        </w:r>
        <w:r>
          <w:rPr>
            <w:noProof/>
            <w:webHidden/>
          </w:rPr>
          <w:fldChar w:fldCharType="end"/>
        </w:r>
      </w:hyperlink>
    </w:p>
    <w:p w14:paraId="57074B14" w14:textId="5718D62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89" w:history="1">
        <w:r w:rsidRPr="00FD7211">
          <w:rPr>
            <w:rStyle w:val="Collegamentoipertestuale"/>
            <w:noProof/>
          </w:rPr>
          <w:t>5.17. Le contestazioni interpretative specie sulle aziende come “grandi evasori”: premesse sociali e metodologica</w:t>
        </w:r>
        <w:r>
          <w:rPr>
            <w:noProof/>
            <w:webHidden/>
          </w:rPr>
          <w:tab/>
        </w:r>
        <w:r>
          <w:rPr>
            <w:noProof/>
            <w:webHidden/>
          </w:rPr>
          <w:fldChar w:fldCharType="begin"/>
        </w:r>
        <w:r>
          <w:rPr>
            <w:noProof/>
            <w:webHidden/>
          </w:rPr>
          <w:instrText xml:space="preserve"> PAGEREF _Toc63364989 \h </w:instrText>
        </w:r>
        <w:r>
          <w:rPr>
            <w:noProof/>
            <w:webHidden/>
          </w:rPr>
        </w:r>
        <w:r>
          <w:rPr>
            <w:noProof/>
            <w:webHidden/>
          </w:rPr>
          <w:fldChar w:fldCharType="separate"/>
        </w:r>
        <w:r>
          <w:rPr>
            <w:noProof/>
            <w:webHidden/>
          </w:rPr>
          <w:t>260</w:t>
        </w:r>
        <w:r>
          <w:rPr>
            <w:noProof/>
            <w:webHidden/>
          </w:rPr>
          <w:fldChar w:fldCharType="end"/>
        </w:r>
      </w:hyperlink>
    </w:p>
    <w:p w14:paraId="4DD813FC" w14:textId="10F19D4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0" w:history="1">
        <w:r w:rsidRPr="00FD7211">
          <w:rPr>
            <w:rStyle w:val="Collegamentoipertestuale"/>
            <w:noProof/>
          </w:rPr>
          <w:t>5.18. Segue: I contenuti delle più frequenti contestazioni interpretative  e la loro gestione</w:t>
        </w:r>
        <w:r>
          <w:rPr>
            <w:noProof/>
            <w:webHidden/>
          </w:rPr>
          <w:tab/>
        </w:r>
        <w:r>
          <w:rPr>
            <w:noProof/>
            <w:webHidden/>
          </w:rPr>
          <w:fldChar w:fldCharType="begin"/>
        </w:r>
        <w:r>
          <w:rPr>
            <w:noProof/>
            <w:webHidden/>
          </w:rPr>
          <w:instrText xml:space="preserve"> PAGEREF _Toc63364990 \h </w:instrText>
        </w:r>
        <w:r>
          <w:rPr>
            <w:noProof/>
            <w:webHidden/>
          </w:rPr>
        </w:r>
        <w:r>
          <w:rPr>
            <w:noProof/>
            <w:webHidden/>
          </w:rPr>
          <w:fldChar w:fldCharType="separate"/>
        </w:r>
        <w:r>
          <w:rPr>
            <w:noProof/>
            <w:webHidden/>
          </w:rPr>
          <w:t>264</w:t>
        </w:r>
        <w:r>
          <w:rPr>
            <w:noProof/>
            <w:webHidden/>
          </w:rPr>
          <w:fldChar w:fldCharType="end"/>
        </w:r>
      </w:hyperlink>
    </w:p>
    <w:p w14:paraId="75837C97" w14:textId="1C3D6F4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1" w:history="1">
        <w:r w:rsidRPr="00FD7211">
          <w:rPr>
            <w:rStyle w:val="Collegamentoipertestuale"/>
            <w:noProof/>
          </w:rPr>
          <w:t>5.19 Contestazioni interpretative e danni sociali sulla funzione tributaria , l’economia e la società</w:t>
        </w:r>
        <w:r>
          <w:rPr>
            <w:noProof/>
            <w:webHidden/>
          </w:rPr>
          <w:tab/>
        </w:r>
        <w:r>
          <w:rPr>
            <w:noProof/>
            <w:webHidden/>
          </w:rPr>
          <w:fldChar w:fldCharType="begin"/>
        </w:r>
        <w:r>
          <w:rPr>
            <w:noProof/>
            <w:webHidden/>
          </w:rPr>
          <w:instrText xml:space="preserve"> PAGEREF _Toc63364991 \h </w:instrText>
        </w:r>
        <w:r>
          <w:rPr>
            <w:noProof/>
            <w:webHidden/>
          </w:rPr>
        </w:r>
        <w:r>
          <w:rPr>
            <w:noProof/>
            <w:webHidden/>
          </w:rPr>
          <w:fldChar w:fldCharType="separate"/>
        </w:r>
        <w:r>
          <w:rPr>
            <w:noProof/>
            <w:webHidden/>
          </w:rPr>
          <w:t>268</w:t>
        </w:r>
        <w:r>
          <w:rPr>
            <w:noProof/>
            <w:webHidden/>
          </w:rPr>
          <w:fldChar w:fldCharType="end"/>
        </w:r>
      </w:hyperlink>
    </w:p>
    <w:p w14:paraId="504FA916" w14:textId="6E359EAF"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2" w:history="1">
        <w:r w:rsidRPr="00FD7211">
          <w:rPr>
            <w:rStyle w:val="Collegamentoipertestuale"/>
            <w:noProof/>
          </w:rPr>
          <w:t>5.20. Il condono come ultima frontiera dell’autodeterminazione e dell’“amministrazione per legge”</w:t>
        </w:r>
        <w:r>
          <w:rPr>
            <w:noProof/>
            <w:webHidden/>
          </w:rPr>
          <w:tab/>
        </w:r>
        <w:r>
          <w:rPr>
            <w:noProof/>
            <w:webHidden/>
          </w:rPr>
          <w:fldChar w:fldCharType="begin"/>
        </w:r>
        <w:r>
          <w:rPr>
            <w:noProof/>
            <w:webHidden/>
          </w:rPr>
          <w:instrText xml:space="preserve"> PAGEREF _Toc63364992 \h </w:instrText>
        </w:r>
        <w:r>
          <w:rPr>
            <w:noProof/>
            <w:webHidden/>
          </w:rPr>
        </w:r>
        <w:r>
          <w:rPr>
            <w:noProof/>
            <w:webHidden/>
          </w:rPr>
          <w:fldChar w:fldCharType="separate"/>
        </w:r>
        <w:r>
          <w:rPr>
            <w:noProof/>
            <w:webHidden/>
          </w:rPr>
          <w:t>273</w:t>
        </w:r>
        <w:r>
          <w:rPr>
            <w:noProof/>
            <w:webHidden/>
          </w:rPr>
          <w:fldChar w:fldCharType="end"/>
        </w:r>
      </w:hyperlink>
    </w:p>
    <w:p w14:paraId="1B169121" w14:textId="619327DD"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3" w:history="1">
        <w:r w:rsidRPr="00FD7211">
          <w:rPr>
            <w:rStyle w:val="Collegamentoipertestuale"/>
            <w:noProof/>
          </w:rPr>
          <w:t>Capitolo 6 CONTENZIOSO AMMINISTRATIVO E GIURISDIZIONALE, RISCOSSIONE E SANZIONI</w:t>
        </w:r>
        <w:r>
          <w:rPr>
            <w:noProof/>
            <w:webHidden/>
          </w:rPr>
          <w:tab/>
        </w:r>
        <w:r>
          <w:rPr>
            <w:noProof/>
            <w:webHidden/>
          </w:rPr>
          <w:fldChar w:fldCharType="begin"/>
        </w:r>
        <w:r>
          <w:rPr>
            <w:noProof/>
            <w:webHidden/>
          </w:rPr>
          <w:instrText xml:space="preserve"> PAGEREF _Toc63364993 \h </w:instrText>
        </w:r>
        <w:r>
          <w:rPr>
            <w:noProof/>
            <w:webHidden/>
          </w:rPr>
        </w:r>
        <w:r>
          <w:rPr>
            <w:noProof/>
            <w:webHidden/>
          </w:rPr>
          <w:fldChar w:fldCharType="separate"/>
        </w:r>
        <w:r>
          <w:rPr>
            <w:noProof/>
            <w:webHidden/>
          </w:rPr>
          <w:t>277</w:t>
        </w:r>
        <w:r>
          <w:rPr>
            <w:noProof/>
            <w:webHidden/>
          </w:rPr>
          <w:fldChar w:fldCharType="end"/>
        </w:r>
      </w:hyperlink>
    </w:p>
    <w:p w14:paraId="4BCA5430" w14:textId="168920E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4" w:history="1">
        <w:r w:rsidRPr="00FD7211">
          <w:rPr>
            <w:rStyle w:val="Collegamentoipertestuale"/>
            <w:noProof/>
          </w:rPr>
          <w:t>6.1. Provvedimenti amministrativi nella determinazione dei tributi: autoritatività, termini, competenza, partecipazione del privato.</w:t>
        </w:r>
        <w:r>
          <w:rPr>
            <w:noProof/>
            <w:webHidden/>
          </w:rPr>
          <w:tab/>
        </w:r>
        <w:r>
          <w:rPr>
            <w:noProof/>
            <w:webHidden/>
          </w:rPr>
          <w:fldChar w:fldCharType="begin"/>
        </w:r>
        <w:r>
          <w:rPr>
            <w:noProof/>
            <w:webHidden/>
          </w:rPr>
          <w:instrText xml:space="preserve"> PAGEREF _Toc63364994 \h </w:instrText>
        </w:r>
        <w:r>
          <w:rPr>
            <w:noProof/>
            <w:webHidden/>
          </w:rPr>
        </w:r>
        <w:r>
          <w:rPr>
            <w:noProof/>
            <w:webHidden/>
          </w:rPr>
          <w:fldChar w:fldCharType="separate"/>
        </w:r>
        <w:r>
          <w:rPr>
            <w:noProof/>
            <w:webHidden/>
          </w:rPr>
          <w:t>278</w:t>
        </w:r>
        <w:r>
          <w:rPr>
            <w:noProof/>
            <w:webHidden/>
          </w:rPr>
          <w:fldChar w:fldCharType="end"/>
        </w:r>
      </w:hyperlink>
    </w:p>
    <w:p w14:paraId="2C0C8DEE" w14:textId="6365EEDD"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5" w:history="1">
        <w:r w:rsidRPr="00FD7211">
          <w:rPr>
            <w:rStyle w:val="Collegamentoipertestuale"/>
            <w:noProof/>
          </w:rPr>
          <w:t>6.2. Segue: diversità tra motivazione e prova degli accertamenti tributari</w:t>
        </w:r>
        <w:r>
          <w:rPr>
            <w:noProof/>
            <w:webHidden/>
          </w:rPr>
          <w:tab/>
        </w:r>
        <w:r>
          <w:rPr>
            <w:noProof/>
            <w:webHidden/>
          </w:rPr>
          <w:fldChar w:fldCharType="begin"/>
        </w:r>
        <w:r>
          <w:rPr>
            <w:noProof/>
            <w:webHidden/>
          </w:rPr>
          <w:instrText xml:space="preserve"> PAGEREF _Toc63364995 \h </w:instrText>
        </w:r>
        <w:r>
          <w:rPr>
            <w:noProof/>
            <w:webHidden/>
          </w:rPr>
        </w:r>
        <w:r>
          <w:rPr>
            <w:noProof/>
            <w:webHidden/>
          </w:rPr>
          <w:fldChar w:fldCharType="separate"/>
        </w:r>
        <w:r>
          <w:rPr>
            <w:noProof/>
            <w:webHidden/>
          </w:rPr>
          <w:t>283</w:t>
        </w:r>
        <w:r>
          <w:rPr>
            <w:noProof/>
            <w:webHidden/>
          </w:rPr>
          <w:fldChar w:fldCharType="end"/>
        </w:r>
      </w:hyperlink>
    </w:p>
    <w:p w14:paraId="78ADAACA" w14:textId="7B99F3E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6" w:history="1">
        <w:r w:rsidRPr="00FD7211">
          <w:rPr>
            <w:rStyle w:val="Collegamentoipertestuale"/>
            <w:noProof/>
          </w:rPr>
          <w:t>6.3. Provvedimenti degli uffici tributari verso coobbligati solidali e contribuenti di fatto</w:t>
        </w:r>
        <w:r>
          <w:rPr>
            <w:noProof/>
            <w:webHidden/>
          </w:rPr>
          <w:tab/>
        </w:r>
        <w:r>
          <w:rPr>
            <w:noProof/>
            <w:webHidden/>
          </w:rPr>
          <w:fldChar w:fldCharType="begin"/>
        </w:r>
        <w:r>
          <w:rPr>
            <w:noProof/>
            <w:webHidden/>
          </w:rPr>
          <w:instrText xml:space="preserve"> PAGEREF _Toc63364996 \h </w:instrText>
        </w:r>
        <w:r>
          <w:rPr>
            <w:noProof/>
            <w:webHidden/>
          </w:rPr>
        </w:r>
        <w:r>
          <w:rPr>
            <w:noProof/>
            <w:webHidden/>
          </w:rPr>
          <w:fldChar w:fldCharType="separate"/>
        </w:r>
        <w:r>
          <w:rPr>
            <w:noProof/>
            <w:webHidden/>
          </w:rPr>
          <w:t>289</w:t>
        </w:r>
        <w:r>
          <w:rPr>
            <w:noProof/>
            <w:webHidden/>
          </w:rPr>
          <w:fldChar w:fldCharType="end"/>
        </w:r>
      </w:hyperlink>
    </w:p>
    <w:p w14:paraId="397E0497" w14:textId="3977479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7" w:history="1">
        <w:r w:rsidRPr="00FD7211">
          <w:rPr>
            <w:rStyle w:val="Collegamentoipertestuale"/>
            <w:noProof/>
          </w:rPr>
          <w:t>6.4. Il contenzioso amministrativo: accertamento con adesione, conciliazione giudiziale, “mediazione” e prospettive</w:t>
        </w:r>
        <w:r>
          <w:rPr>
            <w:noProof/>
            <w:webHidden/>
          </w:rPr>
          <w:tab/>
        </w:r>
        <w:r>
          <w:rPr>
            <w:noProof/>
            <w:webHidden/>
          </w:rPr>
          <w:fldChar w:fldCharType="begin"/>
        </w:r>
        <w:r>
          <w:rPr>
            <w:noProof/>
            <w:webHidden/>
          </w:rPr>
          <w:instrText xml:space="preserve"> PAGEREF _Toc63364997 \h </w:instrText>
        </w:r>
        <w:r>
          <w:rPr>
            <w:noProof/>
            <w:webHidden/>
          </w:rPr>
        </w:r>
        <w:r>
          <w:rPr>
            <w:noProof/>
            <w:webHidden/>
          </w:rPr>
          <w:fldChar w:fldCharType="separate"/>
        </w:r>
        <w:r>
          <w:rPr>
            <w:noProof/>
            <w:webHidden/>
          </w:rPr>
          <w:t>292</w:t>
        </w:r>
        <w:r>
          <w:rPr>
            <w:noProof/>
            <w:webHidden/>
          </w:rPr>
          <w:fldChar w:fldCharType="end"/>
        </w:r>
      </w:hyperlink>
    </w:p>
    <w:p w14:paraId="3282DC6A" w14:textId="600DE5E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8" w:history="1">
        <w:r w:rsidRPr="00FD7211">
          <w:rPr>
            <w:rStyle w:val="Collegamentoipertestuale"/>
            <w:noProof/>
          </w:rPr>
          <w:t>6.5. Segue. Inadeguatezza del ricorso amministrativo allo stesso ufficio che ha emesso l’atto e prospettive della c.d. “mediazione tributaria”</w:t>
        </w:r>
        <w:r>
          <w:rPr>
            <w:noProof/>
            <w:webHidden/>
          </w:rPr>
          <w:tab/>
        </w:r>
        <w:r>
          <w:rPr>
            <w:noProof/>
            <w:webHidden/>
          </w:rPr>
          <w:fldChar w:fldCharType="begin"/>
        </w:r>
        <w:r>
          <w:rPr>
            <w:noProof/>
            <w:webHidden/>
          </w:rPr>
          <w:instrText xml:space="preserve"> PAGEREF _Toc63364998 \h </w:instrText>
        </w:r>
        <w:r>
          <w:rPr>
            <w:noProof/>
            <w:webHidden/>
          </w:rPr>
        </w:r>
        <w:r>
          <w:rPr>
            <w:noProof/>
            <w:webHidden/>
          </w:rPr>
          <w:fldChar w:fldCharType="separate"/>
        </w:r>
        <w:r>
          <w:rPr>
            <w:noProof/>
            <w:webHidden/>
          </w:rPr>
          <w:t>301</w:t>
        </w:r>
        <w:r>
          <w:rPr>
            <w:noProof/>
            <w:webHidden/>
          </w:rPr>
          <w:fldChar w:fldCharType="end"/>
        </w:r>
      </w:hyperlink>
    </w:p>
    <w:p w14:paraId="614E93E4" w14:textId="7D0925F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4999" w:history="1">
        <w:r w:rsidRPr="00FD7211">
          <w:rPr>
            <w:rStyle w:val="Collegamentoipertestuale"/>
            <w:noProof/>
          </w:rPr>
          <w:t>6.6. Il ritiro degli atti in autotutela, tra correzione, riduzione e abbandono</w:t>
        </w:r>
        <w:r>
          <w:rPr>
            <w:noProof/>
            <w:webHidden/>
          </w:rPr>
          <w:tab/>
        </w:r>
        <w:r>
          <w:rPr>
            <w:noProof/>
            <w:webHidden/>
          </w:rPr>
          <w:fldChar w:fldCharType="begin"/>
        </w:r>
        <w:r>
          <w:rPr>
            <w:noProof/>
            <w:webHidden/>
          </w:rPr>
          <w:instrText xml:space="preserve"> PAGEREF _Toc63364999 \h </w:instrText>
        </w:r>
        <w:r>
          <w:rPr>
            <w:noProof/>
            <w:webHidden/>
          </w:rPr>
        </w:r>
        <w:r>
          <w:rPr>
            <w:noProof/>
            <w:webHidden/>
          </w:rPr>
          <w:fldChar w:fldCharType="separate"/>
        </w:r>
        <w:r>
          <w:rPr>
            <w:noProof/>
            <w:webHidden/>
          </w:rPr>
          <w:t>306</w:t>
        </w:r>
        <w:r>
          <w:rPr>
            <w:noProof/>
            <w:webHidden/>
          </w:rPr>
          <w:fldChar w:fldCharType="end"/>
        </w:r>
      </w:hyperlink>
    </w:p>
    <w:p w14:paraId="1E8C7350" w14:textId="74F15B4E"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0" w:history="1">
        <w:r w:rsidRPr="00FD7211">
          <w:rPr>
            <w:rStyle w:val="Collegamentoipertestuale"/>
            <w:rFonts w:cs="Arial"/>
            <w:noProof/>
          </w:rPr>
          <w:t>6.7 Natura strutturalmente impugnatoria del contenzioso giurisdizionale</w:t>
        </w:r>
        <w:r>
          <w:rPr>
            <w:noProof/>
            <w:webHidden/>
          </w:rPr>
          <w:tab/>
        </w:r>
        <w:r>
          <w:rPr>
            <w:noProof/>
            <w:webHidden/>
          </w:rPr>
          <w:fldChar w:fldCharType="begin"/>
        </w:r>
        <w:r>
          <w:rPr>
            <w:noProof/>
            <w:webHidden/>
          </w:rPr>
          <w:instrText xml:space="preserve"> PAGEREF _Toc63365000 \h </w:instrText>
        </w:r>
        <w:r>
          <w:rPr>
            <w:noProof/>
            <w:webHidden/>
          </w:rPr>
        </w:r>
        <w:r>
          <w:rPr>
            <w:noProof/>
            <w:webHidden/>
          </w:rPr>
          <w:fldChar w:fldCharType="separate"/>
        </w:r>
        <w:r>
          <w:rPr>
            <w:noProof/>
            <w:webHidden/>
          </w:rPr>
          <w:t>308</w:t>
        </w:r>
        <w:r>
          <w:rPr>
            <w:noProof/>
            <w:webHidden/>
          </w:rPr>
          <w:fldChar w:fldCharType="end"/>
        </w:r>
      </w:hyperlink>
    </w:p>
    <w:p w14:paraId="0D30839B" w14:textId="32A24F0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1" w:history="1">
        <w:r w:rsidRPr="00FD7211">
          <w:rPr>
            <w:rStyle w:val="Collegamentoipertestuale"/>
            <w:noProof/>
          </w:rPr>
          <w:t>6.8. Tradizioni amministrative del giudice speciale tributario: reclutamento, eterogeneità e “tempo parziale”</w:t>
        </w:r>
        <w:r>
          <w:rPr>
            <w:noProof/>
            <w:webHidden/>
          </w:rPr>
          <w:tab/>
        </w:r>
        <w:r>
          <w:rPr>
            <w:noProof/>
            <w:webHidden/>
          </w:rPr>
          <w:fldChar w:fldCharType="begin"/>
        </w:r>
        <w:r>
          <w:rPr>
            <w:noProof/>
            <w:webHidden/>
          </w:rPr>
          <w:instrText xml:space="preserve"> PAGEREF _Toc63365001 \h </w:instrText>
        </w:r>
        <w:r>
          <w:rPr>
            <w:noProof/>
            <w:webHidden/>
          </w:rPr>
        </w:r>
        <w:r>
          <w:rPr>
            <w:noProof/>
            <w:webHidden/>
          </w:rPr>
          <w:fldChar w:fldCharType="separate"/>
        </w:r>
        <w:r>
          <w:rPr>
            <w:noProof/>
            <w:webHidden/>
          </w:rPr>
          <w:t>311</w:t>
        </w:r>
        <w:r>
          <w:rPr>
            <w:noProof/>
            <w:webHidden/>
          </w:rPr>
          <w:fldChar w:fldCharType="end"/>
        </w:r>
      </w:hyperlink>
    </w:p>
    <w:p w14:paraId="193585FC" w14:textId="54ED105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2" w:history="1">
        <w:r w:rsidRPr="00FD7211">
          <w:rPr>
            <w:rStyle w:val="Collegamentoipertestuale"/>
            <w:noProof/>
          </w:rPr>
          <w:t>6.9. Ispirazione al rito processualcivilistico, sostanza impugnatoria e rideterminazione del tributo.</w:t>
        </w:r>
        <w:r>
          <w:rPr>
            <w:noProof/>
            <w:webHidden/>
          </w:rPr>
          <w:tab/>
        </w:r>
        <w:r>
          <w:rPr>
            <w:noProof/>
            <w:webHidden/>
          </w:rPr>
          <w:fldChar w:fldCharType="begin"/>
        </w:r>
        <w:r>
          <w:rPr>
            <w:noProof/>
            <w:webHidden/>
          </w:rPr>
          <w:instrText xml:space="preserve"> PAGEREF _Toc63365002 \h </w:instrText>
        </w:r>
        <w:r>
          <w:rPr>
            <w:noProof/>
            <w:webHidden/>
          </w:rPr>
        </w:r>
        <w:r>
          <w:rPr>
            <w:noProof/>
            <w:webHidden/>
          </w:rPr>
          <w:fldChar w:fldCharType="separate"/>
        </w:r>
        <w:r>
          <w:rPr>
            <w:noProof/>
            <w:webHidden/>
          </w:rPr>
          <w:t>315</w:t>
        </w:r>
        <w:r>
          <w:rPr>
            <w:noProof/>
            <w:webHidden/>
          </w:rPr>
          <w:fldChar w:fldCharType="end"/>
        </w:r>
      </w:hyperlink>
    </w:p>
    <w:p w14:paraId="3561E2A0" w14:textId="58DC2D0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3" w:history="1">
        <w:r w:rsidRPr="00FD7211">
          <w:rPr>
            <w:rStyle w:val="Collegamentoipertestuale"/>
            <w:noProof/>
          </w:rPr>
          <w:t>6.10. Insuccesso della via processuale alla determinazione dei tributi:prospettive di riforma per tipologie di controversie</w:t>
        </w:r>
        <w:r>
          <w:rPr>
            <w:noProof/>
            <w:webHidden/>
          </w:rPr>
          <w:tab/>
        </w:r>
        <w:r>
          <w:rPr>
            <w:noProof/>
            <w:webHidden/>
          </w:rPr>
          <w:fldChar w:fldCharType="begin"/>
        </w:r>
        <w:r>
          <w:rPr>
            <w:noProof/>
            <w:webHidden/>
          </w:rPr>
          <w:instrText xml:space="preserve"> PAGEREF _Toc63365003 \h </w:instrText>
        </w:r>
        <w:r>
          <w:rPr>
            <w:noProof/>
            <w:webHidden/>
          </w:rPr>
        </w:r>
        <w:r>
          <w:rPr>
            <w:noProof/>
            <w:webHidden/>
          </w:rPr>
          <w:fldChar w:fldCharType="separate"/>
        </w:r>
        <w:r>
          <w:rPr>
            <w:noProof/>
            <w:webHidden/>
          </w:rPr>
          <w:t>329</w:t>
        </w:r>
        <w:r>
          <w:rPr>
            <w:noProof/>
            <w:webHidden/>
          </w:rPr>
          <w:fldChar w:fldCharType="end"/>
        </w:r>
      </w:hyperlink>
    </w:p>
    <w:p w14:paraId="073FD1F2" w14:textId="4D7BA153"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4" w:history="1">
        <w:r w:rsidRPr="00FD7211">
          <w:rPr>
            <w:rStyle w:val="Collegamentoipertestuale"/>
            <w:noProof/>
          </w:rPr>
          <w:t>6.11. Riscossione coattiva e retaggio degli “esattori”</w:t>
        </w:r>
        <w:r>
          <w:rPr>
            <w:noProof/>
            <w:webHidden/>
          </w:rPr>
          <w:tab/>
        </w:r>
        <w:r>
          <w:rPr>
            <w:noProof/>
            <w:webHidden/>
          </w:rPr>
          <w:fldChar w:fldCharType="begin"/>
        </w:r>
        <w:r>
          <w:rPr>
            <w:noProof/>
            <w:webHidden/>
          </w:rPr>
          <w:instrText xml:space="preserve"> PAGEREF _Toc63365004 \h </w:instrText>
        </w:r>
        <w:r>
          <w:rPr>
            <w:noProof/>
            <w:webHidden/>
          </w:rPr>
        </w:r>
        <w:r>
          <w:rPr>
            <w:noProof/>
            <w:webHidden/>
          </w:rPr>
          <w:fldChar w:fldCharType="separate"/>
        </w:r>
        <w:r>
          <w:rPr>
            <w:noProof/>
            <w:webHidden/>
          </w:rPr>
          <w:t>339</w:t>
        </w:r>
        <w:r>
          <w:rPr>
            <w:noProof/>
            <w:webHidden/>
          </w:rPr>
          <w:fldChar w:fldCharType="end"/>
        </w:r>
      </w:hyperlink>
    </w:p>
    <w:p w14:paraId="3665DEC5" w14:textId="7FB1F5D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5" w:history="1">
        <w:r w:rsidRPr="00FD7211">
          <w:rPr>
            <w:rStyle w:val="Collegamentoipertestuale"/>
            <w:noProof/>
          </w:rPr>
          <w:t>6.12. Riscossione in pendenza di ricorso come diversivo rispetto alla certezza della riscossione</w:t>
        </w:r>
        <w:r>
          <w:rPr>
            <w:noProof/>
            <w:webHidden/>
          </w:rPr>
          <w:tab/>
        </w:r>
        <w:r>
          <w:rPr>
            <w:noProof/>
            <w:webHidden/>
          </w:rPr>
          <w:fldChar w:fldCharType="begin"/>
        </w:r>
        <w:r>
          <w:rPr>
            <w:noProof/>
            <w:webHidden/>
          </w:rPr>
          <w:instrText xml:space="preserve"> PAGEREF _Toc63365005 \h </w:instrText>
        </w:r>
        <w:r>
          <w:rPr>
            <w:noProof/>
            <w:webHidden/>
          </w:rPr>
        </w:r>
        <w:r>
          <w:rPr>
            <w:noProof/>
            <w:webHidden/>
          </w:rPr>
          <w:fldChar w:fldCharType="separate"/>
        </w:r>
        <w:r>
          <w:rPr>
            <w:noProof/>
            <w:webHidden/>
          </w:rPr>
          <w:t>345</w:t>
        </w:r>
        <w:r>
          <w:rPr>
            <w:noProof/>
            <w:webHidden/>
          </w:rPr>
          <w:fldChar w:fldCharType="end"/>
        </w:r>
      </w:hyperlink>
    </w:p>
    <w:p w14:paraId="7D200BB2" w14:textId="1537F6C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6" w:history="1">
        <w:r w:rsidRPr="00FD7211">
          <w:rPr>
            <w:rStyle w:val="Collegamentoipertestuale"/>
            <w:noProof/>
          </w:rPr>
          <w:t>6.13. Inadeguatezza delle sanzioni a compensare l’insufficiente intervento valutativo degli uffici tributari.</w:t>
        </w:r>
        <w:r>
          <w:rPr>
            <w:noProof/>
            <w:webHidden/>
          </w:rPr>
          <w:tab/>
        </w:r>
        <w:r>
          <w:rPr>
            <w:noProof/>
            <w:webHidden/>
          </w:rPr>
          <w:fldChar w:fldCharType="begin"/>
        </w:r>
        <w:r>
          <w:rPr>
            <w:noProof/>
            <w:webHidden/>
          </w:rPr>
          <w:instrText xml:space="preserve"> PAGEREF _Toc63365006 \h </w:instrText>
        </w:r>
        <w:r>
          <w:rPr>
            <w:noProof/>
            <w:webHidden/>
          </w:rPr>
        </w:r>
        <w:r>
          <w:rPr>
            <w:noProof/>
            <w:webHidden/>
          </w:rPr>
          <w:fldChar w:fldCharType="separate"/>
        </w:r>
        <w:r>
          <w:rPr>
            <w:noProof/>
            <w:webHidden/>
          </w:rPr>
          <w:t>349</w:t>
        </w:r>
        <w:r>
          <w:rPr>
            <w:noProof/>
            <w:webHidden/>
          </w:rPr>
          <w:fldChar w:fldCharType="end"/>
        </w:r>
      </w:hyperlink>
    </w:p>
    <w:p w14:paraId="516DAD97" w14:textId="715A3B2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7" w:history="1">
        <w:r w:rsidRPr="00FD7211">
          <w:rPr>
            <w:rStyle w:val="Collegamentoipertestuale"/>
            <w:noProof/>
          </w:rPr>
          <w:t>6.14. Segue: 2 Il  palliativo penaltributario tra evasione in senso materiale e contestazioni interpretative</w:t>
        </w:r>
        <w:r>
          <w:rPr>
            <w:noProof/>
            <w:webHidden/>
          </w:rPr>
          <w:tab/>
        </w:r>
        <w:r>
          <w:rPr>
            <w:noProof/>
            <w:webHidden/>
          </w:rPr>
          <w:fldChar w:fldCharType="begin"/>
        </w:r>
        <w:r>
          <w:rPr>
            <w:noProof/>
            <w:webHidden/>
          </w:rPr>
          <w:instrText xml:space="preserve"> PAGEREF _Toc63365007 \h </w:instrText>
        </w:r>
        <w:r>
          <w:rPr>
            <w:noProof/>
            <w:webHidden/>
          </w:rPr>
        </w:r>
        <w:r>
          <w:rPr>
            <w:noProof/>
            <w:webHidden/>
          </w:rPr>
          <w:fldChar w:fldCharType="separate"/>
        </w:r>
        <w:r>
          <w:rPr>
            <w:noProof/>
            <w:webHidden/>
          </w:rPr>
          <w:t>356</w:t>
        </w:r>
        <w:r>
          <w:rPr>
            <w:noProof/>
            <w:webHidden/>
          </w:rPr>
          <w:fldChar w:fldCharType="end"/>
        </w:r>
      </w:hyperlink>
    </w:p>
    <w:p w14:paraId="77A9527E" w14:textId="3FE498F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8" w:history="1">
        <w:r w:rsidRPr="00FD7211">
          <w:rPr>
            <w:rStyle w:val="Collegamentoipertestuale"/>
            <w:noProof/>
          </w:rPr>
          <w:t>PARTE SECONDA . DAI PRESUPPOSTI ECONOMICI ALLE IMPOSTE .</w:t>
        </w:r>
        <w:r>
          <w:rPr>
            <w:noProof/>
            <w:webHidden/>
          </w:rPr>
          <w:tab/>
        </w:r>
        <w:r>
          <w:rPr>
            <w:noProof/>
            <w:webHidden/>
          </w:rPr>
          <w:fldChar w:fldCharType="begin"/>
        </w:r>
        <w:r>
          <w:rPr>
            <w:noProof/>
            <w:webHidden/>
          </w:rPr>
          <w:instrText xml:space="preserve"> PAGEREF _Toc63365008 \h </w:instrText>
        </w:r>
        <w:r>
          <w:rPr>
            <w:noProof/>
            <w:webHidden/>
          </w:rPr>
        </w:r>
        <w:r>
          <w:rPr>
            <w:noProof/>
            <w:webHidden/>
          </w:rPr>
          <w:fldChar w:fldCharType="separate"/>
        </w:r>
        <w:r>
          <w:rPr>
            <w:noProof/>
            <w:webHidden/>
          </w:rPr>
          <w:t>361</w:t>
        </w:r>
        <w:r>
          <w:rPr>
            <w:noProof/>
            <w:webHidden/>
          </w:rPr>
          <w:fldChar w:fldCharType="end"/>
        </w:r>
      </w:hyperlink>
    </w:p>
    <w:p w14:paraId="35CEA768" w14:textId="1F004D3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09" w:history="1">
        <w:r w:rsidRPr="00FD7211">
          <w:rPr>
            <w:rStyle w:val="Collegamentoipertestuale"/>
            <w:noProof/>
          </w:rPr>
          <w:t>CAPITOLO 7 DETERMINAZIONE SIMULTANEA DI CONSUMI E REDDITI ATTRAVERSO GLI OPERATORI ECONOMICI</w:t>
        </w:r>
        <w:r>
          <w:rPr>
            <w:noProof/>
            <w:webHidden/>
          </w:rPr>
          <w:tab/>
        </w:r>
        <w:r>
          <w:rPr>
            <w:noProof/>
            <w:webHidden/>
          </w:rPr>
          <w:fldChar w:fldCharType="begin"/>
        </w:r>
        <w:r>
          <w:rPr>
            <w:noProof/>
            <w:webHidden/>
          </w:rPr>
          <w:instrText xml:space="preserve"> PAGEREF _Toc63365009 \h </w:instrText>
        </w:r>
        <w:r>
          <w:rPr>
            <w:noProof/>
            <w:webHidden/>
          </w:rPr>
        </w:r>
        <w:r>
          <w:rPr>
            <w:noProof/>
            <w:webHidden/>
          </w:rPr>
          <w:fldChar w:fldCharType="separate"/>
        </w:r>
        <w:r>
          <w:rPr>
            <w:noProof/>
            <w:webHidden/>
          </w:rPr>
          <w:t>362</w:t>
        </w:r>
        <w:r>
          <w:rPr>
            <w:noProof/>
            <w:webHidden/>
          </w:rPr>
          <w:fldChar w:fldCharType="end"/>
        </w:r>
      </w:hyperlink>
    </w:p>
    <w:p w14:paraId="53F90F88" w14:textId="124B0C3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0" w:history="1">
        <w:r w:rsidRPr="00FD7211">
          <w:rPr>
            <w:rStyle w:val="Collegamentoipertestuale"/>
            <w:noProof/>
          </w:rPr>
          <w:t>7.1. Diritto tributario sostanziale e determinazione unitaria di consumi e redditi attraverso le aziende: Iva e imposte dirette</w:t>
        </w:r>
        <w:r>
          <w:rPr>
            <w:noProof/>
            <w:webHidden/>
          </w:rPr>
          <w:tab/>
        </w:r>
        <w:r>
          <w:rPr>
            <w:noProof/>
            <w:webHidden/>
          </w:rPr>
          <w:fldChar w:fldCharType="begin"/>
        </w:r>
        <w:r>
          <w:rPr>
            <w:noProof/>
            <w:webHidden/>
          </w:rPr>
          <w:instrText xml:space="preserve"> PAGEREF _Toc63365010 \h </w:instrText>
        </w:r>
        <w:r>
          <w:rPr>
            <w:noProof/>
            <w:webHidden/>
          </w:rPr>
        </w:r>
        <w:r>
          <w:rPr>
            <w:noProof/>
            <w:webHidden/>
          </w:rPr>
          <w:fldChar w:fldCharType="separate"/>
        </w:r>
        <w:r>
          <w:rPr>
            <w:noProof/>
            <w:webHidden/>
          </w:rPr>
          <w:t>363</w:t>
        </w:r>
        <w:r>
          <w:rPr>
            <w:noProof/>
            <w:webHidden/>
          </w:rPr>
          <w:fldChar w:fldCharType="end"/>
        </w:r>
      </w:hyperlink>
    </w:p>
    <w:p w14:paraId="14D5AA94" w14:textId="42132E0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1" w:history="1">
        <w:r w:rsidRPr="00FD7211">
          <w:rPr>
            <w:rStyle w:val="Collegamentoipertestuale"/>
            <w:noProof/>
          </w:rPr>
          <w:t>7.2. Imposte sui consumi: dalla visibilità materiale delle merci a quella contabile del “valore aggiunto” (l’IVA)</w:t>
        </w:r>
        <w:r>
          <w:rPr>
            <w:noProof/>
            <w:webHidden/>
          </w:rPr>
          <w:tab/>
        </w:r>
        <w:r>
          <w:rPr>
            <w:noProof/>
            <w:webHidden/>
          </w:rPr>
          <w:fldChar w:fldCharType="begin"/>
        </w:r>
        <w:r>
          <w:rPr>
            <w:noProof/>
            <w:webHidden/>
          </w:rPr>
          <w:instrText xml:space="preserve"> PAGEREF _Toc63365011 \h </w:instrText>
        </w:r>
        <w:r>
          <w:rPr>
            <w:noProof/>
            <w:webHidden/>
          </w:rPr>
        </w:r>
        <w:r>
          <w:rPr>
            <w:noProof/>
            <w:webHidden/>
          </w:rPr>
          <w:fldChar w:fldCharType="separate"/>
        </w:r>
        <w:r>
          <w:rPr>
            <w:noProof/>
            <w:webHidden/>
          </w:rPr>
          <w:t>366</w:t>
        </w:r>
        <w:r>
          <w:rPr>
            <w:noProof/>
            <w:webHidden/>
          </w:rPr>
          <w:fldChar w:fldCharType="end"/>
        </w:r>
      </w:hyperlink>
    </w:p>
    <w:p w14:paraId="63FD9EE5" w14:textId="058551B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2" w:history="1">
        <w:r w:rsidRPr="00FD7211">
          <w:rPr>
            <w:rStyle w:val="Collegamentoipertestuale"/>
            <w:noProof/>
          </w:rPr>
          <w:t>7.3. Segue: Tecniche IVA per raggiungere il consumo tra detrazione, “non imponibilità” aliquote ed esenzioni</w:t>
        </w:r>
        <w:r>
          <w:rPr>
            <w:noProof/>
            <w:webHidden/>
          </w:rPr>
          <w:tab/>
        </w:r>
        <w:r>
          <w:rPr>
            <w:noProof/>
            <w:webHidden/>
          </w:rPr>
          <w:fldChar w:fldCharType="begin"/>
        </w:r>
        <w:r>
          <w:rPr>
            <w:noProof/>
            <w:webHidden/>
          </w:rPr>
          <w:instrText xml:space="preserve"> PAGEREF _Toc63365012 \h </w:instrText>
        </w:r>
        <w:r>
          <w:rPr>
            <w:noProof/>
            <w:webHidden/>
          </w:rPr>
        </w:r>
        <w:r>
          <w:rPr>
            <w:noProof/>
            <w:webHidden/>
          </w:rPr>
          <w:fldChar w:fldCharType="separate"/>
        </w:r>
        <w:r>
          <w:rPr>
            <w:noProof/>
            <w:webHidden/>
          </w:rPr>
          <w:t>371</w:t>
        </w:r>
        <w:r>
          <w:rPr>
            <w:noProof/>
            <w:webHidden/>
          </w:rPr>
          <w:fldChar w:fldCharType="end"/>
        </w:r>
      </w:hyperlink>
    </w:p>
    <w:p w14:paraId="13C59AB3" w14:textId="1A9094C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3" w:history="1">
        <w:r w:rsidRPr="00FD7211">
          <w:rPr>
            <w:rStyle w:val="Collegamentoipertestuale"/>
            <w:noProof/>
          </w:rPr>
          <w:t>7.4. L’IVA nei rapporti internazionali e intracomunitari</w:t>
        </w:r>
        <w:r>
          <w:rPr>
            <w:noProof/>
            <w:webHidden/>
          </w:rPr>
          <w:tab/>
        </w:r>
        <w:r>
          <w:rPr>
            <w:noProof/>
            <w:webHidden/>
          </w:rPr>
          <w:fldChar w:fldCharType="begin"/>
        </w:r>
        <w:r>
          <w:rPr>
            <w:noProof/>
            <w:webHidden/>
          </w:rPr>
          <w:instrText xml:space="preserve"> PAGEREF _Toc63365013 \h </w:instrText>
        </w:r>
        <w:r>
          <w:rPr>
            <w:noProof/>
            <w:webHidden/>
          </w:rPr>
        </w:r>
        <w:r>
          <w:rPr>
            <w:noProof/>
            <w:webHidden/>
          </w:rPr>
          <w:fldChar w:fldCharType="separate"/>
        </w:r>
        <w:r>
          <w:rPr>
            <w:noProof/>
            <w:webHidden/>
          </w:rPr>
          <w:t>375</w:t>
        </w:r>
        <w:r>
          <w:rPr>
            <w:noProof/>
            <w:webHidden/>
          </w:rPr>
          <w:fldChar w:fldCharType="end"/>
        </w:r>
      </w:hyperlink>
    </w:p>
    <w:p w14:paraId="1ECC80E6" w14:textId="4F973F5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4" w:history="1">
        <w:r w:rsidRPr="00FD7211">
          <w:rPr>
            <w:rStyle w:val="Collegamentoipertestuale"/>
            <w:noProof/>
          </w:rPr>
          <w:t>7.5. Gli operatori economici (“soggetti IVA”) nella determinazione dei consumi e dei redditi attraverso le aziende</w:t>
        </w:r>
        <w:r>
          <w:rPr>
            <w:noProof/>
            <w:webHidden/>
          </w:rPr>
          <w:tab/>
        </w:r>
        <w:r>
          <w:rPr>
            <w:noProof/>
            <w:webHidden/>
          </w:rPr>
          <w:fldChar w:fldCharType="begin"/>
        </w:r>
        <w:r>
          <w:rPr>
            <w:noProof/>
            <w:webHidden/>
          </w:rPr>
          <w:instrText xml:space="preserve"> PAGEREF _Toc63365014 \h </w:instrText>
        </w:r>
        <w:r>
          <w:rPr>
            <w:noProof/>
            <w:webHidden/>
          </w:rPr>
        </w:r>
        <w:r>
          <w:rPr>
            <w:noProof/>
            <w:webHidden/>
          </w:rPr>
          <w:fldChar w:fldCharType="separate"/>
        </w:r>
        <w:r>
          <w:rPr>
            <w:noProof/>
            <w:webHidden/>
          </w:rPr>
          <w:t>379</w:t>
        </w:r>
        <w:r>
          <w:rPr>
            <w:noProof/>
            <w:webHidden/>
          </w:rPr>
          <w:fldChar w:fldCharType="end"/>
        </w:r>
      </w:hyperlink>
    </w:p>
    <w:p w14:paraId="2679B00D" w14:textId="53329CF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5" w:history="1">
        <w:r w:rsidRPr="00FD7211">
          <w:rPr>
            <w:rStyle w:val="Collegamentoipertestuale"/>
            <w:noProof/>
          </w:rPr>
          <w:t>7.6. Ricavi e costi come corrispettivi di “cessioni di beni” e “prestazioni di servizi”.</w:t>
        </w:r>
        <w:r>
          <w:rPr>
            <w:noProof/>
            <w:webHidden/>
          </w:rPr>
          <w:tab/>
        </w:r>
        <w:r>
          <w:rPr>
            <w:noProof/>
            <w:webHidden/>
          </w:rPr>
          <w:fldChar w:fldCharType="begin"/>
        </w:r>
        <w:r>
          <w:rPr>
            <w:noProof/>
            <w:webHidden/>
          </w:rPr>
          <w:instrText xml:space="preserve"> PAGEREF _Toc63365015 \h </w:instrText>
        </w:r>
        <w:r>
          <w:rPr>
            <w:noProof/>
            <w:webHidden/>
          </w:rPr>
        </w:r>
        <w:r>
          <w:rPr>
            <w:noProof/>
            <w:webHidden/>
          </w:rPr>
          <w:fldChar w:fldCharType="separate"/>
        </w:r>
        <w:r>
          <w:rPr>
            <w:noProof/>
            <w:webHidden/>
          </w:rPr>
          <w:t>383</w:t>
        </w:r>
        <w:r>
          <w:rPr>
            <w:noProof/>
            <w:webHidden/>
          </w:rPr>
          <w:fldChar w:fldCharType="end"/>
        </w:r>
      </w:hyperlink>
    </w:p>
    <w:p w14:paraId="2563BAEA" w14:textId="502E1E3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6" w:history="1">
        <w:r w:rsidRPr="00FD7211">
          <w:rPr>
            <w:rStyle w:val="Collegamentoipertestuale"/>
            <w:noProof/>
          </w:rPr>
          <w:t>7.7. Rilevazioni documentali delle operazioni (richiamo e integrazione del par. 3.3 su registrazioni, fatture, scontrini, note di credito)</w:t>
        </w:r>
        <w:r>
          <w:rPr>
            <w:noProof/>
            <w:webHidden/>
          </w:rPr>
          <w:tab/>
        </w:r>
        <w:r>
          <w:rPr>
            <w:noProof/>
            <w:webHidden/>
          </w:rPr>
          <w:fldChar w:fldCharType="begin"/>
        </w:r>
        <w:r>
          <w:rPr>
            <w:noProof/>
            <w:webHidden/>
          </w:rPr>
          <w:instrText xml:space="preserve"> PAGEREF _Toc63365016 \h </w:instrText>
        </w:r>
        <w:r>
          <w:rPr>
            <w:noProof/>
            <w:webHidden/>
          </w:rPr>
        </w:r>
        <w:r>
          <w:rPr>
            <w:noProof/>
            <w:webHidden/>
          </w:rPr>
          <w:fldChar w:fldCharType="separate"/>
        </w:r>
        <w:r>
          <w:rPr>
            <w:noProof/>
            <w:webHidden/>
          </w:rPr>
          <w:t>387</w:t>
        </w:r>
        <w:r>
          <w:rPr>
            <w:noProof/>
            <w:webHidden/>
          </w:rPr>
          <w:fldChar w:fldCharType="end"/>
        </w:r>
      </w:hyperlink>
    </w:p>
    <w:p w14:paraId="7E0674D3" w14:textId="05ED1863"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7" w:history="1">
        <w:r w:rsidRPr="00FD7211">
          <w:rPr>
            <w:rStyle w:val="Collegamentoipertestuale"/>
            <w:noProof/>
          </w:rPr>
          <w:t>7.8. Segue: dai documenti ai libri contabili (richiami e integrazioni rispetto ai paragrafi 3.3-3.4)</w:t>
        </w:r>
        <w:r>
          <w:rPr>
            <w:noProof/>
            <w:webHidden/>
          </w:rPr>
          <w:tab/>
        </w:r>
        <w:r>
          <w:rPr>
            <w:noProof/>
            <w:webHidden/>
          </w:rPr>
          <w:fldChar w:fldCharType="begin"/>
        </w:r>
        <w:r>
          <w:rPr>
            <w:noProof/>
            <w:webHidden/>
          </w:rPr>
          <w:instrText xml:space="preserve"> PAGEREF _Toc63365017 \h </w:instrText>
        </w:r>
        <w:r>
          <w:rPr>
            <w:noProof/>
            <w:webHidden/>
          </w:rPr>
        </w:r>
        <w:r>
          <w:rPr>
            <w:noProof/>
            <w:webHidden/>
          </w:rPr>
          <w:fldChar w:fldCharType="separate"/>
        </w:r>
        <w:r>
          <w:rPr>
            <w:noProof/>
            <w:webHidden/>
          </w:rPr>
          <w:t>393</w:t>
        </w:r>
        <w:r>
          <w:rPr>
            <w:noProof/>
            <w:webHidden/>
          </w:rPr>
          <w:fldChar w:fldCharType="end"/>
        </w:r>
      </w:hyperlink>
    </w:p>
    <w:p w14:paraId="58BCD057" w14:textId="5615163E"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8" w:history="1">
        <w:r w:rsidRPr="00FD7211">
          <w:rPr>
            <w:rStyle w:val="Collegamentoipertestuale"/>
            <w:noProof/>
          </w:rPr>
          <w:t>7.9. L’inerenza nelle imposte sui redditi e nell’IVA: 1) la distinzione tra costi e consumi</w:t>
        </w:r>
        <w:r>
          <w:rPr>
            <w:noProof/>
            <w:webHidden/>
          </w:rPr>
          <w:tab/>
        </w:r>
        <w:r>
          <w:rPr>
            <w:noProof/>
            <w:webHidden/>
          </w:rPr>
          <w:fldChar w:fldCharType="begin"/>
        </w:r>
        <w:r>
          <w:rPr>
            <w:noProof/>
            <w:webHidden/>
          </w:rPr>
          <w:instrText xml:space="preserve"> PAGEREF _Toc63365018 \h </w:instrText>
        </w:r>
        <w:r>
          <w:rPr>
            <w:noProof/>
            <w:webHidden/>
          </w:rPr>
        </w:r>
        <w:r>
          <w:rPr>
            <w:noProof/>
            <w:webHidden/>
          </w:rPr>
          <w:fldChar w:fldCharType="separate"/>
        </w:r>
        <w:r>
          <w:rPr>
            <w:noProof/>
            <w:webHidden/>
          </w:rPr>
          <w:t>397</w:t>
        </w:r>
        <w:r>
          <w:rPr>
            <w:noProof/>
            <w:webHidden/>
          </w:rPr>
          <w:fldChar w:fldCharType="end"/>
        </w:r>
      </w:hyperlink>
    </w:p>
    <w:p w14:paraId="5E918606" w14:textId="628D7CE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19" w:history="1">
        <w:r w:rsidRPr="00FD7211">
          <w:rPr>
            <w:rStyle w:val="Collegamentoipertestuale"/>
            <w:noProof/>
          </w:rPr>
          <w:t>7.10. Segue: 2) Inerenza e simmetria rispetto ad operazioni attive non soggette tributo (esenzioni IVA e  deduzione interessi passivi nelle imposte sui redditi)</w:t>
        </w:r>
        <w:r>
          <w:rPr>
            <w:noProof/>
            <w:webHidden/>
          </w:rPr>
          <w:tab/>
        </w:r>
        <w:r>
          <w:rPr>
            <w:noProof/>
            <w:webHidden/>
          </w:rPr>
          <w:fldChar w:fldCharType="begin"/>
        </w:r>
        <w:r>
          <w:rPr>
            <w:noProof/>
            <w:webHidden/>
          </w:rPr>
          <w:instrText xml:space="preserve"> PAGEREF _Toc63365019 \h </w:instrText>
        </w:r>
        <w:r>
          <w:rPr>
            <w:noProof/>
            <w:webHidden/>
          </w:rPr>
        </w:r>
        <w:r>
          <w:rPr>
            <w:noProof/>
            <w:webHidden/>
          </w:rPr>
          <w:fldChar w:fldCharType="separate"/>
        </w:r>
        <w:r>
          <w:rPr>
            <w:noProof/>
            <w:webHidden/>
          </w:rPr>
          <w:t>400</w:t>
        </w:r>
        <w:r>
          <w:rPr>
            <w:noProof/>
            <w:webHidden/>
          </w:rPr>
          <w:fldChar w:fldCharType="end"/>
        </w:r>
      </w:hyperlink>
    </w:p>
    <w:p w14:paraId="0FCF8E04" w14:textId="0625EDA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0" w:history="1">
        <w:r w:rsidRPr="00FD7211">
          <w:rPr>
            <w:rStyle w:val="Collegamentoipertestuale"/>
            <w:noProof/>
          </w:rPr>
          <w:t>7.11. Il momento impositivo nella tassazione attraverso le aziende (cassa, competenza, irrilevanza delle mere valutazioni e “neutralità”)</w:t>
        </w:r>
        <w:r>
          <w:rPr>
            <w:noProof/>
            <w:webHidden/>
          </w:rPr>
          <w:tab/>
        </w:r>
        <w:r>
          <w:rPr>
            <w:noProof/>
            <w:webHidden/>
          </w:rPr>
          <w:fldChar w:fldCharType="begin"/>
        </w:r>
        <w:r>
          <w:rPr>
            <w:noProof/>
            <w:webHidden/>
          </w:rPr>
          <w:instrText xml:space="preserve"> PAGEREF _Toc63365020 \h </w:instrText>
        </w:r>
        <w:r>
          <w:rPr>
            <w:noProof/>
            <w:webHidden/>
          </w:rPr>
        </w:r>
        <w:r>
          <w:rPr>
            <w:noProof/>
            <w:webHidden/>
          </w:rPr>
          <w:fldChar w:fldCharType="separate"/>
        </w:r>
        <w:r>
          <w:rPr>
            <w:noProof/>
            <w:webHidden/>
          </w:rPr>
          <w:t>404</w:t>
        </w:r>
        <w:r>
          <w:rPr>
            <w:noProof/>
            <w:webHidden/>
          </w:rPr>
          <w:fldChar w:fldCharType="end"/>
        </w:r>
      </w:hyperlink>
    </w:p>
    <w:p w14:paraId="2887F045" w14:textId="2404EA4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1" w:history="1">
        <w:r w:rsidRPr="00FD7211">
          <w:rPr>
            <w:rStyle w:val="Collegamentoipertestuale"/>
            <w:noProof/>
          </w:rPr>
          <w:t>7.12. Sopravvenienze e competenza (interna ed esterna) nelle imposte sui redditi</w:t>
        </w:r>
        <w:r>
          <w:rPr>
            <w:noProof/>
            <w:webHidden/>
          </w:rPr>
          <w:tab/>
        </w:r>
        <w:r>
          <w:rPr>
            <w:noProof/>
            <w:webHidden/>
          </w:rPr>
          <w:fldChar w:fldCharType="begin"/>
        </w:r>
        <w:r>
          <w:rPr>
            <w:noProof/>
            <w:webHidden/>
          </w:rPr>
          <w:instrText xml:space="preserve"> PAGEREF _Toc63365021 \h </w:instrText>
        </w:r>
        <w:r>
          <w:rPr>
            <w:noProof/>
            <w:webHidden/>
          </w:rPr>
        </w:r>
        <w:r>
          <w:rPr>
            <w:noProof/>
            <w:webHidden/>
          </w:rPr>
          <w:fldChar w:fldCharType="separate"/>
        </w:r>
        <w:r>
          <w:rPr>
            <w:noProof/>
            <w:webHidden/>
          </w:rPr>
          <w:t>409</w:t>
        </w:r>
        <w:r>
          <w:rPr>
            <w:noProof/>
            <w:webHidden/>
          </w:rPr>
          <w:fldChar w:fldCharType="end"/>
        </w:r>
      </w:hyperlink>
    </w:p>
    <w:p w14:paraId="02193F1E" w14:textId="09F02200"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2" w:history="1">
        <w:r w:rsidRPr="00FD7211">
          <w:rPr>
            <w:rStyle w:val="Collegamentoipertestuale"/>
            <w:noProof/>
          </w:rPr>
          <w:t>7.13. Il valore fiscalmente riconosciuto e l’esposizione in bilancio dei beni di impresa, tra criteri patrimoniali e reddituali</w:t>
        </w:r>
        <w:r>
          <w:rPr>
            <w:noProof/>
            <w:webHidden/>
          </w:rPr>
          <w:tab/>
        </w:r>
        <w:r>
          <w:rPr>
            <w:noProof/>
            <w:webHidden/>
          </w:rPr>
          <w:fldChar w:fldCharType="begin"/>
        </w:r>
        <w:r>
          <w:rPr>
            <w:noProof/>
            <w:webHidden/>
          </w:rPr>
          <w:instrText xml:space="preserve"> PAGEREF _Toc63365022 \h </w:instrText>
        </w:r>
        <w:r>
          <w:rPr>
            <w:noProof/>
            <w:webHidden/>
          </w:rPr>
        </w:r>
        <w:r>
          <w:rPr>
            <w:noProof/>
            <w:webHidden/>
          </w:rPr>
          <w:fldChar w:fldCharType="separate"/>
        </w:r>
        <w:r>
          <w:rPr>
            <w:noProof/>
            <w:webHidden/>
          </w:rPr>
          <w:t>410</w:t>
        </w:r>
        <w:r>
          <w:rPr>
            <w:noProof/>
            <w:webHidden/>
          </w:rPr>
          <w:fldChar w:fldCharType="end"/>
        </w:r>
      </w:hyperlink>
    </w:p>
    <w:p w14:paraId="1D971048" w14:textId="4383E6AD"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3" w:history="1">
        <w:r w:rsidRPr="00FD7211">
          <w:rPr>
            <w:rStyle w:val="Collegamentoipertestuale"/>
            <w:noProof/>
          </w:rPr>
          <w:t>7.14. Determinazione dell’imponibile e valutazioni di fine esercizio, tra bilancio e regole fiscali</w:t>
        </w:r>
        <w:r>
          <w:rPr>
            <w:noProof/>
            <w:webHidden/>
          </w:rPr>
          <w:tab/>
        </w:r>
        <w:r>
          <w:rPr>
            <w:noProof/>
            <w:webHidden/>
          </w:rPr>
          <w:fldChar w:fldCharType="begin"/>
        </w:r>
        <w:r>
          <w:rPr>
            <w:noProof/>
            <w:webHidden/>
          </w:rPr>
          <w:instrText xml:space="preserve"> PAGEREF _Toc63365023 \h </w:instrText>
        </w:r>
        <w:r>
          <w:rPr>
            <w:noProof/>
            <w:webHidden/>
          </w:rPr>
        </w:r>
        <w:r>
          <w:rPr>
            <w:noProof/>
            <w:webHidden/>
          </w:rPr>
          <w:fldChar w:fldCharType="separate"/>
        </w:r>
        <w:r>
          <w:rPr>
            <w:noProof/>
            <w:webHidden/>
          </w:rPr>
          <w:t>415</w:t>
        </w:r>
        <w:r>
          <w:rPr>
            <w:noProof/>
            <w:webHidden/>
          </w:rPr>
          <w:fldChar w:fldCharType="end"/>
        </w:r>
      </w:hyperlink>
    </w:p>
    <w:p w14:paraId="47585E58" w14:textId="3901F5D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4" w:history="1">
        <w:r w:rsidRPr="00FD7211">
          <w:rPr>
            <w:rStyle w:val="Collegamentoipertestuale"/>
            <w:noProof/>
          </w:rPr>
          <w:t>7.15. Le valutazioni del patrimonio ai fini del bilancio 1) ammortamenti e accantonamenti</w:t>
        </w:r>
        <w:r>
          <w:rPr>
            <w:noProof/>
            <w:webHidden/>
          </w:rPr>
          <w:tab/>
        </w:r>
        <w:r>
          <w:rPr>
            <w:noProof/>
            <w:webHidden/>
          </w:rPr>
          <w:fldChar w:fldCharType="begin"/>
        </w:r>
        <w:r>
          <w:rPr>
            <w:noProof/>
            <w:webHidden/>
          </w:rPr>
          <w:instrText xml:space="preserve"> PAGEREF _Toc63365024 \h </w:instrText>
        </w:r>
        <w:r>
          <w:rPr>
            <w:noProof/>
            <w:webHidden/>
          </w:rPr>
        </w:r>
        <w:r>
          <w:rPr>
            <w:noProof/>
            <w:webHidden/>
          </w:rPr>
          <w:fldChar w:fldCharType="separate"/>
        </w:r>
        <w:r>
          <w:rPr>
            <w:noProof/>
            <w:webHidden/>
          </w:rPr>
          <w:t>420</w:t>
        </w:r>
        <w:r>
          <w:rPr>
            <w:noProof/>
            <w:webHidden/>
          </w:rPr>
          <w:fldChar w:fldCharType="end"/>
        </w:r>
      </w:hyperlink>
    </w:p>
    <w:p w14:paraId="24282BB0" w14:textId="3FAE9062"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5" w:history="1">
        <w:r w:rsidRPr="00FD7211">
          <w:rPr>
            <w:rStyle w:val="Collegamentoipertestuale"/>
            <w:noProof/>
          </w:rPr>
          <w:t>7.16. Le valutazioni del patrimonio  ai fini del bilancio: 2) rimanenze di beni e servizi</w:t>
        </w:r>
        <w:r>
          <w:rPr>
            <w:noProof/>
            <w:webHidden/>
          </w:rPr>
          <w:tab/>
        </w:r>
        <w:r>
          <w:rPr>
            <w:noProof/>
            <w:webHidden/>
          </w:rPr>
          <w:fldChar w:fldCharType="begin"/>
        </w:r>
        <w:r>
          <w:rPr>
            <w:noProof/>
            <w:webHidden/>
          </w:rPr>
          <w:instrText xml:space="preserve"> PAGEREF _Toc63365025 \h </w:instrText>
        </w:r>
        <w:r>
          <w:rPr>
            <w:noProof/>
            <w:webHidden/>
          </w:rPr>
        </w:r>
        <w:r>
          <w:rPr>
            <w:noProof/>
            <w:webHidden/>
          </w:rPr>
          <w:fldChar w:fldCharType="separate"/>
        </w:r>
        <w:r>
          <w:rPr>
            <w:noProof/>
            <w:webHidden/>
          </w:rPr>
          <w:t>423</w:t>
        </w:r>
        <w:r>
          <w:rPr>
            <w:noProof/>
            <w:webHidden/>
          </w:rPr>
          <w:fldChar w:fldCharType="end"/>
        </w:r>
      </w:hyperlink>
    </w:p>
    <w:p w14:paraId="3420D0FC" w14:textId="084EC15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6" w:history="1">
        <w:r w:rsidRPr="00FD7211">
          <w:rPr>
            <w:rStyle w:val="Collegamentoipertestuale"/>
            <w:noProof/>
          </w:rPr>
          <w:t>7.17. Coordinamento tra tassazione delle società e dei soci</w:t>
        </w:r>
        <w:r>
          <w:rPr>
            <w:noProof/>
            <w:webHidden/>
          </w:rPr>
          <w:tab/>
        </w:r>
        <w:r>
          <w:rPr>
            <w:noProof/>
            <w:webHidden/>
          </w:rPr>
          <w:fldChar w:fldCharType="begin"/>
        </w:r>
        <w:r>
          <w:rPr>
            <w:noProof/>
            <w:webHidden/>
          </w:rPr>
          <w:instrText xml:space="preserve"> PAGEREF _Toc63365026 \h </w:instrText>
        </w:r>
        <w:r>
          <w:rPr>
            <w:noProof/>
            <w:webHidden/>
          </w:rPr>
        </w:r>
        <w:r>
          <w:rPr>
            <w:noProof/>
            <w:webHidden/>
          </w:rPr>
          <w:fldChar w:fldCharType="separate"/>
        </w:r>
        <w:r>
          <w:rPr>
            <w:noProof/>
            <w:webHidden/>
          </w:rPr>
          <w:t>427</w:t>
        </w:r>
        <w:r>
          <w:rPr>
            <w:noProof/>
            <w:webHidden/>
          </w:rPr>
          <w:fldChar w:fldCharType="end"/>
        </w:r>
      </w:hyperlink>
    </w:p>
    <w:p w14:paraId="69FE296A" w14:textId="19BB57F5"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7" w:history="1">
        <w:r w:rsidRPr="00FD7211">
          <w:rPr>
            <w:rStyle w:val="Collegamentoipertestuale"/>
            <w:noProof/>
          </w:rPr>
          <w:t>7.18. Collegamento dei redditi al territorio nazionale: criterio della produzione, della residenza e relativo coordinamento contro doppie imposizioni</w:t>
        </w:r>
        <w:r>
          <w:rPr>
            <w:noProof/>
            <w:webHidden/>
          </w:rPr>
          <w:tab/>
        </w:r>
        <w:r>
          <w:rPr>
            <w:noProof/>
            <w:webHidden/>
          </w:rPr>
          <w:fldChar w:fldCharType="begin"/>
        </w:r>
        <w:r>
          <w:rPr>
            <w:noProof/>
            <w:webHidden/>
          </w:rPr>
          <w:instrText xml:space="preserve"> PAGEREF _Toc63365027 \h </w:instrText>
        </w:r>
        <w:r>
          <w:rPr>
            <w:noProof/>
            <w:webHidden/>
          </w:rPr>
        </w:r>
        <w:r>
          <w:rPr>
            <w:noProof/>
            <w:webHidden/>
          </w:rPr>
          <w:fldChar w:fldCharType="separate"/>
        </w:r>
        <w:r>
          <w:rPr>
            <w:noProof/>
            <w:webHidden/>
          </w:rPr>
          <w:t>433</w:t>
        </w:r>
        <w:r>
          <w:rPr>
            <w:noProof/>
            <w:webHidden/>
          </w:rPr>
          <w:fldChar w:fldCharType="end"/>
        </w:r>
      </w:hyperlink>
    </w:p>
    <w:p w14:paraId="5687A77D" w14:textId="736AAE8E"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8" w:history="1">
        <w:r w:rsidRPr="00FD7211">
          <w:rPr>
            <w:rStyle w:val="Collegamentoipertestuale"/>
            <w:noProof/>
          </w:rPr>
          <w:t>7.19. Segue: simmetrie fiscali e rapporti internazionali, concorrenza fiscale dannosa, transfer price, cfc.</w:t>
        </w:r>
        <w:r>
          <w:rPr>
            <w:noProof/>
            <w:webHidden/>
          </w:rPr>
          <w:tab/>
        </w:r>
        <w:r>
          <w:rPr>
            <w:noProof/>
            <w:webHidden/>
          </w:rPr>
          <w:fldChar w:fldCharType="begin"/>
        </w:r>
        <w:r>
          <w:rPr>
            <w:noProof/>
            <w:webHidden/>
          </w:rPr>
          <w:instrText xml:space="preserve"> PAGEREF _Toc63365028 \h </w:instrText>
        </w:r>
        <w:r>
          <w:rPr>
            <w:noProof/>
            <w:webHidden/>
          </w:rPr>
        </w:r>
        <w:r>
          <w:rPr>
            <w:noProof/>
            <w:webHidden/>
          </w:rPr>
          <w:fldChar w:fldCharType="separate"/>
        </w:r>
        <w:r>
          <w:rPr>
            <w:noProof/>
            <w:webHidden/>
          </w:rPr>
          <w:t>438</w:t>
        </w:r>
        <w:r>
          <w:rPr>
            <w:noProof/>
            <w:webHidden/>
          </w:rPr>
          <w:fldChar w:fldCharType="end"/>
        </w:r>
      </w:hyperlink>
    </w:p>
    <w:p w14:paraId="2D315A67" w14:textId="3F3804BE"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29" w:history="1">
        <w:r w:rsidRPr="00FD7211">
          <w:rPr>
            <w:rStyle w:val="Collegamentoipertestuale"/>
            <w:noProof/>
          </w:rPr>
          <w:t>7.20. Realizzo e neutralità nelle operazioni straordinarie d’impresa.</w:t>
        </w:r>
        <w:r>
          <w:rPr>
            <w:noProof/>
            <w:webHidden/>
          </w:rPr>
          <w:tab/>
        </w:r>
        <w:r>
          <w:rPr>
            <w:noProof/>
            <w:webHidden/>
          </w:rPr>
          <w:fldChar w:fldCharType="begin"/>
        </w:r>
        <w:r>
          <w:rPr>
            <w:noProof/>
            <w:webHidden/>
          </w:rPr>
          <w:instrText xml:space="preserve"> PAGEREF _Toc63365029 \h </w:instrText>
        </w:r>
        <w:r>
          <w:rPr>
            <w:noProof/>
            <w:webHidden/>
          </w:rPr>
        </w:r>
        <w:r>
          <w:rPr>
            <w:noProof/>
            <w:webHidden/>
          </w:rPr>
          <w:fldChar w:fldCharType="separate"/>
        </w:r>
        <w:r>
          <w:rPr>
            <w:noProof/>
            <w:webHidden/>
          </w:rPr>
          <w:t>443</w:t>
        </w:r>
        <w:r>
          <w:rPr>
            <w:noProof/>
            <w:webHidden/>
          </w:rPr>
          <w:fldChar w:fldCharType="end"/>
        </w:r>
      </w:hyperlink>
    </w:p>
    <w:p w14:paraId="5965DBC9" w14:textId="424EB7C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0" w:history="1">
        <w:r w:rsidRPr="00FD7211">
          <w:rPr>
            <w:rStyle w:val="Collegamentoipertestuale"/>
            <w:noProof/>
          </w:rPr>
          <w:t>7.21. Determinazione dei tributi e procedure concorsuali</w:t>
        </w:r>
        <w:r>
          <w:rPr>
            <w:noProof/>
            <w:webHidden/>
          </w:rPr>
          <w:tab/>
        </w:r>
        <w:r>
          <w:rPr>
            <w:noProof/>
            <w:webHidden/>
          </w:rPr>
          <w:fldChar w:fldCharType="begin"/>
        </w:r>
        <w:r>
          <w:rPr>
            <w:noProof/>
            <w:webHidden/>
          </w:rPr>
          <w:instrText xml:space="preserve"> PAGEREF _Toc63365030 \h </w:instrText>
        </w:r>
        <w:r>
          <w:rPr>
            <w:noProof/>
            <w:webHidden/>
          </w:rPr>
        </w:r>
        <w:r>
          <w:rPr>
            <w:noProof/>
            <w:webHidden/>
          </w:rPr>
          <w:fldChar w:fldCharType="separate"/>
        </w:r>
        <w:r>
          <w:rPr>
            <w:noProof/>
            <w:webHidden/>
          </w:rPr>
          <w:t>446</w:t>
        </w:r>
        <w:r>
          <w:rPr>
            <w:noProof/>
            <w:webHidden/>
          </w:rPr>
          <w:fldChar w:fldCharType="end"/>
        </w:r>
      </w:hyperlink>
    </w:p>
    <w:p w14:paraId="33AD9AF7" w14:textId="1E3B96B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1" w:history="1">
        <w:r w:rsidRPr="00FD7211">
          <w:rPr>
            <w:rStyle w:val="Collegamentoipertestuale"/>
            <w:noProof/>
          </w:rPr>
          <w:t>CAPITOLO 8 OPERATORI ECONOMICI “NON D’IMPRESA” E ALTRI REDDITIERI (PROFESSIONI LIBERALI, AGRICOLTURA, IMMOBILI E RISPARMIO)</w:t>
        </w:r>
        <w:r>
          <w:rPr>
            <w:noProof/>
            <w:webHidden/>
          </w:rPr>
          <w:tab/>
        </w:r>
        <w:r>
          <w:rPr>
            <w:noProof/>
            <w:webHidden/>
          </w:rPr>
          <w:fldChar w:fldCharType="begin"/>
        </w:r>
        <w:r>
          <w:rPr>
            <w:noProof/>
            <w:webHidden/>
          </w:rPr>
          <w:instrText xml:space="preserve"> PAGEREF _Toc63365031 \h </w:instrText>
        </w:r>
        <w:r>
          <w:rPr>
            <w:noProof/>
            <w:webHidden/>
          </w:rPr>
        </w:r>
        <w:r>
          <w:rPr>
            <w:noProof/>
            <w:webHidden/>
          </w:rPr>
          <w:fldChar w:fldCharType="separate"/>
        </w:r>
        <w:r>
          <w:rPr>
            <w:noProof/>
            <w:webHidden/>
          </w:rPr>
          <w:t>450</w:t>
        </w:r>
        <w:r>
          <w:rPr>
            <w:noProof/>
            <w:webHidden/>
          </w:rPr>
          <w:fldChar w:fldCharType="end"/>
        </w:r>
      </w:hyperlink>
    </w:p>
    <w:p w14:paraId="261ED39E" w14:textId="32440E9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2" w:history="1">
        <w:r w:rsidRPr="00FD7211">
          <w:rPr>
            <w:rStyle w:val="Collegamentoipertestuale"/>
            <w:noProof/>
          </w:rPr>
          <w:t>8.1. Le modeste specificità rispetto all’impresa del lavoro autonomo “professionale”</w:t>
        </w:r>
        <w:r>
          <w:rPr>
            <w:noProof/>
            <w:webHidden/>
          </w:rPr>
          <w:tab/>
        </w:r>
        <w:r>
          <w:rPr>
            <w:noProof/>
            <w:webHidden/>
          </w:rPr>
          <w:fldChar w:fldCharType="begin"/>
        </w:r>
        <w:r>
          <w:rPr>
            <w:noProof/>
            <w:webHidden/>
          </w:rPr>
          <w:instrText xml:space="preserve"> PAGEREF _Toc63365032 \h </w:instrText>
        </w:r>
        <w:r>
          <w:rPr>
            <w:noProof/>
            <w:webHidden/>
          </w:rPr>
        </w:r>
        <w:r>
          <w:rPr>
            <w:noProof/>
            <w:webHidden/>
          </w:rPr>
          <w:fldChar w:fldCharType="separate"/>
        </w:r>
        <w:r>
          <w:rPr>
            <w:noProof/>
            <w:webHidden/>
          </w:rPr>
          <w:t>450</w:t>
        </w:r>
        <w:r>
          <w:rPr>
            <w:noProof/>
            <w:webHidden/>
          </w:rPr>
          <w:fldChar w:fldCharType="end"/>
        </w:r>
      </w:hyperlink>
    </w:p>
    <w:p w14:paraId="07A91EBB" w14:textId="59ACE0B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3" w:history="1">
        <w:r w:rsidRPr="00FD7211">
          <w:rPr>
            <w:rStyle w:val="Collegamentoipertestuale"/>
            <w:noProof/>
          </w:rPr>
          <w:t>8.2. Ricchezza agricola tra catasto e IVA (tracce di forfettizzazione nella tassazione attraverso le aziende?)</w:t>
        </w:r>
        <w:r>
          <w:rPr>
            <w:noProof/>
            <w:webHidden/>
          </w:rPr>
          <w:tab/>
        </w:r>
        <w:r>
          <w:rPr>
            <w:noProof/>
            <w:webHidden/>
          </w:rPr>
          <w:fldChar w:fldCharType="begin"/>
        </w:r>
        <w:r>
          <w:rPr>
            <w:noProof/>
            <w:webHidden/>
          </w:rPr>
          <w:instrText xml:space="preserve"> PAGEREF _Toc63365033 \h </w:instrText>
        </w:r>
        <w:r>
          <w:rPr>
            <w:noProof/>
            <w:webHidden/>
          </w:rPr>
        </w:r>
        <w:r>
          <w:rPr>
            <w:noProof/>
            <w:webHidden/>
          </w:rPr>
          <w:fldChar w:fldCharType="separate"/>
        </w:r>
        <w:r>
          <w:rPr>
            <w:noProof/>
            <w:webHidden/>
          </w:rPr>
          <w:t>452</w:t>
        </w:r>
        <w:r>
          <w:rPr>
            <w:noProof/>
            <w:webHidden/>
          </w:rPr>
          <w:fldChar w:fldCharType="end"/>
        </w:r>
      </w:hyperlink>
    </w:p>
    <w:p w14:paraId="7E0CA699" w14:textId="489D28B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4" w:history="1">
        <w:r w:rsidRPr="00FD7211">
          <w:rPr>
            <w:rStyle w:val="Collegamentoipertestuale"/>
            <w:noProof/>
          </w:rPr>
          <w:t>8.3. Tassazione ragionieristico-documentale del lavoro dipendente</w:t>
        </w:r>
        <w:r>
          <w:rPr>
            <w:noProof/>
            <w:webHidden/>
          </w:rPr>
          <w:tab/>
        </w:r>
        <w:r>
          <w:rPr>
            <w:noProof/>
            <w:webHidden/>
          </w:rPr>
          <w:fldChar w:fldCharType="begin"/>
        </w:r>
        <w:r>
          <w:rPr>
            <w:noProof/>
            <w:webHidden/>
          </w:rPr>
          <w:instrText xml:space="preserve"> PAGEREF _Toc63365034 \h </w:instrText>
        </w:r>
        <w:r>
          <w:rPr>
            <w:noProof/>
            <w:webHidden/>
          </w:rPr>
        </w:r>
        <w:r>
          <w:rPr>
            <w:noProof/>
            <w:webHidden/>
          </w:rPr>
          <w:fldChar w:fldCharType="separate"/>
        </w:r>
        <w:r>
          <w:rPr>
            <w:noProof/>
            <w:webHidden/>
          </w:rPr>
          <w:t>456</w:t>
        </w:r>
        <w:r>
          <w:rPr>
            <w:noProof/>
            <w:webHidden/>
          </w:rPr>
          <w:fldChar w:fldCharType="end"/>
        </w:r>
      </w:hyperlink>
    </w:p>
    <w:p w14:paraId="46604467" w14:textId="08904871"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5" w:history="1">
        <w:r w:rsidRPr="00FD7211">
          <w:rPr>
            <w:rStyle w:val="Collegamentoipertestuale"/>
            <w:noProof/>
          </w:rPr>
          <w:t>8.4. Redditi dei fabbricati e fiscalità immobiliare: l’importanza delle segnalazioni dell’inquilino</w:t>
        </w:r>
        <w:r>
          <w:rPr>
            <w:noProof/>
            <w:webHidden/>
          </w:rPr>
          <w:tab/>
        </w:r>
        <w:r>
          <w:rPr>
            <w:noProof/>
            <w:webHidden/>
          </w:rPr>
          <w:fldChar w:fldCharType="begin"/>
        </w:r>
        <w:r>
          <w:rPr>
            <w:noProof/>
            <w:webHidden/>
          </w:rPr>
          <w:instrText xml:space="preserve"> PAGEREF _Toc63365035 \h </w:instrText>
        </w:r>
        <w:r>
          <w:rPr>
            <w:noProof/>
            <w:webHidden/>
          </w:rPr>
        </w:r>
        <w:r>
          <w:rPr>
            <w:noProof/>
            <w:webHidden/>
          </w:rPr>
          <w:fldChar w:fldCharType="separate"/>
        </w:r>
        <w:r>
          <w:rPr>
            <w:noProof/>
            <w:webHidden/>
          </w:rPr>
          <w:t>460</w:t>
        </w:r>
        <w:r>
          <w:rPr>
            <w:noProof/>
            <w:webHidden/>
          </w:rPr>
          <w:fldChar w:fldCharType="end"/>
        </w:r>
      </w:hyperlink>
    </w:p>
    <w:p w14:paraId="762CF0F7" w14:textId="2B4B3D3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6" w:history="1">
        <w:r w:rsidRPr="00FD7211">
          <w:rPr>
            <w:rStyle w:val="Collegamentoipertestuale"/>
            <w:noProof/>
          </w:rPr>
          <w:t>8.5. Tassazione attraverso le aziende di redditi di capitale e plusvalenze finanziarie</w:t>
        </w:r>
        <w:r>
          <w:rPr>
            <w:noProof/>
            <w:webHidden/>
          </w:rPr>
          <w:tab/>
        </w:r>
        <w:r>
          <w:rPr>
            <w:noProof/>
            <w:webHidden/>
          </w:rPr>
          <w:fldChar w:fldCharType="begin"/>
        </w:r>
        <w:r>
          <w:rPr>
            <w:noProof/>
            <w:webHidden/>
          </w:rPr>
          <w:instrText xml:space="preserve"> PAGEREF _Toc63365036 \h </w:instrText>
        </w:r>
        <w:r>
          <w:rPr>
            <w:noProof/>
            <w:webHidden/>
          </w:rPr>
        </w:r>
        <w:r>
          <w:rPr>
            <w:noProof/>
            <w:webHidden/>
          </w:rPr>
          <w:fldChar w:fldCharType="separate"/>
        </w:r>
        <w:r>
          <w:rPr>
            <w:noProof/>
            <w:webHidden/>
          </w:rPr>
          <w:t>463</w:t>
        </w:r>
        <w:r>
          <w:rPr>
            <w:noProof/>
            <w:webHidden/>
          </w:rPr>
          <w:fldChar w:fldCharType="end"/>
        </w:r>
      </w:hyperlink>
    </w:p>
    <w:p w14:paraId="352533DC" w14:textId="619B8AD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7" w:history="1">
        <w:r w:rsidRPr="00FD7211">
          <w:rPr>
            <w:rStyle w:val="Collegamentoipertestuale"/>
            <w:noProof/>
          </w:rPr>
          <w:t>8.6. Le principali ipotesi residuali (“redditi diversi”)</w:t>
        </w:r>
        <w:r>
          <w:rPr>
            <w:noProof/>
            <w:webHidden/>
          </w:rPr>
          <w:tab/>
        </w:r>
        <w:r>
          <w:rPr>
            <w:noProof/>
            <w:webHidden/>
          </w:rPr>
          <w:fldChar w:fldCharType="begin"/>
        </w:r>
        <w:r>
          <w:rPr>
            <w:noProof/>
            <w:webHidden/>
          </w:rPr>
          <w:instrText xml:space="preserve"> PAGEREF _Toc63365037 \h </w:instrText>
        </w:r>
        <w:r>
          <w:rPr>
            <w:noProof/>
            <w:webHidden/>
          </w:rPr>
        </w:r>
        <w:r>
          <w:rPr>
            <w:noProof/>
            <w:webHidden/>
          </w:rPr>
          <w:fldChar w:fldCharType="separate"/>
        </w:r>
        <w:r>
          <w:rPr>
            <w:noProof/>
            <w:webHidden/>
          </w:rPr>
          <w:t>466</w:t>
        </w:r>
        <w:r>
          <w:rPr>
            <w:noProof/>
            <w:webHidden/>
          </w:rPr>
          <w:fldChar w:fldCharType="end"/>
        </w:r>
      </w:hyperlink>
    </w:p>
    <w:p w14:paraId="6F4349C6" w14:textId="3252CA6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8" w:history="1">
        <w:r w:rsidRPr="00FD7211">
          <w:rPr>
            <w:rStyle w:val="Collegamentoipertestuale"/>
            <w:noProof/>
          </w:rPr>
          <w:t>CAP 9 DAL RISULTATO DELL’ATTIVITÀ ALLE IMPOSTE, REALI E PERSONALI</w:t>
        </w:r>
        <w:r>
          <w:rPr>
            <w:noProof/>
            <w:webHidden/>
          </w:rPr>
          <w:tab/>
        </w:r>
        <w:r>
          <w:rPr>
            <w:noProof/>
            <w:webHidden/>
          </w:rPr>
          <w:fldChar w:fldCharType="begin"/>
        </w:r>
        <w:r>
          <w:rPr>
            <w:noProof/>
            <w:webHidden/>
          </w:rPr>
          <w:instrText xml:space="preserve"> PAGEREF _Toc63365038 \h </w:instrText>
        </w:r>
        <w:r>
          <w:rPr>
            <w:noProof/>
            <w:webHidden/>
          </w:rPr>
        </w:r>
        <w:r>
          <w:rPr>
            <w:noProof/>
            <w:webHidden/>
          </w:rPr>
          <w:fldChar w:fldCharType="separate"/>
        </w:r>
        <w:r>
          <w:rPr>
            <w:noProof/>
            <w:webHidden/>
          </w:rPr>
          <w:t>469</w:t>
        </w:r>
        <w:r>
          <w:rPr>
            <w:noProof/>
            <w:webHidden/>
          </w:rPr>
          <w:fldChar w:fldCharType="end"/>
        </w:r>
      </w:hyperlink>
    </w:p>
    <w:p w14:paraId="03721C62" w14:textId="278D4D8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39" w:history="1">
        <w:r w:rsidRPr="00FD7211">
          <w:rPr>
            <w:rStyle w:val="Collegamentoipertestuale"/>
            <w:noProof/>
          </w:rPr>
          <w:t>9.1. Dalla determinazione della ricchezza a quella delle imposte: IRES, IRPEF e IRAP</w:t>
        </w:r>
        <w:r>
          <w:rPr>
            <w:noProof/>
            <w:webHidden/>
          </w:rPr>
          <w:tab/>
        </w:r>
        <w:r>
          <w:rPr>
            <w:noProof/>
            <w:webHidden/>
          </w:rPr>
          <w:fldChar w:fldCharType="begin"/>
        </w:r>
        <w:r>
          <w:rPr>
            <w:noProof/>
            <w:webHidden/>
          </w:rPr>
          <w:instrText xml:space="preserve"> PAGEREF _Toc63365039 \h </w:instrText>
        </w:r>
        <w:r>
          <w:rPr>
            <w:noProof/>
            <w:webHidden/>
          </w:rPr>
        </w:r>
        <w:r>
          <w:rPr>
            <w:noProof/>
            <w:webHidden/>
          </w:rPr>
          <w:fldChar w:fldCharType="separate"/>
        </w:r>
        <w:r>
          <w:rPr>
            <w:noProof/>
            <w:webHidden/>
          </w:rPr>
          <w:t>470</w:t>
        </w:r>
        <w:r>
          <w:rPr>
            <w:noProof/>
            <w:webHidden/>
          </w:rPr>
          <w:fldChar w:fldCharType="end"/>
        </w:r>
      </w:hyperlink>
    </w:p>
    <w:p w14:paraId="4BB77AFF" w14:textId="6B6DA33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0" w:history="1">
        <w:r w:rsidRPr="00FD7211">
          <w:rPr>
            <w:rStyle w:val="Collegamentoipertestuale"/>
            <w:noProof/>
          </w:rPr>
          <w:t>9.2. Segue. Precisazioni su “personalità/realità” dei tributi e aspetti comuni alla determinazione dei redditi (valore normale, inflazione etc.).</w:t>
        </w:r>
        <w:r>
          <w:rPr>
            <w:noProof/>
            <w:webHidden/>
          </w:rPr>
          <w:tab/>
        </w:r>
        <w:r>
          <w:rPr>
            <w:noProof/>
            <w:webHidden/>
          </w:rPr>
          <w:fldChar w:fldCharType="begin"/>
        </w:r>
        <w:r>
          <w:rPr>
            <w:noProof/>
            <w:webHidden/>
          </w:rPr>
          <w:instrText xml:space="preserve"> PAGEREF _Toc63365040 \h </w:instrText>
        </w:r>
        <w:r>
          <w:rPr>
            <w:noProof/>
            <w:webHidden/>
          </w:rPr>
        </w:r>
        <w:r>
          <w:rPr>
            <w:noProof/>
            <w:webHidden/>
          </w:rPr>
          <w:fldChar w:fldCharType="separate"/>
        </w:r>
        <w:r>
          <w:rPr>
            <w:noProof/>
            <w:webHidden/>
          </w:rPr>
          <w:t>471</w:t>
        </w:r>
        <w:r>
          <w:rPr>
            <w:noProof/>
            <w:webHidden/>
          </w:rPr>
          <w:fldChar w:fldCharType="end"/>
        </w:r>
      </w:hyperlink>
    </w:p>
    <w:p w14:paraId="58F66698" w14:textId="757F4734"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1" w:history="1">
        <w:r w:rsidRPr="00FD7211">
          <w:rPr>
            <w:rStyle w:val="Collegamentoipertestuale"/>
            <w:noProof/>
          </w:rPr>
          <w:t>9.3. Personalità dell’IRPEF: oneri deducibili, detrazioni e “contrasto di interessi”</w:t>
        </w:r>
        <w:r>
          <w:rPr>
            <w:noProof/>
            <w:webHidden/>
          </w:rPr>
          <w:tab/>
        </w:r>
        <w:r>
          <w:rPr>
            <w:noProof/>
            <w:webHidden/>
          </w:rPr>
          <w:fldChar w:fldCharType="begin"/>
        </w:r>
        <w:r>
          <w:rPr>
            <w:noProof/>
            <w:webHidden/>
          </w:rPr>
          <w:instrText xml:space="preserve"> PAGEREF _Toc63365041 \h </w:instrText>
        </w:r>
        <w:r>
          <w:rPr>
            <w:noProof/>
            <w:webHidden/>
          </w:rPr>
        </w:r>
        <w:r>
          <w:rPr>
            <w:noProof/>
            <w:webHidden/>
          </w:rPr>
          <w:fldChar w:fldCharType="separate"/>
        </w:r>
        <w:r>
          <w:rPr>
            <w:noProof/>
            <w:webHidden/>
          </w:rPr>
          <w:t>474</w:t>
        </w:r>
        <w:r>
          <w:rPr>
            <w:noProof/>
            <w:webHidden/>
          </w:rPr>
          <w:fldChar w:fldCharType="end"/>
        </w:r>
      </w:hyperlink>
    </w:p>
    <w:p w14:paraId="7FCACCE0" w14:textId="0A909B6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2" w:history="1">
        <w:r w:rsidRPr="00FD7211">
          <w:rPr>
            <w:rStyle w:val="Collegamentoipertestuale"/>
            <w:noProof/>
          </w:rPr>
          <w:t>9.4.) Aliquote progressive, imposte sostitutive e distribuzione dei redditi nel tempo</w:t>
        </w:r>
        <w:r>
          <w:rPr>
            <w:noProof/>
            <w:webHidden/>
          </w:rPr>
          <w:tab/>
        </w:r>
        <w:r>
          <w:rPr>
            <w:noProof/>
            <w:webHidden/>
          </w:rPr>
          <w:fldChar w:fldCharType="begin"/>
        </w:r>
        <w:r>
          <w:rPr>
            <w:noProof/>
            <w:webHidden/>
          </w:rPr>
          <w:instrText xml:space="preserve"> PAGEREF _Toc63365042 \h </w:instrText>
        </w:r>
        <w:r>
          <w:rPr>
            <w:noProof/>
            <w:webHidden/>
          </w:rPr>
        </w:r>
        <w:r>
          <w:rPr>
            <w:noProof/>
            <w:webHidden/>
          </w:rPr>
          <w:fldChar w:fldCharType="separate"/>
        </w:r>
        <w:r>
          <w:rPr>
            <w:noProof/>
            <w:webHidden/>
          </w:rPr>
          <w:t>477</w:t>
        </w:r>
        <w:r>
          <w:rPr>
            <w:noProof/>
            <w:webHidden/>
          </w:rPr>
          <w:fldChar w:fldCharType="end"/>
        </w:r>
      </w:hyperlink>
    </w:p>
    <w:p w14:paraId="2222B0A7" w14:textId="5F7773DD"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3" w:history="1">
        <w:r w:rsidRPr="00FD7211">
          <w:rPr>
            <w:rStyle w:val="Collegamentoipertestuale"/>
            <w:noProof/>
          </w:rPr>
          <w:t>9.5. L’IRAP e la tassazione attraverso le aziende del valore aggiunto “tipo reddito”</w:t>
        </w:r>
        <w:r>
          <w:rPr>
            <w:noProof/>
            <w:webHidden/>
          </w:rPr>
          <w:tab/>
        </w:r>
        <w:r>
          <w:rPr>
            <w:noProof/>
            <w:webHidden/>
          </w:rPr>
          <w:fldChar w:fldCharType="begin"/>
        </w:r>
        <w:r>
          <w:rPr>
            <w:noProof/>
            <w:webHidden/>
          </w:rPr>
          <w:instrText xml:space="preserve"> PAGEREF _Toc63365043 \h </w:instrText>
        </w:r>
        <w:r>
          <w:rPr>
            <w:noProof/>
            <w:webHidden/>
          </w:rPr>
        </w:r>
        <w:r>
          <w:rPr>
            <w:noProof/>
            <w:webHidden/>
          </w:rPr>
          <w:fldChar w:fldCharType="separate"/>
        </w:r>
        <w:r>
          <w:rPr>
            <w:noProof/>
            <w:webHidden/>
          </w:rPr>
          <w:t>480</w:t>
        </w:r>
        <w:r>
          <w:rPr>
            <w:noProof/>
            <w:webHidden/>
          </w:rPr>
          <w:fldChar w:fldCharType="end"/>
        </w:r>
      </w:hyperlink>
    </w:p>
    <w:p w14:paraId="27DFB323" w14:textId="2B1C9E05"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4" w:history="1">
        <w:r w:rsidRPr="00FD7211">
          <w:rPr>
            <w:rStyle w:val="Collegamentoipertestuale"/>
            <w:noProof/>
          </w:rPr>
          <w:t>CAP 10 ADATTAMENTO DEI “TRIBUTI MINORI” ALLA TASSAZIONE ATTRAVERSO LE AZIENDE</w:t>
        </w:r>
        <w:r>
          <w:rPr>
            <w:noProof/>
            <w:webHidden/>
          </w:rPr>
          <w:tab/>
        </w:r>
        <w:r>
          <w:rPr>
            <w:noProof/>
            <w:webHidden/>
          </w:rPr>
          <w:fldChar w:fldCharType="begin"/>
        </w:r>
        <w:r>
          <w:rPr>
            <w:noProof/>
            <w:webHidden/>
          </w:rPr>
          <w:instrText xml:space="preserve"> PAGEREF _Toc63365044 \h </w:instrText>
        </w:r>
        <w:r>
          <w:rPr>
            <w:noProof/>
            <w:webHidden/>
          </w:rPr>
        </w:r>
        <w:r>
          <w:rPr>
            <w:noProof/>
            <w:webHidden/>
          </w:rPr>
          <w:fldChar w:fldCharType="separate"/>
        </w:r>
        <w:r>
          <w:rPr>
            <w:noProof/>
            <w:webHidden/>
          </w:rPr>
          <w:t>483</w:t>
        </w:r>
        <w:r>
          <w:rPr>
            <w:noProof/>
            <w:webHidden/>
          </w:rPr>
          <w:fldChar w:fldCharType="end"/>
        </w:r>
      </w:hyperlink>
    </w:p>
    <w:p w14:paraId="4BE80F98" w14:textId="287F74FE"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5" w:history="1">
        <w:r w:rsidRPr="00FD7211">
          <w:rPr>
            <w:rStyle w:val="Collegamentoipertestuale"/>
            <w:noProof/>
          </w:rPr>
          <w:t>10.1. Una geografia dei “tributi minori”</w:t>
        </w:r>
        <w:r>
          <w:rPr>
            <w:noProof/>
            <w:webHidden/>
          </w:rPr>
          <w:tab/>
        </w:r>
        <w:r>
          <w:rPr>
            <w:noProof/>
            <w:webHidden/>
          </w:rPr>
          <w:fldChar w:fldCharType="begin"/>
        </w:r>
        <w:r>
          <w:rPr>
            <w:noProof/>
            <w:webHidden/>
          </w:rPr>
          <w:instrText xml:space="preserve"> PAGEREF _Toc63365045 \h </w:instrText>
        </w:r>
        <w:r>
          <w:rPr>
            <w:noProof/>
            <w:webHidden/>
          </w:rPr>
        </w:r>
        <w:r>
          <w:rPr>
            <w:noProof/>
            <w:webHidden/>
          </w:rPr>
          <w:fldChar w:fldCharType="separate"/>
        </w:r>
        <w:r>
          <w:rPr>
            <w:noProof/>
            <w:webHidden/>
          </w:rPr>
          <w:t>483</w:t>
        </w:r>
        <w:r>
          <w:rPr>
            <w:noProof/>
            <w:webHidden/>
          </w:rPr>
          <w:fldChar w:fldCharType="end"/>
        </w:r>
      </w:hyperlink>
    </w:p>
    <w:p w14:paraId="20AB17CE" w14:textId="6AF7D3AA"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6" w:history="1">
        <w:r w:rsidRPr="00FD7211">
          <w:rPr>
            <w:rStyle w:val="Collegamentoipertestuale"/>
            <w:noProof/>
          </w:rPr>
          <w:t>10.2. I tributi sugli atti giuridici solenni o visibili (imposta di registro).</w:t>
        </w:r>
        <w:r>
          <w:rPr>
            <w:noProof/>
            <w:webHidden/>
          </w:rPr>
          <w:tab/>
        </w:r>
        <w:r>
          <w:rPr>
            <w:noProof/>
            <w:webHidden/>
          </w:rPr>
          <w:fldChar w:fldCharType="begin"/>
        </w:r>
        <w:r>
          <w:rPr>
            <w:noProof/>
            <w:webHidden/>
          </w:rPr>
          <w:instrText xml:space="preserve"> PAGEREF _Toc63365046 \h </w:instrText>
        </w:r>
        <w:r>
          <w:rPr>
            <w:noProof/>
            <w:webHidden/>
          </w:rPr>
        </w:r>
        <w:r>
          <w:rPr>
            <w:noProof/>
            <w:webHidden/>
          </w:rPr>
          <w:fldChar w:fldCharType="separate"/>
        </w:r>
        <w:r>
          <w:rPr>
            <w:noProof/>
            <w:webHidden/>
          </w:rPr>
          <w:t>486</w:t>
        </w:r>
        <w:r>
          <w:rPr>
            <w:noProof/>
            <w:webHidden/>
          </w:rPr>
          <w:fldChar w:fldCharType="end"/>
        </w:r>
      </w:hyperlink>
    </w:p>
    <w:p w14:paraId="5EBD0EA7" w14:textId="0BEF5D1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7" w:history="1">
        <w:r w:rsidRPr="00FD7211">
          <w:rPr>
            <w:rStyle w:val="Collegamentoipertestuale"/>
            <w:noProof/>
          </w:rPr>
          <w:t>10.3. Uffici tributari e aziende nella tassazione dei documenti giuridici (bollo e concessioni pubbliche)</w:t>
        </w:r>
        <w:r>
          <w:rPr>
            <w:noProof/>
            <w:webHidden/>
          </w:rPr>
          <w:tab/>
        </w:r>
        <w:r>
          <w:rPr>
            <w:noProof/>
            <w:webHidden/>
          </w:rPr>
          <w:fldChar w:fldCharType="begin"/>
        </w:r>
        <w:r>
          <w:rPr>
            <w:noProof/>
            <w:webHidden/>
          </w:rPr>
          <w:instrText xml:space="preserve"> PAGEREF _Toc63365047 \h </w:instrText>
        </w:r>
        <w:r>
          <w:rPr>
            <w:noProof/>
            <w:webHidden/>
          </w:rPr>
        </w:r>
        <w:r>
          <w:rPr>
            <w:noProof/>
            <w:webHidden/>
          </w:rPr>
          <w:fldChar w:fldCharType="separate"/>
        </w:r>
        <w:r>
          <w:rPr>
            <w:noProof/>
            <w:webHidden/>
          </w:rPr>
          <w:t>490</w:t>
        </w:r>
        <w:r>
          <w:rPr>
            <w:noProof/>
            <w:webHidden/>
          </w:rPr>
          <w:fldChar w:fldCharType="end"/>
        </w:r>
      </w:hyperlink>
    </w:p>
    <w:p w14:paraId="15E80E30" w14:textId="3C3B0209"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8" w:history="1">
        <w:r w:rsidRPr="00FD7211">
          <w:rPr>
            <w:rStyle w:val="Collegamentoipertestuale"/>
            <w:noProof/>
          </w:rPr>
          <w:t>10.4. “Tassazione sul patrimonio” come soluzione di ripiego (di difficile gestione)</w:t>
        </w:r>
        <w:r>
          <w:rPr>
            <w:noProof/>
            <w:webHidden/>
          </w:rPr>
          <w:tab/>
        </w:r>
        <w:r>
          <w:rPr>
            <w:noProof/>
            <w:webHidden/>
          </w:rPr>
          <w:fldChar w:fldCharType="begin"/>
        </w:r>
        <w:r>
          <w:rPr>
            <w:noProof/>
            <w:webHidden/>
          </w:rPr>
          <w:instrText xml:space="preserve"> PAGEREF _Toc63365048 \h </w:instrText>
        </w:r>
        <w:r>
          <w:rPr>
            <w:noProof/>
            <w:webHidden/>
          </w:rPr>
        </w:r>
        <w:r>
          <w:rPr>
            <w:noProof/>
            <w:webHidden/>
          </w:rPr>
          <w:fldChar w:fldCharType="separate"/>
        </w:r>
        <w:r>
          <w:rPr>
            <w:noProof/>
            <w:webHidden/>
          </w:rPr>
          <w:t>492</w:t>
        </w:r>
        <w:r>
          <w:rPr>
            <w:noProof/>
            <w:webHidden/>
          </w:rPr>
          <w:fldChar w:fldCharType="end"/>
        </w:r>
      </w:hyperlink>
    </w:p>
    <w:p w14:paraId="02750209" w14:textId="1917052B"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49" w:history="1">
        <w:r w:rsidRPr="00FD7211">
          <w:rPr>
            <w:rStyle w:val="Collegamentoipertestuale"/>
            <w:noProof/>
          </w:rPr>
          <w:t>10.5. Successioni e donazioni: un’imposta  patrimoniale da gestire attraverso gli uffici.</w:t>
        </w:r>
        <w:r>
          <w:rPr>
            <w:noProof/>
            <w:webHidden/>
          </w:rPr>
          <w:tab/>
        </w:r>
        <w:r>
          <w:rPr>
            <w:noProof/>
            <w:webHidden/>
          </w:rPr>
          <w:fldChar w:fldCharType="begin"/>
        </w:r>
        <w:r>
          <w:rPr>
            <w:noProof/>
            <w:webHidden/>
          </w:rPr>
          <w:instrText xml:space="preserve"> PAGEREF _Toc63365049 \h </w:instrText>
        </w:r>
        <w:r>
          <w:rPr>
            <w:noProof/>
            <w:webHidden/>
          </w:rPr>
        </w:r>
        <w:r>
          <w:rPr>
            <w:noProof/>
            <w:webHidden/>
          </w:rPr>
          <w:fldChar w:fldCharType="separate"/>
        </w:r>
        <w:r>
          <w:rPr>
            <w:noProof/>
            <w:webHidden/>
          </w:rPr>
          <w:t>494</w:t>
        </w:r>
        <w:r>
          <w:rPr>
            <w:noProof/>
            <w:webHidden/>
          </w:rPr>
          <w:fldChar w:fldCharType="end"/>
        </w:r>
      </w:hyperlink>
    </w:p>
    <w:p w14:paraId="5DDBC864" w14:textId="54A937E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50" w:history="1">
        <w:r w:rsidRPr="00FD7211">
          <w:rPr>
            <w:rStyle w:val="Collegamentoipertestuale"/>
            <w:noProof/>
          </w:rPr>
          <w:t>10.6. Altri tributi speciali su consumi di determinati beni e servizi (incluso accise e dogane)</w:t>
        </w:r>
        <w:r>
          <w:rPr>
            <w:noProof/>
            <w:webHidden/>
          </w:rPr>
          <w:tab/>
        </w:r>
        <w:r>
          <w:rPr>
            <w:noProof/>
            <w:webHidden/>
          </w:rPr>
          <w:fldChar w:fldCharType="begin"/>
        </w:r>
        <w:r>
          <w:rPr>
            <w:noProof/>
            <w:webHidden/>
          </w:rPr>
          <w:instrText xml:space="preserve"> PAGEREF _Toc63365050 \h </w:instrText>
        </w:r>
        <w:r>
          <w:rPr>
            <w:noProof/>
            <w:webHidden/>
          </w:rPr>
        </w:r>
        <w:r>
          <w:rPr>
            <w:noProof/>
            <w:webHidden/>
          </w:rPr>
          <w:fldChar w:fldCharType="separate"/>
        </w:r>
        <w:r>
          <w:rPr>
            <w:noProof/>
            <w:webHidden/>
          </w:rPr>
          <w:t>497</w:t>
        </w:r>
        <w:r>
          <w:rPr>
            <w:noProof/>
            <w:webHidden/>
          </w:rPr>
          <w:fldChar w:fldCharType="end"/>
        </w:r>
      </w:hyperlink>
    </w:p>
    <w:p w14:paraId="53A39C37" w14:textId="0B3A6CB8"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51" w:history="1">
        <w:r w:rsidRPr="00FD7211">
          <w:rPr>
            <w:rStyle w:val="Collegamentoipertestuale"/>
            <w:noProof/>
          </w:rPr>
          <w:t>10.7. Antiche origini dei tributi doganali e loro metamorfosi contabile-comunitaria</w:t>
        </w:r>
        <w:r>
          <w:rPr>
            <w:noProof/>
            <w:webHidden/>
          </w:rPr>
          <w:tab/>
        </w:r>
        <w:r>
          <w:rPr>
            <w:noProof/>
            <w:webHidden/>
          </w:rPr>
          <w:fldChar w:fldCharType="begin"/>
        </w:r>
        <w:r>
          <w:rPr>
            <w:noProof/>
            <w:webHidden/>
          </w:rPr>
          <w:instrText xml:space="preserve"> PAGEREF _Toc63365051 \h </w:instrText>
        </w:r>
        <w:r>
          <w:rPr>
            <w:noProof/>
            <w:webHidden/>
          </w:rPr>
        </w:r>
        <w:r>
          <w:rPr>
            <w:noProof/>
            <w:webHidden/>
          </w:rPr>
          <w:fldChar w:fldCharType="separate"/>
        </w:r>
        <w:r>
          <w:rPr>
            <w:noProof/>
            <w:webHidden/>
          </w:rPr>
          <w:t>500</w:t>
        </w:r>
        <w:r>
          <w:rPr>
            <w:noProof/>
            <w:webHidden/>
          </w:rPr>
          <w:fldChar w:fldCharType="end"/>
        </w:r>
      </w:hyperlink>
    </w:p>
    <w:p w14:paraId="46ACCC70" w14:textId="6E8CE716"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52" w:history="1">
        <w:r w:rsidRPr="00FD7211">
          <w:rPr>
            <w:rStyle w:val="Collegamentoipertestuale"/>
            <w:noProof/>
          </w:rPr>
          <w:t>10.8. Tributi locali tra tassazione attraverso le aziende e attraverso gli uffici:aspetti tributari del “federalismo fiscale”</w:t>
        </w:r>
        <w:r>
          <w:rPr>
            <w:noProof/>
            <w:webHidden/>
          </w:rPr>
          <w:tab/>
        </w:r>
        <w:r>
          <w:rPr>
            <w:noProof/>
            <w:webHidden/>
          </w:rPr>
          <w:fldChar w:fldCharType="begin"/>
        </w:r>
        <w:r>
          <w:rPr>
            <w:noProof/>
            <w:webHidden/>
          </w:rPr>
          <w:instrText xml:space="preserve"> PAGEREF _Toc63365052 \h </w:instrText>
        </w:r>
        <w:r>
          <w:rPr>
            <w:noProof/>
            <w:webHidden/>
          </w:rPr>
        </w:r>
        <w:r>
          <w:rPr>
            <w:noProof/>
            <w:webHidden/>
          </w:rPr>
          <w:fldChar w:fldCharType="separate"/>
        </w:r>
        <w:r>
          <w:rPr>
            <w:noProof/>
            <w:webHidden/>
          </w:rPr>
          <w:t>502</w:t>
        </w:r>
        <w:r>
          <w:rPr>
            <w:noProof/>
            <w:webHidden/>
          </w:rPr>
          <w:fldChar w:fldCharType="end"/>
        </w:r>
      </w:hyperlink>
    </w:p>
    <w:p w14:paraId="6E2BB216" w14:textId="3B2CED27"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53" w:history="1">
        <w:r w:rsidRPr="00FD7211">
          <w:rPr>
            <w:rStyle w:val="Collegamentoipertestuale"/>
            <w:noProof/>
          </w:rPr>
          <w:t>10.9. La tassazione patrimoniale locale sugli immobili (dall’ICI all’IMU alla TASI)</w:t>
        </w:r>
        <w:r>
          <w:rPr>
            <w:noProof/>
            <w:webHidden/>
          </w:rPr>
          <w:tab/>
        </w:r>
        <w:r>
          <w:rPr>
            <w:noProof/>
            <w:webHidden/>
          </w:rPr>
          <w:fldChar w:fldCharType="begin"/>
        </w:r>
        <w:r>
          <w:rPr>
            <w:noProof/>
            <w:webHidden/>
          </w:rPr>
          <w:instrText xml:space="preserve"> PAGEREF _Toc63365053 \h </w:instrText>
        </w:r>
        <w:r>
          <w:rPr>
            <w:noProof/>
            <w:webHidden/>
          </w:rPr>
        </w:r>
        <w:r>
          <w:rPr>
            <w:noProof/>
            <w:webHidden/>
          </w:rPr>
          <w:fldChar w:fldCharType="separate"/>
        </w:r>
        <w:r>
          <w:rPr>
            <w:noProof/>
            <w:webHidden/>
          </w:rPr>
          <w:t>505</w:t>
        </w:r>
        <w:r>
          <w:rPr>
            <w:noProof/>
            <w:webHidden/>
          </w:rPr>
          <w:fldChar w:fldCharType="end"/>
        </w:r>
      </w:hyperlink>
    </w:p>
    <w:p w14:paraId="1D5BE82F" w14:textId="3B9E261C" w:rsidR="003B7460" w:rsidRDefault="003B7460">
      <w:pPr>
        <w:pStyle w:val="Sommario3"/>
        <w:tabs>
          <w:tab w:val="right" w:leader="dot" w:pos="6410"/>
        </w:tabs>
        <w:rPr>
          <w:rFonts w:asciiTheme="minorHAnsi" w:eastAsiaTheme="minorEastAsia" w:hAnsiTheme="minorHAnsi" w:cstheme="minorBidi"/>
          <w:i w:val="0"/>
          <w:iCs w:val="0"/>
          <w:noProof/>
          <w:sz w:val="22"/>
          <w:szCs w:val="22"/>
        </w:rPr>
      </w:pPr>
      <w:hyperlink w:anchor="_Toc63365054" w:history="1">
        <w:r w:rsidRPr="00FD7211">
          <w:rPr>
            <w:rStyle w:val="Collegamentoipertestuale"/>
            <w:noProof/>
          </w:rPr>
          <w:t>10.10. Aspetti concettuali di altri “tributi minori”, locali o a destinazione speciale.</w:t>
        </w:r>
        <w:r>
          <w:rPr>
            <w:noProof/>
            <w:webHidden/>
          </w:rPr>
          <w:tab/>
        </w:r>
        <w:r>
          <w:rPr>
            <w:noProof/>
            <w:webHidden/>
          </w:rPr>
          <w:fldChar w:fldCharType="begin"/>
        </w:r>
        <w:r>
          <w:rPr>
            <w:noProof/>
            <w:webHidden/>
          </w:rPr>
          <w:instrText xml:space="preserve"> PAGEREF _Toc63365054 \h </w:instrText>
        </w:r>
        <w:r>
          <w:rPr>
            <w:noProof/>
            <w:webHidden/>
          </w:rPr>
        </w:r>
        <w:r>
          <w:rPr>
            <w:noProof/>
            <w:webHidden/>
          </w:rPr>
          <w:fldChar w:fldCharType="separate"/>
        </w:r>
        <w:r>
          <w:rPr>
            <w:noProof/>
            <w:webHidden/>
          </w:rPr>
          <w:t>509</w:t>
        </w:r>
        <w:r>
          <w:rPr>
            <w:noProof/>
            <w:webHidden/>
          </w:rPr>
          <w:fldChar w:fldCharType="end"/>
        </w:r>
      </w:hyperlink>
    </w:p>
    <w:p w14:paraId="3DD5BAEB" w14:textId="15D747B2" w:rsidR="006342C5" w:rsidRPr="007F7EBF" w:rsidRDefault="005A68DB" w:rsidP="006342C5">
      <w:pPr>
        <w:autoSpaceDE w:val="0"/>
        <w:autoSpaceDN w:val="0"/>
        <w:adjustRightInd w:val="0"/>
        <w:rPr>
          <w:sz w:val="22"/>
          <w:szCs w:val="22"/>
        </w:rPr>
      </w:pPr>
      <w:r w:rsidRPr="007F7EBF">
        <w:rPr>
          <w:i/>
          <w:iCs/>
          <w:sz w:val="22"/>
          <w:szCs w:val="22"/>
        </w:rPr>
        <w:fldChar w:fldCharType="end"/>
      </w:r>
      <w:r w:rsidR="00BD00BD" w:rsidRPr="007F7EBF">
        <w:rPr>
          <w:i/>
          <w:iCs/>
          <w:sz w:val="22"/>
          <w:szCs w:val="22"/>
        </w:rPr>
        <w:t xml:space="preserve">  </w:t>
      </w:r>
    </w:p>
    <w:p w14:paraId="475A4A9F" w14:textId="6AE4F1D7" w:rsidR="00B052AD" w:rsidRPr="007F7EBF" w:rsidRDefault="00C81D9C" w:rsidP="00B052AD">
      <w:pPr>
        <w:pStyle w:val="Titolo3"/>
        <w:rPr>
          <w:rFonts w:ascii="Times New Roman" w:hAnsi="Times New Roman"/>
          <w:sz w:val="22"/>
          <w:szCs w:val="22"/>
          <w:lang w:val="it-IT"/>
        </w:rPr>
      </w:pPr>
      <w:bookmarkStart w:id="2" w:name="_Toc63364923"/>
      <w:bookmarkEnd w:id="0"/>
      <w:bookmarkEnd w:id="1"/>
      <w:r>
        <w:rPr>
          <w:rFonts w:ascii="Times New Roman" w:hAnsi="Times New Roman"/>
          <w:sz w:val="22"/>
          <w:szCs w:val="22"/>
          <w:lang w:val="it-IT"/>
        </w:rPr>
        <w:t>Prefazione: studio del d</w:t>
      </w:r>
      <w:r w:rsidR="006728DB">
        <w:rPr>
          <w:rFonts w:ascii="Times New Roman" w:hAnsi="Times New Roman"/>
          <w:sz w:val="22"/>
          <w:szCs w:val="22"/>
          <w:lang w:val="it-IT"/>
        </w:rPr>
        <w:t xml:space="preserve">iritto tra tecnica e </w:t>
      </w:r>
      <w:r w:rsidR="004359D9">
        <w:rPr>
          <w:rFonts w:ascii="Times New Roman" w:hAnsi="Times New Roman"/>
          <w:sz w:val="22"/>
          <w:szCs w:val="22"/>
          <w:lang w:val="it-IT"/>
        </w:rPr>
        <w:t>studio</w:t>
      </w:r>
      <w:r w:rsidR="001D2F41">
        <w:rPr>
          <w:rFonts w:ascii="Times New Roman" w:hAnsi="Times New Roman"/>
          <w:sz w:val="22"/>
          <w:szCs w:val="22"/>
          <w:lang w:val="it-IT"/>
        </w:rPr>
        <w:t xml:space="preserve"> sociale</w:t>
      </w:r>
      <w:r>
        <w:rPr>
          <w:rFonts w:ascii="Times New Roman" w:hAnsi="Times New Roman"/>
          <w:sz w:val="22"/>
          <w:szCs w:val="22"/>
          <w:lang w:val="it-IT"/>
        </w:rPr>
        <w:t xml:space="preserve"> delle pubbliche funzioni</w:t>
      </w:r>
      <w:bookmarkEnd w:id="2"/>
    </w:p>
    <w:p w14:paraId="66282D92" w14:textId="7266925B" w:rsidR="001D5792" w:rsidRPr="007F7EBF" w:rsidRDefault="00611223" w:rsidP="001D5792">
      <w:pPr>
        <w:pStyle w:val="tit23"/>
        <w:ind w:left="6464" w:right="-1361" w:firstLine="0"/>
        <w:jc w:val="left"/>
        <w:rPr>
          <w:bCs/>
          <w:i/>
          <w:iCs/>
          <w:color w:val="0000FF"/>
          <w:lang w:val="it-IT"/>
        </w:rPr>
      </w:pPr>
      <w:r>
        <w:rPr>
          <w:bCs/>
          <w:i/>
          <w:iCs/>
          <w:color w:val="0000FF"/>
          <w:lang w:val="it-IT"/>
        </w:rPr>
        <w:t>studi</w:t>
      </w:r>
      <w:r w:rsidR="00592C78">
        <w:rPr>
          <w:bCs/>
          <w:i/>
          <w:iCs/>
          <w:color w:val="0000FF"/>
          <w:lang w:val="it-IT"/>
        </w:rPr>
        <w:t xml:space="preserve"> sociali e radici tecniche del </w:t>
      </w:r>
      <w:r w:rsidR="001413B5">
        <w:rPr>
          <w:bCs/>
          <w:i/>
          <w:iCs/>
          <w:color w:val="0000FF"/>
          <w:lang w:val="it-IT"/>
        </w:rPr>
        <w:t xml:space="preserve"> diri</w:t>
      </w:r>
      <w:r w:rsidR="00592C78">
        <w:rPr>
          <w:bCs/>
          <w:i/>
          <w:iCs/>
          <w:color w:val="0000FF"/>
          <w:lang w:val="it-IT"/>
        </w:rPr>
        <w:t>tto</w:t>
      </w:r>
    </w:p>
    <w:p w14:paraId="290774CE" w14:textId="22CDF6B7" w:rsidR="00CA08EC" w:rsidRPr="007F7EBF" w:rsidRDefault="00490E56" w:rsidP="000B089D">
      <w:pPr>
        <w:rPr>
          <w:sz w:val="22"/>
          <w:szCs w:val="22"/>
        </w:rPr>
      </w:pPr>
      <w:r>
        <w:rPr>
          <w:sz w:val="22"/>
          <w:szCs w:val="22"/>
        </w:rPr>
        <w:t xml:space="preserve">Il contenuto di </w:t>
      </w:r>
      <w:r w:rsidR="00051D54">
        <w:rPr>
          <w:sz w:val="22"/>
          <w:szCs w:val="22"/>
        </w:rPr>
        <w:t xml:space="preserve">questa seconda edizione </w:t>
      </w:r>
      <w:r>
        <w:rPr>
          <w:sz w:val="22"/>
          <w:szCs w:val="22"/>
        </w:rPr>
        <w:t xml:space="preserve">è disposto, per capitoli e paragrafi, esattamente come le precedenti, con </w:t>
      </w:r>
      <w:r w:rsidR="003E1CAD">
        <w:rPr>
          <w:sz w:val="22"/>
          <w:szCs w:val="22"/>
        </w:rPr>
        <w:t xml:space="preserve">una maggiore brevità. </w:t>
      </w:r>
      <w:r w:rsidR="006B1F9D">
        <w:rPr>
          <w:sz w:val="22"/>
          <w:szCs w:val="22"/>
        </w:rPr>
        <w:t xml:space="preserve">I 117 paragrafi ruotano attorno alla funzione tributaria, cogliendone prospettive diverse, ma tutte coordinate. Anche senza coordinarle tutte, cogliendone diciamo qualche decina, è possibile avere una visione completa della funzione tributaria. Allo studio sociale giuridico di quest’ultima è infatti in massima parte dedicato il diritto tributario. I concetti generali sul rapporto tra diritto come tecnica, quale originariamente era, e il diritto come studio sociale, sono inseriti nel </w:t>
      </w:r>
      <w:r w:rsidR="003E1CAD">
        <w:rPr>
          <w:sz w:val="22"/>
          <w:szCs w:val="22"/>
        </w:rPr>
        <w:t xml:space="preserve">diverso volume su studi sociali e diritto. </w:t>
      </w:r>
      <w:r w:rsidR="00AE7E58">
        <w:rPr>
          <w:sz w:val="22"/>
          <w:szCs w:val="22"/>
        </w:rPr>
        <w:t>Quest’interazione generale</w:t>
      </w:r>
      <w:r w:rsidR="006B1F9D">
        <w:rPr>
          <w:sz w:val="22"/>
          <w:szCs w:val="22"/>
        </w:rPr>
        <w:t xml:space="preserve">, ivi contenuta, </w:t>
      </w:r>
      <w:r w:rsidR="00AE7E58">
        <w:rPr>
          <w:sz w:val="22"/>
          <w:szCs w:val="22"/>
        </w:rPr>
        <w:t xml:space="preserve"> tra due modi di guardare al diritto</w:t>
      </w:r>
      <w:r w:rsidR="006B1F9D">
        <w:rPr>
          <w:sz w:val="22"/>
          <w:szCs w:val="22"/>
        </w:rPr>
        <w:t>,</w:t>
      </w:r>
      <w:r w:rsidR="00AE7E58">
        <w:rPr>
          <w:sz w:val="22"/>
          <w:szCs w:val="22"/>
        </w:rPr>
        <w:t xml:space="preserve"> viene</w:t>
      </w:r>
      <w:r w:rsidR="004C0F5B">
        <w:rPr>
          <w:sz w:val="22"/>
          <w:szCs w:val="22"/>
        </w:rPr>
        <w:t xml:space="preserve"> qui</w:t>
      </w:r>
      <w:r w:rsidR="00AE7E58">
        <w:rPr>
          <w:sz w:val="22"/>
          <w:szCs w:val="22"/>
        </w:rPr>
        <w:t xml:space="preserve"> riferita</w:t>
      </w:r>
      <w:r w:rsidR="004C0F5B">
        <w:rPr>
          <w:sz w:val="22"/>
          <w:szCs w:val="22"/>
        </w:rPr>
        <w:t xml:space="preserve"> </w:t>
      </w:r>
      <w:r w:rsidR="00AE7E58">
        <w:rPr>
          <w:sz w:val="22"/>
          <w:szCs w:val="22"/>
        </w:rPr>
        <w:t>alla funzione tributaria</w:t>
      </w:r>
      <w:r w:rsidR="003E1CAD">
        <w:rPr>
          <w:sz w:val="22"/>
          <w:szCs w:val="22"/>
        </w:rPr>
        <w:t xml:space="preserve">. </w:t>
      </w:r>
    </w:p>
    <w:p w14:paraId="1E18BBA2" w14:textId="7C3F07F4" w:rsidR="00CA08EC" w:rsidRPr="007F7EBF" w:rsidRDefault="00CA08EC" w:rsidP="00CA08EC">
      <w:pPr>
        <w:pStyle w:val="tit23"/>
        <w:ind w:left="6464" w:right="-1361" w:firstLine="0"/>
        <w:jc w:val="left"/>
        <w:rPr>
          <w:b/>
          <w:bCs/>
          <w:i/>
          <w:iCs/>
          <w:color w:val="0000FF"/>
          <w:lang w:val="it-IT"/>
        </w:rPr>
      </w:pPr>
      <w:r w:rsidRPr="007F7EBF">
        <w:rPr>
          <w:b/>
          <w:bCs/>
          <w:i/>
          <w:iCs/>
          <w:color w:val="0000FF"/>
          <w:lang w:val="it-IT"/>
        </w:rPr>
        <w:t>Funzion</w:t>
      </w:r>
      <w:r w:rsidR="00D447CF" w:rsidRPr="007F7EBF">
        <w:rPr>
          <w:b/>
          <w:bCs/>
          <w:i/>
          <w:iCs/>
          <w:color w:val="0000FF"/>
          <w:lang w:val="it-IT"/>
        </w:rPr>
        <w:t xml:space="preserve">e tributaria </w:t>
      </w:r>
      <w:r w:rsidR="00765A66">
        <w:rPr>
          <w:b/>
          <w:bCs/>
          <w:i/>
          <w:iCs/>
          <w:color w:val="0000FF"/>
          <w:lang w:val="it-IT"/>
        </w:rPr>
        <w:t xml:space="preserve">e </w:t>
      </w:r>
      <w:r w:rsidR="00611223">
        <w:rPr>
          <w:b/>
          <w:bCs/>
          <w:i/>
          <w:iCs/>
          <w:color w:val="0000FF"/>
          <w:lang w:val="it-IT"/>
        </w:rPr>
        <w:t>studi</w:t>
      </w:r>
      <w:r w:rsidR="00F95EDE">
        <w:rPr>
          <w:b/>
          <w:bCs/>
          <w:i/>
          <w:iCs/>
          <w:color w:val="0000FF"/>
          <w:lang w:val="it-IT"/>
        </w:rPr>
        <w:t xml:space="preserve"> sociali</w:t>
      </w:r>
    </w:p>
    <w:p w14:paraId="4AAF2119" w14:textId="211BC914" w:rsidR="00B052AD" w:rsidRPr="007F7EBF" w:rsidRDefault="004C0F5B" w:rsidP="00E278E9">
      <w:pPr>
        <w:rPr>
          <w:sz w:val="22"/>
          <w:szCs w:val="22"/>
        </w:rPr>
      </w:pPr>
      <w:r>
        <w:rPr>
          <w:sz w:val="22"/>
          <w:szCs w:val="22"/>
        </w:rPr>
        <w:t xml:space="preserve">La </w:t>
      </w:r>
      <w:r w:rsidR="00AE7E58">
        <w:rPr>
          <w:sz w:val="22"/>
          <w:szCs w:val="22"/>
        </w:rPr>
        <w:t xml:space="preserve">cassetta degli attrezzi giuridica è </w:t>
      </w:r>
      <w:r w:rsidR="00E57B42">
        <w:rPr>
          <w:sz w:val="22"/>
          <w:szCs w:val="22"/>
        </w:rPr>
        <w:t xml:space="preserve">un ottimo banco di prova per </w:t>
      </w:r>
      <w:r w:rsidR="00AE7E58">
        <w:rPr>
          <w:sz w:val="22"/>
          <w:szCs w:val="22"/>
        </w:rPr>
        <w:t>lo studio sociale della funzione tributaria</w:t>
      </w:r>
      <w:r>
        <w:rPr>
          <w:sz w:val="22"/>
          <w:szCs w:val="22"/>
        </w:rPr>
        <w:t xml:space="preserve">, </w:t>
      </w:r>
      <w:r w:rsidR="003D4347">
        <w:rPr>
          <w:sz w:val="22"/>
          <w:szCs w:val="22"/>
        </w:rPr>
        <w:t>libera</w:t>
      </w:r>
      <w:r>
        <w:rPr>
          <w:sz w:val="22"/>
          <w:szCs w:val="22"/>
        </w:rPr>
        <w:t xml:space="preserve">ndosi </w:t>
      </w:r>
      <w:r w:rsidR="003D4347">
        <w:rPr>
          <w:sz w:val="22"/>
          <w:szCs w:val="22"/>
        </w:rPr>
        <w:t>d</w:t>
      </w:r>
      <w:r>
        <w:rPr>
          <w:sz w:val="22"/>
          <w:szCs w:val="22"/>
        </w:rPr>
        <w:t>a</w:t>
      </w:r>
      <w:r w:rsidR="003D4347">
        <w:rPr>
          <w:sz w:val="22"/>
          <w:szCs w:val="22"/>
        </w:rPr>
        <w:t xml:space="preserve">lla prospettiva casistica, </w:t>
      </w:r>
      <w:r>
        <w:rPr>
          <w:sz w:val="22"/>
          <w:szCs w:val="22"/>
        </w:rPr>
        <w:t xml:space="preserve">tipicamente privatistico-giurisdizionale, in </w:t>
      </w:r>
      <w:r w:rsidR="003D4347">
        <w:rPr>
          <w:sz w:val="22"/>
          <w:szCs w:val="22"/>
        </w:rPr>
        <w:t xml:space="preserve">una visione ampia, </w:t>
      </w:r>
      <w:r>
        <w:rPr>
          <w:sz w:val="22"/>
          <w:szCs w:val="22"/>
        </w:rPr>
        <w:t xml:space="preserve">inclusiva </w:t>
      </w:r>
      <w:r w:rsidR="003D4347">
        <w:rPr>
          <w:sz w:val="22"/>
          <w:szCs w:val="22"/>
        </w:rPr>
        <w:t>dei c.d. “dati sociali”.</w:t>
      </w:r>
      <w:r w:rsidR="00AE7E58">
        <w:rPr>
          <w:sz w:val="22"/>
          <w:szCs w:val="22"/>
        </w:rPr>
        <w:t xml:space="preserve"> </w:t>
      </w:r>
      <w:r>
        <w:rPr>
          <w:sz w:val="22"/>
          <w:szCs w:val="22"/>
        </w:rPr>
        <w:t xml:space="preserve">Come </w:t>
      </w:r>
      <w:r w:rsidR="003D4347">
        <w:rPr>
          <w:sz w:val="22"/>
          <w:szCs w:val="22"/>
        </w:rPr>
        <w:t xml:space="preserve">specificazione giuridica dei presupposti economici delle imposte, </w:t>
      </w:r>
      <w:r>
        <w:rPr>
          <w:sz w:val="22"/>
          <w:szCs w:val="22"/>
        </w:rPr>
        <w:t xml:space="preserve">la funzione tributaria </w:t>
      </w:r>
      <w:r w:rsidR="001B7411">
        <w:rPr>
          <w:sz w:val="22"/>
          <w:szCs w:val="22"/>
        </w:rPr>
        <w:t xml:space="preserve">offre spunti </w:t>
      </w:r>
      <w:r w:rsidR="0069129D">
        <w:rPr>
          <w:sz w:val="22"/>
          <w:szCs w:val="22"/>
        </w:rPr>
        <w:lastRenderedPageBreak/>
        <w:t xml:space="preserve">molteplici di </w:t>
      </w:r>
      <w:r w:rsidR="003D4347">
        <w:rPr>
          <w:sz w:val="22"/>
          <w:szCs w:val="22"/>
        </w:rPr>
        <w:t xml:space="preserve">analisi </w:t>
      </w:r>
      <w:r>
        <w:rPr>
          <w:sz w:val="22"/>
          <w:szCs w:val="22"/>
        </w:rPr>
        <w:t>dell’economia, della politica e del diritto privato, attraverso i cui accordi e documenti, in luogo delle precedenti valutazioni amministrative dirette, sono oggi determinate le imposte</w:t>
      </w:r>
      <w:r w:rsidR="003D4347">
        <w:rPr>
          <w:sz w:val="22"/>
          <w:szCs w:val="22"/>
        </w:rPr>
        <w:t xml:space="preserve">. </w:t>
      </w:r>
      <w:r>
        <w:rPr>
          <w:sz w:val="22"/>
          <w:szCs w:val="22"/>
        </w:rPr>
        <w:t xml:space="preserve">Le suddette </w:t>
      </w:r>
      <w:r w:rsidR="00765A66">
        <w:rPr>
          <w:sz w:val="22"/>
          <w:szCs w:val="22"/>
        </w:rPr>
        <w:t>valutazion</w:t>
      </w:r>
      <w:r>
        <w:rPr>
          <w:sz w:val="22"/>
          <w:szCs w:val="22"/>
        </w:rPr>
        <w:t>i amministrativ</w:t>
      </w:r>
      <w:r w:rsidR="00765A66">
        <w:rPr>
          <w:sz w:val="22"/>
          <w:szCs w:val="22"/>
        </w:rPr>
        <w:t>e, da parte</w:t>
      </w:r>
      <w:r w:rsidR="00765A66" w:rsidRPr="007F7EBF">
        <w:rPr>
          <w:sz w:val="22"/>
          <w:szCs w:val="22"/>
        </w:rPr>
        <w:t xml:space="preserve"> degli uffici tributari</w:t>
      </w:r>
      <w:r w:rsidR="00765A66">
        <w:rPr>
          <w:sz w:val="22"/>
          <w:szCs w:val="22"/>
        </w:rPr>
        <w:t xml:space="preserve">, </w:t>
      </w:r>
      <w:r>
        <w:rPr>
          <w:sz w:val="22"/>
          <w:szCs w:val="22"/>
        </w:rPr>
        <w:t>tornano necessarie dove mancano le condizioni di un’attendibile determinazione contabile, per p</w:t>
      </w:r>
      <w:r w:rsidR="00765A66">
        <w:rPr>
          <w:sz w:val="22"/>
          <w:szCs w:val="22"/>
        </w:rPr>
        <w:t>iccolo commercio, artigianato</w:t>
      </w:r>
      <w:r>
        <w:rPr>
          <w:sz w:val="22"/>
          <w:szCs w:val="22"/>
        </w:rPr>
        <w:t>, etc</w:t>
      </w:r>
      <w:r w:rsidR="003D4347">
        <w:rPr>
          <w:sz w:val="22"/>
          <w:szCs w:val="22"/>
        </w:rPr>
        <w:t>. La funzione tributaria può essere insomma</w:t>
      </w:r>
      <w:r w:rsidR="00A14691">
        <w:rPr>
          <w:sz w:val="22"/>
          <w:szCs w:val="22"/>
        </w:rPr>
        <w:t xml:space="preserve"> </w:t>
      </w:r>
      <w:r w:rsidR="001A0732">
        <w:rPr>
          <w:sz w:val="22"/>
          <w:szCs w:val="22"/>
        </w:rPr>
        <w:t xml:space="preserve">un </w:t>
      </w:r>
      <w:r w:rsidR="00206687">
        <w:rPr>
          <w:sz w:val="22"/>
          <w:szCs w:val="22"/>
        </w:rPr>
        <w:t>esperimento</w:t>
      </w:r>
      <w:r w:rsidR="00E80AB6">
        <w:rPr>
          <w:sz w:val="22"/>
          <w:szCs w:val="22"/>
        </w:rPr>
        <w:t xml:space="preserve"> su come il</w:t>
      </w:r>
      <w:r w:rsidR="00872813">
        <w:rPr>
          <w:sz w:val="22"/>
          <w:szCs w:val="22"/>
        </w:rPr>
        <w:t xml:space="preserve"> diritto </w:t>
      </w:r>
      <w:r w:rsidR="00A14691">
        <w:rPr>
          <w:sz w:val="22"/>
          <w:szCs w:val="22"/>
        </w:rPr>
        <w:t xml:space="preserve">possa </w:t>
      </w:r>
      <w:r w:rsidR="00E80AB6">
        <w:rPr>
          <w:sz w:val="22"/>
          <w:szCs w:val="22"/>
        </w:rPr>
        <w:t xml:space="preserve">essere </w:t>
      </w:r>
      <w:r w:rsidR="00E937E0">
        <w:rPr>
          <w:sz w:val="22"/>
          <w:szCs w:val="22"/>
        </w:rPr>
        <w:t>anche</w:t>
      </w:r>
      <w:r w:rsidR="00BE3A59">
        <w:rPr>
          <w:sz w:val="22"/>
          <w:szCs w:val="22"/>
        </w:rPr>
        <w:t xml:space="preserve"> </w:t>
      </w:r>
      <w:r w:rsidR="003D4347">
        <w:rPr>
          <w:sz w:val="22"/>
          <w:szCs w:val="22"/>
        </w:rPr>
        <w:t>studio sociale</w:t>
      </w:r>
      <w:r w:rsidR="00BE3A59">
        <w:rPr>
          <w:sz w:val="22"/>
          <w:szCs w:val="22"/>
        </w:rPr>
        <w:t xml:space="preserve">, raggiungendo </w:t>
      </w:r>
      <w:r w:rsidR="003D4347">
        <w:rPr>
          <w:sz w:val="22"/>
          <w:szCs w:val="22"/>
        </w:rPr>
        <w:t xml:space="preserve">la prospettiva </w:t>
      </w:r>
      <w:r w:rsidR="0069129D">
        <w:rPr>
          <w:i/>
          <w:iCs/>
          <w:sz w:val="22"/>
          <w:szCs w:val="22"/>
        </w:rPr>
        <w:t xml:space="preserve">conoscitiva </w:t>
      </w:r>
      <w:r w:rsidR="003D4347">
        <w:rPr>
          <w:sz w:val="22"/>
          <w:szCs w:val="22"/>
        </w:rPr>
        <w:t>de</w:t>
      </w:r>
      <w:r w:rsidR="00765A66">
        <w:rPr>
          <w:sz w:val="22"/>
          <w:szCs w:val="22"/>
        </w:rPr>
        <w:t>l positivismo giuridico</w:t>
      </w:r>
      <w:r w:rsidR="003D4347">
        <w:rPr>
          <w:sz w:val="22"/>
          <w:szCs w:val="22"/>
        </w:rPr>
        <w:t xml:space="preserve">, </w:t>
      </w:r>
      <w:r w:rsidR="00BE3A59">
        <w:rPr>
          <w:sz w:val="22"/>
          <w:szCs w:val="22"/>
        </w:rPr>
        <w:t xml:space="preserve">attraverso </w:t>
      </w:r>
      <w:r w:rsidR="00206687">
        <w:rPr>
          <w:sz w:val="22"/>
          <w:szCs w:val="22"/>
        </w:rPr>
        <w:t>le funzioni pubbliche anziché</w:t>
      </w:r>
      <w:r w:rsidR="00765A66">
        <w:rPr>
          <w:sz w:val="22"/>
          <w:szCs w:val="22"/>
        </w:rPr>
        <w:t xml:space="preserve"> </w:t>
      </w:r>
      <w:r w:rsidR="006E1BE6">
        <w:rPr>
          <w:sz w:val="22"/>
          <w:szCs w:val="22"/>
        </w:rPr>
        <w:t xml:space="preserve">  </w:t>
      </w:r>
      <w:r w:rsidR="00765A66">
        <w:rPr>
          <w:sz w:val="22"/>
          <w:szCs w:val="22"/>
        </w:rPr>
        <w:t xml:space="preserve">le </w:t>
      </w:r>
      <w:r w:rsidR="003D4347">
        <w:rPr>
          <w:sz w:val="22"/>
          <w:szCs w:val="22"/>
        </w:rPr>
        <w:t>“</w:t>
      </w:r>
      <w:r w:rsidR="00765A66">
        <w:rPr>
          <w:sz w:val="22"/>
          <w:szCs w:val="22"/>
        </w:rPr>
        <w:t>regole”</w:t>
      </w:r>
      <w:r w:rsidR="00A14691">
        <w:rPr>
          <w:rStyle w:val="Rimandonotaapidipagina"/>
          <w:sz w:val="22"/>
          <w:szCs w:val="22"/>
        </w:rPr>
        <w:footnoteReference w:id="1"/>
      </w:r>
      <w:r w:rsidR="00765A66">
        <w:rPr>
          <w:sz w:val="22"/>
          <w:szCs w:val="22"/>
        </w:rPr>
        <w:t xml:space="preserve">. </w:t>
      </w:r>
    </w:p>
    <w:p w14:paraId="3B95A761" w14:textId="421FD378" w:rsidR="00B052AD" w:rsidRPr="007F7EBF" w:rsidRDefault="00B052AD" w:rsidP="00B052AD">
      <w:pPr>
        <w:pStyle w:val="tit23"/>
        <w:ind w:left="6464" w:right="-1361" w:firstLine="0"/>
        <w:jc w:val="left"/>
        <w:rPr>
          <w:bCs/>
          <w:i/>
          <w:iCs/>
          <w:color w:val="0000FF"/>
          <w:lang w:val="it-IT"/>
        </w:rPr>
      </w:pPr>
      <w:r w:rsidRPr="007F7EBF">
        <w:rPr>
          <w:bCs/>
          <w:i/>
          <w:iCs/>
          <w:color w:val="0000FF"/>
          <w:lang w:val="it-IT"/>
        </w:rPr>
        <w:t>I destinatari</w:t>
      </w:r>
      <w:r w:rsidR="00247D33" w:rsidRPr="007F7EBF">
        <w:rPr>
          <w:bCs/>
          <w:i/>
          <w:iCs/>
          <w:color w:val="0000FF"/>
          <w:lang w:val="it-IT"/>
        </w:rPr>
        <w:t xml:space="preserve"> </w:t>
      </w:r>
      <w:r w:rsidR="00936216">
        <w:rPr>
          <w:bCs/>
          <w:i/>
          <w:iCs/>
          <w:color w:val="0000FF"/>
          <w:lang w:val="it-IT"/>
        </w:rPr>
        <w:t xml:space="preserve"> </w:t>
      </w:r>
      <w:r w:rsidR="00247D33" w:rsidRPr="007F7EBF">
        <w:rPr>
          <w:bCs/>
          <w:i/>
          <w:iCs/>
          <w:color w:val="0000FF"/>
          <w:lang w:val="it-IT"/>
        </w:rPr>
        <w:t xml:space="preserve">interessati al tema, </w:t>
      </w:r>
      <w:r w:rsidR="00CB03DD" w:rsidRPr="007F7EBF">
        <w:rPr>
          <w:bCs/>
          <w:i/>
          <w:iCs/>
          <w:color w:val="0000FF"/>
          <w:lang w:val="it-IT"/>
        </w:rPr>
        <w:t xml:space="preserve">studenti </w:t>
      </w:r>
      <w:r w:rsidR="00247D33" w:rsidRPr="007F7EBF">
        <w:rPr>
          <w:bCs/>
          <w:i/>
          <w:iCs/>
          <w:color w:val="0000FF"/>
          <w:lang w:val="it-IT"/>
        </w:rPr>
        <w:t>, operatori del settore.</w:t>
      </w:r>
    </w:p>
    <w:p w14:paraId="5BB4EB1F" w14:textId="145FB69B" w:rsidR="006D7A15" w:rsidRDefault="003D4347" w:rsidP="00F56426">
      <w:pPr>
        <w:rPr>
          <w:sz w:val="22"/>
          <w:szCs w:val="22"/>
        </w:rPr>
      </w:pPr>
      <w:r>
        <w:rPr>
          <w:sz w:val="22"/>
          <w:szCs w:val="22"/>
        </w:rPr>
        <w:t>I destinatari sono l</w:t>
      </w:r>
      <w:r w:rsidR="005E7953">
        <w:rPr>
          <w:sz w:val="22"/>
          <w:szCs w:val="22"/>
        </w:rPr>
        <w:t>a pluralità di interessati</w:t>
      </w:r>
      <w:r>
        <w:rPr>
          <w:sz w:val="22"/>
          <w:szCs w:val="22"/>
        </w:rPr>
        <w:t xml:space="preserve"> alla funzione  tributaria</w:t>
      </w:r>
      <w:r w:rsidR="005E7953">
        <w:rPr>
          <w:sz w:val="22"/>
          <w:szCs w:val="22"/>
        </w:rPr>
        <w:t xml:space="preserve"> con diversi livelli di attenzione</w:t>
      </w:r>
      <w:r w:rsidR="006D7A15">
        <w:rPr>
          <w:sz w:val="22"/>
          <w:szCs w:val="22"/>
        </w:rPr>
        <w:t xml:space="preserve">, </w:t>
      </w:r>
      <w:r w:rsidR="00102C6A">
        <w:rPr>
          <w:sz w:val="22"/>
          <w:szCs w:val="22"/>
        </w:rPr>
        <w:t xml:space="preserve">bagaglio </w:t>
      </w:r>
      <w:r w:rsidR="00936216">
        <w:rPr>
          <w:sz w:val="22"/>
          <w:szCs w:val="22"/>
        </w:rPr>
        <w:t xml:space="preserve"> </w:t>
      </w:r>
      <w:r w:rsidR="00102C6A">
        <w:rPr>
          <w:sz w:val="22"/>
          <w:szCs w:val="22"/>
        </w:rPr>
        <w:t xml:space="preserve">culturale, </w:t>
      </w:r>
      <w:r w:rsidR="003B5BCB">
        <w:rPr>
          <w:sz w:val="22"/>
          <w:szCs w:val="22"/>
        </w:rPr>
        <w:t>tempo disponibile</w:t>
      </w:r>
      <w:r w:rsidR="006D7A15">
        <w:rPr>
          <w:sz w:val="22"/>
          <w:szCs w:val="22"/>
        </w:rPr>
        <w:t xml:space="preserve"> e motivo di contatto. </w:t>
      </w:r>
      <w:r>
        <w:rPr>
          <w:sz w:val="22"/>
          <w:szCs w:val="22"/>
        </w:rPr>
        <w:t xml:space="preserve">Scorrendo </w:t>
      </w:r>
      <w:r w:rsidR="006D7A15" w:rsidRPr="007F7EBF">
        <w:rPr>
          <w:sz w:val="22"/>
          <w:szCs w:val="22"/>
        </w:rPr>
        <w:t xml:space="preserve">rapidamente </w:t>
      </w:r>
      <w:r w:rsidR="006D7A15">
        <w:rPr>
          <w:sz w:val="22"/>
          <w:szCs w:val="22"/>
        </w:rPr>
        <w:t>l’indice</w:t>
      </w:r>
      <w:r>
        <w:rPr>
          <w:sz w:val="22"/>
          <w:szCs w:val="22"/>
        </w:rPr>
        <w:t xml:space="preserve">, gli operatori, o gli </w:t>
      </w:r>
      <w:r w:rsidRPr="007F7EBF">
        <w:rPr>
          <w:sz w:val="22"/>
          <w:szCs w:val="22"/>
        </w:rPr>
        <w:t xml:space="preserve">interessati </w:t>
      </w:r>
      <w:r>
        <w:rPr>
          <w:sz w:val="22"/>
          <w:szCs w:val="22"/>
        </w:rPr>
        <w:t>più maturi</w:t>
      </w:r>
      <w:r w:rsidRPr="007F7EBF">
        <w:rPr>
          <w:sz w:val="22"/>
          <w:szCs w:val="22"/>
        </w:rPr>
        <w:t>, compresi politici, esponenti di associazioni sindacali o di categoria, magistrati, dirigenti pubblici,</w:t>
      </w:r>
      <w:r>
        <w:rPr>
          <w:sz w:val="22"/>
          <w:szCs w:val="22"/>
        </w:rPr>
        <w:t xml:space="preserve"> giornalisti</w:t>
      </w:r>
      <w:r w:rsidRPr="007F7EBF">
        <w:rPr>
          <w:sz w:val="22"/>
          <w:szCs w:val="22"/>
        </w:rPr>
        <w:t xml:space="preserve">, studiosi </w:t>
      </w:r>
      <w:r>
        <w:rPr>
          <w:sz w:val="22"/>
          <w:szCs w:val="22"/>
        </w:rPr>
        <w:t>sociali</w:t>
      </w:r>
      <w:r w:rsidRPr="007F7EBF">
        <w:rPr>
          <w:sz w:val="22"/>
          <w:szCs w:val="22"/>
        </w:rPr>
        <w:t xml:space="preserve">, </w:t>
      </w:r>
      <w:r>
        <w:rPr>
          <w:sz w:val="22"/>
          <w:szCs w:val="22"/>
        </w:rPr>
        <w:t xml:space="preserve">potranno individuare </w:t>
      </w:r>
      <w:r w:rsidR="006D7A15" w:rsidRPr="007F7EBF">
        <w:rPr>
          <w:sz w:val="22"/>
          <w:szCs w:val="22"/>
        </w:rPr>
        <w:t>l</w:t>
      </w:r>
      <w:r w:rsidR="00966714">
        <w:rPr>
          <w:sz w:val="22"/>
          <w:szCs w:val="22"/>
        </w:rPr>
        <w:t xml:space="preserve">’aspetto </w:t>
      </w:r>
      <w:r w:rsidR="006D7A15">
        <w:rPr>
          <w:sz w:val="22"/>
          <w:szCs w:val="22"/>
        </w:rPr>
        <w:t xml:space="preserve">della </w:t>
      </w:r>
      <w:r w:rsidR="006D7A15" w:rsidRPr="007F7EBF">
        <w:rPr>
          <w:sz w:val="22"/>
          <w:szCs w:val="22"/>
        </w:rPr>
        <w:t>funzione tributaria</w:t>
      </w:r>
      <w:r w:rsidR="006D7A15">
        <w:rPr>
          <w:sz w:val="22"/>
          <w:szCs w:val="22"/>
        </w:rPr>
        <w:t xml:space="preserve"> cui </w:t>
      </w:r>
      <w:r w:rsidR="00966714">
        <w:rPr>
          <w:sz w:val="22"/>
          <w:szCs w:val="22"/>
        </w:rPr>
        <w:t xml:space="preserve">di volta in volta </w:t>
      </w:r>
      <w:r w:rsidR="006D7A15">
        <w:rPr>
          <w:sz w:val="22"/>
          <w:szCs w:val="22"/>
        </w:rPr>
        <w:t xml:space="preserve">sono interessati. </w:t>
      </w:r>
    </w:p>
    <w:p w14:paraId="6B3F130F" w14:textId="456AFF91" w:rsidR="00AD47D2" w:rsidRDefault="005E7953" w:rsidP="00AD47D2">
      <w:pPr>
        <w:rPr>
          <w:sz w:val="22"/>
          <w:szCs w:val="22"/>
        </w:rPr>
      </w:pPr>
      <w:r>
        <w:rPr>
          <w:sz w:val="22"/>
          <w:szCs w:val="22"/>
        </w:rPr>
        <w:t>Gli studenti sono interlocutori</w:t>
      </w:r>
      <w:r w:rsidR="00086AF0">
        <w:rPr>
          <w:sz w:val="22"/>
          <w:szCs w:val="22"/>
        </w:rPr>
        <w:t xml:space="preserve"> </w:t>
      </w:r>
      <w:r w:rsidR="00D907B4">
        <w:rPr>
          <w:sz w:val="22"/>
          <w:szCs w:val="22"/>
        </w:rPr>
        <w:t>più omogenei</w:t>
      </w:r>
      <w:r>
        <w:rPr>
          <w:sz w:val="22"/>
          <w:szCs w:val="22"/>
        </w:rPr>
        <w:t xml:space="preserve">, </w:t>
      </w:r>
      <w:r w:rsidR="00D907B4">
        <w:rPr>
          <w:sz w:val="22"/>
          <w:szCs w:val="22"/>
        </w:rPr>
        <w:t xml:space="preserve">e questo libro offre loro varie possibilità di </w:t>
      </w:r>
      <w:r>
        <w:rPr>
          <w:sz w:val="22"/>
          <w:szCs w:val="22"/>
        </w:rPr>
        <w:t>costruirsi intelaiatur</w:t>
      </w:r>
      <w:r w:rsidR="00D907B4">
        <w:rPr>
          <w:sz w:val="22"/>
          <w:szCs w:val="22"/>
        </w:rPr>
        <w:t>e</w:t>
      </w:r>
      <w:r>
        <w:rPr>
          <w:sz w:val="22"/>
          <w:szCs w:val="22"/>
        </w:rPr>
        <w:t xml:space="preserve"> </w:t>
      </w:r>
      <w:r w:rsidR="00BC5FDA">
        <w:rPr>
          <w:sz w:val="22"/>
          <w:szCs w:val="22"/>
        </w:rPr>
        <w:t>concettuali personalizzate</w:t>
      </w:r>
      <w:r w:rsidR="006E1BE6">
        <w:rPr>
          <w:sz w:val="22"/>
          <w:szCs w:val="22"/>
        </w:rPr>
        <w:t>, intrecciando le prospettive a ciascuno di essi più congeniali</w:t>
      </w:r>
      <w:r w:rsidR="00BC5FDA">
        <w:rPr>
          <w:sz w:val="22"/>
          <w:szCs w:val="22"/>
        </w:rPr>
        <w:t xml:space="preserve">. </w:t>
      </w:r>
      <w:r w:rsidR="006E1BE6">
        <w:rPr>
          <w:sz w:val="22"/>
          <w:szCs w:val="22"/>
        </w:rPr>
        <w:t>Inutile ricordare tutto, anche se i</w:t>
      </w:r>
      <w:r w:rsidR="00D907B4">
        <w:rPr>
          <w:sz w:val="22"/>
          <w:szCs w:val="22"/>
        </w:rPr>
        <w:t xml:space="preserve">l libro è chiaro, </w:t>
      </w:r>
      <w:r w:rsidR="006E1BE6">
        <w:rPr>
          <w:sz w:val="22"/>
          <w:szCs w:val="22"/>
        </w:rPr>
        <w:t>perché è</w:t>
      </w:r>
      <w:r w:rsidR="00D907B4">
        <w:rPr>
          <w:sz w:val="22"/>
          <w:szCs w:val="22"/>
        </w:rPr>
        <w:t xml:space="preserve"> denso di concetti, al di là del numero relativamente basso delle pagine. </w:t>
      </w:r>
      <w:r w:rsidR="006E1BE6">
        <w:rPr>
          <w:sz w:val="22"/>
          <w:szCs w:val="22"/>
        </w:rPr>
        <w:t>C</w:t>
      </w:r>
      <w:r w:rsidR="00D907B4">
        <w:rPr>
          <w:sz w:val="22"/>
          <w:szCs w:val="22"/>
        </w:rPr>
        <w:t xml:space="preserve">iascuno studente, interagendo col testo nella sua </w:t>
      </w:r>
      <w:r w:rsidR="00DB4AE0">
        <w:rPr>
          <w:sz w:val="22"/>
          <w:szCs w:val="22"/>
        </w:rPr>
        <w:t>totalità</w:t>
      </w:r>
      <w:r w:rsidR="00D907B4">
        <w:rPr>
          <w:sz w:val="22"/>
          <w:szCs w:val="22"/>
        </w:rPr>
        <w:t xml:space="preserve">, </w:t>
      </w:r>
      <w:r w:rsidR="006E1BE6">
        <w:rPr>
          <w:sz w:val="22"/>
          <w:szCs w:val="22"/>
        </w:rPr>
        <w:t>deve incasellare in una propria rielaborazione personale della funzione tributaria i concetti che vede ricorrere con maggiore frequenza. L</w:t>
      </w:r>
      <w:r w:rsidR="00DB4AE0">
        <w:rPr>
          <w:sz w:val="22"/>
          <w:szCs w:val="22"/>
        </w:rPr>
        <w:t xml:space="preserve">o studente </w:t>
      </w:r>
      <w:r w:rsidR="003D4347">
        <w:rPr>
          <w:sz w:val="22"/>
          <w:szCs w:val="22"/>
        </w:rPr>
        <w:t>dovrebbe</w:t>
      </w:r>
      <w:r w:rsidR="00DB4AE0">
        <w:rPr>
          <w:sz w:val="22"/>
          <w:szCs w:val="22"/>
        </w:rPr>
        <w:t xml:space="preserve"> prendere visione </w:t>
      </w:r>
      <w:r w:rsidR="006E1BE6">
        <w:rPr>
          <w:sz w:val="22"/>
          <w:szCs w:val="22"/>
        </w:rPr>
        <w:t>dell’indice per capire in quale misura i singoli paragrafi rientrano nell’</w:t>
      </w:r>
      <w:r w:rsidR="00DB4AE0">
        <w:rPr>
          <w:sz w:val="22"/>
          <w:szCs w:val="22"/>
        </w:rPr>
        <w:t>architettura concettuale</w:t>
      </w:r>
      <w:r w:rsidR="006E1BE6">
        <w:rPr>
          <w:sz w:val="22"/>
          <w:szCs w:val="22"/>
        </w:rPr>
        <w:t xml:space="preserve"> che si sta formando; a questo scopo può aiutare la versione più ridotta</w:t>
      </w:r>
      <w:r w:rsidR="00AD47D2">
        <w:rPr>
          <w:sz w:val="22"/>
          <w:szCs w:val="22"/>
        </w:rPr>
        <w:t xml:space="preserve">, </w:t>
      </w:r>
      <w:r w:rsidR="006E1BE6">
        <w:rPr>
          <w:sz w:val="22"/>
          <w:szCs w:val="22"/>
        </w:rPr>
        <w:t xml:space="preserve">con stessa geografia, ma </w:t>
      </w:r>
      <w:r w:rsidR="00AD47D2">
        <w:rPr>
          <w:sz w:val="22"/>
          <w:szCs w:val="22"/>
        </w:rPr>
        <w:t xml:space="preserve">meno di 100 pagine, </w:t>
      </w:r>
      <w:r w:rsidR="006E1BE6">
        <w:rPr>
          <w:sz w:val="22"/>
          <w:szCs w:val="22"/>
        </w:rPr>
        <w:t>anch’essa</w:t>
      </w:r>
      <w:r w:rsidR="003D4347">
        <w:rPr>
          <w:sz w:val="22"/>
          <w:szCs w:val="22"/>
        </w:rPr>
        <w:t xml:space="preserve"> scaricabile dal sito dell’università di Tor Vergata</w:t>
      </w:r>
      <w:r w:rsidR="00AD47D2">
        <w:rPr>
          <w:sz w:val="22"/>
          <w:szCs w:val="22"/>
        </w:rPr>
        <w:t>.</w:t>
      </w:r>
    </w:p>
    <w:p w14:paraId="6DCB15DD" w14:textId="337DDDB1" w:rsidR="00AD47D2" w:rsidRDefault="00AD47D2" w:rsidP="00AD47D2">
      <w:pPr>
        <w:pStyle w:val="tit23"/>
        <w:ind w:left="6464" w:right="-1361" w:firstLine="0"/>
        <w:jc w:val="left"/>
        <w:rPr>
          <w:bCs/>
          <w:i/>
          <w:iCs/>
          <w:color w:val="0000FF"/>
          <w:lang w:val="it-IT"/>
        </w:rPr>
      </w:pPr>
      <w:r>
        <w:rPr>
          <w:bCs/>
          <w:i/>
          <w:iCs/>
          <w:color w:val="0000FF"/>
          <w:lang w:val="it-IT"/>
        </w:rPr>
        <w:lastRenderedPageBreak/>
        <w:t>Varie prospettive di lettura</w:t>
      </w:r>
    </w:p>
    <w:p w14:paraId="295A5948" w14:textId="3CB07D8E" w:rsidR="00782360" w:rsidRDefault="00DB4AE0" w:rsidP="00F56426">
      <w:pPr>
        <w:rPr>
          <w:sz w:val="22"/>
          <w:szCs w:val="22"/>
        </w:rPr>
      </w:pPr>
      <w:r>
        <w:rPr>
          <w:sz w:val="22"/>
          <w:szCs w:val="22"/>
        </w:rPr>
        <w:t>A titolo di</w:t>
      </w:r>
      <w:r w:rsidR="00737DF9">
        <w:rPr>
          <w:sz w:val="22"/>
          <w:szCs w:val="22"/>
        </w:rPr>
        <w:t xml:space="preserve"> esempio</w:t>
      </w:r>
      <w:r>
        <w:rPr>
          <w:sz w:val="22"/>
          <w:szCs w:val="22"/>
        </w:rPr>
        <w:t xml:space="preserve"> indico </w:t>
      </w:r>
      <w:r w:rsidR="005E7953">
        <w:rPr>
          <w:sz w:val="22"/>
          <w:szCs w:val="22"/>
        </w:rPr>
        <w:t>tre prospettive aggreganti</w:t>
      </w:r>
      <w:r w:rsidR="00737DF9">
        <w:rPr>
          <w:sz w:val="22"/>
          <w:szCs w:val="22"/>
        </w:rPr>
        <w:t>, ulteriormente personalizzabili</w:t>
      </w:r>
      <w:r>
        <w:rPr>
          <w:sz w:val="22"/>
          <w:szCs w:val="22"/>
        </w:rPr>
        <w:t>, pensate per gli studenti di giurisprudenza</w:t>
      </w:r>
      <w:r w:rsidR="005E7953">
        <w:rPr>
          <w:sz w:val="22"/>
          <w:szCs w:val="22"/>
        </w:rPr>
        <w:t xml:space="preserve">. Una </w:t>
      </w:r>
      <w:r w:rsidR="00737DF9">
        <w:rPr>
          <w:sz w:val="22"/>
          <w:szCs w:val="22"/>
        </w:rPr>
        <w:t xml:space="preserve">riferisce alla </w:t>
      </w:r>
      <w:r w:rsidR="005E7953">
        <w:rPr>
          <w:sz w:val="22"/>
          <w:szCs w:val="22"/>
        </w:rPr>
        <w:t>funzione tributaria</w:t>
      </w:r>
      <w:r w:rsidR="00737DF9">
        <w:rPr>
          <w:sz w:val="22"/>
          <w:szCs w:val="22"/>
        </w:rPr>
        <w:t xml:space="preserve"> </w:t>
      </w:r>
      <w:r w:rsidR="005E7953">
        <w:rPr>
          <w:sz w:val="22"/>
          <w:szCs w:val="22"/>
        </w:rPr>
        <w:t xml:space="preserve">i concetti </w:t>
      </w:r>
      <w:r>
        <w:rPr>
          <w:sz w:val="22"/>
          <w:szCs w:val="22"/>
        </w:rPr>
        <w:t>scientifici</w:t>
      </w:r>
      <w:r w:rsidR="005E7953">
        <w:rPr>
          <w:sz w:val="22"/>
          <w:szCs w:val="22"/>
        </w:rPr>
        <w:t xml:space="preserve"> </w:t>
      </w:r>
      <w:r w:rsidR="00782360">
        <w:rPr>
          <w:sz w:val="22"/>
          <w:szCs w:val="22"/>
        </w:rPr>
        <w:t xml:space="preserve">incontrati negli studi giuridici, </w:t>
      </w:r>
      <w:r>
        <w:rPr>
          <w:sz w:val="22"/>
          <w:szCs w:val="22"/>
        </w:rPr>
        <w:t xml:space="preserve">come le pubbliche funzioni, </w:t>
      </w:r>
      <w:r w:rsidR="00782360">
        <w:rPr>
          <w:sz w:val="22"/>
          <w:szCs w:val="22"/>
        </w:rPr>
        <w:t xml:space="preserve">la legislazione, </w:t>
      </w:r>
      <w:r>
        <w:rPr>
          <w:sz w:val="22"/>
          <w:szCs w:val="22"/>
        </w:rPr>
        <w:t>i</w:t>
      </w:r>
      <w:r w:rsidR="00782360">
        <w:rPr>
          <w:sz w:val="22"/>
          <w:szCs w:val="22"/>
        </w:rPr>
        <w:t xml:space="preserve"> giudici,</w:t>
      </w:r>
      <w:r w:rsidR="00737DF9">
        <w:rPr>
          <w:sz w:val="22"/>
          <w:szCs w:val="22"/>
        </w:rPr>
        <w:t xml:space="preserve"> l’</w:t>
      </w:r>
      <w:r w:rsidR="00782360">
        <w:rPr>
          <w:sz w:val="22"/>
          <w:szCs w:val="22"/>
        </w:rPr>
        <w:t xml:space="preserve">interpretazione, </w:t>
      </w:r>
      <w:r w:rsidR="00737DF9">
        <w:rPr>
          <w:sz w:val="22"/>
          <w:szCs w:val="22"/>
        </w:rPr>
        <w:t xml:space="preserve">il </w:t>
      </w:r>
      <w:r w:rsidR="00782360">
        <w:rPr>
          <w:sz w:val="22"/>
          <w:szCs w:val="22"/>
        </w:rPr>
        <w:t>giudizio di fatto</w:t>
      </w:r>
      <w:r w:rsidR="00737DF9">
        <w:rPr>
          <w:sz w:val="22"/>
          <w:szCs w:val="22"/>
        </w:rPr>
        <w:t>, l’</w:t>
      </w:r>
      <w:r w:rsidR="00782360">
        <w:rPr>
          <w:sz w:val="22"/>
          <w:szCs w:val="22"/>
        </w:rPr>
        <w:t xml:space="preserve">onere della prova, </w:t>
      </w:r>
      <w:r w:rsidR="00737DF9">
        <w:rPr>
          <w:sz w:val="22"/>
          <w:szCs w:val="22"/>
        </w:rPr>
        <w:t>il procedimento, il processo, il controllo di le</w:t>
      </w:r>
      <w:r w:rsidR="00782360">
        <w:rPr>
          <w:sz w:val="22"/>
          <w:szCs w:val="22"/>
        </w:rPr>
        <w:t>gittimità e merito,</w:t>
      </w:r>
      <w:r w:rsidR="00737DF9">
        <w:rPr>
          <w:sz w:val="22"/>
          <w:szCs w:val="22"/>
        </w:rPr>
        <w:t xml:space="preserve"> </w:t>
      </w:r>
      <w:r w:rsidR="00782360">
        <w:rPr>
          <w:sz w:val="22"/>
          <w:szCs w:val="22"/>
        </w:rPr>
        <w:t>e altri concetti</w:t>
      </w:r>
      <w:r w:rsidR="00737DF9">
        <w:rPr>
          <w:sz w:val="22"/>
          <w:szCs w:val="22"/>
        </w:rPr>
        <w:t xml:space="preserve">, di ampio respiro, </w:t>
      </w:r>
      <w:r w:rsidR="00782360">
        <w:rPr>
          <w:sz w:val="22"/>
          <w:szCs w:val="22"/>
        </w:rPr>
        <w:t>del</w:t>
      </w:r>
      <w:r w:rsidR="00786D8D">
        <w:rPr>
          <w:sz w:val="22"/>
          <w:szCs w:val="22"/>
        </w:rPr>
        <w:t xml:space="preserve"> diritto come sapere per tecnici </w:t>
      </w:r>
      <w:r w:rsidR="00782360">
        <w:rPr>
          <w:sz w:val="22"/>
          <w:szCs w:val="22"/>
        </w:rPr>
        <w:t xml:space="preserve">. </w:t>
      </w:r>
    </w:p>
    <w:p w14:paraId="754529E3" w14:textId="4575C4D5" w:rsidR="00DB4AE0" w:rsidRDefault="00DB4AE0" w:rsidP="00DB4AE0">
      <w:pPr>
        <w:rPr>
          <w:sz w:val="22"/>
          <w:szCs w:val="22"/>
        </w:rPr>
      </w:pPr>
      <w:r>
        <w:rPr>
          <w:sz w:val="22"/>
          <w:szCs w:val="22"/>
        </w:rPr>
        <w:t>Un</w:t>
      </w:r>
      <w:r w:rsidR="00443D4D">
        <w:rPr>
          <w:sz w:val="22"/>
          <w:szCs w:val="22"/>
        </w:rPr>
        <w:t>’</w:t>
      </w:r>
      <w:r>
        <w:rPr>
          <w:sz w:val="22"/>
          <w:szCs w:val="22"/>
        </w:rPr>
        <w:t>altr</w:t>
      </w:r>
      <w:r w:rsidR="00443D4D">
        <w:rPr>
          <w:sz w:val="22"/>
          <w:szCs w:val="22"/>
        </w:rPr>
        <w:t xml:space="preserve">a prospettiva aggregante </w:t>
      </w:r>
      <w:r>
        <w:rPr>
          <w:sz w:val="22"/>
          <w:szCs w:val="22"/>
        </w:rPr>
        <w:t xml:space="preserve">riguarda il diritto come </w:t>
      </w:r>
      <w:r w:rsidR="004359D9">
        <w:rPr>
          <w:sz w:val="22"/>
          <w:szCs w:val="22"/>
        </w:rPr>
        <w:t>studio</w:t>
      </w:r>
      <w:r>
        <w:rPr>
          <w:sz w:val="22"/>
          <w:szCs w:val="22"/>
        </w:rPr>
        <w:t xml:space="preserve"> sociale, ed i suoi rapporti con la pubblica opinione e la politica, l’organizzazione dei pubblici uffici, i mezzi di informazione e il pubblico dibattito, la sfera “politico-giuridica” della sovranità nel rapporto con quella economico produttiva del soddisfacimento dei bisogni;  questa prospettiva si sofferma sulla scientificità umanistico sociale e le relative spiegazioni, compres</w:t>
      </w:r>
      <w:r w:rsidR="006E1BE6">
        <w:rPr>
          <w:sz w:val="22"/>
          <w:szCs w:val="22"/>
        </w:rPr>
        <w:t xml:space="preserve">a la dialettica tra diritto come tecnica e studio sociale delle funzioni pubbliche </w:t>
      </w:r>
      <w:r>
        <w:rPr>
          <w:sz w:val="22"/>
          <w:szCs w:val="22"/>
        </w:rPr>
        <w:t>(</w:t>
      </w:r>
      <w:r>
        <w:t xml:space="preserve">paragrafi 1.3, </w:t>
      </w:r>
      <w:r w:rsidR="00770B5C">
        <w:t>4.1</w:t>
      </w:r>
      <w:r>
        <w:t xml:space="preserve">, 2.4, 3.1, 3.16, 4.3-4.7, 5.3, 6.7).  </w:t>
      </w:r>
    </w:p>
    <w:p w14:paraId="630EE09A" w14:textId="27568574" w:rsidR="00786D8D" w:rsidRDefault="00782360" w:rsidP="00F56426">
      <w:pPr>
        <w:rPr>
          <w:sz w:val="22"/>
          <w:szCs w:val="22"/>
        </w:rPr>
      </w:pPr>
      <w:r>
        <w:rPr>
          <w:sz w:val="22"/>
          <w:szCs w:val="22"/>
        </w:rPr>
        <w:t xml:space="preserve">Un </w:t>
      </w:r>
      <w:r w:rsidR="00DB4AE0">
        <w:rPr>
          <w:sz w:val="22"/>
          <w:szCs w:val="22"/>
        </w:rPr>
        <w:t>terzo</w:t>
      </w:r>
      <w:r>
        <w:rPr>
          <w:sz w:val="22"/>
          <w:szCs w:val="22"/>
        </w:rPr>
        <w:t xml:space="preserve"> polo di aggregazione è più “</w:t>
      </w:r>
      <w:r w:rsidR="00DB4AE0">
        <w:rPr>
          <w:sz w:val="22"/>
          <w:szCs w:val="22"/>
        </w:rPr>
        <w:t>tecnico-</w:t>
      </w:r>
      <w:r>
        <w:rPr>
          <w:sz w:val="22"/>
          <w:szCs w:val="22"/>
        </w:rPr>
        <w:t>professionale” in campo tributario, e riguarda la specificazione de</w:t>
      </w:r>
      <w:r w:rsidR="007F283E">
        <w:rPr>
          <w:sz w:val="22"/>
          <w:szCs w:val="22"/>
        </w:rPr>
        <w:t xml:space="preserve">i presupposti economici </w:t>
      </w:r>
      <w:r w:rsidR="006E1BE6">
        <w:rPr>
          <w:sz w:val="22"/>
          <w:szCs w:val="22"/>
        </w:rPr>
        <w:t>d’</w:t>
      </w:r>
      <w:r>
        <w:rPr>
          <w:sz w:val="22"/>
          <w:szCs w:val="22"/>
        </w:rPr>
        <w:t>impost</w:t>
      </w:r>
      <w:r w:rsidR="006E1BE6">
        <w:rPr>
          <w:sz w:val="22"/>
          <w:szCs w:val="22"/>
        </w:rPr>
        <w:t>a</w:t>
      </w:r>
      <w:r w:rsidR="00737DF9">
        <w:rPr>
          <w:sz w:val="22"/>
          <w:szCs w:val="22"/>
        </w:rPr>
        <w:t>, a partire da reddito e consumi</w:t>
      </w:r>
      <w:r w:rsidR="001676DB">
        <w:rPr>
          <w:sz w:val="22"/>
          <w:szCs w:val="22"/>
        </w:rPr>
        <w:t xml:space="preserve"> (ca</w:t>
      </w:r>
      <w:r w:rsidR="006E1BE6">
        <w:rPr>
          <w:sz w:val="22"/>
          <w:szCs w:val="22"/>
        </w:rPr>
        <w:t>p</w:t>
      </w:r>
      <w:r w:rsidR="001676DB">
        <w:rPr>
          <w:sz w:val="22"/>
          <w:szCs w:val="22"/>
        </w:rPr>
        <w:t>p.7-10)</w:t>
      </w:r>
      <w:r w:rsidR="00737DF9">
        <w:rPr>
          <w:sz w:val="22"/>
          <w:szCs w:val="22"/>
        </w:rPr>
        <w:t>; mi riferisco alla  qualificazione degli imponibili, alla distinzione tra costi e consumi, ai momenti impositivi, alla analiticità o alla forfettizzazione, alle simmetrie concettuali tra soggetti e tributi diversi</w:t>
      </w:r>
      <w:r w:rsidR="001676DB">
        <w:rPr>
          <w:sz w:val="22"/>
          <w:szCs w:val="22"/>
        </w:rPr>
        <w:t>, alla stratificazione delle informazioni nella contabilità aziendale, etc.</w:t>
      </w:r>
      <w:r w:rsidR="00827C83">
        <w:rPr>
          <w:sz w:val="22"/>
          <w:szCs w:val="22"/>
        </w:rPr>
        <w:t xml:space="preserve"> </w:t>
      </w:r>
    </w:p>
    <w:p w14:paraId="23C35B53" w14:textId="2A1AC23C" w:rsidR="00DB4AE0" w:rsidRDefault="00DB4AE0" w:rsidP="00F56426">
      <w:pPr>
        <w:rPr>
          <w:sz w:val="22"/>
          <w:szCs w:val="22"/>
        </w:rPr>
      </w:pPr>
      <w:r>
        <w:rPr>
          <w:sz w:val="22"/>
          <w:szCs w:val="22"/>
        </w:rPr>
        <w:t xml:space="preserve">Sono indicazioni che ciascuno potrà personalizzare al meglio, aiutato in questo dalla </w:t>
      </w:r>
      <w:r w:rsidR="00D72974">
        <w:rPr>
          <w:sz w:val="22"/>
          <w:szCs w:val="22"/>
        </w:rPr>
        <w:t>didattica frontale, che oggi ha ragion d’essere, ne</w:t>
      </w:r>
      <w:r w:rsidR="00611223">
        <w:rPr>
          <w:sz w:val="22"/>
          <w:szCs w:val="22"/>
        </w:rPr>
        <w:t xml:space="preserve">gli studi </w:t>
      </w:r>
      <w:r w:rsidR="00D72974">
        <w:rPr>
          <w:sz w:val="22"/>
          <w:szCs w:val="22"/>
        </w:rPr>
        <w:t xml:space="preserve">sociali, solo in termini di “studio assistito”. </w:t>
      </w:r>
    </w:p>
    <w:p w14:paraId="6320DFB2" w14:textId="77777777" w:rsidR="000B5A86" w:rsidRPr="007F7EBF" w:rsidRDefault="000B5A86" w:rsidP="000B5A86">
      <w:pPr>
        <w:pStyle w:val="tit23"/>
        <w:ind w:left="6464" w:right="-1361" w:firstLine="0"/>
        <w:jc w:val="left"/>
        <w:rPr>
          <w:bCs/>
          <w:i/>
          <w:iCs/>
          <w:color w:val="0000FF"/>
          <w:lang w:val="it-IT"/>
        </w:rPr>
      </w:pPr>
      <w:r w:rsidRPr="007F7EBF">
        <w:rPr>
          <w:bCs/>
          <w:i/>
          <w:iCs/>
          <w:color w:val="0000FF"/>
          <w:lang w:val="it-IT"/>
        </w:rPr>
        <w:t>test</w:t>
      </w:r>
      <w:r w:rsidR="00F44D8D">
        <w:rPr>
          <w:bCs/>
          <w:i/>
          <w:iCs/>
          <w:color w:val="0000FF"/>
          <w:lang w:val="it-IT"/>
        </w:rPr>
        <w:t>o</w:t>
      </w:r>
      <w:r w:rsidRPr="007F7EBF">
        <w:rPr>
          <w:bCs/>
          <w:i/>
          <w:iCs/>
          <w:color w:val="0000FF"/>
          <w:lang w:val="it-IT"/>
        </w:rPr>
        <w:t xml:space="preserve"> e note</w:t>
      </w:r>
    </w:p>
    <w:p w14:paraId="2BC502AA" w14:textId="03D78AD5" w:rsidR="00EF6A64" w:rsidRDefault="00942985" w:rsidP="00EE5A37">
      <w:pPr>
        <w:rPr>
          <w:sz w:val="22"/>
          <w:szCs w:val="22"/>
        </w:rPr>
      </w:pPr>
      <w:r>
        <w:rPr>
          <w:sz w:val="22"/>
          <w:szCs w:val="22"/>
        </w:rPr>
        <w:t>Quest</w:t>
      </w:r>
      <w:r w:rsidR="004E7C50">
        <w:rPr>
          <w:sz w:val="22"/>
          <w:szCs w:val="22"/>
        </w:rPr>
        <w:t xml:space="preserve">a </w:t>
      </w:r>
      <w:r w:rsidR="00D72974">
        <w:rPr>
          <w:sz w:val="22"/>
          <w:szCs w:val="22"/>
        </w:rPr>
        <w:t>varietà</w:t>
      </w:r>
      <w:r w:rsidR="000B5A86" w:rsidRPr="007F7EBF">
        <w:rPr>
          <w:sz w:val="22"/>
          <w:szCs w:val="22"/>
        </w:rPr>
        <w:t xml:space="preserve"> di </w:t>
      </w:r>
      <w:r w:rsidR="00EF6A64">
        <w:rPr>
          <w:sz w:val="22"/>
          <w:szCs w:val="22"/>
        </w:rPr>
        <w:t>livelli di lettura</w:t>
      </w:r>
      <w:r w:rsidR="000B5A86" w:rsidRPr="007F7EBF">
        <w:rPr>
          <w:sz w:val="22"/>
          <w:szCs w:val="22"/>
        </w:rPr>
        <w:t xml:space="preserve"> </w:t>
      </w:r>
      <w:r w:rsidR="00ED183C">
        <w:rPr>
          <w:sz w:val="22"/>
          <w:szCs w:val="22"/>
        </w:rPr>
        <w:t xml:space="preserve">spiega </w:t>
      </w:r>
      <w:r w:rsidR="007A789A">
        <w:rPr>
          <w:sz w:val="22"/>
          <w:szCs w:val="22"/>
        </w:rPr>
        <w:t>l’</w:t>
      </w:r>
      <w:r w:rsidR="000B5A86" w:rsidRPr="007F7EBF">
        <w:rPr>
          <w:sz w:val="22"/>
          <w:szCs w:val="22"/>
        </w:rPr>
        <w:t>uso delle note</w:t>
      </w:r>
      <w:r w:rsidR="00ED183C">
        <w:rPr>
          <w:sz w:val="22"/>
          <w:szCs w:val="22"/>
        </w:rPr>
        <w:t xml:space="preserve">, </w:t>
      </w:r>
      <w:r w:rsidR="00EF6A64">
        <w:rPr>
          <w:sz w:val="22"/>
          <w:szCs w:val="22"/>
        </w:rPr>
        <w:t>soprattutto di collegamento, rinvio e contestualizzazione, contro</w:t>
      </w:r>
      <w:r w:rsidR="00EF6A64" w:rsidRPr="007F7EBF">
        <w:rPr>
          <w:sz w:val="22"/>
          <w:szCs w:val="22"/>
        </w:rPr>
        <w:t xml:space="preserve"> ripetizioni o salti logici</w:t>
      </w:r>
      <w:r w:rsidR="00EF6A64">
        <w:rPr>
          <w:sz w:val="22"/>
          <w:szCs w:val="22"/>
        </w:rPr>
        <w:t xml:space="preserve">. Esse precisano il senso di passaggi del testo, rispetto ad argomenti contigui, prevenendo equivoci collegati alla </w:t>
      </w:r>
      <w:r w:rsidR="008845E4">
        <w:rPr>
          <w:sz w:val="22"/>
          <w:szCs w:val="22"/>
        </w:rPr>
        <w:t xml:space="preserve">suddetta </w:t>
      </w:r>
      <w:r w:rsidR="00EF6A64">
        <w:rPr>
          <w:sz w:val="22"/>
          <w:szCs w:val="22"/>
        </w:rPr>
        <w:t>polifunzionalità del libro.</w:t>
      </w:r>
      <w:r w:rsidR="00DD5D64">
        <w:rPr>
          <w:sz w:val="22"/>
          <w:szCs w:val="22"/>
        </w:rPr>
        <w:t xml:space="preserve"> </w:t>
      </w:r>
      <w:r w:rsidR="00EF6A64">
        <w:rPr>
          <w:sz w:val="22"/>
          <w:szCs w:val="22"/>
        </w:rPr>
        <w:t xml:space="preserve">Le note gestiscono anche associazioni di idee, comprese </w:t>
      </w:r>
      <w:r w:rsidR="00EF6A64" w:rsidRPr="007F7EBF">
        <w:rPr>
          <w:sz w:val="22"/>
          <w:szCs w:val="22"/>
        </w:rPr>
        <w:t>le battute di spirito</w:t>
      </w:r>
      <w:r w:rsidR="00EF6A64">
        <w:rPr>
          <w:sz w:val="22"/>
          <w:szCs w:val="22"/>
        </w:rPr>
        <w:t xml:space="preserve"> </w:t>
      </w:r>
      <w:r w:rsidR="00EF6A64" w:rsidRPr="007F7EBF">
        <w:rPr>
          <w:sz w:val="22"/>
          <w:szCs w:val="22"/>
        </w:rPr>
        <w:t>spesso collega</w:t>
      </w:r>
      <w:r w:rsidR="00EF6A64">
        <w:rPr>
          <w:sz w:val="22"/>
          <w:szCs w:val="22"/>
        </w:rPr>
        <w:t xml:space="preserve">te </w:t>
      </w:r>
      <w:r w:rsidR="00EF6A64" w:rsidRPr="007F7EBF">
        <w:rPr>
          <w:sz w:val="22"/>
          <w:szCs w:val="22"/>
        </w:rPr>
        <w:t xml:space="preserve">a video </w:t>
      </w:r>
      <w:r w:rsidR="00EF6A64">
        <w:rPr>
          <w:sz w:val="22"/>
          <w:szCs w:val="22"/>
        </w:rPr>
        <w:t xml:space="preserve">presenti </w:t>
      </w:r>
      <w:r w:rsidR="00EF6A64" w:rsidRPr="007F7EBF">
        <w:rPr>
          <w:sz w:val="22"/>
          <w:szCs w:val="22"/>
        </w:rPr>
        <w:t>in rete</w:t>
      </w:r>
      <w:r w:rsidR="00EF6A64">
        <w:rPr>
          <w:sz w:val="22"/>
          <w:szCs w:val="22"/>
        </w:rPr>
        <w:t>, senza perdere il filo del discorso (</w:t>
      </w:r>
      <w:r w:rsidR="00EF6A64" w:rsidRPr="007F7EBF">
        <w:rPr>
          <w:rStyle w:val="Rimandonotaapidipagina"/>
          <w:sz w:val="22"/>
          <w:szCs w:val="22"/>
        </w:rPr>
        <w:footnoteReference w:id="2"/>
      </w:r>
      <w:r w:rsidR="00EF6A64">
        <w:rPr>
          <w:sz w:val="22"/>
          <w:szCs w:val="22"/>
        </w:rPr>
        <w:t>)</w:t>
      </w:r>
      <w:r w:rsidR="00EF6A64" w:rsidRPr="007F7EBF">
        <w:rPr>
          <w:sz w:val="22"/>
          <w:szCs w:val="22"/>
        </w:rPr>
        <w:t>.</w:t>
      </w:r>
      <w:r w:rsidR="00EF6A64">
        <w:rPr>
          <w:sz w:val="22"/>
          <w:szCs w:val="22"/>
        </w:rPr>
        <w:t xml:space="preserve"> </w:t>
      </w:r>
    </w:p>
    <w:p w14:paraId="7F32889A" w14:textId="2B4DE9E5" w:rsidR="00EE5A37" w:rsidRPr="007F7EBF" w:rsidRDefault="00475056" w:rsidP="00EE5A37">
      <w:pPr>
        <w:rPr>
          <w:color w:val="000000"/>
          <w:sz w:val="22"/>
          <w:szCs w:val="22"/>
        </w:rPr>
      </w:pPr>
      <w:r>
        <w:rPr>
          <w:sz w:val="22"/>
          <w:szCs w:val="22"/>
        </w:rPr>
        <w:lastRenderedPageBreak/>
        <w:t>Le i</w:t>
      </w:r>
      <w:r w:rsidRPr="007F7EBF">
        <w:rPr>
          <w:sz w:val="22"/>
          <w:szCs w:val="22"/>
        </w:rPr>
        <w:t>ndicazioni bibliografiche</w:t>
      </w:r>
      <w:r>
        <w:rPr>
          <w:sz w:val="22"/>
          <w:szCs w:val="22"/>
        </w:rPr>
        <w:t xml:space="preserve"> sono rinviate ad un secondo tempo, in positivo e in negativo, ma siccome sarebbero state soprattutto del secondo tipo, visto il dominio della scientificità esteriore</w:t>
      </w:r>
      <w:r w:rsidR="00D72974">
        <w:rPr>
          <w:sz w:val="22"/>
          <w:szCs w:val="22"/>
        </w:rPr>
        <w:t xml:space="preserve"> (par.4.3),</w:t>
      </w:r>
      <w:r>
        <w:rPr>
          <w:sz w:val="22"/>
          <w:szCs w:val="22"/>
        </w:rPr>
        <w:t xml:space="preserve"> è meglio per ora sorvolare</w:t>
      </w:r>
      <w:r w:rsidRPr="007F7EBF">
        <w:rPr>
          <w:sz w:val="22"/>
          <w:szCs w:val="22"/>
        </w:rPr>
        <w:t>.</w:t>
      </w:r>
    </w:p>
    <w:p w14:paraId="74F8C99E" w14:textId="27C38152" w:rsidR="004B233D" w:rsidRPr="007F7EBF" w:rsidRDefault="00DD5D64" w:rsidP="004B233D">
      <w:pPr>
        <w:pStyle w:val="tit23"/>
        <w:ind w:left="6464" w:right="-1361" w:firstLine="0"/>
        <w:jc w:val="left"/>
        <w:rPr>
          <w:bCs/>
          <w:i/>
          <w:iCs/>
          <w:color w:val="0000FF"/>
          <w:lang w:val="it-IT"/>
        </w:rPr>
      </w:pPr>
      <w:r>
        <w:rPr>
          <w:bCs/>
          <w:i/>
          <w:iCs/>
          <w:color w:val="0000FF"/>
          <w:lang w:val="it-IT"/>
        </w:rPr>
        <w:t>Altre opere collegate</w:t>
      </w:r>
    </w:p>
    <w:p w14:paraId="73D12789" w14:textId="6343B151" w:rsidR="00942985" w:rsidRDefault="00942985" w:rsidP="00942985">
      <w:pPr>
        <w:rPr>
          <w:sz w:val="22"/>
          <w:szCs w:val="22"/>
        </w:rPr>
      </w:pPr>
      <w:r>
        <w:rPr>
          <w:sz w:val="22"/>
          <w:szCs w:val="22"/>
        </w:rPr>
        <w:t>Per gli interlocutori desiderosi di un’idea più rapida della funzione tributaria</w:t>
      </w:r>
      <w:r w:rsidR="00DD5D64">
        <w:rPr>
          <w:sz w:val="22"/>
          <w:szCs w:val="22"/>
        </w:rPr>
        <w:t>, attraverso il tema più frequente nel discorso pubblico</w:t>
      </w:r>
      <w:r w:rsidR="00D72974">
        <w:rPr>
          <w:sz w:val="22"/>
          <w:szCs w:val="22"/>
        </w:rPr>
        <w:t xml:space="preserve"> cioè l’evasione</w:t>
      </w:r>
      <w:r w:rsidR="00DD5D64">
        <w:rPr>
          <w:sz w:val="22"/>
          <w:szCs w:val="22"/>
        </w:rPr>
        <w:t>,</w:t>
      </w:r>
      <w:r>
        <w:rPr>
          <w:sz w:val="22"/>
          <w:szCs w:val="22"/>
        </w:rPr>
        <w:t xml:space="preserve"> </w:t>
      </w:r>
      <w:r w:rsidR="00EF6A64">
        <w:rPr>
          <w:sz w:val="22"/>
          <w:szCs w:val="22"/>
        </w:rPr>
        <w:t>segnalo</w:t>
      </w:r>
      <w:r>
        <w:rPr>
          <w:sz w:val="22"/>
          <w:szCs w:val="22"/>
        </w:rPr>
        <w:t xml:space="preserve"> </w:t>
      </w:r>
      <w:r w:rsidR="00AD47D2">
        <w:rPr>
          <w:sz w:val="22"/>
          <w:szCs w:val="22"/>
        </w:rPr>
        <w:t xml:space="preserve">due miei </w:t>
      </w:r>
      <w:r>
        <w:rPr>
          <w:sz w:val="22"/>
          <w:szCs w:val="22"/>
        </w:rPr>
        <w:t>volum</w:t>
      </w:r>
      <w:r w:rsidR="00AD47D2">
        <w:rPr>
          <w:sz w:val="22"/>
          <w:szCs w:val="22"/>
        </w:rPr>
        <w:t>i di</w:t>
      </w:r>
      <w:r w:rsidRPr="007F7EBF">
        <w:rPr>
          <w:sz w:val="22"/>
          <w:szCs w:val="22"/>
        </w:rPr>
        <w:t xml:space="preserve"> </w:t>
      </w:r>
      <w:r>
        <w:rPr>
          <w:sz w:val="22"/>
          <w:szCs w:val="22"/>
        </w:rPr>
        <w:t>metà</w:t>
      </w:r>
      <w:r w:rsidRPr="007F7EBF">
        <w:rPr>
          <w:sz w:val="22"/>
          <w:szCs w:val="22"/>
        </w:rPr>
        <w:t xml:space="preserve"> 2018</w:t>
      </w:r>
      <w:r w:rsidR="00AD47D2">
        <w:rPr>
          <w:sz w:val="22"/>
          <w:szCs w:val="22"/>
        </w:rPr>
        <w:t xml:space="preserve"> e dei primi del 2020 </w:t>
      </w:r>
      <w:r>
        <w:rPr>
          <w:sz w:val="22"/>
          <w:szCs w:val="22"/>
        </w:rPr>
        <w:t>(</w:t>
      </w:r>
      <w:r w:rsidRPr="007F7EBF">
        <w:rPr>
          <w:rStyle w:val="Rimandonotaapidipagina"/>
          <w:sz w:val="22"/>
          <w:szCs w:val="22"/>
        </w:rPr>
        <w:footnoteReference w:id="3"/>
      </w:r>
      <w:r>
        <w:rPr>
          <w:sz w:val="22"/>
          <w:szCs w:val="22"/>
        </w:rPr>
        <w:t>)</w:t>
      </w:r>
      <w:r w:rsidR="00DD5D64">
        <w:rPr>
          <w:sz w:val="22"/>
          <w:szCs w:val="22"/>
        </w:rPr>
        <w:t>. P</w:t>
      </w:r>
      <w:r>
        <w:rPr>
          <w:sz w:val="22"/>
          <w:szCs w:val="22"/>
        </w:rPr>
        <w:t>er la consultazione professionale</w:t>
      </w:r>
      <w:r w:rsidR="00DD5D64">
        <w:rPr>
          <w:sz w:val="22"/>
          <w:szCs w:val="22"/>
        </w:rPr>
        <w:t xml:space="preserve"> (par.3.16)</w:t>
      </w:r>
      <w:r>
        <w:rPr>
          <w:sz w:val="22"/>
          <w:szCs w:val="22"/>
        </w:rPr>
        <w:t xml:space="preserve">, </w:t>
      </w:r>
      <w:r w:rsidR="00AD47D2">
        <w:rPr>
          <w:sz w:val="22"/>
          <w:szCs w:val="22"/>
        </w:rPr>
        <w:t xml:space="preserve">c’è </w:t>
      </w:r>
      <w:r w:rsidR="00EF6A64">
        <w:rPr>
          <w:sz w:val="22"/>
          <w:szCs w:val="22"/>
        </w:rPr>
        <w:t>un</w:t>
      </w:r>
      <w:r>
        <w:rPr>
          <w:sz w:val="22"/>
          <w:szCs w:val="22"/>
        </w:rPr>
        <w:t xml:space="preserve"> volume </w:t>
      </w:r>
      <w:r w:rsidR="00DD5D64">
        <w:rPr>
          <w:sz w:val="22"/>
          <w:szCs w:val="22"/>
        </w:rPr>
        <w:t>apposito</w:t>
      </w:r>
      <w:r w:rsidR="00EF6A64">
        <w:rPr>
          <w:sz w:val="22"/>
          <w:szCs w:val="22"/>
        </w:rPr>
        <w:t>, sempre di ragionamento, ma più tecnico, relativo soprattutto all</w:t>
      </w:r>
      <w:r>
        <w:rPr>
          <w:sz w:val="22"/>
          <w:szCs w:val="22"/>
        </w:rPr>
        <w:t xml:space="preserve">a </w:t>
      </w:r>
      <w:r w:rsidR="00D72974">
        <w:rPr>
          <w:sz w:val="22"/>
          <w:szCs w:val="22"/>
        </w:rPr>
        <w:t>terza</w:t>
      </w:r>
      <w:r>
        <w:rPr>
          <w:sz w:val="22"/>
          <w:szCs w:val="22"/>
        </w:rPr>
        <w:t xml:space="preserve"> prospettiva di studio indicata sopra, basata sulle </w:t>
      </w:r>
      <w:r>
        <w:t>astrazioni economiche cui sono commisurate le imposte (</w:t>
      </w:r>
      <w:r>
        <w:rPr>
          <w:rStyle w:val="Rimandonotaapidipagina"/>
        </w:rPr>
        <w:footnoteReference w:id="4"/>
      </w:r>
      <w:r>
        <w:t>)</w:t>
      </w:r>
      <w:r>
        <w:rPr>
          <w:sz w:val="22"/>
          <w:szCs w:val="22"/>
        </w:rPr>
        <w:t xml:space="preserve">. </w:t>
      </w:r>
      <w:r w:rsidR="00051FA0">
        <w:rPr>
          <w:sz w:val="22"/>
          <w:szCs w:val="22"/>
        </w:rPr>
        <w:t xml:space="preserve">Sulla cornice del diritto come studio sociale delle funzioni pubbliche, Studi sociali e diritto, in Open access su </w:t>
      </w:r>
      <w:proofErr w:type="spellStart"/>
      <w:r w:rsidR="00051FA0">
        <w:rPr>
          <w:sz w:val="22"/>
          <w:szCs w:val="22"/>
        </w:rPr>
        <w:t>didatticaweb</w:t>
      </w:r>
      <w:proofErr w:type="spellEnd"/>
      <w:r w:rsidR="00051FA0">
        <w:rPr>
          <w:sz w:val="22"/>
          <w:szCs w:val="22"/>
        </w:rPr>
        <w:t xml:space="preserve"> in attesa di uscire su Roma3 press. </w:t>
      </w:r>
    </w:p>
    <w:p w14:paraId="39E6A749" w14:textId="544FDFAF" w:rsidR="00942985" w:rsidRPr="007F7EBF" w:rsidRDefault="004F0E25" w:rsidP="00942985">
      <w:pPr>
        <w:rPr>
          <w:sz w:val="22"/>
          <w:szCs w:val="22"/>
        </w:rPr>
      </w:pPr>
      <w:r>
        <w:rPr>
          <w:sz w:val="22"/>
          <w:szCs w:val="22"/>
        </w:rPr>
        <w:t xml:space="preserve">Ulteriori riflessioni sul </w:t>
      </w:r>
      <w:r w:rsidR="00942985">
        <w:rPr>
          <w:sz w:val="22"/>
          <w:szCs w:val="22"/>
        </w:rPr>
        <w:t xml:space="preserve">rapporto tra stato e mercato sono </w:t>
      </w:r>
      <w:r w:rsidR="007F283E">
        <w:rPr>
          <w:sz w:val="22"/>
          <w:szCs w:val="22"/>
        </w:rPr>
        <w:t xml:space="preserve">in Economia pubblica si chiama diritto, in open access su </w:t>
      </w:r>
      <w:proofErr w:type="spellStart"/>
      <w:r w:rsidR="007F283E">
        <w:rPr>
          <w:sz w:val="22"/>
          <w:szCs w:val="22"/>
        </w:rPr>
        <w:t>didatticaweb</w:t>
      </w:r>
      <w:proofErr w:type="spellEnd"/>
      <w:r w:rsidR="007F283E">
        <w:rPr>
          <w:sz w:val="22"/>
          <w:szCs w:val="22"/>
        </w:rPr>
        <w:t xml:space="preserve"> che rielabora il cartaceo </w:t>
      </w:r>
      <w:r w:rsidR="00475056">
        <w:rPr>
          <w:sz w:val="22"/>
          <w:szCs w:val="22"/>
        </w:rPr>
        <w:t xml:space="preserve"> </w:t>
      </w:r>
      <w:r w:rsidR="00942985" w:rsidRPr="00F34CF0">
        <w:rPr>
          <w:i/>
          <w:color w:val="000000"/>
          <w:sz w:val="22"/>
          <w:szCs w:val="22"/>
        </w:rPr>
        <w:t>Compendio di scienza delle finanze</w:t>
      </w:r>
      <w:r w:rsidR="00942985" w:rsidRPr="007F7EBF">
        <w:rPr>
          <w:color w:val="000000"/>
          <w:sz w:val="22"/>
          <w:szCs w:val="22"/>
        </w:rPr>
        <w:t>, Dike editore 201</w:t>
      </w:r>
      <w:r w:rsidR="00942985">
        <w:rPr>
          <w:color w:val="000000"/>
          <w:sz w:val="22"/>
          <w:szCs w:val="22"/>
        </w:rPr>
        <w:t>9 (</w:t>
      </w:r>
      <w:r w:rsidR="00942985">
        <w:rPr>
          <w:rStyle w:val="Rimandonotaapidipagina"/>
          <w:color w:val="000000"/>
          <w:sz w:val="22"/>
          <w:szCs w:val="22"/>
        </w:rPr>
        <w:footnoteReference w:id="5"/>
      </w:r>
      <w:r w:rsidR="00942985">
        <w:rPr>
          <w:color w:val="000000"/>
          <w:sz w:val="22"/>
          <w:szCs w:val="22"/>
        </w:rPr>
        <w:t xml:space="preserve">). </w:t>
      </w:r>
    </w:p>
    <w:p w14:paraId="075BB06E" w14:textId="49C9A55A" w:rsidR="000D5CE2" w:rsidRPr="00E94B44" w:rsidRDefault="00D72974" w:rsidP="000D5CE2">
      <w:pPr>
        <w:rPr>
          <w:color w:val="000000"/>
          <w:sz w:val="22"/>
          <w:szCs w:val="22"/>
        </w:rPr>
      </w:pPr>
      <w:r>
        <w:rPr>
          <w:sz w:val="22"/>
          <w:szCs w:val="22"/>
        </w:rPr>
        <w:t xml:space="preserve">Come il precedente, anche questo volume non è un punto di arrivo, perché il sapere umanistico-sociale è sempre “in progress”, perché sulle riflessioni sistematizzate se ne innestano sempre di nuove, che inserirò </w:t>
      </w:r>
      <w:r w:rsidR="00B052AD" w:rsidRPr="007F7EBF">
        <w:rPr>
          <w:sz w:val="22"/>
          <w:szCs w:val="22"/>
        </w:rPr>
        <w:t xml:space="preserve"> in </w:t>
      </w:r>
      <w:r w:rsidR="00B052AD" w:rsidRPr="007F7EBF">
        <w:rPr>
          <w:i/>
          <w:sz w:val="22"/>
          <w:szCs w:val="22"/>
        </w:rPr>
        <w:t>open access</w:t>
      </w:r>
      <w:r w:rsidR="000D5CE2" w:rsidRPr="007F7EBF">
        <w:rPr>
          <w:sz w:val="22"/>
          <w:szCs w:val="22"/>
        </w:rPr>
        <w:t xml:space="preserve"> dal sito</w:t>
      </w:r>
      <w:r w:rsidR="0099341F">
        <w:rPr>
          <w:sz w:val="22"/>
          <w:szCs w:val="22"/>
        </w:rPr>
        <w:t xml:space="preserve"> “</w:t>
      </w:r>
      <w:proofErr w:type="spellStart"/>
      <w:r w:rsidR="0099341F">
        <w:rPr>
          <w:sz w:val="22"/>
          <w:szCs w:val="22"/>
        </w:rPr>
        <w:t>didatticaweb</w:t>
      </w:r>
      <w:proofErr w:type="spellEnd"/>
      <w:r w:rsidR="0099341F">
        <w:rPr>
          <w:sz w:val="22"/>
          <w:szCs w:val="22"/>
        </w:rPr>
        <w:t xml:space="preserve">” dell’università </w:t>
      </w:r>
      <w:r w:rsidR="00C06C5F">
        <w:rPr>
          <w:sz w:val="22"/>
          <w:szCs w:val="22"/>
        </w:rPr>
        <w:t>T</w:t>
      </w:r>
      <w:r w:rsidR="0099341F">
        <w:rPr>
          <w:sz w:val="22"/>
          <w:szCs w:val="22"/>
        </w:rPr>
        <w:t xml:space="preserve">or </w:t>
      </w:r>
      <w:r w:rsidR="00C06C5F">
        <w:rPr>
          <w:sz w:val="22"/>
          <w:szCs w:val="22"/>
        </w:rPr>
        <w:t>V</w:t>
      </w:r>
      <w:r w:rsidR="0099341F">
        <w:rPr>
          <w:sz w:val="22"/>
          <w:szCs w:val="22"/>
        </w:rPr>
        <w:t>ergata di Roma</w:t>
      </w:r>
      <w:r w:rsidR="00475056">
        <w:rPr>
          <w:sz w:val="22"/>
          <w:szCs w:val="22"/>
        </w:rPr>
        <w:t xml:space="preserve"> (</w:t>
      </w:r>
      <w:r w:rsidR="00475056">
        <w:rPr>
          <w:rStyle w:val="Rimandonotaapidipagina"/>
          <w:sz w:val="22"/>
          <w:szCs w:val="22"/>
        </w:rPr>
        <w:footnoteReference w:id="6"/>
      </w:r>
      <w:r w:rsidR="00475056">
        <w:rPr>
          <w:sz w:val="22"/>
          <w:szCs w:val="22"/>
        </w:rPr>
        <w:t>)</w:t>
      </w:r>
      <w:r>
        <w:rPr>
          <w:sz w:val="22"/>
          <w:szCs w:val="22"/>
        </w:rPr>
        <w:t>. Se continuassi a inserirle man mano che mi vengono in mente, questa seconda edizione cartacea non vedrebbe mai la luce, quindi procedo</w:t>
      </w:r>
      <w:r w:rsidR="00760D89">
        <w:rPr>
          <w:sz w:val="22"/>
          <w:szCs w:val="22"/>
        </w:rPr>
        <w:t xml:space="preserve"> </w:t>
      </w:r>
      <w:r w:rsidR="00EF73E2">
        <w:rPr>
          <w:sz w:val="22"/>
          <w:szCs w:val="22"/>
        </w:rPr>
        <w:t>(</w:t>
      </w:r>
      <w:r w:rsidR="00E94B44" w:rsidRPr="007F7EBF">
        <w:rPr>
          <w:rStyle w:val="Rimandonotaapidipagina"/>
          <w:sz w:val="22"/>
          <w:szCs w:val="22"/>
        </w:rPr>
        <w:footnoteReference w:id="7"/>
      </w:r>
      <w:r w:rsidR="00EF73E2">
        <w:rPr>
          <w:sz w:val="22"/>
          <w:szCs w:val="22"/>
        </w:rPr>
        <w:t>)</w:t>
      </w:r>
      <w:r w:rsidR="00E94B44">
        <w:rPr>
          <w:sz w:val="22"/>
          <w:szCs w:val="22"/>
        </w:rPr>
        <w:t xml:space="preserve">. </w:t>
      </w:r>
    </w:p>
    <w:p w14:paraId="5CC18006" w14:textId="77777777" w:rsidR="007366C9" w:rsidRPr="007F7EBF" w:rsidRDefault="001B1986" w:rsidP="007366C9">
      <w:pPr>
        <w:pStyle w:val="Titolo3"/>
        <w:rPr>
          <w:rFonts w:ascii="Times New Roman" w:hAnsi="Times New Roman"/>
          <w:sz w:val="22"/>
          <w:szCs w:val="22"/>
        </w:rPr>
      </w:pPr>
      <w:bookmarkStart w:id="3" w:name="_Toc63364924"/>
      <w:r>
        <w:rPr>
          <w:rFonts w:ascii="Times New Roman" w:hAnsi="Times New Roman"/>
          <w:sz w:val="22"/>
          <w:szCs w:val="22"/>
          <w:lang w:val="it-IT"/>
        </w:rPr>
        <w:t>P</w:t>
      </w:r>
      <w:r w:rsidR="006342C5" w:rsidRPr="007F7EBF">
        <w:rPr>
          <w:rFonts w:ascii="Times New Roman" w:hAnsi="Times New Roman"/>
          <w:sz w:val="22"/>
          <w:szCs w:val="22"/>
        </w:rPr>
        <w:t xml:space="preserve">arte </w:t>
      </w:r>
      <w:r>
        <w:rPr>
          <w:rFonts w:ascii="Times New Roman" w:hAnsi="Times New Roman"/>
          <w:sz w:val="22"/>
          <w:szCs w:val="22"/>
          <w:lang w:val="it-IT"/>
        </w:rPr>
        <w:t>P</w:t>
      </w:r>
      <w:r w:rsidR="006342C5" w:rsidRPr="007F7EBF">
        <w:rPr>
          <w:rFonts w:ascii="Times New Roman" w:hAnsi="Times New Roman"/>
          <w:sz w:val="22"/>
          <w:szCs w:val="22"/>
        </w:rPr>
        <w:t>rima</w:t>
      </w:r>
      <w:bookmarkEnd w:id="3"/>
      <w:r w:rsidR="007366C9" w:rsidRPr="007F7EBF">
        <w:rPr>
          <w:rFonts w:ascii="Times New Roman" w:hAnsi="Times New Roman"/>
          <w:sz w:val="22"/>
          <w:szCs w:val="22"/>
        </w:rPr>
        <w:tab/>
      </w:r>
      <w:r w:rsidR="007366C9" w:rsidRPr="007F7EBF">
        <w:rPr>
          <w:rFonts w:ascii="Times New Roman" w:hAnsi="Times New Roman"/>
          <w:sz w:val="22"/>
          <w:szCs w:val="22"/>
        </w:rPr>
        <w:tab/>
      </w:r>
      <w:r w:rsidR="007366C9" w:rsidRPr="007F7EBF">
        <w:rPr>
          <w:rFonts w:ascii="Times New Roman" w:hAnsi="Times New Roman"/>
          <w:sz w:val="22"/>
          <w:szCs w:val="22"/>
        </w:rPr>
        <w:tab/>
      </w:r>
      <w:r w:rsidR="007366C9" w:rsidRPr="007F7EBF">
        <w:rPr>
          <w:rFonts w:ascii="Times New Roman" w:hAnsi="Times New Roman"/>
          <w:sz w:val="22"/>
          <w:szCs w:val="22"/>
        </w:rPr>
        <w:tab/>
      </w:r>
    </w:p>
    <w:p w14:paraId="06595A9F" w14:textId="77777777" w:rsidR="007366C9" w:rsidRPr="007F7EBF" w:rsidRDefault="007366C9" w:rsidP="007366C9">
      <w:pPr>
        <w:rPr>
          <w:sz w:val="22"/>
          <w:szCs w:val="22"/>
        </w:rPr>
      </w:pPr>
    </w:p>
    <w:p w14:paraId="2CF64394" w14:textId="620CE88A" w:rsidR="007366C9" w:rsidRPr="007F7EBF" w:rsidRDefault="002B61FF" w:rsidP="007366C9">
      <w:pPr>
        <w:pStyle w:val="Titolo3"/>
        <w:rPr>
          <w:rFonts w:ascii="Times New Roman" w:hAnsi="Times New Roman"/>
          <w:b w:val="0"/>
          <w:sz w:val="22"/>
          <w:szCs w:val="22"/>
        </w:rPr>
      </w:pPr>
      <w:bookmarkStart w:id="4" w:name="_Toc63364925"/>
      <w:r>
        <w:rPr>
          <w:rFonts w:ascii="Times New Roman" w:hAnsi="Times New Roman"/>
          <w:b w:val="0"/>
          <w:sz w:val="22"/>
          <w:szCs w:val="22"/>
          <w:lang w:val="it-IT"/>
        </w:rPr>
        <w:lastRenderedPageBreak/>
        <w:t>LA FUNZIONE TRIBUTARIA E LA SUA G</w:t>
      </w:r>
      <w:r w:rsidR="005B4A7B">
        <w:rPr>
          <w:rFonts w:ascii="Times New Roman" w:hAnsi="Times New Roman"/>
          <w:b w:val="0"/>
          <w:sz w:val="22"/>
          <w:szCs w:val="22"/>
          <w:lang w:val="it-IT"/>
        </w:rPr>
        <w:t>IURIDICITA’ NON GIURISDIZIONALE</w:t>
      </w:r>
      <w:bookmarkEnd w:id="4"/>
      <w:r w:rsidR="005B4A7B">
        <w:rPr>
          <w:rFonts w:ascii="Times New Roman" w:hAnsi="Times New Roman"/>
          <w:b w:val="0"/>
          <w:sz w:val="22"/>
          <w:szCs w:val="22"/>
          <w:lang w:val="it-IT"/>
        </w:rPr>
        <w:t xml:space="preserve"> </w:t>
      </w:r>
    </w:p>
    <w:p w14:paraId="7E8B58FB" w14:textId="77777777" w:rsidR="006342C5" w:rsidRPr="007F7EBF" w:rsidRDefault="006342C5" w:rsidP="006342C5">
      <w:pPr>
        <w:autoSpaceDE w:val="0"/>
        <w:autoSpaceDN w:val="0"/>
        <w:adjustRightInd w:val="0"/>
        <w:rPr>
          <w:i/>
          <w:iCs/>
          <w:sz w:val="22"/>
          <w:szCs w:val="22"/>
        </w:rPr>
      </w:pPr>
    </w:p>
    <w:p w14:paraId="42E19BAE" w14:textId="33223DEB" w:rsidR="005F48FA" w:rsidRPr="007F7EBF" w:rsidRDefault="00BA70DE" w:rsidP="005F48FA">
      <w:pPr>
        <w:pStyle w:val="Titolo3"/>
        <w:rPr>
          <w:rFonts w:ascii="Times New Roman" w:hAnsi="Times New Roman"/>
          <w:sz w:val="22"/>
          <w:szCs w:val="22"/>
          <w:lang w:val="it-IT"/>
        </w:rPr>
      </w:pPr>
      <w:bookmarkStart w:id="5" w:name="_Toc63364926"/>
      <w:r w:rsidRPr="007F7EBF">
        <w:rPr>
          <w:rFonts w:ascii="Times New Roman" w:hAnsi="Times New Roman"/>
          <w:sz w:val="22"/>
          <w:szCs w:val="22"/>
        </w:rPr>
        <w:t xml:space="preserve">CAPITOLO 1 </w:t>
      </w:r>
      <w:r w:rsidR="00F16393">
        <w:rPr>
          <w:rFonts w:ascii="Times New Roman" w:hAnsi="Times New Roman"/>
          <w:sz w:val="22"/>
          <w:szCs w:val="22"/>
          <w:lang w:val="it-IT"/>
        </w:rPr>
        <w:t xml:space="preserve"> </w:t>
      </w:r>
      <w:r w:rsidR="005B4A7B">
        <w:rPr>
          <w:rFonts w:ascii="Times New Roman" w:hAnsi="Times New Roman"/>
          <w:sz w:val="22"/>
          <w:szCs w:val="22"/>
          <w:lang w:val="it-IT"/>
        </w:rPr>
        <w:t xml:space="preserve">FINANZIAMENTO DELL’INTERVENTO PUBBLICO </w:t>
      </w:r>
      <w:r w:rsidR="00F16393">
        <w:rPr>
          <w:rFonts w:ascii="Times New Roman" w:hAnsi="Times New Roman"/>
          <w:sz w:val="22"/>
          <w:szCs w:val="22"/>
          <w:lang w:val="it-IT"/>
        </w:rPr>
        <w:t>E FUNZIONE TRIBUTARIA</w:t>
      </w:r>
      <w:bookmarkEnd w:id="5"/>
      <w:r w:rsidR="00F16393">
        <w:rPr>
          <w:rFonts w:ascii="Times New Roman" w:hAnsi="Times New Roman"/>
          <w:sz w:val="22"/>
          <w:szCs w:val="22"/>
          <w:lang w:val="it-IT"/>
        </w:rPr>
        <w:t xml:space="preserve"> </w:t>
      </w:r>
    </w:p>
    <w:p w14:paraId="29343975" w14:textId="59D1A47F" w:rsidR="00026EFB" w:rsidRPr="007F7EBF" w:rsidRDefault="00026EFB" w:rsidP="00026EFB">
      <w:pPr>
        <w:rPr>
          <w:sz w:val="22"/>
          <w:szCs w:val="22"/>
          <w:lang w:eastAsia="x-none"/>
        </w:rPr>
      </w:pPr>
      <w:r w:rsidRPr="007F7EBF">
        <w:rPr>
          <w:sz w:val="22"/>
          <w:szCs w:val="22"/>
        </w:rPr>
        <w:t xml:space="preserve">Sintesi. </w:t>
      </w:r>
      <w:r w:rsidR="003B059D">
        <w:rPr>
          <w:sz w:val="22"/>
          <w:szCs w:val="22"/>
        </w:rPr>
        <w:t xml:space="preserve">Il primo capitolo si occupa del concetto generale di funzione tributaria a prescindere dalle modalità di determinazione degli imponibili. La funzione tributaria va inquadrata sullo sfondo della </w:t>
      </w:r>
      <w:r w:rsidR="0067617B">
        <w:rPr>
          <w:sz w:val="22"/>
          <w:szCs w:val="22"/>
        </w:rPr>
        <w:t xml:space="preserve">fiscalità, intesa come </w:t>
      </w:r>
      <w:r w:rsidR="002C201D">
        <w:rPr>
          <w:sz w:val="22"/>
          <w:szCs w:val="22"/>
        </w:rPr>
        <w:t>insieme</w:t>
      </w:r>
      <w:r w:rsidR="003D6C1F" w:rsidRPr="007F7EBF">
        <w:rPr>
          <w:sz w:val="22"/>
          <w:szCs w:val="22"/>
        </w:rPr>
        <w:t xml:space="preserve"> </w:t>
      </w:r>
      <w:r w:rsidRPr="007F7EBF">
        <w:rPr>
          <w:sz w:val="22"/>
          <w:szCs w:val="22"/>
        </w:rPr>
        <w:t xml:space="preserve">delle </w:t>
      </w:r>
      <w:r w:rsidR="002C201D">
        <w:rPr>
          <w:sz w:val="22"/>
          <w:szCs w:val="22"/>
        </w:rPr>
        <w:t>entrate</w:t>
      </w:r>
      <w:r w:rsidRPr="007F7EBF">
        <w:rPr>
          <w:sz w:val="22"/>
          <w:szCs w:val="22"/>
        </w:rPr>
        <w:t xml:space="preserve"> </w:t>
      </w:r>
      <w:r w:rsidR="003D6C1F" w:rsidRPr="007F7EBF">
        <w:rPr>
          <w:sz w:val="22"/>
          <w:szCs w:val="22"/>
        </w:rPr>
        <w:t>pubbliche</w:t>
      </w:r>
      <w:r w:rsidR="0067617B">
        <w:rPr>
          <w:sz w:val="22"/>
          <w:szCs w:val="22"/>
        </w:rPr>
        <w:t xml:space="preserve">, anche </w:t>
      </w:r>
      <w:r w:rsidRPr="00771868">
        <w:rPr>
          <w:sz w:val="22"/>
          <w:szCs w:val="22"/>
        </w:rPr>
        <w:t xml:space="preserve">entrate </w:t>
      </w:r>
      <w:r w:rsidR="00771868">
        <w:rPr>
          <w:sz w:val="22"/>
          <w:szCs w:val="22"/>
        </w:rPr>
        <w:t xml:space="preserve">non </w:t>
      </w:r>
      <w:r w:rsidRPr="00771868">
        <w:rPr>
          <w:sz w:val="22"/>
          <w:szCs w:val="22"/>
        </w:rPr>
        <w:t>tributarie</w:t>
      </w:r>
      <w:r w:rsidR="00CC62B1" w:rsidRPr="00771868">
        <w:rPr>
          <w:sz w:val="22"/>
          <w:szCs w:val="22"/>
        </w:rPr>
        <w:t xml:space="preserve"> </w:t>
      </w:r>
      <w:r w:rsidRPr="007F7EBF">
        <w:rPr>
          <w:sz w:val="22"/>
          <w:szCs w:val="22"/>
        </w:rPr>
        <w:t>come canoni per la concessione di beni pubblici (terre o miniere), confische, sanzioni pecuniarie</w:t>
      </w:r>
      <w:r w:rsidR="00771868">
        <w:rPr>
          <w:sz w:val="22"/>
          <w:szCs w:val="22"/>
        </w:rPr>
        <w:t xml:space="preserve">, </w:t>
      </w:r>
      <w:r w:rsidR="00E12436" w:rsidRPr="007F7EBF">
        <w:rPr>
          <w:sz w:val="22"/>
          <w:szCs w:val="22"/>
        </w:rPr>
        <w:t>tariffe per servizi pubblici</w:t>
      </w:r>
      <w:r w:rsidR="00771868">
        <w:rPr>
          <w:sz w:val="22"/>
          <w:szCs w:val="22"/>
        </w:rPr>
        <w:t xml:space="preserve"> (c.d. “finanza patrimoniale” di cui al par.1.1)</w:t>
      </w:r>
      <w:r w:rsidR="0067617B">
        <w:rPr>
          <w:sz w:val="22"/>
          <w:szCs w:val="22"/>
        </w:rPr>
        <w:t>, e “tasse” a fronte di specifiche pubbliche funzioni</w:t>
      </w:r>
      <w:r w:rsidR="00771868">
        <w:rPr>
          <w:sz w:val="22"/>
          <w:szCs w:val="22"/>
        </w:rPr>
        <w:t xml:space="preserve"> </w:t>
      </w:r>
      <w:r w:rsidR="0067617B" w:rsidRPr="007F7EBF">
        <w:rPr>
          <w:sz w:val="22"/>
          <w:szCs w:val="22"/>
        </w:rPr>
        <w:t>(</w:t>
      </w:r>
      <w:r w:rsidR="0067617B" w:rsidRPr="007F7EBF">
        <w:rPr>
          <w:rStyle w:val="Rimandonotaapidipagina"/>
          <w:sz w:val="22"/>
          <w:szCs w:val="22"/>
        </w:rPr>
        <w:footnoteReference w:id="8"/>
      </w:r>
      <w:r w:rsidR="0067617B" w:rsidRPr="007F7EBF">
        <w:rPr>
          <w:sz w:val="22"/>
          <w:szCs w:val="22"/>
        </w:rPr>
        <w:t>)</w:t>
      </w:r>
      <w:r w:rsidR="0067617B">
        <w:rPr>
          <w:sz w:val="22"/>
          <w:szCs w:val="22"/>
        </w:rPr>
        <w:t xml:space="preserve">. </w:t>
      </w:r>
      <w:r w:rsidR="002C201D">
        <w:rPr>
          <w:sz w:val="22"/>
          <w:szCs w:val="22"/>
        </w:rPr>
        <w:t>L’entrata più complessa, ed oggi socialmente importante, è però l’imposta</w:t>
      </w:r>
      <w:r w:rsidRPr="007F7EBF">
        <w:rPr>
          <w:sz w:val="22"/>
          <w:szCs w:val="22"/>
        </w:rPr>
        <w:t>, commisurat</w:t>
      </w:r>
      <w:r w:rsidR="002C201D">
        <w:rPr>
          <w:sz w:val="22"/>
          <w:szCs w:val="22"/>
        </w:rPr>
        <w:t>a</w:t>
      </w:r>
      <w:r w:rsidRPr="007F7EBF">
        <w:rPr>
          <w:sz w:val="22"/>
          <w:szCs w:val="22"/>
        </w:rPr>
        <w:t xml:space="preserve"> a</w:t>
      </w:r>
      <w:r w:rsidR="00771868">
        <w:rPr>
          <w:sz w:val="22"/>
          <w:szCs w:val="22"/>
        </w:rPr>
        <w:t>d astrazioni economiche come redditi, consumi, patrimoni</w:t>
      </w:r>
      <w:r w:rsidR="002C201D">
        <w:rPr>
          <w:sz w:val="22"/>
          <w:szCs w:val="22"/>
        </w:rPr>
        <w:t xml:space="preserve">; la conversione di queste entità in basi imponibili </w:t>
      </w:r>
      <w:r w:rsidR="007433AF">
        <w:rPr>
          <w:sz w:val="22"/>
          <w:szCs w:val="22"/>
        </w:rPr>
        <w:t>esprime l’essenza</w:t>
      </w:r>
      <w:r w:rsidR="002C201D">
        <w:rPr>
          <w:sz w:val="22"/>
          <w:szCs w:val="22"/>
        </w:rPr>
        <w:t xml:space="preserve"> della funzione tributaria</w:t>
      </w:r>
      <w:r w:rsidR="007433AF">
        <w:rPr>
          <w:sz w:val="22"/>
          <w:szCs w:val="22"/>
        </w:rPr>
        <w:t xml:space="preserve">, </w:t>
      </w:r>
      <w:r w:rsidR="00907602">
        <w:rPr>
          <w:sz w:val="22"/>
          <w:szCs w:val="22"/>
        </w:rPr>
        <w:t>svoltasi</w:t>
      </w:r>
      <w:r w:rsidR="007433AF">
        <w:rPr>
          <w:sz w:val="22"/>
          <w:szCs w:val="22"/>
        </w:rPr>
        <w:t xml:space="preserve"> per millenni in modo valutativo e personalizzato, </w:t>
      </w:r>
      <w:r w:rsidRPr="007F7EBF">
        <w:rPr>
          <w:sz w:val="22"/>
          <w:szCs w:val="22"/>
        </w:rPr>
        <w:t xml:space="preserve">con una richiesta di pubblici uffici  o </w:t>
      </w:r>
      <w:r w:rsidR="007433AF">
        <w:rPr>
          <w:sz w:val="22"/>
          <w:szCs w:val="22"/>
        </w:rPr>
        <w:t>assimilati</w:t>
      </w:r>
      <w:r w:rsidRPr="007F7EBF">
        <w:rPr>
          <w:sz w:val="22"/>
          <w:szCs w:val="22"/>
        </w:rPr>
        <w:t xml:space="preserve">. </w:t>
      </w:r>
      <w:r w:rsidR="0030297B">
        <w:rPr>
          <w:sz w:val="22"/>
          <w:szCs w:val="22"/>
        </w:rPr>
        <w:t xml:space="preserve">E’ stata </w:t>
      </w:r>
      <w:r w:rsidR="00F546E2">
        <w:rPr>
          <w:sz w:val="22"/>
          <w:szCs w:val="22"/>
        </w:rPr>
        <w:t xml:space="preserve">una </w:t>
      </w:r>
      <w:r w:rsidR="00771868">
        <w:rPr>
          <w:sz w:val="22"/>
          <w:szCs w:val="22"/>
        </w:rPr>
        <w:t xml:space="preserve">delle prime funzioni pubbliche </w:t>
      </w:r>
      <w:r w:rsidR="0067617B">
        <w:rPr>
          <w:sz w:val="22"/>
          <w:szCs w:val="22"/>
        </w:rPr>
        <w:t>“non</w:t>
      </w:r>
      <w:r w:rsidR="00771868">
        <w:rPr>
          <w:sz w:val="22"/>
          <w:szCs w:val="22"/>
        </w:rPr>
        <w:t xml:space="preserve"> giurisdizional</w:t>
      </w:r>
      <w:r w:rsidR="0067617B">
        <w:rPr>
          <w:sz w:val="22"/>
          <w:szCs w:val="22"/>
        </w:rPr>
        <w:t xml:space="preserve">i”, </w:t>
      </w:r>
      <w:r w:rsidR="0030297B">
        <w:rPr>
          <w:sz w:val="22"/>
          <w:szCs w:val="22"/>
        </w:rPr>
        <w:t>concetto costituente uno dei fili conduttori generali del testo, che inizia al p</w:t>
      </w:r>
      <w:r w:rsidR="006C3671">
        <w:rPr>
          <w:sz w:val="22"/>
          <w:szCs w:val="22"/>
        </w:rPr>
        <w:t>ar.1.3</w:t>
      </w:r>
      <w:r w:rsidR="0030297B">
        <w:rPr>
          <w:sz w:val="22"/>
          <w:szCs w:val="22"/>
        </w:rPr>
        <w:t>. All’</w:t>
      </w:r>
      <w:r w:rsidR="0067617B">
        <w:rPr>
          <w:sz w:val="22"/>
          <w:szCs w:val="22"/>
        </w:rPr>
        <w:t>origine tecnica del diritto</w:t>
      </w:r>
      <w:r w:rsidR="0030297B">
        <w:rPr>
          <w:sz w:val="22"/>
          <w:szCs w:val="22"/>
        </w:rPr>
        <w:t xml:space="preserve"> </w:t>
      </w:r>
      <w:r w:rsidR="00F546E2">
        <w:rPr>
          <w:sz w:val="22"/>
          <w:szCs w:val="22"/>
        </w:rPr>
        <w:t>si affianca</w:t>
      </w:r>
      <w:r w:rsidR="0030586B">
        <w:rPr>
          <w:sz w:val="22"/>
          <w:szCs w:val="22"/>
        </w:rPr>
        <w:t xml:space="preserve"> infatti anche la frequente necessità di </w:t>
      </w:r>
      <w:r w:rsidR="004359D9">
        <w:rPr>
          <w:sz w:val="22"/>
          <w:szCs w:val="22"/>
        </w:rPr>
        <w:t xml:space="preserve">studiare </w:t>
      </w:r>
      <w:r w:rsidR="0030586B">
        <w:rPr>
          <w:sz w:val="22"/>
          <w:szCs w:val="22"/>
        </w:rPr>
        <w:t>social</w:t>
      </w:r>
      <w:r w:rsidR="004359D9">
        <w:rPr>
          <w:sz w:val="22"/>
          <w:szCs w:val="22"/>
        </w:rPr>
        <w:t xml:space="preserve">mente </w:t>
      </w:r>
      <w:r w:rsidR="0030586B">
        <w:rPr>
          <w:sz w:val="22"/>
          <w:szCs w:val="22"/>
        </w:rPr>
        <w:t xml:space="preserve">le funzioni pubbliche; questo accade </w:t>
      </w:r>
      <w:r w:rsidR="00F546E2">
        <w:rPr>
          <w:sz w:val="22"/>
          <w:szCs w:val="22"/>
        </w:rPr>
        <w:t>q</w:t>
      </w:r>
      <w:r w:rsidR="0011586A">
        <w:rPr>
          <w:sz w:val="22"/>
          <w:szCs w:val="22"/>
        </w:rPr>
        <w:t xml:space="preserve">uando il sapere comune non riesce più a fare da cornice ad alcune pubbliche funzioni, </w:t>
      </w:r>
      <w:r w:rsidR="0030586B">
        <w:rPr>
          <w:sz w:val="22"/>
          <w:szCs w:val="22"/>
        </w:rPr>
        <w:t xml:space="preserve">e servono le </w:t>
      </w:r>
      <w:r w:rsidR="0011586A">
        <w:rPr>
          <w:sz w:val="22"/>
          <w:szCs w:val="22"/>
        </w:rPr>
        <w:t xml:space="preserve"> spiegazioni scientifico sociali</w:t>
      </w:r>
      <w:r w:rsidR="0030586B">
        <w:rPr>
          <w:sz w:val="22"/>
          <w:szCs w:val="22"/>
        </w:rPr>
        <w:t xml:space="preserve"> su cui ci si soffermerà al cap.4</w:t>
      </w:r>
      <w:r w:rsidR="0011586A">
        <w:rPr>
          <w:sz w:val="22"/>
          <w:szCs w:val="22"/>
        </w:rPr>
        <w:t xml:space="preserve">. </w:t>
      </w:r>
      <w:r w:rsidR="0030586B">
        <w:rPr>
          <w:sz w:val="22"/>
          <w:szCs w:val="22"/>
        </w:rPr>
        <w:t xml:space="preserve">A proposito della funzione tributaria, questa necessità è emersa </w:t>
      </w:r>
      <w:r w:rsidR="00E80357">
        <w:rPr>
          <w:sz w:val="22"/>
          <w:szCs w:val="22"/>
        </w:rPr>
        <w:t xml:space="preserve">da quando alla suddetta determinazione </w:t>
      </w:r>
      <w:r w:rsidR="0067617B">
        <w:rPr>
          <w:sz w:val="22"/>
          <w:szCs w:val="22"/>
        </w:rPr>
        <w:t xml:space="preserve"> </w:t>
      </w:r>
      <w:r w:rsidR="00E80357">
        <w:rPr>
          <w:sz w:val="22"/>
          <w:szCs w:val="22"/>
        </w:rPr>
        <w:t>valutativa</w:t>
      </w:r>
      <w:r w:rsidR="0067617B">
        <w:rPr>
          <w:sz w:val="22"/>
          <w:szCs w:val="22"/>
        </w:rPr>
        <w:t xml:space="preserve"> degli imponibili</w:t>
      </w:r>
      <w:r w:rsidR="00E80357">
        <w:rPr>
          <w:sz w:val="22"/>
          <w:szCs w:val="22"/>
        </w:rPr>
        <w:t xml:space="preserve"> si è affiancata </w:t>
      </w:r>
      <w:r w:rsidR="0067617B">
        <w:rPr>
          <w:sz w:val="22"/>
          <w:szCs w:val="22"/>
        </w:rPr>
        <w:t xml:space="preserve">quella </w:t>
      </w:r>
      <w:r w:rsidR="00E80357">
        <w:rPr>
          <w:sz w:val="22"/>
          <w:szCs w:val="22"/>
        </w:rPr>
        <w:t xml:space="preserve">attraverso </w:t>
      </w:r>
      <w:r w:rsidR="007E480D" w:rsidRPr="007F7EBF">
        <w:rPr>
          <w:sz w:val="22"/>
          <w:szCs w:val="22"/>
        </w:rPr>
        <w:t xml:space="preserve">la documentazione </w:t>
      </w:r>
      <w:r w:rsidR="006C3671">
        <w:rPr>
          <w:sz w:val="22"/>
          <w:szCs w:val="22"/>
        </w:rPr>
        <w:t xml:space="preserve">contabile </w:t>
      </w:r>
      <w:r w:rsidR="007E480D" w:rsidRPr="007F7EBF">
        <w:rPr>
          <w:sz w:val="22"/>
          <w:szCs w:val="22"/>
        </w:rPr>
        <w:t xml:space="preserve">di </w:t>
      </w:r>
      <w:r w:rsidRPr="007F7EBF">
        <w:rPr>
          <w:sz w:val="22"/>
          <w:szCs w:val="22"/>
        </w:rPr>
        <w:t>aziende ed enti pubblici</w:t>
      </w:r>
      <w:r w:rsidR="006C3671">
        <w:rPr>
          <w:sz w:val="22"/>
          <w:szCs w:val="22"/>
        </w:rPr>
        <w:t xml:space="preserve"> (par.1.4</w:t>
      </w:r>
      <w:r w:rsidR="0067617B">
        <w:rPr>
          <w:sz w:val="22"/>
          <w:szCs w:val="22"/>
        </w:rPr>
        <w:t xml:space="preserve"> e </w:t>
      </w:r>
      <w:r w:rsidR="006C3671">
        <w:rPr>
          <w:sz w:val="22"/>
          <w:szCs w:val="22"/>
        </w:rPr>
        <w:t>1.5)</w:t>
      </w:r>
      <w:r w:rsidRPr="007F7EBF">
        <w:rPr>
          <w:sz w:val="22"/>
          <w:szCs w:val="22"/>
        </w:rPr>
        <w:t xml:space="preserve">. </w:t>
      </w:r>
      <w:r w:rsidR="00E80357">
        <w:rPr>
          <w:sz w:val="22"/>
          <w:szCs w:val="22"/>
        </w:rPr>
        <w:t xml:space="preserve">Il </w:t>
      </w:r>
      <w:r w:rsidR="006C3671">
        <w:rPr>
          <w:sz w:val="22"/>
          <w:szCs w:val="22"/>
        </w:rPr>
        <w:t xml:space="preserve">mancato coordinamento culturale </w:t>
      </w:r>
      <w:r w:rsidR="00E80357">
        <w:rPr>
          <w:sz w:val="22"/>
          <w:szCs w:val="22"/>
        </w:rPr>
        <w:t xml:space="preserve">di queste due determinazioni ha </w:t>
      </w:r>
      <w:r w:rsidR="006C3671">
        <w:rPr>
          <w:sz w:val="22"/>
          <w:szCs w:val="22"/>
        </w:rPr>
        <w:t>crea</w:t>
      </w:r>
      <w:r w:rsidR="00E80357">
        <w:rPr>
          <w:sz w:val="22"/>
          <w:szCs w:val="22"/>
        </w:rPr>
        <w:t>to</w:t>
      </w:r>
      <w:r w:rsidR="006C3671">
        <w:rPr>
          <w:sz w:val="22"/>
          <w:szCs w:val="22"/>
        </w:rPr>
        <w:t xml:space="preserve"> disorientamento nella pubblica opinione (par.</w:t>
      </w:r>
      <w:r w:rsidR="00770B5C" w:rsidRPr="00770B5C">
        <w:t xml:space="preserve"> </w:t>
      </w:r>
      <w:r w:rsidR="00770B5C">
        <w:t>4.1</w:t>
      </w:r>
      <w:r w:rsidR="006C3671">
        <w:rPr>
          <w:sz w:val="22"/>
          <w:szCs w:val="22"/>
        </w:rPr>
        <w:t xml:space="preserve">), che </w:t>
      </w:r>
      <w:r w:rsidR="00E80357">
        <w:rPr>
          <w:sz w:val="22"/>
          <w:szCs w:val="22"/>
        </w:rPr>
        <w:t xml:space="preserve">reagisce </w:t>
      </w:r>
      <w:r w:rsidR="006C3671">
        <w:rPr>
          <w:sz w:val="22"/>
          <w:szCs w:val="22"/>
        </w:rPr>
        <w:t>divaga</w:t>
      </w:r>
      <w:r w:rsidR="00E80357">
        <w:rPr>
          <w:sz w:val="22"/>
          <w:szCs w:val="22"/>
        </w:rPr>
        <w:t>ndo</w:t>
      </w:r>
      <w:r w:rsidR="006C3671">
        <w:rPr>
          <w:sz w:val="22"/>
          <w:szCs w:val="22"/>
        </w:rPr>
        <w:t xml:space="preserve"> sugli effetti economici delle imposte (par.</w:t>
      </w:r>
      <w:r w:rsidR="00361BCC">
        <w:rPr>
          <w:sz w:val="22"/>
          <w:szCs w:val="22"/>
        </w:rPr>
        <w:t>4.2</w:t>
      </w:r>
      <w:r w:rsidR="006C3671">
        <w:rPr>
          <w:sz w:val="22"/>
          <w:szCs w:val="22"/>
        </w:rPr>
        <w:t xml:space="preserve">), </w:t>
      </w:r>
      <w:r w:rsidR="00E80357">
        <w:rPr>
          <w:sz w:val="22"/>
          <w:szCs w:val="22"/>
        </w:rPr>
        <w:t>senza capire l’oggetto economico della funzione tributaria (</w:t>
      </w:r>
      <w:r w:rsidR="006C3671">
        <w:rPr>
          <w:sz w:val="22"/>
          <w:szCs w:val="22"/>
        </w:rPr>
        <w:t>par.1.8)</w:t>
      </w:r>
      <w:r w:rsidR="00E80357">
        <w:rPr>
          <w:sz w:val="22"/>
          <w:szCs w:val="22"/>
        </w:rPr>
        <w:t xml:space="preserve"> come elemento unificante</w:t>
      </w:r>
      <w:r w:rsidR="006C3671">
        <w:rPr>
          <w:sz w:val="22"/>
          <w:szCs w:val="22"/>
        </w:rPr>
        <w:t xml:space="preserve">. </w:t>
      </w:r>
      <w:r w:rsidR="00E80357">
        <w:rPr>
          <w:sz w:val="22"/>
          <w:szCs w:val="22"/>
        </w:rPr>
        <w:t>Neppure</w:t>
      </w:r>
      <w:r w:rsidR="006C3671">
        <w:rPr>
          <w:sz w:val="22"/>
          <w:szCs w:val="22"/>
        </w:rPr>
        <w:t xml:space="preserve"> viene</w:t>
      </w:r>
      <w:r w:rsidR="00E80357">
        <w:rPr>
          <w:sz w:val="22"/>
          <w:szCs w:val="22"/>
        </w:rPr>
        <w:t xml:space="preserve"> quindi</w:t>
      </w:r>
      <w:r w:rsidR="006C3671">
        <w:rPr>
          <w:sz w:val="22"/>
          <w:szCs w:val="22"/>
        </w:rPr>
        <w:t xml:space="preserve"> afferrato il rapporto tra determinazione dell’imponibile e gettito (par.1.9), né l’ordine di grandezza e la distribuzione di quest’ultimo a seconda dell</w:t>
      </w:r>
      <w:r w:rsidR="00BB1432">
        <w:rPr>
          <w:sz w:val="22"/>
          <w:szCs w:val="22"/>
        </w:rPr>
        <w:t>a diversa determinabilità degli imponibili  e delle tipologie di imposte (parr.1.10-1.11)</w:t>
      </w:r>
      <w:r w:rsidR="0067617B">
        <w:rPr>
          <w:sz w:val="22"/>
          <w:szCs w:val="22"/>
        </w:rPr>
        <w:t xml:space="preserve"> o contributi </w:t>
      </w:r>
      <w:r w:rsidR="00B83789">
        <w:rPr>
          <w:sz w:val="22"/>
          <w:szCs w:val="22"/>
        </w:rPr>
        <w:t>previdenzial</w:t>
      </w:r>
      <w:r w:rsidR="0067617B">
        <w:rPr>
          <w:sz w:val="22"/>
          <w:szCs w:val="22"/>
        </w:rPr>
        <w:t xml:space="preserve">i </w:t>
      </w:r>
      <w:r w:rsidR="000F3A2C">
        <w:rPr>
          <w:sz w:val="22"/>
          <w:szCs w:val="22"/>
        </w:rPr>
        <w:t>(par.1.12)</w:t>
      </w:r>
      <w:r w:rsidR="00B83789">
        <w:rPr>
          <w:sz w:val="22"/>
          <w:szCs w:val="22"/>
        </w:rPr>
        <w:t xml:space="preserve">. </w:t>
      </w:r>
      <w:r w:rsidR="00CC4484">
        <w:rPr>
          <w:sz w:val="22"/>
          <w:szCs w:val="22"/>
        </w:rPr>
        <w:t xml:space="preserve"> </w:t>
      </w:r>
    </w:p>
    <w:p w14:paraId="538D14CB" w14:textId="77777777" w:rsidR="00101AEB" w:rsidRPr="007F7EBF" w:rsidRDefault="00101AEB" w:rsidP="006342C5">
      <w:pPr>
        <w:autoSpaceDE w:val="0"/>
        <w:autoSpaceDN w:val="0"/>
        <w:adjustRightInd w:val="0"/>
        <w:rPr>
          <w:sz w:val="22"/>
          <w:szCs w:val="22"/>
        </w:rPr>
      </w:pPr>
    </w:p>
    <w:p w14:paraId="376A7838" w14:textId="67DC7B5A" w:rsidR="00B66C97" w:rsidRPr="00B66C97" w:rsidRDefault="00562229" w:rsidP="00B66C97">
      <w:pPr>
        <w:pStyle w:val="Titolo3"/>
        <w:numPr>
          <w:ilvl w:val="1"/>
          <w:numId w:val="2"/>
        </w:numPr>
        <w:rPr>
          <w:rFonts w:ascii="Times New Roman" w:hAnsi="Times New Roman"/>
          <w:sz w:val="22"/>
          <w:szCs w:val="22"/>
          <w:lang w:val="it-IT"/>
        </w:rPr>
      </w:pPr>
      <w:bookmarkStart w:id="6" w:name="_Toc63364927"/>
      <w:r>
        <w:rPr>
          <w:rFonts w:ascii="Times New Roman" w:hAnsi="Times New Roman"/>
          <w:sz w:val="22"/>
          <w:szCs w:val="22"/>
          <w:lang w:val="it-IT"/>
        </w:rPr>
        <w:lastRenderedPageBreak/>
        <w:t>F</w:t>
      </w:r>
      <w:r w:rsidR="00FA5D62">
        <w:rPr>
          <w:rFonts w:ascii="Times New Roman" w:hAnsi="Times New Roman"/>
          <w:sz w:val="22"/>
          <w:szCs w:val="22"/>
          <w:lang w:val="it-IT"/>
        </w:rPr>
        <w:t>unzioni pubbliche</w:t>
      </w:r>
      <w:r w:rsidR="00CC0C0E">
        <w:rPr>
          <w:rFonts w:ascii="Times New Roman" w:hAnsi="Times New Roman"/>
          <w:sz w:val="22"/>
          <w:szCs w:val="22"/>
          <w:lang w:val="it-IT"/>
        </w:rPr>
        <w:t xml:space="preserve"> </w:t>
      </w:r>
      <w:r w:rsidR="00C01C8B">
        <w:rPr>
          <w:rFonts w:ascii="Times New Roman" w:hAnsi="Times New Roman"/>
          <w:sz w:val="22"/>
          <w:szCs w:val="22"/>
          <w:lang w:val="it-IT"/>
        </w:rPr>
        <w:t xml:space="preserve">e loro finanziamento </w:t>
      </w:r>
      <w:r w:rsidR="00CC0C0E">
        <w:rPr>
          <w:rFonts w:ascii="Times New Roman" w:hAnsi="Times New Roman"/>
          <w:sz w:val="22"/>
          <w:szCs w:val="22"/>
          <w:lang w:val="it-IT"/>
        </w:rPr>
        <w:t>tra entrate p</w:t>
      </w:r>
      <w:r>
        <w:rPr>
          <w:rFonts w:ascii="Times New Roman" w:hAnsi="Times New Roman"/>
          <w:sz w:val="22"/>
          <w:szCs w:val="22"/>
          <w:lang w:val="it-IT"/>
        </w:rPr>
        <w:t>atrimonial</w:t>
      </w:r>
      <w:r w:rsidR="00CC0C0E">
        <w:rPr>
          <w:rFonts w:ascii="Times New Roman" w:hAnsi="Times New Roman"/>
          <w:sz w:val="22"/>
          <w:szCs w:val="22"/>
          <w:lang w:val="it-IT"/>
        </w:rPr>
        <w:t>i</w:t>
      </w:r>
      <w:r w:rsidR="00AD694A">
        <w:rPr>
          <w:rFonts w:ascii="Times New Roman" w:hAnsi="Times New Roman"/>
          <w:sz w:val="22"/>
          <w:szCs w:val="22"/>
          <w:lang w:val="it-IT"/>
        </w:rPr>
        <w:t xml:space="preserve">, </w:t>
      </w:r>
      <w:r>
        <w:rPr>
          <w:rFonts w:ascii="Times New Roman" w:hAnsi="Times New Roman"/>
          <w:sz w:val="22"/>
          <w:szCs w:val="22"/>
          <w:lang w:val="it-IT"/>
        </w:rPr>
        <w:t>tributari</w:t>
      </w:r>
      <w:r w:rsidR="00CC0C0E">
        <w:rPr>
          <w:rFonts w:ascii="Times New Roman" w:hAnsi="Times New Roman"/>
          <w:sz w:val="22"/>
          <w:szCs w:val="22"/>
          <w:lang w:val="it-IT"/>
        </w:rPr>
        <w:t>e ed emissione monetaria</w:t>
      </w:r>
      <w:bookmarkEnd w:id="6"/>
    </w:p>
    <w:p w14:paraId="0A92D74F" w14:textId="2873BF41" w:rsidR="00B66C97" w:rsidRPr="007F7EBF" w:rsidRDefault="00B66C97" w:rsidP="00B66C97">
      <w:pPr>
        <w:pStyle w:val="tit23"/>
        <w:ind w:left="6464" w:right="-1361" w:firstLine="0"/>
        <w:jc w:val="left"/>
        <w:rPr>
          <w:bCs/>
          <w:i/>
          <w:iCs/>
          <w:color w:val="0000FF"/>
          <w:lang w:val="it-IT"/>
        </w:rPr>
      </w:pPr>
      <w:r>
        <w:rPr>
          <w:bCs/>
          <w:i/>
          <w:iCs/>
          <w:color w:val="0000FF"/>
          <w:lang w:val="it-IT"/>
        </w:rPr>
        <w:t>Funzione tributaria e fiscalità come  finanziamento delle pubbliche funzioni</w:t>
      </w:r>
    </w:p>
    <w:p w14:paraId="17B26EEB" w14:textId="74398583" w:rsidR="00C01C8B" w:rsidRPr="007F7EBF" w:rsidRDefault="00C01C8B" w:rsidP="00C01C8B">
      <w:pPr>
        <w:pStyle w:val="tit23"/>
        <w:ind w:left="6464" w:right="-1361" w:firstLine="0"/>
        <w:jc w:val="left"/>
        <w:rPr>
          <w:bCs/>
          <w:i/>
          <w:iCs/>
          <w:color w:val="0000FF"/>
          <w:lang w:val="it-IT"/>
        </w:rPr>
      </w:pPr>
    </w:p>
    <w:p w14:paraId="6C5A4EA7" w14:textId="086EE79F" w:rsidR="007809FE" w:rsidRPr="007F7EBF" w:rsidRDefault="00227890" w:rsidP="00B66C97">
      <w:pPr>
        <w:pStyle w:val="Testorientro"/>
        <w:rPr>
          <w:rFonts w:ascii="Times New Roman" w:hAnsi="Times New Roman" w:cs="Times New Roman"/>
        </w:rPr>
      </w:pPr>
      <w:r>
        <w:rPr>
          <w:rFonts w:ascii="Times New Roman" w:hAnsi="Times New Roman" w:cs="Times New Roman"/>
        </w:rPr>
        <w:t>Anche l’</w:t>
      </w:r>
      <w:r w:rsidR="000365D6">
        <w:t>intervento pubblico ha un costo</w:t>
      </w:r>
      <w:r w:rsidR="001F3F03">
        <w:t xml:space="preserve">, </w:t>
      </w:r>
      <w:r w:rsidR="00A84770">
        <w:t xml:space="preserve">come ricorda </w:t>
      </w:r>
      <w:r w:rsidR="008B30A8">
        <w:t>i</w:t>
      </w:r>
      <w:r>
        <w:t xml:space="preserve">l detto </w:t>
      </w:r>
      <w:r w:rsidR="000365D6" w:rsidRPr="007F7EBF">
        <w:t xml:space="preserve">di senso </w:t>
      </w:r>
      <w:r w:rsidR="00A84770">
        <w:t xml:space="preserve">comune </w:t>
      </w:r>
      <w:r w:rsidR="000365D6" w:rsidRPr="007F7EBF">
        <w:rPr>
          <w:i/>
        </w:rPr>
        <w:t>Nessun pasto è gratis</w:t>
      </w:r>
      <w:r w:rsidR="00A84770">
        <w:rPr>
          <w:rFonts w:ascii="Times New Roman" w:hAnsi="Times New Roman" w:cs="Times New Roman"/>
        </w:rPr>
        <w:t>,</w:t>
      </w:r>
      <w:r w:rsidR="008B30A8">
        <w:rPr>
          <w:rFonts w:ascii="Times New Roman" w:hAnsi="Times New Roman" w:cs="Times New Roman"/>
        </w:rPr>
        <w:t xml:space="preserve"> </w:t>
      </w:r>
      <w:r w:rsidR="00DE4A79">
        <w:rPr>
          <w:rFonts w:ascii="Times New Roman" w:hAnsi="Times New Roman" w:cs="Times New Roman"/>
        </w:rPr>
        <w:t>e</w:t>
      </w:r>
      <w:r w:rsidR="00A84770">
        <w:rPr>
          <w:rFonts w:ascii="Times New Roman" w:hAnsi="Times New Roman" w:cs="Times New Roman"/>
        </w:rPr>
        <w:t xml:space="preserve"> la fiscalità </w:t>
      </w:r>
      <w:r w:rsidR="00A84770">
        <w:rPr>
          <w:rFonts w:ascii="Times New Roman" w:hAnsi="Times New Roman" w:cs="Times New Roman"/>
        </w:rPr>
        <w:t>si occupa</w:t>
      </w:r>
      <w:r w:rsidR="00A84770">
        <w:rPr>
          <w:rFonts w:ascii="Times New Roman" w:hAnsi="Times New Roman" w:cs="Times New Roman"/>
        </w:rPr>
        <w:t xml:space="preserve"> </w:t>
      </w:r>
      <w:r w:rsidR="00A84770">
        <w:rPr>
          <w:rFonts w:ascii="Times New Roman" w:hAnsi="Times New Roman" w:cs="Times New Roman"/>
        </w:rPr>
        <w:t xml:space="preserve">delle entrate </w:t>
      </w:r>
      <w:r w:rsidR="00A84770">
        <w:rPr>
          <w:rFonts w:ascii="Times New Roman" w:hAnsi="Times New Roman" w:cs="Times New Roman"/>
        </w:rPr>
        <w:t xml:space="preserve">per </w:t>
      </w:r>
      <w:r w:rsidR="00A84770">
        <w:rPr>
          <w:rFonts w:ascii="Times New Roman" w:hAnsi="Times New Roman" w:cs="Times New Roman"/>
        </w:rPr>
        <w:t>finanziar</w:t>
      </w:r>
      <w:r w:rsidR="00DE4A79">
        <w:rPr>
          <w:rFonts w:ascii="Times New Roman" w:hAnsi="Times New Roman" w:cs="Times New Roman"/>
        </w:rPr>
        <w:t>lo.</w:t>
      </w:r>
      <w:r w:rsidR="00A84770">
        <w:rPr>
          <w:rFonts w:ascii="Times New Roman" w:hAnsi="Times New Roman" w:cs="Times New Roman"/>
        </w:rPr>
        <w:t xml:space="preserve">  </w:t>
      </w:r>
      <w:r>
        <w:rPr>
          <w:rFonts w:ascii="Times New Roman" w:hAnsi="Times New Roman" w:cs="Times New Roman"/>
        </w:rPr>
        <w:t>Della</w:t>
      </w:r>
      <w:r>
        <w:rPr>
          <w:rFonts w:ascii="Times New Roman" w:hAnsi="Times New Roman" w:cs="Times New Roman"/>
        </w:rPr>
        <w:t xml:space="preserve"> </w:t>
      </w:r>
      <w:r w:rsidRPr="00C4545C">
        <w:rPr>
          <w:rFonts w:ascii="Times New Roman" w:hAnsi="Times New Roman" w:cs="Times New Roman"/>
          <w:b/>
          <w:bCs/>
          <w:spacing w:val="3"/>
          <w:w w:val="101"/>
        </w:rPr>
        <w:t>fiscalità</w:t>
      </w:r>
      <w:r>
        <w:rPr>
          <w:rFonts w:ascii="Times New Roman" w:hAnsi="Times New Roman" w:cs="Times New Roman"/>
          <w:b/>
          <w:bCs/>
          <w:spacing w:val="3"/>
          <w:w w:val="101"/>
        </w:rPr>
        <w:t xml:space="preserve"> </w:t>
      </w:r>
      <w:r>
        <w:rPr>
          <w:rFonts w:ascii="Times New Roman" w:hAnsi="Times New Roman" w:cs="Times New Roman"/>
          <w:bCs/>
          <w:spacing w:val="3"/>
          <w:w w:val="101"/>
        </w:rPr>
        <w:t xml:space="preserve">fanno parte sia le imposte sia </w:t>
      </w:r>
      <w:r>
        <w:rPr>
          <w:rFonts w:ascii="Times New Roman" w:hAnsi="Times New Roman" w:cs="Times New Roman"/>
          <w:bCs/>
          <w:spacing w:val="3"/>
          <w:w w:val="101"/>
        </w:rPr>
        <w:t xml:space="preserve">gli </w:t>
      </w:r>
      <w:r>
        <w:rPr>
          <w:rFonts w:ascii="Times New Roman" w:hAnsi="Times New Roman" w:cs="Times New Roman"/>
          <w:bCs/>
          <w:spacing w:val="3"/>
          <w:w w:val="101"/>
        </w:rPr>
        <w:t xml:space="preserve">altri tributi </w:t>
      </w:r>
      <w:r>
        <w:rPr>
          <w:rFonts w:ascii="Times New Roman" w:hAnsi="Times New Roman" w:cs="Times New Roman"/>
          <w:bCs/>
          <w:spacing w:val="3"/>
          <w:w w:val="101"/>
        </w:rPr>
        <w:t>sia</w:t>
      </w:r>
      <w:r>
        <w:rPr>
          <w:rFonts w:ascii="Times New Roman" w:hAnsi="Times New Roman" w:cs="Times New Roman"/>
          <w:bCs/>
          <w:spacing w:val="3"/>
          <w:w w:val="101"/>
        </w:rPr>
        <w:t xml:space="preserve"> altre entrate (ad es. patrimoniali) di cui diremo tra poco, nonché ai </w:t>
      </w:r>
      <w:r>
        <w:rPr>
          <w:rFonts w:ascii="Times New Roman" w:hAnsi="Times New Roman" w:cs="Times New Roman"/>
          <w:spacing w:val="3"/>
          <w:w w:val="101"/>
        </w:rPr>
        <w:t>parr.1.2 e 5.1</w:t>
      </w:r>
      <w:r>
        <w:rPr>
          <w:rFonts w:ascii="Times New Roman" w:hAnsi="Times New Roman" w:cs="Times New Roman"/>
          <w:spacing w:val="3"/>
          <w:w w:val="101"/>
        </w:rPr>
        <w:t>. La fiscalità non può mancare in ogni collettività che abbia delle spese, e ad essa s</w:t>
      </w:r>
      <w:r>
        <w:t>i riferisce il</w:t>
      </w:r>
      <w:r w:rsidRPr="007F7EBF">
        <w:t xml:space="preserve"> famoso </w:t>
      </w:r>
      <w:r w:rsidRPr="007F7EBF">
        <w:rPr>
          <w:spacing w:val="3"/>
          <w:w w:val="101"/>
        </w:rPr>
        <w:t xml:space="preserve">aforisma di Beniamino Franklin, </w:t>
      </w:r>
      <w:r w:rsidRPr="007F7EBF">
        <w:rPr>
          <w:i/>
          <w:spacing w:val="3"/>
          <w:w w:val="101"/>
        </w:rPr>
        <w:t>nulla è certo, meno la morte e le tasse</w:t>
      </w:r>
      <w:r>
        <w:rPr>
          <w:spacing w:val="3"/>
          <w:w w:val="101"/>
        </w:rPr>
        <w:t>, inesatto se riferito alle imposte, d</w:t>
      </w:r>
      <w:r>
        <w:rPr>
          <w:spacing w:val="3"/>
          <w:w w:val="101"/>
        </w:rPr>
        <w:t xml:space="preserve">i cui </w:t>
      </w:r>
      <w:r>
        <w:rPr>
          <w:spacing w:val="3"/>
          <w:w w:val="101"/>
        </w:rPr>
        <w:t xml:space="preserve">in molti contesti spazio temporali è possibile fare a meno, </w:t>
      </w:r>
      <w:r>
        <w:rPr>
          <w:spacing w:val="3"/>
          <w:w w:val="101"/>
        </w:rPr>
        <w:t xml:space="preserve">bastando </w:t>
      </w:r>
      <w:r>
        <w:rPr>
          <w:spacing w:val="3"/>
          <w:w w:val="101"/>
        </w:rPr>
        <w:t>le entrate patrimoniali</w:t>
      </w:r>
      <w:r>
        <w:rPr>
          <w:spacing w:val="3"/>
          <w:w w:val="101"/>
        </w:rPr>
        <w:t xml:space="preserve"> di cui a</w:t>
      </w:r>
      <w:r>
        <w:rPr>
          <w:spacing w:val="3"/>
          <w:w w:val="101"/>
        </w:rPr>
        <w:t xml:space="preserve"> questo paragrafo</w:t>
      </w:r>
      <w:r w:rsidRPr="007F7EBF">
        <w:rPr>
          <w:spacing w:val="3"/>
          <w:w w:val="101"/>
        </w:rPr>
        <w:t xml:space="preserve">. </w:t>
      </w:r>
      <w:r>
        <w:rPr>
          <w:spacing w:val="3"/>
          <w:w w:val="101"/>
        </w:rPr>
        <w:t xml:space="preserve">Al concetto economico di fiscalità corrisponde quello di </w:t>
      </w:r>
      <w:r w:rsidR="001F3F03" w:rsidRPr="000365D6">
        <w:rPr>
          <w:rFonts w:ascii="Times New Roman" w:hAnsi="Times New Roman" w:cs="Times New Roman"/>
          <w:i/>
          <w:iCs/>
        </w:rPr>
        <w:t>diritto</w:t>
      </w:r>
      <w:r w:rsidR="001F3F03">
        <w:rPr>
          <w:rFonts w:ascii="Times New Roman" w:hAnsi="Times New Roman" w:cs="Times New Roman"/>
        </w:rPr>
        <w:t xml:space="preserve"> </w:t>
      </w:r>
      <w:r w:rsidR="001F3F03" w:rsidRPr="001F3F03">
        <w:rPr>
          <w:rFonts w:ascii="Times New Roman" w:hAnsi="Times New Roman" w:cs="Times New Roman"/>
        </w:rPr>
        <w:t>finanziario</w:t>
      </w:r>
      <w:r>
        <w:rPr>
          <w:rFonts w:ascii="Times New Roman" w:hAnsi="Times New Roman" w:cs="Times New Roman"/>
        </w:rPr>
        <w:t xml:space="preserve">, talvolta riferito sia alle </w:t>
      </w:r>
      <w:r>
        <w:rPr>
          <w:rFonts w:ascii="Times New Roman" w:hAnsi="Times New Roman" w:cs="Times New Roman"/>
        </w:rPr>
        <w:t>modalità giuridiche di acquisizione delle entrate s</w:t>
      </w:r>
      <w:r>
        <w:rPr>
          <w:rFonts w:ascii="Times New Roman" w:hAnsi="Times New Roman" w:cs="Times New Roman"/>
        </w:rPr>
        <w:t xml:space="preserve">ia a quelle </w:t>
      </w:r>
      <w:r>
        <w:rPr>
          <w:rFonts w:ascii="Times New Roman" w:hAnsi="Times New Roman" w:cs="Times New Roman"/>
        </w:rPr>
        <w:t>di erogazione delle spese</w:t>
      </w:r>
      <w:r>
        <w:rPr>
          <w:rFonts w:ascii="Times New Roman" w:hAnsi="Times New Roman" w:cs="Times New Roman"/>
        </w:rPr>
        <w:t xml:space="preserve">, cioè alla </w:t>
      </w:r>
      <w:r>
        <w:rPr>
          <w:rFonts w:ascii="Times New Roman" w:hAnsi="Times New Roman" w:cs="Times New Roman"/>
        </w:rPr>
        <w:t>contabilità di stato, oggi esaminata dal diritto amministrativo.</w:t>
      </w:r>
      <w:r>
        <w:rPr>
          <w:rFonts w:ascii="Times New Roman" w:hAnsi="Times New Roman" w:cs="Times New Roman"/>
        </w:rPr>
        <w:t xml:space="preserve"> Quest’ampiezza eccessiva del concetto lo rende troppo generico rispetto al diritto tributario, relativo alle entrate pubbliche a titolo di tributo, coi riflessi giuridici di cui al par.5.1</w:t>
      </w:r>
      <w:r w:rsidR="00495850">
        <w:rPr>
          <w:rFonts w:ascii="Times New Roman" w:hAnsi="Times New Roman" w:cs="Times New Roman"/>
        </w:rPr>
        <w:t xml:space="preserve">. </w:t>
      </w:r>
    </w:p>
    <w:p w14:paraId="5F884A96" w14:textId="71503CFC" w:rsidR="007809FE" w:rsidRPr="007F7EBF" w:rsidRDefault="00935BE9" w:rsidP="007809FE">
      <w:pPr>
        <w:pStyle w:val="tit23"/>
        <w:ind w:left="6464" w:right="-1361" w:firstLine="0"/>
        <w:jc w:val="left"/>
        <w:rPr>
          <w:bCs/>
          <w:i/>
          <w:iCs/>
          <w:color w:val="0000FF"/>
          <w:lang w:val="it-IT"/>
        </w:rPr>
      </w:pPr>
      <w:r w:rsidRPr="007F7EBF">
        <w:rPr>
          <w:bCs/>
          <w:i/>
          <w:iCs/>
          <w:color w:val="0000FF"/>
          <w:lang w:val="it-IT"/>
        </w:rPr>
        <w:t>“finanza patrimoniale” senza tributi</w:t>
      </w:r>
    </w:p>
    <w:p w14:paraId="236E4C75" w14:textId="1DAD9CF0" w:rsidR="00495850" w:rsidRDefault="00CC0C0E" w:rsidP="00A06D38">
      <w:pPr>
        <w:pStyle w:val="Testorientro"/>
        <w:ind w:firstLine="0"/>
      </w:pPr>
      <w:r>
        <w:rPr>
          <w:rFonts w:ascii="Times New Roman" w:hAnsi="Times New Roman" w:cs="Times New Roman"/>
          <w:spacing w:val="3"/>
          <w:w w:val="101"/>
        </w:rPr>
        <w:t>La più elementare</w:t>
      </w:r>
      <w:r w:rsidR="00A84B9E">
        <w:rPr>
          <w:rFonts w:ascii="Times New Roman" w:hAnsi="Times New Roman" w:cs="Times New Roman"/>
          <w:spacing w:val="3"/>
          <w:w w:val="101"/>
        </w:rPr>
        <w:t>, istintiva,</w:t>
      </w:r>
      <w:r>
        <w:rPr>
          <w:rFonts w:ascii="Times New Roman" w:hAnsi="Times New Roman" w:cs="Times New Roman"/>
          <w:spacing w:val="3"/>
          <w:w w:val="101"/>
        </w:rPr>
        <w:t xml:space="preserve"> </w:t>
      </w:r>
      <w:r w:rsidR="00A84B9E">
        <w:rPr>
          <w:rFonts w:ascii="Times New Roman" w:hAnsi="Times New Roman" w:cs="Times New Roman"/>
          <w:spacing w:val="3"/>
          <w:w w:val="101"/>
        </w:rPr>
        <w:t xml:space="preserve">forma di finanziamento, è </w:t>
      </w:r>
      <w:r w:rsidRPr="007F7EBF">
        <w:rPr>
          <w:rFonts w:ascii="Times New Roman" w:hAnsi="Times New Roman" w:cs="Times New Roman"/>
          <w:spacing w:val="3"/>
          <w:w w:val="101"/>
        </w:rPr>
        <w:t xml:space="preserve">lo sfruttamento del </w:t>
      </w:r>
      <w:r w:rsidRPr="007F7EBF">
        <w:rPr>
          <w:rFonts w:ascii="Times New Roman" w:hAnsi="Times New Roman" w:cs="Times New Roman"/>
        </w:rPr>
        <w:t>patrimonio collettivo</w:t>
      </w:r>
      <w:r>
        <w:rPr>
          <w:rFonts w:ascii="Times New Roman" w:hAnsi="Times New Roman" w:cs="Times New Roman"/>
        </w:rPr>
        <w:t xml:space="preserve">, </w:t>
      </w:r>
      <w:r w:rsidR="00D57A53">
        <w:rPr>
          <w:rFonts w:ascii="Times New Roman" w:hAnsi="Times New Roman" w:cs="Times New Roman"/>
          <w:spacing w:val="3"/>
          <w:w w:val="101"/>
        </w:rPr>
        <w:t xml:space="preserve">in prima battuta </w:t>
      </w:r>
      <w:r w:rsidR="00CC1CA4" w:rsidRPr="007F7EBF">
        <w:rPr>
          <w:rFonts w:ascii="Times New Roman" w:hAnsi="Times New Roman" w:cs="Times New Roman"/>
          <w:spacing w:val="3"/>
          <w:w w:val="101"/>
        </w:rPr>
        <w:t>la terra</w:t>
      </w:r>
      <w:r w:rsidR="002568E3">
        <w:rPr>
          <w:rFonts w:ascii="Times New Roman" w:hAnsi="Times New Roman" w:cs="Times New Roman"/>
          <w:spacing w:val="3"/>
          <w:w w:val="101"/>
        </w:rPr>
        <w:t xml:space="preserve"> (</w:t>
      </w:r>
      <w:r w:rsidR="002568E3">
        <w:rPr>
          <w:rStyle w:val="Rimandonotaapidipagina"/>
          <w:rFonts w:ascii="Times New Roman" w:hAnsi="Times New Roman"/>
          <w:spacing w:val="3"/>
          <w:w w:val="101"/>
        </w:rPr>
        <w:footnoteReference w:id="9"/>
      </w:r>
      <w:r w:rsidR="002568E3">
        <w:rPr>
          <w:rFonts w:ascii="Times New Roman" w:hAnsi="Times New Roman" w:cs="Times New Roman"/>
          <w:spacing w:val="3"/>
          <w:w w:val="101"/>
        </w:rPr>
        <w:t>)</w:t>
      </w:r>
      <w:r w:rsidR="00D57A53">
        <w:rPr>
          <w:rFonts w:ascii="Times New Roman" w:hAnsi="Times New Roman" w:cs="Times New Roman"/>
          <w:spacing w:val="3"/>
          <w:w w:val="101"/>
        </w:rPr>
        <w:t xml:space="preserve">, </w:t>
      </w:r>
      <w:r w:rsidR="00520B1E" w:rsidRPr="007F7EBF">
        <w:rPr>
          <w:rFonts w:ascii="Times New Roman" w:hAnsi="Times New Roman" w:cs="Times New Roman"/>
          <w:spacing w:val="3"/>
          <w:w w:val="101"/>
        </w:rPr>
        <w:t>co</w:t>
      </w:r>
      <w:r w:rsidR="00520B1E">
        <w:rPr>
          <w:rFonts w:ascii="Times New Roman" w:hAnsi="Times New Roman" w:cs="Times New Roman"/>
          <w:spacing w:val="3"/>
          <w:w w:val="101"/>
        </w:rPr>
        <w:t xml:space="preserve">mprese </w:t>
      </w:r>
      <w:r w:rsidR="00495850">
        <w:rPr>
          <w:rFonts w:ascii="Times New Roman" w:hAnsi="Times New Roman" w:cs="Times New Roman"/>
          <w:spacing w:val="3"/>
          <w:w w:val="101"/>
        </w:rPr>
        <w:t>eventuali</w:t>
      </w:r>
      <w:r w:rsidR="00520B1E" w:rsidRPr="007F7EBF">
        <w:rPr>
          <w:rFonts w:ascii="Times New Roman" w:hAnsi="Times New Roman" w:cs="Times New Roman"/>
          <w:spacing w:val="3"/>
          <w:w w:val="101"/>
        </w:rPr>
        <w:t xml:space="preserve"> </w:t>
      </w:r>
      <w:r w:rsidR="00986E7D">
        <w:rPr>
          <w:rFonts w:ascii="Times New Roman" w:hAnsi="Times New Roman" w:cs="Times New Roman"/>
          <w:spacing w:val="3"/>
          <w:w w:val="101"/>
        </w:rPr>
        <w:t>min</w:t>
      </w:r>
      <w:r w:rsidR="00495850">
        <w:rPr>
          <w:rFonts w:ascii="Times New Roman" w:hAnsi="Times New Roman" w:cs="Times New Roman"/>
          <w:spacing w:val="3"/>
          <w:w w:val="101"/>
        </w:rPr>
        <w:t xml:space="preserve">iere, </w:t>
      </w:r>
      <w:r w:rsidR="00716C3A">
        <w:rPr>
          <w:rFonts w:ascii="Times New Roman" w:hAnsi="Times New Roman" w:cs="Times New Roman"/>
          <w:spacing w:val="3"/>
          <w:w w:val="101"/>
        </w:rPr>
        <w:t>ad esempio</w:t>
      </w:r>
      <w:r w:rsidR="00495850">
        <w:rPr>
          <w:rFonts w:ascii="Times New Roman" w:hAnsi="Times New Roman" w:cs="Times New Roman"/>
          <w:spacing w:val="3"/>
          <w:w w:val="101"/>
        </w:rPr>
        <w:t xml:space="preserve"> le odierne r</w:t>
      </w:r>
      <w:r w:rsidR="00495850">
        <w:rPr>
          <w:rFonts w:ascii="Times New Roman" w:hAnsi="Times New Roman" w:cs="Times New Roman"/>
        </w:rPr>
        <w:t xml:space="preserve">isorse petrolifere, </w:t>
      </w:r>
      <w:r w:rsidR="00495850">
        <w:rPr>
          <w:rFonts w:ascii="Times New Roman" w:hAnsi="Times New Roman" w:cs="Times New Roman"/>
          <w:spacing w:val="3"/>
          <w:w w:val="101"/>
        </w:rPr>
        <w:t xml:space="preserve">aree </w:t>
      </w:r>
      <w:r w:rsidR="00520B1E" w:rsidRPr="007F7EBF">
        <w:rPr>
          <w:rFonts w:ascii="Times New Roman" w:hAnsi="Times New Roman" w:cs="Times New Roman"/>
          <w:spacing w:val="3"/>
          <w:w w:val="101"/>
        </w:rPr>
        <w:t>forestali (</w:t>
      </w:r>
      <w:r w:rsidR="00520B1E" w:rsidRPr="007F7EBF">
        <w:rPr>
          <w:rFonts w:ascii="Times New Roman" w:hAnsi="Times New Roman" w:cs="Times New Roman"/>
        </w:rPr>
        <w:t>legna</w:t>
      </w:r>
      <w:r w:rsidR="002568E3">
        <w:rPr>
          <w:rFonts w:ascii="Times New Roman" w:hAnsi="Times New Roman" w:cs="Times New Roman"/>
        </w:rPr>
        <w:t>)</w:t>
      </w:r>
      <w:r w:rsidR="00495850">
        <w:rPr>
          <w:rFonts w:ascii="Times New Roman" w:hAnsi="Times New Roman" w:cs="Times New Roman"/>
        </w:rPr>
        <w:t>, caccia e pesca.</w:t>
      </w:r>
      <w:r w:rsidR="00A06D38">
        <w:rPr>
          <w:rFonts w:ascii="Times New Roman" w:hAnsi="Times New Roman" w:cs="Times New Roman"/>
        </w:rPr>
        <w:t xml:space="preserve"> </w:t>
      </w:r>
      <w:r w:rsidR="00495850">
        <w:rPr>
          <w:rFonts w:ascii="Times New Roman" w:hAnsi="Times New Roman" w:cs="Times New Roman"/>
        </w:rPr>
        <w:t>Questo</w:t>
      </w:r>
      <w:r w:rsidR="00A06D38">
        <w:rPr>
          <w:rFonts w:ascii="Times New Roman" w:hAnsi="Times New Roman" w:cs="Times New Roman"/>
        </w:rPr>
        <w:t xml:space="preserve"> patrimonio s’incrementava anche col bottino di </w:t>
      </w:r>
      <w:r w:rsidR="00A06D38" w:rsidRPr="007F7EBF">
        <w:rPr>
          <w:rFonts w:ascii="Times New Roman" w:hAnsi="Times New Roman" w:cs="Times New Roman"/>
        </w:rPr>
        <w:t xml:space="preserve">guerre </w:t>
      </w:r>
      <w:r w:rsidR="00A06D38">
        <w:rPr>
          <w:rFonts w:ascii="Times New Roman" w:hAnsi="Times New Roman" w:cs="Times New Roman"/>
        </w:rPr>
        <w:t>vittoriose o razzie (</w:t>
      </w:r>
      <w:r w:rsidR="00A06D38" w:rsidRPr="007F7EBF">
        <w:rPr>
          <w:rStyle w:val="Rimandonotaapidipagina"/>
          <w:rFonts w:ascii="Times New Roman" w:hAnsi="Times New Roman"/>
        </w:rPr>
        <w:footnoteReference w:id="10"/>
      </w:r>
      <w:r w:rsidR="00A06D38">
        <w:rPr>
          <w:rFonts w:ascii="Times New Roman" w:hAnsi="Times New Roman" w:cs="Times New Roman"/>
        </w:rPr>
        <w:t xml:space="preserve">), </w:t>
      </w:r>
      <w:r w:rsidR="00495850">
        <w:rPr>
          <w:rFonts w:ascii="Times New Roman" w:hAnsi="Times New Roman" w:cs="Times New Roman"/>
          <w:spacing w:val="3"/>
          <w:w w:val="101"/>
        </w:rPr>
        <w:t xml:space="preserve">pedaggi agli stranieri sui </w:t>
      </w:r>
      <w:r w:rsidR="00495850" w:rsidRPr="007F7EBF">
        <w:rPr>
          <w:rFonts w:ascii="Times New Roman" w:hAnsi="Times New Roman" w:cs="Times New Roman"/>
        </w:rPr>
        <w:lastRenderedPageBreak/>
        <w:t>punti di passaggio</w:t>
      </w:r>
      <w:r w:rsidR="00495850">
        <w:rPr>
          <w:rFonts w:ascii="Times New Roman" w:hAnsi="Times New Roman" w:cs="Times New Roman"/>
        </w:rPr>
        <w:t xml:space="preserve"> commerciali</w:t>
      </w:r>
      <w:r w:rsidR="00495850" w:rsidRPr="007F7EBF">
        <w:rPr>
          <w:rFonts w:ascii="Times New Roman" w:hAnsi="Times New Roman" w:cs="Times New Roman"/>
        </w:rPr>
        <w:t xml:space="preserve">, quali </w:t>
      </w:r>
      <w:r w:rsidR="00495850">
        <w:rPr>
          <w:rFonts w:ascii="Times New Roman" w:hAnsi="Times New Roman" w:cs="Times New Roman"/>
        </w:rPr>
        <w:t xml:space="preserve">strade, </w:t>
      </w:r>
      <w:r w:rsidR="00495850" w:rsidRPr="007F7EBF">
        <w:rPr>
          <w:rFonts w:ascii="Times New Roman" w:hAnsi="Times New Roman" w:cs="Times New Roman"/>
        </w:rPr>
        <w:t>valichi</w:t>
      </w:r>
      <w:r w:rsidR="00495850">
        <w:rPr>
          <w:rFonts w:ascii="Times New Roman" w:hAnsi="Times New Roman" w:cs="Times New Roman"/>
        </w:rPr>
        <w:t xml:space="preserve">, ponti </w:t>
      </w:r>
      <w:r w:rsidR="00495850" w:rsidRPr="007F7EBF">
        <w:rPr>
          <w:rFonts w:ascii="Times New Roman" w:hAnsi="Times New Roman" w:cs="Times New Roman"/>
        </w:rPr>
        <w:t>e guadi</w:t>
      </w:r>
      <w:r w:rsidR="00495850" w:rsidRPr="007F7EBF">
        <w:t>.</w:t>
      </w:r>
      <w:r w:rsidR="00495850">
        <w:t xml:space="preserve"> </w:t>
      </w:r>
    </w:p>
    <w:p w14:paraId="26E077B7" w14:textId="77777777" w:rsidR="00716C3A" w:rsidRDefault="00495850" w:rsidP="00716C3A">
      <w:pPr>
        <w:pStyle w:val="Testorientro"/>
        <w:ind w:firstLine="0"/>
        <w:rPr>
          <w:rFonts w:ascii="Times New Roman" w:hAnsi="Times New Roman" w:cs="Times New Roman"/>
        </w:rPr>
      </w:pPr>
      <w:r>
        <w:t xml:space="preserve">C’erano poi </w:t>
      </w:r>
      <w:r w:rsidR="00A06D38" w:rsidRPr="007F7EBF">
        <w:rPr>
          <w:rFonts w:ascii="Times New Roman" w:hAnsi="Times New Roman" w:cs="Times New Roman"/>
          <w:bCs/>
        </w:rPr>
        <w:t>confische</w:t>
      </w:r>
      <w:r w:rsidR="00A06D38" w:rsidRPr="007F7EBF">
        <w:rPr>
          <w:rFonts w:ascii="Times New Roman" w:hAnsi="Times New Roman" w:cs="Times New Roman"/>
        </w:rPr>
        <w:t xml:space="preserve"> a individui o sottogruppi caduti in disgrazia, sanzioni per piccole irregolarità, contributi spontanei di personaggi illustri o facoltosi, desiderosi di titoli nobiliari, investiture religiose, onorificenze o visibilità politica</w:t>
      </w:r>
      <w:r>
        <w:rPr>
          <w:rFonts w:ascii="Times New Roman" w:hAnsi="Times New Roman" w:cs="Times New Roman"/>
        </w:rPr>
        <w:t xml:space="preserve">. </w:t>
      </w:r>
      <w:r w:rsidR="00A06D38">
        <w:rPr>
          <w:rFonts w:ascii="Times New Roman" w:hAnsi="Times New Roman" w:cs="Times New Roman"/>
        </w:rPr>
        <w:t xml:space="preserve"> </w:t>
      </w:r>
    </w:p>
    <w:p w14:paraId="0C1C2D8D" w14:textId="0E9FE352" w:rsidR="00466564" w:rsidRPr="007F7EBF" w:rsidRDefault="00716C3A" w:rsidP="00716C3A">
      <w:pPr>
        <w:pStyle w:val="Testorientro"/>
        <w:ind w:firstLine="0"/>
      </w:pPr>
      <w:r>
        <w:t>Si alimentava così un</w:t>
      </w:r>
      <w:r w:rsidR="008B1486">
        <w:t xml:space="preserve"> patrimonio pubbli</w:t>
      </w:r>
      <w:r w:rsidR="00B66C97">
        <w:t>co,</w:t>
      </w:r>
      <w:r w:rsidR="00986E7D">
        <w:t xml:space="preserve"> </w:t>
      </w:r>
      <w:r w:rsidR="008B1486">
        <w:t xml:space="preserve">chiamato </w:t>
      </w:r>
      <w:r w:rsidR="00D57A53">
        <w:t xml:space="preserve">nell’antica Roma repubblicana </w:t>
      </w:r>
      <w:r w:rsidR="008B1486" w:rsidRPr="007F7EBF">
        <w:t>“</w:t>
      </w:r>
      <w:r w:rsidR="008B1486" w:rsidRPr="007F7EBF">
        <w:rPr>
          <w:bCs/>
        </w:rPr>
        <w:t>erario”</w:t>
      </w:r>
      <w:r w:rsidR="00D57A53">
        <w:rPr>
          <w:bCs/>
        </w:rPr>
        <w:t>, poi nell’impero</w:t>
      </w:r>
      <w:r w:rsidR="008B1486" w:rsidRPr="007F7EBF">
        <w:rPr>
          <w:bCs/>
        </w:rPr>
        <w:t xml:space="preserve"> </w:t>
      </w:r>
      <w:r w:rsidR="00D57A53">
        <w:rPr>
          <w:bCs/>
        </w:rPr>
        <w:t>definit</w:t>
      </w:r>
      <w:r w:rsidR="008B1486" w:rsidRPr="007F7EBF">
        <w:rPr>
          <w:bCs/>
        </w:rPr>
        <w:t>o “fisco”</w:t>
      </w:r>
      <w:r w:rsidR="00986E7D">
        <w:rPr>
          <w:bCs/>
        </w:rPr>
        <w:t xml:space="preserve">, da cui </w:t>
      </w:r>
      <w:r w:rsidR="00A06D38">
        <w:rPr>
          <w:bCs/>
        </w:rPr>
        <w:t xml:space="preserve">appunto </w:t>
      </w:r>
      <w:r w:rsidR="00986E7D">
        <w:rPr>
          <w:bCs/>
        </w:rPr>
        <w:t xml:space="preserve">deriva il </w:t>
      </w:r>
      <w:r w:rsidR="00A06D38">
        <w:rPr>
          <w:bCs/>
        </w:rPr>
        <w:t>già indicato concetto di</w:t>
      </w:r>
      <w:r w:rsidR="00986E7D">
        <w:rPr>
          <w:bCs/>
        </w:rPr>
        <w:t xml:space="preserve"> “fiscalità” </w:t>
      </w:r>
      <w:r w:rsidR="008B1486">
        <w:rPr>
          <w:bCs/>
        </w:rPr>
        <w:t>(</w:t>
      </w:r>
      <w:r w:rsidR="008B1486" w:rsidRPr="007F7EBF">
        <w:rPr>
          <w:rStyle w:val="Rimandonotaapidipagina"/>
          <w:bCs/>
        </w:rPr>
        <w:footnoteReference w:id="11"/>
      </w:r>
      <w:r w:rsidR="008B1486">
        <w:rPr>
          <w:bCs/>
        </w:rPr>
        <w:t>)</w:t>
      </w:r>
      <w:r w:rsidR="00D57A53">
        <w:t xml:space="preserve">. </w:t>
      </w:r>
    </w:p>
    <w:p w14:paraId="56C3A3A0" w14:textId="21B866C7" w:rsidR="00716C3A" w:rsidRDefault="005545AA" w:rsidP="00AE6A6C">
      <w:pPr>
        <w:pStyle w:val="tit23"/>
        <w:ind w:left="6464" w:right="-1361" w:firstLine="0"/>
        <w:jc w:val="left"/>
      </w:pPr>
      <w:r>
        <w:rPr>
          <w:bCs/>
          <w:i/>
          <w:iCs/>
          <w:color w:val="0000FF"/>
          <w:lang w:val="it-IT"/>
        </w:rPr>
        <w:t>Gettito dall’a</w:t>
      </w:r>
      <w:r w:rsidR="00466564">
        <w:rPr>
          <w:bCs/>
          <w:i/>
          <w:iCs/>
          <w:color w:val="0000FF"/>
          <w:lang w:val="it-IT"/>
        </w:rPr>
        <w:t xml:space="preserve">mministrazione </w:t>
      </w:r>
      <w:r>
        <w:rPr>
          <w:bCs/>
          <w:i/>
          <w:iCs/>
          <w:color w:val="0000FF"/>
          <w:lang w:val="it-IT"/>
        </w:rPr>
        <w:t>del “tesoro”</w:t>
      </w:r>
      <w:r w:rsidR="00466564">
        <w:rPr>
          <w:bCs/>
          <w:i/>
          <w:iCs/>
          <w:color w:val="0000FF"/>
          <w:lang w:val="it-IT"/>
        </w:rPr>
        <w:t xml:space="preserve"> </w:t>
      </w:r>
    </w:p>
    <w:p w14:paraId="39E2B7D9" w14:textId="2553638C" w:rsidR="00F11E53" w:rsidRDefault="00716C3A" w:rsidP="00716C3A">
      <w:pPr>
        <w:pStyle w:val="Testorientro"/>
        <w:ind w:firstLine="0"/>
      </w:pPr>
      <w:r>
        <w:rPr>
          <w:rFonts w:ascii="Times New Roman" w:hAnsi="Times New Roman" w:cs="Times New Roman"/>
          <w:color w:val="auto"/>
          <w:sz w:val="20"/>
          <w:szCs w:val="20"/>
        </w:rPr>
        <w:t>L</w:t>
      </w:r>
      <w:r w:rsidR="00BF1D24">
        <w:rPr>
          <w:rFonts w:ascii="Times New Roman" w:hAnsi="Times New Roman" w:cs="Times New Roman"/>
          <w:color w:val="auto"/>
          <w:sz w:val="20"/>
          <w:szCs w:val="20"/>
        </w:rPr>
        <w:t xml:space="preserve">a frequente </w:t>
      </w:r>
      <w:r>
        <w:rPr>
          <w:rFonts w:ascii="Times New Roman" w:hAnsi="Times New Roman" w:cs="Times New Roman"/>
          <w:color w:val="auto"/>
          <w:sz w:val="20"/>
          <w:szCs w:val="20"/>
        </w:rPr>
        <w:t>adeguatezza di queste entrate rispetto alle</w:t>
      </w:r>
      <w:r w:rsidR="00BF1D24">
        <w:rPr>
          <w:rFonts w:ascii="Times New Roman" w:hAnsi="Times New Roman" w:cs="Times New Roman"/>
          <w:color w:val="auto"/>
          <w:sz w:val="20"/>
          <w:szCs w:val="20"/>
        </w:rPr>
        <w:t xml:space="preserve"> antiche</w:t>
      </w:r>
      <w:r>
        <w:rPr>
          <w:rFonts w:ascii="Times New Roman" w:hAnsi="Times New Roman" w:cs="Times New Roman"/>
          <w:color w:val="auto"/>
          <w:sz w:val="20"/>
          <w:szCs w:val="20"/>
        </w:rPr>
        <w:t xml:space="preserve"> spese pubbliche </w:t>
      </w:r>
      <w:r>
        <w:t xml:space="preserve">faceva parlare di “finanza patrimoniale”. Essa </w:t>
      </w:r>
      <w:r w:rsidR="00A06D38">
        <w:t>produceva risorse liquide sotto</w:t>
      </w:r>
      <w:r w:rsidR="005545AA">
        <w:t xml:space="preserve"> </w:t>
      </w:r>
      <w:r w:rsidR="00A06D38">
        <w:t>forma di metalli preziosi e altri oggetti di valore, definiti come “tesoro” (</w:t>
      </w:r>
      <w:r w:rsidR="00A06D38">
        <w:rPr>
          <w:rStyle w:val="Rimandonotaapidipagina"/>
        </w:rPr>
        <w:footnoteReference w:id="12"/>
      </w:r>
      <w:r w:rsidR="00A06D38">
        <w:t>)</w:t>
      </w:r>
      <w:r w:rsidR="00A06D38" w:rsidRPr="007F7EBF">
        <w:t xml:space="preserve">. </w:t>
      </w:r>
      <w:r w:rsidR="00912371">
        <w:t>L</w:t>
      </w:r>
      <w:r w:rsidR="00A06D38">
        <w:t xml:space="preserve">a relativa </w:t>
      </w:r>
      <w:r w:rsidR="00912371">
        <w:t>amministrazione</w:t>
      </w:r>
      <w:r w:rsidR="00CA0477">
        <w:t xml:space="preserve"> </w:t>
      </w:r>
      <w:r w:rsidR="00466564">
        <w:rPr>
          <w:rFonts w:ascii="Times New Roman" w:hAnsi="Times New Roman" w:cs="Times New Roman"/>
        </w:rPr>
        <w:t xml:space="preserve">era </w:t>
      </w:r>
      <w:r w:rsidR="00FF6C94">
        <w:rPr>
          <w:rFonts w:ascii="Times New Roman" w:hAnsi="Times New Roman" w:cs="Times New Roman"/>
        </w:rPr>
        <w:t>finalizzat</w:t>
      </w:r>
      <w:r w:rsidR="00466564">
        <w:rPr>
          <w:rFonts w:ascii="Times New Roman" w:hAnsi="Times New Roman" w:cs="Times New Roman"/>
        </w:rPr>
        <w:t>a</w:t>
      </w:r>
      <w:r w:rsidR="00A06D38">
        <w:rPr>
          <w:rFonts w:ascii="Times New Roman" w:hAnsi="Times New Roman" w:cs="Times New Roman"/>
        </w:rPr>
        <w:t xml:space="preserve"> </w:t>
      </w:r>
      <w:r w:rsidR="00FF6C94">
        <w:rPr>
          <w:rFonts w:ascii="Times New Roman" w:hAnsi="Times New Roman" w:cs="Times New Roman"/>
        </w:rPr>
        <w:t xml:space="preserve">a soddisfare i bisogni </w:t>
      </w:r>
      <w:r w:rsidR="00466564">
        <w:rPr>
          <w:rFonts w:ascii="Times New Roman" w:hAnsi="Times New Roman" w:cs="Times New Roman"/>
        </w:rPr>
        <w:t xml:space="preserve">pubblici, compresi quelli </w:t>
      </w:r>
      <w:r w:rsidR="00FF6C94">
        <w:rPr>
          <w:rFonts w:ascii="Times New Roman" w:hAnsi="Times New Roman" w:cs="Times New Roman"/>
        </w:rPr>
        <w:t xml:space="preserve">del </w:t>
      </w:r>
      <w:r w:rsidR="00FF6C94" w:rsidRPr="00FF6C94">
        <w:rPr>
          <w:rFonts w:ascii="Times New Roman" w:hAnsi="Times New Roman" w:cs="Times New Roman"/>
          <w:i/>
        </w:rPr>
        <w:t>princeps</w:t>
      </w:r>
      <w:r w:rsidR="00912371" w:rsidRPr="00912371">
        <w:rPr>
          <w:rFonts w:ascii="Times New Roman" w:hAnsi="Times New Roman" w:cs="Times New Roman"/>
        </w:rPr>
        <w:t xml:space="preserve"> in età imperiale</w:t>
      </w:r>
      <w:r w:rsidR="00CA0477">
        <w:rPr>
          <w:rFonts w:ascii="Times New Roman" w:hAnsi="Times New Roman" w:cs="Times New Roman"/>
        </w:rPr>
        <w:t xml:space="preserve">, ed era affidata ad appositi </w:t>
      </w:r>
      <w:r w:rsidR="00BF1D24">
        <w:rPr>
          <w:rFonts w:ascii="Times New Roman" w:hAnsi="Times New Roman" w:cs="Times New Roman"/>
        </w:rPr>
        <w:t xml:space="preserve">addetti, già definibili </w:t>
      </w:r>
      <w:r w:rsidR="00BF1D24">
        <w:rPr>
          <w:rFonts w:ascii="Times New Roman" w:hAnsi="Times New Roman" w:cs="Times New Roman"/>
          <w:i/>
          <w:iCs/>
        </w:rPr>
        <w:t xml:space="preserve">funzionari </w:t>
      </w:r>
      <w:r w:rsidR="00BF1D24">
        <w:rPr>
          <w:rFonts w:ascii="Times New Roman" w:hAnsi="Times New Roman" w:cs="Times New Roman"/>
        </w:rPr>
        <w:t>in quanto esercenti appunto pubbliche funzioni</w:t>
      </w:r>
      <w:r w:rsidR="00CA0477">
        <w:t xml:space="preserve"> in senso giuridico (par.1.3), delegat</w:t>
      </w:r>
      <w:r w:rsidR="00BF1D24">
        <w:t>e</w:t>
      </w:r>
      <w:r w:rsidR="00CA0477">
        <w:t xml:space="preserve"> dalla politica per conto del</w:t>
      </w:r>
      <w:r w:rsidR="00BF1D24">
        <w:t xml:space="preserve">la collettività (organizzazione </w:t>
      </w:r>
      <w:r w:rsidR="00CA0477">
        <w:t>sociale</w:t>
      </w:r>
      <w:r w:rsidR="00BF1D24">
        <w:t>) nel suo complesso</w:t>
      </w:r>
      <w:r w:rsidR="00CA0477">
        <w:t>.</w:t>
      </w:r>
    </w:p>
    <w:p w14:paraId="5B6C8B9D" w14:textId="60470679" w:rsidR="002178B3" w:rsidRPr="007F7EBF" w:rsidRDefault="00CA0477" w:rsidP="002178B3">
      <w:pPr>
        <w:pStyle w:val="tit23"/>
        <w:ind w:left="6464" w:right="-1361" w:firstLine="0"/>
        <w:jc w:val="left"/>
        <w:rPr>
          <w:bCs/>
          <w:i/>
          <w:iCs/>
          <w:color w:val="0000FF"/>
          <w:lang w:val="it-IT"/>
        </w:rPr>
      </w:pPr>
      <w:r>
        <w:rPr>
          <w:bCs/>
          <w:i/>
          <w:iCs/>
          <w:color w:val="0000FF"/>
          <w:lang w:val="it-IT"/>
        </w:rPr>
        <w:t xml:space="preserve"> </w:t>
      </w:r>
      <w:r w:rsidR="005F2ECE" w:rsidRPr="007F7EBF">
        <w:rPr>
          <w:bCs/>
          <w:i/>
          <w:iCs/>
          <w:color w:val="0000FF"/>
          <w:lang w:val="it-IT"/>
        </w:rPr>
        <w:t xml:space="preserve">debito </w:t>
      </w:r>
      <w:r w:rsidR="00F757AE">
        <w:rPr>
          <w:bCs/>
          <w:i/>
          <w:iCs/>
          <w:color w:val="0000FF"/>
          <w:lang w:val="it-IT"/>
        </w:rPr>
        <w:t xml:space="preserve">e moneta </w:t>
      </w:r>
      <w:r w:rsidR="005F2ECE" w:rsidRPr="007F7EBF">
        <w:rPr>
          <w:bCs/>
          <w:i/>
          <w:iCs/>
          <w:color w:val="0000FF"/>
          <w:lang w:val="it-IT"/>
        </w:rPr>
        <w:t xml:space="preserve">come </w:t>
      </w:r>
      <w:r w:rsidR="003B7D04" w:rsidRPr="007F7EBF">
        <w:rPr>
          <w:bCs/>
          <w:i/>
          <w:iCs/>
          <w:color w:val="0000FF"/>
          <w:lang w:val="it-IT"/>
        </w:rPr>
        <w:t>finanziamento delle spese pubbliche</w:t>
      </w:r>
    </w:p>
    <w:p w14:paraId="6E34FAEC" w14:textId="44F7FABF" w:rsidR="005A65A1" w:rsidRPr="007F7EBF" w:rsidRDefault="006F5AA4" w:rsidP="00C01C8B">
      <w:pPr>
        <w:pStyle w:val="Testorientro"/>
        <w:ind w:firstLine="0"/>
        <w:rPr>
          <w:rFonts w:ascii="Times New Roman" w:hAnsi="Times New Roman" w:cs="Times New Roman"/>
        </w:rPr>
      </w:pPr>
      <w:r>
        <w:rPr>
          <w:rFonts w:ascii="Times New Roman" w:hAnsi="Times New Roman" w:cs="Times New Roman"/>
        </w:rPr>
        <w:t>Il pubblico potere, come garante ultimo dei rapporti giuridici attraverso cui si veicolano i rapporti economici diretti alla soddisfazione dei bisogni, ha più</w:t>
      </w:r>
      <w:r w:rsidR="00034C5E">
        <w:rPr>
          <w:rFonts w:ascii="Times New Roman" w:hAnsi="Times New Roman" w:cs="Times New Roman"/>
        </w:rPr>
        <w:t xml:space="preserve"> possibilità d</w:t>
      </w:r>
      <w:r>
        <w:rPr>
          <w:rFonts w:ascii="Times New Roman" w:hAnsi="Times New Roman" w:cs="Times New Roman"/>
        </w:rPr>
        <w:t>ei privat</w:t>
      </w:r>
      <w:r w:rsidR="00034C5E">
        <w:rPr>
          <w:rFonts w:ascii="Times New Roman" w:hAnsi="Times New Roman" w:cs="Times New Roman"/>
        </w:rPr>
        <w:t xml:space="preserve">i </w:t>
      </w:r>
      <w:r>
        <w:rPr>
          <w:rFonts w:ascii="Times New Roman" w:hAnsi="Times New Roman" w:cs="Times New Roman"/>
        </w:rPr>
        <w:t xml:space="preserve">di </w:t>
      </w:r>
      <w:r w:rsidR="002178B3" w:rsidRPr="007F7EBF">
        <w:rPr>
          <w:rFonts w:ascii="Times New Roman" w:hAnsi="Times New Roman" w:cs="Times New Roman"/>
        </w:rPr>
        <w:t>finanzia</w:t>
      </w:r>
      <w:r w:rsidR="009908B8">
        <w:rPr>
          <w:rFonts w:ascii="Times New Roman" w:hAnsi="Times New Roman" w:cs="Times New Roman"/>
        </w:rPr>
        <w:t>r</w:t>
      </w:r>
      <w:r>
        <w:rPr>
          <w:rFonts w:ascii="Times New Roman" w:hAnsi="Times New Roman" w:cs="Times New Roman"/>
        </w:rPr>
        <w:t xml:space="preserve">e </w:t>
      </w:r>
      <w:r w:rsidR="009908B8">
        <w:rPr>
          <w:rFonts w:ascii="Times New Roman" w:hAnsi="Times New Roman" w:cs="Times New Roman"/>
        </w:rPr>
        <w:t xml:space="preserve">le </w:t>
      </w:r>
      <w:r>
        <w:rPr>
          <w:rFonts w:ascii="Times New Roman" w:hAnsi="Times New Roman" w:cs="Times New Roman"/>
        </w:rPr>
        <w:t xml:space="preserve">proprie </w:t>
      </w:r>
      <w:r w:rsidR="009908B8">
        <w:rPr>
          <w:rFonts w:ascii="Times New Roman" w:hAnsi="Times New Roman" w:cs="Times New Roman"/>
        </w:rPr>
        <w:t xml:space="preserve">spese </w:t>
      </w:r>
      <w:r w:rsidR="00034C5E">
        <w:rPr>
          <w:rFonts w:ascii="Times New Roman" w:hAnsi="Times New Roman" w:cs="Times New Roman"/>
        </w:rPr>
        <w:t xml:space="preserve">con </w:t>
      </w:r>
      <w:r w:rsidR="000A03C8" w:rsidRPr="007F7EBF">
        <w:rPr>
          <w:rFonts w:ascii="Times New Roman" w:hAnsi="Times New Roman" w:cs="Times New Roman"/>
        </w:rPr>
        <w:t>debito</w:t>
      </w:r>
      <w:r w:rsidR="00034C5E">
        <w:rPr>
          <w:rFonts w:ascii="Times New Roman" w:hAnsi="Times New Roman" w:cs="Times New Roman"/>
        </w:rPr>
        <w:t xml:space="preserve">, </w:t>
      </w:r>
      <w:r>
        <w:rPr>
          <w:rFonts w:ascii="Times New Roman" w:hAnsi="Times New Roman" w:cs="Times New Roman"/>
        </w:rPr>
        <w:t xml:space="preserve">come spiegato al capitolo 7 del mio volume </w:t>
      </w:r>
      <w:r w:rsidR="00034C5E">
        <w:rPr>
          <w:rFonts w:ascii="Times New Roman" w:hAnsi="Times New Roman" w:cs="Times New Roman"/>
          <w:bCs/>
        </w:rPr>
        <w:t>di scienza delle finanze</w:t>
      </w:r>
      <w:r w:rsidR="0080491E">
        <w:rPr>
          <w:rFonts w:ascii="Times New Roman" w:hAnsi="Times New Roman" w:cs="Times New Roman"/>
          <w:bCs/>
        </w:rPr>
        <w:t xml:space="preserve">. Come spiegato in tale sede la moneta nasce </w:t>
      </w:r>
      <w:r w:rsidR="00805E88">
        <w:rPr>
          <w:rFonts w:ascii="Times New Roman" w:hAnsi="Times New Roman" w:cs="Times New Roman"/>
          <w:bCs/>
        </w:rPr>
        <w:t xml:space="preserve">nei rapporti </w:t>
      </w:r>
      <w:r w:rsidR="005A22CE">
        <w:rPr>
          <w:rFonts w:ascii="Times New Roman" w:hAnsi="Times New Roman" w:cs="Times New Roman"/>
          <w:bCs/>
        </w:rPr>
        <w:t>economici</w:t>
      </w:r>
      <w:r w:rsidR="000A6EF9" w:rsidRPr="007F7EBF">
        <w:rPr>
          <w:rFonts w:ascii="Times New Roman" w:hAnsi="Times New Roman" w:cs="Times New Roman"/>
        </w:rPr>
        <w:t>, come titolo di "debito-credito", garantito da "moneta merce"</w:t>
      </w:r>
      <w:r w:rsidR="00556CB9">
        <w:rPr>
          <w:rFonts w:ascii="Times New Roman" w:hAnsi="Times New Roman" w:cs="Times New Roman"/>
        </w:rPr>
        <w:t xml:space="preserve">, in genere metallo </w:t>
      </w:r>
      <w:r w:rsidR="00556CB9">
        <w:rPr>
          <w:rFonts w:ascii="Times New Roman" w:hAnsi="Times New Roman" w:cs="Times New Roman"/>
        </w:rPr>
        <w:lastRenderedPageBreak/>
        <w:t xml:space="preserve">prezioso </w:t>
      </w:r>
      <w:r w:rsidR="00736E27" w:rsidRPr="007F7EBF">
        <w:rPr>
          <w:rFonts w:ascii="Times New Roman" w:hAnsi="Times New Roman" w:cs="Times New Roman"/>
        </w:rPr>
        <w:t>(</w:t>
      </w:r>
      <w:r w:rsidR="00736E27" w:rsidRPr="007F7EBF">
        <w:rPr>
          <w:rStyle w:val="Rimandonotaapidipagina"/>
          <w:rFonts w:ascii="Times New Roman" w:hAnsi="Times New Roman"/>
        </w:rPr>
        <w:footnoteReference w:id="13"/>
      </w:r>
      <w:r w:rsidR="00736E27" w:rsidRPr="007F7EBF">
        <w:rPr>
          <w:rFonts w:ascii="Times New Roman" w:hAnsi="Times New Roman" w:cs="Times New Roman"/>
        </w:rPr>
        <w:t>)</w:t>
      </w:r>
      <w:r w:rsidR="00625728">
        <w:rPr>
          <w:rFonts w:ascii="Times New Roman" w:hAnsi="Times New Roman" w:cs="Times New Roman"/>
        </w:rPr>
        <w:t>;</w:t>
      </w:r>
      <w:r w:rsidR="00C86CCD">
        <w:rPr>
          <w:rFonts w:ascii="Times New Roman" w:hAnsi="Times New Roman" w:cs="Times New Roman"/>
        </w:rPr>
        <w:t xml:space="preserve"> c</w:t>
      </w:r>
      <w:r w:rsidR="00D65A29">
        <w:rPr>
          <w:rFonts w:ascii="Times New Roman" w:hAnsi="Times New Roman" w:cs="Times New Roman"/>
        </w:rPr>
        <w:t>on l’abolizione della convertibilità in oro,</w:t>
      </w:r>
      <w:r w:rsidR="000A6EF9" w:rsidRPr="007F7EBF">
        <w:rPr>
          <w:rFonts w:ascii="Times New Roman" w:hAnsi="Times New Roman" w:cs="Times New Roman"/>
        </w:rPr>
        <w:t xml:space="preserve"> la </w:t>
      </w:r>
      <w:r w:rsidR="0080491E">
        <w:rPr>
          <w:rFonts w:ascii="Times New Roman" w:hAnsi="Times New Roman" w:cs="Times New Roman"/>
        </w:rPr>
        <w:t xml:space="preserve">possibilità dello stato di emettere </w:t>
      </w:r>
      <w:r w:rsidR="000A6EF9" w:rsidRPr="007F7EBF">
        <w:rPr>
          <w:rFonts w:ascii="Times New Roman" w:hAnsi="Times New Roman" w:cs="Times New Roman"/>
        </w:rPr>
        <w:t>moneta</w:t>
      </w:r>
      <w:r w:rsidR="0080491E">
        <w:rPr>
          <w:rFonts w:ascii="Times New Roman" w:hAnsi="Times New Roman" w:cs="Times New Roman"/>
        </w:rPr>
        <w:t xml:space="preserve">, basandosi sul proprio credito è ulteriormente cresciuta </w:t>
      </w:r>
      <w:r w:rsidR="00F757AE">
        <w:rPr>
          <w:rFonts w:ascii="Times New Roman" w:hAnsi="Times New Roman" w:cs="Times New Roman"/>
        </w:rPr>
        <w:t>(</w:t>
      </w:r>
      <w:r w:rsidR="000F2998" w:rsidRPr="007F7EBF">
        <w:rPr>
          <w:rStyle w:val="Rimandonotaapidipagina"/>
          <w:rFonts w:ascii="Times New Roman" w:hAnsi="Times New Roman"/>
        </w:rPr>
        <w:footnoteReference w:id="14"/>
      </w:r>
      <w:r w:rsidR="00F757AE">
        <w:rPr>
          <w:rFonts w:ascii="Times New Roman" w:hAnsi="Times New Roman" w:cs="Times New Roman"/>
        </w:rPr>
        <w:t>)</w:t>
      </w:r>
      <w:r w:rsidR="000F2998" w:rsidRPr="007F7EBF">
        <w:rPr>
          <w:rFonts w:ascii="Times New Roman" w:hAnsi="Times New Roman" w:cs="Times New Roman"/>
        </w:rPr>
        <w:t xml:space="preserve">. </w:t>
      </w:r>
      <w:r w:rsidR="0080491E">
        <w:rPr>
          <w:rFonts w:ascii="Times New Roman" w:hAnsi="Times New Roman" w:cs="Times New Roman"/>
        </w:rPr>
        <w:t>L</w:t>
      </w:r>
      <w:r w:rsidR="005A22CE">
        <w:rPr>
          <w:rFonts w:ascii="Times New Roman" w:hAnsi="Times New Roman" w:cs="Times New Roman"/>
        </w:rPr>
        <w:t>o stato</w:t>
      </w:r>
      <w:r w:rsidR="0080491E">
        <w:rPr>
          <w:rFonts w:ascii="Times New Roman" w:hAnsi="Times New Roman" w:cs="Times New Roman"/>
        </w:rPr>
        <w:t xml:space="preserve"> può usare questa flessibilità per creare reddito, soddisfacendo bisogni, oppure per </w:t>
      </w:r>
      <w:r w:rsidR="005A22CE">
        <w:rPr>
          <w:rFonts w:ascii="Times New Roman" w:hAnsi="Times New Roman" w:cs="Times New Roman"/>
        </w:rPr>
        <w:t>soddisfa</w:t>
      </w:r>
      <w:r w:rsidR="0080491E">
        <w:rPr>
          <w:rFonts w:ascii="Times New Roman" w:hAnsi="Times New Roman" w:cs="Times New Roman"/>
        </w:rPr>
        <w:t>r</w:t>
      </w:r>
      <w:r w:rsidR="005A22CE">
        <w:rPr>
          <w:rFonts w:ascii="Times New Roman" w:hAnsi="Times New Roman" w:cs="Times New Roman"/>
        </w:rPr>
        <w:t xml:space="preserve">e </w:t>
      </w:r>
      <w:r w:rsidR="00074979">
        <w:rPr>
          <w:rFonts w:ascii="Times New Roman" w:hAnsi="Times New Roman" w:cs="Times New Roman"/>
        </w:rPr>
        <w:t>“consumi a debito”</w:t>
      </w:r>
      <w:r w:rsidR="00F757AE">
        <w:rPr>
          <w:rFonts w:ascii="Times New Roman" w:hAnsi="Times New Roman" w:cs="Times New Roman"/>
        </w:rPr>
        <w:t>(</w:t>
      </w:r>
      <w:r w:rsidR="00BB1B41" w:rsidRPr="007F7EBF">
        <w:rPr>
          <w:rStyle w:val="Rimandonotaapidipagina"/>
          <w:rFonts w:ascii="Times New Roman" w:hAnsi="Times New Roman"/>
        </w:rPr>
        <w:footnoteReference w:id="15"/>
      </w:r>
      <w:r w:rsidR="00F757AE">
        <w:rPr>
          <w:rFonts w:ascii="Times New Roman" w:hAnsi="Times New Roman" w:cs="Times New Roman"/>
        </w:rPr>
        <w:t>)</w:t>
      </w:r>
      <w:r w:rsidR="000F2998" w:rsidRPr="007F7EBF">
        <w:rPr>
          <w:rFonts w:ascii="Times New Roman" w:hAnsi="Times New Roman" w:cs="Times New Roman"/>
        </w:rPr>
        <w:t>.</w:t>
      </w:r>
      <w:r w:rsidR="003C75B0">
        <w:t xml:space="preserve"> </w:t>
      </w:r>
      <w:r w:rsidR="00BF1D24">
        <w:t>A questa po</w:t>
      </w:r>
      <w:r w:rsidR="0080491E">
        <w:t>ssibil</w:t>
      </w:r>
      <w:r w:rsidR="00BF1D24">
        <w:t>ità di</w:t>
      </w:r>
      <w:r w:rsidR="0080491E">
        <w:t xml:space="preserve"> </w:t>
      </w:r>
      <w:r w:rsidR="00625728" w:rsidRPr="007F7EBF">
        <w:rPr>
          <w:sz w:val="20"/>
          <w:szCs w:val="20"/>
        </w:rPr>
        <w:t>“</w:t>
      </w:r>
      <w:r w:rsidR="0080491E">
        <w:rPr>
          <w:sz w:val="20"/>
          <w:szCs w:val="20"/>
        </w:rPr>
        <w:t>s</w:t>
      </w:r>
      <w:r w:rsidR="00625728" w:rsidRPr="007F7EBF">
        <w:rPr>
          <w:sz w:val="20"/>
          <w:szCs w:val="20"/>
        </w:rPr>
        <w:t xml:space="preserve">tampare moneta”, </w:t>
      </w:r>
      <w:r w:rsidR="00D05C20">
        <w:rPr>
          <w:sz w:val="20"/>
          <w:szCs w:val="20"/>
        </w:rPr>
        <w:t>non</w:t>
      </w:r>
      <w:r w:rsidR="00625728" w:rsidRPr="007F7EBF">
        <w:rPr>
          <w:sz w:val="20"/>
          <w:szCs w:val="20"/>
        </w:rPr>
        <w:t xml:space="preserve"> </w:t>
      </w:r>
      <w:r w:rsidR="00BF1D24">
        <w:rPr>
          <w:sz w:val="20"/>
          <w:szCs w:val="20"/>
        </w:rPr>
        <w:t xml:space="preserve">corrisponde </w:t>
      </w:r>
      <w:r w:rsidR="00625728" w:rsidRPr="007F7EBF">
        <w:rPr>
          <w:sz w:val="20"/>
          <w:szCs w:val="20"/>
        </w:rPr>
        <w:t xml:space="preserve">certo </w:t>
      </w:r>
      <w:r w:rsidR="00BF1D24">
        <w:rPr>
          <w:sz w:val="20"/>
          <w:szCs w:val="20"/>
        </w:rPr>
        <w:t>quella di</w:t>
      </w:r>
      <w:r w:rsidR="0080491E">
        <w:rPr>
          <w:sz w:val="20"/>
          <w:szCs w:val="20"/>
        </w:rPr>
        <w:t xml:space="preserve"> </w:t>
      </w:r>
      <w:r w:rsidR="00D65A29">
        <w:rPr>
          <w:sz w:val="20"/>
          <w:szCs w:val="20"/>
        </w:rPr>
        <w:t xml:space="preserve"> </w:t>
      </w:r>
      <w:r w:rsidR="00625728" w:rsidRPr="007F7EBF">
        <w:rPr>
          <w:sz w:val="20"/>
          <w:szCs w:val="20"/>
        </w:rPr>
        <w:t>“stampa</w:t>
      </w:r>
      <w:r w:rsidR="00D05C20">
        <w:rPr>
          <w:sz w:val="20"/>
          <w:szCs w:val="20"/>
        </w:rPr>
        <w:t>re</w:t>
      </w:r>
      <w:r w:rsidR="00625728" w:rsidRPr="007F7EBF">
        <w:rPr>
          <w:sz w:val="20"/>
          <w:szCs w:val="20"/>
        </w:rPr>
        <w:t>” cibo, vestiario</w:t>
      </w:r>
      <w:r w:rsidR="00BF1D24">
        <w:rPr>
          <w:sz w:val="20"/>
          <w:szCs w:val="20"/>
        </w:rPr>
        <w:t>,</w:t>
      </w:r>
      <w:r w:rsidR="00625728" w:rsidRPr="007F7EBF">
        <w:rPr>
          <w:sz w:val="20"/>
          <w:szCs w:val="20"/>
        </w:rPr>
        <w:t xml:space="preserve"> medicinali</w:t>
      </w:r>
      <w:r w:rsidR="00BF1D24">
        <w:rPr>
          <w:sz w:val="20"/>
          <w:szCs w:val="20"/>
        </w:rPr>
        <w:t xml:space="preserve"> o altri beni della vita, </w:t>
      </w:r>
      <w:r w:rsidR="00625728" w:rsidRPr="007F7EBF">
        <w:rPr>
          <w:sz w:val="20"/>
          <w:szCs w:val="20"/>
        </w:rPr>
        <w:t xml:space="preserve">che </w:t>
      </w:r>
      <w:r w:rsidR="00625728">
        <w:rPr>
          <w:sz w:val="20"/>
          <w:szCs w:val="20"/>
        </w:rPr>
        <w:t>devono</w:t>
      </w:r>
      <w:r w:rsidR="00625728" w:rsidRPr="007F7EBF">
        <w:rPr>
          <w:sz w:val="20"/>
          <w:szCs w:val="20"/>
        </w:rPr>
        <w:t xml:space="preserve"> invece </w:t>
      </w:r>
      <w:r w:rsidR="00625728">
        <w:rPr>
          <w:sz w:val="20"/>
          <w:szCs w:val="20"/>
        </w:rPr>
        <w:t xml:space="preserve">provenire da </w:t>
      </w:r>
      <w:r w:rsidR="00D05C20">
        <w:rPr>
          <w:sz w:val="20"/>
          <w:szCs w:val="20"/>
        </w:rPr>
        <w:t>attività</w:t>
      </w:r>
      <w:r w:rsidR="00625728">
        <w:rPr>
          <w:sz w:val="20"/>
          <w:szCs w:val="20"/>
        </w:rPr>
        <w:t xml:space="preserve"> </w:t>
      </w:r>
      <w:r w:rsidR="00625728" w:rsidRPr="007F7EBF">
        <w:rPr>
          <w:sz w:val="20"/>
          <w:szCs w:val="20"/>
        </w:rPr>
        <w:t>economic</w:t>
      </w:r>
      <w:r w:rsidR="00D05C20">
        <w:rPr>
          <w:sz w:val="20"/>
          <w:szCs w:val="20"/>
        </w:rPr>
        <w:t>he</w:t>
      </w:r>
      <w:r w:rsidR="00625728">
        <w:rPr>
          <w:sz w:val="20"/>
          <w:szCs w:val="20"/>
        </w:rPr>
        <w:t>, nazional</w:t>
      </w:r>
      <w:r w:rsidR="00D05C20">
        <w:rPr>
          <w:sz w:val="20"/>
          <w:szCs w:val="20"/>
        </w:rPr>
        <w:t>i</w:t>
      </w:r>
      <w:r w:rsidR="00625728">
        <w:rPr>
          <w:sz w:val="20"/>
          <w:szCs w:val="20"/>
        </w:rPr>
        <w:t xml:space="preserve"> o ester</w:t>
      </w:r>
      <w:r w:rsidR="00D05C20">
        <w:rPr>
          <w:sz w:val="20"/>
          <w:szCs w:val="20"/>
        </w:rPr>
        <w:t>e, a conferma dell’impossibilità di soddisfare bisogni per legge</w:t>
      </w:r>
      <w:r w:rsidR="00D26815">
        <w:rPr>
          <w:sz w:val="20"/>
          <w:szCs w:val="20"/>
        </w:rPr>
        <w:t>(</w:t>
      </w:r>
      <w:r w:rsidR="00D26815">
        <w:rPr>
          <w:rStyle w:val="Rimandonotaapidipagina"/>
          <w:sz w:val="20"/>
          <w:szCs w:val="20"/>
        </w:rPr>
        <w:footnoteReference w:id="16"/>
      </w:r>
      <w:r w:rsidR="00D26815">
        <w:rPr>
          <w:sz w:val="20"/>
          <w:szCs w:val="20"/>
        </w:rPr>
        <w:t>)</w:t>
      </w:r>
      <w:r w:rsidR="00625728" w:rsidRPr="007F7EBF">
        <w:rPr>
          <w:sz w:val="20"/>
          <w:szCs w:val="20"/>
        </w:rPr>
        <w:t>.</w:t>
      </w:r>
      <w:r w:rsidR="00625728">
        <w:rPr>
          <w:sz w:val="20"/>
          <w:szCs w:val="20"/>
        </w:rPr>
        <w:t xml:space="preserve"> </w:t>
      </w:r>
      <w:r w:rsidR="00D05C20">
        <w:rPr>
          <w:sz w:val="20"/>
          <w:szCs w:val="20"/>
        </w:rPr>
        <w:t>E</w:t>
      </w:r>
      <w:r w:rsidR="003C75B0">
        <w:t>mette</w:t>
      </w:r>
      <w:r w:rsidR="00D05C20">
        <w:t>re</w:t>
      </w:r>
      <w:r w:rsidR="003C75B0">
        <w:t xml:space="preserve"> moneta senza organizzare attività socialmente apprezzabili, cioè “produrre reddito”, comporta </w:t>
      </w:r>
      <w:r w:rsidR="00BF1D24">
        <w:t xml:space="preserve">alla lunga </w:t>
      </w:r>
      <w:r w:rsidR="003C75B0">
        <w:t>crisi di credibilità presso i creditori</w:t>
      </w:r>
      <w:r w:rsidR="00BF1D24">
        <w:t xml:space="preserve">, in quanto neppure </w:t>
      </w:r>
      <w:r w:rsidR="003C75B0">
        <w:t xml:space="preserve">il credito del settore pubblico </w:t>
      </w:r>
      <w:r w:rsidR="00BF1D24">
        <w:t>è illimitato</w:t>
      </w:r>
      <w:r w:rsidR="00B00FEA">
        <w:rPr>
          <w:sz w:val="20"/>
          <w:szCs w:val="20"/>
        </w:rPr>
        <w:t xml:space="preserve"> </w:t>
      </w:r>
      <w:r w:rsidR="00B00FEA">
        <w:rPr>
          <w:rFonts w:ascii="Times New Roman" w:hAnsi="Times New Roman" w:cs="Times New Roman"/>
        </w:rPr>
        <w:t>(</w:t>
      </w:r>
      <w:r w:rsidR="00B00FEA" w:rsidRPr="007F7EBF">
        <w:rPr>
          <w:rStyle w:val="Rimandonotaapidipagina"/>
          <w:rFonts w:ascii="Times New Roman" w:hAnsi="Times New Roman"/>
        </w:rPr>
        <w:footnoteReference w:id="17"/>
      </w:r>
      <w:r w:rsidR="00B00FEA">
        <w:rPr>
          <w:rFonts w:ascii="Times New Roman" w:hAnsi="Times New Roman" w:cs="Times New Roman"/>
        </w:rPr>
        <w:t>)</w:t>
      </w:r>
      <w:r w:rsidR="00B00FEA" w:rsidRPr="007F7EBF">
        <w:rPr>
          <w:rFonts w:ascii="Times New Roman" w:hAnsi="Times New Roman" w:cs="Times New Roman"/>
        </w:rPr>
        <w:t xml:space="preserve">. </w:t>
      </w:r>
    </w:p>
    <w:p w14:paraId="785C940B" w14:textId="51AA427B" w:rsidR="0002752E" w:rsidRPr="007F7EBF" w:rsidRDefault="00055460" w:rsidP="00055460">
      <w:pPr>
        <w:pStyle w:val="Titolo3"/>
        <w:numPr>
          <w:ilvl w:val="1"/>
          <w:numId w:val="2"/>
        </w:numPr>
        <w:rPr>
          <w:rFonts w:ascii="Times New Roman" w:hAnsi="Times New Roman"/>
          <w:sz w:val="22"/>
          <w:szCs w:val="22"/>
        </w:rPr>
      </w:pPr>
      <w:bookmarkStart w:id="7" w:name="_Toc63364928"/>
      <w:r>
        <w:rPr>
          <w:rFonts w:ascii="Times New Roman" w:hAnsi="Times New Roman"/>
          <w:sz w:val="22"/>
          <w:szCs w:val="22"/>
          <w:lang w:val="it-IT"/>
        </w:rPr>
        <w:t>D</w:t>
      </w:r>
      <w:r w:rsidR="00C16421">
        <w:rPr>
          <w:rFonts w:ascii="Times New Roman" w:hAnsi="Times New Roman"/>
          <w:sz w:val="22"/>
          <w:szCs w:val="22"/>
          <w:lang w:val="it-IT"/>
        </w:rPr>
        <w:t xml:space="preserve">al </w:t>
      </w:r>
      <w:r w:rsidR="00FE0373">
        <w:rPr>
          <w:rFonts w:ascii="Times New Roman" w:hAnsi="Times New Roman"/>
          <w:sz w:val="22"/>
          <w:szCs w:val="22"/>
          <w:lang w:val="it-IT"/>
        </w:rPr>
        <w:t>principio</w:t>
      </w:r>
      <w:r w:rsidR="00FD1B05" w:rsidRPr="007F7EBF">
        <w:rPr>
          <w:rFonts w:ascii="Times New Roman" w:hAnsi="Times New Roman"/>
          <w:sz w:val="22"/>
          <w:szCs w:val="22"/>
          <w:lang w:val="it-IT"/>
        </w:rPr>
        <w:t xml:space="preserve"> del beneficio (tasse e tariffe) </w:t>
      </w:r>
      <w:r>
        <w:rPr>
          <w:rFonts w:ascii="Times New Roman" w:hAnsi="Times New Roman"/>
          <w:sz w:val="22"/>
          <w:szCs w:val="22"/>
          <w:lang w:val="it-IT"/>
        </w:rPr>
        <w:t>alle imposte (</w:t>
      </w:r>
      <w:r w:rsidR="004C5D42">
        <w:rPr>
          <w:rFonts w:ascii="Times New Roman" w:hAnsi="Times New Roman"/>
          <w:sz w:val="22"/>
          <w:szCs w:val="22"/>
          <w:lang w:val="it-IT"/>
        </w:rPr>
        <w:t>“</w:t>
      </w:r>
      <w:r w:rsidR="00FD1B05" w:rsidRPr="007F7EBF">
        <w:rPr>
          <w:rFonts w:ascii="Times New Roman" w:hAnsi="Times New Roman"/>
          <w:sz w:val="22"/>
          <w:szCs w:val="22"/>
          <w:lang w:val="it-IT"/>
        </w:rPr>
        <w:t>sacrificio</w:t>
      </w:r>
      <w:r w:rsidR="004C5D42">
        <w:rPr>
          <w:rFonts w:ascii="Times New Roman" w:hAnsi="Times New Roman"/>
          <w:sz w:val="22"/>
          <w:szCs w:val="22"/>
          <w:lang w:val="it-IT"/>
        </w:rPr>
        <w:t>”</w:t>
      </w:r>
      <w:r>
        <w:rPr>
          <w:rFonts w:ascii="Times New Roman" w:hAnsi="Times New Roman"/>
          <w:sz w:val="22"/>
          <w:szCs w:val="22"/>
          <w:lang w:val="it-IT"/>
        </w:rPr>
        <w:t>)</w:t>
      </w:r>
      <w:r w:rsidR="00C16421">
        <w:rPr>
          <w:rFonts w:ascii="Times New Roman" w:hAnsi="Times New Roman"/>
          <w:sz w:val="22"/>
          <w:szCs w:val="22"/>
          <w:lang w:val="it-IT"/>
        </w:rPr>
        <w:t xml:space="preserve"> </w:t>
      </w:r>
      <w:r>
        <w:rPr>
          <w:rFonts w:ascii="Times New Roman" w:hAnsi="Times New Roman"/>
          <w:sz w:val="22"/>
          <w:szCs w:val="22"/>
          <w:lang w:val="it-IT"/>
        </w:rPr>
        <w:t>come centro della funzione tributaria</w:t>
      </w:r>
      <w:bookmarkEnd w:id="7"/>
    </w:p>
    <w:p w14:paraId="12A85E23" w14:textId="1D339CD4" w:rsidR="0002752E" w:rsidRPr="007F7EBF" w:rsidRDefault="003F11D3" w:rsidP="0002752E">
      <w:pPr>
        <w:pStyle w:val="tit23"/>
        <w:ind w:left="6464" w:right="-1361" w:firstLine="0"/>
        <w:jc w:val="left"/>
        <w:rPr>
          <w:bCs/>
          <w:i/>
          <w:iCs/>
          <w:color w:val="0000FF"/>
          <w:lang w:val="it-IT"/>
        </w:rPr>
      </w:pPr>
      <w:r>
        <w:rPr>
          <w:bCs/>
          <w:i/>
          <w:iCs/>
          <w:color w:val="0000FF"/>
          <w:lang w:val="it-IT"/>
        </w:rPr>
        <w:t>Ispirazione al mercato del</w:t>
      </w:r>
      <w:r w:rsidR="000624DD" w:rsidRPr="007F7EBF">
        <w:rPr>
          <w:bCs/>
          <w:i/>
          <w:iCs/>
          <w:color w:val="0000FF"/>
          <w:lang w:val="it-IT"/>
        </w:rPr>
        <w:t xml:space="preserve"> principio del b</w:t>
      </w:r>
      <w:r w:rsidR="0002752E" w:rsidRPr="007F7EBF">
        <w:rPr>
          <w:bCs/>
          <w:i/>
          <w:iCs/>
          <w:color w:val="0000FF"/>
          <w:lang w:val="it-IT"/>
        </w:rPr>
        <w:t>eneficio</w:t>
      </w:r>
      <w:r w:rsidR="000624DD" w:rsidRPr="007F7EBF">
        <w:rPr>
          <w:bCs/>
          <w:i/>
          <w:iCs/>
          <w:color w:val="0000FF"/>
          <w:lang w:val="it-IT"/>
        </w:rPr>
        <w:t xml:space="preserve">: </w:t>
      </w:r>
      <w:r w:rsidR="00712805">
        <w:rPr>
          <w:bCs/>
          <w:i/>
          <w:iCs/>
          <w:color w:val="0000FF"/>
          <w:lang w:val="it-IT"/>
        </w:rPr>
        <w:t>tariffe</w:t>
      </w:r>
      <w:r w:rsidR="00712805" w:rsidRPr="007F7EBF">
        <w:rPr>
          <w:bCs/>
          <w:i/>
          <w:iCs/>
          <w:color w:val="0000FF"/>
          <w:lang w:val="it-IT"/>
        </w:rPr>
        <w:t xml:space="preserve"> </w:t>
      </w:r>
      <w:r w:rsidR="00712805">
        <w:rPr>
          <w:bCs/>
          <w:i/>
          <w:iCs/>
          <w:color w:val="0000FF"/>
          <w:lang w:val="it-IT"/>
        </w:rPr>
        <w:t xml:space="preserve">e </w:t>
      </w:r>
      <w:r w:rsidR="000624DD" w:rsidRPr="007F7EBF">
        <w:rPr>
          <w:bCs/>
          <w:i/>
          <w:iCs/>
          <w:color w:val="0000FF"/>
          <w:lang w:val="it-IT"/>
        </w:rPr>
        <w:t>tasse in senso stretto</w:t>
      </w:r>
      <w:r w:rsidR="005509FC">
        <w:rPr>
          <w:bCs/>
          <w:i/>
          <w:iCs/>
          <w:color w:val="0000FF"/>
          <w:lang w:val="it-IT"/>
        </w:rPr>
        <w:t xml:space="preserve"> </w:t>
      </w:r>
    </w:p>
    <w:p w14:paraId="24076683" w14:textId="3A67262E" w:rsidR="005509FC" w:rsidRDefault="001076D8" w:rsidP="0002752E">
      <w:pPr>
        <w:autoSpaceDE w:val="0"/>
        <w:autoSpaceDN w:val="0"/>
        <w:adjustRightInd w:val="0"/>
        <w:rPr>
          <w:sz w:val="22"/>
          <w:szCs w:val="22"/>
        </w:rPr>
      </w:pPr>
      <w:r>
        <w:rPr>
          <w:sz w:val="22"/>
          <w:szCs w:val="22"/>
        </w:rPr>
        <w:t xml:space="preserve">La </w:t>
      </w:r>
      <w:r w:rsidR="00B312AB">
        <w:rPr>
          <w:sz w:val="22"/>
          <w:szCs w:val="22"/>
        </w:rPr>
        <w:t xml:space="preserve">spesa pubblica può </w:t>
      </w:r>
      <w:r>
        <w:rPr>
          <w:sz w:val="22"/>
          <w:szCs w:val="22"/>
        </w:rPr>
        <w:t>anche essere sopportata dai soggetti cui si riferiscono</w:t>
      </w:r>
      <w:r w:rsidR="00B312AB">
        <w:rPr>
          <w:sz w:val="22"/>
          <w:szCs w:val="22"/>
        </w:rPr>
        <w:t xml:space="preserve"> spese c.d. </w:t>
      </w:r>
      <w:r w:rsidR="00AB0ABD">
        <w:rPr>
          <w:sz w:val="22"/>
          <w:szCs w:val="22"/>
        </w:rPr>
        <w:t>“</w:t>
      </w:r>
      <w:r w:rsidR="00B312AB">
        <w:rPr>
          <w:sz w:val="22"/>
          <w:szCs w:val="22"/>
        </w:rPr>
        <w:t>di</w:t>
      </w:r>
      <w:r w:rsidR="00AB0ABD">
        <w:rPr>
          <w:sz w:val="22"/>
          <w:szCs w:val="22"/>
        </w:rPr>
        <w:t>visibili”</w:t>
      </w:r>
      <w:r>
        <w:rPr>
          <w:sz w:val="22"/>
          <w:szCs w:val="22"/>
        </w:rPr>
        <w:t xml:space="preserve">. </w:t>
      </w:r>
      <w:r w:rsidR="00B312AB">
        <w:rPr>
          <w:sz w:val="22"/>
          <w:szCs w:val="22"/>
        </w:rPr>
        <w:t>E’</w:t>
      </w:r>
      <w:r w:rsidR="00AB0ABD">
        <w:rPr>
          <w:sz w:val="22"/>
          <w:szCs w:val="22"/>
        </w:rPr>
        <w:t xml:space="preserve"> </w:t>
      </w:r>
      <w:r w:rsidR="005509FC">
        <w:rPr>
          <w:sz w:val="22"/>
          <w:szCs w:val="22"/>
        </w:rPr>
        <w:t>i</w:t>
      </w:r>
      <w:r w:rsidR="0075439B">
        <w:rPr>
          <w:sz w:val="22"/>
          <w:szCs w:val="22"/>
        </w:rPr>
        <w:t xml:space="preserve">l </w:t>
      </w:r>
      <w:r w:rsidR="00AB0ABD">
        <w:rPr>
          <w:sz w:val="22"/>
          <w:szCs w:val="22"/>
        </w:rPr>
        <w:t xml:space="preserve">criterio </w:t>
      </w:r>
      <w:r w:rsidR="0075439B">
        <w:rPr>
          <w:sz w:val="22"/>
          <w:szCs w:val="22"/>
        </w:rPr>
        <w:t xml:space="preserve">definito dagli economisti </w:t>
      </w:r>
      <w:r w:rsidR="0075439B">
        <w:rPr>
          <w:sz w:val="22"/>
          <w:szCs w:val="22"/>
        </w:rPr>
        <w:lastRenderedPageBreak/>
        <w:t>“</w:t>
      </w:r>
      <w:r w:rsidR="005509FC">
        <w:rPr>
          <w:sz w:val="22"/>
          <w:szCs w:val="22"/>
        </w:rPr>
        <w:t xml:space="preserve">del beneficio”, </w:t>
      </w:r>
      <w:r w:rsidR="00433405">
        <w:rPr>
          <w:sz w:val="22"/>
          <w:szCs w:val="22"/>
        </w:rPr>
        <w:t>in quanto l’entrata</w:t>
      </w:r>
      <w:r w:rsidR="00433405" w:rsidRPr="00433405">
        <w:rPr>
          <w:sz w:val="22"/>
          <w:szCs w:val="22"/>
        </w:rPr>
        <w:t xml:space="preserve"> </w:t>
      </w:r>
      <w:r w:rsidR="00261AD8">
        <w:rPr>
          <w:sz w:val="22"/>
          <w:szCs w:val="22"/>
        </w:rPr>
        <w:t>pubblica</w:t>
      </w:r>
      <w:r w:rsidR="00562F62" w:rsidRPr="00433405">
        <w:rPr>
          <w:sz w:val="22"/>
          <w:szCs w:val="22"/>
        </w:rPr>
        <w:t xml:space="preserve"> </w:t>
      </w:r>
      <w:r w:rsidR="00433405" w:rsidRPr="00433405">
        <w:rPr>
          <w:sz w:val="22"/>
          <w:szCs w:val="22"/>
        </w:rPr>
        <w:t>proviene</w:t>
      </w:r>
      <w:r w:rsidR="005509FC">
        <w:rPr>
          <w:sz w:val="22"/>
          <w:szCs w:val="22"/>
        </w:rPr>
        <w:t xml:space="preserve"> dai destinatari specifici di funzioni o servizi pubblici. </w:t>
      </w:r>
      <w:proofErr w:type="spellStart"/>
      <w:r w:rsidR="00261AD8">
        <w:rPr>
          <w:sz w:val="22"/>
          <w:szCs w:val="22"/>
        </w:rPr>
        <w:t>é</w:t>
      </w:r>
      <w:proofErr w:type="spellEnd"/>
    </w:p>
    <w:p w14:paraId="030A61F2" w14:textId="77777777" w:rsidR="00712805" w:rsidRDefault="005509FC" w:rsidP="0002752E">
      <w:pPr>
        <w:autoSpaceDE w:val="0"/>
        <w:autoSpaceDN w:val="0"/>
        <w:adjustRightInd w:val="0"/>
        <w:rPr>
          <w:sz w:val="22"/>
          <w:szCs w:val="22"/>
        </w:rPr>
      </w:pPr>
      <w:r>
        <w:rPr>
          <w:sz w:val="22"/>
          <w:szCs w:val="22"/>
        </w:rPr>
        <w:t>A</w:t>
      </w:r>
      <w:r w:rsidR="00261AD8">
        <w:rPr>
          <w:sz w:val="22"/>
          <w:szCs w:val="22"/>
        </w:rPr>
        <w:t xml:space="preserve"> questo</w:t>
      </w:r>
      <w:r>
        <w:rPr>
          <w:sz w:val="22"/>
          <w:szCs w:val="22"/>
        </w:rPr>
        <w:t xml:space="preserve"> principio si ispirano le “tariffe”, corrispondenti a </w:t>
      </w:r>
      <w:r w:rsidRPr="005509FC">
        <w:rPr>
          <w:b/>
          <w:sz w:val="22"/>
          <w:szCs w:val="22"/>
        </w:rPr>
        <w:t>pubblici servizi,</w:t>
      </w:r>
      <w:r>
        <w:rPr>
          <w:sz w:val="22"/>
          <w:szCs w:val="22"/>
        </w:rPr>
        <w:t xml:space="preserve"> come  </w:t>
      </w:r>
      <w:r w:rsidRPr="007F7EBF">
        <w:rPr>
          <w:sz w:val="22"/>
          <w:szCs w:val="22"/>
        </w:rPr>
        <w:t xml:space="preserve">trasporti,  </w:t>
      </w:r>
      <w:r>
        <w:rPr>
          <w:sz w:val="22"/>
          <w:szCs w:val="22"/>
        </w:rPr>
        <w:t xml:space="preserve">infrastrutture, </w:t>
      </w:r>
      <w:r w:rsidRPr="007F7EBF">
        <w:rPr>
          <w:sz w:val="22"/>
          <w:szCs w:val="22"/>
        </w:rPr>
        <w:t>comunicazioni, reti energetiche</w:t>
      </w:r>
      <w:r>
        <w:rPr>
          <w:sz w:val="22"/>
          <w:szCs w:val="22"/>
        </w:rPr>
        <w:t xml:space="preserve">, </w:t>
      </w:r>
      <w:r w:rsidRPr="005509FC">
        <w:rPr>
          <w:sz w:val="22"/>
          <w:szCs w:val="22"/>
        </w:rPr>
        <w:t xml:space="preserve"> </w:t>
      </w:r>
      <w:r>
        <w:rPr>
          <w:sz w:val="22"/>
          <w:szCs w:val="22"/>
        </w:rPr>
        <w:t>e di cui si esclude il carattere “tributario” (par.5.1)</w:t>
      </w:r>
      <w:r w:rsidRPr="007F7EBF">
        <w:rPr>
          <w:sz w:val="22"/>
          <w:szCs w:val="22"/>
        </w:rPr>
        <w:t>.</w:t>
      </w:r>
      <w:r>
        <w:rPr>
          <w:sz w:val="22"/>
          <w:szCs w:val="22"/>
        </w:rPr>
        <w:t xml:space="preserve"> Le tariffe si differenziano dagli </w:t>
      </w:r>
      <w:r w:rsidR="00485D05">
        <w:rPr>
          <w:sz w:val="22"/>
          <w:szCs w:val="22"/>
        </w:rPr>
        <w:t xml:space="preserve">ordinari </w:t>
      </w:r>
      <w:r>
        <w:rPr>
          <w:sz w:val="22"/>
          <w:szCs w:val="22"/>
        </w:rPr>
        <w:t>prezzi</w:t>
      </w:r>
      <w:r w:rsidR="00926C81">
        <w:rPr>
          <w:sz w:val="22"/>
          <w:szCs w:val="22"/>
        </w:rPr>
        <w:t xml:space="preserve"> di mercato</w:t>
      </w:r>
      <w:r>
        <w:rPr>
          <w:sz w:val="22"/>
          <w:szCs w:val="22"/>
        </w:rPr>
        <w:t xml:space="preserve"> perché</w:t>
      </w:r>
      <w:r w:rsidR="00261AD8">
        <w:rPr>
          <w:sz w:val="22"/>
          <w:szCs w:val="22"/>
        </w:rPr>
        <w:t xml:space="preserve"> c’è un interesse pubblico alle prestazioni sottostanti, ad esempio idriche o energetiche,  ed i prezzi sono variamente sorvegliati</w:t>
      </w:r>
      <w:r w:rsidR="00712805">
        <w:rPr>
          <w:sz w:val="22"/>
          <w:szCs w:val="22"/>
        </w:rPr>
        <w:t>, nei modi di cui al par.5.1.</w:t>
      </w:r>
    </w:p>
    <w:p w14:paraId="60302D2B" w14:textId="4DA76B60" w:rsidR="0002752E" w:rsidRPr="007F7EBF" w:rsidRDefault="00712805" w:rsidP="0002752E">
      <w:pPr>
        <w:autoSpaceDE w:val="0"/>
        <w:autoSpaceDN w:val="0"/>
        <w:adjustRightInd w:val="0"/>
        <w:rPr>
          <w:sz w:val="22"/>
          <w:szCs w:val="22"/>
        </w:rPr>
      </w:pPr>
      <w:r>
        <w:rPr>
          <w:sz w:val="22"/>
          <w:szCs w:val="22"/>
        </w:rPr>
        <w:t xml:space="preserve">La "tassa" in senso stretto è invece un tributo riferito a </w:t>
      </w:r>
      <w:r>
        <w:rPr>
          <w:b/>
          <w:sz w:val="22"/>
          <w:szCs w:val="22"/>
        </w:rPr>
        <w:t>funzioni pubbliche</w:t>
      </w:r>
      <w:r>
        <w:rPr>
          <w:sz w:val="22"/>
          <w:szCs w:val="22"/>
        </w:rPr>
        <w:t>, come giustizia, sicurezza, sanità, istruzione; qui siamo di fronte a una mera riferibilità della spesa a un certo destinatario, non a un vero e proprio scambio, come confermano i pagamenti che il privato non richiede, ma vorrebbe evitare, come quelli per il  mantenimento in carcere o il processo penale (</w:t>
      </w:r>
      <w:r>
        <w:rPr>
          <w:rStyle w:val="Rimandonotaapidipagina"/>
          <w:sz w:val="22"/>
          <w:szCs w:val="22"/>
        </w:rPr>
        <w:footnoteReference w:id="18"/>
      </w:r>
      <w:r>
        <w:rPr>
          <w:sz w:val="22"/>
          <w:szCs w:val="22"/>
        </w:rPr>
        <w:t xml:space="preserve">). </w:t>
      </w:r>
    </w:p>
    <w:p w14:paraId="3341BD43" w14:textId="20392603" w:rsidR="0002752E" w:rsidRPr="007F7EBF" w:rsidRDefault="00A64B7A" w:rsidP="0002752E">
      <w:pPr>
        <w:pStyle w:val="tit23"/>
        <w:ind w:left="6464" w:right="-1361" w:firstLine="0"/>
        <w:jc w:val="left"/>
        <w:rPr>
          <w:bCs/>
          <w:i/>
          <w:iCs/>
          <w:color w:val="0000FF"/>
          <w:lang w:val="it-IT"/>
        </w:rPr>
      </w:pPr>
      <w:r>
        <w:rPr>
          <w:bCs/>
          <w:i/>
          <w:iCs/>
          <w:color w:val="0000FF"/>
          <w:lang w:val="it-IT"/>
        </w:rPr>
        <w:t>S</w:t>
      </w:r>
      <w:r w:rsidR="003F11D3">
        <w:rPr>
          <w:bCs/>
          <w:i/>
          <w:iCs/>
          <w:color w:val="0000FF"/>
          <w:lang w:val="it-IT"/>
        </w:rPr>
        <w:t>egue, s</w:t>
      </w:r>
      <w:r>
        <w:rPr>
          <w:bCs/>
          <w:i/>
          <w:iCs/>
          <w:color w:val="0000FF"/>
          <w:lang w:val="it-IT"/>
        </w:rPr>
        <w:t>uoi p</w:t>
      </w:r>
      <w:r w:rsidR="00942FFB" w:rsidRPr="007F7EBF">
        <w:rPr>
          <w:bCs/>
          <w:i/>
          <w:iCs/>
          <w:color w:val="0000FF"/>
          <w:lang w:val="it-IT"/>
        </w:rPr>
        <w:t>regi,</w:t>
      </w:r>
      <w:r w:rsidR="0002752E" w:rsidRPr="007F7EBF">
        <w:rPr>
          <w:bCs/>
          <w:i/>
          <w:iCs/>
          <w:color w:val="0000FF"/>
          <w:lang w:val="it-IT"/>
        </w:rPr>
        <w:t xml:space="preserve"> difetti</w:t>
      </w:r>
      <w:r w:rsidR="00942FFB" w:rsidRPr="007F7EBF">
        <w:rPr>
          <w:bCs/>
          <w:i/>
          <w:iCs/>
          <w:color w:val="0000FF"/>
          <w:lang w:val="it-IT"/>
        </w:rPr>
        <w:t xml:space="preserve"> e correttivi</w:t>
      </w:r>
    </w:p>
    <w:p w14:paraId="7C0689BB" w14:textId="7E26E74C" w:rsidR="00207CA2" w:rsidRPr="007F7EBF" w:rsidRDefault="00433405" w:rsidP="0002752E">
      <w:pPr>
        <w:autoSpaceDE w:val="0"/>
        <w:autoSpaceDN w:val="0"/>
        <w:adjustRightInd w:val="0"/>
        <w:rPr>
          <w:sz w:val="22"/>
          <w:szCs w:val="22"/>
        </w:rPr>
      </w:pPr>
      <w:r>
        <w:rPr>
          <w:sz w:val="22"/>
          <w:szCs w:val="22"/>
        </w:rPr>
        <w:t>I</w:t>
      </w:r>
      <w:r w:rsidR="00712805">
        <w:rPr>
          <w:sz w:val="22"/>
          <w:szCs w:val="22"/>
        </w:rPr>
        <w:t>n genere comunque queste entrate, c.d. “commutative”, legate a</w:t>
      </w:r>
      <w:r>
        <w:rPr>
          <w:sz w:val="22"/>
          <w:szCs w:val="22"/>
        </w:rPr>
        <w:t>l</w:t>
      </w:r>
      <w:r w:rsidR="001076D8">
        <w:rPr>
          <w:sz w:val="22"/>
          <w:szCs w:val="22"/>
        </w:rPr>
        <w:t xml:space="preserve"> </w:t>
      </w:r>
      <w:r w:rsidR="008A19ED" w:rsidRPr="007F7EBF">
        <w:rPr>
          <w:sz w:val="22"/>
          <w:szCs w:val="22"/>
        </w:rPr>
        <w:t>“</w:t>
      </w:r>
      <w:r w:rsidR="0002752E" w:rsidRPr="007F7EBF">
        <w:rPr>
          <w:sz w:val="22"/>
          <w:szCs w:val="22"/>
        </w:rPr>
        <w:t>principio del beneficio</w:t>
      </w:r>
      <w:r w:rsidR="008A19ED" w:rsidRPr="007F7EBF">
        <w:rPr>
          <w:sz w:val="22"/>
          <w:szCs w:val="22"/>
        </w:rPr>
        <w:t>”</w:t>
      </w:r>
      <w:r w:rsidR="0002752E" w:rsidRPr="007F7EBF">
        <w:rPr>
          <w:sz w:val="22"/>
          <w:szCs w:val="22"/>
        </w:rPr>
        <w:t xml:space="preserve"> consent</w:t>
      </w:r>
      <w:r w:rsidR="00712805">
        <w:rPr>
          <w:sz w:val="22"/>
          <w:szCs w:val="22"/>
        </w:rPr>
        <w:t>ono</w:t>
      </w:r>
      <w:r w:rsidR="0002752E" w:rsidRPr="007F7EBF">
        <w:rPr>
          <w:sz w:val="22"/>
          <w:szCs w:val="22"/>
        </w:rPr>
        <w:t xml:space="preserve"> un controllo sociale</w:t>
      </w:r>
      <w:r w:rsidR="00712805">
        <w:rPr>
          <w:sz w:val="22"/>
          <w:szCs w:val="22"/>
        </w:rPr>
        <w:t xml:space="preserve"> vagamente simile a quello di mercato. L’</w:t>
      </w:r>
      <w:r w:rsidR="00207CA2" w:rsidRPr="007F7EBF">
        <w:rPr>
          <w:sz w:val="22"/>
          <w:szCs w:val="22"/>
        </w:rPr>
        <w:t>utente pagante</w:t>
      </w:r>
      <w:r w:rsidR="00712805">
        <w:rPr>
          <w:sz w:val="22"/>
          <w:szCs w:val="22"/>
        </w:rPr>
        <w:t xml:space="preserve"> è infatti </w:t>
      </w:r>
      <w:r w:rsidR="002F06D9">
        <w:rPr>
          <w:sz w:val="22"/>
          <w:szCs w:val="22"/>
        </w:rPr>
        <w:t xml:space="preserve">simile al </w:t>
      </w:r>
      <w:r w:rsidR="00207CA2" w:rsidRPr="007F7EBF">
        <w:rPr>
          <w:sz w:val="22"/>
          <w:szCs w:val="22"/>
        </w:rPr>
        <w:t>“cliente</w:t>
      </w:r>
      <w:r w:rsidR="00712805">
        <w:rPr>
          <w:sz w:val="22"/>
          <w:szCs w:val="22"/>
        </w:rPr>
        <w:t xml:space="preserve">”, </w:t>
      </w:r>
      <w:r w:rsidR="002F06D9">
        <w:rPr>
          <w:sz w:val="22"/>
          <w:szCs w:val="22"/>
        </w:rPr>
        <w:t>e quindi in grado di svolgere un miglior controllo sociale (parr.</w:t>
      </w:r>
      <w:r w:rsidR="00361BCC">
        <w:rPr>
          <w:sz w:val="22"/>
          <w:szCs w:val="22"/>
        </w:rPr>
        <w:t>4.2</w:t>
      </w:r>
      <w:r w:rsidR="002F06D9">
        <w:rPr>
          <w:sz w:val="22"/>
          <w:szCs w:val="22"/>
        </w:rPr>
        <w:t xml:space="preserve"> e 5.3) </w:t>
      </w:r>
      <w:r w:rsidR="00942F45">
        <w:rPr>
          <w:sz w:val="22"/>
          <w:szCs w:val="22"/>
        </w:rPr>
        <w:t>rispetto a</w:t>
      </w:r>
      <w:r w:rsidR="00AC0BF4" w:rsidRPr="007F7EBF">
        <w:rPr>
          <w:sz w:val="22"/>
          <w:szCs w:val="22"/>
        </w:rPr>
        <w:t xml:space="preserve"> un semplice “</w:t>
      </w:r>
      <w:r w:rsidR="00582703">
        <w:rPr>
          <w:sz w:val="22"/>
          <w:szCs w:val="22"/>
        </w:rPr>
        <w:t xml:space="preserve">fruitore </w:t>
      </w:r>
      <w:r w:rsidR="00712805">
        <w:rPr>
          <w:sz w:val="22"/>
          <w:szCs w:val="22"/>
        </w:rPr>
        <w:t>gratuito</w:t>
      </w:r>
      <w:r w:rsidR="00AC0BF4" w:rsidRPr="007F7EBF">
        <w:rPr>
          <w:sz w:val="22"/>
          <w:szCs w:val="22"/>
        </w:rPr>
        <w:t>”</w:t>
      </w:r>
      <w:r w:rsidR="00207CA2" w:rsidRPr="007F7EBF">
        <w:rPr>
          <w:sz w:val="22"/>
          <w:szCs w:val="22"/>
        </w:rPr>
        <w:t xml:space="preserve">. </w:t>
      </w:r>
    </w:p>
    <w:p w14:paraId="60943157" w14:textId="72688315" w:rsidR="00942F45" w:rsidRDefault="00712805" w:rsidP="0050324C">
      <w:pPr>
        <w:autoSpaceDE w:val="0"/>
        <w:autoSpaceDN w:val="0"/>
        <w:adjustRightInd w:val="0"/>
        <w:rPr>
          <w:sz w:val="22"/>
          <w:szCs w:val="22"/>
        </w:rPr>
      </w:pPr>
      <w:r>
        <w:t>Nel</w:t>
      </w:r>
      <w:r w:rsidR="00532032">
        <w:t xml:space="preserve"> principio del beneficio </w:t>
      </w:r>
      <w:r>
        <w:t xml:space="preserve">i pubblici poteri assumono iniziative economiche, o le controllano, e le relative entrate somigliano a quelle della concessione di beni pubblici, di cui </w:t>
      </w:r>
      <w:r w:rsidR="00532032">
        <w:t xml:space="preserve">alla “finanza patrimoniale” di cui al paragrafo precedente. </w:t>
      </w:r>
      <w:r w:rsidR="004756D8" w:rsidRPr="007F7EBF">
        <w:rPr>
          <w:sz w:val="22"/>
          <w:szCs w:val="22"/>
        </w:rPr>
        <w:t xml:space="preserve">Un inconveniente di </w:t>
      </w:r>
      <w:r w:rsidR="008A19ED" w:rsidRPr="007F7EBF">
        <w:rPr>
          <w:sz w:val="22"/>
          <w:szCs w:val="22"/>
        </w:rPr>
        <w:t xml:space="preserve">questo criterio </w:t>
      </w:r>
      <w:r w:rsidR="004756D8" w:rsidRPr="007F7EBF">
        <w:rPr>
          <w:sz w:val="22"/>
          <w:szCs w:val="22"/>
        </w:rPr>
        <w:t xml:space="preserve">è di </w:t>
      </w:r>
      <w:r w:rsidR="00942F45">
        <w:rPr>
          <w:sz w:val="22"/>
          <w:szCs w:val="22"/>
        </w:rPr>
        <w:t xml:space="preserve">essere “poco </w:t>
      </w:r>
      <w:r>
        <w:rPr>
          <w:sz w:val="22"/>
          <w:szCs w:val="22"/>
        </w:rPr>
        <w:t>solidaristico</w:t>
      </w:r>
      <w:r w:rsidR="00942F45">
        <w:rPr>
          <w:sz w:val="22"/>
          <w:szCs w:val="22"/>
        </w:rPr>
        <w:t xml:space="preserve">” facendo pagare gli utenti a prescindere dalla loro situazione patrimoniale, salvo garantire l’accesso </w:t>
      </w:r>
      <w:r w:rsidR="004756D8" w:rsidRPr="007F7EBF">
        <w:rPr>
          <w:sz w:val="22"/>
          <w:szCs w:val="22"/>
        </w:rPr>
        <w:t>anche ai bisognosi, att</w:t>
      </w:r>
      <w:r w:rsidR="0002752E" w:rsidRPr="007F7EBF">
        <w:rPr>
          <w:sz w:val="22"/>
          <w:szCs w:val="22"/>
        </w:rPr>
        <w:t xml:space="preserve">raverso agevolazioni per "non abbienti" </w:t>
      </w:r>
      <w:r w:rsidR="00DE0B98">
        <w:rPr>
          <w:sz w:val="22"/>
          <w:szCs w:val="22"/>
        </w:rPr>
        <w:t>o sussidi</w:t>
      </w:r>
      <w:r>
        <w:rPr>
          <w:sz w:val="22"/>
          <w:szCs w:val="22"/>
        </w:rPr>
        <w:t>, come indicato ai parr.2.2 e 5.1.</w:t>
      </w:r>
    </w:p>
    <w:p w14:paraId="1325A968" w14:textId="1E828E72" w:rsidR="0050324C" w:rsidRDefault="007E4BD9" w:rsidP="0050324C">
      <w:pPr>
        <w:pStyle w:val="tit23"/>
        <w:ind w:left="6464" w:right="-1361" w:firstLine="0"/>
        <w:jc w:val="left"/>
        <w:rPr>
          <w:bCs/>
          <w:i/>
          <w:iCs/>
          <w:color w:val="0000FF"/>
          <w:lang w:val="it-IT"/>
        </w:rPr>
      </w:pPr>
      <w:r>
        <w:rPr>
          <w:bCs/>
          <w:i/>
          <w:iCs/>
          <w:color w:val="0000FF"/>
          <w:lang w:val="it-IT"/>
        </w:rPr>
        <w:t>Imposte</w:t>
      </w:r>
      <w:r w:rsidR="00304DB1">
        <w:rPr>
          <w:bCs/>
          <w:i/>
          <w:iCs/>
          <w:color w:val="0000FF"/>
          <w:lang w:val="it-IT"/>
        </w:rPr>
        <w:t xml:space="preserve"> e</w:t>
      </w:r>
      <w:r>
        <w:rPr>
          <w:bCs/>
          <w:i/>
          <w:iCs/>
          <w:color w:val="0000FF"/>
          <w:lang w:val="it-IT"/>
        </w:rPr>
        <w:t xml:space="preserve"> spese indivisibili</w:t>
      </w:r>
      <w:r w:rsidR="0050324C" w:rsidRPr="0050324C">
        <w:rPr>
          <w:bCs/>
          <w:i/>
          <w:iCs/>
          <w:color w:val="0000FF"/>
          <w:lang w:val="it-IT"/>
        </w:rPr>
        <w:t xml:space="preserve"> </w:t>
      </w:r>
    </w:p>
    <w:p w14:paraId="41B31DB9" w14:textId="29C80083" w:rsidR="00304DB1" w:rsidRDefault="00304DB1" w:rsidP="00304DB1">
      <w:pPr>
        <w:autoSpaceDE w:val="0"/>
        <w:autoSpaceDN w:val="0"/>
        <w:adjustRightInd w:val="0"/>
      </w:pPr>
      <w:r>
        <w:rPr>
          <w:spacing w:val="3"/>
          <w:w w:val="101"/>
        </w:rPr>
        <w:t xml:space="preserve">Esistono però </w:t>
      </w:r>
      <w:r w:rsidR="007E4BD9">
        <w:t>spese pubbliche c.d. “</w:t>
      </w:r>
      <w:r w:rsidR="007E4BD9">
        <w:rPr>
          <w:b/>
        </w:rPr>
        <w:t>indivisibili</w:t>
      </w:r>
      <w:r w:rsidR="007E4BD9">
        <w:t>”, per difesa, sicurezza, infrastrutture ed altre</w:t>
      </w:r>
      <w:r>
        <w:t>,</w:t>
      </w:r>
      <w:r w:rsidR="007E4BD9">
        <w:t xml:space="preserve"> non imputabili a destinatari specifici, </w:t>
      </w:r>
      <w:r>
        <w:t>con inapplicabilità del principio del beneficio e per le quali la finanza patrimoniale non basta</w:t>
      </w:r>
      <w:r w:rsidR="00532032">
        <w:t xml:space="preserve">. </w:t>
      </w:r>
      <w:r>
        <w:t xml:space="preserve">E’ perciò necessario </w:t>
      </w:r>
      <w:r>
        <w:lastRenderedPageBreak/>
        <w:t xml:space="preserve">ricorrere </w:t>
      </w:r>
      <w:proofErr w:type="spellStart"/>
      <w:r w:rsidRPr="00304DB1">
        <w:rPr>
          <w:b/>
          <w:bCs/>
        </w:rPr>
        <w:t>residualmente</w:t>
      </w:r>
      <w:proofErr w:type="spellEnd"/>
      <w:r>
        <w:t xml:space="preserve"> (</w:t>
      </w:r>
      <w:r>
        <w:rPr>
          <w:rStyle w:val="Rimandonotaapidipagina"/>
        </w:rPr>
        <w:footnoteReference w:id="19"/>
      </w:r>
      <w:r>
        <w:t>), al criterio del “</w:t>
      </w:r>
      <w:r>
        <w:rPr>
          <w:b/>
        </w:rPr>
        <w:t>sacrificio</w:t>
      </w:r>
      <w:r>
        <w:t>” o della “capacità contributiva” di cui al par.2.2</w:t>
      </w:r>
      <w:r>
        <w:rPr>
          <w:rStyle w:val="Rimandonotaapidipagina"/>
        </w:rPr>
        <w:footnoteReference w:id="20"/>
      </w:r>
      <w:r>
        <w:t xml:space="preserve">. Esso si basa sulle </w:t>
      </w:r>
      <w:r>
        <w:rPr>
          <w:b/>
          <w:bCs/>
        </w:rPr>
        <w:t>imposte</w:t>
      </w:r>
      <w:r>
        <w:t>, tipiche della “finanza tributaria”, che colpiscono i presupposti economici di cui al par.1.8, come consumi, redditi, patrimonio</w:t>
      </w:r>
      <w:r w:rsidR="006417C6">
        <w:t xml:space="preserve"> </w:t>
      </w:r>
      <w:r>
        <w:t xml:space="preserve">. </w:t>
      </w:r>
    </w:p>
    <w:p w14:paraId="074632E3" w14:textId="4FEC9EE6" w:rsidR="00055460" w:rsidRPr="00D61A35" w:rsidRDefault="00532032" w:rsidP="00055460">
      <w:pPr>
        <w:rPr>
          <w:i/>
          <w:iCs/>
          <w:color w:val="0000FF"/>
        </w:rPr>
      </w:pPr>
      <w:r>
        <w:t>T</w:t>
      </w:r>
      <w:r w:rsidR="007E4BD9">
        <w:t>ra imposte e spesa pubblica c’è quindi una corrispondenza generale, senza correlazioni tra spese e entrate (</w:t>
      </w:r>
      <w:r w:rsidR="007E4BD9">
        <w:rPr>
          <w:rStyle w:val="Rimandonotaapidipagina"/>
        </w:rPr>
        <w:footnoteReference w:id="21"/>
      </w:r>
      <w:r w:rsidR="007E4BD9">
        <w:t>)</w:t>
      </w:r>
      <w:r w:rsidR="006417C6">
        <w:t>. C</w:t>
      </w:r>
      <w:r w:rsidR="003D3610">
        <w:t>on l’espansione delle funzioni pubbliche, concetto cui è dedicato il paragrafo successivo, le imposte sono diventate l’entrata pubblica prevalente</w:t>
      </w:r>
      <w:r w:rsidR="00055460">
        <w:t xml:space="preserve">. </w:t>
      </w:r>
    </w:p>
    <w:p w14:paraId="2B1AF187" w14:textId="6075B4F7" w:rsidR="00055460" w:rsidRDefault="00955D0A" w:rsidP="00055460">
      <w:pPr>
        <w:pStyle w:val="tit23"/>
        <w:ind w:left="6464" w:right="-1361" w:firstLine="0"/>
        <w:jc w:val="left"/>
        <w:rPr>
          <w:bCs/>
          <w:i/>
          <w:iCs/>
          <w:color w:val="0000FF"/>
          <w:lang w:val="it-IT"/>
        </w:rPr>
      </w:pPr>
      <w:r>
        <w:rPr>
          <w:bCs/>
          <w:i/>
          <w:iCs/>
          <w:color w:val="0000FF"/>
          <w:lang w:val="it-IT"/>
        </w:rPr>
        <w:t xml:space="preserve">Eterogeneità di tariffe e tasse </w:t>
      </w:r>
      <w:r w:rsidR="005645BB">
        <w:rPr>
          <w:bCs/>
          <w:i/>
          <w:iCs/>
          <w:color w:val="0000FF"/>
          <w:lang w:val="it-IT"/>
        </w:rPr>
        <w:t>Imposte e n</w:t>
      </w:r>
      <w:r w:rsidR="00055460">
        <w:rPr>
          <w:bCs/>
          <w:i/>
          <w:iCs/>
          <w:color w:val="0000FF"/>
          <w:lang w:val="it-IT"/>
        </w:rPr>
        <w:t xml:space="preserve">ecessità di una “funzione tributaria” </w:t>
      </w:r>
    </w:p>
    <w:p w14:paraId="5B6A3245" w14:textId="6DA6F7BC" w:rsidR="00955D0A" w:rsidRPr="00D61A35" w:rsidRDefault="006417C6" w:rsidP="00955D0A">
      <w:pPr>
        <w:rPr>
          <w:i/>
          <w:iCs/>
          <w:color w:val="0000FF"/>
        </w:rPr>
      </w:pPr>
      <w:r>
        <w:t xml:space="preserve">Le entrate pubbliche (tasse e tariffe) basate sul principio del beneficio si incardinano sui diversi servizi o funzioni cui si riferiscono, ad esempio </w:t>
      </w:r>
      <w:r>
        <w:rPr>
          <w:sz w:val="22"/>
          <w:szCs w:val="22"/>
        </w:rPr>
        <w:t xml:space="preserve">infrastrutturali, ambientali, giudiziari, sanitari, </w:t>
      </w:r>
      <w:r>
        <w:rPr>
          <w:sz w:val="22"/>
          <w:szCs w:val="22"/>
        </w:rPr>
        <w:lastRenderedPageBreak/>
        <w:t xml:space="preserve">concessorie, energetici, etc. </w:t>
      </w:r>
      <w:r w:rsidR="001F4C86">
        <w:rPr>
          <w:sz w:val="22"/>
          <w:szCs w:val="22"/>
        </w:rPr>
        <w:t>N</w:t>
      </w:r>
      <w:r w:rsidR="001F4C86" w:rsidRPr="001F4C86">
        <w:rPr>
          <w:sz w:val="22"/>
          <w:szCs w:val="22"/>
        </w:rPr>
        <w:t>on ha quindi senso</w:t>
      </w:r>
      <w:r>
        <w:rPr>
          <w:sz w:val="22"/>
          <w:szCs w:val="22"/>
        </w:rPr>
        <w:t xml:space="preserve"> </w:t>
      </w:r>
      <w:r w:rsidR="001F4C86" w:rsidRPr="001F4C86">
        <w:rPr>
          <w:sz w:val="22"/>
          <w:szCs w:val="22"/>
        </w:rPr>
        <w:t xml:space="preserve">una teoria generale </w:t>
      </w:r>
      <w:r>
        <w:rPr>
          <w:sz w:val="22"/>
          <w:szCs w:val="22"/>
        </w:rPr>
        <w:t>di tali</w:t>
      </w:r>
      <w:r w:rsidR="001F4C86" w:rsidRPr="001F4C86">
        <w:rPr>
          <w:sz w:val="22"/>
          <w:szCs w:val="22"/>
        </w:rPr>
        <w:t xml:space="preserve"> entrate</w:t>
      </w:r>
      <w:r w:rsidR="001F4C86">
        <w:rPr>
          <w:sz w:val="22"/>
          <w:szCs w:val="22"/>
        </w:rPr>
        <w:t>,</w:t>
      </w:r>
      <w:r w:rsidR="001F4C86" w:rsidRPr="001F4C86">
        <w:rPr>
          <w:sz w:val="22"/>
          <w:szCs w:val="22"/>
        </w:rPr>
        <w:t xml:space="preserve"> </w:t>
      </w:r>
      <w:r>
        <w:rPr>
          <w:sz w:val="22"/>
          <w:szCs w:val="22"/>
        </w:rPr>
        <w:t>a prescindere da funzioni e servizi sottostanti</w:t>
      </w:r>
      <w:r w:rsidR="00955D0A">
        <w:rPr>
          <w:sz w:val="22"/>
          <w:szCs w:val="22"/>
        </w:rPr>
        <w:t xml:space="preserve">, ognuno dei quali ha problemi specifici. Sono inoltre superflui uffici pubblici </w:t>
      </w:r>
      <w:r w:rsidR="00031743">
        <w:rPr>
          <w:sz w:val="22"/>
          <w:szCs w:val="22"/>
        </w:rPr>
        <w:t>incaricati di riscuotere tali entrate, autonomi da quelli destinati al</w:t>
      </w:r>
      <w:r w:rsidR="00955D0A">
        <w:rPr>
          <w:sz w:val="22"/>
          <w:szCs w:val="22"/>
        </w:rPr>
        <w:t xml:space="preserve"> servizio o alla funzione, </w:t>
      </w:r>
      <w:r w:rsidR="00031743">
        <w:rPr>
          <w:sz w:val="22"/>
          <w:szCs w:val="22"/>
        </w:rPr>
        <w:t>che si occupano anche della riscossione di queste somme</w:t>
      </w:r>
      <w:r w:rsidR="00955D0A">
        <w:rPr>
          <w:sz w:val="22"/>
          <w:szCs w:val="22"/>
        </w:rPr>
        <w:t xml:space="preserve">. </w:t>
      </w:r>
      <w:r w:rsidR="00D604A5">
        <w:rPr>
          <w:sz w:val="22"/>
          <w:szCs w:val="22"/>
        </w:rPr>
        <w:t>L</w:t>
      </w:r>
      <w:r w:rsidR="00955D0A">
        <w:rPr>
          <w:sz w:val="22"/>
          <w:szCs w:val="22"/>
        </w:rPr>
        <w:t xml:space="preserve">’evasione </w:t>
      </w:r>
      <w:r w:rsidR="00D604A5">
        <w:rPr>
          <w:sz w:val="22"/>
          <w:szCs w:val="22"/>
        </w:rPr>
        <w:t xml:space="preserve">di tariffe e tasse in senso stretto </w:t>
      </w:r>
      <w:r w:rsidR="00955D0A">
        <w:rPr>
          <w:sz w:val="22"/>
          <w:szCs w:val="22"/>
        </w:rPr>
        <w:t>si presenta diversamente per ciascun servizio o funzione</w:t>
      </w:r>
      <w:r w:rsidR="00D604A5">
        <w:rPr>
          <w:sz w:val="22"/>
          <w:szCs w:val="22"/>
        </w:rPr>
        <w:t xml:space="preserve"> pubblica</w:t>
      </w:r>
      <w:r w:rsidR="009E7E5E">
        <w:rPr>
          <w:sz w:val="22"/>
          <w:szCs w:val="22"/>
        </w:rPr>
        <w:t xml:space="preserve">; </w:t>
      </w:r>
      <w:r w:rsidR="00031743">
        <w:rPr>
          <w:sz w:val="22"/>
          <w:szCs w:val="22"/>
        </w:rPr>
        <w:t xml:space="preserve">talvolta </w:t>
      </w:r>
      <w:r w:rsidR="00D604A5">
        <w:rPr>
          <w:sz w:val="22"/>
          <w:szCs w:val="22"/>
        </w:rPr>
        <w:t xml:space="preserve">essa legittima </w:t>
      </w:r>
      <w:r w:rsidR="009E7E5E">
        <w:rPr>
          <w:sz w:val="22"/>
          <w:szCs w:val="22"/>
        </w:rPr>
        <w:t xml:space="preserve">la mancata prestazione del servizio, mentre la funzione </w:t>
      </w:r>
      <w:r w:rsidR="00031743">
        <w:rPr>
          <w:sz w:val="22"/>
          <w:szCs w:val="22"/>
        </w:rPr>
        <w:t xml:space="preserve">deve svolgersi </w:t>
      </w:r>
      <w:r w:rsidR="00D604A5">
        <w:rPr>
          <w:sz w:val="22"/>
          <w:szCs w:val="22"/>
        </w:rPr>
        <w:t>comunque</w:t>
      </w:r>
      <w:r w:rsidR="009E7E5E">
        <w:rPr>
          <w:sz w:val="22"/>
          <w:szCs w:val="22"/>
        </w:rPr>
        <w:t>, salvo recupero coattivo</w:t>
      </w:r>
      <w:r w:rsidR="00D604A5">
        <w:rPr>
          <w:sz w:val="22"/>
          <w:szCs w:val="22"/>
        </w:rPr>
        <w:t xml:space="preserve"> della relativa tassa</w:t>
      </w:r>
      <w:r w:rsidR="009E7E5E">
        <w:rPr>
          <w:sz w:val="22"/>
          <w:szCs w:val="22"/>
        </w:rPr>
        <w:t xml:space="preserve">. </w:t>
      </w:r>
    </w:p>
    <w:p w14:paraId="141774FC" w14:textId="54C4DBF6" w:rsidR="00955D0A" w:rsidRDefault="00955D0A" w:rsidP="00955D0A">
      <w:pPr>
        <w:pStyle w:val="tit23"/>
        <w:ind w:left="6464" w:right="-1361" w:firstLine="0"/>
        <w:jc w:val="left"/>
        <w:rPr>
          <w:bCs/>
          <w:i/>
          <w:iCs/>
          <w:color w:val="0000FF"/>
          <w:lang w:val="it-IT"/>
        </w:rPr>
      </w:pPr>
      <w:r>
        <w:rPr>
          <w:bCs/>
          <w:i/>
          <w:iCs/>
          <w:color w:val="0000FF"/>
          <w:lang w:val="it-IT"/>
        </w:rPr>
        <w:t>Autonoma  “funzione tributaria” per le imposte</w:t>
      </w:r>
    </w:p>
    <w:p w14:paraId="61DC177B" w14:textId="6B8FEEC7" w:rsidR="00055460" w:rsidRDefault="007223D5" w:rsidP="00C605D7">
      <w:pPr>
        <w:rPr>
          <w:bCs/>
          <w:i/>
          <w:iCs/>
          <w:color w:val="0000FF"/>
        </w:rPr>
      </w:pPr>
      <w:r>
        <w:t>L</w:t>
      </w:r>
      <w:r w:rsidR="006417C6">
        <w:t xml:space="preserve">e imposte </w:t>
      </w:r>
      <w:r>
        <w:t>richiedono</w:t>
      </w:r>
      <w:r w:rsidR="006417C6">
        <w:t xml:space="preserve"> in</w:t>
      </w:r>
      <w:r w:rsidR="00955D0A">
        <w:t xml:space="preserve">vece </w:t>
      </w:r>
      <w:r w:rsidR="006417C6">
        <w:t xml:space="preserve">appositi uffici pubblici, </w:t>
      </w:r>
      <w:r>
        <w:t xml:space="preserve">per </w:t>
      </w:r>
      <w:r w:rsidR="006417C6">
        <w:t xml:space="preserve">determinare </w:t>
      </w:r>
      <w:r>
        <w:t xml:space="preserve">i presupposti </w:t>
      </w:r>
      <w:r w:rsidR="006417C6">
        <w:t>economi</w:t>
      </w:r>
      <w:r>
        <w:t>ci</w:t>
      </w:r>
      <w:r w:rsidR="006417C6">
        <w:t xml:space="preserve"> cui esse sono commisurate (redditi, consumi, etc.)</w:t>
      </w:r>
      <w:r>
        <w:t>. P</w:t>
      </w:r>
      <w:r w:rsidR="006417C6">
        <w:rPr>
          <w:sz w:val="22"/>
          <w:szCs w:val="22"/>
        </w:rPr>
        <w:t>er “imporre le imposte” serve una specifica funzione pubblica che chiameremo “funzione tributaria”</w:t>
      </w:r>
      <w:r>
        <w:t xml:space="preserve">, espressione più incisiva e diffusa, anche se a rigore sarebbe meglio parlare di </w:t>
      </w:r>
      <w:r w:rsidRPr="001F4C86">
        <w:rPr>
          <w:sz w:val="22"/>
          <w:szCs w:val="22"/>
        </w:rPr>
        <w:t>funzione impositiva</w:t>
      </w:r>
      <w:r>
        <w:t xml:space="preserve"> </w:t>
      </w:r>
      <w:r>
        <w:rPr>
          <w:rStyle w:val="Rimandonotaapidipagina"/>
          <w:sz w:val="22"/>
          <w:szCs w:val="22"/>
        </w:rPr>
        <w:footnoteReference w:id="22"/>
      </w:r>
      <w:r>
        <w:t xml:space="preserve">. </w:t>
      </w:r>
      <w:r w:rsidR="003B0F0C">
        <w:t>Essa costituisce l’unica funzione amministrativa oggetto di uno specifico insegnamento universitario nell’accademia italiana</w:t>
      </w:r>
      <w:r w:rsidR="000E7D58">
        <w:t xml:space="preserve">, come vedremo al </w:t>
      </w:r>
      <w:r w:rsidR="004E68B0">
        <w:t>paragrafo successivo</w:t>
      </w:r>
      <w:r w:rsidR="001F4C86">
        <w:rPr>
          <w:sz w:val="22"/>
          <w:szCs w:val="22"/>
        </w:rPr>
        <w:t>.</w:t>
      </w:r>
      <w:r w:rsidR="00055460">
        <w:t xml:space="preserve"> </w:t>
      </w:r>
    </w:p>
    <w:p w14:paraId="2A5397D1" w14:textId="77777777" w:rsidR="00055460" w:rsidRPr="007F7EBF" w:rsidRDefault="00055460" w:rsidP="002F06D9"/>
    <w:p w14:paraId="29006C63" w14:textId="5949C4F6" w:rsidR="00066319" w:rsidRDefault="00EC36FE" w:rsidP="00260B10">
      <w:pPr>
        <w:pStyle w:val="Titolo3"/>
        <w:autoSpaceDE w:val="0"/>
        <w:autoSpaceDN w:val="0"/>
        <w:adjustRightInd w:val="0"/>
        <w:rPr>
          <w:bCs w:val="0"/>
          <w:i/>
          <w:iCs/>
          <w:color w:val="0000FF"/>
        </w:rPr>
      </w:pPr>
      <w:bookmarkStart w:id="8" w:name="_Toc63364929"/>
      <w:r>
        <w:rPr>
          <w:rFonts w:ascii="Times New Roman" w:hAnsi="Times New Roman"/>
          <w:sz w:val="22"/>
          <w:szCs w:val="22"/>
          <w:lang w:val="it-IT"/>
        </w:rPr>
        <w:t>1.3</w:t>
      </w:r>
      <w:r w:rsidR="00DF7DBD">
        <w:rPr>
          <w:rFonts w:ascii="Times New Roman" w:hAnsi="Times New Roman"/>
          <w:sz w:val="22"/>
          <w:szCs w:val="22"/>
          <w:lang w:val="it-IT"/>
        </w:rPr>
        <w:t xml:space="preserve"> </w:t>
      </w:r>
      <w:r w:rsidR="00CD220A">
        <w:rPr>
          <w:rFonts w:ascii="Times New Roman" w:hAnsi="Times New Roman"/>
          <w:sz w:val="22"/>
          <w:szCs w:val="22"/>
          <w:lang w:val="it-IT"/>
        </w:rPr>
        <w:t xml:space="preserve">Giuridicità non giurisdizionale della funzione tributaria, tra diritto come tecnica e </w:t>
      </w:r>
      <w:r w:rsidR="00C605D7">
        <w:rPr>
          <w:rFonts w:ascii="Times New Roman" w:hAnsi="Times New Roman"/>
          <w:sz w:val="22"/>
          <w:szCs w:val="22"/>
          <w:lang w:val="it-IT"/>
        </w:rPr>
        <w:t>studio</w:t>
      </w:r>
      <w:r w:rsidR="00CD220A">
        <w:rPr>
          <w:rFonts w:ascii="Times New Roman" w:hAnsi="Times New Roman"/>
          <w:sz w:val="22"/>
          <w:szCs w:val="22"/>
          <w:lang w:val="it-IT"/>
        </w:rPr>
        <w:t xml:space="preserve"> sociale</w:t>
      </w:r>
      <w:bookmarkEnd w:id="8"/>
      <w:r w:rsidR="00CD220A">
        <w:rPr>
          <w:rFonts w:ascii="Times New Roman" w:hAnsi="Times New Roman"/>
          <w:sz w:val="22"/>
          <w:szCs w:val="22"/>
          <w:lang w:val="it-IT"/>
        </w:rPr>
        <w:t xml:space="preserve"> </w:t>
      </w:r>
    </w:p>
    <w:p w14:paraId="648AC343" w14:textId="18ABDB63" w:rsidR="00DF4C35" w:rsidRDefault="00B66D9E" w:rsidP="00DF4C35">
      <w:pPr>
        <w:pStyle w:val="tit23"/>
        <w:ind w:left="6464" w:right="-1361" w:firstLine="0"/>
        <w:jc w:val="left"/>
        <w:rPr>
          <w:bCs/>
          <w:i/>
          <w:iCs/>
          <w:color w:val="0000FF"/>
          <w:lang w:val="it-IT"/>
        </w:rPr>
      </w:pPr>
      <w:r>
        <w:rPr>
          <w:bCs/>
          <w:i/>
          <w:iCs/>
          <w:color w:val="0000FF"/>
          <w:lang w:val="it-IT"/>
        </w:rPr>
        <w:t xml:space="preserve">Entrate e </w:t>
      </w:r>
      <w:r w:rsidR="00AB7E61">
        <w:rPr>
          <w:bCs/>
          <w:i/>
          <w:iCs/>
          <w:color w:val="0000FF"/>
          <w:lang w:val="it-IT"/>
        </w:rPr>
        <w:t>funzioni  pubbliche</w:t>
      </w:r>
    </w:p>
    <w:p w14:paraId="5A1FF2AD" w14:textId="31DDEE35" w:rsidR="00B66D9E" w:rsidRPr="00B83D1D" w:rsidRDefault="00B66D9E" w:rsidP="00B66D9E">
      <w:pPr>
        <w:pStyle w:val="Testorientro"/>
        <w:ind w:firstLine="0"/>
        <w:rPr>
          <w:rFonts w:ascii="Times New Roman" w:hAnsi="Times New Roman"/>
        </w:rPr>
      </w:pPr>
      <w:r>
        <w:t xml:space="preserve">Tutte le entrate pubbliche sono legate a una determinata funzione, </w:t>
      </w:r>
      <w:r w:rsidR="00260B10">
        <w:t xml:space="preserve">come </w:t>
      </w:r>
      <w:r w:rsidR="00652220">
        <w:t>tariffe e tasse</w:t>
      </w:r>
      <w:r>
        <w:t xml:space="preserve">, connesse alla gestione del patrimonio, all’ambiente, alle infrastrutture, alla sanità, all’anagrafe, alla giustizia, all’istruzione e via enumerando. L’unica funzione pubblica unicamente dedicata all’entrata, come già rilevato, è quella riguardante le imposte, cui riserviamo l’espressione “funzione tributaria”, in quanto le altre sono caratterizzare da compiti diversi, cui  le entrate accedono. </w:t>
      </w:r>
    </w:p>
    <w:p w14:paraId="16ADC991" w14:textId="3BC219E3" w:rsidR="00B66D9E" w:rsidRDefault="00B66D9E" w:rsidP="00B66D9E">
      <w:pPr>
        <w:pStyle w:val="tit23"/>
        <w:ind w:left="6464" w:right="-1361" w:firstLine="0"/>
        <w:jc w:val="left"/>
        <w:rPr>
          <w:bCs/>
          <w:i/>
          <w:iCs/>
          <w:color w:val="0000FF"/>
          <w:lang w:val="it-IT"/>
        </w:rPr>
      </w:pPr>
      <w:r>
        <w:rPr>
          <w:bCs/>
          <w:i/>
          <w:iCs/>
          <w:color w:val="0000FF"/>
          <w:lang w:val="it-IT"/>
        </w:rPr>
        <w:lastRenderedPageBreak/>
        <w:t>Funzioni in senso materiale e procedurale</w:t>
      </w:r>
    </w:p>
    <w:p w14:paraId="7479FED8" w14:textId="01AFDDB0" w:rsidR="00ED6807" w:rsidRPr="006B3CEE" w:rsidRDefault="006B3CEE" w:rsidP="00CD0F2E">
      <w:pPr>
        <w:pStyle w:val="Testorientro"/>
        <w:ind w:firstLine="0"/>
        <w:rPr>
          <w:rFonts w:ascii="Times New Roman" w:hAnsi="Times New Roman"/>
        </w:rPr>
      </w:pPr>
      <w:r>
        <w:t xml:space="preserve">E’ utile quindi dedicare il presente paragrafo al concetto di funzioni pubbliche, nelle loro varie accezioni. </w:t>
      </w:r>
      <w:r w:rsidR="00B66D9E">
        <w:t>Accanto a</w:t>
      </w:r>
      <w:r w:rsidR="00682D3E">
        <w:t xml:space="preserve">lle </w:t>
      </w:r>
      <w:r w:rsidR="00474C09">
        <w:rPr>
          <w:rFonts w:ascii="Times New Roman" w:hAnsi="Times New Roman" w:cs="Times New Roman"/>
        </w:rPr>
        <w:t>funzion</w:t>
      </w:r>
      <w:r w:rsidR="00B66D9E">
        <w:rPr>
          <w:rFonts w:ascii="Times New Roman" w:hAnsi="Times New Roman" w:cs="Times New Roman"/>
        </w:rPr>
        <w:t>i</w:t>
      </w:r>
      <w:r w:rsidR="00474C09">
        <w:rPr>
          <w:rFonts w:ascii="Times New Roman" w:hAnsi="Times New Roman" w:cs="Times New Roman"/>
        </w:rPr>
        <w:t xml:space="preserve"> pubblic</w:t>
      </w:r>
      <w:r w:rsidR="00B66D9E">
        <w:rPr>
          <w:rFonts w:ascii="Times New Roman" w:hAnsi="Times New Roman" w:cs="Times New Roman"/>
        </w:rPr>
        <w:t>he</w:t>
      </w:r>
      <w:r w:rsidR="00652220">
        <w:rPr>
          <w:rFonts w:ascii="Times New Roman" w:hAnsi="Times New Roman" w:cs="Times New Roman"/>
        </w:rPr>
        <w:t xml:space="preserve"> in senso</w:t>
      </w:r>
      <w:r w:rsidR="00474C09">
        <w:rPr>
          <w:rFonts w:ascii="Times New Roman" w:hAnsi="Times New Roman" w:cs="Times New Roman"/>
        </w:rPr>
        <w:t xml:space="preserve"> sostanzial</w:t>
      </w:r>
      <w:r w:rsidR="00652220">
        <w:rPr>
          <w:rFonts w:ascii="Times New Roman" w:hAnsi="Times New Roman" w:cs="Times New Roman"/>
        </w:rPr>
        <w:t>e</w:t>
      </w:r>
      <w:r>
        <w:rPr>
          <w:rFonts w:ascii="Times New Roman" w:hAnsi="Times New Roman" w:cs="Times New Roman"/>
        </w:rPr>
        <w:t>, identificate per materia (d</w:t>
      </w:r>
      <w:r w:rsidR="000A1744" w:rsidRPr="00633B9E">
        <w:rPr>
          <w:rFonts w:ascii="Times New Roman" w:hAnsi="Times New Roman"/>
        </w:rPr>
        <w:t>ifesa,</w:t>
      </w:r>
      <w:r w:rsidR="00522662">
        <w:rPr>
          <w:rFonts w:ascii="Times New Roman" w:hAnsi="Times New Roman"/>
        </w:rPr>
        <w:t xml:space="preserve"> </w:t>
      </w:r>
      <w:r w:rsidR="000A1744" w:rsidRPr="00633B9E">
        <w:rPr>
          <w:rFonts w:ascii="Times New Roman" w:hAnsi="Times New Roman"/>
        </w:rPr>
        <w:t>sicurezza, sanità,</w:t>
      </w:r>
      <w:r w:rsidR="00D4108D">
        <w:rPr>
          <w:rFonts w:ascii="Times New Roman" w:hAnsi="Times New Roman"/>
        </w:rPr>
        <w:t xml:space="preserve">  </w:t>
      </w:r>
      <w:proofErr w:type="spellStart"/>
      <w:r w:rsidR="005D7E3F">
        <w:rPr>
          <w:rFonts w:ascii="Times New Roman" w:hAnsi="Times New Roman"/>
        </w:rPr>
        <w:t>etc</w:t>
      </w:r>
      <w:proofErr w:type="spellEnd"/>
      <w:r>
        <w:rPr>
          <w:rFonts w:ascii="Times New Roman" w:hAnsi="Times New Roman"/>
        </w:rPr>
        <w:t xml:space="preserve">) </w:t>
      </w:r>
      <w:r w:rsidR="00682D3E">
        <w:rPr>
          <w:rFonts w:ascii="Times New Roman" w:hAnsi="Times New Roman"/>
        </w:rPr>
        <w:t xml:space="preserve">ve ne sono </w:t>
      </w:r>
      <w:r>
        <w:rPr>
          <w:rFonts w:ascii="Times New Roman" w:hAnsi="Times New Roman"/>
        </w:rPr>
        <w:t xml:space="preserve">in senso procedurale, </w:t>
      </w:r>
      <w:r w:rsidR="00CD0F2E">
        <w:rPr>
          <w:rFonts w:ascii="Times New Roman" w:hAnsi="Times New Roman"/>
        </w:rPr>
        <w:t>per fase di intervento</w:t>
      </w:r>
      <w:r w:rsidR="00682D3E">
        <w:rPr>
          <w:rFonts w:ascii="Times New Roman" w:hAnsi="Times New Roman"/>
        </w:rPr>
        <w:t xml:space="preserve"> pubblico</w:t>
      </w:r>
      <w:r w:rsidR="00CD0F2E">
        <w:rPr>
          <w:rFonts w:ascii="Times New Roman" w:hAnsi="Times New Roman"/>
        </w:rPr>
        <w:t xml:space="preserve">, come funzione </w:t>
      </w:r>
      <w:r w:rsidR="000A1744" w:rsidRPr="00633B9E">
        <w:rPr>
          <w:rFonts w:ascii="Times New Roman" w:hAnsi="Times New Roman"/>
        </w:rPr>
        <w:t>legislativa, regolamentare, provvedimentale,</w:t>
      </w:r>
      <w:r w:rsidR="002F23E6">
        <w:rPr>
          <w:rFonts w:ascii="Times New Roman" w:hAnsi="Times New Roman"/>
        </w:rPr>
        <w:t xml:space="preserve"> </w:t>
      </w:r>
      <w:r w:rsidR="005D7E3F">
        <w:rPr>
          <w:rFonts w:ascii="Times New Roman" w:hAnsi="Times New Roman"/>
        </w:rPr>
        <w:t>esecutiva</w:t>
      </w:r>
      <w:r w:rsidR="000A1744" w:rsidRPr="00633B9E">
        <w:rPr>
          <w:rFonts w:ascii="Times New Roman" w:hAnsi="Times New Roman"/>
        </w:rPr>
        <w:t xml:space="preserve">, contenziosa, di riesame, </w:t>
      </w:r>
      <w:r w:rsidR="00795F15">
        <w:rPr>
          <w:rFonts w:ascii="Times New Roman" w:hAnsi="Times New Roman"/>
        </w:rPr>
        <w:t>di controllo giurisdiziona</w:t>
      </w:r>
      <w:r w:rsidR="00B83D1D">
        <w:rPr>
          <w:rFonts w:ascii="Times New Roman" w:hAnsi="Times New Roman"/>
        </w:rPr>
        <w:t>le</w:t>
      </w:r>
      <w:r w:rsidR="00E51BED">
        <w:rPr>
          <w:rFonts w:ascii="Times New Roman" w:hAnsi="Times New Roman"/>
        </w:rPr>
        <w:t xml:space="preserve"> </w:t>
      </w:r>
      <w:r w:rsidR="00682D3E">
        <w:t xml:space="preserve">Sono due </w:t>
      </w:r>
      <w:r w:rsidR="00682D3E">
        <w:rPr>
          <w:rFonts w:ascii="Times New Roman" w:hAnsi="Times New Roman"/>
        </w:rPr>
        <w:t>accezion</w:t>
      </w:r>
      <w:r w:rsidR="00682D3E">
        <w:t>i</w:t>
      </w:r>
      <w:r w:rsidR="00682D3E">
        <w:rPr>
          <w:rFonts w:ascii="Times New Roman" w:hAnsi="Times New Roman"/>
        </w:rPr>
        <w:t xml:space="preserve"> di </w:t>
      </w:r>
      <w:r w:rsidR="00682D3E" w:rsidRPr="00CD0F2E">
        <w:rPr>
          <w:rFonts w:ascii="Times New Roman" w:hAnsi="Times New Roman"/>
          <w:i/>
          <w:iCs/>
        </w:rPr>
        <w:t>funzione</w:t>
      </w:r>
      <w:r w:rsidR="00682D3E">
        <w:rPr>
          <w:rFonts w:ascii="Times New Roman" w:hAnsi="Times New Roman"/>
        </w:rPr>
        <w:t xml:space="preserve"> </w:t>
      </w:r>
      <w:r w:rsidR="00682D3E">
        <w:t xml:space="preserve">intrecciate tra loro, in quanto le funzioni in senso procedurale scandiscono modalità di svolgimento delle funzioni in senso sostanziale. </w:t>
      </w:r>
      <w:r w:rsidR="00522662">
        <w:rPr>
          <w:rFonts w:ascii="Times New Roman" w:hAnsi="Times New Roman"/>
        </w:rPr>
        <w:t xml:space="preserve"> </w:t>
      </w:r>
      <w:r w:rsidR="006A64C9">
        <w:t xml:space="preserve"> </w:t>
      </w:r>
    </w:p>
    <w:p w14:paraId="7C18C4C7" w14:textId="2E8281FA" w:rsidR="000A1744" w:rsidRDefault="00ED6807" w:rsidP="000A1744">
      <w:pPr>
        <w:pStyle w:val="tit23"/>
        <w:ind w:left="6464" w:right="-1361" w:firstLine="0"/>
        <w:jc w:val="left"/>
        <w:rPr>
          <w:bCs/>
          <w:i/>
          <w:iCs/>
          <w:color w:val="0000FF"/>
          <w:lang w:val="it-IT"/>
        </w:rPr>
      </w:pPr>
      <w:r>
        <w:rPr>
          <w:bCs/>
          <w:i/>
          <w:iCs/>
          <w:color w:val="0000FF"/>
          <w:lang w:val="it-IT"/>
        </w:rPr>
        <w:t xml:space="preserve">Funzioni pubbliche </w:t>
      </w:r>
      <w:r w:rsidR="00240AC1">
        <w:rPr>
          <w:bCs/>
          <w:i/>
          <w:iCs/>
          <w:color w:val="0000FF"/>
          <w:lang w:val="it-IT"/>
        </w:rPr>
        <w:t>dalla</w:t>
      </w:r>
      <w:r>
        <w:rPr>
          <w:bCs/>
          <w:i/>
          <w:iCs/>
          <w:color w:val="0000FF"/>
          <w:lang w:val="it-IT"/>
        </w:rPr>
        <w:t xml:space="preserve"> politica </w:t>
      </w:r>
      <w:r w:rsidR="00240AC1">
        <w:rPr>
          <w:bCs/>
          <w:i/>
          <w:iCs/>
          <w:color w:val="0000FF"/>
          <w:lang w:val="it-IT"/>
        </w:rPr>
        <w:t>al</w:t>
      </w:r>
      <w:r>
        <w:rPr>
          <w:bCs/>
          <w:i/>
          <w:iCs/>
          <w:color w:val="0000FF"/>
          <w:lang w:val="it-IT"/>
        </w:rPr>
        <w:t xml:space="preserve"> diritto</w:t>
      </w:r>
    </w:p>
    <w:p w14:paraId="1EFFBBD2" w14:textId="5BA73A6F" w:rsidR="00522662" w:rsidRPr="00EA34EF" w:rsidRDefault="007B21DA" w:rsidP="00522662">
      <w:pPr>
        <w:pStyle w:val="Testorientro"/>
        <w:ind w:firstLine="0"/>
        <w:rPr>
          <w:rFonts w:ascii="Times New Roman" w:hAnsi="Times New Roman" w:cs="Times New Roman"/>
        </w:rPr>
      </w:pPr>
      <w:r>
        <w:rPr>
          <w:rFonts w:ascii="Times New Roman" w:hAnsi="Times New Roman" w:cs="Times New Roman"/>
        </w:rPr>
        <w:t>N</w:t>
      </w:r>
      <w:r w:rsidR="00E23143">
        <w:rPr>
          <w:rFonts w:ascii="Times New Roman" w:hAnsi="Times New Roman" w:cs="Times New Roman"/>
        </w:rPr>
        <w:t>ei gruppi sociali elementari</w:t>
      </w:r>
      <w:r>
        <w:rPr>
          <w:rFonts w:ascii="Times New Roman" w:hAnsi="Times New Roman" w:cs="Times New Roman"/>
        </w:rPr>
        <w:t xml:space="preserve"> le funzioni in senso sostanziale</w:t>
      </w:r>
      <w:r w:rsidR="00B83D1D">
        <w:rPr>
          <w:rFonts w:ascii="Times New Roman" w:hAnsi="Times New Roman" w:cs="Times New Roman"/>
        </w:rPr>
        <w:t xml:space="preserve"> </w:t>
      </w:r>
      <w:r w:rsidR="00682D3E">
        <w:rPr>
          <w:rFonts w:ascii="Times New Roman" w:hAnsi="Times New Roman" w:cs="Times New Roman"/>
        </w:rPr>
        <w:t xml:space="preserve">iniziano </w:t>
      </w:r>
      <w:r w:rsidR="00B83D1D">
        <w:rPr>
          <w:rFonts w:ascii="Times New Roman" w:hAnsi="Times New Roman" w:cs="Times New Roman"/>
        </w:rPr>
        <w:t xml:space="preserve"> </w:t>
      </w:r>
      <w:r w:rsidR="00682D3E">
        <w:rPr>
          <w:rFonts w:ascii="Times New Roman" w:hAnsi="Times New Roman" w:cs="Times New Roman"/>
        </w:rPr>
        <w:t xml:space="preserve">a esser </w:t>
      </w:r>
      <w:r>
        <w:rPr>
          <w:rFonts w:ascii="Times New Roman" w:hAnsi="Times New Roman" w:cs="Times New Roman"/>
        </w:rPr>
        <w:t>svolte da</w:t>
      </w:r>
      <w:r w:rsidR="00682D3E">
        <w:rPr>
          <w:rFonts w:ascii="Times New Roman" w:hAnsi="Times New Roman" w:cs="Times New Roman"/>
        </w:rPr>
        <w:t>l gruppo nel suo insieme o da</w:t>
      </w:r>
      <w:r>
        <w:rPr>
          <w:rFonts w:ascii="Times New Roman" w:hAnsi="Times New Roman" w:cs="Times New Roman"/>
        </w:rPr>
        <w:t xml:space="preserve"> </w:t>
      </w:r>
      <w:r w:rsidR="00A96289">
        <w:rPr>
          <w:rFonts w:ascii="Times New Roman" w:hAnsi="Times New Roman" w:cs="Times New Roman"/>
        </w:rPr>
        <w:t>organi politici</w:t>
      </w:r>
      <w:r w:rsidR="00E23143">
        <w:rPr>
          <w:rFonts w:ascii="Times New Roman" w:hAnsi="Times New Roman" w:cs="Times New Roman"/>
        </w:rPr>
        <w:t>, come capi o assemblee</w:t>
      </w:r>
      <w:r w:rsidR="005A4EA5">
        <w:rPr>
          <w:rFonts w:ascii="Times New Roman" w:hAnsi="Times New Roman" w:cs="Times New Roman"/>
        </w:rPr>
        <w:t xml:space="preserve"> </w:t>
      </w:r>
      <w:r w:rsidR="005A4EA5">
        <w:t>(</w:t>
      </w:r>
      <w:r w:rsidR="005A4EA5">
        <w:rPr>
          <w:rStyle w:val="Rimandonotaapidipagina"/>
        </w:rPr>
        <w:footnoteReference w:id="23"/>
      </w:r>
      <w:r w:rsidR="005A4EA5">
        <w:t>)</w:t>
      </w:r>
      <w:r w:rsidR="00E51BED">
        <w:t>, al più con loro fiduciari</w:t>
      </w:r>
      <w:r w:rsidR="00A96289">
        <w:rPr>
          <w:rFonts w:ascii="Times New Roman" w:hAnsi="Times New Roman" w:cs="Times New Roman"/>
        </w:rPr>
        <w:t>; man mano</w:t>
      </w:r>
      <w:r>
        <w:rPr>
          <w:rFonts w:ascii="Times New Roman" w:hAnsi="Times New Roman" w:cs="Times New Roman"/>
        </w:rPr>
        <w:t xml:space="preserve"> che la società diventa complessa, </w:t>
      </w:r>
      <w:r w:rsidR="00682D3E">
        <w:rPr>
          <w:rFonts w:ascii="Times New Roman" w:hAnsi="Times New Roman" w:cs="Times New Roman"/>
        </w:rPr>
        <w:t>questa</w:t>
      </w:r>
      <w:r w:rsidR="00601799">
        <w:rPr>
          <w:rFonts w:ascii="Times New Roman" w:hAnsi="Times New Roman" w:cs="Times New Roman"/>
        </w:rPr>
        <w:t xml:space="preserve"> catena di comando si allunga</w:t>
      </w:r>
      <w:r w:rsidR="00682D3E">
        <w:rPr>
          <w:rFonts w:ascii="Times New Roman" w:hAnsi="Times New Roman" w:cs="Times New Roman"/>
        </w:rPr>
        <w:t>, dal gruppo, alla politica a funzionari, pubblici, co</w:t>
      </w:r>
      <w:r w:rsidR="00601799">
        <w:rPr>
          <w:rFonts w:ascii="Times New Roman" w:hAnsi="Times New Roman" w:cs="Times New Roman"/>
        </w:rPr>
        <w:t xml:space="preserve">n deleghe a catena </w:t>
      </w:r>
      <w:r w:rsidR="00A96289">
        <w:rPr>
          <w:rFonts w:ascii="Times New Roman" w:hAnsi="Times New Roman" w:cs="Times New Roman"/>
        </w:rPr>
        <w:t>(</w:t>
      </w:r>
      <w:r w:rsidR="00A96289">
        <w:rPr>
          <w:rStyle w:val="Rimandonotaapidipagina"/>
        </w:rPr>
        <w:footnoteReference w:id="24"/>
      </w:r>
      <w:r w:rsidR="00A96289">
        <w:rPr>
          <w:rFonts w:ascii="Times New Roman" w:hAnsi="Times New Roman" w:cs="Times New Roman"/>
        </w:rPr>
        <w:t>)</w:t>
      </w:r>
      <w:r w:rsidR="00637158">
        <w:t xml:space="preserve">; si </w:t>
      </w:r>
      <w:r w:rsidR="00B83D1D">
        <w:t>articola</w:t>
      </w:r>
      <w:r w:rsidR="00637158">
        <w:t xml:space="preserve"> così una sfera “</w:t>
      </w:r>
      <w:r w:rsidR="002A7E05">
        <w:rPr>
          <w:rFonts w:ascii="Times New Roman" w:hAnsi="Times New Roman" w:cs="Times New Roman"/>
        </w:rPr>
        <w:t>politico-giuridic</w:t>
      </w:r>
      <w:r w:rsidR="00637158">
        <w:rPr>
          <w:rFonts w:ascii="Times New Roman" w:hAnsi="Times New Roman" w:cs="Times New Roman"/>
        </w:rPr>
        <w:t>a</w:t>
      </w:r>
      <w:r w:rsidR="002A7E05">
        <w:rPr>
          <w:rFonts w:ascii="Times New Roman" w:hAnsi="Times New Roman" w:cs="Times New Roman"/>
        </w:rPr>
        <w:t>”</w:t>
      </w:r>
      <w:r w:rsidR="00637158">
        <w:rPr>
          <w:rFonts w:ascii="Times New Roman" w:hAnsi="Times New Roman" w:cs="Times New Roman"/>
        </w:rPr>
        <w:t xml:space="preserve"> </w:t>
      </w:r>
      <w:r w:rsidR="00682D3E">
        <w:rPr>
          <w:rFonts w:ascii="Times New Roman" w:hAnsi="Times New Roman" w:cs="Times New Roman"/>
        </w:rPr>
        <w:t xml:space="preserve">di </w:t>
      </w:r>
      <w:r w:rsidR="00A96289">
        <w:rPr>
          <w:rFonts w:ascii="Times New Roman" w:hAnsi="Times New Roman" w:cs="Times New Roman"/>
        </w:rPr>
        <w:t xml:space="preserve">“sovranità”, </w:t>
      </w:r>
      <w:r>
        <w:rPr>
          <w:rFonts w:ascii="Times New Roman" w:hAnsi="Times New Roman" w:cs="Times New Roman"/>
        </w:rPr>
        <w:t xml:space="preserve">variamente intrecciata con quella </w:t>
      </w:r>
      <w:r>
        <w:t>“economico produttiva”</w:t>
      </w:r>
      <w:r w:rsidR="00682D3E">
        <w:t xml:space="preserve">, componendo la società </w:t>
      </w:r>
      <w:r>
        <w:rPr>
          <w:rStyle w:val="Rimandonotaapidipagina"/>
        </w:rPr>
        <w:footnoteReference w:id="25"/>
      </w:r>
      <w:r>
        <w:t xml:space="preserve">. </w:t>
      </w:r>
    </w:p>
    <w:p w14:paraId="53D53AFC" w14:textId="656B2AF0" w:rsidR="00522662" w:rsidRDefault="000818F3" w:rsidP="00522662">
      <w:pPr>
        <w:pStyle w:val="tit23"/>
        <w:ind w:left="6464" w:right="-1361" w:firstLine="0"/>
        <w:jc w:val="left"/>
        <w:rPr>
          <w:bCs/>
          <w:i/>
          <w:iCs/>
          <w:color w:val="0000FF"/>
          <w:lang w:val="it-IT"/>
        </w:rPr>
      </w:pPr>
      <w:r>
        <w:rPr>
          <w:bCs/>
          <w:i/>
          <w:iCs/>
          <w:color w:val="0000FF"/>
          <w:lang w:val="it-IT"/>
        </w:rPr>
        <w:t>Prospettiva privatistico giurisdizionale</w:t>
      </w:r>
    </w:p>
    <w:p w14:paraId="0EC2C4D3" w14:textId="7CE66F3D" w:rsidR="002363C6" w:rsidRDefault="00DC0BD3" w:rsidP="002363C6">
      <w:pPr>
        <w:pStyle w:val="Testorientro"/>
        <w:ind w:firstLine="0"/>
        <w:rPr>
          <w:rFonts w:ascii="Times New Roman" w:hAnsi="Times New Roman"/>
        </w:rPr>
      </w:pPr>
      <w:r>
        <w:t xml:space="preserve">La </w:t>
      </w:r>
      <w:r w:rsidR="000818F3">
        <w:t>funzion</w:t>
      </w:r>
      <w:r>
        <w:t xml:space="preserve">e pubblica </w:t>
      </w:r>
      <w:r w:rsidR="00682D3E">
        <w:t>più rapidamente delegata</w:t>
      </w:r>
      <w:r w:rsidR="00E210BE">
        <w:t>,</w:t>
      </w:r>
      <w:r w:rsidR="00682D3E">
        <w:t xml:space="preserve"> dalla politica </w:t>
      </w:r>
      <w:r w:rsidR="00E210BE">
        <w:t xml:space="preserve">a propri funzionari, </w:t>
      </w:r>
      <w:r>
        <w:t xml:space="preserve">è </w:t>
      </w:r>
      <w:r w:rsidR="005B1FB3">
        <w:rPr>
          <w:rFonts w:ascii="Times New Roman" w:hAnsi="Times New Roman" w:cs="Times New Roman"/>
        </w:rPr>
        <w:t xml:space="preserve">la </w:t>
      </w:r>
      <w:r w:rsidR="00682D3E">
        <w:rPr>
          <w:rFonts w:ascii="Times New Roman" w:hAnsi="Times New Roman" w:cs="Times New Roman"/>
        </w:rPr>
        <w:t>giustizia</w:t>
      </w:r>
      <w:r>
        <w:rPr>
          <w:rFonts w:ascii="Times New Roman" w:hAnsi="Times New Roman" w:cs="Times New Roman"/>
        </w:rPr>
        <w:t xml:space="preserve">, intesa come </w:t>
      </w:r>
      <w:r w:rsidR="00DF0945">
        <w:rPr>
          <w:rFonts w:ascii="Times New Roman" w:hAnsi="Times New Roman" w:cs="Times New Roman"/>
        </w:rPr>
        <w:t xml:space="preserve">soluzione pacifica dei </w:t>
      </w:r>
      <w:r w:rsidR="00E210BE">
        <w:t>conflitti privati</w:t>
      </w:r>
      <w:r w:rsidR="00F97364">
        <w:rPr>
          <w:rStyle w:val="Rimandonotaapidipagina"/>
          <w:rFonts w:ascii="Times New Roman" w:hAnsi="Times New Roman"/>
        </w:rPr>
        <w:footnoteReference w:id="26"/>
      </w:r>
      <w:r w:rsidR="00F97364">
        <w:t xml:space="preserve">. Questa funzione </w:t>
      </w:r>
      <w:r w:rsidR="00E210BE">
        <w:t xml:space="preserve">dapprima </w:t>
      </w:r>
      <w:r w:rsidR="00F97364">
        <w:t xml:space="preserve">ha </w:t>
      </w:r>
      <w:r w:rsidR="00E210BE">
        <w:t>ritualizza</w:t>
      </w:r>
      <w:r w:rsidR="00F97364">
        <w:t xml:space="preserve">to </w:t>
      </w:r>
      <w:r w:rsidR="00E210BE">
        <w:t xml:space="preserve">l’uso della forza </w:t>
      </w:r>
      <w:r w:rsidR="00F97364">
        <w:t xml:space="preserve">dei </w:t>
      </w:r>
      <w:r w:rsidR="00F97364">
        <w:lastRenderedPageBreak/>
        <w:t xml:space="preserve">singoli </w:t>
      </w:r>
      <w:r w:rsidR="00DF0945">
        <w:rPr>
          <w:rStyle w:val="Rimandonotaapidipagina"/>
        </w:rPr>
        <w:footnoteReference w:id="27"/>
      </w:r>
      <w:r w:rsidR="00DF0945">
        <w:t xml:space="preserve"> </w:t>
      </w:r>
      <w:r w:rsidR="00E210BE">
        <w:t>poi sostitu</w:t>
      </w:r>
      <w:r w:rsidR="00F97364">
        <w:t>ito dalla forza del gruppo</w:t>
      </w:r>
      <w:r w:rsidR="00A30AE3">
        <w:t xml:space="preserve">, in una prima fase con decisioni della politica, secondo </w:t>
      </w:r>
      <w:r w:rsidR="00587B35">
        <w:rPr>
          <w:rFonts w:ascii="Times New Roman" w:hAnsi="Times New Roman" w:cs="Times New Roman"/>
        </w:rPr>
        <w:t xml:space="preserve">i valori </w:t>
      </w:r>
      <w:r w:rsidR="00A30AE3">
        <w:rPr>
          <w:rFonts w:ascii="Times New Roman" w:hAnsi="Times New Roman" w:cs="Times New Roman"/>
        </w:rPr>
        <w:t>comuni</w:t>
      </w:r>
      <w:r w:rsidR="00056E2D">
        <w:rPr>
          <w:rStyle w:val="Rimandonotaapidipagina"/>
          <w:rFonts w:ascii="Times New Roman" w:hAnsi="Times New Roman"/>
        </w:rPr>
        <w:footnoteReference w:id="28"/>
      </w:r>
      <w:r w:rsidR="00A30AE3">
        <w:rPr>
          <w:rFonts w:ascii="Times New Roman" w:hAnsi="Times New Roman" w:cs="Times New Roman"/>
        </w:rPr>
        <w:t>. Questi ultimi, con la progressiva attribuzione della funzione giudiziaria a delegati dalla politica, furono sempre più</w:t>
      </w:r>
      <w:r w:rsidR="00B83D1D">
        <w:rPr>
          <w:rFonts w:ascii="Times New Roman" w:hAnsi="Times New Roman" w:cs="Times New Roman"/>
        </w:rPr>
        <w:t xml:space="preserve"> </w:t>
      </w:r>
      <w:r w:rsidR="00587B35">
        <w:rPr>
          <w:rFonts w:ascii="Times New Roman" w:hAnsi="Times New Roman" w:cs="Times New Roman"/>
        </w:rPr>
        <w:t xml:space="preserve">specificati </w:t>
      </w:r>
      <w:r w:rsidR="000818F3">
        <w:rPr>
          <w:rFonts w:ascii="Times New Roman" w:hAnsi="Times New Roman" w:cs="Times New Roman"/>
        </w:rPr>
        <w:t>e formalizzati</w:t>
      </w:r>
      <w:r w:rsidR="008372B9">
        <w:rPr>
          <w:rFonts w:ascii="Times New Roman" w:hAnsi="Times New Roman" w:cs="Times New Roman"/>
        </w:rPr>
        <w:t xml:space="preserve"> </w:t>
      </w:r>
      <w:r w:rsidR="000818F3">
        <w:rPr>
          <w:rFonts w:ascii="Times New Roman" w:hAnsi="Times New Roman" w:cs="Times New Roman"/>
        </w:rPr>
        <w:t xml:space="preserve">in </w:t>
      </w:r>
      <w:r w:rsidR="00587B35">
        <w:rPr>
          <w:rFonts w:ascii="Times New Roman" w:hAnsi="Times New Roman" w:cs="Times New Roman"/>
        </w:rPr>
        <w:t>“regole”</w:t>
      </w:r>
      <w:r w:rsidR="00A30AE3">
        <w:t>. Man mano che la politica delegava la funzione giudiziaria, dava anche indicazioni per il suo esercizio</w:t>
      </w:r>
      <w:r w:rsidR="00D161F8">
        <w:t xml:space="preserve">, cercando di mantenere un controllo, anche per esigenze sociali di certezza, sul “potere derivato” creato nei giudici. </w:t>
      </w:r>
      <w:r w:rsidR="002363C6">
        <w:t xml:space="preserve">A questi ultimi, come a tutti gli altri incaricati di una certa funzione, non è materialmente possibile sottrarre del tutto il potere di farsi interpreti del compito ricevuto. </w:t>
      </w:r>
    </w:p>
    <w:p w14:paraId="610590D7" w14:textId="5CC510DE" w:rsidR="002363C6" w:rsidRDefault="002363C6" w:rsidP="002363C6">
      <w:pPr>
        <w:pStyle w:val="tit23"/>
        <w:ind w:left="6464" w:right="-1361" w:firstLine="0"/>
        <w:jc w:val="left"/>
        <w:rPr>
          <w:bCs/>
          <w:i/>
          <w:iCs/>
          <w:color w:val="0000FF"/>
          <w:lang w:val="it-IT"/>
        </w:rPr>
      </w:pPr>
      <w:r>
        <w:rPr>
          <w:bCs/>
          <w:i/>
          <w:iCs/>
          <w:color w:val="0000FF"/>
          <w:lang w:val="it-IT"/>
        </w:rPr>
        <w:t>Valori e regole</w:t>
      </w:r>
    </w:p>
    <w:p w14:paraId="08F98764" w14:textId="6483A773" w:rsidR="007A56F8" w:rsidRPr="007F7EBF" w:rsidRDefault="002363C6" w:rsidP="005D5A47">
      <w:pPr>
        <w:pStyle w:val="Testorientro"/>
        <w:ind w:firstLine="0"/>
        <w:rPr>
          <w:bCs/>
          <w:i/>
          <w:iCs/>
          <w:color w:val="0000FF"/>
        </w:rPr>
      </w:pPr>
      <w:r>
        <w:t xml:space="preserve">Le regole sono certamente importanti, ma non possono essere totalizzanti, e la pretesa di </w:t>
      </w:r>
      <w:r>
        <w:rPr>
          <w:i/>
          <w:iCs/>
        </w:rPr>
        <w:t xml:space="preserve">guidare a distanza </w:t>
      </w:r>
      <w:r>
        <w:t xml:space="preserve"> attraverso di esse i giudici, è illusoria e distruttiva, sulla funzione di giustizia e di riflesso su tutte le altre, come vedremo per quella tributaria. </w:t>
      </w:r>
      <w:r w:rsidR="00E3032B">
        <w:t>Sopravvalutare l</w:t>
      </w:r>
      <w:r w:rsidR="00840EE4">
        <w:t>e regole rispetto alle funzioni</w:t>
      </w:r>
      <w:r w:rsidR="00E3032B">
        <w:t>, come vedremo in tutto il testo</w:t>
      </w:r>
      <w:r w:rsidR="00840EE4">
        <w:t>,</w:t>
      </w:r>
      <w:r w:rsidR="00E3032B">
        <w:t xml:space="preserve"> </w:t>
      </w:r>
      <w:r w:rsidR="00840EE4">
        <w:t xml:space="preserve">innesca defatiganti interrogativi sulla creazione di diritto da parte dei giudici </w:t>
      </w:r>
      <w:r w:rsidR="00840EE4">
        <w:rPr>
          <w:rStyle w:val="Rimandonotaapidipagina"/>
          <w:rFonts w:ascii="Times New Roman" w:hAnsi="Times New Roman"/>
        </w:rPr>
        <w:footnoteReference w:id="29"/>
      </w:r>
      <w:r w:rsidR="00840EE4">
        <w:t xml:space="preserve">, creano </w:t>
      </w:r>
      <w:proofErr w:type="spellStart"/>
      <w:r w:rsidR="00840EE4">
        <w:t>diritto”</w:t>
      </w:r>
      <w:r w:rsidR="00E3032B">
        <w:t>ostacola</w:t>
      </w:r>
      <w:proofErr w:type="spellEnd"/>
      <w:r w:rsidR="00E3032B">
        <w:t xml:space="preserve"> il </w:t>
      </w:r>
      <w:r>
        <w:t>controllo sociale</w:t>
      </w:r>
      <w:r w:rsidR="00E3032B">
        <w:t xml:space="preserve"> delle funzioni pubbliche, </w:t>
      </w:r>
      <w:r>
        <w:t>creando rigidità</w:t>
      </w:r>
      <w:r w:rsidR="002D4B89">
        <w:t>, deresponsabilizzazione</w:t>
      </w:r>
      <w:r>
        <w:t xml:space="preserve"> e ipocrisia </w:t>
      </w:r>
      <w:r>
        <w:rPr>
          <w:rStyle w:val="Rimandonotaapidipagina"/>
        </w:rPr>
        <w:footnoteReference w:id="30"/>
      </w:r>
      <w:r>
        <w:t xml:space="preserve">. </w:t>
      </w:r>
      <w:r w:rsidR="00E3032B">
        <w:t xml:space="preserve">E’ meglio piuttosto riconoscere a tutte le funzioni i propri margini di valutazione </w:t>
      </w:r>
      <w:r w:rsidR="00E3032B">
        <w:rPr>
          <w:rStyle w:val="Rimandonotaapidipagina"/>
        </w:rPr>
        <w:footnoteReference w:id="31"/>
      </w:r>
      <w:r w:rsidR="00E3032B">
        <w:t xml:space="preserve">, facendo appello a un loro esercizio responsabile, motivato e socialmente controllato, come indicato, in materia tributaria, al par.5.10 sulla determinazione valutativa dei presupposti economici delle imposte. </w:t>
      </w:r>
      <w:r w:rsidR="0086354F">
        <w:t xml:space="preserve">E’ </w:t>
      </w:r>
      <w:r w:rsidR="00E3032B">
        <w:t xml:space="preserve">più </w:t>
      </w:r>
      <w:r w:rsidR="0086354F">
        <w:t>pragmatica</w:t>
      </w:r>
      <w:r w:rsidR="00E3032B">
        <w:t xml:space="preserve"> la cultura di </w:t>
      </w:r>
      <w:r w:rsidR="00E3032B">
        <w:rPr>
          <w:i/>
          <w:iCs/>
        </w:rPr>
        <w:t xml:space="preserve">common </w:t>
      </w:r>
      <w:proofErr w:type="spellStart"/>
      <w:r w:rsidR="00E3032B">
        <w:rPr>
          <w:i/>
          <w:iCs/>
        </w:rPr>
        <w:t>law</w:t>
      </w:r>
      <w:proofErr w:type="spellEnd"/>
      <w:r w:rsidR="00E3032B">
        <w:rPr>
          <w:i/>
          <w:iCs/>
        </w:rPr>
        <w:t xml:space="preserve"> </w:t>
      </w:r>
      <w:r w:rsidR="0086354F">
        <w:t xml:space="preserve"> sulla</w:t>
      </w:r>
      <w:r w:rsidR="00F07EFA">
        <w:t xml:space="preserve"> possibilità del giudice</w:t>
      </w:r>
      <w:r w:rsidR="0086354F">
        <w:t xml:space="preserve"> </w:t>
      </w:r>
      <w:r w:rsidR="00F07EFA">
        <w:t xml:space="preserve">di contestualizzare le regole sullo sfondo </w:t>
      </w:r>
      <w:r w:rsidR="00E3032B">
        <w:t>dei valori del gruppo</w:t>
      </w:r>
      <w:r w:rsidR="00F07EFA">
        <w:t xml:space="preserve"> </w:t>
      </w:r>
      <w:r w:rsidR="0086354F">
        <w:rPr>
          <w:rStyle w:val="Rimandonotaapidipagina"/>
        </w:rPr>
        <w:footnoteReference w:id="32"/>
      </w:r>
      <w:r w:rsidR="0086354F">
        <w:t xml:space="preserve">. </w:t>
      </w:r>
      <w:r w:rsidR="00F07EFA">
        <w:t>N</w:t>
      </w:r>
      <w:r w:rsidR="00FE6215">
        <w:t xml:space="preserve">egli ordinamenti di </w:t>
      </w:r>
      <w:proofErr w:type="spellStart"/>
      <w:r w:rsidR="00A30AE3" w:rsidRPr="002D4B89">
        <w:rPr>
          <w:i/>
          <w:iCs/>
        </w:rPr>
        <w:t>civil</w:t>
      </w:r>
      <w:proofErr w:type="spellEnd"/>
      <w:r w:rsidR="00A30AE3" w:rsidRPr="002D4B89">
        <w:rPr>
          <w:i/>
          <w:iCs/>
        </w:rPr>
        <w:t xml:space="preserve"> </w:t>
      </w:r>
      <w:proofErr w:type="spellStart"/>
      <w:r w:rsidR="00A30AE3" w:rsidRPr="002D4B89">
        <w:rPr>
          <w:i/>
          <w:iCs/>
        </w:rPr>
        <w:t>law</w:t>
      </w:r>
      <w:proofErr w:type="spellEnd"/>
      <w:r w:rsidR="00A30AE3">
        <w:t xml:space="preserve"> </w:t>
      </w:r>
      <w:r w:rsidR="0086354F">
        <w:t xml:space="preserve"> </w:t>
      </w:r>
      <w:r w:rsidR="00F07EFA">
        <w:t>a questa contestualizzazione si arriva</w:t>
      </w:r>
      <w:r w:rsidR="0086354F">
        <w:t xml:space="preserve"> in modo più tortuoso, basandosi sulle </w:t>
      </w:r>
      <w:r w:rsidR="0086354F">
        <w:lastRenderedPageBreak/>
        <w:t>inevitabili clausole generali</w:t>
      </w:r>
      <w:r w:rsidR="00F07EFA">
        <w:t>, co</w:t>
      </w:r>
      <w:r w:rsidR="0086354F">
        <w:t>i suddetti maggiori rischi di deresponsabilizzazioni e ipocrisie, se non veri e propri abusi</w:t>
      </w:r>
      <w:r w:rsidR="008D31B3">
        <w:t xml:space="preserve"> </w:t>
      </w:r>
      <w:r w:rsidR="008D31B3">
        <w:rPr>
          <w:rStyle w:val="Rimandonotaapidipagina"/>
        </w:rPr>
        <w:footnoteReference w:id="33"/>
      </w:r>
      <w:r w:rsidR="0086354F">
        <w:t xml:space="preserve">. </w:t>
      </w:r>
      <w:r w:rsidR="00A30AE3">
        <w:t xml:space="preserve"> </w:t>
      </w:r>
    </w:p>
    <w:p w14:paraId="68338006" w14:textId="21B761BA" w:rsidR="00B776D4" w:rsidRDefault="00B776D4" w:rsidP="00B776D4">
      <w:pPr>
        <w:pStyle w:val="tit23"/>
        <w:ind w:left="6464" w:right="-1361" w:firstLine="0"/>
        <w:jc w:val="left"/>
        <w:rPr>
          <w:bCs/>
          <w:i/>
          <w:iCs/>
          <w:color w:val="0000FF"/>
          <w:lang w:val="it-IT"/>
        </w:rPr>
      </w:pPr>
      <w:r>
        <w:rPr>
          <w:bCs/>
          <w:i/>
          <w:iCs/>
          <w:color w:val="0000FF"/>
          <w:lang w:val="it-IT"/>
        </w:rPr>
        <w:t>S</w:t>
      </w:r>
      <w:r w:rsidR="0001650D">
        <w:rPr>
          <w:bCs/>
          <w:i/>
          <w:iCs/>
          <w:color w:val="0000FF"/>
          <w:lang w:val="it-IT"/>
        </w:rPr>
        <w:t>ua s</w:t>
      </w:r>
      <w:r>
        <w:rPr>
          <w:bCs/>
          <w:i/>
          <w:iCs/>
          <w:color w:val="0000FF"/>
          <w:lang w:val="it-IT"/>
        </w:rPr>
        <w:t xml:space="preserve">opravvalutazione teorica </w:t>
      </w:r>
    </w:p>
    <w:p w14:paraId="17D842CC" w14:textId="4BEA5A08" w:rsidR="007662AC" w:rsidRDefault="00092DB4" w:rsidP="00105A53">
      <w:pPr>
        <w:pStyle w:val="Testorientro"/>
        <w:ind w:firstLine="0"/>
        <w:rPr>
          <w:rFonts w:ascii="Times New Roman" w:hAnsi="Times New Roman" w:cs="Times New Roman"/>
        </w:rPr>
      </w:pPr>
      <w:r>
        <w:t xml:space="preserve">Il coordinamento tra valori e regole sfugge già nel diritto </w:t>
      </w:r>
      <w:r w:rsidR="0001650D" w:rsidRPr="009C1246">
        <w:rPr>
          <w:rFonts w:ascii="Times New Roman" w:hAnsi="Times New Roman" w:cs="Times New Roman"/>
          <w:i/>
        </w:rPr>
        <w:t>dei privati</w:t>
      </w:r>
      <w:r w:rsidR="0001650D">
        <w:rPr>
          <w:rFonts w:ascii="Times New Roman" w:hAnsi="Times New Roman" w:cs="Times New Roman"/>
        </w:rPr>
        <w:t>, garantito dalla funzione pubblica di giustizia</w:t>
      </w:r>
      <w:r>
        <w:t>, di chiusura per eventuali controversie</w:t>
      </w:r>
      <w:r>
        <w:rPr>
          <w:rStyle w:val="Rimandonotaapidipagina"/>
        </w:rPr>
        <w:footnoteReference w:id="34"/>
      </w:r>
      <w:r>
        <w:t xml:space="preserve">. </w:t>
      </w:r>
      <w:r w:rsidR="00B34591">
        <w:t xml:space="preserve">A maggior ragione l’idea </w:t>
      </w:r>
      <w:r w:rsidR="00E3419B">
        <w:rPr>
          <w:rFonts w:ascii="Times New Roman" w:hAnsi="Times New Roman" w:cs="Times New Roman"/>
        </w:rPr>
        <w:t>“privatistico giurisdizionale”</w:t>
      </w:r>
      <w:r w:rsidR="00CD6762">
        <w:rPr>
          <w:rFonts w:ascii="Times New Roman" w:hAnsi="Times New Roman" w:cs="Times New Roman"/>
        </w:rPr>
        <w:t xml:space="preserve"> </w:t>
      </w:r>
      <w:r w:rsidR="00B34591">
        <w:rPr>
          <w:rFonts w:ascii="Times New Roman" w:hAnsi="Times New Roman" w:cs="Times New Roman"/>
        </w:rPr>
        <w:t xml:space="preserve">del diritto, </w:t>
      </w:r>
      <w:r w:rsidR="00C107D0">
        <w:rPr>
          <w:rFonts w:ascii="Times New Roman" w:hAnsi="Times New Roman" w:cs="Times New Roman"/>
        </w:rPr>
        <w:t xml:space="preserve">privilegiando le regole </w:t>
      </w:r>
      <w:r w:rsidR="000349BF">
        <w:rPr>
          <w:rFonts w:ascii="Times New Roman" w:hAnsi="Times New Roman" w:cs="Times New Roman"/>
        </w:rPr>
        <w:t xml:space="preserve">rispetto </w:t>
      </w:r>
      <w:r>
        <w:rPr>
          <w:rFonts w:ascii="Times New Roman" w:hAnsi="Times New Roman" w:cs="Times New Roman"/>
        </w:rPr>
        <w:t>a</w:t>
      </w:r>
      <w:r w:rsidR="00C107D0">
        <w:rPr>
          <w:rFonts w:ascii="Times New Roman" w:hAnsi="Times New Roman" w:cs="Times New Roman"/>
        </w:rPr>
        <w:t>lle funzioni</w:t>
      </w:r>
      <w:r w:rsidR="00B34591">
        <w:rPr>
          <w:rFonts w:ascii="Times New Roman" w:hAnsi="Times New Roman" w:cs="Times New Roman"/>
        </w:rPr>
        <w:t>,</w:t>
      </w:r>
      <w:r>
        <w:rPr>
          <w:rFonts w:ascii="Times New Roman" w:hAnsi="Times New Roman" w:cs="Times New Roman"/>
        </w:rPr>
        <w:t xml:space="preserve"> ostacola</w:t>
      </w:r>
      <w:r w:rsidR="00B34591">
        <w:rPr>
          <w:rFonts w:ascii="Times New Roman" w:hAnsi="Times New Roman" w:cs="Times New Roman"/>
        </w:rPr>
        <w:t xml:space="preserve"> quelle </w:t>
      </w:r>
      <w:r w:rsidR="007662AC">
        <w:rPr>
          <w:rFonts w:ascii="Times New Roman" w:hAnsi="Times New Roman" w:cs="Times New Roman"/>
        </w:rPr>
        <w:t>“non giurisdizionali”,</w:t>
      </w:r>
      <w:r w:rsidR="00B34591">
        <w:rPr>
          <w:rFonts w:ascii="Times New Roman" w:hAnsi="Times New Roman" w:cs="Times New Roman"/>
        </w:rPr>
        <w:t xml:space="preserve"> come quella tributaria</w:t>
      </w:r>
      <w:r w:rsidR="00601090">
        <w:rPr>
          <w:rFonts w:ascii="Times New Roman" w:hAnsi="Times New Roman" w:cs="Times New Roman"/>
        </w:rPr>
        <w:t xml:space="preserve">. Il mancato sviluppo di un’idea “non giurisdizionale” di giuridicità ostacola </w:t>
      </w:r>
      <w:r w:rsidR="00B34591">
        <w:rPr>
          <w:rFonts w:ascii="Times New Roman" w:hAnsi="Times New Roman" w:cs="Times New Roman"/>
        </w:rPr>
        <w:t xml:space="preserve">la trasparenza </w:t>
      </w:r>
      <w:r w:rsidR="00A66D1D">
        <w:rPr>
          <w:rFonts w:ascii="Times New Roman" w:hAnsi="Times New Roman" w:cs="Times New Roman"/>
        </w:rPr>
        <w:t>e</w:t>
      </w:r>
      <w:r w:rsidR="00601090">
        <w:rPr>
          <w:rFonts w:ascii="Times New Roman" w:hAnsi="Times New Roman" w:cs="Times New Roman"/>
        </w:rPr>
        <w:t xml:space="preserve"> il controllo sociale di funzioni pubbliche fondamentali, come vedremo </w:t>
      </w:r>
      <w:r>
        <w:rPr>
          <w:rFonts w:ascii="Times New Roman" w:hAnsi="Times New Roman" w:cs="Times New Roman"/>
        </w:rPr>
        <w:t>al par.4.3</w:t>
      </w:r>
      <w:r w:rsidR="00EB400F">
        <w:rPr>
          <w:rFonts w:ascii="Times New Roman" w:hAnsi="Times New Roman" w:cs="Times New Roman"/>
        </w:rPr>
        <w:t xml:space="preserve"> </w:t>
      </w:r>
      <w:r w:rsidR="00601090">
        <w:rPr>
          <w:rFonts w:ascii="Times New Roman" w:hAnsi="Times New Roman" w:cs="Times New Roman"/>
        </w:rPr>
        <w:t xml:space="preserve">sulle spiegazioni privatistiche della funzione tributaria, </w:t>
      </w:r>
      <w:r w:rsidR="00EB400F">
        <w:rPr>
          <w:rFonts w:ascii="Times New Roman" w:hAnsi="Times New Roman" w:cs="Times New Roman"/>
        </w:rPr>
        <w:t>e con le</w:t>
      </w:r>
      <w:r w:rsidR="00601090">
        <w:rPr>
          <w:rFonts w:ascii="Times New Roman" w:hAnsi="Times New Roman" w:cs="Times New Roman"/>
        </w:rPr>
        <w:t xml:space="preserve"> sue</w:t>
      </w:r>
      <w:r w:rsidR="00EB400F">
        <w:rPr>
          <w:rFonts w:ascii="Times New Roman" w:hAnsi="Times New Roman" w:cs="Times New Roman"/>
        </w:rPr>
        <w:t xml:space="preserve"> degenerazioni processualistiche di cui al par.6.10</w:t>
      </w:r>
      <w:r w:rsidR="00CD6762">
        <w:rPr>
          <w:rFonts w:ascii="Times New Roman" w:hAnsi="Times New Roman" w:cs="Times New Roman"/>
        </w:rPr>
        <w:t xml:space="preserve">. </w:t>
      </w:r>
    </w:p>
    <w:p w14:paraId="08796F0B" w14:textId="00843F37" w:rsidR="00105A53" w:rsidRPr="007F7EBF" w:rsidRDefault="00105A53" w:rsidP="00105A53">
      <w:pPr>
        <w:pStyle w:val="tit23"/>
        <w:ind w:left="6464" w:right="-1361" w:firstLine="0"/>
        <w:jc w:val="left"/>
        <w:rPr>
          <w:bCs/>
          <w:i/>
          <w:iCs/>
          <w:color w:val="0000FF"/>
          <w:lang w:val="it-IT"/>
        </w:rPr>
      </w:pPr>
      <w:r>
        <w:rPr>
          <w:bCs/>
          <w:i/>
          <w:iCs/>
          <w:color w:val="0000FF"/>
          <w:lang w:val="it-IT"/>
        </w:rPr>
        <w:t>Studio sociale d</w:t>
      </w:r>
      <w:r w:rsidR="00EB400F">
        <w:rPr>
          <w:bCs/>
          <w:i/>
          <w:iCs/>
          <w:color w:val="0000FF"/>
          <w:lang w:val="it-IT"/>
        </w:rPr>
        <w:t>i</w:t>
      </w:r>
      <w:r>
        <w:rPr>
          <w:bCs/>
          <w:i/>
          <w:iCs/>
          <w:color w:val="0000FF"/>
          <w:lang w:val="it-IT"/>
        </w:rPr>
        <w:t xml:space="preserve"> funzioni pubbliche</w:t>
      </w:r>
      <w:r w:rsidR="00EB400F">
        <w:rPr>
          <w:bCs/>
          <w:i/>
          <w:iCs/>
          <w:color w:val="0000FF"/>
          <w:lang w:val="it-IT"/>
        </w:rPr>
        <w:t xml:space="preserve"> e tecnica</w:t>
      </w:r>
    </w:p>
    <w:p w14:paraId="3A3C06DD" w14:textId="167749A7" w:rsidR="00A926EA" w:rsidRDefault="00840EE4" w:rsidP="00D00CE7">
      <w:pPr>
        <w:pStyle w:val="Testorientro"/>
        <w:ind w:firstLine="0"/>
      </w:pPr>
      <w:r>
        <w:rPr>
          <w:rFonts w:ascii="Times New Roman" w:hAnsi="Times New Roman" w:cs="Times New Roman"/>
        </w:rPr>
        <w:t xml:space="preserve">Accenno appena, rinviando ad ulteriori approfondimenti </w:t>
      </w:r>
      <w:r>
        <w:rPr>
          <w:rStyle w:val="Rimandonotaapidipagina"/>
          <w:rFonts w:ascii="Times New Roman" w:hAnsi="Times New Roman"/>
        </w:rPr>
        <w:footnoteReference w:id="35"/>
      </w:r>
      <w:r>
        <w:rPr>
          <w:rFonts w:ascii="Times New Roman" w:hAnsi="Times New Roman" w:cs="Times New Roman"/>
        </w:rPr>
        <w:t>,</w:t>
      </w:r>
      <w:r w:rsidR="00EB400F">
        <w:rPr>
          <w:rFonts w:ascii="Times New Roman" w:hAnsi="Times New Roman" w:cs="Times New Roman"/>
        </w:rPr>
        <w:t xml:space="preserve"> </w:t>
      </w:r>
      <w:r w:rsidR="00AE0B58">
        <w:rPr>
          <w:rFonts w:ascii="Times New Roman" w:hAnsi="Times New Roman" w:cs="Times New Roman"/>
        </w:rPr>
        <w:t xml:space="preserve">all’utilità dello studio sociale del diritto come analisi di funzioni pubbliche per chiarire gli equivoci sulla c.d. </w:t>
      </w:r>
      <w:r w:rsidR="00EB400F" w:rsidRPr="004A27FA">
        <w:t>onnipotenza legislativa</w:t>
      </w:r>
      <w:r w:rsidR="00AE0B58">
        <w:t xml:space="preserve"> (par.2.1) e sul già indicato rapporto con la possibilità del</w:t>
      </w:r>
      <w:r w:rsidR="00EB400F" w:rsidRPr="004A27FA">
        <w:rPr>
          <w:rFonts w:ascii="Times New Roman" w:hAnsi="Times New Roman" w:cs="Times New Roman"/>
        </w:rPr>
        <w:t xml:space="preserve"> giudice a far </w:t>
      </w:r>
      <w:r w:rsidR="00EB400F" w:rsidRPr="004A27FA">
        <w:t>parlare</w:t>
      </w:r>
      <w:r w:rsidR="00EB400F" w:rsidRPr="004A27FA">
        <w:rPr>
          <w:rFonts w:ascii="Times New Roman" w:hAnsi="Times New Roman" w:cs="Times New Roman"/>
        </w:rPr>
        <w:t xml:space="preserve"> </w:t>
      </w:r>
      <w:r w:rsidR="00EB400F">
        <w:rPr>
          <w:rFonts w:ascii="Times New Roman" w:hAnsi="Times New Roman" w:cs="Times New Roman"/>
        </w:rPr>
        <w:t>le leggi,</w:t>
      </w:r>
      <w:r w:rsidR="00EB400F" w:rsidRPr="004A27FA">
        <w:rPr>
          <w:rFonts w:ascii="Times New Roman" w:hAnsi="Times New Roman" w:cs="Times New Roman"/>
        </w:rPr>
        <w:t xml:space="preserve"> essendone paradossalmente padrone oltre che servo</w:t>
      </w:r>
      <w:r w:rsidR="00AE0B58">
        <w:rPr>
          <w:rFonts w:ascii="Times New Roman" w:hAnsi="Times New Roman" w:cs="Times New Roman"/>
        </w:rPr>
        <w:t xml:space="preserve">. Il diritto come studio sociale di pubbliche funzioni può quindi superare </w:t>
      </w:r>
      <w:r w:rsidR="00EB400F">
        <w:t>le oscillazioni tra formalismo legislativo e sostanzialismo giudiziario</w:t>
      </w:r>
      <w:r w:rsidR="00AE0B58">
        <w:t xml:space="preserve">. </w:t>
      </w:r>
      <w:proofErr w:type="spellStart"/>
      <w:r w:rsidR="001516D7">
        <w:t>Finchè</w:t>
      </w:r>
      <w:proofErr w:type="spellEnd"/>
      <w:r w:rsidR="001516D7">
        <w:t xml:space="preserve"> </w:t>
      </w:r>
      <w:r w:rsidR="00AE0B58">
        <w:t>il bagaglio culturale comune afferra il senso delle funzioni pubbliche</w:t>
      </w:r>
      <w:r w:rsidR="001516D7">
        <w:t xml:space="preserve">, il diritto può </w:t>
      </w:r>
      <w:r w:rsidR="001516D7">
        <w:lastRenderedPageBreak/>
        <w:t xml:space="preserve">passare direttamente alla tecnica </w:t>
      </w:r>
      <w:r w:rsidR="00AE0B58">
        <w:t xml:space="preserve"> </w:t>
      </w:r>
      <w:r w:rsidR="00AE0B58">
        <w:rPr>
          <w:rStyle w:val="Rimandonotaapidipagina"/>
        </w:rPr>
        <w:footnoteReference w:id="36"/>
      </w:r>
      <w:r w:rsidR="003739F8">
        <w:t xml:space="preserve">, </w:t>
      </w:r>
      <w:r w:rsidR="001516D7">
        <w:t xml:space="preserve">altrimenti serve una spiegazione sociale a farle da cornice. E’ il senso del diritto come studio sociale di funzioni pubbliche, compresa la prospettiva </w:t>
      </w:r>
      <w:r w:rsidR="00105A53">
        <w:rPr>
          <w:rFonts w:ascii="Times New Roman" w:hAnsi="Times New Roman" w:cs="Times New Roman"/>
        </w:rPr>
        <w:t>privatistico-giurisdizionale</w:t>
      </w:r>
      <w:r w:rsidR="004B6628">
        <w:rPr>
          <w:rFonts w:ascii="Times New Roman" w:hAnsi="Times New Roman" w:cs="Times New Roman"/>
        </w:rPr>
        <w:t>,  basata come già detto sulle regole</w:t>
      </w:r>
      <w:r w:rsidR="001516D7">
        <w:rPr>
          <w:rFonts w:ascii="Times New Roman" w:hAnsi="Times New Roman" w:cs="Times New Roman"/>
        </w:rPr>
        <w:t xml:space="preserve">. In quest’ottica la </w:t>
      </w:r>
      <w:r w:rsidR="001516D7" w:rsidRPr="00BC2AE3">
        <w:t xml:space="preserve">denominazione degli studi giuridici come </w:t>
      </w:r>
      <w:r w:rsidR="001516D7">
        <w:rPr>
          <w:i/>
          <w:iCs/>
        </w:rPr>
        <w:t xml:space="preserve">diritto </w:t>
      </w:r>
      <w:r w:rsidR="001516D7">
        <w:t xml:space="preserve">anziché </w:t>
      </w:r>
      <w:r w:rsidR="001516D7" w:rsidRPr="001516D7">
        <w:rPr>
          <w:i/>
          <w:iCs/>
        </w:rPr>
        <w:t>giurisprudenza</w:t>
      </w:r>
      <w:r w:rsidR="001516D7" w:rsidRPr="00BC2AE3">
        <w:t xml:space="preserve"> o </w:t>
      </w:r>
      <w:r w:rsidR="001516D7" w:rsidRPr="001516D7">
        <w:rPr>
          <w:i/>
          <w:iCs/>
        </w:rPr>
        <w:t>legge</w:t>
      </w:r>
      <w:r w:rsidR="001516D7">
        <w:t xml:space="preserve">, avrebbe portata più generale. Questa prospettiva include tutte le </w:t>
      </w:r>
      <w:r w:rsidR="00105A53">
        <w:rPr>
          <w:rFonts w:ascii="Times New Roman" w:hAnsi="Times New Roman" w:cs="Times New Roman"/>
        </w:rPr>
        <w:t>pubbliche funzioni</w:t>
      </w:r>
      <w:r w:rsidR="004B6628">
        <w:rPr>
          <w:rFonts w:ascii="Times New Roman" w:hAnsi="Times New Roman" w:cs="Times New Roman"/>
        </w:rPr>
        <w:t xml:space="preserve">, </w:t>
      </w:r>
      <w:r w:rsidR="00042C63">
        <w:rPr>
          <w:rFonts w:ascii="Times New Roman" w:hAnsi="Times New Roman" w:cs="Times New Roman"/>
        </w:rPr>
        <w:t>in massima parte “</w:t>
      </w:r>
      <w:r w:rsidR="009F0619">
        <w:t>non giurisdizionali</w:t>
      </w:r>
      <w:r w:rsidR="00042C63">
        <w:t>”</w:t>
      </w:r>
      <w:r w:rsidR="000E3C2E">
        <w:t xml:space="preserve">, come infrastrutture, </w:t>
      </w:r>
      <w:r w:rsidR="005D5A47">
        <w:t>sicurezza</w:t>
      </w:r>
      <w:r w:rsidR="005D5A47">
        <w:rPr>
          <w:rFonts w:ascii="Times New Roman" w:hAnsi="Times New Roman" w:cs="Times New Roman"/>
        </w:rPr>
        <w:t>(</w:t>
      </w:r>
      <w:r w:rsidR="005D5A47">
        <w:rPr>
          <w:rStyle w:val="Rimandonotaapidipagina"/>
          <w:rFonts w:ascii="Times New Roman" w:hAnsi="Times New Roman"/>
        </w:rPr>
        <w:footnoteReference w:id="37"/>
      </w:r>
      <w:r w:rsidR="005D5A47">
        <w:rPr>
          <w:rFonts w:ascii="Times New Roman" w:hAnsi="Times New Roman" w:cs="Times New Roman"/>
        </w:rPr>
        <w:t>)</w:t>
      </w:r>
      <w:r w:rsidR="000E3C2E">
        <w:t>,</w:t>
      </w:r>
      <w:r w:rsidR="005D5A47">
        <w:t xml:space="preserve"> ambient</w:t>
      </w:r>
      <w:r w:rsidR="000E3C2E">
        <w:t>e</w:t>
      </w:r>
      <w:r w:rsidR="005D5A47">
        <w:t xml:space="preserve">, </w:t>
      </w:r>
      <w:r w:rsidR="005D5A47" w:rsidRPr="000A2E13">
        <w:t>sanit</w:t>
      </w:r>
      <w:r w:rsidR="000E3C2E">
        <w:t>à</w:t>
      </w:r>
      <w:r w:rsidR="005D5A47" w:rsidRPr="000A2E13">
        <w:t>, educa</w:t>
      </w:r>
      <w:r w:rsidR="000E3C2E">
        <w:t>zione</w:t>
      </w:r>
      <w:r w:rsidR="005D5A47" w:rsidRPr="000A2E13">
        <w:t xml:space="preserve">, </w:t>
      </w:r>
      <w:r w:rsidR="005D5A47">
        <w:t>cultura, previdenz</w:t>
      </w:r>
      <w:r w:rsidR="000E3C2E">
        <w:t>a</w:t>
      </w:r>
      <w:r w:rsidR="005D5A47">
        <w:t>, urbanistic</w:t>
      </w:r>
      <w:r w:rsidR="000E3C2E">
        <w:t>a</w:t>
      </w:r>
      <w:r w:rsidR="005D5A47">
        <w:t>, gestione del patrimonio (par.1.1)</w:t>
      </w:r>
      <w:r w:rsidR="004B6628">
        <w:t>,</w:t>
      </w:r>
      <w:r w:rsidR="000E3C2E">
        <w:t xml:space="preserve"> </w:t>
      </w:r>
      <w:r w:rsidR="001516D7">
        <w:t xml:space="preserve">ed ovviamente la </w:t>
      </w:r>
      <w:r w:rsidR="000E3C2E">
        <w:t>determinazione de</w:t>
      </w:r>
      <w:r w:rsidR="001516D7">
        <w:t>lle imposte, di cui ci occupiamo qui</w:t>
      </w:r>
      <w:r w:rsidR="00105A53">
        <w:t>.</w:t>
      </w:r>
      <w:r w:rsidR="004E7C41">
        <w:t xml:space="preserve"> Nelle funzioni non giurisdizionali </w:t>
      </w:r>
      <w:r w:rsidR="004B6628">
        <w:t xml:space="preserve">sono percepibili </w:t>
      </w:r>
      <w:r w:rsidR="00390578">
        <w:t>la scarsità di risorse</w:t>
      </w:r>
      <w:r w:rsidR="004E7C41">
        <w:t xml:space="preserve"> </w:t>
      </w:r>
      <w:r w:rsidR="00390578">
        <w:t xml:space="preserve">e </w:t>
      </w:r>
      <w:r w:rsidR="004E7C41">
        <w:t>la necessità di fare valutazioni, di cui r</w:t>
      </w:r>
      <w:r w:rsidR="00390578">
        <w:t>iparleremo spesso (</w:t>
      </w:r>
      <w:r w:rsidR="004E7C41">
        <w:rPr>
          <w:rStyle w:val="Rimandonotaapidipagina"/>
        </w:rPr>
        <w:footnoteReference w:id="38"/>
      </w:r>
      <w:r w:rsidR="00390578">
        <w:t>)</w:t>
      </w:r>
      <w:r w:rsidR="004E7C41">
        <w:t xml:space="preserve">. </w:t>
      </w:r>
      <w:r w:rsidR="001516D7">
        <w:t>Senza rinnegare la prospettiva  privatistico giurisdizionale del diritto come studio di regole, si tratta di valorizzarla nella</w:t>
      </w:r>
      <w:r w:rsidR="00293EDA">
        <w:t xml:space="preserve"> cornice delle </w:t>
      </w:r>
      <w:r w:rsidR="001516D7">
        <w:t xml:space="preserve">pubbliche </w:t>
      </w:r>
      <w:r w:rsidR="00293EDA">
        <w:t>funzioni</w:t>
      </w:r>
      <w:r w:rsidR="001516D7">
        <w:t>. Su questo sfondo anche</w:t>
      </w:r>
      <w:r w:rsidR="00293EDA">
        <w:t xml:space="preserve"> le regole appariranno più chiare, sia da redigere sia da interpretare</w:t>
      </w:r>
      <w:r w:rsidR="009C3C44">
        <w:t xml:space="preserve"> (</w:t>
      </w:r>
      <w:r w:rsidR="009C3C44">
        <w:rPr>
          <w:rStyle w:val="Rimandonotaapidipagina"/>
        </w:rPr>
        <w:footnoteReference w:id="39"/>
      </w:r>
      <w:r w:rsidR="009C3C44">
        <w:t>)</w:t>
      </w:r>
      <w:r w:rsidR="00B5254E">
        <w:t xml:space="preserve">; </w:t>
      </w:r>
      <w:r w:rsidR="00293EDA">
        <w:t xml:space="preserve">capire le funzioni </w:t>
      </w:r>
      <w:r w:rsidR="00501130">
        <w:t>partendo dalle regole</w:t>
      </w:r>
      <w:r w:rsidR="00B5254E">
        <w:t xml:space="preserve">, </w:t>
      </w:r>
      <w:r w:rsidR="00501130">
        <w:rPr>
          <w:rFonts w:ascii="Times New Roman" w:hAnsi="Times New Roman" w:cs="Times New Roman"/>
        </w:rPr>
        <w:t>concepite per</w:t>
      </w:r>
      <w:r w:rsidR="00B5254E">
        <w:rPr>
          <w:rFonts w:ascii="Times New Roman" w:hAnsi="Times New Roman" w:cs="Times New Roman"/>
        </w:rPr>
        <w:t xml:space="preserve"> </w:t>
      </w:r>
      <w:r w:rsidR="00501130">
        <w:rPr>
          <w:rFonts w:ascii="Times New Roman" w:hAnsi="Times New Roman" w:cs="Times New Roman"/>
        </w:rPr>
        <w:t xml:space="preserve">risolvere </w:t>
      </w:r>
      <w:r w:rsidR="00B5254E">
        <w:rPr>
          <w:rFonts w:ascii="Times New Roman" w:hAnsi="Times New Roman" w:cs="Times New Roman"/>
        </w:rPr>
        <w:t xml:space="preserve">problemi pratici, non per spiegare, è molto più difficile. </w:t>
      </w:r>
    </w:p>
    <w:p w14:paraId="69D0ACF8" w14:textId="6B689122" w:rsidR="00B17679" w:rsidRPr="007F7EBF" w:rsidRDefault="00E32BAB" w:rsidP="00B17679">
      <w:pPr>
        <w:pStyle w:val="tit23"/>
        <w:ind w:left="6464" w:right="-1361" w:firstLine="0"/>
        <w:jc w:val="left"/>
        <w:rPr>
          <w:bCs/>
          <w:i/>
          <w:iCs/>
          <w:color w:val="0000FF"/>
          <w:lang w:val="it-IT"/>
        </w:rPr>
      </w:pPr>
      <w:r>
        <w:rPr>
          <w:bCs/>
          <w:i/>
          <w:iCs/>
          <w:color w:val="0000FF"/>
          <w:lang w:val="it-IT"/>
        </w:rPr>
        <w:t xml:space="preserve">Sinergie </w:t>
      </w:r>
      <w:r w:rsidR="005441DD">
        <w:rPr>
          <w:bCs/>
          <w:i/>
          <w:iCs/>
          <w:color w:val="0000FF"/>
          <w:lang w:val="it-IT"/>
        </w:rPr>
        <w:t xml:space="preserve">tra </w:t>
      </w:r>
      <w:r w:rsidR="004359D9">
        <w:rPr>
          <w:bCs/>
          <w:i/>
          <w:iCs/>
          <w:color w:val="0000FF"/>
          <w:lang w:val="it-IT"/>
        </w:rPr>
        <w:t>studio sociale</w:t>
      </w:r>
      <w:r w:rsidR="005441DD">
        <w:rPr>
          <w:bCs/>
          <w:i/>
          <w:iCs/>
          <w:color w:val="0000FF"/>
          <w:lang w:val="it-IT"/>
        </w:rPr>
        <w:t xml:space="preserve"> e tecnica</w:t>
      </w:r>
    </w:p>
    <w:p w14:paraId="6E4BF7F7" w14:textId="79ACAE8E" w:rsidR="00C917C4" w:rsidRPr="009C3C44" w:rsidRDefault="00B5254E" w:rsidP="00C917C4">
      <w:pPr>
        <w:pStyle w:val="Testorientro"/>
        <w:ind w:firstLine="0"/>
      </w:pPr>
      <w:r>
        <w:t>I</w:t>
      </w:r>
      <w:r w:rsidR="00140E49">
        <w:t xml:space="preserve">l diritto come </w:t>
      </w:r>
      <w:r>
        <w:t>studio</w:t>
      </w:r>
      <w:r w:rsidR="00140E49">
        <w:t xml:space="preserve"> sociale delle pubbliche funzioni </w:t>
      </w:r>
      <w:r>
        <w:t xml:space="preserve">è quindi il tutto, l’insieme per contestualizzare le tecniche che ne fanno parte </w:t>
      </w:r>
      <w:r w:rsidR="00140E49">
        <w:t>(</w:t>
      </w:r>
      <w:r w:rsidR="00140E49">
        <w:rPr>
          <w:rStyle w:val="Rimandonotaapidipagina"/>
        </w:rPr>
        <w:footnoteReference w:id="40"/>
      </w:r>
      <w:r w:rsidR="00140E49">
        <w:t xml:space="preserve">). </w:t>
      </w:r>
      <w:r>
        <w:t xml:space="preserve">Questo studio sociale delle funzioni deve capire gli obiettivi che ognuna di esse deve </w:t>
      </w:r>
      <w:r w:rsidR="00E64AB3">
        <w:rPr>
          <w:rFonts w:ascii="Times New Roman" w:hAnsi="Times New Roman" w:cs="Times New Roman"/>
        </w:rPr>
        <w:t>affrontare</w:t>
      </w:r>
      <w:r>
        <w:rPr>
          <w:rFonts w:ascii="Times New Roman" w:hAnsi="Times New Roman" w:cs="Times New Roman"/>
        </w:rPr>
        <w:t xml:space="preserve">, </w:t>
      </w:r>
      <w:r w:rsidR="00E64AB3">
        <w:rPr>
          <w:rFonts w:ascii="Times New Roman" w:hAnsi="Times New Roman" w:cs="Times New Roman"/>
        </w:rPr>
        <w:t xml:space="preserve">i costi da sostenere, </w:t>
      </w:r>
      <w:r>
        <w:rPr>
          <w:rFonts w:ascii="Times New Roman" w:hAnsi="Times New Roman" w:cs="Times New Roman"/>
        </w:rPr>
        <w:t xml:space="preserve">i rischi calcolati, </w:t>
      </w:r>
      <w:r w:rsidR="00E64AB3">
        <w:rPr>
          <w:rFonts w:ascii="Times New Roman" w:hAnsi="Times New Roman" w:cs="Times New Roman"/>
        </w:rPr>
        <w:t>i punti di forza e debolezza, gli strumenti di controllo sociale. Quest</w:t>
      </w:r>
      <w:r>
        <w:rPr>
          <w:rFonts w:ascii="Times New Roman" w:hAnsi="Times New Roman" w:cs="Times New Roman"/>
        </w:rPr>
        <w:t xml:space="preserve">a prospettiva di studio sociale si addice a chi ha </w:t>
      </w:r>
      <w:r w:rsidR="00E64AB3">
        <w:rPr>
          <w:rFonts w:ascii="Times New Roman" w:hAnsi="Times New Roman" w:cs="Times New Roman"/>
        </w:rPr>
        <w:t xml:space="preserve">astratta  familiarità con </w:t>
      </w:r>
      <w:r>
        <w:rPr>
          <w:rFonts w:ascii="Times New Roman" w:hAnsi="Times New Roman" w:cs="Times New Roman"/>
        </w:rPr>
        <w:t xml:space="preserve">concetti tecnici, </w:t>
      </w:r>
      <w:r w:rsidR="00E64AB3">
        <w:rPr>
          <w:rFonts w:ascii="Times New Roman" w:hAnsi="Times New Roman" w:cs="Times New Roman"/>
        </w:rPr>
        <w:t>co</w:t>
      </w:r>
      <w:r>
        <w:rPr>
          <w:rFonts w:ascii="Times New Roman" w:hAnsi="Times New Roman" w:cs="Times New Roman"/>
        </w:rPr>
        <w:t xml:space="preserve">me </w:t>
      </w:r>
      <w:r w:rsidR="00E64AB3">
        <w:rPr>
          <w:rFonts w:ascii="Times New Roman" w:hAnsi="Times New Roman" w:cs="Times New Roman"/>
        </w:rPr>
        <w:t xml:space="preserve"> l’idea di pubblici uffici, di </w:t>
      </w:r>
      <w:r w:rsidR="00E64AB3" w:rsidRPr="00BC2AE3">
        <w:rPr>
          <w:rFonts w:ascii="Times New Roman" w:hAnsi="Times New Roman" w:cs="Times New Roman"/>
        </w:rPr>
        <w:t>interpretazion</w:t>
      </w:r>
      <w:r w:rsidR="00E64AB3">
        <w:rPr>
          <w:rFonts w:ascii="Times New Roman" w:hAnsi="Times New Roman" w:cs="Times New Roman"/>
        </w:rPr>
        <w:t>e</w:t>
      </w:r>
      <w:r w:rsidR="00E64AB3" w:rsidRPr="00BC2AE3">
        <w:rPr>
          <w:rFonts w:ascii="Times New Roman" w:hAnsi="Times New Roman" w:cs="Times New Roman"/>
        </w:rPr>
        <w:t xml:space="preserve"> di regole, </w:t>
      </w:r>
      <w:r w:rsidR="00E64AB3">
        <w:rPr>
          <w:rFonts w:ascii="Times New Roman" w:hAnsi="Times New Roman" w:cs="Times New Roman"/>
        </w:rPr>
        <w:t xml:space="preserve">di bilanciamento tra </w:t>
      </w:r>
      <w:r w:rsidR="00E64AB3" w:rsidRPr="00BC2AE3">
        <w:rPr>
          <w:rFonts w:ascii="Times New Roman" w:hAnsi="Times New Roman" w:cs="Times New Roman"/>
        </w:rPr>
        <w:lastRenderedPageBreak/>
        <w:t>valori</w:t>
      </w:r>
      <w:r w:rsidR="00E64AB3">
        <w:rPr>
          <w:rFonts w:ascii="Times New Roman" w:hAnsi="Times New Roman" w:cs="Times New Roman"/>
        </w:rPr>
        <w:t xml:space="preserve"> e</w:t>
      </w:r>
      <w:r w:rsidR="00E64AB3" w:rsidRPr="00BC2AE3">
        <w:rPr>
          <w:rFonts w:ascii="Times New Roman" w:hAnsi="Times New Roman" w:cs="Times New Roman"/>
        </w:rPr>
        <w:t xml:space="preserve"> principi</w:t>
      </w:r>
      <w:r w:rsidR="00E64AB3">
        <w:rPr>
          <w:rFonts w:ascii="Times New Roman" w:hAnsi="Times New Roman" w:cs="Times New Roman"/>
        </w:rPr>
        <w:t xml:space="preserve">, di sanzione, di potere autoritativo, di responsabilità, di valutazione comparativa di varie argomentazioni. </w:t>
      </w:r>
      <w:r>
        <w:rPr>
          <w:rFonts w:ascii="Times New Roman" w:hAnsi="Times New Roman" w:cs="Times New Roman"/>
        </w:rPr>
        <w:t>E’ un’a</w:t>
      </w:r>
      <w:r w:rsidR="00D70572">
        <w:rPr>
          <w:rFonts w:ascii="Times New Roman" w:hAnsi="Times New Roman" w:cs="Times New Roman"/>
        </w:rPr>
        <w:t>ttrezzatura mentale comune del diritto</w:t>
      </w:r>
      <w:r>
        <w:rPr>
          <w:rFonts w:ascii="Times New Roman" w:hAnsi="Times New Roman" w:cs="Times New Roman"/>
        </w:rPr>
        <w:t xml:space="preserve">, acquisibile indifferentemente in vari settori della tecnica giuridica </w:t>
      </w:r>
      <w:r w:rsidR="00D70572">
        <w:rPr>
          <w:rFonts w:ascii="Times New Roman" w:hAnsi="Times New Roman" w:cs="Times New Roman"/>
        </w:rPr>
        <w:t>(</w:t>
      </w:r>
      <w:r w:rsidR="00D70572">
        <w:rPr>
          <w:rStyle w:val="Rimandonotaapidipagina"/>
          <w:rFonts w:ascii="Times New Roman" w:hAnsi="Times New Roman"/>
        </w:rPr>
        <w:footnoteReference w:id="41"/>
      </w:r>
      <w:r w:rsidR="00D70572">
        <w:rPr>
          <w:rFonts w:ascii="Times New Roman" w:hAnsi="Times New Roman" w:cs="Times New Roman"/>
        </w:rPr>
        <w:t>)</w:t>
      </w:r>
      <w:r>
        <w:rPr>
          <w:rFonts w:ascii="Times New Roman" w:hAnsi="Times New Roman" w:cs="Times New Roman"/>
        </w:rPr>
        <w:t xml:space="preserve">, ma </w:t>
      </w:r>
      <w:r w:rsidR="00811F79">
        <w:rPr>
          <w:rFonts w:ascii="Times New Roman" w:hAnsi="Times New Roman" w:cs="Times New Roman"/>
        </w:rPr>
        <w:t xml:space="preserve">di cui sono sprovvisti altri studiosi sociali, come </w:t>
      </w:r>
      <w:r w:rsidR="005B68F9">
        <w:t>economisti, politologi, storici, sociologi, etc</w:t>
      </w:r>
      <w:r w:rsidR="00811F79">
        <w:t xml:space="preserve">.. </w:t>
      </w:r>
      <w:r w:rsidR="00811F79">
        <w:rPr>
          <w:rFonts w:ascii="Times New Roman" w:hAnsi="Times New Roman" w:cs="Times New Roman"/>
        </w:rPr>
        <w:t xml:space="preserve">Di costoro occorre prendere solo l’atteggiamento mentale “conoscitivo”, e l’attenzione al “dato sociale”, come indicato al par.4.7. </w:t>
      </w:r>
      <w:r w:rsidR="005B68F9">
        <w:rPr>
          <w:rFonts w:ascii="Times New Roman" w:hAnsi="Times New Roman" w:cs="Times New Roman"/>
        </w:rPr>
        <w:t>L</w:t>
      </w:r>
      <w:r w:rsidR="00E64AB3">
        <w:rPr>
          <w:rFonts w:ascii="Times New Roman" w:hAnsi="Times New Roman" w:cs="Times New Roman"/>
        </w:rPr>
        <w:t xml:space="preserve">e potenzialità </w:t>
      </w:r>
      <w:r w:rsidR="005B68F9">
        <w:rPr>
          <w:rFonts w:ascii="Times New Roman" w:hAnsi="Times New Roman" w:cs="Times New Roman"/>
        </w:rPr>
        <w:t>d</w:t>
      </w:r>
      <w:r w:rsidR="00E64AB3">
        <w:rPr>
          <w:rFonts w:ascii="Times New Roman" w:hAnsi="Times New Roman" w:cs="Times New Roman"/>
        </w:rPr>
        <w:t xml:space="preserve">el diritto come </w:t>
      </w:r>
      <w:r w:rsidR="00811F79">
        <w:rPr>
          <w:rFonts w:ascii="Times New Roman" w:hAnsi="Times New Roman" w:cs="Times New Roman"/>
        </w:rPr>
        <w:t>studio</w:t>
      </w:r>
      <w:r w:rsidR="00E64AB3">
        <w:rPr>
          <w:rFonts w:ascii="Times New Roman" w:hAnsi="Times New Roman" w:cs="Times New Roman"/>
        </w:rPr>
        <w:t xml:space="preserve"> sociale sono </w:t>
      </w:r>
      <w:r w:rsidR="005B68F9">
        <w:rPr>
          <w:rFonts w:ascii="Times New Roman" w:hAnsi="Times New Roman" w:cs="Times New Roman"/>
        </w:rPr>
        <w:t xml:space="preserve">quindi </w:t>
      </w:r>
      <w:r w:rsidR="00E64AB3">
        <w:rPr>
          <w:rFonts w:ascii="Times New Roman" w:hAnsi="Times New Roman" w:cs="Times New Roman"/>
        </w:rPr>
        <w:t>notevoli, proprio per il suo retroterra “tecnico-pratico”</w:t>
      </w:r>
      <w:r w:rsidR="00811F79">
        <w:rPr>
          <w:rFonts w:ascii="Times New Roman" w:hAnsi="Times New Roman" w:cs="Times New Roman"/>
        </w:rPr>
        <w:t>, e in sinergia con quest’ultimo</w:t>
      </w:r>
      <w:r w:rsidR="00E64AB3">
        <w:rPr>
          <w:rFonts w:ascii="Times New Roman" w:hAnsi="Times New Roman" w:cs="Times New Roman"/>
        </w:rPr>
        <w:t>.</w:t>
      </w:r>
      <w:r w:rsidR="00811F79">
        <w:rPr>
          <w:rFonts w:ascii="Times New Roman" w:hAnsi="Times New Roman" w:cs="Times New Roman"/>
        </w:rPr>
        <w:t xml:space="preserve"> Tra</w:t>
      </w:r>
      <w:r w:rsidR="00811F79">
        <w:t xml:space="preserve"> studio sociale delle funzioni pubbliche e tecnica giuridica non c’è quindi conflittualità, ma cooperazion</w:t>
      </w:r>
      <w:r w:rsidR="00B66EAE">
        <w:t>e. P</w:t>
      </w:r>
      <w:r w:rsidR="00811F79">
        <w:rPr>
          <w:rFonts w:ascii="Times New Roman" w:hAnsi="Times New Roman" w:cs="Times New Roman"/>
        </w:rPr>
        <w:t xml:space="preserve">roprio </w:t>
      </w:r>
      <w:r w:rsidR="00B66EAE">
        <w:rPr>
          <w:rFonts w:ascii="Times New Roman" w:hAnsi="Times New Roman" w:cs="Times New Roman"/>
        </w:rPr>
        <w:t xml:space="preserve">per la funzione </w:t>
      </w:r>
      <w:r w:rsidR="00811F79">
        <w:rPr>
          <w:rFonts w:ascii="Times New Roman" w:hAnsi="Times New Roman" w:cs="Times New Roman"/>
        </w:rPr>
        <w:t>tributaria</w:t>
      </w:r>
      <w:r w:rsidR="00B66EAE">
        <w:rPr>
          <w:rFonts w:ascii="Times New Roman" w:hAnsi="Times New Roman" w:cs="Times New Roman"/>
        </w:rPr>
        <w:t xml:space="preserve"> vedremo ai </w:t>
      </w:r>
      <w:r w:rsidR="00811F79">
        <w:rPr>
          <w:rFonts w:ascii="Times New Roman" w:hAnsi="Times New Roman" w:cs="Times New Roman"/>
        </w:rPr>
        <w:t>parr.3.16 e 4.3</w:t>
      </w:r>
      <w:r w:rsidR="00B66EAE">
        <w:rPr>
          <w:rFonts w:ascii="Times New Roman" w:hAnsi="Times New Roman" w:cs="Times New Roman"/>
        </w:rPr>
        <w:t xml:space="preserve"> quanto la tecnica abbia necessità di </w:t>
      </w:r>
      <w:r w:rsidR="00811F79">
        <w:t>adeguate spiegazioni sociali</w:t>
      </w:r>
      <w:r w:rsidR="00F82BD7">
        <w:t>, come retroterra</w:t>
      </w:r>
      <w:r w:rsidR="00811F79">
        <w:t xml:space="preserve">. </w:t>
      </w:r>
      <w:r w:rsidR="00F82BD7">
        <w:t>Lasciando impregiudicata l’interlocuzione tecnica, anzi salvaguardandola, il diritto trova così spazio tra gli studi sociali, senza</w:t>
      </w:r>
      <w:r w:rsidR="00811F79">
        <w:t xml:space="preserve"> le divagazioni valoriali da cui giustamente </w:t>
      </w:r>
      <w:r w:rsidR="006C6D34">
        <w:t>metteva in guardia il positivismo</w:t>
      </w:r>
      <w:r w:rsidR="00811F79">
        <w:t xml:space="preserve"> (</w:t>
      </w:r>
      <w:r w:rsidR="006C6D34">
        <w:t xml:space="preserve"> par.4.3 e 4.7</w:t>
      </w:r>
      <w:r w:rsidR="00811F79">
        <w:t>)</w:t>
      </w:r>
      <w:r w:rsidR="0046353B">
        <w:t xml:space="preserve">. </w:t>
      </w:r>
    </w:p>
    <w:p w14:paraId="7374A47B" w14:textId="4ABB9607" w:rsidR="00C917C4" w:rsidRPr="007F7EBF" w:rsidRDefault="00F14476" w:rsidP="00C917C4">
      <w:pPr>
        <w:pStyle w:val="tit23"/>
        <w:ind w:left="6464" w:right="-1361" w:firstLine="0"/>
        <w:jc w:val="left"/>
        <w:rPr>
          <w:lang w:val="it-IT"/>
        </w:rPr>
      </w:pPr>
      <w:r>
        <w:rPr>
          <w:bCs/>
          <w:i/>
          <w:iCs/>
          <w:color w:val="0000FF"/>
          <w:lang w:val="it-IT"/>
        </w:rPr>
        <w:t>Nuove prospettive del diritto come studio di funzioni</w:t>
      </w:r>
    </w:p>
    <w:p w14:paraId="53B08F10" w14:textId="25BF85CA" w:rsidR="00D016A9" w:rsidRPr="00F14476" w:rsidRDefault="00C917C4" w:rsidP="00CA22DE">
      <w:pPr>
        <w:pStyle w:val="Testorientro"/>
        <w:ind w:firstLine="0"/>
        <w:rPr>
          <w:rFonts w:ascii="Times New Roman" w:hAnsi="Times New Roman" w:cs="Times New Roman"/>
        </w:rPr>
      </w:pPr>
      <w:r>
        <w:rPr>
          <w:rFonts w:ascii="Times New Roman" w:hAnsi="Times New Roman" w:cs="Times New Roman"/>
        </w:rPr>
        <w:t xml:space="preserve">Questa </w:t>
      </w:r>
      <w:r w:rsidR="00F82BD7">
        <w:rPr>
          <w:rFonts w:ascii="Times New Roman" w:hAnsi="Times New Roman" w:cs="Times New Roman"/>
        </w:rPr>
        <w:t>centralità</w:t>
      </w:r>
      <w:r>
        <w:rPr>
          <w:rFonts w:ascii="Times New Roman" w:hAnsi="Times New Roman" w:cs="Times New Roman"/>
        </w:rPr>
        <w:t xml:space="preserve"> delle funzioni, </w:t>
      </w:r>
      <w:r w:rsidR="00F82BD7">
        <w:rPr>
          <w:rFonts w:ascii="Times New Roman" w:hAnsi="Times New Roman" w:cs="Times New Roman"/>
        </w:rPr>
        <w:t xml:space="preserve">relativizza </w:t>
      </w:r>
      <w:r w:rsidR="0046353B" w:rsidRPr="005866B1">
        <w:rPr>
          <w:rFonts w:ascii="Times New Roman" w:hAnsi="Times New Roman" w:cs="Times New Roman"/>
        </w:rPr>
        <w:t xml:space="preserve">il modello </w:t>
      </w:r>
      <w:r w:rsidR="00F82BD7">
        <w:rPr>
          <w:rFonts w:ascii="Times New Roman" w:hAnsi="Times New Roman" w:cs="Times New Roman"/>
        </w:rPr>
        <w:t xml:space="preserve">del processo, con la sua </w:t>
      </w:r>
      <w:proofErr w:type="spellStart"/>
      <w:r w:rsidR="00F82BD7">
        <w:rPr>
          <w:rFonts w:ascii="Times New Roman" w:hAnsi="Times New Roman" w:cs="Times New Roman"/>
        </w:rPr>
        <w:t>trilateralità</w:t>
      </w:r>
      <w:proofErr w:type="spellEnd"/>
      <w:r w:rsidR="0046353B" w:rsidRPr="005866B1">
        <w:t xml:space="preserve"> (“due parti e un giudice”) </w:t>
      </w:r>
      <w:r w:rsidR="00F82BD7">
        <w:t xml:space="preserve">rispetto alla generale interlocuzione con un pubblico ufficio; </w:t>
      </w:r>
      <w:r w:rsidR="0046353B" w:rsidRPr="005866B1">
        <w:t xml:space="preserve">il </w:t>
      </w:r>
      <w:r w:rsidR="00F82BD7">
        <w:t xml:space="preserve">modello base dell’agire giuridico è insomma l’interlocuzione di uno o più soggetti con un pubblico ufficio, compreso il giudice. Il </w:t>
      </w:r>
      <w:r w:rsidR="0046353B" w:rsidRPr="005866B1">
        <w:t xml:space="preserve">procedimento amministrativo, caratterizzato da un’amministrazione e da una controparte, </w:t>
      </w:r>
      <w:r w:rsidR="00F82BD7">
        <w:t xml:space="preserve">coi </w:t>
      </w:r>
      <w:r w:rsidR="0046353B" w:rsidRPr="005866B1">
        <w:t xml:space="preserve">controinteressati </w:t>
      </w:r>
      <w:r w:rsidR="00F82BD7">
        <w:t xml:space="preserve">meramente eventuali, </w:t>
      </w:r>
      <w:r w:rsidR="0046353B" w:rsidRPr="005866B1">
        <w:t xml:space="preserve">è quindi un modello molto più generale, da </w:t>
      </w:r>
      <w:r w:rsidR="00F82BD7">
        <w:t>riferire</w:t>
      </w:r>
      <w:r w:rsidR="0046353B" w:rsidRPr="005866B1">
        <w:t xml:space="preserve"> poi </w:t>
      </w:r>
      <w:r w:rsidR="00F82BD7">
        <w:t>a</w:t>
      </w:r>
      <w:r w:rsidR="0046353B" w:rsidRPr="005866B1">
        <w:t>lle varie  le funzioni pubbliche</w:t>
      </w:r>
      <w:r w:rsidR="0046353B" w:rsidRPr="005866B1">
        <w:rPr>
          <w:rFonts w:ascii="Times New Roman" w:hAnsi="Times New Roman" w:cs="Times New Roman"/>
        </w:rPr>
        <w:t xml:space="preserve"> </w:t>
      </w:r>
      <w:r w:rsidR="0046353B" w:rsidRPr="005866B1">
        <w:t>(</w:t>
      </w:r>
      <w:r w:rsidR="0046353B" w:rsidRPr="005866B1">
        <w:rPr>
          <w:rStyle w:val="Rimandonotaapidipagina"/>
        </w:rPr>
        <w:footnoteReference w:id="42"/>
      </w:r>
      <w:r w:rsidR="0046353B" w:rsidRPr="005866B1">
        <w:t>).</w:t>
      </w:r>
      <w:r w:rsidR="00F14476">
        <w:t xml:space="preserve"> Si intravedono così nuove prospettive accanto a quella </w:t>
      </w:r>
      <w:r>
        <w:rPr>
          <w:rFonts w:ascii="Times New Roman" w:hAnsi="Times New Roman" w:cs="Times New Roman"/>
        </w:rPr>
        <w:t>privatistico-giurisdizionale</w:t>
      </w:r>
      <w:r w:rsidR="005866B1">
        <w:rPr>
          <w:rFonts w:ascii="Times New Roman" w:hAnsi="Times New Roman" w:cs="Times New Roman"/>
        </w:rPr>
        <w:t xml:space="preserve"> </w:t>
      </w:r>
      <w:r w:rsidR="00F14476">
        <w:rPr>
          <w:rFonts w:ascii="Times New Roman" w:hAnsi="Times New Roman" w:cs="Times New Roman"/>
        </w:rPr>
        <w:t>del</w:t>
      </w:r>
      <w:r>
        <w:rPr>
          <w:rFonts w:ascii="Times New Roman" w:hAnsi="Times New Roman" w:cs="Times New Roman"/>
        </w:rPr>
        <w:t xml:space="preserve"> “rispetto delle regole”, in cui consiste lo “ius </w:t>
      </w:r>
      <w:proofErr w:type="spellStart"/>
      <w:r>
        <w:rPr>
          <w:rFonts w:ascii="Times New Roman" w:hAnsi="Times New Roman" w:cs="Times New Roman"/>
        </w:rPr>
        <w:t>dicere</w:t>
      </w:r>
      <w:proofErr w:type="spellEnd"/>
      <w:r>
        <w:rPr>
          <w:rFonts w:ascii="Times New Roman" w:hAnsi="Times New Roman" w:cs="Times New Roman"/>
        </w:rPr>
        <w:t xml:space="preserve">”, </w:t>
      </w:r>
      <w:r w:rsidR="00F14476">
        <w:rPr>
          <w:rFonts w:ascii="Times New Roman" w:hAnsi="Times New Roman" w:cs="Times New Roman"/>
        </w:rPr>
        <w:t xml:space="preserve">come il </w:t>
      </w:r>
      <w:r>
        <w:rPr>
          <w:rFonts w:ascii="Times New Roman" w:hAnsi="Times New Roman" w:cs="Times New Roman"/>
        </w:rPr>
        <w:t>raggiungimento degli obiettivi sostanziali</w:t>
      </w:r>
      <w:r w:rsidR="00F14476">
        <w:rPr>
          <w:rFonts w:ascii="Times New Roman" w:hAnsi="Times New Roman" w:cs="Times New Roman"/>
        </w:rPr>
        <w:t xml:space="preserve">, l’assunzione di iniziative e di responsabilità facendosi </w:t>
      </w:r>
      <w:r w:rsidR="00F14476">
        <w:rPr>
          <w:rFonts w:ascii="Times New Roman" w:hAnsi="Times New Roman" w:cs="Times New Roman"/>
        </w:rPr>
        <w:lastRenderedPageBreak/>
        <w:t xml:space="preserve">interpreti della propria funzione, nei margini di cui al par.5.10 </w:t>
      </w:r>
    </w:p>
    <w:p w14:paraId="4A9A13AE" w14:textId="77777777" w:rsidR="00CA22DE" w:rsidRPr="00CA22DE" w:rsidRDefault="00CA22DE" w:rsidP="00CA22DE">
      <w:pPr>
        <w:pStyle w:val="Testorientro"/>
        <w:ind w:firstLine="0"/>
        <w:rPr>
          <w:rFonts w:ascii="Times New Roman" w:hAnsi="Times New Roman" w:cs="Times New Roman"/>
        </w:rPr>
      </w:pPr>
    </w:p>
    <w:p w14:paraId="3DC0C173" w14:textId="5458983A" w:rsidR="00B17CC6" w:rsidRPr="00DA5CCD" w:rsidRDefault="00B17CC6" w:rsidP="00CA7FB7">
      <w:pPr>
        <w:pStyle w:val="Titolo3"/>
        <w:rPr>
          <w:rFonts w:ascii="Times New Roman" w:hAnsi="Times New Roman"/>
          <w:sz w:val="22"/>
          <w:szCs w:val="22"/>
          <w:lang w:val="it-IT"/>
        </w:rPr>
      </w:pPr>
      <w:bookmarkStart w:id="9" w:name="_Toc63364930"/>
      <w:r w:rsidRPr="007F7EBF">
        <w:rPr>
          <w:rFonts w:ascii="Times New Roman" w:hAnsi="Times New Roman"/>
          <w:sz w:val="22"/>
          <w:szCs w:val="22"/>
        </w:rPr>
        <w:t xml:space="preserve">1.4. </w:t>
      </w:r>
      <w:r w:rsidR="00E17B28">
        <w:rPr>
          <w:rFonts w:ascii="Times New Roman" w:hAnsi="Times New Roman"/>
          <w:sz w:val="22"/>
          <w:szCs w:val="22"/>
          <w:lang w:val="it-IT"/>
        </w:rPr>
        <w:t xml:space="preserve">La determinazione degli imponibili, </w:t>
      </w:r>
      <w:r w:rsidR="007A2EC7">
        <w:rPr>
          <w:rFonts w:ascii="Times New Roman" w:hAnsi="Times New Roman"/>
          <w:sz w:val="22"/>
          <w:szCs w:val="22"/>
          <w:lang w:val="it-IT"/>
        </w:rPr>
        <w:t xml:space="preserve">dalle </w:t>
      </w:r>
      <w:proofErr w:type="spellStart"/>
      <w:r w:rsidR="007A2EC7">
        <w:rPr>
          <w:rFonts w:ascii="Times New Roman" w:hAnsi="Times New Roman"/>
          <w:sz w:val="22"/>
          <w:szCs w:val="22"/>
          <w:lang w:val="it-IT"/>
        </w:rPr>
        <w:t>antich</w:t>
      </w:r>
      <w:proofErr w:type="spellEnd"/>
      <w:r w:rsidR="00304058" w:rsidRPr="007F7EBF">
        <w:rPr>
          <w:rFonts w:ascii="Times New Roman" w:hAnsi="Times New Roman"/>
          <w:sz w:val="22"/>
          <w:szCs w:val="22"/>
        </w:rPr>
        <w:t xml:space="preserve">e </w:t>
      </w:r>
      <w:r w:rsidR="008063CF" w:rsidRPr="007F7EBF">
        <w:rPr>
          <w:rFonts w:ascii="Times New Roman" w:hAnsi="Times New Roman"/>
          <w:sz w:val="22"/>
          <w:szCs w:val="22"/>
        </w:rPr>
        <w:t xml:space="preserve">stime </w:t>
      </w:r>
      <w:r w:rsidR="007A2EC7">
        <w:rPr>
          <w:rFonts w:ascii="Times New Roman" w:hAnsi="Times New Roman"/>
          <w:sz w:val="22"/>
          <w:szCs w:val="22"/>
          <w:lang w:val="it-IT"/>
        </w:rPr>
        <w:t>a</w:t>
      </w:r>
      <w:r w:rsidR="00DA5CCD">
        <w:rPr>
          <w:rFonts w:ascii="Times New Roman" w:hAnsi="Times New Roman"/>
          <w:sz w:val="22"/>
          <w:szCs w:val="22"/>
          <w:lang w:val="it-IT"/>
        </w:rPr>
        <w:t xml:space="preserve">lla documentazione </w:t>
      </w:r>
      <w:r w:rsidR="008063CF" w:rsidRPr="007F7EBF">
        <w:rPr>
          <w:rFonts w:ascii="Times New Roman" w:hAnsi="Times New Roman"/>
          <w:sz w:val="22"/>
          <w:szCs w:val="22"/>
        </w:rPr>
        <w:t>aziendal</w:t>
      </w:r>
      <w:r w:rsidR="00DA5CCD">
        <w:rPr>
          <w:rFonts w:ascii="Times New Roman" w:hAnsi="Times New Roman"/>
          <w:sz w:val="22"/>
          <w:szCs w:val="22"/>
          <w:lang w:val="it-IT"/>
        </w:rPr>
        <w:t>e</w:t>
      </w:r>
      <w:bookmarkEnd w:id="9"/>
    </w:p>
    <w:p w14:paraId="26CA3983" w14:textId="18768837" w:rsidR="00B17CC6" w:rsidRPr="007F7EBF" w:rsidRDefault="00A65E01" w:rsidP="00B17CC6">
      <w:pPr>
        <w:pStyle w:val="tit23"/>
        <w:ind w:left="6464" w:right="-1361" w:firstLine="0"/>
        <w:jc w:val="left"/>
        <w:rPr>
          <w:bCs/>
          <w:i/>
          <w:iCs/>
          <w:color w:val="0000FF"/>
          <w:lang w:val="it-IT"/>
        </w:rPr>
      </w:pPr>
      <w:r>
        <w:rPr>
          <w:bCs/>
          <w:i/>
          <w:iCs/>
          <w:color w:val="0000FF"/>
          <w:lang w:val="it-IT"/>
        </w:rPr>
        <w:t>tributi fondiari e privilegi militari</w:t>
      </w:r>
    </w:p>
    <w:p w14:paraId="370D1D2C" w14:textId="41B30DEE" w:rsidR="000F5145" w:rsidRPr="007F7EBF" w:rsidRDefault="00532919" w:rsidP="00F52B15">
      <w:pPr>
        <w:autoSpaceDE w:val="0"/>
        <w:autoSpaceDN w:val="0"/>
        <w:adjustRightInd w:val="0"/>
        <w:rPr>
          <w:bCs/>
          <w:i/>
          <w:iCs/>
          <w:color w:val="0000FF"/>
          <w:sz w:val="22"/>
          <w:szCs w:val="22"/>
        </w:rPr>
      </w:pPr>
      <w:r>
        <w:rPr>
          <w:sz w:val="22"/>
          <w:szCs w:val="22"/>
        </w:rPr>
        <w:t xml:space="preserve">Durante i </w:t>
      </w:r>
      <w:r w:rsidR="002261E3">
        <w:rPr>
          <w:sz w:val="22"/>
          <w:szCs w:val="22"/>
        </w:rPr>
        <w:t xml:space="preserve">millenni </w:t>
      </w:r>
      <w:r>
        <w:rPr>
          <w:sz w:val="22"/>
          <w:szCs w:val="22"/>
        </w:rPr>
        <w:t xml:space="preserve">in cui </w:t>
      </w:r>
      <w:r w:rsidR="002261E3">
        <w:rPr>
          <w:sz w:val="22"/>
          <w:szCs w:val="22"/>
        </w:rPr>
        <w:t>la principale fonte di sostentamento è stata l’agricoltura</w:t>
      </w:r>
      <w:r w:rsidR="00180EC6">
        <w:rPr>
          <w:sz w:val="22"/>
          <w:szCs w:val="22"/>
        </w:rPr>
        <w:t>, le imposte su di essa</w:t>
      </w:r>
      <w:r>
        <w:rPr>
          <w:sz w:val="22"/>
          <w:szCs w:val="22"/>
        </w:rPr>
        <w:t xml:space="preserve"> sono state determinate stimando </w:t>
      </w:r>
      <w:r w:rsidR="004B1A0E">
        <w:rPr>
          <w:sz w:val="22"/>
          <w:szCs w:val="22"/>
        </w:rPr>
        <w:t xml:space="preserve">il rendimento delle varie coltivazioni; la loro </w:t>
      </w:r>
      <w:r w:rsidR="00B80CB9">
        <w:rPr>
          <w:sz w:val="22"/>
          <w:szCs w:val="22"/>
        </w:rPr>
        <w:t>visibilità consentiva</w:t>
      </w:r>
      <w:r w:rsidR="002127B5">
        <w:rPr>
          <w:sz w:val="22"/>
          <w:szCs w:val="22"/>
        </w:rPr>
        <w:t xml:space="preserve">, tramite </w:t>
      </w:r>
      <w:r w:rsidR="00B80CB9">
        <w:rPr>
          <w:sz w:val="22"/>
          <w:szCs w:val="22"/>
        </w:rPr>
        <w:t>varie tipologie di incaricati</w:t>
      </w:r>
      <w:r w:rsidR="002127B5">
        <w:rPr>
          <w:sz w:val="22"/>
          <w:szCs w:val="22"/>
        </w:rPr>
        <w:t xml:space="preserve">, </w:t>
      </w:r>
      <w:r w:rsidR="004B1A0E">
        <w:rPr>
          <w:sz w:val="22"/>
          <w:szCs w:val="22"/>
        </w:rPr>
        <w:t>una</w:t>
      </w:r>
      <w:r w:rsidR="00B80CB9">
        <w:rPr>
          <w:sz w:val="22"/>
          <w:szCs w:val="22"/>
        </w:rPr>
        <w:t xml:space="preserve"> </w:t>
      </w:r>
      <w:r w:rsidR="002127B5">
        <w:rPr>
          <w:sz w:val="22"/>
          <w:szCs w:val="22"/>
        </w:rPr>
        <w:t xml:space="preserve">stima </w:t>
      </w:r>
      <w:r w:rsidR="00B80CB9">
        <w:rPr>
          <w:sz w:val="22"/>
          <w:szCs w:val="22"/>
        </w:rPr>
        <w:t>de</w:t>
      </w:r>
      <w:r w:rsidR="002127B5">
        <w:rPr>
          <w:sz w:val="22"/>
          <w:szCs w:val="22"/>
        </w:rPr>
        <w:t>l rendimento</w:t>
      </w:r>
      <w:r w:rsidR="004B1A0E">
        <w:rPr>
          <w:sz w:val="22"/>
          <w:szCs w:val="22"/>
        </w:rPr>
        <w:t xml:space="preserve">, oggi cristallizzata nei modi “catastali” di cui </w:t>
      </w:r>
      <w:r w:rsidR="002127B5">
        <w:rPr>
          <w:sz w:val="22"/>
          <w:szCs w:val="22"/>
        </w:rPr>
        <w:t xml:space="preserve"> al </w:t>
      </w:r>
      <w:r w:rsidR="002127B5">
        <w:t xml:space="preserve">par.8.2. </w:t>
      </w:r>
      <w:r w:rsidR="00B80CB9">
        <w:t xml:space="preserve">Vi ritroviamo </w:t>
      </w:r>
      <w:r w:rsidR="002127B5" w:rsidRPr="007F7EBF">
        <w:rPr>
          <w:sz w:val="22"/>
          <w:szCs w:val="22"/>
        </w:rPr>
        <w:t xml:space="preserve">la </w:t>
      </w:r>
      <w:r w:rsidR="00B80CB9">
        <w:rPr>
          <w:sz w:val="22"/>
          <w:szCs w:val="22"/>
        </w:rPr>
        <w:t xml:space="preserve">derivazione </w:t>
      </w:r>
      <w:r w:rsidR="002127B5">
        <w:rPr>
          <w:sz w:val="22"/>
          <w:szCs w:val="22"/>
        </w:rPr>
        <w:t xml:space="preserve">del </w:t>
      </w:r>
      <w:r w:rsidR="00816C25">
        <w:rPr>
          <w:sz w:val="22"/>
          <w:szCs w:val="22"/>
        </w:rPr>
        <w:t>diritto dalla politica (par.1.3)</w:t>
      </w:r>
      <w:r w:rsidR="002127B5">
        <w:rPr>
          <w:sz w:val="22"/>
          <w:szCs w:val="22"/>
        </w:rPr>
        <w:t xml:space="preserve">, </w:t>
      </w:r>
      <w:r w:rsidR="004B1A0E">
        <w:rPr>
          <w:sz w:val="22"/>
          <w:szCs w:val="22"/>
        </w:rPr>
        <w:t xml:space="preserve">come potere sul territorio, e </w:t>
      </w:r>
      <w:r w:rsidR="00BD4031">
        <w:rPr>
          <w:sz w:val="22"/>
          <w:szCs w:val="22"/>
        </w:rPr>
        <w:t xml:space="preserve">il nesso tra funzione di </w:t>
      </w:r>
      <w:r w:rsidR="004B1A0E" w:rsidRPr="007F7EBF">
        <w:rPr>
          <w:sz w:val="22"/>
          <w:szCs w:val="22"/>
        </w:rPr>
        <w:t>amministrazione patrimoniale</w:t>
      </w:r>
      <w:r w:rsidR="004B1A0E">
        <w:rPr>
          <w:sz w:val="22"/>
          <w:szCs w:val="22"/>
        </w:rPr>
        <w:t xml:space="preserve"> (par.1.1)</w:t>
      </w:r>
      <w:r w:rsidR="00643786">
        <w:rPr>
          <w:sz w:val="22"/>
          <w:szCs w:val="22"/>
        </w:rPr>
        <w:t xml:space="preserve"> </w:t>
      </w:r>
      <w:r w:rsidR="00BD4031">
        <w:rPr>
          <w:sz w:val="22"/>
          <w:szCs w:val="22"/>
        </w:rPr>
        <w:t>e funzione tributaria</w:t>
      </w:r>
      <w:r w:rsidR="004B1A0E">
        <w:rPr>
          <w:sz w:val="22"/>
          <w:szCs w:val="22"/>
        </w:rPr>
        <w:t xml:space="preserve"> </w:t>
      </w:r>
      <w:r>
        <w:rPr>
          <w:sz w:val="22"/>
          <w:szCs w:val="22"/>
        </w:rPr>
        <w:t>(</w:t>
      </w:r>
      <w:r w:rsidRPr="007F7EBF">
        <w:rPr>
          <w:rStyle w:val="Rimandonotaapidipagina"/>
          <w:sz w:val="22"/>
          <w:szCs w:val="22"/>
        </w:rPr>
        <w:footnoteReference w:id="43"/>
      </w:r>
      <w:r w:rsidR="005051B7">
        <w:rPr>
          <w:sz w:val="22"/>
          <w:szCs w:val="22"/>
        </w:rPr>
        <w:t>)</w:t>
      </w:r>
      <w:r>
        <w:rPr>
          <w:sz w:val="22"/>
          <w:szCs w:val="22"/>
        </w:rPr>
        <w:t xml:space="preserve">. </w:t>
      </w:r>
    </w:p>
    <w:p w14:paraId="0D24FEDF" w14:textId="7661308C" w:rsidR="000F5145" w:rsidRPr="007F7EBF" w:rsidRDefault="000F5145" w:rsidP="000F5145">
      <w:pPr>
        <w:pStyle w:val="tit23"/>
        <w:ind w:left="6464" w:right="-1361" w:firstLine="0"/>
        <w:jc w:val="left"/>
        <w:rPr>
          <w:bCs/>
          <w:i/>
          <w:iCs/>
          <w:color w:val="0000FF"/>
          <w:lang w:val="it-IT"/>
        </w:rPr>
      </w:pPr>
      <w:r w:rsidRPr="007F7EBF">
        <w:rPr>
          <w:bCs/>
          <w:i/>
          <w:iCs/>
          <w:color w:val="0000FF"/>
          <w:lang w:val="it-IT"/>
        </w:rPr>
        <w:t>Tributi sui movimenti di merci</w:t>
      </w:r>
      <w:r w:rsidR="006D6FD3" w:rsidRPr="007F7EBF">
        <w:rPr>
          <w:bCs/>
          <w:i/>
          <w:iCs/>
          <w:color w:val="0000FF"/>
          <w:lang w:val="it-IT"/>
        </w:rPr>
        <w:t xml:space="preserve"> e sugli atti giuridici (rinvi</w:t>
      </w:r>
      <w:r w:rsidR="005F7F44">
        <w:rPr>
          <w:bCs/>
          <w:i/>
          <w:iCs/>
          <w:color w:val="0000FF"/>
          <w:lang w:val="it-IT"/>
        </w:rPr>
        <w:t>i</w:t>
      </w:r>
      <w:r w:rsidR="006D6FD3" w:rsidRPr="007F7EBF">
        <w:rPr>
          <w:bCs/>
          <w:i/>
          <w:iCs/>
          <w:color w:val="0000FF"/>
          <w:lang w:val="it-IT"/>
        </w:rPr>
        <w:t>)</w:t>
      </w:r>
    </w:p>
    <w:p w14:paraId="5F527B57" w14:textId="75754965" w:rsidR="00BD66C3" w:rsidRPr="007F7EBF" w:rsidRDefault="00303B79" w:rsidP="00303B79">
      <w:pPr>
        <w:autoSpaceDE w:val="0"/>
        <w:autoSpaceDN w:val="0"/>
        <w:adjustRightInd w:val="0"/>
        <w:rPr>
          <w:sz w:val="22"/>
          <w:szCs w:val="22"/>
        </w:rPr>
      </w:pPr>
      <w:r>
        <w:rPr>
          <w:sz w:val="22"/>
          <w:szCs w:val="22"/>
        </w:rPr>
        <w:t xml:space="preserve">Molto facile era anche la tassazione del commercio, non certo gli scambi “di vicinato” tra agricoltori, pastori e artigiani, ma l’attività mercantile sulle lunghe distanze. Le merci trasportate erano un indizio di ricchezza facilmente visibile nel loro passaggio su </w:t>
      </w:r>
      <w:r w:rsidRPr="007F7EBF">
        <w:rPr>
          <w:sz w:val="22"/>
          <w:szCs w:val="22"/>
        </w:rPr>
        <w:t xml:space="preserve">strade, ponti, guadi fluviali, porti </w:t>
      </w:r>
      <w:proofErr w:type="spellStart"/>
      <w:r w:rsidRPr="007F7EBF">
        <w:rPr>
          <w:sz w:val="22"/>
          <w:szCs w:val="22"/>
        </w:rPr>
        <w:t>etc</w:t>
      </w:r>
      <w:proofErr w:type="spellEnd"/>
      <w:r>
        <w:rPr>
          <w:sz w:val="22"/>
          <w:szCs w:val="22"/>
        </w:rPr>
        <w:t xml:space="preserve"> , tutti oggetto di controllo amministrativo del territorio per esigenze di ordine pubblico (</w:t>
      </w:r>
      <w:r>
        <w:rPr>
          <w:rStyle w:val="Rimandonotaapidipagina"/>
          <w:sz w:val="22"/>
          <w:szCs w:val="22"/>
        </w:rPr>
        <w:footnoteReference w:id="44"/>
      </w:r>
      <w:r>
        <w:rPr>
          <w:sz w:val="22"/>
          <w:szCs w:val="22"/>
        </w:rPr>
        <w:t xml:space="preserve">); è la matrice delle imposte sui consumi </w:t>
      </w:r>
      <w:r w:rsidRPr="007F7EBF">
        <w:rPr>
          <w:sz w:val="22"/>
          <w:szCs w:val="22"/>
        </w:rPr>
        <w:t>(par.1.8),</w:t>
      </w:r>
      <w:r>
        <w:rPr>
          <w:sz w:val="22"/>
          <w:szCs w:val="22"/>
        </w:rPr>
        <w:t xml:space="preserve"> oggi consistenti nell’</w:t>
      </w:r>
      <w:r w:rsidRPr="007F7EBF">
        <w:rPr>
          <w:sz w:val="22"/>
          <w:szCs w:val="22"/>
        </w:rPr>
        <w:t xml:space="preserve">IVA </w:t>
      </w:r>
      <w:r>
        <w:rPr>
          <w:sz w:val="22"/>
          <w:szCs w:val="22"/>
        </w:rPr>
        <w:t xml:space="preserve">(par.7.2) </w:t>
      </w:r>
      <w:r w:rsidRPr="007F7EBF">
        <w:rPr>
          <w:sz w:val="22"/>
          <w:szCs w:val="22"/>
        </w:rPr>
        <w:t xml:space="preserve">e </w:t>
      </w:r>
      <w:r>
        <w:rPr>
          <w:sz w:val="22"/>
          <w:szCs w:val="22"/>
        </w:rPr>
        <w:t xml:space="preserve">nei </w:t>
      </w:r>
      <w:r w:rsidRPr="007F7EBF">
        <w:rPr>
          <w:sz w:val="22"/>
          <w:szCs w:val="22"/>
        </w:rPr>
        <w:t>tributi doganali</w:t>
      </w:r>
      <w:r>
        <w:rPr>
          <w:sz w:val="22"/>
          <w:szCs w:val="22"/>
        </w:rPr>
        <w:t xml:space="preserve"> (par.10.7). </w:t>
      </w:r>
    </w:p>
    <w:p w14:paraId="7A5299A2" w14:textId="09906958" w:rsidR="00404A8D" w:rsidRPr="007F7EBF" w:rsidRDefault="00BD66C3" w:rsidP="007538E6">
      <w:pPr>
        <w:autoSpaceDE w:val="0"/>
        <w:autoSpaceDN w:val="0"/>
        <w:adjustRightInd w:val="0"/>
        <w:rPr>
          <w:sz w:val="22"/>
          <w:szCs w:val="22"/>
        </w:rPr>
      </w:pPr>
      <w:r w:rsidRPr="007F7EBF">
        <w:rPr>
          <w:sz w:val="22"/>
          <w:szCs w:val="22"/>
        </w:rPr>
        <w:t>Un’altra manifestazione d</w:t>
      </w:r>
      <w:r w:rsidR="007538E6" w:rsidRPr="007F7EBF">
        <w:rPr>
          <w:sz w:val="22"/>
          <w:szCs w:val="22"/>
        </w:rPr>
        <w:t>i</w:t>
      </w:r>
      <w:r w:rsidRPr="007F7EBF">
        <w:rPr>
          <w:sz w:val="22"/>
          <w:szCs w:val="22"/>
        </w:rPr>
        <w:t xml:space="preserve"> ricchezza, soggetta spesso a </w:t>
      </w:r>
      <w:r w:rsidR="00932A07" w:rsidRPr="007F7EBF">
        <w:rPr>
          <w:sz w:val="22"/>
          <w:szCs w:val="22"/>
        </w:rPr>
        <w:t>imposte</w:t>
      </w:r>
      <w:r w:rsidRPr="007F7EBF">
        <w:rPr>
          <w:sz w:val="22"/>
          <w:szCs w:val="22"/>
        </w:rPr>
        <w:t xml:space="preserve">, </w:t>
      </w:r>
      <w:r w:rsidR="00932A07" w:rsidRPr="007F7EBF">
        <w:rPr>
          <w:sz w:val="22"/>
          <w:szCs w:val="22"/>
        </w:rPr>
        <w:t>consisteva ne</w:t>
      </w:r>
      <w:r w:rsidRPr="007F7EBF">
        <w:rPr>
          <w:sz w:val="22"/>
          <w:szCs w:val="22"/>
        </w:rPr>
        <w:t xml:space="preserve">gli atti giuridici solenni, </w:t>
      </w:r>
      <w:r w:rsidRPr="007F7EBF">
        <w:rPr>
          <w:bCs/>
          <w:sz w:val="22"/>
          <w:szCs w:val="22"/>
        </w:rPr>
        <w:t xml:space="preserve">come il trasferimento di terreni, altri diritti, l'affrancamento </w:t>
      </w:r>
      <w:r w:rsidR="00932A07" w:rsidRPr="007F7EBF">
        <w:rPr>
          <w:bCs/>
          <w:sz w:val="22"/>
          <w:szCs w:val="22"/>
        </w:rPr>
        <w:t xml:space="preserve">di </w:t>
      </w:r>
      <w:r w:rsidRPr="007F7EBF">
        <w:rPr>
          <w:bCs/>
          <w:sz w:val="22"/>
          <w:szCs w:val="22"/>
        </w:rPr>
        <w:t>schiavi</w:t>
      </w:r>
      <w:r w:rsidR="00827A0B">
        <w:rPr>
          <w:bCs/>
          <w:sz w:val="22"/>
          <w:szCs w:val="22"/>
        </w:rPr>
        <w:t xml:space="preserve"> (</w:t>
      </w:r>
      <w:r w:rsidRPr="007F7EBF">
        <w:rPr>
          <w:rStyle w:val="Rimandonotaapidipagina"/>
          <w:bCs/>
          <w:sz w:val="22"/>
          <w:szCs w:val="22"/>
        </w:rPr>
        <w:footnoteReference w:id="45"/>
      </w:r>
      <w:r w:rsidR="00827A0B">
        <w:rPr>
          <w:bCs/>
          <w:sz w:val="22"/>
          <w:szCs w:val="22"/>
        </w:rPr>
        <w:t>)</w:t>
      </w:r>
      <w:r w:rsidRPr="007F7EBF">
        <w:rPr>
          <w:bCs/>
          <w:sz w:val="22"/>
          <w:szCs w:val="22"/>
        </w:rPr>
        <w:t>, le eredità</w:t>
      </w:r>
      <w:r w:rsidR="005C313B" w:rsidRPr="007F7EBF">
        <w:rPr>
          <w:bCs/>
          <w:sz w:val="22"/>
          <w:szCs w:val="22"/>
        </w:rPr>
        <w:t xml:space="preserve">; </w:t>
      </w:r>
      <w:r w:rsidR="00932A07" w:rsidRPr="007F7EBF">
        <w:rPr>
          <w:bCs/>
          <w:sz w:val="22"/>
          <w:szCs w:val="22"/>
        </w:rPr>
        <w:t xml:space="preserve">questa determinazione documentale degli imponibili si è poi evoluta nelle </w:t>
      </w:r>
      <w:r w:rsidRPr="007F7EBF">
        <w:rPr>
          <w:bCs/>
          <w:sz w:val="22"/>
          <w:szCs w:val="22"/>
        </w:rPr>
        <w:lastRenderedPageBreak/>
        <w:t>imposte di registro</w:t>
      </w:r>
      <w:r w:rsidR="00932A07" w:rsidRPr="007F7EBF">
        <w:rPr>
          <w:bCs/>
          <w:sz w:val="22"/>
          <w:szCs w:val="22"/>
        </w:rPr>
        <w:t xml:space="preserve"> e simili</w:t>
      </w:r>
      <w:r w:rsidR="007538E6" w:rsidRPr="007F7EBF">
        <w:rPr>
          <w:bCs/>
          <w:sz w:val="22"/>
          <w:szCs w:val="22"/>
        </w:rPr>
        <w:t xml:space="preserve"> (</w:t>
      </w:r>
      <w:r w:rsidR="00932A07" w:rsidRPr="007F7EBF">
        <w:rPr>
          <w:bCs/>
          <w:sz w:val="22"/>
          <w:szCs w:val="22"/>
        </w:rPr>
        <w:t xml:space="preserve">par.10.2,10.3,10.5) </w:t>
      </w:r>
      <w:r w:rsidR="007538E6" w:rsidRPr="007F7EBF">
        <w:rPr>
          <w:bCs/>
          <w:sz w:val="22"/>
          <w:szCs w:val="22"/>
        </w:rPr>
        <w:t>anticipando molti aspetti del</w:t>
      </w:r>
      <w:r w:rsidR="00932A07" w:rsidRPr="007F7EBF">
        <w:rPr>
          <w:bCs/>
          <w:sz w:val="22"/>
          <w:szCs w:val="22"/>
        </w:rPr>
        <w:t xml:space="preserve">la tassazione </w:t>
      </w:r>
      <w:r w:rsidR="007538E6" w:rsidRPr="007F7EBF">
        <w:rPr>
          <w:bCs/>
          <w:sz w:val="22"/>
          <w:szCs w:val="22"/>
        </w:rPr>
        <w:t xml:space="preserve">contabile </w:t>
      </w:r>
      <w:r w:rsidR="00932A07" w:rsidRPr="007F7EBF">
        <w:rPr>
          <w:bCs/>
          <w:sz w:val="22"/>
          <w:szCs w:val="22"/>
        </w:rPr>
        <w:t>attraverso le aziende (già infra in questo paragrafo)</w:t>
      </w:r>
      <w:r w:rsidRPr="007F7EBF">
        <w:rPr>
          <w:bCs/>
          <w:sz w:val="22"/>
          <w:szCs w:val="22"/>
        </w:rPr>
        <w:t>.</w:t>
      </w:r>
      <w:r w:rsidR="00FE1F9E" w:rsidRPr="007F7EBF">
        <w:rPr>
          <w:sz w:val="22"/>
          <w:szCs w:val="22"/>
        </w:rPr>
        <w:t xml:space="preserve"> </w:t>
      </w:r>
    </w:p>
    <w:p w14:paraId="4DDCE4AC" w14:textId="77777777" w:rsidR="00404A8D" w:rsidRPr="007F7EBF" w:rsidRDefault="00404A8D" w:rsidP="00404A8D">
      <w:pPr>
        <w:pStyle w:val="tit23"/>
        <w:ind w:left="6464" w:right="-1361" w:firstLine="0"/>
        <w:jc w:val="left"/>
        <w:rPr>
          <w:bCs/>
          <w:i/>
          <w:iCs/>
          <w:color w:val="0000FF"/>
          <w:lang w:val="it-IT"/>
        </w:rPr>
      </w:pPr>
      <w:r w:rsidRPr="007F7EBF">
        <w:rPr>
          <w:bCs/>
          <w:i/>
          <w:iCs/>
          <w:color w:val="0000FF"/>
          <w:lang w:val="it-IT"/>
        </w:rPr>
        <w:t>Tassazione personale coi sistemi a ripartizione</w:t>
      </w:r>
    </w:p>
    <w:p w14:paraId="4FE5AA01" w14:textId="77777777" w:rsidR="00607E9F" w:rsidRPr="007F7EBF" w:rsidRDefault="00FB10B9" w:rsidP="00607E9F">
      <w:pPr>
        <w:autoSpaceDE w:val="0"/>
        <w:autoSpaceDN w:val="0"/>
        <w:adjustRightInd w:val="0"/>
        <w:rPr>
          <w:sz w:val="22"/>
          <w:szCs w:val="22"/>
        </w:rPr>
      </w:pPr>
      <w:r w:rsidRPr="007F7EBF">
        <w:rPr>
          <w:sz w:val="22"/>
          <w:szCs w:val="22"/>
        </w:rPr>
        <w:t xml:space="preserve">Sui redditi di attività “non agricole” non </w:t>
      </w:r>
      <w:r w:rsidR="005F7F44">
        <w:rPr>
          <w:sz w:val="22"/>
          <w:szCs w:val="22"/>
        </w:rPr>
        <w:t>ci furono</w:t>
      </w:r>
      <w:r w:rsidRPr="007F7EBF">
        <w:rPr>
          <w:sz w:val="22"/>
          <w:szCs w:val="22"/>
        </w:rPr>
        <w:t xml:space="preserve"> imposte specifiche</w:t>
      </w:r>
      <w:r>
        <w:rPr>
          <w:sz w:val="22"/>
          <w:szCs w:val="22"/>
        </w:rPr>
        <w:t xml:space="preserve"> </w:t>
      </w:r>
      <w:r w:rsidR="005F7F44">
        <w:rPr>
          <w:sz w:val="22"/>
          <w:szCs w:val="22"/>
        </w:rPr>
        <w:t xml:space="preserve">fino al diciannovesimo secolo, come vedremo al par.1.8. In periodi di fabbisogno finanziario fu invece soggetta a imposte </w:t>
      </w:r>
      <w:r w:rsidR="007538E6" w:rsidRPr="007F7EBF">
        <w:rPr>
          <w:sz w:val="22"/>
          <w:szCs w:val="22"/>
        </w:rPr>
        <w:t>la situazione economica global</w:t>
      </w:r>
      <w:r>
        <w:rPr>
          <w:sz w:val="22"/>
          <w:szCs w:val="22"/>
        </w:rPr>
        <w:t>e</w:t>
      </w:r>
      <w:r w:rsidR="005F7F44">
        <w:rPr>
          <w:sz w:val="22"/>
          <w:szCs w:val="22"/>
        </w:rPr>
        <w:t xml:space="preserve"> delle persone (</w:t>
      </w:r>
      <w:r w:rsidR="007538E6" w:rsidRPr="007F7EBF">
        <w:rPr>
          <w:sz w:val="22"/>
          <w:szCs w:val="22"/>
        </w:rPr>
        <w:t>“testatico”</w:t>
      </w:r>
      <w:r w:rsidR="005F7F44">
        <w:rPr>
          <w:sz w:val="22"/>
          <w:szCs w:val="22"/>
        </w:rPr>
        <w:t xml:space="preserve">) o delle famiglie </w:t>
      </w:r>
      <w:r w:rsidR="007538E6" w:rsidRPr="007F7EBF">
        <w:rPr>
          <w:sz w:val="22"/>
          <w:szCs w:val="22"/>
        </w:rPr>
        <w:t xml:space="preserve"> (“focatico”</w:t>
      </w:r>
      <w:r w:rsidR="00801B81">
        <w:rPr>
          <w:sz w:val="22"/>
          <w:szCs w:val="22"/>
        </w:rPr>
        <w:t xml:space="preserve"> (</w:t>
      </w:r>
      <w:r w:rsidR="007538E6" w:rsidRPr="007F7EBF">
        <w:rPr>
          <w:rStyle w:val="Rimandonotaapidipagina"/>
          <w:sz w:val="22"/>
          <w:szCs w:val="22"/>
        </w:rPr>
        <w:footnoteReference w:id="46"/>
      </w:r>
      <w:r w:rsidR="00801B81">
        <w:rPr>
          <w:sz w:val="22"/>
          <w:szCs w:val="22"/>
        </w:rPr>
        <w:t>)</w:t>
      </w:r>
      <w:r w:rsidR="005F7F44">
        <w:rPr>
          <w:sz w:val="22"/>
          <w:szCs w:val="22"/>
        </w:rPr>
        <w:t>)</w:t>
      </w:r>
      <w:r w:rsidR="007538E6" w:rsidRPr="007F7EBF">
        <w:rPr>
          <w:sz w:val="22"/>
          <w:szCs w:val="22"/>
        </w:rPr>
        <w:t>. Tali imposte erano</w:t>
      </w:r>
      <w:r w:rsidR="00404A8D" w:rsidRPr="007F7EBF">
        <w:rPr>
          <w:sz w:val="22"/>
          <w:szCs w:val="22"/>
        </w:rPr>
        <w:t xml:space="preserve"> applicate</w:t>
      </w:r>
      <w:r w:rsidR="007538E6" w:rsidRPr="007F7EBF">
        <w:rPr>
          <w:sz w:val="22"/>
          <w:szCs w:val="22"/>
        </w:rPr>
        <w:t>,</w:t>
      </w:r>
      <w:r w:rsidR="00404A8D" w:rsidRPr="007F7EBF">
        <w:rPr>
          <w:sz w:val="22"/>
          <w:szCs w:val="22"/>
        </w:rPr>
        <w:t xml:space="preserve"> attraverso gruppi sociali intermedi, </w:t>
      </w:r>
      <w:r w:rsidR="007538E6" w:rsidRPr="007F7EBF">
        <w:rPr>
          <w:sz w:val="22"/>
          <w:szCs w:val="22"/>
        </w:rPr>
        <w:t xml:space="preserve">in genere </w:t>
      </w:r>
      <w:r w:rsidR="00404A8D" w:rsidRPr="007F7EBF">
        <w:rPr>
          <w:sz w:val="22"/>
          <w:szCs w:val="22"/>
        </w:rPr>
        <w:t>territoriali (</w:t>
      </w:r>
      <w:r w:rsidR="00404A8D" w:rsidRPr="007F7EBF">
        <w:rPr>
          <w:rStyle w:val="Rimandonotaapidipagina"/>
          <w:sz w:val="22"/>
          <w:szCs w:val="22"/>
        </w:rPr>
        <w:footnoteReference w:id="47"/>
      </w:r>
      <w:r w:rsidR="00404A8D" w:rsidRPr="007F7EBF">
        <w:rPr>
          <w:sz w:val="22"/>
          <w:szCs w:val="22"/>
        </w:rPr>
        <w:t xml:space="preserve">), </w:t>
      </w:r>
      <w:r w:rsidR="007538E6" w:rsidRPr="007F7EBF">
        <w:rPr>
          <w:sz w:val="22"/>
          <w:szCs w:val="22"/>
        </w:rPr>
        <w:t>ma anche</w:t>
      </w:r>
      <w:r w:rsidR="00404A8D" w:rsidRPr="007F7EBF">
        <w:rPr>
          <w:sz w:val="22"/>
          <w:szCs w:val="22"/>
        </w:rPr>
        <w:t xml:space="preserve"> religiosi</w:t>
      </w:r>
      <w:r w:rsidR="005F7F44">
        <w:rPr>
          <w:sz w:val="22"/>
          <w:szCs w:val="22"/>
        </w:rPr>
        <w:t>(</w:t>
      </w:r>
      <w:r w:rsidR="00404A8D" w:rsidRPr="007F7EBF">
        <w:rPr>
          <w:rStyle w:val="Rimandonotaapidipagina"/>
          <w:sz w:val="22"/>
          <w:szCs w:val="22"/>
        </w:rPr>
        <w:footnoteReference w:id="48"/>
      </w:r>
      <w:r w:rsidR="005F7F44">
        <w:rPr>
          <w:sz w:val="22"/>
          <w:szCs w:val="22"/>
        </w:rPr>
        <w:t>)</w:t>
      </w:r>
      <w:r w:rsidR="00404A8D" w:rsidRPr="007F7EBF">
        <w:rPr>
          <w:sz w:val="22"/>
          <w:szCs w:val="22"/>
        </w:rPr>
        <w:t>, professionali (</w:t>
      </w:r>
      <w:r w:rsidR="00404A8D" w:rsidRPr="007F7EBF">
        <w:rPr>
          <w:rStyle w:val="Rimandonotaapidipagina"/>
          <w:sz w:val="22"/>
          <w:szCs w:val="22"/>
        </w:rPr>
        <w:footnoteReference w:id="49"/>
      </w:r>
      <w:r w:rsidR="00404A8D" w:rsidRPr="007F7EBF">
        <w:rPr>
          <w:sz w:val="22"/>
          <w:szCs w:val="22"/>
        </w:rPr>
        <w:t xml:space="preserve">) o persino etnici. A queste collettività </w:t>
      </w:r>
      <w:r w:rsidR="00754507" w:rsidRPr="007F7EBF">
        <w:rPr>
          <w:sz w:val="22"/>
          <w:szCs w:val="22"/>
        </w:rPr>
        <w:t>si</w:t>
      </w:r>
      <w:r w:rsidR="00404A8D" w:rsidRPr="007F7EBF">
        <w:rPr>
          <w:sz w:val="22"/>
          <w:szCs w:val="22"/>
        </w:rPr>
        <w:t xml:space="preserve"> chiedevano  importi complessivi, che poi </w:t>
      </w:r>
      <w:r w:rsidR="00754507" w:rsidRPr="007F7EBF">
        <w:rPr>
          <w:sz w:val="22"/>
          <w:szCs w:val="22"/>
        </w:rPr>
        <w:t xml:space="preserve">esse </w:t>
      </w:r>
      <w:r w:rsidR="00404A8D" w:rsidRPr="007F7EBF">
        <w:rPr>
          <w:sz w:val="22"/>
          <w:szCs w:val="22"/>
        </w:rPr>
        <w:t>distribuiva</w:t>
      </w:r>
      <w:r w:rsidR="00754507" w:rsidRPr="007F7EBF">
        <w:rPr>
          <w:sz w:val="22"/>
          <w:szCs w:val="22"/>
        </w:rPr>
        <w:t>no</w:t>
      </w:r>
      <w:r w:rsidR="00404A8D" w:rsidRPr="007F7EBF">
        <w:rPr>
          <w:sz w:val="22"/>
          <w:szCs w:val="22"/>
        </w:rPr>
        <w:t xml:space="preserve">  tra i </w:t>
      </w:r>
      <w:r w:rsidR="00754507" w:rsidRPr="007F7EBF">
        <w:rPr>
          <w:sz w:val="22"/>
          <w:szCs w:val="22"/>
        </w:rPr>
        <w:t>rispettivi</w:t>
      </w:r>
      <w:r w:rsidR="00404A8D" w:rsidRPr="007F7EBF">
        <w:rPr>
          <w:sz w:val="22"/>
          <w:szCs w:val="22"/>
        </w:rPr>
        <w:t xml:space="preserve"> membri</w:t>
      </w:r>
      <w:r w:rsidR="00754507" w:rsidRPr="007F7EBF">
        <w:rPr>
          <w:sz w:val="22"/>
          <w:szCs w:val="22"/>
        </w:rPr>
        <w:t>,</w:t>
      </w:r>
      <w:r w:rsidR="00404A8D" w:rsidRPr="007F7EBF">
        <w:rPr>
          <w:sz w:val="22"/>
          <w:szCs w:val="22"/>
        </w:rPr>
        <w:t xml:space="preserve"> stimando </w:t>
      </w:r>
      <w:r w:rsidR="00754507" w:rsidRPr="007F7EBF">
        <w:rPr>
          <w:sz w:val="22"/>
          <w:szCs w:val="22"/>
        </w:rPr>
        <w:t xml:space="preserve">anche in base a segni esteriori e al tenore di vita, </w:t>
      </w:r>
      <w:r w:rsidR="00404A8D" w:rsidRPr="007F7EBF">
        <w:rPr>
          <w:sz w:val="22"/>
          <w:szCs w:val="22"/>
        </w:rPr>
        <w:t>la situazione patrimoniale di ciascuno.</w:t>
      </w:r>
      <w:r w:rsidR="00B200C6">
        <w:rPr>
          <w:sz w:val="22"/>
          <w:szCs w:val="22"/>
        </w:rPr>
        <w:t xml:space="preserve"> </w:t>
      </w:r>
    </w:p>
    <w:p w14:paraId="38B7BCE2" w14:textId="74940D0C" w:rsidR="00607E9F" w:rsidRPr="007F7EBF" w:rsidRDefault="00607E9F" w:rsidP="00607E9F">
      <w:pPr>
        <w:pStyle w:val="tit23"/>
        <w:ind w:left="6464" w:right="-1361" w:firstLine="0"/>
        <w:jc w:val="left"/>
        <w:rPr>
          <w:bCs/>
          <w:i/>
          <w:iCs/>
          <w:color w:val="0000FF"/>
          <w:lang w:val="it-IT"/>
        </w:rPr>
      </w:pPr>
      <w:r w:rsidRPr="007F7EBF">
        <w:rPr>
          <w:bCs/>
          <w:i/>
          <w:iCs/>
          <w:color w:val="0000FF"/>
          <w:lang w:val="it-IT"/>
        </w:rPr>
        <w:t xml:space="preserve"> Catasti</w:t>
      </w:r>
      <w:r>
        <w:rPr>
          <w:bCs/>
          <w:i/>
          <w:iCs/>
          <w:color w:val="0000FF"/>
          <w:lang w:val="it-IT"/>
        </w:rPr>
        <w:t xml:space="preserve"> preindustriali </w:t>
      </w:r>
    </w:p>
    <w:p w14:paraId="24B33C31" w14:textId="688666D8" w:rsidR="005E7925" w:rsidRPr="007F7EBF" w:rsidRDefault="00404A8D" w:rsidP="005E7925">
      <w:pPr>
        <w:autoSpaceDE w:val="0"/>
        <w:autoSpaceDN w:val="0"/>
        <w:adjustRightInd w:val="0"/>
        <w:rPr>
          <w:bCs/>
          <w:i/>
          <w:iCs/>
          <w:color w:val="0000FF"/>
          <w:sz w:val="22"/>
          <w:szCs w:val="22"/>
        </w:rPr>
      </w:pPr>
      <w:r w:rsidRPr="007F7EBF">
        <w:rPr>
          <w:sz w:val="22"/>
          <w:szCs w:val="22"/>
        </w:rPr>
        <w:t>Questa determinazione</w:t>
      </w:r>
      <w:r w:rsidR="00737681" w:rsidRPr="007F7EBF">
        <w:rPr>
          <w:sz w:val="22"/>
          <w:szCs w:val="22"/>
        </w:rPr>
        <w:t xml:space="preserve"> dell’imposta, c</w:t>
      </w:r>
      <w:r w:rsidRPr="007F7EBF">
        <w:rPr>
          <w:sz w:val="22"/>
          <w:szCs w:val="22"/>
        </w:rPr>
        <w:t>hiamata "a ripartizione"</w:t>
      </w:r>
      <w:r w:rsidR="00801B81">
        <w:rPr>
          <w:sz w:val="22"/>
          <w:szCs w:val="22"/>
        </w:rPr>
        <w:t>(</w:t>
      </w:r>
      <w:r w:rsidRPr="007F7EBF">
        <w:rPr>
          <w:rStyle w:val="Rimandonotaapidipagina"/>
          <w:sz w:val="22"/>
          <w:szCs w:val="22"/>
        </w:rPr>
        <w:footnoteReference w:id="50"/>
      </w:r>
      <w:r w:rsidR="00801B81">
        <w:rPr>
          <w:sz w:val="22"/>
          <w:szCs w:val="22"/>
        </w:rPr>
        <w:t>)</w:t>
      </w:r>
      <w:r w:rsidRPr="007F7EBF">
        <w:rPr>
          <w:sz w:val="22"/>
          <w:szCs w:val="22"/>
        </w:rPr>
        <w:t xml:space="preserve">, </w:t>
      </w:r>
      <w:r w:rsidR="00737681" w:rsidRPr="007F7EBF">
        <w:rPr>
          <w:sz w:val="22"/>
          <w:szCs w:val="22"/>
        </w:rPr>
        <w:t xml:space="preserve">era </w:t>
      </w:r>
      <w:r w:rsidR="00754507" w:rsidRPr="007F7EBF">
        <w:rPr>
          <w:sz w:val="22"/>
          <w:szCs w:val="22"/>
        </w:rPr>
        <w:t>fattibile i</w:t>
      </w:r>
      <w:r w:rsidR="007C7EDE" w:rsidRPr="007F7EBF">
        <w:rPr>
          <w:sz w:val="22"/>
          <w:szCs w:val="22"/>
        </w:rPr>
        <w:t xml:space="preserve">n </w:t>
      </w:r>
      <w:r w:rsidRPr="007F7EBF">
        <w:rPr>
          <w:sz w:val="22"/>
          <w:szCs w:val="22"/>
        </w:rPr>
        <w:t>piccol</w:t>
      </w:r>
      <w:r w:rsidR="00737681" w:rsidRPr="007F7EBF">
        <w:rPr>
          <w:sz w:val="22"/>
          <w:szCs w:val="22"/>
        </w:rPr>
        <w:t xml:space="preserve">e collettività </w:t>
      </w:r>
      <w:r w:rsidR="00E22941">
        <w:rPr>
          <w:sz w:val="22"/>
          <w:szCs w:val="22"/>
        </w:rPr>
        <w:t>ad elevata</w:t>
      </w:r>
      <w:r w:rsidR="00737681" w:rsidRPr="007F7EBF">
        <w:rPr>
          <w:sz w:val="22"/>
          <w:szCs w:val="22"/>
        </w:rPr>
        <w:t xml:space="preserve"> conoscenza reciproca</w:t>
      </w:r>
      <w:r w:rsidR="00302E3E">
        <w:rPr>
          <w:sz w:val="22"/>
          <w:szCs w:val="22"/>
        </w:rPr>
        <w:t xml:space="preserve">, mentre non si addice alla nostra società, urbanizzata e </w:t>
      </w:r>
      <w:r w:rsidR="00302E3E" w:rsidRPr="007F7EBF">
        <w:rPr>
          <w:sz w:val="22"/>
          <w:szCs w:val="22"/>
        </w:rPr>
        <w:t>frammenta</w:t>
      </w:r>
      <w:r w:rsidR="00302E3E">
        <w:rPr>
          <w:sz w:val="22"/>
          <w:szCs w:val="22"/>
        </w:rPr>
        <w:t>ta (</w:t>
      </w:r>
      <w:r w:rsidR="00302E3E" w:rsidRPr="007F7EBF">
        <w:rPr>
          <w:rStyle w:val="Rimandonotaapidipagina"/>
          <w:sz w:val="22"/>
          <w:szCs w:val="22"/>
        </w:rPr>
        <w:footnoteReference w:id="51"/>
      </w:r>
      <w:r w:rsidR="00302E3E">
        <w:rPr>
          <w:sz w:val="22"/>
          <w:szCs w:val="22"/>
        </w:rPr>
        <w:t>)</w:t>
      </w:r>
      <w:r w:rsidR="008D4EE1">
        <w:rPr>
          <w:sz w:val="22"/>
          <w:szCs w:val="22"/>
        </w:rPr>
        <w:t xml:space="preserve">. La ristretta socialità preindustriale </w:t>
      </w:r>
      <w:r w:rsidR="00E22941">
        <w:rPr>
          <w:sz w:val="22"/>
          <w:szCs w:val="22"/>
        </w:rPr>
        <w:t>consentiva un</w:t>
      </w:r>
      <w:r w:rsidR="008D4EE1">
        <w:rPr>
          <w:sz w:val="22"/>
          <w:szCs w:val="22"/>
        </w:rPr>
        <w:t xml:space="preserve"> qualche</w:t>
      </w:r>
      <w:r w:rsidR="00E22941">
        <w:rPr>
          <w:sz w:val="22"/>
          <w:szCs w:val="22"/>
        </w:rPr>
        <w:t xml:space="preserve"> controllo sociale </w:t>
      </w:r>
      <w:r w:rsidR="008D4EE1">
        <w:rPr>
          <w:sz w:val="22"/>
          <w:szCs w:val="22"/>
        </w:rPr>
        <w:t>sugli</w:t>
      </w:r>
      <w:r w:rsidR="00E22941">
        <w:rPr>
          <w:sz w:val="22"/>
          <w:szCs w:val="22"/>
        </w:rPr>
        <w:t xml:space="preserve"> ab</w:t>
      </w:r>
      <w:r w:rsidRPr="007F7EBF">
        <w:rPr>
          <w:sz w:val="22"/>
          <w:szCs w:val="22"/>
        </w:rPr>
        <w:t>usi e favoritismi</w:t>
      </w:r>
      <w:r w:rsidR="008D4EE1">
        <w:rPr>
          <w:sz w:val="22"/>
          <w:szCs w:val="22"/>
        </w:rPr>
        <w:t xml:space="preserve">, anche se le stime dei presupposti economici d’imposta hanno sempre rischiato di essere strumentalizzate per </w:t>
      </w:r>
      <w:r w:rsidR="002B5EE0">
        <w:rPr>
          <w:sz w:val="22"/>
          <w:szCs w:val="22"/>
        </w:rPr>
        <w:lastRenderedPageBreak/>
        <w:t xml:space="preserve">favoritismi o penalizzazioni </w:t>
      </w:r>
      <w:r w:rsidR="008D4EE1">
        <w:rPr>
          <w:rStyle w:val="Rimandonotaapidipagina"/>
          <w:sz w:val="22"/>
          <w:szCs w:val="22"/>
        </w:rPr>
        <w:footnoteReference w:id="52"/>
      </w:r>
      <w:r w:rsidR="00737681" w:rsidRPr="007F7EBF">
        <w:rPr>
          <w:sz w:val="22"/>
          <w:szCs w:val="22"/>
        </w:rPr>
        <w:t xml:space="preserve">. </w:t>
      </w:r>
      <w:r w:rsidR="008D4EE1">
        <w:rPr>
          <w:sz w:val="22"/>
          <w:szCs w:val="22"/>
        </w:rPr>
        <w:t xml:space="preserve">Uno strumento perequativo di controllo sociale </w:t>
      </w:r>
      <w:r w:rsidR="00962696">
        <w:rPr>
          <w:sz w:val="22"/>
          <w:szCs w:val="22"/>
        </w:rPr>
        <w:t>furono gli antich</w:t>
      </w:r>
      <w:r w:rsidR="00962696" w:rsidRPr="007F7EBF">
        <w:rPr>
          <w:sz w:val="22"/>
          <w:szCs w:val="22"/>
        </w:rPr>
        <w:t>i “catasti”</w:t>
      </w:r>
      <w:r w:rsidR="00962696">
        <w:rPr>
          <w:sz w:val="22"/>
          <w:szCs w:val="22"/>
        </w:rPr>
        <w:t>, d</w:t>
      </w:r>
      <w:r w:rsidR="00962696">
        <w:t>o</w:t>
      </w:r>
      <w:r w:rsidR="00962696" w:rsidRPr="007F7EBF">
        <w:t xml:space="preserve">ve </w:t>
      </w:r>
      <w:r w:rsidR="00962696">
        <w:t xml:space="preserve">erano registrate le proprietà delle persone, e indizi del loro </w:t>
      </w:r>
      <w:r w:rsidR="00962696" w:rsidRPr="007F7EBF">
        <w:t>tenore di vita</w:t>
      </w:r>
      <w:r w:rsidR="00962696">
        <w:t xml:space="preserve"> </w:t>
      </w:r>
      <w:r w:rsidR="00962696">
        <w:rPr>
          <w:sz w:val="22"/>
          <w:szCs w:val="22"/>
        </w:rPr>
        <w:t>(</w:t>
      </w:r>
      <w:r w:rsidR="00962696" w:rsidRPr="007F7EBF">
        <w:rPr>
          <w:rStyle w:val="Rimandonotaapidipagina"/>
          <w:sz w:val="22"/>
          <w:szCs w:val="22"/>
        </w:rPr>
        <w:footnoteReference w:id="53"/>
      </w:r>
      <w:r w:rsidR="00962696">
        <w:rPr>
          <w:sz w:val="22"/>
          <w:szCs w:val="22"/>
        </w:rPr>
        <w:t xml:space="preserve">); </w:t>
      </w:r>
      <w:r w:rsidR="008D4EE1">
        <w:t xml:space="preserve">essi </w:t>
      </w:r>
      <w:r w:rsidR="00962696">
        <w:t xml:space="preserve">erano un </w:t>
      </w:r>
      <w:r w:rsidR="00962696" w:rsidRPr="007F7EBF">
        <w:t xml:space="preserve">parametro tendenziale per </w:t>
      </w:r>
      <w:r w:rsidR="00962696">
        <w:t>attribuire</w:t>
      </w:r>
      <w:r w:rsidR="00962696" w:rsidRPr="007F7EBF">
        <w:t xml:space="preserve"> ai singoli una quota maggiore o minore di quanto chiesto al gruppo nel suo complesso.</w:t>
      </w:r>
      <w:r w:rsidR="00B200C6">
        <w:rPr>
          <w:bCs/>
          <w:i/>
          <w:iCs/>
          <w:color w:val="0000FF"/>
        </w:rPr>
        <w:t xml:space="preserve"> </w:t>
      </w:r>
      <w:r w:rsidR="00A0774B">
        <w:t xml:space="preserve">  </w:t>
      </w:r>
    </w:p>
    <w:p w14:paraId="67C6F7F7" w14:textId="05CAB370" w:rsidR="00F94775" w:rsidRPr="007F7EBF" w:rsidRDefault="002B5EE0" w:rsidP="005E7925">
      <w:pPr>
        <w:autoSpaceDE w:val="0"/>
        <w:autoSpaceDN w:val="0"/>
        <w:adjustRightInd w:val="0"/>
        <w:rPr>
          <w:bCs/>
          <w:i/>
          <w:iCs/>
          <w:color w:val="0000FF"/>
        </w:rPr>
      </w:pPr>
      <w:r>
        <w:rPr>
          <w:sz w:val="22"/>
          <w:szCs w:val="22"/>
        </w:rPr>
        <w:t xml:space="preserve">Sulla determinazione dei presupposti economici si inserivano poi </w:t>
      </w:r>
      <w:r w:rsidR="005E7925">
        <w:rPr>
          <w:sz w:val="22"/>
          <w:szCs w:val="22"/>
        </w:rPr>
        <w:t xml:space="preserve">esenzioni volute politicamente, </w:t>
      </w:r>
      <w:r>
        <w:rPr>
          <w:sz w:val="22"/>
          <w:szCs w:val="22"/>
        </w:rPr>
        <w:t xml:space="preserve">su chi contribuiva in altro modo alla </w:t>
      </w:r>
      <w:r w:rsidR="005E7925">
        <w:rPr>
          <w:sz w:val="22"/>
          <w:szCs w:val="22"/>
        </w:rPr>
        <w:t>c</w:t>
      </w:r>
      <w:r w:rsidR="005E7925">
        <w:t xml:space="preserve">omunità, </w:t>
      </w:r>
      <w:r>
        <w:t>col</w:t>
      </w:r>
      <w:r w:rsidR="005E7925">
        <w:t xml:space="preserve"> mestiere delle </w:t>
      </w:r>
      <w:r>
        <w:t>armi (</w:t>
      </w:r>
      <w:r w:rsidR="00302E3E">
        <w:t>i guerrieri</w:t>
      </w:r>
      <w:r>
        <w:t>)</w:t>
      </w:r>
      <w:r w:rsidR="005E7925">
        <w:t>, o la cura delle anime</w:t>
      </w:r>
      <w:r>
        <w:t xml:space="preserve"> (i</w:t>
      </w:r>
      <w:r w:rsidR="00302E3E">
        <w:t xml:space="preserve"> sacerdoti</w:t>
      </w:r>
      <w:r>
        <w:t>)</w:t>
      </w:r>
      <w:r w:rsidR="005E7925">
        <w:t xml:space="preserve">; l’inverso </w:t>
      </w:r>
      <w:r>
        <w:t xml:space="preserve">accadeva per </w:t>
      </w:r>
      <w:r w:rsidR="005E7925">
        <w:t xml:space="preserve">gli aggravi </w:t>
      </w:r>
      <w:r w:rsidR="005E7925" w:rsidRPr="007F7EBF">
        <w:t>tribut</w:t>
      </w:r>
      <w:r w:rsidR="005E7925">
        <w:t>ar</w:t>
      </w:r>
      <w:r w:rsidR="005E7925" w:rsidRPr="007F7EBF">
        <w:t>i su categorie escluse dal</w:t>
      </w:r>
      <w:r w:rsidR="005E7925">
        <w:t xml:space="preserve">l’esercito </w:t>
      </w:r>
      <w:r w:rsidR="005E7925" w:rsidRPr="007F7EBF">
        <w:t>per ragioni, ad esempio, etniche o religiose</w:t>
      </w:r>
      <w:r w:rsidR="005E7925">
        <w:t xml:space="preserve"> (</w:t>
      </w:r>
      <w:r w:rsidR="005E7925" w:rsidRPr="007F7EBF">
        <w:rPr>
          <w:rStyle w:val="Rimandonotaapidipagina"/>
        </w:rPr>
        <w:footnoteReference w:id="54"/>
      </w:r>
      <w:r w:rsidR="005E7925">
        <w:t>)</w:t>
      </w:r>
      <w:r w:rsidR="005E7925">
        <w:rPr>
          <w:sz w:val="22"/>
          <w:szCs w:val="22"/>
        </w:rPr>
        <w:t>.</w:t>
      </w:r>
    </w:p>
    <w:p w14:paraId="5723B2F1" w14:textId="730B79F5" w:rsidR="00404A8D" w:rsidRPr="007F7EBF" w:rsidRDefault="00E52322" w:rsidP="00627ADE">
      <w:pPr>
        <w:autoSpaceDE w:val="0"/>
        <w:autoSpaceDN w:val="0"/>
        <w:adjustRightInd w:val="0"/>
        <w:rPr>
          <w:bCs/>
          <w:i/>
          <w:iCs/>
          <w:color w:val="0000FF"/>
          <w:sz w:val="22"/>
          <w:szCs w:val="22"/>
        </w:rPr>
      </w:pPr>
      <w:r>
        <w:rPr>
          <w:bCs/>
          <w:sz w:val="22"/>
          <w:szCs w:val="22"/>
        </w:rPr>
        <w:t>L</w:t>
      </w:r>
      <w:r w:rsidR="002B5EE0">
        <w:rPr>
          <w:bCs/>
          <w:sz w:val="22"/>
          <w:szCs w:val="22"/>
        </w:rPr>
        <w:t>e</w:t>
      </w:r>
      <w:r w:rsidR="00962696">
        <w:rPr>
          <w:bCs/>
          <w:sz w:val="22"/>
          <w:szCs w:val="22"/>
        </w:rPr>
        <w:t xml:space="preserve"> stim</w:t>
      </w:r>
      <w:r w:rsidR="002B5EE0">
        <w:rPr>
          <w:bCs/>
          <w:sz w:val="22"/>
          <w:szCs w:val="22"/>
        </w:rPr>
        <w:t xml:space="preserve">e, per ordine di grandezza, dei presupposti economici d’imposta sono state </w:t>
      </w:r>
      <w:r w:rsidR="00962696">
        <w:rPr>
          <w:bCs/>
          <w:sz w:val="22"/>
          <w:szCs w:val="22"/>
        </w:rPr>
        <w:t xml:space="preserve"> </w:t>
      </w:r>
      <w:r w:rsidR="002B5EE0">
        <w:rPr>
          <w:bCs/>
          <w:sz w:val="22"/>
          <w:szCs w:val="22"/>
        </w:rPr>
        <w:t xml:space="preserve">sempre </w:t>
      </w:r>
      <w:r w:rsidR="00A4782B">
        <w:rPr>
          <w:sz w:val="22"/>
          <w:szCs w:val="22"/>
        </w:rPr>
        <w:t>strutturalmente “contenzios</w:t>
      </w:r>
      <w:r w:rsidR="002B5EE0">
        <w:rPr>
          <w:sz w:val="22"/>
          <w:szCs w:val="22"/>
        </w:rPr>
        <w:t>e</w:t>
      </w:r>
      <w:r w:rsidR="00A4782B">
        <w:rPr>
          <w:sz w:val="22"/>
          <w:szCs w:val="22"/>
        </w:rPr>
        <w:t>”</w:t>
      </w:r>
      <w:r w:rsidR="005F298E">
        <w:rPr>
          <w:sz w:val="22"/>
          <w:szCs w:val="22"/>
        </w:rPr>
        <w:t xml:space="preserve">, nel senso di cui al </w:t>
      </w:r>
      <w:r w:rsidR="00A4782B">
        <w:rPr>
          <w:sz w:val="22"/>
          <w:szCs w:val="22"/>
        </w:rPr>
        <w:t>par.6.4</w:t>
      </w:r>
      <w:r w:rsidR="00962696">
        <w:rPr>
          <w:sz w:val="22"/>
          <w:szCs w:val="22"/>
        </w:rPr>
        <w:t>;</w:t>
      </w:r>
      <w:r w:rsidR="00186DD5">
        <w:rPr>
          <w:sz w:val="22"/>
          <w:szCs w:val="22"/>
        </w:rPr>
        <w:t xml:space="preserve"> </w:t>
      </w:r>
      <w:r w:rsidR="00C33871">
        <w:rPr>
          <w:sz w:val="22"/>
          <w:szCs w:val="22"/>
        </w:rPr>
        <w:t>poteva</w:t>
      </w:r>
      <w:r w:rsidR="00962696">
        <w:rPr>
          <w:sz w:val="22"/>
          <w:szCs w:val="22"/>
        </w:rPr>
        <w:t xml:space="preserve">no derivarne, </w:t>
      </w:r>
      <w:r w:rsidR="00C33871">
        <w:rPr>
          <w:sz w:val="22"/>
          <w:szCs w:val="22"/>
        </w:rPr>
        <w:t xml:space="preserve">già nell’antichità, sperequazioni </w:t>
      </w:r>
      <w:r w:rsidR="00186DD5">
        <w:rPr>
          <w:sz w:val="22"/>
          <w:szCs w:val="22"/>
        </w:rPr>
        <w:t>dipende</w:t>
      </w:r>
      <w:r w:rsidR="00A4782B">
        <w:rPr>
          <w:sz w:val="22"/>
          <w:szCs w:val="22"/>
        </w:rPr>
        <w:t xml:space="preserve">nti </w:t>
      </w:r>
      <w:r w:rsidR="00C33871">
        <w:rPr>
          <w:sz w:val="22"/>
          <w:szCs w:val="22"/>
        </w:rPr>
        <w:t>dalla maggiore o minore visibilità de</w:t>
      </w:r>
      <w:r w:rsidR="002B5EE0">
        <w:rPr>
          <w:sz w:val="22"/>
          <w:szCs w:val="22"/>
        </w:rPr>
        <w:t>i presupposti economici d’imposta agli incaricati della loro stima. La perequazione tributaria richiede uno sforzo valutativo capillare, che si avvertiva giù nell’antichità, quando le burocrazie erano ridotte, e per questo si utilizzavano i poteri locali (feudali, religiosi, delle corporazioni di arti e mestieri etc.), oppure appositi incaricati, come gli appaltatori delle imposte</w:t>
      </w:r>
      <w:r w:rsidR="00AE7B0D" w:rsidRPr="00AE7B0D">
        <w:rPr>
          <w:sz w:val="22"/>
          <w:szCs w:val="22"/>
        </w:rPr>
        <w:t xml:space="preserve"> </w:t>
      </w:r>
      <w:r w:rsidR="00AE7B0D">
        <w:rPr>
          <w:sz w:val="22"/>
          <w:szCs w:val="22"/>
        </w:rPr>
        <w:t>(</w:t>
      </w:r>
      <w:r w:rsidR="00AE7B0D">
        <w:rPr>
          <w:rStyle w:val="Rimandonotaapidipagina"/>
          <w:sz w:val="22"/>
          <w:szCs w:val="22"/>
        </w:rPr>
        <w:footnoteReference w:id="55"/>
      </w:r>
      <w:r w:rsidR="00AE7B0D">
        <w:rPr>
          <w:sz w:val="22"/>
          <w:szCs w:val="22"/>
        </w:rPr>
        <w:t>)</w:t>
      </w:r>
      <w:r w:rsidR="002B5EE0">
        <w:rPr>
          <w:sz w:val="22"/>
          <w:szCs w:val="22"/>
        </w:rPr>
        <w:t>. Quando è stata possibile la determinazione giuridico-documentale dei presupposti economici d’imposta tramite le contabilità aziendali</w:t>
      </w:r>
      <w:r w:rsidR="00AE7B0D">
        <w:rPr>
          <w:sz w:val="22"/>
          <w:szCs w:val="22"/>
        </w:rPr>
        <w:t xml:space="preserve">, è stato normale utilizzarla ovunque. Essa però è più forte su alcuni presupposti </w:t>
      </w:r>
      <w:r w:rsidR="00AE7B0D">
        <w:rPr>
          <w:sz w:val="22"/>
          <w:szCs w:val="22"/>
        </w:rPr>
        <w:lastRenderedPageBreak/>
        <w:t xml:space="preserve">economici rispetto ad altri, il che fa sorgere nuovi problemi di </w:t>
      </w:r>
      <w:r w:rsidR="00181781">
        <w:rPr>
          <w:sz w:val="22"/>
          <w:szCs w:val="22"/>
        </w:rPr>
        <w:t>perequazione tributaria, secondo una chiave del testo già indicata al par.1.2</w:t>
      </w:r>
      <w:r w:rsidR="008C27AE">
        <w:rPr>
          <w:sz w:val="22"/>
          <w:szCs w:val="22"/>
        </w:rPr>
        <w:t>. La parcellizzazione del prelievo a</w:t>
      </w:r>
      <w:r w:rsidR="00181781">
        <w:rPr>
          <w:sz w:val="22"/>
          <w:szCs w:val="22"/>
        </w:rPr>
        <w:t>umenta</w:t>
      </w:r>
      <w:r w:rsidR="008C27AE">
        <w:rPr>
          <w:sz w:val="22"/>
          <w:szCs w:val="22"/>
        </w:rPr>
        <w:t xml:space="preserve"> infatti</w:t>
      </w:r>
      <w:r w:rsidR="00181781">
        <w:rPr>
          <w:sz w:val="22"/>
          <w:szCs w:val="22"/>
        </w:rPr>
        <w:t xml:space="preserve"> </w:t>
      </w:r>
      <w:r w:rsidR="001C34CE">
        <w:rPr>
          <w:sz w:val="22"/>
          <w:szCs w:val="22"/>
        </w:rPr>
        <w:t>l</w:t>
      </w:r>
      <w:r w:rsidR="00181781">
        <w:rPr>
          <w:sz w:val="22"/>
          <w:szCs w:val="22"/>
        </w:rPr>
        <w:t>’interazione co</w:t>
      </w:r>
      <w:r w:rsidR="001C34CE">
        <w:rPr>
          <w:sz w:val="22"/>
          <w:szCs w:val="22"/>
        </w:rPr>
        <w:t xml:space="preserve">i contribuenti, ed i relativi </w:t>
      </w:r>
      <w:r w:rsidR="00181781">
        <w:rPr>
          <w:sz w:val="22"/>
          <w:szCs w:val="22"/>
        </w:rPr>
        <w:t xml:space="preserve">“costi transattivi”, come li chiamano </w:t>
      </w:r>
      <w:r w:rsidR="000179B2">
        <w:rPr>
          <w:sz w:val="22"/>
          <w:szCs w:val="22"/>
        </w:rPr>
        <w:t xml:space="preserve">oggi </w:t>
      </w:r>
      <w:r w:rsidR="00181781">
        <w:rPr>
          <w:sz w:val="22"/>
          <w:szCs w:val="22"/>
        </w:rPr>
        <w:t>gli economisti</w:t>
      </w:r>
      <w:r w:rsidR="008C27AE">
        <w:rPr>
          <w:sz w:val="22"/>
          <w:szCs w:val="22"/>
        </w:rPr>
        <w:t>, di cui diremo al par.5.7.</w:t>
      </w:r>
    </w:p>
    <w:p w14:paraId="0F94BD31" w14:textId="19B08D18" w:rsidR="00F0329F" w:rsidRPr="007F7EBF" w:rsidRDefault="00847BB1" w:rsidP="00F0329F">
      <w:pPr>
        <w:pStyle w:val="tit23"/>
        <w:ind w:left="6464" w:right="-1361" w:firstLine="0"/>
        <w:jc w:val="left"/>
        <w:rPr>
          <w:bCs/>
          <w:i/>
          <w:iCs/>
          <w:color w:val="0000FF"/>
          <w:lang w:val="it-IT"/>
        </w:rPr>
      </w:pPr>
      <w:r>
        <w:rPr>
          <w:bCs/>
          <w:i/>
          <w:iCs/>
          <w:color w:val="0000FF"/>
          <w:lang w:val="it-IT"/>
        </w:rPr>
        <w:t>Determinazione degli imponibili</w:t>
      </w:r>
      <w:r w:rsidR="00627ADE">
        <w:rPr>
          <w:bCs/>
          <w:i/>
          <w:iCs/>
          <w:color w:val="0000FF"/>
          <w:lang w:val="it-IT"/>
        </w:rPr>
        <w:t>: dai pubblici uffici alle</w:t>
      </w:r>
      <w:r w:rsidR="00EF3FF4" w:rsidRPr="007F7EBF">
        <w:rPr>
          <w:bCs/>
          <w:i/>
          <w:iCs/>
          <w:color w:val="0000FF"/>
          <w:lang w:val="it-IT"/>
        </w:rPr>
        <w:t xml:space="preserve"> aziende</w:t>
      </w:r>
    </w:p>
    <w:p w14:paraId="582ABB05" w14:textId="2659FAD3" w:rsidR="00B17CC6" w:rsidRPr="007F7EBF" w:rsidRDefault="008C27AE" w:rsidP="002734CD">
      <w:pPr>
        <w:autoSpaceDE w:val="0"/>
        <w:autoSpaceDN w:val="0"/>
        <w:adjustRightInd w:val="0"/>
        <w:rPr>
          <w:bCs/>
          <w:sz w:val="22"/>
          <w:szCs w:val="22"/>
        </w:rPr>
      </w:pPr>
      <w:r>
        <w:rPr>
          <w:sz w:val="22"/>
          <w:szCs w:val="22"/>
        </w:rPr>
        <w:t>L</w:t>
      </w:r>
      <w:r w:rsidR="00DD07E8">
        <w:rPr>
          <w:sz w:val="22"/>
          <w:szCs w:val="22"/>
        </w:rPr>
        <w:t>a</w:t>
      </w:r>
      <w:r w:rsidR="00FD7385">
        <w:rPr>
          <w:sz w:val="22"/>
          <w:szCs w:val="22"/>
        </w:rPr>
        <w:t xml:space="preserve"> </w:t>
      </w:r>
      <w:r w:rsidR="00DD07E8">
        <w:rPr>
          <w:sz w:val="22"/>
          <w:szCs w:val="22"/>
        </w:rPr>
        <w:t>documentazione contrattuale e contabile</w:t>
      </w:r>
      <w:r w:rsidR="00FD7385">
        <w:rPr>
          <w:sz w:val="22"/>
          <w:szCs w:val="22"/>
        </w:rPr>
        <w:t xml:space="preserve"> </w:t>
      </w:r>
      <w:r w:rsidR="00590B0A">
        <w:rPr>
          <w:sz w:val="22"/>
          <w:szCs w:val="22"/>
        </w:rPr>
        <w:t>con</w:t>
      </w:r>
      <w:r>
        <w:rPr>
          <w:sz w:val="22"/>
          <w:szCs w:val="22"/>
        </w:rPr>
        <w:t>sente la</w:t>
      </w:r>
      <w:r w:rsidR="00590B0A">
        <w:rPr>
          <w:sz w:val="22"/>
          <w:szCs w:val="22"/>
        </w:rPr>
        <w:t xml:space="preserve"> </w:t>
      </w:r>
      <w:r w:rsidR="00FD7385">
        <w:rPr>
          <w:sz w:val="22"/>
          <w:szCs w:val="22"/>
        </w:rPr>
        <w:t>determina</w:t>
      </w:r>
      <w:r w:rsidR="00DD07E8">
        <w:rPr>
          <w:sz w:val="22"/>
          <w:szCs w:val="22"/>
        </w:rPr>
        <w:t>bilità</w:t>
      </w:r>
      <w:r w:rsidR="00FD7385">
        <w:rPr>
          <w:sz w:val="22"/>
          <w:szCs w:val="22"/>
        </w:rPr>
        <w:t xml:space="preserve"> documentale degli </w:t>
      </w:r>
      <w:r w:rsidR="00B26E40" w:rsidRPr="007F7EBF">
        <w:rPr>
          <w:sz w:val="22"/>
          <w:szCs w:val="22"/>
        </w:rPr>
        <w:t>imponibili</w:t>
      </w:r>
      <w:r w:rsidR="00855C2A">
        <w:rPr>
          <w:sz w:val="22"/>
          <w:szCs w:val="22"/>
        </w:rPr>
        <w:t xml:space="preserve">, </w:t>
      </w:r>
      <w:r>
        <w:rPr>
          <w:sz w:val="22"/>
          <w:szCs w:val="22"/>
        </w:rPr>
        <w:t>simile</w:t>
      </w:r>
      <w:r w:rsidR="00590B0A">
        <w:rPr>
          <w:sz w:val="22"/>
          <w:szCs w:val="22"/>
        </w:rPr>
        <w:t xml:space="preserve"> a quella </w:t>
      </w:r>
      <w:r w:rsidR="00F1049F">
        <w:rPr>
          <w:sz w:val="22"/>
          <w:szCs w:val="22"/>
        </w:rPr>
        <w:t>sopra</w:t>
      </w:r>
      <w:r w:rsidR="00855C2A">
        <w:rPr>
          <w:sz w:val="22"/>
          <w:szCs w:val="22"/>
        </w:rPr>
        <w:t xml:space="preserve"> indicat</w:t>
      </w:r>
      <w:r w:rsidR="00DD07E8">
        <w:rPr>
          <w:sz w:val="22"/>
          <w:szCs w:val="22"/>
        </w:rPr>
        <w:t xml:space="preserve">a </w:t>
      </w:r>
      <w:r w:rsidR="00855C2A">
        <w:rPr>
          <w:sz w:val="22"/>
          <w:szCs w:val="22"/>
        </w:rPr>
        <w:t>per gli “atti solenni”</w:t>
      </w:r>
      <w:r w:rsidR="00855C2A" w:rsidRPr="00855C2A">
        <w:rPr>
          <w:bCs/>
          <w:sz w:val="22"/>
          <w:szCs w:val="22"/>
        </w:rPr>
        <w:t xml:space="preserve"> </w:t>
      </w:r>
      <w:r w:rsidR="00583A36">
        <w:rPr>
          <w:bCs/>
          <w:sz w:val="22"/>
          <w:szCs w:val="22"/>
        </w:rPr>
        <w:t>(</w:t>
      </w:r>
      <w:r w:rsidR="00855C2A" w:rsidRPr="007F7EBF">
        <w:rPr>
          <w:rStyle w:val="Rimandonotaapidipagina"/>
          <w:bCs/>
          <w:sz w:val="22"/>
          <w:szCs w:val="22"/>
        </w:rPr>
        <w:footnoteReference w:id="56"/>
      </w:r>
      <w:r w:rsidR="00583A36">
        <w:rPr>
          <w:bCs/>
          <w:sz w:val="22"/>
          <w:szCs w:val="22"/>
        </w:rPr>
        <w:t>)</w:t>
      </w:r>
      <w:r w:rsidR="00B26E40" w:rsidRPr="007F7EBF">
        <w:rPr>
          <w:sz w:val="22"/>
          <w:szCs w:val="22"/>
        </w:rPr>
        <w:t xml:space="preserve">; </w:t>
      </w:r>
      <w:r w:rsidR="00855C2A">
        <w:rPr>
          <w:sz w:val="22"/>
          <w:szCs w:val="22"/>
        </w:rPr>
        <w:t xml:space="preserve">le </w:t>
      </w:r>
      <w:r w:rsidR="00B26E40" w:rsidRPr="007F7EBF">
        <w:rPr>
          <w:sz w:val="22"/>
          <w:szCs w:val="22"/>
        </w:rPr>
        <w:t>aziende</w:t>
      </w:r>
      <w:r w:rsidR="00DD07E8">
        <w:rPr>
          <w:sz w:val="22"/>
          <w:szCs w:val="22"/>
        </w:rPr>
        <w:t xml:space="preserve"> sono infatti gruppi sociali</w:t>
      </w:r>
      <w:r w:rsidR="00F1049F">
        <w:rPr>
          <w:sz w:val="22"/>
          <w:szCs w:val="22"/>
        </w:rPr>
        <w:t xml:space="preserve"> </w:t>
      </w:r>
      <w:r>
        <w:rPr>
          <w:sz w:val="22"/>
          <w:szCs w:val="22"/>
        </w:rPr>
        <w:t xml:space="preserve">pluripersonali </w:t>
      </w:r>
      <w:r w:rsidR="00DD07E8">
        <w:rPr>
          <w:sz w:val="22"/>
          <w:szCs w:val="22"/>
        </w:rPr>
        <w:t>con necessità di documentazione interna, utilizzabile anche per</w:t>
      </w:r>
      <w:r w:rsidR="000B7486" w:rsidRPr="007F7EBF">
        <w:rPr>
          <w:sz w:val="22"/>
          <w:szCs w:val="22"/>
        </w:rPr>
        <w:t xml:space="preserve"> determina</w:t>
      </w:r>
      <w:r w:rsidR="00DD07E8">
        <w:rPr>
          <w:sz w:val="22"/>
          <w:szCs w:val="22"/>
        </w:rPr>
        <w:t>r</w:t>
      </w:r>
      <w:r w:rsidR="000B7486" w:rsidRPr="007F7EBF">
        <w:rPr>
          <w:sz w:val="22"/>
          <w:szCs w:val="22"/>
        </w:rPr>
        <w:t xml:space="preserve">e </w:t>
      </w:r>
      <w:r w:rsidR="00B26E40" w:rsidRPr="007F7EBF">
        <w:rPr>
          <w:sz w:val="22"/>
          <w:szCs w:val="22"/>
        </w:rPr>
        <w:t>gli imponibil</w:t>
      </w:r>
      <w:r w:rsidR="00855C2A">
        <w:rPr>
          <w:sz w:val="22"/>
          <w:szCs w:val="22"/>
        </w:rPr>
        <w:t>i</w:t>
      </w:r>
      <w:r w:rsidR="001632B6">
        <w:rPr>
          <w:sz w:val="22"/>
          <w:szCs w:val="22"/>
        </w:rPr>
        <w:t>.</w:t>
      </w:r>
      <w:r w:rsidR="0029525A" w:rsidRPr="007F7EBF">
        <w:rPr>
          <w:sz w:val="22"/>
          <w:szCs w:val="22"/>
        </w:rPr>
        <w:t xml:space="preserve"> </w:t>
      </w:r>
      <w:r w:rsidR="00F1049F">
        <w:rPr>
          <w:sz w:val="22"/>
          <w:szCs w:val="22"/>
        </w:rPr>
        <w:t>Q</w:t>
      </w:r>
      <w:r w:rsidR="001632B6">
        <w:rPr>
          <w:sz w:val="22"/>
          <w:szCs w:val="22"/>
        </w:rPr>
        <w:t xml:space="preserve">ueste organizzazioni </w:t>
      </w:r>
      <w:r w:rsidR="00F1049F">
        <w:rPr>
          <w:sz w:val="22"/>
          <w:szCs w:val="22"/>
        </w:rPr>
        <w:t>pluripersonali son</w:t>
      </w:r>
      <w:r w:rsidR="001632B6">
        <w:rPr>
          <w:sz w:val="22"/>
          <w:szCs w:val="22"/>
        </w:rPr>
        <w:t xml:space="preserve">o largamente utilizzate per </w:t>
      </w:r>
      <w:r w:rsidR="008E4A4F">
        <w:rPr>
          <w:sz w:val="22"/>
          <w:szCs w:val="22"/>
        </w:rPr>
        <w:t xml:space="preserve">specificare </w:t>
      </w:r>
      <w:r w:rsidR="00F1049F">
        <w:rPr>
          <w:sz w:val="22"/>
          <w:szCs w:val="22"/>
        </w:rPr>
        <w:t>anche ricchezza riferibile a terzi, con</w:t>
      </w:r>
      <w:r w:rsidR="001632B6" w:rsidRPr="007F7EBF">
        <w:t>sumatori, collaboratori, risparmiatori, soci</w:t>
      </w:r>
      <w:r w:rsidR="00F1049F">
        <w:t>, in co</w:t>
      </w:r>
      <w:r w:rsidR="00EA401C">
        <w:t>n</w:t>
      </w:r>
      <w:r w:rsidR="00F1049F">
        <w:t>tatto con le aziende; esse c</w:t>
      </w:r>
      <w:r w:rsidR="008E4A4F" w:rsidRPr="007F7EBF">
        <w:rPr>
          <w:sz w:val="22"/>
          <w:szCs w:val="22"/>
        </w:rPr>
        <w:t xml:space="preserve">ome grandi filtri contabili e documentali, acquisiscono infatti, in entrata, le </w:t>
      </w:r>
      <w:r w:rsidR="008E4A4F" w:rsidRPr="007F7EBF">
        <w:rPr>
          <w:bCs/>
          <w:sz w:val="22"/>
          <w:szCs w:val="22"/>
        </w:rPr>
        <w:t xml:space="preserve"> spese per consumi , e in uscita erogano redditi  a</w:t>
      </w:r>
      <w:r w:rsidR="008E4A4F">
        <w:rPr>
          <w:bCs/>
          <w:sz w:val="22"/>
          <w:szCs w:val="22"/>
        </w:rPr>
        <w:t>i percettori suddetti (</w:t>
      </w:r>
      <w:r w:rsidR="008E4A4F" w:rsidRPr="007F7EBF">
        <w:rPr>
          <w:rStyle w:val="Rimandonotaapidipagina"/>
          <w:bCs/>
          <w:sz w:val="22"/>
          <w:szCs w:val="22"/>
        </w:rPr>
        <w:footnoteReference w:id="57"/>
      </w:r>
      <w:r w:rsidR="008E4A4F">
        <w:rPr>
          <w:bCs/>
          <w:sz w:val="22"/>
          <w:szCs w:val="22"/>
        </w:rPr>
        <w:t>)</w:t>
      </w:r>
      <w:r w:rsidR="00635DCE">
        <w:rPr>
          <w:bCs/>
          <w:sz w:val="22"/>
          <w:szCs w:val="22"/>
        </w:rPr>
        <w:t xml:space="preserve">. </w:t>
      </w:r>
    </w:p>
    <w:p w14:paraId="7A558DD2" w14:textId="77777777" w:rsidR="009168BC" w:rsidRPr="007F7EBF" w:rsidRDefault="009168BC" w:rsidP="009168BC">
      <w:pPr>
        <w:pStyle w:val="tit23"/>
        <w:ind w:left="6464" w:right="-1361" w:firstLine="0"/>
        <w:jc w:val="left"/>
        <w:rPr>
          <w:bCs/>
          <w:i/>
          <w:iCs/>
          <w:color w:val="0000FF"/>
          <w:lang w:val="it-IT"/>
        </w:rPr>
      </w:pPr>
      <w:r w:rsidRPr="007F7EBF">
        <w:rPr>
          <w:bCs/>
          <w:i/>
          <w:iCs/>
          <w:color w:val="0000FF"/>
          <w:lang w:val="it-IT"/>
        </w:rPr>
        <w:t>Esternalizzazione della funzione tributaria</w:t>
      </w:r>
    </w:p>
    <w:p w14:paraId="3F2EBDC8" w14:textId="1AC75209" w:rsidR="000A6B78" w:rsidRPr="007F7EBF" w:rsidRDefault="009168BC" w:rsidP="00077AEA">
      <w:pPr>
        <w:autoSpaceDE w:val="0"/>
        <w:autoSpaceDN w:val="0"/>
        <w:adjustRightInd w:val="0"/>
        <w:rPr>
          <w:bCs/>
          <w:i/>
          <w:iCs/>
          <w:color w:val="0000FF"/>
        </w:rPr>
      </w:pPr>
      <w:r w:rsidRPr="007F7EBF">
        <w:t xml:space="preserve">La funzione tributaria si è </w:t>
      </w:r>
      <w:r w:rsidR="009B274F" w:rsidRPr="007F7EBF">
        <w:t xml:space="preserve">in questo modo </w:t>
      </w:r>
      <w:r w:rsidR="00E90FB3">
        <w:t>in</w:t>
      </w:r>
      <w:r w:rsidR="009B274F" w:rsidRPr="007F7EBF">
        <w:t xml:space="preserve"> buona parte </w:t>
      </w:r>
      <w:r w:rsidR="00852632">
        <w:t>trasferita</w:t>
      </w:r>
      <w:r w:rsidRPr="007F7EBF">
        <w:t xml:space="preserve"> su strutture </w:t>
      </w:r>
      <w:r w:rsidR="00E90FB3">
        <w:t>esterne agli uffici tributari</w:t>
      </w:r>
      <w:r w:rsidR="00A039C9">
        <w:t xml:space="preserve">, </w:t>
      </w:r>
      <w:r w:rsidR="00F1049F">
        <w:t xml:space="preserve">come </w:t>
      </w:r>
      <w:r w:rsidR="00852632">
        <w:t xml:space="preserve">aziende </w:t>
      </w:r>
      <w:r w:rsidR="0041645E">
        <w:t xml:space="preserve">pluripersonali </w:t>
      </w:r>
      <w:r w:rsidR="00852632">
        <w:t>(</w:t>
      </w:r>
      <w:r w:rsidR="00852632">
        <w:rPr>
          <w:rStyle w:val="Rimandonotaapidipagina"/>
        </w:rPr>
        <w:footnoteReference w:id="58"/>
      </w:r>
      <w:r w:rsidR="00852632">
        <w:t xml:space="preserve">) e uffici contabili </w:t>
      </w:r>
      <w:r w:rsidR="0041645E">
        <w:t xml:space="preserve">anche di enti pubblici; </w:t>
      </w:r>
      <w:r w:rsidR="00C209E3">
        <w:t xml:space="preserve">è un’esternalizzazione che si verifica nella maggior parte dei paesi sviluppati, </w:t>
      </w:r>
      <w:r w:rsidR="0041645E">
        <w:t>più o meno consapevolmente (</w:t>
      </w:r>
      <w:r w:rsidR="0041645E">
        <w:rPr>
          <w:rStyle w:val="Rimandonotaapidipagina"/>
        </w:rPr>
        <w:footnoteReference w:id="59"/>
      </w:r>
      <w:r w:rsidR="0041645E">
        <w:t>)</w:t>
      </w:r>
      <w:r w:rsidR="00C209E3">
        <w:t xml:space="preserve">. </w:t>
      </w:r>
      <w:r w:rsidR="008E4A4F">
        <w:rPr>
          <w:sz w:val="22"/>
          <w:szCs w:val="22"/>
        </w:rPr>
        <w:t>Non a caso, come indicato al par.5.7,</w:t>
      </w:r>
      <w:r w:rsidR="008E4A4F" w:rsidRPr="00CE5BFD">
        <w:rPr>
          <w:sz w:val="22"/>
          <w:szCs w:val="22"/>
        </w:rPr>
        <w:t xml:space="preserve"> gran parte del gettito </w:t>
      </w:r>
      <w:r w:rsidR="008E4A4F">
        <w:rPr>
          <w:sz w:val="22"/>
          <w:szCs w:val="22"/>
        </w:rPr>
        <w:t xml:space="preserve">oggi </w:t>
      </w:r>
      <w:r w:rsidR="008E4A4F" w:rsidRPr="00CE5BFD">
        <w:rPr>
          <w:sz w:val="22"/>
          <w:szCs w:val="22"/>
        </w:rPr>
        <w:t>proviene dalle già indicate</w:t>
      </w:r>
      <w:r w:rsidR="008E4A4F">
        <w:rPr>
          <w:sz w:val="22"/>
          <w:szCs w:val="22"/>
        </w:rPr>
        <w:t xml:space="preserve"> o</w:t>
      </w:r>
      <w:r w:rsidR="008E4A4F" w:rsidRPr="00CE5BFD">
        <w:rPr>
          <w:sz w:val="22"/>
          <w:szCs w:val="22"/>
        </w:rPr>
        <w:t>rganizzazioni pluripersonali e poco da</w:t>
      </w:r>
      <w:r w:rsidR="00F1049F">
        <w:rPr>
          <w:sz w:val="22"/>
          <w:szCs w:val="22"/>
        </w:rPr>
        <w:t xml:space="preserve">gli </w:t>
      </w:r>
      <w:r w:rsidR="008E4A4F" w:rsidRPr="00CE5BFD">
        <w:rPr>
          <w:sz w:val="22"/>
          <w:szCs w:val="22"/>
        </w:rPr>
        <w:t>uffici</w:t>
      </w:r>
      <w:r w:rsidR="00C209E3">
        <w:rPr>
          <w:sz w:val="22"/>
          <w:szCs w:val="22"/>
        </w:rPr>
        <w:t xml:space="preserve"> tributari</w:t>
      </w:r>
      <w:r w:rsidR="00F1049F">
        <w:rPr>
          <w:sz w:val="22"/>
          <w:szCs w:val="22"/>
        </w:rPr>
        <w:t xml:space="preserve"> (par.5.7)</w:t>
      </w:r>
      <w:r w:rsidR="008E4A4F">
        <w:rPr>
          <w:sz w:val="22"/>
          <w:szCs w:val="22"/>
        </w:rPr>
        <w:t xml:space="preserve">; è un po' come se si fosse generalizzato </w:t>
      </w:r>
      <w:r w:rsidR="00C209E3">
        <w:rPr>
          <w:sz w:val="22"/>
          <w:szCs w:val="22"/>
        </w:rPr>
        <w:t xml:space="preserve">il sopra descritto ruolo </w:t>
      </w:r>
      <w:r w:rsidR="008E4A4F">
        <w:rPr>
          <w:sz w:val="22"/>
          <w:szCs w:val="22"/>
        </w:rPr>
        <w:t>tributario</w:t>
      </w:r>
      <w:r w:rsidR="00C209E3">
        <w:rPr>
          <w:sz w:val="22"/>
          <w:szCs w:val="22"/>
        </w:rPr>
        <w:t xml:space="preserve"> </w:t>
      </w:r>
      <w:r w:rsidR="008E4A4F">
        <w:rPr>
          <w:sz w:val="22"/>
          <w:szCs w:val="22"/>
        </w:rPr>
        <w:t>delle antiche comunità locali, religiose, etniche o professionali.</w:t>
      </w:r>
      <w:r w:rsidR="008E4A4F" w:rsidRPr="007F7EBF">
        <w:t xml:space="preserve"> </w:t>
      </w:r>
      <w:r w:rsidR="00077AEA">
        <w:t xml:space="preserve">Non tutti i </w:t>
      </w:r>
      <w:r w:rsidR="00077AEA">
        <w:lastRenderedPageBreak/>
        <w:t xml:space="preserve">presupposti economici di imposta sono però individuabili e calcolabili in modo documentale tramite queste organizzazioni. Questa diversa visibilità tributaria introduce il tema dell’evasione, che ci accompagnerà in tutto il testo, a partire dal prossimo paragrafo. </w:t>
      </w:r>
    </w:p>
    <w:p w14:paraId="7F336B4F" w14:textId="77777777" w:rsidR="00D07675" w:rsidRPr="007F7EBF" w:rsidRDefault="004060DC" w:rsidP="00CA7FB7">
      <w:pPr>
        <w:pStyle w:val="Titolo3"/>
        <w:rPr>
          <w:rFonts w:ascii="Times New Roman" w:hAnsi="Times New Roman"/>
          <w:sz w:val="22"/>
          <w:szCs w:val="22"/>
        </w:rPr>
      </w:pPr>
      <w:bookmarkStart w:id="10" w:name="_Toc63364931"/>
      <w:r w:rsidRPr="007F7EBF">
        <w:rPr>
          <w:rFonts w:ascii="Times New Roman" w:hAnsi="Times New Roman"/>
          <w:sz w:val="22"/>
          <w:szCs w:val="22"/>
        </w:rPr>
        <w:t xml:space="preserve">1.5. </w:t>
      </w:r>
      <w:r w:rsidR="00A41FC8" w:rsidRPr="007F7EBF">
        <w:rPr>
          <w:rFonts w:ascii="Times New Roman" w:hAnsi="Times New Roman"/>
          <w:sz w:val="22"/>
          <w:szCs w:val="22"/>
          <w:lang w:val="it-IT"/>
        </w:rPr>
        <w:t xml:space="preserve">Segue. </w:t>
      </w:r>
      <w:r w:rsidR="001A09A8">
        <w:rPr>
          <w:rFonts w:ascii="Times New Roman" w:hAnsi="Times New Roman"/>
          <w:sz w:val="22"/>
          <w:szCs w:val="22"/>
          <w:lang w:val="it-IT"/>
        </w:rPr>
        <w:t>L</w:t>
      </w:r>
      <w:r w:rsidR="007A2EC7">
        <w:rPr>
          <w:rFonts w:ascii="Times New Roman" w:hAnsi="Times New Roman"/>
          <w:sz w:val="22"/>
          <w:szCs w:val="22"/>
          <w:lang w:val="it-IT"/>
        </w:rPr>
        <w:t>’a</w:t>
      </w:r>
      <w:r w:rsidR="003757F1">
        <w:rPr>
          <w:rFonts w:ascii="Times New Roman" w:hAnsi="Times New Roman"/>
          <w:sz w:val="22"/>
          <w:szCs w:val="22"/>
          <w:lang w:val="it-IT"/>
        </w:rPr>
        <w:t>utodeterminazione de</w:t>
      </w:r>
      <w:r w:rsidR="007A2EC7">
        <w:rPr>
          <w:rFonts w:ascii="Times New Roman" w:hAnsi="Times New Roman"/>
          <w:sz w:val="22"/>
          <w:szCs w:val="22"/>
          <w:lang w:val="it-IT"/>
        </w:rPr>
        <w:t>lle imposte</w:t>
      </w:r>
      <w:r w:rsidR="001A09A8">
        <w:rPr>
          <w:rFonts w:ascii="Times New Roman" w:hAnsi="Times New Roman"/>
          <w:sz w:val="22"/>
          <w:szCs w:val="22"/>
          <w:lang w:val="it-IT"/>
        </w:rPr>
        <w:t xml:space="preserve"> in relazione a </w:t>
      </w:r>
      <w:r w:rsidR="007A2EC7">
        <w:rPr>
          <w:rFonts w:ascii="Times New Roman" w:hAnsi="Times New Roman"/>
          <w:sz w:val="22"/>
          <w:szCs w:val="22"/>
          <w:lang w:val="it-IT"/>
        </w:rPr>
        <w:t xml:space="preserve"> visibilità degli imponibili, </w:t>
      </w:r>
      <w:r w:rsidR="00A41FC8" w:rsidRPr="007F7EBF">
        <w:rPr>
          <w:rFonts w:ascii="Times New Roman" w:hAnsi="Times New Roman"/>
          <w:sz w:val="22"/>
          <w:szCs w:val="22"/>
          <w:lang w:val="it-IT"/>
        </w:rPr>
        <w:t>a</w:t>
      </w:r>
      <w:proofErr w:type="spellStart"/>
      <w:r w:rsidR="00544401" w:rsidRPr="007F7EBF">
        <w:rPr>
          <w:rFonts w:ascii="Times New Roman" w:hAnsi="Times New Roman"/>
          <w:sz w:val="22"/>
          <w:szCs w:val="22"/>
        </w:rPr>
        <w:t>liquote</w:t>
      </w:r>
      <w:proofErr w:type="spellEnd"/>
      <w:r w:rsidR="00544401" w:rsidRPr="007F7EBF">
        <w:rPr>
          <w:rFonts w:ascii="Times New Roman" w:hAnsi="Times New Roman"/>
          <w:sz w:val="22"/>
          <w:szCs w:val="22"/>
        </w:rPr>
        <w:t>,</w:t>
      </w:r>
      <w:r w:rsidR="00A41FC8" w:rsidRPr="007F7EBF">
        <w:rPr>
          <w:rFonts w:ascii="Times New Roman" w:hAnsi="Times New Roman"/>
          <w:sz w:val="22"/>
          <w:szCs w:val="22"/>
          <w:lang w:val="it-IT"/>
        </w:rPr>
        <w:t xml:space="preserve"> controlli e</w:t>
      </w:r>
      <w:r w:rsidR="00544401" w:rsidRPr="007F7EBF">
        <w:rPr>
          <w:rFonts w:ascii="Times New Roman" w:hAnsi="Times New Roman"/>
          <w:sz w:val="22"/>
          <w:szCs w:val="22"/>
        </w:rPr>
        <w:t xml:space="preserve"> sanzioni</w:t>
      </w:r>
      <w:r w:rsidR="00304058" w:rsidRPr="007F7EBF">
        <w:rPr>
          <w:rFonts w:ascii="Times New Roman" w:hAnsi="Times New Roman"/>
          <w:sz w:val="22"/>
          <w:szCs w:val="22"/>
        </w:rPr>
        <w:t>.</w:t>
      </w:r>
      <w:bookmarkEnd w:id="10"/>
    </w:p>
    <w:p w14:paraId="72A8A4BD" w14:textId="47418C70" w:rsidR="003A2871" w:rsidRPr="007F7EBF" w:rsidRDefault="00635DCE" w:rsidP="003A2871">
      <w:pPr>
        <w:pStyle w:val="tit23"/>
        <w:ind w:left="6464" w:right="-1361" w:firstLine="0"/>
        <w:jc w:val="left"/>
        <w:rPr>
          <w:bCs/>
          <w:i/>
          <w:iCs/>
          <w:color w:val="0000FF"/>
          <w:lang w:val="it-IT"/>
        </w:rPr>
      </w:pPr>
      <w:r>
        <w:rPr>
          <w:bCs/>
          <w:i/>
          <w:iCs/>
          <w:color w:val="0000FF"/>
          <w:lang w:val="it-IT"/>
        </w:rPr>
        <w:t>Livelli di efficienza della determinazione contabile</w:t>
      </w:r>
    </w:p>
    <w:p w14:paraId="36D0D583" w14:textId="5AFC6163" w:rsidR="004977C4" w:rsidRPr="007F7EBF" w:rsidRDefault="00C209E3" w:rsidP="00B2501B">
      <w:pPr>
        <w:autoSpaceDE w:val="0"/>
        <w:autoSpaceDN w:val="0"/>
        <w:adjustRightInd w:val="0"/>
        <w:rPr>
          <w:sz w:val="22"/>
          <w:szCs w:val="22"/>
        </w:rPr>
      </w:pPr>
      <w:r>
        <w:t xml:space="preserve">La documentazione contabile </w:t>
      </w:r>
      <w:r w:rsidR="00110BA2">
        <w:t xml:space="preserve">degli imponibili, </w:t>
      </w:r>
      <w:r>
        <w:t>indicata al termine del paragrafo precedente</w:t>
      </w:r>
      <w:r w:rsidR="0027236E">
        <w:t xml:space="preserve"> </w:t>
      </w:r>
      <w:r w:rsidR="00425DEE">
        <w:t xml:space="preserve">richiede </w:t>
      </w:r>
      <w:r w:rsidR="0027236E">
        <w:t xml:space="preserve">però aziende pluripersonali </w:t>
      </w:r>
      <w:proofErr w:type="spellStart"/>
      <w:r w:rsidR="0027236E">
        <w:t>proceduralizzate</w:t>
      </w:r>
      <w:proofErr w:type="spellEnd"/>
      <w:r w:rsidR="0027236E">
        <w:t xml:space="preserve">, come indicato ai </w:t>
      </w:r>
      <w:r w:rsidR="005E0D9F">
        <w:t>parr.3.1 ss.</w:t>
      </w:r>
      <w:r w:rsidR="0027236E">
        <w:t xml:space="preserve"> </w:t>
      </w:r>
      <w:r w:rsidR="008E4A4F">
        <w:rPr>
          <w:sz w:val="22"/>
          <w:szCs w:val="22"/>
        </w:rPr>
        <w:t>(</w:t>
      </w:r>
      <w:r w:rsidR="008E4A4F" w:rsidRPr="007F7EBF">
        <w:rPr>
          <w:rStyle w:val="Rimandonotaapidipagina"/>
          <w:sz w:val="22"/>
          <w:szCs w:val="22"/>
        </w:rPr>
        <w:footnoteReference w:id="60"/>
      </w:r>
      <w:r w:rsidR="008E4A4F">
        <w:rPr>
          <w:sz w:val="22"/>
          <w:szCs w:val="22"/>
        </w:rPr>
        <w:t>)</w:t>
      </w:r>
      <w:r w:rsidR="008E4A4F" w:rsidRPr="007F7EBF">
        <w:rPr>
          <w:sz w:val="22"/>
          <w:szCs w:val="22"/>
        </w:rPr>
        <w:t>.</w:t>
      </w:r>
      <w:r w:rsidR="0027236E">
        <w:rPr>
          <w:sz w:val="22"/>
          <w:szCs w:val="22"/>
        </w:rPr>
        <w:t xml:space="preserve"> Ne</w:t>
      </w:r>
      <w:r w:rsidR="009D33B9">
        <w:rPr>
          <w:sz w:val="22"/>
          <w:szCs w:val="22"/>
        </w:rPr>
        <w:t>l piccolo commercio</w:t>
      </w:r>
      <w:r w:rsidR="0027236E">
        <w:rPr>
          <w:sz w:val="22"/>
          <w:szCs w:val="22"/>
        </w:rPr>
        <w:t>, nel</w:t>
      </w:r>
      <w:r w:rsidR="009D33B9">
        <w:rPr>
          <w:sz w:val="22"/>
          <w:szCs w:val="22"/>
        </w:rPr>
        <w:t>l’artigianato</w:t>
      </w:r>
      <w:r w:rsidR="0027236E">
        <w:rPr>
          <w:sz w:val="22"/>
          <w:szCs w:val="22"/>
        </w:rPr>
        <w:t xml:space="preserve"> e nel</w:t>
      </w:r>
      <w:r w:rsidR="009D33B9">
        <w:rPr>
          <w:sz w:val="22"/>
          <w:szCs w:val="22"/>
        </w:rPr>
        <w:t xml:space="preserve">le libere professioni verso consumatori finali, </w:t>
      </w:r>
      <w:r w:rsidR="0027236E">
        <w:rPr>
          <w:sz w:val="22"/>
          <w:szCs w:val="22"/>
        </w:rPr>
        <w:t>un interesse gestionale al</w:t>
      </w:r>
      <w:r w:rsidR="005819B9">
        <w:rPr>
          <w:sz w:val="22"/>
          <w:szCs w:val="22"/>
        </w:rPr>
        <w:t xml:space="preserve">la determinazione contabile </w:t>
      </w:r>
      <w:r w:rsidR="00BF3226">
        <w:rPr>
          <w:sz w:val="22"/>
          <w:szCs w:val="22"/>
        </w:rPr>
        <w:t xml:space="preserve">non </w:t>
      </w:r>
      <w:r w:rsidR="0027236E">
        <w:rPr>
          <w:sz w:val="22"/>
          <w:szCs w:val="22"/>
        </w:rPr>
        <w:t>esiste, e gli adempimenti contabili sono solamente fiscali, come vedremo al par.3.13; a tali adempimenti andrebbe quindi affiancat</w:t>
      </w:r>
      <w:r w:rsidR="00044C14">
        <w:rPr>
          <w:sz w:val="22"/>
          <w:szCs w:val="22"/>
        </w:rPr>
        <w:t>a</w:t>
      </w:r>
      <w:r w:rsidR="0027236E">
        <w:rPr>
          <w:sz w:val="22"/>
          <w:szCs w:val="22"/>
        </w:rPr>
        <w:t xml:space="preserve"> la tradizionale </w:t>
      </w:r>
      <w:r w:rsidR="00BF3226">
        <w:rPr>
          <w:sz w:val="22"/>
          <w:szCs w:val="22"/>
        </w:rPr>
        <w:t xml:space="preserve"> </w:t>
      </w:r>
      <w:r w:rsidR="005819B9">
        <w:rPr>
          <w:sz w:val="22"/>
          <w:szCs w:val="22"/>
        </w:rPr>
        <w:t>valuta</w:t>
      </w:r>
      <w:r w:rsidR="0027236E">
        <w:rPr>
          <w:sz w:val="22"/>
          <w:szCs w:val="22"/>
        </w:rPr>
        <w:t>zione amministrativa dei presupposti economici imponibili da parte</w:t>
      </w:r>
      <w:r w:rsidR="005819B9">
        <w:rPr>
          <w:sz w:val="22"/>
          <w:szCs w:val="22"/>
        </w:rPr>
        <w:t xml:space="preserve"> degli uffici</w:t>
      </w:r>
      <w:r w:rsidR="00D94C5A">
        <w:rPr>
          <w:sz w:val="22"/>
          <w:szCs w:val="22"/>
        </w:rPr>
        <w:t xml:space="preserve"> tributari</w:t>
      </w:r>
      <w:r w:rsidR="00BF3226">
        <w:rPr>
          <w:sz w:val="22"/>
          <w:szCs w:val="22"/>
        </w:rPr>
        <w:t xml:space="preserve">. </w:t>
      </w:r>
    </w:p>
    <w:p w14:paraId="049BC7F8" w14:textId="4FC270E8" w:rsidR="004977C4" w:rsidRPr="007F7EBF" w:rsidRDefault="00D556D8" w:rsidP="004977C4">
      <w:pPr>
        <w:pStyle w:val="tit23"/>
        <w:ind w:left="6464" w:right="-1361" w:firstLine="0"/>
        <w:jc w:val="left"/>
        <w:rPr>
          <w:bCs/>
          <w:i/>
          <w:iCs/>
          <w:color w:val="0000FF"/>
          <w:lang w:val="it-IT"/>
        </w:rPr>
      </w:pPr>
      <w:r>
        <w:rPr>
          <w:bCs/>
          <w:i/>
          <w:iCs/>
          <w:color w:val="0000FF"/>
          <w:lang w:val="it-IT"/>
        </w:rPr>
        <w:t>Sperequazioni tributarie involontarie</w:t>
      </w:r>
    </w:p>
    <w:p w14:paraId="434B711E" w14:textId="7EDA099C" w:rsidR="00B2501B" w:rsidRPr="007B3055" w:rsidRDefault="00BF2968" w:rsidP="00B2501B">
      <w:pPr>
        <w:autoSpaceDE w:val="0"/>
        <w:autoSpaceDN w:val="0"/>
        <w:adjustRightInd w:val="0"/>
        <w:rPr>
          <w:sz w:val="22"/>
          <w:szCs w:val="22"/>
        </w:rPr>
      </w:pPr>
      <w:r>
        <w:rPr>
          <w:sz w:val="22"/>
          <w:szCs w:val="22"/>
        </w:rPr>
        <w:t>Nascono così</w:t>
      </w:r>
      <w:r w:rsidR="006B0FD4">
        <w:rPr>
          <w:sz w:val="22"/>
          <w:szCs w:val="22"/>
        </w:rPr>
        <w:t xml:space="preserve"> sperequazioni </w:t>
      </w:r>
      <w:r>
        <w:rPr>
          <w:sz w:val="22"/>
          <w:szCs w:val="22"/>
        </w:rPr>
        <w:t xml:space="preserve">tributarie tra titolari di presupposti economici diversamente determinabili ai fini delle imposte;  è un risultato simile a quello degli antichi privilegi tributari di cui </w:t>
      </w:r>
      <w:r w:rsidR="006B0FD4">
        <w:rPr>
          <w:sz w:val="22"/>
          <w:szCs w:val="22"/>
        </w:rPr>
        <w:t>al par.1.4</w:t>
      </w:r>
      <w:r>
        <w:rPr>
          <w:sz w:val="22"/>
          <w:szCs w:val="22"/>
        </w:rPr>
        <w:t>, che però erano politicamente voluti e provvisti di un fondamento valoriale. La facilità di evadere le imposte, non essendo a contatto con le organizzazioni utilizzate per chiederle, è invece fortuita, politicamente non voluta e giustificata solo tecnicamente. Proprio per questo essa provoca</w:t>
      </w:r>
      <w:r w:rsidR="00D556D8">
        <w:rPr>
          <w:sz w:val="22"/>
          <w:szCs w:val="22"/>
        </w:rPr>
        <w:t xml:space="preserve">, </w:t>
      </w:r>
      <w:r w:rsidR="006B0FD4">
        <w:rPr>
          <w:sz w:val="22"/>
          <w:szCs w:val="22"/>
        </w:rPr>
        <w:t>in una società pluralista e democratica</w:t>
      </w:r>
      <w:r w:rsidR="00D556D8">
        <w:rPr>
          <w:sz w:val="22"/>
          <w:szCs w:val="22"/>
        </w:rPr>
        <w:t>,</w:t>
      </w:r>
      <w:r w:rsidR="006B0FD4">
        <w:rPr>
          <w:sz w:val="22"/>
          <w:szCs w:val="22"/>
        </w:rPr>
        <w:t xml:space="preserve"> </w:t>
      </w:r>
      <w:r>
        <w:rPr>
          <w:sz w:val="22"/>
          <w:szCs w:val="22"/>
        </w:rPr>
        <w:t xml:space="preserve">polemiche e </w:t>
      </w:r>
      <w:r w:rsidR="006B0FD4">
        <w:rPr>
          <w:sz w:val="22"/>
          <w:szCs w:val="22"/>
        </w:rPr>
        <w:t xml:space="preserve">lacerazioni </w:t>
      </w:r>
      <w:r>
        <w:rPr>
          <w:sz w:val="22"/>
          <w:szCs w:val="22"/>
        </w:rPr>
        <w:lastRenderedPageBreak/>
        <w:t>sull’evasione fiscale, filo conduttore del testo</w:t>
      </w:r>
      <w:r w:rsidR="006B0FD4">
        <w:rPr>
          <w:sz w:val="22"/>
          <w:szCs w:val="22"/>
        </w:rPr>
        <w:t xml:space="preserve"> (</w:t>
      </w:r>
      <w:r w:rsidR="006B0FD4" w:rsidRPr="007F7EBF">
        <w:rPr>
          <w:rStyle w:val="Rimandonotaapidipagina"/>
        </w:rPr>
        <w:footnoteReference w:id="61"/>
      </w:r>
      <w:r w:rsidR="006B0FD4">
        <w:rPr>
          <w:sz w:val="22"/>
          <w:szCs w:val="22"/>
        </w:rPr>
        <w:t xml:space="preserve">). </w:t>
      </w:r>
      <w:r>
        <w:t>Nasce così</w:t>
      </w:r>
      <w:r w:rsidR="00FA5891">
        <w:rPr>
          <w:sz w:val="22"/>
          <w:szCs w:val="22"/>
        </w:rPr>
        <w:t xml:space="preserve"> nella società un interesse alla “perequazione tributaria” (il c.d. “pagare meno pagare tutti”), come percezione di corretta determinazione degli imponibili; è un interesse “trasversale”, </w:t>
      </w:r>
      <w:r w:rsidR="00FA5891" w:rsidRPr="000D6A53">
        <w:rPr>
          <w:i/>
          <w:sz w:val="22"/>
          <w:szCs w:val="22"/>
        </w:rPr>
        <w:t>indiretto</w:t>
      </w:r>
      <w:r w:rsidR="00FA5891">
        <w:rPr>
          <w:sz w:val="22"/>
          <w:szCs w:val="22"/>
        </w:rPr>
        <w:t xml:space="preserve"> (</w:t>
      </w:r>
      <w:r w:rsidR="00FA5891" w:rsidRPr="007F7EBF">
        <w:rPr>
          <w:rStyle w:val="Rimandonotaapidipagina"/>
          <w:sz w:val="22"/>
          <w:szCs w:val="22"/>
        </w:rPr>
        <w:footnoteReference w:id="62"/>
      </w:r>
      <w:r w:rsidR="00FA5891">
        <w:rPr>
          <w:sz w:val="22"/>
          <w:szCs w:val="22"/>
        </w:rPr>
        <w:t>)</w:t>
      </w:r>
      <w:r>
        <w:rPr>
          <w:sz w:val="22"/>
          <w:szCs w:val="22"/>
        </w:rPr>
        <w:t xml:space="preserve">, </w:t>
      </w:r>
      <w:r w:rsidR="00FA5891">
        <w:rPr>
          <w:sz w:val="22"/>
          <w:szCs w:val="22"/>
        </w:rPr>
        <w:t xml:space="preserve">valorizzabile solo con le spiegazioni sociali della funzione tributaria, come vasto intervento valutativo sugli imponibili non determinabili documentalmente tramite le aziende (par.5.7). </w:t>
      </w:r>
    </w:p>
    <w:p w14:paraId="378B57DF" w14:textId="77777777" w:rsidR="00B2501B" w:rsidRPr="007F7EBF" w:rsidRDefault="00B2501B" w:rsidP="00B2501B">
      <w:pPr>
        <w:pStyle w:val="tit23"/>
        <w:ind w:left="6464" w:right="-1361" w:firstLine="0"/>
        <w:jc w:val="left"/>
        <w:rPr>
          <w:bCs/>
          <w:i/>
          <w:iCs/>
          <w:color w:val="0000FF"/>
          <w:lang w:val="it-IT"/>
        </w:rPr>
      </w:pPr>
      <w:r>
        <w:rPr>
          <w:bCs/>
          <w:i/>
          <w:iCs/>
          <w:color w:val="0000FF"/>
          <w:lang w:val="it-IT"/>
        </w:rPr>
        <w:t>Generalizzazione dell’autotassazione</w:t>
      </w:r>
    </w:p>
    <w:p w14:paraId="74FAE9CF" w14:textId="0C7252CA" w:rsidR="00D556D8" w:rsidRPr="007F7EBF" w:rsidRDefault="001238A9" w:rsidP="00D556D8">
      <w:pPr>
        <w:autoSpaceDE w:val="0"/>
        <w:autoSpaceDN w:val="0"/>
        <w:adjustRightInd w:val="0"/>
        <w:rPr>
          <w:sz w:val="22"/>
          <w:szCs w:val="22"/>
        </w:rPr>
      </w:pPr>
      <w:r>
        <w:rPr>
          <w:sz w:val="22"/>
          <w:szCs w:val="22"/>
        </w:rPr>
        <w:t xml:space="preserve">E’ il concetto stesso di </w:t>
      </w:r>
      <w:r w:rsidRPr="001238A9">
        <w:rPr>
          <w:i/>
          <w:iCs/>
          <w:sz w:val="22"/>
          <w:szCs w:val="22"/>
        </w:rPr>
        <w:t>autodeterminazione delle imposte</w:t>
      </w:r>
      <w:r>
        <w:rPr>
          <w:sz w:val="22"/>
          <w:szCs w:val="22"/>
        </w:rPr>
        <w:t xml:space="preserve"> ad essere improprio, in quanto esse, com’è implicito nel loro nome, hanno bisogno di essere </w:t>
      </w:r>
      <w:r>
        <w:rPr>
          <w:i/>
          <w:iCs/>
          <w:sz w:val="22"/>
          <w:szCs w:val="22"/>
        </w:rPr>
        <w:t xml:space="preserve">imposte </w:t>
      </w:r>
      <w:r>
        <w:rPr>
          <w:sz w:val="22"/>
          <w:szCs w:val="22"/>
        </w:rPr>
        <w:t xml:space="preserve">; </w:t>
      </w:r>
      <w:r w:rsidR="00D00854">
        <w:rPr>
          <w:sz w:val="22"/>
          <w:szCs w:val="22"/>
        </w:rPr>
        <w:t xml:space="preserve">questo compito di </w:t>
      </w:r>
      <w:r w:rsidR="00D00854">
        <w:rPr>
          <w:i/>
          <w:iCs/>
          <w:sz w:val="22"/>
          <w:szCs w:val="22"/>
        </w:rPr>
        <w:t xml:space="preserve">imporre le imposte </w:t>
      </w:r>
      <w:r w:rsidR="00D00854">
        <w:rPr>
          <w:sz w:val="22"/>
          <w:szCs w:val="22"/>
        </w:rPr>
        <w:t>è stato esternalizzato su aziende, enti pubblici ed altre organizzazioni con affidabile amministrazione documentale. La determinazione documentale dei presupposti economici imponibili è stata generalizzata in “autotassazione” per omogeneità di criteri</w:t>
      </w:r>
      <w:r w:rsidR="008507D3">
        <w:rPr>
          <w:sz w:val="22"/>
          <w:szCs w:val="22"/>
        </w:rPr>
        <w:t>. D</w:t>
      </w:r>
      <w:r w:rsidR="00D00854">
        <w:rPr>
          <w:sz w:val="22"/>
          <w:szCs w:val="22"/>
        </w:rPr>
        <w:t xml:space="preserve">ove </w:t>
      </w:r>
      <w:r w:rsidR="008507D3">
        <w:rPr>
          <w:sz w:val="22"/>
          <w:szCs w:val="22"/>
        </w:rPr>
        <w:t xml:space="preserve">però </w:t>
      </w:r>
      <w:r w:rsidR="00D00854">
        <w:rPr>
          <w:sz w:val="22"/>
          <w:szCs w:val="22"/>
        </w:rPr>
        <w:t>non esistono organizzazioni amministrative</w:t>
      </w:r>
      <w:r w:rsidR="008507D3">
        <w:rPr>
          <w:sz w:val="22"/>
          <w:szCs w:val="22"/>
        </w:rPr>
        <w:t>,</w:t>
      </w:r>
      <w:r w:rsidR="00D00854">
        <w:rPr>
          <w:sz w:val="22"/>
          <w:szCs w:val="22"/>
        </w:rPr>
        <w:t xml:space="preserve"> </w:t>
      </w:r>
      <w:r w:rsidR="008507D3">
        <w:rPr>
          <w:sz w:val="22"/>
          <w:szCs w:val="22"/>
        </w:rPr>
        <w:t xml:space="preserve">per </w:t>
      </w:r>
      <w:r w:rsidR="00D00854">
        <w:rPr>
          <w:i/>
          <w:iCs/>
          <w:sz w:val="22"/>
          <w:szCs w:val="22"/>
        </w:rPr>
        <w:t>l’imposizione delle imposte</w:t>
      </w:r>
      <w:r>
        <w:rPr>
          <w:sz w:val="22"/>
          <w:szCs w:val="22"/>
        </w:rPr>
        <w:t xml:space="preserve"> </w:t>
      </w:r>
      <w:r w:rsidR="00D00854">
        <w:rPr>
          <w:sz w:val="22"/>
          <w:szCs w:val="22"/>
        </w:rPr>
        <w:t xml:space="preserve">continua a </w:t>
      </w:r>
      <w:r w:rsidR="008507D3">
        <w:rPr>
          <w:sz w:val="22"/>
          <w:szCs w:val="22"/>
        </w:rPr>
        <w:t>essere necessario</w:t>
      </w:r>
      <w:r w:rsidR="00D00854">
        <w:rPr>
          <w:sz w:val="22"/>
          <w:szCs w:val="22"/>
        </w:rPr>
        <w:t xml:space="preserve"> un </w:t>
      </w:r>
      <w:r w:rsidR="00B2501B">
        <w:rPr>
          <w:sz w:val="22"/>
          <w:szCs w:val="22"/>
        </w:rPr>
        <w:t>intervento valutativo degli uffici tributari</w:t>
      </w:r>
      <w:r w:rsidR="008507D3">
        <w:rPr>
          <w:sz w:val="22"/>
          <w:szCs w:val="22"/>
        </w:rPr>
        <w:t xml:space="preserve">; </w:t>
      </w:r>
      <w:r w:rsidR="00B2501B">
        <w:rPr>
          <w:sz w:val="22"/>
          <w:szCs w:val="22"/>
        </w:rPr>
        <w:t xml:space="preserve"> </w:t>
      </w:r>
      <w:r w:rsidR="008507D3">
        <w:rPr>
          <w:sz w:val="22"/>
          <w:szCs w:val="22"/>
        </w:rPr>
        <w:t xml:space="preserve">tale intervento può essere </w:t>
      </w:r>
      <w:r w:rsidR="00991891">
        <w:rPr>
          <w:sz w:val="22"/>
          <w:szCs w:val="22"/>
        </w:rPr>
        <w:t>selettivo, senza riguardare tutti i presupposti economici</w:t>
      </w:r>
      <w:r w:rsidR="00991891">
        <w:rPr>
          <w:bCs/>
          <w:sz w:val="22"/>
          <w:szCs w:val="22"/>
        </w:rPr>
        <w:t xml:space="preserve"> </w:t>
      </w:r>
      <w:r w:rsidR="00991891" w:rsidRPr="007F7EBF">
        <w:rPr>
          <w:bCs/>
          <w:sz w:val="22"/>
          <w:szCs w:val="22"/>
        </w:rPr>
        <w:t xml:space="preserve">non </w:t>
      </w:r>
      <w:r w:rsidR="00991891">
        <w:rPr>
          <w:bCs/>
          <w:sz w:val="22"/>
          <w:szCs w:val="22"/>
        </w:rPr>
        <w:t>determinati in modo documentale dalle suddette organizzazioni amministrative</w:t>
      </w:r>
      <w:r w:rsidR="00A9653F">
        <w:rPr>
          <w:bCs/>
          <w:sz w:val="22"/>
          <w:szCs w:val="22"/>
        </w:rPr>
        <w:t xml:space="preserve">; l’obiettivo di controlli sistematici non è tanto il </w:t>
      </w:r>
      <w:r w:rsidR="00991891">
        <w:rPr>
          <w:sz w:val="22"/>
          <w:szCs w:val="22"/>
        </w:rPr>
        <w:t>gettito</w:t>
      </w:r>
      <w:r w:rsidR="00A9653F">
        <w:rPr>
          <w:sz w:val="22"/>
          <w:szCs w:val="22"/>
        </w:rPr>
        <w:t xml:space="preserve"> da essi direttamente conseguito</w:t>
      </w:r>
      <w:r w:rsidR="00A9653F" w:rsidRPr="00661AD5">
        <w:rPr>
          <w:rStyle w:val="Rimandonotaapidipagina"/>
        </w:rPr>
        <w:footnoteReference w:id="63"/>
      </w:r>
      <w:r w:rsidR="00A9653F">
        <w:rPr>
          <w:sz w:val="22"/>
          <w:szCs w:val="22"/>
        </w:rPr>
        <w:t xml:space="preserve">, ma l’impulso a una credibile autodeterminazione, e la perequazione tributaria, </w:t>
      </w:r>
      <w:r w:rsidR="00991891">
        <w:rPr>
          <w:sz w:val="22"/>
          <w:szCs w:val="22"/>
        </w:rPr>
        <w:t xml:space="preserve"> come indicato al par.5.7</w:t>
      </w:r>
      <w:r w:rsidR="00991891">
        <w:rPr>
          <w:bCs/>
          <w:sz w:val="22"/>
          <w:szCs w:val="22"/>
        </w:rPr>
        <w:t xml:space="preserve">. </w:t>
      </w:r>
    </w:p>
    <w:p w14:paraId="58E89E43" w14:textId="47A36A1B" w:rsidR="00D556D8" w:rsidRPr="007F7EBF" w:rsidRDefault="00661AD5" w:rsidP="00D556D8">
      <w:pPr>
        <w:pStyle w:val="tit23"/>
        <w:ind w:left="6464" w:right="-1361" w:firstLine="0"/>
        <w:jc w:val="left"/>
        <w:rPr>
          <w:bCs/>
          <w:i/>
          <w:iCs/>
          <w:color w:val="0000FF"/>
          <w:lang w:val="it-IT"/>
        </w:rPr>
      </w:pPr>
      <w:r>
        <w:rPr>
          <w:bCs/>
          <w:i/>
          <w:iCs/>
          <w:color w:val="0000FF"/>
          <w:lang w:val="it-IT"/>
        </w:rPr>
        <w:lastRenderedPageBreak/>
        <w:t>Autodeterminazione evasione e controllo</w:t>
      </w:r>
    </w:p>
    <w:p w14:paraId="66FE21CF" w14:textId="160022EF" w:rsidR="006342C5" w:rsidRDefault="00A9653F" w:rsidP="004977C4">
      <w:pPr>
        <w:autoSpaceDE w:val="0"/>
        <w:autoSpaceDN w:val="0"/>
        <w:adjustRightInd w:val="0"/>
        <w:rPr>
          <w:sz w:val="22"/>
          <w:szCs w:val="22"/>
        </w:rPr>
      </w:pPr>
      <w:r>
        <w:rPr>
          <w:sz w:val="22"/>
          <w:szCs w:val="22"/>
        </w:rPr>
        <w:t xml:space="preserve">La </w:t>
      </w:r>
      <w:r w:rsidR="008F1038">
        <w:rPr>
          <w:sz w:val="22"/>
          <w:szCs w:val="22"/>
        </w:rPr>
        <w:t xml:space="preserve">suddetta </w:t>
      </w:r>
      <w:r>
        <w:rPr>
          <w:sz w:val="22"/>
          <w:szCs w:val="22"/>
        </w:rPr>
        <w:t>determinazione documentale dei presupposti economici d</w:t>
      </w:r>
      <w:r w:rsidR="00162A7C">
        <w:rPr>
          <w:sz w:val="22"/>
          <w:szCs w:val="22"/>
        </w:rPr>
        <w:t>’</w:t>
      </w:r>
      <w:r>
        <w:rPr>
          <w:sz w:val="22"/>
          <w:szCs w:val="22"/>
        </w:rPr>
        <w:t xml:space="preserve">imposta, </w:t>
      </w:r>
      <w:r w:rsidR="008F1038">
        <w:rPr>
          <w:sz w:val="22"/>
          <w:szCs w:val="22"/>
        </w:rPr>
        <w:t xml:space="preserve">esternalizzata su </w:t>
      </w:r>
      <w:r>
        <w:rPr>
          <w:sz w:val="22"/>
          <w:szCs w:val="22"/>
        </w:rPr>
        <w:t xml:space="preserve">organizzazioni </w:t>
      </w:r>
      <w:r w:rsidR="006B4CFB">
        <w:rPr>
          <w:sz w:val="22"/>
          <w:szCs w:val="22"/>
        </w:rPr>
        <w:t>(</w:t>
      </w:r>
      <w:r>
        <w:rPr>
          <w:sz w:val="22"/>
          <w:szCs w:val="22"/>
        </w:rPr>
        <w:t>aziende</w:t>
      </w:r>
      <w:r w:rsidR="006B4CFB">
        <w:rPr>
          <w:sz w:val="22"/>
          <w:szCs w:val="22"/>
        </w:rPr>
        <w:t xml:space="preserve"> </w:t>
      </w:r>
      <w:r>
        <w:rPr>
          <w:sz w:val="22"/>
          <w:szCs w:val="22"/>
        </w:rPr>
        <w:t>e pubblic</w:t>
      </w:r>
      <w:r w:rsidR="006B4CFB">
        <w:rPr>
          <w:sz w:val="22"/>
          <w:szCs w:val="22"/>
        </w:rPr>
        <w:t>i uffici)</w:t>
      </w:r>
      <w:r>
        <w:rPr>
          <w:sz w:val="22"/>
          <w:szCs w:val="22"/>
        </w:rPr>
        <w:t xml:space="preserve"> </w:t>
      </w:r>
      <w:r w:rsidR="008F1038">
        <w:rPr>
          <w:sz w:val="22"/>
          <w:szCs w:val="22"/>
        </w:rPr>
        <w:t>professionisti e singoli contribuenti</w:t>
      </w:r>
      <w:r>
        <w:rPr>
          <w:sz w:val="22"/>
          <w:szCs w:val="22"/>
        </w:rPr>
        <w:t>, pone infatti il problema dell’evasione</w:t>
      </w:r>
      <w:r w:rsidR="008F1038">
        <w:rPr>
          <w:sz w:val="22"/>
          <w:szCs w:val="22"/>
        </w:rPr>
        <w:t xml:space="preserve">. Nella </w:t>
      </w:r>
      <w:r>
        <w:rPr>
          <w:sz w:val="22"/>
          <w:szCs w:val="22"/>
        </w:rPr>
        <w:t>tradizion</w:t>
      </w:r>
      <w:r w:rsidR="00247BC4">
        <w:rPr>
          <w:sz w:val="22"/>
          <w:szCs w:val="22"/>
        </w:rPr>
        <w:t>ale determinazione de</w:t>
      </w:r>
      <w:r w:rsidR="008F1038">
        <w:rPr>
          <w:sz w:val="22"/>
          <w:szCs w:val="22"/>
        </w:rPr>
        <w:t xml:space="preserve">lle imposte da parte del fisco o di suoi incaricati, </w:t>
      </w:r>
      <w:r w:rsidR="006B4CFB">
        <w:rPr>
          <w:sz w:val="22"/>
          <w:szCs w:val="22"/>
        </w:rPr>
        <w:t xml:space="preserve">per evadere serviva </w:t>
      </w:r>
      <w:r w:rsidR="00247BC4">
        <w:rPr>
          <w:sz w:val="22"/>
          <w:szCs w:val="22"/>
        </w:rPr>
        <w:t>resistenza attiva o l’ostruzionismo</w:t>
      </w:r>
      <w:r w:rsidR="008F1038">
        <w:rPr>
          <w:sz w:val="22"/>
          <w:szCs w:val="22"/>
        </w:rPr>
        <w:t>, severamente punit</w:t>
      </w:r>
      <w:r w:rsidR="006B4CFB">
        <w:rPr>
          <w:sz w:val="22"/>
          <w:szCs w:val="22"/>
        </w:rPr>
        <w:t xml:space="preserve">i nella misura in cui significavano </w:t>
      </w:r>
      <w:r w:rsidR="008F1038">
        <w:rPr>
          <w:sz w:val="22"/>
          <w:szCs w:val="22"/>
        </w:rPr>
        <w:t>ribellion</w:t>
      </w:r>
      <w:r w:rsidR="006B4CFB">
        <w:rPr>
          <w:sz w:val="22"/>
          <w:szCs w:val="22"/>
        </w:rPr>
        <w:t>e al pubblico potere</w:t>
      </w:r>
      <w:r w:rsidR="008F1038">
        <w:rPr>
          <w:sz w:val="22"/>
          <w:szCs w:val="22"/>
        </w:rPr>
        <w:t>. Con l’</w:t>
      </w:r>
      <w:r w:rsidR="00247BC4">
        <w:rPr>
          <w:sz w:val="22"/>
          <w:szCs w:val="22"/>
        </w:rPr>
        <w:t>obblig</w:t>
      </w:r>
      <w:r w:rsidR="008F1038">
        <w:rPr>
          <w:sz w:val="22"/>
          <w:szCs w:val="22"/>
        </w:rPr>
        <w:t xml:space="preserve">o </w:t>
      </w:r>
      <w:r w:rsidR="00247BC4">
        <w:rPr>
          <w:sz w:val="22"/>
          <w:szCs w:val="22"/>
        </w:rPr>
        <w:t>dei contribuenti di attivarsi nel calcolo delle imposte</w:t>
      </w:r>
      <w:r w:rsidR="008F1038">
        <w:rPr>
          <w:sz w:val="22"/>
          <w:szCs w:val="22"/>
        </w:rPr>
        <w:t xml:space="preserve"> (</w:t>
      </w:r>
      <w:r w:rsidR="004977C4">
        <w:rPr>
          <w:sz w:val="22"/>
          <w:szCs w:val="22"/>
        </w:rPr>
        <w:t>autotassazione</w:t>
      </w:r>
      <w:r w:rsidR="008F1038">
        <w:rPr>
          <w:sz w:val="22"/>
          <w:szCs w:val="22"/>
        </w:rPr>
        <w:t xml:space="preserve">) sorge </w:t>
      </w:r>
      <w:r w:rsidR="00247BC4">
        <w:rPr>
          <w:sz w:val="22"/>
          <w:szCs w:val="22"/>
        </w:rPr>
        <w:t>il problema dell’inadempimento</w:t>
      </w:r>
      <w:r w:rsidR="008F1038">
        <w:rPr>
          <w:sz w:val="22"/>
          <w:szCs w:val="22"/>
        </w:rPr>
        <w:t xml:space="preserve">, sempre omissivo, </w:t>
      </w:r>
      <w:r w:rsidR="008F1038">
        <w:t xml:space="preserve">come indicato ai parr.3.7, 3.13, 3.14. </w:t>
      </w:r>
      <w:r w:rsidR="006B4CFB">
        <w:t>Secondo alcuni economisti q</w:t>
      </w:r>
      <w:r w:rsidR="008F1038">
        <w:t xml:space="preserve">uesto </w:t>
      </w:r>
      <w:r w:rsidR="00162A7C">
        <w:rPr>
          <w:i/>
          <w:iCs/>
          <w:sz w:val="22"/>
          <w:szCs w:val="22"/>
        </w:rPr>
        <w:t xml:space="preserve">tasso di adempimento </w:t>
      </w:r>
      <w:r w:rsidR="008F1038">
        <w:rPr>
          <w:sz w:val="22"/>
          <w:szCs w:val="22"/>
        </w:rPr>
        <w:t xml:space="preserve">(c.d. </w:t>
      </w:r>
      <w:r w:rsidR="00162A7C">
        <w:rPr>
          <w:i/>
          <w:iCs/>
          <w:sz w:val="22"/>
          <w:szCs w:val="22"/>
        </w:rPr>
        <w:t>tax compliance)</w:t>
      </w:r>
      <w:r w:rsidR="008F1038">
        <w:rPr>
          <w:sz w:val="22"/>
          <w:szCs w:val="22"/>
        </w:rPr>
        <w:t xml:space="preserve"> </w:t>
      </w:r>
      <w:r w:rsidR="006B4CFB">
        <w:rPr>
          <w:sz w:val="22"/>
          <w:szCs w:val="22"/>
        </w:rPr>
        <w:t>dipenderebbe</w:t>
      </w:r>
      <w:r w:rsidR="008F1038">
        <w:rPr>
          <w:sz w:val="22"/>
          <w:szCs w:val="22"/>
        </w:rPr>
        <w:t xml:space="preserve"> </w:t>
      </w:r>
      <w:r w:rsidR="006B4CFB">
        <w:rPr>
          <w:sz w:val="22"/>
          <w:szCs w:val="22"/>
        </w:rPr>
        <w:t xml:space="preserve">da aliquote, sanzioni e controlli </w:t>
      </w:r>
      <w:r w:rsidR="00162A7C">
        <w:rPr>
          <w:sz w:val="22"/>
          <w:szCs w:val="22"/>
        </w:rPr>
        <w:t>economisti</w:t>
      </w:r>
      <w:r w:rsidR="004977C4">
        <w:rPr>
          <w:sz w:val="22"/>
          <w:szCs w:val="22"/>
        </w:rPr>
        <w:t xml:space="preserve"> </w:t>
      </w:r>
      <w:r w:rsidR="00162A7C">
        <w:rPr>
          <w:bCs/>
          <w:sz w:val="22"/>
          <w:szCs w:val="22"/>
        </w:rPr>
        <w:t>(</w:t>
      </w:r>
      <w:r w:rsidR="00162A7C" w:rsidRPr="007F7EBF">
        <w:rPr>
          <w:rStyle w:val="Rimandonotaapidipagina"/>
          <w:bCs/>
          <w:sz w:val="22"/>
          <w:szCs w:val="22"/>
        </w:rPr>
        <w:footnoteReference w:id="64"/>
      </w:r>
      <w:r w:rsidR="00162A7C">
        <w:rPr>
          <w:bCs/>
          <w:sz w:val="22"/>
          <w:szCs w:val="22"/>
        </w:rPr>
        <w:t>)</w:t>
      </w:r>
      <w:r w:rsidR="004977C4">
        <w:rPr>
          <w:sz w:val="22"/>
          <w:szCs w:val="22"/>
        </w:rPr>
        <w:t xml:space="preserve">. </w:t>
      </w:r>
      <w:r w:rsidR="006B4CFB">
        <w:rPr>
          <w:sz w:val="22"/>
          <w:szCs w:val="22"/>
        </w:rPr>
        <w:t>Vedremo ai parr.1</w:t>
      </w:r>
      <w:r w:rsidR="00361BCC">
        <w:rPr>
          <w:sz w:val="22"/>
          <w:szCs w:val="22"/>
        </w:rPr>
        <w:t>.7</w:t>
      </w:r>
      <w:r w:rsidR="006B4CFB">
        <w:rPr>
          <w:sz w:val="22"/>
          <w:szCs w:val="22"/>
        </w:rPr>
        <w:t xml:space="preserve"> e 4.5 la ridotta importanza delle aliquote e al par.</w:t>
      </w:r>
      <w:r w:rsidR="00162A7C">
        <w:rPr>
          <w:sz w:val="22"/>
          <w:szCs w:val="22"/>
        </w:rPr>
        <w:t xml:space="preserve">6.13 </w:t>
      </w:r>
      <w:r w:rsidR="006B4CFB">
        <w:rPr>
          <w:sz w:val="22"/>
          <w:szCs w:val="22"/>
        </w:rPr>
        <w:t xml:space="preserve">quella delle sanzioni, ma la </w:t>
      </w:r>
      <w:r w:rsidR="00162A7C">
        <w:rPr>
          <w:sz w:val="22"/>
          <w:szCs w:val="22"/>
        </w:rPr>
        <w:t>variabile più importante</w:t>
      </w:r>
      <w:r w:rsidR="006B4CFB">
        <w:rPr>
          <w:sz w:val="22"/>
          <w:szCs w:val="22"/>
        </w:rPr>
        <w:t xml:space="preserve"> è quella dei controlli; essa ripropone infatti, la precedente richiesta delle imposte in base alla valutazione dei relativi presupposti economici. Vedremo al par.5.7 che in questo nuovo contesto i controlli servono ad </w:t>
      </w:r>
      <w:r w:rsidR="00162A7C">
        <w:rPr>
          <w:sz w:val="22"/>
          <w:szCs w:val="22"/>
        </w:rPr>
        <w:t>integrare il compito delle organizzazioni amministrativ</w:t>
      </w:r>
      <w:r w:rsidR="006B4CFB">
        <w:rPr>
          <w:sz w:val="22"/>
          <w:szCs w:val="22"/>
        </w:rPr>
        <w:t>e suddette sui presupposti economici d’imposta non facilmente determinabili in modo documentale</w:t>
      </w:r>
      <w:r w:rsidR="00676732">
        <w:rPr>
          <w:sz w:val="22"/>
          <w:szCs w:val="22"/>
        </w:rPr>
        <w:t>; vedremo che l’obiettivo</w:t>
      </w:r>
      <w:r w:rsidR="00162A7C">
        <w:rPr>
          <w:sz w:val="22"/>
          <w:szCs w:val="22"/>
        </w:rPr>
        <w:t xml:space="preserve"> è </w:t>
      </w:r>
      <w:r w:rsidR="00353C50">
        <w:rPr>
          <w:sz w:val="22"/>
          <w:szCs w:val="22"/>
        </w:rPr>
        <w:t xml:space="preserve">spingere all’adempimento </w:t>
      </w:r>
      <w:r w:rsidR="00676732">
        <w:rPr>
          <w:sz w:val="22"/>
          <w:szCs w:val="22"/>
        </w:rPr>
        <w:t xml:space="preserve">i contribuenti nel loro complesso, più che massimizzare il gettito dal singolo </w:t>
      </w:r>
      <w:r w:rsidR="00675368">
        <w:rPr>
          <w:sz w:val="22"/>
          <w:szCs w:val="22"/>
        </w:rPr>
        <w:t xml:space="preserve"> </w:t>
      </w:r>
      <w:r w:rsidR="00D556D8">
        <w:rPr>
          <w:sz w:val="22"/>
          <w:szCs w:val="22"/>
        </w:rPr>
        <w:t>contribuente controllato</w:t>
      </w:r>
      <w:r w:rsidR="000231F0">
        <w:rPr>
          <w:sz w:val="22"/>
          <w:szCs w:val="22"/>
        </w:rPr>
        <w:t>.</w:t>
      </w:r>
      <w:r w:rsidR="00D556D8">
        <w:rPr>
          <w:sz w:val="22"/>
          <w:szCs w:val="22"/>
        </w:rPr>
        <w:t xml:space="preserve"> </w:t>
      </w:r>
    </w:p>
    <w:p w14:paraId="04C1F23C" w14:textId="6A041C7B" w:rsidR="00A2552A" w:rsidRDefault="00A2552A" w:rsidP="004977C4">
      <w:pPr>
        <w:autoSpaceDE w:val="0"/>
        <w:autoSpaceDN w:val="0"/>
        <w:adjustRightInd w:val="0"/>
        <w:rPr>
          <w:sz w:val="22"/>
          <w:szCs w:val="22"/>
        </w:rPr>
      </w:pPr>
    </w:p>
    <w:p w14:paraId="3227E2EB" w14:textId="7FE30869" w:rsidR="00A2552A" w:rsidRPr="007F7EBF" w:rsidRDefault="001F13C8" w:rsidP="00A2552A">
      <w:pPr>
        <w:pStyle w:val="Titolo3"/>
        <w:rPr>
          <w:bCs w:val="0"/>
          <w:i/>
          <w:iCs/>
          <w:color w:val="0000FF"/>
          <w:sz w:val="22"/>
          <w:szCs w:val="22"/>
        </w:rPr>
      </w:pPr>
      <w:bookmarkStart w:id="11" w:name="_Toc63364932"/>
      <w:r>
        <w:rPr>
          <w:rFonts w:ascii="Times New Roman" w:hAnsi="Times New Roman"/>
          <w:sz w:val="22"/>
          <w:szCs w:val="22"/>
          <w:lang w:val="it-IT"/>
        </w:rPr>
        <w:t>1.6 L</w:t>
      </w:r>
      <w:r w:rsidR="00A2552A" w:rsidRPr="007F7EBF">
        <w:rPr>
          <w:rFonts w:ascii="Times New Roman" w:hAnsi="Times New Roman"/>
          <w:sz w:val="22"/>
          <w:szCs w:val="22"/>
          <w:lang w:val="it-IT"/>
        </w:rPr>
        <w:t xml:space="preserve">’evasione </w:t>
      </w:r>
      <w:r>
        <w:rPr>
          <w:rFonts w:ascii="Times New Roman" w:hAnsi="Times New Roman"/>
          <w:sz w:val="22"/>
          <w:szCs w:val="22"/>
          <w:lang w:val="it-IT"/>
        </w:rPr>
        <w:t>in senso materiale come mancata registrazione di</w:t>
      </w:r>
      <w:r w:rsidR="00A2552A">
        <w:rPr>
          <w:rFonts w:ascii="Times New Roman" w:hAnsi="Times New Roman"/>
          <w:sz w:val="22"/>
          <w:szCs w:val="22"/>
          <w:lang w:val="it-IT"/>
        </w:rPr>
        <w:t xml:space="preserve"> </w:t>
      </w:r>
      <w:r>
        <w:rPr>
          <w:rFonts w:ascii="Times New Roman" w:hAnsi="Times New Roman"/>
          <w:sz w:val="22"/>
          <w:szCs w:val="22"/>
          <w:lang w:val="it-IT"/>
        </w:rPr>
        <w:t>presupposti economici</w:t>
      </w:r>
      <w:r w:rsidR="00A2552A">
        <w:rPr>
          <w:rFonts w:ascii="Times New Roman" w:hAnsi="Times New Roman"/>
          <w:sz w:val="22"/>
          <w:szCs w:val="22"/>
          <w:lang w:val="it-IT"/>
        </w:rPr>
        <w:t xml:space="preserve"> </w:t>
      </w:r>
      <w:r>
        <w:rPr>
          <w:rFonts w:ascii="Times New Roman" w:hAnsi="Times New Roman"/>
          <w:sz w:val="22"/>
          <w:szCs w:val="22"/>
          <w:lang w:val="it-IT"/>
        </w:rPr>
        <w:t>e evasione interpretativa:</w:t>
      </w:r>
      <w:r w:rsidR="00851176">
        <w:rPr>
          <w:rFonts w:ascii="Times New Roman" w:hAnsi="Times New Roman"/>
          <w:sz w:val="22"/>
          <w:szCs w:val="22"/>
          <w:lang w:val="it-IT"/>
        </w:rPr>
        <w:t xml:space="preserve"> </w:t>
      </w:r>
      <w:r>
        <w:rPr>
          <w:rFonts w:ascii="Times New Roman" w:hAnsi="Times New Roman"/>
          <w:sz w:val="22"/>
          <w:szCs w:val="22"/>
          <w:lang w:val="it-IT"/>
        </w:rPr>
        <w:t>l</w:t>
      </w:r>
      <w:r w:rsidR="00A2552A">
        <w:rPr>
          <w:rFonts w:ascii="Times New Roman" w:hAnsi="Times New Roman"/>
          <w:sz w:val="22"/>
          <w:szCs w:val="22"/>
          <w:lang w:val="it-IT"/>
        </w:rPr>
        <w:t>e stime.</w:t>
      </w:r>
      <w:bookmarkEnd w:id="11"/>
      <w:r w:rsidR="00A2552A">
        <w:rPr>
          <w:rFonts w:ascii="Times New Roman" w:hAnsi="Times New Roman"/>
          <w:sz w:val="22"/>
          <w:szCs w:val="22"/>
          <w:lang w:val="it-IT"/>
        </w:rPr>
        <w:t xml:space="preserve"> </w:t>
      </w:r>
    </w:p>
    <w:p w14:paraId="3F392EF5" w14:textId="21A6DAD2" w:rsidR="00A2552A" w:rsidRPr="007F7EBF" w:rsidRDefault="00A2552A" w:rsidP="00A2552A">
      <w:pPr>
        <w:pStyle w:val="tit23"/>
        <w:ind w:left="6464" w:right="-1361" w:firstLine="0"/>
        <w:jc w:val="left"/>
        <w:rPr>
          <w:bCs/>
          <w:i/>
          <w:iCs/>
          <w:color w:val="0000FF"/>
          <w:lang w:val="it-IT"/>
        </w:rPr>
      </w:pPr>
      <w:r>
        <w:rPr>
          <w:bCs/>
          <w:i/>
          <w:iCs/>
          <w:color w:val="0000FF"/>
          <w:lang w:val="it-IT"/>
        </w:rPr>
        <w:t>l’evasione</w:t>
      </w:r>
      <w:r w:rsidRPr="007F7EBF">
        <w:rPr>
          <w:bCs/>
          <w:i/>
          <w:iCs/>
          <w:color w:val="0000FF"/>
          <w:lang w:val="it-IT"/>
        </w:rPr>
        <w:t xml:space="preserve"> </w:t>
      </w:r>
      <w:r w:rsidR="00A5605E">
        <w:rPr>
          <w:bCs/>
          <w:i/>
          <w:iCs/>
          <w:color w:val="0000FF"/>
          <w:lang w:val="it-IT"/>
        </w:rPr>
        <w:t>in senso materiale</w:t>
      </w:r>
    </w:p>
    <w:p w14:paraId="0FCB41D3" w14:textId="6474FF02" w:rsidR="00A2552A" w:rsidRPr="007F7EBF" w:rsidRDefault="00A2552A" w:rsidP="00A2552A">
      <w:pPr>
        <w:rPr>
          <w:bCs/>
          <w:i/>
          <w:iCs/>
          <w:color w:val="0000FF"/>
        </w:rPr>
      </w:pPr>
      <w:r>
        <w:rPr>
          <w:sz w:val="22"/>
          <w:szCs w:val="22"/>
        </w:rPr>
        <w:t>La spiegazione sociale della funzione tributaria è fortemente influenzata dalle percezioni che ne ha la pubblica opinione (par.</w:t>
      </w:r>
      <w:r w:rsidR="00770B5C" w:rsidRPr="00770B5C">
        <w:t xml:space="preserve"> </w:t>
      </w:r>
      <w:r w:rsidR="00770B5C">
        <w:t>4.1</w:t>
      </w:r>
      <w:r>
        <w:rPr>
          <w:sz w:val="22"/>
          <w:szCs w:val="22"/>
        </w:rPr>
        <w:t xml:space="preserve">); le tendenze di opinione sul tema si formano in vari modi, a partire da un intreccio tra senso comune, esperienza diretta, narrazioni nella propria cerchia di conoscenze, messaggi captati dai mezzi di comunicazione, compresi oggi i </w:t>
      </w:r>
      <w:r w:rsidRPr="00E25C29">
        <w:rPr>
          <w:i/>
          <w:iCs/>
          <w:sz w:val="22"/>
          <w:szCs w:val="22"/>
        </w:rPr>
        <w:t>social network</w:t>
      </w:r>
      <w:r>
        <w:rPr>
          <w:sz w:val="22"/>
          <w:szCs w:val="22"/>
        </w:rPr>
        <w:t xml:space="preserve"> (par.4.4). Tuttavia il notevole </w:t>
      </w:r>
      <w:r w:rsidRPr="007F7EBF">
        <w:rPr>
          <w:sz w:val="22"/>
          <w:szCs w:val="22"/>
        </w:rPr>
        <w:t xml:space="preserve">dibattito </w:t>
      </w:r>
      <w:r>
        <w:rPr>
          <w:sz w:val="22"/>
          <w:szCs w:val="22"/>
        </w:rPr>
        <w:lastRenderedPageBreak/>
        <w:t>sull’adempimento e l’evasione non viene collegato con la diversa determinabilità delle basi imponibili filo conduttore del testo (</w:t>
      </w:r>
      <w:r w:rsidRPr="007F7EBF">
        <w:rPr>
          <w:rStyle w:val="Rimandonotaapidipagina"/>
          <w:sz w:val="22"/>
          <w:szCs w:val="22"/>
        </w:rPr>
        <w:footnoteReference w:id="65"/>
      </w:r>
      <w:r>
        <w:rPr>
          <w:sz w:val="22"/>
          <w:szCs w:val="22"/>
        </w:rPr>
        <w:t>)</w:t>
      </w:r>
      <w:r w:rsidRPr="007F7EBF">
        <w:rPr>
          <w:sz w:val="22"/>
          <w:szCs w:val="22"/>
        </w:rPr>
        <w:t xml:space="preserve">. </w:t>
      </w:r>
      <w:r w:rsidR="00E25C29">
        <w:rPr>
          <w:sz w:val="22"/>
          <w:szCs w:val="22"/>
        </w:rPr>
        <w:t>L’accademia  (par.4.3) non capisce cioè che l’evasione non è uno dei tanti argomenti della funzione tributaria, come quella internazionale, finanziaria, d’impresa etc.</w:t>
      </w:r>
      <w:r w:rsidR="00AD18F7">
        <w:rPr>
          <w:sz w:val="22"/>
          <w:szCs w:val="22"/>
        </w:rPr>
        <w:t xml:space="preserve">. L’evasione riguarda invece l’essenza della </w:t>
      </w:r>
      <w:r w:rsidR="00E25C29">
        <w:rPr>
          <w:sz w:val="22"/>
          <w:szCs w:val="22"/>
        </w:rPr>
        <w:t xml:space="preserve">determinazione dei presupposti economici di imposta. </w:t>
      </w:r>
      <w:r w:rsidR="00AD18F7">
        <w:rPr>
          <w:sz w:val="22"/>
          <w:szCs w:val="22"/>
        </w:rPr>
        <w:t xml:space="preserve">L’evasione in senso materiale riguarda la determinabilità dei presupposti economici d’imposta, ed è </w:t>
      </w:r>
      <w:r w:rsidR="00F93B79">
        <w:rPr>
          <w:sz w:val="22"/>
          <w:szCs w:val="22"/>
        </w:rPr>
        <w:t>un punto di vista</w:t>
      </w:r>
      <w:r w:rsidR="00AD18F7">
        <w:rPr>
          <w:sz w:val="22"/>
          <w:szCs w:val="22"/>
        </w:rPr>
        <w:t xml:space="preserve"> centrale della funzione tributaria</w:t>
      </w:r>
      <w:r w:rsidR="00F93B79">
        <w:rPr>
          <w:sz w:val="22"/>
          <w:szCs w:val="22"/>
        </w:rPr>
        <w:t xml:space="preserve">. </w:t>
      </w:r>
    </w:p>
    <w:p w14:paraId="03A906CF"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Stima</w:t>
      </w:r>
      <w:r>
        <w:rPr>
          <w:bCs/>
          <w:i/>
          <w:iCs/>
          <w:color w:val="0000FF"/>
          <w:lang w:val="it-IT"/>
        </w:rPr>
        <w:t xml:space="preserve"> dell’evasione</w:t>
      </w:r>
    </w:p>
    <w:p w14:paraId="0676EDCC" w14:textId="77777777" w:rsidR="00A2552A" w:rsidRDefault="00A2552A" w:rsidP="00A2552A">
      <w:pPr>
        <w:autoSpaceDE w:val="0"/>
        <w:autoSpaceDN w:val="0"/>
        <w:adjustRightInd w:val="0"/>
        <w:rPr>
          <w:sz w:val="22"/>
          <w:szCs w:val="22"/>
        </w:rPr>
      </w:pPr>
      <w:r>
        <w:rPr>
          <w:sz w:val="22"/>
          <w:szCs w:val="22"/>
        </w:rPr>
        <w:t xml:space="preserve">Alcune </w:t>
      </w:r>
      <w:r w:rsidRPr="007F7EBF">
        <w:rPr>
          <w:sz w:val="22"/>
          <w:szCs w:val="22"/>
        </w:rPr>
        <w:t xml:space="preserve">stime </w:t>
      </w:r>
      <w:r>
        <w:rPr>
          <w:sz w:val="22"/>
          <w:szCs w:val="22"/>
        </w:rPr>
        <w:t xml:space="preserve">diffuse nel dibattito pubblico valutano gli imponibili non riportati fiscalmente, denominati </w:t>
      </w:r>
      <w:r w:rsidRPr="007F7EBF">
        <w:rPr>
          <w:i/>
          <w:sz w:val="22"/>
          <w:szCs w:val="22"/>
        </w:rPr>
        <w:t xml:space="preserve">tax gap, </w:t>
      </w:r>
      <w:r>
        <w:rPr>
          <w:sz w:val="22"/>
          <w:szCs w:val="22"/>
        </w:rPr>
        <w:t xml:space="preserve">nell’ordine del </w:t>
      </w:r>
      <w:r w:rsidRPr="007F7EBF">
        <w:rPr>
          <w:sz w:val="22"/>
          <w:szCs w:val="22"/>
        </w:rPr>
        <w:t>17 percento del PIL</w:t>
      </w:r>
      <w:r>
        <w:rPr>
          <w:sz w:val="22"/>
          <w:szCs w:val="22"/>
        </w:rPr>
        <w:t xml:space="preserve">, cioè 250 miliardi di euro, su cui </w:t>
      </w:r>
      <w:r w:rsidRPr="007F7EBF">
        <w:rPr>
          <w:sz w:val="22"/>
          <w:szCs w:val="22"/>
        </w:rPr>
        <w:t xml:space="preserve">IVA e Irpef teoriche </w:t>
      </w:r>
      <w:r>
        <w:rPr>
          <w:sz w:val="22"/>
          <w:szCs w:val="22"/>
        </w:rPr>
        <w:t xml:space="preserve">evase possono essere stimate in </w:t>
      </w:r>
      <w:r w:rsidRPr="007F7EBF">
        <w:rPr>
          <w:sz w:val="22"/>
          <w:szCs w:val="22"/>
        </w:rPr>
        <w:t>circa 120 miliardi.</w:t>
      </w:r>
      <w:r>
        <w:rPr>
          <w:sz w:val="22"/>
          <w:szCs w:val="22"/>
        </w:rPr>
        <w:t xml:space="preserve"> </w:t>
      </w:r>
    </w:p>
    <w:p w14:paraId="1B8D603C" w14:textId="74507A81" w:rsidR="00A2552A" w:rsidRPr="007F7EBF" w:rsidRDefault="00A2552A" w:rsidP="00A2552A">
      <w:pPr>
        <w:pStyle w:val="tit23"/>
        <w:ind w:firstLine="0"/>
        <w:rPr>
          <w:lang w:val="it-IT"/>
        </w:rPr>
      </w:pPr>
      <w:r w:rsidRPr="00FA6CCD">
        <w:rPr>
          <w:lang w:val="it-IT"/>
        </w:rPr>
        <w:t>Le stime dell’evasione si basano sull’</w:t>
      </w:r>
      <w:r w:rsidRPr="00FA6CCD">
        <w:rPr>
          <w:bCs/>
          <w:lang w:val="it-IT"/>
        </w:rPr>
        <w:t>eccedenza dei consumi economicamente stimati (</w:t>
      </w:r>
      <w:r w:rsidRPr="007F7EBF">
        <w:rPr>
          <w:rStyle w:val="Rimandonotaapidipagina"/>
          <w:bCs/>
        </w:rPr>
        <w:footnoteReference w:id="66"/>
      </w:r>
      <w:r w:rsidRPr="00FA6CCD">
        <w:rPr>
          <w:bCs/>
          <w:lang w:val="it-IT"/>
        </w:rPr>
        <w:t xml:space="preserve">) rispetto a quelli dichiarati al fisco, nonché   sull’eccedenza di coloro che dichiarano di avere un’“occupazione” </w:t>
      </w:r>
      <w:r w:rsidRPr="00FA6CCD">
        <w:rPr>
          <w:lang w:val="it-IT"/>
        </w:rPr>
        <w:t>rispetto agli occupati “ufficiali”, dichiarati dai datori di lavoro; stimando un</w:t>
      </w:r>
      <w:r w:rsidRPr="00FA6CCD">
        <w:rPr>
          <w:bCs/>
          <w:lang w:val="it-IT"/>
        </w:rPr>
        <w:t xml:space="preserve"> reddito medio di sussistenza di questi "occupati fantasma" e quantificando l'evasione di chi dichiara redditi di lavoro </w:t>
      </w:r>
      <w:r w:rsidRPr="00FA6CCD">
        <w:rPr>
          <w:lang w:val="it-IT"/>
        </w:rPr>
        <w:t>inferiori a livelli minimi di sussistenza (par. 5.14-5.15) si ipotizza</w:t>
      </w:r>
      <w:r w:rsidR="00E4427F">
        <w:rPr>
          <w:lang w:val="it-IT"/>
        </w:rPr>
        <w:t xml:space="preserve"> un’evasione in senso materiale</w:t>
      </w:r>
      <w:r w:rsidRPr="00FA6CCD">
        <w:rPr>
          <w:lang w:val="it-IT"/>
        </w:rPr>
        <w:t xml:space="preserve">. </w:t>
      </w:r>
    </w:p>
    <w:p w14:paraId="19B1AF52"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Confronti internazionali</w:t>
      </w:r>
      <w:r>
        <w:rPr>
          <w:bCs/>
          <w:i/>
          <w:iCs/>
          <w:color w:val="0000FF"/>
          <w:lang w:val="it-IT"/>
        </w:rPr>
        <w:t xml:space="preserve"> e frammentazione economica</w:t>
      </w:r>
    </w:p>
    <w:p w14:paraId="509FA83E" w14:textId="77777777" w:rsidR="00A2552A" w:rsidRPr="007F7EBF" w:rsidRDefault="00A2552A" w:rsidP="00A2552A">
      <w:pPr>
        <w:autoSpaceDE w:val="0"/>
        <w:autoSpaceDN w:val="0"/>
        <w:adjustRightInd w:val="0"/>
        <w:rPr>
          <w:sz w:val="22"/>
          <w:szCs w:val="22"/>
        </w:rPr>
      </w:pPr>
      <w:r>
        <w:rPr>
          <w:sz w:val="22"/>
          <w:szCs w:val="22"/>
        </w:rPr>
        <w:t xml:space="preserve">Queste percentuali d’evasione rispetto al PIL sono alte rispetto a quelle stimate in altri paesi europei, probabilmente per la </w:t>
      </w:r>
      <w:r w:rsidRPr="007F7EBF">
        <w:rPr>
          <w:sz w:val="22"/>
          <w:szCs w:val="22"/>
        </w:rPr>
        <w:t xml:space="preserve">notevole frammentazione </w:t>
      </w:r>
      <w:r>
        <w:rPr>
          <w:sz w:val="22"/>
          <w:szCs w:val="22"/>
        </w:rPr>
        <w:t xml:space="preserve">del commercio e dei servizi </w:t>
      </w:r>
      <w:r w:rsidRPr="007F7EBF">
        <w:rPr>
          <w:sz w:val="22"/>
          <w:szCs w:val="22"/>
        </w:rPr>
        <w:t>in Italia</w:t>
      </w:r>
      <w:r>
        <w:rPr>
          <w:sz w:val="22"/>
          <w:szCs w:val="22"/>
        </w:rPr>
        <w:t xml:space="preserve"> (</w:t>
      </w:r>
      <w:r>
        <w:rPr>
          <w:rStyle w:val="Rimandonotaapidipagina"/>
          <w:sz w:val="22"/>
          <w:szCs w:val="22"/>
        </w:rPr>
        <w:footnoteReference w:id="67"/>
      </w:r>
      <w:r>
        <w:rPr>
          <w:sz w:val="22"/>
          <w:szCs w:val="22"/>
        </w:rPr>
        <w:t xml:space="preserve">); </w:t>
      </w:r>
      <w:r w:rsidRPr="007F7EBF">
        <w:rPr>
          <w:sz w:val="22"/>
          <w:szCs w:val="22"/>
        </w:rPr>
        <w:t>anche le  aziende pluripersonali del c.d. capitalismo a proprietà familiare  sono proporzionalmente più piccole di quelle estere, rendendo  ipotizzabil</w:t>
      </w:r>
      <w:r>
        <w:rPr>
          <w:sz w:val="22"/>
          <w:szCs w:val="22"/>
        </w:rPr>
        <w:t xml:space="preserve">i imponibili </w:t>
      </w:r>
      <w:r w:rsidRPr="007F7EBF">
        <w:rPr>
          <w:sz w:val="22"/>
          <w:szCs w:val="22"/>
        </w:rPr>
        <w:t>non registrat</w:t>
      </w:r>
      <w:r>
        <w:rPr>
          <w:sz w:val="22"/>
          <w:szCs w:val="22"/>
        </w:rPr>
        <w:t>i</w:t>
      </w:r>
      <w:r w:rsidRPr="007F7EBF">
        <w:rPr>
          <w:sz w:val="22"/>
          <w:szCs w:val="22"/>
        </w:rPr>
        <w:t xml:space="preserve"> nei modi di cui al par.3.7.</w:t>
      </w:r>
      <w:r>
        <w:rPr>
          <w:sz w:val="22"/>
          <w:szCs w:val="22"/>
        </w:rPr>
        <w:t xml:space="preserve"> Si aggiunga lo scarso </w:t>
      </w:r>
      <w:r>
        <w:rPr>
          <w:sz w:val="22"/>
          <w:szCs w:val="22"/>
        </w:rPr>
        <w:lastRenderedPageBreak/>
        <w:t xml:space="preserve">controllo valutativo del territorio, da parte degli uffici tributari, per la mancanza di spiegazioni scientifico sociali della funzione tributaria. </w:t>
      </w:r>
    </w:p>
    <w:p w14:paraId="180628FE"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 xml:space="preserve">Ragioni di probabile sottostima </w:t>
      </w:r>
    </w:p>
    <w:p w14:paraId="3F5F6347" w14:textId="77777777" w:rsidR="00A2552A" w:rsidRPr="007F7EBF" w:rsidRDefault="00A2552A" w:rsidP="00A2552A">
      <w:pPr>
        <w:pStyle w:val="tit23"/>
        <w:ind w:firstLine="0"/>
        <w:rPr>
          <w:lang w:val="it-IT"/>
        </w:rPr>
      </w:pPr>
      <w:r>
        <w:rPr>
          <w:lang w:val="it-IT"/>
        </w:rPr>
        <w:t xml:space="preserve">E’ anzi probabile che tale </w:t>
      </w:r>
      <w:r w:rsidRPr="007F7EBF">
        <w:rPr>
          <w:lang w:val="it-IT"/>
        </w:rPr>
        <w:t xml:space="preserve">stima </w:t>
      </w:r>
      <w:r>
        <w:rPr>
          <w:lang w:val="it-IT"/>
        </w:rPr>
        <w:t>dell’evasione sia</w:t>
      </w:r>
      <w:r w:rsidRPr="007F7EBF">
        <w:rPr>
          <w:lang w:val="it-IT"/>
        </w:rPr>
        <w:t xml:space="preserve"> per molti versi inferiore alla realtà</w:t>
      </w:r>
      <w:r>
        <w:rPr>
          <w:lang w:val="it-IT"/>
        </w:rPr>
        <w:t xml:space="preserve">; essa trascura infatti l’evasione di chi </w:t>
      </w:r>
      <w:r w:rsidRPr="007F7EBF">
        <w:rPr>
          <w:bCs/>
          <w:lang w:val="it-IT"/>
        </w:rPr>
        <w:t xml:space="preserve">dichiara </w:t>
      </w:r>
      <w:r>
        <w:rPr>
          <w:bCs/>
          <w:lang w:val="it-IT"/>
        </w:rPr>
        <w:t>più dei</w:t>
      </w:r>
      <w:r w:rsidRPr="007F7EBF">
        <w:rPr>
          <w:bCs/>
          <w:lang w:val="it-IT"/>
        </w:rPr>
        <w:t xml:space="preserve"> </w:t>
      </w:r>
      <w:r>
        <w:rPr>
          <w:bCs/>
          <w:lang w:val="it-IT"/>
        </w:rPr>
        <w:t xml:space="preserve">suddetti </w:t>
      </w:r>
      <w:r w:rsidRPr="007F7EBF">
        <w:rPr>
          <w:bCs/>
          <w:lang w:val="it-IT"/>
        </w:rPr>
        <w:t>livelli di sussistenza</w:t>
      </w:r>
      <w:r>
        <w:rPr>
          <w:lang w:val="it-IT"/>
        </w:rPr>
        <w:t xml:space="preserve">, ma evade molto di più </w:t>
      </w:r>
      <w:r w:rsidRPr="007F7EBF">
        <w:rPr>
          <w:lang w:val="it-IT"/>
        </w:rPr>
        <w:t>(</w:t>
      </w:r>
      <w:r w:rsidRPr="007F7EBF">
        <w:rPr>
          <w:rStyle w:val="Rimandonotaapidipagina"/>
          <w:lang w:val="it-IT"/>
        </w:rPr>
        <w:footnoteReference w:id="68"/>
      </w:r>
      <w:r w:rsidRPr="007F7EBF">
        <w:rPr>
          <w:lang w:val="it-IT"/>
        </w:rPr>
        <w:t xml:space="preserve">), </w:t>
      </w:r>
      <w:r>
        <w:rPr>
          <w:lang w:val="it-IT"/>
        </w:rPr>
        <w:t xml:space="preserve">le frodi </w:t>
      </w:r>
      <w:r w:rsidRPr="007F7EBF">
        <w:rPr>
          <w:lang w:val="it-IT"/>
        </w:rPr>
        <w:t>di cui al par. 3.8(</w:t>
      </w:r>
      <w:r w:rsidRPr="007F7EBF">
        <w:rPr>
          <w:rStyle w:val="Rimandonotaapidipagina"/>
          <w:lang w:val="it-IT"/>
        </w:rPr>
        <w:footnoteReference w:id="69"/>
      </w:r>
      <w:r w:rsidRPr="007F7EBF">
        <w:rPr>
          <w:lang w:val="it-IT"/>
        </w:rPr>
        <w:t xml:space="preserve">), </w:t>
      </w:r>
      <w:r>
        <w:rPr>
          <w:lang w:val="it-IT"/>
        </w:rPr>
        <w:t>l’evasione di chi non è operatore economico (</w:t>
      </w:r>
      <w:r>
        <w:rPr>
          <w:rStyle w:val="Rimandonotaapidipagina"/>
          <w:lang w:val="it-IT"/>
        </w:rPr>
        <w:footnoteReference w:id="70"/>
      </w:r>
      <w:r>
        <w:rPr>
          <w:lang w:val="it-IT"/>
        </w:rPr>
        <w:t>),</w:t>
      </w:r>
      <w:r w:rsidRPr="007F7EBF">
        <w:rPr>
          <w:lang w:val="it-IT"/>
        </w:rPr>
        <w:t>l</w:t>
      </w:r>
      <w:r w:rsidRPr="007F7EBF">
        <w:rPr>
          <w:bCs/>
          <w:lang w:val="it-IT"/>
        </w:rPr>
        <w:t>’evasione interpretativa</w:t>
      </w:r>
      <w:r>
        <w:rPr>
          <w:bCs/>
          <w:lang w:val="it-IT"/>
        </w:rPr>
        <w:t xml:space="preserve"> su questioni di diritto (par.3.10) </w:t>
      </w:r>
      <w:r w:rsidRPr="00BD7B2B">
        <w:rPr>
          <w:lang w:val="it-IT"/>
        </w:rPr>
        <w:t>da cui pure giunge buona parte del risultato di servizio de</w:t>
      </w:r>
      <w:r>
        <w:rPr>
          <w:lang w:val="it-IT"/>
        </w:rPr>
        <w:t xml:space="preserve">gli uffici </w:t>
      </w:r>
      <w:r w:rsidRPr="00BD7B2B">
        <w:rPr>
          <w:lang w:val="it-IT"/>
        </w:rPr>
        <w:t>tributari</w:t>
      </w:r>
      <w:r>
        <w:rPr>
          <w:lang w:val="it-IT"/>
        </w:rPr>
        <w:t xml:space="preserve"> (</w:t>
      </w:r>
      <w:r w:rsidRPr="00BD7B2B">
        <w:rPr>
          <w:lang w:val="it-IT"/>
        </w:rPr>
        <w:t>par.5.7</w:t>
      </w:r>
      <w:r>
        <w:rPr>
          <w:lang w:val="it-IT"/>
        </w:rPr>
        <w:t>)</w:t>
      </w:r>
      <w:r w:rsidRPr="00BD7B2B">
        <w:rPr>
          <w:lang w:val="it-IT"/>
        </w:rPr>
        <w:t>.</w:t>
      </w:r>
      <w:r w:rsidRPr="007F7EBF">
        <w:rPr>
          <w:lang w:val="it-IT"/>
        </w:rPr>
        <w:t xml:space="preserve"> </w:t>
      </w:r>
    </w:p>
    <w:p w14:paraId="49706DD0" w14:textId="77777777" w:rsidR="00A2552A" w:rsidRPr="000F1877" w:rsidRDefault="00A2552A" w:rsidP="00A2552A">
      <w:pPr>
        <w:pStyle w:val="tit23"/>
        <w:ind w:firstLine="0"/>
        <w:rPr>
          <w:lang w:val="it-IT"/>
        </w:rPr>
      </w:pPr>
      <w:r w:rsidRPr="007F7EBF">
        <w:rPr>
          <w:lang w:val="it-IT"/>
        </w:rPr>
        <w:t xml:space="preserve">Questa </w:t>
      </w:r>
      <w:r w:rsidRPr="007F7EBF">
        <w:rPr>
          <w:bCs/>
          <w:lang w:val="it-IT"/>
        </w:rPr>
        <w:t>sottostima dell’evasion</w:t>
      </w:r>
      <w:r w:rsidRPr="007F7EBF">
        <w:rPr>
          <w:lang w:val="it-IT"/>
        </w:rPr>
        <w:t>e è confermata dal</w:t>
      </w:r>
      <w:r>
        <w:rPr>
          <w:lang w:val="it-IT"/>
        </w:rPr>
        <w:t>la lettura dei timidissimi rapporti ISTAT-MEF sull’economia non osservata (</w:t>
      </w:r>
      <w:r>
        <w:rPr>
          <w:rStyle w:val="Rimandonotaapidipagina"/>
          <w:lang w:val="it-IT"/>
        </w:rPr>
        <w:footnoteReference w:id="71"/>
      </w:r>
      <w:r>
        <w:rPr>
          <w:lang w:val="it-IT"/>
        </w:rPr>
        <w:t xml:space="preserve">) </w:t>
      </w:r>
      <w:r w:rsidRPr="007F7EBF">
        <w:rPr>
          <w:lang w:val="it-IT"/>
        </w:rPr>
        <w:t>e dal numero ridottissimo di contribuenti con redditi dichiarati superiori a centomila euro, stridente rispetto alle abitudini di vita percepite in Italia.</w:t>
      </w:r>
      <w:r w:rsidRPr="000F1877">
        <w:rPr>
          <w:lang w:val="it-IT"/>
        </w:rPr>
        <w:t xml:space="preserve"> </w:t>
      </w:r>
    </w:p>
    <w:p w14:paraId="7931A84A"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Attività illecite e criminali</w:t>
      </w:r>
    </w:p>
    <w:p w14:paraId="01121606" w14:textId="77777777" w:rsidR="00A2552A" w:rsidRPr="007F7EBF" w:rsidRDefault="00A2552A" w:rsidP="00A2552A">
      <w:pPr>
        <w:autoSpaceDE w:val="0"/>
        <w:autoSpaceDN w:val="0"/>
        <w:adjustRightInd w:val="0"/>
        <w:rPr>
          <w:sz w:val="22"/>
          <w:szCs w:val="22"/>
        </w:rPr>
      </w:pPr>
      <w:r>
        <w:rPr>
          <w:bCs/>
          <w:sz w:val="22"/>
          <w:szCs w:val="22"/>
        </w:rPr>
        <w:t xml:space="preserve">Di evasione non è il caso di parlare per l’economia criminale </w:t>
      </w:r>
      <w:r w:rsidRPr="007F7EBF">
        <w:rPr>
          <w:bCs/>
          <w:sz w:val="22"/>
          <w:szCs w:val="22"/>
        </w:rPr>
        <w:t xml:space="preserve"> senza un contenuto di scambio, cioè </w:t>
      </w:r>
      <w:r w:rsidRPr="007F7EBF">
        <w:rPr>
          <w:sz w:val="22"/>
          <w:szCs w:val="22"/>
        </w:rPr>
        <w:t xml:space="preserve"> furti, rapine, truffe, estorsioni (il c.d. “pizzo”)</w:t>
      </w:r>
      <w:r>
        <w:rPr>
          <w:sz w:val="22"/>
          <w:szCs w:val="22"/>
        </w:rPr>
        <w:t xml:space="preserve">; non si tratta infatti di attività </w:t>
      </w:r>
      <w:r w:rsidRPr="007F7EBF">
        <w:rPr>
          <w:sz w:val="22"/>
          <w:szCs w:val="22"/>
        </w:rPr>
        <w:t>"economic</w:t>
      </w:r>
      <w:r>
        <w:rPr>
          <w:sz w:val="22"/>
          <w:szCs w:val="22"/>
        </w:rPr>
        <w:t>a</w:t>
      </w:r>
      <w:r w:rsidRPr="007F7EBF">
        <w:rPr>
          <w:sz w:val="22"/>
          <w:szCs w:val="22"/>
        </w:rPr>
        <w:t xml:space="preserve">", e i </w:t>
      </w:r>
      <w:r>
        <w:rPr>
          <w:sz w:val="22"/>
          <w:szCs w:val="22"/>
        </w:rPr>
        <w:t>suoi</w:t>
      </w:r>
      <w:r w:rsidRPr="007F7EBF">
        <w:rPr>
          <w:sz w:val="22"/>
          <w:szCs w:val="22"/>
        </w:rPr>
        <w:t xml:space="preserve"> frutti non vanno tassati, ma restituiti o confiscati.</w:t>
      </w:r>
      <w:r w:rsidRPr="007F7EBF">
        <w:rPr>
          <w:bCs/>
          <w:i/>
          <w:iCs/>
          <w:color w:val="0000FF"/>
          <w:sz w:val="22"/>
          <w:szCs w:val="22"/>
        </w:rPr>
        <w:t xml:space="preserve"> </w:t>
      </w:r>
      <w:r>
        <w:rPr>
          <w:sz w:val="22"/>
          <w:szCs w:val="22"/>
        </w:rPr>
        <w:t>L</w:t>
      </w:r>
      <w:r w:rsidRPr="007F7EBF">
        <w:rPr>
          <w:sz w:val="22"/>
          <w:szCs w:val="22"/>
        </w:rPr>
        <w:t xml:space="preserve">e attività illecite </w:t>
      </w:r>
      <w:r>
        <w:rPr>
          <w:sz w:val="22"/>
          <w:szCs w:val="22"/>
        </w:rPr>
        <w:t>a</w:t>
      </w:r>
      <w:r w:rsidRPr="007F7EBF">
        <w:rPr>
          <w:sz w:val="22"/>
          <w:szCs w:val="22"/>
        </w:rPr>
        <w:t xml:space="preserve"> contenuto economico, </w:t>
      </w:r>
      <w:r w:rsidRPr="007F7EBF">
        <w:rPr>
          <w:bCs/>
          <w:sz w:val="22"/>
          <w:szCs w:val="22"/>
        </w:rPr>
        <w:t>come commercio di droga</w:t>
      </w:r>
      <w:r>
        <w:rPr>
          <w:bCs/>
          <w:sz w:val="22"/>
          <w:szCs w:val="22"/>
        </w:rPr>
        <w:t>,</w:t>
      </w:r>
      <w:r w:rsidRPr="007F7EBF">
        <w:rPr>
          <w:bCs/>
          <w:sz w:val="22"/>
          <w:szCs w:val="22"/>
        </w:rPr>
        <w:t xml:space="preserve"> generi contraffatti, </w:t>
      </w:r>
      <w:r w:rsidRPr="007F7EBF">
        <w:rPr>
          <w:sz w:val="22"/>
          <w:szCs w:val="22"/>
        </w:rPr>
        <w:t xml:space="preserve">prostituzione, scommesse clandestine etc., sono </w:t>
      </w:r>
      <w:r>
        <w:rPr>
          <w:sz w:val="22"/>
          <w:szCs w:val="22"/>
        </w:rPr>
        <w:t>teoricamente imponibili, e</w:t>
      </w:r>
      <w:r w:rsidRPr="007F7EBF">
        <w:rPr>
          <w:sz w:val="22"/>
          <w:szCs w:val="22"/>
        </w:rPr>
        <w:t xml:space="preserve"> recentemente inserite anche nel calcolo del PIL</w:t>
      </w:r>
      <w:r>
        <w:rPr>
          <w:sz w:val="22"/>
          <w:szCs w:val="22"/>
        </w:rPr>
        <w:t>, ma difficilmente raggiungibili in concreto dagli uffici tributari.</w:t>
      </w:r>
    </w:p>
    <w:p w14:paraId="2DE39077"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Reazioni a catena in caso di tassazione</w:t>
      </w:r>
    </w:p>
    <w:p w14:paraId="0E29E61F" w14:textId="77777777" w:rsidR="00A2552A" w:rsidRPr="007F7EBF" w:rsidRDefault="00A2552A" w:rsidP="00A2552A">
      <w:pPr>
        <w:autoSpaceDE w:val="0"/>
        <w:autoSpaceDN w:val="0"/>
        <w:adjustRightInd w:val="0"/>
        <w:rPr>
          <w:bCs/>
          <w:i/>
          <w:iCs/>
          <w:color w:val="0000FF"/>
          <w:sz w:val="22"/>
          <w:szCs w:val="22"/>
        </w:rPr>
      </w:pPr>
      <w:r w:rsidRPr="007F7EBF">
        <w:rPr>
          <w:sz w:val="22"/>
          <w:szCs w:val="22"/>
        </w:rPr>
        <w:t xml:space="preserve">E' comunque metodologicamente scorretto calcolare le imposte perdute applicando puramente e semplicemente alle suddette stime </w:t>
      </w:r>
      <w:r>
        <w:rPr>
          <w:sz w:val="22"/>
          <w:szCs w:val="22"/>
        </w:rPr>
        <w:t xml:space="preserve">di evasione </w:t>
      </w:r>
      <w:r w:rsidRPr="007F7EBF">
        <w:rPr>
          <w:sz w:val="22"/>
          <w:szCs w:val="22"/>
        </w:rPr>
        <w:t>le aliquote di imposta. M</w:t>
      </w:r>
      <w:r w:rsidRPr="007F7EBF">
        <w:rPr>
          <w:bCs/>
          <w:sz w:val="22"/>
          <w:szCs w:val="22"/>
        </w:rPr>
        <w:t xml:space="preserve">olte attività “precarie”, se dovessero pagare le </w:t>
      </w:r>
      <w:r w:rsidRPr="007F7EBF">
        <w:rPr>
          <w:bCs/>
          <w:sz w:val="22"/>
          <w:szCs w:val="22"/>
        </w:rPr>
        <w:lastRenderedPageBreak/>
        <w:t>imposte, puramente e semplicemente chiuderebbero</w:t>
      </w:r>
      <w:r>
        <w:rPr>
          <w:bCs/>
          <w:sz w:val="22"/>
          <w:szCs w:val="22"/>
        </w:rPr>
        <w:t>(</w:t>
      </w:r>
      <w:r w:rsidRPr="007F7EBF">
        <w:rPr>
          <w:rStyle w:val="Rimandonotaapidipagina"/>
          <w:bCs/>
          <w:sz w:val="22"/>
          <w:szCs w:val="22"/>
        </w:rPr>
        <w:footnoteReference w:id="72"/>
      </w:r>
      <w:r>
        <w:rPr>
          <w:bCs/>
          <w:sz w:val="22"/>
          <w:szCs w:val="22"/>
        </w:rPr>
        <w:t>)</w:t>
      </w:r>
      <w:r w:rsidRPr="007F7EBF">
        <w:rPr>
          <w:bCs/>
          <w:sz w:val="22"/>
          <w:szCs w:val="22"/>
        </w:rPr>
        <w:t>, oppure aumenterebbero i prezzi, per mantenere la propria remuneratività, finalizzata al tenore di vita di chi le esercita; questa traslazione delle imposte sui clienti potrebbe però non essere assorbita dai medesimi, innescando reazion</w:t>
      </w:r>
      <w:r>
        <w:rPr>
          <w:bCs/>
          <w:sz w:val="22"/>
          <w:szCs w:val="22"/>
        </w:rPr>
        <w:t>i</w:t>
      </w:r>
      <w:r w:rsidRPr="007F7EBF">
        <w:rPr>
          <w:bCs/>
          <w:sz w:val="22"/>
          <w:szCs w:val="22"/>
        </w:rPr>
        <w:t xml:space="preserve"> a catena su cui si possono solo fare delle ipotesi; </w:t>
      </w:r>
      <w:r w:rsidRPr="007F7EBF">
        <w:rPr>
          <w:sz w:val="22"/>
          <w:szCs w:val="22"/>
        </w:rPr>
        <w:t>probabilmente una parte delle attività sommerse sparirebbe, in quanto non più conveniente</w:t>
      </w:r>
      <w:r>
        <w:rPr>
          <w:sz w:val="22"/>
          <w:szCs w:val="22"/>
        </w:rPr>
        <w:t xml:space="preserve"> e </w:t>
      </w:r>
      <w:r w:rsidRPr="007F7EBF">
        <w:rPr>
          <w:sz w:val="22"/>
          <w:szCs w:val="22"/>
        </w:rPr>
        <w:t>una parte emergerebbe a prezzi più elevati</w:t>
      </w:r>
      <w:r>
        <w:rPr>
          <w:sz w:val="22"/>
          <w:szCs w:val="22"/>
        </w:rPr>
        <w:t>(</w:t>
      </w:r>
      <w:r w:rsidRPr="007F7EBF">
        <w:rPr>
          <w:rStyle w:val="Rimandonotaapidipagina"/>
          <w:sz w:val="22"/>
          <w:szCs w:val="22"/>
        </w:rPr>
        <w:footnoteReference w:id="73"/>
      </w:r>
      <w:r>
        <w:rPr>
          <w:sz w:val="22"/>
          <w:szCs w:val="22"/>
        </w:rPr>
        <w:t>)</w:t>
      </w:r>
      <w:r w:rsidRPr="007F7EBF">
        <w:rPr>
          <w:sz w:val="22"/>
          <w:szCs w:val="22"/>
        </w:rPr>
        <w:t xml:space="preserve">. </w:t>
      </w:r>
    </w:p>
    <w:p w14:paraId="786DFDC6" w14:textId="77777777" w:rsidR="00A2552A" w:rsidRPr="007F7EBF" w:rsidRDefault="00A2552A" w:rsidP="00A2552A">
      <w:pPr>
        <w:autoSpaceDE w:val="0"/>
        <w:autoSpaceDN w:val="0"/>
        <w:adjustRightInd w:val="0"/>
        <w:rPr>
          <w:sz w:val="22"/>
          <w:szCs w:val="22"/>
        </w:rPr>
      </w:pPr>
      <w:r w:rsidRPr="007F7EBF">
        <w:rPr>
          <w:sz w:val="22"/>
          <w:szCs w:val="22"/>
        </w:rPr>
        <w:t xml:space="preserve">La </w:t>
      </w:r>
      <w:r>
        <w:rPr>
          <w:sz w:val="22"/>
          <w:szCs w:val="22"/>
        </w:rPr>
        <w:t>risultante</w:t>
      </w:r>
      <w:r w:rsidRPr="007F7EBF">
        <w:rPr>
          <w:sz w:val="22"/>
          <w:szCs w:val="22"/>
        </w:rPr>
        <w:t xml:space="preserve"> dipende da una serie di </w:t>
      </w:r>
      <w:r w:rsidRPr="007F7EBF">
        <w:rPr>
          <w:bCs/>
          <w:sz w:val="22"/>
          <w:szCs w:val="22"/>
        </w:rPr>
        <w:t xml:space="preserve">variabili economico sociali, </w:t>
      </w:r>
      <w:r w:rsidRPr="007F7EBF">
        <w:rPr>
          <w:sz w:val="22"/>
          <w:szCs w:val="22"/>
        </w:rPr>
        <w:t>come le opportunità alternative di impiego e di offerta dei servizi cui si riferisce l’evasione.</w:t>
      </w:r>
      <w:r w:rsidRPr="007F7EBF" w:rsidDel="0037618B">
        <w:rPr>
          <w:sz w:val="22"/>
          <w:szCs w:val="22"/>
        </w:rPr>
        <w:t xml:space="preserve"> </w:t>
      </w:r>
      <w:r w:rsidRPr="007F7EBF">
        <w:rPr>
          <w:sz w:val="22"/>
          <w:szCs w:val="22"/>
        </w:rPr>
        <w:t xml:space="preserve">Sarebbe però probabilmente un circolo virtuoso, </w:t>
      </w:r>
      <w:r>
        <w:rPr>
          <w:sz w:val="22"/>
          <w:szCs w:val="22"/>
        </w:rPr>
        <w:t>perché provocato dalla maggiore efficienza della fun</w:t>
      </w:r>
      <w:r w:rsidRPr="007F7EBF">
        <w:rPr>
          <w:sz w:val="22"/>
          <w:szCs w:val="22"/>
        </w:rPr>
        <w:t>zion</w:t>
      </w:r>
      <w:r>
        <w:rPr>
          <w:sz w:val="22"/>
          <w:szCs w:val="22"/>
        </w:rPr>
        <w:t>e</w:t>
      </w:r>
      <w:r w:rsidRPr="007F7EBF">
        <w:rPr>
          <w:sz w:val="22"/>
          <w:szCs w:val="22"/>
        </w:rPr>
        <w:t xml:space="preserve"> tributari</w:t>
      </w:r>
      <w:r>
        <w:rPr>
          <w:sz w:val="22"/>
          <w:szCs w:val="22"/>
        </w:rPr>
        <w:t>a   (</w:t>
      </w:r>
      <w:r>
        <w:rPr>
          <w:rStyle w:val="Rimandonotaapidipagina"/>
          <w:sz w:val="22"/>
          <w:szCs w:val="22"/>
        </w:rPr>
        <w:footnoteReference w:id="74"/>
      </w:r>
      <w:r>
        <w:rPr>
          <w:sz w:val="22"/>
          <w:szCs w:val="22"/>
        </w:rPr>
        <w:t>)</w:t>
      </w:r>
      <w:r w:rsidRPr="007F7EBF">
        <w:rPr>
          <w:sz w:val="22"/>
          <w:szCs w:val="22"/>
        </w:rPr>
        <w:t xml:space="preserve">. </w:t>
      </w:r>
    </w:p>
    <w:p w14:paraId="2EAD9A91" w14:textId="6ED9D595" w:rsidR="00A2552A" w:rsidRPr="007F7EBF" w:rsidRDefault="008650B1" w:rsidP="00A2552A">
      <w:pPr>
        <w:pStyle w:val="Titolo3"/>
        <w:rPr>
          <w:rFonts w:ascii="Times New Roman" w:hAnsi="Times New Roman"/>
          <w:sz w:val="22"/>
          <w:szCs w:val="22"/>
          <w:lang w:val="it-IT"/>
        </w:rPr>
      </w:pPr>
      <w:bookmarkStart w:id="12" w:name="_Toc63364933"/>
      <w:r>
        <w:rPr>
          <w:rFonts w:ascii="Times New Roman" w:hAnsi="Times New Roman"/>
          <w:sz w:val="22"/>
          <w:szCs w:val="22"/>
          <w:lang w:val="it-IT"/>
        </w:rPr>
        <w:t>1</w:t>
      </w:r>
      <w:r w:rsidR="00A2552A" w:rsidRPr="007F7EBF">
        <w:rPr>
          <w:rFonts w:ascii="Times New Roman" w:hAnsi="Times New Roman"/>
          <w:sz w:val="22"/>
          <w:szCs w:val="22"/>
        </w:rPr>
        <w:t>.</w:t>
      </w:r>
      <w:r>
        <w:rPr>
          <w:rFonts w:ascii="Times New Roman" w:hAnsi="Times New Roman"/>
          <w:sz w:val="22"/>
          <w:szCs w:val="22"/>
          <w:lang w:val="it-IT"/>
        </w:rPr>
        <w:t>7</w:t>
      </w:r>
      <w:r w:rsidR="00A2552A" w:rsidRPr="007F7EBF">
        <w:rPr>
          <w:rFonts w:ascii="Times New Roman" w:hAnsi="Times New Roman"/>
          <w:sz w:val="22"/>
          <w:szCs w:val="22"/>
        </w:rPr>
        <w:t xml:space="preserve"> </w:t>
      </w:r>
      <w:r>
        <w:rPr>
          <w:rFonts w:ascii="Times New Roman" w:hAnsi="Times New Roman"/>
          <w:sz w:val="22"/>
          <w:szCs w:val="22"/>
          <w:lang w:val="it-IT"/>
        </w:rPr>
        <w:t>S</w:t>
      </w:r>
      <w:r w:rsidR="00A2552A">
        <w:rPr>
          <w:rFonts w:ascii="Times New Roman" w:hAnsi="Times New Roman"/>
          <w:sz w:val="22"/>
          <w:szCs w:val="22"/>
          <w:lang w:val="it-IT"/>
        </w:rPr>
        <w:t xml:space="preserve">opravvalutazione dei </w:t>
      </w:r>
      <w:r w:rsidR="00A2552A" w:rsidRPr="007F7EBF">
        <w:rPr>
          <w:rFonts w:ascii="Times New Roman" w:hAnsi="Times New Roman"/>
          <w:sz w:val="22"/>
          <w:szCs w:val="22"/>
          <w:lang w:val="it-IT"/>
        </w:rPr>
        <w:t xml:space="preserve">controlli </w:t>
      </w:r>
      <w:r w:rsidR="00A2552A">
        <w:rPr>
          <w:rFonts w:ascii="Times New Roman" w:hAnsi="Times New Roman"/>
          <w:sz w:val="22"/>
          <w:szCs w:val="22"/>
          <w:lang w:val="it-IT"/>
        </w:rPr>
        <w:t xml:space="preserve">specie da parte di </w:t>
      </w:r>
      <w:r w:rsidR="00A2552A" w:rsidRPr="007F7EBF">
        <w:rPr>
          <w:rFonts w:ascii="Times New Roman" w:hAnsi="Times New Roman"/>
          <w:sz w:val="22"/>
          <w:szCs w:val="22"/>
          <w:lang w:val="it-IT"/>
        </w:rPr>
        <w:t xml:space="preserve">piccoli commercianti e artigiani </w:t>
      </w:r>
      <w:r w:rsidR="00A2552A">
        <w:rPr>
          <w:rFonts w:ascii="Times New Roman" w:hAnsi="Times New Roman"/>
          <w:sz w:val="22"/>
          <w:szCs w:val="22"/>
          <w:lang w:val="it-IT"/>
        </w:rPr>
        <w:t>“in sede fissa”.</w:t>
      </w:r>
      <w:bookmarkEnd w:id="12"/>
      <w:r w:rsidR="00A2552A">
        <w:rPr>
          <w:rFonts w:ascii="Times New Roman" w:hAnsi="Times New Roman"/>
          <w:sz w:val="22"/>
          <w:szCs w:val="22"/>
          <w:lang w:val="it-IT"/>
        </w:rPr>
        <w:t xml:space="preserve"> </w:t>
      </w:r>
    </w:p>
    <w:p w14:paraId="550F71AF" w14:textId="77777777" w:rsidR="00A2552A" w:rsidRPr="007F7EBF" w:rsidRDefault="00A2552A" w:rsidP="00A2552A">
      <w:pPr>
        <w:pStyle w:val="tit23"/>
        <w:ind w:left="6464" w:right="-1361" w:firstLine="0"/>
        <w:jc w:val="left"/>
        <w:rPr>
          <w:b/>
          <w:bCs/>
          <w:i/>
          <w:iCs/>
          <w:color w:val="0000FF"/>
          <w:lang w:val="it-IT"/>
        </w:rPr>
      </w:pPr>
      <w:r w:rsidRPr="007F7EBF">
        <w:rPr>
          <w:b/>
          <w:bCs/>
          <w:i/>
          <w:iCs/>
          <w:color w:val="0000FF"/>
          <w:lang w:val="it-IT"/>
        </w:rPr>
        <w:t>Percezione dei controlli ed autodeterminazione</w:t>
      </w:r>
    </w:p>
    <w:p w14:paraId="4C892B94" w14:textId="77777777" w:rsidR="00A2552A" w:rsidRPr="007F7EBF" w:rsidRDefault="00A2552A" w:rsidP="00A2552A">
      <w:pPr>
        <w:autoSpaceDE w:val="0"/>
        <w:autoSpaceDN w:val="0"/>
        <w:adjustRightInd w:val="0"/>
        <w:rPr>
          <w:sz w:val="22"/>
          <w:szCs w:val="22"/>
        </w:rPr>
      </w:pPr>
      <w:r>
        <w:rPr>
          <w:sz w:val="22"/>
          <w:szCs w:val="22"/>
        </w:rPr>
        <w:t xml:space="preserve">Anche le stime di cui al paragrafo precedente confermano che l’evasione percepita riguarda presupposti economici d’imposta non determinabili tramite le aziende, cioè piccoli commercianti, artigiani e organizzazioni “padronali” al consumo finale (parr.3.13 </w:t>
      </w:r>
      <w:proofErr w:type="spellStart"/>
      <w:r>
        <w:rPr>
          <w:sz w:val="22"/>
          <w:szCs w:val="22"/>
        </w:rPr>
        <w:t>ss</w:t>
      </w:r>
      <w:proofErr w:type="spellEnd"/>
      <w:r>
        <w:rPr>
          <w:sz w:val="22"/>
          <w:szCs w:val="22"/>
        </w:rPr>
        <w:t>). Il relativo tasso di adempimento, e di evasione, è  influenzato dalla percezione dei controlli fiscali, come indicato al par.1.5, mentre sull’influenza di aliquote e sanzioni vedasi parr.4.5 e 6.13.</w:t>
      </w:r>
    </w:p>
    <w:p w14:paraId="4559A0E9" w14:textId="77777777" w:rsidR="00A2552A" w:rsidRPr="007F7EBF" w:rsidRDefault="00A2552A" w:rsidP="00A2552A">
      <w:pPr>
        <w:pStyle w:val="tit23"/>
        <w:ind w:left="6464" w:right="-1361" w:firstLine="0"/>
        <w:jc w:val="left"/>
        <w:rPr>
          <w:bCs/>
          <w:i/>
          <w:iCs/>
          <w:color w:val="0000FF"/>
          <w:lang w:val="it-IT"/>
        </w:rPr>
      </w:pPr>
      <w:r>
        <w:rPr>
          <w:bCs/>
          <w:i/>
          <w:iCs/>
          <w:color w:val="0000FF"/>
          <w:lang w:val="it-IT"/>
        </w:rPr>
        <w:t>Ragioni della s</w:t>
      </w:r>
      <w:r w:rsidRPr="007F7EBF">
        <w:rPr>
          <w:bCs/>
          <w:i/>
          <w:iCs/>
          <w:color w:val="0000FF"/>
          <w:lang w:val="it-IT"/>
        </w:rPr>
        <w:t xml:space="preserve">ovrastima dei controlli  </w:t>
      </w:r>
    </w:p>
    <w:p w14:paraId="562FC537" w14:textId="72F71BBA" w:rsidR="00A2552A" w:rsidRPr="007F7EBF" w:rsidRDefault="00A2552A" w:rsidP="00A2552A">
      <w:pPr>
        <w:autoSpaceDE w:val="0"/>
        <w:autoSpaceDN w:val="0"/>
        <w:adjustRightInd w:val="0"/>
        <w:rPr>
          <w:bCs/>
          <w:i/>
          <w:iCs/>
          <w:color w:val="0000FF"/>
        </w:rPr>
      </w:pPr>
      <w:r>
        <w:rPr>
          <w:sz w:val="22"/>
          <w:szCs w:val="22"/>
        </w:rPr>
        <w:t>Le statistiche degli imponibili dichiarati da piccoli commercianti e artigiani, in sede fissa, con struttura “visibile” (par.3.13-3.14), appaiono sottostimate rispetto alla realtà</w:t>
      </w:r>
      <w:r w:rsidR="008845E4">
        <w:rPr>
          <w:sz w:val="22"/>
          <w:szCs w:val="22"/>
        </w:rPr>
        <w:t xml:space="preserve"> percepita, ma non quanto potrebbero essere se fosse considerata la distribuzione reale delle forze del fisco, di cui al par.5.2. Una delle ragioni per cui il tasso di adempimento è </w:t>
      </w:r>
      <w:r w:rsidR="008845E4">
        <w:rPr>
          <w:sz w:val="22"/>
          <w:szCs w:val="22"/>
        </w:rPr>
        <w:lastRenderedPageBreak/>
        <w:t>relativamente alto rispetto alla presenza valutativa del fisco è il</w:t>
      </w:r>
      <w:r>
        <w:rPr>
          <w:sz w:val="22"/>
          <w:szCs w:val="22"/>
        </w:rPr>
        <w:t xml:space="preserve"> sensazionalismo dei </w:t>
      </w:r>
      <w:r w:rsidRPr="007F7EBF">
        <w:rPr>
          <w:sz w:val="22"/>
          <w:szCs w:val="22"/>
        </w:rPr>
        <w:t>mezzi di comunicazione</w:t>
      </w:r>
      <w:r w:rsidR="008845E4">
        <w:rPr>
          <w:sz w:val="22"/>
          <w:szCs w:val="22"/>
        </w:rPr>
        <w:t>; esso presenta un fisco più presente e capillare di quanto sia in realtà, e che tiene nel mirino (come spesso titolano i giornali) piccolo commercio, artigianato etc.</w:t>
      </w:r>
      <w:r>
        <w:rPr>
          <w:sz w:val="22"/>
          <w:szCs w:val="22"/>
        </w:rPr>
        <w:t xml:space="preserve">; anche i comunicati dell’Agenzia delle Entrate, l’efficiente </w:t>
      </w:r>
      <w:r w:rsidRPr="007F7EBF">
        <w:rPr>
          <w:sz w:val="22"/>
          <w:szCs w:val="22"/>
        </w:rPr>
        <w:t>gestione informatica dei dati dichiarati (par.5.5)</w:t>
      </w:r>
      <w:r>
        <w:rPr>
          <w:sz w:val="22"/>
          <w:szCs w:val="22"/>
        </w:rPr>
        <w:t xml:space="preserve"> spingono in questo senso</w:t>
      </w:r>
      <w:r w:rsidR="008845E4">
        <w:rPr>
          <w:sz w:val="22"/>
          <w:szCs w:val="22"/>
        </w:rPr>
        <w:t xml:space="preserve">, come </w:t>
      </w:r>
      <w:r>
        <w:rPr>
          <w:sz w:val="22"/>
          <w:szCs w:val="22"/>
        </w:rPr>
        <w:t xml:space="preserve">l’immagine </w:t>
      </w:r>
      <w:r w:rsidR="008845E4">
        <w:rPr>
          <w:sz w:val="22"/>
          <w:szCs w:val="22"/>
        </w:rPr>
        <w:t xml:space="preserve">generale </w:t>
      </w:r>
      <w:r w:rsidRPr="007F7EBF">
        <w:rPr>
          <w:sz w:val="22"/>
          <w:szCs w:val="22"/>
        </w:rPr>
        <w:t>d</w:t>
      </w:r>
      <w:r>
        <w:rPr>
          <w:sz w:val="22"/>
          <w:szCs w:val="22"/>
        </w:rPr>
        <w:t>e</w:t>
      </w:r>
      <w:r w:rsidRPr="007F7EBF">
        <w:rPr>
          <w:sz w:val="22"/>
          <w:szCs w:val="22"/>
        </w:rPr>
        <w:t>lla macchina pubblica</w:t>
      </w:r>
      <w:r w:rsidR="008845E4">
        <w:rPr>
          <w:sz w:val="22"/>
          <w:szCs w:val="22"/>
        </w:rPr>
        <w:t xml:space="preserve"> emergente dai contatti quotidiani in materia di sanità, sicurezza, infrastrutture, educazione, pensioni etc.. Questi contribuenti trasferiscono l’immagine di relativa efficienza, in questi settori dove c’è più controllo sociale degli utenti(par.5.3), sui settori dove tale controllo manca, come la funzione tributaria</w:t>
      </w:r>
      <w:r w:rsidRPr="007F7EBF">
        <w:rPr>
          <w:sz w:val="22"/>
          <w:szCs w:val="22"/>
        </w:rPr>
        <w:t xml:space="preserve">. </w:t>
      </w:r>
      <w:r>
        <w:rPr>
          <w:sz w:val="22"/>
          <w:szCs w:val="22"/>
        </w:rPr>
        <w:t xml:space="preserve">C’è poi, anche nei piccoli operatori al dettaglio, un </w:t>
      </w:r>
      <w:r w:rsidR="007E2581">
        <w:rPr>
          <w:sz w:val="22"/>
          <w:szCs w:val="22"/>
        </w:rPr>
        <w:t>certo rammarico a vivere in un paese dov’è facile evadere in quanto tutte le funzioni pubbliche, compresa quella tributaria, sono in</w:t>
      </w:r>
      <w:r>
        <w:rPr>
          <w:sz w:val="22"/>
          <w:szCs w:val="22"/>
        </w:rPr>
        <w:t>efficienti</w:t>
      </w:r>
      <w:r w:rsidR="008845E4" w:rsidRPr="007F7EBF">
        <w:t xml:space="preserve">. </w:t>
      </w:r>
      <w:r w:rsidR="007E2581">
        <w:t>L</w:t>
      </w:r>
      <w:r w:rsidR="008845E4" w:rsidRPr="007F7EBF">
        <w:t>’immagine di “relativa” efficienza di sanità, istruzione, trasporti, sicurezza e altre funzioni con un buon controllo social</w:t>
      </w:r>
      <w:r w:rsidR="007E2581">
        <w:t>e</w:t>
      </w:r>
      <w:r w:rsidR="008845E4" w:rsidRPr="007F7EBF">
        <w:t xml:space="preserve">, </w:t>
      </w:r>
      <w:r w:rsidR="007E2581">
        <w:t>traina e rivaluta</w:t>
      </w:r>
      <w:r w:rsidR="008845E4" w:rsidRPr="007F7EBF">
        <w:t xml:space="preserve"> quella de</w:t>
      </w:r>
      <w:r w:rsidR="007E2581">
        <w:t xml:space="preserve">gli uffici tributari, dove il controllo sociale è minore per la confusione sulla funzione tributaria. Quest’ultima è presentata in modo efficiente anche dai </w:t>
      </w:r>
      <w:r>
        <w:rPr>
          <w:sz w:val="22"/>
          <w:szCs w:val="22"/>
        </w:rPr>
        <w:t>professionisti</w:t>
      </w:r>
      <w:r w:rsidR="007E2581">
        <w:rPr>
          <w:sz w:val="22"/>
          <w:szCs w:val="22"/>
        </w:rPr>
        <w:t xml:space="preserve">, che </w:t>
      </w:r>
      <w:r w:rsidRPr="007F7EBF">
        <w:t xml:space="preserve">spingono i clienti </w:t>
      </w:r>
      <w:r>
        <w:t>a dichiarare cifre credibili</w:t>
      </w:r>
      <w:r w:rsidR="007E2581">
        <w:t>, accreditando i controlli anche per valorizzare il proprio lavoro (par.3.16)</w:t>
      </w:r>
      <w:r>
        <w:t>.</w:t>
      </w:r>
    </w:p>
    <w:p w14:paraId="01ADC034" w14:textId="77777777" w:rsidR="00A2552A" w:rsidRPr="007F7EBF" w:rsidRDefault="00A2552A" w:rsidP="00A2552A">
      <w:pPr>
        <w:pStyle w:val="tit23"/>
        <w:ind w:left="6464" w:right="-1361" w:firstLine="0"/>
        <w:jc w:val="left"/>
        <w:rPr>
          <w:bCs/>
          <w:i/>
          <w:iCs/>
          <w:color w:val="0000FF"/>
          <w:lang w:val="it-IT"/>
        </w:rPr>
      </w:pPr>
      <w:r>
        <w:rPr>
          <w:bCs/>
          <w:i/>
          <w:iCs/>
          <w:color w:val="0000FF"/>
          <w:lang w:val="it-IT"/>
        </w:rPr>
        <w:t>Diversa consapevolezza della propria visibilità</w:t>
      </w:r>
    </w:p>
    <w:p w14:paraId="01B3299E" w14:textId="5E3011B7" w:rsidR="00A2552A" w:rsidRPr="007F7EBF" w:rsidRDefault="007E2581" w:rsidP="00A2552A">
      <w:pPr>
        <w:autoSpaceDE w:val="0"/>
        <w:autoSpaceDN w:val="0"/>
        <w:adjustRightInd w:val="0"/>
        <w:rPr>
          <w:sz w:val="22"/>
          <w:szCs w:val="22"/>
        </w:rPr>
      </w:pPr>
      <w:r>
        <w:rPr>
          <w:sz w:val="22"/>
          <w:szCs w:val="22"/>
        </w:rPr>
        <w:t>Tutto ciò dipende dal fatto che p</w:t>
      </w:r>
      <w:r w:rsidR="00A2552A">
        <w:rPr>
          <w:sz w:val="22"/>
          <w:szCs w:val="22"/>
        </w:rPr>
        <w:t>iccoli commercianti, artigiani e titolari di piccole organizzazioni sono consapevoli della loro alta visibilità “economico-materiale”</w:t>
      </w:r>
      <w:r>
        <w:rPr>
          <w:sz w:val="22"/>
          <w:szCs w:val="22"/>
        </w:rPr>
        <w:t xml:space="preserve">, </w:t>
      </w:r>
      <w:r w:rsidR="00A2552A">
        <w:rPr>
          <w:sz w:val="22"/>
          <w:szCs w:val="22"/>
        </w:rPr>
        <w:t>operan</w:t>
      </w:r>
      <w:r>
        <w:rPr>
          <w:sz w:val="22"/>
          <w:szCs w:val="22"/>
        </w:rPr>
        <w:t>d</w:t>
      </w:r>
      <w:r w:rsidR="00A2552A">
        <w:rPr>
          <w:sz w:val="22"/>
          <w:szCs w:val="22"/>
        </w:rPr>
        <w:t>o in una sede fissa; quest’ultima è infatti visibile</w:t>
      </w:r>
      <w:r>
        <w:rPr>
          <w:sz w:val="22"/>
          <w:szCs w:val="22"/>
        </w:rPr>
        <w:t>,</w:t>
      </w:r>
      <w:r w:rsidR="00A2552A">
        <w:rPr>
          <w:sz w:val="22"/>
          <w:szCs w:val="22"/>
        </w:rPr>
        <w:t xml:space="preserve"> accessibile </w:t>
      </w:r>
      <w:r>
        <w:rPr>
          <w:sz w:val="22"/>
          <w:szCs w:val="22"/>
        </w:rPr>
        <w:t xml:space="preserve">e valutabile </w:t>
      </w:r>
      <w:r w:rsidR="00A2552A">
        <w:rPr>
          <w:sz w:val="22"/>
          <w:szCs w:val="22"/>
        </w:rPr>
        <w:t xml:space="preserve">dagli uffici tributari come lo è dalla clientela; </w:t>
      </w:r>
      <w:r>
        <w:rPr>
          <w:sz w:val="22"/>
          <w:szCs w:val="22"/>
        </w:rPr>
        <w:t xml:space="preserve">il loro stato d’animo, spinge a dichiarare qualcosa di credibile, salvando le apparenze, come il ragioniere di </w:t>
      </w:r>
      <w:r w:rsidRPr="007E2581">
        <w:rPr>
          <w:i/>
          <w:iCs/>
          <w:sz w:val="22"/>
          <w:szCs w:val="22"/>
        </w:rPr>
        <w:t xml:space="preserve">Cetto </w:t>
      </w:r>
      <w:proofErr w:type="spellStart"/>
      <w:r w:rsidRPr="007E2581">
        <w:rPr>
          <w:i/>
          <w:iCs/>
          <w:sz w:val="22"/>
          <w:szCs w:val="22"/>
        </w:rPr>
        <w:t>laqualunque</w:t>
      </w:r>
      <w:proofErr w:type="spellEnd"/>
      <w:r>
        <w:rPr>
          <w:sz w:val="22"/>
          <w:szCs w:val="22"/>
        </w:rPr>
        <w:t xml:space="preserve"> nella scena </w:t>
      </w:r>
      <w:r w:rsidRPr="007E2581">
        <w:rPr>
          <w:i/>
          <w:iCs/>
          <w:sz w:val="22"/>
          <w:szCs w:val="22"/>
        </w:rPr>
        <w:t>Albanese - "... quante volte ti devo dire che le tasse sono come la droga</w:t>
      </w:r>
      <w:r w:rsidRPr="007E2581">
        <w:rPr>
          <w:sz w:val="22"/>
          <w:szCs w:val="22"/>
        </w:rPr>
        <w:t xml:space="preserve"> </w:t>
      </w:r>
      <w:r>
        <w:rPr>
          <w:sz w:val="22"/>
          <w:szCs w:val="22"/>
        </w:rPr>
        <w:t xml:space="preserve">. L’autotassazione diventa qui </w:t>
      </w:r>
      <w:r w:rsidR="00A2552A">
        <w:rPr>
          <w:sz w:val="22"/>
          <w:szCs w:val="22"/>
        </w:rPr>
        <w:t xml:space="preserve">Per i lavoratori autonomi “mobili” di cui al par.3.15, senza sede fissa, la suddetta </w:t>
      </w:r>
      <w:r w:rsidR="00A2552A" w:rsidRPr="007F7EBF">
        <w:rPr>
          <w:sz w:val="22"/>
          <w:szCs w:val="22"/>
        </w:rPr>
        <w:t>visibilità materiale</w:t>
      </w:r>
      <w:r w:rsidR="00A2552A">
        <w:rPr>
          <w:sz w:val="22"/>
          <w:szCs w:val="22"/>
        </w:rPr>
        <w:t xml:space="preserve"> scende, e con essa i tassi d’adempimento. Se però accanto ai suddetti fattori di adempimento ci fosse anche un controllo valutativo del fisco direttamente percepito, nella propria cerchia di relazioni personali e di vicinato, l’adempimento aumenterebbe e le sperequazioni tributarie, coi loro malesseri sociali, si sdrammatizzerebbero. </w:t>
      </w:r>
    </w:p>
    <w:p w14:paraId="515031A5"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lastRenderedPageBreak/>
        <w:t>bisogni familiari ed “evasione di necessità”</w:t>
      </w:r>
    </w:p>
    <w:p w14:paraId="0C8D6DF7" w14:textId="77777777" w:rsidR="00A2552A" w:rsidRPr="007F7EBF" w:rsidRDefault="00A2552A" w:rsidP="00A2552A">
      <w:pPr>
        <w:autoSpaceDE w:val="0"/>
        <w:autoSpaceDN w:val="0"/>
        <w:adjustRightInd w:val="0"/>
        <w:rPr>
          <w:sz w:val="22"/>
          <w:szCs w:val="22"/>
        </w:rPr>
      </w:pPr>
      <w:r>
        <w:rPr>
          <w:sz w:val="22"/>
          <w:szCs w:val="22"/>
        </w:rPr>
        <w:t>L</w:t>
      </w:r>
      <w:r w:rsidRPr="007F7EBF">
        <w:rPr>
          <w:sz w:val="22"/>
          <w:szCs w:val="22"/>
        </w:rPr>
        <w:t xml:space="preserve">a tendenza a sottodimensionare il dichiarato dipende dalle necessità personali e familiari, la c.d. "evasione di sopravvivenza" anticipata al </w:t>
      </w:r>
      <w:r w:rsidRPr="007F7EBF">
        <w:rPr>
          <w:bCs/>
          <w:sz w:val="22"/>
          <w:szCs w:val="22"/>
        </w:rPr>
        <w:t xml:space="preserve">par.3.14; il motivo è la maggiore </w:t>
      </w:r>
      <w:r w:rsidRPr="007F7EBF">
        <w:rPr>
          <w:sz w:val="22"/>
          <w:szCs w:val="22"/>
        </w:rPr>
        <w:t xml:space="preserve">"utilità marginale del denaro" quando ce n’è poco, il che induce chi ha margini per </w:t>
      </w:r>
      <w:r>
        <w:rPr>
          <w:sz w:val="22"/>
          <w:szCs w:val="22"/>
        </w:rPr>
        <w:t>non registrare gli imponibili</w:t>
      </w:r>
      <w:r w:rsidRPr="007F7EBF">
        <w:rPr>
          <w:sz w:val="22"/>
          <w:szCs w:val="22"/>
        </w:rPr>
        <w:t xml:space="preserve"> a </w:t>
      </w:r>
      <w:r>
        <w:rPr>
          <w:sz w:val="22"/>
          <w:szCs w:val="22"/>
        </w:rPr>
        <w:t>privilegiare il soddisfacimento di</w:t>
      </w:r>
      <w:r w:rsidRPr="007F7EBF">
        <w:rPr>
          <w:sz w:val="22"/>
          <w:szCs w:val="22"/>
        </w:rPr>
        <w:t xml:space="preserve"> bisogni personali </w:t>
      </w:r>
      <w:r>
        <w:rPr>
          <w:sz w:val="22"/>
          <w:szCs w:val="22"/>
        </w:rPr>
        <w:t>e familiari “di base”, rispetto al pagamento delle imposte</w:t>
      </w:r>
      <w:r w:rsidRPr="007F7EBF">
        <w:rPr>
          <w:sz w:val="22"/>
          <w:szCs w:val="22"/>
        </w:rPr>
        <w:t xml:space="preserve">. </w:t>
      </w:r>
      <w:r>
        <w:rPr>
          <w:sz w:val="22"/>
          <w:szCs w:val="22"/>
        </w:rPr>
        <w:t xml:space="preserve">Nasce così una diffusissima </w:t>
      </w:r>
      <w:r w:rsidRPr="007F7EBF">
        <w:rPr>
          <w:sz w:val="22"/>
          <w:szCs w:val="22"/>
        </w:rPr>
        <w:t>"evasione di sopravvivenza"</w:t>
      </w:r>
      <w:r>
        <w:rPr>
          <w:sz w:val="22"/>
          <w:szCs w:val="22"/>
        </w:rPr>
        <w:t xml:space="preserve">, che riguarda più della </w:t>
      </w:r>
      <w:r w:rsidRPr="007F7EBF">
        <w:rPr>
          <w:sz w:val="22"/>
          <w:szCs w:val="22"/>
        </w:rPr>
        <w:t xml:space="preserve">mera sussistenza, </w:t>
      </w:r>
      <w:r>
        <w:rPr>
          <w:sz w:val="22"/>
          <w:szCs w:val="22"/>
        </w:rPr>
        <w:t>estendendosi a</w:t>
      </w:r>
      <w:r w:rsidRPr="007F7EBF">
        <w:rPr>
          <w:sz w:val="22"/>
          <w:szCs w:val="22"/>
        </w:rPr>
        <w:t xml:space="preserve">l tenore di vita che si ritiene di meritare in relazione alla propria estrazione familiare, e ad una cultura di massa dove viaggi, shopping, cene fuori, auto nuove, centri benessere, e tante altre forme di consumismo appaiono come una specie di "minimo sindacale";  ciò spinge gli operatori economici individuali , che incassano somme al lordo delle imposte, ad evaderne </w:t>
      </w:r>
      <w:r>
        <w:rPr>
          <w:sz w:val="22"/>
          <w:szCs w:val="22"/>
        </w:rPr>
        <w:t xml:space="preserve">una quota relativamente elevata </w:t>
      </w:r>
      <w:r w:rsidRPr="007F7EBF">
        <w:rPr>
          <w:sz w:val="22"/>
          <w:szCs w:val="22"/>
        </w:rPr>
        <w:t>per soddisfare bisogni ritenuti prioritari rispetto a quello, pure avvertito, di tranquillità fiscale</w:t>
      </w:r>
      <w:r w:rsidRPr="007F7EBF">
        <w:rPr>
          <w:rStyle w:val="Rimandonotaapidipagina"/>
          <w:sz w:val="22"/>
          <w:szCs w:val="22"/>
        </w:rPr>
        <w:footnoteReference w:id="75"/>
      </w:r>
      <w:r w:rsidRPr="007F7EBF">
        <w:rPr>
          <w:sz w:val="22"/>
          <w:szCs w:val="22"/>
        </w:rPr>
        <w:t xml:space="preserve">. </w:t>
      </w:r>
    </w:p>
    <w:p w14:paraId="28C06590"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Massa tributaria manovrabile e tenore di vita</w:t>
      </w:r>
    </w:p>
    <w:p w14:paraId="78050E11" w14:textId="0941A49B" w:rsidR="00A2552A" w:rsidRPr="007F7EBF" w:rsidRDefault="00A2552A" w:rsidP="00A2552A">
      <w:pPr>
        <w:autoSpaceDE w:val="0"/>
        <w:autoSpaceDN w:val="0"/>
        <w:adjustRightInd w:val="0"/>
        <w:rPr>
          <w:sz w:val="22"/>
          <w:szCs w:val="22"/>
        </w:rPr>
      </w:pPr>
      <w:r w:rsidRPr="007F7EBF">
        <w:rPr>
          <w:sz w:val="22"/>
          <w:szCs w:val="22"/>
        </w:rPr>
        <w:t>Per chi, al lordo di IVA , IRPEF e contributi previdenziali, incassa ad esempio 100 mila euro</w:t>
      </w:r>
      <w:r w:rsidRPr="007F7EBF">
        <w:rPr>
          <w:rStyle w:val="Rimandonotaapidipagina"/>
          <w:sz w:val="22"/>
          <w:szCs w:val="22"/>
        </w:rPr>
        <w:footnoteReference w:id="76"/>
      </w:r>
      <w:r w:rsidRPr="007F7EBF">
        <w:rPr>
          <w:sz w:val="22"/>
          <w:szCs w:val="22"/>
        </w:rPr>
        <w:t>, dichiararne 40 mila, evitando di pagare i suddetti tributi sulla differenza, il  tenore di vita</w:t>
      </w:r>
      <w:r>
        <w:rPr>
          <w:sz w:val="22"/>
          <w:szCs w:val="22"/>
        </w:rPr>
        <w:t xml:space="preserve"> m</w:t>
      </w:r>
      <w:r w:rsidRPr="007F7EBF">
        <w:rPr>
          <w:sz w:val="22"/>
          <w:szCs w:val="22"/>
        </w:rPr>
        <w:t>igliora notevolmente. L</w:t>
      </w:r>
      <w:r w:rsidR="0034542B">
        <w:rPr>
          <w:sz w:val="22"/>
          <w:szCs w:val="22"/>
        </w:rPr>
        <w:t xml:space="preserve">’evasione in senso materiale </w:t>
      </w:r>
      <w:r w:rsidRPr="007F7EBF">
        <w:rPr>
          <w:sz w:val="22"/>
          <w:szCs w:val="22"/>
        </w:rPr>
        <w:t>riguarda tutti i connessi profili, fiscali e previdenziali</w:t>
      </w:r>
      <w:r>
        <w:rPr>
          <w:sz w:val="22"/>
          <w:szCs w:val="22"/>
        </w:rPr>
        <w:t xml:space="preserve">, creando </w:t>
      </w:r>
      <w:r w:rsidRPr="007F7EBF">
        <w:rPr>
          <w:sz w:val="22"/>
          <w:szCs w:val="22"/>
        </w:rPr>
        <w:t>una “massa finanziaria manovrabile”, facile da nascondere in parte al fisco, con sensibili benefici per chi avrebbe altrimenti un reddito “medio -basso” (</w:t>
      </w:r>
      <w:r w:rsidRPr="007F7EBF">
        <w:rPr>
          <w:rStyle w:val="Rimandonotaapidipagina"/>
          <w:sz w:val="22"/>
          <w:szCs w:val="22"/>
        </w:rPr>
        <w:footnoteReference w:id="77"/>
      </w:r>
      <w:r w:rsidRPr="007F7EBF">
        <w:rPr>
          <w:sz w:val="22"/>
          <w:szCs w:val="22"/>
        </w:rPr>
        <w:t xml:space="preserve">); persino l'IVA corrispondente </w:t>
      </w:r>
      <w:r w:rsidRPr="007F7EBF">
        <w:rPr>
          <w:sz w:val="22"/>
          <w:szCs w:val="22"/>
        </w:rPr>
        <w:lastRenderedPageBreak/>
        <w:t xml:space="preserve">alle vendite viene vissuta come un onere tributario, in quanto -se non versata al fisco- può essere spesa per alimentare il tenore di vita dell'operatore economico. </w:t>
      </w:r>
    </w:p>
    <w:p w14:paraId="74F98A53" w14:textId="77777777" w:rsidR="00A2552A" w:rsidRPr="007F7EBF" w:rsidRDefault="00A2552A" w:rsidP="00A2552A">
      <w:pPr>
        <w:autoSpaceDE w:val="0"/>
        <w:autoSpaceDN w:val="0"/>
        <w:adjustRightInd w:val="0"/>
        <w:rPr>
          <w:sz w:val="22"/>
          <w:szCs w:val="22"/>
        </w:rPr>
      </w:pPr>
      <w:r>
        <w:rPr>
          <w:sz w:val="22"/>
          <w:szCs w:val="22"/>
        </w:rPr>
        <w:t xml:space="preserve">Chi avverte quest’opportunità non si astiene certo dall’utilizzarla perché </w:t>
      </w:r>
      <w:r w:rsidRPr="007F7EBF">
        <w:rPr>
          <w:sz w:val="22"/>
          <w:szCs w:val="22"/>
        </w:rPr>
        <w:t>i lavoratori dipendenti, a parità di costo del lavoro, ne sono privi</w:t>
      </w:r>
      <w:r>
        <w:rPr>
          <w:sz w:val="22"/>
          <w:szCs w:val="22"/>
        </w:rPr>
        <w:t xml:space="preserve">; ciò sia per la convinzione che i </w:t>
      </w:r>
      <w:r w:rsidRPr="007F7EBF">
        <w:rPr>
          <w:sz w:val="22"/>
          <w:szCs w:val="22"/>
        </w:rPr>
        <w:t>lavoratori dipendenti, a parti invertite, farebbero lo stesso, considerano la suddetta parziale evasione come un aspetto della loro condizione complessiva</w:t>
      </w:r>
      <w:r>
        <w:rPr>
          <w:sz w:val="22"/>
          <w:szCs w:val="22"/>
        </w:rPr>
        <w:t xml:space="preserve">, cioè la </w:t>
      </w:r>
      <w:r w:rsidRPr="007F7EBF">
        <w:rPr>
          <w:i/>
          <w:sz w:val="22"/>
          <w:szCs w:val="22"/>
        </w:rPr>
        <w:t xml:space="preserve">parte </w:t>
      </w:r>
      <w:r>
        <w:rPr>
          <w:i/>
          <w:sz w:val="22"/>
          <w:szCs w:val="22"/>
        </w:rPr>
        <w:t>di un</w:t>
      </w:r>
      <w:r w:rsidRPr="007F7EBF">
        <w:rPr>
          <w:i/>
          <w:sz w:val="22"/>
          <w:szCs w:val="22"/>
        </w:rPr>
        <w:t xml:space="preserve"> pacchetto</w:t>
      </w:r>
      <w:r w:rsidRPr="007F7EBF">
        <w:rPr>
          <w:sz w:val="22"/>
          <w:szCs w:val="22"/>
        </w:rPr>
        <w:t xml:space="preserve"> </w:t>
      </w:r>
      <w:r w:rsidRPr="007F7EBF">
        <w:rPr>
          <w:rStyle w:val="Rimandonotaapidipagina"/>
          <w:sz w:val="22"/>
          <w:szCs w:val="22"/>
        </w:rPr>
        <w:footnoteReference w:id="78"/>
      </w:r>
      <w:r w:rsidRPr="007F7EBF">
        <w:rPr>
          <w:sz w:val="22"/>
          <w:szCs w:val="22"/>
        </w:rPr>
        <w:t>, cui  appartengono anche lati negativi, come la carenza di protezioni sociali, garanzie e altri vantaggi collaterali, dei lavoratori dipendenti, specie se pubblici, in termini di sicurezza del "posto", e di intensità della prestazione di lavoro.</w:t>
      </w:r>
    </w:p>
    <w:p w14:paraId="243C7E93" w14:textId="77777777" w:rsidR="00A2552A" w:rsidRPr="007F7EBF" w:rsidRDefault="00A2552A" w:rsidP="00A2552A">
      <w:pPr>
        <w:pStyle w:val="tit23"/>
        <w:ind w:left="6464" w:right="-1361" w:firstLine="0"/>
        <w:jc w:val="left"/>
        <w:rPr>
          <w:bCs/>
          <w:i/>
          <w:iCs/>
          <w:color w:val="0000FF"/>
          <w:lang w:val="it-IT"/>
        </w:rPr>
      </w:pPr>
      <w:r>
        <w:rPr>
          <w:bCs/>
          <w:i/>
          <w:iCs/>
          <w:color w:val="0000FF"/>
          <w:lang w:val="it-IT"/>
        </w:rPr>
        <w:t>Razionalità del comportamento</w:t>
      </w:r>
    </w:p>
    <w:p w14:paraId="3FD0A0F3" w14:textId="7D5CD29E" w:rsidR="00A2552A" w:rsidRPr="007F7EBF" w:rsidRDefault="00A2552A" w:rsidP="00A2552A">
      <w:pPr>
        <w:autoSpaceDE w:val="0"/>
        <w:autoSpaceDN w:val="0"/>
        <w:adjustRightInd w:val="0"/>
        <w:rPr>
          <w:sz w:val="22"/>
          <w:szCs w:val="22"/>
        </w:rPr>
      </w:pPr>
      <w:r>
        <w:rPr>
          <w:sz w:val="22"/>
          <w:szCs w:val="22"/>
        </w:rPr>
        <w:t>I</w:t>
      </w:r>
      <w:r w:rsidRPr="007F7EBF">
        <w:rPr>
          <w:sz w:val="22"/>
          <w:szCs w:val="22"/>
        </w:rPr>
        <w:t>l livello generale</w:t>
      </w:r>
      <w:r>
        <w:rPr>
          <w:sz w:val="22"/>
          <w:szCs w:val="22"/>
        </w:rPr>
        <w:t xml:space="preserve"> complessivo</w:t>
      </w:r>
      <w:r w:rsidRPr="007F7EBF">
        <w:rPr>
          <w:sz w:val="22"/>
          <w:szCs w:val="22"/>
        </w:rPr>
        <w:t xml:space="preserve"> di adempimento </w:t>
      </w:r>
      <w:r>
        <w:rPr>
          <w:sz w:val="22"/>
          <w:szCs w:val="22"/>
        </w:rPr>
        <w:t>(</w:t>
      </w:r>
      <w:r w:rsidRPr="007F7EBF">
        <w:rPr>
          <w:rStyle w:val="Rimandonotaapidipagina"/>
          <w:sz w:val="22"/>
          <w:szCs w:val="22"/>
        </w:rPr>
        <w:footnoteReference w:id="79"/>
      </w:r>
      <w:r>
        <w:rPr>
          <w:sz w:val="22"/>
          <w:szCs w:val="22"/>
        </w:rPr>
        <w:t>)</w:t>
      </w:r>
      <w:r w:rsidRPr="007F7EBF">
        <w:rPr>
          <w:sz w:val="22"/>
          <w:szCs w:val="22"/>
        </w:rPr>
        <w:t>, nonostante l'evasione, è proporzionalmente maggiore rispetto all'intensità dell'intervento valutativo degli uffici tributari su</w:t>
      </w:r>
      <w:r w:rsidR="0034542B">
        <w:rPr>
          <w:sz w:val="22"/>
          <w:szCs w:val="22"/>
        </w:rPr>
        <w:t xml:space="preserve">i presupposti d’imposta </w:t>
      </w:r>
      <w:r w:rsidRPr="007F7EBF">
        <w:rPr>
          <w:sz w:val="22"/>
          <w:szCs w:val="22"/>
        </w:rPr>
        <w:t>non raggiunt</w:t>
      </w:r>
      <w:r w:rsidR="0034542B">
        <w:rPr>
          <w:sz w:val="22"/>
          <w:szCs w:val="22"/>
        </w:rPr>
        <w:t>i</w:t>
      </w:r>
      <w:r w:rsidRPr="007F7EBF">
        <w:rPr>
          <w:sz w:val="22"/>
          <w:szCs w:val="22"/>
        </w:rPr>
        <w:t xml:space="preserve"> contabilmente attraverso aziende e altre organizzazioni. </w:t>
      </w:r>
      <w:r>
        <w:rPr>
          <w:sz w:val="22"/>
          <w:szCs w:val="22"/>
        </w:rPr>
        <w:t xml:space="preserve">Ciò </w:t>
      </w:r>
      <w:r w:rsidRPr="007F7EBF">
        <w:rPr>
          <w:sz w:val="22"/>
          <w:szCs w:val="22"/>
        </w:rPr>
        <w:t xml:space="preserve">smentisce le affermazioni </w:t>
      </w:r>
      <w:proofErr w:type="spellStart"/>
      <w:r w:rsidRPr="007F7EBF">
        <w:rPr>
          <w:i/>
          <w:sz w:val="22"/>
          <w:szCs w:val="22"/>
        </w:rPr>
        <w:t>autorazziste</w:t>
      </w:r>
      <w:proofErr w:type="spellEnd"/>
      <w:r w:rsidRPr="007F7EBF">
        <w:rPr>
          <w:sz w:val="22"/>
          <w:szCs w:val="22"/>
        </w:rPr>
        <w:t xml:space="preserve"> sul presunto  scarso senso civico degli italiani (</w:t>
      </w:r>
      <w:r w:rsidRPr="007F7EBF">
        <w:rPr>
          <w:rStyle w:val="Rimandonotaapidipagina"/>
          <w:sz w:val="22"/>
          <w:szCs w:val="22"/>
        </w:rPr>
        <w:footnoteReference w:id="80"/>
      </w:r>
      <w:r w:rsidRPr="007F7EBF">
        <w:rPr>
          <w:sz w:val="22"/>
          <w:szCs w:val="22"/>
        </w:rPr>
        <w:t>)</w:t>
      </w:r>
      <w:r>
        <w:rPr>
          <w:sz w:val="22"/>
          <w:szCs w:val="22"/>
        </w:rPr>
        <w:t xml:space="preserve">; chi può, insomma, evade, ma cerca di salvare le apparenze, con dichiarazioni provviste di </w:t>
      </w:r>
      <w:r w:rsidRPr="007F7EBF">
        <w:rPr>
          <w:sz w:val="22"/>
          <w:szCs w:val="22"/>
        </w:rPr>
        <w:t>una certa dose di credibilità (</w:t>
      </w:r>
      <w:r w:rsidRPr="007F7EBF">
        <w:rPr>
          <w:rStyle w:val="Rimandonotaapidipagina"/>
          <w:sz w:val="22"/>
          <w:szCs w:val="22"/>
        </w:rPr>
        <w:footnoteReference w:id="81"/>
      </w:r>
      <w:r w:rsidRPr="007F7EBF">
        <w:rPr>
          <w:sz w:val="22"/>
          <w:szCs w:val="22"/>
        </w:rPr>
        <w:t xml:space="preserve">).  Volendo per un attimo seguire le erronee tendenze di opinione </w:t>
      </w:r>
      <w:r w:rsidRPr="007F7EBF">
        <w:rPr>
          <w:sz w:val="22"/>
          <w:szCs w:val="22"/>
        </w:rPr>
        <w:lastRenderedPageBreak/>
        <w:t>secondo cui l'evasione fiscale dipende dall'onestà e dalla disonestà(</w:t>
      </w:r>
      <w:r w:rsidRPr="007F7EBF">
        <w:rPr>
          <w:rStyle w:val="Rimandonotaapidipagina"/>
          <w:sz w:val="22"/>
          <w:szCs w:val="22"/>
        </w:rPr>
        <w:footnoteReference w:id="82"/>
      </w:r>
      <w:r w:rsidRPr="007F7EBF">
        <w:rPr>
          <w:sz w:val="22"/>
          <w:szCs w:val="22"/>
        </w:rPr>
        <w:t xml:space="preserve">), i contribuenti italiani potrebbero definirsi molto più onesti di quanto </w:t>
      </w:r>
      <w:r>
        <w:rPr>
          <w:sz w:val="22"/>
          <w:szCs w:val="22"/>
        </w:rPr>
        <w:t xml:space="preserve">la funzione tributaria sia </w:t>
      </w:r>
      <w:r w:rsidRPr="007F7EBF">
        <w:rPr>
          <w:sz w:val="22"/>
          <w:szCs w:val="22"/>
        </w:rPr>
        <w:t>efficient</w:t>
      </w:r>
      <w:r>
        <w:rPr>
          <w:sz w:val="22"/>
          <w:szCs w:val="22"/>
        </w:rPr>
        <w:t>e nello stimare per ordine di grandezza gli imponibili non determinati dalle aziende</w:t>
      </w:r>
      <w:r w:rsidRPr="007F7EBF">
        <w:rPr>
          <w:sz w:val="22"/>
          <w:szCs w:val="22"/>
        </w:rPr>
        <w:t xml:space="preserve">.  </w:t>
      </w:r>
      <w:r>
        <w:rPr>
          <w:sz w:val="22"/>
          <w:szCs w:val="22"/>
        </w:rPr>
        <w:t xml:space="preserve">Per comprimere ulteriormente </w:t>
      </w:r>
      <w:r w:rsidRPr="007F7EBF">
        <w:rPr>
          <w:sz w:val="22"/>
          <w:szCs w:val="22"/>
        </w:rPr>
        <w:t>le suddette esigenze di tenore di vita</w:t>
      </w:r>
      <w:r>
        <w:rPr>
          <w:sz w:val="22"/>
          <w:szCs w:val="22"/>
        </w:rPr>
        <w:t xml:space="preserve"> </w:t>
      </w:r>
      <w:r w:rsidRPr="007F7EBF">
        <w:rPr>
          <w:rStyle w:val="Rimandonotaapidipagina"/>
          <w:sz w:val="22"/>
          <w:szCs w:val="22"/>
        </w:rPr>
        <w:footnoteReference w:id="83"/>
      </w:r>
      <w:r>
        <w:rPr>
          <w:sz w:val="22"/>
          <w:szCs w:val="22"/>
        </w:rPr>
        <w:t xml:space="preserve"> occorrerebbe la percezione, nella propria sfera territoriale o relazionale, dell’intervento valutativo degli uffici tributari, come descritto al par.6.5.</w:t>
      </w:r>
      <w:r w:rsidRPr="007F7EBF">
        <w:rPr>
          <w:sz w:val="22"/>
          <w:szCs w:val="22"/>
        </w:rPr>
        <w:t xml:space="preserve"> </w:t>
      </w:r>
      <w:r>
        <w:rPr>
          <w:sz w:val="22"/>
          <w:szCs w:val="22"/>
        </w:rPr>
        <w:t xml:space="preserve">Senza quest’intervento valutativo </w:t>
      </w:r>
      <w:r w:rsidRPr="007F7EBF">
        <w:rPr>
          <w:sz w:val="22"/>
          <w:szCs w:val="22"/>
        </w:rPr>
        <w:t xml:space="preserve">la </w:t>
      </w:r>
      <w:r>
        <w:rPr>
          <w:sz w:val="22"/>
          <w:szCs w:val="22"/>
        </w:rPr>
        <w:t xml:space="preserve">violenza verbale contro l’evasione </w:t>
      </w:r>
      <w:r w:rsidRPr="007F7EBF">
        <w:rPr>
          <w:sz w:val="22"/>
          <w:szCs w:val="22"/>
        </w:rPr>
        <w:t xml:space="preserve"> </w:t>
      </w:r>
      <w:r>
        <w:rPr>
          <w:sz w:val="22"/>
          <w:szCs w:val="22"/>
        </w:rPr>
        <w:t xml:space="preserve">è solo </w:t>
      </w:r>
      <w:r w:rsidRPr="007F7EBF">
        <w:rPr>
          <w:sz w:val="22"/>
          <w:szCs w:val="22"/>
        </w:rPr>
        <w:t>socialmente lacerante</w:t>
      </w:r>
      <w:r>
        <w:rPr>
          <w:sz w:val="22"/>
          <w:szCs w:val="22"/>
        </w:rPr>
        <w:t xml:space="preserve">, con </w:t>
      </w:r>
      <w:r w:rsidRPr="007F7EBF">
        <w:rPr>
          <w:sz w:val="22"/>
          <w:szCs w:val="22"/>
        </w:rPr>
        <w:t>le recriminazioni reciproche di cui al par.4.6</w:t>
      </w:r>
      <w:r>
        <w:rPr>
          <w:sz w:val="22"/>
          <w:szCs w:val="22"/>
        </w:rPr>
        <w:t>, ed anzi controproducente, in quanto imba</w:t>
      </w:r>
      <w:r w:rsidRPr="007F7EBF">
        <w:rPr>
          <w:sz w:val="22"/>
          <w:szCs w:val="22"/>
        </w:rPr>
        <w:t>razza la politica, drammatizza l'intervento</w:t>
      </w:r>
      <w:r>
        <w:rPr>
          <w:sz w:val="22"/>
          <w:szCs w:val="22"/>
        </w:rPr>
        <w:t xml:space="preserve"> valutativo</w:t>
      </w:r>
      <w:r w:rsidRPr="007F7EBF">
        <w:rPr>
          <w:sz w:val="22"/>
          <w:szCs w:val="22"/>
        </w:rPr>
        <w:t>, ne pregiudica la sistematicità (</w:t>
      </w:r>
      <w:r w:rsidRPr="007F7EBF">
        <w:rPr>
          <w:rStyle w:val="Rimandonotaapidipagina"/>
          <w:sz w:val="22"/>
          <w:szCs w:val="22"/>
        </w:rPr>
        <w:footnoteReference w:id="84"/>
      </w:r>
      <w:r w:rsidRPr="007F7EBF">
        <w:rPr>
          <w:sz w:val="22"/>
          <w:szCs w:val="22"/>
        </w:rPr>
        <w:t>) e paradossalmente incentiva corruzione ed evasione (</w:t>
      </w:r>
      <w:r w:rsidRPr="007F7EBF">
        <w:rPr>
          <w:rStyle w:val="Rimandonotaapidipagina"/>
          <w:sz w:val="22"/>
          <w:szCs w:val="22"/>
        </w:rPr>
        <w:footnoteReference w:id="85"/>
      </w:r>
      <w:r w:rsidRPr="007F7EBF">
        <w:rPr>
          <w:sz w:val="22"/>
          <w:szCs w:val="22"/>
        </w:rPr>
        <w:t>).</w:t>
      </w:r>
    </w:p>
    <w:p w14:paraId="0F358464" w14:textId="0E4D0A51" w:rsidR="008C2809" w:rsidRPr="007F7EBF" w:rsidRDefault="00A2552A" w:rsidP="00096D7C">
      <w:pPr>
        <w:autoSpaceDE w:val="0"/>
        <w:autoSpaceDN w:val="0"/>
        <w:adjustRightInd w:val="0"/>
        <w:rPr>
          <w:bCs/>
          <w:i/>
          <w:iCs/>
          <w:color w:val="0000FF"/>
          <w:sz w:val="22"/>
          <w:szCs w:val="22"/>
        </w:rPr>
      </w:pPr>
      <w:r w:rsidRPr="007F7EBF">
        <w:rPr>
          <w:sz w:val="22"/>
          <w:szCs w:val="22"/>
        </w:rPr>
        <w:t>E' un circolo vizioso contrastabile solo con una spiegazione sociale d'insieme dell</w:t>
      </w:r>
      <w:r w:rsidR="00F56331">
        <w:rPr>
          <w:sz w:val="22"/>
          <w:szCs w:val="22"/>
        </w:rPr>
        <w:t>a diversa determinabilità dei presupposti economici d’imposta</w:t>
      </w:r>
      <w:r w:rsidRPr="007F7EBF">
        <w:rPr>
          <w:sz w:val="22"/>
          <w:szCs w:val="22"/>
        </w:rPr>
        <w:t xml:space="preserve">, cui ci dedicheremo </w:t>
      </w:r>
      <w:r>
        <w:rPr>
          <w:sz w:val="22"/>
          <w:szCs w:val="22"/>
        </w:rPr>
        <w:t>a</w:t>
      </w:r>
      <w:r w:rsidRPr="007F7EBF">
        <w:rPr>
          <w:sz w:val="22"/>
          <w:szCs w:val="22"/>
        </w:rPr>
        <w:t xml:space="preserve">i prossimi paragrafi. </w:t>
      </w:r>
      <w:r w:rsidR="004955EF" w:rsidRPr="007F7EBF">
        <w:rPr>
          <w:sz w:val="22"/>
          <w:szCs w:val="22"/>
        </w:rPr>
        <w:t xml:space="preserve"> </w:t>
      </w:r>
    </w:p>
    <w:p w14:paraId="1324A4B5" w14:textId="2A710F50" w:rsidR="00477024" w:rsidRPr="007F7EBF" w:rsidRDefault="00B5096D" w:rsidP="001A09A8">
      <w:pPr>
        <w:pStyle w:val="Titolo3"/>
        <w:rPr>
          <w:bCs w:val="0"/>
          <w:i/>
          <w:iCs/>
          <w:color w:val="0000FF"/>
          <w:sz w:val="22"/>
          <w:szCs w:val="22"/>
        </w:rPr>
      </w:pPr>
      <w:bookmarkStart w:id="13" w:name="_Toc63364934"/>
      <w:r w:rsidRPr="007F7EBF">
        <w:rPr>
          <w:rFonts w:ascii="Times New Roman" w:hAnsi="Times New Roman"/>
          <w:sz w:val="22"/>
          <w:szCs w:val="22"/>
        </w:rPr>
        <w:t>1.</w:t>
      </w:r>
      <w:r w:rsidR="00575366" w:rsidRPr="007F7EBF">
        <w:rPr>
          <w:rFonts w:ascii="Times New Roman" w:hAnsi="Times New Roman"/>
          <w:sz w:val="22"/>
          <w:szCs w:val="22"/>
        </w:rPr>
        <w:t>8.</w:t>
      </w:r>
      <w:r w:rsidR="00A700A1">
        <w:rPr>
          <w:rFonts w:ascii="Times New Roman" w:hAnsi="Times New Roman"/>
          <w:sz w:val="22"/>
          <w:szCs w:val="22"/>
          <w:lang w:val="it-IT"/>
        </w:rPr>
        <w:t xml:space="preserve"> </w:t>
      </w:r>
      <w:r w:rsidR="00F14476">
        <w:rPr>
          <w:rFonts w:ascii="Times New Roman" w:hAnsi="Times New Roman"/>
          <w:sz w:val="22"/>
          <w:szCs w:val="22"/>
          <w:lang w:val="it-IT"/>
        </w:rPr>
        <w:t>I presupposti economici d’imposta, precisati dalla f</w:t>
      </w:r>
      <w:r w:rsidR="00857926">
        <w:rPr>
          <w:rFonts w:ascii="Times New Roman" w:hAnsi="Times New Roman"/>
          <w:sz w:val="22"/>
          <w:szCs w:val="22"/>
          <w:lang w:val="it-IT"/>
        </w:rPr>
        <w:t xml:space="preserve">unzione tributaria </w:t>
      </w:r>
      <w:r w:rsidR="00A700A1">
        <w:rPr>
          <w:rFonts w:ascii="Times New Roman" w:hAnsi="Times New Roman"/>
          <w:sz w:val="22"/>
          <w:szCs w:val="22"/>
          <w:lang w:val="it-IT"/>
        </w:rPr>
        <w:t>(</w:t>
      </w:r>
      <w:r w:rsidR="00F14476">
        <w:rPr>
          <w:rFonts w:ascii="Times New Roman" w:hAnsi="Times New Roman"/>
          <w:sz w:val="22"/>
          <w:szCs w:val="22"/>
          <w:lang w:val="it-IT"/>
        </w:rPr>
        <w:t>reddito</w:t>
      </w:r>
      <w:r w:rsidR="008860ED">
        <w:rPr>
          <w:rFonts w:ascii="Times New Roman" w:hAnsi="Times New Roman"/>
          <w:sz w:val="22"/>
          <w:szCs w:val="22"/>
          <w:lang w:val="it-IT"/>
        </w:rPr>
        <w:t xml:space="preserve"> e sue componenti, consumo, valore aggiunto, patrimonio</w:t>
      </w:r>
      <w:r w:rsidR="00A700A1">
        <w:rPr>
          <w:rFonts w:ascii="Times New Roman" w:hAnsi="Times New Roman"/>
          <w:sz w:val="22"/>
          <w:szCs w:val="22"/>
          <w:lang w:val="it-IT"/>
        </w:rPr>
        <w:t>)</w:t>
      </w:r>
      <w:bookmarkEnd w:id="13"/>
      <w:r w:rsidR="00857926">
        <w:rPr>
          <w:rFonts w:ascii="Times New Roman" w:hAnsi="Times New Roman"/>
          <w:sz w:val="22"/>
          <w:szCs w:val="22"/>
          <w:lang w:val="it-IT"/>
        </w:rPr>
        <w:t xml:space="preserve"> </w:t>
      </w:r>
    </w:p>
    <w:p w14:paraId="7FCF65F4" w14:textId="0242D7F7" w:rsidR="00792F42" w:rsidRPr="007F7EBF" w:rsidRDefault="00BF38ED" w:rsidP="00792F42">
      <w:pPr>
        <w:pStyle w:val="tit23"/>
        <w:ind w:left="6464" w:right="-1361" w:firstLine="0"/>
        <w:jc w:val="left"/>
        <w:rPr>
          <w:bCs/>
          <w:i/>
          <w:iCs/>
          <w:color w:val="0000FF"/>
          <w:lang w:val="it-IT"/>
        </w:rPr>
      </w:pPr>
      <w:r>
        <w:rPr>
          <w:bCs/>
          <w:i/>
          <w:iCs/>
          <w:color w:val="0000FF"/>
          <w:lang w:val="it-IT"/>
        </w:rPr>
        <w:t>Astrazioni economiche cui si riferiscono le imposte</w:t>
      </w:r>
    </w:p>
    <w:p w14:paraId="0B4F84D5" w14:textId="21CF2332" w:rsidR="00C43FD3" w:rsidRPr="007F7EBF" w:rsidRDefault="00A579C6" w:rsidP="004F2139">
      <w:pPr>
        <w:autoSpaceDE w:val="0"/>
        <w:autoSpaceDN w:val="0"/>
        <w:adjustRightInd w:val="0"/>
        <w:rPr>
          <w:bCs/>
          <w:i/>
          <w:iCs/>
          <w:color w:val="0000FF"/>
          <w:sz w:val="22"/>
          <w:szCs w:val="22"/>
        </w:rPr>
      </w:pPr>
      <w:r>
        <w:rPr>
          <w:sz w:val="22"/>
          <w:szCs w:val="22"/>
        </w:rPr>
        <w:lastRenderedPageBreak/>
        <w:t xml:space="preserve">Come indicato al par.1.2, </w:t>
      </w:r>
      <w:r w:rsidR="00BF38ED">
        <w:rPr>
          <w:sz w:val="22"/>
          <w:szCs w:val="22"/>
        </w:rPr>
        <w:t xml:space="preserve">il </w:t>
      </w:r>
      <w:r w:rsidR="00527284">
        <w:rPr>
          <w:sz w:val="22"/>
          <w:szCs w:val="22"/>
        </w:rPr>
        <w:t xml:space="preserve">“principio del </w:t>
      </w:r>
      <w:r w:rsidR="00BF38ED">
        <w:rPr>
          <w:sz w:val="22"/>
          <w:szCs w:val="22"/>
        </w:rPr>
        <w:t>sacrificio</w:t>
      </w:r>
      <w:r w:rsidR="00527284">
        <w:rPr>
          <w:sz w:val="22"/>
          <w:szCs w:val="22"/>
        </w:rPr>
        <w:t>”</w:t>
      </w:r>
      <w:r w:rsidR="00BF38ED">
        <w:rPr>
          <w:sz w:val="22"/>
          <w:szCs w:val="22"/>
        </w:rPr>
        <w:t xml:space="preserve">, </w:t>
      </w:r>
      <w:r w:rsidR="00527284">
        <w:rPr>
          <w:sz w:val="22"/>
          <w:szCs w:val="22"/>
        </w:rPr>
        <w:t>che giustifica le imposte, riguarda</w:t>
      </w:r>
      <w:r w:rsidR="00BF38ED">
        <w:rPr>
          <w:sz w:val="22"/>
          <w:szCs w:val="22"/>
        </w:rPr>
        <w:t xml:space="preserve"> </w:t>
      </w:r>
      <w:r w:rsidR="009F6543">
        <w:rPr>
          <w:sz w:val="22"/>
          <w:szCs w:val="22"/>
        </w:rPr>
        <w:t>astrazioni</w:t>
      </w:r>
      <w:r w:rsidR="00D13057">
        <w:rPr>
          <w:sz w:val="22"/>
          <w:szCs w:val="22"/>
        </w:rPr>
        <w:t xml:space="preserve"> </w:t>
      </w:r>
      <w:r w:rsidR="00CC3404">
        <w:rPr>
          <w:sz w:val="22"/>
          <w:szCs w:val="22"/>
        </w:rPr>
        <w:t>economic</w:t>
      </w:r>
      <w:r w:rsidR="009F6543">
        <w:rPr>
          <w:sz w:val="22"/>
          <w:szCs w:val="22"/>
        </w:rPr>
        <w:t>he</w:t>
      </w:r>
      <w:r w:rsidR="00D13057">
        <w:rPr>
          <w:sz w:val="22"/>
          <w:szCs w:val="22"/>
        </w:rPr>
        <w:t xml:space="preserve"> come reddito</w:t>
      </w:r>
      <w:r w:rsidR="004F2139">
        <w:rPr>
          <w:sz w:val="22"/>
          <w:szCs w:val="22"/>
        </w:rPr>
        <w:t>,</w:t>
      </w:r>
      <w:r w:rsidR="00D13057">
        <w:rPr>
          <w:sz w:val="22"/>
          <w:szCs w:val="22"/>
        </w:rPr>
        <w:t xml:space="preserve"> </w:t>
      </w:r>
      <w:r w:rsidR="00D13057" w:rsidRPr="007F7EBF">
        <w:rPr>
          <w:sz w:val="22"/>
          <w:szCs w:val="22"/>
        </w:rPr>
        <w:t>consumo</w:t>
      </w:r>
      <w:r w:rsidR="00D13057">
        <w:rPr>
          <w:sz w:val="22"/>
          <w:szCs w:val="22"/>
        </w:rPr>
        <w:t>, valore aggiunto e</w:t>
      </w:r>
      <w:r w:rsidR="00D13057" w:rsidRPr="007F7EBF">
        <w:rPr>
          <w:sz w:val="22"/>
          <w:szCs w:val="22"/>
        </w:rPr>
        <w:t xml:space="preserve"> patrimonio</w:t>
      </w:r>
      <w:r w:rsidR="00D13057">
        <w:rPr>
          <w:sz w:val="22"/>
          <w:szCs w:val="22"/>
        </w:rPr>
        <w:t xml:space="preserve"> (</w:t>
      </w:r>
      <w:r w:rsidR="00D13057">
        <w:rPr>
          <w:rStyle w:val="Rimandonotaapidipagina"/>
          <w:sz w:val="22"/>
          <w:szCs w:val="22"/>
        </w:rPr>
        <w:footnoteReference w:id="86"/>
      </w:r>
      <w:r w:rsidR="00D13057">
        <w:rPr>
          <w:sz w:val="22"/>
          <w:szCs w:val="22"/>
        </w:rPr>
        <w:t xml:space="preserve">). </w:t>
      </w:r>
      <w:r w:rsidR="00747D77">
        <w:rPr>
          <w:sz w:val="22"/>
          <w:szCs w:val="22"/>
        </w:rPr>
        <w:t>L’astrazione economica rappresentata da</w:t>
      </w:r>
      <w:r w:rsidR="004F2139">
        <w:rPr>
          <w:sz w:val="22"/>
          <w:szCs w:val="22"/>
        </w:rPr>
        <w:t xml:space="preserve">l reddito </w:t>
      </w:r>
      <w:r w:rsidR="00747D77">
        <w:rPr>
          <w:sz w:val="22"/>
          <w:szCs w:val="22"/>
        </w:rPr>
        <w:t xml:space="preserve">risulta dal confronto tra altre due </w:t>
      </w:r>
      <w:r w:rsidR="004F2139">
        <w:rPr>
          <w:sz w:val="22"/>
          <w:szCs w:val="22"/>
        </w:rPr>
        <w:t xml:space="preserve">astrazioni, come i ricavi e i costi, </w:t>
      </w:r>
      <w:r w:rsidR="00747D77">
        <w:rPr>
          <w:sz w:val="22"/>
          <w:szCs w:val="22"/>
        </w:rPr>
        <w:t xml:space="preserve">cioè le spese per l’esercizio di </w:t>
      </w:r>
      <w:r w:rsidR="004F2139">
        <w:rPr>
          <w:sz w:val="22"/>
          <w:szCs w:val="22"/>
        </w:rPr>
        <w:t>un’attività economica, divers</w:t>
      </w:r>
      <w:r w:rsidR="00747D77">
        <w:rPr>
          <w:sz w:val="22"/>
          <w:szCs w:val="22"/>
        </w:rPr>
        <w:t xml:space="preserve">e da quelle per </w:t>
      </w:r>
      <w:r w:rsidR="004F2139">
        <w:rPr>
          <w:sz w:val="22"/>
          <w:szCs w:val="22"/>
        </w:rPr>
        <w:t xml:space="preserve">consumi, come diremo tra poco. </w:t>
      </w:r>
    </w:p>
    <w:p w14:paraId="4BCD6A4C" w14:textId="45DDD237" w:rsidR="004F2139" w:rsidRPr="007F7EBF" w:rsidRDefault="00BE0040" w:rsidP="004F2139">
      <w:pPr>
        <w:autoSpaceDE w:val="0"/>
        <w:autoSpaceDN w:val="0"/>
        <w:adjustRightInd w:val="0"/>
        <w:rPr>
          <w:bCs/>
          <w:i/>
          <w:iCs/>
          <w:color w:val="0000FF"/>
          <w:sz w:val="22"/>
          <w:szCs w:val="22"/>
        </w:rPr>
      </w:pPr>
      <w:r>
        <w:rPr>
          <w:sz w:val="22"/>
          <w:szCs w:val="22"/>
        </w:rPr>
        <w:t>A q</w:t>
      </w:r>
      <w:r w:rsidR="00C43FD3">
        <w:rPr>
          <w:sz w:val="22"/>
          <w:szCs w:val="22"/>
        </w:rPr>
        <w:t>ueste astrazioni economiche</w:t>
      </w:r>
      <w:r w:rsidR="00BF38ED">
        <w:rPr>
          <w:sz w:val="22"/>
          <w:szCs w:val="22"/>
        </w:rPr>
        <w:t xml:space="preserve"> </w:t>
      </w:r>
      <w:r>
        <w:rPr>
          <w:sz w:val="22"/>
          <w:szCs w:val="22"/>
        </w:rPr>
        <w:t>si riferiscono tutt</w:t>
      </w:r>
      <w:r w:rsidR="00C43FD3">
        <w:rPr>
          <w:sz w:val="22"/>
          <w:szCs w:val="22"/>
        </w:rPr>
        <w:t>i i</w:t>
      </w:r>
      <w:r w:rsidR="0040290A" w:rsidRPr="007F7EBF">
        <w:rPr>
          <w:sz w:val="22"/>
          <w:szCs w:val="22"/>
        </w:rPr>
        <w:t xml:space="preserve"> vari regimi tributari </w:t>
      </w:r>
      <w:r w:rsidR="00BF38ED">
        <w:rPr>
          <w:sz w:val="22"/>
          <w:szCs w:val="22"/>
        </w:rPr>
        <w:t xml:space="preserve">concepibili, ed </w:t>
      </w:r>
      <w:r w:rsidR="00C43FD3">
        <w:rPr>
          <w:sz w:val="22"/>
          <w:szCs w:val="22"/>
        </w:rPr>
        <w:t xml:space="preserve">esaminati </w:t>
      </w:r>
      <w:r w:rsidR="00D16DC0">
        <w:rPr>
          <w:sz w:val="22"/>
          <w:szCs w:val="22"/>
        </w:rPr>
        <w:t>quando il</w:t>
      </w:r>
      <w:r w:rsidR="0040290A" w:rsidRPr="007F7EBF">
        <w:rPr>
          <w:sz w:val="22"/>
          <w:szCs w:val="22"/>
        </w:rPr>
        <w:t xml:space="preserve"> pubblico dibattito</w:t>
      </w:r>
      <w:r w:rsidR="00D16DC0">
        <w:rPr>
          <w:sz w:val="22"/>
          <w:szCs w:val="22"/>
        </w:rPr>
        <w:t xml:space="preserve"> parla di </w:t>
      </w:r>
      <w:r w:rsidR="00C43FD3">
        <w:rPr>
          <w:sz w:val="22"/>
          <w:szCs w:val="22"/>
        </w:rPr>
        <w:t>fiscalità</w:t>
      </w:r>
      <w:r w:rsidR="00D16DC0">
        <w:rPr>
          <w:sz w:val="22"/>
          <w:szCs w:val="22"/>
        </w:rPr>
        <w:t xml:space="preserve"> di vari settori economici, come </w:t>
      </w:r>
      <w:r w:rsidR="00C43FD3">
        <w:rPr>
          <w:sz w:val="22"/>
          <w:szCs w:val="22"/>
        </w:rPr>
        <w:t xml:space="preserve">l’agricoltura, </w:t>
      </w:r>
      <w:r w:rsidR="00D16DC0">
        <w:rPr>
          <w:sz w:val="22"/>
          <w:szCs w:val="22"/>
        </w:rPr>
        <w:t>i</w:t>
      </w:r>
      <w:r w:rsidR="00C43FD3">
        <w:rPr>
          <w:sz w:val="22"/>
          <w:szCs w:val="22"/>
        </w:rPr>
        <w:t xml:space="preserve">l turismo, i beni culturali, </w:t>
      </w:r>
      <w:r w:rsidR="00D16DC0">
        <w:rPr>
          <w:sz w:val="22"/>
          <w:szCs w:val="22"/>
        </w:rPr>
        <w:t xml:space="preserve">il </w:t>
      </w:r>
      <w:r w:rsidR="00C43FD3">
        <w:rPr>
          <w:sz w:val="22"/>
          <w:szCs w:val="22"/>
        </w:rPr>
        <w:t xml:space="preserve"> web, le professioni, </w:t>
      </w:r>
      <w:r w:rsidR="00D16DC0">
        <w:rPr>
          <w:sz w:val="22"/>
          <w:szCs w:val="22"/>
        </w:rPr>
        <w:t>i fabbricati, il lavoro,</w:t>
      </w:r>
      <w:r w:rsidR="00C43FD3">
        <w:rPr>
          <w:sz w:val="22"/>
          <w:szCs w:val="22"/>
        </w:rPr>
        <w:t xml:space="preserve"> etc.</w:t>
      </w:r>
      <w:r w:rsidR="00DE0274">
        <w:rPr>
          <w:sz w:val="22"/>
          <w:szCs w:val="22"/>
        </w:rPr>
        <w:t xml:space="preserve"> In </w:t>
      </w:r>
      <w:r w:rsidR="009F6543">
        <w:rPr>
          <w:sz w:val="22"/>
          <w:szCs w:val="22"/>
        </w:rPr>
        <w:t>tutti questi</w:t>
      </w:r>
      <w:r w:rsidR="00DE0274">
        <w:rPr>
          <w:sz w:val="22"/>
          <w:szCs w:val="22"/>
        </w:rPr>
        <w:t xml:space="preserve"> casi </w:t>
      </w:r>
      <w:r>
        <w:rPr>
          <w:sz w:val="22"/>
          <w:szCs w:val="22"/>
        </w:rPr>
        <w:t xml:space="preserve">ci si riferisce </w:t>
      </w:r>
      <w:r w:rsidR="00DE0274">
        <w:rPr>
          <w:sz w:val="22"/>
          <w:szCs w:val="22"/>
        </w:rPr>
        <w:t xml:space="preserve">infatti </w:t>
      </w:r>
      <w:r>
        <w:rPr>
          <w:sz w:val="22"/>
          <w:szCs w:val="22"/>
        </w:rPr>
        <w:t xml:space="preserve">alle </w:t>
      </w:r>
      <w:r w:rsidR="00BF38ED">
        <w:rPr>
          <w:sz w:val="22"/>
          <w:szCs w:val="22"/>
        </w:rPr>
        <w:t xml:space="preserve">suddette </w:t>
      </w:r>
      <w:r>
        <w:rPr>
          <w:sz w:val="22"/>
          <w:szCs w:val="22"/>
        </w:rPr>
        <w:t>astrazioni economiche (redditi, consumi etc.)</w:t>
      </w:r>
      <w:r w:rsidR="00DE0274">
        <w:rPr>
          <w:sz w:val="22"/>
          <w:szCs w:val="22"/>
        </w:rPr>
        <w:t xml:space="preserve"> </w:t>
      </w:r>
      <w:r w:rsidR="00747D77">
        <w:rPr>
          <w:sz w:val="22"/>
          <w:szCs w:val="22"/>
        </w:rPr>
        <w:t xml:space="preserve">riguardanti </w:t>
      </w:r>
      <w:r>
        <w:rPr>
          <w:sz w:val="22"/>
          <w:szCs w:val="22"/>
        </w:rPr>
        <w:t>tali settori</w:t>
      </w:r>
      <w:r w:rsidR="009E14AB" w:rsidRPr="007F7EBF">
        <w:rPr>
          <w:sz w:val="22"/>
          <w:szCs w:val="22"/>
        </w:rPr>
        <w:t xml:space="preserve">. </w:t>
      </w:r>
      <w:r w:rsidR="00792F42" w:rsidRPr="007F7EBF">
        <w:rPr>
          <w:sz w:val="22"/>
          <w:szCs w:val="22"/>
        </w:rPr>
        <w:t xml:space="preserve"> </w:t>
      </w:r>
    </w:p>
    <w:p w14:paraId="2273D208" w14:textId="195CFD78" w:rsidR="004F2139" w:rsidRPr="007F7EBF" w:rsidRDefault="00C67695" w:rsidP="004F2139">
      <w:pPr>
        <w:pStyle w:val="tit23"/>
        <w:ind w:left="6464" w:right="-1361" w:firstLine="0"/>
        <w:jc w:val="left"/>
        <w:rPr>
          <w:bCs/>
          <w:i/>
          <w:iCs/>
          <w:color w:val="0000FF"/>
          <w:lang w:val="it-IT"/>
        </w:rPr>
      </w:pPr>
      <w:r>
        <w:rPr>
          <w:bCs/>
          <w:i/>
          <w:iCs/>
          <w:color w:val="0000FF"/>
          <w:lang w:val="it-IT"/>
        </w:rPr>
        <w:t>Presupposti economici e</w:t>
      </w:r>
      <w:r w:rsidR="00747D77">
        <w:rPr>
          <w:bCs/>
          <w:i/>
          <w:iCs/>
          <w:color w:val="0000FF"/>
          <w:lang w:val="it-IT"/>
        </w:rPr>
        <w:t xml:space="preserve"> beni reali </w:t>
      </w:r>
    </w:p>
    <w:p w14:paraId="504D5060" w14:textId="367EF252" w:rsidR="004F2139" w:rsidRDefault="004F2139" w:rsidP="004F2139">
      <w:pPr>
        <w:autoSpaceDE w:val="0"/>
        <w:autoSpaceDN w:val="0"/>
        <w:adjustRightInd w:val="0"/>
        <w:rPr>
          <w:sz w:val="22"/>
          <w:szCs w:val="22"/>
        </w:rPr>
      </w:pPr>
      <w:r>
        <w:rPr>
          <w:sz w:val="22"/>
          <w:szCs w:val="22"/>
        </w:rPr>
        <w:t>Queste astrazioni sono</w:t>
      </w:r>
      <w:r w:rsidR="006C34B7">
        <w:rPr>
          <w:sz w:val="22"/>
          <w:szCs w:val="22"/>
        </w:rPr>
        <w:t xml:space="preserve"> state spesso</w:t>
      </w:r>
      <w:r>
        <w:rPr>
          <w:sz w:val="22"/>
          <w:szCs w:val="22"/>
        </w:rPr>
        <w:t xml:space="preserve"> individuate attraverso i beni o diritti concreti in cui si manifesta</w:t>
      </w:r>
      <w:r w:rsidR="006C34B7">
        <w:rPr>
          <w:sz w:val="22"/>
          <w:szCs w:val="22"/>
        </w:rPr>
        <w:t>va</w:t>
      </w:r>
      <w:r>
        <w:rPr>
          <w:sz w:val="22"/>
          <w:szCs w:val="22"/>
        </w:rPr>
        <w:t xml:space="preserve">no di </w:t>
      </w:r>
      <w:r w:rsidRPr="007F7EBF">
        <w:rPr>
          <w:sz w:val="22"/>
          <w:szCs w:val="22"/>
        </w:rPr>
        <w:t>volta in volta</w:t>
      </w:r>
      <w:r>
        <w:rPr>
          <w:sz w:val="22"/>
          <w:szCs w:val="22"/>
        </w:rPr>
        <w:t xml:space="preserve">, come </w:t>
      </w:r>
      <w:r w:rsidRPr="007F7EBF">
        <w:rPr>
          <w:sz w:val="22"/>
          <w:szCs w:val="22"/>
        </w:rPr>
        <w:t>le merci assoggettate a tributo sui consumi</w:t>
      </w:r>
      <w:r>
        <w:rPr>
          <w:sz w:val="22"/>
          <w:szCs w:val="22"/>
        </w:rPr>
        <w:t xml:space="preserve">, </w:t>
      </w:r>
      <w:r w:rsidR="006C34B7">
        <w:rPr>
          <w:sz w:val="22"/>
          <w:szCs w:val="22"/>
        </w:rPr>
        <w:t xml:space="preserve">le terre coltivate, le attività produttive, ma anche il tenore di vita (par.5.14), stimandone la redditività; oggi invece, con </w:t>
      </w:r>
      <w:r>
        <w:rPr>
          <w:sz w:val="22"/>
          <w:szCs w:val="22"/>
        </w:rPr>
        <w:t>il corrispettivo  a fronte di un ricavo (par.7.6)</w:t>
      </w:r>
      <w:r w:rsidR="009F6543">
        <w:rPr>
          <w:sz w:val="22"/>
          <w:szCs w:val="22"/>
        </w:rPr>
        <w:t xml:space="preserve"> o di un reddito,</w:t>
      </w:r>
      <w:r>
        <w:rPr>
          <w:sz w:val="22"/>
          <w:szCs w:val="22"/>
        </w:rPr>
        <w:t xml:space="preserve">.  </w:t>
      </w:r>
    </w:p>
    <w:p w14:paraId="556E6347" w14:textId="7E396F2C" w:rsidR="006729FA" w:rsidRPr="007F7EBF" w:rsidRDefault="004F2139" w:rsidP="006729FA">
      <w:pPr>
        <w:autoSpaceDE w:val="0"/>
        <w:autoSpaceDN w:val="0"/>
        <w:adjustRightInd w:val="0"/>
        <w:rPr>
          <w:bCs/>
          <w:i/>
          <w:iCs/>
          <w:color w:val="0000FF"/>
          <w:sz w:val="22"/>
          <w:szCs w:val="22"/>
        </w:rPr>
      </w:pPr>
      <w:r>
        <w:rPr>
          <w:sz w:val="22"/>
          <w:szCs w:val="22"/>
        </w:rPr>
        <w:t xml:space="preserve">Questa diversità </w:t>
      </w:r>
      <w:r w:rsidR="009F6543">
        <w:rPr>
          <w:sz w:val="22"/>
          <w:szCs w:val="22"/>
        </w:rPr>
        <w:t xml:space="preserve">tra le suddette astrazioni economiche ed i loro modi di manifestazione </w:t>
      </w:r>
      <w:r>
        <w:rPr>
          <w:sz w:val="22"/>
          <w:szCs w:val="22"/>
        </w:rPr>
        <w:t>si comprende riflettendo sull</w:t>
      </w:r>
      <w:r w:rsidRPr="007F7EBF">
        <w:rPr>
          <w:sz w:val="22"/>
          <w:szCs w:val="22"/>
        </w:rPr>
        <w:t xml:space="preserve">’impossibilità di essere derubati "del reddito", mentre si può essere derubati "del denaro" o di beni reali, nel qual caso </w:t>
      </w:r>
      <w:r>
        <w:rPr>
          <w:sz w:val="22"/>
          <w:szCs w:val="22"/>
        </w:rPr>
        <w:t xml:space="preserve">di riflesso </w:t>
      </w:r>
      <w:r w:rsidRPr="007F7EBF">
        <w:rPr>
          <w:sz w:val="22"/>
          <w:szCs w:val="22"/>
        </w:rPr>
        <w:t>viene meno il reddito</w:t>
      </w:r>
      <w:r>
        <w:rPr>
          <w:sz w:val="22"/>
          <w:szCs w:val="22"/>
        </w:rPr>
        <w:t>, appunto come astrazione economica (</w:t>
      </w:r>
      <w:r w:rsidRPr="007F7EBF">
        <w:rPr>
          <w:rStyle w:val="Rimandonotaapidipagina"/>
          <w:sz w:val="22"/>
          <w:szCs w:val="22"/>
        </w:rPr>
        <w:footnoteReference w:id="87"/>
      </w:r>
      <w:r>
        <w:rPr>
          <w:sz w:val="22"/>
          <w:szCs w:val="22"/>
        </w:rPr>
        <w:t>).</w:t>
      </w:r>
      <w:r w:rsidR="00747D77">
        <w:rPr>
          <w:sz w:val="22"/>
          <w:szCs w:val="22"/>
        </w:rPr>
        <w:t xml:space="preserve"> </w:t>
      </w:r>
      <w:r w:rsidR="00AC3708">
        <w:rPr>
          <w:sz w:val="22"/>
          <w:szCs w:val="22"/>
        </w:rPr>
        <w:t xml:space="preserve">Talvolta, invece dell’espressione </w:t>
      </w:r>
      <w:r w:rsidR="00AC3708">
        <w:rPr>
          <w:i/>
          <w:iCs/>
          <w:sz w:val="22"/>
          <w:szCs w:val="22"/>
        </w:rPr>
        <w:t xml:space="preserve">presupposti economici </w:t>
      </w:r>
      <w:r w:rsidR="00747D77">
        <w:rPr>
          <w:sz w:val="22"/>
          <w:szCs w:val="22"/>
        </w:rPr>
        <w:t xml:space="preserve"> </w:t>
      </w:r>
      <w:r w:rsidR="00AC3708" w:rsidRPr="00AC3708">
        <w:rPr>
          <w:i/>
          <w:iCs/>
          <w:sz w:val="22"/>
          <w:szCs w:val="22"/>
        </w:rPr>
        <w:t>d’imposta</w:t>
      </w:r>
      <w:r w:rsidR="00747D77">
        <w:rPr>
          <w:sz w:val="22"/>
          <w:szCs w:val="22"/>
        </w:rPr>
        <w:t xml:space="preserve"> </w:t>
      </w:r>
      <w:r w:rsidR="00AC3708">
        <w:rPr>
          <w:sz w:val="22"/>
          <w:szCs w:val="22"/>
        </w:rPr>
        <w:t xml:space="preserve">, si usa l’espressione </w:t>
      </w:r>
      <w:r w:rsidR="00747D77">
        <w:rPr>
          <w:sz w:val="22"/>
          <w:szCs w:val="22"/>
        </w:rPr>
        <w:t xml:space="preserve">“ricchezza”, </w:t>
      </w:r>
      <w:r w:rsidR="00AC3708">
        <w:rPr>
          <w:sz w:val="22"/>
          <w:szCs w:val="22"/>
        </w:rPr>
        <w:t xml:space="preserve">riferita ad aggregati di </w:t>
      </w:r>
      <w:r w:rsidR="00747D77">
        <w:rPr>
          <w:sz w:val="22"/>
          <w:szCs w:val="22"/>
        </w:rPr>
        <w:t xml:space="preserve">consumi o di redditi, </w:t>
      </w:r>
      <w:proofErr w:type="spellStart"/>
      <w:r w:rsidR="00747D77">
        <w:rPr>
          <w:sz w:val="22"/>
          <w:szCs w:val="22"/>
        </w:rPr>
        <w:t>ancorchè</w:t>
      </w:r>
      <w:proofErr w:type="spellEnd"/>
      <w:r w:rsidR="00747D77">
        <w:rPr>
          <w:sz w:val="22"/>
          <w:szCs w:val="22"/>
        </w:rPr>
        <w:t xml:space="preserve"> </w:t>
      </w:r>
      <w:r w:rsidR="00747D77" w:rsidRPr="007F7EBF">
        <w:rPr>
          <w:bCs/>
          <w:sz w:val="22"/>
          <w:szCs w:val="22"/>
        </w:rPr>
        <w:t>individualmente "miser</w:t>
      </w:r>
      <w:r w:rsidR="00747D77">
        <w:rPr>
          <w:bCs/>
          <w:sz w:val="22"/>
          <w:szCs w:val="22"/>
        </w:rPr>
        <w:t>i</w:t>
      </w:r>
      <w:r w:rsidR="00747D77" w:rsidRPr="007F7EBF">
        <w:rPr>
          <w:bCs/>
          <w:sz w:val="22"/>
          <w:szCs w:val="22"/>
        </w:rPr>
        <w:t xml:space="preserve">", come </w:t>
      </w:r>
      <w:r w:rsidR="00AC3708">
        <w:rPr>
          <w:bCs/>
          <w:sz w:val="22"/>
          <w:szCs w:val="22"/>
        </w:rPr>
        <w:t xml:space="preserve">piccoli </w:t>
      </w:r>
      <w:r w:rsidR="00747D77">
        <w:rPr>
          <w:bCs/>
          <w:sz w:val="22"/>
          <w:szCs w:val="22"/>
        </w:rPr>
        <w:t>acquisti di cibo</w:t>
      </w:r>
      <w:r w:rsidR="00747D77" w:rsidRPr="007F7EBF">
        <w:rPr>
          <w:bCs/>
          <w:sz w:val="22"/>
          <w:szCs w:val="22"/>
        </w:rPr>
        <w:t xml:space="preserve">, </w:t>
      </w:r>
      <w:r w:rsidR="00AC3708">
        <w:rPr>
          <w:bCs/>
          <w:sz w:val="22"/>
          <w:szCs w:val="22"/>
        </w:rPr>
        <w:t>anch’essi inevitabilmente</w:t>
      </w:r>
      <w:r w:rsidR="00747D77" w:rsidRPr="007F7EBF">
        <w:rPr>
          <w:bCs/>
          <w:sz w:val="22"/>
          <w:szCs w:val="22"/>
        </w:rPr>
        <w:t xml:space="preserve"> </w:t>
      </w:r>
      <w:r w:rsidR="00747D77" w:rsidRPr="007F7EBF">
        <w:rPr>
          <w:sz w:val="22"/>
          <w:szCs w:val="22"/>
        </w:rPr>
        <w:t>colpit</w:t>
      </w:r>
      <w:r w:rsidR="00747D77">
        <w:rPr>
          <w:sz w:val="22"/>
          <w:szCs w:val="22"/>
        </w:rPr>
        <w:t xml:space="preserve">i </w:t>
      </w:r>
      <w:r w:rsidR="00747D77" w:rsidRPr="007F7EBF">
        <w:rPr>
          <w:sz w:val="22"/>
          <w:szCs w:val="22"/>
        </w:rPr>
        <w:t>dall'IVA (par.7.2), o i modesti redditi di operai o artigiani</w:t>
      </w:r>
      <w:r w:rsidR="00747D77">
        <w:rPr>
          <w:sz w:val="22"/>
          <w:szCs w:val="22"/>
        </w:rPr>
        <w:t xml:space="preserve">. </w:t>
      </w:r>
    </w:p>
    <w:p w14:paraId="06E36D4B" w14:textId="77777777" w:rsidR="006729FA" w:rsidRPr="007F7EBF" w:rsidRDefault="006729FA" w:rsidP="006729FA">
      <w:pPr>
        <w:pStyle w:val="tit23"/>
        <w:ind w:left="6464" w:right="-1361" w:firstLine="0"/>
        <w:jc w:val="left"/>
        <w:rPr>
          <w:bCs/>
          <w:i/>
          <w:iCs/>
          <w:color w:val="0000FF"/>
          <w:lang w:val="it-IT"/>
        </w:rPr>
      </w:pPr>
      <w:r>
        <w:rPr>
          <w:bCs/>
          <w:i/>
          <w:iCs/>
          <w:color w:val="0000FF"/>
          <w:lang w:val="it-IT"/>
        </w:rPr>
        <w:t xml:space="preserve">Dalle astrazioni (presupposto) </w:t>
      </w:r>
      <w:r>
        <w:rPr>
          <w:bCs/>
          <w:i/>
          <w:iCs/>
          <w:color w:val="0000FF"/>
          <w:lang w:val="it-IT"/>
        </w:rPr>
        <w:lastRenderedPageBreak/>
        <w:t>alla base imponibile</w:t>
      </w:r>
    </w:p>
    <w:p w14:paraId="695D893C" w14:textId="4B846E20" w:rsidR="00A94071" w:rsidRPr="007F7EBF" w:rsidRDefault="002B7713" w:rsidP="00214C2B">
      <w:pPr>
        <w:autoSpaceDE w:val="0"/>
        <w:autoSpaceDN w:val="0"/>
        <w:adjustRightInd w:val="0"/>
      </w:pPr>
      <w:r>
        <w:t xml:space="preserve">I presupposti economici d’imposta </w:t>
      </w:r>
      <w:r w:rsidR="006729FA">
        <w:t>non hanno bisogno di definizioni legislative, in quanto già in massima parte identificat</w:t>
      </w:r>
      <w:r>
        <w:t>i</w:t>
      </w:r>
      <w:r w:rsidR="006729FA">
        <w:t xml:space="preserve"> dal senso</w:t>
      </w:r>
      <w:r w:rsidR="006729FA">
        <w:rPr>
          <w:sz w:val="20"/>
          <w:szCs w:val="20"/>
        </w:rPr>
        <w:t xml:space="preserve"> comune</w:t>
      </w:r>
      <w:r w:rsidR="00CB3580">
        <w:rPr>
          <w:sz w:val="20"/>
          <w:szCs w:val="20"/>
        </w:rPr>
        <w:t xml:space="preserve">; questi concetti </w:t>
      </w:r>
      <w:proofErr w:type="spellStart"/>
      <w:r w:rsidR="00CB3580">
        <w:rPr>
          <w:sz w:val="20"/>
          <w:szCs w:val="20"/>
        </w:rPr>
        <w:t>prelegislativi</w:t>
      </w:r>
      <w:proofErr w:type="spellEnd"/>
      <w:r w:rsidR="00CB3580">
        <w:rPr>
          <w:sz w:val="20"/>
          <w:szCs w:val="20"/>
        </w:rPr>
        <w:t xml:space="preserve">, non a caso per questo definiti presupposti d’imposta, vengono </w:t>
      </w:r>
      <w:r w:rsidR="006729FA">
        <w:rPr>
          <w:sz w:val="20"/>
          <w:szCs w:val="20"/>
        </w:rPr>
        <w:t xml:space="preserve">poi </w:t>
      </w:r>
      <w:r w:rsidR="00CB3580">
        <w:rPr>
          <w:sz w:val="20"/>
          <w:szCs w:val="20"/>
        </w:rPr>
        <w:t xml:space="preserve"> specificati in alcuni aspetti applicativi, </w:t>
      </w:r>
      <w:r w:rsidR="006729FA">
        <w:rPr>
          <w:sz w:val="20"/>
          <w:szCs w:val="20"/>
        </w:rPr>
        <w:t xml:space="preserve">come </w:t>
      </w:r>
      <w:r w:rsidR="00CB3580">
        <w:rPr>
          <w:sz w:val="20"/>
          <w:szCs w:val="20"/>
        </w:rPr>
        <w:t>criteri di determinazione</w:t>
      </w:r>
      <w:r w:rsidR="006729FA">
        <w:rPr>
          <w:sz w:val="20"/>
          <w:szCs w:val="20"/>
        </w:rPr>
        <w:t xml:space="preserve">, </w:t>
      </w:r>
      <w:r w:rsidR="00CB3580">
        <w:rPr>
          <w:sz w:val="20"/>
          <w:szCs w:val="20"/>
        </w:rPr>
        <w:t>momento impositivo</w:t>
      </w:r>
      <w:r w:rsidR="006729FA">
        <w:rPr>
          <w:sz w:val="20"/>
          <w:szCs w:val="20"/>
        </w:rPr>
        <w:t xml:space="preserve">, territorialità, coordinamento </w:t>
      </w:r>
      <w:r w:rsidR="00CB3580">
        <w:rPr>
          <w:sz w:val="20"/>
          <w:szCs w:val="20"/>
        </w:rPr>
        <w:t>tra vari livelli impositivi (ad es. soci-società par.7.17)</w:t>
      </w:r>
      <w:r w:rsidR="006729FA">
        <w:rPr>
          <w:sz w:val="20"/>
          <w:szCs w:val="20"/>
        </w:rPr>
        <w:t xml:space="preserve"> </w:t>
      </w:r>
      <w:r w:rsidR="00CB3580">
        <w:rPr>
          <w:sz w:val="20"/>
          <w:szCs w:val="20"/>
        </w:rPr>
        <w:t xml:space="preserve">dalla legislazione tributaria sostanziale, concetto spiegato al par.2.4. </w:t>
      </w:r>
      <w:r w:rsidR="006729FA">
        <w:rPr>
          <w:sz w:val="20"/>
          <w:szCs w:val="20"/>
        </w:rPr>
        <w:t>Q</w:t>
      </w:r>
      <w:r w:rsidR="006729FA">
        <w:t xml:space="preserve">ueste precisazioni legislative inevitabilmente considerano le informazioni sulla determinabilità </w:t>
      </w:r>
      <w:r w:rsidR="00CB3580">
        <w:t xml:space="preserve">concreta dei presupposti economici d’imposta, ovvero sulla loro </w:t>
      </w:r>
      <w:r w:rsidR="006729FA" w:rsidRPr="00CB3580">
        <w:rPr>
          <w:i/>
          <w:iCs/>
        </w:rPr>
        <w:t>visibilità</w:t>
      </w:r>
      <w:r w:rsidR="006729FA">
        <w:t xml:space="preserve"> </w:t>
      </w:r>
      <w:r w:rsidR="00CB3580">
        <w:rPr>
          <w:i/>
          <w:iCs/>
        </w:rPr>
        <w:t>tributaria</w:t>
      </w:r>
      <w:r w:rsidR="00CB3580">
        <w:t>, materiale</w:t>
      </w:r>
      <w:r w:rsidR="006729FA">
        <w:t xml:space="preserve"> </w:t>
      </w:r>
      <w:r w:rsidR="00CB3580">
        <w:t>e</w:t>
      </w:r>
      <w:r w:rsidR="006729FA">
        <w:t xml:space="preserve"> giuridico-documentale, anticipat</w:t>
      </w:r>
      <w:r w:rsidR="00CB3580">
        <w:t>a già</w:t>
      </w:r>
      <w:r w:rsidR="006729FA">
        <w:t xml:space="preserve"> al par.1.4 ss., e </w:t>
      </w:r>
      <w:r w:rsidR="00CB3580">
        <w:t xml:space="preserve">ripresa </w:t>
      </w:r>
      <w:r w:rsidR="006729FA">
        <w:t>al par.1.11</w:t>
      </w:r>
      <w:r w:rsidR="006729FA" w:rsidRPr="007F7EBF">
        <w:t xml:space="preserve">. </w:t>
      </w:r>
      <w:r w:rsidR="006729FA">
        <w:t xml:space="preserve">In relazione a queste informazioni il legislatore bilancia </w:t>
      </w:r>
      <w:r w:rsidR="006729FA" w:rsidRPr="007F7EBF">
        <w:rPr>
          <w:bCs/>
        </w:rPr>
        <w:t>precisione</w:t>
      </w:r>
      <w:r w:rsidR="006729FA">
        <w:rPr>
          <w:bCs/>
        </w:rPr>
        <w:t xml:space="preserve"> e </w:t>
      </w:r>
      <w:r w:rsidR="006729FA" w:rsidRPr="007F7EBF">
        <w:rPr>
          <w:bCs/>
        </w:rPr>
        <w:t xml:space="preserve">semplicità, </w:t>
      </w:r>
      <w:r w:rsidR="006729FA">
        <w:rPr>
          <w:bCs/>
        </w:rPr>
        <w:t xml:space="preserve">in funzione dell’efficienza, fondamentale in una funzione non giurisdizionale come quella tributaria (par.1.3); </w:t>
      </w:r>
      <w:r w:rsidR="006729FA" w:rsidRPr="007F7EBF">
        <w:rPr>
          <w:bCs/>
        </w:rPr>
        <w:t xml:space="preserve">la </w:t>
      </w:r>
      <w:r w:rsidR="006729FA">
        <w:rPr>
          <w:bCs/>
        </w:rPr>
        <w:t>precisione crea infatti complessità, ed impegna risorse amministrative, ma la semplicità può portare a risultati grossolani, poco equi. Bisogna quindi trovare di volta in volta un compromesso socialmente accettabile</w:t>
      </w:r>
      <w:r w:rsidR="006729FA">
        <w:t xml:space="preserve"> tra questi profili, anche in base</w:t>
      </w:r>
      <w:r w:rsidR="006729FA">
        <w:rPr>
          <w:bCs/>
        </w:rPr>
        <w:t xml:space="preserve"> </w:t>
      </w:r>
      <w:r w:rsidR="006729FA" w:rsidRPr="007F7EBF">
        <w:t>al numero di contribuenti coinvolti</w:t>
      </w:r>
      <w:r w:rsidR="006729FA">
        <w:t xml:space="preserve"> (</w:t>
      </w:r>
      <w:r w:rsidR="006729FA" w:rsidRPr="007F7EBF">
        <w:rPr>
          <w:rStyle w:val="Rimandonotaapidipagina"/>
        </w:rPr>
        <w:footnoteReference w:id="88"/>
      </w:r>
      <w:r w:rsidR="006729FA">
        <w:t>)</w:t>
      </w:r>
      <w:r w:rsidR="006729FA" w:rsidRPr="007F7EBF">
        <w:t>.</w:t>
      </w:r>
      <w:r w:rsidR="006729FA">
        <w:t xml:space="preserve"> In questo bilanciamento rilevano anche altri p</w:t>
      </w:r>
      <w:r w:rsidR="006729FA">
        <w:rPr>
          <w:bCs/>
        </w:rPr>
        <w:t>rincipi giuridici</w:t>
      </w:r>
      <w:r w:rsidR="006729FA">
        <w:t xml:space="preserve"> </w:t>
      </w:r>
      <w:r w:rsidR="006729FA" w:rsidRPr="007F7EBF">
        <w:t>(</w:t>
      </w:r>
      <w:r w:rsidR="006729FA" w:rsidRPr="007F7EBF">
        <w:rPr>
          <w:rStyle w:val="Rimandonotaapidipagina"/>
        </w:rPr>
        <w:footnoteReference w:id="89"/>
      </w:r>
      <w:r w:rsidR="006729FA" w:rsidRPr="007F7EBF">
        <w:t xml:space="preserve">), come </w:t>
      </w:r>
      <w:r w:rsidR="006729FA" w:rsidRPr="007F7EBF">
        <w:rPr>
          <w:bCs/>
        </w:rPr>
        <w:t>certezza</w:t>
      </w:r>
      <w:r w:rsidR="006729FA" w:rsidRPr="007F7EBF">
        <w:t xml:space="preserve"> e </w:t>
      </w:r>
      <w:r w:rsidR="006729FA" w:rsidRPr="007F7EBF">
        <w:rPr>
          <w:bCs/>
        </w:rPr>
        <w:t>stabilità</w:t>
      </w:r>
      <w:r w:rsidR="006729FA" w:rsidRPr="007F7EBF">
        <w:t xml:space="preserve"> dei rapporti, </w:t>
      </w:r>
      <w:r w:rsidR="006729FA" w:rsidRPr="007F7EBF">
        <w:rPr>
          <w:bCs/>
        </w:rPr>
        <w:t>prevedibilità dei comportamenti degli uffici</w:t>
      </w:r>
      <w:r w:rsidR="006729FA" w:rsidRPr="007F7EBF">
        <w:t>, possibilità dei privati di interloquire con essi</w:t>
      </w:r>
      <w:r w:rsidR="006729FA">
        <w:t xml:space="preserve"> (“contraddittorio”)</w:t>
      </w:r>
      <w:r w:rsidR="006729FA" w:rsidRPr="007F7EBF">
        <w:t xml:space="preserve">, tutela </w:t>
      </w:r>
      <w:r w:rsidR="006729FA">
        <w:t>dell’</w:t>
      </w:r>
      <w:r w:rsidR="006729FA" w:rsidRPr="007F7EBF">
        <w:t>affidamento e della buona fede</w:t>
      </w:r>
      <w:r w:rsidR="006729FA">
        <w:t>,</w:t>
      </w:r>
      <w:r w:rsidR="006729FA" w:rsidRPr="002B437C">
        <w:t xml:space="preserve"> </w:t>
      </w:r>
      <w:r w:rsidR="006729FA" w:rsidRPr="007F7EBF">
        <w:rPr>
          <w:bCs/>
        </w:rPr>
        <w:t>cautele</w:t>
      </w:r>
      <w:r w:rsidR="006729FA" w:rsidRPr="007F7EBF">
        <w:t xml:space="preserve"> contro </w:t>
      </w:r>
      <w:r w:rsidR="006729FA">
        <w:t xml:space="preserve">frodi e </w:t>
      </w:r>
      <w:r w:rsidR="006729FA" w:rsidRPr="007F7EBF">
        <w:t>stratagemmi</w:t>
      </w:r>
      <w:r w:rsidR="006729FA">
        <w:t xml:space="preserve"> evasivi; vedremo l’importanza di questi profili ai parr.3.9 ss., sull’interpretazione e l’elusione della normativa tributaria. </w:t>
      </w:r>
    </w:p>
    <w:p w14:paraId="40D2E3BA" w14:textId="2BE2C3E7" w:rsidR="00C43FD3" w:rsidRPr="007F7EBF" w:rsidRDefault="00C43FD3" w:rsidP="00C43FD3">
      <w:pPr>
        <w:pStyle w:val="tit23"/>
        <w:ind w:left="6464" w:right="-1361" w:firstLine="0"/>
        <w:jc w:val="left"/>
        <w:rPr>
          <w:bCs/>
          <w:i/>
          <w:iCs/>
          <w:color w:val="0000FF"/>
          <w:lang w:val="it-IT"/>
        </w:rPr>
      </w:pPr>
      <w:r>
        <w:rPr>
          <w:bCs/>
          <w:i/>
          <w:iCs/>
          <w:color w:val="0000FF"/>
          <w:lang w:val="it-IT"/>
        </w:rPr>
        <w:lastRenderedPageBreak/>
        <w:t>centralità del reddito</w:t>
      </w:r>
      <w:r w:rsidR="009E6C24">
        <w:rPr>
          <w:bCs/>
          <w:i/>
          <w:iCs/>
          <w:color w:val="0000FF"/>
          <w:lang w:val="it-IT"/>
        </w:rPr>
        <w:t xml:space="preserve"> e sua natura di scambio</w:t>
      </w:r>
    </w:p>
    <w:p w14:paraId="68CF02AE" w14:textId="48FF1927" w:rsidR="00E150A5" w:rsidRDefault="009E6C24" w:rsidP="00E150A5">
      <w:pPr>
        <w:autoSpaceDE w:val="0"/>
        <w:autoSpaceDN w:val="0"/>
        <w:adjustRightInd w:val="0"/>
        <w:rPr>
          <w:sz w:val="22"/>
          <w:szCs w:val="22"/>
        </w:rPr>
      </w:pPr>
      <w:r>
        <w:rPr>
          <w:sz w:val="22"/>
          <w:szCs w:val="22"/>
        </w:rPr>
        <w:t xml:space="preserve">In generale il </w:t>
      </w:r>
      <w:r w:rsidR="009C02D1">
        <w:rPr>
          <w:sz w:val="22"/>
          <w:szCs w:val="22"/>
        </w:rPr>
        <w:t xml:space="preserve">reddito </w:t>
      </w:r>
      <w:r w:rsidR="00F75512">
        <w:rPr>
          <w:sz w:val="22"/>
          <w:szCs w:val="22"/>
        </w:rPr>
        <w:t>emerge da scambi</w:t>
      </w:r>
      <w:r>
        <w:rPr>
          <w:sz w:val="22"/>
          <w:szCs w:val="22"/>
        </w:rPr>
        <w:t>,</w:t>
      </w:r>
      <w:r w:rsidR="00F75512">
        <w:rPr>
          <w:sz w:val="22"/>
          <w:szCs w:val="22"/>
        </w:rPr>
        <w:t xml:space="preserve"> dove una delle parti effettua </w:t>
      </w:r>
      <w:r w:rsidR="0055782F">
        <w:rPr>
          <w:sz w:val="22"/>
          <w:szCs w:val="22"/>
        </w:rPr>
        <w:t xml:space="preserve">una </w:t>
      </w:r>
      <w:r w:rsidR="006A4D62" w:rsidRPr="007F7EBF">
        <w:rPr>
          <w:sz w:val="22"/>
          <w:szCs w:val="22"/>
        </w:rPr>
        <w:t>"</w:t>
      </w:r>
      <w:r w:rsidR="005809E3" w:rsidRPr="007F7EBF">
        <w:rPr>
          <w:sz w:val="22"/>
          <w:szCs w:val="22"/>
        </w:rPr>
        <w:t>prestazione</w:t>
      </w:r>
      <w:r w:rsidR="002817BD" w:rsidRPr="007F7EBF">
        <w:rPr>
          <w:sz w:val="22"/>
          <w:szCs w:val="22"/>
        </w:rPr>
        <w:t>"</w:t>
      </w:r>
      <w:r w:rsidR="0055782F">
        <w:rPr>
          <w:sz w:val="22"/>
          <w:szCs w:val="22"/>
        </w:rPr>
        <w:t xml:space="preserve"> (</w:t>
      </w:r>
      <w:r w:rsidR="0055782F">
        <w:rPr>
          <w:rStyle w:val="Rimandonotaapidipagina"/>
          <w:sz w:val="22"/>
          <w:szCs w:val="22"/>
        </w:rPr>
        <w:footnoteReference w:id="90"/>
      </w:r>
      <w:r w:rsidR="0055782F">
        <w:rPr>
          <w:sz w:val="22"/>
          <w:szCs w:val="22"/>
        </w:rPr>
        <w:t>)</w:t>
      </w:r>
      <w:r w:rsidR="002817BD" w:rsidRPr="007F7EBF">
        <w:rPr>
          <w:sz w:val="22"/>
          <w:szCs w:val="22"/>
        </w:rPr>
        <w:t xml:space="preserve"> </w:t>
      </w:r>
      <w:r w:rsidR="00F75512">
        <w:rPr>
          <w:sz w:val="22"/>
          <w:szCs w:val="22"/>
        </w:rPr>
        <w:t xml:space="preserve">per </w:t>
      </w:r>
      <w:r w:rsidR="006A4D62" w:rsidRPr="007F7EBF">
        <w:rPr>
          <w:sz w:val="22"/>
          <w:szCs w:val="22"/>
        </w:rPr>
        <w:t>soddisfare bisogni</w:t>
      </w:r>
      <w:r w:rsidR="0055782F">
        <w:rPr>
          <w:sz w:val="22"/>
          <w:szCs w:val="22"/>
        </w:rPr>
        <w:t xml:space="preserve"> </w:t>
      </w:r>
      <w:r w:rsidR="00F75512">
        <w:rPr>
          <w:sz w:val="22"/>
          <w:szCs w:val="22"/>
        </w:rPr>
        <w:t xml:space="preserve">dell’altra, </w:t>
      </w:r>
      <w:r>
        <w:rPr>
          <w:sz w:val="22"/>
          <w:szCs w:val="22"/>
        </w:rPr>
        <w:t>a fronte di una controprestazione,</w:t>
      </w:r>
      <w:r w:rsidR="00F75512">
        <w:rPr>
          <w:sz w:val="22"/>
          <w:szCs w:val="22"/>
        </w:rPr>
        <w:t xml:space="preserve"> di solito </w:t>
      </w:r>
      <w:r w:rsidR="0055782F">
        <w:rPr>
          <w:sz w:val="22"/>
          <w:szCs w:val="22"/>
        </w:rPr>
        <w:t>in denaro (</w:t>
      </w:r>
      <w:r w:rsidR="00F75512">
        <w:rPr>
          <w:rStyle w:val="Rimandonotaapidipagina"/>
          <w:sz w:val="22"/>
          <w:szCs w:val="22"/>
        </w:rPr>
        <w:footnoteReference w:id="91"/>
      </w:r>
      <w:r w:rsidR="00963CA3">
        <w:rPr>
          <w:sz w:val="22"/>
          <w:szCs w:val="22"/>
        </w:rPr>
        <w:t>).</w:t>
      </w:r>
      <w:r w:rsidR="0055782F">
        <w:rPr>
          <w:sz w:val="22"/>
          <w:szCs w:val="22"/>
        </w:rPr>
        <w:t xml:space="preserve"> Per aversi un reddito, quindi</w:t>
      </w:r>
      <w:r w:rsidR="009C02D1">
        <w:rPr>
          <w:sz w:val="22"/>
          <w:szCs w:val="22"/>
        </w:rPr>
        <w:t>, non basta un’</w:t>
      </w:r>
      <w:r w:rsidR="001B3E0B" w:rsidRPr="007F7EBF">
        <w:rPr>
          <w:sz w:val="22"/>
          <w:szCs w:val="22"/>
        </w:rPr>
        <w:t>entrat</w:t>
      </w:r>
      <w:r w:rsidR="009C02D1">
        <w:rPr>
          <w:sz w:val="22"/>
          <w:szCs w:val="22"/>
        </w:rPr>
        <w:t xml:space="preserve">a, magari </w:t>
      </w:r>
      <w:r w:rsidR="001B3E0B" w:rsidRPr="007F7EBF">
        <w:rPr>
          <w:sz w:val="22"/>
          <w:szCs w:val="22"/>
        </w:rPr>
        <w:t>a titolo di</w:t>
      </w:r>
      <w:r w:rsidR="00CA0D94" w:rsidRPr="007F7EBF">
        <w:rPr>
          <w:sz w:val="22"/>
          <w:szCs w:val="22"/>
        </w:rPr>
        <w:t xml:space="preserve"> sussidio, donazione</w:t>
      </w:r>
      <w:r w:rsidR="001B3E0B" w:rsidRPr="007F7EBF">
        <w:rPr>
          <w:sz w:val="22"/>
          <w:szCs w:val="22"/>
        </w:rPr>
        <w:t>, furto o estorsione</w:t>
      </w:r>
      <w:r w:rsidR="00963CA3">
        <w:rPr>
          <w:sz w:val="22"/>
          <w:szCs w:val="22"/>
        </w:rPr>
        <w:t xml:space="preserve">, perché </w:t>
      </w:r>
      <w:r w:rsidR="009C02D1">
        <w:rPr>
          <w:sz w:val="22"/>
          <w:szCs w:val="22"/>
        </w:rPr>
        <w:t xml:space="preserve">manca </w:t>
      </w:r>
      <w:r w:rsidR="00963CA3">
        <w:rPr>
          <w:sz w:val="22"/>
          <w:szCs w:val="22"/>
        </w:rPr>
        <w:t xml:space="preserve">appunto una prestazione, come </w:t>
      </w:r>
      <w:r w:rsidR="00F75512">
        <w:rPr>
          <w:sz w:val="22"/>
          <w:szCs w:val="22"/>
        </w:rPr>
        <w:t xml:space="preserve">conferma </w:t>
      </w:r>
      <w:r w:rsidR="00963CA3">
        <w:rPr>
          <w:sz w:val="22"/>
          <w:szCs w:val="22"/>
        </w:rPr>
        <w:t>la natura oggettivamente non reddituale</w:t>
      </w:r>
      <w:r w:rsidR="00206A76" w:rsidRPr="007F7EBF">
        <w:rPr>
          <w:sz w:val="22"/>
          <w:szCs w:val="22"/>
        </w:rPr>
        <w:t xml:space="preserve"> di successioni e donazioni </w:t>
      </w:r>
      <w:r w:rsidR="00F75512">
        <w:rPr>
          <w:sz w:val="22"/>
          <w:szCs w:val="22"/>
        </w:rPr>
        <w:t xml:space="preserve">su cui par.10.5 </w:t>
      </w:r>
      <w:r w:rsidR="00CA0D94" w:rsidRPr="007F7EBF">
        <w:rPr>
          <w:rStyle w:val="Rimandonotaapidipagina"/>
          <w:sz w:val="22"/>
          <w:szCs w:val="22"/>
        </w:rPr>
        <w:footnoteReference w:id="92"/>
      </w:r>
      <w:r w:rsidR="00EC3D98">
        <w:rPr>
          <w:sz w:val="22"/>
          <w:szCs w:val="22"/>
        </w:rPr>
        <w:t xml:space="preserve">. Le </w:t>
      </w:r>
      <w:r w:rsidR="008C1DFD">
        <w:rPr>
          <w:sz w:val="22"/>
          <w:szCs w:val="22"/>
        </w:rPr>
        <w:t>tesi</w:t>
      </w:r>
      <w:r w:rsidR="00EC3D98">
        <w:rPr>
          <w:sz w:val="22"/>
          <w:szCs w:val="22"/>
        </w:rPr>
        <w:t xml:space="preserve"> di alcuni economisti secondo cui </w:t>
      </w:r>
      <w:r w:rsidR="008C1DFD">
        <w:rPr>
          <w:sz w:val="22"/>
          <w:szCs w:val="22"/>
        </w:rPr>
        <w:t>ogni entrata costituirebbe reddito</w:t>
      </w:r>
      <w:r w:rsidR="000509DF">
        <w:rPr>
          <w:sz w:val="22"/>
          <w:szCs w:val="22"/>
        </w:rPr>
        <w:t>, compreso il mancato rimborso dei prestiti ricevuti,</w:t>
      </w:r>
      <w:r w:rsidR="008C1DFD">
        <w:rPr>
          <w:sz w:val="22"/>
          <w:szCs w:val="22"/>
        </w:rPr>
        <w:t xml:space="preserve"> confermano in quale misura l’eccessiva astrazione dell’economia la conduce ad affermazioni talmente semplicistiche da apparire ingenue anche a un mero esame di senso comune. L</w:t>
      </w:r>
      <w:r w:rsidR="00F75512">
        <w:rPr>
          <w:sz w:val="22"/>
          <w:szCs w:val="22"/>
        </w:rPr>
        <w:t xml:space="preserve">a necessità di </w:t>
      </w:r>
      <w:r w:rsidR="008C1DFD">
        <w:rPr>
          <w:sz w:val="22"/>
          <w:szCs w:val="22"/>
        </w:rPr>
        <w:t>una</w:t>
      </w:r>
      <w:r w:rsidR="00F75512">
        <w:rPr>
          <w:sz w:val="22"/>
          <w:szCs w:val="22"/>
        </w:rPr>
        <w:t xml:space="preserve"> contropartita economica </w:t>
      </w:r>
      <w:r w:rsidR="008C1DFD">
        <w:rPr>
          <w:sz w:val="22"/>
          <w:szCs w:val="22"/>
        </w:rPr>
        <w:t xml:space="preserve">perché si abbia un reddito </w:t>
      </w:r>
      <w:r w:rsidR="00F75512">
        <w:rPr>
          <w:sz w:val="22"/>
          <w:szCs w:val="22"/>
        </w:rPr>
        <w:t>è confermata anche dall’</w:t>
      </w:r>
      <w:r w:rsidR="00F75512">
        <w:t xml:space="preserve">etimologia </w:t>
      </w:r>
      <w:r w:rsidR="00F75512" w:rsidRPr="007F7EBF">
        <w:t>latin</w:t>
      </w:r>
      <w:r w:rsidR="00F75512">
        <w:t>a della parola</w:t>
      </w:r>
      <w:r w:rsidR="00F75512" w:rsidRPr="007F7EBF">
        <w:t xml:space="preserve"> «</w:t>
      </w:r>
      <w:proofErr w:type="spellStart"/>
      <w:r w:rsidR="00F75512" w:rsidRPr="007F7EBF">
        <w:t>reditus</w:t>
      </w:r>
      <w:proofErr w:type="spellEnd"/>
      <w:r w:rsidR="00F75512" w:rsidRPr="007F7EBF">
        <w:t xml:space="preserve">» </w:t>
      </w:r>
      <w:r w:rsidR="00F75512">
        <w:t xml:space="preserve">che evoca lo scambio, </w:t>
      </w:r>
      <w:r w:rsidR="00184D8B">
        <w:t>assente quando si</w:t>
      </w:r>
      <w:r w:rsidR="00F75512">
        <w:t xml:space="preserve"> a</w:t>
      </w:r>
      <w:r w:rsidR="001B3E0B" w:rsidRPr="007F7EBF">
        <w:rPr>
          <w:sz w:val="22"/>
          <w:szCs w:val="22"/>
        </w:rPr>
        <w:t>cquis</w:t>
      </w:r>
      <w:r w:rsidR="00184D8B">
        <w:rPr>
          <w:sz w:val="22"/>
          <w:szCs w:val="22"/>
        </w:rPr>
        <w:t>isce</w:t>
      </w:r>
      <w:r w:rsidR="001B3E0B" w:rsidRPr="007F7EBF">
        <w:rPr>
          <w:sz w:val="22"/>
          <w:szCs w:val="22"/>
        </w:rPr>
        <w:t xml:space="preserve"> qualcosa</w:t>
      </w:r>
      <w:r w:rsidR="00CF24C4">
        <w:rPr>
          <w:sz w:val="22"/>
          <w:szCs w:val="22"/>
        </w:rPr>
        <w:t xml:space="preserve"> lasciat</w:t>
      </w:r>
      <w:r w:rsidR="009C02D1">
        <w:rPr>
          <w:sz w:val="22"/>
          <w:szCs w:val="22"/>
        </w:rPr>
        <w:t>o</w:t>
      </w:r>
      <w:r w:rsidR="00CF24C4">
        <w:rPr>
          <w:sz w:val="22"/>
          <w:szCs w:val="22"/>
        </w:rPr>
        <w:t xml:space="preserve"> da altri</w:t>
      </w:r>
      <w:r w:rsidR="00184D8B">
        <w:rPr>
          <w:sz w:val="22"/>
          <w:szCs w:val="22"/>
        </w:rPr>
        <w:t xml:space="preserve">, </w:t>
      </w:r>
      <w:r w:rsidR="009C02D1">
        <w:rPr>
          <w:sz w:val="22"/>
          <w:szCs w:val="22"/>
        </w:rPr>
        <w:t>in</w:t>
      </w:r>
      <w:r w:rsidR="00CF24C4">
        <w:rPr>
          <w:sz w:val="22"/>
          <w:szCs w:val="22"/>
        </w:rPr>
        <w:t xml:space="preserve"> eredità, liberalità </w:t>
      </w:r>
      <w:r w:rsidR="00F75512">
        <w:rPr>
          <w:sz w:val="22"/>
          <w:szCs w:val="22"/>
        </w:rPr>
        <w:t>etc.</w:t>
      </w:r>
      <w:r w:rsidR="00184D8B">
        <w:rPr>
          <w:sz w:val="22"/>
          <w:szCs w:val="22"/>
        </w:rPr>
        <w:t xml:space="preserve"> </w:t>
      </w:r>
      <w:r w:rsidR="00CF24C4" w:rsidRPr="007F7EBF">
        <w:rPr>
          <w:sz w:val="22"/>
          <w:szCs w:val="22"/>
        </w:rPr>
        <w:t>(</w:t>
      </w:r>
      <w:r w:rsidR="00CF24C4" w:rsidRPr="007F7EBF">
        <w:rPr>
          <w:rStyle w:val="Rimandonotaapidipagina"/>
          <w:sz w:val="22"/>
          <w:szCs w:val="22"/>
        </w:rPr>
        <w:footnoteReference w:id="93"/>
      </w:r>
      <w:r w:rsidR="00CF24C4" w:rsidRPr="007F7EBF">
        <w:rPr>
          <w:sz w:val="22"/>
          <w:szCs w:val="22"/>
        </w:rPr>
        <w:t>).</w:t>
      </w:r>
      <w:r w:rsidR="005C04D4" w:rsidRPr="005C04D4">
        <w:rPr>
          <w:bCs/>
          <w:i/>
          <w:iCs/>
          <w:color w:val="0000FF"/>
          <w:sz w:val="22"/>
          <w:szCs w:val="22"/>
        </w:rPr>
        <w:t xml:space="preserve"> </w:t>
      </w:r>
      <w:r w:rsidR="00D80BF3">
        <w:rPr>
          <w:bCs/>
          <w:i/>
          <w:iCs/>
          <w:color w:val="0000FF"/>
          <w:sz w:val="22"/>
          <w:szCs w:val="22"/>
        </w:rPr>
        <w:t xml:space="preserve"> </w:t>
      </w:r>
      <w:r w:rsidR="000509DF">
        <w:rPr>
          <w:sz w:val="22"/>
          <w:szCs w:val="22"/>
        </w:rPr>
        <w:t>Una prestazione, e quindi un reddito, c’è invece per atti dispositivi occasionali, come i redditi da acquisto e rivendita di un bene (c.d. plusvalenze, o minusvalenze ove il</w:t>
      </w:r>
      <w:r w:rsidR="000509DF">
        <w:t xml:space="preserve"> prezzo di rivendita sia minore del precedente prezzo di acquisto</w:t>
      </w:r>
      <w:r w:rsidR="000509DF">
        <w:rPr>
          <w:sz w:val="22"/>
          <w:szCs w:val="22"/>
        </w:rPr>
        <w:t xml:space="preserve"> </w:t>
      </w:r>
      <w:r w:rsidR="000509DF" w:rsidRPr="007F7EBF">
        <w:rPr>
          <w:rStyle w:val="Rimandonotaapidipagina"/>
          <w:sz w:val="22"/>
          <w:szCs w:val="22"/>
        </w:rPr>
        <w:footnoteReference w:id="94"/>
      </w:r>
      <w:r w:rsidR="000509DF">
        <w:rPr>
          <w:sz w:val="22"/>
          <w:szCs w:val="22"/>
        </w:rPr>
        <w:t xml:space="preserve">. Lo stesso per indennizzi e risarcimenti sostitutivi di redditi potenziali, ove </w:t>
      </w:r>
      <w:r w:rsidR="005C3DAC">
        <w:rPr>
          <w:sz w:val="22"/>
          <w:szCs w:val="22"/>
        </w:rPr>
        <w:t>la prestazione esiste comunque in senso oggettivo</w:t>
      </w:r>
      <w:r w:rsidR="000509DF">
        <w:rPr>
          <w:sz w:val="22"/>
          <w:szCs w:val="22"/>
        </w:rPr>
        <w:t>. I</w:t>
      </w:r>
      <w:r w:rsidR="005C3DAC">
        <w:rPr>
          <w:sz w:val="22"/>
          <w:szCs w:val="22"/>
        </w:rPr>
        <w:t>n quest</w:t>
      </w:r>
      <w:r w:rsidR="004C659A">
        <w:rPr>
          <w:sz w:val="22"/>
          <w:szCs w:val="22"/>
        </w:rPr>
        <w:t>i</w:t>
      </w:r>
      <w:r w:rsidR="005C3DAC">
        <w:rPr>
          <w:sz w:val="22"/>
          <w:szCs w:val="22"/>
        </w:rPr>
        <w:t xml:space="preserve"> </w:t>
      </w:r>
      <w:r w:rsidR="004C659A">
        <w:rPr>
          <w:sz w:val="22"/>
          <w:szCs w:val="22"/>
        </w:rPr>
        <w:t>limiti</w:t>
      </w:r>
      <w:r w:rsidR="005C3DAC">
        <w:rPr>
          <w:sz w:val="22"/>
          <w:szCs w:val="22"/>
        </w:rPr>
        <w:t xml:space="preserve">, </w:t>
      </w:r>
      <w:r w:rsidR="000509DF">
        <w:rPr>
          <w:sz w:val="22"/>
          <w:szCs w:val="22"/>
        </w:rPr>
        <w:t xml:space="preserve">senza </w:t>
      </w:r>
      <w:r w:rsidR="004C659A">
        <w:rPr>
          <w:sz w:val="22"/>
          <w:szCs w:val="22"/>
        </w:rPr>
        <w:t xml:space="preserve">l’assurda considerazione come reddito </w:t>
      </w:r>
      <w:r w:rsidR="000509DF">
        <w:rPr>
          <w:sz w:val="22"/>
          <w:szCs w:val="22"/>
        </w:rPr>
        <w:t>di liberalità, furti e prestiti non rimborsati</w:t>
      </w:r>
      <w:r w:rsidR="004C659A">
        <w:rPr>
          <w:sz w:val="22"/>
          <w:szCs w:val="22"/>
        </w:rPr>
        <w:t xml:space="preserve">, convergono le </w:t>
      </w:r>
      <w:r w:rsidR="005C3DAC">
        <w:rPr>
          <w:sz w:val="22"/>
          <w:szCs w:val="22"/>
        </w:rPr>
        <w:t>teori</w:t>
      </w:r>
      <w:r w:rsidR="004C659A">
        <w:rPr>
          <w:sz w:val="22"/>
          <w:szCs w:val="22"/>
        </w:rPr>
        <w:t xml:space="preserve">e </w:t>
      </w:r>
      <w:r w:rsidR="005C3DAC">
        <w:rPr>
          <w:sz w:val="22"/>
          <w:szCs w:val="22"/>
        </w:rPr>
        <w:t>del reddito come entrata</w:t>
      </w:r>
      <w:r w:rsidR="000509DF">
        <w:rPr>
          <w:sz w:val="22"/>
          <w:szCs w:val="22"/>
        </w:rPr>
        <w:t xml:space="preserve"> </w:t>
      </w:r>
      <w:r w:rsidR="004C659A">
        <w:rPr>
          <w:sz w:val="22"/>
          <w:szCs w:val="22"/>
        </w:rPr>
        <w:t>e come prodotto</w:t>
      </w:r>
      <w:r w:rsidR="005B6EC3">
        <w:rPr>
          <w:sz w:val="22"/>
          <w:szCs w:val="22"/>
        </w:rPr>
        <w:t xml:space="preserve">. Sul </w:t>
      </w:r>
      <w:r w:rsidR="005B6EC3">
        <w:rPr>
          <w:sz w:val="22"/>
          <w:szCs w:val="22"/>
        </w:rPr>
        <w:lastRenderedPageBreak/>
        <w:t xml:space="preserve">piano macroeconomico tutti i presupposti economici d’imposta </w:t>
      </w:r>
      <w:r w:rsidR="005B6EC3">
        <w:rPr>
          <w:bCs/>
          <w:sz w:val="22"/>
          <w:szCs w:val="22"/>
        </w:rPr>
        <w:t xml:space="preserve">derivano </w:t>
      </w:r>
      <w:r w:rsidR="00214C2B" w:rsidRPr="007F7EBF">
        <w:rPr>
          <w:bCs/>
          <w:sz w:val="22"/>
          <w:szCs w:val="22"/>
        </w:rPr>
        <w:t>in ultima analisi da redditi</w:t>
      </w:r>
      <w:r w:rsidR="005B6EC3">
        <w:rPr>
          <w:bCs/>
          <w:sz w:val="22"/>
          <w:szCs w:val="22"/>
        </w:rPr>
        <w:t xml:space="preserve">, che </w:t>
      </w:r>
      <w:r w:rsidR="00214C2B">
        <w:rPr>
          <w:bCs/>
          <w:sz w:val="22"/>
          <w:szCs w:val="22"/>
        </w:rPr>
        <w:t>consent</w:t>
      </w:r>
      <w:r w:rsidR="00EF6E01">
        <w:rPr>
          <w:bCs/>
          <w:sz w:val="22"/>
          <w:szCs w:val="22"/>
        </w:rPr>
        <w:t>ono</w:t>
      </w:r>
      <w:r w:rsidR="00214C2B">
        <w:rPr>
          <w:bCs/>
          <w:sz w:val="22"/>
          <w:szCs w:val="22"/>
        </w:rPr>
        <w:t xml:space="preserve"> il consumo e alimenta</w:t>
      </w:r>
      <w:r w:rsidR="00EF6E01">
        <w:rPr>
          <w:bCs/>
          <w:sz w:val="22"/>
          <w:szCs w:val="22"/>
        </w:rPr>
        <w:t>no</w:t>
      </w:r>
      <w:r w:rsidR="00214C2B">
        <w:rPr>
          <w:bCs/>
          <w:sz w:val="22"/>
          <w:szCs w:val="22"/>
        </w:rPr>
        <w:t xml:space="preserve"> il patrimonio  </w:t>
      </w:r>
      <w:r w:rsidR="00214C2B">
        <w:rPr>
          <w:sz w:val="22"/>
          <w:szCs w:val="22"/>
        </w:rPr>
        <w:t>(</w:t>
      </w:r>
      <w:r w:rsidR="005B6EC3">
        <w:rPr>
          <w:sz w:val="22"/>
          <w:szCs w:val="22"/>
        </w:rPr>
        <w:t>Economia pubblica, citato in premessa par.7.4</w:t>
      </w:r>
      <w:r w:rsidR="00214C2B">
        <w:rPr>
          <w:sz w:val="22"/>
          <w:szCs w:val="22"/>
        </w:rPr>
        <w:t>)</w:t>
      </w:r>
      <w:r w:rsidR="005B6EC3">
        <w:rPr>
          <w:bCs/>
          <w:sz w:val="22"/>
          <w:szCs w:val="22"/>
        </w:rPr>
        <w:t>;</w:t>
      </w:r>
      <w:r w:rsidR="00214C2B">
        <w:rPr>
          <w:bCs/>
          <w:sz w:val="22"/>
          <w:szCs w:val="22"/>
        </w:rPr>
        <w:t xml:space="preserve"> anche le imposte sui consumi o sul patrimonio, </w:t>
      </w:r>
      <w:proofErr w:type="spellStart"/>
      <w:r w:rsidR="00214C2B">
        <w:rPr>
          <w:bCs/>
          <w:sz w:val="22"/>
          <w:szCs w:val="22"/>
        </w:rPr>
        <w:t>benchè</w:t>
      </w:r>
      <w:proofErr w:type="spellEnd"/>
      <w:r w:rsidR="00214C2B">
        <w:rPr>
          <w:bCs/>
          <w:sz w:val="22"/>
          <w:szCs w:val="22"/>
        </w:rPr>
        <w:t xml:space="preserve"> non siano “sui redditi”, si pagano “con </w:t>
      </w:r>
      <w:r w:rsidR="00214C2B" w:rsidRPr="007F7EBF">
        <w:rPr>
          <w:bCs/>
          <w:sz w:val="22"/>
          <w:szCs w:val="22"/>
        </w:rPr>
        <w:t>redditi</w:t>
      </w:r>
      <w:r w:rsidR="00214C2B">
        <w:rPr>
          <w:bCs/>
          <w:sz w:val="22"/>
          <w:szCs w:val="22"/>
        </w:rPr>
        <w:t>”</w:t>
      </w:r>
      <w:r w:rsidR="00214C2B">
        <w:rPr>
          <w:sz w:val="22"/>
          <w:szCs w:val="22"/>
        </w:rPr>
        <w:t>, chiunque sia stato a produrli.</w:t>
      </w:r>
      <w:r w:rsidR="00E150A5" w:rsidRPr="00E150A5">
        <w:rPr>
          <w:sz w:val="22"/>
          <w:szCs w:val="22"/>
        </w:rPr>
        <w:t xml:space="preserve"> </w:t>
      </w:r>
    </w:p>
    <w:p w14:paraId="68A6C0AC" w14:textId="77777777" w:rsidR="00E150A5" w:rsidRPr="007F7EBF" w:rsidRDefault="00E150A5" w:rsidP="00E150A5">
      <w:pPr>
        <w:pStyle w:val="tit23"/>
        <w:ind w:left="6464" w:right="-1361" w:firstLine="0"/>
        <w:jc w:val="left"/>
        <w:rPr>
          <w:bCs/>
          <w:i/>
          <w:iCs/>
          <w:color w:val="0000FF"/>
          <w:lang w:val="it-IT"/>
        </w:rPr>
      </w:pPr>
      <w:r>
        <w:rPr>
          <w:bCs/>
          <w:i/>
          <w:iCs/>
          <w:color w:val="0000FF"/>
          <w:lang w:val="it-IT"/>
        </w:rPr>
        <w:t xml:space="preserve">Differenza tra </w:t>
      </w:r>
      <w:r w:rsidRPr="007F7EBF">
        <w:rPr>
          <w:bCs/>
          <w:i/>
          <w:iCs/>
          <w:color w:val="0000FF"/>
          <w:lang w:val="it-IT"/>
        </w:rPr>
        <w:t>consumo</w:t>
      </w:r>
      <w:r>
        <w:rPr>
          <w:bCs/>
          <w:i/>
          <w:iCs/>
          <w:color w:val="0000FF"/>
          <w:lang w:val="it-IT"/>
        </w:rPr>
        <w:t xml:space="preserve"> e </w:t>
      </w:r>
    </w:p>
    <w:p w14:paraId="603A832A" w14:textId="77777777" w:rsidR="00E150A5" w:rsidRPr="007F7EBF" w:rsidRDefault="00E150A5" w:rsidP="00E150A5">
      <w:pPr>
        <w:pStyle w:val="tit23"/>
        <w:ind w:left="6464" w:right="-1361" w:firstLine="0"/>
        <w:jc w:val="left"/>
        <w:rPr>
          <w:bCs/>
          <w:i/>
          <w:iCs/>
          <w:color w:val="0000FF"/>
          <w:lang w:val="it-IT"/>
        </w:rPr>
      </w:pPr>
      <w:r w:rsidRPr="007F7EBF">
        <w:rPr>
          <w:bCs/>
          <w:i/>
          <w:iCs/>
          <w:color w:val="0000FF"/>
          <w:lang w:val="it-IT"/>
        </w:rPr>
        <w:t xml:space="preserve">costo </w:t>
      </w:r>
      <w:r>
        <w:rPr>
          <w:bCs/>
          <w:i/>
          <w:iCs/>
          <w:color w:val="0000FF"/>
          <w:lang w:val="it-IT"/>
        </w:rPr>
        <w:t>come astrazioni economiche</w:t>
      </w:r>
    </w:p>
    <w:p w14:paraId="51DCDDB2" w14:textId="51B24E23" w:rsidR="00EF6E01" w:rsidRDefault="005B6EC3" w:rsidP="00E150A5">
      <w:pPr>
        <w:autoSpaceDE w:val="0"/>
        <w:autoSpaceDN w:val="0"/>
        <w:adjustRightInd w:val="0"/>
        <w:rPr>
          <w:sz w:val="22"/>
          <w:szCs w:val="22"/>
        </w:rPr>
      </w:pPr>
      <w:r>
        <w:rPr>
          <w:sz w:val="22"/>
          <w:szCs w:val="22"/>
        </w:rPr>
        <w:t xml:space="preserve">Una maggiore portata pratico-sistematica hanno i </w:t>
      </w:r>
      <w:r w:rsidR="00FE31F1">
        <w:rPr>
          <w:sz w:val="22"/>
          <w:szCs w:val="22"/>
        </w:rPr>
        <w:t xml:space="preserve">ricavi </w:t>
      </w:r>
      <w:r w:rsidR="00E150A5">
        <w:rPr>
          <w:sz w:val="22"/>
          <w:szCs w:val="22"/>
        </w:rPr>
        <w:t xml:space="preserve">verso </w:t>
      </w:r>
      <w:r>
        <w:rPr>
          <w:sz w:val="22"/>
          <w:szCs w:val="22"/>
        </w:rPr>
        <w:t>consumatori</w:t>
      </w:r>
      <w:r w:rsidR="00EF6E01">
        <w:rPr>
          <w:sz w:val="22"/>
          <w:szCs w:val="22"/>
        </w:rPr>
        <w:t xml:space="preserve">, </w:t>
      </w:r>
      <w:r w:rsidR="00E150A5">
        <w:rPr>
          <w:sz w:val="22"/>
          <w:szCs w:val="22"/>
        </w:rPr>
        <w:t xml:space="preserve">famiglie </w:t>
      </w:r>
      <w:r>
        <w:rPr>
          <w:sz w:val="22"/>
          <w:szCs w:val="22"/>
        </w:rPr>
        <w:t>ed</w:t>
      </w:r>
      <w:r w:rsidR="00E150A5">
        <w:rPr>
          <w:sz w:val="22"/>
          <w:szCs w:val="22"/>
        </w:rPr>
        <w:t xml:space="preserve"> enti pubblici</w:t>
      </w:r>
      <w:r>
        <w:rPr>
          <w:sz w:val="22"/>
          <w:szCs w:val="22"/>
        </w:rPr>
        <w:t>, che ne</w:t>
      </w:r>
      <w:r w:rsidR="00EF6E01">
        <w:rPr>
          <w:sz w:val="22"/>
          <w:szCs w:val="22"/>
        </w:rPr>
        <w:t xml:space="preserve"> rappresentano anche consumi; </w:t>
      </w:r>
      <w:r w:rsidR="00E150A5">
        <w:rPr>
          <w:sz w:val="22"/>
          <w:szCs w:val="22"/>
        </w:rPr>
        <w:t xml:space="preserve">si tratta delle </w:t>
      </w:r>
      <w:r w:rsidR="00EF6E01">
        <w:rPr>
          <w:sz w:val="22"/>
          <w:szCs w:val="22"/>
        </w:rPr>
        <w:t xml:space="preserve">c.d. </w:t>
      </w:r>
      <w:r w:rsidR="00E150A5">
        <w:rPr>
          <w:sz w:val="22"/>
          <w:szCs w:val="22"/>
        </w:rPr>
        <w:t xml:space="preserve">operazioni ”business to consumer” abbreviate in </w:t>
      </w:r>
      <w:r w:rsidR="00E150A5" w:rsidRPr="00D6615B">
        <w:rPr>
          <w:i/>
          <w:sz w:val="22"/>
          <w:szCs w:val="22"/>
        </w:rPr>
        <w:t>b2c</w:t>
      </w:r>
      <w:r w:rsidR="00E150A5">
        <w:rPr>
          <w:sz w:val="22"/>
          <w:szCs w:val="22"/>
        </w:rPr>
        <w:t xml:space="preserve"> </w:t>
      </w:r>
      <w:r>
        <w:rPr>
          <w:sz w:val="22"/>
          <w:szCs w:val="22"/>
        </w:rPr>
        <w:t xml:space="preserve">, distinte da quelle verso </w:t>
      </w:r>
      <w:r w:rsidR="00E150A5">
        <w:rPr>
          <w:sz w:val="22"/>
          <w:szCs w:val="22"/>
        </w:rPr>
        <w:t>altri operatori economici</w:t>
      </w:r>
      <w:r>
        <w:rPr>
          <w:sz w:val="22"/>
          <w:szCs w:val="22"/>
        </w:rPr>
        <w:t xml:space="preserve">, denominate </w:t>
      </w:r>
      <w:r w:rsidR="00E150A5">
        <w:rPr>
          <w:sz w:val="22"/>
          <w:szCs w:val="22"/>
        </w:rPr>
        <w:t>“business to business” (b2b)</w:t>
      </w:r>
      <w:r>
        <w:rPr>
          <w:sz w:val="22"/>
          <w:szCs w:val="22"/>
        </w:rPr>
        <w:t xml:space="preserve">; ad esse non </w:t>
      </w:r>
      <w:r w:rsidR="00FE31F1">
        <w:rPr>
          <w:sz w:val="22"/>
          <w:szCs w:val="22"/>
        </w:rPr>
        <w:t xml:space="preserve">corrisponde un </w:t>
      </w:r>
      <w:r>
        <w:rPr>
          <w:sz w:val="22"/>
          <w:szCs w:val="22"/>
        </w:rPr>
        <w:t xml:space="preserve">consumo, ma un </w:t>
      </w:r>
      <w:r w:rsidR="00E150A5">
        <w:rPr>
          <w:sz w:val="22"/>
          <w:szCs w:val="22"/>
        </w:rPr>
        <w:t>cost</w:t>
      </w:r>
      <w:r w:rsidR="00FE31F1">
        <w:rPr>
          <w:sz w:val="22"/>
          <w:szCs w:val="22"/>
        </w:rPr>
        <w:t>o</w:t>
      </w:r>
      <w:r w:rsidR="0057329C">
        <w:rPr>
          <w:sz w:val="22"/>
          <w:szCs w:val="22"/>
        </w:rPr>
        <w:t>, in linea di principio deducibil</w:t>
      </w:r>
      <w:r w:rsidR="00FE31F1">
        <w:rPr>
          <w:sz w:val="22"/>
          <w:szCs w:val="22"/>
        </w:rPr>
        <w:t>e</w:t>
      </w:r>
      <w:r>
        <w:rPr>
          <w:sz w:val="22"/>
          <w:szCs w:val="22"/>
        </w:rPr>
        <w:t xml:space="preserve"> </w:t>
      </w:r>
      <w:r w:rsidR="0057329C">
        <w:rPr>
          <w:sz w:val="22"/>
          <w:szCs w:val="22"/>
        </w:rPr>
        <w:t xml:space="preserve">per </w:t>
      </w:r>
      <w:r>
        <w:rPr>
          <w:sz w:val="22"/>
          <w:szCs w:val="22"/>
        </w:rPr>
        <w:t>determinare il reddito del</w:t>
      </w:r>
      <w:r w:rsidR="0057329C">
        <w:rPr>
          <w:sz w:val="22"/>
          <w:szCs w:val="22"/>
        </w:rPr>
        <w:t>l’acquirente</w:t>
      </w:r>
      <w:r w:rsidR="00E150A5" w:rsidRPr="007F7EBF">
        <w:rPr>
          <w:sz w:val="22"/>
          <w:szCs w:val="22"/>
        </w:rPr>
        <w:t xml:space="preserve">. </w:t>
      </w:r>
      <w:r w:rsidR="00EB31AC">
        <w:rPr>
          <w:sz w:val="22"/>
          <w:szCs w:val="22"/>
        </w:rPr>
        <w:t>Questa distinzione corrisponde alle operazioni intermedie n</w:t>
      </w:r>
      <w:r>
        <w:rPr>
          <w:sz w:val="22"/>
          <w:szCs w:val="22"/>
        </w:rPr>
        <w:t>el calcolo del PIL</w:t>
      </w:r>
      <w:r w:rsidR="00EB31AC">
        <w:rPr>
          <w:sz w:val="22"/>
          <w:szCs w:val="22"/>
        </w:rPr>
        <w:t xml:space="preserve">, come rilevato al par.7.2 ss. del volume di </w:t>
      </w:r>
      <w:r>
        <w:rPr>
          <w:sz w:val="22"/>
          <w:szCs w:val="22"/>
        </w:rPr>
        <w:t>Economia pubblica cit</w:t>
      </w:r>
      <w:r w:rsidR="00EB31AC">
        <w:rPr>
          <w:sz w:val="22"/>
          <w:szCs w:val="22"/>
        </w:rPr>
        <w:t>ato in premessa</w:t>
      </w:r>
      <w:r w:rsidRPr="007F7EBF">
        <w:t xml:space="preserve">. </w:t>
      </w:r>
      <w:r w:rsidR="00EB31AC">
        <w:t>Uno sfasamento tra reddito e consumo c’è per importazioni ed</w:t>
      </w:r>
      <w:r w:rsidRPr="007F7EBF">
        <w:t xml:space="preserve"> esportazioni</w:t>
      </w:r>
      <w:r w:rsidR="00EB31AC">
        <w:t>, in quanto nelle prime abbiamo consumo senza produzione, e quindi senza reddito</w:t>
      </w:r>
      <w:r w:rsidR="00855BBC">
        <w:t>;</w:t>
      </w:r>
      <w:r w:rsidR="00EB31AC">
        <w:t xml:space="preserve"> inversamente</w:t>
      </w:r>
      <w:r w:rsidR="005810C7">
        <w:t>,</w:t>
      </w:r>
      <w:r w:rsidR="00EB31AC">
        <w:t xml:space="preserve"> nelle </w:t>
      </w:r>
      <w:r w:rsidR="005810C7">
        <w:t>esportazioni</w:t>
      </w:r>
      <w:r w:rsidR="00EB31AC">
        <w:t xml:space="preserve"> </w:t>
      </w:r>
      <w:r w:rsidR="00855BBC">
        <w:t xml:space="preserve">si ha </w:t>
      </w:r>
      <w:r w:rsidR="00EB31AC">
        <w:t>produzione, cioè reddito, senza consumo</w:t>
      </w:r>
      <w:r w:rsidR="00855BBC">
        <w:t xml:space="preserve"> </w:t>
      </w:r>
      <w:r w:rsidR="00855BBC">
        <w:rPr>
          <w:rStyle w:val="Rimandonotaapidipagina"/>
        </w:rPr>
        <w:footnoteReference w:id="95"/>
      </w:r>
      <w:r w:rsidR="00EB31AC">
        <w:t>. Da quanto sopra appare chiaro che il presupposto economico del reddito consiste nella</w:t>
      </w:r>
      <w:r w:rsidR="00EF6E01">
        <w:rPr>
          <w:sz w:val="22"/>
          <w:szCs w:val="22"/>
        </w:rPr>
        <w:t xml:space="preserve"> differenza </w:t>
      </w:r>
      <w:r w:rsidR="0089136B">
        <w:rPr>
          <w:sz w:val="22"/>
          <w:szCs w:val="22"/>
        </w:rPr>
        <w:t xml:space="preserve">tra </w:t>
      </w:r>
      <w:r w:rsidR="00EF6E01" w:rsidRPr="007F7EBF">
        <w:rPr>
          <w:sz w:val="22"/>
          <w:szCs w:val="22"/>
        </w:rPr>
        <w:t>ricavi e costi</w:t>
      </w:r>
      <w:r w:rsidR="00EF6E01">
        <w:rPr>
          <w:sz w:val="22"/>
          <w:szCs w:val="22"/>
        </w:rPr>
        <w:t xml:space="preserve">, </w:t>
      </w:r>
      <w:r w:rsidR="0089136B">
        <w:rPr>
          <w:sz w:val="20"/>
          <w:szCs w:val="20"/>
        </w:rPr>
        <w:t xml:space="preserve">sulla cui deduzione </w:t>
      </w:r>
      <w:proofErr w:type="spellStart"/>
      <w:r w:rsidR="0089136B">
        <w:rPr>
          <w:sz w:val="20"/>
          <w:szCs w:val="20"/>
        </w:rPr>
        <w:t>cfr</w:t>
      </w:r>
      <w:proofErr w:type="spellEnd"/>
      <w:r w:rsidR="0089136B">
        <w:rPr>
          <w:sz w:val="20"/>
          <w:szCs w:val="20"/>
        </w:rPr>
        <w:t xml:space="preserve"> il par.7.9 con ulteriori rinvii</w:t>
      </w:r>
      <w:r w:rsidR="00EF6E01">
        <w:rPr>
          <w:sz w:val="22"/>
          <w:szCs w:val="22"/>
        </w:rPr>
        <w:t xml:space="preserve">. </w:t>
      </w:r>
    </w:p>
    <w:p w14:paraId="479ACC33" w14:textId="2131CC95" w:rsidR="00E150A5" w:rsidRPr="007F7EBF" w:rsidRDefault="00EF6E01" w:rsidP="00E150A5">
      <w:pPr>
        <w:autoSpaceDE w:val="0"/>
        <w:autoSpaceDN w:val="0"/>
        <w:adjustRightInd w:val="0"/>
        <w:rPr>
          <w:bCs/>
          <w:i/>
          <w:iCs/>
          <w:color w:val="0000FF"/>
          <w:sz w:val="22"/>
          <w:szCs w:val="22"/>
        </w:rPr>
      </w:pPr>
      <w:r>
        <w:rPr>
          <w:sz w:val="22"/>
          <w:szCs w:val="22"/>
        </w:rPr>
        <w:t>A</w:t>
      </w:r>
      <w:r w:rsidR="00E150A5">
        <w:rPr>
          <w:sz w:val="22"/>
          <w:szCs w:val="22"/>
        </w:rPr>
        <w:t>l</w:t>
      </w:r>
      <w:r w:rsidR="00E150A5" w:rsidRPr="007F7EBF">
        <w:rPr>
          <w:sz w:val="22"/>
          <w:szCs w:val="22"/>
        </w:rPr>
        <w:t>tre caratteristiche generali</w:t>
      </w:r>
      <w:r w:rsidR="00E150A5">
        <w:rPr>
          <w:sz w:val="22"/>
          <w:szCs w:val="22"/>
        </w:rPr>
        <w:t xml:space="preserve">, ma più tecniche, </w:t>
      </w:r>
      <w:r w:rsidR="00E150A5" w:rsidRPr="007F7EBF">
        <w:rPr>
          <w:sz w:val="22"/>
          <w:szCs w:val="22"/>
        </w:rPr>
        <w:t>del reddito, come la corresponsione in natura, i rapporti con l'inflazione, la provenienza da attività illecite, il rapporto coi risarcimenti</w:t>
      </w:r>
      <w:r w:rsidR="00E150A5">
        <w:rPr>
          <w:sz w:val="22"/>
          <w:szCs w:val="22"/>
        </w:rPr>
        <w:t>, s</w:t>
      </w:r>
      <w:r w:rsidR="00327675">
        <w:rPr>
          <w:sz w:val="22"/>
          <w:szCs w:val="22"/>
        </w:rPr>
        <w:t xml:space="preserve">ono indicate </w:t>
      </w:r>
      <w:r w:rsidR="00E150A5">
        <w:rPr>
          <w:sz w:val="22"/>
          <w:szCs w:val="22"/>
        </w:rPr>
        <w:t>al par.9.2.</w:t>
      </w:r>
    </w:p>
    <w:p w14:paraId="1898A383" w14:textId="77777777" w:rsidR="00E150A5" w:rsidRPr="007F7EBF" w:rsidRDefault="00E150A5" w:rsidP="00E150A5">
      <w:pPr>
        <w:pStyle w:val="tit23"/>
        <w:ind w:left="6464" w:right="-1361" w:firstLine="0"/>
        <w:jc w:val="left"/>
        <w:rPr>
          <w:bCs/>
          <w:i/>
          <w:iCs/>
          <w:color w:val="0000FF"/>
          <w:lang w:val="it-IT"/>
        </w:rPr>
      </w:pPr>
      <w:r>
        <w:rPr>
          <w:bCs/>
          <w:i/>
          <w:iCs/>
          <w:color w:val="0000FF"/>
          <w:lang w:val="it-IT"/>
        </w:rPr>
        <w:t>Il valore aggiunto</w:t>
      </w:r>
    </w:p>
    <w:p w14:paraId="32C58A0B" w14:textId="65BD40AC" w:rsidR="00E150A5" w:rsidRPr="007F7EBF" w:rsidRDefault="005810C7" w:rsidP="00E150A5">
      <w:pPr>
        <w:autoSpaceDE w:val="0"/>
        <w:autoSpaceDN w:val="0"/>
        <w:adjustRightInd w:val="0"/>
        <w:rPr>
          <w:bCs/>
          <w:i/>
          <w:iCs/>
          <w:color w:val="0000FF"/>
        </w:rPr>
      </w:pPr>
      <w:r>
        <w:rPr>
          <w:sz w:val="22"/>
          <w:szCs w:val="22"/>
        </w:rPr>
        <w:t>Tra i possibili presupposti</w:t>
      </w:r>
      <w:r w:rsidR="00E150A5">
        <w:rPr>
          <w:sz w:val="22"/>
          <w:szCs w:val="22"/>
        </w:rPr>
        <w:t xml:space="preserve"> economic</w:t>
      </w:r>
      <w:r>
        <w:rPr>
          <w:sz w:val="22"/>
          <w:szCs w:val="22"/>
        </w:rPr>
        <w:t xml:space="preserve">i d’imposta, il </w:t>
      </w:r>
      <w:r w:rsidR="00C62FE4">
        <w:rPr>
          <w:sz w:val="22"/>
          <w:szCs w:val="22"/>
        </w:rPr>
        <w:t>meno familiare</w:t>
      </w:r>
      <w:r w:rsidR="00FE31F1">
        <w:rPr>
          <w:sz w:val="22"/>
          <w:szCs w:val="22"/>
        </w:rPr>
        <w:t xml:space="preserve"> </w:t>
      </w:r>
      <w:r w:rsidR="00E150A5">
        <w:rPr>
          <w:sz w:val="22"/>
          <w:szCs w:val="22"/>
        </w:rPr>
        <w:t xml:space="preserve">al bagaglio culturale </w:t>
      </w:r>
      <w:r>
        <w:rPr>
          <w:sz w:val="22"/>
          <w:szCs w:val="22"/>
        </w:rPr>
        <w:t>comune</w:t>
      </w:r>
      <w:r w:rsidR="00E150A5">
        <w:rPr>
          <w:sz w:val="22"/>
          <w:szCs w:val="22"/>
        </w:rPr>
        <w:t xml:space="preserve"> è il </w:t>
      </w:r>
      <w:r w:rsidR="00E150A5">
        <w:rPr>
          <w:i/>
          <w:sz w:val="22"/>
          <w:szCs w:val="22"/>
        </w:rPr>
        <w:t>valore aggiunto</w:t>
      </w:r>
      <w:r w:rsidR="00E150A5">
        <w:rPr>
          <w:sz w:val="22"/>
          <w:szCs w:val="22"/>
        </w:rPr>
        <w:t>, c</w:t>
      </w:r>
      <w:r w:rsidR="00FE31F1">
        <w:rPr>
          <w:sz w:val="22"/>
          <w:szCs w:val="22"/>
        </w:rPr>
        <w:t xml:space="preserve">ome </w:t>
      </w:r>
      <w:r w:rsidR="00C73D92">
        <w:rPr>
          <w:sz w:val="22"/>
          <w:szCs w:val="22"/>
        </w:rPr>
        <w:t xml:space="preserve">reddito creato </w:t>
      </w:r>
      <w:r w:rsidR="00E150A5">
        <w:rPr>
          <w:sz w:val="22"/>
          <w:szCs w:val="22"/>
        </w:rPr>
        <w:t xml:space="preserve">dall’organizzazione </w:t>
      </w:r>
      <w:r w:rsidR="00D06809">
        <w:rPr>
          <w:sz w:val="22"/>
          <w:szCs w:val="22"/>
        </w:rPr>
        <w:t>pluripersonale aziendale nel suo complesso</w:t>
      </w:r>
      <w:r w:rsidR="00C73D92">
        <w:rPr>
          <w:sz w:val="22"/>
          <w:szCs w:val="22"/>
        </w:rPr>
        <w:t xml:space="preserve">, prima di remunerare </w:t>
      </w:r>
      <w:r w:rsidR="00E150A5">
        <w:rPr>
          <w:sz w:val="22"/>
          <w:szCs w:val="22"/>
        </w:rPr>
        <w:t xml:space="preserve"> lavoratori</w:t>
      </w:r>
      <w:r w:rsidR="00C73D92">
        <w:rPr>
          <w:sz w:val="22"/>
          <w:szCs w:val="22"/>
        </w:rPr>
        <w:t xml:space="preserve">, </w:t>
      </w:r>
      <w:r w:rsidR="00E150A5">
        <w:rPr>
          <w:sz w:val="22"/>
          <w:szCs w:val="22"/>
        </w:rPr>
        <w:t>finanziatori</w:t>
      </w:r>
      <w:r w:rsidR="00C73D92">
        <w:rPr>
          <w:sz w:val="22"/>
          <w:szCs w:val="22"/>
        </w:rPr>
        <w:t xml:space="preserve"> e titolari; il valore aggiunto si scompone quindi in salari, interessi ed eventuali profitti</w:t>
      </w:r>
      <w:r w:rsidR="00D06809">
        <w:rPr>
          <w:sz w:val="22"/>
          <w:szCs w:val="22"/>
        </w:rPr>
        <w:t xml:space="preserve"> ed </w:t>
      </w:r>
      <w:r w:rsidR="00C73D92">
        <w:rPr>
          <w:sz w:val="22"/>
          <w:szCs w:val="22"/>
        </w:rPr>
        <w:t xml:space="preserve">è un </w:t>
      </w:r>
      <w:r w:rsidR="0089136B">
        <w:rPr>
          <w:sz w:val="22"/>
          <w:szCs w:val="22"/>
        </w:rPr>
        <w:t xml:space="preserve">importante </w:t>
      </w:r>
      <w:r w:rsidR="00C73D92">
        <w:rPr>
          <w:sz w:val="22"/>
          <w:szCs w:val="22"/>
        </w:rPr>
        <w:t xml:space="preserve">indice delle </w:t>
      </w:r>
      <w:r w:rsidR="0089136B">
        <w:rPr>
          <w:sz w:val="22"/>
          <w:szCs w:val="22"/>
        </w:rPr>
        <w:t xml:space="preserve">dimensioni economiche delle aziende, </w:t>
      </w:r>
      <w:r w:rsidR="00C73D92">
        <w:rPr>
          <w:sz w:val="22"/>
          <w:szCs w:val="22"/>
        </w:rPr>
        <w:t xml:space="preserve">accanto al giro d’affari. La </w:t>
      </w:r>
      <w:r w:rsidR="0089136B">
        <w:rPr>
          <w:sz w:val="22"/>
          <w:szCs w:val="22"/>
        </w:rPr>
        <w:t>scarsa familiarità</w:t>
      </w:r>
      <w:r w:rsidR="00C73D92">
        <w:rPr>
          <w:sz w:val="22"/>
          <w:szCs w:val="22"/>
        </w:rPr>
        <w:t xml:space="preserve"> con esso comporta</w:t>
      </w:r>
      <w:r w:rsidR="0089784F">
        <w:rPr>
          <w:sz w:val="22"/>
          <w:szCs w:val="22"/>
        </w:rPr>
        <w:t xml:space="preserve"> gli</w:t>
      </w:r>
      <w:r w:rsidR="00C73D92">
        <w:rPr>
          <w:sz w:val="22"/>
          <w:szCs w:val="22"/>
        </w:rPr>
        <w:t xml:space="preserve"> </w:t>
      </w:r>
      <w:r w:rsidR="0089136B">
        <w:rPr>
          <w:sz w:val="22"/>
          <w:szCs w:val="22"/>
        </w:rPr>
        <w:t xml:space="preserve">equivoci di cui </w:t>
      </w:r>
      <w:r w:rsidR="0089136B">
        <w:lastRenderedPageBreak/>
        <w:t>al par.</w:t>
      </w:r>
      <w:r w:rsidR="0089136B" w:rsidRPr="007F7EBF">
        <w:t xml:space="preserve"> 7.2 sull’Iva</w:t>
      </w:r>
      <w:r w:rsidR="00D06809">
        <w:t xml:space="preserve">, impropriamente definita imposta sul valore aggiunto, </w:t>
      </w:r>
      <w:r w:rsidR="0089136B" w:rsidRPr="007F7EBF">
        <w:t xml:space="preserve"> e 9.</w:t>
      </w:r>
      <w:r w:rsidR="0089136B">
        <w:t>5</w:t>
      </w:r>
      <w:r w:rsidR="0089136B" w:rsidRPr="007F7EBF">
        <w:t xml:space="preserve"> sull’IRAP</w:t>
      </w:r>
      <w:r w:rsidR="00D06809">
        <w:rPr>
          <w:sz w:val="22"/>
          <w:szCs w:val="22"/>
        </w:rPr>
        <w:t>, che invece è un raro caso di imposta sul</w:t>
      </w:r>
      <w:r w:rsidR="00E150A5">
        <w:rPr>
          <w:sz w:val="22"/>
          <w:szCs w:val="22"/>
        </w:rPr>
        <w:t xml:space="preserve"> valore aggiunto</w:t>
      </w:r>
      <w:r w:rsidR="00D06809">
        <w:rPr>
          <w:sz w:val="22"/>
          <w:szCs w:val="22"/>
        </w:rPr>
        <w:t xml:space="preserve">. </w:t>
      </w:r>
      <w:r w:rsidR="00E150A5">
        <w:rPr>
          <w:sz w:val="22"/>
          <w:szCs w:val="22"/>
        </w:rPr>
        <w:t xml:space="preserve">A parità di ricavi, il valore aggiunto è maggiore </w:t>
      </w:r>
      <w:r w:rsidR="00FE31F1">
        <w:rPr>
          <w:sz w:val="22"/>
          <w:szCs w:val="22"/>
        </w:rPr>
        <w:t>per le attività dove</w:t>
      </w:r>
      <w:r w:rsidR="00E150A5">
        <w:rPr>
          <w:sz w:val="22"/>
          <w:szCs w:val="22"/>
        </w:rPr>
        <w:t xml:space="preserve"> i costi</w:t>
      </w:r>
      <w:r w:rsidR="00D06809">
        <w:rPr>
          <w:sz w:val="22"/>
          <w:szCs w:val="22"/>
        </w:rPr>
        <w:t xml:space="preserve"> verso altre imprese</w:t>
      </w:r>
      <w:r w:rsidR="00C62FE4">
        <w:rPr>
          <w:sz w:val="22"/>
          <w:szCs w:val="22"/>
        </w:rPr>
        <w:t xml:space="preserve"> </w:t>
      </w:r>
      <w:r w:rsidR="00E150A5">
        <w:rPr>
          <w:sz w:val="22"/>
          <w:szCs w:val="22"/>
        </w:rPr>
        <w:t xml:space="preserve">incidono meno; ad esempio un ristorante o un albergo hanno maggior valore aggiunto, a parità di ricavi, rispetto a un supermercato, che ha </w:t>
      </w:r>
      <w:r w:rsidR="00EE1CCF">
        <w:rPr>
          <w:sz w:val="22"/>
          <w:szCs w:val="22"/>
        </w:rPr>
        <w:t xml:space="preserve">una percentuale di </w:t>
      </w:r>
      <w:r w:rsidR="00E150A5">
        <w:rPr>
          <w:sz w:val="22"/>
          <w:szCs w:val="22"/>
        </w:rPr>
        <w:t>costi</w:t>
      </w:r>
      <w:r w:rsidR="00EE1CCF">
        <w:rPr>
          <w:sz w:val="22"/>
          <w:szCs w:val="22"/>
        </w:rPr>
        <w:t xml:space="preserve"> </w:t>
      </w:r>
      <w:r w:rsidR="00C62FE4">
        <w:rPr>
          <w:sz w:val="22"/>
          <w:szCs w:val="22"/>
        </w:rPr>
        <w:t>b2b</w:t>
      </w:r>
      <w:r w:rsidR="00EE1CCF">
        <w:rPr>
          <w:sz w:val="22"/>
          <w:szCs w:val="22"/>
        </w:rPr>
        <w:t>, rispetto ai ricavi,</w:t>
      </w:r>
      <w:r w:rsidR="00E150A5">
        <w:rPr>
          <w:sz w:val="22"/>
          <w:szCs w:val="22"/>
        </w:rPr>
        <w:t xml:space="preserve"> molto </w:t>
      </w:r>
      <w:r w:rsidR="00EE1CCF">
        <w:rPr>
          <w:sz w:val="22"/>
          <w:szCs w:val="22"/>
        </w:rPr>
        <w:t>maggiore</w:t>
      </w:r>
      <w:r w:rsidR="00E150A5">
        <w:rPr>
          <w:sz w:val="22"/>
          <w:szCs w:val="22"/>
        </w:rPr>
        <w:t xml:space="preserve"> (</w:t>
      </w:r>
      <w:r w:rsidR="00E150A5">
        <w:rPr>
          <w:rStyle w:val="Rimandonotaapidipagina"/>
          <w:sz w:val="22"/>
          <w:szCs w:val="22"/>
        </w:rPr>
        <w:footnoteReference w:id="96"/>
      </w:r>
      <w:r w:rsidR="00E150A5">
        <w:rPr>
          <w:sz w:val="22"/>
          <w:szCs w:val="22"/>
        </w:rPr>
        <w:t xml:space="preserve">).  </w:t>
      </w:r>
    </w:p>
    <w:p w14:paraId="6D1332A4" w14:textId="61F23612" w:rsidR="005C04D4" w:rsidRPr="009E6C24" w:rsidRDefault="00FE31F1" w:rsidP="005C04D4">
      <w:pPr>
        <w:autoSpaceDE w:val="0"/>
        <w:autoSpaceDN w:val="0"/>
        <w:adjustRightInd w:val="0"/>
        <w:rPr>
          <w:sz w:val="22"/>
          <w:szCs w:val="22"/>
        </w:rPr>
      </w:pPr>
      <w:r>
        <w:rPr>
          <w:sz w:val="22"/>
          <w:szCs w:val="22"/>
        </w:rPr>
        <w:t xml:space="preserve">Un’attività </w:t>
      </w:r>
      <w:r w:rsidR="00E150A5" w:rsidRPr="007F7EBF">
        <w:rPr>
          <w:sz w:val="22"/>
          <w:szCs w:val="22"/>
        </w:rPr>
        <w:t xml:space="preserve">“ad alto valore aggiunto” </w:t>
      </w:r>
      <w:r>
        <w:rPr>
          <w:sz w:val="22"/>
          <w:szCs w:val="22"/>
        </w:rPr>
        <w:t>può anche non</w:t>
      </w:r>
      <w:r w:rsidR="00E150A5">
        <w:rPr>
          <w:sz w:val="22"/>
          <w:szCs w:val="22"/>
        </w:rPr>
        <w:t xml:space="preserve"> “</w:t>
      </w:r>
      <w:r>
        <w:rPr>
          <w:sz w:val="22"/>
          <w:szCs w:val="22"/>
        </w:rPr>
        <w:t xml:space="preserve">dare </w:t>
      </w:r>
      <w:r w:rsidR="00E150A5">
        <w:rPr>
          <w:sz w:val="22"/>
          <w:szCs w:val="22"/>
        </w:rPr>
        <w:t>profitto”, perché il</w:t>
      </w:r>
      <w:r w:rsidR="00E150A5" w:rsidRPr="007F7EBF">
        <w:rPr>
          <w:sz w:val="22"/>
          <w:szCs w:val="22"/>
        </w:rPr>
        <w:t xml:space="preserve"> valore aggiunto remunera </w:t>
      </w:r>
      <w:r w:rsidR="00EE1CCF">
        <w:rPr>
          <w:sz w:val="22"/>
          <w:szCs w:val="22"/>
        </w:rPr>
        <w:t xml:space="preserve">prima di tutto </w:t>
      </w:r>
      <w:r w:rsidR="00E150A5" w:rsidRPr="007F7EBF">
        <w:rPr>
          <w:sz w:val="22"/>
          <w:szCs w:val="22"/>
        </w:rPr>
        <w:t xml:space="preserve">lavoratori, percettori di salari, e di interessi </w:t>
      </w:r>
      <w:r w:rsidR="00EE1CCF">
        <w:rPr>
          <w:sz w:val="22"/>
          <w:szCs w:val="22"/>
        </w:rPr>
        <w:t>(</w:t>
      </w:r>
      <w:r w:rsidR="00E150A5" w:rsidRPr="007F7EBF">
        <w:rPr>
          <w:rStyle w:val="Rimandonotaapidipagina"/>
          <w:sz w:val="22"/>
          <w:szCs w:val="22"/>
        </w:rPr>
        <w:footnoteReference w:id="97"/>
      </w:r>
      <w:r w:rsidR="00EE1CCF">
        <w:rPr>
          <w:sz w:val="22"/>
          <w:szCs w:val="22"/>
        </w:rPr>
        <w:t>)</w:t>
      </w:r>
      <w:r w:rsidR="00E150A5">
        <w:rPr>
          <w:sz w:val="22"/>
          <w:szCs w:val="22"/>
        </w:rPr>
        <w:t xml:space="preserve">. </w:t>
      </w:r>
      <w:r w:rsidR="00E150A5" w:rsidRPr="007F7EBF">
        <w:rPr>
          <w:sz w:val="22"/>
          <w:szCs w:val="22"/>
        </w:rPr>
        <w:t>S</w:t>
      </w:r>
      <w:r w:rsidR="00E150A5">
        <w:rPr>
          <w:sz w:val="22"/>
          <w:szCs w:val="22"/>
        </w:rPr>
        <w:t xml:space="preserve">olo la parte </w:t>
      </w:r>
      <w:r w:rsidR="00E150A5" w:rsidRPr="007F7EBF">
        <w:rPr>
          <w:sz w:val="22"/>
          <w:szCs w:val="22"/>
        </w:rPr>
        <w:t xml:space="preserve"> residua del valore aggiunto</w:t>
      </w:r>
      <w:r w:rsidR="00EE1CCF">
        <w:rPr>
          <w:sz w:val="22"/>
          <w:szCs w:val="22"/>
        </w:rPr>
        <w:t>, non distribuita a questi beneficiari,</w:t>
      </w:r>
      <w:r w:rsidR="00E150A5">
        <w:rPr>
          <w:sz w:val="22"/>
          <w:szCs w:val="22"/>
        </w:rPr>
        <w:t xml:space="preserve"> </w:t>
      </w:r>
      <w:r w:rsidR="00E150A5" w:rsidRPr="007F7EBF">
        <w:rPr>
          <w:sz w:val="22"/>
          <w:szCs w:val="22"/>
        </w:rPr>
        <w:t>costituisce profitto</w:t>
      </w:r>
      <w:r>
        <w:rPr>
          <w:sz w:val="22"/>
          <w:szCs w:val="22"/>
        </w:rPr>
        <w:t>; a</w:t>
      </w:r>
      <w:r w:rsidR="00E150A5">
        <w:rPr>
          <w:sz w:val="22"/>
          <w:szCs w:val="22"/>
        </w:rPr>
        <w:t xml:space="preserve"> parità di valore aggiunto, la sua ripartizione tra salari</w:t>
      </w:r>
      <w:r w:rsidR="00E150A5" w:rsidRPr="007F7EBF">
        <w:rPr>
          <w:sz w:val="22"/>
          <w:szCs w:val="22"/>
        </w:rPr>
        <w:t xml:space="preserve">, </w:t>
      </w:r>
      <w:r w:rsidR="00E150A5">
        <w:rPr>
          <w:sz w:val="22"/>
          <w:szCs w:val="22"/>
        </w:rPr>
        <w:t xml:space="preserve">interessi e profitti, varia </w:t>
      </w:r>
      <w:r w:rsidR="00E150A5" w:rsidRPr="007F7EBF">
        <w:rPr>
          <w:sz w:val="22"/>
          <w:szCs w:val="22"/>
        </w:rPr>
        <w:t xml:space="preserve">a seconda che si impieghino lavoro proprio, anziché di terzi, o </w:t>
      </w:r>
      <w:r w:rsidR="00E150A5" w:rsidRPr="007F7EBF">
        <w:rPr>
          <w:bCs/>
          <w:sz w:val="22"/>
          <w:szCs w:val="22"/>
        </w:rPr>
        <w:t xml:space="preserve">capitali propri, anziché </w:t>
      </w:r>
      <w:r w:rsidR="00E150A5" w:rsidRPr="007F7EBF">
        <w:rPr>
          <w:sz w:val="22"/>
          <w:szCs w:val="22"/>
        </w:rPr>
        <w:t xml:space="preserve">di </w:t>
      </w:r>
      <w:r w:rsidR="00E150A5" w:rsidRPr="007F7EBF">
        <w:rPr>
          <w:bCs/>
          <w:sz w:val="22"/>
          <w:szCs w:val="22"/>
        </w:rPr>
        <w:t>debito</w:t>
      </w:r>
      <w:r w:rsidR="0057329C">
        <w:rPr>
          <w:bCs/>
          <w:sz w:val="22"/>
          <w:szCs w:val="22"/>
        </w:rPr>
        <w:t xml:space="preserve"> (</w:t>
      </w:r>
      <w:r w:rsidR="00E150A5" w:rsidRPr="007F7EBF">
        <w:rPr>
          <w:rStyle w:val="Rimandonotaapidipagina"/>
          <w:sz w:val="22"/>
          <w:szCs w:val="22"/>
        </w:rPr>
        <w:footnoteReference w:id="98"/>
      </w:r>
      <w:r w:rsidR="0057329C">
        <w:rPr>
          <w:bCs/>
          <w:sz w:val="22"/>
          <w:szCs w:val="22"/>
        </w:rPr>
        <w:t>)</w:t>
      </w:r>
      <w:r w:rsidR="00E150A5" w:rsidRPr="007F7EBF">
        <w:rPr>
          <w:sz w:val="22"/>
          <w:szCs w:val="22"/>
        </w:rPr>
        <w:t xml:space="preserve">.  </w:t>
      </w:r>
    </w:p>
    <w:p w14:paraId="148AC234" w14:textId="77777777" w:rsidR="005C04D4" w:rsidRPr="007F7EBF" w:rsidRDefault="005C04D4" w:rsidP="005C04D4">
      <w:pPr>
        <w:pStyle w:val="tit23"/>
        <w:ind w:left="6464" w:right="-1361" w:firstLine="0"/>
        <w:jc w:val="left"/>
        <w:rPr>
          <w:bCs/>
          <w:i/>
          <w:iCs/>
          <w:color w:val="0000FF"/>
          <w:lang w:val="it-IT"/>
        </w:rPr>
      </w:pPr>
      <w:r w:rsidRPr="007F7EBF">
        <w:rPr>
          <w:bCs/>
          <w:i/>
          <w:iCs/>
          <w:color w:val="0000FF"/>
          <w:lang w:val="it-IT"/>
        </w:rPr>
        <w:t>Redditi</w:t>
      </w:r>
      <w:r>
        <w:rPr>
          <w:bCs/>
          <w:i/>
          <w:iCs/>
          <w:color w:val="0000FF"/>
          <w:lang w:val="it-IT"/>
        </w:rPr>
        <w:t xml:space="preserve"> e </w:t>
      </w:r>
      <w:r w:rsidRPr="007F7EBF">
        <w:rPr>
          <w:bCs/>
          <w:i/>
          <w:iCs/>
          <w:color w:val="0000FF"/>
          <w:lang w:val="it-IT"/>
        </w:rPr>
        <w:t>patrimonio (rinvi</w:t>
      </w:r>
      <w:r>
        <w:rPr>
          <w:bCs/>
          <w:i/>
          <w:iCs/>
          <w:color w:val="0000FF"/>
          <w:lang w:val="it-IT"/>
        </w:rPr>
        <w:t>i</w:t>
      </w:r>
      <w:r w:rsidRPr="007F7EBF">
        <w:rPr>
          <w:bCs/>
          <w:i/>
          <w:iCs/>
          <w:color w:val="0000FF"/>
          <w:lang w:val="it-IT"/>
        </w:rPr>
        <w:t>)</w:t>
      </w:r>
    </w:p>
    <w:p w14:paraId="363282AD" w14:textId="7D86A6B5" w:rsidR="005C3DAC" w:rsidRPr="007F7EBF" w:rsidRDefault="005C3DAC" w:rsidP="005C3DAC">
      <w:pPr>
        <w:autoSpaceDE w:val="0"/>
        <w:autoSpaceDN w:val="0"/>
        <w:adjustRightInd w:val="0"/>
        <w:rPr>
          <w:bCs/>
          <w:i/>
          <w:iCs/>
          <w:color w:val="0000FF"/>
          <w:sz w:val="22"/>
          <w:szCs w:val="22"/>
        </w:rPr>
      </w:pPr>
      <w:r>
        <w:rPr>
          <w:sz w:val="22"/>
          <w:szCs w:val="22"/>
        </w:rPr>
        <w:t xml:space="preserve">Quanto precede contestualizza il rapporto tra reddito e patrimonio, </w:t>
      </w:r>
      <w:r w:rsidR="00D13750">
        <w:rPr>
          <w:sz w:val="22"/>
          <w:szCs w:val="22"/>
        </w:rPr>
        <w:t>che è</w:t>
      </w:r>
      <w:r w:rsidR="00D13750">
        <w:t xml:space="preserve"> un</w:t>
      </w:r>
      <w:r w:rsidR="00D13750" w:rsidRPr="007F7EBF">
        <w:t xml:space="preserve"> </w:t>
      </w:r>
      <w:r w:rsidR="00D13750">
        <w:t xml:space="preserve">concetto </w:t>
      </w:r>
      <w:r w:rsidR="00D13750" w:rsidRPr="007F7EBF">
        <w:t xml:space="preserve">di </w:t>
      </w:r>
      <w:r w:rsidR="00D13750" w:rsidRPr="007F7EBF">
        <w:rPr>
          <w:i/>
        </w:rPr>
        <w:t xml:space="preserve">stock </w:t>
      </w:r>
      <w:r w:rsidR="00D13750">
        <w:t xml:space="preserve">. Il reddito rappresenta una variazione patrimoniale </w:t>
      </w:r>
      <w:r>
        <w:rPr>
          <w:sz w:val="22"/>
          <w:szCs w:val="22"/>
        </w:rPr>
        <w:t>dovuta a</w:t>
      </w:r>
      <w:r w:rsidR="009E6C24">
        <w:rPr>
          <w:sz w:val="22"/>
          <w:szCs w:val="22"/>
        </w:rPr>
        <w:t>gl</w:t>
      </w:r>
      <w:r>
        <w:rPr>
          <w:sz w:val="22"/>
          <w:szCs w:val="22"/>
        </w:rPr>
        <w:t>i scambi</w:t>
      </w:r>
      <w:r w:rsidR="009E6C24">
        <w:rPr>
          <w:sz w:val="22"/>
          <w:szCs w:val="22"/>
        </w:rPr>
        <w:t xml:space="preserve"> di cui</w:t>
      </w:r>
      <w:r>
        <w:rPr>
          <w:sz w:val="22"/>
          <w:szCs w:val="22"/>
        </w:rPr>
        <w:t xml:space="preserve"> sopra</w:t>
      </w:r>
      <w:r w:rsidR="001A56F5">
        <w:rPr>
          <w:sz w:val="22"/>
          <w:szCs w:val="22"/>
        </w:rPr>
        <w:t xml:space="preserve"> e valutabile con </w:t>
      </w:r>
      <w:r w:rsidR="001A56F5">
        <w:rPr>
          <w:sz w:val="22"/>
          <w:szCs w:val="22"/>
        </w:rPr>
        <w:lastRenderedPageBreak/>
        <w:t>riferimento a un</w:t>
      </w:r>
      <w:r w:rsidR="001A56F5">
        <w:t>a determinata unità di tempo (</w:t>
      </w:r>
      <w:r w:rsidR="001A56F5">
        <w:rPr>
          <w:rStyle w:val="Rimandonotaapidipagina"/>
        </w:rPr>
        <w:footnoteReference w:id="99"/>
      </w:r>
      <w:r w:rsidR="001A56F5">
        <w:t>)</w:t>
      </w:r>
      <w:r w:rsidR="001A56F5" w:rsidRPr="007F7EBF">
        <w:rPr>
          <w:i/>
        </w:rPr>
        <w:t>.</w:t>
      </w:r>
      <w:r w:rsidR="00D13750">
        <w:rPr>
          <w:sz w:val="22"/>
          <w:szCs w:val="22"/>
        </w:rPr>
        <w:t xml:space="preserve"> Le variazioni di patrimonio senza scambio non costituiscono reddito e casomai scontano, nei casi rari di cui al par.10.5, la diversa imposta su successioni-donazioni. Riepilogando, il </w:t>
      </w:r>
      <w:r w:rsidR="006E69EF">
        <w:rPr>
          <w:sz w:val="22"/>
          <w:szCs w:val="22"/>
        </w:rPr>
        <w:t>reddito viene da</w:t>
      </w:r>
      <w:r w:rsidR="00D13750">
        <w:rPr>
          <w:sz w:val="22"/>
          <w:szCs w:val="22"/>
        </w:rPr>
        <w:t xml:space="preserve"> prestazioni di “dare, fare, tollerare” e </w:t>
      </w:r>
      <w:r w:rsidR="006E69EF">
        <w:rPr>
          <w:sz w:val="22"/>
          <w:szCs w:val="22"/>
        </w:rPr>
        <w:t>per la parte in cui non viene consumato aumenta il patrimonio</w:t>
      </w:r>
      <w:r w:rsidR="00D13750">
        <w:rPr>
          <w:sz w:val="22"/>
          <w:szCs w:val="22"/>
        </w:rPr>
        <w:t xml:space="preserve"> (“si patrimonializza”)</w:t>
      </w:r>
      <w:r w:rsidR="006E69EF">
        <w:rPr>
          <w:sz w:val="22"/>
          <w:szCs w:val="22"/>
        </w:rPr>
        <w:t xml:space="preserve">, </w:t>
      </w:r>
      <w:r w:rsidR="00D13750">
        <w:rPr>
          <w:sz w:val="22"/>
          <w:szCs w:val="22"/>
        </w:rPr>
        <w:t xml:space="preserve">sotto forma di </w:t>
      </w:r>
      <w:r>
        <w:rPr>
          <w:sz w:val="22"/>
          <w:szCs w:val="22"/>
        </w:rPr>
        <w:t>risparmi</w:t>
      </w:r>
      <w:r w:rsidR="00D13750">
        <w:rPr>
          <w:sz w:val="22"/>
          <w:szCs w:val="22"/>
        </w:rPr>
        <w:t>o; quest’ultimo è impiegato in genere in immobili o attività finanziarie, come vedremo al par.10.4</w:t>
      </w:r>
      <w:r>
        <w:rPr>
          <w:sz w:val="22"/>
          <w:szCs w:val="22"/>
        </w:rPr>
        <w:t xml:space="preserve">. </w:t>
      </w:r>
      <w:r w:rsidR="00D13750">
        <w:rPr>
          <w:sz w:val="22"/>
          <w:szCs w:val="22"/>
        </w:rPr>
        <w:t>Anche il patrimonio può dare un reddito, ad esempio per locazioni di immobili o interessi su titoli, che non derivando da un’attività (essendo cioè “passivo”) viene definito, con una certa disapprovazione morale, “rendita” (</w:t>
      </w:r>
      <w:r w:rsidR="00D13750">
        <w:rPr>
          <w:rStyle w:val="Rimandonotaapidipagina"/>
          <w:sz w:val="22"/>
          <w:szCs w:val="22"/>
        </w:rPr>
        <w:footnoteReference w:id="100"/>
      </w:r>
      <w:r w:rsidR="00D13750">
        <w:rPr>
          <w:sz w:val="22"/>
          <w:szCs w:val="22"/>
        </w:rPr>
        <w:t xml:space="preserve">). </w:t>
      </w:r>
    </w:p>
    <w:p w14:paraId="6B0B3AF1" w14:textId="7E75E80B" w:rsidR="008813FA" w:rsidRPr="007F7EBF" w:rsidRDefault="00FD09C6" w:rsidP="008813FA">
      <w:pPr>
        <w:pStyle w:val="tit23"/>
        <w:ind w:left="6464" w:right="-1361" w:firstLine="0"/>
        <w:jc w:val="left"/>
        <w:rPr>
          <w:bCs/>
          <w:i/>
          <w:iCs/>
          <w:color w:val="0000FF"/>
          <w:lang w:val="it-IT"/>
        </w:rPr>
      </w:pPr>
      <w:r>
        <w:rPr>
          <w:bCs/>
          <w:i/>
          <w:iCs/>
          <w:color w:val="0000FF"/>
          <w:lang w:val="it-IT"/>
        </w:rPr>
        <w:t xml:space="preserve">Dai redditi agricoli a quelli </w:t>
      </w:r>
      <w:r w:rsidR="008813FA" w:rsidRPr="007F7EBF">
        <w:rPr>
          <w:bCs/>
          <w:i/>
          <w:iCs/>
          <w:color w:val="0000FF"/>
          <w:lang w:val="it-IT"/>
        </w:rPr>
        <w:t xml:space="preserve"> mobiliari</w:t>
      </w:r>
    </w:p>
    <w:p w14:paraId="7B6D4A41" w14:textId="1F17EDC7" w:rsidR="006342C5" w:rsidRPr="007F7EBF" w:rsidRDefault="00B42004" w:rsidP="005C04D4">
      <w:pPr>
        <w:autoSpaceDE w:val="0"/>
        <w:autoSpaceDN w:val="0"/>
        <w:adjustRightInd w:val="0"/>
        <w:rPr>
          <w:sz w:val="22"/>
          <w:szCs w:val="22"/>
        </w:rPr>
      </w:pPr>
      <w:r>
        <w:rPr>
          <w:sz w:val="22"/>
          <w:szCs w:val="22"/>
        </w:rPr>
        <w:t>N</w:t>
      </w:r>
      <w:r w:rsidR="00FE6BA0" w:rsidRPr="007F7EBF">
        <w:rPr>
          <w:sz w:val="22"/>
          <w:szCs w:val="22"/>
        </w:rPr>
        <w:t xml:space="preserve">ell'era preindustriale </w:t>
      </w:r>
      <w:r w:rsidR="00EE1CCF">
        <w:rPr>
          <w:sz w:val="22"/>
          <w:szCs w:val="22"/>
        </w:rPr>
        <w:t xml:space="preserve">(par.1.4) </w:t>
      </w:r>
      <w:r>
        <w:rPr>
          <w:sz w:val="22"/>
          <w:szCs w:val="22"/>
        </w:rPr>
        <w:t xml:space="preserve">si </w:t>
      </w:r>
      <w:r w:rsidR="00771245" w:rsidRPr="007F7EBF">
        <w:rPr>
          <w:sz w:val="22"/>
          <w:szCs w:val="22"/>
        </w:rPr>
        <w:t>co</w:t>
      </w:r>
      <w:r w:rsidR="00E64E8E" w:rsidRPr="007F7EBF">
        <w:rPr>
          <w:sz w:val="22"/>
          <w:szCs w:val="22"/>
        </w:rPr>
        <w:t>lpi</w:t>
      </w:r>
      <w:r w:rsidR="00EE1CCF">
        <w:rPr>
          <w:sz w:val="22"/>
          <w:szCs w:val="22"/>
        </w:rPr>
        <w:t>vano</w:t>
      </w:r>
      <w:r w:rsidR="00E64E8E" w:rsidRPr="007F7EBF">
        <w:rPr>
          <w:sz w:val="22"/>
          <w:szCs w:val="22"/>
        </w:rPr>
        <w:t xml:space="preserve"> solo i redditi agricoli, </w:t>
      </w:r>
      <w:r w:rsidR="0023578B" w:rsidRPr="007F7EBF">
        <w:rPr>
          <w:sz w:val="22"/>
          <w:szCs w:val="22"/>
        </w:rPr>
        <w:t xml:space="preserve">cui </w:t>
      </w:r>
      <w:r w:rsidR="00CE14F1" w:rsidRPr="007F7EBF">
        <w:rPr>
          <w:sz w:val="22"/>
          <w:szCs w:val="22"/>
        </w:rPr>
        <w:t>si dedicav</w:t>
      </w:r>
      <w:r w:rsidR="008813FA" w:rsidRPr="007F7EBF">
        <w:rPr>
          <w:sz w:val="22"/>
          <w:szCs w:val="22"/>
        </w:rPr>
        <w:t xml:space="preserve">a gran parte della popolazione; </w:t>
      </w:r>
      <w:r w:rsidR="00EE1CCF">
        <w:rPr>
          <w:sz w:val="22"/>
          <w:szCs w:val="22"/>
        </w:rPr>
        <w:t>gli altri</w:t>
      </w:r>
      <w:r w:rsidR="00C95C45">
        <w:rPr>
          <w:sz w:val="22"/>
          <w:szCs w:val="22"/>
        </w:rPr>
        <w:t xml:space="preserve"> redditi</w:t>
      </w:r>
      <w:r w:rsidR="00EE1CCF">
        <w:rPr>
          <w:sz w:val="22"/>
          <w:szCs w:val="22"/>
        </w:rPr>
        <w:t xml:space="preserve">, chiamati </w:t>
      </w:r>
      <w:r w:rsidR="008813FA" w:rsidRPr="007F7EBF">
        <w:rPr>
          <w:sz w:val="22"/>
          <w:szCs w:val="22"/>
        </w:rPr>
        <w:t>"mobiliari"(</w:t>
      </w:r>
      <w:r w:rsidR="008813FA" w:rsidRPr="007F7EBF">
        <w:rPr>
          <w:rStyle w:val="Rimandonotaapidipagina"/>
          <w:sz w:val="22"/>
          <w:szCs w:val="22"/>
        </w:rPr>
        <w:footnoteReference w:id="101"/>
      </w:r>
      <w:r w:rsidR="008813FA" w:rsidRPr="007F7EBF">
        <w:rPr>
          <w:sz w:val="22"/>
          <w:szCs w:val="22"/>
        </w:rPr>
        <w:t>)</w:t>
      </w:r>
      <w:r w:rsidR="00421222" w:rsidRPr="007F7EBF">
        <w:rPr>
          <w:sz w:val="22"/>
          <w:szCs w:val="22"/>
        </w:rPr>
        <w:t>,</w:t>
      </w:r>
      <w:r w:rsidR="008813FA" w:rsidRPr="007F7EBF">
        <w:rPr>
          <w:sz w:val="22"/>
          <w:szCs w:val="22"/>
        </w:rPr>
        <w:t xml:space="preserve"> venivano trascurati</w:t>
      </w:r>
      <w:r w:rsidR="00303B79">
        <w:rPr>
          <w:sz w:val="22"/>
          <w:szCs w:val="22"/>
        </w:rPr>
        <w:t xml:space="preserve">, </w:t>
      </w:r>
      <w:r w:rsidR="00703AE7">
        <w:rPr>
          <w:sz w:val="22"/>
          <w:szCs w:val="22"/>
        </w:rPr>
        <w:t xml:space="preserve">salve alcune saltuarie </w:t>
      </w:r>
      <w:r w:rsidR="00303B79">
        <w:rPr>
          <w:sz w:val="22"/>
          <w:szCs w:val="22"/>
        </w:rPr>
        <w:t xml:space="preserve">imposte </w:t>
      </w:r>
      <w:r w:rsidR="00703AE7">
        <w:rPr>
          <w:sz w:val="22"/>
          <w:szCs w:val="22"/>
        </w:rPr>
        <w:t>riguardanti l’attivit</w:t>
      </w:r>
      <w:r w:rsidR="00303B79" w:rsidRPr="007F7EBF">
        <w:t xml:space="preserve">à </w:t>
      </w:r>
      <w:r w:rsidR="00303B79">
        <w:rPr>
          <w:sz w:val="22"/>
          <w:szCs w:val="22"/>
        </w:rPr>
        <w:t>(</w:t>
      </w:r>
      <w:r w:rsidR="00303B79" w:rsidRPr="007F7EBF">
        <w:rPr>
          <w:rStyle w:val="Rimandonotaapidipagina"/>
          <w:sz w:val="22"/>
          <w:szCs w:val="22"/>
        </w:rPr>
        <w:footnoteReference w:id="102"/>
      </w:r>
      <w:r w:rsidR="00303B79">
        <w:rPr>
          <w:sz w:val="22"/>
          <w:szCs w:val="22"/>
        </w:rPr>
        <w:t>)</w:t>
      </w:r>
      <w:r w:rsidR="00EE1CCF">
        <w:rPr>
          <w:sz w:val="22"/>
          <w:szCs w:val="22"/>
        </w:rPr>
        <w:t xml:space="preserve"> e l’eventuale </w:t>
      </w:r>
      <w:r w:rsidR="00703AE7">
        <w:rPr>
          <w:sz w:val="22"/>
          <w:szCs w:val="22"/>
        </w:rPr>
        <w:t xml:space="preserve">tassazione del tenore di vita </w:t>
      </w:r>
      <w:r w:rsidR="00FE6BA0" w:rsidRPr="007F7EBF">
        <w:rPr>
          <w:sz w:val="22"/>
          <w:szCs w:val="22"/>
        </w:rPr>
        <w:t>nei sistemi a ripartizione</w:t>
      </w:r>
      <w:r w:rsidR="00703AE7">
        <w:rPr>
          <w:sz w:val="22"/>
          <w:szCs w:val="22"/>
        </w:rPr>
        <w:t xml:space="preserve">, </w:t>
      </w:r>
      <w:r w:rsidR="00EE1CCF">
        <w:rPr>
          <w:sz w:val="22"/>
          <w:szCs w:val="22"/>
        </w:rPr>
        <w:t>(par.1.4)</w:t>
      </w:r>
      <w:r w:rsidR="00703AE7">
        <w:rPr>
          <w:sz w:val="22"/>
          <w:szCs w:val="22"/>
        </w:rPr>
        <w:t>.</w:t>
      </w:r>
      <w:r w:rsidR="00771245" w:rsidRPr="007F7EBF">
        <w:rPr>
          <w:sz w:val="22"/>
          <w:szCs w:val="22"/>
        </w:rPr>
        <w:t xml:space="preserve"> </w:t>
      </w:r>
      <w:r w:rsidR="002B3BEF" w:rsidRPr="007F7EBF">
        <w:rPr>
          <w:sz w:val="22"/>
          <w:szCs w:val="22"/>
        </w:rPr>
        <w:t>Solo con la rivoluzione industriale cominciarono a essere colpiti anche i suddetti redditi "mobiliari"</w:t>
      </w:r>
      <w:r w:rsidR="002B3BEF" w:rsidRPr="007F7EBF">
        <w:rPr>
          <w:rStyle w:val="Rimandonotaapidipagina"/>
          <w:sz w:val="22"/>
          <w:szCs w:val="22"/>
        </w:rPr>
        <w:footnoteReference w:id="103"/>
      </w:r>
      <w:r w:rsidR="00FD09C6">
        <w:rPr>
          <w:sz w:val="22"/>
          <w:szCs w:val="22"/>
        </w:rPr>
        <w:t xml:space="preserve">, fino all’odierna </w:t>
      </w:r>
      <w:r w:rsidR="00CA5BA2" w:rsidRPr="007F7EBF">
        <w:rPr>
          <w:sz w:val="22"/>
          <w:szCs w:val="22"/>
        </w:rPr>
        <w:t xml:space="preserve">tassazione attraverso le aziende </w:t>
      </w:r>
      <w:r w:rsidR="00FE6BA0" w:rsidRPr="007F7EBF">
        <w:rPr>
          <w:sz w:val="22"/>
          <w:szCs w:val="22"/>
        </w:rPr>
        <w:t>(par.1.4)</w:t>
      </w:r>
      <w:r w:rsidR="007C76F3" w:rsidRPr="007F7EBF">
        <w:rPr>
          <w:sz w:val="22"/>
          <w:szCs w:val="22"/>
        </w:rPr>
        <w:t xml:space="preserve">, la </w:t>
      </w:r>
      <w:r w:rsidR="00FD09C6">
        <w:rPr>
          <w:sz w:val="22"/>
          <w:szCs w:val="22"/>
        </w:rPr>
        <w:t xml:space="preserve">cui documentazione </w:t>
      </w:r>
      <w:r w:rsidR="007C76F3" w:rsidRPr="007F7EBF">
        <w:rPr>
          <w:sz w:val="22"/>
          <w:szCs w:val="22"/>
        </w:rPr>
        <w:t>contabil</w:t>
      </w:r>
      <w:r w:rsidR="00FD09C6">
        <w:rPr>
          <w:sz w:val="22"/>
          <w:szCs w:val="22"/>
        </w:rPr>
        <w:t>e</w:t>
      </w:r>
      <w:r>
        <w:rPr>
          <w:sz w:val="22"/>
          <w:szCs w:val="22"/>
        </w:rPr>
        <w:t xml:space="preserve"> </w:t>
      </w:r>
      <w:r w:rsidR="00FD09C6">
        <w:rPr>
          <w:sz w:val="22"/>
          <w:szCs w:val="22"/>
        </w:rPr>
        <w:t>determina simultaneamente</w:t>
      </w:r>
      <w:r w:rsidR="002B3BEF" w:rsidRPr="007F7EBF">
        <w:rPr>
          <w:sz w:val="22"/>
          <w:szCs w:val="22"/>
        </w:rPr>
        <w:t xml:space="preserve"> reddito </w:t>
      </w:r>
      <w:r w:rsidR="00E64E8E" w:rsidRPr="007F7EBF">
        <w:rPr>
          <w:sz w:val="22"/>
          <w:szCs w:val="22"/>
        </w:rPr>
        <w:t xml:space="preserve">e consumo; </w:t>
      </w:r>
      <w:r w:rsidR="007C76F3" w:rsidRPr="007F7EBF">
        <w:rPr>
          <w:sz w:val="22"/>
          <w:szCs w:val="22"/>
        </w:rPr>
        <w:t>i</w:t>
      </w:r>
      <w:r w:rsidR="00CA5BA2" w:rsidRPr="007F7EBF">
        <w:rPr>
          <w:sz w:val="22"/>
          <w:szCs w:val="22"/>
        </w:rPr>
        <w:t xml:space="preserve">l corrispettivo di vendita all'acquirente finale, </w:t>
      </w:r>
      <w:r w:rsidR="00467C1E" w:rsidRPr="007F7EBF">
        <w:rPr>
          <w:sz w:val="22"/>
          <w:szCs w:val="22"/>
        </w:rPr>
        <w:t>costituisce</w:t>
      </w:r>
      <w:r w:rsidR="00F61178" w:rsidRPr="007F7EBF">
        <w:rPr>
          <w:sz w:val="22"/>
          <w:szCs w:val="22"/>
        </w:rPr>
        <w:t xml:space="preserve"> </w:t>
      </w:r>
      <w:r w:rsidR="00E64E8E" w:rsidRPr="007F7EBF">
        <w:rPr>
          <w:sz w:val="22"/>
          <w:szCs w:val="22"/>
        </w:rPr>
        <w:t xml:space="preserve">infatti </w:t>
      </w:r>
      <w:r w:rsidR="00F61178" w:rsidRPr="007F7EBF">
        <w:rPr>
          <w:sz w:val="22"/>
          <w:szCs w:val="22"/>
        </w:rPr>
        <w:t xml:space="preserve">sia </w:t>
      </w:r>
      <w:r w:rsidR="00467C1E" w:rsidRPr="007F7EBF">
        <w:rPr>
          <w:sz w:val="22"/>
          <w:szCs w:val="22"/>
        </w:rPr>
        <w:t xml:space="preserve">il ricavo del </w:t>
      </w:r>
      <w:r w:rsidR="00F61178" w:rsidRPr="007F7EBF">
        <w:rPr>
          <w:sz w:val="22"/>
          <w:szCs w:val="22"/>
        </w:rPr>
        <w:t>fornitore</w:t>
      </w:r>
      <w:r w:rsidR="00467C1E" w:rsidRPr="007F7EBF">
        <w:rPr>
          <w:rStyle w:val="Rimandonotaapidipagina"/>
          <w:sz w:val="22"/>
          <w:szCs w:val="22"/>
        </w:rPr>
        <w:footnoteReference w:id="104"/>
      </w:r>
      <w:r w:rsidR="00CA5BA2" w:rsidRPr="007F7EBF">
        <w:rPr>
          <w:sz w:val="22"/>
          <w:szCs w:val="22"/>
        </w:rPr>
        <w:t>,</w:t>
      </w:r>
      <w:r w:rsidR="00F61178" w:rsidRPr="007F7EBF">
        <w:rPr>
          <w:sz w:val="22"/>
          <w:szCs w:val="22"/>
        </w:rPr>
        <w:t xml:space="preserve"> </w:t>
      </w:r>
      <w:r w:rsidR="00467C1E" w:rsidRPr="007F7EBF">
        <w:rPr>
          <w:sz w:val="22"/>
          <w:szCs w:val="22"/>
        </w:rPr>
        <w:t xml:space="preserve"> </w:t>
      </w:r>
      <w:r w:rsidR="00E64E8E" w:rsidRPr="007F7EBF">
        <w:rPr>
          <w:sz w:val="22"/>
          <w:szCs w:val="22"/>
        </w:rPr>
        <w:t xml:space="preserve">sia il </w:t>
      </w:r>
      <w:r w:rsidR="00CA5BA2" w:rsidRPr="007F7EBF">
        <w:rPr>
          <w:sz w:val="22"/>
          <w:szCs w:val="22"/>
        </w:rPr>
        <w:t xml:space="preserve">consumo per </w:t>
      </w:r>
      <w:r w:rsidR="00FE6BA0" w:rsidRPr="007F7EBF">
        <w:rPr>
          <w:sz w:val="22"/>
          <w:szCs w:val="22"/>
        </w:rPr>
        <w:t>il cliente</w:t>
      </w:r>
      <w:r w:rsidR="00467C1E" w:rsidRPr="007F7EBF">
        <w:rPr>
          <w:sz w:val="22"/>
          <w:szCs w:val="22"/>
        </w:rPr>
        <w:t xml:space="preserve">, su cui si </w:t>
      </w:r>
      <w:r w:rsidR="00467C1E" w:rsidRPr="007F7EBF">
        <w:rPr>
          <w:sz w:val="22"/>
          <w:szCs w:val="22"/>
        </w:rPr>
        <w:lastRenderedPageBreak/>
        <w:t>applica l'IVA</w:t>
      </w:r>
      <w:r>
        <w:rPr>
          <w:sz w:val="22"/>
          <w:szCs w:val="22"/>
        </w:rPr>
        <w:t xml:space="preserve">, con un parallelismo che ispira l’esposizione simultanea delle due imposte </w:t>
      </w:r>
      <w:r w:rsidR="001A049C">
        <w:rPr>
          <w:sz w:val="22"/>
          <w:szCs w:val="22"/>
        </w:rPr>
        <w:t>d</w:t>
      </w:r>
      <w:r>
        <w:rPr>
          <w:sz w:val="22"/>
          <w:szCs w:val="22"/>
        </w:rPr>
        <w:t>al capitolo settimo</w:t>
      </w:r>
      <w:r w:rsidR="001A049C">
        <w:rPr>
          <w:sz w:val="22"/>
          <w:szCs w:val="22"/>
        </w:rPr>
        <w:t xml:space="preserve"> al nono</w:t>
      </w:r>
      <w:r>
        <w:rPr>
          <w:sz w:val="22"/>
          <w:szCs w:val="22"/>
        </w:rPr>
        <w:t xml:space="preserve">. </w:t>
      </w:r>
    </w:p>
    <w:p w14:paraId="2AC6A3B7" w14:textId="77777777" w:rsidR="00421222" w:rsidRPr="007F7EBF" w:rsidRDefault="001D5036" w:rsidP="00C732A6">
      <w:pPr>
        <w:pStyle w:val="tit23"/>
        <w:ind w:left="6464" w:right="-1361" w:firstLine="0"/>
        <w:jc w:val="left"/>
        <w:rPr>
          <w:bCs/>
          <w:i/>
          <w:iCs/>
          <w:color w:val="0000FF"/>
          <w:lang w:val="it-IT"/>
        </w:rPr>
      </w:pPr>
      <w:r w:rsidRPr="007F7EBF">
        <w:rPr>
          <w:bCs/>
          <w:i/>
          <w:iCs/>
          <w:color w:val="0000FF"/>
          <w:lang w:val="it-IT"/>
        </w:rPr>
        <w:t xml:space="preserve">oggetto economico della funzione tributaria </w:t>
      </w:r>
    </w:p>
    <w:p w14:paraId="4804B728" w14:textId="313B9275" w:rsidR="00603B28" w:rsidRPr="007F7EBF" w:rsidRDefault="004F1D8C" w:rsidP="006729FA">
      <w:pPr>
        <w:autoSpaceDE w:val="0"/>
        <w:autoSpaceDN w:val="0"/>
        <w:adjustRightInd w:val="0"/>
        <w:rPr>
          <w:bCs/>
          <w:i/>
          <w:iCs/>
          <w:color w:val="0000FF"/>
        </w:rPr>
      </w:pPr>
      <w:r>
        <w:t xml:space="preserve">Come </w:t>
      </w:r>
      <w:r w:rsidR="006729FA">
        <w:t>anticipato</w:t>
      </w:r>
      <w:r>
        <w:t xml:space="preserve"> al par.1.2, l’aspetto più delicato ed importante della funzione tributaria è </w:t>
      </w:r>
      <w:r w:rsidR="006729FA">
        <w:t>stabilire g</w:t>
      </w:r>
      <w:r w:rsidR="00821EAF">
        <w:t>li imponibili</w:t>
      </w:r>
      <w:r w:rsidR="006729FA">
        <w:t xml:space="preserve">, precisando le </w:t>
      </w:r>
      <w:r>
        <w:t xml:space="preserve">astrazioni economiche </w:t>
      </w:r>
      <w:r w:rsidR="006729FA">
        <w:t xml:space="preserve">sopra </w:t>
      </w:r>
      <w:r>
        <w:t xml:space="preserve">indicate; </w:t>
      </w:r>
      <w:r w:rsidR="006729FA">
        <w:t xml:space="preserve">questo </w:t>
      </w:r>
      <w:r w:rsidR="004C57F6">
        <w:t>non trasforma</w:t>
      </w:r>
      <w:r w:rsidR="001A049C">
        <w:t xml:space="preserve"> </w:t>
      </w:r>
      <w:r w:rsidR="006729FA">
        <w:t xml:space="preserve">certo il diritto tributario </w:t>
      </w:r>
      <w:r w:rsidR="004C57F6">
        <w:t>in materia economica</w:t>
      </w:r>
      <w:r>
        <w:t xml:space="preserve">, così come </w:t>
      </w:r>
      <w:r w:rsidR="004C57F6">
        <w:t xml:space="preserve">il diritto </w:t>
      </w:r>
      <w:r w:rsidR="00211DE9">
        <w:t xml:space="preserve">urbanistico </w:t>
      </w:r>
      <w:r w:rsidR="002F56BC">
        <w:t xml:space="preserve">non si trasforma in architettura, né </w:t>
      </w:r>
      <w:r w:rsidR="00211DE9">
        <w:t xml:space="preserve">quello </w:t>
      </w:r>
      <w:r w:rsidR="002F56BC">
        <w:t xml:space="preserve">sanitario in medicina, né </w:t>
      </w:r>
      <w:r w:rsidR="00211DE9">
        <w:t xml:space="preserve">quello dell’istruzione in pedagogia, né quello dei beni culturali in storia dell’arte, né quello dell’ambiente in chimica, e </w:t>
      </w:r>
      <w:r w:rsidR="002F56BC">
        <w:t>via enumerando</w:t>
      </w:r>
      <w:r w:rsidR="00211DE9">
        <w:t xml:space="preserve">. </w:t>
      </w:r>
      <w:r>
        <w:t xml:space="preserve">Pur </w:t>
      </w:r>
      <w:r w:rsidR="006729FA">
        <w:t>questo, pur col suddetto</w:t>
      </w:r>
      <w:r>
        <w:t xml:space="preserve"> “</w:t>
      </w:r>
      <w:r w:rsidRPr="007F7EBF">
        <w:t>oggetto economico”</w:t>
      </w:r>
      <w:r>
        <w:t xml:space="preserve">, </w:t>
      </w:r>
      <w:r w:rsidR="00211DE9">
        <w:t>il diritto tributario</w:t>
      </w:r>
      <w:r w:rsidR="009C5047">
        <w:t xml:space="preserve"> resta giuridico, sia sul piano scientifico sociale sia su quello te</w:t>
      </w:r>
      <w:r w:rsidR="00E82621">
        <w:t>c</w:t>
      </w:r>
      <w:r w:rsidR="009C5047">
        <w:t>nico</w:t>
      </w:r>
      <w:r w:rsidR="006729FA">
        <w:t>-professionale. A questa giuridicità sono quindi serventi l</w:t>
      </w:r>
      <w:r>
        <w:t xml:space="preserve">e altre materie, come </w:t>
      </w:r>
      <w:r w:rsidR="006729FA">
        <w:t xml:space="preserve">la </w:t>
      </w:r>
      <w:r w:rsidR="00211DE9">
        <w:t xml:space="preserve">contabilità aziendale, </w:t>
      </w:r>
      <w:r w:rsidR="004C57F6">
        <w:t xml:space="preserve">talvolta </w:t>
      </w:r>
      <w:r w:rsidR="00E82621">
        <w:t>rilevanti</w:t>
      </w:r>
      <w:r w:rsidR="004C57F6">
        <w:t xml:space="preserve"> </w:t>
      </w:r>
      <w:r w:rsidR="006729FA">
        <w:t xml:space="preserve">per determinare gli </w:t>
      </w:r>
      <w:r w:rsidR="004C57F6">
        <w:t xml:space="preserve"> </w:t>
      </w:r>
      <w:r w:rsidR="00211DE9">
        <w:t>imponi</w:t>
      </w:r>
      <w:r w:rsidR="006729FA">
        <w:t>bi</w:t>
      </w:r>
      <w:r w:rsidR="00211DE9">
        <w:t>li</w:t>
      </w:r>
      <w:r w:rsidR="00E82621">
        <w:t xml:space="preserve"> (parr.7.14 ss.)</w:t>
      </w:r>
      <w:r w:rsidR="00211DE9">
        <w:t>.</w:t>
      </w:r>
      <w:r w:rsidR="00214C2B" w:rsidRPr="00214C2B">
        <w:rPr>
          <w:bCs/>
          <w:i/>
          <w:iCs/>
          <w:color w:val="0000FF"/>
          <w:sz w:val="22"/>
          <w:szCs w:val="22"/>
        </w:rPr>
        <w:t xml:space="preserve"> </w:t>
      </w:r>
    </w:p>
    <w:p w14:paraId="1744BE99" w14:textId="40612232" w:rsidR="001D6D5C" w:rsidRPr="007F7EBF" w:rsidRDefault="006342C5" w:rsidP="006D3185">
      <w:pPr>
        <w:pStyle w:val="Titolo3"/>
        <w:rPr>
          <w:rFonts w:ascii="Times New Roman" w:hAnsi="Times New Roman"/>
          <w:bCs w:val="0"/>
          <w:i/>
          <w:iCs/>
          <w:color w:val="0000FF"/>
          <w:sz w:val="22"/>
          <w:szCs w:val="22"/>
        </w:rPr>
      </w:pPr>
      <w:bookmarkStart w:id="14" w:name="_Toc63364935"/>
      <w:r w:rsidRPr="007F7EBF">
        <w:rPr>
          <w:rFonts w:ascii="Times New Roman" w:hAnsi="Times New Roman"/>
          <w:sz w:val="22"/>
          <w:szCs w:val="22"/>
        </w:rPr>
        <w:t xml:space="preserve">1.9. </w:t>
      </w:r>
      <w:r w:rsidR="00CD74E5">
        <w:rPr>
          <w:rFonts w:ascii="Times New Roman" w:hAnsi="Times New Roman"/>
          <w:sz w:val="22"/>
          <w:szCs w:val="22"/>
          <w:lang w:val="it-IT"/>
        </w:rPr>
        <w:t xml:space="preserve">Coordinamenti (e distorsioni) tra </w:t>
      </w:r>
      <w:r w:rsidR="00941B21">
        <w:rPr>
          <w:rFonts w:ascii="Times New Roman" w:hAnsi="Times New Roman"/>
          <w:sz w:val="22"/>
          <w:szCs w:val="22"/>
          <w:lang w:val="it-IT"/>
        </w:rPr>
        <w:t xml:space="preserve">determinazione </w:t>
      </w:r>
      <w:r w:rsidR="00CD74E5">
        <w:rPr>
          <w:rFonts w:ascii="Times New Roman" w:hAnsi="Times New Roman"/>
          <w:sz w:val="22"/>
          <w:szCs w:val="22"/>
          <w:lang w:val="it-IT"/>
        </w:rPr>
        <w:t>dell’</w:t>
      </w:r>
      <w:r w:rsidR="00941B21">
        <w:rPr>
          <w:rFonts w:ascii="Times New Roman" w:hAnsi="Times New Roman"/>
          <w:sz w:val="22"/>
          <w:szCs w:val="22"/>
          <w:lang w:val="it-IT"/>
        </w:rPr>
        <w:t>imponibil</w:t>
      </w:r>
      <w:r w:rsidR="00CD74E5">
        <w:rPr>
          <w:rFonts w:ascii="Times New Roman" w:hAnsi="Times New Roman"/>
          <w:sz w:val="22"/>
          <w:szCs w:val="22"/>
          <w:lang w:val="it-IT"/>
        </w:rPr>
        <w:t>e e delle imposte</w:t>
      </w:r>
      <w:bookmarkEnd w:id="14"/>
    </w:p>
    <w:p w14:paraId="4350A8B5" w14:textId="78111A20" w:rsidR="001D6D5C" w:rsidRPr="007F7EBF" w:rsidRDefault="00C03AF9" w:rsidP="001D6D5C">
      <w:pPr>
        <w:pStyle w:val="tit23"/>
        <w:ind w:left="6464" w:right="-1361" w:firstLine="0"/>
        <w:jc w:val="left"/>
        <w:rPr>
          <w:bCs/>
          <w:i/>
          <w:iCs/>
          <w:color w:val="0000FF"/>
          <w:lang w:val="it-IT"/>
        </w:rPr>
      </w:pPr>
      <w:r>
        <w:rPr>
          <w:bCs/>
          <w:i/>
          <w:iCs/>
          <w:color w:val="0000FF"/>
          <w:lang w:val="it-IT"/>
        </w:rPr>
        <w:t>Imponibile e aliquote</w:t>
      </w:r>
    </w:p>
    <w:p w14:paraId="15CD99CA" w14:textId="2F1E1B54" w:rsidR="00CD74E5" w:rsidRDefault="00386E11" w:rsidP="00236D59">
      <w:pPr>
        <w:autoSpaceDE w:val="0"/>
        <w:autoSpaceDN w:val="0"/>
        <w:adjustRightInd w:val="0"/>
        <w:rPr>
          <w:sz w:val="22"/>
          <w:szCs w:val="22"/>
        </w:rPr>
      </w:pPr>
      <w:r>
        <w:rPr>
          <w:sz w:val="22"/>
          <w:szCs w:val="22"/>
        </w:rPr>
        <w:t xml:space="preserve">Una volta determinati </w:t>
      </w:r>
      <w:r w:rsidR="002A0B19">
        <w:rPr>
          <w:sz w:val="22"/>
          <w:szCs w:val="22"/>
        </w:rPr>
        <w:t xml:space="preserve">gli imponibili, </w:t>
      </w:r>
      <w:r w:rsidR="00585C11">
        <w:rPr>
          <w:sz w:val="22"/>
          <w:szCs w:val="22"/>
        </w:rPr>
        <w:t xml:space="preserve">prima </w:t>
      </w:r>
      <w:r w:rsidR="00585C11" w:rsidRPr="007F7EBF">
        <w:rPr>
          <w:sz w:val="22"/>
          <w:szCs w:val="22"/>
        </w:rPr>
        <w:t>in fatto</w:t>
      </w:r>
      <w:r w:rsidR="00585C11">
        <w:rPr>
          <w:sz w:val="22"/>
          <w:szCs w:val="22"/>
        </w:rPr>
        <w:t xml:space="preserve">, poi in </w:t>
      </w:r>
      <w:r w:rsidR="00585C11" w:rsidRPr="007F7EBF">
        <w:rPr>
          <w:sz w:val="22"/>
          <w:szCs w:val="22"/>
        </w:rPr>
        <w:t xml:space="preserve">diritto </w:t>
      </w:r>
      <w:r w:rsidR="00585C11">
        <w:rPr>
          <w:sz w:val="22"/>
          <w:szCs w:val="22"/>
        </w:rPr>
        <w:t>(</w:t>
      </w:r>
      <w:r w:rsidR="00585C11" w:rsidRPr="007F7EBF">
        <w:rPr>
          <w:rStyle w:val="Rimandonotaapidipagina"/>
          <w:sz w:val="22"/>
          <w:szCs w:val="22"/>
        </w:rPr>
        <w:footnoteReference w:id="105"/>
      </w:r>
      <w:r w:rsidR="00585C11">
        <w:rPr>
          <w:sz w:val="22"/>
          <w:szCs w:val="22"/>
        </w:rPr>
        <w:t>)</w:t>
      </w:r>
      <w:r>
        <w:rPr>
          <w:sz w:val="22"/>
          <w:szCs w:val="22"/>
        </w:rPr>
        <w:t xml:space="preserve">, </w:t>
      </w:r>
      <w:r w:rsidR="00585C11" w:rsidRPr="007F7EBF">
        <w:t xml:space="preserve">la </w:t>
      </w:r>
      <w:r>
        <w:t xml:space="preserve">loro </w:t>
      </w:r>
      <w:r w:rsidR="00585C11" w:rsidRPr="007F7EBF">
        <w:t>quota prelevata a titolo di imposta</w:t>
      </w:r>
      <w:r w:rsidR="0098060E">
        <w:t xml:space="preserve"> </w:t>
      </w:r>
      <w:r w:rsidR="00941B21">
        <w:t xml:space="preserve">dipende dall’”aliquota” </w:t>
      </w:r>
      <w:r w:rsidR="0098060E">
        <w:t>(par.4.5 e 9.2</w:t>
      </w:r>
      <w:r w:rsidR="00941B21">
        <w:t>)</w:t>
      </w:r>
      <w:r>
        <w:t xml:space="preserve">; quest’ultima è </w:t>
      </w:r>
      <w:r w:rsidR="00941B21">
        <w:t xml:space="preserve">stabilita politicamente in relazione soprattutto alle </w:t>
      </w:r>
      <w:r w:rsidR="00B95794" w:rsidRPr="007F7EBF">
        <w:rPr>
          <w:bCs/>
          <w:sz w:val="22"/>
          <w:szCs w:val="22"/>
        </w:rPr>
        <w:t>necessità di gettito</w:t>
      </w:r>
      <w:r w:rsidR="00941B21">
        <w:rPr>
          <w:bCs/>
          <w:sz w:val="22"/>
          <w:szCs w:val="22"/>
        </w:rPr>
        <w:t xml:space="preserve">, al </w:t>
      </w:r>
      <w:r w:rsidR="00941B21" w:rsidRPr="007F7EBF">
        <w:rPr>
          <w:sz w:val="22"/>
          <w:szCs w:val="22"/>
        </w:rPr>
        <w:t>consenso politico</w:t>
      </w:r>
      <w:r w:rsidR="00941B21">
        <w:rPr>
          <w:sz w:val="22"/>
          <w:szCs w:val="22"/>
        </w:rPr>
        <w:t xml:space="preserve"> </w:t>
      </w:r>
      <w:r w:rsidR="00941B21" w:rsidRPr="007F7EBF">
        <w:rPr>
          <w:bCs/>
          <w:sz w:val="22"/>
          <w:szCs w:val="22"/>
        </w:rPr>
        <w:t xml:space="preserve">e </w:t>
      </w:r>
      <w:r w:rsidR="00941B21">
        <w:rPr>
          <w:bCs/>
          <w:sz w:val="22"/>
          <w:szCs w:val="22"/>
        </w:rPr>
        <w:t>a</w:t>
      </w:r>
      <w:r w:rsidR="00941B21" w:rsidRPr="007F7EBF">
        <w:rPr>
          <w:bCs/>
          <w:sz w:val="22"/>
          <w:szCs w:val="22"/>
        </w:rPr>
        <w:t>gli effetti economici dei tributi indicati al par.</w:t>
      </w:r>
      <w:r w:rsidR="00361BCC">
        <w:rPr>
          <w:bCs/>
          <w:sz w:val="22"/>
          <w:szCs w:val="22"/>
        </w:rPr>
        <w:t>4.2</w:t>
      </w:r>
      <w:r w:rsidR="00941B21" w:rsidRPr="007F7EBF">
        <w:rPr>
          <w:bCs/>
          <w:sz w:val="22"/>
          <w:szCs w:val="22"/>
        </w:rPr>
        <w:t>.</w:t>
      </w:r>
      <w:r w:rsidR="0098060E">
        <w:rPr>
          <w:sz w:val="22"/>
          <w:szCs w:val="22"/>
        </w:rPr>
        <w:t xml:space="preserve"> </w:t>
      </w:r>
    </w:p>
    <w:p w14:paraId="24F45F05" w14:textId="169042FC" w:rsidR="00236D59" w:rsidRPr="007F7EBF" w:rsidRDefault="00C03AF9" w:rsidP="00236D59">
      <w:pPr>
        <w:autoSpaceDE w:val="0"/>
        <w:autoSpaceDN w:val="0"/>
        <w:adjustRightInd w:val="0"/>
        <w:rPr>
          <w:sz w:val="22"/>
          <w:szCs w:val="22"/>
        </w:rPr>
      </w:pPr>
      <w:r>
        <w:rPr>
          <w:sz w:val="22"/>
          <w:szCs w:val="22"/>
        </w:rPr>
        <w:t xml:space="preserve">La determinazione dell’imponibile e la scelta delle aliquote sono </w:t>
      </w:r>
      <w:r w:rsidRPr="00CD74E5">
        <w:rPr>
          <w:b/>
          <w:sz w:val="22"/>
          <w:szCs w:val="22"/>
        </w:rPr>
        <w:t>momenti logici differenti</w:t>
      </w:r>
      <w:r>
        <w:rPr>
          <w:sz w:val="22"/>
          <w:szCs w:val="22"/>
        </w:rPr>
        <w:t xml:space="preserve"> </w:t>
      </w:r>
      <w:r w:rsidR="00846DB9">
        <w:rPr>
          <w:sz w:val="22"/>
          <w:szCs w:val="22"/>
        </w:rPr>
        <w:t xml:space="preserve">, </w:t>
      </w:r>
      <w:r w:rsidR="00CD74E5">
        <w:rPr>
          <w:sz w:val="22"/>
          <w:szCs w:val="22"/>
        </w:rPr>
        <w:t xml:space="preserve">che a rigore non dovrebbero essere confusi. Una cosa è infatti la corretta determinazione degli imponibili e un’altra il bisogno di gettito, oppure il </w:t>
      </w:r>
      <w:r w:rsidR="00386E11">
        <w:rPr>
          <w:sz w:val="22"/>
          <w:szCs w:val="22"/>
        </w:rPr>
        <w:t>possibile uso dell’</w:t>
      </w:r>
      <w:r w:rsidR="00386E11">
        <w:t xml:space="preserve">imposta come strumento di politica economica, anticipato al </w:t>
      </w:r>
      <w:r w:rsidR="00386E11" w:rsidRPr="007F7EBF">
        <w:t>par.</w:t>
      </w:r>
      <w:r w:rsidR="00361BCC">
        <w:t>4.2</w:t>
      </w:r>
      <w:r w:rsidR="00386E11" w:rsidRPr="007F7EBF">
        <w:t>,</w:t>
      </w:r>
      <w:r w:rsidR="00386E11">
        <w:t xml:space="preserve"> </w:t>
      </w:r>
      <w:r w:rsidR="00386E11" w:rsidRPr="007F7EBF">
        <w:t xml:space="preserve">che ritroveremo </w:t>
      </w:r>
      <w:r w:rsidR="00386E11">
        <w:t xml:space="preserve">al </w:t>
      </w:r>
      <w:r w:rsidR="00386E11" w:rsidRPr="007F7EBF">
        <w:t>par.2.6 sugli aiuti di stato, 7.19 in materia di concorrenza fiscale sleale</w:t>
      </w:r>
      <w:r w:rsidR="00CD74E5">
        <w:t xml:space="preserve">. </w:t>
      </w:r>
      <w:r w:rsidR="00386E11">
        <w:t xml:space="preserve"> </w:t>
      </w:r>
    </w:p>
    <w:p w14:paraId="4DEE1C48" w14:textId="7672443E" w:rsidR="00236D59" w:rsidRPr="007F7EBF" w:rsidRDefault="00CD74E5" w:rsidP="00236D59">
      <w:pPr>
        <w:pStyle w:val="tit23"/>
        <w:ind w:left="6464" w:right="-1361" w:firstLine="0"/>
        <w:jc w:val="left"/>
        <w:rPr>
          <w:bCs/>
          <w:i/>
          <w:iCs/>
          <w:color w:val="0000FF"/>
          <w:lang w:val="it-IT"/>
        </w:rPr>
      </w:pPr>
      <w:r>
        <w:rPr>
          <w:bCs/>
          <w:i/>
          <w:iCs/>
          <w:color w:val="0000FF"/>
          <w:lang w:val="it-IT"/>
        </w:rPr>
        <w:lastRenderedPageBreak/>
        <w:t>Aliquote, imponibili e uso extrafiscale dell’imposta</w:t>
      </w:r>
    </w:p>
    <w:p w14:paraId="42BFCB5A" w14:textId="70E633F5" w:rsidR="00BF6DBC" w:rsidRPr="007F7EBF" w:rsidRDefault="00CD74E5" w:rsidP="00840629">
      <w:pPr>
        <w:pStyle w:val="Testonotaapidipagina"/>
        <w:rPr>
          <w:bCs/>
          <w:i/>
          <w:iCs/>
          <w:color w:val="0000FF"/>
          <w:sz w:val="22"/>
          <w:szCs w:val="22"/>
        </w:rPr>
      </w:pPr>
      <w:r>
        <w:rPr>
          <w:sz w:val="22"/>
          <w:szCs w:val="22"/>
        </w:rPr>
        <w:t>Per questi c.d. “obiettivi extrafiscali dell’imposta” si devono a rigore utilizzare le</w:t>
      </w:r>
      <w:r w:rsidR="00C03AF9">
        <w:rPr>
          <w:sz w:val="22"/>
          <w:szCs w:val="22"/>
        </w:rPr>
        <w:t xml:space="preserve"> </w:t>
      </w:r>
      <w:r w:rsidR="0063587A" w:rsidRPr="007F7EBF">
        <w:rPr>
          <w:sz w:val="22"/>
          <w:szCs w:val="22"/>
        </w:rPr>
        <w:t>aliquote</w:t>
      </w:r>
      <w:r>
        <w:rPr>
          <w:sz w:val="22"/>
          <w:szCs w:val="22"/>
        </w:rPr>
        <w:t>,</w:t>
      </w:r>
      <w:r w:rsidR="0063587A" w:rsidRPr="007F7EBF">
        <w:rPr>
          <w:sz w:val="22"/>
          <w:szCs w:val="22"/>
        </w:rPr>
        <w:t xml:space="preserve"> </w:t>
      </w:r>
      <w:r>
        <w:rPr>
          <w:sz w:val="22"/>
          <w:szCs w:val="22"/>
        </w:rPr>
        <w:t xml:space="preserve">che però sono </w:t>
      </w:r>
      <w:r w:rsidR="0063587A" w:rsidRPr="007F7EBF">
        <w:rPr>
          <w:sz w:val="22"/>
          <w:szCs w:val="22"/>
        </w:rPr>
        <w:t xml:space="preserve">soggette a </w:t>
      </w:r>
      <w:r w:rsidR="00EF688C">
        <w:rPr>
          <w:sz w:val="22"/>
          <w:szCs w:val="22"/>
        </w:rPr>
        <w:t>forte</w:t>
      </w:r>
      <w:r w:rsidR="0063587A" w:rsidRPr="007F7EBF">
        <w:rPr>
          <w:sz w:val="22"/>
          <w:szCs w:val="22"/>
        </w:rPr>
        <w:t xml:space="preserve"> controllo sociale, interno e internazionale</w:t>
      </w:r>
      <w:r w:rsidR="001E3367">
        <w:rPr>
          <w:sz w:val="22"/>
          <w:szCs w:val="22"/>
        </w:rPr>
        <w:t xml:space="preserve"> </w:t>
      </w:r>
      <w:r w:rsidR="0063587A" w:rsidRPr="007F7EBF">
        <w:rPr>
          <w:sz w:val="22"/>
          <w:szCs w:val="22"/>
        </w:rPr>
        <w:t>(</w:t>
      </w:r>
      <w:r w:rsidR="0063587A" w:rsidRPr="007F7EBF">
        <w:rPr>
          <w:rStyle w:val="Rimandonotaapidipagina"/>
          <w:sz w:val="22"/>
          <w:szCs w:val="22"/>
        </w:rPr>
        <w:footnoteReference w:id="106"/>
      </w:r>
      <w:r w:rsidR="0063587A" w:rsidRPr="007F7EBF">
        <w:rPr>
          <w:sz w:val="22"/>
          <w:szCs w:val="22"/>
        </w:rPr>
        <w:t>)</w:t>
      </w:r>
      <w:r w:rsidR="001E3367">
        <w:rPr>
          <w:sz w:val="22"/>
          <w:szCs w:val="22"/>
        </w:rPr>
        <w:t xml:space="preserve">; </w:t>
      </w:r>
      <w:r w:rsidR="001036F9">
        <w:rPr>
          <w:sz w:val="22"/>
          <w:szCs w:val="22"/>
        </w:rPr>
        <w:t>inasprirle per</w:t>
      </w:r>
      <w:r w:rsidR="001E3367">
        <w:rPr>
          <w:sz w:val="22"/>
          <w:szCs w:val="22"/>
        </w:rPr>
        <w:t xml:space="preserve"> </w:t>
      </w:r>
      <w:r w:rsidR="001036F9">
        <w:rPr>
          <w:sz w:val="22"/>
          <w:szCs w:val="22"/>
        </w:rPr>
        <w:t xml:space="preserve">penalizzare determinati settori è </w:t>
      </w:r>
      <w:r w:rsidR="00EF688C">
        <w:rPr>
          <w:sz w:val="22"/>
          <w:szCs w:val="22"/>
        </w:rPr>
        <w:t xml:space="preserve">spesso </w:t>
      </w:r>
      <w:r w:rsidR="0063587A" w:rsidRPr="007F7EBF">
        <w:rPr>
          <w:sz w:val="22"/>
          <w:szCs w:val="22"/>
        </w:rPr>
        <w:t>troppo scopertamente punitiv</w:t>
      </w:r>
      <w:r w:rsidR="001E3367">
        <w:rPr>
          <w:sz w:val="22"/>
          <w:szCs w:val="22"/>
        </w:rPr>
        <w:t>o</w:t>
      </w:r>
      <w:r w:rsidR="00840629">
        <w:rPr>
          <w:sz w:val="22"/>
          <w:szCs w:val="22"/>
        </w:rPr>
        <w:t xml:space="preserve">, e perdente in termini di </w:t>
      </w:r>
      <w:r w:rsidR="00840629" w:rsidRPr="007F7EBF">
        <w:t xml:space="preserve">“bilancio politico”, </w:t>
      </w:r>
      <w:r w:rsidR="00840629">
        <w:t xml:space="preserve">in quanto </w:t>
      </w:r>
      <w:r w:rsidR="00840629" w:rsidRPr="007F7EBF">
        <w:t>il consenso perduto sui settori colpiti non viene riequilibrato sugli altri, che restano indifferenti.</w:t>
      </w:r>
      <w:r w:rsidR="00840629">
        <w:rPr>
          <w:sz w:val="22"/>
          <w:szCs w:val="22"/>
        </w:rPr>
        <w:t xml:space="preserve"> Analogamente, </w:t>
      </w:r>
      <w:r w:rsidR="001036F9">
        <w:rPr>
          <w:sz w:val="22"/>
          <w:szCs w:val="22"/>
        </w:rPr>
        <w:t>abbassar</w:t>
      </w:r>
      <w:r w:rsidR="00840629">
        <w:rPr>
          <w:sz w:val="22"/>
          <w:szCs w:val="22"/>
        </w:rPr>
        <w:t xml:space="preserve">e </w:t>
      </w:r>
      <w:r w:rsidR="00C434C9">
        <w:rPr>
          <w:sz w:val="22"/>
          <w:szCs w:val="22"/>
        </w:rPr>
        <w:t>l</w:t>
      </w:r>
      <w:r w:rsidR="001036F9">
        <w:rPr>
          <w:sz w:val="22"/>
          <w:szCs w:val="22"/>
        </w:rPr>
        <w:t xml:space="preserve">e </w:t>
      </w:r>
      <w:r w:rsidR="00840629">
        <w:rPr>
          <w:sz w:val="22"/>
          <w:szCs w:val="22"/>
        </w:rPr>
        <w:t xml:space="preserve">aliquote per agevolare </w:t>
      </w:r>
      <w:r w:rsidR="001036F9">
        <w:rPr>
          <w:sz w:val="22"/>
          <w:szCs w:val="22"/>
        </w:rPr>
        <w:t>settori</w:t>
      </w:r>
      <w:r w:rsidR="00C434C9">
        <w:rPr>
          <w:sz w:val="22"/>
          <w:szCs w:val="22"/>
        </w:rPr>
        <w:t xml:space="preserve"> ritenuti</w:t>
      </w:r>
      <w:r w:rsidR="001036F9">
        <w:rPr>
          <w:sz w:val="22"/>
          <w:szCs w:val="22"/>
        </w:rPr>
        <w:t xml:space="preserve"> </w:t>
      </w:r>
      <w:r w:rsidR="00EF688C">
        <w:rPr>
          <w:sz w:val="22"/>
          <w:szCs w:val="22"/>
        </w:rPr>
        <w:t xml:space="preserve">“meritevoli”, </w:t>
      </w:r>
      <w:r w:rsidR="001E3367">
        <w:rPr>
          <w:sz w:val="22"/>
          <w:szCs w:val="22"/>
        </w:rPr>
        <w:t>innesc</w:t>
      </w:r>
      <w:r w:rsidR="00C434C9">
        <w:rPr>
          <w:sz w:val="22"/>
          <w:szCs w:val="22"/>
        </w:rPr>
        <w:t xml:space="preserve">herebbe incontrollabili </w:t>
      </w:r>
      <w:r w:rsidR="001E3367" w:rsidRPr="007F7EBF">
        <w:rPr>
          <w:sz w:val="22"/>
          <w:szCs w:val="22"/>
        </w:rPr>
        <w:t>richieste analoghe</w:t>
      </w:r>
      <w:r w:rsidR="00840629">
        <w:rPr>
          <w:sz w:val="22"/>
          <w:szCs w:val="22"/>
        </w:rPr>
        <w:t>, oltre alle accuse comunitarie di “aiuti di stato”</w:t>
      </w:r>
      <w:r>
        <w:rPr>
          <w:sz w:val="22"/>
          <w:szCs w:val="22"/>
        </w:rPr>
        <w:t xml:space="preserve"> di cui al par.2.6</w:t>
      </w:r>
      <w:r w:rsidR="001E3367">
        <w:rPr>
          <w:sz w:val="22"/>
          <w:szCs w:val="22"/>
        </w:rPr>
        <w:t xml:space="preserve">. </w:t>
      </w:r>
      <w:r w:rsidR="001E3367">
        <w:t xml:space="preserve">L’intervento sull’aliquota è </w:t>
      </w:r>
      <w:r w:rsidR="00840629">
        <w:t>insomma</w:t>
      </w:r>
      <w:r w:rsidR="001E3367">
        <w:t xml:space="preserve"> scopertamente “politico”</w:t>
      </w:r>
      <w:r w:rsidR="001E3367" w:rsidRPr="007F7EBF">
        <w:t xml:space="preserve">, </w:t>
      </w:r>
      <w:r w:rsidR="00F91FDE">
        <w:t xml:space="preserve">e quindi socialmente </w:t>
      </w:r>
      <w:r w:rsidR="00C434C9">
        <w:t>delicato</w:t>
      </w:r>
      <w:r w:rsidR="00F91FDE">
        <w:t>, quando non diretto a settori palesemente meritevoli o screditati</w:t>
      </w:r>
      <w:r w:rsidR="00C434C9">
        <w:t xml:space="preserve"> </w:t>
      </w:r>
      <w:r w:rsidR="00C434C9">
        <w:rPr>
          <w:sz w:val="22"/>
          <w:szCs w:val="22"/>
        </w:rPr>
        <w:t>(</w:t>
      </w:r>
      <w:r w:rsidR="00C434C9" w:rsidRPr="007F7EBF">
        <w:rPr>
          <w:rStyle w:val="Rimandonotaapidipagina"/>
          <w:sz w:val="22"/>
          <w:szCs w:val="22"/>
        </w:rPr>
        <w:footnoteReference w:id="107"/>
      </w:r>
      <w:r w:rsidR="00C434C9">
        <w:rPr>
          <w:sz w:val="22"/>
          <w:szCs w:val="22"/>
        </w:rPr>
        <w:t>)</w:t>
      </w:r>
      <w:r w:rsidR="00F91FDE">
        <w:t xml:space="preserve">. </w:t>
      </w:r>
      <w:r>
        <w:t>Per questo c’è una tendenza strisciante, e non palesemente esplicitata (secondo le ipocrisie tipiche della sfera giuridico-politica) a perseguire questi obiettivi distorcendo</w:t>
      </w:r>
      <w:r w:rsidRPr="007F7EBF">
        <w:t xml:space="preserve"> strumentalment</w:t>
      </w:r>
      <w:r>
        <w:t xml:space="preserve">e </w:t>
      </w:r>
      <w:r w:rsidRPr="007F7EBF">
        <w:t xml:space="preserve">la determinazione </w:t>
      </w:r>
      <w:r>
        <w:t xml:space="preserve">dell’imponibile. </w:t>
      </w:r>
    </w:p>
    <w:p w14:paraId="52E90353" w14:textId="0A195DFC" w:rsidR="006F039C" w:rsidRPr="007F7EBF" w:rsidRDefault="00840629" w:rsidP="006F039C">
      <w:pPr>
        <w:pStyle w:val="tit23"/>
        <w:ind w:left="6464" w:right="-1361" w:firstLine="0"/>
        <w:jc w:val="left"/>
        <w:rPr>
          <w:bCs/>
          <w:i/>
          <w:iCs/>
          <w:color w:val="0000FF"/>
          <w:lang w:val="it-IT"/>
        </w:rPr>
      </w:pPr>
      <w:r>
        <w:rPr>
          <w:bCs/>
          <w:i/>
          <w:iCs/>
          <w:color w:val="0000FF"/>
          <w:lang w:val="it-IT"/>
        </w:rPr>
        <w:t>Uso politico della</w:t>
      </w:r>
      <w:r w:rsidR="006F039C" w:rsidRPr="007F7EBF">
        <w:rPr>
          <w:bCs/>
          <w:i/>
          <w:iCs/>
          <w:color w:val="0000FF"/>
          <w:lang w:val="it-IT"/>
        </w:rPr>
        <w:t xml:space="preserve"> determinazione dell’imponibile </w:t>
      </w:r>
    </w:p>
    <w:p w14:paraId="23138C95" w14:textId="5479F118" w:rsidR="002C27C7" w:rsidRPr="007F7EBF" w:rsidRDefault="00F91FDE" w:rsidP="002C27C7">
      <w:pPr>
        <w:autoSpaceDE w:val="0"/>
        <w:autoSpaceDN w:val="0"/>
        <w:adjustRightInd w:val="0"/>
        <w:rPr>
          <w:bCs/>
          <w:sz w:val="22"/>
          <w:szCs w:val="22"/>
        </w:rPr>
      </w:pPr>
      <w:r>
        <w:t xml:space="preserve">E’ quindi più facile </w:t>
      </w:r>
      <w:r w:rsidR="00CD74E5">
        <w:t xml:space="preserve">giustificare l’uso extrafiscale dell’imposta </w:t>
      </w:r>
      <w:r>
        <w:t xml:space="preserve"> </w:t>
      </w:r>
      <w:r w:rsidR="002C27C7">
        <w:t xml:space="preserve">con </w:t>
      </w:r>
      <w:r w:rsidR="00840629">
        <w:t xml:space="preserve">le </w:t>
      </w:r>
      <w:r w:rsidRPr="007F7EBF">
        <w:t xml:space="preserve">esigenze tecniche </w:t>
      </w:r>
      <w:r w:rsidR="00F96013" w:rsidRPr="007F7EBF">
        <w:rPr>
          <w:sz w:val="22"/>
          <w:szCs w:val="22"/>
        </w:rPr>
        <w:t>di determinazione dell'imponibile</w:t>
      </w:r>
      <w:r w:rsidR="00840629">
        <w:rPr>
          <w:sz w:val="22"/>
          <w:szCs w:val="22"/>
        </w:rPr>
        <w:t xml:space="preserve"> indicate al termine del paragrafo precedente (semplificazione, cau</w:t>
      </w:r>
      <w:r w:rsidR="00F96013" w:rsidRPr="007F7EBF">
        <w:rPr>
          <w:sz w:val="22"/>
          <w:szCs w:val="22"/>
        </w:rPr>
        <w:t>tela fiscale,</w:t>
      </w:r>
      <w:r w:rsidRPr="007F7EBF">
        <w:t xml:space="preserve"> </w:t>
      </w:r>
      <w:r w:rsidR="002C27C7">
        <w:t xml:space="preserve">forfettizzazione, </w:t>
      </w:r>
      <w:r w:rsidR="000F43D1">
        <w:t xml:space="preserve">contrasto all’evasione </w:t>
      </w:r>
      <w:r w:rsidR="00840629">
        <w:t xml:space="preserve">etc.). </w:t>
      </w:r>
      <w:r w:rsidR="00F96013">
        <w:t xml:space="preserve">E’ un modo </w:t>
      </w:r>
      <w:r w:rsidR="00F96013">
        <w:rPr>
          <w:sz w:val="22"/>
          <w:szCs w:val="22"/>
        </w:rPr>
        <w:t xml:space="preserve">politicamente comodo </w:t>
      </w:r>
      <w:r w:rsidR="001226E7">
        <w:rPr>
          <w:sz w:val="22"/>
          <w:szCs w:val="22"/>
        </w:rPr>
        <w:t>(</w:t>
      </w:r>
      <w:r w:rsidR="006F039C" w:rsidRPr="007F7EBF">
        <w:rPr>
          <w:rStyle w:val="Rimandonotaapidipagina"/>
          <w:sz w:val="22"/>
          <w:szCs w:val="22"/>
        </w:rPr>
        <w:footnoteReference w:id="108"/>
      </w:r>
      <w:r w:rsidR="001226E7">
        <w:rPr>
          <w:sz w:val="22"/>
          <w:szCs w:val="22"/>
        </w:rPr>
        <w:t>)</w:t>
      </w:r>
      <w:r w:rsidR="00F96013">
        <w:rPr>
          <w:sz w:val="22"/>
          <w:szCs w:val="22"/>
        </w:rPr>
        <w:t xml:space="preserve"> di </w:t>
      </w:r>
      <w:r w:rsidR="0098060E">
        <w:rPr>
          <w:sz w:val="22"/>
          <w:szCs w:val="22"/>
        </w:rPr>
        <w:t>incide</w:t>
      </w:r>
      <w:r w:rsidR="00F96013">
        <w:rPr>
          <w:sz w:val="22"/>
          <w:szCs w:val="22"/>
        </w:rPr>
        <w:t>re</w:t>
      </w:r>
      <w:r w:rsidR="0098060E">
        <w:rPr>
          <w:sz w:val="22"/>
          <w:szCs w:val="22"/>
        </w:rPr>
        <w:t xml:space="preserve"> indirettamente sul carico </w:t>
      </w:r>
      <w:r w:rsidR="00F96013">
        <w:rPr>
          <w:sz w:val="22"/>
          <w:szCs w:val="22"/>
        </w:rPr>
        <w:lastRenderedPageBreak/>
        <w:t xml:space="preserve">d’imposta, come vedremo per </w:t>
      </w:r>
      <w:r w:rsidR="00F96013" w:rsidRPr="007F7EBF">
        <w:t xml:space="preserve">l'agricoltura </w:t>
      </w:r>
      <w:r w:rsidR="00F96013">
        <w:t>(</w:t>
      </w:r>
      <w:r w:rsidR="00F96013" w:rsidRPr="007F7EBF">
        <w:t>par.8.2</w:t>
      </w:r>
      <w:r w:rsidR="00F96013">
        <w:t xml:space="preserve">), </w:t>
      </w:r>
      <w:r w:rsidR="00F96013" w:rsidRPr="007F7EBF">
        <w:t>la concorrenza fiscale dannosa tra stati</w:t>
      </w:r>
      <w:r w:rsidR="00F96013">
        <w:t xml:space="preserve"> (</w:t>
      </w:r>
      <w:r w:rsidR="00F96013" w:rsidRPr="007F7EBF">
        <w:t>par.7.19</w:t>
      </w:r>
      <w:r w:rsidR="00F96013">
        <w:t>)</w:t>
      </w:r>
      <w:r w:rsidR="00EF688C">
        <w:t>, le procedure concorsuali (par.7.21)</w:t>
      </w:r>
      <w:r w:rsidR="00F96013">
        <w:t>; talvolta</w:t>
      </w:r>
      <w:r w:rsidR="00F96013" w:rsidRPr="007F7EBF">
        <w:t xml:space="preserve"> una semplice determinazione corretta dell’imponibile viene presentata come agevolativa (</w:t>
      </w:r>
      <w:r w:rsidR="00F96013">
        <w:rPr>
          <w:rStyle w:val="Rimandonotaapidipagina"/>
        </w:rPr>
        <w:footnoteReference w:id="109"/>
      </w:r>
      <w:r w:rsidR="00F96013">
        <w:t>)</w:t>
      </w:r>
      <w:r w:rsidR="004660A8" w:rsidRPr="007F7EBF">
        <w:rPr>
          <w:sz w:val="22"/>
          <w:szCs w:val="22"/>
        </w:rPr>
        <w:t xml:space="preserve">. </w:t>
      </w:r>
      <w:r w:rsidR="002C27C7">
        <w:t>Al contrario, s</w:t>
      </w:r>
      <w:r w:rsidR="00EF688C">
        <w:t xml:space="preserve">pesso la precisazione degli imponibili, con la distinzione tra costi di impresa e spese per consumi (par.7.9 sull’inerenza) viene utilizzata </w:t>
      </w:r>
      <w:r w:rsidR="00F95BCD">
        <w:t>per “fare gettito”, vietando a priori la deduzione di spese</w:t>
      </w:r>
      <w:r w:rsidR="002C27C7">
        <w:t xml:space="preserve"> con</w:t>
      </w:r>
      <w:r w:rsidR="00F95BCD">
        <w:t xml:space="preserve"> sospetto uso personale. </w:t>
      </w:r>
      <w:r w:rsidR="00C84F33">
        <w:rPr>
          <w:sz w:val="22"/>
          <w:szCs w:val="22"/>
        </w:rPr>
        <w:t>Insomma, l</w:t>
      </w:r>
      <w:r w:rsidR="00C84F33">
        <w:t>’uso extrafiscale dell’imposta, a rigore logico, è legittimo se non altera i criteri di determinazione degli imponibili. Tuttavia l’assenza di una spiegazione scientifico sociale della funzione tributaria ostacola dichiarazioni d’incostituzionalità a fronte di irrazionalità</w:t>
      </w:r>
      <w:r w:rsidR="00C84F33" w:rsidRPr="007F7EBF">
        <w:t xml:space="preserve"> nella </w:t>
      </w:r>
      <w:r w:rsidR="00C84F33">
        <w:t>specificazione giuridica dei concetti economici</w:t>
      </w:r>
      <w:r w:rsidR="00C84F33" w:rsidRPr="007F7EBF">
        <w:t xml:space="preserve"> </w:t>
      </w:r>
      <w:r w:rsidR="00C84F33">
        <w:t>(</w:t>
      </w:r>
      <w:r w:rsidR="00C84F33">
        <w:rPr>
          <w:rStyle w:val="Rimandonotaapidipagina"/>
        </w:rPr>
        <w:footnoteReference w:id="110"/>
      </w:r>
      <w:r w:rsidR="00C84F33">
        <w:t xml:space="preserve">). </w:t>
      </w:r>
    </w:p>
    <w:p w14:paraId="4004F7FC" w14:textId="14398807" w:rsidR="002C27C7" w:rsidRPr="007F7EBF" w:rsidRDefault="002C27C7" w:rsidP="002C27C7">
      <w:pPr>
        <w:pStyle w:val="tit23"/>
        <w:ind w:left="6464" w:right="-1361" w:firstLine="0"/>
        <w:jc w:val="left"/>
        <w:rPr>
          <w:bCs/>
          <w:i/>
          <w:iCs/>
          <w:color w:val="0000FF"/>
          <w:lang w:val="it-IT"/>
        </w:rPr>
      </w:pPr>
      <w:r>
        <w:rPr>
          <w:bCs/>
          <w:i/>
          <w:iCs/>
          <w:color w:val="0000FF"/>
          <w:lang w:val="it-IT"/>
        </w:rPr>
        <w:t>Esclusioni ed esenzioni</w:t>
      </w:r>
    </w:p>
    <w:p w14:paraId="503179DE" w14:textId="1731C35E" w:rsidR="00783B80" w:rsidRPr="007F7EBF" w:rsidRDefault="00FD5598" w:rsidP="00445DC0">
      <w:pPr>
        <w:autoSpaceDE w:val="0"/>
        <w:autoSpaceDN w:val="0"/>
        <w:adjustRightInd w:val="0"/>
        <w:rPr>
          <w:bCs/>
          <w:i/>
          <w:iCs/>
          <w:color w:val="0000FF"/>
          <w:sz w:val="22"/>
          <w:szCs w:val="22"/>
        </w:rPr>
      </w:pPr>
      <w:r>
        <w:rPr>
          <w:sz w:val="22"/>
          <w:szCs w:val="22"/>
        </w:rPr>
        <w:t xml:space="preserve">Sul piano scientifico sociale </w:t>
      </w:r>
      <w:r w:rsidR="004660A8" w:rsidRPr="007F7EBF">
        <w:rPr>
          <w:sz w:val="22"/>
          <w:szCs w:val="22"/>
        </w:rPr>
        <w:t xml:space="preserve">è </w:t>
      </w:r>
      <w:r>
        <w:rPr>
          <w:sz w:val="22"/>
          <w:szCs w:val="22"/>
        </w:rPr>
        <w:t xml:space="preserve">quindi </w:t>
      </w:r>
      <w:r w:rsidR="004660A8" w:rsidRPr="007F7EBF">
        <w:rPr>
          <w:sz w:val="22"/>
          <w:szCs w:val="22"/>
        </w:rPr>
        <w:t>importante distinguere la precisazione dei concetti  economici di cui al par.1.8, tipica della funzione tributaria</w:t>
      </w:r>
      <w:r w:rsidR="00F96013">
        <w:rPr>
          <w:sz w:val="22"/>
          <w:szCs w:val="22"/>
        </w:rPr>
        <w:t xml:space="preserve">, cui si collegano le c.d. “esclusioni dall’imposta” </w:t>
      </w:r>
      <w:r w:rsidR="004660A8" w:rsidRPr="007F7EBF">
        <w:rPr>
          <w:sz w:val="22"/>
          <w:szCs w:val="22"/>
        </w:rPr>
        <w:t xml:space="preserve">, </w:t>
      </w:r>
      <w:r w:rsidR="00F96013">
        <w:rPr>
          <w:sz w:val="22"/>
          <w:szCs w:val="22"/>
        </w:rPr>
        <w:t xml:space="preserve">rispetto </w:t>
      </w:r>
      <w:r w:rsidR="004660A8" w:rsidRPr="007F7EBF">
        <w:rPr>
          <w:sz w:val="22"/>
          <w:szCs w:val="22"/>
        </w:rPr>
        <w:t xml:space="preserve">alle agevolazioni </w:t>
      </w:r>
      <w:r w:rsidR="001B314D" w:rsidRPr="007F7EBF">
        <w:rPr>
          <w:sz w:val="22"/>
          <w:szCs w:val="22"/>
        </w:rPr>
        <w:t xml:space="preserve"> </w:t>
      </w:r>
      <w:r w:rsidR="004660A8" w:rsidRPr="007F7EBF">
        <w:rPr>
          <w:sz w:val="22"/>
          <w:szCs w:val="22"/>
        </w:rPr>
        <w:t>dettate da altre finalità economico-sociali</w:t>
      </w:r>
      <w:r w:rsidR="00F96013">
        <w:rPr>
          <w:sz w:val="22"/>
          <w:szCs w:val="22"/>
        </w:rPr>
        <w:t xml:space="preserve">, denominate “esenzioni” </w:t>
      </w:r>
      <w:r w:rsidR="00783B80" w:rsidRPr="007F7EBF">
        <w:rPr>
          <w:sz w:val="22"/>
          <w:szCs w:val="22"/>
        </w:rPr>
        <w:t>(</w:t>
      </w:r>
      <w:r w:rsidR="00783B80" w:rsidRPr="007F7EBF">
        <w:rPr>
          <w:rStyle w:val="Rimandonotaapidipagina"/>
          <w:sz w:val="22"/>
          <w:szCs w:val="22"/>
        </w:rPr>
        <w:footnoteReference w:id="111"/>
      </w:r>
      <w:r w:rsidR="00783B80" w:rsidRPr="007F7EBF">
        <w:rPr>
          <w:sz w:val="22"/>
          <w:szCs w:val="22"/>
        </w:rPr>
        <w:t xml:space="preserve">). </w:t>
      </w:r>
    </w:p>
    <w:p w14:paraId="151D1703" w14:textId="2B897D6F" w:rsidR="00E40220" w:rsidRPr="007F7EBF" w:rsidRDefault="006342C5" w:rsidP="001226E7">
      <w:pPr>
        <w:pStyle w:val="Titolo3"/>
        <w:rPr>
          <w:bCs w:val="0"/>
          <w:i/>
          <w:iCs/>
          <w:color w:val="0000FF"/>
          <w:sz w:val="22"/>
          <w:szCs w:val="22"/>
        </w:rPr>
      </w:pPr>
      <w:bookmarkStart w:id="15" w:name="_Toc63364936"/>
      <w:r w:rsidRPr="007F7EBF">
        <w:rPr>
          <w:rFonts w:ascii="Times New Roman" w:hAnsi="Times New Roman"/>
          <w:sz w:val="22"/>
          <w:szCs w:val="22"/>
        </w:rPr>
        <w:t xml:space="preserve">1.10. </w:t>
      </w:r>
      <w:r w:rsidR="0083592B" w:rsidRPr="007F7EBF">
        <w:rPr>
          <w:rFonts w:ascii="Times New Roman" w:hAnsi="Times New Roman"/>
          <w:sz w:val="22"/>
          <w:szCs w:val="22"/>
          <w:lang w:val="it-IT"/>
        </w:rPr>
        <w:t>P</w:t>
      </w:r>
      <w:r w:rsidR="00605B4E">
        <w:rPr>
          <w:rFonts w:ascii="Times New Roman" w:hAnsi="Times New Roman"/>
          <w:sz w:val="22"/>
          <w:szCs w:val="22"/>
          <w:lang w:val="it-IT"/>
        </w:rPr>
        <w:t>luralità di</w:t>
      </w:r>
      <w:r w:rsidR="006E3561" w:rsidRPr="007F7EBF">
        <w:rPr>
          <w:rFonts w:ascii="Times New Roman" w:hAnsi="Times New Roman"/>
          <w:sz w:val="22"/>
          <w:szCs w:val="22"/>
        </w:rPr>
        <w:t xml:space="preserve"> tributi</w:t>
      </w:r>
      <w:r w:rsidR="00605B4E">
        <w:rPr>
          <w:rFonts w:ascii="Times New Roman" w:hAnsi="Times New Roman"/>
          <w:sz w:val="22"/>
          <w:szCs w:val="22"/>
          <w:lang w:val="it-IT"/>
        </w:rPr>
        <w:t>, perequazione</w:t>
      </w:r>
      <w:r w:rsidR="006E3561" w:rsidRPr="007F7EBF">
        <w:rPr>
          <w:rFonts w:ascii="Times New Roman" w:hAnsi="Times New Roman"/>
          <w:sz w:val="22"/>
          <w:szCs w:val="22"/>
        </w:rPr>
        <w:t xml:space="preserve"> </w:t>
      </w:r>
      <w:r w:rsidR="003F6FC5" w:rsidRPr="007F7EBF">
        <w:rPr>
          <w:rFonts w:ascii="Times New Roman" w:hAnsi="Times New Roman"/>
          <w:sz w:val="22"/>
          <w:szCs w:val="22"/>
          <w:lang w:val="it-IT"/>
        </w:rPr>
        <w:t>e</w:t>
      </w:r>
      <w:r w:rsidR="000D2235" w:rsidRPr="007F7EBF">
        <w:rPr>
          <w:rFonts w:ascii="Times New Roman" w:hAnsi="Times New Roman"/>
          <w:sz w:val="22"/>
          <w:szCs w:val="22"/>
        </w:rPr>
        <w:t xml:space="preserve"> </w:t>
      </w:r>
      <w:r w:rsidR="000B44E6">
        <w:rPr>
          <w:rFonts w:ascii="Times New Roman" w:hAnsi="Times New Roman"/>
          <w:sz w:val="22"/>
          <w:szCs w:val="22"/>
          <w:lang w:val="it-IT"/>
        </w:rPr>
        <w:t>geografia del loro</w:t>
      </w:r>
      <w:r w:rsidR="00605B4E">
        <w:rPr>
          <w:rFonts w:ascii="Times New Roman" w:hAnsi="Times New Roman"/>
          <w:sz w:val="22"/>
          <w:szCs w:val="22"/>
          <w:lang w:val="it-IT"/>
        </w:rPr>
        <w:t xml:space="preserve"> </w:t>
      </w:r>
      <w:r w:rsidR="005B6C3C" w:rsidRPr="007F7EBF">
        <w:rPr>
          <w:rFonts w:ascii="Times New Roman" w:hAnsi="Times New Roman"/>
          <w:sz w:val="22"/>
          <w:szCs w:val="22"/>
          <w:lang w:val="it-IT"/>
        </w:rPr>
        <w:t>gettito</w:t>
      </w:r>
      <w:bookmarkEnd w:id="15"/>
    </w:p>
    <w:p w14:paraId="2F1845CF" w14:textId="277FAC79" w:rsidR="005177CC" w:rsidRPr="007F7EBF" w:rsidRDefault="00E570FE" w:rsidP="005177CC">
      <w:pPr>
        <w:pStyle w:val="tit23"/>
        <w:ind w:left="6464" w:right="-1361" w:firstLine="0"/>
        <w:jc w:val="left"/>
        <w:rPr>
          <w:bCs/>
          <w:i/>
          <w:iCs/>
          <w:color w:val="0000FF"/>
          <w:lang w:val="it-IT"/>
        </w:rPr>
      </w:pPr>
      <w:r>
        <w:rPr>
          <w:bCs/>
          <w:i/>
          <w:iCs/>
          <w:color w:val="0000FF"/>
          <w:lang w:val="it-IT"/>
        </w:rPr>
        <w:t xml:space="preserve">Finalità </w:t>
      </w:r>
      <w:r w:rsidR="005177CC" w:rsidRPr="007F7EBF">
        <w:rPr>
          <w:bCs/>
          <w:i/>
          <w:iCs/>
          <w:color w:val="0000FF"/>
          <w:lang w:val="it-IT"/>
        </w:rPr>
        <w:t>perequa</w:t>
      </w:r>
      <w:r>
        <w:rPr>
          <w:bCs/>
          <w:i/>
          <w:iCs/>
          <w:color w:val="0000FF"/>
          <w:lang w:val="it-IT"/>
        </w:rPr>
        <w:t xml:space="preserve">tiva di una varietà </w:t>
      </w:r>
      <w:r w:rsidR="005177CC">
        <w:rPr>
          <w:bCs/>
          <w:i/>
          <w:iCs/>
          <w:color w:val="0000FF"/>
          <w:lang w:val="it-IT"/>
        </w:rPr>
        <w:t>di tributi</w:t>
      </w:r>
    </w:p>
    <w:p w14:paraId="7643ECD3" w14:textId="7077BC36" w:rsidR="008176EB" w:rsidRPr="007F7EBF" w:rsidRDefault="00E570FE" w:rsidP="00605B4E">
      <w:pPr>
        <w:autoSpaceDE w:val="0"/>
        <w:autoSpaceDN w:val="0"/>
        <w:adjustRightInd w:val="0"/>
        <w:rPr>
          <w:bCs/>
          <w:sz w:val="22"/>
          <w:szCs w:val="22"/>
        </w:rPr>
      </w:pPr>
      <w:r>
        <w:rPr>
          <w:bCs/>
          <w:sz w:val="22"/>
          <w:szCs w:val="22"/>
        </w:rPr>
        <w:lastRenderedPageBreak/>
        <w:t xml:space="preserve">I </w:t>
      </w:r>
      <w:r w:rsidR="006342C5" w:rsidRPr="007F7EBF">
        <w:rPr>
          <w:bCs/>
          <w:sz w:val="22"/>
          <w:szCs w:val="22"/>
        </w:rPr>
        <w:t>sistemi</w:t>
      </w:r>
      <w:r w:rsidR="00F460A4" w:rsidRPr="007F7EBF">
        <w:rPr>
          <w:bCs/>
          <w:sz w:val="22"/>
          <w:szCs w:val="22"/>
        </w:rPr>
        <w:t xml:space="preserve"> </w:t>
      </w:r>
      <w:r w:rsidR="00BD09DE">
        <w:rPr>
          <w:bCs/>
          <w:sz w:val="22"/>
          <w:szCs w:val="22"/>
        </w:rPr>
        <w:t xml:space="preserve">d’imposte </w:t>
      </w:r>
      <w:r>
        <w:rPr>
          <w:bCs/>
          <w:sz w:val="22"/>
          <w:szCs w:val="22"/>
        </w:rPr>
        <w:t xml:space="preserve">tendono a considerare tutte le astrazioni economiche di cui al par.1.8, cioè </w:t>
      </w:r>
      <w:r w:rsidR="006342C5" w:rsidRPr="007F7EBF">
        <w:rPr>
          <w:sz w:val="22"/>
          <w:szCs w:val="22"/>
        </w:rPr>
        <w:t>reddito, consumi e patrimonio</w:t>
      </w:r>
      <w:r w:rsidR="005177CC">
        <w:rPr>
          <w:bCs/>
          <w:sz w:val="22"/>
          <w:szCs w:val="22"/>
        </w:rPr>
        <w:t xml:space="preserve">, </w:t>
      </w:r>
      <w:r>
        <w:rPr>
          <w:bCs/>
          <w:sz w:val="22"/>
          <w:szCs w:val="22"/>
        </w:rPr>
        <w:t xml:space="preserve">con finalità prima di tutto </w:t>
      </w:r>
      <w:r w:rsidR="00A661CA" w:rsidRPr="007F7EBF">
        <w:rPr>
          <w:bCs/>
          <w:sz w:val="22"/>
          <w:szCs w:val="22"/>
        </w:rPr>
        <w:t>perequa</w:t>
      </w:r>
      <w:r w:rsidR="005177CC">
        <w:rPr>
          <w:bCs/>
          <w:sz w:val="22"/>
          <w:szCs w:val="22"/>
        </w:rPr>
        <w:t>tiva</w:t>
      </w:r>
      <w:r>
        <w:rPr>
          <w:bCs/>
          <w:sz w:val="22"/>
          <w:szCs w:val="22"/>
        </w:rPr>
        <w:t xml:space="preserve">; utilizzare solo una di queste grandezze favorirebbe, a parità di gettito, chi riesce a sottrarla all’imposta. Imposte più miti, ma su tutte le grandezze in esame, hanno il suddetto effetto perequativo, </w:t>
      </w:r>
      <w:r w:rsidR="00603B28">
        <w:rPr>
          <w:sz w:val="22"/>
          <w:szCs w:val="22"/>
        </w:rPr>
        <w:t xml:space="preserve">in quanto </w:t>
      </w:r>
      <w:r w:rsidR="00BD09DE">
        <w:rPr>
          <w:sz w:val="22"/>
          <w:szCs w:val="22"/>
        </w:rPr>
        <w:t>è</w:t>
      </w:r>
      <w:r w:rsidR="00910B95" w:rsidRPr="007F7EBF">
        <w:rPr>
          <w:bCs/>
          <w:sz w:val="22"/>
          <w:szCs w:val="22"/>
        </w:rPr>
        <w:t xml:space="preserve"> difficile evitar</w:t>
      </w:r>
      <w:r w:rsidR="00BD09DE">
        <w:rPr>
          <w:bCs/>
          <w:sz w:val="22"/>
          <w:szCs w:val="22"/>
        </w:rPr>
        <w:t>l</w:t>
      </w:r>
      <w:r w:rsidR="00910B95" w:rsidRPr="007F7EBF">
        <w:rPr>
          <w:bCs/>
          <w:sz w:val="22"/>
          <w:szCs w:val="22"/>
        </w:rPr>
        <w:t xml:space="preserve">e </w:t>
      </w:r>
      <w:r w:rsidR="00BD09DE">
        <w:rPr>
          <w:bCs/>
          <w:sz w:val="22"/>
          <w:szCs w:val="22"/>
        </w:rPr>
        <w:t>tutte; a</w:t>
      </w:r>
      <w:r w:rsidR="00910B95" w:rsidRPr="007F7EBF">
        <w:rPr>
          <w:bCs/>
          <w:sz w:val="22"/>
          <w:szCs w:val="22"/>
        </w:rPr>
        <w:t xml:space="preserve">nche chi </w:t>
      </w:r>
      <w:r>
        <w:rPr>
          <w:bCs/>
          <w:sz w:val="22"/>
          <w:szCs w:val="22"/>
        </w:rPr>
        <w:t>riesce a</w:t>
      </w:r>
      <w:r w:rsidR="005177CC">
        <w:rPr>
          <w:bCs/>
          <w:sz w:val="22"/>
          <w:szCs w:val="22"/>
        </w:rPr>
        <w:t xml:space="preserve"> </w:t>
      </w:r>
      <w:r w:rsidR="00910B95" w:rsidRPr="007F7EBF">
        <w:rPr>
          <w:bCs/>
          <w:sz w:val="22"/>
          <w:szCs w:val="22"/>
        </w:rPr>
        <w:t>evadere le imposte sui redditi pagare IVA</w:t>
      </w:r>
      <w:r>
        <w:rPr>
          <w:bCs/>
          <w:sz w:val="22"/>
          <w:szCs w:val="22"/>
        </w:rPr>
        <w:t xml:space="preserve"> e imposte di consumo </w:t>
      </w:r>
      <w:r w:rsidR="00910B95" w:rsidRPr="007F7EBF">
        <w:rPr>
          <w:bCs/>
          <w:sz w:val="22"/>
          <w:szCs w:val="22"/>
        </w:rPr>
        <w:t xml:space="preserve"> quando acquista al supermercato, paga utenze domestiche o fa benzina, IMU se possiede immobili etc.. </w:t>
      </w:r>
      <w:r>
        <w:rPr>
          <w:bCs/>
          <w:sz w:val="22"/>
          <w:szCs w:val="22"/>
        </w:rPr>
        <w:t xml:space="preserve">Una pluralità di imposte diversamente distribuite riduce il rischio </w:t>
      </w:r>
      <w:r w:rsidR="009C184F">
        <w:t>che qualcuno non paghi assolutamente nulla per via della</w:t>
      </w:r>
      <w:r w:rsidR="005177CC" w:rsidRPr="007F7EBF">
        <w:t xml:space="preserve"> diversa determinabilità de</w:t>
      </w:r>
      <w:r w:rsidR="005177CC">
        <w:t>gl’imponibili</w:t>
      </w:r>
      <w:r w:rsidR="005177CC" w:rsidRPr="007F7EBF">
        <w:t>.</w:t>
      </w:r>
      <w:r w:rsidR="005177CC">
        <w:t xml:space="preserve"> </w:t>
      </w:r>
      <w:r>
        <w:t xml:space="preserve">Questa </w:t>
      </w:r>
      <w:r>
        <w:rPr>
          <w:bCs/>
          <w:sz w:val="22"/>
          <w:szCs w:val="22"/>
        </w:rPr>
        <w:t xml:space="preserve">pluralità di imposte consente anche di valorizzare tutte </w:t>
      </w:r>
      <w:r w:rsidRPr="007F7EBF">
        <w:rPr>
          <w:bCs/>
          <w:sz w:val="22"/>
          <w:szCs w:val="22"/>
        </w:rPr>
        <w:t>le</w:t>
      </w:r>
      <w:r>
        <w:rPr>
          <w:bCs/>
          <w:sz w:val="22"/>
          <w:szCs w:val="22"/>
        </w:rPr>
        <w:t xml:space="preserve"> efficienti</w:t>
      </w:r>
      <w:r w:rsidRPr="007F7EBF">
        <w:rPr>
          <w:bCs/>
          <w:sz w:val="22"/>
          <w:szCs w:val="22"/>
        </w:rPr>
        <w:t xml:space="preserve"> modalità, valutative o documentali, </w:t>
      </w:r>
      <w:r>
        <w:rPr>
          <w:bCs/>
          <w:sz w:val="22"/>
          <w:szCs w:val="22"/>
        </w:rPr>
        <w:t>di determinazione degli imponibili (par.1.11).</w:t>
      </w:r>
    </w:p>
    <w:p w14:paraId="26E14EF1" w14:textId="77777777" w:rsidR="008176EB" w:rsidRPr="007F7EBF" w:rsidRDefault="008176EB" w:rsidP="008176EB">
      <w:pPr>
        <w:pStyle w:val="tit23"/>
        <w:ind w:left="6464" w:right="-1361" w:firstLine="0"/>
        <w:jc w:val="left"/>
        <w:rPr>
          <w:bCs/>
          <w:i/>
          <w:iCs/>
          <w:color w:val="0000FF"/>
          <w:lang w:val="it-IT"/>
        </w:rPr>
      </w:pPr>
      <w:r w:rsidRPr="007F7EBF">
        <w:rPr>
          <w:bCs/>
          <w:i/>
          <w:iCs/>
          <w:color w:val="0000FF"/>
          <w:lang w:val="it-IT"/>
        </w:rPr>
        <w:t>Polemiche sul numero dei tributi</w:t>
      </w:r>
    </w:p>
    <w:p w14:paraId="6E2560BA" w14:textId="11D20C3E" w:rsidR="006623CA" w:rsidRDefault="00E570FE" w:rsidP="00605B4E">
      <w:pPr>
        <w:autoSpaceDE w:val="0"/>
        <w:autoSpaceDN w:val="0"/>
        <w:adjustRightInd w:val="0"/>
        <w:rPr>
          <w:sz w:val="22"/>
          <w:szCs w:val="22"/>
        </w:rPr>
      </w:pPr>
      <w:r>
        <w:rPr>
          <w:bCs/>
          <w:sz w:val="22"/>
          <w:szCs w:val="22"/>
        </w:rPr>
        <w:t xml:space="preserve">Tuttavia essa </w:t>
      </w:r>
      <w:r w:rsidR="006623CA">
        <w:rPr>
          <w:bCs/>
          <w:sz w:val="22"/>
          <w:szCs w:val="22"/>
        </w:rPr>
        <w:t xml:space="preserve">è stata oggetto di </w:t>
      </w:r>
      <w:r>
        <w:rPr>
          <w:bCs/>
          <w:sz w:val="22"/>
          <w:szCs w:val="22"/>
        </w:rPr>
        <w:t>futile</w:t>
      </w:r>
      <w:r w:rsidR="006623CA">
        <w:rPr>
          <w:bCs/>
          <w:sz w:val="22"/>
          <w:szCs w:val="22"/>
        </w:rPr>
        <w:t xml:space="preserve"> </w:t>
      </w:r>
      <w:r w:rsidR="005177CC">
        <w:rPr>
          <w:sz w:val="22"/>
          <w:szCs w:val="22"/>
        </w:rPr>
        <w:t>s</w:t>
      </w:r>
      <w:r w:rsidR="005177CC" w:rsidRPr="007F7EBF">
        <w:rPr>
          <w:sz w:val="22"/>
          <w:szCs w:val="22"/>
        </w:rPr>
        <w:t xml:space="preserve">ensazionalismo mediatico  </w:t>
      </w:r>
      <w:r>
        <w:rPr>
          <w:sz w:val="22"/>
          <w:szCs w:val="22"/>
        </w:rPr>
        <w:t>(par.4.4 in fine), come se fosse un simbolo di voracità fiscale</w:t>
      </w:r>
      <w:r w:rsidR="002906FB">
        <w:rPr>
          <w:sz w:val="22"/>
          <w:szCs w:val="22"/>
        </w:rPr>
        <w:t xml:space="preserve">; si parlava tendenziosamente di </w:t>
      </w:r>
      <w:r w:rsidR="002906FB" w:rsidRPr="007F7EBF">
        <w:t>“bestiario fiscale” presentando come tributi autonomi le varie voci di tariffa dell’imposta di registro, di bollo, delle concessioni governative, dell’IVA e dei dazi doganali</w:t>
      </w:r>
      <w:r w:rsidR="002906FB">
        <w:t>(</w:t>
      </w:r>
      <w:r w:rsidR="002906FB">
        <w:rPr>
          <w:rStyle w:val="Rimandonotaapidipagina"/>
        </w:rPr>
        <w:footnoteReference w:id="112"/>
      </w:r>
      <w:r w:rsidR="002906FB">
        <w:t xml:space="preserve">), </w:t>
      </w:r>
      <w:r w:rsidR="002906FB" w:rsidRPr="007F7EBF">
        <w:t>moltiplica</w:t>
      </w:r>
      <w:r w:rsidR="002906FB">
        <w:t>ndo a sproposito il numero di imposte.</w:t>
      </w:r>
    </w:p>
    <w:p w14:paraId="6E9729DB" w14:textId="18FA6D9B" w:rsidR="00605B4E" w:rsidRPr="007F7EBF" w:rsidRDefault="005177CC" w:rsidP="00605B4E">
      <w:pPr>
        <w:autoSpaceDE w:val="0"/>
        <w:autoSpaceDN w:val="0"/>
        <w:adjustRightInd w:val="0"/>
        <w:rPr>
          <w:bCs/>
          <w:i/>
          <w:iCs/>
          <w:color w:val="0000FF"/>
          <w:sz w:val="22"/>
          <w:szCs w:val="22"/>
        </w:rPr>
      </w:pPr>
      <w:r w:rsidRPr="007F7EBF">
        <w:rPr>
          <w:sz w:val="22"/>
          <w:szCs w:val="22"/>
        </w:rPr>
        <w:t>Il vero problema non è</w:t>
      </w:r>
      <w:r w:rsidR="00605B4E">
        <w:rPr>
          <w:sz w:val="22"/>
          <w:szCs w:val="22"/>
        </w:rPr>
        <w:t xml:space="preserve"> </w:t>
      </w:r>
      <w:r w:rsidR="006623CA">
        <w:rPr>
          <w:sz w:val="22"/>
          <w:szCs w:val="22"/>
        </w:rPr>
        <w:t>invece</w:t>
      </w:r>
      <w:r w:rsidRPr="007F7EBF">
        <w:rPr>
          <w:sz w:val="22"/>
          <w:szCs w:val="22"/>
        </w:rPr>
        <w:t xml:space="preserve"> il numero dei tributi, ma </w:t>
      </w:r>
      <w:r w:rsidR="002906FB">
        <w:rPr>
          <w:sz w:val="22"/>
          <w:szCs w:val="22"/>
        </w:rPr>
        <w:t xml:space="preserve">la solidità delle </w:t>
      </w:r>
      <w:r w:rsidR="00897EDF">
        <w:rPr>
          <w:sz w:val="22"/>
          <w:szCs w:val="22"/>
        </w:rPr>
        <w:t>tracce delle manifestazioni economiche sottostanti</w:t>
      </w:r>
      <w:r w:rsidR="002906FB">
        <w:rPr>
          <w:sz w:val="22"/>
          <w:szCs w:val="22"/>
        </w:rPr>
        <w:t xml:space="preserve"> (reddito, consumo etc.</w:t>
      </w:r>
      <w:r w:rsidR="00897EDF">
        <w:rPr>
          <w:sz w:val="22"/>
          <w:szCs w:val="22"/>
        </w:rPr>
        <w:t>, par.1.8</w:t>
      </w:r>
      <w:r w:rsidR="002906FB">
        <w:rPr>
          <w:sz w:val="22"/>
          <w:szCs w:val="22"/>
        </w:rPr>
        <w:t xml:space="preserve">) </w:t>
      </w:r>
      <w:r w:rsidR="00897EDF">
        <w:rPr>
          <w:sz w:val="22"/>
          <w:szCs w:val="22"/>
        </w:rPr>
        <w:t xml:space="preserve">e </w:t>
      </w:r>
      <w:r w:rsidRPr="007F7EBF">
        <w:rPr>
          <w:sz w:val="22"/>
          <w:szCs w:val="22"/>
        </w:rPr>
        <w:t xml:space="preserve">l’efficienza con cui sono </w:t>
      </w:r>
      <w:r w:rsidR="00897EDF">
        <w:rPr>
          <w:sz w:val="22"/>
          <w:szCs w:val="22"/>
        </w:rPr>
        <w:t>valorizzate</w:t>
      </w:r>
      <w:r w:rsidR="005F0D72" w:rsidRPr="007F7EBF">
        <w:rPr>
          <w:sz w:val="22"/>
          <w:szCs w:val="22"/>
        </w:rPr>
        <w:t xml:space="preserve">; nel disorientamento </w:t>
      </w:r>
      <w:r w:rsidR="00897EDF">
        <w:rPr>
          <w:sz w:val="22"/>
          <w:szCs w:val="22"/>
        </w:rPr>
        <w:t xml:space="preserve">dovuto alla mancanza di spiegazioni scientifico sociali </w:t>
      </w:r>
      <w:r w:rsidR="005F0D72" w:rsidRPr="007F7EBF">
        <w:rPr>
          <w:sz w:val="22"/>
          <w:szCs w:val="22"/>
        </w:rPr>
        <w:t xml:space="preserve">sulla funzione tributaria, i vecchi tributi tendono invece a sopravvivere a </w:t>
      </w:r>
      <w:proofErr w:type="spellStart"/>
      <w:r w:rsidR="005F0D72" w:rsidRPr="007F7EBF">
        <w:rPr>
          <w:sz w:val="22"/>
          <w:szCs w:val="22"/>
        </w:rPr>
        <w:t>sè</w:t>
      </w:r>
      <w:proofErr w:type="spellEnd"/>
      <w:r w:rsidR="005F0D72" w:rsidRPr="007F7EBF">
        <w:rPr>
          <w:sz w:val="22"/>
          <w:szCs w:val="22"/>
        </w:rPr>
        <w:t xml:space="preserve"> stessi, </w:t>
      </w:r>
      <w:r w:rsidR="00D00BA3" w:rsidRPr="007F7EBF">
        <w:rPr>
          <w:sz w:val="22"/>
          <w:szCs w:val="22"/>
        </w:rPr>
        <w:t>autolegittimandosi spesso in modo inefficiente</w:t>
      </w:r>
      <w:r w:rsidR="00612E69" w:rsidRPr="007F7EBF">
        <w:rPr>
          <w:sz w:val="22"/>
          <w:szCs w:val="22"/>
        </w:rPr>
        <w:t xml:space="preserve"> </w:t>
      </w:r>
      <w:r w:rsidR="006623CA">
        <w:rPr>
          <w:sz w:val="22"/>
          <w:szCs w:val="22"/>
        </w:rPr>
        <w:t>(</w:t>
      </w:r>
      <w:r w:rsidR="008176EB" w:rsidRPr="007F7EBF">
        <w:rPr>
          <w:rStyle w:val="Rimandonotaapidipagina"/>
          <w:sz w:val="22"/>
          <w:szCs w:val="22"/>
        </w:rPr>
        <w:footnoteReference w:id="113"/>
      </w:r>
      <w:r w:rsidR="006623CA">
        <w:rPr>
          <w:sz w:val="22"/>
          <w:szCs w:val="22"/>
        </w:rPr>
        <w:t>)</w:t>
      </w:r>
      <w:r w:rsidR="008176EB" w:rsidRPr="007F7EBF">
        <w:rPr>
          <w:sz w:val="22"/>
          <w:szCs w:val="22"/>
        </w:rPr>
        <w:t xml:space="preserve">. </w:t>
      </w:r>
      <w:r w:rsidR="00612E69" w:rsidRPr="007F7EBF">
        <w:rPr>
          <w:sz w:val="22"/>
          <w:szCs w:val="22"/>
        </w:rPr>
        <w:t xml:space="preserve">Una </w:t>
      </w:r>
      <w:r w:rsidR="004974FC" w:rsidRPr="007F7EBF">
        <w:rPr>
          <w:sz w:val="22"/>
          <w:szCs w:val="22"/>
        </w:rPr>
        <w:t xml:space="preserve">revisione di questi </w:t>
      </w:r>
      <w:r w:rsidR="00612E69" w:rsidRPr="007F7EBF">
        <w:rPr>
          <w:sz w:val="22"/>
          <w:szCs w:val="22"/>
        </w:rPr>
        <w:t xml:space="preserve">tributi </w:t>
      </w:r>
      <w:r w:rsidR="004974FC" w:rsidRPr="007F7EBF">
        <w:rPr>
          <w:sz w:val="22"/>
          <w:szCs w:val="22"/>
        </w:rPr>
        <w:t>in termini di costi e benefici</w:t>
      </w:r>
      <w:r w:rsidR="00605B4E">
        <w:rPr>
          <w:sz w:val="22"/>
          <w:szCs w:val="22"/>
        </w:rPr>
        <w:t>,</w:t>
      </w:r>
      <w:r w:rsidR="004974FC" w:rsidRPr="007F7EBF">
        <w:rPr>
          <w:sz w:val="22"/>
          <w:szCs w:val="22"/>
        </w:rPr>
        <w:t xml:space="preserve"> </w:t>
      </w:r>
      <w:r w:rsidR="00612E69" w:rsidRPr="007F7EBF">
        <w:rPr>
          <w:sz w:val="22"/>
          <w:szCs w:val="22"/>
        </w:rPr>
        <w:t>è difficile</w:t>
      </w:r>
      <w:r w:rsidR="004974FC" w:rsidRPr="007F7EBF">
        <w:rPr>
          <w:sz w:val="22"/>
          <w:szCs w:val="22"/>
        </w:rPr>
        <w:t>,</w:t>
      </w:r>
      <w:r w:rsidR="00612E69" w:rsidRPr="007F7EBF">
        <w:rPr>
          <w:sz w:val="22"/>
          <w:szCs w:val="22"/>
        </w:rPr>
        <w:t xml:space="preserve"> perché </w:t>
      </w:r>
      <w:r w:rsidR="005F0D72" w:rsidRPr="007F7EBF">
        <w:rPr>
          <w:sz w:val="22"/>
          <w:szCs w:val="22"/>
        </w:rPr>
        <w:t xml:space="preserve">disperde la già modesta attenzione che la </w:t>
      </w:r>
      <w:r w:rsidR="008176EB" w:rsidRPr="007F7EBF">
        <w:rPr>
          <w:sz w:val="22"/>
          <w:szCs w:val="22"/>
        </w:rPr>
        <w:t xml:space="preserve">politica </w:t>
      </w:r>
      <w:r w:rsidR="005F0D72" w:rsidRPr="007F7EBF">
        <w:rPr>
          <w:sz w:val="22"/>
          <w:szCs w:val="22"/>
        </w:rPr>
        <w:t>può dedicare al fenomeno tributario</w:t>
      </w:r>
      <w:r>
        <w:rPr>
          <w:sz w:val="22"/>
          <w:szCs w:val="22"/>
        </w:rPr>
        <w:t xml:space="preserve">, </w:t>
      </w:r>
      <w:r w:rsidR="00897EDF">
        <w:rPr>
          <w:sz w:val="22"/>
          <w:szCs w:val="22"/>
        </w:rPr>
        <w:t>mentre gli apparati tendono inevitabilmente a conservare per forza d’inerzia il proprio assetto</w:t>
      </w:r>
      <w:r>
        <w:rPr>
          <w:sz w:val="22"/>
          <w:szCs w:val="22"/>
        </w:rPr>
        <w:t xml:space="preserve"> (par.</w:t>
      </w:r>
      <w:r w:rsidR="00B47382">
        <w:rPr>
          <w:sz w:val="22"/>
          <w:szCs w:val="22"/>
        </w:rPr>
        <w:t>4</w:t>
      </w:r>
      <w:r>
        <w:rPr>
          <w:sz w:val="22"/>
          <w:szCs w:val="22"/>
        </w:rPr>
        <w:t>.3</w:t>
      </w:r>
      <w:r w:rsidR="00897EDF">
        <w:rPr>
          <w:sz w:val="22"/>
          <w:szCs w:val="22"/>
        </w:rPr>
        <w:t>-</w:t>
      </w:r>
      <w:r>
        <w:rPr>
          <w:sz w:val="22"/>
          <w:szCs w:val="22"/>
        </w:rPr>
        <w:t xml:space="preserve"> 4.</w:t>
      </w:r>
      <w:r w:rsidR="00B47382">
        <w:rPr>
          <w:sz w:val="22"/>
          <w:szCs w:val="22"/>
        </w:rPr>
        <w:t>7</w:t>
      </w:r>
      <w:r w:rsidR="00897EDF">
        <w:rPr>
          <w:sz w:val="22"/>
          <w:szCs w:val="22"/>
        </w:rPr>
        <w:t>, 5.3</w:t>
      </w:r>
      <w:r>
        <w:rPr>
          <w:sz w:val="22"/>
          <w:szCs w:val="22"/>
        </w:rPr>
        <w:t>)</w:t>
      </w:r>
      <w:r w:rsidR="004974FC" w:rsidRPr="007F7EBF">
        <w:rPr>
          <w:sz w:val="22"/>
          <w:szCs w:val="22"/>
        </w:rPr>
        <w:t xml:space="preserve">. </w:t>
      </w:r>
    </w:p>
    <w:p w14:paraId="382DB410" w14:textId="77777777" w:rsidR="00605B4E" w:rsidRPr="007F7EBF" w:rsidRDefault="00605B4E" w:rsidP="00605B4E">
      <w:pPr>
        <w:pStyle w:val="tit23"/>
        <w:ind w:left="6464" w:right="-1361" w:firstLine="0"/>
        <w:jc w:val="left"/>
        <w:rPr>
          <w:bCs/>
          <w:i/>
          <w:iCs/>
          <w:color w:val="0000FF"/>
          <w:lang w:val="it-IT"/>
        </w:rPr>
      </w:pPr>
      <w:r w:rsidRPr="007F7EBF">
        <w:rPr>
          <w:bCs/>
          <w:i/>
          <w:iCs/>
          <w:color w:val="0000FF"/>
          <w:lang w:val="it-IT"/>
        </w:rPr>
        <w:lastRenderedPageBreak/>
        <w:t>Pluralità di tributi e indirizzo dei comportamenti sociali</w:t>
      </w:r>
    </w:p>
    <w:p w14:paraId="2C9E49CB" w14:textId="33494EEF" w:rsidR="004974FC" w:rsidRPr="00BE4CD7" w:rsidRDefault="00BE4CD7" w:rsidP="00605B4E">
      <w:pPr>
        <w:autoSpaceDE w:val="0"/>
        <w:autoSpaceDN w:val="0"/>
        <w:adjustRightInd w:val="0"/>
        <w:rPr>
          <w:bCs/>
          <w:sz w:val="22"/>
          <w:szCs w:val="22"/>
        </w:rPr>
      </w:pPr>
      <w:r>
        <w:rPr>
          <w:bCs/>
          <w:sz w:val="22"/>
          <w:szCs w:val="22"/>
        </w:rPr>
        <w:t>U</w:t>
      </w:r>
      <w:r w:rsidR="00605B4E" w:rsidRPr="007F7EBF">
        <w:rPr>
          <w:bCs/>
          <w:sz w:val="22"/>
          <w:szCs w:val="22"/>
        </w:rPr>
        <w:t xml:space="preserve">na pluralità di tributi </w:t>
      </w:r>
      <w:r>
        <w:rPr>
          <w:bCs/>
          <w:sz w:val="22"/>
          <w:szCs w:val="22"/>
        </w:rPr>
        <w:t xml:space="preserve">offre anche maggiori strumenti </w:t>
      </w:r>
      <w:r w:rsidR="00897EDF">
        <w:rPr>
          <w:bCs/>
          <w:sz w:val="22"/>
          <w:szCs w:val="22"/>
        </w:rPr>
        <w:t>dell’</w:t>
      </w:r>
      <w:r>
        <w:rPr>
          <w:bCs/>
          <w:sz w:val="22"/>
          <w:szCs w:val="22"/>
        </w:rPr>
        <w:t xml:space="preserve"> “uso extrafiscale” </w:t>
      </w:r>
      <w:r w:rsidR="00897EDF">
        <w:rPr>
          <w:bCs/>
          <w:sz w:val="22"/>
          <w:szCs w:val="22"/>
        </w:rPr>
        <w:t xml:space="preserve">di cui al par.1.9, </w:t>
      </w:r>
      <w:r w:rsidR="00605B4E" w:rsidRPr="007F7EBF">
        <w:rPr>
          <w:bCs/>
          <w:sz w:val="22"/>
          <w:szCs w:val="22"/>
        </w:rPr>
        <w:t xml:space="preserve"> </w:t>
      </w:r>
      <w:r>
        <w:rPr>
          <w:bCs/>
          <w:sz w:val="22"/>
          <w:szCs w:val="22"/>
        </w:rPr>
        <w:t xml:space="preserve">per incentivare alcuni consumi o alcune attività, scoraggiandone altre, o almeno farne una fonte di gettito; si pensi alla tradizione di imposte specifiche </w:t>
      </w:r>
      <w:r w:rsidR="00605B4E" w:rsidRPr="007F7EBF">
        <w:rPr>
          <w:bCs/>
          <w:sz w:val="22"/>
          <w:szCs w:val="22"/>
        </w:rPr>
        <w:t>sugli alcoolici, le sigarette, il gioco d’azzardo</w:t>
      </w:r>
      <w:r w:rsidR="00605B4E" w:rsidRPr="007F7EBF">
        <w:rPr>
          <w:rStyle w:val="Rimandonotaapidipagina"/>
          <w:bCs/>
          <w:sz w:val="22"/>
          <w:szCs w:val="22"/>
        </w:rPr>
        <w:footnoteReference w:id="114"/>
      </w:r>
      <w:r w:rsidR="00605B4E" w:rsidRPr="007F7EBF">
        <w:rPr>
          <w:bCs/>
          <w:sz w:val="22"/>
          <w:szCs w:val="22"/>
        </w:rPr>
        <w:t xml:space="preserve">, </w:t>
      </w:r>
      <w:r>
        <w:rPr>
          <w:bCs/>
          <w:sz w:val="22"/>
          <w:szCs w:val="22"/>
        </w:rPr>
        <w:t xml:space="preserve">nonché </w:t>
      </w:r>
      <w:r w:rsidR="00605B4E" w:rsidRPr="007F7EBF">
        <w:rPr>
          <w:bCs/>
          <w:sz w:val="22"/>
          <w:szCs w:val="22"/>
        </w:rPr>
        <w:t>le varie gradazioni del prelievo sugli idrocarburi</w:t>
      </w:r>
      <w:r>
        <w:rPr>
          <w:bCs/>
          <w:sz w:val="22"/>
          <w:szCs w:val="22"/>
        </w:rPr>
        <w:t xml:space="preserve">, a seconda del loro impiego o di esigenze ambientali </w:t>
      </w:r>
      <w:r w:rsidR="00897EDF">
        <w:rPr>
          <w:bCs/>
          <w:sz w:val="22"/>
          <w:szCs w:val="22"/>
        </w:rPr>
        <w:t>(par.1.9 sull’”uso extrafiscale dell’imposta”)</w:t>
      </w:r>
      <w:r w:rsidR="00605B4E" w:rsidRPr="007F7EBF">
        <w:rPr>
          <w:bCs/>
          <w:sz w:val="22"/>
          <w:szCs w:val="22"/>
        </w:rPr>
        <w:t xml:space="preserve">. </w:t>
      </w:r>
    </w:p>
    <w:p w14:paraId="4F81CD35" w14:textId="4F70F2A9" w:rsidR="000023EA" w:rsidRPr="007F7EBF" w:rsidRDefault="004974FC" w:rsidP="000023EA">
      <w:pPr>
        <w:pStyle w:val="tit23"/>
        <w:ind w:left="6464" w:right="-1361" w:firstLine="0"/>
        <w:jc w:val="left"/>
        <w:rPr>
          <w:bCs/>
          <w:i/>
          <w:iCs/>
          <w:color w:val="0000FF"/>
          <w:lang w:val="it-IT"/>
        </w:rPr>
      </w:pPr>
      <w:r w:rsidRPr="007F7EBF">
        <w:rPr>
          <w:bCs/>
          <w:i/>
          <w:iCs/>
          <w:color w:val="0000FF"/>
          <w:lang w:val="it-IT"/>
        </w:rPr>
        <w:t xml:space="preserve">Ordine di </w:t>
      </w:r>
      <w:r w:rsidR="000023EA" w:rsidRPr="007F7EBF">
        <w:rPr>
          <w:bCs/>
          <w:i/>
          <w:iCs/>
          <w:color w:val="0000FF"/>
          <w:lang w:val="it-IT"/>
        </w:rPr>
        <w:t>grandezza del gettito</w:t>
      </w:r>
      <w:r w:rsidR="00897EDF">
        <w:rPr>
          <w:bCs/>
          <w:i/>
          <w:iCs/>
          <w:color w:val="0000FF"/>
          <w:lang w:val="it-IT"/>
        </w:rPr>
        <w:t xml:space="preserve"> per tipologia di tributo</w:t>
      </w:r>
    </w:p>
    <w:p w14:paraId="3CD7D4D2" w14:textId="7B2E791A" w:rsidR="000023EA" w:rsidRPr="007F7EBF" w:rsidRDefault="00910B95" w:rsidP="00897EDF">
      <w:pPr>
        <w:autoSpaceDE w:val="0"/>
        <w:autoSpaceDN w:val="0"/>
        <w:adjustRightInd w:val="0"/>
        <w:rPr>
          <w:bCs/>
          <w:i/>
          <w:iCs/>
          <w:color w:val="0000FF"/>
        </w:rPr>
      </w:pPr>
      <w:r w:rsidRPr="007F7EBF">
        <w:rPr>
          <w:sz w:val="22"/>
          <w:szCs w:val="22"/>
        </w:rPr>
        <w:t>L’ordine di grandezza e la composizione del</w:t>
      </w:r>
      <w:r w:rsidR="006342C5" w:rsidRPr="007F7EBF">
        <w:rPr>
          <w:sz w:val="22"/>
          <w:szCs w:val="22"/>
        </w:rPr>
        <w:t xml:space="preserve"> gettito complessivo</w:t>
      </w:r>
      <w:r w:rsidRPr="007F7EBF">
        <w:rPr>
          <w:sz w:val="22"/>
          <w:szCs w:val="22"/>
        </w:rPr>
        <w:t xml:space="preserve"> per tributo</w:t>
      </w:r>
      <w:r w:rsidR="006342C5" w:rsidRPr="007F7EBF">
        <w:rPr>
          <w:sz w:val="22"/>
          <w:szCs w:val="22"/>
        </w:rPr>
        <w:t xml:space="preserve"> non ha grandi variazioni nel tempo</w:t>
      </w:r>
      <w:r w:rsidRPr="007F7EBF">
        <w:rPr>
          <w:sz w:val="22"/>
          <w:szCs w:val="22"/>
        </w:rPr>
        <w:t>. Ne è</w:t>
      </w:r>
      <w:r w:rsidR="00A2488B" w:rsidRPr="007F7EBF">
        <w:rPr>
          <w:sz w:val="22"/>
          <w:szCs w:val="22"/>
        </w:rPr>
        <w:t xml:space="preserve"> </w:t>
      </w:r>
      <w:r w:rsidR="006342C5" w:rsidRPr="007F7EBF">
        <w:rPr>
          <w:sz w:val="22"/>
          <w:szCs w:val="22"/>
        </w:rPr>
        <w:t xml:space="preserve">sufficiente, ai fini di questo volume, un ordine di grandezza comparativo, </w:t>
      </w:r>
      <w:r w:rsidR="00521B80" w:rsidRPr="007F7EBF">
        <w:rPr>
          <w:sz w:val="22"/>
          <w:szCs w:val="22"/>
        </w:rPr>
        <w:t>senza</w:t>
      </w:r>
      <w:r w:rsidR="006342C5" w:rsidRPr="007F7EBF">
        <w:rPr>
          <w:sz w:val="22"/>
          <w:szCs w:val="22"/>
        </w:rPr>
        <w:t xml:space="preserve"> un</w:t>
      </w:r>
      <w:r w:rsidRPr="007F7EBF">
        <w:rPr>
          <w:sz w:val="22"/>
          <w:szCs w:val="22"/>
        </w:rPr>
        <w:t xml:space="preserve">a millimetrica esposizione ragionieristica, magari </w:t>
      </w:r>
      <w:r w:rsidR="00033298">
        <w:rPr>
          <w:sz w:val="22"/>
          <w:szCs w:val="22"/>
        </w:rPr>
        <w:t>con schemi numerici</w:t>
      </w:r>
      <w:r w:rsidR="006342C5" w:rsidRPr="007F7EBF">
        <w:rPr>
          <w:sz w:val="22"/>
          <w:szCs w:val="22"/>
        </w:rPr>
        <w:t>. Nel complesso l</w:t>
      </w:r>
      <w:r w:rsidR="004E5103" w:rsidRPr="007F7EBF">
        <w:rPr>
          <w:sz w:val="22"/>
          <w:szCs w:val="22"/>
        </w:rPr>
        <w:t>e entrate tributarie statali (2014)</w:t>
      </w:r>
      <w:r w:rsidR="006342C5" w:rsidRPr="007F7EBF">
        <w:rPr>
          <w:sz w:val="22"/>
          <w:szCs w:val="22"/>
        </w:rPr>
        <w:t xml:space="preserve"> ammontavano a circa </w:t>
      </w:r>
      <w:r w:rsidR="006342C5" w:rsidRPr="007F7EBF">
        <w:rPr>
          <w:bCs/>
          <w:sz w:val="22"/>
          <w:szCs w:val="22"/>
        </w:rPr>
        <w:t>410 miliardi di Euro più 70 miliardi circa di tributi</w:t>
      </w:r>
      <w:r w:rsidR="00521B80" w:rsidRPr="007F7EBF">
        <w:rPr>
          <w:bCs/>
          <w:sz w:val="22"/>
          <w:szCs w:val="22"/>
        </w:rPr>
        <w:t xml:space="preserve"> </w:t>
      </w:r>
      <w:r w:rsidR="006342C5" w:rsidRPr="007F7EBF">
        <w:rPr>
          <w:bCs/>
          <w:sz w:val="22"/>
          <w:szCs w:val="22"/>
        </w:rPr>
        <w:t>regionali e comunali, inclusa l’IRAP</w:t>
      </w:r>
      <w:r w:rsidR="000023EA" w:rsidRPr="007F7EBF">
        <w:rPr>
          <w:bCs/>
          <w:sz w:val="22"/>
          <w:szCs w:val="22"/>
        </w:rPr>
        <w:t xml:space="preserve">; vanno </w:t>
      </w:r>
      <w:r w:rsidR="00B31B08" w:rsidRPr="007F7EBF">
        <w:rPr>
          <w:bCs/>
          <w:sz w:val="22"/>
          <w:szCs w:val="22"/>
        </w:rPr>
        <w:t>aggiun</w:t>
      </w:r>
      <w:r w:rsidR="000023EA" w:rsidRPr="007F7EBF">
        <w:rPr>
          <w:bCs/>
          <w:sz w:val="22"/>
          <w:szCs w:val="22"/>
        </w:rPr>
        <w:t xml:space="preserve">ti </w:t>
      </w:r>
      <w:r w:rsidR="00B31B08" w:rsidRPr="007F7EBF">
        <w:rPr>
          <w:bCs/>
          <w:sz w:val="22"/>
          <w:szCs w:val="22"/>
        </w:rPr>
        <w:t>oltre 200 miliardi di contributi pensionistici di cui al par.1.12</w:t>
      </w:r>
      <w:r w:rsidR="006342C5" w:rsidRPr="007F7EBF">
        <w:rPr>
          <w:sz w:val="22"/>
          <w:szCs w:val="22"/>
        </w:rPr>
        <w:t xml:space="preserve">. </w:t>
      </w:r>
      <w:r w:rsidR="009432E4" w:rsidRPr="007F7EBF">
        <w:rPr>
          <w:sz w:val="22"/>
          <w:szCs w:val="22"/>
        </w:rPr>
        <w:t xml:space="preserve"> </w:t>
      </w:r>
    </w:p>
    <w:p w14:paraId="3F0C57A1" w14:textId="2F5964A6" w:rsidR="009432E4" w:rsidRPr="007F7EBF" w:rsidRDefault="006342C5" w:rsidP="009432E4">
      <w:pPr>
        <w:autoSpaceDE w:val="0"/>
        <w:autoSpaceDN w:val="0"/>
        <w:adjustRightInd w:val="0"/>
        <w:rPr>
          <w:b/>
          <w:bCs/>
          <w:i/>
          <w:iCs/>
          <w:color w:val="0000FF"/>
          <w:sz w:val="22"/>
          <w:szCs w:val="22"/>
        </w:rPr>
      </w:pPr>
      <w:r w:rsidRPr="007F7EBF">
        <w:rPr>
          <w:sz w:val="22"/>
          <w:szCs w:val="22"/>
        </w:rPr>
        <w:t>Le principali</w:t>
      </w:r>
      <w:r w:rsidR="00910B95" w:rsidRPr="007F7EBF">
        <w:rPr>
          <w:sz w:val="22"/>
          <w:szCs w:val="22"/>
        </w:rPr>
        <w:t xml:space="preserve"> imposte</w:t>
      </w:r>
      <w:r w:rsidR="00433CF5">
        <w:rPr>
          <w:sz w:val="22"/>
          <w:szCs w:val="22"/>
        </w:rPr>
        <w:t xml:space="preserve"> sui redditi</w:t>
      </w:r>
      <w:r w:rsidRPr="007F7EBF">
        <w:rPr>
          <w:sz w:val="22"/>
          <w:szCs w:val="22"/>
        </w:rPr>
        <w:t xml:space="preserve">, </w:t>
      </w:r>
      <w:r w:rsidR="00302047" w:rsidRPr="007F7EBF">
        <w:rPr>
          <w:sz w:val="22"/>
          <w:szCs w:val="22"/>
        </w:rPr>
        <w:t>per</w:t>
      </w:r>
      <w:r w:rsidRPr="007F7EBF">
        <w:rPr>
          <w:sz w:val="22"/>
          <w:szCs w:val="22"/>
        </w:rPr>
        <w:t xml:space="preserve"> gettito</w:t>
      </w:r>
      <w:r w:rsidR="00433CF5">
        <w:rPr>
          <w:sz w:val="22"/>
          <w:szCs w:val="22"/>
        </w:rPr>
        <w:t xml:space="preserve">, </w:t>
      </w:r>
      <w:r w:rsidR="00910B95" w:rsidRPr="007F7EBF">
        <w:rPr>
          <w:sz w:val="22"/>
          <w:szCs w:val="22"/>
        </w:rPr>
        <w:t xml:space="preserve"> colpiscono </w:t>
      </w:r>
      <w:r w:rsidRPr="007F7EBF">
        <w:rPr>
          <w:sz w:val="22"/>
          <w:szCs w:val="22"/>
        </w:rPr>
        <w:t>i redditi d</w:t>
      </w:r>
      <w:r w:rsidR="0024381F" w:rsidRPr="007F7EBF">
        <w:rPr>
          <w:sz w:val="22"/>
          <w:szCs w:val="22"/>
        </w:rPr>
        <w:t>elle persone fisiche (165 miliard</w:t>
      </w:r>
      <w:r w:rsidRPr="007F7EBF">
        <w:rPr>
          <w:sz w:val="22"/>
          <w:szCs w:val="22"/>
        </w:rPr>
        <w:t>i), uniti</w:t>
      </w:r>
      <w:r w:rsidR="009432E4" w:rsidRPr="007F7EBF">
        <w:rPr>
          <w:sz w:val="22"/>
          <w:szCs w:val="22"/>
        </w:rPr>
        <w:t xml:space="preserve"> </w:t>
      </w:r>
      <w:r w:rsidRPr="007F7EBF">
        <w:rPr>
          <w:sz w:val="22"/>
          <w:szCs w:val="22"/>
        </w:rPr>
        <w:t>a 37 milia</w:t>
      </w:r>
      <w:r w:rsidR="0024381F" w:rsidRPr="007F7EBF">
        <w:rPr>
          <w:sz w:val="22"/>
          <w:szCs w:val="22"/>
        </w:rPr>
        <w:t>rdi di imposte sul reddito delle entità societarie e assimilate</w:t>
      </w:r>
      <w:r w:rsidRPr="007F7EBF">
        <w:rPr>
          <w:sz w:val="22"/>
          <w:szCs w:val="22"/>
        </w:rPr>
        <w:t>, e circa 7 miliardi di imposte sostitutive sulle rendite finanziarie. Per</w:t>
      </w:r>
      <w:r w:rsidR="009432E4" w:rsidRPr="007F7EBF">
        <w:rPr>
          <w:sz w:val="22"/>
          <w:szCs w:val="22"/>
        </w:rPr>
        <w:t xml:space="preserve"> </w:t>
      </w:r>
      <w:r w:rsidRPr="007F7EBF">
        <w:rPr>
          <w:sz w:val="22"/>
          <w:szCs w:val="22"/>
        </w:rPr>
        <w:t>quanto riguarda la tassazione del consumo, l’IVA totalizza circa 100 miliardi, mentre le</w:t>
      </w:r>
      <w:r w:rsidR="009432E4" w:rsidRPr="007F7EBF">
        <w:rPr>
          <w:sz w:val="22"/>
          <w:szCs w:val="22"/>
        </w:rPr>
        <w:t xml:space="preserve"> </w:t>
      </w:r>
      <w:r w:rsidRPr="007F7EBF">
        <w:rPr>
          <w:sz w:val="22"/>
          <w:szCs w:val="22"/>
        </w:rPr>
        <w:t xml:space="preserve">altre imposte su specifici consumi (c.d. “accise”, par. 10.6) fruttano circa 30 miliardi. </w:t>
      </w:r>
      <w:r w:rsidR="00AB2765">
        <w:rPr>
          <w:sz w:val="22"/>
          <w:szCs w:val="22"/>
        </w:rPr>
        <w:t xml:space="preserve">Le principali </w:t>
      </w:r>
      <w:r w:rsidRPr="007F7EBF">
        <w:rPr>
          <w:sz w:val="22"/>
          <w:szCs w:val="22"/>
        </w:rPr>
        <w:t>tassazion</w:t>
      </w:r>
      <w:r w:rsidR="00AB2765">
        <w:rPr>
          <w:sz w:val="22"/>
          <w:szCs w:val="22"/>
        </w:rPr>
        <w:t>i</w:t>
      </w:r>
      <w:r w:rsidRPr="007F7EBF">
        <w:rPr>
          <w:sz w:val="22"/>
          <w:szCs w:val="22"/>
        </w:rPr>
        <w:t xml:space="preserve"> del patrimonio e degli atti giuridici riguardano</w:t>
      </w:r>
      <w:r w:rsidR="009432E4" w:rsidRPr="007F7EBF">
        <w:rPr>
          <w:sz w:val="22"/>
          <w:szCs w:val="22"/>
        </w:rPr>
        <w:t xml:space="preserve"> </w:t>
      </w:r>
      <w:r w:rsidRPr="007F7EBF">
        <w:rPr>
          <w:sz w:val="22"/>
          <w:szCs w:val="22"/>
        </w:rPr>
        <w:t>le imposte comunali sugli immobili (circa 20 miliardi) e le imposte di bollo e registro</w:t>
      </w:r>
      <w:r w:rsidR="00A2488B" w:rsidRPr="007F7EBF">
        <w:rPr>
          <w:sz w:val="22"/>
          <w:szCs w:val="22"/>
        </w:rPr>
        <w:t xml:space="preserve"> </w:t>
      </w:r>
      <w:r w:rsidRPr="007F7EBF">
        <w:rPr>
          <w:sz w:val="22"/>
          <w:szCs w:val="22"/>
        </w:rPr>
        <w:t xml:space="preserve">(circa 15 miliardi). </w:t>
      </w:r>
      <w:r w:rsidR="007C2145" w:rsidRPr="007F7EBF">
        <w:rPr>
          <w:sz w:val="22"/>
          <w:szCs w:val="22"/>
        </w:rPr>
        <w:t>Quando esamineremo altre “imposte minori”, al capitolo 10, daremo indicazioni</w:t>
      </w:r>
      <w:r w:rsidR="00BB57DC">
        <w:rPr>
          <w:sz w:val="22"/>
          <w:szCs w:val="22"/>
        </w:rPr>
        <w:t xml:space="preserve"> specifiche</w:t>
      </w:r>
      <w:r w:rsidR="007C2145" w:rsidRPr="007F7EBF">
        <w:rPr>
          <w:sz w:val="22"/>
          <w:szCs w:val="22"/>
        </w:rPr>
        <w:t xml:space="preserve"> sul </w:t>
      </w:r>
      <w:r w:rsidR="000F6944">
        <w:rPr>
          <w:sz w:val="22"/>
          <w:szCs w:val="22"/>
        </w:rPr>
        <w:t>loro</w:t>
      </w:r>
      <w:r w:rsidR="007C2145" w:rsidRPr="007F7EBF">
        <w:rPr>
          <w:sz w:val="22"/>
          <w:szCs w:val="22"/>
        </w:rPr>
        <w:t xml:space="preserve"> gettito.</w:t>
      </w:r>
    </w:p>
    <w:p w14:paraId="578A7F13" w14:textId="10C2561B" w:rsidR="00544255" w:rsidRPr="007F7EBF" w:rsidRDefault="006342C5" w:rsidP="00544255">
      <w:pPr>
        <w:pStyle w:val="Titolo3"/>
        <w:rPr>
          <w:rFonts w:ascii="Times New Roman" w:hAnsi="Times New Roman"/>
          <w:sz w:val="22"/>
          <w:szCs w:val="22"/>
        </w:rPr>
      </w:pPr>
      <w:bookmarkStart w:id="16" w:name="_Toc63364937"/>
      <w:r w:rsidRPr="007F7EBF">
        <w:rPr>
          <w:rFonts w:ascii="Times New Roman" w:hAnsi="Times New Roman"/>
          <w:sz w:val="22"/>
          <w:szCs w:val="22"/>
        </w:rPr>
        <w:lastRenderedPageBreak/>
        <w:t xml:space="preserve">1.11. </w:t>
      </w:r>
      <w:r w:rsidRPr="007F7EBF">
        <w:rPr>
          <w:rFonts w:ascii="Times New Roman" w:hAnsi="Times New Roman"/>
          <w:i/>
          <w:iCs/>
          <w:sz w:val="22"/>
          <w:szCs w:val="22"/>
        </w:rPr>
        <w:t>Segue</w:t>
      </w:r>
      <w:r w:rsidRPr="007F7EBF">
        <w:rPr>
          <w:rFonts w:ascii="Times New Roman" w:hAnsi="Times New Roman"/>
          <w:sz w:val="22"/>
          <w:szCs w:val="22"/>
        </w:rPr>
        <w:t xml:space="preserve">. </w:t>
      </w:r>
      <w:r w:rsidR="002E05C7">
        <w:rPr>
          <w:rFonts w:ascii="Times New Roman" w:hAnsi="Times New Roman"/>
          <w:sz w:val="22"/>
          <w:szCs w:val="22"/>
          <w:lang w:val="it-IT"/>
        </w:rPr>
        <w:t xml:space="preserve">La diversa determinabilità dei presupposti economici d’imposta, </w:t>
      </w:r>
      <w:r w:rsidR="005C313B" w:rsidRPr="007F7EBF">
        <w:rPr>
          <w:rFonts w:ascii="Times New Roman" w:hAnsi="Times New Roman"/>
          <w:sz w:val="22"/>
          <w:szCs w:val="22"/>
          <w:lang w:val="it-IT"/>
        </w:rPr>
        <w:t>valutativ</w:t>
      </w:r>
      <w:r w:rsidR="002E05C7">
        <w:rPr>
          <w:rFonts w:ascii="Times New Roman" w:hAnsi="Times New Roman"/>
          <w:sz w:val="22"/>
          <w:szCs w:val="22"/>
          <w:lang w:val="it-IT"/>
        </w:rPr>
        <w:t>a</w:t>
      </w:r>
      <w:r w:rsidR="005C313B" w:rsidRPr="007F7EBF">
        <w:rPr>
          <w:rFonts w:ascii="Times New Roman" w:hAnsi="Times New Roman"/>
          <w:sz w:val="22"/>
          <w:szCs w:val="22"/>
          <w:lang w:val="it-IT"/>
        </w:rPr>
        <w:t xml:space="preserve"> e giuridico-contabil</w:t>
      </w:r>
      <w:r w:rsidR="002E05C7">
        <w:rPr>
          <w:rFonts w:ascii="Times New Roman" w:hAnsi="Times New Roman"/>
          <w:sz w:val="22"/>
          <w:szCs w:val="22"/>
          <w:lang w:val="it-IT"/>
        </w:rPr>
        <w:t xml:space="preserve">e </w:t>
      </w:r>
      <w:r w:rsidR="00B0275C" w:rsidRPr="007F7EBF">
        <w:rPr>
          <w:rFonts w:ascii="Times New Roman" w:hAnsi="Times New Roman"/>
          <w:sz w:val="22"/>
          <w:szCs w:val="22"/>
        </w:rPr>
        <w:t>(stime</w:t>
      </w:r>
      <w:r w:rsidR="00E9210E" w:rsidRPr="007F7EBF">
        <w:rPr>
          <w:rFonts w:ascii="Times New Roman" w:hAnsi="Times New Roman"/>
          <w:sz w:val="22"/>
          <w:szCs w:val="22"/>
        </w:rPr>
        <w:t>,</w:t>
      </w:r>
      <w:r w:rsidR="0048521E">
        <w:rPr>
          <w:rFonts w:ascii="Times New Roman" w:hAnsi="Times New Roman"/>
          <w:sz w:val="22"/>
          <w:szCs w:val="22"/>
          <w:lang w:val="it-IT"/>
        </w:rPr>
        <w:t xml:space="preserve"> </w:t>
      </w:r>
      <w:proofErr w:type="spellStart"/>
      <w:r w:rsidR="00E9210E" w:rsidRPr="007F7EBF">
        <w:rPr>
          <w:rFonts w:ascii="Times New Roman" w:hAnsi="Times New Roman"/>
          <w:sz w:val="22"/>
          <w:szCs w:val="22"/>
        </w:rPr>
        <w:t>documenti,</w:t>
      </w:r>
      <w:r w:rsidR="00E9210E" w:rsidRPr="007F7EBF">
        <w:rPr>
          <w:rFonts w:ascii="Times New Roman" w:hAnsi="Times New Roman"/>
          <w:sz w:val="22"/>
          <w:szCs w:val="22"/>
          <w:lang w:val="it-IT"/>
        </w:rPr>
        <w:t>contabilità</w:t>
      </w:r>
      <w:proofErr w:type="spellEnd"/>
      <w:r w:rsidR="00B0275C" w:rsidRPr="007F7EBF">
        <w:rPr>
          <w:rFonts w:ascii="Times New Roman" w:hAnsi="Times New Roman"/>
          <w:sz w:val="22"/>
          <w:szCs w:val="22"/>
        </w:rPr>
        <w:t xml:space="preserve">, </w:t>
      </w:r>
      <w:r w:rsidR="000A4BCB" w:rsidRPr="007F7EBF">
        <w:rPr>
          <w:rFonts w:ascii="Times New Roman" w:hAnsi="Times New Roman"/>
          <w:sz w:val="22"/>
          <w:szCs w:val="22"/>
        </w:rPr>
        <w:t>etc.)</w:t>
      </w:r>
      <w:bookmarkEnd w:id="16"/>
    </w:p>
    <w:p w14:paraId="7739CF98" w14:textId="77777777" w:rsidR="004B3E8A" w:rsidRPr="007F7EBF" w:rsidRDefault="004B3E8A" w:rsidP="004B3E8A">
      <w:pPr>
        <w:autoSpaceDE w:val="0"/>
        <w:autoSpaceDN w:val="0"/>
        <w:adjustRightInd w:val="0"/>
        <w:rPr>
          <w:bCs/>
          <w:i/>
          <w:iCs/>
          <w:color w:val="0000FF"/>
          <w:sz w:val="22"/>
          <w:szCs w:val="22"/>
        </w:rPr>
      </w:pPr>
    </w:p>
    <w:p w14:paraId="7FDDF64C" w14:textId="0B0E9CFD" w:rsidR="004B3E8A" w:rsidRPr="007F7EBF" w:rsidRDefault="00BF2D00" w:rsidP="004B3E8A">
      <w:pPr>
        <w:pStyle w:val="tit23"/>
        <w:ind w:left="6464" w:right="-1361" w:firstLine="0"/>
        <w:jc w:val="left"/>
        <w:rPr>
          <w:bCs/>
          <w:i/>
          <w:iCs/>
          <w:color w:val="0000FF"/>
          <w:lang w:val="it-IT"/>
        </w:rPr>
      </w:pPr>
      <w:r>
        <w:rPr>
          <w:bCs/>
          <w:i/>
          <w:iCs/>
          <w:color w:val="0000FF"/>
          <w:lang w:val="it-IT"/>
        </w:rPr>
        <w:t>determinazione</w:t>
      </w:r>
      <w:r w:rsidR="00E569E0">
        <w:rPr>
          <w:bCs/>
          <w:i/>
          <w:iCs/>
          <w:color w:val="0000FF"/>
          <w:lang w:val="it-IT"/>
        </w:rPr>
        <w:t xml:space="preserve"> dei presupposti economici d’imposta</w:t>
      </w:r>
    </w:p>
    <w:p w14:paraId="013EBA06" w14:textId="21719CB3" w:rsidR="004B3E8A" w:rsidRPr="007F7EBF" w:rsidRDefault="0064558D" w:rsidP="004B3E8A">
      <w:pPr>
        <w:autoSpaceDE w:val="0"/>
        <w:autoSpaceDN w:val="0"/>
        <w:adjustRightInd w:val="0"/>
        <w:rPr>
          <w:bCs/>
          <w:i/>
          <w:iCs/>
          <w:color w:val="0000FF"/>
          <w:sz w:val="22"/>
          <w:szCs w:val="22"/>
        </w:rPr>
      </w:pPr>
      <w:r>
        <w:rPr>
          <w:sz w:val="22"/>
          <w:szCs w:val="22"/>
        </w:rPr>
        <w:t xml:space="preserve">I presupposti economici d’imposta non sono visibili “in sé”, proprio in quanto </w:t>
      </w:r>
      <w:r>
        <w:rPr>
          <w:i/>
          <w:iCs/>
          <w:sz w:val="22"/>
          <w:szCs w:val="22"/>
        </w:rPr>
        <w:t xml:space="preserve">astrazioni </w:t>
      </w:r>
      <w:r>
        <w:rPr>
          <w:sz w:val="22"/>
          <w:szCs w:val="22"/>
        </w:rPr>
        <w:t>(</w:t>
      </w:r>
      <w:r w:rsidR="00CC0E91">
        <w:rPr>
          <w:sz w:val="22"/>
          <w:szCs w:val="22"/>
        </w:rPr>
        <w:t>par.1.8</w:t>
      </w:r>
      <w:r>
        <w:rPr>
          <w:sz w:val="22"/>
          <w:szCs w:val="22"/>
        </w:rPr>
        <w:t>)</w:t>
      </w:r>
      <w:r w:rsidR="00BF2D00">
        <w:rPr>
          <w:sz w:val="22"/>
          <w:szCs w:val="22"/>
        </w:rPr>
        <w:t>. S</w:t>
      </w:r>
      <w:r w:rsidR="00E569E0">
        <w:rPr>
          <w:sz w:val="22"/>
          <w:szCs w:val="22"/>
        </w:rPr>
        <w:t xml:space="preserve">ervono </w:t>
      </w:r>
      <w:r w:rsidR="00BF2D00">
        <w:rPr>
          <w:sz w:val="22"/>
          <w:szCs w:val="22"/>
        </w:rPr>
        <w:t xml:space="preserve">quindi </w:t>
      </w:r>
      <w:r w:rsidR="00E569E0">
        <w:rPr>
          <w:sz w:val="22"/>
          <w:szCs w:val="22"/>
        </w:rPr>
        <w:t xml:space="preserve">manifestazioni materiali o documentali </w:t>
      </w:r>
      <w:r w:rsidR="00BF2D00">
        <w:rPr>
          <w:sz w:val="22"/>
          <w:szCs w:val="22"/>
        </w:rPr>
        <w:t xml:space="preserve">di tali presupposti </w:t>
      </w:r>
      <w:r w:rsidR="00E569E0">
        <w:rPr>
          <w:sz w:val="22"/>
          <w:szCs w:val="22"/>
        </w:rPr>
        <w:t xml:space="preserve">per </w:t>
      </w:r>
      <w:r w:rsidR="00BF2D00">
        <w:rPr>
          <w:sz w:val="22"/>
          <w:szCs w:val="22"/>
        </w:rPr>
        <w:t xml:space="preserve">determinarli prima di tutto sul piano empirico, nel giudizio di fatto di cui al par.5.8, e poi qualificarli giuridicamente passando alle </w:t>
      </w:r>
      <w:r w:rsidR="00E569E0">
        <w:rPr>
          <w:sz w:val="22"/>
          <w:szCs w:val="22"/>
        </w:rPr>
        <w:t xml:space="preserve">basi </w:t>
      </w:r>
      <w:r w:rsidR="00BF2D00">
        <w:rPr>
          <w:sz w:val="22"/>
          <w:szCs w:val="22"/>
        </w:rPr>
        <w:t xml:space="preserve">imponibili, cui è </w:t>
      </w:r>
      <w:r w:rsidR="00E569E0">
        <w:rPr>
          <w:sz w:val="22"/>
          <w:szCs w:val="22"/>
        </w:rPr>
        <w:t>commisura</w:t>
      </w:r>
      <w:r w:rsidR="00BF2D00">
        <w:rPr>
          <w:sz w:val="22"/>
          <w:szCs w:val="22"/>
        </w:rPr>
        <w:t>ta</w:t>
      </w:r>
      <w:r w:rsidR="00E569E0">
        <w:rPr>
          <w:sz w:val="22"/>
          <w:szCs w:val="22"/>
        </w:rPr>
        <w:t xml:space="preserve"> l’imposta. </w:t>
      </w:r>
      <w:r w:rsidR="00BF2D00">
        <w:rPr>
          <w:sz w:val="22"/>
          <w:szCs w:val="22"/>
        </w:rPr>
        <w:t xml:space="preserve">Su una stessa base informativa in senso materiale </w:t>
      </w:r>
      <w:r w:rsidR="00E569E0">
        <w:rPr>
          <w:sz w:val="22"/>
          <w:szCs w:val="22"/>
        </w:rPr>
        <w:t xml:space="preserve">possono essere </w:t>
      </w:r>
      <w:r w:rsidR="00BF2D00">
        <w:rPr>
          <w:sz w:val="22"/>
          <w:szCs w:val="22"/>
        </w:rPr>
        <w:t>determinati</w:t>
      </w:r>
      <w:r w:rsidR="00E569E0">
        <w:rPr>
          <w:sz w:val="22"/>
          <w:szCs w:val="22"/>
        </w:rPr>
        <w:t xml:space="preserve">, con piccoli adattamenti, </w:t>
      </w:r>
      <w:r w:rsidR="00BF2D00">
        <w:rPr>
          <w:sz w:val="22"/>
          <w:szCs w:val="22"/>
        </w:rPr>
        <w:t>presupposti economici diversi, come vedremo al par.7.1</w:t>
      </w:r>
      <w:r w:rsidR="00E569E0">
        <w:rPr>
          <w:sz w:val="22"/>
          <w:szCs w:val="22"/>
        </w:rPr>
        <w:t xml:space="preserve"> </w:t>
      </w:r>
      <w:r w:rsidR="00BF2D00">
        <w:rPr>
          <w:sz w:val="22"/>
          <w:szCs w:val="22"/>
        </w:rPr>
        <w:t xml:space="preserve">per </w:t>
      </w:r>
      <w:r w:rsidR="006514A0">
        <w:rPr>
          <w:sz w:val="22"/>
          <w:szCs w:val="22"/>
        </w:rPr>
        <w:t>l’IVA</w:t>
      </w:r>
      <w:r w:rsidR="00E569E0">
        <w:rPr>
          <w:sz w:val="22"/>
          <w:szCs w:val="22"/>
        </w:rPr>
        <w:t xml:space="preserve"> e </w:t>
      </w:r>
      <w:r w:rsidR="006514A0">
        <w:rPr>
          <w:sz w:val="22"/>
          <w:szCs w:val="22"/>
        </w:rPr>
        <w:t>i redditi</w:t>
      </w:r>
      <w:r w:rsidR="00BF2D00">
        <w:rPr>
          <w:sz w:val="22"/>
          <w:szCs w:val="22"/>
        </w:rPr>
        <w:t xml:space="preserve">, che </w:t>
      </w:r>
      <w:r w:rsidR="00E569E0">
        <w:rPr>
          <w:sz w:val="22"/>
          <w:szCs w:val="22"/>
        </w:rPr>
        <w:t xml:space="preserve"> </w:t>
      </w:r>
      <w:r w:rsidR="00433CF5" w:rsidRPr="007F7EBF">
        <w:t xml:space="preserve">utilizzano, la </w:t>
      </w:r>
      <w:r w:rsidR="00BF2D00">
        <w:t>medesima</w:t>
      </w:r>
      <w:r w:rsidR="00433CF5" w:rsidRPr="007F7EBF">
        <w:t xml:space="preserve"> documentazione </w:t>
      </w:r>
      <w:r w:rsidR="00BF2D00">
        <w:t xml:space="preserve">aziendale </w:t>
      </w:r>
      <w:r w:rsidR="00433CF5" w:rsidRPr="007F7EBF">
        <w:t>amministrativa</w:t>
      </w:r>
      <w:r w:rsidR="00BF2D00">
        <w:t xml:space="preserve">. </w:t>
      </w:r>
    </w:p>
    <w:p w14:paraId="5E7327C2" w14:textId="26DA0457" w:rsidR="004B3E8A" w:rsidRPr="007F7EBF" w:rsidRDefault="004B3E8A" w:rsidP="004B3E8A">
      <w:pPr>
        <w:pStyle w:val="tit23"/>
        <w:ind w:left="6464" w:right="-1361" w:firstLine="0"/>
        <w:jc w:val="left"/>
        <w:rPr>
          <w:bCs/>
          <w:i/>
          <w:iCs/>
          <w:color w:val="0000FF"/>
          <w:lang w:val="it-IT"/>
        </w:rPr>
      </w:pPr>
      <w:r w:rsidRPr="007F7EBF">
        <w:rPr>
          <w:bCs/>
          <w:i/>
          <w:iCs/>
          <w:color w:val="0000FF"/>
          <w:lang w:val="it-IT"/>
        </w:rPr>
        <w:t xml:space="preserve">Visibilità </w:t>
      </w:r>
      <w:r w:rsidR="00E569E0">
        <w:rPr>
          <w:bCs/>
          <w:i/>
          <w:iCs/>
          <w:color w:val="0000FF"/>
          <w:lang w:val="it-IT"/>
        </w:rPr>
        <w:t>documentale dei presupposti economici d’imposta</w:t>
      </w:r>
      <w:r w:rsidR="00604CDF" w:rsidRPr="007F7EBF">
        <w:rPr>
          <w:bCs/>
          <w:i/>
          <w:iCs/>
          <w:color w:val="0000FF"/>
          <w:lang w:val="it-IT"/>
        </w:rPr>
        <w:t xml:space="preserve"> </w:t>
      </w:r>
    </w:p>
    <w:p w14:paraId="39979FD0" w14:textId="4C6941B4" w:rsidR="0048521E" w:rsidRDefault="005C313B" w:rsidP="004B3E8A">
      <w:pPr>
        <w:autoSpaceDE w:val="0"/>
        <w:autoSpaceDN w:val="0"/>
        <w:adjustRightInd w:val="0"/>
        <w:rPr>
          <w:bCs/>
          <w:sz w:val="22"/>
          <w:szCs w:val="22"/>
        </w:rPr>
      </w:pPr>
      <w:r w:rsidRPr="007F7EBF">
        <w:rPr>
          <w:bCs/>
          <w:sz w:val="22"/>
          <w:szCs w:val="22"/>
        </w:rPr>
        <w:t>La determinazi</w:t>
      </w:r>
      <w:r w:rsidR="00AB043D">
        <w:rPr>
          <w:bCs/>
          <w:sz w:val="22"/>
          <w:szCs w:val="22"/>
        </w:rPr>
        <w:t xml:space="preserve">one </w:t>
      </w:r>
      <w:r w:rsidR="00426E98">
        <w:rPr>
          <w:bCs/>
          <w:sz w:val="22"/>
          <w:szCs w:val="22"/>
        </w:rPr>
        <w:t>documentale dei presupposti suddetti ha le</w:t>
      </w:r>
      <w:r w:rsidR="00C14138">
        <w:rPr>
          <w:bCs/>
          <w:sz w:val="22"/>
          <w:szCs w:val="22"/>
        </w:rPr>
        <w:t xml:space="preserve"> sue radici </w:t>
      </w:r>
      <w:r w:rsidR="00426E98">
        <w:rPr>
          <w:bCs/>
          <w:sz w:val="22"/>
          <w:szCs w:val="22"/>
        </w:rPr>
        <w:t xml:space="preserve">storiche </w:t>
      </w:r>
      <w:r w:rsidR="00C14138">
        <w:rPr>
          <w:bCs/>
          <w:sz w:val="22"/>
          <w:szCs w:val="22"/>
        </w:rPr>
        <w:t>nell</w:t>
      </w:r>
      <w:r w:rsidR="00426E98">
        <w:rPr>
          <w:bCs/>
          <w:sz w:val="22"/>
          <w:szCs w:val="22"/>
        </w:rPr>
        <w:t xml:space="preserve">e imposte sugli </w:t>
      </w:r>
      <w:r w:rsidR="00C14138">
        <w:rPr>
          <w:bCs/>
          <w:sz w:val="22"/>
          <w:szCs w:val="22"/>
        </w:rPr>
        <w:t xml:space="preserve">“atti solenni” di cui al </w:t>
      </w:r>
      <w:r w:rsidR="00604CDF" w:rsidRPr="007F7EBF">
        <w:rPr>
          <w:bCs/>
          <w:sz w:val="22"/>
          <w:szCs w:val="22"/>
        </w:rPr>
        <w:t>par.1.</w:t>
      </w:r>
      <w:r w:rsidR="00C14138">
        <w:rPr>
          <w:bCs/>
          <w:sz w:val="22"/>
          <w:szCs w:val="22"/>
        </w:rPr>
        <w:t>4</w:t>
      </w:r>
      <w:r w:rsidR="00604CDF" w:rsidRPr="007F7EBF">
        <w:rPr>
          <w:bCs/>
          <w:sz w:val="22"/>
          <w:szCs w:val="22"/>
        </w:rPr>
        <w:t xml:space="preserve"> e 10.2-10.4</w:t>
      </w:r>
      <w:r w:rsidR="00C14138">
        <w:rPr>
          <w:bCs/>
          <w:sz w:val="22"/>
          <w:szCs w:val="22"/>
        </w:rPr>
        <w:t xml:space="preserve">, </w:t>
      </w:r>
      <w:r w:rsidR="00426E98">
        <w:rPr>
          <w:bCs/>
          <w:sz w:val="22"/>
          <w:szCs w:val="22"/>
        </w:rPr>
        <w:t>destinati alla documentazione dei rapporti giuridici più importanti</w:t>
      </w:r>
      <w:r w:rsidR="00CC16F5">
        <w:rPr>
          <w:bCs/>
          <w:sz w:val="22"/>
          <w:szCs w:val="22"/>
        </w:rPr>
        <w:t xml:space="preserve"> ai fini privatistico-giurisdizionali; pur nascendo dai rapporti sociali, il diritto dei privati, compresa la </w:t>
      </w:r>
      <w:r w:rsidR="00CC16F5">
        <w:t xml:space="preserve">proprietà privata, è garantito da funzioni pubbliche </w:t>
      </w:r>
      <w:r w:rsidR="00CC16F5">
        <w:rPr>
          <w:rStyle w:val="Rimandonotaapidipagina"/>
        </w:rPr>
        <w:footnoteReference w:id="115"/>
      </w:r>
      <w:r w:rsidR="00CC16F5">
        <w:t xml:space="preserve">, </w:t>
      </w:r>
      <w:r w:rsidR="00C06323">
        <w:t>che spesso richiedono una documentazione accessibile in archivi pubblici, oggi quelli notarili, cui è sempre stata facilmente associabile un’imposta. La stessa necessità di documentazione sussiste per i</w:t>
      </w:r>
      <w:r w:rsidR="008F7486">
        <w:rPr>
          <w:bCs/>
          <w:sz w:val="22"/>
          <w:szCs w:val="22"/>
        </w:rPr>
        <w:t xml:space="preserve"> rapporti “di durata”, come </w:t>
      </w:r>
      <w:r w:rsidR="00C14138">
        <w:rPr>
          <w:bCs/>
          <w:sz w:val="22"/>
          <w:szCs w:val="22"/>
        </w:rPr>
        <w:t xml:space="preserve">le </w:t>
      </w:r>
      <w:r w:rsidR="00604CDF" w:rsidRPr="007F7EBF">
        <w:rPr>
          <w:bCs/>
          <w:sz w:val="22"/>
          <w:szCs w:val="22"/>
        </w:rPr>
        <w:t>locazion</w:t>
      </w:r>
      <w:r w:rsidR="00C14138">
        <w:rPr>
          <w:bCs/>
          <w:sz w:val="22"/>
          <w:szCs w:val="22"/>
        </w:rPr>
        <w:t xml:space="preserve">i, </w:t>
      </w:r>
      <w:r w:rsidR="00604CDF" w:rsidRPr="007F7EBF">
        <w:rPr>
          <w:bCs/>
          <w:sz w:val="22"/>
          <w:szCs w:val="22"/>
        </w:rPr>
        <w:t xml:space="preserve"> (par.8.4)</w:t>
      </w:r>
      <w:r w:rsidR="00C14138">
        <w:rPr>
          <w:bCs/>
          <w:sz w:val="22"/>
          <w:szCs w:val="22"/>
        </w:rPr>
        <w:t xml:space="preserve">, </w:t>
      </w:r>
      <w:r w:rsidR="00C06323">
        <w:rPr>
          <w:bCs/>
          <w:sz w:val="22"/>
          <w:szCs w:val="22"/>
        </w:rPr>
        <w:t>gli appalti e gli altri lavori durevoli, che comportano garanzie pluriennali.. Il</w:t>
      </w:r>
      <w:r w:rsidR="00BF71A5" w:rsidRPr="007F7EBF">
        <w:rPr>
          <w:bCs/>
          <w:sz w:val="22"/>
          <w:szCs w:val="22"/>
        </w:rPr>
        <w:t xml:space="preserve"> </w:t>
      </w:r>
      <w:r w:rsidR="00C14138">
        <w:rPr>
          <w:bCs/>
          <w:sz w:val="22"/>
          <w:szCs w:val="22"/>
        </w:rPr>
        <w:t xml:space="preserve">potenziale </w:t>
      </w:r>
      <w:r w:rsidR="00BF71A5" w:rsidRPr="007F7EBF">
        <w:rPr>
          <w:bCs/>
          <w:sz w:val="22"/>
          <w:szCs w:val="22"/>
        </w:rPr>
        <w:t>conflitto di interessi tra le parti</w:t>
      </w:r>
      <w:r w:rsidR="00C06323">
        <w:rPr>
          <w:bCs/>
          <w:sz w:val="22"/>
          <w:szCs w:val="22"/>
        </w:rPr>
        <w:t xml:space="preserve"> richiede quindi una documentazione civilistica, la cui </w:t>
      </w:r>
      <w:r w:rsidR="00BF71A5" w:rsidRPr="007F7EBF">
        <w:rPr>
          <w:bCs/>
          <w:sz w:val="22"/>
          <w:szCs w:val="22"/>
        </w:rPr>
        <w:t xml:space="preserve">formalizzazione </w:t>
      </w:r>
      <w:r w:rsidR="00C06323">
        <w:rPr>
          <w:bCs/>
          <w:sz w:val="22"/>
          <w:szCs w:val="22"/>
        </w:rPr>
        <w:t>rende possibile l’applicazione di imposte</w:t>
      </w:r>
      <w:r w:rsidR="00B23D72">
        <w:rPr>
          <w:bCs/>
          <w:sz w:val="22"/>
          <w:szCs w:val="22"/>
        </w:rPr>
        <w:t xml:space="preserve"> (</w:t>
      </w:r>
      <w:r w:rsidR="00B23D72" w:rsidRPr="00B23D72">
        <w:rPr>
          <w:bCs/>
          <w:i/>
          <w:iCs/>
          <w:sz w:val="22"/>
          <w:szCs w:val="22"/>
        </w:rPr>
        <w:t>tra i due litiganti il fisco gode</w:t>
      </w:r>
      <w:r w:rsidR="00B23D72">
        <w:rPr>
          <w:bCs/>
          <w:sz w:val="22"/>
          <w:szCs w:val="22"/>
        </w:rPr>
        <w:t>)</w:t>
      </w:r>
      <w:r w:rsidR="00C06323">
        <w:rPr>
          <w:bCs/>
          <w:sz w:val="22"/>
          <w:szCs w:val="22"/>
        </w:rPr>
        <w:t xml:space="preserve">. </w:t>
      </w:r>
    </w:p>
    <w:p w14:paraId="5A37D78D" w14:textId="75762B55" w:rsidR="004B3E8A" w:rsidRPr="007F7EBF" w:rsidRDefault="00B23D72" w:rsidP="004B3E8A">
      <w:pPr>
        <w:autoSpaceDE w:val="0"/>
        <w:autoSpaceDN w:val="0"/>
        <w:adjustRightInd w:val="0"/>
        <w:rPr>
          <w:bCs/>
          <w:i/>
          <w:iCs/>
          <w:color w:val="0000FF"/>
          <w:sz w:val="22"/>
          <w:szCs w:val="22"/>
        </w:rPr>
      </w:pPr>
      <w:r>
        <w:rPr>
          <w:bCs/>
          <w:sz w:val="22"/>
          <w:szCs w:val="22"/>
        </w:rPr>
        <w:lastRenderedPageBreak/>
        <w:t xml:space="preserve">Le condizioni per questa determinazione documentale sono enormemente cresciute per la </w:t>
      </w:r>
      <w:r w:rsidR="00C14138" w:rsidRPr="007F7EBF">
        <w:rPr>
          <w:sz w:val="22"/>
          <w:szCs w:val="22"/>
        </w:rPr>
        <w:t xml:space="preserve">formalizzazione </w:t>
      </w:r>
      <w:r>
        <w:rPr>
          <w:sz w:val="22"/>
          <w:szCs w:val="22"/>
        </w:rPr>
        <w:t xml:space="preserve">seriale delle procedure aziendali, necessarie a </w:t>
      </w:r>
      <w:r w:rsidR="00C06323">
        <w:rPr>
          <w:sz w:val="22"/>
          <w:szCs w:val="22"/>
        </w:rPr>
        <w:t xml:space="preserve">suddividere le incombenze e le responsabilità </w:t>
      </w:r>
      <w:r w:rsidR="00C14138">
        <w:rPr>
          <w:sz w:val="22"/>
          <w:szCs w:val="22"/>
        </w:rPr>
        <w:t>degli addetti a</w:t>
      </w:r>
      <w:r>
        <w:rPr>
          <w:sz w:val="22"/>
          <w:szCs w:val="22"/>
        </w:rPr>
        <w:t xml:space="preserve"> queste organizzazioni pluripersonali (par.3.2).</w:t>
      </w:r>
      <w:r w:rsidR="00C06323">
        <w:rPr>
          <w:sz w:val="22"/>
          <w:szCs w:val="22"/>
        </w:rPr>
        <w:t xml:space="preserve"> Si tratta di un</w:t>
      </w:r>
      <w:r w:rsidR="00E1696C">
        <w:rPr>
          <w:sz w:val="22"/>
          <w:szCs w:val="22"/>
        </w:rPr>
        <w:t>’esigenza prima di tutto interna a</w:t>
      </w:r>
      <w:r>
        <w:rPr>
          <w:sz w:val="22"/>
          <w:szCs w:val="22"/>
        </w:rPr>
        <w:t xml:space="preserve"> questi soggetti, </w:t>
      </w:r>
      <w:r w:rsidR="00E1696C">
        <w:rPr>
          <w:sz w:val="22"/>
          <w:szCs w:val="22"/>
        </w:rPr>
        <w:t>che scatta in automatico, anche a prescindere dall’interesse delle controparti; a</w:t>
      </w:r>
      <w:r w:rsidR="00E1696C">
        <w:t xml:space="preserve">d esempio la cassa dei reparti dei supermercati ha da sempre emesso emette lo scontrino in automatico, a prescindere da richieste del cliente </w:t>
      </w:r>
      <w:r>
        <w:rPr>
          <w:rStyle w:val="Rimandonotaapidipagina"/>
        </w:rPr>
        <w:footnoteReference w:id="116"/>
      </w:r>
      <w:r w:rsidR="00E1696C">
        <w:t xml:space="preserve">. </w:t>
      </w:r>
    </w:p>
    <w:p w14:paraId="2B552BF1" w14:textId="1F4579E2" w:rsidR="004B3E8A" w:rsidRPr="007F7EBF" w:rsidRDefault="00E1696C" w:rsidP="00E1696C">
      <w:pPr>
        <w:pStyle w:val="tit23"/>
        <w:ind w:left="6464" w:right="-1361" w:firstLine="0"/>
        <w:jc w:val="left"/>
        <w:rPr>
          <w:bCs/>
          <w:i/>
          <w:iCs/>
          <w:color w:val="0000FF"/>
          <w:lang w:val="it-IT"/>
        </w:rPr>
      </w:pPr>
      <w:r>
        <w:rPr>
          <w:bCs/>
          <w:i/>
          <w:iCs/>
          <w:color w:val="0000FF"/>
          <w:lang w:val="it-IT"/>
        </w:rPr>
        <w:t>Visibilità materiale per piccolo commercio e artigianato</w:t>
      </w:r>
      <w:r w:rsidR="004B3E8A" w:rsidRPr="007F7EBF">
        <w:rPr>
          <w:bCs/>
          <w:i/>
          <w:iCs/>
          <w:color w:val="0000FF"/>
          <w:lang w:val="it-IT"/>
        </w:rPr>
        <w:t xml:space="preserve"> </w:t>
      </w:r>
    </w:p>
    <w:p w14:paraId="268E1F86" w14:textId="1AF085AF" w:rsidR="008E4AA2" w:rsidRPr="007F7EBF" w:rsidRDefault="008E4AA2" w:rsidP="008E4AA2">
      <w:pPr>
        <w:autoSpaceDE w:val="0"/>
        <w:autoSpaceDN w:val="0"/>
        <w:adjustRightInd w:val="0"/>
        <w:rPr>
          <w:bCs/>
          <w:i/>
          <w:iCs/>
          <w:color w:val="0000FF"/>
          <w:sz w:val="22"/>
          <w:szCs w:val="22"/>
        </w:rPr>
      </w:pPr>
      <w:r>
        <w:rPr>
          <w:sz w:val="22"/>
          <w:szCs w:val="22"/>
        </w:rPr>
        <w:t>Q</w:t>
      </w:r>
      <w:r w:rsidR="00E1696C">
        <w:rPr>
          <w:sz w:val="22"/>
          <w:szCs w:val="22"/>
        </w:rPr>
        <w:t>ueste esigenze civilistiche</w:t>
      </w:r>
      <w:r w:rsidR="00B23D72">
        <w:rPr>
          <w:sz w:val="22"/>
          <w:szCs w:val="22"/>
        </w:rPr>
        <w:t>,</w:t>
      </w:r>
      <w:r w:rsidR="00E1696C">
        <w:rPr>
          <w:sz w:val="22"/>
          <w:szCs w:val="22"/>
        </w:rPr>
        <w:t xml:space="preserve"> ed organizzativo</w:t>
      </w:r>
      <w:r w:rsidR="00B23D72">
        <w:rPr>
          <w:sz w:val="22"/>
          <w:szCs w:val="22"/>
        </w:rPr>
        <w:t>-</w:t>
      </w:r>
      <w:r w:rsidR="00E1696C">
        <w:rPr>
          <w:sz w:val="22"/>
          <w:szCs w:val="22"/>
        </w:rPr>
        <w:t>aziend</w:t>
      </w:r>
      <w:r w:rsidR="00B23D72">
        <w:rPr>
          <w:sz w:val="22"/>
          <w:szCs w:val="22"/>
        </w:rPr>
        <w:t>ali</w:t>
      </w:r>
      <w:r w:rsidR="00E1696C">
        <w:rPr>
          <w:sz w:val="22"/>
          <w:szCs w:val="22"/>
        </w:rPr>
        <w:t xml:space="preserve"> non sussistono</w:t>
      </w:r>
      <w:r>
        <w:rPr>
          <w:sz w:val="22"/>
          <w:szCs w:val="22"/>
        </w:rPr>
        <w:t xml:space="preserve"> per </w:t>
      </w:r>
      <w:r w:rsidR="000F1AC4">
        <w:rPr>
          <w:sz w:val="22"/>
          <w:szCs w:val="22"/>
        </w:rPr>
        <w:t>le attività di piccolo commercio e artigiana</w:t>
      </w:r>
      <w:r w:rsidR="00E1696C">
        <w:rPr>
          <w:sz w:val="22"/>
          <w:szCs w:val="22"/>
        </w:rPr>
        <w:t>to</w:t>
      </w:r>
      <w:r w:rsidR="000F1AC4">
        <w:rPr>
          <w:sz w:val="22"/>
          <w:szCs w:val="22"/>
        </w:rPr>
        <w:t xml:space="preserve"> al consumo finale</w:t>
      </w:r>
      <w:r w:rsidR="00AB043D">
        <w:rPr>
          <w:sz w:val="22"/>
          <w:szCs w:val="22"/>
        </w:rPr>
        <w:t>,</w:t>
      </w:r>
      <w:r w:rsidR="000F1AC4">
        <w:rPr>
          <w:sz w:val="22"/>
          <w:szCs w:val="22"/>
        </w:rPr>
        <w:t xml:space="preserve"> </w:t>
      </w:r>
      <w:r w:rsidR="00E1696C">
        <w:rPr>
          <w:sz w:val="22"/>
          <w:szCs w:val="22"/>
        </w:rPr>
        <w:t xml:space="preserve">tendenzialmente monopersonali o con pochi collaboratori, sulle quali ci soffermeremo al </w:t>
      </w:r>
      <w:r w:rsidR="000F1AC4">
        <w:rPr>
          <w:sz w:val="22"/>
          <w:szCs w:val="22"/>
        </w:rPr>
        <w:t>par.3.13.</w:t>
      </w:r>
      <w:r>
        <w:rPr>
          <w:sz w:val="22"/>
          <w:szCs w:val="22"/>
        </w:rPr>
        <w:t xml:space="preserve"> In tali casi i presupposti economici d’imposta continuano ad essere visibili nei tradizionali modi valutativi e di stima descritti al precedente paragrafo 1.4, basati sulla </w:t>
      </w:r>
      <w:r w:rsidR="000F1AC4">
        <w:rPr>
          <w:sz w:val="22"/>
          <w:szCs w:val="22"/>
        </w:rPr>
        <w:t>visibilità</w:t>
      </w:r>
      <w:r w:rsidR="007144CE" w:rsidRPr="007F7EBF">
        <w:rPr>
          <w:sz w:val="22"/>
          <w:szCs w:val="22"/>
        </w:rPr>
        <w:t xml:space="preserve"> materia</w:t>
      </w:r>
      <w:r w:rsidR="00D862D7" w:rsidRPr="007F7EBF">
        <w:rPr>
          <w:sz w:val="22"/>
          <w:szCs w:val="22"/>
        </w:rPr>
        <w:t>le dell</w:t>
      </w:r>
      <w:r w:rsidR="000F1AC4">
        <w:rPr>
          <w:sz w:val="22"/>
          <w:szCs w:val="22"/>
        </w:rPr>
        <w:t>’attività produttiva</w:t>
      </w:r>
      <w:r w:rsidR="00AB043D">
        <w:rPr>
          <w:sz w:val="22"/>
          <w:szCs w:val="22"/>
        </w:rPr>
        <w:t xml:space="preserve"> </w:t>
      </w:r>
      <w:r w:rsidR="00CB7FB5">
        <w:rPr>
          <w:sz w:val="22"/>
          <w:szCs w:val="22"/>
        </w:rPr>
        <w:t>e su alcuni aspetti documentali esterni, indicati al par.5.9, come canoni di locazione, utenze, energia, lavoro dipendente, incassi bancari etc</w:t>
      </w:r>
      <w:r w:rsidR="000F1AC4">
        <w:rPr>
          <w:sz w:val="22"/>
          <w:szCs w:val="22"/>
        </w:rPr>
        <w:t>.</w:t>
      </w:r>
      <w:r w:rsidR="00CB7FB5">
        <w:rPr>
          <w:sz w:val="22"/>
          <w:szCs w:val="22"/>
        </w:rPr>
        <w:t xml:space="preserve">. </w:t>
      </w:r>
    </w:p>
    <w:p w14:paraId="355C2442" w14:textId="74D9A9CD" w:rsidR="008E4AA2" w:rsidRPr="007F7EBF" w:rsidRDefault="00CB7CCC" w:rsidP="008E4AA2">
      <w:pPr>
        <w:pStyle w:val="tit23"/>
        <w:ind w:left="6464" w:right="-1361" w:firstLine="0"/>
        <w:jc w:val="left"/>
        <w:rPr>
          <w:bCs/>
          <w:i/>
          <w:iCs/>
          <w:color w:val="0000FF"/>
          <w:lang w:val="it-IT"/>
        </w:rPr>
      </w:pPr>
      <w:r>
        <w:rPr>
          <w:bCs/>
          <w:i/>
          <w:iCs/>
          <w:color w:val="0000FF"/>
          <w:lang w:val="it-IT"/>
        </w:rPr>
        <w:t>di</w:t>
      </w:r>
      <w:r w:rsidR="008E4AA2">
        <w:rPr>
          <w:bCs/>
          <w:i/>
          <w:iCs/>
          <w:color w:val="0000FF"/>
          <w:lang w:val="it-IT"/>
        </w:rPr>
        <w:t>versa determinabilità dei presupposti d’imposta</w:t>
      </w:r>
    </w:p>
    <w:p w14:paraId="2AE7C3E1" w14:textId="19FECA3D" w:rsidR="008E4AA2" w:rsidRPr="00402DB0" w:rsidRDefault="00CB7FB5" w:rsidP="008E4AA2">
      <w:pPr>
        <w:autoSpaceDE w:val="0"/>
        <w:autoSpaceDN w:val="0"/>
        <w:adjustRightInd w:val="0"/>
        <w:rPr>
          <w:sz w:val="22"/>
          <w:szCs w:val="22"/>
        </w:rPr>
      </w:pPr>
      <w:r>
        <w:rPr>
          <w:sz w:val="22"/>
          <w:szCs w:val="22"/>
        </w:rPr>
        <w:t xml:space="preserve">Tra l’estrema precisione della determinazione </w:t>
      </w:r>
      <w:r w:rsidR="008E4AA2">
        <w:rPr>
          <w:sz w:val="22"/>
          <w:szCs w:val="22"/>
        </w:rPr>
        <w:t>documenta</w:t>
      </w:r>
      <w:r>
        <w:rPr>
          <w:sz w:val="22"/>
          <w:szCs w:val="22"/>
        </w:rPr>
        <w:t xml:space="preserve">le-contabile de, e quella valutativa, nei modi appena indicati, esistono innumerevoli sfumature intermedie; esse dipendono dalla combinazione tra organizzazione pluripersonale e gestione, o proprietà, personal-padronale. Questa combinazione può avere le diverse intensità mostrate nel corso del testo, a partire dal par.3.7, con alcuni punti fermi. Il primo, ricorrente nella trattazione, è la mancanza in capo alle organizzazioni aziendali, di bisogni personali da soddisfare con l’evasione fiscale. Un secondo punto fermo </w:t>
      </w:r>
      <w:r w:rsidR="00A463A9">
        <w:rPr>
          <w:sz w:val="22"/>
          <w:szCs w:val="22"/>
        </w:rPr>
        <w:t xml:space="preserve">è che la credibilità del dichiarato diminuisce, a </w:t>
      </w:r>
      <w:r w:rsidR="00A463A9">
        <w:rPr>
          <w:sz w:val="22"/>
          <w:szCs w:val="22"/>
        </w:rPr>
        <w:lastRenderedPageBreak/>
        <w:t xml:space="preserve">parità degli altri fattori, man mano che titolarità e gestione si accentrano nella stessa persona, inclusi suoi diretti fiduciari. </w:t>
      </w:r>
      <w:r w:rsidR="00333C70">
        <w:rPr>
          <w:sz w:val="22"/>
          <w:szCs w:val="22"/>
        </w:rPr>
        <w:t xml:space="preserve">Un terzo punto fermo, che svilupperemo al par.5.9, è la praticabilità </w:t>
      </w:r>
      <w:r w:rsidR="00A463A9">
        <w:rPr>
          <w:sz w:val="22"/>
          <w:szCs w:val="22"/>
        </w:rPr>
        <w:t>d</w:t>
      </w:r>
      <w:r w:rsidR="00333C70">
        <w:rPr>
          <w:sz w:val="22"/>
          <w:szCs w:val="22"/>
        </w:rPr>
        <w:t xml:space="preserve">ella determinazione contabile solo da parte dell’azienda non certo degli uffici tributari in sede di controllo quando le operazioni occultate sono numerose e distribuite nel tempo. </w:t>
      </w:r>
    </w:p>
    <w:p w14:paraId="5480289F" w14:textId="185268A8" w:rsidR="002F2AEF" w:rsidRPr="007F7EBF" w:rsidRDefault="002F2AEF" w:rsidP="002F2AEF">
      <w:pPr>
        <w:autoSpaceDE w:val="0"/>
        <w:autoSpaceDN w:val="0"/>
        <w:adjustRightInd w:val="0"/>
        <w:rPr>
          <w:bCs/>
          <w:i/>
          <w:iCs/>
          <w:color w:val="0000FF"/>
          <w:sz w:val="22"/>
          <w:szCs w:val="22"/>
        </w:rPr>
      </w:pPr>
    </w:p>
    <w:p w14:paraId="53A342F0" w14:textId="43BCEC45" w:rsidR="002F2AEF" w:rsidRPr="007F7EBF" w:rsidRDefault="00ED5437" w:rsidP="002F2AEF">
      <w:pPr>
        <w:pStyle w:val="tit23"/>
        <w:ind w:left="6464" w:right="-1361" w:firstLine="0"/>
        <w:jc w:val="left"/>
        <w:rPr>
          <w:bCs/>
          <w:i/>
          <w:iCs/>
          <w:color w:val="0000FF"/>
          <w:lang w:val="it-IT"/>
        </w:rPr>
      </w:pPr>
      <w:r>
        <w:rPr>
          <w:bCs/>
          <w:i/>
          <w:iCs/>
          <w:color w:val="0000FF"/>
          <w:lang w:val="it-IT"/>
        </w:rPr>
        <w:t>Tendenza al ribasso nelle stime</w:t>
      </w:r>
    </w:p>
    <w:p w14:paraId="2A52C4C4" w14:textId="7C918116" w:rsidR="00ED5437" w:rsidRPr="007F7EBF" w:rsidRDefault="007D3DE9" w:rsidP="00ED5437">
      <w:pPr>
        <w:autoSpaceDE w:val="0"/>
        <w:autoSpaceDN w:val="0"/>
        <w:adjustRightInd w:val="0"/>
        <w:rPr>
          <w:bCs/>
          <w:i/>
          <w:iCs/>
          <w:color w:val="0000FF"/>
          <w:sz w:val="22"/>
          <w:szCs w:val="22"/>
        </w:rPr>
      </w:pPr>
      <w:r>
        <w:rPr>
          <w:sz w:val="22"/>
          <w:szCs w:val="22"/>
        </w:rPr>
        <w:t xml:space="preserve">L’estrema precisione della determinazione documentale avvantaggia quindi oggettivamente i presupposti economici d’imposta che oggettivamente non vi si prestano; la loro inevitabile determinabilità esclusivamente valutativa crea margini di apprezzamento davanti ai quali è naturale assestarsi al ribasso. E’ infatti socialmente più accettabile non assoggettare a imposte qualcuno su quote di presupposti che possiede, piuttosto che assoggettarvi qualcuno su presupposti che non possiede.   </w:t>
      </w:r>
      <w:r w:rsidR="009E4A49">
        <w:rPr>
          <w:sz w:val="22"/>
          <w:szCs w:val="22"/>
        </w:rPr>
        <w:t xml:space="preserve">Le proteste e le recriminazioni </w:t>
      </w:r>
      <w:r>
        <w:rPr>
          <w:sz w:val="22"/>
          <w:szCs w:val="22"/>
        </w:rPr>
        <w:t xml:space="preserve">sociali </w:t>
      </w:r>
      <w:r w:rsidR="009E4A49">
        <w:rPr>
          <w:sz w:val="22"/>
          <w:szCs w:val="22"/>
        </w:rPr>
        <w:t xml:space="preserve">sono infatti molto maggiori nel primo caso, come si vede anche quando, per evitare le incertezze connesse a una </w:t>
      </w:r>
      <w:r w:rsidR="00792330">
        <w:t>stima de</w:t>
      </w:r>
      <w:r w:rsidR="009E4A49">
        <w:t xml:space="preserve">i presupposti economici </w:t>
      </w:r>
      <w:r w:rsidR="00792330">
        <w:t>caso per caso</w:t>
      </w:r>
      <w:r w:rsidR="00ED5437">
        <w:t xml:space="preserve">, si effettuano </w:t>
      </w:r>
      <w:r w:rsidR="00792330">
        <w:t xml:space="preserve"> predeterminazioni</w:t>
      </w:r>
      <w:r w:rsidR="00CB01A1">
        <w:t>, come ne</w:t>
      </w:r>
      <w:r w:rsidR="00792330">
        <w:t>i già indicati catasti patrimoniali (par.1.4)</w:t>
      </w:r>
      <w:r w:rsidR="00ED5437">
        <w:t xml:space="preserve">, </w:t>
      </w:r>
      <w:r w:rsidR="00792330">
        <w:t>agricoli (par.8.2)</w:t>
      </w:r>
      <w:r w:rsidR="00ED5437">
        <w:t xml:space="preserve"> e </w:t>
      </w:r>
      <w:r w:rsidR="00792330">
        <w:t>dei fabbricati (par.8.4)</w:t>
      </w:r>
      <w:r w:rsidR="00402DB0">
        <w:t xml:space="preserve">. </w:t>
      </w:r>
      <w:r>
        <w:t xml:space="preserve">Questa </w:t>
      </w:r>
      <w:r w:rsidR="00AB043D">
        <w:t xml:space="preserve">“formalizzazione delle stime” </w:t>
      </w:r>
      <w:r w:rsidR="00CB01A1">
        <w:t>(par.4.5)</w:t>
      </w:r>
      <w:r>
        <w:t xml:space="preserve"> è</w:t>
      </w:r>
      <w:r w:rsidR="00402DB0">
        <w:t xml:space="preserve"> tara</w:t>
      </w:r>
      <w:r w:rsidR="00AB043D">
        <w:t>ta</w:t>
      </w:r>
      <w:r w:rsidR="00402DB0">
        <w:t xml:space="preserve"> “al ribasso”</w:t>
      </w:r>
      <w:r w:rsidR="00AB043D">
        <w:t xml:space="preserve"> per ragioni di consenso </w:t>
      </w:r>
      <w:r>
        <w:t>sociale</w:t>
      </w:r>
      <w:r w:rsidR="00CB01A1">
        <w:t xml:space="preserve">; </w:t>
      </w:r>
      <w:r>
        <w:t xml:space="preserve">forfettizzare la </w:t>
      </w:r>
      <w:r w:rsidR="007D0DF4">
        <w:t xml:space="preserve">richiesta di imposte su </w:t>
      </w:r>
      <w:r w:rsidR="00C67695">
        <w:t>presupposti</w:t>
      </w:r>
      <w:r w:rsidR="007D0DF4">
        <w:t xml:space="preserve"> fittizi</w:t>
      </w:r>
      <w:r w:rsidR="00CB01A1" w:rsidRPr="00CB01A1">
        <w:t xml:space="preserve"> </w:t>
      </w:r>
      <w:r w:rsidR="00CB01A1">
        <w:t>è infatti molto imbarazzante socialmente</w:t>
      </w:r>
      <w:r w:rsidR="007D0DF4">
        <w:t xml:space="preserve">; </w:t>
      </w:r>
      <w:r w:rsidR="00756062">
        <w:t xml:space="preserve">a </w:t>
      </w:r>
      <w:r w:rsidR="00402DB0">
        <w:t>chi</w:t>
      </w:r>
      <w:r>
        <w:t xml:space="preserve"> se ne</w:t>
      </w:r>
      <w:r w:rsidR="00402DB0">
        <w:t xml:space="preserve"> lamenta </w:t>
      </w:r>
      <w:r>
        <w:t xml:space="preserve">è improponibile </w:t>
      </w:r>
      <w:r w:rsidR="00756062">
        <w:t>rispondere</w:t>
      </w:r>
      <w:r w:rsidR="00402DB0">
        <w:t xml:space="preserve"> </w:t>
      </w:r>
      <w:r>
        <w:t>facendo valere un’ingiustizia di segno opposto</w:t>
      </w:r>
      <w:r w:rsidR="00402DB0">
        <w:t xml:space="preserve">, perché altri, grazie alle stesse </w:t>
      </w:r>
      <w:r>
        <w:t>forfettizzazioni</w:t>
      </w:r>
      <w:r w:rsidR="00402DB0">
        <w:t xml:space="preserve">, </w:t>
      </w:r>
      <w:r w:rsidR="00756062">
        <w:t xml:space="preserve">non sono tassati su imponibili effettivi, con un vantaggio uguale </w:t>
      </w:r>
      <w:r w:rsidR="00402DB0">
        <w:t xml:space="preserve">e contrario. </w:t>
      </w:r>
      <w:r>
        <w:t>Sul piano sociale e politico, queste due storture non fanno media, e il</w:t>
      </w:r>
      <w:r w:rsidR="007D0DF4">
        <w:t xml:space="preserve"> consenso perduto presso </w:t>
      </w:r>
      <w:r w:rsidR="00756062">
        <w:t xml:space="preserve">i </w:t>
      </w:r>
      <w:r>
        <w:t>contribuenti penalizzati</w:t>
      </w:r>
      <w:r w:rsidR="00756062">
        <w:t xml:space="preserve"> </w:t>
      </w:r>
      <w:r w:rsidR="007D0DF4">
        <w:t xml:space="preserve">non sarebbe </w:t>
      </w:r>
      <w:r w:rsidR="00756062">
        <w:t>compensato</w:t>
      </w:r>
      <w:r w:rsidR="007D0DF4">
        <w:t>, da quello acquisito s</w:t>
      </w:r>
      <w:r>
        <w:t>u quelli avvantaggiati. Anzi</w:t>
      </w:r>
      <w:r w:rsidR="007D0DF4">
        <w:t xml:space="preserve">, </w:t>
      </w:r>
      <w:r>
        <w:t xml:space="preserve">questi ultimi si unirebbero alle proteste dei primi, per avere ulteriori </w:t>
      </w:r>
      <w:r w:rsidR="00167DB7">
        <w:t>“</w:t>
      </w:r>
      <w:r w:rsidR="007D0DF4">
        <w:t>forfettizzazion</w:t>
      </w:r>
      <w:r w:rsidR="00756062">
        <w:t>i</w:t>
      </w:r>
      <w:r w:rsidR="007D0DF4">
        <w:t xml:space="preserve"> al ribasso”. </w:t>
      </w:r>
    </w:p>
    <w:p w14:paraId="44536E8B" w14:textId="6D82CCDF" w:rsidR="00ED5437" w:rsidRPr="007F7EBF" w:rsidRDefault="007D3DE9" w:rsidP="00ED5437">
      <w:pPr>
        <w:pStyle w:val="tit23"/>
        <w:ind w:left="6464" w:right="-1361" w:firstLine="0"/>
        <w:jc w:val="left"/>
        <w:rPr>
          <w:bCs/>
          <w:i/>
          <w:iCs/>
          <w:color w:val="0000FF"/>
          <w:lang w:val="it-IT"/>
        </w:rPr>
      </w:pPr>
      <w:r>
        <w:rPr>
          <w:bCs/>
          <w:i/>
          <w:iCs/>
          <w:color w:val="0000FF"/>
          <w:lang w:val="it-IT"/>
        </w:rPr>
        <w:t>Rinvio ai criteri di una gestione personalizzata</w:t>
      </w:r>
    </w:p>
    <w:p w14:paraId="7D838FB8" w14:textId="33238EFA" w:rsidR="00740EFA" w:rsidRPr="00402DB0" w:rsidRDefault="004A66B5" w:rsidP="008E4AA2">
      <w:pPr>
        <w:autoSpaceDE w:val="0"/>
        <w:autoSpaceDN w:val="0"/>
        <w:adjustRightInd w:val="0"/>
        <w:rPr>
          <w:sz w:val="22"/>
          <w:szCs w:val="22"/>
        </w:rPr>
      </w:pPr>
      <w:r>
        <w:rPr>
          <w:sz w:val="22"/>
          <w:szCs w:val="22"/>
        </w:rPr>
        <w:t xml:space="preserve">La perequazione tributaria </w:t>
      </w:r>
      <w:r w:rsidR="00004B95">
        <w:rPr>
          <w:sz w:val="22"/>
          <w:szCs w:val="22"/>
        </w:rPr>
        <w:t xml:space="preserve"> richiede quindi una gestione amministrativa sufficientemente sistematica e per</w:t>
      </w:r>
      <w:r w:rsidR="007D3DE9">
        <w:rPr>
          <w:sz w:val="22"/>
          <w:szCs w:val="22"/>
        </w:rPr>
        <w:t>sonalizzat</w:t>
      </w:r>
      <w:r w:rsidR="00004B95">
        <w:rPr>
          <w:sz w:val="22"/>
          <w:szCs w:val="22"/>
        </w:rPr>
        <w:t>a</w:t>
      </w:r>
      <w:r w:rsidR="0088574A">
        <w:rPr>
          <w:sz w:val="22"/>
          <w:szCs w:val="22"/>
        </w:rPr>
        <w:t xml:space="preserve"> de</w:t>
      </w:r>
      <w:r w:rsidR="007D3DE9">
        <w:rPr>
          <w:sz w:val="22"/>
          <w:szCs w:val="22"/>
        </w:rPr>
        <w:t xml:space="preserve">i presupposti economici </w:t>
      </w:r>
      <w:r w:rsidR="00004B95">
        <w:rPr>
          <w:sz w:val="22"/>
          <w:szCs w:val="22"/>
        </w:rPr>
        <w:lastRenderedPageBreak/>
        <w:t xml:space="preserve">d’imposta </w:t>
      </w:r>
      <w:r w:rsidR="0088574A">
        <w:rPr>
          <w:sz w:val="22"/>
          <w:szCs w:val="22"/>
        </w:rPr>
        <w:t>non determina</w:t>
      </w:r>
      <w:r w:rsidR="007D3DE9">
        <w:rPr>
          <w:sz w:val="22"/>
          <w:szCs w:val="22"/>
        </w:rPr>
        <w:t>bili documentalmente</w:t>
      </w:r>
      <w:r w:rsidR="0088574A">
        <w:rPr>
          <w:sz w:val="22"/>
          <w:szCs w:val="22"/>
        </w:rPr>
        <w:t xml:space="preserve"> attraverso le aziende. E’ un lavoro amministrativo complesso (</w:t>
      </w:r>
      <w:r w:rsidR="0088574A">
        <w:rPr>
          <w:rStyle w:val="Rimandonotaapidipagina"/>
          <w:sz w:val="22"/>
          <w:szCs w:val="22"/>
        </w:rPr>
        <w:footnoteReference w:id="117"/>
      </w:r>
      <w:r w:rsidR="0088574A">
        <w:rPr>
          <w:sz w:val="22"/>
          <w:szCs w:val="22"/>
        </w:rPr>
        <w:t xml:space="preserve">), </w:t>
      </w:r>
      <w:r w:rsidR="00004B95">
        <w:rPr>
          <w:sz w:val="22"/>
          <w:szCs w:val="22"/>
        </w:rPr>
        <w:t>di cui indicheremo le linee essenziali a</w:t>
      </w:r>
      <w:r w:rsidR="007D3DE9">
        <w:rPr>
          <w:sz w:val="22"/>
          <w:szCs w:val="22"/>
        </w:rPr>
        <w:t>l par.5.7</w:t>
      </w:r>
      <w:r w:rsidR="00004B95">
        <w:rPr>
          <w:sz w:val="22"/>
          <w:szCs w:val="22"/>
        </w:rPr>
        <w:t xml:space="preserve">. Le </w:t>
      </w:r>
      <w:r w:rsidR="0088574A">
        <w:rPr>
          <w:sz w:val="22"/>
          <w:szCs w:val="22"/>
        </w:rPr>
        <w:t xml:space="preserve">difficoltà </w:t>
      </w:r>
      <w:r w:rsidR="0088574A">
        <w:t xml:space="preserve">amministrative e politiche di </w:t>
      </w:r>
      <w:r w:rsidR="00004B95">
        <w:t>questa</w:t>
      </w:r>
      <w:r w:rsidR="0088574A">
        <w:t xml:space="preserve"> valutazione su scala </w:t>
      </w:r>
      <w:r w:rsidR="009B14A8">
        <w:t xml:space="preserve">adeguatamente </w:t>
      </w:r>
      <w:r w:rsidR="00004B95">
        <w:t>ampia</w:t>
      </w:r>
      <w:r w:rsidR="009B14A8">
        <w:t xml:space="preserve"> </w:t>
      </w:r>
      <w:r w:rsidR="0088574A">
        <w:t>di imponibili non “filtrati” da aziende o altri “sostituti d’imposta”(par.3.6)</w:t>
      </w:r>
      <w:r w:rsidR="002A466A">
        <w:t xml:space="preserve"> richiedono però le spiegazioni sociali del fenomeno indicate ai paragrafi che seguono</w:t>
      </w:r>
      <w:r w:rsidR="0088574A">
        <w:t>.</w:t>
      </w:r>
    </w:p>
    <w:p w14:paraId="3B2D7783" w14:textId="77777777" w:rsidR="00D90E54" w:rsidRPr="007F7EBF" w:rsidRDefault="00283903" w:rsidP="001226E7">
      <w:pPr>
        <w:pStyle w:val="Titolo3"/>
        <w:rPr>
          <w:bCs w:val="0"/>
          <w:i/>
          <w:iCs/>
          <w:color w:val="0000FF"/>
          <w:sz w:val="22"/>
          <w:szCs w:val="22"/>
        </w:rPr>
      </w:pPr>
      <w:bookmarkStart w:id="17" w:name="_Toc63364938"/>
      <w:r w:rsidRPr="007F7EBF">
        <w:rPr>
          <w:rFonts w:ascii="Times New Roman" w:hAnsi="Times New Roman"/>
          <w:sz w:val="22"/>
          <w:szCs w:val="22"/>
          <w:lang w:val="it-IT"/>
        </w:rPr>
        <w:t xml:space="preserve">1.12 </w:t>
      </w:r>
      <w:r w:rsidR="00E9210E" w:rsidRPr="007F7EBF">
        <w:rPr>
          <w:rFonts w:ascii="Times New Roman" w:hAnsi="Times New Roman"/>
          <w:sz w:val="22"/>
          <w:szCs w:val="22"/>
          <w:lang w:val="it-IT"/>
        </w:rPr>
        <w:t>C</w:t>
      </w:r>
      <w:r w:rsidR="00034DFC" w:rsidRPr="007F7EBF">
        <w:rPr>
          <w:rFonts w:ascii="Times New Roman" w:hAnsi="Times New Roman"/>
          <w:sz w:val="22"/>
          <w:szCs w:val="22"/>
          <w:lang w:val="it-IT"/>
        </w:rPr>
        <w:t>ontributi</w:t>
      </w:r>
      <w:r w:rsidR="00E9210E" w:rsidRPr="007F7EBF">
        <w:rPr>
          <w:rFonts w:ascii="Times New Roman" w:hAnsi="Times New Roman"/>
          <w:sz w:val="22"/>
          <w:szCs w:val="22"/>
          <w:lang w:val="it-IT"/>
        </w:rPr>
        <w:t xml:space="preserve"> previdenziali</w:t>
      </w:r>
      <w:r w:rsidR="00034DFC" w:rsidRPr="007F7EBF">
        <w:rPr>
          <w:rFonts w:ascii="Times New Roman" w:hAnsi="Times New Roman"/>
          <w:sz w:val="22"/>
          <w:szCs w:val="22"/>
          <w:lang w:val="it-IT"/>
        </w:rPr>
        <w:t xml:space="preserve"> come “tributi di scopo”</w:t>
      </w:r>
      <w:r w:rsidR="00E9210E" w:rsidRPr="007F7EBF">
        <w:rPr>
          <w:rFonts w:ascii="Times New Roman" w:hAnsi="Times New Roman"/>
          <w:sz w:val="22"/>
          <w:szCs w:val="22"/>
          <w:lang w:val="it-IT"/>
        </w:rPr>
        <w:t>?</w:t>
      </w:r>
      <w:bookmarkEnd w:id="17"/>
    </w:p>
    <w:p w14:paraId="5A4EA532" w14:textId="77777777" w:rsidR="00D90E54" w:rsidRPr="007F7EBF" w:rsidRDefault="00D90E54" w:rsidP="00D90E54">
      <w:pPr>
        <w:pStyle w:val="tit23"/>
        <w:ind w:left="6464" w:right="-1361" w:firstLine="0"/>
        <w:jc w:val="left"/>
        <w:rPr>
          <w:bCs/>
          <w:i/>
          <w:iCs/>
          <w:color w:val="0000FF"/>
          <w:lang w:val="it-IT"/>
        </w:rPr>
      </w:pPr>
      <w:r w:rsidRPr="007F7EBF">
        <w:rPr>
          <w:bCs/>
          <w:i/>
          <w:iCs/>
          <w:color w:val="0000FF"/>
          <w:lang w:val="it-IT"/>
        </w:rPr>
        <w:t xml:space="preserve">Ragioni economico-sociali della previdenza </w:t>
      </w:r>
    </w:p>
    <w:p w14:paraId="16244961" w14:textId="1EB8CF62" w:rsidR="00010E2E" w:rsidRPr="007F7EBF" w:rsidRDefault="00283903" w:rsidP="00010E2E">
      <w:pPr>
        <w:autoSpaceDE w:val="0"/>
        <w:autoSpaceDN w:val="0"/>
        <w:adjustRightInd w:val="0"/>
        <w:rPr>
          <w:bCs/>
          <w:i/>
          <w:iCs/>
          <w:color w:val="0000FF"/>
          <w:sz w:val="22"/>
          <w:szCs w:val="22"/>
        </w:rPr>
      </w:pPr>
      <w:r w:rsidRPr="007F7EBF">
        <w:rPr>
          <w:sz w:val="22"/>
          <w:szCs w:val="22"/>
        </w:rPr>
        <w:t xml:space="preserve">Mentre </w:t>
      </w:r>
      <w:r w:rsidR="004A3848">
        <w:rPr>
          <w:sz w:val="22"/>
          <w:szCs w:val="22"/>
        </w:rPr>
        <w:t>l</w:t>
      </w:r>
      <w:r w:rsidR="008C663A">
        <w:rPr>
          <w:sz w:val="22"/>
          <w:szCs w:val="22"/>
        </w:rPr>
        <w:t xml:space="preserve">a funzione tributaria, relativa alle imposte, è </w:t>
      </w:r>
      <w:r w:rsidRPr="007F7EBF">
        <w:rPr>
          <w:sz w:val="22"/>
          <w:szCs w:val="22"/>
        </w:rPr>
        <w:t>antichissi</w:t>
      </w:r>
      <w:r w:rsidR="008C663A">
        <w:rPr>
          <w:sz w:val="22"/>
          <w:szCs w:val="22"/>
        </w:rPr>
        <w:t xml:space="preserve">ma, quella </w:t>
      </w:r>
      <w:r w:rsidRPr="007F7EBF">
        <w:rPr>
          <w:sz w:val="22"/>
          <w:szCs w:val="22"/>
        </w:rPr>
        <w:t>previdenz</w:t>
      </w:r>
      <w:r w:rsidR="00A36938">
        <w:rPr>
          <w:sz w:val="22"/>
          <w:szCs w:val="22"/>
        </w:rPr>
        <w:t xml:space="preserve">iale, </w:t>
      </w:r>
      <w:r w:rsidR="008C663A">
        <w:rPr>
          <w:sz w:val="22"/>
          <w:szCs w:val="22"/>
        </w:rPr>
        <w:t xml:space="preserve">si è sviluppata </w:t>
      </w:r>
      <w:r w:rsidR="001F42FA" w:rsidRPr="007F7EBF">
        <w:rPr>
          <w:sz w:val="22"/>
          <w:szCs w:val="22"/>
        </w:rPr>
        <w:t xml:space="preserve">solo </w:t>
      </w:r>
      <w:r w:rsidR="00010E2E" w:rsidRPr="007F7EBF">
        <w:rPr>
          <w:sz w:val="22"/>
          <w:szCs w:val="22"/>
        </w:rPr>
        <w:t>col passaggio da</w:t>
      </w:r>
      <w:r w:rsidR="00D90E54" w:rsidRPr="007F7EBF">
        <w:rPr>
          <w:sz w:val="22"/>
          <w:szCs w:val="22"/>
        </w:rPr>
        <w:t>lla società agricolo-artigianale a quella industriale</w:t>
      </w:r>
      <w:r w:rsidR="00A36938">
        <w:rPr>
          <w:sz w:val="22"/>
          <w:szCs w:val="22"/>
        </w:rPr>
        <w:t xml:space="preserve">; in </w:t>
      </w:r>
      <w:r w:rsidR="008C663A">
        <w:rPr>
          <w:sz w:val="22"/>
          <w:szCs w:val="22"/>
        </w:rPr>
        <w:t>quest’ultima</w:t>
      </w:r>
      <w:r w:rsidR="00A36938">
        <w:rPr>
          <w:sz w:val="22"/>
          <w:szCs w:val="22"/>
        </w:rPr>
        <w:t xml:space="preserve"> </w:t>
      </w:r>
      <w:r w:rsidR="00010E2E" w:rsidRPr="007F7EBF">
        <w:rPr>
          <w:sz w:val="22"/>
          <w:szCs w:val="22"/>
        </w:rPr>
        <w:t xml:space="preserve">il lavoro è più di </w:t>
      </w:r>
      <w:r w:rsidR="00010E2E" w:rsidRPr="00E56A86">
        <w:rPr>
          <w:i/>
          <w:sz w:val="22"/>
          <w:szCs w:val="22"/>
        </w:rPr>
        <w:t>routine</w:t>
      </w:r>
      <w:r w:rsidR="00010E2E" w:rsidRPr="007F7EBF">
        <w:rPr>
          <w:sz w:val="22"/>
          <w:szCs w:val="22"/>
        </w:rPr>
        <w:t>, meno flessibile</w:t>
      </w:r>
      <w:r w:rsidR="008C663A">
        <w:rPr>
          <w:sz w:val="22"/>
          <w:szCs w:val="22"/>
        </w:rPr>
        <w:t>,</w:t>
      </w:r>
      <w:r w:rsidR="00010E2E" w:rsidRPr="007F7EBF">
        <w:rPr>
          <w:sz w:val="22"/>
          <w:szCs w:val="22"/>
        </w:rPr>
        <w:t xml:space="preserve"> più interdipendente</w:t>
      </w:r>
      <w:r w:rsidR="008C663A">
        <w:rPr>
          <w:sz w:val="22"/>
          <w:szCs w:val="22"/>
        </w:rPr>
        <w:t xml:space="preserve">, con </w:t>
      </w:r>
      <w:r w:rsidR="00010E2E" w:rsidRPr="007F7EBF">
        <w:rPr>
          <w:sz w:val="22"/>
          <w:szCs w:val="22"/>
        </w:rPr>
        <w:t xml:space="preserve">un </w:t>
      </w:r>
      <w:r w:rsidR="00FA1721" w:rsidRPr="007F7EBF">
        <w:rPr>
          <w:sz w:val="22"/>
          <w:szCs w:val="22"/>
        </w:rPr>
        <w:t xml:space="preserve">accorciamento della vita lavorativa </w:t>
      </w:r>
      <w:r w:rsidR="008C663A">
        <w:rPr>
          <w:sz w:val="22"/>
          <w:szCs w:val="22"/>
        </w:rPr>
        <w:t xml:space="preserve">nelle aziende pluripersonali, e </w:t>
      </w:r>
      <w:r w:rsidR="00010E2E" w:rsidRPr="007F7EBF">
        <w:rPr>
          <w:sz w:val="22"/>
          <w:szCs w:val="22"/>
        </w:rPr>
        <w:t xml:space="preserve">ridotte possibilità di </w:t>
      </w:r>
      <w:r w:rsidR="008C663A">
        <w:rPr>
          <w:sz w:val="22"/>
          <w:szCs w:val="22"/>
        </w:rPr>
        <w:t xml:space="preserve"> a</w:t>
      </w:r>
      <w:r w:rsidR="0097043E" w:rsidRPr="007F7EBF">
        <w:rPr>
          <w:sz w:val="22"/>
          <w:szCs w:val="22"/>
        </w:rPr>
        <w:t>ssor</w:t>
      </w:r>
      <w:r w:rsidR="00010E2E" w:rsidRPr="007F7EBF">
        <w:rPr>
          <w:sz w:val="22"/>
          <w:szCs w:val="22"/>
        </w:rPr>
        <w:t>bimento in attività</w:t>
      </w:r>
      <w:r w:rsidR="0097043E" w:rsidRPr="007F7EBF">
        <w:rPr>
          <w:sz w:val="22"/>
          <w:szCs w:val="22"/>
        </w:rPr>
        <w:t xml:space="preserve"> </w:t>
      </w:r>
      <w:r w:rsidR="001F42FA" w:rsidRPr="007F7EBF">
        <w:rPr>
          <w:sz w:val="22"/>
          <w:szCs w:val="22"/>
        </w:rPr>
        <w:t>compatibili con l'età avanzata</w:t>
      </w:r>
      <w:r w:rsidR="008C663A">
        <w:rPr>
          <w:sz w:val="22"/>
          <w:szCs w:val="22"/>
        </w:rPr>
        <w:t xml:space="preserve"> </w:t>
      </w:r>
      <w:r w:rsidR="003D0E7D">
        <w:rPr>
          <w:sz w:val="22"/>
          <w:szCs w:val="22"/>
        </w:rPr>
        <w:t>(</w:t>
      </w:r>
      <w:r w:rsidR="008C663A">
        <w:rPr>
          <w:sz w:val="22"/>
          <w:szCs w:val="22"/>
        </w:rPr>
        <w:t>Economia pubblica, citato in premessa, parr.6.14 ss.</w:t>
      </w:r>
      <w:r w:rsidR="003D0E7D">
        <w:rPr>
          <w:sz w:val="22"/>
          <w:szCs w:val="22"/>
        </w:rPr>
        <w:t>)</w:t>
      </w:r>
      <w:r w:rsidR="001F42FA" w:rsidRPr="007F7EBF">
        <w:rPr>
          <w:sz w:val="22"/>
          <w:szCs w:val="22"/>
        </w:rPr>
        <w:t xml:space="preserve">. </w:t>
      </w:r>
      <w:r w:rsidR="008C663A" w:rsidRPr="007F7EBF">
        <w:rPr>
          <w:sz w:val="22"/>
          <w:szCs w:val="22"/>
        </w:rPr>
        <w:t xml:space="preserve">La condizione degli anziani è peggiorata anche in quanto la società moderna ha logorato le reti familiari e sociali (religiose e di vicinato) </w:t>
      </w:r>
      <w:r w:rsidR="008C663A">
        <w:rPr>
          <w:sz w:val="22"/>
          <w:szCs w:val="22"/>
        </w:rPr>
        <w:t>in cui essi si inserivano(</w:t>
      </w:r>
      <w:r w:rsidR="008C663A">
        <w:rPr>
          <w:rStyle w:val="Rimandonotaapidipagina"/>
          <w:sz w:val="22"/>
          <w:szCs w:val="22"/>
        </w:rPr>
        <w:footnoteReference w:id="118"/>
      </w:r>
      <w:r w:rsidR="008C663A">
        <w:rPr>
          <w:sz w:val="22"/>
          <w:szCs w:val="22"/>
        </w:rPr>
        <w:t>)</w:t>
      </w:r>
      <w:r w:rsidR="008C663A" w:rsidRPr="007F7EBF">
        <w:rPr>
          <w:sz w:val="22"/>
          <w:szCs w:val="22"/>
        </w:rPr>
        <w:t xml:space="preserve">.  </w:t>
      </w:r>
    </w:p>
    <w:p w14:paraId="091FDC64" w14:textId="143210B7" w:rsidR="00010E2E" w:rsidRPr="007F7EBF" w:rsidRDefault="004E63A9" w:rsidP="00010E2E">
      <w:pPr>
        <w:pStyle w:val="tit23"/>
        <w:ind w:left="6464" w:right="-1361" w:firstLine="0"/>
        <w:jc w:val="left"/>
        <w:rPr>
          <w:bCs/>
          <w:i/>
          <w:iCs/>
          <w:color w:val="0000FF"/>
          <w:lang w:val="it-IT"/>
        </w:rPr>
      </w:pPr>
      <w:r>
        <w:rPr>
          <w:bCs/>
          <w:i/>
          <w:iCs/>
          <w:color w:val="0000FF"/>
          <w:lang w:val="it-IT"/>
        </w:rPr>
        <w:t>obbligo</w:t>
      </w:r>
      <w:r w:rsidR="00010E2E" w:rsidRPr="007F7EBF">
        <w:rPr>
          <w:bCs/>
          <w:i/>
          <w:iCs/>
          <w:color w:val="0000FF"/>
          <w:lang w:val="it-IT"/>
        </w:rPr>
        <w:t xml:space="preserve"> pension</w:t>
      </w:r>
      <w:r>
        <w:rPr>
          <w:bCs/>
          <w:i/>
          <w:iCs/>
          <w:color w:val="0000FF"/>
          <w:lang w:val="it-IT"/>
        </w:rPr>
        <w:t>istico</w:t>
      </w:r>
    </w:p>
    <w:p w14:paraId="362A34FE" w14:textId="1375D983" w:rsidR="0071134F" w:rsidRPr="007F7EBF" w:rsidRDefault="00010E2E" w:rsidP="003948A0">
      <w:pPr>
        <w:autoSpaceDE w:val="0"/>
        <w:autoSpaceDN w:val="0"/>
        <w:adjustRightInd w:val="0"/>
        <w:rPr>
          <w:bCs/>
          <w:i/>
          <w:iCs/>
          <w:color w:val="0000FF"/>
          <w:sz w:val="22"/>
          <w:szCs w:val="22"/>
        </w:rPr>
      </w:pPr>
      <w:r w:rsidRPr="007F7EBF">
        <w:rPr>
          <w:sz w:val="22"/>
          <w:szCs w:val="22"/>
        </w:rPr>
        <w:t>Quanto precede, unito all</w:t>
      </w:r>
      <w:r w:rsidR="001F42FA" w:rsidRPr="007F7EBF">
        <w:rPr>
          <w:sz w:val="22"/>
          <w:szCs w:val="22"/>
        </w:rPr>
        <w:t>a maggiore incidenza numerica degli anziani, dovuta anche al</w:t>
      </w:r>
      <w:r w:rsidR="00F36CEC" w:rsidRPr="007F7EBF">
        <w:rPr>
          <w:sz w:val="22"/>
          <w:szCs w:val="22"/>
        </w:rPr>
        <w:t>l'allungamento della vita</w:t>
      </w:r>
      <w:r w:rsidR="001F42FA" w:rsidRPr="007F7EBF">
        <w:rPr>
          <w:sz w:val="22"/>
          <w:szCs w:val="22"/>
        </w:rPr>
        <w:t xml:space="preserve"> media</w:t>
      </w:r>
      <w:r w:rsidR="00F36CEC" w:rsidRPr="007F7EBF">
        <w:rPr>
          <w:sz w:val="22"/>
          <w:szCs w:val="22"/>
        </w:rPr>
        <w:t xml:space="preserve">, </w:t>
      </w:r>
      <w:r w:rsidR="0097043E" w:rsidRPr="007F7EBF">
        <w:rPr>
          <w:sz w:val="22"/>
          <w:szCs w:val="22"/>
        </w:rPr>
        <w:t xml:space="preserve">ha </w:t>
      </w:r>
      <w:r w:rsidR="001F42FA" w:rsidRPr="007F7EBF">
        <w:rPr>
          <w:sz w:val="22"/>
          <w:szCs w:val="22"/>
        </w:rPr>
        <w:t xml:space="preserve">spinto a </w:t>
      </w:r>
      <w:r w:rsidR="0097043E" w:rsidRPr="007F7EBF">
        <w:rPr>
          <w:sz w:val="22"/>
          <w:szCs w:val="22"/>
        </w:rPr>
        <w:t>rendere obbligatorie</w:t>
      </w:r>
      <w:r w:rsidR="009824D4" w:rsidRPr="007F7EBF">
        <w:rPr>
          <w:sz w:val="22"/>
          <w:szCs w:val="22"/>
        </w:rPr>
        <w:t>, per i lavoratori,</w:t>
      </w:r>
      <w:r w:rsidR="00283903" w:rsidRPr="007F7EBF">
        <w:rPr>
          <w:sz w:val="22"/>
          <w:szCs w:val="22"/>
        </w:rPr>
        <w:t xml:space="preserve"> forme assicurative private </w:t>
      </w:r>
      <w:r w:rsidR="0097043E" w:rsidRPr="007F7EBF">
        <w:rPr>
          <w:sz w:val="22"/>
          <w:szCs w:val="22"/>
        </w:rPr>
        <w:t xml:space="preserve">o </w:t>
      </w:r>
      <w:r w:rsidR="00283903" w:rsidRPr="007F7EBF">
        <w:rPr>
          <w:sz w:val="22"/>
          <w:szCs w:val="22"/>
        </w:rPr>
        <w:t>previdenze pubbliche</w:t>
      </w:r>
      <w:r w:rsidR="00465F6F" w:rsidRPr="007F7EBF">
        <w:rPr>
          <w:sz w:val="22"/>
          <w:szCs w:val="22"/>
        </w:rPr>
        <w:t xml:space="preserve">, </w:t>
      </w:r>
      <w:r w:rsidR="00BB2C74" w:rsidRPr="007F7EBF">
        <w:rPr>
          <w:sz w:val="22"/>
          <w:szCs w:val="22"/>
        </w:rPr>
        <w:t>alimentate da contributi sociali obbligatori</w:t>
      </w:r>
      <w:r w:rsidR="008C663A">
        <w:rPr>
          <w:sz w:val="22"/>
          <w:szCs w:val="22"/>
        </w:rPr>
        <w:t xml:space="preserve">, finalizzati all’erogazione delle </w:t>
      </w:r>
      <w:r w:rsidR="008C663A" w:rsidRPr="007F7EBF">
        <w:rPr>
          <w:sz w:val="22"/>
          <w:szCs w:val="22"/>
        </w:rPr>
        <w:t>pensioni</w:t>
      </w:r>
      <w:r w:rsidR="008C663A">
        <w:rPr>
          <w:sz w:val="22"/>
          <w:szCs w:val="22"/>
        </w:rPr>
        <w:t>. S</w:t>
      </w:r>
      <w:r w:rsidR="00A36938">
        <w:rPr>
          <w:sz w:val="22"/>
          <w:szCs w:val="22"/>
        </w:rPr>
        <w:t xml:space="preserve">i è iniziato con i </w:t>
      </w:r>
      <w:r w:rsidR="00465F6F" w:rsidRPr="007F7EBF">
        <w:rPr>
          <w:sz w:val="22"/>
          <w:szCs w:val="22"/>
        </w:rPr>
        <w:t>dipendenti</w:t>
      </w:r>
      <w:r w:rsidR="0064615F" w:rsidRPr="007F7EBF">
        <w:rPr>
          <w:sz w:val="22"/>
          <w:szCs w:val="22"/>
        </w:rPr>
        <w:t>,</w:t>
      </w:r>
      <w:r w:rsidR="00465F6F" w:rsidRPr="007F7EBF">
        <w:rPr>
          <w:sz w:val="22"/>
          <w:szCs w:val="22"/>
        </w:rPr>
        <w:t xml:space="preserve"> </w:t>
      </w:r>
      <w:r w:rsidR="00A36938">
        <w:rPr>
          <w:sz w:val="22"/>
          <w:szCs w:val="22"/>
        </w:rPr>
        <w:t>passando poi a</w:t>
      </w:r>
      <w:r w:rsidR="00465F6F" w:rsidRPr="007F7EBF">
        <w:rPr>
          <w:sz w:val="22"/>
          <w:szCs w:val="22"/>
        </w:rPr>
        <w:t xml:space="preserve"> tutti i lavoratori</w:t>
      </w:r>
      <w:r w:rsidR="003948A0" w:rsidRPr="007F7EBF">
        <w:rPr>
          <w:sz w:val="22"/>
          <w:szCs w:val="22"/>
        </w:rPr>
        <w:t>, anche autonomi</w:t>
      </w:r>
      <w:r w:rsidR="008C663A">
        <w:rPr>
          <w:sz w:val="22"/>
          <w:szCs w:val="22"/>
        </w:rPr>
        <w:t xml:space="preserve">, con </w:t>
      </w:r>
      <w:r w:rsidR="008C663A" w:rsidRPr="007F7EBF">
        <w:t xml:space="preserve">le cosiddette “casse previdenziali private”  (avvocati, medici, ingegneri, etc.). Per </w:t>
      </w:r>
      <w:r w:rsidR="004E63A9">
        <w:t>a</w:t>
      </w:r>
      <w:r w:rsidR="008C663A" w:rsidRPr="007F7EBF">
        <w:t xml:space="preserve">rtigiani e piccoli commercianti </w:t>
      </w:r>
      <w:r w:rsidR="004E63A9">
        <w:t xml:space="preserve">l’obbligo era di iscrizione all’INPS, poi </w:t>
      </w:r>
      <w:r w:rsidR="008C663A" w:rsidRPr="007F7EBF">
        <w:t xml:space="preserve">esteso ai lavoratori </w:t>
      </w:r>
      <w:r w:rsidR="004E63A9">
        <w:t xml:space="preserve">autonomi </w:t>
      </w:r>
      <w:r w:rsidR="008C663A" w:rsidRPr="007F7EBF">
        <w:t xml:space="preserve">non tenuti </w:t>
      </w:r>
      <w:r w:rsidR="008C663A" w:rsidRPr="007F7EBF">
        <w:lastRenderedPageBreak/>
        <w:t>all’iscrizione in casse qualora i compensi annui superino 5 mila euro</w:t>
      </w:r>
      <w:r w:rsidR="004E63A9">
        <w:t xml:space="preserve"> (c.d. </w:t>
      </w:r>
      <w:r w:rsidR="004E63A9">
        <w:rPr>
          <w:i/>
          <w:iCs/>
        </w:rPr>
        <w:t xml:space="preserve">gestione separata </w:t>
      </w:r>
      <w:proofErr w:type="spellStart"/>
      <w:r w:rsidR="004E63A9">
        <w:t>inps</w:t>
      </w:r>
      <w:proofErr w:type="spellEnd"/>
      <w:r w:rsidR="008C663A" w:rsidRPr="007F7EBF">
        <w:t>).</w:t>
      </w:r>
      <w:r w:rsidR="004E63A9">
        <w:t xml:space="preserve"> </w:t>
      </w:r>
    </w:p>
    <w:p w14:paraId="663C01A2" w14:textId="2A3EDAAA" w:rsidR="003948A0" w:rsidRPr="007F7EBF" w:rsidRDefault="00C54039" w:rsidP="003948A0">
      <w:pPr>
        <w:pStyle w:val="tit23"/>
        <w:ind w:left="6464" w:right="-1361" w:firstLine="0"/>
        <w:jc w:val="left"/>
        <w:rPr>
          <w:bCs/>
          <w:i/>
          <w:iCs/>
          <w:color w:val="0000FF"/>
          <w:lang w:val="it-IT"/>
        </w:rPr>
      </w:pPr>
      <w:r>
        <w:rPr>
          <w:bCs/>
          <w:i/>
          <w:iCs/>
          <w:color w:val="0000FF"/>
          <w:lang w:val="it-IT"/>
        </w:rPr>
        <w:t xml:space="preserve">Legame tra contributi e pensioni </w:t>
      </w:r>
    </w:p>
    <w:p w14:paraId="1D4C6B37" w14:textId="011A8241" w:rsidR="00C54039" w:rsidRDefault="004E63A9" w:rsidP="00C54039">
      <w:pPr>
        <w:autoSpaceDE w:val="0"/>
        <w:autoSpaceDN w:val="0"/>
        <w:adjustRightInd w:val="0"/>
        <w:rPr>
          <w:bCs/>
          <w:i/>
          <w:iCs/>
          <w:color w:val="0000FF"/>
          <w:sz w:val="22"/>
          <w:szCs w:val="22"/>
        </w:rPr>
      </w:pPr>
      <w:r>
        <w:t xml:space="preserve">Obbligato al versamento dei contributi è il datore di lavoro, con una quota complessiva pari al 30% circa della retribuzione lorda. </w:t>
      </w:r>
      <w:r w:rsidR="00C54039">
        <w:t xml:space="preserve">I contributi non sono più dovuti oltre un certo livello di reddito, circa 100 mila euro, in quanto a tale importo sono anche commisurati i tetti massimi delle pensioni (c.d. “massimali”), in quanto </w:t>
      </w:r>
      <w:r w:rsidR="000B0FC3" w:rsidRPr="007F7EBF">
        <w:rPr>
          <w:sz w:val="22"/>
          <w:szCs w:val="22"/>
        </w:rPr>
        <w:t xml:space="preserve">gli stipendi maggiori non </w:t>
      </w:r>
      <w:r w:rsidR="00C54039">
        <w:rPr>
          <w:sz w:val="22"/>
          <w:szCs w:val="22"/>
        </w:rPr>
        <w:t>hanno</w:t>
      </w:r>
      <w:r w:rsidR="000B0FC3" w:rsidRPr="007F7EBF">
        <w:rPr>
          <w:sz w:val="22"/>
          <w:szCs w:val="22"/>
        </w:rPr>
        <w:t xml:space="preserve"> alcun bisogno di essere salvaguardati, come già oggi avviene coi c.d. "massimali contributivi" e pensionistici.</w:t>
      </w:r>
    </w:p>
    <w:p w14:paraId="17B9E909" w14:textId="2BC45077" w:rsidR="00C54039" w:rsidRDefault="00C54039" w:rsidP="00C54039">
      <w:pPr>
        <w:pStyle w:val="tit23"/>
        <w:ind w:left="6464" w:right="-1361" w:firstLine="0"/>
        <w:jc w:val="left"/>
        <w:rPr>
          <w:bCs/>
          <w:i/>
          <w:iCs/>
          <w:color w:val="0000FF"/>
          <w:lang w:val="it-IT"/>
        </w:rPr>
      </w:pPr>
      <w:r>
        <w:rPr>
          <w:bCs/>
          <w:i/>
          <w:iCs/>
          <w:color w:val="0000FF"/>
          <w:lang w:val="it-IT"/>
        </w:rPr>
        <w:t xml:space="preserve">Funzione </w:t>
      </w:r>
      <w:proofErr w:type="spellStart"/>
      <w:r>
        <w:rPr>
          <w:bCs/>
          <w:i/>
          <w:iCs/>
          <w:color w:val="0000FF"/>
          <w:lang w:val="it-IT"/>
        </w:rPr>
        <w:t>autofinanziataobbligatoriamente</w:t>
      </w:r>
      <w:proofErr w:type="spellEnd"/>
    </w:p>
    <w:p w14:paraId="729F031D" w14:textId="530A5082" w:rsidR="003D4923" w:rsidRPr="00C54039" w:rsidRDefault="004E63A9" w:rsidP="003D4923">
      <w:pPr>
        <w:autoSpaceDE w:val="0"/>
        <w:autoSpaceDN w:val="0"/>
        <w:adjustRightInd w:val="0"/>
      </w:pPr>
      <w:r>
        <w:t xml:space="preserve">La spesa previdenziale viene quindi finanziata </w:t>
      </w:r>
      <w:r w:rsidR="00465F6F" w:rsidRPr="007F7EBF">
        <w:rPr>
          <w:sz w:val="22"/>
          <w:szCs w:val="22"/>
        </w:rPr>
        <w:t>a carico di coloro che, i</w:t>
      </w:r>
      <w:r w:rsidR="003948A0" w:rsidRPr="007F7EBF">
        <w:rPr>
          <w:sz w:val="22"/>
          <w:szCs w:val="22"/>
        </w:rPr>
        <w:t>n futuro, potranno beneficiarne</w:t>
      </w:r>
      <w:r>
        <w:rPr>
          <w:sz w:val="22"/>
          <w:szCs w:val="22"/>
        </w:rPr>
        <w:t xml:space="preserve">, con una sorta di </w:t>
      </w:r>
      <w:r w:rsidR="003948A0" w:rsidRPr="007F7EBF">
        <w:rPr>
          <w:sz w:val="22"/>
          <w:szCs w:val="22"/>
        </w:rPr>
        <w:t>autofinanziamento della stessa</w:t>
      </w:r>
      <w:r>
        <w:rPr>
          <w:sz w:val="22"/>
          <w:szCs w:val="22"/>
        </w:rPr>
        <w:t xml:space="preserve">. </w:t>
      </w:r>
      <w:r w:rsidR="003948A0" w:rsidRPr="007F7EBF">
        <w:rPr>
          <w:sz w:val="22"/>
          <w:szCs w:val="22"/>
        </w:rPr>
        <w:t xml:space="preserve"> </w:t>
      </w:r>
      <w:r>
        <w:rPr>
          <w:sz w:val="22"/>
          <w:szCs w:val="22"/>
        </w:rPr>
        <w:t xml:space="preserve">I </w:t>
      </w:r>
      <w:r w:rsidRPr="007F7EBF">
        <w:rPr>
          <w:sz w:val="22"/>
          <w:szCs w:val="22"/>
        </w:rPr>
        <w:t xml:space="preserve">contributi previdenziali </w:t>
      </w:r>
      <w:r>
        <w:rPr>
          <w:sz w:val="22"/>
          <w:szCs w:val="22"/>
        </w:rPr>
        <w:t xml:space="preserve">somigliano </w:t>
      </w:r>
      <w:r w:rsidRPr="007F7EBF">
        <w:rPr>
          <w:sz w:val="22"/>
          <w:szCs w:val="22"/>
        </w:rPr>
        <w:t xml:space="preserve">a premi di assicurazione sulla vita, destinati all'erogazione di una rendita vitalizia, rappresentata dalla pensione, per cui serviranno calcoli attuariali "di massa", in quanto la vita residua è incerta. </w:t>
      </w:r>
      <w:r>
        <w:rPr>
          <w:sz w:val="22"/>
          <w:szCs w:val="22"/>
        </w:rPr>
        <w:t xml:space="preserve">La loro obbligatorietà spinge a </w:t>
      </w:r>
      <w:r w:rsidR="00C52441" w:rsidRPr="007F7EBF">
        <w:rPr>
          <w:sz w:val="22"/>
          <w:szCs w:val="22"/>
        </w:rPr>
        <w:t>qualifica</w:t>
      </w:r>
      <w:r>
        <w:rPr>
          <w:sz w:val="22"/>
          <w:szCs w:val="22"/>
        </w:rPr>
        <w:t>rli</w:t>
      </w:r>
      <w:r w:rsidR="00C52441" w:rsidRPr="007F7EBF">
        <w:rPr>
          <w:sz w:val="22"/>
          <w:szCs w:val="22"/>
        </w:rPr>
        <w:t xml:space="preserve"> come  una sorta di "tribut</w:t>
      </w:r>
      <w:r>
        <w:rPr>
          <w:sz w:val="22"/>
          <w:szCs w:val="22"/>
        </w:rPr>
        <w:t>i</w:t>
      </w:r>
      <w:r w:rsidR="00C52441" w:rsidRPr="007F7EBF">
        <w:rPr>
          <w:sz w:val="22"/>
          <w:szCs w:val="22"/>
        </w:rPr>
        <w:t xml:space="preserve"> di scopo", ancorat</w:t>
      </w:r>
      <w:r>
        <w:rPr>
          <w:sz w:val="22"/>
          <w:szCs w:val="22"/>
        </w:rPr>
        <w:t>i</w:t>
      </w:r>
      <w:r w:rsidR="00C52441" w:rsidRPr="007F7EBF">
        <w:rPr>
          <w:sz w:val="22"/>
          <w:szCs w:val="22"/>
        </w:rPr>
        <w:t xml:space="preserve"> ad un</w:t>
      </w:r>
      <w:r w:rsidR="00E56A86">
        <w:rPr>
          <w:sz w:val="22"/>
          <w:szCs w:val="22"/>
        </w:rPr>
        <w:t>a</w:t>
      </w:r>
      <w:r w:rsidR="00C52441" w:rsidRPr="007F7EBF">
        <w:rPr>
          <w:sz w:val="22"/>
          <w:szCs w:val="22"/>
        </w:rPr>
        <w:t xml:space="preserve"> specifica funzione pubblica </w:t>
      </w:r>
      <w:r>
        <w:rPr>
          <w:sz w:val="22"/>
          <w:szCs w:val="22"/>
        </w:rPr>
        <w:t>co</w:t>
      </w:r>
      <w:r w:rsidR="00C52441" w:rsidRPr="007F7EBF">
        <w:rPr>
          <w:sz w:val="22"/>
          <w:szCs w:val="22"/>
        </w:rPr>
        <w:t>me confermeremo al par.5.1.</w:t>
      </w:r>
    </w:p>
    <w:p w14:paraId="5947707C" w14:textId="51B74F6B" w:rsidR="003D4923" w:rsidRPr="007F7EBF" w:rsidRDefault="004E63A9" w:rsidP="003D4923">
      <w:pPr>
        <w:pStyle w:val="tit23"/>
        <w:ind w:left="6464" w:right="-1361" w:firstLine="0"/>
        <w:jc w:val="left"/>
        <w:rPr>
          <w:bCs/>
          <w:i/>
          <w:iCs/>
          <w:color w:val="0000FF"/>
          <w:lang w:val="it-IT"/>
        </w:rPr>
      </w:pPr>
      <w:r>
        <w:rPr>
          <w:bCs/>
          <w:i/>
          <w:iCs/>
          <w:color w:val="0000FF"/>
          <w:lang w:val="it-IT"/>
        </w:rPr>
        <w:t xml:space="preserve">Assenza di capitalizzazione </w:t>
      </w:r>
    </w:p>
    <w:p w14:paraId="24B3361E" w14:textId="4C5FC4CB" w:rsidR="003D4923" w:rsidRPr="007F7EBF" w:rsidRDefault="004E63A9" w:rsidP="003D4923">
      <w:pPr>
        <w:autoSpaceDE w:val="0"/>
        <w:autoSpaceDN w:val="0"/>
        <w:adjustRightInd w:val="0"/>
        <w:rPr>
          <w:sz w:val="22"/>
          <w:szCs w:val="22"/>
        </w:rPr>
      </w:pPr>
      <w:r>
        <w:rPr>
          <w:sz w:val="22"/>
          <w:szCs w:val="22"/>
        </w:rPr>
        <w:t>R</w:t>
      </w:r>
      <w:r w:rsidR="003D4923" w:rsidRPr="007F7EBF">
        <w:rPr>
          <w:sz w:val="22"/>
          <w:szCs w:val="22"/>
        </w:rPr>
        <w:t>ispetto alle assicurazioni private, non esiste un materiale investimento dei contributi previdenziali, con retrocessione dei frutti tramite la pensione</w:t>
      </w:r>
      <w:r>
        <w:rPr>
          <w:sz w:val="22"/>
          <w:szCs w:val="22"/>
        </w:rPr>
        <w:t>,</w:t>
      </w:r>
      <w:r w:rsidR="003D4923" w:rsidRPr="007F7EBF">
        <w:rPr>
          <w:sz w:val="22"/>
          <w:szCs w:val="22"/>
        </w:rPr>
        <w:t xml:space="preserve"> e una garanzia della società assicurativa. </w:t>
      </w:r>
    </w:p>
    <w:p w14:paraId="15504CE5" w14:textId="361E5CAA" w:rsidR="00591DA8" w:rsidRPr="007F7EBF" w:rsidRDefault="003D4923" w:rsidP="00591DA8">
      <w:pPr>
        <w:autoSpaceDE w:val="0"/>
        <w:autoSpaceDN w:val="0"/>
        <w:adjustRightInd w:val="0"/>
        <w:rPr>
          <w:bCs/>
          <w:i/>
          <w:iCs/>
          <w:color w:val="0000FF"/>
          <w:sz w:val="22"/>
          <w:szCs w:val="22"/>
        </w:rPr>
      </w:pPr>
      <w:r w:rsidRPr="007F7EBF">
        <w:rPr>
          <w:sz w:val="22"/>
          <w:szCs w:val="22"/>
        </w:rPr>
        <w:t>Per molto tempo, anzi, fu in vigore il c.d. "sistema retributivo" , in cui la pensione era legata non già ai contributi versati, ma alla retribuzione degli ultimi anni</w:t>
      </w:r>
      <w:r w:rsidR="00C52441">
        <w:rPr>
          <w:sz w:val="22"/>
          <w:szCs w:val="22"/>
        </w:rPr>
        <w:t>(</w:t>
      </w:r>
      <w:r w:rsidRPr="007F7EBF">
        <w:rPr>
          <w:rStyle w:val="Rimandonotaapidipagina"/>
          <w:sz w:val="22"/>
          <w:szCs w:val="22"/>
        </w:rPr>
        <w:footnoteReference w:id="119"/>
      </w:r>
      <w:r w:rsidR="00C52441">
        <w:rPr>
          <w:sz w:val="22"/>
          <w:szCs w:val="22"/>
        </w:rPr>
        <w:t>)</w:t>
      </w:r>
      <w:r w:rsidRPr="007F7EBF">
        <w:rPr>
          <w:sz w:val="22"/>
          <w:szCs w:val="22"/>
        </w:rPr>
        <w:t xml:space="preserve">. </w:t>
      </w:r>
      <w:r w:rsidR="00B0454B">
        <w:rPr>
          <w:sz w:val="22"/>
          <w:szCs w:val="22"/>
        </w:rPr>
        <w:t>Si seguiva la logica del consenso politico immediato</w:t>
      </w:r>
      <w:r w:rsidR="00B0454B" w:rsidRPr="007F7EBF">
        <w:t xml:space="preserve">, utilizzando le eccedenze di contributi rispetto alle pensioni, </w:t>
      </w:r>
      <w:r w:rsidR="00B0454B">
        <w:t xml:space="preserve">all’epoca dovute alla </w:t>
      </w:r>
      <w:r w:rsidR="00B0454B" w:rsidRPr="007F7EBF">
        <w:t xml:space="preserve">giovane età media dei lavoratori e </w:t>
      </w:r>
      <w:r w:rsidR="00B0454B">
        <w:t>a</w:t>
      </w:r>
      <w:r w:rsidR="00B0454B" w:rsidRPr="007F7EBF">
        <w:t>l loro numero elevato rispetto ai pensionati</w:t>
      </w:r>
      <w:r w:rsidR="00B0454B">
        <w:t xml:space="preserve">. L’invecchiamento progressivo dei lavoratori aventi diritto alla pensione, l’aumento </w:t>
      </w:r>
      <w:r w:rsidR="00B0454B">
        <w:lastRenderedPageBreak/>
        <w:t xml:space="preserve">degli anziani </w:t>
      </w:r>
      <w:r w:rsidR="00C52441">
        <w:rPr>
          <w:sz w:val="22"/>
          <w:szCs w:val="22"/>
        </w:rPr>
        <w:t>e il restringimento della base produttiva</w:t>
      </w:r>
      <w:r w:rsidR="00B0454B">
        <w:rPr>
          <w:sz w:val="22"/>
          <w:szCs w:val="22"/>
        </w:rPr>
        <w:t xml:space="preserve">, hanno indotto, dal </w:t>
      </w:r>
      <w:r w:rsidR="00C52441">
        <w:rPr>
          <w:sz w:val="22"/>
          <w:szCs w:val="22"/>
        </w:rPr>
        <w:t xml:space="preserve">1995, </w:t>
      </w:r>
      <w:r w:rsidR="0055635F">
        <w:rPr>
          <w:sz w:val="22"/>
          <w:szCs w:val="22"/>
        </w:rPr>
        <w:t>a un lento ritorno a pensioni commisurate ai contributi versati; è</w:t>
      </w:r>
      <w:r w:rsidR="00FA2723">
        <w:rPr>
          <w:sz w:val="22"/>
          <w:szCs w:val="22"/>
        </w:rPr>
        <w:t xml:space="preserve"> questa la radice della c.d. “legge Fornero” e delle relative polemiche, tuttora in corso, con difficoltà dovute anche all</w:t>
      </w:r>
      <w:r w:rsidR="00FA2723" w:rsidRPr="007F7EBF">
        <w:rPr>
          <w:sz w:val="22"/>
          <w:szCs w:val="22"/>
        </w:rPr>
        <w:t xml:space="preserve">a contrarietà della corte costituzionale a toccare i c.d. "diritti acquisiti". </w:t>
      </w:r>
    </w:p>
    <w:p w14:paraId="44A2A769" w14:textId="77777777" w:rsidR="00591DA8" w:rsidRPr="007F7EBF" w:rsidRDefault="006C0FFC" w:rsidP="00591DA8">
      <w:pPr>
        <w:pStyle w:val="tit23"/>
        <w:ind w:left="6464" w:right="-1361" w:firstLine="0"/>
        <w:jc w:val="left"/>
        <w:rPr>
          <w:bCs/>
          <w:i/>
          <w:iCs/>
          <w:color w:val="0000FF"/>
          <w:lang w:val="it-IT"/>
        </w:rPr>
      </w:pPr>
      <w:r w:rsidRPr="007F7EBF">
        <w:rPr>
          <w:bCs/>
          <w:i/>
          <w:iCs/>
          <w:color w:val="0000FF"/>
          <w:lang w:val="it-IT"/>
        </w:rPr>
        <w:t xml:space="preserve">Interventi </w:t>
      </w:r>
      <w:r w:rsidR="005E6C4C" w:rsidRPr="007F7EBF">
        <w:rPr>
          <w:bCs/>
          <w:i/>
          <w:iCs/>
          <w:color w:val="0000FF"/>
          <w:lang w:val="it-IT"/>
        </w:rPr>
        <w:t>a carico della</w:t>
      </w:r>
      <w:r w:rsidRPr="007F7EBF">
        <w:rPr>
          <w:bCs/>
          <w:i/>
          <w:iCs/>
          <w:color w:val="0000FF"/>
          <w:lang w:val="it-IT"/>
        </w:rPr>
        <w:t xml:space="preserve"> fiscalità generale</w:t>
      </w:r>
    </w:p>
    <w:p w14:paraId="6915CCE4" w14:textId="004B5E6C" w:rsidR="00283903" w:rsidRPr="007F7EBF" w:rsidRDefault="0055635F" w:rsidP="00C54039">
      <w:pPr>
        <w:autoSpaceDE w:val="0"/>
        <w:autoSpaceDN w:val="0"/>
        <w:adjustRightInd w:val="0"/>
        <w:rPr>
          <w:sz w:val="22"/>
          <w:szCs w:val="22"/>
          <w:lang w:eastAsia="x-none"/>
        </w:rPr>
      </w:pPr>
      <w:r>
        <w:rPr>
          <w:sz w:val="22"/>
          <w:szCs w:val="22"/>
        </w:rPr>
        <w:t>La</w:t>
      </w:r>
      <w:r w:rsidR="00FA2723" w:rsidRPr="007F7EBF">
        <w:rPr>
          <w:sz w:val="22"/>
          <w:szCs w:val="22"/>
        </w:rPr>
        <w:t xml:space="preserve"> parte di pensioni idealmente eccedente i contributi versati è assistenza, a carico della fiscalità generale, cioè di chi paga imposte, in quanto fa l'operaio, fa benzina, possiede una casa</w:t>
      </w:r>
      <w:r>
        <w:rPr>
          <w:sz w:val="22"/>
          <w:szCs w:val="22"/>
        </w:rPr>
        <w:t>, oppure del debito pubblico</w:t>
      </w:r>
      <w:r w:rsidR="000B0FC3">
        <w:rPr>
          <w:sz w:val="22"/>
          <w:szCs w:val="22"/>
        </w:rPr>
        <w:t>; spesso</w:t>
      </w:r>
      <w:r w:rsidR="00FA2723" w:rsidRPr="007F7EBF">
        <w:rPr>
          <w:sz w:val="22"/>
          <w:szCs w:val="22"/>
        </w:rPr>
        <w:t xml:space="preserve"> contribuenti poveri sostanzialmente assistono pensionati ricchi, compresi alti dirigenti e  magistrati  (</w:t>
      </w:r>
      <w:r w:rsidR="00FA2723" w:rsidRPr="007F7EBF">
        <w:rPr>
          <w:rStyle w:val="Rimandonotaapidipagina"/>
          <w:sz w:val="22"/>
          <w:szCs w:val="22"/>
        </w:rPr>
        <w:footnoteReference w:id="120"/>
      </w:r>
      <w:r w:rsidR="00FA2723" w:rsidRPr="007F7EBF">
        <w:rPr>
          <w:sz w:val="22"/>
          <w:szCs w:val="22"/>
        </w:rPr>
        <w:t xml:space="preserve">). </w:t>
      </w:r>
      <w:r>
        <w:rPr>
          <w:sz w:val="22"/>
          <w:szCs w:val="22"/>
        </w:rPr>
        <w:t>A questa</w:t>
      </w:r>
      <w:r w:rsidR="005E6C4C" w:rsidRPr="007F7EBF">
        <w:rPr>
          <w:sz w:val="22"/>
          <w:szCs w:val="22"/>
        </w:rPr>
        <w:t xml:space="preserve"> </w:t>
      </w:r>
      <w:r w:rsidR="005E6C4C" w:rsidRPr="007F7EBF">
        <w:rPr>
          <w:i/>
          <w:sz w:val="22"/>
          <w:szCs w:val="22"/>
        </w:rPr>
        <w:t>fiscalizzazione</w:t>
      </w:r>
      <w:r w:rsidR="005E6C4C" w:rsidRPr="007F7EBF">
        <w:rPr>
          <w:sz w:val="22"/>
          <w:szCs w:val="22"/>
        </w:rPr>
        <w:t xml:space="preserve"> delle pensioni</w:t>
      </w:r>
      <w:r>
        <w:rPr>
          <w:sz w:val="22"/>
          <w:szCs w:val="22"/>
        </w:rPr>
        <w:t xml:space="preserve"> </w:t>
      </w:r>
      <w:r w:rsidR="005E6C4C" w:rsidRPr="007F7EBF">
        <w:rPr>
          <w:sz w:val="22"/>
          <w:szCs w:val="22"/>
        </w:rPr>
        <w:t>si aggiunge il peso delle c.d. "pensioni sociali", spettant</w:t>
      </w:r>
      <w:r w:rsidR="003D0E7D">
        <w:rPr>
          <w:sz w:val="22"/>
          <w:szCs w:val="22"/>
        </w:rPr>
        <w:t>i</w:t>
      </w:r>
      <w:r w:rsidR="005E6C4C" w:rsidRPr="007F7EBF">
        <w:rPr>
          <w:sz w:val="22"/>
          <w:szCs w:val="22"/>
        </w:rPr>
        <w:t xml:space="preserve"> per </w:t>
      </w:r>
      <w:r w:rsidR="00D233F3">
        <w:rPr>
          <w:sz w:val="22"/>
          <w:szCs w:val="22"/>
        </w:rPr>
        <w:t xml:space="preserve">l’età, la mancanza di redditi o l’inabilità fisica. </w:t>
      </w:r>
      <w:r w:rsidR="00C54039">
        <w:rPr>
          <w:sz w:val="22"/>
          <w:szCs w:val="22"/>
        </w:rPr>
        <w:t xml:space="preserve">Queste </w:t>
      </w:r>
      <w:r w:rsidR="00C54039">
        <w:rPr>
          <w:i/>
          <w:iCs/>
          <w:sz w:val="22"/>
          <w:szCs w:val="22"/>
        </w:rPr>
        <w:t xml:space="preserve">pensioni sociali </w:t>
      </w:r>
      <w:r w:rsidR="006B4A3F">
        <w:rPr>
          <w:sz w:val="22"/>
          <w:szCs w:val="22"/>
        </w:rPr>
        <w:t xml:space="preserve">di chi non ha mai versato contributi </w:t>
      </w:r>
      <w:r w:rsidR="00C54039">
        <w:rPr>
          <w:sz w:val="22"/>
          <w:szCs w:val="22"/>
        </w:rPr>
        <w:t xml:space="preserve">sono poco inferiori </w:t>
      </w:r>
      <w:r w:rsidR="006B4A3F">
        <w:rPr>
          <w:sz w:val="22"/>
          <w:szCs w:val="22"/>
        </w:rPr>
        <w:t xml:space="preserve"> alle pension</w:t>
      </w:r>
      <w:r w:rsidR="00D233F3">
        <w:rPr>
          <w:sz w:val="22"/>
          <w:szCs w:val="22"/>
        </w:rPr>
        <w:t>i</w:t>
      </w:r>
      <w:r w:rsidR="006B4A3F">
        <w:rPr>
          <w:sz w:val="22"/>
          <w:szCs w:val="22"/>
        </w:rPr>
        <w:t xml:space="preserve"> </w:t>
      </w:r>
      <w:r w:rsidR="00D233F3">
        <w:rPr>
          <w:sz w:val="22"/>
          <w:szCs w:val="22"/>
        </w:rPr>
        <w:t xml:space="preserve">di chi contributi discontinui o modesti. Così come i sussidi sono spesso un disincentivo al lavoro a tempo pieno, spingendo verso lavori occasionali, ma meno vincolanti, anche le pensioni assistenziali disincentivano quelle ordinarie. La prospettiva di una pensione assistenziale disincentiva i lavoratori dall’insistere per la propria regolarizzazione contributiva, indebolendo il conflitto d’interessi coi datori di lavoro, spingendo entrambi a comportamenti collusivi a danno dell’Inps e del fisco. E’ un ulteriore aspetto della crescente somiglianza tra contributi sociali e imposte, che dovrebbe indurre all’accorpamento dei relativi enti impositori in un’unica gestione </w:t>
      </w:r>
      <w:proofErr w:type="spellStart"/>
      <w:r w:rsidR="00D233F3">
        <w:rPr>
          <w:sz w:val="22"/>
          <w:szCs w:val="22"/>
        </w:rPr>
        <w:t>multidivisionale</w:t>
      </w:r>
      <w:proofErr w:type="spellEnd"/>
      <w:r w:rsidR="00D233F3">
        <w:rPr>
          <w:sz w:val="22"/>
          <w:szCs w:val="22"/>
        </w:rPr>
        <w:t xml:space="preserve">. </w:t>
      </w:r>
    </w:p>
    <w:p w14:paraId="046236DA" w14:textId="73CE25F7" w:rsidR="006342C5" w:rsidRPr="007F7EBF" w:rsidRDefault="006342C5" w:rsidP="00DB7638">
      <w:pPr>
        <w:pStyle w:val="Titolo3"/>
        <w:rPr>
          <w:rFonts w:ascii="Times New Roman" w:hAnsi="Times New Roman"/>
          <w:sz w:val="22"/>
          <w:szCs w:val="22"/>
          <w:lang w:val="it-IT"/>
        </w:rPr>
      </w:pPr>
      <w:bookmarkStart w:id="18" w:name="_Toc63364939"/>
      <w:r w:rsidRPr="007F7EBF">
        <w:rPr>
          <w:rFonts w:ascii="Times New Roman" w:hAnsi="Times New Roman"/>
          <w:sz w:val="22"/>
          <w:szCs w:val="22"/>
        </w:rPr>
        <w:t>Capitolo 2</w:t>
      </w:r>
      <w:r w:rsidR="003F5E86" w:rsidRPr="007F7EBF">
        <w:rPr>
          <w:rFonts w:ascii="Times New Roman" w:hAnsi="Times New Roman"/>
          <w:sz w:val="22"/>
          <w:szCs w:val="22"/>
        </w:rPr>
        <w:t xml:space="preserve">- </w:t>
      </w:r>
      <w:r w:rsidR="00E94F1F" w:rsidRPr="007F7EBF">
        <w:rPr>
          <w:rFonts w:ascii="Times New Roman" w:hAnsi="Times New Roman"/>
          <w:sz w:val="22"/>
          <w:szCs w:val="22"/>
        </w:rPr>
        <w:t>LEGISLAZIONE ORGANIZZATIVA E DECISORIA</w:t>
      </w:r>
      <w:r w:rsidR="001E5B21" w:rsidRPr="007F7EBF">
        <w:rPr>
          <w:rFonts w:ascii="Times New Roman" w:hAnsi="Times New Roman"/>
          <w:sz w:val="22"/>
          <w:szCs w:val="22"/>
        </w:rPr>
        <w:t xml:space="preserve"> </w:t>
      </w:r>
      <w:r w:rsidR="00D70B85" w:rsidRPr="007F7EBF">
        <w:rPr>
          <w:rFonts w:ascii="Times New Roman" w:hAnsi="Times New Roman"/>
          <w:sz w:val="22"/>
          <w:szCs w:val="22"/>
          <w:lang w:val="it-IT"/>
        </w:rPr>
        <w:t xml:space="preserve">NELLA </w:t>
      </w:r>
      <w:r w:rsidR="002075C1">
        <w:rPr>
          <w:rFonts w:ascii="Times New Roman" w:hAnsi="Times New Roman"/>
          <w:sz w:val="22"/>
          <w:szCs w:val="22"/>
          <w:lang w:val="it-IT"/>
        </w:rPr>
        <w:t xml:space="preserve">FUNZIONE TRIBUTARIA </w:t>
      </w:r>
      <w:r w:rsidR="00D70B85" w:rsidRPr="007F7EBF">
        <w:rPr>
          <w:rFonts w:ascii="Times New Roman" w:hAnsi="Times New Roman"/>
          <w:sz w:val="22"/>
          <w:szCs w:val="22"/>
          <w:lang w:val="it-IT"/>
        </w:rPr>
        <w:t>(PRINCIPI COSTITUZIONALI E COMUNITARI)</w:t>
      </w:r>
      <w:bookmarkEnd w:id="18"/>
      <w:r w:rsidR="00C051C2" w:rsidRPr="007F7EBF">
        <w:rPr>
          <w:rFonts w:ascii="Times New Roman" w:hAnsi="Times New Roman"/>
          <w:sz w:val="22"/>
          <w:szCs w:val="22"/>
          <w:lang w:val="it-IT"/>
        </w:rPr>
        <w:t xml:space="preserve"> </w:t>
      </w:r>
      <w:r w:rsidR="001E5B21" w:rsidRPr="007F7EBF">
        <w:rPr>
          <w:rFonts w:ascii="Times New Roman" w:hAnsi="Times New Roman"/>
          <w:sz w:val="22"/>
          <w:szCs w:val="22"/>
        </w:rPr>
        <w:t xml:space="preserve">  </w:t>
      </w:r>
      <w:r w:rsidR="001162ED" w:rsidRPr="007F7EBF">
        <w:rPr>
          <w:rFonts w:ascii="Times New Roman" w:hAnsi="Times New Roman"/>
          <w:sz w:val="22"/>
          <w:szCs w:val="22"/>
          <w:lang w:val="it-IT"/>
        </w:rPr>
        <w:t xml:space="preserve">  </w:t>
      </w:r>
    </w:p>
    <w:p w14:paraId="46DEEB83" w14:textId="77777777" w:rsidR="00B11A11" w:rsidRPr="007F7EBF" w:rsidRDefault="00B11A11" w:rsidP="00B11A11">
      <w:pPr>
        <w:rPr>
          <w:sz w:val="22"/>
          <w:szCs w:val="22"/>
          <w:lang w:eastAsia="x-none"/>
        </w:rPr>
      </w:pPr>
    </w:p>
    <w:p w14:paraId="70FDE1C5" w14:textId="76840E0A" w:rsidR="00740EFA" w:rsidRDefault="00B11A11" w:rsidP="001226E7">
      <w:pPr>
        <w:rPr>
          <w:sz w:val="22"/>
          <w:szCs w:val="22"/>
        </w:rPr>
      </w:pPr>
      <w:r w:rsidRPr="007F7EBF">
        <w:rPr>
          <w:b/>
          <w:sz w:val="22"/>
          <w:szCs w:val="22"/>
        </w:rPr>
        <w:t xml:space="preserve">Sintesi </w:t>
      </w:r>
      <w:r w:rsidR="00B11A30">
        <w:rPr>
          <w:sz w:val="22"/>
          <w:szCs w:val="22"/>
        </w:rPr>
        <w:t>Anche nella prospettiva scientifico sociale della funzione tributaria, un libro di diritto deve rispettare le radici tecniche della materia, occupandosi del ruolo della legislazione. Essa serve prim</w:t>
      </w:r>
      <w:r w:rsidR="006372D1">
        <w:rPr>
          <w:sz w:val="22"/>
          <w:szCs w:val="22"/>
        </w:rPr>
        <w:t xml:space="preserve">a di tutto in senso organizzativo, come attribuzione di competenze a determinare gli imponibili e richiedere le imposte, come si indica al </w:t>
      </w:r>
      <w:r w:rsidR="00FD69C8">
        <w:rPr>
          <w:sz w:val="22"/>
          <w:szCs w:val="22"/>
        </w:rPr>
        <w:lastRenderedPageBreak/>
        <w:t>par.2.1</w:t>
      </w:r>
      <w:r w:rsidR="00AF1368">
        <w:rPr>
          <w:sz w:val="22"/>
          <w:szCs w:val="22"/>
        </w:rPr>
        <w:t xml:space="preserve">; </w:t>
      </w:r>
      <w:r w:rsidR="00B11A30">
        <w:rPr>
          <w:sz w:val="22"/>
          <w:szCs w:val="22"/>
        </w:rPr>
        <w:t xml:space="preserve">essa serve anche a </w:t>
      </w:r>
      <w:r w:rsidR="00AF1368">
        <w:rPr>
          <w:sz w:val="22"/>
          <w:szCs w:val="22"/>
        </w:rPr>
        <w:t>specifica</w:t>
      </w:r>
      <w:r w:rsidR="00B11A30">
        <w:rPr>
          <w:sz w:val="22"/>
          <w:szCs w:val="22"/>
        </w:rPr>
        <w:t xml:space="preserve">re </w:t>
      </w:r>
      <w:r w:rsidR="00AF1368">
        <w:rPr>
          <w:sz w:val="22"/>
          <w:szCs w:val="22"/>
        </w:rPr>
        <w:t xml:space="preserve">le astrazioni economiche cui sono commisurate le imposte, </w:t>
      </w:r>
      <w:r w:rsidR="00B11A30">
        <w:rPr>
          <w:sz w:val="22"/>
          <w:szCs w:val="22"/>
        </w:rPr>
        <w:t>l’</w:t>
      </w:r>
      <w:r w:rsidR="00AF1368">
        <w:rPr>
          <w:sz w:val="22"/>
          <w:szCs w:val="22"/>
        </w:rPr>
        <w:t>oggetto economico della funzione tributaria</w:t>
      </w:r>
      <w:r w:rsidR="00B11A30">
        <w:rPr>
          <w:sz w:val="22"/>
          <w:szCs w:val="22"/>
        </w:rPr>
        <w:t xml:space="preserve">. Questo profilo è confermato </w:t>
      </w:r>
      <w:r w:rsidR="00AF1368">
        <w:rPr>
          <w:sz w:val="22"/>
          <w:szCs w:val="22"/>
        </w:rPr>
        <w:t>dall’art.53 della costituzione</w:t>
      </w:r>
      <w:r w:rsidR="00B00A6E">
        <w:rPr>
          <w:sz w:val="22"/>
          <w:szCs w:val="22"/>
        </w:rPr>
        <w:t>, esaminato a</w:t>
      </w:r>
      <w:r w:rsidR="00AF1368">
        <w:rPr>
          <w:sz w:val="22"/>
          <w:szCs w:val="22"/>
        </w:rPr>
        <w:t xml:space="preserve">l par.2.2 </w:t>
      </w:r>
      <w:r w:rsidR="00B00A6E">
        <w:rPr>
          <w:sz w:val="22"/>
          <w:szCs w:val="22"/>
        </w:rPr>
        <w:t>a proposito di un</w:t>
      </w:r>
      <w:r w:rsidR="008D78F4">
        <w:rPr>
          <w:sz w:val="22"/>
          <w:szCs w:val="22"/>
        </w:rPr>
        <w:t>’</w:t>
      </w:r>
      <w:r w:rsidR="00AF1368">
        <w:rPr>
          <w:sz w:val="22"/>
          <w:szCs w:val="22"/>
        </w:rPr>
        <w:t>ingestibile “</w:t>
      </w:r>
      <w:r w:rsidR="008D78F4">
        <w:rPr>
          <w:sz w:val="22"/>
          <w:szCs w:val="22"/>
        </w:rPr>
        <w:t>capacità</w:t>
      </w:r>
      <w:r w:rsidR="00AF1368" w:rsidRPr="007F7EBF">
        <w:rPr>
          <w:sz w:val="22"/>
          <w:szCs w:val="22"/>
        </w:rPr>
        <w:t xml:space="preserve"> </w:t>
      </w:r>
      <w:r w:rsidR="008D78F4">
        <w:rPr>
          <w:sz w:val="22"/>
          <w:szCs w:val="22"/>
        </w:rPr>
        <w:t>contributiva</w:t>
      </w:r>
      <w:r w:rsidR="00AF1368" w:rsidRPr="007F7EBF">
        <w:rPr>
          <w:sz w:val="22"/>
          <w:szCs w:val="22"/>
        </w:rPr>
        <w:t xml:space="preserve"> globale”, </w:t>
      </w:r>
      <w:r w:rsidR="00AF1368">
        <w:rPr>
          <w:sz w:val="22"/>
          <w:szCs w:val="22"/>
        </w:rPr>
        <w:t xml:space="preserve"> e </w:t>
      </w:r>
      <w:r w:rsidR="008D78F4">
        <w:rPr>
          <w:sz w:val="22"/>
          <w:szCs w:val="22"/>
        </w:rPr>
        <w:t>di</w:t>
      </w:r>
      <w:r w:rsidR="00AF1368">
        <w:rPr>
          <w:sz w:val="22"/>
          <w:szCs w:val="22"/>
        </w:rPr>
        <w:t xml:space="preserve"> opposte utilizzazioni politicamente strumentali. Segue al par.2.3  </w:t>
      </w:r>
      <w:r w:rsidR="006372D1">
        <w:rPr>
          <w:sz w:val="22"/>
          <w:szCs w:val="22"/>
        </w:rPr>
        <w:t>l</w:t>
      </w:r>
      <w:r w:rsidR="00AF1368">
        <w:rPr>
          <w:sz w:val="22"/>
          <w:szCs w:val="22"/>
        </w:rPr>
        <w:t xml:space="preserve">’intreccio tra normativa primaria e secondaria, con le illusioni di superare attraverso di essa le disfunzioni collegate alla mancanza di spiegazioni scientifico sociali della funzione tributaria. Questa mancanza tiene lo stesso legislatore </w:t>
      </w:r>
      <w:r w:rsidR="00B8176F">
        <w:rPr>
          <w:sz w:val="22"/>
          <w:szCs w:val="22"/>
        </w:rPr>
        <w:t xml:space="preserve"> </w:t>
      </w:r>
      <w:r w:rsidRPr="007F7EBF">
        <w:rPr>
          <w:sz w:val="22"/>
          <w:szCs w:val="22"/>
        </w:rPr>
        <w:t>ostaggio</w:t>
      </w:r>
      <w:r w:rsidR="00B8176F">
        <w:rPr>
          <w:sz w:val="22"/>
          <w:szCs w:val="22"/>
        </w:rPr>
        <w:t xml:space="preserve"> </w:t>
      </w:r>
      <w:r w:rsidR="00760D29">
        <w:rPr>
          <w:sz w:val="22"/>
          <w:szCs w:val="22"/>
        </w:rPr>
        <w:t xml:space="preserve">(par.2.4) </w:t>
      </w:r>
      <w:r w:rsidR="00B8176F">
        <w:rPr>
          <w:sz w:val="22"/>
          <w:szCs w:val="22"/>
        </w:rPr>
        <w:t>de</w:t>
      </w:r>
      <w:r w:rsidRPr="007F7EBF">
        <w:rPr>
          <w:sz w:val="22"/>
          <w:szCs w:val="22"/>
        </w:rPr>
        <w:t xml:space="preserve">i numerosi impulsi contraddittori </w:t>
      </w:r>
      <w:r w:rsidR="00C0394C">
        <w:rPr>
          <w:sz w:val="22"/>
          <w:szCs w:val="22"/>
        </w:rPr>
        <w:t>delle varie tendenze di opinione (par.</w:t>
      </w:r>
      <w:r w:rsidR="003C43D7">
        <w:rPr>
          <w:sz w:val="22"/>
          <w:szCs w:val="22"/>
        </w:rPr>
        <w:t>4.1</w:t>
      </w:r>
      <w:r w:rsidR="00C0394C">
        <w:rPr>
          <w:sz w:val="22"/>
          <w:szCs w:val="22"/>
        </w:rPr>
        <w:t>)  intreccia</w:t>
      </w:r>
      <w:r w:rsidR="00760D29">
        <w:rPr>
          <w:sz w:val="22"/>
          <w:szCs w:val="22"/>
        </w:rPr>
        <w:t>te sulla diversa determinabilità degli imponibili. Non c’è quindi confusione perché le leggi sono oscure, ma esse sono oscure per l</w:t>
      </w:r>
      <w:r w:rsidR="00342698">
        <w:rPr>
          <w:sz w:val="22"/>
          <w:szCs w:val="22"/>
        </w:rPr>
        <w:t xml:space="preserve">e confuse spiegazioni sociali del </w:t>
      </w:r>
      <w:r w:rsidR="00760D29">
        <w:rPr>
          <w:sz w:val="22"/>
          <w:szCs w:val="22"/>
        </w:rPr>
        <w:t xml:space="preserve">tema, </w:t>
      </w:r>
      <w:r w:rsidR="00C0394C">
        <w:rPr>
          <w:sz w:val="22"/>
          <w:szCs w:val="22"/>
        </w:rPr>
        <w:t xml:space="preserve">in cui non si orienta la corte costituzionale (par.2.5) </w:t>
      </w:r>
      <w:r w:rsidR="00760D29">
        <w:rPr>
          <w:sz w:val="22"/>
          <w:szCs w:val="22"/>
        </w:rPr>
        <w:t xml:space="preserve">ed è aggravata dai </w:t>
      </w:r>
      <w:r w:rsidR="00C0394C">
        <w:rPr>
          <w:sz w:val="22"/>
          <w:szCs w:val="22"/>
        </w:rPr>
        <w:t xml:space="preserve">condizionamenti dell’Unione Europea, indicati al par.2.6, </w:t>
      </w:r>
      <w:r w:rsidR="00760D29">
        <w:rPr>
          <w:sz w:val="22"/>
          <w:szCs w:val="22"/>
        </w:rPr>
        <w:t xml:space="preserve">su </w:t>
      </w:r>
      <w:r w:rsidRPr="007F7EBF">
        <w:rPr>
          <w:sz w:val="22"/>
          <w:szCs w:val="22"/>
        </w:rPr>
        <w:t>divieti di discriminazione e di “aiuti di stato”.</w:t>
      </w:r>
      <w:r w:rsidR="00342698">
        <w:rPr>
          <w:sz w:val="22"/>
          <w:szCs w:val="22"/>
        </w:rPr>
        <w:t xml:space="preserve"> </w:t>
      </w:r>
    </w:p>
    <w:p w14:paraId="56CB32F5" w14:textId="441F755D" w:rsidR="00890F17" w:rsidRPr="007F7EBF" w:rsidRDefault="006342C5" w:rsidP="00435D59">
      <w:pPr>
        <w:pStyle w:val="Titolo3"/>
        <w:rPr>
          <w:rFonts w:ascii="Times New Roman" w:hAnsi="Times New Roman"/>
          <w:sz w:val="22"/>
          <w:szCs w:val="22"/>
        </w:rPr>
      </w:pPr>
      <w:bookmarkStart w:id="19" w:name="_Toc63364940"/>
      <w:r w:rsidRPr="007F7EBF">
        <w:rPr>
          <w:rFonts w:ascii="Times New Roman" w:hAnsi="Times New Roman"/>
          <w:sz w:val="22"/>
          <w:szCs w:val="22"/>
        </w:rPr>
        <w:t xml:space="preserve">2.1. </w:t>
      </w:r>
      <w:r w:rsidR="00E257DF">
        <w:rPr>
          <w:rFonts w:ascii="Times New Roman" w:hAnsi="Times New Roman"/>
          <w:sz w:val="22"/>
          <w:szCs w:val="22"/>
          <w:lang w:val="it-IT"/>
        </w:rPr>
        <w:t>Legislazione organ</w:t>
      </w:r>
      <w:r w:rsidR="00524C82" w:rsidRPr="007F7EBF">
        <w:rPr>
          <w:rFonts w:ascii="Times New Roman" w:hAnsi="Times New Roman"/>
          <w:sz w:val="22"/>
          <w:szCs w:val="22"/>
          <w:lang w:val="it-IT"/>
        </w:rPr>
        <w:t>izzativ</w:t>
      </w:r>
      <w:r w:rsidR="00E257DF">
        <w:rPr>
          <w:rFonts w:ascii="Times New Roman" w:hAnsi="Times New Roman"/>
          <w:sz w:val="22"/>
          <w:szCs w:val="22"/>
          <w:lang w:val="it-IT"/>
        </w:rPr>
        <w:t>a</w:t>
      </w:r>
      <w:r w:rsidR="00524C82" w:rsidRPr="007F7EBF">
        <w:rPr>
          <w:rFonts w:ascii="Times New Roman" w:hAnsi="Times New Roman"/>
          <w:sz w:val="22"/>
          <w:szCs w:val="22"/>
          <w:lang w:val="it-IT"/>
        </w:rPr>
        <w:t xml:space="preserve"> e decisori</w:t>
      </w:r>
      <w:r w:rsidR="00E257DF">
        <w:rPr>
          <w:rFonts w:ascii="Times New Roman" w:hAnsi="Times New Roman"/>
          <w:sz w:val="22"/>
          <w:szCs w:val="22"/>
          <w:lang w:val="it-IT"/>
        </w:rPr>
        <w:t>a</w:t>
      </w:r>
      <w:r w:rsidR="00343687">
        <w:rPr>
          <w:rFonts w:ascii="Times New Roman" w:hAnsi="Times New Roman"/>
          <w:sz w:val="22"/>
          <w:szCs w:val="22"/>
          <w:lang w:val="it-IT"/>
        </w:rPr>
        <w:t xml:space="preserve"> </w:t>
      </w:r>
      <w:r w:rsidR="00972B8B" w:rsidRPr="007F7EBF">
        <w:rPr>
          <w:rFonts w:ascii="Times New Roman" w:hAnsi="Times New Roman"/>
          <w:sz w:val="22"/>
          <w:szCs w:val="22"/>
          <w:lang w:val="it-IT"/>
        </w:rPr>
        <w:t>(sostanzial</w:t>
      </w:r>
      <w:r w:rsidR="00972B8B">
        <w:rPr>
          <w:rFonts w:ascii="Times New Roman" w:hAnsi="Times New Roman"/>
          <w:sz w:val="22"/>
          <w:szCs w:val="22"/>
          <w:lang w:val="it-IT"/>
        </w:rPr>
        <w:t>e</w:t>
      </w:r>
      <w:r w:rsidR="00972B8B" w:rsidRPr="007F7EBF">
        <w:rPr>
          <w:rFonts w:ascii="Times New Roman" w:hAnsi="Times New Roman"/>
          <w:sz w:val="22"/>
          <w:szCs w:val="22"/>
          <w:lang w:val="it-IT"/>
        </w:rPr>
        <w:t xml:space="preserve">) </w:t>
      </w:r>
      <w:r w:rsidR="00F41070">
        <w:rPr>
          <w:rFonts w:ascii="Times New Roman" w:hAnsi="Times New Roman"/>
          <w:sz w:val="22"/>
          <w:szCs w:val="22"/>
          <w:lang w:val="it-IT"/>
        </w:rPr>
        <w:t>n</w:t>
      </w:r>
      <w:r w:rsidR="00524C82" w:rsidRPr="007F7EBF">
        <w:rPr>
          <w:rFonts w:ascii="Times New Roman" w:hAnsi="Times New Roman"/>
          <w:sz w:val="22"/>
          <w:szCs w:val="22"/>
          <w:lang w:val="it-IT"/>
        </w:rPr>
        <w:t>ell</w:t>
      </w:r>
      <w:r w:rsidR="005144D1" w:rsidRPr="007F7EBF">
        <w:rPr>
          <w:rFonts w:ascii="Times New Roman" w:hAnsi="Times New Roman"/>
          <w:sz w:val="22"/>
          <w:szCs w:val="22"/>
          <w:lang w:val="it-IT"/>
        </w:rPr>
        <w:t xml:space="preserve">a </w:t>
      </w:r>
      <w:r w:rsidR="0013225F" w:rsidRPr="007F7EBF">
        <w:rPr>
          <w:rFonts w:ascii="Times New Roman" w:hAnsi="Times New Roman"/>
          <w:sz w:val="22"/>
          <w:szCs w:val="22"/>
          <w:lang w:val="it-IT"/>
        </w:rPr>
        <w:t>funzione</w:t>
      </w:r>
      <w:r w:rsidR="009B166A" w:rsidRPr="007F7EBF">
        <w:rPr>
          <w:rFonts w:ascii="Times New Roman" w:hAnsi="Times New Roman"/>
          <w:sz w:val="22"/>
          <w:szCs w:val="22"/>
          <w:lang w:val="it-IT"/>
        </w:rPr>
        <w:t xml:space="preserve"> </w:t>
      </w:r>
      <w:r w:rsidR="0013225F" w:rsidRPr="007F7EBF">
        <w:rPr>
          <w:rFonts w:ascii="Times New Roman" w:hAnsi="Times New Roman"/>
          <w:sz w:val="22"/>
          <w:szCs w:val="22"/>
          <w:lang w:val="it-IT"/>
        </w:rPr>
        <w:t>tributaria</w:t>
      </w:r>
      <w:r w:rsidR="00524C82" w:rsidRPr="007F7EBF">
        <w:rPr>
          <w:rFonts w:ascii="Times New Roman" w:hAnsi="Times New Roman"/>
          <w:sz w:val="22"/>
          <w:szCs w:val="22"/>
          <w:lang w:val="it-IT"/>
        </w:rPr>
        <w:t>.</w:t>
      </w:r>
      <w:bookmarkEnd w:id="19"/>
    </w:p>
    <w:p w14:paraId="4C6ECC87" w14:textId="198B9521" w:rsidR="00890F17" w:rsidRPr="007F7EBF" w:rsidRDefault="003F13E4" w:rsidP="00890F17">
      <w:pPr>
        <w:pStyle w:val="tit23"/>
        <w:ind w:left="6464" w:right="-1361" w:firstLine="0"/>
        <w:jc w:val="left"/>
        <w:rPr>
          <w:bCs/>
          <w:i/>
          <w:iCs/>
          <w:color w:val="0000FF"/>
          <w:lang w:val="it-IT"/>
        </w:rPr>
      </w:pPr>
      <w:r>
        <w:rPr>
          <w:bCs/>
          <w:i/>
          <w:iCs/>
          <w:color w:val="0000FF"/>
          <w:lang w:val="it-IT"/>
        </w:rPr>
        <w:t>importanza</w:t>
      </w:r>
      <w:r w:rsidR="008E79B2" w:rsidRPr="007F7EBF">
        <w:rPr>
          <w:bCs/>
          <w:i/>
          <w:iCs/>
          <w:color w:val="0000FF"/>
          <w:lang w:val="it-IT"/>
        </w:rPr>
        <w:t xml:space="preserve"> organizzativ</w:t>
      </w:r>
      <w:r w:rsidR="002011D7">
        <w:rPr>
          <w:bCs/>
          <w:i/>
          <w:iCs/>
          <w:color w:val="0000FF"/>
          <w:lang w:val="it-IT"/>
        </w:rPr>
        <w:t>a</w:t>
      </w:r>
      <w:r w:rsidR="008E79B2" w:rsidRPr="007F7EBF">
        <w:rPr>
          <w:bCs/>
          <w:i/>
          <w:iCs/>
          <w:color w:val="0000FF"/>
          <w:lang w:val="it-IT"/>
        </w:rPr>
        <w:t xml:space="preserve"> </w:t>
      </w:r>
      <w:r>
        <w:rPr>
          <w:bCs/>
          <w:i/>
          <w:iCs/>
          <w:color w:val="0000FF"/>
          <w:lang w:val="it-IT"/>
        </w:rPr>
        <w:t xml:space="preserve">della legislazione </w:t>
      </w:r>
    </w:p>
    <w:p w14:paraId="3AC5CB06" w14:textId="54DF401C" w:rsidR="00251398" w:rsidRPr="007F7EBF" w:rsidRDefault="00D60776" w:rsidP="00251398">
      <w:pPr>
        <w:autoSpaceDE w:val="0"/>
        <w:autoSpaceDN w:val="0"/>
        <w:adjustRightInd w:val="0"/>
        <w:rPr>
          <w:sz w:val="22"/>
          <w:szCs w:val="22"/>
        </w:rPr>
      </w:pPr>
      <w:r>
        <w:rPr>
          <w:sz w:val="22"/>
          <w:szCs w:val="22"/>
        </w:rPr>
        <w:t>N</w:t>
      </w:r>
      <w:r w:rsidR="00F7059C">
        <w:rPr>
          <w:sz w:val="22"/>
          <w:szCs w:val="22"/>
        </w:rPr>
        <w:t>ella prospettiva delle funzioni pubbliche</w:t>
      </w:r>
      <w:r>
        <w:rPr>
          <w:sz w:val="22"/>
          <w:szCs w:val="22"/>
        </w:rPr>
        <w:t xml:space="preserve">, la legislazione </w:t>
      </w:r>
      <w:r w:rsidR="00F7059C">
        <w:rPr>
          <w:sz w:val="22"/>
          <w:szCs w:val="22"/>
        </w:rPr>
        <w:t xml:space="preserve">serve prima di tutto ad </w:t>
      </w:r>
      <w:r w:rsidR="008D26E4">
        <w:rPr>
          <w:sz w:val="22"/>
          <w:szCs w:val="22"/>
        </w:rPr>
        <w:t>attribu</w:t>
      </w:r>
      <w:r w:rsidR="00637982">
        <w:rPr>
          <w:sz w:val="22"/>
          <w:szCs w:val="22"/>
        </w:rPr>
        <w:t xml:space="preserve">ire </w:t>
      </w:r>
      <w:r w:rsidR="001117E6">
        <w:rPr>
          <w:sz w:val="22"/>
          <w:szCs w:val="22"/>
        </w:rPr>
        <w:t xml:space="preserve">competenze </w:t>
      </w:r>
      <w:r w:rsidR="00637982">
        <w:rPr>
          <w:sz w:val="22"/>
          <w:szCs w:val="22"/>
        </w:rPr>
        <w:t>e</w:t>
      </w:r>
      <w:r w:rsidR="001117E6">
        <w:rPr>
          <w:sz w:val="22"/>
          <w:szCs w:val="22"/>
        </w:rPr>
        <w:t xml:space="preserve"> </w:t>
      </w:r>
      <w:r w:rsidR="00926A56">
        <w:rPr>
          <w:sz w:val="22"/>
          <w:szCs w:val="22"/>
        </w:rPr>
        <w:t>poteri</w:t>
      </w:r>
      <w:r w:rsidR="00F7059C">
        <w:rPr>
          <w:sz w:val="22"/>
          <w:szCs w:val="22"/>
        </w:rPr>
        <w:t xml:space="preserve"> </w:t>
      </w:r>
      <w:r w:rsidR="00F0368B">
        <w:rPr>
          <w:sz w:val="22"/>
          <w:szCs w:val="22"/>
        </w:rPr>
        <w:t>(</w:t>
      </w:r>
      <w:r w:rsidR="00F0368B">
        <w:rPr>
          <w:rStyle w:val="Rimandonotaapidipagina"/>
          <w:sz w:val="22"/>
          <w:szCs w:val="22"/>
        </w:rPr>
        <w:footnoteReference w:id="121"/>
      </w:r>
      <w:r w:rsidR="00F0368B">
        <w:rPr>
          <w:sz w:val="22"/>
          <w:szCs w:val="22"/>
        </w:rPr>
        <w:t>)</w:t>
      </w:r>
      <w:r w:rsidR="0029227E">
        <w:rPr>
          <w:sz w:val="22"/>
          <w:szCs w:val="22"/>
        </w:rPr>
        <w:t xml:space="preserve">; attraverso </w:t>
      </w:r>
      <w:r>
        <w:rPr>
          <w:sz w:val="22"/>
          <w:szCs w:val="22"/>
        </w:rPr>
        <w:t xml:space="preserve">la legislazione oggi </w:t>
      </w:r>
      <w:r w:rsidR="0029227E">
        <w:rPr>
          <w:sz w:val="22"/>
          <w:szCs w:val="22"/>
        </w:rPr>
        <w:t xml:space="preserve">si crea </w:t>
      </w:r>
      <w:r w:rsidR="00A6488E">
        <w:rPr>
          <w:sz w:val="22"/>
          <w:szCs w:val="22"/>
        </w:rPr>
        <w:t xml:space="preserve">sia </w:t>
      </w:r>
      <w:r w:rsidR="0029227E">
        <w:rPr>
          <w:sz w:val="22"/>
          <w:szCs w:val="22"/>
        </w:rPr>
        <w:t xml:space="preserve">la </w:t>
      </w:r>
      <w:r w:rsidR="00926A56" w:rsidRPr="007F7EBF">
        <w:rPr>
          <w:sz w:val="22"/>
          <w:szCs w:val="22"/>
        </w:rPr>
        <w:t>“potestà amministrativa di imposizione”</w:t>
      </w:r>
      <w:r w:rsidR="00F7059C">
        <w:rPr>
          <w:sz w:val="22"/>
          <w:szCs w:val="22"/>
        </w:rPr>
        <w:t xml:space="preserve"> de</w:t>
      </w:r>
      <w:r w:rsidR="0029227E">
        <w:rPr>
          <w:sz w:val="22"/>
          <w:szCs w:val="22"/>
        </w:rPr>
        <w:t xml:space="preserve">gli uffici </w:t>
      </w:r>
      <w:r w:rsidR="00F7059C">
        <w:rPr>
          <w:sz w:val="22"/>
          <w:szCs w:val="22"/>
        </w:rPr>
        <w:t>tributari (</w:t>
      </w:r>
      <w:r w:rsidR="0029227E">
        <w:rPr>
          <w:sz w:val="22"/>
          <w:szCs w:val="22"/>
        </w:rPr>
        <w:t>par.5.2</w:t>
      </w:r>
      <w:r w:rsidR="00F7059C">
        <w:rPr>
          <w:sz w:val="22"/>
          <w:szCs w:val="22"/>
        </w:rPr>
        <w:t>)</w:t>
      </w:r>
      <w:r w:rsidR="00A6488E">
        <w:rPr>
          <w:sz w:val="22"/>
          <w:szCs w:val="22"/>
        </w:rPr>
        <w:t>, dei controlli e del contenzioso</w:t>
      </w:r>
      <w:r w:rsidR="00F7059C">
        <w:rPr>
          <w:sz w:val="22"/>
          <w:szCs w:val="22"/>
        </w:rPr>
        <w:t xml:space="preserve">, </w:t>
      </w:r>
      <w:r w:rsidR="00A6488E">
        <w:rPr>
          <w:sz w:val="22"/>
          <w:szCs w:val="22"/>
        </w:rPr>
        <w:t xml:space="preserve">sia </w:t>
      </w:r>
      <w:r w:rsidR="00F7059C">
        <w:rPr>
          <w:sz w:val="22"/>
          <w:szCs w:val="22"/>
        </w:rPr>
        <w:t>la trama degli adempimenti dei privati di cui al successivo capitolo terzo</w:t>
      </w:r>
      <w:r w:rsidR="00A6488E">
        <w:rPr>
          <w:sz w:val="22"/>
          <w:szCs w:val="22"/>
        </w:rPr>
        <w:t>, sia la specificazione dei presupposti economici di imposta di cui diremo ora.</w:t>
      </w:r>
      <w:r w:rsidR="003F13E4">
        <w:rPr>
          <w:sz w:val="22"/>
          <w:szCs w:val="22"/>
        </w:rPr>
        <w:t xml:space="preserve"> </w:t>
      </w:r>
    </w:p>
    <w:p w14:paraId="510A835D" w14:textId="379AB2FB" w:rsidR="00251398" w:rsidRPr="007F7EBF" w:rsidRDefault="0066457A" w:rsidP="00251398">
      <w:pPr>
        <w:pStyle w:val="tit23"/>
        <w:ind w:left="6464" w:right="-1361" w:firstLine="0"/>
        <w:jc w:val="left"/>
        <w:rPr>
          <w:bCs/>
          <w:i/>
          <w:iCs/>
          <w:color w:val="0000FF"/>
          <w:lang w:val="it-IT"/>
        </w:rPr>
      </w:pPr>
      <w:r>
        <w:rPr>
          <w:bCs/>
          <w:i/>
          <w:iCs/>
          <w:color w:val="0000FF"/>
          <w:lang w:val="it-IT"/>
        </w:rPr>
        <w:t xml:space="preserve">Precisazione legislativa dei </w:t>
      </w:r>
      <w:r w:rsidR="00D46C5B">
        <w:rPr>
          <w:bCs/>
          <w:i/>
          <w:iCs/>
          <w:color w:val="0000FF"/>
          <w:lang w:val="it-IT"/>
        </w:rPr>
        <w:t>presupposti economici d’imposta</w:t>
      </w:r>
    </w:p>
    <w:p w14:paraId="72DCE9C2" w14:textId="644E23E7" w:rsidR="00D46C5B" w:rsidRDefault="00A6488E" w:rsidP="00220AC3">
      <w:pPr>
        <w:autoSpaceDE w:val="0"/>
        <w:autoSpaceDN w:val="0"/>
        <w:adjustRightInd w:val="0"/>
        <w:rPr>
          <w:sz w:val="22"/>
          <w:szCs w:val="22"/>
        </w:rPr>
      </w:pPr>
      <w:r>
        <w:rPr>
          <w:sz w:val="22"/>
          <w:szCs w:val="22"/>
        </w:rPr>
        <w:t xml:space="preserve">La legislazione </w:t>
      </w:r>
      <w:r w:rsidR="00803350">
        <w:rPr>
          <w:sz w:val="22"/>
          <w:szCs w:val="22"/>
        </w:rPr>
        <w:t>tributari</w:t>
      </w:r>
      <w:r>
        <w:rPr>
          <w:sz w:val="22"/>
          <w:szCs w:val="22"/>
        </w:rPr>
        <w:t>a</w:t>
      </w:r>
      <w:r w:rsidR="00803350">
        <w:rPr>
          <w:sz w:val="22"/>
          <w:szCs w:val="22"/>
        </w:rPr>
        <w:t xml:space="preserve"> specifica</w:t>
      </w:r>
      <w:r>
        <w:rPr>
          <w:sz w:val="22"/>
          <w:szCs w:val="22"/>
        </w:rPr>
        <w:t xml:space="preserve"> cioè</w:t>
      </w:r>
      <w:r w:rsidR="00803350">
        <w:rPr>
          <w:sz w:val="22"/>
          <w:szCs w:val="22"/>
        </w:rPr>
        <w:t xml:space="preserve">, sotto aspetti potenzialmente controversi, i presupposti economici delle imposte di cui al </w:t>
      </w:r>
      <w:r w:rsidR="001C6E9D">
        <w:rPr>
          <w:sz w:val="22"/>
          <w:szCs w:val="22"/>
        </w:rPr>
        <w:t>par.1.8</w:t>
      </w:r>
      <w:r w:rsidR="00803350">
        <w:rPr>
          <w:sz w:val="22"/>
          <w:szCs w:val="22"/>
        </w:rPr>
        <w:t>,</w:t>
      </w:r>
      <w:r w:rsidR="00D46C5B">
        <w:rPr>
          <w:sz w:val="22"/>
          <w:szCs w:val="22"/>
        </w:rPr>
        <w:t xml:space="preserve"> cioè</w:t>
      </w:r>
      <w:r w:rsidR="00803350">
        <w:rPr>
          <w:sz w:val="22"/>
          <w:szCs w:val="22"/>
        </w:rPr>
        <w:t xml:space="preserve"> </w:t>
      </w:r>
      <w:r w:rsidR="00121594">
        <w:rPr>
          <w:sz w:val="22"/>
          <w:szCs w:val="22"/>
        </w:rPr>
        <w:t xml:space="preserve">reddito, consumo </w:t>
      </w:r>
      <w:proofErr w:type="spellStart"/>
      <w:r w:rsidR="00121594">
        <w:rPr>
          <w:sz w:val="22"/>
          <w:szCs w:val="22"/>
        </w:rPr>
        <w:t>etc</w:t>
      </w:r>
      <w:proofErr w:type="spellEnd"/>
      <w:r w:rsidR="00803350">
        <w:rPr>
          <w:sz w:val="22"/>
          <w:szCs w:val="22"/>
        </w:rPr>
        <w:t xml:space="preserve">; </w:t>
      </w:r>
      <w:r w:rsidR="0096432C">
        <w:rPr>
          <w:sz w:val="22"/>
          <w:szCs w:val="22"/>
        </w:rPr>
        <w:t>a questa</w:t>
      </w:r>
      <w:r w:rsidR="00121594">
        <w:rPr>
          <w:sz w:val="22"/>
          <w:szCs w:val="22"/>
        </w:rPr>
        <w:t xml:space="preserve"> </w:t>
      </w:r>
      <w:r w:rsidR="00AB122E" w:rsidRPr="00AB122E">
        <w:rPr>
          <w:i/>
          <w:sz w:val="22"/>
          <w:szCs w:val="22"/>
        </w:rPr>
        <w:t xml:space="preserve">legislazione </w:t>
      </w:r>
      <w:r w:rsidR="00961998" w:rsidRPr="00AB122E">
        <w:rPr>
          <w:i/>
          <w:sz w:val="22"/>
          <w:szCs w:val="22"/>
        </w:rPr>
        <w:t>sostanzial</w:t>
      </w:r>
      <w:r w:rsidR="00AB122E" w:rsidRPr="00AB122E">
        <w:rPr>
          <w:i/>
          <w:sz w:val="22"/>
          <w:szCs w:val="22"/>
        </w:rPr>
        <w:t xml:space="preserve">e </w:t>
      </w:r>
      <w:r w:rsidR="00961998" w:rsidRPr="00AB122E">
        <w:rPr>
          <w:i/>
          <w:sz w:val="22"/>
          <w:szCs w:val="22"/>
        </w:rPr>
        <w:t>tributari</w:t>
      </w:r>
      <w:r w:rsidR="00AB122E" w:rsidRPr="00AB122E">
        <w:rPr>
          <w:i/>
          <w:sz w:val="22"/>
          <w:szCs w:val="22"/>
        </w:rPr>
        <w:t>a</w:t>
      </w:r>
      <w:r w:rsidR="00C31B18">
        <w:rPr>
          <w:sz w:val="22"/>
          <w:szCs w:val="22"/>
        </w:rPr>
        <w:t xml:space="preserve"> </w:t>
      </w:r>
      <w:r w:rsidR="0096432C">
        <w:rPr>
          <w:sz w:val="22"/>
          <w:szCs w:val="22"/>
        </w:rPr>
        <w:t xml:space="preserve">sono dedicati i </w:t>
      </w:r>
      <w:r w:rsidR="001C6E9D">
        <w:rPr>
          <w:sz w:val="22"/>
          <w:szCs w:val="22"/>
        </w:rPr>
        <w:t>capitoli 7 e seguenti</w:t>
      </w:r>
      <w:r w:rsidR="0096432C">
        <w:rPr>
          <w:sz w:val="22"/>
          <w:szCs w:val="22"/>
        </w:rPr>
        <w:t xml:space="preserve">, che esaminano la funzione tributaria </w:t>
      </w:r>
      <w:r w:rsidR="0096432C">
        <w:rPr>
          <w:sz w:val="22"/>
          <w:szCs w:val="22"/>
        </w:rPr>
        <w:lastRenderedPageBreak/>
        <w:t xml:space="preserve">nella prospettiva dei presupposti economici d’imposta. </w:t>
      </w:r>
      <w:r>
        <w:rPr>
          <w:sz w:val="22"/>
          <w:szCs w:val="22"/>
        </w:rPr>
        <w:t xml:space="preserve"> La definizione di “legislazione sostanziale” è utilizzata in quanto ricorda quella che privatistico giurisdizionale che specifica diritti e doveri delle parti, in relazione a fatti e atti idonei a farli nascere o modificarli, </w:t>
      </w:r>
      <w:r>
        <w:t xml:space="preserve">come i  requisiti del contratto, i vizi della volontà, le modalità di adempimento delle obbligazioni </w:t>
      </w:r>
      <w:r>
        <w:rPr>
          <w:sz w:val="22"/>
          <w:szCs w:val="22"/>
        </w:rPr>
        <w:t>(</w:t>
      </w:r>
      <w:r>
        <w:rPr>
          <w:rStyle w:val="Rimandonotaapidipagina"/>
          <w:sz w:val="22"/>
          <w:szCs w:val="22"/>
        </w:rPr>
        <w:footnoteReference w:id="122"/>
      </w:r>
      <w:r>
        <w:rPr>
          <w:sz w:val="22"/>
          <w:szCs w:val="22"/>
        </w:rPr>
        <w:t xml:space="preserve">). </w:t>
      </w:r>
    </w:p>
    <w:p w14:paraId="56DFD3DE" w14:textId="777EBA36" w:rsidR="00394F44" w:rsidRDefault="0096432C" w:rsidP="00394F44">
      <w:pPr>
        <w:autoSpaceDE w:val="0"/>
        <w:autoSpaceDN w:val="0"/>
        <w:adjustRightInd w:val="0"/>
        <w:rPr>
          <w:sz w:val="22"/>
          <w:szCs w:val="22"/>
        </w:rPr>
      </w:pPr>
      <w:r>
        <w:rPr>
          <w:sz w:val="22"/>
          <w:szCs w:val="22"/>
        </w:rPr>
        <w:t xml:space="preserve">La </w:t>
      </w:r>
      <w:r w:rsidR="003D2D40">
        <w:rPr>
          <w:sz w:val="22"/>
          <w:szCs w:val="22"/>
        </w:rPr>
        <w:t>legislazione sostanziale tributaria era molto meno importante</w:t>
      </w:r>
      <w:r w:rsidR="00D46C5B">
        <w:rPr>
          <w:sz w:val="22"/>
          <w:szCs w:val="22"/>
        </w:rPr>
        <w:t xml:space="preserve"> </w:t>
      </w:r>
      <w:r>
        <w:rPr>
          <w:sz w:val="22"/>
          <w:szCs w:val="22"/>
        </w:rPr>
        <w:t>quando gli uffici tributari determinavano gli imponibili per ordine di grandezza, come indicato al par.1.4</w:t>
      </w:r>
      <w:r w:rsidR="00D46C5B">
        <w:rPr>
          <w:sz w:val="22"/>
          <w:szCs w:val="22"/>
        </w:rPr>
        <w:t xml:space="preserve">. </w:t>
      </w:r>
      <w:r>
        <w:rPr>
          <w:sz w:val="22"/>
          <w:szCs w:val="22"/>
        </w:rPr>
        <w:t xml:space="preserve">La </w:t>
      </w:r>
      <w:r w:rsidR="003D2D40">
        <w:rPr>
          <w:sz w:val="22"/>
          <w:szCs w:val="22"/>
        </w:rPr>
        <w:t xml:space="preserve">determinazione </w:t>
      </w:r>
      <w:r w:rsidR="005E2D43">
        <w:rPr>
          <w:sz w:val="22"/>
          <w:szCs w:val="22"/>
        </w:rPr>
        <w:t>de</w:t>
      </w:r>
      <w:r>
        <w:rPr>
          <w:sz w:val="22"/>
          <w:szCs w:val="22"/>
        </w:rPr>
        <w:t xml:space="preserve">i presupposti d’imposta attraverso </w:t>
      </w:r>
      <w:r w:rsidR="005E2D43">
        <w:rPr>
          <w:sz w:val="22"/>
          <w:szCs w:val="22"/>
        </w:rPr>
        <w:t>la documentazione dei rapporti privati</w:t>
      </w:r>
      <w:r w:rsidR="00D46C5B">
        <w:rPr>
          <w:sz w:val="22"/>
          <w:szCs w:val="22"/>
        </w:rPr>
        <w:t xml:space="preserve"> comporta</w:t>
      </w:r>
      <w:r>
        <w:rPr>
          <w:sz w:val="22"/>
          <w:szCs w:val="22"/>
        </w:rPr>
        <w:t xml:space="preserve"> oggi</w:t>
      </w:r>
      <w:r w:rsidR="00D46C5B">
        <w:rPr>
          <w:sz w:val="22"/>
          <w:szCs w:val="22"/>
        </w:rPr>
        <w:t xml:space="preserve"> intromissioni tributarie nelle operazioni giuridico-economiche più disparate, anche di importo modesto. </w:t>
      </w:r>
    </w:p>
    <w:p w14:paraId="63CFCF87" w14:textId="56C11584" w:rsidR="00394F44" w:rsidRDefault="008D0980" w:rsidP="00394F44">
      <w:pPr>
        <w:pStyle w:val="tit23"/>
        <w:ind w:left="6464" w:right="-1361" w:firstLine="0"/>
        <w:jc w:val="left"/>
        <w:rPr>
          <w:bCs/>
          <w:i/>
          <w:iCs/>
          <w:color w:val="0000FF"/>
          <w:lang w:val="it-IT"/>
        </w:rPr>
      </w:pPr>
      <w:r>
        <w:rPr>
          <w:bCs/>
          <w:i/>
          <w:iCs/>
          <w:color w:val="0000FF"/>
          <w:lang w:val="it-IT"/>
        </w:rPr>
        <w:t>Disposizioni procedurali per i privati</w:t>
      </w:r>
    </w:p>
    <w:p w14:paraId="06F10C77" w14:textId="16AB153C" w:rsidR="001117E6" w:rsidRDefault="0096432C" w:rsidP="00220AC3">
      <w:pPr>
        <w:autoSpaceDE w:val="0"/>
        <w:autoSpaceDN w:val="0"/>
        <w:adjustRightInd w:val="0"/>
      </w:pPr>
      <w:r>
        <w:rPr>
          <w:sz w:val="22"/>
          <w:szCs w:val="22"/>
        </w:rPr>
        <w:t>L</w:t>
      </w:r>
      <w:r w:rsidR="005E2D43">
        <w:rPr>
          <w:sz w:val="22"/>
          <w:szCs w:val="22"/>
        </w:rPr>
        <w:t>a legislazione tributaria sostanziale</w:t>
      </w:r>
      <w:r>
        <w:rPr>
          <w:sz w:val="22"/>
          <w:szCs w:val="22"/>
        </w:rPr>
        <w:t xml:space="preserve"> </w:t>
      </w:r>
      <w:r w:rsidR="005E2D43">
        <w:rPr>
          <w:sz w:val="22"/>
          <w:szCs w:val="22"/>
        </w:rPr>
        <w:t xml:space="preserve">indica quali rapporti giuridici hanno rilevanza tributaria, e </w:t>
      </w:r>
      <w:r>
        <w:rPr>
          <w:sz w:val="22"/>
          <w:szCs w:val="22"/>
        </w:rPr>
        <w:t xml:space="preserve">secondo </w:t>
      </w:r>
      <w:r w:rsidR="005E2D43">
        <w:rPr>
          <w:sz w:val="22"/>
          <w:szCs w:val="22"/>
        </w:rPr>
        <w:t xml:space="preserve">quali </w:t>
      </w:r>
      <w:r>
        <w:rPr>
          <w:sz w:val="22"/>
          <w:szCs w:val="22"/>
        </w:rPr>
        <w:t xml:space="preserve">modalità, cui sono legati </w:t>
      </w:r>
      <w:r w:rsidR="005E2D43">
        <w:rPr>
          <w:sz w:val="22"/>
          <w:szCs w:val="22"/>
        </w:rPr>
        <w:t>adempimenti</w:t>
      </w:r>
      <w:r>
        <w:rPr>
          <w:sz w:val="22"/>
          <w:szCs w:val="22"/>
        </w:rPr>
        <w:t xml:space="preserve"> procedurali </w:t>
      </w:r>
      <w:r w:rsidR="005E2D43">
        <w:rPr>
          <w:sz w:val="22"/>
          <w:szCs w:val="22"/>
        </w:rPr>
        <w:t xml:space="preserve">(emissione fatture, rilascio certificazioni, scomputo ritenute, </w:t>
      </w:r>
      <w:r w:rsidR="0076126C">
        <w:rPr>
          <w:sz w:val="22"/>
          <w:szCs w:val="22"/>
        </w:rPr>
        <w:t>scelta</w:t>
      </w:r>
      <w:r w:rsidR="005E2D43">
        <w:rPr>
          <w:sz w:val="22"/>
          <w:szCs w:val="22"/>
        </w:rPr>
        <w:t xml:space="preserve"> di regimi tributari, nei termini indicati al par.3.9 ss.</w:t>
      </w:r>
      <w:r w:rsidR="00961998">
        <w:rPr>
          <w:sz w:val="22"/>
          <w:szCs w:val="22"/>
        </w:rPr>
        <w:t>)</w:t>
      </w:r>
      <w:r w:rsidR="00CB6D39">
        <w:rPr>
          <w:sz w:val="22"/>
          <w:szCs w:val="22"/>
        </w:rPr>
        <w:t>.</w:t>
      </w:r>
      <w:r w:rsidR="00121594">
        <w:rPr>
          <w:sz w:val="22"/>
          <w:szCs w:val="22"/>
        </w:rPr>
        <w:t xml:space="preserve"> </w:t>
      </w:r>
    </w:p>
    <w:p w14:paraId="02D95F32" w14:textId="04202070" w:rsidR="00844B78" w:rsidRPr="007F7EBF" w:rsidRDefault="00844B78" w:rsidP="00844B78">
      <w:pPr>
        <w:pStyle w:val="tit23"/>
        <w:ind w:left="6464" w:right="-1361" w:firstLine="0"/>
        <w:jc w:val="left"/>
        <w:rPr>
          <w:b/>
          <w:bCs/>
          <w:i/>
          <w:iCs/>
          <w:color w:val="0000FF"/>
          <w:lang w:val="it-IT"/>
        </w:rPr>
      </w:pPr>
      <w:r w:rsidRPr="007F7EBF">
        <w:rPr>
          <w:b/>
          <w:bCs/>
          <w:i/>
          <w:iCs/>
          <w:color w:val="0000FF"/>
          <w:lang w:val="it-IT"/>
        </w:rPr>
        <w:t>L</w:t>
      </w:r>
      <w:r w:rsidR="002C1470">
        <w:rPr>
          <w:b/>
          <w:bCs/>
          <w:i/>
          <w:iCs/>
          <w:color w:val="0000FF"/>
          <w:lang w:val="it-IT"/>
        </w:rPr>
        <w:t>imiti della l</w:t>
      </w:r>
      <w:r w:rsidRPr="007F7EBF">
        <w:rPr>
          <w:b/>
          <w:bCs/>
          <w:i/>
          <w:iCs/>
          <w:color w:val="0000FF"/>
          <w:lang w:val="it-IT"/>
        </w:rPr>
        <w:t xml:space="preserve">egislazione </w:t>
      </w:r>
      <w:r w:rsidR="002C1470">
        <w:rPr>
          <w:b/>
          <w:bCs/>
          <w:i/>
          <w:iCs/>
          <w:color w:val="0000FF"/>
          <w:lang w:val="it-IT"/>
        </w:rPr>
        <w:t>nella</w:t>
      </w:r>
      <w:r w:rsidRPr="007F7EBF">
        <w:rPr>
          <w:b/>
          <w:bCs/>
          <w:i/>
          <w:iCs/>
          <w:color w:val="0000FF"/>
          <w:lang w:val="it-IT"/>
        </w:rPr>
        <w:t xml:space="preserve"> </w:t>
      </w:r>
      <w:r w:rsidR="005E2D43">
        <w:rPr>
          <w:b/>
          <w:bCs/>
          <w:i/>
          <w:iCs/>
          <w:color w:val="0000FF"/>
          <w:lang w:val="it-IT"/>
        </w:rPr>
        <w:t>visibilità</w:t>
      </w:r>
      <w:r w:rsidR="002C1470">
        <w:rPr>
          <w:b/>
          <w:bCs/>
          <w:i/>
          <w:iCs/>
          <w:color w:val="0000FF"/>
          <w:lang w:val="it-IT"/>
        </w:rPr>
        <w:t xml:space="preserve"> degli imponibili </w:t>
      </w:r>
    </w:p>
    <w:p w14:paraId="6E834AEB" w14:textId="2D1FEE3F" w:rsidR="002B3784" w:rsidRPr="007F7EBF" w:rsidRDefault="005E2D43" w:rsidP="003E17B2">
      <w:pPr>
        <w:autoSpaceDE w:val="0"/>
        <w:autoSpaceDN w:val="0"/>
        <w:adjustRightInd w:val="0"/>
        <w:rPr>
          <w:bCs/>
          <w:i/>
          <w:iCs/>
          <w:color w:val="0000FF"/>
        </w:rPr>
      </w:pPr>
      <w:r>
        <w:rPr>
          <w:sz w:val="22"/>
          <w:szCs w:val="22"/>
        </w:rPr>
        <w:t xml:space="preserve">A quest’importanza della </w:t>
      </w:r>
      <w:r w:rsidR="002B3784">
        <w:rPr>
          <w:sz w:val="22"/>
          <w:szCs w:val="22"/>
        </w:rPr>
        <w:t xml:space="preserve">legislazione per qualificare </w:t>
      </w:r>
      <w:r w:rsidR="00C31B18">
        <w:rPr>
          <w:sz w:val="22"/>
          <w:szCs w:val="22"/>
        </w:rPr>
        <w:t xml:space="preserve">gli imponibili visibili, </w:t>
      </w:r>
      <w:r w:rsidR="002B3784">
        <w:rPr>
          <w:sz w:val="22"/>
          <w:szCs w:val="22"/>
        </w:rPr>
        <w:t>non</w:t>
      </w:r>
      <w:r>
        <w:rPr>
          <w:sz w:val="22"/>
          <w:szCs w:val="22"/>
        </w:rPr>
        <w:t xml:space="preserve"> corrispondono certo poteri </w:t>
      </w:r>
      <w:r w:rsidR="002D07B2">
        <w:rPr>
          <w:sz w:val="22"/>
          <w:szCs w:val="22"/>
        </w:rPr>
        <w:t xml:space="preserve">di </w:t>
      </w:r>
      <w:r>
        <w:rPr>
          <w:sz w:val="22"/>
          <w:szCs w:val="22"/>
        </w:rPr>
        <w:t xml:space="preserve">individuare gli imponibili che i contribuenti decidono di non palesare o nascondere. </w:t>
      </w:r>
      <w:r w:rsidR="002D07B2">
        <w:rPr>
          <w:sz w:val="22"/>
          <w:szCs w:val="22"/>
        </w:rPr>
        <w:t>L’</w:t>
      </w:r>
      <w:r w:rsidR="00F31265">
        <w:rPr>
          <w:sz w:val="22"/>
          <w:szCs w:val="22"/>
        </w:rPr>
        <w:t>e</w:t>
      </w:r>
      <w:r w:rsidR="002D07B2">
        <w:rPr>
          <w:sz w:val="22"/>
          <w:szCs w:val="22"/>
        </w:rPr>
        <w:t xml:space="preserve">nfatica “onnipotenza legislativa” riguarda infatti solo l’influenza sul giudice per la qualificazione di fatti già accertati </w:t>
      </w:r>
      <w:r w:rsidR="00890BDB" w:rsidRPr="00890BDB">
        <w:t>(</w:t>
      </w:r>
      <w:r w:rsidR="00890BDB" w:rsidRPr="00890BDB">
        <w:rPr>
          <w:rStyle w:val="Rimandonotaapidipagina"/>
        </w:rPr>
        <w:footnoteReference w:id="123"/>
      </w:r>
      <w:r w:rsidR="00890BDB" w:rsidRPr="00890BDB">
        <w:t>)</w:t>
      </w:r>
      <w:r w:rsidR="00D13C46">
        <w:rPr>
          <w:sz w:val="22"/>
          <w:szCs w:val="22"/>
        </w:rPr>
        <w:t>.</w:t>
      </w:r>
      <w:r w:rsidR="00E109D8">
        <w:rPr>
          <w:sz w:val="22"/>
          <w:szCs w:val="22"/>
        </w:rPr>
        <w:t xml:space="preserve"> </w:t>
      </w:r>
      <w:r w:rsidR="00F31265">
        <w:rPr>
          <w:sz w:val="22"/>
          <w:szCs w:val="22"/>
        </w:rPr>
        <w:t xml:space="preserve">Per altri aspetti della stessa funzione giurisdizionale, o per le altre pubbliche funzioni, non basta la </w:t>
      </w:r>
      <w:r w:rsidR="00F31265">
        <w:rPr>
          <w:sz w:val="22"/>
          <w:szCs w:val="22"/>
        </w:rPr>
        <w:lastRenderedPageBreak/>
        <w:t xml:space="preserve">legge, ma servono uomini e iniziativa, preceduta -se necessario- da spiegazioni sociali, come vedremo al par.5.3. Dove non arriva </w:t>
      </w:r>
      <w:r>
        <w:rPr>
          <w:sz w:val="22"/>
          <w:szCs w:val="22"/>
        </w:rPr>
        <w:t xml:space="preserve">la determinazione contabile </w:t>
      </w:r>
      <w:r w:rsidR="00F31265">
        <w:rPr>
          <w:sz w:val="22"/>
          <w:szCs w:val="22"/>
        </w:rPr>
        <w:t xml:space="preserve">degli imponibili, come nel piccolo commercio o nell’artigianato, occorre quindi la valutazione degli uffici tributari </w:t>
      </w:r>
      <w:r>
        <w:rPr>
          <w:sz w:val="22"/>
          <w:szCs w:val="22"/>
        </w:rPr>
        <w:t xml:space="preserve">per ordine di grandezza, secondo la secolare tradizione tributaria.  </w:t>
      </w:r>
    </w:p>
    <w:p w14:paraId="6825A7D3" w14:textId="3D10C8DC" w:rsidR="005D7808" w:rsidRPr="004F01EE" w:rsidRDefault="003E17B2" w:rsidP="002B3784">
      <w:pPr>
        <w:autoSpaceDE w:val="0"/>
        <w:autoSpaceDN w:val="0"/>
        <w:adjustRightInd w:val="0"/>
        <w:rPr>
          <w:sz w:val="22"/>
          <w:szCs w:val="22"/>
        </w:rPr>
      </w:pPr>
      <w:r>
        <w:rPr>
          <w:sz w:val="22"/>
          <w:szCs w:val="22"/>
        </w:rPr>
        <w:t xml:space="preserve">Anche in materia tributaria quindi concetti come </w:t>
      </w:r>
      <w:r w:rsidR="002B3784">
        <w:t>“governo della legge”</w:t>
      </w:r>
      <w:r w:rsidR="007C32A5">
        <w:t xml:space="preserve"> e “stato di diritto”, </w:t>
      </w:r>
      <w:r>
        <w:t xml:space="preserve">vanno contestualizzati, in quanto “la legge” </w:t>
      </w:r>
      <w:r w:rsidR="000867BE">
        <w:t>non</w:t>
      </w:r>
      <w:r>
        <w:t xml:space="preserve"> svolge funzioni pubbliche </w:t>
      </w:r>
      <w:r w:rsidR="002B3784">
        <w:t>(</w:t>
      </w:r>
      <w:r w:rsidR="002B3784">
        <w:rPr>
          <w:rStyle w:val="Rimandonotaapidipagina"/>
        </w:rPr>
        <w:footnoteReference w:id="124"/>
      </w:r>
      <w:r w:rsidR="002B3784">
        <w:t>)</w:t>
      </w:r>
      <w:r w:rsidR="001F0E1F">
        <w:t xml:space="preserve">; </w:t>
      </w:r>
      <w:r w:rsidR="007C32A5">
        <w:t xml:space="preserve">non è insomma </w:t>
      </w:r>
      <w:r w:rsidR="001F0E1F">
        <w:t xml:space="preserve">la legge che governa, ma gli </w:t>
      </w:r>
      <w:r w:rsidR="002B3784">
        <w:t xml:space="preserve">uomini, </w:t>
      </w:r>
      <w:r w:rsidR="007C32A5">
        <w:t>s</w:t>
      </w:r>
      <w:r w:rsidR="001F0E1F">
        <w:t>econdo l</w:t>
      </w:r>
      <w:r w:rsidR="007C32A5">
        <w:t xml:space="preserve">a suddetta </w:t>
      </w:r>
      <w:r w:rsidR="001F0E1F">
        <w:t>o</w:t>
      </w:r>
      <w:r w:rsidR="002B3784">
        <w:t>rdinata ripartizione di compiti</w:t>
      </w:r>
      <w:r w:rsidR="007C32A5">
        <w:rPr>
          <w:sz w:val="22"/>
          <w:szCs w:val="22"/>
        </w:rPr>
        <w:t>, dove la funzione tributaria spetta prima di tutto ai relativi uffici</w:t>
      </w:r>
      <w:r w:rsidR="002134C8">
        <w:rPr>
          <w:sz w:val="22"/>
          <w:szCs w:val="22"/>
        </w:rPr>
        <w:t>,</w:t>
      </w:r>
      <w:r w:rsidR="007C32A5">
        <w:rPr>
          <w:sz w:val="22"/>
          <w:szCs w:val="22"/>
        </w:rPr>
        <w:t xml:space="preserve"> non al giudice, come vedremo  al cap.6. </w:t>
      </w:r>
    </w:p>
    <w:p w14:paraId="07A43F5F" w14:textId="502DB1AE" w:rsidR="00E23B9F" w:rsidRPr="007F7EBF" w:rsidRDefault="006342C5" w:rsidP="00E23B9F">
      <w:pPr>
        <w:pStyle w:val="Titolo3"/>
        <w:rPr>
          <w:rFonts w:ascii="Times New Roman" w:hAnsi="Times New Roman"/>
          <w:sz w:val="22"/>
          <w:szCs w:val="22"/>
        </w:rPr>
      </w:pPr>
      <w:bookmarkStart w:id="20" w:name="_Toc63364941"/>
      <w:r w:rsidRPr="007F7EBF">
        <w:rPr>
          <w:rFonts w:ascii="Times New Roman" w:hAnsi="Times New Roman"/>
          <w:sz w:val="22"/>
          <w:szCs w:val="22"/>
        </w:rPr>
        <w:t xml:space="preserve">2.2. </w:t>
      </w:r>
      <w:r w:rsidR="00692033">
        <w:rPr>
          <w:rFonts w:ascii="Times New Roman" w:hAnsi="Times New Roman"/>
          <w:sz w:val="22"/>
          <w:szCs w:val="22"/>
          <w:lang w:val="it-IT"/>
        </w:rPr>
        <w:t xml:space="preserve">Capacità contributiva come riflesso </w:t>
      </w:r>
      <w:r w:rsidR="009B166A" w:rsidRPr="007F7EBF">
        <w:rPr>
          <w:rFonts w:ascii="Times New Roman" w:hAnsi="Times New Roman"/>
          <w:sz w:val="22"/>
          <w:szCs w:val="22"/>
          <w:lang w:val="it-IT"/>
        </w:rPr>
        <w:t>dell</w:t>
      </w:r>
      <w:r w:rsidR="003A7671">
        <w:rPr>
          <w:rFonts w:ascii="Times New Roman" w:hAnsi="Times New Roman"/>
          <w:sz w:val="22"/>
          <w:szCs w:val="22"/>
          <w:lang w:val="it-IT"/>
        </w:rPr>
        <w:t>’oggetto economico della</w:t>
      </w:r>
      <w:r w:rsidR="009B166A" w:rsidRPr="007F7EBF">
        <w:rPr>
          <w:rFonts w:ascii="Times New Roman" w:hAnsi="Times New Roman"/>
          <w:sz w:val="22"/>
          <w:szCs w:val="22"/>
          <w:lang w:val="it-IT"/>
        </w:rPr>
        <w:t xml:space="preserve"> funzione tributaria</w:t>
      </w:r>
      <w:r w:rsidR="003A7671">
        <w:rPr>
          <w:rFonts w:ascii="Times New Roman" w:hAnsi="Times New Roman"/>
          <w:sz w:val="22"/>
          <w:szCs w:val="22"/>
          <w:lang w:val="it-IT"/>
        </w:rPr>
        <w:t xml:space="preserve"> e </w:t>
      </w:r>
      <w:r w:rsidR="00692033">
        <w:rPr>
          <w:rFonts w:ascii="Times New Roman" w:hAnsi="Times New Roman"/>
          <w:sz w:val="22"/>
          <w:szCs w:val="22"/>
          <w:lang w:val="it-IT"/>
        </w:rPr>
        <w:t>sua difficile considerazione “globale”</w:t>
      </w:r>
      <w:bookmarkEnd w:id="20"/>
    </w:p>
    <w:p w14:paraId="431FD157" w14:textId="44F44798" w:rsidR="00E23B9F" w:rsidRPr="007F7EBF" w:rsidRDefault="007C43E0" w:rsidP="00E23B9F">
      <w:pPr>
        <w:pStyle w:val="tit23"/>
        <w:ind w:left="6464" w:right="-1361" w:firstLine="0"/>
        <w:jc w:val="left"/>
        <w:rPr>
          <w:b/>
          <w:bCs/>
          <w:i/>
          <w:iCs/>
          <w:color w:val="0000FF"/>
          <w:lang w:val="it-IT"/>
        </w:rPr>
      </w:pPr>
      <w:r>
        <w:rPr>
          <w:b/>
          <w:bCs/>
          <w:i/>
          <w:iCs/>
          <w:color w:val="0000FF"/>
          <w:lang w:val="it-IT"/>
        </w:rPr>
        <w:t>Presupposti economici d’imposta</w:t>
      </w:r>
      <w:r w:rsidR="003A7671">
        <w:rPr>
          <w:b/>
          <w:bCs/>
          <w:i/>
          <w:iCs/>
          <w:color w:val="0000FF"/>
          <w:lang w:val="it-IT"/>
        </w:rPr>
        <w:t xml:space="preserve"> e </w:t>
      </w:r>
      <w:r w:rsidR="008F7BB5" w:rsidRPr="007F7EBF">
        <w:rPr>
          <w:b/>
          <w:bCs/>
          <w:i/>
          <w:iCs/>
          <w:color w:val="0000FF"/>
          <w:lang w:val="it-IT"/>
        </w:rPr>
        <w:t xml:space="preserve"> costituzion</w:t>
      </w:r>
      <w:r>
        <w:rPr>
          <w:b/>
          <w:bCs/>
          <w:i/>
          <w:iCs/>
          <w:color w:val="0000FF"/>
          <w:lang w:val="it-IT"/>
        </w:rPr>
        <w:t>i</w:t>
      </w:r>
    </w:p>
    <w:p w14:paraId="36AEC86E" w14:textId="657BD8F2" w:rsidR="003E224D" w:rsidRPr="007F7EBF" w:rsidRDefault="007C43E0" w:rsidP="008F7BB5">
      <w:pPr>
        <w:autoSpaceDE w:val="0"/>
        <w:autoSpaceDN w:val="0"/>
        <w:adjustRightInd w:val="0"/>
        <w:rPr>
          <w:sz w:val="22"/>
          <w:szCs w:val="22"/>
        </w:rPr>
      </w:pPr>
      <w:r>
        <w:rPr>
          <w:sz w:val="22"/>
          <w:szCs w:val="22"/>
        </w:rPr>
        <w:t xml:space="preserve">Il riferimento delle imposte a presupposti economici si trova in </w:t>
      </w:r>
      <w:r w:rsidR="006671C0">
        <w:rPr>
          <w:sz w:val="22"/>
          <w:szCs w:val="22"/>
        </w:rPr>
        <w:t>molte costituzioni</w:t>
      </w:r>
      <w:r>
        <w:rPr>
          <w:sz w:val="22"/>
          <w:szCs w:val="22"/>
        </w:rPr>
        <w:t>, anche se manca in altre, come quella tedesca. In Italia, lo statuto</w:t>
      </w:r>
      <w:r w:rsidR="00CB6471">
        <w:rPr>
          <w:sz w:val="22"/>
          <w:szCs w:val="22"/>
        </w:rPr>
        <w:t xml:space="preserve"> </w:t>
      </w:r>
      <w:r>
        <w:rPr>
          <w:sz w:val="22"/>
          <w:szCs w:val="22"/>
        </w:rPr>
        <w:t>piemontese</w:t>
      </w:r>
      <w:r w:rsidR="00CB6471">
        <w:rPr>
          <w:sz w:val="22"/>
          <w:szCs w:val="22"/>
        </w:rPr>
        <w:t xml:space="preserve"> del 1848 (c.d. </w:t>
      </w:r>
      <w:r w:rsidR="006671C0" w:rsidRPr="00CB6471">
        <w:rPr>
          <w:i/>
          <w:sz w:val="22"/>
          <w:szCs w:val="22"/>
        </w:rPr>
        <w:t xml:space="preserve">statuto </w:t>
      </w:r>
      <w:r w:rsidR="00CB6471" w:rsidRPr="007C43E0">
        <w:rPr>
          <w:iCs/>
          <w:sz w:val="22"/>
          <w:szCs w:val="22"/>
        </w:rPr>
        <w:t>A</w:t>
      </w:r>
      <w:r w:rsidR="006671C0" w:rsidRPr="007C43E0">
        <w:rPr>
          <w:iCs/>
          <w:sz w:val="22"/>
          <w:szCs w:val="22"/>
        </w:rPr>
        <w:t>lbertino</w:t>
      </w:r>
      <w:r>
        <w:rPr>
          <w:iCs/>
          <w:sz w:val="22"/>
          <w:szCs w:val="22"/>
        </w:rPr>
        <w:t xml:space="preserve">), </w:t>
      </w:r>
      <w:r w:rsidRPr="007C43E0">
        <w:rPr>
          <w:iCs/>
          <w:sz w:val="22"/>
          <w:szCs w:val="22"/>
        </w:rPr>
        <w:t>sostituito</w:t>
      </w:r>
      <w:r>
        <w:rPr>
          <w:sz w:val="22"/>
          <w:szCs w:val="22"/>
        </w:rPr>
        <w:t xml:space="preserve"> dalla costituzione attuale,</w:t>
      </w:r>
      <w:r w:rsidR="00CB6471">
        <w:rPr>
          <w:sz w:val="22"/>
          <w:szCs w:val="22"/>
        </w:rPr>
        <w:t xml:space="preserve"> parlava di </w:t>
      </w:r>
      <w:r w:rsidR="006671C0">
        <w:rPr>
          <w:sz w:val="22"/>
          <w:szCs w:val="22"/>
        </w:rPr>
        <w:t>dovere di contribuire alle pubbliche spese in base agli “averi”</w:t>
      </w:r>
      <w:r w:rsidR="00692033">
        <w:rPr>
          <w:sz w:val="22"/>
          <w:szCs w:val="22"/>
        </w:rPr>
        <w:t xml:space="preserve">; nell’assemblea costituente </w:t>
      </w:r>
      <w:r>
        <w:rPr>
          <w:sz w:val="22"/>
          <w:szCs w:val="22"/>
        </w:rPr>
        <w:t xml:space="preserve">del 1946, dove pure fu suggerito </w:t>
      </w:r>
      <w:r w:rsidR="00692033">
        <w:rPr>
          <w:sz w:val="22"/>
          <w:szCs w:val="22"/>
        </w:rPr>
        <w:t xml:space="preserve">di </w:t>
      </w:r>
      <w:r w:rsidR="00CB6471">
        <w:rPr>
          <w:sz w:val="22"/>
          <w:szCs w:val="22"/>
        </w:rPr>
        <w:t>omettere qualsiasi riferimento al riguardo</w:t>
      </w:r>
      <w:r w:rsidR="00692033">
        <w:rPr>
          <w:sz w:val="22"/>
          <w:szCs w:val="22"/>
        </w:rPr>
        <w:t xml:space="preserve">, </w:t>
      </w:r>
      <w:r>
        <w:rPr>
          <w:sz w:val="22"/>
          <w:szCs w:val="22"/>
        </w:rPr>
        <w:t xml:space="preserve">l’espressione </w:t>
      </w:r>
      <w:r w:rsidR="00692033">
        <w:rPr>
          <w:sz w:val="22"/>
          <w:szCs w:val="22"/>
        </w:rPr>
        <w:t xml:space="preserve"> “averi” </w:t>
      </w:r>
      <w:r w:rsidR="00753458">
        <w:rPr>
          <w:sz w:val="22"/>
          <w:szCs w:val="22"/>
        </w:rPr>
        <w:t>fu sostituit</w:t>
      </w:r>
      <w:r>
        <w:rPr>
          <w:sz w:val="22"/>
          <w:szCs w:val="22"/>
        </w:rPr>
        <w:t>a</w:t>
      </w:r>
      <w:r w:rsidR="00753458">
        <w:rPr>
          <w:sz w:val="22"/>
          <w:szCs w:val="22"/>
        </w:rPr>
        <w:t xml:space="preserve"> co</w:t>
      </w:r>
      <w:r w:rsidR="00692033">
        <w:rPr>
          <w:sz w:val="22"/>
          <w:szCs w:val="22"/>
        </w:rPr>
        <w:t>n quell</w:t>
      </w:r>
      <w:r w:rsidR="00CB6471">
        <w:rPr>
          <w:sz w:val="22"/>
          <w:szCs w:val="22"/>
        </w:rPr>
        <w:t xml:space="preserve">a </w:t>
      </w:r>
      <w:r>
        <w:rPr>
          <w:sz w:val="22"/>
          <w:szCs w:val="22"/>
        </w:rPr>
        <w:t xml:space="preserve">di </w:t>
      </w:r>
      <w:r w:rsidR="00A35519">
        <w:rPr>
          <w:sz w:val="22"/>
          <w:szCs w:val="22"/>
        </w:rPr>
        <w:t>“capacità contributiva”</w:t>
      </w:r>
      <w:r>
        <w:rPr>
          <w:sz w:val="22"/>
          <w:szCs w:val="22"/>
        </w:rPr>
        <w:t>. E</w:t>
      </w:r>
      <w:r>
        <w:t>ra un tema abbastanza secondario rispetto a quelli, politicamente più caldi e ordinamentali, trattati dall’assemblea</w:t>
      </w:r>
      <w:r w:rsidR="006A6ABD">
        <w:t xml:space="preserve">. </w:t>
      </w:r>
    </w:p>
    <w:p w14:paraId="6A4BE4EC" w14:textId="0EDE8358" w:rsidR="003E224D" w:rsidRPr="007F7EBF" w:rsidRDefault="00E174B6" w:rsidP="003E224D">
      <w:pPr>
        <w:pStyle w:val="tit23"/>
        <w:ind w:left="6464" w:right="-1361" w:firstLine="0"/>
        <w:jc w:val="left"/>
        <w:rPr>
          <w:bCs/>
          <w:i/>
          <w:iCs/>
          <w:color w:val="0000FF"/>
          <w:lang w:val="it-IT"/>
        </w:rPr>
      </w:pPr>
      <w:r>
        <w:rPr>
          <w:bCs/>
          <w:i/>
          <w:iCs/>
          <w:color w:val="0000FF"/>
          <w:lang w:val="it-IT"/>
        </w:rPr>
        <w:t xml:space="preserve">Capacità contributiva </w:t>
      </w:r>
      <w:r w:rsidR="006A720F">
        <w:rPr>
          <w:bCs/>
          <w:i/>
          <w:iCs/>
          <w:color w:val="0000FF"/>
          <w:lang w:val="it-IT"/>
        </w:rPr>
        <w:t xml:space="preserve">e </w:t>
      </w:r>
      <w:r>
        <w:rPr>
          <w:bCs/>
          <w:i/>
          <w:iCs/>
          <w:color w:val="0000FF"/>
          <w:lang w:val="it-IT"/>
        </w:rPr>
        <w:t xml:space="preserve">minimo vitale </w:t>
      </w:r>
    </w:p>
    <w:p w14:paraId="4566FD44" w14:textId="23723ED0" w:rsidR="00237C91" w:rsidRPr="007F7EBF" w:rsidRDefault="006A6ABD" w:rsidP="00237C91">
      <w:pPr>
        <w:autoSpaceDE w:val="0"/>
        <w:autoSpaceDN w:val="0"/>
        <w:adjustRightInd w:val="0"/>
        <w:rPr>
          <w:sz w:val="22"/>
          <w:szCs w:val="22"/>
        </w:rPr>
      </w:pPr>
      <w:r>
        <w:t xml:space="preserve">Dai relativi atti si comprende la preferenza per l’espressione suddetta in quanto lasciava intendere </w:t>
      </w:r>
      <w:r>
        <w:rPr>
          <w:bCs/>
          <w:sz w:val="22"/>
          <w:szCs w:val="22"/>
        </w:rPr>
        <w:t>l’</w:t>
      </w:r>
      <w:proofErr w:type="spellStart"/>
      <w:r>
        <w:rPr>
          <w:bCs/>
          <w:sz w:val="22"/>
          <w:szCs w:val="22"/>
        </w:rPr>
        <w:t>intassabilità</w:t>
      </w:r>
      <w:proofErr w:type="spellEnd"/>
      <w:r>
        <w:rPr>
          <w:bCs/>
          <w:sz w:val="22"/>
          <w:szCs w:val="22"/>
        </w:rPr>
        <w:t xml:space="preserve"> di quanto necessario alla </w:t>
      </w:r>
      <w:r>
        <w:rPr>
          <w:sz w:val="22"/>
          <w:szCs w:val="22"/>
        </w:rPr>
        <w:t>sussistenza di base della persona, il c.d. “minimo vitale”</w:t>
      </w:r>
      <w:r w:rsidR="00A36FF3">
        <w:rPr>
          <w:sz w:val="22"/>
          <w:szCs w:val="22"/>
        </w:rPr>
        <w:t xml:space="preserve">; </w:t>
      </w:r>
      <w:r w:rsidR="00691AAC">
        <w:rPr>
          <w:sz w:val="22"/>
          <w:szCs w:val="22"/>
        </w:rPr>
        <w:t>era un puntiglio astratto, in un contesto dove mancavano imposte che globalmente considerassero la situazione economica dei contribuenti</w:t>
      </w:r>
      <w:r>
        <w:rPr>
          <w:sz w:val="22"/>
          <w:szCs w:val="22"/>
        </w:rPr>
        <w:t xml:space="preserve">. </w:t>
      </w:r>
      <w:r w:rsidR="00237C91">
        <w:rPr>
          <w:sz w:val="22"/>
          <w:szCs w:val="22"/>
        </w:rPr>
        <w:t>L’evanescente “capacità contributiva globale” di ciascun individuo</w:t>
      </w:r>
      <w:r w:rsidR="00237C91">
        <w:t xml:space="preserve">, non </w:t>
      </w:r>
      <w:r w:rsidR="00237C91">
        <w:lastRenderedPageBreak/>
        <w:t xml:space="preserve">è stata mai considerata da imposte riferite a presupposti autonomi, circoscritti nel tempo e nello spazio; si pensi ad esempio alle imposte sui consumi (par.7.2 sull’IVA </w:t>
      </w:r>
      <w:r w:rsidR="00237C91" w:rsidRPr="007F7EBF">
        <w:rPr>
          <w:rStyle w:val="Rimandonotaapidipagina"/>
          <w:sz w:val="22"/>
          <w:szCs w:val="22"/>
        </w:rPr>
        <w:footnoteReference w:id="125"/>
      </w:r>
      <w:r w:rsidR="00237C91">
        <w:t xml:space="preserve"> o par.10.6 sulle accise), o su singoli redditi (ad esempio finanziari, par.8.5). In tali sedi non è certo possibile tener presente la situazione economica globale del contribuente; quest’ultima fu forse utilizzata solo nei sistemi preindustriali “a ripartizione” di cui al par.1.4, dove i catasti medievali cercavano appunto di esprimerla</w:t>
      </w:r>
      <w:r w:rsidR="00237C91" w:rsidRPr="007F7EBF">
        <w:rPr>
          <w:sz w:val="22"/>
          <w:szCs w:val="22"/>
        </w:rPr>
        <w:t>.</w:t>
      </w:r>
      <w:r w:rsidR="00237C91">
        <w:t xml:space="preserve"> Oggi questa </w:t>
      </w:r>
      <w:r w:rsidR="00237C91">
        <w:rPr>
          <w:bCs/>
          <w:sz w:val="22"/>
          <w:szCs w:val="22"/>
        </w:rPr>
        <w:t>situazione economica complessiva rileva solo ai fini del suddetto esonero da tasse e contributi, improntati al principio del beneficio, in imposte</w:t>
      </w:r>
      <w:r w:rsidR="00237C91">
        <w:rPr>
          <w:sz w:val="22"/>
          <w:szCs w:val="22"/>
        </w:rPr>
        <w:t xml:space="preserve"> (</w:t>
      </w:r>
      <w:r w:rsidR="00237C91" w:rsidRPr="007F7EBF">
        <w:rPr>
          <w:rStyle w:val="Rimandonotaapidipagina"/>
          <w:sz w:val="22"/>
          <w:szCs w:val="22"/>
        </w:rPr>
        <w:footnoteReference w:id="126"/>
      </w:r>
      <w:r w:rsidR="00237C91">
        <w:rPr>
          <w:sz w:val="22"/>
          <w:szCs w:val="22"/>
        </w:rPr>
        <w:t>).</w:t>
      </w:r>
      <w:r w:rsidR="00237C91">
        <w:rPr>
          <w:bCs/>
          <w:i/>
          <w:iCs/>
          <w:color w:val="0000FF"/>
          <w:sz w:val="22"/>
          <w:szCs w:val="22"/>
        </w:rPr>
        <w:t xml:space="preserve"> </w:t>
      </w:r>
      <w:r w:rsidR="00237C91">
        <w:rPr>
          <w:sz w:val="22"/>
          <w:szCs w:val="22"/>
        </w:rPr>
        <w:t xml:space="preserve">Per chi ha bisogno di sostegno sono quindi preferibili i sussidi alle diminuzioni di imposta, </w:t>
      </w:r>
      <w:r w:rsidR="00237C91">
        <w:rPr>
          <w:bCs/>
          <w:sz w:val="22"/>
          <w:szCs w:val="22"/>
        </w:rPr>
        <w:t xml:space="preserve">inutili quando l’interessato è senza </w:t>
      </w:r>
      <w:r w:rsidR="00237C91">
        <w:rPr>
          <w:sz w:val="22"/>
          <w:szCs w:val="22"/>
        </w:rPr>
        <w:t>reddito sufficiente ad assorbirli, come vedremo per i c.d. “incapienti” al par.9.3</w:t>
      </w:r>
    </w:p>
    <w:p w14:paraId="1B0EF126" w14:textId="75B3B99A" w:rsidR="00237C91" w:rsidRPr="007F7EBF" w:rsidRDefault="00237C91" w:rsidP="00237C91">
      <w:pPr>
        <w:pStyle w:val="tit23"/>
        <w:ind w:left="6464" w:right="-1361" w:firstLine="0"/>
        <w:jc w:val="left"/>
        <w:rPr>
          <w:bCs/>
          <w:i/>
          <w:iCs/>
          <w:color w:val="0000FF"/>
          <w:lang w:val="it-IT"/>
        </w:rPr>
      </w:pPr>
      <w:r>
        <w:rPr>
          <w:bCs/>
          <w:i/>
          <w:iCs/>
          <w:color w:val="0000FF"/>
          <w:lang w:val="it-IT"/>
        </w:rPr>
        <w:t>Tautologia normativa</w:t>
      </w:r>
    </w:p>
    <w:p w14:paraId="1FD4A99D" w14:textId="671FEB17" w:rsidR="00F829D5" w:rsidRPr="00F829D5" w:rsidRDefault="00691AAC" w:rsidP="00F829D5">
      <w:pPr>
        <w:autoSpaceDE w:val="0"/>
        <w:autoSpaceDN w:val="0"/>
        <w:adjustRightInd w:val="0"/>
        <w:rPr>
          <w:sz w:val="22"/>
          <w:szCs w:val="22"/>
        </w:rPr>
      </w:pPr>
      <w:r>
        <w:rPr>
          <w:sz w:val="22"/>
          <w:szCs w:val="22"/>
        </w:rPr>
        <w:t>M</w:t>
      </w:r>
      <w:r w:rsidR="006A6ABD">
        <w:rPr>
          <w:sz w:val="22"/>
          <w:szCs w:val="22"/>
        </w:rPr>
        <w:t>etteva in secondo piano la valutabilità economica dei presupposti d’imposta</w:t>
      </w:r>
      <w:r w:rsidR="00F829D5">
        <w:rPr>
          <w:sz w:val="22"/>
          <w:szCs w:val="22"/>
        </w:rPr>
        <w:t xml:space="preserve">, </w:t>
      </w:r>
      <w:r>
        <w:rPr>
          <w:sz w:val="22"/>
          <w:szCs w:val="22"/>
        </w:rPr>
        <w:t xml:space="preserve">ha fatto </w:t>
      </w:r>
      <w:r w:rsidR="00F829D5">
        <w:rPr>
          <w:sz w:val="22"/>
          <w:szCs w:val="22"/>
        </w:rPr>
        <w:t>assume</w:t>
      </w:r>
      <w:r>
        <w:rPr>
          <w:sz w:val="22"/>
          <w:szCs w:val="22"/>
        </w:rPr>
        <w:t xml:space="preserve">re alla formula </w:t>
      </w:r>
      <w:r w:rsidR="00F829D5">
        <w:rPr>
          <w:sz w:val="22"/>
          <w:szCs w:val="22"/>
        </w:rPr>
        <w:t>un andamento circolare</w:t>
      </w:r>
      <w:r>
        <w:rPr>
          <w:sz w:val="22"/>
          <w:szCs w:val="22"/>
        </w:rPr>
        <w:t xml:space="preserve">, </w:t>
      </w:r>
      <w:r w:rsidR="00F829D5">
        <w:rPr>
          <w:sz w:val="22"/>
          <w:szCs w:val="22"/>
        </w:rPr>
        <w:t xml:space="preserve"> vagamente tautologico. </w:t>
      </w:r>
      <w:r>
        <w:t>Se infatti</w:t>
      </w:r>
      <w:r>
        <w:rPr>
          <w:bCs/>
          <w:sz w:val="22"/>
          <w:szCs w:val="22"/>
        </w:rPr>
        <w:t xml:space="preserve"> </w:t>
      </w:r>
      <w:r>
        <w:t xml:space="preserve">“concorrere alle spese pubbliche” equivale a “contribuirvi”, il dovere di contribuire, commisurato alla propria capacità di contribuire, trasmette una forte sensazione di circolarità. </w:t>
      </w:r>
      <w:r w:rsidR="00237C91">
        <w:rPr>
          <w:sz w:val="22"/>
          <w:szCs w:val="22"/>
        </w:rPr>
        <w:t xml:space="preserve">Questa vaghezza della formula </w:t>
      </w:r>
      <w:r w:rsidR="00237C91">
        <w:t xml:space="preserve">ha spinto a utilizzarla per sostenere le tesi anche politiche più diverse </w:t>
      </w:r>
      <w:r w:rsidR="00237C91">
        <w:rPr>
          <w:rStyle w:val="Rimandonotaapidipagina"/>
        </w:rPr>
        <w:footnoteReference w:id="127"/>
      </w:r>
      <w:r w:rsidR="00237C91">
        <w:t xml:space="preserve">. </w:t>
      </w:r>
    </w:p>
    <w:p w14:paraId="3C7BAECC" w14:textId="77777777" w:rsidR="00F829D5" w:rsidRPr="00F829D5" w:rsidRDefault="00F829D5" w:rsidP="00F829D5">
      <w:pPr>
        <w:pStyle w:val="tit23"/>
        <w:ind w:left="6464" w:right="-1361" w:firstLine="0"/>
        <w:jc w:val="left"/>
        <w:rPr>
          <w:bCs/>
          <w:i/>
          <w:iCs/>
          <w:color w:val="0000FF"/>
          <w:lang w:val="it-IT"/>
        </w:rPr>
      </w:pPr>
      <w:r w:rsidRPr="00F829D5">
        <w:rPr>
          <w:bCs/>
          <w:i/>
          <w:iCs/>
          <w:color w:val="0000FF"/>
          <w:lang w:val="it-IT"/>
        </w:rPr>
        <w:lastRenderedPageBreak/>
        <w:t xml:space="preserve">Ricerca di significati arcani e </w:t>
      </w:r>
    </w:p>
    <w:p w14:paraId="6FED9BE0" w14:textId="77777777" w:rsidR="00F829D5" w:rsidRPr="00F829D5" w:rsidRDefault="00F829D5" w:rsidP="00F829D5">
      <w:pPr>
        <w:pStyle w:val="tit23"/>
        <w:ind w:left="6464" w:right="-1361" w:firstLine="0"/>
        <w:jc w:val="left"/>
        <w:rPr>
          <w:bCs/>
          <w:i/>
          <w:iCs/>
          <w:color w:val="0000FF"/>
          <w:lang w:val="it-IT"/>
        </w:rPr>
      </w:pPr>
      <w:r w:rsidRPr="00F829D5">
        <w:rPr>
          <w:bCs/>
          <w:i/>
          <w:iCs/>
          <w:color w:val="0000FF"/>
          <w:lang w:val="it-IT"/>
        </w:rPr>
        <w:t xml:space="preserve">utilizzazioni opposte  </w:t>
      </w:r>
    </w:p>
    <w:p w14:paraId="0981E36E" w14:textId="127EDED3" w:rsidR="00F829D5" w:rsidRPr="00F829D5" w:rsidRDefault="0007343D" w:rsidP="00F829D5">
      <w:pPr>
        <w:autoSpaceDE w:val="0"/>
        <w:autoSpaceDN w:val="0"/>
        <w:adjustRightInd w:val="0"/>
        <w:rPr>
          <w:sz w:val="22"/>
          <w:szCs w:val="22"/>
        </w:rPr>
      </w:pPr>
      <w:r>
        <w:t xml:space="preserve">Alcune </w:t>
      </w:r>
      <w:r>
        <w:rPr>
          <w:sz w:val="22"/>
          <w:szCs w:val="22"/>
        </w:rPr>
        <w:t xml:space="preserve">tendenze “antifisco” </w:t>
      </w:r>
      <w:r w:rsidRPr="007F7EBF">
        <w:rPr>
          <w:sz w:val="22"/>
          <w:szCs w:val="22"/>
        </w:rPr>
        <w:t>si richiamano</w:t>
      </w:r>
      <w:r>
        <w:rPr>
          <w:sz w:val="22"/>
          <w:szCs w:val="22"/>
        </w:rPr>
        <w:t xml:space="preserve"> all’art.53</w:t>
      </w:r>
      <w:r w:rsidRPr="007F7EBF">
        <w:rPr>
          <w:sz w:val="22"/>
          <w:szCs w:val="22"/>
        </w:rPr>
        <w:t xml:space="preserve"> in nome di una generica "tutela dei contribuenti"</w:t>
      </w:r>
      <w:r>
        <w:rPr>
          <w:sz w:val="22"/>
          <w:szCs w:val="22"/>
        </w:rPr>
        <w:t xml:space="preserve"> da un carico fiscale eccessivo, mentre tendenze opposte usano questa norma come supporto all’intervento pubblico nell’economia; entrambe le prospettive </w:t>
      </w:r>
      <w:r w:rsidRPr="007F7EBF">
        <w:rPr>
          <w:bCs/>
          <w:sz w:val="22"/>
          <w:szCs w:val="22"/>
        </w:rPr>
        <w:t>trascurano</w:t>
      </w:r>
      <w:r>
        <w:rPr>
          <w:bCs/>
          <w:sz w:val="22"/>
          <w:szCs w:val="22"/>
        </w:rPr>
        <w:t xml:space="preserve"> che</w:t>
      </w:r>
      <w:r w:rsidRPr="007F7EBF">
        <w:rPr>
          <w:bCs/>
          <w:sz w:val="22"/>
          <w:szCs w:val="22"/>
        </w:rPr>
        <w:t xml:space="preserve"> l’art.53 non </w:t>
      </w:r>
      <w:r w:rsidRPr="007F7EBF">
        <w:rPr>
          <w:sz w:val="22"/>
          <w:szCs w:val="22"/>
        </w:rPr>
        <w:t>prende posizione su</w:t>
      </w:r>
      <w:r>
        <w:rPr>
          <w:sz w:val="22"/>
          <w:szCs w:val="22"/>
        </w:rPr>
        <w:t>l rapporto stato-mercato”, cioè su</w:t>
      </w:r>
      <w:r w:rsidRPr="007F7EBF">
        <w:rPr>
          <w:sz w:val="22"/>
          <w:szCs w:val="22"/>
        </w:rPr>
        <w:t xml:space="preserve"> quali spese debbano essere “pubbliche”</w:t>
      </w:r>
      <w:r>
        <w:rPr>
          <w:sz w:val="22"/>
          <w:szCs w:val="22"/>
        </w:rPr>
        <w:t xml:space="preserve"> </w:t>
      </w:r>
      <w:r>
        <w:rPr>
          <w:rStyle w:val="Rimandonotaapidipagina"/>
          <w:sz w:val="22"/>
          <w:szCs w:val="22"/>
        </w:rPr>
        <w:footnoteReference w:id="128"/>
      </w:r>
      <w:r>
        <w:rPr>
          <w:bCs/>
          <w:i/>
          <w:iCs/>
          <w:color w:val="0000FF"/>
          <w:sz w:val="22"/>
          <w:szCs w:val="22"/>
        </w:rPr>
        <w:t xml:space="preserve">. </w:t>
      </w:r>
    </w:p>
    <w:p w14:paraId="572554C2" w14:textId="77777777" w:rsidR="00DC4723" w:rsidRDefault="00F829D5" w:rsidP="00F829D5">
      <w:pPr>
        <w:autoSpaceDE w:val="0"/>
        <w:autoSpaceDN w:val="0"/>
        <w:adjustRightInd w:val="0"/>
        <w:rPr>
          <w:sz w:val="22"/>
          <w:szCs w:val="22"/>
        </w:rPr>
      </w:pPr>
      <w:r w:rsidRPr="00F829D5">
        <w:rPr>
          <w:sz w:val="22"/>
          <w:szCs w:val="22"/>
        </w:rPr>
        <w:t xml:space="preserve">Le tendenze "pro fisco" </w:t>
      </w:r>
      <w:r w:rsidR="0007343D">
        <w:rPr>
          <w:sz w:val="22"/>
          <w:szCs w:val="22"/>
        </w:rPr>
        <w:t>richiamano l</w:t>
      </w:r>
      <w:r w:rsidRPr="00F829D5">
        <w:rPr>
          <w:sz w:val="22"/>
          <w:szCs w:val="22"/>
        </w:rPr>
        <w:t>a costituzione per fondare</w:t>
      </w:r>
      <w:r>
        <w:rPr>
          <w:sz w:val="22"/>
          <w:szCs w:val="22"/>
        </w:rPr>
        <w:t xml:space="preserve"> </w:t>
      </w:r>
      <w:r w:rsidRPr="007F7EBF">
        <w:rPr>
          <w:sz w:val="22"/>
          <w:szCs w:val="22"/>
        </w:rPr>
        <w:t>ipotetici "doveri contributivi"</w:t>
      </w:r>
      <w:r w:rsidR="0007343D">
        <w:rPr>
          <w:sz w:val="22"/>
          <w:szCs w:val="22"/>
        </w:rPr>
        <w:t xml:space="preserve"> privi di supporto legislativo, come se ogni manifestazione economicamente rilevante, a</w:t>
      </w:r>
      <w:r w:rsidR="0007343D" w:rsidRPr="007F7EBF">
        <w:rPr>
          <w:sz w:val="22"/>
          <w:szCs w:val="22"/>
        </w:rPr>
        <w:t>d esempio possedere diamanti</w:t>
      </w:r>
      <w:r w:rsidR="0007343D">
        <w:rPr>
          <w:sz w:val="22"/>
          <w:szCs w:val="22"/>
        </w:rPr>
        <w:t xml:space="preserve"> o quadri d’autore</w:t>
      </w:r>
      <w:r w:rsidR="0007343D" w:rsidRPr="007F7EBF">
        <w:rPr>
          <w:sz w:val="22"/>
          <w:szCs w:val="22"/>
        </w:rPr>
        <w:t xml:space="preserve">, </w:t>
      </w:r>
      <w:r w:rsidR="0007343D">
        <w:rPr>
          <w:sz w:val="22"/>
          <w:szCs w:val="22"/>
        </w:rPr>
        <w:t xml:space="preserve">comportasse obblighi di contribuzione, che invece sorgono solo quando </w:t>
      </w:r>
      <w:r w:rsidR="0007343D" w:rsidRPr="007F7EBF">
        <w:rPr>
          <w:sz w:val="22"/>
          <w:szCs w:val="22"/>
        </w:rPr>
        <w:t>il legislatore li prevede</w:t>
      </w:r>
      <w:r w:rsidR="0007343D">
        <w:rPr>
          <w:rStyle w:val="Rimandonotaapidipagina"/>
          <w:sz w:val="22"/>
          <w:szCs w:val="22"/>
        </w:rPr>
        <w:footnoteReference w:id="129"/>
      </w:r>
      <w:r w:rsidR="0007343D">
        <w:rPr>
          <w:sz w:val="22"/>
          <w:szCs w:val="22"/>
        </w:rPr>
        <w:t>.</w:t>
      </w:r>
      <w:r w:rsidR="00850E02">
        <w:t xml:space="preserve"> </w:t>
      </w:r>
      <w:r w:rsidR="0007343D" w:rsidRPr="007F7EBF">
        <w:t xml:space="preserve"> </w:t>
      </w:r>
      <w:r w:rsidR="00850E02">
        <w:rPr>
          <w:sz w:val="22"/>
          <w:szCs w:val="22"/>
        </w:rPr>
        <w:t>In altri termini l</w:t>
      </w:r>
      <w:r w:rsidR="00850E02" w:rsidRPr="007F7EBF">
        <w:rPr>
          <w:sz w:val="22"/>
          <w:szCs w:val="22"/>
        </w:rPr>
        <w:t>'art.53</w:t>
      </w:r>
      <w:r w:rsidR="00850E02">
        <w:rPr>
          <w:sz w:val="22"/>
          <w:szCs w:val="22"/>
        </w:rPr>
        <w:t xml:space="preserve"> non </w:t>
      </w:r>
      <w:r w:rsidR="00850E02" w:rsidRPr="007F7EBF">
        <w:rPr>
          <w:sz w:val="22"/>
          <w:szCs w:val="22"/>
        </w:rPr>
        <w:t xml:space="preserve">è </w:t>
      </w:r>
      <w:r w:rsidR="00850E02">
        <w:rPr>
          <w:sz w:val="22"/>
          <w:szCs w:val="22"/>
        </w:rPr>
        <w:t xml:space="preserve">per il  contribuente </w:t>
      </w:r>
      <w:r w:rsidR="00850E02" w:rsidRPr="007F7EBF">
        <w:rPr>
          <w:sz w:val="22"/>
          <w:szCs w:val="22"/>
        </w:rPr>
        <w:t>una fonte immediata di obblighi</w:t>
      </w:r>
      <w:r w:rsidR="00850E02">
        <w:rPr>
          <w:sz w:val="22"/>
          <w:szCs w:val="22"/>
        </w:rPr>
        <w:t>, che richiedono atti legislativi (par.2.3)</w:t>
      </w:r>
      <w:r w:rsidR="00DC4723">
        <w:rPr>
          <w:sz w:val="22"/>
          <w:szCs w:val="22"/>
        </w:rPr>
        <w:t xml:space="preserve">. </w:t>
      </w:r>
    </w:p>
    <w:p w14:paraId="716DF4C0" w14:textId="77777777" w:rsidR="00F02FE1" w:rsidRDefault="00DC4723" w:rsidP="00F02FE1">
      <w:pPr>
        <w:autoSpaceDE w:val="0"/>
        <w:autoSpaceDN w:val="0"/>
        <w:adjustRightInd w:val="0"/>
        <w:rPr>
          <w:sz w:val="22"/>
          <w:szCs w:val="22"/>
        </w:rPr>
      </w:pPr>
      <w:r>
        <w:rPr>
          <w:sz w:val="22"/>
          <w:szCs w:val="22"/>
        </w:rPr>
        <w:t xml:space="preserve">C’è poco da stupirsi che l’art.53 sia usato come </w:t>
      </w:r>
      <w:r w:rsidR="00850E02">
        <w:rPr>
          <w:sz w:val="22"/>
          <w:szCs w:val="22"/>
        </w:rPr>
        <w:t xml:space="preserve">espediente argomentativo per </w:t>
      </w:r>
      <w:r>
        <w:t xml:space="preserve">giustizialismi giurisprudenziali sostanzialistici a favore del </w:t>
      </w:r>
      <w:r w:rsidR="00850E02">
        <w:t>fisco</w:t>
      </w:r>
      <w:r>
        <w:t xml:space="preserve"> </w:t>
      </w:r>
      <w:r>
        <w:rPr>
          <w:rStyle w:val="Rimandonotaapidipagina"/>
        </w:rPr>
        <w:footnoteReference w:id="130"/>
      </w:r>
      <w:r>
        <w:t xml:space="preserve"> , cui invece è concesso, come indicato al par.5.18, di utilizzare anche qualsiasi formalismo </w:t>
      </w:r>
      <w:r w:rsidR="004206E3">
        <w:t>sia</w:t>
      </w:r>
      <w:r>
        <w:t xml:space="preserve"> comodo per fondare le proprie contestazioni</w:t>
      </w:r>
      <w:r w:rsidR="004206E3">
        <w:t xml:space="preserve"> (è un </w:t>
      </w:r>
      <w:r>
        <w:t xml:space="preserve">altro riflesso dell’impostazione privatistico-giurisdizionale su cui par.4.3). </w:t>
      </w:r>
    </w:p>
    <w:p w14:paraId="225365FC" w14:textId="1E71268D" w:rsidR="00F02FE1" w:rsidRPr="007F7EBF" w:rsidRDefault="00F02FE1" w:rsidP="00F02FE1">
      <w:pPr>
        <w:pStyle w:val="tit23"/>
        <w:ind w:left="6464" w:right="-1361" w:firstLine="0"/>
        <w:jc w:val="left"/>
        <w:rPr>
          <w:bCs/>
          <w:i/>
          <w:iCs/>
          <w:color w:val="0000FF"/>
          <w:lang w:val="it-IT"/>
        </w:rPr>
      </w:pPr>
      <w:r>
        <w:rPr>
          <w:bCs/>
          <w:i/>
          <w:iCs/>
          <w:color w:val="0000FF"/>
          <w:lang w:val="it-IT"/>
        </w:rPr>
        <w:t xml:space="preserve">Riferimento alle imposte </w:t>
      </w:r>
    </w:p>
    <w:p w14:paraId="56FE9A99" w14:textId="3CC6CFD7" w:rsidR="00F829D5" w:rsidRDefault="00F02FE1" w:rsidP="00F829D5">
      <w:pPr>
        <w:autoSpaceDE w:val="0"/>
        <w:autoSpaceDN w:val="0"/>
        <w:adjustRightInd w:val="0"/>
        <w:rPr>
          <w:sz w:val="22"/>
          <w:szCs w:val="22"/>
        </w:rPr>
      </w:pPr>
      <w:r>
        <w:rPr>
          <w:sz w:val="22"/>
          <w:szCs w:val="22"/>
        </w:rPr>
        <w:t>Sotto la superficie, al riferimento della capacità contributiva al criterio del “sacrificio” (par.1.2) è univocamente raggiungibile. Per questo la corte costituzionale ha in prima battuta escluso tale principio per tariffe e tasse in senso stretto, almeno nella misura in cui si giustificano col principio del beneficio (par.1.2 e 5.1). Al limite qui la situazione economica rileva all’inverso</w:t>
      </w:r>
      <w:r w:rsidRPr="007F7EBF">
        <w:rPr>
          <w:sz w:val="22"/>
          <w:szCs w:val="22"/>
        </w:rPr>
        <w:t xml:space="preserve">, </w:t>
      </w:r>
      <w:r>
        <w:rPr>
          <w:sz w:val="22"/>
          <w:szCs w:val="22"/>
        </w:rPr>
        <w:t xml:space="preserve">come necessità di </w:t>
      </w:r>
      <w:r w:rsidRPr="007F7EBF">
        <w:rPr>
          <w:sz w:val="22"/>
          <w:szCs w:val="22"/>
        </w:rPr>
        <w:t>esen</w:t>
      </w:r>
      <w:r>
        <w:rPr>
          <w:sz w:val="22"/>
          <w:szCs w:val="22"/>
        </w:rPr>
        <w:t xml:space="preserve">tare i bisognosi da </w:t>
      </w:r>
      <w:r>
        <w:rPr>
          <w:sz w:val="22"/>
          <w:szCs w:val="22"/>
        </w:rPr>
        <w:lastRenderedPageBreak/>
        <w:t xml:space="preserve">tariffe e tasse collegate a </w:t>
      </w:r>
      <w:r w:rsidRPr="007F7EBF">
        <w:rPr>
          <w:sz w:val="22"/>
          <w:szCs w:val="22"/>
        </w:rPr>
        <w:t>funzioni pubbliche “di base”</w:t>
      </w:r>
      <w:r>
        <w:rPr>
          <w:sz w:val="22"/>
          <w:szCs w:val="22"/>
        </w:rPr>
        <w:t xml:space="preserve">; si tratta di quello che avviene in </w:t>
      </w:r>
      <w:r>
        <w:rPr>
          <w:bCs/>
          <w:sz w:val="22"/>
          <w:szCs w:val="22"/>
        </w:rPr>
        <w:t>base al c.d. “ISEE”.</w:t>
      </w:r>
    </w:p>
    <w:p w14:paraId="21A723A8" w14:textId="6FE93222" w:rsidR="0007343D" w:rsidRDefault="00701F37" w:rsidP="00701F37">
      <w:pPr>
        <w:pStyle w:val="tit23"/>
        <w:ind w:left="6464" w:right="-1361" w:firstLine="0"/>
        <w:jc w:val="left"/>
      </w:pPr>
      <w:r>
        <w:rPr>
          <w:bCs/>
          <w:i/>
          <w:iCs/>
          <w:color w:val="0000FF"/>
          <w:lang w:val="it-IT"/>
        </w:rPr>
        <w:t>Neutralità dell’art.53 quanto a determinazione dei presupposti economici</w:t>
      </w:r>
      <w:r w:rsidR="001843BE">
        <w:t xml:space="preserve">. </w:t>
      </w:r>
    </w:p>
    <w:p w14:paraId="23869C41" w14:textId="47180BD3" w:rsidR="00891387" w:rsidRPr="007F7EBF" w:rsidRDefault="00701F37" w:rsidP="000D408B">
      <w:pPr>
        <w:autoSpaceDE w:val="0"/>
        <w:autoSpaceDN w:val="0"/>
        <w:adjustRightInd w:val="0"/>
        <w:rPr>
          <w:bCs/>
          <w:i/>
          <w:iCs/>
          <w:color w:val="0000FF"/>
        </w:rPr>
      </w:pPr>
      <w:r>
        <w:rPr>
          <w:sz w:val="22"/>
          <w:szCs w:val="22"/>
        </w:rPr>
        <w:t>L’art.53 non esprime preferenze per l’utilizzazione di qualcuno tra i presupposti  economici d’imposta</w:t>
      </w:r>
      <w:r w:rsidR="00F02FE1">
        <w:rPr>
          <w:sz w:val="22"/>
          <w:szCs w:val="22"/>
        </w:rPr>
        <w:t xml:space="preserve">, come </w:t>
      </w:r>
      <w:r>
        <w:rPr>
          <w:sz w:val="22"/>
          <w:szCs w:val="22"/>
        </w:rPr>
        <w:t>redditi, consumi</w:t>
      </w:r>
      <w:r w:rsidR="00F02FE1">
        <w:rPr>
          <w:sz w:val="22"/>
          <w:szCs w:val="22"/>
        </w:rPr>
        <w:t xml:space="preserve"> o</w:t>
      </w:r>
      <w:r>
        <w:rPr>
          <w:sz w:val="22"/>
          <w:szCs w:val="22"/>
        </w:rPr>
        <w:t xml:space="preserve"> patrimonio</w:t>
      </w:r>
      <w:r w:rsidR="00F02FE1">
        <w:rPr>
          <w:sz w:val="22"/>
          <w:szCs w:val="22"/>
        </w:rPr>
        <w:t>. Anche sul piano della</w:t>
      </w:r>
      <w:r w:rsidR="00F829D5">
        <w:rPr>
          <w:sz w:val="22"/>
          <w:szCs w:val="22"/>
        </w:rPr>
        <w:t xml:space="preserve"> determinazione d</w:t>
      </w:r>
      <w:r w:rsidR="00F02FE1">
        <w:rPr>
          <w:sz w:val="22"/>
          <w:szCs w:val="22"/>
        </w:rPr>
        <w:t>i tal</w:t>
      </w:r>
      <w:r w:rsidR="00F829D5">
        <w:rPr>
          <w:sz w:val="22"/>
          <w:szCs w:val="22"/>
        </w:rPr>
        <w:t xml:space="preserve">i presupposti </w:t>
      </w:r>
      <w:r w:rsidR="00F02FE1">
        <w:rPr>
          <w:sz w:val="22"/>
          <w:szCs w:val="22"/>
        </w:rPr>
        <w:t xml:space="preserve">la disposizione non dà giustamente indicazioni e casomai </w:t>
      </w:r>
      <w:r>
        <w:rPr>
          <w:sz w:val="22"/>
          <w:szCs w:val="22"/>
        </w:rPr>
        <w:t>altri criteri, come quello vaghissimo di equità</w:t>
      </w:r>
      <w:r w:rsidR="00F02FE1">
        <w:rPr>
          <w:sz w:val="22"/>
          <w:szCs w:val="22"/>
        </w:rPr>
        <w:t xml:space="preserve"> e proporzionalità,</w:t>
      </w:r>
      <w:r>
        <w:rPr>
          <w:sz w:val="22"/>
          <w:szCs w:val="22"/>
        </w:rPr>
        <w:t xml:space="preserve"> </w:t>
      </w:r>
      <w:r w:rsidR="00F02FE1">
        <w:rPr>
          <w:sz w:val="22"/>
          <w:szCs w:val="22"/>
        </w:rPr>
        <w:t xml:space="preserve">saranno utilizzabili contro </w:t>
      </w:r>
      <w:r>
        <w:rPr>
          <w:sz w:val="22"/>
          <w:szCs w:val="22"/>
        </w:rPr>
        <w:t xml:space="preserve">irrazionali discriminazioni </w:t>
      </w:r>
      <w:r w:rsidR="00F02FE1">
        <w:rPr>
          <w:sz w:val="22"/>
          <w:szCs w:val="22"/>
        </w:rPr>
        <w:t xml:space="preserve">createsi sotto questo profilo. Davanti alla diversa determinabilità dei presupposti economici d’imposta, </w:t>
      </w:r>
      <w:r w:rsidR="00F829D5">
        <w:t>r</w:t>
      </w:r>
      <w:r w:rsidR="00F829D5">
        <w:rPr>
          <w:sz w:val="22"/>
          <w:szCs w:val="22"/>
        </w:rPr>
        <w:t xml:space="preserve">ichiamarsi enfaticamente </w:t>
      </w:r>
      <w:r w:rsidR="00F02FE1">
        <w:rPr>
          <w:sz w:val="22"/>
          <w:szCs w:val="22"/>
        </w:rPr>
        <w:t xml:space="preserve">alla capacità contributiva </w:t>
      </w:r>
      <w:r w:rsidR="00F829D5">
        <w:rPr>
          <w:sz w:val="22"/>
          <w:szCs w:val="22"/>
        </w:rPr>
        <w:t xml:space="preserve">per pretendere che </w:t>
      </w:r>
      <w:r w:rsidR="00F02FE1">
        <w:rPr>
          <w:sz w:val="22"/>
          <w:szCs w:val="22"/>
        </w:rPr>
        <w:t>essi s</w:t>
      </w:r>
      <w:r w:rsidR="00F829D5">
        <w:rPr>
          <w:sz w:val="22"/>
          <w:szCs w:val="22"/>
        </w:rPr>
        <w:t>iano</w:t>
      </w:r>
      <w:r w:rsidR="00F02FE1">
        <w:rPr>
          <w:sz w:val="22"/>
          <w:szCs w:val="22"/>
        </w:rPr>
        <w:t xml:space="preserve"> tutti</w:t>
      </w:r>
      <w:r w:rsidR="00F829D5">
        <w:rPr>
          <w:sz w:val="22"/>
          <w:szCs w:val="22"/>
        </w:rPr>
        <w:t xml:space="preserve"> </w:t>
      </w:r>
      <w:r w:rsidR="00F829D5" w:rsidRPr="007F7EBF">
        <w:rPr>
          <w:sz w:val="22"/>
          <w:szCs w:val="22"/>
        </w:rPr>
        <w:t>determinat</w:t>
      </w:r>
      <w:r w:rsidR="00F829D5">
        <w:rPr>
          <w:sz w:val="22"/>
          <w:szCs w:val="22"/>
        </w:rPr>
        <w:t xml:space="preserve">i </w:t>
      </w:r>
      <w:r w:rsidR="00F829D5" w:rsidRPr="007F7EBF">
        <w:rPr>
          <w:sz w:val="22"/>
          <w:szCs w:val="22"/>
        </w:rPr>
        <w:t>con gli stessi criteri</w:t>
      </w:r>
      <w:r w:rsidR="00F829D5">
        <w:rPr>
          <w:sz w:val="22"/>
          <w:szCs w:val="22"/>
        </w:rPr>
        <w:t xml:space="preserve"> (par.1.10)</w:t>
      </w:r>
      <w:r w:rsidR="00F829D5" w:rsidRPr="007F7EBF">
        <w:rPr>
          <w:sz w:val="22"/>
          <w:szCs w:val="22"/>
        </w:rPr>
        <w:t>,</w:t>
      </w:r>
      <w:r w:rsidR="00F829D5">
        <w:rPr>
          <w:sz w:val="22"/>
          <w:szCs w:val="22"/>
        </w:rPr>
        <w:t xml:space="preserve"> </w:t>
      </w:r>
      <w:r w:rsidR="00F829D5" w:rsidRPr="007F7EBF">
        <w:rPr>
          <w:sz w:val="22"/>
          <w:szCs w:val="22"/>
        </w:rPr>
        <w:t xml:space="preserve">ostacola </w:t>
      </w:r>
      <w:r w:rsidR="00F829D5">
        <w:rPr>
          <w:sz w:val="22"/>
          <w:szCs w:val="22"/>
        </w:rPr>
        <w:t>persino</w:t>
      </w:r>
      <w:r w:rsidR="00F829D5" w:rsidRPr="007F7EBF">
        <w:rPr>
          <w:sz w:val="22"/>
          <w:szCs w:val="22"/>
        </w:rPr>
        <w:t xml:space="preserve"> la perequazione </w:t>
      </w:r>
      <w:r w:rsidR="00F829D5">
        <w:rPr>
          <w:sz w:val="22"/>
          <w:szCs w:val="22"/>
        </w:rPr>
        <w:t>tributaria pragmaticamente raggiungibile</w:t>
      </w:r>
      <w:r w:rsidR="00F829D5" w:rsidRPr="007F7EBF">
        <w:rPr>
          <w:sz w:val="22"/>
          <w:szCs w:val="22"/>
        </w:rPr>
        <w:t>.</w:t>
      </w:r>
      <w:r w:rsidR="00F829D5">
        <w:rPr>
          <w:sz w:val="22"/>
          <w:szCs w:val="22"/>
        </w:rPr>
        <w:t xml:space="preserve"> </w:t>
      </w:r>
    </w:p>
    <w:p w14:paraId="212DF981" w14:textId="0C8C1D69" w:rsidR="00BC5F8C" w:rsidRPr="007F7EBF" w:rsidRDefault="00C01A58" w:rsidP="00F829D5">
      <w:pPr>
        <w:autoSpaceDE w:val="0"/>
        <w:autoSpaceDN w:val="0"/>
        <w:adjustRightInd w:val="0"/>
        <w:rPr>
          <w:sz w:val="22"/>
          <w:szCs w:val="22"/>
        </w:rPr>
      </w:pPr>
      <w:r>
        <w:rPr>
          <w:sz w:val="22"/>
          <w:szCs w:val="22"/>
        </w:rPr>
        <w:t>.</w:t>
      </w:r>
      <w:r w:rsidR="004203A0">
        <w:rPr>
          <w:sz w:val="22"/>
          <w:szCs w:val="22"/>
        </w:rPr>
        <w:t xml:space="preserve"> </w:t>
      </w:r>
    </w:p>
    <w:p w14:paraId="7BC9844E" w14:textId="7E764AA9" w:rsidR="00B33A7F" w:rsidRPr="007F7EBF" w:rsidRDefault="0089500A" w:rsidP="00B33A7F">
      <w:pPr>
        <w:pStyle w:val="Titolo3"/>
        <w:rPr>
          <w:rFonts w:ascii="Times New Roman" w:hAnsi="Times New Roman"/>
          <w:sz w:val="22"/>
          <w:szCs w:val="22"/>
        </w:rPr>
      </w:pPr>
      <w:bookmarkStart w:id="21" w:name="_Toc63364942"/>
      <w:r w:rsidRPr="007F7EBF">
        <w:rPr>
          <w:rFonts w:ascii="Times New Roman" w:hAnsi="Times New Roman"/>
          <w:sz w:val="22"/>
          <w:szCs w:val="22"/>
        </w:rPr>
        <w:t>2.3.</w:t>
      </w:r>
      <w:r w:rsidRPr="007F7EBF">
        <w:rPr>
          <w:rFonts w:ascii="Times New Roman" w:hAnsi="Times New Roman"/>
          <w:sz w:val="22"/>
          <w:szCs w:val="22"/>
          <w:lang w:val="it-IT"/>
        </w:rPr>
        <w:t xml:space="preserve"> </w:t>
      </w:r>
      <w:r w:rsidR="009B166A" w:rsidRPr="007F7EBF">
        <w:rPr>
          <w:rFonts w:ascii="Times New Roman" w:hAnsi="Times New Roman"/>
          <w:sz w:val="22"/>
          <w:szCs w:val="22"/>
          <w:lang w:val="it-IT"/>
        </w:rPr>
        <w:t xml:space="preserve">Riserva di legge, </w:t>
      </w:r>
      <w:r w:rsidR="00CB60DA">
        <w:rPr>
          <w:rFonts w:ascii="Times New Roman" w:hAnsi="Times New Roman"/>
          <w:sz w:val="22"/>
          <w:szCs w:val="22"/>
          <w:lang w:val="it-IT"/>
        </w:rPr>
        <w:t xml:space="preserve">regolamenti, </w:t>
      </w:r>
      <w:r w:rsidR="009B166A" w:rsidRPr="007F7EBF">
        <w:rPr>
          <w:rFonts w:ascii="Times New Roman" w:hAnsi="Times New Roman"/>
          <w:sz w:val="22"/>
          <w:szCs w:val="22"/>
          <w:lang w:val="it-IT"/>
        </w:rPr>
        <w:t>statuto del contribuente e codificazione</w:t>
      </w:r>
      <w:r w:rsidR="00CB5F21" w:rsidRPr="007F7EBF">
        <w:rPr>
          <w:rFonts w:ascii="Times New Roman" w:hAnsi="Times New Roman"/>
          <w:sz w:val="22"/>
          <w:szCs w:val="22"/>
        </w:rPr>
        <w:t>.</w:t>
      </w:r>
      <w:bookmarkEnd w:id="21"/>
      <w:r w:rsidR="00CB5F21" w:rsidRPr="007F7EBF">
        <w:rPr>
          <w:rFonts w:ascii="Times New Roman" w:hAnsi="Times New Roman"/>
          <w:sz w:val="22"/>
          <w:szCs w:val="22"/>
        </w:rPr>
        <w:t xml:space="preserve">  </w:t>
      </w:r>
    </w:p>
    <w:p w14:paraId="7CE5983F" w14:textId="04607861" w:rsidR="00B33A7F" w:rsidRPr="007F7EBF" w:rsidRDefault="00607C53" w:rsidP="00B33A7F">
      <w:pPr>
        <w:pStyle w:val="tit23"/>
        <w:ind w:left="6464" w:right="-1361" w:firstLine="0"/>
        <w:jc w:val="left"/>
        <w:rPr>
          <w:b/>
          <w:bCs/>
          <w:i/>
          <w:iCs/>
          <w:color w:val="0000FF"/>
          <w:lang w:val="it-IT"/>
        </w:rPr>
      </w:pPr>
      <w:r w:rsidRPr="007F7EBF">
        <w:rPr>
          <w:b/>
          <w:bCs/>
          <w:i/>
          <w:iCs/>
          <w:color w:val="0000FF"/>
          <w:lang w:val="it-IT"/>
        </w:rPr>
        <w:t>Ruol</w:t>
      </w:r>
      <w:r w:rsidR="005E0FB6">
        <w:rPr>
          <w:b/>
          <w:bCs/>
          <w:i/>
          <w:iCs/>
          <w:color w:val="0000FF"/>
          <w:lang w:val="it-IT"/>
        </w:rPr>
        <w:t>o organizzativo della legislazione e concetto di riserva di legge</w:t>
      </w:r>
    </w:p>
    <w:p w14:paraId="70D2122C" w14:textId="77777777" w:rsidR="00EE1416" w:rsidRDefault="00AD353F" w:rsidP="008B485B">
      <w:pPr>
        <w:autoSpaceDE w:val="0"/>
        <w:autoSpaceDN w:val="0"/>
        <w:adjustRightInd w:val="0"/>
        <w:rPr>
          <w:sz w:val="22"/>
          <w:szCs w:val="22"/>
        </w:rPr>
      </w:pPr>
      <w:r>
        <w:rPr>
          <w:sz w:val="22"/>
          <w:szCs w:val="22"/>
        </w:rPr>
        <w:t>I</w:t>
      </w:r>
      <w:r w:rsidR="00275BA1">
        <w:rPr>
          <w:sz w:val="22"/>
          <w:szCs w:val="22"/>
        </w:rPr>
        <w:t>l ruolo organizzativo della legislazione</w:t>
      </w:r>
      <w:r w:rsidR="003A0E6A">
        <w:rPr>
          <w:sz w:val="22"/>
          <w:szCs w:val="22"/>
        </w:rPr>
        <w:t xml:space="preserve"> di cui al par.2.1 </w:t>
      </w:r>
      <w:r w:rsidR="00275BA1">
        <w:rPr>
          <w:sz w:val="22"/>
          <w:szCs w:val="22"/>
        </w:rPr>
        <w:t>fa capo</w:t>
      </w:r>
      <w:r>
        <w:rPr>
          <w:sz w:val="22"/>
          <w:szCs w:val="22"/>
        </w:rPr>
        <w:t>,</w:t>
      </w:r>
      <w:r w:rsidR="00275BA1">
        <w:rPr>
          <w:sz w:val="22"/>
          <w:szCs w:val="22"/>
        </w:rPr>
        <w:t xml:space="preserve"> </w:t>
      </w:r>
      <w:r>
        <w:rPr>
          <w:sz w:val="22"/>
          <w:szCs w:val="22"/>
        </w:rPr>
        <w:t xml:space="preserve">anche in materia tributaria, alla riserva di legge di cui </w:t>
      </w:r>
      <w:r w:rsidR="00275BA1">
        <w:rPr>
          <w:sz w:val="22"/>
          <w:szCs w:val="22"/>
        </w:rPr>
        <w:t>all</w:t>
      </w:r>
      <w:r w:rsidR="009F5DB5" w:rsidRPr="007F7EBF">
        <w:rPr>
          <w:sz w:val="22"/>
          <w:szCs w:val="22"/>
        </w:rPr>
        <w:t>’articolo 97 della costituzione</w:t>
      </w:r>
      <w:r w:rsidR="007C0902">
        <w:rPr>
          <w:sz w:val="22"/>
          <w:szCs w:val="22"/>
        </w:rPr>
        <w:t xml:space="preserve">. </w:t>
      </w:r>
      <w:r w:rsidR="003A0E6A">
        <w:rPr>
          <w:sz w:val="22"/>
          <w:szCs w:val="22"/>
        </w:rPr>
        <w:t>Anche la filiera degli uffici tributari, con le rispettive competenze, è soggetta a tale riserva relativa di legge</w:t>
      </w:r>
      <w:r>
        <w:rPr>
          <w:sz w:val="22"/>
          <w:szCs w:val="22"/>
        </w:rPr>
        <w:t>. Gli aspetti essenziali dei soggetti incaricati della funzione tributaria, l’incardinamento in un’amministrazione pubblica o in un’altra, devono avere una cornice legislativa. Quest’ultima esiste infatti per l’agenzia delle entrate e la guardia di finanza, di cui diremo al par.5.2</w:t>
      </w:r>
      <w:r w:rsidR="00EE1416">
        <w:rPr>
          <w:sz w:val="22"/>
          <w:szCs w:val="22"/>
        </w:rPr>
        <w:t xml:space="preserve">. </w:t>
      </w:r>
    </w:p>
    <w:p w14:paraId="16592ACE" w14:textId="6C45594C" w:rsidR="00F8200D" w:rsidRPr="007F7EBF" w:rsidRDefault="00EE1416" w:rsidP="008B485B">
      <w:pPr>
        <w:autoSpaceDE w:val="0"/>
        <w:autoSpaceDN w:val="0"/>
        <w:adjustRightInd w:val="0"/>
      </w:pPr>
      <w:r>
        <w:rPr>
          <w:sz w:val="22"/>
          <w:szCs w:val="22"/>
        </w:rPr>
        <w:t xml:space="preserve">Anche se restano vaste autonomie regolamentari, questa riserva di legge si </w:t>
      </w:r>
      <w:r w:rsidR="009F5DB5" w:rsidRPr="007F7EBF">
        <w:rPr>
          <w:sz w:val="22"/>
          <w:szCs w:val="22"/>
        </w:rPr>
        <w:t>giustific</w:t>
      </w:r>
      <w:r>
        <w:rPr>
          <w:sz w:val="22"/>
          <w:szCs w:val="22"/>
        </w:rPr>
        <w:t>a</w:t>
      </w:r>
      <w:r w:rsidR="00885466" w:rsidRPr="007F7EBF">
        <w:rPr>
          <w:sz w:val="22"/>
          <w:szCs w:val="22"/>
        </w:rPr>
        <w:t xml:space="preserve"> per</w:t>
      </w:r>
      <w:r w:rsidR="009F5DB5" w:rsidRPr="007F7EBF">
        <w:rPr>
          <w:sz w:val="22"/>
          <w:szCs w:val="22"/>
        </w:rPr>
        <w:t xml:space="preserve"> non allontanare troppo </w:t>
      </w:r>
      <w:r>
        <w:rPr>
          <w:sz w:val="22"/>
          <w:szCs w:val="22"/>
        </w:rPr>
        <w:t>l’organizzazione degli uffici pubblici</w:t>
      </w:r>
      <w:r w:rsidR="009F5DB5" w:rsidRPr="007F7EBF">
        <w:rPr>
          <w:sz w:val="22"/>
          <w:szCs w:val="22"/>
        </w:rPr>
        <w:t xml:space="preserve"> da</w:t>
      </w:r>
      <w:r w:rsidR="00FD4B0E">
        <w:rPr>
          <w:sz w:val="22"/>
          <w:szCs w:val="22"/>
        </w:rPr>
        <w:t xml:space="preserve">l </w:t>
      </w:r>
      <w:r w:rsidR="00885466" w:rsidRPr="007F7EBF">
        <w:rPr>
          <w:sz w:val="22"/>
          <w:szCs w:val="22"/>
        </w:rPr>
        <w:t>parlamento</w:t>
      </w:r>
      <w:r>
        <w:rPr>
          <w:sz w:val="22"/>
          <w:szCs w:val="22"/>
        </w:rPr>
        <w:t xml:space="preserve">. Quest’ultimo è infatti </w:t>
      </w:r>
      <w:r w:rsidR="004442C0">
        <w:rPr>
          <w:sz w:val="22"/>
          <w:szCs w:val="22"/>
        </w:rPr>
        <w:t xml:space="preserve">più </w:t>
      </w:r>
      <w:r>
        <w:rPr>
          <w:sz w:val="22"/>
          <w:szCs w:val="22"/>
        </w:rPr>
        <w:t>rappresentativo del</w:t>
      </w:r>
      <w:r w:rsidR="00885466" w:rsidRPr="007F7EBF">
        <w:rPr>
          <w:sz w:val="22"/>
          <w:szCs w:val="22"/>
        </w:rPr>
        <w:t xml:space="preserve">la </w:t>
      </w:r>
      <w:r w:rsidR="00885466" w:rsidRPr="007F7EBF">
        <w:rPr>
          <w:sz w:val="22"/>
          <w:szCs w:val="22"/>
        </w:rPr>
        <w:lastRenderedPageBreak/>
        <w:t>pubblica opinione</w:t>
      </w:r>
      <w:r>
        <w:rPr>
          <w:sz w:val="22"/>
          <w:szCs w:val="22"/>
        </w:rPr>
        <w:t xml:space="preserve">, ultimo referente dei pubblici poteri, come indicato al par.4.1 </w:t>
      </w:r>
      <w:r w:rsidR="007C0902">
        <w:rPr>
          <w:sz w:val="22"/>
          <w:szCs w:val="22"/>
        </w:rPr>
        <w:t>(</w:t>
      </w:r>
      <w:r w:rsidR="009F5DB5" w:rsidRPr="007F7EBF">
        <w:rPr>
          <w:rStyle w:val="Rimandonotaapidipagina"/>
          <w:sz w:val="22"/>
          <w:szCs w:val="22"/>
        </w:rPr>
        <w:footnoteReference w:id="131"/>
      </w:r>
      <w:r w:rsidR="007C0902">
        <w:rPr>
          <w:sz w:val="22"/>
          <w:szCs w:val="22"/>
        </w:rPr>
        <w:t>)</w:t>
      </w:r>
      <w:r w:rsidR="009F5DB5" w:rsidRPr="007F7EBF">
        <w:rPr>
          <w:sz w:val="22"/>
          <w:szCs w:val="22"/>
        </w:rPr>
        <w:t xml:space="preserve">. </w:t>
      </w:r>
    </w:p>
    <w:p w14:paraId="75CBEAF0" w14:textId="3BC5579D" w:rsidR="009F5DB5" w:rsidRPr="00BB6726" w:rsidRDefault="00F8200D" w:rsidP="008B485B">
      <w:pPr>
        <w:pStyle w:val="tit23"/>
        <w:ind w:left="6464" w:right="-1361" w:firstLine="0"/>
        <w:jc w:val="left"/>
        <w:rPr>
          <w:lang w:val="it-IT"/>
        </w:rPr>
      </w:pPr>
      <w:r w:rsidRPr="007F7EBF">
        <w:rPr>
          <w:bCs/>
          <w:i/>
          <w:iCs/>
          <w:color w:val="0000FF"/>
          <w:lang w:val="it-IT"/>
        </w:rPr>
        <w:t xml:space="preserve">Riserva di legge su prestazioni imposte </w:t>
      </w:r>
      <w:r w:rsidR="007C0902">
        <w:rPr>
          <w:bCs/>
          <w:i/>
          <w:iCs/>
          <w:color w:val="0000FF"/>
          <w:lang w:val="it-IT"/>
        </w:rPr>
        <w:t>e tributi</w:t>
      </w:r>
    </w:p>
    <w:p w14:paraId="2C062190" w14:textId="15743AD2" w:rsidR="007D76E0" w:rsidRDefault="00F055AE" w:rsidP="007D76E0">
      <w:pPr>
        <w:autoSpaceDE w:val="0"/>
        <w:autoSpaceDN w:val="0"/>
        <w:adjustRightInd w:val="0"/>
        <w:rPr>
          <w:sz w:val="22"/>
          <w:szCs w:val="22"/>
        </w:rPr>
      </w:pPr>
      <w:r w:rsidRPr="007F7EBF">
        <w:rPr>
          <w:sz w:val="22"/>
          <w:szCs w:val="22"/>
        </w:rPr>
        <w:t>Una</w:t>
      </w:r>
      <w:r w:rsidR="007F283E">
        <w:rPr>
          <w:sz w:val="22"/>
          <w:szCs w:val="22"/>
        </w:rPr>
        <w:t xml:space="preserve"> diversa</w:t>
      </w:r>
      <w:r w:rsidRPr="007F7EBF">
        <w:rPr>
          <w:sz w:val="22"/>
          <w:szCs w:val="22"/>
        </w:rPr>
        <w:t xml:space="preserve"> </w:t>
      </w:r>
      <w:r w:rsidR="00071F3D" w:rsidRPr="007F7EBF">
        <w:rPr>
          <w:sz w:val="22"/>
          <w:szCs w:val="22"/>
        </w:rPr>
        <w:t xml:space="preserve"> </w:t>
      </w:r>
      <w:r w:rsidRPr="007F7EBF">
        <w:rPr>
          <w:sz w:val="22"/>
          <w:szCs w:val="22"/>
        </w:rPr>
        <w:t xml:space="preserve">riserva </w:t>
      </w:r>
      <w:r w:rsidR="009B166A" w:rsidRPr="007F7EBF">
        <w:rPr>
          <w:sz w:val="22"/>
          <w:szCs w:val="22"/>
        </w:rPr>
        <w:t>di legge</w:t>
      </w:r>
      <w:r w:rsidR="004442C0">
        <w:rPr>
          <w:sz w:val="22"/>
          <w:szCs w:val="22"/>
        </w:rPr>
        <w:t xml:space="preserve"> </w:t>
      </w:r>
      <w:r w:rsidR="00F8200D" w:rsidRPr="007F7EBF">
        <w:rPr>
          <w:sz w:val="22"/>
          <w:szCs w:val="22"/>
        </w:rPr>
        <w:t xml:space="preserve">riguarda </w:t>
      </w:r>
      <w:r w:rsidR="003F2C15">
        <w:rPr>
          <w:sz w:val="22"/>
          <w:szCs w:val="22"/>
        </w:rPr>
        <w:t xml:space="preserve">anche </w:t>
      </w:r>
      <w:r w:rsidR="009B166A" w:rsidRPr="007F7EBF">
        <w:rPr>
          <w:sz w:val="22"/>
          <w:szCs w:val="22"/>
        </w:rPr>
        <w:t>le prestazioni personali o patrimoniali</w:t>
      </w:r>
      <w:r w:rsidR="00885466" w:rsidRPr="007F7EBF">
        <w:rPr>
          <w:sz w:val="22"/>
          <w:szCs w:val="22"/>
        </w:rPr>
        <w:t>, che possono essere imposte</w:t>
      </w:r>
      <w:r w:rsidR="004442C0">
        <w:rPr>
          <w:sz w:val="22"/>
          <w:szCs w:val="22"/>
        </w:rPr>
        <w:t>, ai sensi dell’art.23 della costituzione</w:t>
      </w:r>
      <w:r w:rsidR="007D76E0">
        <w:rPr>
          <w:sz w:val="22"/>
          <w:szCs w:val="22"/>
        </w:rPr>
        <w:t xml:space="preserve">, solo in base alla legge; come tale </w:t>
      </w:r>
      <w:r w:rsidR="004442C0">
        <w:rPr>
          <w:sz w:val="22"/>
          <w:szCs w:val="22"/>
        </w:rPr>
        <w:t xml:space="preserve"> </w:t>
      </w:r>
      <w:r w:rsidR="007D76E0">
        <w:rPr>
          <w:sz w:val="22"/>
          <w:szCs w:val="22"/>
        </w:rPr>
        <w:t>si</w:t>
      </w:r>
      <w:r w:rsidR="007D76E0" w:rsidRPr="007F7EBF">
        <w:rPr>
          <w:sz w:val="22"/>
          <w:szCs w:val="22"/>
        </w:rPr>
        <w:t xml:space="preserve"> intend</w:t>
      </w:r>
      <w:r w:rsidR="007D76E0">
        <w:rPr>
          <w:sz w:val="22"/>
          <w:szCs w:val="22"/>
        </w:rPr>
        <w:t>ono, secondo le regole generali,</w:t>
      </w:r>
      <w:r w:rsidR="007D76E0" w:rsidRPr="007F7EBF">
        <w:rPr>
          <w:sz w:val="22"/>
          <w:szCs w:val="22"/>
        </w:rPr>
        <w:t xml:space="preserve"> </w:t>
      </w:r>
      <w:r w:rsidR="007D76E0">
        <w:rPr>
          <w:bCs/>
          <w:sz w:val="22"/>
          <w:szCs w:val="22"/>
        </w:rPr>
        <w:t xml:space="preserve">anche </w:t>
      </w:r>
      <w:r w:rsidR="007D76E0" w:rsidRPr="007F7EBF">
        <w:rPr>
          <w:bCs/>
          <w:sz w:val="22"/>
          <w:szCs w:val="22"/>
        </w:rPr>
        <w:t>decreti legge</w:t>
      </w:r>
      <w:r w:rsidR="007D76E0">
        <w:rPr>
          <w:bCs/>
          <w:sz w:val="22"/>
          <w:szCs w:val="22"/>
        </w:rPr>
        <w:t>,</w:t>
      </w:r>
      <w:r w:rsidR="007D76E0" w:rsidRPr="007F7EBF">
        <w:rPr>
          <w:bCs/>
          <w:sz w:val="22"/>
          <w:szCs w:val="22"/>
        </w:rPr>
        <w:t xml:space="preserve"> decreti legislativi</w:t>
      </w:r>
      <w:r w:rsidR="007D76E0">
        <w:rPr>
          <w:bCs/>
          <w:sz w:val="22"/>
          <w:szCs w:val="22"/>
        </w:rPr>
        <w:t xml:space="preserve"> (</w:t>
      </w:r>
      <w:r w:rsidR="007D76E0">
        <w:rPr>
          <w:rStyle w:val="Rimandonotaapidipagina"/>
          <w:bCs/>
          <w:sz w:val="22"/>
          <w:szCs w:val="22"/>
        </w:rPr>
        <w:footnoteReference w:id="132"/>
      </w:r>
      <w:r w:rsidR="007D76E0">
        <w:rPr>
          <w:bCs/>
          <w:sz w:val="22"/>
          <w:szCs w:val="22"/>
        </w:rPr>
        <w:t xml:space="preserve">) e </w:t>
      </w:r>
      <w:r w:rsidR="007D76E0" w:rsidRPr="007F7EBF">
        <w:rPr>
          <w:bCs/>
          <w:sz w:val="22"/>
          <w:szCs w:val="22"/>
        </w:rPr>
        <w:t xml:space="preserve">leggi </w:t>
      </w:r>
      <w:r w:rsidR="007D76E0">
        <w:rPr>
          <w:bCs/>
          <w:sz w:val="22"/>
          <w:szCs w:val="22"/>
        </w:rPr>
        <w:t xml:space="preserve">delle regioni; queste ultime hanno infatti </w:t>
      </w:r>
      <w:r w:rsidR="007D76E0">
        <w:rPr>
          <w:sz w:val="22"/>
          <w:szCs w:val="22"/>
        </w:rPr>
        <w:t>una qualche potestà normativa</w:t>
      </w:r>
      <w:r w:rsidR="007D76E0" w:rsidRPr="007F7EBF">
        <w:rPr>
          <w:sz w:val="22"/>
          <w:szCs w:val="22"/>
        </w:rPr>
        <w:t xml:space="preserve"> </w:t>
      </w:r>
      <w:r w:rsidR="007D76E0">
        <w:rPr>
          <w:sz w:val="22"/>
          <w:szCs w:val="22"/>
        </w:rPr>
        <w:t>tributaria, anche se raramente esercitata (</w:t>
      </w:r>
      <w:r w:rsidR="007D76E0" w:rsidRPr="007F7EBF">
        <w:rPr>
          <w:rStyle w:val="Rimandonotaapidipagina"/>
          <w:sz w:val="22"/>
          <w:szCs w:val="22"/>
        </w:rPr>
        <w:footnoteReference w:id="133"/>
      </w:r>
      <w:r w:rsidR="007D76E0">
        <w:rPr>
          <w:sz w:val="22"/>
          <w:szCs w:val="22"/>
        </w:rPr>
        <w:t>)</w:t>
      </w:r>
      <w:r w:rsidR="007D76E0" w:rsidRPr="007F7EBF">
        <w:rPr>
          <w:sz w:val="22"/>
          <w:szCs w:val="22"/>
        </w:rPr>
        <w:t xml:space="preserve">. </w:t>
      </w:r>
    </w:p>
    <w:p w14:paraId="5D5E3AAA" w14:textId="49D935B1" w:rsidR="00484EEC" w:rsidRPr="007F7EBF" w:rsidRDefault="007D76E0" w:rsidP="007136B0">
      <w:pPr>
        <w:autoSpaceDE w:val="0"/>
        <w:autoSpaceDN w:val="0"/>
        <w:adjustRightInd w:val="0"/>
        <w:rPr>
          <w:bCs/>
          <w:i/>
          <w:iCs/>
          <w:color w:val="0000FF"/>
        </w:rPr>
      </w:pPr>
      <w:r>
        <w:rPr>
          <w:sz w:val="22"/>
          <w:szCs w:val="22"/>
        </w:rPr>
        <w:t xml:space="preserve">Il concetto di “prestazioni imposte” di cui all’art.23 non si riferisce </w:t>
      </w:r>
      <w:r w:rsidR="00885466" w:rsidRPr="007F7EBF">
        <w:rPr>
          <w:sz w:val="22"/>
          <w:szCs w:val="22"/>
        </w:rPr>
        <w:t xml:space="preserve">solo </w:t>
      </w:r>
      <w:r>
        <w:rPr>
          <w:sz w:val="22"/>
          <w:szCs w:val="22"/>
        </w:rPr>
        <w:t>a</w:t>
      </w:r>
      <w:r w:rsidR="00FD4B0E">
        <w:rPr>
          <w:sz w:val="22"/>
          <w:szCs w:val="22"/>
        </w:rPr>
        <w:t xml:space="preserve"> imposte e </w:t>
      </w:r>
      <w:r w:rsidR="00885466" w:rsidRPr="007F7EBF">
        <w:rPr>
          <w:sz w:val="22"/>
          <w:szCs w:val="22"/>
        </w:rPr>
        <w:t xml:space="preserve">tributi, ma anche </w:t>
      </w:r>
      <w:r>
        <w:rPr>
          <w:sz w:val="22"/>
          <w:szCs w:val="22"/>
        </w:rPr>
        <w:t>a</w:t>
      </w:r>
      <w:r w:rsidR="00885466" w:rsidRPr="007F7EBF">
        <w:rPr>
          <w:sz w:val="22"/>
          <w:szCs w:val="22"/>
        </w:rPr>
        <w:t xml:space="preserve"> prestazioni coattive non tributarie, come requisizioni, requisiti imposti per edifici, impianti, veicoli, sicurezza sui luoghi di lavoro, sicurezza di determinate proprietà, l'abrogato servizio militare e l'elenco potrebbe continuare</w:t>
      </w:r>
      <w:r w:rsidR="007C0902">
        <w:rPr>
          <w:sz w:val="22"/>
          <w:szCs w:val="22"/>
        </w:rPr>
        <w:t xml:space="preserve"> (</w:t>
      </w:r>
      <w:r w:rsidR="00C03658" w:rsidRPr="007F7EBF">
        <w:rPr>
          <w:rStyle w:val="Rimandonotaapidipagina"/>
          <w:sz w:val="22"/>
          <w:szCs w:val="22"/>
        </w:rPr>
        <w:footnoteReference w:id="134"/>
      </w:r>
      <w:r w:rsidR="007C0902">
        <w:rPr>
          <w:sz w:val="22"/>
          <w:szCs w:val="22"/>
        </w:rPr>
        <w:t>)</w:t>
      </w:r>
      <w:r w:rsidR="00885466" w:rsidRPr="007F7EBF">
        <w:rPr>
          <w:sz w:val="22"/>
          <w:szCs w:val="22"/>
        </w:rPr>
        <w:t xml:space="preserve">. </w:t>
      </w:r>
    </w:p>
    <w:p w14:paraId="30775159" w14:textId="4A744C5E" w:rsidR="007B4715" w:rsidRPr="007F7EBF" w:rsidRDefault="007B4715" w:rsidP="007B4715">
      <w:pPr>
        <w:pStyle w:val="tit23"/>
        <w:ind w:left="6464" w:right="-1361" w:firstLine="0"/>
        <w:jc w:val="left"/>
        <w:rPr>
          <w:bCs/>
          <w:i/>
          <w:iCs/>
          <w:color w:val="0000FF"/>
          <w:lang w:val="it-IT"/>
        </w:rPr>
      </w:pPr>
      <w:r>
        <w:rPr>
          <w:bCs/>
          <w:i/>
          <w:iCs/>
          <w:color w:val="0000FF"/>
          <w:lang w:val="it-IT"/>
        </w:rPr>
        <w:t xml:space="preserve">Relatività della riserva e ruolo dei </w:t>
      </w:r>
      <w:r w:rsidRPr="007F7EBF">
        <w:rPr>
          <w:bCs/>
          <w:i/>
          <w:iCs/>
          <w:color w:val="0000FF"/>
          <w:lang w:val="it-IT"/>
        </w:rPr>
        <w:t xml:space="preserve">regolamenti </w:t>
      </w:r>
    </w:p>
    <w:p w14:paraId="25F3E590" w14:textId="0984271F" w:rsidR="009B166A" w:rsidRPr="007F7EBF" w:rsidRDefault="007C0902" w:rsidP="007B4715">
      <w:pPr>
        <w:autoSpaceDE w:val="0"/>
        <w:autoSpaceDN w:val="0"/>
        <w:adjustRightInd w:val="0"/>
        <w:rPr>
          <w:bCs/>
          <w:i/>
          <w:iCs/>
          <w:color w:val="0000FF"/>
        </w:rPr>
      </w:pPr>
      <w:r w:rsidRPr="007F7EBF">
        <w:rPr>
          <w:sz w:val="22"/>
          <w:szCs w:val="22"/>
        </w:rPr>
        <w:t>Anche l</w:t>
      </w:r>
      <w:r w:rsidR="007B4715">
        <w:rPr>
          <w:sz w:val="22"/>
          <w:szCs w:val="22"/>
        </w:rPr>
        <w:t>a riserva di legge di cui all</w:t>
      </w:r>
      <w:r w:rsidRPr="007F7EBF">
        <w:rPr>
          <w:sz w:val="22"/>
          <w:szCs w:val="22"/>
        </w:rPr>
        <w:t xml:space="preserve">’art.23, come le già indicate riserve di legge sull’organizzazione dei pubblici uffici, </w:t>
      </w:r>
      <w:r w:rsidR="007B4715">
        <w:rPr>
          <w:sz w:val="22"/>
          <w:szCs w:val="22"/>
        </w:rPr>
        <w:t>è</w:t>
      </w:r>
      <w:r w:rsidRPr="007F7EBF">
        <w:rPr>
          <w:sz w:val="22"/>
          <w:szCs w:val="22"/>
        </w:rPr>
        <w:t xml:space="preserve"> </w:t>
      </w:r>
      <w:r w:rsidR="007B4715">
        <w:rPr>
          <w:sz w:val="22"/>
          <w:szCs w:val="22"/>
        </w:rPr>
        <w:t>“</w:t>
      </w:r>
      <w:r w:rsidRPr="007F7EBF">
        <w:rPr>
          <w:bCs/>
          <w:sz w:val="22"/>
          <w:szCs w:val="22"/>
        </w:rPr>
        <w:t>relativa</w:t>
      </w:r>
      <w:r w:rsidR="007B4715">
        <w:rPr>
          <w:bCs/>
          <w:sz w:val="22"/>
          <w:szCs w:val="22"/>
        </w:rPr>
        <w:t>”</w:t>
      </w:r>
      <w:r w:rsidRPr="007F7EBF">
        <w:rPr>
          <w:bCs/>
          <w:sz w:val="22"/>
          <w:szCs w:val="22"/>
        </w:rPr>
        <w:t>; si tratta di un concetto dottrinale e giurisprudenziale</w:t>
      </w:r>
      <w:r w:rsidR="007B4715">
        <w:rPr>
          <w:bCs/>
          <w:sz w:val="22"/>
          <w:szCs w:val="22"/>
        </w:rPr>
        <w:t>,</w:t>
      </w:r>
      <w:r w:rsidRPr="007F7EBF">
        <w:rPr>
          <w:bCs/>
          <w:sz w:val="22"/>
          <w:szCs w:val="22"/>
        </w:rPr>
        <w:t xml:space="preserve"> secondo cui </w:t>
      </w:r>
      <w:r w:rsidR="007B4715">
        <w:rPr>
          <w:bCs/>
          <w:sz w:val="22"/>
          <w:szCs w:val="22"/>
        </w:rPr>
        <w:t>per il rispetto della riserva è sufficiente fissare per legge</w:t>
      </w:r>
      <w:r w:rsidRPr="007F7EBF">
        <w:rPr>
          <w:bCs/>
          <w:sz w:val="22"/>
          <w:szCs w:val="22"/>
        </w:rPr>
        <w:t xml:space="preserve"> le regole più importanti</w:t>
      </w:r>
      <w:r w:rsidR="007B4715">
        <w:rPr>
          <w:bCs/>
          <w:sz w:val="22"/>
          <w:szCs w:val="22"/>
        </w:rPr>
        <w:t xml:space="preserve">, </w:t>
      </w:r>
      <w:r w:rsidR="00821F31">
        <w:rPr>
          <w:bCs/>
          <w:sz w:val="22"/>
          <w:szCs w:val="22"/>
        </w:rPr>
        <w:t>demandando altri aspetti ad atti regolamentari. I</w:t>
      </w:r>
      <w:r w:rsidRPr="007F7EBF">
        <w:rPr>
          <w:sz w:val="22"/>
          <w:szCs w:val="22"/>
        </w:rPr>
        <w:t xml:space="preserve">n campo tributario </w:t>
      </w:r>
      <w:r w:rsidR="00821F31">
        <w:rPr>
          <w:sz w:val="22"/>
          <w:szCs w:val="22"/>
        </w:rPr>
        <w:t xml:space="preserve">sono </w:t>
      </w:r>
      <w:r w:rsidR="00821F31">
        <w:rPr>
          <w:sz w:val="22"/>
          <w:szCs w:val="22"/>
        </w:rPr>
        <w:lastRenderedPageBreak/>
        <w:t xml:space="preserve">da fissare per legge </w:t>
      </w:r>
      <w:r w:rsidR="007F283E">
        <w:rPr>
          <w:sz w:val="22"/>
          <w:szCs w:val="22"/>
        </w:rPr>
        <w:t>il presupposto</w:t>
      </w:r>
      <w:r w:rsidR="00305357">
        <w:rPr>
          <w:sz w:val="22"/>
          <w:szCs w:val="22"/>
        </w:rPr>
        <w:t xml:space="preserve"> economic</w:t>
      </w:r>
      <w:r w:rsidR="007F283E">
        <w:rPr>
          <w:sz w:val="22"/>
          <w:szCs w:val="22"/>
        </w:rPr>
        <w:t>o d’imposta</w:t>
      </w:r>
      <w:r w:rsidR="00305357">
        <w:rPr>
          <w:sz w:val="22"/>
          <w:szCs w:val="22"/>
        </w:rPr>
        <w:t xml:space="preserve"> (par.1.8)</w:t>
      </w:r>
      <w:r w:rsidRPr="007F7EBF">
        <w:rPr>
          <w:sz w:val="22"/>
          <w:szCs w:val="22"/>
        </w:rPr>
        <w:t>, i criteri-guida per determinare l’imponibile</w:t>
      </w:r>
      <w:r w:rsidR="00821F31">
        <w:rPr>
          <w:sz w:val="22"/>
          <w:szCs w:val="22"/>
        </w:rPr>
        <w:t xml:space="preserve">, </w:t>
      </w:r>
      <w:r w:rsidRPr="007F7EBF">
        <w:rPr>
          <w:sz w:val="22"/>
          <w:szCs w:val="22"/>
        </w:rPr>
        <w:t>la fascia di aliquote adottabili</w:t>
      </w:r>
      <w:r w:rsidR="00821F31">
        <w:rPr>
          <w:sz w:val="22"/>
          <w:szCs w:val="22"/>
        </w:rPr>
        <w:t xml:space="preserve"> e </w:t>
      </w:r>
      <w:r w:rsidRPr="007F7EBF">
        <w:rPr>
          <w:sz w:val="22"/>
          <w:szCs w:val="22"/>
        </w:rPr>
        <w:t>l</w:t>
      </w:r>
      <w:r w:rsidRPr="007F7EBF">
        <w:rPr>
          <w:bCs/>
          <w:sz w:val="22"/>
          <w:szCs w:val="22"/>
        </w:rPr>
        <w:t>e sanzioni (</w:t>
      </w:r>
      <w:r w:rsidRPr="007F7EBF">
        <w:rPr>
          <w:rStyle w:val="Rimandonotaapidipagina"/>
          <w:bCs/>
          <w:sz w:val="22"/>
          <w:szCs w:val="22"/>
        </w:rPr>
        <w:footnoteReference w:id="135"/>
      </w:r>
      <w:r w:rsidRPr="007F7EBF">
        <w:rPr>
          <w:sz w:val="22"/>
          <w:szCs w:val="22"/>
        </w:rPr>
        <w:t xml:space="preserve">). </w:t>
      </w:r>
    </w:p>
    <w:p w14:paraId="18BA95DD" w14:textId="0CFCDD26" w:rsidR="009B166A" w:rsidRPr="007F7EBF" w:rsidRDefault="007C0902" w:rsidP="001E6FB4">
      <w:pPr>
        <w:autoSpaceDE w:val="0"/>
        <w:autoSpaceDN w:val="0"/>
        <w:adjustRightInd w:val="0"/>
        <w:rPr>
          <w:sz w:val="22"/>
          <w:szCs w:val="22"/>
        </w:rPr>
      </w:pPr>
      <w:r>
        <w:rPr>
          <w:bCs/>
          <w:sz w:val="22"/>
          <w:szCs w:val="22"/>
        </w:rPr>
        <w:t>In questa cornice legislativa, a</w:t>
      </w:r>
      <w:r w:rsidR="009B166A" w:rsidRPr="007F7EBF">
        <w:rPr>
          <w:bCs/>
          <w:sz w:val="22"/>
          <w:szCs w:val="22"/>
        </w:rPr>
        <w:t xml:space="preserve">spetti particolari </w:t>
      </w:r>
      <w:r w:rsidR="00BD1CCB" w:rsidRPr="007F7EBF">
        <w:rPr>
          <w:bCs/>
          <w:sz w:val="22"/>
          <w:szCs w:val="22"/>
        </w:rPr>
        <w:t>de</w:t>
      </w:r>
      <w:r>
        <w:rPr>
          <w:bCs/>
          <w:sz w:val="22"/>
          <w:szCs w:val="22"/>
        </w:rPr>
        <w:t>lla funzione tributaria sono quindi</w:t>
      </w:r>
      <w:r w:rsidR="00484EEC" w:rsidRPr="007F7EBF">
        <w:rPr>
          <w:bCs/>
          <w:sz w:val="22"/>
          <w:szCs w:val="22"/>
        </w:rPr>
        <w:t xml:space="preserve"> disciplina</w:t>
      </w:r>
      <w:r>
        <w:rPr>
          <w:bCs/>
          <w:sz w:val="22"/>
          <w:szCs w:val="22"/>
        </w:rPr>
        <w:t>bil</w:t>
      </w:r>
      <w:r w:rsidR="00484EEC" w:rsidRPr="007F7EBF">
        <w:rPr>
          <w:bCs/>
          <w:sz w:val="22"/>
          <w:szCs w:val="22"/>
        </w:rPr>
        <w:t xml:space="preserve">i con </w:t>
      </w:r>
      <w:r w:rsidR="009B166A" w:rsidRPr="007F7EBF">
        <w:rPr>
          <w:sz w:val="22"/>
          <w:szCs w:val="22"/>
        </w:rPr>
        <w:t>«regolamenti amministrativi», cioè atti normativi secondari</w:t>
      </w:r>
      <w:r w:rsidR="009B166A" w:rsidRPr="007F7EBF">
        <w:rPr>
          <w:rStyle w:val="Rimandonotaapidipagina"/>
          <w:sz w:val="22"/>
          <w:szCs w:val="22"/>
        </w:rPr>
        <w:footnoteReference w:id="136"/>
      </w:r>
      <w:r w:rsidR="00484EEC" w:rsidRPr="007F7EBF">
        <w:rPr>
          <w:sz w:val="22"/>
          <w:szCs w:val="22"/>
        </w:rPr>
        <w:t xml:space="preserve">; </w:t>
      </w:r>
      <w:r w:rsidR="00E7149A">
        <w:rPr>
          <w:sz w:val="22"/>
          <w:szCs w:val="22"/>
        </w:rPr>
        <w:t xml:space="preserve">tra essi hanno forte valenza politica quelli degli enti locali (comuni), che istituiscono, fissandone le aliquote, </w:t>
      </w:r>
      <w:r w:rsidR="00E7149A" w:rsidRPr="007F7EBF">
        <w:rPr>
          <w:sz w:val="22"/>
          <w:szCs w:val="22"/>
        </w:rPr>
        <w:t xml:space="preserve">tributi </w:t>
      </w:r>
      <w:r w:rsidR="00E7149A">
        <w:rPr>
          <w:sz w:val="22"/>
          <w:szCs w:val="22"/>
        </w:rPr>
        <w:t>che la legge statale consente a tali enti di adottare, appunto c</w:t>
      </w:r>
      <w:r w:rsidR="00E7149A" w:rsidRPr="007F7EBF">
        <w:rPr>
          <w:sz w:val="22"/>
          <w:szCs w:val="22"/>
        </w:rPr>
        <w:t>on propri atti regolamentari</w:t>
      </w:r>
      <w:r w:rsidR="00E7149A">
        <w:rPr>
          <w:sz w:val="22"/>
          <w:szCs w:val="22"/>
        </w:rPr>
        <w:t xml:space="preserve"> (</w:t>
      </w:r>
      <w:r w:rsidR="00E7149A" w:rsidRPr="007F7EBF">
        <w:rPr>
          <w:sz w:val="22"/>
          <w:szCs w:val="22"/>
        </w:rPr>
        <w:t>par.10.8</w:t>
      </w:r>
      <w:r w:rsidR="00E7149A">
        <w:rPr>
          <w:sz w:val="22"/>
          <w:szCs w:val="22"/>
        </w:rPr>
        <w:t xml:space="preserve"> sull’IMU). I regolamenti sulle imposte statali vanno invece </w:t>
      </w:r>
      <w:r w:rsidR="009B166A" w:rsidRPr="007F7EBF">
        <w:rPr>
          <w:sz w:val="22"/>
          <w:szCs w:val="22"/>
        </w:rPr>
        <w:t>approvat</w:t>
      </w:r>
      <w:r w:rsidR="00484EEC" w:rsidRPr="007F7EBF">
        <w:rPr>
          <w:sz w:val="22"/>
          <w:szCs w:val="22"/>
        </w:rPr>
        <w:t>i</w:t>
      </w:r>
      <w:r w:rsidR="009B166A" w:rsidRPr="007F7EBF">
        <w:rPr>
          <w:sz w:val="22"/>
          <w:szCs w:val="22"/>
        </w:rPr>
        <w:t xml:space="preserve"> previo parere del Consiglio di stato, non richiesto per gli atti amministrativi generali, anch’essi delegati dalla legge, come esempio quelli di approvazione dei modelli per gli adempimenti amministrativi tributari </w:t>
      </w:r>
      <w:r w:rsidR="009B166A" w:rsidRPr="00803BD3">
        <w:rPr>
          <w:sz w:val="22"/>
          <w:szCs w:val="22"/>
        </w:rPr>
        <w:t>(</w:t>
      </w:r>
      <w:r w:rsidR="009B166A" w:rsidRPr="00803BD3">
        <w:rPr>
          <w:rStyle w:val="Rimandonotaapidipagina"/>
          <w:bCs/>
          <w:iCs/>
          <w:sz w:val="22"/>
          <w:szCs w:val="22"/>
        </w:rPr>
        <w:footnoteReference w:id="137"/>
      </w:r>
      <w:r w:rsidR="009B166A" w:rsidRPr="00803BD3">
        <w:rPr>
          <w:sz w:val="22"/>
          <w:szCs w:val="22"/>
        </w:rPr>
        <w:t xml:space="preserve">). </w:t>
      </w:r>
      <w:r w:rsidR="009B166A" w:rsidRPr="007F7EBF">
        <w:rPr>
          <w:sz w:val="22"/>
          <w:szCs w:val="22"/>
        </w:rPr>
        <w:t xml:space="preserve">L'illegittimità del regolamento rispetto alla </w:t>
      </w:r>
      <w:r w:rsidR="00821F31">
        <w:rPr>
          <w:sz w:val="22"/>
          <w:szCs w:val="22"/>
        </w:rPr>
        <w:t>legislazione</w:t>
      </w:r>
      <w:r w:rsidR="009B166A" w:rsidRPr="007F7EBF">
        <w:rPr>
          <w:sz w:val="22"/>
          <w:szCs w:val="22"/>
        </w:rPr>
        <w:t xml:space="preserve"> può essere fatta valere in linea generale davanti al TAR e in via incidentale nel processo tributario, con una disapplicazione relativa al caso singolo</w:t>
      </w:r>
      <w:r w:rsidR="00803BD3">
        <w:rPr>
          <w:sz w:val="22"/>
          <w:szCs w:val="22"/>
        </w:rPr>
        <w:t>(</w:t>
      </w:r>
      <w:r w:rsidR="009B166A" w:rsidRPr="007F7EBF">
        <w:rPr>
          <w:rStyle w:val="Rimandonotaapidipagina"/>
          <w:sz w:val="22"/>
          <w:szCs w:val="22"/>
        </w:rPr>
        <w:footnoteReference w:id="138"/>
      </w:r>
      <w:r w:rsidR="00803BD3">
        <w:rPr>
          <w:sz w:val="22"/>
          <w:szCs w:val="22"/>
        </w:rPr>
        <w:t>)</w:t>
      </w:r>
      <w:r w:rsidR="009B166A" w:rsidRPr="007F7EBF">
        <w:rPr>
          <w:sz w:val="22"/>
          <w:szCs w:val="22"/>
        </w:rPr>
        <w:t xml:space="preserve">. </w:t>
      </w:r>
    </w:p>
    <w:p w14:paraId="4913FCE0" w14:textId="7AAD56C8" w:rsidR="009B166A" w:rsidRPr="007F7EBF" w:rsidRDefault="007640EF" w:rsidP="009B166A">
      <w:pPr>
        <w:pStyle w:val="tit23"/>
        <w:ind w:left="6464" w:right="-1361" w:firstLine="0"/>
        <w:jc w:val="left"/>
        <w:rPr>
          <w:bCs/>
          <w:i/>
          <w:iCs/>
          <w:color w:val="0000FF"/>
          <w:lang w:val="it-IT"/>
        </w:rPr>
      </w:pPr>
      <w:r>
        <w:rPr>
          <w:bCs/>
          <w:i/>
          <w:iCs/>
          <w:color w:val="0000FF"/>
          <w:lang w:val="it-IT"/>
        </w:rPr>
        <w:t>redazione</w:t>
      </w:r>
      <w:r w:rsidR="00803BD3">
        <w:rPr>
          <w:bCs/>
          <w:i/>
          <w:iCs/>
          <w:color w:val="0000FF"/>
          <w:lang w:val="it-IT"/>
        </w:rPr>
        <w:t xml:space="preserve"> della </w:t>
      </w:r>
      <w:r w:rsidR="009B166A" w:rsidRPr="007F7EBF">
        <w:rPr>
          <w:bCs/>
          <w:i/>
          <w:iCs/>
          <w:color w:val="0000FF"/>
          <w:lang w:val="it-IT"/>
        </w:rPr>
        <w:t>legisla</w:t>
      </w:r>
      <w:r w:rsidR="00803BD3">
        <w:rPr>
          <w:bCs/>
          <w:i/>
          <w:iCs/>
          <w:color w:val="0000FF"/>
          <w:lang w:val="it-IT"/>
        </w:rPr>
        <w:t>zione sostanziale</w:t>
      </w:r>
      <w:r w:rsidR="009B166A" w:rsidRPr="007F7EBF">
        <w:rPr>
          <w:bCs/>
          <w:i/>
          <w:iCs/>
          <w:color w:val="0000FF"/>
          <w:lang w:val="it-IT"/>
        </w:rPr>
        <w:t xml:space="preserve"> </w:t>
      </w:r>
    </w:p>
    <w:p w14:paraId="64351A02" w14:textId="5E01F669" w:rsidR="002841DB" w:rsidRPr="007F7EBF" w:rsidRDefault="009B166A" w:rsidP="007640EF">
      <w:pPr>
        <w:autoSpaceDE w:val="0"/>
        <w:autoSpaceDN w:val="0"/>
        <w:adjustRightInd w:val="0"/>
      </w:pPr>
      <w:r w:rsidRPr="007F7EBF">
        <w:rPr>
          <w:sz w:val="22"/>
          <w:szCs w:val="22"/>
        </w:rPr>
        <w:t xml:space="preserve">Nonostante </w:t>
      </w:r>
      <w:r w:rsidR="001E6FB4">
        <w:rPr>
          <w:sz w:val="22"/>
          <w:szCs w:val="22"/>
        </w:rPr>
        <w:t>la suddetta</w:t>
      </w:r>
      <w:r w:rsidRPr="007F7EBF">
        <w:rPr>
          <w:sz w:val="22"/>
          <w:szCs w:val="22"/>
        </w:rPr>
        <w:t xml:space="preserve"> possibilità di usare regolamenti, la legislazione</w:t>
      </w:r>
      <w:r w:rsidR="00803BD3">
        <w:rPr>
          <w:sz w:val="22"/>
          <w:szCs w:val="22"/>
        </w:rPr>
        <w:t xml:space="preserve"> sostanziale specifica </w:t>
      </w:r>
      <w:r w:rsidR="007F283E">
        <w:rPr>
          <w:sz w:val="22"/>
          <w:szCs w:val="22"/>
        </w:rPr>
        <w:t>i presupposti e</w:t>
      </w:r>
      <w:r w:rsidR="00FD4B0E">
        <w:rPr>
          <w:sz w:val="22"/>
          <w:szCs w:val="22"/>
        </w:rPr>
        <w:t>conomic</w:t>
      </w:r>
      <w:r w:rsidR="007F283E">
        <w:rPr>
          <w:sz w:val="22"/>
          <w:szCs w:val="22"/>
        </w:rPr>
        <w:t>i</w:t>
      </w:r>
      <w:r w:rsidR="00FD4B0E">
        <w:rPr>
          <w:sz w:val="22"/>
          <w:szCs w:val="22"/>
        </w:rPr>
        <w:t xml:space="preserve"> di cui al </w:t>
      </w:r>
      <w:r w:rsidR="00803BD3">
        <w:rPr>
          <w:sz w:val="22"/>
          <w:szCs w:val="22"/>
        </w:rPr>
        <w:t xml:space="preserve">par.1.8 in modo molto </w:t>
      </w:r>
      <w:r w:rsidR="00FD4B0E">
        <w:rPr>
          <w:sz w:val="22"/>
          <w:szCs w:val="22"/>
        </w:rPr>
        <w:t xml:space="preserve">dettagliato; ciò </w:t>
      </w:r>
      <w:r w:rsidR="00E7149A">
        <w:rPr>
          <w:sz w:val="22"/>
          <w:szCs w:val="22"/>
        </w:rPr>
        <w:t xml:space="preserve">riflette sia l’”interventismo” di una politica in cerca di visibilità verso aziende, professionisti e contribuenti </w:t>
      </w:r>
      <w:r w:rsidR="00E7149A" w:rsidRPr="00D82970">
        <w:rPr>
          <w:bCs/>
        </w:rPr>
        <w:t>(</w:t>
      </w:r>
      <w:r w:rsidR="00E7149A" w:rsidRPr="00D82970">
        <w:rPr>
          <w:rStyle w:val="Rimandonotaapidipagina"/>
          <w:bCs/>
        </w:rPr>
        <w:footnoteReference w:id="139"/>
      </w:r>
      <w:r w:rsidR="00E7149A">
        <w:rPr>
          <w:bCs/>
        </w:rPr>
        <w:t>)</w:t>
      </w:r>
      <w:r w:rsidR="00E7149A">
        <w:rPr>
          <w:sz w:val="22"/>
          <w:szCs w:val="22"/>
        </w:rPr>
        <w:t xml:space="preserve">, sia </w:t>
      </w:r>
      <w:r w:rsidR="00E7149A">
        <w:rPr>
          <w:sz w:val="22"/>
          <w:szCs w:val="22"/>
        </w:rPr>
        <w:lastRenderedPageBreak/>
        <w:t xml:space="preserve">una tendenza delle amministrazioni </w:t>
      </w:r>
      <w:r w:rsidRPr="00D82970">
        <w:rPr>
          <w:bCs/>
          <w:sz w:val="22"/>
          <w:szCs w:val="22"/>
        </w:rPr>
        <w:t>fiscali</w:t>
      </w:r>
      <w:r w:rsidR="00803BD3" w:rsidRPr="00D82970">
        <w:rPr>
          <w:bCs/>
          <w:sz w:val="22"/>
          <w:szCs w:val="22"/>
        </w:rPr>
        <w:t xml:space="preserve"> </w:t>
      </w:r>
      <w:r w:rsidR="00086719" w:rsidRPr="00D82970">
        <w:t>(</w:t>
      </w:r>
      <w:r w:rsidR="00086719" w:rsidRPr="00D82970">
        <w:rPr>
          <w:rStyle w:val="Rimandonotaapidipagina"/>
        </w:rPr>
        <w:footnoteReference w:id="140"/>
      </w:r>
      <w:r w:rsidR="00086719" w:rsidRPr="00D82970">
        <w:t>)</w:t>
      </w:r>
      <w:r w:rsidR="00E7149A">
        <w:rPr>
          <w:bCs/>
          <w:sz w:val="22"/>
          <w:szCs w:val="22"/>
        </w:rPr>
        <w:t xml:space="preserve">; queste ultime, pur </w:t>
      </w:r>
      <w:r w:rsidR="0012591F">
        <w:rPr>
          <w:bCs/>
          <w:sz w:val="22"/>
          <w:szCs w:val="22"/>
        </w:rPr>
        <w:t xml:space="preserve">ispirando e </w:t>
      </w:r>
      <w:r w:rsidR="00E7149A">
        <w:rPr>
          <w:bCs/>
          <w:sz w:val="22"/>
          <w:szCs w:val="22"/>
        </w:rPr>
        <w:t>confezionando</w:t>
      </w:r>
      <w:r w:rsidR="0012591F">
        <w:rPr>
          <w:bCs/>
          <w:sz w:val="22"/>
          <w:szCs w:val="22"/>
        </w:rPr>
        <w:t xml:space="preserve"> la trama della legislazione tributaria, preferiscono </w:t>
      </w:r>
      <w:r w:rsidR="0074232A">
        <w:rPr>
          <w:bCs/>
          <w:sz w:val="22"/>
          <w:szCs w:val="22"/>
        </w:rPr>
        <w:t>evitare iniziative</w:t>
      </w:r>
      <w:r w:rsidR="0012591F">
        <w:rPr>
          <w:bCs/>
          <w:sz w:val="22"/>
          <w:szCs w:val="22"/>
        </w:rPr>
        <w:t xml:space="preserve"> regolamentari (nell’ottica della c.d. “delegificazione”) o interpretative (par.5.4)</w:t>
      </w:r>
      <w:r w:rsidR="0074232A">
        <w:rPr>
          <w:bCs/>
          <w:sz w:val="22"/>
          <w:szCs w:val="22"/>
        </w:rPr>
        <w:t>, ispirando piuttosto soluzioni legislative ai problemi applicativi della prassi (</w:t>
      </w:r>
      <w:r w:rsidR="0074232A">
        <w:rPr>
          <w:rStyle w:val="Rimandonotaapidipagina"/>
          <w:bCs/>
          <w:sz w:val="22"/>
          <w:szCs w:val="22"/>
        </w:rPr>
        <w:footnoteReference w:id="141"/>
      </w:r>
      <w:r w:rsidR="0074232A">
        <w:rPr>
          <w:bCs/>
          <w:sz w:val="22"/>
          <w:szCs w:val="22"/>
        </w:rPr>
        <w:t>).</w:t>
      </w:r>
      <w:r w:rsidR="0012591F">
        <w:t>Sono coinvolti anche,</w:t>
      </w:r>
      <w:r w:rsidR="007640EF" w:rsidRPr="00D82970">
        <w:t xml:space="preserve"> in modo </w:t>
      </w:r>
      <w:r w:rsidR="0012591F">
        <w:t>informale</w:t>
      </w:r>
      <w:r w:rsidR="007640EF" w:rsidRPr="00D82970">
        <w:t>, relazionale</w:t>
      </w:r>
      <w:r w:rsidR="007640EF" w:rsidRPr="00A97A63">
        <w:rPr>
          <w:highlight w:val="yellow"/>
        </w:rPr>
        <w:t xml:space="preserve"> </w:t>
      </w:r>
      <w:r w:rsidR="007640EF" w:rsidRPr="00D82970">
        <w:t>e non retribuito</w:t>
      </w:r>
      <w:r w:rsidR="0012591F">
        <w:t>, anche referenti esterni, fiduciari dell’amministrazione o della politica</w:t>
      </w:r>
      <w:r w:rsidR="0012591F" w:rsidRPr="00D82970">
        <w:t>(</w:t>
      </w:r>
      <w:r w:rsidR="0012591F" w:rsidRPr="00D82970">
        <w:rPr>
          <w:rStyle w:val="Rimandonotaapidipagina"/>
        </w:rPr>
        <w:footnoteReference w:id="142"/>
      </w:r>
      <w:r w:rsidR="0012591F" w:rsidRPr="00D82970">
        <w:t>)</w:t>
      </w:r>
      <w:r w:rsidR="0012591F">
        <w:t>.</w:t>
      </w:r>
    </w:p>
    <w:p w14:paraId="3E011CC0" w14:textId="77777777" w:rsidR="001E6FB4" w:rsidRDefault="001E6FB4" w:rsidP="001E6FB4">
      <w:pPr>
        <w:pStyle w:val="tit23"/>
        <w:ind w:left="6464" w:right="-1361" w:firstLine="0"/>
        <w:jc w:val="left"/>
        <w:rPr>
          <w:bCs/>
          <w:i/>
          <w:iCs/>
          <w:color w:val="0000FF"/>
          <w:lang w:val="it-IT"/>
        </w:rPr>
      </w:pPr>
      <w:r>
        <w:rPr>
          <w:bCs/>
          <w:i/>
          <w:iCs/>
          <w:color w:val="0000FF"/>
          <w:lang w:val="it-IT"/>
        </w:rPr>
        <w:t>Divieto di referendum</w:t>
      </w:r>
    </w:p>
    <w:p w14:paraId="1ED9030E" w14:textId="7795A287" w:rsidR="009B166A" w:rsidRPr="007F7EBF" w:rsidRDefault="001E6FB4" w:rsidP="00484EEC">
      <w:pPr>
        <w:autoSpaceDE w:val="0"/>
        <w:autoSpaceDN w:val="0"/>
        <w:adjustRightInd w:val="0"/>
        <w:rPr>
          <w:sz w:val="22"/>
          <w:szCs w:val="22"/>
        </w:rPr>
      </w:pPr>
      <w:r w:rsidRPr="007F7EBF">
        <w:rPr>
          <w:sz w:val="22"/>
          <w:szCs w:val="22"/>
        </w:rPr>
        <w:t xml:space="preserve">Il divieto di referendum sulle leggi tributarie (art.75 cost.) è ispirato dal timore di referendum demagogici, che suggestionano, con promesse di riduzione delle imposte, un elettorato inconsapevole dei benefici </w:t>
      </w:r>
      <w:r w:rsidR="0074232A">
        <w:rPr>
          <w:sz w:val="22"/>
          <w:szCs w:val="22"/>
        </w:rPr>
        <w:t>della spesa</w:t>
      </w:r>
      <w:r w:rsidRPr="007F7EBF">
        <w:rPr>
          <w:sz w:val="22"/>
          <w:szCs w:val="22"/>
        </w:rPr>
        <w:t xml:space="preserve"> pubblic</w:t>
      </w:r>
      <w:r w:rsidR="0074232A">
        <w:rPr>
          <w:sz w:val="22"/>
          <w:szCs w:val="22"/>
        </w:rPr>
        <w:t>a</w:t>
      </w:r>
      <w:r>
        <w:rPr>
          <w:sz w:val="22"/>
          <w:szCs w:val="22"/>
        </w:rPr>
        <w:t>; i</w:t>
      </w:r>
      <w:r w:rsidRPr="007F7EBF">
        <w:t xml:space="preserve">l divieto è stato applicato dalla corte costituzionale sia alle disposizioni tributarie sostanziali sia a quelle procedurali, come la ritenuta alla fonte (par.3.6); un referendum sui contributi previdenziali fu escluso usando lo strumento delle “leggi di bilancio”, ma adombrando la natura tributaria dei contributi, di cui al par.1.12. </w:t>
      </w:r>
      <w:r>
        <w:rPr>
          <w:sz w:val="22"/>
          <w:szCs w:val="22"/>
        </w:rPr>
        <w:t xml:space="preserve"> (</w:t>
      </w:r>
      <w:r w:rsidRPr="007F7EBF">
        <w:rPr>
          <w:rStyle w:val="Rimandonotaapidipagina"/>
          <w:sz w:val="22"/>
          <w:szCs w:val="22"/>
        </w:rPr>
        <w:footnoteReference w:id="143"/>
      </w:r>
      <w:r>
        <w:rPr>
          <w:sz w:val="22"/>
          <w:szCs w:val="22"/>
        </w:rPr>
        <w:t>)</w:t>
      </w:r>
      <w:r w:rsidRPr="007F7EBF">
        <w:rPr>
          <w:sz w:val="22"/>
          <w:szCs w:val="22"/>
        </w:rPr>
        <w:t xml:space="preserve">. </w:t>
      </w:r>
    </w:p>
    <w:p w14:paraId="0656F639" w14:textId="77777777" w:rsidR="009B166A" w:rsidRPr="007F7EBF" w:rsidRDefault="009B166A" w:rsidP="009B166A">
      <w:pPr>
        <w:pStyle w:val="tit23"/>
        <w:ind w:left="6464" w:right="-1361" w:firstLine="0"/>
        <w:jc w:val="left"/>
        <w:rPr>
          <w:bCs/>
          <w:i/>
          <w:iCs/>
          <w:color w:val="0000FF"/>
          <w:lang w:val="it-IT"/>
        </w:rPr>
      </w:pPr>
      <w:r w:rsidRPr="007F7EBF">
        <w:rPr>
          <w:bCs/>
          <w:i/>
          <w:iCs/>
          <w:color w:val="0000FF"/>
          <w:lang w:val="it-IT"/>
        </w:rPr>
        <w:lastRenderedPageBreak/>
        <w:t>Malesseri e statuto del contribuente</w:t>
      </w:r>
    </w:p>
    <w:p w14:paraId="51309CC8" w14:textId="1EB0CEC0" w:rsidR="009B166A" w:rsidRPr="007F7EBF" w:rsidRDefault="009B166A" w:rsidP="009B166A">
      <w:pPr>
        <w:autoSpaceDE w:val="0"/>
        <w:autoSpaceDN w:val="0"/>
        <w:adjustRightInd w:val="0"/>
        <w:rPr>
          <w:bCs/>
          <w:i/>
          <w:iCs/>
          <w:color w:val="0000FF"/>
          <w:sz w:val="22"/>
          <w:szCs w:val="22"/>
        </w:rPr>
      </w:pPr>
      <w:r w:rsidRPr="007F7EBF">
        <w:rPr>
          <w:sz w:val="22"/>
          <w:szCs w:val="22"/>
        </w:rPr>
        <w:t>I malesseri sociali sulla determinazione dei tributi (par. 1.5</w:t>
      </w:r>
      <w:r w:rsidR="00361BCC">
        <w:rPr>
          <w:sz w:val="22"/>
          <w:szCs w:val="22"/>
        </w:rPr>
        <w:t xml:space="preserve"> </w:t>
      </w:r>
      <w:r w:rsidRPr="007F7EBF">
        <w:rPr>
          <w:sz w:val="22"/>
          <w:szCs w:val="22"/>
        </w:rPr>
        <w:t>e soprattutto infra pa</w:t>
      </w:r>
      <w:r w:rsidR="00361BCC">
        <w:rPr>
          <w:sz w:val="22"/>
          <w:szCs w:val="22"/>
        </w:rPr>
        <w:t>r</w:t>
      </w:r>
      <w:r w:rsidRPr="007F7EBF">
        <w:rPr>
          <w:sz w:val="22"/>
          <w:szCs w:val="22"/>
        </w:rPr>
        <w:t xml:space="preserve">r.4.3-4.7) si sono riflessi anche sul piano legislativo, con </w:t>
      </w:r>
      <w:r w:rsidR="001E6FB4">
        <w:rPr>
          <w:sz w:val="22"/>
          <w:szCs w:val="22"/>
        </w:rPr>
        <w:t>il c.d.</w:t>
      </w:r>
      <w:r w:rsidRPr="007F7EBF">
        <w:rPr>
          <w:sz w:val="22"/>
          <w:szCs w:val="22"/>
        </w:rPr>
        <w:t xml:space="preserve"> “</w:t>
      </w:r>
      <w:r w:rsidRPr="007F7EBF">
        <w:rPr>
          <w:bCs/>
          <w:sz w:val="22"/>
          <w:szCs w:val="22"/>
        </w:rPr>
        <w:t xml:space="preserve">statuto dei diritti del contribuente” </w:t>
      </w:r>
      <w:r w:rsidRPr="007F7EBF">
        <w:rPr>
          <w:sz w:val="22"/>
          <w:szCs w:val="22"/>
        </w:rPr>
        <w:t xml:space="preserve">(legge 212 del 2000), </w:t>
      </w:r>
      <w:r w:rsidRPr="007F7EBF">
        <w:rPr>
          <w:bCs/>
          <w:sz w:val="22"/>
          <w:szCs w:val="22"/>
        </w:rPr>
        <w:t>senza rango costituzionale (</w:t>
      </w:r>
      <w:r w:rsidRPr="007F7EBF">
        <w:rPr>
          <w:rStyle w:val="Rimandonotaapidipagina"/>
          <w:bCs/>
          <w:sz w:val="22"/>
          <w:szCs w:val="22"/>
        </w:rPr>
        <w:footnoteReference w:id="144"/>
      </w:r>
      <w:r w:rsidRPr="007F7EBF">
        <w:rPr>
          <w:bCs/>
          <w:sz w:val="22"/>
          <w:szCs w:val="22"/>
        </w:rPr>
        <w:t>)</w:t>
      </w:r>
      <w:r w:rsidRPr="007F7EBF">
        <w:rPr>
          <w:sz w:val="22"/>
          <w:szCs w:val="22"/>
        </w:rPr>
        <w:t xml:space="preserve">, e quindi derogabile da leggi ordinarie. </w:t>
      </w:r>
    </w:p>
    <w:p w14:paraId="5C922FE6" w14:textId="673EDA9E" w:rsidR="009B166A" w:rsidRPr="007F7EBF" w:rsidRDefault="00026DEF" w:rsidP="00102D9B">
      <w:pPr>
        <w:autoSpaceDE w:val="0"/>
        <w:autoSpaceDN w:val="0"/>
        <w:adjustRightInd w:val="0"/>
        <w:rPr>
          <w:bCs/>
          <w:i/>
          <w:iCs/>
          <w:color w:val="0000FF"/>
        </w:rPr>
      </w:pPr>
      <w:r>
        <w:rPr>
          <w:sz w:val="22"/>
          <w:szCs w:val="22"/>
        </w:rPr>
        <w:t xml:space="preserve">Esso </w:t>
      </w:r>
      <w:r w:rsidR="001F5A00">
        <w:rPr>
          <w:sz w:val="22"/>
          <w:szCs w:val="22"/>
        </w:rPr>
        <w:t xml:space="preserve">risente della concezione </w:t>
      </w:r>
      <w:r w:rsidR="009B166A" w:rsidRPr="007F7EBF">
        <w:rPr>
          <w:sz w:val="22"/>
          <w:szCs w:val="22"/>
        </w:rPr>
        <w:t>miracolistic</w:t>
      </w:r>
      <w:r w:rsidR="001F5A00">
        <w:rPr>
          <w:sz w:val="22"/>
          <w:szCs w:val="22"/>
        </w:rPr>
        <w:t>a</w:t>
      </w:r>
      <w:r w:rsidR="009B166A" w:rsidRPr="007F7EBF">
        <w:rPr>
          <w:sz w:val="22"/>
          <w:szCs w:val="22"/>
        </w:rPr>
        <w:t xml:space="preserve"> della legislazione, calando in una "legge manifesto" </w:t>
      </w:r>
      <w:r w:rsidR="009B166A" w:rsidRPr="007F7EBF">
        <w:rPr>
          <w:bCs/>
          <w:sz w:val="22"/>
          <w:szCs w:val="22"/>
        </w:rPr>
        <w:t xml:space="preserve">disposizioni eterogenee, </w:t>
      </w:r>
      <w:r>
        <w:rPr>
          <w:bCs/>
          <w:sz w:val="22"/>
          <w:szCs w:val="22"/>
        </w:rPr>
        <w:t>enfatiche</w:t>
      </w:r>
      <w:r w:rsidR="009B166A" w:rsidRPr="007F7EBF">
        <w:rPr>
          <w:bCs/>
          <w:sz w:val="22"/>
          <w:szCs w:val="22"/>
        </w:rPr>
        <w:t xml:space="preserve"> </w:t>
      </w:r>
      <w:r w:rsidR="009B166A" w:rsidRPr="007F7EBF">
        <w:rPr>
          <w:sz w:val="22"/>
          <w:szCs w:val="22"/>
        </w:rPr>
        <w:t xml:space="preserve">e rigide; </w:t>
      </w:r>
      <w:r w:rsidR="009E6342">
        <w:rPr>
          <w:sz w:val="22"/>
          <w:szCs w:val="22"/>
        </w:rPr>
        <w:t>esse decontestualizzano i</w:t>
      </w:r>
      <w:r w:rsidR="009B166A" w:rsidRPr="007F7EBF">
        <w:rPr>
          <w:sz w:val="22"/>
          <w:szCs w:val="22"/>
        </w:rPr>
        <w:t xml:space="preserve"> diritti dei contribuenti rispetto alla loro naturale cornice di diritto amministrativo, senza </w:t>
      </w:r>
      <w:r>
        <w:rPr>
          <w:sz w:val="22"/>
          <w:szCs w:val="22"/>
        </w:rPr>
        <w:t>coordina</w:t>
      </w:r>
      <w:r w:rsidR="009E6342">
        <w:rPr>
          <w:sz w:val="22"/>
          <w:szCs w:val="22"/>
        </w:rPr>
        <w:t xml:space="preserve">rli </w:t>
      </w:r>
      <w:r w:rsidR="009B166A" w:rsidRPr="007F7EBF">
        <w:rPr>
          <w:sz w:val="22"/>
          <w:szCs w:val="22"/>
        </w:rPr>
        <w:t xml:space="preserve">con le </w:t>
      </w:r>
      <w:r>
        <w:rPr>
          <w:sz w:val="22"/>
          <w:szCs w:val="22"/>
        </w:rPr>
        <w:t>diverse pulsioni</w:t>
      </w:r>
      <w:r w:rsidR="009B166A" w:rsidRPr="007F7EBF">
        <w:rPr>
          <w:sz w:val="22"/>
          <w:szCs w:val="22"/>
        </w:rPr>
        <w:t xml:space="preserve"> </w:t>
      </w:r>
      <w:r>
        <w:rPr>
          <w:sz w:val="22"/>
          <w:szCs w:val="22"/>
        </w:rPr>
        <w:t xml:space="preserve">emozionali </w:t>
      </w:r>
      <w:r w:rsidR="009E6342">
        <w:rPr>
          <w:sz w:val="22"/>
          <w:szCs w:val="22"/>
        </w:rPr>
        <w:t>de</w:t>
      </w:r>
      <w:r>
        <w:rPr>
          <w:sz w:val="22"/>
          <w:szCs w:val="22"/>
        </w:rPr>
        <w:t xml:space="preserve">lla </w:t>
      </w:r>
      <w:proofErr w:type="spellStart"/>
      <w:r>
        <w:rPr>
          <w:sz w:val="22"/>
          <w:szCs w:val="22"/>
        </w:rPr>
        <w:t>c.d.</w:t>
      </w:r>
      <w:r w:rsidR="009B166A" w:rsidRPr="007F7EBF">
        <w:rPr>
          <w:sz w:val="22"/>
          <w:szCs w:val="22"/>
        </w:rPr>
        <w:t>"lotta</w:t>
      </w:r>
      <w:proofErr w:type="spellEnd"/>
      <w:r w:rsidR="009B166A" w:rsidRPr="007F7EBF">
        <w:rPr>
          <w:sz w:val="22"/>
          <w:szCs w:val="22"/>
        </w:rPr>
        <w:t xml:space="preserve"> all'evasione", </w:t>
      </w:r>
      <w:r>
        <w:rPr>
          <w:sz w:val="22"/>
          <w:szCs w:val="22"/>
        </w:rPr>
        <w:t>trascurando esigenze di semplicità, sne</w:t>
      </w:r>
      <w:r w:rsidR="009B166A" w:rsidRPr="007F7EBF">
        <w:rPr>
          <w:sz w:val="22"/>
          <w:szCs w:val="22"/>
        </w:rPr>
        <w:t>llezza procedimentale etc..</w:t>
      </w:r>
    </w:p>
    <w:p w14:paraId="32417506" w14:textId="09F678AF" w:rsidR="009B166A" w:rsidRPr="007F7EBF" w:rsidRDefault="00102D9B" w:rsidP="009B166A">
      <w:pPr>
        <w:pStyle w:val="tit23"/>
        <w:ind w:left="6464" w:right="-1361" w:firstLine="0"/>
        <w:jc w:val="left"/>
        <w:rPr>
          <w:bCs/>
          <w:i/>
          <w:iCs/>
          <w:color w:val="0000FF"/>
          <w:lang w:val="it-IT"/>
        </w:rPr>
      </w:pPr>
      <w:r>
        <w:rPr>
          <w:bCs/>
          <w:i/>
          <w:iCs/>
          <w:color w:val="0000FF"/>
          <w:lang w:val="it-IT"/>
        </w:rPr>
        <w:t>Segue: il suo uso formalistico</w:t>
      </w:r>
    </w:p>
    <w:p w14:paraId="143327D9" w14:textId="4CF27F57" w:rsidR="009B166A" w:rsidRPr="00294AE0" w:rsidRDefault="00102D9B" w:rsidP="009B166A">
      <w:pPr>
        <w:autoSpaceDE w:val="0"/>
        <w:autoSpaceDN w:val="0"/>
        <w:adjustRightInd w:val="0"/>
        <w:rPr>
          <w:sz w:val="22"/>
          <w:szCs w:val="22"/>
        </w:rPr>
      </w:pPr>
      <w:r w:rsidRPr="007F7EBF">
        <w:rPr>
          <w:sz w:val="22"/>
          <w:szCs w:val="22"/>
        </w:rPr>
        <w:t xml:space="preserve">Lo statuto è inadeguato su una serie di temi strutturali, semplicemente per la mancata spiegazione </w:t>
      </w:r>
      <w:r>
        <w:rPr>
          <w:sz w:val="22"/>
          <w:szCs w:val="22"/>
        </w:rPr>
        <w:t>scientifico sociale</w:t>
      </w:r>
      <w:r w:rsidRPr="007F7EBF">
        <w:rPr>
          <w:sz w:val="22"/>
          <w:szCs w:val="22"/>
        </w:rPr>
        <w:t xml:space="preserve"> della funzione </w:t>
      </w:r>
      <w:r>
        <w:rPr>
          <w:sz w:val="22"/>
          <w:szCs w:val="22"/>
        </w:rPr>
        <w:t>tributaria</w:t>
      </w:r>
      <w:r w:rsidRPr="007F7EBF">
        <w:rPr>
          <w:sz w:val="22"/>
          <w:szCs w:val="22"/>
        </w:rPr>
        <w:t>; i semplicistici, e spesso enfatici,  riferimenti dello statuto ad alcuni passaggi procedurali, come l'indicazione del responsabile di procedimento, il termine iniziale per le deduzioni difensive, la durata della verifica etc. sono spesso usati in modo formalistico contro atti di accertamento per altri versi fondati (</w:t>
      </w:r>
      <w:r w:rsidRPr="007F7EBF">
        <w:rPr>
          <w:rStyle w:val="Rimandonotaapidipagina"/>
          <w:sz w:val="22"/>
          <w:szCs w:val="22"/>
        </w:rPr>
        <w:footnoteReference w:id="145"/>
      </w:r>
      <w:r w:rsidRPr="007F7EBF">
        <w:rPr>
          <w:sz w:val="22"/>
          <w:szCs w:val="22"/>
        </w:rPr>
        <w:t xml:space="preserve">).  </w:t>
      </w:r>
      <w:r w:rsidR="00294AE0">
        <w:rPr>
          <w:sz w:val="22"/>
          <w:szCs w:val="22"/>
        </w:rPr>
        <w:t xml:space="preserve">Ciò provoca </w:t>
      </w:r>
      <w:r w:rsidR="009B166A" w:rsidRPr="007F7EBF">
        <w:rPr>
          <w:sz w:val="22"/>
          <w:szCs w:val="22"/>
        </w:rPr>
        <w:t xml:space="preserve">un formalismo di segno opposto quando lo statuto tace, come per la tutela contro la mancata autotutela (par.6.6) o la remissione in termini del contribuente; </w:t>
      </w:r>
      <w:r w:rsidR="00F04406">
        <w:rPr>
          <w:sz w:val="22"/>
          <w:szCs w:val="22"/>
        </w:rPr>
        <w:t>p</w:t>
      </w:r>
      <w:r w:rsidR="009B166A" w:rsidRPr="007F7EBF">
        <w:rPr>
          <w:sz w:val="22"/>
          <w:szCs w:val="22"/>
        </w:rPr>
        <w:t xml:space="preserve">untellare con lo statuto soluzioni </w:t>
      </w:r>
      <w:r w:rsidR="009B166A" w:rsidRPr="007F7EBF">
        <w:rPr>
          <w:i/>
          <w:sz w:val="22"/>
          <w:szCs w:val="22"/>
        </w:rPr>
        <w:t>garantiste</w:t>
      </w:r>
      <w:r w:rsidR="009B166A" w:rsidRPr="007F7EBF">
        <w:rPr>
          <w:sz w:val="22"/>
          <w:szCs w:val="22"/>
        </w:rPr>
        <w:t xml:space="preserve">, rafforza "a contrario" soluzioni formalistiche dove lo statuto </w:t>
      </w:r>
      <w:r w:rsidR="009B166A" w:rsidRPr="00294AE0">
        <w:rPr>
          <w:sz w:val="22"/>
          <w:szCs w:val="22"/>
        </w:rPr>
        <w:t>manca</w:t>
      </w:r>
      <w:r w:rsidR="00294AE0" w:rsidRPr="00294AE0">
        <w:rPr>
          <w:sz w:val="22"/>
          <w:szCs w:val="22"/>
        </w:rPr>
        <w:t>. Basare la tutela del contribuente su un principio di autorità normativa (lo statuto)</w:t>
      </w:r>
      <w:r w:rsidR="000F5E48">
        <w:rPr>
          <w:sz w:val="22"/>
          <w:szCs w:val="22"/>
        </w:rPr>
        <w:t xml:space="preserve">, anziché </w:t>
      </w:r>
      <w:r w:rsidR="00294AE0" w:rsidRPr="00294AE0">
        <w:rPr>
          <w:sz w:val="22"/>
          <w:szCs w:val="22"/>
        </w:rPr>
        <w:lastRenderedPageBreak/>
        <w:t xml:space="preserve">sul ragionamento, diventa controproducente quando mancano appigli normativi </w:t>
      </w:r>
      <w:r w:rsidR="00F04406" w:rsidRPr="00294AE0">
        <w:rPr>
          <w:sz w:val="22"/>
          <w:szCs w:val="22"/>
        </w:rPr>
        <w:t>(</w:t>
      </w:r>
      <w:r w:rsidR="00F04406" w:rsidRPr="00294AE0">
        <w:rPr>
          <w:rStyle w:val="Rimandonotaapidipagina"/>
          <w:sz w:val="22"/>
          <w:szCs w:val="22"/>
        </w:rPr>
        <w:footnoteReference w:id="146"/>
      </w:r>
      <w:r w:rsidR="00F04406" w:rsidRPr="00294AE0">
        <w:rPr>
          <w:sz w:val="22"/>
          <w:szCs w:val="22"/>
        </w:rPr>
        <w:t>)</w:t>
      </w:r>
      <w:r w:rsidR="009B166A" w:rsidRPr="00294AE0">
        <w:rPr>
          <w:sz w:val="22"/>
          <w:szCs w:val="22"/>
        </w:rPr>
        <w:t xml:space="preserve">. </w:t>
      </w:r>
    </w:p>
    <w:p w14:paraId="098C59F2" w14:textId="77777777" w:rsidR="009B166A" w:rsidRPr="007F7EBF" w:rsidRDefault="009B166A" w:rsidP="009B166A">
      <w:pPr>
        <w:pStyle w:val="tit23"/>
        <w:ind w:left="6464" w:right="-1361" w:firstLine="0"/>
        <w:jc w:val="left"/>
        <w:rPr>
          <w:bCs/>
          <w:i/>
          <w:iCs/>
          <w:color w:val="0000FF"/>
          <w:lang w:val="it-IT"/>
        </w:rPr>
      </w:pPr>
      <w:r w:rsidRPr="007F7EBF">
        <w:rPr>
          <w:bCs/>
          <w:i/>
          <w:iCs/>
          <w:color w:val="0000FF"/>
          <w:lang w:val="it-IT"/>
        </w:rPr>
        <w:t xml:space="preserve">L’illusione delle “codificazioni” </w:t>
      </w:r>
    </w:p>
    <w:p w14:paraId="68634F89" w14:textId="17229DA8" w:rsidR="009B166A" w:rsidRPr="007F7EBF" w:rsidRDefault="009B166A" w:rsidP="009B166A">
      <w:pPr>
        <w:rPr>
          <w:bCs/>
          <w:sz w:val="22"/>
          <w:szCs w:val="22"/>
        </w:rPr>
      </w:pPr>
      <w:r w:rsidRPr="007F7EBF">
        <w:rPr>
          <w:sz w:val="22"/>
          <w:szCs w:val="22"/>
        </w:rPr>
        <w:t xml:space="preserve">La stessa illusione </w:t>
      </w:r>
      <w:r w:rsidR="000F5E48">
        <w:rPr>
          <w:i/>
          <w:sz w:val="22"/>
          <w:szCs w:val="22"/>
        </w:rPr>
        <w:t xml:space="preserve">legalistica </w:t>
      </w:r>
      <w:r w:rsidRPr="007F7EBF">
        <w:rPr>
          <w:i/>
          <w:sz w:val="22"/>
          <w:szCs w:val="22"/>
        </w:rPr>
        <w:t xml:space="preserve"> </w:t>
      </w:r>
      <w:r w:rsidRPr="007F7EBF">
        <w:rPr>
          <w:vanish/>
          <w:sz w:val="22"/>
          <w:szCs w:val="22"/>
        </w:rPr>
        <w:t>""normativistica"!</w:t>
      </w:r>
      <w:r w:rsidRPr="007F7EBF">
        <w:rPr>
          <w:sz w:val="22"/>
          <w:szCs w:val="22"/>
        </w:rPr>
        <w:t xml:space="preserve">si ritrova nell'invocazione di "codificazioni", </w:t>
      </w:r>
      <w:r w:rsidR="00294AE0">
        <w:rPr>
          <w:sz w:val="22"/>
          <w:szCs w:val="22"/>
        </w:rPr>
        <w:t xml:space="preserve">trascurando che </w:t>
      </w:r>
      <w:r w:rsidRPr="007F7EBF">
        <w:rPr>
          <w:sz w:val="22"/>
          <w:szCs w:val="22"/>
        </w:rPr>
        <w:t xml:space="preserve">per codificare serve una spiegazione </w:t>
      </w:r>
      <w:r w:rsidR="00F56331">
        <w:rPr>
          <w:sz w:val="22"/>
          <w:szCs w:val="22"/>
        </w:rPr>
        <w:t>giuridico-</w:t>
      </w:r>
      <w:r w:rsidR="00294AE0">
        <w:rPr>
          <w:sz w:val="22"/>
          <w:szCs w:val="22"/>
        </w:rPr>
        <w:t>sociale d</w:t>
      </w:r>
      <w:r w:rsidRPr="007F7EBF">
        <w:rPr>
          <w:sz w:val="22"/>
          <w:szCs w:val="22"/>
        </w:rPr>
        <w:t xml:space="preserve">ella funzione </w:t>
      </w:r>
      <w:r w:rsidR="00294AE0">
        <w:rPr>
          <w:sz w:val="22"/>
          <w:szCs w:val="22"/>
        </w:rPr>
        <w:t xml:space="preserve">pubblica </w:t>
      </w:r>
      <w:r w:rsidRPr="007F7EBF">
        <w:rPr>
          <w:sz w:val="22"/>
          <w:szCs w:val="22"/>
        </w:rPr>
        <w:t xml:space="preserve">da regolamentare. </w:t>
      </w:r>
      <w:r w:rsidR="00294AE0">
        <w:rPr>
          <w:sz w:val="22"/>
          <w:szCs w:val="22"/>
        </w:rPr>
        <w:t xml:space="preserve">Si invocano le codificazioni solo sul </w:t>
      </w:r>
      <w:r w:rsidRPr="007F7EBF">
        <w:rPr>
          <w:sz w:val="22"/>
          <w:szCs w:val="22"/>
        </w:rPr>
        <w:t xml:space="preserve">tradizionale </w:t>
      </w:r>
      <w:r w:rsidR="00294AE0">
        <w:rPr>
          <w:sz w:val="22"/>
          <w:szCs w:val="22"/>
        </w:rPr>
        <w:t xml:space="preserve">“diritto dei privati”, la cui cornice è per definizione alla portata del senso comune, e richiede solo attenzione legislativa </w:t>
      </w:r>
      <w:r w:rsidR="005909BB">
        <w:rPr>
          <w:sz w:val="22"/>
          <w:szCs w:val="22"/>
        </w:rPr>
        <w:t>(</w:t>
      </w:r>
      <w:r w:rsidRPr="007F7EBF">
        <w:rPr>
          <w:rStyle w:val="Rimandonotaapidipagina"/>
          <w:sz w:val="22"/>
          <w:szCs w:val="22"/>
        </w:rPr>
        <w:footnoteReference w:id="147"/>
      </w:r>
      <w:r w:rsidR="005909BB">
        <w:rPr>
          <w:sz w:val="22"/>
          <w:szCs w:val="22"/>
        </w:rPr>
        <w:t>)</w:t>
      </w:r>
      <w:r w:rsidR="00294AE0">
        <w:rPr>
          <w:bCs/>
          <w:sz w:val="22"/>
          <w:szCs w:val="22"/>
        </w:rPr>
        <w:t>. Quando però manca la spiegazione scientifico sociale d</w:t>
      </w:r>
      <w:r w:rsidR="000F5E48">
        <w:rPr>
          <w:bCs/>
          <w:sz w:val="22"/>
          <w:szCs w:val="22"/>
        </w:rPr>
        <w:t>i un</w:t>
      </w:r>
      <w:r w:rsidR="00294AE0">
        <w:rPr>
          <w:bCs/>
          <w:sz w:val="22"/>
          <w:szCs w:val="22"/>
        </w:rPr>
        <w:t xml:space="preserve">a funzione, come in materia tributaria, l’invocata codificazione finirebbe solo per codificare la confusione di idee </w:t>
      </w:r>
      <w:r w:rsidR="00CB60DA">
        <w:rPr>
          <w:bCs/>
          <w:sz w:val="22"/>
          <w:szCs w:val="22"/>
        </w:rPr>
        <w:t>d</w:t>
      </w:r>
      <w:r w:rsidR="00294AE0">
        <w:rPr>
          <w:bCs/>
          <w:sz w:val="22"/>
          <w:szCs w:val="22"/>
        </w:rPr>
        <w:t xml:space="preserve">ella pubblica opinione </w:t>
      </w:r>
      <w:r w:rsidR="00682CFD" w:rsidRPr="007F7EBF">
        <w:rPr>
          <w:bCs/>
          <w:sz w:val="22"/>
          <w:szCs w:val="22"/>
        </w:rPr>
        <w:t>(</w:t>
      </w:r>
      <w:r w:rsidRPr="007F7EBF">
        <w:rPr>
          <w:rStyle w:val="Rimandonotaapidipagina"/>
          <w:bCs/>
          <w:sz w:val="22"/>
          <w:szCs w:val="22"/>
        </w:rPr>
        <w:footnoteReference w:id="148"/>
      </w:r>
      <w:r w:rsidRPr="007F7EBF">
        <w:rPr>
          <w:bCs/>
          <w:sz w:val="22"/>
          <w:szCs w:val="22"/>
        </w:rPr>
        <w:t xml:space="preserve">).  </w:t>
      </w:r>
    </w:p>
    <w:p w14:paraId="255ABACD" w14:textId="1C4705EC" w:rsidR="009B166A" w:rsidRPr="007F7EBF" w:rsidRDefault="004D2B4F" w:rsidP="009B166A">
      <w:pPr>
        <w:pStyle w:val="tit23"/>
        <w:ind w:left="6464" w:right="-1361" w:firstLine="0"/>
        <w:jc w:val="left"/>
        <w:rPr>
          <w:bCs/>
          <w:i/>
          <w:iCs/>
          <w:color w:val="0000FF"/>
          <w:lang w:val="it-IT"/>
        </w:rPr>
      </w:pPr>
      <w:r>
        <w:rPr>
          <w:bCs/>
          <w:i/>
          <w:iCs/>
          <w:color w:val="0000FF"/>
          <w:lang w:val="it-IT"/>
        </w:rPr>
        <w:t xml:space="preserve">Segue: rischio di </w:t>
      </w:r>
      <w:r w:rsidR="00C553E9">
        <w:rPr>
          <w:bCs/>
          <w:i/>
          <w:iCs/>
          <w:color w:val="0000FF"/>
          <w:lang w:val="it-IT"/>
        </w:rPr>
        <w:t xml:space="preserve"> stravolgimenti </w:t>
      </w:r>
    </w:p>
    <w:p w14:paraId="24BD0212" w14:textId="2888F554" w:rsidR="006342C5" w:rsidRPr="007F7EBF" w:rsidRDefault="004D2B4F" w:rsidP="00484EEC">
      <w:pPr>
        <w:autoSpaceDE w:val="0"/>
        <w:autoSpaceDN w:val="0"/>
        <w:adjustRightInd w:val="0"/>
        <w:rPr>
          <w:sz w:val="22"/>
          <w:szCs w:val="22"/>
        </w:rPr>
      </w:pPr>
      <w:r>
        <w:rPr>
          <w:sz w:val="22"/>
          <w:szCs w:val="22"/>
        </w:rPr>
        <w:t xml:space="preserve">Solo con questa spiegazione sociale d’insieme, una </w:t>
      </w:r>
      <w:r w:rsidRPr="007F7EBF">
        <w:rPr>
          <w:sz w:val="22"/>
          <w:szCs w:val="22"/>
        </w:rPr>
        <w:t>codificazione tributaria</w:t>
      </w:r>
      <w:r>
        <w:rPr>
          <w:sz w:val="22"/>
          <w:szCs w:val="22"/>
        </w:rPr>
        <w:t xml:space="preserve"> può essere compatibile con </w:t>
      </w:r>
      <w:r w:rsidRPr="007F7EBF">
        <w:rPr>
          <w:sz w:val="22"/>
          <w:szCs w:val="22"/>
        </w:rPr>
        <w:t>le varie modalità di determinazione de</w:t>
      </w:r>
      <w:r>
        <w:rPr>
          <w:sz w:val="22"/>
          <w:szCs w:val="22"/>
        </w:rPr>
        <w:t xml:space="preserve">gli imponibili, indicate al par.1.11. Senza di essa, come </w:t>
      </w:r>
      <w:r w:rsidR="009B166A" w:rsidRPr="007F7EBF">
        <w:rPr>
          <w:sz w:val="22"/>
          <w:szCs w:val="22"/>
        </w:rPr>
        <w:t>già visto per lo statuto del contribuente,</w:t>
      </w:r>
      <w:r>
        <w:rPr>
          <w:sz w:val="22"/>
          <w:szCs w:val="22"/>
        </w:rPr>
        <w:t xml:space="preserve"> si</w:t>
      </w:r>
      <w:r w:rsidR="009B166A" w:rsidRPr="007F7EBF">
        <w:rPr>
          <w:sz w:val="22"/>
          <w:szCs w:val="22"/>
        </w:rPr>
        <w:t xml:space="preserve"> rischia</w:t>
      </w:r>
      <w:r>
        <w:rPr>
          <w:sz w:val="22"/>
          <w:szCs w:val="22"/>
        </w:rPr>
        <w:t>no semplicismi e rigidità</w:t>
      </w:r>
      <w:r w:rsidR="009B166A" w:rsidRPr="007F7EBF">
        <w:rPr>
          <w:sz w:val="22"/>
          <w:szCs w:val="22"/>
        </w:rPr>
        <w:t xml:space="preserve">, specie per </w:t>
      </w:r>
      <w:r>
        <w:rPr>
          <w:sz w:val="22"/>
          <w:szCs w:val="22"/>
        </w:rPr>
        <w:t xml:space="preserve">le </w:t>
      </w:r>
      <w:r w:rsidR="009B166A" w:rsidRPr="007F7EBF">
        <w:rPr>
          <w:sz w:val="22"/>
          <w:szCs w:val="22"/>
        </w:rPr>
        <w:t>numerosissime imposte estranee alla tassazione attraverso le aziende</w:t>
      </w:r>
      <w:r>
        <w:rPr>
          <w:sz w:val="22"/>
          <w:szCs w:val="22"/>
        </w:rPr>
        <w:t>, su</w:t>
      </w:r>
      <w:r w:rsidR="000F5E48">
        <w:rPr>
          <w:sz w:val="22"/>
          <w:szCs w:val="22"/>
        </w:rPr>
        <w:t>lle quali</w:t>
      </w:r>
      <w:r>
        <w:rPr>
          <w:sz w:val="22"/>
          <w:szCs w:val="22"/>
        </w:rPr>
        <w:t xml:space="preserve"> cui capitolo </w:t>
      </w:r>
      <w:r w:rsidR="000F5E48">
        <w:rPr>
          <w:sz w:val="22"/>
          <w:szCs w:val="22"/>
        </w:rPr>
        <w:t>10</w:t>
      </w:r>
      <w:r w:rsidR="009B166A" w:rsidRPr="007F7EBF">
        <w:rPr>
          <w:sz w:val="22"/>
          <w:szCs w:val="22"/>
        </w:rPr>
        <w:t>; si tratta di tributi ormai assestati nelle loro logiche di nicchia, improntat</w:t>
      </w:r>
      <w:r w:rsidR="00C67695">
        <w:rPr>
          <w:sz w:val="22"/>
          <w:szCs w:val="22"/>
        </w:rPr>
        <w:t>i</w:t>
      </w:r>
      <w:r w:rsidR="009B166A" w:rsidRPr="007F7EBF">
        <w:rPr>
          <w:sz w:val="22"/>
          <w:szCs w:val="22"/>
        </w:rPr>
        <w:t xml:space="preserve"> a </w:t>
      </w:r>
      <w:r w:rsidR="00C67695">
        <w:rPr>
          <w:sz w:val="22"/>
          <w:szCs w:val="22"/>
        </w:rPr>
        <w:t xml:space="preserve">presupposti </w:t>
      </w:r>
      <w:r w:rsidR="009B166A" w:rsidRPr="007F7EBF">
        <w:rPr>
          <w:sz w:val="22"/>
          <w:szCs w:val="22"/>
        </w:rPr>
        <w:t>specific</w:t>
      </w:r>
      <w:r w:rsidR="00C67695">
        <w:rPr>
          <w:sz w:val="22"/>
          <w:szCs w:val="22"/>
        </w:rPr>
        <w:t>i</w:t>
      </w:r>
      <w:r w:rsidR="009B166A" w:rsidRPr="007F7EBF">
        <w:rPr>
          <w:sz w:val="22"/>
          <w:szCs w:val="22"/>
        </w:rPr>
        <w:t>, o addirittura al principio del beneficio</w:t>
      </w:r>
      <w:r w:rsidR="000829CE">
        <w:rPr>
          <w:sz w:val="22"/>
          <w:szCs w:val="22"/>
        </w:rPr>
        <w:t xml:space="preserve"> (par.1.2)</w:t>
      </w:r>
      <w:r w:rsidR="009B166A" w:rsidRPr="007F7EBF">
        <w:rPr>
          <w:sz w:val="22"/>
          <w:szCs w:val="22"/>
        </w:rPr>
        <w:t xml:space="preserve">; </w:t>
      </w:r>
      <w:r w:rsidR="00984D87">
        <w:rPr>
          <w:sz w:val="22"/>
          <w:szCs w:val="22"/>
        </w:rPr>
        <w:t>quest’</w:t>
      </w:r>
      <w:r w:rsidR="00A14940">
        <w:rPr>
          <w:sz w:val="22"/>
          <w:szCs w:val="22"/>
        </w:rPr>
        <w:t xml:space="preserve">assetto  sarebbe </w:t>
      </w:r>
      <w:r w:rsidR="009B166A" w:rsidRPr="007F7EBF">
        <w:rPr>
          <w:sz w:val="22"/>
          <w:szCs w:val="22"/>
        </w:rPr>
        <w:t>stravolt</w:t>
      </w:r>
      <w:r w:rsidR="00984D87">
        <w:rPr>
          <w:sz w:val="22"/>
          <w:szCs w:val="22"/>
        </w:rPr>
        <w:t>o</w:t>
      </w:r>
      <w:r w:rsidR="009B166A" w:rsidRPr="007F7EBF">
        <w:rPr>
          <w:sz w:val="22"/>
          <w:szCs w:val="22"/>
        </w:rPr>
        <w:t xml:space="preserve"> da un</w:t>
      </w:r>
      <w:r>
        <w:rPr>
          <w:sz w:val="22"/>
          <w:szCs w:val="22"/>
        </w:rPr>
        <w:t>’astratt</w:t>
      </w:r>
      <w:r w:rsidR="009B166A" w:rsidRPr="007F7EBF">
        <w:rPr>
          <w:sz w:val="22"/>
          <w:szCs w:val="22"/>
        </w:rPr>
        <w:t>a codificazione</w:t>
      </w:r>
      <w:r w:rsidR="00984D87">
        <w:rPr>
          <w:sz w:val="22"/>
          <w:szCs w:val="22"/>
        </w:rPr>
        <w:t>, il cui mito conferma la sopravvalutazione del diritto d</w:t>
      </w:r>
      <w:r w:rsidR="000F5E48">
        <w:rPr>
          <w:sz w:val="22"/>
          <w:szCs w:val="22"/>
        </w:rPr>
        <w:t>ei privati e della funzione giurisdizionale come pietre di paragone del diritto in generale</w:t>
      </w:r>
      <w:r w:rsidR="00984D87">
        <w:rPr>
          <w:sz w:val="22"/>
          <w:szCs w:val="22"/>
        </w:rPr>
        <w:t xml:space="preserve">, è </w:t>
      </w:r>
      <w:r w:rsidR="000F5E48">
        <w:rPr>
          <w:sz w:val="22"/>
          <w:szCs w:val="22"/>
        </w:rPr>
        <w:t xml:space="preserve">un equivoco già illustrato al par.1.3 e di cui troveremo </w:t>
      </w:r>
      <w:r w:rsidR="00984D87">
        <w:rPr>
          <w:sz w:val="22"/>
          <w:szCs w:val="22"/>
        </w:rPr>
        <w:t>altri</w:t>
      </w:r>
      <w:r w:rsidR="000F5E48">
        <w:rPr>
          <w:sz w:val="22"/>
          <w:szCs w:val="22"/>
        </w:rPr>
        <w:t xml:space="preserve"> inconvenienti al </w:t>
      </w:r>
      <w:r w:rsidR="001E6FB4">
        <w:rPr>
          <w:sz w:val="22"/>
          <w:szCs w:val="22"/>
        </w:rPr>
        <w:t>paragrafo seguente.</w:t>
      </w:r>
    </w:p>
    <w:p w14:paraId="02053DD7" w14:textId="3A4323BD" w:rsidR="00922D77" w:rsidRPr="007F7EBF" w:rsidRDefault="0055776A" w:rsidP="00A40B35">
      <w:pPr>
        <w:pStyle w:val="Titolo3"/>
        <w:rPr>
          <w:rFonts w:ascii="Times New Roman" w:hAnsi="Times New Roman"/>
          <w:sz w:val="22"/>
          <w:szCs w:val="22"/>
        </w:rPr>
      </w:pPr>
      <w:bookmarkStart w:id="22" w:name="_Toc63364943"/>
      <w:r w:rsidRPr="007F7EBF">
        <w:rPr>
          <w:rFonts w:ascii="Times New Roman" w:hAnsi="Times New Roman"/>
          <w:sz w:val="22"/>
          <w:szCs w:val="22"/>
        </w:rPr>
        <w:lastRenderedPageBreak/>
        <w:t xml:space="preserve">2.4. </w:t>
      </w:r>
      <w:r w:rsidRPr="007F7EBF">
        <w:rPr>
          <w:rFonts w:ascii="Times New Roman" w:hAnsi="Times New Roman"/>
          <w:i/>
          <w:iCs/>
          <w:sz w:val="22"/>
          <w:szCs w:val="22"/>
        </w:rPr>
        <w:t>Segue</w:t>
      </w:r>
      <w:r w:rsidR="00B41DE7" w:rsidRPr="007F7EBF">
        <w:rPr>
          <w:rFonts w:ascii="Times New Roman" w:hAnsi="Times New Roman"/>
          <w:sz w:val="22"/>
          <w:szCs w:val="22"/>
        </w:rPr>
        <w:t xml:space="preserve"> </w:t>
      </w:r>
      <w:r w:rsidR="002D3CBB">
        <w:rPr>
          <w:rFonts w:ascii="Times New Roman" w:hAnsi="Times New Roman"/>
          <w:sz w:val="22"/>
          <w:szCs w:val="22"/>
          <w:lang w:val="it-IT"/>
        </w:rPr>
        <w:t xml:space="preserve">Confusione legislativa davanti alla </w:t>
      </w:r>
      <w:r w:rsidR="00C009E7">
        <w:rPr>
          <w:rFonts w:ascii="Times New Roman" w:hAnsi="Times New Roman"/>
          <w:sz w:val="22"/>
          <w:szCs w:val="22"/>
          <w:lang w:val="it-IT"/>
        </w:rPr>
        <w:t>diversa determinabilità  dei presupposti economici d’imposta.</w:t>
      </w:r>
      <w:bookmarkEnd w:id="22"/>
      <w:r w:rsidR="00C009E7">
        <w:rPr>
          <w:rFonts w:ascii="Times New Roman" w:hAnsi="Times New Roman"/>
          <w:sz w:val="22"/>
          <w:szCs w:val="22"/>
          <w:lang w:val="it-IT"/>
        </w:rPr>
        <w:t xml:space="preserve"> </w:t>
      </w:r>
    </w:p>
    <w:p w14:paraId="1E2217A8" w14:textId="77777777" w:rsidR="00922D77" w:rsidRPr="007F7EBF" w:rsidRDefault="005D5CDA" w:rsidP="00922D77">
      <w:pPr>
        <w:pStyle w:val="tit23"/>
        <w:ind w:left="6464" w:right="-1361" w:firstLine="0"/>
        <w:jc w:val="left"/>
        <w:rPr>
          <w:b/>
          <w:bCs/>
          <w:i/>
          <w:iCs/>
          <w:color w:val="0000FF"/>
          <w:lang w:val="it-IT"/>
        </w:rPr>
      </w:pPr>
      <w:r w:rsidRPr="007F7EBF">
        <w:rPr>
          <w:b/>
          <w:bCs/>
          <w:i/>
          <w:iCs/>
          <w:color w:val="0000FF"/>
          <w:lang w:val="it-IT"/>
        </w:rPr>
        <w:t xml:space="preserve">La sopravvalutazione della </w:t>
      </w:r>
      <w:r w:rsidR="008148D5" w:rsidRPr="007F7EBF">
        <w:rPr>
          <w:b/>
          <w:bCs/>
          <w:i/>
          <w:iCs/>
          <w:color w:val="0000FF"/>
          <w:lang w:val="it-IT"/>
        </w:rPr>
        <w:t xml:space="preserve">legislazione </w:t>
      </w:r>
    </w:p>
    <w:p w14:paraId="13C289E8" w14:textId="35003C0F" w:rsidR="0077122F" w:rsidRPr="007F7EBF" w:rsidRDefault="004017B1" w:rsidP="00AA5CA5">
      <w:pPr>
        <w:rPr>
          <w:sz w:val="22"/>
          <w:szCs w:val="22"/>
        </w:rPr>
      </w:pPr>
      <w:r>
        <w:rPr>
          <w:sz w:val="22"/>
          <w:szCs w:val="22"/>
        </w:rPr>
        <w:t>L</w:t>
      </w:r>
      <w:r w:rsidR="003E56E4">
        <w:rPr>
          <w:sz w:val="22"/>
          <w:szCs w:val="22"/>
        </w:rPr>
        <w:t>’importanza attribuita, nel diritto come tecnica, a</w:t>
      </w:r>
      <w:r w:rsidR="00F31265">
        <w:rPr>
          <w:sz w:val="22"/>
          <w:szCs w:val="22"/>
        </w:rPr>
        <w:t xml:space="preserve">l </w:t>
      </w:r>
      <w:r w:rsidR="00D76356">
        <w:rPr>
          <w:sz w:val="22"/>
          <w:szCs w:val="22"/>
        </w:rPr>
        <w:t xml:space="preserve">comparto </w:t>
      </w:r>
      <w:r w:rsidR="00D76356" w:rsidRPr="00D76356">
        <w:rPr>
          <w:i/>
          <w:iCs/>
          <w:sz w:val="22"/>
          <w:szCs w:val="22"/>
        </w:rPr>
        <w:t>privatistico giurisdizionale</w:t>
      </w:r>
      <w:r w:rsidR="00F31265">
        <w:rPr>
          <w:sz w:val="22"/>
          <w:szCs w:val="22"/>
        </w:rPr>
        <w:t xml:space="preserve"> </w:t>
      </w:r>
      <w:r w:rsidR="00E21FF2">
        <w:rPr>
          <w:sz w:val="22"/>
          <w:szCs w:val="22"/>
        </w:rPr>
        <w:t>ha</w:t>
      </w:r>
      <w:r w:rsidR="00F31265">
        <w:rPr>
          <w:sz w:val="22"/>
          <w:szCs w:val="22"/>
        </w:rPr>
        <w:t xml:space="preserve"> </w:t>
      </w:r>
      <w:r w:rsidR="006F65DC">
        <w:rPr>
          <w:sz w:val="22"/>
          <w:szCs w:val="22"/>
        </w:rPr>
        <w:t xml:space="preserve">portato a una </w:t>
      </w:r>
      <w:r w:rsidR="00F31265">
        <w:rPr>
          <w:sz w:val="22"/>
          <w:szCs w:val="22"/>
        </w:rPr>
        <w:t>sopravvaluta</w:t>
      </w:r>
      <w:r w:rsidR="006F65DC">
        <w:rPr>
          <w:sz w:val="22"/>
          <w:szCs w:val="22"/>
        </w:rPr>
        <w:t>zione del</w:t>
      </w:r>
      <w:r w:rsidR="00F31265">
        <w:rPr>
          <w:sz w:val="22"/>
          <w:szCs w:val="22"/>
        </w:rPr>
        <w:t>la le</w:t>
      </w:r>
      <w:r w:rsidR="00984D87">
        <w:rPr>
          <w:sz w:val="22"/>
          <w:szCs w:val="22"/>
        </w:rPr>
        <w:t>gislazione</w:t>
      </w:r>
      <w:r w:rsidR="000829CE">
        <w:rPr>
          <w:sz w:val="22"/>
          <w:szCs w:val="22"/>
        </w:rPr>
        <w:t>(</w:t>
      </w:r>
      <w:r w:rsidR="000829CE" w:rsidRPr="007F7EBF">
        <w:rPr>
          <w:rStyle w:val="Rimandonotaapidipagina"/>
          <w:sz w:val="22"/>
          <w:szCs w:val="22"/>
        </w:rPr>
        <w:footnoteReference w:id="149"/>
      </w:r>
      <w:r w:rsidR="000829CE">
        <w:rPr>
          <w:sz w:val="22"/>
          <w:szCs w:val="22"/>
        </w:rPr>
        <w:t>)</w:t>
      </w:r>
      <w:r w:rsidR="006F65DC">
        <w:rPr>
          <w:sz w:val="22"/>
          <w:szCs w:val="22"/>
        </w:rPr>
        <w:t xml:space="preserve">; ad essa </w:t>
      </w:r>
      <w:r w:rsidR="007B1C30">
        <w:rPr>
          <w:sz w:val="22"/>
          <w:szCs w:val="22"/>
        </w:rPr>
        <w:t xml:space="preserve">viene addirittura </w:t>
      </w:r>
      <w:r w:rsidR="006F65DC">
        <w:rPr>
          <w:sz w:val="22"/>
          <w:szCs w:val="22"/>
        </w:rPr>
        <w:t xml:space="preserve">associata un’immagine di onnipotenza, anche sul piano </w:t>
      </w:r>
      <w:r w:rsidR="006F65DC">
        <w:t xml:space="preserve">della soddisfazione dei bisogni, spettante all’economia, mentre politica e diritto attengono alla sovranità. Questa sopravvalutazione produce il c.d. </w:t>
      </w:r>
      <w:r w:rsidR="006F65DC">
        <w:rPr>
          <w:i/>
          <w:iCs/>
        </w:rPr>
        <w:t xml:space="preserve">giacobinismo </w:t>
      </w:r>
      <w:r w:rsidR="006F65DC">
        <w:t xml:space="preserve">secondo cui si potrebbe realizzare qualsiasi cosa semplicemente per legge, come </w:t>
      </w:r>
      <w:r w:rsidR="006F65DC">
        <w:rPr>
          <w:i/>
          <w:iCs/>
        </w:rPr>
        <w:t>abolire la povertà</w:t>
      </w:r>
      <w:r w:rsidR="006F65DC">
        <w:rPr>
          <w:rStyle w:val="Rimandonotaapidipagina"/>
          <w:sz w:val="22"/>
          <w:szCs w:val="22"/>
        </w:rPr>
        <w:t xml:space="preserve"> </w:t>
      </w:r>
      <w:r w:rsidR="006F65DC">
        <w:rPr>
          <w:sz w:val="22"/>
          <w:szCs w:val="22"/>
        </w:rPr>
        <w:t xml:space="preserve">, nuocendo </w:t>
      </w:r>
      <w:r w:rsidR="007B1C30">
        <w:rPr>
          <w:sz w:val="22"/>
          <w:szCs w:val="22"/>
        </w:rPr>
        <w:t>a pluralismo</w:t>
      </w:r>
      <w:r w:rsidR="006F65DC">
        <w:rPr>
          <w:sz w:val="22"/>
          <w:szCs w:val="22"/>
        </w:rPr>
        <w:t>,</w:t>
      </w:r>
      <w:r w:rsidR="007B1C30">
        <w:rPr>
          <w:sz w:val="22"/>
          <w:szCs w:val="22"/>
        </w:rPr>
        <w:t xml:space="preserve"> democrazia (</w:t>
      </w:r>
      <w:r w:rsidR="007B1C30">
        <w:rPr>
          <w:rStyle w:val="Rimandonotaapidipagina"/>
          <w:sz w:val="22"/>
          <w:szCs w:val="22"/>
        </w:rPr>
        <w:footnoteReference w:id="150"/>
      </w:r>
      <w:r w:rsidR="007B1C30">
        <w:rPr>
          <w:sz w:val="22"/>
          <w:szCs w:val="22"/>
        </w:rPr>
        <w:t>)</w:t>
      </w:r>
      <w:r w:rsidR="006F65DC">
        <w:rPr>
          <w:sz w:val="22"/>
          <w:szCs w:val="22"/>
        </w:rPr>
        <w:t xml:space="preserve"> e in ultima analisi alla politica e alla</w:t>
      </w:r>
      <w:r w:rsidR="00F31265">
        <w:rPr>
          <w:sz w:val="22"/>
          <w:szCs w:val="22"/>
        </w:rPr>
        <w:t xml:space="preserve"> </w:t>
      </w:r>
      <w:r w:rsidR="007B1C30">
        <w:rPr>
          <w:sz w:val="22"/>
          <w:szCs w:val="22"/>
        </w:rPr>
        <w:t>legislazione</w:t>
      </w:r>
      <w:r w:rsidR="00F31265">
        <w:rPr>
          <w:sz w:val="22"/>
          <w:szCs w:val="22"/>
        </w:rPr>
        <w:t xml:space="preserve">. </w:t>
      </w:r>
    </w:p>
    <w:p w14:paraId="2931545C" w14:textId="3413D285" w:rsidR="00C251AA" w:rsidRPr="007F7EBF" w:rsidRDefault="00EC3A5E" w:rsidP="00C251AA">
      <w:pPr>
        <w:pStyle w:val="tit23"/>
        <w:ind w:left="6464" w:right="-1361" w:firstLine="0"/>
        <w:jc w:val="left"/>
        <w:rPr>
          <w:b/>
          <w:bCs/>
          <w:i/>
          <w:iCs/>
          <w:color w:val="0000FF"/>
          <w:lang w:val="it-IT"/>
        </w:rPr>
      </w:pPr>
      <w:r w:rsidRPr="007F7EBF">
        <w:rPr>
          <w:b/>
          <w:bCs/>
          <w:i/>
          <w:iCs/>
          <w:color w:val="0000FF"/>
          <w:lang w:val="it-IT"/>
        </w:rPr>
        <w:t xml:space="preserve">circolo vizioso delle risposte </w:t>
      </w:r>
      <w:r w:rsidR="005356CE">
        <w:rPr>
          <w:b/>
          <w:bCs/>
          <w:i/>
          <w:iCs/>
          <w:color w:val="0000FF"/>
          <w:lang w:val="it-IT"/>
        </w:rPr>
        <w:t>legislative ai malesseri tributari</w:t>
      </w:r>
      <w:r w:rsidRPr="007F7EBF">
        <w:rPr>
          <w:b/>
          <w:bCs/>
          <w:i/>
          <w:iCs/>
          <w:color w:val="0000FF"/>
          <w:lang w:val="it-IT"/>
        </w:rPr>
        <w:t xml:space="preserve"> </w:t>
      </w:r>
    </w:p>
    <w:p w14:paraId="28003637" w14:textId="60BD83E3" w:rsidR="007711E7" w:rsidRDefault="00F91AC9" w:rsidP="007711E7">
      <w:pPr>
        <w:autoSpaceDE w:val="0"/>
        <w:autoSpaceDN w:val="0"/>
        <w:adjustRightInd w:val="0"/>
        <w:rPr>
          <w:sz w:val="22"/>
          <w:szCs w:val="22"/>
        </w:rPr>
      </w:pPr>
      <w:r>
        <w:rPr>
          <w:sz w:val="22"/>
          <w:szCs w:val="22"/>
        </w:rPr>
        <w:t xml:space="preserve">L’erronea sopravvalutazione </w:t>
      </w:r>
      <w:r w:rsidR="00E80091">
        <w:rPr>
          <w:sz w:val="22"/>
          <w:szCs w:val="22"/>
        </w:rPr>
        <w:t xml:space="preserve">della </w:t>
      </w:r>
      <w:r w:rsidR="006F65DC">
        <w:rPr>
          <w:sz w:val="22"/>
          <w:szCs w:val="22"/>
        </w:rPr>
        <w:t>legge</w:t>
      </w:r>
      <w:r w:rsidR="00E80091">
        <w:rPr>
          <w:sz w:val="22"/>
          <w:szCs w:val="22"/>
        </w:rPr>
        <w:t>, e della politica</w:t>
      </w:r>
      <w:r w:rsidR="006F65DC">
        <w:rPr>
          <w:sz w:val="22"/>
          <w:szCs w:val="22"/>
        </w:rPr>
        <w:t xml:space="preserve">, danneggiano entrambe, creando verso di esse </w:t>
      </w:r>
      <w:r w:rsidR="001462FA">
        <w:rPr>
          <w:sz w:val="22"/>
          <w:szCs w:val="22"/>
        </w:rPr>
        <w:t>aspettative esagerate</w:t>
      </w:r>
      <w:r w:rsidR="006F65DC">
        <w:rPr>
          <w:sz w:val="22"/>
          <w:szCs w:val="22"/>
        </w:rPr>
        <w:t xml:space="preserve">, </w:t>
      </w:r>
      <w:r w:rsidR="00E80091">
        <w:rPr>
          <w:sz w:val="22"/>
          <w:szCs w:val="22"/>
        </w:rPr>
        <w:t xml:space="preserve">davanti a </w:t>
      </w:r>
      <w:r w:rsidR="00740100">
        <w:rPr>
          <w:sz w:val="22"/>
          <w:szCs w:val="22"/>
        </w:rPr>
        <w:t xml:space="preserve">malesseri sociali, </w:t>
      </w:r>
      <w:r w:rsidR="001462FA">
        <w:rPr>
          <w:sz w:val="22"/>
          <w:szCs w:val="22"/>
        </w:rPr>
        <w:t>nel nostro caso</w:t>
      </w:r>
      <w:r w:rsidR="0014054F">
        <w:rPr>
          <w:sz w:val="22"/>
          <w:szCs w:val="22"/>
        </w:rPr>
        <w:t xml:space="preserve"> </w:t>
      </w:r>
      <w:r w:rsidR="00740100">
        <w:rPr>
          <w:sz w:val="22"/>
          <w:szCs w:val="22"/>
        </w:rPr>
        <w:t>le sperequazioni nella determinazione de</w:t>
      </w:r>
      <w:r w:rsidR="006F65DC">
        <w:rPr>
          <w:sz w:val="22"/>
          <w:szCs w:val="22"/>
        </w:rPr>
        <w:t xml:space="preserve">i presupposti economici d’imposta </w:t>
      </w:r>
      <w:r w:rsidR="00740100">
        <w:rPr>
          <w:sz w:val="22"/>
          <w:szCs w:val="22"/>
        </w:rPr>
        <w:t>(par.1.5)</w:t>
      </w:r>
      <w:r w:rsidR="001462FA">
        <w:rPr>
          <w:sz w:val="22"/>
          <w:szCs w:val="22"/>
        </w:rPr>
        <w:t xml:space="preserve">. </w:t>
      </w:r>
      <w:r w:rsidR="00A42806">
        <w:rPr>
          <w:sz w:val="22"/>
          <w:szCs w:val="22"/>
        </w:rPr>
        <w:t xml:space="preserve">La </w:t>
      </w:r>
      <w:r w:rsidR="001462FA">
        <w:rPr>
          <w:sz w:val="22"/>
          <w:szCs w:val="22"/>
        </w:rPr>
        <w:t>pubblica opinione</w:t>
      </w:r>
      <w:r w:rsidR="006F65DC">
        <w:rPr>
          <w:sz w:val="22"/>
          <w:szCs w:val="22"/>
        </w:rPr>
        <w:t xml:space="preserve">  </w:t>
      </w:r>
      <w:r w:rsidR="00A42806">
        <w:rPr>
          <w:sz w:val="22"/>
          <w:szCs w:val="22"/>
        </w:rPr>
        <w:t>priva di</w:t>
      </w:r>
      <w:r w:rsidR="006F65DC">
        <w:rPr>
          <w:sz w:val="22"/>
          <w:szCs w:val="22"/>
        </w:rPr>
        <w:t xml:space="preserve"> </w:t>
      </w:r>
      <w:r w:rsidR="001462FA">
        <w:rPr>
          <w:sz w:val="22"/>
          <w:szCs w:val="22"/>
        </w:rPr>
        <w:t xml:space="preserve">adeguate </w:t>
      </w:r>
      <w:r w:rsidR="005356CE">
        <w:rPr>
          <w:sz w:val="22"/>
          <w:szCs w:val="22"/>
        </w:rPr>
        <w:t>spiegazion</w:t>
      </w:r>
      <w:r w:rsidR="00740100">
        <w:rPr>
          <w:sz w:val="22"/>
          <w:szCs w:val="22"/>
        </w:rPr>
        <w:t>i</w:t>
      </w:r>
      <w:r w:rsidR="005356CE">
        <w:rPr>
          <w:sz w:val="22"/>
          <w:szCs w:val="22"/>
        </w:rPr>
        <w:t xml:space="preserve"> social</w:t>
      </w:r>
      <w:r w:rsidR="00740100">
        <w:rPr>
          <w:sz w:val="22"/>
          <w:szCs w:val="22"/>
        </w:rPr>
        <w:t>i</w:t>
      </w:r>
      <w:r w:rsidR="00A42806">
        <w:rPr>
          <w:sz w:val="22"/>
          <w:szCs w:val="22"/>
        </w:rPr>
        <w:t xml:space="preserve"> è </w:t>
      </w:r>
      <w:r w:rsidR="00F66747">
        <w:rPr>
          <w:sz w:val="22"/>
          <w:szCs w:val="22"/>
        </w:rPr>
        <w:t>pervasa da percezioni</w:t>
      </w:r>
      <w:r w:rsidR="00A42806">
        <w:rPr>
          <w:sz w:val="22"/>
          <w:szCs w:val="22"/>
        </w:rPr>
        <w:t xml:space="preserve"> al tempo stesso </w:t>
      </w:r>
      <w:r w:rsidR="00F66747">
        <w:rPr>
          <w:sz w:val="22"/>
          <w:szCs w:val="22"/>
        </w:rPr>
        <w:t>sensate</w:t>
      </w:r>
      <w:r w:rsidR="00A42806">
        <w:rPr>
          <w:sz w:val="22"/>
          <w:szCs w:val="22"/>
        </w:rPr>
        <w:t xml:space="preserve"> e </w:t>
      </w:r>
      <w:r w:rsidR="00F66747">
        <w:rPr>
          <w:sz w:val="22"/>
          <w:szCs w:val="22"/>
        </w:rPr>
        <w:t>confu</w:t>
      </w:r>
      <w:r w:rsidR="00A42806">
        <w:rPr>
          <w:sz w:val="22"/>
          <w:szCs w:val="22"/>
        </w:rPr>
        <w:t>se (</w:t>
      </w:r>
      <w:r w:rsidR="00F66747">
        <w:rPr>
          <w:sz w:val="22"/>
          <w:szCs w:val="22"/>
        </w:rPr>
        <w:t>parr.4.5 e seguenti</w:t>
      </w:r>
      <w:r w:rsidR="00A42806">
        <w:rPr>
          <w:sz w:val="22"/>
          <w:szCs w:val="22"/>
        </w:rPr>
        <w:t xml:space="preserve">); il </w:t>
      </w:r>
      <w:r w:rsidR="00F66747">
        <w:rPr>
          <w:sz w:val="22"/>
          <w:szCs w:val="22"/>
        </w:rPr>
        <w:t xml:space="preserve"> </w:t>
      </w:r>
      <w:r w:rsidR="00A42806">
        <w:rPr>
          <w:sz w:val="22"/>
          <w:szCs w:val="22"/>
        </w:rPr>
        <w:t>loro</w:t>
      </w:r>
      <w:r w:rsidR="00F66747">
        <w:rPr>
          <w:sz w:val="22"/>
          <w:szCs w:val="22"/>
        </w:rPr>
        <w:t xml:space="preserve"> coordinamento </w:t>
      </w:r>
      <w:r w:rsidR="00A42806">
        <w:rPr>
          <w:sz w:val="22"/>
          <w:szCs w:val="22"/>
        </w:rPr>
        <w:t>spetta a</w:t>
      </w:r>
      <w:r w:rsidR="003F5800">
        <w:rPr>
          <w:sz w:val="22"/>
          <w:szCs w:val="22"/>
        </w:rPr>
        <w:t xml:space="preserve">gli studiosi sociali (par.4.7), non </w:t>
      </w:r>
      <w:r w:rsidR="00A42806">
        <w:rPr>
          <w:sz w:val="22"/>
          <w:szCs w:val="22"/>
        </w:rPr>
        <w:t>a</w:t>
      </w:r>
      <w:r w:rsidR="003F5800">
        <w:rPr>
          <w:sz w:val="22"/>
          <w:szCs w:val="22"/>
        </w:rPr>
        <w:t xml:space="preserve">lla politica, </w:t>
      </w:r>
      <w:r w:rsidR="00A42806">
        <w:rPr>
          <w:sz w:val="22"/>
          <w:szCs w:val="22"/>
        </w:rPr>
        <w:t xml:space="preserve">già assorbita dall’interlocuzione </w:t>
      </w:r>
      <w:r w:rsidR="00F66747">
        <w:rPr>
          <w:sz w:val="22"/>
          <w:szCs w:val="22"/>
        </w:rPr>
        <w:t xml:space="preserve">con </w:t>
      </w:r>
      <w:r w:rsidR="00A42806">
        <w:rPr>
          <w:sz w:val="22"/>
          <w:szCs w:val="22"/>
        </w:rPr>
        <w:t>l</w:t>
      </w:r>
      <w:r w:rsidR="00F66747">
        <w:rPr>
          <w:sz w:val="22"/>
          <w:szCs w:val="22"/>
        </w:rPr>
        <w:t xml:space="preserve">e </w:t>
      </w:r>
      <w:r w:rsidR="00A42806">
        <w:rPr>
          <w:sz w:val="22"/>
          <w:szCs w:val="22"/>
        </w:rPr>
        <w:t xml:space="preserve">molte </w:t>
      </w:r>
      <w:r w:rsidR="00F66747">
        <w:rPr>
          <w:sz w:val="22"/>
          <w:szCs w:val="22"/>
        </w:rPr>
        <w:t xml:space="preserve">parti </w:t>
      </w:r>
      <w:r w:rsidR="00A42806">
        <w:rPr>
          <w:sz w:val="22"/>
          <w:szCs w:val="22"/>
        </w:rPr>
        <w:t xml:space="preserve">sociali </w:t>
      </w:r>
      <w:r w:rsidR="00F66747">
        <w:rPr>
          <w:sz w:val="22"/>
          <w:szCs w:val="22"/>
        </w:rPr>
        <w:t xml:space="preserve">di una società pluralista </w:t>
      </w:r>
      <w:r w:rsidR="00F66747">
        <w:rPr>
          <w:sz w:val="22"/>
          <w:szCs w:val="22"/>
        </w:rPr>
        <w:lastRenderedPageBreak/>
        <w:t>(</w:t>
      </w:r>
      <w:r w:rsidR="00F66747">
        <w:rPr>
          <w:rStyle w:val="Rimandonotaapidipagina"/>
          <w:sz w:val="22"/>
          <w:szCs w:val="22"/>
        </w:rPr>
        <w:footnoteReference w:id="151"/>
      </w:r>
      <w:r w:rsidR="00F66747">
        <w:rPr>
          <w:sz w:val="22"/>
          <w:szCs w:val="22"/>
        </w:rPr>
        <w:t>).</w:t>
      </w:r>
      <w:r w:rsidR="003F5800">
        <w:rPr>
          <w:sz w:val="22"/>
          <w:szCs w:val="22"/>
        </w:rPr>
        <w:t xml:space="preserve"> </w:t>
      </w:r>
      <w:r w:rsidR="00A42806">
        <w:rPr>
          <w:sz w:val="22"/>
          <w:szCs w:val="22"/>
        </w:rPr>
        <w:t xml:space="preserve">La politica finisce quindi per </w:t>
      </w:r>
      <w:r w:rsidR="003F5800">
        <w:rPr>
          <w:sz w:val="22"/>
          <w:szCs w:val="22"/>
        </w:rPr>
        <w:t xml:space="preserve">dare ascolto </w:t>
      </w:r>
      <w:r w:rsidR="00A42806">
        <w:rPr>
          <w:sz w:val="22"/>
          <w:szCs w:val="22"/>
        </w:rPr>
        <w:t xml:space="preserve">simultaneamente </w:t>
      </w:r>
      <w:r w:rsidR="003F5800">
        <w:rPr>
          <w:sz w:val="22"/>
          <w:szCs w:val="22"/>
        </w:rPr>
        <w:t>alle varie confuse tendenze di opinione (par.</w:t>
      </w:r>
      <w:r w:rsidR="003C43D7">
        <w:rPr>
          <w:sz w:val="22"/>
          <w:szCs w:val="22"/>
        </w:rPr>
        <w:t>4.</w:t>
      </w:r>
      <w:r w:rsidR="003F5800">
        <w:rPr>
          <w:sz w:val="22"/>
          <w:szCs w:val="22"/>
        </w:rPr>
        <w:t xml:space="preserve">1) filtrate dalla propria </w:t>
      </w:r>
      <w:r w:rsidR="007711E7">
        <w:rPr>
          <w:sz w:val="22"/>
          <w:szCs w:val="22"/>
          <w:lang w:eastAsia="x-none"/>
        </w:rPr>
        <w:t>inclinazione politico-ideologica</w:t>
      </w:r>
      <w:r w:rsidR="00A42806">
        <w:rPr>
          <w:sz w:val="22"/>
          <w:szCs w:val="22"/>
          <w:lang w:eastAsia="x-none"/>
        </w:rPr>
        <w:t>. L</w:t>
      </w:r>
      <w:r w:rsidR="007711E7">
        <w:rPr>
          <w:sz w:val="22"/>
          <w:szCs w:val="22"/>
          <w:lang w:eastAsia="x-none"/>
        </w:rPr>
        <w:t xml:space="preserve">a </w:t>
      </w:r>
      <w:r w:rsidR="00F66747">
        <w:rPr>
          <w:sz w:val="22"/>
          <w:szCs w:val="22"/>
        </w:rPr>
        <w:t>mancanza di tempo</w:t>
      </w:r>
      <w:r w:rsidR="00A42806">
        <w:rPr>
          <w:sz w:val="22"/>
          <w:szCs w:val="22"/>
        </w:rPr>
        <w:t>, e</w:t>
      </w:r>
      <w:r w:rsidR="003F5800">
        <w:rPr>
          <w:sz w:val="22"/>
          <w:szCs w:val="22"/>
        </w:rPr>
        <w:t xml:space="preserve"> la necessità di consenso, </w:t>
      </w:r>
      <w:r w:rsidR="00A42806">
        <w:rPr>
          <w:sz w:val="22"/>
          <w:szCs w:val="22"/>
          <w:lang w:eastAsia="x-none"/>
        </w:rPr>
        <w:t>spinge la politica a dare un qualche riscontro alle diverse tendenze intrecciate sul tema, rendendo p</w:t>
      </w:r>
      <w:r w:rsidR="003F5800">
        <w:rPr>
          <w:sz w:val="22"/>
          <w:szCs w:val="22"/>
        </w:rPr>
        <w:t>er definizione ambigua l</w:t>
      </w:r>
      <w:r w:rsidR="003F5800" w:rsidRPr="003F5800">
        <w:rPr>
          <w:sz w:val="22"/>
          <w:szCs w:val="22"/>
        </w:rPr>
        <w:t xml:space="preserve">a </w:t>
      </w:r>
      <w:r w:rsidR="003F5800" w:rsidRPr="003F5800">
        <w:rPr>
          <w:sz w:val="22"/>
          <w:szCs w:val="22"/>
          <w:lang w:eastAsia="x-none"/>
        </w:rPr>
        <w:t>legislazione.</w:t>
      </w:r>
      <w:r w:rsidR="003F5800">
        <w:rPr>
          <w:sz w:val="22"/>
          <w:szCs w:val="22"/>
          <w:lang w:eastAsia="x-none"/>
        </w:rPr>
        <w:t xml:space="preserve"> </w:t>
      </w:r>
      <w:r w:rsidR="00171EED">
        <w:t xml:space="preserve">Quest’ultima, per consenso, </w:t>
      </w:r>
      <w:r w:rsidR="00171EED" w:rsidRPr="007F7EBF">
        <w:rPr>
          <w:sz w:val="22"/>
          <w:szCs w:val="22"/>
        </w:rPr>
        <w:t>cerca di</w:t>
      </w:r>
      <w:r w:rsidR="00171EED">
        <w:rPr>
          <w:sz w:val="22"/>
          <w:szCs w:val="22"/>
        </w:rPr>
        <w:t xml:space="preserve"> dare attenzione un po' a </w:t>
      </w:r>
      <w:r w:rsidR="00171EED" w:rsidRPr="007F7EBF">
        <w:rPr>
          <w:sz w:val="22"/>
          <w:szCs w:val="22"/>
        </w:rPr>
        <w:t>tutti</w:t>
      </w:r>
      <w:r w:rsidR="00171EED">
        <w:rPr>
          <w:sz w:val="22"/>
          <w:szCs w:val="22"/>
        </w:rPr>
        <w:t xml:space="preserve">, </w:t>
      </w:r>
      <w:r w:rsidR="00171EED">
        <w:rPr>
          <w:sz w:val="22"/>
          <w:szCs w:val="22"/>
          <w:lang w:eastAsia="x-none"/>
        </w:rPr>
        <w:t xml:space="preserve">anche </w:t>
      </w:r>
      <w:r w:rsidR="00171EED" w:rsidRPr="007F7EBF">
        <w:rPr>
          <w:sz w:val="22"/>
          <w:szCs w:val="22"/>
          <w:lang w:eastAsia="x-none"/>
        </w:rPr>
        <w:t>presenta</w:t>
      </w:r>
      <w:r w:rsidR="00171EED">
        <w:rPr>
          <w:sz w:val="22"/>
          <w:szCs w:val="22"/>
          <w:lang w:eastAsia="x-none"/>
        </w:rPr>
        <w:t xml:space="preserve">ndo </w:t>
      </w:r>
      <w:r w:rsidR="00171EED" w:rsidRPr="007F7EBF">
        <w:rPr>
          <w:sz w:val="22"/>
          <w:szCs w:val="22"/>
          <w:lang w:eastAsia="x-none"/>
        </w:rPr>
        <w:t xml:space="preserve">diversamente </w:t>
      </w:r>
      <w:r w:rsidR="00171EED">
        <w:rPr>
          <w:sz w:val="22"/>
          <w:szCs w:val="22"/>
          <w:lang w:eastAsia="x-none"/>
        </w:rPr>
        <w:t xml:space="preserve">una stessa iniziativa </w:t>
      </w:r>
      <w:r w:rsidR="00171EED" w:rsidRPr="007F7EBF">
        <w:rPr>
          <w:sz w:val="22"/>
          <w:szCs w:val="22"/>
          <w:lang w:eastAsia="x-none"/>
        </w:rPr>
        <w:t xml:space="preserve">a seconda </w:t>
      </w:r>
      <w:r w:rsidR="00171EED">
        <w:rPr>
          <w:sz w:val="22"/>
          <w:szCs w:val="22"/>
          <w:lang w:eastAsia="x-none"/>
        </w:rPr>
        <w:t xml:space="preserve">delle diverse controparti cui si rivolge </w:t>
      </w:r>
      <w:r w:rsidR="00171EED">
        <w:rPr>
          <w:sz w:val="22"/>
          <w:szCs w:val="22"/>
        </w:rPr>
        <w:t>(</w:t>
      </w:r>
      <w:r w:rsidR="00171EED" w:rsidRPr="007F7EBF">
        <w:rPr>
          <w:rStyle w:val="Rimandonotaapidipagina"/>
          <w:sz w:val="22"/>
          <w:szCs w:val="22"/>
        </w:rPr>
        <w:footnoteReference w:id="152"/>
      </w:r>
      <w:r w:rsidR="00171EED">
        <w:rPr>
          <w:sz w:val="22"/>
          <w:szCs w:val="22"/>
        </w:rPr>
        <w:t>)</w:t>
      </w:r>
      <w:r w:rsidR="00171EED" w:rsidRPr="007F7EBF">
        <w:rPr>
          <w:sz w:val="22"/>
          <w:szCs w:val="22"/>
        </w:rPr>
        <w:t>.</w:t>
      </w:r>
      <w:r w:rsidR="003F5800">
        <w:rPr>
          <w:sz w:val="22"/>
          <w:szCs w:val="22"/>
        </w:rPr>
        <w:t xml:space="preserve">Esposta a continue misurazioni del consenso, </w:t>
      </w:r>
      <w:r w:rsidR="00945E06">
        <w:rPr>
          <w:sz w:val="22"/>
          <w:szCs w:val="22"/>
        </w:rPr>
        <w:t>e a un costante dibattito sul tema dei tributi, la politica non può che fronteggiare la confusione, dovuta alla mancanza di spiegazioni sociali, con l’effetto di annuncio</w:t>
      </w:r>
      <w:r w:rsidR="00A42806">
        <w:rPr>
          <w:sz w:val="22"/>
          <w:szCs w:val="22"/>
        </w:rPr>
        <w:t xml:space="preserve">, destinato a creare </w:t>
      </w:r>
      <w:r w:rsidR="00F53278">
        <w:rPr>
          <w:sz w:val="22"/>
          <w:szCs w:val="22"/>
        </w:rPr>
        <w:t>visibil</w:t>
      </w:r>
      <w:r w:rsidR="00A42806">
        <w:rPr>
          <w:sz w:val="22"/>
          <w:szCs w:val="22"/>
        </w:rPr>
        <w:t>ità ed emozioni</w:t>
      </w:r>
      <w:r w:rsidR="00F53278" w:rsidRPr="007F7EBF">
        <w:rPr>
          <w:sz w:val="22"/>
          <w:szCs w:val="22"/>
        </w:rPr>
        <w:t xml:space="preserve">. </w:t>
      </w:r>
      <w:r w:rsidR="00290E07">
        <w:rPr>
          <w:sz w:val="22"/>
          <w:szCs w:val="22"/>
        </w:rPr>
        <w:t xml:space="preserve">Invece di </w:t>
      </w:r>
      <w:r w:rsidR="00A42806">
        <w:rPr>
          <w:sz w:val="22"/>
          <w:szCs w:val="22"/>
        </w:rPr>
        <w:t xml:space="preserve">rendere </w:t>
      </w:r>
      <w:r w:rsidR="00F53278">
        <w:rPr>
          <w:sz w:val="22"/>
          <w:szCs w:val="22"/>
        </w:rPr>
        <w:t>razional</w:t>
      </w:r>
      <w:r w:rsidR="00A42806">
        <w:rPr>
          <w:sz w:val="22"/>
          <w:szCs w:val="22"/>
        </w:rPr>
        <w:t xml:space="preserve">e </w:t>
      </w:r>
      <w:r w:rsidR="00F53278">
        <w:rPr>
          <w:sz w:val="22"/>
          <w:szCs w:val="22"/>
        </w:rPr>
        <w:t>la legislazione</w:t>
      </w:r>
      <w:r w:rsidR="00A42806">
        <w:rPr>
          <w:sz w:val="22"/>
          <w:szCs w:val="22"/>
        </w:rPr>
        <w:t xml:space="preserve"> è inevitabile cercare </w:t>
      </w:r>
      <w:r w:rsidR="00290E07">
        <w:rPr>
          <w:sz w:val="22"/>
          <w:szCs w:val="22"/>
        </w:rPr>
        <w:t xml:space="preserve"> </w:t>
      </w:r>
      <w:r w:rsidR="00F53278">
        <w:rPr>
          <w:sz w:val="22"/>
          <w:szCs w:val="22"/>
        </w:rPr>
        <w:t xml:space="preserve">visibilità attraverso </w:t>
      </w:r>
      <w:r w:rsidR="00A42806">
        <w:rPr>
          <w:sz w:val="22"/>
          <w:szCs w:val="22"/>
        </w:rPr>
        <w:t xml:space="preserve">di essa. Il dibattito politico diventa così uno strumento di </w:t>
      </w:r>
      <w:r w:rsidR="00715711">
        <w:rPr>
          <w:sz w:val="22"/>
          <w:szCs w:val="22"/>
        </w:rPr>
        <w:t xml:space="preserve"> </w:t>
      </w:r>
      <w:r w:rsidR="00F53278" w:rsidRPr="007F7EBF">
        <w:rPr>
          <w:bCs/>
          <w:sz w:val="22"/>
          <w:szCs w:val="22"/>
        </w:rPr>
        <w:t>propagand</w:t>
      </w:r>
      <w:r w:rsidR="00A42806">
        <w:rPr>
          <w:bCs/>
          <w:sz w:val="22"/>
          <w:szCs w:val="22"/>
        </w:rPr>
        <w:t>a</w:t>
      </w:r>
      <w:r w:rsidR="00715711">
        <w:rPr>
          <w:bCs/>
          <w:sz w:val="22"/>
          <w:szCs w:val="22"/>
        </w:rPr>
        <w:t xml:space="preserve"> su cui</w:t>
      </w:r>
      <w:r w:rsidR="00715711" w:rsidRPr="00715711">
        <w:rPr>
          <w:sz w:val="22"/>
          <w:szCs w:val="22"/>
        </w:rPr>
        <w:t xml:space="preserve"> </w:t>
      </w:r>
      <w:r w:rsidR="00715711" w:rsidRPr="007F7EBF">
        <w:rPr>
          <w:sz w:val="22"/>
          <w:szCs w:val="22"/>
        </w:rPr>
        <w:t>govern</w:t>
      </w:r>
      <w:r w:rsidR="00715711">
        <w:rPr>
          <w:sz w:val="22"/>
          <w:szCs w:val="22"/>
        </w:rPr>
        <w:t xml:space="preserve">o e </w:t>
      </w:r>
      <w:r w:rsidR="00715711" w:rsidRPr="007F7EBF">
        <w:rPr>
          <w:sz w:val="22"/>
          <w:szCs w:val="22"/>
        </w:rPr>
        <w:t>opposizione</w:t>
      </w:r>
      <w:r w:rsidR="00715711">
        <w:rPr>
          <w:sz w:val="22"/>
          <w:szCs w:val="22"/>
        </w:rPr>
        <w:t xml:space="preserve"> s’accapigliano, senza davvero capire su cosa, per poi dimenticare il tema</w:t>
      </w:r>
      <w:r w:rsidR="00A42806">
        <w:rPr>
          <w:sz w:val="22"/>
          <w:szCs w:val="22"/>
        </w:rPr>
        <w:t xml:space="preserve"> (cfr. </w:t>
      </w:r>
      <w:r w:rsidR="00715711">
        <w:rPr>
          <w:sz w:val="22"/>
          <w:szCs w:val="22"/>
        </w:rPr>
        <w:t>i cas</w:t>
      </w:r>
      <w:r w:rsidR="00A42806">
        <w:rPr>
          <w:sz w:val="22"/>
          <w:szCs w:val="22"/>
        </w:rPr>
        <w:t>i</w:t>
      </w:r>
      <w:r w:rsidR="00715711">
        <w:rPr>
          <w:sz w:val="22"/>
          <w:szCs w:val="22"/>
        </w:rPr>
        <w:t xml:space="preserve"> “</w:t>
      </w:r>
      <w:proofErr w:type="spellStart"/>
      <w:r w:rsidR="00715711">
        <w:rPr>
          <w:sz w:val="22"/>
          <w:szCs w:val="22"/>
        </w:rPr>
        <w:t>imu</w:t>
      </w:r>
      <w:proofErr w:type="spellEnd"/>
      <w:r w:rsidR="00715711">
        <w:rPr>
          <w:sz w:val="22"/>
          <w:szCs w:val="22"/>
        </w:rPr>
        <w:t xml:space="preserve"> prima casa” di cui al par.10.9</w:t>
      </w:r>
      <w:r w:rsidR="00A42806">
        <w:rPr>
          <w:sz w:val="22"/>
          <w:szCs w:val="22"/>
        </w:rPr>
        <w:t>, la “</w:t>
      </w:r>
      <w:proofErr w:type="spellStart"/>
      <w:r w:rsidR="00A42806">
        <w:rPr>
          <w:sz w:val="22"/>
          <w:szCs w:val="22"/>
        </w:rPr>
        <w:t>flat</w:t>
      </w:r>
      <w:proofErr w:type="spellEnd"/>
      <w:r w:rsidR="00A42806">
        <w:rPr>
          <w:sz w:val="22"/>
          <w:szCs w:val="22"/>
        </w:rPr>
        <w:t xml:space="preserve"> tax” o “la patrimoniale”</w:t>
      </w:r>
      <w:r w:rsidR="00715711">
        <w:t xml:space="preserve"> </w:t>
      </w:r>
      <w:r w:rsidR="00F53278">
        <w:t>(</w:t>
      </w:r>
      <w:r w:rsidR="00F53278" w:rsidRPr="007F7EBF">
        <w:rPr>
          <w:rStyle w:val="Rimandonotaapidipagina"/>
        </w:rPr>
        <w:footnoteReference w:id="153"/>
      </w:r>
      <w:r w:rsidR="00F53278">
        <w:t>)</w:t>
      </w:r>
      <w:r w:rsidR="00F53278">
        <w:rPr>
          <w:sz w:val="22"/>
          <w:szCs w:val="22"/>
        </w:rPr>
        <w:t>.</w:t>
      </w:r>
      <w:r w:rsidR="00814F59">
        <w:rPr>
          <w:sz w:val="22"/>
          <w:szCs w:val="22"/>
        </w:rPr>
        <w:t>Quanto precede</w:t>
      </w:r>
      <w:r w:rsidR="00314BBA">
        <w:rPr>
          <w:sz w:val="22"/>
          <w:szCs w:val="22"/>
        </w:rPr>
        <w:t xml:space="preserve"> fa</w:t>
      </w:r>
      <w:r w:rsidR="00314BBA">
        <w:t xml:space="preserve"> perdere </w:t>
      </w:r>
      <w:r w:rsidR="00814F59">
        <w:t>al</w:t>
      </w:r>
      <w:r w:rsidR="00314BBA">
        <w:t xml:space="preserve">la </w:t>
      </w:r>
      <w:r w:rsidR="00814F59">
        <w:t xml:space="preserve">legislazione la </w:t>
      </w:r>
      <w:r w:rsidR="00314BBA">
        <w:rPr>
          <w:sz w:val="22"/>
          <w:szCs w:val="22"/>
        </w:rPr>
        <w:t xml:space="preserve">tradizionale </w:t>
      </w:r>
      <w:r w:rsidR="00314BBA">
        <w:rPr>
          <w:sz w:val="22"/>
          <w:szCs w:val="22"/>
        </w:rPr>
        <w:lastRenderedPageBreak/>
        <w:t xml:space="preserve">“razionalità”, </w:t>
      </w:r>
      <w:r w:rsidR="00814F59">
        <w:rPr>
          <w:sz w:val="22"/>
          <w:szCs w:val="22"/>
        </w:rPr>
        <w:t>connessa alla</w:t>
      </w:r>
      <w:r w:rsidR="00314BBA">
        <w:rPr>
          <w:sz w:val="22"/>
          <w:szCs w:val="22"/>
        </w:rPr>
        <w:t xml:space="preserve"> specifica</w:t>
      </w:r>
      <w:r w:rsidR="00814F59">
        <w:rPr>
          <w:sz w:val="22"/>
          <w:szCs w:val="22"/>
        </w:rPr>
        <w:t>zion</w:t>
      </w:r>
      <w:r w:rsidR="00314BBA">
        <w:rPr>
          <w:sz w:val="22"/>
          <w:szCs w:val="22"/>
        </w:rPr>
        <w:t xml:space="preserve">e e </w:t>
      </w:r>
      <w:r w:rsidR="00814F59">
        <w:rPr>
          <w:sz w:val="22"/>
          <w:szCs w:val="22"/>
        </w:rPr>
        <w:t xml:space="preserve">al </w:t>
      </w:r>
      <w:r w:rsidR="00314BBA">
        <w:rPr>
          <w:sz w:val="22"/>
          <w:szCs w:val="22"/>
        </w:rPr>
        <w:t>bilancia</w:t>
      </w:r>
      <w:r w:rsidR="00814F59">
        <w:rPr>
          <w:sz w:val="22"/>
          <w:szCs w:val="22"/>
        </w:rPr>
        <w:t>mento di</w:t>
      </w:r>
      <w:r w:rsidR="00314BBA">
        <w:rPr>
          <w:sz w:val="22"/>
          <w:szCs w:val="22"/>
        </w:rPr>
        <w:t xml:space="preserve"> valori </w:t>
      </w:r>
      <w:r w:rsidR="00814F59">
        <w:rPr>
          <w:sz w:val="22"/>
          <w:szCs w:val="22"/>
        </w:rPr>
        <w:t xml:space="preserve">per definizione </w:t>
      </w:r>
      <w:r w:rsidR="00314BBA">
        <w:rPr>
          <w:sz w:val="22"/>
          <w:szCs w:val="22"/>
        </w:rPr>
        <w:t>percepiti</w:t>
      </w:r>
      <w:r w:rsidR="00814F59">
        <w:rPr>
          <w:sz w:val="22"/>
          <w:szCs w:val="22"/>
        </w:rPr>
        <w:t xml:space="preserve"> dalla pubblica opinione, in quanto radicati nella società</w:t>
      </w:r>
      <w:r w:rsidR="00314BBA">
        <w:rPr>
          <w:sz w:val="22"/>
          <w:szCs w:val="22"/>
        </w:rPr>
        <w:t>, come nel diritto dei privati</w:t>
      </w:r>
      <w:r w:rsidR="00164893">
        <w:rPr>
          <w:sz w:val="22"/>
          <w:szCs w:val="22"/>
        </w:rPr>
        <w:t xml:space="preserve">. </w:t>
      </w:r>
      <w:r w:rsidR="00164893">
        <w:t xml:space="preserve">La </w:t>
      </w:r>
      <w:r w:rsidR="00171EED" w:rsidRPr="007F7EBF">
        <w:rPr>
          <w:i/>
          <w:sz w:val="22"/>
          <w:szCs w:val="22"/>
        </w:rPr>
        <w:t>legge non insegna</w:t>
      </w:r>
      <w:r w:rsidR="00171EED">
        <w:rPr>
          <w:i/>
          <w:sz w:val="22"/>
          <w:szCs w:val="22"/>
        </w:rPr>
        <w:t xml:space="preserve">, </w:t>
      </w:r>
      <w:r w:rsidR="00171EED">
        <w:rPr>
          <w:sz w:val="22"/>
          <w:szCs w:val="22"/>
        </w:rPr>
        <w:t>come tutti i materiali normativi di cui al par.4.3</w:t>
      </w:r>
      <w:r w:rsidR="00171EED">
        <w:rPr>
          <w:i/>
          <w:sz w:val="22"/>
          <w:szCs w:val="22"/>
        </w:rPr>
        <w:t xml:space="preserve"> </w:t>
      </w:r>
      <w:r w:rsidR="00171EED">
        <w:rPr>
          <w:sz w:val="22"/>
          <w:szCs w:val="22"/>
        </w:rPr>
        <w:t>(</w:t>
      </w:r>
      <w:r w:rsidR="00171EED" w:rsidRPr="007F7EBF">
        <w:rPr>
          <w:rStyle w:val="Rimandonotaapidipagina"/>
          <w:sz w:val="22"/>
          <w:szCs w:val="22"/>
        </w:rPr>
        <w:footnoteReference w:id="154"/>
      </w:r>
      <w:r w:rsidR="00171EED">
        <w:rPr>
          <w:sz w:val="22"/>
          <w:szCs w:val="22"/>
        </w:rPr>
        <w:t xml:space="preserve">). L’uso mediatico della legislazione ha </w:t>
      </w:r>
      <w:r w:rsidR="00164893">
        <w:t>senza dubbio peggiorat</w:t>
      </w:r>
      <w:r w:rsidR="00171EED">
        <w:t>o le cose</w:t>
      </w:r>
      <w:r w:rsidR="00A6658D">
        <w:t>,</w:t>
      </w:r>
      <w:r w:rsidR="00164893">
        <w:t xml:space="preserve"> da quando si definiva l’Italia il</w:t>
      </w:r>
      <w:r w:rsidR="00164893" w:rsidRPr="007F7EBF">
        <w:t xml:space="preserve"> </w:t>
      </w:r>
      <w:r w:rsidR="00164893" w:rsidRPr="007F7EBF">
        <w:rPr>
          <w:i/>
        </w:rPr>
        <w:t xml:space="preserve">paese dalle mille leggi, temperate da una </w:t>
      </w:r>
      <w:r w:rsidR="00164893" w:rsidRPr="00023DD3">
        <w:rPr>
          <w:i/>
        </w:rPr>
        <w:t>pressoché generale inosservanza</w:t>
      </w:r>
      <w:r w:rsidR="00164893">
        <w:t xml:space="preserve"> </w:t>
      </w:r>
      <w:r w:rsidR="00314BBA">
        <w:rPr>
          <w:sz w:val="22"/>
          <w:szCs w:val="22"/>
        </w:rPr>
        <w:t>(</w:t>
      </w:r>
      <w:r w:rsidR="00314BBA">
        <w:rPr>
          <w:rStyle w:val="Rimandonotaapidipagina"/>
          <w:sz w:val="22"/>
          <w:szCs w:val="22"/>
        </w:rPr>
        <w:footnoteReference w:id="155"/>
      </w:r>
      <w:r w:rsidR="00314BBA">
        <w:rPr>
          <w:sz w:val="22"/>
          <w:szCs w:val="22"/>
        </w:rPr>
        <w:t>)</w:t>
      </w:r>
      <w:r w:rsidR="00314BBA" w:rsidRPr="007F7EBF">
        <w:rPr>
          <w:sz w:val="22"/>
          <w:szCs w:val="22"/>
        </w:rPr>
        <w:t>.</w:t>
      </w:r>
    </w:p>
    <w:p w14:paraId="2B2CA26A" w14:textId="77777777" w:rsidR="007711E7" w:rsidRPr="007F7EBF" w:rsidRDefault="007711E7" w:rsidP="007711E7">
      <w:pPr>
        <w:pStyle w:val="tit23"/>
        <w:ind w:left="6464" w:right="-1361" w:firstLine="0"/>
        <w:jc w:val="left"/>
        <w:rPr>
          <w:b/>
          <w:bCs/>
          <w:i/>
          <w:iCs/>
          <w:color w:val="0000FF"/>
          <w:lang w:val="it-IT"/>
        </w:rPr>
      </w:pPr>
      <w:r w:rsidRPr="007F7EBF">
        <w:rPr>
          <w:b/>
          <w:bCs/>
          <w:i/>
          <w:iCs/>
          <w:color w:val="0000FF"/>
          <w:lang w:val="it-IT"/>
        </w:rPr>
        <w:t>Ambiguità legislativa come strumento di comunicazione politica</w:t>
      </w:r>
    </w:p>
    <w:p w14:paraId="018031A5" w14:textId="6F8A39EA" w:rsidR="0039020B" w:rsidRDefault="00171EED" w:rsidP="007711E7">
      <w:pPr>
        <w:autoSpaceDE w:val="0"/>
        <w:autoSpaceDN w:val="0"/>
        <w:adjustRightInd w:val="0"/>
        <w:rPr>
          <w:sz w:val="22"/>
          <w:szCs w:val="22"/>
        </w:rPr>
      </w:pPr>
      <w:r>
        <w:t xml:space="preserve">La legislazione tributaria meno esposta a queste sollecitazioni dovrebbe essere quella che specifica giuridicamente i presupposti economici d’imposta, cioè il diritto sostanziale tributario di cui al par.2.3. </w:t>
      </w:r>
      <w:r w:rsidR="0084468B">
        <w:t>A</w:t>
      </w:r>
      <w:r>
        <w:t>nche qui, però, s</w:t>
      </w:r>
      <w:r w:rsidR="00305C80">
        <w:t xml:space="preserve">e </w:t>
      </w:r>
      <w:r w:rsidR="0084468B">
        <w:t xml:space="preserve">all’interno di </w:t>
      </w:r>
      <w:r>
        <w:t>del gruppo</w:t>
      </w:r>
      <w:r w:rsidR="0084468B">
        <w:t xml:space="preserve"> </w:t>
      </w:r>
      <w:r w:rsidR="00305C80">
        <w:t xml:space="preserve">c’è confusione, per mancanza di spiegazioni, la legislazione </w:t>
      </w:r>
      <w:r>
        <w:t xml:space="preserve">la recepisce; </w:t>
      </w:r>
      <w:r w:rsidR="00305C80">
        <w:t xml:space="preserve"> </w:t>
      </w:r>
      <w:r>
        <w:t>l’uso della legislazione per</w:t>
      </w:r>
      <w:r w:rsidRPr="007F7EBF">
        <w:t xml:space="preserve"> comunica</w:t>
      </w:r>
      <w:r>
        <w:t>zione politica</w:t>
      </w:r>
      <w:r w:rsidRPr="007F7EBF">
        <w:t xml:space="preserve"> (</w:t>
      </w:r>
      <w:r>
        <w:t xml:space="preserve">il già indicato </w:t>
      </w:r>
      <w:r w:rsidRPr="007F7EBF">
        <w:t>"effetto annuncio")</w:t>
      </w:r>
      <w:r>
        <w:t xml:space="preserve"> porta a trascurare misure</w:t>
      </w:r>
      <w:r w:rsidRPr="007F7EBF">
        <w:t xml:space="preserve"> opportun</w:t>
      </w:r>
      <w:r>
        <w:t>e</w:t>
      </w:r>
      <w:r w:rsidRPr="007F7EBF">
        <w:t xml:space="preserve">, ma mediaticamente attaccabili, </w:t>
      </w:r>
      <w:r>
        <w:t>per strumentali aspetti secondari. Al contrario l’uso della legislazione per la comunicazione politica alimenta iniziative, irrealizzabili o controproducenti nei contenuti. In assenza di spiegazioni su un certo settore, la legge viene usata per lanciare confusi e ambigui messaggi politici, o per prendere tempo con diversivi per “mostrare di far qualcosa”</w:t>
      </w:r>
      <w:r>
        <w:rPr>
          <w:sz w:val="22"/>
          <w:szCs w:val="22"/>
        </w:rPr>
        <w:t xml:space="preserve"> (</w:t>
      </w:r>
      <w:r w:rsidRPr="007F7EBF">
        <w:rPr>
          <w:rStyle w:val="Rimandonotaapidipagina"/>
          <w:sz w:val="22"/>
          <w:szCs w:val="22"/>
        </w:rPr>
        <w:footnoteReference w:id="156"/>
      </w:r>
      <w:r>
        <w:rPr>
          <w:sz w:val="22"/>
          <w:szCs w:val="22"/>
        </w:rPr>
        <w:t xml:space="preserve">). </w:t>
      </w:r>
    </w:p>
    <w:p w14:paraId="6AFDE43B" w14:textId="7CE65308" w:rsidR="00A041E6" w:rsidRPr="007F7EBF" w:rsidRDefault="00A041E6" w:rsidP="00A041E6">
      <w:pPr>
        <w:pStyle w:val="tit23"/>
        <w:ind w:left="6464" w:right="-1361" w:firstLine="0"/>
        <w:jc w:val="left"/>
        <w:rPr>
          <w:b/>
          <w:bCs/>
          <w:i/>
          <w:iCs/>
          <w:color w:val="0000FF"/>
          <w:lang w:val="it-IT"/>
        </w:rPr>
      </w:pPr>
      <w:r w:rsidRPr="007F7EBF">
        <w:rPr>
          <w:b/>
          <w:bCs/>
          <w:i/>
          <w:iCs/>
          <w:color w:val="0000FF"/>
          <w:lang w:val="it-IT"/>
        </w:rPr>
        <w:lastRenderedPageBreak/>
        <w:t xml:space="preserve">Incertezza del diritto di ritorno  </w:t>
      </w:r>
      <w:r w:rsidR="00C1104B">
        <w:rPr>
          <w:b/>
          <w:bCs/>
          <w:i/>
          <w:iCs/>
          <w:color w:val="0000FF"/>
          <w:lang w:val="it-IT"/>
        </w:rPr>
        <w:t>e soluzioni</w:t>
      </w:r>
    </w:p>
    <w:p w14:paraId="23A817DE" w14:textId="3D2962D5" w:rsidR="00195AF1" w:rsidRDefault="00A6658D" w:rsidP="00F208B2">
      <w:pPr>
        <w:rPr>
          <w:sz w:val="22"/>
          <w:szCs w:val="22"/>
        </w:rPr>
      </w:pPr>
      <w:r>
        <w:t xml:space="preserve">Si autoproducono così </w:t>
      </w:r>
      <w:r w:rsidR="00556D28">
        <w:t xml:space="preserve">vari inconvenienti, a partire dall’illusione di </w:t>
      </w:r>
      <w:r w:rsidR="00556D28" w:rsidRPr="007F7EBF">
        <w:t xml:space="preserve">migliorare </w:t>
      </w:r>
      <w:r w:rsidR="00556D28">
        <w:t>l’intervento pubblico se</w:t>
      </w:r>
      <w:r w:rsidR="00556D28" w:rsidRPr="007F7EBF">
        <w:t>mplicemente cambiando i vertici politici</w:t>
      </w:r>
      <w:r w:rsidR="008D6ED1">
        <w:t>, spinti quindi a legiferare per motivi d’immagine e di consenso</w:t>
      </w:r>
      <w:r w:rsidR="00556D28">
        <w:t xml:space="preserve">. </w:t>
      </w:r>
      <w:r w:rsidR="008D6ED1">
        <w:rPr>
          <w:sz w:val="22"/>
          <w:szCs w:val="22"/>
        </w:rPr>
        <w:t>Quest</w:t>
      </w:r>
      <w:r w:rsidR="007711E7">
        <w:rPr>
          <w:sz w:val="22"/>
          <w:szCs w:val="22"/>
        </w:rPr>
        <w:t xml:space="preserve">e </w:t>
      </w:r>
      <w:r w:rsidR="007711E7" w:rsidRPr="007F7EBF">
        <w:rPr>
          <w:sz w:val="22"/>
          <w:szCs w:val="22"/>
        </w:rPr>
        <w:t xml:space="preserve">stratificazioni normative </w:t>
      </w:r>
      <w:r w:rsidR="007711E7">
        <w:rPr>
          <w:sz w:val="22"/>
          <w:szCs w:val="22"/>
        </w:rPr>
        <w:t xml:space="preserve">aumentano l’incertezza e il tasso di burocrazia (par.1.3), </w:t>
      </w:r>
      <w:r w:rsidR="00C65023">
        <w:rPr>
          <w:sz w:val="22"/>
          <w:szCs w:val="22"/>
        </w:rPr>
        <w:t>mettendo</w:t>
      </w:r>
      <w:r w:rsidR="008D6ED1">
        <w:rPr>
          <w:sz w:val="22"/>
          <w:szCs w:val="22"/>
        </w:rPr>
        <w:t xml:space="preserve"> </w:t>
      </w:r>
      <w:r w:rsidR="007711E7" w:rsidRPr="007F7EBF">
        <w:rPr>
          <w:sz w:val="22"/>
          <w:szCs w:val="22"/>
        </w:rPr>
        <w:t>in secondo piano</w:t>
      </w:r>
      <w:r w:rsidR="008D6ED1">
        <w:rPr>
          <w:sz w:val="22"/>
          <w:szCs w:val="22"/>
        </w:rPr>
        <w:t xml:space="preserve"> la perequazione tributaria</w:t>
      </w:r>
      <w:r w:rsidR="007711E7" w:rsidRPr="007F7EBF">
        <w:rPr>
          <w:sz w:val="22"/>
          <w:szCs w:val="22"/>
        </w:rPr>
        <w:t xml:space="preserve"> rispetto a</w:t>
      </w:r>
      <w:r w:rsidR="008D6ED1">
        <w:rPr>
          <w:sz w:val="22"/>
          <w:szCs w:val="22"/>
        </w:rPr>
        <w:t>i suddetti</w:t>
      </w:r>
      <w:r w:rsidR="007711E7" w:rsidRPr="007F7EBF">
        <w:rPr>
          <w:sz w:val="22"/>
          <w:szCs w:val="22"/>
        </w:rPr>
        <w:t xml:space="preserve"> "interventi simbolo"</w:t>
      </w:r>
      <w:r w:rsidR="008D6ED1">
        <w:rPr>
          <w:sz w:val="22"/>
          <w:szCs w:val="22"/>
        </w:rPr>
        <w:t xml:space="preserve">. </w:t>
      </w:r>
      <w:r w:rsidR="00C65023">
        <w:rPr>
          <w:sz w:val="22"/>
          <w:szCs w:val="22"/>
        </w:rPr>
        <w:t xml:space="preserve"> </w:t>
      </w:r>
      <w:r w:rsidR="00556D28">
        <w:rPr>
          <w:sz w:val="22"/>
          <w:szCs w:val="22"/>
        </w:rPr>
        <w:t xml:space="preserve">Nel complesso la </w:t>
      </w:r>
      <w:r w:rsidR="007B1C30">
        <w:rPr>
          <w:sz w:val="22"/>
          <w:szCs w:val="22"/>
        </w:rPr>
        <w:t xml:space="preserve">sopravvalutazione della legislazione </w:t>
      </w:r>
      <w:r w:rsidR="0039020B">
        <w:rPr>
          <w:sz w:val="22"/>
          <w:szCs w:val="22"/>
        </w:rPr>
        <w:t>crea</w:t>
      </w:r>
      <w:r w:rsidR="007711E7">
        <w:rPr>
          <w:sz w:val="22"/>
          <w:szCs w:val="22"/>
        </w:rPr>
        <w:t xml:space="preserve"> </w:t>
      </w:r>
      <w:r w:rsidR="0039020B">
        <w:rPr>
          <w:sz w:val="22"/>
          <w:szCs w:val="22"/>
        </w:rPr>
        <w:t>un’</w:t>
      </w:r>
      <w:r w:rsidR="0039020B" w:rsidRPr="007F7EBF">
        <w:rPr>
          <w:sz w:val="22"/>
          <w:szCs w:val="22"/>
        </w:rPr>
        <w:t>"incertezza del diritto di ritorno"</w:t>
      </w:r>
      <w:r w:rsidR="00C1104B">
        <w:rPr>
          <w:sz w:val="22"/>
          <w:szCs w:val="22"/>
        </w:rPr>
        <w:t xml:space="preserve">, </w:t>
      </w:r>
      <w:r w:rsidR="007711E7">
        <w:rPr>
          <w:sz w:val="22"/>
          <w:szCs w:val="22"/>
        </w:rPr>
        <w:t>p</w:t>
      </w:r>
      <w:r w:rsidR="0039020B">
        <w:rPr>
          <w:sz w:val="22"/>
          <w:szCs w:val="22"/>
        </w:rPr>
        <w:t xml:space="preserve">aralizzante per le organizzazioni (aziende e uffici pubblici) che -a differenza degli individui come singoli- non possono puramente e semplicemente </w:t>
      </w:r>
      <w:r w:rsidR="00556D28">
        <w:rPr>
          <w:sz w:val="22"/>
          <w:szCs w:val="22"/>
        </w:rPr>
        <w:t xml:space="preserve">ignorare </w:t>
      </w:r>
      <w:r w:rsidR="00EA7EA3">
        <w:rPr>
          <w:sz w:val="22"/>
          <w:szCs w:val="22"/>
        </w:rPr>
        <w:t>l’imprevedibile formalismo connesso al</w:t>
      </w:r>
      <w:r w:rsidR="00556D28">
        <w:rPr>
          <w:sz w:val="22"/>
          <w:szCs w:val="22"/>
        </w:rPr>
        <w:t xml:space="preserve"> ginepraio normativo</w:t>
      </w:r>
      <w:r w:rsidR="00EA7EA3">
        <w:rPr>
          <w:sz w:val="22"/>
          <w:szCs w:val="22"/>
        </w:rPr>
        <w:t>; esso rende inefficienti gli uffici pubblici (par.5.3) e aumenta gli oneri impropri di produzione di quelli privati, come indicato al par.5.19</w:t>
      </w:r>
      <w:r w:rsidR="0039020B" w:rsidRPr="007F7EBF">
        <w:rPr>
          <w:sz w:val="22"/>
          <w:szCs w:val="22"/>
        </w:rPr>
        <w:t>.</w:t>
      </w:r>
      <w:r w:rsidR="0039020B">
        <w:rPr>
          <w:sz w:val="22"/>
          <w:szCs w:val="22"/>
        </w:rPr>
        <w:t xml:space="preserve"> </w:t>
      </w:r>
    </w:p>
    <w:p w14:paraId="56D79033" w14:textId="2F8A038A" w:rsidR="0051238D" w:rsidRPr="007F7EBF" w:rsidRDefault="00C17C1A" w:rsidP="00F208B2">
      <w:pPr>
        <w:rPr>
          <w:b/>
          <w:bCs/>
          <w:i/>
          <w:iCs/>
          <w:color w:val="0000FF"/>
        </w:rPr>
      </w:pPr>
      <w:r>
        <w:rPr>
          <w:sz w:val="22"/>
          <w:szCs w:val="22"/>
        </w:rPr>
        <w:t xml:space="preserve">E’ una tendenza da invertire </w:t>
      </w:r>
      <w:r w:rsidR="0052777F">
        <w:rPr>
          <w:sz w:val="22"/>
          <w:szCs w:val="22"/>
        </w:rPr>
        <w:t xml:space="preserve">nella </w:t>
      </w:r>
      <w:r>
        <w:rPr>
          <w:sz w:val="22"/>
          <w:szCs w:val="22"/>
        </w:rPr>
        <w:t xml:space="preserve">pubblica opinione, </w:t>
      </w:r>
      <w:r w:rsidR="0052777F">
        <w:rPr>
          <w:sz w:val="22"/>
          <w:szCs w:val="22"/>
        </w:rPr>
        <w:t>focalizzando i rapporti tra individui e gruppi sociali, come indicato dal par.</w:t>
      </w:r>
      <w:r w:rsidR="003C43D7">
        <w:rPr>
          <w:sz w:val="22"/>
          <w:szCs w:val="22"/>
        </w:rPr>
        <w:t>4.1</w:t>
      </w:r>
      <w:r w:rsidR="0052777F">
        <w:rPr>
          <w:sz w:val="22"/>
          <w:szCs w:val="22"/>
        </w:rPr>
        <w:t xml:space="preserve">, e quindi </w:t>
      </w:r>
      <w:r>
        <w:rPr>
          <w:sz w:val="22"/>
          <w:szCs w:val="22"/>
        </w:rPr>
        <w:t xml:space="preserve"> capendo meglio </w:t>
      </w:r>
      <w:r w:rsidR="0052777F">
        <w:rPr>
          <w:sz w:val="22"/>
          <w:szCs w:val="22"/>
        </w:rPr>
        <w:t>i margini d’intervento della politica, senza sopravvalutarla(</w:t>
      </w:r>
      <w:r w:rsidR="0052777F">
        <w:rPr>
          <w:rStyle w:val="Rimandonotaapidipagina"/>
          <w:sz w:val="22"/>
          <w:szCs w:val="22"/>
        </w:rPr>
        <w:footnoteReference w:id="157"/>
      </w:r>
      <w:r w:rsidR="0052777F">
        <w:rPr>
          <w:sz w:val="22"/>
          <w:szCs w:val="22"/>
        </w:rPr>
        <w:t>).  Questo farebb</w:t>
      </w:r>
      <w:r>
        <w:rPr>
          <w:sz w:val="22"/>
          <w:szCs w:val="22"/>
        </w:rPr>
        <w:t xml:space="preserve">e capire </w:t>
      </w:r>
      <w:r w:rsidR="0052777F">
        <w:rPr>
          <w:sz w:val="22"/>
          <w:szCs w:val="22"/>
        </w:rPr>
        <w:t xml:space="preserve">alla politica </w:t>
      </w:r>
      <w:r>
        <w:rPr>
          <w:sz w:val="22"/>
          <w:szCs w:val="22"/>
        </w:rPr>
        <w:t>quello che la società davvero si aspetta da lei, con molti riflessi sulla funzione tributaria</w:t>
      </w:r>
      <w:r w:rsidR="0052777F">
        <w:rPr>
          <w:sz w:val="22"/>
          <w:szCs w:val="22"/>
        </w:rPr>
        <w:t xml:space="preserve">, </w:t>
      </w:r>
      <w:r>
        <w:rPr>
          <w:sz w:val="22"/>
          <w:szCs w:val="22"/>
        </w:rPr>
        <w:t>e in genere dall’uso dell</w:t>
      </w:r>
      <w:r w:rsidR="0052777F">
        <w:rPr>
          <w:sz w:val="22"/>
          <w:szCs w:val="22"/>
        </w:rPr>
        <w:t xml:space="preserve">a finanza pubblica. Quest’ultima è stata spesso sprecata nell’illusione di comprare consenso elettorale, che invece veniva solo dalla conseguente impressione di solidità economica del paese, generata invece artificialmente dalla spesa pubblica. </w:t>
      </w:r>
      <w:r w:rsidR="00E51D1B">
        <w:rPr>
          <w:sz w:val="22"/>
          <w:szCs w:val="22"/>
        </w:rPr>
        <w:t xml:space="preserve">La percezione di favori a pioggia, siano essi sussidi o riduzioni di imposte, non genera invece grande dividendo politico, perché la stessa pubblica opinione la percepisce come </w:t>
      </w:r>
      <w:r w:rsidR="001E7A5C">
        <w:rPr>
          <w:sz w:val="22"/>
          <w:szCs w:val="22"/>
        </w:rPr>
        <w:t xml:space="preserve">una </w:t>
      </w:r>
      <w:r w:rsidR="00E51D1B">
        <w:rPr>
          <w:sz w:val="22"/>
          <w:szCs w:val="22"/>
        </w:rPr>
        <w:t>strumentale</w:t>
      </w:r>
      <w:r w:rsidR="001E7A5C">
        <w:rPr>
          <w:sz w:val="22"/>
          <w:szCs w:val="22"/>
        </w:rPr>
        <w:t xml:space="preserve"> presa in giro, anziché </w:t>
      </w:r>
      <w:r w:rsidR="00E51D1B">
        <w:rPr>
          <w:sz w:val="22"/>
          <w:szCs w:val="22"/>
        </w:rPr>
        <w:t xml:space="preserve">come segno di buon governo </w:t>
      </w:r>
      <w:r w:rsidR="00EA7EA3">
        <w:rPr>
          <w:sz w:val="22"/>
          <w:szCs w:val="22"/>
        </w:rPr>
        <w:t>(</w:t>
      </w:r>
      <w:r w:rsidR="00EA7EA3">
        <w:rPr>
          <w:rStyle w:val="Rimandonotaapidipagina"/>
          <w:sz w:val="22"/>
          <w:szCs w:val="22"/>
        </w:rPr>
        <w:footnoteReference w:id="158"/>
      </w:r>
      <w:r w:rsidR="00EA7EA3">
        <w:rPr>
          <w:sz w:val="22"/>
          <w:szCs w:val="22"/>
        </w:rPr>
        <w:t>)</w:t>
      </w:r>
      <w:r w:rsidR="003629C5">
        <w:rPr>
          <w:sz w:val="22"/>
          <w:szCs w:val="22"/>
        </w:rPr>
        <w:t>.</w:t>
      </w:r>
    </w:p>
    <w:p w14:paraId="4C93B158" w14:textId="238A86DD" w:rsidR="002D3CBB" w:rsidRDefault="002D3CBB" w:rsidP="002D3CBB">
      <w:pPr>
        <w:pStyle w:val="Titolo3"/>
      </w:pPr>
      <w:bookmarkStart w:id="23" w:name="_Toc22572104"/>
      <w:bookmarkStart w:id="24" w:name="_Toc61736127"/>
      <w:bookmarkStart w:id="25" w:name="_Toc63364944"/>
      <w:r>
        <w:lastRenderedPageBreak/>
        <w:t>2.5. Disorientamento della giurisprudenza, anche costituzionale, davanti all’oggetto economico della funzione tributaria.</w:t>
      </w:r>
      <w:bookmarkEnd w:id="23"/>
      <w:bookmarkEnd w:id="24"/>
      <w:bookmarkEnd w:id="25"/>
      <w:r>
        <w:t xml:space="preserve"> </w:t>
      </w:r>
    </w:p>
    <w:p w14:paraId="59075742" w14:textId="0FC76736" w:rsidR="002D3CBB" w:rsidRPr="007F7EBF" w:rsidRDefault="002D3CBB" w:rsidP="002D3CBB">
      <w:pPr>
        <w:pStyle w:val="tit23"/>
        <w:ind w:left="6464" w:right="-1361" w:firstLine="0"/>
        <w:jc w:val="left"/>
        <w:rPr>
          <w:bCs/>
          <w:i/>
          <w:iCs/>
          <w:color w:val="0000FF"/>
          <w:lang w:val="it-IT"/>
        </w:rPr>
      </w:pPr>
      <w:r>
        <w:rPr>
          <w:bCs/>
          <w:i/>
          <w:iCs/>
          <w:color w:val="0000FF"/>
          <w:lang w:val="it-IT"/>
        </w:rPr>
        <w:t>Funzioni non giurisdizionali  e giurisprudenza</w:t>
      </w:r>
    </w:p>
    <w:p w14:paraId="623FDDAB" w14:textId="209EE974" w:rsidR="002D3CBB" w:rsidRDefault="002D3CBB" w:rsidP="002D3CBB">
      <w:pPr>
        <w:pStyle w:val="Testorientro"/>
      </w:pPr>
      <w:r>
        <w:t xml:space="preserve">Davanti all’inadeguatezza della legislazione, di cui al paragrafo precedente, il solito atteggiamento privatistico-giurisdizionale si aspetta spiegazioni sociali dalla </w:t>
      </w:r>
      <w:r w:rsidRPr="0067754B">
        <w:t xml:space="preserve">giurisprudenza; </w:t>
      </w:r>
      <w:r>
        <w:t xml:space="preserve">vedremo al termine del par.6.10 la scarsissima importanza del c.d. insegnamento giurisprudenziale in </w:t>
      </w:r>
      <w:r w:rsidRPr="0067754B">
        <w:t>una funzione “non giurisdizionale” come quella tributaria</w:t>
      </w:r>
      <w:r>
        <w:t xml:space="preserve"> (par..1.3).  Questo vale anche per il sindacato di costituzionalità, cui è soggetta anche la legislazione tributaria, n</w:t>
      </w:r>
      <w:r w:rsidRPr="007F7EBF">
        <w:t>ell</w:t>
      </w:r>
      <w:r>
        <w:t>’articolato rapporto tra politica e diritto (</w:t>
      </w:r>
      <w:r>
        <w:rPr>
          <w:rStyle w:val="Rimandonotaapidipagina"/>
        </w:rPr>
        <w:footnoteReference w:id="159"/>
      </w:r>
      <w:r>
        <w:t>).</w:t>
      </w:r>
    </w:p>
    <w:p w14:paraId="546C210C" w14:textId="36DCBED7" w:rsidR="00B245E9" w:rsidRPr="007F7EBF" w:rsidRDefault="00D61FD2" w:rsidP="00B245E9">
      <w:pPr>
        <w:pStyle w:val="tit23"/>
        <w:ind w:left="6464" w:right="-1361" w:firstLine="0"/>
        <w:jc w:val="left"/>
        <w:rPr>
          <w:bCs/>
          <w:i/>
          <w:iCs/>
          <w:color w:val="0000FF"/>
          <w:lang w:val="it-IT"/>
        </w:rPr>
      </w:pPr>
      <w:proofErr w:type="spellStart"/>
      <w:r>
        <w:rPr>
          <w:bCs/>
          <w:i/>
          <w:iCs/>
          <w:color w:val="0000FF"/>
          <w:lang w:val="it-IT"/>
        </w:rPr>
        <w:t>Costituzionalià</w:t>
      </w:r>
      <w:proofErr w:type="spellEnd"/>
      <w:r w:rsidR="00F43F4B" w:rsidRPr="007F7EBF">
        <w:rPr>
          <w:bCs/>
          <w:i/>
          <w:iCs/>
          <w:color w:val="0000FF"/>
          <w:lang w:val="it-IT"/>
        </w:rPr>
        <w:t xml:space="preserve"> e discrezionalità legislativa</w:t>
      </w:r>
    </w:p>
    <w:p w14:paraId="578FF5BC" w14:textId="763EE8E8" w:rsidR="00F43F4B" w:rsidRPr="0060637C" w:rsidRDefault="006144BB" w:rsidP="0060637C">
      <w:pPr>
        <w:autoSpaceDE w:val="0"/>
        <w:autoSpaceDN w:val="0"/>
        <w:adjustRightInd w:val="0"/>
        <w:rPr>
          <w:sz w:val="22"/>
          <w:szCs w:val="22"/>
        </w:rPr>
      </w:pPr>
      <w:r>
        <w:rPr>
          <w:sz w:val="22"/>
          <w:szCs w:val="22"/>
        </w:rPr>
        <w:t>L</w:t>
      </w:r>
      <w:r w:rsidR="00177F30">
        <w:rPr>
          <w:sz w:val="22"/>
          <w:szCs w:val="22"/>
        </w:rPr>
        <w:t>a corte costituzionale</w:t>
      </w:r>
      <w:r>
        <w:rPr>
          <w:sz w:val="22"/>
          <w:szCs w:val="22"/>
        </w:rPr>
        <w:t xml:space="preserve"> ha un sindacato sui </w:t>
      </w:r>
      <w:r w:rsidRPr="006144BB">
        <w:rPr>
          <w:sz w:val="22"/>
          <w:szCs w:val="22"/>
        </w:rPr>
        <w:t>vastissimi margini di apprezzamento</w:t>
      </w:r>
      <w:r>
        <w:rPr>
          <w:sz w:val="22"/>
          <w:szCs w:val="22"/>
        </w:rPr>
        <w:t xml:space="preserve">, </w:t>
      </w:r>
      <w:r w:rsidR="007F5E1E">
        <w:rPr>
          <w:sz w:val="22"/>
          <w:szCs w:val="22"/>
        </w:rPr>
        <w:t xml:space="preserve">rispetto ai valori e ai principi sanciti dalla </w:t>
      </w:r>
      <w:r w:rsidR="00685FD2" w:rsidRPr="007F7EBF">
        <w:rPr>
          <w:sz w:val="22"/>
          <w:szCs w:val="22"/>
        </w:rPr>
        <w:t>costituzione</w:t>
      </w:r>
      <w:r>
        <w:rPr>
          <w:sz w:val="22"/>
          <w:szCs w:val="22"/>
        </w:rPr>
        <w:t xml:space="preserve">, del modo in cui </w:t>
      </w:r>
      <w:r w:rsidRPr="006144BB">
        <w:rPr>
          <w:sz w:val="22"/>
          <w:szCs w:val="22"/>
        </w:rPr>
        <w:t xml:space="preserve">governo e parlamento </w:t>
      </w:r>
      <w:r>
        <w:rPr>
          <w:sz w:val="22"/>
          <w:szCs w:val="22"/>
        </w:rPr>
        <w:t>si sono</w:t>
      </w:r>
      <w:r w:rsidRPr="006144BB">
        <w:rPr>
          <w:sz w:val="22"/>
          <w:szCs w:val="22"/>
        </w:rPr>
        <w:t xml:space="preserve"> “fa</w:t>
      </w:r>
      <w:r>
        <w:rPr>
          <w:sz w:val="22"/>
          <w:szCs w:val="22"/>
        </w:rPr>
        <w:t>tt</w:t>
      </w:r>
      <w:r w:rsidRPr="006144BB">
        <w:rPr>
          <w:sz w:val="22"/>
          <w:szCs w:val="22"/>
        </w:rPr>
        <w:t xml:space="preserve">i interpreti” dei mutevoli valori del gruppo, bilanciandoli di volta in volta al meglio, </w:t>
      </w:r>
      <w:r>
        <w:rPr>
          <w:sz w:val="22"/>
          <w:szCs w:val="22"/>
        </w:rPr>
        <w:t xml:space="preserve">anche </w:t>
      </w:r>
      <w:r w:rsidRPr="006144BB">
        <w:rPr>
          <w:sz w:val="22"/>
          <w:szCs w:val="22"/>
        </w:rPr>
        <w:t>in relazione all</w:t>
      </w:r>
      <w:r>
        <w:rPr>
          <w:sz w:val="22"/>
          <w:szCs w:val="22"/>
        </w:rPr>
        <w:t xml:space="preserve">a </w:t>
      </w:r>
      <w:r w:rsidRPr="006144BB">
        <w:rPr>
          <w:sz w:val="22"/>
          <w:szCs w:val="22"/>
        </w:rPr>
        <w:t>funzion</w:t>
      </w:r>
      <w:r>
        <w:rPr>
          <w:sz w:val="22"/>
          <w:szCs w:val="22"/>
        </w:rPr>
        <w:t>e tributaria</w:t>
      </w:r>
      <w:r w:rsidRPr="006144BB">
        <w:rPr>
          <w:sz w:val="22"/>
          <w:szCs w:val="22"/>
        </w:rPr>
        <w:t>.</w:t>
      </w:r>
      <w:r>
        <w:rPr>
          <w:sz w:val="22"/>
          <w:szCs w:val="22"/>
        </w:rPr>
        <w:t xml:space="preserve"> La corte è </w:t>
      </w:r>
      <w:r w:rsidR="003F13AF">
        <w:rPr>
          <w:sz w:val="22"/>
          <w:szCs w:val="22"/>
        </w:rPr>
        <w:t xml:space="preserve">un giudice che </w:t>
      </w:r>
      <w:r w:rsidR="003F13AF" w:rsidRPr="007F7EBF">
        <w:rPr>
          <w:sz w:val="22"/>
          <w:szCs w:val="22"/>
        </w:rPr>
        <w:t xml:space="preserve">controlla la politica, </w:t>
      </w:r>
      <w:r w:rsidR="003F13AF">
        <w:rPr>
          <w:sz w:val="22"/>
          <w:szCs w:val="22"/>
        </w:rPr>
        <w:t xml:space="preserve">senza essere </w:t>
      </w:r>
      <w:r w:rsidR="003F13AF" w:rsidRPr="007F7EBF">
        <w:rPr>
          <w:sz w:val="22"/>
          <w:szCs w:val="22"/>
        </w:rPr>
        <w:t>investito di autorità politica, legislativa o di governo</w:t>
      </w:r>
      <w:r w:rsidR="00177F30">
        <w:rPr>
          <w:sz w:val="22"/>
          <w:szCs w:val="22"/>
        </w:rPr>
        <w:t xml:space="preserve">, col compito di </w:t>
      </w:r>
      <w:r w:rsidR="00877AC7" w:rsidRPr="007F7EBF">
        <w:rPr>
          <w:sz w:val="22"/>
          <w:szCs w:val="22"/>
        </w:rPr>
        <w:t>risolv</w:t>
      </w:r>
      <w:r w:rsidR="00877AC7">
        <w:rPr>
          <w:sz w:val="22"/>
          <w:szCs w:val="22"/>
        </w:rPr>
        <w:t>e</w:t>
      </w:r>
      <w:r w:rsidR="00177F30">
        <w:rPr>
          <w:sz w:val="22"/>
          <w:szCs w:val="22"/>
        </w:rPr>
        <w:t>re</w:t>
      </w:r>
      <w:r w:rsidR="00877AC7" w:rsidRPr="007F7EBF">
        <w:rPr>
          <w:sz w:val="22"/>
          <w:szCs w:val="22"/>
        </w:rPr>
        <w:t xml:space="preserve"> casi e non</w:t>
      </w:r>
      <w:r w:rsidR="00177F30">
        <w:rPr>
          <w:sz w:val="22"/>
          <w:szCs w:val="22"/>
        </w:rPr>
        <w:t xml:space="preserve"> di</w:t>
      </w:r>
      <w:r w:rsidR="00877AC7" w:rsidRPr="007F7EBF">
        <w:rPr>
          <w:sz w:val="22"/>
          <w:szCs w:val="22"/>
        </w:rPr>
        <w:t xml:space="preserve"> sistematizza</w:t>
      </w:r>
      <w:r w:rsidR="00177F30">
        <w:rPr>
          <w:sz w:val="22"/>
          <w:szCs w:val="22"/>
        </w:rPr>
        <w:t>re</w:t>
      </w:r>
      <w:r w:rsidR="00877AC7">
        <w:rPr>
          <w:sz w:val="22"/>
          <w:szCs w:val="22"/>
        </w:rPr>
        <w:t xml:space="preserve"> </w:t>
      </w:r>
      <w:r w:rsidR="00877AC7" w:rsidRPr="007F7EBF">
        <w:rPr>
          <w:sz w:val="22"/>
          <w:szCs w:val="22"/>
        </w:rPr>
        <w:t>concetti</w:t>
      </w:r>
      <w:r>
        <w:rPr>
          <w:sz w:val="22"/>
          <w:szCs w:val="22"/>
        </w:rPr>
        <w:t xml:space="preserve">. Si tratta di un organo di </w:t>
      </w:r>
      <w:r>
        <w:t xml:space="preserve">“alta giurisdizione”, </w:t>
      </w:r>
      <w:r w:rsidRPr="007F7EBF">
        <w:rPr>
          <w:sz w:val="22"/>
          <w:szCs w:val="22"/>
        </w:rPr>
        <w:t xml:space="preserve">di "cerniera" </w:t>
      </w:r>
      <w:r>
        <w:rPr>
          <w:sz w:val="22"/>
          <w:szCs w:val="22"/>
        </w:rPr>
        <w:t>con la</w:t>
      </w:r>
      <w:r w:rsidRPr="007F7EBF">
        <w:rPr>
          <w:sz w:val="22"/>
          <w:szCs w:val="22"/>
        </w:rPr>
        <w:t xml:space="preserve"> politica</w:t>
      </w:r>
      <w:r>
        <w:rPr>
          <w:sz w:val="22"/>
          <w:szCs w:val="22"/>
        </w:rPr>
        <w:t>, come la Corte di giustizia dell’unione Europea, la Corte europea dei diritti dell’uomo e per certi versi il Consiglio di stato. Se è fuori luogo p</w:t>
      </w:r>
      <w:r>
        <w:t xml:space="preserve">arlare di “insegnamento” per la legislazione lo è anche per tali corti giustamente preoccupate di “decidere bene” più che di spiegare concetti, e anche timorose, come tutti i giudici, di </w:t>
      </w:r>
      <w:r>
        <w:lastRenderedPageBreak/>
        <w:t>creare precedenti non voluti. Anche l’idea di “insegnamento della corte costituzionale” riflette l’equivoca spiegazione di tutto il diritto con schemi tratti dal diritto dei privati e dalla funzione giurisdizionale (par.1.3).</w:t>
      </w:r>
      <w:r w:rsidR="00877AC7">
        <w:rPr>
          <w:sz w:val="22"/>
          <w:szCs w:val="22"/>
        </w:rPr>
        <w:t xml:space="preserve"> (</w:t>
      </w:r>
      <w:r w:rsidR="00877AC7" w:rsidRPr="007F7EBF">
        <w:rPr>
          <w:rStyle w:val="Rimandonotaapidipagina"/>
          <w:sz w:val="22"/>
          <w:szCs w:val="22"/>
        </w:rPr>
        <w:footnoteReference w:id="160"/>
      </w:r>
      <w:r w:rsidR="00877AC7">
        <w:rPr>
          <w:sz w:val="22"/>
          <w:szCs w:val="22"/>
        </w:rPr>
        <w:t>)</w:t>
      </w:r>
      <w:r w:rsidR="00877AC7" w:rsidRPr="007F7EBF">
        <w:rPr>
          <w:sz w:val="22"/>
          <w:szCs w:val="22"/>
        </w:rPr>
        <w:t xml:space="preserve">. </w:t>
      </w:r>
    </w:p>
    <w:p w14:paraId="63389636" w14:textId="5AF6D429" w:rsidR="00B245E9" w:rsidRPr="007F7EBF" w:rsidRDefault="0060637C" w:rsidP="00B245E9">
      <w:pPr>
        <w:pStyle w:val="tit23"/>
        <w:ind w:left="6464" w:right="-1361" w:firstLine="0"/>
        <w:jc w:val="left"/>
        <w:rPr>
          <w:bCs/>
          <w:i/>
          <w:iCs/>
          <w:color w:val="0000FF"/>
          <w:lang w:val="it-IT"/>
        </w:rPr>
      </w:pPr>
      <w:r>
        <w:rPr>
          <w:bCs/>
          <w:i/>
          <w:iCs/>
          <w:color w:val="0000FF"/>
          <w:lang w:val="it-IT"/>
        </w:rPr>
        <w:t xml:space="preserve">Costituzionalità e oggetto economico </w:t>
      </w:r>
    </w:p>
    <w:p w14:paraId="791BC900" w14:textId="4BE8E94F" w:rsidR="007562BF" w:rsidRDefault="00415721" w:rsidP="006144BB">
      <w:pPr>
        <w:autoSpaceDE w:val="0"/>
        <w:autoSpaceDN w:val="0"/>
        <w:adjustRightInd w:val="0"/>
        <w:rPr>
          <w:sz w:val="22"/>
          <w:szCs w:val="22"/>
        </w:rPr>
      </w:pPr>
      <w:r>
        <w:rPr>
          <w:sz w:val="22"/>
          <w:szCs w:val="22"/>
        </w:rPr>
        <w:t xml:space="preserve">Anche la giurisprudenza della </w:t>
      </w:r>
      <w:r w:rsidRPr="007F7EBF">
        <w:rPr>
          <w:sz w:val="22"/>
          <w:szCs w:val="22"/>
        </w:rPr>
        <w:t>Corte costituzionale</w:t>
      </w:r>
      <w:r>
        <w:rPr>
          <w:sz w:val="22"/>
          <w:szCs w:val="22"/>
        </w:rPr>
        <w:t xml:space="preserve">, </w:t>
      </w:r>
      <w:r w:rsidRPr="007F7EBF">
        <w:t xml:space="preserve">formata da uomini di legge, provenienti dalla magistratura, dalla dottrina, dalla carriera forense nelle più svariate discipline, </w:t>
      </w:r>
      <w:r w:rsidRPr="007F7EBF">
        <w:rPr>
          <w:sz w:val="22"/>
          <w:szCs w:val="22"/>
        </w:rPr>
        <w:t>riflette la mancanza di spiegazion</w:t>
      </w:r>
      <w:r>
        <w:rPr>
          <w:sz w:val="22"/>
          <w:szCs w:val="22"/>
        </w:rPr>
        <w:t>i</w:t>
      </w:r>
      <w:r w:rsidRPr="007F7EBF">
        <w:rPr>
          <w:sz w:val="22"/>
          <w:szCs w:val="22"/>
        </w:rPr>
        <w:t xml:space="preserve"> social</w:t>
      </w:r>
      <w:r>
        <w:rPr>
          <w:sz w:val="22"/>
          <w:szCs w:val="22"/>
        </w:rPr>
        <w:t>i</w:t>
      </w:r>
      <w:r w:rsidRPr="007F7EBF">
        <w:rPr>
          <w:sz w:val="22"/>
          <w:szCs w:val="22"/>
        </w:rPr>
        <w:t xml:space="preserve"> d'insieme della </w:t>
      </w:r>
      <w:r>
        <w:rPr>
          <w:sz w:val="22"/>
          <w:szCs w:val="22"/>
        </w:rPr>
        <w:t>funzione tributaria (</w:t>
      </w:r>
      <w:r w:rsidRPr="007F7EBF">
        <w:rPr>
          <w:sz w:val="22"/>
          <w:szCs w:val="22"/>
        </w:rPr>
        <w:t xml:space="preserve">par.4.3 </w:t>
      </w:r>
      <w:proofErr w:type="spellStart"/>
      <w:r w:rsidRPr="007F7EBF">
        <w:rPr>
          <w:sz w:val="22"/>
          <w:szCs w:val="22"/>
        </w:rPr>
        <w:t>ss</w:t>
      </w:r>
      <w:proofErr w:type="spellEnd"/>
      <w:r>
        <w:rPr>
          <w:sz w:val="22"/>
          <w:szCs w:val="22"/>
        </w:rPr>
        <w:t>)</w:t>
      </w:r>
      <w:r w:rsidRPr="007F7EBF">
        <w:rPr>
          <w:sz w:val="22"/>
          <w:szCs w:val="22"/>
        </w:rPr>
        <w:t xml:space="preserve">, </w:t>
      </w:r>
      <w:r w:rsidR="007562BF">
        <w:rPr>
          <w:sz w:val="22"/>
          <w:szCs w:val="22"/>
        </w:rPr>
        <w:t xml:space="preserve">e di formazione economico sociale </w:t>
      </w:r>
      <w:r w:rsidRPr="007F7EBF">
        <w:rPr>
          <w:sz w:val="22"/>
          <w:szCs w:val="22"/>
        </w:rPr>
        <w:t>(par.</w:t>
      </w:r>
      <w:r w:rsidR="003C43D7">
        <w:rPr>
          <w:sz w:val="22"/>
          <w:szCs w:val="22"/>
        </w:rPr>
        <w:t>4.1</w:t>
      </w:r>
      <w:r w:rsidRPr="007F7EBF">
        <w:rPr>
          <w:sz w:val="22"/>
          <w:szCs w:val="22"/>
        </w:rPr>
        <w:t>)</w:t>
      </w:r>
      <w:r>
        <w:rPr>
          <w:sz w:val="22"/>
          <w:szCs w:val="22"/>
        </w:rPr>
        <w:t xml:space="preserve">. </w:t>
      </w:r>
      <w:r w:rsidR="0060637C">
        <w:rPr>
          <w:sz w:val="22"/>
          <w:szCs w:val="22"/>
        </w:rPr>
        <w:t xml:space="preserve">Non aiuta la </w:t>
      </w:r>
      <w:r>
        <w:rPr>
          <w:bCs/>
          <w:sz w:val="22"/>
          <w:szCs w:val="22"/>
        </w:rPr>
        <w:t xml:space="preserve">debolezza con cui il principio di capacità contributiva </w:t>
      </w:r>
      <w:r w:rsidR="0060637C">
        <w:rPr>
          <w:bCs/>
          <w:sz w:val="22"/>
          <w:szCs w:val="22"/>
        </w:rPr>
        <w:t xml:space="preserve">(par.2.2) </w:t>
      </w:r>
      <w:r>
        <w:rPr>
          <w:bCs/>
          <w:sz w:val="22"/>
          <w:szCs w:val="22"/>
        </w:rPr>
        <w:t>fa intravedere la base economica dell’imposta</w:t>
      </w:r>
      <w:r w:rsidR="0060637C">
        <w:rPr>
          <w:bCs/>
          <w:sz w:val="22"/>
          <w:szCs w:val="22"/>
        </w:rPr>
        <w:t>, cioè l’oggetto economico del diritto tributario</w:t>
      </w:r>
      <w:r>
        <w:rPr>
          <w:bCs/>
          <w:sz w:val="22"/>
          <w:szCs w:val="22"/>
        </w:rPr>
        <w:t>.</w:t>
      </w:r>
      <w:r w:rsidR="007562BF">
        <w:rPr>
          <w:bCs/>
          <w:sz w:val="22"/>
          <w:szCs w:val="22"/>
        </w:rPr>
        <w:t xml:space="preserve"> C’è quindi molta cautela prima di dichiarare l’incostituzionalità dei modi in cui le ordinarie leggi d’imposta hanno specificato</w:t>
      </w:r>
      <w:r w:rsidR="0060637C">
        <w:rPr>
          <w:sz w:val="22"/>
          <w:szCs w:val="22"/>
        </w:rPr>
        <w:t xml:space="preserve"> </w:t>
      </w:r>
      <w:r w:rsidR="007F283E">
        <w:rPr>
          <w:sz w:val="22"/>
          <w:szCs w:val="22"/>
        </w:rPr>
        <w:t xml:space="preserve">i presupposti economici </w:t>
      </w:r>
      <w:r w:rsidR="0060637C">
        <w:rPr>
          <w:sz w:val="22"/>
          <w:szCs w:val="22"/>
        </w:rPr>
        <w:t>di cui al par.1.8 (consumo, reddito etc.)</w:t>
      </w:r>
      <w:r w:rsidR="007562BF">
        <w:rPr>
          <w:sz w:val="22"/>
          <w:szCs w:val="22"/>
        </w:rPr>
        <w:t xml:space="preserve">. Particolare carenza vi si rileva </w:t>
      </w:r>
      <w:r w:rsidR="007562BF" w:rsidRPr="007F7EBF">
        <w:rPr>
          <w:sz w:val="22"/>
          <w:szCs w:val="22"/>
        </w:rPr>
        <w:t xml:space="preserve">a proposito dei concetti necessari a capire </w:t>
      </w:r>
      <w:r w:rsidR="007562BF">
        <w:rPr>
          <w:sz w:val="22"/>
          <w:szCs w:val="22"/>
        </w:rPr>
        <w:t>le logiche del</w:t>
      </w:r>
      <w:r w:rsidR="007562BF" w:rsidRPr="007F7EBF">
        <w:rPr>
          <w:sz w:val="22"/>
          <w:szCs w:val="22"/>
        </w:rPr>
        <w:t xml:space="preserve">la </w:t>
      </w:r>
      <w:r w:rsidR="007562BF">
        <w:rPr>
          <w:sz w:val="22"/>
          <w:szCs w:val="22"/>
        </w:rPr>
        <w:t xml:space="preserve">determinazione </w:t>
      </w:r>
      <w:r w:rsidR="007562BF" w:rsidRPr="007F7EBF">
        <w:rPr>
          <w:sz w:val="22"/>
          <w:szCs w:val="22"/>
        </w:rPr>
        <w:t>contabile attraverso le aziende</w:t>
      </w:r>
      <w:r w:rsidR="007562BF">
        <w:rPr>
          <w:sz w:val="22"/>
          <w:szCs w:val="22"/>
        </w:rPr>
        <w:t>, con l</w:t>
      </w:r>
      <w:r w:rsidR="007562BF" w:rsidRPr="007F7EBF">
        <w:rPr>
          <w:sz w:val="22"/>
          <w:szCs w:val="22"/>
        </w:rPr>
        <w:t xml:space="preserve">e </w:t>
      </w:r>
      <w:r w:rsidR="007562BF">
        <w:rPr>
          <w:sz w:val="22"/>
          <w:szCs w:val="22"/>
        </w:rPr>
        <w:t>simmetrie e le correlazioni di cui al par.3.12, che sembrano</w:t>
      </w:r>
      <w:r w:rsidR="007562BF" w:rsidRPr="007F7EBF">
        <w:rPr>
          <w:sz w:val="22"/>
          <w:szCs w:val="22"/>
        </w:rPr>
        <w:t xml:space="preserve"> spesso </w:t>
      </w:r>
      <w:r w:rsidR="007562BF">
        <w:rPr>
          <w:sz w:val="22"/>
          <w:szCs w:val="22"/>
        </w:rPr>
        <w:t>sfuggire</w:t>
      </w:r>
      <w:r w:rsidR="007562BF" w:rsidRPr="007F7EBF">
        <w:rPr>
          <w:sz w:val="22"/>
          <w:szCs w:val="22"/>
        </w:rPr>
        <w:t xml:space="preserve"> (</w:t>
      </w:r>
      <w:r w:rsidR="007562BF" w:rsidRPr="007F7EBF">
        <w:rPr>
          <w:rStyle w:val="Rimandonotaapidipagina"/>
          <w:sz w:val="22"/>
          <w:szCs w:val="22"/>
        </w:rPr>
        <w:footnoteReference w:id="161"/>
      </w:r>
      <w:r w:rsidR="007562BF" w:rsidRPr="007F7EBF">
        <w:rPr>
          <w:sz w:val="22"/>
          <w:szCs w:val="22"/>
        </w:rPr>
        <w:t>).</w:t>
      </w:r>
      <w:r w:rsidR="006144BB">
        <w:rPr>
          <w:sz w:val="22"/>
          <w:szCs w:val="22"/>
        </w:rPr>
        <w:t xml:space="preserve"> </w:t>
      </w:r>
      <w:r w:rsidR="007562BF" w:rsidRPr="007F7EBF">
        <w:rPr>
          <w:sz w:val="22"/>
          <w:szCs w:val="22"/>
        </w:rPr>
        <w:t>Davanti a situazioni contorte e controverse</w:t>
      </w:r>
      <w:r w:rsidR="007562BF">
        <w:rPr>
          <w:sz w:val="22"/>
          <w:szCs w:val="22"/>
        </w:rPr>
        <w:t>,</w:t>
      </w:r>
      <w:r w:rsidR="007562BF" w:rsidRPr="007F7EBF">
        <w:rPr>
          <w:sz w:val="22"/>
          <w:szCs w:val="22"/>
        </w:rPr>
        <w:t xml:space="preserve"> la Corte </w:t>
      </w:r>
      <w:r w:rsidR="007562BF">
        <w:rPr>
          <w:sz w:val="22"/>
          <w:szCs w:val="22"/>
        </w:rPr>
        <w:t>cerca di disimpegnarsi tendenzialmente respingendo le questioni (</w:t>
      </w:r>
      <w:r w:rsidR="007562BF" w:rsidRPr="007F7EBF">
        <w:rPr>
          <w:rStyle w:val="Rimandonotaapidipagina"/>
          <w:sz w:val="22"/>
          <w:szCs w:val="22"/>
        </w:rPr>
        <w:footnoteReference w:id="162"/>
      </w:r>
      <w:r w:rsidR="007562BF">
        <w:rPr>
          <w:sz w:val="22"/>
          <w:szCs w:val="22"/>
        </w:rPr>
        <w:t xml:space="preserve">), anche con </w:t>
      </w:r>
      <w:r w:rsidR="007562BF" w:rsidRPr="007F7EBF">
        <w:rPr>
          <w:sz w:val="22"/>
          <w:szCs w:val="22"/>
        </w:rPr>
        <w:t>riduttivi riferiment</w:t>
      </w:r>
      <w:r w:rsidR="007562BF">
        <w:rPr>
          <w:sz w:val="22"/>
          <w:szCs w:val="22"/>
        </w:rPr>
        <w:t>i</w:t>
      </w:r>
      <w:r w:rsidR="007562BF" w:rsidRPr="007F7EBF">
        <w:rPr>
          <w:sz w:val="22"/>
          <w:szCs w:val="22"/>
        </w:rPr>
        <w:t xml:space="preserve"> a un generico «interesse fiscale»</w:t>
      </w:r>
      <w:r w:rsidR="007562BF">
        <w:rPr>
          <w:sz w:val="22"/>
          <w:szCs w:val="22"/>
        </w:rPr>
        <w:t xml:space="preserve"> (</w:t>
      </w:r>
      <w:r w:rsidR="007562BF" w:rsidRPr="007F7EBF">
        <w:rPr>
          <w:rStyle w:val="Rimandonotaapidipagina"/>
          <w:sz w:val="22"/>
          <w:szCs w:val="22"/>
        </w:rPr>
        <w:footnoteReference w:id="163"/>
      </w:r>
      <w:r w:rsidR="007562BF">
        <w:rPr>
          <w:sz w:val="22"/>
          <w:szCs w:val="22"/>
        </w:rPr>
        <w:t>).</w:t>
      </w:r>
    </w:p>
    <w:p w14:paraId="6001C680" w14:textId="54B43C1C" w:rsidR="006144BB" w:rsidRDefault="007562BF" w:rsidP="006144BB">
      <w:pPr>
        <w:autoSpaceDE w:val="0"/>
        <w:autoSpaceDN w:val="0"/>
        <w:adjustRightInd w:val="0"/>
        <w:rPr>
          <w:sz w:val="22"/>
          <w:szCs w:val="22"/>
        </w:rPr>
      </w:pPr>
      <w:r w:rsidRPr="007F7EBF">
        <w:rPr>
          <w:sz w:val="22"/>
          <w:szCs w:val="22"/>
        </w:rPr>
        <w:t xml:space="preserve">Sono quindi normali, e legittime, le motivazioni </w:t>
      </w:r>
      <w:r>
        <w:rPr>
          <w:sz w:val="22"/>
          <w:szCs w:val="22"/>
        </w:rPr>
        <w:t xml:space="preserve">sfuggenti, ambigue, con giri di parole </w:t>
      </w:r>
      <w:r w:rsidRPr="007F7EBF">
        <w:rPr>
          <w:sz w:val="22"/>
          <w:szCs w:val="22"/>
        </w:rPr>
        <w:t>poco impegnativi</w:t>
      </w:r>
      <w:r>
        <w:rPr>
          <w:sz w:val="22"/>
          <w:szCs w:val="22"/>
        </w:rPr>
        <w:t xml:space="preserve"> e </w:t>
      </w:r>
      <w:r w:rsidRPr="007F7EBF">
        <w:rPr>
          <w:sz w:val="22"/>
          <w:szCs w:val="22"/>
        </w:rPr>
        <w:t xml:space="preserve">ineliminabili sfumature politiche in </w:t>
      </w:r>
      <w:r w:rsidRPr="007F7EBF">
        <w:rPr>
          <w:sz w:val="22"/>
          <w:szCs w:val="22"/>
        </w:rPr>
        <w:lastRenderedPageBreak/>
        <w:t xml:space="preserve">senso lato, probabilmente più importanti di quanto </w:t>
      </w:r>
      <w:r>
        <w:rPr>
          <w:sz w:val="22"/>
          <w:szCs w:val="22"/>
        </w:rPr>
        <w:t>appaia nella motivazione delle sentenze (</w:t>
      </w:r>
      <w:r w:rsidRPr="007F7EBF">
        <w:rPr>
          <w:rStyle w:val="Rimandonotaapidipagina"/>
          <w:sz w:val="22"/>
          <w:szCs w:val="22"/>
        </w:rPr>
        <w:footnoteReference w:id="164"/>
      </w:r>
      <w:r>
        <w:rPr>
          <w:sz w:val="22"/>
          <w:szCs w:val="22"/>
        </w:rPr>
        <w:t>)</w:t>
      </w:r>
      <w:r w:rsidRPr="007F7EBF">
        <w:rPr>
          <w:sz w:val="22"/>
          <w:szCs w:val="22"/>
        </w:rPr>
        <w:t>.</w:t>
      </w:r>
    </w:p>
    <w:p w14:paraId="3F291728" w14:textId="2AF4C0C5" w:rsidR="006144BB" w:rsidRDefault="006144BB" w:rsidP="006144BB">
      <w:pPr>
        <w:pStyle w:val="tit23"/>
        <w:ind w:left="6464" w:right="-1361" w:firstLine="0"/>
        <w:jc w:val="left"/>
        <w:rPr>
          <w:bCs/>
          <w:i/>
          <w:iCs/>
          <w:color w:val="0000FF"/>
          <w:lang w:val="it-IT"/>
        </w:rPr>
      </w:pPr>
      <w:r>
        <w:rPr>
          <w:bCs/>
          <w:i/>
          <w:iCs/>
          <w:color w:val="0000FF"/>
          <w:lang w:val="it-IT"/>
        </w:rPr>
        <w:t>Casi di accoglimento</w:t>
      </w:r>
    </w:p>
    <w:p w14:paraId="0D6C5D92" w14:textId="7AC276FF" w:rsidR="00415721" w:rsidRPr="007F7EBF" w:rsidRDefault="00415721" w:rsidP="00415721">
      <w:pPr>
        <w:autoSpaceDE w:val="0"/>
        <w:autoSpaceDN w:val="0"/>
        <w:adjustRightInd w:val="0"/>
        <w:rPr>
          <w:sz w:val="22"/>
          <w:szCs w:val="22"/>
        </w:rPr>
      </w:pPr>
      <w:r>
        <w:rPr>
          <w:bCs/>
          <w:sz w:val="22"/>
          <w:szCs w:val="22"/>
        </w:rPr>
        <w:t>A</w:t>
      </w:r>
      <w:r w:rsidR="007562BF">
        <w:rPr>
          <w:bCs/>
          <w:sz w:val="22"/>
          <w:szCs w:val="22"/>
        </w:rPr>
        <w:t xml:space="preserve">lla capacità contributiva </w:t>
      </w:r>
      <w:r>
        <w:rPr>
          <w:bCs/>
          <w:sz w:val="22"/>
          <w:szCs w:val="22"/>
        </w:rPr>
        <w:t xml:space="preserve">si è fatto riferimento per dichiarare </w:t>
      </w:r>
      <w:r>
        <w:rPr>
          <w:sz w:val="22"/>
          <w:szCs w:val="22"/>
        </w:rPr>
        <w:t xml:space="preserve">incostituzionali tassazioni retroattive, riferite cioè a </w:t>
      </w:r>
      <w:r w:rsidR="00C67695">
        <w:rPr>
          <w:sz w:val="22"/>
          <w:szCs w:val="22"/>
        </w:rPr>
        <w:t>presupposti d’imposta</w:t>
      </w:r>
      <w:r>
        <w:rPr>
          <w:sz w:val="22"/>
          <w:szCs w:val="22"/>
        </w:rPr>
        <w:t xml:space="preserve"> ormai venut</w:t>
      </w:r>
      <w:r w:rsidR="00C67695">
        <w:rPr>
          <w:sz w:val="22"/>
          <w:szCs w:val="22"/>
        </w:rPr>
        <w:t>i</w:t>
      </w:r>
      <w:r>
        <w:rPr>
          <w:sz w:val="22"/>
          <w:szCs w:val="22"/>
        </w:rPr>
        <w:t xml:space="preserve"> meno al momento di pagare il tributo</w:t>
      </w:r>
      <w:r w:rsidR="00C67695">
        <w:rPr>
          <w:sz w:val="22"/>
          <w:szCs w:val="22"/>
        </w:rPr>
        <w:t>. Lo stesso per l’incostituzionalità de</w:t>
      </w:r>
      <w:r>
        <w:rPr>
          <w:sz w:val="22"/>
          <w:szCs w:val="22"/>
        </w:rPr>
        <w:t>l cumulo dei redditi tra coniugi</w:t>
      </w:r>
      <w:r w:rsidR="007562BF">
        <w:rPr>
          <w:sz w:val="22"/>
          <w:szCs w:val="22"/>
        </w:rPr>
        <w:t xml:space="preserve"> </w:t>
      </w:r>
      <w:r>
        <w:rPr>
          <w:sz w:val="22"/>
          <w:szCs w:val="22"/>
        </w:rPr>
        <w:t>(</w:t>
      </w:r>
      <w:r>
        <w:rPr>
          <w:rStyle w:val="Rimandonotaapidipagina"/>
          <w:sz w:val="22"/>
          <w:szCs w:val="22"/>
        </w:rPr>
        <w:footnoteReference w:id="165"/>
      </w:r>
      <w:r>
        <w:rPr>
          <w:sz w:val="22"/>
          <w:szCs w:val="22"/>
        </w:rPr>
        <w:t>), o la tassazione, come redditi di fonte patrimoniale, di redditi che tali non erano (</w:t>
      </w:r>
      <w:r>
        <w:rPr>
          <w:rStyle w:val="Rimandonotaapidipagina"/>
          <w:sz w:val="22"/>
          <w:szCs w:val="22"/>
        </w:rPr>
        <w:footnoteReference w:id="166"/>
      </w:r>
      <w:r>
        <w:rPr>
          <w:sz w:val="22"/>
          <w:szCs w:val="22"/>
        </w:rPr>
        <w:t xml:space="preserve">). In tutti quei casi, come nella maggior parte di quelli esaminati dalla corte, il principio di capacità contributiva s’è intrecciato con quelli di eguaglianza, ragionevolezza, non discriminazione, proporzionalità è simili. </w:t>
      </w:r>
    </w:p>
    <w:p w14:paraId="5F48C8FC" w14:textId="7E80CD6F" w:rsidR="0060637C" w:rsidRPr="007F7EBF" w:rsidRDefault="0060637C" w:rsidP="0060637C">
      <w:pPr>
        <w:pStyle w:val="tit23"/>
        <w:ind w:left="6464" w:right="-1361" w:firstLine="0"/>
        <w:jc w:val="left"/>
        <w:rPr>
          <w:b/>
          <w:bCs/>
          <w:i/>
          <w:iCs/>
          <w:color w:val="0000FF"/>
          <w:lang w:val="it-IT"/>
        </w:rPr>
      </w:pPr>
      <w:r>
        <w:rPr>
          <w:b/>
          <w:bCs/>
          <w:i/>
          <w:iCs/>
          <w:color w:val="0000FF"/>
          <w:lang w:val="it-IT"/>
        </w:rPr>
        <w:t>Effetti dell’incostituzionalità</w:t>
      </w:r>
      <w:r w:rsidRPr="007F7EBF">
        <w:rPr>
          <w:b/>
          <w:bCs/>
          <w:i/>
          <w:iCs/>
          <w:color w:val="0000FF"/>
          <w:lang w:val="it-IT"/>
        </w:rPr>
        <w:t xml:space="preserve"> </w:t>
      </w:r>
    </w:p>
    <w:p w14:paraId="437DDE08" w14:textId="4712B591" w:rsidR="00683145" w:rsidRPr="007F7EBF" w:rsidRDefault="0060637C" w:rsidP="00B245E9">
      <w:pPr>
        <w:autoSpaceDE w:val="0"/>
        <w:autoSpaceDN w:val="0"/>
        <w:adjustRightInd w:val="0"/>
        <w:rPr>
          <w:sz w:val="22"/>
          <w:szCs w:val="22"/>
        </w:rPr>
      </w:pPr>
      <w:r w:rsidRPr="007F7EBF">
        <w:t>La procedura per solleva</w:t>
      </w:r>
      <w:r>
        <w:t xml:space="preserve">re </w:t>
      </w:r>
      <w:r w:rsidRPr="007F7EBF">
        <w:t xml:space="preserve">la questione di costituzionalità </w:t>
      </w:r>
      <w:r>
        <w:t xml:space="preserve">è </w:t>
      </w:r>
      <w:r w:rsidRPr="007F7EBF">
        <w:t>quell</w:t>
      </w:r>
      <w:r>
        <w:t>a</w:t>
      </w:r>
      <w:r w:rsidRPr="007F7EBF">
        <w:t xml:space="preserve"> ordinari</w:t>
      </w:r>
      <w:r>
        <w:t xml:space="preserve">a, utilizzabile anche dal </w:t>
      </w:r>
      <w:r w:rsidRPr="007F7EBF">
        <w:t xml:space="preserve">giudice tributario </w:t>
      </w:r>
      <w:r>
        <w:t>(par.6.9). Ordinari sono anche gli effetti dell’</w:t>
      </w:r>
      <w:r w:rsidR="00683145">
        <w:rPr>
          <w:sz w:val="22"/>
          <w:szCs w:val="22"/>
        </w:rPr>
        <w:t>annullamento</w:t>
      </w:r>
      <w:r>
        <w:rPr>
          <w:sz w:val="22"/>
          <w:szCs w:val="22"/>
        </w:rPr>
        <w:t>, che</w:t>
      </w:r>
      <w:r w:rsidR="00683145">
        <w:rPr>
          <w:sz w:val="22"/>
          <w:szCs w:val="22"/>
        </w:rPr>
        <w:t xml:space="preserve"> </w:t>
      </w:r>
      <w:r w:rsidR="001919DE">
        <w:rPr>
          <w:sz w:val="22"/>
          <w:szCs w:val="22"/>
        </w:rPr>
        <w:t>lascia impregiudicati</w:t>
      </w:r>
      <w:r w:rsidR="00683145">
        <w:rPr>
          <w:sz w:val="22"/>
          <w:szCs w:val="22"/>
        </w:rPr>
        <w:t xml:space="preserve"> i c.d. “rapporti esauriti”, derivanti </w:t>
      </w:r>
      <w:r w:rsidR="001919DE">
        <w:rPr>
          <w:sz w:val="22"/>
          <w:szCs w:val="22"/>
        </w:rPr>
        <w:t xml:space="preserve">in diritto civile dalla prescrizione e dal </w:t>
      </w:r>
      <w:r w:rsidR="00683145">
        <w:rPr>
          <w:sz w:val="22"/>
          <w:szCs w:val="22"/>
        </w:rPr>
        <w:t xml:space="preserve">giudicato, </w:t>
      </w:r>
      <w:r w:rsidR="001919DE">
        <w:rPr>
          <w:sz w:val="22"/>
          <w:szCs w:val="22"/>
        </w:rPr>
        <w:t xml:space="preserve">e nel nostro contesto di diritto amministrativo </w:t>
      </w:r>
      <w:r w:rsidR="00683145">
        <w:rPr>
          <w:sz w:val="22"/>
          <w:szCs w:val="22"/>
        </w:rPr>
        <w:t xml:space="preserve">anche da </w:t>
      </w:r>
      <w:r w:rsidR="001919DE">
        <w:rPr>
          <w:sz w:val="22"/>
          <w:szCs w:val="22"/>
        </w:rPr>
        <w:t xml:space="preserve">decadenze dai termini per chiedere il rimborso (ad es. di un’imposta dichiarata incostituzionale) e da </w:t>
      </w:r>
      <w:r w:rsidR="00683145">
        <w:rPr>
          <w:sz w:val="22"/>
          <w:szCs w:val="22"/>
        </w:rPr>
        <w:t>atti</w:t>
      </w:r>
      <w:r w:rsidR="001919DE">
        <w:rPr>
          <w:sz w:val="22"/>
          <w:szCs w:val="22"/>
        </w:rPr>
        <w:t xml:space="preserve"> impositivi</w:t>
      </w:r>
      <w:r w:rsidR="00683145">
        <w:rPr>
          <w:sz w:val="22"/>
          <w:szCs w:val="22"/>
        </w:rPr>
        <w:t xml:space="preserve"> non impugnati. </w:t>
      </w:r>
    </w:p>
    <w:p w14:paraId="4EBBB8AA" w14:textId="77777777" w:rsidR="00B54BBB" w:rsidRPr="007F7EBF" w:rsidRDefault="00B37D69" w:rsidP="006342C5">
      <w:pPr>
        <w:autoSpaceDE w:val="0"/>
        <w:autoSpaceDN w:val="0"/>
        <w:adjustRightInd w:val="0"/>
        <w:rPr>
          <w:b/>
          <w:bCs/>
          <w:sz w:val="22"/>
          <w:szCs w:val="22"/>
        </w:rPr>
      </w:pPr>
      <w:r w:rsidRPr="007F7EBF">
        <w:rPr>
          <w:sz w:val="22"/>
          <w:szCs w:val="22"/>
        </w:rPr>
        <w:t xml:space="preserve"> </w:t>
      </w:r>
    </w:p>
    <w:p w14:paraId="12A830D8" w14:textId="77777777" w:rsidR="002C7D93" w:rsidRPr="007F7EBF" w:rsidRDefault="006342C5" w:rsidP="002C7D93">
      <w:pPr>
        <w:pStyle w:val="Titolo3"/>
        <w:rPr>
          <w:rFonts w:ascii="Times New Roman" w:hAnsi="Times New Roman"/>
          <w:sz w:val="22"/>
          <w:szCs w:val="22"/>
        </w:rPr>
      </w:pPr>
      <w:bookmarkStart w:id="26" w:name="_Toc63364945"/>
      <w:r w:rsidRPr="007F7EBF">
        <w:rPr>
          <w:rFonts w:ascii="Times New Roman" w:hAnsi="Times New Roman"/>
          <w:sz w:val="22"/>
          <w:szCs w:val="22"/>
        </w:rPr>
        <w:t xml:space="preserve">2.6. </w:t>
      </w:r>
      <w:r w:rsidR="00DB40D6" w:rsidRPr="007F7EBF">
        <w:rPr>
          <w:rFonts w:ascii="Times New Roman" w:hAnsi="Times New Roman"/>
          <w:sz w:val="22"/>
          <w:szCs w:val="22"/>
          <w:lang w:val="it-IT"/>
        </w:rPr>
        <w:t xml:space="preserve">Funzione </w:t>
      </w:r>
      <w:r w:rsidR="00491B9E" w:rsidRPr="007F7EBF">
        <w:rPr>
          <w:rFonts w:ascii="Times New Roman" w:hAnsi="Times New Roman"/>
          <w:sz w:val="22"/>
          <w:szCs w:val="22"/>
          <w:lang w:val="it-IT"/>
        </w:rPr>
        <w:t>tribut</w:t>
      </w:r>
      <w:r w:rsidR="00DB40D6" w:rsidRPr="007F7EBF">
        <w:rPr>
          <w:rFonts w:ascii="Times New Roman" w:hAnsi="Times New Roman"/>
          <w:sz w:val="22"/>
          <w:szCs w:val="22"/>
          <w:lang w:val="it-IT"/>
        </w:rPr>
        <w:t>ar</w:t>
      </w:r>
      <w:r w:rsidR="00491B9E" w:rsidRPr="007F7EBF">
        <w:rPr>
          <w:rFonts w:ascii="Times New Roman" w:hAnsi="Times New Roman"/>
          <w:sz w:val="22"/>
          <w:szCs w:val="22"/>
          <w:lang w:val="it-IT"/>
        </w:rPr>
        <w:t>i</w:t>
      </w:r>
      <w:r w:rsidR="00DB40D6" w:rsidRPr="007F7EBF">
        <w:rPr>
          <w:rFonts w:ascii="Times New Roman" w:hAnsi="Times New Roman"/>
          <w:sz w:val="22"/>
          <w:szCs w:val="22"/>
          <w:lang w:val="it-IT"/>
        </w:rPr>
        <w:t>a</w:t>
      </w:r>
      <w:r w:rsidR="00491B9E" w:rsidRPr="007F7EBF">
        <w:rPr>
          <w:rFonts w:ascii="Times New Roman" w:hAnsi="Times New Roman"/>
          <w:sz w:val="22"/>
          <w:szCs w:val="22"/>
          <w:lang w:val="it-IT"/>
        </w:rPr>
        <w:t xml:space="preserve"> e vincoli Europei</w:t>
      </w:r>
      <w:bookmarkEnd w:id="26"/>
      <w:r w:rsidR="00491B9E" w:rsidRPr="007F7EBF">
        <w:rPr>
          <w:rFonts w:ascii="Times New Roman" w:hAnsi="Times New Roman"/>
          <w:sz w:val="22"/>
          <w:szCs w:val="22"/>
          <w:lang w:val="it-IT"/>
        </w:rPr>
        <w:t xml:space="preserve"> </w:t>
      </w:r>
    </w:p>
    <w:p w14:paraId="59669533" w14:textId="77777777" w:rsidR="002C7D93" w:rsidRPr="007F7EBF" w:rsidRDefault="00D40CF4" w:rsidP="002C7D93">
      <w:pPr>
        <w:pStyle w:val="tit23"/>
        <w:ind w:left="6464" w:right="-1361" w:firstLine="0"/>
        <w:jc w:val="left"/>
        <w:rPr>
          <w:b/>
          <w:bCs/>
          <w:i/>
          <w:iCs/>
          <w:color w:val="0000FF"/>
          <w:lang w:val="it-IT"/>
        </w:rPr>
      </w:pPr>
      <w:r w:rsidRPr="007F7EBF">
        <w:rPr>
          <w:b/>
          <w:bCs/>
          <w:i/>
          <w:iCs/>
          <w:color w:val="0000FF"/>
          <w:lang w:val="it-IT"/>
        </w:rPr>
        <w:t xml:space="preserve">Premessa: unione europea e libertà europee </w:t>
      </w:r>
    </w:p>
    <w:p w14:paraId="4F76B159" w14:textId="3E2F60A9" w:rsidR="00D40CF4" w:rsidRPr="007F7EBF" w:rsidRDefault="00B36B90" w:rsidP="00D40CF4">
      <w:pPr>
        <w:autoSpaceDE w:val="0"/>
        <w:autoSpaceDN w:val="0"/>
        <w:adjustRightInd w:val="0"/>
        <w:rPr>
          <w:sz w:val="22"/>
          <w:szCs w:val="22"/>
        </w:rPr>
      </w:pPr>
      <w:r w:rsidRPr="007F7EBF">
        <w:rPr>
          <w:sz w:val="22"/>
          <w:szCs w:val="22"/>
        </w:rPr>
        <w:t>L</w:t>
      </w:r>
      <w:r w:rsidR="00140395" w:rsidRPr="007F7EBF">
        <w:rPr>
          <w:sz w:val="22"/>
          <w:szCs w:val="22"/>
        </w:rPr>
        <w:t>a</w:t>
      </w:r>
      <w:r w:rsidR="008E062D" w:rsidRPr="007F7EBF">
        <w:rPr>
          <w:sz w:val="22"/>
          <w:szCs w:val="22"/>
        </w:rPr>
        <w:t xml:space="preserve"> </w:t>
      </w:r>
      <w:r w:rsidRPr="007F7EBF">
        <w:rPr>
          <w:sz w:val="22"/>
          <w:szCs w:val="22"/>
        </w:rPr>
        <w:t xml:space="preserve">funzione </w:t>
      </w:r>
      <w:r w:rsidR="005472FF" w:rsidRPr="007F7EBF">
        <w:rPr>
          <w:sz w:val="22"/>
          <w:szCs w:val="22"/>
        </w:rPr>
        <w:t>tributaria</w:t>
      </w:r>
      <w:r w:rsidR="008E062D" w:rsidRPr="007F7EBF">
        <w:rPr>
          <w:sz w:val="22"/>
          <w:szCs w:val="22"/>
        </w:rPr>
        <w:t xml:space="preserve"> </w:t>
      </w:r>
      <w:r w:rsidRPr="007F7EBF">
        <w:rPr>
          <w:sz w:val="22"/>
          <w:szCs w:val="22"/>
        </w:rPr>
        <w:t xml:space="preserve">si inserisce </w:t>
      </w:r>
      <w:r w:rsidR="005D15C7" w:rsidRPr="007F7EBF">
        <w:rPr>
          <w:sz w:val="22"/>
          <w:szCs w:val="22"/>
        </w:rPr>
        <w:t>oggi</w:t>
      </w:r>
      <w:r w:rsidR="004352C1">
        <w:rPr>
          <w:sz w:val="22"/>
          <w:szCs w:val="22"/>
        </w:rPr>
        <w:t xml:space="preserve"> nella </w:t>
      </w:r>
      <w:r w:rsidR="005D15C7" w:rsidRPr="007F7EBF">
        <w:rPr>
          <w:sz w:val="22"/>
          <w:szCs w:val="22"/>
        </w:rPr>
        <w:t>cornice</w:t>
      </w:r>
      <w:r w:rsidR="006342C5" w:rsidRPr="007F7EBF">
        <w:rPr>
          <w:bCs/>
          <w:sz w:val="22"/>
          <w:szCs w:val="22"/>
        </w:rPr>
        <w:t xml:space="preserve"> </w:t>
      </w:r>
      <w:r w:rsidRPr="007F7EBF">
        <w:rPr>
          <w:bCs/>
          <w:sz w:val="22"/>
          <w:szCs w:val="22"/>
        </w:rPr>
        <w:t>europe</w:t>
      </w:r>
      <w:r w:rsidR="005D15C7" w:rsidRPr="007F7EBF">
        <w:rPr>
          <w:bCs/>
          <w:sz w:val="22"/>
          <w:szCs w:val="22"/>
        </w:rPr>
        <w:t>a</w:t>
      </w:r>
      <w:r w:rsidR="006342C5" w:rsidRPr="007F7EBF">
        <w:rPr>
          <w:sz w:val="22"/>
          <w:szCs w:val="22"/>
        </w:rPr>
        <w:t xml:space="preserve">, </w:t>
      </w:r>
      <w:r w:rsidR="004352C1">
        <w:rPr>
          <w:sz w:val="22"/>
          <w:szCs w:val="22"/>
        </w:rPr>
        <w:t xml:space="preserve">accordo tra </w:t>
      </w:r>
      <w:r w:rsidR="005E6675">
        <w:rPr>
          <w:sz w:val="22"/>
          <w:szCs w:val="22"/>
        </w:rPr>
        <w:t xml:space="preserve"> Stati sovrani,</w:t>
      </w:r>
      <w:r w:rsidR="004352C1">
        <w:rPr>
          <w:sz w:val="22"/>
          <w:szCs w:val="22"/>
        </w:rPr>
        <w:t xml:space="preserve"> governata da commissari espressi dai governi che ne fanno </w:t>
      </w:r>
      <w:r w:rsidR="004352C1">
        <w:rPr>
          <w:sz w:val="22"/>
          <w:szCs w:val="22"/>
        </w:rPr>
        <w:lastRenderedPageBreak/>
        <w:t xml:space="preserve">parte (la Commissione Europea) , coadiuvati da una burocrazia con compiti essenzialmente normativi (cfr. infra) e organi </w:t>
      </w:r>
      <w:r w:rsidR="004352C1" w:rsidRPr="007F7EBF">
        <w:rPr>
          <w:sz w:val="22"/>
          <w:szCs w:val="22"/>
        </w:rPr>
        <w:t>giurisdizionali</w:t>
      </w:r>
      <w:r w:rsidR="004352C1">
        <w:rPr>
          <w:sz w:val="22"/>
          <w:szCs w:val="22"/>
        </w:rPr>
        <w:t xml:space="preserve"> (</w:t>
      </w:r>
      <w:r w:rsidR="004352C1" w:rsidRPr="007F7EBF">
        <w:rPr>
          <w:rStyle w:val="Rimandonotaapidipagina"/>
          <w:sz w:val="22"/>
          <w:szCs w:val="22"/>
        </w:rPr>
        <w:footnoteReference w:id="167"/>
      </w:r>
      <w:r w:rsidR="004352C1">
        <w:rPr>
          <w:sz w:val="22"/>
          <w:szCs w:val="22"/>
        </w:rPr>
        <w:t xml:space="preserve">). Il parlamento europeo, elettivo, non esprime quindi governi </w:t>
      </w:r>
      <w:r w:rsidR="00B0577E">
        <w:rPr>
          <w:sz w:val="22"/>
          <w:szCs w:val="22"/>
        </w:rPr>
        <w:t xml:space="preserve">né emette in prima battuta atti normativi in senso classico </w:t>
      </w:r>
      <w:r w:rsidR="005E6675">
        <w:rPr>
          <w:sz w:val="22"/>
          <w:szCs w:val="22"/>
        </w:rPr>
        <w:t>(</w:t>
      </w:r>
      <w:r w:rsidR="005E6675" w:rsidRPr="007F7EBF">
        <w:rPr>
          <w:rStyle w:val="Rimandonotaapidipagina"/>
          <w:sz w:val="22"/>
          <w:szCs w:val="22"/>
        </w:rPr>
        <w:footnoteReference w:id="168"/>
      </w:r>
      <w:r w:rsidR="005E6675">
        <w:rPr>
          <w:sz w:val="22"/>
          <w:szCs w:val="22"/>
        </w:rPr>
        <w:t>)</w:t>
      </w:r>
      <w:r w:rsidR="00B0577E">
        <w:rPr>
          <w:sz w:val="22"/>
          <w:szCs w:val="22"/>
        </w:rPr>
        <w:t>.</w:t>
      </w:r>
      <w:r w:rsidR="005E6675">
        <w:rPr>
          <w:sz w:val="22"/>
          <w:szCs w:val="22"/>
        </w:rPr>
        <w:t xml:space="preserve"> E’ l’unica soluzione </w:t>
      </w:r>
      <w:r w:rsidR="00B0577E">
        <w:rPr>
          <w:sz w:val="22"/>
          <w:szCs w:val="22"/>
        </w:rPr>
        <w:t>praticabile</w:t>
      </w:r>
      <w:r w:rsidR="005E6675">
        <w:rPr>
          <w:sz w:val="22"/>
          <w:szCs w:val="22"/>
        </w:rPr>
        <w:t xml:space="preserve"> in quanto u</w:t>
      </w:r>
      <w:r w:rsidR="005E6675" w:rsidRPr="007F7EBF">
        <w:rPr>
          <w:sz w:val="22"/>
          <w:szCs w:val="22"/>
        </w:rPr>
        <w:t>n governo</w:t>
      </w:r>
      <w:r w:rsidR="005E6675">
        <w:rPr>
          <w:sz w:val="22"/>
          <w:szCs w:val="22"/>
        </w:rPr>
        <w:t xml:space="preserve"> europeo,</w:t>
      </w:r>
      <w:r w:rsidR="005E6675" w:rsidRPr="007F7EBF">
        <w:rPr>
          <w:sz w:val="22"/>
          <w:szCs w:val="22"/>
        </w:rPr>
        <w:t xml:space="preserve"> eletto dai cittadini, </w:t>
      </w:r>
      <w:r w:rsidR="005E6675">
        <w:rPr>
          <w:sz w:val="22"/>
          <w:szCs w:val="22"/>
        </w:rPr>
        <w:t xml:space="preserve">con </w:t>
      </w:r>
      <w:r w:rsidR="005E6675" w:rsidRPr="007F7EBF">
        <w:rPr>
          <w:sz w:val="22"/>
          <w:szCs w:val="22"/>
        </w:rPr>
        <w:t>l</w:t>
      </w:r>
      <w:r w:rsidR="005E6675">
        <w:rPr>
          <w:sz w:val="22"/>
          <w:szCs w:val="22"/>
        </w:rPr>
        <w:t>a</w:t>
      </w:r>
      <w:r w:rsidR="005E6675" w:rsidRPr="007F7EBF">
        <w:rPr>
          <w:sz w:val="22"/>
          <w:szCs w:val="22"/>
        </w:rPr>
        <w:t xml:space="preserve"> propria macchina pubblica</w:t>
      </w:r>
      <w:r w:rsidR="005E6675">
        <w:rPr>
          <w:sz w:val="22"/>
          <w:szCs w:val="22"/>
        </w:rPr>
        <w:t xml:space="preserve"> e le</w:t>
      </w:r>
      <w:r w:rsidR="005E6675" w:rsidRPr="007F7EBF">
        <w:rPr>
          <w:sz w:val="22"/>
          <w:szCs w:val="22"/>
        </w:rPr>
        <w:t xml:space="preserve"> proprie imposte  </w:t>
      </w:r>
      <w:r w:rsidR="00B0577E">
        <w:rPr>
          <w:sz w:val="22"/>
          <w:szCs w:val="22"/>
        </w:rPr>
        <w:t>sarebbe</w:t>
      </w:r>
      <w:r w:rsidR="005E6675">
        <w:rPr>
          <w:sz w:val="22"/>
          <w:szCs w:val="22"/>
        </w:rPr>
        <w:t xml:space="preserve"> privo di una opinione pubblica comune, nel senso indicato al par.</w:t>
      </w:r>
      <w:r w:rsidR="003C43D7">
        <w:rPr>
          <w:sz w:val="22"/>
          <w:szCs w:val="22"/>
        </w:rPr>
        <w:t>4.1</w:t>
      </w:r>
      <w:r w:rsidR="005E6675">
        <w:rPr>
          <w:sz w:val="22"/>
          <w:szCs w:val="22"/>
        </w:rPr>
        <w:t>(</w:t>
      </w:r>
      <w:r w:rsidR="005E6675" w:rsidRPr="007F7EBF">
        <w:rPr>
          <w:rStyle w:val="Rimandonotaapidipagina"/>
          <w:sz w:val="22"/>
          <w:szCs w:val="22"/>
        </w:rPr>
        <w:footnoteReference w:id="169"/>
      </w:r>
      <w:r w:rsidR="005E6675">
        <w:rPr>
          <w:sz w:val="22"/>
          <w:szCs w:val="22"/>
        </w:rPr>
        <w:t>)</w:t>
      </w:r>
      <w:r w:rsidR="005E6675" w:rsidRPr="007F7EBF">
        <w:rPr>
          <w:sz w:val="22"/>
          <w:szCs w:val="22"/>
        </w:rPr>
        <w:t>.</w:t>
      </w:r>
      <w:r w:rsidR="005E6675">
        <w:rPr>
          <w:sz w:val="22"/>
          <w:szCs w:val="22"/>
        </w:rPr>
        <w:t xml:space="preserve"> </w:t>
      </w:r>
    </w:p>
    <w:p w14:paraId="177E8BC9" w14:textId="77777777" w:rsidR="00D40CF4" w:rsidRPr="007F7EBF" w:rsidRDefault="00D40CF4" w:rsidP="00D40CF4">
      <w:pPr>
        <w:pStyle w:val="tit23"/>
        <w:ind w:left="6464" w:right="-1361" w:firstLine="0"/>
        <w:jc w:val="left"/>
        <w:rPr>
          <w:b/>
          <w:bCs/>
          <w:i/>
          <w:iCs/>
          <w:color w:val="0000FF"/>
          <w:lang w:val="it-IT"/>
        </w:rPr>
      </w:pPr>
      <w:r w:rsidRPr="007F7EBF">
        <w:rPr>
          <w:b/>
          <w:bCs/>
          <w:i/>
          <w:iCs/>
          <w:color w:val="0000FF"/>
          <w:lang w:val="it-IT"/>
        </w:rPr>
        <w:t>Europa e modelli stato mercato</w:t>
      </w:r>
    </w:p>
    <w:p w14:paraId="6163BF71" w14:textId="36CB2C6B" w:rsidR="00EB3052" w:rsidRPr="007F7EBF" w:rsidRDefault="003A2A21" w:rsidP="00EB3052">
      <w:pPr>
        <w:autoSpaceDE w:val="0"/>
        <w:autoSpaceDN w:val="0"/>
        <w:adjustRightInd w:val="0"/>
        <w:rPr>
          <w:sz w:val="22"/>
          <w:szCs w:val="22"/>
        </w:rPr>
      </w:pPr>
      <w:r>
        <w:rPr>
          <w:sz w:val="22"/>
          <w:szCs w:val="22"/>
        </w:rPr>
        <w:t>Ciò comporta alcun</w:t>
      </w:r>
      <w:r w:rsidRPr="007F7EBF">
        <w:rPr>
          <w:sz w:val="22"/>
          <w:szCs w:val="22"/>
        </w:rPr>
        <w:t xml:space="preserve">e limitazioni di sovranità </w:t>
      </w:r>
      <w:r>
        <w:rPr>
          <w:sz w:val="22"/>
          <w:szCs w:val="22"/>
        </w:rPr>
        <w:t>(</w:t>
      </w:r>
      <w:r w:rsidRPr="007F7EBF">
        <w:rPr>
          <w:rStyle w:val="Rimandonotaapidipagina"/>
          <w:sz w:val="22"/>
          <w:szCs w:val="22"/>
        </w:rPr>
        <w:footnoteReference w:id="170"/>
      </w:r>
      <w:r>
        <w:rPr>
          <w:sz w:val="22"/>
          <w:szCs w:val="22"/>
        </w:rPr>
        <w:t xml:space="preserve">), di cui si hanno riflessi anche tributari, più che finanziari (par.1.1). </w:t>
      </w:r>
      <w:r w:rsidRPr="007F7EBF">
        <w:rPr>
          <w:bCs/>
          <w:i/>
          <w:iCs/>
          <w:color w:val="0000FF"/>
          <w:sz w:val="22"/>
          <w:szCs w:val="22"/>
        </w:rPr>
        <w:t xml:space="preserve">  </w:t>
      </w:r>
      <w:r w:rsidRPr="007F7EBF">
        <w:rPr>
          <w:bCs/>
          <w:sz w:val="22"/>
          <w:szCs w:val="22"/>
        </w:rPr>
        <w:t>Gli accordi Europei n</w:t>
      </w:r>
      <w:r w:rsidRPr="007F7EBF">
        <w:rPr>
          <w:sz w:val="22"/>
          <w:szCs w:val="22"/>
        </w:rPr>
        <w:t>on interferiscono</w:t>
      </w:r>
      <w:r>
        <w:rPr>
          <w:sz w:val="22"/>
          <w:szCs w:val="22"/>
        </w:rPr>
        <w:t xml:space="preserve"> infatti</w:t>
      </w:r>
      <w:r w:rsidRPr="007F7EBF">
        <w:rPr>
          <w:sz w:val="22"/>
          <w:szCs w:val="22"/>
        </w:rPr>
        <w:t xml:space="preserve"> sulle </w:t>
      </w:r>
      <w:r w:rsidRPr="007F7EBF">
        <w:rPr>
          <w:bCs/>
          <w:sz w:val="22"/>
          <w:szCs w:val="22"/>
        </w:rPr>
        <w:t>combinazioni tra spese e entrate, nel senso generale di cui al par.</w:t>
      </w:r>
      <w:r w:rsidR="00361BCC">
        <w:rPr>
          <w:bCs/>
          <w:sz w:val="22"/>
          <w:szCs w:val="22"/>
        </w:rPr>
        <w:t>4.2</w:t>
      </w:r>
      <w:r w:rsidRPr="007F7EBF">
        <w:rPr>
          <w:bCs/>
          <w:sz w:val="22"/>
          <w:szCs w:val="22"/>
        </w:rPr>
        <w:t xml:space="preserve">; </w:t>
      </w:r>
      <w:r w:rsidRPr="007F7EBF">
        <w:rPr>
          <w:sz w:val="22"/>
          <w:szCs w:val="22"/>
        </w:rPr>
        <w:t>ciascuno Stato resta quindi sovrano in merito alla scelta di quale rapporto adottare tra spesa pubblica e spesa privata</w:t>
      </w:r>
      <w:r>
        <w:rPr>
          <w:sz w:val="22"/>
          <w:szCs w:val="22"/>
        </w:rPr>
        <w:t>(</w:t>
      </w:r>
      <w:r w:rsidRPr="007F7EBF">
        <w:rPr>
          <w:rStyle w:val="Rimandonotaapidipagina"/>
          <w:sz w:val="22"/>
          <w:szCs w:val="22"/>
        </w:rPr>
        <w:footnoteReference w:id="171"/>
      </w:r>
      <w:r>
        <w:rPr>
          <w:sz w:val="22"/>
          <w:szCs w:val="22"/>
        </w:rPr>
        <w:t>)</w:t>
      </w:r>
      <w:r w:rsidRPr="007F7EBF">
        <w:rPr>
          <w:sz w:val="22"/>
          <w:szCs w:val="22"/>
        </w:rPr>
        <w:t>, cioè tra stato e mercato, come precisato a suo tempo al par.</w:t>
      </w:r>
      <w:r w:rsidR="00361BCC">
        <w:rPr>
          <w:sz w:val="22"/>
          <w:szCs w:val="22"/>
        </w:rPr>
        <w:t>4.2</w:t>
      </w:r>
      <w:r w:rsidRPr="007F7EBF">
        <w:rPr>
          <w:sz w:val="22"/>
          <w:szCs w:val="22"/>
        </w:rPr>
        <w:t>.</w:t>
      </w:r>
      <w:r>
        <w:rPr>
          <w:sz w:val="22"/>
          <w:szCs w:val="22"/>
        </w:rPr>
        <w:t xml:space="preserve"> </w:t>
      </w:r>
      <w:r w:rsidR="00DD3A8B" w:rsidRPr="007F7EBF">
        <w:rPr>
          <w:sz w:val="22"/>
          <w:szCs w:val="22"/>
        </w:rPr>
        <w:t>P</w:t>
      </w:r>
      <w:r w:rsidR="00022AE1" w:rsidRPr="007F7EBF">
        <w:rPr>
          <w:sz w:val="22"/>
          <w:szCs w:val="22"/>
        </w:rPr>
        <w:t xml:space="preserve">ossono quindi appartenere alla Comunità stati con </w:t>
      </w:r>
      <w:r w:rsidR="00022AE1" w:rsidRPr="007F7EBF">
        <w:rPr>
          <w:bCs/>
          <w:sz w:val="22"/>
          <w:szCs w:val="22"/>
        </w:rPr>
        <w:t xml:space="preserve">diversissime combinazioni </w:t>
      </w:r>
      <w:r w:rsidR="00022AE1" w:rsidRPr="007F7EBF">
        <w:rPr>
          <w:sz w:val="22"/>
          <w:szCs w:val="22"/>
        </w:rPr>
        <w:t xml:space="preserve">tra organizzazione pubblica e organizzazione di mercato della convivenza sociale; è del resto nella logica dei trattati europei la competizione tra </w:t>
      </w:r>
      <w:r w:rsidR="00022AE1" w:rsidRPr="007F7EBF">
        <w:rPr>
          <w:bCs/>
          <w:sz w:val="22"/>
          <w:szCs w:val="22"/>
        </w:rPr>
        <w:t xml:space="preserve">paesi con poco stato ( </w:t>
      </w:r>
      <w:r w:rsidR="00022AE1" w:rsidRPr="007F7EBF">
        <w:rPr>
          <w:rStyle w:val="Rimandonotaapidipagina"/>
          <w:bCs/>
          <w:sz w:val="22"/>
          <w:szCs w:val="22"/>
        </w:rPr>
        <w:footnoteReference w:id="172"/>
      </w:r>
      <w:r w:rsidR="00022AE1" w:rsidRPr="007F7EBF">
        <w:rPr>
          <w:sz w:val="22"/>
          <w:szCs w:val="22"/>
        </w:rPr>
        <w:t>), e con più imposte, più servizi pubblici e quindi più stato e meno mercato (</w:t>
      </w:r>
      <w:r w:rsidR="00022AE1" w:rsidRPr="007F7EBF">
        <w:rPr>
          <w:rStyle w:val="Rimandonotaapidipagina"/>
          <w:sz w:val="22"/>
          <w:szCs w:val="22"/>
        </w:rPr>
        <w:footnoteReference w:id="173"/>
      </w:r>
      <w:r w:rsidR="00022AE1" w:rsidRPr="007F7EBF">
        <w:rPr>
          <w:sz w:val="22"/>
          <w:szCs w:val="22"/>
        </w:rPr>
        <w:t>).</w:t>
      </w:r>
      <w:r w:rsidR="008B38C7">
        <w:rPr>
          <w:sz w:val="22"/>
          <w:szCs w:val="22"/>
        </w:rPr>
        <w:t xml:space="preserve"> Questa matrice economicistica dell’UE, unitamente agli organi sopra indicati, esalta</w:t>
      </w:r>
      <w:r w:rsidR="003349E2">
        <w:rPr>
          <w:sz w:val="22"/>
          <w:szCs w:val="22"/>
        </w:rPr>
        <w:t xml:space="preserve"> </w:t>
      </w:r>
      <w:r w:rsidR="003349E2">
        <w:rPr>
          <w:sz w:val="22"/>
          <w:szCs w:val="22"/>
        </w:rPr>
        <w:lastRenderedPageBreak/>
        <w:t>obiettivamente</w:t>
      </w:r>
      <w:r w:rsidR="008B38C7">
        <w:rPr>
          <w:sz w:val="22"/>
          <w:szCs w:val="22"/>
        </w:rPr>
        <w:t xml:space="preserve"> la </w:t>
      </w:r>
      <w:r w:rsidR="003349E2">
        <w:rPr>
          <w:sz w:val="22"/>
          <w:szCs w:val="22"/>
        </w:rPr>
        <w:t>prospettiva</w:t>
      </w:r>
      <w:r w:rsidR="008B38C7">
        <w:rPr>
          <w:sz w:val="22"/>
          <w:szCs w:val="22"/>
        </w:rPr>
        <w:t xml:space="preserve"> normativo-giurisprudenziale del diritto di cui al par.1.3, </w:t>
      </w:r>
      <w:r w:rsidR="003349E2">
        <w:rPr>
          <w:sz w:val="22"/>
          <w:szCs w:val="22"/>
        </w:rPr>
        <w:t xml:space="preserve">mettendo in ombra </w:t>
      </w:r>
      <w:r w:rsidR="008B38C7">
        <w:rPr>
          <w:sz w:val="22"/>
          <w:szCs w:val="22"/>
        </w:rPr>
        <w:t xml:space="preserve">le altre pubbliche funzioni, </w:t>
      </w:r>
      <w:r w:rsidR="003349E2">
        <w:rPr>
          <w:sz w:val="22"/>
          <w:szCs w:val="22"/>
        </w:rPr>
        <w:t xml:space="preserve">rimaste </w:t>
      </w:r>
      <w:r w:rsidR="008B38C7">
        <w:rPr>
          <w:sz w:val="22"/>
          <w:szCs w:val="22"/>
        </w:rPr>
        <w:t xml:space="preserve">in capo agli stati membri; </w:t>
      </w:r>
      <w:r w:rsidR="003349E2">
        <w:rPr>
          <w:sz w:val="22"/>
          <w:szCs w:val="22"/>
        </w:rPr>
        <w:t xml:space="preserve">non a caso </w:t>
      </w:r>
      <w:r w:rsidR="008B38C7">
        <w:rPr>
          <w:sz w:val="22"/>
          <w:szCs w:val="22"/>
        </w:rPr>
        <w:t xml:space="preserve">l’Unione </w:t>
      </w:r>
      <w:r w:rsidR="003349E2">
        <w:rPr>
          <w:sz w:val="22"/>
          <w:szCs w:val="22"/>
        </w:rPr>
        <w:t xml:space="preserve">è nata attorno </w:t>
      </w:r>
      <w:r w:rsidR="008B38C7">
        <w:rPr>
          <w:sz w:val="22"/>
          <w:szCs w:val="22"/>
        </w:rPr>
        <w:t>all</w:t>
      </w:r>
      <w:r w:rsidR="003349E2">
        <w:rPr>
          <w:sz w:val="22"/>
          <w:szCs w:val="22"/>
        </w:rPr>
        <w:t>e libertà di circolazione(</w:t>
      </w:r>
      <w:r w:rsidR="003349E2" w:rsidRPr="007F7EBF">
        <w:rPr>
          <w:rStyle w:val="Rimandonotaapidipagina"/>
          <w:sz w:val="22"/>
          <w:szCs w:val="22"/>
        </w:rPr>
        <w:footnoteReference w:id="174"/>
      </w:r>
      <w:r w:rsidR="003349E2">
        <w:rPr>
          <w:sz w:val="22"/>
          <w:szCs w:val="22"/>
        </w:rPr>
        <w:t xml:space="preserve">), radicate nel mondo del mercato, di cui è espressione il diritto dei privati. </w:t>
      </w:r>
    </w:p>
    <w:p w14:paraId="4AB436E7" w14:textId="69F3EADC" w:rsidR="00EB3052" w:rsidRPr="007F7EBF" w:rsidRDefault="00DA136C" w:rsidP="00EB3052">
      <w:pPr>
        <w:pStyle w:val="tit23"/>
        <w:ind w:left="6464" w:right="-1361" w:firstLine="0"/>
        <w:jc w:val="left"/>
        <w:rPr>
          <w:bCs/>
          <w:i/>
          <w:iCs/>
          <w:color w:val="0000FF"/>
          <w:lang w:val="it-IT"/>
        </w:rPr>
      </w:pPr>
      <w:r>
        <w:rPr>
          <w:bCs/>
          <w:i/>
          <w:iCs/>
          <w:color w:val="0000FF"/>
          <w:lang w:val="it-IT"/>
        </w:rPr>
        <w:t>UE e liberalizzazione servizi</w:t>
      </w:r>
    </w:p>
    <w:p w14:paraId="6A04F919" w14:textId="14D53914" w:rsidR="00D40CF4" w:rsidRPr="007F7EBF" w:rsidRDefault="00022AE1" w:rsidP="00D40CF4">
      <w:pPr>
        <w:autoSpaceDE w:val="0"/>
        <w:autoSpaceDN w:val="0"/>
        <w:adjustRightInd w:val="0"/>
        <w:rPr>
          <w:sz w:val="22"/>
          <w:szCs w:val="22"/>
        </w:rPr>
      </w:pPr>
      <w:r w:rsidRPr="007F7EBF">
        <w:rPr>
          <w:sz w:val="22"/>
          <w:szCs w:val="22"/>
        </w:rPr>
        <w:t xml:space="preserve">Nello spirito di libera circolazione cui è improntata la Comunità, </w:t>
      </w:r>
      <w:r w:rsidRPr="007F7EBF">
        <w:rPr>
          <w:bCs/>
          <w:sz w:val="22"/>
          <w:szCs w:val="22"/>
        </w:rPr>
        <w:t xml:space="preserve">questi due modelli, e le loro varie sfumature, competeranno </w:t>
      </w:r>
      <w:r w:rsidRPr="007F7EBF">
        <w:rPr>
          <w:sz w:val="22"/>
          <w:szCs w:val="22"/>
        </w:rPr>
        <w:t>in relazione alla maggiore efficienza raggiunta in concreto da ciascuno di essi, combinando “stato” e “mercato”.</w:t>
      </w:r>
      <w:r w:rsidR="00DD3A8B" w:rsidRPr="007F7EBF">
        <w:rPr>
          <w:sz w:val="22"/>
          <w:szCs w:val="22"/>
        </w:rPr>
        <w:t xml:space="preserve"> </w:t>
      </w:r>
      <w:r w:rsidR="007B20C0">
        <w:rPr>
          <w:sz w:val="22"/>
          <w:szCs w:val="22"/>
        </w:rPr>
        <w:t>Tuttavia l’adozione comunitaria del principio di “sussidiarietà” dell’intervento pubblico rispetto a quello “di mercato”, già esposto al par.</w:t>
      </w:r>
      <w:r w:rsidR="00361BCC">
        <w:rPr>
          <w:sz w:val="22"/>
          <w:szCs w:val="22"/>
        </w:rPr>
        <w:t>4.2</w:t>
      </w:r>
      <w:r w:rsidR="007B20C0">
        <w:rPr>
          <w:sz w:val="22"/>
          <w:szCs w:val="22"/>
        </w:rPr>
        <w:t xml:space="preserve">, ha </w:t>
      </w:r>
      <w:r w:rsidR="00EB3052">
        <w:rPr>
          <w:sz w:val="22"/>
          <w:szCs w:val="22"/>
        </w:rPr>
        <w:t xml:space="preserve">portato a una “privatizzazione soft” su attività in precedenza finanziate con pubbliche entrate ispirate al principio del “beneficio” (tariffe e tasse, par.1.2 e 5.1), ad esempio in materia di </w:t>
      </w:r>
      <w:r w:rsidR="007B20C0">
        <w:rPr>
          <w:sz w:val="22"/>
          <w:szCs w:val="22"/>
        </w:rPr>
        <w:t xml:space="preserve">poste, ferrovie, </w:t>
      </w:r>
      <w:r w:rsidR="00EB3052">
        <w:rPr>
          <w:sz w:val="22"/>
          <w:szCs w:val="22"/>
        </w:rPr>
        <w:t xml:space="preserve">trasporti pubblici, </w:t>
      </w:r>
      <w:r w:rsidR="007B20C0">
        <w:rPr>
          <w:sz w:val="22"/>
          <w:szCs w:val="22"/>
        </w:rPr>
        <w:t>ambiente</w:t>
      </w:r>
      <w:r w:rsidR="00EB3052">
        <w:rPr>
          <w:sz w:val="22"/>
          <w:szCs w:val="22"/>
        </w:rPr>
        <w:t>; il precedente loro esercizio pubblico diretto è stato sostituito con un c.d. “mercato regolamentato”, con elementi di concorrenza, pensati a vantaggio dei consumatori, sotto la sorveglianza di autorità pubbliche indipendenti di settore, come telecomunicazioni, energia.</w:t>
      </w:r>
      <w:r w:rsidR="00DC47A4" w:rsidRPr="00DC47A4">
        <w:rPr>
          <w:sz w:val="22"/>
          <w:szCs w:val="22"/>
        </w:rPr>
        <w:t xml:space="preserve"> </w:t>
      </w:r>
      <w:r w:rsidR="00DC47A4">
        <w:rPr>
          <w:sz w:val="22"/>
          <w:szCs w:val="22"/>
        </w:rPr>
        <w:t xml:space="preserve">Le relative funzioni pubbliche sono state quindi intensamente condizionate dalle regole europee, che hanno invece inciso meno sulla funzione tributaria. </w:t>
      </w:r>
    </w:p>
    <w:p w14:paraId="5BD524FF" w14:textId="54D51723" w:rsidR="00D40CF4" w:rsidRPr="007F7EBF" w:rsidRDefault="00DA136C" w:rsidP="00D40CF4">
      <w:pPr>
        <w:pStyle w:val="tit23"/>
        <w:ind w:left="6464" w:right="-1361" w:firstLine="0"/>
        <w:jc w:val="left"/>
        <w:rPr>
          <w:bCs/>
          <w:i/>
          <w:iCs/>
          <w:color w:val="0000FF"/>
          <w:lang w:val="it-IT"/>
        </w:rPr>
      </w:pPr>
      <w:r>
        <w:rPr>
          <w:bCs/>
          <w:i/>
          <w:iCs/>
          <w:color w:val="0000FF"/>
          <w:lang w:val="it-IT"/>
        </w:rPr>
        <w:t xml:space="preserve">Divieto di </w:t>
      </w:r>
      <w:r w:rsidR="00BA25E6" w:rsidRPr="007F7EBF">
        <w:rPr>
          <w:bCs/>
          <w:i/>
          <w:iCs/>
          <w:color w:val="0000FF"/>
          <w:lang w:val="it-IT"/>
        </w:rPr>
        <w:t xml:space="preserve"> ingerenze </w:t>
      </w:r>
      <w:proofErr w:type="spellStart"/>
      <w:r w:rsidR="00BA25E6" w:rsidRPr="007F7EBF">
        <w:rPr>
          <w:bCs/>
          <w:i/>
          <w:iCs/>
          <w:color w:val="0000FF"/>
          <w:lang w:val="it-IT"/>
        </w:rPr>
        <w:t>statali</w:t>
      </w:r>
      <w:r>
        <w:rPr>
          <w:bCs/>
          <w:i/>
          <w:iCs/>
          <w:color w:val="0000FF"/>
          <w:lang w:val="it-IT"/>
        </w:rPr>
        <w:t>:discriminazioni</w:t>
      </w:r>
      <w:proofErr w:type="spellEnd"/>
      <w:r>
        <w:rPr>
          <w:bCs/>
          <w:i/>
          <w:iCs/>
          <w:color w:val="0000FF"/>
          <w:lang w:val="it-IT"/>
        </w:rPr>
        <w:t xml:space="preserve"> e aiuti di stato </w:t>
      </w:r>
    </w:p>
    <w:p w14:paraId="360971F9" w14:textId="13C88FD7" w:rsidR="00DC47A4" w:rsidRDefault="00DC47A4" w:rsidP="0091567D">
      <w:pPr>
        <w:autoSpaceDE w:val="0"/>
        <w:autoSpaceDN w:val="0"/>
        <w:adjustRightInd w:val="0"/>
        <w:rPr>
          <w:sz w:val="22"/>
          <w:szCs w:val="22"/>
        </w:rPr>
      </w:pPr>
      <w:r>
        <w:rPr>
          <w:sz w:val="22"/>
          <w:szCs w:val="22"/>
        </w:rPr>
        <w:t xml:space="preserve">Le imposte, e la fiscalità (par.1.1),  restano infatti nazionali, e l’Unione si preoccupa </w:t>
      </w:r>
      <w:r w:rsidR="00E14F94">
        <w:rPr>
          <w:sz w:val="22"/>
          <w:szCs w:val="22"/>
        </w:rPr>
        <w:t xml:space="preserve">soprattutto </w:t>
      </w:r>
      <w:r>
        <w:rPr>
          <w:sz w:val="22"/>
          <w:szCs w:val="22"/>
        </w:rPr>
        <w:t>di</w:t>
      </w:r>
      <w:r w:rsidR="00E14F94">
        <w:rPr>
          <w:sz w:val="22"/>
          <w:szCs w:val="22"/>
        </w:rPr>
        <w:t xml:space="preserve"> evitare che </w:t>
      </w:r>
      <w:r>
        <w:rPr>
          <w:sz w:val="22"/>
          <w:szCs w:val="22"/>
        </w:rPr>
        <w:t>siano usate dagli</w:t>
      </w:r>
      <w:r w:rsidR="00D74803">
        <w:rPr>
          <w:sz w:val="22"/>
          <w:szCs w:val="22"/>
        </w:rPr>
        <w:t xml:space="preserve"> stat</w:t>
      </w:r>
      <w:r>
        <w:rPr>
          <w:sz w:val="22"/>
          <w:szCs w:val="22"/>
        </w:rPr>
        <w:t>i per</w:t>
      </w:r>
      <w:r w:rsidR="00D74803">
        <w:rPr>
          <w:sz w:val="22"/>
          <w:szCs w:val="22"/>
        </w:rPr>
        <w:t xml:space="preserve"> protegg</w:t>
      </w:r>
      <w:r>
        <w:rPr>
          <w:sz w:val="22"/>
          <w:szCs w:val="22"/>
        </w:rPr>
        <w:t>ere</w:t>
      </w:r>
      <w:r w:rsidR="00D74803">
        <w:rPr>
          <w:sz w:val="22"/>
          <w:szCs w:val="22"/>
        </w:rPr>
        <w:t xml:space="preserve"> aziende </w:t>
      </w:r>
      <w:r w:rsidR="00DD3A8B" w:rsidRPr="007F7EBF">
        <w:rPr>
          <w:sz w:val="22"/>
          <w:szCs w:val="22"/>
        </w:rPr>
        <w:t>nazionali</w:t>
      </w:r>
      <w:r>
        <w:rPr>
          <w:sz w:val="22"/>
          <w:szCs w:val="22"/>
        </w:rPr>
        <w:t xml:space="preserve"> (aiuto di stato)</w:t>
      </w:r>
      <w:r w:rsidR="00DD3A8B" w:rsidRPr="007F7EBF">
        <w:rPr>
          <w:sz w:val="22"/>
          <w:szCs w:val="22"/>
        </w:rPr>
        <w:t xml:space="preserve">, oppure </w:t>
      </w:r>
      <w:r w:rsidR="00D74803">
        <w:rPr>
          <w:sz w:val="22"/>
          <w:szCs w:val="22"/>
        </w:rPr>
        <w:t>ostacol</w:t>
      </w:r>
      <w:r>
        <w:rPr>
          <w:sz w:val="22"/>
          <w:szCs w:val="22"/>
        </w:rPr>
        <w:t xml:space="preserve">are </w:t>
      </w:r>
      <w:r w:rsidR="00D74803">
        <w:rPr>
          <w:sz w:val="22"/>
          <w:szCs w:val="22"/>
        </w:rPr>
        <w:t>aziende</w:t>
      </w:r>
      <w:r w:rsidR="00DD3A8B" w:rsidRPr="007F7EBF">
        <w:rPr>
          <w:sz w:val="22"/>
          <w:szCs w:val="22"/>
        </w:rPr>
        <w:t xml:space="preserve"> estere</w:t>
      </w:r>
      <w:r>
        <w:rPr>
          <w:sz w:val="22"/>
          <w:szCs w:val="22"/>
        </w:rPr>
        <w:t xml:space="preserve"> (divieto di discriminazione)</w:t>
      </w:r>
      <w:r w:rsidR="00DD3A8B" w:rsidRPr="007F7EBF">
        <w:rPr>
          <w:sz w:val="22"/>
          <w:szCs w:val="22"/>
        </w:rPr>
        <w:t xml:space="preserve">. </w:t>
      </w:r>
      <w:r w:rsidR="00DA136C">
        <w:rPr>
          <w:sz w:val="22"/>
          <w:szCs w:val="22"/>
        </w:rPr>
        <w:t xml:space="preserve">Deriva quindi dai trattati Europei </w:t>
      </w:r>
      <w:r w:rsidR="00D74803">
        <w:rPr>
          <w:sz w:val="22"/>
          <w:szCs w:val="22"/>
        </w:rPr>
        <w:t xml:space="preserve">prima di tutto </w:t>
      </w:r>
      <w:r w:rsidR="00DA136C">
        <w:rPr>
          <w:sz w:val="22"/>
          <w:szCs w:val="22"/>
        </w:rPr>
        <w:t xml:space="preserve">l’ovvio divieto, tra paesi membri, </w:t>
      </w:r>
      <w:r w:rsidR="00E14F94">
        <w:rPr>
          <w:sz w:val="22"/>
          <w:szCs w:val="22"/>
        </w:rPr>
        <w:t>delle</w:t>
      </w:r>
      <w:r w:rsidR="00DA136C">
        <w:rPr>
          <w:sz w:val="22"/>
          <w:szCs w:val="22"/>
        </w:rPr>
        <w:t xml:space="preserve"> </w:t>
      </w:r>
      <w:r w:rsidR="00DA136C" w:rsidRPr="007F7EBF">
        <w:rPr>
          <w:bCs/>
          <w:sz w:val="22"/>
          <w:szCs w:val="22"/>
        </w:rPr>
        <w:t>imposte doganali</w:t>
      </w:r>
      <w:r>
        <w:rPr>
          <w:bCs/>
          <w:sz w:val="22"/>
          <w:szCs w:val="22"/>
        </w:rPr>
        <w:t>,</w:t>
      </w:r>
      <w:r w:rsidR="00E14F94">
        <w:rPr>
          <w:bCs/>
          <w:sz w:val="22"/>
          <w:szCs w:val="22"/>
        </w:rPr>
        <w:t xml:space="preserve"> ana</w:t>
      </w:r>
      <w:r>
        <w:rPr>
          <w:bCs/>
          <w:sz w:val="22"/>
          <w:szCs w:val="22"/>
        </w:rPr>
        <w:t>l</w:t>
      </w:r>
      <w:r w:rsidR="00E14F94">
        <w:rPr>
          <w:bCs/>
          <w:sz w:val="22"/>
          <w:szCs w:val="22"/>
        </w:rPr>
        <w:t xml:space="preserve">izzate </w:t>
      </w:r>
      <w:r w:rsidR="00DA136C">
        <w:rPr>
          <w:bCs/>
          <w:sz w:val="22"/>
          <w:szCs w:val="22"/>
        </w:rPr>
        <w:t xml:space="preserve">al par.10.7 </w:t>
      </w:r>
      <w:r>
        <w:rPr>
          <w:bCs/>
          <w:sz w:val="22"/>
          <w:szCs w:val="22"/>
        </w:rPr>
        <w:t>(</w:t>
      </w:r>
      <w:r w:rsidR="00DA136C" w:rsidRPr="007F7EBF">
        <w:rPr>
          <w:rStyle w:val="Rimandonotaapidipagina"/>
          <w:bCs/>
          <w:sz w:val="22"/>
          <w:szCs w:val="22"/>
        </w:rPr>
        <w:footnoteReference w:id="175"/>
      </w:r>
      <w:r>
        <w:rPr>
          <w:bCs/>
          <w:sz w:val="22"/>
          <w:szCs w:val="22"/>
        </w:rPr>
        <w:t>)</w:t>
      </w:r>
      <w:r w:rsidR="00D74803">
        <w:rPr>
          <w:sz w:val="22"/>
          <w:szCs w:val="22"/>
        </w:rPr>
        <w:t xml:space="preserve">. </w:t>
      </w:r>
    </w:p>
    <w:p w14:paraId="51F49548" w14:textId="27F17EF4" w:rsidR="00DA136C" w:rsidRPr="007F7EBF" w:rsidRDefault="00DC47A4" w:rsidP="0091567D">
      <w:pPr>
        <w:autoSpaceDE w:val="0"/>
        <w:autoSpaceDN w:val="0"/>
        <w:adjustRightInd w:val="0"/>
        <w:rPr>
          <w:bCs/>
          <w:i/>
          <w:iCs/>
          <w:color w:val="0000FF"/>
        </w:rPr>
      </w:pPr>
      <w:r>
        <w:rPr>
          <w:sz w:val="22"/>
          <w:szCs w:val="22"/>
        </w:rPr>
        <w:lastRenderedPageBreak/>
        <w:t xml:space="preserve">Anche la determinazione dei tributi </w:t>
      </w:r>
      <w:r w:rsidRPr="007F7EBF">
        <w:rPr>
          <w:sz w:val="22"/>
          <w:szCs w:val="22"/>
        </w:rPr>
        <w:t>potrebbe essere congegnat</w:t>
      </w:r>
      <w:r>
        <w:rPr>
          <w:sz w:val="22"/>
          <w:szCs w:val="22"/>
        </w:rPr>
        <w:t>a</w:t>
      </w:r>
      <w:r w:rsidRPr="007F7EBF">
        <w:rPr>
          <w:sz w:val="22"/>
          <w:szCs w:val="22"/>
        </w:rPr>
        <w:t xml:space="preserve"> in modo da costituire </w:t>
      </w:r>
      <w:r w:rsidRPr="007F7EBF">
        <w:rPr>
          <w:bCs/>
          <w:sz w:val="22"/>
          <w:szCs w:val="22"/>
        </w:rPr>
        <w:t>discriminazion</w:t>
      </w:r>
      <w:r>
        <w:rPr>
          <w:bCs/>
          <w:sz w:val="22"/>
          <w:szCs w:val="22"/>
        </w:rPr>
        <w:t>e</w:t>
      </w:r>
      <w:r w:rsidRPr="007F7EBF">
        <w:rPr>
          <w:bCs/>
          <w:sz w:val="22"/>
          <w:szCs w:val="22"/>
        </w:rPr>
        <w:t xml:space="preserve"> o aiut</w:t>
      </w:r>
      <w:r>
        <w:rPr>
          <w:bCs/>
          <w:sz w:val="22"/>
          <w:szCs w:val="22"/>
        </w:rPr>
        <w:t xml:space="preserve">o </w:t>
      </w:r>
      <w:r w:rsidRPr="007F7EBF">
        <w:rPr>
          <w:bCs/>
          <w:sz w:val="22"/>
          <w:szCs w:val="22"/>
        </w:rPr>
        <w:t>di stato</w:t>
      </w:r>
      <w:r w:rsidRPr="007F7EBF">
        <w:rPr>
          <w:sz w:val="22"/>
          <w:szCs w:val="22"/>
        </w:rPr>
        <w:t>, che potrebbe alterare la competizione tra gli operatori economici comunitari</w:t>
      </w:r>
      <w:r>
        <w:rPr>
          <w:sz w:val="22"/>
          <w:szCs w:val="22"/>
        </w:rPr>
        <w:t>(</w:t>
      </w:r>
      <w:r w:rsidRPr="007F7EBF">
        <w:rPr>
          <w:rStyle w:val="Rimandonotaapidipagina"/>
          <w:sz w:val="22"/>
          <w:szCs w:val="22"/>
        </w:rPr>
        <w:footnoteReference w:id="176"/>
      </w:r>
      <w:r>
        <w:rPr>
          <w:sz w:val="22"/>
          <w:szCs w:val="22"/>
        </w:rPr>
        <w:t>)</w:t>
      </w:r>
      <w:r w:rsidR="00DA136C" w:rsidRPr="007F7EBF">
        <w:rPr>
          <w:sz w:val="22"/>
          <w:szCs w:val="22"/>
        </w:rPr>
        <w:t xml:space="preserve">. Ne deriva indirettamente un divieto di </w:t>
      </w:r>
      <w:r w:rsidR="00DA136C" w:rsidRPr="007F7EBF">
        <w:rPr>
          <w:bCs/>
          <w:sz w:val="22"/>
          <w:szCs w:val="22"/>
        </w:rPr>
        <w:t>agevolazioni fiscali</w:t>
      </w:r>
      <w:r>
        <w:rPr>
          <w:bCs/>
          <w:sz w:val="22"/>
          <w:szCs w:val="22"/>
        </w:rPr>
        <w:t xml:space="preserve"> congegnate in modo da </w:t>
      </w:r>
      <w:r w:rsidR="00DA136C" w:rsidRPr="007F7EBF">
        <w:rPr>
          <w:sz w:val="22"/>
          <w:szCs w:val="22"/>
        </w:rPr>
        <w:t xml:space="preserve">condizionare la </w:t>
      </w:r>
      <w:r>
        <w:rPr>
          <w:sz w:val="22"/>
          <w:szCs w:val="22"/>
        </w:rPr>
        <w:t xml:space="preserve">concorrenza e la </w:t>
      </w:r>
      <w:r w:rsidR="00DA136C" w:rsidRPr="007F7EBF">
        <w:rPr>
          <w:sz w:val="22"/>
          <w:szCs w:val="22"/>
        </w:rPr>
        <w:t>neutralità nell’</w:t>
      </w:r>
      <w:r w:rsidR="00DA136C" w:rsidRPr="007F7EBF">
        <w:rPr>
          <w:bCs/>
          <w:sz w:val="22"/>
          <w:szCs w:val="22"/>
        </w:rPr>
        <w:t xml:space="preserve">allocazione degli investimenti </w:t>
      </w:r>
      <w:r w:rsidR="00DA136C" w:rsidRPr="007F7EBF">
        <w:rPr>
          <w:sz w:val="22"/>
          <w:szCs w:val="22"/>
        </w:rPr>
        <w:t xml:space="preserve">all’interno dell’Unione </w:t>
      </w:r>
      <w:r w:rsidR="00D74803">
        <w:rPr>
          <w:sz w:val="22"/>
          <w:szCs w:val="22"/>
        </w:rPr>
        <w:t>(</w:t>
      </w:r>
      <w:r w:rsidR="00D74803" w:rsidRPr="007F7EBF">
        <w:rPr>
          <w:rStyle w:val="Rimandonotaapidipagina"/>
          <w:sz w:val="22"/>
          <w:szCs w:val="22"/>
        </w:rPr>
        <w:footnoteReference w:id="177"/>
      </w:r>
      <w:r w:rsidR="00D74803">
        <w:rPr>
          <w:sz w:val="22"/>
          <w:szCs w:val="22"/>
        </w:rPr>
        <w:t>)</w:t>
      </w:r>
      <w:r w:rsidR="0091567D">
        <w:rPr>
          <w:sz w:val="22"/>
          <w:szCs w:val="22"/>
        </w:rPr>
        <w:t>; l</w:t>
      </w:r>
      <w:r w:rsidR="00DA136C" w:rsidRPr="007F7EBF">
        <w:rPr>
          <w:sz w:val="22"/>
          <w:szCs w:val="22"/>
        </w:rPr>
        <w:t xml:space="preserve">e agevolazioni fiscali generali, cioè indirizzate a tutti gli operatori, </w:t>
      </w:r>
      <w:r w:rsidR="0091567D">
        <w:rPr>
          <w:sz w:val="22"/>
          <w:szCs w:val="22"/>
        </w:rPr>
        <w:t xml:space="preserve">nazionali ed esteri, </w:t>
      </w:r>
      <w:r w:rsidR="00DA136C" w:rsidRPr="007F7EBF">
        <w:rPr>
          <w:sz w:val="22"/>
          <w:szCs w:val="22"/>
        </w:rPr>
        <w:t xml:space="preserve">non necessitano di autorizzazione </w:t>
      </w:r>
      <w:r w:rsidR="0091567D">
        <w:rPr>
          <w:sz w:val="22"/>
          <w:szCs w:val="22"/>
        </w:rPr>
        <w:t>nella misura in cui non alterano il mercato</w:t>
      </w:r>
      <w:r w:rsidR="00DA136C" w:rsidRPr="007F7EBF">
        <w:rPr>
          <w:sz w:val="22"/>
          <w:szCs w:val="22"/>
        </w:rPr>
        <w:t xml:space="preserve">. </w:t>
      </w:r>
    </w:p>
    <w:p w14:paraId="29FEC5B0" w14:textId="7A3212DD" w:rsidR="007B20C0" w:rsidRPr="007F7EBF" w:rsidRDefault="0091567D" w:rsidP="00DA136C">
      <w:pPr>
        <w:autoSpaceDE w:val="0"/>
        <w:autoSpaceDN w:val="0"/>
        <w:adjustRightInd w:val="0"/>
        <w:rPr>
          <w:sz w:val="22"/>
          <w:szCs w:val="22"/>
        </w:rPr>
      </w:pPr>
      <w:r>
        <w:rPr>
          <w:sz w:val="22"/>
          <w:szCs w:val="22"/>
        </w:rPr>
        <w:t>Talvolta le logiche interne al sistema fiscale, cioè l</w:t>
      </w:r>
      <w:r w:rsidR="00DA136C" w:rsidRPr="007F7EBF">
        <w:rPr>
          <w:sz w:val="22"/>
          <w:szCs w:val="22"/>
        </w:rPr>
        <w:t xml:space="preserve">e simmetrie </w:t>
      </w:r>
      <w:r>
        <w:rPr>
          <w:sz w:val="22"/>
          <w:szCs w:val="22"/>
        </w:rPr>
        <w:t>tra</w:t>
      </w:r>
      <w:r w:rsidR="00DA136C" w:rsidRPr="007F7EBF">
        <w:rPr>
          <w:sz w:val="22"/>
          <w:szCs w:val="22"/>
        </w:rPr>
        <w:t xml:space="preserve"> tempi diversi e contribuenti diversi (</w:t>
      </w:r>
      <w:r>
        <w:rPr>
          <w:sz w:val="22"/>
          <w:szCs w:val="22"/>
        </w:rPr>
        <w:t>par.3.12</w:t>
      </w:r>
      <w:r w:rsidR="00DA136C" w:rsidRPr="007F7EBF">
        <w:rPr>
          <w:sz w:val="22"/>
          <w:szCs w:val="22"/>
        </w:rPr>
        <w:t xml:space="preserve">) </w:t>
      </w:r>
      <w:r>
        <w:rPr>
          <w:sz w:val="22"/>
          <w:szCs w:val="22"/>
        </w:rPr>
        <w:t xml:space="preserve">sono tipicamente “interne” ai singoli paesi, e possono apparire “discriminatorie”, salvo il concetto di “coerenza del sistema fiscale” </w:t>
      </w:r>
      <w:r w:rsidRPr="007F7EBF">
        <w:rPr>
          <w:sz w:val="22"/>
          <w:szCs w:val="22"/>
        </w:rPr>
        <w:t xml:space="preserve">che può </w:t>
      </w:r>
      <w:r>
        <w:rPr>
          <w:sz w:val="22"/>
          <w:szCs w:val="22"/>
        </w:rPr>
        <w:t xml:space="preserve">talvolta </w:t>
      </w:r>
      <w:r w:rsidRPr="007F7EBF">
        <w:rPr>
          <w:sz w:val="22"/>
          <w:szCs w:val="22"/>
        </w:rPr>
        <w:t>legittimar</w:t>
      </w:r>
      <w:r>
        <w:rPr>
          <w:sz w:val="22"/>
          <w:szCs w:val="22"/>
        </w:rPr>
        <w:t>l</w:t>
      </w:r>
      <w:r w:rsidRPr="007F7EBF">
        <w:rPr>
          <w:sz w:val="22"/>
          <w:szCs w:val="22"/>
        </w:rPr>
        <w:t xml:space="preserve">e </w:t>
      </w:r>
      <w:r>
        <w:rPr>
          <w:sz w:val="22"/>
          <w:szCs w:val="22"/>
        </w:rPr>
        <w:t>(</w:t>
      </w:r>
      <w:r w:rsidRPr="007F7EBF">
        <w:rPr>
          <w:rStyle w:val="Rimandonotaapidipagina"/>
          <w:sz w:val="22"/>
          <w:szCs w:val="22"/>
        </w:rPr>
        <w:footnoteReference w:id="178"/>
      </w:r>
      <w:r>
        <w:rPr>
          <w:sz w:val="22"/>
          <w:szCs w:val="22"/>
        </w:rPr>
        <w:t>).</w:t>
      </w:r>
      <w:r w:rsidR="00DA136C" w:rsidRPr="007F7EBF">
        <w:rPr>
          <w:sz w:val="22"/>
          <w:szCs w:val="22"/>
        </w:rPr>
        <w:t xml:space="preserve"> </w:t>
      </w:r>
    </w:p>
    <w:p w14:paraId="2DF2B69F" w14:textId="47DFE2C5" w:rsidR="007B20C0" w:rsidRPr="007F7EBF" w:rsidRDefault="00EC7557" w:rsidP="007B20C0">
      <w:pPr>
        <w:pStyle w:val="tit23"/>
        <w:ind w:left="6464" w:right="-1361" w:firstLine="0"/>
        <w:jc w:val="left"/>
        <w:rPr>
          <w:bCs/>
          <w:i/>
          <w:iCs/>
          <w:color w:val="0000FF"/>
          <w:lang w:val="it-IT"/>
        </w:rPr>
      </w:pPr>
      <w:r>
        <w:rPr>
          <w:bCs/>
          <w:i/>
          <w:iCs/>
          <w:color w:val="0000FF"/>
          <w:lang w:val="it-IT"/>
        </w:rPr>
        <w:t>Normativa comunitaria e sua “prevalenza”</w:t>
      </w:r>
    </w:p>
    <w:p w14:paraId="5354C8C1" w14:textId="590851C3" w:rsidR="007B20C0" w:rsidRPr="007F7EBF" w:rsidRDefault="00EC7557" w:rsidP="00677822">
      <w:pPr>
        <w:autoSpaceDE w:val="0"/>
        <w:autoSpaceDN w:val="0"/>
        <w:adjustRightInd w:val="0"/>
        <w:rPr>
          <w:sz w:val="22"/>
          <w:szCs w:val="22"/>
        </w:rPr>
      </w:pPr>
      <w:r w:rsidRPr="007F7EBF">
        <w:rPr>
          <w:sz w:val="22"/>
          <w:szCs w:val="22"/>
        </w:rPr>
        <w:t>È ormai affermato, dalla giurisprudenza interna e comunitaria, l’</w:t>
      </w:r>
      <w:r w:rsidRPr="007F7EBF">
        <w:rPr>
          <w:bCs/>
          <w:sz w:val="22"/>
          <w:szCs w:val="22"/>
        </w:rPr>
        <w:t xml:space="preserve">obbligo delle istituzioni nazionali di disapplicare la normativa interna che contrasti </w:t>
      </w:r>
      <w:r w:rsidRPr="007F7EBF">
        <w:rPr>
          <w:sz w:val="22"/>
          <w:szCs w:val="22"/>
        </w:rPr>
        <w:t>con le suddette disposizioni comunitarie</w:t>
      </w:r>
      <w:r w:rsidR="00677822">
        <w:rPr>
          <w:sz w:val="22"/>
          <w:szCs w:val="22"/>
        </w:rPr>
        <w:t xml:space="preserve">, a partire dai trattati </w:t>
      </w:r>
      <w:r w:rsidR="00677822">
        <w:rPr>
          <w:sz w:val="22"/>
          <w:szCs w:val="22"/>
        </w:rPr>
        <w:lastRenderedPageBreak/>
        <w:t>(</w:t>
      </w:r>
      <w:r w:rsidR="00677822">
        <w:rPr>
          <w:rStyle w:val="Rimandonotaapidipagina"/>
          <w:sz w:val="22"/>
          <w:szCs w:val="22"/>
        </w:rPr>
        <w:footnoteReference w:id="179"/>
      </w:r>
      <w:r w:rsidR="00677822">
        <w:rPr>
          <w:sz w:val="22"/>
          <w:szCs w:val="22"/>
        </w:rPr>
        <w:t>)</w:t>
      </w:r>
      <w:r w:rsidRPr="007F7EBF">
        <w:rPr>
          <w:sz w:val="22"/>
          <w:szCs w:val="22"/>
        </w:rPr>
        <w:t xml:space="preserve">. L'obbligo suddetto di conformarsi al diritto europeo </w:t>
      </w:r>
      <w:r w:rsidR="003D6966">
        <w:rPr>
          <w:sz w:val="22"/>
          <w:szCs w:val="22"/>
        </w:rPr>
        <w:t>sussiste</w:t>
      </w:r>
      <w:r w:rsidRPr="007F7EBF">
        <w:rPr>
          <w:sz w:val="22"/>
          <w:szCs w:val="22"/>
        </w:rPr>
        <w:t xml:space="preserve"> non solo per i giudici, ma anche per le amministrazioni, comprese quelle tributarie</w:t>
      </w:r>
      <w:r w:rsidR="00677822">
        <w:rPr>
          <w:sz w:val="22"/>
          <w:szCs w:val="22"/>
        </w:rPr>
        <w:t>. La</w:t>
      </w:r>
      <w:r w:rsidR="007B20C0" w:rsidRPr="007F7EBF">
        <w:rPr>
          <w:sz w:val="22"/>
          <w:szCs w:val="22"/>
        </w:rPr>
        <w:t xml:space="preserve"> normativa comunitaria si compone di </w:t>
      </w:r>
      <w:r w:rsidR="007B20C0" w:rsidRPr="007F7EBF">
        <w:rPr>
          <w:bCs/>
          <w:sz w:val="22"/>
          <w:szCs w:val="22"/>
        </w:rPr>
        <w:t>regolamenti e direttive</w:t>
      </w:r>
      <w:r w:rsidR="007B20C0" w:rsidRPr="007F7EBF">
        <w:rPr>
          <w:rStyle w:val="Rimandonotaapidipagina"/>
          <w:sz w:val="22"/>
          <w:szCs w:val="22"/>
        </w:rPr>
        <w:footnoteReference w:id="180"/>
      </w:r>
      <w:r w:rsidR="007B20C0" w:rsidRPr="007F7EBF">
        <w:rPr>
          <w:bCs/>
          <w:sz w:val="22"/>
          <w:szCs w:val="22"/>
        </w:rPr>
        <w:t xml:space="preserve">.  </w:t>
      </w:r>
      <w:r w:rsidR="007B20C0" w:rsidRPr="007F7EBF">
        <w:rPr>
          <w:sz w:val="22"/>
          <w:szCs w:val="22"/>
        </w:rPr>
        <w:t xml:space="preserve">I </w:t>
      </w:r>
      <w:r w:rsidR="007B20C0" w:rsidRPr="007F7EBF">
        <w:rPr>
          <w:bCs/>
          <w:sz w:val="22"/>
          <w:szCs w:val="22"/>
        </w:rPr>
        <w:t xml:space="preserve">primi sono </w:t>
      </w:r>
      <w:r w:rsidR="007B20C0" w:rsidRPr="007F7EBF">
        <w:rPr>
          <w:sz w:val="22"/>
          <w:szCs w:val="22"/>
        </w:rPr>
        <w:t>direttamente esecutivi negli stati membri, e in materia tributaria sono utilizzati soprattutto  dove è maggiore il grado di internazionalizzazione, come in materia doganale e dei traffici comunitari (par. 10.5).</w:t>
      </w:r>
      <w:r w:rsidR="007B20C0" w:rsidRPr="007F7EBF">
        <w:rPr>
          <w:bCs/>
          <w:i/>
          <w:iCs/>
          <w:color w:val="0000FF"/>
          <w:sz w:val="22"/>
          <w:szCs w:val="22"/>
        </w:rPr>
        <w:t xml:space="preserve"> </w:t>
      </w:r>
    </w:p>
    <w:p w14:paraId="76A66987" w14:textId="2F0D0290" w:rsidR="007B20C0" w:rsidRPr="007F7EBF" w:rsidRDefault="007B20C0" w:rsidP="007B20C0">
      <w:pPr>
        <w:pStyle w:val="tit23"/>
        <w:ind w:left="6464" w:right="-1361" w:firstLine="0"/>
        <w:jc w:val="left"/>
        <w:rPr>
          <w:bCs/>
          <w:i/>
          <w:iCs/>
          <w:color w:val="0000FF"/>
          <w:lang w:val="it-IT"/>
        </w:rPr>
      </w:pPr>
      <w:r w:rsidRPr="007F7EBF">
        <w:rPr>
          <w:bCs/>
          <w:i/>
          <w:iCs/>
          <w:color w:val="0000FF"/>
          <w:lang w:val="it-IT"/>
        </w:rPr>
        <w:t>Le “direttive”</w:t>
      </w:r>
      <w:r w:rsidR="00677822">
        <w:rPr>
          <w:bCs/>
          <w:i/>
          <w:iCs/>
          <w:color w:val="0000FF"/>
          <w:lang w:val="it-IT"/>
        </w:rPr>
        <w:t xml:space="preserve"> e la loro efficacia</w:t>
      </w:r>
    </w:p>
    <w:p w14:paraId="22264BD1" w14:textId="049440D2" w:rsidR="00E56FA6" w:rsidRPr="007F7EBF" w:rsidRDefault="007B20C0" w:rsidP="003A2A21">
      <w:pPr>
        <w:autoSpaceDE w:val="0"/>
        <w:autoSpaceDN w:val="0"/>
        <w:adjustRightInd w:val="0"/>
        <w:rPr>
          <w:bCs/>
          <w:i/>
          <w:iCs/>
          <w:color w:val="0000FF"/>
        </w:rPr>
      </w:pPr>
      <w:r w:rsidRPr="007F7EBF">
        <w:rPr>
          <w:sz w:val="22"/>
          <w:szCs w:val="22"/>
        </w:rPr>
        <w:t xml:space="preserve">Le </w:t>
      </w:r>
      <w:r w:rsidRPr="007F7EBF">
        <w:rPr>
          <w:bCs/>
          <w:sz w:val="22"/>
          <w:szCs w:val="22"/>
        </w:rPr>
        <w:t>direttive sono molto più utilizzate dei regolamenti, e sono</w:t>
      </w:r>
      <w:r w:rsidRPr="007F7EBF">
        <w:rPr>
          <w:sz w:val="22"/>
          <w:szCs w:val="22"/>
        </w:rPr>
        <w:t xml:space="preserve"> in prima battuta senza efficacia diretta negli ordinamenti nazionali; esse sono infatti rivolte agli organi legislativi dei singoli stati, che devono recepirle negli ordinamenti nazionali, spesso con significativi margini di discrezionalità per personalizzarne le indicazioni.</w:t>
      </w:r>
      <w:r w:rsidR="009809B7">
        <w:rPr>
          <w:sz w:val="22"/>
          <w:szCs w:val="22"/>
        </w:rPr>
        <w:t xml:space="preserve"> Quando</w:t>
      </w:r>
      <w:r w:rsidRPr="007F7EBF">
        <w:rPr>
          <w:sz w:val="22"/>
          <w:szCs w:val="22"/>
        </w:rPr>
        <w:t xml:space="preserve"> però le </w:t>
      </w:r>
      <w:r w:rsidRPr="007F7EBF">
        <w:rPr>
          <w:bCs/>
          <w:sz w:val="22"/>
          <w:szCs w:val="22"/>
        </w:rPr>
        <w:t>direttive sono sufficientemente dettagliate</w:t>
      </w:r>
      <w:r w:rsidRPr="007F7EBF">
        <w:rPr>
          <w:sz w:val="22"/>
          <w:szCs w:val="22"/>
        </w:rPr>
        <w:t>, incondizionate (</w:t>
      </w:r>
      <w:r w:rsidRPr="007F7EBF">
        <w:rPr>
          <w:rStyle w:val="Rimandonotaapidipagina"/>
          <w:sz w:val="22"/>
          <w:szCs w:val="22"/>
        </w:rPr>
        <w:footnoteReference w:id="181"/>
      </w:r>
      <w:r w:rsidRPr="007F7EBF">
        <w:rPr>
          <w:sz w:val="22"/>
          <w:szCs w:val="22"/>
        </w:rPr>
        <w:t xml:space="preserve">), </w:t>
      </w:r>
      <w:r w:rsidR="009809B7">
        <w:rPr>
          <w:sz w:val="22"/>
          <w:szCs w:val="22"/>
        </w:rPr>
        <w:t xml:space="preserve">ed è </w:t>
      </w:r>
      <w:r w:rsidRPr="007F7EBF">
        <w:rPr>
          <w:sz w:val="22"/>
          <w:szCs w:val="22"/>
        </w:rPr>
        <w:t>scaduto inutilmente il termine per recepi</w:t>
      </w:r>
      <w:r w:rsidR="009809B7">
        <w:rPr>
          <w:sz w:val="22"/>
          <w:szCs w:val="22"/>
        </w:rPr>
        <w:t>rle</w:t>
      </w:r>
      <w:r w:rsidRPr="007F7EBF">
        <w:rPr>
          <w:sz w:val="22"/>
          <w:szCs w:val="22"/>
        </w:rPr>
        <w:t xml:space="preserve">, </w:t>
      </w:r>
      <w:r w:rsidR="009809B7">
        <w:rPr>
          <w:sz w:val="22"/>
          <w:szCs w:val="22"/>
        </w:rPr>
        <w:t>i singoli possono invocarle, secondo un orientamento consolidato della Corte di Giustizia, nei confronti de</w:t>
      </w:r>
      <w:r w:rsidRPr="007F7EBF">
        <w:rPr>
          <w:sz w:val="22"/>
          <w:szCs w:val="22"/>
        </w:rPr>
        <w:t xml:space="preserve">gli stati </w:t>
      </w:r>
      <w:r w:rsidR="009809B7">
        <w:rPr>
          <w:sz w:val="22"/>
          <w:szCs w:val="22"/>
        </w:rPr>
        <w:t>inadempienti (</w:t>
      </w:r>
      <w:r w:rsidRPr="007F7EBF">
        <w:rPr>
          <w:rStyle w:val="Rimandonotaapidipagina"/>
          <w:sz w:val="22"/>
          <w:szCs w:val="22"/>
        </w:rPr>
        <w:footnoteReference w:id="182"/>
      </w:r>
      <w:r w:rsidR="009809B7">
        <w:rPr>
          <w:sz w:val="22"/>
          <w:szCs w:val="22"/>
        </w:rPr>
        <w:t>)</w:t>
      </w:r>
      <w:r w:rsidRPr="007F7EBF">
        <w:rPr>
          <w:sz w:val="22"/>
          <w:szCs w:val="22"/>
        </w:rPr>
        <w:t xml:space="preserve">. </w:t>
      </w:r>
    </w:p>
    <w:p w14:paraId="66C9F8E1" w14:textId="4B5BFF9F" w:rsidR="00914FD7" w:rsidRPr="007F7EBF" w:rsidRDefault="00B7549E" w:rsidP="00914FD7">
      <w:pPr>
        <w:pStyle w:val="tit23"/>
        <w:ind w:left="6464" w:right="-1361" w:firstLine="0"/>
        <w:jc w:val="left"/>
        <w:rPr>
          <w:bCs/>
          <w:i/>
          <w:iCs/>
          <w:color w:val="0000FF"/>
          <w:lang w:val="it-IT"/>
        </w:rPr>
      </w:pPr>
      <w:r>
        <w:rPr>
          <w:bCs/>
          <w:i/>
          <w:iCs/>
          <w:color w:val="0000FF"/>
          <w:lang w:val="it-IT"/>
        </w:rPr>
        <w:t>normative europee</w:t>
      </w:r>
      <w:r w:rsidRPr="007F7EBF">
        <w:rPr>
          <w:bCs/>
          <w:i/>
          <w:iCs/>
          <w:color w:val="0000FF"/>
          <w:lang w:val="it-IT"/>
        </w:rPr>
        <w:t xml:space="preserve"> </w:t>
      </w:r>
      <w:r>
        <w:rPr>
          <w:bCs/>
          <w:i/>
          <w:iCs/>
          <w:color w:val="0000FF"/>
          <w:lang w:val="it-IT"/>
        </w:rPr>
        <w:t>ed Efficienza</w:t>
      </w:r>
    </w:p>
    <w:p w14:paraId="60982B1B" w14:textId="0BE5B164" w:rsidR="005E6675" w:rsidRDefault="00B7549E" w:rsidP="005E6675">
      <w:pPr>
        <w:autoSpaceDE w:val="0"/>
        <w:autoSpaceDN w:val="0"/>
        <w:adjustRightInd w:val="0"/>
        <w:rPr>
          <w:bCs/>
          <w:i/>
          <w:iCs/>
          <w:color w:val="0000FF"/>
        </w:rPr>
      </w:pPr>
      <w:r>
        <w:rPr>
          <w:sz w:val="22"/>
          <w:szCs w:val="22"/>
        </w:rPr>
        <w:t>I</w:t>
      </w:r>
      <w:r w:rsidR="009809B7">
        <w:rPr>
          <w:sz w:val="22"/>
          <w:szCs w:val="22"/>
        </w:rPr>
        <w:t>l dibattito s</w:t>
      </w:r>
      <w:r w:rsidR="00D32F89">
        <w:rPr>
          <w:sz w:val="22"/>
          <w:szCs w:val="22"/>
        </w:rPr>
        <w:t>ull’</w:t>
      </w:r>
      <w:r w:rsidR="002E058A">
        <w:rPr>
          <w:sz w:val="22"/>
          <w:szCs w:val="22"/>
        </w:rPr>
        <w:t>E</w:t>
      </w:r>
      <w:r w:rsidR="00D32F89">
        <w:rPr>
          <w:sz w:val="22"/>
          <w:szCs w:val="22"/>
        </w:rPr>
        <w:t>uropa</w:t>
      </w:r>
      <w:r w:rsidR="009809B7">
        <w:rPr>
          <w:sz w:val="22"/>
          <w:szCs w:val="22"/>
        </w:rPr>
        <w:t>, appiattito sulla sovranità monetaria (par.1.1)</w:t>
      </w:r>
      <w:r>
        <w:rPr>
          <w:sz w:val="22"/>
          <w:szCs w:val="22"/>
        </w:rPr>
        <w:t xml:space="preserve">, </w:t>
      </w:r>
      <w:r w:rsidR="009809B7">
        <w:rPr>
          <w:sz w:val="22"/>
          <w:szCs w:val="22"/>
        </w:rPr>
        <w:t xml:space="preserve">sottovaluta l’impatto di </w:t>
      </w:r>
      <w:r w:rsidR="002E058A">
        <w:rPr>
          <w:sz w:val="22"/>
          <w:szCs w:val="22"/>
        </w:rPr>
        <w:t xml:space="preserve">un ulteriore livello di regole, quelle comunitarie, </w:t>
      </w:r>
      <w:r w:rsidR="009809B7">
        <w:rPr>
          <w:sz w:val="22"/>
          <w:szCs w:val="22"/>
        </w:rPr>
        <w:t xml:space="preserve">sulle amministrazioni pubbliche dei vari stati. Governi e pubbliche amministrazioni più smaliziate </w:t>
      </w:r>
      <w:r>
        <w:rPr>
          <w:sz w:val="22"/>
          <w:szCs w:val="22"/>
        </w:rPr>
        <w:t xml:space="preserve">lo </w:t>
      </w:r>
      <w:r w:rsidR="009809B7">
        <w:rPr>
          <w:sz w:val="22"/>
          <w:szCs w:val="22"/>
        </w:rPr>
        <w:t xml:space="preserve">gestiscono con </w:t>
      </w:r>
      <w:r>
        <w:rPr>
          <w:sz w:val="22"/>
          <w:szCs w:val="22"/>
        </w:rPr>
        <w:t>flessibilità</w:t>
      </w:r>
      <w:r w:rsidR="009809B7">
        <w:rPr>
          <w:sz w:val="22"/>
          <w:szCs w:val="22"/>
        </w:rPr>
        <w:t xml:space="preserve"> (</w:t>
      </w:r>
      <w:r w:rsidR="009809B7">
        <w:rPr>
          <w:rStyle w:val="Rimandonotaapidipagina"/>
          <w:sz w:val="22"/>
          <w:szCs w:val="22"/>
        </w:rPr>
        <w:footnoteReference w:id="183"/>
      </w:r>
      <w:r w:rsidR="009809B7">
        <w:rPr>
          <w:sz w:val="22"/>
          <w:szCs w:val="22"/>
        </w:rPr>
        <w:t>)</w:t>
      </w:r>
      <w:r>
        <w:rPr>
          <w:sz w:val="22"/>
          <w:szCs w:val="22"/>
        </w:rPr>
        <w:t xml:space="preserve">, mentre le formalistiche preoccupazioni di “copertura” della nostra burocrazia </w:t>
      </w:r>
      <w:r>
        <w:t xml:space="preserve">diventano ancora più </w:t>
      </w:r>
      <w:r>
        <w:rPr>
          <w:sz w:val="22"/>
          <w:szCs w:val="22"/>
        </w:rPr>
        <w:t>paralizzanti</w:t>
      </w:r>
      <w:r w:rsidR="009809B7">
        <w:rPr>
          <w:sz w:val="22"/>
          <w:szCs w:val="22"/>
        </w:rPr>
        <w:t xml:space="preserve">. </w:t>
      </w:r>
      <w:r>
        <w:rPr>
          <w:sz w:val="22"/>
          <w:szCs w:val="22"/>
        </w:rPr>
        <w:t xml:space="preserve">Anche in materia </w:t>
      </w:r>
      <w:r w:rsidR="009A230E" w:rsidRPr="007F7EBF">
        <w:rPr>
          <w:sz w:val="22"/>
          <w:szCs w:val="22"/>
        </w:rPr>
        <w:t>tributari</w:t>
      </w:r>
      <w:r w:rsidR="005E6675">
        <w:rPr>
          <w:sz w:val="22"/>
          <w:szCs w:val="22"/>
        </w:rPr>
        <w:t xml:space="preserve">a molti </w:t>
      </w:r>
      <w:r w:rsidR="005E6675">
        <w:rPr>
          <w:sz w:val="22"/>
          <w:szCs w:val="22"/>
        </w:rPr>
        <w:lastRenderedPageBreak/>
        <w:t>provvedimenti</w:t>
      </w:r>
      <w:r w:rsidR="009A230E" w:rsidRPr="007F7EBF">
        <w:rPr>
          <w:sz w:val="22"/>
          <w:szCs w:val="22"/>
        </w:rPr>
        <w:t xml:space="preserve"> sensati sono </w:t>
      </w:r>
      <w:r>
        <w:rPr>
          <w:sz w:val="22"/>
          <w:szCs w:val="22"/>
        </w:rPr>
        <w:t>ostacolati dal</w:t>
      </w:r>
      <w:r w:rsidR="009A230E" w:rsidRPr="007F7EBF">
        <w:rPr>
          <w:sz w:val="22"/>
          <w:szCs w:val="22"/>
        </w:rPr>
        <w:t xml:space="preserve"> timore di ipotetiche contrarietà alla normativa europea</w:t>
      </w:r>
      <w:r w:rsidR="002E058A">
        <w:rPr>
          <w:sz w:val="22"/>
          <w:szCs w:val="22"/>
        </w:rPr>
        <w:t xml:space="preserve">, </w:t>
      </w:r>
      <w:r>
        <w:rPr>
          <w:sz w:val="22"/>
          <w:szCs w:val="22"/>
        </w:rPr>
        <w:t xml:space="preserve">mentre molte regole </w:t>
      </w:r>
      <w:r w:rsidR="002E058A">
        <w:rPr>
          <w:sz w:val="22"/>
          <w:szCs w:val="22"/>
        </w:rPr>
        <w:t>europee</w:t>
      </w:r>
      <w:r>
        <w:rPr>
          <w:sz w:val="22"/>
          <w:szCs w:val="22"/>
        </w:rPr>
        <w:t>, sempre per lo stesso motivo,</w:t>
      </w:r>
      <w:r w:rsidR="002E058A">
        <w:rPr>
          <w:sz w:val="22"/>
          <w:szCs w:val="22"/>
        </w:rPr>
        <w:t xml:space="preserve"> sono travisate o recepite in modo </w:t>
      </w:r>
      <w:r>
        <w:rPr>
          <w:sz w:val="22"/>
          <w:szCs w:val="22"/>
        </w:rPr>
        <w:t>distorto</w:t>
      </w:r>
      <w:r w:rsidR="00554B09">
        <w:rPr>
          <w:sz w:val="22"/>
          <w:szCs w:val="22"/>
        </w:rPr>
        <w:t xml:space="preserve"> (</w:t>
      </w:r>
      <w:r w:rsidR="002E058A" w:rsidRPr="007F7EBF">
        <w:rPr>
          <w:rStyle w:val="Rimandonotaapidipagina"/>
          <w:sz w:val="22"/>
          <w:szCs w:val="22"/>
        </w:rPr>
        <w:footnoteReference w:id="184"/>
      </w:r>
      <w:r w:rsidR="002E058A">
        <w:rPr>
          <w:sz w:val="22"/>
          <w:szCs w:val="22"/>
        </w:rPr>
        <w:t>)</w:t>
      </w:r>
      <w:r w:rsidR="002E058A" w:rsidRPr="007F7EBF">
        <w:rPr>
          <w:sz w:val="22"/>
          <w:szCs w:val="22"/>
        </w:rPr>
        <w:t>.</w:t>
      </w:r>
      <w:r w:rsidR="005E6675">
        <w:rPr>
          <w:sz w:val="22"/>
          <w:szCs w:val="22"/>
        </w:rPr>
        <w:t xml:space="preserve"> </w:t>
      </w:r>
      <w:r w:rsidR="00BD7863">
        <w:rPr>
          <w:sz w:val="22"/>
          <w:szCs w:val="22"/>
        </w:rPr>
        <w:t xml:space="preserve">  </w:t>
      </w:r>
    </w:p>
    <w:p w14:paraId="2BE27D9B" w14:textId="18F23B0F" w:rsidR="00DA136C" w:rsidRPr="007F7EBF" w:rsidRDefault="0008685B" w:rsidP="00DA136C">
      <w:pPr>
        <w:pStyle w:val="tit23"/>
        <w:ind w:left="6464" w:right="-1361" w:firstLine="0"/>
        <w:jc w:val="left"/>
        <w:rPr>
          <w:bCs/>
          <w:i/>
          <w:iCs/>
          <w:color w:val="0000FF"/>
          <w:lang w:val="it-IT"/>
        </w:rPr>
      </w:pPr>
      <w:r>
        <w:rPr>
          <w:bCs/>
          <w:i/>
          <w:iCs/>
          <w:color w:val="0000FF"/>
          <w:lang w:val="it-IT"/>
        </w:rPr>
        <w:t>Difficoltà di unire le sfere di sovranità</w:t>
      </w:r>
    </w:p>
    <w:p w14:paraId="53708B86" w14:textId="07AB6E42" w:rsidR="009F6327" w:rsidRPr="007F7EBF" w:rsidRDefault="0008685B" w:rsidP="00BD7863">
      <w:pPr>
        <w:autoSpaceDE w:val="0"/>
        <w:autoSpaceDN w:val="0"/>
        <w:adjustRightInd w:val="0"/>
        <w:rPr>
          <w:bCs/>
          <w:sz w:val="22"/>
          <w:szCs w:val="22"/>
        </w:rPr>
      </w:pPr>
      <w:r>
        <w:rPr>
          <w:sz w:val="22"/>
          <w:szCs w:val="22"/>
        </w:rPr>
        <w:t xml:space="preserve">Il percorso Europeo è stato facile nella già menzionata fase, avviata con l’ormai remoto e già menzionato M.E.C.  dell’eliminazione delle frontiere agli scambi economici. </w:t>
      </w:r>
      <w:r w:rsidR="00DD78EB">
        <w:rPr>
          <w:sz w:val="22"/>
          <w:szCs w:val="22"/>
        </w:rPr>
        <w:t xml:space="preserve">Questi ultimi comportano però contatti molto inferiori a quelli necessari a unire le sfere “politico-giuridiche” </w:t>
      </w:r>
      <w:r w:rsidR="0065054A">
        <w:rPr>
          <w:sz w:val="22"/>
          <w:szCs w:val="22"/>
        </w:rPr>
        <w:t>di sovranità nazionale, non più basate sul consenso bilaterale di scambio, ma sul consenso politico multilaterale tra</w:t>
      </w:r>
      <w:r>
        <w:rPr>
          <w:sz w:val="22"/>
          <w:szCs w:val="22"/>
        </w:rPr>
        <w:t xml:space="preserve"> pubbliche opinioni</w:t>
      </w:r>
      <w:r w:rsidR="0065054A">
        <w:rPr>
          <w:sz w:val="22"/>
          <w:szCs w:val="22"/>
        </w:rPr>
        <w:t xml:space="preserve"> </w:t>
      </w:r>
      <w:r w:rsidR="00DA136C">
        <w:rPr>
          <w:sz w:val="22"/>
          <w:szCs w:val="22"/>
        </w:rPr>
        <w:t>diversissime per lingue, territori, modi di pensare e bagagli culturali</w:t>
      </w:r>
      <w:r w:rsidR="002205AD">
        <w:rPr>
          <w:sz w:val="22"/>
          <w:szCs w:val="22"/>
        </w:rPr>
        <w:t>(</w:t>
      </w:r>
      <w:r w:rsidR="002205AD">
        <w:rPr>
          <w:rStyle w:val="Rimandonotaapidipagina"/>
          <w:sz w:val="22"/>
          <w:szCs w:val="22"/>
        </w:rPr>
        <w:footnoteReference w:id="185"/>
      </w:r>
      <w:r w:rsidR="002205AD">
        <w:rPr>
          <w:sz w:val="22"/>
          <w:szCs w:val="22"/>
        </w:rPr>
        <w:t>)</w:t>
      </w:r>
      <w:r w:rsidR="00276E4E">
        <w:rPr>
          <w:sz w:val="22"/>
          <w:szCs w:val="22"/>
        </w:rPr>
        <w:t>; quest</w:t>
      </w:r>
      <w:r w:rsidR="00E4514C">
        <w:rPr>
          <w:sz w:val="22"/>
          <w:szCs w:val="22"/>
        </w:rPr>
        <w:t xml:space="preserve">’eterogeneità </w:t>
      </w:r>
      <w:r w:rsidR="00611223">
        <w:rPr>
          <w:sz w:val="22"/>
          <w:szCs w:val="22"/>
        </w:rPr>
        <w:t>spazio</w:t>
      </w:r>
      <w:r w:rsidR="008C077E">
        <w:rPr>
          <w:sz w:val="22"/>
          <w:szCs w:val="22"/>
        </w:rPr>
        <w:t>-</w:t>
      </w:r>
      <w:r w:rsidR="00611223">
        <w:rPr>
          <w:sz w:val="22"/>
          <w:szCs w:val="22"/>
        </w:rPr>
        <w:t xml:space="preserve">temporale caratterizza gli studi </w:t>
      </w:r>
      <w:r w:rsidR="00276E4E">
        <w:rPr>
          <w:sz w:val="22"/>
          <w:szCs w:val="22"/>
        </w:rPr>
        <w:t xml:space="preserve"> </w:t>
      </w:r>
      <w:r w:rsidR="00E4514C">
        <w:rPr>
          <w:sz w:val="22"/>
          <w:szCs w:val="22"/>
        </w:rPr>
        <w:t>sociali</w:t>
      </w:r>
      <w:r w:rsidR="00276E4E">
        <w:rPr>
          <w:sz w:val="22"/>
          <w:szCs w:val="22"/>
        </w:rPr>
        <w:t>, dove il linguaggio comune socializz</w:t>
      </w:r>
      <w:r w:rsidR="00611223">
        <w:rPr>
          <w:sz w:val="22"/>
          <w:szCs w:val="22"/>
        </w:rPr>
        <w:t>a</w:t>
      </w:r>
      <w:r w:rsidR="00276E4E">
        <w:rPr>
          <w:sz w:val="22"/>
          <w:szCs w:val="22"/>
        </w:rPr>
        <w:t xml:space="preserve"> pensieri complessi.</w:t>
      </w:r>
      <w:r w:rsidR="00DA136C">
        <w:rPr>
          <w:sz w:val="22"/>
          <w:szCs w:val="22"/>
        </w:rPr>
        <w:t xml:space="preserve"> </w:t>
      </w:r>
      <w:r w:rsidR="008C077E">
        <w:rPr>
          <w:sz w:val="22"/>
          <w:szCs w:val="22"/>
        </w:rPr>
        <w:t>E’ difficile essere nazioni senza capirsi, ma bisogna mantenere la concordia senza accelerare forzatamente il mito dell’”unione politica”</w:t>
      </w:r>
      <w:r w:rsidR="00DA136C">
        <w:rPr>
          <w:sz w:val="22"/>
          <w:szCs w:val="22"/>
        </w:rPr>
        <w:t>(</w:t>
      </w:r>
      <w:r w:rsidR="00DA136C" w:rsidRPr="007F7EBF">
        <w:rPr>
          <w:rStyle w:val="Rimandonotaapidipagina"/>
          <w:sz w:val="22"/>
          <w:szCs w:val="22"/>
        </w:rPr>
        <w:footnoteReference w:id="186"/>
      </w:r>
      <w:r w:rsidR="00DA136C">
        <w:rPr>
          <w:sz w:val="22"/>
          <w:szCs w:val="22"/>
        </w:rPr>
        <w:t>)</w:t>
      </w:r>
      <w:r w:rsidR="008C077E">
        <w:rPr>
          <w:sz w:val="22"/>
          <w:szCs w:val="22"/>
        </w:rPr>
        <w:t xml:space="preserve">. Dietro tanti </w:t>
      </w:r>
      <w:r w:rsidR="008C077E">
        <w:rPr>
          <w:i/>
          <w:iCs/>
          <w:sz w:val="22"/>
          <w:szCs w:val="22"/>
        </w:rPr>
        <w:t>sovranismi</w:t>
      </w:r>
      <w:r w:rsidR="00276E4E">
        <w:rPr>
          <w:sz w:val="22"/>
          <w:szCs w:val="22"/>
        </w:rPr>
        <w:t xml:space="preserve"> </w:t>
      </w:r>
      <w:r w:rsidR="008C077E">
        <w:rPr>
          <w:sz w:val="22"/>
          <w:szCs w:val="22"/>
        </w:rPr>
        <w:t xml:space="preserve">c’è il </w:t>
      </w:r>
      <w:r w:rsidR="00276E4E">
        <w:rPr>
          <w:sz w:val="22"/>
          <w:szCs w:val="22"/>
        </w:rPr>
        <w:t xml:space="preserve">recupero di un’idea di </w:t>
      </w:r>
      <w:r w:rsidR="006517E4">
        <w:rPr>
          <w:sz w:val="22"/>
          <w:szCs w:val="22"/>
        </w:rPr>
        <w:t xml:space="preserve">nazione </w:t>
      </w:r>
      <w:r w:rsidR="006517E4" w:rsidRPr="007F7EBF">
        <w:rPr>
          <w:sz w:val="22"/>
          <w:szCs w:val="22"/>
        </w:rPr>
        <w:t>(</w:t>
      </w:r>
      <w:r w:rsidR="006517E4" w:rsidRPr="007F7EBF">
        <w:rPr>
          <w:rStyle w:val="Rimandonotaapidipagina"/>
          <w:sz w:val="22"/>
          <w:szCs w:val="22"/>
        </w:rPr>
        <w:footnoteReference w:id="187"/>
      </w:r>
      <w:r w:rsidR="006517E4" w:rsidRPr="007F7EBF">
        <w:rPr>
          <w:sz w:val="22"/>
          <w:szCs w:val="22"/>
        </w:rPr>
        <w:t>)</w:t>
      </w:r>
      <w:r w:rsidR="00276E4E">
        <w:rPr>
          <w:sz w:val="22"/>
          <w:szCs w:val="22"/>
        </w:rPr>
        <w:t>, co</w:t>
      </w:r>
      <w:r w:rsidR="008C077E">
        <w:rPr>
          <w:sz w:val="22"/>
          <w:szCs w:val="22"/>
        </w:rPr>
        <w:t>me co</w:t>
      </w:r>
      <w:r w:rsidR="00276E4E">
        <w:rPr>
          <w:sz w:val="22"/>
          <w:szCs w:val="22"/>
        </w:rPr>
        <w:t>munità che travalica gli aspetti puramente economici</w:t>
      </w:r>
      <w:r w:rsidR="0080404C">
        <w:rPr>
          <w:sz w:val="22"/>
          <w:szCs w:val="22"/>
        </w:rPr>
        <w:t>. Oltre a questi collanti</w:t>
      </w:r>
      <w:r w:rsidR="005A2ADC">
        <w:rPr>
          <w:sz w:val="22"/>
          <w:szCs w:val="22"/>
        </w:rPr>
        <w:t xml:space="preserve"> </w:t>
      </w:r>
      <w:r w:rsidR="005A2ADC">
        <w:rPr>
          <w:sz w:val="22"/>
          <w:szCs w:val="22"/>
        </w:rPr>
        <w:lastRenderedPageBreak/>
        <w:t>ideali</w:t>
      </w:r>
      <w:r w:rsidR="0080404C">
        <w:rPr>
          <w:sz w:val="22"/>
          <w:szCs w:val="22"/>
        </w:rPr>
        <w:t xml:space="preserve"> ce n’è un altro </w:t>
      </w:r>
      <w:r w:rsidR="005A2ADC">
        <w:rPr>
          <w:sz w:val="22"/>
          <w:szCs w:val="22"/>
        </w:rPr>
        <w:t xml:space="preserve">“fiscale”, basato sul </w:t>
      </w:r>
      <w:r w:rsidR="006F7F3E" w:rsidRPr="007F7EBF">
        <w:rPr>
          <w:sz w:val="22"/>
          <w:szCs w:val="22"/>
        </w:rPr>
        <w:t xml:space="preserve">pagamento di </w:t>
      </w:r>
      <w:r w:rsidR="005A2ADC">
        <w:rPr>
          <w:sz w:val="22"/>
          <w:szCs w:val="22"/>
        </w:rPr>
        <w:t>imposte, con</w:t>
      </w:r>
      <w:r w:rsidR="006F7F3E" w:rsidRPr="007F7EBF">
        <w:rPr>
          <w:sz w:val="22"/>
          <w:szCs w:val="22"/>
        </w:rPr>
        <w:t>tributi</w:t>
      </w:r>
      <w:r w:rsidR="005A2ADC">
        <w:rPr>
          <w:sz w:val="22"/>
          <w:szCs w:val="22"/>
        </w:rPr>
        <w:t xml:space="preserve"> previdenziali</w:t>
      </w:r>
      <w:r w:rsidR="006F7F3E" w:rsidRPr="007F7EBF">
        <w:rPr>
          <w:sz w:val="22"/>
          <w:szCs w:val="22"/>
        </w:rPr>
        <w:t xml:space="preserve"> e fruizione della spesa pubblica </w:t>
      </w:r>
      <w:r w:rsidR="006F7F3E">
        <w:rPr>
          <w:sz w:val="22"/>
          <w:szCs w:val="22"/>
        </w:rPr>
        <w:t>(</w:t>
      </w:r>
      <w:r w:rsidR="006F7F3E" w:rsidRPr="007F7EBF">
        <w:rPr>
          <w:rStyle w:val="Rimandonotaapidipagina"/>
          <w:sz w:val="22"/>
          <w:szCs w:val="22"/>
        </w:rPr>
        <w:footnoteReference w:id="188"/>
      </w:r>
      <w:r w:rsidR="006F7F3E">
        <w:rPr>
          <w:sz w:val="22"/>
          <w:szCs w:val="22"/>
        </w:rPr>
        <w:t>)</w:t>
      </w:r>
      <w:r w:rsidR="006F7F3E" w:rsidRPr="007F7EBF">
        <w:rPr>
          <w:sz w:val="22"/>
          <w:szCs w:val="22"/>
        </w:rPr>
        <w:t xml:space="preserve">. </w:t>
      </w:r>
      <w:r w:rsidR="005A2ADC">
        <w:rPr>
          <w:sz w:val="22"/>
          <w:szCs w:val="22"/>
        </w:rPr>
        <w:t>Il</w:t>
      </w:r>
      <w:r w:rsidR="006F7F3E">
        <w:rPr>
          <w:sz w:val="22"/>
          <w:szCs w:val="22"/>
        </w:rPr>
        <w:t xml:space="preserve"> circuito di entrata e di spesa resta eminentemente nazionale, </w:t>
      </w:r>
      <w:r w:rsidR="005A2ADC">
        <w:rPr>
          <w:sz w:val="22"/>
          <w:szCs w:val="22"/>
        </w:rPr>
        <w:t>nonostante qualcuno pensi di</w:t>
      </w:r>
      <w:r w:rsidR="006F7F3E">
        <w:rPr>
          <w:sz w:val="22"/>
          <w:szCs w:val="22"/>
        </w:rPr>
        <w:t xml:space="preserve"> rispondere ai problemi della globalizzazione con un </w:t>
      </w:r>
      <w:r w:rsidR="00DA136C">
        <w:rPr>
          <w:sz w:val="22"/>
          <w:szCs w:val="22"/>
        </w:rPr>
        <w:t>superstato europeo</w:t>
      </w:r>
      <w:r w:rsidR="007A0DF2">
        <w:rPr>
          <w:sz w:val="22"/>
          <w:szCs w:val="22"/>
        </w:rPr>
        <w:t xml:space="preserve">; </w:t>
      </w:r>
      <w:r w:rsidR="005A2ADC">
        <w:rPr>
          <w:sz w:val="22"/>
          <w:szCs w:val="22"/>
        </w:rPr>
        <w:t>esso forse</w:t>
      </w:r>
      <w:r w:rsidR="007A0DF2">
        <w:rPr>
          <w:sz w:val="22"/>
          <w:szCs w:val="22"/>
        </w:rPr>
        <w:t xml:space="preserve"> non peggiora le amministrazioni pubbliche di paesi efficienti, ma non migliora</w:t>
      </w:r>
      <w:r w:rsidR="005A2ADC">
        <w:rPr>
          <w:sz w:val="22"/>
          <w:szCs w:val="22"/>
        </w:rPr>
        <w:t xml:space="preserve"> certo</w:t>
      </w:r>
      <w:r w:rsidR="007A0DF2">
        <w:rPr>
          <w:sz w:val="22"/>
          <w:szCs w:val="22"/>
        </w:rPr>
        <w:t xml:space="preserve"> que</w:t>
      </w:r>
      <w:r w:rsidR="005A2ADC">
        <w:rPr>
          <w:sz w:val="22"/>
          <w:szCs w:val="22"/>
        </w:rPr>
        <w:t>lle inefficienti, attente più alle regole che alle “funzion</w:t>
      </w:r>
      <w:r w:rsidR="007A0DF2">
        <w:rPr>
          <w:sz w:val="22"/>
          <w:szCs w:val="22"/>
        </w:rPr>
        <w:t>i</w:t>
      </w:r>
      <w:r w:rsidR="005A2ADC">
        <w:rPr>
          <w:sz w:val="22"/>
          <w:szCs w:val="22"/>
        </w:rPr>
        <w:t>” (parr.1.3, 4.7, 5.3 etc.)</w:t>
      </w:r>
      <w:r w:rsidR="00DA136C">
        <w:rPr>
          <w:sz w:val="22"/>
          <w:szCs w:val="22"/>
        </w:rPr>
        <w:t>.</w:t>
      </w:r>
      <w:r w:rsidR="00DA136C" w:rsidRPr="007B20C0">
        <w:rPr>
          <w:sz w:val="22"/>
          <w:szCs w:val="22"/>
        </w:rPr>
        <w:t xml:space="preserve"> </w:t>
      </w:r>
    </w:p>
    <w:p w14:paraId="1FA56F18" w14:textId="77777777" w:rsidR="006342C5" w:rsidRPr="007F7EBF" w:rsidRDefault="006342C5" w:rsidP="003F5E86">
      <w:pPr>
        <w:pStyle w:val="Titolo3"/>
        <w:rPr>
          <w:rFonts w:ascii="Times New Roman" w:hAnsi="Times New Roman"/>
          <w:sz w:val="22"/>
          <w:szCs w:val="22"/>
        </w:rPr>
      </w:pPr>
      <w:bookmarkStart w:id="27" w:name="_Toc63364946"/>
      <w:r w:rsidRPr="007F7EBF">
        <w:rPr>
          <w:rFonts w:ascii="Times New Roman" w:hAnsi="Times New Roman"/>
          <w:sz w:val="22"/>
          <w:szCs w:val="22"/>
        </w:rPr>
        <w:t>Capitolo 3</w:t>
      </w:r>
      <w:bookmarkEnd w:id="27"/>
    </w:p>
    <w:p w14:paraId="28A3B646" w14:textId="12C64E02" w:rsidR="006342C5" w:rsidRPr="007F7EBF" w:rsidRDefault="00FF56F6" w:rsidP="003F5E86">
      <w:pPr>
        <w:pStyle w:val="Titolo3"/>
        <w:rPr>
          <w:rFonts w:ascii="Times New Roman" w:hAnsi="Times New Roman"/>
          <w:sz w:val="22"/>
          <w:szCs w:val="22"/>
          <w:lang w:val="it-IT"/>
        </w:rPr>
      </w:pPr>
      <w:bookmarkStart w:id="28" w:name="_Toc63364947"/>
      <w:r w:rsidRPr="007F7EBF">
        <w:rPr>
          <w:rFonts w:ascii="Times New Roman" w:hAnsi="Times New Roman"/>
          <w:sz w:val="22"/>
          <w:szCs w:val="22"/>
        </w:rPr>
        <w:t>I</w:t>
      </w:r>
      <w:r w:rsidR="00D70B85" w:rsidRPr="007F7EBF">
        <w:rPr>
          <w:rFonts w:ascii="Times New Roman" w:hAnsi="Times New Roman"/>
          <w:sz w:val="22"/>
          <w:szCs w:val="22"/>
        </w:rPr>
        <w:t xml:space="preserve"> PRIVATI </w:t>
      </w:r>
      <w:r w:rsidR="00944F49" w:rsidRPr="007F7EBF">
        <w:rPr>
          <w:rFonts w:ascii="Times New Roman" w:hAnsi="Times New Roman"/>
          <w:sz w:val="22"/>
          <w:szCs w:val="22"/>
        </w:rPr>
        <w:t>N</w:t>
      </w:r>
      <w:r w:rsidRPr="007F7EBF">
        <w:rPr>
          <w:rFonts w:ascii="Times New Roman" w:hAnsi="Times New Roman"/>
          <w:sz w:val="22"/>
          <w:szCs w:val="22"/>
        </w:rPr>
        <w:t xml:space="preserve">ELLA </w:t>
      </w:r>
      <w:r w:rsidR="00933315">
        <w:rPr>
          <w:rFonts w:ascii="Times New Roman" w:hAnsi="Times New Roman"/>
          <w:sz w:val="22"/>
          <w:szCs w:val="22"/>
          <w:lang w:val="it-IT"/>
        </w:rPr>
        <w:t>FUNZIONE TRIBUTARIA</w:t>
      </w:r>
      <w:r w:rsidR="00D70B85" w:rsidRPr="007F7EBF">
        <w:rPr>
          <w:rFonts w:ascii="Times New Roman" w:hAnsi="Times New Roman"/>
          <w:sz w:val="22"/>
          <w:szCs w:val="22"/>
        </w:rPr>
        <w:t>:ORGANIZZAZIONI AZIENDALI,</w:t>
      </w:r>
      <w:r w:rsidR="00D70B85" w:rsidRPr="007F7EBF">
        <w:rPr>
          <w:rFonts w:ascii="Times New Roman" w:hAnsi="Times New Roman"/>
          <w:sz w:val="22"/>
          <w:szCs w:val="22"/>
          <w:lang w:val="it-IT"/>
        </w:rPr>
        <w:t xml:space="preserve"> INDIVIDUI E CONSULENTI</w:t>
      </w:r>
      <w:bookmarkEnd w:id="28"/>
    </w:p>
    <w:p w14:paraId="2B946B01" w14:textId="77777777" w:rsidR="001865C7" w:rsidRPr="007F7EBF" w:rsidRDefault="001865C7" w:rsidP="001865C7">
      <w:pPr>
        <w:rPr>
          <w:sz w:val="22"/>
          <w:szCs w:val="22"/>
        </w:rPr>
      </w:pPr>
      <w:r w:rsidRPr="007F7EBF">
        <w:rPr>
          <w:sz w:val="22"/>
          <w:szCs w:val="22"/>
        </w:rPr>
        <w:t xml:space="preserve"> </w:t>
      </w:r>
    </w:p>
    <w:p w14:paraId="4BB9822B" w14:textId="71BCD063" w:rsidR="001865C7" w:rsidRPr="007F7EBF" w:rsidRDefault="00A923B3" w:rsidP="000E2710">
      <w:pPr>
        <w:rPr>
          <w:b/>
          <w:bCs/>
          <w:sz w:val="22"/>
          <w:szCs w:val="22"/>
        </w:rPr>
      </w:pPr>
      <w:r w:rsidRPr="007F7EBF">
        <w:rPr>
          <w:b/>
          <w:sz w:val="22"/>
          <w:szCs w:val="22"/>
        </w:rPr>
        <w:t>Sintesi</w:t>
      </w:r>
      <w:r w:rsidRPr="007F7EBF">
        <w:rPr>
          <w:sz w:val="22"/>
          <w:szCs w:val="22"/>
        </w:rPr>
        <w:t xml:space="preserve">. La </w:t>
      </w:r>
      <w:r w:rsidR="00875430">
        <w:rPr>
          <w:sz w:val="22"/>
          <w:szCs w:val="22"/>
        </w:rPr>
        <w:t xml:space="preserve">determinazione documentale degli imponibili </w:t>
      </w:r>
      <w:r w:rsidR="002623EF">
        <w:rPr>
          <w:sz w:val="22"/>
          <w:szCs w:val="22"/>
        </w:rPr>
        <w:t>si fonda sulla spersonalizzazione delle procedure contabili d</w:t>
      </w:r>
      <w:r w:rsidR="00875430">
        <w:rPr>
          <w:sz w:val="22"/>
          <w:szCs w:val="22"/>
        </w:rPr>
        <w:t xml:space="preserve">i </w:t>
      </w:r>
      <w:r w:rsidR="00B53072">
        <w:rPr>
          <w:sz w:val="22"/>
          <w:szCs w:val="22"/>
        </w:rPr>
        <w:t>aziende</w:t>
      </w:r>
      <w:r w:rsidR="00875430">
        <w:rPr>
          <w:sz w:val="22"/>
          <w:szCs w:val="22"/>
        </w:rPr>
        <w:t xml:space="preserve"> e pubblici uffici</w:t>
      </w:r>
      <w:r w:rsidR="00B53072">
        <w:rPr>
          <w:sz w:val="22"/>
          <w:szCs w:val="22"/>
        </w:rPr>
        <w:t>, di cui mettiamo in evidenza al par.3.1, la natura di organizzazioni</w:t>
      </w:r>
      <w:r w:rsidR="002623EF">
        <w:rPr>
          <w:sz w:val="22"/>
          <w:szCs w:val="22"/>
        </w:rPr>
        <w:t xml:space="preserve"> pluripersonali</w:t>
      </w:r>
      <w:r w:rsidR="00B53072">
        <w:rPr>
          <w:sz w:val="22"/>
          <w:szCs w:val="22"/>
        </w:rPr>
        <w:t xml:space="preserve">, </w:t>
      </w:r>
      <w:r w:rsidR="00F51240" w:rsidRPr="007F7EBF">
        <w:rPr>
          <w:sz w:val="22"/>
          <w:szCs w:val="22"/>
        </w:rPr>
        <w:t>tenut</w:t>
      </w:r>
      <w:r w:rsidR="002623EF">
        <w:rPr>
          <w:sz w:val="22"/>
          <w:szCs w:val="22"/>
        </w:rPr>
        <w:t xml:space="preserve">e </w:t>
      </w:r>
      <w:r w:rsidR="00F51240" w:rsidRPr="007F7EBF">
        <w:rPr>
          <w:sz w:val="22"/>
          <w:szCs w:val="22"/>
        </w:rPr>
        <w:t xml:space="preserve">assieme dalla </w:t>
      </w:r>
      <w:r w:rsidR="002623EF">
        <w:rPr>
          <w:sz w:val="22"/>
          <w:szCs w:val="22"/>
        </w:rPr>
        <w:t>produzione per il mercato</w:t>
      </w:r>
      <w:r w:rsidR="00A92129">
        <w:rPr>
          <w:sz w:val="22"/>
          <w:szCs w:val="22"/>
        </w:rPr>
        <w:t xml:space="preserve">, </w:t>
      </w:r>
      <w:r w:rsidR="00B53072">
        <w:rPr>
          <w:sz w:val="22"/>
          <w:szCs w:val="22"/>
        </w:rPr>
        <w:t>diverse da piccoli commercianti e artigiani, secondo l’istintiva concezione antr</w:t>
      </w:r>
      <w:r w:rsidR="00875430">
        <w:rPr>
          <w:sz w:val="22"/>
          <w:szCs w:val="22"/>
        </w:rPr>
        <w:t>o</w:t>
      </w:r>
      <w:r w:rsidR="00B53072">
        <w:rPr>
          <w:sz w:val="22"/>
          <w:szCs w:val="22"/>
        </w:rPr>
        <w:t xml:space="preserve">pomorfica delle aziende, diffusa nella pubblica opinione. </w:t>
      </w:r>
      <w:r w:rsidR="00A92129" w:rsidRPr="007F7EBF">
        <w:rPr>
          <w:sz w:val="22"/>
          <w:szCs w:val="22"/>
        </w:rPr>
        <w:t xml:space="preserve"> </w:t>
      </w:r>
      <w:r w:rsidR="00B53072">
        <w:rPr>
          <w:sz w:val="22"/>
          <w:szCs w:val="22"/>
        </w:rPr>
        <w:t>All’interno dell’azienda come</w:t>
      </w:r>
      <w:r w:rsidR="002623EF">
        <w:rPr>
          <w:sz w:val="22"/>
          <w:szCs w:val="22"/>
        </w:rPr>
        <w:t xml:space="preserve"> grupp</w:t>
      </w:r>
      <w:r w:rsidR="00B53072">
        <w:rPr>
          <w:sz w:val="22"/>
          <w:szCs w:val="22"/>
        </w:rPr>
        <w:t>o</w:t>
      </w:r>
      <w:r w:rsidR="002623EF">
        <w:rPr>
          <w:sz w:val="22"/>
          <w:szCs w:val="22"/>
        </w:rPr>
        <w:t xml:space="preserve"> social</w:t>
      </w:r>
      <w:r w:rsidR="00B53072">
        <w:rPr>
          <w:sz w:val="22"/>
          <w:szCs w:val="22"/>
        </w:rPr>
        <w:t xml:space="preserve">e </w:t>
      </w:r>
      <w:r w:rsidR="002623EF">
        <w:rPr>
          <w:sz w:val="22"/>
          <w:szCs w:val="22"/>
        </w:rPr>
        <w:t xml:space="preserve">i </w:t>
      </w:r>
      <w:r w:rsidR="00B53072">
        <w:rPr>
          <w:sz w:val="22"/>
          <w:szCs w:val="22"/>
        </w:rPr>
        <w:t>compiti</w:t>
      </w:r>
      <w:r w:rsidR="002623EF">
        <w:rPr>
          <w:sz w:val="22"/>
          <w:szCs w:val="22"/>
        </w:rPr>
        <w:t xml:space="preserve"> si parcellizzano, con un controllo reciproco tra gli addetti, nell’interesse stesso della proprietà contro ruberie e malversazioni. Questa rigidità amministrativa rende fiscalmente affidabili le procedure aziendali </w:t>
      </w:r>
      <w:r w:rsidR="002623EF" w:rsidRPr="007F7EBF">
        <w:rPr>
          <w:sz w:val="22"/>
          <w:szCs w:val="22"/>
        </w:rPr>
        <w:t xml:space="preserve">di registrazione di incassi e pagamenti, su cui </w:t>
      </w:r>
      <w:r w:rsidR="00B53072">
        <w:rPr>
          <w:sz w:val="22"/>
          <w:szCs w:val="22"/>
        </w:rPr>
        <w:t xml:space="preserve">si fonda la tassazione attraverso le aziende (par.3.2). Al par.3.3 esponiamo la documentazione aziendale su cui </w:t>
      </w:r>
      <w:r w:rsidR="002623EF" w:rsidRPr="007F7EBF">
        <w:rPr>
          <w:sz w:val="22"/>
          <w:szCs w:val="22"/>
        </w:rPr>
        <w:t xml:space="preserve"> si appoggia </w:t>
      </w:r>
      <w:r w:rsidR="00B53072">
        <w:rPr>
          <w:sz w:val="22"/>
          <w:szCs w:val="22"/>
        </w:rPr>
        <w:t>l</w:t>
      </w:r>
      <w:r w:rsidR="00B53072" w:rsidRPr="007F7EBF">
        <w:rPr>
          <w:sz w:val="22"/>
          <w:szCs w:val="22"/>
        </w:rPr>
        <w:t xml:space="preserve">a </w:t>
      </w:r>
      <w:r w:rsidR="00B53072">
        <w:rPr>
          <w:sz w:val="22"/>
          <w:szCs w:val="22"/>
        </w:rPr>
        <w:t xml:space="preserve">determinazione degli </w:t>
      </w:r>
      <w:r w:rsidR="00B53072" w:rsidRPr="007F7EBF">
        <w:rPr>
          <w:sz w:val="22"/>
          <w:szCs w:val="22"/>
        </w:rPr>
        <w:t xml:space="preserve"> </w:t>
      </w:r>
      <w:r w:rsidR="00B53072">
        <w:rPr>
          <w:sz w:val="22"/>
          <w:szCs w:val="22"/>
        </w:rPr>
        <w:t xml:space="preserve">imponibili, integrata da </w:t>
      </w:r>
      <w:r w:rsidR="00B53072" w:rsidRPr="007F7EBF">
        <w:rPr>
          <w:sz w:val="22"/>
          <w:szCs w:val="22"/>
        </w:rPr>
        <w:t>adempimenti esclusivamente tributari</w:t>
      </w:r>
      <w:r w:rsidR="00B53072">
        <w:rPr>
          <w:sz w:val="22"/>
          <w:szCs w:val="22"/>
        </w:rPr>
        <w:t xml:space="preserve"> per la tassazione e la segnalazione </w:t>
      </w:r>
      <w:r w:rsidR="002623EF">
        <w:rPr>
          <w:sz w:val="22"/>
          <w:szCs w:val="22"/>
        </w:rPr>
        <w:t>degli imponibili sui consumi (incassi) e sui redditi (ritenute sugli stipendi e altri compensi</w:t>
      </w:r>
      <w:r w:rsidR="00B53072">
        <w:rPr>
          <w:sz w:val="22"/>
          <w:szCs w:val="22"/>
        </w:rPr>
        <w:t xml:space="preserve"> </w:t>
      </w:r>
      <w:r w:rsidR="002623EF" w:rsidRPr="007F7EBF">
        <w:rPr>
          <w:sz w:val="22"/>
          <w:szCs w:val="22"/>
        </w:rPr>
        <w:t>e segnalazioni al fisco</w:t>
      </w:r>
      <w:r w:rsidR="00B53072">
        <w:rPr>
          <w:sz w:val="22"/>
          <w:szCs w:val="22"/>
        </w:rPr>
        <w:t>), r</w:t>
      </w:r>
      <w:r w:rsidR="002623EF" w:rsidRPr="007F7EBF">
        <w:rPr>
          <w:sz w:val="22"/>
          <w:szCs w:val="22"/>
        </w:rPr>
        <w:t>invia</w:t>
      </w:r>
      <w:r w:rsidR="00B53072">
        <w:rPr>
          <w:sz w:val="22"/>
          <w:szCs w:val="22"/>
        </w:rPr>
        <w:t xml:space="preserve">ndo ai parr.7.7 e 7.8 per ulteriori approfondimenti sui documenti e i libri contabili. Il paragrafo </w:t>
      </w:r>
      <w:r w:rsidR="00190215">
        <w:rPr>
          <w:sz w:val="22"/>
          <w:szCs w:val="22"/>
        </w:rPr>
        <w:t xml:space="preserve">3.4 esamina i principali adempimenti tributari </w:t>
      </w:r>
      <w:proofErr w:type="spellStart"/>
      <w:r w:rsidR="00190215">
        <w:rPr>
          <w:sz w:val="22"/>
          <w:szCs w:val="22"/>
        </w:rPr>
        <w:t>infrannuali</w:t>
      </w:r>
      <w:proofErr w:type="spellEnd"/>
      <w:r w:rsidR="00190215">
        <w:rPr>
          <w:sz w:val="22"/>
          <w:szCs w:val="22"/>
        </w:rPr>
        <w:t xml:space="preserve"> (versamenti) e riepilogativi (dichiarazioni), con pagamenti e compensazioni. </w:t>
      </w:r>
      <w:r w:rsidR="00875430">
        <w:rPr>
          <w:sz w:val="22"/>
          <w:szCs w:val="22"/>
        </w:rPr>
        <w:t>A</w:t>
      </w:r>
      <w:r w:rsidR="00190215">
        <w:rPr>
          <w:sz w:val="22"/>
          <w:szCs w:val="22"/>
        </w:rPr>
        <w:t xml:space="preserve">ttraverso le aziende </w:t>
      </w:r>
      <w:r w:rsidR="00875430">
        <w:rPr>
          <w:sz w:val="22"/>
          <w:szCs w:val="22"/>
        </w:rPr>
        <w:t xml:space="preserve">si determinano </w:t>
      </w:r>
      <w:r w:rsidR="00190215">
        <w:rPr>
          <w:sz w:val="22"/>
          <w:szCs w:val="22"/>
        </w:rPr>
        <w:t xml:space="preserve">anche imponibili economicamente riferibili a terzi, con la distinzione tra “contribuenti di fatto” e “di diritto”, e le varie tipologie di ritenute alla fonte, cui sono dedicati i par.3.5-3.6. Anche nelle organizzazioni, tuttavia, i titolari dispongono di margini per omettere la registrazione fiscale degli imponibili, nell’interesse proprio </w:t>
      </w:r>
      <w:r w:rsidR="00190215">
        <w:rPr>
          <w:sz w:val="22"/>
          <w:szCs w:val="22"/>
        </w:rPr>
        <w:lastRenderedPageBreak/>
        <w:t xml:space="preserve">(par.3.7) o nell’interesse di terzi, per vari interessi aziendali indicati al par.3.8. A quest’evasione fiscale </w:t>
      </w:r>
      <w:r w:rsidR="00875430">
        <w:rPr>
          <w:sz w:val="22"/>
          <w:szCs w:val="22"/>
        </w:rPr>
        <w:t xml:space="preserve">basata sull’alterata rappresentazione </w:t>
      </w:r>
      <w:r w:rsidR="00190215">
        <w:rPr>
          <w:sz w:val="22"/>
          <w:szCs w:val="22"/>
        </w:rPr>
        <w:t xml:space="preserve">“di fatto” </w:t>
      </w:r>
      <w:r w:rsidR="00875430">
        <w:rPr>
          <w:sz w:val="22"/>
          <w:szCs w:val="22"/>
        </w:rPr>
        <w:t xml:space="preserve">degli </w:t>
      </w:r>
      <w:r w:rsidR="00190215">
        <w:rPr>
          <w:sz w:val="22"/>
          <w:szCs w:val="22"/>
        </w:rPr>
        <w:t>imponibili, si accompagna quella, molto meno insidiosa, connessa al</w:t>
      </w:r>
      <w:r w:rsidR="00875430">
        <w:rPr>
          <w:sz w:val="22"/>
          <w:szCs w:val="22"/>
        </w:rPr>
        <w:t>l’</w:t>
      </w:r>
      <w:r w:rsidR="00190215">
        <w:rPr>
          <w:sz w:val="22"/>
          <w:szCs w:val="22"/>
        </w:rPr>
        <w:t xml:space="preserve">inquadramento giuridico di imponibili registrati o palesi, </w:t>
      </w:r>
      <w:r w:rsidR="00875430">
        <w:rPr>
          <w:sz w:val="22"/>
          <w:szCs w:val="22"/>
        </w:rPr>
        <w:t xml:space="preserve">distorto per convenienza tributaria. Si tratta di </w:t>
      </w:r>
      <w:r w:rsidR="0037629F">
        <w:rPr>
          <w:sz w:val="22"/>
          <w:szCs w:val="22"/>
        </w:rPr>
        <w:t xml:space="preserve">questioni di diritto </w:t>
      </w:r>
      <w:r w:rsidR="00875430">
        <w:rPr>
          <w:sz w:val="22"/>
          <w:szCs w:val="22"/>
        </w:rPr>
        <w:t>su cu</w:t>
      </w:r>
      <w:r w:rsidR="0037629F">
        <w:rPr>
          <w:sz w:val="22"/>
          <w:szCs w:val="22"/>
        </w:rPr>
        <w:t xml:space="preserve">i par.3.9 e 3.10 sull’interpretazione </w:t>
      </w:r>
      <w:r w:rsidR="00875430">
        <w:rPr>
          <w:sz w:val="22"/>
          <w:szCs w:val="22"/>
        </w:rPr>
        <w:t>e l’elusione fiscale</w:t>
      </w:r>
      <w:r w:rsidR="000E2710">
        <w:rPr>
          <w:sz w:val="22"/>
          <w:szCs w:val="22"/>
        </w:rPr>
        <w:t xml:space="preserve">. Ai par.3.11 e 3.12 </w:t>
      </w:r>
      <w:r w:rsidR="005E6079" w:rsidRPr="007F7EBF">
        <w:rPr>
          <w:sz w:val="22"/>
          <w:szCs w:val="22"/>
        </w:rPr>
        <w:t xml:space="preserve">si </w:t>
      </w:r>
      <w:r w:rsidR="000E2710">
        <w:rPr>
          <w:sz w:val="22"/>
          <w:szCs w:val="22"/>
        </w:rPr>
        <w:t xml:space="preserve">mettono in luce le correlazioni tra soggetti diversi, e tempi diversi, tipiche della determinazione contabile degli imponibili, di cui tenere conto sia per determinare il carico tributario complessivo, sia per capire le varie forme di evasione, e quantificarle esattamente. Lo scenario cambia ai par.3.13-3.15, dedicati dagli imponibili non determinabili attraverso le aziende, e per i quali, nonostante l’inutile contabilità di piccoli commercianti e artigiani, è essenziale un sistematico intervento valutativo degli uffici tributari. Pur in assenza di organizzazione pluripersonale, la determinabilità di questi imponibili è diversa in relazione all’esistenza o meno di una sede fissa visibile (par.3.14), ovvero alle varie forme di lavoro precario, anche verso privati consumatori, connesse alla deindustrializzazione (par.3.15). Il capitolo </w:t>
      </w:r>
      <w:r w:rsidR="005E6079" w:rsidRPr="007F7EBF">
        <w:rPr>
          <w:sz w:val="22"/>
          <w:szCs w:val="22"/>
        </w:rPr>
        <w:t xml:space="preserve">chiude </w:t>
      </w:r>
      <w:r w:rsidR="000E2710">
        <w:rPr>
          <w:sz w:val="22"/>
          <w:szCs w:val="22"/>
        </w:rPr>
        <w:t>a</w:t>
      </w:r>
      <w:r w:rsidR="005E6079" w:rsidRPr="007F7EBF">
        <w:rPr>
          <w:sz w:val="22"/>
          <w:szCs w:val="22"/>
        </w:rPr>
        <w:t>l</w:t>
      </w:r>
      <w:r w:rsidR="000E2710">
        <w:rPr>
          <w:sz w:val="22"/>
          <w:szCs w:val="22"/>
        </w:rPr>
        <w:t xml:space="preserve"> par.</w:t>
      </w:r>
      <w:r w:rsidR="005E6079" w:rsidRPr="007F7EBF">
        <w:rPr>
          <w:sz w:val="22"/>
          <w:szCs w:val="22"/>
        </w:rPr>
        <w:t xml:space="preserve"> </w:t>
      </w:r>
      <w:r w:rsidR="000E2710">
        <w:rPr>
          <w:sz w:val="22"/>
          <w:szCs w:val="22"/>
        </w:rPr>
        <w:t xml:space="preserve">3.16 sulle varie tipologie di </w:t>
      </w:r>
      <w:r w:rsidRPr="007F7EBF">
        <w:rPr>
          <w:sz w:val="22"/>
          <w:szCs w:val="22"/>
        </w:rPr>
        <w:t xml:space="preserve">professionisti e </w:t>
      </w:r>
      <w:r w:rsidR="000E2710">
        <w:rPr>
          <w:sz w:val="22"/>
          <w:szCs w:val="22"/>
        </w:rPr>
        <w:t>su</w:t>
      </w:r>
      <w:r w:rsidR="005E6079" w:rsidRPr="007F7EBF">
        <w:rPr>
          <w:sz w:val="22"/>
          <w:szCs w:val="22"/>
        </w:rPr>
        <w:t>l loro disorientamento per la mancata spiegazione d’insieme della funzione tributaria</w:t>
      </w:r>
      <w:r w:rsidRPr="007F7EBF">
        <w:rPr>
          <w:sz w:val="22"/>
          <w:szCs w:val="22"/>
        </w:rPr>
        <w:t xml:space="preserve">.  </w:t>
      </w:r>
    </w:p>
    <w:p w14:paraId="26C38D8E" w14:textId="77777777" w:rsidR="00B54BBB" w:rsidRPr="007F7EBF" w:rsidRDefault="00B54BBB" w:rsidP="006342C5">
      <w:pPr>
        <w:autoSpaceDE w:val="0"/>
        <w:autoSpaceDN w:val="0"/>
        <w:adjustRightInd w:val="0"/>
        <w:rPr>
          <w:sz w:val="22"/>
          <w:szCs w:val="22"/>
        </w:rPr>
      </w:pPr>
    </w:p>
    <w:p w14:paraId="059F20B8" w14:textId="67B63B92" w:rsidR="00DC744B" w:rsidRPr="007F7EBF" w:rsidRDefault="00471669" w:rsidP="00404323">
      <w:pPr>
        <w:pStyle w:val="Titolo3"/>
        <w:rPr>
          <w:bCs w:val="0"/>
          <w:i/>
          <w:iCs/>
          <w:color w:val="0000FF"/>
          <w:sz w:val="22"/>
          <w:szCs w:val="22"/>
        </w:rPr>
      </w:pPr>
      <w:bookmarkStart w:id="29" w:name="_Toc63364948"/>
      <w:r w:rsidRPr="007F7EBF">
        <w:rPr>
          <w:rFonts w:ascii="Times New Roman" w:hAnsi="Times New Roman"/>
          <w:sz w:val="22"/>
          <w:szCs w:val="22"/>
        </w:rPr>
        <w:t xml:space="preserve">3.1. </w:t>
      </w:r>
      <w:r w:rsidR="004A49A7">
        <w:rPr>
          <w:rFonts w:ascii="Times New Roman" w:hAnsi="Times New Roman"/>
          <w:sz w:val="22"/>
          <w:szCs w:val="22"/>
          <w:lang w:val="it-IT"/>
        </w:rPr>
        <w:t>Aziende e altri organismi pluripersonali nella determinazione documentale dell</w:t>
      </w:r>
      <w:r w:rsidR="004C5D42">
        <w:rPr>
          <w:rFonts w:ascii="Times New Roman" w:hAnsi="Times New Roman"/>
          <w:sz w:val="22"/>
          <w:szCs w:val="22"/>
          <w:lang w:val="it-IT"/>
        </w:rPr>
        <w:t>’</w:t>
      </w:r>
      <w:r w:rsidR="009645EA">
        <w:rPr>
          <w:rFonts w:ascii="Times New Roman" w:hAnsi="Times New Roman"/>
          <w:sz w:val="22"/>
          <w:szCs w:val="22"/>
          <w:lang w:val="it-IT"/>
        </w:rPr>
        <w:t>imponibile</w:t>
      </w:r>
      <w:bookmarkEnd w:id="29"/>
    </w:p>
    <w:p w14:paraId="44B6DCCE" w14:textId="77777777" w:rsidR="00DC744B" w:rsidRPr="007F7EBF" w:rsidRDefault="00DC744B" w:rsidP="00DC744B">
      <w:pPr>
        <w:pStyle w:val="tit23"/>
        <w:ind w:left="6464" w:right="-1361" w:firstLine="0"/>
        <w:jc w:val="left"/>
        <w:rPr>
          <w:bCs/>
          <w:i/>
          <w:iCs/>
          <w:color w:val="0000FF"/>
          <w:lang w:val="it-IT"/>
        </w:rPr>
      </w:pPr>
      <w:r w:rsidRPr="007F7EBF">
        <w:rPr>
          <w:bCs/>
          <w:i/>
          <w:iCs/>
          <w:color w:val="0000FF"/>
          <w:lang w:val="it-IT"/>
        </w:rPr>
        <w:t>l’azienda pluripersonale</w:t>
      </w:r>
    </w:p>
    <w:p w14:paraId="364199E3" w14:textId="08ABB127" w:rsidR="00AE1318" w:rsidRPr="007F7EBF" w:rsidRDefault="001F378D" w:rsidP="00AE1318">
      <w:pPr>
        <w:pStyle w:val="tit23"/>
        <w:ind w:firstLine="0"/>
        <w:rPr>
          <w:lang w:val="it-IT"/>
        </w:rPr>
      </w:pPr>
      <w:r w:rsidRPr="001A2BDD">
        <w:rPr>
          <w:bCs/>
          <w:lang w:val="it-IT"/>
        </w:rPr>
        <w:t xml:space="preserve">I macchinari, </w:t>
      </w:r>
      <w:r w:rsidR="000E44CC" w:rsidRPr="001A2BDD">
        <w:rPr>
          <w:lang w:val="it-IT"/>
        </w:rPr>
        <w:t>ricaduta tecnologica delle scienze fisiche</w:t>
      </w:r>
      <w:r w:rsidR="000D75D2" w:rsidRPr="001A2BDD">
        <w:rPr>
          <w:lang w:val="it-IT"/>
        </w:rPr>
        <w:t xml:space="preserve"> </w:t>
      </w:r>
      <w:r w:rsidR="00D84E7E">
        <w:rPr>
          <w:lang w:val="it-IT"/>
        </w:rPr>
        <w:t>(</w:t>
      </w:r>
      <w:r w:rsidR="00CE5F8D" w:rsidRPr="007F7EBF">
        <w:rPr>
          <w:rStyle w:val="Rimandonotaapidipagina"/>
        </w:rPr>
        <w:footnoteReference w:id="189"/>
      </w:r>
      <w:r w:rsidR="00D84E7E">
        <w:rPr>
          <w:lang w:val="it-IT"/>
        </w:rPr>
        <w:t>)</w:t>
      </w:r>
      <w:r w:rsidRPr="001A2BDD">
        <w:rPr>
          <w:lang w:val="it-IT"/>
        </w:rPr>
        <w:t>, hanno reso competitiv</w:t>
      </w:r>
      <w:r w:rsidRPr="001A2BDD">
        <w:rPr>
          <w:bCs/>
          <w:lang w:val="it-IT"/>
        </w:rPr>
        <w:t>a</w:t>
      </w:r>
      <w:r w:rsidR="004607D8" w:rsidRPr="001A2BDD">
        <w:rPr>
          <w:bCs/>
          <w:lang w:val="it-IT"/>
        </w:rPr>
        <w:t>, rispetto alla precedente manifattura artigianale</w:t>
      </w:r>
      <w:r w:rsidR="00D84E7E">
        <w:rPr>
          <w:bCs/>
          <w:lang w:val="it-IT"/>
        </w:rPr>
        <w:t xml:space="preserve"> (</w:t>
      </w:r>
      <w:r w:rsidR="004607D8" w:rsidRPr="007F7EBF">
        <w:rPr>
          <w:rStyle w:val="Rimandonotaapidipagina"/>
        </w:rPr>
        <w:footnoteReference w:id="190"/>
      </w:r>
      <w:r w:rsidR="00D84E7E">
        <w:rPr>
          <w:bCs/>
          <w:lang w:val="it-IT"/>
        </w:rPr>
        <w:t>)</w:t>
      </w:r>
      <w:r w:rsidR="004607D8" w:rsidRPr="001A2BDD">
        <w:rPr>
          <w:bCs/>
          <w:lang w:val="it-IT"/>
        </w:rPr>
        <w:t>,</w:t>
      </w:r>
      <w:r w:rsidRPr="001A2BDD">
        <w:rPr>
          <w:bCs/>
          <w:lang w:val="it-IT"/>
        </w:rPr>
        <w:t xml:space="preserve"> la produzione di serie in aziende pluripersonali</w:t>
      </w:r>
      <w:r w:rsidR="00D84E7E">
        <w:rPr>
          <w:bCs/>
          <w:lang w:val="it-IT"/>
        </w:rPr>
        <w:t>(</w:t>
      </w:r>
      <w:r w:rsidR="009418C7" w:rsidRPr="007F7EBF">
        <w:rPr>
          <w:rStyle w:val="Rimandonotaapidipagina"/>
        </w:rPr>
        <w:footnoteReference w:id="191"/>
      </w:r>
      <w:r w:rsidR="00D84E7E">
        <w:rPr>
          <w:bCs/>
          <w:lang w:val="it-IT"/>
        </w:rPr>
        <w:t>)</w:t>
      </w:r>
      <w:r w:rsidR="004607D8" w:rsidRPr="001A2BDD">
        <w:rPr>
          <w:lang w:val="it-IT"/>
        </w:rPr>
        <w:t xml:space="preserve">; esse </w:t>
      </w:r>
      <w:r w:rsidR="000D75D2" w:rsidRPr="001A2BDD">
        <w:rPr>
          <w:lang w:val="it-IT"/>
        </w:rPr>
        <w:t>costituisc</w:t>
      </w:r>
      <w:r w:rsidR="004607D8" w:rsidRPr="001A2BDD">
        <w:rPr>
          <w:lang w:val="it-IT"/>
        </w:rPr>
        <w:t xml:space="preserve">ono </w:t>
      </w:r>
      <w:r w:rsidR="000D75D2" w:rsidRPr="001A2BDD">
        <w:rPr>
          <w:lang w:val="it-IT"/>
        </w:rPr>
        <w:t>nuov</w:t>
      </w:r>
      <w:r w:rsidR="004607D8" w:rsidRPr="001A2BDD">
        <w:rPr>
          <w:lang w:val="it-IT"/>
        </w:rPr>
        <w:t>i</w:t>
      </w:r>
      <w:r w:rsidR="000D75D2" w:rsidRPr="001A2BDD">
        <w:rPr>
          <w:lang w:val="it-IT"/>
        </w:rPr>
        <w:t xml:space="preserve"> </w:t>
      </w:r>
      <w:r w:rsidR="000D75D2" w:rsidRPr="001A2BDD">
        <w:rPr>
          <w:lang w:val="it-IT"/>
        </w:rPr>
        <w:lastRenderedPageBreak/>
        <w:t>"corp</w:t>
      </w:r>
      <w:r w:rsidR="004607D8" w:rsidRPr="001A2BDD">
        <w:rPr>
          <w:lang w:val="it-IT"/>
        </w:rPr>
        <w:t>i</w:t>
      </w:r>
      <w:r w:rsidR="000D75D2" w:rsidRPr="001A2BDD">
        <w:rPr>
          <w:lang w:val="it-IT"/>
        </w:rPr>
        <w:t xml:space="preserve"> social</w:t>
      </w:r>
      <w:r w:rsidR="004607D8" w:rsidRPr="001A2BDD">
        <w:rPr>
          <w:lang w:val="it-IT"/>
        </w:rPr>
        <w:t>i</w:t>
      </w:r>
      <w:r w:rsidR="000D75D2" w:rsidRPr="001A2BDD">
        <w:rPr>
          <w:lang w:val="it-IT"/>
        </w:rPr>
        <w:t xml:space="preserve"> intermedi"</w:t>
      </w:r>
      <w:r w:rsidR="00D84E7E">
        <w:rPr>
          <w:lang w:val="it-IT"/>
        </w:rPr>
        <w:t>(</w:t>
      </w:r>
      <w:r w:rsidR="000D75D2" w:rsidRPr="007F7EBF">
        <w:rPr>
          <w:rStyle w:val="Rimandonotaapidipagina"/>
        </w:rPr>
        <w:footnoteReference w:id="192"/>
      </w:r>
      <w:r w:rsidR="00D84E7E">
        <w:rPr>
          <w:lang w:val="it-IT"/>
        </w:rPr>
        <w:t>)</w:t>
      </w:r>
      <w:r w:rsidR="000D75D2" w:rsidRPr="001A2BDD">
        <w:rPr>
          <w:lang w:val="it-IT"/>
        </w:rPr>
        <w:t xml:space="preserve"> a carattere economico</w:t>
      </w:r>
      <w:r w:rsidR="00D84E7E">
        <w:rPr>
          <w:lang w:val="it-IT"/>
        </w:rPr>
        <w:t>(</w:t>
      </w:r>
      <w:r w:rsidR="000D75D2" w:rsidRPr="007F7EBF">
        <w:rPr>
          <w:rStyle w:val="Rimandonotaapidipagina"/>
        </w:rPr>
        <w:footnoteReference w:id="193"/>
      </w:r>
      <w:r w:rsidR="00D84E7E">
        <w:rPr>
          <w:lang w:val="it-IT"/>
        </w:rPr>
        <w:t>)</w:t>
      </w:r>
      <w:r w:rsidR="000D75D2" w:rsidRPr="001A2BDD">
        <w:rPr>
          <w:lang w:val="it-IT"/>
        </w:rPr>
        <w:t>; questa nuova accezione dell'</w:t>
      </w:r>
      <w:r w:rsidR="00471194" w:rsidRPr="001A2BDD">
        <w:rPr>
          <w:lang w:val="it-IT"/>
        </w:rPr>
        <w:t>azienda</w:t>
      </w:r>
      <w:r w:rsidR="008C0CA3" w:rsidRPr="001A2BDD">
        <w:rPr>
          <w:lang w:val="it-IT"/>
        </w:rPr>
        <w:t xml:space="preserve"> </w:t>
      </w:r>
      <w:r w:rsidR="000D75D2" w:rsidRPr="001A2BDD">
        <w:rPr>
          <w:lang w:val="it-IT"/>
        </w:rPr>
        <w:t xml:space="preserve">come gruppo sociale si distingue da quella in senso materiale, </w:t>
      </w:r>
      <w:r w:rsidR="00471194" w:rsidRPr="001A2BDD">
        <w:rPr>
          <w:lang w:val="it-IT"/>
        </w:rPr>
        <w:t>come insieme di beni</w:t>
      </w:r>
      <w:r w:rsidR="00193F3E">
        <w:rPr>
          <w:lang w:val="it-IT"/>
        </w:rPr>
        <w:t xml:space="preserve"> e rapporti giuridici potenzialmente “trasferibili”</w:t>
      </w:r>
      <w:r w:rsidR="000D75D2" w:rsidRPr="001A2BDD">
        <w:rPr>
          <w:lang w:val="it-IT"/>
        </w:rPr>
        <w:t>,</w:t>
      </w:r>
      <w:r w:rsidR="00193F3E">
        <w:rPr>
          <w:lang w:val="it-IT"/>
        </w:rPr>
        <w:t xml:space="preserve"> utilizzata dal diritto commerciale </w:t>
      </w:r>
      <w:r w:rsidR="000D75D2" w:rsidRPr="001A2BDD">
        <w:rPr>
          <w:lang w:val="it-IT"/>
        </w:rPr>
        <w:t xml:space="preserve"> </w:t>
      </w:r>
      <w:r w:rsidR="00193F3E">
        <w:rPr>
          <w:lang w:val="it-IT"/>
        </w:rPr>
        <w:t xml:space="preserve">e configurabile pure per piccoli commercianti e artigiani </w:t>
      </w:r>
      <w:r w:rsidR="00471194" w:rsidRPr="001A2BDD">
        <w:rPr>
          <w:lang w:val="it-IT"/>
        </w:rPr>
        <w:t>(</w:t>
      </w:r>
      <w:r w:rsidR="00471194" w:rsidRPr="007F7EBF">
        <w:rPr>
          <w:rStyle w:val="Rimandonotaapidipagina"/>
        </w:rPr>
        <w:footnoteReference w:id="194"/>
      </w:r>
      <w:r w:rsidR="00471194" w:rsidRPr="001A2BDD">
        <w:rPr>
          <w:lang w:val="it-IT"/>
        </w:rPr>
        <w:t>)</w:t>
      </w:r>
      <w:r w:rsidR="009418C7" w:rsidRPr="001A2BDD">
        <w:rPr>
          <w:lang w:val="it-IT"/>
        </w:rPr>
        <w:t>;</w:t>
      </w:r>
      <w:r w:rsidR="000D75D2" w:rsidRPr="001A2BDD">
        <w:rPr>
          <w:lang w:val="it-IT"/>
        </w:rPr>
        <w:t xml:space="preserve"> l'azienda pluripersonale </w:t>
      </w:r>
      <w:r w:rsidR="00471194" w:rsidRPr="001A2BDD">
        <w:rPr>
          <w:lang w:val="it-IT"/>
        </w:rPr>
        <w:t>si diffuse</w:t>
      </w:r>
      <w:r w:rsidR="000D75D2" w:rsidRPr="001A2BDD">
        <w:rPr>
          <w:lang w:val="it-IT"/>
        </w:rPr>
        <w:t xml:space="preserve">, dalla manifattura, </w:t>
      </w:r>
      <w:r w:rsidR="00471194" w:rsidRPr="001A2BDD">
        <w:rPr>
          <w:lang w:val="it-IT"/>
        </w:rPr>
        <w:t xml:space="preserve"> anche ne</w:t>
      </w:r>
      <w:r w:rsidR="000D75D2" w:rsidRPr="001A2BDD">
        <w:rPr>
          <w:lang w:val="it-IT"/>
        </w:rPr>
        <w:t>i</w:t>
      </w:r>
      <w:r w:rsidR="00471194" w:rsidRPr="001A2BDD">
        <w:rPr>
          <w:lang w:val="it-IT"/>
        </w:rPr>
        <w:t xml:space="preserve"> servizi, </w:t>
      </w:r>
      <w:r w:rsidR="000D75D2" w:rsidRPr="001A2BDD">
        <w:rPr>
          <w:lang w:val="it-IT"/>
        </w:rPr>
        <w:t>n</w:t>
      </w:r>
      <w:r w:rsidR="00471194" w:rsidRPr="001A2BDD">
        <w:rPr>
          <w:lang w:val="it-IT"/>
        </w:rPr>
        <w:t>ella</w:t>
      </w:r>
      <w:r w:rsidR="000D75D2" w:rsidRPr="001A2BDD">
        <w:rPr>
          <w:lang w:val="it-IT"/>
        </w:rPr>
        <w:t xml:space="preserve"> distribuzione commerciale, n</w:t>
      </w:r>
      <w:r w:rsidR="00471194" w:rsidRPr="001A2BDD">
        <w:rPr>
          <w:lang w:val="it-IT"/>
        </w:rPr>
        <w:t xml:space="preserve">ei trasporti, e persino </w:t>
      </w:r>
      <w:r w:rsidR="000D75D2" w:rsidRPr="001A2BDD">
        <w:rPr>
          <w:lang w:val="it-IT"/>
        </w:rPr>
        <w:t>nell'</w:t>
      </w:r>
      <w:r w:rsidR="00471194" w:rsidRPr="001A2BDD">
        <w:rPr>
          <w:lang w:val="it-IT"/>
        </w:rPr>
        <w:t>agricol</w:t>
      </w:r>
      <w:r w:rsidR="000D75D2" w:rsidRPr="001A2BDD">
        <w:rPr>
          <w:lang w:val="it-IT"/>
        </w:rPr>
        <w:t xml:space="preserve">tura; tutto ciò </w:t>
      </w:r>
      <w:r w:rsidR="00471194" w:rsidRPr="001A2BDD">
        <w:rPr>
          <w:lang w:val="it-IT"/>
        </w:rPr>
        <w:t xml:space="preserve">utilizzando beni strumentali prodotti dalla manifattura industriale </w:t>
      </w:r>
      <w:r w:rsidR="00C81403" w:rsidRPr="001A2BDD">
        <w:rPr>
          <w:lang w:val="it-IT"/>
        </w:rPr>
        <w:t>(</w:t>
      </w:r>
      <w:r w:rsidR="00C81403" w:rsidRPr="007F7EBF">
        <w:rPr>
          <w:rStyle w:val="Rimandonotaapidipagina"/>
        </w:rPr>
        <w:footnoteReference w:id="195"/>
      </w:r>
      <w:r w:rsidR="00C81403" w:rsidRPr="001A2BDD">
        <w:rPr>
          <w:lang w:val="it-IT"/>
        </w:rPr>
        <w:t xml:space="preserve">). </w:t>
      </w:r>
    </w:p>
    <w:p w14:paraId="0DB96525" w14:textId="77777777" w:rsidR="00AE1318" w:rsidRPr="007F7EBF" w:rsidRDefault="00D00D65" w:rsidP="00AE1318">
      <w:pPr>
        <w:pStyle w:val="tit23"/>
        <w:ind w:left="6464" w:right="-1361" w:firstLine="0"/>
        <w:jc w:val="left"/>
        <w:rPr>
          <w:bCs/>
          <w:i/>
          <w:iCs/>
          <w:color w:val="0000FF"/>
          <w:lang w:val="it-IT"/>
        </w:rPr>
      </w:pPr>
      <w:r>
        <w:rPr>
          <w:bCs/>
          <w:i/>
          <w:iCs/>
          <w:color w:val="0000FF"/>
          <w:lang w:val="it-IT"/>
        </w:rPr>
        <w:t xml:space="preserve">Sopravvalutazione del  </w:t>
      </w:r>
      <w:r w:rsidR="00AE1318" w:rsidRPr="007F7EBF">
        <w:rPr>
          <w:bCs/>
          <w:i/>
          <w:iCs/>
          <w:color w:val="0000FF"/>
          <w:lang w:val="it-IT"/>
        </w:rPr>
        <w:t xml:space="preserve"> capitale e del profitto</w:t>
      </w:r>
    </w:p>
    <w:p w14:paraId="1C6A0174" w14:textId="717F6FE6" w:rsidR="00261949" w:rsidRPr="007F7EBF" w:rsidRDefault="00AE1318" w:rsidP="00261949">
      <w:pPr>
        <w:autoSpaceDE w:val="0"/>
        <w:autoSpaceDN w:val="0"/>
        <w:adjustRightInd w:val="0"/>
        <w:rPr>
          <w:sz w:val="22"/>
          <w:szCs w:val="22"/>
        </w:rPr>
      </w:pPr>
      <w:r>
        <w:t>La definizione di questo processo come “capitalismo</w:t>
      </w:r>
      <w:r w:rsidR="00B86DF5">
        <w:t xml:space="preserve">” è </w:t>
      </w:r>
      <w:r>
        <w:t xml:space="preserve">fuorviante per lo studioso sociale, </w:t>
      </w:r>
      <w:r w:rsidR="00B86DF5">
        <w:t xml:space="preserve">in quanto, nel quadro della consueta personificazione delle organizzazioni, </w:t>
      </w:r>
      <w:r w:rsidR="00261949">
        <w:t>sopravvaluta il p</w:t>
      </w:r>
      <w:r w:rsidRPr="00261949">
        <w:rPr>
          <w:sz w:val="22"/>
          <w:szCs w:val="22"/>
        </w:rPr>
        <w:t>rofitto</w:t>
      </w:r>
      <w:r w:rsidR="00261949">
        <w:t xml:space="preserve"> rispetto al “</w:t>
      </w:r>
      <w:r w:rsidR="00261949" w:rsidRPr="00261949">
        <w:rPr>
          <w:sz w:val="22"/>
          <w:szCs w:val="22"/>
        </w:rPr>
        <w:t xml:space="preserve">valore aggiunto” </w:t>
      </w:r>
      <w:r w:rsidR="00261949" w:rsidRPr="00261949">
        <w:rPr>
          <w:sz w:val="22"/>
          <w:szCs w:val="22"/>
          <w:lang w:eastAsia="x-none"/>
        </w:rPr>
        <w:t>(</w:t>
      </w:r>
      <w:r w:rsidR="00261949" w:rsidRPr="007F7EBF">
        <w:rPr>
          <w:rStyle w:val="Rimandonotaapidipagina"/>
          <w:sz w:val="22"/>
          <w:szCs w:val="22"/>
          <w:lang w:eastAsia="x-none"/>
        </w:rPr>
        <w:footnoteReference w:id="196"/>
      </w:r>
      <w:r w:rsidR="00261949" w:rsidRPr="00261949">
        <w:rPr>
          <w:sz w:val="22"/>
          <w:szCs w:val="22"/>
        </w:rPr>
        <w:t>)</w:t>
      </w:r>
      <w:r w:rsidR="00B86DF5">
        <w:rPr>
          <w:sz w:val="22"/>
          <w:szCs w:val="22"/>
        </w:rPr>
        <w:t xml:space="preserve">; quest’ultimo </w:t>
      </w:r>
      <w:r w:rsidR="00261949">
        <w:t xml:space="preserve">remunera </w:t>
      </w:r>
      <w:r w:rsidR="00261949" w:rsidRPr="007F7EBF">
        <w:rPr>
          <w:sz w:val="22"/>
          <w:szCs w:val="22"/>
        </w:rPr>
        <w:t xml:space="preserve">dipendenti,  </w:t>
      </w:r>
      <w:r w:rsidR="00261949" w:rsidRPr="007F7EBF">
        <w:rPr>
          <w:sz w:val="22"/>
          <w:szCs w:val="22"/>
        </w:rPr>
        <w:lastRenderedPageBreak/>
        <w:t>finanziatori, e magari anche il titolare, a titolo di amministratore</w:t>
      </w:r>
      <w:r w:rsidR="004C037E">
        <w:rPr>
          <w:sz w:val="22"/>
          <w:szCs w:val="22"/>
        </w:rPr>
        <w:t xml:space="preserve">; </w:t>
      </w:r>
      <w:r w:rsidR="00FA6CCD">
        <w:t>i</w:t>
      </w:r>
      <w:r w:rsidR="00FA6CCD" w:rsidRPr="007F7EBF">
        <w:t xml:space="preserve">n questo modo, anche se l’azienda come organizzazione </w:t>
      </w:r>
      <w:r w:rsidR="00FA6CCD">
        <w:t>ha un bilancio contabile negativo (</w:t>
      </w:r>
      <w:r w:rsidR="00FA6CCD" w:rsidRPr="007F7EBF">
        <w:t xml:space="preserve">par.7.14), </w:t>
      </w:r>
      <w:r w:rsidR="00FA6CCD">
        <w:t>i</w:t>
      </w:r>
      <w:r w:rsidR="00FA6CCD" w:rsidRPr="007F7EBF">
        <w:t>l valore aggiunto da lei creato</w:t>
      </w:r>
      <w:r w:rsidR="00FA6CCD">
        <w:t xml:space="preserve"> salvaguarda il salario dei dipendenti e i crediti dei finanziatori</w:t>
      </w:r>
      <w:r w:rsidR="00261949" w:rsidRPr="007F7EBF">
        <w:rPr>
          <w:sz w:val="22"/>
          <w:szCs w:val="22"/>
        </w:rPr>
        <w:t xml:space="preserve">. </w:t>
      </w:r>
      <w:r w:rsidR="00FA6CCD">
        <w:rPr>
          <w:sz w:val="22"/>
          <w:szCs w:val="22"/>
        </w:rPr>
        <w:t xml:space="preserve">E’ un “avviamento” </w:t>
      </w:r>
      <w:r w:rsidR="00FA6CCD" w:rsidRPr="007F7EBF">
        <w:rPr>
          <w:sz w:val="22"/>
          <w:szCs w:val="22"/>
        </w:rPr>
        <w:t xml:space="preserve">(par.7.13) </w:t>
      </w:r>
      <w:r w:rsidR="00FA6CCD">
        <w:rPr>
          <w:sz w:val="22"/>
          <w:szCs w:val="22"/>
        </w:rPr>
        <w:t>che basta a g</w:t>
      </w:r>
      <w:r w:rsidR="00261949" w:rsidRPr="007F7EBF">
        <w:rPr>
          <w:sz w:val="22"/>
          <w:szCs w:val="22"/>
        </w:rPr>
        <w:t xml:space="preserve">iustificare </w:t>
      </w:r>
      <w:r w:rsidR="00FA6CCD">
        <w:rPr>
          <w:sz w:val="22"/>
          <w:szCs w:val="22"/>
        </w:rPr>
        <w:t xml:space="preserve">la </w:t>
      </w:r>
      <w:r w:rsidR="00261949" w:rsidRPr="007F7EBF">
        <w:rPr>
          <w:sz w:val="22"/>
          <w:szCs w:val="22"/>
        </w:rPr>
        <w:t xml:space="preserve">conservazione </w:t>
      </w:r>
      <w:r w:rsidR="00FA6CCD">
        <w:rPr>
          <w:sz w:val="22"/>
          <w:szCs w:val="22"/>
        </w:rPr>
        <w:t xml:space="preserve">dell’azienda, compresa </w:t>
      </w:r>
      <w:r w:rsidR="00261949" w:rsidRPr="007F7EBF">
        <w:rPr>
          <w:sz w:val="22"/>
          <w:szCs w:val="22"/>
        </w:rPr>
        <w:t>la possibilità di cederla proficuamente a terzi</w:t>
      </w:r>
      <w:r w:rsidR="00FA6CCD">
        <w:rPr>
          <w:sz w:val="22"/>
          <w:szCs w:val="22"/>
        </w:rPr>
        <w:t>; per questo u</w:t>
      </w:r>
      <w:r w:rsidR="00FA6CCD" w:rsidRPr="007F7EBF">
        <w:t xml:space="preserve">n’industria in perdita è del tutto normale, </w:t>
      </w:r>
      <w:r w:rsidR="00FA6CCD">
        <w:t>mentre un artigiano o un piccolo commerciante in perdita è una contraddizione</w:t>
      </w:r>
      <w:r w:rsidR="00FA6CCD" w:rsidRPr="007F7EBF">
        <w:t>.</w:t>
      </w:r>
      <w:r w:rsidR="00FA6CCD">
        <w:t xml:space="preserve"> </w:t>
      </w:r>
      <w:r w:rsidR="004C037E">
        <w:rPr>
          <w:sz w:val="22"/>
          <w:szCs w:val="22"/>
        </w:rPr>
        <w:t>A</w:t>
      </w:r>
      <w:r w:rsidR="004C037E" w:rsidRPr="007F7EBF">
        <w:rPr>
          <w:sz w:val="22"/>
          <w:szCs w:val="22"/>
        </w:rPr>
        <w:t xml:space="preserve"> parte i risultati contabili, </w:t>
      </w:r>
      <w:r w:rsidR="004C037E">
        <w:rPr>
          <w:sz w:val="22"/>
          <w:szCs w:val="22"/>
        </w:rPr>
        <w:t xml:space="preserve">il valore dell’azienda </w:t>
      </w:r>
      <w:r w:rsidR="004C037E" w:rsidRPr="007F7EBF">
        <w:rPr>
          <w:sz w:val="22"/>
          <w:szCs w:val="22"/>
        </w:rPr>
        <w:t>dipende quindi dalla sua organizzazione produttiva</w:t>
      </w:r>
      <w:r w:rsidR="00FA6CCD">
        <w:rPr>
          <w:sz w:val="22"/>
          <w:szCs w:val="22"/>
        </w:rPr>
        <w:t>, d</w:t>
      </w:r>
      <w:r w:rsidR="004C037E" w:rsidRPr="007F7EBF">
        <w:rPr>
          <w:sz w:val="22"/>
          <w:szCs w:val="22"/>
        </w:rPr>
        <w:t xml:space="preserve">al prodotto offerto alla clientela e </w:t>
      </w:r>
      <w:r w:rsidR="00FA6CCD">
        <w:rPr>
          <w:sz w:val="22"/>
          <w:szCs w:val="22"/>
        </w:rPr>
        <w:t>d</w:t>
      </w:r>
      <w:r w:rsidR="004C037E" w:rsidRPr="007F7EBF">
        <w:rPr>
          <w:sz w:val="22"/>
          <w:szCs w:val="22"/>
        </w:rPr>
        <w:t>alle sue quote di mercato</w:t>
      </w:r>
      <w:r w:rsidR="004C037E" w:rsidRPr="007F7EBF">
        <w:rPr>
          <w:rStyle w:val="Rimandonotaapidipagina"/>
          <w:sz w:val="22"/>
          <w:szCs w:val="22"/>
        </w:rPr>
        <w:footnoteReference w:id="197"/>
      </w:r>
      <w:r w:rsidR="004C037E">
        <w:rPr>
          <w:sz w:val="22"/>
          <w:szCs w:val="22"/>
        </w:rPr>
        <w:t xml:space="preserve">. </w:t>
      </w:r>
    </w:p>
    <w:p w14:paraId="29C67DC8" w14:textId="77777777" w:rsidR="0068036A" w:rsidRPr="007F7EBF" w:rsidRDefault="004C037E" w:rsidP="0068036A">
      <w:pPr>
        <w:pStyle w:val="tit23"/>
        <w:ind w:left="6464" w:right="-1361" w:firstLine="0"/>
        <w:jc w:val="left"/>
        <w:rPr>
          <w:bCs/>
          <w:i/>
          <w:iCs/>
          <w:color w:val="0000FF"/>
          <w:lang w:val="it-IT"/>
        </w:rPr>
      </w:pPr>
      <w:r>
        <w:rPr>
          <w:bCs/>
          <w:i/>
          <w:iCs/>
          <w:color w:val="0000FF"/>
          <w:lang w:val="it-IT"/>
        </w:rPr>
        <w:t>irrazional</w:t>
      </w:r>
      <w:r w:rsidR="00D00D65">
        <w:rPr>
          <w:bCs/>
          <w:i/>
          <w:iCs/>
          <w:color w:val="0000FF"/>
          <w:lang w:val="it-IT"/>
        </w:rPr>
        <w:t>e</w:t>
      </w:r>
      <w:r>
        <w:rPr>
          <w:bCs/>
          <w:i/>
          <w:iCs/>
          <w:color w:val="0000FF"/>
          <w:lang w:val="it-IT"/>
        </w:rPr>
        <w:t xml:space="preserve"> personificazion</w:t>
      </w:r>
      <w:r w:rsidR="00D00D65">
        <w:rPr>
          <w:bCs/>
          <w:i/>
          <w:iCs/>
          <w:color w:val="0000FF"/>
          <w:lang w:val="it-IT"/>
        </w:rPr>
        <w:t>e</w:t>
      </w:r>
      <w:r>
        <w:rPr>
          <w:bCs/>
          <w:i/>
          <w:iCs/>
          <w:color w:val="0000FF"/>
          <w:lang w:val="it-IT"/>
        </w:rPr>
        <w:t xml:space="preserve"> delle aziende</w:t>
      </w:r>
    </w:p>
    <w:p w14:paraId="3ED435CD" w14:textId="45287904" w:rsidR="00DC368D" w:rsidRPr="007F7EBF" w:rsidRDefault="00B86DF5" w:rsidP="000B4609">
      <w:pPr>
        <w:autoSpaceDE w:val="0"/>
        <w:autoSpaceDN w:val="0"/>
        <w:adjustRightInd w:val="0"/>
        <w:rPr>
          <w:sz w:val="22"/>
          <w:szCs w:val="22"/>
        </w:rPr>
      </w:pPr>
      <w:r>
        <w:rPr>
          <w:sz w:val="22"/>
          <w:szCs w:val="22"/>
        </w:rPr>
        <w:t>L</w:t>
      </w:r>
      <w:r w:rsidR="004C037E" w:rsidRPr="00261949">
        <w:rPr>
          <w:sz w:val="22"/>
          <w:szCs w:val="22"/>
        </w:rPr>
        <w:t xml:space="preserve">a </w:t>
      </w:r>
      <w:r>
        <w:rPr>
          <w:sz w:val="22"/>
          <w:szCs w:val="22"/>
        </w:rPr>
        <w:t>già indicata semplicistica</w:t>
      </w:r>
      <w:r w:rsidR="004C037E" w:rsidRPr="00261949">
        <w:rPr>
          <w:sz w:val="22"/>
          <w:szCs w:val="22"/>
        </w:rPr>
        <w:t xml:space="preserve"> </w:t>
      </w:r>
      <w:r w:rsidR="00D00D65">
        <w:rPr>
          <w:sz w:val="22"/>
          <w:szCs w:val="22"/>
        </w:rPr>
        <w:t>spiegazione delle aziende</w:t>
      </w:r>
      <w:r w:rsidR="00B04F3E">
        <w:rPr>
          <w:sz w:val="22"/>
          <w:szCs w:val="22"/>
        </w:rPr>
        <w:t xml:space="preserve"> </w:t>
      </w:r>
      <w:r>
        <w:rPr>
          <w:sz w:val="22"/>
          <w:szCs w:val="22"/>
        </w:rPr>
        <w:t>in termini personalistici le accosta a</w:t>
      </w:r>
      <w:r w:rsidR="004C037E" w:rsidRPr="00261949">
        <w:rPr>
          <w:sz w:val="22"/>
          <w:szCs w:val="22"/>
        </w:rPr>
        <w:t>gli antichi artigian</w:t>
      </w:r>
      <w:r w:rsidR="00FA6CCD">
        <w:rPr>
          <w:sz w:val="22"/>
          <w:szCs w:val="22"/>
        </w:rPr>
        <w:t>i (</w:t>
      </w:r>
      <w:r w:rsidR="00FA6CCD" w:rsidRPr="007F7EBF">
        <w:rPr>
          <w:rStyle w:val="Rimandonotaapidipagina"/>
          <w:sz w:val="22"/>
          <w:szCs w:val="22"/>
        </w:rPr>
        <w:footnoteReference w:id="198"/>
      </w:r>
      <w:r w:rsidR="00FA6CCD">
        <w:rPr>
          <w:sz w:val="22"/>
          <w:szCs w:val="22"/>
        </w:rPr>
        <w:t xml:space="preserve">) </w:t>
      </w:r>
      <w:r w:rsidR="004C037E" w:rsidRPr="00261949">
        <w:rPr>
          <w:sz w:val="22"/>
          <w:szCs w:val="22"/>
        </w:rPr>
        <w:t xml:space="preserve">, </w:t>
      </w:r>
      <w:r w:rsidR="006C2A2D">
        <w:rPr>
          <w:sz w:val="22"/>
          <w:szCs w:val="22"/>
        </w:rPr>
        <w:t xml:space="preserve">cui </w:t>
      </w:r>
      <w:r w:rsidR="004C037E" w:rsidRPr="00261949">
        <w:rPr>
          <w:sz w:val="22"/>
          <w:szCs w:val="22"/>
        </w:rPr>
        <w:t>il guadagno serv</w:t>
      </w:r>
      <w:r w:rsidR="006C2A2D">
        <w:rPr>
          <w:sz w:val="22"/>
          <w:szCs w:val="22"/>
        </w:rPr>
        <w:t xml:space="preserve">iva a sopravvivere </w:t>
      </w:r>
      <w:r w:rsidR="004C037E" w:rsidRPr="007F7EBF">
        <w:rPr>
          <w:rStyle w:val="Rimandonotaapidipagina"/>
          <w:sz w:val="22"/>
          <w:szCs w:val="22"/>
        </w:rPr>
        <w:footnoteReference w:id="199"/>
      </w:r>
      <w:r w:rsidR="004C037E" w:rsidRPr="00261949">
        <w:rPr>
          <w:sz w:val="22"/>
          <w:szCs w:val="22"/>
        </w:rPr>
        <w:t xml:space="preserve">; le organizzazioni, </w:t>
      </w:r>
      <w:r w:rsidR="00D00D65">
        <w:rPr>
          <w:sz w:val="22"/>
          <w:szCs w:val="22"/>
        </w:rPr>
        <w:t>pluripersonali e</w:t>
      </w:r>
      <w:r w:rsidR="004C037E" w:rsidRPr="00261949">
        <w:rPr>
          <w:sz w:val="22"/>
          <w:szCs w:val="22"/>
        </w:rPr>
        <w:t xml:space="preserve"> impersonali, non </w:t>
      </w:r>
      <w:r w:rsidR="00B04F3E">
        <w:rPr>
          <w:sz w:val="22"/>
          <w:szCs w:val="22"/>
        </w:rPr>
        <w:t xml:space="preserve">hanno invece bisogno di mangiare, curarsi, svagarsi, e di tutte le altre emozioni umane </w:t>
      </w:r>
      <w:r w:rsidR="004C037E" w:rsidRPr="00261949">
        <w:rPr>
          <w:sz w:val="22"/>
          <w:szCs w:val="22"/>
        </w:rPr>
        <w:t xml:space="preserve"> </w:t>
      </w:r>
      <w:r w:rsidR="004C037E" w:rsidRPr="007F7EBF">
        <w:rPr>
          <w:rStyle w:val="Rimandonotaapidipagina"/>
          <w:sz w:val="22"/>
          <w:szCs w:val="22"/>
        </w:rPr>
        <w:footnoteReference w:id="200"/>
      </w:r>
      <w:r w:rsidR="006C2A2D">
        <w:rPr>
          <w:sz w:val="22"/>
          <w:szCs w:val="22"/>
        </w:rPr>
        <w:t xml:space="preserve">, emozioni , ansie, </w:t>
      </w:r>
      <w:r w:rsidR="00D00D65">
        <w:rPr>
          <w:sz w:val="22"/>
          <w:szCs w:val="22"/>
        </w:rPr>
        <w:t>o</w:t>
      </w:r>
      <w:r w:rsidR="006C2A2D">
        <w:rPr>
          <w:sz w:val="22"/>
          <w:szCs w:val="22"/>
        </w:rPr>
        <w:t xml:space="preserve"> altri sentimenti.</w:t>
      </w:r>
      <w:r w:rsidR="004C037E" w:rsidRPr="00261949">
        <w:rPr>
          <w:sz w:val="22"/>
          <w:szCs w:val="22"/>
        </w:rPr>
        <w:t xml:space="preserve"> </w:t>
      </w:r>
      <w:r w:rsidR="00D00D65">
        <w:rPr>
          <w:sz w:val="22"/>
          <w:szCs w:val="22"/>
        </w:rPr>
        <w:t xml:space="preserve">Non ha senso </w:t>
      </w:r>
      <w:r w:rsidR="00B04F3E">
        <w:rPr>
          <w:sz w:val="22"/>
          <w:szCs w:val="22"/>
        </w:rPr>
        <w:t xml:space="preserve">in altri termini personificare un gruppo sociale, </w:t>
      </w:r>
      <w:r w:rsidR="00B04F3E">
        <w:rPr>
          <w:sz w:val="22"/>
          <w:szCs w:val="22"/>
        </w:rPr>
        <w:lastRenderedPageBreak/>
        <w:t xml:space="preserve">riferendogli bisogni, vizi e virtù umane </w:t>
      </w:r>
      <w:r w:rsidR="00FA6CCD">
        <w:rPr>
          <w:sz w:val="22"/>
          <w:szCs w:val="22"/>
        </w:rPr>
        <w:t>(</w:t>
      </w:r>
      <w:r w:rsidR="00FA6CCD" w:rsidRPr="007F7EBF">
        <w:rPr>
          <w:rStyle w:val="Rimandonotaapidipagina"/>
          <w:sz w:val="22"/>
          <w:szCs w:val="22"/>
        </w:rPr>
        <w:footnoteReference w:id="201"/>
      </w:r>
      <w:r w:rsidR="00FA6CCD">
        <w:rPr>
          <w:sz w:val="22"/>
          <w:szCs w:val="22"/>
        </w:rPr>
        <w:t>)</w:t>
      </w:r>
      <w:r w:rsidR="00B04F3E">
        <w:rPr>
          <w:sz w:val="22"/>
          <w:szCs w:val="22"/>
        </w:rPr>
        <w:t xml:space="preserve"> in una </w:t>
      </w:r>
      <w:r w:rsidR="00B04F3E">
        <w:t xml:space="preserve">visione antropomorfica delle </w:t>
      </w:r>
      <w:r w:rsidR="00B04F3E" w:rsidRPr="007F7EBF">
        <w:t>aziende</w:t>
      </w:r>
      <w:r w:rsidR="00B04F3E">
        <w:t xml:space="preserve">, dove si discute  se </w:t>
      </w:r>
      <w:r w:rsidR="00B04F3E" w:rsidRPr="007F7EBF">
        <w:t>siano oneste, disoneste, buone o cattive, altruiste o egoiste</w:t>
      </w:r>
      <w:r w:rsidR="00B04F3E">
        <w:t>; qu</w:t>
      </w:r>
      <w:r w:rsidR="00B04F3E" w:rsidRPr="007F7EBF">
        <w:t xml:space="preserve">esti vizi e queste virtù casomai riguardano </w:t>
      </w:r>
      <w:r w:rsidR="00B04F3E">
        <w:t>le persone</w:t>
      </w:r>
      <w:r w:rsidR="00B04F3E" w:rsidRPr="007F7EBF">
        <w:t xml:space="preserve"> opera</w:t>
      </w:r>
      <w:r w:rsidR="00B04F3E">
        <w:t>nti</w:t>
      </w:r>
      <w:r w:rsidR="00B04F3E" w:rsidRPr="007F7EBF">
        <w:t xml:space="preserve"> nell'azienda, non l'azienda </w:t>
      </w:r>
      <w:r w:rsidR="00B04F3E">
        <w:t>come gruppo sociale (</w:t>
      </w:r>
      <w:r w:rsidR="00B04F3E">
        <w:rPr>
          <w:rStyle w:val="Rimandonotaapidipagina"/>
        </w:rPr>
        <w:footnoteReference w:id="202"/>
      </w:r>
      <w:r w:rsidR="00B04F3E">
        <w:t>)</w:t>
      </w:r>
      <w:r w:rsidR="00B04F3E" w:rsidRPr="007F7EBF">
        <w:rPr>
          <w:sz w:val="22"/>
          <w:szCs w:val="22"/>
        </w:rPr>
        <w:t xml:space="preserve">.   </w:t>
      </w:r>
      <w:r w:rsidR="00B04F3E">
        <w:rPr>
          <w:sz w:val="22"/>
          <w:szCs w:val="22"/>
        </w:rPr>
        <w:t>Concepire un</w:t>
      </w:r>
      <w:r w:rsidR="00052E74" w:rsidRPr="007F7EBF">
        <w:rPr>
          <w:bCs/>
        </w:rPr>
        <w:t xml:space="preserve">'industria meccanica </w:t>
      </w:r>
      <w:r w:rsidR="00B04F3E">
        <w:rPr>
          <w:bCs/>
        </w:rPr>
        <w:t>come</w:t>
      </w:r>
      <w:r w:rsidR="00052E74" w:rsidRPr="007F7EBF">
        <w:rPr>
          <w:bCs/>
        </w:rPr>
        <w:t xml:space="preserve"> un grande fabbro, una tessile </w:t>
      </w:r>
      <w:r w:rsidR="00B04F3E">
        <w:rPr>
          <w:bCs/>
        </w:rPr>
        <w:t xml:space="preserve">come </w:t>
      </w:r>
      <w:r w:rsidR="00052E74" w:rsidRPr="007F7EBF">
        <w:rPr>
          <w:bCs/>
        </w:rPr>
        <w:t xml:space="preserve">un grande sarto, una di trasporto come un grande </w:t>
      </w:r>
      <w:r w:rsidR="00052E74">
        <w:rPr>
          <w:bCs/>
        </w:rPr>
        <w:t xml:space="preserve">camionista, </w:t>
      </w:r>
      <w:r w:rsidR="00052E74" w:rsidRPr="007F7EBF">
        <w:rPr>
          <w:bCs/>
        </w:rPr>
        <w:t>e via enumerando</w:t>
      </w:r>
      <w:bookmarkStart w:id="30" w:name="_Hlk497426883"/>
      <w:r w:rsidR="00B04F3E">
        <w:rPr>
          <w:bCs/>
        </w:rPr>
        <w:t xml:space="preserve">, provoca gli equivoci di cui diremo in tutto il testo (parr.5.17 ss.). </w:t>
      </w:r>
    </w:p>
    <w:p w14:paraId="6E20D2A3" w14:textId="77777777" w:rsidR="001563CE" w:rsidRPr="007F7EBF" w:rsidRDefault="001563CE" w:rsidP="001563CE">
      <w:pPr>
        <w:pStyle w:val="tit23"/>
        <w:ind w:left="6464" w:right="-1361" w:firstLine="0"/>
        <w:jc w:val="left"/>
        <w:rPr>
          <w:b/>
          <w:bCs/>
          <w:i/>
          <w:iCs/>
          <w:color w:val="0000FF"/>
          <w:lang w:val="it-IT"/>
        </w:rPr>
      </w:pPr>
      <w:r w:rsidRPr="007F7EBF">
        <w:rPr>
          <w:b/>
          <w:bCs/>
          <w:i/>
          <w:iCs/>
          <w:color w:val="0000FF"/>
          <w:lang w:val="it-IT"/>
        </w:rPr>
        <w:t>matrice proprietaria dell’</w:t>
      </w:r>
      <w:r w:rsidR="00034D1D">
        <w:rPr>
          <w:b/>
          <w:bCs/>
          <w:i/>
          <w:iCs/>
          <w:color w:val="0000FF"/>
          <w:lang w:val="it-IT"/>
        </w:rPr>
        <w:t xml:space="preserve">azienda </w:t>
      </w:r>
      <w:r w:rsidR="00306B4F" w:rsidRPr="007F7EBF">
        <w:rPr>
          <w:b/>
          <w:bCs/>
          <w:i/>
          <w:iCs/>
          <w:color w:val="0000FF"/>
          <w:lang w:val="it-IT"/>
        </w:rPr>
        <w:t xml:space="preserve">e </w:t>
      </w:r>
      <w:r w:rsidR="00034D1D">
        <w:rPr>
          <w:b/>
          <w:bCs/>
          <w:i/>
          <w:iCs/>
          <w:color w:val="0000FF"/>
          <w:lang w:val="it-IT"/>
        </w:rPr>
        <w:t>“</w:t>
      </w:r>
      <w:r w:rsidR="00306B4F" w:rsidRPr="007F7EBF">
        <w:rPr>
          <w:b/>
          <w:bCs/>
          <w:i/>
          <w:iCs/>
          <w:color w:val="0000FF"/>
          <w:lang w:val="it-IT"/>
        </w:rPr>
        <w:t>capitalismo familiare”</w:t>
      </w:r>
    </w:p>
    <w:bookmarkEnd w:id="30"/>
    <w:p w14:paraId="2CF3DED6" w14:textId="101E1A96" w:rsidR="003E6F4B" w:rsidRPr="001A2BDD" w:rsidRDefault="002C08C3" w:rsidP="003E6F4B">
      <w:pPr>
        <w:pStyle w:val="Testonotaapidipagina"/>
      </w:pPr>
      <w:r>
        <w:t>Q</w:t>
      </w:r>
      <w:r w:rsidR="00897498">
        <w:t>uesta visione antropomorfica</w:t>
      </w:r>
      <w:r w:rsidR="0006566B">
        <w:t xml:space="preserve"> delle aziende</w:t>
      </w:r>
      <w:r w:rsidR="00897498">
        <w:t xml:space="preserve"> </w:t>
      </w:r>
      <w:r w:rsidR="0006566B">
        <w:t xml:space="preserve">è alimentata </w:t>
      </w:r>
      <w:r>
        <w:t xml:space="preserve">anche dal compiacimento del </w:t>
      </w:r>
      <w:r w:rsidR="0006566B">
        <w:t>titolare, che s’</w:t>
      </w:r>
      <w:r w:rsidR="00897498" w:rsidRPr="007F7EBF">
        <w:t>identifica</w:t>
      </w:r>
      <w:r w:rsidR="0006566B">
        <w:t xml:space="preserve"> </w:t>
      </w:r>
      <w:r w:rsidR="00897498" w:rsidRPr="007F7EBF">
        <w:t xml:space="preserve">con essa, </w:t>
      </w:r>
      <w:r>
        <w:t xml:space="preserve">che sorge </w:t>
      </w:r>
      <w:r w:rsidR="00AE6002" w:rsidRPr="00897498">
        <w:rPr>
          <w:sz w:val="22"/>
          <w:szCs w:val="22"/>
        </w:rPr>
        <w:t>grazie a chi prende l'iniziativa di avviarl</w:t>
      </w:r>
      <w:r>
        <w:t>a</w:t>
      </w:r>
      <w:r w:rsidR="00AE6002" w:rsidRPr="00897498">
        <w:rPr>
          <w:sz w:val="22"/>
          <w:szCs w:val="22"/>
        </w:rPr>
        <w:t xml:space="preserve">, in genere </w:t>
      </w:r>
      <w:r>
        <w:t xml:space="preserve">partendo da </w:t>
      </w:r>
      <w:r w:rsidR="001563CE" w:rsidRPr="00897498">
        <w:rPr>
          <w:sz w:val="22"/>
          <w:szCs w:val="22"/>
        </w:rPr>
        <w:t>un</w:t>
      </w:r>
      <w:r w:rsidR="00AE6002" w:rsidRPr="00897498">
        <w:rPr>
          <w:sz w:val="22"/>
          <w:szCs w:val="22"/>
        </w:rPr>
        <w:t xml:space="preserve">'attività </w:t>
      </w:r>
      <w:r>
        <w:t>di piccolo commercio o artigianato,</w:t>
      </w:r>
      <w:r w:rsidR="00AE6002" w:rsidRPr="00897498">
        <w:rPr>
          <w:sz w:val="22"/>
          <w:szCs w:val="22"/>
        </w:rPr>
        <w:t xml:space="preserve"> </w:t>
      </w:r>
      <w:r w:rsidR="000D27F5" w:rsidRPr="00897498">
        <w:rPr>
          <w:sz w:val="22"/>
          <w:szCs w:val="22"/>
        </w:rPr>
        <w:t xml:space="preserve">che poi </w:t>
      </w:r>
      <w:r w:rsidR="000D75D2" w:rsidRPr="00897498">
        <w:rPr>
          <w:sz w:val="22"/>
          <w:szCs w:val="22"/>
        </w:rPr>
        <w:t>"si ingrandisce"</w:t>
      </w:r>
      <w:r w:rsidR="001563CE" w:rsidRPr="00897498">
        <w:rPr>
          <w:sz w:val="22"/>
          <w:szCs w:val="22"/>
        </w:rPr>
        <w:t xml:space="preserve">. </w:t>
      </w:r>
      <w:r w:rsidR="005C43C9">
        <w:rPr>
          <w:sz w:val="22"/>
          <w:szCs w:val="22"/>
        </w:rPr>
        <w:t>Questa proprietà è</w:t>
      </w:r>
      <w:r w:rsidR="00A27FE9">
        <w:rPr>
          <w:sz w:val="22"/>
          <w:szCs w:val="22"/>
        </w:rPr>
        <w:t xml:space="preserve"> o</w:t>
      </w:r>
      <w:r w:rsidR="00A27FE9" w:rsidRPr="007F7EBF">
        <w:rPr>
          <w:sz w:val="22"/>
          <w:szCs w:val="22"/>
        </w:rPr>
        <w:t xml:space="preserve">riginariamente del fondatore, o dei fondatori, ove ci siano all'origine due-tre soci, </w:t>
      </w:r>
      <w:r w:rsidR="00A27FE9">
        <w:rPr>
          <w:sz w:val="22"/>
          <w:szCs w:val="22"/>
        </w:rPr>
        <w:t xml:space="preserve">e si </w:t>
      </w:r>
      <w:r w:rsidR="00A27FE9" w:rsidRPr="007F7EBF">
        <w:rPr>
          <w:sz w:val="22"/>
          <w:szCs w:val="22"/>
        </w:rPr>
        <w:t>trasmett</w:t>
      </w:r>
      <w:r w:rsidR="005C43C9">
        <w:rPr>
          <w:sz w:val="22"/>
          <w:szCs w:val="22"/>
        </w:rPr>
        <w:t>e</w:t>
      </w:r>
      <w:r w:rsidR="00A27FE9">
        <w:rPr>
          <w:sz w:val="22"/>
          <w:szCs w:val="22"/>
        </w:rPr>
        <w:t xml:space="preserve"> </w:t>
      </w:r>
      <w:r w:rsidR="00A27FE9" w:rsidRPr="007F7EBF">
        <w:rPr>
          <w:sz w:val="22"/>
          <w:szCs w:val="22"/>
        </w:rPr>
        <w:t xml:space="preserve">agli eredi. </w:t>
      </w:r>
      <w:r w:rsidR="00774BCF">
        <w:rPr>
          <w:sz w:val="22"/>
          <w:szCs w:val="22"/>
        </w:rPr>
        <w:t>Si crea così il</w:t>
      </w:r>
      <w:r w:rsidR="00774BCF" w:rsidRPr="007F7EBF">
        <w:rPr>
          <w:sz w:val="22"/>
          <w:szCs w:val="22"/>
        </w:rPr>
        <w:t xml:space="preserve"> "capitalismo familiare"</w:t>
      </w:r>
      <w:r w:rsidR="00774BCF">
        <w:rPr>
          <w:sz w:val="22"/>
          <w:szCs w:val="22"/>
        </w:rPr>
        <w:t>, dove non è “familiare” la gestione (</w:t>
      </w:r>
      <w:r w:rsidR="00774BCF" w:rsidRPr="007F7EBF">
        <w:rPr>
          <w:rStyle w:val="Rimandonotaapidipagina"/>
          <w:sz w:val="22"/>
          <w:szCs w:val="22"/>
        </w:rPr>
        <w:footnoteReference w:id="203"/>
      </w:r>
      <w:r w:rsidR="00774BCF">
        <w:rPr>
          <w:sz w:val="22"/>
          <w:szCs w:val="22"/>
        </w:rPr>
        <w:t>), ma la titolarità dell’azienda. Anche il capitalismo familiare è quindi “societario”</w:t>
      </w:r>
      <w:r w:rsidR="00774BCF" w:rsidRPr="00774BCF">
        <w:rPr>
          <w:sz w:val="22"/>
          <w:szCs w:val="22"/>
        </w:rPr>
        <w:t xml:space="preserve"> </w:t>
      </w:r>
      <w:r w:rsidR="00774BCF">
        <w:rPr>
          <w:sz w:val="22"/>
          <w:szCs w:val="22"/>
        </w:rPr>
        <w:t>(</w:t>
      </w:r>
      <w:r w:rsidR="00774BCF" w:rsidRPr="007F7EBF">
        <w:rPr>
          <w:rStyle w:val="Rimandonotaapidipagina"/>
          <w:sz w:val="22"/>
          <w:szCs w:val="22"/>
        </w:rPr>
        <w:footnoteReference w:id="204"/>
      </w:r>
      <w:r w:rsidR="00774BCF">
        <w:rPr>
          <w:sz w:val="22"/>
          <w:szCs w:val="22"/>
        </w:rPr>
        <w:t xml:space="preserve">), cioè privo di imprenditori individuali, come i piccoli commercianti o gli </w:t>
      </w:r>
      <w:r w:rsidR="00774BCF">
        <w:rPr>
          <w:sz w:val="22"/>
          <w:szCs w:val="22"/>
        </w:rPr>
        <w:lastRenderedPageBreak/>
        <w:t xml:space="preserve">artigiani di cui al par.3.13, ma fatto di soci di riferimento di società contenenti aziende pluripersonali. </w:t>
      </w:r>
      <w:r w:rsidR="00774BCF">
        <w:rPr>
          <w:bCs/>
        </w:rPr>
        <w:t xml:space="preserve"> </w:t>
      </w:r>
    </w:p>
    <w:p w14:paraId="22B8702A" w14:textId="2ADA808E" w:rsidR="003E6F4B" w:rsidRPr="007F7EBF" w:rsidRDefault="003E6F4B" w:rsidP="003E6F4B">
      <w:pPr>
        <w:pStyle w:val="tit23"/>
        <w:ind w:left="6464" w:right="-1361" w:firstLine="0"/>
        <w:jc w:val="left"/>
        <w:rPr>
          <w:b/>
          <w:bCs/>
          <w:i/>
          <w:iCs/>
          <w:color w:val="0000FF"/>
          <w:lang w:val="it-IT"/>
        </w:rPr>
      </w:pPr>
      <w:r>
        <w:rPr>
          <w:b/>
          <w:bCs/>
          <w:i/>
          <w:iCs/>
          <w:color w:val="0000FF"/>
          <w:lang w:val="it-IT"/>
        </w:rPr>
        <w:t>Azienda, società e “gruppi societari”</w:t>
      </w:r>
      <w:r w:rsidRPr="007F7EBF">
        <w:rPr>
          <w:b/>
          <w:bCs/>
          <w:i/>
          <w:iCs/>
          <w:color w:val="0000FF"/>
          <w:lang w:val="it-IT"/>
        </w:rPr>
        <w:t xml:space="preserve">   </w:t>
      </w:r>
    </w:p>
    <w:p w14:paraId="61D2CDBE" w14:textId="0E003A2E" w:rsidR="00897498" w:rsidRPr="001A2BDD" w:rsidRDefault="00774BCF" w:rsidP="003E6F4B">
      <w:pPr>
        <w:pStyle w:val="Testonotaapidipagina"/>
      </w:pPr>
      <w:r>
        <w:rPr>
          <w:sz w:val="22"/>
          <w:szCs w:val="22"/>
        </w:rPr>
        <w:t xml:space="preserve">Il motivo per cui le aziende pluripersonali sono tendenzialmente collocate all’interno di società di capitali (par.7.5) è evitare i rischi che la responsabilità illimitata dell’imprenditore individuale o del socio di società personale comporta. Spesso le aziende sono articolate non solo in un’unica società, ma in un </w:t>
      </w:r>
      <w:r>
        <w:rPr>
          <w:bCs/>
        </w:rPr>
        <w:t xml:space="preserve">“gruppo societario”; </w:t>
      </w:r>
      <w:r w:rsidR="00616D10">
        <w:rPr>
          <w:bCs/>
        </w:rPr>
        <w:t xml:space="preserve">quest’ultimo, è </w:t>
      </w:r>
      <w:r w:rsidR="008A1329">
        <w:rPr>
          <w:bCs/>
        </w:rPr>
        <w:t>economicamente unitario</w:t>
      </w:r>
      <w:r w:rsidR="00616D10">
        <w:rPr>
          <w:bCs/>
        </w:rPr>
        <w:t>,</w:t>
      </w:r>
      <w:r w:rsidR="008A1329">
        <w:rPr>
          <w:bCs/>
        </w:rPr>
        <w:t xml:space="preserve"> anche se formalmente articolato in più società </w:t>
      </w:r>
      <w:r w:rsidR="008A1329">
        <w:t>(</w:t>
      </w:r>
      <w:r w:rsidR="008A1329">
        <w:rPr>
          <w:rStyle w:val="Rimandonotaapidipagina"/>
        </w:rPr>
        <w:footnoteReference w:id="205"/>
      </w:r>
      <w:r w:rsidR="008A1329">
        <w:t>)</w:t>
      </w:r>
      <w:r w:rsidR="00616D10">
        <w:rPr>
          <w:sz w:val="22"/>
          <w:szCs w:val="22"/>
        </w:rPr>
        <w:t xml:space="preserve">, </w:t>
      </w:r>
      <w:r>
        <w:rPr>
          <w:sz w:val="22"/>
          <w:szCs w:val="22"/>
        </w:rPr>
        <w:t xml:space="preserve">per praticità esteriore </w:t>
      </w:r>
      <w:r w:rsidR="00616D10">
        <w:rPr>
          <w:sz w:val="22"/>
          <w:szCs w:val="22"/>
        </w:rPr>
        <w:t xml:space="preserve">ed è tipico anche delle grandi multinazionali a proprietà diffusa, come </w:t>
      </w:r>
      <w:r w:rsidR="008A1329">
        <w:t xml:space="preserve">Bayer, Ford, Kraft, </w:t>
      </w:r>
      <w:r w:rsidR="00616D10">
        <w:t xml:space="preserve">Colgate; </w:t>
      </w:r>
      <w:r w:rsidR="008A1329">
        <w:t>al loro interno</w:t>
      </w:r>
      <w:r w:rsidR="00616D10">
        <w:t xml:space="preserve"> i gruppi</w:t>
      </w:r>
      <w:r w:rsidR="008A1329">
        <w:t xml:space="preserve"> si considerano </w:t>
      </w:r>
      <w:r w:rsidR="00616D10">
        <w:t xml:space="preserve">come </w:t>
      </w:r>
      <w:r w:rsidR="008A1329">
        <w:t xml:space="preserve">un’unica azienda anche se divisa, per praticità gestionale, in società di paesi diversi. </w:t>
      </w:r>
    </w:p>
    <w:p w14:paraId="6F2BEA48" w14:textId="77777777" w:rsidR="00253534" w:rsidRPr="007F7EBF" w:rsidRDefault="00E71C2D" w:rsidP="00253534">
      <w:pPr>
        <w:pStyle w:val="tit23"/>
        <w:ind w:left="6464" w:right="-1361" w:firstLine="0"/>
        <w:jc w:val="left"/>
        <w:rPr>
          <w:b/>
          <w:bCs/>
          <w:i/>
          <w:iCs/>
          <w:color w:val="0000FF"/>
          <w:lang w:val="it-IT"/>
        </w:rPr>
      </w:pPr>
      <w:r w:rsidRPr="007F7EBF">
        <w:rPr>
          <w:b/>
          <w:bCs/>
          <w:i/>
          <w:iCs/>
          <w:color w:val="0000FF"/>
          <w:lang w:val="it-IT"/>
        </w:rPr>
        <w:t xml:space="preserve">Gerarchie aziendali e </w:t>
      </w:r>
      <w:r w:rsidR="00F9281B" w:rsidRPr="007F7EBF">
        <w:rPr>
          <w:b/>
          <w:bCs/>
          <w:i/>
          <w:iCs/>
          <w:color w:val="0000FF"/>
          <w:lang w:val="it-IT"/>
        </w:rPr>
        <w:t xml:space="preserve"> ruolo dei dirigenti (managers)</w:t>
      </w:r>
      <w:r w:rsidR="00253534" w:rsidRPr="007F7EBF">
        <w:rPr>
          <w:b/>
          <w:bCs/>
          <w:i/>
          <w:iCs/>
          <w:color w:val="0000FF"/>
          <w:lang w:val="it-IT"/>
        </w:rPr>
        <w:t xml:space="preserve">   </w:t>
      </w:r>
    </w:p>
    <w:p w14:paraId="577B113E" w14:textId="771570CF" w:rsidR="000B4609" w:rsidRPr="007F7EBF" w:rsidRDefault="00774BCF" w:rsidP="00981AFD">
      <w:pPr>
        <w:autoSpaceDE w:val="0"/>
        <w:autoSpaceDN w:val="0"/>
        <w:adjustRightInd w:val="0"/>
        <w:rPr>
          <w:sz w:val="22"/>
          <w:szCs w:val="22"/>
        </w:rPr>
      </w:pPr>
      <w:r w:rsidRPr="007F7EBF">
        <w:t xml:space="preserve">Le organizzazioni aziendali non </w:t>
      </w:r>
      <w:r w:rsidR="009D66C7">
        <w:t>hanno</w:t>
      </w:r>
      <w:r w:rsidRPr="007F7EBF">
        <w:t xml:space="preserve"> quindi </w:t>
      </w:r>
      <w:r w:rsidR="009D66C7">
        <w:t xml:space="preserve">una </w:t>
      </w:r>
      <w:r w:rsidRPr="007F7EBF">
        <w:t>base consens</w:t>
      </w:r>
      <w:r w:rsidR="009D66C7">
        <w:t>uale (</w:t>
      </w:r>
      <w:r>
        <w:rPr>
          <w:rStyle w:val="Rimandonotaapidipagina"/>
        </w:rPr>
        <w:footnoteReference w:id="206"/>
      </w:r>
      <w:r w:rsidR="009D66C7">
        <w:t>)</w:t>
      </w:r>
      <w:r w:rsidRPr="007F7EBF">
        <w:t xml:space="preserve">, </w:t>
      </w:r>
      <w:r>
        <w:rPr>
          <w:sz w:val="22"/>
          <w:szCs w:val="22"/>
        </w:rPr>
        <w:t xml:space="preserve">ma </w:t>
      </w:r>
      <w:r w:rsidRPr="007F7EBF">
        <w:rPr>
          <w:sz w:val="22"/>
          <w:szCs w:val="22"/>
        </w:rPr>
        <w:t>propriet</w:t>
      </w:r>
      <w:r w:rsidR="009D66C7">
        <w:rPr>
          <w:sz w:val="22"/>
          <w:szCs w:val="22"/>
        </w:rPr>
        <w:t>aria</w:t>
      </w:r>
      <w:r>
        <w:rPr>
          <w:sz w:val="22"/>
          <w:szCs w:val="22"/>
        </w:rPr>
        <w:t>,</w:t>
      </w:r>
      <w:r w:rsidRPr="007F7EBF">
        <w:rPr>
          <w:sz w:val="22"/>
          <w:szCs w:val="22"/>
        </w:rPr>
        <w:t xml:space="preserve"> in genere </w:t>
      </w:r>
      <w:r w:rsidR="009D66C7">
        <w:rPr>
          <w:sz w:val="22"/>
          <w:szCs w:val="22"/>
        </w:rPr>
        <w:t>espressa da</w:t>
      </w:r>
      <w:r>
        <w:rPr>
          <w:sz w:val="22"/>
          <w:szCs w:val="22"/>
        </w:rPr>
        <w:t xml:space="preserve"> quote d</w:t>
      </w:r>
      <w:r w:rsidR="00E36337">
        <w:rPr>
          <w:sz w:val="22"/>
          <w:szCs w:val="22"/>
        </w:rPr>
        <w:t xml:space="preserve">elle suddette </w:t>
      </w:r>
      <w:r w:rsidRPr="007F7EBF">
        <w:rPr>
          <w:sz w:val="22"/>
          <w:szCs w:val="22"/>
        </w:rPr>
        <w:t xml:space="preserve">società di capitali. </w:t>
      </w:r>
      <w:r w:rsidR="00235945">
        <w:rPr>
          <w:sz w:val="22"/>
          <w:szCs w:val="22"/>
          <w:lang w:eastAsia="x-none"/>
        </w:rPr>
        <w:t>Quest</w:t>
      </w:r>
      <w:r w:rsidR="00F9281B" w:rsidRPr="007F7EBF">
        <w:rPr>
          <w:sz w:val="22"/>
          <w:szCs w:val="22"/>
        </w:rPr>
        <w:t>a proprietà svolge (di diritto o di fatto) un'attività di "alta direzione",</w:t>
      </w:r>
      <w:r w:rsidR="000160C1">
        <w:rPr>
          <w:sz w:val="22"/>
          <w:szCs w:val="22"/>
        </w:rPr>
        <w:t xml:space="preserve"> secondo </w:t>
      </w:r>
      <w:r w:rsidR="00235945">
        <w:rPr>
          <w:sz w:val="22"/>
          <w:szCs w:val="22"/>
        </w:rPr>
        <w:t xml:space="preserve">le proprie aspirazioni/capacità, delegando </w:t>
      </w:r>
      <w:r w:rsidR="00F9281B" w:rsidRPr="007F7EBF">
        <w:rPr>
          <w:sz w:val="22"/>
          <w:szCs w:val="22"/>
        </w:rPr>
        <w:t>compiti a dirigenti</w:t>
      </w:r>
      <w:r w:rsidR="00235945">
        <w:rPr>
          <w:sz w:val="22"/>
          <w:szCs w:val="22"/>
        </w:rPr>
        <w:t xml:space="preserve"> </w:t>
      </w:r>
      <w:r w:rsidR="00F9281B" w:rsidRPr="007F7EBF">
        <w:rPr>
          <w:sz w:val="22"/>
          <w:szCs w:val="22"/>
        </w:rPr>
        <w:t>(</w:t>
      </w:r>
      <w:r w:rsidR="00F9281B" w:rsidRPr="007F7EBF">
        <w:rPr>
          <w:i/>
          <w:sz w:val="22"/>
          <w:szCs w:val="22"/>
        </w:rPr>
        <w:t>managers</w:t>
      </w:r>
      <w:r w:rsidR="00F9281B" w:rsidRPr="007F7EBF">
        <w:rPr>
          <w:sz w:val="22"/>
          <w:szCs w:val="22"/>
        </w:rPr>
        <w:t>)</w:t>
      </w:r>
      <w:r w:rsidR="00235945">
        <w:rPr>
          <w:sz w:val="22"/>
          <w:szCs w:val="22"/>
        </w:rPr>
        <w:t xml:space="preserve">, di cui è l’ultimo referente </w:t>
      </w:r>
      <w:r w:rsidR="00BD0B73">
        <w:rPr>
          <w:sz w:val="22"/>
          <w:szCs w:val="22"/>
        </w:rPr>
        <w:t>(</w:t>
      </w:r>
      <w:r w:rsidR="00F9281B" w:rsidRPr="007F7EBF">
        <w:rPr>
          <w:rStyle w:val="Rimandonotaapidipagina"/>
          <w:sz w:val="22"/>
          <w:szCs w:val="22"/>
        </w:rPr>
        <w:footnoteReference w:id="207"/>
      </w:r>
      <w:r w:rsidR="00BD0B73">
        <w:rPr>
          <w:sz w:val="22"/>
          <w:szCs w:val="22"/>
        </w:rPr>
        <w:t>)</w:t>
      </w:r>
      <w:r w:rsidR="00F9281B" w:rsidRPr="007F7EBF">
        <w:rPr>
          <w:sz w:val="22"/>
          <w:szCs w:val="22"/>
        </w:rPr>
        <w:t xml:space="preserve">. Il </w:t>
      </w:r>
      <w:r w:rsidR="000160C1">
        <w:rPr>
          <w:sz w:val="22"/>
          <w:szCs w:val="22"/>
        </w:rPr>
        <w:t>peso</w:t>
      </w:r>
      <w:r w:rsidR="00F9281B" w:rsidRPr="007F7EBF">
        <w:rPr>
          <w:sz w:val="22"/>
          <w:szCs w:val="22"/>
        </w:rPr>
        <w:t xml:space="preserve"> dei dirigenti </w:t>
      </w:r>
      <w:r w:rsidR="000160C1">
        <w:rPr>
          <w:sz w:val="22"/>
          <w:szCs w:val="22"/>
        </w:rPr>
        <w:t>cresce nel</w:t>
      </w:r>
      <w:r w:rsidR="00EC36DC" w:rsidRPr="007F7EBF">
        <w:rPr>
          <w:sz w:val="22"/>
          <w:szCs w:val="22"/>
        </w:rPr>
        <w:t xml:space="preserve">le </w:t>
      </w:r>
      <w:r w:rsidR="000160C1">
        <w:rPr>
          <w:sz w:val="22"/>
          <w:szCs w:val="22"/>
        </w:rPr>
        <w:t xml:space="preserve">poche </w:t>
      </w:r>
      <w:r w:rsidR="00EC36DC" w:rsidRPr="007F7EBF">
        <w:rPr>
          <w:sz w:val="22"/>
          <w:szCs w:val="22"/>
        </w:rPr>
        <w:t>aziende</w:t>
      </w:r>
      <w:r w:rsidR="000160C1">
        <w:rPr>
          <w:sz w:val="22"/>
          <w:szCs w:val="22"/>
        </w:rPr>
        <w:t xml:space="preserve"> </w:t>
      </w:r>
      <w:r w:rsidR="00EC36DC" w:rsidRPr="007F7EBF">
        <w:rPr>
          <w:sz w:val="22"/>
          <w:szCs w:val="22"/>
        </w:rPr>
        <w:t xml:space="preserve">con una proprietà </w:t>
      </w:r>
      <w:r w:rsidR="00EC36DC" w:rsidRPr="007F7EBF">
        <w:rPr>
          <w:sz w:val="22"/>
          <w:szCs w:val="22"/>
        </w:rPr>
        <w:lastRenderedPageBreak/>
        <w:t xml:space="preserve">frammentata, </w:t>
      </w:r>
      <w:r w:rsidR="000160C1">
        <w:rPr>
          <w:sz w:val="22"/>
          <w:szCs w:val="22"/>
        </w:rPr>
        <w:t xml:space="preserve">fino alle società quotate in borsa </w:t>
      </w:r>
      <w:r w:rsidR="00EC36DC" w:rsidRPr="007F7EBF">
        <w:rPr>
          <w:rStyle w:val="Rimandonotaapidipagina"/>
          <w:sz w:val="22"/>
          <w:szCs w:val="22"/>
        </w:rPr>
        <w:footnoteReference w:id="208"/>
      </w:r>
      <w:r w:rsidR="00EC36DC" w:rsidRPr="007F7EBF">
        <w:rPr>
          <w:sz w:val="22"/>
          <w:szCs w:val="22"/>
        </w:rPr>
        <w:t xml:space="preserve"> , frequenti soprattutto negli Stati Uniti</w:t>
      </w:r>
      <w:r w:rsidR="000160C1">
        <w:rPr>
          <w:sz w:val="22"/>
          <w:szCs w:val="22"/>
        </w:rPr>
        <w:t>(</w:t>
      </w:r>
      <w:r w:rsidR="00EC36DC" w:rsidRPr="007F7EBF">
        <w:rPr>
          <w:rStyle w:val="Rimandonotaapidipagina"/>
          <w:sz w:val="22"/>
          <w:szCs w:val="22"/>
        </w:rPr>
        <w:footnoteReference w:id="209"/>
      </w:r>
      <w:r w:rsidR="000160C1">
        <w:rPr>
          <w:sz w:val="22"/>
          <w:szCs w:val="22"/>
        </w:rPr>
        <w:t>)</w:t>
      </w:r>
      <w:r w:rsidR="00EF61B3" w:rsidRPr="007F7EBF">
        <w:rPr>
          <w:sz w:val="22"/>
          <w:szCs w:val="22"/>
        </w:rPr>
        <w:t xml:space="preserve">. Lo stesso accade per </w:t>
      </w:r>
      <w:r w:rsidR="00EC36DC" w:rsidRPr="007F7EBF">
        <w:rPr>
          <w:sz w:val="22"/>
          <w:szCs w:val="22"/>
        </w:rPr>
        <w:t>le società cooperative</w:t>
      </w:r>
      <w:r w:rsidR="00BD0B73">
        <w:rPr>
          <w:sz w:val="22"/>
          <w:szCs w:val="22"/>
        </w:rPr>
        <w:t>(</w:t>
      </w:r>
      <w:r w:rsidR="00EC36DC" w:rsidRPr="007F7EBF">
        <w:rPr>
          <w:rStyle w:val="Rimandonotaapidipagina"/>
          <w:sz w:val="22"/>
          <w:szCs w:val="22"/>
        </w:rPr>
        <w:footnoteReference w:id="210"/>
      </w:r>
      <w:r w:rsidR="00BD0B73">
        <w:rPr>
          <w:sz w:val="22"/>
          <w:szCs w:val="22"/>
        </w:rPr>
        <w:t>)</w:t>
      </w:r>
      <w:r w:rsidR="00EC36DC" w:rsidRPr="007F7EBF">
        <w:rPr>
          <w:sz w:val="22"/>
          <w:szCs w:val="22"/>
        </w:rPr>
        <w:t xml:space="preserve"> o </w:t>
      </w:r>
      <w:r w:rsidR="00BD0B73">
        <w:rPr>
          <w:sz w:val="22"/>
          <w:szCs w:val="22"/>
        </w:rPr>
        <w:t>per</w:t>
      </w:r>
      <w:r w:rsidR="00EC36DC" w:rsidRPr="007F7EBF">
        <w:rPr>
          <w:sz w:val="22"/>
          <w:szCs w:val="22"/>
        </w:rPr>
        <w:t xml:space="preserve"> quell</w:t>
      </w:r>
      <w:r w:rsidR="00CD7A04" w:rsidRPr="007F7EBF">
        <w:rPr>
          <w:sz w:val="22"/>
          <w:szCs w:val="22"/>
        </w:rPr>
        <w:t>e facenti capo, in tutto o in parte, a istituzioni pubbliche</w:t>
      </w:r>
      <w:r w:rsidR="00BD0B73">
        <w:rPr>
          <w:sz w:val="22"/>
          <w:szCs w:val="22"/>
        </w:rPr>
        <w:t>(</w:t>
      </w:r>
      <w:r w:rsidR="00CD7A04" w:rsidRPr="007F7EBF">
        <w:rPr>
          <w:rStyle w:val="Rimandonotaapidipagina"/>
          <w:sz w:val="22"/>
          <w:szCs w:val="22"/>
        </w:rPr>
        <w:footnoteReference w:id="211"/>
      </w:r>
      <w:r w:rsidR="00BD0B73">
        <w:rPr>
          <w:sz w:val="22"/>
          <w:szCs w:val="22"/>
        </w:rPr>
        <w:t>)</w:t>
      </w:r>
      <w:r w:rsidR="00253534" w:rsidRPr="007F7EBF">
        <w:rPr>
          <w:sz w:val="22"/>
          <w:szCs w:val="22"/>
        </w:rPr>
        <w:t xml:space="preserve">. </w:t>
      </w:r>
    </w:p>
    <w:p w14:paraId="27514FF1" w14:textId="77777777" w:rsidR="000B4609" w:rsidRPr="007F7EBF" w:rsidRDefault="000B4609" w:rsidP="000B4609">
      <w:pPr>
        <w:pStyle w:val="tit23"/>
        <w:ind w:left="6464" w:right="-1361" w:firstLine="0"/>
        <w:jc w:val="left"/>
        <w:rPr>
          <w:bCs/>
          <w:i/>
          <w:iCs/>
          <w:color w:val="0000FF"/>
          <w:lang w:val="it-IT"/>
        </w:rPr>
      </w:pPr>
      <w:r w:rsidRPr="007F7EBF">
        <w:rPr>
          <w:bCs/>
          <w:i/>
          <w:iCs/>
          <w:color w:val="0000FF"/>
          <w:lang w:val="it-IT"/>
        </w:rPr>
        <w:t>importanza dell</w:t>
      </w:r>
      <w:r w:rsidR="00A27FE9">
        <w:rPr>
          <w:bCs/>
          <w:i/>
          <w:iCs/>
          <w:color w:val="0000FF"/>
          <w:lang w:val="it-IT"/>
        </w:rPr>
        <w:t>’idea di azienda contro l’alienazione</w:t>
      </w:r>
    </w:p>
    <w:p w14:paraId="109375CC" w14:textId="72FCC6E6" w:rsidR="001769FD" w:rsidRPr="001A2BDD" w:rsidRDefault="002A4D39" w:rsidP="001769FD">
      <w:pPr>
        <w:autoSpaceDE w:val="0"/>
        <w:autoSpaceDN w:val="0"/>
        <w:adjustRightInd w:val="0"/>
      </w:pPr>
      <w:r>
        <w:rPr>
          <w:sz w:val="22"/>
          <w:szCs w:val="22"/>
        </w:rPr>
        <w:t xml:space="preserve">Le carenze formative sull’idea di azienda non solo ostacolano la </w:t>
      </w:r>
      <w:r w:rsidR="00835F2B">
        <w:rPr>
          <w:sz w:val="22"/>
          <w:szCs w:val="22"/>
        </w:rPr>
        <w:t>comprensione della tassazione attraverso le aziende, ma hanno portata più ampia, nociva anche allo sviluppo delle aziende. La parcellizzazione delle mansioni aziendali, che vedremo anche al prossimo paragrafo per quella contabile-amministrativa, non inserita nella cornice dell’azienda come gruppo sociale, provoca “alienazione”</w:t>
      </w:r>
      <w:r w:rsidR="00E36337">
        <w:rPr>
          <w:sz w:val="22"/>
          <w:szCs w:val="22"/>
        </w:rPr>
        <w:t xml:space="preserve"> (</w:t>
      </w:r>
      <w:r w:rsidR="00E36337">
        <w:rPr>
          <w:rStyle w:val="Rimandonotaapidipagina"/>
          <w:sz w:val="22"/>
          <w:szCs w:val="22"/>
        </w:rPr>
        <w:footnoteReference w:id="212"/>
      </w:r>
      <w:r w:rsidR="00E36337">
        <w:rPr>
          <w:sz w:val="22"/>
          <w:szCs w:val="22"/>
        </w:rPr>
        <w:t>)</w:t>
      </w:r>
      <w:r w:rsidR="00724481">
        <w:rPr>
          <w:sz w:val="22"/>
          <w:szCs w:val="22"/>
        </w:rPr>
        <w:t xml:space="preserve">. </w:t>
      </w:r>
      <w:r w:rsidR="00835F2B">
        <w:rPr>
          <w:sz w:val="22"/>
          <w:szCs w:val="22"/>
        </w:rPr>
        <w:t xml:space="preserve">Essa </w:t>
      </w:r>
      <w:r w:rsidR="00835F2B">
        <w:t xml:space="preserve">Senza un’idea </w:t>
      </w:r>
      <w:r w:rsidR="00835F2B">
        <w:lastRenderedPageBreak/>
        <w:t>nuoce alla serenità dell’ambiente aziendale, facendovi scattare comportamenti tipici di altre convivenze culturalmente incomprese (</w:t>
      </w:r>
      <w:r w:rsidR="00835F2B">
        <w:rPr>
          <w:rStyle w:val="Rimandonotaapidipagina"/>
        </w:rPr>
        <w:footnoteReference w:id="213"/>
      </w:r>
      <w:r w:rsidR="00835F2B">
        <w:t xml:space="preserve">). </w:t>
      </w:r>
      <w:r w:rsidR="00336841">
        <w:t xml:space="preserve"> Questa concezione personalistica, o oggettivistica, delle aziend</w:t>
      </w:r>
      <w:r w:rsidR="001769FD">
        <w:t>e</w:t>
      </w:r>
      <w:r w:rsidR="00336841">
        <w:t>, ne ostacola persino la crescita in quanto riguarda anch</w:t>
      </w:r>
      <w:r w:rsidR="00336841" w:rsidRPr="00336841">
        <w:t>e i</w:t>
      </w:r>
      <w:r w:rsidR="000160C1" w:rsidRPr="00336841">
        <w:t>l capitalismo familiare italiano</w:t>
      </w:r>
      <w:r w:rsidR="00336841" w:rsidRPr="00336841">
        <w:t xml:space="preserve">; quest’ultimo, </w:t>
      </w:r>
      <w:r w:rsidR="000160C1" w:rsidRPr="00336841">
        <w:t xml:space="preserve">affrancato dal lavoro di routine, preferisce estrinsecare il suo “coordinamento e comando” come leader assoluto di un’azienda relativamente più piccola (intendo tipo 500/1000 dipendenti) anziché condividere il potere con altri soci </w:t>
      </w:r>
      <w:r w:rsidR="00336841">
        <w:t xml:space="preserve">di un’azienda </w:t>
      </w:r>
      <w:r w:rsidR="000160C1" w:rsidRPr="00336841">
        <w:t>più grande</w:t>
      </w:r>
      <w:r w:rsidR="00336841">
        <w:t xml:space="preserve"> (</w:t>
      </w:r>
      <w:r w:rsidR="00336841">
        <w:rPr>
          <w:rStyle w:val="Rimandonotaapidipagina"/>
        </w:rPr>
        <w:footnoteReference w:id="214"/>
      </w:r>
      <w:r w:rsidR="00336841">
        <w:t>)</w:t>
      </w:r>
      <w:r w:rsidR="006027A2">
        <w:t xml:space="preserve">. </w:t>
      </w:r>
    </w:p>
    <w:p w14:paraId="041AD161" w14:textId="77777777" w:rsidR="001769FD" w:rsidRPr="007F7EBF" w:rsidRDefault="001769FD" w:rsidP="001769FD">
      <w:pPr>
        <w:pStyle w:val="tit23"/>
        <w:ind w:left="6464" w:right="-1361" w:firstLine="0"/>
        <w:jc w:val="left"/>
        <w:rPr>
          <w:bCs/>
          <w:i/>
          <w:iCs/>
          <w:color w:val="0000FF"/>
          <w:lang w:val="it-IT"/>
        </w:rPr>
      </w:pPr>
      <w:r w:rsidRPr="007F7EBF">
        <w:rPr>
          <w:bCs/>
          <w:i/>
          <w:iCs/>
          <w:color w:val="0000FF"/>
          <w:lang w:val="it-IT"/>
        </w:rPr>
        <w:t xml:space="preserve">Carenze formative </w:t>
      </w:r>
      <w:r>
        <w:rPr>
          <w:bCs/>
          <w:i/>
          <w:iCs/>
          <w:color w:val="0000FF"/>
          <w:lang w:val="it-IT"/>
        </w:rPr>
        <w:t xml:space="preserve">ideologie </w:t>
      </w:r>
      <w:r w:rsidRPr="007F7EBF">
        <w:rPr>
          <w:bCs/>
          <w:i/>
          <w:iCs/>
          <w:color w:val="0000FF"/>
          <w:lang w:val="it-IT"/>
        </w:rPr>
        <w:t xml:space="preserve">e </w:t>
      </w:r>
      <w:r>
        <w:rPr>
          <w:bCs/>
          <w:i/>
          <w:iCs/>
          <w:color w:val="0000FF"/>
          <w:lang w:val="it-IT"/>
        </w:rPr>
        <w:lastRenderedPageBreak/>
        <w:t xml:space="preserve">mentalità </w:t>
      </w:r>
      <w:proofErr w:type="spellStart"/>
      <w:r>
        <w:rPr>
          <w:bCs/>
          <w:i/>
          <w:iCs/>
          <w:color w:val="0000FF"/>
          <w:lang w:val="it-IT"/>
        </w:rPr>
        <w:t>antiaziendali</w:t>
      </w:r>
      <w:proofErr w:type="spellEnd"/>
    </w:p>
    <w:p w14:paraId="237D4020" w14:textId="7BB566B4" w:rsidR="006027A2" w:rsidRDefault="006027A2" w:rsidP="006027A2">
      <w:pPr>
        <w:autoSpaceDE w:val="0"/>
        <w:autoSpaceDN w:val="0"/>
        <w:adjustRightInd w:val="0"/>
        <w:rPr>
          <w:sz w:val="22"/>
          <w:szCs w:val="22"/>
        </w:rPr>
      </w:pPr>
      <w:r>
        <w:rPr>
          <w:sz w:val="22"/>
          <w:szCs w:val="22"/>
        </w:rPr>
        <w:t>Anche questo ha scaricato s</w:t>
      </w:r>
      <w:r w:rsidRPr="00EB6C92">
        <w:rPr>
          <w:sz w:val="22"/>
          <w:szCs w:val="22"/>
        </w:rPr>
        <w:t xml:space="preserve">ull'idea di azienda le tensioni sociali </w:t>
      </w:r>
      <w:r>
        <w:rPr>
          <w:sz w:val="22"/>
          <w:szCs w:val="22"/>
        </w:rPr>
        <w:t xml:space="preserve">della </w:t>
      </w:r>
      <w:r w:rsidRPr="00EB6C92">
        <w:rPr>
          <w:sz w:val="22"/>
          <w:szCs w:val="22"/>
        </w:rPr>
        <w:t>c.d. “lotta di classe” verso la proprietà privata di produzioni tecnologiche di serie</w:t>
      </w:r>
      <w:r>
        <w:rPr>
          <w:sz w:val="22"/>
          <w:szCs w:val="22"/>
        </w:rPr>
        <w:t xml:space="preserve"> (</w:t>
      </w:r>
      <w:r w:rsidRPr="007F7EBF">
        <w:rPr>
          <w:rStyle w:val="Rimandonotaapidipagina"/>
          <w:sz w:val="22"/>
          <w:szCs w:val="22"/>
        </w:rPr>
        <w:footnoteReference w:id="215"/>
      </w:r>
      <w:r>
        <w:rPr>
          <w:sz w:val="22"/>
          <w:szCs w:val="22"/>
        </w:rPr>
        <w:t xml:space="preserve">). </w:t>
      </w:r>
    </w:p>
    <w:p w14:paraId="0352C380" w14:textId="1711C2B3" w:rsidR="00336841" w:rsidRDefault="006027A2" w:rsidP="00724481">
      <w:pPr>
        <w:autoSpaceDE w:val="0"/>
        <w:autoSpaceDN w:val="0"/>
        <w:adjustRightInd w:val="0"/>
        <w:rPr>
          <w:sz w:val="22"/>
          <w:szCs w:val="22"/>
        </w:rPr>
      </w:pPr>
      <w:r>
        <w:t>La man</w:t>
      </w:r>
      <w:r>
        <w:rPr>
          <w:sz w:val="22"/>
          <w:szCs w:val="22"/>
        </w:rPr>
        <w:t xml:space="preserve">canza di formazione sociale sull’azienda come </w:t>
      </w:r>
      <w:r w:rsidRPr="007F7EBF">
        <w:rPr>
          <w:sz w:val="22"/>
          <w:szCs w:val="22"/>
        </w:rPr>
        <w:t>"</w:t>
      </w:r>
      <w:r>
        <w:rPr>
          <w:sz w:val="22"/>
          <w:szCs w:val="22"/>
        </w:rPr>
        <w:t>gruppo</w:t>
      </w:r>
      <w:r w:rsidRPr="007F7EBF">
        <w:rPr>
          <w:sz w:val="22"/>
          <w:szCs w:val="22"/>
        </w:rPr>
        <w:t xml:space="preserve"> sociale intermedi</w:t>
      </w:r>
      <w:r>
        <w:rPr>
          <w:sz w:val="22"/>
          <w:szCs w:val="22"/>
        </w:rPr>
        <w:t>o</w:t>
      </w:r>
      <w:r w:rsidRPr="007F7EBF">
        <w:rPr>
          <w:sz w:val="22"/>
          <w:szCs w:val="22"/>
        </w:rPr>
        <w:t>"</w:t>
      </w:r>
      <w:r>
        <w:rPr>
          <w:sz w:val="22"/>
          <w:szCs w:val="22"/>
        </w:rPr>
        <w:t xml:space="preserve">, ha </w:t>
      </w:r>
      <w:r w:rsidRPr="007F7EBF">
        <w:rPr>
          <w:sz w:val="22"/>
          <w:szCs w:val="22"/>
        </w:rPr>
        <w:t xml:space="preserve">ostacolato </w:t>
      </w:r>
      <w:r>
        <w:rPr>
          <w:sz w:val="22"/>
          <w:szCs w:val="22"/>
        </w:rPr>
        <w:t xml:space="preserve">l’”istituzionalizzazione delle aziende”, ancorate a un modello culturale che le vede come se fossero piccoli commercianti o artigiani, solo di dimensioni maggiori. </w:t>
      </w:r>
    </w:p>
    <w:p w14:paraId="13E83BF9" w14:textId="3595A745" w:rsidR="00253A8E" w:rsidRPr="001A2BDD" w:rsidRDefault="00336841" w:rsidP="00724481">
      <w:pPr>
        <w:autoSpaceDE w:val="0"/>
        <w:autoSpaceDN w:val="0"/>
        <w:adjustRightInd w:val="0"/>
      </w:pPr>
      <w:r>
        <w:rPr>
          <w:sz w:val="22"/>
          <w:szCs w:val="22"/>
        </w:rPr>
        <w:t>U</w:t>
      </w:r>
      <w:r w:rsidR="000F72D1">
        <w:rPr>
          <w:sz w:val="22"/>
          <w:szCs w:val="22"/>
        </w:rPr>
        <w:t>na consapevolezza sociale di base sull’idea di azienda potrebbe invece contribuire alla coesione aziendale, alimentata oggi solo d</w:t>
      </w:r>
      <w:r w:rsidR="0006566B">
        <w:rPr>
          <w:lang w:eastAsia="x-none"/>
        </w:rPr>
        <w:t xml:space="preserve">alla </w:t>
      </w:r>
      <w:r w:rsidR="0006566B">
        <w:rPr>
          <w:sz w:val="22"/>
          <w:szCs w:val="22"/>
        </w:rPr>
        <w:t xml:space="preserve">consapevolezza di doversi </w:t>
      </w:r>
      <w:r w:rsidR="0006566B">
        <w:rPr>
          <w:lang w:eastAsia="x-none"/>
        </w:rPr>
        <w:t xml:space="preserve">sostentare </w:t>
      </w:r>
      <w:r w:rsidR="001736AF">
        <w:rPr>
          <w:lang w:eastAsia="x-none"/>
        </w:rPr>
        <w:t xml:space="preserve">attraverso il prodotto </w:t>
      </w:r>
      <w:r w:rsidR="0006566B">
        <w:rPr>
          <w:lang w:eastAsia="x-none"/>
        </w:rPr>
        <w:t>(</w:t>
      </w:r>
      <w:r w:rsidR="0006566B" w:rsidRPr="007F7EBF">
        <w:rPr>
          <w:rStyle w:val="Rimandonotaapidipagina"/>
        </w:rPr>
        <w:footnoteReference w:id="216"/>
      </w:r>
      <w:r w:rsidR="0006566B">
        <w:rPr>
          <w:lang w:eastAsia="x-none"/>
        </w:rPr>
        <w:t>).</w:t>
      </w:r>
      <w:r w:rsidR="0030144E">
        <w:rPr>
          <w:lang w:eastAsia="x-none"/>
        </w:rPr>
        <w:t xml:space="preserve"> </w:t>
      </w:r>
      <w:r w:rsidR="0006566B">
        <w:t xml:space="preserve">L’idea di azienda come gruppo è </w:t>
      </w:r>
      <w:r>
        <w:t>però</w:t>
      </w:r>
      <w:r w:rsidR="00F86892">
        <w:t xml:space="preserve"> </w:t>
      </w:r>
      <w:r w:rsidR="0006566B">
        <w:rPr>
          <w:i/>
        </w:rPr>
        <w:t xml:space="preserve">scientifico sociale </w:t>
      </w:r>
      <w:r w:rsidR="0030144E">
        <w:rPr>
          <w:lang w:eastAsia="x-none"/>
        </w:rPr>
        <w:t xml:space="preserve">(par.4.7), </w:t>
      </w:r>
      <w:r>
        <w:rPr>
          <w:lang w:eastAsia="x-none"/>
        </w:rPr>
        <w:t xml:space="preserve">non può venire dalla pratica, in quanto </w:t>
      </w:r>
      <w:r w:rsidR="0030144E">
        <w:rPr>
          <w:lang w:eastAsia="x-none"/>
        </w:rPr>
        <w:t>trascende</w:t>
      </w:r>
      <w:r>
        <w:rPr>
          <w:lang w:eastAsia="x-none"/>
        </w:rPr>
        <w:t xml:space="preserve"> una prassi gestionale legittimamente appiattita sul prodotto; le aziende insomma, non essendo luoghi di autocoscienza e cultura, ma di produzione, hanno paradossalmente bisogno di un ambiente culturale che le comprenda, prima ancora di sostenerle. </w:t>
      </w:r>
      <w:r w:rsidR="00835F2B">
        <w:t xml:space="preserve"> </w:t>
      </w:r>
    </w:p>
    <w:p w14:paraId="3A4F663C" w14:textId="4FF399B4" w:rsidR="000B4609" w:rsidRPr="007F7EBF" w:rsidRDefault="00520F41" w:rsidP="000B4609">
      <w:pPr>
        <w:pStyle w:val="tit23"/>
        <w:ind w:left="6464" w:right="-1361" w:firstLine="0"/>
        <w:jc w:val="left"/>
        <w:rPr>
          <w:b/>
          <w:bCs/>
          <w:i/>
          <w:iCs/>
          <w:color w:val="0000FF"/>
          <w:lang w:val="it-IT"/>
        </w:rPr>
      </w:pPr>
      <w:r>
        <w:rPr>
          <w:bCs/>
          <w:i/>
          <w:iCs/>
          <w:color w:val="0000FF"/>
          <w:lang w:val="it-IT"/>
        </w:rPr>
        <w:t>Altri gruppi con visibilità contabile degli imponibili</w:t>
      </w:r>
    </w:p>
    <w:p w14:paraId="1311DF92" w14:textId="5246988F" w:rsidR="009723BA" w:rsidRPr="007F7EBF" w:rsidRDefault="000B4609" w:rsidP="003F79E0">
      <w:pPr>
        <w:autoSpaceDE w:val="0"/>
        <w:autoSpaceDN w:val="0"/>
        <w:adjustRightInd w:val="0"/>
        <w:rPr>
          <w:sz w:val="22"/>
          <w:szCs w:val="22"/>
        </w:rPr>
      </w:pPr>
      <w:r>
        <w:rPr>
          <w:sz w:val="22"/>
          <w:szCs w:val="22"/>
        </w:rPr>
        <w:t>L’affidabilità contabile appena descritta riguarda anche altre</w:t>
      </w:r>
      <w:r w:rsidR="00520F41">
        <w:rPr>
          <w:sz w:val="22"/>
          <w:szCs w:val="22"/>
        </w:rPr>
        <w:t xml:space="preserve"> </w:t>
      </w:r>
      <w:r>
        <w:rPr>
          <w:sz w:val="22"/>
          <w:szCs w:val="22"/>
        </w:rPr>
        <w:t xml:space="preserve">organizzazioni </w:t>
      </w:r>
      <w:r w:rsidRPr="007F7EBF">
        <w:rPr>
          <w:sz w:val="22"/>
          <w:szCs w:val="22"/>
        </w:rPr>
        <w:t xml:space="preserve">pluripersonali, </w:t>
      </w:r>
      <w:r>
        <w:rPr>
          <w:sz w:val="22"/>
          <w:szCs w:val="22"/>
        </w:rPr>
        <w:t xml:space="preserve">cioè i </w:t>
      </w:r>
      <w:r w:rsidRPr="007F7EBF">
        <w:rPr>
          <w:sz w:val="22"/>
          <w:szCs w:val="22"/>
        </w:rPr>
        <w:t>pubblici uffici</w:t>
      </w:r>
      <w:r>
        <w:rPr>
          <w:sz w:val="22"/>
          <w:szCs w:val="22"/>
        </w:rPr>
        <w:t xml:space="preserve"> e gli “enti privati</w:t>
      </w:r>
      <w:r w:rsidR="000C4F95">
        <w:rPr>
          <w:sz w:val="22"/>
          <w:szCs w:val="22"/>
        </w:rPr>
        <w:t>”</w:t>
      </w:r>
      <w:r w:rsidR="000C4F95" w:rsidRPr="000C4F95">
        <w:rPr>
          <w:sz w:val="22"/>
          <w:szCs w:val="22"/>
        </w:rPr>
        <w:t xml:space="preserve"> </w:t>
      </w:r>
      <w:r w:rsidR="000C4F95">
        <w:rPr>
          <w:sz w:val="22"/>
          <w:szCs w:val="22"/>
        </w:rPr>
        <w:t>(</w:t>
      </w:r>
      <w:r w:rsidR="000C4F95" w:rsidRPr="007F7EBF">
        <w:rPr>
          <w:rStyle w:val="Rimandonotaapidipagina"/>
          <w:sz w:val="22"/>
          <w:szCs w:val="22"/>
        </w:rPr>
        <w:footnoteReference w:id="217"/>
      </w:r>
      <w:r w:rsidR="000C4F95">
        <w:rPr>
          <w:sz w:val="22"/>
          <w:szCs w:val="22"/>
        </w:rPr>
        <w:t xml:space="preserve">); entrambi operano fuori mercato e sono per questo chiamate dagli aziendalisti </w:t>
      </w:r>
      <w:r w:rsidRPr="007F7EBF">
        <w:rPr>
          <w:sz w:val="22"/>
          <w:szCs w:val="22"/>
        </w:rPr>
        <w:t>"aziende di erogazione</w:t>
      </w:r>
      <w:r w:rsidR="003F79E0">
        <w:rPr>
          <w:sz w:val="22"/>
          <w:szCs w:val="22"/>
        </w:rPr>
        <w:t xml:space="preserve">”, </w:t>
      </w:r>
      <w:r w:rsidR="003F79E0">
        <w:t xml:space="preserve">nel senso che “ricevono </w:t>
      </w:r>
      <w:r w:rsidR="003F79E0">
        <w:lastRenderedPageBreak/>
        <w:t xml:space="preserve">erogazioni” per sostenersi </w:t>
      </w:r>
      <w:r w:rsidR="000C4F95">
        <w:t>(</w:t>
      </w:r>
      <w:r w:rsidRPr="007F7EBF">
        <w:rPr>
          <w:rStyle w:val="Rimandonotaapidipagina"/>
          <w:sz w:val="22"/>
          <w:szCs w:val="22"/>
        </w:rPr>
        <w:footnoteReference w:id="218"/>
      </w:r>
      <w:r w:rsidR="000C4F95">
        <w:t>)</w:t>
      </w:r>
      <w:r w:rsidRPr="007F7EBF">
        <w:rPr>
          <w:sz w:val="22"/>
          <w:szCs w:val="22"/>
        </w:rPr>
        <w:t xml:space="preserve">.  </w:t>
      </w:r>
      <w:r w:rsidR="00CD6836">
        <w:rPr>
          <w:sz w:val="22"/>
          <w:szCs w:val="22"/>
        </w:rPr>
        <w:t xml:space="preserve">Pur in assenza di </w:t>
      </w:r>
      <w:r w:rsidR="001D4392">
        <w:rPr>
          <w:sz w:val="22"/>
          <w:szCs w:val="22"/>
        </w:rPr>
        <w:t>profitto, tipico dell’operatore economico individuale,</w:t>
      </w:r>
      <w:r w:rsidR="00CD6836">
        <w:rPr>
          <w:sz w:val="22"/>
          <w:szCs w:val="22"/>
        </w:rPr>
        <w:t xml:space="preserve"> presso</w:t>
      </w:r>
      <w:r w:rsidR="001D4392">
        <w:rPr>
          <w:sz w:val="22"/>
          <w:szCs w:val="22"/>
        </w:rPr>
        <w:t xml:space="preserve"> </w:t>
      </w:r>
      <w:r w:rsidR="00E571B8">
        <w:rPr>
          <w:sz w:val="22"/>
          <w:szCs w:val="22"/>
        </w:rPr>
        <w:t xml:space="preserve">queste organizzazioni </w:t>
      </w:r>
      <w:r w:rsidR="00CD6836">
        <w:rPr>
          <w:sz w:val="22"/>
          <w:szCs w:val="22"/>
        </w:rPr>
        <w:t xml:space="preserve">si creano </w:t>
      </w:r>
      <w:r w:rsidR="007F283E">
        <w:rPr>
          <w:sz w:val="22"/>
          <w:szCs w:val="22"/>
        </w:rPr>
        <w:t xml:space="preserve">i presupposti economici d’imposta </w:t>
      </w:r>
      <w:r w:rsidR="00E571B8">
        <w:rPr>
          <w:sz w:val="22"/>
          <w:szCs w:val="22"/>
        </w:rPr>
        <w:t>di cui al par.1.8 (ricavi, consumi, reddito etc.)</w:t>
      </w:r>
      <w:r w:rsidR="00CD6836">
        <w:rPr>
          <w:sz w:val="22"/>
          <w:szCs w:val="22"/>
        </w:rPr>
        <w:t xml:space="preserve"> </w:t>
      </w:r>
      <w:r w:rsidR="001D4392">
        <w:rPr>
          <w:sz w:val="22"/>
          <w:szCs w:val="22"/>
        </w:rPr>
        <w:t>(</w:t>
      </w:r>
      <w:r w:rsidR="001D4392">
        <w:rPr>
          <w:rStyle w:val="Rimandonotaapidipagina"/>
          <w:sz w:val="22"/>
          <w:szCs w:val="22"/>
        </w:rPr>
        <w:footnoteReference w:id="219"/>
      </w:r>
      <w:r w:rsidR="001D4392">
        <w:rPr>
          <w:sz w:val="22"/>
          <w:szCs w:val="22"/>
        </w:rPr>
        <w:t>).</w:t>
      </w:r>
      <w:r w:rsidR="00CD6836">
        <w:rPr>
          <w:sz w:val="22"/>
          <w:szCs w:val="22"/>
        </w:rPr>
        <w:t xml:space="preserve"> Anche questi gruppi sociali alimentano quindi la determinazione degli imponibili attraverso la documentazione contabile, chiamata in sintesi “tassazione attraverso le aziende”; anzi, gli enti pubblici</w:t>
      </w:r>
      <w:r w:rsidR="00621BA5">
        <w:rPr>
          <w:sz w:val="22"/>
          <w:szCs w:val="22"/>
        </w:rPr>
        <w:t xml:space="preserve"> sono per certi versi fiscalmente più affidabili delle aziende, in quanto </w:t>
      </w:r>
      <w:r w:rsidR="00CD6836">
        <w:rPr>
          <w:sz w:val="22"/>
          <w:szCs w:val="22"/>
        </w:rPr>
        <w:t xml:space="preserve">privi di </w:t>
      </w:r>
      <w:r w:rsidR="00CD6836" w:rsidRPr="007F7EBF">
        <w:rPr>
          <w:sz w:val="22"/>
          <w:szCs w:val="22"/>
        </w:rPr>
        <w:t xml:space="preserve">un proprietario </w:t>
      </w:r>
      <w:r w:rsidR="00CD6836">
        <w:rPr>
          <w:sz w:val="22"/>
          <w:szCs w:val="22"/>
        </w:rPr>
        <w:t>in grado di scavalcare</w:t>
      </w:r>
      <w:r w:rsidR="00CD6836" w:rsidRPr="007F7EBF">
        <w:rPr>
          <w:sz w:val="22"/>
          <w:szCs w:val="22"/>
        </w:rPr>
        <w:t xml:space="preserve"> le procedure gestionali</w:t>
      </w:r>
      <w:r w:rsidR="00621BA5">
        <w:rPr>
          <w:sz w:val="22"/>
          <w:szCs w:val="22"/>
        </w:rPr>
        <w:t xml:space="preserve"> a finalità evasive </w:t>
      </w:r>
      <w:r w:rsidR="00CD6836">
        <w:rPr>
          <w:sz w:val="22"/>
          <w:szCs w:val="22"/>
        </w:rPr>
        <w:t>(par.5.3)</w:t>
      </w:r>
      <w:r w:rsidR="00621BA5">
        <w:rPr>
          <w:sz w:val="22"/>
          <w:szCs w:val="22"/>
        </w:rPr>
        <w:t xml:space="preserve">. </w:t>
      </w:r>
    </w:p>
    <w:p w14:paraId="18E45940" w14:textId="1BA7FC54" w:rsidR="00981AFD" w:rsidRPr="007F7EBF" w:rsidRDefault="006342C5" w:rsidP="00132227">
      <w:pPr>
        <w:pStyle w:val="Titolo3"/>
        <w:rPr>
          <w:sz w:val="22"/>
          <w:szCs w:val="22"/>
        </w:rPr>
      </w:pPr>
      <w:bookmarkStart w:id="31" w:name="_Toc63364949"/>
      <w:r w:rsidRPr="007F7EBF">
        <w:rPr>
          <w:rFonts w:ascii="Times New Roman" w:hAnsi="Times New Roman"/>
          <w:sz w:val="22"/>
          <w:szCs w:val="22"/>
        </w:rPr>
        <w:t xml:space="preserve">3.2. </w:t>
      </w:r>
      <w:r w:rsidR="00FD463F">
        <w:rPr>
          <w:rFonts w:ascii="Times New Roman" w:hAnsi="Times New Roman"/>
          <w:sz w:val="22"/>
          <w:szCs w:val="22"/>
          <w:lang w:val="it-IT"/>
        </w:rPr>
        <w:t xml:space="preserve">Funzioni aziendali e </w:t>
      </w:r>
      <w:r w:rsidR="004C5D42">
        <w:rPr>
          <w:rFonts w:ascii="Times New Roman" w:hAnsi="Times New Roman"/>
          <w:sz w:val="22"/>
          <w:szCs w:val="22"/>
          <w:lang w:val="it-IT"/>
        </w:rPr>
        <w:t xml:space="preserve">determinazione </w:t>
      </w:r>
      <w:r w:rsidR="002801DD">
        <w:rPr>
          <w:rFonts w:ascii="Times New Roman" w:hAnsi="Times New Roman"/>
          <w:sz w:val="22"/>
          <w:szCs w:val="22"/>
          <w:lang w:val="it-IT"/>
        </w:rPr>
        <w:t xml:space="preserve">documentale </w:t>
      </w:r>
      <w:r w:rsidR="004C5D42">
        <w:rPr>
          <w:rFonts w:ascii="Times New Roman" w:hAnsi="Times New Roman"/>
          <w:sz w:val="22"/>
          <w:szCs w:val="22"/>
          <w:lang w:val="it-IT"/>
        </w:rPr>
        <w:t>degli imponibil</w:t>
      </w:r>
      <w:r w:rsidR="002801DD">
        <w:rPr>
          <w:rFonts w:ascii="Times New Roman" w:hAnsi="Times New Roman"/>
          <w:sz w:val="22"/>
          <w:szCs w:val="22"/>
          <w:lang w:val="it-IT"/>
        </w:rPr>
        <w:t>i</w:t>
      </w:r>
      <w:bookmarkEnd w:id="31"/>
    </w:p>
    <w:p w14:paraId="0B40A2F4" w14:textId="0CDC3DEE" w:rsidR="00981AFD" w:rsidRPr="007F7EBF" w:rsidRDefault="00CD1A28" w:rsidP="00981AFD">
      <w:pPr>
        <w:pStyle w:val="tit23"/>
        <w:ind w:left="6464" w:right="-1361" w:firstLine="0"/>
        <w:jc w:val="left"/>
        <w:rPr>
          <w:bCs/>
          <w:i/>
          <w:iCs/>
          <w:color w:val="0000FF"/>
          <w:lang w:val="it-IT"/>
        </w:rPr>
      </w:pPr>
      <w:r>
        <w:rPr>
          <w:bCs/>
          <w:i/>
          <w:iCs/>
          <w:color w:val="0000FF"/>
          <w:lang w:val="it-IT"/>
        </w:rPr>
        <w:t xml:space="preserve"> tipologie </w:t>
      </w:r>
      <w:r w:rsidR="00142B65">
        <w:rPr>
          <w:bCs/>
          <w:i/>
          <w:iCs/>
          <w:color w:val="0000FF"/>
          <w:lang w:val="it-IT"/>
        </w:rPr>
        <w:t xml:space="preserve">dei compiti </w:t>
      </w:r>
      <w:r w:rsidR="00981AFD">
        <w:rPr>
          <w:bCs/>
          <w:i/>
          <w:iCs/>
          <w:color w:val="0000FF"/>
          <w:lang w:val="it-IT"/>
        </w:rPr>
        <w:t xml:space="preserve">aziendali </w:t>
      </w:r>
      <w:r w:rsidR="00F228D3">
        <w:rPr>
          <w:bCs/>
          <w:i/>
          <w:iCs/>
          <w:color w:val="0000FF"/>
          <w:lang w:val="it-IT"/>
        </w:rPr>
        <w:t>e loro praticismo</w:t>
      </w:r>
    </w:p>
    <w:p w14:paraId="0B0B36C5" w14:textId="12469F70" w:rsidR="00BA04D4" w:rsidRPr="007F7EBF" w:rsidRDefault="00981AFD" w:rsidP="004915A3">
      <w:pPr>
        <w:autoSpaceDE w:val="0"/>
        <w:autoSpaceDN w:val="0"/>
        <w:adjustRightInd w:val="0"/>
        <w:rPr>
          <w:sz w:val="22"/>
          <w:szCs w:val="22"/>
        </w:rPr>
      </w:pPr>
      <w:r w:rsidRPr="007F7EBF">
        <w:rPr>
          <w:sz w:val="22"/>
          <w:szCs w:val="22"/>
        </w:rPr>
        <w:t>Gli addetti all'azienda</w:t>
      </w:r>
      <w:r w:rsidR="00132227">
        <w:rPr>
          <w:sz w:val="22"/>
          <w:szCs w:val="22"/>
        </w:rPr>
        <w:t xml:space="preserve">, come gruppo sociale, operano fondamentalmente in tre macro-aree, </w:t>
      </w:r>
      <w:r w:rsidRPr="007F7EBF">
        <w:rPr>
          <w:sz w:val="22"/>
          <w:szCs w:val="22"/>
        </w:rPr>
        <w:t>la produzione, la vendita</w:t>
      </w:r>
      <w:r w:rsidR="00132227">
        <w:rPr>
          <w:sz w:val="22"/>
          <w:szCs w:val="22"/>
        </w:rPr>
        <w:t xml:space="preserve"> (</w:t>
      </w:r>
      <w:r w:rsidR="00CD1A28">
        <w:rPr>
          <w:sz w:val="22"/>
          <w:szCs w:val="22"/>
        </w:rPr>
        <w:t>area commerciale</w:t>
      </w:r>
      <w:r w:rsidR="00132227">
        <w:rPr>
          <w:sz w:val="22"/>
          <w:szCs w:val="22"/>
        </w:rPr>
        <w:t>) e l’amministrazione</w:t>
      </w:r>
      <w:r w:rsidR="00CD1A28">
        <w:rPr>
          <w:sz w:val="22"/>
          <w:szCs w:val="22"/>
        </w:rPr>
        <w:t>, o contabilità</w:t>
      </w:r>
      <w:r w:rsidRPr="007F7EBF">
        <w:rPr>
          <w:sz w:val="22"/>
          <w:szCs w:val="22"/>
        </w:rPr>
        <w:t xml:space="preserve">; </w:t>
      </w:r>
      <w:r w:rsidR="00FD463F">
        <w:rPr>
          <w:sz w:val="22"/>
          <w:szCs w:val="22"/>
        </w:rPr>
        <w:t>sono</w:t>
      </w:r>
      <w:r w:rsidR="00132227">
        <w:rPr>
          <w:sz w:val="22"/>
          <w:szCs w:val="22"/>
        </w:rPr>
        <w:t xml:space="preserve"> </w:t>
      </w:r>
      <w:r w:rsidR="00FD463F">
        <w:rPr>
          <w:sz w:val="22"/>
          <w:szCs w:val="22"/>
        </w:rPr>
        <w:t>“</w:t>
      </w:r>
      <w:r w:rsidR="00132227">
        <w:rPr>
          <w:sz w:val="22"/>
          <w:szCs w:val="22"/>
        </w:rPr>
        <w:t>aree</w:t>
      </w:r>
      <w:r w:rsidR="00FD463F">
        <w:rPr>
          <w:sz w:val="22"/>
          <w:szCs w:val="22"/>
        </w:rPr>
        <w:t>-base”, dimensionate in relazione a</w:t>
      </w:r>
      <w:r w:rsidR="00132227">
        <w:rPr>
          <w:sz w:val="22"/>
          <w:szCs w:val="22"/>
        </w:rPr>
        <w:t xml:space="preserve">i </w:t>
      </w:r>
      <w:r w:rsidRPr="007F7EBF">
        <w:rPr>
          <w:sz w:val="22"/>
          <w:szCs w:val="22"/>
        </w:rPr>
        <w:t>beni o servizi che costituiscono il</w:t>
      </w:r>
      <w:r w:rsidR="00CD1A28">
        <w:rPr>
          <w:sz w:val="22"/>
          <w:szCs w:val="22"/>
        </w:rPr>
        <w:t xml:space="preserve"> prodotto,</w:t>
      </w:r>
      <w:r w:rsidRPr="007F7EBF">
        <w:rPr>
          <w:sz w:val="22"/>
          <w:szCs w:val="22"/>
        </w:rPr>
        <w:t xml:space="preserve"> collante economico dell'azienda; </w:t>
      </w:r>
      <w:r w:rsidR="009517D7">
        <w:rPr>
          <w:sz w:val="22"/>
          <w:szCs w:val="22"/>
        </w:rPr>
        <w:t>a</w:t>
      </w:r>
      <w:r w:rsidR="00CD1A28">
        <w:rPr>
          <w:sz w:val="22"/>
          <w:szCs w:val="22"/>
        </w:rPr>
        <w:t>d esso vanno riferite a</w:t>
      </w:r>
      <w:r w:rsidR="009517D7">
        <w:rPr>
          <w:sz w:val="22"/>
          <w:szCs w:val="22"/>
        </w:rPr>
        <w:t xml:space="preserve">nche </w:t>
      </w:r>
      <w:r w:rsidRPr="007F7EBF">
        <w:rPr>
          <w:sz w:val="22"/>
          <w:szCs w:val="22"/>
        </w:rPr>
        <w:t xml:space="preserve">le c.d. </w:t>
      </w:r>
      <w:r w:rsidRPr="007F7EBF">
        <w:rPr>
          <w:sz w:val="22"/>
          <w:szCs w:val="22"/>
          <w:lang w:eastAsia="x-none"/>
        </w:rPr>
        <w:t xml:space="preserve">qualità </w:t>
      </w:r>
      <w:r w:rsidRPr="007F7EBF">
        <w:rPr>
          <w:i/>
          <w:sz w:val="22"/>
          <w:szCs w:val="22"/>
          <w:lang w:eastAsia="x-none"/>
        </w:rPr>
        <w:t>manageriali</w:t>
      </w:r>
      <w:r w:rsidRPr="007F7EBF">
        <w:rPr>
          <w:sz w:val="22"/>
          <w:szCs w:val="22"/>
          <w:lang w:eastAsia="x-none"/>
        </w:rPr>
        <w:t xml:space="preserve">, </w:t>
      </w:r>
      <w:r w:rsidR="00FD463F">
        <w:rPr>
          <w:sz w:val="22"/>
          <w:szCs w:val="22"/>
          <w:lang w:eastAsia="x-none"/>
        </w:rPr>
        <w:t xml:space="preserve">essenzialmente ”pratiche” </w:t>
      </w:r>
      <w:r w:rsidRPr="007F7EBF">
        <w:rPr>
          <w:sz w:val="22"/>
          <w:szCs w:val="22"/>
          <w:lang w:eastAsia="x-none"/>
        </w:rPr>
        <w:t>come l'attitudine al lavoro di gruppo, la capacità di gestire</w:t>
      </w:r>
      <w:r w:rsidR="00FD463F">
        <w:rPr>
          <w:sz w:val="22"/>
          <w:szCs w:val="22"/>
          <w:lang w:eastAsia="x-none"/>
        </w:rPr>
        <w:t xml:space="preserve">, relazioni e </w:t>
      </w:r>
      <w:r w:rsidRPr="007F7EBF">
        <w:rPr>
          <w:sz w:val="22"/>
          <w:szCs w:val="22"/>
          <w:lang w:eastAsia="x-none"/>
        </w:rPr>
        <w:t>situazioni</w:t>
      </w:r>
      <w:r w:rsidR="00433174">
        <w:rPr>
          <w:sz w:val="22"/>
          <w:szCs w:val="22"/>
          <w:lang w:eastAsia="x-none"/>
        </w:rPr>
        <w:t>(</w:t>
      </w:r>
      <w:r w:rsidRPr="007F7EBF">
        <w:rPr>
          <w:rStyle w:val="Rimandonotaapidipagina"/>
          <w:sz w:val="22"/>
          <w:szCs w:val="22"/>
          <w:lang w:eastAsia="x-none"/>
        </w:rPr>
        <w:footnoteReference w:id="220"/>
      </w:r>
      <w:r w:rsidR="00433174">
        <w:rPr>
          <w:sz w:val="22"/>
          <w:szCs w:val="22"/>
          <w:lang w:eastAsia="x-none"/>
        </w:rPr>
        <w:t>)</w:t>
      </w:r>
      <w:r w:rsidR="009517D7">
        <w:rPr>
          <w:sz w:val="22"/>
          <w:szCs w:val="22"/>
          <w:lang w:eastAsia="x-none"/>
        </w:rPr>
        <w:t>; queste abilità (</w:t>
      </w:r>
      <w:r w:rsidR="00132227" w:rsidRPr="007F7EBF">
        <w:t>organizzazione, comunicazione</w:t>
      </w:r>
      <w:r w:rsidR="009517D7">
        <w:t>, valutazione,</w:t>
      </w:r>
      <w:r w:rsidR="00132227" w:rsidRPr="007F7EBF">
        <w:t xml:space="preserve"> </w:t>
      </w:r>
      <w:r w:rsidR="009517D7">
        <w:t xml:space="preserve">etc.) </w:t>
      </w:r>
      <w:r w:rsidR="00132227" w:rsidRPr="007F7EBF">
        <w:t xml:space="preserve">non hanno </w:t>
      </w:r>
      <w:r w:rsidR="00132227" w:rsidRPr="007F7EBF">
        <w:lastRenderedPageBreak/>
        <w:t>infatti contenuti intrinseci, ma li assorbono da</w:t>
      </w:r>
      <w:r w:rsidR="009517D7">
        <w:t xml:space="preserve">lle produzioni </w:t>
      </w:r>
      <w:r w:rsidR="00CD1A28">
        <w:t xml:space="preserve">da </w:t>
      </w:r>
      <w:r w:rsidR="00132227" w:rsidRPr="007F7EBF">
        <w:t>organizzare</w:t>
      </w:r>
      <w:r w:rsidR="009517D7">
        <w:t xml:space="preserve"> o</w:t>
      </w:r>
      <w:r w:rsidR="00132227" w:rsidRPr="007F7EBF">
        <w:t xml:space="preserve"> comunicare, o valutare</w:t>
      </w:r>
      <w:r w:rsidR="009517D7">
        <w:t xml:space="preserve"> </w:t>
      </w:r>
      <w:r w:rsidR="00433174">
        <w:rPr>
          <w:sz w:val="22"/>
          <w:szCs w:val="22"/>
          <w:lang w:eastAsia="x-none"/>
        </w:rPr>
        <w:t>(</w:t>
      </w:r>
      <w:r w:rsidRPr="007F7EBF">
        <w:rPr>
          <w:rStyle w:val="Rimandonotaapidipagina"/>
          <w:sz w:val="22"/>
          <w:szCs w:val="22"/>
          <w:lang w:eastAsia="x-none"/>
        </w:rPr>
        <w:footnoteReference w:id="221"/>
      </w:r>
      <w:r w:rsidR="00433174">
        <w:rPr>
          <w:sz w:val="22"/>
          <w:szCs w:val="22"/>
          <w:lang w:eastAsia="x-none"/>
        </w:rPr>
        <w:t xml:space="preserve">). </w:t>
      </w:r>
      <w:r w:rsidRPr="007F7EBF">
        <w:rPr>
          <w:sz w:val="22"/>
          <w:szCs w:val="22"/>
          <w:lang w:eastAsia="x-none"/>
        </w:rPr>
        <w:t xml:space="preserve"> </w:t>
      </w:r>
      <w:r w:rsidRPr="007F7EBF">
        <w:rPr>
          <w:b/>
          <w:bCs/>
          <w:i/>
          <w:iCs/>
          <w:color w:val="0000FF"/>
          <w:sz w:val="22"/>
          <w:szCs w:val="22"/>
        </w:rPr>
        <w:t xml:space="preserve">  </w:t>
      </w:r>
    </w:p>
    <w:p w14:paraId="4840C882" w14:textId="610D876C" w:rsidR="00BA04D4" w:rsidRPr="007F7EBF" w:rsidRDefault="00BA04D4" w:rsidP="00BA04D4">
      <w:pPr>
        <w:pStyle w:val="tit23"/>
        <w:ind w:left="6464" w:right="-1361" w:firstLine="0"/>
        <w:jc w:val="left"/>
        <w:rPr>
          <w:b/>
          <w:bCs/>
          <w:i/>
          <w:iCs/>
          <w:color w:val="0000FF"/>
          <w:lang w:val="it-IT"/>
        </w:rPr>
      </w:pPr>
      <w:r w:rsidRPr="007F7EBF">
        <w:rPr>
          <w:b/>
          <w:bCs/>
          <w:i/>
          <w:iCs/>
          <w:color w:val="0000FF"/>
          <w:lang w:val="it-IT"/>
        </w:rPr>
        <w:t>amministrazione contabile</w:t>
      </w:r>
    </w:p>
    <w:p w14:paraId="52DB86E7" w14:textId="1B4E23E6" w:rsidR="00795752" w:rsidRPr="007F7EBF" w:rsidRDefault="00E357D8" w:rsidP="00795752">
      <w:pPr>
        <w:autoSpaceDE w:val="0"/>
        <w:autoSpaceDN w:val="0"/>
        <w:adjustRightInd w:val="0"/>
        <w:rPr>
          <w:sz w:val="22"/>
          <w:szCs w:val="22"/>
        </w:rPr>
      </w:pPr>
      <w:r>
        <w:rPr>
          <w:sz w:val="22"/>
          <w:szCs w:val="22"/>
        </w:rPr>
        <w:t>In tutte le</w:t>
      </w:r>
      <w:r w:rsidR="00F228D3">
        <w:rPr>
          <w:sz w:val="22"/>
          <w:szCs w:val="22"/>
        </w:rPr>
        <w:t xml:space="preserve"> suddette aree dell’</w:t>
      </w:r>
      <w:r>
        <w:rPr>
          <w:sz w:val="22"/>
          <w:szCs w:val="22"/>
        </w:rPr>
        <w:t>azienda</w:t>
      </w:r>
      <w:r w:rsidR="00F228D3">
        <w:rPr>
          <w:sz w:val="22"/>
          <w:szCs w:val="22"/>
        </w:rPr>
        <w:t xml:space="preserve"> pluripersona</w:t>
      </w:r>
      <w:r>
        <w:rPr>
          <w:sz w:val="22"/>
          <w:szCs w:val="22"/>
        </w:rPr>
        <w:t>l</w:t>
      </w:r>
      <w:r w:rsidR="00F228D3">
        <w:rPr>
          <w:sz w:val="22"/>
          <w:szCs w:val="22"/>
        </w:rPr>
        <w:t>e</w:t>
      </w:r>
      <w:r>
        <w:rPr>
          <w:sz w:val="22"/>
          <w:szCs w:val="22"/>
        </w:rPr>
        <w:t xml:space="preserve"> (produzione, vendita e amministrazione) </w:t>
      </w:r>
      <w:r w:rsidR="00F228D3">
        <w:rPr>
          <w:sz w:val="22"/>
          <w:szCs w:val="22"/>
        </w:rPr>
        <w:t xml:space="preserve">serve </w:t>
      </w:r>
      <w:r w:rsidR="004915A3" w:rsidRPr="007F7EBF">
        <w:rPr>
          <w:sz w:val="22"/>
          <w:szCs w:val="22"/>
        </w:rPr>
        <w:t>un</w:t>
      </w:r>
      <w:r w:rsidR="00F228D3">
        <w:rPr>
          <w:sz w:val="22"/>
          <w:szCs w:val="22"/>
        </w:rPr>
        <w:t>a</w:t>
      </w:r>
      <w:r w:rsidR="004915A3" w:rsidRPr="007F7EBF">
        <w:rPr>
          <w:sz w:val="22"/>
          <w:szCs w:val="22"/>
        </w:rPr>
        <w:t xml:space="preserve"> cert</w:t>
      </w:r>
      <w:r w:rsidR="00F228D3">
        <w:rPr>
          <w:sz w:val="22"/>
          <w:szCs w:val="22"/>
        </w:rPr>
        <w:t>a</w:t>
      </w:r>
      <w:r w:rsidR="004915A3" w:rsidRPr="007F7EBF">
        <w:rPr>
          <w:sz w:val="22"/>
          <w:szCs w:val="22"/>
        </w:rPr>
        <w:t xml:space="preserve"> evidenza documentale e procedurale</w:t>
      </w:r>
      <w:r>
        <w:rPr>
          <w:sz w:val="22"/>
          <w:szCs w:val="22"/>
        </w:rPr>
        <w:t>,</w:t>
      </w:r>
      <w:r w:rsidR="004915A3" w:rsidRPr="007F7EBF">
        <w:rPr>
          <w:sz w:val="22"/>
          <w:szCs w:val="22"/>
        </w:rPr>
        <w:t xml:space="preserve"> per coordinare i compiti di ciascuno</w:t>
      </w:r>
      <w:r w:rsidR="004915A3" w:rsidRPr="007F7EBF">
        <w:rPr>
          <w:rStyle w:val="Rimandonotaapidipagina"/>
          <w:sz w:val="22"/>
          <w:szCs w:val="22"/>
        </w:rPr>
        <w:footnoteReference w:id="222"/>
      </w:r>
      <w:r w:rsidR="004915A3">
        <w:rPr>
          <w:sz w:val="22"/>
          <w:szCs w:val="22"/>
        </w:rPr>
        <w:t xml:space="preserve"> e portarli avanti</w:t>
      </w:r>
      <w:r w:rsidR="00F228D3">
        <w:rPr>
          <w:sz w:val="22"/>
          <w:szCs w:val="22"/>
        </w:rPr>
        <w:t xml:space="preserve"> qualora l’addetto debba </w:t>
      </w:r>
      <w:r w:rsidR="00791F19">
        <w:rPr>
          <w:sz w:val="22"/>
          <w:szCs w:val="22"/>
        </w:rPr>
        <w:t>passarli ad altri per trasferimenti, cambi di mansioni</w:t>
      </w:r>
      <w:r w:rsidR="00F228D3">
        <w:rPr>
          <w:sz w:val="22"/>
          <w:szCs w:val="22"/>
        </w:rPr>
        <w:t>,</w:t>
      </w:r>
      <w:r w:rsidR="00791F19">
        <w:rPr>
          <w:sz w:val="22"/>
          <w:szCs w:val="22"/>
        </w:rPr>
        <w:t xml:space="preserve"> dimissioni </w:t>
      </w:r>
      <w:proofErr w:type="spellStart"/>
      <w:r w:rsidR="00791F19">
        <w:rPr>
          <w:sz w:val="22"/>
          <w:szCs w:val="22"/>
        </w:rPr>
        <w:t>etc</w:t>
      </w:r>
      <w:proofErr w:type="spellEnd"/>
      <w:r w:rsidR="004915A3" w:rsidRPr="007F7EBF">
        <w:rPr>
          <w:sz w:val="22"/>
          <w:szCs w:val="22"/>
        </w:rPr>
        <w:t xml:space="preserve"> </w:t>
      </w:r>
      <w:r w:rsidR="004915A3" w:rsidRPr="007F7EBF">
        <w:rPr>
          <w:rStyle w:val="Rimandonotaapidipagina"/>
          <w:sz w:val="22"/>
          <w:szCs w:val="22"/>
        </w:rPr>
        <w:footnoteReference w:id="223"/>
      </w:r>
      <w:r w:rsidR="004915A3" w:rsidRPr="007F7EBF">
        <w:rPr>
          <w:sz w:val="22"/>
          <w:szCs w:val="22"/>
        </w:rPr>
        <w:t>.</w:t>
      </w:r>
      <w:r w:rsidR="004915A3" w:rsidRPr="00BA04D4">
        <w:rPr>
          <w:sz w:val="22"/>
          <w:szCs w:val="22"/>
        </w:rPr>
        <w:t xml:space="preserve"> </w:t>
      </w:r>
      <w:r w:rsidR="00920867">
        <w:rPr>
          <w:sz w:val="22"/>
          <w:szCs w:val="22"/>
        </w:rPr>
        <w:t xml:space="preserve">La parcellizzazione dei compiti </w:t>
      </w:r>
      <w:r w:rsidR="00920867" w:rsidRPr="007F7EBF">
        <w:rPr>
          <w:sz w:val="22"/>
          <w:szCs w:val="22"/>
        </w:rPr>
        <w:t>crea una sorta di "conflitto di interessi" tra addetti</w:t>
      </w:r>
      <w:r w:rsidR="00920867">
        <w:rPr>
          <w:sz w:val="22"/>
          <w:szCs w:val="22"/>
        </w:rPr>
        <w:t>(</w:t>
      </w:r>
      <w:r w:rsidR="00920867" w:rsidRPr="007F7EBF">
        <w:rPr>
          <w:rStyle w:val="Rimandonotaapidipagina"/>
          <w:sz w:val="22"/>
          <w:szCs w:val="22"/>
        </w:rPr>
        <w:footnoteReference w:id="224"/>
      </w:r>
      <w:r w:rsidR="00920867">
        <w:rPr>
          <w:sz w:val="22"/>
          <w:szCs w:val="22"/>
        </w:rPr>
        <w:t>),</w:t>
      </w:r>
      <w:r w:rsidR="00DB7F70">
        <w:rPr>
          <w:sz w:val="22"/>
          <w:szCs w:val="22"/>
        </w:rPr>
        <w:t xml:space="preserve"> </w:t>
      </w:r>
      <w:r w:rsidR="00D16773">
        <w:rPr>
          <w:sz w:val="22"/>
          <w:szCs w:val="22"/>
        </w:rPr>
        <w:t xml:space="preserve">che </w:t>
      </w:r>
      <w:r w:rsidR="00920867">
        <w:rPr>
          <w:sz w:val="22"/>
          <w:szCs w:val="22"/>
        </w:rPr>
        <w:t>delimita</w:t>
      </w:r>
      <w:r w:rsidR="006C65BA">
        <w:rPr>
          <w:sz w:val="22"/>
          <w:szCs w:val="22"/>
        </w:rPr>
        <w:t>no</w:t>
      </w:r>
      <w:r w:rsidR="00D16773">
        <w:rPr>
          <w:sz w:val="22"/>
          <w:szCs w:val="22"/>
        </w:rPr>
        <w:t xml:space="preserve"> </w:t>
      </w:r>
      <w:r w:rsidR="00920867">
        <w:rPr>
          <w:sz w:val="22"/>
          <w:szCs w:val="22"/>
        </w:rPr>
        <w:t xml:space="preserve">le </w:t>
      </w:r>
      <w:r w:rsidR="00920867" w:rsidRPr="007F7EBF">
        <w:rPr>
          <w:sz w:val="22"/>
          <w:szCs w:val="22"/>
        </w:rPr>
        <w:t xml:space="preserve">proprie responsabilità, </w:t>
      </w:r>
      <w:r w:rsidR="00DB7F70">
        <w:rPr>
          <w:sz w:val="22"/>
          <w:szCs w:val="22"/>
        </w:rPr>
        <w:t>rispetto a</w:t>
      </w:r>
      <w:r w:rsidR="00D16773">
        <w:rPr>
          <w:sz w:val="22"/>
          <w:szCs w:val="22"/>
        </w:rPr>
        <w:t xml:space="preserve"> </w:t>
      </w:r>
      <w:r w:rsidR="00F228D3">
        <w:rPr>
          <w:sz w:val="22"/>
          <w:szCs w:val="22"/>
        </w:rPr>
        <w:t>quelle</w:t>
      </w:r>
      <w:r w:rsidR="00920867" w:rsidRPr="007F7EBF">
        <w:rPr>
          <w:sz w:val="22"/>
          <w:szCs w:val="22"/>
        </w:rPr>
        <w:t xml:space="preserve"> di </w:t>
      </w:r>
      <w:r w:rsidR="00920867">
        <w:rPr>
          <w:sz w:val="22"/>
          <w:szCs w:val="22"/>
        </w:rPr>
        <w:t>altri; L</w:t>
      </w:r>
      <w:r>
        <w:rPr>
          <w:sz w:val="22"/>
          <w:szCs w:val="22"/>
        </w:rPr>
        <w:t>’insieme de</w:t>
      </w:r>
      <w:r w:rsidR="00CD1A28">
        <w:rPr>
          <w:sz w:val="22"/>
          <w:szCs w:val="22"/>
        </w:rPr>
        <w:t>i documenti fa capo alla suddetta “direzione amministrativa”, o più prosaicamente “ufficio contabilità”</w:t>
      </w:r>
      <w:r w:rsidR="00F228D3">
        <w:rPr>
          <w:sz w:val="22"/>
          <w:szCs w:val="22"/>
        </w:rPr>
        <w:t>; non a caso l’amministrazione</w:t>
      </w:r>
      <w:r w:rsidR="00DB7F70">
        <w:rPr>
          <w:sz w:val="22"/>
          <w:szCs w:val="22"/>
        </w:rPr>
        <w:t xml:space="preserve"> del denaro richiama la</w:t>
      </w:r>
      <w:r w:rsidR="00920867">
        <w:rPr>
          <w:sz w:val="22"/>
          <w:szCs w:val="22"/>
        </w:rPr>
        <w:t xml:space="preserve"> direzione aziendale</w:t>
      </w:r>
      <w:r w:rsidR="00F228D3">
        <w:rPr>
          <w:sz w:val="22"/>
          <w:szCs w:val="22"/>
        </w:rPr>
        <w:t xml:space="preserve"> generale </w:t>
      </w:r>
      <w:r w:rsidR="00CC622E">
        <w:rPr>
          <w:sz w:val="22"/>
          <w:szCs w:val="22"/>
        </w:rPr>
        <w:t>(</w:t>
      </w:r>
      <w:r w:rsidR="00CC622E" w:rsidRPr="007F7EBF">
        <w:rPr>
          <w:rStyle w:val="Rimandonotaapidipagina"/>
          <w:sz w:val="22"/>
          <w:szCs w:val="22"/>
        </w:rPr>
        <w:footnoteReference w:id="225"/>
      </w:r>
      <w:r w:rsidR="00CC622E">
        <w:rPr>
          <w:sz w:val="22"/>
          <w:szCs w:val="22"/>
        </w:rPr>
        <w:t>)</w:t>
      </w:r>
      <w:r w:rsidR="00DB7F70">
        <w:rPr>
          <w:sz w:val="22"/>
          <w:szCs w:val="22"/>
        </w:rPr>
        <w:t xml:space="preserve">, in quanto </w:t>
      </w:r>
      <w:r w:rsidR="00443810">
        <w:rPr>
          <w:sz w:val="22"/>
          <w:szCs w:val="22"/>
        </w:rPr>
        <w:t>è l’ultim</w:t>
      </w:r>
      <w:r w:rsidR="00F658D7">
        <w:rPr>
          <w:sz w:val="22"/>
          <w:szCs w:val="22"/>
        </w:rPr>
        <w:t>a</w:t>
      </w:r>
      <w:r w:rsidR="00443810">
        <w:rPr>
          <w:sz w:val="22"/>
          <w:szCs w:val="22"/>
        </w:rPr>
        <w:t xml:space="preserve"> </w:t>
      </w:r>
      <w:r w:rsidR="00F658D7">
        <w:rPr>
          <w:sz w:val="22"/>
          <w:szCs w:val="22"/>
        </w:rPr>
        <w:t>ad essere abbandonata</w:t>
      </w:r>
      <w:r w:rsidR="00443810">
        <w:rPr>
          <w:sz w:val="22"/>
          <w:szCs w:val="22"/>
        </w:rPr>
        <w:t xml:space="preserve"> </w:t>
      </w:r>
      <w:r w:rsidR="00DB7F70">
        <w:rPr>
          <w:sz w:val="22"/>
          <w:szCs w:val="22"/>
        </w:rPr>
        <w:t>man mano che</w:t>
      </w:r>
      <w:r w:rsidR="00B73E2A">
        <w:rPr>
          <w:sz w:val="22"/>
          <w:szCs w:val="22"/>
        </w:rPr>
        <w:t xml:space="preserve"> </w:t>
      </w:r>
      <w:r w:rsidR="00DB7F70">
        <w:rPr>
          <w:sz w:val="22"/>
          <w:szCs w:val="22"/>
        </w:rPr>
        <w:t xml:space="preserve">ci si </w:t>
      </w:r>
      <w:r w:rsidR="00F658D7">
        <w:rPr>
          <w:sz w:val="22"/>
          <w:szCs w:val="22"/>
        </w:rPr>
        <w:t xml:space="preserve">avvale </w:t>
      </w:r>
      <w:r w:rsidR="00443810">
        <w:rPr>
          <w:sz w:val="22"/>
          <w:szCs w:val="22"/>
        </w:rPr>
        <w:t>di collaboratori</w:t>
      </w:r>
      <w:r w:rsidR="00B73E2A">
        <w:rPr>
          <w:sz w:val="22"/>
          <w:szCs w:val="22"/>
        </w:rPr>
        <w:t>,</w:t>
      </w:r>
      <w:r w:rsidR="00F228D3">
        <w:rPr>
          <w:sz w:val="22"/>
          <w:szCs w:val="22"/>
        </w:rPr>
        <w:t xml:space="preserve"> </w:t>
      </w:r>
      <w:r w:rsidR="00DB7F70">
        <w:rPr>
          <w:sz w:val="22"/>
          <w:szCs w:val="22"/>
        </w:rPr>
        <w:t>con forte</w:t>
      </w:r>
      <w:r w:rsidR="00443810" w:rsidRPr="007F7EBF">
        <w:rPr>
          <w:sz w:val="22"/>
          <w:szCs w:val="22"/>
        </w:rPr>
        <w:t xml:space="preserve"> componente fiduciaria</w:t>
      </w:r>
      <w:r w:rsidR="00F228D3">
        <w:rPr>
          <w:sz w:val="22"/>
          <w:szCs w:val="22"/>
        </w:rPr>
        <w:t>; q</w:t>
      </w:r>
      <w:r w:rsidR="00CC622E">
        <w:rPr>
          <w:sz w:val="22"/>
          <w:szCs w:val="22"/>
        </w:rPr>
        <w:t xml:space="preserve">uando l’organizzazione cresce il titolare </w:t>
      </w:r>
      <w:r w:rsidR="00F228D3">
        <w:rPr>
          <w:sz w:val="22"/>
          <w:szCs w:val="22"/>
        </w:rPr>
        <w:t>è costretto a</w:t>
      </w:r>
      <w:r w:rsidR="00CC622E">
        <w:rPr>
          <w:sz w:val="22"/>
          <w:szCs w:val="22"/>
        </w:rPr>
        <w:t xml:space="preserve"> delegare anche queste funzioni, richiedendo </w:t>
      </w:r>
      <w:r w:rsidR="00443810" w:rsidRPr="007F7EBF">
        <w:rPr>
          <w:sz w:val="22"/>
          <w:szCs w:val="22"/>
        </w:rPr>
        <w:t xml:space="preserve">ai relativi </w:t>
      </w:r>
      <w:r w:rsidR="00F228D3">
        <w:rPr>
          <w:sz w:val="22"/>
          <w:szCs w:val="22"/>
        </w:rPr>
        <w:t>incaricati</w:t>
      </w:r>
      <w:r w:rsidR="00443810" w:rsidRPr="007F7EBF">
        <w:rPr>
          <w:sz w:val="22"/>
          <w:szCs w:val="22"/>
        </w:rPr>
        <w:t xml:space="preserve"> soprattutto onestà, </w:t>
      </w:r>
      <w:r w:rsidR="00443810">
        <w:rPr>
          <w:sz w:val="22"/>
          <w:szCs w:val="22"/>
        </w:rPr>
        <w:t xml:space="preserve">fedeltà, </w:t>
      </w:r>
      <w:r w:rsidR="00443810" w:rsidRPr="007F7EBF">
        <w:rPr>
          <w:sz w:val="22"/>
          <w:szCs w:val="22"/>
        </w:rPr>
        <w:t>attenzione e meticolosità</w:t>
      </w:r>
      <w:r w:rsidR="00B73E2A">
        <w:rPr>
          <w:sz w:val="22"/>
          <w:szCs w:val="22"/>
        </w:rPr>
        <w:t xml:space="preserve"> </w:t>
      </w:r>
      <w:r w:rsidR="00F658D7">
        <w:rPr>
          <w:sz w:val="22"/>
          <w:szCs w:val="22"/>
        </w:rPr>
        <w:t>(</w:t>
      </w:r>
      <w:r w:rsidR="00443810" w:rsidRPr="007F7EBF">
        <w:rPr>
          <w:rStyle w:val="Rimandonotaapidipagina"/>
          <w:sz w:val="22"/>
          <w:szCs w:val="22"/>
        </w:rPr>
        <w:footnoteReference w:id="226"/>
      </w:r>
      <w:r w:rsidR="00F658D7">
        <w:rPr>
          <w:sz w:val="22"/>
          <w:szCs w:val="22"/>
        </w:rPr>
        <w:t>)</w:t>
      </w:r>
      <w:r w:rsidR="00443810" w:rsidRPr="007F7EBF">
        <w:rPr>
          <w:sz w:val="22"/>
          <w:szCs w:val="22"/>
        </w:rPr>
        <w:t xml:space="preserve">. </w:t>
      </w:r>
      <w:r w:rsidR="009B621D">
        <w:rPr>
          <w:sz w:val="22"/>
          <w:szCs w:val="22"/>
        </w:rPr>
        <w:t xml:space="preserve"> </w:t>
      </w:r>
    </w:p>
    <w:p w14:paraId="4AD32F46" w14:textId="04344FCD" w:rsidR="00795752" w:rsidRPr="007F7EBF" w:rsidRDefault="00795752" w:rsidP="00795752">
      <w:pPr>
        <w:pStyle w:val="tit23"/>
        <w:ind w:left="6464" w:right="-1361" w:firstLine="0"/>
        <w:jc w:val="left"/>
        <w:rPr>
          <w:b/>
          <w:bCs/>
          <w:i/>
          <w:iCs/>
          <w:color w:val="0000FF"/>
          <w:lang w:val="it-IT"/>
        </w:rPr>
      </w:pPr>
      <w:r>
        <w:rPr>
          <w:b/>
          <w:bCs/>
          <w:i/>
          <w:iCs/>
          <w:color w:val="0000FF"/>
          <w:lang w:val="it-IT"/>
        </w:rPr>
        <w:lastRenderedPageBreak/>
        <w:t>Punti forti di affidabilità</w:t>
      </w:r>
    </w:p>
    <w:p w14:paraId="780067E1" w14:textId="44A44C45" w:rsidR="00DB7F70" w:rsidRPr="007F7EBF" w:rsidRDefault="00DB7F70" w:rsidP="00DB7F70">
      <w:pPr>
        <w:autoSpaceDE w:val="0"/>
        <w:autoSpaceDN w:val="0"/>
        <w:adjustRightInd w:val="0"/>
        <w:rPr>
          <w:sz w:val="22"/>
          <w:szCs w:val="22"/>
        </w:rPr>
      </w:pPr>
      <w:r>
        <w:rPr>
          <w:sz w:val="22"/>
          <w:szCs w:val="22"/>
        </w:rPr>
        <w:t xml:space="preserve">Proprio il </w:t>
      </w:r>
      <w:r w:rsidR="00795752">
        <w:rPr>
          <w:sz w:val="22"/>
          <w:szCs w:val="22"/>
        </w:rPr>
        <w:t xml:space="preserve">timore, in capo al titolare, di </w:t>
      </w:r>
      <w:r w:rsidR="00795752" w:rsidRPr="007F7EBF">
        <w:rPr>
          <w:sz w:val="22"/>
          <w:szCs w:val="22"/>
        </w:rPr>
        <w:t xml:space="preserve">malversazioni </w:t>
      </w:r>
      <w:r w:rsidR="00795752">
        <w:rPr>
          <w:sz w:val="22"/>
          <w:szCs w:val="22"/>
        </w:rPr>
        <w:t xml:space="preserve">o negligenze </w:t>
      </w:r>
      <w:r w:rsidR="00795752" w:rsidRPr="007F7EBF">
        <w:rPr>
          <w:sz w:val="22"/>
          <w:szCs w:val="22"/>
        </w:rPr>
        <w:t>dei dipendenti</w:t>
      </w:r>
      <w:r>
        <w:rPr>
          <w:sz w:val="22"/>
          <w:szCs w:val="22"/>
        </w:rPr>
        <w:t xml:space="preserve">, rende affidabili le rilevazioni contabili, perché supera il fastidio di pagare </w:t>
      </w:r>
      <w:r w:rsidR="00795752">
        <w:rPr>
          <w:sz w:val="22"/>
          <w:szCs w:val="22"/>
        </w:rPr>
        <w:t>le imposte(</w:t>
      </w:r>
      <w:r w:rsidR="00795752" w:rsidRPr="007F7EBF">
        <w:rPr>
          <w:rStyle w:val="Rimandonotaapidipagina"/>
          <w:sz w:val="22"/>
          <w:szCs w:val="22"/>
        </w:rPr>
        <w:footnoteReference w:id="227"/>
      </w:r>
      <w:r w:rsidR="00795752">
        <w:rPr>
          <w:sz w:val="22"/>
          <w:szCs w:val="22"/>
        </w:rPr>
        <w:t>)</w:t>
      </w:r>
      <w:r w:rsidR="00795752" w:rsidRPr="007F7EBF">
        <w:rPr>
          <w:sz w:val="22"/>
          <w:szCs w:val="22"/>
        </w:rPr>
        <w:t xml:space="preserve">. </w:t>
      </w:r>
      <w:r w:rsidR="00795752">
        <w:rPr>
          <w:sz w:val="22"/>
          <w:szCs w:val="22"/>
        </w:rPr>
        <w:t>Da qui deriva l’</w:t>
      </w:r>
      <w:r w:rsidR="00795752" w:rsidRPr="007F7EBF">
        <w:rPr>
          <w:sz w:val="22"/>
          <w:szCs w:val="22"/>
        </w:rPr>
        <w:t>affidabil</w:t>
      </w:r>
      <w:r w:rsidR="00795752">
        <w:rPr>
          <w:sz w:val="22"/>
          <w:szCs w:val="22"/>
        </w:rPr>
        <w:t xml:space="preserve">ità della documentazione aziendale, </w:t>
      </w:r>
      <w:r w:rsidR="00795752" w:rsidRPr="007F7EBF">
        <w:rPr>
          <w:sz w:val="22"/>
          <w:szCs w:val="22"/>
        </w:rPr>
        <w:t>anche ai fini della determinazione degli imponibili</w:t>
      </w:r>
      <w:r w:rsidR="00795752">
        <w:rPr>
          <w:sz w:val="22"/>
          <w:szCs w:val="22"/>
        </w:rPr>
        <w:t>, permettendo così la “tassazione attraverso le aziende” (par.1.4)</w:t>
      </w:r>
      <w:r w:rsidR="00795752" w:rsidRPr="007F7EBF">
        <w:rPr>
          <w:sz w:val="22"/>
          <w:szCs w:val="22"/>
        </w:rPr>
        <w:t>.</w:t>
      </w:r>
      <w:r w:rsidR="00795752">
        <w:rPr>
          <w:sz w:val="22"/>
          <w:szCs w:val="22"/>
        </w:rPr>
        <w:t xml:space="preserve"> I contabili </w:t>
      </w:r>
      <w:r>
        <w:rPr>
          <w:sz w:val="22"/>
          <w:szCs w:val="22"/>
        </w:rPr>
        <w:t xml:space="preserve">temono </w:t>
      </w:r>
      <w:r w:rsidR="00512AE6">
        <w:rPr>
          <w:sz w:val="22"/>
          <w:szCs w:val="22"/>
        </w:rPr>
        <w:t>di essere sospettati di appropriazioni indebite di qualsiasi somma sia stata gestita in modo occulto “fuo</w:t>
      </w:r>
      <w:r w:rsidR="00512AE6" w:rsidRPr="007F7EBF">
        <w:rPr>
          <w:bCs/>
          <w:sz w:val="22"/>
          <w:szCs w:val="22"/>
        </w:rPr>
        <w:t>ri bilancio</w:t>
      </w:r>
      <w:r w:rsidR="00512AE6" w:rsidRPr="007F7EBF">
        <w:rPr>
          <w:sz w:val="22"/>
          <w:szCs w:val="22"/>
        </w:rPr>
        <w:t>”</w:t>
      </w:r>
      <w:r w:rsidR="00512AE6">
        <w:rPr>
          <w:sz w:val="22"/>
          <w:szCs w:val="22"/>
        </w:rPr>
        <w:t xml:space="preserve">; anche </w:t>
      </w:r>
      <w:r>
        <w:rPr>
          <w:sz w:val="22"/>
          <w:szCs w:val="22"/>
        </w:rPr>
        <w:t xml:space="preserve">quando sono costretti a farlo </w:t>
      </w:r>
      <w:r w:rsidR="00512AE6">
        <w:rPr>
          <w:sz w:val="22"/>
          <w:szCs w:val="22"/>
        </w:rPr>
        <w:t>nell’interesse dell’azienda</w:t>
      </w:r>
      <w:r>
        <w:rPr>
          <w:sz w:val="22"/>
          <w:szCs w:val="22"/>
        </w:rPr>
        <w:t xml:space="preserve"> si espongono </w:t>
      </w:r>
      <w:r w:rsidR="00512AE6">
        <w:rPr>
          <w:sz w:val="22"/>
          <w:szCs w:val="22"/>
        </w:rPr>
        <w:t>al sospetto di essere beneficiari di una quota delle somme non registrate(</w:t>
      </w:r>
      <w:r w:rsidR="00512AE6">
        <w:rPr>
          <w:rStyle w:val="Rimandonotaapidipagina"/>
          <w:sz w:val="22"/>
          <w:szCs w:val="22"/>
        </w:rPr>
        <w:footnoteReference w:id="228"/>
      </w:r>
      <w:r w:rsidR="00512AE6">
        <w:rPr>
          <w:sz w:val="22"/>
          <w:szCs w:val="22"/>
        </w:rPr>
        <w:t>)</w:t>
      </w:r>
      <w:r w:rsidR="00512AE6">
        <w:t xml:space="preserve">. </w:t>
      </w:r>
    </w:p>
    <w:p w14:paraId="429E0EA3" w14:textId="382F98F1" w:rsidR="00DB7F70" w:rsidRPr="007F7EBF" w:rsidRDefault="00DB7F70" w:rsidP="00DB7F70">
      <w:pPr>
        <w:pStyle w:val="tit23"/>
        <w:ind w:left="6464" w:right="-1361" w:firstLine="0"/>
        <w:jc w:val="left"/>
        <w:rPr>
          <w:b/>
          <w:bCs/>
          <w:i/>
          <w:iCs/>
          <w:color w:val="0000FF"/>
          <w:lang w:val="it-IT"/>
        </w:rPr>
      </w:pPr>
      <w:r>
        <w:rPr>
          <w:b/>
          <w:bCs/>
          <w:i/>
          <w:iCs/>
          <w:color w:val="0000FF"/>
          <w:lang w:val="it-IT"/>
        </w:rPr>
        <w:t>E limiti</w:t>
      </w:r>
    </w:p>
    <w:p w14:paraId="5C7EB3F1" w14:textId="0A0DF1C6" w:rsidR="00D04873" w:rsidRPr="007F7EBF" w:rsidRDefault="00512AE6" w:rsidP="00D04873">
      <w:pPr>
        <w:autoSpaceDE w:val="0"/>
        <w:autoSpaceDN w:val="0"/>
        <w:adjustRightInd w:val="0"/>
        <w:rPr>
          <w:sz w:val="22"/>
          <w:szCs w:val="22"/>
        </w:rPr>
      </w:pPr>
      <w:r>
        <w:t xml:space="preserve">Resta però la soggezione del contabile alla </w:t>
      </w:r>
      <w:r>
        <w:rPr>
          <w:sz w:val="22"/>
          <w:szCs w:val="22"/>
          <w:lang w:eastAsia="x-none"/>
        </w:rPr>
        <w:t xml:space="preserve">proprietà aziendale, </w:t>
      </w:r>
      <w:r w:rsidR="00551260">
        <w:rPr>
          <w:sz w:val="22"/>
          <w:szCs w:val="22"/>
          <w:lang w:eastAsia="x-none"/>
        </w:rPr>
        <w:t xml:space="preserve">che </w:t>
      </w:r>
      <w:r>
        <w:rPr>
          <w:sz w:val="22"/>
          <w:szCs w:val="22"/>
          <w:lang w:eastAsia="x-none"/>
        </w:rPr>
        <w:t xml:space="preserve"> mantiene </w:t>
      </w:r>
      <w:r w:rsidR="00551260">
        <w:rPr>
          <w:sz w:val="22"/>
          <w:szCs w:val="22"/>
          <w:lang w:eastAsia="x-none"/>
        </w:rPr>
        <w:t xml:space="preserve">il dominio ultimo dei flussi di denaro anche per </w:t>
      </w:r>
      <w:r>
        <w:rPr>
          <w:sz w:val="22"/>
          <w:szCs w:val="22"/>
          <w:lang w:eastAsia="x-none"/>
        </w:rPr>
        <w:t xml:space="preserve">scavalcare, a danno del fisco, le procedure </w:t>
      </w:r>
      <w:r w:rsidR="00551260">
        <w:rPr>
          <w:sz w:val="22"/>
          <w:szCs w:val="22"/>
          <w:lang w:eastAsia="x-none"/>
        </w:rPr>
        <w:t xml:space="preserve">aziendali, come indicato al par.3.7 </w:t>
      </w:r>
      <w:r>
        <w:rPr>
          <w:sz w:val="22"/>
          <w:szCs w:val="22"/>
          <w:lang w:eastAsia="x-none"/>
        </w:rPr>
        <w:t>(</w:t>
      </w:r>
      <w:r w:rsidRPr="007F7EBF">
        <w:rPr>
          <w:rStyle w:val="Rimandonotaapidipagina"/>
          <w:sz w:val="22"/>
          <w:szCs w:val="22"/>
        </w:rPr>
        <w:footnoteReference w:id="229"/>
      </w:r>
      <w:r>
        <w:rPr>
          <w:sz w:val="22"/>
          <w:szCs w:val="22"/>
          <w:lang w:eastAsia="x-none"/>
        </w:rPr>
        <w:t>)</w:t>
      </w:r>
      <w:r w:rsidRPr="007F7EBF">
        <w:rPr>
          <w:sz w:val="22"/>
          <w:szCs w:val="22"/>
          <w:lang w:eastAsia="x-none"/>
        </w:rPr>
        <w:t>.</w:t>
      </w:r>
      <w:r w:rsidRPr="007F7EBF">
        <w:rPr>
          <w:sz w:val="22"/>
          <w:szCs w:val="22"/>
        </w:rPr>
        <w:t xml:space="preserve"> </w:t>
      </w:r>
      <w:r w:rsidR="00DB7F70">
        <w:rPr>
          <w:sz w:val="22"/>
          <w:szCs w:val="22"/>
        </w:rPr>
        <w:t>Proprio il rapporto fiduciario del titolare col direttore amministrativo consente</w:t>
      </w:r>
      <w:r w:rsidR="00D04873">
        <w:rPr>
          <w:sz w:val="22"/>
          <w:szCs w:val="22"/>
        </w:rPr>
        <w:t xml:space="preserve"> di conciliare il controllo amministrativo con la sottrazione di quote di reddito, nei modi indicati al par.3.7. </w:t>
      </w:r>
    </w:p>
    <w:p w14:paraId="03CA1B3E" w14:textId="17CD3F4E" w:rsidR="00D04873" w:rsidRPr="007F7EBF" w:rsidRDefault="00D04873" w:rsidP="00D04873">
      <w:pPr>
        <w:pStyle w:val="tit23"/>
        <w:ind w:left="6464" w:right="-1361" w:firstLine="0"/>
        <w:jc w:val="left"/>
        <w:rPr>
          <w:b/>
          <w:bCs/>
          <w:i/>
          <w:iCs/>
          <w:color w:val="0000FF"/>
          <w:lang w:val="it-IT"/>
        </w:rPr>
      </w:pPr>
      <w:r>
        <w:rPr>
          <w:b/>
          <w:bCs/>
          <w:i/>
          <w:iCs/>
          <w:color w:val="0000FF"/>
          <w:lang w:val="it-IT"/>
        </w:rPr>
        <w:t>Caratteri della funzione contabile</w:t>
      </w:r>
    </w:p>
    <w:p w14:paraId="620D4C19" w14:textId="77777777" w:rsidR="002801DD" w:rsidRDefault="00D04873" w:rsidP="002801DD">
      <w:pPr>
        <w:autoSpaceDE w:val="0"/>
        <w:autoSpaceDN w:val="0"/>
        <w:adjustRightInd w:val="0"/>
        <w:rPr>
          <w:sz w:val="22"/>
          <w:szCs w:val="22"/>
        </w:rPr>
      </w:pPr>
      <w:r>
        <w:rPr>
          <w:sz w:val="20"/>
          <w:szCs w:val="20"/>
        </w:rPr>
        <w:t>La funzione</w:t>
      </w:r>
      <w:r w:rsidR="0020502D">
        <w:rPr>
          <w:sz w:val="20"/>
          <w:szCs w:val="20"/>
        </w:rPr>
        <w:t xml:space="preserve"> amministrativ</w:t>
      </w:r>
      <w:r>
        <w:rPr>
          <w:sz w:val="20"/>
          <w:szCs w:val="20"/>
        </w:rPr>
        <w:t>a è la più simile da un’azienda all’altra, qualunque sia il prodotto, in quanto la acquisizione degli incassi, il pagamento delle spese e la redazione dei bilanci seguono schemi analoghi</w:t>
      </w:r>
      <w:r w:rsidR="0020502D">
        <w:rPr>
          <w:sz w:val="20"/>
          <w:szCs w:val="20"/>
        </w:rPr>
        <w:t xml:space="preserve">, </w:t>
      </w:r>
      <w:r>
        <w:rPr>
          <w:sz w:val="20"/>
          <w:szCs w:val="20"/>
        </w:rPr>
        <w:t>quale che sia l’attività dell’azienda. Tutte le strutture contabili aziendali, di tutti i paesi, hanno in comune, pur in aziende molto diverse, un nucleo concettuale rappresentato dalla c.d. “partita doppia”</w:t>
      </w:r>
      <w:r w:rsidRPr="00FC1628">
        <w:rPr>
          <w:sz w:val="20"/>
          <w:szCs w:val="20"/>
        </w:rPr>
        <w:t xml:space="preserve"> </w:t>
      </w:r>
      <w:r>
        <w:rPr>
          <w:sz w:val="20"/>
          <w:szCs w:val="20"/>
        </w:rPr>
        <w:t>(</w:t>
      </w:r>
      <w:r>
        <w:rPr>
          <w:rStyle w:val="Rimandonotaapidipagina"/>
          <w:sz w:val="20"/>
          <w:szCs w:val="20"/>
        </w:rPr>
        <w:footnoteReference w:id="230"/>
      </w:r>
      <w:r>
        <w:rPr>
          <w:sz w:val="20"/>
          <w:szCs w:val="20"/>
        </w:rPr>
        <w:t>), il che rende trasferibili d</w:t>
      </w:r>
      <w:r>
        <w:t xml:space="preserve">a un’azienda all’altra i </w:t>
      </w:r>
      <w:r>
        <w:lastRenderedPageBreak/>
        <w:t xml:space="preserve">relativi addetti con una facilità molto maggiore di quelli adibiti ad altre funzioni aziendali, come </w:t>
      </w:r>
      <w:r>
        <w:rPr>
          <w:sz w:val="22"/>
          <w:szCs w:val="22"/>
        </w:rPr>
        <w:t>p</w:t>
      </w:r>
      <w:r w:rsidRPr="007F7EBF">
        <w:rPr>
          <w:sz w:val="22"/>
          <w:szCs w:val="22"/>
        </w:rPr>
        <w:t>roduzione o marketing</w:t>
      </w:r>
      <w:r>
        <w:rPr>
          <w:sz w:val="22"/>
          <w:szCs w:val="22"/>
        </w:rPr>
        <w:t>, più legate agli specifici prodotti e mercati</w:t>
      </w:r>
      <w:r w:rsidRPr="007F7EBF">
        <w:rPr>
          <w:sz w:val="22"/>
          <w:szCs w:val="22"/>
        </w:rPr>
        <w:t>.</w:t>
      </w:r>
      <w:r>
        <w:rPr>
          <w:sz w:val="22"/>
          <w:szCs w:val="22"/>
        </w:rPr>
        <w:t xml:space="preserve"> </w:t>
      </w:r>
      <w:r>
        <w:rPr>
          <w:sz w:val="20"/>
          <w:szCs w:val="20"/>
        </w:rPr>
        <w:t>I relativi uffici devono quindi emettere</w:t>
      </w:r>
      <w:r w:rsidR="0020502D" w:rsidRPr="007F7EBF">
        <w:rPr>
          <w:bCs/>
          <w:sz w:val="20"/>
          <w:szCs w:val="20"/>
        </w:rPr>
        <w:t xml:space="preserve"> ordinatamente documenti di incasso</w:t>
      </w:r>
      <w:r w:rsidR="0020502D" w:rsidRPr="007F7EBF">
        <w:rPr>
          <w:sz w:val="20"/>
          <w:szCs w:val="20"/>
        </w:rPr>
        <w:t xml:space="preserve">, e poi </w:t>
      </w:r>
      <w:r w:rsidR="0020502D" w:rsidRPr="007F7EBF">
        <w:rPr>
          <w:bCs/>
          <w:sz w:val="20"/>
          <w:szCs w:val="20"/>
        </w:rPr>
        <w:t>classificare documenti di spesa</w:t>
      </w:r>
      <w:r w:rsidR="0020502D" w:rsidRPr="007F7EBF">
        <w:rPr>
          <w:sz w:val="20"/>
          <w:szCs w:val="20"/>
        </w:rPr>
        <w:t xml:space="preserve">, da registrare su libri contabili e </w:t>
      </w:r>
      <w:r w:rsidR="0020502D" w:rsidRPr="007F7EBF">
        <w:rPr>
          <w:bCs/>
          <w:sz w:val="20"/>
          <w:szCs w:val="20"/>
        </w:rPr>
        <w:t>conservare, come indicato al par.7.7 ss.</w:t>
      </w:r>
      <w:r w:rsidR="00FC1628">
        <w:rPr>
          <w:sz w:val="20"/>
          <w:szCs w:val="20"/>
        </w:rPr>
        <w:t xml:space="preserve"> </w:t>
      </w:r>
      <w:r w:rsidR="0020502D" w:rsidRPr="007F7EBF">
        <w:rPr>
          <w:sz w:val="20"/>
          <w:szCs w:val="20"/>
        </w:rPr>
        <w:t xml:space="preserve">Nella funzione contabile, anche delle aziende più evolute, resteranno sempre una serie di </w:t>
      </w:r>
      <w:r w:rsidR="0020502D" w:rsidRPr="007F7EBF">
        <w:rPr>
          <w:bCs/>
          <w:sz w:val="20"/>
          <w:szCs w:val="20"/>
        </w:rPr>
        <w:t>operazioni elementari e ripetitive</w:t>
      </w:r>
      <w:r w:rsidR="0020502D" w:rsidRPr="007F7EBF">
        <w:rPr>
          <w:sz w:val="20"/>
          <w:szCs w:val="20"/>
        </w:rPr>
        <w:t xml:space="preserve">, dove la meticolosità e lo scrupolo sono le doti più importanti. Si tratta di </w:t>
      </w:r>
      <w:r w:rsidR="0020502D" w:rsidRPr="007F7EBF">
        <w:rPr>
          <w:bCs/>
          <w:sz w:val="20"/>
          <w:szCs w:val="20"/>
        </w:rPr>
        <w:t>annotazioni identiche, quale che sia l’importanza dell’evento da registrare</w:t>
      </w:r>
      <w:r w:rsidR="0020502D" w:rsidRPr="007F7EBF">
        <w:rPr>
          <w:sz w:val="20"/>
          <w:szCs w:val="20"/>
        </w:rPr>
        <w:t xml:space="preserve">, dalla vendita milionaria all'acquisto da pochi euro della carta per le fotocopie. </w:t>
      </w:r>
    </w:p>
    <w:p w14:paraId="332D42B5" w14:textId="117EBC2D" w:rsidR="002801DD" w:rsidRPr="007F7EBF" w:rsidRDefault="002801DD" w:rsidP="002801DD">
      <w:pPr>
        <w:pStyle w:val="tit23"/>
        <w:ind w:left="6464" w:right="-1361" w:firstLine="0"/>
        <w:jc w:val="left"/>
        <w:rPr>
          <w:b/>
          <w:bCs/>
          <w:i/>
          <w:iCs/>
          <w:color w:val="0000FF"/>
          <w:lang w:val="it-IT"/>
        </w:rPr>
      </w:pPr>
      <w:r>
        <w:rPr>
          <w:b/>
          <w:bCs/>
          <w:i/>
          <w:iCs/>
          <w:color w:val="0000FF"/>
          <w:lang w:val="it-IT"/>
        </w:rPr>
        <w:t xml:space="preserve">Un filtro </w:t>
      </w:r>
      <w:r w:rsidRPr="007F7EBF">
        <w:rPr>
          <w:b/>
          <w:bCs/>
          <w:i/>
          <w:iCs/>
          <w:color w:val="0000FF"/>
          <w:lang w:val="it-IT"/>
        </w:rPr>
        <w:t xml:space="preserve"> tra consumi e redditi</w:t>
      </w:r>
    </w:p>
    <w:p w14:paraId="4C7C238D" w14:textId="4C292CE2" w:rsidR="00443810" w:rsidRPr="00551260" w:rsidRDefault="002801DD" w:rsidP="00551260">
      <w:pPr>
        <w:autoSpaceDE w:val="0"/>
        <w:autoSpaceDN w:val="0"/>
        <w:adjustRightInd w:val="0"/>
        <w:rPr>
          <w:bCs/>
          <w:i/>
          <w:iCs/>
          <w:color w:val="0000FF"/>
          <w:sz w:val="22"/>
          <w:szCs w:val="22"/>
        </w:rPr>
      </w:pPr>
      <w:r>
        <w:rPr>
          <w:sz w:val="22"/>
          <w:szCs w:val="22"/>
        </w:rPr>
        <w:t xml:space="preserve">In questi compiti degli uffici contabili si vede l’essenza dell’azienda come filtro </w:t>
      </w:r>
      <w:r w:rsidR="007F283E">
        <w:rPr>
          <w:sz w:val="22"/>
          <w:szCs w:val="22"/>
        </w:rPr>
        <w:t xml:space="preserve">nella produzione dei presupposti economici d’imposta </w:t>
      </w:r>
      <w:r>
        <w:rPr>
          <w:sz w:val="22"/>
          <w:szCs w:val="22"/>
        </w:rPr>
        <w:t>di cui al par.1.8, cioè consumi e redditi. Alle entrate aziendali</w:t>
      </w:r>
      <w:r w:rsidRPr="007F7EBF">
        <w:rPr>
          <w:sz w:val="22"/>
          <w:szCs w:val="22"/>
        </w:rPr>
        <w:t>, saltando i passaggi intermedi(</w:t>
      </w:r>
      <w:r w:rsidRPr="007F7EBF">
        <w:rPr>
          <w:rStyle w:val="Rimandonotaapidipagina"/>
          <w:sz w:val="22"/>
          <w:szCs w:val="22"/>
        </w:rPr>
        <w:footnoteReference w:id="231"/>
      </w:r>
      <w:r w:rsidRPr="007F7EBF">
        <w:rPr>
          <w:sz w:val="22"/>
          <w:szCs w:val="22"/>
        </w:rPr>
        <w:t xml:space="preserve">), corrisponde </w:t>
      </w:r>
      <w:r>
        <w:rPr>
          <w:sz w:val="22"/>
          <w:szCs w:val="22"/>
        </w:rPr>
        <w:t xml:space="preserve">infatti </w:t>
      </w:r>
      <w:r w:rsidRPr="007F7EBF">
        <w:rPr>
          <w:sz w:val="22"/>
          <w:szCs w:val="22"/>
        </w:rPr>
        <w:t>la spesa dei consumatori</w:t>
      </w:r>
      <w:r w:rsidRPr="007F7EBF">
        <w:rPr>
          <w:rStyle w:val="Rimandonotaapidipagina"/>
          <w:sz w:val="22"/>
          <w:szCs w:val="22"/>
        </w:rPr>
        <w:footnoteReference w:id="232"/>
      </w:r>
      <w:r w:rsidRPr="007F7EBF">
        <w:rPr>
          <w:sz w:val="22"/>
          <w:szCs w:val="22"/>
        </w:rPr>
        <w:t xml:space="preserve">, mentre le uscite, sempre </w:t>
      </w:r>
      <w:r>
        <w:rPr>
          <w:sz w:val="22"/>
          <w:szCs w:val="22"/>
        </w:rPr>
        <w:t>al netto de</w:t>
      </w:r>
      <w:r w:rsidRPr="007F7EBF">
        <w:rPr>
          <w:sz w:val="22"/>
          <w:szCs w:val="22"/>
        </w:rPr>
        <w:t xml:space="preserve">i passaggi intermedi, rappresentano </w:t>
      </w:r>
      <w:r>
        <w:rPr>
          <w:sz w:val="22"/>
          <w:szCs w:val="22"/>
        </w:rPr>
        <w:t xml:space="preserve">il </w:t>
      </w:r>
      <w:r w:rsidRPr="007F7EBF">
        <w:rPr>
          <w:sz w:val="22"/>
          <w:szCs w:val="22"/>
        </w:rPr>
        <w:t>"valore aggiunto"</w:t>
      </w:r>
      <w:r>
        <w:rPr>
          <w:sz w:val="22"/>
          <w:szCs w:val="22"/>
        </w:rPr>
        <w:t>(</w:t>
      </w:r>
      <w:r w:rsidRPr="007F7EBF">
        <w:rPr>
          <w:rStyle w:val="Rimandonotaapidipagina"/>
          <w:sz w:val="22"/>
          <w:szCs w:val="22"/>
        </w:rPr>
        <w:footnoteReference w:id="233"/>
      </w:r>
      <w:r>
        <w:rPr>
          <w:sz w:val="22"/>
          <w:szCs w:val="22"/>
        </w:rPr>
        <w:t>)</w:t>
      </w:r>
      <w:r w:rsidRPr="007F7EBF">
        <w:rPr>
          <w:sz w:val="22"/>
          <w:szCs w:val="22"/>
        </w:rPr>
        <w:t>, cioè redditi, tassati o segnalati al fisco, nei modi di cui al par.3.5-3.6.</w:t>
      </w:r>
      <w:r>
        <w:rPr>
          <w:sz w:val="22"/>
          <w:szCs w:val="22"/>
        </w:rPr>
        <w:t xml:space="preserve"> Questo ruolo degli uffici contabili </w:t>
      </w:r>
      <w:r w:rsidRPr="007F7EBF">
        <w:rPr>
          <w:sz w:val="22"/>
          <w:szCs w:val="22"/>
        </w:rPr>
        <w:t>costituisce una tipica esternalità positiva delle aziende, cioè un vantaggio sociale di una esigenza aziendale.</w:t>
      </w:r>
      <w:r>
        <w:rPr>
          <w:sz w:val="22"/>
          <w:szCs w:val="22"/>
        </w:rPr>
        <w:t xml:space="preserve"> Si determinano così</w:t>
      </w:r>
      <w:r w:rsidRPr="007F7EBF">
        <w:rPr>
          <w:sz w:val="22"/>
          <w:szCs w:val="22"/>
        </w:rPr>
        <w:t xml:space="preserve"> </w:t>
      </w:r>
      <w:r>
        <w:rPr>
          <w:sz w:val="22"/>
          <w:szCs w:val="22"/>
        </w:rPr>
        <w:t>non solo le</w:t>
      </w:r>
      <w:r w:rsidRPr="007F7EBF">
        <w:rPr>
          <w:sz w:val="22"/>
          <w:szCs w:val="22"/>
        </w:rPr>
        <w:t xml:space="preserve"> imposte riferibili all'</w:t>
      </w:r>
      <w:r>
        <w:rPr>
          <w:sz w:val="22"/>
          <w:szCs w:val="22"/>
        </w:rPr>
        <w:t>azienda</w:t>
      </w:r>
      <w:r w:rsidRPr="007F7EBF">
        <w:rPr>
          <w:sz w:val="22"/>
          <w:szCs w:val="22"/>
        </w:rPr>
        <w:t xml:space="preserve">, ma anche </w:t>
      </w:r>
      <w:r>
        <w:rPr>
          <w:sz w:val="22"/>
          <w:szCs w:val="22"/>
        </w:rPr>
        <w:t>di</w:t>
      </w:r>
      <w:r w:rsidRPr="007F7EBF">
        <w:rPr>
          <w:sz w:val="22"/>
          <w:szCs w:val="22"/>
        </w:rPr>
        <w:t xml:space="preserve"> chi entra in contatto con essa, come già rilevato al par.1.4  </w:t>
      </w:r>
      <w:r>
        <w:rPr>
          <w:sz w:val="22"/>
          <w:szCs w:val="22"/>
        </w:rPr>
        <w:t>come lavoratori, risparmiatori, soci</w:t>
      </w:r>
      <w:r w:rsidR="00EA401C">
        <w:rPr>
          <w:sz w:val="22"/>
          <w:szCs w:val="22"/>
        </w:rPr>
        <w:t xml:space="preserve"> </w:t>
      </w:r>
      <w:r w:rsidR="00EA401C" w:rsidRPr="007F7EBF">
        <w:rPr>
          <w:sz w:val="22"/>
          <w:szCs w:val="22"/>
        </w:rPr>
        <w:t>(</w:t>
      </w:r>
      <w:r w:rsidR="00EA401C" w:rsidRPr="007F7EBF">
        <w:rPr>
          <w:rStyle w:val="Rimandonotaapidipagina"/>
          <w:sz w:val="22"/>
          <w:szCs w:val="22"/>
        </w:rPr>
        <w:footnoteReference w:id="234"/>
      </w:r>
      <w:r w:rsidR="00EA401C" w:rsidRPr="007F7EBF">
        <w:rPr>
          <w:sz w:val="22"/>
          <w:szCs w:val="22"/>
        </w:rPr>
        <w:t>)</w:t>
      </w:r>
      <w:r>
        <w:rPr>
          <w:sz w:val="22"/>
          <w:szCs w:val="22"/>
        </w:rPr>
        <w:t>, consulenti, etc.</w:t>
      </w:r>
      <w:r w:rsidRPr="007F7EBF">
        <w:rPr>
          <w:sz w:val="22"/>
          <w:szCs w:val="22"/>
        </w:rPr>
        <w:t>(</w:t>
      </w:r>
      <w:r w:rsidRPr="007F7EBF">
        <w:rPr>
          <w:rStyle w:val="Rimandonotaapidipagina"/>
          <w:sz w:val="22"/>
          <w:szCs w:val="22"/>
        </w:rPr>
        <w:footnoteReference w:id="235"/>
      </w:r>
      <w:r w:rsidRPr="007F7EBF">
        <w:rPr>
          <w:sz w:val="22"/>
          <w:szCs w:val="22"/>
        </w:rPr>
        <w:t>).</w:t>
      </w:r>
      <w:r>
        <w:rPr>
          <w:sz w:val="22"/>
          <w:szCs w:val="22"/>
        </w:rPr>
        <w:t xml:space="preserve"> </w:t>
      </w:r>
    </w:p>
    <w:p w14:paraId="1CC8F5F7" w14:textId="13D2CEE3" w:rsidR="00BA04D4" w:rsidRPr="007F7EBF" w:rsidRDefault="00BA04D4" w:rsidP="00BA04D4">
      <w:pPr>
        <w:pStyle w:val="tit23"/>
        <w:ind w:left="6464" w:right="-1361" w:firstLine="0"/>
        <w:jc w:val="left"/>
        <w:rPr>
          <w:bCs/>
          <w:i/>
          <w:iCs/>
          <w:color w:val="0000FF"/>
          <w:lang w:val="it-IT"/>
        </w:rPr>
      </w:pPr>
      <w:r w:rsidRPr="007F7EBF">
        <w:rPr>
          <w:bCs/>
          <w:i/>
          <w:iCs/>
          <w:color w:val="0000FF"/>
          <w:lang w:val="it-IT"/>
        </w:rPr>
        <w:t xml:space="preserve">Segue: compito informativo </w:t>
      </w:r>
      <w:r w:rsidR="00E12F9D">
        <w:rPr>
          <w:bCs/>
          <w:i/>
          <w:iCs/>
          <w:color w:val="0000FF"/>
          <w:lang w:val="it-IT"/>
        </w:rPr>
        <w:t>degli uffici contabili</w:t>
      </w:r>
    </w:p>
    <w:p w14:paraId="6354024F" w14:textId="671314AE" w:rsidR="007C3568" w:rsidRPr="007F7EBF" w:rsidRDefault="00BA04D4" w:rsidP="002801DD">
      <w:pPr>
        <w:autoSpaceDE w:val="0"/>
        <w:autoSpaceDN w:val="0"/>
        <w:adjustRightInd w:val="0"/>
        <w:rPr>
          <w:sz w:val="22"/>
          <w:szCs w:val="22"/>
        </w:rPr>
      </w:pPr>
      <w:r w:rsidRPr="007F7EBF">
        <w:rPr>
          <w:sz w:val="22"/>
          <w:szCs w:val="22"/>
        </w:rPr>
        <w:lastRenderedPageBreak/>
        <w:t xml:space="preserve">Accanto a questa funzione fiduciaria, </w:t>
      </w:r>
      <w:r>
        <w:rPr>
          <w:sz w:val="22"/>
          <w:szCs w:val="22"/>
        </w:rPr>
        <w:t>prioritaria e permanente</w:t>
      </w:r>
      <w:r w:rsidRPr="007F7EBF">
        <w:rPr>
          <w:sz w:val="22"/>
          <w:szCs w:val="22"/>
        </w:rPr>
        <w:t>, si sviluppa -al crescere dell'azienda- quella informativa</w:t>
      </w:r>
      <w:r w:rsidR="00F5016A">
        <w:rPr>
          <w:sz w:val="22"/>
          <w:szCs w:val="22"/>
        </w:rPr>
        <w:t xml:space="preserve"> e di supporto alla gestione; non si tratta solo della </w:t>
      </w:r>
      <w:r w:rsidRPr="007F7EBF">
        <w:rPr>
          <w:sz w:val="22"/>
          <w:szCs w:val="22"/>
        </w:rPr>
        <w:t xml:space="preserve">redazione del bilancio (par.7.14), </w:t>
      </w:r>
      <w:r w:rsidR="00F5016A">
        <w:rPr>
          <w:sz w:val="22"/>
          <w:szCs w:val="22"/>
        </w:rPr>
        <w:t xml:space="preserve">ma della </w:t>
      </w:r>
      <w:r w:rsidRPr="007F7EBF">
        <w:rPr>
          <w:sz w:val="22"/>
          <w:szCs w:val="22"/>
        </w:rPr>
        <w:t>contabilità industriale,</w:t>
      </w:r>
      <w:r w:rsidR="00F5016A">
        <w:rPr>
          <w:sz w:val="22"/>
          <w:szCs w:val="22"/>
        </w:rPr>
        <w:t xml:space="preserve"> della contabilità di magazzino, del controllo dei costi di produzione, del c.d.</w:t>
      </w:r>
      <w:r w:rsidRPr="007F7EBF">
        <w:rPr>
          <w:sz w:val="22"/>
          <w:szCs w:val="22"/>
        </w:rPr>
        <w:t xml:space="preserve"> "budget" </w:t>
      </w:r>
      <w:r w:rsidR="00F5016A">
        <w:rPr>
          <w:sz w:val="22"/>
          <w:szCs w:val="22"/>
        </w:rPr>
        <w:t>(</w:t>
      </w:r>
      <w:r w:rsidRPr="007F7EBF">
        <w:rPr>
          <w:sz w:val="22"/>
          <w:szCs w:val="22"/>
        </w:rPr>
        <w:t>controllo di gestione</w:t>
      </w:r>
      <w:r w:rsidR="00F5016A">
        <w:rPr>
          <w:sz w:val="22"/>
          <w:szCs w:val="22"/>
        </w:rPr>
        <w:t>)</w:t>
      </w:r>
      <w:r w:rsidRPr="007F7EBF">
        <w:rPr>
          <w:sz w:val="22"/>
          <w:szCs w:val="22"/>
        </w:rPr>
        <w:t xml:space="preserve">. </w:t>
      </w:r>
      <w:r w:rsidR="00F5016A">
        <w:rPr>
          <w:sz w:val="22"/>
          <w:szCs w:val="22"/>
        </w:rPr>
        <w:t xml:space="preserve">Per queste forme di “reporting” </w:t>
      </w:r>
      <w:r w:rsidR="00E12F9D">
        <w:rPr>
          <w:sz w:val="22"/>
          <w:szCs w:val="22"/>
        </w:rPr>
        <w:t>g</w:t>
      </w:r>
      <w:r w:rsidR="00E12F9D" w:rsidRPr="007F7EBF">
        <w:rPr>
          <w:sz w:val="22"/>
          <w:szCs w:val="22"/>
        </w:rPr>
        <w:t xml:space="preserve">li addetti alla funzione amministrativa interagiscono con </w:t>
      </w:r>
      <w:r w:rsidR="00E12F9D">
        <w:rPr>
          <w:sz w:val="22"/>
          <w:szCs w:val="22"/>
        </w:rPr>
        <w:t>gli</w:t>
      </w:r>
      <w:r w:rsidR="00E12F9D" w:rsidRPr="007F7EBF">
        <w:rPr>
          <w:sz w:val="22"/>
          <w:szCs w:val="22"/>
        </w:rPr>
        <w:t xml:space="preserve"> addetti ai settori produttivi e commerciali acquisendo, integrando e registrando i documenti interni, e relativi ai rapporti coi terzi, come vedremo ai parr.7.7/7.8</w:t>
      </w:r>
      <w:r w:rsidR="00F5016A">
        <w:rPr>
          <w:sz w:val="22"/>
          <w:szCs w:val="22"/>
        </w:rPr>
        <w:t xml:space="preserve"> (</w:t>
      </w:r>
      <w:r w:rsidR="00F5016A" w:rsidRPr="007F7EBF">
        <w:rPr>
          <w:rStyle w:val="Rimandonotaapidipagina"/>
          <w:sz w:val="22"/>
          <w:szCs w:val="22"/>
          <w:lang w:eastAsia="x-none"/>
        </w:rPr>
        <w:footnoteReference w:id="236"/>
      </w:r>
      <w:r w:rsidR="00F5016A">
        <w:rPr>
          <w:sz w:val="22"/>
          <w:szCs w:val="22"/>
        </w:rPr>
        <w:t>)</w:t>
      </w:r>
      <w:r w:rsidRPr="007F7EBF">
        <w:rPr>
          <w:sz w:val="22"/>
          <w:szCs w:val="22"/>
        </w:rPr>
        <w:t>.</w:t>
      </w:r>
    </w:p>
    <w:p w14:paraId="28E98AC2" w14:textId="77777777" w:rsidR="007C3568" w:rsidRPr="007F7EBF" w:rsidRDefault="000B4A05" w:rsidP="007C3568">
      <w:pPr>
        <w:pStyle w:val="tit23"/>
        <w:ind w:left="6464" w:right="-1361" w:firstLine="0"/>
        <w:jc w:val="left"/>
        <w:rPr>
          <w:bCs/>
          <w:i/>
          <w:iCs/>
          <w:color w:val="0000FF"/>
          <w:lang w:val="it-IT"/>
        </w:rPr>
      </w:pPr>
      <w:r w:rsidRPr="007F7EBF">
        <w:rPr>
          <w:bCs/>
          <w:i/>
          <w:iCs/>
          <w:color w:val="0000FF"/>
          <w:lang w:val="it-IT"/>
        </w:rPr>
        <w:t>Vincoli gestionali alla tassazione attraverso le aziende</w:t>
      </w:r>
    </w:p>
    <w:p w14:paraId="2FF8BE7D" w14:textId="5602F92A" w:rsidR="000E3364" w:rsidRPr="007F7EBF" w:rsidRDefault="00551260" w:rsidP="000E3364">
      <w:pPr>
        <w:autoSpaceDE w:val="0"/>
        <w:autoSpaceDN w:val="0"/>
        <w:adjustRightInd w:val="0"/>
        <w:rPr>
          <w:sz w:val="22"/>
          <w:szCs w:val="22"/>
        </w:rPr>
      </w:pPr>
      <w:r>
        <w:rPr>
          <w:sz w:val="22"/>
          <w:szCs w:val="22"/>
        </w:rPr>
        <w:t xml:space="preserve">Questa </w:t>
      </w:r>
      <w:r w:rsidR="00A140C9" w:rsidRPr="007F7EBF">
        <w:rPr>
          <w:sz w:val="22"/>
          <w:szCs w:val="22"/>
        </w:rPr>
        <w:t>ri</w:t>
      </w:r>
      <w:r w:rsidR="00A140C9" w:rsidRPr="007F7EBF">
        <w:rPr>
          <w:bCs/>
          <w:sz w:val="22"/>
          <w:szCs w:val="22"/>
        </w:rPr>
        <w:t>utilizza</w:t>
      </w:r>
      <w:r>
        <w:rPr>
          <w:bCs/>
          <w:sz w:val="22"/>
          <w:szCs w:val="22"/>
        </w:rPr>
        <w:t>zion</w:t>
      </w:r>
      <w:r w:rsidR="00A140C9" w:rsidRPr="007F7EBF">
        <w:rPr>
          <w:bCs/>
          <w:sz w:val="22"/>
          <w:szCs w:val="22"/>
        </w:rPr>
        <w:t xml:space="preserve">e, a vantaggio del fisco, </w:t>
      </w:r>
      <w:r>
        <w:rPr>
          <w:bCs/>
          <w:sz w:val="22"/>
          <w:szCs w:val="22"/>
        </w:rPr>
        <w:t>del</w:t>
      </w:r>
      <w:r w:rsidR="00A140C9" w:rsidRPr="007F7EBF">
        <w:rPr>
          <w:bCs/>
          <w:sz w:val="22"/>
          <w:szCs w:val="22"/>
        </w:rPr>
        <w:t xml:space="preserve">le rigidità amministrative </w:t>
      </w:r>
      <w:r w:rsidRPr="007F7EBF">
        <w:rPr>
          <w:bCs/>
          <w:sz w:val="22"/>
          <w:szCs w:val="22"/>
        </w:rPr>
        <w:t>aziendal</w:t>
      </w:r>
      <w:r>
        <w:rPr>
          <w:bCs/>
          <w:sz w:val="22"/>
          <w:szCs w:val="22"/>
        </w:rPr>
        <w:t xml:space="preserve">i, da sfruttare, quando esiste, </w:t>
      </w:r>
      <w:r w:rsidR="00CC77B7">
        <w:rPr>
          <w:bCs/>
          <w:sz w:val="22"/>
          <w:szCs w:val="22"/>
        </w:rPr>
        <w:t xml:space="preserve">non è </w:t>
      </w:r>
      <w:r>
        <w:rPr>
          <w:bCs/>
          <w:sz w:val="22"/>
          <w:szCs w:val="22"/>
        </w:rPr>
        <w:t>riprodu</w:t>
      </w:r>
      <w:r w:rsidR="00CC77B7">
        <w:rPr>
          <w:bCs/>
          <w:sz w:val="22"/>
          <w:szCs w:val="22"/>
        </w:rPr>
        <w:t>cibil</w:t>
      </w:r>
      <w:r>
        <w:rPr>
          <w:bCs/>
          <w:sz w:val="22"/>
          <w:szCs w:val="22"/>
        </w:rPr>
        <w:t xml:space="preserve">e artificialmente ai fini </w:t>
      </w:r>
      <w:r w:rsidRPr="007F7EBF">
        <w:rPr>
          <w:bCs/>
          <w:sz w:val="22"/>
          <w:szCs w:val="22"/>
        </w:rPr>
        <w:t>tributari</w:t>
      </w:r>
      <w:r>
        <w:rPr>
          <w:bCs/>
          <w:sz w:val="22"/>
          <w:szCs w:val="22"/>
        </w:rPr>
        <w:t xml:space="preserve">, staccandosi </w:t>
      </w:r>
      <w:r w:rsidRPr="007F7EBF">
        <w:rPr>
          <w:bCs/>
          <w:sz w:val="22"/>
          <w:szCs w:val="22"/>
        </w:rPr>
        <w:t xml:space="preserve">dalle esigenze gestionali, </w:t>
      </w:r>
      <w:r>
        <w:rPr>
          <w:bCs/>
          <w:sz w:val="22"/>
          <w:szCs w:val="22"/>
        </w:rPr>
        <w:t xml:space="preserve">e illudendosi di trasformare le aziende in succursali degli uffici imposte o della Guardia di finanza; </w:t>
      </w:r>
      <w:r w:rsidRPr="007F7EBF">
        <w:rPr>
          <w:sz w:val="22"/>
          <w:szCs w:val="22"/>
        </w:rPr>
        <w:t xml:space="preserve">alcune modifiche e integrazioni tributarie dei documenti aziendali sono </w:t>
      </w:r>
      <w:r>
        <w:rPr>
          <w:sz w:val="22"/>
          <w:szCs w:val="22"/>
        </w:rPr>
        <w:t xml:space="preserve">certamente </w:t>
      </w:r>
      <w:r w:rsidRPr="007F7EBF">
        <w:rPr>
          <w:sz w:val="22"/>
          <w:szCs w:val="22"/>
        </w:rPr>
        <w:t>concepibili, come indicato ai par.3.3, 7.7, 7.8</w:t>
      </w:r>
      <w:r>
        <w:rPr>
          <w:sz w:val="22"/>
          <w:szCs w:val="22"/>
        </w:rPr>
        <w:t>, ma non si potranno mai ottenere, attraverso le aziende, informazioni fiscali che esse non hanno motivo di chiedere o possibilità di verificare</w:t>
      </w:r>
      <w:r w:rsidR="00653617" w:rsidRPr="007F7EBF">
        <w:rPr>
          <w:sz w:val="22"/>
          <w:szCs w:val="22"/>
        </w:rPr>
        <w:t xml:space="preserve"> </w:t>
      </w:r>
      <w:r w:rsidR="00CC77B7">
        <w:rPr>
          <w:sz w:val="22"/>
          <w:szCs w:val="22"/>
        </w:rPr>
        <w:t xml:space="preserve">nella loro routine gestionale </w:t>
      </w:r>
      <w:r w:rsidR="00A972D9">
        <w:rPr>
          <w:sz w:val="22"/>
          <w:szCs w:val="22"/>
        </w:rPr>
        <w:t>(</w:t>
      </w:r>
      <w:r w:rsidR="007A4964" w:rsidRPr="007F7EBF">
        <w:rPr>
          <w:rStyle w:val="Rimandonotaapidipagina"/>
          <w:sz w:val="22"/>
          <w:szCs w:val="22"/>
        </w:rPr>
        <w:footnoteReference w:id="237"/>
      </w:r>
      <w:r w:rsidR="00A972D9">
        <w:rPr>
          <w:sz w:val="22"/>
          <w:szCs w:val="22"/>
        </w:rPr>
        <w:t>)</w:t>
      </w:r>
      <w:r w:rsidR="00653617" w:rsidRPr="007F7EBF">
        <w:rPr>
          <w:sz w:val="22"/>
          <w:szCs w:val="22"/>
        </w:rPr>
        <w:t>.</w:t>
      </w:r>
      <w:r w:rsidR="00CE28BE" w:rsidRPr="007F7EBF">
        <w:rPr>
          <w:sz w:val="22"/>
          <w:szCs w:val="22"/>
        </w:rPr>
        <w:t xml:space="preserve"> </w:t>
      </w:r>
      <w:r w:rsidR="00A972D9" w:rsidRPr="007F7EBF">
        <w:rPr>
          <w:bCs/>
          <w:sz w:val="22"/>
          <w:szCs w:val="22"/>
        </w:rPr>
        <w:t xml:space="preserve">La possibilità di acquisire dalle aziende </w:t>
      </w:r>
      <w:r>
        <w:rPr>
          <w:bCs/>
          <w:sz w:val="22"/>
          <w:szCs w:val="22"/>
        </w:rPr>
        <w:t xml:space="preserve">tutto quello che esse hanno bisogno di sapere in funzione dei loro rapporti commerciali </w:t>
      </w:r>
      <w:r w:rsidR="00A972D9" w:rsidRPr="007F7EBF">
        <w:rPr>
          <w:bCs/>
          <w:sz w:val="22"/>
          <w:szCs w:val="22"/>
        </w:rPr>
        <w:t xml:space="preserve">non deve creare l’illusione </w:t>
      </w:r>
      <w:r>
        <w:rPr>
          <w:bCs/>
          <w:sz w:val="22"/>
          <w:szCs w:val="22"/>
        </w:rPr>
        <w:t>di poter chiedere altro</w:t>
      </w:r>
      <w:r w:rsidR="00A7536D">
        <w:rPr>
          <w:bCs/>
          <w:sz w:val="22"/>
          <w:szCs w:val="22"/>
        </w:rPr>
        <w:t xml:space="preserve">; cioè informazioni che le aziende non hanno motivo di chiedere nella loro routine di acquisizione di </w:t>
      </w:r>
      <w:r w:rsidR="00A7536D" w:rsidRPr="007F7EBF">
        <w:rPr>
          <w:sz w:val="22"/>
          <w:szCs w:val="22"/>
        </w:rPr>
        <w:t>consumi ed eroga</w:t>
      </w:r>
      <w:r w:rsidR="00A7536D">
        <w:rPr>
          <w:sz w:val="22"/>
          <w:szCs w:val="22"/>
        </w:rPr>
        <w:t>zione di</w:t>
      </w:r>
      <w:r w:rsidR="00A7536D" w:rsidRPr="007F7EBF">
        <w:rPr>
          <w:sz w:val="22"/>
          <w:szCs w:val="22"/>
        </w:rPr>
        <w:t xml:space="preserve"> redditi</w:t>
      </w:r>
      <w:r w:rsidR="00EE51E1">
        <w:rPr>
          <w:sz w:val="22"/>
          <w:szCs w:val="22"/>
        </w:rPr>
        <w:t>(</w:t>
      </w:r>
      <w:r w:rsidR="00536FA3">
        <w:rPr>
          <w:rStyle w:val="Rimandonotaapidipagina"/>
          <w:sz w:val="22"/>
          <w:szCs w:val="22"/>
        </w:rPr>
        <w:footnoteReference w:id="238"/>
      </w:r>
      <w:r w:rsidR="00EE51E1">
        <w:rPr>
          <w:sz w:val="22"/>
          <w:szCs w:val="22"/>
        </w:rPr>
        <w:t>)</w:t>
      </w:r>
      <w:r w:rsidR="00A7536D">
        <w:rPr>
          <w:sz w:val="22"/>
          <w:szCs w:val="22"/>
        </w:rPr>
        <w:t xml:space="preserve">. </w:t>
      </w:r>
      <w:r w:rsidR="00A972D9" w:rsidRPr="007F7EBF">
        <w:rPr>
          <w:bCs/>
          <w:sz w:val="22"/>
          <w:szCs w:val="22"/>
        </w:rPr>
        <w:t xml:space="preserve">  </w:t>
      </w:r>
    </w:p>
    <w:p w14:paraId="74B07C13" w14:textId="39A9DD15" w:rsidR="000E3364" w:rsidRPr="007F7EBF" w:rsidRDefault="000E3364" w:rsidP="000E3364">
      <w:pPr>
        <w:pStyle w:val="tit23"/>
        <w:ind w:left="6464" w:right="-1361" w:firstLine="0"/>
        <w:jc w:val="left"/>
        <w:rPr>
          <w:bCs/>
          <w:i/>
          <w:iCs/>
          <w:color w:val="0000FF"/>
          <w:lang w:val="it-IT"/>
        </w:rPr>
      </w:pPr>
      <w:r w:rsidRPr="007F7EBF">
        <w:rPr>
          <w:bCs/>
          <w:i/>
          <w:iCs/>
          <w:color w:val="0000FF"/>
          <w:lang w:val="it-IT"/>
        </w:rPr>
        <w:t>informazioni su</w:t>
      </w:r>
      <w:r w:rsidR="00BA13BA">
        <w:rPr>
          <w:bCs/>
          <w:i/>
          <w:iCs/>
          <w:color w:val="0000FF"/>
          <w:lang w:val="it-IT"/>
        </w:rPr>
        <w:t>lle controparti dell</w:t>
      </w:r>
      <w:r w:rsidRPr="007F7EBF">
        <w:rPr>
          <w:bCs/>
          <w:i/>
          <w:iCs/>
          <w:color w:val="0000FF"/>
          <w:lang w:val="it-IT"/>
        </w:rPr>
        <w:t>’azienda</w:t>
      </w:r>
    </w:p>
    <w:p w14:paraId="30ADAF3E" w14:textId="242B6E44" w:rsidR="006913BB" w:rsidRPr="007F7EBF" w:rsidRDefault="00CF283A" w:rsidP="00661ADB">
      <w:pPr>
        <w:autoSpaceDE w:val="0"/>
        <w:autoSpaceDN w:val="0"/>
        <w:adjustRightInd w:val="0"/>
        <w:rPr>
          <w:b/>
          <w:bCs/>
          <w:i/>
          <w:iCs/>
          <w:color w:val="0000FF"/>
          <w:sz w:val="22"/>
          <w:szCs w:val="22"/>
        </w:rPr>
      </w:pPr>
      <w:r>
        <w:rPr>
          <w:sz w:val="22"/>
          <w:szCs w:val="22"/>
        </w:rPr>
        <w:lastRenderedPageBreak/>
        <w:t xml:space="preserve">Una linea guida </w:t>
      </w:r>
      <w:r w:rsidR="00BA13BA">
        <w:rPr>
          <w:sz w:val="22"/>
          <w:szCs w:val="22"/>
        </w:rPr>
        <w:t xml:space="preserve">sull’utilizzabilità delle aziende per applicare imposte o informare il fisco può distinguere tra spese e incassi. Gli uffici contabili aziendali sono molto più informati sulle spese verso i </w:t>
      </w:r>
      <w:r w:rsidR="003431B5" w:rsidRPr="007F7EBF">
        <w:rPr>
          <w:sz w:val="22"/>
          <w:szCs w:val="22"/>
        </w:rPr>
        <w:t xml:space="preserve">fornitori, compresi i dipendenti, i consulenti, i percettori di interessi, di canoni di locazione o altri </w:t>
      </w:r>
      <w:r w:rsidR="006F2879">
        <w:rPr>
          <w:sz w:val="22"/>
          <w:szCs w:val="22"/>
        </w:rPr>
        <w:t xml:space="preserve">beneficiari; di essi </w:t>
      </w:r>
      <w:r w:rsidR="00BA13BA">
        <w:rPr>
          <w:sz w:val="22"/>
          <w:szCs w:val="22"/>
        </w:rPr>
        <w:t xml:space="preserve">è necessario </w:t>
      </w:r>
      <w:r w:rsidR="003431B5" w:rsidRPr="007F7EBF">
        <w:rPr>
          <w:sz w:val="22"/>
          <w:szCs w:val="22"/>
        </w:rPr>
        <w:t>conoscere una serie di informazioni, necessarie a effettuare un valido pagamento</w:t>
      </w:r>
      <w:r w:rsidR="006F2879">
        <w:rPr>
          <w:sz w:val="22"/>
          <w:szCs w:val="22"/>
        </w:rPr>
        <w:t xml:space="preserve"> (</w:t>
      </w:r>
      <w:r w:rsidR="006F2879">
        <w:rPr>
          <w:rStyle w:val="Rimandonotaapidipagina"/>
          <w:sz w:val="22"/>
          <w:szCs w:val="22"/>
        </w:rPr>
        <w:footnoteReference w:id="239"/>
      </w:r>
      <w:r w:rsidR="006F2879">
        <w:rPr>
          <w:sz w:val="22"/>
          <w:szCs w:val="22"/>
        </w:rPr>
        <w:t>)</w:t>
      </w:r>
      <w:r w:rsidR="003431B5" w:rsidRPr="007F7EBF">
        <w:rPr>
          <w:sz w:val="22"/>
          <w:szCs w:val="22"/>
        </w:rPr>
        <w:t>,</w:t>
      </w:r>
      <w:r w:rsidR="00E638CC">
        <w:rPr>
          <w:sz w:val="22"/>
          <w:szCs w:val="22"/>
        </w:rPr>
        <w:t xml:space="preserve"> </w:t>
      </w:r>
      <w:r w:rsidR="00DA4DA5" w:rsidRPr="007F7EBF">
        <w:rPr>
          <w:sz w:val="22"/>
          <w:szCs w:val="22"/>
        </w:rPr>
        <w:t xml:space="preserve">facilmente </w:t>
      </w:r>
      <w:r w:rsidR="00E638CC">
        <w:rPr>
          <w:sz w:val="22"/>
          <w:szCs w:val="22"/>
        </w:rPr>
        <w:t>trasferibili al fisco (</w:t>
      </w:r>
      <w:r w:rsidR="00E638CC">
        <w:rPr>
          <w:rStyle w:val="Rimandonotaapidipagina"/>
          <w:sz w:val="22"/>
          <w:szCs w:val="22"/>
        </w:rPr>
        <w:footnoteReference w:id="240"/>
      </w:r>
      <w:r w:rsidR="00E638CC">
        <w:rPr>
          <w:sz w:val="22"/>
          <w:szCs w:val="22"/>
        </w:rPr>
        <w:t>)</w:t>
      </w:r>
      <w:r w:rsidR="000E3364" w:rsidRPr="007F7EBF">
        <w:rPr>
          <w:sz w:val="22"/>
          <w:szCs w:val="22"/>
        </w:rPr>
        <w:t>.</w:t>
      </w:r>
      <w:r w:rsidR="000E3364" w:rsidRPr="007F7EBF">
        <w:rPr>
          <w:bCs/>
          <w:sz w:val="22"/>
          <w:szCs w:val="22"/>
        </w:rPr>
        <w:t xml:space="preserve"> </w:t>
      </w:r>
      <w:r w:rsidR="00E638CC">
        <w:rPr>
          <w:bCs/>
          <w:sz w:val="22"/>
          <w:szCs w:val="22"/>
        </w:rPr>
        <w:t xml:space="preserve">A proposito dei ricavi, invece l’azienda conosce solo le poche informazioni connesse alla </w:t>
      </w:r>
      <w:r w:rsidR="00661ADB">
        <w:rPr>
          <w:bCs/>
          <w:sz w:val="22"/>
          <w:szCs w:val="22"/>
        </w:rPr>
        <w:t xml:space="preserve">solvibilità del cliente, quando le vendite </w:t>
      </w:r>
      <w:r w:rsidR="0023194A" w:rsidRPr="007F7EBF">
        <w:rPr>
          <w:sz w:val="22"/>
          <w:szCs w:val="22"/>
        </w:rPr>
        <w:t>avvengono “a credito”</w:t>
      </w:r>
      <w:r w:rsidR="00661ADB">
        <w:rPr>
          <w:sz w:val="22"/>
          <w:szCs w:val="22"/>
        </w:rPr>
        <w:t>; q</w:t>
      </w:r>
      <w:r w:rsidR="00172842" w:rsidRPr="007F7EBF">
        <w:rPr>
          <w:bCs/>
          <w:sz w:val="22"/>
          <w:szCs w:val="22"/>
        </w:rPr>
        <w:t xml:space="preserve">ualche informazione arriva indirettamente, attraverso i mezzi di pagamento diversi dal denaro </w:t>
      </w:r>
      <w:r w:rsidR="00172842" w:rsidRPr="007F7EBF">
        <w:rPr>
          <w:rStyle w:val="Rimandonotaapidipagina"/>
          <w:bCs/>
          <w:sz w:val="22"/>
          <w:szCs w:val="22"/>
        </w:rPr>
        <w:footnoteReference w:id="241"/>
      </w:r>
      <w:r w:rsidR="00DA4DA5" w:rsidRPr="007F7EBF">
        <w:rPr>
          <w:bCs/>
          <w:sz w:val="22"/>
          <w:szCs w:val="22"/>
        </w:rPr>
        <w:t xml:space="preserve">, ma una volta sicura del pagamento </w:t>
      </w:r>
      <w:r w:rsidR="007A7492" w:rsidRPr="007F7EBF">
        <w:rPr>
          <w:bCs/>
          <w:sz w:val="22"/>
          <w:szCs w:val="22"/>
        </w:rPr>
        <w:t>l'azienda fornitrice non ha motivo di indagare oltre</w:t>
      </w:r>
      <w:r w:rsidR="00DA4DA5" w:rsidRPr="007F7EBF">
        <w:rPr>
          <w:bCs/>
          <w:sz w:val="22"/>
          <w:szCs w:val="22"/>
        </w:rPr>
        <w:t xml:space="preserve"> s</w:t>
      </w:r>
      <w:r w:rsidR="00C7104C" w:rsidRPr="007F7EBF">
        <w:rPr>
          <w:bCs/>
          <w:sz w:val="22"/>
          <w:szCs w:val="22"/>
        </w:rPr>
        <w:t>u</w:t>
      </w:r>
      <w:r w:rsidR="00661ADB">
        <w:rPr>
          <w:bCs/>
          <w:sz w:val="22"/>
          <w:szCs w:val="22"/>
        </w:rPr>
        <w:t xml:space="preserve"> chi sia i</w:t>
      </w:r>
      <w:r w:rsidR="00C7104C" w:rsidRPr="007F7EBF">
        <w:rPr>
          <w:bCs/>
          <w:sz w:val="22"/>
          <w:szCs w:val="22"/>
        </w:rPr>
        <w:t>l cliente</w:t>
      </w:r>
      <w:r w:rsidR="00661ADB">
        <w:rPr>
          <w:bCs/>
          <w:sz w:val="22"/>
          <w:szCs w:val="22"/>
        </w:rPr>
        <w:t xml:space="preserve"> (</w:t>
      </w:r>
      <w:r w:rsidR="00661ADB">
        <w:rPr>
          <w:bCs/>
          <w:i/>
          <w:sz w:val="22"/>
          <w:szCs w:val="22"/>
        </w:rPr>
        <w:t xml:space="preserve">pecunia non </w:t>
      </w:r>
      <w:proofErr w:type="spellStart"/>
      <w:r w:rsidR="00661ADB">
        <w:rPr>
          <w:bCs/>
          <w:i/>
          <w:sz w:val="22"/>
          <w:szCs w:val="22"/>
        </w:rPr>
        <w:t>olet</w:t>
      </w:r>
      <w:proofErr w:type="spellEnd"/>
      <w:r w:rsidR="00661ADB">
        <w:rPr>
          <w:bCs/>
          <w:i/>
          <w:sz w:val="22"/>
          <w:szCs w:val="22"/>
        </w:rPr>
        <w:t xml:space="preserve"> </w:t>
      </w:r>
      <w:r w:rsidR="00661ADB">
        <w:rPr>
          <w:bCs/>
          <w:sz w:val="22"/>
          <w:szCs w:val="22"/>
        </w:rPr>
        <w:t>dicevano i Romani)</w:t>
      </w:r>
      <w:r w:rsidR="00C7104C" w:rsidRPr="007F7EBF">
        <w:rPr>
          <w:bCs/>
          <w:sz w:val="22"/>
          <w:szCs w:val="22"/>
        </w:rPr>
        <w:t xml:space="preserve">; i documenti emessi dal fornitore saranno quindi </w:t>
      </w:r>
      <w:r w:rsidR="007A7492" w:rsidRPr="007F7EBF">
        <w:rPr>
          <w:bCs/>
          <w:sz w:val="22"/>
          <w:szCs w:val="22"/>
        </w:rPr>
        <w:t xml:space="preserve">inevitabilmente </w:t>
      </w:r>
      <w:r w:rsidR="00C7104C" w:rsidRPr="007F7EBF">
        <w:rPr>
          <w:bCs/>
          <w:sz w:val="22"/>
          <w:szCs w:val="22"/>
        </w:rPr>
        <w:t>intestati, senza ulteriori controlli, al soggetto indicato</w:t>
      </w:r>
      <w:r w:rsidR="007A7492" w:rsidRPr="007F7EBF">
        <w:rPr>
          <w:bCs/>
          <w:sz w:val="22"/>
          <w:szCs w:val="22"/>
        </w:rPr>
        <w:t xml:space="preserve"> da chi </w:t>
      </w:r>
      <w:r w:rsidR="00C7104C" w:rsidRPr="007F7EBF">
        <w:rPr>
          <w:bCs/>
          <w:sz w:val="22"/>
          <w:szCs w:val="22"/>
        </w:rPr>
        <w:t xml:space="preserve">procede materialmente all'acquisto e </w:t>
      </w:r>
      <w:r w:rsidR="007A7492" w:rsidRPr="007F7EBF">
        <w:rPr>
          <w:sz w:val="22"/>
          <w:szCs w:val="22"/>
        </w:rPr>
        <w:t xml:space="preserve">paga il prezzo. </w:t>
      </w:r>
      <w:r w:rsidR="00A972D9">
        <w:rPr>
          <w:sz w:val="22"/>
          <w:szCs w:val="22"/>
        </w:rPr>
        <w:t>(</w:t>
      </w:r>
      <w:r w:rsidR="0023194A" w:rsidRPr="007F7EBF">
        <w:rPr>
          <w:rStyle w:val="Rimandonotaapidipagina"/>
          <w:bCs/>
          <w:sz w:val="22"/>
          <w:szCs w:val="22"/>
        </w:rPr>
        <w:footnoteReference w:id="242"/>
      </w:r>
      <w:r w:rsidR="00A972D9">
        <w:rPr>
          <w:sz w:val="22"/>
          <w:szCs w:val="22"/>
        </w:rPr>
        <w:t>)</w:t>
      </w:r>
      <w:r w:rsidR="00FE0590" w:rsidRPr="007F7EBF">
        <w:rPr>
          <w:bCs/>
          <w:sz w:val="22"/>
          <w:szCs w:val="22"/>
        </w:rPr>
        <w:t>.</w:t>
      </w:r>
    </w:p>
    <w:p w14:paraId="1228A83B" w14:textId="77777777" w:rsidR="00060A4B" w:rsidRDefault="00060A4B" w:rsidP="00E44566">
      <w:pPr>
        <w:autoSpaceDE w:val="0"/>
        <w:autoSpaceDN w:val="0"/>
        <w:adjustRightInd w:val="0"/>
        <w:rPr>
          <w:sz w:val="22"/>
          <w:szCs w:val="22"/>
        </w:rPr>
      </w:pPr>
    </w:p>
    <w:p w14:paraId="3B096211" w14:textId="75CA0C2B" w:rsidR="00EB7B50" w:rsidRPr="007F7EBF" w:rsidRDefault="00D668A3" w:rsidP="00E20838">
      <w:pPr>
        <w:pStyle w:val="Titolo3"/>
        <w:rPr>
          <w:bCs w:val="0"/>
          <w:sz w:val="22"/>
          <w:szCs w:val="22"/>
        </w:rPr>
      </w:pPr>
      <w:bookmarkStart w:id="32" w:name="_Toc63364950"/>
      <w:r w:rsidRPr="007F7EBF">
        <w:t xml:space="preserve">3.3. </w:t>
      </w:r>
      <w:r w:rsidR="006035F9">
        <w:rPr>
          <w:lang w:val="it-IT"/>
        </w:rPr>
        <w:t>Riflessi tributari dell’i</w:t>
      </w:r>
      <w:r w:rsidR="00EB7B50">
        <w:rPr>
          <w:lang w:val="it-IT"/>
        </w:rPr>
        <w:t xml:space="preserve">nformalità documentazione </w:t>
      </w:r>
      <w:r w:rsidR="006035F9">
        <w:rPr>
          <w:lang w:val="it-IT"/>
        </w:rPr>
        <w:t>aziendale</w:t>
      </w:r>
      <w:bookmarkEnd w:id="32"/>
    </w:p>
    <w:p w14:paraId="7203FAC5" w14:textId="518B23DB" w:rsidR="00EB7B50" w:rsidRPr="007F7EBF" w:rsidRDefault="00850F74" w:rsidP="00EB7B50">
      <w:pPr>
        <w:pStyle w:val="tit23"/>
        <w:ind w:left="6464" w:right="-1361" w:firstLine="0"/>
        <w:jc w:val="left"/>
        <w:rPr>
          <w:bCs/>
          <w:i/>
          <w:iCs/>
          <w:color w:val="0000FF"/>
          <w:lang w:val="it-IT"/>
        </w:rPr>
      </w:pPr>
      <w:r>
        <w:rPr>
          <w:bCs/>
          <w:i/>
          <w:iCs/>
          <w:color w:val="0000FF"/>
          <w:lang w:val="it-IT"/>
        </w:rPr>
        <w:t xml:space="preserve">informalità della </w:t>
      </w:r>
      <w:r w:rsidR="006425DA">
        <w:rPr>
          <w:bCs/>
          <w:i/>
          <w:iCs/>
          <w:color w:val="0000FF"/>
          <w:lang w:val="it-IT"/>
        </w:rPr>
        <w:t xml:space="preserve"> documentazione </w:t>
      </w:r>
      <w:r w:rsidR="00661ADB">
        <w:rPr>
          <w:bCs/>
          <w:i/>
          <w:iCs/>
          <w:color w:val="0000FF"/>
          <w:lang w:val="it-IT"/>
        </w:rPr>
        <w:t>aziendale</w:t>
      </w:r>
    </w:p>
    <w:p w14:paraId="6BFD0372" w14:textId="6F1D32A4" w:rsidR="004D49EC" w:rsidRPr="007F7EBF" w:rsidRDefault="00EB7B50" w:rsidP="004D49EC">
      <w:pPr>
        <w:autoSpaceDE w:val="0"/>
        <w:autoSpaceDN w:val="0"/>
        <w:adjustRightInd w:val="0"/>
        <w:rPr>
          <w:sz w:val="22"/>
          <w:szCs w:val="22"/>
        </w:rPr>
      </w:pPr>
      <w:r w:rsidRPr="007F7EBF">
        <w:rPr>
          <w:sz w:val="22"/>
          <w:szCs w:val="22"/>
        </w:rPr>
        <w:t xml:space="preserve">La  documentazione aziendale </w:t>
      </w:r>
      <w:r w:rsidR="0042307D">
        <w:rPr>
          <w:sz w:val="22"/>
          <w:szCs w:val="22"/>
        </w:rPr>
        <w:t xml:space="preserve">nasce per esigenze gestionali, di controllo interno dell’azienda, e di rapporti privatistici con </w:t>
      </w:r>
      <w:r w:rsidR="001849CE">
        <w:rPr>
          <w:sz w:val="22"/>
          <w:szCs w:val="22"/>
        </w:rPr>
        <w:t xml:space="preserve">le controparti, </w:t>
      </w:r>
      <w:r w:rsidR="0042307D">
        <w:rPr>
          <w:sz w:val="22"/>
          <w:szCs w:val="22"/>
        </w:rPr>
        <w:t>in modo da far valere le proprie ragioni e resistere alle pretese altrui. P</w:t>
      </w:r>
      <w:r w:rsidR="00097B8A">
        <w:rPr>
          <w:sz w:val="22"/>
          <w:szCs w:val="22"/>
        </w:rPr>
        <w:t xml:space="preserve">er questa </w:t>
      </w:r>
      <w:r w:rsidR="00097B8A">
        <w:rPr>
          <w:sz w:val="22"/>
          <w:szCs w:val="22"/>
        </w:rPr>
        <w:lastRenderedPageBreak/>
        <w:t xml:space="preserve">loro </w:t>
      </w:r>
      <w:r w:rsidR="00097B8A">
        <w:rPr>
          <w:i/>
          <w:iCs/>
          <w:sz w:val="22"/>
          <w:szCs w:val="22"/>
        </w:rPr>
        <w:t xml:space="preserve">serialità </w:t>
      </w:r>
      <w:r w:rsidR="00097B8A">
        <w:rPr>
          <w:sz w:val="22"/>
          <w:szCs w:val="22"/>
        </w:rPr>
        <w:t xml:space="preserve"> </w:t>
      </w:r>
      <w:r w:rsidR="005F0CB0">
        <w:rPr>
          <w:bCs/>
          <w:sz w:val="22"/>
          <w:szCs w:val="22"/>
        </w:rPr>
        <w:t>(</w:t>
      </w:r>
      <w:r w:rsidR="005F0CB0">
        <w:rPr>
          <w:rStyle w:val="Rimandonotaapidipagina"/>
          <w:bCs/>
          <w:sz w:val="22"/>
          <w:szCs w:val="22"/>
        </w:rPr>
        <w:footnoteReference w:id="243"/>
      </w:r>
      <w:r w:rsidR="005F0CB0">
        <w:rPr>
          <w:bCs/>
          <w:sz w:val="22"/>
          <w:szCs w:val="22"/>
        </w:rPr>
        <w:t>)</w:t>
      </w:r>
      <w:r w:rsidR="005F0CB0" w:rsidRPr="007F7EBF">
        <w:rPr>
          <w:bCs/>
          <w:sz w:val="22"/>
          <w:szCs w:val="22"/>
        </w:rPr>
        <w:t xml:space="preserve"> </w:t>
      </w:r>
      <w:r w:rsidR="001849CE">
        <w:rPr>
          <w:sz w:val="22"/>
          <w:szCs w:val="22"/>
        </w:rPr>
        <w:t xml:space="preserve"> </w:t>
      </w:r>
      <w:r w:rsidR="009000F0">
        <w:rPr>
          <w:sz w:val="22"/>
          <w:szCs w:val="22"/>
        </w:rPr>
        <w:t xml:space="preserve">i documenti sono spesso poco formali, senza </w:t>
      </w:r>
      <w:r w:rsidR="006425DA">
        <w:rPr>
          <w:sz w:val="22"/>
          <w:szCs w:val="22"/>
        </w:rPr>
        <w:t>“atti solenni”</w:t>
      </w:r>
      <w:r w:rsidR="009000F0">
        <w:rPr>
          <w:sz w:val="22"/>
          <w:szCs w:val="22"/>
        </w:rPr>
        <w:t xml:space="preserve"> o </w:t>
      </w:r>
      <w:r w:rsidR="006425DA">
        <w:rPr>
          <w:bCs/>
          <w:sz w:val="22"/>
          <w:szCs w:val="22"/>
        </w:rPr>
        <w:t>“date certe”,</w:t>
      </w:r>
      <w:r w:rsidR="009000F0">
        <w:rPr>
          <w:bCs/>
          <w:sz w:val="22"/>
          <w:szCs w:val="22"/>
        </w:rPr>
        <w:t xml:space="preserve"> che dipenderanno solo dall’oggetto del rapporto, ad esempio beni immobili</w:t>
      </w:r>
      <w:r w:rsidR="006425DA" w:rsidRPr="007F7EBF">
        <w:rPr>
          <w:bCs/>
          <w:sz w:val="22"/>
          <w:szCs w:val="22"/>
        </w:rPr>
        <w:t xml:space="preserve">. </w:t>
      </w:r>
      <w:r w:rsidR="009000F0">
        <w:rPr>
          <w:bCs/>
          <w:sz w:val="22"/>
          <w:szCs w:val="22"/>
        </w:rPr>
        <w:t>Sul piano civilistico e gestionale tale documentazione è un onere, per facilitare potenziali controversie con le controparti, anche in sede fallimentare</w:t>
      </w:r>
      <w:r w:rsidR="001A4BB3">
        <w:rPr>
          <w:bCs/>
          <w:sz w:val="22"/>
          <w:szCs w:val="22"/>
        </w:rPr>
        <w:t xml:space="preserve">. Essa </w:t>
      </w:r>
      <w:r w:rsidR="009000F0">
        <w:rPr>
          <w:bCs/>
          <w:sz w:val="22"/>
          <w:szCs w:val="22"/>
        </w:rPr>
        <w:t xml:space="preserve">non </w:t>
      </w:r>
      <w:r w:rsidR="001A4BB3">
        <w:rPr>
          <w:bCs/>
          <w:sz w:val="22"/>
          <w:szCs w:val="22"/>
        </w:rPr>
        <w:t xml:space="preserve">è però </w:t>
      </w:r>
      <w:r w:rsidR="009000F0">
        <w:rPr>
          <w:bCs/>
          <w:sz w:val="22"/>
          <w:szCs w:val="22"/>
        </w:rPr>
        <w:t>oggetto di sanzioni afflittive</w:t>
      </w:r>
      <w:r w:rsidR="001A4BB3">
        <w:rPr>
          <w:bCs/>
          <w:sz w:val="22"/>
          <w:szCs w:val="22"/>
        </w:rPr>
        <w:t xml:space="preserve">, </w:t>
      </w:r>
      <w:r w:rsidR="009000F0">
        <w:rPr>
          <w:bCs/>
          <w:sz w:val="22"/>
          <w:szCs w:val="22"/>
        </w:rPr>
        <w:t>non contemplate, per sua stessa natura, dal diritto dei privati, privo di sanzioni amministrative</w:t>
      </w:r>
      <w:r w:rsidR="001A4BB3">
        <w:rPr>
          <w:bCs/>
          <w:sz w:val="22"/>
          <w:szCs w:val="22"/>
        </w:rPr>
        <w:t xml:space="preserve"> e dove quelle penali </w:t>
      </w:r>
      <w:r w:rsidR="00DE1F93">
        <w:rPr>
          <w:bCs/>
          <w:sz w:val="22"/>
          <w:szCs w:val="22"/>
        </w:rPr>
        <w:t xml:space="preserve">sono limitate a </w:t>
      </w:r>
      <w:r w:rsidR="009000F0">
        <w:rPr>
          <w:bCs/>
          <w:sz w:val="22"/>
          <w:szCs w:val="22"/>
        </w:rPr>
        <w:t xml:space="preserve">documentazioni potenzialmente ingannevoli, come il falso in bilancio. </w:t>
      </w:r>
      <w:r w:rsidR="004D49EC">
        <w:rPr>
          <w:bCs/>
          <w:sz w:val="22"/>
          <w:szCs w:val="22"/>
        </w:rPr>
        <w:t xml:space="preserve">Il </w:t>
      </w:r>
      <w:r w:rsidR="004D49EC" w:rsidRPr="004D49EC">
        <w:rPr>
          <w:bCs/>
          <w:sz w:val="22"/>
          <w:szCs w:val="22"/>
        </w:rPr>
        <w:t xml:space="preserve">diritto tributario </w:t>
      </w:r>
      <w:r w:rsidR="004D49EC">
        <w:rPr>
          <w:bCs/>
          <w:sz w:val="22"/>
          <w:szCs w:val="22"/>
        </w:rPr>
        <w:t xml:space="preserve">rinvia </w:t>
      </w:r>
      <w:r w:rsidR="004D49EC" w:rsidRPr="004D49EC">
        <w:rPr>
          <w:bCs/>
          <w:sz w:val="22"/>
          <w:szCs w:val="22"/>
        </w:rPr>
        <w:t xml:space="preserve">alla documentazione d’impresa prevista dal codice civile </w:t>
      </w:r>
      <w:r w:rsidR="004D49EC" w:rsidRPr="004D49EC">
        <w:t>(</w:t>
      </w:r>
      <w:r w:rsidR="004D49EC">
        <w:t>parr.7.7-7.8</w:t>
      </w:r>
      <w:r w:rsidR="004D49EC" w:rsidRPr="004D49EC">
        <w:t>)</w:t>
      </w:r>
      <w:r w:rsidR="004D49EC" w:rsidRPr="004D49EC">
        <w:rPr>
          <w:sz w:val="22"/>
          <w:szCs w:val="22"/>
        </w:rPr>
        <w:t>,</w:t>
      </w:r>
      <w:r w:rsidR="004D49EC" w:rsidRPr="004D49EC">
        <w:t xml:space="preserve"> con sanzioni amministrative </w:t>
      </w:r>
      <w:r w:rsidR="004D49EC">
        <w:t xml:space="preserve">per chi l’omessa o irregolare tenuta </w:t>
      </w:r>
      <w:r w:rsidR="004D49EC" w:rsidRPr="004D49EC">
        <w:t>(par.5.12 e 6.13)</w:t>
      </w:r>
      <w:r w:rsidR="004D49EC" w:rsidRPr="004D49EC">
        <w:rPr>
          <w:bCs/>
          <w:sz w:val="22"/>
          <w:szCs w:val="22"/>
        </w:rPr>
        <w:t>.</w:t>
      </w:r>
    </w:p>
    <w:p w14:paraId="647A2C8A" w14:textId="77777777" w:rsidR="004D49EC" w:rsidRPr="007F7EBF" w:rsidRDefault="004D49EC" w:rsidP="004D49EC">
      <w:pPr>
        <w:pStyle w:val="tit23"/>
        <w:ind w:left="6464" w:right="-1361" w:firstLine="0"/>
        <w:jc w:val="left"/>
        <w:rPr>
          <w:bCs/>
          <w:i/>
          <w:iCs/>
          <w:color w:val="0000FF"/>
          <w:lang w:val="it-IT"/>
        </w:rPr>
      </w:pPr>
      <w:r>
        <w:rPr>
          <w:bCs/>
          <w:i/>
          <w:iCs/>
          <w:color w:val="0000FF"/>
          <w:lang w:val="it-IT"/>
        </w:rPr>
        <w:t>Polivalenza della documentazione</w:t>
      </w:r>
    </w:p>
    <w:p w14:paraId="3E0B9B5A" w14:textId="77777777" w:rsidR="004D49EC" w:rsidRDefault="004D49EC" w:rsidP="004D49EC">
      <w:pPr>
        <w:autoSpaceDE w:val="0"/>
        <w:autoSpaceDN w:val="0"/>
        <w:adjustRightInd w:val="0"/>
        <w:jc w:val="both"/>
        <w:rPr>
          <w:bCs/>
          <w:sz w:val="22"/>
          <w:szCs w:val="22"/>
        </w:rPr>
      </w:pPr>
      <w:bookmarkStart w:id="33" w:name="_Hlk98646"/>
      <w:r w:rsidRPr="00C507C2">
        <w:rPr>
          <w:bCs/>
          <w:sz w:val="22"/>
          <w:szCs w:val="22"/>
        </w:rPr>
        <w:t>Come si vede, l</w:t>
      </w:r>
      <w:r>
        <w:rPr>
          <w:bCs/>
          <w:sz w:val="22"/>
          <w:szCs w:val="22"/>
        </w:rPr>
        <w:t xml:space="preserve">’unicità della documentazione </w:t>
      </w:r>
      <w:r w:rsidRPr="00C507C2">
        <w:rPr>
          <w:bCs/>
          <w:sz w:val="22"/>
          <w:szCs w:val="22"/>
        </w:rPr>
        <w:t>aziendal</w:t>
      </w:r>
      <w:r>
        <w:rPr>
          <w:bCs/>
          <w:sz w:val="22"/>
          <w:szCs w:val="22"/>
        </w:rPr>
        <w:t>e</w:t>
      </w:r>
      <w:r w:rsidRPr="00C507C2">
        <w:rPr>
          <w:bCs/>
          <w:sz w:val="22"/>
          <w:szCs w:val="22"/>
        </w:rPr>
        <w:t xml:space="preserve">, </w:t>
      </w:r>
      <w:r>
        <w:rPr>
          <w:bCs/>
          <w:sz w:val="22"/>
          <w:szCs w:val="22"/>
        </w:rPr>
        <w:t>soddisfa u</w:t>
      </w:r>
      <w:r w:rsidRPr="00C507C2">
        <w:rPr>
          <w:bCs/>
          <w:sz w:val="22"/>
          <w:szCs w:val="22"/>
        </w:rPr>
        <w:t xml:space="preserve">na molteplicità di fini, </w:t>
      </w:r>
      <w:r>
        <w:rPr>
          <w:bCs/>
          <w:sz w:val="22"/>
          <w:szCs w:val="22"/>
        </w:rPr>
        <w:t xml:space="preserve">civilistici, </w:t>
      </w:r>
      <w:r w:rsidRPr="00C507C2">
        <w:rPr>
          <w:bCs/>
          <w:sz w:val="22"/>
          <w:szCs w:val="22"/>
        </w:rPr>
        <w:t>gestionali</w:t>
      </w:r>
      <w:r>
        <w:rPr>
          <w:bCs/>
          <w:sz w:val="22"/>
          <w:szCs w:val="22"/>
        </w:rPr>
        <w:t>, amministrativi (</w:t>
      </w:r>
      <w:r>
        <w:rPr>
          <w:rStyle w:val="Rimandonotaapidipagina"/>
          <w:bCs/>
          <w:sz w:val="22"/>
          <w:szCs w:val="22"/>
        </w:rPr>
        <w:footnoteReference w:id="244"/>
      </w:r>
      <w:r>
        <w:rPr>
          <w:bCs/>
          <w:sz w:val="22"/>
          <w:szCs w:val="22"/>
        </w:rPr>
        <w:t xml:space="preserve">) </w:t>
      </w:r>
      <w:r w:rsidRPr="00C507C2">
        <w:rPr>
          <w:bCs/>
          <w:sz w:val="22"/>
          <w:szCs w:val="22"/>
        </w:rPr>
        <w:t>e tributari</w:t>
      </w:r>
      <w:r>
        <w:t>; elementari motivi di economicità spingono a redigere un documento unico,  “polivalente”, integrandolo per tutti i fini necessari all’azienda.</w:t>
      </w:r>
      <w:r w:rsidRPr="00C507C2">
        <w:rPr>
          <w:bCs/>
          <w:sz w:val="22"/>
          <w:szCs w:val="22"/>
        </w:rPr>
        <w:t xml:space="preserve"> </w:t>
      </w:r>
      <w:bookmarkEnd w:id="33"/>
    </w:p>
    <w:p w14:paraId="5E5390C7" w14:textId="4E2CB098" w:rsidR="004D49EC" w:rsidRPr="007F7EBF" w:rsidRDefault="004D49EC" w:rsidP="004D49EC">
      <w:pPr>
        <w:autoSpaceDE w:val="0"/>
        <w:autoSpaceDN w:val="0"/>
        <w:adjustRightInd w:val="0"/>
        <w:rPr>
          <w:sz w:val="22"/>
          <w:szCs w:val="22"/>
        </w:rPr>
      </w:pPr>
      <w:r w:rsidRPr="007F7EBF">
        <w:rPr>
          <w:bCs/>
          <w:sz w:val="22"/>
          <w:szCs w:val="22"/>
        </w:rPr>
        <w:t>Rilevano anche, senza particolari integrazioni tributarie, i documenti di trasporto (</w:t>
      </w:r>
      <w:r w:rsidRPr="007F7EBF">
        <w:rPr>
          <w:rStyle w:val="Rimandonotaapidipagina"/>
          <w:bCs/>
          <w:sz w:val="22"/>
          <w:szCs w:val="22"/>
        </w:rPr>
        <w:footnoteReference w:id="245"/>
      </w:r>
      <w:r w:rsidRPr="007F7EBF">
        <w:rPr>
          <w:bCs/>
          <w:sz w:val="22"/>
          <w:szCs w:val="22"/>
        </w:rPr>
        <w:t>)</w:t>
      </w:r>
      <w:r>
        <w:rPr>
          <w:bCs/>
          <w:sz w:val="22"/>
          <w:szCs w:val="22"/>
        </w:rPr>
        <w:t xml:space="preserve">, </w:t>
      </w:r>
      <w:r w:rsidRPr="007F7EBF">
        <w:rPr>
          <w:bCs/>
          <w:sz w:val="22"/>
          <w:szCs w:val="22"/>
        </w:rPr>
        <w:t>i bonifici bancari, le ricevute,</w:t>
      </w:r>
      <w:r>
        <w:rPr>
          <w:bCs/>
          <w:sz w:val="22"/>
          <w:szCs w:val="22"/>
        </w:rPr>
        <w:t xml:space="preserve"> </w:t>
      </w:r>
      <w:r w:rsidRPr="007F7EBF">
        <w:rPr>
          <w:bCs/>
          <w:sz w:val="22"/>
          <w:szCs w:val="22"/>
        </w:rPr>
        <w:t>gli estratti conto, le lettere commercial</w:t>
      </w:r>
      <w:r>
        <w:rPr>
          <w:bCs/>
          <w:sz w:val="22"/>
          <w:szCs w:val="22"/>
        </w:rPr>
        <w:t xml:space="preserve">i. Di essi, per le imprese, è </w:t>
      </w:r>
      <w:proofErr w:type="spellStart"/>
      <w:r>
        <w:rPr>
          <w:bCs/>
          <w:sz w:val="22"/>
          <w:szCs w:val="22"/>
        </w:rPr>
        <w:t>tributariamente</w:t>
      </w:r>
      <w:proofErr w:type="spellEnd"/>
      <w:r>
        <w:rPr>
          <w:bCs/>
          <w:sz w:val="22"/>
          <w:szCs w:val="22"/>
        </w:rPr>
        <w:t xml:space="preserve"> obbligatoria la conservazione, se posti in essere, </w:t>
      </w:r>
      <w:proofErr w:type="spellStart"/>
      <w:r>
        <w:rPr>
          <w:bCs/>
          <w:sz w:val="22"/>
          <w:szCs w:val="22"/>
        </w:rPr>
        <w:t>ancorchè</w:t>
      </w:r>
      <w:proofErr w:type="spellEnd"/>
      <w:r>
        <w:rPr>
          <w:bCs/>
          <w:sz w:val="22"/>
          <w:szCs w:val="22"/>
        </w:rPr>
        <w:t xml:space="preserve"> non obbligatori</w:t>
      </w:r>
      <w:r w:rsidRPr="007F7EBF">
        <w:rPr>
          <w:bCs/>
          <w:sz w:val="22"/>
          <w:szCs w:val="22"/>
        </w:rPr>
        <w:t xml:space="preserve">. </w:t>
      </w:r>
    </w:p>
    <w:p w14:paraId="3B2649CA" w14:textId="46E60E44" w:rsidR="00EB7B50" w:rsidRPr="007F7EBF" w:rsidRDefault="00EB7B50" w:rsidP="009000F0">
      <w:pPr>
        <w:autoSpaceDE w:val="0"/>
        <w:autoSpaceDN w:val="0"/>
        <w:adjustRightInd w:val="0"/>
        <w:rPr>
          <w:sz w:val="22"/>
          <w:szCs w:val="22"/>
        </w:rPr>
      </w:pPr>
    </w:p>
    <w:p w14:paraId="42FF9FFB" w14:textId="7CCAD04E" w:rsidR="00E44566" w:rsidRPr="007F7EBF" w:rsidRDefault="00850F74" w:rsidP="00E44566">
      <w:pPr>
        <w:pStyle w:val="tit23"/>
        <w:ind w:left="6464" w:right="-1361" w:firstLine="0"/>
        <w:jc w:val="left"/>
        <w:rPr>
          <w:bCs/>
          <w:i/>
          <w:iCs/>
          <w:color w:val="0000FF"/>
          <w:lang w:val="it-IT"/>
        </w:rPr>
      </w:pPr>
      <w:r>
        <w:rPr>
          <w:bCs/>
          <w:i/>
          <w:iCs/>
          <w:color w:val="0000FF"/>
          <w:lang w:val="it-IT"/>
        </w:rPr>
        <w:t>Riflessi tributari della documentazione d’impresa</w:t>
      </w:r>
    </w:p>
    <w:p w14:paraId="2EC88442" w14:textId="77777777" w:rsidR="00DE1F93" w:rsidRDefault="00DE1F93" w:rsidP="000E1DCD">
      <w:pPr>
        <w:autoSpaceDE w:val="0"/>
        <w:autoSpaceDN w:val="0"/>
        <w:adjustRightInd w:val="0"/>
        <w:rPr>
          <w:sz w:val="22"/>
          <w:szCs w:val="22"/>
        </w:rPr>
      </w:pPr>
      <w:r>
        <w:rPr>
          <w:bCs/>
          <w:sz w:val="22"/>
          <w:szCs w:val="22"/>
        </w:rPr>
        <w:t xml:space="preserve">La riutilizzazione tributaria della documentazione aziendale non può snaturare la sua </w:t>
      </w:r>
      <w:r>
        <w:rPr>
          <w:sz w:val="22"/>
          <w:szCs w:val="22"/>
          <w:lang w:eastAsia="x-none"/>
        </w:rPr>
        <w:t>abituale f</w:t>
      </w:r>
      <w:r w:rsidRPr="007F7EBF">
        <w:rPr>
          <w:sz w:val="22"/>
          <w:szCs w:val="22"/>
          <w:lang w:eastAsia="x-none"/>
        </w:rPr>
        <w:t>ormalizza</w:t>
      </w:r>
      <w:r>
        <w:rPr>
          <w:sz w:val="22"/>
          <w:szCs w:val="22"/>
          <w:lang w:eastAsia="x-none"/>
        </w:rPr>
        <w:t xml:space="preserve">zione tra le parti, </w:t>
      </w:r>
      <w:r w:rsidRPr="007F7EBF">
        <w:rPr>
          <w:bCs/>
          <w:sz w:val="22"/>
          <w:szCs w:val="22"/>
        </w:rPr>
        <w:t xml:space="preserve">in usi commerciali </w:t>
      </w:r>
      <w:r>
        <w:rPr>
          <w:bCs/>
          <w:sz w:val="22"/>
          <w:szCs w:val="22"/>
        </w:rPr>
        <w:t>snelli,</w:t>
      </w:r>
      <w:r w:rsidRPr="007F7EBF">
        <w:rPr>
          <w:bCs/>
          <w:sz w:val="22"/>
          <w:szCs w:val="22"/>
        </w:rPr>
        <w:t xml:space="preserve"> stabili nel tempo e collaudati dall'uso</w:t>
      </w:r>
      <w:r>
        <w:rPr>
          <w:bCs/>
          <w:sz w:val="22"/>
          <w:szCs w:val="22"/>
        </w:rPr>
        <w:t xml:space="preserve">. Vedremo al par.7.7 </w:t>
      </w:r>
      <w:r>
        <w:rPr>
          <w:bCs/>
          <w:sz w:val="22"/>
          <w:szCs w:val="22"/>
        </w:rPr>
        <w:lastRenderedPageBreak/>
        <w:t xml:space="preserve">quest’apparato documentale, la cui </w:t>
      </w:r>
      <w:r w:rsidRPr="007F7EBF">
        <w:rPr>
          <w:bCs/>
          <w:sz w:val="22"/>
          <w:szCs w:val="22"/>
        </w:rPr>
        <w:t xml:space="preserve">credibilità non deriva dal rigore </w:t>
      </w:r>
      <w:r>
        <w:rPr>
          <w:bCs/>
          <w:sz w:val="22"/>
          <w:szCs w:val="22"/>
        </w:rPr>
        <w:t xml:space="preserve">formale </w:t>
      </w:r>
      <w:r w:rsidRPr="007F7EBF">
        <w:rPr>
          <w:bCs/>
          <w:sz w:val="22"/>
          <w:szCs w:val="22"/>
        </w:rPr>
        <w:t>dei singoli documenti che lo compongono, ma dal</w:t>
      </w:r>
      <w:r>
        <w:rPr>
          <w:bCs/>
          <w:sz w:val="22"/>
          <w:szCs w:val="22"/>
        </w:rPr>
        <w:t xml:space="preserve"> loro coordinamento, e dal coinvolgimento di vari uffici e addetti ne</w:t>
      </w:r>
      <w:r w:rsidRPr="007F7EBF">
        <w:rPr>
          <w:bCs/>
          <w:sz w:val="22"/>
          <w:szCs w:val="22"/>
        </w:rPr>
        <w:t>l suddetto controllo reciproco</w:t>
      </w:r>
      <w:r w:rsidRPr="007F7EBF">
        <w:rPr>
          <w:rStyle w:val="Rimandonotaapidipagina"/>
          <w:bCs/>
          <w:sz w:val="22"/>
          <w:szCs w:val="22"/>
        </w:rPr>
        <w:footnoteReference w:id="246"/>
      </w:r>
      <w:r>
        <w:rPr>
          <w:bCs/>
          <w:sz w:val="22"/>
          <w:szCs w:val="22"/>
        </w:rPr>
        <w:t xml:space="preserve">. Ci sono infatti molti </w:t>
      </w:r>
      <w:r w:rsidRPr="007F7EBF">
        <w:rPr>
          <w:bCs/>
          <w:sz w:val="22"/>
          <w:szCs w:val="22"/>
        </w:rPr>
        <w:t xml:space="preserve">riscontri, dati anche dalla quantità di documenti emessi e ricevuti, e dalla facilità con cui essi possono smentirsi </w:t>
      </w:r>
      <w:r>
        <w:rPr>
          <w:bCs/>
          <w:sz w:val="22"/>
          <w:szCs w:val="22"/>
        </w:rPr>
        <w:t>l’un l’altro in caso di alterazioni</w:t>
      </w:r>
      <w:r w:rsidRPr="007F7EBF">
        <w:rPr>
          <w:bCs/>
          <w:sz w:val="22"/>
          <w:szCs w:val="22"/>
        </w:rPr>
        <w:t xml:space="preserve">. </w:t>
      </w:r>
      <w:r>
        <w:rPr>
          <w:sz w:val="22"/>
          <w:szCs w:val="22"/>
        </w:rPr>
        <w:t xml:space="preserve">E’ un riflesso del generale empirismo e probabilismo delle prove, spiegato in linea generale al par.5.8, ed applicabile anche alle manifestazioni fisico-documentali dei presupposti </w:t>
      </w:r>
      <w:r w:rsidRPr="007F7EBF">
        <w:rPr>
          <w:sz w:val="22"/>
          <w:szCs w:val="22"/>
        </w:rPr>
        <w:t>economic</w:t>
      </w:r>
      <w:r>
        <w:rPr>
          <w:sz w:val="22"/>
          <w:szCs w:val="22"/>
        </w:rPr>
        <w:t>i d’imposta di cui al par.1.8 (ricavi, costi, consumi etc.).</w:t>
      </w:r>
    </w:p>
    <w:p w14:paraId="313B3701" w14:textId="77777777" w:rsidR="009E3F3A" w:rsidRPr="007F7EBF" w:rsidRDefault="009E3F3A" w:rsidP="009E3F3A">
      <w:pPr>
        <w:pStyle w:val="tit23"/>
        <w:ind w:left="6464" w:right="-1361" w:firstLine="0"/>
        <w:jc w:val="left"/>
        <w:rPr>
          <w:bCs/>
          <w:i/>
          <w:iCs/>
          <w:color w:val="0000FF"/>
          <w:lang w:val="it-IT"/>
        </w:rPr>
      </w:pPr>
      <w:r w:rsidRPr="007F7EBF">
        <w:rPr>
          <w:bCs/>
          <w:i/>
          <w:iCs/>
          <w:color w:val="0000FF"/>
          <w:lang w:val="it-IT"/>
        </w:rPr>
        <w:t>Integrazion</w:t>
      </w:r>
      <w:r w:rsidR="006210FD">
        <w:rPr>
          <w:bCs/>
          <w:i/>
          <w:iCs/>
          <w:color w:val="0000FF"/>
          <w:lang w:val="it-IT"/>
        </w:rPr>
        <w:t>i tributarie dei documenti civilistici</w:t>
      </w:r>
    </w:p>
    <w:p w14:paraId="3755D86A" w14:textId="77777777" w:rsidR="000E1DCD" w:rsidRDefault="000E1DCD" w:rsidP="000E1DCD">
      <w:pPr>
        <w:autoSpaceDE w:val="0"/>
        <w:autoSpaceDN w:val="0"/>
        <w:adjustRightInd w:val="0"/>
        <w:rPr>
          <w:bCs/>
          <w:sz w:val="22"/>
          <w:szCs w:val="22"/>
        </w:rPr>
      </w:pPr>
    </w:p>
    <w:p w14:paraId="2F6741F3" w14:textId="624DF525" w:rsidR="00EA1CE2" w:rsidRDefault="00DE1F93" w:rsidP="004D49EC">
      <w:pPr>
        <w:autoSpaceDE w:val="0"/>
        <w:autoSpaceDN w:val="0"/>
        <w:adjustRightInd w:val="0"/>
        <w:rPr>
          <w:sz w:val="22"/>
          <w:szCs w:val="22"/>
        </w:rPr>
      </w:pPr>
      <w:r>
        <w:rPr>
          <w:bCs/>
          <w:sz w:val="22"/>
          <w:szCs w:val="22"/>
        </w:rPr>
        <w:t xml:space="preserve">In sintesi la normativa tributaria “si accoda” alle procedure gestionali aziendali, senza stravolgerle, come vedremo a proposito delle varie tipologie di documenti al par.7.7. </w:t>
      </w:r>
      <w:r w:rsidR="00F408B8">
        <w:rPr>
          <w:bCs/>
          <w:sz w:val="22"/>
          <w:szCs w:val="22"/>
        </w:rPr>
        <w:t xml:space="preserve">Senza creare </w:t>
      </w:r>
      <w:r w:rsidR="000E1DCD">
        <w:rPr>
          <w:bCs/>
          <w:sz w:val="22"/>
          <w:szCs w:val="22"/>
        </w:rPr>
        <w:t xml:space="preserve">costi inutili, </w:t>
      </w:r>
      <w:r w:rsidR="00F408B8">
        <w:rPr>
          <w:bCs/>
          <w:sz w:val="22"/>
          <w:szCs w:val="22"/>
        </w:rPr>
        <w:t>con</w:t>
      </w:r>
      <w:r w:rsidR="000E1DCD">
        <w:rPr>
          <w:bCs/>
          <w:sz w:val="22"/>
          <w:szCs w:val="22"/>
        </w:rPr>
        <w:t xml:space="preserve"> passaggi superflui rispetto alla prassi aziendale</w:t>
      </w:r>
      <w:r w:rsidR="000E1DCD">
        <w:rPr>
          <w:rStyle w:val="Rimandonotaapidipagina"/>
          <w:bCs/>
          <w:sz w:val="22"/>
          <w:szCs w:val="22"/>
        </w:rPr>
        <w:footnoteReference w:id="247"/>
      </w:r>
      <w:r w:rsidR="00FC0F73">
        <w:rPr>
          <w:bCs/>
          <w:sz w:val="22"/>
          <w:szCs w:val="22"/>
        </w:rPr>
        <w:t xml:space="preserve">, </w:t>
      </w:r>
      <w:r w:rsidR="00D075B5">
        <w:rPr>
          <w:sz w:val="22"/>
          <w:szCs w:val="22"/>
        </w:rPr>
        <w:t xml:space="preserve">la legislazione tributaria </w:t>
      </w:r>
      <w:r w:rsidR="00BF5D0B">
        <w:rPr>
          <w:sz w:val="22"/>
          <w:szCs w:val="22"/>
        </w:rPr>
        <w:t xml:space="preserve">la </w:t>
      </w:r>
      <w:r w:rsidR="007F2939">
        <w:rPr>
          <w:sz w:val="22"/>
          <w:szCs w:val="22"/>
        </w:rPr>
        <w:t>condiziona,</w:t>
      </w:r>
      <w:r w:rsidR="002A09ED">
        <w:rPr>
          <w:sz w:val="22"/>
          <w:szCs w:val="22"/>
        </w:rPr>
        <w:t xml:space="preserve"> </w:t>
      </w:r>
      <w:r w:rsidR="007F2939">
        <w:rPr>
          <w:sz w:val="22"/>
          <w:szCs w:val="22"/>
        </w:rPr>
        <w:t>richiedendo</w:t>
      </w:r>
      <w:r w:rsidR="002A09ED">
        <w:rPr>
          <w:sz w:val="22"/>
          <w:szCs w:val="22"/>
        </w:rPr>
        <w:t xml:space="preserve"> </w:t>
      </w:r>
      <w:r w:rsidR="00B26DBB" w:rsidRPr="007F7EBF">
        <w:rPr>
          <w:bCs/>
          <w:sz w:val="22"/>
          <w:szCs w:val="22"/>
        </w:rPr>
        <w:t xml:space="preserve">informazioni </w:t>
      </w:r>
      <w:r w:rsidR="002A09ED">
        <w:rPr>
          <w:bCs/>
          <w:sz w:val="22"/>
          <w:szCs w:val="22"/>
        </w:rPr>
        <w:t>di cui l’</w:t>
      </w:r>
      <w:r w:rsidR="00FC0F73">
        <w:rPr>
          <w:bCs/>
          <w:sz w:val="22"/>
          <w:szCs w:val="22"/>
        </w:rPr>
        <w:t>azienda</w:t>
      </w:r>
      <w:r w:rsidR="002A09ED">
        <w:rPr>
          <w:bCs/>
          <w:sz w:val="22"/>
          <w:szCs w:val="22"/>
        </w:rPr>
        <w:t xml:space="preserve"> dispone o può agevolmente acquisire</w:t>
      </w:r>
      <w:r w:rsidR="007C7FE2">
        <w:rPr>
          <w:bCs/>
          <w:sz w:val="22"/>
          <w:szCs w:val="22"/>
        </w:rPr>
        <w:t xml:space="preserve"> nei contatti con le controparti</w:t>
      </w:r>
      <w:r w:rsidR="00FF75FA" w:rsidRPr="007F7EBF">
        <w:rPr>
          <w:bCs/>
          <w:sz w:val="22"/>
          <w:szCs w:val="22"/>
        </w:rPr>
        <w:t>.</w:t>
      </w:r>
      <w:r w:rsidR="00605A6F">
        <w:rPr>
          <w:bCs/>
          <w:sz w:val="22"/>
          <w:szCs w:val="22"/>
        </w:rPr>
        <w:t xml:space="preserve">  </w:t>
      </w:r>
      <w:r w:rsidR="00C416DF" w:rsidRPr="007F7EBF">
        <w:rPr>
          <w:bCs/>
          <w:sz w:val="22"/>
          <w:szCs w:val="22"/>
        </w:rPr>
        <w:t xml:space="preserve">Tra </w:t>
      </w:r>
      <w:r w:rsidR="00B26DBB" w:rsidRPr="007F7EBF">
        <w:rPr>
          <w:bCs/>
          <w:sz w:val="22"/>
          <w:szCs w:val="22"/>
        </w:rPr>
        <w:t>quest</w:t>
      </w:r>
      <w:r w:rsidR="00C416DF" w:rsidRPr="007F7EBF">
        <w:rPr>
          <w:bCs/>
          <w:sz w:val="22"/>
          <w:szCs w:val="22"/>
        </w:rPr>
        <w:t xml:space="preserve">i documenti civilistico-gestionali oggetto di integrazione tributaria ricordiamo </w:t>
      </w:r>
      <w:r w:rsidR="00ED2DAC">
        <w:rPr>
          <w:bCs/>
          <w:sz w:val="22"/>
          <w:szCs w:val="22"/>
        </w:rPr>
        <w:t xml:space="preserve">prima di tutto </w:t>
      </w:r>
      <w:r w:rsidR="00C416DF" w:rsidRPr="007F7EBF">
        <w:rPr>
          <w:bCs/>
          <w:sz w:val="22"/>
          <w:szCs w:val="22"/>
        </w:rPr>
        <w:t>la fattura, soprattutto come documentazione degli acquisti</w:t>
      </w:r>
      <w:r w:rsidR="00835C6A">
        <w:rPr>
          <w:bCs/>
          <w:sz w:val="22"/>
          <w:szCs w:val="22"/>
        </w:rPr>
        <w:t xml:space="preserve"> </w:t>
      </w:r>
      <w:r>
        <w:rPr>
          <w:bCs/>
          <w:sz w:val="22"/>
          <w:szCs w:val="22"/>
        </w:rPr>
        <w:t>e della detrazione IVA, come vedremo al par.7.7; in tale sede vedremo anche gli a</w:t>
      </w:r>
      <w:r w:rsidR="004A5BA3">
        <w:rPr>
          <w:bCs/>
          <w:sz w:val="22"/>
          <w:szCs w:val="22"/>
        </w:rPr>
        <w:t xml:space="preserve">dempimenti “solo fiscali” </w:t>
      </w:r>
      <w:r w:rsidR="00C416DF" w:rsidRPr="007F7EBF">
        <w:rPr>
          <w:bCs/>
          <w:sz w:val="22"/>
          <w:szCs w:val="22"/>
        </w:rPr>
        <w:t xml:space="preserve">come </w:t>
      </w:r>
      <w:r w:rsidR="00C416DF" w:rsidRPr="007F7EBF">
        <w:rPr>
          <w:sz w:val="22"/>
          <w:szCs w:val="22"/>
        </w:rPr>
        <w:t>lo scontrino e la ricevuta fiscale, la contabilità dei piccoli commercianti, professionisti e artigiani (</w:t>
      </w:r>
      <w:r w:rsidR="006210FD">
        <w:rPr>
          <w:rStyle w:val="Rimandonotaapidipagina"/>
          <w:sz w:val="22"/>
          <w:szCs w:val="22"/>
        </w:rPr>
        <w:footnoteReference w:id="248"/>
      </w:r>
      <w:r w:rsidR="00C416DF" w:rsidRPr="007F7EBF">
        <w:rPr>
          <w:sz w:val="22"/>
          <w:szCs w:val="22"/>
        </w:rPr>
        <w:t xml:space="preserve">), la contabilità di magazzino (par.7.13 e 7.16). </w:t>
      </w:r>
    </w:p>
    <w:p w14:paraId="08326CA0" w14:textId="23E51067" w:rsidR="007E5A92" w:rsidRPr="007F7EBF" w:rsidRDefault="00C164C0" w:rsidP="007E5A92">
      <w:pPr>
        <w:pStyle w:val="tit23"/>
        <w:ind w:left="6464" w:right="-1361" w:firstLine="0"/>
        <w:jc w:val="left"/>
        <w:rPr>
          <w:bCs/>
          <w:i/>
          <w:iCs/>
          <w:color w:val="0000FF"/>
          <w:lang w:val="it-IT"/>
        </w:rPr>
      </w:pPr>
      <w:r>
        <w:rPr>
          <w:bCs/>
          <w:i/>
          <w:iCs/>
          <w:color w:val="0000FF"/>
          <w:lang w:val="it-IT"/>
        </w:rPr>
        <w:t>Rilevanza dei documenti per terzi</w:t>
      </w:r>
    </w:p>
    <w:p w14:paraId="57CAD38D" w14:textId="49F935D2" w:rsidR="00894BE0" w:rsidRPr="007F7EBF" w:rsidRDefault="006342C5" w:rsidP="00190B69">
      <w:pPr>
        <w:pStyle w:val="Titolo3"/>
        <w:rPr>
          <w:sz w:val="22"/>
          <w:szCs w:val="22"/>
        </w:rPr>
      </w:pPr>
      <w:bookmarkStart w:id="34" w:name="_Toc63364951"/>
      <w:r w:rsidRPr="007F7EBF">
        <w:rPr>
          <w:rFonts w:ascii="Times New Roman" w:hAnsi="Times New Roman"/>
          <w:sz w:val="22"/>
          <w:szCs w:val="22"/>
        </w:rPr>
        <w:lastRenderedPageBreak/>
        <w:t xml:space="preserve">3.4. </w:t>
      </w:r>
      <w:r w:rsidR="005B19B2">
        <w:rPr>
          <w:rFonts w:ascii="Times New Roman" w:hAnsi="Times New Roman"/>
          <w:sz w:val="22"/>
          <w:szCs w:val="22"/>
          <w:lang w:val="it-IT"/>
        </w:rPr>
        <w:t>Dai documenti civilistici agli ad</w:t>
      </w:r>
      <w:r w:rsidRPr="007F7EBF">
        <w:rPr>
          <w:rFonts w:ascii="Times New Roman" w:hAnsi="Times New Roman"/>
          <w:sz w:val="22"/>
          <w:szCs w:val="22"/>
        </w:rPr>
        <w:t>empimenti tributari</w:t>
      </w:r>
      <w:r w:rsidR="005B19B2">
        <w:rPr>
          <w:rFonts w:ascii="Times New Roman" w:hAnsi="Times New Roman"/>
          <w:sz w:val="22"/>
          <w:szCs w:val="22"/>
          <w:lang w:val="it-IT"/>
        </w:rPr>
        <w:t xml:space="preserve">: </w:t>
      </w:r>
      <w:r w:rsidR="00AB79A9" w:rsidRPr="007F7EBF">
        <w:rPr>
          <w:rFonts w:ascii="Times New Roman" w:hAnsi="Times New Roman"/>
          <w:sz w:val="22"/>
          <w:szCs w:val="22"/>
        </w:rPr>
        <w:t>versamenti</w:t>
      </w:r>
      <w:r w:rsidR="005B19B2">
        <w:rPr>
          <w:rFonts w:ascii="Times New Roman" w:hAnsi="Times New Roman"/>
          <w:sz w:val="22"/>
          <w:szCs w:val="22"/>
          <w:lang w:val="it-IT"/>
        </w:rPr>
        <w:t xml:space="preserve"> e </w:t>
      </w:r>
      <w:r w:rsidRPr="007F7EBF">
        <w:rPr>
          <w:rFonts w:ascii="Times New Roman" w:hAnsi="Times New Roman"/>
          <w:sz w:val="22"/>
          <w:szCs w:val="22"/>
        </w:rPr>
        <w:t>dichiarazioni</w:t>
      </w:r>
      <w:bookmarkEnd w:id="34"/>
    </w:p>
    <w:p w14:paraId="1B22B71E" w14:textId="3756B8CF" w:rsidR="00894BE0" w:rsidRPr="007F7EBF" w:rsidRDefault="00894BE0" w:rsidP="00894BE0">
      <w:pPr>
        <w:pStyle w:val="tit23"/>
        <w:ind w:left="6464" w:right="-1361" w:firstLine="0"/>
        <w:jc w:val="left"/>
        <w:rPr>
          <w:bCs/>
          <w:i/>
          <w:iCs/>
          <w:color w:val="0000FF"/>
          <w:lang w:val="it-IT"/>
        </w:rPr>
      </w:pPr>
      <w:r w:rsidRPr="007F7EBF">
        <w:rPr>
          <w:bCs/>
          <w:i/>
          <w:iCs/>
          <w:color w:val="0000FF"/>
          <w:lang w:val="it-IT"/>
        </w:rPr>
        <w:t xml:space="preserve">Adempimenti </w:t>
      </w:r>
      <w:proofErr w:type="spellStart"/>
      <w:r w:rsidRPr="007F7EBF">
        <w:rPr>
          <w:bCs/>
          <w:i/>
          <w:iCs/>
          <w:color w:val="0000FF"/>
          <w:lang w:val="it-IT"/>
        </w:rPr>
        <w:t>tributari</w:t>
      </w:r>
      <w:r w:rsidR="00347E99">
        <w:rPr>
          <w:bCs/>
          <w:i/>
          <w:iCs/>
          <w:color w:val="0000FF"/>
          <w:lang w:val="it-IT"/>
        </w:rPr>
        <w:t>:i</w:t>
      </w:r>
      <w:proofErr w:type="spellEnd"/>
      <w:r w:rsidR="00347E99">
        <w:rPr>
          <w:bCs/>
          <w:i/>
          <w:iCs/>
          <w:color w:val="0000FF"/>
          <w:lang w:val="it-IT"/>
        </w:rPr>
        <w:t xml:space="preserve"> pagamenti</w:t>
      </w:r>
    </w:p>
    <w:p w14:paraId="5E6AEEE3" w14:textId="6E06B279" w:rsidR="00B444A9" w:rsidRDefault="00347E99" w:rsidP="00B444A9">
      <w:pPr>
        <w:autoSpaceDE w:val="0"/>
        <w:autoSpaceDN w:val="0"/>
        <w:adjustRightInd w:val="0"/>
        <w:rPr>
          <w:sz w:val="22"/>
          <w:szCs w:val="22"/>
        </w:rPr>
      </w:pPr>
      <w:r>
        <w:rPr>
          <w:sz w:val="22"/>
          <w:szCs w:val="22"/>
        </w:rPr>
        <w:t>Sull</w:t>
      </w:r>
      <w:r w:rsidR="005B19B2">
        <w:rPr>
          <w:sz w:val="22"/>
          <w:szCs w:val="22"/>
        </w:rPr>
        <w:t xml:space="preserve">a documentazione </w:t>
      </w:r>
      <w:r>
        <w:rPr>
          <w:sz w:val="22"/>
          <w:szCs w:val="22"/>
        </w:rPr>
        <w:t>civilistic</w:t>
      </w:r>
      <w:r w:rsidR="005B19B2">
        <w:rPr>
          <w:sz w:val="22"/>
          <w:szCs w:val="22"/>
        </w:rPr>
        <w:t>a</w:t>
      </w:r>
      <w:r>
        <w:rPr>
          <w:sz w:val="22"/>
          <w:szCs w:val="22"/>
        </w:rPr>
        <w:t xml:space="preserve"> e contabile </w:t>
      </w:r>
      <w:r w:rsidR="005B19B2">
        <w:rPr>
          <w:sz w:val="22"/>
          <w:szCs w:val="22"/>
        </w:rPr>
        <w:t>di cui</w:t>
      </w:r>
      <w:r>
        <w:rPr>
          <w:sz w:val="22"/>
          <w:szCs w:val="22"/>
        </w:rPr>
        <w:t xml:space="preserve"> al paragrafo precedente si inseriscono </w:t>
      </w:r>
      <w:r w:rsidR="005B19B2">
        <w:rPr>
          <w:sz w:val="22"/>
          <w:szCs w:val="22"/>
        </w:rPr>
        <w:t>gli adempimenti tributari</w:t>
      </w:r>
      <w:r>
        <w:rPr>
          <w:sz w:val="22"/>
          <w:szCs w:val="22"/>
        </w:rPr>
        <w:t xml:space="preserve">. </w:t>
      </w:r>
      <w:r w:rsidR="005B19B2">
        <w:rPr>
          <w:sz w:val="22"/>
          <w:szCs w:val="22"/>
        </w:rPr>
        <w:t xml:space="preserve">Il più elementare è il pagamento di imposte, che dev’essere qualificato giuridicamente, formalizzato e accompagnato </w:t>
      </w:r>
      <w:r w:rsidR="000C5485" w:rsidRPr="007F7EBF">
        <w:rPr>
          <w:sz w:val="22"/>
          <w:szCs w:val="22"/>
        </w:rPr>
        <w:t xml:space="preserve">da informazioni </w:t>
      </w:r>
      <w:r w:rsidR="005B19B2">
        <w:rPr>
          <w:sz w:val="22"/>
          <w:szCs w:val="22"/>
        </w:rPr>
        <w:t xml:space="preserve">di vario genere; alcune servono a riferire il pagamento a uno dei tributi di cui al par.1.10, altre servono a  individuare il contribuente che ha versato, abbinando il pagamento ad altre informazioni in possesso degli uffici </w:t>
      </w:r>
      <w:r w:rsidR="000C5485" w:rsidRPr="007F7EBF">
        <w:rPr>
          <w:sz w:val="22"/>
          <w:szCs w:val="22"/>
        </w:rPr>
        <w:t>(</w:t>
      </w:r>
      <w:r>
        <w:rPr>
          <w:rStyle w:val="Rimandonotaapidipagina"/>
          <w:sz w:val="22"/>
          <w:szCs w:val="22"/>
        </w:rPr>
        <w:footnoteReference w:id="249"/>
      </w:r>
      <w:r w:rsidR="000C5485" w:rsidRPr="007F7EBF">
        <w:rPr>
          <w:sz w:val="22"/>
          <w:szCs w:val="22"/>
        </w:rPr>
        <w:t>)</w:t>
      </w:r>
      <w:r w:rsidR="006342C5" w:rsidRPr="007F7EBF">
        <w:rPr>
          <w:sz w:val="22"/>
          <w:szCs w:val="22"/>
        </w:rPr>
        <w:t>.</w:t>
      </w:r>
      <w:r w:rsidR="000C5485" w:rsidRPr="007F7EBF">
        <w:rPr>
          <w:sz w:val="22"/>
          <w:szCs w:val="22"/>
        </w:rPr>
        <w:t xml:space="preserve"> </w:t>
      </w:r>
      <w:r w:rsidR="005B19B2">
        <w:rPr>
          <w:sz w:val="22"/>
          <w:szCs w:val="22"/>
        </w:rPr>
        <w:t xml:space="preserve">Queste </w:t>
      </w:r>
      <w:r w:rsidR="000C5485" w:rsidRPr="007F7EBF">
        <w:rPr>
          <w:sz w:val="22"/>
          <w:szCs w:val="22"/>
        </w:rPr>
        <w:t xml:space="preserve"> informazioni  </w:t>
      </w:r>
      <w:r w:rsidR="005B19B2">
        <w:rPr>
          <w:sz w:val="22"/>
          <w:szCs w:val="22"/>
        </w:rPr>
        <w:t xml:space="preserve">devono essere generalmente inserite </w:t>
      </w:r>
      <w:r w:rsidR="000C5485" w:rsidRPr="007F7EBF">
        <w:rPr>
          <w:sz w:val="22"/>
          <w:szCs w:val="22"/>
        </w:rPr>
        <w:t>ne</w:t>
      </w:r>
      <w:r w:rsidR="006342C5" w:rsidRPr="007F7EBF">
        <w:rPr>
          <w:sz w:val="22"/>
          <w:szCs w:val="22"/>
        </w:rPr>
        <w:t xml:space="preserve">i bollettini di conto corrente postale, </w:t>
      </w:r>
      <w:r w:rsidR="000C5485" w:rsidRPr="007F7EBF">
        <w:rPr>
          <w:sz w:val="22"/>
          <w:szCs w:val="22"/>
        </w:rPr>
        <w:t>e soprattutto nei</w:t>
      </w:r>
      <w:r w:rsidR="006342C5" w:rsidRPr="007F7EBF">
        <w:rPr>
          <w:sz w:val="22"/>
          <w:szCs w:val="22"/>
        </w:rPr>
        <w:t xml:space="preserve"> modelli unificati bancari</w:t>
      </w:r>
      <w:r w:rsidR="00233746" w:rsidRPr="007F7EBF">
        <w:rPr>
          <w:sz w:val="22"/>
          <w:szCs w:val="22"/>
        </w:rPr>
        <w:t xml:space="preserve"> </w:t>
      </w:r>
      <w:r w:rsidR="005B19B2">
        <w:rPr>
          <w:sz w:val="22"/>
          <w:szCs w:val="22"/>
        </w:rPr>
        <w:t xml:space="preserve">di versamento bancario </w:t>
      </w:r>
      <w:r w:rsidR="006342C5" w:rsidRPr="007F7EBF">
        <w:rPr>
          <w:sz w:val="22"/>
          <w:szCs w:val="22"/>
        </w:rPr>
        <w:t>(</w:t>
      </w:r>
      <w:r w:rsidR="008F7EB2">
        <w:rPr>
          <w:sz w:val="22"/>
          <w:szCs w:val="22"/>
        </w:rPr>
        <w:t xml:space="preserve">c.d. modello </w:t>
      </w:r>
      <w:r w:rsidR="006342C5" w:rsidRPr="007F7EBF">
        <w:rPr>
          <w:sz w:val="22"/>
          <w:szCs w:val="22"/>
        </w:rPr>
        <w:t xml:space="preserve">F24) con cui si pagano </w:t>
      </w:r>
      <w:r w:rsidR="008F7EB2">
        <w:rPr>
          <w:sz w:val="22"/>
          <w:szCs w:val="22"/>
        </w:rPr>
        <w:t xml:space="preserve">oggi in Italia </w:t>
      </w:r>
      <w:r w:rsidR="006342C5" w:rsidRPr="007F7EBF">
        <w:rPr>
          <w:sz w:val="22"/>
          <w:szCs w:val="22"/>
        </w:rPr>
        <w:t>i principali tributi</w:t>
      </w:r>
      <w:r w:rsidR="005B19B2">
        <w:rPr>
          <w:sz w:val="22"/>
          <w:szCs w:val="22"/>
        </w:rPr>
        <w:t>, dei quali il versamento in contanti è tendenzialmente escluso (</w:t>
      </w:r>
      <w:r w:rsidR="005B19B2">
        <w:rPr>
          <w:rStyle w:val="Rimandonotaapidipagina"/>
          <w:sz w:val="22"/>
          <w:szCs w:val="22"/>
        </w:rPr>
        <w:footnoteReference w:id="250"/>
      </w:r>
      <w:r w:rsidR="005B19B2">
        <w:rPr>
          <w:sz w:val="22"/>
          <w:szCs w:val="22"/>
        </w:rPr>
        <w:t>)</w:t>
      </w:r>
      <w:r w:rsidR="006342C5" w:rsidRPr="007F7EBF">
        <w:rPr>
          <w:sz w:val="22"/>
          <w:szCs w:val="22"/>
        </w:rPr>
        <w:t xml:space="preserve">. </w:t>
      </w:r>
    </w:p>
    <w:p w14:paraId="475B7486" w14:textId="04E205D7" w:rsidR="00894BE0" w:rsidRPr="007F7EBF" w:rsidRDefault="00347E99" w:rsidP="00894BE0">
      <w:pPr>
        <w:autoSpaceDE w:val="0"/>
        <w:autoSpaceDN w:val="0"/>
        <w:adjustRightInd w:val="0"/>
        <w:rPr>
          <w:sz w:val="22"/>
          <w:szCs w:val="22"/>
        </w:rPr>
      </w:pPr>
      <w:r>
        <w:rPr>
          <w:sz w:val="22"/>
          <w:szCs w:val="22"/>
        </w:rPr>
        <w:t>I pagamenti più importanti per gli operatori economici sono l</w:t>
      </w:r>
      <w:r w:rsidRPr="007F7EBF">
        <w:rPr>
          <w:sz w:val="22"/>
          <w:szCs w:val="22"/>
        </w:rPr>
        <w:t xml:space="preserve">a </w:t>
      </w:r>
      <w:r>
        <w:rPr>
          <w:bCs/>
          <w:sz w:val="22"/>
          <w:szCs w:val="22"/>
        </w:rPr>
        <w:t xml:space="preserve">liquidazione </w:t>
      </w:r>
      <w:r w:rsidRPr="007F7EBF">
        <w:rPr>
          <w:sz w:val="22"/>
          <w:szCs w:val="22"/>
        </w:rPr>
        <w:t>d</w:t>
      </w:r>
      <w:r>
        <w:rPr>
          <w:sz w:val="22"/>
          <w:szCs w:val="22"/>
        </w:rPr>
        <w:t xml:space="preserve">i imposte dovute periodicamente a scadenza </w:t>
      </w:r>
      <w:proofErr w:type="spellStart"/>
      <w:r>
        <w:rPr>
          <w:sz w:val="22"/>
          <w:szCs w:val="22"/>
        </w:rPr>
        <w:t>infrannuali</w:t>
      </w:r>
      <w:proofErr w:type="spellEnd"/>
      <w:r>
        <w:rPr>
          <w:sz w:val="22"/>
          <w:szCs w:val="22"/>
        </w:rPr>
        <w:t xml:space="preserve">, come </w:t>
      </w:r>
      <w:r w:rsidRPr="007F7EBF">
        <w:rPr>
          <w:sz w:val="22"/>
          <w:szCs w:val="22"/>
        </w:rPr>
        <w:t xml:space="preserve">l'IVA e le ritenute alla fonte, </w:t>
      </w:r>
      <w:r>
        <w:rPr>
          <w:sz w:val="22"/>
          <w:szCs w:val="22"/>
        </w:rPr>
        <w:t xml:space="preserve">da effettuare </w:t>
      </w:r>
      <w:r w:rsidRPr="007F7EBF">
        <w:rPr>
          <w:sz w:val="22"/>
          <w:szCs w:val="22"/>
        </w:rPr>
        <w:t xml:space="preserve">entro il 16 del mese successivo a quello </w:t>
      </w:r>
      <w:r w:rsidRPr="007F7EBF">
        <w:rPr>
          <w:bCs/>
          <w:sz w:val="22"/>
          <w:szCs w:val="22"/>
        </w:rPr>
        <w:t xml:space="preserve"> in cui le ritenute sono state effettuate e cui si riferisce la liquidazione IVA (par.7.3)</w:t>
      </w:r>
      <w:r>
        <w:rPr>
          <w:sz w:val="22"/>
          <w:szCs w:val="22"/>
        </w:rPr>
        <w:t>; entro la stessa data vanno pagati gli eventuali debiti tributari risultanti da tali liquidazioni</w:t>
      </w:r>
      <w:r w:rsidRPr="007F7EBF">
        <w:rPr>
          <w:sz w:val="22"/>
          <w:szCs w:val="22"/>
        </w:rPr>
        <w:t xml:space="preserve">. </w:t>
      </w:r>
    </w:p>
    <w:p w14:paraId="1A920E66" w14:textId="77777777" w:rsidR="00894BE0" w:rsidRPr="007F7EBF" w:rsidRDefault="004B5767" w:rsidP="00894BE0">
      <w:pPr>
        <w:pStyle w:val="tit23"/>
        <w:ind w:left="6464" w:right="-1361" w:firstLine="0"/>
        <w:jc w:val="left"/>
        <w:rPr>
          <w:bCs/>
          <w:i/>
          <w:iCs/>
          <w:color w:val="0000FF"/>
          <w:lang w:val="it-IT"/>
        </w:rPr>
      </w:pPr>
      <w:r w:rsidRPr="007F7EBF">
        <w:rPr>
          <w:bCs/>
          <w:i/>
          <w:iCs/>
          <w:color w:val="0000FF"/>
          <w:lang w:val="it-IT"/>
        </w:rPr>
        <w:t>Il quadro degli obblighi di dichiarazione</w:t>
      </w:r>
    </w:p>
    <w:p w14:paraId="703F3119" w14:textId="5937FA69" w:rsidR="00894BE0" w:rsidRPr="007F7EBF" w:rsidRDefault="008F7EB2" w:rsidP="00614370">
      <w:pPr>
        <w:autoSpaceDE w:val="0"/>
        <w:autoSpaceDN w:val="0"/>
        <w:adjustRightInd w:val="0"/>
        <w:rPr>
          <w:sz w:val="22"/>
          <w:szCs w:val="22"/>
        </w:rPr>
      </w:pPr>
      <w:r>
        <w:rPr>
          <w:sz w:val="22"/>
          <w:szCs w:val="22"/>
        </w:rPr>
        <w:t>L</w:t>
      </w:r>
      <w:r w:rsidR="006342C5" w:rsidRPr="007F7EBF">
        <w:rPr>
          <w:sz w:val="22"/>
          <w:szCs w:val="22"/>
        </w:rPr>
        <w:t>e “</w:t>
      </w:r>
      <w:r w:rsidR="006342C5" w:rsidRPr="007F7EBF">
        <w:rPr>
          <w:bCs/>
          <w:sz w:val="22"/>
          <w:szCs w:val="22"/>
        </w:rPr>
        <w:t>dichiarazioni fiscali</w:t>
      </w:r>
      <w:r w:rsidR="006342C5" w:rsidRPr="007F7EBF">
        <w:rPr>
          <w:sz w:val="22"/>
          <w:szCs w:val="22"/>
        </w:rPr>
        <w:t>”</w:t>
      </w:r>
      <w:r>
        <w:rPr>
          <w:sz w:val="22"/>
          <w:szCs w:val="22"/>
        </w:rPr>
        <w:t xml:space="preserve"> subentrano in un momento successivo, e sono </w:t>
      </w:r>
      <w:r w:rsidR="001505FA" w:rsidRPr="007F7EBF">
        <w:rPr>
          <w:bCs/>
          <w:sz w:val="22"/>
          <w:szCs w:val="22"/>
        </w:rPr>
        <w:t>necessari</w:t>
      </w:r>
      <w:r w:rsidR="00BF3E96" w:rsidRPr="007F7EBF">
        <w:rPr>
          <w:bCs/>
          <w:sz w:val="22"/>
          <w:szCs w:val="22"/>
        </w:rPr>
        <w:t>e</w:t>
      </w:r>
      <w:r w:rsidR="001505FA" w:rsidRPr="007F7EBF">
        <w:rPr>
          <w:bCs/>
          <w:sz w:val="22"/>
          <w:szCs w:val="22"/>
        </w:rPr>
        <w:t xml:space="preserve"> </w:t>
      </w:r>
      <w:r w:rsidR="006342C5" w:rsidRPr="007F7EBF">
        <w:rPr>
          <w:sz w:val="22"/>
          <w:szCs w:val="22"/>
        </w:rPr>
        <w:t>man mano</w:t>
      </w:r>
      <w:r w:rsidR="00233746" w:rsidRPr="007F7EBF">
        <w:rPr>
          <w:sz w:val="22"/>
          <w:szCs w:val="22"/>
        </w:rPr>
        <w:t xml:space="preserve"> </w:t>
      </w:r>
      <w:r w:rsidR="006342C5" w:rsidRPr="007F7EBF">
        <w:rPr>
          <w:sz w:val="22"/>
          <w:szCs w:val="22"/>
        </w:rPr>
        <w:t>che la determinazione del tributo diventa più complessa, influenzata da numerose</w:t>
      </w:r>
      <w:r w:rsidR="00233746" w:rsidRPr="007F7EBF">
        <w:rPr>
          <w:sz w:val="22"/>
          <w:szCs w:val="22"/>
        </w:rPr>
        <w:t xml:space="preserve"> </w:t>
      </w:r>
      <w:r w:rsidR="006342C5" w:rsidRPr="007F7EBF">
        <w:rPr>
          <w:sz w:val="22"/>
          <w:szCs w:val="22"/>
        </w:rPr>
        <w:t xml:space="preserve">variabili; gli esempi </w:t>
      </w:r>
      <w:r w:rsidR="00BF3E96" w:rsidRPr="007F7EBF">
        <w:rPr>
          <w:sz w:val="22"/>
          <w:szCs w:val="22"/>
        </w:rPr>
        <w:t xml:space="preserve">generalmente noti nella tassazione attraverso le aziende </w:t>
      </w:r>
      <w:r w:rsidR="006342C5" w:rsidRPr="007F7EBF">
        <w:rPr>
          <w:sz w:val="22"/>
          <w:szCs w:val="22"/>
        </w:rPr>
        <w:t>sono la dichiarazione annuale dei redditi,</w:t>
      </w:r>
      <w:r w:rsidR="00233746" w:rsidRPr="007F7EBF">
        <w:rPr>
          <w:sz w:val="22"/>
          <w:szCs w:val="22"/>
        </w:rPr>
        <w:t xml:space="preserve"> </w:t>
      </w:r>
      <w:r w:rsidR="006342C5" w:rsidRPr="007F7EBF">
        <w:rPr>
          <w:sz w:val="22"/>
          <w:szCs w:val="22"/>
        </w:rPr>
        <w:t xml:space="preserve">nonché dell’IVA , </w:t>
      </w:r>
      <w:r w:rsidR="00BF3E96" w:rsidRPr="007F7EBF">
        <w:rPr>
          <w:sz w:val="22"/>
          <w:szCs w:val="22"/>
        </w:rPr>
        <w:t>dei sostituti di imposta</w:t>
      </w:r>
      <w:r w:rsidR="00894BE0" w:rsidRPr="007F7EBF">
        <w:rPr>
          <w:sz w:val="22"/>
          <w:szCs w:val="22"/>
        </w:rPr>
        <w:t xml:space="preserve">. </w:t>
      </w:r>
      <w:r w:rsidR="004B5767" w:rsidRPr="007F7EBF">
        <w:rPr>
          <w:sz w:val="22"/>
          <w:szCs w:val="22"/>
        </w:rPr>
        <w:t>La più diffusa è la dichiarazione dei redditi</w:t>
      </w:r>
      <w:r w:rsidR="00F500CE">
        <w:rPr>
          <w:sz w:val="22"/>
          <w:szCs w:val="22"/>
        </w:rPr>
        <w:t xml:space="preserve"> (c.d. “modello unico”)</w:t>
      </w:r>
      <w:r w:rsidR="004B5767" w:rsidRPr="007F7EBF">
        <w:rPr>
          <w:sz w:val="22"/>
          <w:szCs w:val="22"/>
        </w:rPr>
        <w:t xml:space="preserve">, </w:t>
      </w:r>
      <w:r>
        <w:rPr>
          <w:sz w:val="22"/>
          <w:szCs w:val="22"/>
        </w:rPr>
        <w:t xml:space="preserve">obbligatoria in presenza </w:t>
      </w:r>
      <w:r w:rsidR="008E0437" w:rsidRPr="007F7EBF">
        <w:rPr>
          <w:sz w:val="22"/>
          <w:szCs w:val="22"/>
        </w:rPr>
        <w:lastRenderedPageBreak/>
        <w:t>di attività economiche (</w:t>
      </w:r>
      <w:r w:rsidR="008E0437" w:rsidRPr="007F7EBF">
        <w:rPr>
          <w:rStyle w:val="Rimandonotaapidipagina"/>
          <w:sz w:val="22"/>
          <w:szCs w:val="22"/>
        </w:rPr>
        <w:footnoteReference w:id="251"/>
      </w:r>
      <w:r w:rsidR="008E0437" w:rsidRPr="007F7EBF">
        <w:rPr>
          <w:sz w:val="22"/>
          <w:szCs w:val="22"/>
        </w:rPr>
        <w:t>)</w:t>
      </w:r>
      <w:r>
        <w:rPr>
          <w:sz w:val="22"/>
          <w:szCs w:val="22"/>
        </w:rPr>
        <w:t xml:space="preserve"> </w:t>
      </w:r>
      <w:r w:rsidR="008E0437" w:rsidRPr="007F7EBF">
        <w:rPr>
          <w:sz w:val="22"/>
          <w:szCs w:val="22"/>
        </w:rPr>
        <w:t xml:space="preserve">, anche se il risultato è </w:t>
      </w:r>
      <w:r>
        <w:rPr>
          <w:sz w:val="22"/>
          <w:szCs w:val="22"/>
        </w:rPr>
        <w:t xml:space="preserve">nullo o </w:t>
      </w:r>
      <w:r w:rsidR="008E0437" w:rsidRPr="007F7EBF">
        <w:rPr>
          <w:sz w:val="22"/>
          <w:szCs w:val="22"/>
        </w:rPr>
        <w:t xml:space="preserve">negativo, cioè </w:t>
      </w:r>
      <w:r>
        <w:rPr>
          <w:sz w:val="22"/>
          <w:szCs w:val="22"/>
        </w:rPr>
        <w:t>in</w:t>
      </w:r>
      <w:r w:rsidR="008E0437" w:rsidRPr="007F7EBF">
        <w:rPr>
          <w:sz w:val="22"/>
          <w:szCs w:val="22"/>
        </w:rPr>
        <w:t xml:space="preserve"> perdita</w:t>
      </w:r>
      <w:r w:rsidR="00B55C51">
        <w:rPr>
          <w:sz w:val="22"/>
          <w:szCs w:val="22"/>
        </w:rPr>
        <w:t xml:space="preserve"> (</w:t>
      </w:r>
      <w:r w:rsidR="008E0437" w:rsidRPr="007F7EBF">
        <w:rPr>
          <w:rStyle w:val="Rimandonotaapidipagina"/>
          <w:sz w:val="22"/>
          <w:szCs w:val="22"/>
        </w:rPr>
        <w:footnoteReference w:id="252"/>
      </w:r>
      <w:r w:rsidR="00B55C51" w:rsidRPr="007F7EBF">
        <w:rPr>
          <w:sz w:val="22"/>
          <w:szCs w:val="22"/>
        </w:rPr>
        <w:t>)</w:t>
      </w:r>
    </w:p>
    <w:p w14:paraId="434B8850" w14:textId="52847216" w:rsidR="00894BE0" w:rsidRPr="007F7EBF" w:rsidRDefault="00A5638E" w:rsidP="00894BE0">
      <w:pPr>
        <w:pStyle w:val="tit23"/>
        <w:ind w:left="6464" w:right="-1361" w:firstLine="0"/>
        <w:jc w:val="left"/>
        <w:rPr>
          <w:bCs/>
          <w:i/>
          <w:iCs/>
          <w:color w:val="0000FF"/>
          <w:lang w:val="it-IT"/>
        </w:rPr>
      </w:pPr>
      <w:r>
        <w:rPr>
          <w:bCs/>
          <w:i/>
          <w:iCs/>
          <w:color w:val="0000FF"/>
          <w:lang w:val="it-IT"/>
        </w:rPr>
        <w:t>Le d</w:t>
      </w:r>
      <w:r w:rsidR="00B55C51">
        <w:rPr>
          <w:bCs/>
          <w:i/>
          <w:iCs/>
          <w:color w:val="0000FF"/>
          <w:lang w:val="it-IT"/>
        </w:rPr>
        <w:t>ichiarazion</w:t>
      </w:r>
      <w:r>
        <w:rPr>
          <w:bCs/>
          <w:i/>
          <w:iCs/>
          <w:color w:val="0000FF"/>
          <w:lang w:val="it-IT"/>
        </w:rPr>
        <w:t>i</w:t>
      </w:r>
    </w:p>
    <w:p w14:paraId="43B94532" w14:textId="1DE30CB4" w:rsidR="00E45DB3" w:rsidRPr="007F7EBF" w:rsidRDefault="00F500CE" w:rsidP="00E45DB3">
      <w:pPr>
        <w:autoSpaceDE w:val="0"/>
        <w:autoSpaceDN w:val="0"/>
        <w:adjustRightInd w:val="0"/>
        <w:rPr>
          <w:sz w:val="22"/>
          <w:szCs w:val="22"/>
        </w:rPr>
      </w:pPr>
      <w:r>
        <w:rPr>
          <w:sz w:val="22"/>
          <w:szCs w:val="22"/>
        </w:rPr>
        <w:t>Esistono dichiarazioni semplificate, come il c.d. mod.730 per i lavoratori dipendenti con altri redditi (</w:t>
      </w:r>
      <w:r w:rsidRPr="007F7EBF">
        <w:rPr>
          <w:rStyle w:val="Rimandonotaapidipagina"/>
          <w:sz w:val="22"/>
          <w:szCs w:val="22"/>
        </w:rPr>
        <w:footnoteReference w:id="253"/>
      </w:r>
      <w:r>
        <w:rPr>
          <w:sz w:val="22"/>
          <w:szCs w:val="22"/>
        </w:rPr>
        <w:t>); i dipendenti senza altri redditi, sono anche esonerati dalle dichiarazioni, in quanto i loro dati sono comunicati al fisco dal datore di lavoro, con l’onere di presentare il suddetto mod.730 volendo</w:t>
      </w:r>
      <w:r w:rsidR="00AF23F8">
        <w:rPr>
          <w:bCs/>
          <w:sz w:val="22"/>
          <w:szCs w:val="22"/>
        </w:rPr>
        <w:t xml:space="preserve"> </w:t>
      </w:r>
      <w:r w:rsidR="00AF23F8" w:rsidRPr="007F7EBF">
        <w:rPr>
          <w:sz w:val="22"/>
          <w:szCs w:val="22"/>
        </w:rPr>
        <w:t>fruire di deduzioni o detrazioni ulteriori</w:t>
      </w:r>
      <w:r>
        <w:rPr>
          <w:sz w:val="22"/>
          <w:szCs w:val="22"/>
        </w:rPr>
        <w:t>, non erogabili tramite il da</w:t>
      </w:r>
      <w:r w:rsidR="00AF23F8" w:rsidRPr="007F7EBF">
        <w:rPr>
          <w:sz w:val="22"/>
          <w:szCs w:val="22"/>
        </w:rPr>
        <w:t>tore di lavoro</w:t>
      </w:r>
      <w:r w:rsidR="00AF23F8">
        <w:rPr>
          <w:sz w:val="22"/>
          <w:szCs w:val="22"/>
        </w:rPr>
        <w:t xml:space="preserve"> (par.9.3)</w:t>
      </w:r>
      <w:r w:rsidR="00AF23F8" w:rsidRPr="007F7EBF">
        <w:rPr>
          <w:sz w:val="22"/>
          <w:szCs w:val="22"/>
        </w:rPr>
        <w:t xml:space="preserve">. </w:t>
      </w:r>
      <w:r w:rsidR="00A5638E">
        <w:rPr>
          <w:bCs/>
          <w:sz w:val="22"/>
          <w:szCs w:val="22"/>
        </w:rPr>
        <w:t xml:space="preserve"> </w:t>
      </w:r>
    </w:p>
    <w:p w14:paraId="35A06ABA" w14:textId="77777777" w:rsidR="00E45DB3" w:rsidRPr="007F7EBF" w:rsidRDefault="00E45DB3" w:rsidP="00E45DB3">
      <w:pPr>
        <w:pStyle w:val="tit23"/>
        <w:ind w:left="6464" w:right="-1361" w:firstLine="0"/>
        <w:jc w:val="left"/>
        <w:rPr>
          <w:bCs/>
          <w:i/>
          <w:iCs/>
          <w:color w:val="0000FF"/>
          <w:lang w:val="it-IT"/>
        </w:rPr>
      </w:pPr>
      <w:r w:rsidRPr="007F7EBF">
        <w:rPr>
          <w:bCs/>
          <w:i/>
          <w:iCs/>
          <w:color w:val="0000FF"/>
          <w:lang w:val="it-IT"/>
        </w:rPr>
        <w:t>Sopravvalutazione informativa delle dichiarazioni dei redditi</w:t>
      </w:r>
    </w:p>
    <w:p w14:paraId="662B3A0F" w14:textId="1A82E651" w:rsidR="00E45DB3" w:rsidRPr="007F7EBF" w:rsidRDefault="00382DCE" w:rsidP="00382DCE">
      <w:pPr>
        <w:autoSpaceDE w:val="0"/>
        <w:autoSpaceDN w:val="0"/>
        <w:adjustRightInd w:val="0"/>
        <w:rPr>
          <w:bCs/>
          <w:i/>
          <w:iCs/>
          <w:color w:val="0000FF"/>
        </w:rPr>
      </w:pPr>
      <w:r>
        <w:rPr>
          <w:sz w:val="22"/>
          <w:szCs w:val="22"/>
        </w:rPr>
        <w:t>Le</w:t>
      </w:r>
      <w:r w:rsidR="005D670E">
        <w:rPr>
          <w:sz w:val="22"/>
          <w:szCs w:val="22"/>
        </w:rPr>
        <w:t xml:space="preserve"> </w:t>
      </w:r>
      <w:r w:rsidR="00E45DB3" w:rsidRPr="007F7EBF">
        <w:rPr>
          <w:sz w:val="22"/>
          <w:szCs w:val="22"/>
        </w:rPr>
        <w:t xml:space="preserve">dichiarazioni </w:t>
      </w:r>
      <w:r>
        <w:rPr>
          <w:sz w:val="22"/>
          <w:szCs w:val="22"/>
        </w:rPr>
        <w:t xml:space="preserve">sono spesso accusate di essere complicate, ed i media fanno </w:t>
      </w:r>
      <w:r w:rsidR="005D670E" w:rsidRPr="007F7EBF">
        <w:rPr>
          <w:sz w:val="22"/>
          <w:szCs w:val="22"/>
        </w:rPr>
        <w:t xml:space="preserve">sensazionalismo (par.4.4 in fine) </w:t>
      </w:r>
      <w:r>
        <w:rPr>
          <w:sz w:val="22"/>
          <w:szCs w:val="22"/>
        </w:rPr>
        <w:t>sulla lunghezza del</w:t>
      </w:r>
      <w:r w:rsidR="005D670E" w:rsidRPr="007F7EBF">
        <w:rPr>
          <w:sz w:val="22"/>
          <w:szCs w:val="22"/>
        </w:rPr>
        <w:t xml:space="preserve">le relative </w:t>
      </w:r>
      <w:r w:rsidR="005D670E" w:rsidRPr="007F7EBF">
        <w:rPr>
          <w:bCs/>
          <w:sz w:val="22"/>
          <w:szCs w:val="22"/>
        </w:rPr>
        <w:t>istruzioni</w:t>
      </w:r>
      <w:r>
        <w:rPr>
          <w:bCs/>
          <w:sz w:val="22"/>
          <w:szCs w:val="22"/>
        </w:rPr>
        <w:t xml:space="preserve">, </w:t>
      </w:r>
      <w:r w:rsidR="005D670E" w:rsidRPr="007F7EBF">
        <w:rPr>
          <w:sz w:val="22"/>
          <w:szCs w:val="22"/>
        </w:rPr>
        <w:t xml:space="preserve">di oltre cento pagine. </w:t>
      </w:r>
      <w:r>
        <w:rPr>
          <w:sz w:val="22"/>
          <w:szCs w:val="22"/>
        </w:rPr>
        <w:t>Tuttavia ne v</w:t>
      </w:r>
      <w:r w:rsidR="005D670E" w:rsidRPr="007F7EBF">
        <w:rPr>
          <w:sz w:val="22"/>
          <w:szCs w:val="22"/>
        </w:rPr>
        <w:t xml:space="preserve">anno compilate </w:t>
      </w:r>
      <w:r w:rsidR="005D670E" w:rsidRPr="007F7EBF">
        <w:rPr>
          <w:bCs/>
          <w:sz w:val="22"/>
          <w:szCs w:val="22"/>
        </w:rPr>
        <w:t>solo le parti relative ai tipi di reddito di cui si è titolari</w:t>
      </w:r>
      <w:r w:rsidR="005D670E" w:rsidRPr="007F7EBF">
        <w:rPr>
          <w:sz w:val="22"/>
          <w:szCs w:val="22"/>
        </w:rPr>
        <w:t>, ad esempio di lavoro dipendente o autonomo, dei fabbricati, d’impresa, nonché quell</w:t>
      </w:r>
      <w:r>
        <w:rPr>
          <w:sz w:val="22"/>
          <w:szCs w:val="22"/>
        </w:rPr>
        <w:t>e</w:t>
      </w:r>
      <w:r w:rsidR="005D670E" w:rsidRPr="007F7EBF">
        <w:rPr>
          <w:sz w:val="22"/>
          <w:szCs w:val="22"/>
        </w:rPr>
        <w:t xml:space="preserve"> di riepilogo per la condizione personale o familiare (</w:t>
      </w:r>
      <w:r w:rsidR="005D670E" w:rsidRPr="007F7EBF">
        <w:rPr>
          <w:rStyle w:val="Rimandonotaapidipagina"/>
          <w:sz w:val="22"/>
          <w:szCs w:val="22"/>
        </w:rPr>
        <w:footnoteReference w:id="254"/>
      </w:r>
      <w:r w:rsidR="005D670E" w:rsidRPr="007F7EBF">
        <w:rPr>
          <w:sz w:val="22"/>
          <w:szCs w:val="22"/>
        </w:rPr>
        <w:t>).</w:t>
      </w:r>
      <w:r w:rsidR="005D670E">
        <w:rPr>
          <w:sz w:val="22"/>
          <w:szCs w:val="22"/>
        </w:rPr>
        <w:t xml:space="preserve"> </w:t>
      </w:r>
      <w:r>
        <w:rPr>
          <w:sz w:val="22"/>
          <w:szCs w:val="22"/>
        </w:rPr>
        <w:t xml:space="preserve">Con la loro apparente complessità le dichiarazioni sono invece inadeguate come informazioni sulla complessiva situazione patrimoniale del contribuente, perché in esse </w:t>
      </w:r>
      <w:r w:rsidR="005D670E">
        <w:rPr>
          <w:sz w:val="22"/>
          <w:szCs w:val="22"/>
        </w:rPr>
        <w:t xml:space="preserve">mancano la maggior parte delle imposte sostitutive </w:t>
      </w:r>
      <w:r w:rsidR="00E45DB3" w:rsidRPr="007F7EBF">
        <w:rPr>
          <w:sz w:val="22"/>
          <w:szCs w:val="22"/>
        </w:rPr>
        <w:lastRenderedPageBreak/>
        <w:t>(</w:t>
      </w:r>
      <w:r w:rsidR="00E45DB3" w:rsidRPr="007F7EBF">
        <w:rPr>
          <w:rStyle w:val="Rimandonotaapidipagina"/>
          <w:sz w:val="22"/>
          <w:szCs w:val="22"/>
        </w:rPr>
        <w:footnoteReference w:id="255"/>
      </w:r>
      <w:r w:rsidR="00E45DB3" w:rsidRPr="007F7EBF">
        <w:rPr>
          <w:sz w:val="22"/>
          <w:szCs w:val="22"/>
        </w:rPr>
        <w:t>)</w:t>
      </w:r>
      <w:r w:rsidR="005D670E">
        <w:rPr>
          <w:sz w:val="22"/>
          <w:szCs w:val="22"/>
        </w:rPr>
        <w:t>,</w:t>
      </w:r>
      <w:r w:rsidR="00E45DB3" w:rsidRPr="007F7EBF">
        <w:rPr>
          <w:sz w:val="22"/>
          <w:szCs w:val="22"/>
        </w:rPr>
        <w:t>informazioni generali  sull'attività svolta e</w:t>
      </w:r>
      <w:r>
        <w:rPr>
          <w:sz w:val="22"/>
          <w:szCs w:val="22"/>
        </w:rPr>
        <w:t xml:space="preserve"> altri dati stabili nel tempo; la dichiarazione non svolge insomma il ruolo degli antichi catasti </w:t>
      </w:r>
      <w:r w:rsidR="00E45DB3" w:rsidRPr="007F7EBF">
        <w:rPr>
          <w:sz w:val="22"/>
          <w:szCs w:val="22"/>
        </w:rPr>
        <w:t xml:space="preserve"> </w:t>
      </w:r>
      <w:r>
        <w:rPr>
          <w:sz w:val="22"/>
          <w:szCs w:val="22"/>
        </w:rPr>
        <w:t>preindustriali (par.1.4) né indica la fantomatica capacità contributiva globale di cui al par.2.2</w:t>
      </w:r>
      <w:r w:rsidR="00A64A7C">
        <w:rPr>
          <w:sz w:val="22"/>
          <w:szCs w:val="22"/>
        </w:rPr>
        <w:t xml:space="preserve">, oppure lo stato di bisogno. A questi scopi di informazione globale e pluriennale servirebbe </w:t>
      </w:r>
      <w:r w:rsidR="00E45DB3">
        <w:rPr>
          <w:sz w:val="22"/>
          <w:szCs w:val="22"/>
        </w:rPr>
        <w:t xml:space="preserve">lo </w:t>
      </w:r>
      <w:r w:rsidR="00E45DB3" w:rsidRPr="007F7EBF">
        <w:rPr>
          <w:sz w:val="22"/>
          <w:szCs w:val="22"/>
        </w:rPr>
        <w:t xml:space="preserve">schedario permanente personalizzato </w:t>
      </w:r>
      <w:r w:rsidR="00E45DB3">
        <w:rPr>
          <w:sz w:val="22"/>
          <w:szCs w:val="22"/>
        </w:rPr>
        <w:t>di cui diremo al par.5.7</w:t>
      </w:r>
      <w:r w:rsidR="00A64A7C">
        <w:rPr>
          <w:sz w:val="22"/>
          <w:szCs w:val="22"/>
        </w:rPr>
        <w:t xml:space="preserve"> (</w:t>
      </w:r>
      <w:r w:rsidR="00E45DB3" w:rsidRPr="007F7EBF">
        <w:rPr>
          <w:rStyle w:val="Rimandonotaapidipagina"/>
          <w:sz w:val="22"/>
          <w:szCs w:val="22"/>
        </w:rPr>
        <w:footnoteReference w:id="256"/>
      </w:r>
      <w:r w:rsidR="00A64A7C">
        <w:rPr>
          <w:sz w:val="22"/>
          <w:szCs w:val="22"/>
        </w:rPr>
        <w:t>)</w:t>
      </w:r>
      <w:r w:rsidR="00E45DB3" w:rsidRPr="007F7EBF">
        <w:rPr>
          <w:sz w:val="22"/>
          <w:szCs w:val="22"/>
        </w:rPr>
        <w:t xml:space="preserve">. </w:t>
      </w:r>
    </w:p>
    <w:p w14:paraId="18064549" w14:textId="6E598DE4" w:rsidR="00E45DB3" w:rsidRPr="007F7EBF" w:rsidRDefault="00E45DB3" w:rsidP="00E45DB3">
      <w:pPr>
        <w:pStyle w:val="tit23"/>
        <w:ind w:left="6464" w:right="-1361" w:firstLine="0"/>
        <w:jc w:val="left"/>
        <w:rPr>
          <w:bCs/>
          <w:i/>
          <w:iCs/>
          <w:color w:val="0000FF"/>
          <w:lang w:val="it-IT"/>
        </w:rPr>
      </w:pPr>
      <w:r w:rsidRPr="007F7EBF">
        <w:rPr>
          <w:bCs/>
          <w:i/>
          <w:iCs/>
          <w:color w:val="0000FF"/>
          <w:lang w:val="it-IT"/>
        </w:rPr>
        <w:t xml:space="preserve">Struttura delle </w:t>
      </w:r>
      <w:proofErr w:type="spellStart"/>
      <w:r w:rsidRPr="007F7EBF">
        <w:rPr>
          <w:bCs/>
          <w:i/>
          <w:iCs/>
          <w:color w:val="0000FF"/>
          <w:lang w:val="it-IT"/>
        </w:rPr>
        <w:t>dichiarazionimodelli</w:t>
      </w:r>
      <w:proofErr w:type="spellEnd"/>
      <w:r w:rsidR="0023502D">
        <w:rPr>
          <w:bCs/>
          <w:i/>
          <w:iCs/>
          <w:color w:val="0000FF"/>
          <w:lang w:val="it-IT"/>
        </w:rPr>
        <w:t xml:space="preserve"> e loro valenza anche interpretativa</w:t>
      </w:r>
    </w:p>
    <w:p w14:paraId="532A0F44" w14:textId="090C18E9" w:rsidR="00A5638E" w:rsidRPr="0023502D" w:rsidRDefault="00E45DB3" w:rsidP="0023502D">
      <w:pPr>
        <w:autoSpaceDE w:val="0"/>
        <w:autoSpaceDN w:val="0"/>
        <w:adjustRightInd w:val="0"/>
        <w:rPr>
          <w:sz w:val="22"/>
          <w:szCs w:val="22"/>
        </w:rPr>
      </w:pPr>
      <w:r w:rsidRPr="007F7EBF">
        <w:rPr>
          <w:sz w:val="22"/>
          <w:szCs w:val="22"/>
        </w:rPr>
        <w:t xml:space="preserve">Ad ognuna di queste categorie di informazioni  tipologicamente omogenee corrispondono </w:t>
      </w:r>
      <w:r w:rsidRPr="007F7EBF">
        <w:rPr>
          <w:bCs/>
          <w:sz w:val="22"/>
          <w:szCs w:val="22"/>
        </w:rPr>
        <w:t xml:space="preserve">singoli prospetti interni delle dichiarazioni </w:t>
      </w:r>
      <w:r w:rsidRPr="007F7EBF">
        <w:rPr>
          <w:sz w:val="22"/>
          <w:szCs w:val="22"/>
        </w:rPr>
        <w:t>(c.d. «quadri»), che fanno parte del modello di dichiarazione</w:t>
      </w:r>
      <w:r w:rsidRPr="007F7EBF">
        <w:rPr>
          <w:sz w:val="22"/>
          <w:szCs w:val="22"/>
          <w:vertAlign w:val="superscript"/>
        </w:rPr>
        <w:footnoteReference w:id="257"/>
      </w:r>
      <w:r w:rsidRPr="007F7EBF">
        <w:rPr>
          <w:sz w:val="22"/>
          <w:szCs w:val="22"/>
        </w:rPr>
        <w:t xml:space="preserve">, approvato ogni anno con atto amministrativo generale. Il modello cerca di contemperare semplicità e precisione, acquisendo i dati nel modo più proficuo per la sua attività conoscitiva ed operativa; l’obiettivo è conoscere </w:t>
      </w:r>
      <w:r w:rsidR="00C67695">
        <w:rPr>
          <w:sz w:val="22"/>
          <w:szCs w:val="22"/>
        </w:rPr>
        <w:t xml:space="preserve">gli imponibili </w:t>
      </w:r>
      <w:r w:rsidRPr="007F7EBF">
        <w:rPr>
          <w:sz w:val="22"/>
          <w:szCs w:val="22"/>
        </w:rPr>
        <w:t>nel modo più utile per gesti</w:t>
      </w:r>
      <w:r w:rsidR="00C67695">
        <w:rPr>
          <w:sz w:val="22"/>
          <w:szCs w:val="22"/>
        </w:rPr>
        <w:t>rli in via</w:t>
      </w:r>
      <w:r w:rsidRPr="007F7EBF">
        <w:rPr>
          <w:sz w:val="22"/>
          <w:szCs w:val="22"/>
        </w:rPr>
        <w:t xml:space="preserve"> amministrativa e statistica, anche ai fini degli interventi di politica tributaria; attraverso il modello viene così «filtrata» in schemi omogenei l’enorme massa di dati annualmente forniti all’amministrazione finanziaria, da immagazzinare anche ai fini di efficienti “incroci” tra informazioni diverse (par.5.5). </w:t>
      </w:r>
    </w:p>
    <w:p w14:paraId="70D7E9C7" w14:textId="670A94A2" w:rsidR="003769BB" w:rsidRPr="007F7EBF" w:rsidRDefault="00A5638E" w:rsidP="00894BE0">
      <w:pPr>
        <w:autoSpaceDE w:val="0"/>
        <w:autoSpaceDN w:val="0"/>
        <w:adjustRightInd w:val="0"/>
        <w:rPr>
          <w:sz w:val="22"/>
          <w:szCs w:val="22"/>
        </w:rPr>
      </w:pPr>
      <w:r w:rsidRPr="007F7EBF">
        <w:rPr>
          <w:sz w:val="22"/>
          <w:szCs w:val="22"/>
        </w:rPr>
        <w:t>Il modello di dichiarazione spesso lascia chiaramente capire quali interpretazioni della normativa sono state presupposte dall'autorità fiscale che lo ha predisposto, il che gli attribuisce il valore delle ordinarie interpretazioni amministrative di cui al par.5.4 (</w:t>
      </w:r>
      <w:r w:rsidRPr="007F7EBF">
        <w:rPr>
          <w:rStyle w:val="Rimandonotaapidipagina"/>
          <w:sz w:val="22"/>
          <w:szCs w:val="22"/>
        </w:rPr>
        <w:footnoteReference w:id="258"/>
      </w:r>
      <w:r w:rsidRPr="007F7EBF">
        <w:rPr>
          <w:sz w:val="22"/>
          <w:szCs w:val="22"/>
        </w:rPr>
        <w:t xml:space="preserve">). </w:t>
      </w:r>
    </w:p>
    <w:p w14:paraId="26305CE6" w14:textId="762412C9" w:rsidR="00614370" w:rsidRPr="007F7EBF" w:rsidRDefault="00614370" w:rsidP="00614370">
      <w:pPr>
        <w:pStyle w:val="tit23"/>
        <w:ind w:left="6464" w:right="-1361" w:firstLine="0"/>
        <w:jc w:val="left"/>
        <w:rPr>
          <w:bCs/>
          <w:i/>
          <w:iCs/>
          <w:color w:val="0000FF"/>
          <w:lang w:val="it-IT"/>
        </w:rPr>
      </w:pPr>
      <w:r w:rsidRPr="007F7EBF">
        <w:rPr>
          <w:bCs/>
          <w:i/>
          <w:iCs/>
          <w:color w:val="0000FF"/>
          <w:lang w:val="it-IT"/>
        </w:rPr>
        <w:lastRenderedPageBreak/>
        <w:t xml:space="preserve">dichiarazioni “riepilogative” su </w:t>
      </w:r>
      <w:r w:rsidR="00C67695">
        <w:rPr>
          <w:bCs/>
          <w:i/>
          <w:iCs/>
          <w:color w:val="0000FF"/>
          <w:lang w:val="it-IT"/>
        </w:rPr>
        <w:t>presupposti</w:t>
      </w:r>
      <w:r w:rsidRPr="007F7EBF">
        <w:rPr>
          <w:bCs/>
          <w:i/>
          <w:iCs/>
          <w:color w:val="0000FF"/>
          <w:lang w:val="it-IT"/>
        </w:rPr>
        <w:t xml:space="preserve"> riferibil</w:t>
      </w:r>
      <w:r w:rsidR="00C67695">
        <w:rPr>
          <w:bCs/>
          <w:i/>
          <w:iCs/>
          <w:color w:val="0000FF"/>
          <w:lang w:val="it-IT"/>
        </w:rPr>
        <w:t>i</w:t>
      </w:r>
      <w:r w:rsidRPr="007F7EBF">
        <w:rPr>
          <w:bCs/>
          <w:i/>
          <w:iCs/>
          <w:color w:val="0000FF"/>
          <w:lang w:val="it-IT"/>
        </w:rPr>
        <w:t xml:space="preserve"> ad altri </w:t>
      </w:r>
    </w:p>
    <w:p w14:paraId="51374B67" w14:textId="0EF8E057" w:rsidR="00894BE0" w:rsidRPr="007F7EBF" w:rsidRDefault="00614370" w:rsidP="00894BE0">
      <w:pPr>
        <w:autoSpaceDE w:val="0"/>
        <w:autoSpaceDN w:val="0"/>
        <w:adjustRightInd w:val="0"/>
        <w:rPr>
          <w:sz w:val="22"/>
          <w:szCs w:val="22"/>
        </w:rPr>
      </w:pPr>
      <w:r w:rsidRPr="007F7EBF">
        <w:rPr>
          <w:sz w:val="22"/>
          <w:szCs w:val="22"/>
        </w:rPr>
        <w:t xml:space="preserve">Gli operatori economici devono anche dichiarare </w:t>
      </w:r>
      <w:r w:rsidR="00305357">
        <w:rPr>
          <w:sz w:val="22"/>
          <w:szCs w:val="22"/>
        </w:rPr>
        <w:t xml:space="preserve">astrazioni economiche </w:t>
      </w:r>
      <w:r w:rsidRPr="007F7EBF">
        <w:rPr>
          <w:sz w:val="22"/>
          <w:szCs w:val="22"/>
        </w:rPr>
        <w:t xml:space="preserve"> riguardanti altri soggetti, cioè consumatori</w:t>
      </w:r>
      <w:r w:rsidR="00305357">
        <w:rPr>
          <w:sz w:val="22"/>
          <w:szCs w:val="22"/>
        </w:rPr>
        <w:t xml:space="preserve"> e percettori di reddito, come vedremo </w:t>
      </w:r>
      <w:r w:rsidRPr="007F7EBF">
        <w:rPr>
          <w:sz w:val="22"/>
          <w:szCs w:val="22"/>
        </w:rPr>
        <w:t>a</w:t>
      </w:r>
      <w:r w:rsidR="00305357">
        <w:rPr>
          <w:sz w:val="22"/>
          <w:szCs w:val="22"/>
        </w:rPr>
        <w:t xml:space="preserve">i </w:t>
      </w:r>
      <w:r w:rsidRPr="007F7EBF">
        <w:rPr>
          <w:sz w:val="22"/>
          <w:szCs w:val="22"/>
        </w:rPr>
        <w:t>par</w:t>
      </w:r>
      <w:r w:rsidR="00305357">
        <w:rPr>
          <w:sz w:val="22"/>
          <w:szCs w:val="22"/>
        </w:rPr>
        <w:t>r</w:t>
      </w:r>
      <w:r w:rsidRPr="007F7EBF">
        <w:rPr>
          <w:sz w:val="22"/>
          <w:szCs w:val="22"/>
        </w:rPr>
        <w:t>.3.5</w:t>
      </w:r>
      <w:r w:rsidR="00305357">
        <w:rPr>
          <w:sz w:val="22"/>
          <w:szCs w:val="22"/>
        </w:rPr>
        <w:t>-3.6. Questi dati vanno riepilogati n</w:t>
      </w:r>
      <w:r w:rsidRPr="007F7EBF">
        <w:rPr>
          <w:sz w:val="22"/>
          <w:szCs w:val="22"/>
        </w:rPr>
        <w:t>ella</w:t>
      </w:r>
      <w:r w:rsidR="00802D80" w:rsidRPr="007F7EBF">
        <w:rPr>
          <w:sz w:val="22"/>
          <w:szCs w:val="22"/>
        </w:rPr>
        <w:t xml:space="preserve"> dichiarazione dei sostituti d’imposta </w:t>
      </w:r>
      <w:r w:rsidRPr="007F7EBF">
        <w:rPr>
          <w:sz w:val="22"/>
          <w:szCs w:val="22"/>
        </w:rPr>
        <w:t xml:space="preserve">e </w:t>
      </w:r>
      <w:r w:rsidR="00305357">
        <w:rPr>
          <w:sz w:val="22"/>
          <w:szCs w:val="22"/>
        </w:rPr>
        <w:t>n</w:t>
      </w:r>
      <w:r w:rsidRPr="007F7EBF">
        <w:rPr>
          <w:sz w:val="22"/>
          <w:szCs w:val="22"/>
        </w:rPr>
        <w:t>el</w:t>
      </w:r>
      <w:r w:rsidR="00802D80" w:rsidRPr="007F7EBF">
        <w:rPr>
          <w:sz w:val="22"/>
          <w:szCs w:val="22"/>
        </w:rPr>
        <w:t>la dichiarazione IVA</w:t>
      </w:r>
      <w:r w:rsidR="009C0FEE">
        <w:rPr>
          <w:sz w:val="22"/>
          <w:szCs w:val="22"/>
        </w:rPr>
        <w:t xml:space="preserve">; esse </w:t>
      </w:r>
      <w:r w:rsidRPr="007F7EBF">
        <w:rPr>
          <w:sz w:val="22"/>
          <w:szCs w:val="22"/>
        </w:rPr>
        <w:t>non costituiscono la sede di calcolo dell'imposta</w:t>
      </w:r>
      <w:r w:rsidR="00B55C51">
        <w:rPr>
          <w:sz w:val="22"/>
          <w:szCs w:val="22"/>
        </w:rPr>
        <w:t>, ma hanno carattere “informativo-riepilogativo”</w:t>
      </w:r>
      <w:r w:rsidR="009C0FEE">
        <w:rPr>
          <w:sz w:val="22"/>
          <w:szCs w:val="22"/>
        </w:rPr>
        <w:t xml:space="preserve">, riportando </w:t>
      </w:r>
      <w:r w:rsidR="00B55C51">
        <w:rPr>
          <w:bCs/>
          <w:sz w:val="22"/>
          <w:szCs w:val="22"/>
        </w:rPr>
        <w:t>le già indicate liquidazioni</w:t>
      </w:r>
      <w:r w:rsidRPr="007F7EBF">
        <w:rPr>
          <w:bCs/>
          <w:sz w:val="22"/>
          <w:szCs w:val="22"/>
        </w:rPr>
        <w:t xml:space="preserve"> </w:t>
      </w:r>
      <w:r w:rsidR="00B55C51">
        <w:rPr>
          <w:bCs/>
          <w:sz w:val="22"/>
          <w:szCs w:val="22"/>
        </w:rPr>
        <w:t>(</w:t>
      </w:r>
      <w:r w:rsidRPr="007F7EBF">
        <w:rPr>
          <w:bCs/>
          <w:sz w:val="22"/>
          <w:szCs w:val="22"/>
        </w:rPr>
        <w:t>e</w:t>
      </w:r>
      <w:r w:rsidR="00B55C51">
        <w:rPr>
          <w:bCs/>
          <w:sz w:val="22"/>
          <w:szCs w:val="22"/>
        </w:rPr>
        <w:t xml:space="preserve">d eventuali </w:t>
      </w:r>
      <w:r w:rsidRPr="007F7EBF">
        <w:rPr>
          <w:bCs/>
          <w:sz w:val="22"/>
          <w:szCs w:val="22"/>
        </w:rPr>
        <w:t>versamenti</w:t>
      </w:r>
      <w:r w:rsidR="00B55C51">
        <w:rPr>
          <w:bCs/>
          <w:sz w:val="22"/>
          <w:szCs w:val="22"/>
        </w:rPr>
        <w:t xml:space="preserve">) da effettuare entro il 16 di ogni mese per </w:t>
      </w:r>
      <w:r w:rsidR="00802D80" w:rsidRPr="007F7EBF">
        <w:rPr>
          <w:sz w:val="22"/>
          <w:szCs w:val="22"/>
        </w:rPr>
        <w:t xml:space="preserve">IVA e ritenute alla fonte. </w:t>
      </w:r>
      <w:r w:rsidR="00802D80" w:rsidRPr="007F7EBF">
        <w:rPr>
          <w:bCs/>
          <w:i/>
          <w:iCs/>
          <w:color w:val="0000FF"/>
          <w:sz w:val="22"/>
          <w:szCs w:val="22"/>
        </w:rPr>
        <w:t xml:space="preserve"> </w:t>
      </w:r>
    </w:p>
    <w:p w14:paraId="51549119" w14:textId="77777777" w:rsidR="00894BE0" w:rsidRPr="007F7EBF" w:rsidRDefault="00894BE0" w:rsidP="00894BE0">
      <w:pPr>
        <w:pStyle w:val="tit23"/>
        <w:ind w:left="6464" w:right="-1361" w:firstLine="0"/>
        <w:jc w:val="left"/>
        <w:rPr>
          <w:bCs/>
          <w:i/>
          <w:iCs/>
          <w:color w:val="0000FF"/>
          <w:lang w:val="it-IT"/>
        </w:rPr>
      </w:pPr>
      <w:r w:rsidRPr="007F7EBF">
        <w:rPr>
          <w:bCs/>
          <w:i/>
          <w:iCs/>
          <w:color w:val="0000FF"/>
          <w:lang w:val="it-IT"/>
        </w:rPr>
        <w:t xml:space="preserve">Adempimento amministrativo e </w:t>
      </w:r>
      <w:r w:rsidR="00270560" w:rsidRPr="007F7EBF">
        <w:rPr>
          <w:bCs/>
          <w:i/>
          <w:iCs/>
          <w:color w:val="0000FF"/>
          <w:lang w:val="it-IT"/>
        </w:rPr>
        <w:t xml:space="preserve"> fuorvianti spiegazioni civilistiche</w:t>
      </w:r>
      <w:r w:rsidRPr="007F7EBF">
        <w:rPr>
          <w:bCs/>
          <w:i/>
          <w:iCs/>
          <w:color w:val="0000FF"/>
          <w:lang w:val="it-IT"/>
        </w:rPr>
        <w:t xml:space="preserve"> </w:t>
      </w:r>
    </w:p>
    <w:p w14:paraId="344F4E64" w14:textId="77777777" w:rsidR="00894BE0" w:rsidRPr="007F7EBF" w:rsidRDefault="00305086" w:rsidP="00270560">
      <w:pPr>
        <w:autoSpaceDE w:val="0"/>
        <w:autoSpaceDN w:val="0"/>
        <w:adjustRightInd w:val="0"/>
        <w:rPr>
          <w:bCs/>
          <w:i/>
          <w:iCs/>
          <w:color w:val="0000FF"/>
          <w:sz w:val="22"/>
          <w:szCs w:val="22"/>
        </w:rPr>
      </w:pPr>
      <w:r w:rsidRPr="007F7EBF">
        <w:rPr>
          <w:sz w:val="22"/>
          <w:szCs w:val="22"/>
        </w:rPr>
        <w:t>Le dichiarazioni</w:t>
      </w:r>
      <w:r w:rsidR="00BF3E96" w:rsidRPr="007F7EBF">
        <w:rPr>
          <w:sz w:val="22"/>
          <w:szCs w:val="22"/>
        </w:rPr>
        <w:t xml:space="preserve"> costituiscono, come i già indicati documenti </w:t>
      </w:r>
      <w:proofErr w:type="spellStart"/>
      <w:r w:rsidR="00BF3E96" w:rsidRPr="007F7EBF">
        <w:rPr>
          <w:sz w:val="22"/>
          <w:szCs w:val="22"/>
        </w:rPr>
        <w:t>contabil</w:t>
      </w:r>
      <w:proofErr w:type="spellEnd"/>
      <w:r w:rsidR="00BF3E96" w:rsidRPr="007F7EBF">
        <w:rPr>
          <w:sz w:val="22"/>
          <w:szCs w:val="22"/>
        </w:rPr>
        <w:t xml:space="preserve">-tributari o di pagamento, un </w:t>
      </w:r>
      <w:r w:rsidR="00BF3E96" w:rsidRPr="007F7EBF">
        <w:rPr>
          <w:bCs/>
          <w:sz w:val="22"/>
          <w:szCs w:val="22"/>
        </w:rPr>
        <w:t xml:space="preserve">adempimento di diritto amministrativo, </w:t>
      </w:r>
      <w:r w:rsidRPr="007F7EBF">
        <w:rPr>
          <w:bCs/>
          <w:sz w:val="22"/>
          <w:szCs w:val="22"/>
        </w:rPr>
        <w:t xml:space="preserve">che è </w:t>
      </w:r>
      <w:r w:rsidR="006342C5" w:rsidRPr="007F7EBF">
        <w:rPr>
          <w:bCs/>
          <w:sz w:val="22"/>
          <w:szCs w:val="22"/>
        </w:rPr>
        <w:t xml:space="preserve">fuorviante </w:t>
      </w:r>
      <w:r w:rsidR="00894BE0" w:rsidRPr="007F7EBF">
        <w:rPr>
          <w:bCs/>
          <w:sz w:val="22"/>
          <w:szCs w:val="22"/>
        </w:rPr>
        <w:t xml:space="preserve">spiegare </w:t>
      </w:r>
      <w:r w:rsidR="001505FA" w:rsidRPr="007F7EBF">
        <w:rPr>
          <w:sz w:val="22"/>
          <w:szCs w:val="22"/>
        </w:rPr>
        <w:t>con concetti tratti dal diritto dei privati, come i "fatti, atti e negozi", cioè i meri fatti materiali, gli atti umani non negoziali ed i negozi giuridici</w:t>
      </w:r>
      <w:r w:rsidR="00614370" w:rsidRPr="007F7EBF">
        <w:rPr>
          <w:rStyle w:val="Rimandonotaapidipagina"/>
          <w:sz w:val="22"/>
          <w:szCs w:val="22"/>
        </w:rPr>
        <w:footnoteReference w:id="259"/>
      </w:r>
      <w:r w:rsidR="001505FA" w:rsidRPr="007F7EBF">
        <w:rPr>
          <w:sz w:val="22"/>
          <w:szCs w:val="22"/>
        </w:rPr>
        <w:t xml:space="preserve">. </w:t>
      </w:r>
    </w:p>
    <w:p w14:paraId="617F11CA" w14:textId="1872A24C" w:rsidR="00713A19" w:rsidRPr="007F7EBF" w:rsidRDefault="00106D58" w:rsidP="00713A19">
      <w:pPr>
        <w:autoSpaceDE w:val="0"/>
        <w:autoSpaceDN w:val="0"/>
        <w:adjustRightInd w:val="0"/>
        <w:rPr>
          <w:sz w:val="22"/>
          <w:szCs w:val="22"/>
        </w:rPr>
      </w:pPr>
      <w:r>
        <w:rPr>
          <w:sz w:val="22"/>
          <w:szCs w:val="22"/>
        </w:rPr>
        <w:t>Se si vuole accostare</w:t>
      </w:r>
      <w:r w:rsidR="001505FA" w:rsidRPr="007F7EBF">
        <w:rPr>
          <w:sz w:val="22"/>
          <w:szCs w:val="22"/>
        </w:rPr>
        <w:t xml:space="preserve"> l</w:t>
      </w:r>
      <w:r>
        <w:rPr>
          <w:sz w:val="22"/>
          <w:szCs w:val="22"/>
        </w:rPr>
        <w:t>a</w:t>
      </w:r>
      <w:r w:rsidR="001505FA" w:rsidRPr="007F7EBF">
        <w:rPr>
          <w:sz w:val="22"/>
          <w:szCs w:val="22"/>
        </w:rPr>
        <w:t xml:space="preserve"> dichiarazion</w:t>
      </w:r>
      <w:r>
        <w:rPr>
          <w:sz w:val="22"/>
          <w:szCs w:val="22"/>
        </w:rPr>
        <w:t xml:space="preserve">e </w:t>
      </w:r>
      <w:r w:rsidR="001505FA" w:rsidRPr="007F7EBF">
        <w:rPr>
          <w:sz w:val="22"/>
          <w:szCs w:val="22"/>
        </w:rPr>
        <w:t>tributari</w:t>
      </w:r>
      <w:r>
        <w:rPr>
          <w:sz w:val="22"/>
          <w:szCs w:val="22"/>
        </w:rPr>
        <w:t xml:space="preserve">a, nel contenuto, ai concetti </w:t>
      </w:r>
      <w:r w:rsidR="001505FA" w:rsidRPr="007F7EBF">
        <w:rPr>
          <w:sz w:val="22"/>
          <w:szCs w:val="22"/>
        </w:rPr>
        <w:t>civilistic</w:t>
      </w:r>
      <w:r>
        <w:rPr>
          <w:sz w:val="22"/>
          <w:szCs w:val="22"/>
        </w:rPr>
        <w:t>i</w:t>
      </w:r>
      <w:r w:rsidR="001505FA" w:rsidRPr="007F7EBF">
        <w:rPr>
          <w:sz w:val="22"/>
          <w:szCs w:val="22"/>
        </w:rPr>
        <w:t xml:space="preserve">  </w:t>
      </w:r>
      <w:r>
        <w:rPr>
          <w:sz w:val="22"/>
          <w:szCs w:val="22"/>
        </w:rPr>
        <w:t>suddetti</w:t>
      </w:r>
      <w:r w:rsidR="001505FA" w:rsidRPr="007F7EBF">
        <w:rPr>
          <w:sz w:val="22"/>
          <w:szCs w:val="22"/>
        </w:rPr>
        <w:t xml:space="preserve">, </w:t>
      </w:r>
      <w:r>
        <w:rPr>
          <w:sz w:val="22"/>
          <w:szCs w:val="22"/>
        </w:rPr>
        <w:t xml:space="preserve">il parallelismo più calzante parte dalle </w:t>
      </w:r>
      <w:r w:rsidR="00A64A7C">
        <w:rPr>
          <w:sz w:val="22"/>
          <w:szCs w:val="22"/>
        </w:rPr>
        <w:t xml:space="preserve"> </w:t>
      </w:r>
      <w:r w:rsidR="00E51465">
        <w:rPr>
          <w:sz w:val="22"/>
          <w:szCs w:val="22"/>
        </w:rPr>
        <w:t xml:space="preserve"> </w:t>
      </w:r>
      <w:r w:rsidR="001505FA" w:rsidRPr="007F7EBF">
        <w:rPr>
          <w:sz w:val="22"/>
          <w:szCs w:val="22"/>
        </w:rPr>
        <w:t>“</w:t>
      </w:r>
      <w:r w:rsidR="001505FA" w:rsidRPr="007F7EBF">
        <w:rPr>
          <w:bCs/>
          <w:sz w:val="22"/>
          <w:szCs w:val="22"/>
        </w:rPr>
        <w:t>dichiarazioni di scienza</w:t>
      </w:r>
      <w:r w:rsidR="00270560" w:rsidRPr="007F7EBF">
        <w:rPr>
          <w:sz w:val="22"/>
          <w:szCs w:val="22"/>
        </w:rPr>
        <w:t>” (</w:t>
      </w:r>
      <w:r w:rsidR="00270560" w:rsidRPr="007F7EBF">
        <w:rPr>
          <w:rStyle w:val="Rimandonotaapidipagina"/>
          <w:sz w:val="22"/>
          <w:szCs w:val="22"/>
        </w:rPr>
        <w:footnoteReference w:id="260"/>
      </w:r>
      <w:r w:rsidR="00270560" w:rsidRPr="007F7EBF">
        <w:rPr>
          <w:sz w:val="22"/>
          <w:szCs w:val="22"/>
        </w:rPr>
        <w:t>)</w:t>
      </w:r>
      <w:r>
        <w:rPr>
          <w:sz w:val="22"/>
          <w:szCs w:val="22"/>
        </w:rPr>
        <w:t xml:space="preserve">, non solo relative a questioni empiriche di fatto </w:t>
      </w:r>
      <w:r w:rsidR="002307D9">
        <w:rPr>
          <w:sz w:val="22"/>
          <w:szCs w:val="22"/>
        </w:rPr>
        <w:t>(par.5.8), ma anche a</w:t>
      </w:r>
      <w:r>
        <w:rPr>
          <w:sz w:val="22"/>
          <w:szCs w:val="22"/>
        </w:rPr>
        <w:t xml:space="preserve">lle loro </w:t>
      </w:r>
      <w:r w:rsidR="002307D9">
        <w:rPr>
          <w:sz w:val="22"/>
          <w:szCs w:val="22"/>
        </w:rPr>
        <w:t>qualificazioni giuridiche</w:t>
      </w:r>
      <w:r>
        <w:rPr>
          <w:sz w:val="22"/>
          <w:szCs w:val="22"/>
        </w:rPr>
        <w:t>,</w:t>
      </w:r>
      <w:r w:rsidR="002307D9">
        <w:rPr>
          <w:sz w:val="22"/>
          <w:szCs w:val="22"/>
        </w:rPr>
        <w:t xml:space="preserve"> demandate ai contribuenti</w:t>
      </w:r>
      <w:r>
        <w:rPr>
          <w:sz w:val="22"/>
          <w:szCs w:val="22"/>
        </w:rPr>
        <w:t xml:space="preserve">, come indicato al </w:t>
      </w:r>
      <w:r w:rsidR="002307D9">
        <w:rPr>
          <w:sz w:val="22"/>
          <w:szCs w:val="22"/>
        </w:rPr>
        <w:t>par3.9 ss.</w:t>
      </w:r>
      <w:r>
        <w:rPr>
          <w:sz w:val="22"/>
          <w:szCs w:val="22"/>
        </w:rPr>
        <w:t xml:space="preserve">; il parallelismo </w:t>
      </w:r>
      <w:r>
        <w:rPr>
          <w:sz w:val="22"/>
          <w:szCs w:val="22"/>
        </w:rPr>
        <w:lastRenderedPageBreak/>
        <w:t xml:space="preserve">più corretto è con le c.d. </w:t>
      </w:r>
      <w:r w:rsidR="002307D9">
        <w:rPr>
          <w:sz w:val="22"/>
          <w:szCs w:val="22"/>
        </w:rPr>
        <w:t>manifestazio</w:t>
      </w:r>
      <w:r>
        <w:rPr>
          <w:sz w:val="22"/>
          <w:szCs w:val="22"/>
        </w:rPr>
        <w:t xml:space="preserve">ni </w:t>
      </w:r>
      <w:r w:rsidR="002307D9">
        <w:rPr>
          <w:sz w:val="22"/>
          <w:szCs w:val="22"/>
        </w:rPr>
        <w:t xml:space="preserve">di giudizio, in cui si intrecciano enunciazioni fattuali e qualificazioni giuridiche </w:t>
      </w:r>
      <w:r w:rsidR="006342C5" w:rsidRPr="007F7EBF">
        <w:rPr>
          <w:sz w:val="22"/>
          <w:szCs w:val="22"/>
        </w:rPr>
        <w:t>(</w:t>
      </w:r>
      <w:r w:rsidR="00270560" w:rsidRPr="007F7EBF">
        <w:rPr>
          <w:rStyle w:val="Rimandonotaapidipagina"/>
          <w:sz w:val="22"/>
          <w:szCs w:val="22"/>
        </w:rPr>
        <w:footnoteReference w:id="261"/>
      </w:r>
      <w:r w:rsidR="006342C5" w:rsidRPr="007F7EBF">
        <w:rPr>
          <w:sz w:val="22"/>
          <w:szCs w:val="22"/>
        </w:rPr>
        <w:t>).</w:t>
      </w:r>
      <w:r w:rsidR="0090651B" w:rsidRPr="007F7EBF">
        <w:rPr>
          <w:sz w:val="22"/>
          <w:szCs w:val="22"/>
        </w:rPr>
        <w:t xml:space="preserve"> </w:t>
      </w:r>
    </w:p>
    <w:p w14:paraId="62DA6CD0" w14:textId="77777777" w:rsidR="00713A19" w:rsidRPr="007F7EBF" w:rsidRDefault="00713A19" w:rsidP="00713A19">
      <w:pPr>
        <w:pStyle w:val="tit23"/>
        <w:ind w:left="6464" w:right="-1361" w:firstLine="0"/>
        <w:jc w:val="left"/>
        <w:rPr>
          <w:bCs/>
          <w:i/>
          <w:iCs/>
          <w:color w:val="0000FF"/>
          <w:lang w:val="it-IT"/>
        </w:rPr>
      </w:pPr>
      <w:r w:rsidRPr="007F7EBF">
        <w:rPr>
          <w:bCs/>
          <w:i/>
          <w:iCs/>
          <w:color w:val="0000FF"/>
          <w:lang w:val="it-IT"/>
        </w:rPr>
        <w:t>Dichiarazioni e opzioni</w:t>
      </w:r>
    </w:p>
    <w:p w14:paraId="6A0D41F4" w14:textId="10E196B4" w:rsidR="00A5638E" w:rsidRPr="007F7EBF" w:rsidRDefault="00713A19" w:rsidP="00A5638E">
      <w:pPr>
        <w:autoSpaceDE w:val="0"/>
        <w:autoSpaceDN w:val="0"/>
        <w:adjustRightInd w:val="0"/>
        <w:rPr>
          <w:sz w:val="22"/>
          <w:szCs w:val="22"/>
        </w:rPr>
      </w:pPr>
      <w:r w:rsidRPr="007F7EBF">
        <w:rPr>
          <w:sz w:val="22"/>
          <w:szCs w:val="22"/>
        </w:rPr>
        <w:t>N</w:t>
      </w:r>
      <w:r w:rsidRPr="007F7EBF">
        <w:rPr>
          <w:bCs/>
          <w:sz w:val="22"/>
          <w:szCs w:val="22"/>
        </w:rPr>
        <w:t xml:space="preserve">elle dichiarazioni possono essere esercitate delle opzioni, ad esempio </w:t>
      </w:r>
      <w:r w:rsidRPr="007F7EBF">
        <w:rPr>
          <w:sz w:val="22"/>
          <w:szCs w:val="22"/>
        </w:rPr>
        <w:t xml:space="preserve">tra vari regimi di determinazione dei tributi, il rimborso o il riporto in avanti dei crediti di imposta, </w:t>
      </w:r>
      <w:proofErr w:type="spellStart"/>
      <w:r w:rsidRPr="007F7EBF">
        <w:rPr>
          <w:sz w:val="22"/>
          <w:szCs w:val="22"/>
        </w:rPr>
        <w:t>etc</w:t>
      </w:r>
      <w:proofErr w:type="spellEnd"/>
      <w:r w:rsidRPr="007F7EBF">
        <w:rPr>
          <w:sz w:val="22"/>
          <w:szCs w:val="22"/>
        </w:rPr>
        <w:t>,. Anche tali opzioni</w:t>
      </w:r>
      <w:r w:rsidR="00106D58">
        <w:rPr>
          <w:sz w:val="22"/>
          <w:szCs w:val="22"/>
        </w:rPr>
        <w:t xml:space="preserve">, </w:t>
      </w:r>
      <w:proofErr w:type="spellStart"/>
      <w:r w:rsidR="00106D58">
        <w:rPr>
          <w:sz w:val="22"/>
          <w:szCs w:val="22"/>
        </w:rPr>
        <w:t>benchè</w:t>
      </w:r>
      <w:proofErr w:type="spellEnd"/>
      <w:r w:rsidR="00106D58">
        <w:rPr>
          <w:sz w:val="22"/>
          <w:szCs w:val="22"/>
        </w:rPr>
        <w:t xml:space="preserve"> simili a quelle negoziali,</w:t>
      </w:r>
      <w:r w:rsidRPr="007F7EBF">
        <w:rPr>
          <w:sz w:val="22"/>
          <w:szCs w:val="22"/>
        </w:rPr>
        <w:t xml:space="preserve"> hanno natura amministrativa</w:t>
      </w:r>
      <w:r w:rsidR="00106D58">
        <w:rPr>
          <w:sz w:val="22"/>
          <w:szCs w:val="22"/>
        </w:rPr>
        <w:t>; i</w:t>
      </w:r>
      <w:r w:rsidRPr="007F7EBF">
        <w:rPr>
          <w:sz w:val="22"/>
          <w:szCs w:val="22"/>
        </w:rPr>
        <w:t>l contesto non è infatti quello contrattuale, dove è necessario salvaguardare la buona fede della controparte, che potrebbe essersi preparata ad eseguire la controprestazione etc.(</w:t>
      </w:r>
      <w:r w:rsidR="00270560" w:rsidRPr="007F7EBF">
        <w:rPr>
          <w:rStyle w:val="Rimandonotaapidipagina"/>
          <w:sz w:val="22"/>
          <w:szCs w:val="22"/>
        </w:rPr>
        <w:footnoteReference w:id="262"/>
      </w:r>
      <w:r w:rsidRPr="007F7EBF">
        <w:rPr>
          <w:sz w:val="22"/>
          <w:szCs w:val="22"/>
        </w:rPr>
        <w:t xml:space="preserve">). </w:t>
      </w:r>
    </w:p>
    <w:p w14:paraId="19A81FFC" w14:textId="07CC8DEF" w:rsidR="00A5638E" w:rsidRPr="007F7EBF" w:rsidRDefault="00A5638E" w:rsidP="00A5638E">
      <w:pPr>
        <w:pStyle w:val="tit23"/>
        <w:ind w:left="6464" w:right="-1361" w:firstLine="0"/>
        <w:jc w:val="left"/>
        <w:rPr>
          <w:bCs/>
          <w:i/>
          <w:iCs/>
          <w:color w:val="0000FF"/>
          <w:lang w:val="it-IT"/>
        </w:rPr>
      </w:pPr>
      <w:r w:rsidRPr="007F7EBF">
        <w:rPr>
          <w:bCs/>
          <w:i/>
          <w:iCs/>
          <w:color w:val="0000FF"/>
          <w:lang w:val="it-IT"/>
        </w:rPr>
        <w:t xml:space="preserve">Dichiarazioni e </w:t>
      </w:r>
      <w:r>
        <w:rPr>
          <w:bCs/>
          <w:i/>
          <w:iCs/>
          <w:color w:val="0000FF"/>
          <w:lang w:val="it-IT"/>
        </w:rPr>
        <w:t>versamenti</w:t>
      </w:r>
    </w:p>
    <w:p w14:paraId="708D601F" w14:textId="12559FD3" w:rsidR="00894BE0" w:rsidRPr="007F7EBF" w:rsidRDefault="00A5638E" w:rsidP="00894BE0">
      <w:pPr>
        <w:autoSpaceDE w:val="0"/>
        <w:autoSpaceDN w:val="0"/>
        <w:adjustRightInd w:val="0"/>
        <w:rPr>
          <w:sz w:val="22"/>
          <w:szCs w:val="22"/>
        </w:rPr>
      </w:pPr>
      <w:r w:rsidRPr="00A5638E">
        <w:rPr>
          <w:sz w:val="22"/>
          <w:szCs w:val="22"/>
        </w:rPr>
        <w:t xml:space="preserve">La dichiarazione dei redditi costituisce anche la </w:t>
      </w:r>
      <w:r w:rsidRPr="00A5638E">
        <w:rPr>
          <w:bCs/>
          <w:sz w:val="22"/>
          <w:szCs w:val="22"/>
        </w:rPr>
        <w:t>sede per determinare l’imposta dovuta</w:t>
      </w:r>
      <w:r w:rsidRPr="00A5638E">
        <w:rPr>
          <w:sz w:val="22"/>
          <w:szCs w:val="22"/>
        </w:rPr>
        <w:t>, il parametro</w:t>
      </w:r>
      <w:r w:rsidRPr="00A5638E">
        <w:rPr>
          <w:bCs/>
          <w:sz w:val="22"/>
          <w:szCs w:val="22"/>
        </w:rPr>
        <w:t xml:space="preserve"> per versamenti provvisori</w:t>
      </w:r>
      <w:r w:rsidRPr="00A5638E">
        <w:rPr>
          <w:sz w:val="22"/>
          <w:szCs w:val="22"/>
        </w:rPr>
        <w:t>, c.d. acconti di imposta, relativi all'anno in corso, da effettuare entro i mesi di giugno e di novembre, con successivi conguagli nella dichiarazione successiva</w:t>
      </w:r>
      <w:r w:rsidR="00D7190B">
        <w:rPr>
          <w:sz w:val="22"/>
          <w:szCs w:val="22"/>
        </w:rPr>
        <w:t xml:space="preserve"> </w:t>
      </w:r>
      <w:r w:rsidR="00487E15">
        <w:rPr>
          <w:sz w:val="22"/>
          <w:szCs w:val="22"/>
        </w:rPr>
        <w:t xml:space="preserve"> </w:t>
      </w:r>
      <w:r w:rsidRPr="00A5638E">
        <w:rPr>
          <w:sz w:val="22"/>
          <w:szCs w:val="22"/>
        </w:rPr>
        <w:t>(</w:t>
      </w:r>
      <w:r w:rsidRPr="00A5638E">
        <w:rPr>
          <w:rStyle w:val="Rimandonotaapidipagina"/>
          <w:sz w:val="22"/>
          <w:szCs w:val="22"/>
        </w:rPr>
        <w:footnoteReference w:id="263"/>
      </w:r>
      <w:r w:rsidRPr="00A5638E">
        <w:rPr>
          <w:sz w:val="22"/>
          <w:szCs w:val="22"/>
        </w:rPr>
        <w:t>). Questa presenza degli acconti, come pure delle ritenute d'acconto di cui al par.3.6, comporta la possibilità che la dichiarazione si chiuda "a credito" del contribuente</w:t>
      </w:r>
      <w:r w:rsidR="00106D58">
        <w:rPr>
          <w:sz w:val="22"/>
          <w:szCs w:val="22"/>
        </w:rPr>
        <w:t xml:space="preserve"> </w:t>
      </w:r>
      <w:r>
        <w:rPr>
          <w:sz w:val="22"/>
          <w:szCs w:val="22"/>
        </w:rPr>
        <w:t>(</w:t>
      </w:r>
      <w:r w:rsidRPr="00A5638E">
        <w:rPr>
          <w:rStyle w:val="Rimandonotaapidipagina"/>
          <w:sz w:val="22"/>
          <w:szCs w:val="22"/>
        </w:rPr>
        <w:footnoteReference w:id="264"/>
      </w:r>
      <w:r>
        <w:rPr>
          <w:sz w:val="22"/>
          <w:szCs w:val="22"/>
        </w:rPr>
        <w:t>)</w:t>
      </w:r>
      <w:r w:rsidRPr="00A5638E">
        <w:rPr>
          <w:sz w:val="22"/>
          <w:szCs w:val="22"/>
        </w:rPr>
        <w:t>.</w:t>
      </w:r>
    </w:p>
    <w:p w14:paraId="7AAD6910" w14:textId="77777777" w:rsidR="00894BE0" w:rsidRPr="007F7EBF" w:rsidRDefault="00894BE0" w:rsidP="00894BE0">
      <w:pPr>
        <w:pStyle w:val="tit23"/>
        <w:ind w:left="6464" w:right="-1361" w:firstLine="0"/>
        <w:jc w:val="left"/>
        <w:rPr>
          <w:bCs/>
          <w:i/>
          <w:iCs/>
          <w:color w:val="0000FF"/>
          <w:lang w:val="it-IT"/>
        </w:rPr>
      </w:pPr>
      <w:r w:rsidRPr="007F7EBF">
        <w:rPr>
          <w:bCs/>
          <w:i/>
          <w:iCs/>
          <w:color w:val="0000FF"/>
          <w:lang w:val="it-IT"/>
        </w:rPr>
        <w:t>Correzione di errori</w:t>
      </w:r>
      <w:r w:rsidR="00E45DB3">
        <w:rPr>
          <w:bCs/>
          <w:i/>
          <w:iCs/>
          <w:color w:val="0000FF"/>
          <w:lang w:val="it-IT"/>
        </w:rPr>
        <w:t>, rimborsi e ravvedimenti</w:t>
      </w:r>
      <w:r w:rsidRPr="007F7EBF">
        <w:rPr>
          <w:bCs/>
          <w:i/>
          <w:iCs/>
          <w:color w:val="0000FF"/>
          <w:lang w:val="it-IT"/>
        </w:rPr>
        <w:t xml:space="preserve"> </w:t>
      </w:r>
    </w:p>
    <w:p w14:paraId="753690B3" w14:textId="531D9EE1" w:rsidR="004D2C37" w:rsidRDefault="00A5638E" w:rsidP="00A5638E">
      <w:pPr>
        <w:autoSpaceDE w:val="0"/>
        <w:autoSpaceDN w:val="0"/>
        <w:adjustRightInd w:val="0"/>
        <w:rPr>
          <w:sz w:val="22"/>
          <w:szCs w:val="22"/>
        </w:rPr>
      </w:pPr>
      <w:r>
        <w:rPr>
          <w:sz w:val="22"/>
          <w:szCs w:val="22"/>
        </w:rPr>
        <w:t>La suddetta</w:t>
      </w:r>
      <w:r w:rsidR="00E45DB3">
        <w:rPr>
          <w:sz w:val="22"/>
          <w:szCs w:val="22"/>
        </w:rPr>
        <w:t xml:space="preserve"> </w:t>
      </w:r>
      <w:r w:rsidR="00830B8A" w:rsidRPr="007F7EBF">
        <w:rPr>
          <w:sz w:val="22"/>
          <w:szCs w:val="22"/>
        </w:rPr>
        <w:t xml:space="preserve"> “natura </w:t>
      </w:r>
      <w:r w:rsidR="00E45DB3">
        <w:rPr>
          <w:sz w:val="22"/>
          <w:szCs w:val="22"/>
        </w:rPr>
        <w:t xml:space="preserve">amministrativa </w:t>
      </w:r>
      <w:r w:rsidR="00830B8A" w:rsidRPr="007F7EBF">
        <w:rPr>
          <w:sz w:val="22"/>
          <w:szCs w:val="22"/>
        </w:rPr>
        <w:t xml:space="preserve">della dichiarazione” </w:t>
      </w:r>
      <w:r w:rsidR="00E45DB3">
        <w:rPr>
          <w:sz w:val="22"/>
          <w:szCs w:val="22"/>
        </w:rPr>
        <w:t xml:space="preserve">è perfettamente compatibile la correzione degli </w:t>
      </w:r>
      <w:r w:rsidR="00830B8A" w:rsidRPr="007F7EBF">
        <w:rPr>
          <w:sz w:val="22"/>
          <w:szCs w:val="22"/>
        </w:rPr>
        <w:t>errori</w:t>
      </w:r>
      <w:r w:rsidR="004D2C37">
        <w:rPr>
          <w:sz w:val="22"/>
          <w:szCs w:val="22"/>
        </w:rPr>
        <w:t xml:space="preserve">. Essi possono riguardare somme </w:t>
      </w:r>
      <w:r w:rsidR="00830B8A" w:rsidRPr="007F7EBF">
        <w:rPr>
          <w:sz w:val="22"/>
          <w:szCs w:val="22"/>
        </w:rPr>
        <w:t xml:space="preserve"> dichiarate in eccesso</w:t>
      </w:r>
      <w:r w:rsidR="00B55C51">
        <w:rPr>
          <w:sz w:val="22"/>
          <w:szCs w:val="22"/>
        </w:rPr>
        <w:t xml:space="preserve">, </w:t>
      </w:r>
      <w:r w:rsidR="004D2C37">
        <w:rPr>
          <w:sz w:val="22"/>
          <w:szCs w:val="22"/>
        </w:rPr>
        <w:t xml:space="preserve">modificabili con successive dichiarazioni </w:t>
      </w:r>
      <w:r w:rsidR="0090651B" w:rsidRPr="007F7EBF">
        <w:rPr>
          <w:sz w:val="22"/>
          <w:szCs w:val="22"/>
        </w:rPr>
        <w:t>(</w:t>
      </w:r>
      <w:r w:rsidR="00A2624C" w:rsidRPr="007F7EBF">
        <w:rPr>
          <w:rStyle w:val="Rimandonotaapidipagina"/>
          <w:sz w:val="22"/>
          <w:szCs w:val="22"/>
        </w:rPr>
        <w:footnoteReference w:id="265"/>
      </w:r>
      <w:r w:rsidR="0090651B" w:rsidRPr="007F7EBF">
        <w:rPr>
          <w:sz w:val="22"/>
          <w:szCs w:val="22"/>
        </w:rPr>
        <w:t>)</w:t>
      </w:r>
      <w:r w:rsidR="000C261E">
        <w:rPr>
          <w:sz w:val="22"/>
          <w:szCs w:val="22"/>
        </w:rPr>
        <w:t xml:space="preserve"> </w:t>
      </w:r>
      <w:r w:rsidR="000C261E">
        <w:rPr>
          <w:sz w:val="22"/>
          <w:szCs w:val="22"/>
        </w:rPr>
        <w:lastRenderedPageBreak/>
        <w:t xml:space="preserve">ovvero </w:t>
      </w:r>
      <w:r w:rsidR="000C261E">
        <w:rPr>
          <w:bCs/>
          <w:sz w:val="22"/>
          <w:szCs w:val="22"/>
        </w:rPr>
        <w:t xml:space="preserve">con </w:t>
      </w:r>
      <w:r w:rsidR="000C261E" w:rsidRPr="007F7EBF">
        <w:rPr>
          <w:sz w:val="22"/>
          <w:szCs w:val="22"/>
        </w:rPr>
        <w:t xml:space="preserve">istanze di rimborso </w:t>
      </w:r>
      <w:r w:rsidR="000C261E">
        <w:rPr>
          <w:sz w:val="22"/>
          <w:szCs w:val="22"/>
        </w:rPr>
        <w:t>di quanto versato in eccesso (</w:t>
      </w:r>
      <w:r w:rsidR="000C261E">
        <w:rPr>
          <w:rStyle w:val="Rimandonotaapidipagina"/>
          <w:sz w:val="22"/>
          <w:szCs w:val="22"/>
        </w:rPr>
        <w:footnoteReference w:id="266"/>
      </w:r>
      <w:r w:rsidR="000C261E">
        <w:t>); in questo secondo modo resta ferma ai fini sanzionatori la prima dichiarazione, mentre presentandone una nuova, pur avendo diritto a una riliquidazione automatica dell’imposta, si rischiano le sanzioni per infedele dichiarazione (par.6.13) qualora la nuova dichiarazione non venga condivisa dagli uffici tributari.</w:t>
      </w:r>
    </w:p>
    <w:p w14:paraId="7EF2F1F1" w14:textId="5148F435" w:rsidR="00616756" w:rsidRPr="007F7EBF" w:rsidRDefault="000C261E" w:rsidP="00A5638E">
      <w:pPr>
        <w:autoSpaceDE w:val="0"/>
        <w:autoSpaceDN w:val="0"/>
        <w:adjustRightInd w:val="0"/>
        <w:rPr>
          <w:sz w:val="22"/>
          <w:szCs w:val="22"/>
        </w:rPr>
      </w:pPr>
      <w:r>
        <w:rPr>
          <w:bCs/>
          <w:sz w:val="22"/>
          <w:szCs w:val="22"/>
        </w:rPr>
        <w:t>D</w:t>
      </w:r>
      <w:r w:rsidR="0090651B" w:rsidRPr="007F7EBF">
        <w:rPr>
          <w:bCs/>
          <w:sz w:val="22"/>
          <w:szCs w:val="22"/>
        </w:rPr>
        <w:t xml:space="preserve">ichiarare somme ulteriori </w:t>
      </w:r>
      <w:r w:rsidR="0090651B" w:rsidRPr="007F7EBF">
        <w:rPr>
          <w:sz w:val="22"/>
          <w:szCs w:val="22"/>
        </w:rPr>
        <w:t>rispetto a quelle in precedenza dichiarate, sana</w:t>
      </w:r>
      <w:r w:rsidR="00187BAC">
        <w:rPr>
          <w:sz w:val="22"/>
          <w:szCs w:val="22"/>
        </w:rPr>
        <w:t>ndo</w:t>
      </w:r>
      <w:r w:rsidR="0090651B" w:rsidRPr="007F7EBF">
        <w:rPr>
          <w:sz w:val="22"/>
          <w:szCs w:val="22"/>
        </w:rPr>
        <w:t xml:space="preserve"> precedenti </w:t>
      </w:r>
      <w:r w:rsidR="0090651B" w:rsidRPr="007F7EBF">
        <w:rPr>
          <w:bCs/>
          <w:sz w:val="22"/>
          <w:szCs w:val="22"/>
        </w:rPr>
        <w:t>dimenticanze o consapevoli</w:t>
      </w:r>
      <w:r w:rsidR="00AA00DA" w:rsidRPr="007F7EBF">
        <w:rPr>
          <w:bCs/>
          <w:sz w:val="22"/>
          <w:szCs w:val="22"/>
        </w:rPr>
        <w:t xml:space="preserve"> </w:t>
      </w:r>
      <w:r w:rsidR="0090651B" w:rsidRPr="007F7EBF">
        <w:rPr>
          <w:bCs/>
          <w:sz w:val="22"/>
          <w:szCs w:val="22"/>
        </w:rPr>
        <w:t>evasioni</w:t>
      </w:r>
      <w:r w:rsidR="00187BAC">
        <w:rPr>
          <w:bCs/>
          <w:sz w:val="22"/>
          <w:szCs w:val="22"/>
        </w:rPr>
        <w:t xml:space="preserve">, è una forma di “ravvedimento operoso”, </w:t>
      </w:r>
      <w:r w:rsidR="0090651B" w:rsidRPr="007F7EBF">
        <w:rPr>
          <w:sz w:val="22"/>
          <w:szCs w:val="22"/>
        </w:rPr>
        <w:t xml:space="preserve">istituto </w:t>
      </w:r>
      <w:r w:rsidR="00187BAC">
        <w:rPr>
          <w:sz w:val="22"/>
          <w:szCs w:val="22"/>
        </w:rPr>
        <w:t xml:space="preserve">di portata </w:t>
      </w:r>
      <w:r w:rsidR="0090651B" w:rsidRPr="007F7EBF">
        <w:rPr>
          <w:sz w:val="22"/>
          <w:szCs w:val="22"/>
        </w:rPr>
        <w:t>generale</w:t>
      </w:r>
      <w:r w:rsidR="00187BAC">
        <w:rPr>
          <w:sz w:val="22"/>
          <w:szCs w:val="22"/>
        </w:rPr>
        <w:t xml:space="preserve">, in base al quale </w:t>
      </w:r>
      <w:r w:rsidR="0090651B" w:rsidRPr="007F7EBF">
        <w:rPr>
          <w:sz w:val="22"/>
          <w:szCs w:val="22"/>
        </w:rPr>
        <w:t xml:space="preserve">il contribuente deve </w:t>
      </w:r>
      <w:r w:rsidR="0090651B" w:rsidRPr="007F7EBF">
        <w:rPr>
          <w:bCs/>
          <w:sz w:val="22"/>
          <w:szCs w:val="22"/>
        </w:rPr>
        <w:t xml:space="preserve">non solo pagare l’imposta, </w:t>
      </w:r>
      <w:r w:rsidR="0090651B" w:rsidRPr="007F7EBF">
        <w:rPr>
          <w:sz w:val="22"/>
          <w:szCs w:val="22"/>
        </w:rPr>
        <w:t xml:space="preserve">o regolarizzare l’adempimento omesso, </w:t>
      </w:r>
      <w:r w:rsidR="0090651B" w:rsidRPr="007F7EBF">
        <w:rPr>
          <w:bCs/>
          <w:sz w:val="22"/>
          <w:szCs w:val="22"/>
        </w:rPr>
        <w:t>ma anche “</w:t>
      </w:r>
      <w:proofErr w:type="spellStart"/>
      <w:r w:rsidR="0090651B" w:rsidRPr="007F7EBF">
        <w:rPr>
          <w:bCs/>
          <w:sz w:val="22"/>
          <w:szCs w:val="22"/>
        </w:rPr>
        <w:t>autosanzionarsi</w:t>
      </w:r>
      <w:proofErr w:type="spellEnd"/>
      <w:r w:rsidR="0090651B" w:rsidRPr="007F7EBF">
        <w:rPr>
          <w:bCs/>
          <w:sz w:val="22"/>
          <w:szCs w:val="22"/>
        </w:rPr>
        <w:t xml:space="preserve">” </w:t>
      </w:r>
      <w:r w:rsidR="0090651B" w:rsidRPr="007F7EBF">
        <w:rPr>
          <w:sz w:val="22"/>
          <w:szCs w:val="22"/>
        </w:rPr>
        <w:t>e liquidare eventuali</w:t>
      </w:r>
      <w:r w:rsidR="00E45DB3">
        <w:rPr>
          <w:sz w:val="22"/>
          <w:szCs w:val="22"/>
        </w:rPr>
        <w:t xml:space="preserve"> </w:t>
      </w:r>
      <w:r w:rsidR="0090651B" w:rsidRPr="007F7EBF">
        <w:rPr>
          <w:sz w:val="22"/>
          <w:szCs w:val="22"/>
        </w:rPr>
        <w:t xml:space="preserve">interessi, per beneficiare di sanzioni più miti di quelle ordinarie. </w:t>
      </w:r>
      <w:r w:rsidR="00EB3518" w:rsidRPr="007F7EBF">
        <w:rPr>
          <w:sz w:val="22"/>
          <w:szCs w:val="22"/>
        </w:rPr>
        <w:t xml:space="preserve">Equiparare il ritardo alla omissione </w:t>
      </w:r>
      <w:r w:rsidR="00EB3518" w:rsidRPr="007F7EBF">
        <w:rPr>
          <w:bCs/>
          <w:sz w:val="22"/>
          <w:szCs w:val="22"/>
        </w:rPr>
        <w:t xml:space="preserve">indurrebbe </w:t>
      </w:r>
      <w:r w:rsidR="00EB3518" w:rsidRPr="007F7EBF">
        <w:rPr>
          <w:sz w:val="22"/>
          <w:szCs w:val="22"/>
        </w:rPr>
        <w:t xml:space="preserve">infatti il contribuente a non far nulla, </w:t>
      </w:r>
      <w:r w:rsidR="00EB3518" w:rsidRPr="007F7EBF">
        <w:rPr>
          <w:bCs/>
          <w:sz w:val="22"/>
          <w:szCs w:val="22"/>
        </w:rPr>
        <w:t>confidando nella</w:t>
      </w:r>
      <w:r w:rsidR="00AF23F8">
        <w:rPr>
          <w:bCs/>
          <w:sz w:val="22"/>
          <w:szCs w:val="22"/>
        </w:rPr>
        <w:t xml:space="preserve"> </w:t>
      </w:r>
      <w:r w:rsidR="00EB3518" w:rsidRPr="007F7EBF">
        <w:rPr>
          <w:bCs/>
          <w:sz w:val="22"/>
          <w:szCs w:val="22"/>
        </w:rPr>
        <w:t xml:space="preserve">bassa probabilità </w:t>
      </w:r>
      <w:r w:rsidR="00EB3518" w:rsidRPr="007F7EBF">
        <w:rPr>
          <w:sz w:val="22"/>
          <w:szCs w:val="22"/>
        </w:rPr>
        <w:t xml:space="preserve">di essere controllato. </w:t>
      </w:r>
      <w:r w:rsidR="00187BAC">
        <w:rPr>
          <w:sz w:val="22"/>
          <w:szCs w:val="22"/>
        </w:rPr>
        <w:t xml:space="preserve">Quanto precede </w:t>
      </w:r>
      <w:r w:rsidR="0090651B" w:rsidRPr="007F7EBF">
        <w:rPr>
          <w:sz w:val="22"/>
          <w:szCs w:val="22"/>
        </w:rPr>
        <w:t>è</w:t>
      </w:r>
      <w:r w:rsidR="009C1919" w:rsidRPr="007F7EBF">
        <w:rPr>
          <w:sz w:val="22"/>
          <w:szCs w:val="22"/>
        </w:rPr>
        <w:t xml:space="preserve"> </w:t>
      </w:r>
      <w:r w:rsidR="00305086" w:rsidRPr="007F7EBF">
        <w:rPr>
          <w:sz w:val="22"/>
          <w:szCs w:val="22"/>
        </w:rPr>
        <w:t xml:space="preserve">oggi </w:t>
      </w:r>
      <w:r w:rsidR="009C1919" w:rsidRPr="007F7EBF">
        <w:rPr>
          <w:sz w:val="22"/>
          <w:szCs w:val="22"/>
        </w:rPr>
        <w:t>consentit</w:t>
      </w:r>
      <w:r w:rsidR="00305086" w:rsidRPr="007F7EBF">
        <w:rPr>
          <w:sz w:val="22"/>
          <w:szCs w:val="22"/>
        </w:rPr>
        <w:t xml:space="preserve">o </w:t>
      </w:r>
      <w:r w:rsidR="00E45DB3">
        <w:rPr>
          <w:sz w:val="22"/>
          <w:szCs w:val="22"/>
        </w:rPr>
        <w:t>persino</w:t>
      </w:r>
      <w:r w:rsidR="009C1919" w:rsidRPr="007F7EBF">
        <w:rPr>
          <w:sz w:val="22"/>
          <w:szCs w:val="22"/>
        </w:rPr>
        <w:t xml:space="preserve"> </w:t>
      </w:r>
      <w:r w:rsidR="00E45DB3">
        <w:rPr>
          <w:sz w:val="22"/>
          <w:szCs w:val="22"/>
        </w:rPr>
        <w:t xml:space="preserve">dopo l’inizio di </w:t>
      </w:r>
      <w:r w:rsidR="0090651B" w:rsidRPr="007F7EBF">
        <w:rPr>
          <w:sz w:val="22"/>
          <w:szCs w:val="22"/>
        </w:rPr>
        <w:t>controlli fiscali nei confront</w:t>
      </w:r>
      <w:r w:rsidR="00270560" w:rsidRPr="007F7EBF">
        <w:rPr>
          <w:sz w:val="22"/>
          <w:szCs w:val="22"/>
        </w:rPr>
        <w:t>i dello specifico contribuente</w:t>
      </w:r>
      <w:r w:rsidR="00E45DB3">
        <w:rPr>
          <w:sz w:val="22"/>
          <w:szCs w:val="22"/>
        </w:rPr>
        <w:t>, ma</w:t>
      </w:r>
      <w:r w:rsidR="00270560" w:rsidRPr="007F7EBF">
        <w:rPr>
          <w:sz w:val="22"/>
          <w:szCs w:val="22"/>
        </w:rPr>
        <w:t xml:space="preserve"> </w:t>
      </w:r>
      <w:r w:rsidR="009C1919" w:rsidRPr="007F7EBF">
        <w:rPr>
          <w:sz w:val="22"/>
          <w:szCs w:val="22"/>
        </w:rPr>
        <w:t xml:space="preserve">la riduzione delle sanzioni è minore, </w:t>
      </w:r>
      <w:r w:rsidR="0090651B" w:rsidRPr="007F7EBF">
        <w:rPr>
          <w:sz w:val="22"/>
          <w:szCs w:val="22"/>
        </w:rPr>
        <w:t>altrimenti sarebbe troppo comodo evadere pensando di «ravvedersi» dopo l’inizio di un</w:t>
      </w:r>
      <w:r w:rsidR="009C1919" w:rsidRPr="007F7EBF">
        <w:rPr>
          <w:sz w:val="22"/>
          <w:szCs w:val="22"/>
        </w:rPr>
        <w:t xml:space="preserve"> </w:t>
      </w:r>
      <w:r w:rsidR="0090651B" w:rsidRPr="007F7EBF">
        <w:rPr>
          <w:sz w:val="22"/>
          <w:szCs w:val="22"/>
        </w:rPr>
        <w:t>controllo.</w:t>
      </w:r>
      <w:r w:rsidR="003415BD" w:rsidRPr="007F7EBF">
        <w:rPr>
          <w:sz w:val="22"/>
          <w:szCs w:val="22"/>
        </w:rPr>
        <w:t xml:space="preserve"> </w:t>
      </w:r>
    </w:p>
    <w:p w14:paraId="4938B6E4" w14:textId="147FEC11" w:rsidR="00616756" w:rsidRPr="007F7EBF" w:rsidRDefault="007801E8" w:rsidP="00616756">
      <w:pPr>
        <w:pStyle w:val="tit23"/>
        <w:ind w:left="6464" w:right="-1361" w:firstLine="0"/>
        <w:jc w:val="left"/>
        <w:rPr>
          <w:bCs/>
          <w:i/>
          <w:iCs/>
          <w:color w:val="0000FF"/>
          <w:lang w:val="it-IT"/>
        </w:rPr>
      </w:pPr>
      <w:r>
        <w:rPr>
          <w:bCs/>
          <w:i/>
          <w:iCs/>
          <w:color w:val="0000FF"/>
          <w:lang w:val="it-IT"/>
        </w:rPr>
        <w:t>Assistenza dichiarativa</w:t>
      </w:r>
    </w:p>
    <w:p w14:paraId="1FCD2AE9" w14:textId="77777777" w:rsidR="00E30FFB" w:rsidRPr="007F7EBF" w:rsidRDefault="00616756" w:rsidP="00E30FFB">
      <w:pPr>
        <w:autoSpaceDE w:val="0"/>
        <w:autoSpaceDN w:val="0"/>
        <w:adjustRightInd w:val="0"/>
        <w:rPr>
          <w:bCs/>
          <w:i/>
          <w:iCs/>
          <w:color w:val="0000FF"/>
          <w:sz w:val="22"/>
          <w:szCs w:val="22"/>
        </w:rPr>
      </w:pPr>
      <w:r w:rsidRPr="007F7EBF">
        <w:rPr>
          <w:sz w:val="22"/>
          <w:szCs w:val="22"/>
        </w:rPr>
        <w:t xml:space="preserve">La dichiarazione dei redditi è abitualmente redatta da professionisti sia perché è un accessorio dell’assistenza professionale di cui al par.3.16 </w:t>
      </w:r>
      <w:r w:rsidRPr="007F7EBF">
        <w:rPr>
          <w:rStyle w:val="Rimandonotaapidipagina"/>
          <w:bCs/>
          <w:sz w:val="22"/>
          <w:szCs w:val="22"/>
        </w:rPr>
        <w:footnoteReference w:id="267"/>
      </w:r>
      <w:r w:rsidRPr="007F7EBF">
        <w:rPr>
          <w:bCs/>
          <w:sz w:val="22"/>
          <w:szCs w:val="22"/>
        </w:rPr>
        <w:t>, sia perché è ormai redatta secondo programmi informatici che la snelliscono molto. Anche i lavoratori dipendenti</w:t>
      </w:r>
      <w:r w:rsidR="009E002C">
        <w:rPr>
          <w:bCs/>
          <w:sz w:val="22"/>
          <w:szCs w:val="22"/>
        </w:rPr>
        <w:t>, se tenuti alla dichiarazione per i motivi indicati sopra</w:t>
      </w:r>
      <w:r w:rsidRPr="007F7EBF">
        <w:rPr>
          <w:sz w:val="22"/>
          <w:szCs w:val="22"/>
        </w:rPr>
        <w:t xml:space="preserve"> ricorrono, oltre che a professionisti, anche a “centri di assistenza fiscale” (CAF), promossi da associazioni sindacali e di categoria, enti di patronato e simili</w:t>
      </w:r>
      <w:r w:rsidRPr="007F7EBF">
        <w:rPr>
          <w:bCs/>
          <w:sz w:val="22"/>
          <w:szCs w:val="22"/>
        </w:rPr>
        <w:t xml:space="preserve">. </w:t>
      </w:r>
      <w:r w:rsidR="00B443F7" w:rsidRPr="007F7EBF">
        <w:rPr>
          <w:bCs/>
          <w:sz w:val="22"/>
          <w:szCs w:val="22"/>
        </w:rPr>
        <w:t>I</w:t>
      </w:r>
      <w:r w:rsidRPr="007F7EBF">
        <w:rPr>
          <w:sz w:val="22"/>
          <w:szCs w:val="22"/>
        </w:rPr>
        <w:t xml:space="preserve">l </w:t>
      </w:r>
      <w:r w:rsidR="00B443F7" w:rsidRPr="007F7EBF">
        <w:rPr>
          <w:sz w:val="22"/>
          <w:szCs w:val="22"/>
        </w:rPr>
        <w:t>dipendente</w:t>
      </w:r>
      <w:r w:rsidRPr="007F7EBF">
        <w:rPr>
          <w:sz w:val="22"/>
          <w:szCs w:val="22"/>
        </w:rPr>
        <w:t xml:space="preserve"> presenta i documenti e fornisce sotto la sua responsabilità le </w:t>
      </w:r>
      <w:r w:rsidRPr="007F7EBF">
        <w:rPr>
          <w:sz w:val="22"/>
          <w:szCs w:val="22"/>
        </w:rPr>
        <w:lastRenderedPageBreak/>
        <w:t>relative informazioni. I CAF verifica</w:t>
      </w:r>
      <w:r w:rsidR="00B443F7" w:rsidRPr="007F7EBF">
        <w:rPr>
          <w:sz w:val="22"/>
          <w:szCs w:val="22"/>
        </w:rPr>
        <w:t xml:space="preserve">no </w:t>
      </w:r>
      <w:r w:rsidRPr="007F7EBF">
        <w:rPr>
          <w:sz w:val="22"/>
          <w:szCs w:val="22"/>
        </w:rPr>
        <w:t>la regolarità formale dei documenti alla base degli oneri detraibili o deducibili delle persone fisiche (</w:t>
      </w:r>
      <w:r w:rsidRPr="007F7EBF">
        <w:rPr>
          <w:rStyle w:val="Rimandonotaapidipagina"/>
          <w:sz w:val="22"/>
          <w:szCs w:val="22"/>
        </w:rPr>
        <w:footnoteReference w:id="268"/>
      </w:r>
      <w:r w:rsidRPr="007F7EBF">
        <w:rPr>
          <w:sz w:val="22"/>
          <w:szCs w:val="22"/>
        </w:rPr>
        <w:t>), potendo comunicare al datore di lavoro il credito del contribuente, da scomputare dalle ritenute mensili alla fonte</w:t>
      </w:r>
      <w:r w:rsidRPr="007F7EBF">
        <w:rPr>
          <w:rStyle w:val="Rimandonotaapidipagina"/>
          <w:sz w:val="22"/>
          <w:szCs w:val="22"/>
        </w:rPr>
        <w:footnoteReference w:id="269"/>
      </w:r>
      <w:r w:rsidRPr="007F7EBF">
        <w:rPr>
          <w:sz w:val="22"/>
          <w:szCs w:val="22"/>
        </w:rPr>
        <w:t>. Del versamento materiale dei tributi così calcolati si occupano invece gli stessi contribuenti</w:t>
      </w:r>
      <w:r w:rsidR="00B443F7" w:rsidRPr="007F7EBF">
        <w:rPr>
          <w:sz w:val="22"/>
          <w:szCs w:val="22"/>
        </w:rPr>
        <w:t xml:space="preserve">. </w:t>
      </w:r>
    </w:p>
    <w:p w14:paraId="1CF3FD92" w14:textId="77777777" w:rsidR="00E30FFB" w:rsidRPr="007F7EBF" w:rsidRDefault="00E30FFB" w:rsidP="00E30FFB">
      <w:pPr>
        <w:pStyle w:val="tit23"/>
        <w:ind w:left="6464" w:right="-1361" w:firstLine="0"/>
        <w:jc w:val="left"/>
        <w:rPr>
          <w:bCs/>
          <w:i/>
          <w:iCs/>
          <w:color w:val="0000FF"/>
          <w:lang w:val="it-IT"/>
        </w:rPr>
      </w:pPr>
      <w:r w:rsidRPr="007F7EBF">
        <w:rPr>
          <w:bCs/>
          <w:i/>
          <w:iCs/>
          <w:color w:val="0000FF"/>
          <w:lang w:val="it-IT"/>
        </w:rPr>
        <w:t>Invio delle dichiarazioni e questione degli allegati</w:t>
      </w:r>
    </w:p>
    <w:p w14:paraId="39FFF73F" w14:textId="297D6363" w:rsidR="00616756" w:rsidRPr="007F7EBF" w:rsidRDefault="002E48C2" w:rsidP="00616756">
      <w:pPr>
        <w:autoSpaceDE w:val="0"/>
        <w:autoSpaceDN w:val="0"/>
        <w:adjustRightInd w:val="0"/>
        <w:rPr>
          <w:sz w:val="22"/>
          <w:szCs w:val="22"/>
        </w:rPr>
      </w:pPr>
      <w:r w:rsidRPr="007F7EBF">
        <w:rPr>
          <w:sz w:val="22"/>
          <w:szCs w:val="22"/>
        </w:rPr>
        <w:t xml:space="preserve">In origine le </w:t>
      </w:r>
      <w:r w:rsidR="00E30FFB" w:rsidRPr="007F7EBF">
        <w:rPr>
          <w:bCs/>
          <w:sz w:val="22"/>
          <w:szCs w:val="22"/>
        </w:rPr>
        <w:t xml:space="preserve">dichiarazioni </w:t>
      </w:r>
      <w:r w:rsidRPr="007F7EBF">
        <w:rPr>
          <w:bCs/>
          <w:sz w:val="22"/>
          <w:szCs w:val="22"/>
        </w:rPr>
        <w:t xml:space="preserve">erano cartacee, </w:t>
      </w:r>
      <w:r w:rsidR="00F07C6E" w:rsidRPr="007F7EBF">
        <w:rPr>
          <w:bCs/>
          <w:sz w:val="22"/>
          <w:szCs w:val="22"/>
        </w:rPr>
        <w:t xml:space="preserve">e potevano anche essere gestite dagli uffici, </w:t>
      </w:r>
      <w:proofErr w:type="spellStart"/>
      <w:r w:rsidR="00F07C6E" w:rsidRPr="007F7EBF">
        <w:rPr>
          <w:bCs/>
          <w:sz w:val="22"/>
          <w:szCs w:val="22"/>
        </w:rPr>
        <w:t>finchè</w:t>
      </w:r>
      <w:proofErr w:type="spellEnd"/>
      <w:r w:rsidR="00F07C6E" w:rsidRPr="007F7EBF">
        <w:rPr>
          <w:bCs/>
          <w:sz w:val="22"/>
          <w:szCs w:val="22"/>
        </w:rPr>
        <w:t xml:space="preserve"> erano poco numerose, riguardando solo gli operatori economici. Con la generalizzazione della dichiarazione dei redditi, estesa anche ai lavoratori dipendenti per il calcolo dell'imposta personale IRPEF (par.9.3), la </w:t>
      </w:r>
      <w:r w:rsidR="009E002C">
        <w:rPr>
          <w:bCs/>
          <w:sz w:val="22"/>
          <w:szCs w:val="22"/>
        </w:rPr>
        <w:t>dichiarazione</w:t>
      </w:r>
      <w:r w:rsidR="00F07C6E" w:rsidRPr="007F7EBF">
        <w:rPr>
          <w:bCs/>
          <w:sz w:val="22"/>
          <w:szCs w:val="22"/>
        </w:rPr>
        <w:t xml:space="preserve"> cartacea ha </w:t>
      </w:r>
      <w:r w:rsidR="009E002C">
        <w:rPr>
          <w:bCs/>
          <w:sz w:val="22"/>
          <w:szCs w:val="22"/>
        </w:rPr>
        <w:t>creato</w:t>
      </w:r>
      <w:r w:rsidR="00F07C6E" w:rsidRPr="007F7EBF">
        <w:rPr>
          <w:bCs/>
          <w:sz w:val="22"/>
          <w:szCs w:val="22"/>
        </w:rPr>
        <w:t xml:space="preserve"> enormi difficoltà pratiche</w:t>
      </w:r>
      <w:r w:rsidR="00F07C6E" w:rsidRPr="007F7EBF">
        <w:rPr>
          <w:rStyle w:val="Rimandonotaapidipagina"/>
          <w:bCs/>
          <w:sz w:val="22"/>
          <w:szCs w:val="22"/>
        </w:rPr>
        <w:footnoteReference w:id="270"/>
      </w:r>
      <w:r w:rsidR="009E002C">
        <w:rPr>
          <w:bCs/>
          <w:sz w:val="22"/>
          <w:szCs w:val="22"/>
        </w:rPr>
        <w:t xml:space="preserve"> ed è stata smaterializzata d</w:t>
      </w:r>
      <w:r w:rsidR="00F07C6E" w:rsidRPr="007F7EBF">
        <w:rPr>
          <w:bCs/>
          <w:sz w:val="22"/>
          <w:szCs w:val="22"/>
        </w:rPr>
        <w:t>a oltre vent'anni</w:t>
      </w:r>
      <w:r w:rsidR="009E002C">
        <w:rPr>
          <w:bCs/>
          <w:sz w:val="22"/>
          <w:szCs w:val="22"/>
        </w:rPr>
        <w:t xml:space="preserve">; oggi </w:t>
      </w:r>
      <w:r w:rsidR="00F07C6E" w:rsidRPr="007F7EBF">
        <w:rPr>
          <w:bCs/>
          <w:sz w:val="22"/>
          <w:szCs w:val="22"/>
        </w:rPr>
        <w:t xml:space="preserve">le dichiarazioni </w:t>
      </w:r>
      <w:r w:rsidR="00E30FFB" w:rsidRPr="007F7EBF">
        <w:rPr>
          <w:bCs/>
          <w:sz w:val="22"/>
          <w:szCs w:val="22"/>
        </w:rPr>
        <w:t xml:space="preserve"> </w:t>
      </w:r>
      <w:r w:rsidR="00E30FFB" w:rsidRPr="007F7EBF">
        <w:rPr>
          <w:sz w:val="22"/>
          <w:szCs w:val="22"/>
        </w:rPr>
        <w:t xml:space="preserve">sono </w:t>
      </w:r>
      <w:r w:rsidR="00E30FFB" w:rsidRPr="007F7EBF">
        <w:rPr>
          <w:bCs/>
          <w:sz w:val="22"/>
          <w:szCs w:val="22"/>
        </w:rPr>
        <w:t>inoltrate per via telemati</w:t>
      </w:r>
      <w:r w:rsidR="0085242B">
        <w:rPr>
          <w:bCs/>
          <w:sz w:val="22"/>
          <w:szCs w:val="22"/>
        </w:rPr>
        <w:t>ca</w:t>
      </w:r>
      <w:r w:rsidR="00F07C6E" w:rsidRPr="007F7EBF">
        <w:rPr>
          <w:sz w:val="22"/>
          <w:szCs w:val="22"/>
        </w:rPr>
        <w:t xml:space="preserve"> (</w:t>
      </w:r>
      <w:r w:rsidR="00F07C6E" w:rsidRPr="007F7EBF">
        <w:rPr>
          <w:rStyle w:val="Rimandonotaapidipagina"/>
          <w:sz w:val="22"/>
          <w:szCs w:val="22"/>
        </w:rPr>
        <w:footnoteReference w:id="271"/>
      </w:r>
      <w:r w:rsidR="00E30FFB" w:rsidRPr="007F7EBF">
        <w:rPr>
          <w:sz w:val="22"/>
          <w:szCs w:val="22"/>
        </w:rPr>
        <w:t xml:space="preserve">). </w:t>
      </w:r>
      <w:r w:rsidR="00F07C6E" w:rsidRPr="007F7EBF">
        <w:rPr>
          <w:sz w:val="22"/>
          <w:szCs w:val="22"/>
        </w:rPr>
        <w:t>Alla dichiarazione telematica è stato inizialmente difficile aggiungere allegati cartacei, ma p</w:t>
      </w:r>
      <w:r w:rsidR="00E30FFB" w:rsidRPr="007F7EBF">
        <w:rPr>
          <w:sz w:val="22"/>
          <w:szCs w:val="22"/>
        </w:rPr>
        <w:t xml:space="preserve">otrebbe farsi strada, invece, a causa delle nuove possibilità della tecnologia, </w:t>
      </w:r>
      <w:r w:rsidR="00E30FFB" w:rsidRPr="007F7EBF">
        <w:rPr>
          <w:bCs/>
          <w:sz w:val="22"/>
          <w:szCs w:val="22"/>
        </w:rPr>
        <w:t xml:space="preserve">l’invio </w:t>
      </w:r>
      <w:r w:rsidR="00E30FFB" w:rsidRPr="007F7EBF">
        <w:rPr>
          <w:sz w:val="22"/>
          <w:szCs w:val="22"/>
        </w:rPr>
        <w:t xml:space="preserve">al fisco </w:t>
      </w:r>
      <w:r w:rsidR="00E30FFB" w:rsidRPr="007F7EBF">
        <w:rPr>
          <w:bCs/>
          <w:sz w:val="22"/>
          <w:szCs w:val="22"/>
        </w:rPr>
        <w:t>di documenti</w:t>
      </w:r>
      <w:r w:rsidR="00CE4C0E" w:rsidRPr="007F7EBF">
        <w:rPr>
          <w:sz w:val="22"/>
          <w:szCs w:val="22"/>
        </w:rPr>
        <w:t xml:space="preserve"> digitalizzati</w:t>
      </w:r>
      <w:r w:rsidR="00E30FFB" w:rsidRPr="007F7EBF">
        <w:rPr>
          <w:sz w:val="22"/>
          <w:szCs w:val="22"/>
        </w:rPr>
        <w:t xml:space="preserve"> </w:t>
      </w:r>
      <w:r w:rsidR="00E30FFB" w:rsidRPr="007F7EBF">
        <w:rPr>
          <w:bCs/>
          <w:sz w:val="22"/>
          <w:szCs w:val="22"/>
        </w:rPr>
        <w:t>(</w:t>
      </w:r>
      <w:r w:rsidR="00E30FFB" w:rsidRPr="007F7EBF">
        <w:rPr>
          <w:rStyle w:val="Rimandonotaapidipagina"/>
          <w:bCs/>
          <w:sz w:val="22"/>
          <w:szCs w:val="22"/>
        </w:rPr>
        <w:footnoteReference w:id="272"/>
      </w:r>
      <w:r w:rsidR="00E30FFB" w:rsidRPr="007F7EBF">
        <w:rPr>
          <w:bCs/>
          <w:sz w:val="22"/>
          <w:szCs w:val="22"/>
        </w:rPr>
        <w:t>)</w:t>
      </w:r>
      <w:r w:rsidR="00E30FFB" w:rsidRPr="007F7EBF">
        <w:rPr>
          <w:sz w:val="22"/>
          <w:szCs w:val="22"/>
        </w:rPr>
        <w:t xml:space="preserve">. </w:t>
      </w:r>
    </w:p>
    <w:p w14:paraId="2BBCF3E5" w14:textId="77777777" w:rsidR="00616756" w:rsidRPr="007F7EBF" w:rsidRDefault="00B443F7" w:rsidP="00616756">
      <w:pPr>
        <w:pStyle w:val="tit23"/>
        <w:ind w:left="6464" w:right="-1361" w:firstLine="0"/>
        <w:jc w:val="left"/>
        <w:rPr>
          <w:bCs/>
          <w:i/>
          <w:iCs/>
          <w:color w:val="0000FF"/>
          <w:lang w:val="it-IT"/>
        </w:rPr>
      </w:pPr>
      <w:r w:rsidRPr="007F7EBF">
        <w:rPr>
          <w:bCs/>
          <w:i/>
          <w:iCs/>
          <w:color w:val="0000FF"/>
          <w:lang w:val="it-IT"/>
        </w:rPr>
        <w:t>Telematizzazione delle dichiarazioni (la c.d. precompilata)</w:t>
      </w:r>
    </w:p>
    <w:p w14:paraId="0AE56106" w14:textId="77777777" w:rsidR="00713A19" w:rsidRPr="007F7EBF" w:rsidRDefault="00CE4C0E" w:rsidP="00E30FFB">
      <w:pPr>
        <w:autoSpaceDE w:val="0"/>
        <w:autoSpaceDN w:val="0"/>
        <w:adjustRightInd w:val="0"/>
        <w:rPr>
          <w:sz w:val="22"/>
          <w:szCs w:val="22"/>
        </w:rPr>
      </w:pPr>
      <w:r w:rsidRPr="007F7EBF">
        <w:rPr>
          <w:sz w:val="22"/>
          <w:szCs w:val="22"/>
        </w:rPr>
        <w:t xml:space="preserve">Questa possibilità di invio telematico di dati </w:t>
      </w:r>
      <w:r w:rsidR="00B443F7" w:rsidRPr="007F7EBF">
        <w:rPr>
          <w:sz w:val="22"/>
          <w:szCs w:val="22"/>
        </w:rPr>
        <w:t>ha portato, anni or sono, all</w:t>
      </w:r>
      <w:r w:rsidR="00031D2A" w:rsidRPr="007F7EBF">
        <w:rPr>
          <w:sz w:val="22"/>
          <w:szCs w:val="22"/>
        </w:rPr>
        <w:t xml:space="preserve">’obbligo di comunicare al fisco tutte le erogazioni di compensi soggetti a ritenute d’acconto (par.3.6) e tutti gli oneri potenzialmente deducibili o detraibili (par.3.9) ai fini dell’IRPEF; l’obiettivo è </w:t>
      </w:r>
      <w:r w:rsidR="00031D2A" w:rsidRPr="007F7EBF">
        <w:rPr>
          <w:sz w:val="22"/>
          <w:szCs w:val="22"/>
        </w:rPr>
        <w:lastRenderedPageBreak/>
        <w:t>consentire la messa a disposizione “online”, per i lavoratori dipendenti e pensionati, anche con altri redditi (</w:t>
      </w:r>
      <w:proofErr w:type="spellStart"/>
      <w:r w:rsidR="00031D2A" w:rsidRPr="007F7EBF">
        <w:rPr>
          <w:sz w:val="22"/>
          <w:szCs w:val="22"/>
        </w:rPr>
        <w:t>purchè</w:t>
      </w:r>
      <w:proofErr w:type="spellEnd"/>
      <w:r w:rsidR="00031D2A" w:rsidRPr="007F7EBF">
        <w:rPr>
          <w:sz w:val="22"/>
          <w:szCs w:val="22"/>
        </w:rPr>
        <w:t xml:space="preserve"> non d’impresa o professionali), della c.d. </w:t>
      </w:r>
      <w:r w:rsidR="00616756" w:rsidRPr="007F7EBF">
        <w:rPr>
          <w:sz w:val="22"/>
          <w:szCs w:val="22"/>
        </w:rPr>
        <w:t xml:space="preserve">“dichiarazione precompilata” </w:t>
      </w:r>
      <w:r w:rsidR="00B443F7" w:rsidRPr="007F7EBF">
        <w:rPr>
          <w:sz w:val="22"/>
          <w:szCs w:val="22"/>
        </w:rPr>
        <w:t xml:space="preserve">(c.d. “modello 730). </w:t>
      </w:r>
      <w:r w:rsidR="003263AF" w:rsidRPr="007F7EBF">
        <w:rPr>
          <w:sz w:val="22"/>
          <w:szCs w:val="22"/>
        </w:rPr>
        <w:t xml:space="preserve">Ciò </w:t>
      </w:r>
      <w:r w:rsidR="00616756" w:rsidRPr="007F7EBF">
        <w:rPr>
          <w:sz w:val="22"/>
          <w:szCs w:val="22"/>
        </w:rPr>
        <w:t>obbliga a</w:t>
      </w:r>
      <w:r w:rsidR="00B916AF" w:rsidRPr="007F7EBF">
        <w:rPr>
          <w:sz w:val="22"/>
          <w:szCs w:val="22"/>
        </w:rPr>
        <w:t xml:space="preserve"> creare o</w:t>
      </w:r>
      <w:r w:rsidR="00014032" w:rsidRPr="007F7EBF">
        <w:rPr>
          <w:sz w:val="22"/>
          <w:szCs w:val="22"/>
        </w:rPr>
        <w:t xml:space="preserve"> anticipare</w:t>
      </w:r>
      <w:r w:rsidR="00B916AF" w:rsidRPr="007F7EBF">
        <w:rPr>
          <w:sz w:val="22"/>
          <w:szCs w:val="22"/>
        </w:rPr>
        <w:t xml:space="preserve"> un flusso informativo verso il fisco</w:t>
      </w:r>
      <w:r w:rsidR="00B443F7" w:rsidRPr="007F7EBF">
        <w:rPr>
          <w:rStyle w:val="Rimandonotaapidipagina"/>
          <w:sz w:val="22"/>
          <w:szCs w:val="22"/>
        </w:rPr>
        <w:footnoteReference w:id="273"/>
      </w:r>
      <w:r w:rsidR="00616756" w:rsidRPr="007F7EBF">
        <w:rPr>
          <w:sz w:val="22"/>
          <w:szCs w:val="22"/>
        </w:rPr>
        <w:t xml:space="preserve">, in modo che quest'ultimo possa presentare </w:t>
      </w:r>
      <w:r w:rsidR="00B443F7" w:rsidRPr="007F7EBF">
        <w:rPr>
          <w:sz w:val="22"/>
          <w:szCs w:val="22"/>
        </w:rPr>
        <w:t xml:space="preserve">“online” </w:t>
      </w:r>
      <w:r w:rsidR="00616756" w:rsidRPr="007F7EBF">
        <w:rPr>
          <w:sz w:val="22"/>
          <w:szCs w:val="22"/>
        </w:rPr>
        <w:t>al contribuente una ipotesi di dichiarazione precompilata</w:t>
      </w:r>
      <w:r w:rsidR="007274A4" w:rsidRPr="007F7EBF">
        <w:rPr>
          <w:sz w:val="22"/>
          <w:szCs w:val="22"/>
        </w:rPr>
        <w:t>, ovviamente modificabile</w:t>
      </w:r>
      <w:r w:rsidR="005A30A6" w:rsidRPr="007F7EBF">
        <w:rPr>
          <w:rStyle w:val="Rimandonotaapidipagina"/>
          <w:sz w:val="22"/>
          <w:szCs w:val="22"/>
        </w:rPr>
        <w:footnoteReference w:id="274"/>
      </w:r>
      <w:r w:rsidR="00616756" w:rsidRPr="007F7EBF">
        <w:rPr>
          <w:sz w:val="22"/>
          <w:szCs w:val="22"/>
        </w:rPr>
        <w:t xml:space="preserve">. </w:t>
      </w:r>
    </w:p>
    <w:p w14:paraId="1CC7EBF0" w14:textId="77777777" w:rsidR="00713A19" w:rsidRPr="007F7EBF" w:rsidRDefault="00713A19" w:rsidP="00713A19">
      <w:pPr>
        <w:pStyle w:val="tit23"/>
        <w:ind w:left="6464" w:right="-1361" w:firstLine="0"/>
        <w:jc w:val="left"/>
        <w:rPr>
          <w:bCs/>
          <w:i/>
          <w:iCs/>
          <w:color w:val="0000FF"/>
          <w:lang w:val="it-IT"/>
        </w:rPr>
      </w:pPr>
      <w:r w:rsidRPr="007F7EBF">
        <w:rPr>
          <w:bCs/>
          <w:i/>
          <w:iCs/>
          <w:color w:val="0000FF"/>
          <w:lang w:val="it-IT"/>
        </w:rPr>
        <w:t>compensazione amministrativa debiti e crediti</w:t>
      </w:r>
    </w:p>
    <w:p w14:paraId="3CB317FA" w14:textId="77777777" w:rsidR="006342C5" w:rsidRPr="007F7EBF" w:rsidRDefault="006342C5" w:rsidP="00B444A9">
      <w:pPr>
        <w:autoSpaceDE w:val="0"/>
        <w:autoSpaceDN w:val="0"/>
        <w:adjustRightInd w:val="0"/>
        <w:rPr>
          <w:sz w:val="22"/>
          <w:szCs w:val="22"/>
        </w:rPr>
      </w:pPr>
      <w:r w:rsidRPr="007F7EBF">
        <w:rPr>
          <w:sz w:val="22"/>
          <w:szCs w:val="22"/>
        </w:rPr>
        <w:t>Nell’esternalizzazione della tassazione</w:t>
      </w:r>
      <w:r w:rsidR="009E002C">
        <w:rPr>
          <w:sz w:val="22"/>
          <w:szCs w:val="22"/>
        </w:rPr>
        <w:t xml:space="preserve"> </w:t>
      </w:r>
      <w:r w:rsidRPr="007F7EBF">
        <w:rPr>
          <w:sz w:val="22"/>
          <w:szCs w:val="22"/>
        </w:rPr>
        <w:t>su aziende e privati, costoro possono trovarsi a credito per un tributo, e a debito</w:t>
      </w:r>
      <w:r w:rsidR="0053743C" w:rsidRPr="007F7EBF">
        <w:rPr>
          <w:sz w:val="22"/>
          <w:szCs w:val="22"/>
        </w:rPr>
        <w:t xml:space="preserve"> </w:t>
      </w:r>
      <w:r w:rsidRPr="007F7EBF">
        <w:rPr>
          <w:sz w:val="22"/>
          <w:szCs w:val="22"/>
        </w:rPr>
        <w:t xml:space="preserve">per altri, con </w:t>
      </w:r>
      <w:r w:rsidRPr="007F7EBF">
        <w:rPr>
          <w:bCs/>
          <w:sz w:val="22"/>
          <w:szCs w:val="22"/>
        </w:rPr>
        <w:t xml:space="preserve">facoltà di “compensazione amministrativa”, </w:t>
      </w:r>
      <w:r w:rsidRPr="007F7EBF">
        <w:rPr>
          <w:sz w:val="22"/>
          <w:szCs w:val="22"/>
        </w:rPr>
        <w:t>da esercitare unilateralmente</w:t>
      </w:r>
      <w:r w:rsidR="0053743C" w:rsidRPr="007F7EBF">
        <w:rPr>
          <w:sz w:val="22"/>
          <w:szCs w:val="22"/>
        </w:rPr>
        <w:t xml:space="preserve"> </w:t>
      </w:r>
      <w:r w:rsidRPr="007F7EBF">
        <w:rPr>
          <w:sz w:val="22"/>
          <w:szCs w:val="22"/>
        </w:rPr>
        <w:t xml:space="preserve">nei modelli di versamento dei tributi. </w:t>
      </w:r>
      <w:r w:rsidR="0018745D" w:rsidRPr="007F7EBF">
        <w:rPr>
          <w:sz w:val="22"/>
          <w:szCs w:val="22"/>
        </w:rPr>
        <w:t xml:space="preserve">Il versamento </w:t>
      </w:r>
      <w:r w:rsidR="00BC49CF" w:rsidRPr="007F7EBF">
        <w:rPr>
          <w:sz w:val="22"/>
          <w:szCs w:val="22"/>
        </w:rPr>
        <w:t xml:space="preserve">di tributi e contributi </w:t>
      </w:r>
      <w:r w:rsidR="0018745D" w:rsidRPr="007F7EBF">
        <w:rPr>
          <w:sz w:val="22"/>
          <w:szCs w:val="22"/>
        </w:rPr>
        <w:t xml:space="preserve">può cioè avvenire </w:t>
      </w:r>
      <w:r w:rsidR="00BC49CF" w:rsidRPr="007F7EBF">
        <w:rPr>
          <w:sz w:val="22"/>
          <w:szCs w:val="22"/>
        </w:rPr>
        <w:t>al netto di crediti di imposta</w:t>
      </w:r>
      <w:r w:rsidR="0018745D" w:rsidRPr="007F7EBF">
        <w:rPr>
          <w:sz w:val="22"/>
          <w:szCs w:val="22"/>
        </w:rPr>
        <w:t>, anche relati</w:t>
      </w:r>
      <w:r w:rsidR="00BC49CF" w:rsidRPr="007F7EBF">
        <w:rPr>
          <w:sz w:val="22"/>
          <w:szCs w:val="22"/>
        </w:rPr>
        <w:t>vi ad altri tributi</w:t>
      </w:r>
      <w:r w:rsidR="00BC49CF" w:rsidRPr="007F7EBF">
        <w:rPr>
          <w:rStyle w:val="Rimandonotaapidipagina"/>
          <w:sz w:val="22"/>
          <w:szCs w:val="22"/>
        </w:rPr>
        <w:footnoteReference w:id="275"/>
      </w:r>
      <w:r w:rsidR="0018745D" w:rsidRPr="007F7EBF">
        <w:rPr>
          <w:sz w:val="22"/>
          <w:szCs w:val="22"/>
        </w:rPr>
        <w:t xml:space="preserve">. </w:t>
      </w:r>
      <w:r w:rsidRPr="007F7EBF">
        <w:rPr>
          <w:sz w:val="22"/>
          <w:szCs w:val="22"/>
        </w:rPr>
        <w:t>Anche se denominata “</w:t>
      </w:r>
      <w:r w:rsidRPr="007F7EBF">
        <w:rPr>
          <w:bCs/>
          <w:sz w:val="22"/>
          <w:szCs w:val="22"/>
        </w:rPr>
        <w:t>compensazione</w:t>
      </w:r>
      <w:r w:rsidRPr="007F7EBF">
        <w:rPr>
          <w:sz w:val="22"/>
          <w:szCs w:val="22"/>
        </w:rPr>
        <w:t>”,</w:t>
      </w:r>
      <w:r w:rsidR="0053743C" w:rsidRPr="007F7EBF">
        <w:rPr>
          <w:sz w:val="22"/>
          <w:szCs w:val="22"/>
        </w:rPr>
        <w:t xml:space="preserve"> </w:t>
      </w:r>
      <w:r w:rsidRPr="007F7EBF">
        <w:rPr>
          <w:sz w:val="22"/>
          <w:szCs w:val="22"/>
        </w:rPr>
        <w:t>questa facoltà non deve essere confusa con la compensazione civilistica</w:t>
      </w:r>
      <w:r w:rsidR="00BC49CF" w:rsidRPr="007F7EBF">
        <w:rPr>
          <w:rStyle w:val="Rimandonotaapidipagina"/>
          <w:sz w:val="22"/>
          <w:szCs w:val="22"/>
        </w:rPr>
        <w:footnoteReference w:id="276"/>
      </w:r>
      <w:r w:rsidRPr="007F7EBF">
        <w:rPr>
          <w:sz w:val="22"/>
          <w:szCs w:val="22"/>
        </w:rPr>
        <w:t>, che</w:t>
      </w:r>
      <w:r w:rsidR="0018745D" w:rsidRPr="007F7EBF">
        <w:rPr>
          <w:sz w:val="22"/>
          <w:szCs w:val="22"/>
        </w:rPr>
        <w:t xml:space="preserve"> </w:t>
      </w:r>
      <w:r w:rsidR="00BC49CF" w:rsidRPr="007F7EBF">
        <w:rPr>
          <w:sz w:val="22"/>
          <w:szCs w:val="22"/>
        </w:rPr>
        <w:t xml:space="preserve">vede sullo sfondo l'autorità giurisdizionale, in caso di dissenso sull'esistenza o l'ammontare dei crediti addotti dall'altra parte. Si tratta invece di un </w:t>
      </w:r>
      <w:r w:rsidRPr="007F7EBF">
        <w:rPr>
          <w:sz w:val="22"/>
          <w:szCs w:val="22"/>
        </w:rPr>
        <w:t xml:space="preserve">istituto amministrativistico </w:t>
      </w:r>
      <w:r w:rsidR="00BC49CF" w:rsidRPr="007F7EBF">
        <w:rPr>
          <w:sz w:val="22"/>
          <w:szCs w:val="22"/>
        </w:rPr>
        <w:t xml:space="preserve">autoliquidato dallo stesso interessato, che coordina propri </w:t>
      </w:r>
      <w:r w:rsidRPr="007F7EBF">
        <w:rPr>
          <w:sz w:val="22"/>
          <w:szCs w:val="22"/>
        </w:rPr>
        <w:t>debiti e crediti relativi a una pluralità di tributi diversi, applicati per di più con</w:t>
      </w:r>
      <w:r w:rsidR="0053743C" w:rsidRPr="007F7EBF">
        <w:rPr>
          <w:sz w:val="22"/>
          <w:szCs w:val="22"/>
        </w:rPr>
        <w:t xml:space="preserve"> </w:t>
      </w:r>
      <w:r w:rsidRPr="007F7EBF">
        <w:rPr>
          <w:sz w:val="22"/>
          <w:szCs w:val="22"/>
        </w:rPr>
        <w:t xml:space="preserve">continuità nel tempo. Per evitare </w:t>
      </w:r>
      <w:r w:rsidR="00500489" w:rsidRPr="007F7EBF">
        <w:rPr>
          <w:sz w:val="22"/>
          <w:szCs w:val="22"/>
        </w:rPr>
        <w:t xml:space="preserve">abusi frodatori </w:t>
      </w:r>
      <w:r w:rsidR="00500489" w:rsidRPr="007F7EBF">
        <w:rPr>
          <w:sz w:val="22"/>
          <w:szCs w:val="22"/>
        </w:rPr>
        <w:lastRenderedPageBreak/>
        <w:t xml:space="preserve">dell'istituto </w:t>
      </w:r>
      <w:r w:rsidR="00500489" w:rsidRPr="007F7EBF">
        <w:rPr>
          <w:rStyle w:val="Rimandonotaapidipagina"/>
          <w:sz w:val="22"/>
          <w:szCs w:val="22"/>
        </w:rPr>
        <w:footnoteReference w:id="277"/>
      </w:r>
      <w:r w:rsidRPr="007F7EBF">
        <w:rPr>
          <w:sz w:val="22"/>
          <w:szCs w:val="22"/>
        </w:rPr>
        <w:t xml:space="preserve">, </w:t>
      </w:r>
      <w:r w:rsidR="00500489" w:rsidRPr="007F7EBF">
        <w:rPr>
          <w:sz w:val="22"/>
          <w:szCs w:val="22"/>
        </w:rPr>
        <w:t>basat</w:t>
      </w:r>
      <w:r w:rsidR="00837D32" w:rsidRPr="007F7EBF">
        <w:rPr>
          <w:sz w:val="22"/>
          <w:szCs w:val="22"/>
        </w:rPr>
        <w:t>i</w:t>
      </w:r>
      <w:r w:rsidR="00500489" w:rsidRPr="007F7EBF">
        <w:rPr>
          <w:sz w:val="22"/>
          <w:szCs w:val="22"/>
        </w:rPr>
        <w:t xml:space="preserve"> sull'indicazione di</w:t>
      </w:r>
      <w:r w:rsidRPr="007F7EBF">
        <w:rPr>
          <w:sz w:val="22"/>
          <w:szCs w:val="22"/>
        </w:rPr>
        <w:t xml:space="preserve"> crediti fittizi, sono</w:t>
      </w:r>
      <w:r w:rsidR="0053743C" w:rsidRPr="007F7EBF">
        <w:rPr>
          <w:sz w:val="22"/>
          <w:szCs w:val="22"/>
        </w:rPr>
        <w:t xml:space="preserve"> </w:t>
      </w:r>
      <w:r w:rsidRPr="007F7EBF">
        <w:rPr>
          <w:sz w:val="22"/>
          <w:szCs w:val="22"/>
        </w:rPr>
        <w:t>previste una serie di cautele</w:t>
      </w:r>
      <w:r w:rsidR="00500489" w:rsidRPr="007F7EBF">
        <w:rPr>
          <w:rStyle w:val="Rimandonotaapidipagina"/>
          <w:sz w:val="22"/>
          <w:szCs w:val="22"/>
        </w:rPr>
        <w:footnoteReference w:id="278"/>
      </w:r>
      <w:r w:rsidR="009E002C">
        <w:rPr>
          <w:sz w:val="22"/>
          <w:szCs w:val="22"/>
        </w:rPr>
        <w:t xml:space="preserve"> e sanzioni</w:t>
      </w:r>
      <w:r w:rsidRPr="007F7EBF">
        <w:rPr>
          <w:sz w:val="22"/>
          <w:szCs w:val="22"/>
        </w:rPr>
        <w:t>.</w:t>
      </w:r>
      <w:r w:rsidR="0053743C" w:rsidRPr="007F7EBF">
        <w:rPr>
          <w:bCs/>
          <w:i/>
          <w:iCs/>
          <w:color w:val="0000FF"/>
          <w:sz w:val="22"/>
          <w:szCs w:val="22"/>
        </w:rPr>
        <w:t xml:space="preserve"> </w:t>
      </w:r>
    </w:p>
    <w:p w14:paraId="3DAB97BB" w14:textId="2A3380B1" w:rsidR="006342C5" w:rsidRPr="007F7EBF" w:rsidRDefault="006342C5" w:rsidP="00394346">
      <w:pPr>
        <w:pStyle w:val="Titolo3"/>
        <w:rPr>
          <w:rFonts w:ascii="Times New Roman" w:hAnsi="Times New Roman"/>
          <w:sz w:val="22"/>
          <w:szCs w:val="22"/>
        </w:rPr>
      </w:pPr>
      <w:bookmarkStart w:id="35" w:name="_Toc63364952"/>
      <w:r w:rsidRPr="007F7EBF">
        <w:rPr>
          <w:rFonts w:ascii="Times New Roman" w:hAnsi="Times New Roman"/>
          <w:sz w:val="22"/>
          <w:szCs w:val="22"/>
        </w:rPr>
        <w:t xml:space="preserve">3.5. </w:t>
      </w:r>
      <w:r w:rsidR="00305357">
        <w:rPr>
          <w:rFonts w:ascii="Times New Roman" w:hAnsi="Times New Roman"/>
          <w:sz w:val="22"/>
          <w:szCs w:val="22"/>
          <w:lang w:val="it-IT"/>
        </w:rPr>
        <w:t>Determinazione</w:t>
      </w:r>
      <w:r w:rsidRPr="007F7EBF">
        <w:rPr>
          <w:rFonts w:ascii="Times New Roman" w:hAnsi="Times New Roman"/>
          <w:sz w:val="22"/>
          <w:szCs w:val="22"/>
        </w:rPr>
        <w:t xml:space="preserve"> attraverso le aziende di </w:t>
      </w:r>
      <w:r w:rsidR="00305357">
        <w:rPr>
          <w:rFonts w:ascii="Times New Roman" w:hAnsi="Times New Roman"/>
          <w:sz w:val="22"/>
          <w:szCs w:val="22"/>
          <w:lang w:val="it-IT"/>
        </w:rPr>
        <w:t>imponibili</w:t>
      </w:r>
      <w:r w:rsidRPr="007F7EBF">
        <w:rPr>
          <w:rFonts w:ascii="Times New Roman" w:hAnsi="Times New Roman"/>
          <w:sz w:val="22"/>
          <w:szCs w:val="22"/>
        </w:rPr>
        <w:t xml:space="preserve"> di </w:t>
      </w:r>
      <w:proofErr w:type="spellStart"/>
      <w:r w:rsidRPr="007F7EBF">
        <w:rPr>
          <w:rFonts w:ascii="Times New Roman" w:hAnsi="Times New Roman"/>
          <w:sz w:val="22"/>
          <w:szCs w:val="22"/>
        </w:rPr>
        <w:t>terzi:“contribuenti</w:t>
      </w:r>
      <w:proofErr w:type="spellEnd"/>
      <w:r w:rsidR="00394346" w:rsidRPr="007F7EBF">
        <w:rPr>
          <w:rFonts w:ascii="Times New Roman" w:hAnsi="Times New Roman"/>
          <w:sz w:val="22"/>
          <w:szCs w:val="22"/>
        </w:rPr>
        <w:t xml:space="preserve"> </w:t>
      </w:r>
      <w:r w:rsidRPr="007F7EBF">
        <w:rPr>
          <w:rFonts w:ascii="Times New Roman" w:hAnsi="Times New Roman"/>
          <w:sz w:val="22"/>
          <w:szCs w:val="22"/>
        </w:rPr>
        <w:t xml:space="preserve">di diritto” e “di fatto” tra rivalse, </w:t>
      </w:r>
      <w:r w:rsidR="00A0205F" w:rsidRPr="007F7EBF">
        <w:rPr>
          <w:rFonts w:ascii="Times New Roman" w:hAnsi="Times New Roman"/>
          <w:sz w:val="22"/>
          <w:szCs w:val="22"/>
        </w:rPr>
        <w:t xml:space="preserve">traslazioni e </w:t>
      </w:r>
      <w:r w:rsidRPr="007F7EBF">
        <w:rPr>
          <w:rFonts w:ascii="Times New Roman" w:hAnsi="Times New Roman"/>
          <w:sz w:val="22"/>
          <w:szCs w:val="22"/>
        </w:rPr>
        <w:t>controversie</w:t>
      </w:r>
      <w:r w:rsidR="00394346" w:rsidRPr="007F7EBF">
        <w:rPr>
          <w:rFonts w:ascii="Times New Roman" w:hAnsi="Times New Roman"/>
          <w:sz w:val="22"/>
          <w:szCs w:val="22"/>
        </w:rPr>
        <w:t xml:space="preserve"> </w:t>
      </w:r>
      <w:r w:rsidRPr="007F7EBF">
        <w:rPr>
          <w:rFonts w:ascii="Times New Roman" w:hAnsi="Times New Roman"/>
          <w:sz w:val="22"/>
          <w:szCs w:val="22"/>
        </w:rPr>
        <w:t>private con oggetto tributario</w:t>
      </w:r>
      <w:bookmarkEnd w:id="35"/>
    </w:p>
    <w:p w14:paraId="7AE8A677" w14:textId="131A4E22" w:rsidR="00925B90" w:rsidRPr="007F7EBF" w:rsidRDefault="00044034" w:rsidP="00925B90">
      <w:pPr>
        <w:pStyle w:val="tit23"/>
        <w:ind w:left="6464" w:right="-1361" w:firstLine="0"/>
        <w:jc w:val="left"/>
        <w:rPr>
          <w:b/>
          <w:bCs/>
          <w:i/>
          <w:iCs/>
          <w:color w:val="0000FF"/>
          <w:lang w:val="it-IT"/>
        </w:rPr>
      </w:pPr>
      <w:r>
        <w:rPr>
          <w:b/>
          <w:bCs/>
          <w:i/>
          <w:iCs/>
          <w:color w:val="0000FF"/>
          <w:lang w:val="it-IT"/>
        </w:rPr>
        <w:t>Tendenza a concentrare la funzione tributaria</w:t>
      </w:r>
    </w:p>
    <w:p w14:paraId="2B75FB0C" w14:textId="153AFEA3" w:rsidR="0094309C" w:rsidRPr="007F7EBF" w:rsidRDefault="0094309C" w:rsidP="0094309C">
      <w:pPr>
        <w:autoSpaceDE w:val="0"/>
        <w:autoSpaceDN w:val="0"/>
        <w:adjustRightInd w:val="0"/>
        <w:rPr>
          <w:sz w:val="22"/>
          <w:szCs w:val="22"/>
          <w:highlight w:val="yellow"/>
        </w:rPr>
      </w:pPr>
      <w:r>
        <w:rPr>
          <w:sz w:val="22"/>
          <w:szCs w:val="22"/>
        </w:rPr>
        <w:t xml:space="preserve">La determinazione documentale dei presupposti economici delle imposte, riprende la </w:t>
      </w:r>
      <w:r w:rsidR="00B1421B">
        <w:rPr>
          <w:sz w:val="22"/>
          <w:szCs w:val="22"/>
        </w:rPr>
        <w:t xml:space="preserve">pragmatica </w:t>
      </w:r>
      <w:r>
        <w:rPr>
          <w:sz w:val="22"/>
          <w:szCs w:val="22"/>
        </w:rPr>
        <w:t xml:space="preserve">tradizione </w:t>
      </w:r>
      <w:r w:rsidR="00217073">
        <w:rPr>
          <w:sz w:val="22"/>
          <w:szCs w:val="22"/>
        </w:rPr>
        <w:t>preindustriale (</w:t>
      </w:r>
      <w:r w:rsidR="00623B7C">
        <w:rPr>
          <w:sz w:val="22"/>
          <w:szCs w:val="22"/>
        </w:rPr>
        <w:t>par.1.4</w:t>
      </w:r>
      <w:r w:rsidR="00217073">
        <w:rPr>
          <w:sz w:val="22"/>
          <w:szCs w:val="22"/>
        </w:rPr>
        <w:t>)</w:t>
      </w:r>
      <w:r w:rsidR="00B1421B">
        <w:rPr>
          <w:sz w:val="22"/>
          <w:szCs w:val="22"/>
        </w:rPr>
        <w:t xml:space="preserve"> </w:t>
      </w:r>
      <w:r>
        <w:rPr>
          <w:sz w:val="22"/>
          <w:szCs w:val="22"/>
        </w:rPr>
        <w:t xml:space="preserve">di utilizzare </w:t>
      </w:r>
      <w:r w:rsidR="00702C08">
        <w:rPr>
          <w:sz w:val="22"/>
          <w:szCs w:val="22"/>
        </w:rPr>
        <w:t>soggetti diversi da quell</w:t>
      </w:r>
      <w:r>
        <w:rPr>
          <w:sz w:val="22"/>
          <w:szCs w:val="22"/>
        </w:rPr>
        <w:t xml:space="preserve">i cui tali presupposti erano riferibili </w:t>
      </w:r>
      <w:r w:rsidR="00464375">
        <w:rPr>
          <w:sz w:val="22"/>
          <w:szCs w:val="22"/>
        </w:rPr>
        <w:t>(</w:t>
      </w:r>
      <w:r w:rsidR="00464375" w:rsidRPr="007F7EBF">
        <w:rPr>
          <w:rStyle w:val="Rimandonotaapidipagina"/>
          <w:sz w:val="22"/>
          <w:szCs w:val="22"/>
        </w:rPr>
        <w:footnoteReference w:id="279"/>
      </w:r>
      <w:r w:rsidR="00464375">
        <w:rPr>
          <w:sz w:val="22"/>
          <w:szCs w:val="22"/>
        </w:rPr>
        <w:t>)</w:t>
      </w:r>
      <w:r w:rsidR="00702C08">
        <w:rPr>
          <w:sz w:val="22"/>
          <w:szCs w:val="22"/>
        </w:rPr>
        <w:t xml:space="preserve">. </w:t>
      </w:r>
      <w:r>
        <w:rPr>
          <w:sz w:val="22"/>
          <w:szCs w:val="22"/>
        </w:rPr>
        <w:t>La stessa tendenza si ritrova nell’utilizzare i documenti aziendali per determinare presupposti economici delle controparti dell’azienda, riducendo le controparti degli uffici tributari per motivi di efficienza</w:t>
      </w:r>
      <w:r w:rsidR="00167941">
        <w:rPr>
          <w:sz w:val="22"/>
          <w:szCs w:val="22"/>
        </w:rPr>
        <w:t xml:space="preserve">; </w:t>
      </w:r>
      <w:r>
        <w:rPr>
          <w:sz w:val="22"/>
          <w:szCs w:val="22"/>
        </w:rPr>
        <w:t xml:space="preserve">si </w:t>
      </w:r>
      <w:r w:rsidR="00167941">
        <w:rPr>
          <w:sz w:val="22"/>
          <w:szCs w:val="22"/>
        </w:rPr>
        <w:t xml:space="preserve">evita così la </w:t>
      </w:r>
      <w:r>
        <w:rPr>
          <w:sz w:val="22"/>
          <w:szCs w:val="22"/>
        </w:rPr>
        <w:t xml:space="preserve">difficoltà di gestire posizioni individualmente </w:t>
      </w:r>
      <w:r w:rsidRPr="007F7EBF">
        <w:rPr>
          <w:sz w:val="22"/>
          <w:szCs w:val="22"/>
        </w:rPr>
        <w:t>trascurabil</w:t>
      </w:r>
      <w:r>
        <w:rPr>
          <w:sz w:val="22"/>
          <w:szCs w:val="22"/>
        </w:rPr>
        <w:t xml:space="preserve">i, relative </w:t>
      </w:r>
      <w:r w:rsidRPr="007F7EBF">
        <w:rPr>
          <w:sz w:val="22"/>
          <w:szCs w:val="22"/>
        </w:rPr>
        <w:t>a un</w:t>
      </w:r>
      <w:r w:rsidR="00167941">
        <w:rPr>
          <w:sz w:val="22"/>
          <w:szCs w:val="22"/>
        </w:rPr>
        <w:t xml:space="preserve">a molteplicità </w:t>
      </w:r>
      <w:r w:rsidRPr="007F7EBF">
        <w:rPr>
          <w:sz w:val="22"/>
          <w:szCs w:val="22"/>
        </w:rPr>
        <w:t>di contribuent</w:t>
      </w:r>
      <w:r w:rsidR="00167941">
        <w:rPr>
          <w:sz w:val="22"/>
          <w:szCs w:val="22"/>
        </w:rPr>
        <w:t xml:space="preserve">i. Questi ultimi neppure hanno la consapevolezza di essere soggetti a imposte, in modo documentale, attraverso le loro controparti, </w:t>
      </w:r>
      <w:r>
        <w:rPr>
          <w:sz w:val="22"/>
          <w:szCs w:val="22"/>
        </w:rPr>
        <w:t xml:space="preserve">come il consumatore finale inciso dall’IVA </w:t>
      </w:r>
      <w:r w:rsidRPr="007F7EBF">
        <w:rPr>
          <w:sz w:val="22"/>
          <w:szCs w:val="22"/>
        </w:rPr>
        <w:t xml:space="preserve">(par.7.2), </w:t>
      </w:r>
      <w:r>
        <w:rPr>
          <w:sz w:val="22"/>
          <w:szCs w:val="22"/>
        </w:rPr>
        <w:t>il risparmiatore dalle imposte sostitutive applicate dalle banche</w:t>
      </w:r>
      <w:r w:rsidR="00167941">
        <w:rPr>
          <w:sz w:val="22"/>
          <w:szCs w:val="22"/>
        </w:rPr>
        <w:t xml:space="preserve"> (par.8.5), il percettore di redditi tramite il sostituto d’imposta (par.3.6)</w:t>
      </w:r>
      <w:r>
        <w:rPr>
          <w:sz w:val="22"/>
          <w:szCs w:val="22"/>
        </w:rPr>
        <w:t xml:space="preserve">. </w:t>
      </w:r>
    </w:p>
    <w:p w14:paraId="4A4712A6" w14:textId="682CD0B3" w:rsidR="000C46A4" w:rsidRPr="007F7EBF" w:rsidRDefault="000C46A4" w:rsidP="0055693F">
      <w:pPr>
        <w:autoSpaceDE w:val="0"/>
        <w:autoSpaceDN w:val="0"/>
        <w:adjustRightInd w:val="0"/>
        <w:rPr>
          <w:sz w:val="22"/>
          <w:szCs w:val="22"/>
        </w:rPr>
      </w:pPr>
    </w:p>
    <w:p w14:paraId="23A3480B" w14:textId="77777777" w:rsidR="000C46A4" w:rsidRPr="007F7EBF" w:rsidRDefault="000C46A4" w:rsidP="000C46A4">
      <w:pPr>
        <w:pStyle w:val="tit23"/>
        <w:ind w:left="6464" w:right="-1361" w:firstLine="0"/>
        <w:jc w:val="left"/>
        <w:rPr>
          <w:bCs/>
          <w:i/>
          <w:iCs/>
          <w:color w:val="0000FF"/>
          <w:lang w:val="it-IT"/>
        </w:rPr>
      </w:pPr>
      <w:r w:rsidRPr="007F7EBF">
        <w:rPr>
          <w:bCs/>
          <w:i/>
          <w:iCs/>
          <w:color w:val="0000FF"/>
          <w:lang w:val="it-IT"/>
        </w:rPr>
        <w:t>Contribuenti di fatto e di diritto</w:t>
      </w:r>
    </w:p>
    <w:p w14:paraId="0D787F05" w14:textId="637343CB" w:rsidR="00BB1D3F" w:rsidRDefault="00167941" w:rsidP="00464375">
      <w:pPr>
        <w:autoSpaceDE w:val="0"/>
        <w:autoSpaceDN w:val="0"/>
        <w:adjustRightInd w:val="0"/>
        <w:rPr>
          <w:sz w:val="22"/>
          <w:szCs w:val="22"/>
        </w:rPr>
      </w:pPr>
      <w:r>
        <w:rPr>
          <w:sz w:val="22"/>
          <w:szCs w:val="22"/>
        </w:rPr>
        <w:t xml:space="preserve">La determinazione documentale dei presupposti imponibili coinvolge quindi soggetti non tenuti ad emettere alcun documento, posto in essere invece dalle loro controparti. </w:t>
      </w:r>
      <w:r w:rsidR="004C1275">
        <w:rPr>
          <w:sz w:val="22"/>
          <w:szCs w:val="22"/>
        </w:rPr>
        <w:t xml:space="preserve">Si </w:t>
      </w:r>
      <w:r w:rsidR="00884BF7">
        <w:rPr>
          <w:sz w:val="22"/>
          <w:szCs w:val="22"/>
        </w:rPr>
        <w:t>tratta de</w:t>
      </w:r>
      <w:r>
        <w:rPr>
          <w:sz w:val="22"/>
          <w:szCs w:val="22"/>
        </w:rPr>
        <w:t xml:space="preserve">i </w:t>
      </w:r>
      <w:r w:rsidR="00884BF7">
        <w:rPr>
          <w:sz w:val="22"/>
          <w:szCs w:val="22"/>
        </w:rPr>
        <w:t xml:space="preserve">c.d. “contribuenti di </w:t>
      </w:r>
      <w:r>
        <w:rPr>
          <w:sz w:val="22"/>
          <w:szCs w:val="22"/>
        </w:rPr>
        <w:t>fatto</w:t>
      </w:r>
      <w:r w:rsidR="00884BF7">
        <w:rPr>
          <w:sz w:val="22"/>
          <w:szCs w:val="22"/>
        </w:rPr>
        <w:t>”</w:t>
      </w:r>
      <w:r>
        <w:rPr>
          <w:sz w:val="22"/>
          <w:szCs w:val="22"/>
        </w:rPr>
        <w:t xml:space="preserve">, assoggettati ad imposte attraverso le loro controparti denominate </w:t>
      </w:r>
      <w:r w:rsidR="00884BF7">
        <w:rPr>
          <w:sz w:val="22"/>
          <w:szCs w:val="22"/>
        </w:rPr>
        <w:t xml:space="preserve">“contribuenti di </w:t>
      </w:r>
      <w:r>
        <w:rPr>
          <w:sz w:val="22"/>
          <w:szCs w:val="22"/>
        </w:rPr>
        <w:t>diri</w:t>
      </w:r>
      <w:r w:rsidR="00884BF7">
        <w:rPr>
          <w:sz w:val="22"/>
          <w:szCs w:val="22"/>
        </w:rPr>
        <w:t>tto”</w:t>
      </w:r>
      <w:r>
        <w:rPr>
          <w:sz w:val="22"/>
          <w:szCs w:val="22"/>
        </w:rPr>
        <w:t xml:space="preserve">. Questi ultimi determinano e versano l’imposta, </w:t>
      </w:r>
      <w:r>
        <w:rPr>
          <w:sz w:val="22"/>
          <w:szCs w:val="22"/>
        </w:rPr>
        <w:lastRenderedPageBreak/>
        <w:t xml:space="preserve">trasferendone </w:t>
      </w:r>
      <w:r w:rsidR="00884BF7">
        <w:rPr>
          <w:sz w:val="22"/>
          <w:szCs w:val="22"/>
        </w:rPr>
        <w:t xml:space="preserve">economicamente il peso </w:t>
      </w:r>
      <w:r>
        <w:rPr>
          <w:sz w:val="22"/>
          <w:szCs w:val="22"/>
        </w:rPr>
        <w:t xml:space="preserve">sui </w:t>
      </w:r>
      <w:r>
        <w:rPr>
          <w:i/>
          <w:iCs/>
          <w:sz w:val="22"/>
          <w:szCs w:val="22"/>
        </w:rPr>
        <w:t>contribuenti di fatto</w:t>
      </w:r>
      <w:r w:rsidR="008477E6">
        <w:rPr>
          <w:sz w:val="22"/>
          <w:szCs w:val="22"/>
        </w:rPr>
        <w:t>, senza l’intervento degli uffici tributar</w:t>
      </w:r>
      <w:r>
        <w:rPr>
          <w:sz w:val="22"/>
          <w:szCs w:val="22"/>
        </w:rPr>
        <w:t xml:space="preserve">i. </w:t>
      </w:r>
    </w:p>
    <w:p w14:paraId="50D59318" w14:textId="521AC1F9" w:rsidR="00995AE4" w:rsidRPr="007F7EBF" w:rsidRDefault="00BB1D3F" w:rsidP="00995AE4">
      <w:pPr>
        <w:pStyle w:val="tit23"/>
        <w:ind w:left="6464" w:right="-1361" w:firstLine="0"/>
        <w:jc w:val="left"/>
        <w:rPr>
          <w:b/>
          <w:bCs/>
          <w:i/>
          <w:iCs/>
          <w:color w:val="0000FF"/>
          <w:lang w:val="it-IT"/>
        </w:rPr>
      </w:pPr>
      <w:r>
        <w:rPr>
          <w:b/>
          <w:bCs/>
          <w:i/>
          <w:iCs/>
          <w:color w:val="0000FF"/>
          <w:lang w:val="it-IT"/>
        </w:rPr>
        <w:t xml:space="preserve">Traslazione e rivalsa </w:t>
      </w:r>
    </w:p>
    <w:p w14:paraId="2C78CE65" w14:textId="252A91E3" w:rsidR="00D23F0A" w:rsidRPr="007F7EBF" w:rsidRDefault="00231179" w:rsidP="008F0B03">
      <w:pPr>
        <w:autoSpaceDE w:val="0"/>
        <w:autoSpaceDN w:val="0"/>
        <w:adjustRightInd w:val="0"/>
        <w:rPr>
          <w:sz w:val="22"/>
          <w:szCs w:val="22"/>
        </w:rPr>
      </w:pPr>
      <w:r>
        <w:rPr>
          <w:sz w:val="22"/>
          <w:szCs w:val="22"/>
        </w:rPr>
        <w:t xml:space="preserve">Questo trasferimento si definisce “traslazione” sul piano economico, e “rivalsa” sul piano giuridico, </w:t>
      </w:r>
      <w:r w:rsidR="00167941">
        <w:rPr>
          <w:sz w:val="22"/>
          <w:szCs w:val="22"/>
        </w:rPr>
        <w:t xml:space="preserve">effettuata in genere incorporando l’imposta nel </w:t>
      </w:r>
      <w:r w:rsidR="00BB1D3F">
        <w:rPr>
          <w:bCs/>
          <w:sz w:val="22"/>
          <w:szCs w:val="22"/>
        </w:rPr>
        <w:t>prezzo</w:t>
      </w:r>
      <w:r w:rsidR="00167941">
        <w:rPr>
          <w:bCs/>
          <w:sz w:val="22"/>
          <w:szCs w:val="22"/>
        </w:rPr>
        <w:t xml:space="preserve">, come nelle operazioni “al dettaglio”, sia per l’Iva sia per le imposte di </w:t>
      </w:r>
      <w:r w:rsidR="00A31E8D">
        <w:rPr>
          <w:bCs/>
          <w:sz w:val="22"/>
          <w:szCs w:val="22"/>
        </w:rPr>
        <w:t xml:space="preserve">fabbricazione (le </w:t>
      </w:r>
      <w:r w:rsidR="00A31E8D" w:rsidRPr="00A31E8D">
        <w:rPr>
          <w:bCs/>
          <w:i/>
          <w:iCs/>
          <w:sz w:val="22"/>
          <w:szCs w:val="22"/>
        </w:rPr>
        <w:t>a</w:t>
      </w:r>
      <w:r w:rsidR="00A31E8D">
        <w:rPr>
          <w:bCs/>
          <w:i/>
          <w:iCs/>
          <w:sz w:val="22"/>
          <w:szCs w:val="22"/>
        </w:rPr>
        <w:t xml:space="preserve">ccise </w:t>
      </w:r>
      <w:r w:rsidR="00A31E8D">
        <w:rPr>
          <w:bCs/>
          <w:sz w:val="22"/>
          <w:szCs w:val="22"/>
        </w:rPr>
        <w:t>di cui al par.10.6)</w:t>
      </w:r>
      <w:r w:rsidR="00167941">
        <w:rPr>
          <w:bCs/>
          <w:sz w:val="22"/>
          <w:szCs w:val="22"/>
        </w:rPr>
        <w:t xml:space="preserve">. </w:t>
      </w:r>
      <w:r w:rsidR="00A31E8D">
        <w:rPr>
          <w:bCs/>
          <w:sz w:val="22"/>
          <w:szCs w:val="22"/>
        </w:rPr>
        <w:t xml:space="preserve">Negli altri </w:t>
      </w:r>
      <w:r w:rsidR="00D25DE2">
        <w:rPr>
          <w:bCs/>
          <w:sz w:val="22"/>
          <w:szCs w:val="22"/>
        </w:rPr>
        <w:t xml:space="preserve">casi </w:t>
      </w:r>
      <w:r w:rsidR="00A31E8D">
        <w:rPr>
          <w:bCs/>
          <w:sz w:val="22"/>
          <w:szCs w:val="22"/>
        </w:rPr>
        <w:t>d</w:t>
      </w:r>
      <w:r w:rsidR="00D25DE2">
        <w:rPr>
          <w:bCs/>
          <w:sz w:val="22"/>
          <w:szCs w:val="22"/>
        </w:rPr>
        <w:t>ell’IVA</w:t>
      </w:r>
      <w:r w:rsidR="00A31E8D">
        <w:rPr>
          <w:bCs/>
          <w:sz w:val="22"/>
          <w:szCs w:val="22"/>
        </w:rPr>
        <w:t xml:space="preserve">, </w:t>
      </w:r>
      <w:r w:rsidR="00D25DE2">
        <w:rPr>
          <w:bCs/>
          <w:sz w:val="22"/>
          <w:szCs w:val="22"/>
        </w:rPr>
        <w:t xml:space="preserve">nelle </w:t>
      </w:r>
      <w:r w:rsidR="008F0B03" w:rsidRPr="007F7EBF">
        <w:rPr>
          <w:sz w:val="22"/>
          <w:szCs w:val="22"/>
        </w:rPr>
        <w:t>imposte sostitutive sui redditi di capitale (par.8.5)</w:t>
      </w:r>
      <w:r w:rsidR="00D25DE2">
        <w:rPr>
          <w:sz w:val="22"/>
          <w:szCs w:val="22"/>
        </w:rPr>
        <w:t xml:space="preserve">, </w:t>
      </w:r>
      <w:r w:rsidR="00A31E8D">
        <w:rPr>
          <w:sz w:val="22"/>
          <w:szCs w:val="22"/>
        </w:rPr>
        <w:t xml:space="preserve">o nelle accise sull’energia, </w:t>
      </w:r>
      <w:r w:rsidR="00D25DE2">
        <w:rPr>
          <w:sz w:val="22"/>
          <w:szCs w:val="22"/>
        </w:rPr>
        <w:t xml:space="preserve">l’addebito al contribuente di fatto è giuridicamente distinto e autonomo. </w:t>
      </w:r>
      <w:r w:rsidR="00920FB5">
        <w:t xml:space="preserve">Ai </w:t>
      </w:r>
      <w:r w:rsidR="00920FB5" w:rsidRPr="007F7EBF">
        <w:rPr>
          <w:sz w:val="22"/>
          <w:szCs w:val="22"/>
        </w:rPr>
        <w:t xml:space="preserve">contribuenti di fatto non </w:t>
      </w:r>
      <w:r w:rsidR="00920FB5">
        <w:rPr>
          <w:sz w:val="22"/>
          <w:szCs w:val="22"/>
        </w:rPr>
        <w:t>è concesso chiedere all</w:t>
      </w:r>
      <w:r w:rsidR="00920FB5" w:rsidRPr="007F7EBF">
        <w:rPr>
          <w:sz w:val="22"/>
          <w:szCs w:val="22"/>
        </w:rPr>
        <w:t>’amministrazione tributaria</w:t>
      </w:r>
      <w:r w:rsidR="00920FB5">
        <w:rPr>
          <w:sz w:val="22"/>
          <w:szCs w:val="22"/>
        </w:rPr>
        <w:t xml:space="preserve"> </w:t>
      </w:r>
      <w:r w:rsidR="00920FB5" w:rsidRPr="007F7EBF">
        <w:t>i</w:t>
      </w:r>
      <w:r w:rsidR="00920FB5">
        <w:t>l</w:t>
      </w:r>
      <w:r w:rsidR="00920FB5" w:rsidRPr="007F7EBF">
        <w:t xml:space="preserve"> rimborso </w:t>
      </w:r>
      <w:r w:rsidR="00920FB5">
        <w:t>di quanto loro prelevato dal</w:t>
      </w:r>
      <w:r w:rsidR="00920FB5" w:rsidRPr="007F7EBF">
        <w:t xml:space="preserve"> contribuente di </w:t>
      </w:r>
      <w:r w:rsidR="00920FB5">
        <w:t>diri</w:t>
      </w:r>
      <w:r w:rsidR="00920FB5" w:rsidRPr="007F7EBF">
        <w:t>tto</w:t>
      </w:r>
      <w:r w:rsidR="00A31E8D">
        <w:t xml:space="preserve">, cui </w:t>
      </w:r>
      <w:r w:rsidR="00920FB5">
        <w:t xml:space="preserve">si </w:t>
      </w:r>
      <w:r w:rsidR="00920FB5" w:rsidRPr="007F7EBF">
        <w:t>concentr</w:t>
      </w:r>
      <w:r w:rsidR="00920FB5">
        <w:t>ano</w:t>
      </w:r>
      <w:r w:rsidR="00920FB5" w:rsidRPr="007F7EBF">
        <w:t xml:space="preserve"> i  rapporti con gli uffici tributari.</w:t>
      </w:r>
    </w:p>
    <w:p w14:paraId="0C9BA033" w14:textId="7225E8C3" w:rsidR="00A1243D" w:rsidRPr="007F7EBF" w:rsidRDefault="00A1243D" w:rsidP="00A1243D">
      <w:pPr>
        <w:pStyle w:val="tit23"/>
        <w:ind w:left="6464" w:right="-1361" w:firstLine="0"/>
        <w:jc w:val="left"/>
        <w:rPr>
          <w:bCs/>
          <w:i/>
          <w:iCs/>
          <w:color w:val="0000FF"/>
          <w:lang w:val="it-IT"/>
        </w:rPr>
      </w:pPr>
      <w:r w:rsidRPr="007F7EBF">
        <w:rPr>
          <w:bCs/>
          <w:i/>
          <w:iCs/>
          <w:color w:val="0000FF"/>
          <w:lang w:val="it-IT"/>
        </w:rPr>
        <w:t>Eccezioni del contribuente di fatto</w:t>
      </w:r>
      <w:r w:rsidR="00A56D93">
        <w:rPr>
          <w:bCs/>
          <w:i/>
          <w:iCs/>
          <w:color w:val="0000FF"/>
          <w:lang w:val="it-IT"/>
        </w:rPr>
        <w:t xml:space="preserve"> e possibili liti</w:t>
      </w:r>
    </w:p>
    <w:p w14:paraId="65BC7592" w14:textId="0DC3EC77" w:rsidR="004E2696" w:rsidRPr="007F7EBF" w:rsidRDefault="00A31E8D" w:rsidP="008F0B03">
      <w:pPr>
        <w:autoSpaceDE w:val="0"/>
        <w:autoSpaceDN w:val="0"/>
        <w:adjustRightInd w:val="0"/>
        <w:rPr>
          <w:bCs/>
          <w:i/>
          <w:iCs/>
          <w:color w:val="0000FF"/>
        </w:rPr>
      </w:pPr>
      <w:r>
        <w:rPr>
          <w:sz w:val="22"/>
          <w:szCs w:val="22"/>
        </w:rPr>
        <w:t xml:space="preserve">Il contribuente di fatto che ritiene non dovuta l’imposta dovrà quindi contestare la richiesta verso il </w:t>
      </w:r>
      <w:r w:rsidR="00DB2B08" w:rsidRPr="007F7EBF">
        <w:rPr>
          <w:sz w:val="22"/>
          <w:szCs w:val="22"/>
        </w:rPr>
        <w:t>contribuente di diritto</w:t>
      </w:r>
      <w:r w:rsidR="00703831" w:rsidRPr="007F7EBF">
        <w:rPr>
          <w:sz w:val="22"/>
          <w:szCs w:val="22"/>
        </w:rPr>
        <w:t xml:space="preserve"> (</w:t>
      </w:r>
      <w:r w:rsidR="0002397A" w:rsidRPr="007F7EBF">
        <w:rPr>
          <w:rStyle w:val="Rimandonotaapidipagina"/>
          <w:sz w:val="22"/>
          <w:szCs w:val="22"/>
        </w:rPr>
        <w:footnoteReference w:id="280"/>
      </w:r>
      <w:r w:rsidR="00703831" w:rsidRPr="007F7EBF">
        <w:rPr>
          <w:sz w:val="22"/>
          <w:szCs w:val="22"/>
        </w:rPr>
        <w:t>)</w:t>
      </w:r>
      <w:r>
        <w:rPr>
          <w:sz w:val="22"/>
          <w:szCs w:val="22"/>
        </w:rPr>
        <w:t xml:space="preserve">, con una lite tra privati </w:t>
      </w:r>
      <w:r w:rsidR="00703831" w:rsidRPr="007F7EBF">
        <w:t xml:space="preserve">con oggetto tributario, davanti al </w:t>
      </w:r>
      <w:r w:rsidR="00DB2B08" w:rsidRPr="007F7EBF">
        <w:rPr>
          <w:bCs/>
        </w:rPr>
        <w:t>giudice civile</w:t>
      </w:r>
      <w:r w:rsidR="009A6FDD">
        <w:t>; solo per le liti tra sostituto e sostituito, di cui al prossimo paragrafo, ci sono dubbi giurisprudenziali</w:t>
      </w:r>
      <w:r w:rsidR="008C1A72">
        <w:t>(</w:t>
      </w:r>
      <w:r w:rsidR="00A1243D" w:rsidRPr="007F7EBF">
        <w:rPr>
          <w:rStyle w:val="Rimandonotaapidipagina"/>
        </w:rPr>
        <w:footnoteReference w:id="281"/>
      </w:r>
      <w:r w:rsidR="008C1A72">
        <w:t>)</w:t>
      </w:r>
      <w:r w:rsidR="00A1243D" w:rsidRPr="007F7EBF">
        <w:t xml:space="preserve">. </w:t>
      </w:r>
    </w:p>
    <w:p w14:paraId="09F75DC0" w14:textId="6B95E8A8" w:rsidR="004E2696" w:rsidRPr="007F7EBF" w:rsidRDefault="00FC032D" w:rsidP="004E2696">
      <w:pPr>
        <w:pStyle w:val="tit23"/>
        <w:ind w:firstLine="0"/>
        <w:rPr>
          <w:lang w:val="it-IT"/>
        </w:rPr>
      </w:pPr>
      <w:r w:rsidRPr="007F7EBF">
        <w:rPr>
          <w:lang w:val="it-IT"/>
        </w:rPr>
        <w:t>Quest</w:t>
      </w:r>
      <w:r w:rsidR="008F0B03">
        <w:rPr>
          <w:lang w:val="it-IT"/>
        </w:rPr>
        <w:t>’</w:t>
      </w:r>
      <w:r w:rsidRPr="007F7EBF">
        <w:rPr>
          <w:lang w:val="it-IT"/>
        </w:rPr>
        <w:t>autonomia dei giudizi comporta il rischio di soluzioni contrastanti, col contribuente di diritto</w:t>
      </w:r>
      <w:r w:rsidR="00B35E02">
        <w:rPr>
          <w:lang w:val="it-IT"/>
        </w:rPr>
        <w:t xml:space="preserve"> </w:t>
      </w:r>
      <w:r w:rsidRPr="007F7EBF">
        <w:rPr>
          <w:lang w:val="it-IT"/>
        </w:rPr>
        <w:t xml:space="preserve">condannato in sede civile a rimborsare al contribuente di fatto tributi che in sede tributaria </w:t>
      </w:r>
      <w:r w:rsidR="0020147E" w:rsidRPr="007F7EBF">
        <w:rPr>
          <w:lang w:val="it-IT"/>
        </w:rPr>
        <w:t xml:space="preserve">sono invece </w:t>
      </w:r>
      <w:r w:rsidRPr="007F7EBF">
        <w:rPr>
          <w:lang w:val="it-IT"/>
        </w:rPr>
        <w:t>considerati dovuti</w:t>
      </w:r>
      <w:r w:rsidR="00920FB5">
        <w:rPr>
          <w:lang w:val="it-IT"/>
        </w:rPr>
        <w:t xml:space="preserve">; potrebbe </w:t>
      </w:r>
      <w:r w:rsidR="008C1A72">
        <w:rPr>
          <w:lang w:val="it-IT"/>
        </w:rPr>
        <w:t xml:space="preserve">anche accadere </w:t>
      </w:r>
      <w:r w:rsidR="00920FB5">
        <w:rPr>
          <w:lang w:val="it-IT"/>
        </w:rPr>
        <w:t>l’inverso</w:t>
      </w:r>
      <w:r w:rsidR="008C1A72">
        <w:rPr>
          <w:lang w:val="it-IT"/>
        </w:rPr>
        <w:t xml:space="preserve">, con rischi d’indebito arricchimento </w:t>
      </w:r>
      <w:r w:rsidR="00920FB5">
        <w:rPr>
          <w:lang w:val="it-IT"/>
        </w:rPr>
        <w:t xml:space="preserve">a favore </w:t>
      </w:r>
      <w:r w:rsidR="008C1A72">
        <w:rPr>
          <w:lang w:val="it-IT"/>
        </w:rPr>
        <w:t>del contribuente di diritto</w:t>
      </w:r>
      <w:r w:rsidRPr="007F7EBF">
        <w:rPr>
          <w:lang w:val="it-IT"/>
        </w:rPr>
        <w:t xml:space="preserve">. </w:t>
      </w:r>
    </w:p>
    <w:p w14:paraId="71D43DF4" w14:textId="77777777" w:rsidR="004E2696" w:rsidRPr="007F7EBF" w:rsidRDefault="004E2696" w:rsidP="004E2696">
      <w:pPr>
        <w:pStyle w:val="tit23"/>
        <w:ind w:left="6464" w:right="-1361" w:firstLine="0"/>
        <w:jc w:val="left"/>
        <w:rPr>
          <w:bCs/>
          <w:i/>
          <w:iCs/>
          <w:color w:val="0000FF"/>
          <w:lang w:val="it-IT"/>
        </w:rPr>
      </w:pPr>
      <w:r w:rsidRPr="007F7EBF">
        <w:rPr>
          <w:bCs/>
          <w:i/>
          <w:iCs/>
          <w:color w:val="0000FF"/>
          <w:lang w:val="it-IT"/>
        </w:rPr>
        <w:t>Coobbligazione solidale verso il fisco</w:t>
      </w:r>
    </w:p>
    <w:p w14:paraId="7659A41C" w14:textId="4AD3FE93" w:rsidR="00E62B7B" w:rsidRPr="007F7EBF" w:rsidRDefault="006F32DD" w:rsidP="008F0B03">
      <w:pPr>
        <w:pStyle w:val="tit23"/>
        <w:ind w:firstLine="0"/>
        <w:rPr>
          <w:lang w:val="it-IT"/>
        </w:rPr>
      </w:pPr>
      <w:r w:rsidRPr="007F7EBF">
        <w:rPr>
          <w:lang w:val="it-IT"/>
        </w:rPr>
        <w:lastRenderedPageBreak/>
        <w:t>Un soggetto estraneo al</w:t>
      </w:r>
      <w:r w:rsidR="00C67695">
        <w:rPr>
          <w:lang w:val="it-IT"/>
        </w:rPr>
        <w:t xml:space="preserve"> presupposto d’imposta</w:t>
      </w:r>
      <w:r w:rsidRPr="007F7EBF">
        <w:rPr>
          <w:lang w:val="it-IT"/>
        </w:rPr>
        <w:t xml:space="preserve"> può diventare "contribuente di diritto" anche per via di "coobbligazioni solidali" </w:t>
      </w:r>
      <w:r w:rsidR="008C1A72">
        <w:rPr>
          <w:lang w:val="it-IT"/>
        </w:rPr>
        <w:t>(</w:t>
      </w:r>
      <w:r w:rsidR="002932F4" w:rsidRPr="007F7EBF">
        <w:rPr>
          <w:rStyle w:val="Rimandonotaapidipagina"/>
          <w:lang w:val="it-IT"/>
        </w:rPr>
        <w:footnoteReference w:id="282"/>
      </w:r>
      <w:r w:rsidR="008C1A72">
        <w:rPr>
          <w:lang w:val="it-IT"/>
        </w:rPr>
        <w:t>)</w:t>
      </w:r>
      <w:r w:rsidRPr="007F7EBF">
        <w:rPr>
          <w:lang w:val="it-IT"/>
        </w:rPr>
        <w:t xml:space="preserve"> per </w:t>
      </w:r>
      <w:r w:rsidR="00E62B7B" w:rsidRPr="007F7EBF">
        <w:rPr>
          <w:lang w:val="it-IT"/>
        </w:rPr>
        <w:t>debiti tributari. Come noto, in questi casi l'ufficio tributario può rivol</w:t>
      </w:r>
      <w:r w:rsidR="00B354B7" w:rsidRPr="007F7EBF">
        <w:rPr>
          <w:lang w:val="it-IT"/>
        </w:rPr>
        <w:t>gersi</w:t>
      </w:r>
      <w:r w:rsidR="00B1421B">
        <w:rPr>
          <w:lang w:val="it-IT"/>
        </w:rPr>
        <w:t xml:space="preserve"> </w:t>
      </w:r>
      <w:r w:rsidR="008256A6">
        <w:rPr>
          <w:lang w:val="it-IT"/>
        </w:rPr>
        <w:t>(</w:t>
      </w:r>
      <w:r w:rsidR="00E62B7B" w:rsidRPr="007F7EBF">
        <w:rPr>
          <w:rStyle w:val="Rimandonotaapidipagina"/>
          <w:lang w:val="it-IT"/>
        </w:rPr>
        <w:footnoteReference w:id="283"/>
      </w:r>
      <w:r w:rsidR="008256A6">
        <w:rPr>
          <w:lang w:val="it-IT"/>
        </w:rPr>
        <w:t>)</w:t>
      </w:r>
      <w:r w:rsidR="00B354B7" w:rsidRPr="007F7EBF">
        <w:rPr>
          <w:lang w:val="it-IT"/>
        </w:rPr>
        <w:t xml:space="preserve"> </w:t>
      </w:r>
      <w:r w:rsidR="00E62B7B" w:rsidRPr="007F7EBF">
        <w:rPr>
          <w:lang w:val="it-IT"/>
        </w:rPr>
        <w:t>indifferentemente a vari condebitori</w:t>
      </w:r>
      <w:r w:rsidR="00B354B7" w:rsidRPr="007F7EBF">
        <w:rPr>
          <w:lang w:val="it-IT"/>
        </w:rPr>
        <w:t xml:space="preserve"> </w:t>
      </w:r>
      <w:r w:rsidR="00E62B7B" w:rsidRPr="007F7EBF">
        <w:rPr>
          <w:lang w:val="it-IT"/>
        </w:rPr>
        <w:t xml:space="preserve">che congiuntamente hanno realizzato </w:t>
      </w:r>
      <w:r w:rsidR="00A31E8D">
        <w:rPr>
          <w:lang w:val="it-IT"/>
        </w:rPr>
        <w:t xml:space="preserve">il </w:t>
      </w:r>
      <w:r w:rsidR="00E62B7B" w:rsidRPr="007F7EBF">
        <w:rPr>
          <w:lang w:val="it-IT"/>
        </w:rPr>
        <w:t>sottostante</w:t>
      </w:r>
      <w:r w:rsidR="00A31E8D">
        <w:rPr>
          <w:lang w:val="it-IT"/>
        </w:rPr>
        <w:t xml:space="preserve"> presupposto economico</w:t>
      </w:r>
      <w:r w:rsidR="00E62B7B" w:rsidRPr="007F7EBF">
        <w:rPr>
          <w:lang w:val="it-IT"/>
        </w:rPr>
        <w:t>, come le parti di un contratto ai fini dell’imposta di registro (par.10.2), i coeredi per i tributi dovuti dal defunto</w:t>
      </w:r>
      <w:r w:rsidR="00A20581">
        <w:rPr>
          <w:lang w:val="it-IT"/>
        </w:rPr>
        <w:t xml:space="preserve"> </w:t>
      </w:r>
      <w:r w:rsidR="00A20581" w:rsidRPr="00A20581">
        <w:rPr>
          <w:lang w:val="it-IT"/>
        </w:rPr>
        <w:t>(</w:t>
      </w:r>
      <w:r w:rsidR="00A20581" w:rsidRPr="007F7EBF">
        <w:rPr>
          <w:rStyle w:val="Rimandonotaapidipagina"/>
        </w:rPr>
        <w:footnoteReference w:id="284"/>
      </w:r>
      <w:r w:rsidR="00A20581" w:rsidRPr="00A20581">
        <w:rPr>
          <w:lang w:val="it-IT"/>
        </w:rPr>
        <w:t>)</w:t>
      </w:r>
      <w:r w:rsidR="00E62B7B" w:rsidRPr="007F7EBF">
        <w:rPr>
          <w:lang w:val="it-IT"/>
        </w:rPr>
        <w:t>, etc.</w:t>
      </w:r>
      <w:r w:rsidR="00A20581">
        <w:rPr>
          <w:lang w:val="it-IT"/>
        </w:rPr>
        <w:t>.</w:t>
      </w:r>
      <w:r w:rsidR="00E62B7B" w:rsidRPr="007F7EBF">
        <w:rPr>
          <w:lang w:val="it-IT"/>
        </w:rPr>
        <w:t xml:space="preserve"> </w:t>
      </w:r>
      <w:r w:rsidR="002932F4" w:rsidRPr="007F7EBF">
        <w:rPr>
          <w:lang w:val="it-IT"/>
        </w:rPr>
        <w:t>In questo caso</w:t>
      </w:r>
      <w:r w:rsidR="009847AC" w:rsidRPr="007F7EBF">
        <w:rPr>
          <w:lang w:val="it-IT"/>
        </w:rPr>
        <w:t xml:space="preserve"> i condebitori solidali sono nella stessa posizione, sia tra loro via verso il fisco, e</w:t>
      </w:r>
      <w:r w:rsidR="002932F4" w:rsidRPr="007F7EBF">
        <w:rPr>
          <w:lang w:val="it-IT"/>
        </w:rPr>
        <w:t xml:space="preserve"> la coobbligazione solidale è denominata </w:t>
      </w:r>
      <w:r w:rsidR="002932F4" w:rsidRPr="008F0B03">
        <w:rPr>
          <w:i/>
          <w:lang w:val="it-IT"/>
        </w:rPr>
        <w:t>paritetica</w:t>
      </w:r>
      <w:r w:rsidR="009847AC" w:rsidRPr="007F7EBF">
        <w:rPr>
          <w:lang w:val="it-IT"/>
        </w:rPr>
        <w:t xml:space="preserve">. </w:t>
      </w:r>
    </w:p>
    <w:p w14:paraId="67F9CAB8" w14:textId="77777777" w:rsidR="00E62B7B" w:rsidRPr="007F7EBF" w:rsidRDefault="00E62B7B" w:rsidP="00E62B7B">
      <w:pPr>
        <w:pStyle w:val="tit23"/>
        <w:ind w:left="6464" w:right="-1361" w:firstLine="0"/>
        <w:jc w:val="left"/>
        <w:rPr>
          <w:bCs/>
          <w:i/>
          <w:iCs/>
          <w:color w:val="0000FF"/>
          <w:lang w:val="it-IT"/>
        </w:rPr>
      </w:pPr>
      <w:r w:rsidRPr="007F7EBF">
        <w:rPr>
          <w:bCs/>
          <w:i/>
          <w:iCs/>
          <w:color w:val="0000FF"/>
          <w:lang w:val="it-IT"/>
        </w:rPr>
        <w:t>Segue Responsabilità di imposta</w:t>
      </w:r>
    </w:p>
    <w:p w14:paraId="2FB9B121" w14:textId="2A3F9E25" w:rsidR="00195BF6" w:rsidRPr="007F7EBF" w:rsidRDefault="00A31E8D" w:rsidP="00310443">
      <w:pPr>
        <w:pStyle w:val="tit23"/>
        <w:ind w:firstLine="0"/>
        <w:rPr>
          <w:lang w:val="it-IT"/>
        </w:rPr>
      </w:pPr>
      <w:r>
        <w:rPr>
          <w:lang w:val="it-IT"/>
        </w:rPr>
        <w:t xml:space="preserve">I </w:t>
      </w:r>
      <w:r w:rsidR="003C5596">
        <w:rPr>
          <w:lang w:val="it-IT"/>
        </w:rPr>
        <w:t>condebitori solidali</w:t>
      </w:r>
      <w:r>
        <w:rPr>
          <w:lang w:val="it-IT"/>
        </w:rPr>
        <w:t xml:space="preserve"> aggiuntivi rispetto a quelli che hanno realizzato il presupposto economico si definiscono </w:t>
      </w:r>
      <w:r w:rsidR="003C5596">
        <w:rPr>
          <w:lang w:val="it-IT"/>
        </w:rPr>
        <w:t>“responsabili</w:t>
      </w:r>
      <w:r>
        <w:rPr>
          <w:lang w:val="it-IT"/>
        </w:rPr>
        <w:t xml:space="preserve"> </w:t>
      </w:r>
      <w:r w:rsidR="003C5596">
        <w:rPr>
          <w:lang w:val="it-IT"/>
        </w:rPr>
        <w:t>d’imposta”</w:t>
      </w:r>
      <w:r>
        <w:rPr>
          <w:lang w:val="it-IT"/>
        </w:rPr>
        <w:t xml:space="preserve">, come </w:t>
      </w:r>
      <w:r w:rsidRPr="00A31E8D">
        <w:rPr>
          <w:lang w:val="it-IT"/>
        </w:rPr>
        <w:t xml:space="preserve">i  garanti di debiti tributari di terzi, o i soci di società di persone, responsabili </w:t>
      </w:r>
      <w:proofErr w:type="spellStart"/>
      <w:r w:rsidRPr="00A31E8D">
        <w:rPr>
          <w:lang w:val="it-IT"/>
        </w:rPr>
        <w:t>civilisticamente</w:t>
      </w:r>
      <w:proofErr w:type="spellEnd"/>
      <w:r w:rsidRPr="00A31E8D">
        <w:rPr>
          <w:lang w:val="it-IT"/>
        </w:rPr>
        <w:t xml:space="preserve"> per tutti i debiti della società, compresi quelli tributari.</w:t>
      </w:r>
      <w:r>
        <w:rPr>
          <w:lang w:val="it-IT"/>
        </w:rPr>
        <w:t xml:space="preserve"> </w:t>
      </w:r>
      <w:r w:rsidR="003C5596">
        <w:rPr>
          <w:lang w:val="it-IT"/>
        </w:rPr>
        <w:t>(</w:t>
      </w:r>
      <w:r w:rsidR="003C5596" w:rsidRPr="007F7EBF">
        <w:rPr>
          <w:rStyle w:val="Rimandonotaapidipagina"/>
          <w:lang w:val="it-IT"/>
        </w:rPr>
        <w:footnoteReference w:id="285"/>
      </w:r>
      <w:r w:rsidR="003C5596">
        <w:rPr>
          <w:lang w:val="it-IT"/>
        </w:rPr>
        <w:t>)</w:t>
      </w:r>
      <w:r w:rsidR="00015C64" w:rsidRPr="007F7EBF">
        <w:rPr>
          <w:lang w:val="it-IT"/>
        </w:rPr>
        <w:t xml:space="preserve">; </w:t>
      </w:r>
      <w:r w:rsidR="003C5596">
        <w:rPr>
          <w:lang w:val="it-IT"/>
        </w:rPr>
        <w:t>è il caso de</w:t>
      </w:r>
      <w:r w:rsidR="00310443">
        <w:rPr>
          <w:lang w:val="it-IT"/>
        </w:rPr>
        <w:t xml:space="preserve">gli </w:t>
      </w:r>
      <w:r w:rsidR="00015C64" w:rsidRPr="007F7EBF">
        <w:rPr>
          <w:lang w:val="it-IT"/>
        </w:rPr>
        <w:t xml:space="preserve">spedizionieri per i tributi doganali, </w:t>
      </w:r>
      <w:r w:rsidR="00310443">
        <w:rPr>
          <w:lang w:val="it-IT"/>
        </w:rPr>
        <w:t>de</w:t>
      </w:r>
      <w:r w:rsidR="00015C64" w:rsidRPr="007F7EBF">
        <w:rPr>
          <w:lang w:val="it-IT"/>
        </w:rPr>
        <w:t>i  liquidatori di società per debiti tributari negligentemente lasciati insoddisfatti</w:t>
      </w:r>
      <w:r w:rsidR="00D97D93">
        <w:rPr>
          <w:lang w:val="it-IT"/>
        </w:rPr>
        <w:t xml:space="preserve"> (</w:t>
      </w:r>
      <w:r w:rsidR="00D97D93">
        <w:rPr>
          <w:rStyle w:val="Rimandonotaapidipagina"/>
          <w:lang w:val="it-IT"/>
        </w:rPr>
        <w:footnoteReference w:id="286"/>
      </w:r>
      <w:r w:rsidR="00D97D93">
        <w:rPr>
          <w:lang w:val="it-IT"/>
        </w:rPr>
        <w:t>)</w:t>
      </w:r>
      <w:r w:rsidR="00B354B7" w:rsidRPr="007F7EBF">
        <w:rPr>
          <w:lang w:val="it-IT"/>
        </w:rPr>
        <w:t xml:space="preserve">. </w:t>
      </w:r>
      <w:r w:rsidR="00015C64" w:rsidRPr="007F7EBF">
        <w:rPr>
          <w:lang w:val="it-IT"/>
        </w:rPr>
        <w:t>Quest</w:t>
      </w:r>
      <w:r w:rsidR="0020147E" w:rsidRPr="007F7EBF">
        <w:rPr>
          <w:lang w:val="it-IT"/>
        </w:rPr>
        <w:t>a responsabilità solida</w:t>
      </w:r>
      <w:r w:rsidR="006A6547" w:rsidRPr="007F7EBF">
        <w:rPr>
          <w:lang w:val="it-IT"/>
        </w:rPr>
        <w:t xml:space="preserve">le è prevista dalla legge per </w:t>
      </w:r>
      <w:r w:rsidR="00310443">
        <w:rPr>
          <w:lang w:val="it-IT"/>
        </w:rPr>
        <w:t xml:space="preserve">ragioni generali civilistiche o per </w:t>
      </w:r>
      <w:r w:rsidR="003C5596">
        <w:rPr>
          <w:lang w:val="it-IT"/>
        </w:rPr>
        <w:t xml:space="preserve">spingere </w:t>
      </w:r>
      <w:r w:rsidR="00015C64" w:rsidRPr="007F7EBF">
        <w:rPr>
          <w:lang w:val="it-IT"/>
        </w:rPr>
        <w:t xml:space="preserve">i suddetti terzi </w:t>
      </w:r>
      <w:r w:rsidR="00867284" w:rsidRPr="007F7EBF">
        <w:rPr>
          <w:lang w:val="it-IT"/>
        </w:rPr>
        <w:t xml:space="preserve">a </w:t>
      </w:r>
      <w:r w:rsidR="003C5596">
        <w:rPr>
          <w:lang w:val="it-IT"/>
        </w:rPr>
        <w:t xml:space="preserve">non </w:t>
      </w:r>
      <w:r w:rsidR="00867284" w:rsidRPr="007F7EBF">
        <w:rPr>
          <w:lang w:val="it-IT"/>
        </w:rPr>
        <w:t>pregiudicare gli interessi del fisco</w:t>
      </w:r>
      <w:r w:rsidR="00015C64" w:rsidRPr="007F7EBF">
        <w:rPr>
          <w:lang w:val="it-IT"/>
        </w:rPr>
        <w:t xml:space="preserve">. </w:t>
      </w:r>
      <w:r w:rsidR="00BA5B79" w:rsidRPr="007F7EBF">
        <w:rPr>
          <w:lang w:val="it-IT"/>
        </w:rPr>
        <w:t xml:space="preserve"> </w:t>
      </w:r>
      <w:r w:rsidR="00310443">
        <w:rPr>
          <w:lang w:val="it-IT"/>
        </w:rPr>
        <w:t>Sui rif</w:t>
      </w:r>
      <w:r w:rsidR="00BA5B79" w:rsidRPr="007F7EBF">
        <w:rPr>
          <w:lang w:val="it-IT"/>
        </w:rPr>
        <w:t>lessi procedurali, nei rapporti col fisco</w:t>
      </w:r>
      <w:r w:rsidR="00BA5B79">
        <w:rPr>
          <w:lang w:val="it-IT"/>
        </w:rPr>
        <w:t>,</w:t>
      </w:r>
      <w:r w:rsidR="00BA5B79" w:rsidRPr="007F7EBF">
        <w:rPr>
          <w:lang w:val="it-IT"/>
        </w:rPr>
        <w:t xml:space="preserve"> </w:t>
      </w:r>
      <w:r w:rsidR="00310443">
        <w:rPr>
          <w:lang w:val="it-IT"/>
        </w:rPr>
        <w:t xml:space="preserve">delle suddette forme di solidarietà vedasi </w:t>
      </w:r>
      <w:r w:rsidR="00BA5B79" w:rsidRPr="007F7EBF">
        <w:rPr>
          <w:lang w:val="it-IT"/>
        </w:rPr>
        <w:t xml:space="preserve">par.6.3. </w:t>
      </w:r>
    </w:p>
    <w:p w14:paraId="01CCFEAE" w14:textId="77777777" w:rsidR="00195BF6" w:rsidRPr="007F7EBF" w:rsidRDefault="00195BF6" w:rsidP="00195BF6">
      <w:pPr>
        <w:pStyle w:val="tit23"/>
        <w:ind w:left="6464" w:right="-1361" w:firstLine="0"/>
        <w:jc w:val="left"/>
        <w:rPr>
          <w:bCs/>
          <w:i/>
          <w:iCs/>
          <w:color w:val="0000FF"/>
          <w:lang w:val="it-IT"/>
        </w:rPr>
      </w:pPr>
      <w:r w:rsidRPr="007F7EBF">
        <w:rPr>
          <w:bCs/>
          <w:i/>
          <w:iCs/>
          <w:color w:val="0000FF"/>
          <w:lang w:val="it-IT"/>
        </w:rPr>
        <w:t xml:space="preserve">Accolli di imposta </w:t>
      </w:r>
    </w:p>
    <w:p w14:paraId="30531BD3" w14:textId="0540033C" w:rsidR="00966C55" w:rsidRPr="007F7EBF" w:rsidRDefault="002A70E3" w:rsidP="00310443">
      <w:pPr>
        <w:pStyle w:val="tit23"/>
        <w:ind w:firstLine="0"/>
        <w:rPr>
          <w:lang w:val="it-IT"/>
        </w:rPr>
      </w:pPr>
      <w:r>
        <w:rPr>
          <w:lang w:val="it-IT"/>
        </w:rPr>
        <w:t>L</w:t>
      </w:r>
      <w:r w:rsidR="00966C55" w:rsidRPr="007F7EBF">
        <w:rPr>
          <w:lang w:val="it-IT"/>
        </w:rPr>
        <w:t xml:space="preserve">’autotassazione </w:t>
      </w:r>
      <w:r>
        <w:rPr>
          <w:lang w:val="it-IT"/>
        </w:rPr>
        <w:t xml:space="preserve">comporta anche un aumento </w:t>
      </w:r>
      <w:r w:rsidR="000B3F3B">
        <w:rPr>
          <w:lang w:val="it-IT"/>
        </w:rPr>
        <w:t xml:space="preserve">delle </w:t>
      </w:r>
      <w:r w:rsidR="0086609D" w:rsidRPr="007F7EBF">
        <w:rPr>
          <w:lang w:val="it-IT"/>
        </w:rPr>
        <w:t xml:space="preserve">pattuizioni </w:t>
      </w:r>
      <w:r w:rsidR="000B3F3B">
        <w:rPr>
          <w:lang w:val="it-IT"/>
        </w:rPr>
        <w:t>contrattuali</w:t>
      </w:r>
      <w:r w:rsidR="0086609D" w:rsidRPr="007F7EBF">
        <w:rPr>
          <w:lang w:val="it-IT"/>
        </w:rPr>
        <w:t xml:space="preserve"> in cui i tributi relativi ad una determinata operazione vengono posti a carico di una delle parti contrattuali. Questo “accollo pattizio (convenzionale) di imposta”,</w:t>
      </w:r>
      <w:r w:rsidR="00966C55" w:rsidRPr="007F7EBF">
        <w:rPr>
          <w:lang w:val="it-IT"/>
        </w:rPr>
        <w:t xml:space="preserve"> opera </w:t>
      </w:r>
      <w:r w:rsidR="0086609D" w:rsidRPr="007F7EBF">
        <w:rPr>
          <w:lang w:val="it-IT"/>
        </w:rPr>
        <w:t>solo tra le parti</w:t>
      </w:r>
      <w:r w:rsidR="00480EF5">
        <w:rPr>
          <w:lang w:val="it-IT"/>
        </w:rPr>
        <w:t xml:space="preserve">, senza </w:t>
      </w:r>
      <w:r w:rsidR="0086609D" w:rsidRPr="007F7EBF">
        <w:rPr>
          <w:lang w:val="it-IT"/>
        </w:rPr>
        <w:t>limita</w:t>
      </w:r>
      <w:r w:rsidR="00480EF5">
        <w:rPr>
          <w:lang w:val="it-IT"/>
        </w:rPr>
        <w:t>re</w:t>
      </w:r>
      <w:r w:rsidR="0086609D" w:rsidRPr="007F7EBF">
        <w:rPr>
          <w:lang w:val="it-IT"/>
        </w:rPr>
        <w:t xml:space="preserve"> </w:t>
      </w:r>
      <w:r w:rsidR="00480EF5">
        <w:rPr>
          <w:lang w:val="it-IT"/>
        </w:rPr>
        <w:t xml:space="preserve">o estendere </w:t>
      </w:r>
      <w:r w:rsidR="00966C55" w:rsidRPr="007F7EBF">
        <w:rPr>
          <w:lang w:val="it-IT"/>
        </w:rPr>
        <w:t>i poteri del fisco</w:t>
      </w:r>
      <w:r w:rsidR="00BB2865" w:rsidRPr="007F7EBF">
        <w:rPr>
          <w:lang w:val="it-IT"/>
        </w:rPr>
        <w:t xml:space="preserve">. </w:t>
      </w:r>
      <w:r w:rsidR="003D454E">
        <w:rPr>
          <w:lang w:val="it-IT"/>
        </w:rPr>
        <w:t xml:space="preserve">E’ l’applicazione al diritto tributario di </w:t>
      </w:r>
      <w:r w:rsidR="00310443" w:rsidRPr="00310443">
        <w:rPr>
          <w:lang w:val="it-IT"/>
        </w:rPr>
        <w:t xml:space="preserve">un </w:t>
      </w:r>
      <w:r w:rsidR="00310443" w:rsidRPr="00310443">
        <w:rPr>
          <w:lang w:val="it-IT"/>
        </w:rPr>
        <w:lastRenderedPageBreak/>
        <w:t>istituto giuridico</w:t>
      </w:r>
      <w:r w:rsidR="00310443">
        <w:rPr>
          <w:lang w:val="it-IT"/>
        </w:rPr>
        <w:t xml:space="preserve"> civilistico, </w:t>
      </w:r>
      <w:r w:rsidR="00310443" w:rsidRPr="00310443">
        <w:rPr>
          <w:lang w:val="it-IT"/>
        </w:rPr>
        <w:t>non opponibile al fisco</w:t>
      </w:r>
      <w:r w:rsidR="00310443">
        <w:rPr>
          <w:lang w:val="it-IT"/>
        </w:rPr>
        <w:t xml:space="preserve"> che chiede il pagamento</w:t>
      </w:r>
      <w:r w:rsidR="003D454E">
        <w:rPr>
          <w:lang w:val="it-IT"/>
        </w:rPr>
        <w:t xml:space="preserve"> al contribuente indicato dalle legge</w:t>
      </w:r>
      <w:r w:rsidR="00310443">
        <w:rPr>
          <w:lang w:val="it-IT"/>
        </w:rPr>
        <w:t>. Inversamente</w:t>
      </w:r>
      <w:r w:rsidR="003D454E">
        <w:rPr>
          <w:lang w:val="it-IT"/>
        </w:rPr>
        <w:t xml:space="preserve"> il fisco non può </w:t>
      </w:r>
      <w:r w:rsidR="00310443" w:rsidRPr="00310443">
        <w:rPr>
          <w:lang w:val="it-IT"/>
        </w:rPr>
        <w:t>chiedere l’imposta a chi s’è accollato</w:t>
      </w:r>
      <w:r w:rsidR="003D454E">
        <w:rPr>
          <w:lang w:val="it-IT"/>
        </w:rPr>
        <w:t xml:space="preserve"> privatisticamente questo </w:t>
      </w:r>
      <w:r w:rsidR="00310443" w:rsidRPr="00310443">
        <w:rPr>
          <w:lang w:val="it-IT"/>
        </w:rPr>
        <w:t>debito</w:t>
      </w:r>
      <w:r w:rsidR="003D454E">
        <w:rPr>
          <w:lang w:val="it-IT"/>
        </w:rPr>
        <w:t xml:space="preserve">; quest’accollo si usa con una certa frequenza come garanzia per la possibile emersione di debiti tributari futuri, che possono essere richiesti all’acquirente di un bene o di una società, per </w:t>
      </w:r>
      <w:r w:rsidR="00691E57">
        <w:rPr>
          <w:lang w:val="it-IT"/>
        </w:rPr>
        <w:t>presupposti economici d’imposta</w:t>
      </w:r>
      <w:r w:rsidR="003D454E">
        <w:rPr>
          <w:lang w:val="it-IT"/>
        </w:rPr>
        <w:t xml:space="preserve"> anteriori all’acquisto</w:t>
      </w:r>
      <w:r w:rsidR="00691E57">
        <w:rPr>
          <w:lang w:val="it-IT"/>
        </w:rPr>
        <w:t>, ma accertati dal fisco successivamente</w:t>
      </w:r>
      <w:r w:rsidR="00310443">
        <w:rPr>
          <w:lang w:val="it-IT"/>
        </w:rPr>
        <w:t xml:space="preserve">. </w:t>
      </w:r>
    </w:p>
    <w:p w14:paraId="024717FB" w14:textId="2DC24C26" w:rsidR="00925B90" w:rsidRPr="007F7EBF" w:rsidRDefault="006342C5" w:rsidP="00BA5B79">
      <w:pPr>
        <w:pStyle w:val="Titolo3"/>
        <w:rPr>
          <w:sz w:val="22"/>
          <w:szCs w:val="22"/>
        </w:rPr>
      </w:pPr>
      <w:bookmarkStart w:id="36" w:name="_Toc63364953"/>
      <w:r w:rsidRPr="007F7EBF">
        <w:rPr>
          <w:rFonts w:ascii="Times New Roman" w:hAnsi="Times New Roman"/>
          <w:sz w:val="22"/>
          <w:szCs w:val="22"/>
        </w:rPr>
        <w:t xml:space="preserve">3.6. </w:t>
      </w:r>
      <w:r w:rsidRPr="007F7EBF">
        <w:rPr>
          <w:rFonts w:ascii="Times New Roman" w:hAnsi="Times New Roman"/>
          <w:i/>
          <w:iCs/>
          <w:sz w:val="22"/>
          <w:szCs w:val="22"/>
        </w:rPr>
        <w:t>Segue</w:t>
      </w:r>
      <w:r w:rsidR="002F1821" w:rsidRPr="007F7EBF">
        <w:rPr>
          <w:rFonts w:ascii="Times New Roman" w:hAnsi="Times New Roman"/>
          <w:sz w:val="22"/>
          <w:szCs w:val="22"/>
        </w:rPr>
        <w:t xml:space="preserve">. </w:t>
      </w:r>
      <w:r w:rsidR="002F1821" w:rsidRPr="007F7EBF">
        <w:rPr>
          <w:rFonts w:ascii="Times New Roman" w:hAnsi="Times New Roman"/>
          <w:sz w:val="22"/>
          <w:szCs w:val="22"/>
          <w:lang w:val="it-IT"/>
        </w:rPr>
        <w:t>S</w:t>
      </w:r>
      <w:proofErr w:type="spellStart"/>
      <w:r w:rsidRPr="007F7EBF">
        <w:rPr>
          <w:rFonts w:ascii="Times New Roman" w:hAnsi="Times New Roman"/>
          <w:sz w:val="22"/>
          <w:szCs w:val="22"/>
        </w:rPr>
        <w:t>ostituto</w:t>
      </w:r>
      <w:proofErr w:type="spellEnd"/>
      <w:r w:rsidRPr="007F7EBF">
        <w:rPr>
          <w:rFonts w:ascii="Times New Roman" w:hAnsi="Times New Roman"/>
          <w:sz w:val="22"/>
          <w:szCs w:val="22"/>
        </w:rPr>
        <w:t xml:space="preserve"> d’imposta </w:t>
      </w:r>
      <w:r w:rsidR="00815896" w:rsidRPr="007F7EBF">
        <w:rPr>
          <w:rFonts w:ascii="Times New Roman" w:hAnsi="Times New Roman"/>
          <w:sz w:val="22"/>
          <w:szCs w:val="22"/>
          <w:lang w:val="it-IT"/>
        </w:rPr>
        <w:t xml:space="preserve">e </w:t>
      </w:r>
      <w:r w:rsidRPr="007F7EBF">
        <w:rPr>
          <w:rFonts w:ascii="Times New Roman" w:hAnsi="Times New Roman"/>
          <w:sz w:val="22"/>
          <w:szCs w:val="22"/>
        </w:rPr>
        <w:t xml:space="preserve">ritenute alla fonte </w:t>
      </w:r>
      <w:r w:rsidR="00815896" w:rsidRPr="007F7EBF">
        <w:rPr>
          <w:rFonts w:ascii="Times New Roman" w:hAnsi="Times New Roman"/>
          <w:sz w:val="22"/>
          <w:szCs w:val="22"/>
          <w:lang w:val="it-IT"/>
        </w:rPr>
        <w:t xml:space="preserve">su redditi </w:t>
      </w:r>
      <w:r w:rsidR="00815896" w:rsidRPr="007F7EBF">
        <w:rPr>
          <w:rFonts w:ascii="Times New Roman" w:hAnsi="Times New Roman"/>
          <w:sz w:val="22"/>
          <w:szCs w:val="22"/>
        </w:rPr>
        <w:t>erogat</w:t>
      </w:r>
      <w:r w:rsidR="00815896" w:rsidRPr="007F7EBF">
        <w:rPr>
          <w:rFonts w:ascii="Times New Roman" w:hAnsi="Times New Roman"/>
          <w:sz w:val="22"/>
          <w:szCs w:val="22"/>
          <w:lang w:val="it-IT"/>
        </w:rPr>
        <w:t xml:space="preserve">i </w:t>
      </w:r>
      <w:r w:rsidR="00815896" w:rsidRPr="007F7EBF">
        <w:rPr>
          <w:rFonts w:ascii="Times New Roman" w:hAnsi="Times New Roman"/>
          <w:sz w:val="22"/>
          <w:szCs w:val="22"/>
        </w:rPr>
        <w:t>a terzi</w:t>
      </w:r>
      <w:r w:rsidR="00815896" w:rsidRPr="007F7EBF">
        <w:rPr>
          <w:rFonts w:ascii="Times New Roman" w:hAnsi="Times New Roman"/>
          <w:sz w:val="22"/>
          <w:szCs w:val="22"/>
          <w:lang w:val="it-IT"/>
        </w:rPr>
        <w:t>:</w:t>
      </w:r>
      <w:r w:rsidR="006C07CF">
        <w:rPr>
          <w:rFonts w:ascii="Times New Roman" w:hAnsi="Times New Roman"/>
          <w:sz w:val="22"/>
          <w:szCs w:val="22"/>
          <w:lang w:val="it-IT"/>
        </w:rPr>
        <w:t xml:space="preserve"> </w:t>
      </w:r>
      <w:r w:rsidRPr="007F7EBF">
        <w:rPr>
          <w:rFonts w:ascii="Times New Roman" w:hAnsi="Times New Roman"/>
          <w:sz w:val="22"/>
          <w:szCs w:val="22"/>
        </w:rPr>
        <w:t>funzione esattiva e segnaletica</w:t>
      </w:r>
      <w:bookmarkEnd w:id="36"/>
      <w:r w:rsidR="00FC032D" w:rsidRPr="007F7EBF">
        <w:rPr>
          <w:rFonts w:ascii="Times New Roman" w:hAnsi="Times New Roman"/>
          <w:sz w:val="22"/>
          <w:szCs w:val="22"/>
        </w:rPr>
        <w:t xml:space="preserve"> </w:t>
      </w:r>
    </w:p>
    <w:p w14:paraId="7C6FBC71" w14:textId="0DE107A3" w:rsidR="00925B90" w:rsidRPr="007F7EBF" w:rsidRDefault="005E2B25" w:rsidP="00925B90">
      <w:pPr>
        <w:pStyle w:val="tit23"/>
        <w:ind w:left="6464" w:right="-1361" w:firstLine="0"/>
        <w:jc w:val="left"/>
        <w:rPr>
          <w:b/>
          <w:bCs/>
          <w:i/>
          <w:iCs/>
          <w:color w:val="0000FF"/>
          <w:lang w:val="it-IT"/>
        </w:rPr>
      </w:pPr>
      <w:r>
        <w:rPr>
          <w:b/>
          <w:bCs/>
          <w:i/>
          <w:iCs/>
          <w:color w:val="0000FF"/>
          <w:lang w:val="it-IT"/>
        </w:rPr>
        <w:t xml:space="preserve">Sostituto d’imposta </w:t>
      </w:r>
      <w:r w:rsidR="00D5420F">
        <w:rPr>
          <w:b/>
          <w:bCs/>
          <w:i/>
          <w:iCs/>
          <w:color w:val="0000FF"/>
          <w:lang w:val="it-IT"/>
        </w:rPr>
        <w:t xml:space="preserve">e ritenute sui redditi </w:t>
      </w:r>
    </w:p>
    <w:p w14:paraId="50FE237D" w14:textId="21C5DE24" w:rsidR="00AF50F4" w:rsidRPr="005E2B25" w:rsidRDefault="00A64625" w:rsidP="00D5420F">
      <w:pPr>
        <w:autoSpaceDE w:val="0"/>
        <w:autoSpaceDN w:val="0"/>
        <w:adjustRightInd w:val="0"/>
        <w:rPr>
          <w:b/>
          <w:bCs/>
          <w:i/>
          <w:iCs/>
          <w:color w:val="0000FF"/>
        </w:rPr>
      </w:pPr>
      <w:r>
        <w:rPr>
          <w:sz w:val="22"/>
          <w:szCs w:val="22"/>
        </w:rPr>
        <w:t xml:space="preserve">Il </w:t>
      </w:r>
      <w:r w:rsidR="005E2B25">
        <w:rPr>
          <w:sz w:val="22"/>
          <w:szCs w:val="22"/>
        </w:rPr>
        <w:t xml:space="preserve">sostituto d’imposta è un </w:t>
      </w:r>
      <w:r w:rsidR="008477E6">
        <w:rPr>
          <w:sz w:val="22"/>
          <w:szCs w:val="22"/>
        </w:rPr>
        <w:t>particolare “contribuente di diritto”</w:t>
      </w:r>
      <w:r w:rsidR="005E2B25">
        <w:rPr>
          <w:sz w:val="22"/>
          <w:szCs w:val="22"/>
        </w:rPr>
        <w:t xml:space="preserve"> che eroga </w:t>
      </w:r>
      <w:r w:rsidR="00D46FAB">
        <w:rPr>
          <w:sz w:val="22"/>
          <w:szCs w:val="22"/>
        </w:rPr>
        <w:t>somme costituenti reddito per chi le riceve</w:t>
      </w:r>
      <w:r w:rsidR="00653186">
        <w:rPr>
          <w:sz w:val="22"/>
          <w:szCs w:val="22"/>
        </w:rPr>
        <w:t xml:space="preserve"> (</w:t>
      </w:r>
      <w:r w:rsidR="00653186" w:rsidRPr="007F7EBF">
        <w:rPr>
          <w:rStyle w:val="Rimandonotaapidipagina"/>
          <w:sz w:val="22"/>
          <w:szCs w:val="22"/>
        </w:rPr>
        <w:footnoteReference w:id="287"/>
      </w:r>
      <w:r w:rsidR="00653186">
        <w:rPr>
          <w:sz w:val="22"/>
          <w:szCs w:val="22"/>
        </w:rPr>
        <w:t xml:space="preserve">), un particolare contribuente di fatto, denominato “sostituito”; </w:t>
      </w:r>
      <w:r w:rsidR="00D457F5">
        <w:rPr>
          <w:sz w:val="22"/>
          <w:szCs w:val="22"/>
        </w:rPr>
        <w:t>quest’ultimo  è in genere creditore del sostituto di una somma che concorre a formare il suo reddito. I</w:t>
      </w:r>
      <w:r w:rsidR="00653186">
        <w:rPr>
          <w:sz w:val="22"/>
          <w:szCs w:val="22"/>
        </w:rPr>
        <w:t xml:space="preserve">l </w:t>
      </w:r>
      <w:r w:rsidR="00D457F5">
        <w:rPr>
          <w:sz w:val="22"/>
          <w:szCs w:val="22"/>
        </w:rPr>
        <w:t>debitore-</w:t>
      </w:r>
      <w:r w:rsidR="00653186">
        <w:rPr>
          <w:sz w:val="22"/>
          <w:szCs w:val="22"/>
        </w:rPr>
        <w:t>sostituto deve trattenere</w:t>
      </w:r>
      <w:r w:rsidR="005E2B25">
        <w:rPr>
          <w:sz w:val="22"/>
          <w:szCs w:val="22"/>
        </w:rPr>
        <w:t xml:space="preserve"> una parte </w:t>
      </w:r>
      <w:r w:rsidR="00653186">
        <w:rPr>
          <w:sz w:val="22"/>
          <w:szCs w:val="22"/>
        </w:rPr>
        <w:t xml:space="preserve">del proprio debito, come </w:t>
      </w:r>
      <w:r w:rsidR="005E2B25">
        <w:rPr>
          <w:sz w:val="22"/>
          <w:szCs w:val="22"/>
        </w:rPr>
        <w:t>“ritenuta alla fonte”</w:t>
      </w:r>
      <w:r w:rsidR="00653186">
        <w:rPr>
          <w:sz w:val="22"/>
          <w:szCs w:val="22"/>
        </w:rPr>
        <w:t>, versandola al fisco</w:t>
      </w:r>
      <w:r w:rsidR="0088035C">
        <w:rPr>
          <w:sz w:val="22"/>
          <w:szCs w:val="22"/>
        </w:rPr>
        <w:t xml:space="preserve">; </w:t>
      </w:r>
      <w:r w:rsidR="00D457F5">
        <w:rPr>
          <w:sz w:val="22"/>
          <w:szCs w:val="22"/>
        </w:rPr>
        <w:t>i</w:t>
      </w:r>
      <w:r w:rsidR="005E2B25">
        <w:rPr>
          <w:sz w:val="22"/>
          <w:szCs w:val="22"/>
        </w:rPr>
        <w:t xml:space="preserve">l </w:t>
      </w:r>
      <w:r w:rsidR="005E2B25" w:rsidRPr="007F7EBF">
        <w:rPr>
          <w:sz w:val="22"/>
          <w:szCs w:val="22"/>
        </w:rPr>
        <w:t>sostituto d'imposta</w:t>
      </w:r>
      <w:r w:rsidR="005E2B25">
        <w:rPr>
          <w:sz w:val="22"/>
          <w:szCs w:val="22"/>
        </w:rPr>
        <w:t xml:space="preserve"> </w:t>
      </w:r>
      <w:r w:rsidR="005E2B25" w:rsidRPr="007F7EBF">
        <w:rPr>
          <w:sz w:val="22"/>
          <w:szCs w:val="22"/>
        </w:rPr>
        <w:t xml:space="preserve">è </w:t>
      </w:r>
      <w:r w:rsidR="005E2B25">
        <w:rPr>
          <w:sz w:val="22"/>
          <w:szCs w:val="22"/>
        </w:rPr>
        <w:t xml:space="preserve">quindi </w:t>
      </w:r>
      <w:r w:rsidR="005E2B25" w:rsidRPr="007F7EBF">
        <w:rPr>
          <w:sz w:val="22"/>
          <w:szCs w:val="22"/>
        </w:rPr>
        <w:t>un "contribuente di diritto"</w:t>
      </w:r>
      <w:r w:rsidR="005E2B25">
        <w:rPr>
          <w:sz w:val="22"/>
          <w:szCs w:val="22"/>
        </w:rPr>
        <w:t>(</w:t>
      </w:r>
      <w:r w:rsidR="005E2B25" w:rsidRPr="007F7EBF">
        <w:rPr>
          <w:rStyle w:val="Rimandonotaapidipagina"/>
          <w:sz w:val="22"/>
          <w:szCs w:val="22"/>
        </w:rPr>
        <w:footnoteReference w:id="288"/>
      </w:r>
      <w:r w:rsidR="005E2B25">
        <w:rPr>
          <w:sz w:val="22"/>
          <w:szCs w:val="22"/>
        </w:rPr>
        <w:t>)</w:t>
      </w:r>
      <w:r w:rsidR="005E2B25" w:rsidRPr="007F7EBF">
        <w:rPr>
          <w:sz w:val="22"/>
          <w:szCs w:val="22"/>
        </w:rPr>
        <w:t xml:space="preserve">, </w:t>
      </w:r>
      <w:r w:rsidR="005E2B25">
        <w:rPr>
          <w:sz w:val="22"/>
          <w:szCs w:val="22"/>
        </w:rPr>
        <w:t xml:space="preserve">nei termini indicati al paragrafo precedente, ma il </w:t>
      </w:r>
      <w:r w:rsidR="005E2B25" w:rsidRPr="007F7EBF">
        <w:rPr>
          <w:sz w:val="22"/>
          <w:szCs w:val="22"/>
        </w:rPr>
        <w:t>sostituito</w:t>
      </w:r>
      <w:r w:rsidR="005E2B25">
        <w:rPr>
          <w:sz w:val="22"/>
          <w:szCs w:val="22"/>
        </w:rPr>
        <w:t xml:space="preserve"> è qualcosa di più di un contribuente di fatto, in quanto è titolare di obblighi o di posizioni autonome, verso il fisco, in relazione alla somma ricevuta</w:t>
      </w:r>
      <w:r w:rsidR="0088035C">
        <w:rPr>
          <w:sz w:val="22"/>
          <w:szCs w:val="22"/>
        </w:rPr>
        <w:t xml:space="preserve">. </w:t>
      </w:r>
    </w:p>
    <w:p w14:paraId="14AC5C00" w14:textId="2DA35669" w:rsidR="00BF69BF" w:rsidRPr="007F7EBF" w:rsidRDefault="00BB749D" w:rsidP="00D5420F">
      <w:pPr>
        <w:autoSpaceDE w:val="0"/>
        <w:autoSpaceDN w:val="0"/>
        <w:adjustRightInd w:val="0"/>
        <w:rPr>
          <w:sz w:val="22"/>
          <w:szCs w:val="22"/>
        </w:rPr>
      </w:pPr>
      <w:r>
        <w:rPr>
          <w:sz w:val="22"/>
          <w:szCs w:val="22"/>
        </w:rPr>
        <w:t>Co</w:t>
      </w:r>
      <w:r w:rsidR="00D5420F">
        <w:rPr>
          <w:sz w:val="22"/>
          <w:szCs w:val="22"/>
        </w:rPr>
        <w:t xml:space="preserve">n tale istituto </w:t>
      </w:r>
      <w:r>
        <w:rPr>
          <w:sz w:val="22"/>
          <w:szCs w:val="22"/>
        </w:rPr>
        <w:t>è ulteriormente aumentata, rispetto a quanto indicato al paragrafo precedente (</w:t>
      </w:r>
      <w:r>
        <w:rPr>
          <w:rStyle w:val="Rimandonotaapidipagina"/>
          <w:sz w:val="22"/>
          <w:szCs w:val="22"/>
        </w:rPr>
        <w:footnoteReference w:id="289"/>
      </w:r>
      <w:r>
        <w:rPr>
          <w:sz w:val="22"/>
          <w:szCs w:val="22"/>
        </w:rPr>
        <w:t>), l’esternalizzazione della funzione tributaria su soggetti diversi dai pubblici uffici</w:t>
      </w:r>
      <w:r w:rsidR="002C31D4">
        <w:rPr>
          <w:sz w:val="22"/>
          <w:szCs w:val="22"/>
        </w:rPr>
        <w:t>;</w:t>
      </w:r>
      <w:r>
        <w:rPr>
          <w:sz w:val="22"/>
          <w:szCs w:val="22"/>
        </w:rPr>
        <w:t xml:space="preserve"> il </w:t>
      </w:r>
      <w:r w:rsidR="00D5420F">
        <w:rPr>
          <w:sz w:val="22"/>
          <w:szCs w:val="22"/>
        </w:rPr>
        <w:t>sostituto</w:t>
      </w:r>
      <w:r>
        <w:rPr>
          <w:sz w:val="22"/>
          <w:szCs w:val="22"/>
        </w:rPr>
        <w:t xml:space="preserve"> erogante </w:t>
      </w:r>
      <w:r w:rsidR="002C31D4">
        <w:rPr>
          <w:sz w:val="22"/>
          <w:szCs w:val="22"/>
        </w:rPr>
        <w:t xml:space="preserve">viene insomma utilizzato </w:t>
      </w:r>
      <w:r>
        <w:rPr>
          <w:sz w:val="22"/>
          <w:szCs w:val="22"/>
        </w:rPr>
        <w:t xml:space="preserve">per </w:t>
      </w:r>
      <w:r w:rsidR="00F1595E">
        <w:rPr>
          <w:sz w:val="22"/>
          <w:szCs w:val="22"/>
        </w:rPr>
        <w:t>tassare i redditi del soggetto</w:t>
      </w:r>
      <w:r w:rsidR="003901ED">
        <w:rPr>
          <w:sz w:val="22"/>
          <w:szCs w:val="22"/>
        </w:rPr>
        <w:t xml:space="preserve"> percettore</w:t>
      </w:r>
      <w:r w:rsidR="00D5420F">
        <w:rPr>
          <w:sz w:val="22"/>
          <w:szCs w:val="22"/>
        </w:rPr>
        <w:t>, effettuando, sulle somme di cui è debitore verso il sostituito, la già indicata  “</w:t>
      </w:r>
      <w:r w:rsidR="00D5420F" w:rsidRPr="007F7EBF">
        <w:rPr>
          <w:sz w:val="22"/>
          <w:szCs w:val="22"/>
        </w:rPr>
        <w:t xml:space="preserve">ritenuta </w:t>
      </w:r>
      <w:r w:rsidR="00D5420F">
        <w:rPr>
          <w:sz w:val="22"/>
          <w:szCs w:val="22"/>
        </w:rPr>
        <w:t xml:space="preserve">fiscale </w:t>
      </w:r>
      <w:r w:rsidR="00D5420F" w:rsidRPr="007F7EBF">
        <w:rPr>
          <w:sz w:val="22"/>
          <w:szCs w:val="22"/>
        </w:rPr>
        <w:t xml:space="preserve">alla fonte </w:t>
      </w:r>
      <w:r w:rsidR="00D5420F">
        <w:rPr>
          <w:sz w:val="22"/>
          <w:szCs w:val="22"/>
        </w:rPr>
        <w:t xml:space="preserve">“. </w:t>
      </w:r>
    </w:p>
    <w:p w14:paraId="3352374E" w14:textId="77777777" w:rsidR="00BF69BF" w:rsidRPr="007F7EBF" w:rsidRDefault="00BF69BF" w:rsidP="00BF69BF">
      <w:pPr>
        <w:pStyle w:val="tit23"/>
        <w:ind w:left="6464" w:right="-1361" w:firstLine="0"/>
        <w:jc w:val="left"/>
        <w:rPr>
          <w:bCs/>
          <w:i/>
          <w:iCs/>
          <w:color w:val="0000FF"/>
          <w:lang w:val="it-IT"/>
        </w:rPr>
      </w:pPr>
      <w:r w:rsidRPr="007F7EBF">
        <w:rPr>
          <w:bCs/>
          <w:i/>
          <w:iCs/>
          <w:color w:val="0000FF"/>
          <w:lang w:val="it-IT"/>
        </w:rPr>
        <w:lastRenderedPageBreak/>
        <w:t xml:space="preserve">Facilità della </w:t>
      </w:r>
      <w:r w:rsidR="00A71A6C" w:rsidRPr="007F7EBF">
        <w:rPr>
          <w:bCs/>
          <w:i/>
          <w:iCs/>
          <w:color w:val="0000FF"/>
          <w:lang w:val="it-IT"/>
        </w:rPr>
        <w:t xml:space="preserve">rivalsa </w:t>
      </w:r>
      <w:r w:rsidRPr="007F7EBF">
        <w:rPr>
          <w:bCs/>
          <w:i/>
          <w:iCs/>
          <w:color w:val="0000FF"/>
          <w:lang w:val="it-IT"/>
        </w:rPr>
        <w:t xml:space="preserve"> mediante ri</w:t>
      </w:r>
      <w:r w:rsidR="00A71A6C" w:rsidRPr="007F7EBF">
        <w:rPr>
          <w:bCs/>
          <w:i/>
          <w:iCs/>
          <w:color w:val="0000FF"/>
          <w:lang w:val="it-IT"/>
        </w:rPr>
        <w:t>tenut</w:t>
      </w:r>
      <w:r w:rsidRPr="007F7EBF">
        <w:rPr>
          <w:bCs/>
          <w:i/>
          <w:iCs/>
          <w:color w:val="0000FF"/>
          <w:lang w:val="it-IT"/>
        </w:rPr>
        <w:t>a</w:t>
      </w:r>
    </w:p>
    <w:p w14:paraId="742073DD" w14:textId="369AB61A" w:rsidR="002D519B" w:rsidRPr="007F7EBF" w:rsidRDefault="006342C5" w:rsidP="002D519B">
      <w:pPr>
        <w:autoSpaceDE w:val="0"/>
        <w:autoSpaceDN w:val="0"/>
        <w:adjustRightInd w:val="0"/>
        <w:rPr>
          <w:sz w:val="22"/>
          <w:szCs w:val="22"/>
        </w:rPr>
      </w:pPr>
      <w:r w:rsidRPr="007F7EBF">
        <w:rPr>
          <w:sz w:val="22"/>
          <w:szCs w:val="22"/>
        </w:rPr>
        <w:t xml:space="preserve">Il </w:t>
      </w:r>
      <w:r w:rsidRPr="007F7EBF">
        <w:rPr>
          <w:bCs/>
          <w:sz w:val="22"/>
          <w:szCs w:val="22"/>
        </w:rPr>
        <w:t>sostituto</w:t>
      </w:r>
      <w:r w:rsidR="00FF249F" w:rsidRPr="007F7EBF">
        <w:rPr>
          <w:bCs/>
          <w:sz w:val="22"/>
          <w:szCs w:val="22"/>
        </w:rPr>
        <w:t xml:space="preserve"> d'imposta</w:t>
      </w:r>
      <w:r w:rsidR="00DF19CE" w:rsidRPr="007F7EBF">
        <w:rPr>
          <w:sz w:val="22"/>
          <w:szCs w:val="22"/>
        </w:rPr>
        <w:t xml:space="preserve">, essendo debitore, può facilmente </w:t>
      </w:r>
      <w:r w:rsidRPr="007F7EBF">
        <w:rPr>
          <w:bCs/>
          <w:sz w:val="22"/>
          <w:szCs w:val="22"/>
        </w:rPr>
        <w:t>esercitare la rivalsa</w:t>
      </w:r>
      <w:r w:rsidR="00FF249F" w:rsidRPr="007F7EBF">
        <w:rPr>
          <w:bCs/>
          <w:sz w:val="22"/>
          <w:szCs w:val="22"/>
        </w:rPr>
        <w:t xml:space="preserve"> giuridica (par. precedente)</w:t>
      </w:r>
      <w:r w:rsidR="00DF19CE" w:rsidRPr="007F7EBF">
        <w:rPr>
          <w:sz w:val="22"/>
          <w:szCs w:val="22"/>
        </w:rPr>
        <w:t xml:space="preserve"> semplicemente mediante ritenuta</w:t>
      </w:r>
      <w:r w:rsidR="00D457F5">
        <w:rPr>
          <w:sz w:val="22"/>
          <w:szCs w:val="22"/>
        </w:rPr>
        <w:t xml:space="preserve"> (</w:t>
      </w:r>
      <w:r w:rsidR="00D457F5" w:rsidRPr="007F7EBF">
        <w:rPr>
          <w:rStyle w:val="Rimandonotaapidipagina"/>
          <w:sz w:val="22"/>
          <w:szCs w:val="22"/>
        </w:rPr>
        <w:footnoteReference w:id="290"/>
      </w:r>
      <w:r w:rsidR="00D457F5">
        <w:rPr>
          <w:sz w:val="22"/>
          <w:szCs w:val="22"/>
        </w:rPr>
        <w:t>)</w:t>
      </w:r>
      <w:r w:rsidR="009F4C69">
        <w:rPr>
          <w:sz w:val="22"/>
          <w:szCs w:val="22"/>
        </w:rPr>
        <w:t>; il sostituto salda cioè una parte del proprio debito</w:t>
      </w:r>
      <w:r w:rsidR="002C31D4">
        <w:rPr>
          <w:sz w:val="22"/>
          <w:szCs w:val="22"/>
        </w:rPr>
        <w:t>,</w:t>
      </w:r>
      <w:r w:rsidR="009F4C69">
        <w:rPr>
          <w:sz w:val="22"/>
          <w:szCs w:val="22"/>
        </w:rPr>
        <w:t xml:space="preserve"> verso il sostituito</w:t>
      </w:r>
      <w:r w:rsidR="002C31D4">
        <w:rPr>
          <w:sz w:val="22"/>
          <w:szCs w:val="22"/>
        </w:rPr>
        <w:t>,</w:t>
      </w:r>
      <w:r w:rsidR="009F4C69">
        <w:rPr>
          <w:sz w:val="22"/>
          <w:szCs w:val="22"/>
        </w:rPr>
        <w:t xml:space="preserve"> non già a lui, ma al fisco</w:t>
      </w:r>
      <w:r w:rsidR="009F4C69" w:rsidRPr="007F7EBF">
        <w:rPr>
          <w:sz w:val="22"/>
          <w:szCs w:val="22"/>
        </w:rPr>
        <w:t xml:space="preserve">. </w:t>
      </w:r>
      <w:r w:rsidR="00A71A6C" w:rsidRPr="007F7EBF">
        <w:rPr>
          <w:sz w:val="22"/>
          <w:szCs w:val="22"/>
        </w:rPr>
        <w:t xml:space="preserve">Il </w:t>
      </w:r>
      <w:r w:rsidR="00A71A6C" w:rsidRPr="007F7EBF">
        <w:rPr>
          <w:bCs/>
          <w:sz w:val="22"/>
          <w:szCs w:val="22"/>
        </w:rPr>
        <w:t>sostituto</w:t>
      </w:r>
      <w:r w:rsidR="00F07115">
        <w:rPr>
          <w:bCs/>
          <w:sz w:val="22"/>
          <w:szCs w:val="22"/>
        </w:rPr>
        <w:t>,</w:t>
      </w:r>
      <w:r w:rsidR="00A71A6C" w:rsidRPr="007F7EBF">
        <w:rPr>
          <w:bCs/>
          <w:sz w:val="22"/>
          <w:szCs w:val="22"/>
        </w:rPr>
        <w:t xml:space="preserve"> </w:t>
      </w:r>
      <w:r w:rsidR="00F1595E">
        <w:rPr>
          <w:bCs/>
          <w:sz w:val="22"/>
          <w:szCs w:val="22"/>
        </w:rPr>
        <w:t>in altri termini</w:t>
      </w:r>
      <w:r w:rsidR="00A71A6C" w:rsidRPr="007F7EBF">
        <w:rPr>
          <w:sz w:val="22"/>
          <w:szCs w:val="22"/>
        </w:rPr>
        <w:t xml:space="preserve">, </w:t>
      </w:r>
      <w:r w:rsidR="00A71A6C" w:rsidRPr="007F7EBF">
        <w:rPr>
          <w:bCs/>
          <w:sz w:val="22"/>
          <w:szCs w:val="22"/>
        </w:rPr>
        <w:t xml:space="preserve">esercita la rivalsa </w:t>
      </w:r>
      <w:r w:rsidR="00F07115">
        <w:rPr>
          <w:bCs/>
          <w:sz w:val="22"/>
          <w:szCs w:val="22"/>
        </w:rPr>
        <w:t xml:space="preserve">semplicemente </w:t>
      </w:r>
      <w:r w:rsidR="00A71A6C" w:rsidRPr="007F7EBF">
        <w:rPr>
          <w:sz w:val="22"/>
          <w:szCs w:val="22"/>
        </w:rPr>
        <w:t>trattene</w:t>
      </w:r>
      <w:r w:rsidR="00F07115">
        <w:rPr>
          <w:sz w:val="22"/>
          <w:szCs w:val="22"/>
        </w:rPr>
        <w:t>ndo</w:t>
      </w:r>
      <w:r w:rsidR="00A71A6C" w:rsidRPr="007F7EBF">
        <w:rPr>
          <w:sz w:val="22"/>
          <w:szCs w:val="22"/>
        </w:rPr>
        <w:t xml:space="preserve">, “alla fonte”, </w:t>
      </w:r>
      <w:r w:rsidR="00F07115">
        <w:rPr>
          <w:sz w:val="22"/>
          <w:szCs w:val="22"/>
        </w:rPr>
        <w:t xml:space="preserve">quando </w:t>
      </w:r>
      <w:r w:rsidR="00A71A6C" w:rsidRPr="007F7EBF">
        <w:rPr>
          <w:sz w:val="22"/>
          <w:szCs w:val="22"/>
        </w:rPr>
        <w:t>paga</w:t>
      </w:r>
      <w:r w:rsidR="00F07115">
        <w:rPr>
          <w:sz w:val="22"/>
          <w:szCs w:val="22"/>
        </w:rPr>
        <w:t xml:space="preserve"> i</w:t>
      </w:r>
      <w:r w:rsidR="00A71A6C" w:rsidRPr="007F7EBF">
        <w:rPr>
          <w:sz w:val="22"/>
          <w:szCs w:val="22"/>
        </w:rPr>
        <w:t>l proprio debito</w:t>
      </w:r>
      <w:r w:rsidR="00F07115">
        <w:rPr>
          <w:sz w:val="22"/>
          <w:szCs w:val="22"/>
        </w:rPr>
        <w:t xml:space="preserve"> al creditore-sostituito, l’importo della ritenuta, da</w:t>
      </w:r>
      <w:r w:rsidR="00A71A6C" w:rsidRPr="007F7EBF">
        <w:rPr>
          <w:sz w:val="22"/>
          <w:szCs w:val="22"/>
        </w:rPr>
        <w:t xml:space="preserve"> versare al fisco. </w:t>
      </w:r>
      <w:r w:rsidR="00815896" w:rsidRPr="007F7EBF">
        <w:rPr>
          <w:sz w:val="22"/>
          <w:szCs w:val="22"/>
        </w:rPr>
        <w:t xml:space="preserve">Il </w:t>
      </w:r>
      <w:r w:rsidR="00815896" w:rsidRPr="007F7EBF">
        <w:rPr>
          <w:bCs/>
          <w:sz w:val="22"/>
          <w:szCs w:val="22"/>
        </w:rPr>
        <w:t xml:space="preserve">sostituto </w:t>
      </w:r>
      <w:r w:rsidR="00815896" w:rsidRPr="007F7EBF">
        <w:rPr>
          <w:sz w:val="22"/>
          <w:szCs w:val="22"/>
        </w:rPr>
        <w:t xml:space="preserve">prende quindi </w:t>
      </w:r>
      <w:r w:rsidR="00F07115">
        <w:rPr>
          <w:sz w:val="22"/>
          <w:szCs w:val="22"/>
        </w:rPr>
        <w:t xml:space="preserve">non solo il posto del sostituito </w:t>
      </w:r>
      <w:r w:rsidR="00D457F5">
        <w:rPr>
          <w:sz w:val="22"/>
          <w:szCs w:val="22"/>
        </w:rPr>
        <w:t>nell’adempiere verso</w:t>
      </w:r>
      <w:r w:rsidR="00F07115">
        <w:rPr>
          <w:sz w:val="22"/>
          <w:szCs w:val="22"/>
        </w:rPr>
        <w:t xml:space="preserve"> il fisco, ma </w:t>
      </w:r>
      <w:r w:rsidR="00D457F5">
        <w:rPr>
          <w:sz w:val="22"/>
          <w:szCs w:val="22"/>
        </w:rPr>
        <w:t>soprattutto</w:t>
      </w:r>
      <w:r w:rsidR="00F07115">
        <w:rPr>
          <w:sz w:val="22"/>
          <w:szCs w:val="22"/>
        </w:rPr>
        <w:t xml:space="preserve"> </w:t>
      </w:r>
      <w:r w:rsidR="00815896" w:rsidRPr="007F7EBF">
        <w:rPr>
          <w:sz w:val="22"/>
          <w:szCs w:val="22"/>
        </w:rPr>
        <w:t>il "posto del fisco”</w:t>
      </w:r>
      <w:r w:rsidR="00D457F5">
        <w:rPr>
          <w:sz w:val="22"/>
          <w:szCs w:val="22"/>
        </w:rPr>
        <w:t xml:space="preserve"> nell’imporre </w:t>
      </w:r>
      <w:r w:rsidR="00815896" w:rsidRPr="007F7EBF">
        <w:rPr>
          <w:sz w:val="22"/>
          <w:szCs w:val="22"/>
        </w:rPr>
        <w:t>l</w:t>
      </w:r>
      <w:r w:rsidR="00D457F5">
        <w:rPr>
          <w:sz w:val="22"/>
          <w:szCs w:val="22"/>
        </w:rPr>
        <w:t>’</w:t>
      </w:r>
      <w:r w:rsidR="00815896" w:rsidRPr="007F7EBF">
        <w:rPr>
          <w:sz w:val="22"/>
          <w:szCs w:val="22"/>
        </w:rPr>
        <w:t>impost</w:t>
      </w:r>
      <w:r w:rsidR="00D457F5">
        <w:rPr>
          <w:sz w:val="22"/>
          <w:szCs w:val="22"/>
        </w:rPr>
        <w:t>a</w:t>
      </w:r>
      <w:r w:rsidR="00815896" w:rsidRPr="007F7EBF">
        <w:rPr>
          <w:sz w:val="22"/>
          <w:szCs w:val="22"/>
        </w:rPr>
        <w:t xml:space="preserve"> al sostituito</w:t>
      </w:r>
      <w:r w:rsidR="00F07115">
        <w:rPr>
          <w:sz w:val="22"/>
          <w:szCs w:val="22"/>
        </w:rPr>
        <w:t xml:space="preserve">; </w:t>
      </w:r>
      <w:r w:rsidR="00D457F5">
        <w:rPr>
          <w:sz w:val="22"/>
          <w:szCs w:val="22"/>
        </w:rPr>
        <w:t>ciò</w:t>
      </w:r>
      <w:r w:rsidR="00F07115">
        <w:rPr>
          <w:sz w:val="22"/>
          <w:szCs w:val="22"/>
        </w:rPr>
        <w:t xml:space="preserve"> rende insomma il sostituto </w:t>
      </w:r>
      <w:r w:rsidR="00815896" w:rsidRPr="007F7EBF">
        <w:rPr>
          <w:sz w:val="22"/>
          <w:szCs w:val="22"/>
        </w:rPr>
        <w:t>una figura squisitamente di diritto amministrativo</w:t>
      </w:r>
      <w:r w:rsidR="00F07115">
        <w:rPr>
          <w:sz w:val="22"/>
          <w:szCs w:val="22"/>
        </w:rPr>
        <w:t xml:space="preserve"> (</w:t>
      </w:r>
      <w:r w:rsidR="00815896" w:rsidRPr="007F7EBF">
        <w:rPr>
          <w:rStyle w:val="Rimandonotaapidipagina"/>
          <w:sz w:val="22"/>
          <w:szCs w:val="22"/>
        </w:rPr>
        <w:footnoteReference w:id="291"/>
      </w:r>
      <w:r w:rsidR="00F07115">
        <w:rPr>
          <w:sz w:val="22"/>
          <w:szCs w:val="22"/>
        </w:rPr>
        <w:t>)</w:t>
      </w:r>
      <w:r w:rsidR="00815896" w:rsidRPr="007F7EBF">
        <w:rPr>
          <w:sz w:val="22"/>
          <w:szCs w:val="22"/>
        </w:rPr>
        <w:t xml:space="preserve">. </w:t>
      </w:r>
    </w:p>
    <w:p w14:paraId="1C09DEE5" w14:textId="1D2C65E2" w:rsidR="002D519B" w:rsidRPr="007F7EBF" w:rsidRDefault="00F07115" w:rsidP="002D519B">
      <w:pPr>
        <w:pStyle w:val="tit23"/>
        <w:ind w:left="6464" w:right="-1361" w:firstLine="0"/>
        <w:jc w:val="left"/>
        <w:rPr>
          <w:bCs/>
          <w:i/>
          <w:iCs/>
          <w:color w:val="0000FF"/>
          <w:lang w:val="it-IT"/>
        </w:rPr>
      </w:pPr>
      <w:r>
        <w:rPr>
          <w:bCs/>
          <w:i/>
          <w:iCs/>
          <w:color w:val="0000FF"/>
          <w:lang w:val="it-IT"/>
        </w:rPr>
        <w:t>Iniziali r</w:t>
      </w:r>
      <w:r w:rsidR="002D519B" w:rsidRPr="007F7EBF">
        <w:rPr>
          <w:bCs/>
          <w:i/>
          <w:iCs/>
          <w:color w:val="0000FF"/>
          <w:lang w:val="it-IT"/>
        </w:rPr>
        <w:t>itenute</w:t>
      </w:r>
      <w:r w:rsidR="00815896" w:rsidRPr="007F7EBF">
        <w:rPr>
          <w:bCs/>
          <w:i/>
          <w:iCs/>
          <w:color w:val="0000FF"/>
          <w:lang w:val="it-IT"/>
        </w:rPr>
        <w:t xml:space="preserve"> alla fonte </w:t>
      </w:r>
      <w:r w:rsidR="002D519B" w:rsidRPr="007F7EBF">
        <w:rPr>
          <w:bCs/>
          <w:i/>
          <w:iCs/>
          <w:color w:val="0000FF"/>
          <w:lang w:val="it-IT"/>
        </w:rPr>
        <w:t xml:space="preserve"> </w:t>
      </w:r>
      <w:r w:rsidR="00815896" w:rsidRPr="007F7EBF">
        <w:rPr>
          <w:bCs/>
          <w:i/>
          <w:iCs/>
          <w:color w:val="0000FF"/>
          <w:lang w:val="it-IT"/>
        </w:rPr>
        <w:t xml:space="preserve">a titolo </w:t>
      </w:r>
      <w:r w:rsidR="002D519B" w:rsidRPr="007F7EBF">
        <w:rPr>
          <w:bCs/>
          <w:i/>
          <w:iCs/>
          <w:color w:val="0000FF"/>
          <w:lang w:val="it-IT"/>
        </w:rPr>
        <w:t>d’imposta</w:t>
      </w:r>
    </w:p>
    <w:p w14:paraId="41B8C98A" w14:textId="61DF4CF6" w:rsidR="00E93E8A" w:rsidRPr="007F7EBF" w:rsidRDefault="00F07115" w:rsidP="00E93E8A">
      <w:pPr>
        <w:autoSpaceDE w:val="0"/>
        <w:autoSpaceDN w:val="0"/>
        <w:adjustRightInd w:val="0"/>
        <w:rPr>
          <w:sz w:val="22"/>
          <w:szCs w:val="22"/>
        </w:rPr>
      </w:pPr>
      <w:r>
        <w:rPr>
          <w:sz w:val="22"/>
          <w:szCs w:val="22"/>
        </w:rPr>
        <w:t>Le</w:t>
      </w:r>
      <w:r w:rsidR="001D4696" w:rsidRPr="007F7EBF">
        <w:rPr>
          <w:sz w:val="22"/>
          <w:szCs w:val="22"/>
        </w:rPr>
        <w:t xml:space="preserve"> ritenute avevano </w:t>
      </w:r>
      <w:r>
        <w:rPr>
          <w:sz w:val="22"/>
          <w:szCs w:val="22"/>
        </w:rPr>
        <w:t xml:space="preserve">inizialmente solo </w:t>
      </w:r>
      <w:r w:rsidR="001D4696" w:rsidRPr="007F7EBF">
        <w:rPr>
          <w:sz w:val="22"/>
          <w:szCs w:val="22"/>
        </w:rPr>
        <w:t xml:space="preserve">natura definitiva, nel senso che esaurivano la tassazione, e venivano chiamate </w:t>
      </w:r>
      <w:r>
        <w:rPr>
          <w:sz w:val="22"/>
          <w:szCs w:val="22"/>
        </w:rPr>
        <w:t>“</w:t>
      </w:r>
      <w:r w:rsidR="009E360A" w:rsidRPr="007F7EBF">
        <w:rPr>
          <w:bCs/>
          <w:sz w:val="22"/>
          <w:szCs w:val="22"/>
        </w:rPr>
        <w:t>d'imposta</w:t>
      </w:r>
      <w:r>
        <w:rPr>
          <w:bCs/>
          <w:sz w:val="22"/>
          <w:szCs w:val="22"/>
        </w:rPr>
        <w:t>”</w:t>
      </w:r>
      <w:r w:rsidR="001D4696" w:rsidRPr="007F7EBF">
        <w:rPr>
          <w:bCs/>
          <w:sz w:val="22"/>
          <w:szCs w:val="22"/>
        </w:rPr>
        <w:t>, nel senso che prendevano il posto del tributo</w:t>
      </w:r>
      <w:r>
        <w:rPr>
          <w:bCs/>
          <w:sz w:val="22"/>
          <w:szCs w:val="22"/>
        </w:rPr>
        <w:t>,</w:t>
      </w:r>
      <w:r w:rsidR="001D4696" w:rsidRPr="007F7EBF">
        <w:rPr>
          <w:bCs/>
          <w:sz w:val="22"/>
          <w:szCs w:val="22"/>
        </w:rPr>
        <w:t xml:space="preserve"> altrimenti chiesto dal fisco </w:t>
      </w:r>
      <w:r w:rsidR="002C31D4">
        <w:rPr>
          <w:bCs/>
          <w:sz w:val="22"/>
          <w:szCs w:val="22"/>
        </w:rPr>
        <w:t>(</w:t>
      </w:r>
      <w:r w:rsidR="001D4696" w:rsidRPr="007F7EBF">
        <w:rPr>
          <w:rStyle w:val="Rimandonotaapidipagina"/>
          <w:bCs/>
          <w:sz w:val="22"/>
          <w:szCs w:val="22"/>
        </w:rPr>
        <w:footnoteReference w:id="292"/>
      </w:r>
      <w:r w:rsidR="002C31D4">
        <w:rPr>
          <w:bCs/>
          <w:sz w:val="22"/>
          <w:szCs w:val="22"/>
        </w:rPr>
        <w:t>)</w:t>
      </w:r>
      <w:r w:rsidR="001D4696" w:rsidRPr="007F7EBF">
        <w:rPr>
          <w:bCs/>
          <w:sz w:val="22"/>
          <w:szCs w:val="22"/>
        </w:rPr>
        <w:t xml:space="preserve">. </w:t>
      </w:r>
      <w:r w:rsidR="00815896" w:rsidRPr="007F7EBF">
        <w:rPr>
          <w:bCs/>
          <w:sz w:val="22"/>
          <w:szCs w:val="22"/>
        </w:rPr>
        <w:t>C</w:t>
      </w:r>
      <w:r w:rsidR="009E360A" w:rsidRPr="007F7EBF">
        <w:rPr>
          <w:bCs/>
          <w:sz w:val="22"/>
          <w:szCs w:val="22"/>
        </w:rPr>
        <w:t xml:space="preserve">ome esempi di </w:t>
      </w:r>
      <w:r w:rsidR="006760BA" w:rsidRPr="007F7EBF">
        <w:rPr>
          <w:sz w:val="22"/>
          <w:szCs w:val="22"/>
        </w:rPr>
        <w:t xml:space="preserve">redditi </w:t>
      </w:r>
      <w:r w:rsidR="009E360A" w:rsidRPr="007F7EBF">
        <w:rPr>
          <w:sz w:val="22"/>
          <w:szCs w:val="22"/>
        </w:rPr>
        <w:t xml:space="preserve">ancora oggi </w:t>
      </w:r>
      <w:r w:rsidR="006760BA" w:rsidRPr="007F7EBF">
        <w:rPr>
          <w:sz w:val="22"/>
          <w:szCs w:val="22"/>
        </w:rPr>
        <w:t xml:space="preserve">soggetti a </w:t>
      </w:r>
      <w:r w:rsidR="00B2678F" w:rsidRPr="007F7EBF">
        <w:rPr>
          <w:sz w:val="22"/>
          <w:szCs w:val="22"/>
        </w:rPr>
        <w:t xml:space="preserve">tali </w:t>
      </w:r>
      <w:r w:rsidR="006760BA" w:rsidRPr="007F7EBF">
        <w:rPr>
          <w:sz w:val="22"/>
          <w:szCs w:val="22"/>
        </w:rPr>
        <w:t xml:space="preserve">ritenute ricordiamo gli interessi bancari ed obbligazionari percepiti da persone fisiche (paragrafo 8.5) nonché i redditi erogati a soggetti </w:t>
      </w:r>
      <w:r w:rsidR="009E360A" w:rsidRPr="007F7EBF">
        <w:rPr>
          <w:sz w:val="22"/>
          <w:szCs w:val="22"/>
        </w:rPr>
        <w:t>esteri</w:t>
      </w:r>
      <w:r w:rsidR="00393662">
        <w:rPr>
          <w:sz w:val="22"/>
          <w:szCs w:val="22"/>
        </w:rPr>
        <w:t>,</w:t>
      </w:r>
      <w:r w:rsidR="009E360A" w:rsidRPr="007F7EBF">
        <w:rPr>
          <w:sz w:val="22"/>
          <w:szCs w:val="22"/>
        </w:rPr>
        <w:t xml:space="preserve"> </w:t>
      </w:r>
      <w:r w:rsidR="00B2678F" w:rsidRPr="007F7EBF">
        <w:rPr>
          <w:sz w:val="22"/>
          <w:szCs w:val="22"/>
        </w:rPr>
        <w:t>ma imponibili in Italia</w:t>
      </w:r>
      <w:r w:rsidR="009E360A" w:rsidRPr="007F7EBF">
        <w:rPr>
          <w:sz w:val="22"/>
          <w:szCs w:val="22"/>
        </w:rPr>
        <w:t xml:space="preserve"> (</w:t>
      </w:r>
      <w:r w:rsidR="00D5420F">
        <w:rPr>
          <w:sz w:val="22"/>
          <w:szCs w:val="22"/>
        </w:rPr>
        <w:t>apr.7.18)</w:t>
      </w:r>
      <w:r w:rsidR="006760BA" w:rsidRPr="007F7EBF">
        <w:rPr>
          <w:sz w:val="22"/>
          <w:szCs w:val="22"/>
        </w:rPr>
        <w:t xml:space="preserve"> </w:t>
      </w:r>
      <w:r w:rsidR="00D5420F">
        <w:rPr>
          <w:sz w:val="22"/>
          <w:szCs w:val="22"/>
        </w:rPr>
        <w:t>(</w:t>
      </w:r>
      <w:r w:rsidR="00D5420F" w:rsidRPr="007F7EBF">
        <w:rPr>
          <w:rStyle w:val="Rimandonotaapidipagina"/>
          <w:sz w:val="22"/>
          <w:szCs w:val="22"/>
        </w:rPr>
        <w:footnoteReference w:id="293"/>
      </w:r>
      <w:r w:rsidR="00D5420F">
        <w:rPr>
          <w:sz w:val="22"/>
          <w:szCs w:val="22"/>
        </w:rPr>
        <w:t xml:space="preserve">). </w:t>
      </w:r>
      <w:r w:rsidR="00D5420F" w:rsidRPr="007F7EBF">
        <w:rPr>
          <w:sz w:val="22"/>
          <w:szCs w:val="22"/>
        </w:rPr>
        <w:t xml:space="preserve">  </w:t>
      </w:r>
    </w:p>
    <w:p w14:paraId="69187E82" w14:textId="77777777" w:rsidR="00E93E8A" w:rsidRPr="007F7EBF" w:rsidRDefault="00B2678F" w:rsidP="00E93E8A">
      <w:pPr>
        <w:pStyle w:val="tit23"/>
        <w:ind w:left="6464" w:right="-1361" w:firstLine="0"/>
        <w:jc w:val="left"/>
        <w:rPr>
          <w:bCs/>
          <w:i/>
          <w:iCs/>
          <w:color w:val="0000FF"/>
          <w:lang w:val="it-IT"/>
        </w:rPr>
      </w:pPr>
      <w:r w:rsidRPr="007F7EBF">
        <w:rPr>
          <w:bCs/>
          <w:i/>
          <w:iCs/>
          <w:color w:val="0000FF"/>
          <w:lang w:val="it-IT"/>
        </w:rPr>
        <w:t xml:space="preserve">Natura definitiva </w:t>
      </w:r>
      <w:r w:rsidR="00E93E8A" w:rsidRPr="007F7EBF">
        <w:rPr>
          <w:bCs/>
          <w:i/>
          <w:iCs/>
          <w:color w:val="0000FF"/>
          <w:lang w:val="it-IT"/>
        </w:rPr>
        <w:t xml:space="preserve"> </w:t>
      </w:r>
    </w:p>
    <w:p w14:paraId="6BBA3716" w14:textId="1094FBF5" w:rsidR="008903A3" w:rsidRPr="007F7EBF" w:rsidRDefault="00E93E8A" w:rsidP="008903A3">
      <w:pPr>
        <w:autoSpaceDE w:val="0"/>
        <w:autoSpaceDN w:val="0"/>
        <w:adjustRightInd w:val="0"/>
        <w:rPr>
          <w:sz w:val="22"/>
          <w:szCs w:val="22"/>
        </w:rPr>
      </w:pPr>
      <w:r w:rsidRPr="007F7EBF">
        <w:rPr>
          <w:sz w:val="22"/>
          <w:szCs w:val="22"/>
        </w:rPr>
        <w:lastRenderedPageBreak/>
        <w:t xml:space="preserve">Questa natura </w:t>
      </w:r>
      <w:r w:rsidR="00393662">
        <w:rPr>
          <w:sz w:val="22"/>
          <w:szCs w:val="22"/>
        </w:rPr>
        <w:t xml:space="preserve">di imposta sostitutiva </w:t>
      </w:r>
      <w:r w:rsidRPr="007F7EBF">
        <w:rPr>
          <w:sz w:val="22"/>
          <w:szCs w:val="22"/>
        </w:rPr>
        <w:t xml:space="preserve">è confermata dal fatto che </w:t>
      </w:r>
      <w:r w:rsidR="00393662">
        <w:rPr>
          <w:sz w:val="22"/>
          <w:szCs w:val="22"/>
        </w:rPr>
        <w:t>le ritenute</w:t>
      </w:r>
      <w:r w:rsidRPr="007F7EBF">
        <w:rPr>
          <w:sz w:val="22"/>
          <w:szCs w:val="22"/>
        </w:rPr>
        <w:t xml:space="preserve"> resta</w:t>
      </w:r>
      <w:r w:rsidR="00815896" w:rsidRPr="007F7EBF">
        <w:rPr>
          <w:sz w:val="22"/>
          <w:szCs w:val="22"/>
        </w:rPr>
        <w:t>no dovute anche se il sostituto di fatto</w:t>
      </w:r>
      <w:r w:rsidRPr="007F7EBF">
        <w:rPr>
          <w:sz w:val="22"/>
          <w:szCs w:val="22"/>
        </w:rPr>
        <w:t xml:space="preserve"> non le ha applicate; l'omissione delle ritenute d'imposta non fa quindi rivivere le </w:t>
      </w:r>
      <w:r w:rsidR="00B2678F" w:rsidRPr="007F7EBF">
        <w:rPr>
          <w:sz w:val="22"/>
          <w:szCs w:val="22"/>
        </w:rPr>
        <w:t xml:space="preserve">imposte che esse sostituiscono, ma </w:t>
      </w:r>
      <w:r w:rsidRPr="007F7EBF">
        <w:rPr>
          <w:sz w:val="22"/>
          <w:szCs w:val="22"/>
        </w:rPr>
        <w:t>espone il sostituito a una respons</w:t>
      </w:r>
      <w:r w:rsidR="00B2678F" w:rsidRPr="007F7EBF">
        <w:rPr>
          <w:sz w:val="22"/>
          <w:szCs w:val="22"/>
        </w:rPr>
        <w:t>abilità solidale col sostituto</w:t>
      </w:r>
      <w:r w:rsidR="00826FAA">
        <w:rPr>
          <w:sz w:val="22"/>
          <w:szCs w:val="22"/>
        </w:rPr>
        <w:t xml:space="preserve"> per l’importo della ritenuta</w:t>
      </w:r>
      <w:r w:rsidR="00B2678F" w:rsidRPr="007F7EBF">
        <w:rPr>
          <w:sz w:val="22"/>
          <w:szCs w:val="22"/>
        </w:rPr>
        <w:t xml:space="preserve">; è uno dei casi in cui </w:t>
      </w:r>
      <w:r w:rsidRPr="007F7EBF">
        <w:rPr>
          <w:sz w:val="22"/>
          <w:szCs w:val="22"/>
        </w:rPr>
        <w:t>il contribuente di fatto assume</w:t>
      </w:r>
      <w:r w:rsidR="00826FAA">
        <w:rPr>
          <w:sz w:val="22"/>
          <w:szCs w:val="22"/>
        </w:rPr>
        <w:t>,</w:t>
      </w:r>
      <w:r w:rsidRPr="007F7EBF">
        <w:rPr>
          <w:sz w:val="22"/>
          <w:szCs w:val="22"/>
        </w:rPr>
        <w:t xml:space="preserve"> anche giuridicamente</w:t>
      </w:r>
      <w:r w:rsidR="00826FAA">
        <w:rPr>
          <w:sz w:val="22"/>
          <w:szCs w:val="22"/>
        </w:rPr>
        <w:t>,</w:t>
      </w:r>
      <w:r w:rsidRPr="007F7EBF">
        <w:rPr>
          <w:sz w:val="22"/>
          <w:szCs w:val="22"/>
        </w:rPr>
        <w:t xml:space="preserve"> un rapporto con gli uffici tributari</w:t>
      </w:r>
      <w:r w:rsidR="00815896" w:rsidRPr="007F7EBF">
        <w:rPr>
          <w:sz w:val="22"/>
          <w:szCs w:val="22"/>
        </w:rPr>
        <w:t xml:space="preserve"> (</w:t>
      </w:r>
      <w:r w:rsidR="00815896" w:rsidRPr="007F7EBF">
        <w:rPr>
          <w:rStyle w:val="Rimandonotaapidipagina"/>
          <w:sz w:val="22"/>
          <w:szCs w:val="22"/>
        </w:rPr>
        <w:footnoteReference w:id="294"/>
      </w:r>
      <w:r w:rsidRPr="007F7EBF">
        <w:rPr>
          <w:sz w:val="22"/>
          <w:szCs w:val="22"/>
        </w:rPr>
        <w:t xml:space="preserve">). </w:t>
      </w:r>
    </w:p>
    <w:p w14:paraId="61E03C7A" w14:textId="77777777" w:rsidR="008903A3" w:rsidRPr="007F7EBF" w:rsidRDefault="00815896" w:rsidP="008903A3">
      <w:pPr>
        <w:pStyle w:val="tit23"/>
        <w:ind w:left="6464" w:right="-1361" w:firstLine="0"/>
        <w:jc w:val="left"/>
        <w:rPr>
          <w:bCs/>
          <w:i/>
          <w:iCs/>
          <w:color w:val="0000FF"/>
          <w:lang w:val="it-IT"/>
        </w:rPr>
      </w:pPr>
      <w:r w:rsidRPr="007F7EBF">
        <w:rPr>
          <w:bCs/>
          <w:i/>
          <w:iCs/>
          <w:color w:val="0000FF"/>
          <w:lang w:val="it-IT"/>
        </w:rPr>
        <w:t>Ritenute alla fonte a titolo di acconto</w:t>
      </w:r>
    </w:p>
    <w:p w14:paraId="6E36CD9D" w14:textId="77777777" w:rsidR="00D5420F" w:rsidRPr="007F7EBF" w:rsidRDefault="00826FAA" w:rsidP="00D5420F">
      <w:pPr>
        <w:autoSpaceDE w:val="0"/>
        <w:autoSpaceDN w:val="0"/>
        <w:adjustRightInd w:val="0"/>
        <w:rPr>
          <w:sz w:val="22"/>
          <w:szCs w:val="22"/>
        </w:rPr>
      </w:pPr>
      <w:r>
        <w:rPr>
          <w:sz w:val="22"/>
          <w:szCs w:val="22"/>
        </w:rPr>
        <w:t xml:space="preserve">Questa </w:t>
      </w:r>
      <w:r w:rsidRPr="007F7EBF">
        <w:rPr>
          <w:sz w:val="22"/>
          <w:szCs w:val="22"/>
        </w:rPr>
        <w:t xml:space="preserve">ritenuta definitiva "a titolo d'imposta" è un </w:t>
      </w:r>
      <w:r>
        <w:rPr>
          <w:sz w:val="22"/>
          <w:szCs w:val="22"/>
        </w:rPr>
        <w:t xml:space="preserve">tipico </w:t>
      </w:r>
      <w:r w:rsidRPr="007F7EBF">
        <w:rPr>
          <w:sz w:val="22"/>
          <w:szCs w:val="22"/>
        </w:rPr>
        <w:t>tributo</w:t>
      </w:r>
      <w:r>
        <w:rPr>
          <w:sz w:val="22"/>
          <w:szCs w:val="22"/>
        </w:rPr>
        <w:t xml:space="preserve"> </w:t>
      </w:r>
      <w:r w:rsidRPr="007F7EBF">
        <w:rPr>
          <w:sz w:val="22"/>
          <w:szCs w:val="22"/>
        </w:rPr>
        <w:t xml:space="preserve">"reale", </w:t>
      </w:r>
      <w:r>
        <w:rPr>
          <w:sz w:val="22"/>
          <w:szCs w:val="22"/>
        </w:rPr>
        <w:t xml:space="preserve">cioè riferito all’elemento isolato di reddito che colpisce, </w:t>
      </w:r>
      <w:r w:rsidRPr="007F7EBF">
        <w:rPr>
          <w:sz w:val="22"/>
          <w:szCs w:val="22"/>
        </w:rPr>
        <w:t>nel senso di cui al par.9.2. Nel tentativo di realizzare l</w:t>
      </w:r>
      <w:r>
        <w:rPr>
          <w:sz w:val="22"/>
          <w:szCs w:val="22"/>
        </w:rPr>
        <w:t>’</w:t>
      </w:r>
      <w:r w:rsidRPr="007F7EBF">
        <w:rPr>
          <w:sz w:val="22"/>
          <w:szCs w:val="22"/>
        </w:rPr>
        <w:t xml:space="preserve"> “</w:t>
      </w:r>
      <w:r>
        <w:rPr>
          <w:sz w:val="22"/>
          <w:szCs w:val="22"/>
        </w:rPr>
        <w:t>imposta</w:t>
      </w:r>
      <w:r w:rsidRPr="007F7EBF">
        <w:rPr>
          <w:sz w:val="22"/>
          <w:szCs w:val="22"/>
        </w:rPr>
        <w:t xml:space="preserve"> personale progressiva” </w:t>
      </w:r>
      <w:r w:rsidR="002C31D4">
        <w:rPr>
          <w:sz w:val="22"/>
          <w:szCs w:val="22"/>
        </w:rPr>
        <w:t>(</w:t>
      </w:r>
      <w:r w:rsidRPr="007F7EBF">
        <w:rPr>
          <w:rStyle w:val="Rimandonotaapidipagina"/>
          <w:sz w:val="22"/>
          <w:szCs w:val="22"/>
        </w:rPr>
        <w:footnoteReference w:id="295"/>
      </w:r>
      <w:r w:rsidR="002C31D4">
        <w:rPr>
          <w:sz w:val="22"/>
          <w:szCs w:val="22"/>
        </w:rPr>
        <w:t>)</w:t>
      </w:r>
      <w:r w:rsidR="001407CD">
        <w:rPr>
          <w:sz w:val="22"/>
          <w:szCs w:val="22"/>
        </w:rPr>
        <w:t xml:space="preserve"> </w:t>
      </w:r>
      <w:r w:rsidRPr="007F7EBF">
        <w:rPr>
          <w:sz w:val="22"/>
          <w:szCs w:val="22"/>
        </w:rPr>
        <w:t>di cui al par. 9.3</w:t>
      </w:r>
      <w:r w:rsidR="001407CD">
        <w:rPr>
          <w:sz w:val="22"/>
          <w:szCs w:val="22"/>
        </w:rPr>
        <w:t xml:space="preserve">, </w:t>
      </w:r>
      <w:r w:rsidRPr="007F7EBF">
        <w:rPr>
          <w:sz w:val="22"/>
          <w:szCs w:val="22"/>
        </w:rPr>
        <w:t xml:space="preserve">molte ritenute diventarono "di acconto", </w:t>
      </w:r>
      <w:r w:rsidR="001407CD">
        <w:rPr>
          <w:sz w:val="22"/>
          <w:szCs w:val="22"/>
        </w:rPr>
        <w:t xml:space="preserve">cioè tassazioni </w:t>
      </w:r>
      <w:r w:rsidR="006342C5" w:rsidRPr="007F7EBF">
        <w:rPr>
          <w:bCs/>
          <w:sz w:val="22"/>
          <w:szCs w:val="22"/>
        </w:rPr>
        <w:t>provvisori</w:t>
      </w:r>
      <w:r w:rsidR="001407CD">
        <w:rPr>
          <w:bCs/>
          <w:sz w:val="22"/>
          <w:szCs w:val="22"/>
        </w:rPr>
        <w:t>e</w:t>
      </w:r>
      <w:r w:rsidR="00744BA0" w:rsidRPr="007F7EBF">
        <w:rPr>
          <w:bCs/>
          <w:sz w:val="22"/>
          <w:szCs w:val="22"/>
        </w:rPr>
        <w:t xml:space="preserve">, in attesa di </w:t>
      </w:r>
      <w:r w:rsidR="00744BA0" w:rsidRPr="007F7EBF">
        <w:rPr>
          <w:bCs/>
          <w:i/>
          <w:sz w:val="22"/>
          <w:szCs w:val="22"/>
        </w:rPr>
        <w:t>conguaglio</w:t>
      </w:r>
      <w:r w:rsidR="00680459" w:rsidRPr="007F7EBF">
        <w:rPr>
          <w:sz w:val="22"/>
          <w:szCs w:val="22"/>
        </w:rPr>
        <w:t xml:space="preserve"> </w:t>
      </w:r>
      <w:r w:rsidR="006342C5" w:rsidRPr="007F7EBF">
        <w:rPr>
          <w:sz w:val="22"/>
          <w:szCs w:val="22"/>
        </w:rPr>
        <w:t xml:space="preserve">rispetto alle imposte </w:t>
      </w:r>
      <w:r w:rsidR="00815896" w:rsidRPr="007F7EBF">
        <w:rPr>
          <w:sz w:val="22"/>
          <w:szCs w:val="22"/>
        </w:rPr>
        <w:t>sui redditi, determinate anche in base alle somme soggette a ritenuta</w:t>
      </w:r>
      <w:r w:rsidR="006342C5" w:rsidRPr="007F7EBF">
        <w:rPr>
          <w:sz w:val="22"/>
          <w:szCs w:val="22"/>
        </w:rPr>
        <w:t xml:space="preserve"> (</w:t>
      </w:r>
      <w:r w:rsidR="00815896" w:rsidRPr="007F7EBF">
        <w:rPr>
          <w:rStyle w:val="Rimandonotaapidipagina"/>
          <w:sz w:val="22"/>
          <w:szCs w:val="22"/>
        </w:rPr>
        <w:footnoteReference w:id="296"/>
      </w:r>
      <w:r w:rsidR="006342C5" w:rsidRPr="007F7EBF">
        <w:rPr>
          <w:sz w:val="22"/>
          <w:szCs w:val="22"/>
        </w:rPr>
        <w:t>)</w:t>
      </w:r>
      <w:r w:rsidR="00815896" w:rsidRPr="007F7EBF">
        <w:rPr>
          <w:sz w:val="22"/>
          <w:szCs w:val="22"/>
        </w:rPr>
        <w:t>.</w:t>
      </w:r>
      <w:r w:rsidR="002C31D4">
        <w:rPr>
          <w:sz w:val="22"/>
          <w:szCs w:val="22"/>
        </w:rPr>
        <w:t xml:space="preserve"> </w:t>
      </w:r>
      <w:r w:rsidR="004E094D" w:rsidRPr="007F7EBF">
        <w:rPr>
          <w:sz w:val="22"/>
          <w:szCs w:val="22"/>
        </w:rPr>
        <w:t xml:space="preserve">Il compenso su cui è effettuata la ritenuta concorre a formare il reddito imponibile del creditore-percettore </w:t>
      </w:r>
      <w:r w:rsidR="006342C5" w:rsidRPr="007F7EBF">
        <w:rPr>
          <w:sz w:val="22"/>
          <w:szCs w:val="22"/>
        </w:rPr>
        <w:t xml:space="preserve">al lordo della </w:t>
      </w:r>
      <w:r w:rsidR="006342C5" w:rsidRPr="007F7EBF">
        <w:rPr>
          <w:bCs/>
          <w:sz w:val="22"/>
          <w:szCs w:val="22"/>
        </w:rPr>
        <w:t>ritenuta</w:t>
      </w:r>
      <w:r w:rsidR="004E094D" w:rsidRPr="007F7EBF">
        <w:rPr>
          <w:sz w:val="22"/>
          <w:szCs w:val="22"/>
        </w:rPr>
        <w:t xml:space="preserve"> stessa, che ha la funzione di un anticipo (acconto) di imposta. L'importo complessivo delle ritenute d'acconto è</w:t>
      </w:r>
      <w:r w:rsidR="006342C5" w:rsidRPr="007F7EBF">
        <w:rPr>
          <w:sz w:val="22"/>
          <w:szCs w:val="22"/>
        </w:rPr>
        <w:t xml:space="preserve"> poi </w:t>
      </w:r>
      <w:r w:rsidR="006342C5" w:rsidRPr="007F7EBF">
        <w:rPr>
          <w:bCs/>
          <w:sz w:val="22"/>
          <w:szCs w:val="22"/>
        </w:rPr>
        <w:t>confrontat</w:t>
      </w:r>
      <w:r w:rsidR="004E094D" w:rsidRPr="007F7EBF">
        <w:rPr>
          <w:bCs/>
          <w:sz w:val="22"/>
          <w:szCs w:val="22"/>
        </w:rPr>
        <w:t>o</w:t>
      </w:r>
      <w:r w:rsidR="006342C5" w:rsidRPr="007F7EBF">
        <w:rPr>
          <w:bCs/>
          <w:sz w:val="22"/>
          <w:szCs w:val="22"/>
        </w:rPr>
        <w:t xml:space="preserve"> </w:t>
      </w:r>
      <w:r w:rsidR="006342C5" w:rsidRPr="007F7EBF">
        <w:rPr>
          <w:sz w:val="22"/>
          <w:szCs w:val="22"/>
        </w:rPr>
        <w:t xml:space="preserve">con l’imposta complessiva, con </w:t>
      </w:r>
      <w:r w:rsidR="006342C5" w:rsidRPr="007F7EBF">
        <w:rPr>
          <w:bCs/>
          <w:sz w:val="22"/>
          <w:szCs w:val="22"/>
        </w:rPr>
        <w:t>diritto al</w:t>
      </w:r>
      <w:r w:rsidR="00D16A52" w:rsidRPr="007F7EBF">
        <w:rPr>
          <w:bCs/>
          <w:sz w:val="22"/>
          <w:szCs w:val="22"/>
        </w:rPr>
        <w:t xml:space="preserve"> </w:t>
      </w:r>
      <w:r w:rsidR="006342C5" w:rsidRPr="007F7EBF">
        <w:rPr>
          <w:bCs/>
          <w:sz w:val="22"/>
          <w:szCs w:val="22"/>
        </w:rPr>
        <w:t>rimborso delle eventuali eccedenze</w:t>
      </w:r>
      <w:r w:rsidR="004E094D" w:rsidRPr="007F7EBF">
        <w:rPr>
          <w:bCs/>
          <w:sz w:val="22"/>
          <w:szCs w:val="22"/>
        </w:rPr>
        <w:t xml:space="preserve">, a favore del contribuente, </w:t>
      </w:r>
      <w:r w:rsidR="006342C5" w:rsidRPr="007F7EBF">
        <w:rPr>
          <w:bCs/>
          <w:sz w:val="22"/>
          <w:szCs w:val="22"/>
        </w:rPr>
        <w:t xml:space="preserve"> </w:t>
      </w:r>
      <w:r w:rsidR="006342C5" w:rsidRPr="007F7EBF">
        <w:rPr>
          <w:sz w:val="22"/>
          <w:szCs w:val="22"/>
        </w:rPr>
        <w:t xml:space="preserve">o </w:t>
      </w:r>
      <w:r w:rsidR="004E094D" w:rsidRPr="007F7EBF">
        <w:rPr>
          <w:sz w:val="22"/>
          <w:szCs w:val="22"/>
        </w:rPr>
        <w:t xml:space="preserve">col </w:t>
      </w:r>
      <w:r w:rsidR="006342C5" w:rsidRPr="007F7EBF">
        <w:rPr>
          <w:sz w:val="22"/>
          <w:szCs w:val="22"/>
        </w:rPr>
        <w:t xml:space="preserve">versamento </w:t>
      </w:r>
      <w:r w:rsidR="004E094D" w:rsidRPr="007F7EBF">
        <w:rPr>
          <w:sz w:val="22"/>
          <w:szCs w:val="22"/>
        </w:rPr>
        <w:t xml:space="preserve">da parte sua </w:t>
      </w:r>
      <w:r w:rsidR="006342C5" w:rsidRPr="007F7EBF">
        <w:rPr>
          <w:sz w:val="22"/>
          <w:szCs w:val="22"/>
        </w:rPr>
        <w:t xml:space="preserve">delle ulteriori imposte </w:t>
      </w:r>
      <w:r w:rsidR="004E094D" w:rsidRPr="007F7EBF">
        <w:rPr>
          <w:sz w:val="22"/>
          <w:szCs w:val="22"/>
        </w:rPr>
        <w:t xml:space="preserve">ancora </w:t>
      </w:r>
      <w:r w:rsidR="006342C5" w:rsidRPr="007F7EBF">
        <w:rPr>
          <w:sz w:val="22"/>
          <w:szCs w:val="22"/>
        </w:rPr>
        <w:t>dovute (</w:t>
      </w:r>
      <w:r w:rsidR="008903A3" w:rsidRPr="007F7EBF">
        <w:rPr>
          <w:rStyle w:val="Rimandonotaapidipagina"/>
          <w:sz w:val="22"/>
          <w:szCs w:val="22"/>
        </w:rPr>
        <w:footnoteReference w:id="297"/>
      </w:r>
      <w:r w:rsidR="006342C5" w:rsidRPr="007F7EBF">
        <w:rPr>
          <w:sz w:val="22"/>
          <w:szCs w:val="22"/>
        </w:rPr>
        <w:t>).</w:t>
      </w:r>
      <w:r w:rsidR="001407CD">
        <w:rPr>
          <w:sz w:val="22"/>
          <w:szCs w:val="22"/>
        </w:rPr>
        <w:t xml:space="preserve"> </w:t>
      </w:r>
      <w:r w:rsidR="002C31D4">
        <w:rPr>
          <w:sz w:val="22"/>
          <w:szCs w:val="22"/>
        </w:rPr>
        <w:t>Questo</w:t>
      </w:r>
      <w:r w:rsidR="001407CD">
        <w:rPr>
          <w:sz w:val="22"/>
          <w:szCs w:val="22"/>
        </w:rPr>
        <w:t xml:space="preserve"> passaggio </w:t>
      </w:r>
      <w:r w:rsidR="002C31D4">
        <w:rPr>
          <w:sz w:val="22"/>
          <w:szCs w:val="22"/>
        </w:rPr>
        <w:t>“massivo”</w:t>
      </w:r>
      <w:r w:rsidR="001407CD">
        <w:rPr>
          <w:sz w:val="22"/>
          <w:szCs w:val="22"/>
        </w:rPr>
        <w:t xml:space="preserve"> alla ritenuta d’acconto ha fatto </w:t>
      </w:r>
      <w:r w:rsidR="001407CD" w:rsidRPr="001407CD">
        <w:rPr>
          <w:sz w:val="22"/>
          <w:szCs w:val="22"/>
        </w:rPr>
        <w:t>aumentare a dismisura le dichiarazioni tributarie</w:t>
      </w:r>
      <w:r w:rsidR="001407CD">
        <w:rPr>
          <w:sz w:val="22"/>
          <w:szCs w:val="22"/>
        </w:rPr>
        <w:t xml:space="preserve"> </w:t>
      </w:r>
      <w:r w:rsidR="002C31D4">
        <w:rPr>
          <w:sz w:val="22"/>
          <w:szCs w:val="22"/>
        </w:rPr>
        <w:t>che il fi</w:t>
      </w:r>
      <w:r w:rsidR="001407CD">
        <w:rPr>
          <w:sz w:val="22"/>
          <w:szCs w:val="22"/>
        </w:rPr>
        <w:t>sco deve “liquidare”, cioè controllare formalmente nei modi di cui al par.5.5</w:t>
      </w:r>
      <w:r w:rsidR="001407CD" w:rsidRPr="001407CD">
        <w:rPr>
          <w:sz w:val="22"/>
          <w:szCs w:val="22"/>
        </w:rPr>
        <w:t>, soprattutto per lavoratori dipendenti con “altri redditi ed oneri deducibili” (</w:t>
      </w:r>
      <w:r w:rsidR="001407CD" w:rsidRPr="001407CD">
        <w:rPr>
          <w:rStyle w:val="Rimandonotaapidipagina"/>
          <w:sz w:val="22"/>
          <w:szCs w:val="22"/>
        </w:rPr>
        <w:footnoteReference w:id="298"/>
      </w:r>
      <w:r w:rsidR="001407CD" w:rsidRPr="001407CD">
        <w:rPr>
          <w:sz w:val="22"/>
          <w:szCs w:val="22"/>
        </w:rPr>
        <w:t>).</w:t>
      </w:r>
    </w:p>
    <w:p w14:paraId="477AE736" w14:textId="77777777" w:rsidR="00D5420F" w:rsidRPr="007F7EBF" w:rsidRDefault="00D5420F" w:rsidP="00D5420F">
      <w:pPr>
        <w:pStyle w:val="tit23"/>
        <w:ind w:left="6464" w:right="-1361" w:firstLine="0"/>
        <w:jc w:val="left"/>
        <w:rPr>
          <w:bCs/>
          <w:i/>
          <w:iCs/>
          <w:color w:val="0000FF"/>
          <w:lang w:val="it-IT"/>
        </w:rPr>
      </w:pPr>
      <w:r w:rsidRPr="007F7EBF">
        <w:rPr>
          <w:bCs/>
          <w:i/>
          <w:iCs/>
          <w:color w:val="0000FF"/>
          <w:lang w:val="it-IT"/>
        </w:rPr>
        <w:lastRenderedPageBreak/>
        <w:t>Informazioni del sostituto d’imposta</w:t>
      </w:r>
    </w:p>
    <w:p w14:paraId="727D0D54" w14:textId="02C0AAF6" w:rsidR="00E93E8A" w:rsidRPr="007F7EBF" w:rsidRDefault="00D5420F" w:rsidP="001407CD">
      <w:pPr>
        <w:autoSpaceDE w:val="0"/>
        <w:autoSpaceDN w:val="0"/>
        <w:adjustRightInd w:val="0"/>
        <w:rPr>
          <w:sz w:val="22"/>
          <w:szCs w:val="22"/>
        </w:rPr>
      </w:pPr>
      <w:r w:rsidRPr="007F7EBF">
        <w:rPr>
          <w:sz w:val="22"/>
          <w:szCs w:val="22"/>
        </w:rPr>
        <w:t>L'erogante, in quanto debitore del sostituito,  ha comunque una qualche informazione su</w:t>
      </w:r>
      <w:r>
        <w:rPr>
          <w:sz w:val="22"/>
          <w:szCs w:val="22"/>
        </w:rPr>
        <w:t xml:space="preserve"> di lui, come rilevato al termine del par.3.2 sulla disponibilità, in capo al debitore acquirente di qualche informazione sul creditore venditore; in generale chi </w:t>
      </w:r>
      <w:r w:rsidRPr="007F7EBF">
        <w:t>paga un debito ha tutto l'interesse a sincerarsi dell'identità del debitore, in modo  da poter dimostrare di aver regolarmente adempiuto e di essersi quindi liberato del proprio obbligo</w:t>
      </w:r>
      <w:r>
        <w:t xml:space="preserve">; tali informazioni sono riferite </w:t>
      </w:r>
      <w:r>
        <w:rPr>
          <w:sz w:val="22"/>
          <w:szCs w:val="22"/>
        </w:rPr>
        <w:t xml:space="preserve">agli uffici tributari, che le acquisiscono nelle proprie banche dati </w:t>
      </w:r>
      <w:r w:rsidRPr="007F7EBF">
        <w:rPr>
          <w:sz w:val="22"/>
          <w:szCs w:val="22"/>
        </w:rPr>
        <w:t xml:space="preserve">(par.5.5/5.6), </w:t>
      </w:r>
      <w:r>
        <w:rPr>
          <w:sz w:val="22"/>
          <w:szCs w:val="22"/>
        </w:rPr>
        <w:t>cosa nota al sostituito, che lo induce a un corretto adempimento (</w:t>
      </w:r>
      <w:r>
        <w:rPr>
          <w:rStyle w:val="Rimandonotaapidipagina"/>
          <w:sz w:val="22"/>
          <w:szCs w:val="22"/>
        </w:rPr>
        <w:footnoteReference w:id="299"/>
      </w:r>
      <w:r>
        <w:rPr>
          <w:sz w:val="22"/>
          <w:szCs w:val="22"/>
        </w:rPr>
        <w:t>)</w:t>
      </w:r>
      <w:r w:rsidRPr="007F7EBF">
        <w:rPr>
          <w:sz w:val="22"/>
          <w:szCs w:val="22"/>
        </w:rPr>
        <w:t xml:space="preserve">. </w:t>
      </w:r>
    </w:p>
    <w:p w14:paraId="4080FE7E" w14:textId="77777777" w:rsidR="008903A3" w:rsidRPr="007F7EBF" w:rsidRDefault="008903A3" w:rsidP="008903A3">
      <w:pPr>
        <w:pStyle w:val="tit23"/>
        <w:ind w:left="6464" w:right="-1361" w:firstLine="0"/>
        <w:jc w:val="left"/>
        <w:rPr>
          <w:bCs/>
          <w:i/>
          <w:iCs/>
          <w:color w:val="0000FF"/>
          <w:lang w:val="it-IT"/>
        </w:rPr>
      </w:pPr>
      <w:r w:rsidRPr="007F7EBF">
        <w:rPr>
          <w:bCs/>
          <w:i/>
          <w:iCs/>
          <w:color w:val="0000FF"/>
          <w:lang w:val="it-IT"/>
        </w:rPr>
        <w:t>Funzione segnaletica della ritenuta</w:t>
      </w:r>
    </w:p>
    <w:p w14:paraId="2FB00A75" w14:textId="6894D5DB" w:rsidR="00181A44" w:rsidRPr="007F7EBF" w:rsidRDefault="006342C5" w:rsidP="00181A44">
      <w:pPr>
        <w:autoSpaceDE w:val="0"/>
        <w:autoSpaceDN w:val="0"/>
        <w:adjustRightInd w:val="0"/>
        <w:rPr>
          <w:sz w:val="22"/>
          <w:szCs w:val="22"/>
        </w:rPr>
      </w:pPr>
      <w:r w:rsidRPr="007F7EBF">
        <w:rPr>
          <w:sz w:val="22"/>
          <w:szCs w:val="22"/>
        </w:rPr>
        <w:t>La ritenuta d’acconto</w:t>
      </w:r>
      <w:r w:rsidR="00181A44" w:rsidRPr="007F7EBF">
        <w:rPr>
          <w:sz w:val="22"/>
          <w:szCs w:val="22"/>
        </w:rPr>
        <w:t xml:space="preserve"> ha svolto però anche un fondamentale ruolo nella visibilità tributaria de</w:t>
      </w:r>
      <w:r w:rsidR="000E0573">
        <w:rPr>
          <w:sz w:val="22"/>
          <w:szCs w:val="22"/>
        </w:rPr>
        <w:t xml:space="preserve">gli imponibili </w:t>
      </w:r>
      <w:r w:rsidR="00181A44" w:rsidRPr="007F7EBF">
        <w:rPr>
          <w:sz w:val="22"/>
          <w:szCs w:val="22"/>
        </w:rPr>
        <w:t>(par.1.11). Essa infatti</w:t>
      </w:r>
      <w:r w:rsidRPr="007F7EBF">
        <w:rPr>
          <w:sz w:val="22"/>
          <w:szCs w:val="22"/>
        </w:rPr>
        <w:t xml:space="preserve"> </w:t>
      </w:r>
      <w:r w:rsidR="00181A44" w:rsidRPr="007F7EBF">
        <w:rPr>
          <w:sz w:val="22"/>
          <w:szCs w:val="22"/>
        </w:rPr>
        <w:t xml:space="preserve">può essere usata per </w:t>
      </w:r>
      <w:r w:rsidR="00680459" w:rsidRPr="007F7EBF">
        <w:rPr>
          <w:sz w:val="22"/>
          <w:szCs w:val="22"/>
        </w:rPr>
        <w:t>segnal</w:t>
      </w:r>
      <w:r w:rsidRPr="007F7EBF">
        <w:rPr>
          <w:sz w:val="22"/>
          <w:szCs w:val="22"/>
        </w:rPr>
        <w:t>a</w:t>
      </w:r>
      <w:r w:rsidR="00181A44" w:rsidRPr="007F7EBF">
        <w:rPr>
          <w:sz w:val="22"/>
          <w:szCs w:val="22"/>
        </w:rPr>
        <w:t xml:space="preserve">re </w:t>
      </w:r>
      <w:r w:rsidRPr="007F7EBF">
        <w:rPr>
          <w:sz w:val="22"/>
          <w:szCs w:val="22"/>
        </w:rPr>
        <w:t xml:space="preserve"> </w:t>
      </w:r>
      <w:r w:rsidR="00181A44" w:rsidRPr="007F7EBF">
        <w:rPr>
          <w:sz w:val="22"/>
          <w:szCs w:val="22"/>
        </w:rPr>
        <w:t xml:space="preserve">in modo personalizzato </w:t>
      </w:r>
      <w:r w:rsidRPr="007F7EBF">
        <w:rPr>
          <w:sz w:val="22"/>
          <w:szCs w:val="22"/>
        </w:rPr>
        <w:t xml:space="preserve">all’autorità fiscale il reddito che vi </w:t>
      </w:r>
      <w:r w:rsidR="00680459" w:rsidRPr="007F7EBF">
        <w:rPr>
          <w:sz w:val="22"/>
          <w:szCs w:val="22"/>
        </w:rPr>
        <w:t xml:space="preserve">è </w:t>
      </w:r>
      <w:r w:rsidR="00181A44" w:rsidRPr="007F7EBF">
        <w:rPr>
          <w:sz w:val="22"/>
          <w:szCs w:val="22"/>
        </w:rPr>
        <w:t xml:space="preserve"> assoggettato; </w:t>
      </w:r>
      <w:r w:rsidRPr="007F7EBF">
        <w:rPr>
          <w:sz w:val="22"/>
          <w:szCs w:val="22"/>
        </w:rPr>
        <w:t>il</w:t>
      </w:r>
      <w:r w:rsidR="008903A3" w:rsidRPr="007F7EBF">
        <w:rPr>
          <w:sz w:val="22"/>
          <w:szCs w:val="22"/>
        </w:rPr>
        <w:t xml:space="preserve"> </w:t>
      </w:r>
      <w:r w:rsidRPr="007F7EBF">
        <w:rPr>
          <w:sz w:val="22"/>
          <w:szCs w:val="22"/>
        </w:rPr>
        <w:t xml:space="preserve">percettore </w:t>
      </w:r>
      <w:r w:rsidR="00181A44" w:rsidRPr="007F7EBF">
        <w:rPr>
          <w:sz w:val="22"/>
          <w:szCs w:val="22"/>
        </w:rPr>
        <w:t>viene così dissuaso dall’ometter</w:t>
      </w:r>
      <w:r w:rsidRPr="007F7EBF">
        <w:rPr>
          <w:sz w:val="22"/>
          <w:szCs w:val="22"/>
        </w:rPr>
        <w:t xml:space="preserve">e </w:t>
      </w:r>
      <w:r w:rsidR="00181A44" w:rsidRPr="007F7EBF">
        <w:rPr>
          <w:sz w:val="22"/>
          <w:szCs w:val="22"/>
        </w:rPr>
        <w:t xml:space="preserve">la registrazione e </w:t>
      </w:r>
      <w:r w:rsidRPr="007F7EBF">
        <w:rPr>
          <w:sz w:val="22"/>
          <w:szCs w:val="22"/>
        </w:rPr>
        <w:t>la dichiarazione</w:t>
      </w:r>
      <w:r w:rsidR="00181A44" w:rsidRPr="007F7EBF">
        <w:rPr>
          <w:sz w:val="22"/>
          <w:szCs w:val="22"/>
        </w:rPr>
        <w:t xml:space="preserve"> dei relativi importi; in questo modo la ritenuta d'acconto contribuisce </w:t>
      </w:r>
      <w:r w:rsidR="00D16A52" w:rsidRPr="007F7EBF">
        <w:rPr>
          <w:sz w:val="22"/>
          <w:szCs w:val="22"/>
        </w:rPr>
        <w:t xml:space="preserve"> fortemente alla </w:t>
      </w:r>
      <w:r w:rsidRPr="007F7EBF">
        <w:rPr>
          <w:sz w:val="22"/>
          <w:szCs w:val="22"/>
        </w:rPr>
        <w:t xml:space="preserve"> </w:t>
      </w:r>
      <w:r w:rsidR="009A3ECC">
        <w:rPr>
          <w:sz w:val="22"/>
          <w:szCs w:val="22"/>
        </w:rPr>
        <w:t>determinazione documentale dei presupposti di imposta</w:t>
      </w:r>
      <w:r w:rsidR="000E0573">
        <w:rPr>
          <w:sz w:val="22"/>
          <w:szCs w:val="22"/>
        </w:rPr>
        <w:t xml:space="preserve">. </w:t>
      </w:r>
    </w:p>
    <w:p w14:paraId="0F8DE673" w14:textId="77777777" w:rsidR="00181A44" w:rsidRPr="007F7EBF" w:rsidRDefault="004E4B73" w:rsidP="00181A44">
      <w:pPr>
        <w:pStyle w:val="tit23"/>
        <w:ind w:left="6464" w:right="-1361" w:firstLine="0"/>
        <w:jc w:val="left"/>
        <w:rPr>
          <w:bCs/>
          <w:i/>
          <w:iCs/>
          <w:color w:val="0000FF"/>
          <w:lang w:val="it-IT"/>
        </w:rPr>
      </w:pPr>
      <w:r w:rsidRPr="007F7EBF">
        <w:rPr>
          <w:bCs/>
          <w:i/>
          <w:iCs/>
          <w:color w:val="0000FF"/>
          <w:lang w:val="it-IT"/>
        </w:rPr>
        <w:t>Limiti connessi all’effettuazione sui ricavi lordi</w:t>
      </w:r>
    </w:p>
    <w:p w14:paraId="27EF106B" w14:textId="34515694" w:rsidR="008723DF" w:rsidRPr="007F7EBF" w:rsidRDefault="009A3ECC" w:rsidP="007F7D77">
      <w:pPr>
        <w:autoSpaceDE w:val="0"/>
        <w:autoSpaceDN w:val="0"/>
        <w:adjustRightInd w:val="0"/>
        <w:rPr>
          <w:bCs/>
          <w:i/>
          <w:iCs/>
          <w:color w:val="0000FF"/>
          <w:sz w:val="22"/>
          <w:szCs w:val="22"/>
        </w:rPr>
      </w:pPr>
      <w:r>
        <w:rPr>
          <w:sz w:val="22"/>
          <w:szCs w:val="22"/>
        </w:rPr>
        <w:t>Il corrispettivo pagato dal sostituto è però</w:t>
      </w:r>
      <w:r w:rsidRPr="007F7EBF">
        <w:rPr>
          <w:sz w:val="22"/>
          <w:szCs w:val="22"/>
        </w:rPr>
        <w:t xml:space="preserve"> </w:t>
      </w:r>
      <w:r w:rsidR="0038311E">
        <w:rPr>
          <w:sz w:val="22"/>
          <w:szCs w:val="22"/>
        </w:rPr>
        <w:t>l’unico dato su cui egli può effettuare la ritenuta, il che ha pochi inconvenienti p</w:t>
      </w:r>
      <w:r w:rsidR="00CC66B5" w:rsidRPr="007F7EBF">
        <w:rPr>
          <w:sz w:val="22"/>
          <w:szCs w:val="22"/>
        </w:rPr>
        <w:t>er le attività</w:t>
      </w:r>
      <w:r w:rsidR="00FE0BAA" w:rsidRPr="007F7EBF">
        <w:rPr>
          <w:sz w:val="22"/>
          <w:szCs w:val="22"/>
        </w:rPr>
        <w:t xml:space="preserve"> con costi modesti rispetto ai ricavi</w:t>
      </w:r>
      <w:r w:rsidR="00EE148B">
        <w:rPr>
          <w:sz w:val="22"/>
          <w:szCs w:val="22"/>
        </w:rPr>
        <w:t xml:space="preserve">, cioè ad alto valore aggiunto </w:t>
      </w:r>
      <w:r w:rsidR="00EA160D">
        <w:rPr>
          <w:sz w:val="22"/>
          <w:szCs w:val="22"/>
        </w:rPr>
        <w:t>(</w:t>
      </w:r>
      <w:r w:rsidR="00FE0BAA" w:rsidRPr="007F7EBF">
        <w:rPr>
          <w:rStyle w:val="Rimandonotaapidipagina"/>
          <w:sz w:val="22"/>
          <w:szCs w:val="22"/>
        </w:rPr>
        <w:footnoteReference w:id="300"/>
      </w:r>
      <w:r w:rsidR="00EA160D">
        <w:rPr>
          <w:sz w:val="22"/>
          <w:szCs w:val="22"/>
        </w:rPr>
        <w:t>)</w:t>
      </w:r>
      <w:r w:rsidR="00FE0BAA" w:rsidRPr="007F7EBF">
        <w:rPr>
          <w:sz w:val="22"/>
          <w:szCs w:val="22"/>
        </w:rPr>
        <w:t xml:space="preserve">, </w:t>
      </w:r>
      <w:r w:rsidR="0038311E">
        <w:rPr>
          <w:sz w:val="22"/>
          <w:szCs w:val="22"/>
        </w:rPr>
        <w:t xml:space="preserve">o dove i costi sono irrilevanti come lavoro dipendente o pensioni. Dove il </w:t>
      </w:r>
      <w:r w:rsidR="00CC66B5" w:rsidRPr="007F7EBF">
        <w:rPr>
          <w:sz w:val="22"/>
          <w:szCs w:val="22"/>
        </w:rPr>
        <w:t xml:space="preserve"> </w:t>
      </w:r>
      <w:r w:rsidR="00CC66B5" w:rsidRPr="007F7EBF">
        <w:rPr>
          <w:sz w:val="22"/>
          <w:szCs w:val="22"/>
        </w:rPr>
        <w:lastRenderedPageBreak/>
        <w:t>valore aggiunto</w:t>
      </w:r>
      <w:r w:rsidR="0038311E">
        <w:rPr>
          <w:sz w:val="22"/>
          <w:szCs w:val="22"/>
        </w:rPr>
        <w:t xml:space="preserve"> è più basso, </w:t>
      </w:r>
      <w:r w:rsidR="00CC66B5" w:rsidRPr="007F7EBF">
        <w:rPr>
          <w:sz w:val="22"/>
          <w:szCs w:val="22"/>
        </w:rPr>
        <w:t xml:space="preserve">come la maggior parte di quelle d'impresa, ritenute d’acconto </w:t>
      </w:r>
      <w:r w:rsidR="005D2967">
        <w:rPr>
          <w:sz w:val="22"/>
          <w:szCs w:val="22"/>
        </w:rPr>
        <w:t xml:space="preserve">commisurate ai ricavi </w:t>
      </w:r>
      <w:r w:rsidR="00EE148B">
        <w:rPr>
          <w:sz w:val="22"/>
          <w:szCs w:val="22"/>
        </w:rPr>
        <w:t>sarebbero</w:t>
      </w:r>
      <w:r w:rsidR="00CC66B5" w:rsidRPr="007F7EBF">
        <w:rPr>
          <w:sz w:val="22"/>
          <w:szCs w:val="22"/>
        </w:rPr>
        <w:t xml:space="preserve"> </w:t>
      </w:r>
      <w:r w:rsidR="005D2967">
        <w:rPr>
          <w:sz w:val="22"/>
          <w:szCs w:val="22"/>
        </w:rPr>
        <w:t xml:space="preserve">invece </w:t>
      </w:r>
      <w:r w:rsidR="00CC66B5" w:rsidRPr="007F7EBF">
        <w:rPr>
          <w:sz w:val="22"/>
          <w:szCs w:val="22"/>
        </w:rPr>
        <w:t>finanziari</w:t>
      </w:r>
      <w:r w:rsidR="00EE148B">
        <w:rPr>
          <w:sz w:val="22"/>
          <w:szCs w:val="22"/>
        </w:rPr>
        <w:t>ament</w:t>
      </w:r>
      <w:r w:rsidR="00CC66B5" w:rsidRPr="007F7EBF">
        <w:rPr>
          <w:sz w:val="22"/>
          <w:szCs w:val="22"/>
        </w:rPr>
        <w:t xml:space="preserve">e </w:t>
      </w:r>
      <w:r w:rsidR="00EE148B">
        <w:rPr>
          <w:sz w:val="22"/>
          <w:szCs w:val="22"/>
        </w:rPr>
        <w:t>penalizzanti per i</w:t>
      </w:r>
      <w:r w:rsidR="00CC66B5" w:rsidRPr="007F7EBF">
        <w:rPr>
          <w:sz w:val="22"/>
          <w:szCs w:val="22"/>
        </w:rPr>
        <w:t>l sostituito, con ingenti crediti di imposta ed immobilizzi finanziari</w:t>
      </w:r>
      <w:r w:rsidR="00E86061">
        <w:rPr>
          <w:sz w:val="22"/>
          <w:szCs w:val="22"/>
        </w:rPr>
        <w:t xml:space="preserve"> (</w:t>
      </w:r>
      <w:r w:rsidR="006B2729" w:rsidRPr="007F7EBF">
        <w:rPr>
          <w:rStyle w:val="Rimandonotaapidipagina"/>
          <w:sz w:val="22"/>
          <w:szCs w:val="22"/>
        </w:rPr>
        <w:footnoteReference w:id="301"/>
      </w:r>
      <w:r w:rsidR="00E86061">
        <w:rPr>
          <w:sz w:val="22"/>
          <w:szCs w:val="22"/>
        </w:rPr>
        <w:t>)</w:t>
      </w:r>
      <w:r w:rsidR="00CC66B5" w:rsidRPr="007F7EBF">
        <w:rPr>
          <w:sz w:val="22"/>
          <w:szCs w:val="22"/>
        </w:rPr>
        <w:t xml:space="preserve">. </w:t>
      </w:r>
      <w:r w:rsidR="00EE148B">
        <w:rPr>
          <w:sz w:val="22"/>
          <w:szCs w:val="22"/>
        </w:rPr>
        <w:t xml:space="preserve"> </w:t>
      </w:r>
      <w:r w:rsidR="005D2967">
        <w:rPr>
          <w:sz w:val="22"/>
          <w:szCs w:val="22"/>
        </w:rPr>
        <w:t xml:space="preserve">Ciò </w:t>
      </w:r>
      <w:r w:rsidR="0038311E">
        <w:rPr>
          <w:sz w:val="22"/>
          <w:szCs w:val="22"/>
        </w:rPr>
        <w:t xml:space="preserve">spiega l’esclusione delle </w:t>
      </w:r>
      <w:r w:rsidR="00181A44" w:rsidRPr="007F7EBF">
        <w:rPr>
          <w:sz w:val="22"/>
          <w:szCs w:val="22"/>
        </w:rPr>
        <w:t xml:space="preserve">la </w:t>
      </w:r>
      <w:r w:rsidR="00181A44" w:rsidRPr="007F7EBF">
        <w:rPr>
          <w:bCs/>
          <w:sz w:val="22"/>
          <w:szCs w:val="22"/>
        </w:rPr>
        <w:t>ritenut</w:t>
      </w:r>
      <w:r w:rsidR="0038311E">
        <w:rPr>
          <w:bCs/>
          <w:sz w:val="22"/>
          <w:szCs w:val="22"/>
        </w:rPr>
        <w:t>e</w:t>
      </w:r>
      <w:r w:rsidR="00181A44" w:rsidRPr="007F7EBF">
        <w:rPr>
          <w:bCs/>
          <w:sz w:val="22"/>
          <w:szCs w:val="22"/>
        </w:rPr>
        <w:t xml:space="preserve"> </w:t>
      </w:r>
      <w:r w:rsidR="005D2967">
        <w:rPr>
          <w:sz w:val="22"/>
          <w:szCs w:val="22"/>
        </w:rPr>
        <w:t>per i corrispettivi d’impresa</w:t>
      </w:r>
      <w:r w:rsidR="0038311E">
        <w:rPr>
          <w:sz w:val="22"/>
          <w:szCs w:val="22"/>
        </w:rPr>
        <w:t>, oggetto di altre segnalazioni al fisco, per evitare l</w:t>
      </w:r>
      <w:r w:rsidR="0038311E" w:rsidRPr="007F7EBF">
        <w:t>a mancata registrazione delle fatture emesse</w:t>
      </w:r>
      <w:r w:rsidR="0038311E">
        <w:t xml:space="preserve">. Furono previste a tal fine le segnalazioni “clienti -fornitori” tra soggetti IVA, poi chiamate “spesometro” ed oggi sostituite dalla fattura elettronica. </w:t>
      </w:r>
    </w:p>
    <w:p w14:paraId="19559664" w14:textId="1CDDA7BF" w:rsidR="00F963A7" w:rsidRPr="007F7EBF" w:rsidRDefault="00F963A7" w:rsidP="00F963A7">
      <w:pPr>
        <w:pStyle w:val="tit23"/>
        <w:ind w:left="6464" w:right="-1361" w:firstLine="0"/>
        <w:jc w:val="left"/>
        <w:rPr>
          <w:bCs/>
          <w:i/>
          <w:iCs/>
          <w:color w:val="0000FF"/>
          <w:lang w:val="it-IT"/>
        </w:rPr>
      </w:pPr>
      <w:r w:rsidRPr="007F7EBF">
        <w:rPr>
          <w:bCs/>
          <w:i/>
          <w:iCs/>
          <w:color w:val="0000FF"/>
          <w:lang w:val="it-IT"/>
        </w:rPr>
        <w:t xml:space="preserve">Qualifica </w:t>
      </w:r>
      <w:r w:rsidR="005D2967">
        <w:rPr>
          <w:bCs/>
          <w:i/>
          <w:iCs/>
          <w:color w:val="0000FF"/>
          <w:lang w:val="it-IT"/>
        </w:rPr>
        <w:t>e adempimenti del</w:t>
      </w:r>
      <w:r w:rsidRPr="007F7EBF">
        <w:rPr>
          <w:bCs/>
          <w:i/>
          <w:iCs/>
          <w:color w:val="0000FF"/>
          <w:lang w:val="it-IT"/>
        </w:rPr>
        <w:t xml:space="preserve"> sostituto d’imposta</w:t>
      </w:r>
    </w:p>
    <w:p w14:paraId="42746DCE" w14:textId="5803B9AF" w:rsidR="00F963A7" w:rsidRPr="007F7EBF" w:rsidRDefault="00E001C8" w:rsidP="00F963A7">
      <w:pPr>
        <w:autoSpaceDE w:val="0"/>
        <w:autoSpaceDN w:val="0"/>
        <w:adjustRightInd w:val="0"/>
        <w:rPr>
          <w:sz w:val="22"/>
          <w:szCs w:val="22"/>
        </w:rPr>
      </w:pPr>
      <w:r>
        <w:rPr>
          <w:sz w:val="22"/>
          <w:szCs w:val="22"/>
        </w:rPr>
        <w:t>La sostituzione d’imposta è effettuata verso il fornitore creditore (sostituito) “dal cliente” (sostituto), che chiaramente deve essere un minimo qualificato</w:t>
      </w:r>
      <w:r w:rsidR="00415073">
        <w:rPr>
          <w:sz w:val="22"/>
          <w:szCs w:val="22"/>
        </w:rPr>
        <w:t xml:space="preserve">. E’ infatti </w:t>
      </w:r>
      <w:r>
        <w:rPr>
          <w:sz w:val="22"/>
          <w:szCs w:val="22"/>
        </w:rPr>
        <w:t>impraticabile utilizzare, come sostituti d’imposta, individui consumatori finali</w:t>
      </w:r>
      <w:r w:rsidR="00415073">
        <w:rPr>
          <w:sz w:val="22"/>
          <w:szCs w:val="22"/>
        </w:rPr>
        <w:t xml:space="preserve">, ed </w:t>
      </w:r>
      <w:r>
        <w:rPr>
          <w:sz w:val="22"/>
          <w:szCs w:val="22"/>
        </w:rPr>
        <w:t xml:space="preserve">occorrono </w:t>
      </w:r>
      <w:r w:rsidR="00640F3C">
        <w:rPr>
          <w:sz w:val="22"/>
          <w:szCs w:val="22"/>
        </w:rPr>
        <w:t xml:space="preserve">determinate </w:t>
      </w:r>
      <w:r w:rsidR="00235D8E">
        <w:rPr>
          <w:sz w:val="22"/>
          <w:szCs w:val="22"/>
        </w:rPr>
        <w:t xml:space="preserve">caratteristiche </w:t>
      </w:r>
      <w:r w:rsidR="00640F3C">
        <w:rPr>
          <w:sz w:val="22"/>
          <w:szCs w:val="22"/>
        </w:rPr>
        <w:t>organizzative</w:t>
      </w:r>
      <w:r w:rsidR="00415073">
        <w:rPr>
          <w:sz w:val="22"/>
          <w:szCs w:val="22"/>
        </w:rPr>
        <w:t xml:space="preserve">, peraltro già sin troppo ampliate. Sono infatti sostituti d’imposta tutti gli imprenditori fiscali, anche agricoli, </w:t>
      </w:r>
      <w:r w:rsidR="006342C5" w:rsidRPr="007F7EBF">
        <w:rPr>
          <w:sz w:val="22"/>
          <w:szCs w:val="22"/>
        </w:rPr>
        <w:t>piccoli commercianti, artigiani, e professionisti</w:t>
      </w:r>
      <w:r w:rsidR="000443F1">
        <w:rPr>
          <w:sz w:val="22"/>
          <w:szCs w:val="22"/>
        </w:rPr>
        <w:t xml:space="preserve">, oltre a società ed enti </w:t>
      </w:r>
      <w:r w:rsidR="00EA160D">
        <w:rPr>
          <w:sz w:val="22"/>
          <w:szCs w:val="22"/>
        </w:rPr>
        <w:t>(</w:t>
      </w:r>
      <w:r w:rsidR="00270560" w:rsidRPr="007F7EBF">
        <w:rPr>
          <w:rStyle w:val="Rimandonotaapidipagina"/>
          <w:sz w:val="22"/>
          <w:szCs w:val="22"/>
        </w:rPr>
        <w:footnoteReference w:id="302"/>
      </w:r>
      <w:r w:rsidR="00EA160D">
        <w:rPr>
          <w:sz w:val="22"/>
          <w:szCs w:val="22"/>
        </w:rPr>
        <w:t>)</w:t>
      </w:r>
      <w:r w:rsidR="00640F3C" w:rsidRPr="007F7EBF">
        <w:rPr>
          <w:sz w:val="22"/>
          <w:szCs w:val="22"/>
        </w:rPr>
        <w:t xml:space="preserve">. </w:t>
      </w:r>
      <w:r w:rsidR="000443F1">
        <w:rPr>
          <w:sz w:val="22"/>
          <w:szCs w:val="22"/>
        </w:rPr>
        <w:t xml:space="preserve">Gli adempimenti </w:t>
      </w:r>
      <w:r w:rsidR="00BC6B7A">
        <w:rPr>
          <w:sz w:val="22"/>
          <w:szCs w:val="22"/>
        </w:rPr>
        <w:t xml:space="preserve">consistono nell’effettuazione della </w:t>
      </w:r>
      <w:r w:rsidR="006342C5" w:rsidRPr="007F7EBF">
        <w:rPr>
          <w:bCs/>
          <w:sz w:val="22"/>
          <w:szCs w:val="22"/>
        </w:rPr>
        <w:t>ritenuta</w:t>
      </w:r>
      <w:r w:rsidR="00090AED" w:rsidRPr="007F7EBF">
        <w:rPr>
          <w:bCs/>
          <w:sz w:val="22"/>
          <w:szCs w:val="22"/>
        </w:rPr>
        <w:t xml:space="preserve">, </w:t>
      </w:r>
      <w:r w:rsidR="006342C5" w:rsidRPr="007F7EBF">
        <w:rPr>
          <w:sz w:val="22"/>
          <w:szCs w:val="22"/>
        </w:rPr>
        <w:t>versa</w:t>
      </w:r>
      <w:r w:rsidR="00C33C6E">
        <w:rPr>
          <w:sz w:val="22"/>
          <w:szCs w:val="22"/>
        </w:rPr>
        <w:t>r</w:t>
      </w:r>
      <w:r w:rsidR="00090AED" w:rsidRPr="007F7EBF">
        <w:rPr>
          <w:sz w:val="22"/>
          <w:szCs w:val="22"/>
        </w:rPr>
        <w:t xml:space="preserve">la entro i </w:t>
      </w:r>
      <w:r w:rsidR="006342C5" w:rsidRPr="007F7EBF">
        <w:rPr>
          <w:sz w:val="22"/>
          <w:szCs w:val="22"/>
        </w:rPr>
        <w:t>brevi termini</w:t>
      </w:r>
      <w:r w:rsidR="00090AED" w:rsidRPr="007F7EBF">
        <w:rPr>
          <w:sz w:val="22"/>
          <w:szCs w:val="22"/>
        </w:rPr>
        <w:t xml:space="preserve"> di cui al par.3.4 (il 16 del mese successivo</w:t>
      </w:r>
      <w:r w:rsidR="00BC6B7A">
        <w:rPr>
          <w:sz w:val="22"/>
          <w:szCs w:val="22"/>
        </w:rPr>
        <w:t xml:space="preserve"> al pagamento</w:t>
      </w:r>
      <w:r w:rsidR="00090AED" w:rsidRPr="007F7EBF">
        <w:rPr>
          <w:sz w:val="22"/>
          <w:szCs w:val="22"/>
        </w:rPr>
        <w:t>)</w:t>
      </w:r>
      <w:r w:rsidR="006342C5" w:rsidRPr="007F7EBF">
        <w:rPr>
          <w:sz w:val="22"/>
          <w:szCs w:val="22"/>
        </w:rPr>
        <w:t>, indica</w:t>
      </w:r>
      <w:r w:rsidR="00235D8E">
        <w:rPr>
          <w:sz w:val="22"/>
          <w:szCs w:val="22"/>
        </w:rPr>
        <w:t>r</w:t>
      </w:r>
      <w:r w:rsidR="000443F1">
        <w:rPr>
          <w:sz w:val="22"/>
          <w:szCs w:val="22"/>
        </w:rPr>
        <w:t>la ne</w:t>
      </w:r>
      <w:r w:rsidR="006342C5" w:rsidRPr="007F7EBF">
        <w:rPr>
          <w:sz w:val="22"/>
          <w:szCs w:val="22"/>
        </w:rPr>
        <w:t xml:space="preserve">lla dichiarazione dei sostituti d’imposta </w:t>
      </w:r>
      <w:r w:rsidR="000443F1">
        <w:rPr>
          <w:sz w:val="22"/>
          <w:szCs w:val="22"/>
        </w:rPr>
        <w:t xml:space="preserve">(par.3,4), </w:t>
      </w:r>
      <w:r w:rsidR="00090AED" w:rsidRPr="007F7EBF">
        <w:rPr>
          <w:sz w:val="22"/>
          <w:szCs w:val="22"/>
        </w:rPr>
        <w:t xml:space="preserve">con </w:t>
      </w:r>
      <w:r w:rsidR="006342C5" w:rsidRPr="007F7EBF">
        <w:rPr>
          <w:sz w:val="22"/>
          <w:szCs w:val="22"/>
        </w:rPr>
        <w:t>le generalità dei</w:t>
      </w:r>
      <w:r w:rsidR="008723DF" w:rsidRPr="007F7EBF">
        <w:rPr>
          <w:sz w:val="22"/>
          <w:szCs w:val="22"/>
        </w:rPr>
        <w:t xml:space="preserve"> </w:t>
      </w:r>
      <w:r w:rsidR="006342C5" w:rsidRPr="007F7EBF">
        <w:rPr>
          <w:sz w:val="22"/>
          <w:szCs w:val="22"/>
        </w:rPr>
        <w:t xml:space="preserve">percettori </w:t>
      </w:r>
      <w:r w:rsidR="00090AED" w:rsidRPr="007F7EBF">
        <w:rPr>
          <w:sz w:val="22"/>
          <w:szCs w:val="22"/>
        </w:rPr>
        <w:t>in caso di ritenute d'acconto</w:t>
      </w:r>
      <w:r w:rsidR="00235D8E">
        <w:rPr>
          <w:sz w:val="22"/>
          <w:szCs w:val="22"/>
        </w:rPr>
        <w:t xml:space="preserve">, comunicando ciò </w:t>
      </w:r>
      <w:r w:rsidR="000443F1">
        <w:rPr>
          <w:sz w:val="22"/>
          <w:szCs w:val="22"/>
        </w:rPr>
        <w:t xml:space="preserve">anche </w:t>
      </w:r>
      <w:r w:rsidR="00235D8E">
        <w:rPr>
          <w:sz w:val="22"/>
          <w:szCs w:val="22"/>
        </w:rPr>
        <w:t>al fisco ai fini della dichiarazione “precompilata” di cui al par.3.4</w:t>
      </w:r>
      <w:r w:rsidR="000443F1">
        <w:rPr>
          <w:sz w:val="22"/>
          <w:szCs w:val="22"/>
        </w:rPr>
        <w:t xml:space="preserve">. </w:t>
      </w:r>
    </w:p>
    <w:p w14:paraId="07A544DE" w14:textId="75D49324" w:rsidR="00F963A7" w:rsidRPr="007F7EBF" w:rsidRDefault="00BC6B7A" w:rsidP="00F963A7">
      <w:pPr>
        <w:pStyle w:val="tit23"/>
        <w:ind w:left="6464" w:right="-1361" w:firstLine="0"/>
        <w:jc w:val="left"/>
        <w:rPr>
          <w:b/>
          <w:bCs/>
          <w:i/>
          <w:iCs/>
          <w:color w:val="0000FF"/>
          <w:lang w:val="it-IT"/>
        </w:rPr>
      </w:pPr>
      <w:r>
        <w:rPr>
          <w:b/>
          <w:bCs/>
          <w:i/>
          <w:iCs/>
          <w:color w:val="0000FF"/>
          <w:lang w:val="it-IT"/>
        </w:rPr>
        <w:t>Effetti</w:t>
      </w:r>
      <w:r w:rsidR="00B2678F" w:rsidRPr="007F7EBF">
        <w:rPr>
          <w:b/>
          <w:bCs/>
          <w:i/>
          <w:iCs/>
          <w:color w:val="0000FF"/>
          <w:lang w:val="it-IT"/>
        </w:rPr>
        <w:t xml:space="preserve"> della ritenuta e suo scomputo</w:t>
      </w:r>
    </w:p>
    <w:p w14:paraId="6A4FA1A2" w14:textId="5B7F2415" w:rsidR="008723DF" w:rsidRPr="007F7EBF" w:rsidRDefault="000443F1" w:rsidP="007F7D77">
      <w:pPr>
        <w:autoSpaceDE w:val="0"/>
        <w:autoSpaceDN w:val="0"/>
        <w:adjustRightInd w:val="0"/>
        <w:rPr>
          <w:b/>
          <w:bCs/>
          <w:i/>
          <w:iCs/>
          <w:color w:val="0000FF"/>
          <w:sz w:val="22"/>
          <w:szCs w:val="22"/>
        </w:rPr>
      </w:pPr>
      <w:r>
        <w:rPr>
          <w:sz w:val="22"/>
          <w:szCs w:val="22"/>
        </w:rPr>
        <w:t xml:space="preserve">Ciò dovrebbe spingere i soggetti </w:t>
      </w:r>
      <w:r w:rsidRPr="007F7EBF">
        <w:rPr>
          <w:sz w:val="22"/>
          <w:szCs w:val="22"/>
        </w:rPr>
        <w:t>così segnalati al fisco</w:t>
      </w:r>
      <w:r>
        <w:rPr>
          <w:sz w:val="22"/>
          <w:szCs w:val="22"/>
        </w:rPr>
        <w:t xml:space="preserve"> </w:t>
      </w:r>
      <w:r w:rsidRPr="007F7EBF">
        <w:rPr>
          <w:sz w:val="22"/>
          <w:szCs w:val="22"/>
        </w:rPr>
        <w:t>a dichiarare</w:t>
      </w:r>
      <w:r>
        <w:rPr>
          <w:sz w:val="22"/>
          <w:szCs w:val="22"/>
        </w:rPr>
        <w:t xml:space="preserve"> almeno i redditi soggetti a ritenuta, prevista non a caso </w:t>
      </w:r>
      <w:r w:rsidR="006342C5" w:rsidRPr="007F7EBF">
        <w:rPr>
          <w:bCs/>
          <w:sz w:val="22"/>
          <w:szCs w:val="22"/>
        </w:rPr>
        <w:t xml:space="preserve">al momento del </w:t>
      </w:r>
      <w:r w:rsidR="006342C5" w:rsidRPr="007F7EBF">
        <w:rPr>
          <w:bCs/>
          <w:sz w:val="22"/>
          <w:szCs w:val="22"/>
        </w:rPr>
        <w:lastRenderedPageBreak/>
        <w:t xml:space="preserve">pagamento </w:t>
      </w:r>
      <w:r w:rsidR="006342C5" w:rsidRPr="007F7EBF">
        <w:rPr>
          <w:sz w:val="22"/>
          <w:szCs w:val="22"/>
        </w:rPr>
        <w:t>del corrispettivo</w:t>
      </w:r>
      <w:r>
        <w:rPr>
          <w:sz w:val="22"/>
          <w:szCs w:val="22"/>
        </w:rPr>
        <w:t>, secondo il princip</w:t>
      </w:r>
      <w:r w:rsidR="006342C5" w:rsidRPr="007F7EBF">
        <w:rPr>
          <w:sz w:val="22"/>
          <w:szCs w:val="22"/>
        </w:rPr>
        <w:t xml:space="preserve">io di cassa, </w:t>
      </w:r>
      <w:r>
        <w:rPr>
          <w:sz w:val="22"/>
          <w:szCs w:val="22"/>
        </w:rPr>
        <w:t xml:space="preserve">di cui </w:t>
      </w:r>
      <w:r w:rsidR="00566FA1" w:rsidRPr="007F7EBF">
        <w:rPr>
          <w:sz w:val="22"/>
          <w:szCs w:val="22"/>
        </w:rPr>
        <w:t>al par. 7.1</w:t>
      </w:r>
      <w:r>
        <w:rPr>
          <w:sz w:val="22"/>
          <w:szCs w:val="22"/>
        </w:rPr>
        <w:t>1, che il sostituito deve seguire per la propria dichiarazione (è un’altra delle simmetrie della determinazione contabile, teorizzate al par. 3.12)</w:t>
      </w:r>
      <w:r w:rsidR="006342C5" w:rsidRPr="007F7EBF">
        <w:rPr>
          <w:sz w:val="22"/>
          <w:szCs w:val="22"/>
        </w:rPr>
        <w:t xml:space="preserve">. </w:t>
      </w:r>
    </w:p>
    <w:p w14:paraId="0BF8AB68" w14:textId="42580441" w:rsidR="00E93E8A" w:rsidRPr="007F7EBF" w:rsidRDefault="007F7D77" w:rsidP="0053721F">
      <w:pPr>
        <w:autoSpaceDE w:val="0"/>
        <w:autoSpaceDN w:val="0"/>
        <w:adjustRightInd w:val="0"/>
        <w:rPr>
          <w:sz w:val="22"/>
          <w:szCs w:val="22"/>
        </w:rPr>
      </w:pPr>
      <w:r w:rsidRPr="007F7EBF">
        <w:rPr>
          <w:sz w:val="22"/>
          <w:szCs w:val="22"/>
        </w:rPr>
        <w:t>L</w:t>
      </w:r>
      <w:r w:rsidR="00090AED" w:rsidRPr="007F7EBF">
        <w:rPr>
          <w:sz w:val="22"/>
          <w:szCs w:val="22"/>
        </w:rPr>
        <w:t>a ritenuta è scomputabile dal percettore sostituito indipendentemente dal versamento da parte dell'erogante- sostituto</w:t>
      </w:r>
      <w:r w:rsidR="00DA18BC">
        <w:rPr>
          <w:sz w:val="22"/>
          <w:szCs w:val="22"/>
        </w:rPr>
        <w:t>; i</w:t>
      </w:r>
      <w:r w:rsidR="00DA18BC" w:rsidRPr="007F7EBF">
        <w:rPr>
          <w:sz w:val="20"/>
          <w:szCs w:val="20"/>
        </w:rPr>
        <w:t xml:space="preserve">l percettore viene infatti privato delle relative somme attraverso la rivalsa, e </w:t>
      </w:r>
      <w:r w:rsidR="00DA18BC" w:rsidRPr="007F7EBF">
        <w:rPr>
          <w:bCs/>
          <w:sz w:val="20"/>
          <w:szCs w:val="20"/>
        </w:rPr>
        <w:t>non può essergli addebitata</w:t>
      </w:r>
      <w:r w:rsidR="00DA18BC">
        <w:rPr>
          <w:bCs/>
          <w:sz w:val="20"/>
          <w:szCs w:val="20"/>
        </w:rPr>
        <w:t xml:space="preserve">, </w:t>
      </w:r>
      <w:r w:rsidR="00DA18BC" w:rsidRPr="007F7EBF">
        <w:rPr>
          <w:bCs/>
          <w:sz w:val="20"/>
          <w:szCs w:val="20"/>
        </w:rPr>
        <w:t>la successiva omissione del versamento da parte del sostituto</w:t>
      </w:r>
      <w:r w:rsidR="00DA18BC" w:rsidRPr="007F7EBF">
        <w:rPr>
          <w:rStyle w:val="Rimandonotaapidipagina"/>
          <w:sz w:val="22"/>
          <w:szCs w:val="22"/>
        </w:rPr>
        <w:t xml:space="preserve"> </w:t>
      </w:r>
      <w:r w:rsidR="00DA18BC">
        <w:rPr>
          <w:sz w:val="22"/>
          <w:szCs w:val="22"/>
        </w:rPr>
        <w:t>(</w:t>
      </w:r>
      <w:r w:rsidR="0053721F" w:rsidRPr="007F7EBF">
        <w:rPr>
          <w:rStyle w:val="Rimandonotaapidipagina"/>
          <w:sz w:val="22"/>
          <w:szCs w:val="22"/>
        </w:rPr>
        <w:footnoteReference w:id="303"/>
      </w:r>
      <w:r w:rsidR="00DA18BC">
        <w:rPr>
          <w:sz w:val="22"/>
          <w:szCs w:val="22"/>
        </w:rPr>
        <w:t>)</w:t>
      </w:r>
      <w:r w:rsidR="00090AED" w:rsidRPr="007F7EBF">
        <w:rPr>
          <w:sz w:val="22"/>
          <w:szCs w:val="22"/>
        </w:rPr>
        <w:t xml:space="preserve">. </w:t>
      </w:r>
    </w:p>
    <w:p w14:paraId="5DD4694E" w14:textId="77777777" w:rsidR="00E93E8A" w:rsidRPr="007F7EBF" w:rsidRDefault="00E93E8A" w:rsidP="00E93E8A">
      <w:pPr>
        <w:pStyle w:val="tit23"/>
        <w:ind w:left="6464" w:right="-1361" w:firstLine="0"/>
        <w:jc w:val="left"/>
        <w:rPr>
          <w:bCs/>
          <w:i/>
          <w:iCs/>
          <w:color w:val="0000FF"/>
          <w:lang w:val="it-IT"/>
        </w:rPr>
      </w:pPr>
      <w:r w:rsidRPr="007F7EBF">
        <w:rPr>
          <w:bCs/>
          <w:i/>
          <w:iCs/>
          <w:color w:val="0000FF"/>
          <w:lang w:val="it-IT"/>
        </w:rPr>
        <w:t>Aliquote delle ritenute</w:t>
      </w:r>
    </w:p>
    <w:p w14:paraId="38D8BBD7" w14:textId="35703BCE" w:rsidR="00CC66B5" w:rsidRPr="007F7EBF" w:rsidRDefault="00E93E8A" w:rsidP="00E93E8A">
      <w:pPr>
        <w:autoSpaceDE w:val="0"/>
        <w:autoSpaceDN w:val="0"/>
        <w:adjustRightInd w:val="0"/>
        <w:rPr>
          <w:sz w:val="22"/>
          <w:szCs w:val="22"/>
        </w:rPr>
      </w:pPr>
      <w:r w:rsidRPr="007F7EBF">
        <w:rPr>
          <w:sz w:val="22"/>
          <w:szCs w:val="22"/>
        </w:rPr>
        <w:t xml:space="preserve">In genere le ritenute, sia definitive sia d'acconto, sono applicate con </w:t>
      </w:r>
      <w:r w:rsidRPr="007F7EBF">
        <w:rPr>
          <w:bCs/>
          <w:sz w:val="22"/>
          <w:szCs w:val="22"/>
        </w:rPr>
        <w:t>aliquote proporzionali alla somma erogata</w:t>
      </w:r>
      <w:r w:rsidR="00235D8E">
        <w:rPr>
          <w:bCs/>
          <w:sz w:val="22"/>
          <w:szCs w:val="22"/>
        </w:rPr>
        <w:t>,</w:t>
      </w:r>
      <w:r w:rsidRPr="007F7EBF">
        <w:rPr>
          <w:bCs/>
          <w:sz w:val="22"/>
          <w:szCs w:val="22"/>
        </w:rPr>
        <w:t xml:space="preserve"> </w:t>
      </w:r>
      <w:r w:rsidRPr="007F7EBF">
        <w:rPr>
          <w:sz w:val="22"/>
          <w:szCs w:val="22"/>
        </w:rPr>
        <w:t>differenziate per tipologia di redditi (lavoro autonomo 20%, capitale 1</w:t>
      </w:r>
      <w:r w:rsidR="00F536F0">
        <w:rPr>
          <w:sz w:val="22"/>
          <w:szCs w:val="22"/>
        </w:rPr>
        <w:t>2.5</w:t>
      </w:r>
      <w:r w:rsidRPr="007F7EBF">
        <w:rPr>
          <w:sz w:val="22"/>
          <w:szCs w:val="22"/>
        </w:rPr>
        <w:t xml:space="preserve">% etc.). </w:t>
      </w:r>
      <w:r w:rsidR="00F536F0">
        <w:rPr>
          <w:sz w:val="22"/>
          <w:szCs w:val="22"/>
        </w:rPr>
        <w:t>S</w:t>
      </w:r>
      <w:r w:rsidRPr="007F7EBF">
        <w:rPr>
          <w:sz w:val="22"/>
          <w:szCs w:val="22"/>
        </w:rPr>
        <w:t xml:space="preserve">ui </w:t>
      </w:r>
      <w:r w:rsidRPr="007F7EBF">
        <w:rPr>
          <w:bCs/>
          <w:sz w:val="22"/>
          <w:szCs w:val="22"/>
        </w:rPr>
        <w:t>redditi di lavoro dipendente</w:t>
      </w:r>
      <w:r w:rsidRPr="007F7EBF">
        <w:rPr>
          <w:sz w:val="22"/>
          <w:szCs w:val="22"/>
        </w:rPr>
        <w:t>, dove il rapporto con l’erogante è continuativo</w:t>
      </w:r>
      <w:r w:rsidR="00F536F0">
        <w:rPr>
          <w:sz w:val="22"/>
          <w:szCs w:val="22"/>
        </w:rPr>
        <w:t>, l</w:t>
      </w:r>
      <w:r w:rsidR="00F536F0" w:rsidRPr="007F7EBF">
        <w:rPr>
          <w:sz w:val="22"/>
          <w:szCs w:val="22"/>
        </w:rPr>
        <w:t xml:space="preserve">a ritenuta d'acconto </w:t>
      </w:r>
      <w:r w:rsidR="00F536F0">
        <w:rPr>
          <w:sz w:val="22"/>
          <w:szCs w:val="22"/>
        </w:rPr>
        <w:t xml:space="preserve">è effettuata con aliquote progressive, tendendo a </w:t>
      </w:r>
      <w:r w:rsidRPr="007F7EBF">
        <w:rPr>
          <w:sz w:val="22"/>
          <w:szCs w:val="22"/>
        </w:rPr>
        <w:t xml:space="preserve">far coincidere </w:t>
      </w:r>
      <w:r w:rsidR="00235D8E">
        <w:rPr>
          <w:sz w:val="22"/>
          <w:szCs w:val="22"/>
        </w:rPr>
        <w:t xml:space="preserve">ritenute e </w:t>
      </w:r>
      <w:r w:rsidRPr="007F7EBF">
        <w:rPr>
          <w:sz w:val="22"/>
          <w:szCs w:val="22"/>
        </w:rPr>
        <w:t xml:space="preserve">imposta dovuta, </w:t>
      </w:r>
      <w:r w:rsidR="00F536F0">
        <w:rPr>
          <w:sz w:val="22"/>
          <w:szCs w:val="22"/>
        </w:rPr>
        <w:t>per</w:t>
      </w:r>
      <w:r w:rsidR="00587A01">
        <w:rPr>
          <w:sz w:val="22"/>
          <w:szCs w:val="22"/>
        </w:rPr>
        <w:t xml:space="preserve"> </w:t>
      </w:r>
      <w:r w:rsidRPr="007F7EBF">
        <w:rPr>
          <w:sz w:val="22"/>
          <w:szCs w:val="22"/>
        </w:rPr>
        <w:t>evita</w:t>
      </w:r>
      <w:r w:rsidR="00587A01">
        <w:rPr>
          <w:sz w:val="22"/>
          <w:szCs w:val="22"/>
        </w:rPr>
        <w:t>re</w:t>
      </w:r>
      <w:r w:rsidRPr="007F7EBF">
        <w:rPr>
          <w:sz w:val="22"/>
          <w:szCs w:val="22"/>
        </w:rPr>
        <w:t xml:space="preserve"> la dichiarazione dei redditi </w:t>
      </w:r>
      <w:r w:rsidR="004A5809">
        <w:rPr>
          <w:sz w:val="22"/>
          <w:szCs w:val="22"/>
        </w:rPr>
        <w:t>se non c’è altro</w:t>
      </w:r>
      <w:r w:rsidR="00BE2169" w:rsidRPr="007F7EBF">
        <w:rPr>
          <w:sz w:val="22"/>
          <w:szCs w:val="22"/>
        </w:rPr>
        <w:t xml:space="preserve"> da dichiarare o da dedurre (</w:t>
      </w:r>
      <w:r w:rsidR="00BE2169" w:rsidRPr="007F7EBF">
        <w:rPr>
          <w:rStyle w:val="Rimandonotaapidipagina"/>
          <w:sz w:val="22"/>
          <w:szCs w:val="22"/>
        </w:rPr>
        <w:footnoteReference w:id="304"/>
      </w:r>
      <w:r w:rsidRPr="007F7EBF">
        <w:rPr>
          <w:sz w:val="22"/>
          <w:szCs w:val="22"/>
        </w:rPr>
        <w:t xml:space="preserve">). Questa ritenuta progressiva è basata quindi sulle aliquote IRPEF, ragguagliando gli scaglioni annui di reddito, e le detrazioni di imposta (par.9.3-9.4), al periodo di paga, in genere mensile, con conguaglio annuale tra reddito e ritenute. </w:t>
      </w:r>
      <w:r w:rsidR="004A5809">
        <w:rPr>
          <w:sz w:val="22"/>
          <w:szCs w:val="22"/>
        </w:rPr>
        <w:t>La natura “d’acconto” di questa</w:t>
      </w:r>
      <w:r w:rsidR="00235D8E">
        <w:rPr>
          <w:sz w:val="22"/>
          <w:szCs w:val="22"/>
        </w:rPr>
        <w:t xml:space="preserve"> ritenuta</w:t>
      </w:r>
      <w:r w:rsidR="004A5809">
        <w:rPr>
          <w:sz w:val="22"/>
          <w:szCs w:val="22"/>
        </w:rPr>
        <w:t xml:space="preserve"> progressiva</w:t>
      </w:r>
      <w:r w:rsidR="00235D8E">
        <w:rPr>
          <w:sz w:val="22"/>
          <w:szCs w:val="22"/>
        </w:rPr>
        <w:t xml:space="preserve"> </w:t>
      </w:r>
      <w:r w:rsidR="004A5809">
        <w:rPr>
          <w:sz w:val="22"/>
          <w:szCs w:val="22"/>
        </w:rPr>
        <w:t xml:space="preserve">si </w:t>
      </w:r>
      <w:r w:rsidR="00235D8E">
        <w:rPr>
          <w:sz w:val="22"/>
          <w:szCs w:val="22"/>
        </w:rPr>
        <w:t xml:space="preserve">conferma </w:t>
      </w:r>
      <w:r w:rsidR="004A5809">
        <w:rPr>
          <w:sz w:val="22"/>
          <w:szCs w:val="22"/>
        </w:rPr>
        <w:t xml:space="preserve">qualora </w:t>
      </w:r>
      <w:r w:rsidRPr="007F7EBF">
        <w:rPr>
          <w:sz w:val="22"/>
          <w:szCs w:val="22"/>
        </w:rPr>
        <w:t>il dipendente abbia altri redditi, che lo obbligano alla dichiarazione annuale, eventualmente nel modello semplificato 730 per chi non è "soggetto IVA" (par. 3.16).</w:t>
      </w:r>
    </w:p>
    <w:p w14:paraId="6DAAED29" w14:textId="77777777" w:rsidR="00CC66B5" w:rsidRPr="007F7EBF" w:rsidRDefault="00CC66B5" w:rsidP="00CC66B5">
      <w:pPr>
        <w:pStyle w:val="tit23"/>
        <w:ind w:left="6464" w:right="-1361" w:firstLine="0"/>
        <w:jc w:val="left"/>
        <w:rPr>
          <w:b/>
          <w:bCs/>
          <w:i/>
          <w:iCs/>
          <w:color w:val="0000FF"/>
          <w:lang w:val="it-IT"/>
        </w:rPr>
      </w:pPr>
      <w:r w:rsidRPr="007F7EBF">
        <w:rPr>
          <w:b/>
          <w:bCs/>
          <w:i/>
          <w:iCs/>
          <w:color w:val="0000FF"/>
          <w:lang w:val="it-IT"/>
        </w:rPr>
        <w:t>omessa applicazione</w:t>
      </w:r>
      <w:r w:rsidR="00E93E8A" w:rsidRPr="007F7EBF">
        <w:rPr>
          <w:b/>
          <w:bCs/>
          <w:i/>
          <w:iCs/>
          <w:color w:val="0000FF"/>
          <w:lang w:val="it-IT"/>
        </w:rPr>
        <w:t xml:space="preserve"> ritenute d’acconto</w:t>
      </w:r>
    </w:p>
    <w:p w14:paraId="515937BA" w14:textId="1F5EEB0C" w:rsidR="00A417BC" w:rsidRPr="007F7EBF" w:rsidRDefault="006342C5" w:rsidP="00A417BC">
      <w:pPr>
        <w:autoSpaceDE w:val="0"/>
        <w:autoSpaceDN w:val="0"/>
        <w:adjustRightInd w:val="0"/>
        <w:rPr>
          <w:sz w:val="22"/>
          <w:szCs w:val="22"/>
        </w:rPr>
      </w:pPr>
      <w:r w:rsidRPr="007F7EBF">
        <w:rPr>
          <w:sz w:val="22"/>
          <w:szCs w:val="22"/>
        </w:rPr>
        <w:t>L’omessa applicazione della ritenuta d’acconto</w:t>
      </w:r>
      <w:r w:rsidR="00DA18BC">
        <w:rPr>
          <w:sz w:val="22"/>
          <w:szCs w:val="22"/>
        </w:rPr>
        <w:t>(</w:t>
      </w:r>
      <w:r w:rsidR="00E93E8A" w:rsidRPr="007F7EBF">
        <w:rPr>
          <w:rStyle w:val="Rimandonotaapidipagina"/>
          <w:sz w:val="22"/>
          <w:szCs w:val="22"/>
        </w:rPr>
        <w:footnoteReference w:id="305"/>
      </w:r>
      <w:r w:rsidR="00DA18BC">
        <w:rPr>
          <w:sz w:val="22"/>
          <w:szCs w:val="22"/>
        </w:rPr>
        <w:t>)</w:t>
      </w:r>
      <w:r w:rsidRPr="007F7EBF">
        <w:rPr>
          <w:sz w:val="22"/>
          <w:szCs w:val="22"/>
        </w:rPr>
        <w:t xml:space="preserve"> </w:t>
      </w:r>
      <w:r w:rsidR="0056352C">
        <w:rPr>
          <w:sz w:val="22"/>
          <w:szCs w:val="22"/>
        </w:rPr>
        <w:t>rende necessario coordinare</w:t>
      </w:r>
      <w:r w:rsidR="00D01945">
        <w:rPr>
          <w:sz w:val="22"/>
          <w:szCs w:val="22"/>
        </w:rPr>
        <w:t xml:space="preserve">, </w:t>
      </w:r>
      <w:r w:rsidR="000443F1">
        <w:rPr>
          <w:sz w:val="22"/>
          <w:szCs w:val="22"/>
        </w:rPr>
        <w:t>se</w:t>
      </w:r>
      <w:r w:rsidR="00D01945">
        <w:rPr>
          <w:sz w:val="22"/>
          <w:szCs w:val="22"/>
        </w:rPr>
        <w:t>con</w:t>
      </w:r>
      <w:r w:rsidR="000443F1">
        <w:rPr>
          <w:sz w:val="22"/>
          <w:szCs w:val="22"/>
        </w:rPr>
        <w:t xml:space="preserve">do </w:t>
      </w:r>
      <w:r w:rsidR="00D01945">
        <w:rPr>
          <w:sz w:val="22"/>
          <w:szCs w:val="22"/>
        </w:rPr>
        <w:t xml:space="preserve">le simmetrie di cui al par.3.12, la posizione del </w:t>
      </w:r>
      <w:r w:rsidR="00D01945">
        <w:rPr>
          <w:sz w:val="22"/>
          <w:szCs w:val="22"/>
        </w:rPr>
        <w:lastRenderedPageBreak/>
        <w:t>sostituto con quella del sostituito; tra essi non c’è infatti un’</w:t>
      </w:r>
      <w:r w:rsidRPr="007F7EBF">
        <w:rPr>
          <w:sz w:val="22"/>
          <w:szCs w:val="22"/>
        </w:rPr>
        <w:t xml:space="preserve">obbligazione solidale, </w:t>
      </w:r>
      <w:r w:rsidR="00D01945">
        <w:rPr>
          <w:sz w:val="22"/>
          <w:szCs w:val="22"/>
        </w:rPr>
        <w:t xml:space="preserve">ma due </w:t>
      </w:r>
      <w:r w:rsidR="00E93E8A" w:rsidRPr="007F7EBF">
        <w:rPr>
          <w:sz w:val="22"/>
          <w:szCs w:val="22"/>
        </w:rPr>
        <w:t>obblighi diversi</w:t>
      </w:r>
      <w:r w:rsidR="00D01945">
        <w:rPr>
          <w:sz w:val="22"/>
          <w:szCs w:val="22"/>
        </w:rPr>
        <w:t>, ritenuta ed imposta, tra loro collegati, in quanto la ritenuta è strumentale all’imposta; p</w:t>
      </w:r>
      <w:r w:rsidRPr="007F7EBF">
        <w:rPr>
          <w:sz w:val="22"/>
          <w:szCs w:val="22"/>
        </w:rPr>
        <w:t>er evitare duplicazioni di prelievo</w:t>
      </w:r>
      <w:r w:rsidR="00E93E8A" w:rsidRPr="007F7EBF">
        <w:rPr>
          <w:sz w:val="22"/>
          <w:szCs w:val="22"/>
        </w:rPr>
        <w:t xml:space="preserve">, </w:t>
      </w:r>
      <w:r w:rsidR="00D01945">
        <w:rPr>
          <w:sz w:val="22"/>
          <w:szCs w:val="22"/>
        </w:rPr>
        <w:t xml:space="preserve">la soluzione più lineare è che </w:t>
      </w:r>
      <w:r w:rsidR="00E93E8A" w:rsidRPr="007F7EBF">
        <w:rPr>
          <w:sz w:val="22"/>
          <w:szCs w:val="22"/>
        </w:rPr>
        <w:t>l'adempimento del sostituito estingu</w:t>
      </w:r>
      <w:r w:rsidR="00D01945">
        <w:rPr>
          <w:sz w:val="22"/>
          <w:szCs w:val="22"/>
        </w:rPr>
        <w:t>a</w:t>
      </w:r>
      <w:r w:rsidR="00E93E8A" w:rsidRPr="007F7EBF">
        <w:rPr>
          <w:sz w:val="22"/>
          <w:szCs w:val="22"/>
        </w:rPr>
        <w:t xml:space="preserve"> il debito del sostituto</w:t>
      </w:r>
      <w:r w:rsidR="00D01945">
        <w:rPr>
          <w:sz w:val="22"/>
          <w:szCs w:val="22"/>
        </w:rPr>
        <w:t>, in definitiva assorbendolo (</w:t>
      </w:r>
      <w:r w:rsidR="00D01945">
        <w:rPr>
          <w:rStyle w:val="Rimandonotaapidipagina"/>
          <w:sz w:val="22"/>
          <w:szCs w:val="22"/>
        </w:rPr>
        <w:footnoteReference w:id="306"/>
      </w:r>
      <w:r w:rsidR="00D01945">
        <w:rPr>
          <w:sz w:val="22"/>
          <w:szCs w:val="22"/>
        </w:rPr>
        <w:t>)</w:t>
      </w:r>
      <w:r w:rsidR="00E93E8A" w:rsidRPr="007F7EBF">
        <w:rPr>
          <w:sz w:val="22"/>
          <w:szCs w:val="22"/>
        </w:rPr>
        <w:t xml:space="preserve">. </w:t>
      </w:r>
      <w:r w:rsidR="003E3026">
        <w:rPr>
          <w:sz w:val="22"/>
          <w:szCs w:val="22"/>
        </w:rPr>
        <w:t xml:space="preserve">  </w:t>
      </w:r>
    </w:p>
    <w:p w14:paraId="66BBC1E5" w14:textId="610518E6" w:rsidR="00A417BC" w:rsidRPr="007F7EBF" w:rsidRDefault="00A417BC" w:rsidP="00A417BC">
      <w:pPr>
        <w:pStyle w:val="tit23"/>
        <w:ind w:left="6464" w:right="-1361" w:firstLine="0"/>
        <w:jc w:val="left"/>
        <w:rPr>
          <w:b/>
          <w:bCs/>
          <w:i/>
          <w:iCs/>
          <w:color w:val="0000FF"/>
          <w:lang w:val="it-IT"/>
        </w:rPr>
      </w:pPr>
      <w:r w:rsidRPr="007F7EBF">
        <w:rPr>
          <w:b/>
          <w:bCs/>
          <w:i/>
          <w:iCs/>
          <w:color w:val="0000FF"/>
          <w:lang w:val="it-IT"/>
        </w:rPr>
        <w:t>Controversie tra sostituto e sostituito su</w:t>
      </w:r>
      <w:r w:rsidR="00BB3F8C">
        <w:rPr>
          <w:b/>
          <w:bCs/>
          <w:i/>
          <w:iCs/>
          <w:color w:val="0000FF"/>
          <w:lang w:val="it-IT"/>
        </w:rPr>
        <w:t xml:space="preserve">lla </w:t>
      </w:r>
      <w:r w:rsidRPr="007F7EBF">
        <w:rPr>
          <w:b/>
          <w:bCs/>
          <w:i/>
          <w:iCs/>
          <w:color w:val="0000FF"/>
          <w:lang w:val="it-IT"/>
        </w:rPr>
        <w:t xml:space="preserve"> ritenuta</w:t>
      </w:r>
    </w:p>
    <w:p w14:paraId="4C0A5A8A" w14:textId="1670FB86" w:rsidR="006342C5" w:rsidRPr="007F7EBF" w:rsidRDefault="0023570D" w:rsidP="0023570D">
      <w:pPr>
        <w:autoSpaceDE w:val="0"/>
        <w:autoSpaceDN w:val="0"/>
        <w:adjustRightInd w:val="0"/>
        <w:rPr>
          <w:sz w:val="22"/>
          <w:szCs w:val="22"/>
        </w:rPr>
      </w:pPr>
      <w:r w:rsidRPr="007F7EBF">
        <w:rPr>
          <w:sz w:val="22"/>
          <w:szCs w:val="22"/>
        </w:rPr>
        <w:t>L</w:t>
      </w:r>
      <w:r w:rsidR="00BB3F8C">
        <w:rPr>
          <w:sz w:val="22"/>
          <w:szCs w:val="22"/>
        </w:rPr>
        <w:t>a mancata padronanza di quest</w:t>
      </w:r>
      <w:r w:rsidR="006342C5" w:rsidRPr="007F7EBF">
        <w:rPr>
          <w:sz w:val="22"/>
          <w:szCs w:val="22"/>
        </w:rPr>
        <w:t xml:space="preserve">e </w:t>
      </w:r>
      <w:r w:rsidR="00BB3F8C">
        <w:rPr>
          <w:sz w:val="22"/>
          <w:szCs w:val="22"/>
        </w:rPr>
        <w:t xml:space="preserve">simmetrie rende praticamente insolubile, da decenni, il problema “tecnico” delle  </w:t>
      </w:r>
      <w:r w:rsidR="006342C5" w:rsidRPr="007F7EBF">
        <w:rPr>
          <w:bCs/>
          <w:sz w:val="22"/>
          <w:szCs w:val="22"/>
        </w:rPr>
        <w:t>liti tra sostituto e sostituito</w:t>
      </w:r>
      <w:r w:rsidR="00BB3F8C">
        <w:rPr>
          <w:bCs/>
          <w:sz w:val="22"/>
          <w:szCs w:val="22"/>
        </w:rPr>
        <w:t xml:space="preserve">, che sostiene la non applicabilità della ritenuta, chiedendo al sostituto, in sede civilistica, il pagamento parziale del proprio credito, sia per le ritenute d’acconto sia per quelle definitive d’imposta. In questi casi, infatti, al sostituito è infatti riconosciuta anche un’azione amministrativa e giurisdizionale verso il fisco, a differenza dei meri “contribuenti di fatto” di cui al paragrafo precedente. Sono quindi circa trent’anni che la giurisprudenza cerca vanamente di coordinare queste due azioni, dove il </w:t>
      </w:r>
      <w:r w:rsidR="006342C5" w:rsidRPr="007F7EBF">
        <w:rPr>
          <w:sz w:val="22"/>
          <w:szCs w:val="22"/>
        </w:rPr>
        <w:t>possibile contrasto di giudicati</w:t>
      </w:r>
      <w:r w:rsidR="00BB3F8C">
        <w:rPr>
          <w:sz w:val="22"/>
          <w:szCs w:val="22"/>
        </w:rPr>
        <w:t xml:space="preserve"> è ancora più evidente di quello indicato al paragrafo precedente per l’IVA. Sarebbero interessanti, in sede più tecnica, le altalenanti sentenze della cassazione in merito,  ma esse confermano solo che i giudici </w:t>
      </w:r>
      <w:r w:rsidR="001F0755">
        <w:rPr>
          <w:sz w:val="22"/>
          <w:szCs w:val="22"/>
        </w:rPr>
        <w:t>risolvono casi, non elaborano spiegazioni (</w:t>
      </w:r>
      <w:r w:rsidR="000443F1">
        <w:rPr>
          <w:rStyle w:val="Rimandonotaapidipagina"/>
          <w:sz w:val="22"/>
          <w:szCs w:val="22"/>
        </w:rPr>
        <w:footnoteReference w:id="307"/>
      </w:r>
      <w:r w:rsidR="001C464B">
        <w:rPr>
          <w:sz w:val="22"/>
          <w:szCs w:val="22"/>
        </w:rPr>
        <w:t xml:space="preserve">). </w:t>
      </w:r>
      <w:r w:rsidR="001F0755">
        <w:rPr>
          <w:sz w:val="22"/>
          <w:szCs w:val="22"/>
        </w:rPr>
        <w:t>La soluzione a mio avviso più lineare, per chi ci tenesse,</w:t>
      </w:r>
      <w:r w:rsidR="00BB3F8C">
        <w:rPr>
          <w:sz w:val="22"/>
          <w:szCs w:val="22"/>
        </w:rPr>
        <w:t xml:space="preserve"> </w:t>
      </w:r>
      <w:r w:rsidR="001F0755">
        <w:rPr>
          <w:sz w:val="22"/>
          <w:szCs w:val="22"/>
        </w:rPr>
        <w:t>è l’esclusività dell’azione amministrativa, da parte del sostituito o dello stesso sostituto, esposto però al risarcimento, a favore del sostituito, dei</w:t>
      </w:r>
      <w:r w:rsidR="00F035A1" w:rsidRPr="007F7EBF">
        <w:rPr>
          <w:sz w:val="22"/>
          <w:szCs w:val="22"/>
        </w:rPr>
        <w:t xml:space="preserve"> danni </w:t>
      </w:r>
      <w:r w:rsidR="001F0755">
        <w:rPr>
          <w:sz w:val="22"/>
          <w:szCs w:val="22"/>
        </w:rPr>
        <w:t xml:space="preserve">provocati da un </w:t>
      </w:r>
      <w:r w:rsidR="00F035A1" w:rsidRPr="007F7EBF">
        <w:rPr>
          <w:sz w:val="22"/>
          <w:szCs w:val="22"/>
        </w:rPr>
        <w:t>sostituto che, per superficialità o eccessiva prudenza, effettua</w:t>
      </w:r>
      <w:r w:rsidR="00D960C2">
        <w:rPr>
          <w:sz w:val="22"/>
          <w:szCs w:val="22"/>
        </w:rPr>
        <w:t xml:space="preserve">sse, senza alcuna base logico-giuridica, </w:t>
      </w:r>
      <w:r w:rsidR="00F035A1" w:rsidRPr="007F7EBF">
        <w:rPr>
          <w:sz w:val="22"/>
          <w:szCs w:val="22"/>
        </w:rPr>
        <w:t xml:space="preserve">ritenute </w:t>
      </w:r>
      <w:r w:rsidR="00D960C2">
        <w:rPr>
          <w:sz w:val="22"/>
          <w:szCs w:val="22"/>
        </w:rPr>
        <w:t>non dovute</w:t>
      </w:r>
      <w:r w:rsidR="00F035A1" w:rsidRPr="007F7EBF">
        <w:rPr>
          <w:sz w:val="22"/>
          <w:szCs w:val="22"/>
        </w:rPr>
        <w:t>, costringendo</w:t>
      </w:r>
      <w:r w:rsidR="001F0755">
        <w:rPr>
          <w:sz w:val="22"/>
          <w:szCs w:val="22"/>
        </w:rPr>
        <w:t>lo</w:t>
      </w:r>
      <w:r w:rsidR="00F035A1" w:rsidRPr="007F7EBF">
        <w:rPr>
          <w:sz w:val="22"/>
          <w:szCs w:val="22"/>
        </w:rPr>
        <w:t xml:space="preserve"> ai costi di una (pur vittoriosa) azione di rimborso</w:t>
      </w:r>
      <w:r w:rsidR="00910F35">
        <w:rPr>
          <w:sz w:val="22"/>
          <w:szCs w:val="22"/>
        </w:rPr>
        <w:t xml:space="preserve"> (</w:t>
      </w:r>
      <w:r w:rsidR="00910F35">
        <w:rPr>
          <w:rStyle w:val="Rimandonotaapidipagina"/>
          <w:sz w:val="22"/>
          <w:szCs w:val="22"/>
        </w:rPr>
        <w:footnoteReference w:id="308"/>
      </w:r>
      <w:r w:rsidR="00910F35">
        <w:rPr>
          <w:sz w:val="22"/>
          <w:szCs w:val="22"/>
        </w:rPr>
        <w:t>)</w:t>
      </w:r>
      <w:r w:rsidR="00F035A1" w:rsidRPr="007F7EBF">
        <w:rPr>
          <w:sz w:val="22"/>
          <w:szCs w:val="22"/>
        </w:rPr>
        <w:t xml:space="preserve">. </w:t>
      </w:r>
    </w:p>
    <w:p w14:paraId="6CFD2E25" w14:textId="23CE37B5" w:rsidR="00F054B6" w:rsidRPr="007F7EBF" w:rsidRDefault="006342C5" w:rsidP="00BA5B79">
      <w:pPr>
        <w:pStyle w:val="Titolo3"/>
        <w:rPr>
          <w:sz w:val="22"/>
          <w:szCs w:val="22"/>
        </w:rPr>
      </w:pPr>
      <w:bookmarkStart w:id="37" w:name="_Toc63364954"/>
      <w:r w:rsidRPr="007F7EBF">
        <w:rPr>
          <w:rFonts w:ascii="Times New Roman" w:hAnsi="Times New Roman"/>
          <w:sz w:val="22"/>
          <w:szCs w:val="22"/>
        </w:rPr>
        <w:lastRenderedPageBreak/>
        <w:t xml:space="preserve">3.7. </w:t>
      </w:r>
      <w:r w:rsidR="00791203">
        <w:rPr>
          <w:rFonts w:ascii="Times New Roman" w:hAnsi="Times New Roman"/>
          <w:sz w:val="22"/>
          <w:szCs w:val="22"/>
          <w:lang w:val="it-IT"/>
        </w:rPr>
        <w:t>imponibili</w:t>
      </w:r>
      <w:r w:rsidRPr="007F7EBF">
        <w:rPr>
          <w:rFonts w:ascii="Times New Roman" w:hAnsi="Times New Roman"/>
          <w:sz w:val="22"/>
          <w:szCs w:val="22"/>
        </w:rPr>
        <w:t xml:space="preserve"> non registrat</w:t>
      </w:r>
      <w:r w:rsidR="007954DE">
        <w:rPr>
          <w:rFonts w:ascii="Times New Roman" w:hAnsi="Times New Roman"/>
          <w:sz w:val="22"/>
          <w:szCs w:val="22"/>
          <w:lang w:val="it-IT"/>
        </w:rPr>
        <w:t>i</w:t>
      </w:r>
      <w:r w:rsidR="00E1186C" w:rsidRPr="007F7EBF">
        <w:rPr>
          <w:rFonts w:ascii="Times New Roman" w:hAnsi="Times New Roman"/>
          <w:sz w:val="22"/>
          <w:szCs w:val="22"/>
        </w:rPr>
        <w:t xml:space="preserve"> dai </w:t>
      </w:r>
      <w:r w:rsidRPr="007F7EBF">
        <w:rPr>
          <w:rFonts w:ascii="Times New Roman" w:hAnsi="Times New Roman"/>
          <w:sz w:val="22"/>
          <w:szCs w:val="22"/>
        </w:rPr>
        <w:t>titolari di organizzazioni</w:t>
      </w:r>
      <w:r w:rsidR="002B3C60" w:rsidRPr="007F7EBF">
        <w:rPr>
          <w:rFonts w:ascii="Times New Roman" w:hAnsi="Times New Roman"/>
          <w:sz w:val="22"/>
          <w:szCs w:val="22"/>
        </w:rPr>
        <w:t xml:space="preserve"> </w:t>
      </w:r>
      <w:r w:rsidRPr="007F7EBF">
        <w:rPr>
          <w:rFonts w:ascii="Times New Roman" w:hAnsi="Times New Roman"/>
          <w:sz w:val="22"/>
          <w:szCs w:val="22"/>
        </w:rPr>
        <w:t>aziendali (ipotesi sulla “grande evasione”)</w:t>
      </w:r>
      <w:bookmarkEnd w:id="37"/>
    </w:p>
    <w:p w14:paraId="47E045D7" w14:textId="2650977D" w:rsidR="00080F93" w:rsidRPr="007F7EBF" w:rsidRDefault="00437E4B" w:rsidP="00080F93">
      <w:pPr>
        <w:pStyle w:val="tit23"/>
        <w:ind w:left="6464" w:right="-1361" w:firstLine="0"/>
        <w:jc w:val="left"/>
        <w:rPr>
          <w:b/>
          <w:bCs/>
          <w:i/>
          <w:iCs/>
          <w:color w:val="0000FF"/>
          <w:lang w:val="it-IT"/>
        </w:rPr>
      </w:pPr>
      <w:r>
        <w:rPr>
          <w:b/>
          <w:bCs/>
          <w:i/>
          <w:iCs/>
          <w:color w:val="0000FF"/>
          <w:lang w:val="it-IT"/>
        </w:rPr>
        <w:t>La destinazione degli imponibili occultati</w:t>
      </w:r>
      <w:r w:rsidR="00080F93" w:rsidRPr="007F7EBF">
        <w:rPr>
          <w:b/>
          <w:bCs/>
          <w:i/>
          <w:iCs/>
          <w:color w:val="0000FF"/>
          <w:lang w:val="it-IT"/>
        </w:rPr>
        <w:t xml:space="preserve"> </w:t>
      </w:r>
    </w:p>
    <w:p w14:paraId="27E3F22D" w14:textId="6D1F1BA8" w:rsidR="000E4B50" w:rsidRPr="007F7EBF" w:rsidRDefault="001319AF" w:rsidP="00805213">
      <w:pPr>
        <w:autoSpaceDE w:val="0"/>
        <w:autoSpaceDN w:val="0"/>
        <w:adjustRightInd w:val="0"/>
        <w:rPr>
          <w:bCs/>
          <w:i/>
          <w:iCs/>
          <w:color w:val="0000FF"/>
        </w:rPr>
      </w:pPr>
      <w:r>
        <w:rPr>
          <w:sz w:val="22"/>
          <w:szCs w:val="22"/>
        </w:rPr>
        <w:t xml:space="preserve">Dopo aver esaminato le forme di adempimento attraverso le aziende, vediamo quelle di occultamento dei </w:t>
      </w:r>
      <w:r w:rsidR="00C67695">
        <w:rPr>
          <w:sz w:val="22"/>
          <w:szCs w:val="22"/>
        </w:rPr>
        <w:t>presupposti d’imposta</w:t>
      </w:r>
      <w:r>
        <w:rPr>
          <w:sz w:val="22"/>
          <w:szCs w:val="22"/>
        </w:rPr>
        <w:t>, a partire da una premessa fondamentale, secondo cui le aziende non nascondono ricchezza per se stesse, ma per terzi. Esse infatti, in quant</w:t>
      </w:r>
      <w:r w:rsidR="00C67695">
        <w:rPr>
          <w:sz w:val="22"/>
          <w:szCs w:val="22"/>
        </w:rPr>
        <w:t>o</w:t>
      </w:r>
      <w:r w:rsidR="006342C5" w:rsidRPr="007F7EBF">
        <w:rPr>
          <w:sz w:val="22"/>
          <w:szCs w:val="22"/>
        </w:rPr>
        <w:t xml:space="preserve"> </w:t>
      </w:r>
      <w:r w:rsidR="000E0554" w:rsidRPr="007F7EBF">
        <w:rPr>
          <w:sz w:val="22"/>
          <w:szCs w:val="22"/>
        </w:rPr>
        <w:t xml:space="preserve">gruppi </w:t>
      </w:r>
      <w:r w:rsidR="007954DE">
        <w:rPr>
          <w:sz w:val="22"/>
          <w:szCs w:val="22"/>
        </w:rPr>
        <w:t xml:space="preserve">sociali </w:t>
      </w:r>
      <w:r w:rsidR="005A363B" w:rsidRPr="007F7EBF">
        <w:rPr>
          <w:sz w:val="22"/>
          <w:szCs w:val="22"/>
        </w:rPr>
        <w:t>intermedi</w:t>
      </w:r>
      <w:r>
        <w:rPr>
          <w:sz w:val="22"/>
          <w:szCs w:val="22"/>
        </w:rPr>
        <w:t xml:space="preserve"> (</w:t>
      </w:r>
      <w:r w:rsidR="007954DE">
        <w:rPr>
          <w:sz w:val="22"/>
          <w:szCs w:val="22"/>
        </w:rPr>
        <w:t>par.3.1</w:t>
      </w:r>
      <w:r>
        <w:rPr>
          <w:sz w:val="22"/>
          <w:szCs w:val="22"/>
        </w:rPr>
        <w:t>)</w:t>
      </w:r>
      <w:r w:rsidR="00C67695">
        <w:rPr>
          <w:sz w:val="22"/>
          <w:szCs w:val="22"/>
        </w:rPr>
        <w:t>,</w:t>
      </w:r>
      <w:r w:rsidR="007954DE">
        <w:rPr>
          <w:sz w:val="22"/>
          <w:szCs w:val="22"/>
        </w:rPr>
        <w:t xml:space="preserve"> non hanno bisogni personali </w:t>
      </w:r>
      <w:r>
        <w:rPr>
          <w:sz w:val="22"/>
          <w:szCs w:val="22"/>
        </w:rPr>
        <w:t>da soddisfare co</w:t>
      </w:r>
      <w:r w:rsidR="00C67695">
        <w:rPr>
          <w:sz w:val="22"/>
          <w:szCs w:val="22"/>
        </w:rPr>
        <w:t>i presupposti d’imposta</w:t>
      </w:r>
      <w:r>
        <w:rPr>
          <w:sz w:val="22"/>
          <w:szCs w:val="22"/>
        </w:rPr>
        <w:t xml:space="preserve"> nascosti al fisco </w:t>
      </w:r>
      <w:r w:rsidR="00971159">
        <w:rPr>
          <w:bCs/>
          <w:sz w:val="22"/>
          <w:szCs w:val="22"/>
        </w:rPr>
        <w:t>(</w:t>
      </w:r>
      <w:r w:rsidR="00080F93" w:rsidRPr="007F7EBF">
        <w:rPr>
          <w:rStyle w:val="Rimandonotaapidipagina"/>
          <w:bCs/>
          <w:sz w:val="22"/>
          <w:szCs w:val="22"/>
        </w:rPr>
        <w:footnoteReference w:id="309"/>
      </w:r>
      <w:r w:rsidR="00971159">
        <w:rPr>
          <w:bCs/>
          <w:sz w:val="22"/>
          <w:szCs w:val="22"/>
        </w:rPr>
        <w:t>)</w:t>
      </w:r>
      <w:r w:rsidR="007D33CD" w:rsidRPr="007F7EBF">
        <w:rPr>
          <w:bCs/>
          <w:sz w:val="22"/>
          <w:szCs w:val="22"/>
        </w:rPr>
        <w:t xml:space="preserve">. </w:t>
      </w:r>
      <w:r w:rsidR="009D5F85" w:rsidRPr="007F7EBF">
        <w:rPr>
          <w:bCs/>
          <w:sz w:val="22"/>
          <w:szCs w:val="22"/>
        </w:rPr>
        <w:t xml:space="preserve"> </w:t>
      </w:r>
      <w:r w:rsidR="00D21FAC" w:rsidRPr="007F7EBF">
        <w:rPr>
          <w:bCs/>
          <w:sz w:val="22"/>
          <w:szCs w:val="22"/>
        </w:rPr>
        <w:t xml:space="preserve"> </w:t>
      </w:r>
      <w:r w:rsidR="00202726" w:rsidRPr="007F7EBF">
        <w:rPr>
          <w:bCs/>
          <w:sz w:val="22"/>
          <w:szCs w:val="22"/>
        </w:rPr>
        <w:t xml:space="preserve">Sono invece gli </w:t>
      </w:r>
      <w:r w:rsidR="000E0554" w:rsidRPr="007F7EBF">
        <w:rPr>
          <w:sz w:val="22"/>
          <w:szCs w:val="22"/>
        </w:rPr>
        <w:t>individui ad avere bisogni personali</w:t>
      </w:r>
      <w:r w:rsidR="0028046C">
        <w:rPr>
          <w:sz w:val="22"/>
          <w:szCs w:val="22"/>
        </w:rPr>
        <w:t xml:space="preserve"> e questo riguarda i titolari delle aziende in proprio, i collaboratori, alcuni fornitori </w:t>
      </w:r>
      <w:r w:rsidR="0028046C">
        <w:t xml:space="preserve">impossibilitati a comparire, estorsori o corrotti, al limite consumatori che -grazie alle frodi IVA- acquistano a prezzi inferiori. </w:t>
      </w:r>
    </w:p>
    <w:p w14:paraId="062F66A4" w14:textId="77777777" w:rsidR="00437E4B" w:rsidRDefault="00815D71" w:rsidP="006A34C1">
      <w:pPr>
        <w:rPr>
          <w:sz w:val="22"/>
          <w:szCs w:val="22"/>
        </w:rPr>
      </w:pPr>
      <w:r>
        <w:rPr>
          <w:sz w:val="22"/>
          <w:szCs w:val="22"/>
        </w:rPr>
        <w:t>L</w:t>
      </w:r>
      <w:r w:rsidR="00FB3DDA">
        <w:rPr>
          <w:sz w:val="22"/>
          <w:szCs w:val="22"/>
        </w:rPr>
        <w:t xml:space="preserve">e </w:t>
      </w:r>
      <w:r w:rsidR="00805213">
        <w:rPr>
          <w:sz w:val="22"/>
          <w:szCs w:val="22"/>
        </w:rPr>
        <w:t xml:space="preserve">modalità per </w:t>
      </w:r>
      <w:r w:rsidR="00437E4B">
        <w:rPr>
          <w:sz w:val="22"/>
          <w:szCs w:val="22"/>
        </w:rPr>
        <w:t xml:space="preserve">omettere la rappresentazione materiale, in tutto o in parte, delle astrazioni economiche di cui </w:t>
      </w:r>
      <w:r w:rsidR="00805213">
        <w:rPr>
          <w:sz w:val="22"/>
          <w:szCs w:val="22"/>
        </w:rPr>
        <w:t>al par.1.8 (ricavi, costi, redditi, consumi, etc.) sono</w:t>
      </w:r>
      <w:r w:rsidR="00437E4B">
        <w:rPr>
          <w:sz w:val="22"/>
          <w:szCs w:val="22"/>
        </w:rPr>
        <w:t xml:space="preserve"> in astratto</w:t>
      </w:r>
      <w:r w:rsidR="00805213">
        <w:rPr>
          <w:sz w:val="22"/>
          <w:szCs w:val="22"/>
        </w:rPr>
        <w:t xml:space="preserve"> le medesime</w:t>
      </w:r>
      <w:r w:rsidR="00437E4B">
        <w:rPr>
          <w:sz w:val="22"/>
          <w:szCs w:val="22"/>
        </w:rPr>
        <w:t xml:space="preserve">, a partire dall’omessa registrazione degli incassi, tipica di </w:t>
      </w:r>
      <w:r w:rsidR="00805213">
        <w:rPr>
          <w:sz w:val="22"/>
          <w:szCs w:val="22"/>
        </w:rPr>
        <w:t>piccoli commerciant</w:t>
      </w:r>
      <w:r w:rsidR="00437E4B">
        <w:rPr>
          <w:sz w:val="22"/>
          <w:szCs w:val="22"/>
        </w:rPr>
        <w:t xml:space="preserve">i e artigiani al </w:t>
      </w:r>
      <w:r w:rsidR="00805213">
        <w:rPr>
          <w:sz w:val="22"/>
          <w:szCs w:val="22"/>
        </w:rPr>
        <w:t xml:space="preserve"> </w:t>
      </w:r>
      <w:r w:rsidR="00437E4B">
        <w:rPr>
          <w:sz w:val="22"/>
          <w:szCs w:val="22"/>
        </w:rPr>
        <w:t xml:space="preserve">consumo finale, che ritroveremo al par.3.13 </w:t>
      </w:r>
      <w:proofErr w:type="spellStart"/>
      <w:r w:rsidR="00437E4B">
        <w:rPr>
          <w:sz w:val="22"/>
          <w:szCs w:val="22"/>
        </w:rPr>
        <w:t>ss</w:t>
      </w:r>
      <w:proofErr w:type="spellEnd"/>
      <w:r w:rsidR="00437E4B">
        <w:rPr>
          <w:sz w:val="22"/>
          <w:szCs w:val="22"/>
        </w:rPr>
        <w:t>; poi ci sono, dal punto di vista degli elementi negativi del reddito, le</w:t>
      </w:r>
      <w:r w:rsidR="00805213">
        <w:rPr>
          <w:sz w:val="22"/>
          <w:szCs w:val="22"/>
        </w:rPr>
        <w:t xml:space="preserve"> spese fittizie, gonfiate o “personali” (non inerenti par.7.9). </w:t>
      </w:r>
    </w:p>
    <w:p w14:paraId="6FD3F344" w14:textId="426ADB9C" w:rsidR="00437E4B" w:rsidRPr="007F7EBF" w:rsidRDefault="00437E4B" w:rsidP="00437E4B">
      <w:pPr>
        <w:pStyle w:val="tit23"/>
        <w:ind w:left="6464" w:right="-1361" w:firstLine="0"/>
        <w:jc w:val="left"/>
        <w:rPr>
          <w:b/>
          <w:bCs/>
          <w:i/>
          <w:iCs/>
          <w:color w:val="0000FF"/>
          <w:lang w:val="it-IT"/>
        </w:rPr>
      </w:pPr>
      <w:r>
        <w:rPr>
          <w:b/>
          <w:bCs/>
          <w:i/>
          <w:iCs/>
          <w:color w:val="0000FF"/>
          <w:lang w:val="it-IT"/>
        </w:rPr>
        <w:t>Interferenze con le procedure aziendali</w:t>
      </w:r>
      <w:r w:rsidRPr="007F7EBF">
        <w:rPr>
          <w:b/>
          <w:bCs/>
          <w:i/>
          <w:iCs/>
          <w:color w:val="0000FF"/>
          <w:lang w:val="it-IT"/>
        </w:rPr>
        <w:t xml:space="preserve"> </w:t>
      </w:r>
    </w:p>
    <w:p w14:paraId="6ECE6111" w14:textId="567FF6E4" w:rsidR="006A34C1" w:rsidRPr="007F7EBF" w:rsidRDefault="00805213" w:rsidP="006A34C1">
      <w:pPr>
        <w:rPr>
          <w:sz w:val="22"/>
          <w:szCs w:val="22"/>
        </w:rPr>
      </w:pPr>
      <w:r>
        <w:rPr>
          <w:sz w:val="22"/>
          <w:szCs w:val="22"/>
        </w:rPr>
        <w:t>Nelle organizzazioni pluripersonali, questi comportamenti devono invece fare i conti con le procedure amministrative costruite per evita</w:t>
      </w:r>
      <w:r w:rsidR="006D7FA7" w:rsidRPr="007F7EBF">
        <w:rPr>
          <w:sz w:val="22"/>
          <w:szCs w:val="22"/>
        </w:rPr>
        <w:t xml:space="preserve">re </w:t>
      </w:r>
      <w:r w:rsidR="006D7FA7" w:rsidRPr="007F7EBF">
        <w:rPr>
          <w:sz w:val="22"/>
          <w:szCs w:val="22"/>
        </w:rPr>
        <w:lastRenderedPageBreak/>
        <w:t>malversazioni e negligenze a danno della proprietà</w:t>
      </w:r>
      <w:r w:rsidR="00172252" w:rsidRPr="007F7EBF">
        <w:rPr>
          <w:rStyle w:val="Rimandonotaapidipagina"/>
          <w:sz w:val="22"/>
          <w:szCs w:val="22"/>
        </w:rPr>
        <w:footnoteReference w:id="310"/>
      </w:r>
      <w:r w:rsidR="006A34C1">
        <w:rPr>
          <w:sz w:val="22"/>
          <w:szCs w:val="22"/>
        </w:rPr>
        <w:t>; queste procedure,</w:t>
      </w:r>
      <w:r w:rsidR="006D7FA7" w:rsidRPr="007F7EBF">
        <w:rPr>
          <w:sz w:val="22"/>
          <w:szCs w:val="22"/>
        </w:rPr>
        <w:t xml:space="preserve"> indirettamente</w:t>
      </w:r>
      <w:r w:rsidR="006A34C1">
        <w:rPr>
          <w:sz w:val="22"/>
          <w:szCs w:val="22"/>
        </w:rPr>
        <w:t>, hanno una qualche portata a vantaggio del fisco,</w:t>
      </w:r>
      <w:r w:rsidR="006D7FA7" w:rsidRPr="007F7EBF">
        <w:rPr>
          <w:sz w:val="22"/>
          <w:szCs w:val="22"/>
        </w:rPr>
        <w:t xml:space="preserve"> ostacolan</w:t>
      </w:r>
      <w:r w:rsidR="006A34C1">
        <w:rPr>
          <w:sz w:val="22"/>
          <w:szCs w:val="22"/>
        </w:rPr>
        <w:t>d</w:t>
      </w:r>
      <w:r w:rsidR="006D7FA7" w:rsidRPr="007F7EBF">
        <w:rPr>
          <w:sz w:val="22"/>
          <w:szCs w:val="22"/>
        </w:rPr>
        <w:t>o tendenze della proprietà stessa</w:t>
      </w:r>
      <w:r w:rsidR="0031235B" w:rsidRPr="007F7EBF">
        <w:rPr>
          <w:sz w:val="22"/>
          <w:szCs w:val="22"/>
        </w:rPr>
        <w:t>, o dei dirigenti,</w:t>
      </w:r>
      <w:r w:rsidR="006D7FA7" w:rsidRPr="007F7EBF">
        <w:rPr>
          <w:sz w:val="22"/>
          <w:szCs w:val="22"/>
        </w:rPr>
        <w:t xml:space="preserve"> a nascondere </w:t>
      </w:r>
      <w:r w:rsidR="006A34C1">
        <w:rPr>
          <w:sz w:val="22"/>
          <w:szCs w:val="22"/>
        </w:rPr>
        <w:t xml:space="preserve">gli imponibili. </w:t>
      </w:r>
    </w:p>
    <w:p w14:paraId="2AAE171E" w14:textId="1E93DA54" w:rsidR="00186246" w:rsidRPr="007F7EBF" w:rsidRDefault="006A34C1" w:rsidP="00C26D4F">
      <w:pPr>
        <w:rPr>
          <w:sz w:val="22"/>
          <w:szCs w:val="22"/>
        </w:rPr>
      </w:pPr>
      <w:r>
        <w:rPr>
          <w:sz w:val="22"/>
          <w:szCs w:val="22"/>
        </w:rPr>
        <w:t xml:space="preserve">Questo contrasta con la </w:t>
      </w:r>
      <w:r w:rsidR="00F416D7" w:rsidRPr="007F7EBF">
        <w:rPr>
          <w:sz w:val="22"/>
          <w:szCs w:val="22"/>
        </w:rPr>
        <w:t>naturale tendenza a delegare compiti gestionali a dirigenti (</w:t>
      </w:r>
      <w:r w:rsidR="00F416D7" w:rsidRPr="007F7EBF">
        <w:rPr>
          <w:rStyle w:val="Rimandonotaapidipagina"/>
          <w:sz w:val="22"/>
          <w:szCs w:val="22"/>
        </w:rPr>
        <w:footnoteReference w:id="311"/>
      </w:r>
      <w:r w:rsidR="00F416D7" w:rsidRPr="007F7EBF">
        <w:rPr>
          <w:sz w:val="22"/>
          <w:szCs w:val="22"/>
        </w:rPr>
        <w:t>)</w:t>
      </w:r>
      <w:r>
        <w:rPr>
          <w:sz w:val="22"/>
          <w:szCs w:val="22"/>
        </w:rPr>
        <w:t xml:space="preserve">, mantenendo la </w:t>
      </w:r>
      <w:r w:rsidR="00F416D7" w:rsidRPr="007F7EBF">
        <w:rPr>
          <w:sz w:val="22"/>
          <w:szCs w:val="22"/>
        </w:rPr>
        <w:t xml:space="preserve">riservatezza davanti agli altri soci e ai dirigenti </w:t>
      </w:r>
      <w:r w:rsidR="00F416D7" w:rsidRPr="007F7EBF">
        <w:rPr>
          <w:rStyle w:val="Rimandonotaapidipagina"/>
          <w:sz w:val="22"/>
          <w:szCs w:val="22"/>
        </w:rPr>
        <w:footnoteReference w:id="312"/>
      </w:r>
      <w:r w:rsidR="00F416D7" w:rsidRPr="007F7EBF">
        <w:rPr>
          <w:sz w:val="22"/>
          <w:szCs w:val="22"/>
        </w:rPr>
        <w:t>.</w:t>
      </w:r>
      <w:r>
        <w:rPr>
          <w:sz w:val="22"/>
          <w:szCs w:val="22"/>
        </w:rPr>
        <w:t xml:space="preserve"> </w:t>
      </w:r>
      <w:r w:rsidRPr="007F7EBF">
        <w:rPr>
          <w:sz w:val="22"/>
          <w:szCs w:val="22"/>
        </w:rPr>
        <w:t xml:space="preserve">Persino nel capitalismo familiare italiano, venuto meno il titolare-fondatore, gli eredi, pur con un ruolo organizzativo-direzionale formalmente analogo, </w:t>
      </w:r>
      <w:r>
        <w:rPr>
          <w:sz w:val="22"/>
          <w:szCs w:val="22"/>
        </w:rPr>
        <w:t xml:space="preserve">saranno più cauti, vista la loro minore familiarità con l’azienda, a </w:t>
      </w:r>
      <w:r w:rsidRPr="007F7EBF">
        <w:rPr>
          <w:sz w:val="22"/>
          <w:szCs w:val="22"/>
        </w:rPr>
        <w:t>nascondere ricchezza al fisco</w:t>
      </w:r>
      <w:r>
        <w:rPr>
          <w:sz w:val="22"/>
          <w:szCs w:val="22"/>
        </w:rPr>
        <w:t xml:space="preserve"> </w:t>
      </w:r>
      <w:r w:rsidRPr="007F7EBF">
        <w:rPr>
          <w:sz w:val="22"/>
          <w:szCs w:val="22"/>
        </w:rPr>
        <w:t>scavalca</w:t>
      </w:r>
      <w:r>
        <w:rPr>
          <w:sz w:val="22"/>
          <w:szCs w:val="22"/>
        </w:rPr>
        <w:t>ndo</w:t>
      </w:r>
      <w:r w:rsidRPr="007F7EBF">
        <w:rPr>
          <w:sz w:val="22"/>
          <w:szCs w:val="22"/>
        </w:rPr>
        <w:t xml:space="preserve"> le procedure aziendali</w:t>
      </w:r>
      <w:r>
        <w:rPr>
          <w:sz w:val="22"/>
          <w:szCs w:val="22"/>
        </w:rPr>
        <w:t xml:space="preserve">. </w:t>
      </w:r>
    </w:p>
    <w:p w14:paraId="73B9A858" w14:textId="1BF84868" w:rsidR="00186246" w:rsidRPr="007F7EBF" w:rsidRDefault="008321ED" w:rsidP="00186246">
      <w:pPr>
        <w:pStyle w:val="tit23"/>
        <w:ind w:left="6464" w:right="-1361" w:firstLine="0"/>
        <w:jc w:val="left"/>
        <w:rPr>
          <w:bCs/>
          <w:i/>
          <w:iCs/>
          <w:color w:val="0000FF"/>
          <w:lang w:val="it-IT"/>
        </w:rPr>
      </w:pPr>
      <w:r w:rsidRPr="007F7EBF">
        <w:rPr>
          <w:bCs/>
          <w:i/>
          <w:iCs/>
          <w:color w:val="0000FF"/>
          <w:lang w:val="it-IT"/>
        </w:rPr>
        <w:t xml:space="preserve">Variabili della mancata registrazione </w:t>
      </w:r>
      <w:r w:rsidR="00437E4B">
        <w:rPr>
          <w:bCs/>
          <w:i/>
          <w:iCs/>
          <w:color w:val="0000FF"/>
          <w:lang w:val="it-IT"/>
        </w:rPr>
        <w:t>degli imponibili</w:t>
      </w:r>
    </w:p>
    <w:p w14:paraId="38B68737" w14:textId="1631F359" w:rsidR="00375F61" w:rsidRPr="007F7EBF" w:rsidRDefault="00C26D4F" w:rsidP="00B97531">
      <w:pPr>
        <w:autoSpaceDE w:val="0"/>
        <w:autoSpaceDN w:val="0"/>
        <w:adjustRightInd w:val="0"/>
        <w:rPr>
          <w:bCs/>
          <w:i/>
          <w:iCs/>
          <w:color w:val="0000FF"/>
          <w:sz w:val="22"/>
          <w:szCs w:val="22"/>
        </w:rPr>
      </w:pPr>
      <w:r>
        <w:rPr>
          <w:sz w:val="22"/>
          <w:szCs w:val="22"/>
        </w:rPr>
        <w:t xml:space="preserve">Anche presso organizzazioni pluripersonali, è talvolta verosimile la più elementare forma di evasione fiscale, scavalcando </w:t>
      </w:r>
      <w:r w:rsidR="006342C5" w:rsidRPr="007F7EBF">
        <w:rPr>
          <w:sz w:val="22"/>
          <w:szCs w:val="22"/>
        </w:rPr>
        <w:t>le procedure</w:t>
      </w:r>
      <w:r w:rsidR="00D06B5C" w:rsidRPr="007F7EBF">
        <w:rPr>
          <w:sz w:val="22"/>
          <w:szCs w:val="22"/>
        </w:rPr>
        <w:t xml:space="preserve"> </w:t>
      </w:r>
      <w:r w:rsidR="006342C5" w:rsidRPr="007F7EBF">
        <w:rPr>
          <w:sz w:val="22"/>
          <w:szCs w:val="22"/>
        </w:rPr>
        <w:t>aziendali</w:t>
      </w:r>
      <w:r>
        <w:rPr>
          <w:sz w:val="22"/>
          <w:szCs w:val="22"/>
        </w:rPr>
        <w:t xml:space="preserve"> di acquisizione e registrazione degli incassi, proprio come vedremo per piccoli commercianti e artigiani al par.3.13 ss. Questo è possibile per le prestazioni di rilevante valore unitario, dove il titolare può gestire personalmente il rapporto col cliente, </w:t>
      </w:r>
      <w:r w:rsidR="00075D5C">
        <w:rPr>
          <w:sz w:val="22"/>
          <w:szCs w:val="22"/>
        </w:rPr>
        <w:t xml:space="preserve">“distraendo” </w:t>
      </w:r>
      <w:r w:rsidR="008321ED" w:rsidRPr="007F7EBF">
        <w:rPr>
          <w:sz w:val="22"/>
          <w:szCs w:val="22"/>
        </w:rPr>
        <w:t>una parte del corrispettivo (</w:t>
      </w:r>
      <w:r w:rsidR="008321ED" w:rsidRPr="007F7EBF">
        <w:rPr>
          <w:rStyle w:val="Rimandonotaapidipagina"/>
          <w:sz w:val="22"/>
          <w:szCs w:val="22"/>
        </w:rPr>
        <w:footnoteReference w:id="313"/>
      </w:r>
      <w:r w:rsidR="008321ED" w:rsidRPr="007F7EBF">
        <w:rPr>
          <w:sz w:val="22"/>
          <w:szCs w:val="22"/>
        </w:rPr>
        <w:t xml:space="preserve">). </w:t>
      </w:r>
      <w:r w:rsidR="00075D5C">
        <w:rPr>
          <w:sz w:val="22"/>
          <w:szCs w:val="22"/>
        </w:rPr>
        <w:t xml:space="preserve">Quando invece gli incassi sono “seriali”, per piccoli importi, l’occultamento dei ricavi può avvenire </w:t>
      </w:r>
      <w:r w:rsidR="00075D5C" w:rsidRPr="007F7EBF">
        <w:rPr>
          <w:sz w:val="22"/>
          <w:szCs w:val="22"/>
        </w:rPr>
        <w:t xml:space="preserve">in due tempi; prima </w:t>
      </w:r>
      <w:r w:rsidR="00075D5C">
        <w:rPr>
          <w:sz w:val="22"/>
          <w:szCs w:val="22"/>
        </w:rPr>
        <w:t xml:space="preserve">assicurandosi </w:t>
      </w:r>
      <w:r w:rsidR="00075D5C" w:rsidRPr="007F7EBF">
        <w:rPr>
          <w:sz w:val="22"/>
          <w:szCs w:val="22"/>
        </w:rPr>
        <w:t xml:space="preserve">che i dipendenti abbiano registrato tutti gli incassi, e poi </w:t>
      </w:r>
      <w:r w:rsidR="00075D5C" w:rsidRPr="007F7EBF">
        <w:rPr>
          <w:sz w:val="22"/>
          <w:szCs w:val="22"/>
        </w:rPr>
        <w:lastRenderedPageBreak/>
        <w:t xml:space="preserve">omettendo la registrazione tributaria </w:t>
      </w:r>
      <w:r w:rsidR="00075D5C">
        <w:rPr>
          <w:sz w:val="22"/>
          <w:szCs w:val="22"/>
        </w:rPr>
        <w:t>di una parte di essi (</w:t>
      </w:r>
      <w:r w:rsidR="00075D5C" w:rsidRPr="007F7EBF">
        <w:rPr>
          <w:rStyle w:val="Rimandonotaapidipagina"/>
          <w:sz w:val="22"/>
          <w:szCs w:val="22"/>
        </w:rPr>
        <w:footnoteReference w:id="314"/>
      </w:r>
      <w:r w:rsidR="00075D5C">
        <w:rPr>
          <w:sz w:val="22"/>
          <w:szCs w:val="22"/>
        </w:rPr>
        <w:t>)</w:t>
      </w:r>
      <w:r w:rsidR="00075D5C" w:rsidRPr="007F7EBF">
        <w:rPr>
          <w:sz w:val="22"/>
          <w:szCs w:val="22"/>
        </w:rPr>
        <w:t>.</w:t>
      </w:r>
      <w:r w:rsidR="00075D5C">
        <w:rPr>
          <w:sz w:val="22"/>
          <w:szCs w:val="22"/>
        </w:rPr>
        <w:t xml:space="preserve"> </w:t>
      </w:r>
      <w:r w:rsidR="006247EA">
        <w:rPr>
          <w:sz w:val="22"/>
          <w:szCs w:val="22"/>
        </w:rPr>
        <w:t>Una tecnica più</w:t>
      </w:r>
      <w:r w:rsidR="00075D5C">
        <w:rPr>
          <w:sz w:val="22"/>
          <w:szCs w:val="22"/>
        </w:rPr>
        <w:t xml:space="preserve"> sofisticata è l’interposizione</w:t>
      </w:r>
      <w:r w:rsidR="006247EA">
        <w:rPr>
          <w:sz w:val="22"/>
          <w:szCs w:val="22"/>
        </w:rPr>
        <w:t>,</w:t>
      </w:r>
      <w:r w:rsidR="00075D5C">
        <w:rPr>
          <w:sz w:val="22"/>
          <w:szCs w:val="22"/>
        </w:rPr>
        <w:t xml:space="preserve"> t</w:t>
      </w:r>
      <w:r w:rsidR="000D7FAB" w:rsidRPr="007F7EBF">
        <w:rPr>
          <w:sz w:val="22"/>
          <w:szCs w:val="22"/>
        </w:rPr>
        <w:t>ra l'azienda e i clienti</w:t>
      </w:r>
      <w:r w:rsidR="006247EA">
        <w:rPr>
          <w:sz w:val="22"/>
          <w:szCs w:val="22"/>
        </w:rPr>
        <w:t>,</w:t>
      </w:r>
      <w:r w:rsidR="000D7FAB" w:rsidRPr="007F7EBF">
        <w:rPr>
          <w:sz w:val="22"/>
          <w:szCs w:val="22"/>
        </w:rPr>
        <w:t xml:space="preserve"> </w:t>
      </w:r>
      <w:r w:rsidR="00075D5C">
        <w:rPr>
          <w:sz w:val="22"/>
          <w:szCs w:val="22"/>
        </w:rPr>
        <w:t>di</w:t>
      </w:r>
      <w:r w:rsidR="00D06B5C" w:rsidRPr="007F7EBF">
        <w:rPr>
          <w:sz w:val="22"/>
          <w:szCs w:val="22"/>
        </w:rPr>
        <w:t xml:space="preserve"> </w:t>
      </w:r>
      <w:r w:rsidR="00D06B5C" w:rsidRPr="007F7EBF">
        <w:rPr>
          <w:bCs/>
          <w:sz w:val="22"/>
          <w:szCs w:val="22"/>
        </w:rPr>
        <w:t xml:space="preserve">società intermedie, </w:t>
      </w:r>
      <w:r w:rsidR="006247EA">
        <w:rPr>
          <w:bCs/>
          <w:sz w:val="22"/>
          <w:szCs w:val="22"/>
        </w:rPr>
        <w:t>indirettamente riconducibili al titolare (</w:t>
      </w:r>
      <w:r w:rsidR="006247EA">
        <w:rPr>
          <w:rStyle w:val="Rimandonotaapidipagina"/>
          <w:bCs/>
          <w:sz w:val="22"/>
          <w:szCs w:val="22"/>
        </w:rPr>
        <w:footnoteReference w:id="315"/>
      </w:r>
      <w:r w:rsidR="006247EA">
        <w:rPr>
          <w:bCs/>
          <w:sz w:val="22"/>
          <w:szCs w:val="22"/>
        </w:rPr>
        <w:t>)</w:t>
      </w:r>
      <w:r w:rsidR="00EF273A">
        <w:rPr>
          <w:bCs/>
          <w:sz w:val="22"/>
          <w:szCs w:val="22"/>
        </w:rPr>
        <w:t xml:space="preserve">, </w:t>
      </w:r>
      <w:r w:rsidR="00075D5C">
        <w:rPr>
          <w:bCs/>
          <w:sz w:val="22"/>
          <w:szCs w:val="22"/>
        </w:rPr>
        <w:t>che acquistano e rivendono ai clienti finali</w:t>
      </w:r>
      <w:r w:rsidR="00EF273A">
        <w:rPr>
          <w:bCs/>
          <w:sz w:val="22"/>
          <w:szCs w:val="22"/>
        </w:rPr>
        <w:t xml:space="preserve">. In questo modo esse </w:t>
      </w:r>
      <w:r w:rsidR="00075D5C">
        <w:rPr>
          <w:sz w:val="22"/>
          <w:szCs w:val="22"/>
        </w:rPr>
        <w:t>attra</w:t>
      </w:r>
      <w:r w:rsidR="00EF273A">
        <w:rPr>
          <w:sz w:val="22"/>
          <w:szCs w:val="22"/>
        </w:rPr>
        <w:t>ggono</w:t>
      </w:r>
      <w:r w:rsidR="00075D5C">
        <w:rPr>
          <w:sz w:val="22"/>
          <w:szCs w:val="22"/>
        </w:rPr>
        <w:t xml:space="preserve"> </w:t>
      </w:r>
      <w:r w:rsidR="00D06B5C" w:rsidRPr="007F7EBF">
        <w:rPr>
          <w:sz w:val="22"/>
          <w:szCs w:val="22"/>
        </w:rPr>
        <w:t xml:space="preserve">presso di sé </w:t>
      </w:r>
      <w:r w:rsidR="00487CCF" w:rsidRPr="007F7EBF">
        <w:rPr>
          <w:sz w:val="22"/>
          <w:szCs w:val="22"/>
        </w:rPr>
        <w:t>quote di</w:t>
      </w:r>
      <w:r w:rsidR="00D06B5C" w:rsidRPr="007F7EBF">
        <w:rPr>
          <w:sz w:val="22"/>
          <w:szCs w:val="22"/>
        </w:rPr>
        <w:t xml:space="preserve"> profitto</w:t>
      </w:r>
      <w:r w:rsidR="00EF273A">
        <w:rPr>
          <w:sz w:val="22"/>
          <w:szCs w:val="22"/>
        </w:rPr>
        <w:t>,</w:t>
      </w:r>
      <w:r w:rsidR="00D06B5C" w:rsidRPr="007F7EBF">
        <w:rPr>
          <w:sz w:val="22"/>
          <w:szCs w:val="22"/>
        </w:rPr>
        <w:t xml:space="preserve"> </w:t>
      </w:r>
      <w:r w:rsidR="00075D5C">
        <w:rPr>
          <w:sz w:val="22"/>
          <w:szCs w:val="22"/>
        </w:rPr>
        <w:t>poi a disposizione occulta de</w:t>
      </w:r>
      <w:r w:rsidR="000D7FAB" w:rsidRPr="007F7EBF">
        <w:rPr>
          <w:sz w:val="22"/>
          <w:szCs w:val="22"/>
        </w:rPr>
        <w:t>ll’imprenditore</w:t>
      </w:r>
      <w:r w:rsidR="00EF273A">
        <w:rPr>
          <w:sz w:val="22"/>
          <w:szCs w:val="22"/>
        </w:rPr>
        <w:t xml:space="preserve"> </w:t>
      </w:r>
      <w:r w:rsidR="00075D5C">
        <w:rPr>
          <w:sz w:val="22"/>
          <w:szCs w:val="22"/>
        </w:rPr>
        <w:t>(</w:t>
      </w:r>
      <w:r w:rsidR="000D7FAB" w:rsidRPr="007F7EBF">
        <w:rPr>
          <w:rStyle w:val="Rimandonotaapidipagina"/>
          <w:sz w:val="22"/>
          <w:szCs w:val="22"/>
        </w:rPr>
        <w:footnoteReference w:id="316"/>
      </w:r>
      <w:r w:rsidR="00075D5C">
        <w:rPr>
          <w:sz w:val="22"/>
          <w:szCs w:val="22"/>
        </w:rPr>
        <w:t>)</w:t>
      </w:r>
      <w:r w:rsidR="00D06B5C" w:rsidRPr="007F7EBF">
        <w:rPr>
          <w:sz w:val="22"/>
          <w:szCs w:val="22"/>
        </w:rPr>
        <w:t>.</w:t>
      </w:r>
      <w:r w:rsidR="005D3933" w:rsidRPr="007F7EBF">
        <w:rPr>
          <w:sz w:val="22"/>
          <w:szCs w:val="22"/>
        </w:rPr>
        <w:t xml:space="preserve"> </w:t>
      </w:r>
    </w:p>
    <w:p w14:paraId="4D6E0AB1" w14:textId="75617982" w:rsidR="00186246" w:rsidRPr="007F7EBF" w:rsidRDefault="00956FCB" w:rsidP="00186246">
      <w:pPr>
        <w:pStyle w:val="tit23"/>
        <w:ind w:left="6464" w:right="-1361" w:firstLine="0"/>
        <w:jc w:val="left"/>
        <w:rPr>
          <w:bCs/>
          <w:i/>
          <w:iCs/>
          <w:color w:val="0000FF"/>
          <w:lang w:val="it-IT"/>
        </w:rPr>
      </w:pPr>
      <w:r>
        <w:rPr>
          <w:bCs/>
          <w:i/>
          <w:iCs/>
          <w:color w:val="0000FF"/>
          <w:lang w:val="it-IT"/>
        </w:rPr>
        <w:t xml:space="preserve">Costi fittizi e fatture false </w:t>
      </w:r>
    </w:p>
    <w:p w14:paraId="637D0859" w14:textId="1CDA0D33" w:rsidR="00D824E4" w:rsidRPr="007F7EBF" w:rsidRDefault="00075D5C" w:rsidP="00D824E4">
      <w:pPr>
        <w:rPr>
          <w:sz w:val="22"/>
          <w:szCs w:val="22"/>
        </w:rPr>
      </w:pPr>
      <w:r w:rsidRPr="007F7EBF">
        <w:rPr>
          <w:sz w:val="22"/>
          <w:szCs w:val="22"/>
        </w:rPr>
        <w:t>Quest</w:t>
      </w:r>
      <w:r w:rsidR="00E55CBA">
        <w:rPr>
          <w:sz w:val="22"/>
          <w:szCs w:val="22"/>
        </w:rPr>
        <w:t>’occultament</w:t>
      </w:r>
      <w:r w:rsidRPr="007F7EBF">
        <w:rPr>
          <w:sz w:val="22"/>
          <w:szCs w:val="22"/>
        </w:rPr>
        <w:t xml:space="preserve">o di </w:t>
      </w:r>
      <w:r w:rsidR="00BB5948">
        <w:rPr>
          <w:sz w:val="22"/>
          <w:szCs w:val="22"/>
        </w:rPr>
        <w:t>ricavi</w:t>
      </w:r>
      <w:r w:rsidR="00956FCB">
        <w:rPr>
          <w:sz w:val="22"/>
          <w:szCs w:val="22"/>
        </w:rPr>
        <w:t xml:space="preserve"> </w:t>
      </w:r>
      <w:r w:rsidR="00BB5948">
        <w:rPr>
          <w:sz w:val="22"/>
          <w:szCs w:val="22"/>
        </w:rPr>
        <w:t xml:space="preserve">interferisce </w:t>
      </w:r>
      <w:r w:rsidR="00E55CBA">
        <w:rPr>
          <w:sz w:val="22"/>
          <w:szCs w:val="22"/>
        </w:rPr>
        <w:t xml:space="preserve">sempre </w:t>
      </w:r>
      <w:r w:rsidR="00BB5948">
        <w:rPr>
          <w:sz w:val="22"/>
          <w:szCs w:val="22"/>
        </w:rPr>
        <w:t>più</w:t>
      </w:r>
      <w:r w:rsidR="00E55CBA">
        <w:rPr>
          <w:sz w:val="22"/>
          <w:szCs w:val="22"/>
        </w:rPr>
        <w:t xml:space="preserve">, </w:t>
      </w:r>
      <w:r w:rsidR="00BB5948">
        <w:rPr>
          <w:sz w:val="22"/>
          <w:szCs w:val="22"/>
        </w:rPr>
        <w:t>con l’</w:t>
      </w:r>
      <w:r w:rsidR="00E55CBA">
        <w:rPr>
          <w:sz w:val="22"/>
          <w:szCs w:val="22"/>
        </w:rPr>
        <w:t xml:space="preserve">aumento </w:t>
      </w:r>
      <w:r w:rsidR="00BB5948">
        <w:rPr>
          <w:sz w:val="22"/>
          <w:szCs w:val="22"/>
        </w:rPr>
        <w:t>del</w:t>
      </w:r>
      <w:r w:rsidR="00E55CBA">
        <w:rPr>
          <w:sz w:val="22"/>
          <w:szCs w:val="22"/>
        </w:rPr>
        <w:t xml:space="preserve">le dimensioni aziendali, </w:t>
      </w:r>
      <w:r w:rsidR="00F909B7">
        <w:rPr>
          <w:sz w:val="22"/>
          <w:szCs w:val="22"/>
        </w:rPr>
        <w:t xml:space="preserve">col controllo </w:t>
      </w:r>
      <w:r w:rsidR="00956FCB">
        <w:rPr>
          <w:sz w:val="22"/>
          <w:szCs w:val="22"/>
        </w:rPr>
        <w:t xml:space="preserve">imprenditoriale </w:t>
      </w:r>
      <w:r w:rsidR="00F909B7">
        <w:rPr>
          <w:sz w:val="22"/>
          <w:szCs w:val="22"/>
        </w:rPr>
        <w:t>sul</w:t>
      </w:r>
      <w:r w:rsidR="00E77715" w:rsidRPr="007F7EBF">
        <w:rPr>
          <w:sz w:val="22"/>
          <w:szCs w:val="22"/>
        </w:rPr>
        <w:t>l'azienda</w:t>
      </w:r>
      <w:r w:rsidR="00F36894">
        <w:rPr>
          <w:sz w:val="22"/>
          <w:szCs w:val="22"/>
        </w:rPr>
        <w:t>, la contabilità per la direzione, il budget e il controllo di gestione di cui al par.3.2</w:t>
      </w:r>
      <w:r w:rsidR="00F909B7">
        <w:rPr>
          <w:sz w:val="22"/>
          <w:szCs w:val="22"/>
        </w:rPr>
        <w:t xml:space="preserve">. </w:t>
      </w:r>
      <w:r w:rsidR="00956FCB">
        <w:rPr>
          <w:sz w:val="22"/>
          <w:szCs w:val="22"/>
        </w:rPr>
        <w:t xml:space="preserve">L’alternativa è occultare </w:t>
      </w:r>
      <w:r w:rsidR="00F909B7">
        <w:rPr>
          <w:sz w:val="22"/>
          <w:szCs w:val="22"/>
        </w:rPr>
        <w:t>imponibili “</w:t>
      </w:r>
      <w:r w:rsidR="00E77715" w:rsidRPr="007F7EBF">
        <w:rPr>
          <w:sz w:val="22"/>
          <w:szCs w:val="22"/>
        </w:rPr>
        <w:t>da sotto"</w:t>
      </w:r>
      <w:r w:rsidR="00F909B7">
        <w:rPr>
          <w:sz w:val="22"/>
          <w:szCs w:val="22"/>
        </w:rPr>
        <w:t xml:space="preserve">, cioè registrando costi in tutto o in parte </w:t>
      </w:r>
      <w:r w:rsidR="00E77715" w:rsidRPr="007F7EBF">
        <w:rPr>
          <w:sz w:val="22"/>
          <w:szCs w:val="22"/>
        </w:rPr>
        <w:t>fittizi</w:t>
      </w:r>
      <w:r w:rsidR="00F36894">
        <w:t>, con l</w:t>
      </w:r>
      <w:r w:rsidR="00956FCB" w:rsidRPr="007F7EBF">
        <w:t>e c.d. fatture false</w:t>
      </w:r>
      <w:r w:rsidR="00F36894">
        <w:t xml:space="preserve">; si tratta di un macrocosmo con </w:t>
      </w:r>
      <w:r w:rsidR="003D0CD2">
        <w:t>numerose</w:t>
      </w:r>
      <w:r w:rsidR="00F36894">
        <w:t xml:space="preserve"> possibili</w:t>
      </w:r>
      <w:r w:rsidR="003D0CD2">
        <w:t xml:space="preserve"> variazioni sul tema</w:t>
      </w:r>
      <w:r w:rsidR="0000316B">
        <w:t xml:space="preserve">, tra </w:t>
      </w:r>
      <w:r w:rsidR="000A5389">
        <w:t>interposizione reale e fittizia</w:t>
      </w:r>
      <w:r w:rsidR="0000316B">
        <w:t xml:space="preserve">. A questo scopo, per le attività di una certa dimensione, serve un </w:t>
      </w:r>
      <w:r w:rsidR="000A5389">
        <w:t xml:space="preserve">fiduciario </w:t>
      </w:r>
      <w:r w:rsidR="0000316B">
        <w:t>con qualche credibilità economica n</w:t>
      </w:r>
      <w:r w:rsidR="000A5389">
        <w:t>el settore</w:t>
      </w:r>
      <w:r w:rsidR="0000316B">
        <w:t xml:space="preserve">, caratteristiche meno importanti per attività più piccole, dove si utilizzano semplici prestanome (c.d. </w:t>
      </w:r>
      <w:r w:rsidR="000A5389">
        <w:t>test</w:t>
      </w:r>
      <w:r w:rsidR="0000316B">
        <w:t>e</w:t>
      </w:r>
      <w:r w:rsidR="000A5389">
        <w:t xml:space="preserve"> di legno</w:t>
      </w:r>
      <w:r w:rsidR="0000316B">
        <w:t>); lo strumento sono comunque</w:t>
      </w:r>
      <w:r w:rsidR="003D0CD2">
        <w:t xml:space="preserve"> </w:t>
      </w:r>
      <w:r w:rsidR="005D3933" w:rsidRPr="007F7EBF">
        <w:rPr>
          <w:bCs/>
          <w:sz w:val="22"/>
          <w:szCs w:val="22"/>
        </w:rPr>
        <w:t>società apparentemente</w:t>
      </w:r>
      <w:r w:rsidR="00375F61" w:rsidRPr="007F7EBF">
        <w:rPr>
          <w:bCs/>
          <w:sz w:val="22"/>
          <w:szCs w:val="22"/>
        </w:rPr>
        <w:t xml:space="preserve"> </w:t>
      </w:r>
      <w:r w:rsidR="005D3933" w:rsidRPr="007F7EBF">
        <w:rPr>
          <w:bCs/>
          <w:sz w:val="22"/>
          <w:szCs w:val="22"/>
        </w:rPr>
        <w:t>indipendenti, interposte rispetto a</w:t>
      </w:r>
      <w:r w:rsidR="0000316B">
        <w:rPr>
          <w:bCs/>
          <w:sz w:val="22"/>
          <w:szCs w:val="22"/>
        </w:rPr>
        <w:t xml:space="preserve">lle controparti </w:t>
      </w:r>
      <w:r w:rsidR="005D3933" w:rsidRPr="007F7EBF">
        <w:rPr>
          <w:bCs/>
          <w:sz w:val="22"/>
          <w:szCs w:val="22"/>
        </w:rPr>
        <w:t>reali</w:t>
      </w:r>
      <w:r w:rsidR="00C707A5" w:rsidRPr="007F7EBF">
        <w:rPr>
          <w:bCs/>
          <w:sz w:val="22"/>
          <w:szCs w:val="22"/>
        </w:rPr>
        <w:t>, gestite d</w:t>
      </w:r>
      <w:r w:rsidR="005D3933" w:rsidRPr="007F7EBF">
        <w:rPr>
          <w:sz w:val="22"/>
          <w:szCs w:val="22"/>
        </w:rPr>
        <w:t>a fiduciari o prestanome dell’imprenditore</w:t>
      </w:r>
      <w:r w:rsidR="00BC4D6E">
        <w:rPr>
          <w:sz w:val="22"/>
          <w:szCs w:val="22"/>
        </w:rPr>
        <w:t xml:space="preserve">, che gli mettono a disposizione </w:t>
      </w:r>
      <w:r w:rsidR="003D0CD2">
        <w:rPr>
          <w:sz w:val="22"/>
          <w:szCs w:val="22"/>
        </w:rPr>
        <w:t>la differenza: sono</w:t>
      </w:r>
      <w:r w:rsidR="001542F5" w:rsidRPr="007F7EBF">
        <w:rPr>
          <w:sz w:val="22"/>
          <w:szCs w:val="22"/>
        </w:rPr>
        <w:t xml:space="preserve"> comportamenti </w:t>
      </w:r>
      <w:r w:rsidR="00F36894">
        <w:rPr>
          <w:sz w:val="22"/>
          <w:szCs w:val="22"/>
        </w:rPr>
        <w:t>poco individuabili, se la società interposta versa regolarmente l’IVA, e l’evasione si limita quindi alle imposte sul reddito</w:t>
      </w:r>
      <w:r w:rsidR="00BC4D6E">
        <w:rPr>
          <w:sz w:val="22"/>
          <w:szCs w:val="22"/>
        </w:rPr>
        <w:t xml:space="preserve">; l’individuabilità da parte del fisco diminuisce </w:t>
      </w:r>
      <w:r w:rsidR="001F625B" w:rsidRPr="007F7EBF">
        <w:rPr>
          <w:sz w:val="22"/>
          <w:szCs w:val="22"/>
        </w:rPr>
        <w:t xml:space="preserve">per </w:t>
      </w:r>
      <w:r w:rsidR="00BC4D6E">
        <w:rPr>
          <w:sz w:val="22"/>
          <w:szCs w:val="22"/>
        </w:rPr>
        <w:t xml:space="preserve">i rapporti con </w:t>
      </w:r>
      <w:r w:rsidR="001542F5" w:rsidRPr="007F7EBF">
        <w:rPr>
          <w:sz w:val="22"/>
          <w:szCs w:val="22"/>
        </w:rPr>
        <w:t xml:space="preserve">l'estero, dove è particolarmente difficile controllare il produttore effettivo </w:t>
      </w:r>
      <w:r w:rsidR="003D0CD2">
        <w:rPr>
          <w:sz w:val="22"/>
          <w:szCs w:val="22"/>
        </w:rPr>
        <w:t>(</w:t>
      </w:r>
      <w:r w:rsidR="001542F5" w:rsidRPr="007F7EBF">
        <w:rPr>
          <w:rStyle w:val="Rimandonotaapidipagina"/>
          <w:sz w:val="22"/>
          <w:szCs w:val="22"/>
        </w:rPr>
        <w:footnoteReference w:id="317"/>
      </w:r>
      <w:r w:rsidR="003D0CD2">
        <w:rPr>
          <w:sz w:val="22"/>
          <w:szCs w:val="22"/>
        </w:rPr>
        <w:t>)</w:t>
      </w:r>
      <w:r w:rsidR="001542F5" w:rsidRPr="007F7EBF">
        <w:rPr>
          <w:sz w:val="22"/>
          <w:szCs w:val="22"/>
        </w:rPr>
        <w:t xml:space="preserve">.  </w:t>
      </w:r>
    </w:p>
    <w:p w14:paraId="4EB63B3D" w14:textId="07971286" w:rsidR="00D824E4" w:rsidRPr="007F7EBF" w:rsidRDefault="00D824E4" w:rsidP="00D824E4">
      <w:pPr>
        <w:pStyle w:val="tit23"/>
        <w:ind w:left="6464" w:right="-1361" w:firstLine="0"/>
        <w:jc w:val="left"/>
        <w:rPr>
          <w:bCs/>
          <w:i/>
          <w:iCs/>
          <w:color w:val="0000FF"/>
          <w:lang w:val="it-IT"/>
        </w:rPr>
      </w:pPr>
      <w:r>
        <w:rPr>
          <w:bCs/>
          <w:i/>
          <w:iCs/>
          <w:color w:val="0000FF"/>
          <w:lang w:val="it-IT"/>
        </w:rPr>
        <w:lastRenderedPageBreak/>
        <w:t>Evasione “senza contant</w:t>
      </w:r>
      <w:r w:rsidRPr="007F7EBF">
        <w:rPr>
          <w:bCs/>
          <w:i/>
          <w:iCs/>
          <w:color w:val="0000FF"/>
          <w:lang w:val="it-IT"/>
        </w:rPr>
        <w:t>i</w:t>
      </w:r>
      <w:r>
        <w:rPr>
          <w:bCs/>
          <w:i/>
          <w:iCs/>
          <w:color w:val="0000FF"/>
          <w:lang w:val="it-IT"/>
        </w:rPr>
        <w:t>”</w:t>
      </w:r>
    </w:p>
    <w:p w14:paraId="400B6522" w14:textId="79BFCA15" w:rsidR="00D824E4" w:rsidRPr="007F7EBF" w:rsidRDefault="00D824E4" w:rsidP="00D824E4">
      <w:pPr>
        <w:autoSpaceDE w:val="0"/>
        <w:autoSpaceDN w:val="0"/>
        <w:adjustRightInd w:val="0"/>
        <w:rPr>
          <w:sz w:val="22"/>
          <w:szCs w:val="22"/>
        </w:rPr>
      </w:pPr>
      <w:r w:rsidRPr="007F7EBF">
        <w:rPr>
          <w:sz w:val="22"/>
          <w:szCs w:val="22"/>
        </w:rPr>
        <w:t xml:space="preserve">Le evasioni suddette raramente comportano il maneggio diretto di denaro da parte dei beneficiari, come </w:t>
      </w:r>
      <w:r>
        <w:rPr>
          <w:sz w:val="22"/>
          <w:szCs w:val="22"/>
        </w:rPr>
        <w:t>per piccoli commerciant</w:t>
      </w:r>
      <w:r w:rsidRPr="007F7EBF">
        <w:rPr>
          <w:sz w:val="22"/>
          <w:szCs w:val="22"/>
        </w:rPr>
        <w:t xml:space="preserve">i </w:t>
      </w:r>
      <w:r>
        <w:rPr>
          <w:sz w:val="22"/>
          <w:szCs w:val="22"/>
        </w:rPr>
        <w:t xml:space="preserve">e artigiani </w:t>
      </w:r>
      <w:r w:rsidRPr="007F7EBF">
        <w:rPr>
          <w:sz w:val="22"/>
          <w:szCs w:val="22"/>
        </w:rPr>
        <w:t>di cui al paragrafo 3.13</w:t>
      </w:r>
      <w:r>
        <w:rPr>
          <w:sz w:val="22"/>
          <w:szCs w:val="22"/>
        </w:rPr>
        <w:t xml:space="preserve"> (</w:t>
      </w:r>
      <w:r w:rsidRPr="007F7EBF">
        <w:rPr>
          <w:rStyle w:val="Rimandonotaapidipagina"/>
          <w:sz w:val="22"/>
          <w:szCs w:val="22"/>
        </w:rPr>
        <w:footnoteReference w:id="318"/>
      </w:r>
      <w:r>
        <w:rPr>
          <w:sz w:val="22"/>
          <w:szCs w:val="22"/>
        </w:rPr>
        <w:t>)</w:t>
      </w:r>
      <w:r w:rsidRPr="007F7EBF">
        <w:rPr>
          <w:sz w:val="22"/>
          <w:szCs w:val="22"/>
        </w:rPr>
        <w:t xml:space="preserve">; le risorse nascoste al fisco passano, in questi casi, dall'azienda, o dalle sue controparti, </w:t>
      </w:r>
      <w:r>
        <w:rPr>
          <w:sz w:val="22"/>
          <w:szCs w:val="22"/>
        </w:rPr>
        <w:t xml:space="preserve"> </w:t>
      </w:r>
      <w:r w:rsidRPr="007F7EBF">
        <w:rPr>
          <w:sz w:val="22"/>
          <w:szCs w:val="22"/>
        </w:rPr>
        <w:t>all'interno di conti bancari, frequentemente esteri, nella disponibilità economica del beneficiario. I relativi fondi saranno tenuti a disposizione, e potranno poi garantire, magari dall’estero, finanziamenti o investimenti finanziari del titolare effettivo nelle aziende, in eventuali momenti di difficoltà</w:t>
      </w:r>
      <w:r>
        <w:rPr>
          <w:sz w:val="22"/>
          <w:szCs w:val="22"/>
        </w:rPr>
        <w:t xml:space="preserve"> (</w:t>
      </w:r>
      <w:r w:rsidRPr="007F7EBF">
        <w:rPr>
          <w:rStyle w:val="Rimandonotaapidipagina"/>
          <w:sz w:val="22"/>
          <w:szCs w:val="22"/>
        </w:rPr>
        <w:footnoteReference w:id="319"/>
      </w:r>
      <w:r>
        <w:rPr>
          <w:sz w:val="22"/>
          <w:szCs w:val="22"/>
        </w:rPr>
        <w:t>)</w:t>
      </w:r>
      <w:r w:rsidRPr="007F7EBF">
        <w:rPr>
          <w:sz w:val="22"/>
          <w:szCs w:val="22"/>
        </w:rPr>
        <w:t xml:space="preserve">. </w:t>
      </w:r>
      <w:r>
        <w:rPr>
          <w:sz w:val="22"/>
          <w:szCs w:val="22"/>
        </w:rPr>
        <w:t>Anche questo conferma l’ingenuità dell’abolizione del contante (par.4.5, 5.9, 5.16) come strumento antievasione.</w:t>
      </w:r>
    </w:p>
    <w:p w14:paraId="44325554" w14:textId="2DF5D609" w:rsidR="00186246" w:rsidRPr="007F7EBF" w:rsidRDefault="00186246" w:rsidP="00736FD0">
      <w:pPr>
        <w:autoSpaceDE w:val="0"/>
        <w:autoSpaceDN w:val="0"/>
        <w:adjustRightInd w:val="0"/>
        <w:rPr>
          <w:sz w:val="22"/>
          <w:szCs w:val="22"/>
        </w:rPr>
      </w:pPr>
    </w:p>
    <w:p w14:paraId="5A00418B" w14:textId="77777777" w:rsidR="00186246" w:rsidRPr="007F7EBF" w:rsidRDefault="00186246" w:rsidP="00186246">
      <w:pPr>
        <w:pStyle w:val="tit23"/>
        <w:ind w:left="6464" w:right="-1361" w:firstLine="0"/>
        <w:jc w:val="left"/>
        <w:rPr>
          <w:bCs/>
          <w:i/>
          <w:iCs/>
          <w:color w:val="0000FF"/>
          <w:lang w:val="it-IT"/>
        </w:rPr>
      </w:pPr>
      <w:r w:rsidRPr="007F7EBF">
        <w:rPr>
          <w:bCs/>
          <w:i/>
          <w:iCs/>
          <w:color w:val="0000FF"/>
          <w:lang w:val="it-IT"/>
        </w:rPr>
        <w:t xml:space="preserve">Indifferenza </w:t>
      </w:r>
      <w:r w:rsidR="00EB4373" w:rsidRPr="007F7EBF">
        <w:rPr>
          <w:bCs/>
          <w:i/>
          <w:iCs/>
          <w:color w:val="0000FF"/>
          <w:lang w:val="it-IT"/>
        </w:rPr>
        <w:t>degli uffici contabili</w:t>
      </w:r>
    </w:p>
    <w:p w14:paraId="60A8B7CC" w14:textId="77777777" w:rsidR="00F36894" w:rsidRDefault="00F36894" w:rsidP="00085BCC">
      <w:pPr>
        <w:autoSpaceDE w:val="0"/>
        <w:autoSpaceDN w:val="0"/>
        <w:adjustRightInd w:val="0"/>
        <w:rPr>
          <w:sz w:val="22"/>
          <w:szCs w:val="22"/>
        </w:rPr>
      </w:pPr>
      <w:r>
        <w:rPr>
          <w:sz w:val="22"/>
          <w:szCs w:val="22"/>
        </w:rPr>
        <w:t>Qualche ulteriore interferenza col controllo interno aziendale (par.3.2) può verificarsi comunque, anche nell’alterazione dei costi industriali (par.7.16). Ciò spinge talvolta a</w:t>
      </w:r>
      <w:r w:rsidRPr="007F7EBF">
        <w:rPr>
          <w:sz w:val="22"/>
          <w:szCs w:val="22"/>
        </w:rPr>
        <w:t xml:space="preserve"> gonfia</w:t>
      </w:r>
      <w:r>
        <w:rPr>
          <w:sz w:val="22"/>
          <w:szCs w:val="22"/>
        </w:rPr>
        <w:t>re</w:t>
      </w:r>
      <w:r w:rsidRPr="007F7EBF">
        <w:rPr>
          <w:sz w:val="22"/>
          <w:szCs w:val="22"/>
        </w:rPr>
        <w:t xml:space="preserve"> costi per  </w:t>
      </w:r>
      <w:r w:rsidRPr="007F7EBF">
        <w:rPr>
          <w:bCs/>
          <w:sz w:val="22"/>
          <w:szCs w:val="22"/>
        </w:rPr>
        <w:t xml:space="preserve">acquisti "collaterali", </w:t>
      </w:r>
      <w:r w:rsidRPr="007F7EBF">
        <w:rPr>
          <w:sz w:val="22"/>
          <w:szCs w:val="22"/>
        </w:rPr>
        <w:t xml:space="preserve">non </w:t>
      </w:r>
      <w:proofErr w:type="spellStart"/>
      <w:r w:rsidRPr="007F7EBF">
        <w:rPr>
          <w:sz w:val="22"/>
          <w:szCs w:val="22"/>
        </w:rPr>
        <w:t>proceduralizzati</w:t>
      </w:r>
      <w:proofErr w:type="spellEnd"/>
      <w:r w:rsidRPr="007F7EBF">
        <w:rPr>
          <w:sz w:val="22"/>
          <w:szCs w:val="22"/>
        </w:rPr>
        <w:t>, come trasporti, noleggi di macchinari, pubblicità, studi di fattibilità, provvigioni</w:t>
      </w:r>
      <w:r>
        <w:rPr>
          <w:sz w:val="22"/>
          <w:szCs w:val="22"/>
        </w:rPr>
        <w:t xml:space="preserve"> (</w:t>
      </w:r>
      <w:r w:rsidRPr="007F7EBF">
        <w:rPr>
          <w:rStyle w:val="Rimandonotaapidipagina"/>
          <w:sz w:val="22"/>
          <w:szCs w:val="22"/>
        </w:rPr>
        <w:footnoteReference w:id="320"/>
      </w:r>
      <w:r>
        <w:rPr>
          <w:sz w:val="22"/>
          <w:szCs w:val="22"/>
        </w:rPr>
        <w:t>)</w:t>
      </w:r>
      <w:r w:rsidRPr="007F7EBF">
        <w:rPr>
          <w:sz w:val="22"/>
          <w:szCs w:val="22"/>
        </w:rPr>
        <w:t xml:space="preserve">. </w:t>
      </w:r>
    </w:p>
    <w:p w14:paraId="0B489A45" w14:textId="339754D9" w:rsidR="00736FD0" w:rsidRPr="007F7EBF" w:rsidRDefault="007D3A4B" w:rsidP="00D824E4">
      <w:pPr>
        <w:rPr>
          <w:sz w:val="22"/>
          <w:szCs w:val="22"/>
        </w:rPr>
      </w:pPr>
      <w:r w:rsidRPr="007F7EBF">
        <w:rPr>
          <w:sz w:val="22"/>
          <w:szCs w:val="22"/>
        </w:rPr>
        <w:t xml:space="preserve">Su </w:t>
      </w:r>
      <w:r w:rsidR="00C07172" w:rsidRPr="007F7EBF">
        <w:rPr>
          <w:sz w:val="22"/>
          <w:szCs w:val="22"/>
        </w:rPr>
        <w:t>qu</w:t>
      </w:r>
      <w:r w:rsidR="00F36894">
        <w:rPr>
          <w:sz w:val="22"/>
          <w:szCs w:val="22"/>
        </w:rPr>
        <w:t xml:space="preserve">anto precede, </w:t>
      </w:r>
      <w:r w:rsidRPr="007F7EBF">
        <w:rPr>
          <w:sz w:val="22"/>
          <w:szCs w:val="22"/>
        </w:rPr>
        <w:t>g</w:t>
      </w:r>
      <w:r w:rsidR="005D3933" w:rsidRPr="007F7EBF">
        <w:rPr>
          <w:sz w:val="22"/>
          <w:szCs w:val="22"/>
        </w:rPr>
        <w:t xml:space="preserve">li uffici </w:t>
      </w:r>
      <w:r w:rsidR="00921B62" w:rsidRPr="007F7EBF">
        <w:rPr>
          <w:sz w:val="22"/>
          <w:szCs w:val="22"/>
        </w:rPr>
        <w:t>contabili dell'azienda</w:t>
      </w:r>
      <w:r w:rsidR="005D3933" w:rsidRPr="007F7EBF">
        <w:rPr>
          <w:sz w:val="22"/>
          <w:szCs w:val="22"/>
        </w:rPr>
        <w:t xml:space="preserve"> non hanno motivi per indag</w:t>
      </w:r>
      <w:r w:rsidR="00921B62" w:rsidRPr="007F7EBF">
        <w:rPr>
          <w:sz w:val="22"/>
          <w:szCs w:val="22"/>
        </w:rPr>
        <w:t xml:space="preserve">are </w:t>
      </w:r>
      <w:r w:rsidRPr="007F7EBF">
        <w:rPr>
          <w:sz w:val="22"/>
          <w:szCs w:val="22"/>
        </w:rPr>
        <w:t xml:space="preserve">a vantaggio del fisco, proprio per effetto della ripartizione </w:t>
      </w:r>
      <w:r w:rsidR="00921B62" w:rsidRPr="007F7EBF">
        <w:rPr>
          <w:sz w:val="22"/>
          <w:szCs w:val="22"/>
        </w:rPr>
        <w:t>"</w:t>
      </w:r>
      <w:proofErr w:type="spellStart"/>
      <w:r w:rsidR="00921B62" w:rsidRPr="007F7EBF">
        <w:rPr>
          <w:sz w:val="22"/>
          <w:szCs w:val="22"/>
        </w:rPr>
        <w:t>proceduralizzata</w:t>
      </w:r>
      <w:proofErr w:type="spellEnd"/>
      <w:r w:rsidR="00921B62" w:rsidRPr="007F7EBF">
        <w:rPr>
          <w:sz w:val="22"/>
          <w:szCs w:val="22"/>
        </w:rPr>
        <w:t xml:space="preserve">" </w:t>
      </w:r>
      <w:r w:rsidRPr="007F7EBF">
        <w:rPr>
          <w:sz w:val="22"/>
          <w:szCs w:val="22"/>
        </w:rPr>
        <w:t xml:space="preserve">dei compiti </w:t>
      </w:r>
      <w:r w:rsidR="00921B62" w:rsidRPr="007F7EBF">
        <w:rPr>
          <w:sz w:val="22"/>
          <w:szCs w:val="22"/>
        </w:rPr>
        <w:t xml:space="preserve">interni </w:t>
      </w:r>
      <w:r w:rsidRPr="007F7EBF">
        <w:rPr>
          <w:sz w:val="22"/>
          <w:szCs w:val="22"/>
        </w:rPr>
        <w:t>azienda</w:t>
      </w:r>
      <w:r w:rsidR="00921B62" w:rsidRPr="007F7EBF">
        <w:rPr>
          <w:sz w:val="22"/>
          <w:szCs w:val="22"/>
        </w:rPr>
        <w:t>li</w:t>
      </w:r>
      <w:r w:rsidR="00C26D4F">
        <w:rPr>
          <w:sz w:val="22"/>
          <w:szCs w:val="22"/>
        </w:rPr>
        <w:t xml:space="preserve"> </w:t>
      </w:r>
      <w:r w:rsidR="002258B3">
        <w:rPr>
          <w:sz w:val="22"/>
          <w:szCs w:val="22"/>
        </w:rPr>
        <w:t>(</w:t>
      </w:r>
      <w:r w:rsidR="00921B62" w:rsidRPr="007F7EBF">
        <w:rPr>
          <w:rStyle w:val="Rimandonotaapidipagina"/>
          <w:sz w:val="22"/>
          <w:szCs w:val="22"/>
        </w:rPr>
        <w:footnoteReference w:id="321"/>
      </w:r>
      <w:r w:rsidR="002258B3">
        <w:rPr>
          <w:sz w:val="22"/>
          <w:szCs w:val="22"/>
        </w:rPr>
        <w:t>)</w:t>
      </w:r>
      <w:r w:rsidR="00266296">
        <w:rPr>
          <w:sz w:val="22"/>
          <w:szCs w:val="22"/>
        </w:rPr>
        <w:t>;</w:t>
      </w:r>
      <w:r w:rsidR="00266296">
        <w:t xml:space="preserve"> i contabili, </w:t>
      </w:r>
      <w:r w:rsidR="00266296" w:rsidRPr="007F7EBF">
        <w:t xml:space="preserve">come </w:t>
      </w:r>
      <w:r w:rsidR="00266296" w:rsidRPr="007F7EBF">
        <w:lastRenderedPageBreak/>
        <w:t>tutte le burocrazie,</w:t>
      </w:r>
      <w:r w:rsidR="00266296">
        <w:t xml:space="preserve"> </w:t>
      </w:r>
      <w:r w:rsidR="00266296" w:rsidRPr="007F7EBF">
        <w:t>vogliono solo gesti</w:t>
      </w:r>
      <w:r w:rsidR="00266296">
        <w:t xml:space="preserve">re la routine </w:t>
      </w:r>
      <w:r w:rsidR="00266296" w:rsidRPr="007F7EBF">
        <w:t xml:space="preserve">senza fastidi, </w:t>
      </w:r>
      <w:r w:rsidR="00266296">
        <w:t xml:space="preserve">rimuovendo l’ipotesi di </w:t>
      </w:r>
      <w:r w:rsidR="00266296" w:rsidRPr="007F7EBF">
        <w:t xml:space="preserve">evasioni </w:t>
      </w:r>
      <w:r w:rsidR="00266296">
        <w:t>de</w:t>
      </w:r>
      <w:r w:rsidR="00266296" w:rsidRPr="007F7EBF">
        <w:t xml:space="preserve">l titolare, </w:t>
      </w:r>
      <w:r w:rsidR="00266296">
        <w:t xml:space="preserve">senza fare i </w:t>
      </w:r>
      <w:r w:rsidR="00266296" w:rsidRPr="00DA2DAF">
        <w:rPr>
          <w:i/>
        </w:rPr>
        <w:t>detective</w:t>
      </w:r>
      <w:r w:rsidR="00266296">
        <w:t xml:space="preserve"> per conto del fisco</w:t>
      </w:r>
      <w:r w:rsidR="00266296" w:rsidRPr="007F7EBF">
        <w:rPr>
          <w:sz w:val="22"/>
          <w:szCs w:val="22"/>
        </w:rPr>
        <w:t xml:space="preserve">. </w:t>
      </w:r>
      <w:r w:rsidR="00266296">
        <w:rPr>
          <w:sz w:val="22"/>
          <w:szCs w:val="22"/>
        </w:rPr>
        <w:t xml:space="preserve">Salvi casi macroscopici, non si </w:t>
      </w:r>
      <w:r w:rsidR="005D3933" w:rsidRPr="007F7EBF">
        <w:rPr>
          <w:sz w:val="22"/>
          <w:szCs w:val="22"/>
        </w:rPr>
        <w:t>entra nel merito della congruità del prezzo, rispetto a</w:t>
      </w:r>
      <w:r w:rsidR="00375F61" w:rsidRPr="007F7EBF">
        <w:rPr>
          <w:sz w:val="22"/>
          <w:szCs w:val="22"/>
        </w:rPr>
        <w:t xml:space="preserve"> </w:t>
      </w:r>
      <w:r w:rsidR="005D3933" w:rsidRPr="007F7EBF">
        <w:rPr>
          <w:sz w:val="22"/>
          <w:szCs w:val="22"/>
        </w:rPr>
        <w:t>quanto si sarebbe potuto ottenere presso altr</w:t>
      </w:r>
      <w:r w:rsidR="00F36894">
        <w:rPr>
          <w:sz w:val="22"/>
          <w:szCs w:val="22"/>
        </w:rPr>
        <w:t>e controparti</w:t>
      </w:r>
      <w:r w:rsidR="008321ED" w:rsidRPr="007F7EBF">
        <w:rPr>
          <w:sz w:val="22"/>
          <w:szCs w:val="22"/>
        </w:rPr>
        <w:t xml:space="preserve">; è sufficiente </w:t>
      </w:r>
      <w:r w:rsidR="00085BCC" w:rsidRPr="007F7EBF">
        <w:rPr>
          <w:sz w:val="22"/>
          <w:szCs w:val="22"/>
        </w:rPr>
        <w:t xml:space="preserve">la verosimiglianza del costo, e l’avallo del titolare, per mettere in pagamento la relativa fattura, </w:t>
      </w:r>
      <w:r w:rsidR="00085BCC" w:rsidRPr="007F7EBF">
        <w:rPr>
          <w:bCs/>
          <w:sz w:val="22"/>
          <w:szCs w:val="22"/>
        </w:rPr>
        <w:t xml:space="preserve">senza </w:t>
      </w:r>
      <w:r w:rsidR="008321ED" w:rsidRPr="007F7EBF">
        <w:rPr>
          <w:bCs/>
          <w:sz w:val="22"/>
          <w:szCs w:val="22"/>
        </w:rPr>
        <w:t xml:space="preserve">neppure volersi fare domande sulla sua </w:t>
      </w:r>
      <w:r w:rsidR="00085BCC" w:rsidRPr="007F7EBF">
        <w:rPr>
          <w:sz w:val="22"/>
          <w:szCs w:val="22"/>
        </w:rPr>
        <w:t xml:space="preserve">totale o parziale </w:t>
      </w:r>
      <w:proofErr w:type="spellStart"/>
      <w:r w:rsidR="00085BCC" w:rsidRPr="007F7EBF">
        <w:rPr>
          <w:sz w:val="22"/>
          <w:szCs w:val="22"/>
        </w:rPr>
        <w:t>fittizietà</w:t>
      </w:r>
      <w:proofErr w:type="spellEnd"/>
      <w:r w:rsidR="00266296">
        <w:rPr>
          <w:sz w:val="22"/>
          <w:szCs w:val="22"/>
        </w:rPr>
        <w:t xml:space="preserve"> </w:t>
      </w:r>
      <w:r w:rsidR="00266296" w:rsidRPr="007F7EBF">
        <w:t>L’unica perplessità del funzionario amministrativo riguarda le anomalie talmente evidenti da far pensare che lui “non poteva non sapere”, col sospetto che abbia quindi partecipato</w:t>
      </w:r>
      <w:r w:rsidR="00266296">
        <w:t>,</w:t>
      </w:r>
      <w:r w:rsidR="00266296" w:rsidRPr="007F7EBF">
        <w:t xml:space="preserve"> come complice</w:t>
      </w:r>
      <w:r w:rsidR="00266296">
        <w:t>,</w:t>
      </w:r>
      <w:r w:rsidR="00266296" w:rsidRPr="007F7EBF">
        <w:t xml:space="preserve"> alla spartizione dei frutti dell’evasione.</w:t>
      </w:r>
      <w:r w:rsidR="008321ED" w:rsidRPr="007F7EBF">
        <w:rPr>
          <w:sz w:val="22"/>
          <w:szCs w:val="22"/>
        </w:rPr>
        <w:t xml:space="preserve"> (</w:t>
      </w:r>
      <w:r w:rsidR="008321ED" w:rsidRPr="007F7EBF">
        <w:rPr>
          <w:rStyle w:val="Rimandonotaapidipagina"/>
          <w:sz w:val="22"/>
          <w:szCs w:val="22"/>
        </w:rPr>
        <w:footnoteReference w:id="322"/>
      </w:r>
      <w:r w:rsidR="008321ED" w:rsidRPr="007F7EBF">
        <w:rPr>
          <w:sz w:val="22"/>
          <w:szCs w:val="22"/>
        </w:rPr>
        <w:t>)</w:t>
      </w:r>
      <w:r w:rsidR="00085BCC" w:rsidRPr="007F7EBF">
        <w:rPr>
          <w:sz w:val="22"/>
          <w:szCs w:val="22"/>
        </w:rPr>
        <w:t xml:space="preserve">. </w:t>
      </w:r>
    </w:p>
    <w:p w14:paraId="7B52F053" w14:textId="7809477E" w:rsidR="00736FD0" w:rsidRPr="007F7EBF" w:rsidRDefault="00736FD0" w:rsidP="00736FD0">
      <w:pPr>
        <w:pStyle w:val="tit23"/>
        <w:ind w:left="6464" w:right="-1361" w:firstLine="0"/>
        <w:jc w:val="left"/>
        <w:rPr>
          <w:bCs/>
          <w:i/>
          <w:iCs/>
          <w:color w:val="0000FF"/>
          <w:lang w:val="it-IT"/>
        </w:rPr>
      </w:pPr>
      <w:r>
        <w:rPr>
          <w:bCs/>
          <w:i/>
          <w:iCs/>
          <w:color w:val="0000FF"/>
          <w:lang w:val="it-IT"/>
        </w:rPr>
        <w:t xml:space="preserve">Rischi </w:t>
      </w:r>
      <w:r w:rsidR="00DA2DAF">
        <w:rPr>
          <w:bCs/>
          <w:i/>
          <w:iCs/>
          <w:color w:val="0000FF"/>
          <w:lang w:val="it-IT"/>
        </w:rPr>
        <w:t xml:space="preserve">e difficoltà </w:t>
      </w:r>
      <w:r>
        <w:rPr>
          <w:bCs/>
          <w:i/>
          <w:iCs/>
          <w:color w:val="0000FF"/>
          <w:lang w:val="it-IT"/>
        </w:rPr>
        <w:t>di individuazione</w:t>
      </w:r>
    </w:p>
    <w:p w14:paraId="25A0D422" w14:textId="113642AD" w:rsidR="00F416D7" w:rsidRPr="007F7EBF" w:rsidRDefault="00F416D7" w:rsidP="00F416D7">
      <w:pPr>
        <w:pStyle w:val="tit23"/>
        <w:ind w:left="6464" w:right="-1361" w:firstLine="0"/>
        <w:jc w:val="left"/>
        <w:rPr>
          <w:b/>
          <w:bCs/>
          <w:i/>
          <w:iCs/>
          <w:color w:val="0000FF"/>
          <w:lang w:val="it-IT"/>
        </w:rPr>
      </w:pPr>
      <w:r w:rsidRPr="007F7EBF">
        <w:rPr>
          <w:b/>
          <w:bCs/>
          <w:i/>
          <w:iCs/>
          <w:color w:val="0000FF"/>
          <w:lang w:val="it-IT"/>
        </w:rPr>
        <w:t xml:space="preserve"> </w:t>
      </w:r>
    </w:p>
    <w:p w14:paraId="4268EBD1" w14:textId="77777777" w:rsidR="00DA2DAF" w:rsidRPr="007F7EBF" w:rsidRDefault="00DA2DAF" w:rsidP="00DA2DAF">
      <w:pPr>
        <w:autoSpaceDE w:val="0"/>
        <w:autoSpaceDN w:val="0"/>
        <w:adjustRightInd w:val="0"/>
        <w:rPr>
          <w:sz w:val="22"/>
          <w:szCs w:val="22"/>
        </w:rPr>
      </w:pPr>
      <w:r w:rsidRPr="007F7EBF">
        <w:rPr>
          <w:sz w:val="22"/>
          <w:szCs w:val="22"/>
        </w:rPr>
        <w:t xml:space="preserve">Pur </w:t>
      </w:r>
      <w:r>
        <w:rPr>
          <w:sz w:val="22"/>
          <w:szCs w:val="22"/>
        </w:rPr>
        <w:t xml:space="preserve">interferendo meno dell’occultamento dei ricavi con la gestione aziendale ed il controllo interno, </w:t>
      </w:r>
      <w:r w:rsidRPr="007F7EBF">
        <w:rPr>
          <w:sz w:val="22"/>
          <w:szCs w:val="22"/>
        </w:rPr>
        <w:t xml:space="preserve"> </w:t>
      </w:r>
      <w:r>
        <w:rPr>
          <w:sz w:val="22"/>
          <w:szCs w:val="22"/>
        </w:rPr>
        <w:t xml:space="preserve">questi comportamenti evasivi sono più esposti a possibili controlli tributari proprio per questa loro presenza all’interno del sistema di documentazione contabile. </w:t>
      </w:r>
      <w:r w:rsidRPr="007F7EBF">
        <w:rPr>
          <w:sz w:val="22"/>
          <w:szCs w:val="22"/>
        </w:rPr>
        <w:t xml:space="preserve"> </w:t>
      </w:r>
    </w:p>
    <w:p w14:paraId="04210960" w14:textId="47411DDC" w:rsidR="00C26D4F" w:rsidRPr="007F7EBF" w:rsidRDefault="00DA2DAF" w:rsidP="00C9345F">
      <w:pPr>
        <w:rPr>
          <w:bCs/>
          <w:i/>
          <w:iCs/>
          <w:color w:val="0000FF"/>
        </w:rPr>
      </w:pPr>
      <w:r>
        <w:rPr>
          <w:sz w:val="22"/>
          <w:szCs w:val="22"/>
        </w:rPr>
        <w:t>Tuttavia p</w:t>
      </w:r>
      <w:r w:rsidR="003D0CD2">
        <w:rPr>
          <w:sz w:val="22"/>
          <w:szCs w:val="22"/>
        </w:rPr>
        <w:t xml:space="preserve">er gli uffici tributari, come vedremo al cap.5, </w:t>
      </w:r>
      <w:r w:rsidR="001B45F2" w:rsidRPr="007F7EBF">
        <w:rPr>
          <w:sz w:val="22"/>
          <w:szCs w:val="22"/>
        </w:rPr>
        <w:t xml:space="preserve"> scoprire queste </w:t>
      </w:r>
      <w:r w:rsidR="00F416D7" w:rsidRPr="007F7EBF">
        <w:rPr>
          <w:sz w:val="22"/>
          <w:szCs w:val="22"/>
        </w:rPr>
        <w:t xml:space="preserve">evasioni </w:t>
      </w:r>
      <w:r w:rsidR="00D14DD4" w:rsidRPr="007F7EBF">
        <w:rPr>
          <w:sz w:val="22"/>
          <w:szCs w:val="22"/>
        </w:rPr>
        <w:t>non è fa</w:t>
      </w:r>
      <w:r w:rsidR="001B45F2" w:rsidRPr="007F7EBF">
        <w:rPr>
          <w:sz w:val="22"/>
          <w:szCs w:val="22"/>
        </w:rPr>
        <w:t>cile</w:t>
      </w:r>
      <w:r w:rsidR="003D0CD2">
        <w:rPr>
          <w:sz w:val="22"/>
          <w:szCs w:val="22"/>
        </w:rPr>
        <w:t xml:space="preserve"> ed è accaduto soprattutto</w:t>
      </w:r>
      <w:r w:rsidR="00F416D7" w:rsidRPr="007F7EBF">
        <w:rPr>
          <w:sz w:val="22"/>
          <w:szCs w:val="22"/>
        </w:rPr>
        <w:t xml:space="preserve"> </w:t>
      </w:r>
      <w:r w:rsidR="00F416D7" w:rsidRPr="007F7EBF">
        <w:rPr>
          <w:bCs/>
          <w:sz w:val="22"/>
          <w:szCs w:val="22"/>
        </w:rPr>
        <w:t xml:space="preserve">per </w:t>
      </w:r>
      <w:r w:rsidR="00F416D7" w:rsidRPr="007F7EBF">
        <w:rPr>
          <w:sz w:val="22"/>
          <w:szCs w:val="22"/>
        </w:rPr>
        <w:t xml:space="preserve">liti familiari o societarie, fallimenti, corruzioni o indagini penali di altro tipo, </w:t>
      </w:r>
      <w:proofErr w:type="spellStart"/>
      <w:r w:rsidR="00F416D7" w:rsidRPr="007F7EBF">
        <w:rPr>
          <w:sz w:val="22"/>
          <w:szCs w:val="22"/>
        </w:rPr>
        <w:t>etc</w:t>
      </w:r>
      <w:proofErr w:type="spellEnd"/>
      <w:r w:rsidR="00C9345F">
        <w:rPr>
          <w:sz w:val="22"/>
          <w:szCs w:val="22"/>
        </w:rPr>
        <w:t xml:space="preserve"> (</w:t>
      </w:r>
      <w:r w:rsidR="00C9345F" w:rsidRPr="007F7EBF">
        <w:rPr>
          <w:rStyle w:val="Rimandonotaapidipagina"/>
          <w:sz w:val="22"/>
          <w:szCs w:val="22"/>
        </w:rPr>
        <w:footnoteReference w:id="323"/>
      </w:r>
      <w:r w:rsidR="00C9345F">
        <w:rPr>
          <w:sz w:val="22"/>
          <w:szCs w:val="22"/>
        </w:rPr>
        <w:t>)</w:t>
      </w:r>
      <w:r w:rsidR="00B5369D" w:rsidRPr="007F7EBF">
        <w:rPr>
          <w:sz w:val="22"/>
          <w:szCs w:val="22"/>
        </w:rPr>
        <w:t xml:space="preserve"> </w:t>
      </w:r>
      <w:r w:rsidR="00F36894">
        <w:rPr>
          <w:sz w:val="22"/>
          <w:szCs w:val="22"/>
        </w:rPr>
        <w:t xml:space="preserve">. </w:t>
      </w:r>
      <w:r>
        <w:rPr>
          <w:sz w:val="22"/>
          <w:szCs w:val="22"/>
        </w:rPr>
        <w:t>A parte queste frizioni nella proprietà aziendale,</w:t>
      </w:r>
      <w:r w:rsidR="00266296">
        <w:rPr>
          <w:sz w:val="22"/>
          <w:szCs w:val="22"/>
        </w:rPr>
        <w:t xml:space="preserve"> ripetiamo che</w:t>
      </w:r>
      <w:r>
        <w:rPr>
          <w:sz w:val="22"/>
          <w:szCs w:val="22"/>
        </w:rPr>
        <w:t xml:space="preserve"> gli </w:t>
      </w:r>
      <w:r w:rsidR="00F36894">
        <w:t xml:space="preserve">uffici </w:t>
      </w:r>
      <w:r w:rsidR="00C9345F">
        <w:lastRenderedPageBreak/>
        <w:t xml:space="preserve">contabili </w:t>
      </w:r>
      <w:r>
        <w:t xml:space="preserve">hanno motivo di intromettersi, né di approfondire operazioni </w:t>
      </w:r>
      <w:r w:rsidR="00F36894">
        <w:t>orchestrate “sopra di loro”, dalla proprietà aziendale</w:t>
      </w:r>
      <w:r w:rsidR="00266296">
        <w:t xml:space="preserve">. </w:t>
      </w:r>
      <w:r w:rsidR="00F416D7" w:rsidRPr="007F7EBF">
        <w:rPr>
          <w:sz w:val="22"/>
          <w:szCs w:val="22"/>
        </w:rPr>
        <w:t xml:space="preserve"> </w:t>
      </w:r>
    </w:p>
    <w:p w14:paraId="5168A1C3" w14:textId="2F9027AC" w:rsidR="00C26D4F" w:rsidRPr="007F7EBF" w:rsidRDefault="00760C89" w:rsidP="00C26D4F">
      <w:pPr>
        <w:pStyle w:val="tit23"/>
        <w:ind w:left="6464" w:right="-1361" w:firstLine="0"/>
        <w:jc w:val="left"/>
        <w:rPr>
          <w:bCs/>
          <w:i/>
          <w:iCs/>
          <w:color w:val="0000FF"/>
          <w:lang w:val="it-IT"/>
        </w:rPr>
      </w:pPr>
      <w:r>
        <w:rPr>
          <w:bCs/>
          <w:i/>
          <w:iCs/>
          <w:color w:val="0000FF"/>
          <w:lang w:val="it-IT"/>
        </w:rPr>
        <w:t xml:space="preserve">Ipotesi sulle dimensioni di quest’evasione </w:t>
      </w:r>
    </w:p>
    <w:p w14:paraId="2293EAEA" w14:textId="77777777" w:rsidR="00760C89" w:rsidRPr="007F7EBF" w:rsidRDefault="00760C89" w:rsidP="00760C89">
      <w:pPr>
        <w:autoSpaceDE w:val="0"/>
        <w:autoSpaceDN w:val="0"/>
        <w:adjustRightInd w:val="0"/>
        <w:rPr>
          <w:sz w:val="22"/>
          <w:szCs w:val="22"/>
        </w:rPr>
      </w:pPr>
      <w:r>
        <w:rPr>
          <w:sz w:val="22"/>
          <w:szCs w:val="22"/>
        </w:rPr>
        <w:t>E’ difficile fare congetture sulla diffusione di q</w:t>
      </w:r>
      <w:r w:rsidRPr="007F7EBF">
        <w:rPr>
          <w:sz w:val="22"/>
          <w:szCs w:val="22"/>
        </w:rPr>
        <w:t>ueste manipolazioni</w:t>
      </w:r>
      <w:r>
        <w:rPr>
          <w:sz w:val="22"/>
          <w:szCs w:val="22"/>
        </w:rPr>
        <w:t xml:space="preserve">, ma a mio avviso decrescono, anche nel capitalismo familiare di cui al par.3.1, all’aumentare delle dimensioni aziendali. Ciò smentisce ulteriormente il mito dei “grandi evasori”, per due ragioni del tutto </w:t>
      </w:r>
      <w:proofErr w:type="spellStart"/>
      <w:r>
        <w:rPr>
          <w:sz w:val="22"/>
          <w:szCs w:val="22"/>
        </w:rPr>
        <w:t>estranne</w:t>
      </w:r>
      <w:proofErr w:type="spellEnd"/>
      <w:r>
        <w:rPr>
          <w:sz w:val="22"/>
          <w:szCs w:val="22"/>
        </w:rPr>
        <w:t xml:space="preserve"> a onestà, disonestà e “senso civico”. Da una parte nelle aziende pluripersonali scavalcare le procedure aziendali è sempre visto negativamente, perché comporta sospetti e forte assunzione di responsabilità individuale. L’altro motivo è che in ge</w:t>
      </w:r>
      <w:r w:rsidRPr="007F7EBF">
        <w:rPr>
          <w:sz w:val="22"/>
          <w:szCs w:val="22"/>
        </w:rPr>
        <w:t xml:space="preserve">nere gli eredi del capitalismo familiare sono quantomeno benestanti, </w:t>
      </w:r>
      <w:r>
        <w:rPr>
          <w:sz w:val="22"/>
          <w:szCs w:val="22"/>
        </w:rPr>
        <w:t>anche grazie alle evasioni del loro padri e nonni, ormai remote e non più accertabili; quindi essi</w:t>
      </w:r>
      <w:r w:rsidRPr="007F7EBF">
        <w:rPr>
          <w:sz w:val="22"/>
          <w:szCs w:val="22"/>
        </w:rPr>
        <w:t xml:space="preserve"> possono agevolmente mantenere un facoltoso tenore di vita senza nascondere </w:t>
      </w:r>
      <w:r>
        <w:rPr>
          <w:sz w:val="22"/>
          <w:szCs w:val="22"/>
        </w:rPr>
        <w:t>basi imponibili (</w:t>
      </w:r>
      <w:r w:rsidRPr="007F7EBF">
        <w:rPr>
          <w:rStyle w:val="Rimandonotaapidipagina"/>
          <w:sz w:val="22"/>
          <w:szCs w:val="22"/>
        </w:rPr>
        <w:footnoteReference w:id="324"/>
      </w:r>
      <w:r>
        <w:rPr>
          <w:sz w:val="22"/>
          <w:szCs w:val="22"/>
        </w:rPr>
        <w:t>)</w:t>
      </w:r>
      <w:r w:rsidRPr="007F7EBF">
        <w:rPr>
          <w:sz w:val="22"/>
          <w:szCs w:val="22"/>
        </w:rPr>
        <w:t>.  L'evasione diventa insomma</w:t>
      </w:r>
      <w:r>
        <w:rPr>
          <w:sz w:val="22"/>
          <w:szCs w:val="22"/>
        </w:rPr>
        <w:t xml:space="preserve"> secondaria </w:t>
      </w:r>
      <w:r w:rsidRPr="007F7EBF">
        <w:rPr>
          <w:sz w:val="22"/>
          <w:szCs w:val="22"/>
        </w:rPr>
        <w:t>non per un maggior senso civico dei ricchi</w:t>
      </w:r>
      <w:r>
        <w:rPr>
          <w:sz w:val="22"/>
          <w:szCs w:val="22"/>
        </w:rPr>
        <w:t xml:space="preserve"> (</w:t>
      </w:r>
      <w:r w:rsidRPr="007F7EBF">
        <w:rPr>
          <w:rStyle w:val="Rimandonotaapidipagina"/>
          <w:sz w:val="22"/>
          <w:szCs w:val="22"/>
        </w:rPr>
        <w:footnoteReference w:id="325"/>
      </w:r>
      <w:r>
        <w:rPr>
          <w:sz w:val="22"/>
          <w:szCs w:val="22"/>
        </w:rPr>
        <w:t>)</w:t>
      </w:r>
      <w:r w:rsidRPr="007F7EBF">
        <w:rPr>
          <w:sz w:val="22"/>
          <w:szCs w:val="22"/>
        </w:rPr>
        <w:t>, ma per l’utilità marginale decrescente del denaro in capo a chi riesce a  soddisfare adeguatamente le necessità personali senza nascondere nulla al fisco</w:t>
      </w:r>
      <w:r>
        <w:rPr>
          <w:sz w:val="22"/>
          <w:szCs w:val="22"/>
        </w:rPr>
        <w:t>.</w:t>
      </w:r>
    </w:p>
    <w:p w14:paraId="3612A842" w14:textId="7CD1F0F2" w:rsidR="00C26D4F" w:rsidRPr="007F7EBF" w:rsidRDefault="008F6A43" w:rsidP="00C26D4F">
      <w:pPr>
        <w:autoSpaceDE w:val="0"/>
        <w:autoSpaceDN w:val="0"/>
        <w:adjustRightInd w:val="0"/>
        <w:rPr>
          <w:sz w:val="22"/>
          <w:szCs w:val="22"/>
        </w:rPr>
      </w:pPr>
      <w:r>
        <w:rPr>
          <w:sz w:val="22"/>
          <w:szCs w:val="22"/>
        </w:rPr>
        <w:t xml:space="preserve">La posizione dei </w:t>
      </w:r>
      <w:r w:rsidR="00C26D4F" w:rsidRPr="007F7EBF">
        <w:rPr>
          <w:bCs/>
          <w:sz w:val="22"/>
          <w:szCs w:val="22"/>
        </w:rPr>
        <w:t>titolar</w:t>
      </w:r>
      <w:r>
        <w:rPr>
          <w:bCs/>
          <w:sz w:val="22"/>
          <w:szCs w:val="22"/>
        </w:rPr>
        <w:t>i</w:t>
      </w:r>
      <w:r w:rsidR="00C26D4F" w:rsidRPr="007F7EBF">
        <w:rPr>
          <w:bCs/>
          <w:sz w:val="22"/>
          <w:szCs w:val="22"/>
        </w:rPr>
        <w:t xml:space="preserve"> di organizzazioni pluripersonali </w:t>
      </w:r>
      <w:r>
        <w:rPr>
          <w:bCs/>
          <w:sz w:val="22"/>
          <w:szCs w:val="22"/>
        </w:rPr>
        <w:t xml:space="preserve">è più credibile anche perché essi </w:t>
      </w:r>
      <w:r w:rsidR="00C26D4F" w:rsidRPr="007F7EBF">
        <w:rPr>
          <w:sz w:val="22"/>
          <w:szCs w:val="22"/>
        </w:rPr>
        <w:t>non viv</w:t>
      </w:r>
      <w:r>
        <w:rPr>
          <w:sz w:val="22"/>
          <w:szCs w:val="22"/>
        </w:rPr>
        <w:t>ono</w:t>
      </w:r>
      <w:r w:rsidR="00C26D4F" w:rsidRPr="007F7EBF">
        <w:rPr>
          <w:sz w:val="22"/>
          <w:szCs w:val="22"/>
        </w:rPr>
        <w:t xml:space="preserve"> dei proventi dell'attività,  non svol</w:t>
      </w:r>
      <w:r>
        <w:rPr>
          <w:sz w:val="22"/>
          <w:szCs w:val="22"/>
        </w:rPr>
        <w:t>gono</w:t>
      </w:r>
      <w:r w:rsidR="00C26D4F" w:rsidRPr="007F7EBF">
        <w:rPr>
          <w:sz w:val="22"/>
          <w:szCs w:val="22"/>
        </w:rPr>
        <w:t xml:space="preserve"> </w:t>
      </w:r>
      <w:r>
        <w:rPr>
          <w:sz w:val="22"/>
          <w:szCs w:val="22"/>
        </w:rPr>
        <w:t xml:space="preserve">di </w:t>
      </w:r>
      <w:r w:rsidR="00C26D4F" w:rsidRPr="007F7EBF">
        <w:rPr>
          <w:sz w:val="22"/>
          <w:szCs w:val="22"/>
        </w:rPr>
        <w:t>persona</w:t>
      </w:r>
      <w:r>
        <w:rPr>
          <w:sz w:val="22"/>
          <w:szCs w:val="22"/>
        </w:rPr>
        <w:t xml:space="preserve"> un faticoso</w:t>
      </w:r>
      <w:r w:rsidR="00C26D4F" w:rsidRPr="007F7EBF">
        <w:rPr>
          <w:sz w:val="22"/>
          <w:szCs w:val="22"/>
        </w:rPr>
        <w:t xml:space="preserve"> lavoro materiale, demandato  </w:t>
      </w:r>
      <w:r>
        <w:rPr>
          <w:sz w:val="22"/>
          <w:szCs w:val="22"/>
        </w:rPr>
        <w:t xml:space="preserve">invece ai dipendenti; il titolare </w:t>
      </w:r>
      <w:r w:rsidR="00C26D4F" w:rsidRPr="007F7EBF">
        <w:rPr>
          <w:sz w:val="22"/>
          <w:szCs w:val="22"/>
        </w:rPr>
        <w:t>si dedica all’azienda per salvaguardarne l'avviamento</w:t>
      </w:r>
      <w:r>
        <w:rPr>
          <w:sz w:val="22"/>
          <w:szCs w:val="22"/>
        </w:rPr>
        <w:t xml:space="preserve">, che </w:t>
      </w:r>
      <w:r w:rsidR="00C26D4F" w:rsidRPr="007F7EBF">
        <w:rPr>
          <w:sz w:val="22"/>
          <w:szCs w:val="22"/>
        </w:rPr>
        <w:t>crea comunque un qualche valore aggiunto</w:t>
      </w:r>
      <w:r w:rsidR="00C26D4F" w:rsidRPr="007F7EBF">
        <w:rPr>
          <w:rStyle w:val="Rimandonotaapidipagina"/>
          <w:sz w:val="22"/>
          <w:szCs w:val="22"/>
        </w:rPr>
        <w:footnoteReference w:id="326"/>
      </w:r>
      <w:r w:rsidR="00C26D4F" w:rsidRPr="007F7EBF">
        <w:rPr>
          <w:sz w:val="22"/>
          <w:szCs w:val="22"/>
        </w:rPr>
        <w:t xml:space="preserve">, per i dipendenti e i </w:t>
      </w:r>
      <w:r w:rsidR="00C26D4F" w:rsidRPr="007F7EBF">
        <w:rPr>
          <w:sz w:val="22"/>
          <w:szCs w:val="22"/>
        </w:rPr>
        <w:lastRenderedPageBreak/>
        <w:t>finanziatori, anche quando è in perdita</w:t>
      </w:r>
      <w:r w:rsidR="00C26D4F" w:rsidRPr="007F7EBF">
        <w:rPr>
          <w:rStyle w:val="Rimandonotaapidipagina"/>
          <w:sz w:val="22"/>
          <w:szCs w:val="22"/>
        </w:rPr>
        <w:footnoteReference w:id="327"/>
      </w:r>
      <w:r w:rsidR="00C26D4F" w:rsidRPr="007F7EBF">
        <w:rPr>
          <w:sz w:val="22"/>
          <w:szCs w:val="22"/>
        </w:rPr>
        <w:t xml:space="preserve">; </w:t>
      </w:r>
      <w:r>
        <w:rPr>
          <w:sz w:val="22"/>
          <w:szCs w:val="22"/>
        </w:rPr>
        <w:t>anche in questo caso l’azienda è credibile in quanto creatrice di valore aggiunto e titolare di quot</w:t>
      </w:r>
      <w:r w:rsidR="00C26D4F" w:rsidRPr="007F7EBF">
        <w:rPr>
          <w:sz w:val="22"/>
          <w:szCs w:val="22"/>
        </w:rPr>
        <w:t>e di mercato</w:t>
      </w:r>
      <w:r>
        <w:rPr>
          <w:sz w:val="22"/>
          <w:szCs w:val="22"/>
        </w:rPr>
        <w:t xml:space="preserve">, con </w:t>
      </w:r>
      <w:r w:rsidR="00C26D4F" w:rsidRPr="007F7EBF">
        <w:rPr>
          <w:sz w:val="22"/>
          <w:szCs w:val="22"/>
        </w:rPr>
        <w:t>possibilità di cederla proficuamente a terzi</w:t>
      </w:r>
      <w:r w:rsidR="00C26D4F" w:rsidRPr="007F7EBF">
        <w:rPr>
          <w:rStyle w:val="Rimandonotaapidipagina"/>
          <w:sz w:val="22"/>
          <w:szCs w:val="22"/>
        </w:rPr>
        <w:footnoteReference w:id="328"/>
      </w:r>
      <w:r w:rsidR="00C26D4F" w:rsidRPr="007F7EBF">
        <w:rPr>
          <w:sz w:val="22"/>
          <w:szCs w:val="22"/>
        </w:rPr>
        <w:t xml:space="preserve"> ; </w:t>
      </w:r>
      <w:r>
        <w:rPr>
          <w:sz w:val="22"/>
          <w:szCs w:val="22"/>
        </w:rPr>
        <w:t>questo la rende molto più credibile di un piccolo commerciante o di un artigiano in perdita, ch</w:t>
      </w:r>
      <w:r w:rsidR="00C26D4F" w:rsidRPr="007F7EBF">
        <w:rPr>
          <w:sz w:val="22"/>
          <w:szCs w:val="22"/>
        </w:rPr>
        <w:t>e non avrebbe di che sopravvivere e non avrebbe motivo d</w:t>
      </w:r>
      <w:r>
        <w:rPr>
          <w:sz w:val="22"/>
          <w:szCs w:val="22"/>
        </w:rPr>
        <w:t xml:space="preserve">i </w:t>
      </w:r>
      <w:r w:rsidR="00C26D4F" w:rsidRPr="007F7EBF">
        <w:rPr>
          <w:sz w:val="22"/>
          <w:szCs w:val="22"/>
        </w:rPr>
        <w:t xml:space="preserve"> </w:t>
      </w:r>
      <w:r>
        <w:rPr>
          <w:sz w:val="22"/>
          <w:szCs w:val="22"/>
        </w:rPr>
        <w:t>dedicarvisi (</w:t>
      </w:r>
      <w:r w:rsidR="00C26D4F" w:rsidRPr="007F7EBF">
        <w:rPr>
          <w:rStyle w:val="Rimandonotaapidipagina"/>
          <w:sz w:val="22"/>
          <w:szCs w:val="22"/>
        </w:rPr>
        <w:footnoteReference w:id="329"/>
      </w:r>
      <w:r>
        <w:rPr>
          <w:sz w:val="22"/>
          <w:szCs w:val="22"/>
        </w:rPr>
        <w:t>)</w:t>
      </w:r>
      <w:r w:rsidR="00C26D4F" w:rsidRPr="007F7EBF">
        <w:rPr>
          <w:sz w:val="22"/>
          <w:szCs w:val="22"/>
        </w:rPr>
        <w:t xml:space="preserve">. </w:t>
      </w:r>
    </w:p>
    <w:p w14:paraId="25F6F4FE" w14:textId="6F51040B" w:rsidR="002D048D" w:rsidRPr="007F7EBF" w:rsidRDefault="002D048D" w:rsidP="006342C5">
      <w:pPr>
        <w:autoSpaceDE w:val="0"/>
        <w:autoSpaceDN w:val="0"/>
        <w:adjustRightInd w:val="0"/>
        <w:rPr>
          <w:b/>
          <w:bCs/>
          <w:sz w:val="22"/>
          <w:szCs w:val="22"/>
          <w:highlight w:val="yellow"/>
        </w:rPr>
      </w:pPr>
    </w:p>
    <w:p w14:paraId="0E21898C" w14:textId="561EA918" w:rsidR="005A03BE" w:rsidRPr="00473D96" w:rsidRDefault="006342C5" w:rsidP="005A03BE">
      <w:pPr>
        <w:pStyle w:val="Titolo3"/>
        <w:rPr>
          <w:rFonts w:ascii="Times New Roman" w:hAnsi="Times New Roman"/>
          <w:sz w:val="22"/>
          <w:szCs w:val="22"/>
          <w:lang w:val="it-IT"/>
        </w:rPr>
      </w:pPr>
      <w:bookmarkStart w:id="38" w:name="_Toc63364955"/>
      <w:r w:rsidRPr="007F7EBF">
        <w:rPr>
          <w:rFonts w:ascii="Times New Roman" w:hAnsi="Times New Roman"/>
          <w:sz w:val="22"/>
          <w:szCs w:val="22"/>
        </w:rPr>
        <w:t xml:space="preserve">3.8. </w:t>
      </w:r>
      <w:r w:rsidR="001B334A">
        <w:rPr>
          <w:rFonts w:ascii="Times New Roman" w:hAnsi="Times New Roman"/>
          <w:sz w:val="22"/>
          <w:szCs w:val="22"/>
          <w:lang w:val="it-IT"/>
        </w:rPr>
        <w:t xml:space="preserve">I casi di </w:t>
      </w:r>
      <w:r w:rsidR="005F5CB0">
        <w:rPr>
          <w:rFonts w:ascii="Times New Roman" w:hAnsi="Times New Roman"/>
          <w:sz w:val="22"/>
          <w:szCs w:val="22"/>
          <w:lang w:val="it-IT"/>
        </w:rPr>
        <w:t>“</w:t>
      </w:r>
      <w:r w:rsidR="001B334A">
        <w:rPr>
          <w:rFonts w:ascii="Times New Roman" w:hAnsi="Times New Roman"/>
          <w:sz w:val="22"/>
          <w:szCs w:val="22"/>
          <w:lang w:val="it-IT"/>
        </w:rPr>
        <w:t>E</w:t>
      </w:r>
      <w:r w:rsidR="005F5CB0">
        <w:rPr>
          <w:rFonts w:ascii="Times New Roman" w:hAnsi="Times New Roman"/>
          <w:sz w:val="22"/>
          <w:szCs w:val="22"/>
          <w:lang w:val="it-IT"/>
        </w:rPr>
        <w:t>vasione aziendale”</w:t>
      </w:r>
      <w:r w:rsidR="001B334A">
        <w:rPr>
          <w:rFonts w:ascii="Times New Roman" w:hAnsi="Times New Roman"/>
          <w:sz w:val="22"/>
          <w:szCs w:val="22"/>
          <w:lang w:val="it-IT"/>
        </w:rPr>
        <w:t xml:space="preserve"> come “concorrenza sleale”</w:t>
      </w:r>
      <w:bookmarkEnd w:id="38"/>
    </w:p>
    <w:p w14:paraId="511002AB" w14:textId="77777777" w:rsidR="001B334A" w:rsidRPr="007F7EBF" w:rsidRDefault="001B334A" w:rsidP="001B334A">
      <w:pPr>
        <w:autoSpaceDE w:val="0"/>
        <w:autoSpaceDN w:val="0"/>
        <w:adjustRightInd w:val="0"/>
        <w:rPr>
          <w:sz w:val="22"/>
          <w:szCs w:val="22"/>
        </w:rPr>
      </w:pPr>
    </w:p>
    <w:p w14:paraId="6E4337B4" w14:textId="77777777" w:rsidR="001B334A" w:rsidRPr="007F7EBF" w:rsidRDefault="001B334A" w:rsidP="001B334A">
      <w:pPr>
        <w:pStyle w:val="tit23"/>
        <w:ind w:left="6464" w:right="-1361" w:firstLine="0"/>
        <w:jc w:val="left"/>
        <w:rPr>
          <w:b/>
          <w:bCs/>
          <w:i/>
          <w:iCs/>
          <w:color w:val="0000FF"/>
          <w:lang w:val="it-IT"/>
        </w:rPr>
      </w:pPr>
      <w:r w:rsidRPr="007F7EBF">
        <w:rPr>
          <w:b/>
          <w:bCs/>
          <w:i/>
          <w:iCs/>
          <w:color w:val="0000FF"/>
          <w:lang w:val="it-IT"/>
        </w:rPr>
        <w:t>Evasione dei redditi propri e tenore di vita</w:t>
      </w:r>
    </w:p>
    <w:p w14:paraId="23BCEF93" w14:textId="39F3E42D" w:rsidR="001B334A" w:rsidRPr="007F7EBF" w:rsidRDefault="001B334A" w:rsidP="001B334A">
      <w:pPr>
        <w:autoSpaceDE w:val="0"/>
        <w:autoSpaceDN w:val="0"/>
        <w:adjustRightInd w:val="0"/>
        <w:rPr>
          <w:sz w:val="22"/>
          <w:szCs w:val="22"/>
        </w:rPr>
      </w:pPr>
      <w:r w:rsidRPr="007F7EBF">
        <w:rPr>
          <w:bCs/>
          <w:sz w:val="22"/>
          <w:szCs w:val="22"/>
        </w:rPr>
        <w:t>L'evasione dei redditi propri</w:t>
      </w:r>
      <w:r>
        <w:rPr>
          <w:bCs/>
          <w:sz w:val="22"/>
          <w:szCs w:val="22"/>
        </w:rPr>
        <w:t xml:space="preserve">, indicata al paragrafo precedente e diffusa nel piccolo commercio e nell’artigianato etc., riguarda essenzialmente i redditi propri; essa riguarda attività economiche omogenee, incide sul tenore di vita degli interessati, senza ripercuotersi sui prezzi. Su questi presupposti, essa incide relativamente poco sulla concorrenza tra imprese </w:t>
      </w:r>
      <w:r w:rsidRPr="007F7EBF">
        <w:rPr>
          <w:sz w:val="22"/>
          <w:szCs w:val="22"/>
        </w:rPr>
        <w:t>(</w:t>
      </w:r>
      <w:r w:rsidRPr="007F7EBF">
        <w:rPr>
          <w:rStyle w:val="Rimandonotaapidipagina"/>
          <w:sz w:val="22"/>
          <w:szCs w:val="22"/>
        </w:rPr>
        <w:footnoteReference w:id="330"/>
      </w:r>
      <w:r w:rsidRPr="007F7EBF">
        <w:rPr>
          <w:sz w:val="22"/>
          <w:szCs w:val="22"/>
        </w:rPr>
        <w:t xml:space="preserve">). </w:t>
      </w:r>
      <w:r w:rsidR="0043724C">
        <w:rPr>
          <w:sz w:val="22"/>
          <w:szCs w:val="22"/>
        </w:rPr>
        <w:t xml:space="preserve">Si tratta della parte maggiore dell’evasione, considerandone le stime di cui al </w:t>
      </w:r>
      <w:r w:rsidRPr="007F7EBF">
        <w:rPr>
          <w:sz w:val="22"/>
          <w:szCs w:val="22"/>
        </w:rPr>
        <w:t>par.</w:t>
      </w:r>
      <w:r w:rsidR="0094415A">
        <w:rPr>
          <w:sz w:val="22"/>
          <w:szCs w:val="22"/>
        </w:rPr>
        <w:t>1</w:t>
      </w:r>
      <w:r w:rsidR="001F13C8">
        <w:rPr>
          <w:sz w:val="22"/>
          <w:szCs w:val="22"/>
        </w:rPr>
        <w:t>.6</w:t>
      </w:r>
      <w:r w:rsidRPr="007F7EBF">
        <w:rPr>
          <w:sz w:val="22"/>
          <w:szCs w:val="22"/>
        </w:rPr>
        <w:t xml:space="preserve"> sulla </w:t>
      </w:r>
      <w:r w:rsidR="0043724C">
        <w:rPr>
          <w:sz w:val="22"/>
          <w:szCs w:val="22"/>
        </w:rPr>
        <w:t xml:space="preserve">sua </w:t>
      </w:r>
      <w:r w:rsidRPr="007F7EBF">
        <w:rPr>
          <w:sz w:val="22"/>
          <w:szCs w:val="22"/>
        </w:rPr>
        <w:t>quantità e composizione</w:t>
      </w:r>
      <w:r w:rsidR="0043724C">
        <w:rPr>
          <w:sz w:val="22"/>
          <w:szCs w:val="22"/>
        </w:rPr>
        <w:t>; lo conferma l</w:t>
      </w:r>
      <w:r w:rsidRPr="007F7EBF">
        <w:rPr>
          <w:sz w:val="22"/>
          <w:szCs w:val="22"/>
        </w:rPr>
        <w:t>a sconfitta del piccolo commercio al dettaglio in sede fissa da parte della più rigida grande distribuzione, con</w:t>
      </w:r>
      <w:r w:rsidR="0043724C">
        <w:rPr>
          <w:sz w:val="22"/>
          <w:szCs w:val="22"/>
        </w:rPr>
        <w:t xml:space="preserve"> meno possibilità di evasione su larga scala</w:t>
      </w:r>
      <w:r>
        <w:rPr>
          <w:sz w:val="22"/>
          <w:szCs w:val="22"/>
        </w:rPr>
        <w:t xml:space="preserve"> (</w:t>
      </w:r>
      <w:r w:rsidRPr="007F7EBF">
        <w:rPr>
          <w:rStyle w:val="Rimandonotaapidipagina"/>
          <w:sz w:val="22"/>
          <w:szCs w:val="22"/>
        </w:rPr>
        <w:footnoteReference w:id="331"/>
      </w:r>
      <w:r>
        <w:rPr>
          <w:sz w:val="22"/>
          <w:szCs w:val="22"/>
        </w:rPr>
        <w:t>)</w:t>
      </w:r>
      <w:r w:rsidRPr="007F7EBF">
        <w:rPr>
          <w:sz w:val="22"/>
          <w:szCs w:val="22"/>
        </w:rPr>
        <w:t>.</w:t>
      </w:r>
    </w:p>
    <w:p w14:paraId="37A66819" w14:textId="236CF35B" w:rsidR="005A03BE" w:rsidRPr="007F7EBF" w:rsidRDefault="007228E0" w:rsidP="005A03BE">
      <w:pPr>
        <w:pStyle w:val="tit23"/>
        <w:ind w:left="6464" w:right="-1361" w:firstLine="0"/>
        <w:jc w:val="left"/>
        <w:rPr>
          <w:bCs/>
          <w:i/>
          <w:iCs/>
          <w:color w:val="0000FF"/>
          <w:lang w:val="it-IT"/>
        </w:rPr>
      </w:pPr>
      <w:r w:rsidRPr="007F7EBF">
        <w:rPr>
          <w:bCs/>
          <w:i/>
          <w:iCs/>
          <w:color w:val="0000FF"/>
          <w:lang w:val="it-IT"/>
        </w:rPr>
        <w:t xml:space="preserve"> </w:t>
      </w:r>
      <w:r w:rsidR="00C86133" w:rsidRPr="007F7EBF">
        <w:rPr>
          <w:bCs/>
          <w:i/>
          <w:iCs/>
          <w:color w:val="0000FF"/>
          <w:lang w:val="it-IT"/>
        </w:rPr>
        <w:t xml:space="preserve">“costo </w:t>
      </w:r>
      <w:r w:rsidR="0043724C">
        <w:rPr>
          <w:bCs/>
          <w:i/>
          <w:iCs/>
          <w:color w:val="0000FF"/>
          <w:lang w:val="it-IT"/>
        </w:rPr>
        <w:t xml:space="preserve">dei </w:t>
      </w:r>
      <w:r w:rsidR="00C86133" w:rsidRPr="007F7EBF">
        <w:rPr>
          <w:bCs/>
          <w:i/>
          <w:iCs/>
          <w:color w:val="0000FF"/>
          <w:lang w:val="it-IT"/>
        </w:rPr>
        <w:t>tribut</w:t>
      </w:r>
      <w:r w:rsidR="0043724C">
        <w:rPr>
          <w:bCs/>
          <w:i/>
          <w:iCs/>
          <w:color w:val="0000FF"/>
          <w:lang w:val="it-IT"/>
        </w:rPr>
        <w:t>i</w:t>
      </w:r>
      <w:r w:rsidR="00C86133" w:rsidRPr="007F7EBF">
        <w:rPr>
          <w:bCs/>
          <w:i/>
          <w:iCs/>
          <w:color w:val="0000FF"/>
          <w:lang w:val="it-IT"/>
        </w:rPr>
        <w:t>” e “</w:t>
      </w:r>
      <w:r w:rsidRPr="007F7EBF">
        <w:rPr>
          <w:bCs/>
          <w:i/>
          <w:iCs/>
          <w:color w:val="0000FF"/>
          <w:lang w:val="it-IT"/>
        </w:rPr>
        <w:t>cunei fiscali</w:t>
      </w:r>
      <w:r w:rsidR="005A03BE" w:rsidRPr="007F7EBF">
        <w:rPr>
          <w:bCs/>
          <w:i/>
          <w:iCs/>
          <w:color w:val="0000FF"/>
          <w:lang w:val="it-IT"/>
        </w:rPr>
        <w:t>”</w:t>
      </w:r>
    </w:p>
    <w:p w14:paraId="05F44F51" w14:textId="5ACDE09E" w:rsidR="00660DAD" w:rsidRPr="007F7EBF" w:rsidRDefault="00423845" w:rsidP="00660DAD">
      <w:pPr>
        <w:autoSpaceDE w:val="0"/>
        <w:autoSpaceDN w:val="0"/>
        <w:adjustRightInd w:val="0"/>
        <w:rPr>
          <w:sz w:val="22"/>
          <w:szCs w:val="22"/>
        </w:rPr>
      </w:pPr>
      <w:r>
        <w:rPr>
          <w:sz w:val="22"/>
          <w:szCs w:val="22"/>
        </w:rPr>
        <w:lastRenderedPageBreak/>
        <w:t xml:space="preserve">Le imposte non riguardano però solo i redditi propri, ma anche quote di ricavi o di costi, diciamo degli “accessori” spesso percentualmente pesanti, dal 20% dell’IVA a quasi la metà del costo del lavoro, considerando i contributi previdenziali. Qui i tributi creano </w:t>
      </w:r>
      <w:r w:rsidRPr="007F7EBF">
        <w:rPr>
          <w:sz w:val="22"/>
          <w:szCs w:val="22"/>
        </w:rPr>
        <w:t xml:space="preserve"> “cunei fiscali” tra l’azienda e le sue controparti</w:t>
      </w:r>
      <w:r>
        <w:rPr>
          <w:sz w:val="22"/>
          <w:szCs w:val="22"/>
        </w:rPr>
        <w:t xml:space="preserve">, come </w:t>
      </w:r>
      <w:r w:rsidRPr="007F7EBF">
        <w:rPr>
          <w:sz w:val="22"/>
          <w:szCs w:val="22"/>
        </w:rPr>
        <w:t>i consumatori</w:t>
      </w:r>
      <w:r>
        <w:rPr>
          <w:sz w:val="22"/>
          <w:szCs w:val="22"/>
        </w:rPr>
        <w:t>, che</w:t>
      </w:r>
      <w:r w:rsidRPr="007F7EBF">
        <w:rPr>
          <w:sz w:val="22"/>
          <w:szCs w:val="22"/>
        </w:rPr>
        <w:t xml:space="preserve"> spendono somme superiori, per effetto dell’IVA, al ricavo </w:t>
      </w:r>
      <w:r>
        <w:rPr>
          <w:sz w:val="22"/>
          <w:szCs w:val="22"/>
        </w:rPr>
        <w:t>del</w:t>
      </w:r>
      <w:r w:rsidRPr="007F7EBF">
        <w:rPr>
          <w:sz w:val="22"/>
          <w:szCs w:val="22"/>
        </w:rPr>
        <w:t>l’azienda fornitrice</w:t>
      </w:r>
      <w:r>
        <w:rPr>
          <w:sz w:val="22"/>
          <w:szCs w:val="22"/>
        </w:rPr>
        <w:t>; analogamente</w:t>
      </w:r>
      <w:r w:rsidRPr="007F7EBF">
        <w:rPr>
          <w:sz w:val="22"/>
          <w:szCs w:val="22"/>
        </w:rPr>
        <w:t xml:space="preserve"> i dipendenti ricevono somme inferiori rispetto al</w:t>
      </w:r>
      <w:r>
        <w:rPr>
          <w:sz w:val="22"/>
          <w:szCs w:val="22"/>
        </w:rPr>
        <w:t xml:space="preserve"> loro</w:t>
      </w:r>
      <w:r w:rsidRPr="007F7EBF">
        <w:rPr>
          <w:sz w:val="22"/>
          <w:szCs w:val="22"/>
        </w:rPr>
        <w:t xml:space="preserve"> costo per il datore di lavoro. </w:t>
      </w:r>
      <w:r>
        <w:rPr>
          <w:sz w:val="22"/>
          <w:szCs w:val="22"/>
        </w:rPr>
        <w:t xml:space="preserve">Ridurre questi costi, attraverso l’evasione, può incidere sui prezzi, e quindi sulla </w:t>
      </w:r>
      <w:r w:rsidR="0043724C" w:rsidRPr="007F7EBF">
        <w:rPr>
          <w:sz w:val="22"/>
          <w:szCs w:val="22"/>
        </w:rPr>
        <w:t>concorrenza  (</w:t>
      </w:r>
      <w:r w:rsidR="0043724C" w:rsidRPr="007F7EBF">
        <w:rPr>
          <w:rStyle w:val="Rimandonotaapidipagina"/>
          <w:sz w:val="22"/>
          <w:szCs w:val="22"/>
        </w:rPr>
        <w:footnoteReference w:id="332"/>
      </w:r>
      <w:r w:rsidR="0043724C" w:rsidRPr="007F7EBF">
        <w:rPr>
          <w:sz w:val="22"/>
          <w:szCs w:val="22"/>
        </w:rPr>
        <w:t>).</w:t>
      </w:r>
      <w:r w:rsidR="007228E0" w:rsidRPr="007F7EBF">
        <w:rPr>
          <w:sz w:val="22"/>
          <w:szCs w:val="22"/>
        </w:rPr>
        <w:t xml:space="preserve"> </w:t>
      </w:r>
    </w:p>
    <w:p w14:paraId="08938DCD" w14:textId="77777777" w:rsidR="005A03BE" w:rsidRPr="007F7EBF" w:rsidRDefault="004620A6" w:rsidP="005A03BE">
      <w:pPr>
        <w:pStyle w:val="tit23"/>
        <w:ind w:left="6464" w:right="-1361" w:firstLine="0"/>
        <w:jc w:val="left"/>
        <w:rPr>
          <w:bCs/>
          <w:i/>
          <w:iCs/>
          <w:color w:val="0000FF"/>
          <w:lang w:val="it-IT"/>
        </w:rPr>
      </w:pPr>
      <w:proofErr w:type="spellStart"/>
      <w:r w:rsidRPr="007F7EBF">
        <w:rPr>
          <w:bCs/>
          <w:i/>
          <w:iCs/>
          <w:color w:val="0000FF"/>
          <w:lang w:val="it-IT"/>
        </w:rPr>
        <w:t>Contromisure:r</w:t>
      </w:r>
      <w:r w:rsidR="005A03BE" w:rsidRPr="007F7EBF">
        <w:rPr>
          <w:bCs/>
          <w:i/>
          <w:iCs/>
          <w:color w:val="0000FF"/>
          <w:lang w:val="it-IT"/>
        </w:rPr>
        <w:t>ichieste</w:t>
      </w:r>
      <w:proofErr w:type="spellEnd"/>
      <w:r w:rsidR="005A03BE" w:rsidRPr="007F7EBF">
        <w:rPr>
          <w:bCs/>
          <w:i/>
          <w:iCs/>
          <w:color w:val="0000FF"/>
          <w:lang w:val="it-IT"/>
        </w:rPr>
        <w:t xml:space="preserve"> di “</w:t>
      </w:r>
      <w:r w:rsidR="00B602E3" w:rsidRPr="007F7EBF">
        <w:rPr>
          <w:bCs/>
          <w:i/>
          <w:iCs/>
          <w:color w:val="0000FF"/>
          <w:lang w:val="it-IT"/>
        </w:rPr>
        <w:t xml:space="preserve">fuori </w:t>
      </w:r>
      <w:proofErr w:type="spellStart"/>
      <w:r w:rsidR="00B602E3" w:rsidRPr="007F7EBF">
        <w:rPr>
          <w:bCs/>
          <w:i/>
          <w:iCs/>
          <w:color w:val="0000FF"/>
          <w:lang w:val="it-IT"/>
        </w:rPr>
        <w:t>busta</w:t>
      </w:r>
      <w:r w:rsidR="005A03BE" w:rsidRPr="007F7EBF">
        <w:rPr>
          <w:bCs/>
          <w:i/>
          <w:iCs/>
          <w:color w:val="0000FF"/>
          <w:lang w:val="it-IT"/>
        </w:rPr>
        <w:t>”</w:t>
      </w:r>
      <w:r w:rsidR="00B602E3" w:rsidRPr="007F7EBF">
        <w:rPr>
          <w:bCs/>
          <w:i/>
          <w:iCs/>
          <w:color w:val="0000FF"/>
          <w:lang w:val="it-IT"/>
        </w:rPr>
        <w:t>dai</w:t>
      </w:r>
      <w:proofErr w:type="spellEnd"/>
      <w:r w:rsidR="00B602E3" w:rsidRPr="007F7EBF">
        <w:rPr>
          <w:bCs/>
          <w:i/>
          <w:iCs/>
          <w:color w:val="0000FF"/>
          <w:lang w:val="it-IT"/>
        </w:rPr>
        <w:t xml:space="preserve"> dipendenti</w:t>
      </w:r>
    </w:p>
    <w:p w14:paraId="49FF6C1B" w14:textId="49930105" w:rsidR="00DE3A02" w:rsidRPr="007F7EBF" w:rsidRDefault="009753F8" w:rsidP="00DE3A02">
      <w:pPr>
        <w:autoSpaceDE w:val="0"/>
        <w:autoSpaceDN w:val="0"/>
        <w:adjustRightInd w:val="0"/>
        <w:rPr>
          <w:sz w:val="22"/>
          <w:szCs w:val="22"/>
        </w:rPr>
      </w:pPr>
      <w:r>
        <w:rPr>
          <w:sz w:val="22"/>
          <w:szCs w:val="22"/>
        </w:rPr>
        <w:t>Si crea quindi una potenziale “</w:t>
      </w:r>
      <w:r w:rsidR="006342C5" w:rsidRPr="007F7EBF">
        <w:rPr>
          <w:sz w:val="22"/>
          <w:szCs w:val="22"/>
        </w:rPr>
        <w:t xml:space="preserve">convergenza di interessi” </w:t>
      </w:r>
      <w:r w:rsidR="00ED7EB8" w:rsidRPr="007F7EBF">
        <w:rPr>
          <w:sz w:val="22"/>
          <w:szCs w:val="22"/>
        </w:rPr>
        <w:t>in danno del fisco</w:t>
      </w:r>
      <w:r>
        <w:rPr>
          <w:sz w:val="22"/>
          <w:szCs w:val="22"/>
        </w:rPr>
        <w:t>,</w:t>
      </w:r>
      <w:r w:rsidR="00ED7EB8" w:rsidRPr="007F7EBF">
        <w:rPr>
          <w:sz w:val="22"/>
          <w:szCs w:val="22"/>
        </w:rPr>
        <w:t xml:space="preserve"> </w:t>
      </w:r>
      <w:r w:rsidR="001F0E0F" w:rsidRPr="007F7EBF">
        <w:rPr>
          <w:sz w:val="22"/>
          <w:szCs w:val="22"/>
        </w:rPr>
        <w:t>tra l’azienda e le sue controparti</w:t>
      </w:r>
      <w:r>
        <w:rPr>
          <w:sz w:val="22"/>
          <w:szCs w:val="22"/>
        </w:rPr>
        <w:t>; si pensi a</w:t>
      </w:r>
      <w:r w:rsidR="001F0E0F" w:rsidRPr="007F7EBF">
        <w:rPr>
          <w:sz w:val="22"/>
          <w:szCs w:val="22"/>
        </w:rPr>
        <w:t xml:space="preserve">i </w:t>
      </w:r>
      <w:r w:rsidR="004620A6" w:rsidRPr="007F7EBF">
        <w:rPr>
          <w:sz w:val="22"/>
          <w:szCs w:val="22"/>
        </w:rPr>
        <w:t xml:space="preserve">lavoratori, </w:t>
      </w:r>
      <w:r w:rsidR="00ED7EB8" w:rsidRPr="007F7EBF">
        <w:rPr>
          <w:sz w:val="22"/>
          <w:szCs w:val="22"/>
        </w:rPr>
        <w:t>desider</w:t>
      </w:r>
      <w:r w:rsidR="001F0E0F" w:rsidRPr="007F7EBF">
        <w:rPr>
          <w:sz w:val="22"/>
          <w:szCs w:val="22"/>
        </w:rPr>
        <w:t xml:space="preserve">osi di </w:t>
      </w:r>
      <w:r w:rsidR="00ED7EB8" w:rsidRPr="007F7EBF">
        <w:rPr>
          <w:sz w:val="22"/>
          <w:szCs w:val="22"/>
        </w:rPr>
        <w:t>essere pagati in</w:t>
      </w:r>
      <w:r w:rsidR="001F0E0F" w:rsidRPr="007F7EBF">
        <w:rPr>
          <w:sz w:val="22"/>
          <w:szCs w:val="22"/>
        </w:rPr>
        <w:t xml:space="preserve"> parte “in</w:t>
      </w:r>
      <w:r w:rsidR="00ED7EB8" w:rsidRPr="007F7EBF">
        <w:rPr>
          <w:sz w:val="22"/>
          <w:szCs w:val="22"/>
        </w:rPr>
        <w:t xml:space="preserve"> nero</w:t>
      </w:r>
      <w:r w:rsidR="001F0E0F" w:rsidRPr="007F7EBF">
        <w:rPr>
          <w:sz w:val="22"/>
          <w:szCs w:val="22"/>
        </w:rPr>
        <w:t>”</w:t>
      </w:r>
      <w:r w:rsidR="00ED7EB8" w:rsidRPr="007F7EBF">
        <w:rPr>
          <w:sz w:val="22"/>
          <w:szCs w:val="22"/>
        </w:rPr>
        <w:t xml:space="preserve">, per avere un </w:t>
      </w:r>
      <w:r>
        <w:rPr>
          <w:sz w:val="22"/>
          <w:szCs w:val="22"/>
        </w:rPr>
        <w:t>“</w:t>
      </w:r>
      <w:r w:rsidR="00ED7EB8" w:rsidRPr="007F7EBF">
        <w:rPr>
          <w:sz w:val="22"/>
          <w:szCs w:val="22"/>
        </w:rPr>
        <w:t xml:space="preserve">netto </w:t>
      </w:r>
      <w:r>
        <w:rPr>
          <w:sz w:val="22"/>
          <w:szCs w:val="22"/>
        </w:rPr>
        <w:t xml:space="preserve">in busta paga” </w:t>
      </w:r>
      <w:r w:rsidR="00ED7EB8" w:rsidRPr="007F7EBF">
        <w:rPr>
          <w:sz w:val="22"/>
          <w:szCs w:val="22"/>
        </w:rPr>
        <w:t xml:space="preserve">maggiore, e non perdere benefici sociali legati al reddito. </w:t>
      </w:r>
      <w:r w:rsidR="00E24869">
        <w:rPr>
          <w:sz w:val="22"/>
          <w:szCs w:val="22"/>
        </w:rPr>
        <w:t>In alcuni settori, come la logistica (facchinaggio) il lavoro è addirittura spesso esternalizzato in apposite cooperative, che non versano né contributi né ritenute, con un abbattimento del costo. Nel piccolo commercio e nei servizi sono frequenti, u</w:t>
      </w:r>
      <w:r w:rsidR="006466D1" w:rsidRPr="007F7EBF">
        <w:rPr>
          <w:sz w:val="22"/>
          <w:szCs w:val="22"/>
        </w:rPr>
        <w:t xml:space="preserve">na volta regolarizzata fiscalmente e </w:t>
      </w:r>
      <w:proofErr w:type="spellStart"/>
      <w:r w:rsidR="006466D1" w:rsidRPr="007F7EBF">
        <w:rPr>
          <w:sz w:val="22"/>
          <w:szCs w:val="22"/>
        </w:rPr>
        <w:t>co</w:t>
      </w:r>
      <w:r w:rsidR="006C0853" w:rsidRPr="007F7EBF">
        <w:rPr>
          <w:sz w:val="22"/>
          <w:szCs w:val="22"/>
        </w:rPr>
        <w:t>ntributivamente</w:t>
      </w:r>
      <w:proofErr w:type="spellEnd"/>
      <w:r w:rsidR="006C0853" w:rsidRPr="007F7EBF">
        <w:rPr>
          <w:sz w:val="22"/>
          <w:szCs w:val="22"/>
        </w:rPr>
        <w:t xml:space="preserve"> </w:t>
      </w:r>
      <w:r w:rsidR="000F0AC1">
        <w:rPr>
          <w:sz w:val="22"/>
          <w:szCs w:val="22"/>
        </w:rPr>
        <w:t xml:space="preserve"> </w:t>
      </w:r>
      <w:r w:rsidR="006466D1" w:rsidRPr="007F7EBF">
        <w:rPr>
          <w:sz w:val="22"/>
          <w:szCs w:val="22"/>
        </w:rPr>
        <w:t>la paga base</w:t>
      </w:r>
      <w:r>
        <w:rPr>
          <w:sz w:val="22"/>
          <w:szCs w:val="22"/>
        </w:rPr>
        <w:t>(</w:t>
      </w:r>
      <w:r>
        <w:rPr>
          <w:rStyle w:val="Rimandonotaapidipagina"/>
          <w:sz w:val="22"/>
          <w:szCs w:val="22"/>
        </w:rPr>
        <w:footnoteReference w:id="333"/>
      </w:r>
      <w:r>
        <w:rPr>
          <w:sz w:val="22"/>
          <w:szCs w:val="22"/>
        </w:rPr>
        <w:t>)</w:t>
      </w:r>
      <w:r w:rsidR="006466D1" w:rsidRPr="007F7EBF">
        <w:rPr>
          <w:sz w:val="22"/>
          <w:szCs w:val="22"/>
        </w:rPr>
        <w:t>,</w:t>
      </w:r>
      <w:r w:rsidR="00E24869">
        <w:rPr>
          <w:sz w:val="22"/>
          <w:szCs w:val="22"/>
        </w:rPr>
        <w:t xml:space="preserve"> </w:t>
      </w:r>
      <w:r>
        <w:rPr>
          <w:sz w:val="22"/>
          <w:szCs w:val="22"/>
        </w:rPr>
        <w:t>“fuori busta”</w:t>
      </w:r>
      <w:r w:rsidR="00E24869">
        <w:rPr>
          <w:sz w:val="22"/>
          <w:szCs w:val="22"/>
        </w:rPr>
        <w:t xml:space="preserve"> occulti, alimentati in genere da </w:t>
      </w:r>
      <w:r w:rsidR="00B602E3" w:rsidRPr="007F7EBF">
        <w:rPr>
          <w:sz w:val="22"/>
          <w:szCs w:val="22"/>
        </w:rPr>
        <w:t>ricavi non registrati</w:t>
      </w:r>
      <w:r w:rsidR="00E24869">
        <w:rPr>
          <w:sz w:val="22"/>
          <w:szCs w:val="22"/>
        </w:rPr>
        <w:t xml:space="preserve"> </w:t>
      </w:r>
      <w:r>
        <w:rPr>
          <w:sz w:val="22"/>
          <w:szCs w:val="22"/>
        </w:rPr>
        <w:t>(</w:t>
      </w:r>
      <w:r w:rsidR="00AB7E3E" w:rsidRPr="007F7EBF">
        <w:rPr>
          <w:rStyle w:val="Rimandonotaapidipagina"/>
          <w:sz w:val="22"/>
          <w:szCs w:val="22"/>
        </w:rPr>
        <w:footnoteReference w:id="334"/>
      </w:r>
      <w:r>
        <w:rPr>
          <w:sz w:val="22"/>
          <w:szCs w:val="22"/>
        </w:rPr>
        <w:t>)</w:t>
      </w:r>
      <w:r w:rsidR="006342C5" w:rsidRPr="007F7EBF">
        <w:rPr>
          <w:sz w:val="22"/>
          <w:szCs w:val="22"/>
        </w:rPr>
        <w:t>.</w:t>
      </w:r>
      <w:r w:rsidR="00E9107A" w:rsidRPr="007F7EBF">
        <w:rPr>
          <w:sz w:val="22"/>
          <w:szCs w:val="22"/>
        </w:rPr>
        <w:t xml:space="preserve"> </w:t>
      </w:r>
      <w:r w:rsidR="00AB7E3E" w:rsidRPr="007F7EBF">
        <w:rPr>
          <w:sz w:val="22"/>
          <w:szCs w:val="22"/>
        </w:rPr>
        <w:t xml:space="preserve"> </w:t>
      </w:r>
    </w:p>
    <w:p w14:paraId="66E32611" w14:textId="673E1C04" w:rsidR="00DE3A02" w:rsidRPr="007F7EBF" w:rsidRDefault="00DE3A02" w:rsidP="00DE3A02">
      <w:pPr>
        <w:pStyle w:val="tit23"/>
        <w:ind w:left="6464" w:right="-1361" w:firstLine="0"/>
        <w:jc w:val="left"/>
        <w:rPr>
          <w:bCs/>
          <w:i/>
          <w:iCs/>
          <w:color w:val="0000FF"/>
          <w:lang w:val="it-IT"/>
        </w:rPr>
      </w:pPr>
      <w:r w:rsidRPr="007F7EBF">
        <w:rPr>
          <w:bCs/>
          <w:i/>
          <w:iCs/>
          <w:color w:val="0000FF"/>
          <w:lang w:val="it-IT"/>
        </w:rPr>
        <w:t>frodi iva</w:t>
      </w:r>
    </w:p>
    <w:p w14:paraId="4B21E08F" w14:textId="76514E10" w:rsidR="0070561E" w:rsidRPr="007F7EBF" w:rsidRDefault="000F0AC1" w:rsidP="0070561E">
      <w:pPr>
        <w:autoSpaceDE w:val="0"/>
        <w:autoSpaceDN w:val="0"/>
        <w:adjustRightInd w:val="0"/>
        <w:rPr>
          <w:sz w:val="22"/>
          <w:szCs w:val="22"/>
        </w:rPr>
      </w:pPr>
      <w:r>
        <w:rPr>
          <w:sz w:val="22"/>
          <w:szCs w:val="22"/>
        </w:rPr>
        <w:t xml:space="preserve">Una riduzione dei costi si ha anche per le </w:t>
      </w:r>
      <w:r w:rsidR="00DE3A02" w:rsidRPr="007F7EBF">
        <w:rPr>
          <w:bCs/>
          <w:sz w:val="22"/>
          <w:szCs w:val="22"/>
        </w:rPr>
        <w:t>“frodi</w:t>
      </w:r>
      <w:r>
        <w:rPr>
          <w:bCs/>
          <w:sz w:val="22"/>
          <w:szCs w:val="22"/>
        </w:rPr>
        <w:t xml:space="preserve"> IVA</w:t>
      </w:r>
      <w:r w:rsidR="00DE3A02" w:rsidRPr="007F7EBF">
        <w:rPr>
          <w:bCs/>
          <w:sz w:val="22"/>
          <w:szCs w:val="22"/>
        </w:rPr>
        <w:t xml:space="preserve">” </w:t>
      </w:r>
      <w:r w:rsidR="00DE3A02" w:rsidRPr="007F7EBF">
        <w:rPr>
          <w:sz w:val="22"/>
          <w:szCs w:val="22"/>
        </w:rPr>
        <w:t>indicate al termine del par. 7.3</w:t>
      </w:r>
      <w:r w:rsidR="00DE3A02">
        <w:rPr>
          <w:sz w:val="22"/>
          <w:szCs w:val="22"/>
        </w:rPr>
        <w:t>, utili al</w:t>
      </w:r>
      <w:r w:rsidR="00DE3A02" w:rsidRPr="007F7EBF">
        <w:rPr>
          <w:sz w:val="22"/>
          <w:szCs w:val="22"/>
        </w:rPr>
        <w:t xml:space="preserve">l'azienda </w:t>
      </w:r>
      <w:r w:rsidR="00DE3A02">
        <w:rPr>
          <w:sz w:val="22"/>
          <w:szCs w:val="22"/>
        </w:rPr>
        <w:t xml:space="preserve">per </w:t>
      </w:r>
      <w:r w:rsidR="00DE3A02" w:rsidRPr="007F7EBF">
        <w:rPr>
          <w:sz w:val="22"/>
          <w:szCs w:val="22"/>
        </w:rPr>
        <w:t>diminui</w:t>
      </w:r>
      <w:r w:rsidR="00DE3A02">
        <w:rPr>
          <w:sz w:val="22"/>
          <w:szCs w:val="22"/>
        </w:rPr>
        <w:t>r</w:t>
      </w:r>
      <w:r w:rsidR="00DE3A02" w:rsidRPr="007F7EBF">
        <w:rPr>
          <w:sz w:val="22"/>
          <w:szCs w:val="22"/>
        </w:rPr>
        <w:t xml:space="preserve">e il proprio costo di acquisto per materie prime o servizi, rendendosi più competitiva, senza che il titolare o i dirigenti incassino </w:t>
      </w:r>
      <w:proofErr w:type="spellStart"/>
      <w:r w:rsidR="00DE3A02" w:rsidRPr="007F7EBF">
        <w:rPr>
          <w:sz w:val="22"/>
          <w:szCs w:val="22"/>
        </w:rPr>
        <w:t>alcunchè</w:t>
      </w:r>
      <w:proofErr w:type="spellEnd"/>
      <w:r>
        <w:rPr>
          <w:sz w:val="22"/>
          <w:szCs w:val="22"/>
        </w:rPr>
        <w:t xml:space="preserve"> </w:t>
      </w:r>
      <w:r w:rsidR="005F5CB0">
        <w:rPr>
          <w:sz w:val="22"/>
          <w:szCs w:val="22"/>
        </w:rPr>
        <w:t>(</w:t>
      </w:r>
      <w:r w:rsidR="00DE3A02" w:rsidRPr="007F7EBF">
        <w:rPr>
          <w:rStyle w:val="Rimandonotaapidipagina"/>
          <w:sz w:val="22"/>
          <w:szCs w:val="22"/>
        </w:rPr>
        <w:footnoteReference w:id="335"/>
      </w:r>
      <w:r w:rsidR="005F5CB0">
        <w:rPr>
          <w:sz w:val="22"/>
          <w:szCs w:val="22"/>
        </w:rPr>
        <w:t>)</w:t>
      </w:r>
      <w:r w:rsidR="00DE3A02" w:rsidRPr="007F7EBF">
        <w:rPr>
          <w:sz w:val="22"/>
          <w:szCs w:val="22"/>
        </w:rPr>
        <w:t xml:space="preserve">. </w:t>
      </w:r>
      <w:r w:rsidR="00DE3A02">
        <w:rPr>
          <w:bCs/>
          <w:sz w:val="22"/>
          <w:szCs w:val="22"/>
        </w:rPr>
        <w:t xml:space="preserve">Spesso non adeguarsi </w:t>
      </w:r>
      <w:r w:rsidR="00DE3A02">
        <w:rPr>
          <w:bCs/>
          <w:sz w:val="22"/>
          <w:szCs w:val="22"/>
        </w:rPr>
        <w:lastRenderedPageBreak/>
        <w:t>a queste prassi co</w:t>
      </w:r>
      <w:r w:rsidR="00DE3A02" w:rsidRPr="007F7EBF">
        <w:rPr>
          <w:bCs/>
          <w:sz w:val="22"/>
          <w:szCs w:val="22"/>
        </w:rPr>
        <w:t>mporta aumenti di prezzo finale ai clienti, che rischiano di mettere l'azienda fuori mercato</w:t>
      </w:r>
      <w:r w:rsidR="00DE3A02">
        <w:rPr>
          <w:bCs/>
          <w:sz w:val="22"/>
          <w:szCs w:val="22"/>
        </w:rPr>
        <w:t xml:space="preserve">, rendendola </w:t>
      </w:r>
      <w:r w:rsidR="00DE3A02" w:rsidRPr="007F7EBF">
        <w:rPr>
          <w:sz w:val="22"/>
          <w:szCs w:val="22"/>
        </w:rPr>
        <w:t>"non competitiv</w:t>
      </w:r>
      <w:r w:rsidR="00DE3A02">
        <w:rPr>
          <w:sz w:val="22"/>
          <w:szCs w:val="22"/>
        </w:rPr>
        <w:t>a</w:t>
      </w:r>
      <w:r w:rsidR="00DE3A02" w:rsidRPr="007F7EBF">
        <w:rPr>
          <w:sz w:val="22"/>
          <w:szCs w:val="22"/>
        </w:rPr>
        <w:t>"</w:t>
      </w:r>
      <w:r w:rsidR="005F5CB0">
        <w:rPr>
          <w:sz w:val="22"/>
          <w:szCs w:val="22"/>
        </w:rPr>
        <w:t xml:space="preserve">; </w:t>
      </w:r>
      <w:r>
        <w:rPr>
          <w:sz w:val="22"/>
          <w:szCs w:val="22"/>
        </w:rPr>
        <w:t>anche qui c’è</w:t>
      </w:r>
      <w:r w:rsidR="005F5CB0">
        <w:rPr>
          <w:sz w:val="22"/>
          <w:szCs w:val="22"/>
        </w:rPr>
        <w:t xml:space="preserve"> una </w:t>
      </w:r>
      <w:r w:rsidR="00DE3A02" w:rsidRPr="007F7EBF">
        <w:rPr>
          <w:sz w:val="22"/>
          <w:szCs w:val="22"/>
        </w:rPr>
        <w:t>"concorrenza sleale" da evasione</w:t>
      </w:r>
      <w:r w:rsidR="005F5CB0">
        <w:rPr>
          <w:sz w:val="22"/>
          <w:szCs w:val="22"/>
        </w:rPr>
        <w:t xml:space="preserve"> (par.4.5), che </w:t>
      </w:r>
      <w:r w:rsidR="00DE3A02" w:rsidRPr="007F7EBF">
        <w:rPr>
          <w:sz w:val="22"/>
          <w:szCs w:val="22"/>
        </w:rPr>
        <w:t xml:space="preserve">si riflette sui prezzi, e sulla </w:t>
      </w:r>
      <w:r>
        <w:rPr>
          <w:sz w:val="22"/>
          <w:szCs w:val="22"/>
        </w:rPr>
        <w:t>concorrenza, innescando anch’essa “evasione aziendale”</w:t>
      </w:r>
      <w:r w:rsidR="00DE3A02" w:rsidRPr="007F7EBF">
        <w:rPr>
          <w:sz w:val="22"/>
          <w:szCs w:val="22"/>
        </w:rPr>
        <w:t xml:space="preserve">.  </w:t>
      </w:r>
    </w:p>
    <w:p w14:paraId="6DB0AFA7" w14:textId="77777777" w:rsidR="0070561E" w:rsidRPr="007F7EBF" w:rsidRDefault="0070561E" w:rsidP="0070561E">
      <w:pPr>
        <w:pStyle w:val="tit23"/>
        <w:ind w:left="6464" w:right="-1361" w:firstLine="0"/>
        <w:jc w:val="left"/>
        <w:rPr>
          <w:bCs/>
          <w:i/>
          <w:iCs/>
          <w:color w:val="0000FF"/>
          <w:lang w:val="it-IT"/>
        </w:rPr>
      </w:pPr>
      <w:r w:rsidRPr="007F7EBF">
        <w:rPr>
          <w:bCs/>
          <w:i/>
          <w:iCs/>
          <w:color w:val="0000FF"/>
          <w:lang w:val="it-IT"/>
        </w:rPr>
        <w:t>L’evasione “indotta” da chi non può comparire</w:t>
      </w:r>
    </w:p>
    <w:p w14:paraId="2E4F947A" w14:textId="391F7B52" w:rsidR="0070561E" w:rsidRPr="007F7EBF" w:rsidRDefault="000F0AC1" w:rsidP="0070561E">
      <w:pPr>
        <w:autoSpaceDE w:val="0"/>
        <w:autoSpaceDN w:val="0"/>
        <w:adjustRightInd w:val="0"/>
        <w:rPr>
          <w:sz w:val="22"/>
          <w:szCs w:val="22"/>
        </w:rPr>
      </w:pPr>
      <w:r>
        <w:rPr>
          <w:sz w:val="22"/>
          <w:szCs w:val="22"/>
        </w:rPr>
        <w:t>Esigenze aziendali sono anche alla base dei p</w:t>
      </w:r>
      <w:r w:rsidR="0070561E" w:rsidRPr="007F7EBF">
        <w:rPr>
          <w:sz w:val="22"/>
          <w:szCs w:val="22"/>
        </w:rPr>
        <w:t xml:space="preserve">agamenti "in nero" </w:t>
      </w:r>
      <w:r>
        <w:rPr>
          <w:sz w:val="22"/>
          <w:szCs w:val="22"/>
        </w:rPr>
        <w:t>verso</w:t>
      </w:r>
      <w:r w:rsidR="0070561E" w:rsidRPr="007F7EBF">
        <w:rPr>
          <w:sz w:val="22"/>
          <w:szCs w:val="22"/>
        </w:rPr>
        <w:t xml:space="preserve"> chi effettua prestazioni utili all’azienda, ma </w:t>
      </w:r>
      <w:r w:rsidR="0070561E" w:rsidRPr="007F7EBF">
        <w:rPr>
          <w:bCs/>
          <w:sz w:val="22"/>
          <w:szCs w:val="22"/>
        </w:rPr>
        <w:t>non può o non vuole comparire</w:t>
      </w:r>
      <w:r w:rsidR="0070561E" w:rsidRPr="007F7EBF">
        <w:rPr>
          <w:sz w:val="22"/>
          <w:szCs w:val="22"/>
        </w:rPr>
        <w:t>; pensiamo al "</w:t>
      </w:r>
      <w:r w:rsidR="0070561E" w:rsidRPr="007F7EBF">
        <w:rPr>
          <w:bCs/>
          <w:sz w:val="22"/>
          <w:szCs w:val="22"/>
        </w:rPr>
        <w:t xml:space="preserve">secondo lavoro” di pubblici dipendenti, </w:t>
      </w:r>
      <w:r w:rsidR="0070561E" w:rsidRPr="007F7EBF">
        <w:rPr>
          <w:sz w:val="22"/>
          <w:szCs w:val="22"/>
        </w:rPr>
        <w:t>non remunerabile come tale per via dell’esclusività del rapporto di pubblico impiego, come pure a  concussion</w:t>
      </w:r>
      <w:r>
        <w:rPr>
          <w:sz w:val="22"/>
          <w:szCs w:val="22"/>
        </w:rPr>
        <w:t xml:space="preserve">i, estorsioni e </w:t>
      </w:r>
      <w:r w:rsidR="0070561E" w:rsidRPr="007F7EBF">
        <w:rPr>
          <w:sz w:val="22"/>
          <w:szCs w:val="22"/>
        </w:rPr>
        <w:t>corruzion</w:t>
      </w:r>
      <w:r>
        <w:rPr>
          <w:sz w:val="22"/>
          <w:szCs w:val="22"/>
        </w:rPr>
        <w:t xml:space="preserve">i </w:t>
      </w:r>
      <w:r w:rsidR="005F5CB0">
        <w:rPr>
          <w:sz w:val="22"/>
          <w:szCs w:val="22"/>
        </w:rPr>
        <w:t>(</w:t>
      </w:r>
      <w:r w:rsidR="0070561E" w:rsidRPr="007F7EBF">
        <w:rPr>
          <w:rStyle w:val="Rimandonotaapidipagina"/>
          <w:sz w:val="22"/>
          <w:szCs w:val="22"/>
        </w:rPr>
        <w:footnoteReference w:id="336"/>
      </w:r>
      <w:r w:rsidR="005F5CB0">
        <w:rPr>
          <w:sz w:val="22"/>
          <w:szCs w:val="22"/>
        </w:rPr>
        <w:t>)</w:t>
      </w:r>
      <w:r w:rsidR="0070561E" w:rsidRPr="007F7EBF">
        <w:rPr>
          <w:sz w:val="22"/>
          <w:szCs w:val="22"/>
        </w:rPr>
        <w:t>,</w:t>
      </w:r>
      <w:r>
        <w:rPr>
          <w:sz w:val="22"/>
          <w:szCs w:val="22"/>
        </w:rPr>
        <w:t xml:space="preserve"> con spes</w:t>
      </w:r>
      <w:r w:rsidR="0070561E" w:rsidRPr="007F7EBF">
        <w:rPr>
          <w:sz w:val="22"/>
          <w:szCs w:val="22"/>
        </w:rPr>
        <w:t xml:space="preserve">e </w:t>
      </w:r>
      <w:r>
        <w:rPr>
          <w:bCs/>
          <w:sz w:val="22"/>
          <w:szCs w:val="22"/>
        </w:rPr>
        <w:t xml:space="preserve">da coprire attraverso </w:t>
      </w:r>
      <w:r w:rsidR="0070561E" w:rsidRPr="007F7EBF">
        <w:rPr>
          <w:bCs/>
          <w:sz w:val="22"/>
          <w:szCs w:val="22"/>
        </w:rPr>
        <w:t>giustificati</w:t>
      </w:r>
      <w:r w:rsidR="0070561E" w:rsidRPr="007F7EBF">
        <w:rPr>
          <w:sz w:val="22"/>
          <w:szCs w:val="22"/>
        </w:rPr>
        <w:t>vi ricevuti a titolo diverso (</w:t>
      </w:r>
      <w:r w:rsidR="0070561E" w:rsidRPr="007F7EBF">
        <w:rPr>
          <w:rStyle w:val="Rimandonotaapidipagina"/>
          <w:sz w:val="22"/>
          <w:szCs w:val="22"/>
        </w:rPr>
        <w:footnoteReference w:id="337"/>
      </w:r>
      <w:r w:rsidR="0070561E" w:rsidRPr="007F7EBF">
        <w:rPr>
          <w:sz w:val="22"/>
          <w:szCs w:val="22"/>
        </w:rPr>
        <w:t>)</w:t>
      </w:r>
      <w:r>
        <w:rPr>
          <w:sz w:val="22"/>
          <w:szCs w:val="22"/>
        </w:rPr>
        <w:t>, oppure ricavi non registrati</w:t>
      </w:r>
      <w:r w:rsidR="0070561E" w:rsidRPr="007F7EBF">
        <w:rPr>
          <w:sz w:val="22"/>
          <w:szCs w:val="22"/>
        </w:rPr>
        <w:t xml:space="preserve">. </w:t>
      </w:r>
    </w:p>
    <w:p w14:paraId="3DFFDB12" w14:textId="77777777" w:rsidR="0070561E" w:rsidRPr="007F7EBF" w:rsidRDefault="0070561E" w:rsidP="0070561E">
      <w:pPr>
        <w:pStyle w:val="tit23"/>
        <w:ind w:left="6464" w:right="-1361" w:firstLine="0"/>
        <w:jc w:val="left"/>
        <w:rPr>
          <w:bCs/>
          <w:i/>
          <w:iCs/>
          <w:color w:val="0000FF"/>
          <w:lang w:val="it-IT"/>
        </w:rPr>
      </w:pPr>
      <w:r w:rsidRPr="007F7EBF">
        <w:rPr>
          <w:bCs/>
          <w:i/>
          <w:iCs/>
          <w:color w:val="0000FF"/>
          <w:lang w:val="it-IT"/>
        </w:rPr>
        <w:t>Conferme dell’evasione come comportamento personale</w:t>
      </w:r>
    </w:p>
    <w:p w14:paraId="2E0976CF" w14:textId="432015B5" w:rsidR="0070561E" w:rsidRPr="007F7EBF" w:rsidRDefault="0070561E" w:rsidP="001B334A">
      <w:pPr>
        <w:autoSpaceDE w:val="0"/>
        <w:autoSpaceDN w:val="0"/>
        <w:adjustRightInd w:val="0"/>
        <w:rPr>
          <w:sz w:val="22"/>
          <w:szCs w:val="22"/>
        </w:rPr>
      </w:pPr>
      <w:r w:rsidRPr="007F7EBF">
        <w:rPr>
          <w:sz w:val="22"/>
          <w:szCs w:val="22"/>
        </w:rPr>
        <w:t>I destinatari di queste erogazioni sono altre persone fisiche, a conferma che qualsiasi "ricchezza fiscalmente non registrata è in ultima analisi "personale" sia essa di titolari o dirigenti dell'azienda (par.3.7)</w:t>
      </w:r>
      <w:r w:rsidR="00DE3A02">
        <w:rPr>
          <w:sz w:val="22"/>
          <w:szCs w:val="22"/>
        </w:rPr>
        <w:t xml:space="preserve">, </w:t>
      </w:r>
      <w:r w:rsidR="000F0AC1">
        <w:rPr>
          <w:sz w:val="22"/>
          <w:szCs w:val="22"/>
        </w:rPr>
        <w:t>ovvero di</w:t>
      </w:r>
      <w:r w:rsidRPr="007F7EBF">
        <w:rPr>
          <w:sz w:val="22"/>
          <w:szCs w:val="22"/>
        </w:rPr>
        <w:t xml:space="preserve"> loro controparti.  </w:t>
      </w:r>
      <w:r w:rsidR="00253333">
        <w:rPr>
          <w:sz w:val="22"/>
          <w:szCs w:val="22"/>
        </w:rPr>
        <w:t xml:space="preserve">Si conferma l’imbarazzo amministrativo generato nell’azienda, come gruppo sociale pluripersonale, dalla rappresentazione alterata della realtà per interessi altrui; </w:t>
      </w:r>
      <w:r w:rsidR="0085069A">
        <w:rPr>
          <w:sz w:val="22"/>
          <w:szCs w:val="22"/>
        </w:rPr>
        <w:t>maneggiare flussi di ricchezza non registrati o documentazione alterata</w:t>
      </w:r>
      <w:r w:rsidR="000F0AC1">
        <w:rPr>
          <w:sz w:val="22"/>
          <w:szCs w:val="22"/>
        </w:rPr>
        <w:t xml:space="preserve"> espone sempre, in piccoli gruppi sociali come le aziende, a sospetti di interesse personale</w:t>
      </w:r>
      <w:r w:rsidR="0085069A">
        <w:rPr>
          <w:sz w:val="22"/>
          <w:szCs w:val="22"/>
        </w:rPr>
        <w:t>.</w:t>
      </w:r>
    </w:p>
    <w:p w14:paraId="3C1FBB64" w14:textId="77777777" w:rsidR="006342C5" w:rsidRPr="007F7EBF" w:rsidRDefault="006342C5" w:rsidP="00F1742F">
      <w:pPr>
        <w:autoSpaceDE w:val="0"/>
        <w:autoSpaceDN w:val="0"/>
        <w:adjustRightInd w:val="0"/>
        <w:rPr>
          <w:sz w:val="22"/>
          <w:szCs w:val="22"/>
        </w:rPr>
      </w:pPr>
    </w:p>
    <w:p w14:paraId="2864BD27" w14:textId="77777777" w:rsidR="001B5CC8" w:rsidRPr="007F7EBF" w:rsidRDefault="006342C5" w:rsidP="001B5CC8">
      <w:pPr>
        <w:pStyle w:val="Titolo3"/>
        <w:rPr>
          <w:rFonts w:ascii="Times New Roman" w:hAnsi="Times New Roman"/>
          <w:sz w:val="22"/>
          <w:szCs w:val="22"/>
        </w:rPr>
      </w:pPr>
      <w:bookmarkStart w:id="39" w:name="_Toc63364956"/>
      <w:r w:rsidRPr="007F7EBF">
        <w:rPr>
          <w:rFonts w:ascii="Times New Roman" w:hAnsi="Times New Roman"/>
          <w:sz w:val="22"/>
          <w:szCs w:val="22"/>
        </w:rPr>
        <w:t xml:space="preserve">3.9. </w:t>
      </w:r>
      <w:r w:rsidR="00FB00C2" w:rsidRPr="007F7EBF">
        <w:rPr>
          <w:rFonts w:ascii="Times New Roman" w:hAnsi="Times New Roman"/>
          <w:sz w:val="22"/>
          <w:szCs w:val="22"/>
          <w:lang w:val="it-IT"/>
        </w:rPr>
        <w:t>L’interpretazione come q</w:t>
      </w:r>
      <w:proofErr w:type="spellStart"/>
      <w:r w:rsidRPr="007F7EBF">
        <w:rPr>
          <w:rFonts w:ascii="Times New Roman" w:hAnsi="Times New Roman"/>
          <w:sz w:val="22"/>
          <w:szCs w:val="22"/>
        </w:rPr>
        <w:t>ualificazione</w:t>
      </w:r>
      <w:proofErr w:type="spellEnd"/>
      <w:r w:rsidRPr="007F7EBF">
        <w:rPr>
          <w:rFonts w:ascii="Times New Roman" w:hAnsi="Times New Roman"/>
          <w:sz w:val="22"/>
          <w:szCs w:val="22"/>
        </w:rPr>
        <w:t xml:space="preserve"> giuridica della ricchezz</w:t>
      </w:r>
      <w:r w:rsidR="00FB00C2" w:rsidRPr="007F7EBF">
        <w:rPr>
          <w:rFonts w:ascii="Times New Roman" w:hAnsi="Times New Roman"/>
          <w:sz w:val="22"/>
          <w:szCs w:val="22"/>
        </w:rPr>
        <w:t>a nella cornice di concetti econ</w:t>
      </w:r>
      <w:r w:rsidR="00FB00C2" w:rsidRPr="007F7EBF">
        <w:rPr>
          <w:rFonts w:ascii="Times New Roman" w:hAnsi="Times New Roman"/>
          <w:sz w:val="22"/>
          <w:szCs w:val="22"/>
          <w:lang w:val="it-IT"/>
        </w:rPr>
        <w:t>omici</w:t>
      </w:r>
      <w:bookmarkEnd w:id="39"/>
      <w:r w:rsidRPr="007F7EBF">
        <w:rPr>
          <w:rFonts w:ascii="Times New Roman" w:hAnsi="Times New Roman"/>
          <w:sz w:val="22"/>
          <w:szCs w:val="22"/>
        </w:rPr>
        <w:t xml:space="preserve"> </w:t>
      </w:r>
    </w:p>
    <w:p w14:paraId="3BB94222" w14:textId="77777777" w:rsidR="001B5CC8" w:rsidRPr="007F7EBF" w:rsidRDefault="001B5CC8" w:rsidP="001B5CC8">
      <w:pPr>
        <w:pStyle w:val="tit23"/>
        <w:ind w:left="6464" w:right="-1361" w:firstLine="0"/>
        <w:jc w:val="left"/>
        <w:rPr>
          <w:bCs/>
          <w:i/>
          <w:iCs/>
          <w:color w:val="0000FF"/>
          <w:lang w:val="it-IT"/>
        </w:rPr>
      </w:pPr>
      <w:r w:rsidRPr="007F7EBF">
        <w:rPr>
          <w:bCs/>
          <w:i/>
          <w:iCs/>
          <w:color w:val="0000FF"/>
          <w:lang w:val="it-IT"/>
        </w:rPr>
        <w:t xml:space="preserve">Autodeterminazione e attività interpretativa dei privati     </w:t>
      </w:r>
    </w:p>
    <w:p w14:paraId="4D2AD856" w14:textId="7BF7BD25" w:rsidR="00FA0C29" w:rsidRPr="007F7EBF" w:rsidRDefault="00D26AA4" w:rsidP="00B02433">
      <w:pPr>
        <w:autoSpaceDE w:val="0"/>
        <w:autoSpaceDN w:val="0"/>
        <w:adjustRightInd w:val="0"/>
        <w:rPr>
          <w:sz w:val="22"/>
          <w:szCs w:val="22"/>
        </w:rPr>
      </w:pPr>
      <w:r>
        <w:rPr>
          <w:sz w:val="22"/>
          <w:szCs w:val="22"/>
        </w:rPr>
        <w:lastRenderedPageBreak/>
        <w:t xml:space="preserve">Sulla individuazione </w:t>
      </w:r>
      <w:r w:rsidR="008933B1">
        <w:rPr>
          <w:sz w:val="22"/>
          <w:szCs w:val="22"/>
        </w:rPr>
        <w:t>degli imponibili</w:t>
      </w:r>
      <w:r>
        <w:rPr>
          <w:sz w:val="22"/>
          <w:szCs w:val="22"/>
        </w:rPr>
        <w:t xml:space="preserve"> in punto di fatto </w:t>
      </w:r>
      <w:r w:rsidR="008933B1">
        <w:rPr>
          <w:sz w:val="22"/>
          <w:szCs w:val="22"/>
        </w:rPr>
        <w:t>(</w:t>
      </w:r>
      <w:r w:rsidR="008933B1" w:rsidRPr="007F7EBF">
        <w:rPr>
          <w:rStyle w:val="Rimandonotaapidipagina"/>
          <w:sz w:val="22"/>
          <w:szCs w:val="22"/>
        </w:rPr>
        <w:footnoteReference w:id="338"/>
      </w:r>
      <w:r w:rsidR="008933B1">
        <w:rPr>
          <w:sz w:val="22"/>
          <w:szCs w:val="22"/>
        </w:rPr>
        <w:t>)</w:t>
      </w:r>
      <w:r w:rsidR="0024620F">
        <w:rPr>
          <w:sz w:val="22"/>
          <w:szCs w:val="22"/>
        </w:rPr>
        <w:t xml:space="preserve"> </w:t>
      </w:r>
      <w:r w:rsidR="008933B1">
        <w:rPr>
          <w:sz w:val="22"/>
          <w:szCs w:val="22"/>
        </w:rPr>
        <w:t>si innestano qualifi</w:t>
      </w:r>
      <w:r w:rsidR="004D3EDB">
        <w:rPr>
          <w:sz w:val="22"/>
          <w:szCs w:val="22"/>
        </w:rPr>
        <w:t>c</w:t>
      </w:r>
      <w:r w:rsidR="008933B1">
        <w:rPr>
          <w:sz w:val="22"/>
          <w:szCs w:val="22"/>
        </w:rPr>
        <w:t>azioni giuridiche</w:t>
      </w:r>
      <w:r w:rsidR="004D3EDB">
        <w:rPr>
          <w:sz w:val="22"/>
          <w:szCs w:val="22"/>
        </w:rPr>
        <w:t xml:space="preserve">, </w:t>
      </w:r>
      <w:r w:rsidR="004D3EDB">
        <w:rPr>
          <w:bCs/>
        </w:rPr>
        <w:t xml:space="preserve">“questioni di diritto”, da risolvere attraverso la normativa sostanziale (par.2.1) </w:t>
      </w:r>
      <w:r w:rsidR="0024620F">
        <w:rPr>
          <w:bCs/>
        </w:rPr>
        <w:t>sul</w:t>
      </w:r>
      <w:r w:rsidR="00C25EC8">
        <w:rPr>
          <w:bCs/>
        </w:rPr>
        <w:t xml:space="preserve">la specificazione giuridica delle astrazioni economiche </w:t>
      </w:r>
      <w:r w:rsidR="0024620F">
        <w:rPr>
          <w:bCs/>
        </w:rPr>
        <w:t>di cui al par1.8, cioè redditi, consumi etc.</w:t>
      </w:r>
      <w:r w:rsidR="004D3EDB">
        <w:rPr>
          <w:bCs/>
        </w:rPr>
        <w:t xml:space="preserve">. </w:t>
      </w:r>
      <w:r w:rsidR="0024620F">
        <w:rPr>
          <w:bCs/>
        </w:rPr>
        <w:t>La questione interpretativa, o di diritto, segue quella di fatto</w:t>
      </w:r>
      <w:r w:rsidR="0024620F">
        <w:rPr>
          <w:sz w:val="22"/>
          <w:szCs w:val="22"/>
        </w:rPr>
        <w:t xml:space="preserve">, anche secondo </w:t>
      </w:r>
      <w:r w:rsidR="0024620F" w:rsidRPr="007F7EBF">
        <w:t xml:space="preserve">l’aforisma “narra </w:t>
      </w:r>
      <w:proofErr w:type="spellStart"/>
      <w:r w:rsidR="0024620F" w:rsidRPr="007F7EBF">
        <w:t>mihi</w:t>
      </w:r>
      <w:proofErr w:type="spellEnd"/>
      <w:r w:rsidR="0024620F" w:rsidRPr="007F7EBF">
        <w:t xml:space="preserve"> factum, </w:t>
      </w:r>
      <w:proofErr w:type="spellStart"/>
      <w:r w:rsidR="0024620F" w:rsidRPr="007F7EBF">
        <w:t>tibi</w:t>
      </w:r>
      <w:proofErr w:type="spellEnd"/>
      <w:r w:rsidR="0024620F" w:rsidRPr="007F7EBF">
        <w:t xml:space="preserve"> </w:t>
      </w:r>
      <w:proofErr w:type="spellStart"/>
      <w:r w:rsidR="0024620F" w:rsidRPr="007F7EBF">
        <w:t>dabo</w:t>
      </w:r>
      <w:proofErr w:type="spellEnd"/>
      <w:r w:rsidR="0024620F" w:rsidRPr="007F7EBF">
        <w:t xml:space="preserve"> ius”</w:t>
      </w:r>
      <w:r w:rsidR="0024620F">
        <w:t>. Nella questione di diritto, anziché nell’empirismo di quella di fatto, si esplica però tradizionalmente il sapere del giurista come “tecnico”, conoscitore di “regole”. N</w:t>
      </w:r>
      <w:r w:rsidR="00375F4E">
        <w:t xml:space="preserve">ell’autodeterminazione dei tributi, </w:t>
      </w:r>
      <w:r w:rsidR="007F5844">
        <w:t>po</w:t>
      </w:r>
      <w:r w:rsidR="00375F4E">
        <w:t>i</w:t>
      </w:r>
      <w:r w:rsidR="007F5844">
        <w:t xml:space="preserve">, </w:t>
      </w:r>
      <w:r w:rsidR="00A94408">
        <w:t>i</w:t>
      </w:r>
      <w:r w:rsidR="007F5844">
        <w:t xml:space="preserve"> contribuenti </w:t>
      </w:r>
      <w:r w:rsidR="00A94408">
        <w:t xml:space="preserve">(soprattutto le aziende) </w:t>
      </w:r>
      <w:r w:rsidR="0024620F">
        <w:t xml:space="preserve">sono investiti direttamente di questioni interpretative; </w:t>
      </w:r>
      <w:r w:rsidR="00A94408">
        <w:t xml:space="preserve">è </w:t>
      </w:r>
      <w:r w:rsidR="0024620F">
        <w:t xml:space="preserve">infatti </w:t>
      </w:r>
      <w:r w:rsidR="00A94408">
        <w:t xml:space="preserve">normale che i contribuenti </w:t>
      </w:r>
      <w:r w:rsidR="007F5844">
        <w:t>formalizz</w:t>
      </w:r>
      <w:r w:rsidR="00A94408">
        <w:t xml:space="preserve">ino le proprie vicende economiche </w:t>
      </w:r>
      <w:r w:rsidR="0024620F">
        <w:t xml:space="preserve">tenendo conto del relativo </w:t>
      </w:r>
      <w:r w:rsidR="009A7822">
        <w:t>impatto fiscale;</w:t>
      </w:r>
      <w:r w:rsidR="00A94408">
        <w:t xml:space="preserve"> ciò sia per evitare penalizzazioni, sia per ottimizzare i regimi tributari disponibili</w:t>
      </w:r>
      <w:r w:rsidR="00F977BC">
        <w:t xml:space="preserve"> per raggiungere un determinato obiettivo economico e tra loro fungibili; </w:t>
      </w:r>
      <w:r w:rsidR="0024620F">
        <w:t xml:space="preserve">vedremo al par.3.10 come ciò possa </w:t>
      </w:r>
      <w:r w:rsidR="00F977BC">
        <w:t xml:space="preserve">degenerare in </w:t>
      </w:r>
      <w:r w:rsidR="0024620F">
        <w:t>formalismi elusivi</w:t>
      </w:r>
      <w:r w:rsidR="00A94408">
        <w:t xml:space="preserve">. </w:t>
      </w:r>
    </w:p>
    <w:p w14:paraId="7FBA27BE" w14:textId="77777777" w:rsidR="005D68F8" w:rsidRPr="007F7EBF" w:rsidRDefault="00BD3B2E" w:rsidP="005D68F8">
      <w:pPr>
        <w:pStyle w:val="tit23"/>
        <w:ind w:left="6464" w:right="-1361" w:firstLine="0"/>
        <w:jc w:val="left"/>
        <w:rPr>
          <w:bCs/>
          <w:i/>
          <w:iCs/>
          <w:color w:val="0000FF"/>
          <w:lang w:val="it-IT"/>
        </w:rPr>
      </w:pPr>
      <w:r w:rsidRPr="007F7EBF">
        <w:rPr>
          <w:bCs/>
          <w:i/>
          <w:iCs/>
          <w:color w:val="0000FF"/>
          <w:lang w:val="it-IT"/>
        </w:rPr>
        <w:t>Interpretazione e opinabilità: rilevanza dei casi concreti</w:t>
      </w:r>
    </w:p>
    <w:p w14:paraId="3B693E96" w14:textId="77777777" w:rsidR="00300241" w:rsidRDefault="0024620F" w:rsidP="00300241">
      <w:r>
        <w:t xml:space="preserve">Mentre </w:t>
      </w:r>
      <w:r w:rsidRPr="007F7EBF">
        <w:t xml:space="preserve">le questioni di fatto </w:t>
      </w:r>
      <w:r>
        <w:t xml:space="preserve">presentano </w:t>
      </w:r>
      <w:r w:rsidRPr="007F7EBF">
        <w:t>un</w:t>
      </w:r>
      <w:r>
        <w:t>’</w:t>
      </w:r>
      <w:r w:rsidRPr="007F7EBF">
        <w:t>incertezza conoscitiva su cosa è (probabilmente ) accaduto (incertezza sull’e</w:t>
      </w:r>
      <w:r w:rsidRPr="007F7EBF">
        <w:rPr>
          <w:i/>
        </w:rPr>
        <w:t>ssere</w:t>
      </w:r>
      <w:r w:rsidRPr="007F7EBF">
        <w:t>)</w:t>
      </w:r>
      <w:r>
        <w:t xml:space="preserve">, quelle </w:t>
      </w:r>
      <w:r w:rsidRPr="007F7EBF">
        <w:t xml:space="preserve">“di diritto” riguardano la </w:t>
      </w:r>
      <w:r>
        <w:t>conformità a pr</w:t>
      </w:r>
      <w:r w:rsidRPr="007F7EBF">
        <w:t>incipi e valori</w:t>
      </w:r>
      <w:r>
        <w:t xml:space="preserve">, spesso formalizzati in regole </w:t>
      </w:r>
      <w:r w:rsidR="00E450D3">
        <w:rPr>
          <w:sz w:val="22"/>
          <w:szCs w:val="22"/>
        </w:rPr>
        <w:t>(</w:t>
      </w:r>
      <w:r w:rsidR="003C41F1" w:rsidRPr="007F7EBF">
        <w:rPr>
          <w:rStyle w:val="Rimandonotaapidipagina"/>
          <w:bCs/>
          <w:sz w:val="22"/>
          <w:szCs w:val="22"/>
        </w:rPr>
        <w:footnoteReference w:id="339"/>
      </w:r>
      <w:r w:rsidR="00E450D3">
        <w:rPr>
          <w:sz w:val="22"/>
          <w:szCs w:val="22"/>
        </w:rPr>
        <w:t>)</w:t>
      </w:r>
      <w:r w:rsidR="00F1534B">
        <w:rPr>
          <w:sz w:val="22"/>
          <w:szCs w:val="22"/>
        </w:rPr>
        <w:t>. Entrambi i giudizi possono essere molto complessi</w:t>
      </w:r>
      <w:r>
        <w:rPr>
          <w:sz w:val="22"/>
          <w:szCs w:val="22"/>
        </w:rPr>
        <w:t xml:space="preserve"> o </w:t>
      </w:r>
      <w:r w:rsidR="00F1534B">
        <w:rPr>
          <w:sz w:val="22"/>
          <w:szCs w:val="22"/>
        </w:rPr>
        <w:t>istintivi,</w:t>
      </w:r>
      <w:r>
        <w:rPr>
          <w:sz w:val="22"/>
          <w:szCs w:val="22"/>
        </w:rPr>
        <w:t xml:space="preserve"> secondo infinite sfumature</w:t>
      </w:r>
      <w:r w:rsidR="00F1534B">
        <w:rPr>
          <w:sz w:val="22"/>
          <w:szCs w:val="22"/>
        </w:rPr>
        <w:t xml:space="preserve"> </w:t>
      </w:r>
      <w:r>
        <w:rPr>
          <w:sz w:val="22"/>
          <w:szCs w:val="22"/>
        </w:rPr>
        <w:t xml:space="preserve">intermedie; essi sono però sempre “umani”, e non si riducono mai concettualmente </w:t>
      </w:r>
      <w:r w:rsidR="00F1534B">
        <w:rPr>
          <w:sz w:val="22"/>
          <w:szCs w:val="22"/>
        </w:rPr>
        <w:t xml:space="preserve">ad </w:t>
      </w:r>
      <w:r w:rsidR="003C41F1" w:rsidRPr="007F7EBF">
        <w:rPr>
          <w:bCs/>
          <w:sz w:val="22"/>
          <w:szCs w:val="22"/>
        </w:rPr>
        <w:t>operazion</w:t>
      </w:r>
      <w:r w:rsidR="00F1534B">
        <w:rPr>
          <w:bCs/>
          <w:sz w:val="22"/>
          <w:szCs w:val="22"/>
        </w:rPr>
        <w:t>i</w:t>
      </w:r>
      <w:r w:rsidR="003C41F1" w:rsidRPr="007F7EBF">
        <w:rPr>
          <w:bCs/>
          <w:sz w:val="22"/>
          <w:szCs w:val="22"/>
        </w:rPr>
        <w:t xml:space="preserve"> </w:t>
      </w:r>
      <w:r w:rsidR="001A197A" w:rsidRPr="007F7EBF">
        <w:rPr>
          <w:bCs/>
          <w:sz w:val="22"/>
          <w:szCs w:val="22"/>
        </w:rPr>
        <w:t>meccanic</w:t>
      </w:r>
      <w:r w:rsidR="00F1534B">
        <w:rPr>
          <w:bCs/>
          <w:sz w:val="22"/>
          <w:szCs w:val="22"/>
        </w:rPr>
        <w:t xml:space="preserve">he; anche quando sono fulminei </w:t>
      </w:r>
      <w:r>
        <w:rPr>
          <w:bCs/>
          <w:sz w:val="22"/>
          <w:szCs w:val="22"/>
        </w:rPr>
        <w:t xml:space="preserve">essi </w:t>
      </w:r>
      <w:r w:rsidR="00886F96" w:rsidRPr="007F7EBF">
        <w:rPr>
          <w:bCs/>
          <w:sz w:val="22"/>
          <w:szCs w:val="22"/>
        </w:rPr>
        <w:t>comporta</w:t>
      </w:r>
      <w:r w:rsidR="00F1534B">
        <w:rPr>
          <w:bCs/>
          <w:sz w:val="22"/>
          <w:szCs w:val="22"/>
        </w:rPr>
        <w:t>no</w:t>
      </w:r>
      <w:r w:rsidR="00A841B9" w:rsidRPr="007F7EBF">
        <w:rPr>
          <w:bCs/>
          <w:sz w:val="22"/>
          <w:szCs w:val="22"/>
        </w:rPr>
        <w:t xml:space="preserve"> </w:t>
      </w:r>
      <w:r w:rsidR="00A841B9" w:rsidRPr="007F7EBF">
        <w:rPr>
          <w:bCs/>
          <w:sz w:val="22"/>
          <w:szCs w:val="22"/>
        </w:rPr>
        <w:lastRenderedPageBreak/>
        <w:t xml:space="preserve">sempre un’elaborazione intellettuale, </w:t>
      </w:r>
      <w:r w:rsidR="00F1534B">
        <w:rPr>
          <w:bCs/>
          <w:sz w:val="22"/>
          <w:szCs w:val="22"/>
        </w:rPr>
        <w:t xml:space="preserve">anche se talmente rapida </w:t>
      </w:r>
      <w:r w:rsidR="00A841B9" w:rsidRPr="007F7EBF">
        <w:rPr>
          <w:bCs/>
          <w:sz w:val="22"/>
          <w:szCs w:val="22"/>
        </w:rPr>
        <w:t xml:space="preserve">che neppure </w:t>
      </w:r>
      <w:r w:rsidR="001A197A" w:rsidRPr="007F7EBF">
        <w:rPr>
          <w:bCs/>
          <w:sz w:val="22"/>
          <w:szCs w:val="22"/>
        </w:rPr>
        <w:t>ci accorg</w:t>
      </w:r>
      <w:r w:rsidR="00F1534B">
        <w:rPr>
          <w:bCs/>
          <w:sz w:val="22"/>
          <w:szCs w:val="22"/>
        </w:rPr>
        <w:t>iamo</w:t>
      </w:r>
      <w:r w:rsidR="001A197A" w:rsidRPr="007F7EBF">
        <w:rPr>
          <w:bCs/>
          <w:sz w:val="22"/>
          <w:szCs w:val="22"/>
        </w:rPr>
        <w:t xml:space="preserve"> </w:t>
      </w:r>
      <w:r w:rsidR="00A841B9" w:rsidRPr="007F7EBF">
        <w:rPr>
          <w:bCs/>
          <w:sz w:val="22"/>
          <w:szCs w:val="22"/>
        </w:rPr>
        <w:t>di compier</w:t>
      </w:r>
      <w:r w:rsidR="00F1534B">
        <w:rPr>
          <w:bCs/>
          <w:sz w:val="22"/>
          <w:szCs w:val="22"/>
        </w:rPr>
        <w:t xml:space="preserve">la </w:t>
      </w:r>
      <w:r w:rsidR="00E450D3">
        <w:rPr>
          <w:bCs/>
          <w:sz w:val="22"/>
          <w:szCs w:val="22"/>
        </w:rPr>
        <w:t>(</w:t>
      </w:r>
      <w:r w:rsidR="002B2CA2" w:rsidRPr="007F7EBF">
        <w:rPr>
          <w:rStyle w:val="Rimandonotaapidipagina"/>
          <w:bCs/>
          <w:sz w:val="22"/>
          <w:szCs w:val="22"/>
        </w:rPr>
        <w:footnoteReference w:id="340"/>
      </w:r>
      <w:r w:rsidR="00E450D3">
        <w:rPr>
          <w:bCs/>
          <w:sz w:val="22"/>
          <w:szCs w:val="22"/>
        </w:rPr>
        <w:t>)</w:t>
      </w:r>
      <w:r w:rsidR="00A841B9" w:rsidRPr="007F7EBF">
        <w:rPr>
          <w:bCs/>
          <w:sz w:val="22"/>
          <w:szCs w:val="22"/>
        </w:rPr>
        <w:t xml:space="preserve">. </w:t>
      </w:r>
      <w:r w:rsidR="00F903CA">
        <w:rPr>
          <w:bCs/>
          <w:sz w:val="22"/>
          <w:szCs w:val="22"/>
        </w:rPr>
        <w:t xml:space="preserve">Ciò premesso </w:t>
      </w:r>
      <w:r w:rsidR="00B20C68" w:rsidRPr="007F7EBF">
        <w:rPr>
          <w:sz w:val="22"/>
          <w:szCs w:val="22"/>
        </w:rPr>
        <w:t xml:space="preserve">la regola </w:t>
      </w:r>
      <w:r w:rsidR="00F903CA">
        <w:rPr>
          <w:sz w:val="22"/>
          <w:szCs w:val="22"/>
        </w:rPr>
        <w:t xml:space="preserve">da interpretare, nelle questioni di diritto non è </w:t>
      </w:r>
      <w:r w:rsidR="00B20C68" w:rsidRPr="007F7EBF">
        <w:rPr>
          <w:sz w:val="22"/>
          <w:szCs w:val="22"/>
        </w:rPr>
        <w:t xml:space="preserve">chiara o oscura “in sé”, ma </w:t>
      </w:r>
      <w:r w:rsidR="00F903CA">
        <w:rPr>
          <w:sz w:val="22"/>
          <w:szCs w:val="22"/>
        </w:rPr>
        <w:t xml:space="preserve">con riferimento al caso da risolvere; </w:t>
      </w:r>
      <w:r w:rsidR="00B20C68" w:rsidRPr="007F7EBF">
        <w:rPr>
          <w:sz w:val="22"/>
          <w:szCs w:val="22"/>
        </w:rPr>
        <w:t>ogni regola, anche la più chiara, può essere incerta in relazione a qualche caso particolare, e viceversa</w:t>
      </w:r>
      <w:r w:rsidR="00E450D3">
        <w:rPr>
          <w:sz w:val="22"/>
          <w:szCs w:val="22"/>
        </w:rPr>
        <w:t xml:space="preserve"> (</w:t>
      </w:r>
      <w:r w:rsidR="00B20C68" w:rsidRPr="007F7EBF">
        <w:rPr>
          <w:rStyle w:val="Rimandonotaapidipagina"/>
          <w:sz w:val="22"/>
          <w:szCs w:val="22"/>
        </w:rPr>
        <w:footnoteReference w:id="341"/>
      </w:r>
      <w:r w:rsidR="00E450D3">
        <w:rPr>
          <w:sz w:val="22"/>
          <w:szCs w:val="22"/>
        </w:rPr>
        <w:t>)</w:t>
      </w:r>
      <w:r w:rsidR="00A27373">
        <w:rPr>
          <w:sz w:val="22"/>
          <w:szCs w:val="22"/>
        </w:rPr>
        <w:t xml:space="preserve">. </w:t>
      </w:r>
      <w:r w:rsidR="00F515B6">
        <w:rPr>
          <w:sz w:val="22"/>
          <w:szCs w:val="22"/>
        </w:rPr>
        <w:t xml:space="preserve">E’ vano illudersi di risolvere queste possibili </w:t>
      </w:r>
      <w:r w:rsidR="006E2E06" w:rsidRPr="007F7EBF">
        <w:rPr>
          <w:sz w:val="22"/>
          <w:szCs w:val="22"/>
        </w:rPr>
        <w:t>incertezze definendolo</w:t>
      </w:r>
      <w:r w:rsidR="00A70A12">
        <w:rPr>
          <w:sz w:val="22"/>
          <w:szCs w:val="22"/>
        </w:rPr>
        <w:t xml:space="preserve"> </w:t>
      </w:r>
      <w:r w:rsidR="00F515B6">
        <w:rPr>
          <w:sz w:val="22"/>
          <w:szCs w:val="22"/>
        </w:rPr>
        <w:t xml:space="preserve">espressamente i termini legislativi, secondo una </w:t>
      </w:r>
      <w:r w:rsidR="00F515B6">
        <w:t xml:space="preserve">tendenza, di ispirazione anglosassone, che premette alla legge indicazioni definitorie </w:t>
      </w:r>
      <w:r w:rsidR="00F515B6">
        <w:rPr>
          <w:rStyle w:val="Rimandonotaapidipagina"/>
        </w:rPr>
        <w:footnoteReference w:id="342"/>
      </w:r>
      <w:r w:rsidR="00F515B6">
        <w:t>.</w:t>
      </w:r>
      <w:r w:rsidR="00300241">
        <w:t xml:space="preserve"> </w:t>
      </w:r>
      <w:r w:rsidR="00F903CA" w:rsidRPr="007F7EBF">
        <w:t xml:space="preserve">La legislazione, e le istituzioni in genere, non hanno compiti pedagogici, </w:t>
      </w:r>
      <w:r w:rsidR="00F903CA">
        <w:t xml:space="preserve">né </w:t>
      </w:r>
      <w:r w:rsidR="00F903CA" w:rsidRPr="007F7EBF">
        <w:t xml:space="preserve"> “didattico-definitori”</w:t>
      </w:r>
      <w:r w:rsidR="00F903CA">
        <w:t xml:space="preserve">, ma </w:t>
      </w:r>
      <w:r w:rsidR="00F903CA" w:rsidRPr="007F7EBF">
        <w:t>funzioni decisorie o organizzative</w:t>
      </w:r>
      <w:r w:rsidR="00F903CA">
        <w:t xml:space="preserve">, come indicato dal </w:t>
      </w:r>
      <w:r w:rsidR="00F903CA" w:rsidRPr="007F7EBF">
        <w:t>par.2.1, secondo un filo conduttore del testo</w:t>
      </w:r>
      <w:r w:rsidR="00F903CA">
        <w:t>;</w:t>
      </w:r>
      <w:r w:rsidR="00F903CA" w:rsidRPr="007F7EBF">
        <w:t xml:space="preserve"> per questo non si definiscono i principi generali di ogni settore del diritto, a cominciare da buona fede, </w:t>
      </w:r>
      <w:r w:rsidR="00F903CA" w:rsidRPr="007F7EBF">
        <w:lastRenderedPageBreak/>
        <w:t xml:space="preserve">ragionevolezza, proporzionalità, affidamento e tutte le altre clausole generali. </w:t>
      </w:r>
      <w:r w:rsidR="00A70A12">
        <w:rPr>
          <w:sz w:val="22"/>
          <w:szCs w:val="22"/>
        </w:rPr>
        <w:t>(</w:t>
      </w:r>
      <w:r w:rsidR="002B2CA2" w:rsidRPr="007F7EBF">
        <w:rPr>
          <w:rStyle w:val="Rimandonotaapidipagina"/>
          <w:sz w:val="22"/>
          <w:szCs w:val="22"/>
        </w:rPr>
        <w:footnoteReference w:id="343"/>
      </w:r>
      <w:r w:rsidR="00A70A12">
        <w:rPr>
          <w:sz w:val="22"/>
          <w:szCs w:val="22"/>
        </w:rPr>
        <w:t>)</w:t>
      </w:r>
      <w:r w:rsidR="006E2E06" w:rsidRPr="007F7EBF">
        <w:rPr>
          <w:sz w:val="22"/>
          <w:szCs w:val="22"/>
        </w:rPr>
        <w:t>.</w:t>
      </w:r>
      <w:r w:rsidR="00300241">
        <w:rPr>
          <w:sz w:val="22"/>
          <w:szCs w:val="22"/>
        </w:rPr>
        <w:t>(</w:t>
      </w:r>
      <w:r w:rsidR="00300241">
        <w:rPr>
          <w:rStyle w:val="Rimandonotaapidipagina"/>
          <w:sz w:val="22"/>
          <w:szCs w:val="22"/>
        </w:rPr>
        <w:footnoteReference w:id="344"/>
      </w:r>
      <w:r w:rsidR="00300241">
        <w:rPr>
          <w:sz w:val="22"/>
          <w:szCs w:val="22"/>
        </w:rPr>
        <w:t>)</w:t>
      </w:r>
      <w:r w:rsidR="00300241">
        <w:t xml:space="preserve"> </w:t>
      </w:r>
    </w:p>
    <w:p w14:paraId="23938F53" w14:textId="4F92D709" w:rsidR="00B20C68" w:rsidRPr="007F7EBF" w:rsidRDefault="00B20C68" w:rsidP="00F62B51">
      <w:pPr>
        <w:rPr>
          <w:sz w:val="22"/>
          <w:szCs w:val="22"/>
        </w:rPr>
      </w:pPr>
    </w:p>
    <w:p w14:paraId="6EEE1AD2" w14:textId="30A6C606" w:rsidR="00BD3B2E" w:rsidRPr="007F7EBF" w:rsidRDefault="00B20C68" w:rsidP="00B20C68">
      <w:pPr>
        <w:pStyle w:val="testo2"/>
        <w:ind w:firstLine="0"/>
        <w:rPr>
          <w:lang w:val="it-IT"/>
        </w:rPr>
      </w:pPr>
      <w:r w:rsidRPr="007F7EBF">
        <w:rPr>
          <w:lang w:val="it-IT"/>
        </w:rPr>
        <w:lastRenderedPageBreak/>
        <w:t xml:space="preserve">I dubbi interpretativi spaziano quindi, secondo varie sfumature intermedie, da soluzioni “certamente esatte” a soluzioni altrettanto “certamente sbagliate”, passando per </w:t>
      </w:r>
      <w:r w:rsidR="007B2204">
        <w:rPr>
          <w:lang w:val="it-IT"/>
        </w:rPr>
        <w:t xml:space="preserve">soluzioni variamente </w:t>
      </w:r>
      <w:r w:rsidR="009E60FC">
        <w:rPr>
          <w:lang w:val="it-IT"/>
        </w:rPr>
        <w:t>sostenibili</w:t>
      </w:r>
      <w:r w:rsidRPr="007F7EBF">
        <w:rPr>
          <w:lang w:val="it-IT"/>
        </w:rPr>
        <w:t xml:space="preserve">. </w:t>
      </w:r>
    </w:p>
    <w:p w14:paraId="3F87E8EB" w14:textId="77777777" w:rsidR="00BD3B2E" w:rsidRPr="007F7EBF" w:rsidRDefault="002034F7" w:rsidP="00BD3B2E">
      <w:pPr>
        <w:pStyle w:val="tit23"/>
        <w:ind w:left="6464" w:right="-1361" w:firstLine="0"/>
        <w:jc w:val="left"/>
        <w:rPr>
          <w:bCs/>
          <w:i/>
          <w:iCs/>
          <w:color w:val="0000FF"/>
          <w:lang w:val="it-IT"/>
        </w:rPr>
      </w:pPr>
      <w:r>
        <w:rPr>
          <w:bCs/>
          <w:i/>
          <w:iCs/>
          <w:color w:val="0000FF"/>
          <w:lang w:val="it-IT"/>
        </w:rPr>
        <w:t>Generalità e contenuto dell’interpretazione</w:t>
      </w:r>
    </w:p>
    <w:p w14:paraId="5BFF584F" w14:textId="6B1636B1" w:rsidR="00F7049D" w:rsidRPr="007F7EBF" w:rsidRDefault="00676AE7" w:rsidP="00F7049D">
      <w:pPr>
        <w:autoSpaceDE w:val="0"/>
        <w:autoSpaceDN w:val="0"/>
        <w:adjustRightInd w:val="0"/>
        <w:rPr>
          <w:sz w:val="22"/>
          <w:szCs w:val="22"/>
        </w:rPr>
      </w:pPr>
      <w:r>
        <w:rPr>
          <w:sz w:val="22"/>
          <w:szCs w:val="22"/>
        </w:rPr>
        <w:t xml:space="preserve">L’interpretazione può riferirsi a ogni regola, </w:t>
      </w:r>
      <w:r w:rsidR="00A26991">
        <w:rPr>
          <w:sz w:val="22"/>
          <w:szCs w:val="22"/>
        </w:rPr>
        <w:t>anche moral</w:t>
      </w:r>
      <w:r>
        <w:rPr>
          <w:sz w:val="22"/>
          <w:szCs w:val="22"/>
        </w:rPr>
        <w:t>e</w:t>
      </w:r>
      <w:r w:rsidR="00A26991">
        <w:rPr>
          <w:sz w:val="22"/>
          <w:szCs w:val="22"/>
        </w:rPr>
        <w:t xml:space="preserve"> o religios</w:t>
      </w:r>
      <w:r>
        <w:rPr>
          <w:sz w:val="22"/>
          <w:szCs w:val="22"/>
        </w:rPr>
        <w:t>a</w:t>
      </w:r>
      <w:r w:rsidR="00A26991">
        <w:rPr>
          <w:sz w:val="22"/>
          <w:szCs w:val="22"/>
        </w:rPr>
        <w:t xml:space="preserve">, </w:t>
      </w:r>
      <w:r>
        <w:rPr>
          <w:sz w:val="22"/>
          <w:szCs w:val="22"/>
        </w:rPr>
        <w:t xml:space="preserve">ma quella </w:t>
      </w:r>
      <w:r w:rsidR="00A26991">
        <w:rPr>
          <w:sz w:val="22"/>
          <w:szCs w:val="22"/>
        </w:rPr>
        <w:t>giuridica</w:t>
      </w:r>
      <w:r w:rsidR="00BC466C">
        <w:rPr>
          <w:sz w:val="22"/>
          <w:szCs w:val="22"/>
        </w:rPr>
        <w:t>, anche quando effettuata da privati</w:t>
      </w:r>
      <w:r w:rsidR="00802488">
        <w:rPr>
          <w:sz w:val="22"/>
          <w:szCs w:val="22"/>
        </w:rPr>
        <w:t xml:space="preserve"> </w:t>
      </w:r>
      <w:r w:rsidR="00BC466C">
        <w:rPr>
          <w:sz w:val="22"/>
          <w:szCs w:val="22"/>
        </w:rPr>
        <w:t>(</w:t>
      </w:r>
      <w:r w:rsidR="00BC466C">
        <w:rPr>
          <w:rStyle w:val="Rimandonotaapidipagina"/>
          <w:sz w:val="22"/>
          <w:szCs w:val="22"/>
        </w:rPr>
        <w:footnoteReference w:id="345"/>
      </w:r>
      <w:r w:rsidR="00BC466C">
        <w:rPr>
          <w:sz w:val="22"/>
          <w:szCs w:val="22"/>
        </w:rPr>
        <w:t>), ri</w:t>
      </w:r>
      <w:r>
        <w:rPr>
          <w:sz w:val="22"/>
          <w:szCs w:val="22"/>
        </w:rPr>
        <w:t>guarda</w:t>
      </w:r>
      <w:r w:rsidR="00802488">
        <w:rPr>
          <w:sz w:val="22"/>
          <w:szCs w:val="22"/>
        </w:rPr>
        <w:t xml:space="preserve"> l</w:t>
      </w:r>
      <w:r>
        <w:rPr>
          <w:sz w:val="22"/>
          <w:szCs w:val="22"/>
        </w:rPr>
        <w:t xml:space="preserve">’esercizio </w:t>
      </w:r>
      <w:r w:rsidR="00802488">
        <w:rPr>
          <w:sz w:val="22"/>
          <w:szCs w:val="22"/>
        </w:rPr>
        <w:t xml:space="preserve">prospettico </w:t>
      </w:r>
      <w:r w:rsidR="00BC466C">
        <w:rPr>
          <w:sz w:val="22"/>
          <w:szCs w:val="22"/>
        </w:rPr>
        <w:t>d</w:t>
      </w:r>
      <w:r w:rsidR="007B2204">
        <w:rPr>
          <w:sz w:val="22"/>
          <w:szCs w:val="22"/>
        </w:rPr>
        <w:t>i</w:t>
      </w:r>
      <w:r w:rsidR="00A26991">
        <w:rPr>
          <w:sz w:val="22"/>
          <w:szCs w:val="22"/>
        </w:rPr>
        <w:t xml:space="preserve"> funzion</w:t>
      </w:r>
      <w:r w:rsidR="00BC466C">
        <w:rPr>
          <w:sz w:val="22"/>
          <w:szCs w:val="22"/>
        </w:rPr>
        <w:t>i</w:t>
      </w:r>
      <w:r w:rsidR="00A26991">
        <w:rPr>
          <w:sz w:val="22"/>
          <w:szCs w:val="22"/>
        </w:rPr>
        <w:t xml:space="preserve"> pubblic</w:t>
      </w:r>
      <w:r w:rsidR="00BC466C">
        <w:rPr>
          <w:sz w:val="22"/>
          <w:szCs w:val="22"/>
        </w:rPr>
        <w:t>he</w:t>
      </w:r>
      <w:r w:rsidR="007B2204">
        <w:rPr>
          <w:sz w:val="22"/>
          <w:szCs w:val="22"/>
        </w:rPr>
        <w:t xml:space="preserve"> (</w:t>
      </w:r>
      <w:r>
        <w:rPr>
          <w:sz w:val="22"/>
          <w:szCs w:val="22"/>
        </w:rPr>
        <w:t>par.1.3</w:t>
      </w:r>
      <w:bookmarkStart w:id="40" w:name="_Hlk55415457"/>
      <w:r w:rsidR="007B2204">
        <w:rPr>
          <w:sz w:val="22"/>
          <w:szCs w:val="22"/>
        </w:rPr>
        <w:t>)</w:t>
      </w:r>
      <w:r w:rsidR="00BC466C">
        <w:rPr>
          <w:sz w:val="22"/>
          <w:szCs w:val="22"/>
        </w:rPr>
        <w:t>.</w:t>
      </w:r>
      <w:r w:rsidR="00A26991">
        <w:rPr>
          <w:sz w:val="22"/>
          <w:szCs w:val="22"/>
        </w:rPr>
        <w:t xml:space="preserve"> </w:t>
      </w:r>
      <w:r w:rsidR="00D97705">
        <w:rPr>
          <w:sz w:val="22"/>
          <w:szCs w:val="22"/>
        </w:rPr>
        <w:t>L</w:t>
      </w:r>
      <w:r w:rsidR="00CC09CC" w:rsidRPr="007F7EBF">
        <w:rPr>
          <w:sz w:val="22"/>
          <w:szCs w:val="22"/>
        </w:rPr>
        <w:t>'interpret</w:t>
      </w:r>
      <w:r w:rsidR="00D97705">
        <w:rPr>
          <w:sz w:val="22"/>
          <w:szCs w:val="22"/>
        </w:rPr>
        <w:t>azion</w:t>
      </w:r>
      <w:r w:rsidR="00CC09CC" w:rsidRPr="007F7EBF">
        <w:rPr>
          <w:sz w:val="22"/>
          <w:szCs w:val="22"/>
        </w:rPr>
        <w:t>e</w:t>
      </w:r>
      <w:r w:rsidR="002034F7">
        <w:rPr>
          <w:sz w:val="22"/>
          <w:szCs w:val="22"/>
        </w:rPr>
        <w:t xml:space="preserve">, chiunque </w:t>
      </w:r>
      <w:r w:rsidR="00BC466C">
        <w:rPr>
          <w:sz w:val="22"/>
          <w:szCs w:val="22"/>
        </w:rPr>
        <w:t>la effettui</w:t>
      </w:r>
      <w:r w:rsidR="002034F7">
        <w:rPr>
          <w:sz w:val="22"/>
          <w:szCs w:val="22"/>
        </w:rPr>
        <w:t xml:space="preserve">, si </w:t>
      </w:r>
      <w:r w:rsidR="007B2204">
        <w:rPr>
          <w:sz w:val="22"/>
          <w:szCs w:val="22"/>
        </w:rPr>
        <w:t xml:space="preserve">presenta </w:t>
      </w:r>
      <w:r w:rsidR="002034F7">
        <w:rPr>
          <w:sz w:val="22"/>
          <w:szCs w:val="22"/>
        </w:rPr>
        <w:t xml:space="preserve">come “oggettiva”, cioè </w:t>
      </w:r>
      <w:r w:rsidR="00802488">
        <w:rPr>
          <w:sz w:val="22"/>
          <w:szCs w:val="22"/>
        </w:rPr>
        <w:t xml:space="preserve">basata su </w:t>
      </w:r>
      <w:r w:rsidR="00CC09CC" w:rsidRPr="007F7EBF">
        <w:rPr>
          <w:sz w:val="22"/>
          <w:szCs w:val="22"/>
        </w:rPr>
        <w:t>"argomenti interpretativi",</w:t>
      </w:r>
      <w:r w:rsidR="002034F7">
        <w:rPr>
          <w:sz w:val="22"/>
          <w:szCs w:val="22"/>
        </w:rPr>
        <w:t xml:space="preserve"> cioè fonti</w:t>
      </w:r>
      <w:r w:rsidR="002F446B" w:rsidRPr="007F7EBF">
        <w:rPr>
          <w:sz w:val="22"/>
          <w:szCs w:val="22"/>
        </w:rPr>
        <w:t xml:space="preserve"> </w:t>
      </w:r>
      <w:r w:rsidR="00CC09CC" w:rsidRPr="007F7EBF">
        <w:rPr>
          <w:sz w:val="22"/>
          <w:szCs w:val="22"/>
        </w:rPr>
        <w:t>esterne, come la legislazione, la giuris</w:t>
      </w:r>
      <w:r w:rsidR="002F446B" w:rsidRPr="007F7EBF">
        <w:rPr>
          <w:sz w:val="22"/>
          <w:szCs w:val="22"/>
        </w:rPr>
        <w:t>prudenza,</w:t>
      </w:r>
      <w:r w:rsidR="00CC09CC" w:rsidRPr="007F7EBF">
        <w:rPr>
          <w:sz w:val="22"/>
          <w:szCs w:val="22"/>
        </w:rPr>
        <w:t xml:space="preserve"> altr</w:t>
      </w:r>
      <w:r w:rsidR="002F446B" w:rsidRPr="007F7EBF">
        <w:rPr>
          <w:sz w:val="22"/>
          <w:szCs w:val="22"/>
        </w:rPr>
        <w:t>i "materiali normativi"</w:t>
      </w:r>
      <w:r w:rsidR="002034F7">
        <w:rPr>
          <w:sz w:val="22"/>
          <w:szCs w:val="22"/>
        </w:rPr>
        <w:t xml:space="preserve">, principi e valori adeguatamente radicati nella società </w:t>
      </w:r>
      <w:r w:rsidR="002F446B" w:rsidRPr="007F7EBF">
        <w:rPr>
          <w:sz w:val="22"/>
          <w:szCs w:val="22"/>
        </w:rPr>
        <w:t xml:space="preserve"> (</w:t>
      </w:r>
      <w:r w:rsidR="002F446B" w:rsidRPr="007F7EBF">
        <w:rPr>
          <w:rStyle w:val="Rimandonotaapidipagina"/>
          <w:sz w:val="22"/>
          <w:szCs w:val="22"/>
        </w:rPr>
        <w:footnoteReference w:id="346"/>
      </w:r>
      <w:r w:rsidR="002F446B" w:rsidRPr="007F7EBF">
        <w:rPr>
          <w:sz w:val="22"/>
          <w:szCs w:val="22"/>
        </w:rPr>
        <w:t xml:space="preserve">); </w:t>
      </w:r>
      <w:r w:rsidR="002034F7">
        <w:rPr>
          <w:sz w:val="22"/>
          <w:szCs w:val="22"/>
        </w:rPr>
        <w:t>la comparazione tra questi diversi “argomenti” i</w:t>
      </w:r>
      <w:r w:rsidR="004061B3" w:rsidRPr="007F7EBF">
        <w:rPr>
          <w:sz w:val="22"/>
          <w:szCs w:val="22"/>
        </w:rPr>
        <w:t>nterpretativi, letterali e logico sistematici</w:t>
      </w:r>
      <w:r w:rsidR="002034F7">
        <w:rPr>
          <w:sz w:val="22"/>
          <w:szCs w:val="22"/>
        </w:rPr>
        <w:t xml:space="preserve">, può presentare sfumature di incertezza, definibili come “discrezionalità interpretativa”, </w:t>
      </w:r>
      <w:bookmarkEnd w:id="40"/>
      <w:r w:rsidR="002034F7">
        <w:rPr>
          <w:sz w:val="22"/>
          <w:szCs w:val="22"/>
        </w:rPr>
        <w:t xml:space="preserve">tanto per </w:t>
      </w:r>
      <w:r w:rsidR="00B35AA0">
        <w:rPr>
          <w:sz w:val="22"/>
          <w:szCs w:val="22"/>
        </w:rPr>
        <w:t>anticipare</w:t>
      </w:r>
      <w:r w:rsidR="002034F7">
        <w:rPr>
          <w:sz w:val="22"/>
          <w:szCs w:val="22"/>
        </w:rPr>
        <w:t xml:space="preserve"> che profili valutativi </w:t>
      </w:r>
      <w:r w:rsidR="00BC466C">
        <w:rPr>
          <w:sz w:val="22"/>
          <w:szCs w:val="22"/>
        </w:rPr>
        <w:t>si</w:t>
      </w:r>
      <w:r w:rsidR="002034F7">
        <w:rPr>
          <w:sz w:val="22"/>
          <w:szCs w:val="22"/>
        </w:rPr>
        <w:t xml:space="preserve"> ritrova</w:t>
      </w:r>
      <w:r w:rsidR="00BC466C">
        <w:rPr>
          <w:sz w:val="22"/>
          <w:szCs w:val="22"/>
        </w:rPr>
        <w:t>no</w:t>
      </w:r>
      <w:r w:rsidR="002034F7">
        <w:rPr>
          <w:sz w:val="22"/>
          <w:szCs w:val="22"/>
        </w:rPr>
        <w:t xml:space="preserve"> in tutte le funzioni giuridiche</w:t>
      </w:r>
      <w:r w:rsidR="00B35AA0">
        <w:rPr>
          <w:sz w:val="22"/>
          <w:szCs w:val="22"/>
        </w:rPr>
        <w:t>, come vedremo meglio al par.5.10</w:t>
      </w:r>
      <w:r w:rsidR="002034F7">
        <w:rPr>
          <w:sz w:val="22"/>
          <w:szCs w:val="22"/>
        </w:rPr>
        <w:t xml:space="preserve">. </w:t>
      </w:r>
    </w:p>
    <w:p w14:paraId="6DEBBFD7" w14:textId="77777777" w:rsidR="00F7049D" w:rsidRPr="007F7EBF" w:rsidRDefault="00F7049D" w:rsidP="00F7049D">
      <w:pPr>
        <w:pStyle w:val="tit23"/>
        <w:ind w:left="6464" w:right="-1361" w:firstLine="0"/>
        <w:jc w:val="left"/>
        <w:rPr>
          <w:bCs/>
          <w:i/>
          <w:iCs/>
          <w:color w:val="0000FF"/>
          <w:lang w:val="it-IT"/>
        </w:rPr>
      </w:pPr>
      <w:r w:rsidRPr="007F7EBF">
        <w:rPr>
          <w:bCs/>
          <w:i/>
          <w:iCs/>
          <w:color w:val="0000FF"/>
          <w:lang w:val="it-IT"/>
        </w:rPr>
        <w:t xml:space="preserve">Interpretazione e </w:t>
      </w:r>
      <w:r w:rsidR="001E76CA">
        <w:rPr>
          <w:bCs/>
          <w:i/>
          <w:iCs/>
          <w:color w:val="0000FF"/>
          <w:lang w:val="it-IT"/>
        </w:rPr>
        <w:t>funzioni</w:t>
      </w:r>
      <w:r w:rsidRPr="007F7EBF">
        <w:rPr>
          <w:bCs/>
          <w:i/>
          <w:iCs/>
          <w:color w:val="0000FF"/>
          <w:lang w:val="it-IT"/>
        </w:rPr>
        <w:t xml:space="preserve"> non giurisdizionali</w:t>
      </w:r>
    </w:p>
    <w:p w14:paraId="082B7F97" w14:textId="65DB486F" w:rsidR="00764CE8" w:rsidRPr="007F7EBF" w:rsidRDefault="0086154D" w:rsidP="00764CE8">
      <w:pPr>
        <w:autoSpaceDE w:val="0"/>
        <w:autoSpaceDN w:val="0"/>
        <w:adjustRightInd w:val="0"/>
        <w:rPr>
          <w:sz w:val="22"/>
          <w:szCs w:val="22"/>
        </w:rPr>
      </w:pPr>
      <w:r>
        <w:rPr>
          <w:sz w:val="22"/>
          <w:szCs w:val="22"/>
        </w:rPr>
        <w:t xml:space="preserve">Nella tradizionale concezione </w:t>
      </w:r>
      <w:r w:rsidR="00B35AA0">
        <w:rPr>
          <w:sz w:val="22"/>
          <w:szCs w:val="22"/>
        </w:rPr>
        <w:t xml:space="preserve">privatistico-giurisdizionale </w:t>
      </w:r>
      <w:r>
        <w:rPr>
          <w:sz w:val="22"/>
          <w:szCs w:val="22"/>
        </w:rPr>
        <w:t>del diritto (</w:t>
      </w:r>
      <w:r w:rsidR="00B35AA0">
        <w:rPr>
          <w:sz w:val="22"/>
          <w:szCs w:val="22"/>
        </w:rPr>
        <w:t>par.1.3</w:t>
      </w:r>
      <w:r>
        <w:rPr>
          <w:sz w:val="22"/>
          <w:szCs w:val="22"/>
        </w:rPr>
        <w:t xml:space="preserve">) l’interpretazione fu vista </w:t>
      </w:r>
      <w:r w:rsidR="003F2803">
        <w:rPr>
          <w:sz w:val="22"/>
          <w:szCs w:val="22"/>
        </w:rPr>
        <w:t xml:space="preserve">come </w:t>
      </w:r>
      <w:r w:rsidR="005F0513">
        <w:rPr>
          <w:sz w:val="22"/>
          <w:szCs w:val="22"/>
        </w:rPr>
        <w:t>estrapola</w:t>
      </w:r>
      <w:r w:rsidR="003F2803">
        <w:rPr>
          <w:sz w:val="22"/>
          <w:szCs w:val="22"/>
        </w:rPr>
        <w:t>zione di</w:t>
      </w:r>
      <w:r w:rsidR="005F0513">
        <w:rPr>
          <w:sz w:val="22"/>
          <w:szCs w:val="22"/>
        </w:rPr>
        <w:t xml:space="preserve"> significati </w:t>
      </w:r>
      <w:r w:rsidR="00B35AA0">
        <w:rPr>
          <w:sz w:val="22"/>
          <w:szCs w:val="22"/>
        </w:rPr>
        <w:t>dai materiali normativi</w:t>
      </w:r>
      <w:r w:rsidR="003F2803">
        <w:rPr>
          <w:sz w:val="22"/>
          <w:szCs w:val="22"/>
        </w:rPr>
        <w:t xml:space="preserve">, </w:t>
      </w:r>
      <w:r w:rsidR="00090316">
        <w:rPr>
          <w:sz w:val="22"/>
          <w:szCs w:val="22"/>
        </w:rPr>
        <w:t xml:space="preserve">mentre oggi si afferma </w:t>
      </w:r>
      <w:r w:rsidR="00BC424D">
        <w:rPr>
          <w:sz w:val="22"/>
          <w:szCs w:val="22"/>
        </w:rPr>
        <w:t xml:space="preserve">una </w:t>
      </w:r>
      <w:r w:rsidR="003F2803">
        <w:rPr>
          <w:sz w:val="22"/>
          <w:szCs w:val="22"/>
        </w:rPr>
        <w:t>maggiore possibilità del giudice di farsi interprete dei valori sociali del periodo</w:t>
      </w:r>
      <w:r w:rsidR="00BC424D">
        <w:rPr>
          <w:sz w:val="22"/>
          <w:szCs w:val="22"/>
        </w:rPr>
        <w:t xml:space="preserve">. </w:t>
      </w:r>
      <w:r w:rsidR="00090316">
        <w:rPr>
          <w:sz w:val="22"/>
          <w:szCs w:val="22"/>
        </w:rPr>
        <w:t xml:space="preserve">Sono due eccessi, tra cui la teoria del diritto oscilla da secoli, soprattutto perché guarda ad una funzione pubblica difficile come quella giurisdizionale. Guardando alle funzioni pubbliche in genere è invece più facile capire i limiti a quella giurisdizionale, cui non è dato un potere di indirizzo sull’assetto dei rapporti economico sociali. I valori e le regole, rispetto al giudice, sono cioè quelli che sono, con amplissimi margini di apprezzamento, ma in genere senza i poteri di indirizzo e mediazione </w:t>
      </w:r>
      <w:r w:rsidR="00090316">
        <w:rPr>
          <w:sz w:val="22"/>
          <w:szCs w:val="22"/>
        </w:rPr>
        <w:lastRenderedPageBreak/>
        <w:t xml:space="preserve">politica che danno luogo alla c.d. </w:t>
      </w:r>
      <w:r w:rsidR="00090316">
        <w:rPr>
          <w:i/>
          <w:iCs/>
          <w:sz w:val="22"/>
          <w:szCs w:val="22"/>
        </w:rPr>
        <w:t xml:space="preserve">discrezionalità </w:t>
      </w:r>
      <w:r w:rsidR="00090316">
        <w:rPr>
          <w:sz w:val="22"/>
          <w:szCs w:val="22"/>
        </w:rPr>
        <w:t>di cui al par.5.10. Se quindi si guarda alle funzioni pubbliche in genere si capisce anche quella giurisdizionale</w:t>
      </w:r>
      <w:r w:rsidR="00083F8C">
        <w:rPr>
          <w:sz w:val="22"/>
          <w:szCs w:val="22"/>
        </w:rPr>
        <w:t>, ed il potere di indirizzo ad essa attribuito, che poi è quello di f</w:t>
      </w:r>
      <w:r w:rsidR="00B854EB">
        <w:rPr>
          <w:sz w:val="22"/>
          <w:szCs w:val="22"/>
        </w:rPr>
        <w:t>arsi interpret</w:t>
      </w:r>
      <w:r w:rsidR="003F2803">
        <w:rPr>
          <w:sz w:val="22"/>
          <w:szCs w:val="22"/>
        </w:rPr>
        <w:t>e</w:t>
      </w:r>
      <w:r w:rsidR="00B854EB">
        <w:rPr>
          <w:sz w:val="22"/>
          <w:szCs w:val="22"/>
        </w:rPr>
        <w:t xml:space="preserve"> dei propri compiti, </w:t>
      </w:r>
      <w:r w:rsidR="00083F8C">
        <w:rPr>
          <w:sz w:val="22"/>
          <w:szCs w:val="22"/>
        </w:rPr>
        <w:t xml:space="preserve">come accade per tutte le altre funzioni, </w:t>
      </w:r>
      <w:r w:rsidR="00B854EB">
        <w:rPr>
          <w:sz w:val="22"/>
          <w:szCs w:val="22"/>
        </w:rPr>
        <w:t>siano ess</w:t>
      </w:r>
      <w:r w:rsidR="00083F8C">
        <w:rPr>
          <w:sz w:val="22"/>
          <w:szCs w:val="22"/>
        </w:rPr>
        <w:t>e</w:t>
      </w:r>
      <w:r w:rsidR="00B854EB">
        <w:rPr>
          <w:sz w:val="22"/>
          <w:szCs w:val="22"/>
        </w:rPr>
        <w:t xml:space="preserve"> di sicurezza, ambientali, educativi, </w:t>
      </w:r>
      <w:r w:rsidR="00024C67">
        <w:rPr>
          <w:sz w:val="22"/>
          <w:szCs w:val="22"/>
        </w:rPr>
        <w:t>sanitari</w:t>
      </w:r>
      <w:r w:rsidR="00B854EB">
        <w:rPr>
          <w:sz w:val="22"/>
          <w:szCs w:val="22"/>
        </w:rPr>
        <w:t>,</w:t>
      </w:r>
      <w:r w:rsidR="00024C67">
        <w:rPr>
          <w:sz w:val="22"/>
          <w:szCs w:val="22"/>
        </w:rPr>
        <w:t xml:space="preserve"> previdenziali, o tributari</w:t>
      </w:r>
      <w:r w:rsidR="00083F8C">
        <w:rPr>
          <w:sz w:val="22"/>
          <w:szCs w:val="22"/>
        </w:rPr>
        <w:t>e</w:t>
      </w:r>
      <w:r w:rsidR="00B854EB">
        <w:rPr>
          <w:sz w:val="22"/>
          <w:szCs w:val="22"/>
        </w:rPr>
        <w:t>.</w:t>
      </w:r>
    </w:p>
    <w:p w14:paraId="07CA674D" w14:textId="6DDFE9C9" w:rsidR="00764CE8" w:rsidRPr="007F7EBF" w:rsidRDefault="00764CE8" w:rsidP="00764CE8">
      <w:pPr>
        <w:pStyle w:val="tit23"/>
        <w:ind w:left="6464" w:right="-1361" w:firstLine="0"/>
        <w:jc w:val="left"/>
        <w:rPr>
          <w:bCs/>
          <w:i/>
          <w:iCs/>
          <w:color w:val="0000FF"/>
          <w:lang w:val="it-IT"/>
        </w:rPr>
      </w:pPr>
      <w:r w:rsidRPr="007F7EBF">
        <w:rPr>
          <w:bCs/>
          <w:i/>
          <w:iCs/>
          <w:color w:val="0000FF"/>
          <w:lang w:val="it-IT"/>
        </w:rPr>
        <w:t>interpretazione funzionale</w:t>
      </w:r>
      <w:r w:rsidR="006830F4">
        <w:rPr>
          <w:bCs/>
          <w:i/>
          <w:iCs/>
          <w:color w:val="0000FF"/>
          <w:lang w:val="it-IT"/>
        </w:rPr>
        <w:t xml:space="preserve"> e </w:t>
      </w:r>
      <w:r w:rsidR="00AE4A88">
        <w:rPr>
          <w:bCs/>
          <w:i/>
          <w:iCs/>
          <w:color w:val="0000FF"/>
          <w:lang w:val="it-IT"/>
        </w:rPr>
        <w:t>oggetto economico</w:t>
      </w:r>
    </w:p>
    <w:p w14:paraId="30D71D2E" w14:textId="7FD62434" w:rsidR="006830F4" w:rsidRPr="007F7EBF" w:rsidRDefault="00083F8C" w:rsidP="006830F4">
      <w:pPr>
        <w:autoSpaceDE w:val="0"/>
        <w:autoSpaceDN w:val="0"/>
        <w:adjustRightInd w:val="0"/>
        <w:rPr>
          <w:sz w:val="22"/>
          <w:szCs w:val="22"/>
        </w:rPr>
      </w:pPr>
      <w:r>
        <w:rPr>
          <w:sz w:val="22"/>
          <w:szCs w:val="22"/>
        </w:rPr>
        <w:t xml:space="preserve">Tutti i pubblici uffici, ed anche i privati, </w:t>
      </w:r>
      <w:r w:rsidR="00F468D9" w:rsidRPr="007F7EBF">
        <w:rPr>
          <w:sz w:val="22"/>
          <w:szCs w:val="22"/>
        </w:rPr>
        <w:t xml:space="preserve">interpretano </w:t>
      </w:r>
      <w:r>
        <w:rPr>
          <w:sz w:val="22"/>
          <w:szCs w:val="22"/>
        </w:rPr>
        <w:t xml:space="preserve">quindi valori e regole </w:t>
      </w:r>
      <w:r w:rsidR="00F468D9" w:rsidRPr="007F7EBF">
        <w:rPr>
          <w:sz w:val="22"/>
          <w:szCs w:val="22"/>
        </w:rPr>
        <w:t>conformemente ai propri ruoli</w:t>
      </w:r>
      <w:r>
        <w:rPr>
          <w:sz w:val="22"/>
          <w:szCs w:val="22"/>
        </w:rPr>
        <w:t xml:space="preserve">, anche se solo i pubblici uffici formalizzano la propria interpretazione in atti espressivi di autorità. Concettualmente, quindi, </w:t>
      </w:r>
      <w:r w:rsidR="00B854EB">
        <w:rPr>
          <w:sz w:val="22"/>
          <w:szCs w:val="22"/>
        </w:rPr>
        <w:t>l’interpretazione è tutta “funzionale”</w:t>
      </w:r>
      <w:r>
        <w:rPr>
          <w:sz w:val="22"/>
          <w:szCs w:val="22"/>
        </w:rPr>
        <w:t xml:space="preserve"> e</w:t>
      </w:r>
      <w:r w:rsidR="00B854EB">
        <w:rPr>
          <w:sz w:val="22"/>
          <w:szCs w:val="22"/>
        </w:rPr>
        <w:t xml:space="preserve"> </w:t>
      </w:r>
      <w:r>
        <w:rPr>
          <w:sz w:val="22"/>
          <w:szCs w:val="22"/>
        </w:rPr>
        <w:t>nel diritto tributario sostanziale (par.2.1) questa funzionalità è diretta ai presupposti economici d’imposta</w:t>
      </w:r>
      <w:r w:rsidR="00F468D9">
        <w:rPr>
          <w:sz w:val="22"/>
          <w:szCs w:val="22"/>
        </w:rPr>
        <w:t xml:space="preserve"> indicat</w:t>
      </w:r>
      <w:r>
        <w:rPr>
          <w:sz w:val="22"/>
          <w:szCs w:val="22"/>
        </w:rPr>
        <w:t>i</w:t>
      </w:r>
      <w:r w:rsidR="00F468D9">
        <w:rPr>
          <w:sz w:val="22"/>
          <w:szCs w:val="22"/>
        </w:rPr>
        <w:t xml:space="preserve"> al par.1.8 (ricavi, costi, consumi, reddito etc.)</w:t>
      </w:r>
      <w:r>
        <w:rPr>
          <w:sz w:val="22"/>
          <w:szCs w:val="22"/>
        </w:rPr>
        <w:t xml:space="preserve">. E’ questo il contesto tributario cui va riferito il </w:t>
      </w:r>
      <w:r w:rsidR="006830F4">
        <w:t xml:space="preserve">“senso proprio delle parole” (art.12 preleggi), </w:t>
      </w:r>
      <w:r>
        <w:t xml:space="preserve">che in assoluto non esiste, variando per </w:t>
      </w:r>
      <w:r w:rsidR="006830F4">
        <w:rPr>
          <w:bCs/>
        </w:rPr>
        <w:t xml:space="preserve">funzioni diverse, </w:t>
      </w:r>
      <w:r w:rsidR="006830F4">
        <w:t xml:space="preserve">ad es. </w:t>
      </w:r>
      <w:r w:rsidR="006830F4" w:rsidRPr="007F7EBF">
        <w:t>sanitari</w:t>
      </w:r>
      <w:r w:rsidR="006830F4">
        <w:t>e</w:t>
      </w:r>
      <w:r w:rsidR="006830F4" w:rsidRPr="007F7EBF">
        <w:t>, cultural</w:t>
      </w:r>
      <w:r w:rsidR="006830F4">
        <w:t>i</w:t>
      </w:r>
      <w:r w:rsidR="006830F4" w:rsidRPr="007F7EBF">
        <w:t>, ambiental</w:t>
      </w:r>
      <w:r w:rsidR="006830F4">
        <w:t>i,</w:t>
      </w:r>
      <w:r w:rsidR="006830F4" w:rsidRPr="007F7EBF">
        <w:t xml:space="preserve"> didattic</w:t>
      </w:r>
      <w:r w:rsidR="006830F4">
        <w:t>he</w:t>
      </w:r>
      <w:r>
        <w:t xml:space="preserve"> etc.</w:t>
      </w:r>
      <w:r w:rsidR="006830F4">
        <w:t xml:space="preserve">; </w:t>
      </w:r>
      <w:r>
        <w:t>è quindi</w:t>
      </w:r>
      <w:r w:rsidR="006830F4">
        <w:t xml:space="preserve"> del tutto logico che </w:t>
      </w:r>
      <w:r w:rsidR="000E1085">
        <w:rPr>
          <w:sz w:val="22"/>
          <w:szCs w:val="22"/>
        </w:rPr>
        <w:t>l</w:t>
      </w:r>
      <w:r w:rsidR="007C68CF" w:rsidRPr="007F7EBF">
        <w:rPr>
          <w:sz w:val="22"/>
          <w:szCs w:val="22"/>
        </w:rPr>
        <w:t xml:space="preserve">'interpretazione </w:t>
      </w:r>
      <w:r w:rsidR="0017253E" w:rsidRPr="007F7EBF">
        <w:rPr>
          <w:sz w:val="22"/>
          <w:szCs w:val="22"/>
        </w:rPr>
        <w:t>dell</w:t>
      </w:r>
      <w:r w:rsidR="004704A3" w:rsidRPr="007F7EBF">
        <w:rPr>
          <w:sz w:val="22"/>
          <w:szCs w:val="22"/>
        </w:rPr>
        <w:t>’amministrazione tributaria</w:t>
      </w:r>
      <w:r w:rsidR="000E1085">
        <w:rPr>
          <w:sz w:val="22"/>
          <w:szCs w:val="22"/>
        </w:rPr>
        <w:t xml:space="preserve"> </w:t>
      </w:r>
      <w:r w:rsidR="006830F4">
        <w:rPr>
          <w:sz w:val="22"/>
          <w:szCs w:val="22"/>
        </w:rPr>
        <w:t xml:space="preserve">sia </w:t>
      </w:r>
      <w:r w:rsidR="0017253E" w:rsidRPr="00A23B7C">
        <w:rPr>
          <w:i/>
          <w:sz w:val="22"/>
          <w:szCs w:val="22"/>
        </w:rPr>
        <w:t>funzionale</w:t>
      </w:r>
      <w:r w:rsidR="0017253E" w:rsidRPr="007F7EBF">
        <w:rPr>
          <w:sz w:val="22"/>
          <w:szCs w:val="22"/>
        </w:rPr>
        <w:t xml:space="preserve"> </w:t>
      </w:r>
      <w:r>
        <w:rPr>
          <w:sz w:val="22"/>
          <w:szCs w:val="22"/>
        </w:rPr>
        <w:t>non a un fantomatico gettito, ma a</w:t>
      </w:r>
      <w:r w:rsidR="0017253E" w:rsidRPr="007F7EBF">
        <w:rPr>
          <w:sz w:val="22"/>
          <w:szCs w:val="22"/>
        </w:rPr>
        <w:t xml:space="preserve">d </w:t>
      </w:r>
      <w:r w:rsidR="00A23B7C">
        <w:rPr>
          <w:sz w:val="22"/>
          <w:szCs w:val="22"/>
        </w:rPr>
        <w:t>una corretta determinazione de</w:t>
      </w:r>
      <w:r>
        <w:rPr>
          <w:sz w:val="22"/>
          <w:szCs w:val="22"/>
        </w:rPr>
        <w:t xml:space="preserve">i presupposti economici suddetti; su di essa </w:t>
      </w:r>
      <w:r w:rsidR="008A3F3E">
        <w:rPr>
          <w:sz w:val="22"/>
          <w:szCs w:val="22"/>
        </w:rPr>
        <w:t xml:space="preserve">si innestano </w:t>
      </w:r>
      <w:r>
        <w:rPr>
          <w:sz w:val="22"/>
          <w:szCs w:val="22"/>
        </w:rPr>
        <w:t xml:space="preserve">poi </w:t>
      </w:r>
      <w:r w:rsidR="008A3F3E">
        <w:rPr>
          <w:sz w:val="22"/>
          <w:szCs w:val="22"/>
        </w:rPr>
        <w:t xml:space="preserve">le  ulteriori </w:t>
      </w:r>
      <w:r w:rsidR="008A3F3E" w:rsidRPr="007F7EBF">
        <w:rPr>
          <w:sz w:val="22"/>
          <w:szCs w:val="22"/>
        </w:rPr>
        <w:t>valutazioni di opportunità</w:t>
      </w:r>
      <w:r w:rsidR="008A3F3E">
        <w:rPr>
          <w:sz w:val="22"/>
          <w:szCs w:val="22"/>
        </w:rPr>
        <w:t xml:space="preserve"> </w:t>
      </w:r>
      <w:r w:rsidR="008A3F3E" w:rsidRPr="007F7EBF">
        <w:rPr>
          <w:sz w:val="22"/>
          <w:szCs w:val="22"/>
        </w:rPr>
        <w:t>di cui diremo a</w:t>
      </w:r>
      <w:r w:rsidR="00463E17">
        <w:rPr>
          <w:sz w:val="22"/>
          <w:szCs w:val="22"/>
        </w:rPr>
        <w:t xml:space="preserve">i </w:t>
      </w:r>
      <w:r w:rsidR="008A3F3E" w:rsidRPr="007F7EBF">
        <w:rPr>
          <w:sz w:val="22"/>
          <w:szCs w:val="22"/>
        </w:rPr>
        <w:t>pa</w:t>
      </w:r>
      <w:r w:rsidR="00463E17">
        <w:rPr>
          <w:sz w:val="22"/>
          <w:szCs w:val="22"/>
        </w:rPr>
        <w:t>r</w:t>
      </w:r>
      <w:r w:rsidR="008A3F3E" w:rsidRPr="007F7EBF">
        <w:rPr>
          <w:sz w:val="22"/>
          <w:szCs w:val="22"/>
        </w:rPr>
        <w:t>r.5</w:t>
      </w:r>
      <w:r w:rsidR="00463E17">
        <w:rPr>
          <w:sz w:val="22"/>
          <w:szCs w:val="22"/>
        </w:rPr>
        <w:t>.7-5</w:t>
      </w:r>
      <w:r w:rsidR="008A3F3E" w:rsidRPr="007F7EBF">
        <w:rPr>
          <w:sz w:val="22"/>
          <w:szCs w:val="22"/>
        </w:rPr>
        <w:t>.10</w:t>
      </w:r>
      <w:r w:rsidR="00B854EB">
        <w:rPr>
          <w:sz w:val="22"/>
          <w:szCs w:val="22"/>
        </w:rPr>
        <w:t>.</w:t>
      </w:r>
      <w:r w:rsidR="00AE4A88">
        <w:rPr>
          <w:sz w:val="22"/>
          <w:szCs w:val="22"/>
        </w:rPr>
        <w:t xml:space="preserve"> </w:t>
      </w:r>
    </w:p>
    <w:p w14:paraId="47872D8D" w14:textId="2DD9B3E7" w:rsidR="006830F4" w:rsidRPr="007F7EBF" w:rsidRDefault="00DE7C8F" w:rsidP="006830F4">
      <w:pPr>
        <w:pStyle w:val="tit23"/>
        <w:ind w:left="6464" w:right="-1361" w:firstLine="0"/>
        <w:jc w:val="left"/>
        <w:rPr>
          <w:bCs/>
          <w:i/>
          <w:iCs/>
          <w:color w:val="0000FF"/>
          <w:lang w:val="it-IT"/>
        </w:rPr>
      </w:pPr>
      <w:r>
        <w:rPr>
          <w:bCs/>
          <w:i/>
          <w:iCs/>
          <w:color w:val="0000FF"/>
          <w:lang w:val="it-IT"/>
        </w:rPr>
        <w:t>Il caso dei termini civilistici</w:t>
      </w:r>
    </w:p>
    <w:p w14:paraId="17A90CDC" w14:textId="77777777" w:rsidR="005D3036" w:rsidRDefault="00AE4A88" w:rsidP="00EB0B14">
      <w:pPr>
        <w:autoSpaceDE w:val="0"/>
        <w:autoSpaceDN w:val="0"/>
        <w:adjustRightInd w:val="0"/>
      </w:pPr>
      <w:r>
        <w:rPr>
          <w:sz w:val="22"/>
          <w:szCs w:val="22"/>
        </w:rPr>
        <w:t xml:space="preserve">E’ “funzionale” anche </w:t>
      </w:r>
      <w:r w:rsidR="00CE1E35" w:rsidRPr="007F7EBF">
        <w:rPr>
          <w:bCs/>
          <w:sz w:val="22"/>
          <w:szCs w:val="22"/>
        </w:rPr>
        <w:t xml:space="preserve">l'interpretazione </w:t>
      </w:r>
      <w:r w:rsidR="001736CF" w:rsidRPr="007F7EBF">
        <w:rPr>
          <w:bCs/>
          <w:sz w:val="22"/>
          <w:szCs w:val="22"/>
        </w:rPr>
        <w:t>di</w:t>
      </w:r>
      <w:r w:rsidR="00CE1E35" w:rsidRPr="007F7EBF">
        <w:rPr>
          <w:bCs/>
          <w:sz w:val="22"/>
          <w:szCs w:val="22"/>
        </w:rPr>
        <w:t xml:space="preserve"> termi</w:t>
      </w:r>
      <w:r w:rsidR="00480989" w:rsidRPr="007F7EBF">
        <w:rPr>
          <w:bCs/>
          <w:sz w:val="22"/>
          <w:szCs w:val="22"/>
        </w:rPr>
        <w:t>ni</w:t>
      </w:r>
      <w:r>
        <w:rPr>
          <w:bCs/>
          <w:sz w:val="22"/>
          <w:szCs w:val="22"/>
        </w:rPr>
        <w:t xml:space="preserve"> usati dalla legislazione tributaria, e</w:t>
      </w:r>
      <w:r w:rsidR="00480989" w:rsidRPr="007F7EBF">
        <w:rPr>
          <w:bCs/>
          <w:sz w:val="22"/>
          <w:szCs w:val="22"/>
        </w:rPr>
        <w:t xml:space="preserve"> </w:t>
      </w:r>
      <w:r w:rsidR="00755343" w:rsidRPr="007F7EBF">
        <w:rPr>
          <w:bCs/>
          <w:sz w:val="22"/>
          <w:szCs w:val="22"/>
        </w:rPr>
        <w:t>rilevanti in altri contesti</w:t>
      </w:r>
      <w:r w:rsidR="001736CF" w:rsidRPr="007F7EBF">
        <w:rPr>
          <w:bCs/>
          <w:sz w:val="22"/>
          <w:szCs w:val="22"/>
        </w:rPr>
        <w:t xml:space="preserve"> giuridici</w:t>
      </w:r>
      <w:r w:rsidR="00755343" w:rsidRPr="007F7EBF">
        <w:rPr>
          <w:bCs/>
          <w:sz w:val="22"/>
          <w:szCs w:val="22"/>
        </w:rPr>
        <w:t>, ad esemp</w:t>
      </w:r>
      <w:r w:rsidR="00CF5A52" w:rsidRPr="007F7EBF">
        <w:rPr>
          <w:bCs/>
          <w:sz w:val="22"/>
          <w:szCs w:val="22"/>
        </w:rPr>
        <w:t>i</w:t>
      </w:r>
      <w:r w:rsidR="00755343" w:rsidRPr="007F7EBF">
        <w:rPr>
          <w:bCs/>
          <w:sz w:val="22"/>
          <w:szCs w:val="22"/>
        </w:rPr>
        <w:t xml:space="preserve">o </w:t>
      </w:r>
      <w:r w:rsidR="00480989" w:rsidRPr="007F7EBF">
        <w:rPr>
          <w:bCs/>
          <w:sz w:val="22"/>
          <w:szCs w:val="22"/>
        </w:rPr>
        <w:t xml:space="preserve">civilistici, </w:t>
      </w:r>
      <w:r>
        <w:rPr>
          <w:bCs/>
          <w:sz w:val="22"/>
          <w:szCs w:val="22"/>
        </w:rPr>
        <w:t>come accade spesso nella determinazione giuridico documentale degli imponibili (</w:t>
      </w:r>
      <w:r>
        <w:rPr>
          <w:rStyle w:val="Rimandonotaapidipagina"/>
          <w:bCs/>
          <w:sz w:val="22"/>
          <w:szCs w:val="22"/>
        </w:rPr>
        <w:footnoteReference w:id="347"/>
      </w:r>
      <w:r>
        <w:rPr>
          <w:bCs/>
          <w:sz w:val="22"/>
          <w:szCs w:val="22"/>
        </w:rPr>
        <w:t xml:space="preserve">). </w:t>
      </w:r>
      <w:r w:rsidR="00997894">
        <w:rPr>
          <w:sz w:val="22"/>
          <w:szCs w:val="22"/>
        </w:rPr>
        <w:t>C</w:t>
      </w:r>
      <w:r w:rsidR="00755343" w:rsidRPr="007F7EBF">
        <w:rPr>
          <w:sz w:val="22"/>
          <w:szCs w:val="22"/>
        </w:rPr>
        <w:t>oncetti</w:t>
      </w:r>
      <w:r w:rsidR="00997894">
        <w:rPr>
          <w:sz w:val="22"/>
          <w:szCs w:val="22"/>
        </w:rPr>
        <w:t xml:space="preserve"> aventi la loro finalità nel d</w:t>
      </w:r>
      <w:r w:rsidR="00D27DFE" w:rsidRPr="007F7EBF">
        <w:rPr>
          <w:sz w:val="22"/>
          <w:szCs w:val="22"/>
        </w:rPr>
        <w:t xml:space="preserve">iritto </w:t>
      </w:r>
      <w:r w:rsidR="00583A36">
        <w:rPr>
          <w:sz w:val="22"/>
          <w:szCs w:val="22"/>
        </w:rPr>
        <w:t xml:space="preserve">dei privati e nella relativa funzione </w:t>
      </w:r>
      <w:r w:rsidR="00D27DFE" w:rsidRPr="007F7EBF">
        <w:rPr>
          <w:sz w:val="22"/>
          <w:szCs w:val="22"/>
        </w:rPr>
        <w:t>giurisdizionale</w:t>
      </w:r>
      <w:r w:rsidR="00997894">
        <w:rPr>
          <w:sz w:val="22"/>
          <w:szCs w:val="22"/>
        </w:rPr>
        <w:t xml:space="preserve"> servono</w:t>
      </w:r>
      <w:r w:rsidR="00C21276">
        <w:rPr>
          <w:sz w:val="22"/>
          <w:szCs w:val="22"/>
        </w:rPr>
        <w:t xml:space="preserve"> qui </w:t>
      </w:r>
      <w:r w:rsidR="00997894">
        <w:rPr>
          <w:sz w:val="22"/>
          <w:szCs w:val="22"/>
        </w:rPr>
        <w:t xml:space="preserve">a </w:t>
      </w:r>
      <w:r w:rsidR="00583A36">
        <w:rPr>
          <w:sz w:val="22"/>
          <w:szCs w:val="22"/>
        </w:rPr>
        <w:t xml:space="preserve">specificare </w:t>
      </w:r>
      <w:r w:rsidR="001C09E7">
        <w:rPr>
          <w:sz w:val="22"/>
          <w:szCs w:val="22"/>
        </w:rPr>
        <w:t xml:space="preserve"> </w:t>
      </w:r>
      <w:r w:rsidR="00583A36">
        <w:rPr>
          <w:sz w:val="22"/>
          <w:szCs w:val="22"/>
        </w:rPr>
        <w:t xml:space="preserve">giuridicamente le astrazioni </w:t>
      </w:r>
      <w:r>
        <w:rPr>
          <w:sz w:val="22"/>
          <w:szCs w:val="22"/>
        </w:rPr>
        <w:t xml:space="preserve">economiche cui si riferiscono le imposte, di cui al </w:t>
      </w:r>
      <w:r w:rsidR="00583A36">
        <w:rPr>
          <w:sz w:val="22"/>
          <w:szCs w:val="22"/>
        </w:rPr>
        <w:t xml:space="preserve">par.1.8 </w:t>
      </w:r>
      <w:r w:rsidR="007D2E73">
        <w:rPr>
          <w:sz w:val="22"/>
          <w:szCs w:val="22"/>
        </w:rPr>
        <w:t xml:space="preserve"> </w:t>
      </w:r>
      <w:r w:rsidR="00C12073">
        <w:rPr>
          <w:sz w:val="22"/>
          <w:szCs w:val="22"/>
        </w:rPr>
        <w:t>(</w:t>
      </w:r>
      <w:r w:rsidR="00C12073" w:rsidRPr="007F7EBF">
        <w:rPr>
          <w:rStyle w:val="Rimandonotaapidipagina"/>
          <w:sz w:val="22"/>
          <w:szCs w:val="22"/>
        </w:rPr>
        <w:footnoteReference w:id="348"/>
      </w:r>
      <w:r w:rsidR="00C12073">
        <w:rPr>
          <w:sz w:val="22"/>
          <w:szCs w:val="22"/>
        </w:rPr>
        <w:t>)</w:t>
      </w:r>
      <w:r w:rsidR="00CE1E35" w:rsidRPr="007F7EBF">
        <w:rPr>
          <w:sz w:val="22"/>
          <w:szCs w:val="22"/>
        </w:rPr>
        <w:t xml:space="preserve">.  </w:t>
      </w:r>
      <w:r w:rsidR="00EB0B14">
        <w:t xml:space="preserve">I concetti civilistici ripresi dalla legislazione </w:t>
      </w:r>
      <w:r w:rsidR="00EB0B14">
        <w:lastRenderedPageBreak/>
        <w:t xml:space="preserve">tributaria vanno funzionalizzati alla specificazione dei presupposti economici d’imposta ed il rinvio al diritto civile è quindi tendenzialmente “non recettizio”; quindi sono fuorvianti le affermazioni secondo cui il diritto tributario sarebbe una sorta di “diritto di secondo grado” rispetto al diritto civile, anche perché in moltissimi casi i presupposti d’imposta sono specificati attraverso la loro visibilità materiale non giuridico documentale </w:t>
      </w:r>
      <w:r w:rsidR="00EB0B14">
        <w:rPr>
          <w:rStyle w:val="Rimandonotaapidipagina"/>
        </w:rPr>
        <w:footnoteReference w:id="349"/>
      </w:r>
      <w:r w:rsidR="00EB0B14">
        <w:t xml:space="preserve">. Il significato  civilistico </w:t>
      </w:r>
      <w:r w:rsidR="00363EB1">
        <w:t>è solo un parametro di esercizio della valutazione</w:t>
      </w:r>
      <w:r w:rsidR="00EB0B14">
        <w:t xml:space="preserve"> interpretativa, come </w:t>
      </w:r>
      <w:r w:rsidR="00363EB1">
        <w:t>indicato</w:t>
      </w:r>
      <w:r w:rsidR="00EB0B14">
        <w:t xml:space="preserve"> sopra in questo paragrafo. </w:t>
      </w:r>
      <w:r w:rsidR="00AA2362">
        <w:t xml:space="preserve">Questa contestualizzazione alla funzione tributaria va fatta anche </w:t>
      </w:r>
      <w:r w:rsidR="00607F35">
        <w:t xml:space="preserve">per l’interpretazione </w:t>
      </w:r>
      <w:r w:rsidR="00AA2362">
        <w:t>d</w:t>
      </w:r>
      <w:r w:rsidR="00607F35">
        <w:t xml:space="preserve">i termini </w:t>
      </w:r>
      <w:r w:rsidR="00EB0B14" w:rsidRPr="007F7EBF">
        <w:t>d</w:t>
      </w:r>
      <w:r w:rsidR="005D3036">
        <w:t>i altri settori d</w:t>
      </w:r>
      <w:r w:rsidR="00EB0B14" w:rsidRPr="007F7EBF">
        <w:t>el diritto amministrativo</w:t>
      </w:r>
      <w:r w:rsidR="00EB0B14">
        <w:t xml:space="preserve">, </w:t>
      </w:r>
      <w:r w:rsidR="00AA2362">
        <w:t xml:space="preserve">dei principi contabili, </w:t>
      </w:r>
      <w:r w:rsidR="00EB0B14">
        <w:t>etc.</w:t>
      </w:r>
      <w:r w:rsidR="00EB0B14" w:rsidRPr="007F7EBF">
        <w:t>.</w:t>
      </w:r>
      <w:r w:rsidR="00EB0B14">
        <w:t xml:space="preserve"> </w:t>
      </w:r>
    </w:p>
    <w:p w14:paraId="7551C512" w14:textId="18E07143" w:rsidR="00CE1E35" w:rsidRPr="009705AA" w:rsidRDefault="005D3036" w:rsidP="00EB0B14">
      <w:pPr>
        <w:autoSpaceDE w:val="0"/>
        <w:autoSpaceDN w:val="0"/>
        <w:adjustRightInd w:val="0"/>
      </w:pPr>
      <w:r>
        <w:t xml:space="preserve">Questa necessità di </w:t>
      </w:r>
      <w:r w:rsidR="00EB0B14">
        <w:t>interpretazione “funzionale”</w:t>
      </w:r>
      <w:r>
        <w:t xml:space="preserve"> alla determinazione di </w:t>
      </w:r>
      <w:r w:rsidR="00EB0B14">
        <w:t>presupposti economici d’imposta</w:t>
      </w:r>
      <w:r>
        <w:t xml:space="preserve"> non significa travalicare i modi in cui essi sono stati specificati dal legislatore, scadendo nell’interpretazione economicistica </w:t>
      </w:r>
      <w:r>
        <w:rPr>
          <w:rStyle w:val="Rimandonotaapidipagina"/>
        </w:rPr>
        <w:footnoteReference w:id="350"/>
      </w:r>
      <w:r>
        <w:t xml:space="preserve">, magari appellandosi al </w:t>
      </w:r>
      <w:r w:rsidR="00EB0B14">
        <w:rPr>
          <w:sz w:val="22"/>
          <w:szCs w:val="22"/>
        </w:rPr>
        <w:t>principio di capacità contributiva</w:t>
      </w:r>
      <w:r>
        <w:rPr>
          <w:sz w:val="22"/>
          <w:szCs w:val="22"/>
        </w:rPr>
        <w:t xml:space="preserve">, nell’accezione impropria di cui </w:t>
      </w:r>
      <w:r w:rsidR="00EB0B14">
        <w:rPr>
          <w:sz w:val="22"/>
          <w:szCs w:val="22"/>
        </w:rPr>
        <w:t xml:space="preserve">al par.2.2. </w:t>
      </w:r>
      <w:r w:rsidR="00C77FDD">
        <w:rPr>
          <w:sz w:val="22"/>
          <w:szCs w:val="22"/>
        </w:rPr>
        <w:t xml:space="preserve"> </w:t>
      </w:r>
      <w:r w:rsidR="00274C19">
        <w:rPr>
          <w:sz w:val="22"/>
          <w:szCs w:val="22"/>
        </w:rPr>
        <w:t xml:space="preserve">  </w:t>
      </w:r>
    </w:p>
    <w:p w14:paraId="5D02367A" w14:textId="67F39492" w:rsidR="00CE1E35" w:rsidRPr="007F7EBF" w:rsidRDefault="00CE1E35" w:rsidP="00CE1E35">
      <w:pPr>
        <w:pStyle w:val="tit23"/>
        <w:ind w:left="6464" w:right="-1361" w:firstLine="0"/>
        <w:jc w:val="left"/>
        <w:rPr>
          <w:bCs/>
          <w:i/>
          <w:iCs/>
          <w:color w:val="0000FF"/>
          <w:lang w:val="it-IT"/>
        </w:rPr>
      </w:pPr>
      <w:r w:rsidRPr="007F7EBF">
        <w:rPr>
          <w:bCs/>
          <w:i/>
          <w:iCs/>
          <w:color w:val="0000FF"/>
          <w:lang w:val="it-IT"/>
        </w:rPr>
        <w:t>l’interpretazione analogica</w:t>
      </w:r>
    </w:p>
    <w:p w14:paraId="3E885E34" w14:textId="75B81F20" w:rsidR="003B3AB4" w:rsidRPr="007F7EBF" w:rsidRDefault="00782000" w:rsidP="00C00242">
      <w:pPr>
        <w:autoSpaceDE w:val="0"/>
        <w:autoSpaceDN w:val="0"/>
        <w:adjustRightInd w:val="0"/>
        <w:rPr>
          <w:sz w:val="22"/>
          <w:szCs w:val="22"/>
        </w:rPr>
      </w:pPr>
      <w:r>
        <w:rPr>
          <w:sz w:val="22"/>
          <w:szCs w:val="22"/>
        </w:rPr>
        <w:t xml:space="preserve">Riferendo </w:t>
      </w:r>
      <w:r w:rsidR="00882639" w:rsidRPr="007F7EBF">
        <w:rPr>
          <w:sz w:val="22"/>
          <w:szCs w:val="22"/>
        </w:rPr>
        <w:t>l'interpretazione a</w:t>
      </w:r>
      <w:r>
        <w:rPr>
          <w:sz w:val="22"/>
          <w:szCs w:val="22"/>
        </w:rPr>
        <w:t xml:space="preserve">i presupposti economici d’imposta, </w:t>
      </w:r>
      <w:r w:rsidR="0076040B" w:rsidRPr="007F7EBF">
        <w:rPr>
          <w:sz w:val="22"/>
          <w:szCs w:val="22"/>
        </w:rPr>
        <w:t>si</w:t>
      </w:r>
      <w:r w:rsidR="00882639" w:rsidRPr="007F7EBF">
        <w:rPr>
          <w:sz w:val="22"/>
          <w:szCs w:val="22"/>
        </w:rPr>
        <w:t xml:space="preserve"> </w:t>
      </w:r>
      <w:r w:rsidR="005E544E">
        <w:rPr>
          <w:sz w:val="22"/>
          <w:szCs w:val="22"/>
        </w:rPr>
        <w:t>riporta</w:t>
      </w:r>
      <w:r>
        <w:rPr>
          <w:sz w:val="22"/>
          <w:szCs w:val="22"/>
        </w:rPr>
        <w:t xml:space="preserve"> anche</w:t>
      </w:r>
      <w:r w:rsidR="009F6108" w:rsidRPr="007F7EBF">
        <w:rPr>
          <w:sz w:val="22"/>
          <w:szCs w:val="22"/>
        </w:rPr>
        <w:t xml:space="preserve"> </w:t>
      </w:r>
      <w:r w:rsidR="003815E8" w:rsidRPr="007F7EBF">
        <w:rPr>
          <w:sz w:val="22"/>
          <w:szCs w:val="22"/>
        </w:rPr>
        <w:t>l'interpretazione analogica</w:t>
      </w:r>
      <w:r w:rsidR="005E544E">
        <w:rPr>
          <w:sz w:val="22"/>
          <w:szCs w:val="22"/>
        </w:rPr>
        <w:t xml:space="preserve"> </w:t>
      </w:r>
      <w:r w:rsidR="009F6108" w:rsidRPr="007F7EBF">
        <w:rPr>
          <w:sz w:val="22"/>
          <w:szCs w:val="22"/>
        </w:rPr>
        <w:t>nei suoi naturali confini</w:t>
      </w:r>
      <w:r w:rsidR="005E544E">
        <w:rPr>
          <w:sz w:val="22"/>
          <w:szCs w:val="22"/>
        </w:rPr>
        <w:t xml:space="preserve">, </w:t>
      </w:r>
      <w:r w:rsidR="009F6108" w:rsidRPr="007F7EBF">
        <w:rPr>
          <w:sz w:val="22"/>
          <w:szCs w:val="22"/>
        </w:rPr>
        <w:t>riguardan</w:t>
      </w:r>
      <w:r w:rsidR="005E544E">
        <w:rPr>
          <w:sz w:val="22"/>
          <w:szCs w:val="22"/>
        </w:rPr>
        <w:t>ti</w:t>
      </w:r>
      <w:r w:rsidR="009F6108" w:rsidRPr="007F7EBF">
        <w:rPr>
          <w:sz w:val="22"/>
          <w:szCs w:val="22"/>
        </w:rPr>
        <w:t xml:space="preserve"> </w:t>
      </w:r>
      <w:r w:rsidR="00DE56CD" w:rsidRPr="007F7EBF">
        <w:rPr>
          <w:bCs/>
          <w:sz w:val="22"/>
          <w:szCs w:val="22"/>
        </w:rPr>
        <w:t>«lacune</w:t>
      </w:r>
      <w:r w:rsidR="009F6108" w:rsidRPr="007F7EBF">
        <w:rPr>
          <w:bCs/>
          <w:sz w:val="22"/>
          <w:szCs w:val="22"/>
        </w:rPr>
        <w:t xml:space="preserve"> legislative</w:t>
      </w:r>
      <w:r w:rsidR="00DE56CD" w:rsidRPr="007F7EBF">
        <w:rPr>
          <w:sz w:val="22"/>
          <w:szCs w:val="22"/>
        </w:rPr>
        <w:t xml:space="preserve">», </w:t>
      </w:r>
      <w:r>
        <w:rPr>
          <w:sz w:val="22"/>
          <w:szCs w:val="22"/>
        </w:rPr>
        <w:t>e al</w:t>
      </w:r>
      <w:r w:rsidR="009F6108" w:rsidRPr="007F7EBF">
        <w:rPr>
          <w:sz w:val="22"/>
          <w:szCs w:val="22"/>
        </w:rPr>
        <w:t>l'</w:t>
      </w:r>
      <w:r w:rsidR="00DE56CD" w:rsidRPr="007F7EBF">
        <w:rPr>
          <w:sz w:val="22"/>
          <w:szCs w:val="22"/>
        </w:rPr>
        <w:t>impossibil</w:t>
      </w:r>
      <w:r w:rsidR="009F6108" w:rsidRPr="007F7EBF">
        <w:rPr>
          <w:sz w:val="22"/>
          <w:szCs w:val="22"/>
        </w:rPr>
        <w:t>ità di</w:t>
      </w:r>
      <w:r w:rsidR="00DE56CD" w:rsidRPr="007F7EBF">
        <w:rPr>
          <w:sz w:val="22"/>
          <w:szCs w:val="22"/>
        </w:rPr>
        <w:t xml:space="preserve"> «risolvere una controversia facendo riferimento a una specifica disposizione di legge» (</w:t>
      </w:r>
      <w:r w:rsidR="00450621">
        <w:rPr>
          <w:sz w:val="22"/>
          <w:szCs w:val="22"/>
        </w:rPr>
        <w:t>art.12 preleggi</w:t>
      </w:r>
      <w:r w:rsidR="00DE56CD" w:rsidRPr="007F7EBF">
        <w:rPr>
          <w:sz w:val="22"/>
          <w:szCs w:val="22"/>
        </w:rPr>
        <w:t xml:space="preserve">). </w:t>
      </w:r>
      <w:r w:rsidR="00C009E7">
        <w:rPr>
          <w:sz w:val="22"/>
          <w:szCs w:val="22"/>
        </w:rPr>
        <w:t xml:space="preserve">Se un certo presupposto economico d’imposta non è oggetto di </w:t>
      </w:r>
      <w:r w:rsidR="00DE56CD" w:rsidRPr="007F7EBF">
        <w:rPr>
          <w:sz w:val="22"/>
          <w:szCs w:val="22"/>
        </w:rPr>
        <w:t xml:space="preserve">«norme impositrici», </w:t>
      </w:r>
      <w:r w:rsidR="00C009E7">
        <w:rPr>
          <w:sz w:val="22"/>
          <w:szCs w:val="22"/>
        </w:rPr>
        <w:t xml:space="preserve">cioè disposizioni sostanziali tributarie nel senso di cui al par.2.4, non serve l’analogia. Dalla suddetta carenza di norme impositrici discende infatti </w:t>
      </w:r>
      <w:r w:rsidR="0023312B" w:rsidRPr="007F7EBF">
        <w:rPr>
          <w:sz w:val="22"/>
          <w:szCs w:val="22"/>
        </w:rPr>
        <w:t>in automatico l</w:t>
      </w:r>
      <w:r w:rsidR="00555C82">
        <w:rPr>
          <w:sz w:val="22"/>
          <w:szCs w:val="22"/>
        </w:rPr>
        <w:t>’</w:t>
      </w:r>
      <w:r w:rsidR="0023312B" w:rsidRPr="007F7EBF">
        <w:rPr>
          <w:bCs/>
          <w:sz w:val="22"/>
          <w:szCs w:val="22"/>
        </w:rPr>
        <w:t>in</w:t>
      </w:r>
      <w:r w:rsidR="00C009E7">
        <w:rPr>
          <w:bCs/>
          <w:sz w:val="22"/>
          <w:szCs w:val="22"/>
        </w:rPr>
        <w:t xml:space="preserve">applicabilità dell’imposta, </w:t>
      </w:r>
      <w:r w:rsidR="00C00242">
        <w:rPr>
          <w:bCs/>
          <w:sz w:val="22"/>
          <w:szCs w:val="22"/>
        </w:rPr>
        <w:t xml:space="preserve">in quanto la </w:t>
      </w:r>
      <w:r w:rsidR="005C2D80" w:rsidRPr="007F7EBF">
        <w:t>lacuna</w:t>
      </w:r>
      <w:r w:rsidR="00C00242">
        <w:t xml:space="preserve"> qui non è giuridica, ma </w:t>
      </w:r>
      <w:r w:rsidR="005C2D80">
        <w:t xml:space="preserve">meramente </w:t>
      </w:r>
      <w:r w:rsidR="005C2D80" w:rsidRPr="007F7EBF">
        <w:t xml:space="preserve">"politica", </w:t>
      </w:r>
      <w:r w:rsidR="00C00242">
        <w:t xml:space="preserve">agli occhi di chi </w:t>
      </w:r>
      <w:r w:rsidR="005C2D80" w:rsidRPr="007F7EBF">
        <w:t>disapprova</w:t>
      </w:r>
      <w:r w:rsidR="005C2D80">
        <w:t xml:space="preserve"> il mancato assoggettamento di un</w:t>
      </w:r>
      <w:r w:rsidR="00C00242">
        <w:t>a</w:t>
      </w:r>
      <w:r w:rsidR="005C2D80">
        <w:t xml:space="preserve"> cert</w:t>
      </w:r>
      <w:r w:rsidR="00C00242">
        <w:t>a</w:t>
      </w:r>
      <w:r w:rsidR="005C2D80">
        <w:t xml:space="preserve"> manifestazione </w:t>
      </w:r>
      <w:r w:rsidR="00C00242">
        <w:t>economica</w:t>
      </w:r>
      <w:r w:rsidR="005C2D80">
        <w:t xml:space="preserve"> all’imposizione</w:t>
      </w:r>
      <w:r w:rsidR="005C2D80" w:rsidRPr="007F7EBF">
        <w:t xml:space="preserve">. </w:t>
      </w:r>
      <w:r w:rsidR="005C2D80" w:rsidRPr="007F7EBF">
        <w:rPr>
          <w:sz w:val="22"/>
          <w:szCs w:val="22"/>
        </w:rPr>
        <w:t>N</w:t>
      </w:r>
      <w:r w:rsidR="005C2D80">
        <w:rPr>
          <w:sz w:val="22"/>
          <w:szCs w:val="22"/>
        </w:rPr>
        <w:t xml:space="preserve">on serve </w:t>
      </w:r>
      <w:r w:rsidR="005C2D80">
        <w:rPr>
          <w:sz w:val="22"/>
          <w:szCs w:val="22"/>
        </w:rPr>
        <w:lastRenderedPageBreak/>
        <w:t>quindi</w:t>
      </w:r>
      <w:r w:rsidR="00C00242">
        <w:rPr>
          <w:sz w:val="22"/>
          <w:szCs w:val="22"/>
        </w:rPr>
        <w:t xml:space="preserve"> </w:t>
      </w:r>
      <w:r w:rsidR="005C2D80" w:rsidRPr="007F7EBF">
        <w:rPr>
          <w:sz w:val="22"/>
          <w:szCs w:val="22"/>
        </w:rPr>
        <w:t xml:space="preserve">scomodare </w:t>
      </w:r>
      <w:r w:rsidR="005C2D80">
        <w:rPr>
          <w:sz w:val="22"/>
          <w:szCs w:val="22"/>
        </w:rPr>
        <w:t xml:space="preserve">la riserva di legge in materia tributaria </w:t>
      </w:r>
      <w:r w:rsidR="00C00242">
        <w:rPr>
          <w:sz w:val="22"/>
          <w:szCs w:val="22"/>
        </w:rPr>
        <w:t xml:space="preserve"> (par.2.3) per contrastare interpretazioni analogiche; q</w:t>
      </w:r>
      <w:r w:rsidR="003B3AB4" w:rsidRPr="007F7EBF">
        <w:rPr>
          <w:sz w:val="22"/>
          <w:szCs w:val="22"/>
        </w:rPr>
        <w:t xml:space="preserve">uando invece </w:t>
      </w:r>
      <w:r w:rsidR="00815868" w:rsidRPr="007F7EBF">
        <w:rPr>
          <w:sz w:val="22"/>
          <w:szCs w:val="22"/>
        </w:rPr>
        <w:t xml:space="preserve">un </w:t>
      </w:r>
      <w:r w:rsidR="00C00242">
        <w:rPr>
          <w:sz w:val="22"/>
          <w:szCs w:val="22"/>
        </w:rPr>
        <w:t xml:space="preserve">presupposto economico è soggetto a imposta, eventuali </w:t>
      </w:r>
      <w:r w:rsidR="003B3AB4" w:rsidRPr="007F7EBF">
        <w:rPr>
          <w:bCs/>
          <w:sz w:val="22"/>
          <w:szCs w:val="22"/>
        </w:rPr>
        <w:t>lacune sull</w:t>
      </w:r>
      <w:r w:rsidR="00C00242">
        <w:rPr>
          <w:bCs/>
          <w:sz w:val="22"/>
          <w:szCs w:val="22"/>
        </w:rPr>
        <w:t>a</w:t>
      </w:r>
      <w:r w:rsidR="00815868" w:rsidRPr="007F7EBF">
        <w:rPr>
          <w:bCs/>
          <w:sz w:val="22"/>
          <w:szCs w:val="22"/>
        </w:rPr>
        <w:t xml:space="preserve"> su</w:t>
      </w:r>
      <w:r w:rsidR="00C00242">
        <w:rPr>
          <w:bCs/>
          <w:sz w:val="22"/>
          <w:szCs w:val="22"/>
        </w:rPr>
        <w:t>a specificazione, come ad esempio sulle</w:t>
      </w:r>
      <w:r w:rsidR="003B3AB4" w:rsidRPr="007F7EBF">
        <w:rPr>
          <w:bCs/>
          <w:sz w:val="22"/>
          <w:szCs w:val="22"/>
        </w:rPr>
        <w:t xml:space="preserve"> modalità </w:t>
      </w:r>
      <w:r w:rsidR="00FE4ABC">
        <w:rPr>
          <w:bCs/>
          <w:sz w:val="22"/>
          <w:szCs w:val="22"/>
        </w:rPr>
        <w:t xml:space="preserve">e </w:t>
      </w:r>
      <w:r w:rsidR="00815868" w:rsidRPr="007F7EBF">
        <w:rPr>
          <w:sz w:val="22"/>
          <w:szCs w:val="22"/>
        </w:rPr>
        <w:t>tempi</w:t>
      </w:r>
      <w:r w:rsidR="00FE4ABC">
        <w:rPr>
          <w:sz w:val="22"/>
          <w:szCs w:val="22"/>
        </w:rPr>
        <w:t xml:space="preserve"> di rilevanza</w:t>
      </w:r>
      <w:r w:rsidR="00C00242">
        <w:rPr>
          <w:sz w:val="22"/>
          <w:szCs w:val="22"/>
        </w:rPr>
        <w:t>, si prestano all’analogia, secondo i principi generali, necessari</w:t>
      </w:r>
      <w:r w:rsidR="00FE4ABC">
        <w:rPr>
          <w:sz w:val="22"/>
          <w:szCs w:val="22"/>
        </w:rPr>
        <w:t xml:space="preserve"> al</w:t>
      </w:r>
      <w:r w:rsidR="003E00EC">
        <w:rPr>
          <w:sz w:val="22"/>
          <w:szCs w:val="22"/>
        </w:rPr>
        <w:t>la chiusura del sistema, spesso a favore del contribuente</w:t>
      </w:r>
      <w:r w:rsidR="003B3AB4" w:rsidRPr="007F7EBF">
        <w:rPr>
          <w:sz w:val="22"/>
          <w:szCs w:val="22"/>
        </w:rPr>
        <w:t xml:space="preserve">. </w:t>
      </w:r>
    </w:p>
    <w:p w14:paraId="1092C6E9" w14:textId="77777777" w:rsidR="003B3AB4" w:rsidRPr="007F7EBF" w:rsidRDefault="003B3AB4" w:rsidP="00920C10">
      <w:pPr>
        <w:autoSpaceDE w:val="0"/>
        <w:autoSpaceDN w:val="0"/>
        <w:adjustRightInd w:val="0"/>
        <w:rPr>
          <w:sz w:val="22"/>
          <w:szCs w:val="22"/>
        </w:rPr>
      </w:pPr>
    </w:p>
    <w:p w14:paraId="69E5A033" w14:textId="77777777" w:rsidR="00474297" w:rsidRPr="007F7EBF" w:rsidRDefault="006342C5" w:rsidP="00920C10">
      <w:pPr>
        <w:pStyle w:val="Titolo3"/>
        <w:rPr>
          <w:rFonts w:ascii="Times New Roman" w:hAnsi="Times New Roman"/>
          <w:b w:val="0"/>
          <w:bCs w:val="0"/>
          <w:i/>
          <w:iCs/>
          <w:color w:val="0000FF"/>
          <w:sz w:val="22"/>
          <w:szCs w:val="22"/>
          <w:lang w:val="it-IT"/>
        </w:rPr>
      </w:pPr>
      <w:bookmarkStart w:id="41" w:name="_Toc63364957"/>
      <w:r w:rsidRPr="007F7EBF">
        <w:rPr>
          <w:rFonts w:ascii="Times New Roman" w:hAnsi="Times New Roman"/>
          <w:sz w:val="22"/>
          <w:szCs w:val="22"/>
        </w:rPr>
        <w:t xml:space="preserve">3.10. </w:t>
      </w:r>
      <w:r w:rsidRPr="007F7EBF">
        <w:rPr>
          <w:rFonts w:ascii="Times New Roman" w:hAnsi="Times New Roman"/>
          <w:i/>
          <w:iCs/>
          <w:sz w:val="22"/>
          <w:szCs w:val="22"/>
        </w:rPr>
        <w:t>Segue</w:t>
      </w:r>
      <w:r w:rsidRPr="007F7EBF">
        <w:rPr>
          <w:rFonts w:ascii="Times New Roman" w:hAnsi="Times New Roman"/>
          <w:sz w:val="22"/>
          <w:szCs w:val="22"/>
        </w:rPr>
        <w:t xml:space="preserve">: </w:t>
      </w:r>
      <w:r w:rsidR="00474297" w:rsidRPr="007F7EBF">
        <w:rPr>
          <w:rFonts w:ascii="Times New Roman" w:hAnsi="Times New Roman"/>
          <w:sz w:val="22"/>
          <w:szCs w:val="22"/>
        </w:rPr>
        <w:t>inquadramento giuridico</w:t>
      </w:r>
      <w:r w:rsidR="00E65AD5" w:rsidRPr="007F7EBF">
        <w:rPr>
          <w:rFonts w:ascii="Times New Roman" w:hAnsi="Times New Roman"/>
          <w:sz w:val="22"/>
          <w:szCs w:val="22"/>
        </w:rPr>
        <w:t xml:space="preserve"> in funzione della convenienza tributaria, “evasione interpretativa ed elusione” come com</w:t>
      </w:r>
      <w:r w:rsidR="009E5E18" w:rsidRPr="007F7EBF">
        <w:rPr>
          <w:rFonts w:ascii="Times New Roman" w:hAnsi="Times New Roman"/>
          <w:sz w:val="22"/>
          <w:szCs w:val="22"/>
        </w:rPr>
        <w:t xml:space="preserve">portamenti aziendali </w:t>
      </w:r>
      <w:r w:rsidRPr="007F7EBF">
        <w:rPr>
          <w:rFonts w:ascii="Times New Roman" w:hAnsi="Times New Roman"/>
          <w:sz w:val="22"/>
          <w:szCs w:val="22"/>
        </w:rPr>
        <w:t>e “diversivi istituzionali”</w:t>
      </w:r>
      <w:r w:rsidR="009E5E18" w:rsidRPr="007F7EBF">
        <w:rPr>
          <w:rFonts w:ascii="Times New Roman" w:hAnsi="Times New Roman"/>
          <w:sz w:val="22"/>
          <w:szCs w:val="22"/>
        </w:rPr>
        <w:t xml:space="preserve"> (rinvio)</w:t>
      </w:r>
      <w:bookmarkEnd w:id="41"/>
      <w:r w:rsidR="009E5E18" w:rsidRPr="007F7EBF">
        <w:rPr>
          <w:rFonts w:ascii="Times New Roman" w:hAnsi="Times New Roman"/>
          <w:sz w:val="22"/>
          <w:szCs w:val="22"/>
        </w:rPr>
        <w:t xml:space="preserve"> </w:t>
      </w:r>
    </w:p>
    <w:p w14:paraId="293FB047" w14:textId="77777777" w:rsidR="001B5CC8" w:rsidRPr="007F7EBF" w:rsidRDefault="001B5CC8" w:rsidP="001B5CC8">
      <w:pPr>
        <w:autoSpaceDE w:val="0"/>
        <w:autoSpaceDN w:val="0"/>
        <w:adjustRightInd w:val="0"/>
        <w:rPr>
          <w:sz w:val="22"/>
          <w:szCs w:val="22"/>
        </w:rPr>
      </w:pPr>
    </w:p>
    <w:p w14:paraId="0B5A4EEA" w14:textId="77777777" w:rsidR="001B5CC8" w:rsidRPr="007F7EBF" w:rsidRDefault="0080633A" w:rsidP="001B5CC8">
      <w:pPr>
        <w:pStyle w:val="tit23"/>
        <w:ind w:left="6464" w:right="-1361" w:firstLine="0"/>
        <w:jc w:val="left"/>
        <w:rPr>
          <w:b/>
          <w:bCs/>
          <w:i/>
          <w:iCs/>
          <w:color w:val="0000FF"/>
          <w:lang w:val="it-IT"/>
        </w:rPr>
      </w:pPr>
      <w:r w:rsidRPr="007F7EBF">
        <w:rPr>
          <w:b/>
          <w:bCs/>
          <w:i/>
          <w:iCs/>
          <w:color w:val="0000FF"/>
          <w:lang w:val="it-IT"/>
        </w:rPr>
        <w:t xml:space="preserve">Autotassazione e interpretazione </w:t>
      </w:r>
      <w:r w:rsidR="00D40476" w:rsidRPr="007F7EBF">
        <w:rPr>
          <w:b/>
          <w:bCs/>
          <w:i/>
          <w:iCs/>
          <w:color w:val="0000FF"/>
          <w:lang w:val="it-IT"/>
        </w:rPr>
        <w:t xml:space="preserve">funzionale </w:t>
      </w:r>
      <w:r w:rsidRPr="007F7EBF">
        <w:rPr>
          <w:b/>
          <w:bCs/>
          <w:i/>
          <w:iCs/>
          <w:color w:val="0000FF"/>
          <w:lang w:val="it-IT"/>
        </w:rPr>
        <w:t>dei contribuenti</w:t>
      </w:r>
    </w:p>
    <w:p w14:paraId="2292268D" w14:textId="27ADD309" w:rsidR="00D40476" w:rsidRPr="007F7EBF" w:rsidRDefault="009369C2" w:rsidP="00D40476">
      <w:pPr>
        <w:rPr>
          <w:sz w:val="22"/>
          <w:szCs w:val="22"/>
        </w:rPr>
      </w:pPr>
      <w:r>
        <w:rPr>
          <w:sz w:val="22"/>
          <w:szCs w:val="22"/>
        </w:rPr>
        <w:t>A</w:t>
      </w:r>
      <w:r w:rsidR="00D40476" w:rsidRPr="007F7EBF">
        <w:rPr>
          <w:sz w:val="22"/>
          <w:szCs w:val="22"/>
        </w:rPr>
        <w:t xml:space="preserve">nche i </w:t>
      </w:r>
      <w:r w:rsidR="005860FB" w:rsidRPr="007F7EBF">
        <w:rPr>
          <w:sz w:val="22"/>
          <w:szCs w:val="22"/>
        </w:rPr>
        <w:t>contribuenti</w:t>
      </w:r>
      <w:r>
        <w:rPr>
          <w:sz w:val="22"/>
          <w:szCs w:val="22"/>
        </w:rPr>
        <w:t xml:space="preserve">, </w:t>
      </w:r>
      <w:r w:rsidR="00912759">
        <w:rPr>
          <w:sz w:val="22"/>
          <w:szCs w:val="22"/>
        </w:rPr>
        <w:t>in sede di autodeterminazione dei tributi</w:t>
      </w:r>
      <w:r>
        <w:rPr>
          <w:sz w:val="22"/>
          <w:szCs w:val="22"/>
        </w:rPr>
        <w:t>, adottano una interpretazione funzionale</w:t>
      </w:r>
      <w:r w:rsidR="000B7446">
        <w:rPr>
          <w:sz w:val="22"/>
          <w:szCs w:val="22"/>
        </w:rPr>
        <w:t xml:space="preserve">, tenendo conto in via preventiva dei diversi possibili regimi tributari applicabili; </w:t>
      </w:r>
      <w:r w:rsidR="00FB2449">
        <w:rPr>
          <w:sz w:val="22"/>
          <w:szCs w:val="22"/>
        </w:rPr>
        <w:t>si</w:t>
      </w:r>
      <w:r w:rsidR="000B7446">
        <w:rPr>
          <w:sz w:val="22"/>
          <w:szCs w:val="22"/>
        </w:rPr>
        <w:t xml:space="preserve"> </w:t>
      </w:r>
      <w:r w:rsidR="00691DE1">
        <w:rPr>
          <w:sz w:val="22"/>
          <w:szCs w:val="22"/>
        </w:rPr>
        <w:t>tratta di una interpretazione preventiva</w:t>
      </w:r>
      <w:r w:rsidR="00FB2449">
        <w:rPr>
          <w:sz w:val="22"/>
          <w:szCs w:val="22"/>
        </w:rPr>
        <w:t xml:space="preserve"> (ex ante)</w:t>
      </w:r>
      <w:r w:rsidR="00691DE1">
        <w:rPr>
          <w:sz w:val="22"/>
          <w:szCs w:val="22"/>
        </w:rPr>
        <w:t xml:space="preserve">, in cui i contribuenti </w:t>
      </w:r>
      <w:r w:rsidR="00FB2449">
        <w:rPr>
          <w:sz w:val="22"/>
          <w:szCs w:val="22"/>
        </w:rPr>
        <w:t xml:space="preserve">realizzano i propri obiettivi economici </w:t>
      </w:r>
      <w:r w:rsidR="001E5EC5">
        <w:rPr>
          <w:sz w:val="22"/>
          <w:szCs w:val="22"/>
        </w:rPr>
        <w:t xml:space="preserve">tramite il percorso giuridico </w:t>
      </w:r>
      <w:r w:rsidR="00691DE1">
        <w:rPr>
          <w:sz w:val="22"/>
          <w:szCs w:val="22"/>
        </w:rPr>
        <w:t>in concreto più convenient</w:t>
      </w:r>
      <w:r w:rsidR="001E5EC5">
        <w:rPr>
          <w:sz w:val="22"/>
          <w:szCs w:val="22"/>
        </w:rPr>
        <w:t>e</w:t>
      </w:r>
      <w:r w:rsidR="00691DE1">
        <w:rPr>
          <w:sz w:val="22"/>
          <w:szCs w:val="22"/>
        </w:rPr>
        <w:t xml:space="preserve">. </w:t>
      </w:r>
      <w:r w:rsidR="001E5EC5">
        <w:rPr>
          <w:sz w:val="22"/>
          <w:szCs w:val="22"/>
        </w:rPr>
        <w:t>Nell’</w:t>
      </w:r>
      <w:r w:rsidR="00691DE1">
        <w:rPr>
          <w:sz w:val="22"/>
          <w:szCs w:val="22"/>
        </w:rPr>
        <w:t>autotassazione</w:t>
      </w:r>
      <w:r w:rsidR="001E5EC5">
        <w:rPr>
          <w:sz w:val="22"/>
          <w:szCs w:val="22"/>
        </w:rPr>
        <w:t>,</w:t>
      </w:r>
      <w:r w:rsidR="00691DE1">
        <w:rPr>
          <w:sz w:val="22"/>
          <w:szCs w:val="22"/>
        </w:rPr>
        <w:t xml:space="preserve"> l’interpretazione non riguarda infatti eventi posti in essere in modo istintivo e poi giuridicamente qualificati “ex post”; la consapevolezza della “variabile fiscale” spinge invece molto spesso a costruire i rapporti di diritto privato anche in funzione dei </w:t>
      </w:r>
      <w:r w:rsidR="00CD569D" w:rsidRPr="007F7EBF">
        <w:rPr>
          <w:sz w:val="22"/>
          <w:szCs w:val="22"/>
        </w:rPr>
        <w:t xml:space="preserve">regimi </w:t>
      </w:r>
      <w:r w:rsidR="00CB29CC">
        <w:rPr>
          <w:sz w:val="22"/>
          <w:szCs w:val="22"/>
        </w:rPr>
        <w:t>tributari</w:t>
      </w:r>
      <w:r w:rsidR="0093129E" w:rsidRPr="007F7EBF">
        <w:rPr>
          <w:sz w:val="22"/>
          <w:szCs w:val="22"/>
        </w:rPr>
        <w:t xml:space="preserve"> </w:t>
      </w:r>
      <w:r w:rsidR="00CD569D" w:rsidRPr="007F7EBF">
        <w:rPr>
          <w:sz w:val="22"/>
          <w:szCs w:val="22"/>
        </w:rPr>
        <w:t>applicabili</w:t>
      </w:r>
      <w:r w:rsidR="00C97007">
        <w:rPr>
          <w:sz w:val="22"/>
          <w:szCs w:val="22"/>
        </w:rPr>
        <w:t>(</w:t>
      </w:r>
      <w:r w:rsidR="00D91416" w:rsidRPr="007F7EBF">
        <w:rPr>
          <w:rStyle w:val="Rimandonotaapidipagina"/>
          <w:sz w:val="22"/>
          <w:szCs w:val="22"/>
        </w:rPr>
        <w:footnoteReference w:id="351"/>
      </w:r>
      <w:r w:rsidR="00C97007">
        <w:rPr>
          <w:sz w:val="22"/>
          <w:szCs w:val="22"/>
        </w:rPr>
        <w:t>)</w:t>
      </w:r>
      <w:r w:rsidR="00CD569D" w:rsidRPr="007F7EBF">
        <w:rPr>
          <w:sz w:val="22"/>
          <w:szCs w:val="22"/>
        </w:rPr>
        <w:t xml:space="preserve">. </w:t>
      </w:r>
    </w:p>
    <w:p w14:paraId="5BDDA3E5" w14:textId="77777777" w:rsidR="00D40476" w:rsidRPr="007F7EBF" w:rsidRDefault="00912759" w:rsidP="00D40476">
      <w:pPr>
        <w:pStyle w:val="tit23"/>
        <w:ind w:left="6464" w:right="-1361" w:firstLine="0"/>
        <w:jc w:val="left"/>
        <w:rPr>
          <w:bCs/>
          <w:i/>
          <w:iCs/>
          <w:color w:val="0000FF"/>
          <w:lang w:val="it-IT"/>
        </w:rPr>
      </w:pPr>
      <w:r>
        <w:rPr>
          <w:bCs/>
          <w:i/>
          <w:iCs/>
          <w:color w:val="0000FF"/>
          <w:lang w:val="it-IT"/>
        </w:rPr>
        <w:t>Una pianificazione legittima e talvolta doverosa</w:t>
      </w:r>
    </w:p>
    <w:p w14:paraId="60E57CA1" w14:textId="36217679" w:rsidR="00C97007" w:rsidRDefault="00FD1171" w:rsidP="00C97007">
      <w:pPr>
        <w:rPr>
          <w:sz w:val="22"/>
          <w:szCs w:val="22"/>
        </w:rPr>
      </w:pPr>
      <w:r>
        <w:rPr>
          <w:sz w:val="22"/>
          <w:szCs w:val="22"/>
        </w:rPr>
        <w:t xml:space="preserve">Questa </w:t>
      </w:r>
      <w:r w:rsidR="0066088B">
        <w:rPr>
          <w:sz w:val="22"/>
          <w:szCs w:val="22"/>
        </w:rPr>
        <w:t xml:space="preserve">valutazione è del tutto legittima, </w:t>
      </w:r>
      <w:r w:rsidR="00C97007">
        <w:rPr>
          <w:sz w:val="22"/>
          <w:szCs w:val="22"/>
        </w:rPr>
        <w:t>salvi casi di elusione, di aggiramento dello spirito del sistema, e addirittura doverosa per</w:t>
      </w:r>
    </w:p>
    <w:p w14:paraId="7AEB4456" w14:textId="02C5D471" w:rsidR="00D40476" w:rsidRPr="007F7EBF" w:rsidRDefault="00912759" w:rsidP="001F4172">
      <w:pPr>
        <w:rPr>
          <w:bCs/>
          <w:i/>
          <w:iCs/>
          <w:color w:val="0000FF"/>
        </w:rPr>
      </w:pPr>
      <w:r>
        <w:rPr>
          <w:sz w:val="22"/>
          <w:szCs w:val="22"/>
        </w:rPr>
        <w:t>chi opera nell’interesse di terzi</w:t>
      </w:r>
      <w:r w:rsidR="00C97007">
        <w:rPr>
          <w:sz w:val="22"/>
          <w:szCs w:val="22"/>
        </w:rPr>
        <w:t xml:space="preserve">; mi riferisco a </w:t>
      </w:r>
      <w:r w:rsidR="00D40476" w:rsidRPr="007F7EBF">
        <w:rPr>
          <w:sz w:val="22"/>
          <w:szCs w:val="22"/>
        </w:rPr>
        <w:t>dirigenti e funzionari aziendali</w:t>
      </w:r>
      <w:r w:rsidR="00C97007">
        <w:rPr>
          <w:sz w:val="22"/>
          <w:szCs w:val="22"/>
        </w:rPr>
        <w:t xml:space="preserve">, esposti a critiche se provocano alla loro </w:t>
      </w:r>
      <w:r>
        <w:rPr>
          <w:sz w:val="22"/>
          <w:szCs w:val="22"/>
        </w:rPr>
        <w:t>azienda</w:t>
      </w:r>
      <w:r w:rsidR="00D40476" w:rsidRPr="007F7EBF">
        <w:rPr>
          <w:sz w:val="22"/>
          <w:szCs w:val="22"/>
        </w:rPr>
        <w:t xml:space="preserve"> oneri tributari </w:t>
      </w:r>
      <w:r w:rsidR="00C97007">
        <w:rPr>
          <w:sz w:val="22"/>
          <w:szCs w:val="22"/>
        </w:rPr>
        <w:lastRenderedPageBreak/>
        <w:t>evitabili, a parità degli altri fattori. Per questo è diffusa la tendenza a cercare la</w:t>
      </w:r>
      <w:r w:rsidR="00D40476" w:rsidRPr="007F7EBF">
        <w:rPr>
          <w:sz w:val="22"/>
          <w:szCs w:val="22"/>
        </w:rPr>
        <w:t xml:space="preserve"> qualificazione giuridica </w:t>
      </w:r>
      <w:proofErr w:type="spellStart"/>
      <w:r>
        <w:rPr>
          <w:sz w:val="22"/>
          <w:szCs w:val="22"/>
        </w:rPr>
        <w:t>tributariamente</w:t>
      </w:r>
      <w:proofErr w:type="spellEnd"/>
      <w:r>
        <w:rPr>
          <w:sz w:val="22"/>
          <w:szCs w:val="22"/>
        </w:rPr>
        <w:t xml:space="preserve"> </w:t>
      </w:r>
      <w:r w:rsidR="00D40476" w:rsidRPr="007F7EBF">
        <w:rPr>
          <w:sz w:val="22"/>
          <w:szCs w:val="22"/>
        </w:rPr>
        <w:t xml:space="preserve">più </w:t>
      </w:r>
      <w:r>
        <w:rPr>
          <w:sz w:val="22"/>
          <w:szCs w:val="22"/>
        </w:rPr>
        <w:t>conveniente</w:t>
      </w:r>
      <w:r w:rsidR="00C97007">
        <w:rPr>
          <w:sz w:val="22"/>
          <w:szCs w:val="22"/>
        </w:rPr>
        <w:t xml:space="preserve">, </w:t>
      </w:r>
      <w:r>
        <w:rPr>
          <w:sz w:val="22"/>
          <w:szCs w:val="22"/>
        </w:rPr>
        <w:t>ben diverso dall’alterare materialmente le rappresentazioni</w:t>
      </w:r>
      <w:r w:rsidR="00C97007">
        <w:rPr>
          <w:sz w:val="22"/>
          <w:szCs w:val="22"/>
        </w:rPr>
        <w:t xml:space="preserve"> dei fatti (</w:t>
      </w:r>
      <w:r w:rsidR="00C97007">
        <w:rPr>
          <w:rStyle w:val="Rimandonotaapidipagina"/>
          <w:sz w:val="22"/>
          <w:szCs w:val="22"/>
        </w:rPr>
        <w:footnoteReference w:id="352"/>
      </w:r>
      <w:r w:rsidR="00C97007">
        <w:rPr>
          <w:sz w:val="22"/>
          <w:szCs w:val="22"/>
        </w:rPr>
        <w:t>)</w:t>
      </w:r>
      <w:r w:rsidR="00D40476" w:rsidRPr="007F7EBF">
        <w:rPr>
          <w:sz w:val="22"/>
          <w:szCs w:val="22"/>
        </w:rPr>
        <w:t xml:space="preserve">, </w:t>
      </w:r>
      <w:r>
        <w:rPr>
          <w:sz w:val="22"/>
          <w:szCs w:val="22"/>
        </w:rPr>
        <w:t xml:space="preserve">esprimendo </w:t>
      </w:r>
      <w:r w:rsidR="00D40476" w:rsidRPr="007F7EBF">
        <w:rPr>
          <w:sz w:val="22"/>
          <w:szCs w:val="22"/>
        </w:rPr>
        <w:t>efficienza</w:t>
      </w:r>
      <w:r>
        <w:rPr>
          <w:sz w:val="22"/>
          <w:szCs w:val="22"/>
        </w:rPr>
        <w:t xml:space="preserve"> ed attaccamento all’organizzazione</w:t>
      </w:r>
      <w:r w:rsidR="00D40476" w:rsidRPr="007F7EBF">
        <w:rPr>
          <w:sz w:val="22"/>
          <w:szCs w:val="22"/>
        </w:rPr>
        <w:t xml:space="preserve">.  </w:t>
      </w:r>
    </w:p>
    <w:p w14:paraId="2EA99DBD" w14:textId="09DCA524" w:rsidR="00200937" w:rsidRPr="007F7EBF" w:rsidRDefault="001F4172" w:rsidP="00200937">
      <w:pPr>
        <w:rPr>
          <w:sz w:val="22"/>
          <w:szCs w:val="22"/>
        </w:rPr>
      </w:pPr>
      <w:r>
        <w:rPr>
          <w:sz w:val="22"/>
          <w:szCs w:val="22"/>
        </w:rPr>
        <w:t xml:space="preserve">La soluzione più conveniente non esiste “in astratto”, perché sotto questo profilo i regimi tributari si equivalgono; alcuni di essi però possono essere preferibili in concreto, considerando tutti gli aspetti </w:t>
      </w:r>
      <w:r w:rsidR="00D40476" w:rsidRPr="007F7EBF">
        <w:rPr>
          <w:sz w:val="22"/>
          <w:szCs w:val="22"/>
        </w:rPr>
        <w:t>soggettivi e temporali</w:t>
      </w:r>
      <w:r>
        <w:rPr>
          <w:sz w:val="22"/>
          <w:szCs w:val="22"/>
        </w:rPr>
        <w:t xml:space="preserve"> (</w:t>
      </w:r>
      <w:r w:rsidR="00D40476" w:rsidRPr="007F7EBF">
        <w:rPr>
          <w:rStyle w:val="Rimandonotaapidipagina"/>
          <w:sz w:val="22"/>
          <w:szCs w:val="22"/>
        </w:rPr>
        <w:footnoteReference w:id="353"/>
      </w:r>
      <w:r>
        <w:rPr>
          <w:sz w:val="22"/>
          <w:szCs w:val="22"/>
        </w:rPr>
        <w:t>)</w:t>
      </w:r>
      <w:r w:rsidR="00D40476" w:rsidRPr="007F7EBF">
        <w:rPr>
          <w:sz w:val="22"/>
          <w:szCs w:val="22"/>
        </w:rPr>
        <w:t>; spesso sono effettuati appositi studi, in cui si confrontano le diverse</w:t>
      </w:r>
      <w:r>
        <w:rPr>
          <w:sz w:val="22"/>
          <w:szCs w:val="22"/>
        </w:rPr>
        <w:t xml:space="preserve"> modalità giuridiche per raggiungere un certo obiettivo economico, gli argomenti</w:t>
      </w:r>
      <w:r w:rsidR="00D40476" w:rsidRPr="007F7EBF">
        <w:rPr>
          <w:sz w:val="22"/>
          <w:szCs w:val="22"/>
        </w:rPr>
        <w:t xml:space="preserve"> interpreta</w:t>
      </w:r>
      <w:r>
        <w:rPr>
          <w:sz w:val="22"/>
          <w:szCs w:val="22"/>
        </w:rPr>
        <w:t>tivi</w:t>
      </w:r>
      <w:r w:rsidR="00D40476" w:rsidRPr="007F7EBF">
        <w:rPr>
          <w:sz w:val="22"/>
          <w:szCs w:val="22"/>
        </w:rPr>
        <w:t xml:space="preserve"> letterali e sistematic</w:t>
      </w:r>
      <w:r>
        <w:rPr>
          <w:sz w:val="22"/>
          <w:szCs w:val="22"/>
        </w:rPr>
        <w:t>i</w:t>
      </w:r>
      <w:r w:rsidR="00D40476" w:rsidRPr="007F7EBF">
        <w:rPr>
          <w:sz w:val="22"/>
          <w:szCs w:val="22"/>
        </w:rPr>
        <w:t xml:space="preserve">, come pure vantaggi </w:t>
      </w:r>
      <w:r>
        <w:rPr>
          <w:sz w:val="22"/>
          <w:szCs w:val="22"/>
        </w:rPr>
        <w:t>e svantaggi</w:t>
      </w:r>
      <w:r w:rsidR="00D40476" w:rsidRPr="007F7EBF">
        <w:rPr>
          <w:sz w:val="22"/>
          <w:szCs w:val="22"/>
        </w:rPr>
        <w:t xml:space="preserve"> tributari</w:t>
      </w:r>
      <w:r>
        <w:rPr>
          <w:sz w:val="22"/>
          <w:szCs w:val="22"/>
        </w:rPr>
        <w:t xml:space="preserve"> </w:t>
      </w:r>
      <w:r w:rsidR="00D40476" w:rsidRPr="007F7EBF">
        <w:rPr>
          <w:sz w:val="22"/>
          <w:szCs w:val="22"/>
        </w:rPr>
        <w:t>spesso coesist</w:t>
      </w:r>
      <w:r>
        <w:rPr>
          <w:sz w:val="22"/>
          <w:szCs w:val="22"/>
        </w:rPr>
        <w:t>enti</w:t>
      </w:r>
      <w:r w:rsidR="00D40476" w:rsidRPr="007F7EBF">
        <w:rPr>
          <w:sz w:val="22"/>
          <w:szCs w:val="22"/>
        </w:rPr>
        <w:t xml:space="preserve"> in ciascuna soluzione.  </w:t>
      </w:r>
    </w:p>
    <w:p w14:paraId="3C15374C" w14:textId="0A81856D" w:rsidR="00200937" w:rsidRPr="007F7EBF" w:rsidRDefault="001F4172" w:rsidP="00200937">
      <w:pPr>
        <w:pStyle w:val="tit23"/>
        <w:ind w:left="6464" w:right="-1361" w:firstLine="0"/>
        <w:jc w:val="left"/>
        <w:rPr>
          <w:bCs/>
          <w:i/>
          <w:iCs/>
          <w:color w:val="0000FF"/>
          <w:lang w:val="it-IT"/>
        </w:rPr>
      </w:pPr>
      <w:r>
        <w:rPr>
          <w:bCs/>
          <w:i/>
          <w:iCs/>
          <w:color w:val="0000FF"/>
          <w:lang w:val="it-IT"/>
        </w:rPr>
        <w:t>Sopravvalutazione del</w:t>
      </w:r>
      <w:r w:rsidR="00200937">
        <w:rPr>
          <w:bCs/>
          <w:i/>
          <w:iCs/>
          <w:color w:val="0000FF"/>
          <w:lang w:val="it-IT"/>
        </w:rPr>
        <w:t>l’evasione interpretativa</w:t>
      </w:r>
    </w:p>
    <w:p w14:paraId="7C0ACBF7" w14:textId="1451BE6A" w:rsidR="003C0196" w:rsidRPr="007F7EBF" w:rsidRDefault="00DE6E01" w:rsidP="00CA2640">
      <w:pPr>
        <w:autoSpaceDE w:val="0"/>
        <w:autoSpaceDN w:val="0"/>
        <w:adjustRightInd w:val="0"/>
        <w:rPr>
          <w:sz w:val="22"/>
          <w:szCs w:val="22"/>
        </w:rPr>
      </w:pPr>
      <w:r>
        <w:rPr>
          <w:sz w:val="22"/>
          <w:szCs w:val="22"/>
        </w:rPr>
        <w:t>L’interpretazione dei contribuenti</w:t>
      </w:r>
      <w:r w:rsidR="00D36FDD">
        <w:rPr>
          <w:sz w:val="22"/>
          <w:szCs w:val="22"/>
        </w:rPr>
        <w:t xml:space="preserve"> non si giustifica certo con l’esigenza di risparmiare imposte e deve presentarsi il più possibile come imparziale, proprio per essere credibile (</w:t>
      </w:r>
      <w:r w:rsidR="00D36FDD">
        <w:rPr>
          <w:rStyle w:val="Rimandonotaapidipagina"/>
          <w:sz w:val="22"/>
          <w:szCs w:val="22"/>
        </w:rPr>
        <w:footnoteReference w:id="354"/>
      </w:r>
      <w:r w:rsidR="00D36FDD">
        <w:rPr>
          <w:sz w:val="22"/>
          <w:szCs w:val="22"/>
        </w:rPr>
        <w:t xml:space="preserve">), ma non è </w:t>
      </w:r>
      <w:r w:rsidRPr="007F7EBF">
        <w:rPr>
          <w:sz w:val="22"/>
          <w:szCs w:val="22"/>
        </w:rPr>
        <w:t>indipendent</w:t>
      </w:r>
      <w:r w:rsidR="00D36FDD">
        <w:rPr>
          <w:sz w:val="22"/>
          <w:szCs w:val="22"/>
        </w:rPr>
        <w:t>e</w:t>
      </w:r>
      <w:r w:rsidRPr="007F7EBF">
        <w:rPr>
          <w:sz w:val="22"/>
          <w:szCs w:val="22"/>
        </w:rPr>
        <w:t>, com</w:t>
      </w:r>
      <w:r w:rsidR="00D36FDD">
        <w:rPr>
          <w:sz w:val="22"/>
          <w:szCs w:val="22"/>
        </w:rPr>
        <w:t xml:space="preserve">e </w:t>
      </w:r>
      <w:r w:rsidRPr="007F7EBF">
        <w:rPr>
          <w:sz w:val="22"/>
          <w:szCs w:val="22"/>
        </w:rPr>
        <w:t xml:space="preserve">quella del giudice. </w:t>
      </w:r>
      <w:r w:rsidR="00C2011B">
        <w:rPr>
          <w:sz w:val="22"/>
          <w:szCs w:val="22"/>
        </w:rPr>
        <w:t>Lo stesso vale, inversamente, per</w:t>
      </w:r>
      <w:r w:rsidR="00C2011B" w:rsidRPr="007F7EBF">
        <w:rPr>
          <w:sz w:val="22"/>
          <w:szCs w:val="22"/>
        </w:rPr>
        <w:t xml:space="preserve"> l'interpretazione </w:t>
      </w:r>
      <w:r w:rsidR="00C2011B">
        <w:rPr>
          <w:sz w:val="22"/>
          <w:szCs w:val="22"/>
        </w:rPr>
        <w:t xml:space="preserve">degli uffici, nella dialettica in cui essi contrastano le forzature interpretative dei contribuenti. </w:t>
      </w:r>
      <w:r w:rsidR="001F4172">
        <w:rPr>
          <w:sz w:val="22"/>
          <w:szCs w:val="22"/>
        </w:rPr>
        <w:t>Queste ultime non sono però prevalenti rispetto all’evasione fiscale, in massima parte dipendente da occultamenti materiali degli imponibili</w:t>
      </w:r>
      <w:r w:rsidR="005232D1">
        <w:rPr>
          <w:sz w:val="22"/>
          <w:szCs w:val="22"/>
        </w:rPr>
        <w:t xml:space="preserve">. </w:t>
      </w:r>
      <w:r w:rsidR="005232D1">
        <w:rPr>
          <w:bCs/>
          <w:sz w:val="22"/>
          <w:szCs w:val="22"/>
        </w:rPr>
        <w:t xml:space="preserve">La confusione e il disorientamento sulla funzione tributaria, già accennato al par.1.4 e che riprenderemo al cap.4, creano </w:t>
      </w:r>
      <w:r w:rsidR="001F4172">
        <w:rPr>
          <w:bCs/>
          <w:sz w:val="22"/>
          <w:szCs w:val="22"/>
        </w:rPr>
        <w:t>invece</w:t>
      </w:r>
      <w:r w:rsidR="005232D1">
        <w:rPr>
          <w:bCs/>
          <w:sz w:val="22"/>
          <w:szCs w:val="22"/>
        </w:rPr>
        <w:t xml:space="preserve"> un</w:t>
      </w:r>
      <w:r w:rsidR="001F4172">
        <w:rPr>
          <w:bCs/>
          <w:sz w:val="22"/>
          <w:szCs w:val="22"/>
        </w:rPr>
        <w:t>a sproporzione delle contestazioni di inquadramento giuridico rispetto alla stima dell’evasione in senso materiale</w:t>
      </w:r>
      <w:r w:rsidR="00ED414F">
        <w:rPr>
          <w:bCs/>
          <w:sz w:val="22"/>
          <w:szCs w:val="22"/>
        </w:rPr>
        <w:t xml:space="preserve">. E’ uno dei tanti riflessi della sopravvalutazione del diritto dei privati e della funzione giurisdizionale, indicati al par.1.3, col </w:t>
      </w:r>
      <w:r w:rsidR="0052791A">
        <w:rPr>
          <w:sz w:val="22"/>
          <w:szCs w:val="22"/>
        </w:rPr>
        <w:t xml:space="preserve">desiderio </w:t>
      </w:r>
      <w:r w:rsidR="00165CC7">
        <w:rPr>
          <w:sz w:val="22"/>
          <w:szCs w:val="22"/>
        </w:rPr>
        <w:t xml:space="preserve">tipico del giudice, </w:t>
      </w:r>
      <w:r w:rsidR="00ED414F">
        <w:rPr>
          <w:sz w:val="22"/>
          <w:szCs w:val="22"/>
        </w:rPr>
        <w:t>di riportare alla legge le proprie azioni. Ciò spinge a indugiare sul</w:t>
      </w:r>
      <w:r w:rsidR="0052791A">
        <w:rPr>
          <w:sz w:val="22"/>
          <w:szCs w:val="22"/>
        </w:rPr>
        <w:t xml:space="preserve">l’evasione da interpretazione </w:t>
      </w:r>
      <w:r w:rsidR="00ED414F">
        <w:rPr>
          <w:sz w:val="22"/>
          <w:szCs w:val="22"/>
        </w:rPr>
        <w:lastRenderedPageBreak/>
        <w:t xml:space="preserve">rispetto </w:t>
      </w:r>
      <w:r w:rsidR="005232D1" w:rsidRPr="007F7EBF">
        <w:rPr>
          <w:sz w:val="22"/>
          <w:szCs w:val="22"/>
        </w:rPr>
        <w:t xml:space="preserve">all'occultamento di </w:t>
      </w:r>
      <w:r w:rsidR="00C26D4F">
        <w:rPr>
          <w:sz w:val="22"/>
          <w:szCs w:val="22"/>
        </w:rPr>
        <w:t>imponibili,</w:t>
      </w:r>
      <w:r w:rsidR="005232D1" w:rsidRPr="007F7EBF">
        <w:rPr>
          <w:sz w:val="22"/>
          <w:szCs w:val="22"/>
        </w:rPr>
        <w:t xml:space="preserve"> descritt</w:t>
      </w:r>
      <w:r w:rsidR="00ED414F">
        <w:rPr>
          <w:sz w:val="22"/>
          <w:szCs w:val="22"/>
        </w:rPr>
        <w:t>o</w:t>
      </w:r>
      <w:r w:rsidR="005232D1" w:rsidRPr="007F7EBF">
        <w:rPr>
          <w:sz w:val="22"/>
          <w:szCs w:val="22"/>
        </w:rPr>
        <w:t xml:space="preserve"> al par.3.7</w:t>
      </w:r>
      <w:r w:rsidR="00CA2640">
        <w:rPr>
          <w:sz w:val="22"/>
          <w:szCs w:val="22"/>
        </w:rPr>
        <w:t>, molto più rilevante economicamente (par.1</w:t>
      </w:r>
      <w:r w:rsidR="001F13C8">
        <w:rPr>
          <w:sz w:val="22"/>
          <w:szCs w:val="22"/>
        </w:rPr>
        <w:t>.6</w:t>
      </w:r>
      <w:r w:rsidR="00CA2640">
        <w:rPr>
          <w:sz w:val="22"/>
          <w:szCs w:val="22"/>
        </w:rPr>
        <w:t>)</w:t>
      </w:r>
      <w:r w:rsidR="00C26D4F">
        <w:rPr>
          <w:sz w:val="22"/>
          <w:szCs w:val="22"/>
        </w:rPr>
        <w:t>,</w:t>
      </w:r>
      <w:r w:rsidR="00CA2640">
        <w:rPr>
          <w:sz w:val="22"/>
          <w:szCs w:val="22"/>
        </w:rPr>
        <w:t xml:space="preserve"> e insidios</w:t>
      </w:r>
      <w:r w:rsidR="00C26D4F">
        <w:rPr>
          <w:sz w:val="22"/>
          <w:szCs w:val="22"/>
        </w:rPr>
        <w:t>i</w:t>
      </w:r>
      <w:r w:rsidR="00CA2640">
        <w:rPr>
          <w:sz w:val="22"/>
          <w:szCs w:val="22"/>
        </w:rPr>
        <w:t xml:space="preserve"> nella percezione sociale </w:t>
      </w:r>
      <w:r w:rsidR="00ED414F">
        <w:rPr>
          <w:sz w:val="22"/>
          <w:szCs w:val="22"/>
        </w:rPr>
        <w:t>(</w:t>
      </w:r>
      <w:r w:rsidR="0052791A" w:rsidRPr="007F7EBF">
        <w:rPr>
          <w:rStyle w:val="Rimandonotaapidipagina"/>
          <w:sz w:val="22"/>
          <w:szCs w:val="22"/>
        </w:rPr>
        <w:footnoteReference w:id="355"/>
      </w:r>
      <w:r w:rsidR="00ED414F">
        <w:rPr>
          <w:sz w:val="22"/>
          <w:szCs w:val="22"/>
        </w:rPr>
        <w:t>)</w:t>
      </w:r>
      <w:r w:rsidR="005232D1" w:rsidRPr="007F7EBF">
        <w:rPr>
          <w:sz w:val="22"/>
          <w:szCs w:val="22"/>
        </w:rPr>
        <w:t>;</w:t>
      </w:r>
      <w:r w:rsidR="00ED414F">
        <w:rPr>
          <w:sz w:val="22"/>
          <w:szCs w:val="22"/>
        </w:rPr>
        <w:t xml:space="preserve"> le</w:t>
      </w:r>
      <w:r w:rsidR="00CA2640">
        <w:rPr>
          <w:sz w:val="22"/>
          <w:szCs w:val="22"/>
        </w:rPr>
        <w:t xml:space="preserve"> </w:t>
      </w:r>
      <w:r w:rsidR="005232D1">
        <w:rPr>
          <w:sz w:val="22"/>
          <w:szCs w:val="22"/>
        </w:rPr>
        <w:t xml:space="preserve">questioni di diritto non alterano </w:t>
      </w:r>
      <w:r w:rsidR="005232D1" w:rsidRPr="007F7EBF">
        <w:rPr>
          <w:sz w:val="22"/>
          <w:szCs w:val="22"/>
        </w:rPr>
        <w:t xml:space="preserve">la </w:t>
      </w:r>
      <w:r w:rsidR="00CA2640">
        <w:rPr>
          <w:sz w:val="22"/>
          <w:szCs w:val="22"/>
        </w:rPr>
        <w:t>rilevazione</w:t>
      </w:r>
      <w:r w:rsidR="005232D1">
        <w:rPr>
          <w:sz w:val="22"/>
          <w:szCs w:val="22"/>
        </w:rPr>
        <w:t>, da parte degli uffici tributari,</w:t>
      </w:r>
      <w:r w:rsidR="005232D1" w:rsidRPr="007F7EBF">
        <w:rPr>
          <w:sz w:val="22"/>
          <w:szCs w:val="22"/>
        </w:rPr>
        <w:t xml:space="preserve"> della realtà materiale, </w:t>
      </w:r>
      <w:r w:rsidR="005232D1">
        <w:rPr>
          <w:sz w:val="22"/>
          <w:szCs w:val="22"/>
        </w:rPr>
        <w:t>riguardandone solo</w:t>
      </w:r>
      <w:r w:rsidR="005232D1" w:rsidRPr="007F7EBF">
        <w:rPr>
          <w:sz w:val="22"/>
          <w:szCs w:val="22"/>
        </w:rPr>
        <w:t xml:space="preserve"> </w:t>
      </w:r>
      <w:r w:rsidR="005232D1">
        <w:rPr>
          <w:sz w:val="22"/>
          <w:szCs w:val="22"/>
        </w:rPr>
        <w:t xml:space="preserve">l’inquadramento </w:t>
      </w:r>
      <w:r w:rsidR="005232D1" w:rsidRPr="007F7EBF">
        <w:rPr>
          <w:sz w:val="22"/>
          <w:szCs w:val="22"/>
        </w:rPr>
        <w:t xml:space="preserve">normativo </w:t>
      </w:r>
      <w:r w:rsidR="00ED414F">
        <w:rPr>
          <w:sz w:val="22"/>
          <w:szCs w:val="22"/>
        </w:rPr>
        <w:t>(</w:t>
      </w:r>
      <w:r w:rsidR="005232D1" w:rsidRPr="007F7EBF">
        <w:rPr>
          <w:rStyle w:val="Rimandonotaapidipagina"/>
          <w:sz w:val="22"/>
          <w:szCs w:val="22"/>
        </w:rPr>
        <w:footnoteReference w:id="356"/>
      </w:r>
      <w:r w:rsidR="00ED414F">
        <w:rPr>
          <w:sz w:val="22"/>
          <w:szCs w:val="22"/>
        </w:rPr>
        <w:t>)</w:t>
      </w:r>
      <w:r w:rsidR="005232D1" w:rsidRPr="007F7EBF">
        <w:rPr>
          <w:sz w:val="22"/>
          <w:szCs w:val="22"/>
        </w:rPr>
        <w:t xml:space="preserve">. </w:t>
      </w:r>
      <w:r w:rsidR="005232D1" w:rsidRPr="007F7EBF">
        <w:rPr>
          <w:bCs/>
          <w:i/>
          <w:iCs/>
          <w:color w:val="0000FF"/>
        </w:rPr>
        <w:t xml:space="preserve">  </w:t>
      </w:r>
      <w:r w:rsidR="00ED414F">
        <w:rPr>
          <w:sz w:val="22"/>
          <w:szCs w:val="22"/>
        </w:rPr>
        <w:t>Questa</w:t>
      </w:r>
      <w:r w:rsidR="00CA2640">
        <w:rPr>
          <w:sz w:val="22"/>
          <w:szCs w:val="22"/>
        </w:rPr>
        <w:t xml:space="preserve"> tendenza a contestazioni interpretative spinge </w:t>
      </w:r>
      <w:r w:rsidR="00ED414F">
        <w:rPr>
          <w:sz w:val="22"/>
          <w:szCs w:val="22"/>
        </w:rPr>
        <w:t xml:space="preserve">gli uffici </w:t>
      </w:r>
      <w:r w:rsidR="00CA2640">
        <w:rPr>
          <w:sz w:val="22"/>
          <w:szCs w:val="22"/>
        </w:rPr>
        <w:t xml:space="preserve">a </w:t>
      </w:r>
      <w:r w:rsidR="00ED414F">
        <w:rPr>
          <w:sz w:val="22"/>
          <w:szCs w:val="22"/>
        </w:rPr>
        <w:t>forzature in senso formalistico</w:t>
      </w:r>
      <w:r w:rsidR="003106D5">
        <w:rPr>
          <w:sz w:val="22"/>
          <w:szCs w:val="22"/>
        </w:rPr>
        <w:t xml:space="preserve">, </w:t>
      </w:r>
      <w:r w:rsidR="00ED414F">
        <w:rPr>
          <w:sz w:val="22"/>
          <w:szCs w:val="22"/>
        </w:rPr>
        <w:t xml:space="preserve">oppure esageratamente sostanzialistico </w:t>
      </w:r>
      <w:r w:rsidR="00CA2640">
        <w:rPr>
          <w:sz w:val="22"/>
          <w:szCs w:val="22"/>
        </w:rPr>
        <w:t>rispetto al</w:t>
      </w:r>
      <w:r w:rsidR="00ED414F">
        <w:rPr>
          <w:sz w:val="22"/>
          <w:szCs w:val="22"/>
        </w:rPr>
        <w:t xml:space="preserve">la combinazione tra lettera e </w:t>
      </w:r>
      <w:r w:rsidR="00CA2640">
        <w:rPr>
          <w:sz w:val="22"/>
          <w:szCs w:val="22"/>
        </w:rPr>
        <w:t xml:space="preserve"> spirito</w:t>
      </w:r>
      <w:r w:rsidR="00ED414F">
        <w:rPr>
          <w:sz w:val="22"/>
          <w:szCs w:val="22"/>
        </w:rPr>
        <w:t xml:space="preserve"> delle leggi, in funzione dei </w:t>
      </w:r>
      <w:r w:rsidR="00CA2640">
        <w:rPr>
          <w:sz w:val="22"/>
          <w:szCs w:val="22"/>
        </w:rPr>
        <w:t>concetti economici di cui al par.1.8</w:t>
      </w:r>
      <w:r w:rsidR="003106D5">
        <w:rPr>
          <w:sz w:val="22"/>
          <w:szCs w:val="22"/>
        </w:rPr>
        <w:t xml:space="preserve">; le forzature formalistiche ignorano il principio di capacità contributiva, mentre quelle sostanzialistiche lo sopravvalutano. </w:t>
      </w:r>
    </w:p>
    <w:p w14:paraId="453FAD0E" w14:textId="77777777" w:rsidR="003C0196" w:rsidRPr="007F7EBF" w:rsidRDefault="003C0196" w:rsidP="003C0196">
      <w:pPr>
        <w:pStyle w:val="tit23"/>
        <w:ind w:left="6464" w:right="-1361" w:firstLine="0"/>
        <w:jc w:val="left"/>
        <w:rPr>
          <w:bCs/>
          <w:i/>
          <w:iCs/>
          <w:color w:val="0000FF"/>
          <w:lang w:val="it-IT"/>
        </w:rPr>
      </w:pPr>
      <w:r w:rsidRPr="007F7EBF">
        <w:rPr>
          <w:bCs/>
          <w:i/>
          <w:iCs/>
          <w:color w:val="0000FF"/>
          <w:lang w:val="it-IT"/>
        </w:rPr>
        <w:t>Contestazioni interpretative come diversivo</w:t>
      </w:r>
    </w:p>
    <w:p w14:paraId="36DEC256" w14:textId="525E388C" w:rsidR="003C0196" w:rsidRPr="007F7EBF" w:rsidRDefault="003106D5" w:rsidP="00DE6E01">
      <w:pPr>
        <w:autoSpaceDE w:val="0"/>
        <w:autoSpaceDN w:val="0"/>
        <w:adjustRightInd w:val="0"/>
        <w:rPr>
          <w:sz w:val="22"/>
          <w:szCs w:val="22"/>
        </w:rPr>
      </w:pPr>
      <w:r>
        <w:rPr>
          <w:sz w:val="22"/>
          <w:szCs w:val="22"/>
        </w:rPr>
        <w:t xml:space="preserve">Ciò comporta </w:t>
      </w:r>
      <w:r w:rsidRPr="007F7EBF">
        <w:rPr>
          <w:sz w:val="22"/>
          <w:szCs w:val="22"/>
        </w:rPr>
        <w:t xml:space="preserve">contestazioni interpretative </w:t>
      </w:r>
      <w:r>
        <w:rPr>
          <w:sz w:val="22"/>
          <w:szCs w:val="22"/>
        </w:rPr>
        <w:t xml:space="preserve">sia infondate sia inutili, </w:t>
      </w:r>
      <w:r w:rsidRPr="007F7EBF">
        <w:rPr>
          <w:sz w:val="22"/>
          <w:szCs w:val="22"/>
        </w:rPr>
        <w:t>quando il regime giuridico applicato dal contribuente è nel suo complesso sostanzialmente innocuo, in quanto -per via delle "simmetrie" indicate al par.3.12- sostanzialmente l'onere tributario non cambia; si pensi al caso in cui tale onere è ricaduto su altri, secondo le simmetrie indicate al 3.12, o è stato addirittura anticipato</w:t>
      </w:r>
      <w:r>
        <w:rPr>
          <w:sz w:val="22"/>
          <w:szCs w:val="22"/>
        </w:rPr>
        <w:t xml:space="preserve"> (</w:t>
      </w:r>
      <w:r w:rsidRPr="007F7EBF">
        <w:rPr>
          <w:rStyle w:val="Rimandonotaapidipagina"/>
          <w:sz w:val="22"/>
          <w:szCs w:val="22"/>
        </w:rPr>
        <w:footnoteReference w:id="357"/>
      </w:r>
      <w:r>
        <w:rPr>
          <w:sz w:val="22"/>
          <w:szCs w:val="22"/>
        </w:rPr>
        <w:t>)</w:t>
      </w:r>
      <w:r w:rsidRPr="007F7EBF">
        <w:rPr>
          <w:sz w:val="22"/>
          <w:szCs w:val="22"/>
        </w:rPr>
        <w:t xml:space="preserve">. </w:t>
      </w:r>
      <w:r w:rsidR="00CA2640" w:rsidRPr="007F7EBF">
        <w:rPr>
          <w:sz w:val="22"/>
          <w:szCs w:val="22"/>
        </w:rPr>
        <w:t>Le contestazioni interpretative</w:t>
      </w:r>
      <w:r w:rsidR="00D87FF7">
        <w:rPr>
          <w:sz w:val="22"/>
          <w:szCs w:val="22"/>
        </w:rPr>
        <w:t xml:space="preserve">, </w:t>
      </w:r>
      <w:r w:rsidR="00CA2640" w:rsidRPr="007F7EBF">
        <w:rPr>
          <w:sz w:val="22"/>
          <w:szCs w:val="22"/>
        </w:rPr>
        <w:t xml:space="preserve">facili </w:t>
      </w:r>
      <w:r w:rsidR="00D87FF7">
        <w:rPr>
          <w:sz w:val="22"/>
          <w:szCs w:val="22"/>
        </w:rPr>
        <w:t>da formulare</w:t>
      </w:r>
      <w:r w:rsidR="00CA2640" w:rsidRPr="007F7EBF">
        <w:rPr>
          <w:sz w:val="22"/>
          <w:szCs w:val="22"/>
        </w:rPr>
        <w:t xml:space="preserve"> in quanto riferibili a vicende registrate o palesi, </w:t>
      </w:r>
      <w:r w:rsidR="00200937" w:rsidRPr="007F7EBF">
        <w:rPr>
          <w:sz w:val="22"/>
          <w:szCs w:val="22"/>
        </w:rPr>
        <w:t xml:space="preserve">diventano quindi un diversivo rispetto alla </w:t>
      </w:r>
      <w:r w:rsidR="00200937">
        <w:rPr>
          <w:sz w:val="22"/>
          <w:szCs w:val="22"/>
        </w:rPr>
        <w:t>più complessa determinazione</w:t>
      </w:r>
      <w:r w:rsidR="00200937" w:rsidRPr="007F7EBF">
        <w:rPr>
          <w:sz w:val="22"/>
          <w:szCs w:val="22"/>
        </w:rPr>
        <w:t xml:space="preserve"> valutativa della ricchezza non intercettata dalle aziende</w:t>
      </w:r>
      <w:r w:rsidR="00CA2640">
        <w:rPr>
          <w:sz w:val="22"/>
          <w:szCs w:val="22"/>
        </w:rPr>
        <w:t xml:space="preserve">; </w:t>
      </w:r>
      <w:r w:rsidR="00D87FF7">
        <w:rPr>
          <w:sz w:val="22"/>
          <w:szCs w:val="22"/>
        </w:rPr>
        <w:t xml:space="preserve">la sproporzione emerge confrontando </w:t>
      </w:r>
      <w:r w:rsidR="00CA2640">
        <w:rPr>
          <w:sz w:val="22"/>
          <w:szCs w:val="22"/>
        </w:rPr>
        <w:t>i</w:t>
      </w:r>
      <w:r w:rsidR="00CA2640" w:rsidRPr="007F7EBF">
        <w:rPr>
          <w:bCs/>
          <w:sz w:val="22"/>
          <w:szCs w:val="22"/>
        </w:rPr>
        <w:t xml:space="preserve"> </w:t>
      </w:r>
      <w:r w:rsidR="00CA2640" w:rsidRPr="007F7EBF">
        <w:rPr>
          <w:sz w:val="22"/>
          <w:szCs w:val="22"/>
        </w:rPr>
        <w:t xml:space="preserve">dati sull'evasione (par. </w:t>
      </w:r>
      <w:r w:rsidR="001F13C8">
        <w:rPr>
          <w:sz w:val="22"/>
          <w:szCs w:val="22"/>
        </w:rPr>
        <w:t>1.6</w:t>
      </w:r>
      <w:r w:rsidR="00CA2640" w:rsidRPr="007F7EBF">
        <w:rPr>
          <w:sz w:val="22"/>
          <w:szCs w:val="22"/>
        </w:rPr>
        <w:t>)</w:t>
      </w:r>
      <w:r w:rsidR="00D87FF7">
        <w:rPr>
          <w:sz w:val="22"/>
          <w:szCs w:val="22"/>
        </w:rPr>
        <w:t xml:space="preserve">, </w:t>
      </w:r>
      <w:r w:rsidR="00CA2640">
        <w:rPr>
          <w:sz w:val="22"/>
          <w:szCs w:val="22"/>
        </w:rPr>
        <w:t>stim</w:t>
      </w:r>
      <w:r w:rsidR="00D87FF7">
        <w:rPr>
          <w:sz w:val="22"/>
          <w:szCs w:val="22"/>
        </w:rPr>
        <w:t xml:space="preserve">ati </w:t>
      </w:r>
      <w:r w:rsidR="00CA2640">
        <w:rPr>
          <w:sz w:val="22"/>
          <w:szCs w:val="22"/>
        </w:rPr>
        <w:t xml:space="preserve">esclusivamente </w:t>
      </w:r>
      <w:r w:rsidR="00D87FF7">
        <w:rPr>
          <w:sz w:val="22"/>
          <w:szCs w:val="22"/>
        </w:rPr>
        <w:t xml:space="preserve">sugli imponibili </w:t>
      </w:r>
      <w:r w:rsidR="00CA2640">
        <w:rPr>
          <w:sz w:val="22"/>
          <w:szCs w:val="22"/>
        </w:rPr>
        <w:t>non registrat</w:t>
      </w:r>
      <w:r w:rsidR="00D87FF7">
        <w:rPr>
          <w:sz w:val="22"/>
          <w:szCs w:val="22"/>
        </w:rPr>
        <w:t>i</w:t>
      </w:r>
      <w:r w:rsidR="00CA2640">
        <w:rPr>
          <w:sz w:val="22"/>
          <w:szCs w:val="22"/>
        </w:rPr>
        <w:t>, e</w:t>
      </w:r>
      <w:r w:rsidR="00D87FF7">
        <w:rPr>
          <w:sz w:val="22"/>
          <w:szCs w:val="22"/>
        </w:rPr>
        <w:t xml:space="preserve"> i risultati dei controlli (par.5.7), in buona parte influenzati da contestazioni in </w:t>
      </w:r>
      <w:r w:rsidR="00CA2640">
        <w:rPr>
          <w:sz w:val="22"/>
          <w:szCs w:val="22"/>
        </w:rPr>
        <w:t xml:space="preserve"> </w:t>
      </w:r>
      <w:r w:rsidR="00D87FF7">
        <w:rPr>
          <w:sz w:val="22"/>
          <w:szCs w:val="22"/>
        </w:rPr>
        <w:t>punto di diritto</w:t>
      </w:r>
      <w:r w:rsidR="00CA2640">
        <w:rPr>
          <w:sz w:val="22"/>
          <w:szCs w:val="22"/>
        </w:rPr>
        <w:t xml:space="preserve">; </w:t>
      </w:r>
      <w:r w:rsidR="00D87FF7">
        <w:rPr>
          <w:sz w:val="22"/>
          <w:szCs w:val="22"/>
        </w:rPr>
        <w:t xml:space="preserve">ne deriva un </w:t>
      </w:r>
      <w:r w:rsidR="00CA2640">
        <w:rPr>
          <w:sz w:val="22"/>
          <w:szCs w:val="22"/>
        </w:rPr>
        <w:t xml:space="preserve">vero e proprio spreco di energie amministrative </w:t>
      </w:r>
      <w:r w:rsidR="00DE6E01">
        <w:rPr>
          <w:sz w:val="22"/>
          <w:szCs w:val="22"/>
        </w:rPr>
        <w:t>ne</w:t>
      </w:r>
      <w:r w:rsidR="00DE6E01" w:rsidRPr="007F7EBF">
        <w:rPr>
          <w:sz w:val="22"/>
          <w:szCs w:val="22"/>
        </w:rPr>
        <w:t xml:space="preserve">i controlli sui grandi contribuenti </w:t>
      </w:r>
      <w:r w:rsidR="00D87FF7">
        <w:rPr>
          <w:sz w:val="22"/>
          <w:szCs w:val="22"/>
        </w:rPr>
        <w:t>(</w:t>
      </w:r>
      <w:r w:rsidR="00DE6E01" w:rsidRPr="007F7EBF">
        <w:rPr>
          <w:rStyle w:val="Rimandonotaapidipagina"/>
          <w:sz w:val="22"/>
          <w:szCs w:val="22"/>
        </w:rPr>
        <w:footnoteReference w:id="358"/>
      </w:r>
      <w:r w:rsidR="00D87FF7">
        <w:rPr>
          <w:sz w:val="22"/>
          <w:szCs w:val="22"/>
        </w:rPr>
        <w:t>)</w:t>
      </w:r>
      <w:r w:rsidR="00DE6E01" w:rsidRPr="007F7EBF">
        <w:rPr>
          <w:sz w:val="22"/>
          <w:szCs w:val="22"/>
        </w:rPr>
        <w:t>, passando per le imprese di medie dimensioni fino alla liquidazione delle dichiarazioni delle persone fisiche (par.5.5).</w:t>
      </w:r>
      <w:r w:rsidR="00DE6E01" w:rsidRPr="007F7EBF">
        <w:rPr>
          <w:bCs/>
          <w:sz w:val="22"/>
          <w:szCs w:val="22"/>
        </w:rPr>
        <w:t xml:space="preserve"> </w:t>
      </w:r>
    </w:p>
    <w:p w14:paraId="1AD22553" w14:textId="627A2C94" w:rsidR="003C0196" w:rsidRPr="007F7EBF" w:rsidRDefault="00A17EBB" w:rsidP="003C0196">
      <w:pPr>
        <w:pStyle w:val="tit23"/>
        <w:ind w:left="6464" w:right="-1361" w:firstLine="0"/>
        <w:jc w:val="left"/>
        <w:rPr>
          <w:bCs/>
          <w:i/>
          <w:iCs/>
          <w:color w:val="0000FF"/>
          <w:lang w:val="it-IT"/>
        </w:rPr>
      </w:pPr>
      <w:r>
        <w:rPr>
          <w:bCs/>
          <w:i/>
          <w:iCs/>
          <w:color w:val="0000FF"/>
          <w:lang w:val="it-IT"/>
        </w:rPr>
        <w:lastRenderedPageBreak/>
        <w:t>Elusione e violazione del solo “spirito della legge”</w:t>
      </w:r>
    </w:p>
    <w:p w14:paraId="0881EED2" w14:textId="4A089D5B" w:rsidR="002F79E9" w:rsidRDefault="004E3C87" w:rsidP="00EB4DDD">
      <w:pPr>
        <w:autoSpaceDE w:val="0"/>
        <w:autoSpaceDN w:val="0"/>
        <w:adjustRightInd w:val="0"/>
        <w:rPr>
          <w:sz w:val="22"/>
          <w:szCs w:val="22"/>
        </w:rPr>
      </w:pPr>
      <w:r>
        <w:rPr>
          <w:sz w:val="22"/>
          <w:szCs w:val="22"/>
        </w:rPr>
        <w:t xml:space="preserve">L’elusione fiscale è una particolare </w:t>
      </w:r>
      <w:r w:rsidR="00BB10F4">
        <w:rPr>
          <w:sz w:val="22"/>
          <w:szCs w:val="22"/>
        </w:rPr>
        <w:t>questione di diritto</w:t>
      </w:r>
      <w:r w:rsidR="00197BDA" w:rsidRPr="007F7EBF">
        <w:rPr>
          <w:sz w:val="22"/>
          <w:szCs w:val="22"/>
        </w:rPr>
        <w:t xml:space="preserve">, </w:t>
      </w:r>
      <w:r w:rsidR="0021025A">
        <w:rPr>
          <w:sz w:val="22"/>
          <w:szCs w:val="22"/>
        </w:rPr>
        <w:t xml:space="preserve">un aspetto dell’evasione interpretativa in cui l’inquadramento giuridico adottato è addirittura </w:t>
      </w:r>
      <w:r w:rsidR="00BB10F4" w:rsidRPr="007F7EBF">
        <w:rPr>
          <w:sz w:val="22"/>
          <w:szCs w:val="22"/>
        </w:rPr>
        <w:t xml:space="preserve">formalmente </w:t>
      </w:r>
      <w:r w:rsidR="0021025A">
        <w:rPr>
          <w:sz w:val="22"/>
          <w:szCs w:val="22"/>
        </w:rPr>
        <w:t xml:space="preserve">regolare; esso però, pur </w:t>
      </w:r>
      <w:r w:rsidR="00BB10F4" w:rsidRPr="007F7EBF">
        <w:rPr>
          <w:sz w:val="22"/>
          <w:szCs w:val="22"/>
        </w:rPr>
        <w:t>rispett</w:t>
      </w:r>
      <w:r w:rsidR="00BB10F4">
        <w:rPr>
          <w:sz w:val="22"/>
          <w:szCs w:val="22"/>
        </w:rPr>
        <w:t>os</w:t>
      </w:r>
      <w:r w:rsidR="0021025A">
        <w:rPr>
          <w:sz w:val="22"/>
          <w:szCs w:val="22"/>
        </w:rPr>
        <w:t xml:space="preserve">o </w:t>
      </w:r>
      <w:r w:rsidR="00BB10F4">
        <w:rPr>
          <w:sz w:val="22"/>
          <w:szCs w:val="22"/>
        </w:rPr>
        <w:t xml:space="preserve">della </w:t>
      </w:r>
      <w:r w:rsidR="00BB10F4" w:rsidRPr="007F7EBF">
        <w:rPr>
          <w:sz w:val="22"/>
          <w:szCs w:val="22"/>
        </w:rPr>
        <w:t xml:space="preserve">lettera della legge, </w:t>
      </w:r>
      <w:r w:rsidR="00BB10F4">
        <w:rPr>
          <w:sz w:val="22"/>
          <w:szCs w:val="22"/>
        </w:rPr>
        <w:t xml:space="preserve">ne tradisce sostanzialmente lo spirito; è un’applicazione delle generali figure della </w:t>
      </w:r>
      <w:r w:rsidR="00BB10F4" w:rsidRPr="007F7EBF">
        <w:rPr>
          <w:bCs/>
          <w:sz w:val="22"/>
          <w:szCs w:val="22"/>
        </w:rPr>
        <w:t>frode alla legge o dell’abuso del diritto</w:t>
      </w:r>
      <w:r w:rsidR="00BB10F4">
        <w:rPr>
          <w:bCs/>
          <w:sz w:val="22"/>
          <w:szCs w:val="22"/>
        </w:rPr>
        <w:t xml:space="preserve"> </w:t>
      </w:r>
      <w:r w:rsidR="0021025A">
        <w:t xml:space="preserve">, con </w:t>
      </w:r>
      <w:r w:rsidR="0021025A" w:rsidRPr="007F7EBF">
        <w:rPr>
          <w:sz w:val="22"/>
          <w:szCs w:val="22"/>
        </w:rPr>
        <w:t>espressioni da ritenere in questa sede an</w:t>
      </w:r>
      <w:r w:rsidR="0021025A" w:rsidRPr="007F7EBF">
        <w:rPr>
          <w:bCs/>
          <w:sz w:val="22"/>
          <w:szCs w:val="22"/>
        </w:rPr>
        <w:t>aloghe</w:t>
      </w:r>
      <w:r w:rsidR="0021025A">
        <w:rPr>
          <w:bCs/>
          <w:sz w:val="22"/>
          <w:szCs w:val="22"/>
        </w:rPr>
        <w:t xml:space="preserve">; l’abuso del diritto è un “abuso delle </w:t>
      </w:r>
      <w:r w:rsidR="00BB10F4">
        <w:rPr>
          <w:bCs/>
          <w:sz w:val="22"/>
          <w:szCs w:val="22"/>
        </w:rPr>
        <w:t>regole</w:t>
      </w:r>
      <w:r w:rsidR="0021025A">
        <w:rPr>
          <w:sz w:val="22"/>
          <w:szCs w:val="22"/>
        </w:rPr>
        <w:t xml:space="preserve">”, non l’uso di un particolare diritto soggettivo </w:t>
      </w:r>
      <w:r w:rsidR="0021025A">
        <w:t>per ottenere vantaggi ingiusti, o solo per nuocere ad altri</w:t>
      </w:r>
      <w:r w:rsidR="0021025A">
        <w:rPr>
          <w:bCs/>
          <w:sz w:val="22"/>
          <w:szCs w:val="22"/>
        </w:rPr>
        <w:t xml:space="preserve"> </w:t>
      </w:r>
      <w:r>
        <w:rPr>
          <w:bCs/>
          <w:sz w:val="22"/>
          <w:szCs w:val="22"/>
        </w:rPr>
        <w:t>(</w:t>
      </w:r>
      <w:r w:rsidR="00BB10F4">
        <w:rPr>
          <w:rStyle w:val="Rimandonotaapidipagina"/>
          <w:bCs/>
          <w:sz w:val="22"/>
          <w:szCs w:val="22"/>
        </w:rPr>
        <w:footnoteReference w:id="359"/>
      </w:r>
      <w:r>
        <w:rPr>
          <w:bCs/>
          <w:sz w:val="22"/>
          <w:szCs w:val="22"/>
        </w:rPr>
        <w:t>)</w:t>
      </w:r>
      <w:r w:rsidR="00BB10F4">
        <w:rPr>
          <w:sz w:val="22"/>
          <w:szCs w:val="22"/>
        </w:rPr>
        <w:t xml:space="preserve">. </w:t>
      </w:r>
      <w:r w:rsidR="00BB10F4" w:rsidRPr="007F7EBF">
        <w:rPr>
          <w:sz w:val="22"/>
          <w:szCs w:val="22"/>
        </w:rPr>
        <w:t xml:space="preserve">La scelta del regime fiscale più conveniente, in linea di principio pienamente legittima, </w:t>
      </w:r>
      <w:r w:rsidR="00BB10F4" w:rsidRPr="007F7EBF">
        <w:rPr>
          <w:bCs/>
          <w:sz w:val="22"/>
          <w:szCs w:val="22"/>
        </w:rPr>
        <w:t>degenera</w:t>
      </w:r>
      <w:r w:rsidR="00BB10F4">
        <w:rPr>
          <w:bCs/>
          <w:sz w:val="22"/>
          <w:szCs w:val="22"/>
        </w:rPr>
        <w:t xml:space="preserve"> </w:t>
      </w:r>
      <w:r w:rsidR="00BB10F4" w:rsidRPr="007F7EBF">
        <w:rPr>
          <w:bCs/>
          <w:sz w:val="22"/>
          <w:szCs w:val="22"/>
        </w:rPr>
        <w:t>in elusione quando tradisce lo “spirito del sistema”</w:t>
      </w:r>
      <w:r w:rsidR="00EA18E4">
        <w:rPr>
          <w:rStyle w:val="Rimandonotaapidipagina"/>
          <w:sz w:val="22"/>
          <w:szCs w:val="22"/>
        </w:rPr>
        <w:t xml:space="preserve">; </w:t>
      </w:r>
      <w:r w:rsidR="00EA18E4">
        <w:rPr>
          <w:sz w:val="22"/>
          <w:szCs w:val="22"/>
        </w:rPr>
        <w:t xml:space="preserve">ciò avviene </w:t>
      </w:r>
      <w:r>
        <w:rPr>
          <w:sz w:val="22"/>
          <w:szCs w:val="22"/>
        </w:rPr>
        <w:t>in gener</w:t>
      </w:r>
      <w:r w:rsidR="00EA18E4">
        <w:rPr>
          <w:sz w:val="22"/>
          <w:szCs w:val="22"/>
        </w:rPr>
        <w:t>e</w:t>
      </w:r>
      <w:r>
        <w:rPr>
          <w:sz w:val="22"/>
          <w:szCs w:val="22"/>
        </w:rPr>
        <w:t xml:space="preserve"> strumentalizzando inadeguatezz</w:t>
      </w:r>
      <w:r w:rsidR="00EA18E4">
        <w:rPr>
          <w:sz w:val="22"/>
          <w:szCs w:val="22"/>
        </w:rPr>
        <w:t xml:space="preserve">e legislative, in un </w:t>
      </w:r>
      <w:r w:rsidR="00EA18E4" w:rsidRPr="00EA18E4">
        <w:rPr>
          <w:b/>
          <w:sz w:val="22"/>
          <w:szCs w:val="22"/>
        </w:rPr>
        <w:t>formalismo</w:t>
      </w:r>
      <w:r w:rsidR="00EA18E4">
        <w:rPr>
          <w:sz w:val="22"/>
          <w:szCs w:val="22"/>
        </w:rPr>
        <w:t xml:space="preserve"> non superabile con gli ordinari strumenti dell’interpretazione </w:t>
      </w:r>
      <w:r>
        <w:rPr>
          <w:sz w:val="22"/>
          <w:szCs w:val="22"/>
        </w:rPr>
        <w:t>(</w:t>
      </w:r>
      <w:r w:rsidR="00BB10F4" w:rsidRPr="007F7EBF">
        <w:rPr>
          <w:rStyle w:val="Rimandonotaapidipagina"/>
          <w:sz w:val="22"/>
          <w:szCs w:val="22"/>
        </w:rPr>
        <w:footnoteReference w:id="360"/>
      </w:r>
      <w:r>
        <w:rPr>
          <w:sz w:val="22"/>
          <w:szCs w:val="22"/>
        </w:rPr>
        <w:t>)</w:t>
      </w:r>
      <w:r w:rsidR="00BB10F4" w:rsidRPr="007F7EBF">
        <w:rPr>
          <w:sz w:val="22"/>
          <w:szCs w:val="22"/>
        </w:rPr>
        <w:t xml:space="preserve">; </w:t>
      </w:r>
      <w:r w:rsidR="00BB10F4">
        <w:rPr>
          <w:sz w:val="22"/>
          <w:szCs w:val="22"/>
        </w:rPr>
        <w:t xml:space="preserve"> l</w:t>
      </w:r>
      <w:r w:rsidR="00BB10F4" w:rsidRPr="007F7EBF">
        <w:t xml:space="preserve">’elusione </w:t>
      </w:r>
      <w:r w:rsidR="00EA18E4">
        <w:t xml:space="preserve">si distingue </w:t>
      </w:r>
      <w:r w:rsidR="00BB10F4" w:rsidRPr="007F7EBF">
        <w:t xml:space="preserve">dall’ordinaria “evasione interpretativa” perché </w:t>
      </w:r>
      <w:r w:rsidR="00EC097D">
        <w:t>formalmente rispetta</w:t>
      </w:r>
      <w:r w:rsidR="00EA18E4">
        <w:t xml:space="preserve"> le regole</w:t>
      </w:r>
      <w:r w:rsidR="00EC097D">
        <w:t xml:space="preserve">, tradendone però </w:t>
      </w:r>
      <w:r w:rsidR="00EA18E4">
        <w:t xml:space="preserve">solo </w:t>
      </w:r>
      <w:r w:rsidR="00EC097D">
        <w:t>lo spirito</w:t>
      </w:r>
      <w:r>
        <w:t>,</w:t>
      </w:r>
      <w:r w:rsidR="00523BF5">
        <w:t xml:space="preserve"> la c.d. </w:t>
      </w:r>
      <w:r w:rsidR="00523BF5">
        <w:rPr>
          <w:i/>
        </w:rPr>
        <w:t>ratio legis</w:t>
      </w:r>
      <w:r w:rsidR="00EC097D">
        <w:t xml:space="preserve">; </w:t>
      </w:r>
      <w:r w:rsidR="00EA18E4">
        <w:t xml:space="preserve">l’elusione non è a rigore contrastabile con l’interpretazione funzionale di cui al paragrafo precedente, e </w:t>
      </w:r>
      <w:r w:rsidR="00EC097D">
        <w:t xml:space="preserve">un passo del digesto spiega bene la differenza </w:t>
      </w:r>
      <w:r w:rsidR="00EA18E4">
        <w:t>distinguendo chi</w:t>
      </w:r>
      <w:r w:rsidR="00523BF5">
        <w:t xml:space="preserve"> </w:t>
      </w:r>
      <w:proofErr w:type="spellStart"/>
      <w:r w:rsidR="00EC097D" w:rsidRPr="007F7EBF">
        <w:rPr>
          <w:i/>
        </w:rPr>
        <w:t>facit</w:t>
      </w:r>
      <w:proofErr w:type="spellEnd"/>
      <w:r w:rsidR="00EC097D" w:rsidRPr="007F7EBF">
        <w:rPr>
          <w:i/>
        </w:rPr>
        <w:t xml:space="preserve"> </w:t>
      </w:r>
      <w:proofErr w:type="spellStart"/>
      <w:r w:rsidR="00EC097D" w:rsidRPr="007F7EBF">
        <w:rPr>
          <w:i/>
        </w:rPr>
        <w:t>quod</w:t>
      </w:r>
      <w:proofErr w:type="spellEnd"/>
      <w:r w:rsidR="00EC097D" w:rsidRPr="007F7EBF">
        <w:rPr>
          <w:i/>
        </w:rPr>
        <w:t xml:space="preserve"> </w:t>
      </w:r>
      <w:proofErr w:type="spellStart"/>
      <w:r w:rsidR="00EC097D" w:rsidRPr="007F7EBF">
        <w:rPr>
          <w:i/>
        </w:rPr>
        <w:t>lex</w:t>
      </w:r>
      <w:proofErr w:type="spellEnd"/>
      <w:r w:rsidR="00EC097D" w:rsidRPr="007F7EBF">
        <w:rPr>
          <w:i/>
        </w:rPr>
        <w:t xml:space="preserve"> </w:t>
      </w:r>
      <w:proofErr w:type="spellStart"/>
      <w:r w:rsidR="00EC097D" w:rsidRPr="007F7EBF">
        <w:rPr>
          <w:i/>
        </w:rPr>
        <w:t>prohibet</w:t>
      </w:r>
      <w:proofErr w:type="spellEnd"/>
      <w:r w:rsidR="00EA18E4">
        <w:rPr>
          <w:i/>
        </w:rPr>
        <w:t xml:space="preserve"> </w:t>
      </w:r>
      <w:r w:rsidR="00EA18E4" w:rsidRPr="00EA18E4">
        <w:t>da chi</w:t>
      </w:r>
      <w:r w:rsidR="00EA18E4">
        <w:rPr>
          <w:i/>
        </w:rPr>
        <w:t xml:space="preserve"> </w:t>
      </w:r>
      <w:proofErr w:type="spellStart"/>
      <w:r w:rsidR="00523BF5" w:rsidRPr="00523BF5">
        <w:rPr>
          <w:i/>
        </w:rPr>
        <w:t>salvis</w:t>
      </w:r>
      <w:proofErr w:type="spellEnd"/>
      <w:r w:rsidR="00523BF5" w:rsidRPr="00523BF5">
        <w:rPr>
          <w:i/>
        </w:rPr>
        <w:t xml:space="preserve"> legis </w:t>
      </w:r>
      <w:proofErr w:type="spellStart"/>
      <w:r w:rsidR="00523BF5" w:rsidRPr="00523BF5">
        <w:rPr>
          <w:i/>
        </w:rPr>
        <w:t>verbis</w:t>
      </w:r>
      <w:proofErr w:type="spellEnd"/>
      <w:r w:rsidR="00523BF5" w:rsidRPr="00523BF5">
        <w:rPr>
          <w:i/>
        </w:rPr>
        <w:t xml:space="preserve"> </w:t>
      </w:r>
      <w:proofErr w:type="spellStart"/>
      <w:r w:rsidR="00523BF5" w:rsidRPr="00523BF5">
        <w:rPr>
          <w:i/>
        </w:rPr>
        <w:t>sententiam</w:t>
      </w:r>
      <w:proofErr w:type="spellEnd"/>
      <w:r w:rsidR="00523BF5" w:rsidRPr="00523BF5">
        <w:rPr>
          <w:i/>
        </w:rPr>
        <w:t xml:space="preserve"> eius </w:t>
      </w:r>
      <w:proofErr w:type="spellStart"/>
      <w:r w:rsidR="00523BF5" w:rsidRPr="00523BF5">
        <w:rPr>
          <w:i/>
        </w:rPr>
        <w:t>circumvenit</w:t>
      </w:r>
      <w:proofErr w:type="spellEnd"/>
      <w:r w:rsidR="00523BF5">
        <w:t xml:space="preserve"> </w:t>
      </w:r>
      <w:r w:rsidR="00BB10F4" w:rsidRPr="007F7EBF">
        <w:t>(</w:t>
      </w:r>
      <w:r w:rsidR="00EC097D">
        <w:rPr>
          <w:rStyle w:val="Rimandonotaapidipagina"/>
        </w:rPr>
        <w:footnoteReference w:id="361"/>
      </w:r>
      <w:r w:rsidR="00BB10F4" w:rsidRPr="007F7EBF">
        <w:t xml:space="preserve">). </w:t>
      </w:r>
      <w:r w:rsidR="00F37774">
        <w:rPr>
          <w:sz w:val="22"/>
          <w:szCs w:val="22"/>
        </w:rPr>
        <w:t>C</w:t>
      </w:r>
      <w:r w:rsidR="00BB10F4" w:rsidRPr="007F7EBF">
        <w:rPr>
          <w:sz w:val="22"/>
          <w:szCs w:val="22"/>
        </w:rPr>
        <w:t xml:space="preserve">iò avviene in genere strumentalizzando gli sfasamenti tra la finalità </w:t>
      </w:r>
      <w:r w:rsidR="0021025A">
        <w:rPr>
          <w:sz w:val="22"/>
          <w:szCs w:val="22"/>
        </w:rPr>
        <w:t xml:space="preserve">delle regole che specificano i presupposti economici d’imposta </w:t>
      </w:r>
      <w:r w:rsidR="00BB10F4" w:rsidRPr="007F7EBF">
        <w:rPr>
          <w:sz w:val="22"/>
          <w:szCs w:val="22"/>
        </w:rPr>
        <w:t xml:space="preserve">e la </w:t>
      </w:r>
      <w:r w:rsidR="00A17EBB">
        <w:rPr>
          <w:sz w:val="22"/>
          <w:szCs w:val="22"/>
        </w:rPr>
        <w:t xml:space="preserve">loro </w:t>
      </w:r>
      <w:r>
        <w:rPr>
          <w:sz w:val="22"/>
          <w:szCs w:val="22"/>
        </w:rPr>
        <w:t xml:space="preserve">inadeguata </w:t>
      </w:r>
      <w:r w:rsidR="00A17EBB">
        <w:rPr>
          <w:sz w:val="22"/>
          <w:szCs w:val="22"/>
        </w:rPr>
        <w:lastRenderedPageBreak/>
        <w:t>redazione</w:t>
      </w:r>
      <w:r w:rsidR="00BB10F4" w:rsidRPr="007F7EBF">
        <w:rPr>
          <w:sz w:val="22"/>
          <w:szCs w:val="22"/>
        </w:rPr>
        <w:t xml:space="preserve"> </w:t>
      </w:r>
      <w:r w:rsidR="00EA18E4">
        <w:rPr>
          <w:sz w:val="22"/>
          <w:szCs w:val="22"/>
        </w:rPr>
        <w:t>legislativa</w:t>
      </w:r>
      <w:r w:rsidR="00BB10F4" w:rsidRPr="007F7EBF">
        <w:rPr>
          <w:sz w:val="22"/>
          <w:szCs w:val="22"/>
        </w:rPr>
        <w:t xml:space="preserve">; </w:t>
      </w:r>
      <w:r w:rsidR="00BB10F4">
        <w:rPr>
          <w:sz w:val="22"/>
          <w:szCs w:val="22"/>
        </w:rPr>
        <w:t xml:space="preserve">quest’ultima, </w:t>
      </w:r>
      <w:r w:rsidR="002F79E9">
        <w:rPr>
          <w:bCs/>
          <w:sz w:val="22"/>
          <w:szCs w:val="22"/>
        </w:rPr>
        <w:t xml:space="preserve">contempera </w:t>
      </w:r>
      <w:r w:rsidR="002F79E9" w:rsidRPr="007F7EBF">
        <w:rPr>
          <w:sz w:val="22"/>
          <w:szCs w:val="22"/>
        </w:rPr>
        <w:t xml:space="preserve">precisione, semplicità, certezza, continuità e vari altri </w:t>
      </w:r>
      <w:r w:rsidR="002F79E9">
        <w:rPr>
          <w:sz w:val="22"/>
          <w:szCs w:val="22"/>
        </w:rPr>
        <w:t xml:space="preserve">criteri per determinare i presupposti economici d’imposta, in modo inadeguato; essa </w:t>
      </w:r>
      <w:r>
        <w:rPr>
          <w:sz w:val="22"/>
          <w:szCs w:val="22"/>
        </w:rPr>
        <w:t>c</w:t>
      </w:r>
      <w:r w:rsidR="00A17EBB">
        <w:rPr>
          <w:sz w:val="22"/>
          <w:szCs w:val="22"/>
        </w:rPr>
        <w:t>onsen</w:t>
      </w:r>
      <w:r w:rsidR="002F79E9">
        <w:rPr>
          <w:sz w:val="22"/>
          <w:szCs w:val="22"/>
        </w:rPr>
        <w:t>te</w:t>
      </w:r>
      <w:r w:rsidR="002B61FF">
        <w:rPr>
          <w:sz w:val="22"/>
          <w:szCs w:val="22"/>
        </w:rPr>
        <w:t xml:space="preserve"> di fatto </w:t>
      </w:r>
      <w:r>
        <w:rPr>
          <w:sz w:val="22"/>
          <w:szCs w:val="22"/>
        </w:rPr>
        <w:t xml:space="preserve">stratagemmi che </w:t>
      </w:r>
      <w:r w:rsidR="00BB10F4">
        <w:rPr>
          <w:sz w:val="22"/>
          <w:szCs w:val="22"/>
        </w:rPr>
        <w:t>aggira</w:t>
      </w:r>
      <w:r>
        <w:rPr>
          <w:sz w:val="22"/>
          <w:szCs w:val="22"/>
        </w:rPr>
        <w:t>no</w:t>
      </w:r>
      <w:r w:rsidR="00BB10F4">
        <w:rPr>
          <w:sz w:val="22"/>
          <w:szCs w:val="22"/>
        </w:rPr>
        <w:t xml:space="preserve"> (elud</w:t>
      </w:r>
      <w:r>
        <w:rPr>
          <w:sz w:val="22"/>
          <w:szCs w:val="22"/>
        </w:rPr>
        <w:t>ono</w:t>
      </w:r>
      <w:r w:rsidR="00BB10F4">
        <w:rPr>
          <w:sz w:val="22"/>
          <w:szCs w:val="22"/>
        </w:rPr>
        <w:t>)</w:t>
      </w:r>
      <w:r w:rsidR="002F79E9">
        <w:rPr>
          <w:sz w:val="22"/>
          <w:szCs w:val="22"/>
        </w:rPr>
        <w:t xml:space="preserve"> non tanto singole disposizioni, quanto </w:t>
      </w:r>
      <w:r w:rsidR="00BB10F4">
        <w:rPr>
          <w:sz w:val="22"/>
          <w:szCs w:val="22"/>
        </w:rPr>
        <w:t>la “ratio legis”</w:t>
      </w:r>
      <w:r w:rsidR="002F79E9">
        <w:rPr>
          <w:sz w:val="22"/>
          <w:szCs w:val="22"/>
        </w:rPr>
        <w:t xml:space="preserve">, </w:t>
      </w:r>
      <w:r w:rsidR="002B61FF">
        <w:rPr>
          <w:bCs/>
        </w:rPr>
        <w:t xml:space="preserve">dei vari </w:t>
      </w:r>
      <w:r w:rsidR="002B61FF" w:rsidRPr="007F7EBF">
        <w:rPr>
          <w:bCs/>
        </w:rPr>
        <w:t>sotto-</w:t>
      </w:r>
      <w:r w:rsidR="002B61FF" w:rsidRPr="007F7EBF">
        <w:t>sistemi</w:t>
      </w:r>
      <w:r w:rsidR="002B61FF">
        <w:t xml:space="preserve"> del diritto tributario</w:t>
      </w:r>
      <w:r w:rsidR="004F7C8F">
        <w:t xml:space="preserve">; potrebbe parlarsi di </w:t>
      </w:r>
      <w:r w:rsidR="004F7C8F">
        <w:rPr>
          <w:i/>
          <w:iCs/>
        </w:rPr>
        <w:t>principi</w:t>
      </w:r>
      <w:r w:rsidR="004F7C8F">
        <w:t xml:space="preserve"> </w:t>
      </w:r>
      <w:r w:rsidR="002B61FF" w:rsidRPr="007F7EBF">
        <w:t xml:space="preserve">come </w:t>
      </w:r>
      <w:r w:rsidR="002B61FF">
        <w:t>quell</w:t>
      </w:r>
      <w:r w:rsidR="004F7C8F">
        <w:t>i</w:t>
      </w:r>
      <w:r w:rsidR="002B61FF">
        <w:t xml:space="preserve"> relativ</w:t>
      </w:r>
      <w:r w:rsidR="004F7C8F">
        <w:t>i</w:t>
      </w:r>
      <w:r w:rsidR="002B61FF">
        <w:t xml:space="preserve"> a</w:t>
      </w:r>
      <w:r w:rsidR="002B61FF" w:rsidRPr="007F7EBF">
        <w:t xml:space="preserve">l coordinamento impositivo società soci (par.7.17),  </w:t>
      </w:r>
      <w:r w:rsidR="004F7C8F">
        <w:t>al</w:t>
      </w:r>
      <w:r w:rsidR="002B61FF" w:rsidRPr="007F7EBF">
        <w:t xml:space="preserve">la neutralità delle </w:t>
      </w:r>
      <w:r w:rsidR="004F7C8F">
        <w:t xml:space="preserve">operazioni </w:t>
      </w:r>
      <w:r w:rsidR="002B61FF" w:rsidRPr="007F7EBF">
        <w:t xml:space="preserve">societarie (par.7.20), </w:t>
      </w:r>
      <w:r w:rsidR="004F7C8F">
        <w:t>al</w:t>
      </w:r>
      <w:r w:rsidR="002B61FF" w:rsidRPr="007F7EBF">
        <w:t>la continuità dei valori fiscali (par.7.13)</w:t>
      </w:r>
      <w:r w:rsidR="002B61FF">
        <w:t xml:space="preserve">, </w:t>
      </w:r>
      <w:r w:rsidR="004F7C8F">
        <w:t>al</w:t>
      </w:r>
      <w:r w:rsidR="002B61FF">
        <w:t>l’eliminazione delle doppie imposizioni con l’estero, con la “doppia esenzione” di cui al par.7.18, etc.</w:t>
      </w:r>
      <w:r w:rsidR="002B61FF" w:rsidRPr="007F7EBF">
        <w:t xml:space="preserve">. </w:t>
      </w:r>
      <w:r w:rsidR="002F79E9">
        <w:rPr>
          <w:sz w:val="22"/>
          <w:szCs w:val="22"/>
        </w:rPr>
        <w:t>P</w:t>
      </w:r>
      <w:r w:rsidR="00AA3F4D">
        <w:rPr>
          <w:sz w:val="22"/>
          <w:szCs w:val="22"/>
        </w:rPr>
        <w:t xml:space="preserve">er negare </w:t>
      </w:r>
      <w:r w:rsidR="002F79E9">
        <w:rPr>
          <w:sz w:val="22"/>
          <w:szCs w:val="22"/>
        </w:rPr>
        <w:t>questo</w:t>
      </w:r>
      <w:r w:rsidR="00AA3F4D">
        <w:rPr>
          <w:sz w:val="22"/>
          <w:szCs w:val="22"/>
        </w:rPr>
        <w:t xml:space="preserve"> vantaggio indebito</w:t>
      </w:r>
      <w:r w:rsidR="002F79E9">
        <w:rPr>
          <w:sz w:val="22"/>
          <w:szCs w:val="22"/>
        </w:rPr>
        <w:t xml:space="preserve">, dove non arriva </w:t>
      </w:r>
      <w:r w:rsidR="002F79E9" w:rsidRPr="007F7EBF">
        <w:rPr>
          <w:sz w:val="22"/>
          <w:szCs w:val="22"/>
        </w:rPr>
        <w:t xml:space="preserve">l'interpretazione </w:t>
      </w:r>
      <w:r w:rsidR="002F79E9">
        <w:rPr>
          <w:sz w:val="22"/>
          <w:szCs w:val="22"/>
        </w:rPr>
        <w:t xml:space="preserve">economicamente orientata di cui al par.3.9, </w:t>
      </w:r>
      <w:r w:rsidR="00AA3F4D">
        <w:rPr>
          <w:sz w:val="22"/>
          <w:szCs w:val="22"/>
        </w:rPr>
        <w:t xml:space="preserve">servono norme </w:t>
      </w:r>
      <w:r w:rsidR="00AA3F4D" w:rsidRPr="007F7EBF">
        <w:rPr>
          <w:sz w:val="22"/>
          <w:szCs w:val="22"/>
        </w:rPr>
        <w:t>general</w:t>
      </w:r>
      <w:r w:rsidR="00AA3F4D">
        <w:rPr>
          <w:sz w:val="22"/>
          <w:szCs w:val="22"/>
        </w:rPr>
        <w:t>i</w:t>
      </w:r>
      <w:r w:rsidR="00AA3F4D" w:rsidRPr="007F7EBF">
        <w:rPr>
          <w:sz w:val="22"/>
          <w:szCs w:val="22"/>
        </w:rPr>
        <w:t xml:space="preserve"> antielusiv</w:t>
      </w:r>
      <w:r w:rsidR="00AA3F4D">
        <w:rPr>
          <w:sz w:val="22"/>
          <w:szCs w:val="22"/>
        </w:rPr>
        <w:t>e</w:t>
      </w:r>
      <w:r w:rsidR="00AA3F4D" w:rsidRPr="007F7EBF">
        <w:rPr>
          <w:sz w:val="22"/>
          <w:szCs w:val="22"/>
        </w:rPr>
        <w:t xml:space="preserve"> come quella esistente in Italia</w:t>
      </w:r>
      <w:r w:rsidR="00AA3F4D">
        <w:rPr>
          <w:sz w:val="22"/>
          <w:szCs w:val="22"/>
        </w:rPr>
        <w:t xml:space="preserve"> dal 1990, variamente riformata (</w:t>
      </w:r>
      <w:r w:rsidR="00AA3F4D" w:rsidRPr="007F7EBF">
        <w:rPr>
          <w:rStyle w:val="Rimandonotaapidipagina"/>
          <w:sz w:val="22"/>
          <w:szCs w:val="22"/>
        </w:rPr>
        <w:footnoteReference w:id="362"/>
      </w:r>
      <w:r w:rsidR="00AA3F4D">
        <w:rPr>
          <w:sz w:val="22"/>
          <w:szCs w:val="22"/>
        </w:rPr>
        <w:t>), e ritenuta comunque immanente nel sistema da alcune</w:t>
      </w:r>
      <w:r w:rsidR="00AA3F4D" w:rsidRPr="007F7EBF">
        <w:rPr>
          <w:sz w:val="22"/>
          <w:szCs w:val="22"/>
        </w:rPr>
        <w:t xml:space="preserve"> sentenze della cassazione (</w:t>
      </w:r>
      <w:r w:rsidR="00AA3F4D">
        <w:rPr>
          <w:rStyle w:val="Rimandonotaapidipagina"/>
          <w:sz w:val="22"/>
          <w:szCs w:val="22"/>
        </w:rPr>
        <w:footnoteReference w:id="363"/>
      </w:r>
      <w:r w:rsidR="00AA3F4D" w:rsidRPr="007F7EBF">
        <w:rPr>
          <w:sz w:val="22"/>
          <w:szCs w:val="22"/>
        </w:rPr>
        <w:t>)</w:t>
      </w:r>
      <w:r w:rsidR="00AA3F4D">
        <w:rPr>
          <w:sz w:val="22"/>
          <w:szCs w:val="22"/>
        </w:rPr>
        <w:t xml:space="preserve">. </w:t>
      </w:r>
    </w:p>
    <w:p w14:paraId="445F8625" w14:textId="69762DD9" w:rsidR="00AE4C73" w:rsidRDefault="00AA3F4D" w:rsidP="00AE4C73">
      <w:pPr>
        <w:autoSpaceDE w:val="0"/>
        <w:autoSpaceDN w:val="0"/>
        <w:adjustRightInd w:val="0"/>
        <w:rPr>
          <w:sz w:val="22"/>
          <w:szCs w:val="22"/>
        </w:rPr>
      </w:pPr>
      <w:r>
        <w:rPr>
          <w:sz w:val="22"/>
          <w:szCs w:val="22"/>
        </w:rPr>
        <w:t xml:space="preserve">Le valutazioni di elusività </w:t>
      </w:r>
      <w:r w:rsidRPr="007F7EBF">
        <w:rPr>
          <w:sz w:val="22"/>
          <w:szCs w:val="22"/>
        </w:rPr>
        <w:t xml:space="preserve">richiedono una </w:t>
      </w:r>
      <w:r w:rsidRPr="007F7EBF">
        <w:rPr>
          <w:bCs/>
          <w:sz w:val="22"/>
          <w:szCs w:val="22"/>
        </w:rPr>
        <w:t xml:space="preserve">grande sensibilità </w:t>
      </w:r>
      <w:r>
        <w:rPr>
          <w:bCs/>
          <w:sz w:val="22"/>
          <w:szCs w:val="22"/>
        </w:rPr>
        <w:t xml:space="preserve">sistematica sulla determinazione </w:t>
      </w:r>
      <w:r w:rsidR="00AE4C73">
        <w:rPr>
          <w:bCs/>
          <w:sz w:val="22"/>
          <w:szCs w:val="22"/>
        </w:rPr>
        <w:t xml:space="preserve">documentale dei presupposti economici </w:t>
      </w:r>
      <w:r w:rsidR="00EB4DDD">
        <w:rPr>
          <w:bCs/>
          <w:sz w:val="22"/>
          <w:szCs w:val="22"/>
        </w:rPr>
        <w:t>d</w:t>
      </w:r>
      <w:r w:rsidR="00AE4C73">
        <w:rPr>
          <w:bCs/>
          <w:sz w:val="22"/>
          <w:szCs w:val="22"/>
        </w:rPr>
        <w:t>’imposta</w:t>
      </w:r>
      <w:r w:rsidR="001D4182">
        <w:rPr>
          <w:bCs/>
          <w:sz w:val="22"/>
          <w:szCs w:val="22"/>
        </w:rPr>
        <w:t>, valorizzando</w:t>
      </w:r>
      <w:r w:rsidR="00AE4C73">
        <w:rPr>
          <w:bCs/>
          <w:sz w:val="22"/>
          <w:szCs w:val="22"/>
        </w:rPr>
        <w:t>ne l</w:t>
      </w:r>
      <w:r w:rsidR="001D4182">
        <w:rPr>
          <w:bCs/>
          <w:sz w:val="22"/>
          <w:szCs w:val="22"/>
        </w:rPr>
        <w:t>e simmetrie</w:t>
      </w:r>
      <w:r w:rsidR="00AE4C73">
        <w:rPr>
          <w:bCs/>
          <w:sz w:val="22"/>
          <w:szCs w:val="22"/>
        </w:rPr>
        <w:t xml:space="preserve"> </w:t>
      </w:r>
      <w:r w:rsidR="001D4182">
        <w:rPr>
          <w:bCs/>
          <w:sz w:val="22"/>
          <w:szCs w:val="22"/>
        </w:rPr>
        <w:t>di cui al par.3.11-3.12</w:t>
      </w:r>
      <w:r w:rsidR="00AE4C73">
        <w:rPr>
          <w:sz w:val="22"/>
          <w:szCs w:val="22"/>
        </w:rPr>
        <w:t xml:space="preserve">; la logica complessiva del sistema, nei suoi passaggi intersoggettivi e intertemporali può </w:t>
      </w:r>
      <w:r w:rsidR="00AE4C73" w:rsidRPr="007F7EBF">
        <w:rPr>
          <w:sz w:val="22"/>
          <w:szCs w:val="22"/>
        </w:rPr>
        <w:t xml:space="preserve">controbilanciare, e ricondurre a </w:t>
      </w:r>
      <w:r w:rsidR="00AE4C73">
        <w:rPr>
          <w:sz w:val="22"/>
          <w:szCs w:val="22"/>
        </w:rPr>
        <w:t>coerenza</w:t>
      </w:r>
      <w:r w:rsidR="00AE4C73" w:rsidRPr="007F7EBF">
        <w:rPr>
          <w:sz w:val="22"/>
          <w:szCs w:val="22"/>
        </w:rPr>
        <w:t>, quello che visto isolatamente sembrerebbe un indebito risparmio di imposta</w:t>
      </w:r>
      <w:r w:rsidR="00AE4C73">
        <w:rPr>
          <w:sz w:val="22"/>
          <w:szCs w:val="22"/>
        </w:rPr>
        <w:t xml:space="preserve">. Sono i criteri per distinguere dall’elusione la </w:t>
      </w:r>
      <w:r w:rsidR="00AE4C73" w:rsidRPr="007F7EBF">
        <w:rPr>
          <w:sz w:val="22"/>
          <w:szCs w:val="22"/>
        </w:rPr>
        <w:t>pianificazione tributaria lecita</w:t>
      </w:r>
      <w:r w:rsidR="00AE4C73">
        <w:rPr>
          <w:sz w:val="22"/>
          <w:szCs w:val="22"/>
        </w:rPr>
        <w:t xml:space="preserve">, </w:t>
      </w:r>
      <w:r w:rsidR="005513EF">
        <w:rPr>
          <w:sz w:val="22"/>
          <w:szCs w:val="22"/>
        </w:rPr>
        <w:t>formalmente e sostanzialmente corretta. Non è insomma elusivo s</w:t>
      </w:r>
      <w:r w:rsidR="00AE4C73">
        <w:rPr>
          <w:sz w:val="22"/>
          <w:szCs w:val="22"/>
        </w:rPr>
        <w:t>cegli</w:t>
      </w:r>
      <w:r w:rsidR="005513EF">
        <w:rPr>
          <w:sz w:val="22"/>
          <w:szCs w:val="22"/>
        </w:rPr>
        <w:t>er</w:t>
      </w:r>
      <w:r w:rsidR="00AE4C73">
        <w:rPr>
          <w:sz w:val="22"/>
          <w:szCs w:val="22"/>
        </w:rPr>
        <w:t xml:space="preserve">e la soluzione in concreto </w:t>
      </w:r>
      <w:proofErr w:type="spellStart"/>
      <w:r w:rsidR="00AE4C73">
        <w:rPr>
          <w:sz w:val="22"/>
          <w:szCs w:val="22"/>
        </w:rPr>
        <w:t>tributariamente</w:t>
      </w:r>
      <w:proofErr w:type="spellEnd"/>
      <w:r w:rsidR="00AE4C73">
        <w:rPr>
          <w:sz w:val="22"/>
          <w:szCs w:val="22"/>
        </w:rPr>
        <w:t xml:space="preserve"> più conveniente</w:t>
      </w:r>
      <w:r w:rsidR="005513EF">
        <w:rPr>
          <w:sz w:val="22"/>
          <w:szCs w:val="22"/>
        </w:rPr>
        <w:t xml:space="preserve">, </w:t>
      </w:r>
      <w:r w:rsidR="00AE4C73">
        <w:rPr>
          <w:sz w:val="22"/>
          <w:szCs w:val="22"/>
        </w:rPr>
        <w:t xml:space="preserve"> tra quelle con </w:t>
      </w:r>
      <w:r w:rsidR="00AE4C73" w:rsidRPr="007F7EBF">
        <w:rPr>
          <w:bCs/>
          <w:sz w:val="22"/>
          <w:szCs w:val="22"/>
        </w:rPr>
        <w:t>pari dignità sistematic</w:t>
      </w:r>
      <w:r w:rsidR="00AE4C73">
        <w:rPr>
          <w:bCs/>
          <w:sz w:val="22"/>
          <w:szCs w:val="22"/>
        </w:rPr>
        <w:t>a</w:t>
      </w:r>
      <w:r w:rsidR="005513EF">
        <w:rPr>
          <w:bCs/>
          <w:sz w:val="22"/>
          <w:szCs w:val="22"/>
        </w:rPr>
        <w:t xml:space="preserve">. </w:t>
      </w:r>
      <w:r w:rsidR="00AE4C73">
        <w:rPr>
          <w:bCs/>
          <w:sz w:val="22"/>
          <w:szCs w:val="22"/>
        </w:rPr>
        <w:t xml:space="preserve">Si pensi alla scelta tra cessione di un’azienda o di una partecipazione, oppure a un requisito temporale cui è subordinato </w:t>
      </w:r>
      <w:r w:rsidR="00AE4C73" w:rsidRPr="007F7EBF">
        <w:rPr>
          <w:sz w:val="22"/>
          <w:szCs w:val="22"/>
        </w:rPr>
        <w:t>un regime fiscale vantaggioso</w:t>
      </w:r>
      <w:r w:rsidR="00AE4C73">
        <w:rPr>
          <w:sz w:val="22"/>
          <w:szCs w:val="22"/>
        </w:rPr>
        <w:t xml:space="preserve"> per la vendita di un bene; effettuare l’operazione subito dopo la maturazione del requisito</w:t>
      </w:r>
      <w:r w:rsidR="00AE4C73" w:rsidRPr="007F7EBF">
        <w:rPr>
          <w:sz w:val="22"/>
          <w:szCs w:val="22"/>
        </w:rPr>
        <w:t>, anche se</w:t>
      </w:r>
      <w:r w:rsidR="00AE4C73">
        <w:rPr>
          <w:sz w:val="22"/>
          <w:szCs w:val="22"/>
        </w:rPr>
        <w:t xml:space="preserve"> </w:t>
      </w:r>
      <w:r w:rsidR="00AE4C73" w:rsidRPr="007F7EBF">
        <w:rPr>
          <w:sz w:val="22"/>
          <w:szCs w:val="22"/>
        </w:rPr>
        <w:t>fatto per motivi fiscali, non aggira la “ratio legis”, ma la rispetta, sia nella forma sia nella sostanza</w:t>
      </w:r>
      <w:r w:rsidR="00AE4C73">
        <w:rPr>
          <w:sz w:val="22"/>
          <w:szCs w:val="22"/>
        </w:rPr>
        <w:t xml:space="preserve">. </w:t>
      </w:r>
    </w:p>
    <w:p w14:paraId="74D281C8" w14:textId="3B190ED5" w:rsidR="00EB4DDD" w:rsidRPr="007F7EBF" w:rsidRDefault="00AE4C73" w:rsidP="00EB4DDD">
      <w:pPr>
        <w:autoSpaceDE w:val="0"/>
        <w:autoSpaceDN w:val="0"/>
        <w:adjustRightInd w:val="0"/>
        <w:rPr>
          <w:bCs/>
          <w:sz w:val="22"/>
          <w:szCs w:val="22"/>
        </w:rPr>
      </w:pPr>
      <w:r>
        <w:rPr>
          <w:sz w:val="22"/>
          <w:szCs w:val="22"/>
        </w:rPr>
        <w:t xml:space="preserve">Se si nega questa possibilità si arriva al fantomatico e </w:t>
      </w:r>
      <w:r w:rsidRPr="007F7EBF">
        <w:rPr>
          <w:bCs/>
        </w:rPr>
        <w:t xml:space="preserve">stravagante </w:t>
      </w:r>
      <w:r>
        <w:rPr>
          <w:bCs/>
        </w:rPr>
        <w:t xml:space="preserve">obbligo di </w:t>
      </w:r>
      <w:r w:rsidRPr="007F7EBF">
        <w:t xml:space="preserve">scegliere </w:t>
      </w:r>
      <w:r w:rsidRPr="007F7EBF">
        <w:rPr>
          <w:bCs/>
        </w:rPr>
        <w:t xml:space="preserve">sempre il regime tributario più oneroso, </w:t>
      </w:r>
      <w:r w:rsidRPr="007F7EBF">
        <w:t xml:space="preserve">a </w:t>
      </w:r>
      <w:r w:rsidRPr="007F7EBF">
        <w:lastRenderedPageBreak/>
        <w:t xml:space="preserve">meno di avere </w:t>
      </w:r>
      <w:r>
        <w:rPr>
          <w:bCs/>
        </w:rPr>
        <w:t xml:space="preserve">fantomatiche </w:t>
      </w:r>
      <w:r w:rsidRPr="007F7EBF">
        <w:rPr>
          <w:bCs/>
        </w:rPr>
        <w:t xml:space="preserve">ragioni economiche </w:t>
      </w:r>
      <w:r w:rsidRPr="007F7EBF">
        <w:t>per sceglierne uno più conveniente</w:t>
      </w:r>
      <w:r w:rsidR="00386B82">
        <w:rPr>
          <w:sz w:val="22"/>
          <w:szCs w:val="22"/>
        </w:rPr>
        <w:t xml:space="preserve"> </w:t>
      </w:r>
      <w:r>
        <w:rPr>
          <w:sz w:val="22"/>
          <w:szCs w:val="22"/>
        </w:rPr>
        <w:t>(</w:t>
      </w:r>
      <w:r w:rsidRPr="007F7EBF">
        <w:rPr>
          <w:rStyle w:val="Rimandonotaapidipagina"/>
          <w:sz w:val="22"/>
          <w:szCs w:val="22"/>
        </w:rPr>
        <w:footnoteReference w:id="364"/>
      </w:r>
      <w:r>
        <w:rPr>
          <w:sz w:val="22"/>
          <w:szCs w:val="22"/>
        </w:rPr>
        <w:t>)</w:t>
      </w:r>
      <w:r w:rsidRPr="007F7EBF">
        <w:rPr>
          <w:sz w:val="22"/>
          <w:szCs w:val="22"/>
        </w:rPr>
        <w:t>.</w:t>
      </w:r>
      <w:r w:rsidR="00386B82">
        <w:rPr>
          <w:sz w:val="22"/>
          <w:szCs w:val="22"/>
        </w:rPr>
        <w:t xml:space="preserve"> Queste </w:t>
      </w:r>
      <w:r w:rsidR="001D4182">
        <w:rPr>
          <w:bCs/>
          <w:sz w:val="22"/>
          <w:szCs w:val="22"/>
        </w:rPr>
        <w:t xml:space="preserve">“valide ragioni economiche” </w:t>
      </w:r>
      <w:r w:rsidR="00386B82">
        <w:rPr>
          <w:bCs/>
          <w:sz w:val="22"/>
          <w:szCs w:val="22"/>
        </w:rPr>
        <w:t>sono un requisito di importazione anglosassone, che legittima anche</w:t>
      </w:r>
      <w:r w:rsidR="00386B82">
        <w:rPr>
          <w:sz w:val="22"/>
          <w:szCs w:val="22"/>
        </w:rPr>
        <w:t xml:space="preserve"> vantaggi fiscali contrari alla “ratio legis”. Si tratta cioè di un’esimente, prevista per salvaguardare comportamenti dopotutto formalmente leciti, e che viene rovesciata nella prassi dal fisco italiano chiedendo ragioni economiche per soluzioni del tutto “di sistema”. Questa </w:t>
      </w:r>
      <w:proofErr w:type="spellStart"/>
      <w:r w:rsidR="00386B82" w:rsidRPr="007F7EBF">
        <w:t>Quest</w:t>
      </w:r>
      <w:r w:rsidR="00386B82">
        <w:t>a</w:t>
      </w:r>
      <w:proofErr w:type="spellEnd"/>
      <w:r w:rsidR="00386B82">
        <w:t xml:space="preserve"> sopravvalutazione delle </w:t>
      </w:r>
      <w:r w:rsidR="00386B82" w:rsidRPr="007F7EBF">
        <w:t>ragioni economiche</w:t>
      </w:r>
      <w:r w:rsidR="00386B82">
        <w:t xml:space="preserve">, anche da parte dei contribuenti, che </w:t>
      </w:r>
      <w:r w:rsidR="00386B82" w:rsidRPr="007F7EBF">
        <w:t>divagano su di ess</w:t>
      </w:r>
      <w:r w:rsidR="00386B82">
        <w:t>e</w:t>
      </w:r>
      <w:r w:rsidR="00386B82" w:rsidRPr="007F7EBF">
        <w:t xml:space="preserve"> invece </w:t>
      </w:r>
      <w:r w:rsidR="00386B82">
        <w:t xml:space="preserve">che </w:t>
      </w:r>
      <w:r w:rsidR="00386B82" w:rsidRPr="007F7EBF">
        <w:t xml:space="preserve">sulla </w:t>
      </w:r>
      <w:r w:rsidR="00386B82">
        <w:t>lecita pianificazione fiscale, finisce per sviare il discorso e rendere pericolosi, in quanto confusi, rilievi fiscali che altrimenti non lo sarebbero</w:t>
      </w:r>
      <w:r w:rsidR="00386B82">
        <w:rPr>
          <w:sz w:val="22"/>
          <w:szCs w:val="22"/>
        </w:rPr>
        <w:t xml:space="preserve"> (</w:t>
      </w:r>
      <w:r w:rsidR="00386B82" w:rsidRPr="00A0760B">
        <w:rPr>
          <w:rStyle w:val="Rimandonotaapidipagina"/>
          <w:sz w:val="22"/>
          <w:szCs w:val="22"/>
        </w:rPr>
        <w:footnoteReference w:id="365"/>
      </w:r>
      <w:r w:rsidR="00386B82">
        <w:rPr>
          <w:sz w:val="22"/>
          <w:szCs w:val="22"/>
        </w:rPr>
        <w:t>)</w:t>
      </w:r>
      <w:r w:rsidR="00386B82" w:rsidRPr="00A0760B">
        <w:rPr>
          <w:sz w:val="22"/>
          <w:szCs w:val="22"/>
        </w:rPr>
        <w:t>.</w:t>
      </w:r>
      <w:r w:rsidR="005B1203">
        <w:rPr>
          <w:sz w:val="22"/>
          <w:szCs w:val="22"/>
        </w:rPr>
        <w:t xml:space="preserve"> </w:t>
      </w:r>
      <w:r w:rsidR="00BB504A">
        <w:rPr>
          <w:bCs/>
          <w:sz w:val="22"/>
          <w:szCs w:val="22"/>
        </w:rPr>
        <w:t xml:space="preserve"> </w:t>
      </w:r>
    </w:p>
    <w:p w14:paraId="27E9BB24" w14:textId="29116DBC" w:rsidR="00A17EBB" w:rsidRPr="007F7EBF" w:rsidRDefault="005B1203" w:rsidP="00A17EBB">
      <w:pPr>
        <w:pStyle w:val="tit23"/>
        <w:ind w:left="6464" w:right="-1361" w:firstLine="0"/>
        <w:jc w:val="left"/>
        <w:rPr>
          <w:bCs/>
          <w:i/>
          <w:iCs/>
          <w:color w:val="0000FF"/>
          <w:lang w:val="it-IT"/>
        </w:rPr>
      </w:pPr>
      <w:r>
        <w:rPr>
          <w:bCs/>
          <w:i/>
          <w:iCs/>
          <w:color w:val="0000FF"/>
          <w:lang w:val="it-IT"/>
        </w:rPr>
        <w:t>il</w:t>
      </w:r>
      <w:r w:rsidR="00A17EBB">
        <w:rPr>
          <w:bCs/>
          <w:i/>
          <w:iCs/>
          <w:color w:val="0000FF"/>
          <w:lang w:val="it-IT"/>
        </w:rPr>
        <w:t xml:space="preserve"> </w:t>
      </w:r>
      <w:r w:rsidR="00B56921">
        <w:rPr>
          <w:bCs/>
          <w:i/>
          <w:iCs/>
          <w:color w:val="0000FF"/>
          <w:lang w:val="it-IT"/>
        </w:rPr>
        <w:t>declino</w:t>
      </w:r>
      <w:r w:rsidR="00A17EBB">
        <w:rPr>
          <w:bCs/>
          <w:i/>
          <w:iCs/>
          <w:color w:val="0000FF"/>
          <w:lang w:val="it-IT"/>
        </w:rPr>
        <w:t xml:space="preserve"> dell</w:t>
      </w:r>
      <w:r w:rsidR="00A17EBB" w:rsidRPr="007F7EBF">
        <w:rPr>
          <w:bCs/>
          <w:i/>
          <w:iCs/>
          <w:color w:val="0000FF"/>
          <w:lang w:val="it-IT"/>
        </w:rPr>
        <w:t xml:space="preserve">’elusione </w:t>
      </w:r>
    </w:p>
    <w:p w14:paraId="654C4748" w14:textId="134B0DDB" w:rsidR="00B02B0A" w:rsidRPr="00B02B0A" w:rsidRDefault="005B1203" w:rsidP="00EB4DDD">
      <w:pPr>
        <w:autoSpaceDE w:val="0"/>
        <w:autoSpaceDN w:val="0"/>
        <w:adjustRightInd w:val="0"/>
        <w:rPr>
          <w:bCs/>
          <w:sz w:val="22"/>
          <w:szCs w:val="22"/>
        </w:rPr>
      </w:pPr>
      <w:r>
        <w:rPr>
          <w:sz w:val="22"/>
          <w:szCs w:val="22"/>
        </w:rPr>
        <w:t>Nelle a</w:t>
      </w:r>
      <w:r w:rsidR="00240361">
        <w:rPr>
          <w:sz w:val="22"/>
          <w:szCs w:val="22"/>
        </w:rPr>
        <w:t>ziende</w:t>
      </w:r>
      <w:r w:rsidR="00F23895">
        <w:rPr>
          <w:sz w:val="22"/>
          <w:szCs w:val="22"/>
        </w:rPr>
        <w:t xml:space="preserve">, </w:t>
      </w:r>
      <w:r>
        <w:rPr>
          <w:sz w:val="22"/>
          <w:szCs w:val="22"/>
        </w:rPr>
        <w:t xml:space="preserve">la ricerca della soluzione fiscalmente più conveniente, spingendosi talvolta verso l’elusione, si giustifica </w:t>
      </w:r>
      <w:r w:rsidR="00F23895">
        <w:rPr>
          <w:sz w:val="22"/>
          <w:szCs w:val="22"/>
        </w:rPr>
        <w:t xml:space="preserve">in quanto non comporta </w:t>
      </w:r>
      <w:r>
        <w:rPr>
          <w:sz w:val="22"/>
          <w:szCs w:val="22"/>
        </w:rPr>
        <w:t xml:space="preserve">le </w:t>
      </w:r>
      <w:r w:rsidR="00F23895">
        <w:rPr>
          <w:sz w:val="22"/>
          <w:szCs w:val="22"/>
        </w:rPr>
        <w:t xml:space="preserve">alterazioni documentali </w:t>
      </w:r>
      <w:r>
        <w:rPr>
          <w:sz w:val="22"/>
          <w:szCs w:val="22"/>
        </w:rPr>
        <w:t xml:space="preserve">di cui al par.3.1, </w:t>
      </w:r>
      <w:r w:rsidR="00F23895">
        <w:rPr>
          <w:sz w:val="22"/>
          <w:szCs w:val="22"/>
        </w:rPr>
        <w:t xml:space="preserve">e consente di </w:t>
      </w:r>
      <w:r w:rsidR="00F23895">
        <w:t>risparmiare imposte in modo legittimo</w:t>
      </w:r>
      <w:r w:rsidR="00BB10F4" w:rsidRPr="007F7EBF">
        <w:rPr>
          <w:sz w:val="22"/>
          <w:szCs w:val="22"/>
        </w:rPr>
        <w:t>.</w:t>
      </w:r>
      <w:r w:rsidR="00BB10F4">
        <w:rPr>
          <w:sz w:val="22"/>
          <w:szCs w:val="22"/>
        </w:rPr>
        <w:t xml:space="preserve"> </w:t>
      </w:r>
      <w:r w:rsidR="00F23895">
        <w:t xml:space="preserve">Su di essa tuttavia si sono scaricate le tensioni dovute alla mancata spiegazione sociale dell’evasione; la sua visibilità appariva quasi come una sfida, </w:t>
      </w:r>
      <w:r w:rsidR="00394658">
        <w:t xml:space="preserve">attirando facili controlli, dove le imposte recuperate erano </w:t>
      </w:r>
      <w:r w:rsidR="00F23895">
        <w:t>presentat</w:t>
      </w:r>
      <w:r w:rsidR="00394658">
        <w:t>e</w:t>
      </w:r>
      <w:r w:rsidR="00F23895">
        <w:t xml:space="preserve"> come risultato di servizio nelle polemiche sull’evasione in senso materiale (par.4.6 e 5.3)</w:t>
      </w:r>
      <w:r w:rsidR="00394658">
        <w:t xml:space="preserve">. </w:t>
      </w:r>
      <w:r w:rsidR="00F23895">
        <w:t>Su elusioni vere o presunt</w:t>
      </w:r>
      <w:r w:rsidR="00394658">
        <w:t>e</w:t>
      </w:r>
      <w:r w:rsidR="00F23895">
        <w:t xml:space="preserve"> si sono concentrati gli accertamenti tributari, come indicato ai parr.5.17 ss. </w:t>
      </w:r>
      <w:r w:rsidR="00394658">
        <w:t>L’elusione è quindi fortemente diminuita, direi estinta, ed anzi la si contesta dove non c’è per dare un senso alle verifiche sui “grandi contribuenti” di cui al par.5.18</w:t>
      </w:r>
      <w:r w:rsidR="00B02B0A">
        <w:t xml:space="preserve">; in parallelo, </w:t>
      </w:r>
      <w:r w:rsidR="00394658">
        <w:rPr>
          <w:bCs/>
          <w:sz w:val="22"/>
          <w:szCs w:val="22"/>
        </w:rPr>
        <w:t>anche per la suddetta concentrazione</w:t>
      </w:r>
      <w:r w:rsidR="00B02B0A">
        <w:rPr>
          <w:bCs/>
          <w:sz w:val="22"/>
          <w:szCs w:val="22"/>
        </w:rPr>
        <w:t xml:space="preserve"> delle </w:t>
      </w:r>
      <w:r w:rsidR="00B02B0A" w:rsidRPr="00B02B0A">
        <w:rPr>
          <w:bCs/>
          <w:sz w:val="22"/>
          <w:szCs w:val="22"/>
        </w:rPr>
        <w:t>verifiche</w:t>
      </w:r>
      <w:r w:rsidR="00B02B0A">
        <w:rPr>
          <w:bCs/>
          <w:sz w:val="22"/>
          <w:szCs w:val="22"/>
        </w:rPr>
        <w:t xml:space="preserve"> sull’evasione interpretativa, </w:t>
      </w:r>
      <w:r w:rsidR="00B02B0A" w:rsidRPr="00B02B0A">
        <w:rPr>
          <w:bCs/>
          <w:sz w:val="22"/>
          <w:szCs w:val="22"/>
        </w:rPr>
        <w:t>l’evasione in senso materiale dilaga</w:t>
      </w:r>
      <w:r w:rsidR="00B02B0A">
        <w:rPr>
          <w:bCs/>
          <w:sz w:val="22"/>
          <w:szCs w:val="22"/>
        </w:rPr>
        <w:t xml:space="preserve">. Di fatto in molti </w:t>
      </w:r>
      <w:r w:rsidR="00B02B0A">
        <w:rPr>
          <w:bCs/>
          <w:sz w:val="22"/>
          <w:szCs w:val="22"/>
        </w:rPr>
        <w:lastRenderedPageBreak/>
        <w:t xml:space="preserve">paesi l’elusione è uno strumento indiretto di politica industriale, che permette di fatto la riduzione del carico tributario su determinate aziende, senza innescare richieste a catena di trattamenti analoghi, come accadrebbe manovrando le aliquote, secondo la stessa logica spiegata al par.1.9. Di fatto l’Italia, con le rigidità suddette, ha perso questa leva, il che rientra negli effetti inconsapevolmente </w:t>
      </w:r>
      <w:proofErr w:type="spellStart"/>
      <w:r w:rsidR="00B02B0A">
        <w:rPr>
          <w:bCs/>
          <w:sz w:val="22"/>
          <w:szCs w:val="22"/>
        </w:rPr>
        <w:t>antiaziendali</w:t>
      </w:r>
      <w:proofErr w:type="spellEnd"/>
      <w:r w:rsidR="00B02B0A">
        <w:rPr>
          <w:bCs/>
          <w:sz w:val="22"/>
          <w:szCs w:val="22"/>
        </w:rPr>
        <w:t xml:space="preserve"> di cui al par.5.19. </w:t>
      </w:r>
    </w:p>
    <w:p w14:paraId="392599E8" w14:textId="447792ED" w:rsidR="009051AE" w:rsidRPr="007F7EBF" w:rsidRDefault="00233251" w:rsidP="009051AE">
      <w:pPr>
        <w:pStyle w:val="tit23"/>
        <w:ind w:left="6464" w:right="-1361" w:firstLine="0"/>
        <w:jc w:val="left"/>
        <w:rPr>
          <w:bCs/>
          <w:i/>
          <w:iCs/>
          <w:color w:val="0000FF"/>
          <w:lang w:val="it-IT"/>
        </w:rPr>
      </w:pPr>
      <w:r w:rsidRPr="007F7EBF">
        <w:rPr>
          <w:bCs/>
          <w:i/>
          <w:iCs/>
          <w:color w:val="0000FF"/>
          <w:lang w:val="it-IT"/>
        </w:rPr>
        <w:t>D</w:t>
      </w:r>
      <w:r w:rsidR="009051AE" w:rsidRPr="007F7EBF">
        <w:rPr>
          <w:bCs/>
          <w:i/>
          <w:iCs/>
          <w:color w:val="0000FF"/>
          <w:lang w:val="it-IT"/>
        </w:rPr>
        <w:t>isapplicazione</w:t>
      </w:r>
      <w:r>
        <w:rPr>
          <w:bCs/>
          <w:i/>
          <w:iCs/>
          <w:color w:val="0000FF"/>
          <w:lang w:val="it-IT"/>
        </w:rPr>
        <w:t xml:space="preserve"> delle </w:t>
      </w:r>
      <w:r w:rsidR="00CE7AA8">
        <w:rPr>
          <w:bCs/>
          <w:i/>
          <w:iCs/>
          <w:color w:val="0000FF"/>
          <w:lang w:val="it-IT"/>
        </w:rPr>
        <w:t xml:space="preserve">indebite penalizzazioni </w:t>
      </w:r>
    </w:p>
    <w:p w14:paraId="434D053F" w14:textId="324A9184" w:rsidR="0062345F" w:rsidRPr="007F7EBF" w:rsidRDefault="00CE7AA8" w:rsidP="00BB10F4">
      <w:pPr>
        <w:autoSpaceDE w:val="0"/>
        <w:autoSpaceDN w:val="0"/>
        <w:adjustRightInd w:val="0"/>
        <w:rPr>
          <w:bCs/>
          <w:sz w:val="22"/>
          <w:szCs w:val="22"/>
        </w:rPr>
      </w:pPr>
      <w:r>
        <w:rPr>
          <w:sz w:val="22"/>
          <w:szCs w:val="22"/>
        </w:rPr>
        <w:t xml:space="preserve">Lo spirito della legislazione vale però anche all’inverso, quando il contribuente incappa in “penalizzazioni fiscali indebite” per via di limitazioni normative con finalità antielusive, di cui in concreto non ricorrono i presupposti </w:t>
      </w:r>
      <w:r w:rsidR="00556DA7">
        <w:rPr>
          <w:sz w:val="22"/>
          <w:szCs w:val="22"/>
        </w:rPr>
        <w:t>(</w:t>
      </w:r>
      <w:r w:rsidR="009051AE" w:rsidRPr="007F7EBF">
        <w:rPr>
          <w:rStyle w:val="Rimandonotaapidipagina"/>
          <w:sz w:val="22"/>
          <w:szCs w:val="22"/>
        </w:rPr>
        <w:footnoteReference w:id="366"/>
      </w:r>
      <w:r w:rsidR="00556DA7">
        <w:rPr>
          <w:sz w:val="22"/>
          <w:szCs w:val="22"/>
        </w:rPr>
        <w:t>)</w:t>
      </w:r>
      <w:r w:rsidR="00233251">
        <w:rPr>
          <w:sz w:val="22"/>
          <w:szCs w:val="22"/>
        </w:rPr>
        <w:t xml:space="preserve">; tali condizioni, con la tipica rigidità legislativa, </w:t>
      </w:r>
      <w:r w:rsidR="009051AE" w:rsidRPr="007F7EBF">
        <w:rPr>
          <w:sz w:val="22"/>
          <w:szCs w:val="22"/>
        </w:rPr>
        <w:t xml:space="preserve">potrebbero scattare anche </w:t>
      </w:r>
      <w:r w:rsidR="00233251">
        <w:rPr>
          <w:sz w:val="22"/>
          <w:szCs w:val="22"/>
        </w:rPr>
        <w:t xml:space="preserve">quando </w:t>
      </w:r>
      <w:r w:rsidR="009051AE" w:rsidRPr="007F7EBF">
        <w:rPr>
          <w:sz w:val="22"/>
          <w:szCs w:val="22"/>
        </w:rPr>
        <w:t>manca qualsiasi elusi</w:t>
      </w:r>
      <w:r w:rsidR="00233251">
        <w:rPr>
          <w:sz w:val="22"/>
          <w:szCs w:val="22"/>
        </w:rPr>
        <w:t>one e in tale caso la nostra già citata legislazione antielusiva consente a</w:t>
      </w:r>
      <w:r>
        <w:rPr>
          <w:sz w:val="22"/>
          <w:szCs w:val="22"/>
        </w:rPr>
        <w:t xml:space="preserve">l </w:t>
      </w:r>
      <w:r w:rsidR="009051AE">
        <w:rPr>
          <w:sz w:val="22"/>
          <w:szCs w:val="22"/>
        </w:rPr>
        <w:t xml:space="preserve">contribuente </w:t>
      </w:r>
      <w:r>
        <w:rPr>
          <w:sz w:val="22"/>
          <w:szCs w:val="22"/>
        </w:rPr>
        <w:t xml:space="preserve">di </w:t>
      </w:r>
      <w:r w:rsidR="009051AE">
        <w:rPr>
          <w:sz w:val="22"/>
          <w:szCs w:val="22"/>
        </w:rPr>
        <w:t>dimostra</w:t>
      </w:r>
      <w:r>
        <w:rPr>
          <w:sz w:val="22"/>
          <w:szCs w:val="22"/>
        </w:rPr>
        <w:t>re</w:t>
      </w:r>
      <w:r w:rsidR="009051AE" w:rsidRPr="007F7EBF">
        <w:rPr>
          <w:sz w:val="22"/>
          <w:szCs w:val="22"/>
        </w:rPr>
        <w:t xml:space="preserve"> che nel</w:t>
      </w:r>
      <w:r w:rsidR="00233251">
        <w:rPr>
          <w:sz w:val="22"/>
          <w:szCs w:val="22"/>
        </w:rPr>
        <w:t xml:space="preserve">lo specifico </w:t>
      </w:r>
      <w:r w:rsidR="009051AE" w:rsidRPr="007F7EBF">
        <w:rPr>
          <w:sz w:val="22"/>
          <w:szCs w:val="22"/>
        </w:rPr>
        <w:t>non sussiste la “ratio”</w:t>
      </w:r>
      <w:r>
        <w:rPr>
          <w:sz w:val="22"/>
          <w:szCs w:val="22"/>
        </w:rPr>
        <w:t xml:space="preserve"> delle cautele suddette</w:t>
      </w:r>
      <w:r w:rsidR="007C26FC">
        <w:rPr>
          <w:sz w:val="22"/>
          <w:szCs w:val="22"/>
        </w:rPr>
        <w:t xml:space="preserve"> (ottenendone quindi la disapplicazione)</w:t>
      </w:r>
      <w:r>
        <w:rPr>
          <w:sz w:val="22"/>
          <w:szCs w:val="22"/>
        </w:rPr>
        <w:t xml:space="preserve">. </w:t>
      </w:r>
      <w:r w:rsidR="009051AE" w:rsidRPr="007F7EBF">
        <w:rPr>
          <w:sz w:val="22"/>
          <w:szCs w:val="22"/>
        </w:rPr>
        <w:t xml:space="preserve"> </w:t>
      </w:r>
    </w:p>
    <w:p w14:paraId="7CCF16DA" w14:textId="77777777" w:rsidR="0062345F" w:rsidRPr="007F7EBF" w:rsidRDefault="0062345F" w:rsidP="005A6E21">
      <w:pPr>
        <w:autoSpaceDE w:val="0"/>
        <w:autoSpaceDN w:val="0"/>
        <w:adjustRightInd w:val="0"/>
        <w:rPr>
          <w:bCs/>
          <w:i/>
          <w:iCs/>
          <w:color w:val="0000FF"/>
          <w:sz w:val="22"/>
          <w:szCs w:val="22"/>
        </w:rPr>
      </w:pPr>
    </w:p>
    <w:p w14:paraId="2FACA8A6" w14:textId="24F7E455" w:rsidR="007A0187" w:rsidRPr="00AF1051" w:rsidRDefault="006342C5" w:rsidP="0083238F">
      <w:pPr>
        <w:pStyle w:val="Titolo3"/>
        <w:rPr>
          <w:rFonts w:ascii="Times New Roman" w:hAnsi="Times New Roman"/>
          <w:b w:val="0"/>
          <w:sz w:val="22"/>
          <w:szCs w:val="22"/>
          <w:lang w:val="it-IT"/>
        </w:rPr>
      </w:pPr>
      <w:bookmarkStart w:id="42" w:name="_Toc63364958"/>
      <w:r w:rsidRPr="007F7EBF">
        <w:rPr>
          <w:rFonts w:ascii="Times New Roman" w:hAnsi="Times New Roman"/>
          <w:sz w:val="22"/>
          <w:szCs w:val="22"/>
        </w:rPr>
        <w:t xml:space="preserve">3.11. </w:t>
      </w:r>
      <w:r w:rsidR="00B90E91">
        <w:rPr>
          <w:rFonts w:ascii="Times New Roman" w:hAnsi="Times New Roman"/>
          <w:sz w:val="22"/>
          <w:szCs w:val="22"/>
          <w:lang w:val="it-IT"/>
        </w:rPr>
        <w:t>L</w:t>
      </w:r>
      <w:r w:rsidR="00AF1051">
        <w:rPr>
          <w:rFonts w:ascii="Times New Roman" w:hAnsi="Times New Roman"/>
          <w:sz w:val="22"/>
          <w:szCs w:val="22"/>
          <w:lang w:val="it-IT"/>
        </w:rPr>
        <w:t>e varie forme di evasione fiscale nella filiera di produzione-distribuzione della ricchezza</w:t>
      </w:r>
      <w:bookmarkEnd w:id="42"/>
      <w:r w:rsidR="00AF1051">
        <w:rPr>
          <w:rFonts w:ascii="Times New Roman" w:hAnsi="Times New Roman"/>
          <w:sz w:val="22"/>
          <w:szCs w:val="22"/>
          <w:lang w:val="it-IT"/>
        </w:rPr>
        <w:t xml:space="preserve"> </w:t>
      </w:r>
    </w:p>
    <w:p w14:paraId="0DCEC119" w14:textId="20DA89B7" w:rsidR="007A0187" w:rsidRPr="007F7EBF" w:rsidRDefault="00652C9B" w:rsidP="007A0187">
      <w:pPr>
        <w:pStyle w:val="tit23"/>
        <w:ind w:left="6464" w:right="-1361" w:firstLine="0"/>
        <w:jc w:val="left"/>
        <w:rPr>
          <w:bCs/>
          <w:i/>
          <w:iCs/>
          <w:color w:val="0000FF"/>
          <w:lang w:val="it-IT"/>
        </w:rPr>
      </w:pPr>
      <w:r>
        <w:rPr>
          <w:bCs/>
          <w:i/>
          <w:iCs/>
          <w:color w:val="0000FF"/>
          <w:lang w:val="it-IT"/>
        </w:rPr>
        <w:t>Evasione e filiera della produzione/distribuzione di ricchezza</w:t>
      </w:r>
    </w:p>
    <w:p w14:paraId="5A975784" w14:textId="58AF5B4C" w:rsidR="00B56921" w:rsidRPr="007F7EBF" w:rsidRDefault="000B072A" w:rsidP="00B56921">
      <w:pPr>
        <w:autoSpaceDE w:val="0"/>
        <w:autoSpaceDN w:val="0"/>
        <w:adjustRightInd w:val="0"/>
        <w:rPr>
          <w:bCs/>
          <w:sz w:val="22"/>
          <w:szCs w:val="22"/>
        </w:rPr>
      </w:pPr>
      <w:r>
        <w:rPr>
          <w:sz w:val="22"/>
          <w:szCs w:val="22"/>
        </w:rPr>
        <w:t>L’economia</w:t>
      </w:r>
      <w:r w:rsidR="00AF1051">
        <w:rPr>
          <w:sz w:val="22"/>
          <w:szCs w:val="22"/>
        </w:rPr>
        <w:t xml:space="preserve"> </w:t>
      </w:r>
      <w:r>
        <w:rPr>
          <w:sz w:val="22"/>
          <w:szCs w:val="22"/>
        </w:rPr>
        <w:t xml:space="preserve">moderna si articola in numerosi passaggi dalla concezione dei beni o servizi, alla loro produzione, distribuzione e consumo, con attribuzione, a chi partecipa a ciascuna fase, di quote di reddito. In questa filiera ritroviamo quindi le </w:t>
      </w:r>
      <w:r w:rsidR="00AF1051">
        <w:rPr>
          <w:sz w:val="22"/>
          <w:szCs w:val="22"/>
        </w:rPr>
        <w:t xml:space="preserve">astrazioni economiche </w:t>
      </w:r>
      <w:r w:rsidR="00652C9B">
        <w:rPr>
          <w:sz w:val="22"/>
          <w:szCs w:val="22"/>
        </w:rPr>
        <w:t xml:space="preserve">cui sono commisurate le imposte. </w:t>
      </w:r>
      <w:r>
        <w:rPr>
          <w:sz w:val="22"/>
          <w:szCs w:val="22"/>
        </w:rPr>
        <w:t>Si tratta, come indicato al par.1.8, di r</w:t>
      </w:r>
      <w:r>
        <w:t xml:space="preserve">icavi, costi, redditi, consumi etc., collegati in una filiera, dove si </w:t>
      </w:r>
      <w:r>
        <w:lastRenderedPageBreak/>
        <w:t xml:space="preserve">inseriscono l’adempimento o l’evasione fiscale, secondo le varie fasi della produzione e della distribuzione della ricchezza. Può trattarsi, come indicato ai paragrafi precedenti, di </w:t>
      </w:r>
      <w:r w:rsidR="00652C9B">
        <w:rPr>
          <w:sz w:val="22"/>
          <w:szCs w:val="22"/>
        </w:rPr>
        <w:t>evasione</w:t>
      </w:r>
      <w:r>
        <w:rPr>
          <w:sz w:val="22"/>
          <w:szCs w:val="22"/>
        </w:rPr>
        <w:t xml:space="preserve"> in senso di </w:t>
      </w:r>
      <w:r w:rsidR="00652C9B">
        <w:rPr>
          <w:sz w:val="22"/>
          <w:szCs w:val="22"/>
        </w:rPr>
        <w:t xml:space="preserve">materiale occultamento </w:t>
      </w:r>
      <w:r>
        <w:rPr>
          <w:sz w:val="22"/>
          <w:szCs w:val="22"/>
        </w:rPr>
        <w:t>degli</w:t>
      </w:r>
      <w:r w:rsidR="00652C9B">
        <w:rPr>
          <w:sz w:val="22"/>
          <w:szCs w:val="22"/>
        </w:rPr>
        <w:t xml:space="preserve"> imponibili oppure </w:t>
      </w:r>
      <w:r>
        <w:rPr>
          <w:sz w:val="22"/>
          <w:szCs w:val="22"/>
        </w:rPr>
        <w:t>di forzature nella</w:t>
      </w:r>
      <w:r w:rsidR="00652C9B">
        <w:rPr>
          <w:sz w:val="22"/>
          <w:szCs w:val="22"/>
        </w:rPr>
        <w:t xml:space="preserve"> loro qualificazione giuridica </w:t>
      </w:r>
      <w:r>
        <w:rPr>
          <w:sz w:val="22"/>
          <w:szCs w:val="22"/>
        </w:rPr>
        <w:t>(c.d. “evasione interpretativa”)</w:t>
      </w:r>
      <w:r w:rsidR="00B021AB">
        <w:rPr>
          <w:sz w:val="22"/>
          <w:szCs w:val="22"/>
        </w:rPr>
        <w:t xml:space="preserve">. </w:t>
      </w:r>
    </w:p>
    <w:p w14:paraId="7B053885" w14:textId="392D3B02" w:rsidR="00B56921" w:rsidRPr="007F7EBF" w:rsidRDefault="00B56921" w:rsidP="00B56921">
      <w:pPr>
        <w:pStyle w:val="tit23"/>
        <w:ind w:left="6464" w:right="-1361" w:firstLine="0"/>
        <w:jc w:val="left"/>
        <w:rPr>
          <w:bCs/>
          <w:i/>
          <w:iCs/>
          <w:color w:val="0000FF"/>
          <w:lang w:val="it-IT"/>
        </w:rPr>
      </w:pPr>
      <w:r>
        <w:rPr>
          <w:bCs/>
          <w:i/>
          <w:iCs/>
          <w:color w:val="0000FF"/>
          <w:lang w:val="it-IT"/>
        </w:rPr>
        <w:t xml:space="preserve">Immediatezza tra evasione e consumo personale </w:t>
      </w:r>
    </w:p>
    <w:p w14:paraId="173D92DF" w14:textId="3D8E38C0" w:rsidR="00B56921" w:rsidRPr="007F7EBF" w:rsidRDefault="000B072A" w:rsidP="00B56921">
      <w:pPr>
        <w:autoSpaceDE w:val="0"/>
        <w:autoSpaceDN w:val="0"/>
        <w:adjustRightInd w:val="0"/>
        <w:rPr>
          <w:bCs/>
          <w:sz w:val="22"/>
          <w:szCs w:val="22"/>
        </w:rPr>
      </w:pPr>
      <w:r>
        <w:rPr>
          <w:sz w:val="22"/>
          <w:szCs w:val="22"/>
        </w:rPr>
        <w:t>Questa filiera è impercettibile per</w:t>
      </w:r>
      <w:r w:rsidR="00B021AB">
        <w:rPr>
          <w:sz w:val="22"/>
          <w:szCs w:val="22"/>
        </w:rPr>
        <w:t xml:space="preserve"> artigiani e piccoli commercianti </w:t>
      </w:r>
      <w:r w:rsidR="00B021AB" w:rsidRPr="007F7EBF">
        <w:t xml:space="preserve">(par.3.13 e </w:t>
      </w:r>
      <w:r w:rsidR="00361BCC">
        <w:t>1.7</w:t>
      </w:r>
      <w:r w:rsidR="00B021AB" w:rsidRPr="007F7EBF">
        <w:t>)</w:t>
      </w:r>
      <w:r>
        <w:t>. che</w:t>
      </w:r>
      <w:r w:rsidR="00B021AB" w:rsidRPr="007F7EBF">
        <w:t xml:space="preserve"> nascondono incassi </w:t>
      </w:r>
      <w:r>
        <w:t>da</w:t>
      </w:r>
      <w:r w:rsidR="00B021AB" w:rsidRPr="007F7EBF">
        <w:t xml:space="preserve"> consum</w:t>
      </w:r>
      <w:r>
        <w:t>atori</w:t>
      </w:r>
      <w:r w:rsidR="00B021AB" w:rsidRPr="007F7EBF">
        <w:t xml:space="preserve"> final</w:t>
      </w:r>
      <w:r>
        <w:t xml:space="preserve">i </w:t>
      </w:r>
      <w:r w:rsidR="00497706">
        <w:t>loro</w:t>
      </w:r>
      <w:r>
        <w:t xml:space="preserve"> clienti</w:t>
      </w:r>
      <w:r w:rsidR="00B021AB" w:rsidRPr="007F7EBF">
        <w:t xml:space="preserve">, </w:t>
      </w:r>
      <w:r w:rsidR="00B021AB">
        <w:t xml:space="preserve">immettono direttamente </w:t>
      </w:r>
      <w:r w:rsidR="00497706">
        <w:t xml:space="preserve">i relativi redditi </w:t>
      </w:r>
      <w:r w:rsidR="00B021AB">
        <w:t xml:space="preserve">nella </w:t>
      </w:r>
      <w:r w:rsidR="00497706">
        <w:t>propria</w:t>
      </w:r>
      <w:r w:rsidR="00B021AB">
        <w:t xml:space="preserve"> sfera personale spend</w:t>
      </w:r>
      <w:r w:rsidR="00497706">
        <w:t>endoli</w:t>
      </w:r>
      <w:r w:rsidR="00B021AB">
        <w:t xml:space="preserve"> per </w:t>
      </w:r>
      <w:r w:rsidR="00497706">
        <w:t xml:space="preserve">vivere, ad esempio per alloggio, vitto, spese abitative, ricreative e altri consumi o investimenti personali </w:t>
      </w:r>
      <w:r w:rsidR="00B021AB">
        <w:t xml:space="preserve"> il loro tenore di vita</w:t>
      </w:r>
      <w:r w:rsidR="00B56921">
        <w:t xml:space="preserve">, in consumi o investimenti personali, come le </w:t>
      </w:r>
      <w:r w:rsidR="00497706">
        <w:t xml:space="preserve">(par.4.2 sull’”evasione di sopravvivenza); </w:t>
      </w:r>
      <w:r w:rsidR="00B021AB">
        <w:t>la filiera tra “produzione” e “consumo”</w:t>
      </w:r>
      <w:r w:rsidR="00497706">
        <w:t xml:space="preserve"> è qui molto semplice, i</w:t>
      </w:r>
      <w:r w:rsidR="00B021AB">
        <w:t xml:space="preserve">n quanto appiattita sullo stesso </w:t>
      </w:r>
      <w:r w:rsidR="00497706">
        <w:t>artigiano o piccolo commerciante</w:t>
      </w:r>
      <w:r w:rsidR="00B021AB">
        <w:t>, una volta come operatore economico e l’altra come consumatore</w:t>
      </w:r>
      <w:r w:rsidR="00B021AB" w:rsidRPr="007F7EBF">
        <w:t>.</w:t>
      </w:r>
    </w:p>
    <w:p w14:paraId="30383201" w14:textId="544753E3" w:rsidR="00B56921" w:rsidRPr="007F7EBF" w:rsidRDefault="00BD15C1" w:rsidP="00B56921">
      <w:pPr>
        <w:pStyle w:val="tit23"/>
        <w:ind w:left="6464" w:right="-1361" w:firstLine="0"/>
        <w:jc w:val="left"/>
        <w:rPr>
          <w:bCs/>
          <w:i/>
          <w:iCs/>
          <w:color w:val="0000FF"/>
          <w:lang w:val="it-IT"/>
        </w:rPr>
      </w:pPr>
      <w:r>
        <w:rPr>
          <w:bCs/>
          <w:i/>
          <w:iCs/>
          <w:color w:val="0000FF"/>
          <w:lang w:val="it-IT"/>
        </w:rPr>
        <w:t>Fondi neri aziendali</w:t>
      </w:r>
    </w:p>
    <w:p w14:paraId="6BC60271" w14:textId="77777777" w:rsidR="00016900" w:rsidRDefault="0002100E" w:rsidP="007A0187">
      <w:pPr>
        <w:autoSpaceDE w:val="0"/>
        <w:autoSpaceDN w:val="0"/>
        <w:adjustRightInd w:val="0"/>
        <w:rPr>
          <w:sz w:val="22"/>
          <w:szCs w:val="22"/>
        </w:rPr>
      </w:pPr>
      <w:r>
        <w:rPr>
          <w:sz w:val="22"/>
          <w:szCs w:val="22"/>
        </w:rPr>
        <w:t xml:space="preserve">Questa filiera, </w:t>
      </w:r>
      <w:r w:rsidR="00C4307D">
        <w:rPr>
          <w:sz w:val="22"/>
          <w:szCs w:val="22"/>
        </w:rPr>
        <w:t>con le su</w:t>
      </w:r>
      <w:r>
        <w:rPr>
          <w:sz w:val="22"/>
          <w:szCs w:val="22"/>
        </w:rPr>
        <w:t xml:space="preserve">e possibilità di evasione fiscale, </w:t>
      </w:r>
      <w:r w:rsidR="00C4307D">
        <w:rPr>
          <w:sz w:val="22"/>
          <w:szCs w:val="22"/>
        </w:rPr>
        <w:t>è più</w:t>
      </w:r>
      <w:r>
        <w:rPr>
          <w:sz w:val="22"/>
          <w:szCs w:val="22"/>
        </w:rPr>
        <w:t xml:space="preserve"> articola</w:t>
      </w:r>
      <w:r w:rsidR="00C4307D">
        <w:rPr>
          <w:sz w:val="22"/>
          <w:szCs w:val="22"/>
        </w:rPr>
        <w:t>ta</w:t>
      </w:r>
      <w:r>
        <w:rPr>
          <w:sz w:val="22"/>
          <w:szCs w:val="22"/>
        </w:rPr>
        <w:t xml:space="preserve"> invece quando si riferisc</w:t>
      </w:r>
      <w:r w:rsidR="00C4307D">
        <w:rPr>
          <w:sz w:val="22"/>
          <w:szCs w:val="22"/>
        </w:rPr>
        <w:t>e</w:t>
      </w:r>
      <w:r>
        <w:rPr>
          <w:sz w:val="22"/>
          <w:szCs w:val="22"/>
        </w:rPr>
        <w:t xml:space="preserve"> ad organizzazioni pluripersonali complesse. Qui </w:t>
      </w:r>
      <w:r w:rsidR="00BD15C1">
        <w:rPr>
          <w:sz w:val="22"/>
          <w:szCs w:val="22"/>
        </w:rPr>
        <w:t>l’evasione del ricavo</w:t>
      </w:r>
      <w:r w:rsidR="00016900">
        <w:rPr>
          <w:sz w:val="22"/>
          <w:szCs w:val="22"/>
        </w:rPr>
        <w:t>,</w:t>
      </w:r>
      <w:r w:rsidR="00BD15C1">
        <w:rPr>
          <w:sz w:val="22"/>
          <w:szCs w:val="22"/>
        </w:rPr>
        <w:t xml:space="preserve"> o il costo gonfiato </w:t>
      </w:r>
      <w:r w:rsidR="00C06BDB">
        <w:rPr>
          <w:sz w:val="22"/>
          <w:szCs w:val="22"/>
        </w:rPr>
        <w:t>(par.3.7)</w:t>
      </w:r>
      <w:r w:rsidR="003C41A0">
        <w:rPr>
          <w:sz w:val="22"/>
          <w:szCs w:val="22"/>
        </w:rPr>
        <w:t xml:space="preserve">, </w:t>
      </w:r>
      <w:r w:rsidR="00BD15C1">
        <w:rPr>
          <w:sz w:val="22"/>
          <w:szCs w:val="22"/>
        </w:rPr>
        <w:t xml:space="preserve">non sempre </w:t>
      </w:r>
      <w:r w:rsidR="00016900">
        <w:rPr>
          <w:sz w:val="22"/>
          <w:szCs w:val="22"/>
        </w:rPr>
        <w:t xml:space="preserve">si accompagna all’attribuzione </w:t>
      </w:r>
      <w:r w:rsidR="00BD15C1">
        <w:rPr>
          <w:sz w:val="22"/>
          <w:szCs w:val="22"/>
        </w:rPr>
        <w:t xml:space="preserve">delle relative somme </w:t>
      </w:r>
      <w:r w:rsidR="00016900">
        <w:rPr>
          <w:sz w:val="22"/>
          <w:szCs w:val="22"/>
        </w:rPr>
        <w:t xml:space="preserve">ai titolari dell’azienda dove essa avviene; c’è prima di tutto il caso dei beneficiari “terzi”, come i dipendenti o gli altri soggetti impossibilitati a comparire, di cui al par.3.8 sull’”evasione aziendale”. Può anche verificarsi una </w:t>
      </w:r>
      <w:r w:rsidR="00C06BDB">
        <w:rPr>
          <w:sz w:val="22"/>
          <w:szCs w:val="22"/>
        </w:rPr>
        <w:t xml:space="preserve">prima fase in cui </w:t>
      </w:r>
      <w:r w:rsidR="003C41A0">
        <w:rPr>
          <w:sz w:val="22"/>
          <w:szCs w:val="22"/>
        </w:rPr>
        <w:t>ai ricavi non registrati o ai costi fittizi (“gonfiati”) corrispondono attività aziendali non registrate nella contabilità</w:t>
      </w:r>
      <w:r w:rsidR="00C06BDB">
        <w:rPr>
          <w:sz w:val="22"/>
          <w:szCs w:val="22"/>
        </w:rPr>
        <w:t xml:space="preserve">, come </w:t>
      </w:r>
      <w:r w:rsidR="003C41A0">
        <w:rPr>
          <w:sz w:val="22"/>
          <w:szCs w:val="22"/>
        </w:rPr>
        <w:t>crediti</w:t>
      </w:r>
      <w:r w:rsidR="00C06BDB">
        <w:rPr>
          <w:sz w:val="22"/>
          <w:szCs w:val="22"/>
        </w:rPr>
        <w:t xml:space="preserve">, </w:t>
      </w:r>
      <w:r w:rsidR="003C41A0">
        <w:rPr>
          <w:sz w:val="22"/>
          <w:szCs w:val="22"/>
        </w:rPr>
        <w:t>giacenze di magazzino</w:t>
      </w:r>
      <w:r w:rsidR="00C06BDB">
        <w:rPr>
          <w:sz w:val="22"/>
          <w:szCs w:val="22"/>
        </w:rPr>
        <w:t xml:space="preserve"> o depositi bancari intestati a fiduciari o prestanome. </w:t>
      </w:r>
      <w:r w:rsidR="00016900">
        <w:rPr>
          <w:sz w:val="22"/>
          <w:szCs w:val="22"/>
        </w:rPr>
        <w:t>Nasce così</w:t>
      </w:r>
      <w:r w:rsidR="00BD15C1">
        <w:rPr>
          <w:sz w:val="22"/>
          <w:szCs w:val="22"/>
        </w:rPr>
        <w:t xml:space="preserve"> una </w:t>
      </w:r>
      <w:r w:rsidR="00BD15C1" w:rsidRPr="007F7EBF">
        <w:rPr>
          <w:sz w:val="22"/>
          <w:szCs w:val="22"/>
        </w:rPr>
        <w:t xml:space="preserve">specie di “limbo”, in attesa di destinazione, </w:t>
      </w:r>
      <w:r w:rsidR="00BD15C1">
        <w:rPr>
          <w:sz w:val="22"/>
          <w:szCs w:val="22"/>
        </w:rPr>
        <w:t>dove</w:t>
      </w:r>
      <w:r w:rsidR="00016900">
        <w:rPr>
          <w:sz w:val="22"/>
          <w:szCs w:val="22"/>
        </w:rPr>
        <w:t xml:space="preserve"> al complesso delle attività occulte (cassa, crediti o altro) corrisponde un </w:t>
      </w:r>
      <w:r w:rsidR="00BD15C1" w:rsidRPr="007F7EBF">
        <w:rPr>
          <w:sz w:val="22"/>
          <w:szCs w:val="22"/>
        </w:rPr>
        <w:t>"fond</w:t>
      </w:r>
      <w:r w:rsidR="00BD15C1">
        <w:rPr>
          <w:sz w:val="22"/>
          <w:szCs w:val="22"/>
        </w:rPr>
        <w:t>o</w:t>
      </w:r>
      <w:r w:rsidR="00BD15C1" w:rsidRPr="007F7EBF">
        <w:rPr>
          <w:sz w:val="22"/>
          <w:szCs w:val="22"/>
        </w:rPr>
        <w:t xml:space="preserve"> ner</w:t>
      </w:r>
      <w:r w:rsidR="00BD15C1">
        <w:rPr>
          <w:sz w:val="22"/>
          <w:szCs w:val="22"/>
        </w:rPr>
        <w:t>o</w:t>
      </w:r>
      <w:r w:rsidR="00BD15C1" w:rsidRPr="007F7EBF">
        <w:rPr>
          <w:sz w:val="22"/>
          <w:szCs w:val="22"/>
        </w:rPr>
        <w:t>"</w:t>
      </w:r>
      <w:r w:rsidR="00BD15C1">
        <w:rPr>
          <w:sz w:val="22"/>
          <w:szCs w:val="22"/>
        </w:rPr>
        <w:t xml:space="preserve"> (</w:t>
      </w:r>
      <w:r w:rsidR="00BD15C1" w:rsidRPr="007F7EBF">
        <w:rPr>
          <w:rStyle w:val="Rimandonotaapidipagina"/>
          <w:sz w:val="22"/>
          <w:szCs w:val="22"/>
        </w:rPr>
        <w:footnoteReference w:id="367"/>
      </w:r>
      <w:r w:rsidR="00BD15C1">
        <w:rPr>
          <w:sz w:val="22"/>
          <w:szCs w:val="22"/>
        </w:rPr>
        <w:t>)</w:t>
      </w:r>
      <w:r w:rsidR="00BD15C1" w:rsidRPr="007F7EBF">
        <w:rPr>
          <w:sz w:val="22"/>
          <w:szCs w:val="22"/>
        </w:rPr>
        <w:t>.</w:t>
      </w:r>
      <w:r w:rsidR="00016900">
        <w:rPr>
          <w:sz w:val="22"/>
          <w:szCs w:val="22"/>
        </w:rPr>
        <w:t xml:space="preserve"> </w:t>
      </w:r>
    </w:p>
    <w:p w14:paraId="3420E157" w14:textId="1A37DA7F" w:rsidR="003C41A0" w:rsidRPr="007F7EBF" w:rsidRDefault="00BD15C1" w:rsidP="007A0187">
      <w:pPr>
        <w:autoSpaceDE w:val="0"/>
        <w:autoSpaceDN w:val="0"/>
        <w:adjustRightInd w:val="0"/>
        <w:rPr>
          <w:sz w:val="22"/>
          <w:szCs w:val="22"/>
        </w:rPr>
      </w:pPr>
      <w:r>
        <w:rPr>
          <w:sz w:val="22"/>
          <w:szCs w:val="22"/>
        </w:rPr>
        <w:t>Q</w:t>
      </w:r>
      <w:r w:rsidRPr="007F7EBF">
        <w:rPr>
          <w:sz w:val="22"/>
          <w:szCs w:val="22"/>
        </w:rPr>
        <w:t>ualche volta</w:t>
      </w:r>
      <w:r w:rsidR="00016900">
        <w:rPr>
          <w:sz w:val="22"/>
          <w:szCs w:val="22"/>
        </w:rPr>
        <w:t xml:space="preserve"> queste somme possono anche essere </w:t>
      </w:r>
      <w:r w:rsidRPr="007F7EBF">
        <w:rPr>
          <w:sz w:val="22"/>
          <w:szCs w:val="22"/>
        </w:rPr>
        <w:t>riversat</w:t>
      </w:r>
      <w:r w:rsidR="00016900">
        <w:rPr>
          <w:sz w:val="22"/>
          <w:szCs w:val="22"/>
        </w:rPr>
        <w:t>e</w:t>
      </w:r>
      <w:r w:rsidRPr="007F7EBF">
        <w:rPr>
          <w:sz w:val="22"/>
          <w:szCs w:val="22"/>
        </w:rPr>
        <w:t xml:space="preserve"> nell’azienda dal titolare, a titolo di finanziamento  o di aumento di capitale</w:t>
      </w:r>
      <w:r>
        <w:rPr>
          <w:sz w:val="22"/>
          <w:szCs w:val="22"/>
        </w:rPr>
        <w:t xml:space="preserve">; qui il </w:t>
      </w:r>
      <w:r>
        <w:rPr>
          <w:sz w:val="22"/>
          <w:szCs w:val="22"/>
        </w:rPr>
        <w:lastRenderedPageBreak/>
        <w:t>conferimento è un indizio della precedente evasione quando il socio non aveva altre dotazioni patrimoniali “ufficiali” da cui attingere</w:t>
      </w:r>
      <w:r w:rsidRPr="007F7EBF">
        <w:rPr>
          <w:sz w:val="22"/>
          <w:szCs w:val="22"/>
        </w:rPr>
        <w:t>(</w:t>
      </w:r>
      <w:r w:rsidRPr="007F7EBF">
        <w:rPr>
          <w:rStyle w:val="Rimandonotaapidipagina"/>
          <w:sz w:val="22"/>
          <w:szCs w:val="22"/>
        </w:rPr>
        <w:footnoteReference w:id="368"/>
      </w:r>
      <w:r w:rsidRPr="007F7EBF">
        <w:rPr>
          <w:sz w:val="22"/>
          <w:szCs w:val="22"/>
        </w:rPr>
        <w:t>)</w:t>
      </w:r>
      <w:r>
        <w:rPr>
          <w:sz w:val="22"/>
          <w:szCs w:val="22"/>
        </w:rPr>
        <w:t>, salvo che l’investimento venga effettuato da un fiduciario. L’obiettivo è però di ro</w:t>
      </w:r>
      <w:r w:rsidR="00C06BDB">
        <w:rPr>
          <w:sz w:val="22"/>
          <w:szCs w:val="22"/>
        </w:rPr>
        <w:t>mpe</w:t>
      </w:r>
      <w:r>
        <w:rPr>
          <w:sz w:val="22"/>
          <w:szCs w:val="22"/>
        </w:rPr>
        <w:t xml:space="preserve">re </w:t>
      </w:r>
      <w:r w:rsidR="00C06BDB">
        <w:rPr>
          <w:sz w:val="22"/>
          <w:szCs w:val="22"/>
        </w:rPr>
        <w:t xml:space="preserve">il legame con l’evasione ( c.d. “patrimonializzazione” del reddito evaso). </w:t>
      </w:r>
      <w:r>
        <w:rPr>
          <w:sz w:val="22"/>
          <w:szCs w:val="22"/>
        </w:rPr>
        <w:t xml:space="preserve">Qualora i </w:t>
      </w:r>
      <w:r w:rsidR="00C06BDB">
        <w:rPr>
          <w:sz w:val="22"/>
          <w:szCs w:val="22"/>
        </w:rPr>
        <w:t xml:space="preserve">controlli </w:t>
      </w:r>
      <w:r>
        <w:rPr>
          <w:sz w:val="22"/>
          <w:szCs w:val="22"/>
        </w:rPr>
        <w:t>r</w:t>
      </w:r>
      <w:r w:rsidR="00C06BDB">
        <w:rPr>
          <w:sz w:val="22"/>
          <w:szCs w:val="22"/>
        </w:rPr>
        <w:t>aggiung</w:t>
      </w:r>
      <w:r>
        <w:rPr>
          <w:sz w:val="22"/>
          <w:szCs w:val="22"/>
        </w:rPr>
        <w:t>ano s</w:t>
      </w:r>
      <w:r w:rsidR="00C06BDB">
        <w:rPr>
          <w:sz w:val="22"/>
          <w:szCs w:val="22"/>
        </w:rPr>
        <w:t xml:space="preserve">ia la sfera della società sia quella della persona fisica che ha percepito le somme evase, esistono criteri di coordinamento per eliminare una doppia imposizione (par.7.17). </w:t>
      </w:r>
    </w:p>
    <w:p w14:paraId="5D418274" w14:textId="77777777" w:rsidR="007A0187" w:rsidRPr="007F7EBF" w:rsidRDefault="007A0187" w:rsidP="007A0187">
      <w:pPr>
        <w:pStyle w:val="tit23"/>
        <w:ind w:left="6464" w:right="-1361" w:firstLine="0"/>
        <w:jc w:val="left"/>
        <w:rPr>
          <w:bCs/>
          <w:i/>
          <w:iCs/>
          <w:color w:val="0000FF"/>
          <w:lang w:val="it-IT"/>
        </w:rPr>
      </w:pPr>
      <w:r w:rsidRPr="007F7EBF">
        <w:rPr>
          <w:bCs/>
          <w:i/>
          <w:iCs/>
          <w:color w:val="0000FF"/>
          <w:lang w:val="it-IT"/>
        </w:rPr>
        <w:t xml:space="preserve">L’estero come rifugio delle somme evase  </w:t>
      </w:r>
    </w:p>
    <w:p w14:paraId="511D4974" w14:textId="2D16B710" w:rsidR="00F926C7" w:rsidRPr="007F7EBF" w:rsidRDefault="00652C9B" w:rsidP="00016900">
      <w:pPr>
        <w:autoSpaceDE w:val="0"/>
        <w:autoSpaceDN w:val="0"/>
        <w:adjustRightInd w:val="0"/>
        <w:rPr>
          <w:bCs/>
          <w:i/>
          <w:iCs/>
          <w:color w:val="0000FF"/>
        </w:rPr>
      </w:pPr>
      <w:r>
        <w:rPr>
          <w:sz w:val="22"/>
          <w:szCs w:val="22"/>
        </w:rPr>
        <w:t xml:space="preserve">Questa filiera riguarda anche i rapporti con l’estero, dove l’evasione difficilmente è individuabile </w:t>
      </w:r>
      <w:r w:rsidR="00016900">
        <w:rPr>
          <w:sz w:val="22"/>
          <w:szCs w:val="22"/>
        </w:rPr>
        <w:t xml:space="preserve">indagando sui </w:t>
      </w:r>
      <w:r>
        <w:rPr>
          <w:sz w:val="22"/>
          <w:szCs w:val="22"/>
        </w:rPr>
        <w:t>client</w:t>
      </w:r>
      <w:r w:rsidR="00016900">
        <w:rPr>
          <w:sz w:val="22"/>
          <w:szCs w:val="22"/>
        </w:rPr>
        <w:t>i</w:t>
      </w:r>
      <w:r>
        <w:rPr>
          <w:sz w:val="22"/>
          <w:szCs w:val="22"/>
        </w:rPr>
        <w:t xml:space="preserve"> ester</w:t>
      </w:r>
      <w:r w:rsidR="00016900">
        <w:rPr>
          <w:sz w:val="22"/>
          <w:szCs w:val="22"/>
        </w:rPr>
        <w:t xml:space="preserve">i, perché fuori dal territorio statale i </w:t>
      </w:r>
      <w:r>
        <w:rPr>
          <w:sz w:val="22"/>
          <w:szCs w:val="22"/>
        </w:rPr>
        <w:t xml:space="preserve">poteri </w:t>
      </w:r>
      <w:r w:rsidR="00016900">
        <w:rPr>
          <w:sz w:val="22"/>
          <w:szCs w:val="22"/>
        </w:rPr>
        <w:t xml:space="preserve">investigativi  subiscono </w:t>
      </w:r>
      <w:r w:rsidRPr="007F7EBF">
        <w:rPr>
          <w:sz w:val="22"/>
          <w:szCs w:val="22"/>
        </w:rPr>
        <w:t>intuitive limitazioni</w:t>
      </w:r>
      <w:r w:rsidR="00016900">
        <w:rPr>
          <w:sz w:val="22"/>
          <w:szCs w:val="22"/>
        </w:rPr>
        <w:t>, su cui par.5.6</w:t>
      </w:r>
      <w:r w:rsidRPr="007F7EBF">
        <w:rPr>
          <w:sz w:val="22"/>
          <w:szCs w:val="22"/>
        </w:rPr>
        <w:t xml:space="preserve">. </w:t>
      </w:r>
      <w:r w:rsidR="007A0187" w:rsidRPr="007F7EBF">
        <w:rPr>
          <w:sz w:val="22"/>
          <w:szCs w:val="22"/>
        </w:rPr>
        <w:t>L'estero è quindi, da sempre, un luogo di rifugio rispet</w:t>
      </w:r>
      <w:r w:rsidR="00457A61" w:rsidRPr="007F7EBF">
        <w:rPr>
          <w:sz w:val="22"/>
          <w:szCs w:val="22"/>
        </w:rPr>
        <w:t>to ai poteri autoritativi dello stato</w:t>
      </w:r>
      <w:r w:rsidR="007A0187" w:rsidRPr="007F7EBF">
        <w:rPr>
          <w:sz w:val="22"/>
          <w:szCs w:val="22"/>
        </w:rPr>
        <w:t>, anc</w:t>
      </w:r>
      <w:r w:rsidR="00FA0F7B" w:rsidRPr="007F7EBF">
        <w:rPr>
          <w:sz w:val="22"/>
          <w:szCs w:val="22"/>
        </w:rPr>
        <w:t>he in materia tributaria</w:t>
      </w:r>
      <w:r w:rsidR="00016900">
        <w:rPr>
          <w:sz w:val="22"/>
          <w:szCs w:val="22"/>
        </w:rPr>
        <w:t xml:space="preserve"> </w:t>
      </w:r>
      <w:r w:rsidR="00F926C7">
        <w:rPr>
          <w:sz w:val="22"/>
          <w:szCs w:val="22"/>
        </w:rPr>
        <w:t>(</w:t>
      </w:r>
      <w:r w:rsidR="007A0187" w:rsidRPr="007F7EBF">
        <w:rPr>
          <w:rStyle w:val="Rimandonotaapidipagina"/>
          <w:sz w:val="22"/>
          <w:szCs w:val="22"/>
        </w:rPr>
        <w:footnoteReference w:id="369"/>
      </w:r>
      <w:r w:rsidR="00F926C7">
        <w:rPr>
          <w:sz w:val="22"/>
          <w:szCs w:val="22"/>
        </w:rPr>
        <w:t>)</w:t>
      </w:r>
      <w:r w:rsidR="007A0187" w:rsidRPr="007F7EBF">
        <w:rPr>
          <w:sz w:val="22"/>
          <w:szCs w:val="22"/>
        </w:rPr>
        <w:t xml:space="preserve">. </w:t>
      </w:r>
    </w:p>
    <w:p w14:paraId="117BC8EC" w14:textId="4A74EC4B" w:rsidR="00C9607D" w:rsidRPr="007F7EBF" w:rsidRDefault="00F926C7" w:rsidP="00C9607D">
      <w:pPr>
        <w:autoSpaceDE w:val="0"/>
        <w:autoSpaceDN w:val="0"/>
        <w:adjustRightInd w:val="0"/>
        <w:rPr>
          <w:sz w:val="22"/>
          <w:szCs w:val="22"/>
        </w:rPr>
      </w:pPr>
      <w:r>
        <w:rPr>
          <w:sz w:val="22"/>
          <w:szCs w:val="22"/>
        </w:rPr>
        <w:t>Qui si ritrova la suddetta filiera, in quanto</w:t>
      </w:r>
      <w:r w:rsidRPr="007F7EBF">
        <w:rPr>
          <w:sz w:val="22"/>
          <w:szCs w:val="22"/>
        </w:rPr>
        <w:t xml:space="preserve">, specie per le "evasioni effettuate attraverso le aziende", nei modi indicati al paragrafo 3.7, la ricchezza evasa "si forma all'estero", in contropartita di </w:t>
      </w:r>
      <w:r w:rsidR="00C67695">
        <w:rPr>
          <w:bCs/>
          <w:sz w:val="22"/>
          <w:szCs w:val="22"/>
        </w:rPr>
        <w:t>presupposti d’imposta</w:t>
      </w:r>
      <w:r w:rsidRPr="007F7EBF">
        <w:rPr>
          <w:bCs/>
          <w:sz w:val="22"/>
          <w:szCs w:val="22"/>
        </w:rPr>
        <w:t xml:space="preserve"> sottratt</w:t>
      </w:r>
      <w:r w:rsidR="00C67695">
        <w:rPr>
          <w:bCs/>
          <w:sz w:val="22"/>
          <w:szCs w:val="22"/>
        </w:rPr>
        <w:t>i</w:t>
      </w:r>
      <w:r w:rsidRPr="007F7EBF">
        <w:rPr>
          <w:bCs/>
          <w:sz w:val="22"/>
          <w:szCs w:val="22"/>
        </w:rPr>
        <w:t xml:space="preserve"> al fisco</w:t>
      </w:r>
      <w:r w:rsidR="00A16E1E">
        <w:rPr>
          <w:bCs/>
          <w:sz w:val="22"/>
          <w:szCs w:val="22"/>
        </w:rPr>
        <w:t xml:space="preserve"> presso una controparte ubicata in Italia </w:t>
      </w:r>
      <w:r w:rsidR="00A16E1E" w:rsidRPr="007F7EBF">
        <w:rPr>
          <w:bCs/>
          <w:sz w:val="22"/>
          <w:szCs w:val="22"/>
        </w:rPr>
        <w:t>(</w:t>
      </w:r>
      <w:r w:rsidR="00A16E1E" w:rsidRPr="007F7EBF">
        <w:rPr>
          <w:rStyle w:val="Rimandonotaapidipagina"/>
          <w:bCs/>
          <w:sz w:val="22"/>
          <w:szCs w:val="22"/>
        </w:rPr>
        <w:footnoteReference w:id="370"/>
      </w:r>
      <w:r w:rsidR="00A16E1E" w:rsidRPr="007F7EBF">
        <w:rPr>
          <w:bCs/>
          <w:sz w:val="22"/>
          <w:szCs w:val="22"/>
        </w:rPr>
        <w:t>)</w:t>
      </w:r>
      <w:r w:rsidR="00A16E1E">
        <w:rPr>
          <w:bCs/>
          <w:sz w:val="22"/>
          <w:szCs w:val="22"/>
        </w:rPr>
        <w:t>.</w:t>
      </w:r>
      <w:r w:rsidRPr="007F7EBF">
        <w:rPr>
          <w:bCs/>
          <w:sz w:val="22"/>
          <w:szCs w:val="22"/>
        </w:rPr>
        <w:t xml:space="preserve"> </w:t>
      </w:r>
      <w:r w:rsidR="00C8366A">
        <w:rPr>
          <w:bCs/>
          <w:sz w:val="22"/>
          <w:szCs w:val="22"/>
        </w:rPr>
        <w:t xml:space="preserve">Si ricordi il metodo di utilizzare </w:t>
      </w:r>
      <w:r w:rsidRPr="007F7EBF">
        <w:rPr>
          <w:bCs/>
          <w:sz w:val="22"/>
          <w:szCs w:val="22"/>
        </w:rPr>
        <w:t>controparti estere, che addebitano costi deducibili</w:t>
      </w:r>
      <w:r w:rsidR="00C8366A">
        <w:rPr>
          <w:bCs/>
          <w:sz w:val="22"/>
          <w:szCs w:val="22"/>
        </w:rPr>
        <w:t xml:space="preserve"> “gonfiati”</w:t>
      </w:r>
      <w:r w:rsidRPr="007F7EBF">
        <w:rPr>
          <w:bCs/>
          <w:sz w:val="22"/>
          <w:szCs w:val="22"/>
        </w:rPr>
        <w:t xml:space="preserve">, o </w:t>
      </w:r>
      <w:r w:rsidR="00C8366A">
        <w:rPr>
          <w:bCs/>
          <w:sz w:val="22"/>
          <w:szCs w:val="22"/>
        </w:rPr>
        <w:t>addebitano ai clienti</w:t>
      </w:r>
      <w:r w:rsidRPr="007F7EBF">
        <w:rPr>
          <w:bCs/>
          <w:sz w:val="22"/>
          <w:szCs w:val="22"/>
        </w:rPr>
        <w:t xml:space="preserve"> ricavi sottratti all'azienda residente</w:t>
      </w:r>
      <w:r w:rsidR="00C8366A">
        <w:rPr>
          <w:bCs/>
          <w:sz w:val="22"/>
          <w:szCs w:val="22"/>
        </w:rPr>
        <w:t xml:space="preserve"> (</w:t>
      </w:r>
      <w:r w:rsidR="00C8366A" w:rsidRPr="007F7EBF">
        <w:rPr>
          <w:rStyle w:val="Rimandonotaapidipagina"/>
          <w:sz w:val="22"/>
          <w:szCs w:val="22"/>
        </w:rPr>
        <w:footnoteReference w:id="371"/>
      </w:r>
      <w:r w:rsidR="00C8366A">
        <w:rPr>
          <w:bCs/>
          <w:sz w:val="22"/>
          <w:szCs w:val="22"/>
        </w:rPr>
        <w:t>)</w:t>
      </w:r>
      <w:r w:rsidRPr="007F7EBF">
        <w:rPr>
          <w:bCs/>
          <w:sz w:val="22"/>
          <w:szCs w:val="22"/>
        </w:rPr>
        <w:t xml:space="preserve">. </w:t>
      </w:r>
      <w:r w:rsidRPr="007F7EBF">
        <w:rPr>
          <w:sz w:val="22"/>
          <w:szCs w:val="22"/>
        </w:rPr>
        <w:t xml:space="preserve">Quest'evasione internazionale comporta la costituzione di </w:t>
      </w:r>
      <w:r w:rsidRPr="007F7EBF">
        <w:rPr>
          <w:sz w:val="22"/>
          <w:szCs w:val="22"/>
        </w:rPr>
        <w:lastRenderedPageBreak/>
        <w:t xml:space="preserve">capitali esteri, con somme sostanzialmente evase, ma formatesi secondo regolari canali bancari, a fronte di operazioni formalmente regolari </w:t>
      </w:r>
      <w:r w:rsidR="00C8366A">
        <w:rPr>
          <w:sz w:val="22"/>
          <w:szCs w:val="22"/>
        </w:rPr>
        <w:t>(</w:t>
      </w:r>
      <w:r w:rsidRPr="007F7EBF">
        <w:rPr>
          <w:rStyle w:val="Rimandonotaapidipagina"/>
          <w:sz w:val="22"/>
          <w:szCs w:val="22"/>
        </w:rPr>
        <w:footnoteReference w:id="372"/>
      </w:r>
      <w:r w:rsidR="00C8366A">
        <w:rPr>
          <w:sz w:val="22"/>
          <w:szCs w:val="22"/>
        </w:rPr>
        <w:t>)</w:t>
      </w:r>
      <w:r w:rsidR="00B021AB">
        <w:rPr>
          <w:sz w:val="22"/>
          <w:szCs w:val="22"/>
        </w:rPr>
        <w:t xml:space="preserve">, </w:t>
      </w:r>
      <w:r w:rsidRPr="007F7EBF">
        <w:rPr>
          <w:sz w:val="22"/>
          <w:szCs w:val="22"/>
        </w:rPr>
        <w:t xml:space="preserve">di cui </w:t>
      </w:r>
      <w:r w:rsidR="00B021AB">
        <w:rPr>
          <w:sz w:val="22"/>
          <w:szCs w:val="22"/>
        </w:rPr>
        <w:t xml:space="preserve">riparleremo </w:t>
      </w:r>
      <w:r w:rsidRPr="007F7EBF">
        <w:rPr>
          <w:sz w:val="22"/>
          <w:szCs w:val="22"/>
        </w:rPr>
        <w:t>al par. 7.19</w:t>
      </w:r>
      <w:r w:rsidR="00B021AB">
        <w:rPr>
          <w:sz w:val="22"/>
          <w:szCs w:val="22"/>
        </w:rPr>
        <w:t>. L’</w:t>
      </w:r>
      <w:r w:rsidR="00B021AB" w:rsidRPr="007F7EBF">
        <w:rPr>
          <w:sz w:val="22"/>
          <w:szCs w:val="22"/>
        </w:rPr>
        <w:t xml:space="preserve">“evasione" diventa  </w:t>
      </w:r>
      <w:r w:rsidR="00B7432D">
        <w:rPr>
          <w:sz w:val="22"/>
          <w:szCs w:val="22"/>
        </w:rPr>
        <w:t>“</w:t>
      </w:r>
      <w:r w:rsidR="00B021AB" w:rsidRPr="007F7EBF">
        <w:rPr>
          <w:sz w:val="22"/>
          <w:szCs w:val="22"/>
        </w:rPr>
        <w:t xml:space="preserve">internazionale” anche </w:t>
      </w:r>
      <w:r w:rsidR="00B021AB">
        <w:rPr>
          <w:sz w:val="22"/>
          <w:szCs w:val="22"/>
        </w:rPr>
        <w:t>quando</w:t>
      </w:r>
      <w:r w:rsidR="00B021AB" w:rsidRPr="007F7EBF">
        <w:rPr>
          <w:sz w:val="22"/>
          <w:szCs w:val="22"/>
        </w:rPr>
        <w:t xml:space="preserve"> commessa in Italia, portando successivamente all'estero la ricchezza non registrata, non immediatamente consumata e quindi  materialmente depositata in uno stato diverso</w:t>
      </w:r>
      <w:r w:rsidR="00B021AB">
        <w:rPr>
          <w:sz w:val="22"/>
          <w:szCs w:val="22"/>
        </w:rPr>
        <w:t xml:space="preserve">. </w:t>
      </w:r>
    </w:p>
    <w:p w14:paraId="54D7D04A" w14:textId="13AF96DD" w:rsidR="00C9607D" w:rsidRPr="007F7EBF" w:rsidRDefault="00C9607D" w:rsidP="00C9607D">
      <w:pPr>
        <w:pStyle w:val="tit23"/>
        <w:ind w:left="6464" w:right="-1361" w:firstLine="0"/>
        <w:jc w:val="left"/>
        <w:rPr>
          <w:bCs/>
          <w:i/>
          <w:iCs/>
          <w:color w:val="0000FF"/>
          <w:lang w:val="it-IT"/>
        </w:rPr>
      </w:pPr>
      <w:r>
        <w:rPr>
          <w:bCs/>
          <w:i/>
          <w:iCs/>
          <w:color w:val="0000FF"/>
          <w:lang w:val="it-IT"/>
        </w:rPr>
        <w:t>Simmetrie della funzione tributaria</w:t>
      </w:r>
    </w:p>
    <w:p w14:paraId="2E741085" w14:textId="4E856A10" w:rsidR="00E87FB9" w:rsidRDefault="00B7432D" w:rsidP="00B021AB">
      <w:pPr>
        <w:autoSpaceDE w:val="0"/>
        <w:autoSpaceDN w:val="0"/>
        <w:adjustRightInd w:val="0"/>
        <w:rPr>
          <w:sz w:val="22"/>
          <w:szCs w:val="22"/>
        </w:rPr>
      </w:pPr>
      <w:r>
        <w:rPr>
          <w:sz w:val="22"/>
          <w:szCs w:val="22"/>
        </w:rPr>
        <w:t xml:space="preserve">Anche in questo caso </w:t>
      </w:r>
      <w:r w:rsidR="00B021AB">
        <w:rPr>
          <w:sz w:val="22"/>
          <w:szCs w:val="22"/>
        </w:rPr>
        <w:t>la filiera dell</w:t>
      </w:r>
      <w:r>
        <w:rPr>
          <w:sz w:val="22"/>
          <w:szCs w:val="22"/>
        </w:rPr>
        <w:t>’evasione deve ancora concludersi,</w:t>
      </w:r>
      <w:r w:rsidR="00B021AB">
        <w:rPr>
          <w:sz w:val="22"/>
          <w:szCs w:val="22"/>
        </w:rPr>
        <w:t xml:space="preserve">, in quanto </w:t>
      </w:r>
      <w:r>
        <w:rPr>
          <w:sz w:val="22"/>
          <w:szCs w:val="22"/>
        </w:rPr>
        <w:t>essa</w:t>
      </w:r>
      <w:r w:rsidR="00B021AB">
        <w:rPr>
          <w:sz w:val="22"/>
          <w:szCs w:val="22"/>
        </w:rPr>
        <w:t xml:space="preserve"> può essere individuata nel passaggio successivo, quando le risorse vengono materialmente spese, o inserite nella diretta sfera patrimoniale, del relativo titolare</w:t>
      </w:r>
      <w:r w:rsidR="007C5675">
        <w:rPr>
          <w:sz w:val="22"/>
          <w:szCs w:val="22"/>
        </w:rPr>
        <w:t xml:space="preserve"> </w:t>
      </w:r>
      <w:r w:rsidR="00B021AB" w:rsidRPr="007F7EBF">
        <w:rPr>
          <w:sz w:val="22"/>
          <w:szCs w:val="22"/>
        </w:rPr>
        <w:t>(</w:t>
      </w:r>
      <w:r w:rsidR="00B021AB" w:rsidRPr="007F7EBF">
        <w:rPr>
          <w:rStyle w:val="Rimandonotaapidipagina"/>
          <w:sz w:val="22"/>
          <w:szCs w:val="22"/>
        </w:rPr>
        <w:footnoteReference w:id="373"/>
      </w:r>
      <w:r w:rsidR="00B021AB" w:rsidRPr="007F7EBF">
        <w:rPr>
          <w:sz w:val="22"/>
          <w:szCs w:val="22"/>
        </w:rPr>
        <w:t>).</w:t>
      </w:r>
    </w:p>
    <w:p w14:paraId="3FD65B8F" w14:textId="60791AC2" w:rsidR="00C9607D" w:rsidRPr="007F7EBF" w:rsidRDefault="00C9607D" w:rsidP="00B021AB">
      <w:pPr>
        <w:autoSpaceDE w:val="0"/>
        <w:autoSpaceDN w:val="0"/>
        <w:adjustRightInd w:val="0"/>
        <w:rPr>
          <w:sz w:val="22"/>
          <w:szCs w:val="22"/>
        </w:rPr>
      </w:pPr>
      <w:r>
        <w:rPr>
          <w:sz w:val="22"/>
          <w:szCs w:val="22"/>
        </w:rPr>
        <w:t xml:space="preserve">Come si vede la funzione tributaria, intesa come </w:t>
      </w:r>
      <w:r w:rsidR="00305357">
        <w:rPr>
          <w:sz w:val="22"/>
          <w:szCs w:val="22"/>
        </w:rPr>
        <w:t>specificazione</w:t>
      </w:r>
      <w:r>
        <w:rPr>
          <w:sz w:val="22"/>
          <w:szCs w:val="22"/>
        </w:rPr>
        <w:t xml:space="preserve"> dell</w:t>
      </w:r>
      <w:r w:rsidR="00305357">
        <w:rPr>
          <w:sz w:val="22"/>
          <w:szCs w:val="22"/>
        </w:rPr>
        <w:t>e astrazioni economiche di cui al par.1.8</w:t>
      </w:r>
      <w:r>
        <w:rPr>
          <w:sz w:val="22"/>
          <w:szCs w:val="22"/>
        </w:rPr>
        <w:t>, riporta a sistema vicende relative a soggetti diversi, anni diversi, stati diversi, secondo la teoria delle simmetrie della tassazione attraverso le aziende</w:t>
      </w:r>
      <w:r w:rsidR="00B7432D">
        <w:rPr>
          <w:sz w:val="22"/>
          <w:szCs w:val="22"/>
        </w:rPr>
        <w:t xml:space="preserve">, su cui si veda il </w:t>
      </w:r>
      <w:r>
        <w:rPr>
          <w:sz w:val="22"/>
          <w:szCs w:val="22"/>
        </w:rPr>
        <w:t xml:space="preserve">prossimo paragrafo.  </w:t>
      </w:r>
    </w:p>
    <w:p w14:paraId="35AA8486" w14:textId="6DAFE585" w:rsidR="00ED5CFC" w:rsidRPr="007F7EBF" w:rsidRDefault="006342C5" w:rsidP="00ED5CFC">
      <w:pPr>
        <w:pStyle w:val="Titolo3"/>
        <w:rPr>
          <w:rFonts w:ascii="Times New Roman" w:hAnsi="Times New Roman"/>
          <w:sz w:val="22"/>
          <w:szCs w:val="22"/>
          <w:lang w:val="it-IT"/>
        </w:rPr>
      </w:pPr>
      <w:bookmarkStart w:id="43" w:name="_Toc63364959"/>
      <w:r w:rsidRPr="007F7EBF">
        <w:rPr>
          <w:rFonts w:ascii="Times New Roman" w:hAnsi="Times New Roman"/>
          <w:sz w:val="22"/>
          <w:szCs w:val="22"/>
        </w:rPr>
        <w:t xml:space="preserve">3.12. Riepilogo: </w:t>
      </w:r>
      <w:r w:rsidR="005D7720">
        <w:rPr>
          <w:rFonts w:ascii="Times New Roman" w:hAnsi="Times New Roman"/>
          <w:sz w:val="22"/>
          <w:szCs w:val="22"/>
          <w:lang w:val="it-IT"/>
        </w:rPr>
        <w:t>Adempimento, evasione e simmetrie della determinazione documentale degli imponibili</w:t>
      </w:r>
      <w:bookmarkEnd w:id="43"/>
    </w:p>
    <w:p w14:paraId="69AAEA16" w14:textId="574F6967" w:rsidR="00ED5CFC" w:rsidRPr="007F7EBF" w:rsidRDefault="00153A37" w:rsidP="00ED5CFC">
      <w:pPr>
        <w:pStyle w:val="tit23"/>
        <w:ind w:left="6464" w:right="-1361" w:firstLine="0"/>
        <w:jc w:val="left"/>
        <w:rPr>
          <w:b/>
          <w:bCs/>
          <w:i/>
          <w:iCs/>
          <w:color w:val="0000FF"/>
          <w:lang w:val="it-IT"/>
        </w:rPr>
      </w:pPr>
      <w:r>
        <w:rPr>
          <w:b/>
          <w:bCs/>
          <w:i/>
          <w:iCs/>
          <w:color w:val="0000FF"/>
          <w:lang w:val="it-IT"/>
        </w:rPr>
        <w:t xml:space="preserve">Correlazioni tra </w:t>
      </w:r>
      <w:r w:rsidR="007832CD">
        <w:rPr>
          <w:b/>
          <w:bCs/>
          <w:i/>
          <w:iCs/>
          <w:color w:val="0000FF"/>
          <w:lang w:val="it-IT"/>
        </w:rPr>
        <w:t>i concetti di cui al par.1.8</w:t>
      </w:r>
      <w:r w:rsidR="00ED5CFC" w:rsidRPr="007F7EBF">
        <w:rPr>
          <w:b/>
          <w:bCs/>
          <w:i/>
          <w:iCs/>
          <w:color w:val="0000FF"/>
          <w:lang w:val="it-IT"/>
        </w:rPr>
        <w:t xml:space="preserve">         </w:t>
      </w:r>
    </w:p>
    <w:p w14:paraId="59992FDB" w14:textId="08F8AA55" w:rsidR="007832CD" w:rsidRPr="007F7EBF" w:rsidRDefault="007832CD" w:rsidP="007832CD">
      <w:pPr>
        <w:autoSpaceDE w:val="0"/>
        <w:autoSpaceDN w:val="0"/>
        <w:adjustRightInd w:val="0"/>
        <w:rPr>
          <w:sz w:val="22"/>
          <w:szCs w:val="22"/>
        </w:rPr>
      </w:pPr>
      <w:r>
        <w:rPr>
          <w:sz w:val="22"/>
          <w:szCs w:val="22"/>
        </w:rPr>
        <w:t>E’ possibile una chiave di lettura complessiva della determinazione documentale degli imponibili fiscali, sia per quanto riguarda l’adempimento sia per quanto riguarda l’evasione. Si tratta dei collegamenti tra i concetti economicamente rilevanti cui si riferiscono le imposte, che ci accompagnano dal p</w:t>
      </w:r>
      <w:r w:rsidR="009F7FA4">
        <w:rPr>
          <w:sz w:val="22"/>
          <w:szCs w:val="22"/>
        </w:rPr>
        <w:t>ar.1.8</w:t>
      </w:r>
      <w:r>
        <w:rPr>
          <w:sz w:val="22"/>
          <w:szCs w:val="22"/>
        </w:rPr>
        <w:t xml:space="preserve">. </w:t>
      </w:r>
      <w:r w:rsidR="008F2D25">
        <w:rPr>
          <w:sz w:val="22"/>
          <w:szCs w:val="22"/>
        </w:rPr>
        <w:t xml:space="preserve">Esempio macroscopici sono quelli secondo cui </w:t>
      </w:r>
      <w:r>
        <w:rPr>
          <w:sz w:val="22"/>
          <w:szCs w:val="22"/>
        </w:rPr>
        <w:t>i costi registrati</w:t>
      </w:r>
      <w:r w:rsidR="008F2D25">
        <w:rPr>
          <w:sz w:val="22"/>
          <w:szCs w:val="22"/>
        </w:rPr>
        <w:t>, ad esempio per materie prime o lavoro dipendente,</w:t>
      </w:r>
      <w:r>
        <w:rPr>
          <w:sz w:val="22"/>
          <w:szCs w:val="22"/>
        </w:rPr>
        <w:t xml:space="preserve"> </w:t>
      </w:r>
      <w:r w:rsidR="00153A37">
        <w:rPr>
          <w:sz w:val="22"/>
          <w:szCs w:val="22"/>
        </w:rPr>
        <w:t xml:space="preserve">sono un indizio </w:t>
      </w:r>
      <w:r w:rsidR="008F2D25">
        <w:rPr>
          <w:sz w:val="22"/>
          <w:szCs w:val="22"/>
        </w:rPr>
        <w:t>dei</w:t>
      </w:r>
      <w:r w:rsidR="00153A37">
        <w:rPr>
          <w:sz w:val="22"/>
          <w:szCs w:val="22"/>
        </w:rPr>
        <w:t xml:space="preserve"> ricavi</w:t>
      </w:r>
      <w:r w:rsidR="008F2D25">
        <w:rPr>
          <w:sz w:val="22"/>
          <w:szCs w:val="22"/>
        </w:rPr>
        <w:t xml:space="preserve"> ad essi correlati. </w:t>
      </w:r>
    </w:p>
    <w:p w14:paraId="64CDC49D" w14:textId="642344E6" w:rsidR="007832CD" w:rsidRPr="007F7EBF" w:rsidRDefault="007832CD" w:rsidP="007832CD">
      <w:pPr>
        <w:pStyle w:val="tit23"/>
        <w:ind w:left="6464" w:right="-1361" w:firstLine="0"/>
        <w:jc w:val="left"/>
        <w:rPr>
          <w:b/>
          <w:bCs/>
          <w:i/>
          <w:iCs/>
          <w:color w:val="0000FF"/>
          <w:lang w:val="it-IT"/>
        </w:rPr>
      </w:pPr>
      <w:r>
        <w:rPr>
          <w:b/>
          <w:bCs/>
          <w:i/>
          <w:iCs/>
          <w:color w:val="0000FF"/>
          <w:lang w:val="it-IT"/>
        </w:rPr>
        <w:lastRenderedPageBreak/>
        <w:t xml:space="preserve">Costi </w:t>
      </w:r>
      <w:r w:rsidR="008F2D25">
        <w:rPr>
          <w:b/>
          <w:bCs/>
          <w:i/>
          <w:iCs/>
          <w:color w:val="0000FF"/>
          <w:lang w:val="it-IT"/>
        </w:rPr>
        <w:t>registrati com</w:t>
      </w:r>
      <w:r>
        <w:rPr>
          <w:b/>
          <w:bCs/>
          <w:i/>
          <w:iCs/>
          <w:color w:val="0000FF"/>
          <w:lang w:val="it-IT"/>
        </w:rPr>
        <w:t xml:space="preserve">e indizio di ricavi </w:t>
      </w:r>
      <w:r w:rsidRPr="007F7EBF">
        <w:rPr>
          <w:b/>
          <w:bCs/>
          <w:i/>
          <w:iCs/>
          <w:color w:val="0000FF"/>
          <w:lang w:val="it-IT"/>
        </w:rPr>
        <w:t xml:space="preserve">   </w:t>
      </w:r>
      <w:r w:rsidR="008F2D25">
        <w:rPr>
          <w:b/>
          <w:bCs/>
          <w:i/>
          <w:iCs/>
          <w:color w:val="0000FF"/>
          <w:lang w:val="it-IT"/>
        </w:rPr>
        <w:t>evasi</w:t>
      </w:r>
      <w:r w:rsidRPr="007F7EBF">
        <w:rPr>
          <w:b/>
          <w:bCs/>
          <w:i/>
          <w:iCs/>
          <w:color w:val="0000FF"/>
          <w:lang w:val="it-IT"/>
        </w:rPr>
        <w:t xml:space="preserve">      </w:t>
      </w:r>
    </w:p>
    <w:p w14:paraId="49517C2F" w14:textId="77777777" w:rsidR="008F2D25" w:rsidRDefault="008F2D25" w:rsidP="00615742">
      <w:pPr>
        <w:autoSpaceDE w:val="0"/>
        <w:autoSpaceDN w:val="0"/>
        <w:adjustRightInd w:val="0"/>
        <w:rPr>
          <w:sz w:val="22"/>
          <w:szCs w:val="22"/>
        </w:rPr>
      </w:pPr>
      <w:r>
        <w:rPr>
          <w:sz w:val="22"/>
          <w:szCs w:val="22"/>
        </w:rPr>
        <w:t xml:space="preserve">Pertanto, quando un operatore registra costi elevati, senza proporzionali </w:t>
      </w:r>
    </w:p>
    <w:p w14:paraId="48DA48B5" w14:textId="7C48DD72" w:rsidR="00B06347" w:rsidRPr="007F7EBF" w:rsidRDefault="008F2D25" w:rsidP="00B06347">
      <w:pPr>
        <w:autoSpaceDE w:val="0"/>
        <w:autoSpaceDN w:val="0"/>
        <w:adjustRightInd w:val="0"/>
        <w:rPr>
          <w:sz w:val="22"/>
          <w:szCs w:val="22"/>
        </w:rPr>
      </w:pPr>
      <w:r>
        <w:rPr>
          <w:sz w:val="22"/>
          <w:szCs w:val="22"/>
        </w:rPr>
        <w:t xml:space="preserve">ricavi ad essi collegati, è fortemente sospettabile di aver occultato questi ultimi; certo, sono possibili eventi straordinari, come furti o distruzioni delle merci acquistate, che però dovrà essere il contribuente a dimostrare, trattandosi di eventi anomali, accaduti nella sua sfera individuale, e di cui l’ufficio non può avere alcuna autonoma evidenza. </w:t>
      </w:r>
      <w:r w:rsidR="00153A37">
        <w:rPr>
          <w:sz w:val="22"/>
          <w:szCs w:val="22"/>
        </w:rPr>
        <w:t xml:space="preserve"> I piccoli commercianti</w:t>
      </w:r>
      <w:r>
        <w:rPr>
          <w:sz w:val="22"/>
          <w:szCs w:val="22"/>
        </w:rPr>
        <w:t xml:space="preserve"> tendono quindi </w:t>
      </w:r>
      <w:r w:rsidR="00153A37">
        <w:rPr>
          <w:sz w:val="22"/>
          <w:szCs w:val="22"/>
        </w:rPr>
        <w:t xml:space="preserve">coerentemente </w:t>
      </w:r>
      <w:r w:rsidR="00B06347">
        <w:rPr>
          <w:sz w:val="22"/>
          <w:szCs w:val="22"/>
        </w:rPr>
        <w:t xml:space="preserve">ad </w:t>
      </w:r>
      <w:r w:rsidR="00153A37">
        <w:rPr>
          <w:sz w:val="22"/>
          <w:szCs w:val="22"/>
        </w:rPr>
        <w:t xml:space="preserve">occultare </w:t>
      </w:r>
      <w:r w:rsidR="00B06347">
        <w:rPr>
          <w:sz w:val="22"/>
          <w:szCs w:val="22"/>
        </w:rPr>
        <w:t xml:space="preserve">anche i </w:t>
      </w:r>
      <w:r w:rsidR="00153A37">
        <w:rPr>
          <w:sz w:val="22"/>
          <w:szCs w:val="22"/>
        </w:rPr>
        <w:t xml:space="preserve">costi, </w:t>
      </w:r>
      <w:r w:rsidR="00B06347">
        <w:rPr>
          <w:sz w:val="22"/>
          <w:szCs w:val="22"/>
        </w:rPr>
        <w:t xml:space="preserve">in modo che non siano </w:t>
      </w:r>
      <w:r w:rsidR="00153A37">
        <w:rPr>
          <w:sz w:val="22"/>
          <w:szCs w:val="22"/>
        </w:rPr>
        <w:t xml:space="preserve">un indizio di </w:t>
      </w:r>
      <w:r w:rsidR="00B06347">
        <w:rPr>
          <w:sz w:val="22"/>
          <w:szCs w:val="22"/>
        </w:rPr>
        <w:t>ricavi non registrati</w:t>
      </w:r>
      <w:r w:rsidR="00153A37">
        <w:rPr>
          <w:sz w:val="22"/>
          <w:szCs w:val="22"/>
        </w:rPr>
        <w:t xml:space="preserve">, </w:t>
      </w:r>
      <w:r w:rsidR="00B06347">
        <w:rPr>
          <w:sz w:val="22"/>
          <w:szCs w:val="22"/>
        </w:rPr>
        <w:t xml:space="preserve">secondo presunzioni meglio descritte </w:t>
      </w:r>
      <w:r w:rsidR="00153A37">
        <w:rPr>
          <w:sz w:val="22"/>
          <w:szCs w:val="22"/>
        </w:rPr>
        <w:t>al par.</w:t>
      </w:r>
      <w:r w:rsidR="00A17AB0">
        <w:rPr>
          <w:sz w:val="22"/>
          <w:szCs w:val="22"/>
        </w:rPr>
        <w:t>5.1</w:t>
      </w:r>
      <w:r w:rsidR="00153A37">
        <w:rPr>
          <w:sz w:val="22"/>
          <w:szCs w:val="22"/>
        </w:rPr>
        <w:t>3</w:t>
      </w:r>
      <w:r w:rsidR="00A17AB0">
        <w:rPr>
          <w:sz w:val="22"/>
          <w:szCs w:val="22"/>
        </w:rPr>
        <w:t>(</w:t>
      </w:r>
      <w:r w:rsidR="00A17AB0" w:rsidRPr="007F7EBF">
        <w:rPr>
          <w:rStyle w:val="Rimandonotaapidipagina"/>
          <w:sz w:val="22"/>
          <w:szCs w:val="22"/>
        </w:rPr>
        <w:footnoteReference w:id="374"/>
      </w:r>
      <w:r w:rsidR="00A17AB0">
        <w:rPr>
          <w:sz w:val="22"/>
          <w:szCs w:val="22"/>
        </w:rPr>
        <w:t xml:space="preserve">). </w:t>
      </w:r>
    </w:p>
    <w:p w14:paraId="79242FC0" w14:textId="29CE6166" w:rsidR="00B06347" w:rsidRPr="007F7EBF" w:rsidRDefault="00B06347" w:rsidP="00B06347">
      <w:pPr>
        <w:pStyle w:val="tit23"/>
        <w:ind w:left="6464" w:right="-1361" w:firstLine="0"/>
        <w:jc w:val="left"/>
        <w:rPr>
          <w:b/>
          <w:bCs/>
          <w:i/>
          <w:iCs/>
          <w:color w:val="0000FF"/>
          <w:lang w:val="it-IT"/>
        </w:rPr>
      </w:pPr>
      <w:r>
        <w:rPr>
          <w:b/>
          <w:bCs/>
          <w:i/>
          <w:iCs/>
          <w:color w:val="0000FF"/>
          <w:lang w:val="it-IT"/>
        </w:rPr>
        <w:t>Tendenza a superare di poco il “pareggio fiscale”</w:t>
      </w:r>
      <w:r w:rsidRPr="007F7EBF">
        <w:rPr>
          <w:b/>
          <w:bCs/>
          <w:i/>
          <w:iCs/>
          <w:color w:val="0000FF"/>
          <w:lang w:val="it-IT"/>
        </w:rPr>
        <w:t xml:space="preserve">      </w:t>
      </w:r>
    </w:p>
    <w:p w14:paraId="1B94C7CF" w14:textId="77777777" w:rsidR="00B06347" w:rsidRPr="007F7EBF" w:rsidRDefault="00A17AB0" w:rsidP="00B06347">
      <w:pPr>
        <w:autoSpaceDE w:val="0"/>
        <w:autoSpaceDN w:val="0"/>
        <w:adjustRightInd w:val="0"/>
        <w:rPr>
          <w:sz w:val="22"/>
          <w:szCs w:val="22"/>
        </w:rPr>
      </w:pPr>
      <w:r>
        <w:rPr>
          <w:sz w:val="22"/>
          <w:szCs w:val="22"/>
        </w:rPr>
        <w:t xml:space="preserve">Un simmetrico occultamento di ricavi e di costi contrasta però la </w:t>
      </w:r>
      <w:r w:rsidRPr="007F7EBF">
        <w:rPr>
          <w:sz w:val="22"/>
          <w:szCs w:val="22"/>
        </w:rPr>
        <w:t>tendenza delle organizzazioni, anche piccole, a registrare, per motivi di controllo interno, tutti i costi</w:t>
      </w:r>
      <w:r w:rsidR="00B06347">
        <w:rPr>
          <w:sz w:val="22"/>
          <w:szCs w:val="22"/>
        </w:rPr>
        <w:t xml:space="preserve">. Inoltre </w:t>
      </w:r>
      <w:r>
        <w:rPr>
          <w:sz w:val="22"/>
          <w:szCs w:val="22"/>
        </w:rPr>
        <w:t xml:space="preserve">alcuni </w:t>
      </w:r>
      <w:r w:rsidR="00B06347">
        <w:rPr>
          <w:sz w:val="22"/>
          <w:szCs w:val="22"/>
        </w:rPr>
        <w:t xml:space="preserve">costi </w:t>
      </w:r>
      <w:r>
        <w:rPr>
          <w:sz w:val="22"/>
          <w:szCs w:val="22"/>
        </w:rPr>
        <w:t xml:space="preserve">hanno una loro visibilità intrinseca, come </w:t>
      </w:r>
      <w:r w:rsidR="00B06347">
        <w:rPr>
          <w:sz w:val="22"/>
          <w:szCs w:val="22"/>
        </w:rPr>
        <w:t xml:space="preserve">quelli per locazioni e </w:t>
      </w:r>
      <w:r>
        <w:rPr>
          <w:sz w:val="22"/>
          <w:szCs w:val="22"/>
        </w:rPr>
        <w:t>per lavoro dipendente</w:t>
      </w:r>
      <w:r w:rsidR="00B06347">
        <w:rPr>
          <w:sz w:val="22"/>
          <w:szCs w:val="22"/>
        </w:rPr>
        <w:t>. La tendenza sarebbe quella di reg</w:t>
      </w:r>
      <w:r>
        <w:rPr>
          <w:sz w:val="22"/>
          <w:szCs w:val="22"/>
        </w:rPr>
        <w:t xml:space="preserve">istrare </w:t>
      </w:r>
      <w:r w:rsidRPr="007F7EBF">
        <w:rPr>
          <w:sz w:val="22"/>
          <w:szCs w:val="22"/>
        </w:rPr>
        <w:t xml:space="preserve">un ammontare di ricavi </w:t>
      </w:r>
      <w:r w:rsidR="00B06347">
        <w:rPr>
          <w:sz w:val="22"/>
          <w:szCs w:val="22"/>
        </w:rPr>
        <w:t xml:space="preserve">poco superiore a quello necessario a </w:t>
      </w:r>
      <w:r w:rsidRPr="007F7EBF">
        <w:rPr>
          <w:sz w:val="22"/>
          <w:szCs w:val="22"/>
        </w:rPr>
        <w:t>coprir</w:t>
      </w:r>
      <w:r>
        <w:rPr>
          <w:sz w:val="22"/>
          <w:szCs w:val="22"/>
        </w:rPr>
        <w:t>e questi costi (</w:t>
      </w:r>
      <w:r w:rsidRPr="007F7EBF">
        <w:rPr>
          <w:rStyle w:val="Rimandonotaapidipagina"/>
          <w:sz w:val="22"/>
          <w:szCs w:val="22"/>
        </w:rPr>
        <w:footnoteReference w:id="375"/>
      </w:r>
      <w:r>
        <w:rPr>
          <w:sz w:val="22"/>
          <w:szCs w:val="22"/>
        </w:rPr>
        <w:t>)</w:t>
      </w:r>
      <w:r w:rsidRPr="007F7EBF">
        <w:rPr>
          <w:sz w:val="22"/>
          <w:szCs w:val="22"/>
        </w:rPr>
        <w:t>. Una volta</w:t>
      </w:r>
      <w:r w:rsidR="00B06347">
        <w:rPr>
          <w:sz w:val="22"/>
          <w:szCs w:val="22"/>
        </w:rPr>
        <w:t xml:space="preserve"> </w:t>
      </w:r>
      <w:r w:rsidRPr="007F7EBF">
        <w:rPr>
          <w:sz w:val="22"/>
          <w:szCs w:val="22"/>
        </w:rPr>
        <w:t>raggiunto</w:t>
      </w:r>
      <w:r w:rsidR="00B06347">
        <w:rPr>
          <w:sz w:val="22"/>
          <w:szCs w:val="22"/>
        </w:rPr>
        <w:t xml:space="preserve"> così</w:t>
      </w:r>
      <w:r w:rsidRPr="007F7EBF">
        <w:rPr>
          <w:sz w:val="22"/>
          <w:szCs w:val="22"/>
        </w:rPr>
        <w:t xml:space="preserve"> il c.d. pareggio fiscale, il titolare </w:t>
      </w:r>
      <w:r w:rsidR="00B06347">
        <w:rPr>
          <w:sz w:val="22"/>
          <w:szCs w:val="22"/>
        </w:rPr>
        <w:t xml:space="preserve">si dichiarerà un po' di reddito, e il titolare </w:t>
      </w:r>
      <w:r w:rsidRPr="007F7EBF">
        <w:rPr>
          <w:sz w:val="22"/>
          <w:szCs w:val="22"/>
        </w:rPr>
        <w:t xml:space="preserve">cercherà </w:t>
      </w:r>
      <w:r w:rsidR="00B06347">
        <w:rPr>
          <w:sz w:val="22"/>
          <w:szCs w:val="22"/>
        </w:rPr>
        <w:t xml:space="preserve">poi </w:t>
      </w:r>
      <w:r w:rsidRPr="007F7EBF">
        <w:rPr>
          <w:sz w:val="22"/>
          <w:szCs w:val="22"/>
        </w:rPr>
        <w:t>di acquisire in proprio</w:t>
      </w:r>
      <w:r w:rsidR="00B06347">
        <w:rPr>
          <w:sz w:val="22"/>
          <w:szCs w:val="22"/>
        </w:rPr>
        <w:t xml:space="preserve"> ulteriori</w:t>
      </w:r>
      <w:r w:rsidRPr="007F7EBF">
        <w:rPr>
          <w:sz w:val="22"/>
          <w:szCs w:val="22"/>
        </w:rPr>
        <w:t xml:space="preserve"> ricavi non registrati. </w:t>
      </w:r>
    </w:p>
    <w:p w14:paraId="35C20A92" w14:textId="38297C54" w:rsidR="00B06347" w:rsidRPr="007F7EBF" w:rsidRDefault="00B06347" w:rsidP="00B06347">
      <w:pPr>
        <w:pStyle w:val="tit23"/>
        <w:ind w:left="6464" w:right="-1361" w:firstLine="0"/>
        <w:jc w:val="left"/>
        <w:rPr>
          <w:bCs/>
          <w:i/>
          <w:iCs/>
          <w:color w:val="0000FF"/>
          <w:lang w:val="it-IT"/>
        </w:rPr>
      </w:pPr>
      <w:r>
        <w:rPr>
          <w:bCs/>
          <w:i/>
          <w:iCs/>
          <w:color w:val="0000FF"/>
          <w:lang w:val="it-IT"/>
        </w:rPr>
        <w:t xml:space="preserve">Squilibri per </w:t>
      </w:r>
      <w:r w:rsidRPr="007F7EBF">
        <w:rPr>
          <w:bCs/>
          <w:i/>
          <w:iCs/>
          <w:color w:val="0000FF"/>
          <w:lang w:val="it-IT"/>
        </w:rPr>
        <w:t xml:space="preserve">costi non gravati di IVA </w:t>
      </w:r>
      <w:r w:rsidRPr="007F7EBF">
        <w:rPr>
          <w:bCs/>
          <w:i/>
          <w:iCs/>
          <w:color w:val="0000FF"/>
          <w:lang w:val="it-IT"/>
        </w:rPr>
        <w:lastRenderedPageBreak/>
        <w:t>(personale, interessi etc.)</w:t>
      </w:r>
    </w:p>
    <w:p w14:paraId="7CA8A7CF" w14:textId="77777777" w:rsidR="006A7730" w:rsidRDefault="00A17AB0" w:rsidP="006A7730">
      <w:pPr>
        <w:autoSpaceDE w:val="0"/>
        <w:autoSpaceDN w:val="0"/>
        <w:adjustRightInd w:val="0"/>
        <w:rPr>
          <w:sz w:val="22"/>
          <w:szCs w:val="22"/>
        </w:rPr>
      </w:pPr>
      <w:r>
        <w:rPr>
          <w:sz w:val="22"/>
          <w:szCs w:val="22"/>
        </w:rPr>
        <w:t>Alcuni costi “visibili” e da registrare , come lavoro e interessi passivi, sono però esclusi da IVA, mentre i ricavi sono generalmente tutti imponibili</w:t>
      </w:r>
      <w:r w:rsidR="006A22F0">
        <w:rPr>
          <w:sz w:val="22"/>
          <w:szCs w:val="22"/>
        </w:rPr>
        <w:t>, Q</w:t>
      </w:r>
      <w:r>
        <w:rPr>
          <w:sz w:val="22"/>
          <w:szCs w:val="22"/>
        </w:rPr>
        <w:t>uindi a</w:t>
      </w:r>
      <w:r w:rsidR="00661FB7" w:rsidRPr="007F7EBF">
        <w:rPr>
          <w:sz w:val="22"/>
          <w:szCs w:val="22"/>
        </w:rPr>
        <w:t xml:space="preserve">nche il solo </w:t>
      </w:r>
      <w:r w:rsidR="00B752DD" w:rsidRPr="007F7EBF">
        <w:rPr>
          <w:sz w:val="22"/>
          <w:szCs w:val="22"/>
        </w:rPr>
        <w:t>pareggio tra ricavi e costi</w:t>
      </w:r>
      <w:r w:rsidR="00661FB7" w:rsidRPr="007F7EBF">
        <w:rPr>
          <w:sz w:val="22"/>
          <w:szCs w:val="22"/>
        </w:rPr>
        <w:t xml:space="preserve"> provoca un debito di </w:t>
      </w:r>
      <w:r>
        <w:rPr>
          <w:sz w:val="22"/>
          <w:szCs w:val="22"/>
        </w:rPr>
        <w:t>IVA</w:t>
      </w:r>
      <w:r w:rsidR="006A22F0">
        <w:rPr>
          <w:sz w:val="22"/>
          <w:szCs w:val="22"/>
        </w:rPr>
        <w:t xml:space="preserve">, il che </w:t>
      </w:r>
      <w:r w:rsidR="00E0676B" w:rsidRPr="007F7EBF">
        <w:rPr>
          <w:sz w:val="22"/>
          <w:szCs w:val="22"/>
        </w:rPr>
        <w:t>spinge</w:t>
      </w:r>
      <w:r w:rsidR="00415915" w:rsidRPr="007F7EBF">
        <w:rPr>
          <w:sz w:val="22"/>
          <w:szCs w:val="22"/>
        </w:rPr>
        <w:t xml:space="preserve"> </w:t>
      </w:r>
      <w:r w:rsidR="00661FB7" w:rsidRPr="007F7EBF">
        <w:rPr>
          <w:sz w:val="22"/>
          <w:szCs w:val="22"/>
        </w:rPr>
        <w:t>a evidenziare</w:t>
      </w:r>
      <w:r w:rsidR="00B22FF5" w:rsidRPr="007F7EBF">
        <w:rPr>
          <w:sz w:val="22"/>
          <w:szCs w:val="22"/>
        </w:rPr>
        <w:t xml:space="preserve"> </w:t>
      </w:r>
      <w:r w:rsidR="00661FB7" w:rsidRPr="007F7EBF">
        <w:rPr>
          <w:sz w:val="22"/>
          <w:szCs w:val="22"/>
        </w:rPr>
        <w:t>per primi</w:t>
      </w:r>
      <w:r w:rsidR="00E0676B" w:rsidRPr="007F7EBF">
        <w:rPr>
          <w:sz w:val="22"/>
          <w:szCs w:val="22"/>
        </w:rPr>
        <w:t xml:space="preserve"> ricavi </w:t>
      </w:r>
      <w:r w:rsidR="00B31668" w:rsidRPr="007F7EBF">
        <w:rPr>
          <w:sz w:val="22"/>
          <w:szCs w:val="22"/>
        </w:rPr>
        <w:t xml:space="preserve">verso </w:t>
      </w:r>
      <w:r w:rsidR="00E0676B" w:rsidRPr="007F7EBF">
        <w:rPr>
          <w:sz w:val="22"/>
          <w:szCs w:val="22"/>
        </w:rPr>
        <w:t>altri operatori economici</w:t>
      </w:r>
      <w:r w:rsidR="00E548B5">
        <w:rPr>
          <w:sz w:val="22"/>
          <w:szCs w:val="22"/>
        </w:rPr>
        <w:t>(</w:t>
      </w:r>
      <w:r w:rsidR="008F4029" w:rsidRPr="007F7EBF">
        <w:rPr>
          <w:rStyle w:val="Rimandonotaapidipagina"/>
          <w:sz w:val="22"/>
          <w:szCs w:val="22"/>
        </w:rPr>
        <w:footnoteReference w:id="376"/>
      </w:r>
      <w:r w:rsidR="00E548B5">
        <w:rPr>
          <w:sz w:val="22"/>
          <w:szCs w:val="22"/>
        </w:rPr>
        <w:t>)</w:t>
      </w:r>
      <w:r w:rsidR="00E0676B" w:rsidRPr="007F7EBF">
        <w:rPr>
          <w:sz w:val="22"/>
          <w:szCs w:val="22"/>
        </w:rPr>
        <w:t xml:space="preserve">, </w:t>
      </w:r>
      <w:r w:rsidR="00661FB7" w:rsidRPr="007F7EBF">
        <w:rPr>
          <w:sz w:val="22"/>
          <w:szCs w:val="22"/>
        </w:rPr>
        <w:t xml:space="preserve"> che </w:t>
      </w:r>
      <w:r w:rsidR="008A2DC3" w:rsidRPr="007F7EBF">
        <w:rPr>
          <w:sz w:val="22"/>
          <w:szCs w:val="22"/>
        </w:rPr>
        <w:t>detraggono l'IVA</w:t>
      </w:r>
      <w:r w:rsidR="00E548B5">
        <w:rPr>
          <w:sz w:val="22"/>
          <w:szCs w:val="22"/>
        </w:rPr>
        <w:t xml:space="preserve">, </w:t>
      </w:r>
      <w:r w:rsidR="009F7FA4">
        <w:rPr>
          <w:sz w:val="22"/>
          <w:szCs w:val="22"/>
        </w:rPr>
        <w:t>e quindi ne subiscono indifferentemente l’addebito, occultando invece i ricavi verso privati consumatori</w:t>
      </w:r>
      <w:r w:rsidR="006A22F0">
        <w:rPr>
          <w:sz w:val="22"/>
          <w:szCs w:val="22"/>
        </w:rPr>
        <w:t xml:space="preserve">. </w:t>
      </w:r>
      <w:r w:rsidR="009F7FA4">
        <w:rPr>
          <w:sz w:val="22"/>
          <w:szCs w:val="22"/>
        </w:rPr>
        <w:t xml:space="preserve">Si </w:t>
      </w:r>
      <w:r w:rsidR="00E548B5">
        <w:rPr>
          <w:sz w:val="22"/>
          <w:szCs w:val="22"/>
        </w:rPr>
        <w:t>conferma</w:t>
      </w:r>
      <w:r w:rsidR="009F7FA4">
        <w:rPr>
          <w:sz w:val="22"/>
          <w:szCs w:val="22"/>
        </w:rPr>
        <w:t xml:space="preserve"> così</w:t>
      </w:r>
      <w:r w:rsidR="00E548B5">
        <w:rPr>
          <w:sz w:val="22"/>
          <w:szCs w:val="22"/>
        </w:rPr>
        <w:t xml:space="preserve"> che l’evasione </w:t>
      </w:r>
      <w:r w:rsidR="006A22F0">
        <w:rPr>
          <w:sz w:val="22"/>
          <w:szCs w:val="22"/>
        </w:rPr>
        <w:t xml:space="preserve">“da ricavi omessi” deve giungere al </w:t>
      </w:r>
      <w:r w:rsidR="00E548B5">
        <w:rPr>
          <w:sz w:val="22"/>
          <w:szCs w:val="22"/>
        </w:rPr>
        <w:t>consumo finale (</w:t>
      </w:r>
      <w:r w:rsidR="00615742" w:rsidRPr="007F7EBF">
        <w:rPr>
          <w:rStyle w:val="Rimandonotaapidipagina"/>
          <w:sz w:val="22"/>
          <w:szCs w:val="22"/>
        </w:rPr>
        <w:footnoteReference w:id="377"/>
      </w:r>
      <w:r w:rsidR="00E548B5">
        <w:rPr>
          <w:sz w:val="22"/>
          <w:szCs w:val="22"/>
        </w:rPr>
        <w:t>)</w:t>
      </w:r>
      <w:r w:rsidR="006A22F0">
        <w:rPr>
          <w:sz w:val="22"/>
          <w:szCs w:val="22"/>
        </w:rPr>
        <w:t xml:space="preserve"> mentre quella “da costi fittizi” o da consumi finali dedotti come costi (par.7.9 sull’inerenza) può collocarsi in qualsiasi stadio della filiera produttiva; </w:t>
      </w:r>
      <w:r w:rsidR="006A7730">
        <w:rPr>
          <w:sz w:val="22"/>
          <w:szCs w:val="22"/>
        </w:rPr>
        <w:t>qu</w:t>
      </w:r>
      <w:r w:rsidR="00AB6E49" w:rsidRPr="007F7EBF">
        <w:rPr>
          <w:sz w:val="22"/>
          <w:szCs w:val="22"/>
        </w:rPr>
        <w:t xml:space="preserve">ando i clienti </w:t>
      </w:r>
      <w:r w:rsidR="006A22F0">
        <w:rPr>
          <w:sz w:val="22"/>
          <w:szCs w:val="22"/>
        </w:rPr>
        <w:t>finali</w:t>
      </w:r>
      <w:r w:rsidR="000601B7" w:rsidRPr="007F7EBF">
        <w:rPr>
          <w:sz w:val="22"/>
          <w:szCs w:val="22"/>
        </w:rPr>
        <w:t xml:space="preserve"> </w:t>
      </w:r>
      <w:r w:rsidR="009F7FA4">
        <w:rPr>
          <w:sz w:val="22"/>
          <w:szCs w:val="22"/>
        </w:rPr>
        <w:t>so</w:t>
      </w:r>
      <w:r w:rsidR="006A22F0">
        <w:rPr>
          <w:sz w:val="22"/>
          <w:szCs w:val="22"/>
        </w:rPr>
        <w:t>no amministrazioni pubbliche</w:t>
      </w:r>
      <w:r w:rsidR="00AB6E49" w:rsidRPr="007F7EBF">
        <w:rPr>
          <w:sz w:val="22"/>
          <w:szCs w:val="22"/>
        </w:rPr>
        <w:t xml:space="preserve"> </w:t>
      </w:r>
      <w:r w:rsidR="000601B7" w:rsidRPr="007F7EBF">
        <w:rPr>
          <w:sz w:val="22"/>
          <w:szCs w:val="22"/>
        </w:rPr>
        <w:t xml:space="preserve"> che pretendono</w:t>
      </w:r>
      <w:r w:rsidR="00AB6E49" w:rsidRPr="007F7EBF">
        <w:rPr>
          <w:sz w:val="22"/>
          <w:szCs w:val="22"/>
        </w:rPr>
        <w:t xml:space="preserve"> la regolarità fiscale del pagamento</w:t>
      </w:r>
      <w:r w:rsidR="006A22F0">
        <w:rPr>
          <w:sz w:val="22"/>
          <w:szCs w:val="22"/>
        </w:rPr>
        <w:t xml:space="preserve"> </w:t>
      </w:r>
      <w:r w:rsidR="006A22F0" w:rsidRPr="007F7EBF">
        <w:rPr>
          <w:sz w:val="22"/>
          <w:szCs w:val="22"/>
        </w:rPr>
        <w:t>(</w:t>
      </w:r>
      <w:r w:rsidR="006A22F0" w:rsidRPr="007F7EBF">
        <w:rPr>
          <w:rStyle w:val="Rimandonotaapidipagina"/>
          <w:sz w:val="22"/>
          <w:szCs w:val="22"/>
        </w:rPr>
        <w:footnoteReference w:id="378"/>
      </w:r>
      <w:r w:rsidR="006A22F0" w:rsidRPr="007F7EBF">
        <w:rPr>
          <w:sz w:val="22"/>
          <w:szCs w:val="22"/>
        </w:rPr>
        <w:t>)</w:t>
      </w:r>
      <w:r w:rsidR="00AB6E49" w:rsidRPr="007F7EBF">
        <w:rPr>
          <w:sz w:val="22"/>
          <w:szCs w:val="22"/>
        </w:rPr>
        <w:t>, l</w:t>
      </w:r>
      <w:r w:rsidR="007C5675">
        <w:rPr>
          <w:sz w:val="22"/>
          <w:szCs w:val="22"/>
        </w:rPr>
        <w:t xml:space="preserve">’imponibile </w:t>
      </w:r>
      <w:r w:rsidR="00AB6E49" w:rsidRPr="007F7EBF">
        <w:rPr>
          <w:sz w:val="22"/>
          <w:szCs w:val="22"/>
        </w:rPr>
        <w:t>può essere nascost</w:t>
      </w:r>
      <w:r w:rsidR="007C5675">
        <w:rPr>
          <w:sz w:val="22"/>
          <w:szCs w:val="22"/>
        </w:rPr>
        <w:t>o</w:t>
      </w:r>
      <w:r w:rsidR="00AB6E49" w:rsidRPr="007F7EBF">
        <w:rPr>
          <w:sz w:val="22"/>
          <w:szCs w:val="22"/>
        </w:rPr>
        <w:t xml:space="preserve"> al fisco solo registrando costi fittizi</w:t>
      </w:r>
      <w:r w:rsidR="00E548B5">
        <w:rPr>
          <w:sz w:val="22"/>
          <w:szCs w:val="22"/>
        </w:rPr>
        <w:t>(</w:t>
      </w:r>
      <w:r w:rsidR="00AB6E49" w:rsidRPr="007F7EBF">
        <w:rPr>
          <w:rStyle w:val="Rimandonotaapidipagina"/>
          <w:sz w:val="22"/>
          <w:szCs w:val="22"/>
        </w:rPr>
        <w:footnoteReference w:id="379"/>
      </w:r>
      <w:r w:rsidR="00E548B5">
        <w:rPr>
          <w:sz w:val="22"/>
          <w:szCs w:val="22"/>
        </w:rPr>
        <w:t>)</w:t>
      </w:r>
      <w:r w:rsidR="00AB6E49" w:rsidRPr="007F7EBF">
        <w:rPr>
          <w:sz w:val="22"/>
          <w:szCs w:val="22"/>
        </w:rPr>
        <w:t>.</w:t>
      </w:r>
      <w:r w:rsidR="006A7730">
        <w:rPr>
          <w:sz w:val="22"/>
          <w:szCs w:val="22"/>
        </w:rPr>
        <w:t xml:space="preserve"> </w:t>
      </w:r>
    </w:p>
    <w:p w14:paraId="6D3E8611" w14:textId="3582CBE3" w:rsidR="00731B49" w:rsidRPr="007F7EBF" w:rsidRDefault="006A7730" w:rsidP="00731B49">
      <w:pPr>
        <w:autoSpaceDE w:val="0"/>
        <w:autoSpaceDN w:val="0"/>
        <w:adjustRightInd w:val="0"/>
        <w:rPr>
          <w:sz w:val="22"/>
          <w:szCs w:val="22"/>
        </w:rPr>
      </w:pPr>
      <w:r>
        <w:rPr>
          <w:sz w:val="22"/>
          <w:szCs w:val="22"/>
        </w:rPr>
        <w:t>L</w:t>
      </w:r>
      <w:r w:rsidRPr="007F7EBF">
        <w:rPr>
          <w:sz w:val="22"/>
          <w:szCs w:val="22"/>
        </w:rPr>
        <w:t xml:space="preserve">e “frodi IVA” di cui al par.7.3 sono basate sull’asimmetria tra detrazione per il cliente e mancato versamento </w:t>
      </w:r>
      <w:r>
        <w:rPr>
          <w:sz w:val="22"/>
          <w:szCs w:val="22"/>
        </w:rPr>
        <w:t xml:space="preserve">dell’imposta </w:t>
      </w:r>
      <w:r w:rsidRPr="007F7EBF">
        <w:rPr>
          <w:sz w:val="22"/>
          <w:szCs w:val="22"/>
        </w:rPr>
        <w:t>da parte del fornitore.</w:t>
      </w:r>
      <w:r w:rsidR="00731B49" w:rsidRPr="00731B49">
        <w:rPr>
          <w:sz w:val="22"/>
          <w:szCs w:val="22"/>
        </w:rPr>
        <w:t xml:space="preserve"> </w:t>
      </w:r>
    </w:p>
    <w:p w14:paraId="12AA1E5C" w14:textId="1DE9F427" w:rsidR="00731B49" w:rsidRPr="007F7EBF" w:rsidRDefault="00731B49" w:rsidP="00731B49">
      <w:pPr>
        <w:pStyle w:val="tit23"/>
        <w:ind w:left="6464" w:right="-1361" w:firstLine="0"/>
        <w:jc w:val="left"/>
        <w:rPr>
          <w:bCs/>
          <w:i/>
          <w:iCs/>
          <w:color w:val="0000FF"/>
          <w:lang w:val="it-IT"/>
        </w:rPr>
      </w:pPr>
      <w:r>
        <w:rPr>
          <w:bCs/>
          <w:i/>
          <w:iCs/>
          <w:color w:val="0000FF"/>
          <w:lang w:val="it-IT"/>
        </w:rPr>
        <w:t>Simmetrie e determinazione contabile degli imponibili</w:t>
      </w:r>
      <w:r w:rsidRPr="007F7EBF">
        <w:rPr>
          <w:bCs/>
          <w:i/>
          <w:iCs/>
          <w:color w:val="0000FF"/>
          <w:lang w:val="it-IT"/>
        </w:rPr>
        <w:t xml:space="preserve">  </w:t>
      </w:r>
    </w:p>
    <w:p w14:paraId="6D8B06B2" w14:textId="6ABE66E6" w:rsidR="00A90989" w:rsidRPr="007F7EBF" w:rsidRDefault="00BA545E" w:rsidP="00F33BD2">
      <w:pPr>
        <w:autoSpaceDE w:val="0"/>
        <w:autoSpaceDN w:val="0"/>
        <w:adjustRightInd w:val="0"/>
        <w:rPr>
          <w:sz w:val="22"/>
          <w:szCs w:val="22"/>
        </w:rPr>
      </w:pPr>
      <w:r>
        <w:rPr>
          <w:sz w:val="22"/>
          <w:szCs w:val="22"/>
        </w:rPr>
        <w:t xml:space="preserve">La determinazione in modo documentale </w:t>
      </w:r>
      <w:r w:rsidR="009D66F8">
        <w:rPr>
          <w:sz w:val="22"/>
          <w:szCs w:val="22"/>
        </w:rPr>
        <w:t>degli imponibili rende palesi alcune logiche delle astrazioni economiche cui le imposte fanno da sempre riferimento (par.1.8). Si pensi al</w:t>
      </w:r>
      <w:r w:rsidR="00731B49">
        <w:rPr>
          <w:sz w:val="22"/>
          <w:szCs w:val="22"/>
        </w:rPr>
        <w:t xml:space="preserve">la deduzione dei costi, ma non dei consumi, ai fini della determinazione del reddito </w:t>
      </w:r>
      <w:r w:rsidR="00731B49" w:rsidRPr="007F7EBF">
        <w:rPr>
          <w:sz w:val="22"/>
          <w:szCs w:val="22"/>
        </w:rPr>
        <w:t>(</w:t>
      </w:r>
      <w:r w:rsidR="00731B49" w:rsidRPr="007F7EBF">
        <w:rPr>
          <w:rStyle w:val="Rimandonotaapidipagina"/>
          <w:sz w:val="22"/>
          <w:szCs w:val="22"/>
        </w:rPr>
        <w:footnoteReference w:id="380"/>
      </w:r>
      <w:r w:rsidR="00731B49" w:rsidRPr="007F7EBF">
        <w:rPr>
          <w:sz w:val="22"/>
          <w:szCs w:val="22"/>
        </w:rPr>
        <w:t>)</w:t>
      </w:r>
      <w:r w:rsidR="009D66F8">
        <w:rPr>
          <w:sz w:val="22"/>
          <w:szCs w:val="22"/>
        </w:rPr>
        <w:t xml:space="preserve">, come pure all’imponibilità di </w:t>
      </w:r>
      <w:r w:rsidR="00731B49">
        <w:rPr>
          <w:sz w:val="22"/>
          <w:szCs w:val="22"/>
        </w:rPr>
        <w:t xml:space="preserve">quest’ultimo anche </w:t>
      </w:r>
      <w:r w:rsidR="009D66F8">
        <w:rPr>
          <w:sz w:val="22"/>
          <w:szCs w:val="22"/>
        </w:rPr>
        <w:t>quando</w:t>
      </w:r>
      <w:r w:rsidR="00731B49">
        <w:rPr>
          <w:sz w:val="22"/>
          <w:szCs w:val="22"/>
        </w:rPr>
        <w:t xml:space="preserve"> erogato da consumatori finali</w:t>
      </w:r>
      <w:r w:rsidR="009D66F8">
        <w:rPr>
          <w:sz w:val="22"/>
          <w:szCs w:val="22"/>
        </w:rPr>
        <w:t xml:space="preserve">; questi ultimi </w:t>
      </w:r>
      <w:r w:rsidR="00731B49">
        <w:rPr>
          <w:sz w:val="22"/>
          <w:szCs w:val="22"/>
        </w:rPr>
        <w:t>non deducono</w:t>
      </w:r>
      <w:r w:rsidR="009D66F8">
        <w:rPr>
          <w:sz w:val="22"/>
          <w:szCs w:val="22"/>
        </w:rPr>
        <w:t xml:space="preserve"> la spesa</w:t>
      </w:r>
      <w:r w:rsidR="00731B49">
        <w:rPr>
          <w:sz w:val="22"/>
          <w:szCs w:val="22"/>
        </w:rPr>
        <w:t>, in quanto “consumano”</w:t>
      </w:r>
      <w:r w:rsidR="009D66F8">
        <w:rPr>
          <w:sz w:val="22"/>
          <w:szCs w:val="22"/>
        </w:rPr>
        <w:t xml:space="preserve">, ma </w:t>
      </w:r>
      <w:r w:rsidR="009D66F8">
        <w:rPr>
          <w:sz w:val="22"/>
          <w:szCs w:val="22"/>
        </w:rPr>
        <w:lastRenderedPageBreak/>
        <w:t>il reddito dei percettori è imponibile</w:t>
      </w:r>
      <w:r w:rsidR="00731B49">
        <w:rPr>
          <w:sz w:val="22"/>
          <w:szCs w:val="22"/>
        </w:rPr>
        <w:t xml:space="preserve"> (</w:t>
      </w:r>
      <w:r w:rsidR="00731B49">
        <w:rPr>
          <w:rStyle w:val="Rimandonotaapidipagina"/>
          <w:sz w:val="22"/>
          <w:szCs w:val="22"/>
        </w:rPr>
        <w:footnoteReference w:id="381"/>
      </w:r>
      <w:r w:rsidR="00731B49">
        <w:rPr>
          <w:sz w:val="22"/>
          <w:szCs w:val="22"/>
        </w:rPr>
        <w:t>)</w:t>
      </w:r>
      <w:r w:rsidR="00731B49" w:rsidRPr="007F7EBF">
        <w:rPr>
          <w:sz w:val="22"/>
          <w:szCs w:val="22"/>
        </w:rPr>
        <w:t>.</w:t>
      </w:r>
      <w:r w:rsidR="00731B49">
        <w:rPr>
          <w:sz w:val="22"/>
          <w:szCs w:val="22"/>
        </w:rPr>
        <w:t xml:space="preserve"> Queste correlazioni economiche diventano giuridiche nei limiti dell’interpretazione funzionale di cui al par.3.9 e spiegano perché la d</w:t>
      </w:r>
      <w:r w:rsidR="00731B49" w:rsidRPr="007F7EBF">
        <w:rPr>
          <w:sz w:val="22"/>
          <w:szCs w:val="22"/>
        </w:rPr>
        <w:t>eterminazione de</w:t>
      </w:r>
      <w:r w:rsidR="00731B49">
        <w:rPr>
          <w:sz w:val="22"/>
          <w:szCs w:val="22"/>
        </w:rPr>
        <w:t xml:space="preserve">gli imponibili </w:t>
      </w:r>
      <w:r w:rsidR="00731B49" w:rsidRPr="007F7EBF">
        <w:rPr>
          <w:sz w:val="22"/>
          <w:szCs w:val="22"/>
        </w:rPr>
        <w:t xml:space="preserve">non </w:t>
      </w:r>
      <w:r w:rsidR="00731B49">
        <w:rPr>
          <w:sz w:val="22"/>
          <w:szCs w:val="22"/>
        </w:rPr>
        <w:t xml:space="preserve">avviene </w:t>
      </w:r>
      <w:r w:rsidR="00731B49" w:rsidRPr="007F7EBF">
        <w:rPr>
          <w:sz w:val="22"/>
          <w:szCs w:val="22"/>
        </w:rPr>
        <w:t xml:space="preserve">isolatamente, ma alla luce di </w:t>
      </w:r>
      <w:r w:rsidR="00731B49">
        <w:rPr>
          <w:sz w:val="22"/>
          <w:szCs w:val="22"/>
        </w:rPr>
        <w:t xml:space="preserve">collegamenti con eventi </w:t>
      </w:r>
      <w:r w:rsidR="00731B49" w:rsidRPr="007F7EBF">
        <w:rPr>
          <w:sz w:val="22"/>
          <w:szCs w:val="22"/>
        </w:rPr>
        <w:t>passati o futuri, uguali e contrari, in capo agli stessi soggetti o alle loro controparti.</w:t>
      </w:r>
      <w:r w:rsidR="009D66F8">
        <w:rPr>
          <w:sz w:val="22"/>
          <w:szCs w:val="22"/>
        </w:rPr>
        <w:t xml:space="preserve"> </w:t>
      </w:r>
      <w:r w:rsidR="00731B49">
        <w:rPr>
          <w:sz w:val="22"/>
          <w:szCs w:val="22"/>
        </w:rPr>
        <w:t>Queste correlazioni erano meno forti ai tempi della</w:t>
      </w:r>
      <w:r w:rsidR="00731B49" w:rsidRPr="007F7EBF">
        <w:rPr>
          <w:sz w:val="22"/>
          <w:szCs w:val="22"/>
        </w:rPr>
        <w:t xml:space="preserve"> </w:t>
      </w:r>
      <w:r w:rsidR="009D66F8">
        <w:rPr>
          <w:sz w:val="22"/>
          <w:szCs w:val="22"/>
        </w:rPr>
        <w:t>determinazione</w:t>
      </w:r>
      <w:r w:rsidR="00731B49" w:rsidRPr="007F7EBF">
        <w:rPr>
          <w:sz w:val="22"/>
          <w:szCs w:val="22"/>
        </w:rPr>
        <w:t xml:space="preserve"> valutativa </w:t>
      </w:r>
      <w:r w:rsidR="009D66F8">
        <w:rPr>
          <w:sz w:val="22"/>
          <w:szCs w:val="22"/>
        </w:rPr>
        <w:t xml:space="preserve">degli imponibili </w:t>
      </w:r>
      <w:r w:rsidR="00731B49" w:rsidRPr="007F7EBF">
        <w:rPr>
          <w:sz w:val="22"/>
          <w:szCs w:val="22"/>
        </w:rPr>
        <w:t xml:space="preserve">attraverso gli uffici (paragrafo 1.4), </w:t>
      </w:r>
      <w:r w:rsidR="00731B49">
        <w:rPr>
          <w:sz w:val="22"/>
          <w:szCs w:val="22"/>
        </w:rPr>
        <w:t xml:space="preserve">dove </w:t>
      </w:r>
      <w:r w:rsidR="00731B49" w:rsidRPr="007F7EBF">
        <w:rPr>
          <w:sz w:val="22"/>
          <w:szCs w:val="22"/>
        </w:rPr>
        <w:t xml:space="preserve">ogni contribuente </w:t>
      </w:r>
      <w:r w:rsidR="00731B49">
        <w:rPr>
          <w:sz w:val="22"/>
          <w:szCs w:val="22"/>
        </w:rPr>
        <w:t>veniva considerato in modo tendenzialmente autonomo rispetto agli altri.</w:t>
      </w:r>
      <w:r w:rsidR="00731B49" w:rsidRPr="007F7EBF">
        <w:rPr>
          <w:sz w:val="22"/>
          <w:szCs w:val="22"/>
        </w:rPr>
        <w:t xml:space="preserve"> </w:t>
      </w:r>
      <w:r w:rsidR="00731B49">
        <w:rPr>
          <w:sz w:val="22"/>
          <w:szCs w:val="22"/>
        </w:rPr>
        <w:t xml:space="preserve">I meccanismi documentali e </w:t>
      </w:r>
      <w:r w:rsidR="00731B49" w:rsidRPr="007F7EBF">
        <w:rPr>
          <w:bCs/>
          <w:sz w:val="22"/>
          <w:szCs w:val="22"/>
        </w:rPr>
        <w:t xml:space="preserve">ragionieristici della </w:t>
      </w:r>
      <w:r w:rsidR="00731B49">
        <w:rPr>
          <w:bCs/>
          <w:sz w:val="22"/>
          <w:szCs w:val="22"/>
        </w:rPr>
        <w:t>determinazione degli imponibili</w:t>
      </w:r>
      <w:r w:rsidR="00731B49" w:rsidRPr="007F7EBF">
        <w:rPr>
          <w:bCs/>
          <w:sz w:val="22"/>
          <w:szCs w:val="22"/>
        </w:rPr>
        <w:t xml:space="preserve"> attraverso le aziende</w:t>
      </w:r>
      <w:r w:rsidR="00731B49" w:rsidRPr="003A6DA5">
        <w:rPr>
          <w:sz w:val="22"/>
          <w:szCs w:val="22"/>
        </w:rPr>
        <w:t xml:space="preserve"> </w:t>
      </w:r>
      <w:r w:rsidR="00731B49">
        <w:rPr>
          <w:sz w:val="22"/>
          <w:szCs w:val="22"/>
        </w:rPr>
        <w:t>consentono di valorizzare questi collegamenti realizzando una maggiore precisione, e rend</w:t>
      </w:r>
      <w:r w:rsidR="009D66F8">
        <w:rPr>
          <w:sz w:val="22"/>
          <w:szCs w:val="22"/>
        </w:rPr>
        <w:t>on</w:t>
      </w:r>
      <w:r w:rsidR="00731B49">
        <w:rPr>
          <w:sz w:val="22"/>
          <w:szCs w:val="22"/>
        </w:rPr>
        <w:t>o più chiar</w:t>
      </w:r>
      <w:r w:rsidR="009D66F8">
        <w:rPr>
          <w:sz w:val="22"/>
          <w:szCs w:val="22"/>
        </w:rPr>
        <w:t xml:space="preserve">a l’importanza </w:t>
      </w:r>
      <w:r w:rsidR="00731B49">
        <w:rPr>
          <w:sz w:val="22"/>
          <w:szCs w:val="22"/>
        </w:rPr>
        <w:t xml:space="preserve"> </w:t>
      </w:r>
      <w:r w:rsidR="009D66F8">
        <w:rPr>
          <w:sz w:val="22"/>
          <w:szCs w:val="22"/>
        </w:rPr>
        <w:t>del</w:t>
      </w:r>
      <w:r w:rsidR="00731B49">
        <w:rPr>
          <w:sz w:val="22"/>
          <w:szCs w:val="22"/>
        </w:rPr>
        <w:t>la corretta determinazione dell</w:t>
      </w:r>
      <w:r w:rsidR="00EA75DE">
        <w:rPr>
          <w:sz w:val="22"/>
          <w:szCs w:val="22"/>
        </w:rPr>
        <w:t>e astrazioni economiche di cui al par.1.8</w:t>
      </w:r>
      <w:r w:rsidR="009D66F8">
        <w:rPr>
          <w:sz w:val="22"/>
          <w:szCs w:val="22"/>
        </w:rPr>
        <w:t>,</w:t>
      </w:r>
      <w:r w:rsidR="00731B49">
        <w:rPr>
          <w:sz w:val="22"/>
          <w:szCs w:val="22"/>
        </w:rPr>
        <w:t xml:space="preserve"> </w:t>
      </w:r>
      <w:r w:rsidR="009D66F8">
        <w:rPr>
          <w:sz w:val="22"/>
          <w:szCs w:val="22"/>
        </w:rPr>
        <w:t>rispetto al gettito (par.1.2)</w:t>
      </w:r>
      <w:r w:rsidR="00731B49">
        <w:rPr>
          <w:sz w:val="22"/>
          <w:szCs w:val="22"/>
        </w:rPr>
        <w:t xml:space="preserve">. </w:t>
      </w:r>
    </w:p>
    <w:p w14:paraId="098CDB65" w14:textId="0D6E71F4" w:rsidR="00A90989" w:rsidRPr="007F7EBF" w:rsidRDefault="003C349C" w:rsidP="00A90989">
      <w:pPr>
        <w:pStyle w:val="tit23"/>
        <w:ind w:left="6464" w:right="-1361" w:firstLine="0"/>
        <w:jc w:val="left"/>
        <w:rPr>
          <w:bCs/>
          <w:i/>
          <w:iCs/>
          <w:color w:val="0000FF"/>
          <w:lang w:val="it-IT"/>
        </w:rPr>
      </w:pPr>
      <w:r>
        <w:rPr>
          <w:bCs/>
          <w:i/>
          <w:iCs/>
          <w:color w:val="0000FF"/>
          <w:lang w:val="it-IT"/>
        </w:rPr>
        <w:t>I salti d’imposta e la neutralità fiscale</w:t>
      </w:r>
    </w:p>
    <w:p w14:paraId="7896F027" w14:textId="12AB6D28" w:rsidR="0073268F" w:rsidRPr="007F7EBF" w:rsidRDefault="00D11DD1" w:rsidP="0073268F">
      <w:pPr>
        <w:autoSpaceDE w:val="0"/>
        <w:autoSpaceDN w:val="0"/>
        <w:adjustRightInd w:val="0"/>
        <w:rPr>
          <w:sz w:val="22"/>
          <w:szCs w:val="22"/>
        </w:rPr>
      </w:pPr>
      <w:r>
        <w:rPr>
          <w:sz w:val="22"/>
          <w:szCs w:val="22"/>
        </w:rPr>
        <w:t xml:space="preserve">Molte </w:t>
      </w:r>
      <w:r w:rsidR="00BD0F10" w:rsidRPr="007F7EBF">
        <w:rPr>
          <w:sz w:val="22"/>
          <w:szCs w:val="22"/>
        </w:rPr>
        <w:t>evasioni c.d.</w:t>
      </w:r>
      <w:r w:rsidR="00B00D73" w:rsidRPr="007F7EBF">
        <w:rPr>
          <w:sz w:val="22"/>
          <w:szCs w:val="22"/>
        </w:rPr>
        <w:t xml:space="preserve"> </w:t>
      </w:r>
      <w:r w:rsidR="008540CC" w:rsidRPr="007F7EBF">
        <w:rPr>
          <w:sz w:val="22"/>
          <w:szCs w:val="22"/>
        </w:rPr>
        <w:t>"interpretative</w:t>
      </w:r>
      <w:r w:rsidR="00B00D73" w:rsidRPr="007F7EBF">
        <w:rPr>
          <w:sz w:val="22"/>
          <w:szCs w:val="22"/>
        </w:rPr>
        <w:t xml:space="preserve">", </w:t>
      </w:r>
      <w:r w:rsidR="006F059D">
        <w:rPr>
          <w:sz w:val="22"/>
          <w:szCs w:val="22"/>
        </w:rPr>
        <w:t xml:space="preserve">o anche legittime convenienze tributarie, </w:t>
      </w:r>
      <w:r w:rsidR="001B5CC8" w:rsidRPr="007F7EBF">
        <w:rPr>
          <w:sz w:val="22"/>
          <w:szCs w:val="22"/>
        </w:rPr>
        <w:t>definite al par.3.9</w:t>
      </w:r>
      <w:r w:rsidR="00FB535D" w:rsidRPr="007F7EBF">
        <w:rPr>
          <w:sz w:val="22"/>
          <w:szCs w:val="22"/>
        </w:rPr>
        <w:t>-3.10</w:t>
      </w:r>
      <w:r w:rsidR="006F059D">
        <w:rPr>
          <w:sz w:val="22"/>
          <w:szCs w:val="22"/>
        </w:rPr>
        <w:t>, si basano su asimmetrie tra regimi tributari di un’operazione in capo ai soggetti che vi partecipano: ad esempio somm</w:t>
      </w:r>
      <w:r w:rsidR="006A7730">
        <w:rPr>
          <w:sz w:val="22"/>
          <w:szCs w:val="22"/>
        </w:rPr>
        <w:t>e</w:t>
      </w:r>
      <w:r w:rsidR="006F059D">
        <w:rPr>
          <w:sz w:val="22"/>
          <w:szCs w:val="22"/>
        </w:rPr>
        <w:t xml:space="preserve"> esent</w:t>
      </w:r>
      <w:r w:rsidR="006A7730">
        <w:rPr>
          <w:sz w:val="22"/>
          <w:szCs w:val="22"/>
        </w:rPr>
        <w:t xml:space="preserve">i </w:t>
      </w:r>
      <w:r w:rsidR="006F059D">
        <w:rPr>
          <w:sz w:val="22"/>
          <w:szCs w:val="22"/>
        </w:rPr>
        <w:t>per chi l</w:t>
      </w:r>
      <w:r w:rsidR="006A7730">
        <w:rPr>
          <w:sz w:val="22"/>
          <w:szCs w:val="22"/>
        </w:rPr>
        <w:t>e</w:t>
      </w:r>
      <w:r w:rsidR="006F059D">
        <w:rPr>
          <w:sz w:val="22"/>
          <w:szCs w:val="22"/>
        </w:rPr>
        <w:t xml:space="preserve"> riceve, in quanto considerat</w:t>
      </w:r>
      <w:r w:rsidR="006A7730">
        <w:rPr>
          <w:sz w:val="22"/>
          <w:szCs w:val="22"/>
        </w:rPr>
        <w:t>e</w:t>
      </w:r>
      <w:r w:rsidR="006F059D">
        <w:rPr>
          <w:sz w:val="22"/>
          <w:szCs w:val="22"/>
        </w:rPr>
        <w:t xml:space="preserve"> </w:t>
      </w:r>
      <w:r w:rsidR="006A7730">
        <w:rPr>
          <w:sz w:val="22"/>
          <w:szCs w:val="22"/>
        </w:rPr>
        <w:t>fiscalmente irrilevanti (</w:t>
      </w:r>
      <w:r w:rsidR="006A7730">
        <w:rPr>
          <w:rStyle w:val="Rimandonotaapidipagina"/>
          <w:sz w:val="22"/>
          <w:szCs w:val="22"/>
        </w:rPr>
        <w:footnoteReference w:id="382"/>
      </w:r>
      <w:r w:rsidR="006A7730">
        <w:rPr>
          <w:sz w:val="22"/>
          <w:szCs w:val="22"/>
        </w:rPr>
        <w:t xml:space="preserve">), oppure </w:t>
      </w:r>
      <w:r w:rsidR="006F059D">
        <w:rPr>
          <w:sz w:val="22"/>
          <w:szCs w:val="22"/>
        </w:rPr>
        <w:t>dividend</w:t>
      </w:r>
      <w:r w:rsidR="006A7730">
        <w:rPr>
          <w:sz w:val="22"/>
          <w:szCs w:val="22"/>
        </w:rPr>
        <w:t>i</w:t>
      </w:r>
      <w:r w:rsidR="006F059D">
        <w:rPr>
          <w:sz w:val="22"/>
          <w:szCs w:val="22"/>
        </w:rPr>
        <w:t xml:space="preserve"> o rimbors</w:t>
      </w:r>
      <w:r w:rsidR="006A7730">
        <w:rPr>
          <w:sz w:val="22"/>
          <w:szCs w:val="22"/>
        </w:rPr>
        <w:t>i</w:t>
      </w:r>
      <w:r w:rsidR="006F059D">
        <w:rPr>
          <w:sz w:val="22"/>
          <w:szCs w:val="22"/>
        </w:rPr>
        <w:t xml:space="preserve"> di capitale, costituisce </w:t>
      </w:r>
      <w:r w:rsidR="006F3A5F">
        <w:rPr>
          <w:sz w:val="22"/>
          <w:szCs w:val="22"/>
        </w:rPr>
        <w:t>talvolta</w:t>
      </w:r>
      <w:r w:rsidR="006F059D">
        <w:rPr>
          <w:sz w:val="22"/>
          <w:szCs w:val="22"/>
        </w:rPr>
        <w:t xml:space="preserve"> un costo per chi la eroga</w:t>
      </w:r>
      <w:r w:rsidR="006A7730">
        <w:rPr>
          <w:sz w:val="22"/>
          <w:szCs w:val="22"/>
        </w:rPr>
        <w:t xml:space="preserve"> (</w:t>
      </w:r>
      <w:r w:rsidR="006A7730">
        <w:rPr>
          <w:rStyle w:val="Rimandonotaapidipagina"/>
          <w:sz w:val="22"/>
          <w:szCs w:val="22"/>
        </w:rPr>
        <w:footnoteReference w:id="383"/>
      </w:r>
      <w:r w:rsidR="006A7730">
        <w:rPr>
          <w:sz w:val="22"/>
          <w:szCs w:val="22"/>
        </w:rPr>
        <w:t>).</w:t>
      </w:r>
      <w:r w:rsidR="0041172B">
        <w:rPr>
          <w:sz w:val="22"/>
          <w:szCs w:val="22"/>
        </w:rPr>
        <w:t xml:space="preserve"> Queste asimmetrie comportano il </w:t>
      </w:r>
      <w:r w:rsidR="006F059D">
        <w:rPr>
          <w:sz w:val="22"/>
          <w:szCs w:val="22"/>
        </w:rPr>
        <w:t xml:space="preserve">c.d. “salto di imposta”, talvolta </w:t>
      </w:r>
      <w:r w:rsidR="0041172B">
        <w:rPr>
          <w:sz w:val="22"/>
          <w:szCs w:val="22"/>
        </w:rPr>
        <w:t>formalmente e sostanzialmente legittimo,</w:t>
      </w:r>
      <w:r w:rsidR="006F059D">
        <w:rPr>
          <w:sz w:val="22"/>
          <w:szCs w:val="22"/>
        </w:rPr>
        <w:t xml:space="preserve"> per un misto di semplicità determinativa, di favore fiscale o di </w:t>
      </w:r>
      <w:r w:rsidR="009F7FA4">
        <w:rPr>
          <w:sz w:val="22"/>
          <w:szCs w:val="22"/>
        </w:rPr>
        <w:t>sfasamento legislativo</w:t>
      </w:r>
      <w:r w:rsidR="0041172B">
        <w:rPr>
          <w:sz w:val="22"/>
          <w:szCs w:val="22"/>
        </w:rPr>
        <w:t xml:space="preserve"> </w:t>
      </w:r>
      <w:r w:rsidR="006F059D">
        <w:rPr>
          <w:sz w:val="22"/>
          <w:szCs w:val="22"/>
        </w:rPr>
        <w:t xml:space="preserve">( </w:t>
      </w:r>
      <w:r w:rsidR="006F059D">
        <w:rPr>
          <w:rStyle w:val="Rimandonotaapidipagina"/>
          <w:sz w:val="22"/>
          <w:szCs w:val="22"/>
        </w:rPr>
        <w:footnoteReference w:id="384"/>
      </w:r>
      <w:r w:rsidR="006F059D">
        <w:rPr>
          <w:sz w:val="22"/>
          <w:szCs w:val="22"/>
        </w:rPr>
        <w:t>)</w:t>
      </w:r>
      <w:r w:rsidR="0041172B">
        <w:rPr>
          <w:sz w:val="22"/>
          <w:szCs w:val="22"/>
        </w:rPr>
        <w:t xml:space="preserve">, ma il cui abuso diventa rapidamente elusivo (par.3.10). </w:t>
      </w:r>
      <w:r w:rsidR="003C349C">
        <w:rPr>
          <w:sz w:val="22"/>
          <w:szCs w:val="22"/>
        </w:rPr>
        <w:t>L</w:t>
      </w:r>
      <w:r w:rsidR="006F3A5F">
        <w:rPr>
          <w:sz w:val="22"/>
          <w:szCs w:val="22"/>
        </w:rPr>
        <w:t xml:space="preserve">’esigenza di “neutralità fiscale” vorrebbe che </w:t>
      </w:r>
      <w:r w:rsidR="003C349C">
        <w:rPr>
          <w:sz w:val="22"/>
          <w:szCs w:val="22"/>
        </w:rPr>
        <w:t>il carico tributario fosse il medesimo</w:t>
      </w:r>
      <w:r w:rsidR="006F3A5F">
        <w:rPr>
          <w:sz w:val="22"/>
          <w:szCs w:val="22"/>
        </w:rPr>
        <w:t xml:space="preserve"> indipendentemente </w:t>
      </w:r>
      <w:r w:rsidR="003C349C">
        <w:rPr>
          <w:sz w:val="22"/>
          <w:szCs w:val="22"/>
        </w:rPr>
        <w:lastRenderedPageBreak/>
        <w:t>dalle modalità tecniche con cui il reddito o il consumo sono stati realizzati</w:t>
      </w:r>
      <w:r w:rsidR="00DD47D7">
        <w:rPr>
          <w:sz w:val="22"/>
          <w:szCs w:val="22"/>
        </w:rPr>
        <w:t xml:space="preserve"> (</w:t>
      </w:r>
      <w:r w:rsidR="00DD47D7">
        <w:rPr>
          <w:rStyle w:val="Rimandonotaapidipagina"/>
          <w:sz w:val="22"/>
          <w:szCs w:val="22"/>
        </w:rPr>
        <w:footnoteReference w:id="385"/>
      </w:r>
      <w:r w:rsidR="00DD47D7">
        <w:rPr>
          <w:sz w:val="22"/>
          <w:szCs w:val="22"/>
        </w:rPr>
        <w:t>)</w:t>
      </w:r>
      <w:r w:rsidR="003C349C">
        <w:rPr>
          <w:sz w:val="22"/>
          <w:szCs w:val="22"/>
        </w:rPr>
        <w:t>; non</w:t>
      </w:r>
      <w:r w:rsidR="006F3A5F">
        <w:rPr>
          <w:sz w:val="22"/>
          <w:szCs w:val="22"/>
        </w:rPr>
        <w:t xml:space="preserve"> sempre</w:t>
      </w:r>
      <w:r w:rsidR="003C349C">
        <w:rPr>
          <w:sz w:val="22"/>
          <w:szCs w:val="22"/>
        </w:rPr>
        <w:t xml:space="preserve"> però</w:t>
      </w:r>
      <w:r w:rsidR="006F3A5F">
        <w:rPr>
          <w:sz w:val="22"/>
          <w:szCs w:val="22"/>
        </w:rPr>
        <w:t xml:space="preserve"> è così, per </w:t>
      </w:r>
      <w:r w:rsidR="003C349C">
        <w:rPr>
          <w:sz w:val="22"/>
          <w:szCs w:val="22"/>
        </w:rPr>
        <w:t xml:space="preserve">le suddette ragioni di semplicità, forfettizzazione o altri contingenti motivi di politica </w:t>
      </w:r>
      <w:r w:rsidR="006F3A5F">
        <w:rPr>
          <w:sz w:val="22"/>
          <w:szCs w:val="22"/>
        </w:rPr>
        <w:t xml:space="preserve"> </w:t>
      </w:r>
      <w:r w:rsidR="00316E87">
        <w:rPr>
          <w:sz w:val="22"/>
          <w:szCs w:val="22"/>
        </w:rPr>
        <w:t>tributaria</w:t>
      </w:r>
      <w:r w:rsidR="006F3A5F">
        <w:rPr>
          <w:sz w:val="22"/>
          <w:szCs w:val="22"/>
        </w:rPr>
        <w:t>(</w:t>
      </w:r>
      <w:r w:rsidR="00FB535D" w:rsidRPr="007F7EBF">
        <w:rPr>
          <w:rStyle w:val="Rimandonotaapidipagina"/>
          <w:sz w:val="22"/>
          <w:szCs w:val="22"/>
        </w:rPr>
        <w:footnoteReference w:id="386"/>
      </w:r>
      <w:r w:rsidR="006F3A5F">
        <w:rPr>
          <w:sz w:val="22"/>
          <w:szCs w:val="22"/>
        </w:rPr>
        <w:t xml:space="preserve">). </w:t>
      </w:r>
    </w:p>
    <w:p w14:paraId="5187F749" w14:textId="2BC23356" w:rsidR="0073268F" w:rsidRPr="007F7EBF" w:rsidRDefault="0073268F" w:rsidP="0073268F">
      <w:pPr>
        <w:pStyle w:val="tit23"/>
        <w:ind w:left="6464" w:right="-1361" w:firstLine="0"/>
        <w:jc w:val="left"/>
        <w:rPr>
          <w:bCs/>
          <w:i/>
          <w:iCs/>
          <w:color w:val="0000FF"/>
          <w:lang w:val="it-IT"/>
        </w:rPr>
      </w:pPr>
      <w:r w:rsidRPr="007F7EBF">
        <w:rPr>
          <w:bCs/>
          <w:i/>
          <w:iCs/>
          <w:color w:val="0000FF"/>
          <w:lang w:val="it-IT"/>
        </w:rPr>
        <w:t>Simmetrie tra tempi diversi</w:t>
      </w:r>
    </w:p>
    <w:p w14:paraId="1990B9A8" w14:textId="25A95C16" w:rsidR="001B3F83" w:rsidRPr="007F7EBF" w:rsidRDefault="00DD47D7" w:rsidP="00731B49">
      <w:pPr>
        <w:autoSpaceDE w:val="0"/>
        <w:autoSpaceDN w:val="0"/>
        <w:adjustRightInd w:val="0"/>
        <w:rPr>
          <w:sz w:val="22"/>
          <w:szCs w:val="22"/>
        </w:rPr>
      </w:pPr>
      <w:r>
        <w:rPr>
          <w:sz w:val="22"/>
          <w:szCs w:val="22"/>
        </w:rPr>
        <w:t xml:space="preserve">Le simmetrie impositive non riguardano solo soggetti diversi, ma anche </w:t>
      </w:r>
      <w:r w:rsidR="00E80ECF" w:rsidRPr="007F7EBF">
        <w:rPr>
          <w:bCs/>
          <w:sz w:val="22"/>
          <w:szCs w:val="22"/>
        </w:rPr>
        <w:t xml:space="preserve"> </w:t>
      </w:r>
      <w:r w:rsidR="00B97033">
        <w:rPr>
          <w:bCs/>
          <w:sz w:val="22"/>
          <w:szCs w:val="22"/>
        </w:rPr>
        <w:t>tempi diversi</w:t>
      </w:r>
      <w:r w:rsidR="00E80ECF" w:rsidRPr="007F7EBF">
        <w:rPr>
          <w:sz w:val="22"/>
          <w:szCs w:val="22"/>
        </w:rPr>
        <w:t xml:space="preserve">, </w:t>
      </w:r>
      <w:r w:rsidR="0018719E">
        <w:rPr>
          <w:sz w:val="22"/>
          <w:szCs w:val="22"/>
        </w:rPr>
        <w:t>come vedremo al capitolo settimo soprat</w:t>
      </w:r>
      <w:r w:rsidR="00230DB1">
        <w:rPr>
          <w:sz w:val="22"/>
          <w:szCs w:val="22"/>
        </w:rPr>
        <w:t>t</w:t>
      </w:r>
      <w:r w:rsidR="0018719E">
        <w:rPr>
          <w:sz w:val="22"/>
          <w:szCs w:val="22"/>
        </w:rPr>
        <w:t>utto per l’imputazione a periodo</w:t>
      </w:r>
      <w:r w:rsidR="00230DB1">
        <w:rPr>
          <w:sz w:val="22"/>
          <w:szCs w:val="22"/>
        </w:rPr>
        <w:t>, di cui al par.7.11</w:t>
      </w:r>
      <w:r w:rsidR="0018719E">
        <w:rPr>
          <w:sz w:val="22"/>
          <w:szCs w:val="22"/>
        </w:rPr>
        <w:t xml:space="preserve"> </w:t>
      </w:r>
      <w:r w:rsidR="00B97033">
        <w:rPr>
          <w:sz w:val="22"/>
          <w:szCs w:val="22"/>
        </w:rPr>
        <w:t>(</w:t>
      </w:r>
      <w:r w:rsidR="001B3F83" w:rsidRPr="007F7EBF">
        <w:rPr>
          <w:rStyle w:val="Rimandonotaapidipagina"/>
          <w:sz w:val="22"/>
          <w:szCs w:val="22"/>
        </w:rPr>
        <w:footnoteReference w:id="387"/>
      </w:r>
      <w:r w:rsidR="00B97033">
        <w:rPr>
          <w:sz w:val="22"/>
          <w:szCs w:val="22"/>
        </w:rPr>
        <w:t xml:space="preserve">). </w:t>
      </w:r>
      <w:r w:rsidR="00B97033" w:rsidRPr="007F7EBF">
        <w:t xml:space="preserve">Sono intrecci </w:t>
      </w:r>
      <w:r w:rsidR="00B97033">
        <w:t xml:space="preserve">provenienti dalla forza delle cose, cioè dall’oggetto economico del diritto tributario, </w:t>
      </w:r>
      <w:r w:rsidR="003E1A91">
        <w:t xml:space="preserve">determinato in modo analitico-documentale, secondo l’ormai nota “tassazione attraverso le aziende”. </w:t>
      </w:r>
    </w:p>
    <w:p w14:paraId="602F2936" w14:textId="053A7DD7" w:rsidR="00C27750" w:rsidRPr="007F7EBF" w:rsidRDefault="006342C5" w:rsidP="00190979">
      <w:pPr>
        <w:pStyle w:val="Titolo3"/>
        <w:rPr>
          <w:sz w:val="22"/>
          <w:szCs w:val="22"/>
        </w:rPr>
      </w:pPr>
      <w:bookmarkStart w:id="44" w:name="_Toc63364960"/>
      <w:r w:rsidRPr="007F7EBF">
        <w:rPr>
          <w:rFonts w:ascii="Times New Roman" w:hAnsi="Times New Roman"/>
          <w:sz w:val="22"/>
          <w:szCs w:val="22"/>
        </w:rPr>
        <w:t xml:space="preserve">3.13. </w:t>
      </w:r>
      <w:r w:rsidR="0081322D">
        <w:rPr>
          <w:rFonts w:ascii="Times New Roman" w:hAnsi="Times New Roman"/>
          <w:sz w:val="22"/>
          <w:szCs w:val="22"/>
          <w:lang w:val="it-IT"/>
        </w:rPr>
        <w:t xml:space="preserve">Piccolo commercio, artigianato e loro </w:t>
      </w:r>
      <w:r w:rsidRPr="007F7EBF">
        <w:rPr>
          <w:rFonts w:ascii="Times New Roman" w:hAnsi="Times New Roman"/>
          <w:sz w:val="22"/>
          <w:szCs w:val="22"/>
        </w:rPr>
        <w:t>inutile “</w:t>
      </w:r>
      <w:proofErr w:type="spellStart"/>
      <w:r w:rsidRPr="007F7EBF">
        <w:rPr>
          <w:rFonts w:ascii="Times New Roman" w:hAnsi="Times New Roman"/>
          <w:sz w:val="22"/>
          <w:szCs w:val="22"/>
        </w:rPr>
        <w:t>ragionierizzazione</w:t>
      </w:r>
      <w:proofErr w:type="spellEnd"/>
      <w:r w:rsidRPr="007F7EBF">
        <w:rPr>
          <w:rFonts w:ascii="Times New Roman" w:hAnsi="Times New Roman"/>
          <w:sz w:val="22"/>
          <w:szCs w:val="22"/>
        </w:rPr>
        <w:t>”</w:t>
      </w:r>
      <w:r w:rsidR="0081322D">
        <w:rPr>
          <w:rFonts w:ascii="Times New Roman" w:hAnsi="Times New Roman"/>
          <w:sz w:val="22"/>
          <w:szCs w:val="22"/>
          <w:lang w:val="it-IT"/>
        </w:rPr>
        <w:t xml:space="preserve">: il diversivo della </w:t>
      </w:r>
      <w:r w:rsidRPr="007F7EBF">
        <w:rPr>
          <w:rFonts w:ascii="Times New Roman" w:hAnsi="Times New Roman"/>
          <w:sz w:val="22"/>
          <w:szCs w:val="22"/>
        </w:rPr>
        <w:t>“contabilità fiscale”</w:t>
      </w:r>
      <w:bookmarkEnd w:id="44"/>
    </w:p>
    <w:p w14:paraId="0C4CEBE4" w14:textId="09602672" w:rsidR="00C27750" w:rsidRPr="007F7EBF" w:rsidRDefault="00527B8B" w:rsidP="00C27750">
      <w:pPr>
        <w:pStyle w:val="tit23"/>
        <w:ind w:left="6464" w:right="-1361" w:firstLine="0"/>
        <w:jc w:val="left"/>
        <w:rPr>
          <w:bCs/>
          <w:i/>
          <w:iCs/>
          <w:color w:val="0000FF"/>
          <w:lang w:val="it-IT"/>
        </w:rPr>
      </w:pPr>
      <w:r>
        <w:rPr>
          <w:bCs/>
          <w:i/>
          <w:iCs/>
          <w:color w:val="0000FF"/>
          <w:lang w:val="it-IT"/>
        </w:rPr>
        <w:t>Inadeguatezza della determinazione documentale</w:t>
      </w:r>
      <w:r w:rsidR="00C27750" w:rsidRPr="007F7EBF">
        <w:rPr>
          <w:bCs/>
          <w:i/>
          <w:iCs/>
          <w:color w:val="0000FF"/>
          <w:lang w:val="it-IT"/>
        </w:rPr>
        <w:t xml:space="preserve"> </w:t>
      </w:r>
    </w:p>
    <w:p w14:paraId="7B9DECCA" w14:textId="043F541D" w:rsidR="00BE35FA" w:rsidRDefault="008166D2" w:rsidP="00A52B49">
      <w:pPr>
        <w:autoSpaceDE w:val="0"/>
        <w:autoSpaceDN w:val="0"/>
        <w:adjustRightInd w:val="0"/>
      </w:pPr>
      <w:r>
        <w:rPr>
          <w:sz w:val="22"/>
          <w:szCs w:val="22"/>
        </w:rPr>
        <w:t xml:space="preserve">Dai </w:t>
      </w:r>
      <w:r w:rsidR="00527B8B">
        <w:rPr>
          <w:sz w:val="22"/>
          <w:szCs w:val="22"/>
        </w:rPr>
        <w:t xml:space="preserve">paragrafi precedenti già </w:t>
      </w:r>
      <w:r w:rsidR="00071DA8">
        <w:rPr>
          <w:sz w:val="22"/>
          <w:szCs w:val="22"/>
        </w:rPr>
        <w:t>si intuisce</w:t>
      </w:r>
      <w:r w:rsidR="00527B8B">
        <w:rPr>
          <w:sz w:val="22"/>
          <w:szCs w:val="22"/>
        </w:rPr>
        <w:t xml:space="preserve"> perché la determinazione </w:t>
      </w:r>
      <w:proofErr w:type="spellStart"/>
      <w:r w:rsidR="00BE35FA">
        <w:rPr>
          <w:sz w:val="22"/>
          <w:szCs w:val="22"/>
        </w:rPr>
        <w:t>documental</w:t>
      </w:r>
      <w:proofErr w:type="spellEnd"/>
      <w:r w:rsidR="00BE35FA">
        <w:rPr>
          <w:sz w:val="22"/>
          <w:szCs w:val="22"/>
        </w:rPr>
        <w:t>-contabile</w:t>
      </w:r>
      <w:r w:rsidR="00527B8B">
        <w:rPr>
          <w:sz w:val="22"/>
          <w:szCs w:val="22"/>
        </w:rPr>
        <w:t xml:space="preserve"> degli imponibili è inefficiente </w:t>
      </w:r>
      <w:r w:rsidR="00621F25">
        <w:rPr>
          <w:sz w:val="22"/>
          <w:szCs w:val="22"/>
        </w:rPr>
        <w:t xml:space="preserve">per </w:t>
      </w:r>
      <w:r w:rsidR="00527B8B">
        <w:rPr>
          <w:sz w:val="22"/>
          <w:szCs w:val="22"/>
        </w:rPr>
        <w:t>piccol</w:t>
      </w:r>
      <w:r w:rsidR="00BE35FA">
        <w:rPr>
          <w:sz w:val="22"/>
          <w:szCs w:val="22"/>
        </w:rPr>
        <w:t xml:space="preserve">e organizzazioni a gestione padronale, </w:t>
      </w:r>
      <w:r w:rsidR="000829C5">
        <w:rPr>
          <w:sz w:val="22"/>
          <w:szCs w:val="22"/>
        </w:rPr>
        <w:t>artigiani o professionisti operanti al consumo finale</w:t>
      </w:r>
      <w:r w:rsidR="00BE35FA" w:rsidRPr="00BE35FA">
        <w:t xml:space="preserve"> </w:t>
      </w:r>
      <w:r w:rsidR="00BE35FA">
        <w:t>(</w:t>
      </w:r>
      <w:r w:rsidR="00BE35FA">
        <w:rPr>
          <w:rStyle w:val="Rimandonotaapidipagina"/>
        </w:rPr>
        <w:footnoteReference w:id="388"/>
      </w:r>
      <w:r w:rsidR="00BE35FA">
        <w:t>).</w:t>
      </w:r>
      <w:r w:rsidR="00527B8B">
        <w:rPr>
          <w:sz w:val="22"/>
          <w:szCs w:val="22"/>
        </w:rPr>
        <w:t xml:space="preserve">; </w:t>
      </w:r>
      <w:r w:rsidR="00527B8B">
        <w:t xml:space="preserve">si tratta di circa 5 milioni di soggetti, includendo </w:t>
      </w:r>
      <w:r w:rsidR="00527B8B" w:rsidRPr="007F7EBF">
        <w:t xml:space="preserve">operatori </w:t>
      </w:r>
      <w:proofErr w:type="spellStart"/>
      <w:r w:rsidR="00527B8B" w:rsidRPr="007F7EBF">
        <w:t>monoaddetto</w:t>
      </w:r>
      <w:proofErr w:type="spellEnd"/>
      <w:r w:rsidR="00527B8B" w:rsidRPr="007F7EBF">
        <w:t>, con due addetti, spesso il coniuge (impresa familiare) o una cassiera, e una buona quota di quelli fino a 10 dipendenti</w:t>
      </w:r>
      <w:r w:rsidR="00527B8B">
        <w:rPr>
          <w:sz w:val="22"/>
          <w:szCs w:val="22"/>
        </w:rPr>
        <w:t>(</w:t>
      </w:r>
      <w:r w:rsidR="00527B8B" w:rsidRPr="007F7EBF">
        <w:rPr>
          <w:rStyle w:val="Rimandonotaapidipagina"/>
          <w:sz w:val="22"/>
          <w:szCs w:val="22"/>
        </w:rPr>
        <w:footnoteReference w:id="389"/>
      </w:r>
      <w:r w:rsidR="00527B8B">
        <w:rPr>
          <w:sz w:val="22"/>
          <w:szCs w:val="22"/>
        </w:rPr>
        <w:t>)</w:t>
      </w:r>
      <w:r w:rsidR="00E21CC0">
        <w:t>.</w:t>
      </w:r>
      <w:r w:rsidR="00527B8B">
        <w:t xml:space="preserve"> </w:t>
      </w:r>
    </w:p>
    <w:p w14:paraId="7E2BF29E" w14:textId="49F82959" w:rsidR="000B4A3D" w:rsidRPr="007F7EBF" w:rsidRDefault="00E21CC0" w:rsidP="00A52B49">
      <w:pPr>
        <w:autoSpaceDE w:val="0"/>
        <w:autoSpaceDN w:val="0"/>
        <w:adjustRightInd w:val="0"/>
        <w:rPr>
          <w:sz w:val="22"/>
          <w:szCs w:val="22"/>
        </w:rPr>
      </w:pPr>
      <w:r>
        <w:rPr>
          <w:sz w:val="22"/>
          <w:szCs w:val="22"/>
        </w:rPr>
        <w:lastRenderedPageBreak/>
        <w:t xml:space="preserve">Trattandosi di attività sostanzialmente coincidenti col titolare, </w:t>
      </w:r>
      <w:r w:rsidR="00BE35FA">
        <w:t xml:space="preserve">senza rigidità gestionali interne </w:t>
      </w:r>
      <w:r>
        <w:rPr>
          <w:sz w:val="22"/>
          <w:szCs w:val="22"/>
        </w:rPr>
        <w:t>è molto facile omettere la registrazione fiscale d</w:t>
      </w:r>
      <w:r w:rsidR="00BE35FA">
        <w:rPr>
          <w:sz w:val="22"/>
          <w:szCs w:val="22"/>
        </w:rPr>
        <w:t xml:space="preserve">i ricavi e compensi, agendo cioè </w:t>
      </w:r>
      <w:r>
        <w:rPr>
          <w:sz w:val="22"/>
          <w:szCs w:val="22"/>
        </w:rPr>
        <w:t xml:space="preserve">“dall’alto”, come indicato al par.3.7; </w:t>
      </w:r>
    </w:p>
    <w:p w14:paraId="77079473" w14:textId="3C473839" w:rsidR="000B4A3D" w:rsidRPr="007F7EBF" w:rsidRDefault="00EC066E" w:rsidP="000B4A3D">
      <w:pPr>
        <w:pStyle w:val="tit23"/>
        <w:ind w:left="6464" w:right="-1361" w:firstLine="0"/>
        <w:jc w:val="left"/>
        <w:rPr>
          <w:bCs/>
          <w:i/>
          <w:iCs/>
          <w:color w:val="0000FF"/>
          <w:lang w:val="it-IT"/>
        </w:rPr>
      </w:pPr>
      <w:r>
        <w:rPr>
          <w:bCs/>
          <w:i/>
          <w:iCs/>
          <w:color w:val="0000FF"/>
          <w:lang w:val="it-IT"/>
        </w:rPr>
        <w:t>Dimensioni individuali e generali del problema</w:t>
      </w:r>
    </w:p>
    <w:p w14:paraId="5ED3DDD6" w14:textId="473C305E" w:rsidR="00B87E4E" w:rsidRPr="007F7EBF" w:rsidRDefault="0095073E" w:rsidP="0095073E">
      <w:pPr>
        <w:autoSpaceDE w:val="0"/>
        <w:autoSpaceDN w:val="0"/>
        <w:adjustRightInd w:val="0"/>
        <w:rPr>
          <w:sz w:val="22"/>
          <w:szCs w:val="22"/>
        </w:rPr>
      </w:pPr>
      <w:r>
        <w:rPr>
          <w:sz w:val="22"/>
          <w:szCs w:val="22"/>
        </w:rPr>
        <w:t xml:space="preserve">Gli operatori economici in queste condizioni sono particolarmente numerosi in </w:t>
      </w:r>
      <w:r w:rsidR="00BE35FA">
        <w:rPr>
          <w:sz w:val="22"/>
          <w:szCs w:val="22"/>
        </w:rPr>
        <w:t>I</w:t>
      </w:r>
      <w:r>
        <w:rPr>
          <w:sz w:val="22"/>
          <w:szCs w:val="22"/>
        </w:rPr>
        <w:t>talia, dove anche la struttura produttiva risente dello spontaneismo di cui al par.</w:t>
      </w:r>
      <w:r w:rsidR="003C43D7">
        <w:rPr>
          <w:sz w:val="22"/>
          <w:szCs w:val="22"/>
        </w:rPr>
        <w:t>4.1.</w:t>
      </w:r>
      <w:r>
        <w:rPr>
          <w:sz w:val="22"/>
          <w:szCs w:val="22"/>
        </w:rPr>
        <w:t xml:space="preserve"> </w:t>
      </w:r>
      <w:r w:rsidR="00700C46">
        <w:rPr>
          <w:sz w:val="22"/>
          <w:szCs w:val="22"/>
        </w:rPr>
        <w:t xml:space="preserve">Questa caratteristica fu semplicemente rimossa dalla riforma tributaria del 1973, che fondamentalmente impose la determinazione documentale e contabile anche a costoro, sancendola esplicitamente anche per chi non </w:t>
      </w:r>
      <w:r w:rsidR="00700C46" w:rsidRPr="00F32AFF">
        <w:rPr>
          <w:i/>
          <w:iCs/>
          <w:sz w:val="22"/>
          <w:szCs w:val="22"/>
        </w:rPr>
        <w:t>fosse organizzato in forma d’impresa</w:t>
      </w:r>
      <w:r w:rsidR="00700C46">
        <w:rPr>
          <w:sz w:val="22"/>
          <w:szCs w:val="22"/>
        </w:rPr>
        <w:t xml:space="preserve"> (par.7.5)</w:t>
      </w:r>
      <w:r w:rsidR="00FA0910">
        <w:rPr>
          <w:sz w:val="22"/>
          <w:szCs w:val="22"/>
        </w:rPr>
        <w:t>. Costoro hanno un</w:t>
      </w:r>
      <w:r w:rsidR="00FA0910" w:rsidRPr="007F7EBF">
        <w:rPr>
          <w:sz w:val="22"/>
          <w:szCs w:val="22"/>
        </w:rPr>
        <w:t>'azienda</w:t>
      </w:r>
      <w:r w:rsidR="00FA0910">
        <w:rPr>
          <w:sz w:val="22"/>
          <w:szCs w:val="22"/>
        </w:rPr>
        <w:t xml:space="preserve"> in </w:t>
      </w:r>
      <w:r w:rsidR="00FA0910" w:rsidRPr="007F7EBF">
        <w:rPr>
          <w:sz w:val="22"/>
          <w:szCs w:val="22"/>
        </w:rPr>
        <w:t>senso meramente materiale</w:t>
      </w:r>
      <w:r w:rsidR="00FA0910">
        <w:rPr>
          <w:sz w:val="22"/>
          <w:szCs w:val="22"/>
        </w:rPr>
        <w:t xml:space="preserve">, come </w:t>
      </w:r>
      <w:r w:rsidR="00FA0910" w:rsidRPr="007F7EBF">
        <w:rPr>
          <w:sz w:val="22"/>
          <w:szCs w:val="22"/>
        </w:rPr>
        <w:t xml:space="preserve">attrezzature, merci, contratti </w:t>
      </w:r>
      <w:r w:rsidR="00FA0910">
        <w:rPr>
          <w:sz w:val="22"/>
          <w:szCs w:val="22"/>
        </w:rPr>
        <w:t>(</w:t>
      </w:r>
      <w:r w:rsidR="00FA0910" w:rsidRPr="007F7EBF">
        <w:rPr>
          <w:sz w:val="22"/>
          <w:szCs w:val="22"/>
        </w:rPr>
        <w:t>par.3.1</w:t>
      </w:r>
      <w:r w:rsidR="00FA0910">
        <w:rPr>
          <w:sz w:val="22"/>
          <w:szCs w:val="22"/>
        </w:rPr>
        <w:t xml:space="preserve">), senza però la </w:t>
      </w:r>
      <w:proofErr w:type="spellStart"/>
      <w:r w:rsidR="00FA0910">
        <w:rPr>
          <w:sz w:val="22"/>
          <w:szCs w:val="22"/>
        </w:rPr>
        <w:t>pluripersonalità</w:t>
      </w:r>
      <w:proofErr w:type="spellEnd"/>
      <w:r w:rsidR="00FA0910">
        <w:rPr>
          <w:sz w:val="22"/>
          <w:szCs w:val="22"/>
        </w:rPr>
        <w:t xml:space="preserve">  che rende gestionalmente necessaria la documentazione interna su cui fa affidamento il diritto tributario. Questa e</w:t>
      </w:r>
      <w:r w:rsidR="00F32AFF">
        <w:rPr>
          <w:sz w:val="22"/>
          <w:szCs w:val="22"/>
        </w:rPr>
        <w:t xml:space="preserve">quiparazione dell’azienda </w:t>
      </w:r>
      <w:proofErr w:type="spellStart"/>
      <w:r w:rsidR="00F32AFF">
        <w:rPr>
          <w:sz w:val="22"/>
          <w:szCs w:val="22"/>
        </w:rPr>
        <w:t>monoaddetto</w:t>
      </w:r>
      <w:proofErr w:type="spellEnd"/>
      <w:r w:rsidR="00F32AFF">
        <w:rPr>
          <w:sz w:val="22"/>
          <w:szCs w:val="22"/>
        </w:rPr>
        <w:t xml:space="preserve"> a quella pluripersonale è un altro riflesso della mancata consapevolezza culturale dell’azienda come aggregazione sociale, su cui rimandiamo al par.3.1.</w:t>
      </w:r>
    </w:p>
    <w:p w14:paraId="00F2442C" w14:textId="6449D029" w:rsidR="00B87E4E" w:rsidRPr="007F7EBF" w:rsidRDefault="00DD63FA" w:rsidP="00B87E4E">
      <w:pPr>
        <w:pStyle w:val="tit23"/>
        <w:ind w:left="6464" w:right="-1361" w:firstLine="0"/>
        <w:jc w:val="left"/>
        <w:rPr>
          <w:bCs/>
          <w:i/>
          <w:iCs/>
          <w:color w:val="0000FF"/>
          <w:lang w:val="it-IT"/>
        </w:rPr>
      </w:pPr>
      <w:r w:rsidRPr="007F7EBF">
        <w:rPr>
          <w:bCs/>
          <w:i/>
          <w:iCs/>
          <w:color w:val="0000FF"/>
          <w:lang w:val="it-IT"/>
        </w:rPr>
        <w:t>L</w:t>
      </w:r>
      <w:r w:rsidR="00BA53C5">
        <w:rPr>
          <w:bCs/>
          <w:i/>
          <w:iCs/>
          <w:color w:val="0000FF"/>
          <w:lang w:val="it-IT"/>
        </w:rPr>
        <w:t>’espediente della</w:t>
      </w:r>
      <w:r w:rsidRPr="007F7EBF">
        <w:rPr>
          <w:bCs/>
          <w:i/>
          <w:iCs/>
          <w:color w:val="0000FF"/>
          <w:lang w:val="it-IT"/>
        </w:rPr>
        <w:t xml:space="preserve"> contabilità fiscale.</w:t>
      </w:r>
    </w:p>
    <w:p w14:paraId="1910E931" w14:textId="40E2505C" w:rsidR="008E1B0E" w:rsidRDefault="00F32AFF" w:rsidP="001521D7">
      <w:pPr>
        <w:autoSpaceDE w:val="0"/>
        <w:autoSpaceDN w:val="0"/>
        <w:adjustRightInd w:val="0"/>
      </w:pPr>
      <w:r>
        <w:rPr>
          <w:sz w:val="22"/>
          <w:szCs w:val="22"/>
        </w:rPr>
        <w:t xml:space="preserve">La particolarità delle aziende a gestione familiare, con pochi addetti, passò in secondo piano rispetto all’interesse del capitalismo familiare italiano a vedersi riconoscere la valenza tributaria della propria determinazione documentale-contabile. In questo modo le aziende a gestione dirigenziale, ma a proprietà familiare, si proteggevano da rettifiche valutative; di tali rettifiche talvolta c’erano anche i presupposti, vista la diffusione, all’epoca, anche presso le aziende organizzate, di significative evasioni in senso materiale, nei modi di cui al par.3.7.  </w:t>
      </w:r>
    </w:p>
    <w:p w14:paraId="692DEEE6" w14:textId="45BC3535" w:rsidR="00DD63FA" w:rsidRPr="007F7EBF" w:rsidRDefault="008E1B0E" w:rsidP="001521D7">
      <w:pPr>
        <w:autoSpaceDE w:val="0"/>
        <w:autoSpaceDN w:val="0"/>
        <w:adjustRightInd w:val="0"/>
        <w:rPr>
          <w:sz w:val="22"/>
          <w:szCs w:val="22"/>
        </w:rPr>
      </w:pPr>
      <w:r>
        <w:t>P</w:t>
      </w:r>
      <w:r w:rsidR="00BA53C5">
        <w:rPr>
          <w:sz w:val="22"/>
          <w:szCs w:val="22"/>
        </w:rPr>
        <w:t xml:space="preserve">iccoli commercianti, artigiani e professionisti, anche senza alcuna organizzazione, </w:t>
      </w:r>
      <w:r w:rsidR="00BA53C5">
        <w:rPr>
          <w:bCs/>
          <w:sz w:val="22"/>
          <w:szCs w:val="22"/>
        </w:rPr>
        <w:t>furono</w:t>
      </w:r>
      <w:r w:rsidR="00BA53C5" w:rsidRPr="007F7EBF">
        <w:rPr>
          <w:bCs/>
          <w:sz w:val="22"/>
          <w:szCs w:val="22"/>
        </w:rPr>
        <w:t xml:space="preserve"> </w:t>
      </w:r>
      <w:r w:rsidR="00BA53C5">
        <w:rPr>
          <w:bCs/>
          <w:sz w:val="22"/>
          <w:szCs w:val="22"/>
        </w:rPr>
        <w:t>obbligati</w:t>
      </w:r>
      <w:r w:rsidR="00BA53C5" w:rsidRPr="007F7EBF">
        <w:rPr>
          <w:bCs/>
          <w:sz w:val="22"/>
          <w:szCs w:val="22"/>
        </w:rPr>
        <w:t xml:space="preserve"> </w:t>
      </w:r>
      <w:r w:rsidR="00C61722">
        <w:rPr>
          <w:bCs/>
          <w:sz w:val="22"/>
          <w:szCs w:val="22"/>
        </w:rPr>
        <w:t xml:space="preserve">quindi </w:t>
      </w:r>
      <w:r w:rsidR="00BA53C5" w:rsidRPr="007F7EBF">
        <w:rPr>
          <w:sz w:val="22"/>
          <w:szCs w:val="22"/>
        </w:rPr>
        <w:t xml:space="preserve">ad una </w:t>
      </w:r>
      <w:r w:rsidR="00BA53C5">
        <w:rPr>
          <w:sz w:val="22"/>
          <w:szCs w:val="22"/>
        </w:rPr>
        <w:t>“</w:t>
      </w:r>
      <w:r w:rsidR="00BA53C5" w:rsidRPr="007F7EBF">
        <w:rPr>
          <w:sz w:val="22"/>
          <w:szCs w:val="22"/>
        </w:rPr>
        <w:t>contabilità</w:t>
      </w:r>
      <w:r w:rsidR="00BA53C5">
        <w:rPr>
          <w:sz w:val="22"/>
          <w:szCs w:val="22"/>
        </w:rPr>
        <w:t xml:space="preserve"> fiscale”, </w:t>
      </w:r>
      <w:r w:rsidR="00C61722">
        <w:rPr>
          <w:sz w:val="22"/>
          <w:szCs w:val="22"/>
        </w:rPr>
        <w:t xml:space="preserve">cui </w:t>
      </w:r>
      <w:r w:rsidR="00C61722">
        <w:rPr>
          <w:sz w:val="22"/>
          <w:szCs w:val="22"/>
        </w:rPr>
        <w:lastRenderedPageBreak/>
        <w:t xml:space="preserve">non avevano alcun interesse gestionale; </w:t>
      </w:r>
      <w:r w:rsidR="00BA53C5">
        <w:rPr>
          <w:sz w:val="22"/>
          <w:szCs w:val="22"/>
        </w:rPr>
        <w:t xml:space="preserve">da </w:t>
      </w:r>
      <w:r w:rsidR="00C61722">
        <w:rPr>
          <w:sz w:val="22"/>
          <w:szCs w:val="22"/>
        </w:rPr>
        <w:t>essa infatti</w:t>
      </w:r>
      <w:r w:rsidR="00BA53C5">
        <w:rPr>
          <w:sz w:val="22"/>
          <w:szCs w:val="22"/>
        </w:rPr>
        <w:t xml:space="preserve"> erano </w:t>
      </w:r>
      <w:r w:rsidR="00BA53C5" w:rsidRPr="007F7EBF">
        <w:rPr>
          <w:sz w:val="22"/>
          <w:szCs w:val="22"/>
        </w:rPr>
        <w:t xml:space="preserve"> </w:t>
      </w:r>
      <w:proofErr w:type="spellStart"/>
      <w:r w:rsidR="00BA53C5" w:rsidRPr="007F7EBF">
        <w:rPr>
          <w:sz w:val="22"/>
          <w:szCs w:val="22"/>
        </w:rPr>
        <w:t>civilisticamente</w:t>
      </w:r>
      <w:proofErr w:type="spellEnd"/>
      <w:r w:rsidR="00BA53C5" w:rsidRPr="007F7EBF">
        <w:rPr>
          <w:sz w:val="22"/>
          <w:szCs w:val="22"/>
        </w:rPr>
        <w:t xml:space="preserve"> </w:t>
      </w:r>
      <w:r w:rsidR="00BA53C5">
        <w:rPr>
          <w:sz w:val="22"/>
          <w:szCs w:val="22"/>
        </w:rPr>
        <w:t>esonerati</w:t>
      </w:r>
      <w:r w:rsidR="00BA53C5" w:rsidRPr="007F7EBF">
        <w:rPr>
          <w:sz w:val="22"/>
          <w:szCs w:val="22"/>
        </w:rPr>
        <w:t xml:space="preserve"> in quanto "piccoli imprenditori"(</w:t>
      </w:r>
      <w:r w:rsidR="00BA53C5" w:rsidRPr="007F7EBF">
        <w:rPr>
          <w:rStyle w:val="Rimandonotaapidipagina"/>
          <w:sz w:val="22"/>
          <w:szCs w:val="22"/>
        </w:rPr>
        <w:footnoteReference w:id="390"/>
      </w:r>
      <w:r w:rsidR="00BA53C5" w:rsidRPr="007F7EBF">
        <w:rPr>
          <w:sz w:val="22"/>
          <w:szCs w:val="22"/>
        </w:rPr>
        <w:t xml:space="preserve">). </w:t>
      </w:r>
      <w:r w:rsidR="001E25DB">
        <w:rPr>
          <w:sz w:val="22"/>
          <w:szCs w:val="22"/>
        </w:rPr>
        <w:t>Nacque così “il commercialista del gelataio” o del tassista</w:t>
      </w:r>
      <w:r>
        <w:rPr>
          <w:sz w:val="22"/>
          <w:szCs w:val="22"/>
        </w:rPr>
        <w:t>, con una farsa che ci accompagnerà nel corso di tutto il testo, con le patetiche esaltazioni del</w:t>
      </w:r>
      <w:r w:rsidRPr="007F7EBF">
        <w:t>la contabilit</w:t>
      </w:r>
      <w:r>
        <w:t xml:space="preserve">à di </w:t>
      </w:r>
      <w:r w:rsidRPr="007F7EBF">
        <w:t>pasticceri o fruttivendoli</w:t>
      </w:r>
      <w:r>
        <w:t xml:space="preserve">, come se attraverso di lei essi potessero diventare </w:t>
      </w:r>
      <w:r w:rsidRPr="007F7EBF">
        <w:t>un giorno come la Ferrero o Esselunga</w:t>
      </w:r>
      <w:r>
        <w:rPr>
          <w:sz w:val="22"/>
          <w:szCs w:val="22"/>
        </w:rPr>
        <w:t xml:space="preserve"> (</w:t>
      </w:r>
      <w:r w:rsidRPr="007F7EBF">
        <w:rPr>
          <w:rStyle w:val="Rimandonotaapidipagina"/>
          <w:sz w:val="22"/>
          <w:szCs w:val="22"/>
        </w:rPr>
        <w:footnoteReference w:id="391"/>
      </w:r>
      <w:r>
        <w:rPr>
          <w:sz w:val="22"/>
          <w:szCs w:val="22"/>
        </w:rPr>
        <w:t>).</w:t>
      </w:r>
    </w:p>
    <w:p w14:paraId="2232E020" w14:textId="429AC333" w:rsidR="00DD63FA" w:rsidRPr="007F7EBF" w:rsidRDefault="00BF7DA2" w:rsidP="00DD63FA">
      <w:pPr>
        <w:pStyle w:val="tit23"/>
        <w:ind w:left="6464" w:right="-1361" w:firstLine="0"/>
        <w:jc w:val="left"/>
        <w:rPr>
          <w:bCs/>
          <w:i/>
          <w:iCs/>
          <w:color w:val="0000FF"/>
          <w:lang w:val="it-IT"/>
        </w:rPr>
      </w:pPr>
      <w:r>
        <w:rPr>
          <w:bCs/>
          <w:i/>
          <w:iCs/>
          <w:color w:val="0000FF"/>
          <w:lang w:val="it-IT"/>
        </w:rPr>
        <w:t>Inaffidabilità di una contabilità gestionalmente inutile</w:t>
      </w:r>
    </w:p>
    <w:p w14:paraId="151449F3" w14:textId="37671395" w:rsidR="0054718E" w:rsidRPr="007F7EBF" w:rsidRDefault="00A8744F" w:rsidP="0054718E">
      <w:pPr>
        <w:autoSpaceDE w:val="0"/>
        <w:autoSpaceDN w:val="0"/>
        <w:adjustRightInd w:val="0"/>
        <w:rPr>
          <w:sz w:val="22"/>
          <w:szCs w:val="22"/>
        </w:rPr>
      </w:pPr>
      <w:r w:rsidRPr="007F7EBF">
        <w:rPr>
          <w:sz w:val="22"/>
          <w:szCs w:val="22"/>
        </w:rPr>
        <w:t>L</w:t>
      </w:r>
      <w:r w:rsidR="009070EB" w:rsidRPr="007F7EBF">
        <w:rPr>
          <w:sz w:val="22"/>
          <w:szCs w:val="22"/>
        </w:rPr>
        <w:t xml:space="preserve">a </w:t>
      </w:r>
      <w:r w:rsidR="00350A33">
        <w:rPr>
          <w:sz w:val="22"/>
          <w:szCs w:val="22"/>
        </w:rPr>
        <w:t xml:space="preserve">determinazione documentale dei presupposti economici d’imposta </w:t>
      </w:r>
      <w:r w:rsidR="009070EB" w:rsidRPr="007F7EBF">
        <w:rPr>
          <w:sz w:val="22"/>
          <w:szCs w:val="22"/>
        </w:rPr>
        <w:t xml:space="preserve"> </w:t>
      </w:r>
      <w:r w:rsidR="00350A33">
        <w:rPr>
          <w:sz w:val="22"/>
          <w:szCs w:val="22"/>
        </w:rPr>
        <w:t xml:space="preserve">fu resa quindi obbligatoria anche </w:t>
      </w:r>
      <w:r w:rsidR="009070EB" w:rsidRPr="007F7EBF">
        <w:rPr>
          <w:sz w:val="22"/>
          <w:szCs w:val="22"/>
        </w:rPr>
        <w:t>dove</w:t>
      </w:r>
      <w:r w:rsidRPr="007F7EBF">
        <w:rPr>
          <w:sz w:val="22"/>
          <w:szCs w:val="22"/>
        </w:rPr>
        <w:t xml:space="preserve"> </w:t>
      </w:r>
      <w:r w:rsidR="00DD63FA" w:rsidRPr="007F7EBF">
        <w:rPr>
          <w:sz w:val="22"/>
          <w:szCs w:val="22"/>
        </w:rPr>
        <w:t>mancava</w:t>
      </w:r>
      <w:r w:rsidR="00350A33">
        <w:rPr>
          <w:sz w:val="22"/>
          <w:szCs w:val="22"/>
        </w:rPr>
        <w:t xml:space="preserve"> </w:t>
      </w:r>
      <w:r w:rsidR="00AF0AFA">
        <w:rPr>
          <w:sz w:val="22"/>
          <w:szCs w:val="22"/>
        </w:rPr>
        <w:t xml:space="preserve">la necessità </w:t>
      </w:r>
      <w:r w:rsidR="00350A33">
        <w:rPr>
          <w:sz w:val="22"/>
          <w:szCs w:val="22"/>
        </w:rPr>
        <w:t xml:space="preserve">gestionale </w:t>
      </w:r>
      <w:r w:rsidR="00AF0AFA">
        <w:rPr>
          <w:sz w:val="22"/>
          <w:szCs w:val="22"/>
        </w:rPr>
        <w:t xml:space="preserve">di coordinare una pluralità di addetti attraverso la contabilità; </w:t>
      </w:r>
      <w:r w:rsidR="006A1A91">
        <w:rPr>
          <w:sz w:val="22"/>
          <w:szCs w:val="22"/>
        </w:rPr>
        <w:t xml:space="preserve">senza </w:t>
      </w:r>
      <w:r w:rsidR="008E1B0E">
        <w:rPr>
          <w:sz w:val="22"/>
          <w:szCs w:val="22"/>
        </w:rPr>
        <w:t>il contrasto di interessi tra gli addetti all’amministrazione aziendale</w:t>
      </w:r>
      <w:r w:rsidR="006A1A91">
        <w:rPr>
          <w:sz w:val="22"/>
          <w:szCs w:val="22"/>
        </w:rPr>
        <w:t xml:space="preserve"> (par.3.1-3.3)</w:t>
      </w:r>
      <w:r w:rsidR="008E1B0E">
        <w:rPr>
          <w:sz w:val="22"/>
          <w:szCs w:val="22"/>
        </w:rPr>
        <w:t xml:space="preserve">, </w:t>
      </w:r>
      <w:r w:rsidR="006A1A91">
        <w:rPr>
          <w:sz w:val="22"/>
          <w:szCs w:val="22"/>
        </w:rPr>
        <w:t xml:space="preserve">non si genera alcuna </w:t>
      </w:r>
      <w:r w:rsidR="00BF7DA2" w:rsidRPr="007F7EBF">
        <w:rPr>
          <w:sz w:val="22"/>
          <w:szCs w:val="22"/>
        </w:rPr>
        <w:t>affidabilità sostanziale</w:t>
      </w:r>
      <w:r w:rsidR="00BF7DA2">
        <w:rPr>
          <w:sz w:val="22"/>
          <w:szCs w:val="22"/>
        </w:rPr>
        <w:t xml:space="preserve"> </w:t>
      </w:r>
      <w:r w:rsidR="008E1B0E">
        <w:rPr>
          <w:sz w:val="22"/>
          <w:szCs w:val="22"/>
        </w:rPr>
        <w:t xml:space="preserve">dei documenti </w:t>
      </w:r>
      <w:r w:rsidR="003832DD">
        <w:rPr>
          <w:sz w:val="22"/>
          <w:szCs w:val="22"/>
        </w:rPr>
        <w:t xml:space="preserve">per il </w:t>
      </w:r>
      <w:r w:rsidR="00BF7DA2">
        <w:rPr>
          <w:sz w:val="22"/>
          <w:szCs w:val="22"/>
        </w:rPr>
        <w:t>fisco</w:t>
      </w:r>
      <w:r w:rsidR="00BF7DA2" w:rsidRPr="007F7EBF">
        <w:rPr>
          <w:sz w:val="22"/>
          <w:szCs w:val="22"/>
        </w:rPr>
        <w:t>.</w:t>
      </w:r>
      <w:r w:rsidR="00BF7DA2">
        <w:rPr>
          <w:sz w:val="22"/>
          <w:szCs w:val="22"/>
        </w:rPr>
        <w:t xml:space="preserve"> </w:t>
      </w:r>
      <w:r w:rsidR="006A1A91">
        <w:rPr>
          <w:sz w:val="22"/>
          <w:szCs w:val="22"/>
        </w:rPr>
        <w:t xml:space="preserve">Mentre </w:t>
      </w:r>
      <w:r w:rsidR="00350A33">
        <w:rPr>
          <w:sz w:val="22"/>
          <w:szCs w:val="22"/>
        </w:rPr>
        <w:t>n</w:t>
      </w:r>
      <w:r w:rsidR="003832DD">
        <w:rPr>
          <w:sz w:val="22"/>
          <w:szCs w:val="22"/>
        </w:rPr>
        <w:t xml:space="preserve">ell’azienda pluripersonale </w:t>
      </w:r>
      <w:r w:rsidR="00350A33">
        <w:rPr>
          <w:sz w:val="22"/>
          <w:szCs w:val="22"/>
        </w:rPr>
        <w:t xml:space="preserve">il </w:t>
      </w:r>
      <w:r w:rsidR="003832DD">
        <w:rPr>
          <w:sz w:val="22"/>
          <w:szCs w:val="22"/>
        </w:rPr>
        <w:t xml:space="preserve">titolare può </w:t>
      </w:r>
      <w:r w:rsidR="006A35E5">
        <w:rPr>
          <w:sz w:val="22"/>
          <w:szCs w:val="22"/>
        </w:rPr>
        <w:t>scavalcare l</w:t>
      </w:r>
      <w:r w:rsidR="00824943">
        <w:rPr>
          <w:sz w:val="22"/>
          <w:szCs w:val="22"/>
        </w:rPr>
        <w:t xml:space="preserve">e procedure </w:t>
      </w:r>
      <w:r w:rsidR="006A35E5">
        <w:rPr>
          <w:sz w:val="22"/>
          <w:szCs w:val="22"/>
        </w:rPr>
        <w:t>documenta</w:t>
      </w:r>
      <w:r w:rsidR="00824943">
        <w:rPr>
          <w:sz w:val="22"/>
          <w:szCs w:val="22"/>
        </w:rPr>
        <w:t>li coi metod</w:t>
      </w:r>
      <w:r w:rsidR="003832DD">
        <w:rPr>
          <w:sz w:val="22"/>
          <w:szCs w:val="22"/>
        </w:rPr>
        <w:t xml:space="preserve">i indicati al </w:t>
      </w:r>
      <w:r w:rsidR="009B0B71" w:rsidRPr="007F7EBF">
        <w:rPr>
          <w:sz w:val="22"/>
          <w:szCs w:val="22"/>
        </w:rPr>
        <w:t>par.3</w:t>
      </w:r>
      <w:r w:rsidR="00830E85">
        <w:rPr>
          <w:sz w:val="22"/>
          <w:szCs w:val="22"/>
        </w:rPr>
        <w:t>.</w:t>
      </w:r>
      <w:r w:rsidR="00EE13DA">
        <w:rPr>
          <w:sz w:val="22"/>
          <w:szCs w:val="22"/>
        </w:rPr>
        <w:t>7</w:t>
      </w:r>
      <w:r w:rsidR="006A1A91">
        <w:rPr>
          <w:sz w:val="22"/>
          <w:szCs w:val="22"/>
        </w:rPr>
        <w:t xml:space="preserve">, non ha senso parlare di procedure dove esiste solo il titolare. </w:t>
      </w:r>
    </w:p>
    <w:p w14:paraId="4665B017" w14:textId="07C3E75B" w:rsidR="0054718E" w:rsidRPr="007F7EBF" w:rsidRDefault="00715569" w:rsidP="0054718E">
      <w:pPr>
        <w:pStyle w:val="tit23"/>
        <w:ind w:left="6464" w:right="-1361" w:firstLine="0"/>
        <w:jc w:val="left"/>
        <w:rPr>
          <w:bCs/>
          <w:i/>
          <w:iCs/>
          <w:color w:val="0000FF"/>
          <w:lang w:val="it-IT"/>
        </w:rPr>
      </w:pPr>
      <w:r>
        <w:rPr>
          <w:bCs/>
          <w:i/>
          <w:iCs/>
          <w:color w:val="0000FF"/>
          <w:lang w:val="it-IT"/>
        </w:rPr>
        <w:t>L’equivoco del “comm</w:t>
      </w:r>
      <w:r w:rsidR="0054718E" w:rsidRPr="007F7EBF">
        <w:rPr>
          <w:bCs/>
          <w:i/>
          <w:iCs/>
          <w:color w:val="0000FF"/>
          <w:lang w:val="it-IT"/>
        </w:rPr>
        <w:t>e</w:t>
      </w:r>
      <w:r>
        <w:rPr>
          <w:bCs/>
          <w:i/>
          <w:iCs/>
          <w:color w:val="0000FF"/>
          <w:lang w:val="it-IT"/>
        </w:rPr>
        <w:t>rcialista” (rinvio)</w:t>
      </w:r>
    </w:p>
    <w:p w14:paraId="04BE73F3" w14:textId="4285F652" w:rsidR="004512AD" w:rsidRPr="007F7EBF" w:rsidRDefault="00824943" w:rsidP="00145641">
      <w:pPr>
        <w:autoSpaceDE w:val="0"/>
        <w:autoSpaceDN w:val="0"/>
        <w:adjustRightInd w:val="0"/>
        <w:rPr>
          <w:sz w:val="22"/>
          <w:szCs w:val="22"/>
        </w:rPr>
      </w:pPr>
      <w:r>
        <w:rPr>
          <w:sz w:val="22"/>
          <w:szCs w:val="22"/>
        </w:rPr>
        <w:t>Quest</w:t>
      </w:r>
      <w:r w:rsidR="00B740C2" w:rsidRPr="007F7EBF">
        <w:rPr>
          <w:sz w:val="22"/>
          <w:szCs w:val="22"/>
        </w:rPr>
        <w:t xml:space="preserve">a </w:t>
      </w:r>
      <w:r w:rsidR="004F42F7">
        <w:rPr>
          <w:sz w:val="22"/>
          <w:szCs w:val="22"/>
        </w:rPr>
        <w:t xml:space="preserve">  </w:t>
      </w:r>
      <w:r w:rsidR="00B740C2" w:rsidRPr="007F7EBF">
        <w:rPr>
          <w:sz w:val="22"/>
          <w:szCs w:val="22"/>
        </w:rPr>
        <w:t xml:space="preserve">"contabilità fiscale" poteva quindi solo essere demandata a un professionista </w:t>
      </w:r>
      <w:r w:rsidR="00DB4C74" w:rsidRPr="007F7EBF">
        <w:rPr>
          <w:sz w:val="22"/>
          <w:szCs w:val="22"/>
        </w:rPr>
        <w:t>estraneo all’attività</w:t>
      </w:r>
      <w:r w:rsidR="001B238A">
        <w:rPr>
          <w:sz w:val="22"/>
          <w:szCs w:val="22"/>
        </w:rPr>
        <w:t xml:space="preserve">, </w:t>
      </w:r>
      <w:r w:rsidR="00976D90">
        <w:rPr>
          <w:sz w:val="22"/>
          <w:szCs w:val="22"/>
        </w:rPr>
        <w:t xml:space="preserve">a differenza dei contabili delle aziende, </w:t>
      </w:r>
      <w:r w:rsidR="00FF22CD" w:rsidRPr="00145641">
        <w:rPr>
          <w:sz w:val="22"/>
          <w:szCs w:val="22"/>
        </w:rPr>
        <w:t>interessat</w:t>
      </w:r>
      <w:r w:rsidR="00976D90">
        <w:rPr>
          <w:sz w:val="22"/>
          <w:szCs w:val="22"/>
        </w:rPr>
        <w:t>i</w:t>
      </w:r>
      <w:r w:rsidR="00FF22CD" w:rsidRPr="00145641">
        <w:rPr>
          <w:sz w:val="22"/>
          <w:szCs w:val="22"/>
        </w:rPr>
        <w:t xml:space="preserve"> a controllare </w:t>
      </w:r>
      <w:r w:rsidR="00DB4C74" w:rsidRPr="00145641">
        <w:rPr>
          <w:sz w:val="22"/>
          <w:szCs w:val="22"/>
        </w:rPr>
        <w:t xml:space="preserve">incassi </w:t>
      </w:r>
      <w:r w:rsidR="00FF22CD" w:rsidRPr="00145641">
        <w:rPr>
          <w:sz w:val="22"/>
          <w:szCs w:val="22"/>
        </w:rPr>
        <w:t>e</w:t>
      </w:r>
      <w:r w:rsidR="00DB4C74" w:rsidRPr="00145641">
        <w:rPr>
          <w:sz w:val="22"/>
          <w:szCs w:val="22"/>
        </w:rPr>
        <w:t xml:space="preserve"> spese</w:t>
      </w:r>
      <w:r w:rsidR="00976D90">
        <w:rPr>
          <w:sz w:val="22"/>
          <w:szCs w:val="22"/>
        </w:rPr>
        <w:t>. Il commercialista semplicemente prende atto di quanto il piccolo commerciante o l’artigiano gli comunica</w:t>
      </w:r>
      <w:r w:rsidR="00B329F0">
        <w:rPr>
          <w:sz w:val="22"/>
          <w:szCs w:val="22"/>
        </w:rPr>
        <w:t xml:space="preserve">, senza </w:t>
      </w:r>
      <w:r w:rsidR="00145641">
        <w:rPr>
          <w:sz w:val="22"/>
          <w:szCs w:val="22"/>
        </w:rPr>
        <w:t>incentivi ad</w:t>
      </w:r>
      <w:r w:rsidR="00B329F0">
        <w:rPr>
          <w:sz w:val="22"/>
          <w:szCs w:val="22"/>
        </w:rPr>
        <w:t xml:space="preserve"> entrare in argomento, salvi gli opportunismi </w:t>
      </w:r>
      <w:r w:rsidR="00145641">
        <w:rPr>
          <w:sz w:val="22"/>
          <w:szCs w:val="22"/>
        </w:rPr>
        <w:t>indicati al par.3.16</w:t>
      </w:r>
      <w:r w:rsidR="001521D7" w:rsidRPr="007F7EBF">
        <w:rPr>
          <w:sz w:val="22"/>
          <w:szCs w:val="22"/>
        </w:rPr>
        <w:t xml:space="preserve">. </w:t>
      </w:r>
    </w:p>
    <w:p w14:paraId="1972F577" w14:textId="77777777" w:rsidR="000B1BFB" w:rsidRPr="007F7EBF" w:rsidRDefault="000B1BFB" w:rsidP="00EB71CF">
      <w:pPr>
        <w:autoSpaceDE w:val="0"/>
        <w:autoSpaceDN w:val="0"/>
        <w:adjustRightInd w:val="0"/>
        <w:rPr>
          <w:sz w:val="22"/>
          <w:szCs w:val="22"/>
        </w:rPr>
      </w:pPr>
    </w:p>
    <w:p w14:paraId="0EAF5897" w14:textId="02C94B64" w:rsidR="00613950" w:rsidRDefault="00D07ED2" w:rsidP="00AC2406">
      <w:pPr>
        <w:pStyle w:val="Titolo3"/>
        <w:rPr>
          <w:rFonts w:ascii="Times New Roman" w:hAnsi="Times New Roman"/>
          <w:sz w:val="22"/>
          <w:szCs w:val="22"/>
          <w:lang w:val="it-IT"/>
        </w:rPr>
      </w:pPr>
      <w:bookmarkStart w:id="45" w:name="_Toc63364961"/>
      <w:r w:rsidRPr="007F7EBF">
        <w:rPr>
          <w:rFonts w:ascii="Times New Roman" w:hAnsi="Times New Roman"/>
          <w:sz w:val="22"/>
          <w:szCs w:val="22"/>
        </w:rPr>
        <w:lastRenderedPageBreak/>
        <w:t xml:space="preserve">3.14. </w:t>
      </w:r>
      <w:r w:rsidRPr="007F7EBF">
        <w:rPr>
          <w:rFonts w:ascii="Times New Roman" w:hAnsi="Times New Roman"/>
          <w:sz w:val="22"/>
          <w:szCs w:val="22"/>
          <w:lang w:val="it-IT"/>
        </w:rPr>
        <w:t xml:space="preserve">Segue. </w:t>
      </w:r>
      <w:r w:rsidR="00715569">
        <w:rPr>
          <w:rFonts w:ascii="Times New Roman" w:hAnsi="Times New Roman"/>
          <w:sz w:val="22"/>
          <w:szCs w:val="22"/>
          <w:lang w:val="it-IT"/>
        </w:rPr>
        <w:t>Sopravvalutazione della funzione tributaria e adempimento relativamente alto di piccoli commercianti e artigiani in sede fissa</w:t>
      </w:r>
      <w:bookmarkEnd w:id="45"/>
      <w:r w:rsidR="00715569">
        <w:rPr>
          <w:rFonts w:ascii="Times New Roman" w:hAnsi="Times New Roman"/>
          <w:sz w:val="22"/>
          <w:szCs w:val="22"/>
          <w:lang w:val="it-IT"/>
        </w:rPr>
        <w:t xml:space="preserve"> </w:t>
      </w:r>
      <w:r w:rsidR="005D7720">
        <w:rPr>
          <w:rFonts w:ascii="Times New Roman" w:hAnsi="Times New Roman"/>
          <w:sz w:val="22"/>
          <w:szCs w:val="22"/>
          <w:lang w:val="it-IT"/>
        </w:rPr>
        <w:t xml:space="preserve"> </w:t>
      </w:r>
    </w:p>
    <w:p w14:paraId="551703D2" w14:textId="6EFA70C5" w:rsidR="003E799F" w:rsidRDefault="003E799F" w:rsidP="003E799F">
      <w:pPr>
        <w:rPr>
          <w:lang w:eastAsia="x-none"/>
        </w:rPr>
      </w:pPr>
    </w:p>
    <w:p w14:paraId="25CE05EE" w14:textId="3593FD8C" w:rsidR="003E799F" w:rsidRPr="007F7EBF" w:rsidRDefault="003038AB" w:rsidP="003E799F">
      <w:pPr>
        <w:pStyle w:val="tit23"/>
        <w:ind w:left="6464" w:right="-1361" w:firstLine="0"/>
        <w:jc w:val="left"/>
        <w:rPr>
          <w:bCs/>
          <w:i/>
          <w:iCs/>
          <w:color w:val="0000FF"/>
          <w:lang w:val="it-IT"/>
        </w:rPr>
      </w:pPr>
      <w:r>
        <w:rPr>
          <w:bCs/>
          <w:i/>
          <w:iCs/>
          <w:color w:val="0000FF"/>
          <w:lang w:val="it-IT"/>
        </w:rPr>
        <w:t>Consapevolezza della determinabilità valutativa</w:t>
      </w:r>
    </w:p>
    <w:p w14:paraId="5D40919C" w14:textId="426869D5" w:rsidR="008C67AE" w:rsidRPr="007F7EBF" w:rsidRDefault="003038AB" w:rsidP="00DA0CAB">
      <w:pPr>
        <w:autoSpaceDE w:val="0"/>
        <w:autoSpaceDN w:val="0"/>
        <w:adjustRightInd w:val="0"/>
        <w:rPr>
          <w:sz w:val="22"/>
          <w:szCs w:val="22"/>
        </w:rPr>
      </w:pPr>
      <w:proofErr w:type="spellStart"/>
      <w:r>
        <w:rPr>
          <w:sz w:val="22"/>
          <w:szCs w:val="22"/>
        </w:rPr>
        <w:t>Benchè</w:t>
      </w:r>
      <w:proofErr w:type="spellEnd"/>
      <w:r>
        <w:rPr>
          <w:sz w:val="22"/>
          <w:szCs w:val="22"/>
        </w:rPr>
        <w:t xml:space="preserve"> la determinazione contabile dei loro imponibili sia inefficace, come indicato al paragrafo precedente, piccoli commercianti, artigiani e professionisti sono consapevoli della tradizionale determinabilità valutativa dei redditi e dei consumi connessi alla loro attività. Inoltre essi sono consapevoli delle segnalazioni specifiche (canoni di locazione, contributi per il dipendente, costi delle utenze elettriche) definite “indizi contabili” al par.5.9. Pur avendo ampi margini per scrivere quello che vogliono sulla “contabilità fiscale” di cui al paragrafo precedente, questi contribuenti sanno bene in quale misura la loro attività è visibile</w:t>
      </w:r>
      <w:r w:rsidR="00DA0CAB">
        <w:rPr>
          <w:bCs/>
          <w:sz w:val="22"/>
          <w:szCs w:val="22"/>
        </w:rPr>
        <w:t>; quando operano in sede fissa, con una stabilità di orario, come quello di apertura degli esercizi commerciali, essi percepiscono che il fisco può comprenderne le caratteristiche esteriori come fanno loro stessi clienti</w:t>
      </w:r>
      <w:r>
        <w:rPr>
          <w:sz w:val="22"/>
          <w:szCs w:val="22"/>
        </w:rPr>
        <w:t xml:space="preserve">. Per questo </w:t>
      </w:r>
      <w:r w:rsidR="006F4461">
        <w:rPr>
          <w:sz w:val="22"/>
          <w:szCs w:val="22"/>
        </w:rPr>
        <w:t>gl</w:t>
      </w:r>
      <w:r w:rsidR="00D27276">
        <w:rPr>
          <w:sz w:val="22"/>
          <w:szCs w:val="22"/>
        </w:rPr>
        <w:t xml:space="preserve">i </w:t>
      </w:r>
      <w:r w:rsidR="006F4461">
        <w:rPr>
          <w:sz w:val="22"/>
          <w:szCs w:val="22"/>
        </w:rPr>
        <w:t>imponibili</w:t>
      </w:r>
      <w:r w:rsidR="00D27276">
        <w:rPr>
          <w:sz w:val="22"/>
          <w:szCs w:val="22"/>
        </w:rPr>
        <w:t xml:space="preserve"> </w:t>
      </w:r>
      <w:r>
        <w:rPr>
          <w:sz w:val="22"/>
          <w:szCs w:val="22"/>
        </w:rPr>
        <w:t xml:space="preserve">da loro </w:t>
      </w:r>
      <w:r w:rsidR="00D27276">
        <w:rPr>
          <w:sz w:val="22"/>
          <w:szCs w:val="22"/>
        </w:rPr>
        <w:t xml:space="preserve">dichiarati restano </w:t>
      </w:r>
      <w:r>
        <w:rPr>
          <w:sz w:val="22"/>
          <w:szCs w:val="22"/>
        </w:rPr>
        <w:t>spesso</w:t>
      </w:r>
      <w:r w:rsidR="00D27276">
        <w:rPr>
          <w:sz w:val="22"/>
          <w:szCs w:val="22"/>
        </w:rPr>
        <w:t xml:space="preserve"> verosimili, come indicato al par.</w:t>
      </w:r>
      <w:r w:rsidR="00361BCC">
        <w:rPr>
          <w:sz w:val="22"/>
          <w:szCs w:val="22"/>
        </w:rPr>
        <w:t>1.7</w:t>
      </w:r>
      <w:r w:rsidR="00DA0CAB">
        <w:rPr>
          <w:sz w:val="22"/>
          <w:szCs w:val="22"/>
        </w:rPr>
        <w:t xml:space="preserve">, non per </w:t>
      </w:r>
      <w:r w:rsidR="00DA0CAB">
        <w:rPr>
          <w:bCs/>
          <w:sz w:val="22"/>
          <w:szCs w:val="22"/>
        </w:rPr>
        <w:t>un particolare “senso civico”, come indicato al par.4.5,  ma per questa percezione di esposizione ai controlli (</w:t>
      </w:r>
      <w:r w:rsidR="00DA0CAB" w:rsidRPr="007F7EBF">
        <w:rPr>
          <w:rStyle w:val="Rimandonotaapidipagina"/>
          <w:sz w:val="22"/>
          <w:szCs w:val="22"/>
        </w:rPr>
        <w:footnoteReference w:id="392"/>
      </w:r>
      <w:r w:rsidR="00DA0CAB">
        <w:rPr>
          <w:bCs/>
          <w:sz w:val="22"/>
          <w:szCs w:val="22"/>
        </w:rPr>
        <w:t xml:space="preserve">). </w:t>
      </w:r>
    </w:p>
    <w:p w14:paraId="70D90D21" w14:textId="77777777" w:rsidR="00B37385" w:rsidRPr="007F7EBF" w:rsidRDefault="00B37385" w:rsidP="00B37385">
      <w:pPr>
        <w:pStyle w:val="tit23"/>
        <w:ind w:left="6464" w:right="-1361" w:firstLine="0"/>
        <w:jc w:val="left"/>
        <w:rPr>
          <w:bCs/>
          <w:i/>
          <w:iCs/>
          <w:color w:val="0000FF"/>
          <w:lang w:val="it-IT"/>
        </w:rPr>
      </w:pPr>
      <w:r w:rsidRPr="007F7EBF">
        <w:rPr>
          <w:bCs/>
          <w:i/>
          <w:iCs/>
          <w:color w:val="0000FF"/>
          <w:lang w:val="it-IT"/>
        </w:rPr>
        <w:t>Adeguamento dei comportamenti alla percezione della propria visibilità</w:t>
      </w:r>
    </w:p>
    <w:p w14:paraId="51D9B0E2" w14:textId="38251E1C" w:rsidR="00AA5A90" w:rsidRPr="007F7EBF" w:rsidRDefault="007D1FC4" w:rsidP="00AA5A90">
      <w:pPr>
        <w:autoSpaceDE w:val="0"/>
        <w:autoSpaceDN w:val="0"/>
        <w:adjustRightInd w:val="0"/>
        <w:rPr>
          <w:sz w:val="22"/>
          <w:szCs w:val="22"/>
        </w:rPr>
      </w:pPr>
      <w:r>
        <w:rPr>
          <w:sz w:val="22"/>
          <w:szCs w:val="22"/>
        </w:rPr>
        <w:t xml:space="preserve">Il vincolo che questi operatori avvertono </w:t>
      </w:r>
      <w:r w:rsidR="003D0CD7">
        <w:rPr>
          <w:sz w:val="22"/>
          <w:szCs w:val="22"/>
        </w:rPr>
        <w:t xml:space="preserve"> </w:t>
      </w:r>
      <w:r>
        <w:rPr>
          <w:sz w:val="22"/>
          <w:szCs w:val="22"/>
        </w:rPr>
        <w:t xml:space="preserve">è quindi quello di dichiarare imponibili </w:t>
      </w:r>
      <w:r w:rsidR="00DA0CAB">
        <w:rPr>
          <w:sz w:val="22"/>
          <w:szCs w:val="22"/>
        </w:rPr>
        <w:t>coerenti con le c</w:t>
      </w:r>
      <w:r w:rsidR="00DA0CAB" w:rsidRPr="007F7EBF">
        <w:rPr>
          <w:bCs/>
          <w:sz w:val="22"/>
          <w:szCs w:val="22"/>
        </w:rPr>
        <w:t xml:space="preserve">aratteristiche </w:t>
      </w:r>
      <w:r>
        <w:rPr>
          <w:bCs/>
          <w:sz w:val="22"/>
          <w:szCs w:val="22"/>
        </w:rPr>
        <w:t xml:space="preserve">della loro </w:t>
      </w:r>
      <w:r w:rsidR="00DA0CAB">
        <w:rPr>
          <w:bCs/>
          <w:sz w:val="22"/>
          <w:szCs w:val="22"/>
        </w:rPr>
        <w:t>attività, per quanto percepibili dagli uffici tributari</w:t>
      </w:r>
      <w:r w:rsidR="00DA0CAB" w:rsidRPr="007F7EBF">
        <w:rPr>
          <w:bCs/>
          <w:sz w:val="22"/>
          <w:szCs w:val="22"/>
        </w:rPr>
        <w:t xml:space="preserve">. </w:t>
      </w:r>
      <w:r>
        <w:rPr>
          <w:bCs/>
          <w:sz w:val="22"/>
          <w:szCs w:val="22"/>
        </w:rPr>
        <w:t xml:space="preserve">Per questo l’evasione effettiva, riscontrabile dalle statistiche delle dichiarazioni di questi soggetti, non è così elevata come potrebbe essere in relazione alla sostanziale assenza di </w:t>
      </w:r>
      <w:r>
        <w:rPr>
          <w:bCs/>
          <w:sz w:val="22"/>
          <w:szCs w:val="22"/>
        </w:rPr>
        <w:lastRenderedPageBreak/>
        <w:t>controllo valutativo del territorio su queste tipologie di imponibili (par.5.2 e 5.13).  Q</w:t>
      </w:r>
      <w:r w:rsidR="001521D7" w:rsidRPr="007F7EBF">
        <w:rPr>
          <w:sz w:val="22"/>
          <w:szCs w:val="22"/>
        </w:rPr>
        <w:t xml:space="preserve">uesta </w:t>
      </w:r>
      <w:r>
        <w:rPr>
          <w:sz w:val="22"/>
          <w:szCs w:val="22"/>
        </w:rPr>
        <w:t xml:space="preserve">consapevolezza di </w:t>
      </w:r>
      <w:r w:rsidR="001521D7" w:rsidRPr="007F7EBF">
        <w:rPr>
          <w:sz w:val="22"/>
          <w:szCs w:val="22"/>
        </w:rPr>
        <w:t>visibilità</w:t>
      </w:r>
      <w:r>
        <w:rPr>
          <w:sz w:val="22"/>
          <w:szCs w:val="22"/>
        </w:rPr>
        <w:t xml:space="preserve">, </w:t>
      </w:r>
      <w:proofErr w:type="spellStart"/>
      <w:r>
        <w:t>benchè</w:t>
      </w:r>
      <w:proofErr w:type="spellEnd"/>
      <w:r>
        <w:t xml:space="preserve"> “</w:t>
      </w:r>
      <w:r w:rsidRPr="007F7EBF">
        <w:rPr>
          <w:bCs/>
        </w:rPr>
        <w:t>materiale”, cioè “fisico-economica”</w:t>
      </w:r>
      <w:r>
        <w:rPr>
          <w:bCs/>
        </w:rPr>
        <w:t xml:space="preserve"> e</w:t>
      </w:r>
      <w:r w:rsidRPr="007F7EBF">
        <w:rPr>
          <w:bCs/>
        </w:rPr>
        <w:t xml:space="preserve"> non “contabile”</w:t>
      </w:r>
      <w:r>
        <w:rPr>
          <w:bCs/>
        </w:rPr>
        <w:t xml:space="preserve"> (</w:t>
      </w:r>
      <w:r w:rsidRPr="007F7EBF">
        <w:rPr>
          <w:bCs/>
        </w:rPr>
        <w:t>par.1.11</w:t>
      </w:r>
      <w:r>
        <w:rPr>
          <w:bCs/>
        </w:rPr>
        <w:t xml:space="preserve">) </w:t>
      </w:r>
      <w:r>
        <w:t>spinge gli operatori</w:t>
      </w:r>
      <w:r w:rsidR="00BF675D" w:rsidRPr="007F7EBF">
        <w:rPr>
          <w:sz w:val="22"/>
          <w:szCs w:val="22"/>
        </w:rPr>
        <w:t xml:space="preserve"> in sede fissa</w:t>
      </w:r>
      <w:r w:rsidR="00552ADD">
        <w:rPr>
          <w:sz w:val="22"/>
          <w:szCs w:val="22"/>
        </w:rPr>
        <w:t xml:space="preserve"> </w:t>
      </w:r>
      <w:r w:rsidR="001521D7" w:rsidRPr="007F7EBF">
        <w:rPr>
          <w:sz w:val="22"/>
          <w:szCs w:val="22"/>
        </w:rPr>
        <w:t>a registrarsi fiscalmente</w:t>
      </w:r>
      <w:r w:rsidR="00552ADD">
        <w:rPr>
          <w:sz w:val="22"/>
          <w:szCs w:val="22"/>
        </w:rPr>
        <w:t xml:space="preserve">, cioè </w:t>
      </w:r>
      <w:r w:rsidR="00AC4597">
        <w:rPr>
          <w:sz w:val="22"/>
          <w:szCs w:val="22"/>
        </w:rPr>
        <w:t>apr</w:t>
      </w:r>
      <w:r w:rsidR="00552ADD">
        <w:rPr>
          <w:sz w:val="22"/>
          <w:szCs w:val="22"/>
        </w:rPr>
        <w:t>ir</w:t>
      </w:r>
      <w:r w:rsidR="00AC4597">
        <w:rPr>
          <w:sz w:val="22"/>
          <w:szCs w:val="22"/>
        </w:rPr>
        <w:t>e la partita IVA, rivolge</w:t>
      </w:r>
      <w:r w:rsidR="00552ADD">
        <w:rPr>
          <w:sz w:val="22"/>
          <w:szCs w:val="22"/>
        </w:rPr>
        <w:t>rsi</w:t>
      </w:r>
      <w:r w:rsidR="00AC4597">
        <w:rPr>
          <w:sz w:val="22"/>
          <w:szCs w:val="22"/>
        </w:rPr>
        <w:t xml:space="preserve"> a un commercialista </w:t>
      </w:r>
      <w:r w:rsidR="008810C1">
        <w:rPr>
          <w:sz w:val="22"/>
          <w:szCs w:val="22"/>
        </w:rPr>
        <w:t>(par.3.16)</w:t>
      </w:r>
      <w:r w:rsidR="00552ADD">
        <w:rPr>
          <w:sz w:val="22"/>
          <w:szCs w:val="22"/>
        </w:rPr>
        <w:t xml:space="preserve">, </w:t>
      </w:r>
      <w:r w:rsidR="00AC4597">
        <w:rPr>
          <w:sz w:val="22"/>
          <w:szCs w:val="22"/>
        </w:rPr>
        <w:t>presenta</w:t>
      </w:r>
      <w:r w:rsidR="00552ADD">
        <w:rPr>
          <w:sz w:val="22"/>
          <w:szCs w:val="22"/>
        </w:rPr>
        <w:t>re</w:t>
      </w:r>
      <w:r w:rsidR="00AC4597">
        <w:rPr>
          <w:sz w:val="22"/>
          <w:szCs w:val="22"/>
        </w:rPr>
        <w:t xml:space="preserve"> le prescritte dichiarazioni</w:t>
      </w:r>
      <w:r w:rsidR="008810C1">
        <w:rPr>
          <w:sz w:val="22"/>
          <w:szCs w:val="22"/>
        </w:rPr>
        <w:t xml:space="preserve"> (par.3.4)</w:t>
      </w:r>
      <w:r w:rsidR="00AC4597">
        <w:rPr>
          <w:sz w:val="22"/>
          <w:szCs w:val="22"/>
        </w:rPr>
        <w:t>, cercando di renderle esteriormente v</w:t>
      </w:r>
      <w:r w:rsidR="00B37385" w:rsidRPr="007F7EBF">
        <w:rPr>
          <w:bCs/>
          <w:sz w:val="22"/>
          <w:szCs w:val="22"/>
        </w:rPr>
        <w:t xml:space="preserve">erosimili </w:t>
      </w:r>
      <w:r w:rsidR="00AC4597">
        <w:rPr>
          <w:bCs/>
          <w:sz w:val="22"/>
          <w:szCs w:val="22"/>
        </w:rPr>
        <w:t xml:space="preserve">rispetto all’immagine esterna della </w:t>
      </w:r>
      <w:r w:rsidR="00BF675D">
        <w:rPr>
          <w:bCs/>
          <w:sz w:val="22"/>
          <w:szCs w:val="22"/>
        </w:rPr>
        <w:t>propria</w:t>
      </w:r>
      <w:r w:rsidR="00AC4597">
        <w:rPr>
          <w:bCs/>
          <w:sz w:val="22"/>
          <w:szCs w:val="22"/>
        </w:rPr>
        <w:t xml:space="preserve"> attività</w:t>
      </w:r>
      <w:r w:rsidR="00552ADD">
        <w:rPr>
          <w:bCs/>
          <w:sz w:val="22"/>
          <w:szCs w:val="22"/>
        </w:rPr>
        <w:t xml:space="preserve">; questa </w:t>
      </w:r>
      <w:r w:rsidR="00BF675D" w:rsidRPr="007F7EBF">
        <w:t xml:space="preserve"> percezione </w:t>
      </w:r>
      <w:r w:rsidR="00552ADD">
        <w:t xml:space="preserve">sostituisce </w:t>
      </w:r>
      <w:r w:rsidR="0020143B">
        <w:t xml:space="preserve">in parte l’effetto dei controlli nel modello dell’adempimento </w:t>
      </w:r>
      <w:r w:rsidR="00BF675D" w:rsidRPr="007F7EBF">
        <w:t xml:space="preserve"> </w:t>
      </w:r>
      <w:r w:rsidR="0020143B">
        <w:t>fiscale di cui al par.1.5, basato appunto sulle variabili (</w:t>
      </w:r>
      <w:r w:rsidR="00BF675D" w:rsidRPr="007F7EBF">
        <w:t>aliquote, sanzioni e controlli</w:t>
      </w:r>
      <w:r w:rsidR="0020143B">
        <w:t xml:space="preserve"> </w:t>
      </w:r>
      <w:r w:rsidR="00BF675D" w:rsidRPr="007F7EBF">
        <w:t xml:space="preserve">) </w:t>
      </w:r>
      <w:r w:rsidR="0020143B">
        <w:t>dell’autodeterminazione delle imposte o “</w:t>
      </w:r>
      <w:r w:rsidR="0020143B" w:rsidRPr="0020143B">
        <w:rPr>
          <w:i/>
        </w:rPr>
        <w:t>tax</w:t>
      </w:r>
      <w:r w:rsidR="00BF675D" w:rsidRPr="007F7EBF">
        <w:t xml:space="preserve"> </w:t>
      </w:r>
      <w:r w:rsidR="00BF675D" w:rsidRPr="007F7EBF">
        <w:rPr>
          <w:i/>
        </w:rPr>
        <w:t>compliance</w:t>
      </w:r>
      <w:r w:rsidR="0020143B">
        <w:t>”</w:t>
      </w:r>
      <w:r w:rsidR="00BF675D" w:rsidRPr="007F7EBF">
        <w:t>.</w:t>
      </w:r>
      <w:r w:rsidR="00BF675D">
        <w:t xml:space="preserve"> </w:t>
      </w:r>
      <w:r w:rsidR="001D6809">
        <w:t xml:space="preserve">Nella misura in cui il contribuente percepisce la mancanza anche di un’affidabile visibilità economico-materiale il grado di adempimento diminuisce; si pensi a </w:t>
      </w:r>
      <w:r w:rsidR="001D6809" w:rsidRPr="007F7EBF">
        <w:rPr>
          <w:sz w:val="22"/>
          <w:szCs w:val="22"/>
        </w:rPr>
        <w:t>venditori ambulanti</w:t>
      </w:r>
      <w:r w:rsidR="001D6809">
        <w:rPr>
          <w:sz w:val="22"/>
          <w:szCs w:val="22"/>
        </w:rPr>
        <w:t xml:space="preserve"> (</w:t>
      </w:r>
      <w:r w:rsidR="001D6809" w:rsidRPr="007F7EBF">
        <w:rPr>
          <w:rStyle w:val="Rimandonotaapidipagina"/>
          <w:sz w:val="22"/>
          <w:szCs w:val="22"/>
        </w:rPr>
        <w:footnoteReference w:id="393"/>
      </w:r>
      <w:r w:rsidR="001D6809">
        <w:rPr>
          <w:sz w:val="22"/>
          <w:szCs w:val="22"/>
        </w:rPr>
        <w:t>)</w:t>
      </w:r>
      <w:r w:rsidR="001D6809" w:rsidRPr="007F7EBF">
        <w:rPr>
          <w:sz w:val="22"/>
          <w:szCs w:val="22"/>
        </w:rPr>
        <w:t>, trasportatori, o prestatori di servizi al domicilio del cliente, come idraulici, elettricisti, o fornitori di vari servizi personali, dalla fisioterapia a</w:t>
      </w:r>
      <w:r w:rsidR="00A5790A">
        <w:rPr>
          <w:sz w:val="22"/>
          <w:szCs w:val="22"/>
        </w:rPr>
        <w:t>i servizi sessuali</w:t>
      </w:r>
      <w:r w:rsidR="001D6809" w:rsidRPr="007F7EBF">
        <w:rPr>
          <w:sz w:val="22"/>
          <w:szCs w:val="22"/>
        </w:rPr>
        <w:t xml:space="preserve"> (</w:t>
      </w:r>
      <w:r w:rsidR="001D6809" w:rsidRPr="007F7EBF">
        <w:rPr>
          <w:rStyle w:val="Rimandonotaapidipagina"/>
          <w:sz w:val="22"/>
          <w:szCs w:val="22"/>
        </w:rPr>
        <w:footnoteReference w:id="394"/>
      </w:r>
      <w:r w:rsidR="001D6809" w:rsidRPr="007F7EBF">
        <w:rPr>
          <w:sz w:val="22"/>
          <w:szCs w:val="22"/>
        </w:rPr>
        <w:t xml:space="preserve">).  </w:t>
      </w:r>
    </w:p>
    <w:p w14:paraId="2763BEB8" w14:textId="77777777" w:rsidR="00AA5A90" w:rsidRPr="007F7EBF" w:rsidRDefault="00AA5A90" w:rsidP="00AA5A90">
      <w:pPr>
        <w:pStyle w:val="tit23"/>
        <w:ind w:left="6464" w:right="-1361" w:firstLine="0"/>
        <w:jc w:val="left"/>
        <w:rPr>
          <w:bCs/>
          <w:i/>
          <w:iCs/>
          <w:color w:val="0000FF"/>
          <w:lang w:val="it-IT"/>
        </w:rPr>
      </w:pPr>
      <w:r w:rsidRPr="007F7EBF">
        <w:rPr>
          <w:bCs/>
          <w:i/>
          <w:iCs/>
          <w:color w:val="0000FF"/>
          <w:lang w:val="it-IT"/>
        </w:rPr>
        <w:t>Importanza di una presenza valutativa degli uffici tributari</w:t>
      </w:r>
    </w:p>
    <w:p w14:paraId="389872E9" w14:textId="3112BDA4" w:rsidR="00AA5A90" w:rsidRPr="007F7EBF" w:rsidRDefault="00CA75E3" w:rsidP="00AA5A90">
      <w:pPr>
        <w:autoSpaceDE w:val="0"/>
        <w:autoSpaceDN w:val="0"/>
        <w:adjustRightInd w:val="0"/>
        <w:rPr>
          <w:sz w:val="22"/>
          <w:szCs w:val="22"/>
        </w:rPr>
      </w:pPr>
      <w:r>
        <w:rPr>
          <w:sz w:val="22"/>
          <w:szCs w:val="22"/>
        </w:rPr>
        <w:t xml:space="preserve">Se questa predisposizione dei contribuenti, basata sulla visibilità materiale della rispettiva attività, fosse accompagnata dal controllo valutativo del territorio di cui al par.5.7, il problema sociale dell’evasione sarebbe risolto; </w:t>
      </w:r>
      <w:r w:rsidR="006C260E">
        <w:rPr>
          <w:sz w:val="22"/>
          <w:szCs w:val="22"/>
        </w:rPr>
        <w:t xml:space="preserve">un certo grado di evasione resterebbe, come dappertutto, </w:t>
      </w:r>
      <w:r>
        <w:rPr>
          <w:sz w:val="22"/>
          <w:szCs w:val="22"/>
        </w:rPr>
        <w:t>ma</w:t>
      </w:r>
      <w:r w:rsidR="008810C1">
        <w:rPr>
          <w:sz w:val="22"/>
          <w:szCs w:val="22"/>
        </w:rPr>
        <w:t xml:space="preserve"> cesserebbe di provocare lacerazioni sociali che </w:t>
      </w:r>
      <w:r w:rsidR="006C260E">
        <w:rPr>
          <w:sz w:val="22"/>
          <w:szCs w:val="22"/>
        </w:rPr>
        <w:t xml:space="preserve">paradossalmente </w:t>
      </w:r>
      <w:r w:rsidR="008810C1">
        <w:rPr>
          <w:sz w:val="22"/>
          <w:szCs w:val="22"/>
        </w:rPr>
        <w:t>intralciano la funzione tributaria</w:t>
      </w:r>
      <w:r w:rsidR="006C260E">
        <w:rPr>
          <w:sz w:val="22"/>
          <w:szCs w:val="22"/>
        </w:rPr>
        <w:t>, come indicato ai parr.4.6 e 5.3</w:t>
      </w:r>
      <w:r w:rsidR="008810C1">
        <w:rPr>
          <w:sz w:val="22"/>
          <w:szCs w:val="22"/>
        </w:rPr>
        <w:t xml:space="preserve">. </w:t>
      </w:r>
      <w:r w:rsidR="006C260E">
        <w:rPr>
          <w:sz w:val="22"/>
          <w:szCs w:val="22"/>
        </w:rPr>
        <w:t>Servirebbe solo rendersi conto che, in u</w:t>
      </w:r>
      <w:r w:rsidR="00FD4D4C">
        <w:rPr>
          <w:sz w:val="22"/>
          <w:szCs w:val="22"/>
        </w:rPr>
        <w:t>n</w:t>
      </w:r>
      <w:r w:rsidR="006C260E">
        <w:rPr>
          <w:sz w:val="22"/>
          <w:szCs w:val="22"/>
        </w:rPr>
        <w:t xml:space="preserve">a </w:t>
      </w:r>
      <w:r w:rsidR="00FD4D4C">
        <w:rPr>
          <w:sz w:val="22"/>
          <w:szCs w:val="22"/>
        </w:rPr>
        <w:t xml:space="preserve">qualche pur </w:t>
      </w:r>
      <w:r w:rsidR="00FD4D4C">
        <w:rPr>
          <w:sz w:val="22"/>
          <w:szCs w:val="22"/>
        </w:rPr>
        <w:lastRenderedPageBreak/>
        <w:t xml:space="preserve">modesta </w:t>
      </w:r>
      <w:r w:rsidR="006C260E">
        <w:rPr>
          <w:sz w:val="22"/>
          <w:szCs w:val="22"/>
        </w:rPr>
        <w:t xml:space="preserve">misura, </w:t>
      </w:r>
      <w:r w:rsidR="00FD4D4C">
        <w:rPr>
          <w:sz w:val="22"/>
          <w:szCs w:val="22"/>
        </w:rPr>
        <w:t xml:space="preserve">resta la </w:t>
      </w:r>
      <w:r w:rsidR="00265D7A" w:rsidRPr="007F7EBF">
        <w:rPr>
          <w:sz w:val="22"/>
          <w:szCs w:val="22"/>
        </w:rPr>
        <w:t xml:space="preserve">tradizionale necessità che le imposte siano appunto </w:t>
      </w:r>
      <w:r w:rsidR="00265D7A" w:rsidRPr="007F7EBF">
        <w:rPr>
          <w:i/>
          <w:sz w:val="22"/>
          <w:szCs w:val="22"/>
        </w:rPr>
        <w:t>imposte</w:t>
      </w:r>
      <w:r w:rsidR="00265D7A" w:rsidRPr="007F7EBF">
        <w:rPr>
          <w:sz w:val="22"/>
          <w:szCs w:val="22"/>
        </w:rPr>
        <w:t>, cioè richieste</w:t>
      </w:r>
      <w:r w:rsidR="00FD4D4C">
        <w:rPr>
          <w:sz w:val="22"/>
          <w:szCs w:val="22"/>
        </w:rPr>
        <w:t xml:space="preserve"> </w:t>
      </w:r>
      <w:r w:rsidR="001D1CCD">
        <w:rPr>
          <w:sz w:val="22"/>
          <w:szCs w:val="22"/>
        </w:rPr>
        <w:t xml:space="preserve">anche </w:t>
      </w:r>
      <w:r w:rsidR="00FD4D4C">
        <w:rPr>
          <w:sz w:val="22"/>
          <w:szCs w:val="22"/>
        </w:rPr>
        <w:t xml:space="preserve">dagli </w:t>
      </w:r>
      <w:r w:rsidR="00265D7A" w:rsidRPr="007F7EBF">
        <w:rPr>
          <w:sz w:val="22"/>
          <w:szCs w:val="22"/>
        </w:rPr>
        <w:t>uffici tributari</w:t>
      </w:r>
      <w:r w:rsidR="00FD4D4C">
        <w:rPr>
          <w:sz w:val="22"/>
          <w:szCs w:val="22"/>
        </w:rPr>
        <w:t xml:space="preserve"> con una sistematicità</w:t>
      </w:r>
      <w:r w:rsidR="001D1CCD">
        <w:rPr>
          <w:sz w:val="22"/>
          <w:szCs w:val="22"/>
        </w:rPr>
        <w:t xml:space="preserve"> adeguata al contesto, dove restano, accanto alla determinazione contabile, molte attività per cui sono necessarie </w:t>
      </w:r>
      <w:r w:rsidR="006342C5" w:rsidRPr="007F7EBF">
        <w:rPr>
          <w:bCs/>
          <w:sz w:val="22"/>
          <w:szCs w:val="22"/>
        </w:rPr>
        <w:t>stime per ordine di grandezza</w:t>
      </w:r>
      <w:r w:rsidR="002046B2" w:rsidRPr="007F7EBF">
        <w:rPr>
          <w:sz w:val="22"/>
          <w:szCs w:val="22"/>
        </w:rPr>
        <w:t xml:space="preserve">. </w:t>
      </w:r>
    </w:p>
    <w:p w14:paraId="4B7D14DC" w14:textId="72897A13" w:rsidR="00AA5A90" w:rsidRPr="007F7EBF" w:rsidRDefault="00AA5A90" w:rsidP="00AA5A90">
      <w:pPr>
        <w:pStyle w:val="tit23"/>
        <w:ind w:left="6464" w:right="-1361" w:firstLine="0"/>
        <w:jc w:val="left"/>
        <w:rPr>
          <w:bCs/>
          <w:i/>
          <w:iCs/>
          <w:color w:val="0000FF"/>
          <w:lang w:val="it-IT"/>
        </w:rPr>
      </w:pPr>
      <w:r w:rsidRPr="007F7EBF">
        <w:rPr>
          <w:bCs/>
          <w:i/>
          <w:iCs/>
          <w:color w:val="0000FF"/>
          <w:lang w:val="it-IT"/>
        </w:rPr>
        <w:t xml:space="preserve">continuità con le tradizioni della funzione tributaria </w:t>
      </w:r>
    </w:p>
    <w:p w14:paraId="189608F3" w14:textId="41B9275F" w:rsidR="00AA5A90" w:rsidRPr="007F7EBF" w:rsidRDefault="000631BB" w:rsidP="009D3FC6">
      <w:pPr>
        <w:autoSpaceDE w:val="0"/>
        <w:autoSpaceDN w:val="0"/>
        <w:adjustRightInd w:val="0"/>
        <w:rPr>
          <w:bCs/>
          <w:i/>
          <w:iCs/>
          <w:color w:val="0000FF"/>
          <w:sz w:val="22"/>
          <w:szCs w:val="22"/>
        </w:rPr>
      </w:pPr>
      <w:r>
        <w:rPr>
          <w:sz w:val="22"/>
          <w:szCs w:val="22"/>
        </w:rPr>
        <w:t xml:space="preserve">Non si tratta di </w:t>
      </w:r>
      <w:r w:rsidR="002046B2" w:rsidRPr="007F7EBF">
        <w:rPr>
          <w:sz w:val="22"/>
          <w:szCs w:val="22"/>
        </w:rPr>
        <w:t>un</w:t>
      </w:r>
      <w:r>
        <w:rPr>
          <w:sz w:val="22"/>
          <w:szCs w:val="22"/>
        </w:rPr>
        <w:t>’</w:t>
      </w:r>
      <w:r w:rsidR="002046B2" w:rsidRPr="007F7EBF">
        <w:rPr>
          <w:sz w:val="22"/>
          <w:szCs w:val="22"/>
        </w:rPr>
        <w:t xml:space="preserve">eccezione rispetto alla </w:t>
      </w:r>
      <w:r w:rsidR="006342C5" w:rsidRPr="007F7EBF">
        <w:rPr>
          <w:sz w:val="22"/>
          <w:szCs w:val="22"/>
        </w:rPr>
        <w:t xml:space="preserve">determinazione </w:t>
      </w:r>
      <w:r w:rsidR="008032FE">
        <w:rPr>
          <w:sz w:val="22"/>
          <w:szCs w:val="22"/>
        </w:rPr>
        <w:t>documentale</w:t>
      </w:r>
      <w:r w:rsidR="006342C5" w:rsidRPr="007F7EBF">
        <w:rPr>
          <w:sz w:val="22"/>
          <w:szCs w:val="22"/>
        </w:rPr>
        <w:t xml:space="preserve"> de</w:t>
      </w:r>
      <w:r w:rsidR="008032FE">
        <w:rPr>
          <w:sz w:val="22"/>
          <w:szCs w:val="22"/>
        </w:rPr>
        <w:t xml:space="preserve">i presupposti d’imposta </w:t>
      </w:r>
      <w:r w:rsidR="002046B2" w:rsidRPr="007F7EBF">
        <w:rPr>
          <w:sz w:val="22"/>
          <w:szCs w:val="22"/>
        </w:rPr>
        <w:t>attraverso le aziende,</w:t>
      </w:r>
      <w:r>
        <w:rPr>
          <w:sz w:val="22"/>
          <w:szCs w:val="22"/>
        </w:rPr>
        <w:t xml:space="preserve"> da mantenere e valorizzare dov’è praticabile con efficienza; si tratta solo di integrarla, ove necessario, con valutazioni per ordine di grandezza appartenenti a</w:t>
      </w:r>
      <w:r w:rsidR="006342C5" w:rsidRPr="007F7EBF">
        <w:rPr>
          <w:sz w:val="22"/>
          <w:szCs w:val="22"/>
        </w:rPr>
        <w:t>lla tradizione millenaria della tassazione</w:t>
      </w:r>
      <w:r>
        <w:rPr>
          <w:sz w:val="22"/>
          <w:szCs w:val="22"/>
        </w:rPr>
        <w:t xml:space="preserve">, </w:t>
      </w:r>
      <w:r w:rsidRPr="007F7EBF">
        <w:rPr>
          <w:sz w:val="22"/>
          <w:szCs w:val="22"/>
        </w:rPr>
        <w:t>come vedremo a</w:t>
      </w:r>
      <w:r>
        <w:rPr>
          <w:sz w:val="22"/>
          <w:szCs w:val="22"/>
        </w:rPr>
        <w:t>i</w:t>
      </w:r>
      <w:r w:rsidRPr="007F7EBF">
        <w:rPr>
          <w:sz w:val="22"/>
          <w:szCs w:val="22"/>
        </w:rPr>
        <w:t xml:space="preserve"> pa</w:t>
      </w:r>
      <w:r>
        <w:rPr>
          <w:sz w:val="22"/>
          <w:szCs w:val="22"/>
        </w:rPr>
        <w:t>r</w:t>
      </w:r>
      <w:r w:rsidRPr="007F7EBF">
        <w:rPr>
          <w:sz w:val="22"/>
          <w:szCs w:val="22"/>
        </w:rPr>
        <w:t>r.5</w:t>
      </w:r>
      <w:r>
        <w:rPr>
          <w:sz w:val="22"/>
          <w:szCs w:val="22"/>
        </w:rPr>
        <w:t>.7 e 5</w:t>
      </w:r>
      <w:r w:rsidRPr="007F7EBF">
        <w:rPr>
          <w:sz w:val="22"/>
          <w:szCs w:val="22"/>
        </w:rPr>
        <w:t>.9</w:t>
      </w:r>
      <w:r>
        <w:rPr>
          <w:sz w:val="22"/>
          <w:szCs w:val="22"/>
        </w:rPr>
        <w:t xml:space="preserve"> </w:t>
      </w:r>
      <w:r>
        <w:t xml:space="preserve">sul controllo valutativo del territorio e i c.d. </w:t>
      </w:r>
      <w:r w:rsidRPr="007F7EBF">
        <w:t>“indizi contabili”</w:t>
      </w:r>
      <w:r w:rsidR="00321309">
        <w:t>.</w:t>
      </w:r>
    </w:p>
    <w:p w14:paraId="4EE221A0" w14:textId="5B769E37" w:rsidR="00E5093C" w:rsidRPr="007F7EBF" w:rsidRDefault="00265D7A" w:rsidP="006342C5">
      <w:pPr>
        <w:autoSpaceDE w:val="0"/>
        <w:autoSpaceDN w:val="0"/>
        <w:adjustRightInd w:val="0"/>
        <w:rPr>
          <w:b/>
          <w:bCs/>
          <w:sz w:val="22"/>
          <w:szCs w:val="22"/>
        </w:rPr>
      </w:pPr>
      <w:r w:rsidRPr="007F7EBF">
        <w:rPr>
          <w:sz w:val="22"/>
          <w:szCs w:val="22"/>
        </w:rPr>
        <w:t>S</w:t>
      </w:r>
      <w:r w:rsidR="002D26C6" w:rsidRPr="007F7EBF">
        <w:rPr>
          <w:sz w:val="22"/>
          <w:szCs w:val="22"/>
        </w:rPr>
        <w:t xml:space="preserve">e </w:t>
      </w:r>
      <w:r w:rsidR="002D26C6" w:rsidRPr="007F7EBF">
        <w:rPr>
          <w:bCs/>
          <w:sz w:val="22"/>
          <w:szCs w:val="22"/>
        </w:rPr>
        <w:t xml:space="preserve">alla massiccia offensiva mediatica </w:t>
      </w:r>
      <w:r w:rsidR="00361BCC">
        <w:rPr>
          <w:sz w:val="22"/>
          <w:szCs w:val="22"/>
        </w:rPr>
        <w:t xml:space="preserve">indicata </w:t>
      </w:r>
      <w:r w:rsidR="002D26C6" w:rsidRPr="007F7EBF">
        <w:rPr>
          <w:sz w:val="22"/>
          <w:szCs w:val="22"/>
        </w:rPr>
        <w:t>al par.</w:t>
      </w:r>
      <w:r w:rsidR="00361BCC">
        <w:rPr>
          <w:sz w:val="22"/>
          <w:szCs w:val="22"/>
        </w:rPr>
        <w:t>1.7</w:t>
      </w:r>
      <w:r w:rsidR="002D26C6" w:rsidRPr="007F7EBF">
        <w:rPr>
          <w:sz w:val="22"/>
          <w:szCs w:val="22"/>
        </w:rPr>
        <w:t xml:space="preserve">, si affiancasse un </w:t>
      </w:r>
      <w:r w:rsidR="00321309">
        <w:rPr>
          <w:sz w:val="22"/>
          <w:szCs w:val="22"/>
        </w:rPr>
        <w:t xml:space="preserve">adeguato </w:t>
      </w:r>
      <w:r w:rsidR="002D26C6" w:rsidRPr="007F7EBF">
        <w:rPr>
          <w:sz w:val="22"/>
          <w:szCs w:val="22"/>
        </w:rPr>
        <w:t xml:space="preserve">controllo </w:t>
      </w:r>
      <w:r w:rsidR="00321309">
        <w:rPr>
          <w:sz w:val="22"/>
          <w:szCs w:val="22"/>
        </w:rPr>
        <w:t xml:space="preserve">valutativo </w:t>
      </w:r>
      <w:r w:rsidR="002D26C6" w:rsidRPr="007F7EBF">
        <w:rPr>
          <w:sz w:val="22"/>
          <w:szCs w:val="22"/>
        </w:rPr>
        <w:t xml:space="preserve">sul territorio </w:t>
      </w:r>
      <w:r w:rsidR="00321309">
        <w:rPr>
          <w:sz w:val="22"/>
          <w:szCs w:val="22"/>
        </w:rPr>
        <w:t xml:space="preserve">si sdrammatizzerebbero </w:t>
      </w:r>
      <w:r w:rsidRPr="007F7EBF">
        <w:rPr>
          <w:sz w:val="22"/>
          <w:szCs w:val="22"/>
        </w:rPr>
        <w:t xml:space="preserve">le tensioni che pervadono il dibattito sociale </w:t>
      </w:r>
      <w:r w:rsidR="00321309">
        <w:rPr>
          <w:sz w:val="22"/>
          <w:szCs w:val="22"/>
        </w:rPr>
        <w:t xml:space="preserve">e rendono inefficiente la funzione tributaria </w:t>
      </w:r>
      <w:r w:rsidRPr="007F7EBF">
        <w:rPr>
          <w:sz w:val="22"/>
          <w:szCs w:val="22"/>
        </w:rPr>
        <w:t>(</w:t>
      </w:r>
      <w:r w:rsidR="00B512E3" w:rsidRPr="007F7EBF">
        <w:rPr>
          <w:sz w:val="22"/>
          <w:szCs w:val="22"/>
        </w:rPr>
        <w:t xml:space="preserve">par.4.6 </w:t>
      </w:r>
      <w:r w:rsidRPr="007F7EBF">
        <w:rPr>
          <w:sz w:val="22"/>
          <w:szCs w:val="22"/>
        </w:rPr>
        <w:t>e 5.</w:t>
      </w:r>
      <w:r w:rsidR="00361BCC">
        <w:rPr>
          <w:sz w:val="22"/>
          <w:szCs w:val="22"/>
        </w:rPr>
        <w:t>3</w:t>
      </w:r>
      <w:r w:rsidRPr="007F7EBF">
        <w:rPr>
          <w:sz w:val="22"/>
          <w:szCs w:val="22"/>
        </w:rPr>
        <w:t xml:space="preserve"> ss.)</w:t>
      </w:r>
      <w:r w:rsidR="00B512E3" w:rsidRPr="007F7EBF">
        <w:rPr>
          <w:sz w:val="22"/>
          <w:szCs w:val="22"/>
        </w:rPr>
        <w:t xml:space="preserve">. </w:t>
      </w:r>
      <w:r w:rsidR="00321309">
        <w:rPr>
          <w:sz w:val="22"/>
          <w:szCs w:val="22"/>
        </w:rPr>
        <w:t xml:space="preserve">E’ </w:t>
      </w:r>
      <w:r w:rsidR="0004662E" w:rsidRPr="007F7EBF">
        <w:rPr>
          <w:sz w:val="22"/>
          <w:szCs w:val="22"/>
        </w:rPr>
        <w:t xml:space="preserve">uno dei fili conduttori del testo, cioè la necessità di </w:t>
      </w:r>
      <w:r w:rsidR="0004662E" w:rsidRPr="007F7EBF">
        <w:rPr>
          <w:bCs/>
          <w:sz w:val="22"/>
          <w:szCs w:val="22"/>
        </w:rPr>
        <w:t>coordinare la determinazione ragionieristica dei tributi, basata sulle aziende, e la tradizionale “</w:t>
      </w:r>
      <w:r w:rsidR="00321309">
        <w:rPr>
          <w:bCs/>
          <w:sz w:val="22"/>
          <w:szCs w:val="22"/>
        </w:rPr>
        <w:t>determinazione</w:t>
      </w:r>
      <w:r w:rsidR="0004662E" w:rsidRPr="007F7EBF">
        <w:rPr>
          <w:bCs/>
          <w:sz w:val="22"/>
          <w:szCs w:val="22"/>
        </w:rPr>
        <w:t xml:space="preserve"> valutativa</w:t>
      </w:r>
      <w:r w:rsidR="0004662E" w:rsidRPr="007F7EBF">
        <w:rPr>
          <w:sz w:val="22"/>
          <w:szCs w:val="22"/>
        </w:rPr>
        <w:t xml:space="preserve">”, </w:t>
      </w:r>
      <w:r w:rsidR="00321309">
        <w:rPr>
          <w:sz w:val="22"/>
          <w:szCs w:val="22"/>
        </w:rPr>
        <w:t xml:space="preserve">a cura di </w:t>
      </w:r>
      <w:r w:rsidR="0004662E" w:rsidRPr="007F7EBF">
        <w:rPr>
          <w:sz w:val="22"/>
          <w:szCs w:val="22"/>
        </w:rPr>
        <w:t xml:space="preserve">pubblici  uffici. </w:t>
      </w:r>
    </w:p>
    <w:p w14:paraId="71DB6DBC" w14:textId="46640C1C" w:rsidR="0083238F" w:rsidRPr="007F7EBF" w:rsidRDefault="005721E8" w:rsidP="00AC3927">
      <w:pPr>
        <w:pStyle w:val="Titolo3"/>
        <w:rPr>
          <w:sz w:val="22"/>
          <w:szCs w:val="22"/>
        </w:rPr>
      </w:pPr>
      <w:bookmarkStart w:id="46" w:name="_Toc63364962"/>
      <w:r w:rsidRPr="007F7EBF">
        <w:rPr>
          <w:rFonts w:ascii="Times New Roman" w:hAnsi="Times New Roman"/>
          <w:sz w:val="22"/>
          <w:szCs w:val="22"/>
        </w:rPr>
        <w:t xml:space="preserve">3.15. </w:t>
      </w:r>
      <w:r w:rsidR="00715569">
        <w:rPr>
          <w:rFonts w:ascii="Times New Roman" w:hAnsi="Times New Roman"/>
          <w:sz w:val="22"/>
          <w:szCs w:val="22"/>
          <w:lang w:val="it-IT"/>
        </w:rPr>
        <w:t xml:space="preserve">Diminuzione dell’adempimento </w:t>
      </w:r>
      <w:r w:rsidR="00DA434C">
        <w:rPr>
          <w:rFonts w:ascii="Times New Roman" w:hAnsi="Times New Roman"/>
          <w:sz w:val="22"/>
          <w:szCs w:val="22"/>
          <w:lang w:val="it-IT"/>
        </w:rPr>
        <w:t xml:space="preserve">quanto manca la </w:t>
      </w:r>
      <w:r w:rsidR="00715569">
        <w:rPr>
          <w:rFonts w:ascii="Times New Roman" w:hAnsi="Times New Roman"/>
          <w:sz w:val="22"/>
          <w:szCs w:val="22"/>
          <w:lang w:val="it-IT"/>
        </w:rPr>
        <w:t xml:space="preserve">sede fissa, </w:t>
      </w:r>
      <w:r w:rsidR="00DA434C">
        <w:rPr>
          <w:rFonts w:ascii="Times New Roman" w:hAnsi="Times New Roman"/>
          <w:sz w:val="22"/>
          <w:szCs w:val="22"/>
          <w:lang w:val="it-IT"/>
        </w:rPr>
        <w:t>anche in relazione al c.d.</w:t>
      </w:r>
      <w:r w:rsidR="00C333FF">
        <w:rPr>
          <w:rFonts w:ascii="Times New Roman" w:hAnsi="Times New Roman"/>
          <w:sz w:val="22"/>
          <w:szCs w:val="22"/>
          <w:lang w:val="it-IT"/>
        </w:rPr>
        <w:t xml:space="preserve"> </w:t>
      </w:r>
      <w:r w:rsidR="00E706ED" w:rsidRPr="007F7EBF">
        <w:rPr>
          <w:rFonts w:ascii="Times New Roman" w:hAnsi="Times New Roman"/>
          <w:sz w:val="22"/>
          <w:szCs w:val="22"/>
          <w:lang w:val="it-IT"/>
        </w:rPr>
        <w:t>“</w:t>
      </w:r>
      <w:r w:rsidR="00201153" w:rsidRPr="007F7EBF">
        <w:rPr>
          <w:rFonts w:ascii="Times New Roman" w:hAnsi="Times New Roman"/>
          <w:sz w:val="22"/>
          <w:szCs w:val="22"/>
          <w:lang w:val="it-IT"/>
        </w:rPr>
        <w:t>lavoro</w:t>
      </w:r>
      <w:r w:rsidR="00E706ED" w:rsidRPr="007F7EBF">
        <w:rPr>
          <w:rFonts w:ascii="Times New Roman" w:hAnsi="Times New Roman"/>
          <w:sz w:val="22"/>
          <w:szCs w:val="22"/>
          <w:lang w:val="it-IT"/>
        </w:rPr>
        <w:t xml:space="preserve"> liquido”</w:t>
      </w:r>
      <w:bookmarkEnd w:id="46"/>
    </w:p>
    <w:p w14:paraId="0A0DABCD" w14:textId="0284F764" w:rsidR="0083238F" w:rsidRPr="007F7EBF" w:rsidRDefault="000B297A" w:rsidP="0083238F">
      <w:pPr>
        <w:pStyle w:val="tit23"/>
        <w:ind w:left="6464" w:right="-1361" w:firstLine="0"/>
        <w:jc w:val="left"/>
        <w:rPr>
          <w:b/>
          <w:bCs/>
          <w:i/>
          <w:iCs/>
          <w:color w:val="0000FF"/>
          <w:lang w:val="it-IT"/>
        </w:rPr>
      </w:pPr>
      <w:r>
        <w:rPr>
          <w:b/>
          <w:bCs/>
          <w:i/>
          <w:iCs/>
          <w:color w:val="0000FF"/>
          <w:lang w:val="it-IT"/>
        </w:rPr>
        <w:t xml:space="preserve">Irrilevanza dell’evoluzione economica </w:t>
      </w:r>
      <w:r w:rsidR="0083238F" w:rsidRPr="007F7EBF">
        <w:rPr>
          <w:b/>
          <w:bCs/>
          <w:i/>
          <w:iCs/>
          <w:color w:val="0000FF"/>
          <w:lang w:val="it-IT"/>
        </w:rPr>
        <w:t xml:space="preserve">  </w:t>
      </w:r>
    </w:p>
    <w:p w14:paraId="49849D88" w14:textId="6E2C6887" w:rsidR="00A5790A" w:rsidRPr="007F7EBF" w:rsidRDefault="000B297A" w:rsidP="00A5790A">
      <w:pPr>
        <w:autoSpaceDE w:val="0"/>
        <w:autoSpaceDN w:val="0"/>
        <w:adjustRightInd w:val="0"/>
        <w:rPr>
          <w:sz w:val="22"/>
          <w:szCs w:val="22"/>
        </w:rPr>
      </w:pPr>
      <w:r>
        <w:rPr>
          <w:sz w:val="22"/>
          <w:szCs w:val="22"/>
        </w:rPr>
        <w:t xml:space="preserve">Qualcuno ha ritenuto che le difficoltà di determinare gli imponibili, descritte ai paragrafi precedenti, sarebbero </w:t>
      </w:r>
      <w:r w:rsidR="001B0D0F">
        <w:rPr>
          <w:sz w:val="22"/>
          <w:szCs w:val="22"/>
        </w:rPr>
        <w:t xml:space="preserve">state risolte con la sparizione di queste categorie, assorbite da aziende pluripersonali organizzate, </w:t>
      </w:r>
      <w:r>
        <w:rPr>
          <w:sz w:val="22"/>
          <w:szCs w:val="22"/>
        </w:rPr>
        <w:t xml:space="preserve">un po' come la </w:t>
      </w:r>
      <w:r w:rsidR="00397918">
        <w:rPr>
          <w:sz w:val="22"/>
          <w:szCs w:val="22"/>
        </w:rPr>
        <w:t>crescita</w:t>
      </w:r>
      <w:r w:rsidR="001B0D0F">
        <w:rPr>
          <w:sz w:val="22"/>
          <w:szCs w:val="22"/>
        </w:rPr>
        <w:t xml:space="preserve"> dei supermercati</w:t>
      </w:r>
      <w:r>
        <w:rPr>
          <w:sz w:val="22"/>
          <w:szCs w:val="22"/>
        </w:rPr>
        <w:t xml:space="preserve"> ha </w:t>
      </w:r>
      <w:r w:rsidR="001B0D0F">
        <w:rPr>
          <w:sz w:val="22"/>
          <w:szCs w:val="22"/>
        </w:rPr>
        <w:t>diminuito le rivendite di generi alimentari</w:t>
      </w:r>
      <w:r>
        <w:rPr>
          <w:sz w:val="22"/>
          <w:szCs w:val="22"/>
        </w:rPr>
        <w:t xml:space="preserve">. Le  trasformazioni economiche degli ultimi decenni hanno solo sporadicamente confermato queste previsioni, lasciando però spesso le cose come stavano, o addirittura creando nuove attività artigianali, solamente “più tecnologiche” ( 4.0 come talvolta si dice). </w:t>
      </w:r>
      <w:r w:rsidR="00F13C9D">
        <w:rPr>
          <w:sz w:val="22"/>
          <w:szCs w:val="22"/>
        </w:rPr>
        <w:t>L’e</w:t>
      </w:r>
      <w:r w:rsidR="00C333FF">
        <w:rPr>
          <w:sz w:val="22"/>
          <w:szCs w:val="22"/>
        </w:rPr>
        <w:t xml:space="preserve">voluzione </w:t>
      </w:r>
      <w:r w:rsidR="00F13C9D">
        <w:rPr>
          <w:sz w:val="22"/>
          <w:szCs w:val="22"/>
        </w:rPr>
        <w:t xml:space="preserve">tecnologica ha addirittura </w:t>
      </w:r>
      <w:r w:rsidR="00FB318E">
        <w:rPr>
          <w:sz w:val="22"/>
          <w:szCs w:val="22"/>
        </w:rPr>
        <w:t>ampliato le attività di piccolo commercio e artigianato senza sede fissa, per le quali non sussiste la visibilità materiale di cui al paragrafo precedente, come</w:t>
      </w:r>
      <w:r w:rsidR="00FB318E" w:rsidRPr="007F7EBF">
        <w:rPr>
          <w:sz w:val="22"/>
          <w:szCs w:val="22"/>
        </w:rPr>
        <w:t xml:space="preserve"> nel caso classico </w:t>
      </w:r>
      <w:r w:rsidR="00FB318E" w:rsidRPr="007F7EBF">
        <w:rPr>
          <w:sz w:val="22"/>
          <w:szCs w:val="22"/>
        </w:rPr>
        <w:lastRenderedPageBreak/>
        <w:t>dell’idraulico</w:t>
      </w:r>
      <w:r w:rsidR="00FB318E">
        <w:rPr>
          <w:sz w:val="22"/>
          <w:szCs w:val="22"/>
        </w:rPr>
        <w:t xml:space="preserve"> (</w:t>
      </w:r>
      <w:r w:rsidR="00FB318E" w:rsidRPr="007F7EBF">
        <w:rPr>
          <w:rStyle w:val="Rimandonotaapidipagina"/>
          <w:sz w:val="22"/>
          <w:szCs w:val="22"/>
        </w:rPr>
        <w:footnoteReference w:id="395"/>
      </w:r>
      <w:r w:rsidR="00FB318E">
        <w:rPr>
          <w:sz w:val="22"/>
          <w:szCs w:val="22"/>
        </w:rPr>
        <w:t>)</w:t>
      </w:r>
      <w:r w:rsidR="00FB318E" w:rsidRPr="007F7EBF">
        <w:rPr>
          <w:sz w:val="22"/>
          <w:szCs w:val="22"/>
        </w:rPr>
        <w:t>.</w:t>
      </w:r>
      <w:r w:rsidR="00FB318E">
        <w:rPr>
          <w:sz w:val="22"/>
          <w:szCs w:val="22"/>
        </w:rPr>
        <w:t xml:space="preserve"> La tecnologia ha insomma </w:t>
      </w:r>
      <w:r w:rsidR="00F13C9D">
        <w:rPr>
          <w:sz w:val="22"/>
          <w:szCs w:val="22"/>
        </w:rPr>
        <w:t xml:space="preserve">qualche volta </w:t>
      </w:r>
      <w:r w:rsidR="00FB318E">
        <w:rPr>
          <w:sz w:val="22"/>
          <w:szCs w:val="22"/>
        </w:rPr>
        <w:t>aumentato la possibilità di</w:t>
      </w:r>
      <w:r w:rsidR="00F13C9D">
        <w:rPr>
          <w:sz w:val="22"/>
          <w:szCs w:val="22"/>
        </w:rPr>
        <w:t xml:space="preserve"> piccoli commercianti e artigiani </w:t>
      </w:r>
      <w:r w:rsidR="000D212B">
        <w:rPr>
          <w:sz w:val="22"/>
          <w:szCs w:val="22"/>
        </w:rPr>
        <w:t xml:space="preserve">di </w:t>
      </w:r>
      <w:r w:rsidR="00F13C9D">
        <w:rPr>
          <w:sz w:val="22"/>
          <w:szCs w:val="22"/>
        </w:rPr>
        <w:t>elimina</w:t>
      </w:r>
      <w:r w:rsidR="000D212B">
        <w:rPr>
          <w:sz w:val="22"/>
          <w:szCs w:val="22"/>
        </w:rPr>
        <w:t>re un</w:t>
      </w:r>
      <w:r w:rsidR="00F13C9D">
        <w:rPr>
          <w:sz w:val="22"/>
          <w:szCs w:val="22"/>
        </w:rPr>
        <w:t xml:space="preserve"> luogo fisico di esercizio dell’attività, </w:t>
      </w:r>
      <w:r w:rsidR="00FB318E">
        <w:rPr>
          <w:sz w:val="22"/>
          <w:szCs w:val="22"/>
        </w:rPr>
        <w:t xml:space="preserve">passando dalla pubblica via alla rete, con una corrispondente diminuzione di </w:t>
      </w:r>
      <w:r w:rsidR="00F13C9D">
        <w:rPr>
          <w:sz w:val="22"/>
          <w:szCs w:val="22"/>
        </w:rPr>
        <w:t>“visibilità fiscale”</w:t>
      </w:r>
      <w:r w:rsidR="001B0D0F">
        <w:rPr>
          <w:sz w:val="22"/>
          <w:szCs w:val="22"/>
        </w:rPr>
        <w:t>.</w:t>
      </w:r>
    </w:p>
    <w:p w14:paraId="2F50912A" w14:textId="77777777" w:rsidR="00884DE7" w:rsidRPr="007F7EBF" w:rsidRDefault="00A5790A" w:rsidP="00884DE7">
      <w:pPr>
        <w:autoSpaceDE w:val="0"/>
        <w:autoSpaceDN w:val="0"/>
        <w:adjustRightInd w:val="0"/>
        <w:rPr>
          <w:sz w:val="22"/>
          <w:szCs w:val="22"/>
        </w:rPr>
      </w:pPr>
      <w:r>
        <w:rPr>
          <w:sz w:val="22"/>
          <w:szCs w:val="22"/>
        </w:rPr>
        <w:t xml:space="preserve">La </w:t>
      </w:r>
      <w:r w:rsidR="00372FC8" w:rsidRPr="007F7EBF">
        <w:rPr>
          <w:sz w:val="22"/>
          <w:szCs w:val="22"/>
        </w:rPr>
        <w:t>maturità dell'economia</w:t>
      </w:r>
      <w:r>
        <w:rPr>
          <w:sz w:val="22"/>
          <w:szCs w:val="22"/>
        </w:rPr>
        <w:t xml:space="preserve">, </w:t>
      </w:r>
      <w:r w:rsidR="00372FC8" w:rsidRPr="007F7EBF">
        <w:rPr>
          <w:sz w:val="22"/>
          <w:szCs w:val="22"/>
        </w:rPr>
        <w:t>la</w:t>
      </w:r>
      <w:r>
        <w:rPr>
          <w:sz w:val="22"/>
          <w:szCs w:val="22"/>
        </w:rPr>
        <w:t xml:space="preserve"> delocalizzazione, la</w:t>
      </w:r>
      <w:r w:rsidR="00372FC8" w:rsidRPr="007F7EBF">
        <w:rPr>
          <w:sz w:val="22"/>
          <w:szCs w:val="22"/>
        </w:rPr>
        <w:t xml:space="preserve"> crisi del tradizionale lavoro in fabbrica,</w:t>
      </w:r>
      <w:r>
        <w:rPr>
          <w:sz w:val="22"/>
          <w:szCs w:val="22"/>
        </w:rPr>
        <w:t xml:space="preserve"> e i contatti resi possibili dalla rete internet hanno  innescato u</w:t>
      </w:r>
      <w:r w:rsidRPr="007F7EBF">
        <w:rPr>
          <w:sz w:val="22"/>
          <w:szCs w:val="22"/>
        </w:rPr>
        <w:t>lteriori attività sfuggenti</w:t>
      </w:r>
      <w:r w:rsidR="001B0D0F">
        <w:rPr>
          <w:sz w:val="22"/>
          <w:szCs w:val="22"/>
        </w:rPr>
        <w:t xml:space="preserve">. </w:t>
      </w:r>
      <w:r w:rsidR="00884DE7" w:rsidRPr="007F7EBF">
        <w:rPr>
          <w:sz w:val="22"/>
          <w:szCs w:val="22"/>
        </w:rPr>
        <w:t xml:space="preserve">Cresce l'area del "lavoro liquido", “a distanza", "da remoto", flessibile (e precario), con </w:t>
      </w:r>
      <w:r w:rsidR="00884DE7">
        <w:rPr>
          <w:sz w:val="22"/>
          <w:szCs w:val="22"/>
        </w:rPr>
        <w:t>molte</w:t>
      </w:r>
      <w:r w:rsidR="00884DE7" w:rsidRPr="007F7EBF">
        <w:rPr>
          <w:sz w:val="22"/>
          <w:szCs w:val="22"/>
        </w:rPr>
        <w:t xml:space="preserve"> sfumature</w:t>
      </w:r>
      <w:r w:rsidR="00884DE7">
        <w:rPr>
          <w:sz w:val="22"/>
          <w:szCs w:val="22"/>
        </w:rPr>
        <w:t xml:space="preserve"> e variamente intercettato in modo contabile e documentale</w:t>
      </w:r>
      <w:r w:rsidR="00884DE7" w:rsidRPr="007F7EBF">
        <w:rPr>
          <w:sz w:val="22"/>
          <w:szCs w:val="22"/>
        </w:rPr>
        <w:t xml:space="preserve">. </w:t>
      </w:r>
    </w:p>
    <w:p w14:paraId="7F9C3DDF" w14:textId="585FBE4D" w:rsidR="00321CAB" w:rsidRPr="007F7EBF" w:rsidRDefault="001B0D0F" w:rsidP="00A5790A">
      <w:pPr>
        <w:autoSpaceDE w:val="0"/>
        <w:autoSpaceDN w:val="0"/>
        <w:adjustRightInd w:val="0"/>
        <w:rPr>
          <w:b/>
          <w:bCs/>
          <w:i/>
          <w:iCs/>
          <w:color w:val="0000FF"/>
          <w:sz w:val="22"/>
          <w:szCs w:val="22"/>
        </w:rPr>
      </w:pPr>
      <w:r>
        <w:rPr>
          <w:sz w:val="22"/>
          <w:szCs w:val="22"/>
        </w:rPr>
        <w:t xml:space="preserve">Al tradizionale “lavoro dipendente a tempo indeterminato” si sono affiancati rapporti instabili, anche quando </w:t>
      </w:r>
      <w:r w:rsidRPr="007F7EBF">
        <w:rPr>
          <w:sz w:val="22"/>
          <w:szCs w:val="22"/>
        </w:rPr>
        <w:t>il cliente è una organizzazione, che procede direttamente al pagamento</w:t>
      </w:r>
      <w:r>
        <w:rPr>
          <w:sz w:val="22"/>
          <w:szCs w:val="22"/>
        </w:rPr>
        <w:t>. (</w:t>
      </w:r>
      <w:r w:rsidRPr="007F7EBF">
        <w:rPr>
          <w:rStyle w:val="Rimandonotaapidipagina"/>
          <w:sz w:val="22"/>
          <w:szCs w:val="22"/>
        </w:rPr>
        <w:footnoteReference w:id="396"/>
      </w:r>
      <w:r>
        <w:rPr>
          <w:sz w:val="22"/>
          <w:szCs w:val="22"/>
        </w:rPr>
        <w:t>)</w:t>
      </w:r>
      <w:r w:rsidRPr="007F7EBF">
        <w:rPr>
          <w:sz w:val="22"/>
          <w:szCs w:val="22"/>
        </w:rPr>
        <w:t>. C’è il lavoratore tecnologico</w:t>
      </w:r>
      <w:r>
        <w:rPr>
          <w:sz w:val="22"/>
          <w:szCs w:val="22"/>
        </w:rPr>
        <w:t xml:space="preserve"> per aziende, spesso sottoposto a ritenute, ma c’è anche chi opera per privati consumatori, c’è chi arrotonda il primo lavoro “ufficiale”</w:t>
      </w:r>
      <w:r w:rsidRPr="007F7EBF">
        <w:rPr>
          <w:sz w:val="22"/>
          <w:szCs w:val="22"/>
        </w:rPr>
        <w:t>(</w:t>
      </w:r>
      <w:r w:rsidRPr="007F7EBF">
        <w:rPr>
          <w:rStyle w:val="Rimandonotaapidipagina"/>
          <w:sz w:val="22"/>
          <w:szCs w:val="22"/>
        </w:rPr>
        <w:footnoteReference w:id="397"/>
      </w:r>
      <w:r w:rsidRPr="007F7EBF">
        <w:rPr>
          <w:sz w:val="22"/>
          <w:szCs w:val="22"/>
        </w:rPr>
        <w:t>)</w:t>
      </w:r>
      <w:r>
        <w:rPr>
          <w:sz w:val="22"/>
          <w:szCs w:val="22"/>
        </w:rPr>
        <w:t xml:space="preserve">, sullo sfondo di un </w:t>
      </w:r>
      <w:proofErr w:type="spellStart"/>
      <w:r w:rsidRPr="001B0D0F">
        <w:rPr>
          <w:i/>
          <w:sz w:val="22"/>
          <w:szCs w:val="22"/>
        </w:rPr>
        <w:t>lumpenproletariat</w:t>
      </w:r>
      <w:proofErr w:type="spellEnd"/>
      <w:r>
        <w:rPr>
          <w:sz w:val="22"/>
          <w:szCs w:val="22"/>
        </w:rPr>
        <w:t xml:space="preserve"> di marxiana memoria, che si arrangia non si sa come</w:t>
      </w:r>
      <w:r w:rsidR="00884DE7">
        <w:rPr>
          <w:sz w:val="22"/>
          <w:szCs w:val="22"/>
        </w:rPr>
        <w:t xml:space="preserve">; penso a </w:t>
      </w:r>
      <w:r w:rsidR="006342C5" w:rsidRPr="007F7EBF">
        <w:rPr>
          <w:sz w:val="22"/>
          <w:szCs w:val="22"/>
        </w:rPr>
        <w:t>subaffitti di stanze</w:t>
      </w:r>
      <w:r w:rsidR="00D07251" w:rsidRPr="007F7EBF">
        <w:rPr>
          <w:sz w:val="22"/>
          <w:szCs w:val="22"/>
        </w:rPr>
        <w:t xml:space="preserve"> e bed &amp; breakfast</w:t>
      </w:r>
      <w:r w:rsidR="00B9024F" w:rsidRPr="007F7EBF">
        <w:rPr>
          <w:rStyle w:val="Rimandonotaapidipagina"/>
          <w:i/>
          <w:sz w:val="22"/>
          <w:szCs w:val="22"/>
        </w:rPr>
        <w:footnoteReference w:id="398"/>
      </w:r>
      <w:r w:rsidR="006342C5" w:rsidRPr="007F7EBF">
        <w:rPr>
          <w:sz w:val="22"/>
          <w:szCs w:val="22"/>
        </w:rPr>
        <w:t xml:space="preserve">, </w:t>
      </w:r>
      <w:r w:rsidR="006342C5" w:rsidRPr="007F7EBF">
        <w:rPr>
          <w:bCs/>
          <w:sz w:val="22"/>
          <w:szCs w:val="22"/>
        </w:rPr>
        <w:t xml:space="preserve">commercio </w:t>
      </w:r>
      <w:r w:rsidR="007C59A8" w:rsidRPr="007F7EBF">
        <w:rPr>
          <w:sz w:val="22"/>
          <w:szCs w:val="22"/>
        </w:rPr>
        <w:t xml:space="preserve">di beni usati, </w:t>
      </w:r>
      <w:r w:rsidR="004B3F0F" w:rsidRPr="007F7EBF">
        <w:rPr>
          <w:sz w:val="22"/>
          <w:szCs w:val="22"/>
        </w:rPr>
        <w:t xml:space="preserve">tassisti </w:t>
      </w:r>
      <w:r w:rsidR="00304E51" w:rsidRPr="007F7EBF">
        <w:rPr>
          <w:sz w:val="22"/>
          <w:szCs w:val="22"/>
        </w:rPr>
        <w:t xml:space="preserve">part time </w:t>
      </w:r>
      <w:r w:rsidR="004B3F0F" w:rsidRPr="007F7EBF">
        <w:rPr>
          <w:sz w:val="22"/>
          <w:szCs w:val="22"/>
        </w:rPr>
        <w:t>di "</w:t>
      </w:r>
      <w:proofErr w:type="spellStart"/>
      <w:r w:rsidR="004B3F0F" w:rsidRPr="007F7EBF">
        <w:rPr>
          <w:i/>
          <w:sz w:val="22"/>
          <w:szCs w:val="22"/>
        </w:rPr>
        <w:t>uber</w:t>
      </w:r>
      <w:proofErr w:type="spellEnd"/>
      <w:r w:rsidR="004B3F0F" w:rsidRPr="007F7EBF">
        <w:rPr>
          <w:sz w:val="22"/>
          <w:szCs w:val="22"/>
        </w:rPr>
        <w:t xml:space="preserve">", </w:t>
      </w:r>
      <w:r w:rsidR="00304E51" w:rsidRPr="007F7EBF">
        <w:rPr>
          <w:sz w:val="22"/>
          <w:szCs w:val="22"/>
        </w:rPr>
        <w:t xml:space="preserve"> </w:t>
      </w:r>
      <w:proofErr w:type="spellStart"/>
      <w:r w:rsidR="00304E51" w:rsidRPr="007F7EBF">
        <w:rPr>
          <w:i/>
          <w:sz w:val="22"/>
          <w:szCs w:val="22"/>
        </w:rPr>
        <w:t>foodracer</w:t>
      </w:r>
      <w:proofErr w:type="spellEnd"/>
      <w:r w:rsidR="00304E51" w:rsidRPr="007F7EBF">
        <w:rPr>
          <w:sz w:val="22"/>
          <w:szCs w:val="22"/>
        </w:rPr>
        <w:t xml:space="preserve">  che consegna</w:t>
      </w:r>
      <w:r w:rsidR="004B3F0F" w:rsidRPr="007F7EBF">
        <w:rPr>
          <w:sz w:val="22"/>
          <w:szCs w:val="22"/>
        </w:rPr>
        <w:t>no</w:t>
      </w:r>
      <w:r w:rsidR="00304E51" w:rsidRPr="007F7EBF">
        <w:rPr>
          <w:sz w:val="22"/>
          <w:szCs w:val="22"/>
        </w:rPr>
        <w:t xml:space="preserve"> pizze e pasti a domicilio</w:t>
      </w:r>
      <w:r w:rsidR="00372FC8" w:rsidRPr="007F7EBF">
        <w:rPr>
          <w:sz w:val="22"/>
          <w:szCs w:val="22"/>
        </w:rPr>
        <w:t xml:space="preserve">, </w:t>
      </w:r>
      <w:r w:rsidR="00372FC8" w:rsidRPr="007F7EBF">
        <w:rPr>
          <w:i/>
          <w:sz w:val="22"/>
          <w:szCs w:val="22"/>
        </w:rPr>
        <w:t>fashion blogger</w:t>
      </w:r>
      <w:r w:rsidR="00372FC8" w:rsidRPr="007F7EBF">
        <w:rPr>
          <w:sz w:val="22"/>
          <w:szCs w:val="22"/>
        </w:rPr>
        <w:t>,</w:t>
      </w:r>
      <w:r w:rsidR="00B9024F" w:rsidRPr="007F7EBF">
        <w:rPr>
          <w:i/>
          <w:sz w:val="22"/>
          <w:szCs w:val="22"/>
        </w:rPr>
        <w:t xml:space="preserve"> </w:t>
      </w:r>
      <w:r w:rsidR="00372FC8" w:rsidRPr="007F7EBF">
        <w:rPr>
          <w:i/>
          <w:sz w:val="22"/>
          <w:szCs w:val="22"/>
        </w:rPr>
        <w:t>trader online</w:t>
      </w:r>
      <w:r w:rsidR="00372FC8" w:rsidRPr="007F7EBF">
        <w:rPr>
          <w:sz w:val="22"/>
          <w:szCs w:val="22"/>
        </w:rPr>
        <w:t xml:space="preserve"> e</w:t>
      </w:r>
      <w:r w:rsidR="004B3F0F" w:rsidRPr="007F7EBF">
        <w:rPr>
          <w:sz w:val="22"/>
          <w:szCs w:val="22"/>
        </w:rPr>
        <w:t xml:space="preserve"> altr</w:t>
      </w:r>
      <w:r w:rsidR="003D1692">
        <w:rPr>
          <w:sz w:val="22"/>
          <w:szCs w:val="22"/>
        </w:rPr>
        <w:t>e strategie di</w:t>
      </w:r>
      <w:r w:rsidR="004B3F0F" w:rsidRPr="007F7EBF">
        <w:rPr>
          <w:sz w:val="22"/>
          <w:szCs w:val="22"/>
        </w:rPr>
        <w:t xml:space="preserve"> sopravvive</w:t>
      </w:r>
      <w:r w:rsidR="003D1692">
        <w:rPr>
          <w:sz w:val="22"/>
          <w:szCs w:val="22"/>
        </w:rPr>
        <w:t>nza</w:t>
      </w:r>
      <w:r w:rsidR="00B9024F" w:rsidRPr="007F7EBF">
        <w:rPr>
          <w:sz w:val="22"/>
          <w:szCs w:val="22"/>
        </w:rPr>
        <w:t xml:space="preserve"> alla deindustrializzazione</w:t>
      </w:r>
      <w:r w:rsidR="004B3F0F" w:rsidRPr="007F7EBF">
        <w:rPr>
          <w:sz w:val="22"/>
          <w:szCs w:val="22"/>
        </w:rPr>
        <w:t xml:space="preserve">. </w:t>
      </w:r>
      <w:r w:rsidR="00B9024F" w:rsidRPr="007F7EBF">
        <w:rPr>
          <w:sz w:val="22"/>
          <w:szCs w:val="22"/>
        </w:rPr>
        <w:t xml:space="preserve"> </w:t>
      </w:r>
    </w:p>
    <w:p w14:paraId="6E887CB4" w14:textId="5F5D39F2" w:rsidR="00DA6CAB" w:rsidRPr="007F7EBF" w:rsidRDefault="003D1692" w:rsidP="00DA6CAB">
      <w:pPr>
        <w:pStyle w:val="tit23"/>
        <w:ind w:left="6464" w:right="-1361" w:firstLine="0"/>
        <w:jc w:val="left"/>
        <w:rPr>
          <w:b/>
          <w:bCs/>
          <w:i/>
          <w:iCs/>
          <w:color w:val="0000FF"/>
          <w:lang w:val="it-IT"/>
        </w:rPr>
      </w:pPr>
      <w:r>
        <w:rPr>
          <w:b/>
          <w:bCs/>
          <w:i/>
          <w:iCs/>
          <w:color w:val="0000FF"/>
          <w:lang w:val="it-IT"/>
        </w:rPr>
        <w:t xml:space="preserve">Lavoro liquido e tassazione attraverso </w:t>
      </w:r>
      <w:r w:rsidR="0083238F" w:rsidRPr="007F7EBF">
        <w:rPr>
          <w:b/>
          <w:bCs/>
          <w:i/>
          <w:iCs/>
          <w:color w:val="0000FF"/>
          <w:lang w:val="it-IT"/>
        </w:rPr>
        <w:t>le aziende</w:t>
      </w:r>
    </w:p>
    <w:p w14:paraId="05250778" w14:textId="592ADCFD" w:rsidR="00985514" w:rsidRPr="007F7EBF" w:rsidRDefault="003D1692" w:rsidP="00067D86">
      <w:pPr>
        <w:autoSpaceDE w:val="0"/>
        <w:autoSpaceDN w:val="0"/>
        <w:adjustRightInd w:val="0"/>
        <w:rPr>
          <w:sz w:val="22"/>
          <w:szCs w:val="22"/>
        </w:rPr>
      </w:pPr>
      <w:r w:rsidRPr="007F7EBF">
        <w:rPr>
          <w:sz w:val="22"/>
          <w:szCs w:val="22"/>
        </w:rPr>
        <w:t>Quest</w:t>
      </w:r>
      <w:r>
        <w:rPr>
          <w:sz w:val="22"/>
          <w:szCs w:val="22"/>
        </w:rPr>
        <w:t>e nuove attività indipendenti, spesso create dall’estro italiano (par.</w:t>
      </w:r>
      <w:r w:rsidR="003C43D7">
        <w:rPr>
          <w:sz w:val="22"/>
          <w:szCs w:val="22"/>
        </w:rPr>
        <w:t>4.1</w:t>
      </w:r>
      <w:r>
        <w:rPr>
          <w:sz w:val="22"/>
          <w:szCs w:val="22"/>
        </w:rPr>
        <w:t>) non si prestano</w:t>
      </w:r>
      <w:r w:rsidR="001D530F">
        <w:rPr>
          <w:sz w:val="22"/>
          <w:szCs w:val="22"/>
        </w:rPr>
        <w:t xml:space="preserve"> sempre</w:t>
      </w:r>
      <w:r>
        <w:rPr>
          <w:sz w:val="22"/>
          <w:szCs w:val="22"/>
        </w:rPr>
        <w:t xml:space="preserve"> alla determinazione documentale, </w:t>
      </w:r>
      <w:r w:rsidR="00884DE7">
        <w:rPr>
          <w:sz w:val="22"/>
          <w:szCs w:val="22"/>
        </w:rPr>
        <w:t xml:space="preserve">e fanno parte di un fenomeno riguardante milioni di individui a reddito zero, o reddito irrisorio, di cui mancano spiegazioni scientifico sociali; è </w:t>
      </w:r>
      <w:r w:rsidR="00884DE7">
        <w:rPr>
          <w:sz w:val="22"/>
          <w:szCs w:val="22"/>
        </w:rPr>
        <w:lastRenderedPageBreak/>
        <w:t xml:space="preserve">difficile dire come passino il proprio tempo i milioni di soggetti con redditi irrisori, cioè se siano mantenuti dalla famiglia, da redditi soggetti a imposte sostitutive, da regimi forfettari, da attività “sommerse”. E’ certo solo che nei loro confronti non ha senso </w:t>
      </w:r>
      <w:r>
        <w:rPr>
          <w:sz w:val="22"/>
          <w:szCs w:val="22"/>
        </w:rPr>
        <w:t>l’illusoria ”esportazione della contabilità” di cui al par.4.5</w:t>
      </w:r>
      <w:r w:rsidR="002000BD" w:rsidRPr="007F7EBF">
        <w:rPr>
          <w:sz w:val="22"/>
          <w:szCs w:val="22"/>
        </w:rPr>
        <w:t>.</w:t>
      </w:r>
    </w:p>
    <w:p w14:paraId="789C46A8" w14:textId="77777777" w:rsidR="00985514" w:rsidRPr="007F7EBF" w:rsidRDefault="00985514" w:rsidP="00985514">
      <w:pPr>
        <w:pStyle w:val="tit23"/>
        <w:ind w:left="6464" w:right="-1361" w:firstLine="0"/>
        <w:jc w:val="left"/>
        <w:rPr>
          <w:b/>
          <w:bCs/>
          <w:i/>
          <w:iCs/>
          <w:color w:val="0000FF"/>
          <w:lang w:val="it-IT"/>
        </w:rPr>
      </w:pPr>
      <w:r w:rsidRPr="007F7EBF">
        <w:rPr>
          <w:b/>
          <w:bCs/>
          <w:i/>
          <w:iCs/>
          <w:color w:val="0000FF"/>
          <w:lang w:val="it-IT"/>
        </w:rPr>
        <w:t>Rinvio all’evasione di sussistenza</w:t>
      </w:r>
      <w:r w:rsidR="002262D3" w:rsidRPr="007F7EBF">
        <w:rPr>
          <w:b/>
          <w:bCs/>
          <w:i/>
          <w:iCs/>
          <w:color w:val="0000FF"/>
          <w:lang w:val="it-IT"/>
        </w:rPr>
        <w:t xml:space="preserve"> ed esigenze di monitoraggio </w:t>
      </w:r>
    </w:p>
    <w:p w14:paraId="1E4F807D" w14:textId="42B2D00A" w:rsidR="009202ED" w:rsidRPr="007F7EBF" w:rsidRDefault="002000BD" w:rsidP="008F4A3C">
      <w:pPr>
        <w:autoSpaceDE w:val="0"/>
        <w:autoSpaceDN w:val="0"/>
        <w:adjustRightInd w:val="0"/>
        <w:rPr>
          <w:b/>
          <w:bCs/>
          <w:i/>
          <w:iCs/>
          <w:color w:val="0000FF"/>
          <w:sz w:val="22"/>
          <w:szCs w:val="22"/>
        </w:rPr>
      </w:pPr>
      <w:r w:rsidRPr="007F7EBF">
        <w:rPr>
          <w:sz w:val="22"/>
          <w:szCs w:val="22"/>
        </w:rPr>
        <w:t>Il confronto tra</w:t>
      </w:r>
      <w:r w:rsidR="00A96B25">
        <w:rPr>
          <w:sz w:val="22"/>
          <w:szCs w:val="22"/>
        </w:rPr>
        <w:t xml:space="preserve"> i dati delle dichiarazioni dei redditi, della popolazione e delle partite IVA “ufficiali” (circa 5 milioni) rende chiaro l’intreccio di una serie di concause ad oggi non analizzate. </w:t>
      </w:r>
      <w:r w:rsidRPr="007F7EBF">
        <w:rPr>
          <w:sz w:val="22"/>
          <w:szCs w:val="22"/>
        </w:rPr>
        <w:t xml:space="preserve"> </w:t>
      </w:r>
      <w:r w:rsidR="00A67FB8" w:rsidRPr="007F7EBF">
        <w:rPr>
          <w:sz w:val="22"/>
          <w:szCs w:val="22"/>
        </w:rPr>
        <w:t xml:space="preserve">Alcuni di questi soggetti vivono precariamente, altri se la passano meglio di un operaio alla catena di montaggio, senza però una </w:t>
      </w:r>
      <w:r w:rsidR="0034694B">
        <w:rPr>
          <w:sz w:val="22"/>
          <w:szCs w:val="22"/>
        </w:rPr>
        <w:t>rete</w:t>
      </w:r>
      <w:r w:rsidR="00A67FB8" w:rsidRPr="007F7EBF">
        <w:rPr>
          <w:sz w:val="22"/>
          <w:szCs w:val="22"/>
        </w:rPr>
        <w:t xml:space="preserve"> efficiente di protezioni sociali</w:t>
      </w:r>
      <w:r w:rsidR="00714E47">
        <w:rPr>
          <w:sz w:val="22"/>
          <w:szCs w:val="22"/>
        </w:rPr>
        <w:t xml:space="preserve"> </w:t>
      </w:r>
      <w:r w:rsidR="00A67FB8" w:rsidRPr="007F7EBF">
        <w:rPr>
          <w:sz w:val="22"/>
          <w:szCs w:val="22"/>
        </w:rPr>
        <w:t>(</w:t>
      </w:r>
      <w:r w:rsidR="00A67FB8" w:rsidRPr="007F7EBF">
        <w:rPr>
          <w:rStyle w:val="Rimandonotaapidipagina"/>
          <w:sz w:val="22"/>
          <w:szCs w:val="22"/>
        </w:rPr>
        <w:footnoteReference w:id="399"/>
      </w:r>
      <w:r w:rsidR="00A67FB8" w:rsidRPr="007F7EBF">
        <w:rPr>
          <w:sz w:val="22"/>
          <w:szCs w:val="22"/>
        </w:rPr>
        <w:t xml:space="preserve">). </w:t>
      </w:r>
      <w:r w:rsidR="00B372D7">
        <w:rPr>
          <w:sz w:val="22"/>
          <w:szCs w:val="22"/>
        </w:rPr>
        <w:t xml:space="preserve"> Con la crisi i</w:t>
      </w:r>
      <w:r w:rsidR="00A67FB8" w:rsidRPr="007F7EBF">
        <w:rPr>
          <w:sz w:val="22"/>
          <w:szCs w:val="22"/>
        </w:rPr>
        <w:t>l “lavoro liquido” non si riduce, ma</w:t>
      </w:r>
      <w:r w:rsidR="00B372D7">
        <w:rPr>
          <w:sz w:val="22"/>
          <w:szCs w:val="22"/>
        </w:rPr>
        <w:t xml:space="preserve"> </w:t>
      </w:r>
      <w:r w:rsidR="00A67FB8" w:rsidRPr="007F7EBF">
        <w:rPr>
          <w:sz w:val="22"/>
          <w:szCs w:val="22"/>
        </w:rPr>
        <w:t>cresce,</w:t>
      </w:r>
      <w:r w:rsidR="00714E47">
        <w:rPr>
          <w:sz w:val="22"/>
          <w:szCs w:val="22"/>
        </w:rPr>
        <w:t xml:space="preserve"> consapevole di non avere un</w:t>
      </w:r>
      <w:r w:rsidR="00714E47">
        <w:t xml:space="preserve">a “visibilità fisico economica”, </w:t>
      </w:r>
      <w:r w:rsidR="001B147A">
        <w:t xml:space="preserve">e vive l’apertura di una posizione IVA </w:t>
      </w:r>
      <w:r w:rsidR="00714E47">
        <w:t>come paradossale “autodenuncia al fisco” di attività altrimenti neppure percepit</w:t>
      </w:r>
      <w:r w:rsidR="001B147A">
        <w:t>a;;</w:t>
      </w:r>
      <w:r w:rsidR="00714E47">
        <w:t xml:space="preserve"> </w:t>
      </w:r>
      <w:r w:rsidR="00A67FB8" w:rsidRPr="007F7EBF">
        <w:rPr>
          <w:sz w:val="22"/>
          <w:szCs w:val="22"/>
        </w:rPr>
        <w:t xml:space="preserve">è un altro motivo per </w:t>
      </w:r>
      <w:r w:rsidR="001B147A">
        <w:rPr>
          <w:sz w:val="22"/>
          <w:szCs w:val="22"/>
        </w:rPr>
        <w:t xml:space="preserve">combinare </w:t>
      </w:r>
      <w:r w:rsidR="001B147A" w:rsidRPr="007F7EBF">
        <w:t>indizi cont</w:t>
      </w:r>
      <w:r w:rsidR="001B147A">
        <w:t xml:space="preserve">abili, </w:t>
      </w:r>
      <w:r w:rsidR="001B147A" w:rsidRPr="007F7EBF">
        <w:t>materiali</w:t>
      </w:r>
      <w:r w:rsidR="001B147A">
        <w:t xml:space="preserve"> e su</w:t>
      </w:r>
      <w:r w:rsidR="001B147A" w:rsidRPr="007F7EBF">
        <w:t>l tenore di vit</w:t>
      </w:r>
      <w:r w:rsidR="001B147A">
        <w:t>a,</w:t>
      </w:r>
      <w:r w:rsidR="001B147A" w:rsidRPr="007F7EBF">
        <w:rPr>
          <w:sz w:val="22"/>
          <w:szCs w:val="22"/>
        </w:rPr>
        <w:t xml:space="preserve"> </w:t>
      </w:r>
      <w:r w:rsidR="00A67FB8" w:rsidRPr="007F7EBF">
        <w:rPr>
          <w:sz w:val="22"/>
          <w:szCs w:val="22"/>
        </w:rPr>
        <w:t>rilancia</w:t>
      </w:r>
      <w:r w:rsidR="001B147A">
        <w:rPr>
          <w:sz w:val="22"/>
          <w:szCs w:val="22"/>
        </w:rPr>
        <w:t xml:space="preserve">ndo </w:t>
      </w:r>
      <w:r w:rsidR="00A67FB8" w:rsidRPr="007F7EBF">
        <w:rPr>
          <w:sz w:val="22"/>
          <w:szCs w:val="22"/>
        </w:rPr>
        <w:t>il controllo tributario valutativo del territorio</w:t>
      </w:r>
      <w:r w:rsidR="00714E47">
        <w:rPr>
          <w:sz w:val="22"/>
          <w:szCs w:val="22"/>
        </w:rPr>
        <w:t xml:space="preserve"> di cui ai </w:t>
      </w:r>
      <w:r w:rsidR="00A67FB8" w:rsidRPr="007F7EBF">
        <w:rPr>
          <w:sz w:val="22"/>
          <w:szCs w:val="22"/>
        </w:rPr>
        <w:t>par</w:t>
      </w:r>
      <w:r w:rsidR="00714E47">
        <w:rPr>
          <w:sz w:val="22"/>
          <w:szCs w:val="22"/>
        </w:rPr>
        <w:t>r</w:t>
      </w:r>
      <w:r w:rsidR="00A67FB8" w:rsidRPr="007F7EBF">
        <w:rPr>
          <w:sz w:val="22"/>
          <w:szCs w:val="22"/>
        </w:rPr>
        <w:t>.</w:t>
      </w:r>
      <w:r w:rsidR="00186022">
        <w:rPr>
          <w:sz w:val="22"/>
          <w:szCs w:val="22"/>
        </w:rPr>
        <w:t xml:space="preserve">5.7 e </w:t>
      </w:r>
      <w:r w:rsidR="00A67FB8" w:rsidRPr="007F7EBF">
        <w:rPr>
          <w:sz w:val="22"/>
          <w:szCs w:val="22"/>
        </w:rPr>
        <w:t>5.15</w:t>
      </w:r>
      <w:r w:rsidR="001B147A">
        <w:rPr>
          <w:sz w:val="22"/>
          <w:szCs w:val="22"/>
        </w:rPr>
        <w:t xml:space="preserve">. </w:t>
      </w:r>
      <w:r w:rsidR="009202ED" w:rsidRPr="007F7EBF">
        <w:rPr>
          <w:b/>
          <w:bCs/>
          <w:i/>
          <w:iCs/>
          <w:color w:val="0000FF"/>
          <w:sz w:val="22"/>
          <w:szCs w:val="22"/>
        </w:rPr>
        <w:t xml:space="preserve"> </w:t>
      </w:r>
    </w:p>
    <w:p w14:paraId="6B00ECC9" w14:textId="35C7DF94" w:rsidR="007B7405" w:rsidRPr="00593549" w:rsidRDefault="00DA34D7" w:rsidP="007B7405">
      <w:pPr>
        <w:pStyle w:val="Titolo3"/>
        <w:rPr>
          <w:rFonts w:ascii="Times New Roman" w:hAnsi="Times New Roman"/>
          <w:sz w:val="22"/>
          <w:szCs w:val="22"/>
          <w:lang w:val="it-IT"/>
        </w:rPr>
      </w:pPr>
      <w:bookmarkStart w:id="47" w:name="_Toc63364963"/>
      <w:r w:rsidRPr="007F7EBF">
        <w:rPr>
          <w:rFonts w:ascii="Times New Roman" w:hAnsi="Times New Roman"/>
          <w:sz w:val="22"/>
          <w:szCs w:val="22"/>
        </w:rPr>
        <w:t xml:space="preserve">3.16. </w:t>
      </w:r>
      <w:r w:rsidR="00593549">
        <w:rPr>
          <w:rFonts w:ascii="Times New Roman" w:hAnsi="Times New Roman"/>
          <w:sz w:val="22"/>
          <w:szCs w:val="22"/>
          <w:lang w:val="it-IT"/>
        </w:rPr>
        <w:t xml:space="preserve">Gli incaricati privati dell’adempimento tributario e </w:t>
      </w:r>
      <w:r w:rsidR="002262D3" w:rsidRPr="007F7EBF">
        <w:rPr>
          <w:rFonts w:ascii="Times New Roman" w:hAnsi="Times New Roman"/>
          <w:sz w:val="22"/>
          <w:szCs w:val="22"/>
          <w:lang w:val="it-IT"/>
        </w:rPr>
        <w:t>la</w:t>
      </w:r>
      <w:r w:rsidRPr="007F7EBF">
        <w:rPr>
          <w:rFonts w:ascii="Times New Roman" w:hAnsi="Times New Roman"/>
          <w:sz w:val="22"/>
          <w:szCs w:val="22"/>
        </w:rPr>
        <w:t xml:space="preserve"> tassazione </w:t>
      </w:r>
      <w:r w:rsidR="00593549">
        <w:rPr>
          <w:rFonts w:ascii="Times New Roman" w:hAnsi="Times New Roman"/>
          <w:sz w:val="22"/>
          <w:szCs w:val="22"/>
          <w:lang w:val="it-IT"/>
        </w:rPr>
        <w:t>“</w:t>
      </w:r>
      <w:r w:rsidRPr="007F7EBF">
        <w:rPr>
          <w:rFonts w:ascii="Times New Roman" w:hAnsi="Times New Roman"/>
          <w:sz w:val="22"/>
          <w:szCs w:val="22"/>
        </w:rPr>
        <w:t xml:space="preserve">attraverso i </w:t>
      </w:r>
      <w:r w:rsidR="00BF225F">
        <w:rPr>
          <w:rFonts w:ascii="Times New Roman" w:hAnsi="Times New Roman"/>
          <w:sz w:val="22"/>
          <w:szCs w:val="22"/>
          <w:lang w:val="it-IT"/>
        </w:rPr>
        <w:t>professionisti</w:t>
      </w:r>
      <w:r w:rsidRPr="007F7EBF">
        <w:rPr>
          <w:rFonts w:ascii="Times New Roman" w:hAnsi="Times New Roman"/>
          <w:sz w:val="22"/>
          <w:szCs w:val="22"/>
        </w:rPr>
        <w:t>”</w:t>
      </w:r>
      <w:r w:rsidR="00593549">
        <w:rPr>
          <w:rFonts w:ascii="Times New Roman" w:hAnsi="Times New Roman"/>
          <w:sz w:val="22"/>
          <w:szCs w:val="22"/>
          <w:lang w:val="it-IT"/>
        </w:rPr>
        <w:t>.</w:t>
      </w:r>
      <w:bookmarkEnd w:id="47"/>
    </w:p>
    <w:p w14:paraId="1D88CFC3" w14:textId="70050505" w:rsidR="007B7405" w:rsidRPr="007F7EBF" w:rsidRDefault="00577029" w:rsidP="007B7405">
      <w:pPr>
        <w:pStyle w:val="tit23"/>
        <w:ind w:left="6464" w:right="-1361" w:firstLine="0"/>
        <w:jc w:val="left"/>
        <w:rPr>
          <w:bCs/>
          <w:i/>
          <w:iCs/>
          <w:color w:val="0000FF"/>
          <w:lang w:val="it-IT"/>
        </w:rPr>
      </w:pPr>
      <w:r>
        <w:rPr>
          <w:bCs/>
          <w:i/>
          <w:iCs/>
          <w:color w:val="0000FF"/>
          <w:lang w:val="it-IT"/>
        </w:rPr>
        <w:t xml:space="preserve">Gli addetti aziendali alla funzione tributaria </w:t>
      </w:r>
    </w:p>
    <w:p w14:paraId="2FD245EF" w14:textId="6DF124D2" w:rsidR="00DA5B7C" w:rsidRDefault="00B20B79" w:rsidP="00DA5B7C">
      <w:pPr>
        <w:rPr>
          <w:sz w:val="22"/>
          <w:szCs w:val="22"/>
        </w:rPr>
      </w:pPr>
      <w:r>
        <w:t>L’esternalizzazione sui privati dei compiti indicati ai paragrafi precedenti riguarda</w:t>
      </w:r>
      <w:r w:rsidR="00577029">
        <w:t xml:space="preserve"> prima di tutto gli </w:t>
      </w:r>
      <w:r w:rsidR="00ED52AF">
        <w:t xml:space="preserve">addetti agli </w:t>
      </w:r>
      <w:r w:rsidR="00B35569">
        <w:t xml:space="preserve">uffici contabili di </w:t>
      </w:r>
      <w:r w:rsidR="00ED52AF">
        <w:t xml:space="preserve">aziende e altre </w:t>
      </w:r>
      <w:r w:rsidR="00B35569">
        <w:t xml:space="preserve">organizzazioni </w:t>
      </w:r>
      <w:r>
        <w:t>pluripersonali. Essi si danno carico</w:t>
      </w:r>
      <w:r w:rsidR="009F7CD4">
        <w:t xml:space="preserve"> degli </w:t>
      </w:r>
      <w:r w:rsidR="009569F3">
        <w:t xml:space="preserve">adempimenti tributari </w:t>
      </w:r>
      <w:r w:rsidR="009F7CD4">
        <w:t>rientranti n</w:t>
      </w:r>
      <w:r w:rsidR="009569F3">
        <w:t xml:space="preserve">elle loro generali </w:t>
      </w:r>
      <w:r w:rsidR="00ED52AF">
        <w:t xml:space="preserve"> mansioni </w:t>
      </w:r>
      <w:r w:rsidR="009F7CD4">
        <w:t>amministrative. C</w:t>
      </w:r>
      <w:r w:rsidR="00B35569">
        <w:t>hi amministra le vendite</w:t>
      </w:r>
      <w:r w:rsidR="006568BF">
        <w:t xml:space="preserve"> registra anche l’IVA a debito,</w:t>
      </w:r>
      <w:r w:rsidR="00B35569">
        <w:t xml:space="preserve"> </w:t>
      </w:r>
      <w:r w:rsidR="009F7CD4">
        <w:t xml:space="preserve">mentre le detrazioni sugli acquisti sono stratificate da chi registra le fatture dei fornitori. L’ufficio paghe </w:t>
      </w:r>
      <w:r w:rsidR="009569F3">
        <w:t xml:space="preserve">effettua </w:t>
      </w:r>
      <w:r w:rsidR="009F7CD4">
        <w:t xml:space="preserve">le </w:t>
      </w:r>
      <w:r w:rsidR="00B35569">
        <w:t xml:space="preserve">ritenute </w:t>
      </w:r>
      <w:r w:rsidR="009F7CD4">
        <w:t>sui redditi erogati ai dipendenti (cfr. paragrafi 3.5, 3.6, 7.3, 7.7) e in genere t</w:t>
      </w:r>
      <w:r w:rsidR="009F7CD4" w:rsidRPr="007F7EBF">
        <w:t xml:space="preserve">utti gli addetti </w:t>
      </w:r>
      <w:r w:rsidR="009F7CD4">
        <w:t>aziendali svolgono gli</w:t>
      </w:r>
      <w:r w:rsidR="009F7CD4" w:rsidRPr="007F7EBF">
        <w:t xml:space="preserve"> adempimenti </w:t>
      </w:r>
      <w:r w:rsidR="009F7CD4" w:rsidRPr="007F7EBF">
        <w:lastRenderedPageBreak/>
        <w:t>tributari</w:t>
      </w:r>
      <w:r w:rsidR="009F7CD4">
        <w:t xml:space="preserve"> impliciti nei loro compiti</w:t>
      </w:r>
      <w:r w:rsidR="009569F3">
        <w:rPr>
          <w:sz w:val="22"/>
          <w:szCs w:val="22"/>
        </w:rPr>
        <w:t>. I</w:t>
      </w:r>
      <w:r w:rsidR="00B35569">
        <w:rPr>
          <w:sz w:val="22"/>
          <w:szCs w:val="22"/>
        </w:rPr>
        <w:t xml:space="preserve">l </w:t>
      </w:r>
      <w:r w:rsidR="009F7CD4">
        <w:rPr>
          <w:sz w:val="22"/>
          <w:szCs w:val="22"/>
        </w:rPr>
        <w:t xml:space="preserve">coordinamento e la </w:t>
      </w:r>
      <w:r w:rsidR="00B35569">
        <w:rPr>
          <w:sz w:val="22"/>
          <w:szCs w:val="22"/>
        </w:rPr>
        <w:t>responsabil</w:t>
      </w:r>
      <w:r w:rsidR="009F7CD4">
        <w:rPr>
          <w:sz w:val="22"/>
          <w:szCs w:val="22"/>
        </w:rPr>
        <w:t>ità</w:t>
      </w:r>
      <w:r w:rsidR="00B35569">
        <w:rPr>
          <w:sz w:val="22"/>
          <w:szCs w:val="22"/>
        </w:rPr>
        <w:t xml:space="preserve"> ultim</w:t>
      </w:r>
      <w:r w:rsidR="009F7CD4">
        <w:rPr>
          <w:sz w:val="22"/>
          <w:szCs w:val="22"/>
        </w:rPr>
        <w:t>a sono de</w:t>
      </w:r>
      <w:r w:rsidR="00900C82" w:rsidRPr="007F7EBF">
        <w:rPr>
          <w:sz w:val="22"/>
          <w:szCs w:val="22"/>
        </w:rPr>
        <w:t>l direttore amministrativo</w:t>
      </w:r>
      <w:r w:rsidR="00B23CD4">
        <w:rPr>
          <w:sz w:val="22"/>
          <w:szCs w:val="22"/>
        </w:rPr>
        <w:t xml:space="preserve"> (par.3.2)</w:t>
      </w:r>
      <w:r w:rsidR="00B35569">
        <w:rPr>
          <w:sz w:val="22"/>
          <w:szCs w:val="22"/>
        </w:rPr>
        <w:t xml:space="preserve">, </w:t>
      </w:r>
      <w:r w:rsidR="009569F3">
        <w:rPr>
          <w:sz w:val="22"/>
          <w:szCs w:val="22"/>
        </w:rPr>
        <w:t xml:space="preserve">raramente </w:t>
      </w:r>
      <w:r w:rsidR="00F40E37">
        <w:rPr>
          <w:sz w:val="22"/>
          <w:szCs w:val="22"/>
        </w:rPr>
        <w:t>coadiuvato</w:t>
      </w:r>
      <w:r w:rsidR="009569F3">
        <w:rPr>
          <w:sz w:val="22"/>
          <w:szCs w:val="22"/>
        </w:rPr>
        <w:t>,</w:t>
      </w:r>
      <w:r w:rsidR="00F40E37">
        <w:rPr>
          <w:sz w:val="22"/>
          <w:szCs w:val="22"/>
        </w:rPr>
        <w:t xml:space="preserve"> nelle aziende più grandi</w:t>
      </w:r>
      <w:r w:rsidR="009569F3">
        <w:rPr>
          <w:sz w:val="22"/>
          <w:szCs w:val="22"/>
        </w:rPr>
        <w:t>, d</w:t>
      </w:r>
      <w:r w:rsidR="00B23CD4">
        <w:rPr>
          <w:sz w:val="22"/>
          <w:szCs w:val="22"/>
        </w:rPr>
        <w:t>a un</w:t>
      </w:r>
      <w:r w:rsidR="00004925">
        <w:rPr>
          <w:sz w:val="22"/>
          <w:szCs w:val="22"/>
        </w:rPr>
        <w:t xml:space="preserve"> “addetto fiscale”</w:t>
      </w:r>
      <w:r w:rsidR="006568BF">
        <w:rPr>
          <w:sz w:val="22"/>
          <w:szCs w:val="22"/>
        </w:rPr>
        <w:t xml:space="preserve"> interno</w:t>
      </w:r>
      <w:r w:rsidR="009F7CD4">
        <w:rPr>
          <w:sz w:val="22"/>
          <w:szCs w:val="22"/>
        </w:rPr>
        <w:t xml:space="preserve"> o da </w:t>
      </w:r>
      <w:r w:rsidR="003A738C">
        <w:rPr>
          <w:sz w:val="22"/>
          <w:szCs w:val="22"/>
        </w:rPr>
        <w:t>consulenti esterni</w:t>
      </w:r>
      <w:r w:rsidR="009F7CD4">
        <w:rPr>
          <w:sz w:val="22"/>
          <w:szCs w:val="22"/>
        </w:rPr>
        <w:t xml:space="preserve"> per questioni fuori dalla </w:t>
      </w:r>
      <w:r w:rsidR="009F7CD4" w:rsidRPr="009F7CD4">
        <w:rPr>
          <w:i/>
          <w:iCs/>
          <w:sz w:val="22"/>
          <w:szCs w:val="22"/>
        </w:rPr>
        <w:t>routine</w:t>
      </w:r>
      <w:r w:rsidR="009F7CD4">
        <w:rPr>
          <w:sz w:val="22"/>
          <w:szCs w:val="22"/>
        </w:rPr>
        <w:t>.</w:t>
      </w:r>
    </w:p>
    <w:p w14:paraId="30D1B1A0" w14:textId="48A94942" w:rsidR="00DA5B7C" w:rsidRDefault="00DA5B7C" w:rsidP="00DA5B7C">
      <w:pPr>
        <w:pStyle w:val="tit23"/>
        <w:ind w:left="6464" w:right="-1361" w:firstLine="0"/>
        <w:jc w:val="left"/>
        <w:rPr>
          <w:bCs/>
          <w:i/>
          <w:iCs/>
          <w:color w:val="0000FF"/>
          <w:lang w:val="it-IT"/>
        </w:rPr>
      </w:pPr>
      <w:r>
        <w:rPr>
          <w:bCs/>
          <w:i/>
          <w:iCs/>
          <w:color w:val="0000FF"/>
          <w:lang w:val="it-IT"/>
        </w:rPr>
        <w:t xml:space="preserve">Assistenza </w:t>
      </w:r>
      <w:r w:rsidR="00F85D53">
        <w:rPr>
          <w:bCs/>
          <w:i/>
          <w:iCs/>
          <w:color w:val="0000FF"/>
          <w:lang w:val="it-IT"/>
        </w:rPr>
        <w:t>esternalizzata</w:t>
      </w:r>
    </w:p>
    <w:p w14:paraId="395B202F" w14:textId="20733F2B" w:rsidR="003A30F9" w:rsidRPr="007F7EBF" w:rsidRDefault="00B35569" w:rsidP="00F85D53">
      <w:pPr>
        <w:rPr>
          <w:bCs/>
          <w:i/>
          <w:iCs/>
          <w:color w:val="0000FF"/>
        </w:rPr>
      </w:pPr>
      <w:r>
        <w:rPr>
          <w:sz w:val="22"/>
          <w:szCs w:val="22"/>
        </w:rPr>
        <w:t>M</w:t>
      </w:r>
      <w:r w:rsidR="003049B5">
        <w:rPr>
          <w:sz w:val="22"/>
          <w:szCs w:val="22"/>
        </w:rPr>
        <w:t xml:space="preserve">an mano che </w:t>
      </w:r>
      <w:r w:rsidR="00814826">
        <w:rPr>
          <w:sz w:val="22"/>
          <w:szCs w:val="22"/>
        </w:rPr>
        <w:t xml:space="preserve">le dimensioni </w:t>
      </w:r>
      <w:r w:rsidR="00F86CA7">
        <w:rPr>
          <w:sz w:val="22"/>
          <w:szCs w:val="22"/>
        </w:rPr>
        <w:t>aziendali diminuiscono</w:t>
      </w:r>
      <w:r w:rsidR="00705D6A">
        <w:rPr>
          <w:sz w:val="22"/>
          <w:szCs w:val="22"/>
        </w:rPr>
        <w:t>,</w:t>
      </w:r>
      <w:r>
        <w:rPr>
          <w:sz w:val="22"/>
          <w:szCs w:val="22"/>
        </w:rPr>
        <w:t xml:space="preserve"> </w:t>
      </w:r>
      <w:r w:rsidR="003A738C">
        <w:rPr>
          <w:sz w:val="22"/>
          <w:szCs w:val="22"/>
        </w:rPr>
        <w:t xml:space="preserve">gli adempimenti suddetti vengono proporzionalmente esternalizzati, </w:t>
      </w:r>
      <w:r w:rsidR="009F7CD4">
        <w:rPr>
          <w:sz w:val="22"/>
          <w:szCs w:val="22"/>
        </w:rPr>
        <w:t>fino ai commercialisti e ai centri contabili di p</w:t>
      </w:r>
      <w:r w:rsidR="003A738C">
        <w:rPr>
          <w:sz w:val="22"/>
          <w:szCs w:val="22"/>
        </w:rPr>
        <w:t>iccoli commercianti, artigiani e professionisti</w:t>
      </w:r>
      <w:r w:rsidR="009F7CD4">
        <w:rPr>
          <w:sz w:val="22"/>
          <w:szCs w:val="22"/>
        </w:rPr>
        <w:t>. M</w:t>
      </w:r>
      <w:r w:rsidR="009F7CD4">
        <w:t>i sentirei di stimare</w:t>
      </w:r>
      <w:r w:rsidR="00B273AE">
        <w:t xml:space="preserve"> in</w:t>
      </w:r>
      <w:r w:rsidR="009F7CD4">
        <w:t xml:space="preserve"> oltre centomila a</w:t>
      </w:r>
      <w:r w:rsidR="00B273AE">
        <w:t>ddetti a</w:t>
      </w:r>
      <w:r w:rsidR="009F7CD4">
        <w:t xml:space="preserve"> tempo pieno, se si tiene conto degli iscritti a</w:t>
      </w:r>
      <w:r w:rsidR="00B273AE">
        <w:t>ll’</w:t>
      </w:r>
      <w:r w:rsidR="009F7CD4">
        <w:t>alb</w:t>
      </w:r>
      <w:r w:rsidR="00B273AE">
        <w:t>o dei commercialist</w:t>
      </w:r>
      <w:r w:rsidR="009F7CD4">
        <w:t xml:space="preserve">i  </w:t>
      </w:r>
      <w:r w:rsidR="00B273AE">
        <w:t xml:space="preserve">al netto di chi </w:t>
      </w:r>
      <w:r w:rsidR="009F7CD4">
        <w:t xml:space="preserve">non si occupa di questioni tributarie, </w:t>
      </w:r>
      <w:r w:rsidR="00B273AE">
        <w:t>ma aggiungendo</w:t>
      </w:r>
      <w:r w:rsidR="009F7CD4">
        <w:t xml:space="preserve"> iscritti ad altri albi </w:t>
      </w:r>
      <w:r w:rsidR="00B273AE">
        <w:rPr>
          <w:rStyle w:val="Rimandonotaapidipagina"/>
          <w:sz w:val="22"/>
          <w:szCs w:val="22"/>
        </w:rPr>
        <w:footnoteReference w:id="400"/>
      </w:r>
      <w:r w:rsidR="009F7CD4">
        <w:t xml:space="preserve"> che invece se ne occupano</w:t>
      </w:r>
      <w:r w:rsidR="00B273AE">
        <w:t xml:space="preserve">, nonché </w:t>
      </w:r>
      <w:r w:rsidR="009F7CD4" w:rsidRPr="007F7EBF">
        <w:t xml:space="preserve">i </w:t>
      </w:r>
      <w:r w:rsidR="00B273AE">
        <w:t xml:space="preserve">loro </w:t>
      </w:r>
      <w:r w:rsidR="009F7CD4" w:rsidRPr="007F7EBF">
        <w:t xml:space="preserve">collaboratori adibiti alla materiale raccolta e registrazione dei documenti (ad es. la classica figura della “segretaria del commercialista”). </w:t>
      </w:r>
    </w:p>
    <w:p w14:paraId="115257C3" w14:textId="5F9059FF" w:rsidR="006F69D2" w:rsidRPr="007F7EBF" w:rsidRDefault="004F1F28" w:rsidP="006F69D2">
      <w:pPr>
        <w:autoSpaceDE w:val="0"/>
        <w:autoSpaceDN w:val="0"/>
        <w:adjustRightInd w:val="0"/>
        <w:rPr>
          <w:bCs/>
          <w:i/>
          <w:iCs/>
          <w:color w:val="0000FF"/>
          <w:sz w:val="22"/>
          <w:szCs w:val="22"/>
        </w:rPr>
      </w:pPr>
      <w:r>
        <w:rPr>
          <w:sz w:val="22"/>
          <w:szCs w:val="22"/>
        </w:rPr>
        <w:t xml:space="preserve">Quale che sia il coinvolgimento del professionista, c’è una differenza fondamentale rispetto al </w:t>
      </w:r>
      <w:r w:rsidR="00B273AE">
        <w:rPr>
          <w:sz w:val="22"/>
          <w:szCs w:val="22"/>
        </w:rPr>
        <w:t xml:space="preserve">suddetto </w:t>
      </w:r>
      <w:r>
        <w:rPr>
          <w:sz w:val="22"/>
          <w:szCs w:val="22"/>
        </w:rPr>
        <w:t>personale amministrativo interno</w:t>
      </w:r>
      <w:r w:rsidR="002C20C3">
        <w:rPr>
          <w:sz w:val="22"/>
          <w:szCs w:val="22"/>
        </w:rPr>
        <w:t xml:space="preserve">, </w:t>
      </w:r>
      <w:r w:rsidR="00B273AE">
        <w:rPr>
          <w:sz w:val="22"/>
          <w:szCs w:val="22"/>
        </w:rPr>
        <w:t xml:space="preserve">con </w:t>
      </w:r>
      <w:r>
        <w:rPr>
          <w:sz w:val="22"/>
          <w:szCs w:val="22"/>
        </w:rPr>
        <w:t xml:space="preserve">responsabilità </w:t>
      </w:r>
      <w:r w:rsidR="00B273AE">
        <w:rPr>
          <w:sz w:val="22"/>
          <w:szCs w:val="22"/>
        </w:rPr>
        <w:t>di gestire rapporti e risorse finanziarie aziendali</w:t>
      </w:r>
      <w:r w:rsidR="00D43C79">
        <w:rPr>
          <w:sz w:val="22"/>
          <w:szCs w:val="22"/>
        </w:rPr>
        <w:t xml:space="preserve">. </w:t>
      </w:r>
      <w:r w:rsidR="00DE5FB1">
        <w:rPr>
          <w:sz w:val="22"/>
          <w:szCs w:val="22"/>
        </w:rPr>
        <w:t>A</w:t>
      </w:r>
      <w:r w:rsidR="00D43C79">
        <w:rPr>
          <w:sz w:val="22"/>
          <w:szCs w:val="22"/>
        </w:rPr>
        <w:t xml:space="preserve">l </w:t>
      </w:r>
      <w:r w:rsidR="00D43C79">
        <w:t>pro</w:t>
      </w:r>
      <w:r w:rsidR="00F54E23">
        <w:t>fessionista</w:t>
      </w:r>
      <w:r w:rsidR="00400BC4">
        <w:rPr>
          <w:sz w:val="22"/>
          <w:szCs w:val="22"/>
        </w:rPr>
        <w:t>, estraneo all</w:t>
      </w:r>
      <w:r w:rsidR="00D43C79">
        <w:rPr>
          <w:sz w:val="22"/>
          <w:szCs w:val="22"/>
        </w:rPr>
        <w:t xml:space="preserve">’attività, vengono semplicemente indicati </w:t>
      </w:r>
      <w:r w:rsidR="00577029">
        <w:rPr>
          <w:sz w:val="22"/>
          <w:szCs w:val="22"/>
        </w:rPr>
        <w:t>dal cliente i</w:t>
      </w:r>
      <w:r w:rsidR="00D43C79">
        <w:rPr>
          <w:sz w:val="22"/>
          <w:szCs w:val="22"/>
        </w:rPr>
        <w:t xml:space="preserve"> </w:t>
      </w:r>
      <w:r w:rsidR="007C60DF">
        <w:rPr>
          <w:sz w:val="22"/>
          <w:szCs w:val="22"/>
        </w:rPr>
        <w:t xml:space="preserve">dati </w:t>
      </w:r>
      <w:r w:rsidR="00EE6C62">
        <w:rPr>
          <w:sz w:val="22"/>
          <w:szCs w:val="22"/>
        </w:rPr>
        <w:t xml:space="preserve">su cui elaborare </w:t>
      </w:r>
      <w:r w:rsidR="00A256E4" w:rsidRPr="007F7EBF">
        <w:rPr>
          <w:sz w:val="22"/>
          <w:szCs w:val="22"/>
        </w:rPr>
        <w:t xml:space="preserve">l’inutile </w:t>
      </w:r>
      <w:r w:rsidR="00004925">
        <w:rPr>
          <w:sz w:val="22"/>
          <w:szCs w:val="22"/>
        </w:rPr>
        <w:t>“</w:t>
      </w:r>
      <w:r w:rsidR="00A256E4" w:rsidRPr="007F7EBF">
        <w:rPr>
          <w:sz w:val="22"/>
          <w:szCs w:val="22"/>
        </w:rPr>
        <w:t>contabilità</w:t>
      </w:r>
      <w:r w:rsidR="00004925">
        <w:rPr>
          <w:sz w:val="22"/>
          <w:szCs w:val="22"/>
        </w:rPr>
        <w:t xml:space="preserve"> fiscale”</w:t>
      </w:r>
      <w:r w:rsidR="00A256E4" w:rsidRPr="007F7EBF">
        <w:rPr>
          <w:sz w:val="22"/>
          <w:szCs w:val="22"/>
        </w:rPr>
        <w:t xml:space="preserve"> </w:t>
      </w:r>
      <w:r w:rsidR="00EE6C62">
        <w:rPr>
          <w:sz w:val="22"/>
          <w:szCs w:val="22"/>
        </w:rPr>
        <w:t>(</w:t>
      </w:r>
      <w:r w:rsidR="00A256E4" w:rsidRPr="007F7EBF">
        <w:rPr>
          <w:sz w:val="22"/>
          <w:szCs w:val="22"/>
        </w:rPr>
        <w:t>pa</w:t>
      </w:r>
      <w:r w:rsidR="00577029">
        <w:rPr>
          <w:sz w:val="22"/>
          <w:szCs w:val="22"/>
        </w:rPr>
        <w:t>r</w:t>
      </w:r>
      <w:r w:rsidR="00A256E4" w:rsidRPr="007F7EBF">
        <w:rPr>
          <w:sz w:val="22"/>
          <w:szCs w:val="22"/>
        </w:rPr>
        <w:t>r.3.13</w:t>
      </w:r>
      <w:r w:rsidR="00577029">
        <w:rPr>
          <w:sz w:val="22"/>
          <w:szCs w:val="22"/>
        </w:rPr>
        <w:t>-3.14</w:t>
      </w:r>
      <w:r w:rsidR="00EE6C62">
        <w:rPr>
          <w:sz w:val="22"/>
          <w:szCs w:val="22"/>
        </w:rPr>
        <w:t>)</w:t>
      </w:r>
      <w:r w:rsidR="000A529C" w:rsidRPr="007F7EBF">
        <w:rPr>
          <w:sz w:val="22"/>
          <w:szCs w:val="22"/>
        </w:rPr>
        <w:t xml:space="preserve">. </w:t>
      </w:r>
      <w:r w:rsidR="00EE6C62">
        <w:rPr>
          <w:sz w:val="22"/>
          <w:szCs w:val="22"/>
        </w:rPr>
        <w:t xml:space="preserve">Egli </w:t>
      </w:r>
      <w:r w:rsidR="004B72BE">
        <w:rPr>
          <w:sz w:val="22"/>
          <w:szCs w:val="22"/>
        </w:rPr>
        <w:t xml:space="preserve">non ha </w:t>
      </w:r>
      <w:r w:rsidR="00B273AE">
        <w:rPr>
          <w:sz w:val="22"/>
          <w:szCs w:val="22"/>
        </w:rPr>
        <w:t xml:space="preserve">motivo di avere una </w:t>
      </w:r>
      <w:r w:rsidR="004B72BE">
        <w:rPr>
          <w:sz w:val="22"/>
          <w:szCs w:val="22"/>
        </w:rPr>
        <w:t>conoscenza formale</w:t>
      </w:r>
      <w:r w:rsidR="00B273AE">
        <w:rPr>
          <w:sz w:val="22"/>
          <w:szCs w:val="22"/>
        </w:rPr>
        <w:t xml:space="preserve"> di dati c</w:t>
      </w:r>
      <w:r w:rsidR="004B72BE">
        <w:rPr>
          <w:sz w:val="22"/>
          <w:szCs w:val="22"/>
        </w:rPr>
        <w:t>ollocat</w:t>
      </w:r>
      <w:r w:rsidR="00B273AE">
        <w:rPr>
          <w:sz w:val="22"/>
          <w:szCs w:val="22"/>
        </w:rPr>
        <w:t xml:space="preserve">i </w:t>
      </w:r>
      <w:r w:rsidR="00A67571">
        <w:rPr>
          <w:sz w:val="22"/>
          <w:szCs w:val="22"/>
        </w:rPr>
        <w:t>nella sfera del cliente</w:t>
      </w:r>
      <w:r w:rsidR="00DE5FB1">
        <w:rPr>
          <w:sz w:val="22"/>
          <w:szCs w:val="22"/>
        </w:rPr>
        <w:t xml:space="preserve">, </w:t>
      </w:r>
      <w:r w:rsidR="002C20C3">
        <w:rPr>
          <w:sz w:val="22"/>
          <w:szCs w:val="22"/>
        </w:rPr>
        <w:t>in una fase anteriore all’intervento professionale</w:t>
      </w:r>
      <w:r w:rsidR="00B273AE">
        <w:rPr>
          <w:sz w:val="22"/>
          <w:szCs w:val="22"/>
        </w:rPr>
        <w:t>, anche se proprio in essa avviene l’evasione</w:t>
      </w:r>
      <w:r w:rsidR="002C20C3">
        <w:rPr>
          <w:sz w:val="22"/>
          <w:szCs w:val="22"/>
        </w:rPr>
        <w:t xml:space="preserve">. E’ </w:t>
      </w:r>
      <w:r w:rsidR="00B273AE">
        <w:rPr>
          <w:sz w:val="22"/>
          <w:szCs w:val="22"/>
        </w:rPr>
        <w:t xml:space="preserve">infatti </w:t>
      </w:r>
      <w:r w:rsidR="00DE5FB1">
        <w:rPr>
          <w:sz w:val="22"/>
          <w:szCs w:val="22"/>
        </w:rPr>
        <w:t xml:space="preserve">il cliente </w:t>
      </w:r>
      <w:r w:rsidR="002C20C3">
        <w:rPr>
          <w:sz w:val="22"/>
          <w:szCs w:val="22"/>
        </w:rPr>
        <w:t xml:space="preserve">a maneggiare incassi e pagamenti, conoscendo i modi empirici di nasconderli al fisco </w:t>
      </w:r>
      <w:r w:rsidR="008F0168" w:rsidRPr="007F7EBF">
        <w:rPr>
          <w:bCs/>
          <w:sz w:val="22"/>
          <w:szCs w:val="22"/>
        </w:rPr>
        <w:t>(par.</w:t>
      </w:r>
      <w:r w:rsidR="008F0168">
        <w:rPr>
          <w:bCs/>
          <w:sz w:val="22"/>
          <w:szCs w:val="22"/>
        </w:rPr>
        <w:t xml:space="preserve">3.7 e </w:t>
      </w:r>
      <w:r w:rsidR="008F0168" w:rsidRPr="007F7EBF">
        <w:rPr>
          <w:bCs/>
          <w:sz w:val="22"/>
          <w:szCs w:val="22"/>
        </w:rPr>
        <w:t>5.</w:t>
      </w:r>
      <w:r w:rsidR="00A723C3">
        <w:rPr>
          <w:bCs/>
          <w:sz w:val="22"/>
          <w:szCs w:val="22"/>
        </w:rPr>
        <w:t>13</w:t>
      </w:r>
      <w:r w:rsidR="008F0168" w:rsidRPr="007F7EBF">
        <w:rPr>
          <w:bCs/>
          <w:sz w:val="22"/>
          <w:szCs w:val="22"/>
        </w:rPr>
        <w:t>)</w:t>
      </w:r>
      <w:r w:rsidR="00DE5FB1">
        <w:rPr>
          <w:bCs/>
          <w:sz w:val="22"/>
          <w:szCs w:val="22"/>
        </w:rPr>
        <w:t xml:space="preserve"> </w:t>
      </w:r>
      <w:r w:rsidR="008F0168" w:rsidRPr="007F7EBF">
        <w:rPr>
          <w:bCs/>
          <w:sz w:val="22"/>
          <w:szCs w:val="22"/>
        </w:rPr>
        <w:t>in relazione a</w:t>
      </w:r>
      <w:r w:rsidR="002C20C3">
        <w:rPr>
          <w:bCs/>
          <w:sz w:val="22"/>
          <w:szCs w:val="22"/>
        </w:rPr>
        <w:t>lla loro “visibilità”</w:t>
      </w:r>
      <w:r w:rsidR="004C184B">
        <w:rPr>
          <w:bCs/>
          <w:sz w:val="22"/>
          <w:szCs w:val="22"/>
        </w:rPr>
        <w:t xml:space="preserve"> e determinabilità tributaria, </w:t>
      </w:r>
      <w:r w:rsidR="002C20C3">
        <w:rPr>
          <w:bCs/>
          <w:sz w:val="22"/>
          <w:szCs w:val="22"/>
        </w:rPr>
        <w:t>dipende</w:t>
      </w:r>
      <w:r w:rsidR="004C184B">
        <w:rPr>
          <w:bCs/>
          <w:sz w:val="22"/>
          <w:szCs w:val="22"/>
        </w:rPr>
        <w:t>nte</w:t>
      </w:r>
      <w:r w:rsidR="002C20C3">
        <w:rPr>
          <w:bCs/>
          <w:sz w:val="22"/>
          <w:szCs w:val="22"/>
        </w:rPr>
        <w:t xml:space="preserve"> dalla natura dell’attività e da</w:t>
      </w:r>
      <w:r w:rsidR="008F0168" w:rsidRPr="007F7EBF">
        <w:rPr>
          <w:bCs/>
          <w:sz w:val="22"/>
          <w:szCs w:val="22"/>
        </w:rPr>
        <w:t>i rapporti con clienti e fornitori</w:t>
      </w:r>
      <w:r w:rsidR="002C20C3">
        <w:rPr>
          <w:bCs/>
          <w:sz w:val="22"/>
          <w:szCs w:val="22"/>
        </w:rPr>
        <w:t xml:space="preserve">, </w:t>
      </w:r>
      <w:r w:rsidR="00EE6C62">
        <w:rPr>
          <w:bCs/>
          <w:sz w:val="22"/>
          <w:szCs w:val="22"/>
        </w:rPr>
        <w:t>modalità di incass</w:t>
      </w:r>
      <w:r w:rsidR="004C184B">
        <w:rPr>
          <w:bCs/>
          <w:sz w:val="22"/>
          <w:szCs w:val="22"/>
        </w:rPr>
        <w:t>are, etc..</w:t>
      </w:r>
      <w:r w:rsidR="008F0168">
        <w:rPr>
          <w:sz w:val="22"/>
          <w:szCs w:val="22"/>
        </w:rPr>
        <w:t xml:space="preserve"> </w:t>
      </w:r>
      <w:r w:rsidR="004B72BE">
        <w:rPr>
          <w:sz w:val="22"/>
          <w:szCs w:val="22"/>
        </w:rPr>
        <w:t xml:space="preserve">Non c’è quindi motivo </w:t>
      </w:r>
      <w:r w:rsidR="004B72BE" w:rsidRPr="007F7EBF">
        <w:rPr>
          <w:sz w:val="22"/>
          <w:szCs w:val="22"/>
        </w:rPr>
        <w:t xml:space="preserve">per </w:t>
      </w:r>
      <w:r w:rsidR="00EE6C62">
        <w:rPr>
          <w:sz w:val="22"/>
          <w:szCs w:val="22"/>
        </w:rPr>
        <w:t>condividere</w:t>
      </w:r>
      <w:r w:rsidR="00DE5FB1">
        <w:rPr>
          <w:sz w:val="22"/>
          <w:szCs w:val="22"/>
        </w:rPr>
        <w:t xml:space="preserve"> </w:t>
      </w:r>
      <w:r w:rsidR="004C184B">
        <w:rPr>
          <w:sz w:val="22"/>
          <w:szCs w:val="22"/>
        </w:rPr>
        <w:t xml:space="preserve">le modalità di evasione in senso materiale </w:t>
      </w:r>
      <w:r w:rsidR="00EE6C62">
        <w:rPr>
          <w:sz w:val="22"/>
          <w:szCs w:val="22"/>
        </w:rPr>
        <w:t xml:space="preserve"> co</w:t>
      </w:r>
      <w:r w:rsidR="00DE5FB1">
        <w:rPr>
          <w:sz w:val="22"/>
          <w:szCs w:val="22"/>
        </w:rPr>
        <w:t xml:space="preserve">i </w:t>
      </w:r>
      <w:r w:rsidR="004B72BE" w:rsidRPr="007F7EBF">
        <w:rPr>
          <w:sz w:val="22"/>
          <w:szCs w:val="22"/>
        </w:rPr>
        <w:t>commercialist</w:t>
      </w:r>
      <w:r w:rsidR="00DE5FB1">
        <w:rPr>
          <w:sz w:val="22"/>
          <w:szCs w:val="22"/>
        </w:rPr>
        <w:t xml:space="preserve">i, </w:t>
      </w:r>
      <w:r w:rsidR="004C184B">
        <w:rPr>
          <w:sz w:val="22"/>
          <w:szCs w:val="22"/>
        </w:rPr>
        <w:t>i quali</w:t>
      </w:r>
      <w:r w:rsidR="00DE5FB1">
        <w:rPr>
          <w:sz w:val="22"/>
          <w:szCs w:val="22"/>
        </w:rPr>
        <w:t xml:space="preserve"> spesso dichiarano di aver appreso dalle confidenze dei clienti </w:t>
      </w:r>
      <w:r w:rsidR="008F0168" w:rsidRPr="007F7EBF">
        <w:t xml:space="preserve">i modi in cui i medesimi nascondevano </w:t>
      </w:r>
      <w:r w:rsidR="004C184B">
        <w:t>i presupposti economici d’imposta</w:t>
      </w:r>
      <w:r w:rsidR="00EE6C62">
        <w:t xml:space="preserve"> (</w:t>
      </w:r>
      <w:r w:rsidR="004B72BE" w:rsidRPr="007F7EBF">
        <w:rPr>
          <w:rStyle w:val="Rimandonotaapidipagina"/>
          <w:sz w:val="22"/>
          <w:szCs w:val="22"/>
        </w:rPr>
        <w:footnoteReference w:id="401"/>
      </w:r>
      <w:r w:rsidR="00EE6C62">
        <w:t>)</w:t>
      </w:r>
      <w:r w:rsidR="004C184B">
        <w:t xml:space="preserve">. </w:t>
      </w:r>
      <w:r w:rsidR="00F85D53" w:rsidRPr="00F85D53">
        <w:t xml:space="preserve"> </w:t>
      </w:r>
      <w:r w:rsidR="006F69D2">
        <w:rPr>
          <w:sz w:val="22"/>
          <w:szCs w:val="22"/>
        </w:rPr>
        <w:t xml:space="preserve">E’ rarissimo quindi il </w:t>
      </w:r>
      <w:r w:rsidR="006F69D2">
        <w:rPr>
          <w:sz w:val="22"/>
          <w:szCs w:val="22"/>
        </w:rPr>
        <w:lastRenderedPageBreak/>
        <w:t>coinvolgimento attivo del professionista nell’evas</w:t>
      </w:r>
      <w:r w:rsidR="006F69D2">
        <w:t>ione, come quando procura false fatture, aiutano a svuotare società o intrecciano rapporti opachi (par.5.11) con uffici e giudici tributari</w:t>
      </w:r>
      <w:r w:rsidR="006F69D2" w:rsidRPr="007F7EBF">
        <w:rPr>
          <w:rStyle w:val="Rimandonotaapidipagina"/>
          <w:bCs/>
          <w:sz w:val="22"/>
          <w:szCs w:val="22"/>
        </w:rPr>
        <w:footnoteReference w:id="402"/>
      </w:r>
      <w:r w:rsidR="006F69D2">
        <w:rPr>
          <w:sz w:val="22"/>
          <w:szCs w:val="22"/>
        </w:rPr>
        <w:t>.</w:t>
      </w:r>
    </w:p>
    <w:p w14:paraId="73990C29" w14:textId="1EFD8778" w:rsidR="004C184B" w:rsidRPr="007F7EBF" w:rsidRDefault="004C184B" w:rsidP="004C184B">
      <w:pPr>
        <w:autoSpaceDE w:val="0"/>
        <w:autoSpaceDN w:val="0"/>
        <w:adjustRightInd w:val="0"/>
        <w:rPr>
          <w:bCs/>
          <w:i/>
          <w:iCs/>
          <w:color w:val="0000FF"/>
          <w:sz w:val="22"/>
          <w:szCs w:val="22"/>
        </w:rPr>
      </w:pPr>
    </w:p>
    <w:p w14:paraId="51747FBF" w14:textId="2280BF10" w:rsidR="004C184B" w:rsidRPr="007F7EBF" w:rsidRDefault="004C184B" w:rsidP="004C184B">
      <w:pPr>
        <w:pStyle w:val="tit23"/>
        <w:ind w:left="6464" w:right="-1361" w:firstLine="0"/>
        <w:jc w:val="left"/>
        <w:rPr>
          <w:bCs/>
          <w:i/>
          <w:iCs/>
          <w:color w:val="0000FF"/>
          <w:lang w:val="it-IT"/>
        </w:rPr>
      </w:pPr>
      <w:r w:rsidRPr="007F7EBF">
        <w:rPr>
          <w:bCs/>
          <w:i/>
          <w:iCs/>
          <w:color w:val="0000FF"/>
          <w:lang w:val="it-IT"/>
        </w:rPr>
        <w:t>Impulso</w:t>
      </w:r>
      <w:r>
        <w:rPr>
          <w:bCs/>
          <w:i/>
          <w:iCs/>
          <w:color w:val="0000FF"/>
          <w:lang w:val="it-IT"/>
        </w:rPr>
        <w:t xml:space="preserve"> </w:t>
      </w:r>
      <w:r w:rsidRPr="007F7EBF">
        <w:rPr>
          <w:bCs/>
          <w:i/>
          <w:iCs/>
          <w:color w:val="0000FF"/>
          <w:lang w:val="it-IT"/>
        </w:rPr>
        <w:t>dei professionisti all’adempimento</w:t>
      </w:r>
      <w:r>
        <w:rPr>
          <w:bCs/>
          <w:i/>
          <w:iCs/>
          <w:color w:val="0000FF"/>
          <w:lang w:val="it-IT"/>
        </w:rPr>
        <w:t xml:space="preserve"> e rare eccezioni</w:t>
      </w:r>
    </w:p>
    <w:p w14:paraId="5B53CC57" w14:textId="741B91C7" w:rsidR="004C184B" w:rsidRPr="007F7EBF" w:rsidRDefault="004C184B" w:rsidP="004C184B">
      <w:pPr>
        <w:autoSpaceDE w:val="0"/>
        <w:autoSpaceDN w:val="0"/>
        <w:adjustRightInd w:val="0"/>
        <w:rPr>
          <w:bCs/>
          <w:i/>
          <w:iCs/>
          <w:color w:val="0000FF"/>
        </w:rPr>
      </w:pPr>
      <w:r>
        <w:rPr>
          <w:sz w:val="22"/>
          <w:szCs w:val="22"/>
        </w:rPr>
        <w:t xml:space="preserve">La massa dei professionisti, quindi, gestisce </w:t>
      </w:r>
      <w:r w:rsidRPr="007F7EBF">
        <w:rPr>
          <w:i/>
          <w:sz w:val="22"/>
          <w:szCs w:val="22"/>
        </w:rPr>
        <w:t xml:space="preserve">l'adempimento </w:t>
      </w:r>
      <w:r>
        <w:rPr>
          <w:sz w:val="22"/>
          <w:szCs w:val="22"/>
        </w:rPr>
        <w:t>e sping</w:t>
      </w:r>
      <w:r w:rsidRPr="007F7EBF">
        <w:rPr>
          <w:sz w:val="22"/>
          <w:szCs w:val="22"/>
        </w:rPr>
        <w:t>e</w:t>
      </w:r>
      <w:r>
        <w:rPr>
          <w:sz w:val="22"/>
          <w:szCs w:val="22"/>
        </w:rPr>
        <w:t xml:space="preserve"> </w:t>
      </w:r>
      <w:r w:rsidRPr="007F7EBF">
        <w:rPr>
          <w:sz w:val="22"/>
          <w:szCs w:val="22"/>
        </w:rPr>
        <w:t xml:space="preserve">i clienti ad </w:t>
      </w:r>
      <w:r w:rsidRPr="007F7EBF">
        <w:rPr>
          <w:i/>
          <w:sz w:val="22"/>
          <w:szCs w:val="22"/>
        </w:rPr>
        <w:t xml:space="preserve">essere </w:t>
      </w:r>
      <w:r>
        <w:rPr>
          <w:i/>
          <w:sz w:val="22"/>
          <w:szCs w:val="22"/>
        </w:rPr>
        <w:t>quantomeno credibili</w:t>
      </w:r>
      <w:r>
        <w:rPr>
          <w:sz w:val="22"/>
          <w:szCs w:val="22"/>
        </w:rPr>
        <w:t>. Ciò sia perché in questo modo i professionisti valorizzano il proprio intervento tecnico,</w:t>
      </w:r>
      <w:r w:rsidR="006F69D2">
        <w:rPr>
          <w:sz w:val="22"/>
          <w:szCs w:val="22"/>
        </w:rPr>
        <w:t xml:space="preserve"> un po' come fanno i medici per il rischio e la gravità delle malattie;</w:t>
      </w:r>
      <w:r>
        <w:rPr>
          <w:sz w:val="22"/>
          <w:szCs w:val="22"/>
        </w:rPr>
        <w:t xml:space="preserve"> </w:t>
      </w:r>
      <w:r w:rsidR="006F69D2">
        <w:rPr>
          <w:sz w:val="22"/>
          <w:szCs w:val="22"/>
        </w:rPr>
        <w:t>in questo modo essi evitano anche recriminazioni in caso di indagini fiscali, che il professionista dovrebbe gestire senza adeguato compenso</w:t>
      </w:r>
      <w:r w:rsidR="006F69D2" w:rsidRPr="007F7EBF">
        <w:rPr>
          <w:sz w:val="22"/>
          <w:szCs w:val="22"/>
        </w:rPr>
        <w:t>.</w:t>
      </w:r>
      <w:r w:rsidR="006F69D2">
        <w:rPr>
          <w:sz w:val="22"/>
          <w:szCs w:val="22"/>
        </w:rPr>
        <w:t xml:space="preserve"> I professionisti contribuiscono così alla </w:t>
      </w:r>
      <w:r>
        <w:rPr>
          <w:sz w:val="22"/>
          <w:szCs w:val="22"/>
        </w:rPr>
        <w:t>sopravvalutazione dei controlli di cui al par.1.7</w:t>
      </w:r>
      <w:r w:rsidR="006F69D2">
        <w:rPr>
          <w:sz w:val="22"/>
          <w:szCs w:val="22"/>
        </w:rPr>
        <w:t>.</w:t>
      </w:r>
    </w:p>
    <w:p w14:paraId="007330D5" w14:textId="6DB35FB8" w:rsidR="005B6786" w:rsidRDefault="0039407D" w:rsidP="00F85D53">
      <w:pPr>
        <w:autoSpaceDE w:val="0"/>
        <w:autoSpaceDN w:val="0"/>
        <w:adjustRightInd w:val="0"/>
        <w:rPr>
          <w:sz w:val="22"/>
          <w:szCs w:val="22"/>
        </w:rPr>
      </w:pPr>
      <w:r>
        <w:rPr>
          <w:sz w:val="22"/>
          <w:szCs w:val="22"/>
        </w:rPr>
        <w:t xml:space="preserve">Solo quando attestano la regolarità formale di alcuni documenti (c.d. </w:t>
      </w:r>
      <w:r>
        <w:rPr>
          <w:i/>
          <w:iCs/>
          <w:sz w:val="22"/>
          <w:szCs w:val="22"/>
        </w:rPr>
        <w:t>visto di conformità</w:t>
      </w:r>
      <w:r>
        <w:rPr>
          <w:sz w:val="22"/>
          <w:szCs w:val="22"/>
        </w:rPr>
        <w:t>) i professionisti suddetti sono coinvolti nella correttezza dei dati dichiarati</w:t>
      </w:r>
      <w:r w:rsidR="005F3946">
        <w:rPr>
          <w:sz w:val="22"/>
          <w:szCs w:val="22"/>
        </w:rPr>
        <w:t xml:space="preserve">, ma si tratta di aspetti formali, riguardanti i documenti delle detrazioni e degli oneri deducibili di cui al par.9.3, nonché i crediti tributari oggetto della </w:t>
      </w:r>
      <w:r w:rsidR="005F3946" w:rsidRPr="005F3946">
        <w:rPr>
          <w:i/>
          <w:iCs/>
          <w:sz w:val="22"/>
          <w:szCs w:val="22"/>
        </w:rPr>
        <w:t>compensazione</w:t>
      </w:r>
      <w:r w:rsidR="005F3946">
        <w:rPr>
          <w:sz w:val="22"/>
          <w:szCs w:val="22"/>
        </w:rPr>
        <w:t xml:space="preserve"> amministrativa di cui al par.3.4. </w:t>
      </w:r>
      <w:r w:rsidR="004D56CC">
        <w:rPr>
          <w:sz w:val="22"/>
          <w:szCs w:val="22"/>
        </w:rPr>
        <w:t xml:space="preserve">A parte questi coinvolgimenti il rapporto privatistico di prestazione d’opera tra cliente e professionista è del tutto autonomo rispetto a quello del primo con gli uffici finanziari. Saltuariamente le cronache raccontano di truffe organizzate da professionisti che si appropriano delle somme affidate loro per pagare le imposte da clienti troppo ingenui.  </w:t>
      </w:r>
    </w:p>
    <w:p w14:paraId="021A8982" w14:textId="217664B8" w:rsidR="00C16E45" w:rsidRPr="007F7EBF" w:rsidRDefault="00057E19" w:rsidP="00C16E45">
      <w:pPr>
        <w:pStyle w:val="tit23"/>
        <w:ind w:left="6464" w:right="-1361" w:firstLine="0"/>
        <w:jc w:val="left"/>
        <w:rPr>
          <w:bCs/>
          <w:i/>
          <w:iCs/>
          <w:color w:val="0000FF"/>
          <w:lang w:val="it-IT"/>
        </w:rPr>
      </w:pPr>
      <w:r>
        <w:rPr>
          <w:bCs/>
          <w:i/>
          <w:iCs/>
          <w:color w:val="0000FF"/>
          <w:lang w:val="it-IT"/>
        </w:rPr>
        <w:t>Utilità e disagio dei professionisti</w:t>
      </w:r>
    </w:p>
    <w:p w14:paraId="1CDB2E22" w14:textId="6F3BC268" w:rsidR="00BF225F" w:rsidRDefault="00D54CF3" w:rsidP="00BF225F">
      <w:pPr>
        <w:autoSpaceDE w:val="0"/>
        <w:autoSpaceDN w:val="0"/>
        <w:adjustRightInd w:val="0"/>
        <w:rPr>
          <w:sz w:val="22"/>
          <w:szCs w:val="22"/>
        </w:rPr>
      </w:pPr>
      <w:r>
        <w:rPr>
          <w:sz w:val="22"/>
          <w:szCs w:val="22"/>
        </w:rPr>
        <w:t xml:space="preserve">Nel suo insieme </w:t>
      </w:r>
      <w:r w:rsidR="00CA58D7">
        <w:rPr>
          <w:sz w:val="22"/>
          <w:szCs w:val="22"/>
        </w:rPr>
        <w:t>sul</w:t>
      </w:r>
      <w:r>
        <w:rPr>
          <w:sz w:val="22"/>
          <w:szCs w:val="22"/>
        </w:rPr>
        <w:t>l’e</w:t>
      </w:r>
      <w:r w:rsidR="00EF7CCC">
        <w:rPr>
          <w:sz w:val="22"/>
          <w:szCs w:val="22"/>
        </w:rPr>
        <w:t>levato numero</w:t>
      </w:r>
      <w:r>
        <w:rPr>
          <w:sz w:val="22"/>
          <w:szCs w:val="22"/>
        </w:rPr>
        <w:t xml:space="preserve"> di </w:t>
      </w:r>
      <w:r w:rsidR="00EF7CCC">
        <w:rPr>
          <w:sz w:val="22"/>
          <w:szCs w:val="22"/>
        </w:rPr>
        <w:t>profession</w:t>
      </w:r>
      <w:r w:rsidR="004D56CC">
        <w:rPr>
          <w:sz w:val="22"/>
          <w:szCs w:val="22"/>
        </w:rPr>
        <w:t>isti de</w:t>
      </w:r>
      <w:r w:rsidR="00EF7CCC">
        <w:rPr>
          <w:sz w:val="22"/>
          <w:szCs w:val="22"/>
        </w:rPr>
        <w:t>l settore</w:t>
      </w:r>
      <w:r w:rsidR="00CA58D7">
        <w:rPr>
          <w:sz w:val="22"/>
          <w:szCs w:val="22"/>
        </w:rPr>
        <w:t xml:space="preserve"> </w:t>
      </w:r>
      <w:r w:rsidR="00A26277">
        <w:rPr>
          <w:sz w:val="22"/>
          <w:szCs w:val="22"/>
        </w:rPr>
        <w:t xml:space="preserve">ricade </w:t>
      </w:r>
      <w:r w:rsidR="00CD0480">
        <w:rPr>
          <w:sz w:val="22"/>
          <w:szCs w:val="22"/>
        </w:rPr>
        <w:t xml:space="preserve">la confusa e </w:t>
      </w:r>
      <w:r w:rsidR="00A26277">
        <w:rPr>
          <w:sz w:val="22"/>
          <w:szCs w:val="22"/>
        </w:rPr>
        <w:t>istintiva</w:t>
      </w:r>
      <w:r w:rsidR="00CD0480">
        <w:rPr>
          <w:sz w:val="22"/>
          <w:szCs w:val="22"/>
        </w:rPr>
        <w:t xml:space="preserve"> tendenza </w:t>
      </w:r>
      <w:r w:rsidR="00A26277">
        <w:rPr>
          <w:sz w:val="22"/>
          <w:szCs w:val="22"/>
        </w:rPr>
        <w:t xml:space="preserve">(par.4.5, ma anticipata al par.3.13) </w:t>
      </w:r>
      <w:r w:rsidR="00CD0480">
        <w:rPr>
          <w:sz w:val="22"/>
          <w:szCs w:val="22"/>
        </w:rPr>
        <w:t xml:space="preserve">a </w:t>
      </w:r>
      <w:r w:rsidRPr="00CD0480">
        <w:rPr>
          <w:i/>
          <w:sz w:val="22"/>
          <w:szCs w:val="22"/>
        </w:rPr>
        <w:t>esportare</w:t>
      </w:r>
      <w:r>
        <w:rPr>
          <w:sz w:val="22"/>
          <w:szCs w:val="22"/>
        </w:rPr>
        <w:t xml:space="preserve"> la determinazione ragionieristica degli imponibili </w:t>
      </w:r>
      <w:r w:rsidR="00CD0480">
        <w:rPr>
          <w:sz w:val="22"/>
          <w:szCs w:val="22"/>
        </w:rPr>
        <w:t>dove</w:t>
      </w:r>
      <w:r>
        <w:rPr>
          <w:sz w:val="22"/>
          <w:szCs w:val="22"/>
        </w:rPr>
        <w:t xml:space="preserve"> </w:t>
      </w:r>
      <w:r w:rsidR="00CD0480">
        <w:rPr>
          <w:sz w:val="22"/>
          <w:szCs w:val="22"/>
        </w:rPr>
        <w:t xml:space="preserve">non esistono </w:t>
      </w:r>
      <w:r>
        <w:rPr>
          <w:sz w:val="22"/>
          <w:szCs w:val="22"/>
        </w:rPr>
        <w:t>uffici contabili</w:t>
      </w:r>
      <w:r w:rsidR="00CD0480">
        <w:rPr>
          <w:sz w:val="22"/>
          <w:szCs w:val="22"/>
        </w:rPr>
        <w:t>, con le loro economie di scala</w:t>
      </w:r>
      <w:r w:rsidR="006D1DFE">
        <w:rPr>
          <w:sz w:val="22"/>
          <w:szCs w:val="22"/>
        </w:rPr>
        <w:t xml:space="preserve">. </w:t>
      </w:r>
      <w:r w:rsidR="006550A3">
        <w:rPr>
          <w:sz w:val="22"/>
          <w:szCs w:val="22"/>
        </w:rPr>
        <w:t>L’i</w:t>
      </w:r>
      <w:r w:rsidR="00771481">
        <w:rPr>
          <w:sz w:val="22"/>
          <w:szCs w:val="22"/>
        </w:rPr>
        <w:t xml:space="preserve">dea </w:t>
      </w:r>
      <w:r w:rsidR="00631899">
        <w:rPr>
          <w:sz w:val="22"/>
          <w:szCs w:val="22"/>
        </w:rPr>
        <w:t xml:space="preserve">del cittadino contribuente, </w:t>
      </w:r>
      <w:r w:rsidR="006550A3">
        <w:rPr>
          <w:sz w:val="22"/>
          <w:szCs w:val="22"/>
        </w:rPr>
        <w:t xml:space="preserve">che dovrebbe </w:t>
      </w:r>
      <w:r w:rsidR="00631899">
        <w:rPr>
          <w:sz w:val="22"/>
          <w:szCs w:val="22"/>
        </w:rPr>
        <w:t xml:space="preserve">determinare da solo le proprie </w:t>
      </w:r>
      <w:r w:rsidR="00631899">
        <w:rPr>
          <w:sz w:val="22"/>
          <w:szCs w:val="22"/>
        </w:rPr>
        <w:lastRenderedPageBreak/>
        <w:t>imposte</w:t>
      </w:r>
      <w:r w:rsidR="00F50A44">
        <w:rPr>
          <w:sz w:val="22"/>
          <w:szCs w:val="22"/>
        </w:rPr>
        <w:t xml:space="preserve"> </w:t>
      </w:r>
      <w:r w:rsidR="00057E19">
        <w:rPr>
          <w:sz w:val="22"/>
          <w:szCs w:val="22"/>
        </w:rPr>
        <w:t>(</w:t>
      </w:r>
      <w:r w:rsidR="00057E19" w:rsidRPr="007F7EBF">
        <w:rPr>
          <w:rStyle w:val="Rimandonotaapidipagina"/>
          <w:sz w:val="22"/>
          <w:szCs w:val="22"/>
        </w:rPr>
        <w:footnoteReference w:id="403"/>
      </w:r>
      <w:r w:rsidR="00057E19">
        <w:rPr>
          <w:sz w:val="22"/>
          <w:szCs w:val="22"/>
        </w:rPr>
        <w:t>)</w:t>
      </w:r>
      <w:r w:rsidR="00F50A44">
        <w:rPr>
          <w:sz w:val="22"/>
          <w:szCs w:val="22"/>
        </w:rPr>
        <w:t>, si intreccia</w:t>
      </w:r>
      <w:r w:rsidR="006550A3">
        <w:rPr>
          <w:sz w:val="22"/>
          <w:szCs w:val="22"/>
        </w:rPr>
        <w:t xml:space="preserve"> confusamente</w:t>
      </w:r>
      <w:r w:rsidR="00F50A44">
        <w:rPr>
          <w:sz w:val="22"/>
          <w:szCs w:val="22"/>
        </w:rPr>
        <w:t xml:space="preserve"> con </w:t>
      </w:r>
      <w:r w:rsidR="00172484">
        <w:rPr>
          <w:sz w:val="22"/>
          <w:szCs w:val="22"/>
        </w:rPr>
        <w:t>adempimenti</w:t>
      </w:r>
      <w:r w:rsidR="006550A3">
        <w:rPr>
          <w:sz w:val="22"/>
          <w:szCs w:val="22"/>
        </w:rPr>
        <w:t xml:space="preserve"> contabili e documentali </w:t>
      </w:r>
      <w:r w:rsidR="00CA58D7">
        <w:rPr>
          <w:sz w:val="22"/>
          <w:szCs w:val="22"/>
        </w:rPr>
        <w:t>molto complessi, anche se su importi insignificanti. L’impossibilità di piccoli commercianti, artigiani e consumatori finali di  trasformarsi nei ragionieri di sé stessi, costringe i professionisti ad a</w:t>
      </w:r>
      <w:r w:rsidR="00CA58D7">
        <w:rPr>
          <w:bCs/>
          <w:sz w:val="22"/>
          <w:szCs w:val="22"/>
        </w:rPr>
        <w:t xml:space="preserve">dempimenti </w:t>
      </w:r>
      <w:r w:rsidR="006F69D2">
        <w:rPr>
          <w:bCs/>
          <w:sz w:val="22"/>
          <w:szCs w:val="22"/>
        </w:rPr>
        <w:t xml:space="preserve">molto complessi rispetto alle cifre coinvolte. Quest’impegno </w:t>
      </w:r>
      <w:r w:rsidR="00CA58D7">
        <w:rPr>
          <w:bCs/>
          <w:sz w:val="22"/>
          <w:szCs w:val="22"/>
        </w:rPr>
        <w:t xml:space="preserve"> </w:t>
      </w:r>
      <w:r w:rsidR="006F69D2">
        <w:t>non è compreso</w:t>
      </w:r>
      <w:r w:rsidR="006F69D2" w:rsidRPr="006F69D2">
        <w:t xml:space="preserve"> </w:t>
      </w:r>
      <w:r w:rsidR="006F69D2">
        <w:t xml:space="preserve">dai piccoli commercianti e artigiani assistiti, che comunque non sono in condizioni economiche di ripagarlo; il costo dell’inutile “contabilità fiscale” di cui al par.3.14 pesa infatti in misura proporzionalmente maggiore </w:t>
      </w:r>
      <w:r w:rsidR="00CA58D7">
        <w:t>quanto minori sono le operazioni da registrare</w:t>
      </w:r>
      <w:r w:rsidR="006F69D2">
        <w:t xml:space="preserve">. Esso </w:t>
      </w:r>
      <w:r w:rsidR="00CA58D7">
        <w:t xml:space="preserve">comporta comunque un investimento di tempo, poi non sfruttato su larga scala. </w:t>
      </w:r>
    </w:p>
    <w:p w14:paraId="1F8583DA" w14:textId="77777777" w:rsidR="00BF225F" w:rsidRDefault="00BF225F" w:rsidP="00BF225F">
      <w:pPr>
        <w:pStyle w:val="tit23"/>
        <w:ind w:left="6464" w:right="-1361" w:firstLine="0"/>
        <w:jc w:val="left"/>
        <w:rPr>
          <w:bCs/>
          <w:i/>
          <w:iCs/>
          <w:color w:val="0000FF"/>
          <w:lang w:val="it-IT"/>
        </w:rPr>
      </w:pPr>
      <w:r>
        <w:rPr>
          <w:bCs/>
          <w:i/>
          <w:iCs/>
          <w:color w:val="0000FF"/>
          <w:lang w:val="it-IT"/>
        </w:rPr>
        <w:t>Il disagio dei professionisti</w:t>
      </w:r>
    </w:p>
    <w:p w14:paraId="60201032" w14:textId="629E069E" w:rsidR="00BF225F" w:rsidRPr="007F7EBF" w:rsidRDefault="006F69D2" w:rsidP="00BF225F">
      <w:pPr>
        <w:autoSpaceDE w:val="0"/>
        <w:autoSpaceDN w:val="0"/>
        <w:adjustRightInd w:val="0"/>
        <w:rPr>
          <w:bCs/>
          <w:i/>
          <w:iCs/>
          <w:color w:val="0000FF"/>
          <w:sz w:val="22"/>
          <w:szCs w:val="22"/>
        </w:rPr>
      </w:pPr>
      <w:r>
        <w:rPr>
          <w:sz w:val="22"/>
          <w:szCs w:val="22"/>
        </w:rPr>
        <w:t xml:space="preserve">Dire che </w:t>
      </w:r>
      <w:r w:rsidRPr="007F7EBF">
        <w:rPr>
          <w:sz w:val="22"/>
          <w:szCs w:val="22"/>
        </w:rPr>
        <w:t xml:space="preserve">la complicazione </w:t>
      </w:r>
      <w:r>
        <w:rPr>
          <w:sz w:val="22"/>
          <w:szCs w:val="22"/>
        </w:rPr>
        <w:t xml:space="preserve">tributaria </w:t>
      </w:r>
      <w:r w:rsidRPr="007F7EBF">
        <w:rPr>
          <w:sz w:val="22"/>
          <w:szCs w:val="22"/>
        </w:rPr>
        <w:t xml:space="preserve">sarebbe </w:t>
      </w:r>
      <w:r>
        <w:rPr>
          <w:sz w:val="22"/>
          <w:szCs w:val="22"/>
        </w:rPr>
        <w:t xml:space="preserve">ispirata </w:t>
      </w:r>
      <w:r w:rsidRPr="007F7EBF">
        <w:rPr>
          <w:sz w:val="22"/>
          <w:szCs w:val="22"/>
        </w:rPr>
        <w:t xml:space="preserve">dai </w:t>
      </w:r>
      <w:r>
        <w:rPr>
          <w:sz w:val="22"/>
          <w:szCs w:val="22"/>
        </w:rPr>
        <w:t>professioni</w:t>
      </w:r>
      <w:r w:rsidRPr="007F7EBF">
        <w:rPr>
          <w:sz w:val="22"/>
          <w:szCs w:val="22"/>
        </w:rPr>
        <w:t xml:space="preserve">sti, per </w:t>
      </w:r>
      <w:r>
        <w:rPr>
          <w:sz w:val="22"/>
          <w:szCs w:val="22"/>
        </w:rPr>
        <w:t xml:space="preserve">averne </w:t>
      </w:r>
      <w:r w:rsidRPr="007F7EBF">
        <w:rPr>
          <w:sz w:val="22"/>
          <w:szCs w:val="22"/>
        </w:rPr>
        <w:t>vantaggi</w:t>
      </w:r>
      <w:r>
        <w:rPr>
          <w:sz w:val="22"/>
          <w:szCs w:val="22"/>
        </w:rPr>
        <w:t xml:space="preserve"> economici, è quindi assurdo, anche perché </w:t>
      </w:r>
      <w:r w:rsidRPr="007F7EBF">
        <w:t xml:space="preserve">sopravvaluta la capacità </w:t>
      </w:r>
      <w:r>
        <w:t xml:space="preserve">di pressione politico-mediatica della categoria </w:t>
      </w:r>
      <w:r>
        <w:rPr>
          <w:sz w:val="22"/>
          <w:szCs w:val="22"/>
        </w:rPr>
        <w:t>(</w:t>
      </w:r>
      <w:r w:rsidRPr="007F7EBF">
        <w:rPr>
          <w:rStyle w:val="Rimandonotaapidipagina"/>
          <w:sz w:val="22"/>
          <w:szCs w:val="22"/>
        </w:rPr>
        <w:footnoteReference w:id="404"/>
      </w:r>
      <w:r>
        <w:rPr>
          <w:sz w:val="22"/>
          <w:szCs w:val="22"/>
        </w:rPr>
        <w:t>).</w:t>
      </w:r>
      <w:r>
        <w:rPr>
          <w:bCs/>
          <w:sz w:val="22"/>
          <w:szCs w:val="22"/>
        </w:rPr>
        <w:t xml:space="preserve"> </w:t>
      </w:r>
      <w:r w:rsidR="00BF225F">
        <w:t xml:space="preserve">L’assistenza </w:t>
      </w:r>
      <w:r w:rsidR="00BF225F" w:rsidRPr="007F7EBF">
        <w:t xml:space="preserve">contabile-dichiarativa </w:t>
      </w:r>
      <w:r w:rsidR="00BF225F">
        <w:t xml:space="preserve">diventa invece sempre più   </w:t>
      </w:r>
      <w:r w:rsidR="00BF225F" w:rsidRPr="00F11E01">
        <w:rPr>
          <w:i/>
        </w:rPr>
        <w:t>ambulatorial</w:t>
      </w:r>
      <w:r w:rsidR="00BF225F">
        <w:rPr>
          <w:i/>
        </w:rPr>
        <w:t>e</w:t>
      </w:r>
      <w:r w:rsidR="00BF225F">
        <w:t>, simile a quella dei “CAF-Patronati”, coi</w:t>
      </w:r>
      <w:r w:rsidR="00BF225F" w:rsidRPr="007F7EBF">
        <w:t xml:space="preserve"> contribuent</w:t>
      </w:r>
      <w:r w:rsidR="00BF225F">
        <w:t>i</w:t>
      </w:r>
      <w:r w:rsidR="00BF225F" w:rsidRPr="007F7EBF">
        <w:t xml:space="preserve"> </w:t>
      </w:r>
      <w:r w:rsidR="00BF225F">
        <w:t>disposti a s</w:t>
      </w:r>
      <w:r w:rsidR="00BF225F" w:rsidRPr="007F7EBF">
        <w:t>pend</w:t>
      </w:r>
      <w:r w:rsidR="00BF225F">
        <w:t xml:space="preserve">ere </w:t>
      </w:r>
      <w:r w:rsidR="00BF225F" w:rsidRPr="007F7EBF">
        <w:t>al massimo, per un consulto, quei 50/100 euro corrispondenti appunto a una visita medic</w:t>
      </w:r>
      <w:r w:rsidR="00BF225F">
        <w:t xml:space="preserve">a. Anche le aziende organizzate vedono sempre più i temi tributari come seccature di cui trasferire in blocco la responsabilità a strutture professionali organizzate, ritirandosi nella </w:t>
      </w:r>
      <w:r w:rsidR="00BF225F" w:rsidRPr="00CA58D7">
        <w:rPr>
          <w:i/>
          <w:iCs/>
        </w:rPr>
        <w:t>routine</w:t>
      </w:r>
      <w:r w:rsidR="00BF225F">
        <w:t xml:space="preserve"> di cui all’inizio del paragrafo, dopo che è svanita l’illusione di </w:t>
      </w:r>
      <w:r w:rsidR="00BF225F">
        <w:rPr>
          <w:bCs/>
          <w:sz w:val="22"/>
          <w:szCs w:val="22"/>
        </w:rPr>
        <w:t xml:space="preserve">ridurre legalmente il carico tributario con le pianificazioni fiscali aggressive di cui al par.3.10 sull’elusione </w:t>
      </w:r>
      <w:r w:rsidR="00BF225F">
        <w:rPr>
          <w:sz w:val="22"/>
          <w:szCs w:val="22"/>
        </w:rPr>
        <w:t>(</w:t>
      </w:r>
      <w:r w:rsidR="00BF225F" w:rsidRPr="007F7EBF">
        <w:rPr>
          <w:rStyle w:val="Rimandonotaapidipagina"/>
          <w:sz w:val="22"/>
          <w:szCs w:val="22"/>
        </w:rPr>
        <w:footnoteReference w:id="405"/>
      </w:r>
      <w:r w:rsidR="00BF225F">
        <w:rPr>
          <w:sz w:val="22"/>
          <w:szCs w:val="22"/>
        </w:rPr>
        <w:t>)</w:t>
      </w:r>
      <w:r w:rsidR="00BF225F" w:rsidRPr="007F7EBF">
        <w:rPr>
          <w:sz w:val="22"/>
          <w:szCs w:val="22"/>
        </w:rPr>
        <w:t xml:space="preserve">. </w:t>
      </w:r>
    </w:p>
    <w:p w14:paraId="605BF459" w14:textId="395728BF" w:rsidR="0085308C" w:rsidRDefault="00CE772E" w:rsidP="0085308C">
      <w:pPr>
        <w:pStyle w:val="tit23"/>
        <w:ind w:left="6464" w:right="-1361" w:firstLine="0"/>
        <w:jc w:val="left"/>
        <w:rPr>
          <w:bCs/>
          <w:i/>
          <w:iCs/>
          <w:color w:val="0000FF"/>
          <w:lang w:val="it-IT"/>
        </w:rPr>
      </w:pPr>
      <w:r>
        <w:rPr>
          <w:bCs/>
          <w:i/>
          <w:iCs/>
          <w:color w:val="0000FF"/>
          <w:lang w:val="it-IT"/>
        </w:rPr>
        <w:lastRenderedPageBreak/>
        <w:t>Malesseri professionali e prospettive</w:t>
      </w:r>
    </w:p>
    <w:p w14:paraId="1F356908" w14:textId="594CCB80" w:rsidR="008C4BCC" w:rsidRPr="007F7EBF" w:rsidRDefault="00B51EEA" w:rsidP="00CE772E">
      <w:pPr>
        <w:jc w:val="both"/>
        <w:rPr>
          <w:bCs/>
          <w:i/>
          <w:iCs/>
          <w:color w:val="0000FF"/>
        </w:rPr>
      </w:pPr>
      <w:r>
        <w:rPr>
          <w:bCs/>
          <w:sz w:val="22"/>
          <w:szCs w:val="22"/>
        </w:rPr>
        <w:t xml:space="preserve">La professione </w:t>
      </w:r>
      <w:r>
        <w:rPr>
          <w:sz w:val="22"/>
          <w:szCs w:val="22"/>
        </w:rPr>
        <w:t>d</w:t>
      </w:r>
      <w:r w:rsidRPr="007F7EBF">
        <w:rPr>
          <w:sz w:val="22"/>
          <w:szCs w:val="22"/>
        </w:rPr>
        <w:t xml:space="preserve">iventa così un </w:t>
      </w:r>
      <w:r>
        <w:rPr>
          <w:sz w:val="22"/>
          <w:szCs w:val="22"/>
        </w:rPr>
        <w:t xml:space="preserve">logorante </w:t>
      </w:r>
      <w:r w:rsidRPr="007F7EBF">
        <w:rPr>
          <w:sz w:val="22"/>
          <w:szCs w:val="22"/>
        </w:rPr>
        <w:t>percorso a ostacoli,</w:t>
      </w:r>
      <w:r>
        <w:rPr>
          <w:sz w:val="22"/>
          <w:szCs w:val="22"/>
        </w:rPr>
        <w:t xml:space="preserve"> </w:t>
      </w:r>
      <w:r w:rsidRPr="007F7EBF">
        <w:rPr>
          <w:sz w:val="22"/>
          <w:szCs w:val="22"/>
        </w:rPr>
        <w:t xml:space="preserve">dove ogni </w:t>
      </w:r>
      <w:r>
        <w:rPr>
          <w:sz w:val="22"/>
          <w:szCs w:val="22"/>
        </w:rPr>
        <w:t>volta si</w:t>
      </w:r>
      <w:r w:rsidRPr="007F7EBF">
        <w:rPr>
          <w:sz w:val="22"/>
          <w:szCs w:val="22"/>
        </w:rPr>
        <w:t xml:space="preserve"> riparte da zero, </w:t>
      </w:r>
      <w:r>
        <w:rPr>
          <w:sz w:val="22"/>
          <w:szCs w:val="22"/>
        </w:rPr>
        <w:t xml:space="preserve">con </w:t>
      </w:r>
      <w:r w:rsidRPr="007F7EBF">
        <w:rPr>
          <w:sz w:val="22"/>
          <w:szCs w:val="22"/>
        </w:rPr>
        <w:t>trappole e rischi di obiezioni estemporanee</w:t>
      </w:r>
      <w:r>
        <w:rPr>
          <w:sz w:val="22"/>
          <w:szCs w:val="22"/>
        </w:rPr>
        <w:t xml:space="preserve">. </w:t>
      </w:r>
      <w:r>
        <w:t xml:space="preserve">Non a caso </w:t>
      </w:r>
      <w:r w:rsidRPr="009450BD">
        <w:t>sempre più professionisti</w:t>
      </w:r>
      <w:r>
        <w:t xml:space="preserve"> “diversificano” in settori non tributari, o </w:t>
      </w:r>
      <w:r w:rsidRPr="009450BD">
        <w:t>cerca</w:t>
      </w:r>
      <w:r>
        <w:t>no</w:t>
      </w:r>
      <w:r w:rsidRPr="009450BD">
        <w:t xml:space="preserve"> lavoro dipendente nel settore, come funzionari aziendali o degli uffici tributari, con uno stipendio </w:t>
      </w:r>
      <w:r>
        <w:t>modesto, ma certo.</w:t>
      </w:r>
      <w:r>
        <w:rPr>
          <w:sz w:val="22"/>
          <w:szCs w:val="22"/>
        </w:rPr>
        <w:t xml:space="preserve"> </w:t>
      </w:r>
      <w:r w:rsidRPr="000D7FCF">
        <w:t xml:space="preserve"> </w:t>
      </w:r>
      <w:r w:rsidR="000D7FCF">
        <w:t xml:space="preserve">E’ </w:t>
      </w:r>
      <w:r w:rsidR="000D7FCF" w:rsidRPr="009450BD">
        <w:t>un</w:t>
      </w:r>
      <w:r w:rsidR="000D7FCF">
        <w:t>a riprova d</w:t>
      </w:r>
      <w:r w:rsidR="00197519">
        <w:t xml:space="preserve">i quanto diciamo dal par.1.3 su come la mancata spiegazione sociale della funzione tributaria  danneggia il diritto come </w:t>
      </w:r>
      <w:r w:rsidR="000D7FCF">
        <w:t>tecnica</w:t>
      </w:r>
      <w:r w:rsidR="00197519">
        <w:t xml:space="preserve">; quest’ultima si disperde </w:t>
      </w:r>
      <w:r w:rsidR="000D7FCF" w:rsidRPr="009450BD">
        <w:t xml:space="preserve">in sottigliezze </w:t>
      </w:r>
      <w:r w:rsidR="0085308C">
        <w:t xml:space="preserve">fuori dal controllo sociale, </w:t>
      </w:r>
      <w:r w:rsidR="000D7FCF" w:rsidRPr="009450BD">
        <w:t xml:space="preserve">cui ormai anche </w:t>
      </w:r>
      <w:r w:rsidR="000D7FCF">
        <w:t>i</w:t>
      </w:r>
      <w:r w:rsidR="000D7FCF" w:rsidRPr="009450BD">
        <w:t xml:space="preserve"> tecnici </w:t>
      </w:r>
      <w:r w:rsidR="000D7FCF">
        <w:t>si appassionano poco e interloquiscono ancora meno</w:t>
      </w:r>
      <w:r w:rsidR="0085308C">
        <w:t xml:space="preserve">; sono ormai trascurabili i tecnici che si interessano di questioni su cui non hanno interessi professionali. </w:t>
      </w:r>
      <w:r>
        <w:t>L</w:t>
      </w:r>
      <w:r w:rsidR="0085308C">
        <w:t>’interlocuzione avviene solo tra chi ha avuto problemi del tutto identici</w:t>
      </w:r>
      <w:r>
        <w:t xml:space="preserve"> e</w:t>
      </w:r>
      <w:r w:rsidR="0085308C">
        <w:t xml:space="preserve"> nessuno </w:t>
      </w:r>
      <w:r>
        <w:t>si cura</w:t>
      </w:r>
      <w:r w:rsidR="0085308C">
        <w:t xml:space="preserve"> più</w:t>
      </w:r>
      <w:r>
        <w:t xml:space="preserve"> di</w:t>
      </w:r>
      <w:r w:rsidR="0085308C">
        <w:t xml:space="preserve"> sapere per il gusto di </w:t>
      </w:r>
      <w:r>
        <w:t>sapere</w:t>
      </w:r>
      <w:r w:rsidR="0085308C">
        <w:t xml:space="preserve">, </w:t>
      </w:r>
      <w:r w:rsidR="00CE772E">
        <w:t>con l’attenzione solo a q</w:t>
      </w:r>
      <w:r w:rsidR="0085308C">
        <w:t>uanto può dare ritorni economici</w:t>
      </w:r>
      <w:r w:rsidR="00CE772E">
        <w:t xml:space="preserve">, nell’autoreferenzialità professionale di cui al par.4.4. </w:t>
      </w:r>
    </w:p>
    <w:p w14:paraId="42DD4935" w14:textId="72F0616F" w:rsidR="000D238E" w:rsidRPr="00F11E01" w:rsidRDefault="0085308C" w:rsidP="009D682A">
      <w:pPr>
        <w:rPr>
          <w:sz w:val="22"/>
          <w:szCs w:val="22"/>
        </w:rPr>
      </w:pPr>
      <w:r>
        <w:rPr>
          <w:sz w:val="22"/>
          <w:szCs w:val="22"/>
        </w:rPr>
        <w:t>S</w:t>
      </w:r>
      <w:r w:rsidR="00CE772E">
        <w:rPr>
          <w:sz w:val="22"/>
          <w:szCs w:val="22"/>
        </w:rPr>
        <w:t xml:space="preserve">olo attraverso </w:t>
      </w:r>
      <w:r>
        <w:rPr>
          <w:sz w:val="22"/>
          <w:szCs w:val="22"/>
        </w:rPr>
        <w:t>spiegazioni sociali della funzione tributaria</w:t>
      </w:r>
      <w:r w:rsidR="00CE772E">
        <w:rPr>
          <w:sz w:val="22"/>
          <w:szCs w:val="22"/>
        </w:rPr>
        <w:t xml:space="preserve"> potrà essere valorizzato i</w:t>
      </w:r>
      <w:r>
        <w:rPr>
          <w:sz w:val="22"/>
          <w:szCs w:val="22"/>
        </w:rPr>
        <w:t xml:space="preserve">l ruolo ineliminabile dei consulenti nella </w:t>
      </w:r>
      <w:r w:rsidR="00BF25D0">
        <w:rPr>
          <w:sz w:val="22"/>
          <w:szCs w:val="22"/>
        </w:rPr>
        <w:t xml:space="preserve">determinazione ragionieristico-contabile </w:t>
      </w:r>
      <w:r w:rsidR="00DD0212">
        <w:rPr>
          <w:sz w:val="22"/>
          <w:szCs w:val="22"/>
        </w:rPr>
        <w:t>de</w:t>
      </w:r>
      <w:r w:rsidR="00CE772E">
        <w:rPr>
          <w:sz w:val="22"/>
          <w:szCs w:val="22"/>
        </w:rPr>
        <w:t>i presupposti economici d’imposta. Ne parleremo al prossimo capitolo</w:t>
      </w:r>
      <w:r w:rsidR="00502E1C">
        <w:rPr>
          <w:bCs/>
          <w:sz w:val="22"/>
          <w:szCs w:val="22"/>
        </w:rPr>
        <w:t xml:space="preserve">. </w:t>
      </w:r>
    </w:p>
    <w:p w14:paraId="3E4E5AF5" w14:textId="508BE7E3" w:rsidR="006342C5" w:rsidRPr="007F7EBF" w:rsidRDefault="00BD63CD" w:rsidP="005536B2">
      <w:pPr>
        <w:pStyle w:val="Titolo3"/>
        <w:rPr>
          <w:rFonts w:ascii="Times New Roman" w:hAnsi="Times New Roman"/>
          <w:sz w:val="22"/>
          <w:szCs w:val="22"/>
          <w:lang w:val="it-IT"/>
        </w:rPr>
      </w:pPr>
      <w:bookmarkStart w:id="48" w:name="_Toc63364964"/>
      <w:r w:rsidRPr="007F7EBF">
        <w:rPr>
          <w:rFonts w:ascii="Times New Roman" w:hAnsi="Times New Roman"/>
          <w:sz w:val="22"/>
          <w:szCs w:val="22"/>
        </w:rPr>
        <w:t xml:space="preserve">CAPITOLO 4 </w:t>
      </w:r>
      <w:r w:rsidR="00667314" w:rsidRPr="007F7EBF">
        <w:rPr>
          <w:rFonts w:ascii="Times New Roman" w:hAnsi="Times New Roman"/>
          <w:sz w:val="22"/>
          <w:szCs w:val="22"/>
        </w:rPr>
        <w:t xml:space="preserve"> </w:t>
      </w:r>
      <w:r w:rsidR="00667951">
        <w:rPr>
          <w:rFonts w:ascii="Times New Roman" w:hAnsi="Times New Roman"/>
          <w:sz w:val="22"/>
          <w:szCs w:val="22"/>
          <w:lang w:val="it-IT"/>
        </w:rPr>
        <w:t xml:space="preserve"> </w:t>
      </w:r>
      <w:r w:rsidR="00CC56CC">
        <w:rPr>
          <w:rFonts w:ascii="Times New Roman" w:hAnsi="Times New Roman"/>
          <w:sz w:val="22"/>
          <w:szCs w:val="22"/>
          <w:lang w:val="it-IT"/>
        </w:rPr>
        <w:t>PERCEZIONI E SPIEGAZIONI SCIENTIFICO SOCIALI DELLA PUBBLICA OPINIONE SULLA FUNZIONE TRIBUTARIA</w:t>
      </w:r>
      <w:bookmarkEnd w:id="48"/>
    </w:p>
    <w:p w14:paraId="5F0447A3" w14:textId="53C49E8A" w:rsidR="003C39CB" w:rsidRDefault="003C39CB" w:rsidP="003C39CB">
      <w:pPr>
        <w:rPr>
          <w:sz w:val="22"/>
          <w:szCs w:val="22"/>
        </w:rPr>
      </w:pPr>
      <w:r w:rsidRPr="007F7EBF">
        <w:rPr>
          <w:sz w:val="22"/>
          <w:szCs w:val="22"/>
        </w:rPr>
        <w:t>Sintesi</w:t>
      </w:r>
      <w:r w:rsidR="005E6079" w:rsidRPr="007F7EBF">
        <w:rPr>
          <w:sz w:val="22"/>
          <w:szCs w:val="22"/>
        </w:rPr>
        <w:t>.</w:t>
      </w:r>
      <w:r w:rsidRPr="007F7EBF">
        <w:rPr>
          <w:sz w:val="22"/>
          <w:szCs w:val="22"/>
        </w:rPr>
        <w:t xml:space="preserve"> </w:t>
      </w:r>
      <w:r w:rsidR="00667951">
        <w:rPr>
          <w:sz w:val="22"/>
          <w:szCs w:val="22"/>
        </w:rPr>
        <w:t xml:space="preserve">Le dimensioni e la percezione sociale dell’adempimento e dell’evasione (par.4.1-4.2)  </w:t>
      </w:r>
      <w:r w:rsidR="00667951" w:rsidRPr="007F7EBF">
        <w:rPr>
          <w:sz w:val="22"/>
          <w:szCs w:val="22"/>
        </w:rPr>
        <w:t>rendono da decenni necessari</w:t>
      </w:r>
      <w:r w:rsidR="00667951">
        <w:rPr>
          <w:sz w:val="22"/>
          <w:szCs w:val="22"/>
        </w:rPr>
        <w:t xml:space="preserve">a una  spiegazione sociale d’insieme della funzione tributaria. </w:t>
      </w:r>
      <w:r w:rsidR="00845C24">
        <w:rPr>
          <w:sz w:val="22"/>
          <w:szCs w:val="22"/>
        </w:rPr>
        <w:t xml:space="preserve">Questa non è giunta per ragioni </w:t>
      </w:r>
      <w:r w:rsidR="00133D6D">
        <w:rPr>
          <w:sz w:val="22"/>
          <w:szCs w:val="22"/>
        </w:rPr>
        <w:t>più generali, relative all</w:t>
      </w:r>
      <w:r w:rsidR="00DE1079">
        <w:rPr>
          <w:sz w:val="22"/>
          <w:szCs w:val="22"/>
        </w:rPr>
        <w:t>a frammentazione de</w:t>
      </w:r>
      <w:r w:rsidR="00716B2A">
        <w:rPr>
          <w:sz w:val="22"/>
          <w:szCs w:val="22"/>
        </w:rPr>
        <w:t xml:space="preserve">gli studi </w:t>
      </w:r>
      <w:r w:rsidR="00667951">
        <w:rPr>
          <w:sz w:val="22"/>
          <w:szCs w:val="22"/>
        </w:rPr>
        <w:t>sociali</w:t>
      </w:r>
      <w:r w:rsidR="00133D6D">
        <w:rPr>
          <w:sz w:val="22"/>
          <w:szCs w:val="22"/>
        </w:rPr>
        <w:t xml:space="preserve">, alla loro </w:t>
      </w:r>
      <w:r w:rsidR="00DE1079">
        <w:rPr>
          <w:sz w:val="22"/>
          <w:szCs w:val="22"/>
        </w:rPr>
        <w:t>i</w:t>
      </w:r>
      <w:r w:rsidR="00133D6D">
        <w:rPr>
          <w:sz w:val="22"/>
          <w:szCs w:val="22"/>
        </w:rPr>
        <w:t>spira</w:t>
      </w:r>
      <w:r w:rsidR="00DE1079">
        <w:rPr>
          <w:sz w:val="22"/>
          <w:szCs w:val="22"/>
        </w:rPr>
        <w:t>zione</w:t>
      </w:r>
      <w:r w:rsidR="00133D6D">
        <w:rPr>
          <w:sz w:val="22"/>
          <w:szCs w:val="22"/>
        </w:rPr>
        <w:t xml:space="preserve"> alle scienze della materia </w:t>
      </w:r>
      <w:r w:rsidR="00667951">
        <w:rPr>
          <w:sz w:val="22"/>
          <w:szCs w:val="22"/>
        </w:rPr>
        <w:t xml:space="preserve">e </w:t>
      </w:r>
      <w:r w:rsidR="00133D6D">
        <w:rPr>
          <w:sz w:val="22"/>
          <w:szCs w:val="22"/>
        </w:rPr>
        <w:t xml:space="preserve">al modo in cui rispetto ad esse si è posto il diritto. Quest’ultimo, ancorato alla tradizione tecnica </w:t>
      </w:r>
      <w:r w:rsidR="00DE1079">
        <w:rPr>
          <w:sz w:val="22"/>
          <w:szCs w:val="22"/>
        </w:rPr>
        <w:t>privatistico-</w:t>
      </w:r>
      <w:r w:rsidR="00133D6D">
        <w:rPr>
          <w:sz w:val="22"/>
          <w:szCs w:val="22"/>
        </w:rPr>
        <w:t>giurisdizionale, non si è esteso all</w:t>
      </w:r>
      <w:r w:rsidR="00DE1079">
        <w:rPr>
          <w:sz w:val="22"/>
          <w:szCs w:val="22"/>
        </w:rPr>
        <w:t>o studio sociale dell</w:t>
      </w:r>
      <w:r w:rsidR="00133D6D">
        <w:rPr>
          <w:sz w:val="22"/>
          <w:szCs w:val="22"/>
        </w:rPr>
        <w:t>e pubbliche funzioni in generale, compresa quella tributaria</w:t>
      </w:r>
      <w:r w:rsidR="00DE1079">
        <w:rPr>
          <w:sz w:val="22"/>
          <w:szCs w:val="22"/>
        </w:rPr>
        <w:t xml:space="preserve"> (par.</w:t>
      </w:r>
      <w:r w:rsidR="00133D6D">
        <w:rPr>
          <w:sz w:val="22"/>
          <w:szCs w:val="22"/>
        </w:rPr>
        <w:t>4.3</w:t>
      </w:r>
      <w:r w:rsidR="00DE1079">
        <w:rPr>
          <w:sz w:val="22"/>
          <w:szCs w:val="22"/>
        </w:rPr>
        <w:t xml:space="preserve">). Questa </w:t>
      </w:r>
      <w:r w:rsidR="00133D6D">
        <w:rPr>
          <w:sz w:val="22"/>
          <w:szCs w:val="22"/>
        </w:rPr>
        <w:t>mancata spiegazione scientific</w:t>
      </w:r>
      <w:r w:rsidR="00DE1079">
        <w:rPr>
          <w:sz w:val="22"/>
          <w:szCs w:val="22"/>
        </w:rPr>
        <w:t>o sociale da parte dell</w:t>
      </w:r>
      <w:r w:rsidR="00133D6D">
        <w:rPr>
          <w:sz w:val="22"/>
          <w:szCs w:val="22"/>
        </w:rPr>
        <w:t xml:space="preserve">a relativa accademia, </w:t>
      </w:r>
      <w:r w:rsidR="007F2F26">
        <w:rPr>
          <w:sz w:val="22"/>
          <w:szCs w:val="22"/>
        </w:rPr>
        <w:t xml:space="preserve">non è stata a maggior ragione fornita dagli economisti, dai professionisti, </w:t>
      </w:r>
      <w:r w:rsidR="005564B4" w:rsidRPr="007F7EBF">
        <w:rPr>
          <w:sz w:val="22"/>
          <w:szCs w:val="22"/>
        </w:rPr>
        <w:t xml:space="preserve">dalle istituzioni , dalle aziende, dai  mass media </w:t>
      </w:r>
      <w:r w:rsidRPr="007F7EBF">
        <w:rPr>
          <w:sz w:val="22"/>
          <w:szCs w:val="22"/>
        </w:rPr>
        <w:t>(par</w:t>
      </w:r>
      <w:r w:rsidR="005564B4" w:rsidRPr="007F7EBF">
        <w:rPr>
          <w:sz w:val="22"/>
          <w:szCs w:val="22"/>
        </w:rPr>
        <w:t xml:space="preserve">.4.4). </w:t>
      </w:r>
      <w:r w:rsidR="00F84499">
        <w:rPr>
          <w:sz w:val="22"/>
          <w:szCs w:val="22"/>
        </w:rPr>
        <w:t>Gli interessati alla funzione tributaria nella</w:t>
      </w:r>
      <w:r w:rsidR="005564B4" w:rsidRPr="007F7EBF">
        <w:rPr>
          <w:sz w:val="22"/>
          <w:szCs w:val="22"/>
        </w:rPr>
        <w:t xml:space="preserve"> pubblica opinion</w:t>
      </w:r>
      <w:r w:rsidR="00F84499">
        <w:rPr>
          <w:sz w:val="22"/>
          <w:szCs w:val="22"/>
        </w:rPr>
        <w:t xml:space="preserve">e hanno quindi cercato di </w:t>
      </w:r>
      <w:r w:rsidR="005564B4" w:rsidRPr="007F7EBF">
        <w:rPr>
          <w:sz w:val="22"/>
          <w:szCs w:val="22"/>
        </w:rPr>
        <w:t>fare da sol</w:t>
      </w:r>
      <w:r w:rsidR="00F84499">
        <w:rPr>
          <w:sz w:val="22"/>
          <w:szCs w:val="22"/>
        </w:rPr>
        <w:t>i</w:t>
      </w:r>
      <w:r w:rsidR="005564B4" w:rsidRPr="007F7EBF">
        <w:rPr>
          <w:sz w:val="22"/>
          <w:szCs w:val="22"/>
        </w:rPr>
        <w:t>, autoproducendo</w:t>
      </w:r>
      <w:r w:rsidR="007F2F26">
        <w:rPr>
          <w:sz w:val="22"/>
          <w:szCs w:val="22"/>
        </w:rPr>
        <w:t xml:space="preserve"> le</w:t>
      </w:r>
      <w:r w:rsidR="005564B4" w:rsidRPr="007F7EBF">
        <w:rPr>
          <w:sz w:val="22"/>
          <w:szCs w:val="22"/>
        </w:rPr>
        <w:t xml:space="preserve"> risposte </w:t>
      </w:r>
      <w:r w:rsidR="007F2F26">
        <w:rPr>
          <w:sz w:val="22"/>
          <w:szCs w:val="22"/>
        </w:rPr>
        <w:t xml:space="preserve">sensate, ma </w:t>
      </w:r>
      <w:r w:rsidR="001B56A1" w:rsidRPr="007F7EBF">
        <w:rPr>
          <w:sz w:val="22"/>
          <w:szCs w:val="22"/>
        </w:rPr>
        <w:t>semplicis</w:t>
      </w:r>
      <w:r w:rsidR="005564B4" w:rsidRPr="007F7EBF">
        <w:rPr>
          <w:sz w:val="22"/>
          <w:szCs w:val="22"/>
        </w:rPr>
        <w:t>tiche, indicat</w:t>
      </w:r>
      <w:r w:rsidR="007F2F26">
        <w:rPr>
          <w:sz w:val="22"/>
          <w:szCs w:val="22"/>
        </w:rPr>
        <w:t xml:space="preserve">e </w:t>
      </w:r>
      <w:r w:rsidR="00440FC5">
        <w:rPr>
          <w:sz w:val="22"/>
          <w:szCs w:val="22"/>
        </w:rPr>
        <w:t xml:space="preserve"> </w:t>
      </w:r>
      <w:r w:rsidR="005564B4" w:rsidRPr="007F7EBF">
        <w:rPr>
          <w:sz w:val="22"/>
          <w:szCs w:val="22"/>
        </w:rPr>
        <w:t>al par.4.5</w:t>
      </w:r>
      <w:r w:rsidR="001B56A1" w:rsidRPr="007F7EBF">
        <w:rPr>
          <w:sz w:val="22"/>
          <w:szCs w:val="22"/>
        </w:rPr>
        <w:t xml:space="preserve">. Ne è derivata una </w:t>
      </w:r>
      <w:r w:rsidR="001B56A1" w:rsidRPr="007F7EBF">
        <w:rPr>
          <w:sz w:val="22"/>
          <w:szCs w:val="22"/>
        </w:rPr>
        <w:lastRenderedPageBreak/>
        <w:t>schizofrenia sociale che ha prodott</w:t>
      </w:r>
      <w:r w:rsidRPr="007F7EBF">
        <w:rPr>
          <w:sz w:val="22"/>
          <w:szCs w:val="22"/>
        </w:rPr>
        <w:t xml:space="preserve">o lacerazioni </w:t>
      </w:r>
      <w:r w:rsidR="003143A8" w:rsidRPr="007F7EBF">
        <w:rPr>
          <w:sz w:val="22"/>
          <w:szCs w:val="22"/>
        </w:rPr>
        <w:t xml:space="preserve">di vario tipo, esaminate al par.4.6. </w:t>
      </w:r>
      <w:r w:rsidR="00C64FF2">
        <w:rPr>
          <w:sz w:val="22"/>
          <w:szCs w:val="22"/>
        </w:rPr>
        <w:t>Dopo aver indicato alcune caratteristiche metodologiche del sapere umanistico sociale in genere, come la pluralità dei livelli di interlocuzione, l’accessibilità, i</w:t>
      </w:r>
      <w:r w:rsidR="00C06AB1">
        <w:rPr>
          <w:sz w:val="22"/>
          <w:szCs w:val="22"/>
        </w:rPr>
        <w:t>l rapporto col sapere comune e i</w:t>
      </w:r>
      <w:r w:rsidR="00C64FF2">
        <w:rPr>
          <w:sz w:val="22"/>
          <w:szCs w:val="22"/>
        </w:rPr>
        <w:t xml:space="preserve"> compiti di coordinamento degli studiosi, il par.4.7 </w:t>
      </w:r>
      <w:r w:rsidR="00DE1079">
        <w:rPr>
          <w:sz w:val="22"/>
          <w:szCs w:val="22"/>
        </w:rPr>
        <w:t xml:space="preserve">individua </w:t>
      </w:r>
      <w:r w:rsidR="00C06AB1">
        <w:rPr>
          <w:sz w:val="22"/>
          <w:szCs w:val="22"/>
        </w:rPr>
        <w:t xml:space="preserve">le prospettive dello studio sociale della funzione tributaria, </w:t>
      </w:r>
      <w:r w:rsidR="00CE582E">
        <w:rPr>
          <w:sz w:val="22"/>
          <w:szCs w:val="22"/>
        </w:rPr>
        <w:t xml:space="preserve">con spunti sulla sua più proficua </w:t>
      </w:r>
      <w:r w:rsidR="00C06AB1">
        <w:rPr>
          <w:sz w:val="22"/>
          <w:szCs w:val="22"/>
        </w:rPr>
        <w:t xml:space="preserve">collocazione accademica. </w:t>
      </w:r>
    </w:p>
    <w:p w14:paraId="3902E6C8" w14:textId="3F5C478B" w:rsidR="00A2552A" w:rsidRDefault="00A2552A" w:rsidP="003C39CB">
      <w:pPr>
        <w:rPr>
          <w:sz w:val="22"/>
          <w:szCs w:val="22"/>
        </w:rPr>
      </w:pPr>
    </w:p>
    <w:p w14:paraId="050B86E3" w14:textId="79A61AE3" w:rsidR="00A2552A" w:rsidRPr="007F7EBF" w:rsidRDefault="00A2552A" w:rsidP="00A2552A">
      <w:pPr>
        <w:pStyle w:val="Titolo3"/>
        <w:rPr>
          <w:rFonts w:ascii="Times New Roman" w:hAnsi="Times New Roman"/>
          <w:sz w:val="22"/>
          <w:szCs w:val="22"/>
        </w:rPr>
      </w:pPr>
      <w:bookmarkStart w:id="49" w:name="_Toc63364965"/>
      <w:r>
        <w:rPr>
          <w:rFonts w:ascii="Times New Roman" w:hAnsi="Times New Roman"/>
          <w:sz w:val="22"/>
          <w:szCs w:val="22"/>
          <w:lang w:val="it-IT"/>
        </w:rPr>
        <w:t>4.1</w:t>
      </w:r>
      <w:r w:rsidRPr="007F7EBF">
        <w:rPr>
          <w:rFonts w:ascii="Times New Roman" w:hAnsi="Times New Roman"/>
          <w:sz w:val="22"/>
          <w:szCs w:val="22"/>
        </w:rPr>
        <w:t xml:space="preserve"> </w:t>
      </w:r>
      <w:r w:rsidRPr="00A2552A">
        <w:rPr>
          <w:rFonts w:ascii="Times New Roman" w:hAnsi="Times New Roman"/>
          <w:sz w:val="22"/>
          <w:szCs w:val="22"/>
          <w:lang w:val="it-IT"/>
        </w:rPr>
        <w:t xml:space="preserve">L’opinione pubblica come riferimento della funzione tributaria e </w:t>
      </w:r>
      <w:r w:rsidR="000F4A5D">
        <w:rPr>
          <w:rFonts w:ascii="Times New Roman" w:hAnsi="Times New Roman"/>
          <w:sz w:val="22"/>
          <w:szCs w:val="22"/>
          <w:lang w:val="it-IT"/>
        </w:rPr>
        <w:t xml:space="preserve">il </w:t>
      </w:r>
      <w:r w:rsidRPr="00A2552A">
        <w:rPr>
          <w:rFonts w:ascii="Times New Roman" w:hAnsi="Times New Roman"/>
          <w:sz w:val="22"/>
          <w:szCs w:val="22"/>
          <w:lang w:val="it-IT"/>
        </w:rPr>
        <w:t>suo disorientamento</w:t>
      </w:r>
      <w:bookmarkEnd w:id="49"/>
      <w:r>
        <w:rPr>
          <w:rFonts w:ascii="Times New Roman" w:hAnsi="Times New Roman"/>
          <w:sz w:val="22"/>
          <w:szCs w:val="22"/>
          <w:lang w:val="it-IT"/>
        </w:rPr>
        <w:t xml:space="preserve"> </w:t>
      </w:r>
    </w:p>
    <w:p w14:paraId="264270F5" w14:textId="77777777" w:rsidR="00A2552A" w:rsidRPr="007F7EBF" w:rsidRDefault="00A2552A" w:rsidP="00A2552A">
      <w:pPr>
        <w:pStyle w:val="tit23"/>
        <w:ind w:left="6464" w:right="-1361" w:firstLine="0"/>
        <w:jc w:val="left"/>
        <w:rPr>
          <w:bCs/>
          <w:i/>
          <w:iCs/>
          <w:color w:val="0000FF"/>
          <w:lang w:val="it-IT"/>
        </w:rPr>
      </w:pPr>
      <w:r>
        <w:rPr>
          <w:bCs/>
          <w:i/>
          <w:iCs/>
          <w:color w:val="0000FF"/>
          <w:lang w:val="it-IT"/>
        </w:rPr>
        <w:t xml:space="preserve">Importanza della </w:t>
      </w:r>
      <w:r w:rsidRPr="007F7EBF">
        <w:rPr>
          <w:bCs/>
          <w:i/>
          <w:iCs/>
          <w:color w:val="0000FF"/>
          <w:lang w:val="it-IT"/>
        </w:rPr>
        <w:t>pubblica opinione</w:t>
      </w:r>
      <w:r>
        <w:rPr>
          <w:bCs/>
          <w:i/>
          <w:iCs/>
          <w:color w:val="0000FF"/>
          <w:lang w:val="it-IT"/>
        </w:rPr>
        <w:t xml:space="preserve"> </w:t>
      </w:r>
    </w:p>
    <w:p w14:paraId="5DF42D36" w14:textId="3D1F9538" w:rsidR="00A2552A" w:rsidRDefault="00A2552A" w:rsidP="00A2552A">
      <w:pPr>
        <w:autoSpaceDE w:val="0"/>
        <w:autoSpaceDN w:val="0"/>
        <w:adjustRightInd w:val="0"/>
        <w:rPr>
          <w:sz w:val="22"/>
          <w:szCs w:val="22"/>
        </w:rPr>
      </w:pPr>
      <w:r>
        <w:rPr>
          <w:sz w:val="22"/>
          <w:szCs w:val="22"/>
        </w:rPr>
        <w:t>Le sperequazioni di cui al paragrafo precedente, connesse alla diversa determinabilità dei presupposti economici delle imposte, sono variamente avvertite</w:t>
      </w:r>
      <w:r w:rsidR="000F4A5D">
        <w:rPr>
          <w:sz w:val="22"/>
          <w:szCs w:val="22"/>
        </w:rPr>
        <w:t xml:space="preserve"> </w:t>
      </w:r>
      <w:r>
        <w:rPr>
          <w:sz w:val="22"/>
          <w:szCs w:val="22"/>
        </w:rPr>
        <w:t>dal</w:t>
      </w:r>
      <w:r w:rsidR="000F4A5D">
        <w:rPr>
          <w:sz w:val="22"/>
          <w:szCs w:val="22"/>
        </w:rPr>
        <w:t xml:space="preserve"> </w:t>
      </w:r>
      <w:r>
        <w:rPr>
          <w:sz w:val="22"/>
          <w:szCs w:val="22"/>
        </w:rPr>
        <w:t xml:space="preserve">punto di riferimento delle funzioni pubbliche, </w:t>
      </w:r>
      <w:r w:rsidR="000F4A5D">
        <w:rPr>
          <w:sz w:val="22"/>
          <w:szCs w:val="22"/>
        </w:rPr>
        <w:t>cioè la pubblica opinione. Quest’ultima esiste sempre, in modo diverso, anche nelle dittature, perché  nessun</w:t>
      </w:r>
      <w:r>
        <w:rPr>
          <w:sz w:val="22"/>
          <w:szCs w:val="22"/>
        </w:rPr>
        <w:t xml:space="preserve"> assetto politico</w:t>
      </w:r>
      <w:r w:rsidR="000F4A5D">
        <w:rPr>
          <w:sz w:val="22"/>
          <w:szCs w:val="22"/>
        </w:rPr>
        <w:t xml:space="preserve"> sopravvive senza</w:t>
      </w:r>
      <w:r>
        <w:rPr>
          <w:sz w:val="22"/>
          <w:szCs w:val="22"/>
        </w:rPr>
        <w:t xml:space="preserve"> una base sociale</w:t>
      </w:r>
      <w:r w:rsidR="00C0556D">
        <w:rPr>
          <w:sz w:val="22"/>
          <w:szCs w:val="22"/>
        </w:rPr>
        <w:t xml:space="preserve">; nella misura in cui quest’ultima è </w:t>
      </w:r>
      <w:r>
        <w:rPr>
          <w:sz w:val="22"/>
          <w:szCs w:val="22"/>
        </w:rPr>
        <w:t>insoddisfatta dei governanti</w:t>
      </w:r>
      <w:r w:rsidR="00C0556D">
        <w:rPr>
          <w:sz w:val="22"/>
          <w:szCs w:val="22"/>
        </w:rPr>
        <w:t>, tendono ad autoprodursi m</w:t>
      </w:r>
      <w:r>
        <w:rPr>
          <w:sz w:val="22"/>
          <w:szCs w:val="22"/>
        </w:rPr>
        <w:t xml:space="preserve">alcontento, complotti o </w:t>
      </w:r>
      <w:r w:rsidR="00C0556D">
        <w:rPr>
          <w:sz w:val="22"/>
          <w:szCs w:val="22"/>
        </w:rPr>
        <w:t>rivolte (</w:t>
      </w:r>
      <w:r w:rsidR="00C0556D" w:rsidRPr="007F7EBF">
        <w:rPr>
          <w:sz w:val="22"/>
          <w:szCs w:val="22"/>
        </w:rPr>
        <w:footnoteReference w:id="406"/>
      </w:r>
      <w:r w:rsidR="00C0556D">
        <w:rPr>
          <w:sz w:val="22"/>
          <w:szCs w:val="22"/>
        </w:rPr>
        <w:t>)</w:t>
      </w:r>
      <w:r w:rsidRPr="00BB07FD">
        <w:rPr>
          <w:b/>
          <w:sz w:val="22"/>
          <w:szCs w:val="22"/>
        </w:rPr>
        <w:t>.</w:t>
      </w:r>
      <w:r>
        <w:rPr>
          <w:sz w:val="22"/>
          <w:szCs w:val="22"/>
        </w:rPr>
        <w:t xml:space="preserve">  </w:t>
      </w:r>
      <w:r w:rsidR="00D1655D">
        <w:rPr>
          <w:sz w:val="22"/>
          <w:szCs w:val="22"/>
        </w:rPr>
        <w:t xml:space="preserve">Oggi come ieri le opinioni pubbliche </w:t>
      </w:r>
      <w:r w:rsidR="00D1655D">
        <w:t xml:space="preserve">esprimono </w:t>
      </w:r>
      <w:r w:rsidR="00D1655D">
        <w:rPr>
          <w:sz w:val="22"/>
          <w:szCs w:val="22"/>
        </w:rPr>
        <w:t>quella che potremmo chiamare “intelligenza collettiva”, il “nous” degli antichi greci, cui inevitabilmente guardano la politica e i pubblici uffici, come indicato al par.5.3.</w:t>
      </w:r>
    </w:p>
    <w:p w14:paraId="7B775205" w14:textId="77777777" w:rsidR="00A2552A" w:rsidRPr="007F7EBF" w:rsidRDefault="00A2552A" w:rsidP="00A2552A">
      <w:pPr>
        <w:pStyle w:val="tit23"/>
        <w:ind w:left="6464" w:right="-1361" w:firstLine="0"/>
        <w:jc w:val="left"/>
        <w:rPr>
          <w:bCs/>
          <w:i/>
          <w:iCs/>
          <w:color w:val="0000FF"/>
          <w:lang w:val="it-IT"/>
        </w:rPr>
      </w:pPr>
      <w:r>
        <w:rPr>
          <w:bCs/>
          <w:i/>
          <w:iCs/>
          <w:color w:val="0000FF"/>
          <w:lang w:val="it-IT"/>
        </w:rPr>
        <w:t xml:space="preserve">Ampliamento e settorializzazione </w:t>
      </w:r>
    </w:p>
    <w:p w14:paraId="30892AC5" w14:textId="20695190" w:rsidR="00A2552A" w:rsidRDefault="00A2552A" w:rsidP="00A2552A">
      <w:pPr>
        <w:autoSpaceDE w:val="0"/>
        <w:autoSpaceDN w:val="0"/>
        <w:adjustRightInd w:val="0"/>
      </w:pPr>
      <w:r>
        <w:rPr>
          <w:sz w:val="22"/>
          <w:szCs w:val="22"/>
        </w:rPr>
        <w:t>Con la formalizzazione della “sovranità popolare”, libertà di parola ed organizzazione politica</w:t>
      </w:r>
      <w:r w:rsidR="00C0556D">
        <w:rPr>
          <w:sz w:val="22"/>
          <w:szCs w:val="22"/>
        </w:rPr>
        <w:t xml:space="preserve">, </w:t>
      </w:r>
      <w:r>
        <w:rPr>
          <w:sz w:val="22"/>
          <w:szCs w:val="22"/>
        </w:rPr>
        <w:t xml:space="preserve">alfabetizzazione, maggior tempo libero, </w:t>
      </w:r>
      <w:r w:rsidR="00C0556D">
        <w:rPr>
          <w:sz w:val="22"/>
          <w:szCs w:val="22"/>
        </w:rPr>
        <w:t xml:space="preserve">interazione su </w:t>
      </w:r>
      <w:r w:rsidRPr="0050795F">
        <w:rPr>
          <w:i/>
          <w:sz w:val="22"/>
          <w:szCs w:val="22"/>
        </w:rPr>
        <w:t>media</w:t>
      </w:r>
      <w:r>
        <w:rPr>
          <w:sz w:val="22"/>
          <w:szCs w:val="22"/>
        </w:rPr>
        <w:t xml:space="preserve"> e </w:t>
      </w:r>
      <w:r w:rsidR="00C0556D">
        <w:rPr>
          <w:sz w:val="22"/>
          <w:szCs w:val="22"/>
        </w:rPr>
        <w:t xml:space="preserve">social, </w:t>
      </w:r>
      <w:r>
        <w:rPr>
          <w:sz w:val="22"/>
          <w:szCs w:val="22"/>
        </w:rPr>
        <w:t xml:space="preserve">la pubblica opinione è molto numerosa e articolata. </w:t>
      </w:r>
      <w:r w:rsidR="005125FE">
        <w:rPr>
          <w:sz w:val="22"/>
          <w:szCs w:val="22"/>
        </w:rPr>
        <w:t xml:space="preserve">Proprio per questo </w:t>
      </w:r>
      <w:r w:rsidR="005125FE" w:rsidRPr="005125FE">
        <w:rPr>
          <w:sz w:val="22"/>
          <w:szCs w:val="22"/>
        </w:rPr>
        <w:t xml:space="preserve">non tutti possono interessarsi parallelamente di tutti i vari temi della convivenza sociale. Su ciascuno </w:t>
      </w:r>
      <w:r w:rsidR="005125FE" w:rsidRPr="005125FE">
        <w:rPr>
          <w:sz w:val="22"/>
          <w:szCs w:val="22"/>
        </w:rPr>
        <w:lastRenderedPageBreak/>
        <w:t>di essi</w:t>
      </w:r>
      <w:r w:rsidR="005125FE">
        <w:rPr>
          <w:sz w:val="22"/>
          <w:szCs w:val="22"/>
        </w:rPr>
        <w:t xml:space="preserve">, compresa la funzione tributaria e l’evasione, </w:t>
      </w:r>
      <w:r w:rsidR="005125FE" w:rsidRPr="005125FE">
        <w:rPr>
          <w:sz w:val="22"/>
          <w:szCs w:val="22"/>
        </w:rPr>
        <w:t>troviamo diverse sensibilità, attenzioni, bagagli culturali, in relazione alle circostanze di tempo e di luogo. Si crea così</w:t>
      </w:r>
      <w:r w:rsidR="005125FE">
        <w:rPr>
          <w:sz w:val="22"/>
          <w:szCs w:val="22"/>
        </w:rPr>
        <w:t>, anche sul fisco, un’</w:t>
      </w:r>
      <w:r w:rsidR="005125FE" w:rsidRPr="005125FE">
        <w:rPr>
          <w:sz w:val="22"/>
          <w:szCs w:val="22"/>
        </w:rPr>
        <w:t>opinion</w:t>
      </w:r>
      <w:r w:rsidR="005125FE">
        <w:rPr>
          <w:sz w:val="22"/>
          <w:szCs w:val="22"/>
        </w:rPr>
        <w:t>e</w:t>
      </w:r>
      <w:r w:rsidR="005125FE" w:rsidRPr="005125FE">
        <w:rPr>
          <w:sz w:val="22"/>
          <w:szCs w:val="22"/>
        </w:rPr>
        <w:t xml:space="preserve"> pubblic</w:t>
      </w:r>
      <w:r w:rsidR="005125FE">
        <w:rPr>
          <w:sz w:val="22"/>
          <w:szCs w:val="22"/>
        </w:rPr>
        <w:t>a</w:t>
      </w:r>
      <w:r w:rsidR="005125FE" w:rsidRPr="005125FE">
        <w:rPr>
          <w:sz w:val="22"/>
          <w:szCs w:val="22"/>
        </w:rPr>
        <w:t xml:space="preserve"> di settore, aggregat</w:t>
      </w:r>
      <w:r w:rsidR="005125FE">
        <w:rPr>
          <w:sz w:val="22"/>
          <w:szCs w:val="22"/>
        </w:rPr>
        <w:t>a</w:t>
      </w:r>
      <w:r w:rsidR="005125FE" w:rsidRPr="005125FE">
        <w:rPr>
          <w:sz w:val="22"/>
          <w:szCs w:val="22"/>
        </w:rPr>
        <w:t xml:space="preserve"> per interessi conoscitivi, fascino tematico, esperienze lavorative, narrazioni politico-sociali, audience mediatica (p</w:t>
      </w:r>
      <w:r w:rsidR="005125FE">
        <w:rPr>
          <w:sz w:val="22"/>
          <w:szCs w:val="22"/>
        </w:rPr>
        <w:t>ar.4.4</w:t>
      </w:r>
      <w:r w:rsidR="005125FE" w:rsidRPr="005125FE">
        <w:rPr>
          <w:sz w:val="22"/>
          <w:szCs w:val="22"/>
        </w:rPr>
        <w:t xml:space="preserve">), didattica e ricerca sociale, etc. </w:t>
      </w:r>
      <w:r w:rsidR="005125FE">
        <w:rPr>
          <w:sz w:val="22"/>
          <w:szCs w:val="22"/>
        </w:rPr>
        <w:t xml:space="preserve">Al suo interno si intrecciano </w:t>
      </w:r>
      <w:r>
        <w:rPr>
          <w:sz w:val="22"/>
          <w:szCs w:val="22"/>
        </w:rPr>
        <w:t>prospettive di analisi</w:t>
      </w:r>
      <w:r w:rsidR="00C0556D">
        <w:rPr>
          <w:sz w:val="22"/>
          <w:szCs w:val="22"/>
        </w:rPr>
        <w:t xml:space="preserve"> ed embrioni di spiegazioni</w:t>
      </w:r>
      <w:r>
        <w:rPr>
          <w:bCs/>
          <w:sz w:val="22"/>
          <w:szCs w:val="22"/>
        </w:rPr>
        <w:t xml:space="preserve">, che gli studiosi sociali, come </w:t>
      </w:r>
      <w:r w:rsidR="005125FE">
        <w:rPr>
          <w:bCs/>
          <w:sz w:val="22"/>
          <w:szCs w:val="22"/>
        </w:rPr>
        <w:t>vedremo</w:t>
      </w:r>
      <w:r>
        <w:rPr>
          <w:bCs/>
          <w:sz w:val="22"/>
          <w:szCs w:val="22"/>
        </w:rPr>
        <w:t xml:space="preserve"> al par.4.7, dovrebbero coordinare</w:t>
      </w:r>
      <w:r w:rsidR="00EA4856">
        <w:rPr>
          <w:sz w:val="22"/>
          <w:szCs w:val="22"/>
        </w:rPr>
        <w:t xml:space="preserve">; ciò significa dare a tutti coloro che si interessano al tema riscontri proporzionali alla propria prospettiva, bagaglio culturale e curva d’attenzione. </w:t>
      </w:r>
      <w:r w:rsidR="00F57732">
        <w:rPr>
          <w:sz w:val="22"/>
          <w:szCs w:val="22"/>
        </w:rPr>
        <w:t>Nella misura in cui ciò si verifica è possibile chiedere a chi s’interessa al tema di documentarsi e a chi non s’interessa di non atteggiarsi a esperto.</w:t>
      </w:r>
    </w:p>
    <w:p w14:paraId="193A9C3D" w14:textId="1028C23E" w:rsidR="00A2552A" w:rsidRPr="007F7EBF" w:rsidRDefault="00A2552A" w:rsidP="00A2552A">
      <w:pPr>
        <w:pStyle w:val="tit23"/>
        <w:ind w:left="6464" w:right="-1361" w:firstLine="0"/>
        <w:jc w:val="left"/>
        <w:rPr>
          <w:bCs/>
          <w:i/>
          <w:iCs/>
          <w:color w:val="0000FF"/>
          <w:lang w:val="it-IT"/>
        </w:rPr>
      </w:pPr>
      <w:r>
        <w:rPr>
          <w:bCs/>
          <w:i/>
          <w:iCs/>
          <w:color w:val="0000FF"/>
          <w:lang w:val="it-IT"/>
        </w:rPr>
        <w:t>Radici storic</w:t>
      </w:r>
      <w:r w:rsidR="005125FE">
        <w:rPr>
          <w:bCs/>
          <w:i/>
          <w:iCs/>
          <w:color w:val="0000FF"/>
          <w:lang w:val="it-IT"/>
        </w:rPr>
        <w:t>o formative e spontaneismo creativo</w:t>
      </w:r>
      <w:r>
        <w:rPr>
          <w:bCs/>
          <w:i/>
          <w:iCs/>
          <w:color w:val="0000FF"/>
          <w:lang w:val="it-IT"/>
        </w:rPr>
        <w:t xml:space="preserve"> </w:t>
      </w:r>
    </w:p>
    <w:p w14:paraId="78888D60" w14:textId="5666D3F5" w:rsidR="00A2552A" w:rsidRDefault="00F57732" w:rsidP="00A2552A">
      <w:pPr>
        <w:autoSpaceDE w:val="0"/>
        <w:autoSpaceDN w:val="0"/>
        <w:adjustRightInd w:val="0"/>
      </w:pPr>
      <w:r>
        <w:t>Tutte l</w:t>
      </w:r>
      <w:r w:rsidR="00D1655D">
        <w:t xml:space="preserve">e pubbliche opinioni </w:t>
      </w:r>
      <w:r>
        <w:t xml:space="preserve">di settore hanno però i caratteri spazio temporali comuni della pubblica opinione in senso generale. Quest’ultima </w:t>
      </w:r>
      <w:r w:rsidR="00D1655D">
        <w:t xml:space="preserve">non </w:t>
      </w:r>
      <w:r>
        <w:t>dipende da</w:t>
      </w:r>
      <w:r w:rsidR="00D1655D">
        <w:t xml:space="preserve"> caratteristiche genetiche, </w:t>
      </w:r>
      <w:r w:rsidR="00D1655D">
        <w:rPr>
          <w:sz w:val="22"/>
          <w:szCs w:val="22"/>
        </w:rPr>
        <w:t>c</w:t>
      </w:r>
      <w:r w:rsidR="00D1655D">
        <w:t>ome vorrebbero i vari “razzismi” e “</w:t>
      </w:r>
      <w:proofErr w:type="spellStart"/>
      <w:r w:rsidR="00D1655D">
        <w:t>autorazzismi</w:t>
      </w:r>
      <w:proofErr w:type="spellEnd"/>
      <w:r w:rsidR="00D1655D">
        <w:t>”, ma storiche, culturali e religiose</w:t>
      </w:r>
      <w:r>
        <w:t>. Esse i</w:t>
      </w:r>
      <w:r w:rsidR="005125FE">
        <w:t xml:space="preserve">n Italia sono </w:t>
      </w:r>
      <w:r w:rsidR="00A2552A">
        <w:t>più eterogene</w:t>
      </w:r>
      <w:r w:rsidR="005125FE">
        <w:t>e</w:t>
      </w:r>
      <w:r w:rsidR="00A2552A">
        <w:t xml:space="preserve"> rispetto ad altri più</w:t>
      </w:r>
      <w:r w:rsidR="00A2552A">
        <w:rPr>
          <w:bCs/>
          <w:sz w:val="22"/>
          <w:szCs w:val="22"/>
        </w:rPr>
        <w:t xml:space="preserve"> </w:t>
      </w:r>
      <w:r w:rsidR="00A2552A" w:rsidRPr="007F7EBF">
        <w:rPr>
          <w:bCs/>
          <w:sz w:val="22"/>
          <w:szCs w:val="22"/>
        </w:rPr>
        <w:t xml:space="preserve">antichi stati nazionali </w:t>
      </w:r>
      <w:r w:rsidR="00A2552A">
        <w:rPr>
          <w:bCs/>
          <w:sz w:val="22"/>
          <w:szCs w:val="22"/>
        </w:rPr>
        <w:t>europei</w:t>
      </w:r>
      <w:r w:rsidR="005125FE">
        <w:rPr>
          <w:bCs/>
          <w:sz w:val="22"/>
          <w:szCs w:val="22"/>
        </w:rPr>
        <w:t xml:space="preserve">. Ne è derivato un rapporto tra individuo e società che potremmo chiamare di spontaneismo creativo, anche per una formazione molto umanistico letteraria e la generale autoreferenzialità degli studi sociali, di cui al par.1.5 di studi sociali e diritto, citato in premessa. </w:t>
      </w:r>
    </w:p>
    <w:p w14:paraId="29A48513" w14:textId="0EF001AC"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 xml:space="preserve"> trascuratezza per le organizzazioni</w:t>
      </w:r>
      <w:r w:rsidR="005125FE">
        <w:rPr>
          <w:bCs/>
          <w:i/>
          <w:iCs/>
          <w:color w:val="0000FF"/>
          <w:lang w:val="it-IT"/>
        </w:rPr>
        <w:t xml:space="preserve"> </w:t>
      </w:r>
      <w:proofErr w:type="spellStart"/>
      <w:r w:rsidR="005125FE">
        <w:rPr>
          <w:bCs/>
          <w:i/>
          <w:iCs/>
          <w:color w:val="0000FF"/>
          <w:lang w:val="it-IT"/>
        </w:rPr>
        <w:t>plurispersonali</w:t>
      </w:r>
      <w:proofErr w:type="spellEnd"/>
    </w:p>
    <w:p w14:paraId="279204A4" w14:textId="67A80745" w:rsidR="00A2552A" w:rsidRDefault="00F80055" w:rsidP="00A2552A">
      <w:pPr>
        <w:autoSpaceDE w:val="0"/>
        <w:autoSpaceDN w:val="0"/>
        <w:adjustRightInd w:val="0"/>
        <w:rPr>
          <w:sz w:val="22"/>
          <w:szCs w:val="22"/>
        </w:rPr>
      </w:pPr>
      <w:r>
        <w:rPr>
          <w:bCs/>
          <w:sz w:val="22"/>
          <w:szCs w:val="22"/>
        </w:rPr>
        <w:t xml:space="preserve">Questo </w:t>
      </w:r>
      <w:r w:rsidR="00A2552A">
        <w:rPr>
          <w:sz w:val="22"/>
          <w:szCs w:val="22"/>
        </w:rPr>
        <w:t>“s</w:t>
      </w:r>
      <w:r w:rsidR="00A2552A" w:rsidRPr="0019527F">
        <w:rPr>
          <w:bCs/>
          <w:sz w:val="22"/>
          <w:szCs w:val="22"/>
        </w:rPr>
        <w:t>p</w:t>
      </w:r>
      <w:r w:rsidR="00A2552A" w:rsidRPr="007F7EBF">
        <w:rPr>
          <w:bCs/>
          <w:sz w:val="22"/>
          <w:szCs w:val="22"/>
        </w:rPr>
        <w:t>ontaneismo creativo</w:t>
      </w:r>
      <w:r w:rsidR="00A2552A">
        <w:rPr>
          <w:bCs/>
          <w:sz w:val="22"/>
          <w:szCs w:val="22"/>
        </w:rPr>
        <w:t>”</w:t>
      </w:r>
      <w:r>
        <w:rPr>
          <w:sz w:val="22"/>
          <w:szCs w:val="22"/>
        </w:rPr>
        <w:t xml:space="preserve"> è fatto di immaginazione, improvvisazione, fantasia, ed è a</w:t>
      </w:r>
      <w:r w:rsidRPr="007F7EBF">
        <w:rPr>
          <w:bCs/>
        </w:rPr>
        <w:t>pprezzat</w:t>
      </w:r>
      <w:r>
        <w:rPr>
          <w:bCs/>
        </w:rPr>
        <w:t xml:space="preserve">o </w:t>
      </w:r>
      <w:r w:rsidRPr="007F7EBF">
        <w:rPr>
          <w:bCs/>
        </w:rPr>
        <w:t>all'estero</w:t>
      </w:r>
      <w:r>
        <w:rPr>
          <w:bCs/>
        </w:rPr>
        <w:t xml:space="preserve">, dove può essere preso a piccole dosi, calandolo </w:t>
      </w:r>
      <w:r>
        <w:t>su società</w:t>
      </w:r>
      <w:r w:rsidRPr="007F7EBF">
        <w:t xml:space="preserve"> </w:t>
      </w:r>
      <w:r>
        <w:t xml:space="preserve">più </w:t>
      </w:r>
      <w:r w:rsidRPr="007F7EBF">
        <w:t>organizzat</w:t>
      </w:r>
      <w:r>
        <w:t>e,</w:t>
      </w:r>
      <w:r w:rsidRPr="007F7EBF">
        <w:t xml:space="preserve"> ma meno </w:t>
      </w:r>
      <w:r>
        <w:t>creative</w:t>
      </w:r>
      <w:r>
        <w:rPr>
          <w:bCs/>
          <w:sz w:val="22"/>
          <w:szCs w:val="22"/>
        </w:rPr>
        <w:t>. Il lato negativo è proprio la facilità di entusiasmarsi</w:t>
      </w:r>
      <w:r w:rsidR="00B234C6">
        <w:rPr>
          <w:bCs/>
          <w:sz w:val="22"/>
          <w:szCs w:val="22"/>
        </w:rPr>
        <w:t>, improvvisandosi esperti di qualsiasi argomento si parli, a</w:t>
      </w:r>
      <w:r>
        <w:rPr>
          <w:bCs/>
          <w:sz w:val="22"/>
          <w:szCs w:val="22"/>
        </w:rPr>
        <w:t xml:space="preserve">nche </w:t>
      </w:r>
      <w:r w:rsidR="00B234C6">
        <w:rPr>
          <w:bCs/>
          <w:sz w:val="22"/>
          <w:szCs w:val="22"/>
        </w:rPr>
        <w:t xml:space="preserve">sui </w:t>
      </w:r>
      <w:r w:rsidR="00A2552A">
        <w:t xml:space="preserve"> mezzi di informazione</w:t>
      </w:r>
      <w:r w:rsidR="00B234C6">
        <w:t xml:space="preserve"> o in rete; </w:t>
      </w:r>
      <w:r>
        <w:t xml:space="preserve">è forte la tendenza a </w:t>
      </w:r>
      <w:r w:rsidR="00A2552A">
        <w:t>sent</w:t>
      </w:r>
      <w:r>
        <w:t>irsi</w:t>
      </w:r>
      <w:r w:rsidR="00A2552A">
        <w:t xml:space="preserve"> </w:t>
      </w:r>
      <w:r w:rsidR="00A2552A" w:rsidRPr="0019527F">
        <w:rPr>
          <w:sz w:val="22"/>
          <w:szCs w:val="22"/>
        </w:rPr>
        <w:lastRenderedPageBreak/>
        <w:t>economisti se si parla d</w:t>
      </w:r>
      <w:r w:rsidR="00A2552A" w:rsidRPr="0019527F">
        <w:t>ell’Euro,</w:t>
      </w:r>
      <w:r w:rsidR="00A2552A">
        <w:t xml:space="preserve"> allenatori della Nazionale se si parla di calcio, </w:t>
      </w:r>
      <w:r>
        <w:t xml:space="preserve">ed </w:t>
      </w:r>
      <w:r w:rsidR="00A2552A">
        <w:t xml:space="preserve">tributaristi se si parla di evasione fiscale </w:t>
      </w:r>
      <w:r w:rsidR="00A2552A" w:rsidRPr="0019527F">
        <w:rPr>
          <w:sz w:val="22"/>
          <w:szCs w:val="22"/>
        </w:rPr>
        <w:t>(</w:t>
      </w:r>
      <w:r w:rsidR="00A2552A" w:rsidRPr="0019527F">
        <w:rPr>
          <w:sz w:val="22"/>
          <w:szCs w:val="22"/>
        </w:rPr>
        <w:footnoteReference w:id="407"/>
      </w:r>
      <w:r w:rsidR="00A2552A">
        <w:rPr>
          <w:sz w:val="22"/>
          <w:szCs w:val="22"/>
        </w:rPr>
        <w:t>).</w:t>
      </w:r>
      <w:r w:rsidR="008763E4">
        <w:rPr>
          <w:sz w:val="22"/>
          <w:szCs w:val="22"/>
        </w:rPr>
        <w:t xml:space="preserve"> </w:t>
      </w:r>
    </w:p>
    <w:p w14:paraId="36DB3CD0" w14:textId="3C5F7000" w:rsidR="008763E4" w:rsidRDefault="008763E4" w:rsidP="008763E4">
      <w:pPr>
        <w:autoSpaceDE w:val="0"/>
        <w:autoSpaceDN w:val="0"/>
        <w:adjustRightInd w:val="0"/>
        <w:rPr>
          <w:bCs/>
          <w:i/>
          <w:iCs/>
          <w:color w:val="0000FF"/>
          <w:sz w:val="22"/>
          <w:szCs w:val="22"/>
        </w:rPr>
      </w:pPr>
      <w:r>
        <w:rPr>
          <w:sz w:val="22"/>
          <w:szCs w:val="22"/>
        </w:rPr>
        <w:t>Ne nascono</w:t>
      </w:r>
      <w:r w:rsidR="00F80055">
        <w:rPr>
          <w:sz w:val="22"/>
          <w:szCs w:val="22"/>
        </w:rPr>
        <w:t xml:space="preserve"> bisticci, malesseri e confusione, </w:t>
      </w:r>
      <w:r>
        <w:rPr>
          <w:sz w:val="22"/>
          <w:szCs w:val="22"/>
        </w:rPr>
        <w:t xml:space="preserve">che </w:t>
      </w:r>
      <w:r w:rsidR="00F80055">
        <w:rPr>
          <w:sz w:val="22"/>
          <w:szCs w:val="22"/>
        </w:rPr>
        <w:t>raffreddano gli entusiasmi e sping</w:t>
      </w:r>
      <w:r>
        <w:rPr>
          <w:sz w:val="22"/>
          <w:szCs w:val="22"/>
        </w:rPr>
        <w:t xml:space="preserve">ono </w:t>
      </w:r>
      <w:r w:rsidR="00A2552A" w:rsidRPr="0019527F">
        <w:rPr>
          <w:sz w:val="22"/>
          <w:szCs w:val="22"/>
        </w:rPr>
        <w:t xml:space="preserve">a ripiegare sul proprio </w:t>
      </w:r>
      <w:proofErr w:type="spellStart"/>
      <w:r w:rsidR="00A2552A" w:rsidRPr="0019527F">
        <w:rPr>
          <w:i/>
          <w:sz w:val="22"/>
          <w:szCs w:val="22"/>
        </w:rPr>
        <w:t>particulare</w:t>
      </w:r>
      <w:proofErr w:type="spellEnd"/>
      <w:r w:rsidR="00A2552A" w:rsidRPr="0019527F">
        <w:rPr>
          <w:sz w:val="22"/>
          <w:szCs w:val="22"/>
        </w:rPr>
        <w:t xml:space="preserve"> (</w:t>
      </w:r>
      <w:r w:rsidR="00A2552A" w:rsidRPr="0019527F">
        <w:rPr>
          <w:sz w:val="22"/>
          <w:szCs w:val="22"/>
        </w:rPr>
        <w:footnoteReference w:id="408"/>
      </w:r>
      <w:r w:rsidR="00A2552A" w:rsidRPr="0019527F">
        <w:rPr>
          <w:sz w:val="22"/>
          <w:szCs w:val="22"/>
        </w:rPr>
        <w:t>)</w:t>
      </w:r>
      <w:r>
        <w:rPr>
          <w:sz w:val="22"/>
          <w:szCs w:val="22"/>
        </w:rPr>
        <w:t xml:space="preserve">, a danno della capacità di </w:t>
      </w:r>
      <w:r>
        <w:rPr>
          <w:i/>
          <w:iCs/>
          <w:sz w:val="22"/>
          <w:szCs w:val="22"/>
        </w:rPr>
        <w:t xml:space="preserve">fare squadra </w:t>
      </w:r>
      <w:r>
        <w:rPr>
          <w:sz w:val="22"/>
          <w:szCs w:val="22"/>
        </w:rPr>
        <w:t>, anche per la mancata spiegazione delle aziende come gruppi sociali pluripersonali, che ci accompagna dal capitolo terzo. La suddett</w:t>
      </w:r>
      <w:r w:rsidR="00F80055">
        <w:rPr>
          <w:sz w:val="22"/>
          <w:szCs w:val="22"/>
        </w:rPr>
        <w:t>a tendenza a</w:t>
      </w:r>
      <w:r w:rsidR="00D12AD3">
        <w:rPr>
          <w:sz w:val="22"/>
          <w:szCs w:val="22"/>
        </w:rPr>
        <w:t xml:space="preserve"> improvvisare, mostrando di</w:t>
      </w:r>
      <w:r w:rsidR="00F80055">
        <w:rPr>
          <w:sz w:val="22"/>
          <w:szCs w:val="22"/>
        </w:rPr>
        <w:t xml:space="preserve"> saperla lunga</w:t>
      </w:r>
      <w:r w:rsidR="00D12AD3">
        <w:rPr>
          <w:sz w:val="22"/>
          <w:szCs w:val="22"/>
        </w:rPr>
        <w:t xml:space="preserve">, riemerge </w:t>
      </w:r>
      <w:r>
        <w:rPr>
          <w:sz w:val="22"/>
          <w:szCs w:val="22"/>
        </w:rPr>
        <w:t>incolpando</w:t>
      </w:r>
      <w:r w:rsidR="00F80055">
        <w:rPr>
          <w:sz w:val="22"/>
          <w:szCs w:val="22"/>
        </w:rPr>
        <w:t xml:space="preserve"> degli irrisolti </w:t>
      </w:r>
      <w:r w:rsidR="00A2552A">
        <w:rPr>
          <w:sz w:val="22"/>
          <w:szCs w:val="22"/>
        </w:rPr>
        <w:t>malesser</w:t>
      </w:r>
      <w:r w:rsidR="00F80055">
        <w:rPr>
          <w:sz w:val="22"/>
          <w:szCs w:val="22"/>
        </w:rPr>
        <w:t xml:space="preserve">i </w:t>
      </w:r>
      <w:r w:rsidR="00A2552A">
        <w:rPr>
          <w:bCs/>
          <w:sz w:val="22"/>
          <w:szCs w:val="22"/>
        </w:rPr>
        <w:t xml:space="preserve">immaginifici </w:t>
      </w:r>
      <w:r w:rsidR="00A2552A" w:rsidRPr="007F7EBF">
        <w:rPr>
          <w:sz w:val="22"/>
          <w:szCs w:val="22"/>
        </w:rPr>
        <w:t>capri espiatori</w:t>
      </w:r>
      <w:r w:rsidR="00A2552A">
        <w:rPr>
          <w:sz w:val="22"/>
          <w:szCs w:val="22"/>
        </w:rPr>
        <w:t xml:space="preserve"> (</w:t>
      </w:r>
      <w:r w:rsidR="00A2552A" w:rsidRPr="007F7EBF">
        <w:rPr>
          <w:sz w:val="22"/>
          <w:szCs w:val="22"/>
        </w:rPr>
        <w:footnoteReference w:id="409"/>
      </w:r>
      <w:r w:rsidR="00A2552A">
        <w:rPr>
          <w:sz w:val="22"/>
          <w:szCs w:val="22"/>
        </w:rPr>
        <w:t xml:space="preserve">),. </w:t>
      </w:r>
    </w:p>
    <w:p w14:paraId="13B8D2FA" w14:textId="205E65BB" w:rsidR="008763E4" w:rsidRDefault="00EA4856" w:rsidP="008763E4">
      <w:pPr>
        <w:pStyle w:val="tit23"/>
        <w:ind w:left="6464" w:right="-1361" w:firstLine="0"/>
        <w:jc w:val="left"/>
        <w:rPr>
          <w:bCs/>
          <w:i/>
          <w:iCs/>
          <w:color w:val="0000FF"/>
          <w:lang w:val="it-IT"/>
        </w:rPr>
      </w:pPr>
      <w:r>
        <w:rPr>
          <w:bCs/>
          <w:i/>
          <w:iCs/>
          <w:color w:val="0000FF"/>
          <w:lang w:val="it-IT"/>
        </w:rPr>
        <w:t>Necessità di spiegazioni e danni dell’autoreferenzialità</w:t>
      </w:r>
    </w:p>
    <w:p w14:paraId="52337489" w14:textId="1B0A963F" w:rsidR="001078A7" w:rsidRDefault="00844443" w:rsidP="00EA4856">
      <w:pPr>
        <w:autoSpaceDE w:val="0"/>
        <w:autoSpaceDN w:val="0"/>
        <w:adjustRightInd w:val="0"/>
      </w:pPr>
      <w:r>
        <w:t>Invece di trovare una sintesi, le varie tendenze di opinione sulla funzione tributaria</w:t>
      </w:r>
      <w:r w:rsidR="007A5EB8">
        <w:t xml:space="preserve">, s’intrecciano confusamente tra loro, </w:t>
      </w:r>
      <w:r w:rsidR="00C730F4">
        <w:t>appaiono e scompaiono. E’ un riflesso particolare dell’autoreferenzialità degli studi sociali di cui al paragrafo 1.5 di Studi sociali e diritto citato in premessa. La conseguenza sono le divagazioni e le polemiche di cui ai prossimi paragraf</w:t>
      </w:r>
      <w:r w:rsidR="001078A7">
        <w:t>i</w:t>
      </w:r>
      <w:r w:rsidR="00EA4856">
        <w:t>.</w:t>
      </w:r>
      <w:r w:rsidR="001078A7" w:rsidRPr="001078A7">
        <w:t xml:space="preserve"> </w:t>
      </w:r>
    </w:p>
    <w:p w14:paraId="0032A6A3" w14:textId="322F7416" w:rsidR="001078A7" w:rsidRDefault="001078A7" w:rsidP="00EA4856">
      <w:pPr>
        <w:autoSpaceDE w:val="0"/>
        <w:autoSpaceDN w:val="0"/>
        <w:adjustRightInd w:val="0"/>
      </w:pPr>
    </w:p>
    <w:p w14:paraId="27E3F131" w14:textId="711FA8F2" w:rsidR="00870111" w:rsidRPr="007F7EBF" w:rsidRDefault="001078A7" w:rsidP="00954669">
      <w:pPr>
        <w:pStyle w:val="Titolo3"/>
        <w:rPr>
          <w:rFonts w:ascii="Times New Roman" w:hAnsi="Times New Roman"/>
          <w:bCs w:val="0"/>
          <w:i/>
          <w:iCs/>
          <w:color w:val="0000FF"/>
          <w:sz w:val="22"/>
          <w:szCs w:val="22"/>
        </w:rPr>
      </w:pPr>
      <w:bookmarkStart w:id="50" w:name="_Toc63364966"/>
      <w:r>
        <w:rPr>
          <w:lang w:val="it-IT"/>
        </w:rPr>
        <w:lastRenderedPageBreak/>
        <w:t>4.2 Le reazioni sugli effetti economici delle imposte e la “pressione fiscale”</w:t>
      </w:r>
      <w:bookmarkEnd w:id="50"/>
    </w:p>
    <w:p w14:paraId="6EA8B59C" w14:textId="3E384A8E" w:rsidR="00870111" w:rsidRPr="007F7EBF" w:rsidRDefault="00870111" w:rsidP="00870111">
      <w:pPr>
        <w:pStyle w:val="tit23"/>
        <w:ind w:left="6464" w:right="-1361" w:firstLine="0"/>
        <w:jc w:val="left"/>
        <w:rPr>
          <w:bCs/>
          <w:i/>
          <w:iCs/>
          <w:color w:val="0000FF"/>
          <w:lang w:val="it-IT"/>
        </w:rPr>
      </w:pPr>
      <w:r>
        <w:rPr>
          <w:bCs/>
          <w:i/>
          <w:iCs/>
          <w:color w:val="0000FF"/>
          <w:lang w:val="it-IT"/>
        </w:rPr>
        <w:t>Reazioni economicistiche</w:t>
      </w:r>
    </w:p>
    <w:p w14:paraId="26A2D735" w14:textId="2B833728" w:rsidR="00E3183B" w:rsidRPr="007F7EBF" w:rsidRDefault="001078A7" w:rsidP="00E3183B">
      <w:pPr>
        <w:autoSpaceDE w:val="0"/>
        <w:autoSpaceDN w:val="0"/>
        <w:adjustRightInd w:val="0"/>
        <w:rPr>
          <w:bCs/>
          <w:i/>
          <w:iCs/>
          <w:color w:val="0000FF"/>
          <w:sz w:val="22"/>
          <w:szCs w:val="22"/>
        </w:rPr>
      </w:pPr>
      <w:r>
        <w:t xml:space="preserve">Nella pubblica opinione, una prima reazione alle sperequazioni provocate dalla </w:t>
      </w:r>
      <w:r w:rsidRPr="004940EB">
        <w:t>diversa determinabilità dei presupposti economici d’imposta riguarda le imposte in generale</w:t>
      </w:r>
      <w:r>
        <w:t>. Il dibattito sociale tende cioè confusamente a divagare su</w:t>
      </w:r>
      <w:r w:rsidRPr="004940EB">
        <w:t>l</w:t>
      </w:r>
      <w:r>
        <w:t xml:space="preserve">la destinazione delle imposte, cioè </w:t>
      </w:r>
      <w:r w:rsidRPr="004940EB">
        <w:t>l’efficienza della spesa pubblica"</w:t>
      </w:r>
      <w:r>
        <w:t xml:space="preserve">, da esse finanziata in massima parte. </w:t>
      </w:r>
      <w:r w:rsidRPr="004940EB">
        <w:t>La mancanza di spiegazioni sociali sul tema</w:t>
      </w:r>
      <w:r>
        <w:t xml:space="preserve"> circoscritto della diversa determinabilità dei presupposti economici d’imposta</w:t>
      </w:r>
      <w:r w:rsidRPr="004940EB">
        <w:t xml:space="preserve"> spinge a divagare </w:t>
      </w:r>
      <w:r w:rsidR="00D74BBD">
        <w:t xml:space="preserve">genericamente </w:t>
      </w:r>
      <w:r w:rsidRPr="004940EB">
        <w:t>su temi non pertinenti</w:t>
      </w:r>
      <w:r w:rsidR="00D74BBD">
        <w:t>; è una reazione tipica dello spontaneismo creativo italiano di cui al paragrafo precedente, che si ritiene in dovere di esprimere le proprie soluzioni, soprattutto nella misura in cui non ha capito il problema</w:t>
      </w:r>
      <w:r w:rsidRPr="004940EB">
        <w:t>.</w:t>
      </w:r>
      <w:r w:rsidR="00E3183B">
        <w:rPr>
          <w:sz w:val="22"/>
          <w:szCs w:val="22"/>
        </w:rPr>
        <w:t xml:space="preserve"> </w:t>
      </w:r>
    </w:p>
    <w:p w14:paraId="5026D65B" w14:textId="77777777" w:rsidR="00E3183B" w:rsidRPr="007F7EBF" w:rsidRDefault="00E3183B" w:rsidP="00E3183B">
      <w:pPr>
        <w:pStyle w:val="tit23"/>
        <w:ind w:left="6464" w:right="-1361" w:firstLine="0"/>
        <w:jc w:val="left"/>
        <w:rPr>
          <w:bCs/>
          <w:i/>
          <w:iCs/>
          <w:color w:val="0000FF"/>
          <w:lang w:val="it-IT"/>
        </w:rPr>
      </w:pPr>
      <w:r>
        <w:rPr>
          <w:bCs/>
          <w:i/>
          <w:iCs/>
          <w:color w:val="0000FF"/>
          <w:lang w:val="it-IT"/>
        </w:rPr>
        <w:t>A un problema giuridico-sociale</w:t>
      </w:r>
    </w:p>
    <w:p w14:paraId="18DC5D5E" w14:textId="3B52CF98" w:rsidR="00954669" w:rsidRDefault="008608FC" w:rsidP="00E3183B">
      <w:pPr>
        <w:autoSpaceDE w:val="0"/>
        <w:autoSpaceDN w:val="0"/>
        <w:adjustRightInd w:val="0"/>
        <w:rPr>
          <w:sz w:val="22"/>
          <w:szCs w:val="22"/>
        </w:rPr>
      </w:pPr>
      <w:r>
        <w:rPr>
          <w:sz w:val="22"/>
          <w:szCs w:val="22"/>
        </w:rPr>
        <w:t>R</w:t>
      </w:r>
      <w:r w:rsidR="00954669">
        <w:rPr>
          <w:sz w:val="22"/>
          <w:szCs w:val="22"/>
        </w:rPr>
        <w:t xml:space="preserve">iflessioni di tipo economico </w:t>
      </w:r>
      <w:r>
        <w:rPr>
          <w:sz w:val="22"/>
          <w:szCs w:val="22"/>
        </w:rPr>
        <w:t xml:space="preserve">sono invece fuori luogo davanti a </w:t>
      </w:r>
      <w:r w:rsidR="00954669">
        <w:rPr>
          <w:sz w:val="22"/>
          <w:szCs w:val="22"/>
        </w:rPr>
        <w:t>sperequazio</w:t>
      </w:r>
      <w:r>
        <w:rPr>
          <w:sz w:val="22"/>
          <w:szCs w:val="22"/>
        </w:rPr>
        <w:t>ni</w:t>
      </w:r>
      <w:r w:rsidR="00954669">
        <w:rPr>
          <w:sz w:val="22"/>
          <w:szCs w:val="22"/>
        </w:rPr>
        <w:t xml:space="preserve"> eminentemente giuridic</w:t>
      </w:r>
      <w:r>
        <w:rPr>
          <w:sz w:val="22"/>
          <w:szCs w:val="22"/>
        </w:rPr>
        <w:t>he</w:t>
      </w:r>
      <w:r w:rsidR="00954669">
        <w:rPr>
          <w:sz w:val="22"/>
          <w:szCs w:val="22"/>
        </w:rPr>
        <w:t xml:space="preserve">, </w:t>
      </w:r>
      <w:r>
        <w:rPr>
          <w:sz w:val="22"/>
          <w:szCs w:val="22"/>
        </w:rPr>
        <w:t xml:space="preserve">in quanto la diversa determinabilità della ricchezza interferisce con </w:t>
      </w:r>
      <w:r w:rsidR="00954669">
        <w:rPr>
          <w:sz w:val="22"/>
          <w:szCs w:val="22"/>
        </w:rPr>
        <w:t xml:space="preserve">l’esercizio della funzione </w:t>
      </w:r>
      <w:r>
        <w:rPr>
          <w:sz w:val="22"/>
          <w:szCs w:val="22"/>
        </w:rPr>
        <w:t xml:space="preserve">pubblica </w:t>
      </w:r>
      <w:r w:rsidR="00954669">
        <w:rPr>
          <w:sz w:val="22"/>
          <w:szCs w:val="22"/>
        </w:rPr>
        <w:t>tributaria</w:t>
      </w:r>
      <w:r w:rsidR="00E11BDA">
        <w:rPr>
          <w:sz w:val="22"/>
          <w:szCs w:val="22"/>
        </w:rPr>
        <w:t xml:space="preserve">. Tuttavia la prospettiva giuridica qui rilevante non è tecnico-casistica, ma di studio sociale, come quella economica, ed è quindi utile qualche coordinamento tra </w:t>
      </w:r>
      <w:r w:rsidR="0034353D">
        <w:rPr>
          <w:sz w:val="22"/>
          <w:szCs w:val="22"/>
        </w:rPr>
        <w:t xml:space="preserve">prospettiva economica e giuridica di analisi della tassazione; ciò anche per anticipare rispetto al prossimo paragrafo gli equivoci </w:t>
      </w:r>
      <w:r w:rsidR="00270F2F">
        <w:rPr>
          <w:sz w:val="22"/>
          <w:szCs w:val="22"/>
        </w:rPr>
        <w:t xml:space="preserve">dell’accademia del diritto tributario </w:t>
      </w:r>
      <w:r w:rsidR="0034353D">
        <w:rPr>
          <w:sz w:val="22"/>
          <w:szCs w:val="22"/>
        </w:rPr>
        <w:t>sul c.d. “metodo giuridico”</w:t>
      </w:r>
      <w:r w:rsidR="00D8443B">
        <w:rPr>
          <w:sz w:val="22"/>
          <w:szCs w:val="22"/>
        </w:rPr>
        <w:t>, rispetto all’analisi economica</w:t>
      </w:r>
      <w:r w:rsidR="00E11BDA">
        <w:rPr>
          <w:sz w:val="22"/>
          <w:szCs w:val="22"/>
        </w:rPr>
        <w:t xml:space="preserve">. </w:t>
      </w:r>
    </w:p>
    <w:p w14:paraId="611A81C4" w14:textId="77777777" w:rsidR="008F7F62" w:rsidRPr="007F7EBF" w:rsidRDefault="008F7F62" w:rsidP="008F7F62">
      <w:pPr>
        <w:pStyle w:val="tit23"/>
        <w:ind w:left="6464" w:right="-1361" w:firstLine="0"/>
        <w:jc w:val="left"/>
        <w:rPr>
          <w:bCs/>
          <w:i/>
          <w:iCs/>
          <w:color w:val="0000FF"/>
          <w:lang w:val="it-IT"/>
        </w:rPr>
      </w:pPr>
      <w:r>
        <w:rPr>
          <w:bCs/>
          <w:i/>
          <w:iCs/>
          <w:color w:val="0000FF"/>
          <w:lang w:val="it-IT"/>
        </w:rPr>
        <w:t>Diversità di prospettive</w:t>
      </w:r>
    </w:p>
    <w:p w14:paraId="7770347D" w14:textId="422B1907" w:rsidR="00A2552A" w:rsidRPr="004940EB" w:rsidRDefault="008F7F62" w:rsidP="00ED5F38">
      <w:pPr>
        <w:autoSpaceDE w:val="0"/>
        <w:autoSpaceDN w:val="0"/>
        <w:adjustRightInd w:val="0"/>
        <w:rPr>
          <w:bCs/>
          <w:i/>
          <w:iCs/>
          <w:color w:val="0000FF"/>
        </w:rPr>
      </w:pPr>
      <w:r>
        <w:rPr>
          <w:sz w:val="22"/>
          <w:szCs w:val="22"/>
        </w:rPr>
        <w:t xml:space="preserve">La spesa pubblica, con la discussione sui pregi e i difetti dell’intervento pubblico, finanziato in buona parte con le imposte, è un “dato esogeno”, collocato a monte della funzione tributaria; </w:t>
      </w:r>
      <w:r w:rsidR="00D8443B">
        <w:rPr>
          <w:sz w:val="22"/>
          <w:szCs w:val="22"/>
        </w:rPr>
        <w:t>quest’ultima</w:t>
      </w:r>
      <w:r>
        <w:rPr>
          <w:sz w:val="22"/>
          <w:szCs w:val="22"/>
        </w:rPr>
        <w:t xml:space="preserve"> riguarda infatti la determinazione dei presupposti economici cui sono commisurate le imposte</w:t>
      </w:r>
      <w:r w:rsidR="00D8443B">
        <w:rPr>
          <w:sz w:val="22"/>
          <w:szCs w:val="22"/>
        </w:rPr>
        <w:t xml:space="preserve">. L’intervento pubblico dipende ovviamente dai bisogni pubblici, e da loro variabili contingenti. Il modo in cui vengono soddisfatti tali bisogni potrebbe essere efficiente, a fronte di una funzione tributaria inefficiente, e viceversa, con infinite combinazioni. Ciò in quanto la spesa pubblica non è valutabile nel suo insieme, ma </w:t>
      </w:r>
      <w:r w:rsidR="00D8443B">
        <w:rPr>
          <w:sz w:val="22"/>
          <w:szCs w:val="22"/>
        </w:rPr>
        <w:lastRenderedPageBreak/>
        <w:t xml:space="preserve">dipende dalle spiegazioni sociali sulle sue singole funzioni e dal controllo sociale della pubblica opinione su di esse, come indicato al par.5.3. </w:t>
      </w:r>
    </w:p>
    <w:p w14:paraId="269A8E3B" w14:textId="77777777" w:rsidR="00A2552A" w:rsidRPr="007F7EBF" w:rsidRDefault="00A2552A" w:rsidP="00A2552A">
      <w:pPr>
        <w:pStyle w:val="tit23"/>
        <w:ind w:left="6464" w:right="-1361" w:firstLine="0"/>
        <w:jc w:val="left"/>
        <w:rPr>
          <w:bCs/>
          <w:i/>
          <w:iCs/>
          <w:color w:val="0000FF"/>
          <w:lang w:val="it-IT"/>
        </w:rPr>
      </w:pPr>
      <w:r>
        <w:rPr>
          <w:bCs/>
          <w:i/>
          <w:iCs/>
          <w:color w:val="0000FF"/>
          <w:lang w:val="it-IT"/>
        </w:rPr>
        <w:t>L’intermediazione pubblica e il minor controllo sociale</w:t>
      </w:r>
    </w:p>
    <w:p w14:paraId="124F39CA" w14:textId="189A5D10" w:rsidR="00A2552A" w:rsidRPr="007F7EBF" w:rsidRDefault="00ED5F38" w:rsidP="00ED5F38">
      <w:pPr>
        <w:autoSpaceDE w:val="0"/>
        <w:autoSpaceDN w:val="0"/>
        <w:adjustRightInd w:val="0"/>
        <w:rPr>
          <w:bCs/>
          <w:i/>
          <w:iCs/>
          <w:color w:val="0000FF"/>
          <w:sz w:val="22"/>
          <w:szCs w:val="22"/>
        </w:rPr>
      </w:pPr>
      <w:r>
        <w:rPr>
          <w:sz w:val="22"/>
          <w:szCs w:val="22"/>
        </w:rPr>
        <w:t>Esiste tuttavia un denominatore comune di tutte le funzioni pubbliche, rispetto alla soddisfazione dei bisogni con criteri di mercato, cui non a caso si ispira il principio del beneficio</w:t>
      </w:r>
      <w:r w:rsidR="00B501E6">
        <w:rPr>
          <w:sz w:val="22"/>
          <w:szCs w:val="22"/>
        </w:rPr>
        <w:t xml:space="preserve"> (par.1.2)</w:t>
      </w:r>
      <w:r>
        <w:rPr>
          <w:sz w:val="22"/>
          <w:szCs w:val="22"/>
        </w:rPr>
        <w:t xml:space="preserve">. </w:t>
      </w:r>
      <w:r w:rsidR="006D4EE0">
        <w:rPr>
          <w:sz w:val="22"/>
          <w:szCs w:val="22"/>
        </w:rPr>
        <w:t xml:space="preserve">A parità degli altri fattori, l’intervento pubblico evita il controllo sociale di </w:t>
      </w:r>
      <w:r w:rsidR="00A2552A">
        <w:rPr>
          <w:sz w:val="22"/>
          <w:szCs w:val="22"/>
        </w:rPr>
        <w:t>clienti paganti, che ne valutano l’efficienza</w:t>
      </w:r>
      <w:r w:rsidR="00A2552A">
        <w:rPr>
          <w:bCs/>
          <w:sz w:val="22"/>
          <w:szCs w:val="22"/>
        </w:rPr>
        <w:t xml:space="preserve">; </w:t>
      </w:r>
      <w:r w:rsidR="00B501E6">
        <w:rPr>
          <w:bCs/>
          <w:sz w:val="22"/>
          <w:szCs w:val="22"/>
        </w:rPr>
        <w:t xml:space="preserve">il finanziamento da parte di soggetti diversi dagli utenti indebolisce il controllo sociale di questi ultimi dando luogo a un rapporto trilaterale “intermediato” dallo stato. Lo </w:t>
      </w:r>
      <w:r w:rsidR="00B501E6">
        <w:rPr>
          <w:bCs/>
          <w:i/>
          <w:iCs/>
          <w:sz w:val="22"/>
          <w:szCs w:val="22"/>
        </w:rPr>
        <w:t xml:space="preserve">stato appaltatore </w:t>
      </w:r>
      <w:r w:rsidR="00A2552A">
        <w:rPr>
          <w:bCs/>
          <w:sz w:val="22"/>
          <w:szCs w:val="22"/>
        </w:rPr>
        <w:t xml:space="preserve"> </w:t>
      </w:r>
      <w:r w:rsidR="00B501E6">
        <w:rPr>
          <w:bCs/>
          <w:sz w:val="22"/>
          <w:szCs w:val="22"/>
        </w:rPr>
        <w:t xml:space="preserve">preleva risorse dal settore privato, a debito o con imposte, poi paga fornitori privati per svolgere funzioni pubbliche, con un notevole aumento dei c.d. </w:t>
      </w:r>
      <w:r w:rsidR="00A2552A">
        <w:rPr>
          <w:bCs/>
          <w:sz w:val="22"/>
          <w:szCs w:val="22"/>
        </w:rPr>
        <w:t>“costi transattivi”(</w:t>
      </w:r>
      <w:r w:rsidR="00A2552A">
        <w:rPr>
          <w:bCs/>
          <w:sz w:val="22"/>
          <w:szCs w:val="22"/>
        </w:rPr>
        <w:footnoteReference w:id="410"/>
      </w:r>
      <w:r w:rsidR="00A2552A">
        <w:rPr>
          <w:bCs/>
          <w:sz w:val="22"/>
          <w:szCs w:val="22"/>
        </w:rPr>
        <w:t>)</w:t>
      </w:r>
      <w:r w:rsidR="00B501E6">
        <w:rPr>
          <w:bCs/>
          <w:sz w:val="22"/>
          <w:szCs w:val="22"/>
        </w:rPr>
        <w:t xml:space="preserve"> e minor controllo sociale. Riflessioni di questo tipo </w:t>
      </w:r>
      <w:r w:rsidR="00A2552A">
        <w:rPr>
          <w:bCs/>
          <w:sz w:val="22"/>
          <w:szCs w:val="22"/>
        </w:rPr>
        <w:t>giustifica</w:t>
      </w:r>
      <w:r w:rsidR="00B501E6">
        <w:rPr>
          <w:bCs/>
          <w:sz w:val="22"/>
          <w:szCs w:val="22"/>
        </w:rPr>
        <w:t>no</w:t>
      </w:r>
      <w:r w:rsidR="00A2552A">
        <w:rPr>
          <w:bCs/>
          <w:sz w:val="22"/>
          <w:szCs w:val="22"/>
        </w:rPr>
        <w:t xml:space="preserve"> il </w:t>
      </w:r>
      <w:r w:rsidR="00A2552A" w:rsidRPr="007F7EBF">
        <w:rPr>
          <w:sz w:val="22"/>
          <w:szCs w:val="22"/>
        </w:rPr>
        <w:t>c.d. "principio di sussidiarietà</w:t>
      </w:r>
      <w:r w:rsidR="00B501E6">
        <w:rPr>
          <w:sz w:val="22"/>
          <w:szCs w:val="22"/>
        </w:rPr>
        <w:t>, adottato anche dall’Unione Europea (par.2.6 e volume di economia pubblica citato in premessa) sulla residualità dell’</w:t>
      </w:r>
      <w:r w:rsidR="00A2552A" w:rsidRPr="007F7EBF">
        <w:rPr>
          <w:sz w:val="22"/>
          <w:szCs w:val="22"/>
        </w:rPr>
        <w:t>interven</w:t>
      </w:r>
      <w:r w:rsidR="00B501E6">
        <w:rPr>
          <w:sz w:val="22"/>
          <w:szCs w:val="22"/>
        </w:rPr>
        <w:t>to pubblico, limitandolo a</w:t>
      </w:r>
      <w:r w:rsidR="00A2552A" w:rsidRPr="007F7EBF">
        <w:rPr>
          <w:sz w:val="22"/>
          <w:szCs w:val="22"/>
        </w:rPr>
        <w:t xml:space="preserve"> dove i privati non riescono ad organizzarsi </w:t>
      </w:r>
      <w:r w:rsidR="00A2552A">
        <w:rPr>
          <w:sz w:val="22"/>
          <w:szCs w:val="22"/>
        </w:rPr>
        <w:t>adeguatamente.</w:t>
      </w:r>
      <w:r w:rsidR="00451359">
        <w:rPr>
          <w:sz w:val="22"/>
          <w:szCs w:val="22"/>
        </w:rPr>
        <w:t xml:space="preserve"> Sono questioni che travalicano la funzione tributaria, in quanto attengono alla capacità organizzativa dei pubblici uffici</w:t>
      </w:r>
      <w:r w:rsidR="003F37A1">
        <w:rPr>
          <w:sz w:val="22"/>
          <w:szCs w:val="22"/>
        </w:rPr>
        <w:t xml:space="preserve">. La valutazione di efficienza comparativa tra pubblico e privato non è infatti data una volta per tutte e dipende sia dai compiti da svolgere sia </w:t>
      </w:r>
      <w:r w:rsidR="00451359">
        <w:rPr>
          <w:sz w:val="22"/>
          <w:szCs w:val="22"/>
        </w:rPr>
        <w:t xml:space="preserve">dallo spirito di iniziativa e dal senso di responsabilità </w:t>
      </w:r>
      <w:r w:rsidR="003F37A1">
        <w:rPr>
          <w:sz w:val="22"/>
          <w:szCs w:val="22"/>
        </w:rPr>
        <w:t xml:space="preserve">dei pubblici uffici. Tali profili a loro volta dipendono dalla spiegazione e dal controllo sociale delle funzioni sottostanti, come spiegato in via generale al par.3.7 e seguenti di </w:t>
      </w:r>
      <w:r w:rsidR="003F37A1" w:rsidRPr="003F37A1">
        <w:rPr>
          <w:i/>
          <w:iCs/>
          <w:sz w:val="22"/>
          <w:szCs w:val="22"/>
        </w:rPr>
        <w:t>Studi sociali e diritto</w:t>
      </w:r>
      <w:r w:rsidR="003F37A1">
        <w:rPr>
          <w:sz w:val="22"/>
          <w:szCs w:val="22"/>
        </w:rPr>
        <w:t xml:space="preserve">, citato in premessa. </w:t>
      </w:r>
    </w:p>
    <w:p w14:paraId="0468B162"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c.d. redistribuzione e dinamicità della ricchezza</w:t>
      </w:r>
    </w:p>
    <w:p w14:paraId="3F69BC84" w14:textId="57C96C1C" w:rsidR="00A2552A" w:rsidRPr="007F7EBF" w:rsidRDefault="003F37A1" w:rsidP="00A2552A">
      <w:pPr>
        <w:autoSpaceDE w:val="0"/>
        <w:autoSpaceDN w:val="0"/>
        <w:adjustRightInd w:val="0"/>
        <w:rPr>
          <w:bCs/>
          <w:i/>
          <w:iCs/>
          <w:color w:val="0000FF"/>
          <w:sz w:val="22"/>
          <w:szCs w:val="22"/>
        </w:rPr>
      </w:pPr>
      <w:r>
        <w:rPr>
          <w:sz w:val="22"/>
          <w:szCs w:val="22"/>
        </w:rPr>
        <w:t xml:space="preserve">Le risposte politiche ai problemi di studio sociale giuridico si trovano anche in chi sostiene le imposte con argomenti </w:t>
      </w:r>
      <w:r w:rsidR="00A2552A" w:rsidRPr="0023433E">
        <w:rPr>
          <w:i/>
          <w:sz w:val="22"/>
          <w:szCs w:val="22"/>
        </w:rPr>
        <w:t>redistributiv</w:t>
      </w:r>
      <w:r>
        <w:rPr>
          <w:i/>
          <w:sz w:val="22"/>
          <w:szCs w:val="22"/>
        </w:rPr>
        <w:t xml:space="preserve">i </w:t>
      </w:r>
      <w:r>
        <w:rPr>
          <w:sz w:val="22"/>
          <w:szCs w:val="22"/>
        </w:rPr>
        <w:t xml:space="preserve">, dietro i quali si </w:t>
      </w:r>
      <w:r w:rsidR="00A2552A">
        <w:rPr>
          <w:sz w:val="22"/>
          <w:szCs w:val="22"/>
        </w:rPr>
        <w:t xml:space="preserve">intravedono concezioni preindustriali sulla redistribuzione delle </w:t>
      </w:r>
      <w:r w:rsidR="00A2552A">
        <w:rPr>
          <w:sz w:val="22"/>
          <w:szCs w:val="22"/>
        </w:rPr>
        <w:lastRenderedPageBreak/>
        <w:t xml:space="preserve">terre, come fattore produttivo, mentre il moderno valore aggiunto  (par.1.8) non è </w:t>
      </w:r>
      <w:r w:rsidR="00A2552A">
        <w:rPr>
          <w:bCs/>
          <w:sz w:val="22"/>
          <w:szCs w:val="22"/>
        </w:rPr>
        <w:t xml:space="preserve">un’entità statica da spartire, ma da riprodurre </w:t>
      </w:r>
      <w:r w:rsidR="00A2552A">
        <w:rPr>
          <w:sz w:val="22"/>
          <w:szCs w:val="22"/>
        </w:rPr>
        <w:t>costantemente</w:t>
      </w:r>
      <w:r>
        <w:rPr>
          <w:sz w:val="22"/>
          <w:szCs w:val="22"/>
        </w:rPr>
        <w:t xml:space="preserve">. La redistribuzione evoca tuttavia, in genere senza saperlo, motivazioni profonde di coesione sociale, </w:t>
      </w:r>
      <w:r w:rsidR="00A64DF8">
        <w:rPr>
          <w:sz w:val="22"/>
          <w:szCs w:val="22"/>
        </w:rPr>
        <w:t xml:space="preserve">sulla necessità di una partecipazione diffusa all’attività produttiva e alla ripartizione dei suoi frutti. Intendendo invece superficialmente la </w:t>
      </w:r>
      <w:r w:rsidR="00A2552A">
        <w:rPr>
          <w:sz w:val="22"/>
          <w:szCs w:val="22"/>
        </w:rPr>
        <w:t xml:space="preserve">redistribuzione </w:t>
      </w:r>
      <w:r w:rsidR="00A64DF8">
        <w:rPr>
          <w:sz w:val="22"/>
          <w:szCs w:val="22"/>
        </w:rPr>
        <w:t xml:space="preserve">come impoverimento dei ricchi a vantaggio dei poveri, si dimentica che questi ultimi sono enormemente più numerosi dei primi, col rischio di una disorganizzazione che porta all’uguaglianza nella povertà, ma sono temi estranei alla funzione tributaria, e su cui rinvio al volume di economia pubblica citato in premessa. Lo stesso vale per la riduzione delle imposte, come stimolo alla produzione, che invece ha bisogno di ben altri incentivi, prima di tutto culturali. Essi sono a costo zero, e si basano sulla comprensione del ruolo delle aziende pluripersonali come gruppi sociali, spiegato al capitolo 3 nei suoi incontri con la funzione tributaria, ma valido a sotto tutti i profili negli studi sociali, e da estendere anche ai pubblici uffici, coi distinguo di cui al par.5.3. </w:t>
      </w:r>
    </w:p>
    <w:p w14:paraId="5671EB78"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La pressione fiscale come dato macroeconomico</w:t>
      </w:r>
    </w:p>
    <w:p w14:paraId="6B633A6D" w14:textId="56C06927" w:rsidR="00A2552A" w:rsidRPr="007F7EBF" w:rsidRDefault="00C4431F" w:rsidP="00A2552A">
      <w:pPr>
        <w:autoSpaceDE w:val="0"/>
        <w:autoSpaceDN w:val="0"/>
        <w:adjustRightInd w:val="0"/>
        <w:rPr>
          <w:bCs/>
          <w:i/>
          <w:iCs/>
          <w:color w:val="0000FF"/>
          <w:sz w:val="22"/>
          <w:szCs w:val="22"/>
        </w:rPr>
      </w:pPr>
      <w:r>
        <w:rPr>
          <w:sz w:val="22"/>
          <w:szCs w:val="22"/>
        </w:rPr>
        <w:t xml:space="preserve">Un dato economico da contestualizzare per lo studio sociale della funzione tributaria è invece la c.d. </w:t>
      </w:r>
      <w:r w:rsidR="00A2552A" w:rsidRPr="007F7EBF">
        <w:rPr>
          <w:sz w:val="22"/>
          <w:szCs w:val="22"/>
        </w:rPr>
        <w:t>"</w:t>
      </w:r>
      <w:r w:rsidR="00A2552A" w:rsidRPr="007F7EBF">
        <w:rPr>
          <w:bCs/>
          <w:sz w:val="22"/>
          <w:szCs w:val="22"/>
        </w:rPr>
        <w:t>pressione fiscale"</w:t>
      </w:r>
      <w:r>
        <w:rPr>
          <w:sz w:val="22"/>
          <w:szCs w:val="22"/>
        </w:rPr>
        <w:t xml:space="preserve">. Si tratta di un </w:t>
      </w:r>
      <w:r w:rsidR="00A2552A" w:rsidRPr="007F7EBF">
        <w:rPr>
          <w:bCs/>
          <w:sz w:val="22"/>
          <w:szCs w:val="22"/>
        </w:rPr>
        <w:t xml:space="preserve">rapporto </w:t>
      </w:r>
      <w:r w:rsidR="00A2552A">
        <w:rPr>
          <w:bCs/>
          <w:sz w:val="22"/>
          <w:szCs w:val="22"/>
        </w:rPr>
        <w:t>percentuale</w:t>
      </w:r>
      <w:r w:rsidR="00A2552A" w:rsidRPr="007F7EBF">
        <w:rPr>
          <w:bCs/>
          <w:sz w:val="22"/>
          <w:szCs w:val="22"/>
        </w:rPr>
        <w:t xml:space="preserve"> tra gettito tributario e PIL, </w:t>
      </w:r>
      <w:r w:rsidR="00A2552A">
        <w:rPr>
          <w:bCs/>
          <w:sz w:val="22"/>
          <w:szCs w:val="22"/>
        </w:rPr>
        <w:t xml:space="preserve">oscillante in Italia da anni </w:t>
      </w:r>
      <w:r w:rsidR="00A2552A">
        <w:rPr>
          <w:sz w:val="22"/>
          <w:szCs w:val="22"/>
        </w:rPr>
        <w:t>attorno al 43%. Essa es</w:t>
      </w:r>
      <w:r w:rsidR="00A2552A" w:rsidRPr="007F7EBF">
        <w:rPr>
          <w:sz w:val="22"/>
          <w:szCs w:val="22"/>
        </w:rPr>
        <w:t xml:space="preserve">prime la percentuale di </w:t>
      </w:r>
      <w:r w:rsidR="00A2552A">
        <w:rPr>
          <w:sz w:val="22"/>
          <w:szCs w:val="22"/>
        </w:rPr>
        <w:t>reddito</w:t>
      </w:r>
      <w:r w:rsidR="00A2552A" w:rsidRPr="007F7EBF">
        <w:rPr>
          <w:sz w:val="22"/>
          <w:szCs w:val="22"/>
        </w:rPr>
        <w:t xml:space="preserve"> nazionale assorbita dai tributi, </w:t>
      </w:r>
      <w:r w:rsidR="00A2552A">
        <w:rPr>
          <w:sz w:val="22"/>
          <w:szCs w:val="22"/>
        </w:rPr>
        <w:t xml:space="preserve">cioè </w:t>
      </w:r>
      <w:r w:rsidR="00A2552A" w:rsidRPr="007F7EBF">
        <w:rPr>
          <w:sz w:val="22"/>
          <w:szCs w:val="22"/>
        </w:rPr>
        <w:t>il peso dell'intervento pubblico in economia</w:t>
      </w:r>
      <w:r w:rsidR="00A2552A">
        <w:rPr>
          <w:sz w:val="22"/>
          <w:szCs w:val="22"/>
        </w:rPr>
        <w:t xml:space="preserve">. Essa non indica però </w:t>
      </w:r>
      <w:r w:rsidR="00A2552A" w:rsidRPr="007F7EBF">
        <w:rPr>
          <w:sz w:val="22"/>
          <w:szCs w:val="22"/>
        </w:rPr>
        <w:t xml:space="preserve">la qualità e quantità dei servizi pubblici, che potrebbero essere efficientissimi, anche a fronte di una pressione fiscale alta, generando il consenso sociale per molto tempo </w:t>
      </w:r>
      <w:r w:rsidR="00A2552A">
        <w:rPr>
          <w:sz w:val="22"/>
          <w:szCs w:val="22"/>
        </w:rPr>
        <w:t>esistito i</w:t>
      </w:r>
      <w:r w:rsidR="00A2552A" w:rsidRPr="007F7EBF">
        <w:rPr>
          <w:sz w:val="22"/>
          <w:szCs w:val="22"/>
        </w:rPr>
        <w:t>n molte democrazie nordeuropee</w:t>
      </w:r>
      <w:r w:rsidR="00A2552A">
        <w:rPr>
          <w:sz w:val="22"/>
          <w:szCs w:val="22"/>
        </w:rPr>
        <w:t xml:space="preserve"> del “welfare”</w:t>
      </w:r>
      <w:r w:rsidR="00A2552A" w:rsidRPr="007F7EBF">
        <w:rPr>
          <w:sz w:val="22"/>
          <w:szCs w:val="22"/>
        </w:rPr>
        <w:t xml:space="preserve">. </w:t>
      </w:r>
    </w:p>
    <w:p w14:paraId="58C54DA6" w14:textId="77777777" w:rsidR="00A2552A" w:rsidRPr="007F7EBF" w:rsidRDefault="00A2552A" w:rsidP="00A2552A">
      <w:pPr>
        <w:pStyle w:val="tit23"/>
        <w:ind w:left="6464" w:right="-1361" w:firstLine="0"/>
        <w:jc w:val="left"/>
        <w:rPr>
          <w:bCs/>
          <w:i/>
          <w:iCs/>
          <w:color w:val="0000FF"/>
          <w:lang w:val="it-IT"/>
        </w:rPr>
      </w:pPr>
      <w:r w:rsidRPr="007F7EBF">
        <w:rPr>
          <w:bCs/>
          <w:i/>
          <w:iCs/>
          <w:color w:val="0000FF"/>
          <w:lang w:val="it-IT"/>
        </w:rPr>
        <w:t>Suoi altri limiti informativi</w:t>
      </w:r>
    </w:p>
    <w:p w14:paraId="2440C26E" w14:textId="77777777" w:rsidR="00A2552A" w:rsidRDefault="00A2552A" w:rsidP="00A2552A">
      <w:pPr>
        <w:autoSpaceDE w:val="0"/>
        <w:autoSpaceDN w:val="0"/>
        <w:adjustRightInd w:val="0"/>
        <w:rPr>
          <w:sz w:val="22"/>
          <w:szCs w:val="22"/>
        </w:rPr>
      </w:pPr>
      <w:r w:rsidRPr="007F7EBF">
        <w:rPr>
          <w:sz w:val="22"/>
          <w:szCs w:val="22"/>
        </w:rPr>
        <w:t>La pressione fiscale</w:t>
      </w:r>
      <w:r>
        <w:rPr>
          <w:sz w:val="22"/>
          <w:szCs w:val="22"/>
        </w:rPr>
        <w:t xml:space="preserve">, come dato macroeconomico, </w:t>
      </w:r>
      <w:r w:rsidRPr="007F7EBF">
        <w:rPr>
          <w:sz w:val="22"/>
          <w:szCs w:val="22"/>
        </w:rPr>
        <w:t xml:space="preserve">non ha nulla a che vedere con </w:t>
      </w:r>
      <w:r>
        <w:rPr>
          <w:sz w:val="22"/>
          <w:szCs w:val="22"/>
        </w:rPr>
        <w:t xml:space="preserve">stime </w:t>
      </w:r>
      <w:r w:rsidRPr="007F7EBF">
        <w:rPr>
          <w:sz w:val="22"/>
          <w:szCs w:val="22"/>
        </w:rPr>
        <w:t xml:space="preserve">sul "peso dei tributi" </w:t>
      </w:r>
      <w:r>
        <w:rPr>
          <w:sz w:val="22"/>
          <w:szCs w:val="22"/>
        </w:rPr>
        <w:t xml:space="preserve">su </w:t>
      </w:r>
      <w:r w:rsidRPr="007F7EBF">
        <w:rPr>
          <w:sz w:val="22"/>
          <w:szCs w:val="22"/>
        </w:rPr>
        <w:t xml:space="preserve">una famiglia media, con un certo reddito, certi consumi, un certo assetto patrimoniale. </w:t>
      </w:r>
    </w:p>
    <w:p w14:paraId="523184E0" w14:textId="71329FF6" w:rsidR="00A2552A" w:rsidRPr="007F7EBF" w:rsidRDefault="00A2552A" w:rsidP="00A2552A">
      <w:pPr>
        <w:rPr>
          <w:b/>
          <w:bCs/>
          <w:sz w:val="22"/>
          <w:szCs w:val="22"/>
        </w:rPr>
      </w:pPr>
      <w:r>
        <w:rPr>
          <w:sz w:val="22"/>
          <w:szCs w:val="22"/>
        </w:rPr>
        <w:t>Essa non fornisce poi alcuna</w:t>
      </w:r>
      <w:r w:rsidRPr="007F7EBF">
        <w:rPr>
          <w:sz w:val="22"/>
          <w:szCs w:val="22"/>
        </w:rPr>
        <w:t xml:space="preserve"> informazione sulla c.d. "perequazione" tributaria, cioè la distribuzione del carico tributario tra varie categorie di contribuenti </w:t>
      </w:r>
      <w:r>
        <w:rPr>
          <w:sz w:val="22"/>
          <w:szCs w:val="22"/>
        </w:rPr>
        <w:t>in termini di corretta determinazione degli imponibili</w:t>
      </w:r>
      <w:r w:rsidRPr="007F7EBF">
        <w:rPr>
          <w:sz w:val="22"/>
          <w:szCs w:val="22"/>
        </w:rPr>
        <w:t xml:space="preserve">; anche una pressione fiscale bassa può essere squilibrata a danno di </w:t>
      </w:r>
      <w:r w:rsidRPr="007F7EBF">
        <w:rPr>
          <w:sz w:val="22"/>
          <w:szCs w:val="22"/>
        </w:rPr>
        <w:lastRenderedPageBreak/>
        <w:t>qualcuno, e a favore di altri, mentre una pressione alta può essere ben ripartita.</w:t>
      </w:r>
    </w:p>
    <w:p w14:paraId="37353E7E" w14:textId="1529894B" w:rsidR="00ED517E" w:rsidRPr="007F7EBF" w:rsidRDefault="00D36805" w:rsidP="00FB4799">
      <w:pPr>
        <w:pStyle w:val="Titolo3"/>
        <w:rPr>
          <w:bCs w:val="0"/>
          <w:i/>
          <w:iCs/>
          <w:color w:val="0000FF"/>
          <w:sz w:val="22"/>
          <w:szCs w:val="22"/>
        </w:rPr>
      </w:pPr>
      <w:bookmarkStart w:id="51" w:name="_Toc63364967"/>
      <w:r w:rsidRPr="007F7EBF">
        <w:rPr>
          <w:rFonts w:ascii="Times New Roman" w:hAnsi="Times New Roman"/>
          <w:sz w:val="22"/>
          <w:szCs w:val="22"/>
        </w:rPr>
        <w:t xml:space="preserve">4.3. </w:t>
      </w:r>
      <w:r w:rsidR="007C0753">
        <w:rPr>
          <w:rFonts w:ascii="Times New Roman" w:hAnsi="Times New Roman"/>
          <w:sz w:val="22"/>
          <w:szCs w:val="22"/>
          <w:lang w:val="it-IT"/>
        </w:rPr>
        <w:t>M</w:t>
      </w:r>
      <w:r w:rsidR="00527586">
        <w:rPr>
          <w:rFonts w:ascii="Times New Roman" w:hAnsi="Times New Roman"/>
          <w:sz w:val="22"/>
          <w:szCs w:val="22"/>
          <w:lang w:val="it-IT"/>
        </w:rPr>
        <w:t xml:space="preserve">ancate </w:t>
      </w:r>
      <w:r w:rsidR="009B170A" w:rsidRPr="007F7EBF">
        <w:rPr>
          <w:rFonts w:ascii="Times New Roman" w:hAnsi="Times New Roman"/>
          <w:sz w:val="22"/>
          <w:szCs w:val="22"/>
          <w:lang w:val="it-IT"/>
        </w:rPr>
        <w:t>spiegazion</w:t>
      </w:r>
      <w:r w:rsidR="00527586">
        <w:rPr>
          <w:rFonts w:ascii="Times New Roman" w:hAnsi="Times New Roman"/>
          <w:sz w:val="22"/>
          <w:szCs w:val="22"/>
          <w:lang w:val="it-IT"/>
        </w:rPr>
        <w:t>i</w:t>
      </w:r>
      <w:r w:rsidR="009B170A" w:rsidRPr="007F7EBF">
        <w:rPr>
          <w:rFonts w:ascii="Times New Roman" w:hAnsi="Times New Roman"/>
          <w:sz w:val="22"/>
          <w:szCs w:val="22"/>
          <w:lang w:val="it-IT"/>
        </w:rPr>
        <w:t xml:space="preserve"> </w:t>
      </w:r>
      <w:r w:rsidR="00A41EA0">
        <w:rPr>
          <w:rFonts w:ascii="Times New Roman" w:hAnsi="Times New Roman"/>
          <w:sz w:val="22"/>
          <w:szCs w:val="22"/>
          <w:lang w:val="it-IT"/>
        </w:rPr>
        <w:t xml:space="preserve">sociali </w:t>
      </w:r>
      <w:r w:rsidR="00CF65E9">
        <w:rPr>
          <w:rFonts w:ascii="Times New Roman" w:hAnsi="Times New Roman"/>
          <w:sz w:val="22"/>
          <w:szCs w:val="22"/>
          <w:lang w:val="it-IT"/>
        </w:rPr>
        <w:t xml:space="preserve">della funzione tributaria </w:t>
      </w:r>
      <w:r w:rsidR="007C0753">
        <w:rPr>
          <w:rFonts w:ascii="Times New Roman" w:hAnsi="Times New Roman"/>
          <w:sz w:val="22"/>
          <w:szCs w:val="22"/>
          <w:lang w:val="it-IT"/>
        </w:rPr>
        <w:t>da parte di un’accademia a matrice privatistico-giurisdizionale</w:t>
      </w:r>
      <w:bookmarkEnd w:id="51"/>
    </w:p>
    <w:p w14:paraId="10AB3AA6" w14:textId="192567F1" w:rsidR="00ED517E" w:rsidRPr="007F7EBF" w:rsidRDefault="0032428F" w:rsidP="00ED517E">
      <w:pPr>
        <w:pStyle w:val="tit23"/>
        <w:ind w:left="6464" w:right="-1361" w:firstLine="0"/>
        <w:jc w:val="left"/>
        <w:rPr>
          <w:bCs/>
          <w:i/>
          <w:iCs/>
          <w:color w:val="0000FF"/>
          <w:lang w:val="it-IT"/>
        </w:rPr>
      </w:pPr>
      <w:r>
        <w:rPr>
          <w:bCs/>
          <w:i/>
          <w:iCs/>
          <w:color w:val="0000FF"/>
          <w:lang w:val="it-IT"/>
        </w:rPr>
        <w:t>Spiegazioni scientifico sociali e forme di sapere</w:t>
      </w:r>
      <w:r w:rsidR="000E7DDC">
        <w:rPr>
          <w:bCs/>
          <w:i/>
          <w:iCs/>
          <w:color w:val="0000FF"/>
          <w:lang w:val="it-IT"/>
        </w:rPr>
        <w:t xml:space="preserve"> </w:t>
      </w:r>
      <w:r w:rsidR="00BE4B38" w:rsidRPr="007F7EBF">
        <w:rPr>
          <w:bCs/>
          <w:i/>
          <w:iCs/>
          <w:color w:val="0000FF"/>
          <w:lang w:val="it-IT"/>
        </w:rPr>
        <w:t xml:space="preserve"> </w:t>
      </w:r>
    </w:p>
    <w:p w14:paraId="15C7C7C5" w14:textId="69D87CCB" w:rsidR="00B705B6" w:rsidRPr="007F7EBF" w:rsidRDefault="009B1CBA" w:rsidP="00B705B6">
      <w:pPr>
        <w:pStyle w:val="Testorientro"/>
        <w:ind w:firstLine="0"/>
      </w:pPr>
      <w:r>
        <w:t xml:space="preserve">La diversa determinazione dei presupposti economici d’imposta richiede spiegazioni giuridiche, che però restano spiegazioni sociali, dirette all’opinione pubblica di settore, fatta dagli interessati all’argomento, per molteplici ragioni che travalicano quelle strettamente tecniche. </w:t>
      </w:r>
      <w:proofErr w:type="spellStart"/>
      <w:r>
        <w:t>Benchè</w:t>
      </w:r>
      <w:proofErr w:type="spellEnd"/>
      <w:r>
        <w:t xml:space="preserve"> gli economisti, come indicato al par.4.2, non siano in grado di offrirle, in quanto giuridiche, per elaborarle non basta la prospettiva tecnica del diritto. Quest’ultima deve invece inserirsi negli </w:t>
      </w:r>
      <w:r w:rsidR="001E62AD">
        <w:t xml:space="preserve">studi sociali, </w:t>
      </w:r>
      <w:r w:rsidR="00B705B6">
        <w:t xml:space="preserve">su cui </w:t>
      </w:r>
      <w:r>
        <w:t>rinvio al volume St</w:t>
      </w:r>
      <w:r w:rsidR="00B705B6">
        <w:t>udi sociali e diritto, citato in premessa</w:t>
      </w:r>
      <w:r>
        <w:t>. La tecnica giuridica non basta a fornire queste spiegazioni sociali</w:t>
      </w:r>
      <w:r w:rsidR="003F3645">
        <w:t xml:space="preserve">, in quanto le presuppone, nel senso di averne bisogno essa stessa. La tradizione privatistico giurisdizionale, infatti, che ci accompagna dal par.1.3, nasceva infatti nell’esperienza concreta dei rapporti sociali, delle negoziazioni, delle forme di appartenenza, delle reciproche pretese, dei risarcimenti, delle eredità e via enumerando. Il comparto privatistico-giurisdizionale non richiede insomma spiegazioni sociali in quanto vive immerso in esse, e nelle regole che vi innestano i valori del gruppo, raffinati nella tradizione tecnico giuridica e le regole provenienti dalla politica. A questo contesto si addice la figura tecnica del </w:t>
      </w:r>
      <w:r w:rsidR="00B705B6">
        <w:t>“giurista interprete”</w:t>
      </w:r>
      <w:r w:rsidR="003F3645">
        <w:t>, magari molto raffinato, ma che non si pone il problema delle spiegazioni sociali</w:t>
      </w:r>
      <w:r w:rsidR="00B705B6">
        <w:t xml:space="preserve">. </w:t>
      </w:r>
    </w:p>
    <w:p w14:paraId="38A6B10E" w14:textId="2C479594" w:rsidR="003D4919" w:rsidRPr="00B170A4" w:rsidRDefault="003D4919" w:rsidP="00CD09E7">
      <w:pPr>
        <w:autoSpaceDE w:val="0"/>
        <w:autoSpaceDN w:val="0"/>
        <w:adjustRightInd w:val="0"/>
        <w:rPr>
          <w:sz w:val="22"/>
          <w:szCs w:val="22"/>
        </w:rPr>
      </w:pPr>
    </w:p>
    <w:p w14:paraId="400D104F" w14:textId="4BD23245" w:rsidR="0031613D" w:rsidRPr="007F7EBF" w:rsidRDefault="00716B2A" w:rsidP="007B6670">
      <w:pPr>
        <w:pStyle w:val="tit23"/>
        <w:ind w:left="6464" w:right="-1361" w:firstLine="0"/>
        <w:jc w:val="left"/>
        <w:rPr>
          <w:bCs/>
          <w:i/>
          <w:iCs/>
          <w:color w:val="0000FF"/>
          <w:lang w:val="it-IT"/>
        </w:rPr>
      </w:pPr>
      <w:r>
        <w:rPr>
          <w:bCs/>
          <w:i/>
          <w:iCs/>
          <w:color w:val="0000FF"/>
          <w:lang w:val="it-IT"/>
        </w:rPr>
        <w:t xml:space="preserve"> studi </w:t>
      </w:r>
      <w:r w:rsidR="009752FE">
        <w:rPr>
          <w:bCs/>
          <w:i/>
          <w:iCs/>
          <w:color w:val="0000FF"/>
          <w:lang w:val="it-IT"/>
        </w:rPr>
        <w:t xml:space="preserve">sociali </w:t>
      </w:r>
      <w:r>
        <w:rPr>
          <w:bCs/>
          <w:i/>
          <w:iCs/>
          <w:color w:val="0000FF"/>
          <w:lang w:val="it-IT"/>
        </w:rPr>
        <w:t xml:space="preserve">scienze </w:t>
      </w:r>
      <w:r w:rsidR="009752FE">
        <w:rPr>
          <w:bCs/>
          <w:i/>
          <w:iCs/>
          <w:color w:val="0000FF"/>
          <w:lang w:val="it-IT"/>
        </w:rPr>
        <w:t xml:space="preserve"> </w:t>
      </w:r>
      <w:r w:rsidR="00EB5604" w:rsidRPr="007F7EBF">
        <w:rPr>
          <w:bCs/>
          <w:i/>
          <w:iCs/>
          <w:color w:val="0000FF"/>
          <w:lang w:val="it-IT"/>
        </w:rPr>
        <w:t>fisiche</w:t>
      </w:r>
      <w:r w:rsidR="003B5B53" w:rsidRPr="007F7EBF">
        <w:rPr>
          <w:bCs/>
          <w:i/>
          <w:iCs/>
          <w:color w:val="0000FF"/>
          <w:lang w:val="it-IT"/>
        </w:rPr>
        <w:t xml:space="preserve">  </w:t>
      </w:r>
      <w:r w:rsidR="00B170A4">
        <w:rPr>
          <w:bCs/>
          <w:i/>
          <w:iCs/>
          <w:color w:val="0000FF"/>
          <w:lang w:val="it-IT"/>
        </w:rPr>
        <w:t>e diritto</w:t>
      </w:r>
    </w:p>
    <w:p w14:paraId="150B0560" w14:textId="7486FBE2" w:rsidR="007F124C" w:rsidRPr="000F29D8" w:rsidRDefault="000F29D8" w:rsidP="000F29D8">
      <w:pPr>
        <w:pStyle w:val="Testonotaapidipagina"/>
        <w:rPr>
          <w:sz w:val="24"/>
          <w:szCs w:val="24"/>
        </w:rPr>
      </w:pPr>
      <w:r>
        <w:rPr>
          <w:sz w:val="22"/>
          <w:szCs w:val="22"/>
        </w:rPr>
        <w:t xml:space="preserve">Questi ultimi, dal canto loro si </w:t>
      </w:r>
      <w:r w:rsidRPr="000F29D8">
        <w:rPr>
          <w:sz w:val="24"/>
          <w:szCs w:val="24"/>
        </w:rPr>
        <w:t xml:space="preserve">trovavano </w:t>
      </w:r>
      <w:r w:rsidR="003F3645" w:rsidRPr="000F29D8">
        <w:rPr>
          <w:sz w:val="24"/>
          <w:szCs w:val="24"/>
        </w:rPr>
        <w:t>tra tradizion</w:t>
      </w:r>
      <w:r w:rsidRPr="000F29D8">
        <w:rPr>
          <w:sz w:val="24"/>
          <w:szCs w:val="24"/>
        </w:rPr>
        <w:t>i</w:t>
      </w:r>
      <w:r w:rsidR="003F3645" w:rsidRPr="000F29D8">
        <w:rPr>
          <w:sz w:val="24"/>
          <w:szCs w:val="24"/>
        </w:rPr>
        <w:t xml:space="preserve"> metafisico filosofic</w:t>
      </w:r>
      <w:r w:rsidRPr="000F29D8">
        <w:rPr>
          <w:sz w:val="24"/>
          <w:szCs w:val="24"/>
        </w:rPr>
        <w:t>he</w:t>
      </w:r>
      <w:r w:rsidR="003F3645" w:rsidRPr="000F29D8">
        <w:rPr>
          <w:sz w:val="24"/>
          <w:szCs w:val="24"/>
        </w:rPr>
        <w:t xml:space="preserve">, le scienze della materia e </w:t>
      </w:r>
      <w:r w:rsidRPr="000F29D8">
        <w:rPr>
          <w:sz w:val="24"/>
          <w:szCs w:val="24"/>
        </w:rPr>
        <w:t xml:space="preserve">il fascino di </w:t>
      </w:r>
      <w:r w:rsidR="00611C90" w:rsidRPr="000F29D8">
        <w:rPr>
          <w:sz w:val="24"/>
          <w:szCs w:val="24"/>
        </w:rPr>
        <w:t xml:space="preserve">collegamenti </w:t>
      </w:r>
      <w:r w:rsidR="002534D2" w:rsidRPr="000F29D8">
        <w:rPr>
          <w:sz w:val="24"/>
          <w:szCs w:val="24"/>
        </w:rPr>
        <w:t>socio-antropologic</w:t>
      </w:r>
      <w:r w:rsidRPr="000F29D8">
        <w:rPr>
          <w:sz w:val="24"/>
          <w:szCs w:val="24"/>
        </w:rPr>
        <w:t>i</w:t>
      </w:r>
      <w:r w:rsidR="002534D2" w:rsidRPr="000F29D8">
        <w:rPr>
          <w:sz w:val="24"/>
          <w:szCs w:val="24"/>
        </w:rPr>
        <w:t>, storicistic</w:t>
      </w:r>
      <w:r w:rsidRPr="000F29D8">
        <w:rPr>
          <w:sz w:val="24"/>
          <w:szCs w:val="24"/>
        </w:rPr>
        <w:t xml:space="preserve">i e </w:t>
      </w:r>
      <w:r w:rsidR="002534D2" w:rsidRPr="000F29D8">
        <w:rPr>
          <w:sz w:val="24"/>
          <w:szCs w:val="24"/>
        </w:rPr>
        <w:t>psicologi</w:t>
      </w:r>
      <w:r w:rsidRPr="000F29D8">
        <w:rPr>
          <w:sz w:val="24"/>
          <w:szCs w:val="24"/>
        </w:rPr>
        <w:t xml:space="preserve">stici che </w:t>
      </w:r>
      <w:r w:rsidR="00B170A4" w:rsidRPr="000F29D8">
        <w:rPr>
          <w:sz w:val="24"/>
          <w:szCs w:val="24"/>
        </w:rPr>
        <w:t xml:space="preserve"> </w:t>
      </w:r>
      <w:r w:rsidR="00B170A4" w:rsidRPr="000F29D8">
        <w:rPr>
          <w:i/>
          <w:iCs/>
          <w:sz w:val="24"/>
          <w:szCs w:val="24"/>
        </w:rPr>
        <w:t>spiega</w:t>
      </w:r>
      <w:r w:rsidRPr="000F29D8">
        <w:rPr>
          <w:i/>
          <w:iCs/>
          <w:sz w:val="24"/>
          <w:szCs w:val="24"/>
        </w:rPr>
        <w:t>vano</w:t>
      </w:r>
      <w:r w:rsidR="00B170A4" w:rsidRPr="000F29D8">
        <w:rPr>
          <w:i/>
          <w:iCs/>
          <w:sz w:val="24"/>
          <w:szCs w:val="24"/>
        </w:rPr>
        <w:t xml:space="preserve"> qualcosa </w:t>
      </w:r>
      <w:r w:rsidR="00B170A4" w:rsidRPr="000F29D8">
        <w:rPr>
          <w:sz w:val="24"/>
          <w:szCs w:val="24"/>
        </w:rPr>
        <w:t xml:space="preserve">, </w:t>
      </w:r>
      <w:r w:rsidRPr="000F29D8">
        <w:rPr>
          <w:sz w:val="24"/>
          <w:szCs w:val="24"/>
        </w:rPr>
        <w:t>senza fornire indicazioni metodologiche</w:t>
      </w:r>
      <w:r w:rsidR="002534D2" w:rsidRPr="000F29D8">
        <w:rPr>
          <w:sz w:val="24"/>
          <w:szCs w:val="24"/>
        </w:rPr>
        <w:t xml:space="preserve">. </w:t>
      </w:r>
      <w:r w:rsidRPr="000F29D8">
        <w:rPr>
          <w:sz w:val="24"/>
          <w:szCs w:val="24"/>
        </w:rPr>
        <w:t xml:space="preserve">Era naturale che il diritto valorizzasse la propria matrice tecnica </w:t>
      </w:r>
      <w:r w:rsidR="001D0FAA" w:rsidRPr="000F29D8">
        <w:rPr>
          <w:sz w:val="24"/>
          <w:szCs w:val="24"/>
        </w:rPr>
        <w:t>equiparando</w:t>
      </w:r>
      <w:r w:rsidRPr="000F29D8">
        <w:rPr>
          <w:sz w:val="24"/>
          <w:szCs w:val="24"/>
        </w:rPr>
        <w:t>,</w:t>
      </w:r>
      <w:r w:rsidR="001D0FAA" w:rsidRPr="000F29D8">
        <w:rPr>
          <w:sz w:val="24"/>
          <w:szCs w:val="24"/>
        </w:rPr>
        <w:t xml:space="preserve"> </w:t>
      </w:r>
      <w:r w:rsidR="00431F25" w:rsidRPr="000F29D8">
        <w:rPr>
          <w:sz w:val="24"/>
          <w:szCs w:val="24"/>
        </w:rPr>
        <w:lastRenderedPageBreak/>
        <w:t xml:space="preserve">col positivismo </w:t>
      </w:r>
      <w:r w:rsidR="00431F25" w:rsidRPr="000F29D8">
        <w:rPr>
          <w:rStyle w:val="Rimandonotaapidipagina"/>
          <w:sz w:val="24"/>
          <w:szCs w:val="24"/>
        </w:rPr>
        <w:footnoteReference w:id="411"/>
      </w:r>
      <w:r w:rsidR="00431F25" w:rsidRPr="000F29D8">
        <w:rPr>
          <w:sz w:val="24"/>
          <w:szCs w:val="24"/>
        </w:rPr>
        <w:t xml:space="preserve"> </w:t>
      </w:r>
      <w:r w:rsidRPr="000F29D8">
        <w:rPr>
          <w:sz w:val="24"/>
          <w:szCs w:val="24"/>
        </w:rPr>
        <w:t xml:space="preserve">, </w:t>
      </w:r>
      <w:r w:rsidR="001D0FAA" w:rsidRPr="000F29D8">
        <w:rPr>
          <w:sz w:val="24"/>
          <w:szCs w:val="24"/>
        </w:rPr>
        <w:t>il c.d. “dato normativo”</w:t>
      </w:r>
      <w:r w:rsidR="00431F25" w:rsidRPr="000F29D8">
        <w:rPr>
          <w:sz w:val="24"/>
          <w:szCs w:val="24"/>
        </w:rPr>
        <w:t xml:space="preserve"> a</w:t>
      </w:r>
      <w:r w:rsidRPr="000F29D8">
        <w:rPr>
          <w:sz w:val="24"/>
          <w:szCs w:val="24"/>
        </w:rPr>
        <w:t xml:space="preserve">l dato </w:t>
      </w:r>
      <w:r w:rsidR="00431F25" w:rsidRPr="000F29D8">
        <w:rPr>
          <w:sz w:val="24"/>
          <w:szCs w:val="24"/>
        </w:rPr>
        <w:t xml:space="preserve">naturale. </w:t>
      </w:r>
      <w:r>
        <w:rPr>
          <w:sz w:val="24"/>
          <w:szCs w:val="24"/>
        </w:rPr>
        <w:t xml:space="preserve">Ci si ispirava così alle scienze della materia, mantenendo la tradizione, </w:t>
      </w:r>
      <w:r w:rsidR="00431F25" w:rsidRPr="000F29D8">
        <w:rPr>
          <w:sz w:val="24"/>
          <w:szCs w:val="24"/>
        </w:rPr>
        <w:t xml:space="preserve">soprattutto privatistico-giurisdizionale, </w:t>
      </w:r>
      <w:r>
        <w:rPr>
          <w:sz w:val="24"/>
          <w:szCs w:val="24"/>
        </w:rPr>
        <w:t>del giurista come</w:t>
      </w:r>
      <w:r w:rsidR="00431F25" w:rsidRPr="000F29D8">
        <w:rPr>
          <w:sz w:val="24"/>
          <w:szCs w:val="24"/>
        </w:rPr>
        <w:t xml:space="preserve"> conoscitore di “materiali normativi”; si tratta di </w:t>
      </w:r>
      <w:r w:rsidR="00D61A9D" w:rsidRPr="000F29D8">
        <w:rPr>
          <w:sz w:val="24"/>
          <w:szCs w:val="24"/>
        </w:rPr>
        <w:t>legislazione</w:t>
      </w:r>
      <w:r w:rsidR="001D0FAA" w:rsidRPr="000F29D8">
        <w:rPr>
          <w:sz w:val="24"/>
          <w:szCs w:val="24"/>
        </w:rPr>
        <w:t xml:space="preserve"> </w:t>
      </w:r>
      <w:r w:rsidR="00D61A9D" w:rsidRPr="000F29D8">
        <w:rPr>
          <w:sz w:val="24"/>
          <w:szCs w:val="24"/>
        </w:rPr>
        <w:t>(</w:t>
      </w:r>
      <w:r w:rsidR="00D61A9D" w:rsidRPr="000F29D8">
        <w:rPr>
          <w:rStyle w:val="Rimandonotaapidipagina"/>
          <w:sz w:val="24"/>
          <w:szCs w:val="24"/>
        </w:rPr>
        <w:footnoteReference w:id="412"/>
      </w:r>
      <w:r w:rsidR="00D61A9D" w:rsidRPr="000F29D8">
        <w:rPr>
          <w:sz w:val="24"/>
          <w:szCs w:val="24"/>
        </w:rPr>
        <w:t>),</w:t>
      </w:r>
      <w:r w:rsidR="001D0FAA" w:rsidRPr="000F29D8">
        <w:rPr>
          <w:sz w:val="24"/>
          <w:szCs w:val="24"/>
        </w:rPr>
        <w:t xml:space="preserve"> </w:t>
      </w:r>
      <w:r w:rsidR="00D61A9D" w:rsidRPr="000F29D8">
        <w:rPr>
          <w:sz w:val="24"/>
          <w:szCs w:val="24"/>
        </w:rPr>
        <w:t>sentenze, atti di istituzioni interne e sovranazionali</w:t>
      </w:r>
      <w:r w:rsidR="00C111EB" w:rsidRPr="000F29D8">
        <w:rPr>
          <w:sz w:val="24"/>
          <w:szCs w:val="24"/>
        </w:rPr>
        <w:t xml:space="preserve">. Si pensava così di giungere a </w:t>
      </w:r>
      <w:r w:rsidR="00E9352A" w:rsidRPr="000F29D8">
        <w:rPr>
          <w:sz w:val="24"/>
          <w:szCs w:val="24"/>
        </w:rPr>
        <w:t xml:space="preserve">una </w:t>
      </w:r>
      <w:r w:rsidR="00E9352A" w:rsidRPr="000F29D8">
        <w:rPr>
          <w:i/>
          <w:sz w:val="24"/>
          <w:szCs w:val="24"/>
        </w:rPr>
        <w:t xml:space="preserve">Teoria pura del diritto </w:t>
      </w:r>
      <w:r w:rsidR="00E9352A" w:rsidRPr="000F29D8">
        <w:rPr>
          <w:sz w:val="24"/>
          <w:szCs w:val="24"/>
        </w:rPr>
        <w:t>(</w:t>
      </w:r>
      <w:r w:rsidR="00987182" w:rsidRPr="000F29D8">
        <w:rPr>
          <w:rStyle w:val="Rimandonotaapidipagina"/>
          <w:sz w:val="24"/>
          <w:szCs w:val="24"/>
        </w:rPr>
        <w:footnoteReference w:id="413"/>
      </w:r>
      <w:r w:rsidR="00E9352A" w:rsidRPr="000F29D8">
        <w:rPr>
          <w:sz w:val="24"/>
          <w:szCs w:val="24"/>
        </w:rPr>
        <w:t>)</w:t>
      </w:r>
      <w:r w:rsidR="00C111EB" w:rsidRPr="000F29D8">
        <w:rPr>
          <w:sz w:val="24"/>
          <w:szCs w:val="24"/>
        </w:rPr>
        <w:t xml:space="preserve"> non contaminata da </w:t>
      </w:r>
      <w:r w:rsidR="00987182" w:rsidRPr="000F29D8">
        <w:rPr>
          <w:sz w:val="24"/>
          <w:szCs w:val="24"/>
        </w:rPr>
        <w:t>“credenze”, cioè indimostrabili giudizi di valore</w:t>
      </w:r>
      <w:r w:rsidR="00EE1C31" w:rsidRPr="000F29D8">
        <w:rPr>
          <w:sz w:val="24"/>
          <w:szCs w:val="24"/>
        </w:rPr>
        <w:t>.</w:t>
      </w:r>
    </w:p>
    <w:p w14:paraId="5C481EF0" w14:textId="6F8AA703" w:rsidR="007C3EFD" w:rsidRPr="007F7EBF" w:rsidRDefault="007C3EFD" w:rsidP="007C3EFD">
      <w:pPr>
        <w:pStyle w:val="tit23"/>
        <w:ind w:left="6464" w:right="-1361" w:firstLine="0"/>
        <w:jc w:val="left"/>
        <w:rPr>
          <w:bCs/>
          <w:i/>
          <w:iCs/>
          <w:color w:val="0000FF"/>
          <w:lang w:val="it-IT"/>
        </w:rPr>
      </w:pPr>
      <w:r>
        <w:rPr>
          <w:bCs/>
          <w:i/>
          <w:iCs/>
          <w:color w:val="0000FF"/>
          <w:lang w:val="it-IT"/>
        </w:rPr>
        <w:t>Matrice privatistico giurisdizionale dell’accademia tributaria</w:t>
      </w:r>
    </w:p>
    <w:p w14:paraId="1F21A925" w14:textId="400CF48C" w:rsidR="00F17D51" w:rsidRDefault="000F29D8" w:rsidP="00F859DE">
      <w:pPr>
        <w:pStyle w:val="Testorientro"/>
        <w:ind w:firstLine="0"/>
      </w:pPr>
      <w:r w:rsidRPr="000F29D8">
        <w:rPr>
          <w:sz w:val="24"/>
          <w:szCs w:val="24"/>
        </w:rPr>
        <w:t>In quest’ambiente culturale l</w:t>
      </w:r>
      <w:r w:rsidR="000D12E8" w:rsidRPr="000F29D8">
        <w:rPr>
          <w:sz w:val="24"/>
          <w:szCs w:val="24"/>
        </w:rPr>
        <w:t>’accademia</w:t>
      </w:r>
      <w:r w:rsidR="00295F19" w:rsidRPr="000F29D8">
        <w:rPr>
          <w:sz w:val="24"/>
          <w:szCs w:val="24"/>
        </w:rPr>
        <w:t xml:space="preserve"> del diritto tributario fu avviata da studiosi </w:t>
      </w:r>
      <w:r>
        <w:rPr>
          <w:sz w:val="24"/>
          <w:szCs w:val="24"/>
        </w:rPr>
        <w:t xml:space="preserve">provenienti dalla </w:t>
      </w:r>
      <w:r w:rsidRPr="000F29D8">
        <w:rPr>
          <w:sz w:val="24"/>
          <w:szCs w:val="24"/>
        </w:rPr>
        <w:t xml:space="preserve">procedura civile, </w:t>
      </w:r>
      <w:r>
        <w:rPr>
          <w:sz w:val="24"/>
          <w:szCs w:val="24"/>
        </w:rPr>
        <w:t xml:space="preserve">come </w:t>
      </w:r>
      <w:r w:rsidRPr="000F29D8">
        <w:rPr>
          <w:sz w:val="24"/>
          <w:szCs w:val="24"/>
        </w:rPr>
        <w:t xml:space="preserve">Micheli e </w:t>
      </w:r>
      <w:proofErr w:type="spellStart"/>
      <w:r w:rsidRPr="000F29D8">
        <w:rPr>
          <w:sz w:val="24"/>
          <w:szCs w:val="24"/>
        </w:rPr>
        <w:t>Allorio</w:t>
      </w:r>
      <w:proofErr w:type="spellEnd"/>
      <w:r w:rsidRPr="000F29D8">
        <w:rPr>
          <w:sz w:val="24"/>
          <w:szCs w:val="24"/>
        </w:rPr>
        <w:t xml:space="preserve">, mentre l’impostazione forense è radicata in altri ambienti accademici, come quello facente capo a </w:t>
      </w:r>
      <w:proofErr w:type="spellStart"/>
      <w:r w:rsidRPr="000F29D8">
        <w:rPr>
          <w:sz w:val="24"/>
          <w:szCs w:val="24"/>
        </w:rPr>
        <w:t>Uckmar</w:t>
      </w:r>
      <w:proofErr w:type="spellEnd"/>
      <w:r w:rsidR="007C3EFD" w:rsidRPr="00295F19">
        <w:t xml:space="preserve">. </w:t>
      </w:r>
      <w:r w:rsidR="007C3EFD">
        <w:t>La loro</w:t>
      </w:r>
      <w:r w:rsidR="00F859DE">
        <w:t xml:space="preserve"> condivisibile</w:t>
      </w:r>
      <w:r w:rsidR="007C3EFD">
        <w:t xml:space="preserve"> ricerca di</w:t>
      </w:r>
      <w:r w:rsidR="000D12E8">
        <w:rPr>
          <w:bCs/>
        </w:rPr>
        <w:t xml:space="preserve"> </w:t>
      </w:r>
      <w:r w:rsidR="009756D2">
        <w:t>un “metodo giuridico”</w:t>
      </w:r>
      <w:r w:rsidR="00F859DE">
        <w:t>, rispetto alle impostazioni economicistiche di cui al par.4,2,</w:t>
      </w:r>
      <w:r w:rsidR="009756D2">
        <w:t xml:space="preserve"> </w:t>
      </w:r>
      <w:r w:rsidR="00F859DE">
        <w:t xml:space="preserve">portò </w:t>
      </w:r>
      <w:r w:rsidR="00FF6795">
        <w:t xml:space="preserve">alla spiegazione del diritto tributario </w:t>
      </w:r>
      <w:r w:rsidR="008D10BD">
        <w:t>con</w:t>
      </w:r>
      <w:r w:rsidR="005720C0">
        <w:t xml:space="preserve"> </w:t>
      </w:r>
      <w:r w:rsidR="00DA2081">
        <w:t>i</w:t>
      </w:r>
      <w:r w:rsidR="007F124C">
        <w:t>stituti</w:t>
      </w:r>
      <w:r w:rsidR="004525EE">
        <w:t xml:space="preserve"> </w:t>
      </w:r>
      <w:r w:rsidR="007F124C">
        <w:t>privati</w:t>
      </w:r>
      <w:r w:rsidR="004525EE">
        <w:t>stici</w:t>
      </w:r>
      <w:r w:rsidR="007F124C" w:rsidRPr="007F7EBF">
        <w:t>,</w:t>
      </w:r>
      <w:r w:rsidR="007F124C">
        <w:t xml:space="preserve"> </w:t>
      </w:r>
      <w:r w:rsidR="007F124C" w:rsidRPr="007F7EBF">
        <w:rPr>
          <w:bCs/>
        </w:rPr>
        <w:t>come i</w:t>
      </w:r>
      <w:r w:rsidR="007F124C" w:rsidRPr="007F7EBF">
        <w:t>l</w:t>
      </w:r>
      <w:r w:rsidR="009756D2">
        <w:t xml:space="preserve"> diritto di</w:t>
      </w:r>
      <w:r w:rsidR="007F124C" w:rsidRPr="007F7EBF">
        <w:t xml:space="preserve"> credito (del fisco)</w:t>
      </w:r>
      <w:r w:rsidR="007F124C">
        <w:t xml:space="preserve">, </w:t>
      </w:r>
      <w:r w:rsidR="007F124C" w:rsidRPr="007F7EBF">
        <w:t>il "debito" (del contribuente), il "rapporto giuridico di imposta", la fantomatica "obbligazione tributaria"</w:t>
      </w:r>
      <w:r w:rsidR="007F124C">
        <w:t>(</w:t>
      </w:r>
      <w:r w:rsidR="007F124C" w:rsidRPr="007F7EBF">
        <w:rPr>
          <w:rStyle w:val="Rimandonotaapidipagina"/>
        </w:rPr>
        <w:footnoteReference w:id="414"/>
      </w:r>
      <w:r w:rsidR="007F124C">
        <w:t>)</w:t>
      </w:r>
      <w:r w:rsidR="00F859DE">
        <w:t xml:space="preserve">, </w:t>
      </w:r>
      <w:r w:rsidR="007F124C" w:rsidRPr="007F7EBF">
        <w:t>la natura del processo</w:t>
      </w:r>
      <w:r w:rsidR="0090319C">
        <w:t xml:space="preserve"> </w:t>
      </w:r>
      <w:r w:rsidR="00A0332F">
        <w:t>tributario</w:t>
      </w:r>
      <w:r w:rsidR="00F859DE">
        <w:t xml:space="preserve">. Nella stessa linea si affrontarono temi come </w:t>
      </w:r>
      <w:r w:rsidR="00F859DE" w:rsidRPr="007F7EBF">
        <w:t xml:space="preserve">le dichiarazioni  </w:t>
      </w:r>
      <w:r w:rsidR="00F859DE">
        <w:t xml:space="preserve">fiscali </w:t>
      </w:r>
      <w:r w:rsidR="00F859DE" w:rsidRPr="007F7EBF">
        <w:t>(par.3.4), la sostituzione di imposta (par.3.6), la nullità degli atti impositivi (par.6.1), le circolari interpretative (par.5.4), l’onere della prova (par.6.2)</w:t>
      </w:r>
      <w:r w:rsidR="00F859DE">
        <w:t xml:space="preserve"> nel contenzioso amministrativo e giurisdizionale. </w:t>
      </w:r>
      <w:r w:rsidR="00787205">
        <w:t xml:space="preserve">Dopo l’insuccesso delle suddette spiegazioni globali privatistico giurisdizionali ci si è dispersi sugli innumerevoli dettagli del diritto tributario sostanziale; si parlava di diritto </w:t>
      </w:r>
      <w:r w:rsidR="00787205">
        <w:lastRenderedPageBreak/>
        <w:t xml:space="preserve">tributario dell’impresa, internazionale, della famiglia o dell’ambiente, senza essersi chiariti la funzione tributaria, nel senso di cui al par.1.3. </w:t>
      </w:r>
      <w:r w:rsidR="00F17D51" w:rsidRPr="00295F19">
        <w:t>F</w:t>
      </w:r>
      <w:r w:rsidR="00787205">
        <w:t xml:space="preserve">arlo </w:t>
      </w:r>
      <w:r w:rsidR="00F17D51">
        <w:t xml:space="preserve">poteva </w:t>
      </w:r>
      <w:r w:rsidR="00787205">
        <w:t xml:space="preserve">forse </w:t>
      </w:r>
      <w:r w:rsidR="00F17D51">
        <w:t>apparire non scientifi</w:t>
      </w:r>
      <w:r w:rsidR="00F17D51" w:rsidRPr="00295F19">
        <w:t xml:space="preserve">co o, come si diceva </w:t>
      </w:r>
      <w:r w:rsidR="00F17D51" w:rsidRPr="00295F19">
        <w:rPr>
          <w:i/>
          <w:iCs/>
        </w:rPr>
        <w:t xml:space="preserve">sociologico </w:t>
      </w:r>
      <w:r w:rsidR="00F17D51" w:rsidRPr="00295F19">
        <w:t xml:space="preserve">in quanto “privo di base </w:t>
      </w:r>
      <w:r w:rsidR="00F17D51" w:rsidRPr="000C39AB">
        <w:t>normativa”. Quest’ultima tuttavia non offre spiegazioni sociali, e se queste mancano l’opinione pubblica e il legislatore si confondono, come rilevato al par.2.4. (</w:t>
      </w:r>
      <w:r w:rsidR="00F17D51" w:rsidRPr="000C39AB">
        <w:rPr>
          <w:rStyle w:val="Rimandonotaapidipagina"/>
        </w:rPr>
        <w:footnoteReference w:id="415"/>
      </w:r>
      <w:r w:rsidR="00F17D51" w:rsidRPr="000C39AB">
        <w:t>).</w:t>
      </w:r>
      <w:r w:rsidR="00F17D51">
        <w:t xml:space="preserve"> </w:t>
      </w:r>
    </w:p>
    <w:p w14:paraId="419144D3" w14:textId="090076FE" w:rsidR="00075FAF" w:rsidRPr="00826C60" w:rsidRDefault="00F859DE" w:rsidP="00F859DE">
      <w:pPr>
        <w:pStyle w:val="Testorientro"/>
        <w:ind w:firstLine="0"/>
        <w:rPr>
          <w:bCs/>
          <w:i/>
          <w:iCs/>
          <w:color w:val="0000FF"/>
        </w:rPr>
      </w:pPr>
      <w:r>
        <w:t xml:space="preserve">Fu trascurata la matrice amministrativistica della funzione tributaria, </w:t>
      </w:r>
      <w:r w:rsidR="00A0332F">
        <w:t xml:space="preserve"> </w:t>
      </w:r>
      <w:r>
        <w:t xml:space="preserve">e il suo oggetto economico, inteso come </w:t>
      </w:r>
      <w:r w:rsidR="00A0332F">
        <w:t xml:space="preserve">specificazione giuridica dei </w:t>
      </w:r>
      <w:r>
        <w:t xml:space="preserve">noti </w:t>
      </w:r>
      <w:r w:rsidR="00A0332F">
        <w:t>presupposti d’imposta</w:t>
      </w:r>
      <w:r w:rsidR="00C45A1E">
        <w:t xml:space="preserve">. </w:t>
      </w:r>
      <w:r>
        <w:t>Si ripropose quello che già accadeva per il comparto privatistico giurisdizionale, in bilico tra tecnicismi di dettaglio e divagazioni sociopolitiche</w:t>
      </w:r>
      <w:r>
        <w:rPr>
          <w:rFonts w:ascii="Times New Roman" w:hAnsi="Times New Roman" w:cs="Times New Roman"/>
        </w:rPr>
        <w:t xml:space="preserve"> </w:t>
      </w:r>
      <w:r>
        <w:t xml:space="preserve">sulla “giusta imposta” </w:t>
      </w:r>
      <w:r w:rsidRPr="00826C60">
        <w:t>(</w:t>
      </w:r>
      <w:r w:rsidRPr="00826C60">
        <w:rPr>
          <w:rStyle w:val="Rimandonotaapidipagina"/>
        </w:rPr>
        <w:footnoteReference w:id="416"/>
      </w:r>
      <w:r w:rsidRPr="00826C60">
        <w:t>).</w:t>
      </w:r>
      <w:r w:rsidR="000C39AB">
        <w:t xml:space="preserve"> </w:t>
      </w:r>
    </w:p>
    <w:p w14:paraId="6E293592" w14:textId="2AEDB9FE" w:rsidR="0043690B" w:rsidRPr="007F7EBF" w:rsidRDefault="007A3CA5" w:rsidP="0043690B">
      <w:pPr>
        <w:pStyle w:val="tit23"/>
        <w:ind w:left="6464" w:right="-1361" w:firstLine="0"/>
        <w:jc w:val="left"/>
        <w:rPr>
          <w:bCs/>
          <w:i/>
          <w:iCs/>
          <w:color w:val="0000FF"/>
          <w:lang w:val="it-IT"/>
        </w:rPr>
      </w:pPr>
      <w:r>
        <w:rPr>
          <w:bCs/>
          <w:i/>
          <w:iCs/>
          <w:color w:val="0000FF"/>
          <w:lang w:val="it-IT"/>
        </w:rPr>
        <w:t xml:space="preserve">la </w:t>
      </w:r>
      <w:r w:rsidR="00EF7CF3">
        <w:rPr>
          <w:bCs/>
          <w:i/>
          <w:iCs/>
          <w:color w:val="0000FF"/>
          <w:lang w:val="it-IT"/>
        </w:rPr>
        <w:t xml:space="preserve"> </w:t>
      </w:r>
      <w:r w:rsidR="00A01D30">
        <w:rPr>
          <w:bCs/>
          <w:i/>
          <w:iCs/>
          <w:color w:val="0000FF"/>
          <w:lang w:val="it-IT"/>
        </w:rPr>
        <w:t>“</w:t>
      </w:r>
      <w:r w:rsidR="0043690B" w:rsidRPr="007F7EBF">
        <w:rPr>
          <w:bCs/>
          <w:i/>
          <w:iCs/>
          <w:color w:val="0000FF"/>
          <w:lang w:val="it-IT"/>
        </w:rPr>
        <w:t>scientificità esteriore</w:t>
      </w:r>
      <w:r w:rsidR="00A01D30">
        <w:rPr>
          <w:bCs/>
          <w:i/>
          <w:iCs/>
          <w:color w:val="0000FF"/>
          <w:lang w:val="it-IT"/>
        </w:rPr>
        <w:t>”</w:t>
      </w:r>
    </w:p>
    <w:p w14:paraId="2D029D68" w14:textId="568239CC" w:rsidR="005E480A" w:rsidRDefault="002009E2" w:rsidP="0046444A">
      <w:pPr>
        <w:autoSpaceDE w:val="0"/>
        <w:autoSpaceDN w:val="0"/>
        <w:adjustRightInd w:val="0"/>
      </w:pPr>
      <w:r>
        <w:t>Le</w:t>
      </w:r>
      <w:r w:rsidR="0034071A">
        <w:t xml:space="preserve"> spiegazioni </w:t>
      </w:r>
      <w:r>
        <w:t xml:space="preserve">sociali della funzione tributaria avevano bisogno di una </w:t>
      </w:r>
      <w:r w:rsidR="0034071A">
        <w:t>sensibilità tecnic</w:t>
      </w:r>
      <w:r>
        <w:t>o-giuridica</w:t>
      </w:r>
      <w:r w:rsidR="0034071A">
        <w:t>,</w:t>
      </w:r>
      <w:r>
        <w:t xml:space="preserve"> di cui gli economisti e altri erano come detto privi, ma </w:t>
      </w:r>
      <w:r w:rsidR="00787205">
        <w:t xml:space="preserve">anche </w:t>
      </w:r>
      <w:r>
        <w:t xml:space="preserve">di una prospettiva di studi sociali. In quest’ultima i giuristi avrebbero dovuto riposizionarsi, rivolgendosi </w:t>
      </w:r>
      <w:r w:rsidR="0034071A">
        <w:t xml:space="preserve">a interlocutori </w:t>
      </w:r>
      <w:r>
        <w:t xml:space="preserve">privi di problemi tecnici e spesso addirittura </w:t>
      </w:r>
      <w:r w:rsidR="0034071A" w:rsidRPr="0034071A">
        <w:rPr>
          <w:i/>
          <w:iCs/>
        </w:rPr>
        <w:t>non tecnici</w:t>
      </w:r>
      <w:r>
        <w:t xml:space="preserve">, </w:t>
      </w:r>
      <w:r w:rsidR="00E458B8">
        <w:t xml:space="preserve">con </w:t>
      </w:r>
      <w:r>
        <w:t xml:space="preserve">desideri </w:t>
      </w:r>
      <w:r w:rsidR="0034071A">
        <w:t>conoscitiv</w:t>
      </w:r>
      <w:r>
        <w:t>i</w:t>
      </w:r>
      <w:r w:rsidR="00E458B8">
        <w:t>,</w:t>
      </w:r>
      <w:r>
        <w:t xml:space="preserve"> non </w:t>
      </w:r>
      <w:r w:rsidR="00E458B8">
        <w:t>di soluzione di problemi pratici</w:t>
      </w:r>
      <w:r w:rsidR="0034071A">
        <w:t xml:space="preserve">. </w:t>
      </w:r>
      <w:r w:rsidR="005E480A">
        <w:t>E’ mancato semplicemente questo rovesciamento di prospettiva, col bagaglio tecnico del giurista finalizzato a costruire spiegazioni sociali, senza cadere nella politica. La metodologia privatistico giurisdizionale, la più</w:t>
      </w:r>
    </w:p>
    <w:p w14:paraId="321F387F" w14:textId="5690F5DC" w:rsidR="00F70D55" w:rsidRDefault="005E480A" w:rsidP="009D3FAA">
      <w:pPr>
        <w:rPr>
          <w:sz w:val="22"/>
          <w:szCs w:val="22"/>
        </w:rPr>
      </w:pPr>
      <w:r>
        <w:lastRenderedPageBreak/>
        <w:t xml:space="preserve"> distante dalla prospettiva di studio sociale, ha </w:t>
      </w:r>
      <w:r w:rsidR="00D77CEE">
        <w:rPr>
          <w:sz w:val="22"/>
          <w:szCs w:val="22"/>
        </w:rPr>
        <w:t>continua</w:t>
      </w:r>
      <w:r>
        <w:rPr>
          <w:sz w:val="22"/>
          <w:szCs w:val="22"/>
        </w:rPr>
        <w:t>to</w:t>
      </w:r>
      <w:r w:rsidR="00D77CEE">
        <w:rPr>
          <w:sz w:val="22"/>
          <w:szCs w:val="22"/>
        </w:rPr>
        <w:t xml:space="preserve"> a</w:t>
      </w:r>
      <w:r w:rsidR="00DF0E26">
        <w:rPr>
          <w:sz w:val="22"/>
          <w:szCs w:val="22"/>
        </w:rPr>
        <w:t xml:space="preserve"> postulare</w:t>
      </w:r>
      <w:r w:rsidR="00D77CEE">
        <w:rPr>
          <w:sz w:val="22"/>
          <w:szCs w:val="22"/>
        </w:rPr>
        <w:t xml:space="preserve"> </w:t>
      </w:r>
      <w:r w:rsidR="00D07AF7">
        <w:rPr>
          <w:sz w:val="22"/>
          <w:szCs w:val="22"/>
        </w:rPr>
        <w:t>ipotetici</w:t>
      </w:r>
      <w:r w:rsidR="004830A1">
        <w:rPr>
          <w:sz w:val="22"/>
          <w:szCs w:val="22"/>
        </w:rPr>
        <w:t xml:space="preserve"> </w:t>
      </w:r>
      <w:r w:rsidR="00F70D55">
        <w:rPr>
          <w:sz w:val="22"/>
          <w:szCs w:val="22"/>
        </w:rPr>
        <w:t>significati reconditi</w:t>
      </w:r>
      <w:r w:rsidR="00586A62">
        <w:rPr>
          <w:sz w:val="22"/>
          <w:szCs w:val="22"/>
        </w:rPr>
        <w:t xml:space="preserve"> </w:t>
      </w:r>
      <w:r w:rsidR="00D07AF7">
        <w:rPr>
          <w:sz w:val="22"/>
          <w:szCs w:val="22"/>
        </w:rPr>
        <w:t>d</w:t>
      </w:r>
      <w:r w:rsidR="004830A1">
        <w:rPr>
          <w:sz w:val="22"/>
          <w:szCs w:val="22"/>
        </w:rPr>
        <w:t>el “dato normativo”</w:t>
      </w:r>
      <w:r w:rsidR="00DF0E26">
        <w:rPr>
          <w:sz w:val="22"/>
          <w:szCs w:val="22"/>
        </w:rPr>
        <w:t xml:space="preserve">; non si è preso atto di quanto esso di frequente fosse oscuro anche a chi l’aveva redatto, e che l’ambiguità fosse un modo di gestire la confusione e le aspettative sociali su un intervento legislativo, come indicato al par.2.4.  </w:t>
      </w:r>
      <w:r w:rsidR="009D3FAA">
        <w:rPr>
          <w:sz w:val="22"/>
          <w:szCs w:val="22"/>
        </w:rPr>
        <w:t xml:space="preserve">La teoria del significato oggettivo delle leggi e delle sentenze, a prescindere dalle intenzioni dei redattori, va estesa fino ad accettare l’idea che esse siano discorsi in tutto o in parte dovuti solo al disorientamento e alla necessità ambientale di prendere una qualche posizione. La prosa giuridica tende così ad esprimersi per riferimenti, interpolati con </w:t>
      </w:r>
      <w:r w:rsidR="00D77CEE">
        <w:rPr>
          <w:sz w:val="22"/>
          <w:szCs w:val="22"/>
        </w:rPr>
        <w:t>retroscena</w:t>
      </w:r>
      <w:r w:rsidR="006D5F52">
        <w:rPr>
          <w:sz w:val="22"/>
          <w:szCs w:val="22"/>
        </w:rPr>
        <w:t xml:space="preserve"> </w:t>
      </w:r>
      <w:r w:rsidR="006D5F52" w:rsidRPr="007F7EBF">
        <w:rPr>
          <w:sz w:val="22"/>
          <w:szCs w:val="22"/>
        </w:rPr>
        <w:t>economico-politico-sociali</w:t>
      </w:r>
      <w:r>
        <w:rPr>
          <w:sz w:val="22"/>
          <w:szCs w:val="22"/>
        </w:rPr>
        <w:t>,</w:t>
      </w:r>
      <w:r w:rsidR="00586A62">
        <w:rPr>
          <w:sz w:val="22"/>
          <w:szCs w:val="22"/>
        </w:rPr>
        <w:t xml:space="preserve"> erudi</w:t>
      </w:r>
      <w:r w:rsidR="00D77CEE">
        <w:rPr>
          <w:sz w:val="22"/>
          <w:szCs w:val="22"/>
        </w:rPr>
        <w:t xml:space="preserve">ti riferimenti </w:t>
      </w:r>
      <w:r w:rsidR="004830A1">
        <w:rPr>
          <w:sz w:val="22"/>
          <w:szCs w:val="22"/>
        </w:rPr>
        <w:t>storico-dottrinal</w:t>
      </w:r>
      <w:r w:rsidR="00D77CEE">
        <w:rPr>
          <w:sz w:val="22"/>
          <w:szCs w:val="22"/>
        </w:rPr>
        <w:t>i</w:t>
      </w:r>
      <w:r w:rsidR="00586A62">
        <w:rPr>
          <w:sz w:val="22"/>
          <w:szCs w:val="22"/>
        </w:rPr>
        <w:t xml:space="preserve">, </w:t>
      </w:r>
      <w:r w:rsidR="00F70D55">
        <w:rPr>
          <w:sz w:val="22"/>
          <w:szCs w:val="22"/>
        </w:rPr>
        <w:t xml:space="preserve">anticipazioni scaramantiche di </w:t>
      </w:r>
      <w:r>
        <w:rPr>
          <w:sz w:val="22"/>
          <w:szCs w:val="22"/>
        </w:rPr>
        <w:t>possibili</w:t>
      </w:r>
      <w:r w:rsidR="00F70D55">
        <w:rPr>
          <w:sz w:val="22"/>
          <w:szCs w:val="22"/>
        </w:rPr>
        <w:t xml:space="preserve"> obiezioni, persino </w:t>
      </w:r>
      <w:r w:rsidR="00D77CEE">
        <w:rPr>
          <w:sz w:val="22"/>
          <w:szCs w:val="22"/>
        </w:rPr>
        <w:t xml:space="preserve">con </w:t>
      </w:r>
      <w:r w:rsidR="00F70D55">
        <w:rPr>
          <w:sz w:val="22"/>
          <w:szCs w:val="22"/>
        </w:rPr>
        <w:t>occasionali ammiccamenti al</w:t>
      </w:r>
      <w:r w:rsidR="00F70D55" w:rsidRPr="007F7EBF">
        <w:rPr>
          <w:sz w:val="22"/>
          <w:szCs w:val="22"/>
        </w:rPr>
        <w:t xml:space="preserve"> </w:t>
      </w:r>
      <w:r w:rsidR="004830A1">
        <w:rPr>
          <w:sz w:val="22"/>
          <w:szCs w:val="22"/>
        </w:rPr>
        <w:t>senso</w:t>
      </w:r>
      <w:r w:rsidR="00F70D55" w:rsidRPr="007F7EBF">
        <w:rPr>
          <w:sz w:val="22"/>
          <w:szCs w:val="22"/>
        </w:rPr>
        <w:t xml:space="preserve"> comune</w:t>
      </w:r>
      <w:r w:rsidR="00F70D55">
        <w:rPr>
          <w:sz w:val="22"/>
          <w:szCs w:val="22"/>
        </w:rPr>
        <w:t xml:space="preserve"> (</w:t>
      </w:r>
      <w:r w:rsidR="00F70D55" w:rsidRPr="007F7EBF">
        <w:rPr>
          <w:rStyle w:val="Rimandonotaapidipagina"/>
          <w:sz w:val="22"/>
          <w:szCs w:val="22"/>
        </w:rPr>
        <w:footnoteReference w:id="417"/>
      </w:r>
      <w:r w:rsidR="00F70D55">
        <w:rPr>
          <w:sz w:val="22"/>
          <w:szCs w:val="22"/>
        </w:rPr>
        <w:t>).</w:t>
      </w:r>
      <w:r w:rsidR="003C14C3">
        <w:rPr>
          <w:sz w:val="22"/>
          <w:szCs w:val="22"/>
        </w:rPr>
        <w:t xml:space="preserve"> </w:t>
      </w:r>
      <w:r w:rsidR="004830A1">
        <w:rPr>
          <w:sz w:val="22"/>
          <w:szCs w:val="22"/>
        </w:rPr>
        <w:t xml:space="preserve"> </w:t>
      </w:r>
      <w:r w:rsidR="009D3FAA">
        <w:t>Questi</w:t>
      </w:r>
      <w:r w:rsidR="00D77CEE">
        <w:rPr>
          <w:sz w:val="22"/>
          <w:szCs w:val="22"/>
        </w:rPr>
        <w:t xml:space="preserve"> </w:t>
      </w:r>
      <w:r w:rsidR="009D3FAA">
        <w:rPr>
          <w:sz w:val="22"/>
          <w:szCs w:val="22"/>
        </w:rPr>
        <w:t xml:space="preserve">discorsi </w:t>
      </w:r>
      <w:r w:rsidR="00E56B6E">
        <w:rPr>
          <w:sz w:val="22"/>
          <w:szCs w:val="22"/>
        </w:rPr>
        <w:t xml:space="preserve">vagamente in tema, </w:t>
      </w:r>
      <w:r w:rsidR="009D3FAA">
        <w:rPr>
          <w:sz w:val="22"/>
          <w:szCs w:val="22"/>
        </w:rPr>
        <w:t xml:space="preserve">ma senza reale filo logico, </w:t>
      </w:r>
      <w:r w:rsidR="00E56B6E">
        <w:rPr>
          <w:sz w:val="22"/>
          <w:szCs w:val="22"/>
        </w:rPr>
        <w:t>il cui senso pian piano sfugge fino a svanire del tutto</w:t>
      </w:r>
      <w:r w:rsidR="009D3FAA">
        <w:rPr>
          <w:sz w:val="22"/>
          <w:szCs w:val="22"/>
        </w:rPr>
        <w:t xml:space="preserve">, possono definirsi scientificità esteriore; si tratta di quello che resta del diritto come tecnica quando manca una spiegazione sociale della funzione pubblica sottostante. Si perde così la socialità del discorso riaffermando </w:t>
      </w:r>
      <w:r w:rsidR="009D3FAA">
        <w:t xml:space="preserve">l’avvocatesco aforisma </w:t>
      </w:r>
      <w:r w:rsidR="009D3FAA">
        <w:rPr>
          <w:sz w:val="22"/>
          <w:szCs w:val="22"/>
        </w:rPr>
        <w:t xml:space="preserve">“se non puoi convincerli, confondili” </w:t>
      </w:r>
      <w:r w:rsidR="00E56B6E">
        <w:rPr>
          <w:sz w:val="22"/>
          <w:szCs w:val="22"/>
        </w:rPr>
        <w:t>(</w:t>
      </w:r>
      <w:r w:rsidR="00E56B6E" w:rsidRPr="007F7EBF">
        <w:rPr>
          <w:rStyle w:val="Rimandonotaapidipagina"/>
          <w:sz w:val="22"/>
          <w:szCs w:val="22"/>
        </w:rPr>
        <w:footnoteReference w:id="418"/>
      </w:r>
      <w:r w:rsidR="00E56B6E">
        <w:rPr>
          <w:sz w:val="22"/>
          <w:szCs w:val="22"/>
        </w:rPr>
        <w:t>)</w:t>
      </w:r>
      <w:r>
        <w:rPr>
          <w:sz w:val="22"/>
          <w:szCs w:val="22"/>
        </w:rPr>
        <w:t xml:space="preserve">. </w:t>
      </w:r>
      <w:r w:rsidR="00E56B6E">
        <w:rPr>
          <w:sz w:val="22"/>
          <w:szCs w:val="22"/>
        </w:rPr>
        <w:t xml:space="preserve">  </w:t>
      </w:r>
    </w:p>
    <w:p w14:paraId="18AC4165" w14:textId="3E55E3E2" w:rsidR="00E33DC2" w:rsidRPr="007F7EBF" w:rsidRDefault="00190A26" w:rsidP="00E33DC2">
      <w:pPr>
        <w:pStyle w:val="tit23"/>
        <w:ind w:left="6464" w:right="-1361" w:firstLine="0"/>
        <w:jc w:val="left"/>
        <w:rPr>
          <w:bCs/>
          <w:i/>
          <w:iCs/>
          <w:color w:val="0000FF"/>
          <w:lang w:val="it-IT"/>
        </w:rPr>
      </w:pPr>
      <w:r>
        <w:rPr>
          <w:bCs/>
          <w:i/>
          <w:iCs/>
          <w:color w:val="0000FF"/>
          <w:lang w:val="it-IT"/>
        </w:rPr>
        <w:t xml:space="preserve">Impossibilità di </w:t>
      </w:r>
      <w:r w:rsidR="00E33DC2" w:rsidRPr="007F7EBF">
        <w:rPr>
          <w:bCs/>
          <w:i/>
          <w:iCs/>
          <w:color w:val="0000FF"/>
          <w:lang w:val="it-IT"/>
        </w:rPr>
        <w:t>criti</w:t>
      </w:r>
      <w:r>
        <w:rPr>
          <w:bCs/>
          <w:i/>
          <w:iCs/>
          <w:color w:val="0000FF"/>
          <w:lang w:val="it-IT"/>
        </w:rPr>
        <w:t>ca</w:t>
      </w:r>
    </w:p>
    <w:p w14:paraId="52F19B2D" w14:textId="11207D0B" w:rsidR="00063562" w:rsidRPr="007F7EBF" w:rsidRDefault="00047AEE" w:rsidP="002665D4">
      <w:r>
        <w:rPr>
          <w:sz w:val="22"/>
          <w:szCs w:val="22"/>
        </w:rPr>
        <w:t xml:space="preserve">La loro estraneità </w:t>
      </w:r>
      <w:r w:rsidR="005E480A">
        <w:rPr>
          <w:sz w:val="22"/>
          <w:szCs w:val="22"/>
        </w:rPr>
        <w:t>a</w:t>
      </w:r>
      <w:r w:rsidR="00C372EE">
        <w:t xml:space="preserve">lle categorie logiche del vero e del falso, </w:t>
      </w:r>
      <w:r>
        <w:t xml:space="preserve">impedisce di </w:t>
      </w:r>
      <w:r w:rsidR="00C372EE">
        <w:rPr>
          <w:sz w:val="22"/>
          <w:szCs w:val="22"/>
        </w:rPr>
        <w:t>valutar</w:t>
      </w:r>
      <w:r>
        <w:rPr>
          <w:sz w:val="22"/>
          <w:szCs w:val="22"/>
        </w:rPr>
        <w:t>l</w:t>
      </w:r>
      <w:r w:rsidR="00C372EE">
        <w:rPr>
          <w:sz w:val="22"/>
          <w:szCs w:val="22"/>
        </w:rPr>
        <w:t>e nel merito (</w:t>
      </w:r>
      <w:r w:rsidR="00C372EE">
        <w:rPr>
          <w:rStyle w:val="Rimandonotaapidipagina"/>
          <w:sz w:val="22"/>
          <w:szCs w:val="22"/>
        </w:rPr>
        <w:footnoteReference w:id="419"/>
      </w:r>
      <w:r w:rsidR="00C372EE">
        <w:rPr>
          <w:sz w:val="22"/>
          <w:szCs w:val="22"/>
        </w:rPr>
        <w:t>)</w:t>
      </w:r>
      <w:r>
        <w:rPr>
          <w:sz w:val="22"/>
          <w:szCs w:val="22"/>
        </w:rPr>
        <w:t xml:space="preserve"> </w:t>
      </w:r>
      <w:r w:rsidR="00B7596E">
        <w:rPr>
          <w:sz w:val="22"/>
          <w:szCs w:val="22"/>
        </w:rPr>
        <w:t xml:space="preserve">e </w:t>
      </w:r>
      <w:r>
        <w:rPr>
          <w:sz w:val="22"/>
          <w:szCs w:val="22"/>
        </w:rPr>
        <w:t xml:space="preserve">mette in difficoltà </w:t>
      </w:r>
      <w:r>
        <w:rPr>
          <w:sz w:val="22"/>
          <w:szCs w:val="22"/>
        </w:rPr>
        <w:lastRenderedPageBreak/>
        <w:t xml:space="preserve">l’interlocutore se </w:t>
      </w:r>
      <w:r w:rsidR="00B7596E">
        <w:rPr>
          <w:sz w:val="22"/>
          <w:szCs w:val="22"/>
        </w:rPr>
        <w:t xml:space="preserve">l’autore </w:t>
      </w:r>
      <w:r w:rsidR="001A57C2">
        <w:rPr>
          <w:sz w:val="22"/>
          <w:szCs w:val="22"/>
        </w:rPr>
        <w:t xml:space="preserve">ha un minimo di </w:t>
      </w:r>
      <w:r w:rsidR="00C71E10">
        <w:rPr>
          <w:sz w:val="22"/>
          <w:szCs w:val="22"/>
        </w:rPr>
        <w:t>accreditamento</w:t>
      </w:r>
      <w:r w:rsidR="00A82EBB">
        <w:rPr>
          <w:sz w:val="22"/>
          <w:szCs w:val="22"/>
        </w:rPr>
        <w:t xml:space="preserve"> accademico, pro</w:t>
      </w:r>
      <w:r w:rsidR="001A57C2">
        <w:rPr>
          <w:sz w:val="22"/>
          <w:szCs w:val="22"/>
        </w:rPr>
        <w:t xml:space="preserve">fessionale o </w:t>
      </w:r>
      <w:r w:rsidR="00A82EBB">
        <w:rPr>
          <w:sz w:val="22"/>
          <w:szCs w:val="22"/>
        </w:rPr>
        <w:t>editoriale</w:t>
      </w:r>
      <w:r>
        <w:rPr>
          <w:sz w:val="22"/>
          <w:szCs w:val="22"/>
        </w:rPr>
        <w:t>. In tali casi a</w:t>
      </w:r>
      <w:r w:rsidR="00A9786E">
        <w:rPr>
          <w:sz w:val="22"/>
          <w:szCs w:val="22"/>
        </w:rPr>
        <w:t>ffermare l</w:t>
      </w:r>
      <w:r>
        <w:rPr>
          <w:sz w:val="22"/>
          <w:szCs w:val="22"/>
        </w:rPr>
        <w:t xml:space="preserve">’inconsistenza del discorso </w:t>
      </w:r>
      <w:r w:rsidR="002665D4">
        <w:rPr>
          <w:sz w:val="22"/>
          <w:szCs w:val="22"/>
        </w:rPr>
        <w:t xml:space="preserve">espone all’accusa di non averne capito </w:t>
      </w:r>
      <w:r w:rsidR="0083647E">
        <w:rPr>
          <w:sz w:val="22"/>
          <w:szCs w:val="22"/>
        </w:rPr>
        <w:t>un ipotetico</w:t>
      </w:r>
      <w:r w:rsidR="002665D4">
        <w:rPr>
          <w:sz w:val="22"/>
          <w:szCs w:val="22"/>
        </w:rPr>
        <w:t xml:space="preserve"> senso profondo</w:t>
      </w:r>
      <w:r w:rsidR="00A9786E">
        <w:rPr>
          <w:sz w:val="22"/>
          <w:szCs w:val="22"/>
        </w:rPr>
        <w:t xml:space="preserve">, con </w:t>
      </w:r>
      <w:r w:rsidR="002665D4">
        <w:rPr>
          <w:sz w:val="22"/>
          <w:szCs w:val="22"/>
        </w:rPr>
        <w:t xml:space="preserve">recriminazioni </w:t>
      </w:r>
      <w:r w:rsidR="00D14185">
        <w:rPr>
          <w:sz w:val="22"/>
          <w:szCs w:val="22"/>
        </w:rPr>
        <w:t>(</w:t>
      </w:r>
      <w:r w:rsidR="00D14185">
        <w:rPr>
          <w:rStyle w:val="Rimandonotaapidipagina"/>
          <w:sz w:val="22"/>
          <w:szCs w:val="22"/>
        </w:rPr>
        <w:footnoteReference w:id="420"/>
      </w:r>
      <w:r w:rsidR="00D14185">
        <w:rPr>
          <w:sz w:val="22"/>
          <w:szCs w:val="22"/>
        </w:rPr>
        <w:t xml:space="preserve">) e </w:t>
      </w:r>
      <w:r w:rsidR="00CE5BA3">
        <w:rPr>
          <w:sz w:val="22"/>
          <w:szCs w:val="22"/>
        </w:rPr>
        <w:t>ritorsioni capitate a</w:t>
      </w:r>
      <w:r w:rsidR="0083647E">
        <w:rPr>
          <w:sz w:val="22"/>
          <w:szCs w:val="22"/>
        </w:rPr>
        <w:t xml:space="preserve">nche a </w:t>
      </w:r>
      <w:r w:rsidR="00CE5BA3">
        <w:rPr>
          <w:sz w:val="22"/>
          <w:szCs w:val="22"/>
        </w:rPr>
        <w:t>chi scrive</w:t>
      </w:r>
      <w:r w:rsidR="001E11C7">
        <w:rPr>
          <w:sz w:val="22"/>
          <w:szCs w:val="22"/>
        </w:rPr>
        <w:t xml:space="preserve">; </w:t>
      </w:r>
      <w:r w:rsidR="002665D4" w:rsidRPr="00826C60">
        <w:rPr>
          <w:sz w:val="22"/>
          <w:szCs w:val="22"/>
        </w:rPr>
        <w:t xml:space="preserve">è </w:t>
      </w:r>
      <w:r w:rsidR="00B7596E">
        <w:rPr>
          <w:sz w:val="22"/>
          <w:szCs w:val="22"/>
        </w:rPr>
        <w:t xml:space="preserve">quindi </w:t>
      </w:r>
      <w:r w:rsidR="002665D4" w:rsidRPr="00826C60">
        <w:rPr>
          <w:sz w:val="22"/>
          <w:szCs w:val="22"/>
        </w:rPr>
        <w:t>più facile imitare che contrastare</w:t>
      </w:r>
      <w:r w:rsidR="00A9786E" w:rsidRPr="00826C60">
        <w:rPr>
          <w:sz w:val="22"/>
          <w:szCs w:val="22"/>
        </w:rPr>
        <w:t xml:space="preserve"> </w:t>
      </w:r>
      <w:r w:rsidR="007D6162">
        <w:t>questa tendenza</w:t>
      </w:r>
      <w:r w:rsidR="00D14185">
        <w:t xml:space="preserve">, cui </w:t>
      </w:r>
      <w:r w:rsidR="00D74AFE">
        <w:t>spesso</w:t>
      </w:r>
      <w:r w:rsidR="00D14185">
        <w:t xml:space="preserve"> i giovani </w:t>
      </w:r>
      <w:r w:rsidR="00F27636">
        <w:t>devono adeguarsi</w:t>
      </w:r>
      <w:r w:rsidR="007D6162">
        <w:t xml:space="preserve"> per evitare </w:t>
      </w:r>
      <w:r w:rsidR="00A82EBB">
        <w:t>ostracism</w:t>
      </w:r>
      <w:r w:rsidR="007D6162">
        <w:t>i</w:t>
      </w:r>
      <w:r w:rsidR="005E480A">
        <w:t xml:space="preserve">, </w:t>
      </w:r>
      <w:r>
        <w:t xml:space="preserve">parlando per fumosi riferimenti e </w:t>
      </w:r>
      <w:r w:rsidR="005E480A">
        <w:t>nasconde</w:t>
      </w:r>
      <w:r>
        <w:t>ndo</w:t>
      </w:r>
      <w:r w:rsidR="005E480A">
        <w:t xml:space="preserve"> i ragionamenti, in una sorta di  </w:t>
      </w:r>
      <w:r w:rsidR="005E480A">
        <w:rPr>
          <w:i/>
        </w:rPr>
        <w:t>autocastrazione</w:t>
      </w:r>
      <w:r w:rsidR="005E480A">
        <w:t xml:space="preserve"> </w:t>
      </w:r>
      <w:r>
        <w:t>espositiva</w:t>
      </w:r>
      <w:r w:rsidR="005E480A">
        <w:t>, come gli antichi sacerdoti di Cibele</w:t>
      </w:r>
      <w:r w:rsidR="00D34A0D">
        <w:t>.</w:t>
      </w:r>
      <w:r w:rsidR="005E480A">
        <w:t xml:space="preserve"> </w:t>
      </w:r>
      <w:r w:rsidR="00D34A0D" w:rsidRPr="007F7EBF">
        <w:t xml:space="preserve">Non a caso i discorsi più confusamente allusivi superano </w:t>
      </w:r>
      <w:r>
        <w:t xml:space="preserve">per mera “assonanza con la scientificità esteriore” </w:t>
      </w:r>
      <w:r w:rsidRPr="007F7EBF">
        <w:t>le "peer reviews" delle riviste accademi</w:t>
      </w:r>
      <w:r>
        <w:t>che; in esse si accumulano articoli cui nessuno è interessato, della cui mancanza di senso logico nessuno si accorge</w:t>
      </w:r>
      <w:r>
        <w:rPr>
          <w:i/>
        </w:rPr>
        <w:t xml:space="preserve">, </w:t>
      </w:r>
      <w:r>
        <w:t>forse neppure agli autori, costretti a scriverli solo per ragioni di carriera, in un’accademia ormai burocratizzata</w:t>
      </w:r>
      <w:r w:rsidR="006402C6">
        <w:rPr>
          <w:rStyle w:val="Rimandonotaapidipagina"/>
        </w:rPr>
        <w:footnoteReference w:id="421"/>
      </w:r>
      <w:r>
        <w:t xml:space="preserve">. Gli scritti </w:t>
      </w:r>
      <w:r w:rsidR="00D34A0D" w:rsidRPr="007F7EBF">
        <w:t xml:space="preserve">provvisti di un </w:t>
      </w:r>
      <w:r w:rsidR="00D34A0D">
        <w:t xml:space="preserve">senso compiuto, </w:t>
      </w:r>
      <w:r>
        <w:t xml:space="preserve">in quanto comprensibili, sono in quanto tali </w:t>
      </w:r>
      <w:r w:rsidR="00D34A0D">
        <w:t>più facilmente criticabili, anche strumentalmente</w:t>
      </w:r>
      <w:r>
        <w:t xml:space="preserve"> </w:t>
      </w:r>
      <w:r w:rsidR="002665D4" w:rsidRPr="00826C60">
        <w:rPr>
          <w:sz w:val="22"/>
          <w:szCs w:val="22"/>
        </w:rPr>
        <w:t>(</w:t>
      </w:r>
      <w:r w:rsidR="002665D4" w:rsidRPr="00826C60">
        <w:rPr>
          <w:rStyle w:val="Rimandonotaapidipagina"/>
          <w:sz w:val="22"/>
          <w:szCs w:val="22"/>
        </w:rPr>
        <w:footnoteReference w:id="422"/>
      </w:r>
      <w:r w:rsidR="002665D4" w:rsidRPr="00826C60">
        <w:rPr>
          <w:sz w:val="22"/>
          <w:szCs w:val="22"/>
        </w:rPr>
        <w:t>).</w:t>
      </w:r>
      <w:r w:rsidR="0008069D">
        <w:rPr>
          <w:sz w:val="22"/>
          <w:szCs w:val="22"/>
        </w:rPr>
        <w:t xml:space="preserve"> </w:t>
      </w:r>
      <w:r w:rsidR="006402C6">
        <w:rPr>
          <w:sz w:val="22"/>
          <w:szCs w:val="22"/>
        </w:rPr>
        <w:t xml:space="preserve">Vi </w:t>
      </w:r>
      <w:r w:rsidR="005E480A">
        <w:rPr>
          <w:sz w:val="22"/>
          <w:szCs w:val="22"/>
        </w:rPr>
        <w:t>contribuisc</w:t>
      </w:r>
      <w:r w:rsidR="006402C6">
        <w:rPr>
          <w:sz w:val="22"/>
          <w:szCs w:val="22"/>
        </w:rPr>
        <w:t>ono</w:t>
      </w:r>
      <w:r w:rsidR="005E480A">
        <w:rPr>
          <w:sz w:val="22"/>
          <w:szCs w:val="22"/>
        </w:rPr>
        <w:t xml:space="preserve"> la tradizione tortuosa del linguaggio tecnico, </w:t>
      </w:r>
      <w:r w:rsidR="006402C6">
        <w:rPr>
          <w:sz w:val="22"/>
          <w:szCs w:val="22"/>
        </w:rPr>
        <w:t>il suddetto pregiudizio che le regole abbiano comunque un senso inespresso,</w:t>
      </w:r>
      <w:r w:rsidR="005E480A">
        <w:rPr>
          <w:sz w:val="22"/>
          <w:szCs w:val="22"/>
        </w:rPr>
        <w:t xml:space="preserve"> il preconcetto </w:t>
      </w:r>
      <w:r w:rsidR="005E480A">
        <w:rPr>
          <w:i/>
          <w:sz w:val="22"/>
          <w:szCs w:val="22"/>
        </w:rPr>
        <w:t xml:space="preserve">scientista </w:t>
      </w:r>
      <w:r w:rsidR="005E480A">
        <w:rPr>
          <w:sz w:val="22"/>
          <w:szCs w:val="22"/>
        </w:rPr>
        <w:t xml:space="preserve"> secondo cui  il discorso incomprensibile ai più è scientifico</w:t>
      </w:r>
      <w:r w:rsidR="005E480A">
        <w:t xml:space="preserve">, mentre quello chiaro è bollato come </w:t>
      </w:r>
      <w:r w:rsidR="005E480A">
        <w:rPr>
          <w:sz w:val="22"/>
          <w:szCs w:val="22"/>
        </w:rPr>
        <w:t xml:space="preserve">“divulgativo”, come vedremo al </w:t>
      </w:r>
      <w:r w:rsidR="005E480A">
        <w:t xml:space="preserve"> par.4.7.</w:t>
      </w:r>
    </w:p>
    <w:p w14:paraId="19DAF2A7" w14:textId="010F3867" w:rsidR="00063562" w:rsidRPr="007F7EBF" w:rsidRDefault="003E1C34" w:rsidP="00063562">
      <w:pPr>
        <w:pStyle w:val="tit23"/>
        <w:ind w:left="6464" w:right="-1361" w:firstLine="0"/>
        <w:jc w:val="left"/>
        <w:rPr>
          <w:bCs/>
          <w:i/>
          <w:iCs/>
          <w:color w:val="0000FF"/>
          <w:lang w:val="it-IT"/>
        </w:rPr>
      </w:pPr>
      <w:r>
        <w:rPr>
          <w:bCs/>
          <w:i/>
          <w:iCs/>
          <w:color w:val="0000FF"/>
          <w:lang w:val="it-IT"/>
        </w:rPr>
        <w:t>Inconvenienti scientifico-formativi</w:t>
      </w:r>
    </w:p>
    <w:p w14:paraId="27A1999B" w14:textId="79584E83" w:rsidR="006B6F34" w:rsidRDefault="001208C5" w:rsidP="00293286">
      <w:pPr>
        <w:autoSpaceDE w:val="0"/>
        <w:autoSpaceDN w:val="0"/>
        <w:adjustRightInd w:val="0"/>
      </w:pPr>
      <w:r>
        <w:t xml:space="preserve">La scientificità esteriore rallenta la capacità del diritto di essere anche studio sociale, tra l’altro </w:t>
      </w:r>
      <w:r w:rsidR="0013120A">
        <w:t xml:space="preserve">in chiave </w:t>
      </w:r>
      <w:r w:rsidR="00D10E44">
        <w:rPr>
          <w:sz w:val="22"/>
          <w:szCs w:val="22"/>
        </w:rPr>
        <w:t>storic</w:t>
      </w:r>
      <w:r w:rsidR="00351ED1">
        <w:rPr>
          <w:sz w:val="22"/>
          <w:szCs w:val="22"/>
        </w:rPr>
        <w:t>a, comparata</w:t>
      </w:r>
      <w:r w:rsidR="00D734DA">
        <w:rPr>
          <w:sz w:val="22"/>
          <w:szCs w:val="22"/>
        </w:rPr>
        <w:t xml:space="preserve"> e</w:t>
      </w:r>
      <w:r w:rsidR="00351ED1">
        <w:rPr>
          <w:sz w:val="22"/>
          <w:szCs w:val="22"/>
        </w:rPr>
        <w:t xml:space="preserve"> </w:t>
      </w:r>
      <w:r w:rsidR="00D10E44">
        <w:rPr>
          <w:sz w:val="22"/>
          <w:szCs w:val="22"/>
        </w:rPr>
        <w:t>internazionalistic</w:t>
      </w:r>
      <w:r w:rsidR="0013120A">
        <w:rPr>
          <w:sz w:val="22"/>
          <w:szCs w:val="22"/>
        </w:rPr>
        <w:t>a</w:t>
      </w:r>
      <w:r w:rsidR="00351ED1">
        <w:rPr>
          <w:sz w:val="22"/>
          <w:szCs w:val="22"/>
        </w:rPr>
        <w:t xml:space="preserve">. </w:t>
      </w:r>
      <w:r>
        <w:rPr>
          <w:sz w:val="22"/>
          <w:szCs w:val="22"/>
        </w:rPr>
        <w:t>Essa rende anche</w:t>
      </w:r>
      <w:r w:rsidR="006B6F34">
        <w:t xml:space="preserve"> </w:t>
      </w:r>
      <w:r w:rsidR="006B6F34" w:rsidRPr="00016CC0">
        <w:t>più nozionistici</w:t>
      </w:r>
      <w:r w:rsidR="006B6F34">
        <w:t xml:space="preserve"> e casistici gli studi giuridici, </w:t>
      </w:r>
      <w:r w:rsidR="006B6F34" w:rsidRPr="00016CC0">
        <w:t>mortifica</w:t>
      </w:r>
      <w:r>
        <w:t>ndo</w:t>
      </w:r>
      <w:r w:rsidR="006B6F34">
        <w:t xml:space="preserve"> </w:t>
      </w:r>
      <w:r w:rsidR="006B6F34" w:rsidRPr="00016CC0">
        <w:t xml:space="preserve">la tradizionale componente espositivo dialettica del diritto, che dall’oratoria forense si trasmetteva alla pubblicistica </w:t>
      </w:r>
      <w:r w:rsidR="006B6F34">
        <w:rPr>
          <w:rStyle w:val="Rimandonotaapidipagina"/>
        </w:rPr>
        <w:footnoteReference w:id="423"/>
      </w:r>
      <w:r w:rsidR="006B6F34" w:rsidRPr="00016CC0">
        <w:t>.</w:t>
      </w:r>
      <w:r w:rsidR="006B6F34">
        <w:t xml:space="preserve"> </w:t>
      </w:r>
    </w:p>
    <w:p w14:paraId="4AD9A4E0" w14:textId="64BEDAA4" w:rsidR="000153A0" w:rsidRDefault="00423610" w:rsidP="007F124C">
      <w:pPr>
        <w:pStyle w:val="Testorientro"/>
        <w:ind w:firstLine="0"/>
      </w:pPr>
      <w:r>
        <w:t xml:space="preserve">Mancano così i contenuti su cui </w:t>
      </w:r>
      <w:r w:rsidR="00CF413A" w:rsidRPr="006B6F34">
        <w:t xml:space="preserve">aggregare </w:t>
      </w:r>
      <w:r>
        <w:t>gl</w:t>
      </w:r>
      <w:r w:rsidR="00CF413A" w:rsidRPr="006B6F34">
        <w:t xml:space="preserve">i studiosi, arginando </w:t>
      </w:r>
      <w:r w:rsidR="00CF413A" w:rsidRPr="006B6F34">
        <w:lastRenderedPageBreak/>
        <w:t xml:space="preserve">relazionalità, gelosie, dispetti, ripicche, e altri atteggiamenti che trasformano le accademie in autoreferenziali </w:t>
      </w:r>
      <w:proofErr w:type="spellStart"/>
      <w:r w:rsidR="00CF413A" w:rsidRPr="006B6F34">
        <w:rPr>
          <w:i/>
        </w:rPr>
        <w:t>cattedrifici</w:t>
      </w:r>
      <w:proofErr w:type="spellEnd"/>
      <w:r w:rsidR="00CF413A" w:rsidRPr="006B6F34">
        <w:t xml:space="preserve"> (</w:t>
      </w:r>
      <w:r w:rsidR="00CF413A" w:rsidRPr="006B6F34">
        <w:rPr>
          <w:rStyle w:val="Rimandonotaapidipagina"/>
        </w:rPr>
        <w:footnoteReference w:id="424"/>
      </w:r>
      <w:r w:rsidR="00CF413A" w:rsidRPr="006B6F34">
        <w:t>).</w:t>
      </w:r>
      <w:r w:rsidR="00CF413A">
        <w:t xml:space="preserve"> </w:t>
      </w:r>
      <w:r w:rsidR="00787205">
        <w:t xml:space="preserve">Indicheremo al </w:t>
      </w:r>
      <w:r w:rsidR="002D4CDE">
        <w:t>par.4.7</w:t>
      </w:r>
      <w:r w:rsidR="00787205">
        <w:t xml:space="preserve"> </w:t>
      </w:r>
      <w:r w:rsidR="002D4CDE">
        <w:t xml:space="preserve">alcune vie d’uscita, dopo aver ribadito ai </w:t>
      </w:r>
      <w:r w:rsidR="0009630A">
        <w:t>paragrafi</w:t>
      </w:r>
      <w:r w:rsidR="002D4CDE">
        <w:t xml:space="preserve"> seguenti </w:t>
      </w:r>
      <w:r w:rsidR="00787205">
        <w:t>l’inadeguatezza</w:t>
      </w:r>
      <w:r w:rsidR="002D4CDE">
        <w:t xml:space="preserve"> di </w:t>
      </w:r>
      <w:r w:rsidR="00787205">
        <w:t xml:space="preserve">varie </w:t>
      </w:r>
      <w:r w:rsidR="002D4CDE">
        <w:t xml:space="preserve">supplenze </w:t>
      </w:r>
      <w:r w:rsidR="00787205">
        <w:t>a</w:t>
      </w:r>
      <w:r w:rsidR="002D4CDE">
        <w:t xml:space="preserve">llo studio </w:t>
      </w:r>
      <w:r w:rsidR="00787205">
        <w:t>giuridico-</w:t>
      </w:r>
      <w:r w:rsidR="002D4CDE">
        <w:t xml:space="preserve">sociale del settore. </w:t>
      </w:r>
    </w:p>
    <w:p w14:paraId="1A97110D" w14:textId="16B58721" w:rsidR="004B2F64" w:rsidRPr="007F7EBF" w:rsidRDefault="006342C5" w:rsidP="00847CFB">
      <w:pPr>
        <w:pStyle w:val="Titolo3"/>
        <w:rPr>
          <w:rFonts w:ascii="Times New Roman" w:hAnsi="Times New Roman"/>
          <w:sz w:val="22"/>
          <w:szCs w:val="22"/>
        </w:rPr>
      </w:pPr>
      <w:bookmarkStart w:id="52" w:name="_Toc63364968"/>
      <w:r w:rsidRPr="007F7EBF">
        <w:rPr>
          <w:rFonts w:ascii="Times New Roman" w:hAnsi="Times New Roman"/>
          <w:sz w:val="22"/>
          <w:szCs w:val="22"/>
        </w:rPr>
        <w:t xml:space="preserve">4.4. </w:t>
      </w:r>
      <w:r w:rsidRPr="007F7EBF">
        <w:rPr>
          <w:rFonts w:ascii="Times New Roman" w:hAnsi="Times New Roman"/>
          <w:i/>
          <w:iCs/>
          <w:sz w:val="22"/>
          <w:szCs w:val="22"/>
        </w:rPr>
        <w:t>Segue</w:t>
      </w:r>
      <w:r w:rsidRPr="007F7EBF">
        <w:rPr>
          <w:rFonts w:ascii="Times New Roman" w:hAnsi="Times New Roman"/>
          <w:sz w:val="22"/>
          <w:szCs w:val="22"/>
        </w:rPr>
        <w:t xml:space="preserve">: </w:t>
      </w:r>
      <w:r w:rsidR="00287BBF" w:rsidRPr="007F7EBF">
        <w:rPr>
          <w:rFonts w:ascii="Times New Roman" w:hAnsi="Times New Roman"/>
          <w:sz w:val="22"/>
          <w:szCs w:val="22"/>
          <w:lang w:val="it-IT"/>
        </w:rPr>
        <w:t xml:space="preserve">Inadeguatezza </w:t>
      </w:r>
      <w:r w:rsidR="00243C72">
        <w:rPr>
          <w:rFonts w:ascii="Times New Roman" w:hAnsi="Times New Roman"/>
          <w:sz w:val="22"/>
          <w:szCs w:val="22"/>
          <w:lang w:val="it-IT"/>
        </w:rPr>
        <w:t xml:space="preserve">delle spiegazioni </w:t>
      </w:r>
      <w:r w:rsidR="00495FC9" w:rsidRPr="007F7EBF">
        <w:rPr>
          <w:rFonts w:ascii="Times New Roman" w:hAnsi="Times New Roman"/>
          <w:sz w:val="22"/>
          <w:szCs w:val="22"/>
          <w:lang w:val="it-IT"/>
        </w:rPr>
        <w:t>economi</w:t>
      </w:r>
      <w:r w:rsidR="00287BBF" w:rsidRPr="007F7EBF">
        <w:rPr>
          <w:rFonts w:ascii="Times New Roman" w:hAnsi="Times New Roman"/>
          <w:sz w:val="22"/>
          <w:szCs w:val="22"/>
          <w:lang w:val="it-IT"/>
        </w:rPr>
        <w:t>c</w:t>
      </w:r>
      <w:r w:rsidR="00243C72">
        <w:rPr>
          <w:rFonts w:ascii="Times New Roman" w:hAnsi="Times New Roman"/>
          <w:sz w:val="22"/>
          <w:szCs w:val="22"/>
          <w:lang w:val="it-IT"/>
        </w:rPr>
        <w:t>he</w:t>
      </w:r>
      <w:r w:rsidR="00495FC9" w:rsidRPr="007F7EBF">
        <w:rPr>
          <w:rFonts w:ascii="Times New Roman" w:hAnsi="Times New Roman"/>
          <w:sz w:val="22"/>
          <w:szCs w:val="22"/>
          <w:lang w:val="it-IT"/>
        </w:rPr>
        <w:t>, profession</w:t>
      </w:r>
      <w:r w:rsidR="00287BBF" w:rsidRPr="007F7EBF">
        <w:rPr>
          <w:rFonts w:ascii="Times New Roman" w:hAnsi="Times New Roman"/>
          <w:sz w:val="22"/>
          <w:szCs w:val="22"/>
          <w:lang w:val="it-IT"/>
        </w:rPr>
        <w:t>ali</w:t>
      </w:r>
      <w:r w:rsidR="00495FC9" w:rsidRPr="007F7EBF">
        <w:rPr>
          <w:rFonts w:ascii="Times New Roman" w:hAnsi="Times New Roman"/>
          <w:sz w:val="22"/>
          <w:szCs w:val="22"/>
          <w:lang w:val="it-IT"/>
        </w:rPr>
        <w:t xml:space="preserve">, </w:t>
      </w:r>
      <w:r w:rsidR="00B1451A">
        <w:rPr>
          <w:rFonts w:ascii="Times New Roman" w:hAnsi="Times New Roman"/>
          <w:sz w:val="22"/>
          <w:szCs w:val="22"/>
          <w:lang w:val="it-IT"/>
        </w:rPr>
        <w:t>istituzionali</w:t>
      </w:r>
      <w:r w:rsidRPr="007F7EBF">
        <w:rPr>
          <w:rFonts w:ascii="Times New Roman" w:hAnsi="Times New Roman"/>
          <w:sz w:val="22"/>
          <w:szCs w:val="22"/>
        </w:rPr>
        <w:t xml:space="preserve">, </w:t>
      </w:r>
      <w:r w:rsidR="00551D9A" w:rsidRPr="007F7EBF">
        <w:rPr>
          <w:rFonts w:ascii="Times New Roman" w:hAnsi="Times New Roman"/>
          <w:sz w:val="22"/>
          <w:szCs w:val="22"/>
        </w:rPr>
        <w:t>aziend</w:t>
      </w:r>
      <w:r w:rsidR="00287BBF" w:rsidRPr="007F7EBF">
        <w:rPr>
          <w:rFonts w:ascii="Times New Roman" w:hAnsi="Times New Roman"/>
          <w:sz w:val="22"/>
          <w:szCs w:val="22"/>
          <w:lang w:val="it-IT"/>
        </w:rPr>
        <w:t>ali</w:t>
      </w:r>
      <w:r w:rsidR="00551D9A" w:rsidRPr="007F7EBF">
        <w:rPr>
          <w:rFonts w:ascii="Times New Roman" w:hAnsi="Times New Roman"/>
          <w:sz w:val="22"/>
          <w:szCs w:val="22"/>
        </w:rPr>
        <w:t xml:space="preserve"> e </w:t>
      </w:r>
      <w:r w:rsidRPr="007F7EBF">
        <w:rPr>
          <w:rFonts w:ascii="Times New Roman" w:hAnsi="Times New Roman"/>
          <w:sz w:val="22"/>
          <w:szCs w:val="22"/>
        </w:rPr>
        <w:t>me</w:t>
      </w:r>
      <w:r w:rsidR="00287BBF" w:rsidRPr="007F7EBF">
        <w:rPr>
          <w:rFonts w:ascii="Times New Roman" w:hAnsi="Times New Roman"/>
          <w:sz w:val="22"/>
          <w:szCs w:val="22"/>
          <w:lang w:val="it-IT"/>
        </w:rPr>
        <w:t>diatiche</w:t>
      </w:r>
      <w:r w:rsidR="00551D9A" w:rsidRPr="007F7EBF">
        <w:rPr>
          <w:rFonts w:ascii="Times New Roman" w:hAnsi="Times New Roman"/>
          <w:sz w:val="22"/>
          <w:szCs w:val="22"/>
        </w:rPr>
        <w:t>.</w:t>
      </w:r>
      <w:bookmarkEnd w:id="52"/>
      <w:r w:rsidR="00551D9A" w:rsidRPr="007F7EBF">
        <w:rPr>
          <w:rFonts w:ascii="Times New Roman" w:hAnsi="Times New Roman"/>
          <w:sz w:val="22"/>
          <w:szCs w:val="22"/>
        </w:rPr>
        <w:t xml:space="preserve"> </w:t>
      </w:r>
    </w:p>
    <w:p w14:paraId="3075D3E0" w14:textId="3138B820" w:rsidR="004B2F64" w:rsidRPr="007F7EBF" w:rsidRDefault="000C3E76" w:rsidP="004B2F64">
      <w:pPr>
        <w:pStyle w:val="tit23"/>
        <w:ind w:left="6464" w:right="-1361" w:firstLine="0"/>
        <w:jc w:val="left"/>
        <w:rPr>
          <w:b/>
          <w:bCs/>
          <w:i/>
          <w:iCs/>
          <w:color w:val="0000FF"/>
          <w:lang w:val="it-IT"/>
        </w:rPr>
      </w:pPr>
      <w:r>
        <w:rPr>
          <w:b/>
          <w:bCs/>
          <w:i/>
          <w:iCs/>
          <w:color w:val="0000FF"/>
          <w:lang w:val="it-IT"/>
        </w:rPr>
        <w:t>Reazioni a</w:t>
      </w:r>
      <w:r w:rsidR="00256323" w:rsidRPr="007F7EBF">
        <w:rPr>
          <w:b/>
          <w:bCs/>
          <w:i/>
          <w:iCs/>
          <w:color w:val="0000FF"/>
          <w:lang w:val="it-IT"/>
        </w:rPr>
        <w:t xml:space="preserve">lla mancanza di </w:t>
      </w:r>
      <w:proofErr w:type="spellStart"/>
      <w:r w:rsidR="00256323" w:rsidRPr="007F7EBF">
        <w:rPr>
          <w:b/>
          <w:bCs/>
          <w:i/>
          <w:iCs/>
          <w:color w:val="0000FF"/>
          <w:lang w:val="it-IT"/>
        </w:rPr>
        <w:t>spiegazion</w:t>
      </w:r>
      <w:r w:rsidR="002F15A9">
        <w:rPr>
          <w:b/>
          <w:bCs/>
          <w:i/>
          <w:iCs/>
          <w:color w:val="0000FF"/>
          <w:lang w:val="it-IT"/>
        </w:rPr>
        <w:t>i</w:t>
      </w:r>
      <w:r>
        <w:rPr>
          <w:b/>
          <w:bCs/>
          <w:i/>
          <w:iCs/>
          <w:color w:val="0000FF"/>
          <w:lang w:val="it-IT"/>
        </w:rPr>
        <w:t>:le</w:t>
      </w:r>
      <w:proofErr w:type="spellEnd"/>
      <w:r>
        <w:rPr>
          <w:b/>
          <w:bCs/>
          <w:i/>
          <w:iCs/>
          <w:color w:val="0000FF"/>
          <w:lang w:val="it-IT"/>
        </w:rPr>
        <w:t xml:space="preserve"> supplenze</w:t>
      </w:r>
    </w:p>
    <w:p w14:paraId="334DFC09" w14:textId="627EF34D" w:rsidR="00053160" w:rsidRPr="007F7EBF" w:rsidRDefault="00E3415E" w:rsidP="00FD38FA">
      <w:pPr>
        <w:rPr>
          <w:sz w:val="22"/>
          <w:szCs w:val="22"/>
        </w:rPr>
      </w:pPr>
      <w:r>
        <w:rPr>
          <w:sz w:val="22"/>
          <w:szCs w:val="22"/>
        </w:rPr>
        <w:t>L</w:t>
      </w:r>
      <w:r w:rsidR="000D3B55">
        <w:rPr>
          <w:sz w:val="22"/>
          <w:szCs w:val="22"/>
        </w:rPr>
        <w:t xml:space="preserve">a mancanza di spiegazioni </w:t>
      </w:r>
      <w:r w:rsidR="00D0562F">
        <w:rPr>
          <w:sz w:val="22"/>
          <w:szCs w:val="22"/>
        </w:rPr>
        <w:t>sociali</w:t>
      </w:r>
      <w:r w:rsidR="00AA49E7">
        <w:rPr>
          <w:sz w:val="22"/>
          <w:szCs w:val="22"/>
        </w:rPr>
        <w:t xml:space="preserve"> della </w:t>
      </w:r>
      <w:r>
        <w:rPr>
          <w:sz w:val="22"/>
          <w:szCs w:val="22"/>
        </w:rPr>
        <w:t xml:space="preserve">funzione tributaria </w:t>
      </w:r>
      <w:r w:rsidR="00FD38FA">
        <w:rPr>
          <w:sz w:val="22"/>
          <w:szCs w:val="22"/>
        </w:rPr>
        <w:t>alimenta</w:t>
      </w:r>
      <w:r w:rsidR="004A066A">
        <w:rPr>
          <w:sz w:val="22"/>
          <w:szCs w:val="22"/>
        </w:rPr>
        <w:t xml:space="preserve"> estemporanee supplenze da parte di </w:t>
      </w:r>
      <w:r w:rsidR="004A066A" w:rsidRPr="004A066A">
        <w:rPr>
          <w:sz w:val="22"/>
          <w:szCs w:val="22"/>
        </w:rPr>
        <w:t>chiunque abbia tempo, voglia, convenienza o opportunità</w:t>
      </w:r>
      <w:r w:rsidR="004A066A">
        <w:rPr>
          <w:sz w:val="22"/>
          <w:szCs w:val="22"/>
        </w:rPr>
        <w:t xml:space="preserve"> di far</w:t>
      </w:r>
      <w:r w:rsidR="0099350C">
        <w:rPr>
          <w:sz w:val="22"/>
          <w:szCs w:val="22"/>
        </w:rPr>
        <w:t xml:space="preserve">si sentire nel dibattito; ciò anche secondo </w:t>
      </w:r>
      <w:r w:rsidR="004A066A">
        <w:rPr>
          <w:sz w:val="22"/>
          <w:szCs w:val="22"/>
        </w:rPr>
        <w:t>l</w:t>
      </w:r>
      <w:r w:rsidR="0099350C">
        <w:rPr>
          <w:sz w:val="22"/>
          <w:szCs w:val="22"/>
        </w:rPr>
        <w:t xml:space="preserve">o spontaneismo creativo di cui al par.4.1, che spinge a </w:t>
      </w:r>
      <w:r w:rsidR="0014645C">
        <w:t xml:space="preserve">calarsi </w:t>
      </w:r>
      <w:r w:rsidR="006D1B9F">
        <w:t xml:space="preserve">rapidamente </w:t>
      </w:r>
      <w:r w:rsidR="00A630E7">
        <w:t xml:space="preserve">nel ruolo </w:t>
      </w:r>
      <w:r w:rsidR="006D1B9F">
        <w:t>degli</w:t>
      </w:r>
      <w:r w:rsidR="00A630E7">
        <w:t xml:space="preserve"> esperti</w:t>
      </w:r>
      <w:r w:rsidR="0099350C">
        <w:t xml:space="preserve">. </w:t>
      </w:r>
      <w:r w:rsidR="006A362C">
        <w:t xml:space="preserve"> </w:t>
      </w:r>
      <w:r w:rsidR="0099350C">
        <w:t>Chiunque prenda, come pietra di paragone per spiegarsi la funzione tributaria, un manuale accademico, al di là dei tecnicismi, pensa di avere lui qualcosa da insegnare sul piano dello studio sociale; la reazione è quindi “se questi sono i professori allora può esserlo chiunque abbia un minimo di cultura generale e capacità espositiva. Se quindi l’</w:t>
      </w:r>
      <w:r w:rsidR="0099350C">
        <w:rPr>
          <w:i/>
          <w:iCs/>
        </w:rPr>
        <w:t xml:space="preserve">accademia </w:t>
      </w:r>
      <w:r w:rsidR="006A362C" w:rsidRPr="006A362C">
        <w:rPr>
          <w:i/>
          <w:iCs/>
        </w:rPr>
        <w:t>non spiega</w:t>
      </w:r>
      <w:r w:rsidR="00B52C50">
        <w:rPr>
          <w:i/>
          <w:iCs/>
        </w:rPr>
        <w:t xml:space="preserve">, </w:t>
      </w:r>
      <w:r w:rsidR="006A362C" w:rsidRPr="006A362C">
        <w:rPr>
          <w:i/>
          <w:iCs/>
        </w:rPr>
        <w:t>chiunque ne abbia l’occasione</w:t>
      </w:r>
      <w:r w:rsidR="0099350C">
        <w:rPr>
          <w:i/>
          <w:iCs/>
        </w:rPr>
        <w:t xml:space="preserve"> si cimenta col tentativ</w:t>
      </w:r>
      <w:r w:rsidR="0099350C" w:rsidRPr="0099350C">
        <w:t>o</w:t>
      </w:r>
      <w:r w:rsidR="0099350C">
        <w:t xml:space="preserve"> senza critica</w:t>
      </w:r>
      <w:r w:rsidR="0099350C" w:rsidRPr="006A362C">
        <w:t>r</w:t>
      </w:r>
      <w:r w:rsidR="0099350C">
        <w:t>la</w:t>
      </w:r>
      <w:r w:rsidR="0099350C" w:rsidRPr="006A362C">
        <w:t xml:space="preserve">, perché </w:t>
      </w:r>
      <w:r w:rsidR="0099350C">
        <w:t>facendolo</w:t>
      </w:r>
      <w:r w:rsidR="0099350C" w:rsidRPr="006A362C">
        <w:t xml:space="preserve"> ne ammetterebbe la necessità</w:t>
      </w:r>
      <w:r w:rsidR="0099350C">
        <w:t>. L</w:t>
      </w:r>
      <w:r w:rsidR="006A362C" w:rsidRPr="006A362C">
        <w:t xml:space="preserve">’accademia, pur non legittimando sé stessa, </w:t>
      </w:r>
      <w:r w:rsidR="0099350C">
        <w:t>l</w:t>
      </w:r>
      <w:r w:rsidR="00740BBB" w:rsidRPr="006A362C">
        <w:t>egittima</w:t>
      </w:r>
      <w:r w:rsidR="0099350C">
        <w:t xml:space="preserve"> quindi </w:t>
      </w:r>
      <w:r w:rsidR="006A362C" w:rsidRPr="006A362C">
        <w:t xml:space="preserve">gli altri, cioè </w:t>
      </w:r>
      <w:r w:rsidR="005A745F" w:rsidRPr="006A362C">
        <w:t xml:space="preserve">studiosi sociali </w:t>
      </w:r>
      <w:r w:rsidR="00FD38FA" w:rsidRPr="006A362C">
        <w:t xml:space="preserve">non </w:t>
      </w:r>
      <w:r w:rsidR="005A745F" w:rsidRPr="006A362C">
        <w:t>giuristi, giornalisti, esponenti politici, di categoria</w:t>
      </w:r>
      <w:r w:rsidR="005A745F">
        <w:t xml:space="preserve">, della letteratura o dello spettacolo, in un’inevitabile improvvisazione proprio per l’occasionalità dei relativi interventi </w:t>
      </w:r>
      <w:r w:rsidR="005A745F">
        <w:rPr>
          <w:sz w:val="22"/>
          <w:szCs w:val="22"/>
        </w:rPr>
        <w:t>(</w:t>
      </w:r>
      <w:r w:rsidR="005A745F">
        <w:rPr>
          <w:rStyle w:val="Rimandonotaapidipagina"/>
          <w:sz w:val="22"/>
          <w:szCs w:val="22"/>
        </w:rPr>
        <w:footnoteReference w:id="425"/>
      </w:r>
      <w:r w:rsidR="005A745F">
        <w:rPr>
          <w:sz w:val="22"/>
          <w:szCs w:val="22"/>
        </w:rPr>
        <w:t>)</w:t>
      </w:r>
      <w:r w:rsidR="006A362C">
        <w:t>.</w:t>
      </w:r>
    </w:p>
    <w:p w14:paraId="51CABFEF" w14:textId="74487FBC" w:rsidR="00741323" w:rsidRPr="007F7EBF" w:rsidRDefault="000C3E76" w:rsidP="00741323">
      <w:pPr>
        <w:pStyle w:val="tit23"/>
        <w:ind w:left="6464" w:right="-1361" w:firstLine="0"/>
        <w:jc w:val="left"/>
        <w:rPr>
          <w:b/>
          <w:bCs/>
          <w:i/>
          <w:iCs/>
          <w:color w:val="0000FF"/>
          <w:lang w:val="it-IT"/>
        </w:rPr>
      </w:pPr>
      <w:r>
        <w:rPr>
          <w:b/>
          <w:bCs/>
          <w:i/>
          <w:iCs/>
          <w:color w:val="0000FF"/>
          <w:lang w:val="it-IT"/>
        </w:rPr>
        <w:lastRenderedPageBreak/>
        <w:t xml:space="preserve">Inadeguatezza </w:t>
      </w:r>
      <w:r w:rsidR="00EF6519" w:rsidRPr="007F7EBF">
        <w:rPr>
          <w:b/>
          <w:bCs/>
          <w:i/>
          <w:iCs/>
          <w:color w:val="0000FF"/>
          <w:lang w:val="it-IT"/>
        </w:rPr>
        <w:t xml:space="preserve"> </w:t>
      </w:r>
      <w:r w:rsidR="00741323" w:rsidRPr="007F7EBF">
        <w:rPr>
          <w:b/>
          <w:bCs/>
          <w:i/>
          <w:iCs/>
          <w:color w:val="0000FF"/>
          <w:lang w:val="it-IT"/>
        </w:rPr>
        <w:t xml:space="preserve"> </w:t>
      </w:r>
      <w:r w:rsidR="00AA6EB7">
        <w:rPr>
          <w:b/>
          <w:bCs/>
          <w:i/>
          <w:iCs/>
          <w:color w:val="0000FF"/>
          <w:lang w:val="it-IT"/>
        </w:rPr>
        <w:t>del sapere economico</w:t>
      </w:r>
      <w:r w:rsidR="00741323" w:rsidRPr="007F7EBF">
        <w:rPr>
          <w:b/>
          <w:bCs/>
          <w:i/>
          <w:iCs/>
          <w:color w:val="0000FF"/>
          <w:lang w:val="it-IT"/>
        </w:rPr>
        <w:t xml:space="preserve"> </w:t>
      </w:r>
    </w:p>
    <w:p w14:paraId="6A32056B" w14:textId="0157D144" w:rsidR="00D45BA4" w:rsidRPr="007F7EBF" w:rsidRDefault="00C34D20" w:rsidP="00A566F8">
      <w:r>
        <w:t xml:space="preserve">La supplenza con matrice più </w:t>
      </w:r>
      <w:r w:rsidR="00054C1C">
        <w:t xml:space="preserve">accademica è </w:t>
      </w:r>
      <w:r>
        <w:t xml:space="preserve">proprio </w:t>
      </w:r>
      <w:r w:rsidR="00054C1C">
        <w:t xml:space="preserve">quella </w:t>
      </w:r>
      <w:r w:rsidR="00A630E7">
        <w:t xml:space="preserve">degli </w:t>
      </w:r>
      <w:r w:rsidR="00243C72">
        <w:t>economisti</w:t>
      </w:r>
      <w:r w:rsidR="00054C1C">
        <w:t xml:space="preserve">, </w:t>
      </w:r>
      <w:r w:rsidR="00755C5F">
        <w:t xml:space="preserve">di cui abbiamo già al par.4.2 rilevato l’inadeguatezza in quanto </w:t>
      </w:r>
      <w:r w:rsidR="00D132BD">
        <w:t xml:space="preserve">priva di familiarità coi concetti giuridici. Inoltre lo studio </w:t>
      </w:r>
      <w:r w:rsidR="001A15EF">
        <w:t>economic</w:t>
      </w:r>
      <w:r w:rsidR="00D132BD">
        <w:t xml:space="preserve">o si è </w:t>
      </w:r>
      <w:proofErr w:type="spellStart"/>
      <w:r w:rsidR="00D132BD">
        <w:t>invorticato</w:t>
      </w:r>
      <w:proofErr w:type="spellEnd"/>
      <w:r w:rsidR="00D132BD">
        <w:t xml:space="preserve"> nella spirale dei modelli formali di una sorta di </w:t>
      </w:r>
      <w:r w:rsidR="00666E98">
        <w:t xml:space="preserve"> </w:t>
      </w:r>
      <w:r w:rsidR="009F0C04">
        <w:t>“</w:t>
      </w:r>
      <w:proofErr w:type="spellStart"/>
      <w:r w:rsidR="009F0C04">
        <w:t>sociomatematica</w:t>
      </w:r>
      <w:proofErr w:type="spellEnd"/>
      <w:r w:rsidR="009F0C04">
        <w:t>”</w:t>
      </w:r>
      <w:r w:rsidR="00666E98">
        <w:t xml:space="preserve"> deriva</w:t>
      </w:r>
      <w:r w:rsidR="001A15EF">
        <w:t>nte</w:t>
      </w:r>
      <w:r w:rsidR="00666E98">
        <w:t xml:space="preserve"> d</w:t>
      </w:r>
      <w:r w:rsidR="009F0C04">
        <w:t xml:space="preserve">all’ispirazione </w:t>
      </w:r>
      <w:r w:rsidR="00C656CF">
        <w:t>a</w:t>
      </w:r>
      <w:r w:rsidR="009F0C04">
        <w:t xml:space="preserve">lle scienze </w:t>
      </w:r>
      <w:r w:rsidR="00C656CF">
        <w:t>f</w:t>
      </w:r>
      <w:r w:rsidR="009F0C04">
        <w:t>isiche</w:t>
      </w:r>
      <w:r w:rsidR="00D132BD">
        <w:t>. L</w:t>
      </w:r>
      <w:r w:rsidR="00C656CF">
        <w:t xml:space="preserve">e variabili incompatibili con la </w:t>
      </w:r>
      <w:r w:rsidR="00C44718">
        <w:t>purezza formale del modello</w:t>
      </w:r>
      <w:r w:rsidR="00C656CF">
        <w:t xml:space="preserve"> sono semplicemente rimosse</w:t>
      </w:r>
      <w:r w:rsidR="000A5A07">
        <w:t>, come le  modifiche comportamentali dovute all’inserimento degli individui nelle aziende</w:t>
      </w:r>
      <w:r w:rsidR="00D132BD">
        <w:t xml:space="preserve">. </w:t>
      </w:r>
      <w:r w:rsidR="00975958">
        <w:t xml:space="preserve">Ne è derivata una crisi reputazionale </w:t>
      </w:r>
      <w:r w:rsidR="00D132BD">
        <w:t>cui</w:t>
      </w:r>
      <w:r w:rsidR="00B379A7">
        <w:t xml:space="preserve"> l</w:t>
      </w:r>
      <w:r w:rsidR="00D132BD">
        <w:t>’</w:t>
      </w:r>
      <w:r w:rsidR="00B379A7">
        <w:t xml:space="preserve">economia </w:t>
      </w:r>
      <w:r w:rsidR="00D132BD">
        <w:t xml:space="preserve">risponde </w:t>
      </w:r>
      <w:r w:rsidR="00B379A7">
        <w:t>co</w:t>
      </w:r>
      <w:r w:rsidR="00975958">
        <w:t xml:space="preserve">l </w:t>
      </w:r>
      <w:r w:rsidR="00201B70">
        <w:t xml:space="preserve">nuovo mito </w:t>
      </w:r>
      <w:r w:rsidR="00201B70">
        <w:rPr>
          <w:i/>
        </w:rPr>
        <w:t xml:space="preserve">scientista </w:t>
      </w:r>
      <w:r w:rsidR="00201B70">
        <w:t>dell’asettica ricerca di verità occulte nel “dato sociale”</w:t>
      </w:r>
      <w:r w:rsidR="00D132BD">
        <w:t xml:space="preserve">, cui invece lo studio sociale deve guardare nei modi </w:t>
      </w:r>
      <w:r w:rsidR="00A039F9">
        <w:rPr>
          <w:sz w:val="22"/>
          <w:szCs w:val="22"/>
        </w:rPr>
        <w:t>di cui al par.4.7</w:t>
      </w:r>
      <w:r w:rsidR="008F6D86">
        <w:rPr>
          <w:sz w:val="22"/>
          <w:szCs w:val="22"/>
        </w:rPr>
        <w:t>.</w:t>
      </w:r>
      <w:r w:rsidR="008F6D86">
        <w:t xml:space="preserve"> </w:t>
      </w:r>
    </w:p>
    <w:p w14:paraId="1C06D2A8" w14:textId="6269BCE9" w:rsidR="00563122" w:rsidRPr="007F7EBF" w:rsidRDefault="00310FC6" w:rsidP="00563122">
      <w:pPr>
        <w:pStyle w:val="tit23"/>
        <w:ind w:left="6464" w:right="-1361" w:firstLine="0"/>
        <w:jc w:val="left"/>
        <w:rPr>
          <w:bCs/>
          <w:i/>
          <w:iCs/>
          <w:color w:val="0000FF"/>
          <w:lang w:val="it-IT"/>
        </w:rPr>
      </w:pPr>
      <w:r>
        <w:rPr>
          <w:bCs/>
          <w:i/>
          <w:iCs/>
          <w:color w:val="0000FF"/>
          <w:lang w:val="it-IT"/>
        </w:rPr>
        <w:t xml:space="preserve">Inadeguatezza della tecnica rispetto alle spiegazioni sociali </w:t>
      </w:r>
    </w:p>
    <w:p w14:paraId="6437ECDB" w14:textId="3E7B0BAB" w:rsidR="00E962C0" w:rsidRPr="007F7EBF" w:rsidRDefault="00521358" w:rsidP="00E962C0">
      <w:pPr>
        <w:autoSpaceDE w:val="0"/>
        <w:autoSpaceDN w:val="0"/>
        <w:adjustRightInd w:val="0"/>
        <w:rPr>
          <w:sz w:val="22"/>
          <w:szCs w:val="22"/>
        </w:rPr>
      </w:pPr>
      <w:r>
        <w:rPr>
          <w:sz w:val="22"/>
          <w:szCs w:val="22"/>
        </w:rPr>
        <w:t>I t</w:t>
      </w:r>
      <w:r w:rsidR="0072791F">
        <w:rPr>
          <w:sz w:val="22"/>
          <w:szCs w:val="22"/>
        </w:rPr>
        <w:t xml:space="preserve">ecnici del settore </w:t>
      </w:r>
      <w:r w:rsidR="007E56EE">
        <w:rPr>
          <w:sz w:val="22"/>
          <w:szCs w:val="22"/>
        </w:rPr>
        <w:t xml:space="preserve">tributario </w:t>
      </w:r>
      <w:r w:rsidR="0072791F">
        <w:rPr>
          <w:sz w:val="22"/>
          <w:szCs w:val="22"/>
        </w:rPr>
        <w:t xml:space="preserve">(par.3.16) sono </w:t>
      </w:r>
      <w:r>
        <w:rPr>
          <w:sz w:val="22"/>
          <w:szCs w:val="22"/>
        </w:rPr>
        <w:t xml:space="preserve">invece, al contrario degli economisti, </w:t>
      </w:r>
      <w:r w:rsidR="003D65CC">
        <w:rPr>
          <w:sz w:val="22"/>
          <w:szCs w:val="22"/>
        </w:rPr>
        <w:t>troppo</w:t>
      </w:r>
      <w:r w:rsidR="007E56EE">
        <w:rPr>
          <w:sz w:val="22"/>
          <w:szCs w:val="22"/>
        </w:rPr>
        <w:t xml:space="preserve"> immersi nella</w:t>
      </w:r>
      <w:r>
        <w:rPr>
          <w:sz w:val="22"/>
          <w:szCs w:val="22"/>
        </w:rPr>
        <w:t xml:space="preserve"> casistica</w:t>
      </w:r>
      <w:r w:rsidR="007E56EE">
        <w:rPr>
          <w:sz w:val="22"/>
          <w:szCs w:val="22"/>
        </w:rPr>
        <w:t xml:space="preserve"> </w:t>
      </w:r>
      <w:r>
        <w:rPr>
          <w:sz w:val="22"/>
          <w:szCs w:val="22"/>
        </w:rPr>
        <w:t xml:space="preserve">professionale </w:t>
      </w:r>
      <w:r w:rsidR="007E56EE">
        <w:rPr>
          <w:sz w:val="22"/>
          <w:szCs w:val="22"/>
        </w:rPr>
        <w:t xml:space="preserve">per </w:t>
      </w:r>
      <w:r>
        <w:rPr>
          <w:sz w:val="22"/>
          <w:szCs w:val="22"/>
        </w:rPr>
        <w:t xml:space="preserve">dare una </w:t>
      </w:r>
      <w:r w:rsidR="007E56EE">
        <w:rPr>
          <w:sz w:val="22"/>
          <w:szCs w:val="22"/>
        </w:rPr>
        <w:t>spiegazion</w:t>
      </w:r>
      <w:r>
        <w:rPr>
          <w:sz w:val="22"/>
          <w:szCs w:val="22"/>
        </w:rPr>
        <w:t>e scientifico sociale della funzione tributaria</w:t>
      </w:r>
      <w:r w:rsidR="006D38CB">
        <w:rPr>
          <w:sz w:val="22"/>
          <w:szCs w:val="22"/>
        </w:rPr>
        <w:t xml:space="preserve">; </w:t>
      </w:r>
      <w:r>
        <w:rPr>
          <w:sz w:val="22"/>
          <w:szCs w:val="22"/>
        </w:rPr>
        <w:t xml:space="preserve">elaborare una visione d’insieme unendo innumerevoli dettagli, </w:t>
      </w:r>
      <w:r w:rsidR="005B7CA2">
        <w:rPr>
          <w:sz w:val="22"/>
          <w:szCs w:val="22"/>
        </w:rPr>
        <w:t>arrivando a uno studio sociale</w:t>
      </w:r>
      <w:r>
        <w:rPr>
          <w:sz w:val="22"/>
          <w:szCs w:val="22"/>
        </w:rPr>
        <w:t xml:space="preserve"> </w:t>
      </w:r>
      <w:r w:rsidR="00B93583">
        <w:rPr>
          <w:sz w:val="22"/>
          <w:szCs w:val="22"/>
        </w:rPr>
        <w:t>dalla tecnic</w:t>
      </w:r>
      <w:r w:rsidR="005B7CA2">
        <w:rPr>
          <w:sz w:val="22"/>
          <w:szCs w:val="22"/>
        </w:rPr>
        <w:t>a</w:t>
      </w:r>
      <w:r w:rsidR="0044467E">
        <w:rPr>
          <w:sz w:val="22"/>
          <w:szCs w:val="22"/>
        </w:rPr>
        <w:t>,</w:t>
      </w:r>
      <w:r w:rsidR="00B93583">
        <w:rPr>
          <w:sz w:val="22"/>
          <w:szCs w:val="22"/>
        </w:rPr>
        <w:t xml:space="preserve"> è più </w:t>
      </w:r>
      <w:r>
        <w:rPr>
          <w:sz w:val="22"/>
          <w:szCs w:val="22"/>
        </w:rPr>
        <w:t>arduo</w:t>
      </w:r>
      <w:r w:rsidR="00B93583">
        <w:rPr>
          <w:sz w:val="22"/>
          <w:szCs w:val="22"/>
        </w:rPr>
        <w:t xml:space="preserve"> che </w:t>
      </w:r>
      <w:r w:rsidR="005B7CA2">
        <w:rPr>
          <w:sz w:val="22"/>
          <w:szCs w:val="22"/>
        </w:rPr>
        <w:t>inserire quest’ultima in una cornice di studio sociale</w:t>
      </w:r>
      <w:r w:rsidR="00B93583">
        <w:rPr>
          <w:sz w:val="22"/>
          <w:szCs w:val="22"/>
        </w:rPr>
        <w:t xml:space="preserve">. </w:t>
      </w:r>
      <w:r w:rsidR="005B7CA2">
        <w:rPr>
          <w:sz w:val="22"/>
          <w:szCs w:val="22"/>
        </w:rPr>
        <w:t>E</w:t>
      </w:r>
      <w:r w:rsidR="00F56331">
        <w:rPr>
          <w:sz w:val="22"/>
          <w:szCs w:val="22"/>
        </w:rPr>
        <w:t>strarre quest</w:t>
      </w:r>
      <w:r w:rsidR="005B7CA2">
        <w:rPr>
          <w:sz w:val="22"/>
          <w:szCs w:val="22"/>
        </w:rPr>
        <w:t>’</w:t>
      </w:r>
      <w:r w:rsidR="00F56331">
        <w:rPr>
          <w:sz w:val="22"/>
          <w:szCs w:val="22"/>
        </w:rPr>
        <w:t>ultim</w:t>
      </w:r>
      <w:r w:rsidR="005B7CA2">
        <w:rPr>
          <w:sz w:val="22"/>
          <w:szCs w:val="22"/>
        </w:rPr>
        <w:t xml:space="preserve">o </w:t>
      </w:r>
      <w:r w:rsidR="00F56331">
        <w:rPr>
          <w:sz w:val="22"/>
          <w:szCs w:val="22"/>
        </w:rPr>
        <w:t xml:space="preserve">solo dalla pratica richiederebbe una casistica immensa </w:t>
      </w:r>
      <w:r w:rsidR="005B7CA2">
        <w:rPr>
          <w:sz w:val="22"/>
          <w:szCs w:val="22"/>
        </w:rPr>
        <w:t xml:space="preserve">e tempo di teorizzazione illimitato. </w:t>
      </w:r>
      <w:r w:rsidR="003069C8">
        <w:rPr>
          <w:sz w:val="22"/>
          <w:szCs w:val="22"/>
        </w:rPr>
        <w:t xml:space="preserve">Del resto i professionisti non hanno mai dovuto il loro </w:t>
      </w:r>
      <w:r w:rsidR="006A7A5D">
        <w:rPr>
          <w:sz w:val="22"/>
          <w:szCs w:val="22"/>
        </w:rPr>
        <w:t xml:space="preserve">successo </w:t>
      </w:r>
      <w:r w:rsidR="003069C8">
        <w:rPr>
          <w:sz w:val="22"/>
          <w:szCs w:val="22"/>
        </w:rPr>
        <w:t>all</w:t>
      </w:r>
      <w:r w:rsidR="00B93583">
        <w:rPr>
          <w:sz w:val="22"/>
          <w:szCs w:val="22"/>
        </w:rPr>
        <w:t>’elaborazione di spiegazioni sociali, ma a</w:t>
      </w:r>
      <w:r w:rsidR="00E5067B">
        <w:rPr>
          <w:sz w:val="22"/>
          <w:szCs w:val="22"/>
        </w:rPr>
        <w:t xml:space="preserve"> relazioni pubbliche con appendice tecnica, gestione delle </w:t>
      </w:r>
      <w:r w:rsidR="00E5067B">
        <w:rPr>
          <w:sz w:val="20"/>
          <w:szCs w:val="20"/>
        </w:rPr>
        <w:t xml:space="preserve">asimmetrie informative con la clientela. Quest’ultima, come in tutti i servizi complessi, </w:t>
      </w:r>
      <w:r w:rsidR="00E5067B">
        <w:t>valuta secondo vaghe percezioni, ed è vista come fonte di reddito</w:t>
      </w:r>
      <w:r w:rsidR="00E5067B" w:rsidRPr="0024209D">
        <w:t xml:space="preserve">, se non </w:t>
      </w:r>
      <w:r w:rsidR="00E5067B">
        <w:t xml:space="preserve">come </w:t>
      </w:r>
      <w:r w:rsidR="00E5067B" w:rsidRPr="0024209D">
        <w:t>poll</w:t>
      </w:r>
      <w:r w:rsidR="00E5067B">
        <w:t>o</w:t>
      </w:r>
      <w:r w:rsidR="00E5067B" w:rsidRPr="0024209D">
        <w:t xml:space="preserve"> da spennare</w:t>
      </w:r>
      <w:r w:rsidR="00E5067B">
        <w:t xml:space="preserve"> </w:t>
      </w:r>
      <w:r w:rsidR="00CE5F96">
        <w:rPr>
          <w:sz w:val="22"/>
          <w:szCs w:val="22"/>
        </w:rPr>
        <w:t>(</w:t>
      </w:r>
      <w:r w:rsidR="00CE5F96" w:rsidRPr="007F7EBF">
        <w:rPr>
          <w:rStyle w:val="Rimandonotaapidipagina"/>
          <w:bCs/>
          <w:sz w:val="22"/>
          <w:szCs w:val="22"/>
        </w:rPr>
        <w:footnoteReference w:id="426"/>
      </w:r>
      <w:r w:rsidR="00CE5F96">
        <w:rPr>
          <w:sz w:val="22"/>
          <w:szCs w:val="22"/>
        </w:rPr>
        <w:t>)</w:t>
      </w:r>
      <w:r w:rsidR="000D5E96">
        <w:rPr>
          <w:sz w:val="22"/>
          <w:szCs w:val="22"/>
        </w:rPr>
        <w:t xml:space="preserve">. </w:t>
      </w:r>
      <w:r w:rsidR="001659E2">
        <w:rPr>
          <w:sz w:val="22"/>
          <w:szCs w:val="22"/>
        </w:rPr>
        <w:t>L</w:t>
      </w:r>
      <w:r w:rsidR="003069C8">
        <w:rPr>
          <w:sz w:val="22"/>
          <w:szCs w:val="22"/>
        </w:rPr>
        <w:t xml:space="preserve">a </w:t>
      </w:r>
      <w:r w:rsidR="003069C8">
        <w:rPr>
          <w:sz w:val="22"/>
          <w:szCs w:val="22"/>
        </w:rPr>
        <w:lastRenderedPageBreak/>
        <w:t xml:space="preserve">confusione </w:t>
      </w:r>
      <w:r w:rsidR="00E5067B">
        <w:rPr>
          <w:sz w:val="22"/>
          <w:szCs w:val="22"/>
        </w:rPr>
        <w:t xml:space="preserve">sociale si trasmette </w:t>
      </w:r>
      <w:r w:rsidR="003069C8">
        <w:rPr>
          <w:sz w:val="22"/>
          <w:szCs w:val="22"/>
        </w:rPr>
        <w:t xml:space="preserve">alla </w:t>
      </w:r>
      <w:r w:rsidR="00812979">
        <w:rPr>
          <w:bCs/>
          <w:sz w:val="22"/>
          <w:szCs w:val="22"/>
        </w:rPr>
        <w:t>c.d. “</w:t>
      </w:r>
      <w:r w:rsidR="007C12E8" w:rsidRPr="007F7EBF">
        <w:rPr>
          <w:sz w:val="22"/>
          <w:szCs w:val="22"/>
        </w:rPr>
        <w:t>pubblicistica pratica</w:t>
      </w:r>
      <w:r w:rsidR="00812979">
        <w:rPr>
          <w:sz w:val="22"/>
          <w:szCs w:val="22"/>
        </w:rPr>
        <w:t>”</w:t>
      </w:r>
      <w:r w:rsidR="003069C8">
        <w:rPr>
          <w:sz w:val="22"/>
          <w:szCs w:val="22"/>
        </w:rPr>
        <w:t>, appiattita sui materiali normativi</w:t>
      </w:r>
      <w:r w:rsidR="00E5067B">
        <w:rPr>
          <w:sz w:val="22"/>
          <w:szCs w:val="22"/>
        </w:rPr>
        <w:t xml:space="preserve"> e i loro contorti tecnicismi, letterariamente inadeguati (</w:t>
      </w:r>
      <w:r w:rsidR="00E5067B">
        <w:rPr>
          <w:rStyle w:val="Rimandonotaapidipagina"/>
          <w:sz w:val="22"/>
          <w:szCs w:val="22"/>
        </w:rPr>
        <w:footnoteReference w:id="427"/>
      </w:r>
      <w:r w:rsidR="00E5067B">
        <w:rPr>
          <w:sz w:val="22"/>
          <w:szCs w:val="22"/>
        </w:rPr>
        <w:t xml:space="preserve">). </w:t>
      </w:r>
      <w:r w:rsidR="00E5067B">
        <w:t>E’ una pubblicistica promossa da aziende commerciali, s</w:t>
      </w:r>
      <w:r w:rsidR="00E5067B" w:rsidRPr="007F7EBF">
        <w:t xml:space="preserve">pesso </w:t>
      </w:r>
      <w:r w:rsidR="00E5067B">
        <w:t xml:space="preserve">fornitrici </w:t>
      </w:r>
      <w:r w:rsidR="00E5067B" w:rsidRPr="007F7EBF">
        <w:t xml:space="preserve"> anche di software contabili, banche dati, formulari</w:t>
      </w:r>
      <w:r w:rsidR="00E5067B">
        <w:t xml:space="preserve"> </w:t>
      </w:r>
      <w:r w:rsidR="00E5067B" w:rsidRPr="007F7EBF">
        <w:t>ed eventi formativi; i primi esempi furono Pirola e Buffetti, poi Ipsoa-</w:t>
      </w:r>
      <w:proofErr w:type="spellStart"/>
      <w:r w:rsidR="00E5067B" w:rsidRPr="007F7EBF">
        <w:t>wki</w:t>
      </w:r>
      <w:proofErr w:type="spellEnd"/>
      <w:r w:rsidR="00E5067B" w:rsidRPr="007F7EBF">
        <w:t>, Sole24 ore e simili</w:t>
      </w:r>
      <w:r w:rsidR="00E5067B">
        <w:t xml:space="preserve">. Si tratta di operatori commerciali senza competenza per un controllo diretto del contenuto degli scritti, che ricorrono a “autori di fiducia” selezionati in campo professionale, desiderosi di farsi “lanciare” per ragioni in senso ampio “promozionali”. </w:t>
      </w:r>
      <w:r w:rsidR="00ED5487">
        <w:t xml:space="preserve">Dopo </w:t>
      </w:r>
      <w:r w:rsidR="00E5067B">
        <w:t xml:space="preserve">l’era dei “quotidiani per professionisti”, dove il sensazionalismo mediatico (cfr. al termine di questo paragrafo) si intrecciava col tecnicismo in uno strano ibrido  (cfr. Norme e tributi del Sole24 ore e Italia Oggi), </w:t>
      </w:r>
      <w:r w:rsidR="00ED5487">
        <w:t xml:space="preserve">si moltiplicano </w:t>
      </w:r>
      <w:r w:rsidR="00E5067B">
        <w:t xml:space="preserve">i blog tecnici online </w:t>
      </w:r>
      <w:r w:rsidR="00E5067B" w:rsidRPr="007F7EBF">
        <w:t>come “</w:t>
      </w:r>
      <w:proofErr w:type="spellStart"/>
      <w:r w:rsidR="00E5067B" w:rsidRPr="007F7EBF">
        <w:t>Eutekne</w:t>
      </w:r>
      <w:proofErr w:type="spellEnd"/>
      <w:r w:rsidR="00E5067B" w:rsidRPr="007F7EBF">
        <w:t xml:space="preserve">”, “My </w:t>
      </w:r>
      <w:proofErr w:type="spellStart"/>
      <w:r w:rsidR="00E5067B" w:rsidRPr="007F7EBF">
        <w:t>solution</w:t>
      </w:r>
      <w:proofErr w:type="spellEnd"/>
      <w:r w:rsidR="00E5067B" w:rsidRPr="007F7EBF">
        <w:t xml:space="preserve">” e tanti </w:t>
      </w:r>
      <w:r w:rsidR="00E5067B">
        <w:t>altri</w:t>
      </w:r>
      <w:r w:rsidR="00ED5487">
        <w:t xml:space="preserve">. Questa pubblicistica </w:t>
      </w:r>
      <w:r w:rsidR="00E5067B">
        <w:rPr>
          <w:sz w:val="22"/>
          <w:szCs w:val="22"/>
        </w:rPr>
        <w:t xml:space="preserve">cerca di accreditarsi con l’ansia delle </w:t>
      </w:r>
      <w:r w:rsidR="00E5067B">
        <w:t xml:space="preserve">“novità”, </w:t>
      </w:r>
      <w:r w:rsidR="00E5067B">
        <w:rPr>
          <w:sz w:val="22"/>
          <w:szCs w:val="22"/>
        </w:rPr>
        <w:t xml:space="preserve">secondo cui </w:t>
      </w:r>
      <w:r w:rsidR="00E5067B" w:rsidRPr="007F7EBF">
        <w:rPr>
          <w:i/>
          <w:sz w:val="22"/>
          <w:szCs w:val="22"/>
        </w:rPr>
        <w:t>in diritto tributario tutto cambia</w:t>
      </w:r>
      <w:r w:rsidR="00E5067B">
        <w:rPr>
          <w:i/>
          <w:sz w:val="22"/>
          <w:szCs w:val="22"/>
        </w:rPr>
        <w:t xml:space="preserve"> </w:t>
      </w:r>
      <w:r w:rsidR="00ED5487">
        <w:t xml:space="preserve">, in un compulsivo </w:t>
      </w:r>
      <w:r w:rsidR="00ED5487">
        <w:rPr>
          <w:i/>
          <w:iCs/>
        </w:rPr>
        <w:t>aggiornamento del nulla</w:t>
      </w:r>
      <w:r w:rsidR="00ED5487">
        <w:t xml:space="preserve"> , che ostacola la sedimentazione dei concetti, delude i lettori  e cannibalizza se stesso, disincentivando l’acquisto di ciò che poco dopo sarà inutile. In assenza di spiegazioni sociali di base, compendi riassuntivi per esami e concorsi stratificano aggiornamenti senza più nulla di umano e la pubblicistica tecnica è letta controvoglia solo da chi ha specifici motivi professionali</w:t>
      </w:r>
      <w:r w:rsidR="00ED5487">
        <w:rPr>
          <w:sz w:val="22"/>
          <w:szCs w:val="22"/>
        </w:rPr>
        <w:t xml:space="preserve">. La carenza di </w:t>
      </w:r>
      <w:r w:rsidR="00A25431">
        <w:rPr>
          <w:sz w:val="22"/>
          <w:szCs w:val="22"/>
        </w:rPr>
        <w:t xml:space="preserve">spiegazioni sociali </w:t>
      </w:r>
      <w:r w:rsidR="00ED5487">
        <w:rPr>
          <w:sz w:val="22"/>
          <w:szCs w:val="22"/>
        </w:rPr>
        <w:t>si riflette sulla tecnica e ne limita l’influenza politico sociale e la rappresentatività</w:t>
      </w:r>
      <w:r w:rsidR="0023097C">
        <w:t xml:space="preserve"> (</w:t>
      </w:r>
      <w:r w:rsidR="0023097C">
        <w:rPr>
          <w:rStyle w:val="Rimandonotaapidipagina"/>
        </w:rPr>
        <w:footnoteReference w:id="428"/>
      </w:r>
      <w:r w:rsidR="0023097C">
        <w:t xml:space="preserve">). </w:t>
      </w:r>
    </w:p>
    <w:p w14:paraId="508674CF" w14:textId="7A3152B8" w:rsidR="00E962C0" w:rsidRPr="007F7EBF" w:rsidRDefault="000F4D2B" w:rsidP="00E962C0">
      <w:pPr>
        <w:pStyle w:val="tit23"/>
        <w:ind w:left="6464" w:right="-1361" w:firstLine="0"/>
        <w:jc w:val="left"/>
        <w:rPr>
          <w:b/>
          <w:bCs/>
          <w:i/>
          <w:iCs/>
          <w:color w:val="0000FF"/>
          <w:lang w:val="it-IT"/>
        </w:rPr>
      </w:pPr>
      <w:r>
        <w:rPr>
          <w:b/>
          <w:bCs/>
          <w:i/>
          <w:iCs/>
          <w:color w:val="0000FF"/>
          <w:lang w:val="it-IT"/>
        </w:rPr>
        <w:lastRenderedPageBreak/>
        <w:t>Inidoneità di</w:t>
      </w:r>
      <w:r w:rsidR="004B585F">
        <w:rPr>
          <w:b/>
          <w:bCs/>
          <w:i/>
          <w:iCs/>
          <w:color w:val="0000FF"/>
          <w:lang w:val="it-IT"/>
        </w:rPr>
        <w:t xml:space="preserve"> supplenze politico-istituzionali</w:t>
      </w:r>
      <w:r w:rsidR="00D132BD">
        <w:rPr>
          <w:b/>
          <w:bCs/>
          <w:i/>
          <w:iCs/>
          <w:color w:val="0000FF"/>
          <w:lang w:val="it-IT"/>
        </w:rPr>
        <w:t xml:space="preserve"> e aziendali</w:t>
      </w:r>
    </w:p>
    <w:p w14:paraId="2C87CBD9" w14:textId="77777777" w:rsidR="00D132BD" w:rsidRDefault="00450DD4" w:rsidP="008A689F">
      <w:pPr>
        <w:autoSpaceDE w:val="0"/>
        <w:autoSpaceDN w:val="0"/>
        <w:adjustRightInd w:val="0"/>
        <w:rPr>
          <w:sz w:val="22"/>
          <w:szCs w:val="22"/>
        </w:rPr>
      </w:pPr>
      <w:r>
        <w:rPr>
          <w:sz w:val="22"/>
          <w:szCs w:val="22"/>
        </w:rPr>
        <w:t>S</w:t>
      </w:r>
      <w:r w:rsidR="00B046F2">
        <w:rPr>
          <w:sz w:val="22"/>
          <w:szCs w:val="22"/>
        </w:rPr>
        <w:t xml:space="preserve">piegazioni scientifico sociali </w:t>
      </w:r>
      <w:r>
        <w:rPr>
          <w:sz w:val="22"/>
          <w:szCs w:val="22"/>
        </w:rPr>
        <w:t xml:space="preserve">della funzione tributaria </w:t>
      </w:r>
      <w:r w:rsidR="00B046F2">
        <w:rPr>
          <w:sz w:val="22"/>
          <w:szCs w:val="22"/>
        </w:rPr>
        <w:t xml:space="preserve">non possono </w:t>
      </w:r>
      <w:r>
        <w:rPr>
          <w:sz w:val="22"/>
          <w:szCs w:val="22"/>
        </w:rPr>
        <w:t>giungere</w:t>
      </w:r>
      <w:r w:rsidR="00B046F2">
        <w:rPr>
          <w:sz w:val="22"/>
          <w:szCs w:val="22"/>
        </w:rPr>
        <w:t xml:space="preserve"> neppure dalle autorità, </w:t>
      </w:r>
      <w:r>
        <w:rPr>
          <w:sz w:val="22"/>
          <w:szCs w:val="22"/>
        </w:rPr>
        <w:t xml:space="preserve">con </w:t>
      </w:r>
      <w:r w:rsidR="00AC6839">
        <w:rPr>
          <w:bCs/>
          <w:sz w:val="22"/>
          <w:szCs w:val="22"/>
        </w:rPr>
        <w:t>preoccupazioni essenzialmente “pratiche”, senza</w:t>
      </w:r>
      <w:r>
        <w:rPr>
          <w:bCs/>
          <w:sz w:val="22"/>
          <w:szCs w:val="22"/>
        </w:rPr>
        <w:t xml:space="preserve"> funzioni didattico-formative né tempo per esercitarle</w:t>
      </w:r>
      <w:r w:rsidR="00B504FF">
        <w:rPr>
          <w:bCs/>
          <w:sz w:val="22"/>
          <w:szCs w:val="22"/>
        </w:rPr>
        <w:t>;</w:t>
      </w:r>
      <w:r w:rsidR="003A7CB2">
        <w:rPr>
          <w:bCs/>
          <w:sz w:val="22"/>
          <w:szCs w:val="22"/>
        </w:rPr>
        <w:t xml:space="preserve"> impegnar</w:t>
      </w:r>
      <w:r>
        <w:rPr>
          <w:bCs/>
          <w:sz w:val="22"/>
          <w:szCs w:val="22"/>
        </w:rPr>
        <w:t>si</w:t>
      </w:r>
      <w:r w:rsidR="003A7CB2">
        <w:rPr>
          <w:bCs/>
          <w:sz w:val="22"/>
          <w:szCs w:val="22"/>
        </w:rPr>
        <w:t xml:space="preserve"> in quest</w:t>
      </w:r>
      <w:r>
        <w:rPr>
          <w:bCs/>
          <w:sz w:val="22"/>
          <w:szCs w:val="22"/>
        </w:rPr>
        <w:t>o senso</w:t>
      </w:r>
      <w:r w:rsidR="003A7CB2">
        <w:rPr>
          <w:bCs/>
          <w:sz w:val="22"/>
          <w:szCs w:val="22"/>
        </w:rPr>
        <w:t xml:space="preserve">, del resto, </w:t>
      </w:r>
      <w:r w:rsidR="004A0A8F">
        <w:rPr>
          <w:bCs/>
          <w:sz w:val="22"/>
          <w:szCs w:val="22"/>
        </w:rPr>
        <w:t xml:space="preserve">non conviene </w:t>
      </w:r>
      <w:r w:rsidR="003A7CB2">
        <w:rPr>
          <w:sz w:val="22"/>
          <w:szCs w:val="22"/>
        </w:rPr>
        <w:t xml:space="preserve">ai vertici dei pubblici uffici, in buona parte per </w:t>
      </w:r>
      <w:r w:rsidR="004A0A8F">
        <w:rPr>
          <w:sz w:val="22"/>
          <w:szCs w:val="22"/>
        </w:rPr>
        <w:t xml:space="preserve">le stesse ragioni per cui non </w:t>
      </w:r>
      <w:r w:rsidR="003A7CB2">
        <w:rPr>
          <w:sz w:val="22"/>
          <w:szCs w:val="22"/>
        </w:rPr>
        <w:t>conviene alla politica</w:t>
      </w:r>
      <w:r w:rsidR="004A0A8F">
        <w:rPr>
          <w:sz w:val="22"/>
          <w:szCs w:val="22"/>
        </w:rPr>
        <w:t xml:space="preserve"> </w:t>
      </w:r>
      <w:r>
        <w:rPr>
          <w:bCs/>
          <w:sz w:val="22"/>
          <w:szCs w:val="22"/>
        </w:rPr>
        <w:t>(</w:t>
      </w:r>
      <w:r w:rsidRPr="007F7EBF">
        <w:rPr>
          <w:rStyle w:val="Rimandonotaapidipagina"/>
          <w:bCs/>
          <w:sz w:val="22"/>
          <w:szCs w:val="22"/>
        </w:rPr>
        <w:footnoteReference w:id="429"/>
      </w:r>
      <w:r>
        <w:rPr>
          <w:bCs/>
          <w:sz w:val="22"/>
          <w:szCs w:val="22"/>
        </w:rPr>
        <w:t>)</w:t>
      </w:r>
      <w:r w:rsidR="003A7CB2">
        <w:rPr>
          <w:sz w:val="22"/>
          <w:szCs w:val="22"/>
        </w:rPr>
        <w:t xml:space="preserve">; </w:t>
      </w:r>
      <w:r w:rsidR="0039287A">
        <w:rPr>
          <w:sz w:val="22"/>
          <w:szCs w:val="22"/>
        </w:rPr>
        <w:t>c’è il rischio di essere fraintesi e contestati, anche strumentalmente, da una parte delle tendenze intrecciate sugli specifici temi nella pubblica opinione (par.</w:t>
      </w:r>
      <w:r w:rsidR="003C43D7">
        <w:rPr>
          <w:sz w:val="22"/>
          <w:szCs w:val="22"/>
        </w:rPr>
        <w:t>4.1</w:t>
      </w:r>
      <w:r w:rsidR="0039287A">
        <w:rPr>
          <w:sz w:val="22"/>
          <w:szCs w:val="22"/>
        </w:rPr>
        <w:t xml:space="preserve">); quest’ultima inoltre, dal potere “politico-amministrativo”, non si aspetta spiegazioni, ma azioni, e “agire spiegando”, è molto complesso. </w:t>
      </w:r>
    </w:p>
    <w:p w14:paraId="390304E3" w14:textId="513F6729" w:rsidR="004E4C28" w:rsidRPr="007F7EBF" w:rsidRDefault="0039287A" w:rsidP="00D132BD">
      <w:pPr>
        <w:autoSpaceDE w:val="0"/>
        <w:autoSpaceDN w:val="0"/>
        <w:adjustRightInd w:val="0"/>
        <w:rPr>
          <w:bCs/>
          <w:i/>
          <w:iCs/>
          <w:color w:val="0000FF"/>
        </w:rPr>
      </w:pPr>
      <w:r>
        <w:rPr>
          <w:sz w:val="22"/>
          <w:szCs w:val="22"/>
        </w:rPr>
        <w:t xml:space="preserve">Infine c’è il motivo opportunistico secondo cui </w:t>
      </w:r>
      <w:r w:rsidR="005A5BC4">
        <w:rPr>
          <w:sz w:val="22"/>
          <w:szCs w:val="22"/>
        </w:rPr>
        <w:t xml:space="preserve">la </w:t>
      </w:r>
      <w:r>
        <w:rPr>
          <w:sz w:val="22"/>
          <w:szCs w:val="22"/>
        </w:rPr>
        <w:t xml:space="preserve">mancanza di spiegazioni, la crisi dei saperi, </w:t>
      </w:r>
      <w:r w:rsidR="00D132BD">
        <w:rPr>
          <w:sz w:val="22"/>
          <w:szCs w:val="22"/>
        </w:rPr>
        <w:t xml:space="preserve">diminuisce il controllo sociale. Ciò </w:t>
      </w:r>
      <w:r>
        <w:rPr>
          <w:sz w:val="22"/>
          <w:szCs w:val="22"/>
        </w:rPr>
        <w:t>aumenta il peso di chi detiene poteri  (</w:t>
      </w:r>
      <w:r w:rsidR="007A3DCC" w:rsidRPr="007F7EBF">
        <w:rPr>
          <w:rStyle w:val="Rimandonotaapidipagina"/>
          <w:sz w:val="22"/>
          <w:szCs w:val="22"/>
        </w:rPr>
        <w:footnoteReference w:id="430"/>
      </w:r>
      <w:r w:rsidR="007A3DCC" w:rsidRPr="007F7EBF">
        <w:rPr>
          <w:sz w:val="22"/>
          <w:szCs w:val="22"/>
        </w:rPr>
        <w:t>)</w:t>
      </w:r>
      <w:r w:rsidR="00D132BD">
        <w:rPr>
          <w:sz w:val="22"/>
          <w:szCs w:val="22"/>
        </w:rPr>
        <w:t xml:space="preserve">, </w:t>
      </w:r>
      <w:r>
        <w:rPr>
          <w:sz w:val="22"/>
          <w:szCs w:val="22"/>
        </w:rPr>
        <w:t>la soggezione dei privati rispetto ai pubblici uffici</w:t>
      </w:r>
      <w:r w:rsidR="005A5BC4">
        <w:rPr>
          <w:sz w:val="22"/>
          <w:szCs w:val="22"/>
        </w:rPr>
        <w:t xml:space="preserve">, </w:t>
      </w:r>
      <w:r w:rsidR="00D132BD">
        <w:rPr>
          <w:sz w:val="22"/>
          <w:szCs w:val="22"/>
        </w:rPr>
        <w:t>e i margini di manovra di chi al loro interno opera in modo opportunistico</w:t>
      </w:r>
      <w:r w:rsidR="00F80C64">
        <w:rPr>
          <w:sz w:val="22"/>
          <w:szCs w:val="22"/>
        </w:rPr>
        <w:t xml:space="preserve">; </w:t>
      </w:r>
      <w:r>
        <w:rPr>
          <w:sz w:val="22"/>
          <w:szCs w:val="22"/>
        </w:rPr>
        <w:t xml:space="preserve">l’incertezza del diritto di ritorno, connessa alla mancanza di spiegazioni sociali, e quindi di controllo sociale (par.5.3), </w:t>
      </w:r>
      <w:r w:rsidR="00D419E1">
        <w:rPr>
          <w:sz w:val="22"/>
          <w:szCs w:val="22"/>
        </w:rPr>
        <w:t>esalta, anziché limitarlo, il potere de</w:t>
      </w:r>
      <w:r w:rsidR="00304D19">
        <w:rPr>
          <w:sz w:val="22"/>
          <w:szCs w:val="22"/>
        </w:rPr>
        <w:t>lle autorità.</w:t>
      </w:r>
      <w:r w:rsidR="00D419E1">
        <w:rPr>
          <w:sz w:val="22"/>
          <w:szCs w:val="22"/>
        </w:rPr>
        <w:t xml:space="preserve"> </w:t>
      </w:r>
      <w:r w:rsidR="00304D19">
        <w:t xml:space="preserve">Non si vede quindi perché esse dovrebbero </w:t>
      </w:r>
      <w:r w:rsidR="00F00E25">
        <w:t xml:space="preserve">esporsi in spiegazioni sociali </w:t>
      </w:r>
      <w:r w:rsidR="00304D19">
        <w:t xml:space="preserve">faticose, </w:t>
      </w:r>
      <w:r w:rsidR="00F00E25">
        <w:t xml:space="preserve">estranee al loro compito </w:t>
      </w:r>
      <w:r w:rsidR="00304D19">
        <w:t>e critic</w:t>
      </w:r>
      <w:r w:rsidR="00F00E25">
        <w:t>abili</w:t>
      </w:r>
      <w:r w:rsidR="00304D19">
        <w:t xml:space="preserve">, per contrastare una confusione tutto sommato </w:t>
      </w:r>
      <w:r w:rsidR="00D132BD">
        <w:t>per esse conveniente</w:t>
      </w:r>
      <w:r w:rsidR="00F00E25">
        <w:t xml:space="preserve"> </w:t>
      </w:r>
      <w:r w:rsidR="00D419E1">
        <w:rPr>
          <w:sz w:val="22"/>
          <w:szCs w:val="22"/>
        </w:rPr>
        <w:t>(</w:t>
      </w:r>
      <w:r w:rsidR="00D419E1" w:rsidRPr="007F7EBF">
        <w:rPr>
          <w:rStyle w:val="Rimandonotaapidipagina"/>
          <w:sz w:val="22"/>
          <w:szCs w:val="22"/>
        </w:rPr>
        <w:footnoteReference w:id="431"/>
      </w:r>
      <w:r w:rsidR="00D419E1">
        <w:rPr>
          <w:sz w:val="22"/>
          <w:szCs w:val="22"/>
        </w:rPr>
        <w:t>).</w:t>
      </w:r>
    </w:p>
    <w:p w14:paraId="1F933D3C" w14:textId="6A5A4643" w:rsidR="00FB547D" w:rsidRDefault="00D132BD" w:rsidP="00FB547D">
      <w:pPr>
        <w:rPr>
          <w:sz w:val="22"/>
          <w:szCs w:val="22"/>
        </w:rPr>
      </w:pPr>
      <w:r>
        <w:rPr>
          <w:bCs/>
          <w:sz w:val="22"/>
          <w:szCs w:val="22"/>
        </w:rPr>
        <w:lastRenderedPageBreak/>
        <w:t xml:space="preserve">Le </w:t>
      </w:r>
      <w:r w:rsidR="00A273F8">
        <w:rPr>
          <w:bCs/>
          <w:sz w:val="22"/>
          <w:szCs w:val="22"/>
        </w:rPr>
        <w:t>aziende, gruppi sociali aggregati dal</w:t>
      </w:r>
      <w:r w:rsidR="00D15891" w:rsidRPr="007F7EBF">
        <w:rPr>
          <w:bCs/>
          <w:sz w:val="22"/>
          <w:szCs w:val="22"/>
        </w:rPr>
        <w:t xml:space="preserve"> prodotto</w:t>
      </w:r>
      <w:r>
        <w:rPr>
          <w:bCs/>
          <w:sz w:val="22"/>
          <w:szCs w:val="22"/>
        </w:rPr>
        <w:t xml:space="preserve">, cioè </w:t>
      </w:r>
      <w:r w:rsidR="0047467C">
        <w:rPr>
          <w:bCs/>
          <w:sz w:val="22"/>
          <w:szCs w:val="22"/>
        </w:rPr>
        <w:t xml:space="preserve"> </w:t>
      </w:r>
      <w:r>
        <w:t xml:space="preserve">banalmente detersivi, magliette e altre merci, non hanno motivo di disperdersi in spiegazioni sociali; </w:t>
      </w:r>
      <w:r w:rsidR="00A268F0">
        <w:rPr>
          <w:bCs/>
          <w:sz w:val="22"/>
          <w:szCs w:val="22"/>
        </w:rPr>
        <w:t>l’Italia del</w:t>
      </w:r>
      <w:r w:rsidR="004F40F5" w:rsidRPr="007F7EBF">
        <w:rPr>
          <w:sz w:val="22"/>
          <w:szCs w:val="22"/>
        </w:rPr>
        <w:t xml:space="preserve"> capitalismo familiare </w:t>
      </w:r>
      <w:r w:rsidR="00A268F0">
        <w:rPr>
          <w:sz w:val="22"/>
          <w:szCs w:val="22"/>
        </w:rPr>
        <w:t xml:space="preserve">(par.3.1) </w:t>
      </w:r>
      <w:r w:rsidR="002346A7">
        <w:rPr>
          <w:sz w:val="22"/>
          <w:szCs w:val="22"/>
        </w:rPr>
        <w:t xml:space="preserve">neppure ha colto </w:t>
      </w:r>
      <w:r w:rsidR="00A273F8">
        <w:rPr>
          <w:sz w:val="22"/>
          <w:szCs w:val="22"/>
        </w:rPr>
        <w:t>l’idea d</w:t>
      </w:r>
      <w:r w:rsidR="00A268F0">
        <w:rPr>
          <w:sz w:val="22"/>
          <w:szCs w:val="22"/>
        </w:rPr>
        <w:t>i a</w:t>
      </w:r>
      <w:r w:rsidR="00A273F8">
        <w:rPr>
          <w:sz w:val="22"/>
          <w:szCs w:val="22"/>
        </w:rPr>
        <w:t>zienda come gruppo sociale</w:t>
      </w:r>
      <w:r w:rsidR="00A268F0">
        <w:rPr>
          <w:sz w:val="22"/>
          <w:szCs w:val="22"/>
        </w:rPr>
        <w:t xml:space="preserve"> </w:t>
      </w:r>
      <w:r w:rsidR="00B86DF5">
        <w:rPr>
          <w:sz w:val="22"/>
          <w:szCs w:val="22"/>
        </w:rPr>
        <w:t>(</w:t>
      </w:r>
      <w:r w:rsidR="00B86DF5">
        <w:rPr>
          <w:rStyle w:val="Rimandonotaapidipagina"/>
          <w:sz w:val="22"/>
          <w:szCs w:val="22"/>
        </w:rPr>
        <w:footnoteReference w:id="432"/>
      </w:r>
      <w:r w:rsidR="00B86DF5">
        <w:rPr>
          <w:sz w:val="22"/>
          <w:szCs w:val="22"/>
        </w:rPr>
        <w:t>)</w:t>
      </w:r>
      <w:r>
        <w:rPr>
          <w:sz w:val="22"/>
          <w:szCs w:val="22"/>
        </w:rPr>
        <w:t xml:space="preserve">. Invece </w:t>
      </w:r>
      <w:r w:rsidR="00A273F8">
        <w:rPr>
          <w:sz w:val="22"/>
          <w:szCs w:val="22"/>
        </w:rPr>
        <w:t xml:space="preserve">di valorizzare </w:t>
      </w:r>
      <w:r w:rsidR="00B6259E">
        <w:rPr>
          <w:sz w:val="22"/>
          <w:szCs w:val="22"/>
        </w:rPr>
        <w:t xml:space="preserve">il proprio ruolo </w:t>
      </w:r>
      <w:r>
        <w:rPr>
          <w:sz w:val="22"/>
          <w:szCs w:val="22"/>
        </w:rPr>
        <w:t>tributario</w:t>
      </w:r>
      <w:r w:rsidR="00B6259E">
        <w:rPr>
          <w:sz w:val="22"/>
          <w:szCs w:val="22"/>
        </w:rPr>
        <w:t>,</w:t>
      </w:r>
      <w:r w:rsidR="00A273F8">
        <w:rPr>
          <w:sz w:val="22"/>
          <w:szCs w:val="22"/>
        </w:rPr>
        <w:t xml:space="preserve"> le aziende procedono in ordine sparso</w:t>
      </w:r>
      <w:r w:rsidR="00B6259E">
        <w:rPr>
          <w:sz w:val="22"/>
          <w:szCs w:val="22"/>
        </w:rPr>
        <w:t>,</w:t>
      </w:r>
      <w:r w:rsidR="00A273F8">
        <w:rPr>
          <w:sz w:val="22"/>
          <w:szCs w:val="22"/>
        </w:rPr>
        <w:t xml:space="preserve"> cerca</w:t>
      </w:r>
      <w:r w:rsidR="00B6259E">
        <w:rPr>
          <w:sz w:val="22"/>
          <w:szCs w:val="22"/>
        </w:rPr>
        <w:t>ndo</w:t>
      </w:r>
      <w:r w:rsidR="00A273F8">
        <w:rPr>
          <w:sz w:val="22"/>
          <w:szCs w:val="22"/>
        </w:rPr>
        <w:t xml:space="preserve"> vantaggi fiscali settoriali,</w:t>
      </w:r>
      <w:r w:rsidR="00B6259E">
        <w:rPr>
          <w:sz w:val="22"/>
          <w:szCs w:val="22"/>
        </w:rPr>
        <w:t xml:space="preserve"> </w:t>
      </w:r>
      <w:r>
        <w:t xml:space="preserve">come </w:t>
      </w:r>
      <w:proofErr w:type="spellStart"/>
      <w:r>
        <w:t>normette</w:t>
      </w:r>
      <w:proofErr w:type="spellEnd"/>
      <w:r>
        <w:t xml:space="preserve"> di favore (tipo “superammortamento”, “</w:t>
      </w:r>
      <w:proofErr w:type="spellStart"/>
      <w:r>
        <w:t>patent</w:t>
      </w:r>
      <w:proofErr w:type="spellEnd"/>
      <w:r>
        <w:t xml:space="preserve"> box”, </w:t>
      </w:r>
      <w:r w:rsidRPr="00DF2EAC">
        <w:rPr>
          <w:i/>
        </w:rPr>
        <w:t>welfare aziendale</w:t>
      </w:r>
      <w:r>
        <w:t xml:space="preserve"> , ACE o altri contentini) barattando il riconoscimento di ruolo sociale per un piatto di lenticchie</w:t>
      </w:r>
      <w:r w:rsidRPr="00F92D8D">
        <w:t xml:space="preserve"> </w:t>
      </w:r>
      <w:r>
        <w:t>(cfr. i</w:t>
      </w:r>
      <w:r w:rsidRPr="007F7EBF">
        <w:t>l post “Aziende in ordine sparso al macello” in</w:t>
      </w:r>
      <w:r>
        <w:t xml:space="preserve"> wwwfondazionestuditributari.com). Invece di fare fronte comune in nome dell’idea di azienda, esse si disperdono in </w:t>
      </w:r>
      <w:r w:rsidRPr="007F7EBF">
        <w:t xml:space="preserve">miopi bisticci, </w:t>
      </w:r>
      <w:r>
        <w:t>come i</w:t>
      </w:r>
      <w:r w:rsidRPr="007F7EBF">
        <w:t xml:space="preserve"> capponi di Renzo di manzoniana memoria</w:t>
      </w:r>
      <w:r>
        <w:t xml:space="preserve">, senza consapevolezza di essere un “gruppo sociale”, una sorta di “bene comune”. </w:t>
      </w:r>
      <w:r w:rsidRPr="007F7EBF">
        <w:rPr>
          <w:sz w:val="22"/>
          <w:szCs w:val="22"/>
        </w:rPr>
        <w:t>L</w:t>
      </w:r>
      <w:r>
        <w:rPr>
          <w:sz w:val="22"/>
          <w:szCs w:val="22"/>
        </w:rPr>
        <w:t>o stesso per l</w:t>
      </w:r>
      <w:r w:rsidRPr="007F7EBF">
        <w:rPr>
          <w:sz w:val="22"/>
          <w:szCs w:val="22"/>
        </w:rPr>
        <w:t xml:space="preserve">e associazioni di categoria </w:t>
      </w:r>
      <w:r>
        <w:t>(</w:t>
      </w:r>
      <w:r w:rsidRPr="007F7EBF">
        <w:t xml:space="preserve">Assonime, </w:t>
      </w:r>
      <w:proofErr w:type="spellStart"/>
      <w:r w:rsidRPr="007F7EBF">
        <w:t>Ania</w:t>
      </w:r>
      <w:proofErr w:type="spellEnd"/>
      <w:r w:rsidRPr="007F7EBF">
        <w:t xml:space="preserve">, </w:t>
      </w:r>
      <w:proofErr w:type="spellStart"/>
      <w:r w:rsidRPr="007F7EBF">
        <w:t>Abi</w:t>
      </w:r>
      <w:proofErr w:type="spellEnd"/>
      <w:r w:rsidRPr="007F7EBF">
        <w:t>, Confcommercio, etc.</w:t>
      </w:r>
      <w:r>
        <w:t>)</w:t>
      </w:r>
      <w:r w:rsidRPr="005C498C">
        <w:rPr>
          <w:sz w:val="22"/>
          <w:szCs w:val="22"/>
        </w:rPr>
        <w:t xml:space="preserve"> </w:t>
      </w:r>
      <w:r>
        <w:rPr>
          <w:sz w:val="22"/>
          <w:szCs w:val="22"/>
        </w:rPr>
        <w:t xml:space="preserve">che </w:t>
      </w:r>
      <w:r w:rsidRPr="007F7EBF">
        <w:rPr>
          <w:sz w:val="22"/>
          <w:szCs w:val="22"/>
        </w:rPr>
        <w:t>giocano di rimessa rispetto all'iniziativa politic</w:t>
      </w:r>
      <w:r>
        <w:rPr>
          <w:sz w:val="22"/>
          <w:szCs w:val="22"/>
        </w:rPr>
        <w:t>o-amministrativ</w:t>
      </w:r>
      <w:r w:rsidRPr="007F7EBF">
        <w:rPr>
          <w:sz w:val="22"/>
          <w:szCs w:val="22"/>
        </w:rPr>
        <w:t>a di cui al par.2.4.</w:t>
      </w:r>
      <w:r w:rsidR="00B6259E">
        <w:rPr>
          <w:sz w:val="22"/>
          <w:szCs w:val="22"/>
        </w:rPr>
        <w:t>senza fare gruppo, con</w:t>
      </w:r>
      <w:r w:rsidR="00A273F8">
        <w:rPr>
          <w:sz w:val="22"/>
          <w:szCs w:val="22"/>
        </w:rPr>
        <w:t xml:space="preserve"> gelosi</w:t>
      </w:r>
      <w:r w:rsidR="00B6259E">
        <w:rPr>
          <w:sz w:val="22"/>
          <w:szCs w:val="22"/>
        </w:rPr>
        <w:t>e</w:t>
      </w:r>
      <w:r w:rsidR="00A273F8">
        <w:rPr>
          <w:sz w:val="22"/>
          <w:szCs w:val="22"/>
        </w:rPr>
        <w:t xml:space="preserve"> e diffidenz</w:t>
      </w:r>
      <w:r w:rsidR="00B6259E">
        <w:rPr>
          <w:sz w:val="22"/>
          <w:szCs w:val="22"/>
        </w:rPr>
        <w:t>e</w:t>
      </w:r>
      <w:r w:rsidR="00A273F8">
        <w:rPr>
          <w:sz w:val="22"/>
          <w:szCs w:val="22"/>
        </w:rPr>
        <w:t xml:space="preserve"> </w:t>
      </w:r>
      <w:r w:rsidR="00A273F8" w:rsidRPr="0039287A">
        <w:rPr>
          <w:sz w:val="22"/>
          <w:szCs w:val="22"/>
        </w:rPr>
        <w:t>reciproc</w:t>
      </w:r>
      <w:r w:rsidR="00B6259E">
        <w:rPr>
          <w:sz w:val="22"/>
          <w:szCs w:val="22"/>
        </w:rPr>
        <w:t>he</w:t>
      </w:r>
      <w:r w:rsidR="00830D69">
        <w:rPr>
          <w:sz w:val="22"/>
          <w:szCs w:val="22"/>
        </w:rPr>
        <w:t>. Al</w:t>
      </w:r>
      <w:r w:rsidR="00B6259E">
        <w:t xml:space="preserve"> contrario, </w:t>
      </w:r>
      <w:r w:rsidR="00E75F88">
        <w:t>l</w:t>
      </w:r>
      <w:r w:rsidR="00AC11FF">
        <w:rPr>
          <w:sz w:val="22"/>
          <w:szCs w:val="22"/>
        </w:rPr>
        <w:t xml:space="preserve">e </w:t>
      </w:r>
      <w:r w:rsidR="00CA2E91" w:rsidRPr="007F7EBF">
        <w:rPr>
          <w:sz w:val="22"/>
          <w:szCs w:val="22"/>
        </w:rPr>
        <w:t>associazioni d</w:t>
      </w:r>
      <w:r w:rsidR="00BC4298">
        <w:rPr>
          <w:sz w:val="22"/>
          <w:szCs w:val="22"/>
        </w:rPr>
        <w:t xml:space="preserve">i piccoli commercianti, artigiani e </w:t>
      </w:r>
      <w:r w:rsidR="00CA2E91" w:rsidRPr="007F7EBF">
        <w:rPr>
          <w:sz w:val="22"/>
          <w:szCs w:val="22"/>
        </w:rPr>
        <w:t>lavoratori dipendenti</w:t>
      </w:r>
      <w:r w:rsidR="00E75F88">
        <w:rPr>
          <w:sz w:val="22"/>
          <w:szCs w:val="22"/>
        </w:rPr>
        <w:t xml:space="preserve"> sono </w:t>
      </w:r>
      <w:r w:rsidR="00AC11FF">
        <w:rPr>
          <w:sz w:val="22"/>
          <w:szCs w:val="22"/>
        </w:rPr>
        <w:t>più compatte</w:t>
      </w:r>
      <w:r w:rsidR="00B6259E">
        <w:rPr>
          <w:sz w:val="22"/>
          <w:szCs w:val="22"/>
        </w:rPr>
        <w:t xml:space="preserve">, ma </w:t>
      </w:r>
      <w:r w:rsidR="00F51D0C" w:rsidRPr="007F7EBF">
        <w:rPr>
          <w:sz w:val="22"/>
          <w:szCs w:val="22"/>
        </w:rPr>
        <w:t xml:space="preserve">troppo </w:t>
      </w:r>
      <w:r w:rsidR="00CA2E91" w:rsidRPr="007F7EBF">
        <w:rPr>
          <w:sz w:val="22"/>
          <w:szCs w:val="22"/>
        </w:rPr>
        <w:t>condizionat</w:t>
      </w:r>
      <w:r w:rsidR="00F51D0C" w:rsidRPr="007F7EBF">
        <w:rPr>
          <w:sz w:val="22"/>
          <w:szCs w:val="22"/>
        </w:rPr>
        <w:t>e</w:t>
      </w:r>
      <w:r w:rsidR="00CA2E91" w:rsidRPr="007F7EBF">
        <w:rPr>
          <w:sz w:val="22"/>
          <w:szCs w:val="22"/>
        </w:rPr>
        <w:t xml:space="preserve"> dalle </w:t>
      </w:r>
      <w:r w:rsidR="00C72998">
        <w:rPr>
          <w:sz w:val="22"/>
          <w:szCs w:val="22"/>
        </w:rPr>
        <w:t>polemiche politiche sull’evasione (</w:t>
      </w:r>
      <w:r w:rsidR="00CA2E91" w:rsidRPr="007F7EBF">
        <w:rPr>
          <w:sz w:val="22"/>
          <w:szCs w:val="22"/>
        </w:rPr>
        <w:t>par.4.6</w:t>
      </w:r>
      <w:r w:rsidR="00C72998">
        <w:rPr>
          <w:sz w:val="22"/>
          <w:szCs w:val="22"/>
        </w:rPr>
        <w:t>)</w:t>
      </w:r>
      <w:r w:rsidR="00CA2E91" w:rsidRPr="007F7EBF">
        <w:rPr>
          <w:sz w:val="22"/>
          <w:szCs w:val="22"/>
        </w:rPr>
        <w:t xml:space="preserve"> </w:t>
      </w:r>
      <w:r w:rsidR="00BC4298">
        <w:rPr>
          <w:sz w:val="22"/>
          <w:szCs w:val="22"/>
        </w:rPr>
        <w:t xml:space="preserve">per </w:t>
      </w:r>
      <w:r w:rsidR="00AC11FF">
        <w:rPr>
          <w:sz w:val="22"/>
          <w:szCs w:val="22"/>
        </w:rPr>
        <w:t>contribuire a</w:t>
      </w:r>
      <w:r w:rsidR="00BC4298">
        <w:rPr>
          <w:sz w:val="22"/>
          <w:szCs w:val="22"/>
        </w:rPr>
        <w:t xml:space="preserve"> spiegazioni </w:t>
      </w:r>
      <w:r w:rsidR="00AE12A1">
        <w:rPr>
          <w:sz w:val="22"/>
          <w:szCs w:val="22"/>
        </w:rPr>
        <w:t>scientifico sociali</w:t>
      </w:r>
      <w:r w:rsidR="00BC4298">
        <w:rPr>
          <w:sz w:val="22"/>
          <w:szCs w:val="22"/>
        </w:rPr>
        <w:t xml:space="preserve"> </w:t>
      </w:r>
      <w:r w:rsidR="00AC11FF">
        <w:rPr>
          <w:sz w:val="22"/>
          <w:szCs w:val="22"/>
        </w:rPr>
        <w:t>della funzione tributaria</w:t>
      </w:r>
      <w:r w:rsidR="007848E1">
        <w:rPr>
          <w:sz w:val="22"/>
          <w:szCs w:val="22"/>
        </w:rPr>
        <w:t xml:space="preserve">. </w:t>
      </w:r>
    </w:p>
    <w:p w14:paraId="6A8D5EAF" w14:textId="003F59C4" w:rsidR="00615D4E" w:rsidRPr="007F7EBF" w:rsidRDefault="00BB6912" w:rsidP="00615D4E">
      <w:pPr>
        <w:pStyle w:val="tit23"/>
        <w:ind w:left="6464" w:right="-1361" w:firstLine="0"/>
        <w:jc w:val="left"/>
        <w:rPr>
          <w:b/>
          <w:bCs/>
          <w:i/>
          <w:iCs/>
          <w:color w:val="0000FF"/>
          <w:lang w:val="it-IT"/>
        </w:rPr>
      </w:pPr>
      <w:r>
        <w:rPr>
          <w:b/>
          <w:bCs/>
          <w:i/>
          <w:iCs/>
          <w:color w:val="0000FF"/>
          <w:lang w:val="it-IT"/>
        </w:rPr>
        <w:t xml:space="preserve">Inidoneità dei mass media </w:t>
      </w:r>
    </w:p>
    <w:p w14:paraId="4F3A8962" w14:textId="4D5B1C09" w:rsidR="00120BB2" w:rsidRPr="007F7EBF" w:rsidRDefault="001D36B9" w:rsidP="00201DC6">
      <w:pPr>
        <w:rPr>
          <w:b/>
          <w:bCs/>
          <w:i/>
          <w:iCs/>
          <w:color w:val="0000FF"/>
        </w:rPr>
      </w:pPr>
      <w:r>
        <w:rPr>
          <w:sz w:val="22"/>
          <w:szCs w:val="22"/>
        </w:rPr>
        <w:t>S</w:t>
      </w:r>
      <w:r w:rsidR="00AE12A1">
        <w:rPr>
          <w:sz w:val="22"/>
          <w:szCs w:val="22"/>
        </w:rPr>
        <w:t xml:space="preserve">piegazioni </w:t>
      </w:r>
      <w:r>
        <w:rPr>
          <w:sz w:val="22"/>
          <w:szCs w:val="22"/>
        </w:rPr>
        <w:t xml:space="preserve">sociali </w:t>
      </w:r>
      <w:r w:rsidR="00AE12A1">
        <w:rPr>
          <w:sz w:val="22"/>
          <w:szCs w:val="22"/>
        </w:rPr>
        <w:t>non</w:t>
      </w:r>
      <w:r w:rsidR="00740A33">
        <w:rPr>
          <w:sz w:val="22"/>
          <w:szCs w:val="22"/>
        </w:rPr>
        <w:t xml:space="preserve"> </w:t>
      </w:r>
      <w:r w:rsidR="00AC11FF">
        <w:rPr>
          <w:sz w:val="22"/>
          <w:szCs w:val="22"/>
        </w:rPr>
        <w:t>possono</w:t>
      </w:r>
      <w:r w:rsidR="00740A33">
        <w:rPr>
          <w:sz w:val="22"/>
          <w:szCs w:val="22"/>
        </w:rPr>
        <w:t xml:space="preserve"> giungere neppure dai mezzi di comunicazione,</w:t>
      </w:r>
      <w:r w:rsidR="00A55D4E" w:rsidRPr="007F7EBF">
        <w:rPr>
          <w:i/>
          <w:sz w:val="22"/>
          <w:szCs w:val="22"/>
        </w:rPr>
        <w:t xml:space="preserve"> </w:t>
      </w:r>
      <w:r w:rsidR="00A55D4E" w:rsidRPr="00EC6B25">
        <w:rPr>
          <w:sz w:val="22"/>
          <w:szCs w:val="22"/>
        </w:rPr>
        <w:t xml:space="preserve">cartacei, televisivi , </w:t>
      </w:r>
      <w:r w:rsidR="00A55D4E" w:rsidRPr="00EC6B25">
        <w:rPr>
          <w:i/>
          <w:sz w:val="22"/>
          <w:szCs w:val="22"/>
        </w:rPr>
        <w:t>online</w:t>
      </w:r>
      <w:r w:rsidR="00A55D4E" w:rsidRPr="00EC6B25">
        <w:rPr>
          <w:sz w:val="22"/>
          <w:szCs w:val="22"/>
        </w:rPr>
        <w:t xml:space="preserve"> </w:t>
      </w:r>
      <w:r w:rsidR="00740A33">
        <w:rPr>
          <w:sz w:val="22"/>
          <w:szCs w:val="22"/>
        </w:rPr>
        <w:t>e</w:t>
      </w:r>
      <w:r w:rsidR="00A55D4E" w:rsidRPr="00EC6B25">
        <w:rPr>
          <w:sz w:val="22"/>
          <w:szCs w:val="22"/>
        </w:rPr>
        <w:t xml:space="preserve"> </w:t>
      </w:r>
      <w:r w:rsidR="00A55D4E" w:rsidRPr="00EC6B25">
        <w:rPr>
          <w:i/>
          <w:sz w:val="22"/>
          <w:szCs w:val="22"/>
        </w:rPr>
        <w:t>social</w:t>
      </w:r>
      <w:r w:rsidR="00B40682">
        <w:rPr>
          <w:sz w:val="22"/>
          <w:szCs w:val="22"/>
        </w:rPr>
        <w:t>, punto di emersione della discussione pu</w:t>
      </w:r>
      <w:r w:rsidR="00740A33">
        <w:rPr>
          <w:sz w:val="22"/>
          <w:szCs w:val="22"/>
        </w:rPr>
        <w:t>bblica</w:t>
      </w:r>
      <w:r w:rsidR="005B79A0">
        <w:rPr>
          <w:sz w:val="22"/>
          <w:szCs w:val="22"/>
        </w:rPr>
        <w:t xml:space="preserve">. </w:t>
      </w:r>
      <w:r w:rsidR="00383B23">
        <w:rPr>
          <w:sz w:val="22"/>
          <w:szCs w:val="22"/>
        </w:rPr>
        <w:t xml:space="preserve"> Come indicato a</w:t>
      </w:r>
      <w:r w:rsidR="005B79A0">
        <w:rPr>
          <w:sz w:val="22"/>
          <w:szCs w:val="22"/>
        </w:rPr>
        <w:t xml:space="preserve">l par.1.8 di studi sociali e diritto, citato in premessa, </w:t>
      </w:r>
      <w:r w:rsidR="00383B23">
        <w:rPr>
          <w:sz w:val="22"/>
          <w:szCs w:val="22"/>
        </w:rPr>
        <w:t xml:space="preserve">i mezzi di comunicazione non si dirigono agli interessati al tema, all’opinione pubblica di settore di cui al par.4.1, ma </w:t>
      </w:r>
      <w:r w:rsidR="00BE0F8A">
        <w:rPr>
          <w:sz w:val="22"/>
          <w:szCs w:val="22"/>
        </w:rPr>
        <w:t xml:space="preserve">a </w:t>
      </w:r>
      <w:r w:rsidR="00A740FE">
        <w:rPr>
          <w:sz w:val="22"/>
          <w:szCs w:val="22"/>
        </w:rPr>
        <w:t>chiunque acquisti un certo quotidiano o si trovi davanti al televisore in una certa fascia oraria</w:t>
      </w:r>
      <w:r w:rsidR="00BE0F8A">
        <w:rPr>
          <w:sz w:val="22"/>
          <w:szCs w:val="22"/>
        </w:rPr>
        <w:t>;</w:t>
      </w:r>
      <w:r w:rsidR="00383B23">
        <w:rPr>
          <w:sz w:val="22"/>
          <w:szCs w:val="22"/>
        </w:rPr>
        <w:t xml:space="preserve"> per quel misto di informazione e intrattenimento chiamato </w:t>
      </w:r>
      <w:r w:rsidR="00383B23">
        <w:rPr>
          <w:i/>
          <w:iCs/>
          <w:sz w:val="22"/>
          <w:szCs w:val="22"/>
        </w:rPr>
        <w:t xml:space="preserve">infotainment </w:t>
      </w:r>
      <w:r w:rsidR="00383B23">
        <w:rPr>
          <w:sz w:val="22"/>
          <w:szCs w:val="22"/>
        </w:rPr>
        <w:t xml:space="preserve">conviene che il bagaglio conoscitivo degli ascoltatori resti sempre il medesimo, cioè che le conoscenze non si </w:t>
      </w:r>
      <w:r w:rsidR="00383B23">
        <w:rPr>
          <w:sz w:val="22"/>
          <w:szCs w:val="22"/>
        </w:rPr>
        <w:lastRenderedPageBreak/>
        <w:t>sedimentino; questo consente di far leva sempre sugli stessi fattori di attrazione mediatica, i luoghi comuni dell’evasore furbetto e del fisco vessatorio. I</w:t>
      </w:r>
      <w:r w:rsidR="000F1883" w:rsidRPr="007F7EBF">
        <w:rPr>
          <w:sz w:val="22"/>
          <w:szCs w:val="22"/>
        </w:rPr>
        <w:t xml:space="preserve"> dibattiti e i servizi di trent'anni fa sull'evasione fiscale sembrano </w:t>
      </w:r>
      <w:r w:rsidR="000431D6">
        <w:rPr>
          <w:sz w:val="22"/>
          <w:szCs w:val="22"/>
        </w:rPr>
        <w:t>scritti</w:t>
      </w:r>
      <w:r w:rsidR="000F1883" w:rsidRPr="007F7EBF">
        <w:rPr>
          <w:sz w:val="22"/>
          <w:szCs w:val="22"/>
        </w:rPr>
        <w:t xml:space="preserve"> ieri</w:t>
      </w:r>
      <w:r w:rsidR="00850104">
        <w:rPr>
          <w:sz w:val="22"/>
          <w:szCs w:val="22"/>
        </w:rPr>
        <w:t xml:space="preserve">, </w:t>
      </w:r>
      <w:r w:rsidR="00383B23">
        <w:rPr>
          <w:sz w:val="22"/>
          <w:szCs w:val="22"/>
        </w:rPr>
        <w:t>ripartendo sempre da zero, con</w:t>
      </w:r>
      <w:r w:rsidR="002571D1">
        <w:rPr>
          <w:sz w:val="22"/>
          <w:szCs w:val="22"/>
        </w:rPr>
        <w:t xml:space="preserve"> ricaduta formativa deludente </w:t>
      </w:r>
      <w:r w:rsidR="00C95241">
        <w:rPr>
          <w:sz w:val="22"/>
          <w:szCs w:val="22"/>
        </w:rPr>
        <w:t>rispetto alle energie assorbite</w:t>
      </w:r>
      <w:r w:rsidR="00386C53" w:rsidRPr="0060291E">
        <w:t>.</w:t>
      </w:r>
      <w:r w:rsidR="00386C53">
        <w:rPr>
          <w:sz w:val="22"/>
          <w:szCs w:val="22"/>
        </w:rPr>
        <w:t xml:space="preserve"> </w:t>
      </w:r>
      <w:r w:rsidR="004F0179">
        <w:t xml:space="preserve"> </w:t>
      </w:r>
    </w:p>
    <w:p w14:paraId="13B55ABB" w14:textId="295AD614" w:rsidR="00D26884" w:rsidRPr="007F7EBF" w:rsidRDefault="005B6C3C" w:rsidP="0000585E">
      <w:pPr>
        <w:pStyle w:val="Titolo3"/>
        <w:rPr>
          <w:rFonts w:ascii="Times New Roman" w:hAnsi="Times New Roman"/>
          <w:sz w:val="22"/>
          <w:szCs w:val="22"/>
        </w:rPr>
      </w:pPr>
      <w:bookmarkStart w:id="53" w:name="_Toc63364969"/>
      <w:r w:rsidRPr="007F7EBF">
        <w:rPr>
          <w:rFonts w:ascii="Times New Roman" w:hAnsi="Times New Roman"/>
          <w:sz w:val="22"/>
          <w:szCs w:val="22"/>
        </w:rPr>
        <w:t xml:space="preserve">4.5. </w:t>
      </w:r>
      <w:r w:rsidR="00E933D3">
        <w:rPr>
          <w:rFonts w:ascii="Times New Roman" w:hAnsi="Times New Roman"/>
          <w:sz w:val="22"/>
          <w:szCs w:val="22"/>
          <w:lang w:val="it-IT"/>
        </w:rPr>
        <w:t>S</w:t>
      </w:r>
      <w:r w:rsidR="00243C72">
        <w:rPr>
          <w:rFonts w:ascii="Times New Roman" w:hAnsi="Times New Roman"/>
          <w:sz w:val="22"/>
          <w:szCs w:val="22"/>
          <w:lang w:val="it-IT"/>
        </w:rPr>
        <w:t>pontaneis</w:t>
      </w:r>
      <w:r w:rsidR="00E933D3">
        <w:rPr>
          <w:rFonts w:ascii="Times New Roman" w:hAnsi="Times New Roman"/>
          <w:sz w:val="22"/>
          <w:szCs w:val="22"/>
          <w:lang w:val="it-IT"/>
        </w:rPr>
        <w:t xml:space="preserve">mo </w:t>
      </w:r>
      <w:r w:rsidR="00B10281">
        <w:rPr>
          <w:rFonts w:ascii="Times New Roman" w:hAnsi="Times New Roman"/>
          <w:sz w:val="22"/>
          <w:szCs w:val="22"/>
          <w:lang w:val="it-IT"/>
        </w:rPr>
        <w:t>d</w:t>
      </w:r>
      <w:r w:rsidR="00243C72">
        <w:rPr>
          <w:rFonts w:ascii="Times New Roman" w:hAnsi="Times New Roman"/>
          <w:sz w:val="22"/>
          <w:szCs w:val="22"/>
          <w:lang w:val="it-IT"/>
        </w:rPr>
        <w:t>ella pubblica opinione</w:t>
      </w:r>
      <w:r w:rsidR="00E933D3">
        <w:rPr>
          <w:rFonts w:ascii="Times New Roman" w:hAnsi="Times New Roman"/>
          <w:sz w:val="22"/>
          <w:szCs w:val="22"/>
          <w:lang w:val="it-IT"/>
        </w:rPr>
        <w:t xml:space="preserve"> tra</w:t>
      </w:r>
      <w:r w:rsidR="00985A6E">
        <w:rPr>
          <w:rFonts w:ascii="Times New Roman" w:hAnsi="Times New Roman"/>
          <w:sz w:val="22"/>
          <w:szCs w:val="22"/>
          <w:lang w:val="it-IT"/>
        </w:rPr>
        <w:t xml:space="preserve"> “</w:t>
      </w:r>
      <w:r w:rsidR="00E933D3">
        <w:rPr>
          <w:rFonts w:ascii="Times New Roman" w:hAnsi="Times New Roman"/>
          <w:sz w:val="22"/>
          <w:szCs w:val="22"/>
          <w:lang w:val="it-IT"/>
        </w:rPr>
        <w:t xml:space="preserve">eccessività delle </w:t>
      </w:r>
      <w:r w:rsidR="00985A6E">
        <w:rPr>
          <w:rFonts w:ascii="Times New Roman" w:hAnsi="Times New Roman"/>
          <w:sz w:val="22"/>
          <w:szCs w:val="22"/>
          <w:lang w:val="it-IT"/>
        </w:rPr>
        <w:t>a</w:t>
      </w:r>
      <w:proofErr w:type="spellStart"/>
      <w:r w:rsidR="006342C5" w:rsidRPr="007F7EBF">
        <w:rPr>
          <w:rFonts w:ascii="Times New Roman" w:hAnsi="Times New Roman"/>
          <w:sz w:val="22"/>
          <w:szCs w:val="22"/>
        </w:rPr>
        <w:t>liquote</w:t>
      </w:r>
      <w:proofErr w:type="spellEnd"/>
      <w:r w:rsidR="006342C5" w:rsidRPr="007F7EBF">
        <w:rPr>
          <w:rFonts w:ascii="Times New Roman" w:hAnsi="Times New Roman"/>
          <w:sz w:val="22"/>
          <w:szCs w:val="22"/>
        </w:rPr>
        <w:t>”,</w:t>
      </w:r>
      <w:r w:rsidR="008152A4" w:rsidRPr="007F7EBF">
        <w:rPr>
          <w:rFonts w:ascii="Times New Roman" w:hAnsi="Times New Roman"/>
          <w:sz w:val="22"/>
          <w:szCs w:val="22"/>
        </w:rPr>
        <w:t xml:space="preserve"> </w:t>
      </w:r>
      <w:r w:rsidR="005A0F7D" w:rsidRPr="007F7EBF">
        <w:rPr>
          <w:rFonts w:ascii="Times New Roman" w:hAnsi="Times New Roman"/>
          <w:sz w:val="22"/>
          <w:szCs w:val="22"/>
        </w:rPr>
        <w:t xml:space="preserve">“senso civico”, </w:t>
      </w:r>
      <w:r w:rsidR="006342C5" w:rsidRPr="007F7EBF">
        <w:rPr>
          <w:rFonts w:ascii="Times New Roman" w:hAnsi="Times New Roman"/>
          <w:sz w:val="22"/>
          <w:szCs w:val="22"/>
        </w:rPr>
        <w:t>“</w:t>
      </w:r>
      <w:r w:rsidR="00DA2177" w:rsidRPr="007F7EBF">
        <w:rPr>
          <w:rFonts w:ascii="Times New Roman" w:hAnsi="Times New Roman"/>
          <w:sz w:val="22"/>
          <w:szCs w:val="22"/>
          <w:lang w:val="it-IT"/>
        </w:rPr>
        <w:t xml:space="preserve">generalizzazione della </w:t>
      </w:r>
      <w:r w:rsidR="009368F5" w:rsidRPr="007F7EBF">
        <w:rPr>
          <w:rFonts w:ascii="Times New Roman" w:hAnsi="Times New Roman"/>
          <w:sz w:val="22"/>
          <w:szCs w:val="22"/>
          <w:lang w:val="it-IT"/>
        </w:rPr>
        <w:t>contabilità</w:t>
      </w:r>
      <w:r w:rsidRPr="007F7EBF">
        <w:rPr>
          <w:rFonts w:ascii="Times New Roman" w:hAnsi="Times New Roman"/>
          <w:sz w:val="22"/>
          <w:szCs w:val="22"/>
          <w:lang w:val="it-IT"/>
        </w:rPr>
        <w:t xml:space="preserve">”, </w:t>
      </w:r>
      <w:r w:rsidR="009368F5" w:rsidRPr="007F7EBF">
        <w:rPr>
          <w:rFonts w:ascii="Times New Roman" w:hAnsi="Times New Roman"/>
          <w:sz w:val="22"/>
          <w:szCs w:val="22"/>
          <w:lang w:val="it-IT"/>
        </w:rPr>
        <w:t>“</w:t>
      </w:r>
      <w:proofErr w:type="spellStart"/>
      <w:r w:rsidR="00DA2177" w:rsidRPr="007F7EBF">
        <w:rPr>
          <w:rFonts w:ascii="Times New Roman" w:hAnsi="Times New Roman"/>
          <w:sz w:val="22"/>
          <w:szCs w:val="22"/>
          <w:lang w:val="it-IT"/>
        </w:rPr>
        <w:t>catastizzazione</w:t>
      </w:r>
      <w:proofErr w:type="spellEnd"/>
      <w:r w:rsidR="006342C5" w:rsidRPr="007F7EBF">
        <w:rPr>
          <w:rFonts w:ascii="Times New Roman" w:hAnsi="Times New Roman"/>
          <w:sz w:val="22"/>
          <w:szCs w:val="22"/>
        </w:rPr>
        <w:t>”</w:t>
      </w:r>
      <w:r w:rsidR="005A0F7D" w:rsidRPr="007F7EBF">
        <w:rPr>
          <w:rFonts w:ascii="Times New Roman" w:hAnsi="Times New Roman"/>
          <w:sz w:val="22"/>
          <w:szCs w:val="22"/>
        </w:rPr>
        <w:t>.</w:t>
      </w:r>
      <w:bookmarkEnd w:id="53"/>
      <w:r w:rsidR="005A0F7D" w:rsidRPr="007F7EBF">
        <w:rPr>
          <w:rFonts w:ascii="Times New Roman" w:hAnsi="Times New Roman"/>
          <w:sz w:val="22"/>
          <w:szCs w:val="22"/>
        </w:rPr>
        <w:t xml:space="preserve"> </w:t>
      </w:r>
    </w:p>
    <w:p w14:paraId="2F668184" w14:textId="77777777" w:rsidR="00D26884" w:rsidRPr="007F7EBF" w:rsidRDefault="007E639A" w:rsidP="00D26884">
      <w:pPr>
        <w:pStyle w:val="tit23"/>
        <w:ind w:left="6464" w:right="-1361" w:firstLine="0"/>
        <w:jc w:val="left"/>
        <w:rPr>
          <w:bCs/>
          <w:i/>
          <w:iCs/>
          <w:color w:val="0000FF"/>
          <w:lang w:val="it-IT"/>
        </w:rPr>
      </w:pPr>
      <w:r>
        <w:rPr>
          <w:bCs/>
          <w:i/>
          <w:iCs/>
          <w:color w:val="0000FF"/>
          <w:lang w:val="it-IT"/>
        </w:rPr>
        <w:t xml:space="preserve">Spiegazioni </w:t>
      </w:r>
      <w:r w:rsidR="00DA2177" w:rsidRPr="007F7EBF">
        <w:rPr>
          <w:bCs/>
          <w:i/>
          <w:iCs/>
          <w:color w:val="0000FF"/>
          <w:lang w:val="it-IT"/>
        </w:rPr>
        <w:t xml:space="preserve"> spontaneistiche</w:t>
      </w:r>
      <w:r>
        <w:rPr>
          <w:bCs/>
          <w:i/>
          <w:iCs/>
          <w:color w:val="0000FF"/>
          <w:lang w:val="it-IT"/>
        </w:rPr>
        <w:t xml:space="preserve"> </w:t>
      </w:r>
      <w:r w:rsidR="00DA2177" w:rsidRPr="007F7EBF">
        <w:rPr>
          <w:bCs/>
          <w:i/>
          <w:iCs/>
          <w:color w:val="0000FF"/>
          <w:lang w:val="it-IT"/>
        </w:rPr>
        <w:t xml:space="preserve">e semplicistiche </w:t>
      </w:r>
    </w:p>
    <w:p w14:paraId="0A8366AB" w14:textId="58670B6A" w:rsidR="00BE7A85" w:rsidRPr="008A6F0D" w:rsidRDefault="008B6CFF" w:rsidP="001230EC">
      <w:pPr>
        <w:autoSpaceDE w:val="0"/>
        <w:autoSpaceDN w:val="0"/>
        <w:adjustRightInd w:val="0"/>
        <w:rPr>
          <w:sz w:val="22"/>
          <w:szCs w:val="22"/>
        </w:rPr>
      </w:pPr>
      <w:r w:rsidRPr="007F7EBF">
        <w:rPr>
          <w:sz w:val="22"/>
          <w:szCs w:val="22"/>
        </w:rPr>
        <w:t xml:space="preserve">Davanti alla </w:t>
      </w:r>
      <w:r w:rsidR="00DA2177" w:rsidRPr="007F7EBF">
        <w:rPr>
          <w:sz w:val="22"/>
          <w:szCs w:val="22"/>
        </w:rPr>
        <w:t xml:space="preserve">confusione </w:t>
      </w:r>
      <w:r w:rsidR="00087238">
        <w:rPr>
          <w:sz w:val="22"/>
          <w:szCs w:val="22"/>
        </w:rPr>
        <w:t>di cui ai paragrafi precedenti</w:t>
      </w:r>
      <w:r w:rsidR="00691C5D">
        <w:rPr>
          <w:sz w:val="22"/>
          <w:szCs w:val="22"/>
        </w:rPr>
        <w:t>,</w:t>
      </w:r>
      <w:r w:rsidR="00087238">
        <w:rPr>
          <w:sz w:val="22"/>
          <w:szCs w:val="22"/>
        </w:rPr>
        <w:t xml:space="preserve"> </w:t>
      </w:r>
      <w:r w:rsidR="00691C5D">
        <w:rPr>
          <w:sz w:val="22"/>
          <w:szCs w:val="22"/>
        </w:rPr>
        <w:t xml:space="preserve">un’opinione pubblica </w:t>
      </w:r>
      <w:r w:rsidR="001F3D4F" w:rsidRPr="007F7EBF">
        <w:rPr>
          <w:sz w:val="22"/>
          <w:szCs w:val="22"/>
        </w:rPr>
        <w:t>spontaneis</w:t>
      </w:r>
      <w:r w:rsidR="00691C5D">
        <w:rPr>
          <w:sz w:val="22"/>
          <w:szCs w:val="22"/>
        </w:rPr>
        <w:t>ta come quella</w:t>
      </w:r>
      <w:r w:rsidR="005E12A0">
        <w:rPr>
          <w:sz w:val="22"/>
          <w:szCs w:val="22"/>
        </w:rPr>
        <w:t xml:space="preserve"> italiana</w:t>
      </w:r>
      <w:r w:rsidR="00691C5D">
        <w:rPr>
          <w:sz w:val="22"/>
          <w:szCs w:val="22"/>
        </w:rPr>
        <w:t xml:space="preserve"> (</w:t>
      </w:r>
      <w:r w:rsidR="005E12A0">
        <w:rPr>
          <w:sz w:val="22"/>
          <w:szCs w:val="22"/>
        </w:rPr>
        <w:t>par.</w:t>
      </w:r>
      <w:r w:rsidR="00FE3595" w:rsidRPr="00FE3595">
        <w:t xml:space="preserve"> </w:t>
      </w:r>
      <w:r w:rsidR="00FE3595">
        <w:t>4.1</w:t>
      </w:r>
      <w:r w:rsidR="00691C5D">
        <w:rPr>
          <w:sz w:val="22"/>
          <w:szCs w:val="22"/>
        </w:rPr>
        <w:t>)</w:t>
      </w:r>
      <w:r w:rsidR="005E12A0">
        <w:rPr>
          <w:sz w:val="22"/>
          <w:szCs w:val="22"/>
        </w:rPr>
        <w:t xml:space="preserve">, </w:t>
      </w:r>
      <w:r w:rsidR="00691C5D">
        <w:rPr>
          <w:sz w:val="22"/>
          <w:szCs w:val="22"/>
        </w:rPr>
        <w:t xml:space="preserve">reagisce costruendo </w:t>
      </w:r>
      <w:r w:rsidR="006D13D1">
        <w:rPr>
          <w:sz w:val="22"/>
          <w:szCs w:val="22"/>
        </w:rPr>
        <w:t>da sol</w:t>
      </w:r>
      <w:r w:rsidR="00691C5D">
        <w:rPr>
          <w:sz w:val="22"/>
          <w:szCs w:val="22"/>
        </w:rPr>
        <w:t xml:space="preserve">a </w:t>
      </w:r>
      <w:r w:rsidR="00087238">
        <w:rPr>
          <w:sz w:val="22"/>
          <w:szCs w:val="22"/>
        </w:rPr>
        <w:t xml:space="preserve">spiegazioni sociali della funzione tributaria, </w:t>
      </w:r>
      <w:r w:rsidR="00691C5D">
        <w:rPr>
          <w:sz w:val="22"/>
          <w:szCs w:val="22"/>
        </w:rPr>
        <w:t>del</w:t>
      </w:r>
      <w:r w:rsidR="00087238">
        <w:rPr>
          <w:sz w:val="22"/>
          <w:szCs w:val="22"/>
        </w:rPr>
        <w:t xml:space="preserve">l’adempimento e </w:t>
      </w:r>
      <w:r w:rsidR="00691C5D">
        <w:rPr>
          <w:sz w:val="22"/>
          <w:szCs w:val="22"/>
        </w:rPr>
        <w:t>del</w:t>
      </w:r>
      <w:r w:rsidR="00087238">
        <w:rPr>
          <w:sz w:val="22"/>
          <w:szCs w:val="22"/>
        </w:rPr>
        <w:t>l’evasione</w:t>
      </w:r>
      <w:r w:rsidR="002557A0">
        <w:rPr>
          <w:sz w:val="22"/>
          <w:szCs w:val="22"/>
        </w:rPr>
        <w:t>;</w:t>
      </w:r>
      <w:r w:rsidR="00C92A48">
        <w:rPr>
          <w:sz w:val="22"/>
          <w:szCs w:val="22"/>
        </w:rPr>
        <w:t xml:space="preserve"> </w:t>
      </w:r>
      <w:r w:rsidR="00691C5D">
        <w:rPr>
          <w:sz w:val="22"/>
          <w:szCs w:val="22"/>
        </w:rPr>
        <w:t>nel dibattito s</w:t>
      </w:r>
      <w:r w:rsidR="00087238">
        <w:rPr>
          <w:color w:val="14171A"/>
          <w:shd w:val="clear" w:color="auto" w:fill="FFFFFF"/>
        </w:rPr>
        <w:t xml:space="preserve">e ne colgono </w:t>
      </w:r>
      <w:r w:rsidR="005E12A0">
        <w:rPr>
          <w:color w:val="14171A"/>
          <w:shd w:val="clear" w:color="auto" w:fill="FFFFFF"/>
        </w:rPr>
        <w:t>molte schegge</w:t>
      </w:r>
      <w:r w:rsidR="00C92A48">
        <w:rPr>
          <w:color w:val="14171A"/>
          <w:shd w:val="clear" w:color="auto" w:fill="FFFFFF"/>
        </w:rPr>
        <w:t>, sensat</w:t>
      </w:r>
      <w:r w:rsidR="005E12A0">
        <w:rPr>
          <w:color w:val="14171A"/>
          <w:shd w:val="clear" w:color="auto" w:fill="FFFFFF"/>
        </w:rPr>
        <w:t>e</w:t>
      </w:r>
      <w:r w:rsidR="00087238">
        <w:rPr>
          <w:color w:val="14171A"/>
          <w:shd w:val="clear" w:color="auto" w:fill="FFFFFF"/>
        </w:rPr>
        <w:t xml:space="preserve"> </w:t>
      </w:r>
      <w:r w:rsidR="00087238" w:rsidRPr="007F7EBF">
        <w:rPr>
          <w:sz w:val="22"/>
          <w:szCs w:val="22"/>
        </w:rPr>
        <w:t>(</w:t>
      </w:r>
      <w:r w:rsidR="00087238" w:rsidRPr="007F7EBF">
        <w:rPr>
          <w:rStyle w:val="Rimandonotaapidipagina"/>
          <w:sz w:val="22"/>
          <w:szCs w:val="22"/>
        </w:rPr>
        <w:footnoteReference w:id="433"/>
      </w:r>
      <w:r w:rsidR="00087238" w:rsidRPr="007F7EBF">
        <w:rPr>
          <w:sz w:val="22"/>
          <w:szCs w:val="22"/>
        </w:rPr>
        <w:t xml:space="preserve">), </w:t>
      </w:r>
      <w:r w:rsidR="005E12A0">
        <w:rPr>
          <w:sz w:val="22"/>
          <w:szCs w:val="22"/>
        </w:rPr>
        <w:t xml:space="preserve">ma semplicistiche e </w:t>
      </w:r>
      <w:r w:rsidR="00087238">
        <w:rPr>
          <w:color w:val="14171A"/>
          <w:shd w:val="clear" w:color="auto" w:fill="FFFFFF"/>
        </w:rPr>
        <w:t>scoordinat</w:t>
      </w:r>
      <w:r w:rsidR="005E12A0">
        <w:rPr>
          <w:color w:val="14171A"/>
          <w:shd w:val="clear" w:color="auto" w:fill="FFFFFF"/>
        </w:rPr>
        <w:t>e</w:t>
      </w:r>
      <w:r w:rsidR="00087238">
        <w:rPr>
          <w:color w:val="14171A"/>
          <w:shd w:val="clear" w:color="auto" w:fill="FFFFFF"/>
        </w:rPr>
        <w:t xml:space="preserve">; </w:t>
      </w:r>
      <w:r w:rsidR="00F11F91" w:rsidRPr="007F7EBF">
        <w:rPr>
          <w:sz w:val="22"/>
          <w:szCs w:val="22"/>
        </w:rPr>
        <w:t>dall'uomo della strada a</w:t>
      </w:r>
      <w:r w:rsidR="00F86B07" w:rsidRPr="007F7EBF">
        <w:rPr>
          <w:sz w:val="22"/>
          <w:szCs w:val="22"/>
        </w:rPr>
        <w:t xml:space="preserve"> politici, </w:t>
      </w:r>
      <w:r w:rsidR="00DA2177" w:rsidRPr="007F7EBF">
        <w:rPr>
          <w:sz w:val="22"/>
          <w:szCs w:val="22"/>
        </w:rPr>
        <w:t xml:space="preserve">studiosi sociali di </w:t>
      </w:r>
      <w:r w:rsidR="00F11F91" w:rsidRPr="007F7EBF">
        <w:rPr>
          <w:sz w:val="22"/>
          <w:szCs w:val="22"/>
        </w:rPr>
        <w:t>altro</w:t>
      </w:r>
      <w:r w:rsidR="00DA2177" w:rsidRPr="007F7EBF">
        <w:rPr>
          <w:sz w:val="22"/>
          <w:szCs w:val="22"/>
        </w:rPr>
        <w:t xml:space="preserve"> genere,</w:t>
      </w:r>
      <w:r w:rsidR="00F11F91" w:rsidRPr="007F7EBF">
        <w:rPr>
          <w:sz w:val="22"/>
          <w:szCs w:val="22"/>
        </w:rPr>
        <w:t xml:space="preserve"> giornalisti, e vari personaggi in vista</w:t>
      </w:r>
      <w:r w:rsidR="006D13D1">
        <w:rPr>
          <w:sz w:val="22"/>
          <w:szCs w:val="22"/>
        </w:rPr>
        <w:t xml:space="preserve">, </w:t>
      </w:r>
      <w:r w:rsidR="005E12A0">
        <w:rPr>
          <w:sz w:val="22"/>
          <w:szCs w:val="22"/>
        </w:rPr>
        <w:t xml:space="preserve">tutti dicono la loro su questi temi </w:t>
      </w:r>
      <w:r w:rsidR="006D13D1" w:rsidRPr="007F7EBF">
        <w:rPr>
          <w:sz w:val="22"/>
          <w:szCs w:val="22"/>
        </w:rPr>
        <w:t>(</w:t>
      </w:r>
      <w:r w:rsidR="006D13D1" w:rsidRPr="007F7EBF">
        <w:rPr>
          <w:rStyle w:val="Rimandonotaapidipagina"/>
          <w:sz w:val="22"/>
          <w:szCs w:val="22"/>
        </w:rPr>
        <w:footnoteReference w:id="434"/>
      </w:r>
      <w:r w:rsidR="006D13D1" w:rsidRPr="007F7EBF">
        <w:rPr>
          <w:sz w:val="22"/>
          <w:szCs w:val="22"/>
        </w:rPr>
        <w:t xml:space="preserve">). </w:t>
      </w:r>
      <w:r w:rsidR="00087238">
        <w:rPr>
          <w:sz w:val="22"/>
          <w:szCs w:val="22"/>
        </w:rPr>
        <w:t>Il risultato</w:t>
      </w:r>
      <w:r w:rsidR="00716B2A">
        <w:rPr>
          <w:sz w:val="22"/>
          <w:szCs w:val="22"/>
        </w:rPr>
        <w:t xml:space="preserve"> è troppo vicino </w:t>
      </w:r>
      <w:r w:rsidR="00087238">
        <w:rPr>
          <w:sz w:val="22"/>
          <w:szCs w:val="22"/>
        </w:rPr>
        <w:t xml:space="preserve">ai discorsi di senso comune sul tema, </w:t>
      </w:r>
      <w:r w:rsidR="00716B2A">
        <w:rPr>
          <w:sz w:val="22"/>
          <w:szCs w:val="22"/>
        </w:rPr>
        <w:t xml:space="preserve">che gli studi </w:t>
      </w:r>
      <w:r w:rsidR="00087238">
        <w:rPr>
          <w:sz w:val="22"/>
          <w:szCs w:val="22"/>
        </w:rPr>
        <w:t xml:space="preserve">sociali, come indicato al par.4.7, dovrebbero </w:t>
      </w:r>
      <w:r w:rsidR="00716B2A">
        <w:rPr>
          <w:sz w:val="22"/>
          <w:szCs w:val="22"/>
        </w:rPr>
        <w:t xml:space="preserve">invece </w:t>
      </w:r>
      <w:r w:rsidR="00087238">
        <w:rPr>
          <w:sz w:val="22"/>
          <w:szCs w:val="22"/>
        </w:rPr>
        <w:t>coordina</w:t>
      </w:r>
      <w:r w:rsidR="00716B2A">
        <w:rPr>
          <w:sz w:val="22"/>
          <w:szCs w:val="22"/>
        </w:rPr>
        <w:t xml:space="preserve">re; si autoproduce infatti </w:t>
      </w:r>
      <w:r w:rsidR="004F5110" w:rsidRPr="007F7EBF">
        <w:rPr>
          <w:sz w:val="22"/>
          <w:szCs w:val="22"/>
        </w:rPr>
        <w:t xml:space="preserve">un confusionario </w:t>
      </w:r>
      <w:r w:rsidR="005A5EB8" w:rsidRPr="007F7EBF">
        <w:rPr>
          <w:sz w:val="22"/>
          <w:szCs w:val="22"/>
        </w:rPr>
        <w:t xml:space="preserve">intreccio di </w:t>
      </w:r>
      <w:r w:rsidR="004F5110" w:rsidRPr="007F7EBF">
        <w:rPr>
          <w:sz w:val="22"/>
          <w:szCs w:val="22"/>
        </w:rPr>
        <w:t>diagnosi e soluzioni</w:t>
      </w:r>
      <w:r w:rsidR="004F5110" w:rsidRPr="007F7EBF">
        <w:rPr>
          <w:b/>
          <w:sz w:val="22"/>
          <w:szCs w:val="22"/>
        </w:rPr>
        <w:t xml:space="preserve"> </w:t>
      </w:r>
      <w:r w:rsidR="004F5110" w:rsidRPr="007F7EBF">
        <w:rPr>
          <w:sz w:val="22"/>
          <w:szCs w:val="22"/>
        </w:rPr>
        <w:t>"fai da te"</w:t>
      </w:r>
      <w:r w:rsidR="004F3F93">
        <w:rPr>
          <w:sz w:val="22"/>
          <w:szCs w:val="22"/>
        </w:rPr>
        <w:t xml:space="preserve"> (</w:t>
      </w:r>
      <w:r w:rsidR="004F3F93">
        <w:rPr>
          <w:rStyle w:val="Rimandonotaapidipagina"/>
          <w:sz w:val="22"/>
          <w:szCs w:val="22"/>
        </w:rPr>
        <w:footnoteReference w:id="435"/>
      </w:r>
      <w:r w:rsidR="004F3F93">
        <w:rPr>
          <w:sz w:val="22"/>
          <w:szCs w:val="22"/>
        </w:rPr>
        <w:t>)</w:t>
      </w:r>
      <w:r w:rsidR="00DA2177" w:rsidRPr="007F7EBF">
        <w:rPr>
          <w:sz w:val="22"/>
          <w:szCs w:val="22"/>
        </w:rPr>
        <w:t xml:space="preserve">, sensate, ma riduttive, e talvolta strumentali, </w:t>
      </w:r>
      <w:r w:rsidR="00716B2A">
        <w:rPr>
          <w:sz w:val="22"/>
          <w:szCs w:val="22"/>
        </w:rPr>
        <w:t xml:space="preserve">inconsapevoli della </w:t>
      </w:r>
      <w:r w:rsidR="008A6F0D">
        <w:rPr>
          <w:sz w:val="22"/>
          <w:szCs w:val="22"/>
        </w:rPr>
        <w:t>diversa determinabilità de</w:t>
      </w:r>
      <w:r w:rsidR="00716B2A">
        <w:rPr>
          <w:sz w:val="22"/>
          <w:szCs w:val="22"/>
        </w:rPr>
        <w:t>i presupposti d’imposta, di cui parliamo dal par.1.5</w:t>
      </w:r>
      <w:r w:rsidR="001230EC" w:rsidRPr="007F7EBF">
        <w:rPr>
          <w:sz w:val="22"/>
          <w:szCs w:val="22"/>
        </w:rPr>
        <w:t xml:space="preserve">. </w:t>
      </w:r>
    </w:p>
    <w:p w14:paraId="6E066D0F" w14:textId="77777777" w:rsidR="00BE7A85" w:rsidRPr="007F7EBF" w:rsidRDefault="00BE7A85" w:rsidP="00BE7A85">
      <w:pPr>
        <w:pStyle w:val="tit23"/>
        <w:ind w:left="6464" w:right="-1361" w:firstLine="0"/>
        <w:jc w:val="left"/>
        <w:rPr>
          <w:bCs/>
          <w:i/>
          <w:iCs/>
          <w:color w:val="0000FF"/>
          <w:lang w:val="it-IT"/>
        </w:rPr>
      </w:pPr>
      <w:r w:rsidRPr="007F7EBF">
        <w:rPr>
          <w:bCs/>
          <w:i/>
          <w:iCs/>
          <w:color w:val="0000FF"/>
          <w:lang w:val="it-IT"/>
        </w:rPr>
        <w:lastRenderedPageBreak/>
        <w:t>Evasione e aliquote</w:t>
      </w:r>
    </w:p>
    <w:p w14:paraId="0792C879" w14:textId="70FF40EB" w:rsidR="00BE7A85" w:rsidRPr="007F7EBF" w:rsidRDefault="00A95C58" w:rsidP="00BE7A85">
      <w:pPr>
        <w:autoSpaceDE w:val="0"/>
        <w:autoSpaceDN w:val="0"/>
        <w:adjustRightInd w:val="0"/>
        <w:rPr>
          <w:sz w:val="22"/>
          <w:szCs w:val="22"/>
        </w:rPr>
      </w:pPr>
      <w:r w:rsidRPr="007F7EBF">
        <w:rPr>
          <w:sz w:val="22"/>
          <w:szCs w:val="22"/>
        </w:rPr>
        <w:t xml:space="preserve">C'è chi </w:t>
      </w:r>
      <w:r w:rsidR="006342C5" w:rsidRPr="007F7EBF">
        <w:rPr>
          <w:bCs/>
          <w:sz w:val="22"/>
          <w:szCs w:val="22"/>
        </w:rPr>
        <w:t xml:space="preserve">spiega l’evasione </w:t>
      </w:r>
      <w:r w:rsidR="001967C3">
        <w:rPr>
          <w:bCs/>
          <w:sz w:val="22"/>
          <w:szCs w:val="22"/>
        </w:rPr>
        <w:t>con</w:t>
      </w:r>
      <w:r w:rsidR="00053160" w:rsidRPr="007F7EBF">
        <w:rPr>
          <w:bCs/>
          <w:sz w:val="22"/>
          <w:szCs w:val="22"/>
        </w:rPr>
        <w:t xml:space="preserve"> </w:t>
      </w:r>
      <w:r w:rsidR="00362ADE" w:rsidRPr="007F7EBF">
        <w:rPr>
          <w:bCs/>
          <w:sz w:val="22"/>
          <w:szCs w:val="22"/>
        </w:rPr>
        <w:t xml:space="preserve">le </w:t>
      </w:r>
      <w:r w:rsidR="006342C5" w:rsidRPr="007F7EBF">
        <w:rPr>
          <w:bCs/>
          <w:sz w:val="22"/>
          <w:szCs w:val="22"/>
        </w:rPr>
        <w:t xml:space="preserve">aliquote </w:t>
      </w:r>
      <w:r w:rsidR="00903336" w:rsidRPr="007F7EBF">
        <w:rPr>
          <w:bCs/>
          <w:sz w:val="22"/>
          <w:szCs w:val="22"/>
        </w:rPr>
        <w:t xml:space="preserve">d'imposta </w:t>
      </w:r>
      <w:r w:rsidR="006342C5" w:rsidRPr="007F7EBF">
        <w:rPr>
          <w:bCs/>
          <w:sz w:val="22"/>
          <w:szCs w:val="22"/>
        </w:rPr>
        <w:t>troppo alt</w:t>
      </w:r>
      <w:r w:rsidR="00055231">
        <w:rPr>
          <w:bCs/>
          <w:sz w:val="22"/>
          <w:szCs w:val="22"/>
        </w:rPr>
        <w:t>e (</w:t>
      </w:r>
      <w:r w:rsidR="00721C2E" w:rsidRPr="007F7EBF">
        <w:rPr>
          <w:rStyle w:val="Rimandonotaapidipagina"/>
          <w:sz w:val="22"/>
          <w:szCs w:val="22"/>
        </w:rPr>
        <w:footnoteReference w:id="436"/>
      </w:r>
      <w:r w:rsidR="00055231">
        <w:rPr>
          <w:bCs/>
          <w:sz w:val="22"/>
          <w:szCs w:val="22"/>
        </w:rPr>
        <w:t xml:space="preserve">) proponendo di </w:t>
      </w:r>
      <w:r w:rsidR="006342C5" w:rsidRPr="007F7EBF">
        <w:rPr>
          <w:sz w:val="22"/>
          <w:szCs w:val="22"/>
        </w:rPr>
        <w:t>“</w:t>
      </w:r>
      <w:r w:rsidR="006342C5" w:rsidRPr="007F7EBF">
        <w:rPr>
          <w:bCs/>
          <w:sz w:val="22"/>
          <w:szCs w:val="22"/>
        </w:rPr>
        <w:t>aumentare il gettito diminuendo</w:t>
      </w:r>
      <w:r w:rsidR="00162F14" w:rsidRPr="007F7EBF">
        <w:rPr>
          <w:bCs/>
          <w:sz w:val="22"/>
          <w:szCs w:val="22"/>
        </w:rPr>
        <w:t xml:space="preserve"> </w:t>
      </w:r>
      <w:r w:rsidR="006342C5" w:rsidRPr="007F7EBF">
        <w:rPr>
          <w:bCs/>
          <w:sz w:val="22"/>
          <w:szCs w:val="22"/>
        </w:rPr>
        <w:t>le aliquote</w:t>
      </w:r>
      <w:r w:rsidR="006342C5" w:rsidRPr="007F7EBF">
        <w:rPr>
          <w:sz w:val="22"/>
          <w:szCs w:val="22"/>
        </w:rPr>
        <w:t>”</w:t>
      </w:r>
      <w:r w:rsidR="00277344">
        <w:rPr>
          <w:sz w:val="22"/>
          <w:szCs w:val="22"/>
        </w:rPr>
        <w:t xml:space="preserve">, ed aggiungendo che è meglio prendere il 20% di qualcosa che il 40% di nulla. Queste suggestioni trascurano del tutto la </w:t>
      </w:r>
      <w:r w:rsidR="000B2B71">
        <w:rPr>
          <w:sz w:val="22"/>
          <w:szCs w:val="22"/>
        </w:rPr>
        <w:t xml:space="preserve">diversa </w:t>
      </w:r>
      <w:r w:rsidR="00277344">
        <w:rPr>
          <w:sz w:val="22"/>
          <w:szCs w:val="22"/>
        </w:rPr>
        <w:t xml:space="preserve">determinabilità </w:t>
      </w:r>
      <w:r w:rsidR="000B2B71">
        <w:rPr>
          <w:sz w:val="22"/>
          <w:szCs w:val="22"/>
        </w:rPr>
        <w:t>dei presupposti</w:t>
      </w:r>
      <w:r w:rsidR="00277344">
        <w:rPr>
          <w:sz w:val="22"/>
          <w:szCs w:val="22"/>
        </w:rPr>
        <w:t xml:space="preserve"> </w:t>
      </w:r>
      <w:r w:rsidR="000B2B71">
        <w:rPr>
          <w:sz w:val="22"/>
          <w:szCs w:val="22"/>
        </w:rPr>
        <w:t>economici d’imposta</w:t>
      </w:r>
      <w:r w:rsidR="00277344">
        <w:rPr>
          <w:sz w:val="22"/>
          <w:szCs w:val="22"/>
        </w:rPr>
        <w:t xml:space="preserve"> (par.1.11), avendo un qualche senso solo per le attività determinabili secondo stime per ordine di grandezza (</w:t>
      </w:r>
      <w:r w:rsidR="00277344" w:rsidRPr="007F7EBF">
        <w:rPr>
          <w:rStyle w:val="Rimandonotaapidipagina"/>
          <w:sz w:val="22"/>
          <w:szCs w:val="22"/>
        </w:rPr>
        <w:footnoteReference w:id="437"/>
      </w:r>
      <w:r w:rsidR="00277344">
        <w:rPr>
          <w:sz w:val="22"/>
          <w:szCs w:val="22"/>
        </w:rPr>
        <w:t xml:space="preserve">). Qui effettivamente aliquote alte spingono, per reazione, avendone la possibilità, a diminuire gli imponibili dichiarati, mentre una </w:t>
      </w:r>
      <w:r w:rsidR="00D00796">
        <w:rPr>
          <w:sz w:val="22"/>
          <w:szCs w:val="22"/>
        </w:rPr>
        <w:t>diminuzione d</w:t>
      </w:r>
      <w:r w:rsidR="00277344">
        <w:rPr>
          <w:sz w:val="22"/>
          <w:szCs w:val="22"/>
        </w:rPr>
        <w:t xml:space="preserve">i aliquote consente di </w:t>
      </w:r>
      <w:r w:rsidR="00D51D20">
        <w:rPr>
          <w:sz w:val="22"/>
          <w:szCs w:val="22"/>
        </w:rPr>
        <w:t xml:space="preserve">dichiarare </w:t>
      </w:r>
      <w:r w:rsidR="00D00796">
        <w:rPr>
          <w:sz w:val="22"/>
          <w:szCs w:val="22"/>
        </w:rPr>
        <w:t>imponibili “</w:t>
      </w:r>
      <w:r w:rsidR="00D51D20">
        <w:rPr>
          <w:sz w:val="22"/>
          <w:szCs w:val="22"/>
        </w:rPr>
        <w:t xml:space="preserve">più </w:t>
      </w:r>
      <w:r w:rsidR="00D00796">
        <w:rPr>
          <w:sz w:val="22"/>
          <w:szCs w:val="22"/>
        </w:rPr>
        <w:t>credibili”</w:t>
      </w:r>
      <w:r w:rsidR="00D51D20">
        <w:rPr>
          <w:sz w:val="22"/>
          <w:szCs w:val="22"/>
        </w:rPr>
        <w:t xml:space="preserve"> </w:t>
      </w:r>
      <w:r w:rsidR="00D51D20" w:rsidRPr="007F7EBF">
        <w:t xml:space="preserve">rispetto alle caratteristiche </w:t>
      </w:r>
      <w:r w:rsidR="00277344">
        <w:t xml:space="preserve">esteriori </w:t>
      </w:r>
      <w:r w:rsidR="00D51D20" w:rsidRPr="007F7EBF">
        <w:t>dell'attività</w:t>
      </w:r>
      <w:r w:rsidR="00D51D20">
        <w:t xml:space="preserve">; </w:t>
      </w:r>
      <w:r w:rsidR="00277344">
        <w:t xml:space="preserve">anche in questi casi, una volta </w:t>
      </w:r>
      <w:r w:rsidR="001B03EF">
        <w:t>dichiarato</w:t>
      </w:r>
      <w:r w:rsidR="00277344">
        <w:t xml:space="preserve"> </w:t>
      </w:r>
      <w:r w:rsidR="00F17FFB">
        <w:t xml:space="preserve">un imponibile </w:t>
      </w:r>
      <w:r w:rsidR="00D63AF0">
        <w:t>coerente</w:t>
      </w:r>
      <w:r w:rsidR="00F17FFB">
        <w:t xml:space="preserve"> </w:t>
      </w:r>
      <w:r w:rsidR="00D63AF0">
        <w:t xml:space="preserve">come ordine di grandezza </w:t>
      </w:r>
      <w:r w:rsidR="00F17FFB">
        <w:t>“</w:t>
      </w:r>
      <w:r w:rsidR="00D63AF0">
        <w:t>extracontabile” (par.1.11 e 5.13), anche questi operatori si fermerebbero, in assenza di altri indizi, per quanto basse siano l</w:t>
      </w:r>
      <w:r w:rsidR="00707C9B">
        <w:rPr>
          <w:sz w:val="22"/>
          <w:szCs w:val="22"/>
        </w:rPr>
        <w:t>e aliquote</w:t>
      </w:r>
      <w:r w:rsidR="00D00796">
        <w:rPr>
          <w:sz w:val="22"/>
          <w:szCs w:val="22"/>
        </w:rPr>
        <w:t xml:space="preserve">. </w:t>
      </w:r>
      <w:r w:rsidR="00D63AF0">
        <w:rPr>
          <w:sz w:val="22"/>
          <w:szCs w:val="22"/>
        </w:rPr>
        <w:t>Si conferma quindi l’impossibilità di gestire la determinazione degli imponibili solo manovrando le aliquote, a maggior ragione quando la maggior parte degli imponibili sono determinati in modo ragionieristico-documentale, senza i margini di manovra suddetti (</w:t>
      </w:r>
      <w:r w:rsidR="00D63AF0">
        <w:rPr>
          <w:rStyle w:val="Rimandonotaapidipagina"/>
          <w:sz w:val="22"/>
          <w:szCs w:val="22"/>
        </w:rPr>
        <w:footnoteReference w:id="438"/>
      </w:r>
      <w:r w:rsidR="00D63AF0">
        <w:rPr>
          <w:sz w:val="22"/>
          <w:szCs w:val="22"/>
        </w:rPr>
        <w:t xml:space="preserve">). </w:t>
      </w:r>
    </w:p>
    <w:p w14:paraId="25216C5A" w14:textId="7BCF9156" w:rsidR="00BE7A85" w:rsidRPr="007F7EBF" w:rsidRDefault="006871F9" w:rsidP="00BE7A85">
      <w:pPr>
        <w:pStyle w:val="tit23"/>
        <w:ind w:left="6464" w:right="-1361" w:firstLine="0"/>
        <w:jc w:val="left"/>
        <w:rPr>
          <w:bCs/>
          <w:i/>
          <w:iCs/>
          <w:color w:val="0000FF"/>
          <w:lang w:val="it-IT"/>
        </w:rPr>
      </w:pPr>
      <w:r>
        <w:rPr>
          <w:bCs/>
          <w:i/>
          <w:iCs/>
          <w:color w:val="0000FF"/>
          <w:lang w:val="it-IT"/>
        </w:rPr>
        <w:t>impropri</w:t>
      </w:r>
      <w:r w:rsidR="00574ABE">
        <w:rPr>
          <w:bCs/>
          <w:i/>
          <w:iCs/>
          <w:color w:val="0000FF"/>
          <w:lang w:val="it-IT"/>
        </w:rPr>
        <w:t xml:space="preserve"> riferimenti a</w:t>
      </w:r>
      <w:r w:rsidR="00BE7A85" w:rsidRPr="007F7EBF">
        <w:rPr>
          <w:bCs/>
          <w:i/>
          <w:iCs/>
          <w:color w:val="0000FF"/>
          <w:lang w:val="it-IT"/>
        </w:rPr>
        <w:t xml:space="preserve"> onestà e senso civico</w:t>
      </w:r>
    </w:p>
    <w:p w14:paraId="730419E6" w14:textId="02562469" w:rsidR="006871F9" w:rsidRPr="007F7EBF" w:rsidRDefault="00252F59" w:rsidP="00301FE9">
      <w:pPr>
        <w:rPr>
          <w:sz w:val="22"/>
          <w:szCs w:val="22"/>
        </w:rPr>
      </w:pPr>
      <w:r>
        <w:rPr>
          <w:bCs/>
          <w:sz w:val="22"/>
          <w:szCs w:val="22"/>
        </w:rPr>
        <w:t>G</w:t>
      </w:r>
      <w:r w:rsidR="00102370">
        <w:rPr>
          <w:bCs/>
          <w:sz w:val="22"/>
          <w:szCs w:val="22"/>
        </w:rPr>
        <w:t xml:space="preserve">rossolane sono anche le spiegazioni dell’adempimento e dell’evasione </w:t>
      </w:r>
      <w:r w:rsidR="00E02481">
        <w:rPr>
          <w:bCs/>
          <w:sz w:val="22"/>
          <w:szCs w:val="22"/>
        </w:rPr>
        <w:t xml:space="preserve">attraverso </w:t>
      </w:r>
      <w:r w:rsidR="00301FE9">
        <w:rPr>
          <w:bCs/>
          <w:sz w:val="22"/>
          <w:szCs w:val="22"/>
        </w:rPr>
        <w:t xml:space="preserve">un fantomatico </w:t>
      </w:r>
      <w:r w:rsidR="006342C5" w:rsidRPr="007F7EBF">
        <w:rPr>
          <w:bCs/>
          <w:sz w:val="22"/>
          <w:szCs w:val="22"/>
        </w:rPr>
        <w:t>“senso civico”</w:t>
      </w:r>
      <w:r w:rsidR="00F165F0" w:rsidRPr="007F7EBF">
        <w:rPr>
          <w:bCs/>
          <w:sz w:val="22"/>
          <w:szCs w:val="22"/>
        </w:rPr>
        <w:t xml:space="preserve"> </w:t>
      </w:r>
      <w:r w:rsidR="00301FE9">
        <w:rPr>
          <w:bCs/>
          <w:sz w:val="22"/>
          <w:szCs w:val="22"/>
        </w:rPr>
        <w:t>tipiche della tendenza all’</w:t>
      </w:r>
      <w:proofErr w:type="spellStart"/>
      <w:r w:rsidR="00301FE9">
        <w:rPr>
          <w:bCs/>
          <w:sz w:val="22"/>
          <w:szCs w:val="22"/>
        </w:rPr>
        <w:t>autorazzismo</w:t>
      </w:r>
      <w:proofErr w:type="spellEnd"/>
      <w:r w:rsidR="00301FE9">
        <w:rPr>
          <w:bCs/>
          <w:sz w:val="22"/>
          <w:szCs w:val="22"/>
        </w:rPr>
        <w:t xml:space="preserve"> indicata al par.</w:t>
      </w:r>
      <w:r w:rsidR="00FE3595" w:rsidRPr="00FE3595">
        <w:t xml:space="preserve"> </w:t>
      </w:r>
      <w:r w:rsidR="00FE3595">
        <w:t>4.1</w:t>
      </w:r>
      <w:r w:rsidR="00301FE9">
        <w:rPr>
          <w:bCs/>
          <w:sz w:val="22"/>
          <w:szCs w:val="22"/>
        </w:rPr>
        <w:t xml:space="preserve"> sulla pubblica opinione </w:t>
      </w:r>
      <w:r w:rsidR="00301FE9">
        <w:rPr>
          <w:sz w:val="22"/>
          <w:szCs w:val="22"/>
        </w:rPr>
        <w:t>(</w:t>
      </w:r>
      <w:r w:rsidR="00301FE9">
        <w:rPr>
          <w:rStyle w:val="Rimandonotaapidipagina"/>
          <w:sz w:val="22"/>
          <w:szCs w:val="22"/>
        </w:rPr>
        <w:footnoteReference w:id="439"/>
      </w:r>
      <w:r w:rsidR="00301FE9">
        <w:rPr>
          <w:sz w:val="22"/>
          <w:szCs w:val="22"/>
        </w:rPr>
        <w:t xml:space="preserve">). </w:t>
      </w:r>
      <w:r w:rsidR="00301FE9">
        <w:rPr>
          <w:sz w:val="22"/>
          <w:szCs w:val="22"/>
        </w:rPr>
        <w:lastRenderedPageBreak/>
        <w:t>O</w:t>
      </w:r>
      <w:r w:rsidR="00625B36" w:rsidRPr="007F7EBF">
        <w:rPr>
          <w:bCs/>
          <w:sz w:val="22"/>
          <w:szCs w:val="22"/>
        </w:rPr>
        <w:t>nestà e disonestà</w:t>
      </w:r>
      <w:r w:rsidR="00301FE9">
        <w:rPr>
          <w:bCs/>
          <w:sz w:val="22"/>
          <w:szCs w:val="22"/>
        </w:rPr>
        <w:t xml:space="preserve"> sono invece </w:t>
      </w:r>
      <w:r w:rsidR="006B18F1">
        <w:rPr>
          <w:bCs/>
          <w:sz w:val="22"/>
          <w:szCs w:val="22"/>
        </w:rPr>
        <w:t xml:space="preserve">caratteristiche </w:t>
      </w:r>
      <w:r w:rsidR="00184B03">
        <w:rPr>
          <w:bCs/>
          <w:sz w:val="22"/>
          <w:szCs w:val="22"/>
        </w:rPr>
        <w:t>generali di un gruppo sociale</w:t>
      </w:r>
      <w:r w:rsidR="006B18F1">
        <w:rPr>
          <w:bCs/>
          <w:sz w:val="22"/>
          <w:szCs w:val="22"/>
        </w:rPr>
        <w:t>, indipendent</w:t>
      </w:r>
      <w:r w:rsidR="00301FE9">
        <w:rPr>
          <w:bCs/>
          <w:sz w:val="22"/>
          <w:szCs w:val="22"/>
        </w:rPr>
        <w:t>i</w:t>
      </w:r>
      <w:r w:rsidR="006B18F1">
        <w:rPr>
          <w:bCs/>
          <w:sz w:val="22"/>
          <w:szCs w:val="22"/>
        </w:rPr>
        <w:t xml:space="preserve"> dalla</w:t>
      </w:r>
      <w:r w:rsidR="00301FE9">
        <w:rPr>
          <w:bCs/>
          <w:sz w:val="22"/>
          <w:szCs w:val="22"/>
        </w:rPr>
        <w:t xml:space="preserve"> diversa</w:t>
      </w:r>
      <w:r w:rsidR="006B18F1">
        <w:rPr>
          <w:bCs/>
          <w:sz w:val="22"/>
          <w:szCs w:val="22"/>
        </w:rPr>
        <w:t xml:space="preserve"> determinabilità dei </w:t>
      </w:r>
      <w:r w:rsidR="00301FE9">
        <w:rPr>
          <w:bCs/>
          <w:sz w:val="22"/>
          <w:szCs w:val="22"/>
        </w:rPr>
        <w:t>presupposti economici di imposta</w:t>
      </w:r>
      <w:r w:rsidR="00497708" w:rsidRPr="00497708">
        <w:t xml:space="preserve"> </w:t>
      </w:r>
      <w:r w:rsidR="00497708">
        <w:t>(</w:t>
      </w:r>
      <w:r w:rsidR="00497708">
        <w:rPr>
          <w:rStyle w:val="Rimandonotaapidipagina"/>
        </w:rPr>
        <w:footnoteReference w:id="440"/>
      </w:r>
      <w:r w:rsidR="00497708">
        <w:t>)</w:t>
      </w:r>
      <w:r w:rsidR="00184B03">
        <w:rPr>
          <w:bCs/>
          <w:sz w:val="22"/>
          <w:szCs w:val="22"/>
        </w:rPr>
        <w:t xml:space="preserve">; </w:t>
      </w:r>
      <w:r w:rsidR="00301FE9">
        <w:rPr>
          <w:bCs/>
          <w:sz w:val="22"/>
          <w:szCs w:val="22"/>
        </w:rPr>
        <w:t>il senso civico è un</w:t>
      </w:r>
      <w:r w:rsidR="006B18F1">
        <w:rPr>
          <w:bCs/>
          <w:sz w:val="22"/>
          <w:szCs w:val="22"/>
        </w:rPr>
        <w:t xml:space="preserve"> “da</w:t>
      </w:r>
      <w:r w:rsidR="00301FE9">
        <w:rPr>
          <w:bCs/>
          <w:sz w:val="22"/>
          <w:szCs w:val="22"/>
        </w:rPr>
        <w:t xml:space="preserve">to </w:t>
      </w:r>
      <w:r w:rsidR="006B18F1">
        <w:rPr>
          <w:bCs/>
          <w:sz w:val="22"/>
          <w:szCs w:val="22"/>
        </w:rPr>
        <w:t>social</w:t>
      </w:r>
      <w:r w:rsidR="00301FE9">
        <w:rPr>
          <w:bCs/>
          <w:sz w:val="22"/>
          <w:szCs w:val="22"/>
        </w:rPr>
        <w:t>e</w:t>
      </w:r>
      <w:r w:rsidR="006B18F1">
        <w:rPr>
          <w:bCs/>
          <w:sz w:val="22"/>
          <w:szCs w:val="22"/>
        </w:rPr>
        <w:t>”</w:t>
      </w:r>
      <w:r w:rsidR="00184B03">
        <w:rPr>
          <w:bCs/>
          <w:sz w:val="22"/>
          <w:szCs w:val="22"/>
        </w:rPr>
        <w:t xml:space="preserve"> </w:t>
      </w:r>
      <w:r w:rsidR="00301FE9">
        <w:rPr>
          <w:bCs/>
          <w:sz w:val="22"/>
          <w:szCs w:val="22"/>
        </w:rPr>
        <w:t xml:space="preserve">generale del gruppo, </w:t>
      </w:r>
      <w:r w:rsidR="00102370">
        <w:rPr>
          <w:bCs/>
          <w:sz w:val="22"/>
          <w:szCs w:val="22"/>
        </w:rPr>
        <w:t>non</w:t>
      </w:r>
      <w:r w:rsidR="00301FE9">
        <w:rPr>
          <w:bCs/>
          <w:sz w:val="22"/>
          <w:szCs w:val="22"/>
        </w:rPr>
        <w:t xml:space="preserve"> </w:t>
      </w:r>
      <w:r w:rsidR="00102370">
        <w:rPr>
          <w:bCs/>
          <w:sz w:val="22"/>
          <w:szCs w:val="22"/>
        </w:rPr>
        <w:t>influenzat</w:t>
      </w:r>
      <w:r w:rsidR="00301FE9">
        <w:rPr>
          <w:bCs/>
          <w:sz w:val="22"/>
          <w:szCs w:val="22"/>
        </w:rPr>
        <w:t>o certo</w:t>
      </w:r>
      <w:r w:rsidR="00102370">
        <w:rPr>
          <w:bCs/>
          <w:sz w:val="22"/>
          <w:szCs w:val="22"/>
        </w:rPr>
        <w:t xml:space="preserve"> dall’attività svolta, </w:t>
      </w:r>
      <w:r w:rsidR="00184B03">
        <w:rPr>
          <w:bCs/>
          <w:sz w:val="22"/>
          <w:szCs w:val="22"/>
        </w:rPr>
        <w:t xml:space="preserve">come operaio, artigiano, impiegato, </w:t>
      </w:r>
      <w:proofErr w:type="spellStart"/>
      <w:r w:rsidR="00184B03">
        <w:rPr>
          <w:bCs/>
          <w:sz w:val="22"/>
          <w:szCs w:val="22"/>
        </w:rPr>
        <w:t>etc</w:t>
      </w:r>
      <w:proofErr w:type="spellEnd"/>
      <w:r w:rsidR="00184B03">
        <w:rPr>
          <w:bCs/>
          <w:sz w:val="22"/>
          <w:szCs w:val="22"/>
        </w:rPr>
        <w:t xml:space="preserve">, né dal contesto in cui ognuno si trova, come contribuente, automobilista per i parcheggi, consumatore per lo smaltimento dei rifiuti, proprietario di immobili per l’urbanistica, impiegato per l’assenteismo, </w:t>
      </w:r>
      <w:r w:rsidR="00B52C1A">
        <w:rPr>
          <w:bCs/>
          <w:sz w:val="22"/>
          <w:szCs w:val="22"/>
        </w:rPr>
        <w:t>e</w:t>
      </w:r>
      <w:r w:rsidR="003252AF">
        <w:rPr>
          <w:bCs/>
          <w:sz w:val="22"/>
          <w:szCs w:val="22"/>
        </w:rPr>
        <w:t xml:space="preserve"> </w:t>
      </w:r>
      <w:r w:rsidR="00B52C1A">
        <w:rPr>
          <w:bCs/>
          <w:sz w:val="22"/>
          <w:szCs w:val="22"/>
        </w:rPr>
        <w:t>via enumerando</w:t>
      </w:r>
      <w:r w:rsidR="00301FE9">
        <w:rPr>
          <w:bCs/>
          <w:sz w:val="22"/>
          <w:szCs w:val="22"/>
        </w:rPr>
        <w:t xml:space="preserve"> </w:t>
      </w:r>
      <w:r w:rsidR="006B18F1">
        <w:rPr>
          <w:bCs/>
          <w:sz w:val="22"/>
          <w:szCs w:val="22"/>
        </w:rPr>
        <w:t>(</w:t>
      </w:r>
      <w:r w:rsidR="006B18F1">
        <w:rPr>
          <w:rStyle w:val="Rimandonotaapidipagina"/>
          <w:bCs/>
          <w:sz w:val="22"/>
          <w:szCs w:val="22"/>
        </w:rPr>
        <w:footnoteReference w:id="441"/>
      </w:r>
      <w:r w:rsidR="006B18F1">
        <w:rPr>
          <w:bCs/>
          <w:sz w:val="22"/>
          <w:szCs w:val="22"/>
        </w:rPr>
        <w:t>)</w:t>
      </w:r>
      <w:r w:rsidR="00B52C1A">
        <w:rPr>
          <w:bCs/>
          <w:sz w:val="22"/>
          <w:szCs w:val="22"/>
        </w:rPr>
        <w:t xml:space="preserve">. </w:t>
      </w:r>
      <w:r w:rsidR="00184B03">
        <w:rPr>
          <w:bCs/>
          <w:sz w:val="22"/>
          <w:szCs w:val="22"/>
        </w:rPr>
        <w:t xml:space="preserve">Confrontando questo </w:t>
      </w:r>
      <w:r w:rsidR="00C938C6">
        <w:rPr>
          <w:bCs/>
          <w:sz w:val="22"/>
          <w:szCs w:val="22"/>
        </w:rPr>
        <w:t xml:space="preserve">senso civico </w:t>
      </w:r>
      <w:r>
        <w:rPr>
          <w:bCs/>
          <w:sz w:val="22"/>
          <w:szCs w:val="22"/>
        </w:rPr>
        <w:t xml:space="preserve">generale </w:t>
      </w:r>
      <w:r w:rsidR="00184B03">
        <w:rPr>
          <w:bCs/>
          <w:sz w:val="22"/>
          <w:szCs w:val="22"/>
        </w:rPr>
        <w:t xml:space="preserve">con la diversa </w:t>
      </w:r>
      <w:r w:rsidR="00C938C6">
        <w:rPr>
          <w:bCs/>
          <w:sz w:val="22"/>
          <w:szCs w:val="22"/>
        </w:rPr>
        <w:t xml:space="preserve"> </w:t>
      </w:r>
      <w:r w:rsidR="00B52C1A">
        <w:rPr>
          <w:bCs/>
          <w:sz w:val="22"/>
          <w:szCs w:val="22"/>
        </w:rPr>
        <w:t>determinabilità degli imponibili</w:t>
      </w:r>
      <w:r w:rsidR="00184B03">
        <w:rPr>
          <w:bCs/>
          <w:sz w:val="22"/>
          <w:szCs w:val="22"/>
        </w:rPr>
        <w:t xml:space="preserve">, i controlli fiscali effettivi e quelli percepiti (par.1.5 e 4.2), </w:t>
      </w:r>
      <w:r w:rsidR="00C938C6">
        <w:rPr>
          <w:bCs/>
          <w:sz w:val="22"/>
          <w:szCs w:val="22"/>
        </w:rPr>
        <w:t xml:space="preserve">i </w:t>
      </w:r>
      <w:r w:rsidR="00B52C1A">
        <w:rPr>
          <w:bCs/>
          <w:sz w:val="22"/>
          <w:szCs w:val="22"/>
        </w:rPr>
        <w:t>bisogni personali di base</w:t>
      </w:r>
      <w:r w:rsidR="00184B03">
        <w:rPr>
          <w:bCs/>
          <w:sz w:val="22"/>
          <w:szCs w:val="22"/>
        </w:rPr>
        <w:t>, il senso civico non sembra mancare, anzi!</w:t>
      </w:r>
      <w:r w:rsidR="00301FE9">
        <w:rPr>
          <w:bCs/>
          <w:sz w:val="22"/>
          <w:szCs w:val="22"/>
        </w:rPr>
        <w:t>. Il tasso di a</w:t>
      </w:r>
      <w:r w:rsidR="00C938C6" w:rsidRPr="007F7EBF">
        <w:rPr>
          <w:bCs/>
          <w:sz w:val="22"/>
          <w:szCs w:val="22"/>
        </w:rPr>
        <w:t xml:space="preserve">dempimento </w:t>
      </w:r>
      <w:r w:rsidR="00C938C6">
        <w:rPr>
          <w:bCs/>
          <w:sz w:val="22"/>
          <w:szCs w:val="22"/>
        </w:rPr>
        <w:t xml:space="preserve">sugli imponibili sfuggenti è addirittura elevato </w:t>
      </w:r>
      <w:r w:rsidR="00C938C6" w:rsidRPr="007F7EBF">
        <w:rPr>
          <w:bCs/>
          <w:sz w:val="22"/>
          <w:szCs w:val="22"/>
        </w:rPr>
        <w:t xml:space="preserve">rispetto alla </w:t>
      </w:r>
      <w:r w:rsidR="004B7C40">
        <w:rPr>
          <w:bCs/>
          <w:sz w:val="22"/>
          <w:szCs w:val="22"/>
        </w:rPr>
        <w:t xml:space="preserve">sistematicità degli interventi valutativi </w:t>
      </w:r>
      <w:r w:rsidR="00C938C6" w:rsidRPr="007F7EBF">
        <w:rPr>
          <w:bCs/>
          <w:sz w:val="22"/>
          <w:szCs w:val="22"/>
        </w:rPr>
        <w:t xml:space="preserve"> del fisco sul territor</w:t>
      </w:r>
      <w:r w:rsidR="00C938C6">
        <w:rPr>
          <w:bCs/>
          <w:sz w:val="22"/>
          <w:szCs w:val="22"/>
        </w:rPr>
        <w:t>io</w:t>
      </w:r>
      <w:r w:rsidR="006B18F1">
        <w:rPr>
          <w:bCs/>
          <w:sz w:val="22"/>
          <w:szCs w:val="22"/>
        </w:rPr>
        <w:t>, anche solo sulle</w:t>
      </w:r>
      <w:r w:rsidR="00184B03">
        <w:rPr>
          <w:bCs/>
          <w:sz w:val="22"/>
          <w:szCs w:val="22"/>
        </w:rPr>
        <w:t xml:space="preserve"> attività </w:t>
      </w:r>
      <w:r w:rsidR="006B18F1">
        <w:rPr>
          <w:bCs/>
          <w:sz w:val="22"/>
          <w:szCs w:val="22"/>
        </w:rPr>
        <w:t>di piccolo commercio e artigianato mate</w:t>
      </w:r>
      <w:r w:rsidR="00184B03">
        <w:rPr>
          <w:bCs/>
          <w:sz w:val="22"/>
          <w:szCs w:val="22"/>
        </w:rPr>
        <w:t xml:space="preserve">rialmente visibili; </w:t>
      </w:r>
      <w:r w:rsidR="00184B03" w:rsidRPr="007F7EBF">
        <w:rPr>
          <w:bCs/>
          <w:sz w:val="22"/>
          <w:szCs w:val="22"/>
        </w:rPr>
        <w:t>volendo metterla sul piano dell'"onestà -</w:t>
      </w:r>
      <w:r w:rsidR="00184B03" w:rsidRPr="007F7EBF">
        <w:rPr>
          <w:bCs/>
          <w:sz w:val="22"/>
          <w:szCs w:val="22"/>
        </w:rPr>
        <w:lastRenderedPageBreak/>
        <w:t>disonestà"</w:t>
      </w:r>
      <w:r w:rsidR="00184B03">
        <w:rPr>
          <w:bCs/>
          <w:sz w:val="22"/>
          <w:szCs w:val="22"/>
        </w:rPr>
        <w:t xml:space="preserve">- piccoli commercianti e artigiani in sede fissa sono </w:t>
      </w:r>
      <w:r w:rsidR="00184B03" w:rsidRPr="007F7EBF">
        <w:rPr>
          <w:bCs/>
          <w:sz w:val="22"/>
          <w:szCs w:val="22"/>
        </w:rPr>
        <w:t xml:space="preserve">più onesti di quanto </w:t>
      </w:r>
      <w:r w:rsidR="00184B03">
        <w:rPr>
          <w:bCs/>
          <w:sz w:val="22"/>
          <w:szCs w:val="22"/>
        </w:rPr>
        <w:t xml:space="preserve">la funzione </w:t>
      </w:r>
      <w:r w:rsidR="00184B03" w:rsidRPr="007F7EBF">
        <w:rPr>
          <w:bCs/>
          <w:sz w:val="22"/>
          <w:szCs w:val="22"/>
        </w:rPr>
        <w:t>tributari</w:t>
      </w:r>
      <w:r w:rsidR="00184B03">
        <w:rPr>
          <w:bCs/>
          <w:sz w:val="22"/>
          <w:szCs w:val="22"/>
        </w:rPr>
        <w:t>a</w:t>
      </w:r>
      <w:r w:rsidR="00184B03" w:rsidRPr="007F7EBF">
        <w:rPr>
          <w:bCs/>
          <w:sz w:val="22"/>
          <w:szCs w:val="22"/>
        </w:rPr>
        <w:t xml:space="preserve"> sia</w:t>
      </w:r>
      <w:r w:rsidR="00184B03">
        <w:rPr>
          <w:bCs/>
          <w:sz w:val="22"/>
          <w:szCs w:val="22"/>
        </w:rPr>
        <w:t xml:space="preserve"> </w:t>
      </w:r>
      <w:r w:rsidR="00184B03" w:rsidRPr="007F7EBF">
        <w:rPr>
          <w:bCs/>
          <w:sz w:val="22"/>
          <w:szCs w:val="22"/>
        </w:rPr>
        <w:t>efficient</w:t>
      </w:r>
      <w:r w:rsidR="00184B03">
        <w:rPr>
          <w:bCs/>
          <w:sz w:val="22"/>
          <w:szCs w:val="22"/>
        </w:rPr>
        <w:t>e (</w:t>
      </w:r>
      <w:r w:rsidR="00184B03" w:rsidRPr="007F7EBF">
        <w:rPr>
          <w:rStyle w:val="Rimandonotaapidipagina"/>
          <w:sz w:val="22"/>
          <w:szCs w:val="22"/>
        </w:rPr>
        <w:footnoteReference w:id="442"/>
      </w:r>
      <w:r w:rsidR="00184B03">
        <w:rPr>
          <w:bCs/>
          <w:sz w:val="22"/>
          <w:szCs w:val="22"/>
        </w:rPr>
        <w:t>)</w:t>
      </w:r>
      <w:r w:rsidR="00605AC1">
        <w:rPr>
          <w:bCs/>
          <w:sz w:val="22"/>
          <w:szCs w:val="22"/>
        </w:rPr>
        <w:t xml:space="preserve">. </w:t>
      </w:r>
    </w:p>
    <w:p w14:paraId="7F627F91" w14:textId="40A5B235" w:rsidR="006871F9" w:rsidRPr="007F7EBF" w:rsidRDefault="006871F9" w:rsidP="006871F9">
      <w:pPr>
        <w:pStyle w:val="tit23"/>
        <w:ind w:left="6464" w:right="-1361" w:firstLine="0"/>
        <w:jc w:val="left"/>
        <w:rPr>
          <w:bCs/>
          <w:i/>
          <w:iCs/>
          <w:color w:val="0000FF"/>
          <w:lang w:val="it-IT"/>
        </w:rPr>
      </w:pPr>
      <w:r>
        <w:rPr>
          <w:bCs/>
          <w:i/>
          <w:iCs/>
          <w:color w:val="0000FF"/>
          <w:lang w:val="it-IT"/>
        </w:rPr>
        <w:t xml:space="preserve">E loro danni sociali </w:t>
      </w:r>
    </w:p>
    <w:p w14:paraId="40D5ACF5" w14:textId="30B2B81D" w:rsidR="00475FF4" w:rsidRPr="007F7EBF" w:rsidRDefault="00CC27D5" w:rsidP="00DB0736">
      <w:pPr>
        <w:autoSpaceDE w:val="0"/>
        <w:autoSpaceDN w:val="0"/>
        <w:adjustRightInd w:val="0"/>
        <w:rPr>
          <w:bCs/>
          <w:sz w:val="22"/>
          <w:szCs w:val="22"/>
        </w:rPr>
      </w:pPr>
      <w:r>
        <w:rPr>
          <w:sz w:val="22"/>
          <w:szCs w:val="22"/>
        </w:rPr>
        <w:t>Definire “disonesto”</w:t>
      </w:r>
      <w:r w:rsidR="00BB0247" w:rsidRPr="007F7EBF">
        <w:rPr>
          <w:bCs/>
          <w:sz w:val="22"/>
          <w:szCs w:val="22"/>
        </w:rPr>
        <w:t xml:space="preserve"> </w:t>
      </w:r>
      <w:r w:rsidR="00BB0247">
        <w:rPr>
          <w:bCs/>
          <w:sz w:val="22"/>
          <w:szCs w:val="22"/>
        </w:rPr>
        <w:t xml:space="preserve">l’artigiano </w:t>
      </w:r>
      <w:r w:rsidR="00BB0247" w:rsidRPr="007F7EBF">
        <w:rPr>
          <w:bCs/>
          <w:sz w:val="22"/>
          <w:szCs w:val="22"/>
        </w:rPr>
        <w:t>al consumo finale</w:t>
      </w:r>
      <w:r>
        <w:rPr>
          <w:bCs/>
          <w:sz w:val="22"/>
          <w:szCs w:val="22"/>
        </w:rPr>
        <w:t xml:space="preserve"> perché lo si confronta con </w:t>
      </w:r>
      <w:r w:rsidR="00BB0247">
        <w:rPr>
          <w:bCs/>
          <w:sz w:val="22"/>
          <w:szCs w:val="22"/>
        </w:rPr>
        <w:t xml:space="preserve">l’operaio tassato </w:t>
      </w:r>
      <w:r w:rsidR="00BB0247" w:rsidRPr="007F7EBF">
        <w:rPr>
          <w:sz w:val="22"/>
          <w:szCs w:val="22"/>
        </w:rPr>
        <w:t xml:space="preserve">al centesimo </w:t>
      </w:r>
      <w:r w:rsidR="00BB0247">
        <w:rPr>
          <w:sz w:val="22"/>
          <w:szCs w:val="22"/>
        </w:rPr>
        <w:t xml:space="preserve">attraverso </w:t>
      </w:r>
      <w:r>
        <w:rPr>
          <w:sz w:val="22"/>
          <w:szCs w:val="22"/>
        </w:rPr>
        <w:t xml:space="preserve">il datore </w:t>
      </w:r>
      <w:r w:rsidR="00BB0247">
        <w:rPr>
          <w:sz w:val="22"/>
          <w:szCs w:val="22"/>
        </w:rPr>
        <w:t>di lavoro</w:t>
      </w:r>
      <w:r>
        <w:rPr>
          <w:sz w:val="22"/>
          <w:szCs w:val="22"/>
        </w:rPr>
        <w:t xml:space="preserve"> è un </w:t>
      </w:r>
      <w:r w:rsidR="00BB0247">
        <w:rPr>
          <w:sz w:val="22"/>
          <w:szCs w:val="22"/>
        </w:rPr>
        <w:t xml:space="preserve"> “razzismo sociale”</w:t>
      </w:r>
      <w:r w:rsidR="001736AF" w:rsidRPr="001736AF">
        <w:rPr>
          <w:sz w:val="22"/>
          <w:szCs w:val="22"/>
        </w:rPr>
        <w:t xml:space="preserve"> </w:t>
      </w:r>
      <w:r w:rsidR="001736AF">
        <w:rPr>
          <w:sz w:val="22"/>
          <w:szCs w:val="22"/>
        </w:rPr>
        <w:t>(</w:t>
      </w:r>
      <w:r w:rsidR="001736AF" w:rsidRPr="007F7EBF">
        <w:rPr>
          <w:rStyle w:val="Rimandonotaapidipagina"/>
          <w:sz w:val="22"/>
          <w:szCs w:val="22"/>
        </w:rPr>
        <w:footnoteReference w:id="443"/>
      </w:r>
      <w:r w:rsidR="001736AF">
        <w:rPr>
          <w:sz w:val="22"/>
          <w:szCs w:val="22"/>
        </w:rPr>
        <w:t>)</w:t>
      </w:r>
      <w:r w:rsidR="00BB0247">
        <w:rPr>
          <w:sz w:val="22"/>
          <w:szCs w:val="22"/>
        </w:rPr>
        <w:t xml:space="preserve">, di matrice </w:t>
      </w:r>
      <w:proofErr w:type="spellStart"/>
      <w:r w:rsidR="00BB0247">
        <w:rPr>
          <w:sz w:val="22"/>
          <w:szCs w:val="22"/>
        </w:rPr>
        <w:t>sindacal</w:t>
      </w:r>
      <w:proofErr w:type="spellEnd"/>
      <w:r w:rsidR="00BB0247">
        <w:rPr>
          <w:sz w:val="22"/>
          <w:szCs w:val="22"/>
        </w:rPr>
        <w:t>-burocratica</w:t>
      </w:r>
      <w:r>
        <w:rPr>
          <w:sz w:val="22"/>
          <w:szCs w:val="22"/>
        </w:rPr>
        <w:t>, non solo grossolano, ma socialmente dannoso</w:t>
      </w:r>
      <w:r w:rsidRPr="007F7EBF">
        <w:rPr>
          <w:sz w:val="22"/>
          <w:szCs w:val="22"/>
        </w:rPr>
        <w:t xml:space="preserve">; </w:t>
      </w:r>
      <w:r w:rsidR="00F70BE9">
        <w:rPr>
          <w:sz w:val="22"/>
          <w:szCs w:val="22"/>
        </w:rPr>
        <w:t xml:space="preserve">si alimenta infatti in questo modo </w:t>
      </w:r>
      <w:r w:rsidR="00DB0736">
        <w:rPr>
          <w:bCs/>
          <w:sz w:val="22"/>
          <w:szCs w:val="22"/>
        </w:rPr>
        <w:t>l’illusoria</w:t>
      </w:r>
      <w:r w:rsidR="00F70BE9">
        <w:rPr>
          <w:bCs/>
          <w:sz w:val="22"/>
          <w:szCs w:val="22"/>
        </w:rPr>
        <w:t xml:space="preserve"> idea di</w:t>
      </w:r>
      <w:r w:rsidR="00DB0736">
        <w:rPr>
          <w:bCs/>
          <w:sz w:val="22"/>
          <w:szCs w:val="22"/>
        </w:rPr>
        <w:t xml:space="preserve"> </w:t>
      </w:r>
      <w:r w:rsidR="00DB0736" w:rsidRPr="007F7EBF">
        <w:rPr>
          <w:bCs/>
          <w:sz w:val="22"/>
          <w:szCs w:val="22"/>
        </w:rPr>
        <w:t>onnipotenza</w:t>
      </w:r>
      <w:r w:rsidR="00F70BE9">
        <w:rPr>
          <w:bCs/>
          <w:sz w:val="22"/>
          <w:szCs w:val="22"/>
        </w:rPr>
        <w:t xml:space="preserve">, </w:t>
      </w:r>
      <w:r w:rsidR="00605AC1">
        <w:rPr>
          <w:bCs/>
          <w:sz w:val="22"/>
          <w:szCs w:val="22"/>
        </w:rPr>
        <w:t>ispirata alla funzione</w:t>
      </w:r>
      <w:r w:rsidR="00F70BE9">
        <w:rPr>
          <w:bCs/>
          <w:sz w:val="22"/>
          <w:szCs w:val="22"/>
        </w:rPr>
        <w:t xml:space="preserve"> giurisdizionale (par.1.3)</w:t>
      </w:r>
      <w:r w:rsidR="00DB0736" w:rsidRPr="007F7EBF">
        <w:rPr>
          <w:bCs/>
          <w:sz w:val="22"/>
          <w:szCs w:val="22"/>
        </w:rPr>
        <w:t xml:space="preserve">, </w:t>
      </w:r>
      <w:r w:rsidR="00DB0736">
        <w:rPr>
          <w:bCs/>
          <w:sz w:val="22"/>
          <w:szCs w:val="22"/>
        </w:rPr>
        <w:t>secondo cui</w:t>
      </w:r>
      <w:r w:rsidR="00DB0736" w:rsidRPr="007F7EBF">
        <w:rPr>
          <w:bCs/>
          <w:sz w:val="22"/>
          <w:szCs w:val="22"/>
        </w:rPr>
        <w:t xml:space="preserve"> le imposte </w:t>
      </w:r>
      <w:r w:rsidR="00F70BE9">
        <w:rPr>
          <w:bCs/>
          <w:sz w:val="22"/>
          <w:szCs w:val="22"/>
        </w:rPr>
        <w:t>potrebbero</w:t>
      </w:r>
      <w:r w:rsidR="00DB0736" w:rsidRPr="007F7EBF">
        <w:rPr>
          <w:bCs/>
          <w:sz w:val="22"/>
          <w:szCs w:val="22"/>
        </w:rPr>
        <w:t xml:space="preserve"> essere "imposte" anche solo per legge</w:t>
      </w:r>
      <w:r w:rsidR="00605AC1">
        <w:rPr>
          <w:sz w:val="22"/>
          <w:szCs w:val="22"/>
        </w:rPr>
        <w:t xml:space="preserve">, col suo controproducente corollario </w:t>
      </w:r>
      <w:r w:rsidR="00E92A31" w:rsidRPr="007F7EBF">
        <w:rPr>
          <w:bCs/>
          <w:sz w:val="22"/>
          <w:szCs w:val="22"/>
        </w:rPr>
        <w:t xml:space="preserve"> </w:t>
      </w:r>
      <w:r w:rsidR="00E92A31" w:rsidRPr="007F7EBF">
        <w:rPr>
          <w:i/>
          <w:sz w:val="22"/>
          <w:szCs w:val="22"/>
        </w:rPr>
        <w:t>forcaiol</w:t>
      </w:r>
      <w:r w:rsidR="00605AC1">
        <w:rPr>
          <w:i/>
          <w:sz w:val="22"/>
          <w:szCs w:val="22"/>
        </w:rPr>
        <w:t>o</w:t>
      </w:r>
      <w:r w:rsidR="00FF6DC9">
        <w:rPr>
          <w:i/>
          <w:sz w:val="22"/>
          <w:szCs w:val="22"/>
        </w:rPr>
        <w:t xml:space="preserve"> </w:t>
      </w:r>
      <w:r w:rsidR="00FF6DC9">
        <w:rPr>
          <w:bCs/>
          <w:sz w:val="22"/>
          <w:szCs w:val="22"/>
        </w:rPr>
        <w:t>tendent</w:t>
      </w:r>
      <w:r w:rsidR="00605AC1">
        <w:rPr>
          <w:bCs/>
          <w:sz w:val="22"/>
          <w:szCs w:val="22"/>
        </w:rPr>
        <w:t>e</w:t>
      </w:r>
      <w:r w:rsidR="00FF6DC9">
        <w:rPr>
          <w:bCs/>
          <w:sz w:val="22"/>
          <w:szCs w:val="22"/>
        </w:rPr>
        <w:t xml:space="preserve"> a instillare senso civico </w:t>
      </w:r>
      <w:r w:rsidR="00475FF4" w:rsidRPr="007F7EBF">
        <w:rPr>
          <w:bCs/>
          <w:sz w:val="22"/>
          <w:szCs w:val="22"/>
        </w:rPr>
        <w:t>a forza di sanzioni (</w:t>
      </w:r>
      <w:r w:rsidR="009E4EED" w:rsidRPr="007F7EBF">
        <w:rPr>
          <w:rStyle w:val="Rimandonotaapidipagina"/>
          <w:bCs/>
          <w:sz w:val="22"/>
          <w:szCs w:val="22"/>
        </w:rPr>
        <w:footnoteReference w:id="444"/>
      </w:r>
      <w:r w:rsidR="00475FF4" w:rsidRPr="007F7EBF">
        <w:rPr>
          <w:bCs/>
          <w:sz w:val="22"/>
          <w:szCs w:val="22"/>
        </w:rPr>
        <w:t>)</w:t>
      </w:r>
      <w:r w:rsidR="00C13AAA" w:rsidRPr="007F7EBF">
        <w:rPr>
          <w:bCs/>
          <w:sz w:val="22"/>
          <w:szCs w:val="22"/>
        </w:rPr>
        <w:t xml:space="preserve">. </w:t>
      </w:r>
      <w:r w:rsidR="00D27913">
        <w:rPr>
          <w:bCs/>
          <w:sz w:val="22"/>
          <w:szCs w:val="22"/>
        </w:rPr>
        <w:t xml:space="preserve">Queste affermazioni </w:t>
      </w:r>
      <w:r w:rsidR="00133F74">
        <w:rPr>
          <w:bCs/>
        </w:rPr>
        <w:t>socialmente divisive e laceranti</w:t>
      </w:r>
      <w:r w:rsidR="00D27913">
        <w:rPr>
          <w:bCs/>
        </w:rPr>
        <w:t xml:space="preserve"> </w:t>
      </w:r>
      <w:r w:rsidR="00535681">
        <w:rPr>
          <w:bCs/>
        </w:rPr>
        <w:t>contribuiscono</w:t>
      </w:r>
      <w:r w:rsidR="00D27913">
        <w:rPr>
          <w:bCs/>
        </w:rPr>
        <w:t xml:space="preserve"> senza saperlo </w:t>
      </w:r>
      <w:r w:rsidR="00535681">
        <w:rPr>
          <w:bCs/>
        </w:rPr>
        <w:t>a</w:t>
      </w:r>
      <w:r w:rsidR="00133F74">
        <w:rPr>
          <w:bCs/>
        </w:rPr>
        <w:t xml:space="preserve">l </w:t>
      </w:r>
      <w:r w:rsidR="00133F74" w:rsidRPr="007F7EBF">
        <w:rPr>
          <w:bCs/>
        </w:rPr>
        <w:t xml:space="preserve">mito dei "grandi evasori", </w:t>
      </w:r>
      <w:r w:rsidR="00535681">
        <w:rPr>
          <w:bCs/>
        </w:rPr>
        <w:t xml:space="preserve">coi suoi effetti socialmente distruttivi di cui </w:t>
      </w:r>
      <w:r w:rsidR="00D27913">
        <w:rPr>
          <w:bCs/>
        </w:rPr>
        <w:t>a</w:t>
      </w:r>
      <w:r w:rsidR="00133F74" w:rsidRPr="007F7EBF">
        <w:rPr>
          <w:bCs/>
        </w:rPr>
        <w:t>l par.5.17 ss..</w:t>
      </w:r>
      <w:r w:rsidR="00E2771D">
        <w:rPr>
          <w:bCs/>
          <w:sz w:val="22"/>
          <w:szCs w:val="22"/>
        </w:rPr>
        <w:t xml:space="preserve"> </w:t>
      </w:r>
    </w:p>
    <w:p w14:paraId="6058F889" w14:textId="77777777" w:rsidR="00BE7A85" w:rsidRPr="007F7EBF" w:rsidRDefault="00985A6E" w:rsidP="00BE7A85">
      <w:pPr>
        <w:pStyle w:val="tit23"/>
        <w:ind w:left="6464" w:right="-1361" w:firstLine="0"/>
        <w:jc w:val="left"/>
        <w:rPr>
          <w:bCs/>
          <w:i/>
          <w:iCs/>
          <w:color w:val="0000FF"/>
          <w:lang w:val="it-IT"/>
        </w:rPr>
      </w:pPr>
      <w:r>
        <w:rPr>
          <w:bCs/>
          <w:i/>
          <w:iCs/>
          <w:color w:val="0000FF"/>
          <w:lang w:val="it-IT"/>
        </w:rPr>
        <w:t>Generalizzazione della determinazione documentale</w:t>
      </w:r>
    </w:p>
    <w:p w14:paraId="50438F30" w14:textId="5AED9841" w:rsidR="003B2442" w:rsidRPr="007F7EBF" w:rsidRDefault="00070CAA" w:rsidP="003B2442">
      <w:pPr>
        <w:autoSpaceDE w:val="0"/>
        <w:autoSpaceDN w:val="0"/>
        <w:adjustRightInd w:val="0"/>
        <w:rPr>
          <w:sz w:val="22"/>
          <w:szCs w:val="22"/>
        </w:rPr>
      </w:pPr>
      <w:r w:rsidRPr="007F7EBF">
        <w:rPr>
          <w:sz w:val="22"/>
          <w:szCs w:val="22"/>
        </w:rPr>
        <w:t xml:space="preserve">Un'altra </w:t>
      </w:r>
      <w:r w:rsidR="007B53EE" w:rsidRPr="007F7EBF">
        <w:rPr>
          <w:sz w:val="22"/>
          <w:szCs w:val="22"/>
        </w:rPr>
        <w:t xml:space="preserve">istintiva tendenza dell'opinione pubblica </w:t>
      </w:r>
      <w:r w:rsidR="003D1FC2" w:rsidRPr="007F7EBF">
        <w:rPr>
          <w:sz w:val="22"/>
          <w:szCs w:val="22"/>
        </w:rPr>
        <w:t xml:space="preserve">tende </w:t>
      </w:r>
      <w:r w:rsidR="00A0076F" w:rsidRPr="007F7EBF">
        <w:rPr>
          <w:sz w:val="22"/>
          <w:szCs w:val="22"/>
        </w:rPr>
        <w:t xml:space="preserve">a </w:t>
      </w:r>
      <w:r w:rsidR="00492FE3" w:rsidRPr="007F7EBF">
        <w:rPr>
          <w:sz w:val="22"/>
          <w:szCs w:val="22"/>
        </w:rPr>
        <w:t xml:space="preserve">generalizzare </w:t>
      </w:r>
      <w:r w:rsidR="006342C5" w:rsidRPr="007F7EBF">
        <w:rPr>
          <w:bCs/>
          <w:sz w:val="22"/>
          <w:szCs w:val="22"/>
        </w:rPr>
        <w:t>l</w:t>
      </w:r>
      <w:r w:rsidR="007B53EE" w:rsidRPr="007F7EBF">
        <w:rPr>
          <w:bCs/>
          <w:sz w:val="22"/>
          <w:szCs w:val="22"/>
        </w:rPr>
        <w:t>a d</w:t>
      </w:r>
      <w:r w:rsidR="00492FE3" w:rsidRPr="007F7EBF">
        <w:rPr>
          <w:bCs/>
          <w:sz w:val="22"/>
          <w:szCs w:val="22"/>
        </w:rPr>
        <w:t xml:space="preserve">eterminazione </w:t>
      </w:r>
      <w:r w:rsidR="00A0076F" w:rsidRPr="007F7EBF">
        <w:rPr>
          <w:bCs/>
          <w:sz w:val="22"/>
          <w:szCs w:val="22"/>
        </w:rPr>
        <w:t xml:space="preserve">ragionieristica </w:t>
      </w:r>
      <w:r w:rsidR="00492FE3" w:rsidRPr="007F7EBF">
        <w:rPr>
          <w:bCs/>
          <w:sz w:val="22"/>
          <w:szCs w:val="22"/>
        </w:rPr>
        <w:t>dei tributi,</w:t>
      </w:r>
      <w:r w:rsidR="004A0D9E" w:rsidRPr="007F7EBF">
        <w:rPr>
          <w:bCs/>
          <w:sz w:val="22"/>
          <w:szCs w:val="22"/>
        </w:rPr>
        <w:t xml:space="preserve"> </w:t>
      </w:r>
      <w:r w:rsidR="00492FE3" w:rsidRPr="007F7EBF">
        <w:rPr>
          <w:bCs/>
          <w:sz w:val="22"/>
          <w:szCs w:val="22"/>
        </w:rPr>
        <w:t xml:space="preserve">trasferendola </w:t>
      </w:r>
      <w:r w:rsidR="00703FA1" w:rsidRPr="007F7EBF">
        <w:rPr>
          <w:bCs/>
          <w:sz w:val="22"/>
          <w:szCs w:val="22"/>
        </w:rPr>
        <w:t xml:space="preserve">anche </w:t>
      </w:r>
      <w:r w:rsidR="008C6708" w:rsidRPr="007F7EBF">
        <w:rPr>
          <w:bCs/>
          <w:sz w:val="22"/>
          <w:szCs w:val="22"/>
        </w:rPr>
        <w:t xml:space="preserve">dove </w:t>
      </w:r>
      <w:r w:rsidR="003D1FC2" w:rsidRPr="007F7EBF">
        <w:rPr>
          <w:bCs/>
          <w:sz w:val="22"/>
          <w:szCs w:val="22"/>
        </w:rPr>
        <w:t>mancano</w:t>
      </w:r>
      <w:r w:rsidR="004A0D9E" w:rsidRPr="007F7EBF">
        <w:rPr>
          <w:bCs/>
          <w:sz w:val="22"/>
          <w:szCs w:val="22"/>
        </w:rPr>
        <w:t xml:space="preserve"> </w:t>
      </w:r>
      <w:r w:rsidR="007B53EE" w:rsidRPr="007F7EBF">
        <w:rPr>
          <w:bCs/>
          <w:sz w:val="22"/>
          <w:szCs w:val="22"/>
        </w:rPr>
        <w:t xml:space="preserve">adeguate </w:t>
      </w:r>
      <w:r w:rsidR="004A0D9E" w:rsidRPr="007F7EBF">
        <w:rPr>
          <w:bCs/>
          <w:sz w:val="22"/>
          <w:szCs w:val="22"/>
        </w:rPr>
        <w:t>organizzazioni amministrative</w:t>
      </w:r>
      <w:r w:rsidR="006342C5" w:rsidRPr="007F7EBF">
        <w:rPr>
          <w:sz w:val="22"/>
          <w:szCs w:val="22"/>
        </w:rPr>
        <w:t xml:space="preserve">. </w:t>
      </w:r>
      <w:r w:rsidR="00D31193" w:rsidRPr="007F7EBF">
        <w:rPr>
          <w:sz w:val="22"/>
          <w:szCs w:val="22"/>
        </w:rPr>
        <w:t xml:space="preserve">Questa tendenza a </w:t>
      </w:r>
      <w:r w:rsidR="00D31193" w:rsidRPr="007F7EBF">
        <w:rPr>
          <w:sz w:val="22"/>
          <w:szCs w:val="22"/>
        </w:rPr>
        <w:lastRenderedPageBreak/>
        <w:t xml:space="preserve">“esportare la contabilità” </w:t>
      </w:r>
      <w:r w:rsidR="00A864E6">
        <w:rPr>
          <w:sz w:val="22"/>
          <w:szCs w:val="22"/>
        </w:rPr>
        <w:t>(</w:t>
      </w:r>
      <w:r w:rsidR="00D31193" w:rsidRPr="007F7EBF">
        <w:rPr>
          <w:rStyle w:val="Rimandonotaapidipagina"/>
          <w:sz w:val="22"/>
          <w:szCs w:val="22"/>
        </w:rPr>
        <w:footnoteReference w:id="445"/>
      </w:r>
      <w:r w:rsidR="00A864E6">
        <w:rPr>
          <w:sz w:val="22"/>
          <w:szCs w:val="22"/>
        </w:rPr>
        <w:t>)</w:t>
      </w:r>
      <w:r w:rsidR="00E6480E" w:rsidRPr="007F7EBF">
        <w:rPr>
          <w:sz w:val="22"/>
          <w:szCs w:val="22"/>
        </w:rPr>
        <w:t xml:space="preserve"> dimentica che la determinazione ragionieristica </w:t>
      </w:r>
      <w:r w:rsidR="00A864E6">
        <w:rPr>
          <w:sz w:val="22"/>
          <w:szCs w:val="22"/>
        </w:rPr>
        <w:t xml:space="preserve">ha bisogno di innestarsi su documenti che gli interessati hanno necessità genuina di tenere </w:t>
      </w:r>
      <w:r w:rsidR="00D31193" w:rsidRPr="007F7EBF">
        <w:rPr>
          <w:sz w:val="22"/>
          <w:szCs w:val="22"/>
        </w:rPr>
        <w:t>per fini gestionali,</w:t>
      </w:r>
      <w:r w:rsidR="00E6480E" w:rsidRPr="007F7EBF">
        <w:rPr>
          <w:sz w:val="22"/>
          <w:szCs w:val="22"/>
        </w:rPr>
        <w:t xml:space="preserve"> </w:t>
      </w:r>
      <w:r w:rsidR="00A864E6">
        <w:rPr>
          <w:sz w:val="22"/>
          <w:szCs w:val="22"/>
        </w:rPr>
        <w:t xml:space="preserve">come rilevato al </w:t>
      </w:r>
      <w:r w:rsidR="007B53EE" w:rsidRPr="007F7EBF">
        <w:rPr>
          <w:sz w:val="22"/>
          <w:szCs w:val="22"/>
        </w:rPr>
        <w:t>par.3</w:t>
      </w:r>
      <w:r w:rsidR="00D31193" w:rsidRPr="007F7EBF">
        <w:rPr>
          <w:sz w:val="22"/>
          <w:szCs w:val="22"/>
        </w:rPr>
        <w:t>.13</w:t>
      </w:r>
      <w:r w:rsidR="00A864E6">
        <w:rPr>
          <w:sz w:val="22"/>
          <w:szCs w:val="22"/>
        </w:rPr>
        <w:t xml:space="preserve">, </w:t>
      </w:r>
      <w:r w:rsidR="00F64086" w:rsidRPr="007F7EBF">
        <w:rPr>
          <w:sz w:val="22"/>
          <w:szCs w:val="22"/>
        </w:rPr>
        <w:t>sull’in</w:t>
      </w:r>
      <w:r w:rsidR="00A864E6">
        <w:rPr>
          <w:sz w:val="22"/>
          <w:szCs w:val="22"/>
        </w:rPr>
        <w:t>sensatezza</w:t>
      </w:r>
      <w:r w:rsidR="00F64086" w:rsidRPr="007F7EBF">
        <w:rPr>
          <w:sz w:val="22"/>
          <w:szCs w:val="22"/>
        </w:rPr>
        <w:t xml:space="preserve"> di una </w:t>
      </w:r>
      <w:r w:rsidR="00A864E6">
        <w:rPr>
          <w:sz w:val="22"/>
          <w:szCs w:val="22"/>
        </w:rPr>
        <w:t>“</w:t>
      </w:r>
      <w:r w:rsidR="00F64086" w:rsidRPr="007F7EBF">
        <w:rPr>
          <w:sz w:val="22"/>
          <w:szCs w:val="22"/>
        </w:rPr>
        <w:t xml:space="preserve">contabilità </w:t>
      </w:r>
      <w:r w:rsidR="00A864E6">
        <w:rPr>
          <w:sz w:val="22"/>
          <w:szCs w:val="22"/>
        </w:rPr>
        <w:t>fiscale”, dove manca il bisogno di</w:t>
      </w:r>
      <w:r w:rsidR="00F64086" w:rsidRPr="007F7EBF">
        <w:rPr>
          <w:sz w:val="22"/>
          <w:szCs w:val="22"/>
        </w:rPr>
        <w:t xml:space="preserve"> un contabile.</w:t>
      </w:r>
    </w:p>
    <w:p w14:paraId="4AD90219" w14:textId="55E3D53A" w:rsidR="003B2442" w:rsidRPr="007F7EBF" w:rsidRDefault="00600BC9" w:rsidP="003B2442">
      <w:pPr>
        <w:pStyle w:val="tit23"/>
        <w:ind w:left="6464" w:right="-1361" w:firstLine="0"/>
        <w:jc w:val="left"/>
        <w:rPr>
          <w:bCs/>
          <w:i/>
          <w:iCs/>
          <w:color w:val="0000FF"/>
          <w:lang w:val="it-IT"/>
        </w:rPr>
      </w:pPr>
      <w:r>
        <w:rPr>
          <w:bCs/>
          <w:i/>
          <w:iCs/>
          <w:color w:val="0000FF"/>
          <w:lang w:val="it-IT"/>
        </w:rPr>
        <w:t>Esportazione della contabilità e</w:t>
      </w:r>
      <w:r w:rsidR="003B2442" w:rsidRPr="007F7EBF">
        <w:rPr>
          <w:bCs/>
          <w:i/>
          <w:iCs/>
          <w:color w:val="0000FF"/>
          <w:lang w:val="it-IT"/>
        </w:rPr>
        <w:t xml:space="preserve"> feticcio informatico</w:t>
      </w:r>
    </w:p>
    <w:p w14:paraId="023254E0" w14:textId="0EB6D916" w:rsidR="00BE7A85" w:rsidRPr="007F7EBF" w:rsidRDefault="00A864E6" w:rsidP="003B2442">
      <w:pPr>
        <w:autoSpaceDE w:val="0"/>
        <w:autoSpaceDN w:val="0"/>
        <w:adjustRightInd w:val="0"/>
        <w:rPr>
          <w:bCs/>
          <w:i/>
          <w:iCs/>
          <w:color w:val="0000FF"/>
          <w:sz w:val="22"/>
          <w:szCs w:val="22"/>
        </w:rPr>
      </w:pPr>
      <w:r>
        <w:rPr>
          <w:sz w:val="22"/>
          <w:szCs w:val="22"/>
        </w:rPr>
        <w:t>A q</w:t>
      </w:r>
      <w:r w:rsidR="00F64086" w:rsidRPr="007F7EBF">
        <w:rPr>
          <w:sz w:val="22"/>
          <w:szCs w:val="22"/>
        </w:rPr>
        <w:t xml:space="preserve">uest’illusione </w:t>
      </w:r>
      <w:r>
        <w:t xml:space="preserve">si collegano da anni </w:t>
      </w:r>
      <w:r w:rsidRPr="007F7EBF">
        <w:t xml:space="preserve">dichiarazioni pubbliche, effetti annuncio e leggi manifesto, </w:t>
      </w:r>
      <w:r>
        <w:t xml:space="preserve">con </w:t>
      </w:r>
      <w:r w:rsidRPr="007F7EBF">
        <w:t>generiche, enfatiche e contraddittorie</w:t>
      </w:r>
      <w:r>
        <w:t xml:space="preserve"> </w:t>
      </w:r>
      <w:r w:rsidRPr="007F7EBF">
        <w:t>“trovate normative” (par.2.</w:t>
      </w:r>
      <w:r>
        <w:t>4</w:t>
      </w:r>
      <w:r w:rsidRPr="007F7EBF">
        <w:t xml:space="preserve"> ss.)</w:t>
      </w:r>
      <w:r>
        <w:t xml:space="preserve">, dalla sopra indicata assurda </w:t>
      </w:r>
      <w:r w:rsidRPr="007F7EBF">
        <w:rPr>
          <w:sz w:val="22"/>
          <w:szCs w:val="22"/>
        </w:rPr>
        <w:t>“contabilità fiscale”</w:t>
      </w:r>
      <w:r w:rsidR="00600BC9">
        <w:rPr>
          <w:sz w:val="22"/>
          <w:szCs w:val="22"/>
        </w:rPr>
        <w:t xml:space="preserve"> (par.3.13), </w:t>
      </w:r>
      <w:r w:rsidRPr="007F7EBF">
        <w:rPr>
          <w:sz w:val="22"/>
          <w:szCs w:val="22"/>
        </w:rPr>
        <w:t>al “contrasto d’interessi” (par</w:t>
      </w:r>
      <w:r w:rsidR="00600BC9">
        <w:rPr>
          <w:sz w:val="22"/>
          <w:szCs w:val="22"/>
        </w:rPr>
        <w:t>.</w:t>
      </w:r>
      <w:r w:rsidRPr="007F7EBF">
        <w:rPr>
          <w:sz w:val="22"/>
          <w:szCs w:val="22"/>
        </w:rPr>
        <w:t xml:space="preserve"> 9.3), alla “tracciabilità”(par. 5.9 e 5.16), ai divieti di usare il contante (par. 5.16 in fine), all’anagrafe dei conti bancari   (par.5.16), agli spesometri, </w:t>
      </w:r>
      <w:r w:rsidR="00600BC9" w:rsidRPr="007F7EBF">
        <w:rPr>
          <w:sz w:val="22"/>
          <w:szCs w:val="22"/>
        </w:rPr>
        <w:t>agli scontrini e le ricevute fiscali di artigiani e piccoli commer</w:t>
      </w:r>
      <w:r w:rsidR="00600BC9">
        <w:rPr>
          <w:sz w:val="22"/>
          <w:szCs w:val="22"/>
        </w:rPr>
        <w:t>c</w:t>
      </w:r>
      <w:r w:rsidR="00600BC9" w:rsidRPr="007F7EBF">
        <w:rPr>
          <w:sz w:val="22"/>
          <w:szCs w:val="22"/>
        </w:rPr>
        <w:t>ianti (par. 7.7),</w:t>
      </w:r>
      <w:r w:rsidR="00600BC9">
        <w:rPr>
          <w:sz w:val="22"/>
          <w:szCs w:val="22"/>
        </w:rPr>
        <w:t xml:space="preserve"> </w:t>
      </w:r>
      <w:r w:rsidRPr="007F7EBF">
        <w:rPr>
          <w:sz w:val="22"/>
          <w:szCs w:val="22"/>
        </w:rPr>
        <w:t>ai codici fiscali da inserire in ogni dove</w:t>
      </w:r>
      <w:r w:rsidR="00600BC9">
        <w:rPr>
          <w:sz w:val="22"/>
          <w:szCs w:val="22"/>
        </w:rPr>
        <w:t xml:space="preserve">. Quest’illusione tende a colorarsi di  informatica, con le </w:t>
      </w:r>
      <w:r w:rsidRPr="007F7EBF">
        <w:rPr>
          <w:sz w:val="22"/>
          <w:szCs w:val="22"/>
        </w:rPr>
        <w:t xml:space="preserve"> dichiarazioni precompilat</w:t>
      </w:r>
      <w:r>
        <w:rPr>
          <w:sz w:val="22"/>
          <w:szCs w:val="22"/>
        </w:rPr>
        <w:t>e (</w:t>
      </w:r>
      <w:r w:rsidRPr="007F7EBF">
        <w:rPr>
          <w:rStyle w:val="Rimandonotaapidipagina"/>
          <w:sz w:val="22"/>
          <w:szCs w:val="22"/>
        </w:rPr>
        <w:footnoteReference w:id="446"/>
      </w:r>
      <w:r w:rsidRPr="007F7EBF">
        <w:rPr>
          <w:sz w:val="22"/>
          <w:szCs w:val="22"/>
        </w:rPr>
        <w:t>)</w:t>
      </w:r>
      <w:r w:rsidR="00600BC9">
        <w:rPr>
          <w:sz w:val="22"/>
          <w:szCs w:val="22"/>
        </w:rPr>
        <w:t xml:space="preserve">, la fattura elettronica e </w:t>
      </w:r>
      <w:r w:rsidR="00F64086" w:rsidRPr="007F7EBF">
        <w:rPr>
          <w:sz w:val="22"/>
          <w:szCs w:val="22"/>
        </w:rPr>
        <w:t xml:space="preserve">le banche dati viste come </w:t>
      </w:r>
      <w:r w:rsidR="00F64086" w:rsidRPr="007F7EBF">
        <w:rPr>
          <w:bCs/>
          <w:i/>
          <w:sz w:val="22"/>
          <w:szCs w:val="22"/>
        </w:rPr>
        <w:t xml:space="preserve">grande fratello fiscale </w:t>
      </w:r>
      <w:r w:rsidR="00F64086" w:rsidRPr="007F7EBF">
        <w:rPr>
          <w:sz w:val="22"/>
          <w:szCs w:val="22"/>
        </w:rPr>
        <w:t xml:space="preserve">; una radicata tendenza di opinione vede l’intelligenza artificiale dei computers come un sostituto di quella umana, </w:t>
      </w:r>
      <w:r w:rsidR="00F64086" w:rsidRPr="007F7EBF">
        <w:rPr>
          <w:bCs/>
          <w:sz w:val="22"/>
          <w:szCs w:val="22"/>
        </w:rPr>
        <w:t xml:space="preserve">una specie di </w:t>
      </w:r>
      <w:r w:rsidR="00F64086" w:rsidRPr="007F7EBF">
        <w:rPr>
          <w:i/>
          <w:sz w:val="22"/>
          <w:szCs w:val="22"/>
        </w:rPr>
        <w:t>Golem</w:t>
      </w:r>
      <w:r w:rsidR="00F64086" w:rsidRPr="007F7EBF">
        <w:rPr>
          <w:sz w:val="22"/>
          <w:szCs w:val="22"/>
        </w:rPr>
        <w:t xml:space="preserve"> contro l'evasione </w:t>
      </w:r>
      <w:r w:rsidR="00600BC9">
        <w:rPr>
          <w:sz w:val="22"/>
          <w:szCs w:val="22"/>
        </w:rPr>
        <w:t>(</w:t>
      </w:r>
      <w:r w:rsidR="00F64086" w:rsidRPr="007F7EBF">
        <w:rPr>
          <w:rStyle w:val="Rimandonotaapidipagina"/>
          <w:sz w:val="22"/>
          <w:szCs w:val="22"/>
        </w:rPr>
        <w:footnoteReference w:id="447"/>
      </w:r>
      <w:r w:rsidR="00600BC9">
        <w:rPr>
          <w:sz w:val="22"/>
          <w:szCs w:val="22"/>
        </w:rPr>
        <w:t>)</w:t>
      </w:r>
      <w:r w:rsidR="00F64086" w:rsidRPr="007F7EBF">
        <w:rPr>
          <w:sz w:val="22"/>
          <w:szCs w:val="22"/>
        </w:rPr>
        <w:t>.</w:t>
      </w:r>
      <w:r w:rsidR="002B238D">
        <w:rPr>
          <w:sz w:val="22"/>
          <w:szCs w:val="22"/>
        </w:rPr>
        <w:t xml:space="preserve"> Non si capisce che la digitalizzazione avviene a carico di chi immette i dati, proseguendo nell’esternalizzazione della funzione tributaria, </w:t>
      </w:r>
      <w:r w:rsidR="00600BC9">
        <w:rPr>
          <w:sz w:val="22"/>
          <w:szCs w:val="22"/>
        </w:rPr>
        <w:t xml:space="preserve">e </w:t>
      </w:r>
      <w:r w:rsidR="002B238D">
        <w:rPr>
          <w:sz w:val="22"/>
          <w:szCs w:val="22"/>
        </w:rPr>
        <w:t>riguarda il dichiarato, non l’evaso</w:t>
      </w:r>
      <w:r w:rsidR="00600BC9">
        <w:rPr>
          <w:sz w:val="22"/>
          <w:szCs w:val="22"/>
        </w:rPr>
        <w:t>, per la cui stima serve comunque un intervento valutativo degli uffici tributari, come v</w:t>
      </w:r>
      <w:r w:rsidR="00600BC9" w:rsidRPr="007F7EBF">
        <w:rPr>
          <w:sz w:val="20"/>
          <w:szCs w:val="20"/>
        </w:rPr>
        <w:t xml:space="preserve">edremo al par.5.9 e 5.16 </w:t>
      </w:r>
      <w:r w:rsidR="00600BC9">
        <w:rPr>
          <w:sz w:val="20"/>
          <w:szCs w:val="20"/>
        </w:rPr>
        <w:t xml:space="preserve"> sugli </w:t>
      </w:r>
      <w:r w:rsidR="00600BC9" w:rsidRPr="007F7EBF">
        <w:rPr>
          <w:sz w:val="20"/>
          <w:szCs w:val="20"/>
        </w:rPr>
        <w:t>"indizi contabili"</w:t>
      </w:r>
      <w:r w:rsidR="003B2442" w:rsidRPr="007F7EBF">
        <w:rPr>
          <w:sz w:val="22"/>
          <w:szCs w:val="22"/>
        </w:rPr>
        <w:t xml:space="preserve">. </w:t>
      </w:r>
      <w:r w:rsidR="00560248">
        <w:rPr>
          <w:sz w:val="22"/>
          <w:szCs w:val="22"/>
        </w:rPr>
        <w:t xml:space="preserve">E’ una tendenza che crea sempre più malessere in quanto impone a operai, impiegati e casalinghe di improvvisarsi ragionieri, con una conservazione di documenti non solo ai fini “sostanziali”, ad esempio condominiali, </w:t>
      </w:r>
      <w:r w:rsidR="00794543">
        <w:rPr>
          <w:sz w:val="22"/>
          <w:szCs w:val="22"/>
        </w:rPr>
        <w:t xml:space="preserve">sanitari, universitari, previdenziali, assicurativi, contributivi, etc., ma anche tributari, con la necessità di “ripescarli” nelle più disparate </w:t>
      </w:r>
      <w:r w:rsidR="00560248">
        <w:rPr>
          <w:sz w:val="22"/>
          <w:szCs w:val="22"/>
        </w:rPr>
        <w:t>cartelline</w:t>
      </w:r>
      <w:r w:rsidR="00794543">
        <w:rPr>
          <w:sz w:val="22"/>
          <w:szCs w:val="22"/>
        </w:rPr>
        <w:t xml:space="preserve">, per riaggregarli ai fini tributari, </w:t>
      </w:r>
      <w:r w:rsidR="00560248">
        <w:rPr>
          <w:sz w:val="22"/>
          <w:szCs w:val="22"/>
        </w:rPr>
        <w:t xml:space="preserve">in una </w:t>
      </w:r>
      <w:r w:rsidR="00560248">
        <w:rPr>
          <w:sz w:val="22"/>
          <w:szCs w:val="22"/>
        </w:rPr>
        <w:lastRenderedPageBreak/>
        <w:t>specie di caccia al tesor</w:t>
      </w:r>
      <w:r w:rsidR="00794543">
        <w:rPr>
          <w:sz w:val="22"/>
          <w:szCs w:val="22"/>
        </w:rPr>
        <w:t>o</w:t>
      </w:r>
      <w:r w:rsidR="001736AF">
        <w:rPr>
          <w:sz w:val="22"/>
          <w:szCs w:val="22"/>
        </w:rPr>
        <w:t>,</w:t>
      </w:r>
      <w:r w:rsidR="00794543">
        <w:rPr>
          <w:sz w:val="22"/>
          <w:szCs w:val="22"/>
        </w:rPr>
        <w:t xml:space="preserve"> </w:t>
      </w:r>
      <w:r w:rsidR="001736AF">
        <w:rPr>
          <w:sz w:val="22"/>
          <w:szCs w:val="22"/>
        </w:rPr>
        <w:t>coordinata</w:t>
      </w:r>
      <w:r w:rsidR="00794543">
        <w:rPr>
          <w:sz w:val="22"/>
          <w:szCs w:val="22"/>
        </w:rPr>
        <w:t xml:space="preserve"> da un avvilito commercialista (par.3.16). </w:t>
      </w:r>
    </w:p>
    <w:p w14:paraId="5FEEB60B" w14:textId="77777777" w:rsidR="00BE7A85" w:rsidRPr="007F7EBF" w:rsidRDefault="00985A6E" w:rsidP="00BE7A85">
      <w:pPr>
        <w:pStyle w:val="tit23"/>
        <w:ind w:left="6464" w:right="-1361" w:firstLine="0"/>
        <w:jc w:val="left"/>
        <w:rPr>
          <w:bCs/>
          <w:i/>
          <w:iCs/>
          <w:color w:val="0000FF"/>
          <w:lang w:val="it-IT"/>
        </w:rPr>
      </w:pPr>
      <w:r>
        <w:rPr>
          <w:bCs/>
          <w:i/>
          <w:iCs/>
          <w:color w:val="0000FF"/>
          <w:lang w:val="it-IT"/>
        </w:rPr>
        <w:t>F</w:t>
      </w:r>
      <w:r w:rsidR="007674F3" w:rsidRPr="007F7EBF">
        <w:rPr>
          <w:bCs/>
          <w:i/>
          <w:iCs/>
          <w:color w:val="0000FF"/>
          <w:lang w:val="it-IT"/>
        </w:rPr>
        <w:t xml:space="preserve">ormalizzazione </w:t>
      </w:r>
      <w:r w:rsidR="00F64086" w:rsidRPr="007F7EBF">
        <w:rPr>
          <w:bCs/>
          <w:i/>
          <w:iCs/>
          <w:color w:val="0000FF"/>
          <w:lang w:val="it-IT"/>
        </w:rPr>
        <w:t xml:space="preserve">ragionieristica </w:t>
      </w:r>
      <w:r w:rsidR="007674F3" w:rsidRPr="007F7EBF">
        <w:rPr>
          <w:bCs/>
          <w:i/>
          <w:iCs/>
          <w:color w:val="0000FF"/>
          <w:lang w:val="it-IT"/>
        </w:rPr>
        <w:t>delle stime</w:t>
      </w:r>
      <w:r w:rsidR="003B425A" w:rsidRPr="007F7EBF">
        <w:rPr>
          <w:bCs/>
          <w:i/>
          <w:iCs/>
          <w:color w:val="0000FF"/>
          <w:lang w:val="it-IT"/>
        </w:rPr>
        <w:t xml:space="preserve"> </w:t>
      </w:r>
    </w:p>
    <w:p w14:paraId="63CAA554" w14:textId="0BF54024" w:rsidR="00B70AA6" w:rsidRPr="007F7EBF" w:rsidRDefault="00176816" w:rsidP="00B70AA6">
      <w:pPr>
        <w:autoSpaceDE w:val="0"/>
        <w:autoSpaceDN w:val="0"/>
        <w:adjustRightInd w:val="0"/>
        <w:rPr>
          <w:sz w:val="22"/>
          <w:szCs w:val="22"/>
        </w:rPr>
      </w:pPr>
      <w:r w:rsidRPr="007F7EBF">
        <w:rPr>
          <w:sz w:val="22"/>
          <w:szCs w:val="22"/>
        </w:rPr>
        <w:t>Uguale e contrari</w:t>
      </w:r>
      <w:r w:rsidR="000E042F">
        <w:rPr>
          <w:sz w:val="22"/>
          <w:szCs w:val="22"/>
        </w:rPr>
        <w:t>o</w:t>
      </w:r>
      <w:r w:rsidRPr="007F7EBF">
        <w:rPr>
          <w:sz w:val="22"/>
          <w:szCs w:val="22"/>
        </w:rPr>
        <w:t xml:space="preserve"> all'esportazione della contabilità è un</w:t>
      </w:r>
      <w:r w:rsidR="00DE1C7B">
        <w:rPr>
          <w:sz w:val="22"/>
          <w:szCs w:val="22"/>
        </w:rPr>
        <w:t xml:space="preserve"> </w:t>
      </w:r>
      <w:r w:rsidRPr="007F7EBF">
        <w:rPr>
          <w:sz w:val="22"/>
          <w:szCs w:val="22"/>
        </w:rPr>
        <w:t>altr</w:t>
      </w:r>
      <w:r w:rsidR="00DE1C7B">
        <w:rPr>
          <w:sz w:val="22"/>
          <w:szCs w:val="22"/>
        </w:rPr>
        <w:t>o istintivo modo di superare i</w:t>
      </w:r>
      <w:r w:rsidR="009B22B0" w:rsidRPr="007F7EBF">
        <w:rPr>
          <w:sz w:val="22"/>
          <w:szCs w:val="22"/>
        </w:rPr>
        <w:t xml:space="preserve">l dualismo tra determinazione contabile </w:t>
      </w:r>
      <w:r w:rsidR="00600BC9">
        <w:rPr>
          <w:sz w:val="22"/>
          <w:szCs w:val="22"/>
        </w:rPr>
        <w:t xml:space="preserve">e </w:t>
      </w:r>
      <w:r w:rsidR="009B22B0" w:rsidRPr="007F7EBF">
        <w:rPr>
          <w:sz w:val="22"/>
          <w:szCs w:val="22"/>
        </w:rPr>
        <w:t>valutativa</w:t>
      </w:r>
      <w:r w:rsidR="00600BC9">
        <w:rPr>
          <w:sz w:val="22"/>
          <w:szCs w:val="22"/>
        </w:rPr>
        <w:t xml:space="preserve"> degli imponibili</w:t>
      </w:r>
      <w:r w:rsidR="009B22B0" w:rsidRPr="007F7EBF">
        <w:rPr>
          <w:sz w:val="22"/>
          <w:szCs w:val="22"/>
        </w:rPr>
        <w:t xml:space="preserve">; </w:t>
      </w:r>
      <w:r w:rsidR="00DE1C7B">
        <w:rPr>
          <w:sz w:val="22"/>
          <w:szCs w:val="22"/>
        </w:rPr>
        <w:t xml:space="preserve">l’impulso è quello di </w:t>
      </w:r>
      <w:r w:rsidR="00DE6B90" w:rsidRPr="007F7EBF">
        <w:rPr>
          <w:sz w:val="22"/>
          <w:szCs w:val="22"/>
        </w:rPr>
        <w:t>formalizza</w:t>
      </w:r>
      <w:r w:rsidR="009B22B0" w:rsidRPr="007F7EBF">
        <w:rPr>
          <w:sz w:val="22"/>
          <w:szCs w:val="22"/>
        </w:rPr>
        <w:t>re</w:t>
      </w:r>
      <w:r w:rsidRPr="007F7EBF">
        <w:rPr>
          <w:sz w:val="22"/>
          <w:szCs w:val="22"/>
        </w:rPr>
        <w:t xml:space="preserve">, rendendole seriali e meccaniche, </w:t>
      </w:r>
      <w:r w:rsidR="006F338D" w:rsidRPr="007F7EBF">
        <w:rPr>
          <w:sz w:val="22"/>
          <w:szCs w:val="22"/>
        </w:rPr>
        <w:t xml:space="preserve">le </w:t>
      </w:r>
      <w:r w:rsidRPr="007F7EBF">
        <w:rPr>
          <w:sz w:val="22"/>
          <w:szCs w:val="22"/>
        </w:rPr>
        <w:t xml:space="preserve">tradizionali </w:t>
      </w:r>
      <w:r w:rsidR="00C51081" w:rsidRPr="007F7EBF">
        <w:rPr>
          <w:sz w:val="22"/>
          <w:szCs w:val="22"/>
        </w:rPr>
        <w:t>valutazioni</w:t>
      </w:r>
      <w:r w:rsidR="006F338D" w:rsidRPr="007F7EBF">
        <w:rPr>
          <w:sz w:val="22"/>
          <w:szCs w:val="22"/>
        </w:rPr>
        <w:t xml:space="preserve"> deg</w:t>
      </w:r>
      <w:r w:rsidRPr="007F7EBF">
        <w:rPr>
          <w:sz w:val="22"/>
          <w:szCs w:val="22"/>
        </w:rPr>
        <w:t>li uffici tributari</w:t>
      </w:r>
      <w:r w:rsidR="00DE1C7B">
        <w:rPr>
          <w:sz w:val="22"/>
          <w:szCs w:val="22"/>
        </w:rPr>
        <w:t xml:space="preserve">, in una sorta di </w:t>
      </w:r>
      <w:r w:rsidR="008854EC" w:rsidRPr="007F7EBF">
        <w:rPr>
          <w:sz w:val="22"/>
          <w:szCs w:val="22"/>
        </w:rPr>
        <w:t>"</w:t>
      </w:r>
      <w:proofErr w:type="spellStart"/>
      <w:r w:rsidR="008854EC" w:rsidRPr="007F7EBF">
        <w:rPr>
          <w:sz w:val="22"/>
          <w:szCs w:val="22"/>
        </w:rPr>
        <w:t>ragionierizzazione</w:t>
      </w:r>
      <w:proofErr w:type="spellEnd"/>
      <w:r w:rsidR="008854EC" w:rsidRPr="007F7EBF">
        <w:rPr>
          <w:sz w:val="22"/>
          <w:szCs w:val="22"/>
        </w:rPr>
        <w:t xml:space="preserve"> delle stime"</w:t>
      </w:r>
      <w:r w:rsidR="00DE1C7B">
        <w:rPr>
          <w:sz w:val="22"/>
          <w:szCs w:val="22"/>
        </w:rPr>
        <w:t xml:space="preserve">. Questa tendenza si realizza attraverso la </w:t>
      </w:r>
      <w:r w:rsidRPr="007F7EBF">
        <w:rPr>
          <w:sz w:val="22"/>
          <w:szCs w:val="22"/>
        </w:rPr>
        <w:t>formalizza</w:t>
      </w:r>
      <w:r w:rsidR="00DE1C7B">
        <w:rPr>
          <w:sz w:val="22"/>
          <w:szCs w:val="22"/>
        </w:rPr>
        <w:t xml:space="preserve">zione di </w:t>
      </w:r>
      <w:r w:rsidRPr="007F7EBF">
        <w:rPr>
          <w:sz w:val="22"/>
          <w:szCs w:val="22"/>
        </w:rPr>
        <w:t xml:space="preserve">parametri economico-statistici, </w:t>
      </w:r>
      <w:r w:rsidR="00DE1C7B">
        <w:rPr>
          <w:sz w:val="22"/>
          <w:szCs w:val="22"/>
        </w:rPr>
        <w:t xml:space="preserve">come </w:t>
      </w:r>
      <w:r w:rsidR="00DD3D1E" w:rsidRPr="007F7EBF">
        <w:rPr>
          <w:sz w:val="22"/>
          <w:szCs w:val="22"/>
        </w:rPr>
        <w:t xml:space="preserve">gli studi di </w:t>
      </w:r>
      <w:r w:rsidR="006F338D" w:rsidRPr="007F7EBF">
        <w:rPr>
          <w:sz w:val="22"/>
          <w:szCs w:val="22"/>
        </w:rPr>
        <w:t xml:space="preserve">settore (par. 5.13), i fantomatici accertamenti “sintetici di massa” (par. 5.14) e </w:t>
      </w:r>
      <w:r w:rsidR="006F392C" w:rsidRPr="007F7EBF">
        <w:rPr>
          <w:sz w:val="22"/>
          <w:szCs w:val="22"/>
        </w:rPr>
        <w:t xml:space="preserve">la trasformazione in presunzioni legali dei suddetti </w:t>
      </w:r>
      <w:r w:rsidR="006F338D" w:rsidRPr="007F7EBF">
        <w:rPr>
          <w:sz w:val="22"/>
          <w:szCs w:val="22"/>
        </w:rPr>
        <w:t xml:space="preserve">“indizi contabili” </w:t>
      </w:r>
      <w:r w:rsidR="006F392C" w:rsidRPr="007F7EBF">
        <w:rPr>
          <w:sz w:val="22"/>
          <w:szCs w:val="22"/>
        </w:rPr>
        <w:t xml:space="preserve">di cui al par.5.9 </w:t>
      </w:r>
      <w:r w:rsidR="00DE1C7B">
        <w:rPr>
          <w:sz w:val="22"/>
          <w:szCs w:val="22"/>
        </w:rPr>
        <w:t>(</w:t>
      </w:r>
      <w:r w:rsidR="006F392C" w:rsidRPr="007F7EBF">
        <w:rPr>
          <w:rStyle w:val="Rimandonotaapidipagina"/>
          <w:sz w:val="22"/>
          <w:szCs w:val="22"/>
        </w:rPr>
        <w:footnoteReference w:id="448"/>
      </w:r>
      <w:r w:rsidR="00DE1C7B">
        <w:rPr>
          <w:sz w:val="22"/>
          <w:szCs w:val="22"/>
        </w:rPr>
        <w:t>)</w:t>
      </w:r>
      <w:r w:rsidR="006F338D" w:rsidRPr="007F7EBF">
        <w:rPr>
          <w:sz w:val="22"/>
          <w:szCs w:val="22"/>
        </w:rPr>
        <w:t xml:space="preserve">. </w:t>
      </w:r>
    </w:p>
    <w:p w14:paraId="7035767B" w14:textId="5067E591" w:rsidR="00B70AA6" w:rsidRPr="007F7EBF" w:rsidRDefault="008D6D23" w:rsidP="00B70AA6">
      <w:pPr>
        <w:pStyle w:val="tit23"/>
        <w:ind w:left="6464" w:right="-1361" w:firstLine="0"/>
        <w:jc w:val="left"/>
        <w:rPr>
          <w:bCs/>
          <w:i/>
          <w:iCs/>
          <w:color w:val="0000FF"/>
          <w:lang w:val="it-IT"/>
        </w:rPr>
      </w:pPr>
      <w:r>
        <w:rPr>
          <w:bCs/>
          <w:i/>
          <w:iCs/>
          <w:color w:val="0000FF"/>
          <w:lang w:val="it-IT"/>
        </w:rPr>
        <w:t xml:space="preserve">Necessaria  consapevolezza della diversa determinabilità degli imponibili </w:t>
      </w:r>
    </w:p>
    <w:p w14:paraId="4E0F4D43" w14:textId="4512A904" w:rsidR="00894A9D" w:rsidRPr="007F7EBF" w:rsidRDefault="001937DE" w:rsidP="0039105F">
      <w:pPr>
        <w:autoSpaceDE w:val="0"/>
        <w:autoSpaceDN w:val="0"/>
        <w:adjustRightInd w:val="0"/>
        <w:rPr>
          <w:sz w:val="22"/>
          <w:szCs w:val="22"/>
        </w:rPr>
      </w:pPr>
      <w:r>
        <w:rPr>
          <w:sz w:val="22"/>
          <w:szCs w:val="22"/>
        </w:rPr>
        <w:t>Con tutta la loro confusion</w:t>
      </w:r>
      <w:r w:rsidR="005C146E">
        <w:rPr>
          <w:sz w:val="22"/>
          <w:szCs w:val="22"/>
        </w:rPr>
        <w:t>e</w:t>
      </w:r>
      <w:r w:rsidR="00B30094" w:rsidRPr="007F7EBF">
        <w:rPr>
          <w:sz w:val="22"/>
          <w:szCs w:val="22"/>
        </w:rPr>
        <w:t xml:space="preserve">, </w:t>
      </w:r>
      <w:r w:rsidR="00176816" w:rsidRPr="007F7EBF">
        <w:rPr>
          <w:sz w:val="22"/>
          <w:szCs w:val="22"/>
        </w:rPr>
        <w:t>le suddette</w:t>
      </w:r>
      <w:r w:rsidR="00B30094" w:rsidRPr="007F7EBF">
        <w:rPr>
          <w:sz w:val="22"/>
          <w:szCs w:val="22"/>
        </w:rPr>
        <w:t xml:space="preserve"> </w:t>
      </w:r>
      <w:r w:rsidR="00176816" w:rsidRPr="007F7EBF">
        <w:rPr>
          <w:sz w:val="22"/>
          <w:szCs w:val="22"/>
        </w:rPr>
        <w:t>tendenze</w:t>
      </w:r>
      <w:r w:rsidR="00B30094" w:rsidRPr="007F7EBF">
        <w:rPr>
          <w:sz w:val="22"/>
          <w:szCs w:val="22"/>
        </w:rPr>
        <w:t xml:space="preserve"> </w:t>
      </w:r>
      <w:r w:rsidR="005C146E">
        <w:rPr>
          <w:sz w:val="22"/>
          <w:szCs w:val="22"/>
        </w:rPr>
        <w:t xml:space="preserve">istintivamente mirano alla </w:t>
      </w:r>
      <w:r w:rsidR="00740BB7">
        <w:rPr>
          <w:sz w:val="22"/>
          <w:szCs w:val="22"/>
        </w:rPr>
        <w:t>“perequa</w:t>
      </w:r>
      <w:r w:rsidR="00B30094" w:rsidRPr="007F7EBF">
        <w:rPr>
          <w:sz w:val="22"/>
          <w:szCs w:val="22"/>
        </w:rPr>
        <w:t xml:space="preserve">zione </w:t>
      </w:r>
      <w:r w:rsidR="00740BB7">
        <w:rPr>
          <w:sz w:val="22"/>
          <w:szCs w:val="22"/>
        </w:rPr>
        <w:t>tributaria”</w:t>
      </w:r>
      <w:r w:rsidR="005C146E">
        <w:rPr>
          <w:sz w:val="22"/>
          <w:szCs w:val="22"/>
        </w:rPr>
        <w:t xml:space="preserve"> tra imponibili diversamente determinabili </w:t>
      </w:r>
      <w:r w:rsidR="00740BB7">
        <w:rPr>
          <w:sz w:val="22"/>
          <w:szCs w:val="22"/>
        </w:rPr>
        <w:t xml:space="preserve"> (par.</w:t>
      </w:r>
      <w:r w:rsidR="00EA687D">
        <w:rPr>
          <w:sz w:val="22"/>
          <w:szCs w:val="22"/>
        </w:rPr>
        <w:t>1.8</w:t>
      </w:r>
      <w:r w:rsidR="00740BB7">
        <w:rPr>
          <w:sz w:val="22"/>
          <w:szCs w:val="22"/>
        </w:rPr>
        <w:t xml:space="preserve">) </w:t>
      </w:r>
      <w:r w:rsidR="005C146E">
        <w:rPr>
          <w:sz w:val="22"/>
          <w:szCs w:val="22"/>
        </w:rPr>
        <w:t>ed</w:t>
      </w:r>
      <w:r w:rsidR="00740BB7">
        <w:rPr>
          <w:sz w:val="22"/>
          <w:szCs w:val="22"/>
        </w:rPr>
        <w:t xml:space="preserve"> esprimono </w:t>
      </w:r>
      <w:r w:rsidR="005C146E">
        <w:rPr>
          <w:sz w:val="22"/>
          <w:szCs w:val="22"/>
        </w:rPr>
        <w:t>in genere</w:t>
      </w:r>
      <w:r w:rsidR="00740BB7">
        <w:rPr>
          <w:sz w:val="22"/>
          <w:szCs w:val="22"/>
        </w:rPr>
        <w:t xml:space="preserve"> un desiderio di serenità</w:t>
      </w:r>
      <w:r w:rsidR="008854EC" w:rsidRPr="007F7EBF">
        <w:rPr>
          <w:sz w:val="22"/>
          <w:szCs w:val="22"/>
        </w:rPr>
        <w:t>, di sdrammatizzazione, di normalità, di semplificazione</w:t>
      </w:r>
      <w:r w:rsidR="005C146E">
        <w:rPr>
          <w:sz w:val="22"/>
          <w:szCs w:val="22"/>
        </w:rPr>
        <w:t xml:space="preserve">. </w:t>
      </w:r>
      <w:r w:rsidR="008D6D23">
        <w:rPr>
          <w:sz w:val="22"/>
          <w:szCs w:val="22"/>
        </w:rPr>
        <w:t>Per gestire la questione bisogna partire dalla consapevolezza che la diversa determinabilità degli imponibili è un dato oggettivo, con cui fare i conti, e di cui si può ridurre l’impatto, che però non potrà essere eliminato</w:t>
      </w:r>
      <w:r w:rsidR="00740BB7">
        <w:rPr>
          <w:sz w:val="22"/>
          <w:szCs w:val="22"/>
        </w:rPr>
        <w:t xml:space="preserve">; qualche volta </w:t>
      </w:r>
      <w:r w:rsidR="00360BD7" w:rsidRPr="007F7EBF">
        <w:rPr>
          <w:sz w:val="22"/>
          <w:szCs w:val="22"/>
        </w:rPr>
        <w:t xml:space="preserve">è </w:t>
      </w:r>
      <w:r w:rsidR="00740BB7">
        <w:rPr>
          <w:sz w:val="22"/>
          <w:szCs w:val="22"/>
        </w:rPr>
        <w:t xml:space="preserve">infatti </w:t>
      </w:r>
      <w:r w:rsidR="00360BD7" w:rsidRPr="007F7EBF">
        <w:rPr>
          <w:sz w:val="22"/>
          <w:szCs w:val="22"/>
        </w:rPr>
        <w:t xml:space="preserve">più efficiente </w:t>
      </w:r>
      <w:r w:rsidR="006B2AD3" w:rsidRPr="007F7EBF">
        <w:rPr>
          <w:sz w:val="22"/>
          <w:szCs w:val="22"/>
        </w:rPr>
        <w:t xml:space="preserve">la determinazione contabile, con la sua esattezza ragionieristica, </w:t>
      </w:r>
      <w:r w:rsidR="008D6D23">
        <w:rPr>
          <w:sz w:val="22"/>
          <w:szCs w:val="22"/>
        </w:rPr>
        <w:t xml:space="preserve">altre volte è più efficiente la stima </w:t>
      </w:r>
      <w:r w:rsidR="006B2AD3" w:rsidRPr="007F7EBF">
        <w:rPr>
          <w:sz w:val="22"/>
          <w:szCs w:val="22"/>
        </w:rPr>
        <w:t>presuntivo-</w:t>
      </w:r>
      <w:r w:rsidR="00360BD7" w:rsidRPr="007F7EBF">
        <w:rPr>
          <w:sz w:val="22"/>
          <w:szCs w:val="22"/>
        </w:rPr>
        <w:t>valutativ</w:t>
      </w:r>
      <w:r w:rsidR="006B2AD3" w:rsidRPr="007F7EBF">
        <w:rPr>
          <w:sz w:val="22"/>
          <w:szCs w:val="22"/>
        </w:rPr>
        <w:t xml:space="preserve">a, per ordine di grandezza; </w:t>
      </w:r>
      <w:r w:rsidR="005406CC">
        <w:rPr>
          <w:sz w:val="22"/>
          <w:szCs w:val="22"/>
        </w:rPr>
        <w:t>gestire e coordinare</w:t>
      </w:r>
      <w:r w:rsidR="008D6D23">
        <w:rPr>
          <w:sz w:val="22"/>
          <w:szCs w:val="22"/>
        </w:rPr>
        <w:t xml:space="preserve"> queste differenze oggettive è il modo migliore per sdrammatizzare </w:t>
      </w:r>
      <w:r w:rsidR="006B2AD3" w:rsidRPr="007F7EBF">
        <w:rPr>
          <w:sz w:val="22"/>
          <w:szCs w:val="22"/>
        </w:rPr>
        <w:t>le</w:t>
      </w:r>
      <w:r w:rsidR="00100044" w:rsidRPr="007F7EBF">
        <w:rPr>
          <w:sz w:val="22"/>
          <w:szCs w:val="22"/>
        </w:rPr>
        <w:t xml:space="preserve"> </w:t>
      </w:r>
      <w:r w:rsidR="00360BD7" w:rsidRPr="007F7EBF">
        <w:rPr>
          <w:sz w:val="22"/>
          <w:szCs w:val="22"/>
        </w:rPr>
        <w:t>laceranti</w:t>
      </w:r>
      <w:r w:rsidR="00100044" w:rsidRPr="007F7EBF">
        <w:rPr>
          <w:sz w:val="22"/>
          <w:szCs w:val="22"/>
        </w:rPr>
        <w:t xml:space="preserve"> strumentalizzazio</w:t>
      </w:r>
      <w:r w:rsidR="00360BD7" w:rsidRPr="007F7EBF">
        <w:rPr>
          <w:sz w:val="22"/>
          <w:szCs w:val="22"/>
        </w:rPr>
        <w:t>ni politiche</w:t>
      </w:r>
      <w:r w:rsidR="00100044" w:rsidRPr="007F7EBF">
        <w:rPr>
          <w:sz w:val="22"/>
          <w:szCs w:val="22"/>
        </w:rPr>
        <w:t xml:space="preserve"> di cui al prossimo paragrafo</w:t>
      </w:r>
      <w:r w:rsidR="00DA3033" w:rsidRPr="007F7EBF">
        <w:rPr>
          <w:sz w:val="22"/>
          <w:szCs w:val="22"/>
        </w:rPr>
        <w:t xml:space="preserve">. </w:t>
      </w:r>
    </w:p>
    <w:p w14:paraId="3C13D17E" w14:textId="2386E9B5" w:rsidR="00426321" w:rsidRPr="007F7EBF" w:rsidRDefault="006342C5" w:rsidP="00426321">
      <w:pPr>
        <w:pStyle w:val="Titolo3"/>
        <w:rPr>
          <w:rFonts w:ascii="Times New Roman" w:hAnsi="Times New Roman"/>
          <w:sz w:val="22"/>
          <w:szCs w:val="22"/>
          <w:lang w:val="it-IT"/>
        </w:rPr>
      </w:pPr>
      <w:bookmarkStart w:id="54" w:name="_Toc63364970"/>
      <w:r w:rsidRPr="007F7EBF">
        <w:rPr>
          <w:rFonts w:ascii="Times New Roman" w:hAnsi="Times New Roman"/>
          <w:sz w:val="22"/>
          <w:szCs w:val="22"/>
        </w:rPr>
        <w:lastRenderedPageBreak/>
        <w:t>4.6.</w:t>
      </w:r>
      <w:r w:rsidR="00C03C5E">
        <w:rPr>
          <w:rFonts w:ascii="Times New Roman" w:hAnsi="Times New Roman"/>
          <w:sz w:val="22"/>
          <w:szCs w:val="22"/>
          <w:lang w:val="it-IT"/>
        </w:rPr>
        <w:t xml:space="preserve"> </w:t>
      </w:r>
      <w:r w:rsidR="005837F6">
        <w:rPr>
          <w:rFonts w:ascii="Times New Roman" w:hAnsi="Times New Roman"/>
          <w:sz w:val="22"/>
          <w:szCs w:val="22"/>
          <w:lang w:val="it-IT"/>
        </w:rPr>
        <w:t>Strumentalizzazioni</w:t>
      </w:r>
      <w:r w:rsidR="00C03C5E">
        <w:rPr>
          <w:rFonts w:ascii="Times New Roman" w:hAnsi="Times New Roman"/>
          <w:sz w:val="22"/>
          <w:szCs w:val="22"/>
          <w:lang w:val="it-IT"/>
        </w:rPr>
        <w:t xml:space="preserve"> politic</w:t>
      </w:r>
      <w:r w:rsidR="005837F6">
        <w:rPr>
          <w:rFonts w:ascii="Times New Roman" w:hAnsi="Times New Roman"/>
          <w:sz w:val="22"/>
          <w:szCs w:val="22"/>
          <w:lang w:val="it-IT"/>
        </w:rPr>
        <w:t>o-mediatiche</w:t>
      </w:r>
      <w:r w:rsidR="00C03C5E">
        <w:rPr>
          <w:rFonts w:ascii="Times New Roman" w:hAnsi="Times New Roman"/>
          <w:sz w:val="22"/>
          <w:szCs w:val="22"/>
          <w:lang w:val="it-IT"/>
        </w:rPr>
        <w:t xml:space="preserve"> della </w:t>
      </w:r>
      <w:r w:rsidR="00B10281">
        <w:rPr>
          <w:rFonts w:ascii="Times New Roman" w:hAnsi="Times New Roman"/>
          <w:sz w:val="22"/>
          <w:szCs w:val="22"/>
          <w:lang w:val="it-IT"/>
        </w:rPr>
        <w:t>confusione</w:t>
      </w:r>
      <w:r w:rsidR="005837F6">
        <w:rPr>
          <w:rFonts w:ascii="Times New Roman" w:hAnsi="Times New Roman"/>
          <w:sz w:val="22"/>
          <w:szCs w:val="22"/>
          <w:lang w:val="it-IT"/>
        </w:rPr>
        <w:t xml:space="preserve"> </w:t>
      </w:r>
      <w:r w:rsidR="00243C72">
        <w:rPr>
          <w:rFonts w:ascii="Times New Roman" w:hAnsi="Times New Roman"/>
          <w:sz w:val="22"/>
          <w:szCs w:val="22"/>
          <w:lang w:val="it-IT"/>
        </w:rPr>
        <w:t>sulla funzione tributaria</w:t>
      </w:r>
      <w:bookmarkEnd w:id="54"/>
    </w:p>
    <w:p w14:paraId="5F58938E" w14:textId="455A63AF" w:rsidR="00426321" w:rsidRPr="007F7EBF" w:rsidRDefault="0010325F" w:rsidP="00426321">
      <w:pPr>
        <w:pStyle w:val="tit23"/>
        <w:ind w:left="6464" w:right="-1361" w:firstLine="0"/>
        <w:jc w:val="left"/>
        <w:rPr>
          <w:bCs/>
          <w:i/>
          <w:iCs/>
          <w:color w:val="0000FF"/>
          <w:lang w:val="it-IT"/>
        </w:rPr>
      </w:pPr>
      <w:r>
        <w:rPr>
          <w:bCs/>
          <w:i/>
          <w:iCs/>
          <w:color w:val="0000FF"/>
          <w:lang w:val="it-IT"/>
        </w:rPr>
        <w:t>Strumentalizzazioni politiche</w:t>
      </w:r>
      <w:r w:rsidR="00E74900">
        <w:rPr>
          <w:bCs/>
          <w:i/>
          <w:iCs/>
          <w:color w:val="0000FF"/>
          <w:lang w:val="it-IT"/>
        </w:rPr>
        <w:t>: evasione come capro espiatorio</w:t>
      </w:r>
    </w:p>
    <w:p w14:paraId="3DBCC983" w14:textId="5323D7B0" w:rsidR="00466CFB" w:rsidRPr="007F7EBF" w:rsidRDefault="005837F6" w:rsidP="00466CFB">
      <w:pPr>
        <w:autoSpaceDE w:val="0"/>
        <w:autoSpaceDN w:val="0"/>
        <w:adjustRightInd w:val="0"/>
        <w:rPr>
          <w:sz w:val="22"/>
          <w:szCs w:val="22"/>
        </w:rPr>
      </w:pPr>
      <w:r>
        <w:rPr>
          <w:sz w:val="22"/>
          <w:szCs w:val="22"/>
        </w:rPr>
        <w:t>La mancanza di spiegazioni scientifico sociali della funzione tributaria e le relative confusioni</w:t>
      </w:r>
      <w:r w:rsidR="002D3141">
        <w:rPr>
          <w:sz w:val="22"/>
          <w:szCs w:val="22"/>
        </w:rPr>
        <w:t xml:space="preserve"> </w:t>
      </w:r>
      <w:r w:rsidR="0010325F">
        <w:rPr>
          <w:sz w:val="22"/>
          <w:szCs w:val="22"/>
        </w:rPr>
        <w:t xml:space="preserve">di cui ai paragrafi precedenti </w:t>
      </w:r>
      <w:r w:rsidR="006C6E66">
        <w:rPr>
          <w:sz w:val="22"/>
          <w:szCs w:val="22"/>
        </w:rPr>
        <w:t>si riflettono sulla politica</w:t>
      </w:r>
      <w:r>
        <w:rPr>
          <w:sz w:val="22"/>
          <w:szCs w:val="22"/>
        </w:rPr>
        <w:t xml:space="preserve">; l’evasione </w:t>
      </w:r>
      <w:r w:rsidR="00C775AC">
        <w:t>è</w:t>
      </w:r>
      <w:r w:rsidR="00C775AC" w:rsidRPr="007F7EBF">
        <w:t xml:space="preserve"> </w:t>
      </w:r>
      <w:r>
        <w:t>infatti</w:t>
      </w:r>
      <w:r w:rsidR="00C775AC">
        <w:t xml:space="preserve"> </w:t>
      </w:r>
      <w:r>
        <w:t xml:space="preserve">strumento argomentativo di </w:t>
      </w:r>
      <w:r w:rsidR="00E74900">
        <w:rPr>
          <w:sz w:val="22"/>
          <w:szCs w:val="22"/>
        </w:rPr>
        <w:t xml:space="preserve">una </w:t>
      </w:r>
      <w:r w:rsidR="00E74900" w:rsidRPr="007F7EBF">
        <w:rPr>
          <w:bCs/>
          <w:sz w:val="22"/>
          <w:szCs w:val="22"/>
        </w:rPr>
        <w:t>vasta, trasversale, più o meno consapevole, area sociale politico-</w:t>
      </w:r>
      <w:proofErr w:type="spellStart"/>
      <w:r w:rsidR="00E74900" w:rsidRPr="007F7EBF">
        <w:rPr>
          <w:bCs/>
          <w:sz w:val="22"/>
          <w:szCs w:val="22"/>
        </w:rPr>
        <w:t>sindacal</w:t>
      </w:r>
      <w:proofErr w:type="spellEnd"/>
      <w:r w:rsidR="00E74900" w:rsidRPr="007F7EBF">
        <w:rPr>
          <w:bCs/>
          <w:sz w:val="22"/>
          <w:szCs w:val="22"/>
        </w:rPr>
        <w:t xml:space="preserve">-burocratica, </w:t>
      </w:r>
      <w:r w:rsidR="00E74900">
        <w:rPr>
          <w:bCs/>
          <w:sz w:val="22"/>
          <w:szCs w:val="22"/>
        </w:rPr>
        <w:t xml:space="preserve">con forti responsabilità nell’estensione e nella gestione </w:t>
      </w:r>
      <w:r>
        <w:rPr>
          <w:bCs/>
          <w:sz w:val="22"/>
          <w:szCs w:val="22"/>
        </w:rPr>
        <w:t>delle</w:t>
      </w:r>
      <w:r w:rsidR="00E74900">
        <w:rPr>
          <w:bCs/>
          <w:sz w:val="22"/>
          <w:szCs w:val="22"/>
        </w:rPr>
        <w:t xml:space="preserve"> funzioni pubbliche</w:t>
      </w:r>
      <w:r w:rsidR="00E74900" w:rsidRPr="007F7EBF">
        <w:rPr>
          <w:bCs/>
          <w:sz w:val="22"/>
          <w:szCs w:val="22"/>
        </w:rPr>
        <w:t xml:space="preserve"> </w:t>
      </w:r>
      <w:r>
        <w:t xml:space="preserve">per </w:t>
      </w:r>
      <w:r>
        <w:rPr>
          <w:sz w:val="22"/>
          <w:szCs w:val="22"/>
        </w:rPr>
        <w:t xml:space="preserve">non fare i conti con la loro inefficienza; l’evasione fiscale è stata uno dei pretesti per non fare i conti con </w:t>
      </w:r>
      <w:r w:rsidR="00E74900" w:rsidRPr="007F7EBF">
        <w:rPr>
          <w:sz w:val="22"/>
          <w:szCs w:val="22"/>
        </w:rPr>
        <w:t>negligenze politic</w:t>
      </w:r>
      <w:r w:rsidR="00E74900">
        <w:rPr>
          <w:sz w:val="22"/>
          <w:szCs w:val="22"/>
        </w:rPr>
        <w:t xml:space="preserve">he, incurie </w:t>
      </w:r>
      <w:r w:rsidR="00E74900" w:rsidRPr="007F7EBF">
        <w:rPr>
          <w:sz w:val="22"/>
          <w:szCs w:val="22"/>
        </w:rPr>
        <w:t>amministrative</w:t>
      </w:r>
      <w:r w:rsidR="00E74900">
        <w:rPr>
          <w:sz w:val="22"/>
          <w:szCs w:val="22"/>
        </w:rPr>
        <w:t>, clientelismi, sacche di privilegio a matrice sindacale</w:t>
      </w:r>
      <w:r w:rsidR="00901F54">
        <w:rPr>
          <w:sz w:val="22"/>
          <w:szCs w:val="22"/>
        </w:rPr>
        <w:t>(</w:t>
      </w:r>
      <w:r w:rsidR="00901F54">
        <w:rPr>
          <w:rStyle w:val="Rimandonotaapidipagina"/>
          <w:sz w:val="22"/>
          <w:szCs w:val="22"/>
        </w:rPr>
        <w:footnoteReference w:id="449"/>
      </w:r>
      <w:r w:rsidR="00901F54">
        <w:rPr>
          <w:sz w:val="22"/>
          <w:szCs w:val="22"/>
        </w:rPr>
        <w:t>)</w:t>
      </w:r>
      <w:r w:rsidR="00E74900">
        <w:rPr>
          <w:sz w:val="22"/>
          <w:szCs w:val="22"/>
        </w:rPr>
        <w:t>,</w:t>
      </w:r>
      <w:r w:rsidR="00E74900" w:rsidRPr="007F7EBF">
        <w:rPr>
          <w:sz w:val="22"/>
          <w:szCs w:val="22"/>
        </w:rPr>
        <w:t xml:space="preserve"> </w:t>
      </w:r>
      <w:r w:rsidR="00E74900">
        <w:rPr>
          <w:sz w:val="22"/>
          <w:szCs w:val="22"/>
        </w:rPr>
        <w:t>deresponsabilizzazioni e trascuratezze burocratiche, riluttanza nell’assumersi rischi, mancanza di iniziativa</w:t>
      </w:r>
      <w:r>
        <w:rPr>
          <w:sz w:val="22"/>
          <w:szCs w:val="22"/>
        </w:rPr>
        <w:t>, etc.. Questi ed altri nodi dell’apparato pubblico sono stati elusi imputando le disfunzioni della spesa alla</w:t>
      </w:r>
      <w:r w:rsidR="00E74900">
        <w:rPr>
          <w:sz w:val="22"/>
          <w:szCs w:val="22"/>
        </w:rPr>
        <w:t xml:space="preserve"> mancanza di fondi dovuta alla </w:t>
      </w:r>
      <w:r w:rsidR="00C775AC">
        <w:rPr>
          <w:sz w:val="22"/>
          <w:szCs w:val="22"/>
        </w:rPr>
        <w:t xml:space="preserve">malvagità degli “evasori fiscali”, </w:t>
      </w:r>
      <w:r w:rsidR="00E74900">
        <w:rPr>
          <w:sz w:val="22"/>
          <w:szCs w:val="22"/>
        </w:rPr>
        <w:t>quasi fossero</w:t>
      </w:r>
      <w:r w:rsidR="00C775AC">
        <w:rPr>
          <w:sz w:val="22"/>
          <w:szCs w:val="22"/>
        </w:rPr>
        <w:t xml:space="preserve"> una sorta di moderni untori</w:t>
      </w:r>
      <w:r w:rsidR="00E74900">
        <w:rPr>
          <w:sz w:val="22"/>
          <w:szCs w:val="22"/>
        </w:rPr>
        <w:t xml:space="preserve"> di manzoniana memoria</w:t>
      </w:r>
      <w:r w:rsidR="00C775AC">
        <w:rPr>
          <w:sz w:val="22"/>
          <w:szCs w:val="22"/>
        </w:rPr>
        <w:t xml:space="preserve"> (</w:t>
      </w:r>
      <w:r w:rsidR="00C775AC" w:rsidRPr="007F7EBF">
        <w:rPr>
          <w:rStyle w:val="Rimandonotaapidipagina"/>
          <w:sz w:val="22"/>
          <w:szCs w:val="22"/>
        </w:rPr>
        <w:footnoteReference w:id="450"/>
      </w:r>
      <w:r w:rsidR="00C775AC">
        <w:rPr>
          <w:sz w:val="22"/>
          <w:szCs w:val="22"/>
        </w:rPr>
        <w:t>)</w:t>
      </w:r>
      <w:r w:rsidR="00C775AC" w:rsidRPr="007F7EBF">
        <w:rPr>
          <w:sz w:val="22"/>
          <w:szCs w:val="22"/>
        </w:rPr>
        <w:t xml:space="preserve">. </w:t>
      </w:r>
      <w:r w:rsidR="00E74900">
        <w:rPr>
          <w:sz w:val="22"/>
          <w:szCs w:val="22"/>
        </w:rPr>
        <w:t xml:space="preserve"> Per anni è stata una </w:t>
      </w:r>
      <w:r w:rsidR="00790352" w:rsidRPr="007F7EBF">
        <w:rPr>
          <w:bCs/>
          <w:sz w:val="22"/>
          <w:szCs w:val="22"/>
        </w:rPr>
        <w:t xml:space="preserve">spiegazione </w:t>
      </w:r>
      <w:r w:rsidR="00E74900">
        <w:rPr>
          <w:bCs/>
          <w:sz w:val="22"/>
          <w:szCs w:val="22"/>
        </w:rPr>
        <w:t xml:space="preserve">accreditata presso </w:t>
      </w:r>
      <w:r w:rsidR="003E7E79" w:rsidRPr="007F7EBF">
        <w:rPr>
          <w:sz w:val="22"/>
          <w:szCs w:val="22"/>
        </w:rPr>
        <w:t xml:space="preserve">lavoratori dipendenti </w:t>
      </w:r>
      <w:r w:rsidR="00417A44" w:rsidRPr="007F7EBF">
        <w:rPr>
          <w:sz w:val="22"/>
          <w:szCs w:val="22"/>
        </w:rPr>
        <w:t>e</w:t>
      </w:r>
      <w:r w:rsidR="003E7E79" w:rsidRPr="007F7EBF">
        <w:rPr>
          <w:sz w:val="22"/>
          <w:szCs w:val="22"/>
        </w:rPr>
        <w:t xml:space="preserve"> pensionati, </w:t>
      </w:r>
      <w:r w:rsidR="009E390E">
        <w:rPr>
          <w:sz w:val="22"/>
          <w:szCs w:val="22"/>
        </w:rPr>
        <w:t>tassati attraverso le aziende</w:t>
      </w:r>
      <w:r w:rsidR="00296E3C">
        <w:rPr>
          <w:sz w:val="22"/>
          <w:szCs w:val="22"/>
        </w:rPr>
        <w:t>,</w:t>
      </w:r>
      <w:r w:rsidR="000937C5" w:rsidRPr="007F7EBF">
        <w:rPr>
          <w:sz w:val="22"/>
          <w:szCs w:val="22"/>
        </w:rPr>
        <w:t xml:space="preserve"> </w:t>
      </w:r>
      <w:r w:rsidR="00515DC4">
        <w:rPr>
          <w:sz w:val="22"/>
          <w:szCs w:val="22"/>
        </w:rPr>
        <w:t xml:space="preserve">come </w:t>
      </w:r>
      <w:r w:rsidR="00515DC4" w:rsidRPr="00515DC4">
        <w:rPr>
          <w:i/>
          <w:sz w:val="22"/>
          <w:szCs w:val="22"/>
        </w:rPr>
        <w:t>l’</w:t>
      </w:r>
      <w:r w:rsidR="00515DC4">
        <w:rPr>
          <w:i/>
          <w:sz w:val="22"/>
          <w:szCs w:val="22"/>
        </w:rPr>
        <w:t>intellighenzia</w:t>
      </w:r>
      <w:r w:rsidR="003E7E79" w:rsidRPr="007F7EBF">
        <w:rPr>
          <w:sz w:val="22"/>
          <w:szCs w:val="22"/>
        </w:rPr>
        <w:t xml:space="preserve"> </w:t>
      </w:r>
      <w:r w:rsidR="00417A44" w:rsidRPr="007F7EBF">
        <w:rPr>
          <w:sz w:val="22"/>
          <w:szCs w:val="22"/>
        </w:rPr>
        <w:t>"</w:t>
      </w:r>
      <w:r w:rsidR="008226F0">
        <w:rPr>
          <w:sz w:val="22"/>
          <w:szCs w:val="22"/>
        </w:rPr>
        <w:t xml:space="preserve">culturalmente </w:t>
      </w:r>
      <w:r w:rsidR="00417A44" w:rsidRPr="007F7EBF">
        <w:rPr>
          <w:sz w:val="22"/>
          <w:szCs w:val="22"/>
        </w:rPr>
        <w:t>impegnat</w:t>
      </w:r>
      <w:r w:rsidR="00515DC4">
        <w:rPr>
          <w:sz w:val="22"/>
          <w:szCs w:val="22"/>
        </w:rPr>
        <w:t>a</w:t>
      </w:r>
      <w:r w:rsidR="00417A44" w:rsidRPr="007F7EBF">
        <w:rPr>
          <w:sz w:val="22"/>
          <w:szCs w:val="22"/>
        </w:rPr>
        <w:t>"</w:t>
      </w:r>
      <w:r w:rsidR="00515DC4">
        <w:rPr>
          <w:sz w:val="22"/>
          <w:szCs w:val="22"/>
        </w:rPr>
        <w:t xml:space="preserve"> e</w:t>
      </w:r>
      <w:r w:rsidR="00417A44" w:rsidRPr="007F7EBF">
        <w:rPr>
          <w:sz w:val="22"/>
          <w:szCs w:val="22"/>
        </w:rPr>
        <w:t xml:space="preserve"> in </w:t>
      </w:r>
      <w:r w:rsidR="008226F0">
        <w:rPr>
          <w:sz w:val="22"/>
          <w:szCs w:val="22"/>
        </w:rPr>
        <w:t>massima</w:t>
      </w:r>
      <w:r w:rsidR="00417A44" w:rsidRPr="007F7EBF">
        <w:rPr>
          <w:sz w:val="22"/>
          <w:szCs w:val="22"/>
        </w:rPr>
        <w:t xml:space="preserve"> parte </w:t>
      </w:r>
      <w:r w:rsidR="00515DC4">
        <w:rPr>
          <w:sz w:val="22"/>
          <w:szCs w:val="22"/>
        </w:rPr>
        <w:t>“</w:t>
      </w:r>
      <w:r w:rsidR="00417A44" w:rsidRPr="007F7EBF">
        <w:rPr>
          <w:sz w:val="22"/>
          <w:szCs w:val="22"/>
        </w:rPr>
        <w:t>di sinistra</w:t>
      </w:r>
      <w:r w:rsidR="00515DC4">
        <w:rPr>
          <w:sz w:val="22"/>
          <w:szCs w:val="22"/>
        </w:rPr>
        <w:t>”</w:t>
      </w:r>
      <w:r w:rsidR="00417A44" w:rsidRPr="007F7EBF">
        <w:rPr>
          <w:sz w:val="22"/>
          <w:szCs w:val="22"/>
        </w:rPr>
        <w:t xml:space="preserve">, </w:t>
      </w:r>
      <w:proofErr w:type="spellStart"/>
      <w:r w:rsidR="00515DC4">
        <w:rPr>
          <w:sz w:val="22"/>
          <w:szCs w:val="22"/>
        </w:rPr>
        <w:t>ancorchè</w:t>
      </w:r>
      <w:proofErr w:type="spellEnd"/>
      <w:r w:rsidR="003F36F4" w:rsidRPr="007F7EBF">
        <w:rPr>
          <w:sz w:val="22"/>
          <w:szCs w:val="22"/>
        </w:rPr>
        <w:t xml:space="preserve"> spesso</w:t>
      </w:r>
      <w:r w:rsidR="00417A44" w:rsidRPr="007F7EBF">
        <w:rPr>
          <w:sz w:val="22"/>
          <w:szCs w:val="22"/>
        </w:rPr>
        <w:t xml:space="preserve"> </w:t>
      </w:r>
      <w:r w:rsidR="002F3EB0" w:rsidRPr="007F7EBF">
        <w:rPr>
          <w:i/>
          <w:sz w:val="22"/>
          <w:szCs w:val="22"/>
        </w:rPr>
        <w:t>da salotto</w:t>
      </w:r>
      <w:r w:rsidR="002F3EB0" w:rsidRPr="00296E3C">
        <w:rPr>
          <w:sz w:val="22"/>
          <w:szCs w:val="22"/>
        </w:rPr>
        <w:t xml:space="preserve"> </w:t>
      </w:r>
      <w:r w:rsidR="00296E3C" w:rsidRPr="00296E3C">
        <w:rPr>
          <w:sz w:val="22"/>
          <w:szCs w:val="22"/>
        </w:rPr>
        <w:t>(</w:t>
      </w:r>
      <w:r w:rsidR="009B7FC6" w:rsidRPr="00296E3C">
        <w:rPr>
          <w:rStyle w:val="Rimandonotaapidipagina"/>
          <w:sz w:val="22"/>
          <w:szCs w:val="22"/>
        </w:rPr>
        <w:footnoteReference w:id="451"/>
      </w:r>
      <w:r w:rsidR="00296E3C" w:rsidRPr="00296E3C">
        <w:rPr>
          <w:sz w:val="22"/>
          <w:szCs w:val="22"/>
        </w:rPr>
        <w:t>)</w:t>
      </w:r>
      <w:r w:rsidR="00417A44" w:rsidRPr="00296E3C">
        <w:rPr>
          <w:sz w:val="22"/>
          <w:szCs w:val="22"/>
        </w:rPr>
        <w:t>.</w:t>
      </w:r>
      <w:r w:rsidR="00417A44" w:rsidRPr="007F7EBF">
        <w:rPr>
          <w:i/>
          <w:sz w:val="22"/>
          <w:szCs w:val="22"/>
        </w:rPr>
        <w:t xml:space="preserve"> </w:t>
      </w:r>
    </w:p>
    <w:p w14:paraId="0E8B8E38" w14:textId="77777777" w:rsidR="00466CFB" w:rsidRPr="007F7EBF" w:rsidRDefault="00466CFB" w:rsidP="00466CFB">
      <w:pPr>
        <w:pStyle w:val="tit23"/>
        <w:ind w:left="6464" w:right="-1361" w:firstLine="0"/>
        <w:jc w:val="left"/>
        <w:rPr>
          <w:bCs/>
          <w:i/>
          <w:iCs/>
          <w:color w:val="0000FF"/>
          <w:lang w:val="it-IT"/>
        </w:rPr>
      </w:pPr>
      <w:r w:rsidRPr="007F7EBF">
        <w:rPr>
          <w:bCs/>
          <w:i/>
          <w:iCs/>
          <w:color w:val="0000FF"/>
          <w:lang w:val="it-IT"/>
        </w:rPr>
        <w:t xml:space="preserve">lotta all’evasione come </w:t>
      </w:r>
      <w:r w:rsidR="00412945" w:rsidRPr="007F7EBF">
        <w:rPr>
          <w:bCs/>
          <w:i/>
          <w:iCs/>
          <w:color w:val="0000FF"/>
          <w:lang w:val="it-IT"/>
        </w:rPr>
        <w:t xml:space="preserve"> surrogato </w:t>
      </w:r>
      <w:r w:rsidR="00412945" w:rsidRPr="007F7EBF">
        <w:rPr>
          <w:bCs/>
          <w:i/>
          <w:iCs/>
          <w:color w:val="0000FF"/>
          <w:lang w:val="it-IT"/>
        </w:rPr>
        <w:lastRenderedPageBreak/>
        <w:t>della lotta di classe</w:t>
      </w:r>
    </w:p>
    <w:p w14:paraId="1ADBB5D7" w14:textId="49C91050" w:rsidR="00DE07F8" w:rsidRPr="007F7EBF" w:rsidRDefault="007758AB" w:rsidP="00466CFB">
      <w:pPr>
        <w:autoSpaceDE w:val="0"/>
        <w:autoSpaceDN w:val="0"/>
        <w:adjustRightInd w:val="0"/>
        <w:rPr>
          <w:sz w:val="22"/>
          <w:szCs w:val="22"/>
        </w:rPr>
      </w:pPr>
      <w:r>
        <w:rPr>
          <w:bCs/>
          <w:sz w:val="22"/>
          <w:szCs w:val="22"/>
        </w:rPr>
        <w:t xml:space="preserve">In questi ambienti si radica </w:t>
      </w:r>
      <w:r w:rsidR="00116AC7">
        <w:rPr>
          <w:bCs/>
          <w:sz w:val="22"/>
          <w:szCs w:val="22"/>
        </w:rPr>
        <w:t>l</w:t>
      </w:r>
      <w:r w:rsidR="00995FE4" w:rsidRPr="007F7EBF">
        <w:rPr>
          <w:bCs/>
          <w:sz w:val="22"/>
          <w:szCs w:val="22"/>
        </w:rPr>
        <w:t xml:space="preserve">'equivoca formula della </w:t>
      </w:r>
      <w:r w:rsidR="00466CFB" w:rsidRPr="007F7EBF">
        <w:rPr>
          <w:bCs/>
          <w:sz w:val="22"/>
          <w:szCs w:val="22"/>
        </w:rPr>
        <w:t>"lotta all'evasione</w:t>
      </w:r>
      <w:r w:rsidR="00376108" w:rsidRPr="007F7EBF">
        <w:rPr>
          <w:bCs/>
          <w:sz w:val="22"/>
          <w:szCs w:val="22"/>
        </w:rPr>
        <w:t>"</w:t>
      </w:r>
      <w:r>
        <w:rPr>
          <w:bCs/>
          <w:sz w:val="22"/>
          <w:szCs w:val="22"/>
        </w:rPr>
        <w:t xml:space="preserve">, </w:t>
      </w:r>
      <w:r w:rsidR="006F333F">
        <w:rPr>
          <w:bCs/>
          <w:sz w:val="22"/>
          <w:szCs w:val="22"/>
        </w:rPr>
        <w:t>surrogato dell</w:t>
      </w:r>
      <w:r w:rsidR="00391E90" w:rsidRPr="007F7EBF">
        <w:rPr>
          <w:bCs/>
          <w:sz w:val="22"/>
          <w:szCs w:val="22"/>
        </w:rPr>
        <w:t xml:space="preserve">'antica </w:t>
      </w:r>
      <w:r w:rsidR="00BD453F" w:rsidRPr="007F7EBF">
        <w:rPr>
          <w:sz w:val="22"/>
          <w:szCs w:val="22"/>
        </w:rPr>
        <w:t>"lotta di classe</w:t>
      </w:r>
      <w:r w:rsidR="00530BF5" w:rsidRPr="007F7EBF">
        <w:rPr>
          <w:sz w:val="22"/>
          <w:szCs w:val="22"/>
        </w:rPr>
        <w:t>"</w:t>
      </w:r>
      <w:r w:rsidR="006F333F">
        <w:rPr>
          <w:sz w:val="22"/>
          <w:szCs w:val="22"/>
        </w:rPr>
        <w:t>(</w:t>
      </w:r>
      <w:r w:rsidR="006F333F">
        <w:rPr>
          <w:rStyle w:val="Rimandonotaapidipagina"/>
          <w:sz w:val="22"/>
          <w:szCs w:val="22"/>
        </w:rPr>
        <w:footnoteReference w:id="452"/>
      </w:r>
      <w:r w:rsidR="006F333F">
        <w:rPr>
          <w:sz w:val="22"/>
          <w:szCs w:val="22"/>
        </w:rPr>
        <w:t xml:space="preserve">), che associa agli </w:t>
      </w:r>
      <w:r w:rsidRPr="007F7EBF">
        <w:rPr>
          <w:sz w:val="22"/>
          <w:szCs w:val="22"/>
        </w:rPr>
        <w:t xml:space="preserve">operatori economici </w:t>
      </w:r>
      <w:r w:rsidR="006F333F">
        <w:rPr>
          <w:sz w:val="22"/>
          <w:szCs w:val="22"/>
        </w:rPr>
        <w:t xml:space="preserve">l’idea di </w:t>
      </w:r>
      <w:r w:rsidRPr="007F7EBF">
        <w:rPr>
          <w:sz w:val="22"/>
          <w:szCs w:val="22"/>
        </w:rPr>
        <w:t>“ladri di tasse”(</w:t>
      </w:r>
      <w:r w:rsidRPr="007F7EBF">
        <w:rPr>
          <w:rStyle w:val="Rimandonotaapidipagina"/>
          <w:sz w:val="22"/>
          <w:szCs w:val="22"/>
        </w:rPr>
        <w:footnoteReference w:id="453"/>
      </w:r>
      <w:r w:rsidRPr="007F7EBF">
        <w:rPr>
          <w:sz w:val="22"/>
          <w:szCs w:val="22"/>
        </w:rPr>
        <w:t>)</w:t>
      </w:r>
      <w:r w:rsidR="006F333F">
        <w:rPr>
          <w:sz w:val="22"/>
          <w:szCs w:val="22"/>
        </w:rPr>
        <w:t xml:space="preserve">, </w:t>
      </w:r>
      <w:r w:rsidR="008226F0">
        <w:rPr>
          <w:bCs/>
          <w:sz w:val="22"/>
          <w:szCs w:val="22"/>
        </w:rPr>
        <w:t>ostacola</w:t>
      </w:r>
      <w:r w:rsidR="00645E75">
        <w:rPr>
          <w:bCs/>
          <w:sz w:val="22"/>
          <w:szCs w:val="22"/>
        </w:rPr>
        <w:t>n</w:t>
      </w:r>
      <w:r w:rsidR="006F333F">
        <w:rPr>
          <w:bCs/>
          <w:sz w:val="22"/>
          <w:szCs w:val="22"/>
        </w:rPr>
        <w:t>d</w:t>
      </w:r>
      <w:r w:rsidR="00645E75">
        <w:rPr>
          <w:bCs/>
          <w:sz w:val="22"/>
          <w:szCs w:val="22"/>
        </w:rPr>
        <w:t>o</w:t>
      </w:r>
      <w:r w:rsidR="008226F0">
        <w:rPr>
          <w:bCs/>
          <w:sz w:val="22"/>
          <w:szCs w:val="22"/>
        </w:rPr>
        <w:t xml:space="preserve"> la spiegazione </w:t>
      </w:r>
      <w:r w:rsidR="006C6E66">
        <w:rPr>
          <w:bCs/>
          <w:sz w:val="22"/>
          <w:szCs w:val="22"/>
        </w:rPr>
        <w:t>sociale</w:t>
      </w:r>
      <w:r w:rsidR="008226F0">
        <w:rPr>
          <w:bCs/>
          <w:sz w:val="22"/>
          <w:szCs w:val="22"/>
        </w:rPr>
        <w:t xml:space="preserve"> della funzione tributaria</w:t>
      </w:r>
      <w:r>
        <w:rPr>
          <w:bCs/>
          <w:sz w:val="22"/>
          <w:szCs w:val="22"/>
        </w:rPr>
        <w:t xml:space="preserve">, </w:t>
      </w:r>
      <w:r w:rsidR="002536B0">
        <w:rPr>
          <w:bCs/>
          <w:sz w:val="22"/>
          <w:szCs w:val="22"/>
        </w:rPr>
        <w:t xml:space="preserve">non riconducibile, come </w:t>
      </w:r>
      <w:proofErr w:type="spellStart"/>
      <w:r w:rsidR="002536B0">
        <w:rPr>
          <w:bCs/>
          <w:sz w:val="22"/>
          <w:szCs w:val="22"/>
        </w:rPr>
        <w:t>pressochè</w:t>
      </w:r>
      <w:proofErr w:type="spellEnd"/>
      <w:r w:rsidR="002536B0">
        <w:rPr>
          <w:bCs/>
          <w:sz w:val="22"/>
          <w:szCs w:val="22"/>
        </w:rPr>
        <w:t xml:space="preserve"> tutte</w:t>
      </w:r>
      <w:r>
        <w:rPr>
          <w:bCs/>
          <w:sz w:val="22"/>
          <w:szCs w:val="22"/>
        </w:rPr>
        <w:t xml:space="preserve"> le funzioni pubbliche</w:t>
      </w:r>
      <w:r w:rsidR="002536B0">
        <w:rPr>
          <w:bCs/>
          <w:sz w:val="22"/>
          <w:szCs w:val="22"/>
        </w:rPr>
        <w:t xml:space="preserve">, </w:t>
      </w:r>
      <w:r>
        <w:rPr>
          <w:bCs/>
          <w:sz w:val="22"/>
          <w:szCs w:val="22"/>
        </w:rPr>
        <w:t>alla “lotta contro qualcosa” (</w:t>
      </w:r>
      <w:r w:rsidRPr="007F7EBF">
        <w:rPr>
          <w:rStyle w:val="Rimandonotaapidipagina"/>
          <w:sz w:val="22"/>
          <w:szCs w:val="22"/>
        </w:rPr>
        <w:footnoteReference w:id="454"/>
      </w:r>
      <w:r w:rsidR="002536B0">
        <w:rPr>
          <w:bCs/>
          <w:sz w:val="22"/>
          <w:szCs w:val="22"/>
        </w:rPr>
        <w:t xml:space="preserve">). Tornano così, in </w:t>
      </w:r>
      <w:r w:rsidR="00A4770C">
        <w:rPr>
          <w:bCs/>
          <w:sz w:val="22"/>
          <w:szCs w:val="22"/>
        </w:rPr>
        <w:t>chiave</w:t>
      </w:r>
      <w:r w:rsidR="002536B0">
        <w:rPr>
          <w:bCs/>
          <w:sz w:val="22"/>
          <w:szCs w:val="22"/>
        </w:rPr>
        <w:t xml:space="preserve"> tributaria, an</w:t>
      </w:r>
      <w:r w:rsidR="00645E75" w:rsidRPr="007F7EBF">
        <w:rPr>
          <w:sz w:val="22"/>
          <w:szCs w:val="22"/>
        </w:rPr>
        <w:t>tiche frizioni</w:t>
      </w:r>
      <w:r w:rsidR="002536B0">
        <w:rPr>
          <w:sz w:val="22"/>
          <w:szCs w:val="22"/>
        </w:rPr>
        <w:t xml:space="preserve"> </w:t>
      </w:r>
      <w:r w:rsidR="00645E75" w:rsidRPr="007F7EBF">
        <w:rPr>
          <w:sz w:val="22"/>
          <w:szCs w:val="22"/>
        </w:rPr>
        <w:t>sopite</w:t>
      </w:r>
      <w:r w:rsidR="00645E75">
        <w:rPr>
          <w:sz w:val="22"/>
          <w:szCs w:val="22"/>
        </w:rPr>
        <w:t>,</w:t>
      </w:r>
      <w:r w:rsidR="00645E75" w:rsidRPr="007F7EBF">
        <w:rPr>
          <w:sz w:val="22"/>
          <w:szCs w:val="22"/>
        </w:rPr>
        <w:t xml:space="preserve"> ma </w:t>
      </w:r>
      <w:r w:rsidR="00A4770C">
        <w:rPr>
          <w:sz w:val="22"/>
          <w:szCs w:val="22"/>
        </w:rPr>
        <w:t xml:space="preserve">latenti in un bagaglio culturale quantomeno confuso in materia umanistico sociale, come indicato al </w:t>
      </w:r>
      <w:r w:rsidR="002536B0">
        <w:rPr>
          <w:sz w:val="22"/>
          <w:szCs w:val="22"/>
        </w:rPr>
        <w:t>par.</w:t>
      </w:r>
      <w:r w:rsidR="00FE3595" w:rsidRPr="00FE3595">
        <w:t xml:space="preserve"> </w:t>
      </w:r>
      <w:r w:rsidR="00FE3595">
        <w:t>4.1;</w:t>
      </w:r>
      <w:r w:rsidR="00A4770C">
        <w:rPr>
          <w:sz w:val="22"/>
          <w:szCs w:val="22"/>
        </w:rPr>
        <w:t xml:space="preserve"> queste tendenze mantengono un qualche credito</w:t>
      </w:r>
      <w:r w:rsidR="00543D05">
        <w:rPr>
          <w:sz w:val="22"/>
          <w:szCs w:val="22"/>
        </w:rPr>
        <w:t>, assieme al mito dei “grandi evasori”,</w:t>
      </w:r>
      <w:r w:rsidR="00A4770C">
        <w:rPr>
          <w:sz w:val="22"/>
          <w:szCs w:val="22"/>
        </w:rPr>
        <w:t xml:space="preserve"> perché </w:t>
      </w:r>
      <w:r w:rsidR="00543D05">
        <w:rPr>
          <w:sz w:val="22"/>
          <w:szCs w:val="22"/>
        </w:rPr>
        <w:t xml:space="preserve">appare sensata la possibilità </w:t>
      </w:r>
      <w:r w:rsidR="00D264AB">
        <w:rPr>
          <w:sz w:val="22"/>
          <w:szCs w:val="22"/>
        </w:rPr>
        <w:t xml:space="preserve">che, pur tassando lavoratori, consumatori e risparmiatori, </w:t>
      </w:r>
      <w:r w:rsidR="00A4770C">
        <w:rPr>
          <w:sz w:val="22"/>
          <w:szCs w:val="22"/>
        </w:rPr>
        <w:t xml:space="preserve">i detentori del potere aziendale </w:t>
      </w:r>
      <w:r w:rsidR="00543D05">
        <w:rPr>
          <w:sz w:val="22"/>
          <w:szCs w:val="22"/>
        </w:rPr>
        <w:t>abbiano</w:t>
      </w:r>
      <w:r w:rsidR="00A4770C">
        <w:rPr>
          <w:sz w:val="22"/>
          <w:szCs w:val="22"/>
        </w:rPr>
        <w:t xml:space="preserve"> margini maggiori per </w:t>
      </w:r>
      <w:r w:rsidR="00D0005A" w:rsidRPr="007F7EBF">
        <w:rPr>
          <w:sz w:val="22"/>
          <w:szCs w:val="22"/>
        </w:rPr>
        <w:t>mettersi al riparo</w:t>
      </w:r>
      <w:r w:rsidR="00A4770C">
        <w:rPr>
          <w:sz w:val="22"/>
          <w:szCs w:val="22"/>
        </w:rPr>
        <w:t>, come individui,</w:t>
      </w:r>
      <w:r w:rsidR="00235D03">
        <w:rPr>
          <w:sz w:val="22"/>
          <w:szCs w:val="22"/>
        </w:rPr>
        <w:t xml:space="preserve"> da</w:t>
      </w:r>
      <w:r w:rsidR="00A4770C">
        <w:rPr>
          <w:sz w:val="22"/>
          <w:szCs w:val="22"/>
        </w:rPr>
        <w:t xml:space="preserve">lla </w:t>
      </w:r>
      <w:r w:rsidR="00235D03">
        <w:rPr>
          <w:sz w:val="22"/>
          <w:szCs w:val="22"/>
        </w:rPr>
        <w:t>tassazione</w:t>
      </w:r>
      <w:r w:rsidR="00A4770C">
        <w:rPr>
          <w:sz w:val="22"/>
          <w:szCs w:val="22"/>
        </w:rPr>
        <w:t xml:space="preserve"> effettuata attraverso le organizzazioni che dirigono</w:t>
      </w:r>
      <w:r w:rsidR="00C327A4" w:rsidRPr="007F7EBF">
        <w:rPr>
          <w:sz w:val="22"/>
          <w:szCs w:val="22"/>
        </w:rPr>
        <w:t xml:space="preserve"> (</w:t>
      </w:r>
      <w:r w:rsidR="00543D05">
        <w:rPr>
          <w:rStyle w:val="Rimandonotaapidipagina"/>
          <w:sz w:val="22"/>
          <w:szCs w:val="22"/>
        </w:rPr>
        <w:footnoteReference w:id="455"/>
      </w:r>
      <w:r w:rsidR="00D0005A" w:rsidRPr="007F7EBF">
        <w:rPr>
          <w:sz w:val="22"/>
          <w:szCs w:val="22"/>
        </w:rPr>
        <w:t>)</w:t>
      </w:r>
      <w:r w:rsidR="00E71F23">
        <w:rPr>
          <w:sz w:val="22"/>
          <w:szCs w:val="22"/>
        </w:rPr>
        <w:t xml:space="preserve">. </w:t>
      </w:r>
    </w:p>
    <w:p w14:paraId="79DBB51F" w14:textId="22F854FB" w:rsidR="00DE07F8" w:rsidRPr="007F7EBF" w:rsidRDefault="00E74DD8" w:rsidP="00DE07F8">
      <w:pPr>
        <w:pStyle w:val="tit23"/>
        <w:ind w:left="6464" w:right="-1361" w:firstLine="0"/>
        <w:jc w:val="left"/>
        <w:rPr>
          <w:bCs/>
          <w:i/>
          <w:iCs/>
          <w:color w:val="0000FF"/>
          <w:lang w:val="it-IT"/>
        </w:rPr>
      </w:pPr>
      <w:r>
        <w:rPr>
          <w:bCs/>
          <w:i/>
          <w:iCs/>
          <w:color w:val="0000FF"/>
          <w:lang w:val="it-IT"/>
        </w:rPr>
        <w:t xml:space="preserve">Reazioni </w:t>
      </w:r>
      <w:r w:rsidR="00DE07F8" w:rsidRPr="007F7EBF">
        <w:rPr>
          <w:bCs/>
          <w:i/>
          <w:iCs/>
          <w:color w:val="0000FF"/>
          <w:lang w:val="it-IT"/>
        </w:rPr>
        <w:t xml:space="preserve"> antifisco</w:t>
      </w:r>
    </w:p>
    <w:p w14:paraId="5A6CE27B" w14:textId="631E6562" w:rsidR="00036F33" w:rsidRPr="007F7EBF" w:rsidRDefault="003A6887" w:rsidP="00036F33">
      <w:pPr>
        <w:autoSpaceDE w:val="0"/>
        <w:autoSpaceDN w:val="0"/>
        <w:adjustRightInd w:val="0"/>
        <w:rPr>
          <w:sz w:val="22"/>
          <w:szCs w:val="22"/>
        </w:rPr>
      </w:pPr>
      <w:r>
        <w:rPr>
          <w:sz w:val="22"/>
          <w:szCs w:val="22"/>
        </w:rPr>
        <w:t xml:space="preserve">L’assenza di spiegazioni sociali sulla funzione tributaria innesca però simultanee </w:t>
      </w:r>
      <w:r w:rsidR="00921420" w:rsidRPr="007F7EBF">
        <w:rPr>
          <w:sz w:val="22"/>
          <w:szCs w:val="22"/>
        </w:rPr>
        <w:t>tendenze di opinione</w:t>
      </w:r>
      <w:r w:rsidR="00D0005A" w:rsidRPr="007F7EBF">
        <w:rPr>
          <w:sz w:val="22"/>
          <w:szCs w:val="22"/>
        </w:rPr>
        <w:t xml:space="preserve">, che </w:t>
      </w:r>
      <w:r>
        <w:rPr>
          <w:sz w:val="22"/>
          <w:szCs w:val="22"/>
        </w:rPr>
        <w:t xml:space="preserve">confrontano il notevole livello delle imposte con </w:t>
      </w:r>
      <w:r w:rsidR="00D0005A" w:rsidRPr="007F7EBF">
        <w:rPr>
          <w:sz w:val="22"/>
          <w:szCs w:val="22"/>
        </w:rPr>
        <w:t xml:space="preserve"> </w:t>
      </w:r>
      <w:r w:rsidRPr="007F7EBF">
        <w:rPr>
          <w:bCs/>
          <w:sz w:val="22"/>
          <w:szCs w:val="22"/>
        </w:rPr>
        <w:t>l'</w:t>
      </w:r>
      <w:r w:rsidRPr="007F7EBF">
        <w:rPr>
          <w:sz w:val="22"/>
          <w:szCs w:val="22"/>
        </w:rPr>
        <w:t>inefficienza dei servizi pubblici in generale e le  inutili vessazioni, su pochi contribuenti</w:t>
      </w:r>
      <w:r>
        <w:rPr>
          <w:sz w:val="22"/>
          <w:szCs w:val="22"/>
        </w:rPr>
        <w:t xml:space="preserve">, indotte </w:t>
      </w:r>
      <w:r w:rsidRPr="007F7EBF">
        <w:rPr>
          <w:sz w:val="22"/>
          <w:szCs w:val="22"/>
        </w:rPr>
        <w:t xml:space="preserve">dalla suddetta idea di </w:t>
      </w:r>
      <w:r w:rsidRPr="007F7EBF">
        <w:rPr>
          <w:sz w:val="22"/>
          <w:szCs w:val="22"/>
        </w:rPr>
        <w:lastRenderedPageBreak/>
        <w:t>"lotta all'evasione"</w:t>
      </w:r>
      <w:r>
        <w:rPr>
          <w:sz w:val="22"/>
          <w:szCs w:val="22"/>
        </w:rPr>
        <w:t>(</w:t>
      </w:r>
      <w:r w:rsidRPr="007F7EBF">
        <w:rPr>
          <w:rStyle w:val="Rimandonotaapidipagina"/>
          <w:sz w:val="22"/>
          <w:szCs w:val="22"/>
        </w:rPr>
        <w:footnoteReference w:id="456"/>
      </w:r>
      <w:r>
        <w:rPr>
          <w:sz w:val="22"/>
          <w:szCs w:val="22"/>
        </w:rPr>
        <w:t>).</w:t>
      </w:r>
      <w:r w:rsidRPr="007F7EBF">
        <w:rPr>
          <w:sz w:val="22"/>
          <w:szCs w:val="22"/>
        </w:rPr>
        <w:t xml:space="preserve"> </w:t>
      </w:r>
      <w:r w:rsidRPr="007F7EBF">
        <w:t>La demonizzazione</w:t>
      </w:r>
      <w:r>
        <w:t xml:space="preserve"> mediatica</w:t>
      </w:r>
      <w:r w:rsidRPr="007F7EBF">
        <w:t xml:space="preserve"> di fantomatici "evasori" comporta una opposta </w:t>
      </w:r>
      <w:r w:rsidRPr="007F7EBF">
        <w:rPr>
          <w:b/>
        </w:rPr>
        <w:t>demonizzazione</w:t>
      </w:r>
      <w:r w:rsidRPr="007F7EBF">
        <w:t xml:space="preserve"> del </w:t>
      </w:r>
      <w:r w:rsidRPr="007F7EBF">
        <w:rPr>
          <w:b/>
        </w:rPr>
        <w:t>fisco</w:t>
      </w:r>
      <w:r w:rsidRPr="007F7EBF">
        <w:t xml:space="preserve"> col riferimento all'ottusità di molti rilievi fiscali, dove gli uffici temono, come appena indicato, di essere considerati “poco zelanti” nella c.d. “lotta all’evasione”. Si aggiunga l'intrusiva inutilità di molti improvvisati adempimenti antievasione, descritti al precedente par.4.5.</w:t>
      </w:r>
      <w:r w:rsidRPr="007F7EBF">
        <w:rPr>
          <w:sz w:val="22"/>
          <w:szCs w:val="22"/>
        </w:rPr>
        <w:t xml:space="preserve"> </w:t>
      </w:r>
      <w:r>
        <w:rPr>
          <w:sz w:val="22"/>
          <w:szCs w:val="22"/>
        </w:rPr>
        <w:t>per capire come la drammatizzazione della funzione tributaria danneggi l’immagine della funzione tributaria nella pubblica opinione</w:t>
      </w:r>
      <w:r w:rsidR="008F7B14">
        <w:rPr>
          <w:sz w:val="22"/>
          <w:szCs w:val="22"/>
        </w:rPr>
        <w:t xml:space="preserve"> (</w:t>
      </w:r>
      <w:r w:rsidR="00D0005A" w:rsidRPr="007F7EBF">
        <w:rPr>
          <w:rStyle w:val="Rimandonotaapidipagina"/>
          <w:sz w:val="22"/>
          <w:szCs w:val="22"/>
        </w:rPr>
        <w:footnoteReference w:id="457"/>
      </w:r>
      <w:r w:rsidR="008F7B14">
        <w:rPr>
          <w:sz w:val="22"/>
          <w:szCs w:val="22"/>
        </w:rPr>
        <w:t>)</w:t>
      </w:r>
      <w:r>
        <w:rPr>
          <w:sz w:val="22"/>
          <w:szCs w:val="22"/>
        </w:rPr>
        <w:t xml:space="preserve">. </w:t>
      </w:r>
      <w:r w:rsidR="00036F33">
        <w:rPr>
          <w:sz w:val="22"/>
          <w:szCs w:val="22"/>
        </w:rPr>
        <w:t>E’ divertente notare come nessuna di queste due reazioni istintive, variamente combinate anche nella mente di singoli individui, si</w:t>
      </w:r>
      <w:r w:rsidR="009969F3">
        <w:rPr>
          <w:sz w:val="22"/>
          <w:szCs w:val="22"/>
        </w:rPr>
        <w:t xml:space="preserve"> renda conto che il problema è l</w:t>
      </w:r>
      <w:r w:rsidR="00036F33">
        <w:rPr>
          <w:sz w:val="22"/>
          <w:szCs w:val="22"/>
        </w:rPr>
        <w:t xml:space="preserve">a diversa determinabilità degli imponibili. </w:t>
      </w:r>
    </w:p>
    <w:p w14:paraId="1E39696B" w14:textId="2B7332E3" w:rsidR="00036F33" w:rsidRPr="007F7EBF" w:rsidRDefault="00036F33" w:rsidP="00036F33">
      <w:pPr>
        <w:pStyle w:val="tit23"/>
        <w:ind w:left="6464" w:right="-1361" w:firstLine="0"/>
        <w:jc w:val="left"/>
        <w:rPr>
          <w:bCs/>
          <w:i/>
          <w:iCs/>
          <w:color w:val="0000FF"/>
          <w:lang w:val="it-IT"/>
        </w:rPr>
      </w:pPr>
      <w:r>
        <w:rPr>
          <w:bCs/>
          <w:i/>
          <w:iCs/>
          <w:color w:val="0000FF"/>
          <w:lang w:val="it-IT"/>
        </w:rPr>
        <w:t xml:space="preserve">La confusione </w:t>
      </w:r>
      <w:proofErr w:type="spellStart"/>
      <w:r>
        <w:rPr>
          <w:bCs/>
          <w:i/>
          <w:iCs/>
          <w:color w:val="0000FF"/>
          <w:lang w:val="it-IT"/>
        </w:rPr>
        <w:t>degli“opposti</w:t>
      </w:r>
      <w:proofErr w:type="spellEnd"/>
      <w:r>
        <w:rPr>
          <w:bCs/>
          <w:i/>
          <w:iCs/>
          <w:color w:val="0000FF"/>
          <w:lang w:val="it-IT"/>
        </w:rPr>
        <w:t xml:space="preserve"> isterismi”</w:t>
      </w:r>
    </w:p>
    <w:p w14:paraId="793F3665" w14:textId="2102FC74" w:rsidR="00DE07F8" w:rsidRPr="007F7EBF" w:rsidRDefault="009969F3" w:rsidP="00DE07F8">
      <w:pPr>
        <w:autoSpaceDE w:val="0"/>
        <w:autoSpaceDN w:val="0"/>
        <w:adjustRightInd w:val="0"/>
        <w:rPr>
          <w:sz w:val="22"/>
          <w:szCs w:val="22"/>
        </w:rPr>
      </w:pPr>
      <w:r>
        <w:rPr>
          <w:sz w:val="22"/>
          <w:szCs w:val="22"/>
        </w:rPr>
        <w:t xml:space="preserve">Nasce così una polemica tra rappresentanti dei </w:t>
      </w:r>
      <w:r w:rsidR="008B2F6B" w:rsidRPr="007F7EBF">
        <w:rPr>
          <w:sz w:val="22"/>
          <w:szCs w:val="22"/>
        </w:rPr>
        <w:t xml:space="preserve">dipendenti e </w:t>
      </w:r>
      <w:r>
        <w:rPr>
          <w:sz w:val="22"/>
          <w:szCs w:val="22"/>
        </w:rPr>
        <w:t xml:space="preserve">degli </w:t>
      </w:r>
      <w:r w:rsidR="008B2F6B" w:rsidRPr="007F7EBF">
        <w:rPr>
          <w:sz w:val="22"/>
          <w:szCs w:val="22"/>
        </w:rPr>
        <w:t>"</w:t>
      </w:r>
      <w:r w:rsidR="00E0072D" w:rsidRPr="007F7EBF">
        <w:rPr>
          <w:sz w:val="22"/>
          <w:szCs w:val="22"/>
        </w:rPr>
        <w:t>autonomi</w:t>
      </w:r>
      <w:r w:rsidR="008B2F6B" w:rsidRPr="007F7EBF">
        <w:rPr>
          <w:sz w:val="22"/>
          <w:szCs w:val="22"/>
        </w:rPr>
        <w:t>"</w:t>
      </w:r>
      <w:r w:rsidR="00E71F23">
        <w:rPr>
          <w:sz w:val="22"/>
          <w:szCs w:val="22"/>
        </w:rPr>
        <w:t xml:space="preserve">, </w:t>
      </w:r>
      <w:r>
        <w:rPr>
          <w:sz w:val="22"/>
          <w:szCs w:val="22"/>
        </w:rPr>
        <w:t xml:space="preserve">accusati di evasione, e che </w:t>
      </w:r>
      <w:r w:rsidR="00847F09" w:rsidRPr="007F7EBF">
        <w:rPr>
          <w:sz w:val="22"/>
          <w:szCs w:val="22"/>
        </w:rPr>
        <w:t xml:space="preserve">ribattono </w:t>
      </w:r>
      <w:r w:rsidR="00E0072D" w:rsidRPr="007F7EBF">
        <w:rPr>
          <w:sz w:val="22"/>
          <w:szCs w:val="22"/>
        </w:rPr>
        <w:t>accusan</w:t>
      </w:r>
      <w:r w:rsidR="00847F09" w:rsidRPr="007F7EBF">
        <w:rPr>
          <w:sz w:val="22"/>
          <w:szCs w:val="22"/>
        </w:rPr>
        <w:t>d</w:t>
      </w:r>
      <w:r w:rsidR="00E0072D" w:rsidRPr="007F7EBF">
        <w:rPr>
          <w:sz w:val="22"/>
          <w:szCs w:val="22"/>
        </w:rPr>
        <w:t xml:space="preserve">o i dipendenti di </w:t>
      </w:r>
      <w:r w:rsidR="00847F09" w:rsidRPr="007F7EBF">
        <w:rPr>
          <w:sz w:val="22"/>
          <w:szCs w:val="22"/>
        </w:rPr>
        <w:t>fruire di una rendita</w:t>
      </w:r>
      <w:r w:rsidR="00E0072D" w:rsidRPr="007F7EBF">
        <w:rPr>
          <w:sz w:val="22"/>
          <w:szCs w:val="22"/>
        </w:rPr>
        <w:t xml:space="preserve"> (</w:t>
      </w:r>
      <w:r w:rsidR="00E0072D" w:rsidRPr="007F7EBF">
        <w:rPr>
          <w:rStyle w:val="Rimandonotaapidipagina"/>
          <w:sz w:val="22"/>
          <w:szCs w:val="22"/>
        </w:rPr>
        <w:footnoteReference w:id="458"/>
      </w:r>
      <w:r w:rsidR="00E0072D" w:rsidRPr="007F7EBF">
        <w:rPr>
          <w:sz w:val="22"/>
          <w:szCs w:val="22"/>
        </w:rPr>
        <w:t>) e di "doppio lavoro", spesso in nero</w:t>
      </w:r>
      <w:r w:rsidR="00C45BBD">
        <w:rPr>
          <w:sz w:val="22"/>
          <w:szCs w:val="22"/>
        </w:rPr>
        <w:t xml:space="preserve"> </w:t>
      </w:r>
      <w:r w:rsidR="00E0072D" w:rsidRPr="007F7EBF">
        <w:rPr>
          <w:sz w:val="22"/>
          <w:szCs w:val="22"/>
        </w:rPr>
        <w:t>(</w:t>
      </w:r>
      <w:r w:rsidR="00E0072D" w:rsidRPr="007F7EBF">
        <w:rPr>
          <w:rStyle w:val="Rimandonotaapidipagina"/>
          <w:sz w:val="22"/>
          <w:szCs w:val="22"/>
        </w:rPr>
        <w:footnoteReference w:id="459"/>
      </w:r>
      <w:r w:rsidR="00E0072D" w:rsidRPr="007F7EBF">
        <w:rPr>
          <w:sz w:val="22"/>
          <w:szCs w:val="22"/>
        </w:rPr>
        <w:t xml:space="preserve">).  </w:t>
      </w:r>
      <w:r w:rsidR="00847F09" w:rsidRPr="007F7EBF">
        <w:rPr>
          <w:sz w:val="22"/>
          <w:szCs w:val="22"/>
        </w:rPr>
        <w:t>Sono</w:t>
      </w:r>
      <w:r w:rsidR="007C7579" w:rsidRPr="007F7EBF">
        <w:rPr>
          <w:sz w:val="22"/>
          <w:szCs w:val="22"/>
        </w:rPr>
        <w:t xml:space="preserve"> </w:t>
      </w:r>
      <w:r w:rsidR="0068342F" w:rsidRPr="007F7EBF">
        <w:rPr>
          <w:sz w:val="22"/>
          <w:szCs w:val="22"/>
        </w:rPr>
        <w:t xml:space="preserve">logoranti </w:t>
      </w:r>
      <w:r w:rsidR="000F7311" w:rsidRPr="007F7EBF">
        <w:rPr>
          <w:sz w:val="22"/>
          <w:szCs w:val="22"/>
        </w:rPr>
        <w:t>polemiche</w:t>
      </w:r>
      <w:r w:rsidR="00847F09" w:rsidRPr="007F7EBF">
        <w:rPr>
          <w:sz w:val="22"/>
          <w:szCs w:val="22"/>
        </w:rPr>
        <w:t xml:space="preserve">, </w:t>
      </w:r>
      <w:r w:rsidR="000F7311" w:rsidRPr="007F7EBF">
        <w:rPr>
          <w:sz w:val="22"/>
          <w:szCs w:val="22"/>
        </w:rPr>
        <w:t>intreccia</w:t>
      </w:r>
      <w:r w:rsidR="00847F09" w:rsidRPr="007F7EBF">
        <w:rPr>
          <w:sz w:val="22"/>
          <w:szCs w:val="22"/>
        </w:rPr>
        <w:t xml:space="preserve">te </w:t>
      </w:r>
      <w:r w:rsidR="000F7311" w:rsidRPr="007F7EBF">
        <w:rPr>
          <w:sz w:val="22"/>
          <w:szCs w:val="22"/>
        </w:rPr>
        <w:t>persino ne</w:t>
      </w:r>
      <w:r w:rsidR="00817BC8" w:rsidRPr="007F7EBF">
        <w:rPr>
          <w:sz w:val="22"/>
          <w:szCs w:val="22"/>
        </w:rPr>
        <w:t>ll'animo delle stesse persone</w:t>
      </w:r>
      <w:r w:rsidR="00E71F23">
        <w:rPr>
          <w:sz w:val="22"/>
          <w:szCs w:val="22"/>
        </w:rPr>
        <w:t>(</w:t>
      </w:r>
      <w:r w:rsidR="00F862B3" w:rsidRPr="007F7EBF">
        <w:rPr>
          <w:rStyle w:val="Rimandonotaapidipagina"/>
          <w:sz w:val="22"/>
          <w:szCs w:val="22"/>
        </w:rPr>
        <w:footnoteReference w:id="460"/>
      </w:r>
      <w:r w:rsidR="00E71F23">
        <w:rPr>
          <w:sz w:val="22"/>
          <w:szCs w:val="22"/>
        </w:rPr>
        <w:t>)</w:t>
      </w:r>
      <w:r w:rsidR="00817BC8" w:rsidRPr="007F7EBF">
        <w:rPr>
          <w:sz w:val="22"/>
          <w:szCs w:val="22"/>
        </w:rPr>
        <w:t xml:space="preserve">, </w:t>
      </w:r>
      <w:r w:rsidR="00847F09" w:rsidRPr="007F7EBF">
        <w:rPr>
          <w:sz w:val="22"/>
          <w:szCs w:val="22"/>
        </w:rPr>
        <w:t xml:space="preserve">diversamente influenzate dalle emozioni e dagli interlocutori </w:t>
      </w:r>
      <w:r w:rsidR="00E71F23">
        <w:rPr>
          <w:sz w:val="22"/>
          <w:szCs w:val="22"/>
        </w:rPr>
        <w:t>(</w:t>
      </w:r>
      <w:r w:rsidR="003070AB" w:rsidRPr="007F7EBF">
        <w:rPr>
          <w:rStyle w:val="Rimandonotaapidipagina"/>
          <w:bCs/>
          <w:sz w:val="22"/>
          <w:szCs w:val="22"/>
        </w:rPr>
        <w:footnoteReference w:id="461"/>
      </w:r>
      <w:r w:rsidR="00E71F23">
        <w:rPr>
          <w:sz w:val="22"/>
          <w:szCs w:val="22"/>
        </w:rPr>
        <w:t>)</w:t>
      </w:r>
      <w:r w:rsidR="00F87568" w:rsidRPr="007F7EBF">
        <w:rPr>
          <w:sz w:val="22"/>
          <w:szCs w:val="22"/>
        </w:rPr>
        <w:t xml:space="preserve">. </w:t>
      </w:r>
      <w:r w:rsidR="00F87568" w:rsidRPr="007F7EBF">
        <w:rPr>
          <w:bCs/>
          <w:sz w:val="22"/>
          <w:szCs w:val="22"/>
        </w:rPr>
        <w:t xml:space="preserve">Tutto questo alimenta un intreccio di "opposti </w:t>
      </w:r>
      <w:r w:rsidR="00F87568" w:rsidRPr="007F7EBF">
        <w:rPr>
          <w:bCs/>
          <w:sz w:val="22"/>
          <w:szCs w:val="22"/>
        </w:rPr>
        <w:lastRenderedPageBreak/>
        <w:t>isterismi</w:t>
      </w:r>
      <w:r w:rsidR="00847F09" w:rsidRPr="007F7EBF">
        <w:rPr>
          <w:bCs/>
          <w:sz w:val="22"/>
          <w:szCs w:val="22"/>
        </w:rPr>
        <w:t xml:space="preserve">", cioè schizofrenie variabili </w:t>
      </w:r>
      <w:r w:rsidR="00F87568" w:rsidRPr="007F7EBF">
        <w:rPr>
          <w:bCs/>
          <w:sz w:val="22"/>
          <w:szCs w:val="22"/>
        </w:rPr>
        <w:t>a seconda delle circostanze e de</w:t>
      </w:r>
      <w:r w:rsidR="00847F09" w:rsidRPr="007F7EBF">
        <w:rPr>
          <w:bCs/>
          <w:sz w:val="22"/>
          <w:szCs w:val="22"/>
        </w:rPr>
        <w:t>lle convenienze del discorso</w:t>
      </w:r>
      <w:r w:rsidR="00E0072D" w:rsidRPr="007F7EBF">
        <w:rPr>
          <w:sz w:val="22"/>
          <w:szCs w:val="22"/>
        </w:rPr>
        <w:t xml:space="preserve">. </w:t>
      </w:r>
    </w:p>
    <w:p w14:paraId="0916B9B4" w14:textId="77777777" w:rsidR="00DE07F8" w:rsidRPr="007F7EBF" w:rsidRDefault="00985A6E" w:rsidP="00DE07F8">
      <w:pPr>
        <w:pStyle w:val="tit23"/>
        <w:ind w:left="6464" w:right="-1361" w:firstLine="0"/>
        <w:jc w:val="left"/>
        <w:rPr>
          <w:bCs/>
          <w:i/>
          <w:iCs/>
          <w:color w:val="0000FF"/>
          <w:lang w:val="it-IT"/>
        </w:rPr>
      </w:pPr>
      <w:r>
        <w:rPr>
          <w:bCs/>
          <w:i/>
          <w:iCs/>
          <w:color w:val="0000FF"/>
          <w:lang w:val="it-IT"/>
        </w:rPr>
        <w:t xml:space="preserve">Atteggiamenti </w:t>
      </w:r>
      <w:r w:rsidR="002E290D">
        <w:rPr>
          <w:bCs/>
          <w:i/>
          <w:iCs/>
          <w:color w:val="0000FF"/>
          <w:lang w:val="it-IT"/>
        </w:rPr>
        <w:t xml:space="preserve"> p</w:t>
      </w:r>
      <w:r w:rsidR="00DE07F8" w:rsidRPr="007F7EBF">
        <w:rPr>
          <w:bCs/>
          <w:i/>
          <w:iCs/>
          <w:color w:val="0000FF"/>
          <w:lang w:val="it-IT"/>
        </w:rPr>
        <w:t>olitic</w:t>
      </w:r>
      <w:r>
        <w:rPr>
          <w:bCs/>
          <w:i/>
          <w:iCs/>
          <w:color w:val="0000FF"/>
          <w:lang w:val="it-IT"/>
        </w:rPr>
        <w:t>i</w:t>
      </w:r>
      <w:r w:rsidR="00DE07F8" w:rsidRPr="007F7EBF">
        <w:rPr>
          <w:bCs/>
          <w:i/>
          <w:iCs/>
          <w:color w:val="0000FF"/>
          <w:lang w:val="it-IT"/>
        </w:rPr>
        <w:t xml:space="preserve"> e </w:t>
      </w:r>
      <w:r w:rsidR="00BB0E09" w:rsidRPr="007F7EBF">
        <w:rPr>
          <w:bCs/>
          <w:i/>
          <w:iCs/>
          <w:color w:val="0000FF"/>
          <w:lang w:val="it-IT"/>
        </w:rPr>
        <w:t xml:space="preserve">mito del </w:t>
      </w:r>
      <w:r w:rsidR="00DE07F8" w:rsidRPr="007F7EBF">
        <w:rPr>
          <w:bCs/>
          <w:i/>
          <w:iCs/>
          <w:color w:val="0000FF"/>
          <w:lang w:val="it-IT"/>
        </w:rPr>
        <w:t>partito degli evasori</w:t>
      </w:r>
    </w:p>
    <w:p w14:paraId="47DEEF5A" w14:textId="05F9D4A7" w:rsidR="00BB0E09" w:rsidRPr="007F7EBF" w:rsidRDefault="002E290D" w:rsidP="00BB0E09">
      <w:pPr>
        <w:autoSpaceDE w:val="0"/>
        <w:autoSpaceDN w:val="0"/>
        <w:adjustRightInd w:val="0"/>
        <w:rPr>
          <w:sz w:val="22"/>
          <w:szCs w:val="22"/>
        </w:rPr>
      </w:pPr>
      <w:r>
        <w:rPr>
          <w:sz w:val="22"/>
          <w:szCs w:val="22"/>
        </w:rPr>
        <w:t>Davanti a questa confusione la politica</w:t>
      </w:r>
      <w:r w:rsidR="00036F33">
        <w:rPr>
          <w:sz w:val="22"/>
          <w:szCs w:val="22"/>
        </w:rPr>
        <w:t xml:space="preserve"> reagi</w:t>
      </w:r>
      <w:r w:rsidR="00CF32E6">
        <w:rPr>
          <w:sz w:val="22"/>
          <w:szCs w:val="22"/>
        </w:rPr>
        <w:t>sc</w:t>
      </w:r>
      <w:r w:rsidR="00036F33">
        <w:rPr>
          <w:sz w:val="22"/>
          <w:szCs w:val="22"/>
        </w:rPr>
        <w:t>e</w:t>
      </w:r>
      <w:r>
        <w:rPr>
          <w:sz w:val="22"/>
          <w:szCs w:val="22"/>
        </w:rPr>
        <w:t xml:space="preserve"> </w:t>
      </w:r>
      <w:r w:rsidR="00036F33">
        <w:rPr>
          <w:sz w:val="22"/>
          <w:szCs w:val="22"/>
        </w:rPr>
        <w:t>nei modi di cui al par.2.4 (</w:t>
      </w:r>
      <w:r w:rsidR="00036F33" w:rsidRPr="007F7EBF">
        <w:rPr>
          <w:rStyle w:val="Rimandonotaapidipagina"/>
          <w:sz w:val="22"/>
          <w:szCs w:val="22"/>
        </w:rPr>
        <w:footnoteReference w:id="462"/>
      </w:r>
      <w:r w:rsidR="00036F33">
        <w:rPr>
          <w:sz w:val="22"/>
          <w:szCs w:val="22"/>
        </w:rPr>
        <w:t>)</w:t>
      </w:r>
      <w:r w:rsidR="00CF32E6">
        <w:rPr>
          <w:sz w:val="22"/>
          <w:szCs w:val="22"/>
        </w:rPr>
        <w:t xml:space="preserve">, </w:t>
      </w:r>
      <w:r>
        <w:rPr>
          <w:sz w:val="22"/>
          <w:szCs w:val="22"/>
        </w:rPr>
        <w:t>rifiuta</w:t>
      </w:r>
      <w:r w:rsidR="00CF32E6">
        <w:rPr>
          <w:sz w:val="22"/>
          <w:szCs w:val="22"/>
        </w:rPr>
        <w:t>ndo</w:t>
      </w:r>
      <w:r>
        <w:rPr>
          <w:sz w:val="22"/>
          <w:szCs w:val="22"/>
        </w:rPr>
        <w:t xml:space="preserve"> istintivamente di criminalizzare, bollandoli come evasori, mil</w:t>
      </w:r>
      <w:r w:rsidR="000F1B36" w:rsidRPr="007F7EBF">
        <w:rPr>
          <w:sz w:val="22"/>
          <w:szCs w:val="22"/>
        </w:rPr>
        <w:t xml:space="preserve">ioni di </w:t>
      </w:r>
      <w:r>
        <w:rPr>
          <w:sz w:val="22"/>
          <w:szCs w:val="22"/>
        </w:rPr>
        <w:t>piccoli commercianti</w:t>
      </w:r>
      <w:r w:rsidR="00036F33">
        <w:rPr>
          <w:sz w:val="22"/>
          <w:szCs w:val="22"/>
        </w:rPr>
        <w:t xml:space="preserve">, </w:t>
      </w:r>
      <w:r>
        <w:rPr>
          <w:sz w:val="22"/>
          <w:szCs w:val="22"/>
        </w:rPr>
        <w:t xml:space="preserve">artigiani </w:t>
      </w:r>
      <w:r w:rsidR="00036F33">
        <w:rPr>
          <w:sz w:val="22"/>
          <w:szCs w:val="22"/>
        </w:rPr>
        <w:t>etc.</w:t>
      </w:r>
      <w:r w:rsidR="00C45BBD">
        <w:rPr>
          <w:sz w:val="22"/>
          <w:szCs w:val="22"/>
        </w:rPr>
        <w:t xml:space="preserve"> </w:t>
      </w:r>
      <w:r w:rsidR="00CF32E6">
        <w:rPr>
          <w:sz w:val="22"/>
          <w:szCs w:val="22"/>
        </w:rPr>
        <w:t xml:space="preserve">Sarebbe prima di tutto una </w:t>
      </w:r>
      <w:r w:rsidR="00826216">
        <w:rPr>
          <w:sz w:val="22"/>
          <w:szCs w:val="22"/>
        </w:rPr>
        <w:t>colpevolizzazione</w:t>
      </w:r>
      <w:r w:rsidR="00CF32E6">
        <w:rPr>
          <w:sz w:val="22"/>
          <w:szCs w:val="22"/>
        </w:rPr>
        <w:t xml:space="preserve"> sbagliata, </w:t>
      </w:r>
      <w:r w:rsidR="00826216">
        <w:rPr>
          <w:sz w:val="22"/>
          <w:szCs w:val="22"/>
        </w:rPr>
        <w:t>perché questi operatori addirittura sopravvalutano la funzione tributaria, dichiarando imponibili maggiori di quelli corrispondenti alla sua capacità di intervento (</w:t>
      </w:r>
      <w:r w:rsidR="00CF32E6">
        <w:rPr>
          <w:sz w:val="22"/>
          <w:szCs w:val="22"/>
        </w:rPr>
        <w:t>par.</w:t>
      </w:r>
      <w:r w:rsidR="00361BCC">
        <w:rPr>
          <w:sz w:val="22"/>
          <w:szCs w:val="22"/>
        </w:rPr>
        <w:t>1.7</w:t>
      </w:r>
      <w:r w:rsidR="00CF32E6">
        <w:rPr>
          <w:sz w:val="22"/>
          <w:szCs w:val="22"/>
        </w:rPr>
        <w:t xml:space="preserve"> e 4.5</w:t>
      </w:r>
      <w:r w:rsidR="00826216">
        <w:rPr>
          <w:sz w:val="22"/>
          <w:szCs w:val="22"/>
        </w:rPr>
        <w:t>)</w:t>
      </w:r>
      <w:r w:rsidR="00CF32E6">
        <w:rPr>
          <w:sz w:val="22"/>
          <w:szCs w:val="22"/>
        </w:rPr>
        <w:t xml:space="preserve">. </w:t>
      </w:r>
      <w:r w:rsidR="00826216">
        <w:rPr>
          <w:sz w:val="22"/>
          <w:szCs w:val="22"/>
        </w:rPr>
        <w:t xml:space="preserve">Sarebbe negativo anche il bilancio politico, in quanto il consenso </w:t>
      </w:r>
      <w:r w:rsidR="00036F33" w:rsidRPr="007F7EBF">
        <w:rPr>
          <w:sz w:val="22"/>
          <w:szCs w:val="22"/>
        </w:rPr>
        <w:t xml:space="preserve">perso </w:t>
      </w:r>
      <w:r w:rsidR="00826216">
        <w:rPr>
          <w:sz w:val="22"/>
          <w:szCs w:val="22"/>
        </w:rPr>
        <w:t xml:space="preserve">colpevolizzando </w:t>
      </w:r>
      <w:r w:rsidR="00036F33" w:rsidRPr="007F7EBF">
        <w:rPr>
          <w:sz w:val="22"/>
          <w:szCs w:val="22"/>
        </w:rPr>
        <w:t>queste categorie</w:t>
      </w:r>
      <w:r w:rsidR="00036F33">
        <w:rPr>
          <w:sz w:val="22"/>
          <w:szCs w:val="22"/>
        </w:rPr>
        <w:t xml:space="preserve"> </w:t>
      </w:r>
      <w:r w:rsidR="00036F33" w:rsidRPr="007F7EBF">
        <w:rPr>
          <w:sz w:val="22"/>
          <w:szCs w:val="22"/>
        </w:rPr>
        <w:t xml:space="preserve">non </w:t>
      </w:r>
      <w:r w:rsidR="00036F33">
        <w:rPr>
          <w:sz w:val="22"/>
          <w:szCs w:val="22"/>
        </w:rPr>
        <w:t xml:space="preserve">sarebbe </w:t>
      </w:r>
      <w:r w:rsidR="00036F33" w:rsidRPr="007F7EBF">
        <w:rPr>
          <w:sz w:val="22"/>
          <w:szCs w:val="22"/>
        </w:rPr>
        <w:t>riequilibrato da quello ottenuto</w:t>
      </w:r>
      <w:r w:rsidR="00036F33">
        <w:rPr>
          <w:sz w:val="22"/>
          <w:szCs w:val="22"/>
        </w:rPr>
        <w:t xml:space="preserve"> </w:t>
      </w:r>
      <w:r w:rsidR="00036F33" w:rsidRPr="007F7EBF">
        <w:rPr>
          <w:sz w:val="22"/>
          <w:szCs w:val="22"/>
        </w:rPr>
        <w:t>presso i dipendenti</w:t>
      </w:r>
      <w:r w:rsidR="00826216">
        <w:rPr>
          <w:sz w:val="22"/>
          <w:szCs w:val="22"/>
        </w:rPr>
        <w:t>; questi ultimi infatti,</w:t>
      </w:r>
      <w:r w:rsidR="00036F33" w:rsidRPr="007F7EBF">
        <w:rPr>
          <w:sz w:val="22"/>
          <w:szCs w:val="22"/>
        </w:rPr>
        <w:t xml:space="preserve"> </w:t>
      </w:r>
      <w:proofErr w:type="spellStart"/>
      <w:r w:rsidR="00036F33" w:rsidRPr="007F7EBF">
        <w:rPr>
          <w:sz w:val="22"/>
          <w:szCs w:val="22"/>
        </w:rPr>
        <w:t>benchè</w:t>
      </w:r>
      <w:proofErr w:type="spellEnd"/>
      <w:r w:rsidR="00036F33" w:rsidRPr="007F7EBF">
        <w:rPr>
          <w:sz w:val="22"/>
          <w:szCs w:val="22"/>
        </w:rPr>
        <w:t xml:space="preserve"> più numerosi, </w:t>
      </w:r>
      <w:r w:rsidR="00826216">
        <w:rPr>
          <w:sz w:val="22"/>
          <w:szCs w:val="22"/>
        </w:rPr>
        <w:t>sono</w:t>
      </w:r>
      <w:r w:rsidR="00036F33" w:rsidRPr="007F7EBF">
        <w:rPr>
          <w:sz w:val="22"/>
          <w:szCs w:val="22"/>
        </w:rPr>
        <w:t xml:space="preserve"> anche meno sensibili a</w:t>
      </w:r>
      <w:r w:rsidR="00CF32E6">
        <w:rPr>
          <w:sz w:val="22"/>
          <w:szCs w:val="22"/>
        </w:rPr>
        <w:t xml:space="preserve"> un</w:t>
      </w:r>
      <w:r w:rsidR="00036F33" w:rsidRPr="007F7EBF">
        <w:rPr>
          <w:sz w:val="22"/>
          <w:szCs w:val="22"/>
        </w:rPr>
        <w:t xml:space="preserve"> tema</w:t>
      </w:r>
      <w:r w:rsidR="00CF32E6">
        <w:rPr>
          <w:sz w:val="22"/>
          <w:szCs w:val="22"/>
        </w:rPr>
        <w:t xml:space="preserve"> </w:t>
      </w:r>
      <w:r w:rsidR="00036F33" w:rsidRPr="007F7EBF">
        <w:rPr>
          <w:sz w:val="22"/>
          <w:szCs w:val="22"/>
        </w:rPr>
        <w:t xml:space="preserve">che li tocca solo indirettamente </w:t>
      </w:r>
      <w:r w:rsidR="00036F33">
        <w:rPr>
          <w:sz w:val="22"/>
          <w:szCs w:val="22"/>
        </w:rPr>
        <w:t>(</w:t>
      </w:r>
      <w:r w:rsidR="00036F33" w:rsidRPr="007F7EBF">
        <w:rPr>
          <w:rStyle w:val="Rimandonotaapidipagina"/>
          <w:sz w:val="22"/>
          <w:szCs w:val="22"/>
        </w:rPr>
        <w:footnoteReference w:id="463"/>
      </w:r>
      <w:r w:rsidR="00036F33">
        <w:rPr>
          <w:sz w:val="22"/>
          <w:szCs w:val="22"/>
        </w:rPr>
        <w:t>)</w:t>
      </w:r>
      <w:r w:rsidR="00036F33" w:rsidRPr="007F7EBF">
        <w:rPr>
          <w:sz w:val="22"/>
          <w:szCs w:val="22"/>
        </w:rPr>
        <w:t>.</w:t>
      </w:r>
      <w:r w:rsidR="00036F33">
        <w:rPr>
          <w:sz w:val="22"/>
          <w:szCs w:val="22"/>
        </w:rPr>
        <w:t xml:space="preserve"> </w:t>
      </w:r>
      <w:r w:rsidR="00826216">
        <w:rPr>
          <w:sz w:val="22"/>
          <w:szCs w:val="22"/>
        </w:rPr>
        <w:t xml:space="preserve">I politici che spiegano l’evasione colpevolizzando piccolo commercio e artigianato </w:t>
      </w:r>
      <w:r w:rsidR="00C81D3D">
        <w:rPr>
          <w:sz w:val="22"/>
          <w:szCs w:val="22"/>
        </w:rPr>
        <w:t xml:space="preserve">criticano chi si rifiuta di farlo, accusandolo di essere </w:t>
      </w:r>
      <w:r w:rsidR="00826216">
        <w:rPr>
          <w:sz w:val="22"/>
          <w:szCs w:val="22"/>
        </w:rPr>
        <w:t xml:space="preserve"> </w:t>
      </w:r>
      <w:r w:rsidR="00C81D3D">
        <w:rPr>
          <w:sz w:val="22"/>
          <w:szCs w:val="22"/>
        </w:rPr>
        <w:t xml:space="preserve">un </w:t>
      </w:r>
      <w:r w:rsidR="00826216">
        <w:rPr>
          <w:sz w:val="22"/>
          <w:szCs w:val="22"/>
        </w:rPr>
        <w:t>“partito degli evasori</w:t>
      </w:r>
      <w:r w:rsidR="00C81D3D">
        <w:rPr>
          <w:sz w:val="22"/>
          <w:szCs w:val="22"/>
        </w:rPr>
        <w:t>”, ma n</w:t>
      </w:r>
      <w:r w:rsidR="00826216">
        <w:rPr>
          <w:sz w:val="22"/>
          <w:szCs w:val="22"/>
        </w:rPr>
        <w:t xml:space="preserve">essuna </w:t>
      </w:r>
      <w:r w:rsidR="00036F33">
        <w:rPr>
          <w:sz w:val="22"/>
          <w:szCs w:val="22"/>
        </w:rPr>
        <w:t>tendenza</w:t>
      </w:r>
      <w:r w:rsidR="00036F33" w:rsidRPr="007F7EBF">
        <w:rPr>
          <w:sz w:val="22"/>
          <w:szCs w:val="22"/>
        </w:rPr>
        <w:t xml:space="preserve"> politica </w:t>
      </w:r>
      <w:r w:rsidR="00036F33">
        <w:rPr>
          <w:sz w:val="22"/>
          <w:szCs w:val="22"/>
        </w:rPr>
        <w:t xml:space="preserve">cerca consenso </w:t>
      </w:r>
      <w:r w:rsidR="00036F33" w:rsidRPr="007F7EBF">
        <w:rPr>
          <w:sz w:val="22"/>
          <w:szCs w:val="22"/>
        </w:rPr>
        <w:t>propagandando</w:t>
      </w:r>
      <w:r w:rsidR="00E54344">
        <w:rPr>
          <w:sz w:val="22"/>
          <w:szCs w:val="22"/>
        </w:rPr>
        <w:t xml:space="preserve"> </w:t>
      </w:r>
      <w:r w:rsidR="00036F33">
        <w:rPr>
          <w:sz w:val="22"/>
          <w:szCs w:val="22"/>
        </w:rPr>
        <w:t>l’evasione</w:t>
      </w:r>
      <w:r w:rsidR="00826216">
        <w:rPr>
          <w:sz w:val="22"/>
          <w:szCs w:val="22"/>
        </w:rPr>
        <w:t xml:space="preserve"> </w:t>
      </w:r>
      <w:r w:rsidR="00E54344">
        <w:rPr>
          <w:sz w:val="22"/>
          <w:szCs w:val="22"/>
        </w:rPr>
        <w:t>(</w:t>
      </w:r>
      <w:r w:rsidR="00E54344" w:rsidRPr="007F7EBF">
        <w:rPr>
          <w:rStyle w:val="Rimandonotaapidipagina"/>
          <w:sz w:val="22"/>
          <w:szCs w:val="22"/>
        </w:rPr>
        <w:footnoteReference w:id="464"/>
      </w:r>
      <w:r w:rsidR="00E54344">
        <w:rPr>
          <w:sz w:val="22"/>
          <w:szCs w:val="22"/>
        </w:rPr>
        <w:t>)</w:t>
      </w:r>
      <w:r w:rsidR="00C81D3D">
        <w:rPr>
          <w:sz w:val="22"/>
          <w:szCs w:val="22"/>
        </w:rPr>
        <w:t xml:space="preserve">. </w:t>
      </w:r>
      <w:r w:rsidR="003A76B0">
        <w:rPr>
          <w:sz w:val="22"/>
          <w:szCs w:val="22"/>
        </w:rPr>
        <w:t>Queste s</w:t>
      </w:r>
      <w:r w:rsidR="00C81D3D">
        <w:rPr>
          <w:sz w:val="22"/>
          <w:szCs w:val="22"/>
        </w:rPr>
        <w:t xml:space="preserve">terili polemiche, </w:t>
      </w:r>
      <w:r w:rsidR="003A76B0">
        <w:rPr>
          <w:sz w:val="22"/>
          <w:szCs w:val="22"/>
        </w:rPr>
        <w:lastRenderedPageBreak/>
        <w:t>vedono gradualmente prevalere le tendenze “antifisco” (</w:t>
      </w:r>
      <w:r w:rsidR="003A76B0">
        <w:rPr>
          <w:rStyle w:val="Rimandonotaapidipagina"/>
          <w:sz w:val="22"/>
          <w:szCs w:val="22"/>
        </w:rPr>
        <w:footnoteReference w:id="465"/>
      </w:r>
      <w:r w:rsidR="003A76B0">
        <w:rPr>
          <w:sz w:val="22"/>
          <w:szCs w:val="22"/>
        </w:rPr>
        <w:t xml:space="preserve">), con riflessi negativi indicati al par.5.3 </w:t>
      </w:r>
      <w:r w:rsidR="00C81D3D">
        <w:rPr>
          <w:sz w:val="22"/>
          <w:szCs w:val="22"/>
        </w:rPr>
        <w:t>sull’efficienza degli uffici tributari</w:t>
      </w:r>
      <w:r w:rsidR="003A76B0">
        <w:rPr>
          <w:sz w:val="22"/>
          <w:szCs w:val="22"/>
        </w:rPr>
        <w:t xml:space="preserve">. </w:t>
      </w:r>
      <w:r w:rsidR="003A76B0">
        <w:t xml:space="preserve"> </w:t>
      </w:r>
    </w:p>
    <w:p w14:paraId="4E913C0B" w14:textId="2171688F" w:rsidR="00BB0E09" w:rsidRPr="007F7EBF" w:rsidRDefault="009969F3" w:rsidP="00BB0E09">
      <w:pPr>
        <w:pStyle w:val="tit23"/>
        <w:ind w:left="6464" w:right="-1361" w:firstLine="0"/>
        <w:jc w:val="left"/>
        <w:rPr>
          <w:bCs/>
          <w:i/>
          <w:iCs/>
          <w:color w:val="0000FF"/>
          <w:lang w:val="it-IT"/>
        </w:rPr>
      </w:pPr>
      <w:r>
        <w:rPr>
          <w:bCs/>
          <w:i/>
          <w:iCs/>
          <w:color w:val="0000FF"/>
          <w:lang w:val="it-IT"/>
        </w:rPr>
        <w:t xml:space="preserve">Interventi estemporanei e formule di ripiego </w:t>
      </w:r>
    </w:p>
    <w:p w14:paraId="4114BF51" w14:textId="3558D6E3" w:rsidR="0066654A" w:rsidRDefault="00ED5C96" w:rsidP="008E6200">
      <w:pPr>
        <w:autoSpaceDE w:val="0"/>
        <w:autoSpaceDN w:val="0"/>
        <w:adjustRightInd w:val="0"/>
        <w:rPr>
          <w:sz w:val="22"/>
          <w:szCs w:val="22"/>
        </w:rPr>
      </w:pPr>
      <w:r w:rsidRPr="007F7EBF">
        <w:rPr>
          <w:sz w:val="22"/>
          <w:szCs w:val="22"/>
        </w:rPr>
        <w:t>La politica</w:t>
      </w:r>
      <w:r w:rsidR="00B60A07">
        <w:rPr>
          <w:sz w:val="22"/>
          <w:szCs w:val="22"/>
        </w:rPr>
        <w:t xml:space="preserve"> </w:t>
      </w:r>
      <w:r w:rsidR="00244FF4" w:rsidRPr="007F7EBF">
        <w:rPr>
          <w:sz w:val="22"/>
          <w:szCs w:val="22"/>
        </w:rPr>
        <w:t xml:space="preserve">cerca di dare </w:t>
      </w:r>
      <w:r w:rsidRPr="007F7EBF">
        <w:rPr>
          <w:sz w:val="22"/>
          <w:szCs w:val="22"/>
        </w:rPr>
        <w:t>qualche riscontro</w:t>
      </w:r>
      <w:r w:rsidR="00244FF4" w:rsidRPr="007F7EBF">
        <w:rPr>
          <w:sz w:val="22"/>
          <w:szCs w:val="22"/>
        </w:rPr>
        <w:t xml:space="preserve"> a tutte </w:t>
      </w:r>
      <w:r w:rsidR="00B60A07">
        <w:rPr>
          <w:sz w:val="22"/>
          <w:szCs w:val="22"/>
        </w:rPr>
        <w:t>le</w:t>
      </w:r>
      <w:r w:rsidR="00244FF4" w:rsidRPr="007F7EBF">
        <w:rPr>
          <w:sz w:val="22"/>
          <w:szCs w:val="22"/>
        </w:rPr>
        <w:t xml:space="preserve"> tendenze</w:t>
      </w:r>
      <w:r w:rsidR="00B60A07">
        <w:rPr>
          <w:sz w:val="22"/>
          <w:szCs w:val="22"/>
        </w:rPr>
        <w:t xml:space="preserve"> della pubblica opinione su questi temi</w:t>
      </w:r>
      <w:r w:rsidR="000517E7">
        <w:rPr>
          <w:sz w:val="22"/>
          <w:szCs w:val="22"/>
        </w:rPr>
        <w:t xml:space="preserve">, sentendosi chiamata in causa per le ragioni di cui </w:t>
      </w:r>
      <w:r w:rsidR="008C35A4" w:rsidRPr="007F7EBF">
        <w:rPr>
          <w:sz w:val="22"/>
          <w:szCs w:val="22"/>
        </w:rPr>
        <w:t>al par.2.4</w:t>
      </w:r>
      <w:r w:rsidR="000517E7">
        <w:rPr>
          <w:sz w:val="22"/>
          <w:szCs w:val="22"/>
        </w:rPr>
        <w:t xml:space="preserve">; da una parte sente in dovere </w:t>
      </w:r>
      <w:r w:rsidR="00376213" w:rsidRPr="007F7EBF">
        <w:rPr>
          <w:sz w:val="22"/>
          <w:szCs w:val="22"/>
        </w:rPr>
        <w:t>di "far qualcosa</w:t>
      </w:r>
      <w:r w:rsidR="00474750" w:rsidRPr="007F7EBF">
        <w:rPr>
          <w:sz w:val="22"/>
          <w:szCs w:val="22"/>
        </w:rPr>
        <w:t xml:space="preserve"> contro l'evasione</w:t>
      </w:r>
      <w:r w:rsidR="008C35A4" w:rsidRPr="007F7EBF">
        <w:rPr>
          <w:sz w:val="22"/>
          <w:szCs w:val="22"/>
        </w:rPr>
        <w:t>"</w:t>
      </w:r>
      <w:r w:rsidR="000517E7">
        <w:rPr>
          <w:sz w:val="22"/>
          <w:szCs w:val="22"/>
        </w:rPr>
        <w:t xml:space="preserve">, ma senza una spiegazione del fenomeno </w:t>
      </w:r>
      <w:r w:rsidR="009937C9">
        <w:rPr>
          <w:sz w:val="22"/>
          <w:szCs w:val="22"/>
        </w:rPr>
        <w:t xml:space="preserve">gli interventi sono </w:t>
      </w:r>
      <w:r w:rsidR="007D18E9">
        <w:rPr>
          <w:sz w:val="22"/>
          <w:szCs w:val="22"/>
        </w:rPr>
        <w:t xml:space="preserve">estemporanei, come indicato al par.4.5. </w:t>
      </w:r>
      <w:r w:rsidR="003B77E5">
        <w:rPr>
          <w:sz w:val="22"/>
          <w:szCs w:val="22"/>
        </w:rPr>
        <w:t xml:space="preserve">Alcuni settori della politica </w:t>
      </w:r>
      <w:r w:rsidR="00AD7BDF">
        <w:rPr>
          <w:sz w:val="22"/>
          <w:szCs w:val="22"/>
        </w:rPr>
        <w:t>tenta</w:t>
      </w:r>
      <w:r w:rsidR="003B77E5">
        <w:rPr>
          <w:sz w:val="22"/>
          <w:szCs w:val="22"/>
        </w:rPr>
        <w:t>no</w:t>
      </w:r>
      <w:r w:rsidR="00AD7BDF">
        <w:rPr>
          <w:sz w:val="22"/>
          <w:szCs w:val="22"/>
        </w:rPr>
        <w:t xml:space="preserve"> di assecondare entrambe le tendenze </w:t>
      </w:r>
      <w:r w:rsidR="003B77E5">
        <w:rPr>
          <w:sz w:val="22"/>
          <w:szCs w:val="22"/>
        </w:rPr>
        <w:t xml:space="preserve">col </w:t>
      </w:r>
      <w:r w:rsidR="00645E75" w:rsidRPr="007F7EBF">
        <w:rPr>
          <w:sz w:val="22"/>
          <w:szCs w:val="22"/>
        </w:rPr>
        <w:t xml:space="preserve">mito dei "grandi evasori", </w:t>
      </w:r>
      <w:r w:rsidR="00AD7BDF">
        <w:rPr>
          <w:sz w:val="22"/>
          <w:szCs w:val="22"/>
        </w:rPr>
        <w:t xml:space="preserve">identificati con le </w:t>
      </w:r>
      <w:r w:rsidR="00E54344" w:rsidRPr="007F7EBF">
        <w:t>organizzazioni aziendali</w:t>
      </w:r>
      <w:r w:rsidR="00AD7BDF">
        <w:t xml:space="preserve"> nell’equivoca veste antropomorfica che </w:t>
      </w:r>
      <w:r w:rsidR="00E54344" w:rsidRPr="007F7EBF">
        <w:t>ci accompagna dal par.</w:t>
      </w:r>
      <w:r w:rsidR="00FE3595" w:rsidRPr="00FE3595">
        <w:t xml:space="preserve"> </w:t>
      </w:r>
      <w:r w:rsidR="00FE3595">
        <w:t>4.1</w:t>
      </w:r>
      <w:r w:rsidR="00E54344" w:rsidRPr="007F7EBF">
        <w:t>, passando al par.</w:t>
      </w:r>
      <w:r w:rsidR="00FD463F">
        <w:t xml:space="preserve">3.1 </w:t>
      </w:r>
      <w:r w:rsidR="00E54344" w:rsidRPr="007F7EBF">
        <w:t>in avanti</w:t>
      </w:r>
      <w:r w:rsidR="003B77E5">
        <w:rPr>
          <w:sz w:val="22"/>
          <w:szCs w:val="22"/>
        </w:rPr>
        <w:t xml:space="preserve">; con esso, </w:t>
      </w:r>
      <w:proofErr w:type="spellStart"/>
      <w:r w:rsidR="003B77E5">
        <w:rPr>
          <w:sz w:val="22"/>
          <w:szCs w:val="22"/>
        </w:rPr>
        <w:t>benchè</w:t>
      </w:r>
      <w:proofErr w:type="spellEnd"/>
      <w:r w:rsidR="003B77E5">
        <w:rPr>
          <w:sz w:val="22"/>
          <w:szCs w:val="22"/>
        </w:rPr>
        <w:t xml:space="preserve"> smentito dal senso comune e dalle stime dell’evasione di cui al par.</w:t>
      </w:r>
      <w:r w:rsidR="001F13C8">
        <w:rPr>
          <w:sz w:val="22"/>
          <w:szCs w:val="22"/>
        </w:rPr>
        <w:t>1.6</w:t>
      </w:r>
      <w:r w:rsidR="003B77E5">
        <w:rPr>
          <w:sz w:val="22"/>
          <w:szCs w:val="22"/>
        </w:rPr>
        <w:t xml:space="preserve">, </w:t>
      </w:r>
      <w:r w:rsidR="00E54344">
        <w:rPr>
          <w:sz w:val="22"/>
          <w:szCs w:val="22"/>
        </w:rPr>
        <w:t>le aziende</w:t>
      </w:r>
      <w:r w:rsidR="007D18E9">
        <w:rPr>
          <w:sz w:val="22"/>
          <w:szCs w:val="22"/>
        </w:rPr>
        <w:t xml:space="preserve"> pluripersonali diventano così il</w:t>
      </w:r>
      <w:r w:rsidR="007712A5" w:rsidRPr="007F7EBF">
        <w:rPr>
          <w:sz w:val="22"/>
          <w:szCs w:val="22"/>
        </w:rPr>
        <w:t xml:space="preserve"> capro espiatorio</w:t>
      </w:r>
      <w:r w:rsidR="007D18E9" w:rsidRPr="007D18E9">
        <w:rPr>
          <w:sz w:val="22"/>
          <w:szCs w:val="22"/>
        </w:rPr>
        <w:t xml:space="preserve"> </w:t>
      </w:r>
      <w:r w:rsidR="00263AAE">
        <w:rPr>
          <w:sz w:val="22"/>
          <w:szCs w:val="22"/>
        </w:rPr>
        <w:t xml:space="preserve">dell’incapacità di stimare </w:t>
      </w:r>
      <w:proofErr w:type="spellStart"/>
      <w:r w:rsidR="003B77E5">
        <w:rPr>
          <w:sz w:val="22"/>
          <w:szCs w:val="22"/>
        </w:rPr>
        <w:t>valutativamente</w:t>
      </w:r>
      <w:proofErr w:type="spellEnd"/>
      <w:r w:rsidR="003B77E5">
        <w:rPr>
          <w:sz w:val="22"/>
          <w:szCs w:val="22"/>
        </w:rPr>
        <w:t xml:space="preserve"> gli imponibili che esse </w:t>
      </w:r>
      <w:r w:rsidR="00263AAE">
        <w:rPr>
          <w:sz w:val="22"/>
          <w:szCs w:val="22"/>
        </w:rPr>
        <w:t xml:space="preserve"> </w:t>
      </w:r>
      <w:r w:rsidR="003B77E5">
        <w:rPr>
          <w:sz w:val="22"/>
          <w:szCs w:val="22"/>
        </w:rPr>
        <w:t xml:space="preserve">non possono </w:t>
      </w:r>
      <w:r w:rsidR="00372E8B">
        <w:rPr>
          <w:sz w:val="22"/>
          <w:szCs w:val="22"/>
        </w:rPr>
        <w:t>intercettare</w:t>
      </w:r>
      <w:r w:rsidR="003B77E5">
        <w:rPr>
          <w:sz w:val="22"/>
          <w:szCs w:val="22"/>
        </w:rPr>
        <w:t xml:space="preserve"> contabilmente </w:t>
      </w:r>
      <w:r w:rsidR="0066654A">
        <w:rPr>
          <w:sz w:val="22"/>
          <w:szCs w:val="22"/>
        </w:rPr>
        <w:t>(</w:t>
      </w:r>
      <w:r w:rsidR="0066654A">
        <w:rPr>
          <w:rStyle w:val="Rimandonotaapidipagina"/>
          <w:sz w:val="22"/>
          <w:szCs w:val="22"/>
        </w:rPr>
        <w:footnoteReference w:id="466"/>
      </w:r>
      <w:r w:rsidR="0066654A">
        <w:rPr>
          <w:sz w:val="22"/>
          <w:szCs w:val="22"/>
        </w:rPr>
        <w:t>).</w:t>
      </w:r>
    </w:p>
    <w:p w14:paraId="1E02755D" w14:textId="77D63C87" w:rsidR="006342C5" w:rsidRPr="007F7EBF" w:rsidRDefault="00FD463F" w:rsidP="008E6200">
      <w:pPr>
        <w:autoSpaceDE w:val="0"/>
        <w:autoSpaceDN w:val="0"/>
        <w:adjustRightInd w:val="0"/>
        <w:rPr>
          <w:sz w:val="22"/>
          <w:szCs w:val="22"/>
        </w:rPr>
      </w:pPr>
      <w:r>
        <w:rPr>
          <w:sz w:val="22"/>
          <w:szCs w:val="22"/>
        </w:rPr>
        <w:t xml:space="preserve">Tutto questo ha danneggiato </w:t>
      </w:r>
      <w:r w:rsidR="00792B01">
        <w:rPr>
          <w:sz w:val="22"/>
          <w:szCs w:val="22"/>
        </w:rPr>
        <w:t xml:space="preserve">la funzione tributaria, </w:t>
      </w:r>
      <w:r w:rsidR="0066654A">
        <w:rPr>
          <w:sz w:val="22"/>
          <w:szCs w:val="22"/>
        </w:rPr>
        <w:t xml:space="preserve">recuperabile solo </w:t>
      </w:r>
      <w:r>
        <w:rPr>
          <w:sz w:val="22"/>
          <w:szCs w:val="22"/>
        </w:rPr>
        <w:t xml:space="preserve">attraverso </w:t>
      </w:r>
      <w:r w:rsidR="0066654A">
        <w:t xml:space="preserve">spiegazioni scientifico sociali, </w:t>
      </w:r>
      <w:r>
        <w:t xml:space="preserve">nei modi indicati al </w:t>
      </w:r>
      <w:r w:rsidR="0066654A">
        <w:t xml:space="preserve"> paragrafo seguente. </w:t>
      </w:r>
      <w:r w:rsidR="00AB74BD">
        <w:t xml:space="preserve"> </w:t>
      </w:r>
    </w:p>
    <w:p w14:paraId="5F5D22B0" w14:textId="1B4EA21F" w:rsidR="00201C3B" w:rsidRPr="007F7EBF" w:rsidRDefault="000E2486" w:rsidP="00201C3B">
      <w:pPr>
        <w:pStyle w:val="Titolo3"/>
        <w:rPr>
          <w:rFonts w:ascii="Times New Roman" w:hAnsi="Times New Roman"/>
          <w:bCs w:val="0"/>
          <w:i/>
          <w:iCs/>
          <w:color w:val="0000FF"/>
          <w:sz w:val="22"/>
          <w:szCs w:val="22"/>
        </w:rPr>
      </w:pPr>
      <w:r w:rsidRPr="007F7EBF">
        <w:rPr>
          <w:rFonts w:ascii="Times New Roman" w:hAnsi="Times New Roman"/>
          <w:sz w:val="22"/>
          <w:szCs w:val="22"/>
          <w:lang w:val="it-IT"/>
        </w:rPr>
        <w:t xml:space="preserve"> </w:t>
      </w:r>
      <w:bookmarkStart w:id="55" w:name="_Toc63364971"/>
      <w:r w:rsidR="006342C5" w:rsidRPr="007F7EBF">
        <w:rPr>
          <w:rFonts w:ascii="Times New Roman" w:hAnsi="Times New Roman"/>
          <w:sz w:val="22"/>
          <w:szCs w:val="22"/>
        </w:rPr>
        <w:t xml:space="preserve">4.7. </w:t>
      </w:r>
      <w:r w:rsidR="00527586">
        <w:rPr>
          <w:rFonts w:ascii="Times New Roman" w:hAnsi="Times New Roman"/>
          <w:sz w:val="22"/>
          <w:szCs w:val="22"/>
          <w:lang w:val="it-IT"/>
        </w:rPr>
        <w:t>Diritto come s</w:t>
      </w:r>
      <w:r w:rsidR="00DC1DFD">
        <w:rPr>
          <w:rFonts w:ascii="Times New Roman" w:hAnsi="Times New Roman"/>
          <w:sz w:val="22"/>
          <w:szCs w:val="22"/>
          <w:lang w:val="it-IT"/>
        </w:rPr>
        <w:t xml:space="preserve">tudio sociale </w:t>
      </w:r>
      <w:r w:rsidR="00527586">
        <w:rPr>
          <w:rFonts w:ascii="Times New Roman" w:hAnsi="Times New Roman"/>
          <w:sz w:val="22"/>
          <w:szCs w:val="22"/>
          <w:lang w:val="it-IT"/>
        </w:rPr>
        <w:t>e</w:t>
      </w:r>
      <w:r w:rsidR="00DC1DFD">
        <w:rPr>
          <w:rFonts w:ascii="Times New Roman" w:hAnsi="Times New Roman"/>
          <w:sz w:val="22"/>
          <w:szCs w:val="22"/>
          <w:lang w:val="it-IT"/>
        </w:rPr>
        <w:t xml:space="preserve"> f</w:t>
      </w:r>
      <w:r w:rsidR="0024644F">
        <w:rPr>
          <w:rFonts w:ascii="Times New Roman" w:hAnsi="Times New Roman"/>
          <w:sz w:val="22"/>
          <w:szCs w:val="22"/>
          <w:lang w:val="it-IT"/>
        </w:rPr>
        <w:t>unzione</w:t>
      </w:r>
      <w:r w:rsidR="006F0077">
        <w:rPr>
          <w:rFonts w:ascii="Times New Roman" w:hAnsi="Times New Roman"/>
          <w:sz w:val="22"/>
          <w:szCs w:val="22"/>
          <w:lang w:val="it-IT"/>
        </w:rPr>
        <w:t xml:space="preserve"> tribut</w:t>
      </w:r>
      <w:r w:rsidR="0024644F">
        <w:rPr>
          <w:rFonts w:ascii="Times New Roman" w:hAnsi="Times New Roman"/>
          <w:sz w:val="22"/>
          <w:szCs w:val="22"/>
          <w:lang w:val="it-IT"/>
        </w:rPr>
        <w:t>ar</w:t>
      </w:r>
      <w:r w:rsidR="006F0077">
        <w:rPr>
          <w:rFonts w:ascii="Times New Roman" w:hAnsi="Times New Roman"/>
          <w:sz w:val="22"/>
          <w:szCs w:val="22"/>
          <w:lang w:val="it-IT"/>
        </w:rPr>
        <w:t>i</w:t>
      </w:r>
      <w:r w:rsidR="0024644F">
        <w:rPr>
          <w:rFonts w:ascii="Times New Roman" w:hAnsi="Times New Roman"/>
          <w:sz w:val="22"/>
          <w:szCs w:val="22"/>
          <w:lang w:val="it-IT"/>
        </w:rPr>
        <w:t>a</w:t>
      </w:r>
      <w:bookmarkEnd w:id="55"/>
      <w:r w:rsidR="006F0077">
        <w:rPr>
          <w:rFonts w:ascii="Times New Roman" w:hAnsi="Times New Roman"/>
          <w:sz w:val="22"/>
          <w:szCs w:val="22"/>
          <w:lang w:val="it-IT"/>
        </w:rPr>
        <w:t xml:space="preserve"> </w:t>
      </w:r>
    </w:p>
    <w:p w14:paraId="130892BB" w14:textId="4A9898B6" w:rsidR="00230233" w:rsidRPr="007F7EBF" w:rsidRDefault="004F3383" w:rsidP="00230233">
      <w:pPr>
        <w:pStyle w:val="tit23"/>
        <w:ind w:left="6464" w:right="-1361" w:firstLine="0"/>
        <w:jc w:val="left"/>
        <w:rPr>
          <w:bCs/>
          <w:i/>
          <w:iCs/>
          <w:color w:val="0000FF"/>
          <w:lang w:val="it-IT"/>
        </w:rPr>
      </w:pPr>
      <w:r>
        <w:rPr>
          <w:bCs/>
          <w:i/>
          <w:iCs/>
          <w:color w:val="0000FF"/>
          <w:lang w:val="it-IT"/>
        </w:rPr>
        <w:t>Funzione tributaria e studi sociali</w:t>
      </w:r>
    </w:p>
    <w:p w14:paraId="0097235A" w14:textId="6DB81A74" w:rsidR="004F3383" w:rsidRDefault="00E24DDF" w:rsidP="004F3383">
      <w:r>
        <w:rPr>
          <w:sz w:val="22"/>
          <w:szCs w:val="22"/>
        </w:rPr>
        <w:t>L’unica funzione pubblica non giurisdizionale, come spiegato al par.1.3, specificamente insegnata nelle università italiane è quella tributaria</w:t>
      </w:r>
      <w:r w:rsidR="004F3383">
        <w:rPr>
          <w:sz w:val="22"/>
          <w:szCs w:val="22"/>
        </w:rPr>
        <w:t xml:space="preserve">. Le riflessioni che seguiranno sul suo studio sociale </w:t>
      </w:r>
      <w:r w:rsidR="00DC1DFD">
        <w:rPr>
          <w:sz w:val="22"/>
          <w:szCs w:val="22"/>
        </w:rPr>
        <w:t xml:space="preserve">sono </w:t>
      </w:r>
      <w:r w:rsidR="004F3383">
        <w:rPr>
          <w:sz w:val="22"/>
          <w:szCs w:val="22"/>
        </w:rPr>
        <w:t xml:space="preserve">quindi </w:t>
      </w:r>
      <w:r w:rsidR="00DC1DFD">
        <w:rPr>
          <w:sz w:val="22"/>
          <w:szCs w:val="22"/>
        </w:rPr>
        <w:lastRenderedPageBreak/>
        <w:t>metodologicamente comuni allo studio delle altre funzioni pubbliche</w:t>
      </w:r>
      <w:r w:rsidR="004F3383">
        <w:rPr>
          <w:sz w:val="22"/>
          <w:szCs w:val="22"/>
        </w:rPr>
        <w:t xml:space="preserve"> e agli studi sociali in genere. Queste ultime discipline, </w:t>
      </w:r>
      <w:r w:rsidR="004F3383">
        <w:t xml:space="preserve">nelle loro diverse </w:t>
      </w:r>
      <w:r w:rsidR="004F3383">
        <w:rPr>
          <w:sz w:val="22"/>
          <w:szCs w:val="22"/>
        </w:rPr>
        <w:t xml:space="preserve">prospettive </w:t>
      </w:r>
      <w:r w:rsidR="004F3383">
        <w:t>economiche, giuridiche, politiche, aziendali, storiche, etc</w:t>
      </w:r>
      <w:r w:rsidR="004F3383">
        <w:rPr>
          <w:sz w:val="22"/>
          <w:szCs w:val="22"/>
        </w:rPr>
        <w:t xml:space="preserve">., </w:t>
      </w:r>
      <w:r w:rsidR="004F3383">
        <w:t>cercano di spiegare le varie e interdipendenti ragioni dei comportamenti sociali, nel nostro caso quelli relativi ai presupposti economici delle imposte</w:t>
      </w:r>
      <w:r w:rsidR="004F3383">
        <w:rPr>
          <w:sz w:val="22"/>
          <w:szCs w:val="22"/>
        </w:rPr>
        <w:t xml:space="preserve">. </w:t>
      </w:r>
    </w:p>
    <w:p w14:paraId="4133E3C3" w14:textId="6D763EFC" w:rsidR="004F3383" w:rsidRDefault="004F3383" w:rsidP="004F3383">
      <w:pPr>
        <w:pStyle w:val="tit23"/>
        <w:ind w:left="6464" w:right="-1361" w:firstLine="0"/>
        <w:jc w:val="left"/>
        <w:rPr>
          <w:bCs/>
          <w:i/>
          <w:iCs/>
          <w:color w:val="0000FF"/>
          <w:sz w:val="18"/>
          <w:szCs w:val="20"/>
          <w:lang w:val="it-IT"/>
        </w:rPr>
      </w:pPr>
      <w:r>
        <w:rPr>
          <w:bCs/>
          <w:i/>
          <w:iCs/>
          <w:color w:val="0000FF"/>
          <w:sz w:val="18"/>
          <w:szCs w:val="20"/>
          <w:lang w:val="it-IT"/>
        </w:rPr>
        <w:t xml:space="preserve">L’accessibilità </w:t>
      </w:r>
    </w:p>
    <w:p w14:paraId="545DCB0E" w14:textId="695B5A0E" w:rsidR="007E2F54" w:rsidRPr="004F3383" w:rsidRDefault="004F3383" w:rsidP="007E2F54">
      <w:pPr>
        <w:rPr>
          <w:sz w:val="22"/>
          <w:szCs w:val="22"/>
        </w:rPr>
      </w:pPr>
      <w:r>
        <w:rPr>
          <w:sz w:val="22"/>
          <w:szCs w:val="22"/>
        </w:rPr>
        <w:t xml:space="preserve">La complessità di questi studi deriva paradossalmente dalla loro </w:t>
      </w:r>
      <w:r w:rsidRPr="00DC1DFD">
        <w:rPr>
          <w:i/>
          <w:iCs/>
          <w:sz w:val="22"/>
          <w:szCs w:val="22"/>
        </w:rPr>
        <w:t>accessibilità</w:t>
      </w:r>
      <w:r>
        <w:rPr>
          <w:sz w:val="22"/>
          <w:szCs w:val="22"/>
        </w:rPr>
        <w:t xml:space="preserve"> </w:t>
      </w:r>
      <w:r>
        <w:t xml:space="preserve">per il suo collegamento con l’esperienza di vita, </w:t>
      </w:r>
      <w:r>
        <w:rPr>
          <w:sz w:val="22"/>
          <w:szCs w:val="22"/>
        </w:rPr>
        <w:t>a differenza delle scienze fisiche e delle tecniche, praticabili solo tra ristretti gruppi di specialisti (</w:t>
      </w:r>
      <w:r w:rsidRPr="007F7EBF">
        <w:rPr>
          <w:rStyle w:val="Rimandonotaapidipagina"/>
          <w:sz w:val="22"/>
          <w:szCs w:val="22"/>
        </w:rPr>
        <w:footnoteReference w:id="467"/>
      </w:r>
      <w:r>
        <w:rPr>
          <w:sz w:val="22"/>
          <w:szCs w:val="22"/>
        </w:rPr>
        <w:t xml:space="preserve">). </w:t>
      </w:r>
      <w:r w:rsidR="00686B72">
        <w:rPr>
          <w:sz w:val="22"/>
          <w:szCs w:val="22"/>
        </w:rPr>
        <w:t>bagaglio esperienziale sulla società, viene però variamente vissuto, studiato e rielaborato</w:t>
      </w:r>
      <w:r w:rsidR="003B63D9">
        <w:t>, a seconda dei tempi</w:t>
      </w:r>
      <w:r w:rsidR="00686B72">
        <w:t xml:space="preserve">, </w:t>
      </w:r>
      <w:r w:rsidR="003B63D9">
        <w:t>dei luoghi</w:t>
      </w:r>
      <w:r w:rsidR="00686B72">
        <w:t>, dell</w:t>
      </w:r>
      <w:r w:rsidR="00D927A7">
        <w:t xml:space="preserve">’interesse, </w:t>
      </w:r>
      <w:r w:rsidR="00686B72">
        <w:t>del</w:t>
      </w:r>
      <w:r w:rsidR="00D927A7">
        <w:t xml:space="preserve">  bagaglio culturale, </w:t>
      </w:r>
      <w:r w:rsidR="00686B72">
        <w:t>del</w:t>
      </w:r>
      <w:r w:rsidR="00D927A7">
        <w:t xml:space="preserve"> tempo disponibile, </w:t>
      </w:r>
      <w:r w:rsidR="00686B72">
        <w:t>del</w:t>
      </w:r>
      <w:r w:rsidR="003B63D9">
        <w:t>l’entusiasmo</w:t>
      </w:r>
      <w:r w:rsidR="00D927A7">
        <w:t xml:space="preserve">, </w:t>
      </w:r>
      <w:r w:rsidR="00686B72">
        <w:t>del</w:t>
      </w:r>
      <w:r w:rsidR="003B63D9">
        <w:t xml:space="preserve"> ruolo sociale, </w:t>
      </w:r>
      <w:r w:rsidR="00686B72">
        <w:t>del</w:t>
      </w:r>
      <w:r w:rsidR="003B63D9">
        <w:t xml:space="preserve">la sensibilità, </w:t>
      </w:r>
      <w:r w:rsidR="00D927A7">
        <w:t xml:space="preserve">e </w:t>
      </w:r>
      <w:r w:rsidR="00686B72">
        <w:t xml:space="preserve">di </w:t>
      </w:r>
      <w:r w:rsidR="00D927A7">
        <w:t xml:space="preserve">tanti </w:t>
      </w:r>
      <w:r w:rsidR="00686B72">
        <w:t xml:space="preserve">altri </w:t>
      </w:r>
      <w:r w:rsidR="00D927A7">
        <w:t xml:space="preserve">aspetti </w:t>
      </w:r>
      <w:r w:rsidR="003B63D9">
        <w:t>presenti con intensità variabile</w:t>
      </w:r>
      <w:r w:rsidR="00D927A7">
        <w:t xml:space="preserve"> da persona a persona. </w:t>
      </w:r>
      <w:r w:rsidR="00686B72">
        <w:t xml:space="preserve">Quest’aspetto della </w:t>
      </w:r>
      <w:r w:rsidR="00686B72">
        <w:rPr>
          <w:i/>
          <w:iCs/>
        </w:rPr>
        <w:t xml:space="preserve">socialità </w:t>
      </w:r>
      <w:r w:rsidR="003B63D9">
        <w:t xml:space="preserve"> </w:t>
      </w:r>
      <w:r w:rsidR="00686B72">
        <w:t xml:space="preserve">s’intreccia poi con diverse </w:t>
      </w:r>
      <w:r w:rsidR="00686B72">
        <w:rPr>
          <w:i/>
          <w:iCs/>
        </w:rPr>
        <w:t xml:space="preserve">scale di valori </w:t>
      </w:r>
      <w:r w:rsidR="00686B72">
        <w:t xml:space="preserve">intese come </w:t>
      </w:r>
      <w:r w:rsidR="00FE0E09">
        <w:rPr>
          <w:i/>
          <w:iCs/>
        </w:rPr>
        <w:t>fonti di senso</w:t>
      </w:r>
      <w:r w:rsidR="003E4B14">
        <w:rPr>
          <w:i/>
          <w:iCs/>
        </w:rPr>
        <w:t xml:space="preserve">, </w:t>
      </w:r>
      <w:r w:rsidR="003E4B14">
        <w:t xml:space="preserve">il cui riflesso politico influenza la discussione pubblica sui vari temi, compresa la spesa pubblica e la funzione tributaria. </w:t>
      </w:r>
    </w:p>
    <w:p w14:paraId="2D43C329" w14:textId="1E0CC6D1" w:rsidR="007E2F54" w:rsidRPr="007F7EBF" w:rsidRDefault="007E2F54" w:rsidP="007E2F54">
      <w:pPr>
        <w:pStyle w:val="tit23"/>
        <w:ind w:left="6464" w:right="-1361" w:firstLine="0"/>
        <w:jc w:val="left"/>
        <w:rPr>
          <w:bCs/>
          <w:i/>
          <w:iCs/>
          <w:color w:val="0000FF"/>
          <w:lang w:val="it-IT"/>
        </w:rPr>
      </w:pPr>
      <w:r>
        <w:rPr>
          <w:bCs/>
          <w:i/>
          <w:iCs/>
          <w:color w:val="0000FF"/>
          <w:lang w:val="it-IT"/>
        </w:rPr>
        <w:t xml:space="preserve">Coordinamento da parte degli studiosi sociali   </w:t>
      </w:r>
      <w:r w:rsidRPr="007F7EBF">
        <w:rPr>
          <w:bCs/>
          <w:i/>
          <w:iCs/>
          <w:color w:val="0000FF"/>
          <w:lang w:val="it-IT"/>
        </w:rPr>
        <w:t xml:space="preserve"> </w:t>
      </w:r>
    </w:p>
    <w:p w14:paraId="0F850891" w14:textId="4AF40699" w:rsidR="001A3DC3" w:rsidRDefault="00E128FC" w:rsidP="00E66C9A">
      <w:pPr>
        <w:rPr>
          <w:sz w:val="22"/>
          <w:szCs w:val="22"/>
        </w:rPr>
      </w:pPr>
      <w:r>
        <w:t>Anche la funzione t</w:t>
      </w:r>
      <w:r w:rsidR="00FE0E09">
        <w:t>ributaria</w:t>
      </w:r>
      <w:r>
        <w:t xml:space="preserve"> può essere osservata sotto queste varie prospetti</w:t>
      </w:r>
      <w:r w:rsidR="008266C4">
        <w:t xml:space="preserve">ve, il cui insieme influenza la </w:t>
      </w:r>
      <w:r w:rsidR="00FE0E09">
        <w:t>pubblica opinione</w:t>
      </w:r>
      <w:r w:rsidR="001B56A7">
        <w:t xml:space="preserve"> (p</w:t>
      </w:r>
      <w:r w:rsidR="00FE0E09">
        <w:t>ar.</w:t>
      </w:r>
      <w:r w:rsidR="00FE3595" w:rsidRPr="00FE3595">
        <w:t xml:space="preserve"> </w:t>
      </w:r>
      <w:r w:rsidR="00FE3595">
        <w:t>4.1</w:t>
      </w:r>
      <w:r w:rsidR="001B56A7">
        <w:t>),</w:t>
      </w:r>
      <w:r w:rsidR="00FE0E09">
        <w:t xml:space="preserve"> cui a sua volta guarda la politi</w:t>
      </w:r>
      <w:r w:rsidR="00AA20DA">
        <w:t>ca</w:t>
      </w:r>
      <w:r w:rsidR="00FE0E09">
        <w:t xml:space="preserve">. </w:t>
      </w:r>
      <w:r w:rsidR="00016A75">
        <w:t>Q</w:t>
      </w:r>
      <w:r w:rsidR="001B56A7">
        <w:t xml:space="preserve">uest’ultima è disorientata, senza </w:t>
      </w:r>
      <w:r w:rsidR="00016A75">
        <w:t xml:space="preserve">adeguate </w:t>
      </w:r>
      <w:r w:rsidR="001B56A7">
        <w:t xml:space="preserve">spiegazioni sociali </w:t>
      </w:r>
      <w:r w:rsidR="006E00D3">
        <w:t>(</w:t>
      </w:r>
      <w:r w:rsidR="00FE0E09">
        <w:t>par.2.4</w:t>
      </w:r>
      <w:r w:rsidR="006E00D3">
        <w:t>)</w:t>
      </w:r>
      <w:r w:rsidR="001B56A7">
        <w:t xml:space="preserve">, il che si riflette </w:t>
      </w:r>
      <w:r w:rsidR="006E00D3">
        <w:t xml:space="preserve">sui </w:t>
      </w:r>
      <w:r w:rsidR="00FE0E09">
        <w:t>pubblici uffi</w:t>
      </w:r>
      <w:r w:rsidR="006E00D3">
        <w:t>ci</w:t>
      </w:r>
      <w:r w:rsidR="00FE0E09">
        <w:t xml:space="preserve"> </w:t>
      </w:r>
      <w:r w:rsidR="006E00D3">
        <w:t>(</w:t>
      </w:r>
      <w:r w:rsidR="00FE0E09" w:rsidRPr="000A4793">
        <w:t>par.</w:t>
      </w:r>
      <w:r w:rsidR="00FE0E09">
        <w:t>5</w:t>
      </w:r>
      <w:r w:rsidR="00FE0E09" w:rsidRPr="000A4793">
        <w:t>.3</w:t>
      </w:r>
      <w:r w:rsidR="006E00D3">
        <w:t>)</w:t>
      </w:r>
      <w:r w:rsidR="00FE0E09">
        <w:t xml:space="preserve">. </w:t>
      </w:r>
      <w:r w:rsidR="006E00D3">
        <w:t xml:space="preserve"> </w:t>
      </w:r>
      <w:r w:rsidR="00E1006B">
        <w:t>Gli spunti e le esigenze da coordinare, formulati da chi si interessa anche occasionalmente alla funzione tributaria, sono talmente numerosi che servono</w:t>
      </w:r>
      <w:r w:rsidR="006E00D3">
        <w:t xml:space="preserve"> </w:t>
      </w:r>
      <w:r w:rsidR="001A402D">
        <w:t xml:space="preserve">studiosi </w:t>
      </w:r>
      <w:r w:rsidR="006E00D3">
        <w:t xml:space="preserve">sociali </w:t>
      </w:r>
      <w:r w:rsidR="00E1006B">
        <w:t xml:space="preserve">continuativamente dedicati al loro coordinamento, che interagiscono variamente con diversi tipi di uditorio </w:t>
      </w:r>
      <w:r w:rsidR="00A0280C">
        <w:t>(</w:t>
      </w:r>
      <w:r w:rsidR="00A0280C">
        <w:rPr>
          <w:rStyle w:val="Rimandonotaapidipagina"/>
        </w:rPr>
        <w:footnoteReference w:id="468"/>
      </w:r>
      <w:r w:rsidR="00A0280C">
        <w:t>)</w:t>
      </w:r>
      <w:r w:rsidR="00E1006B">
        <w:t xml:space="preserve">, </w:t>
      </w:r>
      <w:r w:rsidR="00E1006B">
        <w:lastRenderedPageBreak/>
        <w:t>variabile per occasioni d’incontro col tema, interesse, livello di attenzione, bagaglio culturale</w:t>
      </w:r>
      <w:r w:rsidR="00413BDF">
        <w:t xml:space="preserve">. </w:t>
      </w:r>
      <w:r w:rsidR="001409B4">
        <w:t>Dagli spunti sistematizzati e coordinati sorgono poi nuove riflessioni, in un circolo virtuoso</w:t>
      </w:r>
      <w:r w:rsidR="00E10BC0">
        <w:t>,</w:t>
      </w:r>
      <w:r w:rsidR="001409B4">
        <w:t xml:space="preserve"> con </w:t>
      </w:r>
      <w:r w:rsidR="00E10BC0">
        <w:t>un</w:t>
      </w:r>
      <w:r w:rsidR="001409B4">
        <w:t xml:space="preserve"> obiettiv</w:t>
      </w:r>
      <w:r w:rsidR="00E10BC0">
        <w:t>o esterno</w:t>
      </w:r>
      <w:r w:rsidR="00413BDF">
        <w:t xml:space="preserve">, verso l’inclusività di </w:t>
      </w:r>
      <w:r w:rsidR="001409B4">
        <w:t xml:space="preserve">riflessioni </w:t>
      </w:r>
      <w:r w:rsidR="00806F6C">
        <w:t>ulteriori, e quello interno</w:t>
      </w:r>
      <w:r w:rsidR="00413BDF">
        <w:t xml:space="preserve">, che </w:t>
      </w:r>
      <w:r w:rsidR="00806F6C">
        <w:t>esprime in modo più efficace</w:t>
      </w:r>
      <w:r w:rsidR="00413BDF">
        <w:t>, cioè “sociale”</w:t>
      </w:r>
      <w:r w:rsidR="00806F6C">
        <w:t xml:space="preserve"> le precedenti. </w:t>
      </w:r>
      <w:r w:rsidR="00413BDF">
        <w:t xml:space="preserve">Se in questo modo si riesce ad </w:t>
      </w:r>
      <w:r w:rsidR="00806F6C">
        <w:t>estendere la quantità e la qualità degli interessati all’argomento</w:t>
      </w:r>
      <w:r w:rsidR="00413BDF">
        <w:t xml:space="preserve">, coordinandoli, la funzione tributaria migliora </w:t>
      </w:r>
      <w:r w:rsidR="00FF6705">
        <w:t xml:space="preserve">altrimenti peggiora, </w:t>
      </w:r>
      <w:r w:rsidR="00806F6C">
        <w:t>scavalca</w:t>
      </w:r>
      <w:r w:rsidR="00FF6705">
        <w:t>ndo</w:t>
      </w:r>
      <w:r w:rsidR="00413BDF">
        <w:t xml:space="preserve"> studiosi</w:t>
      </w:r>
      <w:r w:rsidR="00FF6705">
        <w:t xml:space="preserve"> sociali </w:t>
      </w:r>
      <w:r w:rsidR="00413BDF">
        <w:t xml:space="preserve">inadeguati </w:t>
      </w:r>
      <w:r w:rsidR="00806F6C">
        <w:rPr>
          <w:rStyle w:val="Rimandonotaapidipagina"/>
        </w:rPr>
        <w:footnoteReference w:id="469"/>
      </w:r>
      <w:r w:rsidR="00806F6C">
        <w:t xml:space="preserve">. </w:t>
      </w:r>
    </w:p>
    <w:p w14:paraId="7DA659AB" w14:textId="5D8BB274" w:rsidR="001A3DC3" w:rsidRPr="007F7EBF" w:rsidRDefault="001A3DC3" w:rsidP="001A3DC3">
      <w:pPr>
        <w:pStyle w:val="tit23"/>
        <w:ind w:left="6464" w:right="-1361" w:firstLine="0"/>
        <w:jc w:val="left"/>
        <w:rPr>
          <w:bCs/>
          <w:i/>
          <w:iCs/>
          <w:color w:val="0000FF"/>
          <w:lang w:val="it-IT"/>
        </w:rPr>
      </w:pPr>
      <w:r>
        <w:rPr>
          <w:bCs/>
          <w:i/>
          <w:iCs/>
          <w:color w:val="0000FF"/>
          <w:lang w:val="it-IT"/>
        </w:rPr>
        <w:t>Filo logico e socialità</w:t>
      </w:r>
    </w:p>
    <w:p w14:paraId="4591E76B" w14:textId="580799CD" w:rsidR="00622894" w:rsidRPr="007F7EBF" w:rsidRDefault="00622894" w:rsidP="00622894">
      <w:pPr>
        <w:pStyle w:val="tit23"/>
        <w:ind w:left="6464" w:right="-1361" w:firstLine="0"/>
        <w:jc w:val="left"/>
        <w:rPr>
          <w:bCs/>
          <w:i/>
          <w:iCs/>
          <w:color w:val="0000FF"/>
          <w:lang w:val="it-IT"/>
        </w:rPr>
      </w:pPr>
      <w:r>
        <w:rPr>
          <w:bCs/>
          <w:i/>
          <w:iCs/>
          <w:color w:val="0000FF"/>
          <w:lang w:val="it-IT"/>
        </w:rPr>
        <w:t xml:space="preserve">Specializzazione e divulgazione   </w:t>
      </w:r>
      <w:r w:rsidRPr="007F7EBF">
        <w:rPr>
          <w:bCs/>
          <w:i/>
          <w:iCs/>
          <w:color w:val="0000FF"/>
          <w:lang w:val="it-IT"/>
        </w:rPr>
        <w:t xml:space="preserve"> </w:t>
      </w:r>
    </w:p>
    <w:p w14:paraId="657B4BD6" w14:textId="4C9F6A94" w:rsidR="002B4A08" w:rsidRDefault="0068120E" w:rsidP="006F6152">
      <w:r w:rsidRPr="00354A5F">
        <w:t>Quest</w:t>
      </w:r>
      <w:r>
        <w:t xml:space="preserve">o coordinamento deve mantenere un filo conduttore, dove </w:t>
      </w:r>
      <w:r w:rsidRPr="00354A5F">
        <w:t>il lettore capisce</w:t>
      </w:r>
      <w:r>
        <w:rPr>
          <w:sz w:val="22"/>
          <w:szCs w:val="22"/>
        </w:rPr>
        <w:t xml:space="preserve"> </w:t>
      </w:r>
      <w:r>
        <w:t xml:space="preserve">“di cosa si sta parlando”, a chi e perché </w:t>
      </w:r>
      <w:r w:rsidRPr="00354A5F">
        <w:t>(</w:t>
      </w:r>
      <w:r w:rsidRPr="00354A5F">
        <w:rPr>
          <w:rStyle w:val="Rimandonotaapidipagina"/>
          <w:bCs/>
        </w:rPr>
        <w:footnoteReference w:id="470"/>
      </w:r>
      <w:r w:rsidRPr="00354A5F">
        <w:t>)</w:t>
      </w:r>
      <w:r>
        <w:t xml:space="preserve">; in caso contrario si perde la </w:t>
      </w:r>
      <w:r w:rsidRPr="0068120E">
        <w:rPr>
          <w:i/>
          <w:iCs/>
        </w:rPr>
        <w:t>socialità</w:t>
      </w:r>
      <w:r>
        <w:t xml:space="preserve"> del discorso (</w:t>
      </w:r>
      <w:r>
        <w:rPr>
          <w:rStyle w:val="Rimandonotaapidipagina"/>
        </w:rPr>
        <w:footnoteReference w:id="471"/>
      </w:r>
      <w:r>
        <w:t>) a prescindere da</w:t>
      </w:r>
      <w:r w:rsidR="00B8748E">
        <w:t xml:space="preserve">i suoi contenuti </w:t>
      </w:r>
      <w:r w:rsidRPr="00354A5F">
        <w:t xml:space="preserve">nel merito. </w:t>
      </w:r>
      <w:r w:rsidR="00B8748E">
        <w:t xml:space="preserve">In altri termini, il coordinamento </w:t>
      </w:r>
      <w:r>
        <w:t xml:space="preserve"> </w:t>
      </w:r>
      <w:r w:rsidR="00B8748E">
        <w:t xml:space="preserve">delle riflessioni sulla </w:t>
      </w:r>
      <w:r>
        <w:t>funzione tributaria dovrebbe mantener</w:t>
      </w:r>
      <w:r w:rsidR="00B8748E">
        <w:t xml:space="preserve">si il più possibile semplice come </w:t>
      </w:r>
      <w:r>
        <w:t>le singole riflessioni sul tema</w:t>
      </w:r>
      <w:r w:rsidR="00B8748E">
        <w:t xml:space="preserve">, </w:t>
      </w:r>
      <w:r>
        <w:t xml:space="preserve">senza </w:t>
      </w:r>
      <w:r>
        <w:rPr>
          <w:sz w:val="22"/>
          <w:szCs w:val="22"/>
        </w:rPr>
        <w:t>l’</w:t>
      </w:r>
      <w:r>
        <w:t>autoreferenzialità</w:t>
      </w:r>
      <w:r w:rsidR="008F6E67">
        <w:t xml:space="preserve"> </w:t>
      </w:r>
      <w:r w:rsidR="006F6152">
        <w:t>dell’</w:t>
      </w:r>
      <w:r w:rsidR="008F6E67">
        <w:t>accademismo</w:t>
      </w:r>
      <w:r w:rsidR="006F6152">
        <w:t xml:space="preserve"> nel senso di </w:t>
      </w:r>
      <w:r w:rsidR="008F6E67">
        <w:t>formalismo “di scuola”</w:t>
      </w:r>
      <w:r w:rsidR="006F6152">
        <w:t xml:space="preserve">, </w:t>
      </w:r>
      <w:r w:rsidR="008F6E67">
        <w:t>“di maniera”</w:t>
      </w:r>
      <w:r w:rsidR="006F6152">
        <w:t xml:space="preserve"> (</w:t>
      </w:r>
      <w:r w:rsidR="008F6E67">
        <w:t>non genuino, né originale</w:t>
      </w:r>
      <w:r w:rsidR="006F6152">
        <w:t>)</w:t>
      </w:r>
      <w:r w:rsidR="00B8748E">
        <w:t xml:space="preserve">. All’estremo opposto lo studio sociale deve evitare le </w:t>
      </w:r>
      <w:r w:rsidR="006F6152">
        <w:t>banalizza</w:t>
      </w:r>
      <w:r w:rsidR="00B8748E">
        <w:t>zioni</w:t>
      </w:r>
      <w:r w:rsidR="006F6152">
        <w:t xml:space="preserve">, </w:t>
      </w:r>
      <w:r w:rsidR="00B8748E">
        <w:t xml:space="preserve">che </w:t>
      </w:r>
      <w:r w:rsidR="00B8748E">
        <w:lastRenderedPageBreak/>
        <w:t>espongono</w:t>
      </w:r>
      <w:r w:rsidR="006F6152">
        <w:t xml:space="preserve"> a facili critiche dagli stessi interlocutori. </w:t>
      </w:r>
      <w:r w:rsidR="00E50294">
        <w:t>Se</w:t>
      </w:r>
      <w:r w:rsidR="00FF6421">
        <w:t xml:space="preserve">nza </w:t>
      </w:r>
      <w:r w:rsidR="00B8748E">
        <w:rPr>
          <w:i/>
          <w:iCs/>
        </w:rPr>
        <w:t>socialità</w:t>
      </w:r>
      <w:r w:rsidR="00FF6421">
        <w:rPr>
          <w:i/>
          <w:iCs/>
        </w:rPr>
        <w:t xml:space="preserve">, </w:t>
      </w:r>
      <w:r w:rsidR="00FF6421">
        <w:t xml:space="preserve">la specializzazione </w:t>
      </w:r>
      <w:proofErr w:type="spellStart"/>
      <w:r w:rsidR="00FF6421">
        <w:t>fj</w:t>
      </w:r>
      <w:r w:rsidR="00B8748E">
        <w:t>nisce</w:t>
      </w:r>
      <w:proofErr w:type="spellEnd"/>
      <w:r w:rsidR="00B8748E">
        <w:t xml:space="preserve"> per </w:t>
      </w:r>
      <w:r w:rsidR="00B8748E" w:rsidRPr="00FF6421">
        <w:rPr>
          <w:i/>
          <w:iCs/>
        </w:rPr>
        <w:t>sapere sempre di più su sempre di meno, fino a sapere tutto di nulla</w:t>
      </w:r>
      <w:r w:rsidR="00FF6421">
        <w:rPr>
          <w:i/>
          <w:iCs/>
        </w:rPr>
        <w:t xml:space="preserve"> </w:t>
      </w:r>
      <w:r w:rsidR="00FF6421">
        <w:t xml:space="preserve">, in quanto si tratta di concetti che esistono in quanto </w:t>
      </w:r>
      <w:r w:rsidR="00FF6421">
        <w:rPr>
          <w:i/>
          <w:iCs/>
        </w:rPr>
        <w:t xml:space="preserve">razionalizzati </w:t>
      </w:r>
      <w:r w:rsidR="00FF6421">
        <w:rPr>
          <w:b/>
          <w:bCs/>
          <w:i/>
          <w:iCs/>
        </w:rPr>
        <w:t xml:space="preserve">e socializzati. </w:t>
      </w:r>
      <w:r w:rsidR="00FF6421">
        <w:t>Rispetto a quest’autoreferenzialità è al limite meno grave l</w:t>
      </w:r>
      <w:r w:rsidR="00E50294">
        <w:t xml:space="preserve">’opposto rischio di sapere </w:t>
      </w:r>
      <w:r w:rsidR="00E50294">
        <w:rPr>
          <w:i/>
          <w:iCs/>
        </w:rPr>
        <w:t>nulla di tutto</w:t>
      </w:r>
      <w:r w:rsidR="00E50294">
        <w:t xml:space="preserve">, </w:t>
      </w:r>
      <w:r w:rsidR="00FF6421">
        <w:t xml:space="preserve">tipico dei mezzi di comunicazione, che </w:t>
      </w:r>
      <w:r w:rsidR="00E50294">
        <w:t>almeno</w:t>
      </w:r>
      <w:r w:rsidR="00FF6421">
        <w:t xml:space="preserve"> </w:t>
      </w:r>
      <w:proofErr w:type="spellStart"/>
      <w:r w:rsidR="00FF6421">
        <w:t>gestioscono</w:t>
      </w:r>
      <w:proofErr w:type="spellEnd"/>
      <w:r w:rsidR="00E50294">
        <w:t xml:space="preserve"> un’interlocuzione, sia pure </w:t>
      </w:r>
      <w:r w:rsidR="00FF6421">
        <w:t>superficiale</w:t>
      </w:r>
      <w:r w:rsidR="00E50294">
        <w:t xml:space="preserve">. </w:t>
      </w:r>
      <w:r w:rsidR="00FF6421">
        <w:t xml:space="preserve">Tra questi </w:t>
      </w:r>
      <w:r w:rsidR="00E50294">
        <w:t>estremi</w:t>
      </w:r>
      <w:r w:rsidR="00FF6421">
        <w:t xml:space="preserve"> naviga lo studio sociale, </w:t>
      </w:r>
      <w:r w:rsidR="00E50294">
        <w:t xml:space="preserve">anche </w:t>
      </w:r>
      <w:r w:rsidR="00FF6421">
        <w:t>d</w:t>
      </w:r>
      <w:r w:rsidR="00E50294">
        <w:t xml:space="preserve">ella funzione tributaria, </w:t>
      </w:r>
      <w:r w:rsidR="00FF6421">
        <w:t xml:space="preserve">senza poter recepire i </w:t>
      </w:r>
      <w:r w:rsidR="00E50294">
        <w:t>concetti di “scoperta”, ricerca, innovazione, originalità,</w:t>
      </w:r>
      <w:r w:rsidR="00FF6421">
        <w:t xml:space="preserve"> come ne</w:t>
      </w:r>
      <w:r w:rsidR="006B44BA">
        <w:t>lle scienze della materia. In queste ultime l</w:t>
      </w:r>
      <w:r w:rsidR="00E50294">
        <w:t xml:space="preserve">a </w:t>
      </w:r>
      <w:r w:rsidR="00541879">
        <w:t xml:space="preserve">discussione </w:t>
      </w:r>
      <w:r w:rsidR="006B44BA">
        <w:t>avviene in ristrette comunità scientifiche mentre negli studi sociali occorre</w:t>
      </w:r>
      <w:r w:rsidR="00541879">
        <w:t xml:space="preserve"> gestire la suddetta </w:t>
      </w:r>
      <w:r w:rsidR="00541879">
        <w:rPr>
          <w:i/>
          <w:iCs/>
        </w:rPr>
        <w:t xml:space="preserve">interlocuzione </w:t>
      </w:r>
      <w:proofErr w:type="spellStart"/>
      <w:r w:rsidR="00541879">
        <w:rPr>
          <w:i/>
          <w:iCs/>
        </w:rPr>
        <w:t>plurilivelli</w:t>
      </w:r>
      <w:proofErr w:type="spellEnd"/>
      <w:r w:rsidR="002B4A08">
        <w:t>.</w:t>
      </w:r>
      <w:r w:rsidR="00AE1280">
        <w:t xml:space="preserve"> </w:t>
      </w:r>
      <w:r w:rsidR="00FF6421">
        <w:t xml:space="preserve">Quest’ultima negli studi sociali non è mai </w:t>
      </w:r>
      <w:r w:rsidR="004A35F7" w:rsidRPr="00541879">
        <w:rPr>
          <w:i/>
          <w:iCs/>
          <w:sz w:val="22"/>
          <w:szCs w:val="22"/>
        </w:rPr>
        <w:t>divulga</w:t>
      </w:r>
      <w:r w:rsidR="006B44BA">
        <w:rPr>
          <w:i/>
          <w:iCs/>
          <w:sz w:val="22"/>
          <w:szCs w:val="22"/>
        </w:rPr>
        <w:t>tiv</w:t>
      </w:r>
      <w:r w:rsidR="00FF6421">
        <w:rPr>
          <w:i/>
          <w:iCs/>
          <w:sz w:val="22"/>
          <w:szCs w:val="22"/>
        </w:rPr>
        <w:t>a</w:t>
      </w:r>
      <w:r w:rsidR="006B44BA">
        <w:rPr>
          <w:i/>
          <w:iCs/>
          <w:sz w:val="22"/>
          <w:szCs w:val="22"/>
        </w:rPr>
        <w:t xml:space="preserve"> </w:t>
      </w:r>
      <w:r w:rsidR="004A35F7">
        <w:t xml:space="preserve">nel senso </w:t>
      </w:r>
      <w:r w:rsidR="00FF6421">
        <w:t xml:space="preserve">deteriore usato </w:t>
      </w:r>
      <w:r w:rsidR="006B44BA">
        <w:t>ne</w:t>
      </w:r>
      <w:r w:rsidR="004A35F7">
        <w:t xml:space="preserve">lle scienze fisiche e </w:t>
      </w:r>
      <w:r w:rsidR="006B44BA">
        <w:t>ne</w:t>
      </w:r>
      <w:r w:rsidR="004A35F7">
        <w:t xml:space="preserve">lle </w:t>
      </w:r>
      <w:r w:rsidR="004A35F7" w:rsidRPr="00525D3F">
        <w:rPr>
          <w:i/>
        </w:rPr>
        <w:t>tecniche</w:t>
      </w:r>
      <w:r w:rsidR="004A35F7">
        <w:t xml:space="preserve"> (</w:t>
      </w:r>
      <w:r w:rsidR="004A35F7">
        <w:rPr>
          <w:rStyle w:val="Rimandonotaapidipagina"/>
        </w:rPr>
        <w:footnoteReference w:id="472"/>
      </w:r>
      <w:r w:rsidR="004A35F7">
        <w:t xml:space="preserve">). </w:t>
      </w:r>
      <w:r w:rsidR="00FF6421">
        <w:t>G</w:t>
      </w:r>
      <w:r w:rsidR="004A35F7">
        <w:t xml:space="preserve">li studi sociali </w:t>
      </w:r>
      <w:r w:rsidR="00B8748E">
        <w:rPr>
          <w:sz w:val="22"/>
          <w:szCs w:val="22"/>
        </w:rPr>
        <w:t>procedono i</w:t>
      </w:r>
      <w:r w:rsidR="00FF6421">
        <w:rPr>
          <w:sz w:val="22"/>
          <w:szCs w:val="22"/>
        </w:rPr>
        <w:t>nvece i</w:t>
      </w:r>
      <w:r w:rsidR="00B8748E">
        <w:rPr>
          <w:sz w:val="22"/>
          <w:szCs w:val="22"/>
        </w:rPr>
        <w:t>dealmente a</w:t>
      </w:r>
      <w:r w:rsidR="00B8748E" w:rsidRPr="00115904">
        <w:rPr>
          <w:sz w:val="22"/>
          <w:szCs w:val="22"/>
        </w:rPr>
        <w:t xml:space="preserve">ssieme ai </w:t>
      </w:r>
      <w:r w:rsidR="00B8748E">
        <w:rPr>
          <w:sz w:val="22"/>
          <w:szCs w:val="22"/>
        </w:rPr>
        <w:t>loro</w:t>
      </w:r>
      <w:r w:rsidR="00B8748E" w:rsidRPr="00115904">
        <w:rPr>
          <w:sz w:val="22"/>
          <w:szCs w:val="22"/>
        </w:rPr>
        <w:t xml:space="preserve"> </w:t>
      </w:r>
      <w:r w:rsidR="00B8748E">
        <w:rPr>
          <w:sz w:val="22"/>
          <w:szCs w:val="22"/>
        </w:rPr>
        <w:t>interlocutori</w:t>
      </w:r>
      <w:r w:rsidR="00B8748E">
        <w:t xml:space="preserve">, in un arricchimento </w:t>
      </w:r>
      <w:r w:rsidR="00FF6421">
        <w:t xml:space="preserve">reciproco, </w:t>
      </w:r>
      <w:r w:rsidR="00B8748E">
        <w:t xml:space="preserve">in buona misura bidirezionale, secondo l’antico </w:t>
      </w:r>
      <w:r w:rsidR="00B8748E" w:rsidRPr="009A6A9B">
        <w:rPr>
          <w:i/>
        </w:rPr>
        <w:t>“</w:t>
      </w:r>
      <w:proofErr w:type="spellStart"/>
      <w:r w:rsidR="00B8748E" w:rsidRPr="009A6A9B">
        <w:rPr>
          <w:i/>
        </w:rPr>
        <w:t>studere</w:t>
      </w:r>
      <w:proofErr w:type="spellEnd"/>
      <w:r w:rsidR="00B8748E" w:rsidRPr="009A6A9B">
        <w:rPr>
          <w:i/>
        </w:rPr>
        <w:t xml:space="preserve"> </w:t>
      </w:r>
      <w:proofErr w:type="spellStart"/>
      <w:r w:rsidR="00B8748E" w:rsidRPr="009A6A9B">
        <w:rPr>
          <w:i/>
        </w:rPr>
        <w:t>docendo</w:t>
      </w:r>
      <w:proofErr w:type="spellEnd"/>
      <w:r w:rsidR="00B8748E" w:rsidRPr="009A6A9B">
        <w:rPr>
          <w:i/>
        </w:rPr>
        <w:t>”</w:t>
      </w:r>
      <w:r w:rsidR="00B8748E">
        <w:t xml:space="preserve"> </w:t>
      </w:r>
      <w:r w:rsidR="00B8748E" w:rsidRPr="00DA5592">
        <w:rPr>
          <w:sz w:val="22"/>
          <w:szCs w:val="22"/>
        </w:rPr>
        <w:t>(</w:t>
      </w:r>
      <w:r w:rsidR="00B8748E" w:rsidRPr="00DA5592">
        <w:rPr>
          <w:rStyle w:val="Rimandonotaapidipagina"/>
          <w:sz w:val="22"/>
          <w:szCs w:val="22"/>
        </w:rPr>
        <w:footnoteReference w:id="473"/>
      </w:r>
      <w:r w:rsidR="00B8748E">
        <w:rPr>
          <w:sz w:val="22"/>
          <w:szCs w:val="22"/>
        </w:rPr>
        <w:t>).</w:t>
      </w:r>
      <w:r w:rsidR="00541879">
        <w:t xml:space="preserve"> </w:t>
      </w:r>
      <w:r w:rsidR="00FF6421">
        <w:t xml:space="preserve">Si potrà sbagliare il livello d’interlocuzione, troppo semplicistico per l’uditorio, ma non si tratta a rigore di divulgazione, fuori luogo in questi settori; in essi anzi la comunicazione diventa tanto più difficile quanto più ci si rivolge a chi solo occasionalmente si occupa del tema. </w:t>
      </w:r>
    </w:p>
    <w:p w14:paraId="2A94E634" w14:textId="4625F768" w:rsidR="009040D9" w:rsidRPr="007F7EBF" w:rsidRDefault="009040D9" w:rsidP="009040D9">
      <w:pPr>
        <w:pStyle w:val="tit23"/>
        <w:ind w:left="6464" w:right="-1361" w:firstLine="0"/>
        <w:jc w:val="left"/>
        <w:rPr>
          <w:bCs/>
          <w:i/>
          <w:iCs/>
          <w:color w:val="0000FF"/>
          <w:lang w:val="it-IT"/>
        </w:rPr>
      </w:pPr>
      <w:r w:rsidRPr="007F7EBF">
        <w:rPr>
          <w:bCs/>
          <w:i/>
          <w:iCs/>
          <w:color w:val="0000FF"/>
          <w:lang w:val="it-IT"/>
        </w:rPr>
        <w:t>sapere umanistico-letterario</w:t>
      </w:r>
      <w:r w:rsidR="00AF70BB">
        <w:rPr>
          <w:bCs/>
          <w:i/>
          <w:iCs/>
          <w:color w:val="0000FF"/>
          <w:lang w:val="it-IT"/>
        </w:rPr>
        <w:t xml:space="preserve"> e “dati sociali”</w:t>
      </w:r>
    </w:p>
    <w:p w14:paraId="3B54126D" w14:textId="77777777" w:rsidR="00D0085D" w:rsidRDefault="00FC7256" w:rsidP="008C61C8">
      <w:r>
        <w:rPr>
          <w:sz w:val="22"/>
          <w:szCs w:val="22"/>
        </w:rPr>
        <w:t xml:space="preserve">A questo fine è importante la capacità di </w:t>
      </w:r>
      <w:r>
        <w:rPr>
          <w:i/>
          <w:iCs/>
          <w:sz w:val="22"/>
          <w:szCs w:val="22"/>
        </w:rPr>
        <w:t>narrazione sociale</w:t>
      </w:r>
      <w:r>
        <w:rPr>
          <w:sz w:val="22"/>
          <w:szCs w:val="22"/>
        </w:rPr>
        <w:t xml:space="preserve">, </w:t>
      </w:r>
      <w:r w:rsidR="005D4357">
        <w:rPr>
          <w:sz w:val="22"/>
          <w:szCs w:val="22"/>
        </w:rPr>
        <w:t>in quanto per secoli, e anche oggi, l’intelligenza collettiva si forma col</w:t>
      </w:r>
      <w:r w:rsidR="009040D9">
        <w:rPr>
          <w:sz w:val="22"/>
          <w:szCs w:val="22"/>
        </w:rPr>
        <w:t xml:space="preserve"> sapere umanistico-</w:t>
      </w:r>
      <w:r w:rsidR="009040D9" w:rsidRPr="007F7EBF">
        <w:rPr>
          <w:sz w:val="22"/>
          <w:szCs w:val="22"/>
        </w:rPr>
        <w:t>letterar</w:t>
      </w:r>
      <w:r w:rsidR="009040D9">
        <w:rPr>
          <w:sz w:val="22"/>
          <w:szCs w:val="22"/>
        </w:rPr>
        <w:t>io</w:t>
      </w:r>
      <w:r w:rsidR="005A53A8">
        <w:rPr>
          <w:sz w:val="22"/>
          <w:szCs w:val="22"/>
        </w:rPr>
        <w:t xml:space="preserve">, dagli antichi </w:t>
      </w:r>
      <w:r w:rsidR="005A53A8">
        <w:t xml:space="preserve">miti fondativi alle </w:t>
      </w:r>
      <w:r w:rsidR="00FB4290">
        <w:t xml:space="preserve">odierne </w:t>
      </w:r>
      <w:r w:rsidR="005A53A8">
        <w:t xml:space="preserve">molteplici </w:t>
      </w:r>
      <w:r w:rsidR="00FB4290">
        <w:t>risposte ai</w:t>
      </w:r>
      <w:r w:rsidR="005A53A8">
        <w:t xml:space="preserve"> bisogn</w:t>
      </w:r>
      <w:r w:rsidR="00FB4290">
        <w:t>i</w:t>
      </w:r>
      <w:r w:rsidR="005A53A8">
        <w:t xml:space="preserve"> di senso</w:t>
      </w:r>
      <w:r w:rsidR="005A53A8">
        <w:rPr>
          <w:sz w:val="22"/>
          <w:szCs w:val="22"/>
        </w:rPr>
        <w:t xml:space="preserve">. </w:t>
      </w:r>
      <w:r w:rsidR="00D734DA">
        <w:rPr>
          <w:sz w:val="22"/>
          <w:szCs w:val="22"/>
        </w:rPr>
        <w:t xml:space="preserve">Proprio il linguaggio comune pone sfide di internazionalizzazione del diritto come studio sociale, anticipate </w:t>
      </w:r>
      <w:r w:rsidR="00D734DA">
        <w:t xml:space="preserve">al par.2.6 sull’unione europea. </w:t>
      </w:r>
    </w:p>
    <w:p w14:paraId="0E1D79CC" w14:textId="77777777" w:rsidR="00FA0CD7" w:rsidRDefault="00D0085D" w:rsidP="008C61C8">
      <w:pPr>
        <w:rPr>
          <w:sz w:val="22"/>
          <w:szCs w:val="22"/>
        </w:rPr>
      </w:pPr>
      <w:r>
        <w:lastRenderedPageBreak/>
        <w:t>Queste</w:t>
      </w:r>
      <w:r w:rsidR="00AF70BB">
        <w:t xml:space="preserve"> narrazion</w:t>
      </w:r>
      <w:r>
        <w:t xml:space="preserve">i </w:t>
      </w:r>
      <w:r w:rsidR="00AF70BB">
        <w:t xml:space="preserve">si legittimano anche </w:t>
      </w:r>
      <w:r>
        <w:rPr>
          <w:sz w:val="22"/>
          <w:szCs w:val="22"/>
        </w:rPr>
        <w:t xml:space="preserve">precisando l’incidenza </w:t>
      </w:r>
      <w:r w:rsidR="0094364F">
        <w:rPr>
          <w:sz w:val="22"/>
          <w:szCs w:val="22"/>
        </w:rPr>
        <w:t>sociale</w:t>
      </w:r>
      <w:r w:rsidR="00FA676F">
        <w:rPr>
          <w:sz w:val="22"/>
          <w:szCs w:val="22"/>
        </w:rPr>
        <w:t xml:space="preserve"> dei </w:t>
      </w:r>
      <w:r w:rsidR="006D6591">
        <w:rPr>
          <w:sz w:val="22"/>
          <w:szCs w:val="22"/>
        </w:rPr>
        <w:t>fenomeni analizzati</w:t>
      </w:r>
      <w:r w:rsidR="00AF70BB">
        <w:rPr>
          <w:sz w:val="22"/>
          <w:szCs w:val="22"/>
        </w:rPr>
        <w:t xml:space="preserve">. </w:t>
      </w:r>
      <w:r w:rsidR="00FA0CD7">
        <w:t>Sulla funzione tributaria abbiamo infatti così contestualizzato i dati su gettito e determinabilità dei presupposti economici d’imposta (par.1.10)</w:t>
      </w:r>
      <w:r w:rsidR="00FA0CD7" w:rsidRPr="007F7EBF">
        <w:t>,</w:t>
      </w:r>
      <w:r w:rsidR="00FA0CD7">
        <w:t xml:space="preserve"> tipologie dei contribuenti (cap.3), stime dell’evasione (par.1.6), addetti agli uffici tributari (par.5.2)</w:t>
      </w:r>
      <w:r w:rsidR="00FA0CD7" w:rsidRPr="007F7EBF">
        <w:t xml:space="preserve">, </w:t>
      </w:r>
      <w:r w:rsidR="00FA0CD7">
        <w:t>qualità e quantità di controlli (par.5.7) e di processi (par. 6.10)</w:t>
      </w:r>
      <w:r w:rsidR="00FA0CD7" w:rsidRPr="007F7EBF">
        <w:rPr>
          <w:sz w:val="22"/>
          <w:szCs w:val="22"/>
        </w:rPr>
        <w:t xml:space="preserve">. </w:t>
      </w:r>
    </w:p>
    <w:p w14:paraId="45222642" w14:textId="0DF86A94" w:rsidR="000D3A6D" w:rsidRDefault="00D0085D" w:rsidP="008C61C8">
      <w:pPr>
        <w:rPr>
          <w:sz w:val="22"/>
          <w:szCs w:val="22"/>
        </w:rPr>
      </w:pPr>
      <w:r>
        <w:rPr>
          <w:sz w:val="22"/>
          <w:szCs w:val="22"/>
        </w:rPr>
        <w:t xml:space="preserve">Si tratta mettere al servizio dell’interpretazione di questi </w:t>
      </w:r>
      <w:r w:rsidR="00FD390F">
        <w:rPr>
          <w:i/>
          <w:iCs/>
          <w:sz w:val="22"/>
          <w:szCs w:val="22"/>
        </w:rPr>
        <w:t>dati sociali</w:t>
      </w:r>
      <w:r w:rsidR="00FD390F">
        <w:rPr>
          <w:sz w:val="22"/>
          <w:szCs w:val="22"/>
        </w:rPr>
        <w:t xml:space="preserve"> </w:t>
      </w:r>
      <w:r>
        <w:rPr>
          <w:sz w:val="22"/>
          <w:szCs w:val="22"/>
        </w:rPr>
        <w:t xml:space="preserve">le millenarie abilità ermeneutiche sviluppate  dai giuristi </w:t>
      </w:r>
      <w:r>
        <w:t>come tecnici</w:t>
      </w:r>
      <w:r>
        <w:rPr>
          <w:rStyle w:val="Rimandonotaapidipagina"/>
        </w:rPr>
        <w:footnoteReference w:id="474"/>
      </w:r>
      <w:r>
        <w:t xml:space="preserve">; essi </w:t>
      </w:r>
      <w:r w:rsidR="00FA676F">
        <w:t xml:space="preserve"> parlano da soli, </w:t>
      </w:r>
      <w:r w:rsidR="00AF70BB">
        <w:t xml:space="preserve">secondo un preconcetto degli economisti di cui al par.4.4, ma </w:t>
      </w:r>
      <w:r w:rsidR="00FD390F">
        <w:rPr>
          <w:sz w:val="22"/>
          <w:szCs w:val="22"/>
        </w:rPr>
        <w:t xml:space="preserve">richiedono </w:t>
      </w:r>
      <w:r w:rsidR="00AF70BB">
        <w:rPr>
          <w:sz w:val="22"/>
          <w:szCs w:val="22"/>
        </w:rPr>
        <w:t xml:space="preserve">una capacità </w:t>
      </w:r>
      <w:r w:rsidR="00FD390F">
        <w:rPr>
          <w:sz w:val="22"/>
          <w:szCs w:val="22"/>
        </w:rPr>
        <w:t>interpreta</w:t>
      </w:r>
      <w:r w:rsidR="00AF70BB">
        <w:rPr>
          <w:sz w:val="22"/>
          <w:szCs w:val="22"/>
        </w:rPr>
        <w:t xml:space="preserve">tiva che </w:t>
      </w:r>
      <w:r w:rsidR="009A2672">
        <w:rPr>
          <w:sz w:val="22"/>
          <w:szCs w:val="22"/>
        </w:rPr>
        <w:t xml:space="preserve">i giuristi </w:t>
      </w:r>
      <w:r w:rsidR="00AF70BB">
        <w:rPr>
          <w:sz w:val="22"/>
          <w:szCs w:val="22"/>
        </w:rPr>
        <w:t xml:space="preserve">possiedono da millenni come tecnici.  </w:t>
      </w:r>
      <w:r>
        <w:rPr>
          <w:sz w:val="22"/>
          <w:szCs w:val="22"/>
        </w:rPr>
        <w:t xml:space="preserve">Questa </w:t>
      </w:r>
      <w:r w:rsidR="00AF70BB">
        <w:rPr>
          <w:i/>
          <w:iCs/>
        </w:rPr>
        <w:t xml:space="preserve">cassetta degli attrezzi </w:t>
      </w:r>
      <w:r w:rsidR="00AF70BB">
        <w:rPr>
          <w:sz w:val="22"/>
          <w:szCs w:val="22"/>
        </w:rPr>
        <w:t xml:space="preserve">tecnica </w:t>
      </w:r>
      <w:r>
        <w:rPr>
          <w:sz w:val="22"/>
          <w:szCs w:val="22"/>
        </w:rPr>
        <w:t>è utilissima ai giuristi come</w:t>
      </w:r>
      <w:r w:rsidR="00AF70BB">
        <w:rPr>
          <w:sz w:val="22"/>
          <w:szCs w:val="22"/>
        </w:rPr>
        <w:t xml:space="preserve"> studiosi delle pubbliche funzioni</w:t>
      </w:r>
      <w:r w:rsidR="00AF70BB">
        <w:t xml:space="preserve">, </w:t>
      </w:r>
      <w:r w:rsidR="00FA0CD7">
        <w:t xml:space="preserve">per </w:t>
      </w:r>
      <w:r w:rsidR="00AF70BB">
        <w:t>maneggia</w:t>
      </w:r>
      <w:r w:rsidR="00FA0CD7">
        <w:t>re</w:t>
      </w:r>
      <w:r w:rsidR="00AF70BB">
        <w:t xml:space="preserve"> socialmente i concetti di regola, sanzione, interpretazione, discrezionalità, come spiegato al par.2.4 ss. di studi sociali e diritto, citato in premessa. </w:t>
      </w:r>
    </w:p>
    <w:p w14:paraId="4A228E10" w14:textId="522698E3" w:rsidR="000D3A6D" w:rsidRPr="007F7EBF" w:rsidRDefault="00454247" w:rsidP="000D3A6D">
      <w:pPr>
        <w:pStyle w:val="tit23"/>
        <w:ind w:left="6464" w:right="-1361" w:firstLine="0"/>
        <w:jc w:val="left"/>
        <w:rPr>
          <w:bCs/>
          <w:i/>
          <w:iCs/>
          <w:color w:val="0000FF"/>
          <w:lang w:val="it-IT"/>
        </w:rPr>
      </w:pPr>
      <w:r>
        <w:rPr>
          <w:b/>
          <w:bCs/>
          <w:i/>
          <w:iCs/>
          <w:color w:val="0000FF"/>
          <w:lang w:val="it-IT"/>
        </w:rPr>
        <w:t xml:space="preserve"> principi e valori</w:t>
      </w:r>
      <w:r w:rsidR="009F1773">
        <w:rPr>
          <w:b/>
          <w:bCs/>
          <w:i/>
          <w:iCs/>
          <w:color w:val="0000FF"/>
          <w:lang w:val="it-IT"/>
        </w:rPr>
        <w:t xml:space="preserve"> della funzione tributaria</w:t>
      </w:r>
    </w:p>
    <w:p w14:paraId="6DFCDC56" w14:textId="09C4F067" w:rsidR="00A67F24" w:rsidRPr="00E179D5" w:rsidRDefault="001B1E72" w:rsidP="00382162">
      <w:pPr>
        <w:pStyle w:val="Testonotaapidipagina"/>
        <w:rPr>
          <w:sz w:val="22"/>
          <w:szCs w:val="22"/>
        </w:rPr>
      </w:pPr>
      <w:r>
        <w:t xml:space="preserve">Anche la suddetta struttura mentale dell’uditorio, con le sue </w:t>
      </w:r>
      <w:r w:rsidR="001D02E4">
        <w:t xml:space="preserve"> </w:t>
      </w:r>
      <w:r w:rsidR="001D02E4">
        <w:rPr>
          <w:i/>
          <w:iCs/>
        </w:rPr>
        <w:t xml:space="preserve">fonti di senso </w:t>
      </w:r>
      <w:r>
        <w:t>e indimostrabili scale di valori sono un dato di cui lo studioso sociale deve tenere conto, p</w:t>
      </w:r>
      <w:r w:rsidR="00750BFC">
        <w:t>ur non potendo</w:t>
      </w:r>
      <w:r>
        <w:t>ne</w:t>
      </w:r>
      <w:r w:rsidR="00750BFC">
        <w:t xml:space="preserve"> dimostrare empiricamente la fondatezza</w:t>
      </w:r>
      <w:r>
        <w:t xml:space="preserve"> secondo la c.d. “legge di Hume”</w:t>
      </w:r>
      <w:r w:rsidR="00750BFC">
        <w:rPr>
          <w:rStyle w:val="Rimandonotaapidipagina"/>
        </w:rPr>
        <w:footnoteReference w:id="475"/>
      </w:r>
      <w:r w:rsidR="00750BFC">
        <w:t xml:space="preserve"> </w:t>
      </w:r>
      <w:r>
        <w:t>; sono tuttavia</w:t>
      </w:r>
      <w:r w:rsidR="00670BE0">
        <w:t xml:space="preserve"> empiricamente rilevabil</w:t>
      </w:r>
      <w:r>
        <w:t>i</w:t>
      </w:r>
      <w:r w:rsidR="00670BE0">
        <w:t xml:space="preserve"> </w:t>
      </w:r>
      <w:r>
        <w:t xml:space="preserve">le fonti di senso diffuse in un certo </w:t>
      </w:r>
      <w:r w:rsidR="00670BE0">
        <w:t>contesto spazio-temporale</w:t>
      </w:r>
      <w:r>
        <w:t xml:space="preserve">, e quindi una </w:t>
      </w:r>
      <w:r w:rsidR="00EF7511">
        <w:t xml:space="preserve"> convergenza a-valutativa </w:t>
      </w:r>
      <w:r>
        <w:t>(</w:t>
      </w:r>
      <w:r w:rsidR="00EF7511">
        <w:rPr>
          <w:i/>
          <w:iCs/>
        </w:rPr>
        <w:t xml:space="preserve">conoscitiva </w:t>
      </w:r>
      <w:r>
        <w:t xml:space="preserve">) sui valori può essere raggiunta. A maggior ragione questo è possibile </w:t>
      </w:r>
      <w:r w:rsidR="00EF7511">
        <w:t xml:space="preserve">sui </w:t>
      </w:r>
      <w:r w:rsidR="00EF7511">
        <w:rPr>
          <w:i/>
          <w:iCs/>
        </w:rPr>
        <w:t xml:space="preserve">principi, </w:t>
      </w:r>
      <w:r w:rsidR="00EF7511" w:rsidRPr="00EF7511">
        <w:t>a cominciare</w:t>
      </w:r>
      <w:r w:rsidR="00EF7511">
        <w:rPr>
          <w:i/>
          <w:iCs/>
        </w:rPr>
        <w:t xml:space="preserve"> </w:t>
      </w:r>
      <w:r w:rsidR="00EF7511" w:rsidRPr="00EF7511">
        <w:t>dal</w:t>
      </w:r>
      <w:r w:rsidR="00670BE0">
        <w:t xml:space="preserve">la </w:t>
      </w:r>
      <w:r w:rsidR="00454247">
        <w:t>scarsità di risorse (</w:t>
      </w:r>
      <w:r w:rsidR="00454247">
        <w:rPr>
          <w:i/>
        </w:rPr>
        <w:t>nessun pasto è gratis</w:t>
      </w:r>
      <w:r w:rsidR="00454247">
        <w:t xml:space="preserve">), </w:t>
      </w:r>
      <w:r w:rsidR="00EF7511">
        <w:t>al</w:t>
      </w:r>
      <w:r w:rsidR="00C20A0E" w:rsidRPr="00AF1F85">
        <w:rPr>
          <w:sz w:val="22"/>
          <w:szCs w:val="22"/>
        </w:rPr>
        <w:t>la differenza tra individui e organizzazioni pluripersonali (par.3.1-5.3)</w:t>
      </w:r>
      <w:r w:rsidR="00EF7511">
        <w:rPr>
          <w:sz w:val="22"/>
          <w:szCs w:val="22"/>
        </w:rPr>
        <w:t>, al confronto tra benefici e sacrifici, tipico delle morali razionali di Bentham</w:t>
      </w:r>
      <w:r>
        <w:rPr>
          <w:sz w:val="22"/>
          <w:szCs w:val="22"/>
        </w:rPr>
        <w:t>, al</w:t>
      </w:r>
      <w:r w:rsidR="00454247">
        <w:rPr>
          <w:sz w:val="22"/>
          <w:szCs w:val="22"/>
        </w:rPr>
        <w:t xml:space="preserve">l’empirismo del giudizio di fatto (par.5.8), </w:t>
      </w:r>
      <w:r>
        <w:rPr>
          <w:sz w:val="22"/>
          <w:szCs w:val="22"/>
        </w:rPr>
        <w:t>al</w:t>
      </w:r>
      <w:r w:rsidR="000C5DF6">
        <w:rPr>
          <w:sz w:val="22"/>
          <w:szCs w:val="22"/>
        </w:rPr>
        <w:t>la portata effettiva dell’</w:t>
      </w:r>
      <w:r w:rsidR="000C5DF6" w:rsidRPr="00AF1F85">
        <w:rPr>
          <w:sz w:val="22"/>
          <w:szCs w:val="22"/>
        </w:rPr>
        <w:t>onnipotenza legislativ</w:t>
      </w:r>
      <w:r w:rsidR="000C5DF6">
        <w:rPr>
          <w:sz w:val="22"/>
          <w:szCs w:val="22"/>
        </w:rPr>
        <w:t>a (par.2.1)</w:t>
      </w:r>
      <w:r w:rsidR="000C5DF6">
        <w:t xml:space="preserve">, </w:t>
      </w:r>
      <w:r>
        <w:t>al</w:t>
      </w:r>
      <w:r w:rsidR="000C5DF6">
        <w:t xml:space="preserve">la dialettica tra argomenti interpretativi (par.3.9), </w:t>
      </w:r>
      <w:r>
        <w:t>al</w:t>
      </w:r>
      <w:r w:rsidR="00454247">
        <w:rPr>
          <w:sz w:val="22"/>
          <w:szCs w:val="22"/>
        </w:rPr>
        <w:t xml:space="preserve">la frode alla legge (par.3.10), </w:t>
      </w:r>
      <w:r>
        <w:rPr>
          <w:sz w:val="22"/>
          <w:szCs w:val="22"/>
        </w:rPr>
        <w:t>al</w:t>
      </w:r>
      <w:r w:rsidR="00454247">
        <w:rPr>
          <w:sz w:val="22"/>
          <w:szCs w:val="22"/>
        </w:rPr>
        <w:t xml:space="preserve">l’affidamento (par.5.4), </w:t>
      </w:r>
      <w:r>
        <w:rPr>
          <w:sz w:val="22"/>
          <w:szCs w:val="22"/>
        </w:rPr>
        <w:t>a</w:t>
      </w:r>
      <w:r w:rsidR="00454247">
        <w:rPr>
          <w:sz w:val="22"/>
          <w:szCs w:val="22"/>
        </w:rPr>
        <w:t xml:space="preserve">l contraddittorio (par.6.1), </w:t>
      </w:r>
      <w:r>
        <w:rPr>
          <w:sz w:val="22"/>
          <w:szCs w:val="22"/>
        </w:rPr>
        <w:t>al</w:t>
      </w:r>
      <w:r w:rsidR="00454247">
        <w:rPr>
          <w:sz w:val="22"/>
          <w:szCs w:val="22"/>
        </w:rPr>
        <w:t>l’indipendenza de</w:t>
      </w:r>
      <w:r>
        <w:rPr>
          <w:sz w:val="22"/>
          <w:szCs w:val="22"/>
        </w:rPr>
        <w:t>lla giurisdizione rispetto alle parti</w:t>
      </w:r>
      <w:r w:rsidR="00454247">
        <w:rPr>
          <w:sz w:val="22"/>
          <w:szCs w:val="22"/>
        </w:rPr>
        <w:t xml:space="preserve"> (par.6.</w:t>
      </w:r>
      <w:r w:rsidR="000C5DF6">
        <w:rPr>
          <w:sz w:val="22"/>
          <w:szCs w:val="22"/>
        </w:rPr>
        <w:t>7</w:t>
      </w:r>
      <w:r w:rsidR="00454247">
        <w:rPr>
          <w:sz w:val="22"/>
          <w:szCs w:val="22"/>
        </w:rPr>
        <w:t>) etc</w:t>
      </w:r>
      <w:r w:rsidR="000C5DF6">
        <w:rPr>
          <w:sz w:val="22"/>
          <w:szCs w:val="22"/>
        </w:rPr>
        <w:t xml:space="preserve">.. </w:t>
      </w:r>
    </w:p>
    <w:p w14:paraId="4AAA1DF3" w14:textId="78E024FB" w:rsidR="002C2C7E" w:rsidRPr="007F7EBF" w:rsidRDefault="00B51B79" w:rsidP="002C2C7E">
      <w:pPr>
        <w:pStyle w:val="tit23"/>
        <w:ind w:left="6464" w:right="-1361" w:firstLine="0"/>
        <w:jc w:val="left"/>
        <w:rPr>
          <w:bCs/>
          <w:i/>
          <w:iCs/>
          <w:color w:val="0000FF"/>
          <w:lang w:val="it-IT"/>
        </w:rPr>
      </w:pPr>
      <w:r>
        <w:rPr>
          <w:bCs/>
          <w:i/>
          <w:iCs/>
          <w:color w:val="0000FF"/>
          <w:lang w:val="it-IT"/>
        </w:rPr>
        <w:lastRenderedPageBreak/>
        <w:t xml:space="preserve">Funzione tributaria e </w:t>
      </w:r>
      <w:r w:rsidR="004C3AF4">
        <w:rPr>
          <w:bCs/>
          <w:i/>
          <w:iCs/>
          <w:color w:val="0000FF"/>
          <w:lang w:val="it-IT"/>
        </w:rPr>
        <w:t>centralità delle imposte</w:t>
      </w:r>
      <w:r w:rsidR="00D948A3">
        <w:rPr>
          <w:bCs/>
          <w:i/>
          <w:iCs/>
          <w:color w:val="0000FF"/>
          <w:lang w:val="it-IT"/>
        </w:rPr>
        <w:t xml:space="preserve"> </w:t>
      </w:r>
      <w:r w:rsidR="00840572">
        <w:rPr>
          <w:bCs/>
          <w:i/>
          <w:iCs/>
          <w:color w:val="0000FF"/>
          <w:lang w:val="it-IT"/>
        </w:rPr>
        <w:t xml:space="preserve"> </w:t>
      </w:r>
    </w:p>
    <w:p w14:paraId="303C07C0" w14:textId="5A2AE632" w:rsidR="00B37D7A" w:rsidRPr="007C1449" w:rsidRDefault="00923C8D" w:rsidP="007C1449">
      <w:r w:rsidRPr="007C1449">
        <w:t xml:space="preserve">Su questo sfondo probabilmente non giova allo studio sociale della </w:t>
      </w:r>
      <w:r w:rsidR="00671036" w:rsidRPr="007C1449">
        <w:t xml:space="preserve">funzione tributaria, </w:t>
      </w:r>
      <w:r w:rsidR="00B51B79" w:rsidRPr="007C1449">
        <w:t>l’odiern</w:t>
      </w:r>
      <w:r w:rsidR="00382162" w:rsidRPr="007C1449">
        <w:t>a</w:t>
      </w:r>
      <w:r w:rsidR="00B51B79" w:rsidRPr="007C1449">
        <w:t xml:space="preserve"> frammentazione accademica del diritto </w:t>
      </w:r>
      <w:r w:rsidR="00554030" w:rsidRPr="007C1449">
        <w:t xml:space="preserve">in </w:t>
      </w:r>
      <w:r w:rsidR="00113806" w:rsidRPr="007C1449">
        <w:t xml:space="preserve">ben </w:t>
      </w:r>
      <w:r w:rsidR="00EB4687" w:rsidRPr="007C1449">
        <w:rPr>
          <w:bCs/>
        </w:rPr>
        <w:t>21 settori scientifico disciplinari</w:t>
      </w:r>
      <w:r w:rsidR="002712FF" w:rsidRPr="007C1449">
        <w:t xml:space="preserve">; </w:t>
      </w:r>
      <w:r w:rsidR="00382162" w:rsidRPr="007C1449">
        <w:t xml:space="preserve">uno di essi, da circa la </w:t>
      </w:r>
      <w:r w:rsidR="005C0D2E" w:rsidRPr="007C1449">
        <w:t xml:space="preserve">metà del secolo scorso </w:t>
      </w:r>
      <w:r w:rsidR="00382162" w:rsidRPr="007C1449">
        <w:t>è dedicato alla funzione tributaria, con c</w:t>
      </w:r>
      <w:r w:rsidR="001D1159" w:rsidRPr="007C1449">
        <w:t xml:space="preserve">irca </w:t>
      </w:r>
      <w:r w:rsidR="00985CCD" w:rsidRPr="007C1449">
        <w:t xml:space="preserve">200 </w:t>
      </w:r>
      <w:r w:rsidR="00FB2C08" w:rsidRPr="007C1449">
        <w:t xml:space="preserve">posizioni </w:t>
      </w:r>
      <w:r w:rsidR="001D1159" w:rsidRPr="007C1449">
        <w:t>“strutturate” (professori, ricercatori etc.)</w:t>
      </w:r>
      <w:r w:rsidR="00382162" w:rsidRPr="007C1449">
        <w:t>. Esse sono</w:t>
      </w:r>
      <w:r w:rsidR="003B2A1D" w:rsidRPr="007C1449">
        <w:t xml:space="preserve"> relativamente numerose</w:t>
      </w:r>
      <w:r w:rsidR="006711ED" w:rsidRPr="007C1449">
        <w:t xml:space="preserve"> rispetto </w:t>
      </w:r>
      <w:r w:rsidR="00FF704D" w:rsidRPr="007C1449">
        <w:t>a</w:t>
      </w:r>
      <w:r w:rsidR="000C2E92" w:rsidRPr="007C1449">
        <w:t>l</w:t>
      </w:r>
      <w:r w:rsidR="001D1159" w:rsidRPr="007C1449">
        <w:t xml:space="preserve">le 500 di diritto </w:t>
      </w:r>
      <w:r w:rsidR="000C2E92" w:rsidRPr="007C1449">
        <w:t>amministrativo</w:t>
      </w:r>
      <w:r w:rsidR="001D1159" w:rsidRPr="007C1449">
        <w:t>,</w:t>
      </w:r>
      <w:r w:rsidR="000C2E92" w:rsidRPr="007C1449">
        <w:t xml:space="preserve"> </w:t>
      </w:r>
      <w:r w:rsidR="00383132" w:rsidRPr="007C1449">
        <w:t xml:space="preserve">per </w:t>
      </w:r>
      <w:r w:rsidR="000C2E92" w:rsidRPr="007C1449">
        <w:t xml:space="preserve">tutte </w:t>
      </w:r>
      <w:r w:rsidR="006711ED" w:rsidRPr="007C1449">
        <w:t xml:space="preserve">le altre funzioni </w:t>
      </w:r>
      <w:r w:rsidR="00985CCD" w:rsidRPr="007C1449">
        <w:t>“non giurisdizionali”</w:t>
      </w:r>
      <w:r w:rsidR="006711ED" w:rsidRPr="007C1449">
        <w:t xml:space="preserve"> </w:t>
      </w:r>
      <w:r w:rsidR="003B2A1D" w:rsidRPr="007C1449">
        <w:t xml:space="preserve">messe insieme </w:t>
      </w:r>
      <w:r w:rsidR="006711ED" w:rsidRPr="007C1449">
        <w:t>(</w:t>
      </w:r>
      <w:r w:rsidR="006711ED" w:rsidRPr="007C1449">
        <w:rPr>
          <w:rStyle w:val="Rimandonotaapidipagina"/>
        </w:rPr>
        <w:footnoteReference w:id="476"/>
      </w:r>
      <w:r w:rsidR="006711ED" w:rsidRPr="007C1449">
        <w:t>)</w:t>
      </w:r>
      <w:r w:rsidR="003B2A1D" w:rsidRPr="007C1449">
        <w:t>.</w:t>
      </w:r>
      <w:r w:rsidR="00AE5553" w:rsidRPr="007C1449">
        <w:t xml:space="preserve"> </w:t>
      </w:r>
      <w:r w:rsidR="00382162" w:rsidRPr="007C1449">
        <w:t>La funzione tributaria</w:t>
      </w:r>
      <w:r w:rsidR="009F1773">
        <w:t xml:space="preserve"> da una parte ha l’onore di essere l’unica funzione non giurisdizionale oggetto di studio universitario specifico; essa unisce in sé elementi di economia generale e aziendale, di diritto dei pubblici poteri e di diritto dei privati come strumento per misurare i presupposti economici d’imposta e criterio residuale indicativo sui rapporti tra contribuenti e uffici. Proprio per questa sua varietà essa richiede una padronanza generale dei profili economico-giuridici suddetti, finalizzata alla specifica funzione. La funzione tributaria poteva quindi essere un collegamento o un oggetto misterioso, se affrontata nel modo privatistico-giurisdizionale di cui al par.4.3. Il risultato è un isolamento </w:t>
      </w:r>
      <w:r w:rsidR="00382162" w:rsidRPr="007C1449">
        <w:t>accademic</w:t>
      </w:r>
      <w:r w:rsidR="009F1773">
        <w:t xml:space="preserve">o </w:t>
      </w:r>
      <w:r w:rsidR="00382162" w:rsidRPr="007C1449">
        <w:t xml:space="preserve">rispetto alla prospettiva </w:t>
      </w:r>
      <w:r w:rsidR="009F1773">
        <w:t>privatistico-giurisdizionale e a quella generale o politico-costituzionale, delle materie pubblicistiche</w:t>
      </w:r>
      <w:r w:rsidR="00382162" w:rsidRPr="007C1449">
        <w:t xml:space="preserve">. </w:t>
      </w:r>
      <w:r w:rsidR="009F1773">
        <w:t xml:space="preserve">La matrice privatistico giurisdizionale di cui al par.4.3 porta </w:t>
      </w:r>
      <w:r w:rsidR="00FA0CD7" w:rsidRPr="007C1449">
        <w:t>l’accademia del diritto tributario</w:t>
      </w:r>
      <w:r w:rsidR="009F1773">
        <w:t xml:space="preserve"> a </w:t>
      </w:r>
      <w:r w:rsidR="00FA0CD7" w:rsidRPr="007C1449">
        <w:t>oscilla</w:t>
      </w:r>
      <w:r w:rsidR="009F1773">
        <w:t>re</w:t>
      </w:r>
      <w:r w:rsidR="00FA0CD7" w:rsidRPr="007C1449">
        <w:t xml:space="preserve"> </w:t>
      </w:r>
      <w:r w:rsidR="00382162" w:rsidRPr="007C1449">
        <w:t xml:space="preserve">tra tecnicismi e </w:t>
      </w:r>
      <w:r w:rsidR="00522CAD" w:rsidRPr="007C1449">
        <w:t>divagazioni politic</w:t>
      </w:r>
      <w:r w:rsidR="00FA0CD7" w:rsidRPr="007C1449">
        <w:t>he</w:t>
      </w:r>
      <w:r w:rsidR="009F1773">
        <w:t xml:space="preserve">. La </w:t>
      </w:r>
      <w:r w:rsidR="00FA0CD7" w:rsidRPr="007C1449">
        <w:t>tradizione privatistica avverte</w:t>
      </w:r>
      <w:r w:rsidR="009F1773">
        <w:t xml:space="preserve"> infatti</w:t>
      </w:r>
      <w:r w:rsidR="00FA0CD7" w:rsidRPr="007C1449">
        <w:t xml:space="preserve"> molto meno il bisogno del diritto come studio sociale</w:t>
      </w:r>
      <w:r w:rsidR="007C1449" w:rsidRPr="007C1449">
        <w:t xml:space="preserve"> delle funzioni pubbliche. Per questo </w:t>
      </w:r>
      <w:r w:rsidR="00AE3692" w:rsidRPr="007C1449">
        <w:t>i</w:t>
      </w:r>
      <w:r w:rsidR="0092644C" w:rsidRPr="007C1449">
        <w:t>l diritto tributario</w:t>
      </w:r>
      <w:r w:rsidR="00AE3692" w:rsidRPr="007C1449">
        <w:t xml:space="preserve"> </w:t>
      </w:r>
      <w:r w:rsidR="0072715E" w:rsidRPr="007C1449">
        <w:t>avrebbe solo da guadagnare dall’</w:t>
      </w:r>
      <w:r w:rsidR="004C3AF4" w:rsidRPr="007C1449">
        <w:t>accorpamento con l</w:t>
      </w:r>
      <w:r w:rsidR="007C1449" w:rsidRPr="007C1449">
        <w:t>o studio dell</w:t>
      </w:r>
      <w:r w:rsidR="006E575F" w:rsidRPr="007C1449">
        <w:t>e</w:t>
      </w:r>
      <w:r w:rsidR="005F7910" w:rsidRPr="007C1449">
        <w:t xml:space="preserve"> altre funzioni </w:t>
      </w:r>
      <w:r w:rsidR="00110F06" w:rsidRPr="007C1449">
        <w:t>non giurisdizionali</w:t>
      </w:r>
      <w:r w:rsidR="0072715E" w:rsidRPr="007C1449">
        <w:t>, di cui è individualmente quella più rilevante</w:t>
      </w:r>
      <w:r w:rsidR="0072715E" w:rsidRPr="007C1449">
        <w:rPr>
          <w:rStyle w:val="Rimandonotaapidipagina"/>
        </w:rPr>
        <w:footnoteReference w:id="477"/>
      </w:r>
      <w:r w:rsidR="0072715E" w:rsidRPr="007C1449">
        <w:t>.</w:t>
      </w:r>
    </w:p>
    <w:p w14:paraId="1800BC05" w14:textId="4F34FE41" w:rsidR="001258D4" w:rsidRPr="007C1449" w:rsidRDefault="00934E35" w:rsidP="003D1758">
      <w:pPr>
        <w:rPr>
          <w:bCs/>
          <w:i/>
          <w:iCs/>
          <w:color w:val="0000FF"/>
        </w:rPr>
      </w:pPr>
      <w:r w:rsidRPr="007C1449">
        <w:lastRenderedPageBreak/>
        <w:t>Un coordinamento, autorevole</w:t>
      </w:r>
      <w:r w:rsidR="00EE1933" w:rsidRPr="007C1449">
        <w:t xml:space="preserve"> </w:t>
      </w:r>
      <w:r w:rsidRPr="007C1449">
        <w:t xml:space="preserve">e socialmente accessibile, delle riflessioni sulla funzione tributaria, </w:t>
      </w:r>
      <w:r w:rsidR="007C1449" w:rsidRPr="007C1449">
        <w:t xml:space="preserve">darebbe </w:t>
      </w:r>
      <w:r w:rsidRPr="007C1449">
        <w:t>uno sfondo alla discussione mediatica</w:t>
      </w:r>
      <w:r w:rsidR="007C1449" w:rsidRPr="007C1449">
        <w:t xml:space="preserve"> </w:t>
      </w:r>
      <w:r w:rsidR="00E64642" w:rsidRPr="007C1449">
        <w:t>(</w:t>
      </w:r>
      <w:r w:rsidR="001258D4" w:rsidRPr="007C1449">
        <w:rPr>
          <w:rStyle w:val="Rimandonotaapidipagina"/>
        </w:rPr>
        <w:footnoteReference w:id="478"/>
      </w:r>
      <w:r w:rsidR="001258D4" w:rsidRPr="007C1449">
        <w:t>)</w:t>
      </w:r>
      <w:r w:rsidR="000A180A" w:rsidRPr="007C1449">
        <w:t xml:space="preserve">, </w:t>
      </w:r>
      <w:r w:rsidR="007C1449" w:rsidRPr="007C1449">
        <w:t>con tr</w:t>
      </w:r>
      <w:r w:rsidR="007D2D2E" w:rsidRPr="007C1449">
        <w:t>asmissioni gradevoli e</w:t>
      </w:r>
      <w:r w:rsidR="007E1709" w:rsidRPr="007C1449">
        <w:t xml:space="preserve"> indefinitamente</w:t>
      </w:r>
      <w:r w:rsidR="00666818" w:rsidRPr="007C1449">
        <w:t xml:space="preserve"> </w:t>
      </w:r>
      <w:r w:rsidR="007D2D2E" w:rsidRPr="007C1449">
        <w:t xml:space="preserve">riutilizzabili, in quanto </w:t>
      </w:r>
      <w:r w:rsidR="00666818" w:rsidRPr="007C1449">
        <w:t>non legat</w:t>
      </w:r>
      <w:r w:rsidR="007D2D2E" w:rsidRPr="007C1449">
        <w:t>e</w:t>
      </w:r>
      <w:r w:rsidR="00666818" w:rsidRPr="007C1449">
        <w:t xml:space="preserve"> alla cronaca </w:t>
      </w:r>
      <w:r w:rsidR="00B9481A" w:rsidRPr="007C1449">
        <w:t>(</w:t>
      </w:r>
      <w:r w:rsidR="00B9481A" w:rsidRPr="007C1449">
        <w:rPr>
          <w:rStyle w:val="Rimandonotaapidipagina"/>
        </w:rPr>
        <w:footnoteReference w:id="479"/>
      </w:r>
      <w:r w:rsidR="00B9481A" w:rsidRPr="007C1449">
        <w:t>)</w:t>
      </w:r>
      <w:r w:rsidR="00623AC4" w:rsidRPr="007C1449">
        <w:t>.</w:t>
      </w:r>
      <w:r w:rsidR="00B9481A" w:rsidRPr="007C1449">
        <w:t xml:space="preserve">  </w:t>
      </w:r>
      <w:r w:rsidR="003D1758" w:rsidRPr="007C1449">
        <w:t>Le drammatizzazioni che lacerano il settore diminuirebbero (parr.4.6, 5.3, 5.11 e 5.19) coi riflessi positivi sulla tecnica professionale di cui al par.3.16 , in un circolo virtuoso tra studio sociale e tecnica.</w:t>
      </w:r>
    </w:p>
    <w:p w14:paraId="0CF29985" w14:textId="2F508A68" w:rsidR="00337A06" w:rsidRPr="007F7EBF" w:rsidRDefault="00337A06" w:rsidP="00926C6B">
      <w:pPr>
        <w:rPr>
          <w:bCs/>
          <w:i/>
          <w:iCs/>
          <w:color w:val="0000FF"/>
          <w:sz w:val="22"/>
          <w:szCs w:val="22"/>
        </w:rPr>
      </w:pPr>
    </w:p>
    <w:p w14:paraId="51F82BB4" w14:textId="77777777" w:rsidR="008771E0" w:rsidRPr="007F7EBF" w:rsidRDefault="00BD63CD" w:rsidP="007B3DEE">
      <w:pPr>
        <w:pStyle w:val="Titolo3"/>
        <w:rPr>
          <w:rFonts w:ascii="Times New Roman" w:hAnsi="Times New Roman"/>
          <w:sz w:val="22"/>
          <w:szCs w:val="22"/>
        </w:rPr>
      </w:pPr>
      <w:bookmarkStart w:id="56" w:name="_Toc63364972"/>
      <w:r w:rsidRPr="007F7EBF">
        <w:rPr>
          <w:rFonts w:ascii="Times New Roman" w:hAnsi="Times New Roman"/>
          <w:sz w:val="22"/>
          <w:szCs w:val="22"/>
        </w:rPr>
        <w:t xml:space="preserve">CAPITOLO 5 </w:t>
      </w:r>
      <w:r w:rsidR="00D70B85" w:rsidRPr="007F7EBF">
        <w:rPr>
          <w:rFonts w:ascii="Times New Roman" w:hAnsi="Times New Roman"/>
          <w:sz w:val="22"/>
          <w:szCs w:val="22"/>
          <w:lang w:val="it-IT"/>
        </w:rPr>
        <w:t xml:space="preserve"> </w:t>
      </w:r>
      <w:r w:rsidR="007B3DEE" w:rsidRPr="007F7EBF">
        <w:rPr>
          <w:rFonts w:ascii="Times New Roman" w:hAnsi="Times New Roman"/>
          <w:sz w:val="22"/>
          <w:szCs w:val="22"/>
          <w:lang w:val="it-IT"/>
        </w:rPr>
        <w:t xml:space="preserve">I PUBBLICI UFFICI </w:t>
      </w:r>
      <w:r w:rsidR="00A67FE1">
        <w:rPr>
          <w:rFonts w:ascii="Times New Roman" w:hAnsi="Times New Roman"/>
          <w:sz w:val="22"/>
          <w:szCs w:val="22"/>
          <w:lang w:val="it-IT"/>
        </w:rPr>
        <w:t>INCARICATI DE</w:t>
      </w:r>
      <w:r w:rsidR="007B3DEE" w:rsidRPr="007F7EBF">
        <w:rPr>
          <w:rFonts w:ascii="Times New Roman" w:hAnsi="Times New Roman"/>
          <w:sz w:val="22"/>
          <w:szCs w:val="22"/>
          <w:lang w:val="it-IT"/>
        </w:rPr>
        <w:t>LLA FUNZIONE TRIBUTARIA</w:t>
      </w:r>
      <w:bookmarkEnd w:id="56"/>
      <w:r w:rsidR="007B3DEE" w:rsidRPr="007F7EBF">
        <w:rPr>
          <w:rFonts w:ascii="Times New Roman" w:hAnsi="Times New Roman"/>
          <w:sz w:val="22"/>
          <w:szCs w:val="22"/>
          <w:lang w:val="it-IT"/>
        </w:rPr>
        <w:t xml:space="preserve"> </w:t>
      </w:r>
    </w:p>
    <w:p w14:paraId="38B16E8F" w14:textId="64DBAF27" w:rsidR="008771E0" w:rsidRPr="008161F0" w:rsidRDefault="008771E0" w:rsidP="008161F0">
      <w:pPr>
        <w:pStyle w:val="tit23"/>
        <w:ind w:firstLine="0"/>
        <w:rPr>
          <w:lang w:val="it-IT" w:eastAsia="x-none"/>
        </w:rPr>
      </w:pPr>
      <w:r w:rsidRPr="007F7EBF">
        <w:rPr>
          <w:b/>
          <w:lang w:val="it-IT"/>
        </w:rPr>
        <w:t>Sintesi</w:t>
      </w:r>
      <w:r w:rsidRPr="007F7EBF">
        <w:rPr>
          <w:lang w:val="it-IT"/>
        </w:rPr>
        <w:t xml:space="preserve"> </w:t>
      </w:r>
      <w:r w:rsidR="001A59D5">
        <w:rPr>
          <w:lang w:val="it-IT"/>
        </w:rPr>
        <w:t>In questo capitolo osserveremo la funzione tributaria dal punto di vista degli uffici pubblici che vi sono preposti</w:t>
      </w:r>
      <w:r w:rsidR="00DE1079">
        <w:rPr>
          <w:lang w:val="it-IT"/>
        </w:rPr>
        <w:t>, un</w:t>
      </w:r>
      <w:r w:rsidR="001A59D5">
        <w:rPr>
          <w:lang w:val="it-IT"/>
        </w:rPr>
        <w:t xml:space="preserve">a </w:t>
      </w:r>
      <w:r w:rsidR="00DE1079">
        <w:rPr>
          <w:lang w:val="it-IT"/>
        </w:rPr>
        <w:t xml:space="preserve">tra </w:t>
      </w:r>
      <w:r w:rsidRPr="007F7EBF">
        <w:rPr>
          <w:lang w:val="it-IT"/>
        </w:rPr>
        <w:t xml:space="preserve">le più efficienti amministrazioni italiane </w:t>
      </w:r>
      <w:r w:rsidR="001A59D5">
        <w:rPr>
          <w:lang w:val="it-IT"/>
        </w:rPr>
        <w:t>che però</w:t>
      </w:r>
      <w:r w:rsidRPr="007F7EBF">
        <w:rPr>
          <w:lang w:val="it-IT"/>
        </w:rPr>
        <w:t xml:space="preserve"> risent</w:t>
      </w:r>
      <w:r w:rsidR="00DE1079">
        <w:rPr>
          <w:lang w:val="it-IT"/>
        </w:rPr>
        <w:t xml:space="preserve">e </w:t>
      </w:r>
      <w:r w:rsidRPr="007F7EBF">
        <w:rPr>
          <w:lang w:val="it-IT"/>
        </w:rPr>
        <w:t>delle confusioni e d</w:t>
      </w:r>
      <w:r w:rsidR="001A59D5">
        <w:rPr>
          <w:lang w:val="it-IT"/>
        </w:rPr>
        <w:t>e</w:t>
      </w:r>
      <w:r w:rsidRPr="007F7EBF">
        <w:rPr>
          <w:lang w:val="it-IT"/>
        </w:rPr>
        <w:t xml:space="preserve">i disorientamenti </w:t>
      </w:r>
      <w:r w:rsidR="00DE1079">
        <w:rPr>
          <w:lang w:val="it-IT"/>
        </w:rPr>
        <w:t xml:space="preserve">della pubblica opinione per mancanza di spiegazioni scientifico sociali della </w:t>
      </w:r>
      <w:r w:rsidR="001A59D5">
        <w:rPr>
          <w:lang w:val="it-IT"/>
        </w:rPr>
        <w:t xml:space="preserve">funzione </w:t>
      </w:r>
      <w:r w:rsidR="00440EAF">
        <w:rPr>
          <w:lang w:val="it-IT"/>
        </w:rPr>
        <w:t xml:space="preserve">cui </w:t>
      </w:r>
      <w:r w:rsidR="001A59D5">
        <w:rPr>
          <w:lang w:val="it-IT"/>
        </w:rPr>
        <w:t>sono</w:t>
      </w:r>
      <w:r w:rsidR="00440EAF">
        <w:rPr>
          <w:lang w:val="it-IT"/>
        </w:rPr>
        <w:t xml:space="preserve"> prepost</w:t>
      </w:r>
      <w:r w:rsidR="001A59D5">
        <w:rPr>
          <w:lang w:val="it-IT"/>
        </w:rPr>
        <w:t>e</w:t>
      </w:r>
      <w:r w:rsidRPr="007F7EBF">
        <w:rPr>
          <w:lang w:val="it-IT"/>
        </w:rPr>
        <w:t xml:space="preserve">. </w:t>
      </w:r>
      <w:r w:rsidR="00DE1079">
        <w:rPr>
          <w:lang w:val="it-IT"/>
        </w:rPr>
        <w:t xml:space="preserve">Dopo aver ripreso </w:t>
      </w:r>
      <w:r w:rsidR="00440EAF">
        <w:rPr>
          <w:lang w:val="it-IT"/>
        </w:rPr>
        <w:t xml:space="preserve">i profili di tutte le entrate pubbliche, </w:t>
      </w:r>
      <w:r w:rsidR="001A59D5">
        <w:rPr>
          <w:lang w:val="it-IT"/>
        </w:rPr>
        <w:t>in relazione a</w:t>
      </w:r>
      <w:r w:rsidR="007B3DEE" w:rsidRPr="007F7EBF">
        <w:rPr>
          <w:lang w:val="it-IT"/>
        </w:rPr>
        <w:t>gli uffici</w:t>
      </w:r>
      <w:r w:rsidR="001A59D5">
        <w:rPr>
          <w:lang w:val="it-IT"/>
        </w:rPr>
        <w:t xml:space="preserve"> che le amministrano </w:t>
      </w:r>
      <w:r w:rsidR="007B3DEE" w:rsidRPr="007F7EBF">
        <w:rPr>
          <w:lang w:val="it-IT"/>
        </w:rPr>
        <w:t>(</w:t>
      </w:r>
      <w:proofErr w:type="spellStart"/>
      <w:r w:rsidR="004F3395" w:rsidRPr="007F7EBF">
        <w:rPr>
          <w:lang w:val="it-IT"/>
        </w:rPr>
        <w:t>par</w:t>
      </w:r>
      <w:r w:rsidR="001A59D5">
        <w:rPr>
          <w:lang w:val="it-IT"/>
        </w:rPr>
        <w:t>r</w:t>
      </w:r>
      <w:proofErr w:type="spellEnd"/>
      <w:r w:rsidR="001A59D5">
        <w:rPr>
          <w:lang w:val="it-IT"/>
        </w:rPr>
        <w:t>. 5.1-</w:t>
      </w:r>
      <w:r w:rsidR="004F3395" w:rsidRPr="007F7EBF">
        <w:rPr>
          <w:lang w:val="it-IT"/>
        </w:rPr>
        <w:t>5.2)</w:t>
      </w:r>
      <w:r w:rsidR="00DE1079">
        <w:rPr>
          <w:lang w:val="it-IT"/>
        </w:rPr>
        <w:t>, parleremo a</w:t>
      </w:r>
      <w:r w:rsidR="00440EAF">
        <w:rPr>
          <w:lang w:val="it-IT"/>
        </w:rPr>
        <w:t>l par.5.3 de</w:t>
      </w:r>
      <w:r w:rsidR="004F3395" w:rsidRPr="007F7EBF">
        <w:rPr>
          <w:lang w:val="it-IT"/>
        </w:rPr>
        <w:t xml:space="preserve">i </w:t>
      </w:r>
      <w:r w:rsidR="001A59D5">
        <w:rPr>
          <w:lang w:val="it-IT"/>
        </w:rPr>
        <w:t>pubblici uffici come organizzazioni pluripersonali,</w:t>
      </w:r>
      <w:r w:rsidR="00440EAF">
        <w:rPr>
          <w:lang w:val="it-IT"/>
        </w:rPr>
        <w:t xml:space="preserve"> tra modello gerarchico militare e aziendalistico, </w:t>
      </w:r>
      <w:r w:rsidR="001A59D5">
        <w:rPr>
          <w:lang w:val="it-IT"/>
        </w:rPr>
        <w:t>con un controllo sociale sfilacciato proprio per le incertezze della pubblica opinione sulla funzione tributaria</w:t>
      </w:r>
      <w:r w:rsidR="003B2D4E">
        <w:rPr>
          <w:lang w:val="it-IT"/>
        </w:rPr>
        <w:t>. Ne derivano con</w:t>
      </w:r>
      <w:r w:rsidR="001A59D5">
        <w:rPr>
          <w:lang w:val="it-IT"/>
        </w:rPr>
        <w:t>fusione e deresponsabilizzazione nei funziona</w:t>
      </w:r>
      <w:r w:rsidR="003B2D4E">
        <w:rPr>
          <w:lang w:val="it-IT"/>
        </w:rPr>
        <w:t>r</w:t>
      </w:r>
      <w:r w:rsidR="001A59D5">
        <w:rPr>
          <w:lang w:val="it-IT"/>
        </w:rPr>
        <w:t>i degli uffici</w:t>
      </w:r>
      <w:r w:rsidR="003B2D4E">
        <w:rPr>
          <w:lang w:val="it-IT"/>
        </w:rPr>
        <w:t>, investiti nell’</w:t>
      </w:r>
      <w:r w:rsidR="001A59D5">
        <w:rPr>
          <w:lang w:val="it-IT"/>
        </w:rPr>
        <w:t xml:space="preserve">autotassazione, </w:t>
      </w:r>
      <w:r w:rsidR="003B2D4E">
        <w:rPr>
          <w:lang w:val="it-IT"/>
        </w:rPr>
        <w:t xml:space="preserve">anche di compiti di </w:t>
      </w:r>
      <w:r w:rsidR="001A59D5">
        <w:rPr>
          <w:lang w:val="it-IT"/>
        </w:rPr>
        <w:t xml:space="preserve">interpretazione-consulenza (par.5.4) </w:t>
      </w:r>
      <w:r w:rsidR="003B2D4E">
        <w:rPr>
          <w:lang w:val="it-IT"/>
        </w:rPr>
        <w:t xml:space="preserve">e “di servizio” </w:t>
      </w:r>
      <w:r w:rsidR="001A59D5">
        <w:rPr>
          <w:lang w:val="it-IT"/>
        </w:rPr>
        <w:t>nella acquisizione</w:t>
      </w:r>
      <w:r w:rsidR="004F3395" w:rsidRPr="007F7EBF">
        <w:rPr>
          <w:lang w:val="it-IT"/>
        </w:rPr>
        <w:t xml:space="preserve"> e gestione degli adempimenti privati (par.5.5)</w:t>
      </w:r>
      <w:r w:rsidR="001A59D5">
        <w:rPr>
          <w:lang w:val="it-IT"/>
        </w:rPr>
        <w:t>. A</w:t>
      </w:r>
      <w:r w:rsidR="00B03132">
        <w:rPr>
          <w:lang w:val="it-IT"/>
        </w:rPr>
        <w:t xml:space="preserve">gli imponibili non </w:t>
      </w:r>
      <w:r w:rsidR="001A59D5">
        <w:rPr>
          <w:lang w:val="it-IT"/>
        </w:rPr>
        <w:t>dichiarati si</w:t>
      </w:r>
      <w:r w:rsidR="00B03132">
        <w:rPr>
          <w:lang w:val="it-IT"/>
        </w:rPr>
        <w:t xml:space="preserve"> torna al par.5.6 sul</w:t>
      </w:r>
      <w:r w:rsidR="004F3395" w:rsidRPr="007F7EBF">
        <w:rPr>
          <w:lang w:val="it-IT"/>
        </w:rPr>
        <w:t>le ispezioni tributarie</w:t>
      </w:r>
      <w:r w:rsidR="001A59D5">
        <w:rPr>
          <w:lang w:val="it-IT"/>
        </w:rPr>
        <w:t>, seguito dal par.5.7, sull</w:t>
      </w:r>
      <w:r w:rsidR="00631450">
        <w:rPr>
          <w:lang w:val="it-IT"/>
        </w:rPr>
        <w:t xml:space="preserve">’ottimizzazione delle </w:t>
      </w:r>
      <w:r w:rsidR="001A59D5">
        <w:rPr>
          <w:lang w:val="it-IT"/>
        </w:rPr>
        <w:t xml:space="preserve">risorse degli uffici per </w:t>
      </w:r>
      <w:r w:rsidR="00631450">
        <w:rPr>
          <w:lang w:val="it-IT"/>
        </w:rPr>
        <w:t xml:space="preserve">una migliore “tax compliance”. La determinazione degli imponibili comporta però priva di tutto un </w:t>
      </w:r>
      <w:r w:rsidR="00B03132">
        <w:rPr>
          <w:lang w:val="it-IT"/>
        </w:rPr>
        <w:t xml:space="preserve">giudizio di fatto, di cui vengono riprese al par.5.8 le strutturali caratteristiche di </w:t>
      </w:r>
      <w:r w:rsidR="004F3395" w:rsidRPr="007F7EBF">
        <w:rPr>
          <w:lang w:val="it-IT"/>
        </w:rPr>
        <w:t>empirismo e probabilismo</w:t>
      </w:r>
      <w:r w:rsidR="00B03132">
        <w:rPr>
          <w:lang w:val="it-IT"/>
        </w:rPr>
        <w:t xml:space="preserve">, </w:t>
      </w:r>
      <w:r w:rsidR="00631450">
        <w:rPr>
          <w:lang w:val="it-IT"/>
        </w:rPr>
        <w:t>collocando al par.5.9 gli odierni “indizi contabili” sullo sfondo del</w:t>
      </w:r>
      <w:r w:rsidR="00B03132">
        <w:rPr>
          <w:lang w:val="it-IT"/>
        </w:rPr>
        <w:t xml:space="preserve">le tradizionali stime </w:t>
      </w:r>
      <w:r w:rsidR="00631450">
        <w:rPr>
          <w:lang w:val="it-IT"/>
        </w:rPr>
        <w:t>degli uffici</w:t>
      </w:r>
      <w:r w:rsidR="00B03132">
        <w:rPr>
          <w:lang w:val="it-IT"/>
        </w:rPr>
        <w:t>. I profili di</w:t>
      </w:r>
      <w:r w:rsidR="004F3395" w:rsidRPr="007F7EBF">
        <w:rPr>
          <w:lang w:val="it-IT"/>
        </w:rPr>
        <w:t xml:space="preserve"> discrezionalità </w:t>
      </w:r>
      <w:r w:rsidR="00B03132">
        <w:rPr>
          <w:lang w:val="it-IT"/>
        </w:rPr>
        <w:t>connessi a queste</w:t>
      </w:r>
      <w:r w:rsidR="004F3395" w:rsidRPr="007F7EBF">
        <w:rPr>
          <w:lang w:val="it-IT"/>
        </w:rPr>
        <w:t xml:space="preserve"> valutazioni e il timore di esercitarl</w:t>
      </w:r>
      <w:r w:rsidR="00B03132">
        <w:rPr>
          <w:lang w:val="it-IT"/>
        </w:rPr>
        <w:t xml:space="preserve">i sono oggetto dei </w:t>
      </w:r>
      <w:r w:rsidR="004F3395" w:rsidRPr="007F7EBF">
        <w:rPr>
          <w:lang w:val="it-IT"/>
        </w:rPr>
        <w:t>parr.5.10</w:t>
      </w:r>
      <w:r w:rsidR="00B03132">
        <w:rPr>
          <w:lang w:val="it-IT"/>
        </w:rPr>
        <w:t xml:space="preserve"> e </w:t>
      </w:r>
      <w:r w:rsidR="004F3395" w:rsidRPr="007F7EBF">
        <w:rPr>
          <w:lang w:val="it-IT"/>
        </w:rPr>
        <w:t>5.11</w:t>
      </w:r>
      <w:r w:rsidR="00B03132">
        <w:rPr>
          <w:lang w:val="it-IT"/>
        </w:rPr>
        <w:t>.</w:t>
      </w:r>
      <w:r w:rsidR="004F3395" w:rsidRPr="007F7EBF">
        <w:rPr>
          <w:lang w:val="it-IT"/>
        </w:rPr>
        <w:t xml:space="preserve"> </w:t>
      </w:r>
      <w:r w:rsidR="008161F0">
        <w:rPr>
          <w:lang w:val="it-IT"/>
        </w:rPr>
        <w:t>Si esaminano poi (par.5.12-5.1</w:t>
      </w:r>
      <w:r w:rsidR="00631450">
        <w:rPr>
          <w:lang w:val="it-IT"/>
        </w:rPr>
        <w:t>9</w:t>
      </w:r>
      <w:r w:rsidR="008161F0">
        <w:rPr>
          <w:lang w:val="it-IT"/>
        </w:rPr>
        <w:t xml:space="preserve">) dal punto di vista degli </w:t>
      </w:r>
      <w:r w:rsidR="008161F0">
        <w:rPr>
          <w:lang w:val="it-IT"/>
        </w:rPr>
        <w:lastRenderedPageBreak/>
        <w:t xml:space="preserve">uffici le varie forme di </w:t>
      </w:r>
      <w:r w:rsidR="004F3395" w:rsidRPr="007F7EBF">
        <w:rPr>
          <w:lang w:val="it-IT"/>
        </w:rPr>
        <w:t>evasione</w:t>
      </w:r>
      <w:r w:rsidR="008161F0">
        <w:rPr>
          <w:lang w:val="it-IT"/>
        </w:rPr>
        <w:t xml:space="preserve"> fiscale</w:t>
      </w:r>
      <w:r w:rsidR="004F3395" w:rsidRPr="007F7EBF">
        <w:rPr>
          <w:lang w:val="it-IT"/>
        </w:rPr>
        <w:t xml:space="preserve">, </w:t>
      </w:r>
      <w:r w:rsidR="008161F0">
        <w:rPr>
          <w:lang w:val="it-IT"/>
        </w:rPr>
        <w:t>già esposte</w:t>
      </w:r>
      <w:r w:rsidR="004F3395" w:rsidRPr="007F7EBF">
        <w:rPr>
          <w:lang w:val="it-IT"/>
        </w:rPr>
        <w:t xml:space="preserve"> dal </w:t>
      </w:r>
      <w:r w:rsidR="00154AA2" w:rsidRPr="007F7EBF">
        <w:rPr>
          <w:lang w:val="it-IT"/>
        </w:rPr>
        <w:t>punto di vista</w:t>
      </w:r>
      <w:r w:rsidR="004F3395" w:rsidRPr="007F7EBF">
        <w:rPr>
          <w:lang w:val="it-IT"/>
        </w:rPr>
        <w:t xml:space="preserve"> de</w:t>
      </w:r>
      <w:r w:rsidR="008161F0">
        <w:rPr>
          <w:lang w:val="it-IT"/>
        </w:rPr>
        <w:t>i contribuenti e della pubblica opinione</w:t>
      </w:r>
      <w:r w:rsidR="00631450">
        <w:rPr>
          <w:lang w:val="it-IT"/>
        </w:rPr>
        <w:t>, con l</w:t>
      </w:r>
      <w:r w:rsidR="008161F0">
        <w:rPr>
          <w:lang w:val="it-IT"/>
        </w:rPr>
        <w:t>o</w:t>
      </w:r>
      <w:r w:rsidR="004F3395" w:rsidRPr="007F7EBF">
        <w:rPr>
          <w:lang w:val="it-IT"/>
        </w:rPr>
        <w:t xml:space="preserve"> sbilanciamento sulle contestazioni giuridico-interpretative, rispetto all</w:t>
      </w:r>
      <w:r w:rsidR="00637144">
        <w:rPr>
          <w:lang w:val="it-IT"/>
        </w:rPr>
        <w:t>’evasione in senso materiale</w:t>
      </w:r>
      <w:r w:rsidRPr="007F7EBF">
        <w:rPr>
          <w:lang w:val="it-IT"/>
        </w:rPr>
        <w:t>.</w:t>
      </w:r>
      <w:r w:rsidR="00631450">
        <w:rPr>
          <w:lang w:val="it-IT"/>
        </w:rPr>
        <w:t xml:space="preserve"> Il capitolo si conclude col paragrafo che illustra i provvedimenti di condono come scorciatoia per l’acquisizione di gettito, sullo sfondo della confusione sociale sulla funzione tributaria.  </w:t>
      </w:r>
    </w:p>
    <w:p w14:paraId="09EB3972" w14:textId="77777777" w:rsidR="00337A06" w:rsidRPr="007F7EBF" w:rsidRDefault="00337A06" w:rsidP="006342C5">
      <w:pPr>
        <w:autoSpaceDE w:val="0"/>
        <w:autoSpaceDN w:val="0"/>
        <w:adjustRightInd w:val="0"/>
        <w:rPr>
          <w:sz w:val="22"/>
          <w:szCs w:val="22"/>
        </w:rPr>
      </w:pPr>
    </w:p>
    <w:p w14:paraId="2007878F" w14:textId="3F5F5C43" w:rsidR="002B7A09" w:rsidRPr="007F7EBF" w:rsidRDefault="00AA585C" w:rsidP="002B7A09">
      <w:pPr>
        <w:pStyle w:val="Titolo3"/>
        <w:rPr>
          <w:rFonts w:ascii="Times New Roman" w:hAnsi="Times New Roman"/>
          <w:sz w:val="22"/>
          <w:szCs w:val="22"/>
        </w:rPr>
      </w:pPr>
      <w:r w:rsidRPr="007F7EBF">
        <w:rPr>
          <w:rFonts w:ascii="Times New Roman" w:hAnsi="Times New Roman"/>
          <w:sz w:val="22"/>
          <w:szCs w:val="22"/>
          <w:lang w:val="it-IT"/>
        </w:rPr>
        <w:t xml:space="preserve"> </w:t>
      </w:r>
      <w:bookmarkStart w:id="57" w:name="_Toc63364973"/>
      <w:r w:rsidR="006342C5" w:rsidRPr="007F7EBF">
        <w:rPr>
          <w:rFonts w:ascii="Times New Roman" w:hAnsi="Times New Roman"/>
          <w:sz w:val="22"/>
          <w:szCs w:val="22"/>
        </w:rPr>
        <w:t xml:space="preserve">5.1. </w:t>
      </w:r>
      <w:r w:rsidR="00DF65DA">
        <w:rPr>
          <w:rFonts w:ascii="Times New Roman" w:hAnsi="Times New Roman"/>
          <w:sz w:val="22"/>
          <w:szCs w:val="22"/>
          <w:lang w:val="it-IT"/>
        </w:rPr>
        <w:t>Ruolo del pubblico potere nelle diverse entra</w:t>
      </w:r>
      <w:r w:rsidR="001F3E21">
        <w:rPr>
          <w:rFonts w:ascii="Times New Roman" w:hAnsi="Times New Roman"/>
          <w:sz w:val="22"/>
          <w:szCs w:val="22"/>
          <w:lang w:val="it-IT"/>
        </w:rPr>
        <w:t xml:space="preserve">te </w:t>
      </w:r>
      <w:r w:rsidR="00DF65DA">
        <w:rPr>
          <w:rFonts w:ascii="Times New Roman" w:hAnsi="Times New Roman"/>
          <w:sz w:val="22"/>
          <w:szCs w:val="22"/>
          <w:lang w:val="it-IT"/>
        </w:rPr>
        <w:t xml:space="preserve">pubbliche </w:t>
      </w:r>
      <w:r w:rsidR="006342C5" w:rsidRPr="007F7EBF">
        <w:rPr>
          <w:rFonts w:ascii="Times New Roman" w:hAnsi="Times New Roman"/>
          <w:sz w:val="22"/>
          <w:szCs w:val="22"/>
        </w:rPr>
        <w:t>(tariffe, tasse in senso</w:t>
      </w:r>
      <w:r w:rsidR="00337A06" w:rsidRPr="007F7EBF">
        <w:rPr>
          <w:rFonts w:ascii="Times New Roman" w:hAnsi="Times New Roman"/>
          <w:sz w:val="22"/>
          <w:szCs w:val="22"/>
        </w:rPr>
        <w:t xml:space="preserve"> </w:t>
      </w:r>
      <w:r w:rsidR="006342C5" w:rsidRPr="007F7EBF">
        <w:rPr>
          <w:rFonts w:ascii="Times New Roman" w:hAnsi="Times New Roman"/>
          <w:sz w:val="22"/>
          <w:szCs w:val="22"/>
        </w:rPr>
        <w:t>stretto, monopoli, contributi, imposte etc...)</w:t>
      </w:r>
      <w:bookmarkEnd w:id="57"/>
      <w:r w:rsidR="001F3E21" w:rsidRPr="001F3E21">
        <w:rPr>
          <w:rFonts w:ascii="Times New Roman" w:hAnsi="Times New Roman"/>
          <w:sz w:val="22"/>
          <w:szCs w:val="22"/>
          <w:lang w:val="it-IT"/>
        </w:rPr>
        <w:t xml:space="preserve"> </w:t>
      </w:r>
    </w:p>
    <w:p w14:paraId="5BE834D1" w14:textId="7188706A" w:rsidR="00E948AF" w:rsidRPr="007F7EBF" w:rsidRDefault="0006215B" w:rsidP="00E948AF">
      <w:pPr>
        <w:pStyle w:val="tit23"/>
        <w:ind w:left="6464" w:right="-1361" w:firstLine="0"/>
        <w:jc w:val="left"/>
        <w:rPr>
          <w:bCs/>
          <w:i/>
          <w:iCs/>
          <w:color w:val="0000FF"/>
          <w:lang w:val="it-IT"/>
        </w:rPr>
      </w:pPr>
      <w:r>
        <w:rPr>
          <w:bCs/>
          <w:i/>
          <w:iCs/>
          <w:color w:val="0000FF"/>
          <w:lang w:val="it-IT"/>
        </w:rPr>
        <w:t>Imposte, t</w:t>
      </w:r>
      <w:r w:rsidR="00CB678B">
        <w:rPr>
          <w:bCs/>
          <w:i/>
          <w:iCs/>
          <w:color w:val="0000FF"/>
          <w:lang w:val="it-IT"/>
        </w:rPr>
        <w:t>ributi e entrate non tributarie</w:t>
      </w:r>
    </w:p>
    <w:p w14:paraId="763F14C8" w14:textId="43C99787" w:rsidR="00E948AF" w:rsidRPr="007F7EBF" w:rsidRDefault="00CB678B" w:rsidP="00E948AF">
      <w:pPr>
        <w:autoSpaceDE w:val="0"/>
        <w:autoSpaceDN w:val="0"/>
        <w:adjustRightInd w:val="0"/>
        <w:rPr>
          <w:sz w:val="22"/>
          <w:szCs w:val="22"/>
        </w:rPr>
      </w:pPr>
      <w:r>
        <w:rPr>
          <w:bCs/>
          <w:sz w:val="22"/>
          <w:szCs w:val="22"/>
        </w:rPr>
        <w:t xml:space="preserve">Nell’ambito delle entrate pubbliche, solo le imposte fanno capo a specifici uffici con una funzione esclusivamente tributaria. Prima di iniziare a parlarne, in questo </w:t>
      </w:r>
      <w:r w:rsidR="00946E38">
        <w:rPr>
          <w:bCs/>
          <w:sz w:val="22"/>
          <w:szCs w:val="22"/>
        </w:rPr>
        <w:t>capitolo</w:t>
      </w:r>
      <w:r w:rsidR="00786FDB">
        <w:rPr>
          <w:bCs/>
          <w:sz w:val="22"/>
          <w:szCs w:val="22"/>
        </w:rPr>
        <w:t xml:space="preserve">, </w:t>
      </w:r>
      <w:r>
        <w:rPr>
          <w:bCs/>
          <w:sz w:val="22"/>
          <w:szCs w:val="22"/>
        </w:rPr>
        <w:t xml:space="preserve">accenniamo in questo paragrafo ai pubblici uffici coinvolti nell’acquisizione di </w:t>
      </w:r>
      <w:r w:rsidR="0081794F">
        <w:rPr>
          <w:bCs/>
          <w:sz w:val="22"/>
          <w:szCs w:val="22"/>
        </w:rPr>
        <w:t>entrate pubbliche di</w:t>
      </w:r>
      <w:r>
        <w:rPr>
          <w:bCs/>
          <w:sz w:val="22"/>
          <w:szCs w:val="22"/>
        </w:rPr>
        <w:t xml:space="preserve">verse dalle imposte, cioè altri tributi e tariffe, che neppure sono considerate tributi (par.1.1-1.2). </w:t>
      </w:r>
      <w:r w:rsidR="00DB2EFD">
        <w:rPr>
          <w:bCs/>
          <w:sz w:val="22"/>
          <w:szCs w:val="22"/>
        </w:rPr>
        <w:t xml:space="preserve"> </w:t>
      </w:r>
      <w:proofErr w:type="spellStart"/>
      <w:r w:rsidR="00DB2EFD">
        <w:rPr>
          <w:bCs/>
          <w:sz w:val="22"/>
          <w:szCs w:val="22"/>
        </w:rPr>
        <w:t>Benchè</w:t>
      </w:r>
      <w:proofErr w:type="spellEnd"/>
      <w:r w:rsidR="00DB2EFD">
        <w:rPr>
          <w:bCs/>
          <w:sz w:val="22"/>
          <w:szCs w:val="22"/>
        </w:rPr>
        <w:t xml:space="preserve"> </w:t>
      </w:r>
      <w:r w:rsidR="00F46D62">
        <w:rPr>
          <w:bCs/>
          <w:sz w:val="22"/>
          <w:szCs w:val="22"/>
        </w:rPr>
        <w:t>la funzione tributaria sia caratterizzata dalle</w:t>
      </w:r>
      <w:r w:rsidR="00DB2EFD">
        <w:rPr>
          <w:bCs/>
          <w:sz w:val="22"/>
          <w:szCs w:val="22"/>
        </w:rPr>
        <w:t xml:space="preserve"> imposte</w:t>
      </w:r>
      <w:r w:rsidR="00910187">
        <w:rPr>
          <w:bCs/>
          <w:sz w:val="22"/>
          <w:szCs w:val="22"/>
        </w:rPr>
        <w:t xml:space="preserve"> (par.1.2), </w:t>
      </w:r>
      <w:r w:rsidR="00F46D62">
        <w:rPr>
          <w:bCs/>
          <w:sz w:val="22"/>
          <w:szCs w:val="22"/>
        </w:rPr>
        <w:t xml:space="preserve">il </w:t>
      </w:r>
      <w:r w:rsidR="00910187">
        <w:rPr>
          <w:bCs/>
          <w:sz w:val="22"/>
          <w:szCs w:val="22"/>
        </w:rPr>
        <w:t>diritto come tecnica</w:t>
      </w:r>
      <w:r w:rsidR="00F46D62">
        <w:rPr>
          <w:bCs/>
          <w:sz w:val="22"/>
          <w:szCs w:val="22"/>
        </w:rPr>
        <w:t xml:space="preserve"> conosce solo </w:t>
      </w:r>
      <w:r w:rsidR="00910187">
        <w:rPr>
          <w:bCs/>
          <w:sz w:val="22"/>
          <w:szCs w:val="22"/>
        </w:rPr>
        <w:t>la distinzione tra “tributi”, nel loro complesso (</w:t>
      </w:r>
      <w:r w:rsidR="00F46D62">
        <w:rPr>
          <w:bCs/>
          <w:sz w:val="22"/>
          <w:szCs w:val="22"/>
        </w:rPr>
        <w:t>incluse</w:t>
      </w:r>
      <w:r w:rsidR="00910187">
        <w:rPr>
          <w:bCs/>
          <w:sz w:val="22"/>
          <w:szCs w:val="22"/>
        </w:rPr>
        <w:t xml:space="preserve"> le imposte), ed </w:t>
      </w:r>
      <w:r w:rsidR="0006215B">
        <w:rPr>
          <w:bCs/>
          <w:sz w:val="22"/>
          <w:szCs w:val="22"/>
        </w:rPr>
        <w:t xml:space="preserve">altre </w:t>
      </w:r>
      <w:r w:rsidR="00910187">
        <w:rPr>
          <w:bCs/>
          <w:sz w:val="22"/>
          <w:szCs w:val="22"/>
        </w:rPr>
        <w:t>entrate</w:t>
      </w:r>
      <w:r w:rsidR="0006215B">
        <w:rPr>
          <w:bCs/>
          <w:sz w:val="22"/>
          <w:szCs w:val="22"/>
        </w:rPr>
        <w:t>, soprattutto</w:t>
      </w:r>
      <w:r w:rsidR="00910187">
        <w:rPr>
          <w:bCs/>
          <w:sz w:val="22"/>
          <w:szCs w:val="22"/>
        </w:rPr>
        <w:t xml:space="preserve"> di diritto privato. </w:t>
      </w:r>
      <w:r w:rsidR="0006215B">
        <w:rPr>
          <w:bCs/>
          <w:sz w:val="22"/>
          <w:szCs w:val="22"/>
        </w:rPr>
        <w:t xml:space="preserve">Riscontri si trovano nell’applicazione dei tributi in via di </w:t>
      </w:r>
      <w:r w:rsidR="00F11C1B">
        <w:rPr>
          <w:sz w:val="22"/>
          <w:szCs w:val="22"/>
        </w:rPr>
        <w:t xml:space="preserve">autotutela </w:t>
      </w:r>
      <w:r w:rsidR="000443DE">
        <w:rPr>
          <w:sz w:val="22"/>
          <w:szCs w:val="22"/>
        </w:rPr>
        <w:t xml:space="preserve">amministrativa </w:t>
      </w:r>
      <w:r w:rsidR="00F11C1B">
        <w:rPr>
          <w:sz w:val="22"/>
          <w:szCs w:val="22"/>
        </w:rPr>
        <w:t>(par.6.1)</w:t>
      </w:r>
      <w:r w:rsidR="000443DE">
        <w:rPr>
          <w:sz w:val="22"/>
          <w:szCs w:val="22"/>
        </w:rPr>
        <w:t>,</w:t>
      </w:r>
      <w:r w:rsidR="00F11C1B">
        <w:rPr>
          <w:sz w:val="22"/>
          <w:szCs w:val="22"/>
        </w:rPr>
        <w:t xml:space="preserve"> </w:t>
      </w:r>
      <w:r w:rsidR="002C5362">
        <w:rPr>
          <w:sz w:val="22"/>
          <w:szCs w:val="22"/>
        </w:rPr>
        <w:t>con eventuale processo d’impugnazione (par.</w:t>
      </w:r>
      <w:r w:rsidR="002C5362" w:rsidRPr="007F7EBF">
        <w:rPr>
          <w:sz w:val="22"/>
          <w:szCs w:val="22"/>
        </w:rPr>
        <w:t>6.</w:t>
      </w:r>
      <w:r w:rsidR="002C5362">
        <w:rPr>
          <w:sz w:val="22"/>
          <w:szCs w:val="22"/>
        </w:rPr>
        <w:t>7).  P</w:t>
      </w:r>
      <w:r w:rsidR="00350381">
        <w:rPr>
          <w:sz w:val="22"/>
          <w:szCs w:val="22"/>
        </w:rPr>
        <w:t>er le entrate non tributarie i</w:t>
      </w:r>
      <w:r w:rsidR="00350381" w:rsidRPr="007F7EBF">
        <w:rPr>
          <w:sz w:val="22"/>
          <w:szCs w:val="22"/>
        </w:rPr>
        <w:t xml:space="preserve">l rapporto </w:t>
      </w:r>
      <w:r w:rsidR="00350381">
        <w:rPr>
          <w:sz w:val="22"/>
          <w:szCs w:val="22"/>
        </w:rPr>
        <w:t>con l’</w:t>
      </w:r>
      <w:r w:rsidR="00350381" w:rsidRPr="007F7EBF">
        <w:rPr>
          <w:sz w:val="22"/>
          <w:szCs w:val="22"/>
        </w:rPr>
        <w:t>utente</w:t>
      </w:r>
      <w:r w:rsidR="00350381">
        <w:rPr>
          <w:sz w:val="22"/>
          <w:szCs w:val="22"/>
        </w:rPr>
        <w:t xml:space="preserve"> finale è </w:t>
      </w:r>
      <w:r w:rsidR="00350381" w:rsidRPr="007F7EBF">
        <w:rPr>
          <w:sz w:val="22"/>
          <w:szCs w:val="22"/>
        </w:rPr>
        <w:t>privatistico</w:t>
      </w:r>
      <w:r w:rsidR="00350381">
        <w:rPr>
          <w:sz w:val="22"/>
          <w:szCs w:val="22"/>
        </w:rPr>
        <w:t xml:space="preserve">, con necessità di </w:t>
      </w:r>
      <w:r w:rsidR="00350381">
        <w:t xml:space="preserve">rivolgersi al </w:t>
      </w:r>
      <w:r w:rsidR="00350381" w:rsidRPr="007F7EBF">
        <w:t xml:space="preserve">giudice </w:t>
      </w:r>
      <w:r w:rsidR="00350381">
        <w:t>ordinario per eventuali inadempienze del cliente, secondo i criteri generali</w:t>
      </w:r>
      <w:r w:rsidR="00350381">
        <w:rPr>
          <w:sz w:val="22"/>
          <w:szCs w:val="22"/>
        </w:rPr>
        <w:t xml:space="preserve"> (</w:t>
      </w:r>
      <w:r w:rsidR="00350381" w:rsidRPr="007F7EBF">
        <w:rPr>
          <w:rStyle w:val="Rimandonotaapidipagina"/>
          <w:sz w:val="22"/>
          <w:szCs w:val="22"/>
        </w:rPr>
        <w:footnoteReference w:id="480"/>
      </w:r>
      <w:r w:rsidR="00350381">
        <w:rPr>
          <w:sz w:val="22"/>
          <w:szCs w:val="22"/>
        </w:rPr>
        <w:t>)</w:t>
      </w:r>
      <w:r w:rsidR="00350381" w:rsidRPr="007F7EBF">
        <w:rPr>
          <w:sz w:val="22"/>
          <w:szCs w:val="22"/>
        </w:rPr>
        <w:t>.</w:t>
      </w:r>
      <w:r w:rsidR="00350381">
        <w:t xml:space="preserve"> </w:t>
      </w:r>
      <w:r w:rsidR="002C5362">
        <w:rPr>
          <w:sz w:val="22"/>
          <w:szCs w:val="22"/>
        </w:rPr>
        <w:t xml:space="preserve">Inoltre anche le ulteriori entrate tributarie,  rispetto alle imposte, rilevano nel calcolo della </w:t>
      </w:r>
      <w:r w:rsidR="002C5362">
        <w:rPr>
          <w:bCs/>
          <w:sz w:val="22"/>
          <w:szCs w:val="22"/>
        </w:rPr>
        <w:t xml:space="preserve"> “pressione fiscale” (</w:t>
      </w:r>
      <w:r w:rsidR="002C5362">
        <w:rPr>
          <w:rStyle w:val="Rimandonotaapidipagina"/>
          <w:bCs/>
          <w:sz w:val="22"/>
          <w:szCs w:val="22"/>
        </w:rPr>
        <w:footnoteReference w:id="481"/>
      </w:r>
      <w:r w:rsidR="002C5362">
        <w:rPr>
          <w:bCs/>
          <w:sz w:val="22"/>
          <w:szCs w:val="22"/>
        </w:rPr>
        <w:t xml:space="preserve">). </w:t>
      </w:r>
    </w:p>
    <w:p w14:paraId="6D0D3B35" w14:textId="5640B83D" w:rsidR="00E948AF" w:rsidRPr="007F7EBF" w:rsidRDefault="00E948AF" w:rsidP="00E948AF">
      <w:pPr>
        <w:pStyle w:val="tit23"/>
        <w:ind w:left="6464" w:right="-1361" w:firstLine="0"/>
        <w:jc w:val="left"/>
        <w:rPr>
          <w:bCs/>
          <w:i/>
          <w:iCs/>
          <w:color w:val="0000FF"/>
          <w:lang w:val="it-IT"/>
        </w:rPr>
      </w:pPr>
      <w:r w:rsidRPr="007F7EBF">
        <w:rPr>
          <w:bCs/>
          <w:i/>
          <w:iCs/>
          <w:color w:val="0000FF"/>
          <w:lang w:val="it-IT"/>
        </w:rPr>
        <w:t>Pubblici poteri</w:t>
      </w:r>
      <w:r w:rsidR="000443DE">
        <w:rPr>
          <w:bCs/>
          <w:i/>
          <w:iCs/>
          <w:color w:val="0000FF"/>
          <w:lang w:val="it-IT"/>
        </w:rPr>
        <w:t xml:space="preserve"> e </w:t>
      </w:r>
      <w:r w:rsidRPr="007F7EBF">
        <w:rPr>
          <w:bCs/>
          <w:i/>
          <w:iCs/>
          <w:color w:val="0000FF"/>
          <w:lang w:val="it-IT"/>
        </w:rPr>
        <w:t>tariffe</w:t>
      </w:r>
      <w:r w:rsidR="000443DE">
        <w:rPr>
          <w:bCs/>
          <w:i/>
          <w:iCs/>
          <w:color w:val="0000FF"/>
          <w:lang w:val="it-IT"/>
        </w:rPr>
        <w:t xml:space="preserve"> </w:t>
      </w:r>
    </w:p>
    <w:p w14:paraId="5EEE1BFC" w14:textId="5B6F0DC6" w:rsidR="00350381" w:rsidRDefault="00196AF7" w:rsidP="00350381">
      <w:pPr>
        <w:autoSpaceDE w:val="0"/>
        <w:autoSpaceDN w:val="0"/>
        <w:adjustRightInd w:val="0"/>
        <w:rPr>
          <w:sz w:val="22"/>
          <w:szCs w:val="22"/>
        </w:rPr>
      </w:pPr>
      <w:r>
        <w:rPr>
          <w:sz w:val="22"/>
          <w:szCs w:val="22"/>
        </w:rPr>
        <w:t>L</w:t>
      </w:r>
      <w:r w:rsidR="001D71EF">
        <w:rPr>
          <w:sz w:val="22"/>
          <w:szCs w:val="22"/>
        </w:rPr>
        <w:t>e tariffe,</w:t>
      </w:r>
      <w:r w:rsidR="00350381">
        <w:rPr>
          <w:sz w:val="22"/>
          <w:szCs w:val="22"/>
        </w:rPr>
        <w:t xml:space="preserve"> </w:t>
      </w:r>
      <w:proofErr w:type="spellStart"/>
      <w:r w:rsidR="00350381">
        <w:rPr>
          <w:sz w:val="22"/>
          <w:szCs w:val="22"/>
        </w:rPr>
        <w:t>benchè</w:t>
      </w:r>
      <w:proofErr w:type="spellEnd"/>
      <w:r w:rsidR="001D71EF">
        <w:rPr>
          <w:sz w:val="22"/>
          <w:szCs w:val="22"/>
        </w:rPr>
        <w:t xml:space="preserve"> </w:t>
      </w:r>
      <w:r w:rsidR="00350381">
        <w:rPr>
          <w:sz w:val="22"/>
          <w:szCs w:val="22"/>
        </w:rPr>
        <w:t xml:space="preserve">costituiscano </w:t>
      </w:r>
      <w:r>
        <w:rPr>
          <w:bCs/>
          <w:sz w:val="22"/>
          <w:szCs w:val="22"/>
        </w:rPr>
        <w:t>prezzi</w:t>
      </w:r>
      <w:r w:rsidR="00350381">
        <w:rPr>
          <w:bCs/>
          <w:sz w:val="22"/>
          <w:szCs w:val="22"/>
        </w:rPr>
        <w:t xml:space="preserve"> e non tributi sul piano tecnico giuridico (</w:t>
      </w:r>
      <w:r w:rsidR="00350381">
        <w:rPr>
          <w:rStyle w:val="Rimandonotaapidipagina"/>
          <w:bCs/>
          <w:sz w:val="22"/>
          <w:szCs w:val="22"/>
        </w:rPr>
        <w:footnoteReference w:id="482"/>
      </w:r>
      <w:r w:rsidR="00350381">
        <w:rPr>
          <w:bCs/>
          <w:sz w:val="22"/>
          <w:szCs w:val="22"/>
        </w:rPr>
        <w:t>), hanno un q</w:t>
      </w:r>
      <w:r w:rsidR="00350381" w:rsidRPr="007F7EBF">
        <w:rPr>
          <w:sz w:val="22"/>
          <w:szCs w:val="22"/>
        </w:rPr>
        <w:t xml:space="preserve">uadro pubblicistico di regolamentazione e </w:t>
      </w:r>
      <w:r w:rsidR="00350381" w:rsidRPr="007F7EBF">
        <w:rPr>
          <w:sz w:val="22"/>
          <w:szCs w:val="22"/>
        </w:rPr>
        <w:lastRenderedPageBreak/>
        <w:t>controllo,</w:t>
      </w:r>
      <w:r w:rsidR="00350381">
        <w:rPr>
          <w:sz w:val="22"/>
          <w:szCs w:val="22"/>
        </w:rPr>
        <w:t xml:space="preserve"> per </w:t>
      </w:r>
      <w:r w:rsidR="00350381" w:rsidRPr="007F7EBF">
        <w:rPr>
          <w:sz w:val="22"/>
          <w:szCs w:val="22"/>
        </w:rPr>
        <w:t xml:space="preserve">la rilevanza sociale dei </w:t>
      </w:r>
      <w:r w:rsidR="00350381">
        <w:rPr>
          <w:sz w:val="22"/>
          <w:szCs w:val="22"/>
        </w:rPr>
        <w:t xml:space="preserve">“pubblici </w:t>
      </w:r>
      <w:r w:rsidR="00350381" w:rsidRPr="007F7EBF">
        <w:rPr>
          <w:sz w:val="22"/>
          <w:szCs w:val="22"/>
        </w:rPr>
        <w:t>servizi</w:t>
      </w:r>
      <w:r w:rsidR="00350381">
        <w:rPr>
          <w:sz w:val="22"/>
          <w:szCs w:val="22"/>
        </w:rPr>
        <w:t xml:space="preserve">” </w:t>
      </w:r>
      <w:r w:rsidR="00350381" w:rsidRPr="007F7EBF">
        <w:rPr>
          <w:sz w:val="22"/>
          <w:szCs w:val="22"/>
        </w:rPr>
        <w:t>sottostanti,</w:t>
      </w:r>
      <w:r w:rsidR="00350381">
        <w:rPr>
          <w:sz w:val="22"/>
          <w:szCs w:val="22"/>
        </w:rPr>
        <w:t xml:space="preserve"> ad esempio</w:t>
      </w:r>
      <w:r w:rsidR="00350381" w:rsidRPr="007F7EBF">
        <w:rPr>
          <w:sz w:val="22"/>
          <w:szCs w:val="22"/>
        </w:rPr>
        <w:t xml:space="preserve"> idrici, energetici, </w:t>
      </w:r>
      <w:r w:rsidR="00350381">
        <w:rPr>
          <w:sz w:val="22"/>
          <w:szCs w:val="22"/>
        </w:rPr>
        <w:t>autostradali e aeroportuali</w:t>
      </w:r>
      <w:r w:rsidR="00350381" w:rsidRPr="007F7EBF">
        <w:rPr>
          <w:sz w:val="22"/>
          <w:szCs w:val="22"/>
        </w:rPr>
        <w:t>, ambientali e simili.</w:t>
      </w:r>
      <w:r w:rsidR="00350381">
        <w:rPr>
          <w:sz w:val="22"/>
          <w:szCs w:val="22"/>
        </w:rPr>
        <w:t xml:space="preserve"> Per la loro </w:t>
      </w:r>
      <w:r w:rsidR="00350381" w:rsidRPr="007F7EBF">
        <w:rPr>
          <w:sz w:val="22"/>
          <w:szCs w:val="22"/>
        </w:rPr>
        <w:t xml:space="preserve">quantificazione </w:t>
      </w:r>
      <w:r w:rsidR="00350381">
        <w:rPr>
          <w:sz w:val="22"/>
          <w:szCs w:val="22"/>
        </w:rPr>
        <w:t>esistono infatti</w:t>
      </w:r>
      <w:r w:rsidR="00350381" w:rsidRPr="007F7EBF">
        <w:rPr>
          <w:sz w:val="22"/>
          <w:szCs w:val="22"/>
        </w:rPr>
        <w:t xml:space="preserve"> autorità amministrative di vigilanza</w:t>
      </w:r>
      <w:r w:rsidR="00350381">
        <w:rPr>
          <w:sz w:val="22"/>
          <w:szCs w:val="22"/>
        </w:rPr>
        <w:t xml:space="preserve"> e talvolta di concessione del servizio, che </w:t>
      </w:r>
      <w:r w:rsidR="00350381" w:rsidRPr="007F7EBF">
        <w:rPr>
          <w:sz w:val="22"/>
          <w:szCs w:val="22"/>
        </w:rPr>
        <w:t>analizzano il modello aziendale, le strutture dei costi</w:t>
      </w:r>
      <w:r w:rsidR="00350381">
        <w:rPr>
          <w:sz w:val="22"/>
          <w:szCs w:val="22"/>
        </w:rPr>
        <w:t xml:space="preserve"> e degli investimenti </w:t>
      </w:r>
      <w:r w:rsidR="00350381" w:rsidRPr="007F7EBF">
        <w:rPr>
          <w:sz w:val="22"/>
          <w:szCs w:val="22"/>
        </w:rPr>
        <w:t xml:space="preserve">per </w:t>
      </w:r>
      <w:r w:rsidR="00350381">
        <w:rPr>
          <w:sz w:val="22"/>
          <w:szCs w:val="22"/>
        </w:rPr>
        <w:t xml:space="preserve">una tariffa “di equilibrio” che premi l’efficienza. </w:t>
      </w:r>
    </w:p>
    <w:p w14:paraId="586F1E01" w14:textId="1899A63E" w:rsidR="000443DE" w:rsidRPr="007F7EBF" w:rsidRDefault="00350381" w:rsidP="000443DE">
      <w:pPr>
        <w:autoSpaceDE w:val="0"/>
        <w:autoSpaceDN w:val="0"/>
        <w:adjustRightInd w:val="0"/>
        <w:rPr>
          <w:sz w:val="22"/>
          <w:szCs w:val="22"/>
        </w:rPr>
      </w:pPr>
      <w:r>
        <w:rPr>
          <w:bCs/>
          <w:sz w:val="22"/>
          <w:szCs w:val="22"/>
        </w:rPr>
        <w:t>P</w:t>
      </w:r>
      <w:r w:rsidR="000443DE" w:rsidRPr="007F7EBF">
        <w:rPr>
          <w:sz w:val="22"/>
          <w:szCs w:val="22"/>
        </w:rPr>
        <w:t>er lunghi anni queste attività furono gestite direttamente da enti  pubblici</w:t>
      </w:r>
      <w:r w:rsidR="000443DE">
        <w:rPr>
          <w:sz w:val="22"/>
          <w:szCs w:val="22"/>
        </w:rPr>
        <w:t xml:space="preserve"> (</w:t>
      </w:r>
      <w:r w:rsidR="000443DE" w:rsidRPr="007F7EBF">
        <w:rPr>
          <w:rStyle w:val="Rimandonotaapidipagina"/>
          <w:sz w:val="22"/>
          <w:szCs w:val="22"/>
        </w:rPr>
        <w:footnoteReference w:id="483"/>
      </w:r>
      <w:r w:rsidR="000443DE">
        <w:rPr>
          <w:sz w:val="22"/>
          <w:szCs w:val="22"/>
        </w:rPr>
        <w:t>)</w:t>
      </w:r>
      <w:r w:rsidR="000443DE" w:rsidRPr="007F7EBF">
        <w:rPr>
          <w:sz w:val="22"/>
          <w:szCs w:val="22"/>
        </w:rPr>
        <w:t xml:space="preserve">, </w:t>
      </w:r>
      <w:r w:rsidR="000443DE">
        <w:rPr>
          <w:sz w:val="22"/>
          <w:szCs w:val="22"/>
        </w:rPr>
        <w:t>passando</w:t>
      </w:r>
      <w:r w:rsidR="000443DE" w:rsidRPr="007F7EBF">
        <w:rPr>
          <w:sz w:val="22"/>
          <w:szCs w:val="22"/>
        </w:rPr>
        <w:t xml:space="preserve"> poi al</w:t>
      </w:r>
      <w:r w:rsidR="000443DE">
        <w:rPr>
          <w:sz w:val="22"/>
          <w:szCs w:val="22"/>
        </w:rPr>
        <w:t>l’</w:t>
      </w:r>
      <w:r w:rsidR="00035B84">
        <w:rPr>
          <w:sz w:val="22"/>
          <w:szCs w:val="22"/>
        </w:rPr>
        <w:t xml:space="preserve">attuale assetto “regolatorio” sia per il fascino del modello aziendalistico di cui al par.5.3, sia per </w:t>
      </w:r>
      <w:r w:rsidR="000443DE">
        <w:rPr>
          <w:sz w:val="22"/>
          <w:szCs w:val="22"/>
        </w:rPr>
        <w:t xml:space="preserve">i principi comunitari di cui </w:t>
      </w:r>
      <w:r w:rsidR="000443DE" w:rsidRPr="007F7EBF">
        <w:rPr>
          <w:sz w:val="22"/>
          <w:szCs w:val="22"/>
        </w:rPr>
        <w:t>al par.</w:t>
      </w:r>
      <w:r w:rsidR="000443DE">
        <w:rPr>
          <w:sz w:val="22"/>
          <w:szCs w:val="22"/>
        </w:rPr>
        <w:t xml:space="preserve">2.6; </w:t>
      </w:r>
      <w:r w:rsidR="00DF3CF2">
        <w:t xml:space="preserve"> </w:t>
      </w:r>
      <w:r>
        <w:t>ciò</w:t>
      </w:r>
      <w:r w:rsidRPr="007F7EBF">
        <w:t xml:space="preserve"> non trasforma </w:t>
      </w:r>
      <w:r>
        <w:t xml:space="preserve">di per </w:t>
      </w:r>
      <w:proofErr w:type="spellStart"/>
      <w:r>
        <w:t>sè</w:t>
      </w:r>
      <w:proofErr w:type="spellEnd"/>
      <w:r w:rsidRPr="007F7EBF">
        <w:t xml:space="preserve"> gli utenti in </w:t>
      </w:r>
      <w:proofErr w:type="spellStart"/>
      <w:r w:rsidRPr="007F7EBF">
        <w:t>clienti</w:t>
      </w:r>
      <w:r w:rsidR="002C5362">
        <w:t>m</w:t>
      </w:r>
      <w:proofErr w:type="spellEnd"/>
      <w:r w:rsidRPr="007F7EBF">
        <w:t xml:space="preserve"> capaci d</w:t>
      </w:r>
      <w:r>
        <w:t xml:space="preserve">el </w:t>
      </w:r>
      <w:r w:rsidRPr="007F7EBF">
        <w:t>maggior controllo di qualità e di efficienza indicato al par.5.3</w:t>
      </w:r>
      <w:r>
        <w:rPr>
          <w:bCs/>
          <w:sz w:val="22"/>
          <w:szCs w:val="22"/>
        </w:rPr>
        <w:t xml:space="preserve">. </w:t>
      </w:r>
      <w:r>
        <w:t>P</w:t>
      </w:r>
      <w:r w:rsidR="00EC643C">
        <w:t xml:space="preserve">assare al finanziamento con “tariffe”, anziché “tributi” riduce come per incanto, nelle rendicontazioni statistiche, </w:t>
      </w:r>
      <w:r w:rsidR="00EC643C" w:rsidRPr="007F7EBF">
        <w:t>la pressione fiscale</w:t>
      </w:r>
      <w:r w:rsidR="00EC643C">
        <w:t xml:space="preserve"> e l’</w:t>
      </w:r>
      <w:r w:rsidR="00EC643C" w:rsidRPr="007F7EBF">
        <w:t>"intermediazione</w:t>
      </w:r>
      <w:r w:rsidR="00EC643C">
        <w:t xml:space="preserve"> </w:t>
      </w:r>
      <w:r w:rsidR="00EC643C" w:rsidRPr="007F7EBF">
        <w:t>pubblica</w:t>
      </w:r>
      <w:r w:rsidR="00EC643C">
        <w:t>”</w:t>
      </w:r>
      <w:r w:rsidR="009F68A8">
        <w:t xml:space="preserve"> </w:t>
      </w:r>
      <w:r w:rsidR="00EC643C" w:rsidRPr="007F7EBF">
        <w:t>indicat</w:t>
      </w:r>
      <w:r w:rsidR="009F68A8">
        <w:t>e</w:t>
      </w:r>
      <w:r w:rsidR="00EC643C" w:rsidRPr="007F7EBF">
        <w:t xml:space="preserve"> al par.</w:t>
      </w:r>
      <w:r w:rsidR="00361BCC">
        <w:t>4.2</w:t>
      </w:r>
      <w:r w:rsidR="002C5362">
        <w:t xml:space="preserve"> </w:t>
      </w:r>
      <w:r>
        <w:rPr>
          <w:sz w:val="22"/>
          <w:szCs w:val="22"/>
        </w:rPr>
        <w:t>(</w:t>
      </w:r>
      <w:r w:rsidRPr="007F7EBF">
        <w:rPr>
          <w:rStyle w:val="Rimandonotaapidipagina"/>
          <w:sz w:val="22"/>
          <w:szCs w:val="22"/>
        </w:rPr>
        <w:footnoteReference w:id="484"/>
      </w:r>
      <w:r>
        <w:rPr>
          <w:sz w:val="22"/>
          <w:szCs w:val="22"/>
        </w:rPr>
        <w:t>)</w:t>
      </w:r>
      <w:r w:rsidR="002C5362">
        <w:rPr>
          <w:sz w:val="22"/>
          <w:szCs w:val="22"/>
        </w:rPr>
        <w:t xml:space="preserve">. </w:t>
      </w:r>
    </w:p>
    <w:p w14:paraId="39DEEE38" w14:textId="460AB25C" w:rsidR="000443DE" w:rsidRPr="007F7EBF" w:rsidRDefault="000443DE" w:rsidP="000443DE">
      <w:pPr>
        <w:pStyle w:val="tit23"/>
        <w:ind w:left="6464" w:right="-1361" w:firstLine="0"/>
        <w:jc w:val="left"/>
        <w:rPr>
          <w:bCs/>
          <w:i/>
          <w:iCs/>
          <w:color w:val="0000FF"/>
          <w:lang w:val="it-IT"/>
        </w:rPr>
      </w:pPr>
      <w:r>
        <w:rPr>
          <w:bCs/>
          <w:i/>
          <w:iCs/>
          <w:color w:val="0000FF"/>
          <w:lang w:val="it-IT"/>
        </w:rPr>
        <w:t xml:space="preserve">Segue: </w:t>
      </w:r>
      <w:r w:rsidRPr="007F7EBF">
        <w:rPr>
          <w:bCs/>
          <w:i/>
          <w:iCs/>
          <w:color w:val="0000FF"/>
          <w:lang w:val="it-IT"/>
        </w:rPr>
        <w:t>Monopoli come limitazione dell’attività economica</w:t>
      </w:r>
    </w:p>
    <w:p w14:paraId="3865BCBA" w14:textId="4D8F27CF" w:rsidR="000443DE" w:rsidRPr="007F7EBF" w:rsidRDefault="006B6317" w:rsidP="000443DE">
      <w:pPr>
        <w:autoSpaceDE w:val="0"/>
        <w:autoSpaceDN w:val="0"/>
        <w:adjustRightInd w:val="0"/>
        <w:rPr>
          <w:bCs/>
          <w:i/>
          <w:iCs/>
          <w:color w:val="0000FF"/>
        </w:rPr>
      </w:pPr>
      <w:r>
        <w:rPr>
          <w:sz w:val="22"/>
          <w:szCs w:val="22"/>
        </w:rPr>
        <w:t xml:space="preserve">La componente amministrativa è molto forte anche nei </w:t>
      </w:r>
      <w:r w:rsidR="002C325F">
        <w:rPr>
          <w:sz w:val="22"/>
          <w:szCs w:val="22"/>
        </w:rPr>
        <w:t>“generi di monopolio”, di cui il pubblico potere si riservava un tempo produzione e commercio</w:t>
      </w:r>
      <w:r w:rsidR="000443DE" w:rsidRPr="007F7EBF">
        <w:rPr>
          <w:sz w:val="22"/>
          <w:szCs w:val="22"/>
        </w:rPr>
        <w:t>, come indicato al par.1.1</w:t>
      </w:r>
      <w:r w:rsidR="006C229E">
        <w:rPr>
          <w:sz w:val="22"/>
          <w:szCs w:val="22"/>
        </w:rPr>
        <w:t xml:space="preserve">; la ragione era la strategicità o la particolare </w:t>
      </w:r>
      <w:proofErr w:type="spellStart"/>
      <w:r w:rsidR="006C229E">
        <w:rPr>
          <w:sz w:val="22"/>
          <w:szCs w:val="22"/>
        </w:rPr>
        <w:t>lucratività</w:t>
      </w:r>
      <w:proofErr w:type="spellEnd"/>
      <w:r w:rsidR="006C229E">
        <w:rPr>
          <w:sz w:val="22"/>
          <w:szCs w:val="22"/>
        </w:rPr>
        <w:t xml:space="preserve"> di</w:t>
      </w:r>
      <w:r w:rsidR="000443DE" w:rsidRPr="007F7EBF">
        <w:rPr>
          <w:sz w:val="22"/>
          <w:szCs w:val="22"/>
        </w:rPr>
        <w:t xml:space="preserve"> alcun</w:t>
      </w:r>
      <w:r w:rsidR="006C229E">
        <w:rPr>
          <w:sz w:val="22"/>
          <w:szCs w:val="22"/>
        </w:rPr>
        <w:t>i settori</w:t>
      </w:r>
      <w:r w:rsidR="000443DE">
        <w:rPr>
          <w:sz w:val="22"/>
          <w:szCs w:val="22"/>
        </w:rPr>
        <w:t xml:space="preserve">, come </w:t>
      </w:r>
      <w:r w:rsidR="000443DE" w:rsidRPr="007F7EBF">
        <w:rPr>
          <w:sz w:val="22"/>
          <w:szCs w:val="22"/>
        </w:rPr>
        <w:t xml:space="preserve">storicamente </w:t>
      </w:r>
      <w:r w:rsidR="000443DE">
        <w:rPr>
          <w:sz w:val="22"/>
          <w:szCs w:val="22"/>
        </w:rPr>
        <w:t xml:space="preserve">la produzione </w:t>
      </w:r>
      <w:r w:rsidR="000443DE" w:rsidRPr="007F7EBF">
        <w:rPr>
          <w:sz w:val="22"/>
          <w:szCs w:val="22"/>
        </w:rPr>
        <w:t>del sale (</w:t>
      </w:r>
      <w:r w:rsidR="000443DE" w:rsidRPr="007F7EBF">
        <w:rPr>
          <w:rStyle w:val="Rimandonotaapidipagina"/>
          <w:sz w:val="22"/>
          <w:szCs w:val="22"/>
        </w:rPr>
        <w:footnoteReference w:id="485"/>
      </w:r>
      <w:r w:rsidR="000443DE" w:rsidRPr="007F7EBF">
        <w:rPr>
          <w:sz w:val="22"/>
          <w:szCs w:val="22"/>
        </w:rPr>
        <w:t>)</w:t>
      </w:r>
      <w:r w:rsidR="000443DE">
        <w:rPr>
          <w:sz w:val="22"/>
          <w:szCs w:val="22"/>
        </w:rPr>
        <w:t xml:space="preserve">, del tabacco, la gestione del gioco d’azzardo </w:t>
      </w:r>
      <w:r w:rsidR="000443DE" w:rsidRPr="007F7EBF">
        <w:rPr>
          <w:sz w:val="22"/>
          <w:szCs w:val="22"/>
        </w:rPr>
        <w:t xml:space="preserve">e il curioso </w:t>
      </w:r>
      <w:r w:rsidR="000443DE" w:rsidRPr="007F7EBF">
        <w:rPr>
          <w:sz w:val="22"/>
          <w:szCs w:val="22"/>
        </w:rPr>
        <w:lastRenderedPageBreak/>
        <w:t>monopolio delle banane</w:t>
      </w:r>
      <w:r w:rsidR="000443DE">
        <w:rPr>
          <w:sz w:val="22"/>
          <w:szCs w:val="22"/>
        </w:rPr>
        <w:t xml:space="preserve"> (</w:t>
      </w:r>
      <w:r w:rsidR="000443DE" w:rsidRPr="007F7EBF">
        <w:rPr>
          <w:rStyle w:val="Rimandonotaapidipagina"/>
          <w:sz w:val="22"/>
          <w:szCs w:val="22"/>
        </w:rPr>
        <w:footnoteReference w:id="486"/>
      </w:r>
      <w:r w:rsidR="000443DE">
        <w:rPr>
          <w:sz w:val="22"/>
          <w:szCs w:val="22"/>
        </w:rPr>
        <w:t>)</w:t>
      </w:r>
      <w:r w:rsidR="000443DE" w:rsidRPr="007F7EBF">
        <w:rPr>
          <w:sz w:val="22"/>
          <w:szCs w:val="22"/>
        </w:rPr>
        <w:t xml:space="preserve">. </w:t>
      </w:r>
      <w:r w:rsidR="00A952D8">
        <w:rPr>
          <w:sz w:val="22"/>
          <w:szCs w:val="22"/>
        </w:rPr>
        <w:t xml:space="preserve">Oggi </w:t>
      </w:r>
      <w:r w:rsidR="000443DE">
        <w:rPr>
          <w:sz w:val="22"/>
          <w:szCs w:val="22"/>
        </w:rPr>
        <w:t>restano</w:t>
      </w:r>
      <w:r w:rsidR="00A952D8">
        <w:rPr>
          <w:sz w:val="22"/>
          <w:szCs w:val="22"/>
        </w:rPr>
        <w:t xml:space="preserve"> essenzialmente </w:t>
      </w:r>
      <w:r w:rsidR="000443DE">
        <w:rPr>
          <w:sz w:val="22"/>
          <w:szCs w:val="22"/>
        </w:rPr>
        <w:t xml:space="preserve">tabacchi e gioco d’azzardo, </w:t>
      </w:r>
      <w:r w:rsidR="00A952D8">
        <w:rPr>
          <w:sz w:val="22"/>
          <w:szCs w:val="22"/>
        </w:rPr>
        <w:t>con</w:t>
      </w:r>
      <w:r w:rsidR="000443DE">
        <w:rPr>
          <w:sz w:val="22"/>
          <w:szCs w:val="22"/>
        </w:rPr>
        <w:t xml:space="preserve"> </w:t>
      </w:r>
      <w:r w:rsidR="000443DE" w:rsidRPr="007F7EBF">
        <w:rPr>
          <w:sz w:val="22"/>
          <w:szCs w:val="22"/>
        </w:rPr>
        <w:t>ampie concessioni a</w:t>
      </w:r>
      <w:r>
        <w:rPr>
          <w:sz w:val="22"/>
          <w:szCs w:val="22"/>
        </w:rPr>
        <w:t xml:space="preserve"> gestor</w:t>
      </w:r>
      <w:r w:rsidR="000443DE" w:rsidRPr="007F7EBF">
        <w:rPr>
          <w:sz w:val="22"/>
          <w:szCs w:val="22"/>
        </w:rPr>
        <w:t>i privati</w:t>
      </w:r>
      <w:r w:rsidR="00A952D8">
        <w:rPr>
          <w:sz w:val="22"/>
          <w:szCs w:val="22"/>
        </w:rPr>
        <w:t xml:space="preserve"> (</w:t>
      </w:r>
      <w:r w:rsidR="000443DE" w:rsidRPr="007F7EBF">
        <w:rPr>
          <w:rStyle w:val="Rimandonotaapidipagina"/>
          <w:sz w:val="22"/>
          <w:szCs w:val="22"/>
        </w:rPr>
        <w:footnoteReference w:id="487"/>
      </w:r>
      <w:r w:rsidR="00A952D8">
        <w:rPr>
          <w:sz w:val="22"/>
          <w:szCs w:val="22"/>
        </w:rPr>
        <w:t>)</w:t>
      </w:r>
      <w:r>
        <w:rPr>
          <w:sz w:val="22"/>
          <w:szCs w:val="22"/>
        </w:rPr>
        <w:t xml:space="preserve">, rispetto ai quali gli utenti (fumatori-giocatori) si trovano in ordinari rapporti </w:t>
      </w:r>
      <w:r>
        <w:t>“privatistico-giurisdizionali”</w:t>
      </w:r>
      <w:r w:rsidR="00A952D8">
        <w:rPr>
          <w:sz w:val="22"/>
          <w:szCs w:val="22"/>
        </w:rPr>
        <w:t xml:space="preserve">; </w:t>
      </w:r>
      <w:r>
        <w:rPr>
          <w:sz w:val="22"/>
          <w:szCs w:val="22"/>
        </w:rPr>
        <w:t xml:space="preserve">i rapporti tra gestori e concedenti </w:t>
      </w:r>
      <w:r w:rsidR="00A952D8">
        <w:rPr>
          <w:sz w:val="22"/>
          <w:szCs w:val="22"/>
        </w:rPr>
        <w:t>sono investiti di concession</w:t>
      </w:r>
      <w:r>
        <w:rPr>
          <w:sz w:val="22"/>
          <w:szCs w:val="22"/>
        </w:rPr>
        <w:t>e</w:t>
      </w:r>
      <w:r w:rsidR="00A952D8">
        <w:rPr>
          <w:sz w:val="22"/>
          <w:szCs w:val="22"/>
        </w:rPr>
        <w:t xml:space="preserve"> </w:t>
      </w:r>
      <w:r w:rsidR="000443DE" w:rsidRPr="007F7EBF">
        <w:rPr>
          <w:sz w:val="22"/>
          <w:szCs w:val="22"/>
        </w:rPr>
        <w:t>amministrativ</w:t>
      </w:r>
      <w:r>
        <w:rPr>
          <w:sz w:val="22"/>
          <w:szCs w:val="22"/>
        </w:rPr>
        <w:t>a</w:t>
      </w:r>
      <w:r w:rsidR="00A952D8">
        <w:rPr>
          <w:sz w:val="22"/>
          <w:szCs w:val="22"/>
        </w:rPr>
        <w:t xml:space="preserve"> (</w:t>
      </w:r>
      <w:r w:rsidR="00A952D8">
        <w:rPr>
          <w:rStyle w:val="Rimandonotaapidipagina"/>
          <w:sz w:val="22"/>
          <w:szCs w:val="22"/>
        </w:rPr>
        <w:footnoteReference w:id="488"/>
      </w:r>
      <w:r w:rsidR="00A952D8">
        <w:rPr>
          <w:sz w:val="22"/>
          <w:szCs w:val="22"/>
        </w:rPr>
        <w:t>)</w:t>
      </w:r>
      <w:r>
        <w:t xml:space="preserve">, </w:t>
      </w:r>
      <w:r w:rsidR="00A952D8">
        <w:t>di diritto pubblico</w:t>
      </w:r>
      <w:r>
        <w:t xml:space="preserve"> e competenza della magistratura amministrativa. </w:t>
      </w:r>
    </w:p>
    <w:p w14:paraId="754187F5" w14:textId="0C135639" w:rsidR="002B7A09" w:rsidRPr="007F7EBF" w:rsidRDefault="00FF467D" w:rsidP="002B7A09">
      <w:pPr>
        <w:pStyle w:val="tit23"/>
        <w:ind w:left="6464" w:right="-1361" w:firstLine="0"/>
        <w:jc w:val="left"/>
        <w:rPr>
          <w:bCs/>
          <w:i/>
          <w:iCs/>
          <w:color w:val="0000FF"/>
          <w:lang w:val="it-IT"/>
        </w:rPr>
      </w:pPr>
      <w:r>
        <w:rPr>
          <w:bCs/>
          <w:i/>
          <w:iCs/>
          <w:color w:val="0000FF"/>
          <w:lang w:val="it-IT"/>
        </w:rPr>
        <w:t>Riferimento di tasse e contributi a funzioni pubbliche</w:t>
      </w:r>
    </w:p>
    <w:p w14:paraId="3D1E307A" w14:textId="01907778" w:rsidR="002B7A09" w:rsidRPr="007F7EBF" w:rsidRDefault="008B1664" w:rsidP="00180CD8">
      <w:pPr>
        <w:autoSpaceDE w:val="0"/>
        <w:autoSpaceDN w:val="0"/>
        <w:adjustRightInd w:val="0"/>
        <w:rPr>
          <w:bCs/>
          <w:i/>
          <w:iCs/>
          <w:color w:val="0000FF"/>
        </w:rPr>
      </w:pPr>
      <w:r>
        <w:rPr>
          <w:bCs/>
          <w:sz w:val="22"/>
          <w:szCs w:val="22"/>
        </w:rPr>
        <w:t>L</w:t>
      </w:r>
      <w:r w:rsidR="006342C5" w:rsidRPr="007F7EBF">
        <w:rPr>
          <w:bCs/>
          <w:sz w:val="22"/>
          <w:szCs w:val="22"/>
        </w:rPr>
        <w:t>e c.d. tasse in senso stretto</w:t>
      </w:r>
      <w:r w:rsidR="006B6317">
        <w:rPr>
          <w:bCs/>
          <w:sz w:val="22"/>
          <w:szCs w:val="22"/>
        </w:rPr>
        <w:t xml:space="preserve"> </w:t>
      </w:r>
      <w:r>
        <w:rPr>
          <w:bCs/>
          <w:sz w:val="22"/>
          <w:szCs w:val="22"/>
        </w:rPr>
        <w:t xml:space="preserve">sono invece un tributo, per il quale </w:t>
      </w:r>
      <w:r w:rsidR="006B6317">
        <w:rPr>
          <w:bCs/>
          <w:sz w:val="22"/>
          <w:szCs w:val="22"/>
        </w:rPr>
        <w:t xml:space="preserve">esiste un </w:t>
      </w:r>
      <w:r>
        <w:rPr>
          <w:bCs/>
          <w:sz w:val="22"/>
          <w:szCs w:val="22"/>
        </w:rPr>
        <w:t xml:space="preserve">contatto diretto tra il </w:t>
      </w:r>
      <w:r w:rsidR="006B6317">
        <w:rPr>
          <w:bCs/>
          <w:sz w:val="22"/>
          <w:szCs w:val="22"/>
        </w:rPr>
        <w:t xml:space="preserve">contribuente </w:t>
      </w:r>
      <w:r>
        <w:rPr>
          <w:bCs/>
          <w:sz w:val="22"/>
          <w:szCs w:val="22"/>
        </w:rPr>
        <w:t>e un</w:t>
      </w:r>
      <w:r w:rsidR="006B6317">
        <w:rPr>
          <w:bCs/>
          <w:sz w:val="22"/>
          <w:szCs w:val="22"/>
        </w:rPr>
        <w:t xml:space="preserve">a pubblica amministrazione, </w:t>
      </w:r>
      <w:r>
        <w:rPr>
          <w:sz w:val="22"/>
          <w:szCs w:val="22"/>
        </w:rPr>
        <w:t>preposta a una funzione diversa da quella tributaria (educativa, ambientale, sanitaria, di giustizia</w:t>
      </w:r>
      <w:r w:rsidR="00951A92" w:rsidRPr="007F7EBF">
        <w:rPr>
          <w:sz w:val="22"/>
          <w:szCs w:val="22"/>
        </w:rPr>
        <w:t xml:space="preserve"> </w:t>
      </w:r>
      <w:r w:rsidR="006342C5" w:rsidRPr="007F7EBF">
        <w:rPr>
          <w:sz w:val="22"/>
          <w:szCs w:val="22"/>
        </w:rPr>
        <w:t xml:space="preserve"> </w:t>
      </w:r>
      <w:r>
        <w:rPr>
          <w:sz w:val="22"/>
          <w:szCs w:val="22"/>
        </w:rPr>
        <w:t xml:space="preserve">etc.). La tassa in senso stretto non è infatti giustificata, come le imposte, dalle </w:t>
      </w:r>
      <w:r w:rsidR="00A952D8">
        <w:rPr>
          <w:sz w:val="22"/>
          <w:szCs w:val="22"/>
        </w:rPr>
        <w:t xml:space="preserve">astrazioni economiche di cui al par.1.8, ma </w:t>
      </w:r>
      <w:r>
        <w:rPr>
          <w:sz w:val="22"/>
          <w:szCs w:val="22"/>
        </w:rPr>
        <w:t>d</w:t>
      </w:r>
      <w:r w:rsidR="00A952D8">
        <w:rPr>
          <w:sz w:val="22"/>
          <w:szCs w:val="22"/>
        </w:rPr>
        <w:t xml:space="preserve">a </w:t>
      </w:r>
      <w:r w:rsidR="00784F2B">
        <w:rPr>
          <w:bCs/>
          <w:sz w:val="22"/>
          <w:szCs w:val="22"/>
        </w:rPr>
        <w:t>“</w:t>
      </w:r>
      <w:r w:rsidR="006342C5" w:rsidRPr="007F7EBF">
        <w:rPr>
          <w:bCs/>
          <w:sz w:val="22"/>
          <w:szCs w:val="22"/>
        </w:rPr>
        <w:t>funzion</w:t>
      </w:r>
      <w:r w:rsidR="00A952D8">
        <w:rPr>
          <w:bCs/>
          <w:sz w:val="22"/>
          <w:szCs w:val="22"/>
        </w:rPr>
        <w:t>i</w:t>
      </w:r>
      <w:r w:rsidR="00E45385" w:rsidRPr="007F7EBF">
        <w:rPr>
          <w:bCs/>
          <w:sz w:val="22"/>
          <w:szCs w:val="22"/>
        </w:rPr>
        <w:t xml:space="preserve"> </w:t>
      </w:r>
      <w:r w:rsidR="0055259E" w:rsidRPr="007F7EBF">
        <w:rPr>
          <w:bCs/>
          <w:sz w:val="22"/>
          <w:szCs w:val="22"/>
        </w:rPr>
        <w:t>pubblic</w:t>
      </w:r>
      <w:r w:rsidR="00A952D8">
        <w:rPr>
          <w:bCs/>
          <w:sz w:val="22"/>
          <w:szCs w:val="22"/>
        </w:rPr>
        <w:t>he</w:t>
      </w:r>
      <w:r w:rsidR="006342C5" w:rsidRPr="007F7EBF">
        <w:rPr>
          <w:bCs/>
          <w:sz w:val="22"/>
          <w:szCs w:val="22"/>
        </w:rPr>
        <w:t>”</w:t>
      </w:r>
      <w:r w:rsidR="00A952D8">
        <w:rPr>
          <w:bCs/>
          <w:sz w:val="22"/>
          <w:szCs w:val="22"/>
        </w:rPr>
        <w:t xml:space="preserve"> verso un determinato destinatario</w:t>
      </w:r>
      <w:r>
        <w:rPr>
          <w:bCs/>
          <w:sz w:val="22"/>
          <w:szCs w:val="22"/>
        </w:rPr>
        <w:t>, secondo il principio del beneficio di cui al par.1.2</w:t>
      </w:r>
      <w:r w:rsidR="00A952D8">
        <w:rPr>
          <w:bCs/>
          <w:sz w:val="22"/>
          <w:szCs w:val="22"/>
        </w:rPr>
        <w:t xml:space="preserve">. </w:t>
      </w:r>
      <w:r>
        <w:rPr>
          <w:sz w:val="22"/>
          <w:szCs w:val="22"/>
        </w:rPr>
        <w:t>Alle tasse d</w:t>
      </w:r>
      <w:r w:rsidRPr="007F7EBF">
        <w:rPr>
          <w:sz w:val="22"/>
          <w:szCs w:val="22"/>
        </w:rPr>
        <w:t xml:space="preserve">el resto </w:t>
      </w:r>
      <w:r>
        <w:rPr>
          <w:sz w:val="22"/>
          <w:szCs w:val="22"/>
        </w:rPr>
        <w:t xml:space="preserve">corrispondono </w:t>
      </w:r>
      <w:r w:rsidRPr="007F7EBF">
        <w:rPr>
          <w:sz w:val="22"/>
          <w:szCs w:val="22"/>
        </w:rPr>
        <w:t>funzioni di stretta competenza pubblica, come l’anagrafe</w:t>
      </w:r>
      <w:r>
        <w:rPr>
          <w:sz w:val="22"/>
          <w:szCs w:val="22"/>
        </w:rPr>
        <w:t>,</w:t>
      </w:r>
      <w:r w:rsidRPr="007F7EBF">
        <w:rPr>
          <w:sz w:val="22"/>
          <w:szCs w:val="22"/>
        </w:rPr>
        <w:t xml:space="preserve"> lo stato civile, la giustizia, l’urbanistica, la sanità, l’istruzione</w:t>
      </w:r>
      <w:r>
        <w:rPr>
          <w:sz w:val="22"/>
          <w:szCs w:val="22"/>
        </w:rPr>
        <w:t xml:space="preserve">; si pensi a </w:t>
      </w:r>
      <w:r w:rsidRPr="007F7EBF">
        <w:rPr>
          <w:sz w:val="22"/>
          <w:szCs w:val="22"/>
        </w:rPr>
        <w:t>ticket sanitari, tasse scolastiche,</w:t>
      </w:r>
      <w:r>
        <w:rPr>
          <w:sz w:val="22"/>
          <w:szCs w:val="22"/>
        </w:rPr>
        <w:t xml:space="preserve"> </w:t>
      </w:r>
      <w:r w:rsidRPr="007F7EBF">
        <w:rPr>
          <w:sz w:val="22"/>
          <w:szCs w:val="22"/>
        </w:rPr>
        <w:t>contributi di urbanizzazione, varie forme di diritti “anagrafici” o “di giustizia”</w:t>
      </w:r>
      <w:r>
        <w:rPr>
          <w:sz w:val="22"/>
          <w:szCs w:val="22"/>
        </w:rPr>
        <w:t>(</w:t>
      </w:r>
      <w:r w:rsidRPr="007F7EBF">
        <w:rPr>
          <w:rStyle w:val="Rimandonotaapidipagina"/>
          <w:sz w:val="22"/>
          <w:szCs w:val="22"/>
        </w:rPr>
        <w:footnoteReference w:id="489"/>
      </w:r>
      <w:r>
        <w:rPr>
          <w:sz w:val="22"/>
          <w:szCs w:val="22"/>
        </w:rPr>
        <w:t>)</w:t>
      </w:r>
      <w:r w:rsidRPr="007F7EBF">
        <w:rPr>
          <w:sz w:val="22"/>
          <w:szCs w:val="22"/>
        </w:rPr>
        <w:t>, per il rilascio di licenze, documenti o certificati.</w:t>
      </w:r>
      <w:r w:rsidRPr="00A554B3">
        <w:rPr>
          <w:sz w:val="22"/>
          <w:szCs w:val="22"/>
        </w:rPr>
        <w:t xml:space="preserve"> </w:t>
      </w:r>
      <w:r w:rsidR="00A952D8">
        <w:rPr>
          <w:bCs/>
          <w:sz w:val="22"/>
          <w:szCs w:val="22"/>
        </w:rPr>
        <w:t>A</w:t>
      </w:r>
      <w:r>
        <w:rPr>
          <w:bCs/>
          <w:sz w:val="22"/>
          <w:szCs w:val="22"/>
        </w:rPr>
        <w:t xml:space="preserve">l contribuente </w:t>
      </w:r>
      <w:r w:rsidR="00A952D8">
        <w:rPr>
          <w:bCs/>
          <w:sz w:val="22"/>
          <w:szCs w:val="22"/>
        </w:rPr>
        <w:t>viene r</w:t>
      </w:r>
      <w:r w:rsidR="006342C5" w:rsidRPr="007F7EBF">
        <w:rPr>
          <w:sz w:val="22"/>
          <w:szCs w:val="22"/>
        </w:rPr>
        <w:t>ichiesta una somma (tassa)</w:t>
      </w:r>
      <w:r w:rsidR="00337A06" w:rsidRPr="007F7EBF">
        <w:rPr>
          <w:sz w:val="22"/>
          <w:szCs w:val="22"/>
        </w:rPr>
        <w:t xml:space="preserve"> </w:t>
      </w:r>
      <w:r w:rsidR="00492C38" w:rsidRPr="007F7EBF">
        <w:rPr>
          <w:sz w:val="22"/>
          <w:szCs w:val="22"/>
        </w:rPr>
        <w:t xml:space="preserve">per contribuire alla </w:t>
      </w:r>
      <w:r w:rsidR="00A952D8">
        <w:rPr>
          <w:sz w:val="22"/>
          <w:szCs w:val="22"/>
        </w:rPr>
        <w:t>funzione, n</w:t>
      </w:r>
      <w:r w:rsidR="00A952D8" w:rsidRPr="007F7EBF">
        <w:t xml:space="preserve">on necessariamente </w:t>
      </w:r>
      <w:r w:rsidR="0076251E">
        <w:t>a lui</w:t>
      </w:r>
      <w:r w:rsidR="00A952D8" w:rsidRPr="007F7EBF">
        <w:t xml:space="preserve"> favorevole</w:t>
      </w:r>
      <w:r w:rsidR="0076251E">
        <w:t xml:space="preserve">, come per </w:t>
      </w:r>
      <w:r w:rsidR="00A952D8" w:rsidRPr="007F7EBF">
        <w:t xml:space="preserve">le tasse a carico del condannato in un processo penale, o alle spese di mantenimento in </w:t>
      </w:r>
      <w:r w:rsidR="00A952D8" w:rsidRPr="007F7EBF">
        <w:lastRenderedPageBreak/>
        <w:t>carcere</w:t>
      </w:r>
      <w:r w:rsidR="00A952D8" w:rsidRPr="007F7EBF">
        <w:rPr>
          <w:sz w:val="22"/>
          <w:szCs w:val="22"/>
        </w:rPr>
        <w:t xml:space="preserve"> </w:t>
      </w:r>
      <w:r w:rsidR="00794AD8">
        <w:rPr>
          <w:sz w:val="22"/>
          <w:szCs w:val="22"/>
        </w:rPr>
        <w:t>(</w:t>
      </w:r>
      <w:r w:rsidR="00794AD8" w:rsidRPr="007F7EBF">
        <w:rPr>
          <w:rStyle w:val="Rimandonotaapidipagina"/>
          <w:sz w:val="22"/>
          <w:szCs w:val="22"/>
        </w:rPr>
        <w:footnoteReference w:id="490"/>
      </w:r>
      <w:r w:rsidR="00794AD8">
        <w:rPr>
          <w:sz w:val="22"/>
          <w:szCs w:val="22"/>
        </w:rPr>
        <w:t>)</w:t>
      </w:r>
      <w:r w:rsidR="0076251E">
        <w:rPr>
          <w:sz w:val="22"/>
          <w:szCs w:val="22"/>
        </w:rPr>
        <w:t xml:space="preserve">. Ciò conferma </w:t>
      </w:r>
      <w:r w:rsidR="0076251E" w:rsidRPr="007F7EBF">
        <w:t xml:space="preserve">l'impossibilità di riportare la tassa al concetto di corrispettivo, e </w:t>
      </w:r>
      <w:r w:rsidR="0076251E">
        <w:t xml:space="preserve">il suo inserimento </w:t>
      </w:r>
      <w:r>
        <w:t>amministrativistico nel concett</w:t>
      </w:r>
      <w:r w:rsidR="0076251E" w:rsidRPr="007F7EBF">
        <w:t>o di tributo</w:t>
      </w:r>
      <w:r w:rsidR="00410194" w:rsidRPr="007F7EBF">
        <w:rPr>
          <w:sz w:val="22"/>
          <w:szCs w:val="22"/>
        </w:rPr>
        <w:t xml:space="preserve">. </w:t>
      </w:r>
    </w:p>
    <w:p w14:paraId="0061FD90" w14:textId="2DB9CEC0" w:rsidR="006342C5" w:rsidRPr="007F7EBF" w:rsidRDefault="00180CD8" w:rsidP="00E5746A">
      <w:pPr>
        <w:autoSpaceDE w:val="0"/>
        <w:autoSpaceDN w:val="0"/>
        <w:adjustRightInd w:val="0"/>
        <w:rPr>
          <w:sz w:val="22"/>
          <w:szCs w:val="22"/>
        </w:rPr>
      </w:pPr>
      <w:r>
        <w:rPr>
          <w:sz w:val="22"/>
          <w:szCs w:val="22"/>
        </w:rPr>
        <w:t xml:space="preserve">Il </w:t>
      </w:r>
      <w:r w:rsidR="005817A2" w:rsidRPr="007F7EBF">
        <w:rPr>
          <w:sz w:val="22"/>
          <w:szCs w:val="22"/>
        </w:rPr>
        <w:t xml:space="preserve">«contributo» </w:t>
      </w:r>
      <w:r>
        <w:rPr>
          <w:sz w:val="22"/>
          <w:szCs w:val="22"/>
        </w:rPr>
        <w:t>è ispirato anch’esso al principio del beneficio, ma si giustifica più per l’appartenenza del c</w:t>
      </w:r>
      <w:r w:rsidR="003F0E25" w:rsidRPr="007F7EBF">
        <w:rPr>
          <w:sz w:val="22"/>
          <w:szCs w:val="22"/>
        </w:rPr>
        <w:t>ontribuente</w:t>
      </w:r>
      <w:r w:rsidR="00794AD8">
        <w:rPr>
          <w:sz w:val="22"/>
          <w:szCs w:val="22"/>
        </w:rPr>
        <w:t xml:space="preserve"> (</w:t>
      </w:r>
      <w:r w:rsidR="00CE4E01" w:rsidRPr="007F7EBF">
        <w:rPr>
          <w:rStyle w:val="Rimandonotaapidipagina"/>
          <w:sz w:val="22"/>
          <w:szCs w:val="22"/>
        </w:rPr>
        <w:footnoteReference w:id="491"/>
      </w:r>
      <w:r w:rsidR="00794AD8">
        <w:rPr>
          <w:sz w:val="22"/>
          <w:szCs w:val="22"/>
        </w:rPr>
        <w:t>)</w:t>
      </w:r>
      <w:r w:rsidR="003F0E25" w:rsidRPr="007F7EBF">
        <w:rPr>
          <w:sz w:val="22"/>
          <w:szCs w:val="22"/>
        </w:rPr>
        <w:t xml:space="preserve"> </w:t>
      </w:r>
      <w:r w:rsidR="001C50B4" w:rsidRPr="007F7EBF">
        <w:rPr>
          <w:sz w:val="22"/>
          <w:szCs w:val="22"/>
        </w:rPr>
        <w:t xml:space="preserve">a un gruppo indistintamente beneficiario di una attività </w:t>
      </w:r>
      <w:r>
        <w:rPr>
          <w:sz w:val="22"/>
          <w:szCs w:val="22"/>
        </w:rPr>
        <w:t>pubblica</w:t>
      </w:r>
      <w:r w:rsidR="00917142">
        <w:rPr>
          <w:sz w:val="22"/>
          <w:szCs w:val="22"/>
        </w:rPr>
        <w:t xml:space="preserve"> (</w:t>
      </w:r>
      <w:r w:rsidR="00917142" w:rsidRPr="007F7EBF">
        <w:rPr>
          <w:rStyle w:val="Rimandonotaapidipagina"/>
          <w:sz w:val="22"/>
          <w:szCs w:val="22"/>
        </w:rPr>
        <w:footnoteReference w:id="492"/>
      </w:r>
      <w:r w:rsidR="00917142">
        <w:rPr>
          <w:sz w:val="22"/>
          <w:szCs w:val="22"/>
        </w:rPr>
        <w:t>)</w:t>
      </w:r>
      <w:r w:rsidR="00432F0E">
        <w:rPr>
          <w:sz w:val="22"/>
          <w:szCs w:val="22"/>
        </w:rPr>
        <w:t>; si pensi a</w:t>
      </w:r>
      <w:r w:rsidR="001C50B4" w:rsidRPr="007F7EBF">
        <w:rPr>
          <w:sz w:val="22"/>
          <w:szCs w:val="22"/>
        </w:rPr>
        <w:t xml:space="preserve">i </w:t>
      </w:r>
      <w:r w:rsidR="006715F9" w:rsidRPr="007F7EBF">
        <w:rPr>
          <w:sz w:val="22"/>
          <w:szCs w:val="22"/>
        </w:rPr>
        <w:t xml:space="preserve">contributi </w:t>
      </w:r>
      <w:r w:rsidR="007B7EAC" w:rsidRPr="007F7EBF">
        <w:rPr>
          <w:sz w:val="22"/>
          <w:szCs w:val="22"/>
        </w:rPr>
        <w:t>di urbanizzazione</w:t>
      </w:r>
      <w:r w:rsidR="00794AD8">
        <w:rPr>
          <w:sz w:val="22"/>
          <w:szCs w:val="22"/>
        </w:rPr>
        <w:t>(</w:t>
      </w:r>
      <w:r w:rsidR="007B7EAC" w:rsidRPr="007F7EBF">
        <w:rPr>
          <w:rStyle w:val="Rimandonotaapidipagina"/>
          <w:sz w:val="22"/>
          <w:szCs w:val="22"/>
        </w:rPr>
        <w:footnoteReference w:id="493"/>
      </w:r>
      <w:r w:rsidR="00794AD8">
        <w:rPr>
          <w:sz w:val="22"/>
          <w:szCs w:val="22"/>
        </w:rPr>
        <w:t>)</w:t>
      </w:r>
      <w:r w:rsidR="007B7EAC" w:rsidRPr="007F7EBF">
        <w:rPr>
          <w:sz w:val="22"/>
          <w:szCs w:val="22"/>
        </w:rPr>
        <w:t xml:space="preserve"> </w:t>
      </w:r>
      <w:r>
        <w:rPr>
          <w:sz w:val="22"/>
          <w:szCs w:val="22"/>
        </w:rPr>
        <w:t xml:space="preserve">, </w:t>
      </w:r>
      <w:r w:rsidR="00432F0E">
        <w:rPr>
          <w:sz w:val="22"/>
          <w:szCs w:val="22"/>
        </w:rPr>
        <w:t>a quell</w:t>
      </w:r>
      <w:r w:rsidR="007B7EAC" w:rsidRPr="007F7EBF">
        <w:rPr>
          <w:sz w:val="22"/>
          <w:szCs w:val="22"/>
        </w:rPr>
        <w:t>i consortili</w:t>
      </w:r>
      <w:r w:rsidR="001C50B4" w:rsidRPr="007F7EBF">
        <w:rPr>
          <w:sz w:val="22"/>
          <w:szCs w:val="22"/>
        </w:rPr>
        <w:t xml:space="preserve"> </w:t>
      </w:r>
      <w:r w:rsidR="00794AD8">
        <w:rPr>
          <w:sz w:val="22"/>
          <w:szCs w:val="22"/>
        </w:rPr>
        <w:t>(</w:t>
      </w:r>
      <w:r w:rsidR="00CE4E01" w:rsidRPr="007F7EBF">
        <w:rPr>
          <w:rStyle w:val="Rimandonotaapidipagina"/>
          <w:sz w:val="22"/>
          <w:szCs w:val="22"/>
        </w:rPr>
        <w:footnoteReference w:id="494"/>
      </w:r>
      <w:r w:rsidR="00794AD8">
        <w:rPr>
          <w:sz w:val="22"/>
          <w:szCs w:val="22"/>
        </w:rPr>
        <w:t>)</w:t>
      </w:r>
      <w:r>
        <w:rPr>
          <w:sz w:val="22"/>
          <w:szCs w:val="22"/>
        </w:rPr>
        <w:t xml:space="preserve"> </w:t>
      </w:r>
      <w:r w:rsidR="00794AD8">
        <w:rPr>
          <w:sz w:val="22"/>
          <w:szCs w:val="22"/>
        </w:rPr>
        <w:t xml:space="preserve">o  per </w:t>
      </w:r>
      <w:r w:rsidR="002D7F0B" w:rsidRPr="007F7EBF">
        <w:rPr>
          <w:sz w:val="22"/>
          <w:szCs w:val="22"/>
        </w:rPr>
        <w:t>le camere di commercio</w:t>
      </w:r>
      <w:r w:rsidR="001C50B4" w:rsidRPr="007F7EBF">
        <w:rPr>
          <w:sz w:val="22"/>
          <w:szCs w:val="22"/>
        </w:rPr>
        <w:t xml:space="preserve"> (par.10.10)</w:t>
      </w:r>
      <w:r w:rsidR="00917142">
        <w:rPr>
          <w:sz w:val="22"/>
          <w:szCs w:val="22"/>
        </w:rPr>
        <w:t>; s</w:t>
      </w:r>
      <w:r>
        <w:rPr>
          <w:sz w:val="22"/>
          <w:szCs w:val="22"/>
        </w:rPr>
        <w:t>ulle particolarità dei “contributi previdenziali” vedi sopra par.1.12)</w:t>
      </w:r>
      <w:r w:rsidR="00794AD8">
        <w:rPr>
          <w:sz w:val="22"/>
          <w:szCs w:val="22"/>
        </w:rPr>
        <w:t xml:space="preserve">. </w:t>
      </w:r>
    </w:p>
    <w:p w14:paraId="4A493AFA" w14:textId="77777777" w:rsidR="00F2108E" w:rsidRPr="007F7EBF" w:rsidRDefault="00F2108E" w:rsidP="006342C5">
      <w:pPr>
        <w:autoSpaceDE w:val="0"/>
        <w:autoSpaceDN w:val="0"/>
        <w:adjustRightInd w:val="0"/>
        <w:rPr>
          <w:b/>
          <w:bCs/>
          <w:sz w:val="22"/>
          <w:szCs w:val="22"/>
        </w:rPr>
      </w:pPr>
    </w:p>
    <w:p w14:paraId="1482D808" w14:textId="575C43CB" w:rsidR="004219CC" w:rsidRPr="007F7EBF" w:rsidRDefault="00CF4DE0" w:rsidP="002367DB">
      <w:pPr>
        <w:pStyle w:val="Titolo3"/>
        <w:rPr>
          <w:bCs w:val="0"/>
          <w:i/>
          <w:iCs/>
          <w:color w:val="0000FF"/>
          <w:sz w:val="22"/>
          <w:szCs w:val="22"/>
        </w:rPr>
      </w:pPr>
      <w:bookmarkStart w:id="58" w:name="_Toc63364974"/>
      <w:r w:rsidRPr="007F7EBF">
        <w:rPr>
          <w:rFonts w:ascii="Times New Roman" w:hAnsi="Times New Roman"/>
          <w:sz w:val="22"/>
          <w:szCs w:val="22"/>
        </w:rPr>
        <w:t xml:space="preserve">5.2. </w:t>
      </w:r>
      <w:r w:rsidR="00DF65DA">
        <w:rPr>
          <w:rFonts w:ascii="Times New Roman" w:hAnsi="Times New Roman"/>
          <w:sz w:val="22"/>
          <w:szCs w:val="22"/>
          <w:lang w:val="it-IT"/>
        </w:rPr>
        <w:t xml:space="preserve">Geografia del potere impositivo: </w:t>
      </w:r>
      <w:r w:rsidR="006342C5" w:rsidRPr="007F7EBF">
        <w:rPr>
          <w:rFonts w:ascii="Times New Roman" w:hAnsi="Times New Roman"/>
          <w:sz w:val="22"/>
          <w:szCs w:val="22"/>
        </w:rPr>
        <w:t>Agenzia delle Entrate – Guardia di Finanza</w:t>
      </w:r>
      <w:r w:rsidR="00F2108E" w:rsidRPr="007F7EBF">
        <w:rPr>
          <w:rFonts w:ascii="Times New Roman" w:hAnsi="Times New Roman"/>
          <w:sz w:val="22"/>
          <w:szCs w:val="22"/>
        </w:rPr>
        <w:t xml:space="preserve"> </w:t>
      </w:r>
      <w:r w:rsidR="006342C5" w:rsidRPr="007F7EBF">
        <w:rPr>
          <w:rFonts w:ascii="Times New Roman" w:hAnsi="Times New Roman"/>
          <w:sz w:val="22"/>
          <w:szCs w:val="22"/>
        </w:rPr>
        <w:t xml:space="preserve">– </w:t>
      </w:r>
      <w:r w:rsidR="00767785" w:rsidRPr="007F7EBF">
        <w:rPr>
          <w:rFonts w:ascii="Times New Roman" w:hAnsi="Times New Roman"/>
          <w:sz w:val="22"/>
          <w:szCs w:val="22"/>
          <w:lang w:val="it-IT"/>
        </w:rPr>
        <w:t>esattori</w:t>
      </w:r>
      <w:r w:rsidR="006342C5" w:rsidRPr="007F7EBF">
        <w:rPr>
          <w:rFonts w:ascii="Times New Roman" w:hAnsi="Times New Roman"/>
          <w:sz w:val="22"/>
          <w:szCs w:val="22"/>
        </w:rPr>
        <w:t xml:space="preserve"> – </w:t>
      </w:r>
      <w:r w:rsidR="00767785" w:rsidRPr="007F7EBF">
        <w:rPr>
          <w:rFonts w:ascii="Times New Roman" w:hAnsi="Times New Roman"/>
          <w:sz w:val="22"/>
          <w:szCs w:val="22"/>
          <w:lang w:val="it-IT"/>
        </w:rPr>
        <w:t xml:space="preserve">uffici </w:t>
      </w:r>
      <w:r w:rsidR="006342C5" w:rsidRPr="007F7EBF">
        <w:rPr>
          <w:rFonts w:ascii="Times New Roman" w:hAnsi="Times New Roman"/>
          <w:sz w:val="22"/>
          <w:szCs w:val="22"/>
        </w:rPr>
        <w:t>co</w:t>
      </w:r>
      <w:r w:rsidR="00767785" w:rsidRPr="007F7EBF">
        <w:rPr>
          <w:rFonts w:ascii="Times New Roman" w:hAnsi="Times New Roman"/>
          <w:sz w:val="22"/>
          <w:szCs w:val="22"/>
          <w:lang w:val="it-IT"/>
        </w:rPr>
        <w:t>munali</w:t>
      </w:r>
      <w:r w:rsidR="006342C5" w:rsidRPr="007F7EBF">
        <w:rPr>
          <w:rFonts w:ascii="Times New Roman" w:hAnsi="Times New Roman"/>
          <w:sz w:val="22"/>
          <w:szCs w:val="22"/>
        </w:rPr>
        <w:t>, etc.</w:t>
      </w:r>
      <w:bookmarkEnd w:id="58"/>
      <w:r w:rsidR="004C468E" w:rsidRPr="007F7EBF">
        <w:rPr>
          <w:sz w:val="22"/>
          <w:szCs w:val="22"/>
        </w:rPr>
        <w:t xml:space="preserve"> </w:t>
      </w:r>
    </w:p>
    <w:p w14:paraId="7AA666EC" w14:textId="79C3746A" w:rsidR="004219CC" w:rsidRPr="007F7EBF" w:rsidRDefault="00A22D30" w:rsidP="004219CC">
      <w:pPr>
        <w:pStyle w:val="tit23"/>
        <w:ind w:left="6464" w:right="-1361" w:firstLine="0"/>
        <w:jc w:val="left"/>
        <w:rPr>
          <w:bCs/>
          <w:i/>
          <w:iCs/>
          <w:color w:val="0000FF"/>
          <w:lang w:val="it-IT"/>
        </w:rPr>
      </w:pPr>
      <w:r>
        <w:rPr>
          <w:bCs/>
          <w:i/>
          <w:iCs/>
          <w:color w:val="0000FF"/>
          <w:lang w:val="it-IT"/>
        </w:rPr>
        <w:t>Uffici preposti alla gestione delle imposte</w:t>
      </w:r>
    </w:p>
    <w:p w14:paraId="1FCDB1CA" w14:textId="2EB8F75A" w:rsidR="003A0539" w:rsidRPr="007F7EBF" w:rsidRDefault="00A22D30" w:rsidP="003A0539">
      <w:pPr>
        <w:autoSpaceDE w:val="0"/>
        <w:autoSpaceDN w:val="0"/>
        <w:adjustRightInd w:val="0"/>
        <w:rPr>
          <w:bCs/>
          <w:i/>
          <w:iCs/>
          <w:color w:val="0000FF"/>
          <w:sz w:val="22"/>
          <w:szCs w:val="22"/>
        </w:rPr>
      </w:pPr>
      <w:r>
        <w:rPr>
          <w:sz w:val="22"/>
          <w:szCs w:val="22"/>
        </w:rPr>
        <w:t>Da questo paragrafo in poi parleremo invece delle entrate pubbliche caratteristiche della funzione tributaria, cioè le imposte, amministrate da appositi uffici dell’ente territoriale competente a gestirle, ad esempio stato, regioni o comuni. N</w:t>
      </w:r>
      <w:r w:rsidR="002D31C2">
        <w:rPr>
          <w:sz w:val="22"/>
          <w:szCs w:val="22"/>
        </w:rPr>
        <w:t xml:space="preserve">ella maggioranza dei paesi sviluppati, </w:t>
      </w:r>
      <w:r>
        <w:rPr>
          <w:sz w:val="22"/>
          <w:szCs w:val="22"/>
        </w:rPr>
        <w:t xml:space="preserve">la gestione delle imposte statali </w:t>
      </w:r>
      <w:r w:rsidR="002D31C2">
        <w:rPr>
          <w:sz w:val="22"/>
          <w:szCs w:val="22"/>
        </w:rPr>
        <w:t xml:space="preserve">fa capo ai ministeri economici </w:t>
      </w:r>
      <w:r w:rsidR="003A0539">
        <w:rPr>
          <w:sz w:val="22"/>
          <w:szCs w:val="22"/>
        </w:rPr>
        <w:t xml:space="preserve">responsabili </w:t>
      </w:r>
      <w:r w:rsidR="002D31C2">
        <w:rPr>
          <w:sz w:val="22"/>
          <w:szCs w:val="22"/>
        </w:rPr>
        <w:t xml:space="preserve"> </w:t>
      </w:r>
      <w:r w:rsidR="002D31C2">
        <w:rPr>
          <w:sz w:val="22"/>
          <w:szCs w:val="22"/>
        </w:rPr>
        <w:lastRenderedPageBreak/>
        <w:t>del denaro pubblico, cioè al ministero del Tesoro</w:t>
      </w:r>
      <w:r w:rsidR="00356B05">
        <w:rPr>
          <w:sz w:val="22"/>
          <w:szCs w:val="22"/>
        </w:rPr>
        <w:t xml:space="preserve">, chiamato oggi in Italia </w:t>
      </w:r>
      <w:r w:rsidR="00356B05">
        <w:rPr>
          <w:i/>
          <w:sz w:val="22"/>
          <w:szCs w:val="22"/>
        </w:rPr>
        <w:t xml:space="preserve">ministero dell’economia e delle finanze </w:t>
      </w:r>
      <w:r w:rsidR="00356B05">
        <w:rPr>
          <w:sz w:val="22"/>
          <w:szCs w:val="22"/>
        </w:rPr>
        <w:t xml:space="preserve">(acronimo MEF), incaricato </w:t>
      </w:r>
      <w:r w:rsidR="00102BD9">
        <w:rPr>
          <w:sz w:val="22"/>
          <w:szCs w:val="22"/>
        </w:rPr>
        <w:t>si</w:t>
      </w:r>
      <w:r w:rsidR="00356B05">
        <w:rPr>
          <w:sz w:val="22"/>
          <w:szCs w:val="22"/>
        </w:rPr>
        <w:t>a</w:t>
      </w:r>
      <w:r w:rsidR="00102BD9">
        <w:rPr>
          <w:sz w:val="22"/>
          <w:szCs w:val="22"/>
        </w:rPr>
        <w:t xml:space="preserve"> della gestione delle spese sia dell</w:t>
      </w:r>
      <w:r w:rsidR="002D7ACF">
        <w:rPr>
          <w:sz w:val="22"/>
          <w:szCs w:val="22"/>
        </w:rPr>
        <w:t xml:space="preserve">’applicazione delle imposte, cioè della funzione </w:t>
      </w:r>
      <w:r w:rsidR="00356B05">
        <w:rPr>
          <w:sz w:val="22"/>
          <w:szCs w:val="22"/>
        </w:rPr>
        <w:t>tributaria</w:t>
      </w:r>
      <w:r w:rsidR="002D7ACF">
        <w:rPr>
          <w:sz w:val="22"/>
          <w:szCs w:val="22"/>
        </w:rPr>
        <w:t xml:space="preserve">, come definita al </w:t>
      </w:r>
      <w:r w:rsidR="00356B05">
        <w:rPr>
          <w:sz w:val="22"/>
          <w:szCs w:val="22"/>
        </w:rPr>
        <w:t>par.5.2</w:t>
      </w:r>
      <w:r w:rsidR="002D7ACF">
        <w:rPr>
          <w:sz w:val="22"/>
          <w:szCs w:val="22"/>
        </w:rPr>
        <w:t xml:space="preserve"> (</w:t>
      </w:r>
      <w:r w:rsidR="002D7ACF">
        <w:rPr>
          <w:rStyle w:val="Rimandonotaapidipagina"/>
          <w:sz w:val="22"/>
          <w:szCs w:val="22"/>
        </w:rPr>
        <w:footnoteReference w:id="495"/>
      </w:r>
      <w:r w:rsidR="00356B05">
        <w:rPr>
          <w:sz w:val="22"/>
          <w:szCs w:val="22"/>
        </w:rPr>
        <w:t>).</w:t>
      </w:r>
      <w:r w:rsidR="00102BD9">
        <w:rPr>
          <w:sz w:val="22"/>
          <w:szCs w:val="22"/>
        </w:rPr>
        <w:t xml:space="preserve"> </w:t>
      </w:r>
    </w:p>
    <w:p w14:paraId="312A5CF0" w14:textId="519B2B32" w:rsidR="003A0539" w:rsidRPr="007F7EBF" w:rsidRDefault="003A0539" w:rsidP="003A0539">
      <w:pPr>
        <w:pStyle w:val="tit23"/>
        <w:ind w:left="6464" w:right="-1361" w:firstLine="0"/>
        <w:jc w:val="left"/>
        <w:rPr>
          <w:bCs/>
          <w:i/>
          <w:iCs/>
          <w:color w:val="0000FF"/>
          <w:lang w:val="it-IT"/>
        </w:rPr>
      </w:pPr>
      <w:r>
        <w:rPr>
          <w:bCs/>
          <w:i/>
          <w:iCs/>
          <w:color w:val="0000FF"/>
          <w:lang w:val="it-IT"/>
        </w:rPr>
        <w:t xml:space="preserve">Le agenzie fiscali </w:t>
      </w:r>
    </w:p>
    <w:p w14:paraId="1EF9815F" w14:textId="14D11D3C" w:rsidR="006340DB" w:rsidRPr="007F7EBF" w:rsidRDefault="00102BD9" w:rsidP="006340DB">
      <w:pPr>
        <w:autoSpaceDE w:val="0"/>
        <w:autoSpaceDN w:val="0"/>
        <w:adjustRightInd w:val="0"/>
        <w:rPr>
          <w:sz w:val="22"/>
          <w:szCs w:val="22"/>
        </w:rPr>
      </w:pPr>
      <w:r>
        <w:rPr>
          <w:sz w:val="22"/>
          <w:szCs w:val="22"/>
        </w:rPr>
        <w:t>Nello stesso periodo però l’applicazione delle imposte statali è stata delegata al</w:t>
      </w:r>
      <w:r w:rsidR="006342C5" w:rsidRPr="007F7EBF">
        <w:rPr>
          <w:bCs/>
          <w:sz w:val="22"/>
          <w:szCs w:val="22"/>
        </w:rPr>
        <w:t>l’Agenzia delle Entrate</w:t>
      </w:r>
      <w:r w:rsidR="00D16D0F">
        <w:rPr>
          <w:sz w:val="22"/>
          <w:szCs w:val="22"/>
        </w:rPr>
        <w:t xml:space="preserve"> </w:t>
      </w:r>
      <w:r>
        <w:rPr>
          <w:sz w:val="22"/>
          <w:szCs w:val="22"/>
        </w:rPr>
        <w:t>dove</w:t>
      </w:r>
      <w:r w:rsidR="00D16D0F">
        <w:rPr>
          <w:sz w:val="22"/>
          <w:szCs w:val="22"/>
        </w:rPr>
        <w:t xml:space="preserve">, a seguito dell’abrogazione </w:t>
      </w:r>
      <w:r>
        <w:rPr>
          <w:sz w:val="22"/>
          <w:szCs w:val="22"/>
        </w:rPr>
        <w:t xml:space="preserve"> </w:t>
      </w:r>
      <w:r w:rsidR="00D16D0F">
        <w:rPr>
          <w:sz w:val="22"/>
          <w:szCs w:val="22"/>
        </w:rPr>
        <w:t xml:space="preserve">nel 2000 del Ministero delle finanze (confluito nel suddetto ministero dell’economia) </w:t>
      </w:r>
      <w:r>
        <w:rPr>
          <w:sz w:val="22"/>
          <w:szCs w:val="22"/>
        </w:rPr>
        <w:t xml:space="preserve">sono stati </w:t>
      </w:r>
      <w:r w:rsidR="006342C5" w:rsidRPr="007F7EBF">
        <w:rPr>
          <w:sz w:val="22"/>
          <w:szCs w:val="22"/>
        </w:rPr>
        <w:t>scorpor</w:t>
      </w:r>
      <w:r>
        <w:rPr>
          <w:sz w:val="22"/>
          <w:szCs w:val="22"/>
        </w:rPr>
        <w:t xml:space="preserve">ati </w:t>
      </w:r>
      <w:r w:rsidR="006342C5" w:rsidRPr="007F7EBF">
        <w:rPr>
          <w:sz w:val="22"/>
          <w:szCs w:val="22"/>
        </w:rPr>
        <w:t xml:space="preserve">gli uffici </w:t>
      </w:r>
      <w:r w:rsidR="00D16D0F">
        <w:rPr>
          <w:sz w:val="22"/>
          <w:szCs w:val="22"/>
        </w:rPr>
        <w:t xml:space="preserve">che applicavano le imposte statali. </w:t>
      </w:r>
      <w:r w:rsidR="006340DB">
        <w:rPr>
          <w:sz w:val="22"/>
          <w:szCs w:val="22"/>
        </w:rPr>
        <w:t xml:space="preserve">Ad essa faremo riferimento per la maggior parte delle imposte statali trattate in questo volume, salve quelle </w:t>
      </w:r>
      <w:r w:rsidR="00D16D0F">
        <w:rPr>
          <w:sz w:val="22"/>
          <w:szCs w:val="22"/>
        </w:rPr>
        <w:t xml:space="preserve">doganali e </w:t>
      </w:r>
      <w:r w:rsidR="006340DB">
        <w:rPr>
          <w:sz w:val="22"/>
          <w:szCs w:val="22"/>
        </w:rPr>
        <w:t>di fabbricazione (</w:t>
      </w:r>
      <w:r w:rsidR="00D16D0F" w:rsidRPr="007F7EBF">
        <w:rPr>
          <w:sz w:val="22"/>
          <w:szCs w:val="22"/>
        </w:rPr>
        <w:t>par.10.6 e 10.7</w:t>
      </w:r>
      <w:r w:rsidR="00D16D0F">
        <w:rPr>
          <w:sz w:val="22"/>
          <w:szCs w:val="22"/>
        </w:rPr>
        <w:t xml:space="preserve">) </w:t>
      </w:r>
      <w:r w:rsidR="006340DB">
        <w:rPr>
          <w:sz w:val="22"/>
          <w:szCs w:val="22"/>
        </w:rPr>
        <w:t xml:space="preserve">cui è preposta </w:t>
      </w:r>
      <w:r w:rsidR="00D16D0F">
        <w:rPr>
          <w:sz w:val="22"/>
          <w:szCs w:val="22"/>
        </w:rPr>
        <w:t>l’Ag</w:t>
      </w:r>
      <w:r w:rsidR="00D16D0F" w:rsidRPr="007F7EBF">
        <w:rPr>
          <w:sz w:val="22"/>
          <w:szCs w:val="22"/>
        </w:rPr>
        <w:t xml:space="preserve">enzia delle dogane, </w:t>
      </w:r>
      <w:r w:rsidR="006340DB">
        <w:rPr>
          <w:sz w:val="22"/>
          <w:szCs w:val="22"/>
        </w:rPr>
        <w:t xml:space="preserve">incaricata anche dei generi di monopolio, di cui al paragrafo precedente. </w:t>
      </w:r>
      <w:r w:rsidR="008B7F1D">
        <w:rPr>
          <w:sz w:val="22"/>
          <w:szCs w:val="22"/>
        </w:rPr>
        <w:t xml:space="preserve"> </w:t>
      </w:r>
      <w:r w:rsidR="00D16D0F" w:rsidRPr="007F7EBF">
        <w:rPr>
          <w:sz w:val="22"/>
          <w:szCs w:val="22"/>
        </w:rPr>
        <w:t>L'agenzia del demanio</w:t>
      </w:r>
      <w:r w:rsidR="006340DB">
        <w:rPr>
          <w:sz w:val="22"/>
          <w:szCs w:val="22"/>
        </w:rPr>
        <w:t>, il cui personale proviene anch’esso dal soppresso ministero delle finanze, si occupa invece del patrimonio immobiliare pubblico, come indicato al par.1.1</w:t>
      </w:r>
      <w:r w:rsidR="00AD694A">
        <w:rPr>
          <w:sz w:val="22"/>
          <w:szCs w:val="22"/>
        </w:rPr>
        <w:t>, col compito di curarne la “valorizzazione”, tramite locazioni, concessioni e vendite di beni “sdemanializzati” (</w:t>
      </w:r>
      <w:r w:rsidR="00AD694A">
        <w:rPr>
          <w:rStyle w:val="Rimandonotaapidipagina"/>
          <w:sz w:val="22"/>
          <w:szCs w:val="22"/>
        </w:rPr>
        <w:footnoteReference w:id="496"/>
      </w:r>
      <w:r w:rsidR="00AD694A">
        <w:rPr>
          <w:sz w:val="22"/>
          <w:szCs w:val="22"/>
        </w:rPr>
        <w:t xml:space="preserve">).  </w:t>
      </w:r>
    </w:p>
    <w:p w14:paraId="64E4E3C4" w14:textId="66EF2375" w:rsidR="006340DB" w:rsidRPr="007F7EBF" w:rsidRDefault="003A0539" w:rsidP="006340DB">
      <w:pPr>
        <w:pStyle w:val="tit23"/>
        <w:ind w:left="6464" w:right="-1361" w:firstLine="0"/>
        <w:jc w:val="left"/>
        <w:rPr>
          <w:bCs/>
          <w:i/>
          <w:iCs/>
          <w:color w:val="0000FF"/>
          <w:lang w:val="it-IT"/>
        </w:rPr>
      </w:pPr>
      <w:r>
        <w:rPr>
          <w:bCs/>
          <w:i/>
          <w:iCs/>
          <w:color w:val="0000FF"/>
          <w:lang w:val="it-IT"/>
        </w:rPr>
        <w:t>Natura di</w:t>
      </w:r>
      <w:r w:rsidR="00AD694A">
        <w:rPr>
          <w:bCs/>
          <w:i/>
          <w:iCs/>
          <w:color w:val="0000FF"/>
          <w:lang w:val="it-IT"/>
        </w:rPr>
        <w:t xml:space="preserve"> enti pubblici </w:t>
      </w:r>
    </w:p>
    <w:p w14:paraId="517C0783" w14:textId="5513D973" w:rsidR="00AD694A" w:rsidRPr="007F7EBF" w:rsidRDefault="00571FDA" w:rsidP="00AD694A">
      <w:pPr>
        <w:autoSpaceDE w:val="0"/>
        <w:autoSpaceDN w:val="0"/>
        <w:adjustRightInd w:val="0"/>
        <w:rPr>
          <w:bCs/>
          <w:i/>
          <w:iCs/>
          <w:color w:val="0000FF"/>
        </w:rPr>
      </w:pPr>
      <w:r w:rsidRPr="007F7EBF">
        <w:rPr>
          <w:sz w:val="22"/>
          <w:szCs w:val="22"/>
        </w:rPr>
        <w:t xml:space="preserve">L'amministrazione per Agenzie non è rara, in questi ultimi anni, </w:t>
      </w:r>
      <w:r w:rsidR="008E3951">
        <w:rPr>
          <w:sz w:val="22"/>
          <w:szCs w:val="22"/>
        </w:rPr>
        <w:t>e diffus</w:t>
      </w:r>
      <w:r w:rsidR="003C7761">
        <w:rPr>
          <w:sz w:val="22"/>
          <w:szCs w:val="22"/>
        </w:rPr>
        <w:t>a</w:t>
      </w:r>
      <w:r w:rsidR="008E3951">
        <w:rPr>
          <w:sz w:val="22"/>
          <w:szCs w:val="22"/>
        </w:rPr>
        <w:t xml:space="preserve"> trasversalmente anche in settori del tutto diversi da quello “finanziario tributario”, cui appartengono le agenzie indicate sopra (</w:t>
      </w:r>
      <w:r w:rsidR="008E3951">
        <w:rPr>
          <w:rStyle w:val="Rimandonotaapidipagina"/>
          <w:sz w:val="22"/>
          <w:szCs w:val="22"/>
        </w:rPr>
        <w:footnoteReference w:id="497"/>
      </w:r>
      <w:r w:rsidR="008E3951">
        <w:rPr>
          <w:sz w:val="22"/>
          <w:szCs w:val="22"/>
        </w:rPr>
        <w:t>)</w:t>
      </w:r>
      <w:r w:rsidR="00FD5889">
        <w:rPr>
          <w:sz w:val="22"/>
          <w:szCs w:val="22"/>
        </w:rPr>
        <w:t xml:space="preserve">: E’ una situazione </w:t>
      </w:r>
      <w:r w:rsidRPr="007F7EBF">
        <w:rPr>
          <w:sz w:val="22"/>
          <w:szCs w:val="22"/>
        </w:rPr>
        <w:t xml:space="preserve">emblematica </w:t>
      </w:r>
      <w:r w:rsidR="00FD5889">
        <w:rPr>
          <w:sz w:val="22"/>
          <w:szCs w:val="22"/>
        </w:rPr>
        <w:t xml:space="preserve">della dialettica </w:t>
      </w:r>
      <w:r>
        <w:rPr>
          <w:sz w:val="22"/>
          <w:szCs w:val="22"/>
        </w:rPr>
        <w:t>sui modelli organizzativi delle funzioni pubbliche</w:t>
      </w:r>
      <w:r w:rsidR="00FD5889">
        <w:rPr>
          <w:sz w:val="22"/>
          <w:szCs w:val="22"/>
        </w:rPr>
        <w:t>,</w:t>
      </w:r>
      <w:r>
        <w:rPr>
          <w:sz w:val="22"/>
          <w:szCs w:val="22"/>
        </w:rPr>
        <w:t xml:space="preserve"> di cui </w:t>
      </w:r>
      <w:r w:rsidRPr="007F7EBF">
        <w:rPr>
          <w:sz w:val="22"/>
          <w:szCs w:val="22"/>
        </w:rPr>
        <w:t xml:space="preserve">diremo al par.5.3, tra originari </w:t>
      </w:r>
      <w:r>
        <w:rPr>
          <w:sz w:val="22"/>
          <w:szCs w:val="22"/>
        </w:rPr>
        <w:t xml:space="preserve"> schemi </w:t>
      </w:r>
      <w:r w:rsidRPr="007F7EBF">
        <w:rPr>
          <w:sz w:val="22"/>
          <w:szCs w:val="22"/>
        </w:rPr>
        <w:t>gerarchico militar</w:t>
      </w:r>
      <w:r>
        <w:rPr>
          <w:sz w:val="22"/>
          <w:szCs w:val="22"/>
        </w:rPr>
        <w:t>i</w:t>
      </w:r>
      <w:r w:rsidRPr="007F7EBF">
        <w:rPr>
          <w:sz w:val="22"/>
          <w:szCs w:val="22"/>
        </w:rPr>
        <w:t xml:space="preserve">, e </w:t>
      </w:r>
      <w:r w:rsidR="00FD5889">
        <w:rPr>
          <w:sz w:val="22"/>
          <w:szCs w:val="22"/>
        </w:rPr>
        <w:t>tendenze</w:t>
      </w:r>
      <w:r w:rsidRPr="007F7EBF">
        <w:rPr>
          <w:sz w:val="22"/>
          <w:szCs w:val="22"/>
        </w:rPr>
        <w:t xml:space="preserve"> aziendal</w:t>
      </w:r>
      <w:r>
        <w:rPr>
          <w:sz w:val="22"/>
          <w:szCs w:val="22"/>
        </w:rPr>
        <w:t>istich</w:t>
      </w:r>
      <w:r w:rsidRPr="007F7EBF">
        <w:rPr>
          <w:sz w:val="22"/>
          <w:szCs w:val="22"/>
        </w:rPr>
        <w:t>e</w:t>
      </w:r>
      <w:r w:rsidR="00FD5889">
        <w:rPr>
          <w:sz w:val="22"/>
          <w:szCs w:val="22"/>
        </w:rPr>
        <w:t xml:space="preserve"> </w:t>
      </w:r>
      <w:r>
        <w:rPr>
          <w:sz w:val="22"/>
          <w:szCs w:val="22"/>
        </w:rPr>
        <w:t>(</w:t>
      </w:r>
      <w:r w:rsidRPr="007F7EBF">
        <w:rPr>
          <w:rStyle w:val="Rimandonotaapidipagina"/>
          <w:sz w:val="22"/>
          <w:szCs w:val="22"/>
        </w:rPr>
        <w:footnoteReference w:id="498"/>
      </w:r>
      <w:r>
        <w:rPr>
          <w:sz w:val="22"/>
          <w:szCs w:val="22"/>
        </w:rPr>
        <w:t>)</w:t>
      </w:r>
      <w:r w:rsidRPr="007F7EBF">
        <w:rPr>
          <w:sz w:val="22"/>
          <w:szCs w:val="22"/>
        </w:rPr>
        <w:t xml:space="preserve">. </w:t>
      </w:r>
      <w:r>
        <w:rPr>
          <w:sz w:val="22"/>
          <w:szCs w:val="22"/>
        </w:rPr>
        <w:t xml:space="preserve">Si tratta di </w:t>
      </w:r>
      <w:r w:rsidR="00102BD9">
        <w:rPr>
          <w:sz w:val="22"/>
          <w:szCs w:val="22"/>
        </w:rPr>
        <w:t>ent</w:t>
      </w:r>
      <w:r w:rsidR="00B67778">
        <w:rPr>
          <w:sz w:val="22"/>
          <w:szCs w:val="22"/>
        </w:rPr>
        <w:t>i</w:t>
      </w:r>
      <w:r w:rsidR="00102BD9">
        <w:rPr>
          <w:sz w:val="22"/>
          <w:szCs w:val="22"/>
        </w:rPr>
        <w:t xml:space="preserve"> pubblic</w:t>
      </w:r>
      <w:r w:rsidR="00B67778">
        <w:rPr>
          <w:sz w:val="22"/>
          <w:szCs w:val="22"/>
        </w:rPr>
        <w:t>i</w:t>
      </w:r>
      <w:r w:rsidR="00102BD9">
        <w:rPr>
          <w:sz w:val="22"/>
          <w:szCs w:val="22"/>
        </w:rPr>
        <w:t xml:space="preserve"> non economic</w:t>
      </w:r>
      <w:r w:rsidR="00B67778">
        <w:rPr>
          <w:sz w:val="22"/>
          <w:szCs w:val="22"/>
        </w:rPr>
        <w:t>i</w:t>
      </w:r>
      <w:r w:rsidR="00102BD9">
        <w:rPr>
          <w:sz w:val="22"/>
          <w:szCs w:val="22"/>
        </w:rPr>
        <w:t xml:space="preserve">, coi consueti poteri autoritativi delle pubbliche </w:t>
      </w:r>
      <w:r w:rsidR="00102BD9">
        <w:rPr>
          <w:sz w:val="22"/>
          <w:szCs w:val="22"/>
        </w:rPr>
        <w:lastRenderedPageBreak/>
        <w:t>autorità</w:t>
      </w:r>
      <w:r w:rsidR="006340DB">
        <w:rPr>
          <w:sz w:val="22"/>
          <w:szCs w:val="22"/>
        </w:rPr>
        <w:t xml:space="preserve"> nel </w:t>
      </w:r>
      <w:r w:rsidR="00B67778">
        <w:rPr>
          <w:sz w:val="22"/>
          <w:szCs w:val="22"/>
        </w:rPr>
        <w:t xml:space="preserve">proprio </w:t>
      </w:r>
      <w:r w:rsidR="006340DB">
        <w:rPr>
          <w:sz w:val="22"/>
          <w:szCs w:val="22"/>
        </w:rPr>
        <w:t xml:space="preserve">settore di </w:t>
      </w:r>
      <w:r w:rsidR="00B67778">
        <w:rPr>
          <w:sz w:val="22"/>
          <w:szCs w:val="22"/>
        </w:rPr>
        <w:t>competenza</w:t>
      </w:r>
      <w:r w:rsidR="00AD694A">
        <w:rPr>
          <w:sz w:val="22"/>
          <w:szCs w:val="22"/>
        </w:rPr>
        <w:t xml:space="preserve">. </w:t>
      </w:r>
      <w:r w:rsidR="00B67778">
        <w:rPr>
          <w:sz w:val="22"/>
          <w:szCs w:val="22"/>
        </w:rPr>
        <w:t xml:space="preserve"> </w:t>
      </w:r>
      <w:r w:rsidR="00AD694A">
        <w:rPr>
          <w:sz w:val="22"/>
          <w:szCs w:val="22"/>
        </w:rPr>
        <w:t xml:space="preserve">I loro vertici sono </w:t>
      </w:r>
      <w:r w:rsidR="00102BD9">
        <w:rPr>
          <w:bCs/>
          <w:sz w:val="22"/>
          <w:szCs w:val="22"/>
        </w:rPr>
        <w:t xml:space="preserve">nominati dall’autorità politica, </w:t>
      </w:r>
      <w:r w:rsidR="00AD694A">
        <w:rPr>
          <w:bCs/>
          <w:sz w:val="22"/>
          <w:szCs w:val="22"/>
        </w:rPr>
        <w:t>ma</w:t>
      </w:r>
      <w:r w:rsidR="00F21DA1" w:rsidRPr="007F7EBF">
        <w:rPr>
          <w:bCs/>
          <w:sz w:val="22"/>
          <w:szCs w:val="22"/>
        </w:rPr>
        <w:t xml:space="preserve"> </w:t>
      </w:r>
      <w:r w:rsidR="00F21DA1" w:rsidRPr="007F7EBF">
        <w:rPr>
          <w:sz w:val="22"/>
          <w:szCs w:val="22"/>
        </w:rPr>
        <w:t>dotat</w:t>
      </w:r>
      <w:r w:rsidR="00AD694A">
        <w:rPr>
          <w:sz w:val="22"/>
          <w:szCs w:val="22"/>
        </w:rPr>
        <w:t xml:space="preserve">i </w:t>
      </w:r>
      <w:r w:rsidR="00F21DA1" w:rsidRPr="007F7EBF">
        <w:rPr>
          <w:sz w:val="22"/>
          <w:szCs w:val="22"/>
        </w:rPr>
        <w:t xml:space="preserve">di </w:t>
      </w:r>
      <w:r w:rsidR="00AD694A">
        <w:rPr>
          <w:sz w:val="22"/>
          <w:szCs w:val="22"/>
        </w:rPr>
        <w:t>notevoli</w:t>
      </w:r>
      <w:r w:rsidR="00F21DA1" w:rsidRPr="007F7EBF">
        <w:rPr>
          <w:sz w:val="22"/>
          <w:szCs w:val="22"/>
        </w:rPr>
        <w:t xml:space="preserve"> poteri di “auto-organizzazione" e autoregolamentazione</w:t>
      </w:r>
      <w:r w:rsidR="00AD694A">
        <w:rPr>
          <w:sz w:val="22"/>
          <w:szCs w:val="22"/>
        </w:rPr>
        <w:t xml:space="preserve"> rispetto agli ordinari apparati ministeriali </w:t>
      </w:r>
      <w:r w:rsidR="00102BD9">
        <w:rPr>
          <w:sz w:val="22"/>
          <w:szCs w:val="22"/>
        </w:rPr>
        <w:t>(</w:t>
      </w:r>
      <w:r w:rsidR="00F21DA1" w:rsidRPr="007F7EBF">
        <w:rPr>
          <w:rStyle w:val="Rimandonotaapidipagina"/>
          <w:sz w:val="22"/>
          <w:szCs w:val="22"/>
        </w:rPr>
        <w:footnoteReference w:id="499"/>
      </w:r>
      <w:r w:rsidR="00102BD9">
        <w:rPr>
          <w:sz w:val="22"/>
          <w:szCs w:val="22"/>
        </w:rPr>
        <w:t>)</w:t>
      </w:r>
      <w:r w:rsidR="00F21DA1" w:rsidRPr="007F7EBF">
        <w:rPr>
          <w:sz w:val="22"/>
          <w:szCs w:val="22"/>
        </w:rPr>
        <w:t>.</w:t>
      </w:r>
      <w:r>
        <w:rPr>
          <w:sz w:val="22"/>
          <w:szCs w:val="22"/>
        </w:rPr>
        <w:t xml:space="preserve"> </w:t>
      </w:r>
    </w:p>
    <w:p w14:paraId="29A8EB56" w14:textId="77777777" w:rsidR="00B67778" w:rsidRPr="007F7EBF" w:rsidRDefault="00B67778" w:rsidP="00B67778">
      <w:pPr>
        <w:pStyle w:val="tit23"/>
        <w:ind w:left="6464" w:right="-1361" w:firstLine="0"/>
        <w:jc w:val="left"/>
        <w:rPr>
          <w:bCs/>
          <w:i/>
          <w:iCs/>
          <w:color w:val="0000FF"/>
          <w:lang w:val="it-IT"/>
        </w:rPr>
      </w:pPr>
      <w:r w:rsidRPr="007F7EBF">
        <w:rPr>
          <w:bCs/>
          <w:i/>
          <w:iCs/>
          <w:color w:val="0000FF"/>
          <w:lang w:val="it-IT"/>
        </w:rPr>
        <w:t xml:space="preserve">Vigilanza sulle agenzie </w:t>
      </w:r>
    </w:p>
    <w:p w14:paraId="0FEB5AA2" w14:textId="58EBE392" w:rsidR="00BD09E6" w:rsidRPr="007F7EBF" w:rsidRDefault="00B67778" w:rsidP="003537E4">
      <w:pPr>
        <w:autoSpaceDE w:val="0"/>
        <w:autoSpaceDN w:val="0"/>
        <w:adjustRightInd w:val="0"/>
        <w:rPr>
          <w:bCs/>
          <w:i/>
          <w:iCs/>
          <w:color w:val="0000FF"/>
          <w:sz w:val="22"/>
          <w:szCs w:val="22"/>
        </w:rPr>
      </w:pPr>
      <w:r w:rsidRPr="007F7EBF">
        <w:rPr>
          <w:sz w:val="22"/>
          <w:szCs w:val="22"/>
        </w:rPr>
        <w:t xml:space="preserve">Sulle agenzie </w:t>
      </w:r>
      <w:r w:rsidRPr="007F7EBF">
        <w:rPr>
          <w:bCs/>
          <w:sz w:val="22"/>
          <w:szCs w:val="22"/>
        </w:rPr>
        <w:t xml:space="preserve">vigila </w:t>
      </w:r>
      <w:r w:rsidR="008E3951">
        <w:rPr>
          <w:bCs/>
          <w:sz w:val="22"/>
          <w:szCs w:val="22"/>
        </w:rPr>
        <w:t xml:space="preserve">l’autorità politica, tramite i ministeri di riferimento, nel nostro caso quello </w:t>
      </w:r>
      <w:r w:rsidRPr="007F7EBF">
        <w:rPr>
          <w:bCs/>
          <w:sz w:val="22"/>
          <w:szCs w:val="22"/>
        </w:rPr>
        <w:t xml:space="preserve">dell’Economia e delle Finanze (MEF), </w:t>
      </w:r>
      <w:r w:rsidRPr="007F7EBF">
        <w:rPr>
          <w:sz w:val="22"/>
          <w:szCs w:val="22"/>
        </w:rPr>
        <w:t>tramite il proprio dipartimento delle Politiche fiscali, con una attività di coordinamento politico e di alta amministrazione; il ministero promuove anche la redazione di normativa regolamentare (</w:t>
      </w:r>
      <w:r w:rsidRPr="007F7EBF">
        <w:rPr>
          <w:rStyle w:val="Rimandonotaapidipagina"/>
          <w:sz w:val="22"/>
          <w:szCs w:val="22"/>
        </w:rPr>
        <w:footnoteReference w:id="500"/>
      </w:r>
      <w:r w:rsidRPr="007F7EBF">
        <w:rPr>
          <w:sz w:val="22"/>
          <w:szCs w:val="22"/>
        </w:rPr>
        <w:t>), l’effettuazione di studi di politica tributaria, monitoraggio statistico delle entrate, etc..</w:t>
      </w:r>
      <w:r w:rsidR="00571FDA" w:rsidRPr="00571FDA">
        <w:t xml:space="preserve"> </w:t>
      </w:r>
      <w:r w:rsidR="00571FDA" w:rsidRPr="007F7EBF">
        <w:t>L</w:t>
      </w:r>
      <w:r w:rsidR="003537E4">
        <w:t xml:space="preserve">a vigilanza effettiva, che incide sull’efficienza e l’efficacia della loro azione, è però quella indiretta della pubblica opinione, di cui diremo </w:t>
      </w:r>
      <w:r w:rsidR="00571FDA" w:rsidRPr="007F7EBF">
        <w:t>al par.5.3</w:t>
      </w:r>
      <w:r w:rsidR="003537E4">
        <w:t xml:space="preserve">. Neppure l’organizzazione per Agenzie provoca automaticamente efficienza, e quando l’attenzione della pubblica opinione alla rispettiva funzione è scarsa, si producono le consuete deresponsabilizzazioni, autoprotezioni, indifferenze per la sostanza effettiva, come se </w:t>
      </w:r>
      <w:r w:rsidR="00571FDA" w:rsidRPr="007F7EBF">
        <w:t>i beni di tutti non fossero di nessuno</w:t>
      </w:r>
      <w:r w:rsidR="003537E4">
        <w:t>, se la pubblica opinione non se ne preoccupa</w:t>
      </w:r>
      <w:r w:rsidR="00571FDA" w:rsidRPr="007F7EBF">
        <w:t>.</w:t>
      </w:r>
      <w:r w:rsidR="005D78B8" w:rsidRPr="005D78B8">
        <w:rPr>
          <w:sz w:val="22"/>
          <w:szCs w:val="22"/>
        </w:rPr>
        <w:t xml:space="preserve"> </w:t>
      </w:r>
      <w:r w:rsidR="005D78B8">
        <w:rPr>
          <w:sz w:val="22"/>
          <w:szCs w:val="22"/>
        </w:rPr>
        <w:t>A parità di attenzione sociale per la funzione, l</w:t>
      </w:r>
      <w:r w:rsidR="005D78B8" w:rsidRPr="007F7EBF">
        <w:rPr>
          <w:sz w:val="22"/>
          <w:szCs w:val="22"/>
        </w:rPr>
        <w:t xml:space="preserve">'autonomia ha </w:t>
      </w:r>
      <w:r w:rsidR="005D78B8" w:rsidRPr="007F7EBF">
        <w:rPr>
          <w:bCs/>
          <w:sz w:val="22"/>
          <w:szCs w:val="22"/>
        </w:rPr>
        <w:t xml:space="preserve">avuto </w:t>
      </w:r>
      <w:r w:rsidR="005D78B8">
        <w:rPr>
          <w:bCs/>
          <w:sz w:val="22"/>
          <w:szCs w:val="22"/>
        </w:rPr>
        <w:t>comunque</w:t>
      </w:r>
      <w:r w:rsidR="005D78B8" w:rsidRPr="007F7EBF">
        <w:rPr>
          <w:bCs/>
          <w:sz w:val="22"/>
          <w:szCs w:val="22"/>
        </w:rPr>
        <w:t xml:space="preserve"> vantaggi sul piano dell’“auto-organizzazione”</w:t>
      </w:r>
      <w:r w:rsidR="005D78B8" w:rsidRPr="007F7EBF">
        <w:rPr>
          <w:sz w:val="22"/>
          <w:szCs w:val="22"/>
        </w:rPr>
        <w:t xml:space="preserve">, </w:t>
      </w:r>
      <w:r w:rsidR="005D78B8">
        <w:rPr>
          <w:sz w:val="22"/>
          <w:szCs w:val="22"/>
        </w:rPr>
        <w:t xml:space="preserve">spingendo a dimostrare </w:t>
      </w:r>
      <w:r w:rsidR="005D78B8" w:rsidRPr="007F7EBF">
        <w:t xml:space="preserve">efficienza, e </w:t>
      </w:r>
      <w:r w:rsidR="005D78B8">
        <w:t xml:space="preserve">attenzione ai </w:t>
      </w:r>
      <w:r w:rsidR="005D78B8" w:rsidRPr="007F7EBF">
        <w:t>risultati</w:t>
      </w:r>
      <w:r w:rsidR="005D78B8">
        <w:t xml:space="preserve">. </w:t>
      </w:r>
    </w:p>
    <w:p w14:paraId="5300B2C5" w14:textId="5904C2CF" w:rsidR="00F21DA1" w:rsidRPr="007F7EBF" w:rsidRDefault="00571FDA" w:rsidP="00F21DA1">
      <w:pPr>
        <w:pStyle w:val="tit23"/>
        <w:ind w:left="6464" w:right="-1361" w:firstLine="0"/>
        <w:jc w:val="left"/>
        <w:rPr>
          <w:bCs/>
          <w:i/>
          <w:iCs/>
          <w:color w:val="0000FF"/>
          <w:lang w:val="it-IT"/>
        </w:rPr>
      </w:pPr>
      <w:r>
        <w:rPr>
          <w:bCs/>
          <w:i/>
          <w:iCs/>
          <w:color w:val="0000FF"/>
          <w:lang w:val="it-IT"/>
        </w:rPr>
        <w:t>L’agenzia delle entrate</w:t>
      </w:r>
    </w:p>
    <w:p w14:paraId="7AFBA8B9" w14:textId="0C48F19D" w:rsidR="0074606F" w:rsidRPr="007F7EBF" w:rsidRDefault="005D78B8" w:rsidP="003A0539">
      <w:pPr>
        <w:autoSpaceDE w:val="0"/>
        <w:autoSpaceDN w:val="0"/>
        <w:adjustRightInd w:val="0"/>
        <w:rPr>
          <w:sz w:val="22"/>
          <w:szCs w:val="22"/>
        </w:rPr>
      </w:pPr>
      <w:r>
        <w:rPr>
          <w:sz w:val="22"/>
          <w:szCs w:val="22"/>
        </w:rPr>
        <w:t xml:space="preserve">L’attenzione sociale è notevole per </w:t>
      </w:r>
      <w:r w:rsidR="003537E4">
        <w:rPr>
          <w:sz w:val="22"/>
          <w:szCs w:val="22"/>
        </w:rPr>
        <w:t>l’Agenzia delle entrate, per cui casomai si cade nell’eccesso opposto, dell</w:t>
      </w:r>
      <w:r w:rsidR="00592BC2">
        <w:rPr>
          <w:sz w:val="22"/>
          <w:szCs w:val="22"/>
        </w:rPr>
        <w:t>’</w:t>
      </w:r>
      <w:r w:rsidR="003537E4">
        <w:rPr>
          <w:sz w:val="22"/>
          <w:szCs w:val="22"/>
        </w:rPr>
        <w:t xml:space="preserve">esposizione </w:t>
      </w:r>
      <w:r w:rsidR="00592BC2">
        <w:rPr>
          <w:sz w:val="22"/>
          <w:szCs w:val="22"/>
        </w:rPr>
        <w:t>all’</w:t>
      </w:r>
      <w:r w:rsidR="003537E4">
        <w:rPr>
          <w:sz w:val="22"/>
          <w:szCs w:val="22"/>
        </w:rPr>
        <w:t xml:space="preserve">intreccio </w:t>
      </w:r>
      <w:r w:rsidR="00592BC2">
        <w:rPr>
          <w:sz w:val="22"/>
          <w:szCs w:val="22"/>
        </w:rPr>
        <w:t>delle</w:t>
      </w:r>
      <w:r w:rsidR="003537E4">
        <w:rPr>
          <w:sz w:val="22"/>
          <w:szCs w:val="22"/>
        </w:rPr>
        <w:t xml:space="preserve"> </w:t>
      </w:r>
      <w:r w:rsidR="00592BC2">
        <w:rPr>
          <w:sz w:val="22"/>
          <w:szCs w:val="22"/>
        </w:rPr>
        <w:t xml:space="preserve">confusionarie e contraddittorie </w:t>
      </w:r>
      <w:r w:rsidR="003537E4">
        <w:rPr>
          <w:sz w:val="22"/>
          <w:szCs w:val="22"/>
        </w:rPr>
        <w:t>tendenze della pubblica opinione</w:t>
      </w:r>
      <w:r w:rsidR="00592BC2">
        <w:rPr>
          <w:sz w:val="22"/>
          <w:szCs w:val="22"/>
        </w:rPr>
        <w:t xml:space="preserve"> indicate al </w:t>
      </w:r>
      <w:r w:rsidR="003537E4">
        <w:rPr>
          <w:sz w:val="22"/>
          <w:szCs w:val="22"/>
        </w:rPr>
        <w:t>par.5.3</w:t>
      </w:r>
      <w:r w:rsidR="00592BC2">
        <w:rPr>
          <w:sz w:val="22"/>
          <w:szCs w:val="22"/>
        </w:rPr>
        <w:t xml:space="preserve">; il problema non è ovviamente dell’agenzia delle entrate, ma delle mancate spiegazioni scientifico sociali della funzione tributaria, dove le suddette tendenze avrebbero potuto trovare un coordinamento. Per ora indichiamo le dimensioni organizzative dell’Agenzia, con </w:t>
      </w:r>
      <w:r w:rsidR="003537E4">
        <w:rPr>
          <w:sz w:val="22"/>
          <w:szCs w:val="22"/>
        </w:rPr>
        <w:t>circa 45 mila</w:t>
      </w:r>
      <w:r w:rsidR="00592BC2">
        <w:rPr>
          <w:sz w:val="22"/>
          <w:szCs w:val="22"/>
        </w:rPr>
        <w:t xml:space="preserve"> dipendenti</w:t>
      </w:r>
      <w:r w:rsidR="003537E4" w:rsidRPr="007F7EBF">
        <w:rPr>
          <w:sz w:val="22"/>
          <w:szCs w:val="22"/>
        </w:rPr>
        <w:t xml:space="preserve">, </w:t>
      </w:r>
      <w:r w:rsidR="00592BC2">
        <w:rPr>
          <w:sz w:val="22"/>
          <w:szCs w:val="22"/>
        </w:rPr>
        <w:t xml:space="preserve">di cui circa 10 mila dedicati a compiti catastali </w:t>
      </w:r>
      <w:r w:rsidR="003537E4" w:rsidRPr="007F7EBF">
        <w:rPr>
          <w:sz w:val="22"/>
          <w:szCs w:val="22"/>
        </w:rPr>
        <w:t>(par.8.2 e 8.4)</w:t>
      </w:r>
      <w:r w:rsidR="00592BC2">
        <w:rPr>
          <w:sz w:val="22"/>
          <w:szCs w:val="22"/>
        </w:rPr>
        <w:t xml:space="preserve">, trasferiti all’agenzia delle entrate </w:t>
      </w:r>
      <w:r w:rsidR="003537E4" w:rsidRPr="007F7EBF">
        <w:rPr>
          <w:sz w:val="22"/>
          <w:szCs w:val="22"/>
        </w:rPr>
        <w:t>nel 2013</w:t>
      </w:r>
      <w:r w:rsidR="00592BC2">
        <w:rPr>
          <w:sz w:val="22"/>
          <w:szCs w:val="22"/>
        </w:rPr>
        <w:t>, ma funzionalmente distinti</w:t>
      </w:r>
      <w:r w:rsidR="003537E4" w:rsidRPr="007F7EBF">
        <w:rPr>
          <w:sz w:val="22"/>
          <w:szCs w:val="22"/>
        </w:rPr>
        <w:t>.</w:t>
      </w:r>
      <w:r w:rsidR="004B7DB9" w:rsidRPr="007F7EBF">
        <w:rPr>
          <w:sz w:val="22"/>
          <w:szCs w:val="22"/>
        </w:rPr>
        <w:t xml:space="preserve"> </w:t>
      </w:r>
    </w:p>
    <w:p w14:paraId="2384A9BC" w14:textId="77777777" w:rsidR="0074606F" w:rsidRPr="007F7EBF" w:rsidRDefault="0074606F" w:rsidP="0074606F">
      <w:pPr>
        <w:pStyle w:val="tit23"/>
        <w:ind w:left="6464" w:right="-1361" w:firstLine="0"/>
        <w:jc w:val="left"/>
        <w:rPr>
          <w:bCs/>
          <w:i/>
          <w:iCs/>
          <w:color w:val="0000FF"/>
          <w:lang w:val="it-IT"/>
        </w:rPr>
      </w:pPr>
      <w:r w:rsidRPr="007F7EBF">
        <w:rPr>
          <w:bCs/>
          <w:i/>
          <w:iCs/>
          <w:color w:val="0000FF"/>
          <w:lang w:val="it-IT"/>
        </w:rPr>
        <w:lastRenderedPageBreak/>
        <w:t xml:space="preserve">Uffici </w:t>
      </w:r>
      <w:r w:rsidR="006C3709" w:rsidRPr="007F7EBF">
        <w:rPr>
          <w:bCs/>
          <w:i/>
          <w:iCs/>
          <w:color w:val="0000FF"/>
          <w:lang w:val="it-IT"/>
        </w:rPr>
        <w:t>locali</w:t>
      </w:r>
      <w:r w:rsidRPr="007F7EBF">
        <w:rPr>
          <w:bCs/>
          <w:i/>
          <w:iCs/>
          <w:color w:val="0000FF"/>
          <w:lang w:val="it-IT"/>
        </w:rPr>
        <w:t xml:space="preserve"> </w:t>
      </w:r>
      <w:r w:rsidR="006C3709" w:rsidRPr="007F7EBF">
        <w:rPr>
          <w:bCs/>
          <w:i/>
          <w:iCs/>
          <w:color w:val="0000FF"/>
          <w:lang w:val="it-IT"/>
        </w:rPr>
        <w:t>dell’agenzia : i servizi ai contribuenti</w:t>
      </w:r>
      <w:r w:rsidRPr="007F7EBF">
        <w:rPr>
          <w:bCs/>
          <w:i/>
          <w:iCs/>
          <w:color w:val="0000FF"/>
          <w:lang w:val="it-IT"/>
        </w:rPr>
        <w:t xml:space="preserve">        </w:t>
      </w:r>
    </w:p>
    <w:p w14:paraId="774A17BC" w14:textId="51B9D217" w:rsidR="006C3709" w:rsidRPr="007F7EBF" w:rsidRDefault="00592BC2" w:rsidP="006C3709">
      <w:pPr>
        <w:autoSpaceDE w:val="0"/>
        <w:autoSpaceDN w:val="0"/>
        <w:adjustRightInd w:val="0"/>
        <w:rPr>
          <w:sz w:val="22"/>
          <w:szCs w:val="22"/>
        </w:rPr>
      </w:pPr>
      <w:r w:rsidRPr="00FD0454">
        <w:rPr>
          <w:sz w:val="22"/>
          <w:szCs w:val="22"/>
        </w:rPr>
        <w:t>L’Agenzia</w:t>
      </w:r>
      <w:r w:rsidR="00B67778" w:rsidRPr="00FD0454">
        <w:rPr>
          <w:sz w:val="22"/>
          <w:szCs w:val="22"/>
        </w:rPr>
        <w:t xml:space="preserve"> è articolata in uffici centrali e locali, che gestiscono il rapporto con i singoli contribuenti</w:t>
      </w:r>
      <w:r w:rsidR="00FD0454" w:rsidRPr="00FD0454">
        <w:rPr>
          <w:sz w:val="22"/>
          <w:szCs w:val="22"/>
        </w:rPr>
        <w:t xml:space="preserve">; si tratta delle </w:t>
      </w:r>
      <w:r w:rsidR="006C3709" w:rsidRPr="00FD0454">
        <w:rPr>
          <w:sz w:val="22"/>
          <w:szCs w:val="22"/>
        </w:rPr>
        <w:t>direzioni</w:t>
      </w:r>
      <w:r w:rsidR="006C3709" w:rsidRPr="007F7EBF">
        <w:rPr>
          <w:sz w:val="22"/>
          <w:szCs w:val="22"/>
        </w:rPr>
        <w:t xml:space="preserve"> </w:t>
      </w:r>
      <w:r w:rsidR="000D1BA2" w:rsidRPr="007F7EBF">
        <w:rPr>
          <w:sz w:val="22"/>
          <w:szCs w:val="22"/>
        </w:rPr>
        <w:t xml:space="preserve">provinciali, </w:t>
      </w:r>
      <w:r w:rsidR="006C3709" w:rsidRPr="007F7EBF">
        <w:rPr>
          <w:sz w:val="22"/>
          <w:szCs w:val="22"/>
        </w:rPr>
        <w:t xml:space="preserve">ubicate </w:t>
      </w:r>
      <w:r w:rsidR="00BB381E" w:rsidRPr="007F7EBF">
        <w:rPr>
          <w:sz w:val="22"/>
          <w:szCs w:val="22"/>
        </w:rPr>
        <w:t>nei capoluoghi di provincia</w:t>
      </w:r>
      <w:r w:rsidR="004B7DB9" w:rsidRPr="007F7EBF">
        <w:rPr>
          <w:sz w:val="22"/>
          <w:szCs w:val="22"/>
        </w:rPr>
        <w:t xml:space="preserve"> </w:t>
      </w:r>
      <w:r w:rsidR="006C3709" w:rsidRPr="007F7EBF">
        <w:rPr>
          <w:sz w:val="22"/>
          <w:szCs w:val="22"/>
        </w:rPr>
        <w:t xml:space="preserve">e </w:t>
      </w:r>
      <w:r w:rsidR="00FD0454">
        <w:rPr>
          <w:sz w:val="22"/>
          <w:szCs w:val="22"/>
        </w:rPr>
        <w:t>con</w:t>
      </w:r>
      <w:r w:rsidR="006C3709" w:rsidRPr="007F7EBF">
        <w:rPr>
          <w:sz w:val="22"/>
          <w:szCs w:val="22"/>
        </w:rPr>
        <w:t xml:space="preserve"> competenza sul relativo territorio</w:t>
      </w:r>
      <w:r w:rsidR="00942BB8">
        <w:rPr>
          <w:sz w:val="22"/>
          <w:szCs w:val="22"/>
        </w:rPr>
        <w:t xml:space="preserve"> (</w:t>
      </w:r>
      <w:r w:rsidR="006C3709" w:rsidRPr="007F7EBF">
        <w:rPr>
          <w:rStyle w:val="Rimandonotaapidipagina"/>
          <w:sz w:val="22"/>
          <w:szCs w:val="22"/>
        </w:rPr>
        <w:footnoteReference w:id="501"/>
      </w:r>
      <w:r w:rsidR="00942BB8">
        <w:rPr>
          <w:sz w:val="22"/>
          <w:szCs w:val="22"/>
        </w:rPr>
        <w:t>)</w:t>
      </w:r>
      <w:r w:rsidR="006C3709" w:rsidRPr="007F7EBF">
        <w:rPr>
          <w:sz w:val="22"/>
          <w:szCs w:val="22"/>
        </w:rPr>
        <w:t xml:space="preserve">. </w:t>
      </w:r>
      <w:r w:rsidR="00942BB8">
        <w:rPr>
          <w:sz w:val="22"/>
          <w:szCs w:val="22"/>
        </w:rPr>
        <w:t>Solo g</w:t>
      </w:r>
      <w:r w:rsidR="006C3709" w:rsidRPr="007F7EBF">
        <w:rPr>
          <w:sz w:val="22"/>
          <w:szCs w:val="22"/>
        </w:rPr>
        <w:t>li sportelli "di servizio" al pubblico</w:t>
      </w:r>
      <w:r w:rsidR="003A0539">
        <w:rPr>
          <w:sz w:val="22"/>
          <w:szCs w:val="22"/>
        </w:rPr>
        <w:t xml:space="preserve"> (par.5.4)</w:t>
      </w:r>
      <w:r w:rsidR="006C3709" w:rsidRPr="007F7EBF">
        <w:rPr>
          <w:sz w:val="22"/>
          <w:szCs w:val="22"/>
        </w:rPr>
        <w:t>, per l'attività di "front offi</w:t>
      </w:r>
      <w:r w:rsidR="00B55F06" w:rsidRPr="007F7EBF">
        <w:rPr>
          <w:sz w:val="22"/>
          <w:szCs w:val="22"/>
        </w:rPr>
        <w:t>ce"</w:t>
      </w:r>
      <w:r w:rsidR="00942BB8">
        <w:rPr>
          <w:sz w:val="22"/>
          <w:szCs w:val="22"/>
        </w:rPr>
        <w:t>(</w:t>
      </w:r>
      <w:r w:rsidR="00B55F06" w:rsidRPr="007F7EBF">
        <w:rPr>
          <w:sz w:val="22"/>
          <w:szCs w:val="22"/>
        </w:rPr>
        <w:t xml:space="preserve"> </w:t>
      </w:r>
      <w:r w:rsidR="00942BB8">
        <w:rPr>
          <w:rStyle w:val="Rimandonotaapidipagina"/>
          <w:sz w:val="22"/>
          <w:szCs w:val="22"/>
        </w:rPr>
        <w:footnoteReference w:id="502"/>
      </w:r>
      <w:r w:rsidR="00942BB8">
        <w:rPr>
          <w:sz w:val="22"/>
          <w:szCs w:val="22"/>
        </w:rPr>
        <w:t>)</w:t>
      </w:r>
      <w:r w:rsidR="003A0539">
        <w:rPr>
          <w:sz w:val="22"/>
          <w:szCs w:val="22"/>
        </w:rPr>
        <w:t xml:space="preserve"> </w:t>
      </w:r>
      <w:r w:rsidR="00B55F06" w:rsidRPr="007F7EBF">
        <w:rPr>
          <w:sz w:val="22"/>
          <w:szCs w:val="22"/>
        </w:rPr>
        <w:t>e di liquidazione (par.5.5)</w:t>
      </w:r>
      <w:r w:rsidR="006C3709" w:rsidRPr="007F7EBF">
        <w:rPr>
          <w:sz w:val="22"/>
          <w:szCs w:val="22"/>
        </w:rPr>
        <w:t xml:space="preserve"> sono </w:t>
      </w:r>
      <w:r w:rsidR="00942BB8">
        <w:rPr>
          <w:sz w:val="22"/>
          <w:szCs w:val="22"/>
        </w:rPr>
        <w:t xml:space="preserve">ulteriormente </w:t>
      </w:r>
      <w:r w:rsidR="006C3709" w:rsidRPr="007F7EBF">
        <w:rPr>
          <w:sz w:val="22"/>
          <w:szCs w:val="22"/>
        </w:rPr>
        <w:t>decentrati in alcuni dei comuni maggiori della provincia</w:t>
      </w:r>
      <w:r>
        <w:rPr>
          <w:sz w:val="22"/>
          <w:szCs w:val="22"/>
        </w:rPr>
        <w:t xml:space="preserve"> (c.d. “uffici territoriali”)</w:t>
      </w:r>
      <w:r w:rsidR="00942BB8">
        <w:rPr>
          <w:sz w:val="22"/>
          <w:szCs w:val="22"/>
        </w:rPr>
        <w:t xml:space="preserve">. </w:t>
      </w:r>
    </w:p>
    <w:p w14:paraId="707D7477" w14:textId="77777777" w:rsidR="006C3709" w:rsidRPr="007F7EBF" w:rsidRDefault="006C3709" w:rsidP="006C3709">
      <w:pPr>
        <w:pStyle w:val="tit23"/>
        <w:ind w:left="6464" w:right="-1361" w:firstLine="0"/>
        <w:jc w:val="left"/>
        <w:rPr>
          <w:bCs/>
          <w:i/>
          <w:iCs/>
          <w:color w:val="0000FF"/>
          <w:lang w:val="it-IT"/>
        </w:rPr>
      </w:pPr>
      <w:r w:rsidRPr="007F7EBF">
        <w:rPr>
          <w:bCs/>
          <w:i/>
          <w:iCs/>
          <w:color w:val="0000FF"/>
          <w:lang w:val="it-IT"/>
        </w:rPr>
        <w:t>Direzioni        provinciali e controlli</w:t>
      </w:r>
    </w:p>
    <w:p w14:paraId="05CE3A9C" w14:textId="6454A90E" w:rsidR="009D1E9A" w:rsidRDefault="006C3709" w:rsidP="006C3709">
      <w:pPr>
        <w:autoSpaceDE w:val="0"/>
        <w:autoSpaceDN w:val="0"/>
        <w:adjustRightInd w:val="0"/>
        <w:rPr>
          <w:sz w:val="22"/>
          <w:szCs w:val="22"/>
        </w:rPr>
      </w:pPr>
      <w:r w:rsidRPr="007F7EBF">
        <w:rPr>
          <w:sz w:val="22"/>
          <w:szCs w:val="22"/>
        </w:rPr>
        <w:t xml:space="preserve"> Il controllo </w:t>
      </w:r>
      <w:r w:rsidR="00DF65DA">
        <w:rPr>
          <w:sz w:val="22"/>
          <w:szCs w:val="22"/>
        </w:rPr>
        <w:t xml:space="preserve">c.d. “antievasione”, </w:t>
      </w:r>
      <w:r w:rsidR="009C3F8F">
        <w:rPr>
          <w:sz w:val="22"/>
          <w:szCs w:val="22"/>
        </w:rPr>
        <w:t>sulla determinazione de</w:t>
      </w:r>
      <w:r w:rsidR="00DF65DA">
        <w:rPr>
          <w:sz w:val="22"/>
          <w:szCs w:val="22"/>
        </w:rPr>
        <w:t xml:space="preserve">i presupposti economici d’imposta </w:t>
      </w:r>
      <w:r w:rsidRPr="007F7EBF">
        <w:rPr>
          <w:sz w:val="22"/>
          <w:szCs w:val="22"/>
        </w:rPr>
        <w:t xml:space="preserve">è invece </w:t>
      </w:r>
      <w:r w:rsidR="00690918" w:rsidRPr="007F7EBF">
        <w:rPr>
          <w:sz w:val="22"/>
          <w:szCs w:val="22"/>
        </w:rPr>
        <w:t xml:space="preserve">centralizzato </w:t>
      </w:r>
      <w:r w:rsidR="00942BB8">
        <w:rPr>
          <w:sz w:val="22"/>
          <w:szCs w:val="22"/>
        </w:rPr>
        <w:t xml:space="preserve">nel </w:t>
      </w:r>
      <w:r w:rsidR="00690918" w:rsidRPr="007F7EBF">
        <w:rPr>
          <w:sz w:val="22"/>
          <w:szCs w:val="22"/>
        </w:rPr>
        <w:t>capoluog</w:t>
      </w:r>
      <w:r w:rsidR="00942BB8">
        <w:rPr>
          <w:sz w:val="22"/>
          <w:szCs w:val="22"/>
        </w:rPr>
        <w:t>o</w:t>
      </w:r>
      <w:r w:rsidR="00DF65DA">
        <w:rPr>
          <w:sz w:val="22"/>
          <w:szCs w:val="22"/>
        </w:rPr>
        <w:t xml:space="preserve"> di provincia</w:t>
      </w:r>
      <w:r w:rsidR="00942BB8">
        <w:rPr>
          <w:sz w:val="22"/>
          <w:szCs w:val="22"/>
        </w:rPr>
        <w:t>, ed articolato</w:t>
      </w:r>
      <w:r w:rsidR="00690918" w:rsidRPr="007F7EBF">
        <w:rPr>
          <w:sz w:val="22"/>
          <w:szCs w:val="22"/>
        </w:rPr>
        <w:t xml:space="preserve"> per tipologie di </w:t>
      </w:r>
      <w:r w:rsidR="00DF65DA">
        <w:rPr>
          <w:sz w:val="22"/>
          <w:szCs w:val="22"/>
        </w:rPr>
        <w:t xml:space="preserve">contribuenti, distinti per natura e </w:t>
      </w:r>
      <w:r w:rsidR="00681DA8">
        <w:rPr>
          <w:sz w:val="22"/>
          <w:szCs w:val="22"/>
        </w:rPr>
        <w:t>giro d’affari</w:t>
      </w:r>
      <w:r w:rsidR="00DF65DA">
        <w:rPr>
          <w:sz w:val="22"/>
          <w:szCs w:val="22"/>
        </w:rPr>
        <w:t>.</w:t>
      </w:r>
      <w:r w:rsidR="00690918" w:rsidRPr="007F7EBF">
        <w:rPr>
          <w:sz w:val="22"/>
          <w:szCs w:val="22"/>
        </w:rPr>
        <w:t xml:space="preserve"> </w:t>
      </w:r>
      <w:r w:rsidR="00413DAB" w:rsidRPr="007F7EBF">
        <w:rPr>
          <w:sz w:val="22"/>
          <w:szCs w:val="22"/>
        </w:rPr>
        <w:t>L'ufficio controlli col compito più importante rispetto alla determinazione valutativa de</w:t>
      </w:r>
      <w:r w:rsidR="00637144">
        <w:rPr>
          <w:sz w:val="22"/>
          <w:szCs w:val="22"/>
        </w:rPr>
        <w:t xml:space="preserve">i presupposti economici </w:t>
      </w:r>
      <w:r w:rsidR="00413DAB" w:rsidRPr="007F7EBF">
        <w:rPr>
          <w:sz w:val="22"/>
          <w:szCs w:val="22"/>
        </w:rPr>
        <w:t xml:space="preserve">è però quello </w:t>
      </w:r>
      <w:r w:rsidR="000D1BA2" w:rsidRPr="007F7EBF">
        <w:rPr>
          <w:sz w:val="22"/>
          <w:szCs w:val="22"/>
        </w:rPr>
        <w:t xml:space="preserve">per </w:t>
      </w:r>
      <w:r w:rsidR="00637144">
        <w:rPr>
          <w:sz w:val="22"/>
          <w:szCs w:val="22"/>
        </w:rPr>
        <w:t xml:space="preserve">artigiani, piccoli commercianti </w:t>
      </w:r>
      <w:r w:rsidR="00413DAB" w:rsidRPr="007F7EBF">
        <w:rPr>
          <w:sz w:val="22"/>
          <w:szCs w:val="22"/>
        </w:rPr>
        <w:t>e organizzazioni</w:t>
      </w:r>
      <w:r w:rsidR="00637144">
        <w:rPr>
          <w:sz w:val="22"/>
          <w:szCs w:val="22"/>
        </w:rPr>
        <w:t xml:space="preserve"> a gestione padronale</w:t>
      </w:r>
      <w:r w:rsidR="009D1E9A">
        <w:rPr>
          <w:sz w:val="22"/>
          <w:szCs w:val="22"/>
        </w:rPr>
        <w:t xml:space="preserve"> (</w:t>
      </w:r>
      <w:r w:rsidR="009D1E9A">
        <w:rPr>
          <w:rStyle w:val="Rimandonotaapidipagina"/>
          <w:sz w:val="22"/>
          <w:szCs w:val="22"/>
        </w:rPr>
        <w:footnoteReference w:id="503"/>
      </w:r>
      <w:r w:rsidR="009D1E9A">
        <w:rPr>
          <w:sz w:val="22"/>
          <w:szCs w:val="22"/>
        </w:rPr>
        <w:t>)</w:t>
      </w:r>
      <w:r w:rsidR="00413DAB" w:rsidRPr="007F7EBF">
        <w:rPr>
          <w:sz w:val="22"/>
          <w:szCs w:val="22"/>
        </w:rPr>
        <w:t xml:space="preserve">; </w:t>
      </w:r>
      <w:r w:rsidR="00637144">
        <w:rPr>
          <w:sz w:val="22"/>
          <w:szCs w:val="22"/>
        </w:rPr>
        <w:t xml:space="preserve">vi </w:t>
      </w:r>
      <w:r w:rsidR="00413DAB" w:rsidRPr="007F7EBF">
        <w:rPr>
          <w:sz w:val="22"/>
          <w:szCs w:val="22"/>
        </w:rPr>
        <w:t xml:space="preserve">rientrano infatti </w:t>
      </w:r>
      <w:r w:rsidR="000D1BA2" w:rsidRPr="007F7EBF">
        <w:rPr>
          <w:sz w:val="22"/>
          <w:szCs w:val="22"/>
        </w:rPr>
        <w:t xml:space="preserve">la maggior parte degli operatori economici, soggetti all'applicazione degli studi di settore, con fatturato entro </w:t>
      </w:r>
      <w:r w:rsidR="00BB381E" w:rsidRPr="007F7EBF">
        <w:rPr>
          <w:sz w:val="22"/>
          <w:szCs w:val="22"/>
        </w:rPr>
        <w:t>i 5</w:t>
      </w:r>
      <w:r w:rsidR="00413DAB" w:rsidRPr="007F7EBF">
        <w:rPr>
          <w:sz w:val="22"/>
          <w:szCs w:val="22"/>
        </w:rPr>
        <w:t>,16</w:t>
      </w:r>
      <w:r w:rsidR="00BB381E" w:rsidRPr="007F7EBF">
        <w:rPr>
          <w:sz w:val="22"/>
          <w:szCs w:val="22"/>
        </w:rPr>
        <w:t xml:space="preserve"> m</w:t>
      </w:r>
      <w:r w:rsidR="000D1BA2" w:rsidRPr="007F7EBF">
        <w:rPr>
          <w:sz w:val="22"/>
          <w:szCs w:val="22"/>
        </w:rPr>
        <w:t>ilioni di euro (par.5.13)</w:t>
      </w:r>
      <w:r w:rsidR="00637144">
        <w:rPr>
          <w:sz w:val="22"/>
          <w:szCs w:val="22"/>
        </w:rPr>
        <w:t>. A</w:t>
      </w:r>
      <w:r w:rsidR="00592BC2">
        <w:rPr>
          <w:sz w:val="22"/>
          <w:szCs w:val="22"/>
        </w:rPr>
        <w:t xml:space="preserve">d un </w:t>
      </w:r>
      <w:r w:rsidR="00637144">
        <w:rPr>
          <w:sz w:val="22"/>
          <w:szCs w:val="22"/>
        </w:rPr>
        <w:t>diverso</w:t>
      </w:r>
      <w:r w:rsidR="00592BC2">
        <w:rPr>
          <w:sz w:val="22"/>
          <w:szCs w:val="22"/>
        </w:rPr>
        <w:t xml:space="preserve"> </w:t>
      </w:r>
      <w:r w:rsidR="000D1BA2" w:rsidRPr="007F7EBF">
        <w:rPr>
          <w:sz w:val="22"/>
          <w:szCs w:val="22"/>
        </w:rPr>
        <w:t>ufficio del</w:t>
      </w:r>
      <w:r w:rsidR="00BB381E" w:rsidRPr="007F7EBF">
        <w:rPr>
          <w:sz w:val="22"/>
          <w:szCs w:val="22"/>
        </w:rPr>
        <w:t xml:space="preserve">le direzioni provinciali </w:t>
      </w:r>
      <w:r w:rsidR="00592BC2">
        <w:rPr>
          <w:sz w:val="22"/>
          <w:szCs w:val="22"/>
        </w:rPr>
        <w:t>compete il controllo del</w:t>
      </w:r>
      <w:r w:rsidR="00BB381E" w:rsidRPr="007F7EBF">
        <w:rPr>
          <w:sz w:val="22"/>
          <w:szCs w:val="22"/>
        </w:rPr>
        <w:t xml:space="preserve">le </w:t>
      </w:r>
      <w:r w:rsidR="000D1BA2" w:rsidRPr="007F7EBF">
        <w:rPr>
          <w:sz w:val="22"/>
          <w:szCs w:val="22"/>
        </w:rPr>
        <w:t xml:space="preserve">c.d. </w:t>
      </w:r>
      <w:r w:rsidR="00BB381E" w:rsidRPr="007F7EBF">
        <w:rPr>
          <w:sz w:val="22"/>
          <w:szCs w:val="22"/>
        </w:rPr>
        <w:t>medie</w:t>
      </w:r>
      <w:r w:rsidR="000D1BA2" w:rsidRPr="007F7EBF">
        <w:rPr>
          <w:sz w:val="22"/>
          <w:szCs w:val="22"/>
        </w:rPr>
        <w:t xml:space="preserve"> imprese</w:t>
      </w:r>
      <w:r w:rsidR="00BB381E" w:rsidRPr="007F7EBF">
        <w:rPr>
          <w:sz w:val="22"/>
          <w:szCs w:val="22"/>
        </w:rPr>
        <w:t xml:space="preserve">, con ricavi da 5 a </w:t>
      </w:r>
      <w:r w:rsidR="00942BB8">
        <w:rPr>
          <w:sz w:val="22"/>
          <w:szCs w:val="22"/>
        </w:rPr>
        <w:t>5</w:t>
      </w:r>
      <w:r w:rsidR="00BB381E" w:rsidRPr="007F7EBF">
        <w:rPr>
          <w:sz w:val="22"/>
          <w:szCs w:val="22"/>
        </w:rPr>
        <w:t>0 milioni di euro</w:t>
      </w:r>
      <w:r w:rsidR="00413DAB" w:rsidRPr="007F7EBF">
        <w:rPr>
          <w:sz w:val="22"/>
          <w:szCs w:val="22"/>
        </w:rPr>
        <w:t>, mentre le aziende con giro d'affari maggiore sono controllate, come vedremo dalle direzioni regionali</w:t>
      </w:r>
      <w:r w:rsidR="00BB381E" w:rsidRPr="007F7EBF">
        <w:rPr>
          <w:sz w:val="22"/>
          <w:szCs w:val="22"/>
        </w:rPr>
        <w:t xml:space="preserve">. </w:t>
      </w:r>
      <w:r w:rsidR="00592BC2">
        <w:rPr>
          <w:sz w:val="22"/>
          <w:szCs w:val="22"/>
        </w:rPr>
        <w:t>Compete ad un altro apposito ufficio delle direzioni provinciali il controllo di c</w:t>
      </w:r>
      <w:r w:rsidR="00592BC2" w:rsidRPr="007F7EBF">
        <w:rPr>
          <w:sz w:val="22"/>
          <w:szCs w:val="22"/>
        </w:rPr>
        <w:t>hi non è operatore economico, c.d. "persone fisiche"(</w:t>
      </w:r>
      <w:r w:rsidR="00592BC2" w:rsidRPr="007F7EBF">
        <w:rPr>
          <w:rStyle w:val="Rimandonotaapidipagina"/>
          <w:sz w:val="22"/>
          <w:szCs w:val="22"/>
        </w:rPr>
        <w:footnoteReference w:id="504"/>
      </w:r>
      <w:r w:rsidR="00592BC2" w:rsidRPr="007F7EBF">
        <w:rPr>
          <w:sz w:val="22"/>
          <w:szCs w:val="22"/>
        </w:rPr>
        <w:t xml:space="preserve">). </w:t>
      </w:r>
    </w:p>
    <w:p w14:paraId="25A6A25B" w14:textId="77777777" w:rsidR="009D1E9A" w:rsidRDefault="008822D4" w:rsidP="006C3709">
      <w:pPr>
        <w:autoSpaceDE w:val="0"/>
        <w:autoSpaceDN w:val="0"/>
        <w:adjustRightInd w:val="0"/>
        <w:rPr>
          <w:sz w:val="22"/>
          <w:szCs w:val="22"/>
        </w:rPr>
      </w:pPr>
      <w:r w:rsidRPr="007F7EBF">
        <w:rPr>
          <w:sz w:val="22"/>
          <w:szCs w:val="22"/>
        </w:rPr>
        <w:lastRenderedPageBreak/>
        <w:t xml:space="preserve">Ognuno di questi reparti può avere </w:t>
      </w:r>
      <w:r w:rsidR="0074606F" w:rsidRPr="007F7EBF">
        <w:rPr>
          <w:sz w:val="22"/>
          <w:szCs w:val="22"/>
        </w:rPr>
        <w:t xml:space="preserve">circa </w:t>
      </w:r>
      <w:r w:rsidRPr="007F7EBF">
        <w:rPr>
          <w:sz w:val="22"/>
          <w:szCs w:val="22"/>
        </w:rPr>
        <w:t xml:space="preserve">da </w:t>
      </w:r>
      <w:r w:rsidR="0074606F" w:rsidRPr="007F7EBF">
        <w:rPr>
          <w:sz w:val="22"/>
          <w:szCs w:val="22"/>
        </w:rPr>
        <w:t>2</w:t>
      </w:r>
      <w:r w:rsidRPr="007F7EBF">
        <w:rPr>
          <w:sz w:val="22"/>
          <w:szCs w:val="22"/>
        </w:rPr>
        <w:t xml:space="preserve">0 a </w:t>
      </w:r>
      <w:r w:rsidR="00942BB8">
        <w:rPr>
          <w:sz w:val="22"/>
          <w:szCs w:val="22"/>
        </w:rPr>
        <w:t>10</w:t>
      </w:r>
      <w:r w:rsidRPr="007F7EBF">
        <w:rPr>
          <w:sz w:val="22"/>
          <w:szCs w:val="22"/>
        </w:rPr>
        <w:t xml:space="preserve">0 addetti, </w:t>
      </w:r>
      <w:r w:rsidR="00413DAB" w:rsidRPr="007F7EBF">
        <w:rPr>
          <w:sz w:val="22"/>
          <w:szCs w:val="22"/>
        </w:rPr>
        <w:t>articolati</w:t>
      </w:r>
      <w:r w:rsidRPr="007F7EBF">
        <w:rPr>
          <w:sz w:val="22"/>
          <w:szCs w:val="22"/>
        </w:rPr>
        <w:t xml:space="preserve"> in vari </w:t>
      </w:r>
      <w:r w:rsidRPr="007F7EBF">
        <w:rPr>
          <w:i/>
          <w:sz w:val="22"/>
          <w:szCs w:val="22"/>
        </w:rPr>
        <w:t>teams</w:t>
      </w:r>
      <w:r w:rsidR="009D1E9A">
        <w:rPr>
          <w:sz w:val="22"/>
          <w:szCs w:val="22"/>
        </w:rPr>
        <w:t xml:space="preserve">, diretti da un “quadro”, funzionario incaricato più esperto, con una piccola maggiorazione stipendiale. </w:t>
      </w:r>
    </w:p>
    <w:p w14:paraId="17E9EC19" w14:textId="35BFBB13" w:rsidR="0074606F" w:rsidRPr="007F7EBF" w:rsidRDefault="00E00A5B" w:rsidP="006C3709">
      <w:pPr>
        <w:autoSpaceDE w:val="0"/>
        <w:autoSpaceDN w:val="0"/>
        <w:adjustRightInd w:val="0"/>
        <w:rPr>
          <w:sz w:val="22"/>
          <w:szCs w:val="22"/>
        </w:rPr>
      </w:pPr>
      <w:r w:rsidRPr="007F7EBF">
        <w:rPr>
          <w:sz w:val="22"/>
          <w:szCs w:val="22"/>
        </w:rPr>
        <w:t xml:space="preserve">All'interno delle direzioni provinciali c'è </w:t>
      </w:r>
      <w:r>
        <w:rPr>
          <w:sz w:val="22"/>
          <w:szCs w:val="22"/>
        </w:rPr>
        <w:t xml:space="preserve">anche </w:t>
      </w:r>
      <w:r w:rsidRPr="007F7EBF">
        <w:rPr>
          <w:sz w:val="22"/>
          <w:szCs w:val="22"/>
        </w:rPr>
        <w:t>un servizio legale adibito alla gestione d</w:t>
      </w:r>
      <w:r>
        <w:rPr>
          <w:sz w:val="22"/>
          <w:szCs w:val="22"/>
        </w:rPr>
        <w:t xml:space="preserve">ell’abnorme </w:t>
      </w:r>
      <w:r w:rsidRPr="007F7EBF">
        <w:rPr>
          <w:sz w:val="22"/>
          <w:szCs w:val="22"/>
        </w:rPr>
        <w:t xml:space="preserve">"contenzioso tributario" </w:t>
      </w:r>
      <w:r>
        <w:rPr>
          <w:sz w:val="22"/>
          <w:szCs w:val="22"/>
        </w:rPr>
        <w:t xml:space="preserve">di cui </w:t>
      </w:r>
      <w:r w:rsidRPr="007F7EBF">
        <w:rPr>
          <w:sz w:val="22"/>
          <w:szCs w:val="22"/>
        </w:rPr>
        <w:t>al par.6.10</w:t>
      </w:r>
      <w:r w:rsidR="009D1E9A">
        <w:rPr>
          <w:sz w:val="22"/>
          <w:szCs w:val="22"/>
        </w:rPr>
        <w:t>, con un responsabile e vari capi-team</w:t>
      </w:r>
      <w:r w:rsidRPr="007F7EBF">
        <w:rPr>
          <w:sz w:val="22"/>
          <w:szCs w:val="22"/>
        </w:rPr>
        <w:t>.</w:t>
      </w:r>
    </w:p>
    <w:p w14:paraId="04134018" w14:textId="70B81A77" w:rsidR="0074606F" w:rsidRPr="007F7EBF" w:rsidRDefault="00FC5F30" w:rsidP="0074606F">
      <w:pPr>
        <w:pStyle w:val="tit23"/>
        <w:ind w:left="6464" w:right="-1361" w:firstLine="0"/>
        <w:jc w:val="left"/>
        <w:rPr>
          <w:bCs/>
          <w:i/>
          <w:iCs/>
          <w:color w:val="0000FF"/>
          <w:lang w:val="it-IT"/>
        </w:rPr>
      </w:pPr>
      <w:r>
        <w:rPr>
          <w:bCs/>
          <w:i/>
          <w:iCs/>
          <w:color w:val="0000FF"/>
          <w:lang w:val="it-IT"/>
        </w:rPr>
        <w:t xml:space="preserve">Attribuzione squilibrata di risorse </w:t>
      </w:r>
      <w:r w:rsidR="0074606F" w:rsidRPr="007F7EBF">
        <w:rPr>
          <w:bCs/>
          <w:i/>
          <w:iCs/>
          <w:color w:val="0000FF"/>
          <w:lang w:val="it-IT"/>
        </w:rPr>
        <w:t xml:space="preserve">e relative motivazioni        </w:t>
      </w:r>
    </w:p>
    <w:p w14:paraId="3515B5D2" w14:textId="0BC3D0D6" w:rsidR="005B31CB" w:rsidRDefault="00413DAB" w:rsidP="005B31CB">
      <w:pPr>
        <w:autoSpaceDE w:val="0"/>
        <w:autoSpaceDN w:val="0"/>
        <w:adjustRightInd w:val="0"/>
        <w:rPr>
          <w:sz w:val="22"/>
          <w:szCs w:val="22"/>
        </w:rPr>
      </w:pPr>
      <w:r w:rsidRPr="007F7EBF">
        <w:rPr>
          <w:sz w:val="22"/>
          <w:szCs w:val="22"/>
        </w:rPr>
        <w:t xml:space="preserve">La suddetta centralizzazione su base provinciale di questa piramide </w:t>
      </w:r>
      <w:r w:rsidR="009D1E9A">
        <w:rPr>
          <w:sz w:val="22"/>
          <w:szCs w:val="22"/>
        </w:rPr>
        <w:t>organizzativa</w:t>
      </w:r>
      <w:r w:rsidRPr="007F7EBF">
        <w:rPr>
          <w:sz w:val="22"/>
          <w:szCs w:val="22"/>
        </w:rPr>
        <w:t xml:space="preserve"> non assicura un adeguato controllo del territorio, distante spesso dal capoluogo anche centinaia di chilometri.  </w:t>
      </w:r>
      <w:r w:rsidR="00563634" w:rsidRPr="007F7EBF">
        <w:rPr>
          <w:sz w:val="22"/>
          <w:szCs w:val="22"/>
        </w:rPr>
        <w:t xml:space="preserve">L'insufficienza di personale dedicato agli “uffici controllo” delle imprese di piccole dimensioni è evidente se si pensa che </w:t>
      </w:r>
      <w:r w:rsidRPr="007F7EBF">
        <w:rPr>
          <w:sz w:val="22"/>
          <w:szCs w:val="22"/>
        </w:rPr>
        <w:t>tali operatori economici</w:t>
      </w:r>
      <w:r w:rsidR="00563634" w:rsidRPr="007F7EBF">
        <w:rPr>
          <w:sz w:val="22"/>
          <w:szCs w:val="22"/>
        </w:rPr>
        <w:t xml:space="preserve"> sono il 95 percento del totale</w:t>
      </w:r>
      <w:r w:rsidR="00942BB8">
        <w:rPr>
          <w:sz w:val="22"/>
          <w:szCs w:val="22"/>
        </w:rPr>
        <w:t xml:space="preserve"> (</w:t>
      </w:r>
      <w:r w:rsidR="00942BB8">
        <w:rPr>
          <w:rStyle w:val="Rimandonotaapidipagina"/>
          <w:sz w:val="22"/>
          <w:szCs w:val="22"/>
        </w:rPr>
        <w:footnoteReference w:id="505"/>
      </w:r>
      <w:r w:rsidR="00942BB8">
        <w:rPr>
          <w:sz w:val="22"/>
          <w:szCs w:val="22"/>
        </w:rPr>
        <w:t>)</w:t>
      </w:r>
      <w:r w:rsidR="00563634" w:rsidRPr="007F7EBF">
        <w:rPr>
          <w:sz w:val="22"/>
          <w:szCs w:val="22"/>
        </w:rPr>
        <w:t xml:space="preserve">. </w:t>
      </w:r>
      <w:r w:rsidR="005B31CB">
        <w:rPr>
          <w:sz w:val="22"/>
          <w:szCs w:val="22"/>
        </w:rPr>
        <w:t>Se quest’informazione fosse più diffusa, si espanderebbe tra i contribuenti la sensazione secondo cui l’importante non è comportarsi correttamente, ma non essere controllati.</w:t>
      </w:r>
    </w:p>
    <w:p w14:paraId="718E975B" w14:textId="21543CD2" w:rsidR="0074606F" w:rsidRPr="007F7EBF" w:rsidRDefault="00563634" w:rsidP="0074606F">
      <w:pPr>
        <w:autoSpaceDE w:val="0"/>
        <w:autoSpaceDN w:val="0"/>
        <w:adjustRightInd w:val="0"/>
        <w:rPr>
          <w:sz w:val="22"/>
          <w:szCs w:val="22"/>
        </w:rPr>
      </w:pPr>
      <w:r w:rsidRPr="007F7EBF">
        <w:rPr>
          <w:sz w:val="22"/>
          <w:szCs w:val="22"/>
        </w:rPr>
        <w:t>Al contrario energie sovrabbondanti sono dedicate al regime giuridico de</w:t>
      </w:r>
      <w:r w:rsidR="00637144">
        <w:rPr>
          <w:sz w:val="22"/>
          <w:szCs w:val="22"/>
        </w:rPr>
        <w:t xml:space="preserve">i presupposti </w:t>
      </w:r>
      <w:r w:rsidRPr="007F7EBF">
        <w:rPr>
          <w:sz w:val="22"/>
          <w:szCs w:val="22"/>
        </w:rPr>
        <w:t>dichiarat</w:t>
      </w:r>
      <w:r w:rsidR="00637144">
        <w:rPr>
          <w:sz w:val="22"/>
          <w:szCs w:val="22"/>
        </w:rPr>
        <w:t>i</w:t>
      </w:r>
      <w:r w:rsidRPr="007F7EBF">
        <w:rPr>
          <w:sz w:val="22"/>
          <w:szCs w:val="22"/>
        </w:rPr>
        <w:t xml:space="preserve">, con gli sprechi di controlli di cui ai par. 5.17 ss.  </w:t>
      </w:r>
      <w:r w:rsidR="009D1E9A">
        <w:rPr>
          <w:sz w:val="22"/>
          <w:szCs w:val="22"/>
        </w:rPr>
        <w:t xml:space="preserve">Il miglior </w:t>
      </w:r>
      <w:r w:rsidR="00942BB8">
        <w:rPr>
          <w:sz w:val="22"/>
          <w:szCs w:val="22"/>
        </w:rPr>
        <w:t>equilibrio tra contribuenti e personale si riscontra per le suddette “imprese medie”</w:t>
      </w:r>
      <w:r w:rsidR="006C50DE">
        <w:rPr>
          <w:sz w:val="22"/>
          <w:szCs w:val="22"/>
        </w:rPr>
        <w:t xml:space="preserve"> </w:t>
      </w:r>
      <w:r w:rsidR="00B40853">
        <w:rPr>
          <w:sz w:val="22"/>
          <w:szCs w:val="22"/>
        </w:rPr>
        <w:t>(</w:t>
      </w:r>
      <w:r w:rsidR="00B40853">
        <w:rPr>
          <w:rStyle w:val="Rimandonotaapidipagina"/>
          <w:sz w:val="22"/>
          <w:szCs w:val="22"/>
        </w:rPr>
        <w:footnoteReference w:id="506"/>
      </w:r>
      <w:r w:rsidR="00B40853">
        <w:rPr>
          <w:sz w:val="22"/>
          <w:szCs w:val="22"/>
        </w:rPr>
        <w:t>)</w:t>
      </w:r>
      <w:r w:rsidR="00942BB8">
        <w:rPr>
          <w:sz w:val="22"/>
          <w:szCs w:val="22"/>
        </w:rPr>
        <w:t>.</w:t>
      </w:r>
    </w:p>
    <w:p w14:paraId="06517892" w14:textId="77777777" w:rsidR="0074606F" w:rsidRPr="007F7EBF" w:rsidRDefault="009B4D5A" w:rsidP="0074606F">
      <w:pPr>
        <w:pStyle w:val="tit23"/>
        <w:ind w:left="6464" w:right="-1361" w:firstLine="0"/>
        <w:jc w:val="left"/>
        <w:rPr>
          <w:bCs/>
          <w:i/>
          <w:iCs/>
          <w:color w:val="0000FF"/>
          <w:lang w:val="it-IT"/>
        </w:rPr>
      </w:pPr>
      <w:r w:rsidRPr="007F7EBF">
        <w:rPr>
          <w:bCs/>
          <w:i/>
          <w:iCs/>
          <w:color w:val="0000FF"/>
          <w:lang w:val="it-IT"/>
        </w:rPr>
        <w:t>direzioni</w:t>
      </w:r>
      <w:r w:rsidR="0074606F" w:rsidRPr="007F7EBF">
        <w:rPr>
          <w:bCs/>
          <w:i/>
          <w:iCs/>
          <w:color w:val="0000FF"/>
          <w:lang w:val="it-IT"/>
        </w:rPr>
        <w:t xml:space="preserve"> </w:t>
      </w:r>
      <w:r w:rsidRPr="007F7EBF">
        <w:rPr>
          <w:bCs/>
          <w:i/>
          <w:iCs/>
          <w:color w:val="0000FF"/>
          <w:lang w:val="it-IT"/>
        </w:rPr>
        <w:t xml:space="preserve">regionali </w:t>
      </w:r>
    </w:p>
    <w:p w14:paraId="7E8B2BE9" w14:textId="3CB06DAB" w:rsidR="009B4D5A" w:rsidRPr="007F7EBF" w:rsidRDefault="00563634" w:rsidP="009B4D5A">
      <w:pPr>
        <w:autoSpaceDE w:val="0"/>
        <w:autoSpaceDN w:val="0"/>
        <w:adjustRightInd w:val="0"/>
        <w:rPr>
          <w:sz w:val="22"/>
          <w:szCs w:val="22"/>
        </w:rPr>
      </w:pPr>
      <w:r w:rsidRPr="007F7EBF">
        <w:rPr>
          <w:sz w:val="22"/>
          <w:szCs w:val="22"/>
        </w:rPr>
        <w:t>Le direzioni regionali coordinano le direzioni provinciali</w:t>
      </w:r>
      <w:r w:rsidR="0074606F" w:rsidRPr="007F7EBF">
        <w:rPr>
          <w:sz w:val="22"/>
          <w:szCs w:val="22"/>
        </w:rPr>
        <w:t xml:space="preserve"> ed esercitano direttamente, con appositi uffici controllo</w:t>
      </w:r>
      <w:r w:rsidR="00B40853">
        <w:rPr>
          <w:sz w:val="22"/>
          <w:szCs w:val="22"/>
        </w:rPr>
        <w:t>(</w:t>
      </w:r>
      <w:r w:rsidR="00B40853" w:rsidRPr="007F7EBF">
        <w:rPr>
          <w:rStyle w:val="Rimandonotaapidipagina"/>
          <w:sz w:val="22"/>
          <w:szCs w:val="22"/>
        </w:rPr>
        <w:footnoteReference w:id="507"/>
      </w:r>
      <w:r w:rsidR="00B40853">
        <w:rPr>
          <w:sz w:val="22"/>
          <w:szCs w:val="22"/>
        </w:rPr>
        <w:t>)</w:t>
      </w:r>
      <w:r w:rsidR="0074606F" w:rsidRPr="007F7EBF">
        <w:rPr>
          <w:sz w:val="22"/>
          <w:szCs w:val="22"/>
        </w:rPr>
        <w:t xml:space="preserve">, le indagini sui suddetti </w:t>
      </w:r>
      <w:r w:rsidR="00413DAB" w:rsidRPr="007F7EBF">
        <w:rPr>
          <w:sz w:val="22"/>
          <w:szCs w:val="22"/>
        </w:rPr>
        <w:t>contribuenti di grandi dimensioni</w:t>
      </w:r>
      <w:r w:rsidR="00427582" w:rsidRPr="007F7EBF">
        <w:rPr>
          <w:sz w:val="22"/>
          <w:szCs w:val="22"/>
        </w:rPr>
        <w:t xml:space="preserve">; si tratta di circa 4000 aziende con </w:t>
      </w:r>
      <w:r w:rsidR="00413DAB" w:rsidRPr="007F7EBF">
        <w:rPr>
          <w:sz w:val="22"/>
          <w:szCs w:val="22"/>
        </w:rPr>
        <w:t xml:space="preserve">fatturato eccedente </w:t>
      </w:r>
      <w:r w:rsidR="00B40853">
        <w:rPr>
          <w:sz w:val="22"/>
          <w:szCs w:val="22"/>
        </w:rPr>
        <w:t>5</w:t>
      </w:r>
      <w:r w:rsidR="00413DAB" w:rsidRPr="007F7EBF">
        <w:rPr>
          <w:sz w:val="22"/>
          <w:szCs w:val="22"/>
        </w:rPr>
        <w:t xml:space="preserve">0 milioni, </w:t>
      </w:r>
      <w:r w:rsidR="00427582" w:rsidRPr="007F7EBF">
        <w:rPr>
          <w:sz w:val="22"/>
          <w:szCs w:val="22"/>
        </w:rPr>
        <w:t>che incarnano il mito "mediatico politic</w:t>
      </w:r>
      <w:r w:rsidR="009B4D5A" w:rsidRPr="007F7EBF">
        <w:rPr>
          <w:sz w:val="22"/>
          <w:szCs w:val="22"/>
        </w:rPr>
        <w:t>o</w:t>
      </w:r>
      <w:r w:rsidR="00427582" w:rsidRPr="007F7EBF">
        <w:rPr>
          <w:sz w:val="22"/>
          <w:szCs w:val="22"/>
        </w:rPr>
        <w:t>" del "grande evasore</w:t>
      </w:r>
      <w:r w:rsidR="009B4D5A" w:rsidRPr="007F7EBF">
        <w:rPr>
          <w:sz w:val="22"/>
          <w:szCs w:val="22"/>
        </w:rPr>
        <w:t xml:space="preserve">", </w:t>
      </w:r>
      <w:r w:rsidR="00413DAB" w:rsidRPr="007F7EBF">
        <w:rPr>
          <w:sz w:val="22"/>
          <w:szCs w:val="22"/>
        </w:rPr>
        <w:t xml:space="preserve">come vedremo al par. 5.17 e seguenti. </w:t>
      </w:r>
      <w:r w:rsidR="009B4D5A" w:rsidRPr="007F7EBF">
        <w:rPr>
          <w:sz w:val="22"/>
          <w:szCs w:val="22"/>
        </w:rPr>
        <w:t xml:space="preserve">Ne è derivata una concentrazione dei controlli sui "grandi contribuenti", che  </w:t>
      </w:r>
      <w:r w:rsidR="009B4D5A" w:rsidRPr="007F7EBF">
        <w:rPr>
          <w:sz w:val="22"/>
          <w:szCs w:val="22"/>
        </w:rPr>
        <w:lastRenderedPageBreak/>
        <w:t>disperde</w:t>
      </w:r>
      <w:r w:rsidR="00B40853">
        <w:rPr>
          <w:sz w:val="22"/>
          <w:szCs w:val="22"/>
        </w:rPr>
        <w:t xml:space="preserve"> le energie</w:t>
      </w:r>
      <w:r w:rsidR="009B4D5A" w:rsidRPr="007F7EBF">
        <w:rPr>
          <w:sz w:val="22"/>
          <w:szCs w:val="22"/>
        </w:rPr>
        <w:t xml:space="preserve"> sulla riqualificazione </w:t>
      </w:r>
      <w:r w:rsidR="00413DAB" w:rsidRPr="007F7EBF">
        <w:rPr>
          <w:sz w:val="22"/>
          <w:szCs w:val="22"/>
        </w:rPr>
        <w:t>di vicende dichiarate, o pales</w:t>
      </w:r>
      <w:r w:rsidR="009B4D5A" w:rsidRPr="007F7EBF">
        <w:rPr>
          <w:sz w:val="22"/>
          <w:szCs w:val="22"/>
        </w:rPr>
        <w:t>i</w:t>
      </w:r>
      <w:r w:rsidR="00B40853">
        <w:rPr>
          <w:sz w:val="22"/>
          <w:szCs w:val="22"/>
        </w:rPr>
        <w:t xml:space="preserve"> (c.d. “contestazioni interpretative”)</w:t>
      </w:r>
      <w:r w:rsidR="009B4D5A" w:rsidRPr="007F7EBF">
        <w:rPr>
          <w:sz w:val="22"/>
          <w:szCs w:val="22"/>
        </w:rPr>
        <w:t xml:space="preserve">. </w:t>
      </w:r>
    </w:p>
    <w:p w14:paraId="3C2096A9" w14:textId="11D88DD8" w:rsidR="009B4D5A" w:rsidRPr="007F7EBF" w:rsidRDefault="009B4D5A" w:rsidP="009B4D5A">
      <w:pPr>
        <w:pStyle w:val="tit23"/>
        <w:ind w:left="6464" w:right="-1361" w:firstLine="0"/>
        <w:jc w:val="left"/>
        <w:rPr>
          <w:bCs/>
          <w:i/>
          <w:iCs/>
          <w:color w:val="0000FF"/>
          <w:lang w:val="it-IT"/>
        </w:rPr>
      </w:pPr>
      <w:r w:rsidRPr="007F7EBF">
        <w:rPr>
          <w:bCs/>
          <w:i/>
          <w:iCs/>
          <w:color w:val="0000FF"/>
          <w:lang w:val="it-IT"/>
        </w:rPr>
        <w:t>Servizi di coordinamento e alta direzione</w:t>
      </w:r>
    </w:p>
    <w:p w14:paraId="4940A58A" w14:textId="0F7441CD" w:rsidR="0074606F" w:rsidRPr="007F7EBF" w:rsidRDefault="009B4D5A" w:rsidP="009B4D5A">
      <w:pPr>
        <w:autoSpaceDE w:val="0"/>
        <w:autoSpaceDN w:val="0"/>
        <w:adjustRightInd w:val="0"/>
        <w:rPr>
          <w:sz w:val="22"/>
          <w:szCs w:val="22"/>
        </w:rPr>
      </w:pPr>
      <w:r w:rsidRPr="007F7EBF">
        <w:rPr>
          <w:sz w:val="22"/>
          <w:szCs w:val="22"/>
        </w:rPr>
        <w:t>U</w:t>
      </w:r>
      <w:r w:rsidR="00E93529" w:rsidRPr="007F7EBF">
        <w:rPr>
          <w:sz w:val="22"/>
          <w:szCs w:val="22"/>
        </w:rPr>
        <w:t xml:space="preserve">na direzione nazionale coordina le direzioni regionali, </w:t>
      </w:r>
      <w:r w:rsidRPr="007F7EBF">
        <w:rPr>
          <w:sz w:val="22"/>
          <w:szCs w:val="22"/>
        </w:rPr>
        <w:t>con uffici del personale, di amministrazione, di "</w:t>
      </w:r>
      <w:proofErr w:type="spellStart"/>
      <w:r w:rsidRPr="007F7EBF">
        <w:rPr>
          <w:sz w:val="22"/>
          <w:szCs w:val="22"/>
        </w:rPr>
        <w:t>internal</w:t>
      </w:r>
      <w:proofErr w:type="spellEnd"/>
      <w:r w:rsidRPr="007F7EBF">
        <w:rPr>
          <w:sz w:val="22"/>
          <w:szCs w:val="22"/>
        </w:rPr>
        <w:t xml:space="preserve"> auditing", di rapporti col servizio di riscossione (par.6.11)</w:t>
      </w:r>
      <w:r w:rsidR="00E829E4">
        <w:rPr>
          <w:sz w:val="22"/>
          <w:szCs w:val="22"/>
        </w:rPr>
        <w:t>, con la Guardia di Finanza</w:t>
      </w:r>
      <w:r w:rsidRPr="007F7EBF">
        <w:rPr>
          <w:sz w:val="22"/>
          <w:szCs w:val="22"/>
        </w:rPr>
        <w:t xml:space="preserve">. Le direzioni regionali, e soprattutto la direzione nazionale di Roma, pongono anche </w:t>
      </w:r>
      <w:r w:rsidR="00E93529" w:rsidRPr="007F7EBF">
        <w:rPr>
          <w:sz w:val="22"/>
          <w:szCs w:val="22"/>
        </w:rPr>
        <w:t>in essere gran parte dell'attività interpretativa di cui al par.5.</w:t>
      </w:r>
      <w:r w:rsidR="00E829E4">
        <w:rPr>
          <w:sz w:val="22"/>
          <w:szCs w:val="22"/>
        </w:rPr>
        <w:t>4 (circolari, interpelli etc.)</w:t>
      </w:r>
      <w:r w:rsidR="00E93529" w:rsidRPr="007F7EBF">
        <w:rPr>
          <w:sz w:val="22"/>
          <w:szCs w:val="22"/>
        </w:rPr>
        <w:t xml:space="preserve">.  </w:t>
      </w:r>
    </w:p>
    <w:p w14:paraId="501B784C" w14:textId="77777777" w:rsidR="0074606F" w:rsidRPr="007F7EBF" w:rsidRDefault="0074606F" w:rsidP="0074606F">
      <w:pPr>
        <w:pStyle w:val="tit23"/>
        <w:ind w:left="6464" w:right="-1361" w:firstLine="0"/>
        <w:jc w:val="left"/>
        <w:rPr>
          <w:bCs/>
          <w:i/>
          <w:iCs/>
          <w:color w:val="0000FF"/>
          <w:lang w:val="it-IT"/>
        </w:rPr>
      </w:pPr>
      <w:r w:rsidRPr="007F7EBF">
        <w:rPr>
          <w:bCs/>
          <w:i/>
          <w:iCs/>
          <w:color w:val="0000FF"/>
          <w:lang w:val="it-IT"/>
        </w:rPr>
        <w:t>guardia di finanza : risorse disponibili</w:t>
      </w:r>
    </w:p>
    <w:p w14:paraId="48E2DB4B" w14:textId="590BA6AD" w:rsidR="0074606F" w:rsidRPr="007F7EBF" w:rsidRDefault="004B4FA0" w:rsidP="0074606F">
      <w:pPr>
        <w:autoSpaceDE w:val="0"/>
        <w:autoSpaceDN w:val="0"/>
        <w:adjustRightInd w:val="0"/>
        <w:rPr>
          <w:sz w:val="22"/>
          <w:szCs w:val="22"/>
        </w:rPr>
      </w:pPr>
      <w:proofErr w:type="spellStart"/>
      <w:r w:rsidRPr="007F7EBF">
        <w:rPr>
          <w:sz w:val="22"/>
          <w:szCs w:val="22"/>
        </w:rPr>
        <w:t>Benchè</w:t>
      </w:r>
      <w:proofErr w:type="spellEnd"/>
      <w:r w:rsidRPr="007F7EBF">
        <w:rPr>
          <w:sz w:val="22"/>
          <w:szCs w:val="22"/>
        </w:rPr>
        <w:t xml:space="preserve"> la rideterminazione dei tributi </w:t>
      </w:r>
      <w:r w:rsidR="007D6E7A">
        <w:rPr>
          <w:sz w:val="22"/>
          <w:szCs w:val="22"/>
        </w:rPr>
        <w:t xml:space="preserve">statali </w:t>
      </w:r>
      <w:r w:rsidRPr="007F7EBF">
        <w:rPr>
          <w:sz w:val="22"/>
          <w:szCs w:val="22"/>
        </w:rPr>
        <w:t xml:space="preserve">spetti solo all'Agenzia delle Entrate, </w:t>
      </w:r>
      <w:r w:rsidR="006342C5" w:rsidRPr="007F7EBF">
        <w:rPr>
          <w:sz w:val="22"/>
          <w:szCs w:val="22"/>
        </w:rPr>
        <w:t>i</w:t>
      </w:r>
      <w:r w:rsidRPr="007F7EBF">
        <w:rPr>
          <w:sz w:val="22"/>
          <w:szCs w:val="22"/>
        </w:rPr>
        <w:t>ndagini</w:t>
      </w:r>
      <w:r w:rsidR="006342C5" w:rsidRPr="007F7EBF">
        <w:rPr>
          <w:sz w:val="22"/>
          <w:szCs w:val="22"/>
        </w:rPr>
        <w:t xml:space="preserve"> tributari</w:t>
      </w:r>
      <w:r w:rsidRPr="007F7EBF">
        <w:rPr>
          <w:sz w:val="22"/>
          <w:szCs w:val="22"/>
        </w:rPr>
        <w:t xml:space="preserve">e sono </w:t>
      </w:r>
      <w:r w:rsidR="00563634" w:rsidRPr="007F7EBF">
        <w:rPr>
          <w:sz w:val="22"/>
          <w:szCs w:val="22"/>
        </w:rPr>
        <w:t>compito istituzionale</w:t>
      </w:r>
      <w:r w:rsidR="006342C5" w:rsidRPr="007F7EBF">
        <w:rPr>
          <w:sz w:val="22"/>
          <w:szCs w:val="22"/>
        </w:rPr>
        <w:t xml:space="preserve"> anche d</w:t>
      </w:r>
      <w:r w:rsidR="00563634" w:rsidRPr="007F7EBF">
        <w:rPr>
          <w:sz w:val="22"/>
          <w:szCs w:val="22"/>
        </w:rPr>
        <w:t>e</w:t>
      </w:r>
      <w:r w:rsidR="006342C5" w:rsidRPr="007F7EBF">
        <w:rPr>
          <w:sz w:val="22"/>
          <w:szCs w:val="22"/>
        </w:rPr>
        <w:t xml:space="preserve">lla </w:t>
      </w:r>
      <w:r w:rsidR="006342C5" w:rsidRPr="007F7EBF">
        <w:rPr>
          <w:bCs/>
          <w:sz w:val="22"/>
          <w:szCs w:val="22"/>
        </w:rPr>
        <w:t xml:space="preserve">Guardia di Finanza, </w:t>
      </w:r>
      <w:r w:rsidR="006342C5" w:rsidRPr="007F7EBF">
        <w:rPr>
          <w:sz w:val="22"/>
          <w:szCs w:val="22"/>
        </w:rPr>
        <w:t>corpo militare</w:t>
      </w:r>
      <w:r w:rsidR="00182F6A" w:rsidRPr="007F7EBF">
        <w:rPr>
          <w:sz w:val="22"/>
          <w:szCs w:val="22"/>
        </w:rPr>
        <w:t xml:space="preserve"> </w:t>
      </w:r>
      <w:r w:rsidRPr="007F7EBF">
        <w:rPr>
          <w:sz w:val="22"/>
          <w:szCs w:val="22"/>
        </w:rPr>
        <w:t xml:space="preserve">ad ampio spettro, </w:t>
      </w:r>
      <w:r w:rsidR="006342C5" w:rsidRPr="007F7EBF">
        <w:rPr>
          <w:sz w:val="22"/>
          <w:szCs w:val="22"/>
        </w:rPr>
        <w:t xml:space="preserve">cui competono </w:t>
      </w:r>
      <w:r w:rsidRPr="007F7EBF">
        <w:rPr>
          <w:sz w:val="22"/>
          <w:szCs w:val="22"/>
        </w:rPr>
        <w:t xml:space="preserve">anche </w:t>
      </w:r>
      <w:r w:rsidR="006342C5" w:rsidRPr="007F7EBF">
        <w:rPr>
          <w:sz w:val="22"/>
          <w:szCs w:val="22"/>
        </w:rPr>
        <w:t>compiti di polizia</w:t>
      </w:r>
      <w:r w:rsidR="00563634" w:rsidRPr="007F7EBF">
        <w:rPr>
          <w:sz w:val="22"/>
          <w:szCs w:val="22"/>
        </w:rPr>
        <w:t xml:space="preserve"> </w:t>
      </w:r>
      <w:r w:rsidR="006342C5" w:rsidRPr="007F7EBF">
        <w:rPr>
          <w:sz w:val="22"/>
          <w:szCs w:val="22"/>
        </w:rPr>
        <w:t>giudiziaria, sotto la direzione della magistratura inquirente (procura della repubblica)</w:t>
      </w:r>
      <w:r w:rsidR="00563634" w:rsidRPr="007F7EBF">
        <w:rPr>
          <w:sz w:val="22"/>
          <w:szCs w:val="22"/>
        </w:rPr>
        <w:t>; visto che l</w:t>
      </w:r>
      <w:r w:rsidR="00BB2022" w:rsidRPr="007F7EBF">
        <w:rPr>
          <w:sz w:val="22"/>
          <w:szCs w:val="22"/>
        </w:rPr>
        <w:t xml:space="preserve">a Guardia di Finanza opera anche </w:t>
      </w:r>
      <w:r w:rsidRPr="007F7EBF">
        <w:rPr>
          <w:sz w:val="22"/>
          <w:szCs w:val="22"/>
        </w:rPr>
        <w:t xml:space="preserve">in materia non tributaria, di </w:t>
      </w:r>
      <w:r w:rsidR="00BB2022" w:rsidRPr="007F7EBF">
        <w:rPr>
          <w:sz w:val="22"/>
          <w:szCs w:val="22"/>
        </w:rPr>
        <w:t xml:space="preserve">criminalità economica, </w:t>
      </w:r>
      <w:r w:rsidRPr="007F7EBF">
        <w:rPr>
          <w:sz w:val="22"/>
          <w:szCs w:val="22"/>
        </w:rPr>
        <w:t>ordine pu</w:t>
      </w:r>
      <w:r w:rsidR="00563634" w:rsidRPr="007F7EBF">
        <w:rPr>
          <w:sz w:val="22"/>
          <w:szCs w:val="22"/>
        </w:rPr>
        <w:t xml:space="preserve">bblico, di vigilanza dei confini, è </w:t>
      </w:r>
      <w:r w:rsidR="009D1E9A">
        <w:rPr>
          <w:sz w:val="22"/>
          <w:szCs w:val="22"/>
        </w:rPr>
        <w:t xml:space="preserve"> </w:t>
      </w:r>
      <w:r w:rsidRPr="007F7EBF">
        <w:rPr>
          <w:sz w:val="22"/>
          <w:szCs w:val="22"/>
        </w:rPr>
        <w:t xml:space="preserve">difficile dire quanti dei </w:t>
      </w:r>
      <w:r w:rsidR="00563634" w:rsidRPr="007F7EBF">
        <w:rPr>
          <w:sz w:val="22"/>
          <w:szCs w:val="22"/>
        </w:rPr>
        <w:t xml:space="preserve">suoi </w:t>
      </w:r>
      <w:r w:rsidRPr="007F7EBF">
        <w:rPr>
          <w:sz w:val="22"/>
          <w:szCs w:val="22"/>
        </w:rPr>
        <w:t xml:space="preserve">60 mila addetti </w:t>
      </w:r>
      <w:r w:rsidR="00563634" w:rsidRPr="007F7EBF">
        <w:rPr>
          <w:sz w:val="22"/>
          <w:szCs w:val="22"/>
        </w:rPr>
        <w:t xml:space="preserve">sono </w:t>
      </w:r>
      <w:r w:rsidRPr="007F7EBF">
        <w:rPr>
          <w:sz w:val="22"/>
          <w:szCs w:val="22"/>
        </w:rPr>
        <w:t>impiegati in attività di controllo tributario. Può stimarsi, considerando i reparti "dedicati"</w:t>
      </w:r>
      <w:r w:rsidR="009D1E9A">
        <w:rPr>
          <w:sz w:val="22"/>
          <w:szCs w:val="22"/>
        </w:rPr>
        <w:t xml:space="preserve">, </w:t>
      </w:r>
      <w:r w:rsidRPr="007F7EBF">
        <w:rPr>
          <w:sz w:val="22"/>
          <w:szCs w:val="22"/>
        </w:rPr>
        <w:t>che siano intorno a 10000, che poi trasmettono all'Agenzia delle entrate</w:t>
      </w:r>
      <w:r w:rsidR="006342C5" w:rsidRPr="007F7EBF">
        <w:rPr>
          <w:sz w:val="22"/>
          <w:szCs w:val="22"/>
        </w:rPr>
        <w:t xml:space="preserve"> i risultati delle</w:t>
      </w:r>
      <w:r w:rsidR="00182F6A" w:rsidRPr="007F7EBF">
        <w:rPr>
          <w:sz w:val="22"/>
          <w:szCs w:val="22"/>
        </w:rPr>
        <w:t xml:space="preserve"> </w:t>
      </w:r>
      <w:r w:rsidR="006342C5" w:rsidRPr="007F7EBF">
        <w:rPr>
          <w:sz w:val="22"/>
          <w:szCs w:val="22"/>
        </w:rPr>
        <w:t>indagini</w:t>
      </w:r>
      <w:r w:rsidR="009D1E9A">
        <w:rPr>
          <w:sz w:val="22"/>
          <w:szCs w:val="22"/>
        </w:rPr>
        <w:t xml:space="preserve">, cioè </w:t>
      </w:r>
      <w:r w:rsidR="006342C5" w:rsidRPr="007F7EBF">
        <w:rPr>
          <w:sz w:val="22"/>
          <w:szCs w:val="22"/>
        </w:rPr>
        <w:t>i processi verbali di cui diremo al par. 5.6</w:t>
      </w:r>
      <w:r w:rsidRPr="007F7EBF">
        <w:rPr>
          <w:sz w:val="22"/>
          <w:szCs w:val="22"/>
        </w:rPr>
        <w:t>.</w:t>
      </w:r>
      <w:r w:rsidR="00182F6A" w:rsidRPr="007F7EBF">
        <w:rPr>
          <w:bCs/>
          <w:i/>
          <w:iCs/>
          <w:color w:val="0000FF"/>
          <w:sz w:val="22"/>
          <w:szCs w:val="22"/>
        </w:rPr>
        <w:t xml:space="preserve"> </w:t>
      </w:r>
    </w:p>
    <w:p w14:paraId="4203A45D" w14:textId="77777777" w:rsidR="0074606F" w:rsidRPr="007F7EBF" w:rsidRDefault="0074606F" w:rsidP="0074606F">
      <w:pPr>
        <w:pStyle w:val="tit23"/>
        <w:ind w:left="6464" w:right="-1361" w:firstLine="0"/>
        <w:jc w:val="left"/>
        <w:rPr>
          <w:bCs/>
          <w:i/>
          <w:iCs/>
          <w:color w:val="0000FF"/>
          <w:lang w:val="it-IT"/>
        </w:rPr>
      </w:pPr>
      <w:r w:rsidRPr="007F7EBF">
        <w:rPr>
          <w:bCs/>
          <w:i/>
          <w:iCs/>
          <w:color w:val="0000FF"/>
          <w:lang w:val="it-IT"/>
        </w:rPr>
        <w:t xml:space="preserve">Coordinamento tra guardia di finanza  e Agenzia        </w:t>
      </w:r>
    </w:p>
    <w:p w14:paraId="20C54EA4" w14:textId="0F852594" w:rsidR="0074606F" w:rsidRPr="007F7EBF" w:rsidRDefault="00563634" w:rsidP="0074606F">
      <w:pPr>
        <w:autoSpaceDE w:val="0"/>
        <w:autoSpaceDN w:val="0"/>
        <w:adjustRightInd w:val="0"/>
        <w:rPr>
          <w:sz w:val="22"/>
          <w:szCs w:val="22"/>
        </w:rPr>
      </w:pPr>
      <w:r w:rsidRPr="007F7EBF">
        <w:rPr>
          <w:sz w:val="22"/>
          <w:szCs w:val="22"/>
        </w:rPr>
        <w:t>Questo</w:t>
      </w:r>
      <w:r w:rsidR="006342C5" w:rsidRPr="007F7EBF">
        <w:rPr>
          <w:sz w:val="22"/>
          <w:szCs w:val="22"/>
        </w:rPr>
        <w:t xml:space="preserve"> </w:t>
      </w:r>
      <w:r w:rsidR="006342C5" w:rsidRPr="007F7EBF">
        <w:rPr>
          <w:bCs/>
          <w:sz w:val="22"/>
          <w:szCs w:val="22"/>
        </w:rPr>
        <w:t xml:space="preserve">dualismo </w:t>
      </w:r>
      <w:r w:rsidR="006342C5" w:rsidRPr="007F7EBF">
        <w:rPr>
          <w:sz w:val="22"/>
          <w:szCs w:val="22"/>
        </w:rPr>
        <w:t>tra agenzia delle entrate e guardia di Finanza</w:t>
      </w:r>
      <w:r w:rsidR="007D6E7A">
        <w:rPr>
          <w:sz w:val="22"/>
          <w:szCs w:val="22"/>
        </w:rPr>
        <w:t>, senza riscontri all’estero,</w:t>
      </w:r>
      <w:r w:rsidR="006342C5" w:rsidRPr="007F7EBF">
        <w:rPr>
          <w:sz w:val="22"/>
          <w:szCs w:val="22"/>
        </w:rPr>
        <w:t xml:space="preserve"> </w:t>
      </w:r>
      <w:r w:rsidR="006342C5" w:rsidRPr="007F7EBF">
        <w:rPr>
          <w:bCs/>
          <w:sz w:val="22"/>
          <w:szCs w:val="22"/>
        </w:rPr>
        <w:t>richiede un coordinamento</w:t>
      </w:r>
      <w:r w:rsidR="006342C5" w:rsidRPr="007F7EBF">
        <w:rPr>
          <w:sz w:val="22"/>
          <w:szCs w:val="22"/>
        </w:rPr>
        <w:t>,</w:t>
      </w:r>
      <w:r w:rsidR="00182F6A" w:rsidRPr="007F7EBF">
        <w:rPr>
          <w:sz w:val="22"/>
          <w:szCs w:val="22"/>
        </w:rPr>
        <w:t xml:space="preserve"> </w:t>
      </w:r>
      <w:r w:rsidR="006342C5" w:rsidRPr="007F7EBF">
        <w:rPr>
          <w:sz w:val="22"/>
          <w:szCs w:val="22"/>
        </w:rPr>
        <w:t>che dovrebbe tendenzialmente basarsi sull’attribuzione all’Agenzia delle valutazioni</w:t>
      </w:r>
      <w:r w:rsidR="00182F6A" w:rsidRPr="007F7EBF">
        <w:rPr>
          <w:sz w:val="22"/>
          <w:szCs w:val="22"/>
        </w:rPr>
        <w:t xml:space="preserve">  </w:t>
      </w:r>
      <w:r w:rsidR="006342C5" w:rsidRPr="007F7EBF">
        <w:rPr>
          <w:sz w:val="22"/>
          <w:szCs w:val="22"/>
        </w:rPr>
        <w:t>empiriche su</w:t>
      </w:r>
      <w:r w:rsidR="00E829E4">
        <w:rPr>
          <w:sz w:val="22"/>
          <w:szCs w:val="22"/>
        </w:rPr>
        <w:t xml:space="preserve"> piccoli commercianti e artigiani, nel controllo valutativo del territorio di cui al par.5.7. L</w:t>
      </w:r>
      <w:r w:rsidR="006342C5" w:rsidRPr="007F7EBF">
        <w:rPr>
          <w:sz w:val="22"/>
          <w:szCs w:val="22"/>
        </w:rPr>
        <w:t>e frodi</w:t>
      </w:r>
      <w:r w:rsidR="00182F6A" w:rsidRPr="007F7EBF">
        <w:rPr>
          <w:sz w:val="22"/>
          <w:szCs w:val="22"/>
        </w:rPr>
        <w:t xml:space="preserve"> </w:t>
      </w:r>
      <w:r w:rsidR="006342C5" w:rsidRPr="007F7EBF">
        <w:rPr>
          <w:sz w:val="22"/>
          <w:szCs w:val="22"/>
        </w:rPr>
        <w:t xml:space="preserve">contabili, </w:t>
      </w:r>
      <w:r w:rsidR="00BB2022" w:rsidRPr="007F7EBF">
        <w:rPr>
          <w:sz w:val="22"/>
          <w:szCs w:val="22"/>
        </w:rPr>
        <w:t xml:space="preserve">auspicabilmente più rare, e </w:t>
      </w:r>
      <w:r w:rsidR="006342C5" w:rsidRPr="007F7EBF">
        <w:rPr>
          <w:sz w:val="22"/>
          <w:szCs w:val="22"/>
        </w:rPr>
        <w:t xml:space="preserve">ramificate sul territorio, richiedono indagini articolate, anche </w:t>
      </w:r>
      <w:r w:rsidR="007B676F" w:rsidRPr="007F7EBF">
        <w:rPr>
          <w:sz w:val="22"/>
          <w:szCs w:val="22"/>
        </w:rPr>
        <w:t>investigative e di polizia giudiziaria</w:t>
      </w:r>
      <w:r w:rsidR="006342C5" w:rsidRPr="007F7EBF">
        <w:rPr>
          <w:sz w:val="22"/>
          <w:szCs w:val="22"/>
        </w:rPr>
        <w:t>,</w:t>
      </w:r>
      <w:r w:rsidR="00182F6A" w:rsidRPr="007F7EBF">
        <w:rPr>
          <w:sz w:val="22"/>
          <w:szCs w:val="22"/>
        </w:rPr>
        <w:t xml:space="preserve"> </w:t>
      </w:r>
      <w:r w:rsidR="00BB2022" w:rsidRPr="007F7EBF">
        <w:rPr>
          <w:sz w:val="22"/>
          <w:szCs w:val="22"/>
        </w:rPr>
        <w:t xml:space="preserve">e potrebbero convenientemente </w:t>
      </w:r>
      <w:r w:rsidR="006342C5" w:rsidRPr="007F7EBF">
        <w:rPr>
          <w:sz w:val="22"/>
          <w:szCs w:val="22"/>
        </w:rPr>
        <w:t>spettare alla Guardia di Finanza, come polizia economica</w:t>
      </w:r>
      <w:r w:rsidR="00E829E4">
        <w:rPr>
          <w:sz w:val="22"/>
          <w:szCs w:val="22"/>
        </w:rPr>
        <w:t xml:space="preserve"> (</w:t>
      </w:r>
      <w:r w:rsidR="0074606F" w:rsidRPr="007F7EBF">
        <w:rPr>
          <w:rStyle w:val="Rimandonotaapidipagina"/>
          <w:sz w:val="22"/>
          <w:szCs w:val="22"/>
        </w:rPr>
        <w:footnoteReference w:id="508"/>
      </w:r>
      <w:r w:rsidR="00E829E4">
        <w:rPr>
          <w:sz w:val="22"/>
          <w:szCs w:val="22"/>
        </w:rPr>
        <w:t>)</w:t>
      </w:r>
      <w:r w:rsidR="006342C5" w:rsidRPr="007F7EBF">
        <w:rPr>
          <w:sz w:val="22"/>
          <w:szCs w:val="22"/>
        </w:rPr>
        <w:t>.</w:t>
      </w:r>
      <w:r w:rsidR="00BB2022" w:rsidRPr="007F7EBF">
        <w:rPr>
          <w:sz w:val="22"/>
          <w:szCs w:val="22"/>
        </w:rPr>
        <w:t xml:space="preserve"> </w:t>
      </w:r>
    </w:p>
    <w:p w14:paraId="4C66AEA9" w14:textId="5983B88F" w:rsidR="0074606F" w:rsidRPr="007F7EBF" w:rsidRDefault="0074606F" w:rsidP="0074606F">
      <w:pPr>
        <w:pStyle w:val="tit23"/>
        <w:ind w:left="6464" w:right="-1361" w:firstLine="0"/>
        <w:jc w:val="left"/>
        <w:rPr>
          <w:bCs/>
          <w:i/>
          <w:iCs/>
          <w:color w:val="0000FF"/>
          <w:lang w:val="it-IT"/>
        </w:rPr>
      </w:pPr>
      <w:r w:rsidRPr="007F7EBF">
        <w:rPr>
          <w:bCs/>
          <w:i/>
          <w:iCs/>
          <w:color w:val="0000FF"/>
          <w:lang w:val="it-IT"/>
        </w:rPr>
        <w:lastRenderedPageBreak/>
        <w:t xml:space="preserve">Altri enti (ad es. locali) e </w:t>
      </w:r>
      <w:r w:rsidR="00B67778">
        <w:rPr>
          <w:bCs/>
          <w:i/>
          <w:iCs/>
          <w:color w:val="0000FF"/>
          <w:lang w:val="it-IT"/>
        </w:rPr>
        <w:t>concessionari</w:t>
      </w:r>
      <w:r w:rsidRPr="007F7EBF">
        <w:rPr>
          <w:bCs/>
          <w:i/>
          <w:iCs/>
          <w:color w:val="0000FF"/>
          <w:lang w:val="it-IT"/>
        </w:rPr>
        <w:t xml:space="preserve">        </w:t>
      </w:r>
    </w:p>
    <w:p w14:paraId="1A47755E" w14:textId="19833265" w:rsidR="00D74EB2" w:rsidRPr="007F7EBF" w:rsidRDefault="006342C5" w:rsidP="00D74EB2">
      <w:pPr>
        <w:autoSpaceDE w:val="0"/>
        <w:autoSpaceDN w:val="0"/>
        <w:adjustRightInd w:val="0"/>
        <w:rPr>
          <w:sz w:val="22"/>
          <w:szCs w:val="22"/>
        </w:rPr>
      </w:pPr>
      <w:r w:rsidRPr="007F7EBF">
        <w:rPr>
          <w:sz w:val="22"/>
          <w:szCs w:val="22"/>
        </w:rPr>
        <w:t xml:space="preserve">Analoghi </w:t>
      </w:r>
      <w:r w:rsidRPr="007F7EBF">
        <w:rPr>
          <w:bCs/>
          <w:sz w:val="22"/>
          <w:szCs w:val="22"/>
        </w:rPr>
        <w:t>poteri amministrativistici</w:t>
      </w:r>
      <w:r w:rsidRPr="007F7EBF">
        <w:rPr>
          <w:sz w:val="22"/>
          <w:szCs w:val="22"/>
        </w:rPr>
        <w:t>, senza particolari problemi di coordinamento,</w:t>
      </w:r>
      <w:r w:rsidR="00182F6A" w:rsidRPr="007F7EBF">
        <w:rPr>
          <w:sz w:val="22"/>
          <w:szCs w:val="22"/>
        </w:rPr>
        <w:t xml:space="preserve"> </w:t>
      </w:r>
      <w:r w:rsidRPr="007F7EBF">
        <w:rPr>
          <w:sz w:val="22"/>
          <w:szCs w:val="22"/>
        </w:rPr>
        <w:t xml:space="preserve">spettano anche agli </w:t>
      </w:r>
      <w:r w:rsidRPr="007F7EBF">
        <w:rPr>
          <w:bCs/>
          <w:sz w:val="22"/>
          <w:szCs w:val="22"/>
        </w:rPr>
        <w:t>uffici tributari degli enti locali</w:t>
      </w:r>
      <w:r w:rsidRPr="007F7EBF">
        <w:rPr>
          <w:sz w:val="22"/>
          <w:szCs w:val="22"/>
        </w:rPr>
        <w:t>, per i tributi di loro competenza</w:t>
      </w:r>
      <w:r w:rsidR="00BF4452" w:rsidRPr="007F7EBF">
        <w:rPr>
          <w:sz w:val="22"/>
          <w:szCs w:val="22"/>
        </w:rPr>
        <w:t xml:space="preserve"> (par.10.8 ss.)</w:t>
      </w:r>
      <w:r w:rsidRPr="007F7EBF">
        <w:rPr>
          <w:sz w:val="22"/>
          <w:szCs w:val="22"/>
        </w:rPr>
        <w:t>,</w:t>
      </w:r>
      <w:r w:rsidR="00BF4452" w:rsidRPr="007F7EBF">
        <w:rPr>
          <w:sz w:val="22"/>
          <w:szCs w:val="22"/>
        </w:rPr>
        <w:t xml:space="preserve"> </w:t>
      </w:r>
      <w:r w:rsidRPr="007F7EBF">
        <w:rPr>
          <w:sz w:val="22"/>
          <w:szCs w:val="22"/>
        </w:rPr>
        <w:t>nonché a</w:t>
      </w:r>
      <w:r w:rsidR="00B67778">
        <w:rPr>
          <w:sz w:val="22"/>
          <w:szCs w:val="22"/>
        </w:rPr>
        <w:t xml:space="preserve">gli incaricati per </w:t>
      </w:r>
      <w:r w:rsidRPr="007F7EBF">
        <w:rPr>
          <w:bCs/>
          <w:sz w:val="22"/>
          <w:szCs w:val="22"/>
        </w:rPr>
        <w:t>la riscossione dei tribut</w:t>
      </w:r>
      <w:r w:rsidR="00B67778">
        <w:rPr>
          <w:bCs/>
          <w:sz w:val="22"/>
          <w:szCs w:val="22"/>
        </w:rPr>
        <w:t>i</w:t>
      </w:r>
      <w:r w:rsidRPr="007F7EBF">
        <w:rPr>
          <w:sz w:val="22"/>
          <w:szCs w:val="22"/>
        </w:rPr>
        <w:t xml:space="preserve"> di cui diremo al</w:t>
      </w:r>
      <w:r w:rsidR="00182F6A" w:rsidRPr="007F7EBF">
        <w:rPr>
          <w:sz w:val="22"/>
          <w:szCs w:val="22"/>
        </w:rPr>
        <w:t xml:space="preserve"> </w:t>
      </w:r>
      <w:r w:rsidRPr="007F7EBF">
        <w:rPr>
          <w:sz w:val="22"/>
          <w:szCs w:val="22"/>
        </w:rPr>
        <w:t>paragrafo 6.11.</w:t>
      </w:r>
      <w:r w:rsidR="00767785" w:rsidRPr="007F7EBF">
        <w:rPr>
          <w:sz w:val="22"/>
          <w:szCs w:val="22"/>
        </w:rPr>
        <w:t xml:space="preserve"> Questi poteri pubblici possono essere trasferiti a privati, concessionari della gestione di specifici tributi, come anticipato nella storia al par.1.3, ed oggi è consentito per i tributi comunali o </w:t>
      </w:r>
      <w:r w:rsidR="00E829E4">
        <w:rPr>
          <w:sz w:val="22"/>
          <w:szCs w:val="22"/>
        </w:rPr>
        <w:t xml:space="preserve">le imposte di consumo (compresa l’IVA) sul settore dello </w:t>
      </w:r>
      <w:r w:rsidR="00767785" w:rsidRPr="007F7EBF">
        <w:rPr>
          <w:sz w:val="22"/>
          <w:szCs w:val="22"/>
        </w:rPr>
        <w:t>spettacol</w:t>
      </w:r>
      <w:r w:rsidR="00E829E4">
        <w:rPr>
          <w:sz w:val="22"/>
          <w:szCs w:val="22"/>
        </w:rPr>
        <w:t>o,</w:t>
      </w:r>
      <w:r w:rsidR="00767785" w:rsidRPr="007F7EBF">
        <w:rPr>
          <w:sz w:val="22"/>
          <w:szCs w:val="22"/>
        </w:rPr>
        <w:t xml:space="preserve"> gestite dalla SIAE. </w:t>
      </w:r>
    </w:p>
    <w:p w14:paraId="426E672C" w14:textId="77777777" w:rsidR="00D74EB2" w:rsidRPr="007F7EBF" w:rsidRDefault="00D74EB2" w:rsidP="00D74EB2">
      <w:pPr>
        <w:pStyle w:val="tit23"/>
        <w:ind w:left="6464" w:right="-1361" w:firstLine="0"/>
        <w:jc w:val="left"/>
        <w:rPr>
          <w:b/>
          <w:bCs/>
          <w:i/>
          <w:iCs/>
          <w:color w:val="0000FF"/>
          <w:lang w:val="it-IT"/>
        </w:rPr>
      </w:pPr>
      <w:r w:rsidRPr="007F7EBF">
        <w:rPr>
          <w:b/>
          <w:bCs/>
          <w:i/>
          <w:iCs/>
          <w:color w:val="0000FF"/>
          <w:lang w:val="it-IT"/>
        </w:rPr>
        <w:t>Serialità dei compiti</w:t>
      </w:r>
    </w:p>
    <w:p w14:paraId="6569CACE" w14:textId="77777777" w:rsidR="003A0539" w:rsidRPr="007F7EBF" w:rsidRDefault="00002DA5" w:rsidP="003A0539">
      <w:pPr>
        <w:autoSpaceDE w:val="0"/>
        <w:autoSpaceDN w:val="0"/>
        <w:adjustRightInd w:val="0"/>
        <w:rPr>
          <w:sz w:val="22"/>
          <w:szCs w:val="22"/>
        </w:rPr>
      </w:pPr>
      <w:r w:rsidRPr="007F7EBF">
        <w:rPr>
          <w:sz w:val="22"/>
          <w:szCs w:val="22"/>
        </w:rPr>
        <w:t>I funzionari</w:t>
      </w:r>
      <w:r w:rsidR="00A86FB7" w:rsidRPr="007F7EBF">
        <w:rPr>
          <w:sz w:val="22"/>
          <w:szCs w:val="22"/>
        </w:rPr>
        <w:t xml:space="preserve"> delle istituzioni </w:t>
      </w:r>
      <w:r w:rsidRPr="007F7EBF">
        <w:rPr>
          <w:sz w:val="22"/>
          <w:szCs w:val="22"/>
        </w:rPr>
        <w:t>suddette sono adibiti</w:t>
      </w:r>
      <w:r w:rsidR="00D74EB2" w:rsidRPr="007F7EBF">
        <w:rPr>
          <w:sz w:val="22"/>
          <w:szCs w:val="22"/>
        </w:rPr>
        <w:t xml:space="preserve"> a incarichi </w:t>
      </w:r>
      <w:r w:rsidRPr="007F7EBF">
        <w:rPr>
          <w:sz w:val="22"/>
          <w:szCs w:val="22"/>
        </w:rPr>
        <w:t xml:space="preserve">settorializzati, il che li rende </w:t>
      </w:r>
      <w:r w:rsidR="00D266D3" w:rsidRPr="007F7EBF">
        <w:rPr>
          <w:sz w:val="22"/>
          <w:szCs w:val="22"/>
        </w:rPr>
        <w:t>rapidamente</w:t>
      </w:r>
      <w:r w:rsidR="00D74EB2" w:rsidRPr="007F7EBF">
        <w:rPr>
          <w:sz w:val="22"/>
          <w:szCs w:val="22"/>
        </w:rPr>
        <w:t xml:space="preserve"> esperti </w:t>
      </w:r>
      <w:r w:rsidRPr="007F7EBF">
        <w:rPr>
          <w:sz w:val="22"/>
          <w:szCs w:val="22"/>
        </w:rPr>
        <w:t>dei propri compiti specifici, specie rispetto ai professionisti di cui al par.3.16</w:t>
      </w:r>
      <w:r w:rsidR="00E829E4">
        <w:rPr>
          <w:sz w:val="22"/>
          <w:szCs w:val="22"/>
        </w:rPr>
        <w:t>(</w:t>
      </w:r>
      <w:r w:rsidRPr="007F7EBF">
        <w:rPr>
          <w:rStyle w:val="Rimandonotaapidipagina"/>
          <w:sz w:val="22"/>
          <w:szCs w:val="22"/>
        </w:rPr>
        <w:footnoteReference w:id="509"/>
      </w:r>
      <w:r w:rsidR="00E829E4">
        <w:rPr>
          <w:sz w:val="22"/>
          <w:szCs w:val="22"/>
        </w:rPr>
        <w:t>)</w:t>
      </w:r>
      <w:r w:rsidRPr="007F7EBF">
        <w:rPr>
          <w:sz w:val="22"/>
          <w:szCs w:val="22"/>
        </w:rPr>
        <w:t xml:space="preserve">; questa </w:t>
      </w:r>
      <w:r w:rsidR="00D74EB2" w:rsidRPr="007F7EBF">
        <w:rPr>
          <w:sz w:val="22"/>
          <w:szCs w:val="22"/>
        </w:rPr>
        <w:t xml:space="preserve">serialità dei </w:t>
      </w:r>
      <w:r w:rsidRPr="007F7EBF">
        <w:rPr>
          <w:sz w:val="22"/>
          <w:szCs w:val="22"/>
        </w:rPr>
        <w:t xml:space="preserve">compiti li rende però </w:t>
      </w:r>
      <w:r w:rsidR="00D266D3" w:rsidRPr="007F7EBF">
        <w:rPr>
          <w:sz w:val="22"/>
          <w:szCs w:val="22"/>
        </w:rPr>
        <w:t>anche meno flessibili</w:t>
      </w:r>
      <w:r w:rsidR="006D712D" w:rsidRPr="007F7EBF">
        <w:rPr>
          <w:sz w:val="22"/>
          <w:szCs w:val="22"/>
        </w:rPr>
        <w:t xml:space="preserve"> nella gestione di s</w:t>
      </w:r>
      <w:r w:rsidR="00D74EB2" w:rsidRPr="007F7EBF">
        <w:rPr>
          <w:sz w:val="22"/>
          <w:szCs w:val="22"/>
        </w:rPr>
        <w:t>ituazioni impreviste</w:t>
      </w:r>
      <w:r w:rsidRPr="007F7EBF">
        <w:rPr>
          <w:sz w:val="22"/>
          <w:szCs w:val="22"/>
        </w:rPr>
        <w:t xml:space="preserve">, o </w:t>
      </w:r>
      <w:r w:rsidR="006D712D" w:rsidRPr="007F7EBF">
        <w:rPr>
          <w:sz w:val="22"/>
          <w:szCs w:val="22"/>
        </w:rPr>
        <w:t xml:space="preserve">di collegamenti tra </w:t>
      </w:r>
      <w:r w:rsidRPr="007F7EBF">
        <w:rPr>
          <w:sz w:val="22"/>
          <w:szCs w:val="22"/>
        </w:rPr>
        <w:t>problematic</w:t>
      </w:r>
      <w:r w:rsidR="006D712D" w:rsidRPr="007F7EBF">
        <w:rPr>
          <w:sz w:val="22"/>
          <w:szCs w:val="22"/>
        </w:rPr>
        <w:t>he diverse</w:t>
      </w:r>
      <w:r w:rsidR="00D74EB2" w:rsidRPr="007F7EBF">
        <w:rPr>
          <w:sz w:val="22"/>
          <w:szCs w:val="22"/>
        </w:rPr>
        <w:t xml:space="preserve">. </w:t>
      </w:r>
      <w:r w:rsidRPr="007F7EBF">
        <w:rPr>
          <w:sz w:val="22"/>
          <w:szCs w:val="22"/>
        </w:rPr>
        <w:t>E' un riflesso ineliminabile</w:t>
      </w:r>
      <w:r w:rsidR="00D74EB2" w:rsidRPr="007F7EBF">
        <w:rPr>
          <w:sz w:val="22"/>
          <w:szCs w:val="22"/>
        </w:rPr>
        <w:t xml:space="preserve"> </w:t>
      </w:r>
      <w:r w:rsidR="00D266D3" w:rsidRPr="007F7EBF">
        <w:rPr>
          <w:sz w:val="22"/>
          <w:szCs w:val="22"/>
        </w:rPr>
        <w:t>dei</w:t>
      </w:r>
      <w:r w:rsidRPr="007F7EBF">
        <w:rPr>
          <w:sz w:val="22"/>
          <w:szCs w:val="22"/>
        </w:rPr>
        <w:t xml:space="preserve"> due</w:t>
      </w:r>
      <w:r w:rsidR="00D266D3" w:rsidRPr="007F7EBF">
        <w:rPr>
          <w:sz w:val="22"/>
          <w:szCs w:val="22"/>
        </w:rPr>
        <w:t xml:space="preserve"> diversi contesti </w:t>
      </w:r>
      <w:r w:rsidRPr="007F7EBF">
        <w:rPr>
          <w:sz w:val="22"/>
          <w:szCs w:val="22"/>
        </w:rPr>
        <w:t>di operatività di figure lavorative destinate ad avere frequenti contatti</w:t>
      </w:r>
      <w:r w:rsidR="00D266D3" w:rsidRPr="007F7EBF">
        <w:rPr>
          <w:sz w:val="22"/>
          <w:szCs w:val="22"/>
        </w:rPr>
        <w:t xml:space="preserve">. </w:t>
      </w:r>
    </w:p>
    <w:p w14:paraId="26963893" w14:textId="77777777" w:rsidR="003A0539" w:rsidRPr="007F7EBF" w:rsidRDefault="003A0539" w:rsidP="003A0539">
      <w:pPr>
        <w:pStyle w:val="tit23"/>
        <w:ind w:left="6464" w:right="-1361" w:firstLine="0"/>
        <w:jc w:val="left"/>
        <w:rPr>
          <w:bCs/>
          <w:i/>
          <w:iCs/>
          <w:color w:val="0000FF"/>
          <w:lang w:val="it-IT"/>
        </w:rPr>
      </w:pPr>
      <w:r w:rsidRPr="007F7EBF">
        <w:rPr>
          <w:bCs/>
          <w:i/>
          <w:iCs/>
          <w:color w:val="0000FF"/>
          <w:lang w:val="it-IT"/>
        </w:rPr>
        <w:t>Carattere tendenzialmente intellettuale del lavoro</w:t>
      </w:r>
    </w:p>
    <w:p w14:paraId="2078DC87" w14:textId="187AE9E3" w:rsidR="00842E98" w:rsidRPr="007F7EBF" w:rsidRDefault="003A0539" w:rsidP="00842E98">
      <w:pPr>
        <w:autoSpaceDE w:val="0"/>
        <w:autoSpaceDN w:val="0"/>
        <w:adjustRightInd w:val="0"/>
        <w:rPr>
          <w:bCs/>
          <w:i/>
          <w:iCs/>
          <w:color w:val="0000FF"/>
          <w:sz w:val="22"/>
          <w:szCs w:val="22"/>
        </w:rPr>
      </w:pPr>
      <w:r w:rsidRPr="007F7EBF">
        <w:rPr>
          <w:sz w:val="22"/>
          <w:szCs w:val="22"/>
        </w:rPr>
        <w:t xml:space="preserve">L'Agenzia, vista la complessità concettuale dei suoi compiti, utilizza in prevalenza funzionari della carriera direttiva, cioè reclutati per concorsi riservati a laureati; il personale ausiliario, di segreteria o di archivio, è sempre meno numeroso, anche per effetto delle nuove tecnologie per redigere e conservare documenti.  I funzionari direttivi hanno i requisiti tecnico-professionali per svolgere anche compiti di coordinamento dei loro "pari grado"; </w:t>
      </w:r>
      <w:r>
        <w:rPr>
          <w:sz w:val="22"/>
          <w:szCs w:val="22"/>
        </w:rPr>
        <w:t xml:space="preserve"> è un </w:t>
      </w:r>
      <w:r w:rsidRPr="007F7EBF">
        <w:rPr>
          <w:sz w:val="22"/>
          <w:szCs w:val="22"/>
        </w:rPr>
        <w:t>ambiente professionalmente omogeneo</w:t>
      </w:r>
      <w:r>
        <w:rPr>
          <w:sz w:val="22"/>
          <w:szCs w:val="22"/>
        </w:rPr>
        <w:t>, dove</w:t>
      </w:r>
      <w:r w:rsidRPr="007F7EBF">
        <w:rPr>
          <w:sz w:val="22"/>
          <w:szCs w:val="22"/>
        </w:rPr>
        <w:t xml:space="preserve"> sono particolarmente negative le conseguenze del doppio livello di concorso cui è subordinata, nel pubblico impiego, la qualifica di "dirigente"</w:t>
      </w:r>
      <w:r>
        <w:rPr>
          <w:sz w:val="22"/>
          <w:szCs w:val="22"/>
        </w:rPr>
        <w:t xml:space="preserve">, e di cui diremo al par.5.3 </w:t>
      </w:r>
      <w:r w:rsidRPr="007F7EBF">
        <w:rPr>
          <w:rStyle w:val="Rimandonotaapidipagina"/>
          <w:sz w:val="22"/>
          <w:szCs w:val="22"/>
        </w:rPr>
        <w:footnoteReference w:id="510"/>
      </w:r>
      <w:r w:rsidRPr="007F7EBF">
        <w:rPr>
          <w:sz w:val="22"/>
          <w:szCs w:val="22"/>
        </w:rPr>
        <w:t xml:space="preserve">. </w:t>
      </w:r>
    </w:p>
    <w:p w14:paraId="57B0DCD7" w14:textId="77777777" w:rsidR="00842E98" w:rsidRPr="007F7EBF" w:rsidRDefault="00842E98" w:rsidP="00842E98">
      <w:pPr>
        <w:pStyle w:val="tit23"/>
        <w:ind w:left="6464" w:right="-1361" w:firstLine="0"/>
        <w:jc w:val="left"/>
        <w:rPr>
          <w:bCs/>
          <w:i/>
          <w:iCs/>
          <w:color w:val="0000FF"/>
          <w:lang w:val="it-IT"/>
        </w:rPr>
      </w:pPr>
      <w:r w:rsidRPr="007F7EBF">
        <w:rPr>
          <w:bCs/>
          <w:i/>
          <w:iCs/>
          <w:color w:val="0000FF"/>
          <w:lang w:val="it-IT"/>
        </w:rPr>
        <w:lastRenderedPageBreak/>
        <w:t>Organi collaterali e deludenti esperienze</w:t>
      </w:r>
    </w:p>
    <w:p w14:paraId="37150DFB" w14:textId="2D7D5DB3" w:rsidR="00A86FB7" w:rsidRPr="007F7EBF" w:rsidRDefault="007D6E7A" w:rsidP="006342C5">
      <w:pPr>
        <w:autoSpaceDE w:val="0"/>
        <w:autoSpaceDN w:val="0"/>
        <w:adjustRightInd w:val="0"/>
        <w:rPr>
          <w:sz w:val="22"/>
          <w:szCs w:val="22"/>
        </w:rPr>
      </w:pPr>
      <w:r>
        <w:rPr>
          <w:sz w:val="22"/>
          <w:szCs w:val="22"/>
        </w:rPr>
        <w:t>Tra le u</w:t>
      </w:r>
      <w:r w:rsidR="00002DA5" w:rsidRPr="007F7EBF">
        <w:rPr>
          <w:sz w:val="22"/>
          <w:szCs w:val="22"/>
        </w:rPr>
        <w:t>lteriori frammentazion</w:t>
      </w:r>
      <w:r>
        <w:rPr>
          <w:sz w:val="22"/>
          <w:szCs w:val="22"/>
        </w:rPr>
        <w:t>i</w:t>
      </w:r>
      <w:r w:rsidR="00002DA5" w:rsidRPr="007F7EBF">
        <w:rPr>
          <w:sz w:val="22"/>
          <w:szCs w:val="22"/>
        </w:rPr>
        <w:t xml:space="preserve"> della funzione tributaria</w:t>
      </w:r>
      <w:r>
        <w:rPr>
          <w:sz w:val="22"/>
          <w:szCs w:val="22"/>
        </w:rPr>
        <w:t>, s</w:t>
      </w:r>
      <w:r w:rsidR="00002DA5" w:rsidRPr="007F7EBF">
        <w:rPr>
          <w:sz w:val="22"/>
          <w:szCs w:val="22"/>
        </w:rPr>
        <w:t xml:space="preserve">egnaliamo la </w:t>
      </w:r>
      <w:r w:rsidR="00842E98" w:rsidRPr="007F7EBF">
        <w:rPr>
          <w:sz w:val="22"/>
          <w:szCs w:val="22"/>
        </w:rPr>
        <w:t>Sogei, società pubblica preposta all'elaborazione di procedure informatiche per le Agenzie, raccolta dati e stima del gettito</w:t>
      </w:r>
      <w:r>
        <w:rPr>
          <w:sz w:val="22"/>
          <w:szCs w:val="22"/>
        </w:rPr>
        <w:t xml:space="preserve">, nonché la </w:t>
      </w:r>
      <w:r w:rsidR="00842E98" w:rsidRPr="007F7EBF">
        <w:rPr>
          <w:sz w:val="22"/>
          <w:szCs w:val="22"/>
        </w:rPr>
        <w:t xml:space="preserve"> </w:t>
      </w:r>
      <w:proofErr w:type="spellStart"/>
      <w:r w:rsidR="00842E98" w:rsidRPr="007F7EBF">
        <w:rPr>
          <w:sz w:val="22"/>
          <w:szCs w:val="22"/>
        </w:rPr>
        <w:t>Sose</w:t>
      </w:r>
      <w:proofErr w:type="spellEnd"/>
      <w:r w:rsidR="00842E98" w:rsidRPr="007F7EBF">
        <w:rPr>
          <w:sz w:val="22"/>
          <w:szCs w:val="22"/>
        </w:rPr>
        <w:t xml:space="preserve"> </w:t>
      </w:r>
      <w:r>
        <w:rPr>
          <w:sz w:val="22"/>
          <w:szCs w:val="22"/>
        </w:rPr>
        <w:t xml:space="preserve">, </w:t>
      </w:r>
      <w:r w:rsidR="00842E98" w:rsidRPr="007F7EBF">
        <w:rPr>
          <w:sz w:val="22"/>
          <w:szCs w:val="22"/>
        </w:rPr>
        <w:t xml:space="preserve">preposta all'elaborazione degli "studi di settore" di cui al par.5.13. Segnaliamo poi le </w:t>
      </w:r>
      <w:r w:rsidR="0015103D" w:rsidRPr="007F7EBF">
        <w:rPr>
          <w:sz w:val="22"/>
          <w:szCs w:val="22"/>
        </w:rPr>
        <w:t xml:space="preserve">deludenti esperienze di </w:t>
      </w:r>
      <w:r w:rsidR="00842E98" w:rsidRPr="007F7EBF">
        <w:rPr>
          <w:sz w:val="22"/>
          <w:szCs w:val="22"/>
        </w:rPr>
        <w:t>estemporanei comitati, come il consiglio superiore delle finanze, il comitato per l'interpello sulle norme antielusive</w:t>
      </w:r>
      <w:r>
        <w:rPr>
          <w:sz w:val="22"/>
          <w:szCs w:val="22"/>
        </w:rPr>
        <w:t>,</w:t>
      </w:r>
      <w:r w:rsidR="00842E98" w:rsidRPr="007F7EBF">
        <w:rPr>
          <w:sz w:val="22"/>
          <w:szCs w:val="22"/>
        </w:rPr>
        <w:t xml:space="preserve"> il servizio centrale degli ispettori tributari</w:t>
      </w:r>
      <w:r>
        <w:rPr>
          <w:sz w:val="22"/>
          <w:szCs w:val="22"/>
        </w:rPr>
        <w:t xml:space="preserve"> e il “garante del contribuente”. Molti di tali organi sono stati </w:t>
      </w:r>
      <w:r w:rsidR="00842E98" w:rsidRPr="007F7EBF">
        <w:rPr>
          <w:sz w:val="22"/>
          <w:szCs w:val="22"/>
        </w:rPr>
        <w:t xml:space="preserve">soppressi, </w:t>
      </w:r>
      <w:r>
        <w:rPr>
          <w:sz w:val="22"/>
          <w:szCs w:val="22"/>
        </w:rPr>
        <w:t>ma potrebbero tornare, e danno l’idea della confusione connessa alla carenza di spiegazioni sociali della funzione tributaria</w:t>
      </w:r>
      <w:r w:rsidR="00842E98" w:rsidRPr="007F7EBF">
        <w:rPr>
          <w:sz w:val="22"/>
          <w:szCs w:val="22"/>
        </w:rPr>
        <w:t xml:space="preserve">. </w:t>
      </w:r>
    </w:p>
    <w:p w14:paraId="3DC622E9" w14:textId="77777777" w:rsidR="00A86FB7" w:rsidRPr="007F7EBF" w:rsidRDefault="00A86FB7" w:rsidP="006342C5">
      <w:pPr>
        <w:autoSpaceDE w:val="0"/>
        <w:autoSpaceDN w:val="0"/>
        <w:adjustRightInd w:val="0"/>
        <w:rPr>
          <w:sz w:val="22"/>
          <w:szCs w:val="22"/>
        </w:rPr>
      </w:pPr>
    </w:p>
    <w:p w14:paraId="75361E7B" w14:textId="3959A072" w:rsidR="00122ED4" w:rsidRPr="00DB3362" w:rsidRDefault="00233B4D" w:rsidP="00F62B51">
      <w:pPr>
        <w:pStyle w:val="Titolo3"/>
        <w:rPr>
          <w:rFonts w:ascii="Times New Roman" w:hAnsi="Times New Roman"/>
          <w:sz w:val="22"/>
          <w:szCs w:val="22"/>
          <w:lang w:val="it-IT"/>
        </w:rPr>
      </w:pPr>
      <w:bookmarkStart w:id="59" w:name="_Toc63364975"/>
      <w:r w:rsidRPr="007F7EBF">
        <w:rPr>
          <w:rFonts w:ascii="Times New Roman" w:hAnsi="Times New Roman"/>
          <w:sz w:val="22"/>
          <w:szCs w:val="22"/>
        </w:rPr>
        <w:t xml:space="preserve">5.3. </w:t>
      </w:r>
      <w:r w:rsidR="00D41E22">
        <w:rPr>
          <w:rFonts w:ascii="Times New Roman" w:hAnsi="Times New Roman"/>
          <w:sz w:val="22"/>
          <w:szCs w:val="22"/>
          <w:lang w:val="it-IT"/>
        </w:rPr>
        <w:t>M</w:t>
      </w:r>
      <w:r w:rsidR="00DB2331">
        <w:rPr>
          <w:rFonts w:ascii="Times New Roman" w:hAnsi="Times New Roman"/>
          <w:sz w:val="22"/>
          <w:szCs w:val="22"/>
          <w:lang w:val="it-IT"/>
        </w:rPr>
        <w:t xml:space="preserve">odelli organizzativi </w:t>
      </w:r>
      <w:r w:rsidR="00D41E22">
        <w:rPr>
          <w:rFonts w:ascii="Times New Roman" w:hAnsi="Times New Roman"/>
          <w:sz w:val="22"/>
          <w:szCs w:val="22"/>
          <w:lang w:val="it-IT"/>
        </w:rPr>
        <w:t>dei pubblici uffici e funzione tributaria</w:t>
      </w:r>
      <w:bookmarkEnd w:id="59"/>
      <w:r w:rsidR="00D41E22">
        <w:rPr>
          <w:rFonts w:ascii="Times New Roman" w:hAnsi="Times New Roman"/>
          <w:sz w:val="22"/>
          <w:szCs w:val="22"/>
          <w:lang w:val="it-IT"/>
        </w:rPr>
        <w:t xml:space="preserve"> </w:t>
      </w:r>
    </w:p>
    <w:p w14:paraId="7C580861" w14:textId="77777777" w:rsidR="00122ED4" w:rsidRPr="007F7EBF" w:rsidRDefault="003727BE" w:rsidP="00122ED4">
      <w:pPr>
        <w:pStyle w:val="tit23"/>
        <w:ind w:left="6464" w:right="-1361" w:firstLine="0"/>
        <w:jc w:val="left"/>
        <w:rPr>
          <w:b/>
          <w:bCs/>
          <w:i/>
          <w:iCs/>
          <w:color w:val="0000FF"/>
          <w:lang w:val="it-IT"/>
        </w:rPr>
      </w:pPr>
      <w:r w:rsidRPr="007F7EBF">
        <w:rPr>
          <w:b/>
          <w:bCs/>
          <w:i/>
          <w:iCs/>
          <w:color w:val="0000FF"/>
          <w:lang w:val="it-IT"/>
        </w:rPr>
        <w:t>Pubblici uffici come organizzazioni pluripersonali</w:t>
      </w:r>
    </w:p>
    <w:p w14:paraId="21D3E9DE" w14:textId="7B0C550F" w:rsidR="00122ED4" w:rsidRPr="007F7EBF" w:rsidRDefault="00105033" w:rsidP="00AE75C5">
      <w:pPr>
        <w:autoSpaceDE w:val="0"/>
        <w:autoSpaceDN w:val="0"/>
        <w:adjustRightInd w:val="0"/>
        <w:rPr>
          <w:bCs/>
          <w:i/>
          <w:iCs/>
          <w:color w:val="0000FF"/>
        </w:rPr>
      </w:pPr>
      <w:r>
        <w:rPr>
          <w:sz w:val="22"/>
          <w:szCs w:val="22"/>
        </w:rPr>
        <w:t xml:space="preserve">I </w:t>
      </w:r>
      <w:r w:rsidR="004F491B">
        <w:rPr>
          <w:sz w:val="22"/>
          <w:szCs w:val="22"/>
        </w:rPr>
        <w:t>pubblici uffici</w:t>
      </w:r>
      <w:r>
        <w:rPr>
          <w:sz w:val="22"/>
          <w:szCs w:val="22"/>
        </w:rPr>
        <w:t xml:space="preserve">, indicati al paragrafo precedente per quanto riguarda la </w:t>
      </w:r>
      <w:r w:rsidR="004F491B">
        <w:rPr>
          <w:sz w:val="22"/>
          <w:szCs w:val="22"/>
        </w:rPr>
        <w:t xml:space="preserve">funzione tributaria, </w:t>
      </w:r>
      <w:r>
        <w:rPr>
          <w:sz w:val="22"/>
          <w:szCs w:val="22"/>
        </w:rPr>
        <w:t xml:space="preserve">hanno alcune caratteristiche generali comuni, cui </w:t>
      </w:r>
      <w:r w:rsidR="004F491B">
        <w:rPr>
          <w:sz w:val="22"/>
          <w:szCs w:val="22"/>
        </w:rPr>
        <w:t xml:space="preserve">è </w:t>
      </w:r>
      <w:r>
        <w:rPr>
          <w:sz w:val="22"/>
          <w:szCs w:val="22"/>
        </w:rPr>
        <w:t>dedicato il presente paragrafo. Essi sono ormai in genere organizzazioni pluripersonali</w:t>
      </w:r>
      <w:r w:rsidR="00A87E9D">
        <w:rPr>
          <w:sz w:val="22"/>
          <w:szCs w:val="22"/>
        </w:rPr>
        <w:t xml:space="preserve"> (</w:t>
      </w:r>
      <w:r w:rsidR="00A87E9D">
        <w:rPr>
          <w:rStyle w:val="Rimandonotaapidipagina"/>
          <w:sz w:val="22"/>
          <w:szCs w:val="22"/>
        </w:rPr>
        <w:footnoteReference w:id="511"/>
      </w:r>
      <w:r w:rsidR="00A87E9D">
        <w:rPr>
          <w:sz w:val="22"/>
          <w:szCs w:val="22"/>
        </w:rPr>
        <w:t>)</w:t>
      </w:r>
      <w:r>
        <w:rPr>
          <w:sz w:val="22"/>
          <w:szCs w:val="22"/>
        </w:rPr>
        <w:t xml:space="preserve">, come le aziende </w:t>
      </w:r>
      <w:r w:rsidR="00B21280">
        <w:rPr>
          <w:sz w:val="22"/>
          <w:szCs w:val="22"/>
        </w:rPr>
        <w:t>di cui al par.3.1</w:t>
      </w:r>
      <w:r w:rsidR="00A87E9D">
        <w:rPr>
          <w:sz w:val="22"/>
          <w:szCs w:val="22"/>
        </w:rPr>
        <w:t>.</w:t>
      </w:r>
      <w:r w:rsidR="00644705">
        <w:rPr>
          <w:sz w:val="22"/>
          <w:szCs w:val="22"/>
        </w:rPr>
        <w:t xml:space="preserve"> Anche per essi, come per le aziende, bisogna quindi evitare concezion</w:t>
      </w:r>
      <w:r w:rsidR="00E16726">
        <w:rPr>
          <w:sz w:val="22"/>
          <w:szCs w:val="22"/>
        </w:rPr>
        <w:t>i</w:t>
      </w:r>
      <w:r w:rsidR="00644705">
        <w:rPr>
          <w:sz w:val="22"/>
          <w:szCs w:val="22"/>
        </w:rPr>
        <w:t xml:space="preserve"> personalistic</w:t>
      </w:r>
      <w:r w:rsidR="00E16726">
        <w:rPr>
          <w:sz w:val="22"/>
          <w:szCs w:val="22"/>
        </w:rPr>
        <w:t>he</w:t>
      </w:r>
      <w:r w:rsidR="00644705">
        <w:rPr>
          <w:sz w:val="22"/>
          <w:szCs w:val="22"/>
        </w:rPr>
        <w:t xml:space="preserve">, </w:t>
      </w:r>
      <w:r w:rsidR="00E16726">
        <w:rPr>
          <w:sz w:val="22"/>
          <w:szCs w:val="22"/>
        </w:rPr>
        <w:t xml:space="preserve">come fossero </w:t>
      </w:r>
      <w:r w:rsidR="00644705" w:rsidRPr="007F7EBF">
        <w:rPr>
          <w:sz w:val="22"/>
          <w:szCs w:val="22"/>
        </w:rPr>
        <w:t>esseri umani, co</w:t>
      </w:r>
      <w:r w:rsidR="00E16726">
        <w:rPr>
          <w:sz w:val="22"/>
          <w:szCs w:val="22"/>
        </w:rPr>
        <w:t xml:space="preserve">i loro pregi, difetti e sentimenti </w:t>
      </w:r>
      <w:r w:rsidR="00644705" w:rsidRPr="007F7EBF">
        <w:rPr>
          <w:rStyle w:val="Rimandonotaapidipagina"/>
          <w:sz w:val="22"/>
          <w:szCs w:val="22"/>
        </w:rPr>
        <w:footnoteReference w:id="512"/>
      </w:r>
      <w:r w:rsidR="00644705" w:rsidRPr="007F7EBF">
        <w:rPr>
          <w:sz w:val="22"/>
          <w:szCs w:val="22"/>
        </w:rPr>
        <w:t xml:space="preserve"> </w:t>
      </w:r>
      <w:r w:rsidR="001E3AFC">
        <w:rPr>
          <w:sz w:val="22"/>
          <w:szCs w:val="22"/>
        </w:rPr>
        <w:t xml:space="preserve">. </w:t>
      </w:r>
    </w:p>
    <w:p w14:paraId="271B44E0" w14:textId="0563A48E" w:rsidR="00FF1C90" w:rsidRPr="007F7EBF" w:rsidRDefault="00B03CDB" w:rsidP="00FF1C90">
      <w:pPr>
        <w:pStyle w:val="tit23"/>
        <w:ind w:left="6464" w:right="-1361" w:firstLine="0"/>
        <w:jc w:val="left"/>
        <w:rPr>
          <w:bCs/>
          <w:i/>
          <w:iCs/>
          <w:color w:val="0000FF"/>
          <w:lang w:val="it-IT"/>
        </w:rPr>
      </w:pPr>
      <w:r>
        <w:rPr>
          <w:bCs/>
          <w:i/>
          <w:iCs/>
          <w:color w:val="0000FF"/>
          <w:lang w:val="it-IT"/>
        </w:rPr>
        <w:t>Rapporto con</w:t>
      </w:r>
      <w:r w:rsidR="00FF1C90" w:rsidRPr="007F7EBF">
        <w:rPr>
          <w:bCs/>
          <w:i/>
          <w:iCs/>
          <w:color w:val="0000FF"/>
          <w:lang w:val="it-IT"/>
        </w:rPr>
        <w:t xml:space="preserve"> pubblica opinione </w:t>
      </w:r>
      <w:r w:rsidR="00842EEC">
        <w:rPr>
          <w:bCs/>
          <w:i/>
          <w:iCs/>
          <w:color w:val="0000FF"/>
          <w:lang w:val="it-IT"/>
        </w:rPr>
        <w:t xml:space="preserve">e </w:t>
      </w:r>
      <w:r w:rsidR="00842EEC">
        <w:rPr>
          <w:bCs/>
          <w:i/>
          <w:iCs/>
          <w:color w:val="0000FF"/>
          <w:lang w:val="it-IT"/>
        </w:rPr>
        <w:lastRenderedPageBreak/>
        <w:t>controllo sociale</w:t>
      </w:r>
    </w:p>
    <w:p w14:paraId="6F53BF74" w14:textId="53FFFAB1" w:rsidR="00E240FB" w:rsidRPr="007F7EBF" w:rsidRDefault="00B03CDB" w:rsidP="00FF1C90">
      <w:pPr>
        <w:autoSpaceDE w:val="0"/>
        <w:autoSpaceDN w:val="0"/>
        <w:adjustRightInd w:val="0"/>
        <w:rPr>
          <w:bCs/>
          <w:i/>
          <w:iCs/>
          <w:color w:val="0000FF"/>
          <w:sz w:val="22"/>
          <w:szCs w:val="22"/>
        </w:rPr>
      </w:pPr>
      <w:r>
        <w:rPr>
          <w:sz w:val="22"/>
          <w:szCs w:val="22"/>
        </w:rPr>
        <w:t>Le aziende sono però tenute insieme da un prodotto offerto sul mercato,</w:t>
      </w:r>
      <w:r w:rsidR="00B97EBE">
        <w:rPr>
          <w:sz w:val="22"/>
          <w:szCs w:val="22"/>
        </w:rPr>
        <w:t xml:space="preserve"> </w:t>
      </w:r>
      <w:r w:rsidR="00B97EBE" w:rsidRPr="00B97EBE">
        <w:t>dimensionando il proprio sforzo sulle capacità di controllo, e di pagamento, dei clienti. I</w:t>
      </w:r>
      <w:r w:rsidRPr="00B97EBE">
        <w:rPr>
          <w:sz w:val="22"/>
          <w:szCs w:val="22"/>
        </w:rPr>
        <w:t xml:space="preserve"> pubblici uffici </w:t>
      </w:r>
      <w:r w:rsidR="00B97EBE" w:rsidRPr="00B97EBE">
        <w:rPr>
          <w:sz w:val="22"/>
          <w:szCs w:val="22"/>
        </w:rPr>
        <w:t xml:space="preserve">operano invece fuori mercato, e sono aggregati </w:t>
      </w:r>
      <w:r w:rsidRPr="00B97EBE">
        <w:rPr>
          <w:sz w:val="22"/>
          <w:szCs w:val="22"/>
        </w:rPr>
        <w:t>dall’esercizio di una funzione</w:t>
      </w:r>
      <w:r w:rsidR="00B97EBE" w:rsidRPr="00B97EBE">
        <w:rPr>
          <w:sz w:val="22"/>
          <w:szCs w:val="22"/>
        </w:rPr>
        <w:t>; es</w:t>
      </w:r>
      <w:r w:rsidRPr="00B97EBE">
        <w:rPr>
          <w:sz w:val="22"/>
          <w:szCs w:val="22"/>
        </w:rPr>
        <w:t>s</w:t>
      </w:r>
      <w:r w:rsidR="00B97EBE" w:rsidRPr="00B97EBE">
        <w:rPr>
          <w:sz w:val="22"/>
          <w:szCs w:val="22"/>
        </w:rPr>
        <w:t>i</w:t>
      </w:r>
      <w:r>
        <w:rPr>
          <w:sz w:val="22"/>
          <w:szCs w:val="22"/>
        </w:rPr>
        <w:t xml:space="preserve"> si sostengono grazie a erogazioni di terzi, tramite il bilancio pubblico</w:t>
      </w:r>
      <w:r w:rsidRPr="007F7EBF">
        <w:rPr>
          <w:rStyle w:val="Rimandonotaapidipagina"/>
          <w:sz w:val="22"/>
          <w:szCs w:val="22"/>
        </w:rPr>
        <w:footnoteReference w:id="513"/>
      </w:r>
      <w:r>
        <w:rPr>
          <w:sz w:val="22"/>
          <w:szCs w:val="22"/>
        </w:rPr>
        <w:t xml:space="preserve">, e si rapportano con la pubblica opinione </w:t>
      </w:r>
      <w:r w:rsidRPr="007F7EBF">
        <w:rPr>
          <w:sz w:val="22"/>
          <w:szCs w:val="22"/>
        </w:rPr>
        <w:t>(par.</w:t>
      </w:r>
      <w:r w:rsidR="00FE3595" w:rsidRPr="00FE3595">
        <w:t xml:space="preserve"> </w:t>
      </w:r>
      <w:r w:rsidR="00FE3595">
        <w:t>4.1</w:t>
      </w:r>
      <w:r w:rsidRPr="007F7EBF">
        <w:rPr>
          <w:sz w:val="22"/>
          <w:szCs w:val="22"/>
        </w:rPr>
        <w:t>)</w:t>
      </w:r>
      <w:r>
        <w:rPr>
          <w:sz w:val="22"/>
          <w:szCs w:val="22"/>
        </w:rPr>
        <w:t xml:space="preserve">, attraverso la politica. </w:t>
      </w:r>
      <w:r w:rsidR="001E3AFC">
        <w:rPr>
          <w:sz w:val="22"/>
          <w:szCs w:val="22"/>
        </w:rPr>
        <w:t>Quest’ultima non</w:t>
      </w:r>
      <w:r>
        <w:rPr>
          <w:sz w:val="22"/>
          <w:szCs w:val="22"/>
        </w:rPr>
        <w:t xml:space="preserve"> ne</w:t>
      </w:r>
      <w:r w:rsidR="001E3AFC">
        <w:rPr>
          <w:sz w:val="22"/>
          <w:szCs w:val="22"/>
        </w:rPr>
        <w:t xml:space="preserve"> è però padrona </w:t>
      </w:r>
      <w:r>
        <w:rPr>
          <w:sz w:val="22"/>
          <w:szCs w:val="22"/>
        </w:rPr>
        <w:t>come</w:t>
      </w:r>
      <w:r w:rsidR="001E3AFC">
        <w:rPr>
          <w:sz w:val="22"/>
          <w:szCs w:val="22"/>
        </w:rPr>
        <w:t xml:space="preserve"> gli azionisti sono proprietari </w:t>
      </w:r>
      <w:r>
        <w:rPr>
          <w:sz w:val="22"/>
          <w:szCs w:val="22"/>
        </w:rPr>
        <w:t>delle aziende, in quanto anch’essa subisce il cont</w:t>
      </w:r>
      <w:r w:rsidR="00AE6B19" w:rsidRPr="007F7EBF">
        <w:rPr>
          <w:sz w:val="22"/>
          <w:szCs w:val="22"/>
        </w:rPr>
        <w:t>rollo social</w:t>
      </w:r>
      <w:r>
        <w:rPr>
          <w:sz w:val="22"/>
          <w:szCs w:val="22"/>
        </w:rPr>
        <w:t>e sulle pubbliche funzioni</w:t>
      </w:r>
      <w:r w:rsidR="00842EEC">
        <w:rPr>
          <w:sz w:val="22"/>
          <w:szCs w:val="22"/>
        </w:rPr>
        <w:t xml:space="preserve">. </w:t>
      </w:r>
      <w:r w:rsidR="00842EEC" w:rsidRPr="00F20A08">
        <w:t>Quest</w:t>
      </w:r>
      <w:r w:rsidR="001F05D0">
        <w:t>’ultim</w:t>
      </w:r>
      <w:r w:rsidR="00842EEC" w:rsidRPr="00F20A08">
        <w:t>o è molto intenso, per funzioni e servizi a costante contatto col pubblico</w:t>
      </w:r>
      <w:r w:rsidR="001F05D0">
        <w:rPr>
          <w:sz w:val="22"/>
          <w:szCs w:val="22"/>
        </w:rPr>
        <w:t>, come</w:t>
      </w:r>
      <w:r w:rsidR="001F05D0">
        <w:t xml:space="preserve"> sicurezza, ambiente, infrastrutture, trasporti, etc. </w:t>
      </w:r>
      <w:r w:rsidR="00842EEC">
        <w:t xml:space="preserve">Su altre pubbliche funzioni, l’opinione pubblica è più indifferente, con varie sfumature intermedie, dipendenti anche da </w:t>
      </w:r>
      <w:r w:rsidR="00842EEC" w:rsidRPr="00F20A08">
        <w:t>eventi che</w:t>
      </w:r>
      <w:r w:rsidR="00842EEC">
        <w:t xml:space="preserve"> occasionalmente generano</w:t>
      </w:r>
      <w:r w:rsidR="00842EEC" w:rsidRPr="00F20A08">
        <w:t xml:space="preserve"> impression</w:t>
      </w:r>
      <w:r w:rsidR="00842EEC">
        <w:t>e sociale</w:t>
      </w:r>
      <w:r w:rsidR="00256703">
        <w:t>, anche per il sensazionalismo mediatico di cui al par.4</w:t>
      </w:r>
      <w:r w:rsidR="00256703" w:rsidRPr="00B97EBE">
        <w:t>.4</w:t>
      </w:r>
      <w:r w:rsidR="00B97EBE" w:rsidRPr="00B97EBE">
        <w:rPr>
          <w:rStyle w:val="Rimandonotaapidipagina"/>
        </w:rPr>
        <w:footnoteReference w:id="514"/>
      </w:r>
      <w:r w:rsidR="00842EEC" w:rsidRPr="00B97EBE">
        <w:t>.</w:t>
      </w:r>
      <w:r w:rsidR="00842EEC">
        <w:t xml:space="preserve"> </w:t>
      </w:r>
    </w:p>
    <w:p w14:paraId="3348CBC0" w14:textId="23422F07" w:rsidR="003607C4" w:rsidRPr="007F7EBF" w:rsidRDefault="003607C4" w:rsidP="003607C4">
      <w:pPr>
        <w:pStyle w:val="tit23"/>
        <w:ind w:left="6464" w:right="-1361" w:firstLine="0"/>
        <w:jc w:val="left"/>
        <w:rPr>
          <w:bCs/>
          <w:i/>
          <w:iCs/>
          <w:color w:val="0000FF"/>
          <w:lang w:val="it-IT"/>
        </w:rPr>
      </w:pPr>
      <w:r w:rsidRPr="007F7EBF">
        <w:rPr>
          <w:bCs/>
          <w:i/>
          <w:iCs/>
          <w:color w:val="0000FF"/>
          <w:lang w:val="it-IT"/>
        </w:rPr>
        <w:t>mode</w:t>
      </w:r>
      <w:r w:rsidR="00211AD8" w:rsidRPr="007F7EBF">
        <w:rPr>
          <w:bCs/>
          <w:i/>
          <w:iCs/>
          <w:color w:val="0000FF"/>
          <w:lang w:val="it-IT"/>
        </w:rPr>
        <w:t>llo “gerarchico-mili</w:t>
      </w:r>
      <w:r w:rsidRPr="007F7EBF">
        <w:rPr>
          <w:bCs/>
          <w:i/>
          <w:iCs/>
          <w:color w:val="0000FF"/>
          <w:lang w:val="it-IT"/>
        </w:rPr>
        <w:t xml:space="preserve">tare” </w:t>
      </w:r>
      <w:r w:rsidR="0058245A">
        <w:rPr>
          <w:bCs/>
          <w:i/>
          <w:iCs/>
          <w:color w:val="0000FF"/>
          <w:lang w:val="it-IT"/>
        </w:rPr>
        <w:t>e sue criticità</w:t>
      </w:r>
    </w:p>
    <w:p w14:paraId="639D6A87" w14:textId="182DA297" w:rsidR="0058245A" w:rsidRDefault="00256703" w:rsidP="0058245A">
      <w:r>
        <w:rPr>
          <w:sz w:val="22"/>
          <w:szCs w:val="22"/>
        </w:rPr>
        <w:t xml:space="preserve">Questo controllo sociale si esplicava anche sul </w:t>
      </w:r>
      <w:r w:rsidR="00B03CDB">
        <w:rPr>
          <w:sz w:val="22"/>
          <w:szCs w:val="22"/>
        </w:rPr>
        <w:t xml:space="preserve">modello </w:t>
      </w:r>
      <w:r>
        <w:rPr>
          <w:sz w:val="22"/>
          <w:szCs w:val="22"/>
        </w:rPr>
        <w:t xml:space="preserve">organizzativo </w:t>
      </w:r>
      <w:r w:rsidR="00B03CDB">
        <w:rPr>
          <w:sz w:val="22"/>
          <w:szCs w:val="22"/>
        </w:rPr>
        <w:t xml:space="preserve"> preindustriale </w:t>
      </w:r>
      <w:r w:rsidR="00040A4B" w:rsidRPr="007F7EBF">
        <w:rPr>
          <w:sz w:val="22"/>
          <w:szCs w:val="22"/>
        </w:rPr>
        <w:t>"gerarchico</w:t>
      </w:r>
      <w:r w:rsidR="00A15395" w:rsidRPr="007F7EBF">
        <w:rPr>
          <w:sz w:val="22"/>
          <w:szCs w:val="22"/>
        </w:rPr>
        <w:t>-militare"</w:t>
      </w:r>
      <w:r w:rsidR="00FA3029">
        <w:rPr>
          <w:sz w:val="22"/>
          <w:szCs w:val="22"/>
        </w:rPr>
        <w:t xml:space="preserve">; </w:t>
      </w:r>
      <w:r>
        <w:rPr>
          <w:sz w:val="22"/>
          <w:szCs w:val="22"/>
        </w:rPr>
        <w:t xml:space="preserve">alla </w:t>
      </w:r>
      <w:r w:rsidR="00FA3029">
        <w:rPr>
          <w:sz w:val="22"/>
          <w:szCs w:val="22"/>
        </w:rPr>
        <w:t xml:space="preserve">figura del comandante militare </w:t>
      </w:r>
      <w:r w:rsidR="00FA3029" w:rsidRPr="007F7EBF">
        <w:rPr>
          <w:sz w:val="22"/>
          <w:szCs w:val="22"/>
        </w:rPr>
        <w:t xml:space="preserve"> </w:t>
      </w:r>
      <w:r>
        <w:rPr>
          <w:sz w:val="22"/>
          <w:szCs w:val="22"/>
        </w:rPr>
        <w:t>si riporta l’idea stessa di “pubblico ufficiale”,</w:t>
      </w:r>
      <w:r>
        <w:t xml:space="preserve"> e il </w:t>
      </w:r>
      <w:r w:rsidR="00FA3029" w:rsidRPr="007F7EBF">
        <w:rPr>
          <w:sz w:val="22"/>
          <w:szCs w:val="22"/>
        </w:rPr>
        <w:t>"servizio civile</w:t>
      </w:r>
      <w:r w:rsidR="00FA3029">
        <w:rPr>
          <w:sz w:val="22"/>
          <w:szCs w:val="22"/>
        </w:rPr>
        <w:t>”</w:t>
      </w:r>
      <w:r>
        <w:rPr>
          <w:sz w:val="22"/>
          <w:szCs w:val="22"/>
        </w:rPr>
        <w:t xml:space="preserve"> evoca </w:t>
      </w:r>
      <w:r w:rsidR="00FA3029">
        <w:rPr>
          <w:sz w:val="22"/>
          <w:szCs w:val="22"/>
        </w:rPr>
        <w:t xml:space="preserve"> </w:t>
      </w:r>
      <w:r>
        <w:rPr>
          <w:sz w:val="22"/>
          <w:szCs w:val="22"/>
        </w:rPr>
        <w:t xml:space="preserve">quello militare </w:t>
      </w:r>
      <w:r w:rsidR="00FA3029">
        <w:rPr>
          <w:sz w:val="22"/>
          <w:szCs w:val="22"/>
        </w:rPr>
        <w:t>(</w:t>
      </w:r>
      <w:r w:rsidR="00FA3029" w:rsidRPr="007F7EBF">
        <w:rPr>
          <w:rStyle w:val="Rimandonotaapidipagina"/>
          <w:sz w:val="22"/>
          <w:szCs w:val="22"/>
        </w:rPr>
        <w:footnoteReference w:id="515"/>
      </w:r>
      <w:r w:rsidR="00FA3029">
        <w:rPr>
          <w:sz w:val="22"/>
          <w:szCs w:val="22"/>
        </w:rPr>
        <w:t xml:space="preserve">). </w:t>
      </w:r>
      <w:r>
        <w:rPr>
          <w:sz w:val="22"/>
          <w:szCs w:val="22"/>
        </w:rPr>
        <w:t xml:space="preserve">Questa matrice evoca </w:t>
      </w:r>
      <w:r w:rsidR="00FA3029">
        <w:rPr>
          <w:sz w:val="22"/>
          <w:szCs w:val="22"/>
        </w:rPr>
        <w:t xml:space="preserve">il ricordo di </w:t>
      </w:r>
      <w:r w:rsidR="00FA3029" w:rsidRPr="007F7EBF">
        <w:rPr>
          <w:sz w:val="22"/>
          <w:szCs w:val="22"/>
        </w:rPr>
        <w:t xml:space="preserve"> bigliettai, postini e persino netturbini in divisa</w:t>
      </w:r>
      <w:r w:rsidR="00FA3029">
        <w:rPr>
          <w:sz w:val="22"/>
          <w:szCs w:val="22"/>
        </w:rPr>
        <w:t>(</w:t>
      </w:r>
      <w:r w:rsidR="00FA3029" w:rsidRPr="007F7EBF">
        <w:rPr>
          <w:rStyle w:val="Rimandonotaapidipagina"/>
          <w:sz w:val="22"/>
          <w:szCs w:val="22"/>
        </w:rPr>
        <w:footnoteReference w:id="516"/>
      </w:r>
      <w:r w:rsidR="00FA3029">
        <w:rPr>
          <w:sz w:val="22"/>
          <w:szCs w:val="22"/>
        </w:rPr>
        <w:t>)</w:t>
      </w:r>
      <w:r w:rsidR="00FA3029" w:rsidRPr="007F7EBF">
        <w:rPr>
          <w:sz w:val="22"/>
          <w:szCs w:val="22"/>
        </w:rPr>
        <w:t xml:space="preserve"> , "uffici d'Igiene", "case cantoniere", </w:t>
      </w:r>
      <w:r w:rsidR="00FA3029">
        <w:rPr>
          <w:sz w:val="22"/>
          <w:szCs w:val="22"/>
        </w:rPr>
        <w:lastRenderedPageBreak/>
        <w:t xml:space="preserve">ispettorati della </w:t>
      </w:r>
      <w:r w:rsidR="00FA3029" w:rsidRPr="007F7EBF">
        <w:rPr>
          <w:sz w:val="22"/>
          <w:szCs w:val="22"/>
        </w:rPr>
        <w:t>motorizzazion</w:t>
      </w:r>
      <w:r w:rsidR="00FA3029">
        <w:rPr>
          <w:sz w:val="22"/>
          <w:szCs w:val="22"/>
        </w:rPr>
        <w:t xml:space="preserve">e, </w:t>
      </w:r>
      <w:r w:rsidR="00FA3029" w:rsidRPr="007F7EBF">
        <w:rPr>
          <w:sz w:val="22"/>
          <w:szCs w:val="22"/>
        </w:rPr>
        <w:t>genio civile, orfanotrofi, manicomi, riformatori, colonie penali, uffici Demaniali</w:t>
      </w:r>
      <w:r w:rsidR="00FA3029">
        <w:rPr>
          <w:sz w:val="22"/>
          <w:szCs w:val="22"/>
        </w:rPr>
        <w:t>, del catasto</w:t>
      </w:r>
      <w:r w:rsidR="00FA3029" w:rsidRPr="007F7EBF">
        <w:rPr>
          <w:sz w:val="22"/>
          <w:szCs w:val="22"/>
        </w:rPr>
        <w:t xml:space="preserve"> e dei "procuratori delle imposte" nella nostra materia.</w:t>
      </w:r>
      <w:r w:rsidR="00FA3029">
        <w:rPr>
          <w:sz w:val="22"/>
          <w:szCs w:val="22"/>
        </w:rPr>
        <w:t xml:space="preserve"> </w:t>
      </w:r>
      <w:r>
        <w:rPr>
          <w:sz w:val="22"/>
          <w:szCs w:val="22"/>
        </w:rPr>
        <w:t>C</w:t>
      </w:r>
      <w:r w:rsidR="002445CC">
        <w:t xml:space="preserve">oi difetti di cui diremo, </w:t>
      </w:r>
      <w:r>
        <w:t xml:space="preserve">il modello militare esprimeva </w:t>
      </w:r>
      <w:r w:rsidR="002445CC">
        <w:t>una "missione sociale"</w:t>
      </w:r>
      <w:r>
        <w:t xml:space="preserve"> </w:t>
      </w:r>
      <w:r w:rsidR="002445CC">
        <w:t xml:space="preserve">di cui farsi interpreti, </w:t>
      </w:r>
      <w:r w:rsidR="00A635A0">
        <w:t>con</w:t>
      </w:r>
      <w:r w:rsidR="002445CC">
        <w:t xml:space="preserve"> iniziativ</w:t>
      </w:r>
      <w:r w:rsidR="00A635A0">
        <w:t>a</w:t>
      </w:r>
      <w:r w:rsidR="002445CC">
        <w:t xml:space="preserve"> e </w:t>
      </w:r>
      <w:r w:rsidR="00A635A0">
        <w:t>disciplina</w:t>
      </w:r>
      <w:r w:rsidR="0058245A">
        <w:rPr>
          <w:sz w:val="22"/>
          <w:szCs w:val="22"/>
        </w:rPr>
        <w:t xml:space="preserve">. </w:t>
      </w:r>
    </w:p>
    <w:p w14:paraId="12CA0A82" w14:textId="3DFD3952" w:rsidR="0048570F" w:rsidRDefault="0058245A" w:rsidP="0048570F">
      <w:pPr>
        <w:autoSpaceDE w:val="0"/>
        <w:autoSpaceDN w:val="0"/>
        <w:adjustRightInd w:val="0"/>
        <w:rPr>
          <w:sz w:val="22"/>
          <w:szCs w:val="22"/>
        </w:rPr>
      </w:pPr>
      <w:r>
        <w:rPr>
          <w:sz w:val="22"/>
          <w:szCs w:val="22"/>
        </w:rPr>
        <w:t xml:space="preserve">I lati negativi erano </w:t>
      </w:r>
      <w:r w:rsidR="00FC1A71">
        <w:rPr>
          <w:sz w:val="22"/>
          <w:szCs w:val="22"/>
        </w:rPr>
        <w:t>i</w:t>
      </w:r>
      <w:r w:rsidR="00FE42F9">
        <w:rPr>
          <w:sz w:val="22"/>
          <w:szCs w:val="22"/>
        </w:rPr>
        <w:t xml:space="preserve"> </w:t>
      </w:r>
      <w:r w:rsidR="00600762">
        <w:rPr>
          <w:sz w:val="22"/>
          <w:szCs w:val="22"/>
        </w:rPr>
        <w:t>formalis</w:t>
      </w:r>
      <w:r w:rsidR="00FC1A71">
        <w:rPr>
          <w:sz w:val="22"/>
          <w:szCs w:val="22"/>
        </w:rPr>
        <w:t xml:space="preserve">mi </w:t>
      </w:r>
      <w:r w:rsidR="00090CF5">
        <w:rPr>
          <w:sz w:val="22"/>
          <w:szCs w:val="22"/>
        </w:rPr>
        <w:t>degli eserciti in tempo di pace</w:t>
      </w:r>
      <w:r w:rsidR="00474B44">
        <w:rPr>
          <w:sz w:val="22"/>
          <w:szCs w:val="22"/>
        </w:rPr>
        <w:t xml:space="preserve"> </w:t>
      </w:r>
      <w:r w:rsidR="00600762">
        <w:rPr>
          <w:sz w:val="22"/>
          <w:szCs w:val="22"/>
        </w:rPr>
        <w:t>(</w:t>
      </w:r>
      <w:r w:rsidR="00B24882" w:rsidRPr="007F7EBF">
        <w:rPr>
          <w:rStyle w:val="Rimandonotaapidipagina"/>
          <w:sz w:val="22"/>
          <w:szCs w:val="22"/>
        </w:rPr>
        <w:footnoteReference w:id="517"/>
      </w:r>
      <w:r w:rsidR="00600762">
        <w:rPr>
          <w:sz w:val="22"/>
          <w:szCs w:val="22"/>
        </w:rPr>
        <w:t>)</w:t>
      </w:r>
      <w:r w:rsidR="00474B44">
        <w:rPr>
          <w:sz w:val="22"/>
          <w:szCs w:val="22"/>
        </w:rPr>
        <w:t xml:space="preserve"> e una sopravvalutazione dell’autorità, scossa dalle due guerre </w:t>
      </w:r>
      <w:r w:rsidR="00090CF5">
        <w:rPr>
          <w:sz w:val="22"/>
          <w:szCs w:val="22"/>
        </w:rPr>
        <w:t xml:space="preserve">mondiali, </w:t>
      </w:r>
      <w:r w:rsidR="00474B44">
        <w:rPr>
          <w:sz w:val="22"/>
          <w:szCs w:val="22"/>
        </w:rPr>
        <w:t xml:space="preserve">dalle </w:t>
      </w:r>
      <w:r w:rsidR="00E77AEB">
        <w:rPr>
          <w:sz w:val="22"/>
          <w:szCs w:val="22"/>
        </w:rPr>
        <w:t xml:space="preserve">contestazioni </w:t>
      </w:r>
      <w:r w:rsidR="00822705">
        <w:rPr>
          <w:sz w:val="22"/>
          <w:szCs w:val="22"/>
        </w:rPr>
        <w:t xml:space="preserve"> d</w:t>
      </w:r>
      <w:r w:rsidR="00502941" w:rsidRPr="007F7EBF">
        <w:rPr>
          <w:sz w:val="22"/>
          <w:szCs w:val="22"/>
        </w:rPr>
        <w:t xml:space="preserve">egli anni 60/70 del novecento </w:t>
      </w:r>
      <w:r w:rsidR="00090CF5">
        <w:rPr>
          <w:sz w:val="22"/>
          <w:szCs w:val="22"/>
        </w:rPr>
        <w:t>(</w:t>
      </w:r>
      <w:r w:rsidR="00502941" w:rsidRPr="007F7EBF">
        <w:rPr>
          <w:rStyle w:val="Rimandonotaapidipagina"/>
          <w:sz w:val="22"/>
          <w:szCs w:val="22"/>
        </w:rPr>
        <w:footnoteReference w:id="518"/>
      </w:r>
      <w:r w:rsidR="00090CF5">
        <w:rPr>
          <w:sz w:val="22"/>
          <w:szCs w:val="22"/>
        </w:rPr>
        <w:t>)</w:t>
      </w:r>
      <w:r w:rsidR="003F50EA">
        <w:rPr>
          <w:sz w:val="22"/>
          <w:szCs w:val="22"/>
        </w:rPr>
        <w:t xml:space="preserve">, </w:t>
      </w:r>
      <w:r w:rsidR="00474B44">
        <w:rPr>
          <w:sz w:val="22"/>
          <w:szCs w:val="22"/>
        </w:rPr>
        <w:t>dalle riflessioni su</w:t>
      </w:r>
      <w:r w:rsidR="003F50EA">
        <w:rPr>
          <w:sz w:val="22"/>
          <w:szCs w:val="22"/>
        </w:rPr>
        <w:t>i diritti individuali, etc.</w:t>
      </w:r>
      <w:r w:rsidR="000333AA" w:rsidRPr="007F7EBF">
        <w:rPr>
          <w:sz w:val="22"/>
          <w:szCs w:val="22"/>
        </w:rPr>
        <w:t xml:space="preserve">. </w:t>
      </w:r>
    </w:p>
    <w:p w14:paraId="363C5C11" w14:textId="4759720E" w:rsidR="00E27C23" w:rsidRPr="007F7EBF" w:rsidRDefault="00230836" w:rsidP="00E27C23">
      <w:pPr>
        <w:pStyle w:val="tit23"/>
        <w:ind w:left="6464" w:right="-1361" w:firstLine="0"/>
        <w:jc w:val="left"/>
        <w:rPr>
          <w:bCs/>
          <w:i/>
          <w:iCs/>
          <w:color w:val="0000FF"/>
          <w:lang w:val="it-IT"/>
        </w:rPr>
      </w:pPr>
      <w:r>
        <w:rPr>
          <w:bCs/>
          <w:i/>
          <w:iCs/>
          <w:color w:val="0000FF"/>
          <w:lang w:val="it-IT"/>
        </w:rPr>
        <w:t>generici</w:t>
      </w:r>
      <w:r w:rsidR="00E27C23">
        <w:rPr>
          <w:bCs/>
          <w:i/>
          <w:iCs/>
          <w:color w:val="0000FF"/>
          <w:lang w:val="it-IT"/>
        </w:rPr>
        <w:t xml:space="preserve"> riferimenti al modello aziendale</w:t>
      </w:r>
    </w:p>
    <w:p w14:paraId="2F70735D" w14:textId="12C503EE" w:rsidR="004A2DE9" w:rsidRDefault="00A55005" w:rsidP="00EC4303">
      <w:pPr>
        <w:autoSpaceDE w:val="0"/>
        <w:autoSpaceDN w:val="0"/>
        <w:adjustRightInd w:val="0"/>
        <w:rPr>
          <w:sz w:val="22"/>
          <w:szCs w:val="22"/>
        </w:rPr>
      </w:pPr>
      <w:r>
        <w:rPr>
          <w:sz w:val="22"/>
          <w:szCs w:val="22"/>
        </w:rPr>
        <w:t>Invece di adeguare</w:t>
      </w:r>
      <w:r w:rsidR="002445CC">
        <w:rPr>
          <w:sz w:val="22"/>
          <w:szCs w:val="22"/>
        </w:rPr>
        <w:t xml:space="preserve"> questo modello a un’idea generale di organismo pluripersonale, </w:t>
      </w:r>
      <w:r>
        <w:rPr>
          <w:sz w:val="22"/>
          <w:szCs w:val="22"/>
        </w:rPr>
        <w:t xml:space="preserve">lo si è gradualmente sostituito con </w:t>
      </w:r>
      <w:r w:rsidR="002445CC">
        <w:rPr>
          <w:sz w:val="22"/>
          <w:szCs w:val="22"/>
        </w:rPr>
        <w:t xml:space="preserve">un generico </w:t>
      </w:r>
      <w:r>
        <w:rPr>
          <w:sz w:val="22"/>
          <w:szCs w:val="22"/>
        </w:rPr>
        <w:t>“</w:t>
      </w:r>
      <w:r w:rsidRPr="007F7EBF">
        <w:rPr>
          <w:sz w:val="22"/>
          <w:szCs w:val="22"/>
        </w:rPr>
        <w:t>modello aziendale</w:t>
      </w:r>
      <w:r>
        <w:rPr>
          <w:sz w:val="22"/>
          <w:szCs w:val="22"/>
        </w:rPr>
        <w:t>”</w:t>
      </w:r>
      <w:r w:rsidR="002445CC">
        <w:rPr>
          <w:sz w:val="22"/>
          <w:szCs w:val="22"/>
        </w:rPr>
        <w:t xml:space="preserve">, sull’onda delle </w:t>
      </w:r>
      <w:r w:rsidR="002445CC">
        <w:rPr>
          <w:i/>
          <w:iCs/>
          <w:sz w:val="22"/>
          <w:szCs w:val="22"/>
        </w:rPr>
        <w:t xml:space="preserve">privatizzazioni </w:t>
      </w:r>
      <w:r w:rsidR="002445CC">
        <w:rPr>
          <w:sz w:val="22"/>
          <w:szCs w:val="22"/>
        </w:rPr>
        <w:t>e del</w:t>
      </w:r>
      <w:r>
        <w:rPr>
          <w:sz w:val="22"/>
          <w:szCs w:val="22"/>
        </w:rPr>
        <w:t>la crisi dello statalismo economico</w:t>
      </w:r>
      <w:r w:rsidR="00380FB8">
        <w:rPr>
          <w:sz w:val="22"/>
          <w:szCs w:val="22"/>
        </w:rPr>
        <w:t xml:space="preserve"> </w:t>
      </w:r>
      <w:r w:rsidR="002445CC">
        <w:rPr>
          <w:sz w:val="22"/>
          <w:szCs w:val="22"/>
        </w:rPr>
        <w:t xml:space="preserve">su cui </w:t>
      </w:r>
      <w:r w:rsidRPr="007F7EBF">
        <w:rPr>
          <w:sz w:val="22"/>
          <w:szCs w:val="22"/>
        </w:rPr>
        <w:t>par.2.6</w:t>
      </w:r>
      <w:r w:rsidR="002445CC">
        <w:rPr>
          <w:sz w:val="22"/>
          <w:szCs w:val="22"/>
        </w:rPr>
        <w:t>. L</w:t>
      </w:r>
      <w:r w:rsidR="00380FB8">
        <w:rPr>
          <w:sz w:val="22"/>
          <w:szCs w:val="22"/>
        </w:rPr>
        <w:t xml:space="preserve">a mancata </w:t>
      </w:r>
      <w:r w:rsidR="002445CC">
        <w:rPr>
          <w:sz w:val="22"/>
          <w:szCs w:val="22"/>
        </w:rPr>
        <w:t xml:space="preserve">riflessione sulla </w:t>
      </w:r>
      <w:r w:rsidR="002445CC">
        <w:rPr>
          <w:i/>
          <w:iCs/>
          <w:sz w:val="22"/>
          <w:szCs w:val="22"/>
        </w:rPr>
        <w:t xml:space="preserve">governance </w:t>
      </w:r>
      <w:r w:rsidR="002445CC">
        <w:rPr>
          <w:sz w:val="22"/>
          <w:szCs w:val="22"/>
        </w:rPr>
        <w:t xml:space="preserve">delle formazioni sociali, aziende comprese, </w:t>
      </w:r>
      <w:r w:rsidR="00380FB8">
        <w:rPr>
          <w:sz w:val="22"/>
          <w:szCs w:val="22"/>
        </w:rPr>
        <w:t>ha provocato anche qui gravi inconvenienti</w:t>
      </w:r>
      <w:r w:rsidR="00FC1A71">
        <w:t xml:space="preserve">. </w:t>
      </w:r>
      <w:r w:rsidR="002445CC">
        <w:t xml:space="preserve">L’aziendalizzazione è stata vista come una scorciatoia dalla politica per aumentare i </w:t>
      </w:r>
      <w:r w:rsidR="00FE635E">
        <w:rPr>
          <w:sz w:val="22"/>
          <w:szCs w:val="22"/>
        </w:rPr>
        <w:t>propri margini di manovra</w:t>
      </w:r>
      <w:r w:rsidR="002445CC">
        <w:rPr>
          <w:sz w:val="22"/>
          <w:szCs w:val="22"/>
        </w:rPr>
        <w:t xml:space="preserve"> rispetto alle precedenti gerarchie organizzative, coi d</w:t>
      </w:r>
      <w:r w:rsidR="002445CC" w:rsidRPr="007F7EBF">
        <w:rPr>
          <w:sz w:val="22"/>
          <w:szCs w:val="22"/>
        </w:rPr>
        <w:t xml:space="preserve">irigenti </w:t>
      </w:r>
      <w:r w:rsidR="002445CC">
        <w:rPr>
          <w:sz w:val="22"/>
          <w:szCs w:val="22"/>
        </w:rPr>
        <w:t>formati</w:t>
      </w:r>
      <w:r w:rsidR="002445CC" w:rsidRPr="007F7EBF">
        <w:rPr>
          <w:sz w:val="22"/>
          <w:szCs w:val="22"/>
        </w:rPr>
        <w:t xml:space="preserve"> da carriera interna, </w:t>
      </w:r>
      <w:r w:rsidR="002445CC">
        <w:rPr>
          <w:sz w:val="22"/>
          <w:szCs w:val="22"/>
        </w:rPr>
        <w:t xml:space="preserve">specifica per funzione, e maggior potere contrattuale rispetto </w:t>
      </w:r>
      <w:r w:rsidR="002445CC" w:rsidRPr="007F7EBF">
        <w:rPr>
          <w:sz w:val="22"/>
          <w:szCs w:val="22"/>
        </w:rPr>
        <w:t>alla politica</w:t>
      </w:r>
      <w:r w:rsidR="002445CC">
        <w:rPr>
          <w:sz w:val="22"/>
          <w:szCs w:val="22"/>
        </w:rPr>
        <w:t>. Quest’ultima s</w:t>
      </w:r>
      <w:r w:rsidR="002445CC">
        <w:t>elezionava i vertici delle amministrazioni, potendo scegliere nella specifica “piramide gerarchica”,</w:t>
      </w:r>
      <w:r w:rsidR="004A2DE9">
        <w:t xml:space="preserve"> che la privatizzazione depotenzia in</w:t>
      </w:r>
      <w:r w:rsidR="002445CC">
        <w:rPr>
          <w:sz w:val="22"/>
          <w:szCs w:val="22"/>
        </w:rPr>
        <w:t xml:space="preserve"> nome di una generica</w:t>
      </w:r>
      <w:r w:rsidR="002445CC" w:rsidRPr="007F7EBF">
        <w:rPr>
          <w:sz w:val="22"/>
          <w:szCs w:val="22"/>
        </w:rPr>
        <w:t xml:space="preserve"> "managerialità"</w:t>
      </w:r>
      <w:r w:rsidR="004A2DE9">
        <w:rPr>
          <w:sz w:val="22"/>
          <w:szCs w:val="22"/>
        </w:rPr>
        <w:t xml:space="preserve">. Essa consente a una politica che si sente </w:t>
      </w:r>
      <w:r w:rsidR="00FE635E">
        <w:rPr>
          <w:sz w:val="22"/>
          <w:szCs w:val="22"/>
        </w:rPr>
        <w:t>“azionista di riferimento”</w:t>
      </w:r>
      <w:r w:rsidR="004A2DE9">
        <w:rPr>
          <w:sz w:val="22"/>
          <w:szCs w:val="22"/>
        </w:rPr>
        <w:t xml:space="preserve"> dei pubblici uffici di spostare dirigenti d’area </w:t>
      </w:r>
      <w:r w:rsidR="004A2DE9">
        <w:rPr>
          <w:sz w:val="22"/>
          <w:szCs w:val="22"/>
        </w:rPr>
        <w:lastRenderedPageBreak/>
        <w:t xml:space="preserve">da una funzione all’altra, in nome di una generica </w:t>
      </w:r>
      <w:r w:rsidR="004A2DE9">
        <w:rPr>
          <w:i/>
          <w:iCs/>
          <w:sz w:val="22"/>
          <w:szCs w:val="22"/>
        </w:rPr>
        <w:t>managerialità</w:t>
      </w:r>
      <w:r w:rsidR="00034B6F">
        <w:rPr>
          <w:i/>
          <w:iCs/>
          <w:sz w:val="22"/>
          <w:szCs w:val="22"/>
        </w:rPr>
        <w:t xml:space="preserve"> </w:t>
      </w:r>
      <w:r w:rsidR="00034B6F">
        <w:rPr>
          <w:rStyle w:val="Rimandonotaapidipagina"/>
          <w:sz w:val="22"/>
          <w:szCs w:val="22"/>
        </w:rPr>
        <w:footnoteReference w:id="519"/>
      </w:r>
      <w:r w:rsidR="004A2DE9">
        <w:rPr>
          <w:sz w:val="22"/>
          <w:szCs w:val="22"/>
        </w:rPr>
        <w:t xml:space="preserve">. </w:t>
      </w:r>
      <w:r w:rsidR="004A2DE9">
        <w:t xml:space="preserve">Essa è </w:t>
      </w:r>
      <w:r w:rsidR="004A2DE9" w:rsidRPr="007F7EBF">
        <w:t xml:space="preserve"> alla base dell’idea di c.d. </w:t>
      </w:r>
      <w:r w:rsidR="004A2DE9" w:rsidRPr="007F7EBF">
        <w:rPr>
          <w:i/>
        </w:rPr>
        <w:t>ruolo unico</w:t>
      </w:r>
      <w:r w:rsidR="004A2DE9" w:rsidRPr="007F7EBF">
        <w:t xml:space="preserve"> dei dirigenti pubblici, che potrebbe andare anche bene per le figure “generaliste” corrispondenti alla gestione del personale (c.d. “risorse umane”) oppure alla direzione amministrativa delle aziende</w:t>
      </w:r>
      <w:r w:rsidR="004A2DE9">
        <w:t xml:space="preserve">. </w:t>
      </w:r>
      <w:r w:rsidR="004A2DE9">
        <w:rPr>
          <w:sz w:val="22"/>
          <w:szCs w:val="22"/>
        </w:rPr>
        <w:t>Quest’intercambiabilità de</w:t>
      </w:r>
      <w:r w:rsidR="004A2DE9" w:rsidRPr="007F7EBF">
        <w:rPr>
          <w:sz w:val="22"/>
          <w:szCs w:val="22"/>
        </w:rPr>
        <w:t>l "dirigente pubblico"</w:t>
      </w:r>
      <w:r w:rsidR="004A2DE9">
        <w:rPr>
          <w:sz w:val="22"/>
          <w:szCs w:val="22"/>
        </w:rPr>
        <w:t xml:space="preserve"> non giustifica però </w:t>
      </w:r>
      <w:r w:rsidR="004A2DE9" w:rsidRPr="007F7EBF">
        <w:rPr>
          <w:sz w:val="22"/>
          <w:szCs w:val="22"/>
        </w:rPr>
        <w:t>passa</w:t>
      </w:r>
      <w:r w:rsidR="004A2DE9">
        <w:rPr>
          <w:sz w:val="22"/>
          <w:szCs w:val="22"/>
        </w:rPr>
        <w:t>ggi d</w:t>
      </w:r>
      <w:r w:rsidR="004A2DE9" w:rsidRPr="007F7EBF">
        <w:rPr>
          <w:sz w:val="22"/>
          <w:szCs w:val="22"/>
        </w:rPr>
        <w:t xml:space="preserve">alla protezione civile, </w:t>
      </w:r>
      <w:r w:rsidR="004A2DE9">
        <w:rPr>
          <w:sz w:val="22"/>
          <w:szCs w:val="22"/>
        </w:rPr>
        <w:t>all’ambiente</w:t>
      </w:r>
      <w:r w:rsidR="004A2DE9" w:rsidRPr="007F7EBF">
        <w:rPr>
          <w:sz w:val="22"/>
          <w:szCs w:val="22"/>
        </w:rPr>
        <w:t xml:space="preserve">, ai beni culturali, alle infrastrutture, </w:t>
      </w:r>
      <w:r w:rsidR="004A2DE9">
        <w:rPr>
          <w:sz w:val="22"/>
          <w:szCs w:val="22"/>
        </w:rPr>
        <w:t xml:space="preserve">in relazione ai cambi di </w:t>
      </w:r>
      <w:r w:rsidR="004A2DE9" w:rsidRPr="004A2DE9">
        <w:rPr>
          <w:i/>
          <w:iCs/>
          <w:sz w:val="22"/>
          <w:szCs w:val="22"/>
        </w:rPr>
        <w:t>sponsor</w:t>
      </w:r>
      <w:r w:rsidR="004A2DE9">
        <w:rPr>
          <w:sz w:val="22"/>
          <w:szCs w:val="22"/>
        </w:rPr>
        <w:t xml:space="preserve"> politici; </w:t>
      </w:r>
      <w:r w:rsidR="004A2DE9">
        <w:t xml:space="preserve">questo ruolo unico della dirigenza </w:t>
      </w:r>
      <w:r w:rsidR="004A2DE9">
        <w:rPr>
          <w:sz w:val="22"/>
          <w:szCs w:val="22"/>
        </w:rPr>
        <w:t>costringe f</w:t>
      </w:r>
      <w:r w:rsidR="004A2DE9" w:rsidRPr="007F7EBF">
        <w:rPr>
          <w:sz w:val="22"/>
          <w:szCs w:val="22"/>
        </w:rPr>
        <w:t>unzionari ormai avanti con gli anni, che già hanno sostenuto concorsi d’ingresso</w:t>
      </w:r>
      <w:r w:rsidR="004A2DE9">
        <w:rPr>
          <w:sz w:val="22"/>
          <w:szCs w:val="22"/>
        </w:rPr>
        <w:t>,</w:t>
      </w:r>
      <w:r w:rsidR="004A2DE9" w:rsidRPr="007F7EBF">
        <w:rPr>
          <w:sz w:val="22"/>
          <w:szCs w:val="22"/>
        </w:rPr>
        <w:t xml:space="preserve"> </w:t>
      </w:r>
      <w:r w:rsidR="004A2DE9">
        <w:rPr>
          <w:sz w:val="22"/>
          <w:szCs w:val="22"/>
        </w:rPr>
        <w:t xml:space="preserve">da laureati, </w:t>
      </w:r>
      <w:r w:rsidR="004A2DE9" w:rsidRPr="007F7EBF">
        <w:rPr>
          <w:sz w:val="22"/>
          <w:szCs w:val="22"/>
        </w:rPr>
        <w:t xml:space="preserve">decenni prima, a </w:t>
      </w:r>
      <w:r w:rsidR="00034B6F">
        <w:rPr>
          <w:sz w:val="22"/>
          <w:szCs w:val="22"/>
        </w:rPr>
        <w:t xml:space="preserve">un secondo livello di concorso, </w:t>
      </w:r>
      <w:r w:rsidR="004A2DE9" w:rsidRPr="007F7EBF">
        <w:rPr>
          <w:sz w:val="22"/>
          <w:szCs w:val="22"/>
        </w:rPr>
        <w:t>inevitabilmente nozionistic</w:t>
      </w:r>
      <w:r w:rsidR="00034B6F">
        <w:rPr>
          <w:sz w:val="22"/>
          <w:szCs w:val="22"/>
        </w:rPr>
        <w:t>o</w:t>
      </w:r>
      <w:r w:rsidR="004A2DE9" w:rsidRPr="007F7EBF">
        <w:rPr>
          <w:sz w:val="22"/>
          <w:szCs w:val="22"/>
        </w:rPr>
        <w:t xml:space="preserve">, che </w:t>
      </w:r>
      <w:r w:rsidR="00034B6F">
        <w:rPr>
          <w:sz w:val="22"/>
          <w:szCs w:val="22"/>
        </w:rPr>
        <w:t>non valorizza</w:t>
      </w:r>
      <w:r w:rsidR="004A2DE9" w:rsidRPr="007F7EBF">
        <w:rPr>
          <w:sz w:val="22"/>
          <w:szCs w:val="22"/>
        </w:rPr>
        <w:t xml:space="preserve"> le precedenti esperienze di lavoro</w:t>
      </w:r>
      <w:r w:rsidR="004A2DE9">
        <w:rPr>
          <w:sz w:val="22"/>
          <w:szCs w:val="22"/>
        </w:rPr>
        <w:t>(</w:t>
      </w:r>
      <w:r w:rsidR="004A2DE9" w:rsidRPr="007F7EBF">
        <w:rPr>
          <w:rStyle w:val="Rimandonotaapidipagina"/>
          <w:sz w:val="22"/>
          <w:szCs w:val="22"/>
        </w:rPr>
        <w:footnoteReference w:id="520"/>
      </w:r>
      <w:r w:rsidR="004A2DE9">
        <w:rPr>
          <w:sz w:val="22"/>
          <w:szCs w:val="22"/>
        </w:rPr>
        <w:t>)</w:t>
      </w:r>
      <w:r w:rsidR="004A2DE9" w:rsidRPr="007F7EBF">
        <w:rPr>
          <w:sz w:val="22"/>
          <w:szCs w:val="22"/>
        </w:rPr>
        <w:t>.</w:t>
      </w:r>
      <w:r w:rsidR="004A2DE9">
        <w:rPr>
          <w:sz w:val="22"/>
          <w:szCs w:val="22"/>
        </w:rPr>
        <w:t xml:space="preserve"> La “selezione interna” dei dirigenti è ridotta ai corpi militari, sanitari, tecnici e pochi altri, e ciò asseconda carriere all’ombra della politica (</w:t>
      </w:r>
      <w:r w:rsidR="004A2DE9" w:rsidRPr="007F7EBF">
        <w:rPr>
          <w:rStyle w:val="Rimandonotaapidipagina"/>
          <w:sz w:val="22"/>
          <w:szCs w:val="22"/>
        </w:rPr>
        <w:footnoteReference w:id="521"/>
      </w:r>
      <w:r w:rsidR="004A2DE9">
        <w:rPr>
          <w:sz w:val="22"/>
          <w:szCs w:val="22"/>
        </w:rPr>
        <w:t>)</w:t>
      </w:r>
      <w:r w:rsidR="00E10698">
        <w:rPr>
          <w:sz w:val="22"/>
          <w:szCs w:val="22"/>
        </w:rPr>
        <w:t>.</w:t>
      </w:r>
      <w:r w:rsidR="004A2DE9">
        <w:rPr>
          <w:sz w:val="22"/>
          <w:szCs w:val="22"/>
        </w:rPr>
        <w:t xml:space="preserve"> </w:t>
      </w:r>
    </w:p>
    <w:p w14:paraId="4AD9B4BD" w14:textId="5440AD44" w:rsidR="00CD0833" w:rsidRDefault="00C87F7C" w:rsidP="00EC4303">
      <w:pPr>
        <w:autoSpaceDE w:val="0"/>
        <w:autoSpaceDN w:val="0"/>
        <w:adjustRightInd w:val="0"/>
        <w:rPr>
          <w:sz w:val="22"/>
          <w:szCs w:val="22"/>
        </w:rPr>
      </w:pPr>
      <w:r>
        <w:rPr>
          <w:sz w:val="22"/>
          <w:szCs w:val="22"/>
        </w:rPr>
        <w:t>I</w:t>
      </w:r>
      <w:r>
        <w:t xml:space="preserve">l modello aziendale </w:t>
      </w:r>
      <w:r w:rsidR="002F5226">
        <w:t xml:space="preserve">consente ai </w:t>
      </w:r>
      <w:r>
        <w:rPr>
          <w:sz w:val="22"/>
          <w:szCs w:val="22"/>
        </w:rPr>
        <w:t>sindacati</w:t>
      </w:r>
      <w:r w:rsidR="002F5226">
        <w:rPr>
          <w:sz w:val="22"/>
          <w:szCs w:val="22"/>
        </w:rPr>
        <w:t xml:space="preserve"> un fortissimo potere di interdizione nelle valutazioni dirigenziali sull’organizzazione degli uffici, la gestione e valutazione del personale</w:t>
      </w:r>
      <w:r>
        <w:rPr>
          <w:sz w:val="22"/>
          <w:szCs w:val="22"/>
        </w:rPr>
        <w:t xml:space="preserve"> </w:t>
      </w:r>
      <w:r w:rsidR="002F5226">
        <w:t xml:space="preserve">ai fini degli avanzamenti di carriera </w:t>
      </w:r>
      <w:r>
        <w:rPr>
          <w:sz w:val="22"/>
          <w:szCs w:val="22"/>
        </w:rPr>
        <w:t>(</w:t>
      </w:r>
      <w:r w:rsidRPr="007F7EBF">
        <w:rPr>
          <w:rStyle w:val="Rimandonotaapidipagina"/>
          <w:sz w:val="22"/>
          <w:szCs w:val="22"/>
        </w:rPr>
        <w:footnoteReference w:id="522"/>
      </w:r>
      <w:r>
        <w:rPr>
          <w:sz w:val="22"/>
          <w:szCs w:val="22"/>
        </w:rPr>
        <w:t>)</w:t>
      </w:r>
      <w:r w:rsidR="00034B6F">
        <w:rPr>
          <w:sz w:val="22"/>
          <w:szCs w:val="22"/>
        </w:rPr>
        <w:t>.</w:t>
      </w:r>
      <w:r w:rsidR="002F5226">
        <w:t xml:space="preserve"> Alle valutazioni di merito si sostituiscono asettici </w:t>
      </w:r>
      <w:r w:rsidR="00034B6F">
        <w:t xml:space="preserve">“indicatori di produttività”, </w:t>
      </w:r>
      <w:r w:rsidR="002F5226">
        <w:t>non accompagnati da</w:t>
      </w:r>
      <w:r w:rsidR="00DD35A1">
        <w:t xml:space="preserve"> adeguate</w:t>
      </w:r>
      <w:r w:rsidR="00034B6F">
        <w:t xml:space="preserve"> spiegazioni sociali della funzione sottostante</w:t>
      </w:r>
      <w:r w:rsidR="00DD35A1">
        <w:t xml:space="preserve">; in questa misura essi </w:t>
      </w:r>
      <w:r w:rsidR="00034B6F">
        <w:t>mortifica</w:t>
      </w:r>
      <w:r w:rsidR="00DD35A1">
        <w:t>no</w:t>
      </w:r>
      <w:r w:rsidR="00034B6F">
        <w:t xml:space="preserve"> lo spirito d’iniziativa,  sping</w:t>
      </w:r>
      <w:r w:rsidR="00DD35A1">
        <w:t>endo</w:t>
      </w:r>
      <w:r w:rsidR="00034B6F">
        <w:t xml:space="preserve"> a “fare punteggio”, </w:t>
      </w:r>
      <w:r w:rsidR="00DD35A1">
        <w:t>indipendentemente dal</w:t>
      </w:r>
      <w:r w:rsidR="00034B6F">
        <w:t>l’utilità effettiva delle proprie azioni</w:t>
      </w:r>
      <w:r w:rsidR="00034B6F">
        <w:rPr>
          <w:sz w:val="22"/>
          <w:szCs w:val="22"/>
        </w:rPr>
        <w:t xml:space="preserve"> (</w:t>
      </w:r>
      <w:r w:rsidR="00034B6F">
        <w:rPr>
          <w:rStyle w:val="Rimandonotaapidipagina"/>
          <w:sz w:val="22"/>
          <w:szCs w:val="22"/>
        </w:rPr>
        <w:footnoteReference w:id="523"/>
      </w:r>
      <w:r w:rsidR="00034B6F">
        <w:rPr>
          <w:sz w:val="22"/>
          <w:szCs w:val="22"/>
        </w:rPr>
        <w:t>)</w:t>
      </w:r>
      <w:r w:rsidR="00034B6F">
        <w:t>.</w:t>
      </w:r>
      <w:r w:rsidR="00A635A0">
        <w:t xml:space="preserve"> </w:t>
      </w:r>
      <w:r w:rsidR="00A635A0">
        <w:lastRenderedPageBreak/>
        <w:t xml:space="preserve">E’ una riedizione del formalismo del modello gerarchico militare, col </w:t>
      </w:r>
      <w:r w:rsidR="00A635A0">
        <w:rPr>
          <w:sz w:val="22"/>
          <w:szCs w:val="22"/>
        </w:rPr>
        <w:t>rispetto delle regole sopravvalutato rispetto alle funzioni, secondo la concezione privatistico-giurisdizionale del diritto, come ripetiamo dal par.1.3.</w:t>
      </w:r>
    </w:p>
    <w:p w14:paraId="6D6CA414" w14:textId="375652DE" w:rsidR="008332CC" w:rsidRPr="007F7EBF" w:rsidRDefault="00A635A0" w:rsidP="008332CC">
      <w:pPr>
        <w:pStyle w:val="tit23"/>
        <w:ind w:left="6464" w:right="-1361" w:firstLine="0"/>
        <w:jc w:val="left"/>
        <w:rPr>
          <w:bCs/>
          <w:i/>
          <w:iCs/>
          <w:color w:val="0000FF"/>
          <w:lang w:val="it-IT"/>
        </w:rPr>
      </w:pPr>
      <w:r>
        <w:rPr>
          <w:bCs/>
          <w:i/>
          <w:iCs/>
          <w:color w:val="0000FF"/>
          <w:lang w:val="it-IT"/>
        </w:rPr>
        <w:t>F</w:t>
      </w:r>
      <w:r w:rsidR="0020422F">
        <w:rPr>
          <w:bCs/>
          <w:i/>
          <w:iCs/>
          <w:color w:val="0000FF"/>
          <w:lang w:val="it-IT"/>
        </w:rPr>
        <w:t>ormalismo</w:t>
      </w:r>
      <w:r>
        <w:rPr>
          <w:bCs/>
          <w:i/>
          <w:iCs/>
          <w:color w:val="0000FF"/>
          <w:lang w:val="it-IT"/>
        </w:rPr>
        <w:t>,</w:t>
      </w:r>
    </w:p>
    <w:p w14:paraId="7E084A0C" w14:textId="19B4A435" w:rsidR="00DE4E7E" w:rsidRPr="007F7EBF" w:rsidRDefault="00AA3907" w:rsidP="00DE4E7E">
      <w:pPr>
        <w:pStyle w:val="tit23"/>
        <w:ind w:left="6464" w:right="-1361" w:firstLine="0"/>
        <w:jc w:val="left"/>
        <w:rPr>
          <w:bCs/>
          <w:i/>
          <w:iCs/>
          <w:color w:val="0000FF"/>
          <w:lang w:val="it-IT"/>
        </w:rPr>
      </w:pPr>
      <w:r w:rsidRPr="007F7EBF">
        <w:rPr>
          <w:bCs/>
          <w:i/>
          <w:iCs/>
          <w:color w:val="0000FF"/>
          <w:lang w:val="it-IT"/>
        </w:rPr>
        <w:t xml:space="preserve">delegittimazione </w:t>
      </w:r>
      <w:r w:rsidR="00A635A0">
        <w:rPr>
          <w:bCs/>
          <w:i/>
          <w:iCs/>
          <w:color w:val="0000FF"/>
          <w:lang w:val="it-IT"/>
        </w:rPr>
        <w:t>e</w:t>
      </w:r>
      <w:r w:rsidR="00165B87">
        <w:rPr>
          <w:bCs/>
          <w:i/>
          <w:iCs/>
          <w:color w:val="0000FF"/>
          <w:lang w:val="it-IT"/>
        </w:rPr>
        <w:t>d</w:t>
      </w:r>
      <w:r w:rsidRPr="007F7EBF">
        <w:rPr>
          <w:bCs/>
          <w:i/>
          <w:iCs/>
          <w:color w:val="0000FF"/>
          <w:lang w:val="it-IT"/>
        </w:rPr>
        <w:t xml:space="preserve"> esternalizzazioni</w:t>
      </w:r>
    </w:p>
    <w:p w14:paraId="26F40384" w14:textId="5EEF51CA" w:rsidR="00A635A0" w:rsidRDefault="008A6DDD" w:rsidP="00A635A0">
      <w:pPr>
        <w:rPr>
          <w:bCs/>
          <w:i/>
          <w:iCs/>
          <w:color w:val="0000FF"/>
        </w:rPr>
      </w:pPr>
      <w:r>
        <w:rPr>
          <w:sz w:val="22"/>
          <w:szCs w:val="22"/>
        </w:rPr>
        <w:t>Tutto questo contrasta lo stimolo, proveniente dall’opinione pubblica</w:t>
      </w:r>
      <w:r w:rsidR="00976519">
        <w:rPr>
          <w:sz w:val="22"/>
          <w:szCs w:val="22"/>
        </w:rPr>
        <w:t>, secondo il sopra indicato controllo sociale</w:t>
      </w:r>
      <w:r>
        <w:rPr>
          <w:sz w:val="22"/>
          <w:szCs w:val="22"/>
        </w:rPr>
        <w:t xml:space="preserve">, </w:t>
      </w:r>
      <w:r w:rsidR="00976519">
        <w:rPr>
          <w:sz w:val="22"/>
          <w:szCs w:val="22"/>
        </w:rPr>
        <w:t>a prendere iniziative e</w:t>
      </w:r>
      <w:r w:rsidR="00A635A0">
        <w:t xml:space="preserve">d assumersi dei rischi nell’interesse generale; prevalgono l’autoprotezione, il formalismo, la ricerca di pretesti normativi per non  esporsi </w:t>
      </w:r>
      <w:r w:rsidR="00A635A0">
        <w:rPr>
          <w:rStyle w:val="Rimandonotaapidipagina"/>
        </w:rPr>
        <w:footnoteReference w:id="524"/>
      </w:r>
      <w:r w:rsidR="00A635A0">
        <w:t xml:space="preserve">. </w:t>
      </w:r>
    </w:p>
    <w:p w14:paraId="4B3C607B" w14:textId="0F9D56B7" w:rsidR="000F4C20" w:rsidRPr="007F7EBF" w:rsidRDefault="00976519" w:rsidP="000F4C20">
      <w:pPr>
        <w:autoSpaceDE w:val="0"/>
        <w:autoSpaceDN w:val="0"/>
        <w:adjustRightInd w:val="0"/>
        <w:rPr>
          <w:sz w:val="22"/>
          <w:szCs w:val="22"/>
        </w:rPr>
      </w:pPr>
      <w:r>
        <w:rPr>
          <w:sz w:val="22"/>
          <w:szCs w:val="22"/>
        </w:rPr>
        <w:t xml:space="preserve">Il settore pubblico ne risente variamente, riducendosi </w:t>
      </w:r>
      <w:r w:rsidR="00A51B14">
        <w:rPr>
          <w:sz w:val="22"/>
          <w:szCs w:val="22"/>
        </w:rPr>
        <w:t>e trasformando</w:t>
      </w:r>
      <w:r>
        <w:rPr>
          <w:sz w:val="22"/>
          <w:szCs w:val="22"/>
        </w:rPr>
        <w:t>si</w:t>
      </w:r>
      <w:r w:rsidR="00A51B14">
        <w:rPr>
          <w:sz w:val="22"/>
          <w:szCs w:val="22"/>
        </w:rPr>
        <w:t xml:space="preserve"> sempre più da gestore diretto in</w:t>
      </w:r>
      <w:r w:rsidR="00E91384">
        <w:rPr>
          <w:sz w:val="22"/>
          <w:szCs w:val="22"/>
        </w:rPr>
        <w:t xml:space="preserve"> </w:t>
      </w:r>
      <w:r w:rsidR="007363F7">
        <w:rPr>
          <w:sz w:val="22"/>
          <w:szCs w:val="22"/>
        </w:rPr>
        <w:t>appaltatore</w:t>
      </w:r>
      <w:r w:rsidR="00A51B14">
        <w:rPr>
          <w:sz w:val="22"/>
          <w:szCs w:val="22"/>
        </w:rPr>
        <w:t xml:space="preserve">. Le </w:t>
      </w:r>
      <w:r w:rsidR="007363F7">
        <w:rPr>
          <w:sz w:val="22"/>
          <w:szCs w:val="22"/>
        </w:rPr>
        <w:t xml:space="preserve"> </w:t>
      </w:r>
      <w:r w:rsidR="00A51B14" w:rsidRPr="007F7EBF">
        <w:t xml:space="preserve">officine di produzione pubbliche, </w:t>
      </w:r>
      <w:r w:rsidR="00A51B14">
        <w:t xml:space="preserve">da </w:t>
      </w:r>
      <w:r w:rsidR="00A51B14" w:rsidRPr="007F7EBF">
        <w:t>quelle sopra ricordate del monopolio del sale</w:t>
      </w:r>
      <w:r w:rsidR="00A51B14">
        <w:t xml:space="preserve"> fino agli arsenali militari, sono state smantellate, ed è scomparsa anche la piccola </w:t>
      </w:r>
      <w:r w:rsidR="00A51B14" w:rsidRPr="007F7EBF">
        <w:t>manutenzione</w:t>
      </w:r>
      <w:r w:rsidR="00A51B14">
        <w:t xml:space="preserve"> dell’antico personale operaio e tecnico</w:t>
      </w:r>
      <w:r w:rsidR="00A51B14" w:rsidRPr="007F7EBF">
        <w:t xml:space="preserve"> </w:t>
      </w:r>
      <w:r w:rsidR="00A51B14">
        <w:rPr>
          <w:rStyle w:val="Rimandonotaapidipagina"/>
        </w:rPr>
        <w:footnoteReference w:id="525"/>
      </w:r>
      <w:r w:rsidR="00A51B14">
        <w:t>. Le funzioni pubbliche sono sempre più demandate a</w:t>
      </w:r>
      <w:r w:rsidR="00315AF9">
        <w:rPr>
          <w:sz w:val="22"/>
          <w:szCs w:val="22"/>
        </w:rPr>
        <w:t xml:space="preserve"> </w:t>
      </w:r>
      <w:r w:rsidR="008A2444">
        <w:rPr>
          <w:sz w:val="22"/>
          <w:szCs w:val="22"/>
        </w:rPr>
        <w:t xml:space="preserve">società concessionarie, </w:t>
      </w:r>
      <w:r w:rsidR="008A2444" w:rsidRPr="007F7EBF">
        <w:rPr>
          <w:sz w:val="22"/>
          <w:szCs w:val="22"/>
        </w:rPr>
        <w:t>cooperative sociali</w:t>
      </w:r>
      <w:r w:rsidR="006F0607">
        <w:rPr>
          <w:sz w:val="22"/>
          <w:szCs w:val="22"/>
        </w:rPr>
        <w:t xml:space="preserve"> e Onlus </w:t>
      </w:r>
      <w:r w:rsidR="008A2444">
        <w:rPr>
          <w:sz w:val="22"/>
          <w:szCs w:val="22"/>
        </w:rPr>
        <w:t>(</w:t>
      </w:r>
      <w:r w:rsidR="008A2444" w:rsidRPr="007F7EBF">
        <w:rPr>
          <w:rStyle w:val="Rimandonotaapidipagina"/>
          <w:sz w:val="22"/>
          <w:szCs w:val="22"/>
        </w:rPr>
        <w:footnoteReference w:id="526"/>
      </w:r>
      <w:r w:rsidR="008A2444">
        <w:rPr>
          <w:sz w:val="22"/>
          <w:szCs w:val="22"/>
        </w:rPr>
        <w:t>)</w:t>
      </w:r>
      <w:r w:rsidR="00B13C26">
        <w:rPr>
          <w:sz w:val="22"/>
          <w:szCs w:val="22"/>
        </w:rPr>
        <w:t>,</w:t>
      </w:r>
      <w:r w:rsidR="008A2444">
        <w:rPr>
          <w:sz w:val="22"/>
          <w:szCs w:val="22"/>
        </w:rPr>
        <w:t xml:space="preserve"> sanità convenzionata</w:t>
      </w:r>
      <w:r w:rsidR="00B13C26">
        <w:rPr>
          <w:sz w:val="22"/>
          <w:szCs w:val="22"/>
        </w:rPr>
        <w:t>,</w:t>
      </w:r>
      <w:r w:rsidR="00B13C26" w:rsidRPr="00B13C26">
        <w:rPr>
          <w:i/>
          <w:sz w:val="22"/>
          <w:szCs w:val="22"/>
        </w:rPr>
        <w:t xml:space="preserve"> </w:t>
      </w:r>
      <w:r w:rsidR="00B13C26" w:rsidRPr="007F7EBF">
        <w:rPr>
          <w:i/>
          <w:sz w:val="22"/>
          <w:szCs w:val="22"/>
        </w:rPr>
        <w:t>sponsor</w:t>
      </w:r>
      <w:r w:rsidR="00B13C26" w:rsidRPr="007F7EBF">
        <w:rPr>
          <w:sz w:val="22"/>
          <w:szCs w:val="22"/>
        </w:rPr>
        <w:t xml:space="preserve"> per la valorizzazione dei beni culturali</w:t>
      </w:r>
      <w:r w:rsidR="00B13C26">
        <w:rPr>
          <w:sz w:val="22"/>
          <w:szCs w:val="22"/>
        </w:rPr>
        <w:t>(</w:t>
      </w:r>
      <w:r w:rsidR="00B13C26" w:rsidRPr="007F7EBF">
        <w:rPr>
          <w:rStyle w:val="Rimandonotaapidipagina"/>
          <w:sz w:val="22"/>
          <w:szCs w:val="22"/>
        </w:rPr>
        <w:footnoteReference w:id="527"/>
      </w:r>
      <w:r w:rsidR="00B13C26">
        <w:rPr>
          <w:sz w:val="22"/>
          <w:szCs w:val="22"/>
        </w:rPr>
        <w:t>)</w:t>
      </w:r>
      <w:r w:rsidR="00DB2E07">
        <w:rPr>
          <w:sz w:val="22"/>
          <w:szCs w:val="22"/>
        </w:rPr>
        <w:t xml:space="preserve">, </w:t>
      </w:r>
      <w:r w:rsidR="008A2444">
        <w:rPr>
          <w:sz w:val="22"/>
          <w:szCs w:val="22"/>
        </w:rPr>
        <w:t>architetti e geometri</w:t>
      </w:r>
      <w:r w:rsidR="00297F04">
        <w:rPr>
          <w:sz w:val="22"/>
          <w:szCs w:val="22"/>
        </w:rPr>
        <w:t xml:space="preserve"> </w:t>
      </w:r>
      <w:r w:rsidR="00DB2E07">
        <w:rPr>
          <w:sz w:val="22"/>
          <w:szCs w:val="22"/>
        </w:rPr>
        <w:lastRenderedPageBreak/>
        <w:t xml:space="preserve">nell’edilizia e nell’urbanistica  </w:t>
      </w:r>
      <w:r w:rsidR="008A2444">
        <w:rPr>
          <w:sz w:val="22"/>
          <w:szCs w:val="22"/>
        </w:rPr>
        <w:t>(</w:t>
      </w:r>
      <w:r w:rsidR="00E455A0" w:rsidRPr="007F7EBF">
        <w:rPr>
          <w:rStyle w:val="Rimandonotaapidipagina"/>
          <w:sz w:val="22"/>
          <w:szCs w:val="22"/>
        </w:rPr>
        <w:footnoteReference w:id="528"/>
      </w:r>
      <w:r w:rsidR="008A2444">
        <w:rPr>
          <w:sz w:val="22"/>
          <w:szCs w:val="22"/>
        </w:rPr>
        <w:t>)</w:t>
      </w:r>
      <w:r w:rsidR="005E0E6E">
        <w:rPr>
          <w:sz w:val="22"/>
          <w:szCs w:val="22"/>
        </w:rPr>
        <w:t>,</w:t>
      </w:r>
      <w:r w:rsidR="00E8081A">
        <w:rPr>
          <w:sz w:val="22"/>
          <w:szCs w:val="22"/>
        </w:rPr>
        <w:t xml:space="preserve"> officine autorizzate</w:t>
      </w:r>
      <w:r w:rsidR="00DB2E07">
        <w:rPr>
          <w:sz w:val="22"/>
          <w:szCs w:val="22"/>
        </w:rPr>
        <w:t xml:space="preserve"> nella circolazione dei veicoli, fino alla </w:t>
      </w:r>
      <w:r w:rsidR="00315AF9">
        <w:rPr>
          <w:sz w:val="22"/>
          <w:szCs w:val="22"/>
        </w:rPr>
        <w:t>determinazione delle imposte tramite a</w:t>
      </w:r>
      <w:r w:rsidR="005E0E6E">
        <w:rPr>
          <w:sz w:val="22"/>
          <w:szCs w:val="22"/>
        </w:rPr>
        <w:t>ziende</w:t>
      </w:r>
      <w:r w:rsidR="00DB2E07">
        <w:rPr>
          <w:sz w:val="22"/>
          <w:szCs w:val="22"/>
        </w:rPr>
        <w:t xml:space="preserve">, </w:t>
      </w:r>
      <w:r w:rsidR="00297F04">
        <w:rPr>
          <w:sz w:val="22"/>
          <w:szCs w:val="22"/>
        </w:rPr>
        <w:t xml:space="preserve">professionisti e </w:t>
      </w:r>
      <w:r w:rsidR="00452E5A" w:rsidRPr="007F7EBF">
        <w:rPr>
          <w:sz w:val="22"/>
          <w:szCs w:val="22"/>
        </w:rPr>
        <w:t>patronati</w:t>
      </w:r>
      <w:r w:rsidR="00452D89" w:rsidRPr="007F7EBF">
        <w:rPr>
          <w:sz w:val="22"/>
          <w:szCs w:val="22"/>
        </w:rPr>
        <w:t xml:space="preserve"> </w:t>
      </w:r>
      <w:r w:rsidR="00297F04">
        <w:rPr>
          <w:sz w:val="22"/>
          <w:szCs w:val="22"/>
        </w:rPr>
        <w:t>(par.3.16)</w:t>
      </w:r>
      <w:r w:rsidR="000B4E36">
        <w:rPr>
          <w:sz w:val="22"/>
          <w:szCs w:val="22"/>
        </w:rPr>
        <w:t xml:space="preserve">. </w:t>
      </w:r>
      <w:r w:rsidR="00297F04">
        <w:rPr>
          <w:sz w:val="22"/>
          <w:szCs w:val="22"/>
        </w:rPr>
        <w:t xml:space="preserve"> </w:t>
      </w:r>
      <w:r w:rsidR="00EA79EE">
        <w:rPr>
          <w:sz w:val="22"/>
          <w:szCs w:val="22"/>
        </w:rPr>
        <w:t>Persino</w:t>
      </w:r>
      <w:r w:rsidR="00B13C26">
        <w:rPr>
          <w:sz w:val="22"/>
          <w:szCs w:val="22"/>
        </w:rPr>
        <w:t xml:space="preserve"> la funzione giurisdizionale</w:t>
      </w:r>
      <w:r w:rsidR="00EA79EE">
        <w:rPr>
          <w:sz w:val="22"/>
          <w:szCs w:val="22"/>
        </w:rPr>
        <w:t xml:space="preserve"> </w:t>
      </w:r>
      <w:r w:rsidR="00B13C26">
        <w:rPr>
          <w:sz w:val="22"/>
          <w:szCs w:val="22"/>
        </w:rPr>
        <w:t xml:space="preserve">è sempre più delegata a </w:t>
      </w:r>
      <w:r w:rsidR="00DE4E7E" w:rsidRPr="007F7EBF">
        <w:rPr>
          <w:sz w:val="22"/>
          <w:szCs w:val="22"/>
        </w:rPr>
        <w:t>magistrati onorari</w:t>
      </w:r>
      <w:r w:rsidR="00B13C26">
        <w:rPr>
          <w:sz w:val="22"/>
          <w:szCs w:val="22"/>
        </w:rPr>
        <w:t xml:space="preserve"> (giudici di pace), mediazioni e forme </w:t>
      </w:r>
      <w:r w:rsidR="0096798A">
        <w:rPr>
          <w:sz w:val="22"/>
          <w:szCs w:val="22"/>
        </w:rPr>
        <w:t xml:space="preserve">di </w:t>
      </w:r>
      <w:r w:rsidR="00B13C26">
        <w:rPr>
          <w:sz w:val="22"/>
          <w:szCs w:val="22"/>
        </w:rPr>
        <w:t>risoluzione alternativa delle controversie</w:t>
      </w:r>
      <w:r w:rsidR="00CB2678">
        <w:rPr>
          <w:sz w:val="22"/>
          <w:szCs w:val="22"/>
        </w:rPr>
        <w:t xml:space="preserve"> </w:t>
      </w:r>
      <w:r w:rsidR="00EA79EE">
        <w:rPr>
          <w:sz w:val="22"/>
          <w:szCs w:val="22"/>
        </w:rPr>
        <w:t>(</w:t>
      </w:r>
      <w:r w:rsidR="00EA79EE" w:rsidRPr="007F7EBF">
        <w:rPr>
          <w:rStyle w:val="Rimandonotaapidipagina"/>
          <w:sz w:val="22"/>
          <w:szCs w:val="22"/>
        </w:rPr>
        <w:footnoteReference w:id="529"/>
      </w:r>
      <w:r w:rsidR="00EA79EE">
        <w:rPr>
          <w:sz w:val="22"/>
          <w:szCs w:val="22"/>
        </w:rPr>
        <w:t>)</w:t>
      </w:r>
      <w:r w:rsidR="00DB2E07">
        <w:rPr>
          <w:sz w:val="22"/>
          <w:szCs w:val="22"/>
        </w:rPr>
        <w:t xml:space="preserve">, mentre su privacy, </w:t>
      </w:r>
      <w:r w:rsidR="00DB2E07" w:rsidRPr="007F7EBF">
        <w:rPr>
          <w:sz w:val="22"/>
          <w:szCs w:val="22"/>
        </w:rPr>
        <w:t>antiriciclaggio, sicurezza, rifiuti</w:t>
      </w:r>
      <w:r w:rsidR="00DB2E07">
        <w:rPr>
          <w:sz w:val="22"/>
          <w:szCs w:val="22"/>
        </w:rPr>
        <w:t>, autocertificazioni e controlli contabili (legge 231), l’esternalizzazione è avvenuta sugli stessi interessati</w:t>
      </w:r>
      <w:r w:rsidR="006F0607">
        <w:rPr>
          <w:sz w:val="22"/>
          <w:szCs w:val="22"/>
        </w:rPr>
        <w:t>,</w:t>
      </w:r>
      <w:r w:rsidR="00E91384">
        <w:rPr>
          <w:sz w:val="22"/>
          <w:szCs w:val="22"/>
        </w:rPr>
        <w:t xml:space="preserve"> </w:t>
      </w:r>
      <w:r w:rsidR="006F0607">
        <w:rPr>
          <w:sz w:val="22"/>
          <w:szCs w:val="22"/>
        </w:rPr>
        <w:t xml:space="preserve">con </w:t>
      </w:r>
      <w:r w:rsidR="000B4E36">
        <w:rPr>
          <w:sz w:val="22"/>
          <w:szCs w:val="22"/>
        </w:rPr>
        <w:t xml:space="preserve"> duplicazioni di costi e inefficienze molteplici</w:t>
      </w:r>
      <w:r w:rsidR="006F0607">
        <w:rPr>
          <w:sz w:val="22"/>
          <w:szCs w:val="22"/>
        </w:rPr>
        <w:t xml:space="preserve">. </w:t>
      </w:r>
      <w:r w:rsidR="00493E43">
        <w:rPr>
          <w:sz w:val="22"/>
          <w:szCs w:val="22"/>
        </w:rPr>
        <w:t xml:space="preserve">L’esternalizzazione dei </w:t>
      </w:r>
      <w:r>
        <w:t>compiti</w:t>
      </w:r>
      <w:r w:rsidR="00493E43">
        <w:t xml:space="preserve"> indebolisce </w:t>
      </w:r>
      <w:r>
        <w:t xml:space="preserve">i pubblici uffici </w:t>
      </w:r>
      <w:r w:rsidR="00493E43">
        <w:t>nel</w:t>
      </w:r>
      <w:r w:rsidRPr="007F7EBF">
        <w:t xml:space="preserve"> </w:t>
      </w:r>
      <w:r>
        <w:t>valutare</w:t>
      </w:r>
      <w:r w:rsidRPr="007F7EBF">
        <w:t xml:space="preserve"> </w:t>
      </w:r>
      <w:r w:rsidR="00493E43">
        <w:t>il costo delle</w:t>
      </w:r>
      <w:r w:rsidRPr="007F7EBF">
        <w:t xml:space="preserve"> forniture</w:t>
      </w:r>
      <w:r>
        <w:t>,</w:t>
      </w:r>
      <w:r w:rsidR="00493E43">
        <w:t xml:space="preserve"> nell’</w:t>
      </w:r>
      <w:r>
        <w:t xml:space="preserve">interagire </w:t>
      </w:r>
      <w:r w:rsidR="00493E43">
        <w:t xml:space="preserve">coi </w:t>
      </w:r>
      <w:r>
        <w:t xml:space="preserve"> </w:t>
      </w:r>
      <w:r w:rsidR="00493E43">
        <w:t xml:space="preserve">fornitori </w:t>
      </w:r>
      <w:r>
        <w:t xml:space="preserve">e in generale </w:t>
      </w:r>
      <w:r w:rsidR="00493E43">
        <w:t>nel</w:t>
      </w:r>
      <w:r>
        <w:t xml:space="preserve"> controll</w:t>
      </w:r>
      <w:r w:rsidR="00493E43">
        <w:t xml:space="preserve">o del </w:t>
      </w:r>
      <w:r>
        <w:t xml:space="preserve">territorio nei settori </w:t>
      </w:r>
      <w:r w:rsidR="00493E43">
        <w:t>di competenza</w:t>
      </w:r>
      <w:r>
        <w:t xml:space="preserve">. </w:t>
      </w:r>
    </w:p>
    <w:p w14:paraId="4326C70A" w14:textId="546EEE7D" w:rsidR="006E21FB" w:rsidRPr="007F7EBF" w:rsidRDefault="00313C18" w:rsidP="006E21FB">
      <w:pPr>
        <w:pStyle w:val="tit23"/>
        <w:ind w:left="6464" w:right="-1361" w:firstLine="0"/>
        <w:jc w:val="left"/>
        <w:rPr>
          <w:bCs/>
          <w:i/>
          <w:iCs/>
          <w:color w:val="0000FF"/>
          <w:lang w:val="it-IT"/>
        </w:rPr>
      </w:pPr>
      <w:r>
        <w:rPr>
          <w:bCs/>
          <w:i/>
          <w:iCs/>
          <w:color w:val="0000FF"/>
          <w:lang w:val="it-IT"/>
        </w:rPr>
        <w:t>funzione tributaria</w:t>
      </w:r>
      <w:r w:rsidR="0049196E">
        <w:rPr>
          <w:bCs/>
          <w:i/>
          <w:iCs/>
          <w:color w:val="0000FF"/>
          <w:lang w:val="it-IT"/>
        </w:rPr>
        <w:t xml:space="preserve"> e interessi oppositivi</w:t>
      </w:r>
    </w:p>
    <w:p w14:paraId="6677EA24" w14:textId="620ACFBD" w:rsidR="006E21FB" w:rsidRPr="007F7EBF" w:rsidRDefault="00976519" w:rsidP="00B91AC8">
      <w:pPr>
        <w:rPr>
          <w:sz w:val="22"/>
          <w:szCs w:val="22"/>
        </w:rPr>
      </w:pPr>
      <w:r>
        <w:t>Su questo sfondo, l</w:t>
      </w:r>
      <w:r w:rsidR="00CB2678">
        <w:t xml:space="preserve">a </w:t>
      </w:r>
      <w:r>
        <w:t xml:space="preserve">particolarità della </w:t>
      </w:r>
      <w:r w:rsidR="00CB2678">
        <w:t>funzione tributari</w:t>
      </w:r>
      <w:r w:rsidR="00997166">
        <w:t>a</w:t>
      </w:r>
      <w:r>
        <w:t xml:space="preserve"> è </w:t>
      </w:r>
      <w:r w:rsidR="00CB2678">
        <w:t>di</w:t>
      </w:r>
      <w:r w:rsidR="00354933">
        <w:t xml:space="preserve"> non e</w:t>
      </w:r>
      <w:r w:rsidR="00B91AC8">
        <w:t xml:space="preserve">rogare prestazioni, ma </w:t>
      </w:r>
      <w:r w:rsidR="00CB2678">
        <w:t xml:space="preserve">di </w:t>
      </w:r>
      <w:r w:rsidR="00B91AC8">
        <w:t>preleva</w:t>
      </w:r>
      <w:r w:rsidR="00CB2678">
        <w:t>re</w:t>
      </w:r>
      <w:r w:rsidR="00B91AC8">
        <w:t xml:space="preserve"> risorse, venendo </w:t>
      </w:r>
      <w:r w:rsidR="00F65B88">
        <w:t>per questo</w:t>
      </w:r>
      <w:r w:rsidR="00B91AC8">
        <w:t xml:space="preserve"> denominata </w:t>
      </w:r>
      <w:r w:rsidR="009573EB">
        <w:rPr>
          <w:sz w:val="22"/>
          <w:szCs w:val="22"/>
        </w:rPr>
        <w:t xml:space="preserve"> </w:t>
      </w:r>
      <w:r w:rsidR="009573EB" w:rsidRPr="007F7EBF">
        <w:rPr>
          <w:sz w:val="22"/>
          <w:szCs w:val="22"/>
        </w:rPr>
        <w:t>"</w:t>
      </w:r>
      <w:r w:rsidR="009573EB" w:rsidRPr="009573EB">
        <w:rPr>
          <w:b/>
          <w:sz w:val="22"/>
          <w:szCs w:val="22"/>
        </w:rPr>
        <w:t>ablativa</w:t>
      </w:r>
      <w:r w:rsidR="009573EB" w:rsidRPr="007F7EBF">
        <w:rPr>
          <w:sz w:val="22"/>
          <w:szCs w:val="22"/>
        </w:rPr>
        <w:t>" (</w:t>
      </w:r>
      <w:r w:rsidR="009573EB" w:rsidRPr="007F7EBF">
        <w:rPr>
          <w:rStyle w:val="Rimandonotaapidipagina"/>
          <w:sz w:val="22"/>
          <w:szCs w:val="22"/>
        </w:rPr>
        <w:footnoteReference w:id="530"/>
      </w:r>
      <w:r w:rsidR="009573EB" w:rsidRPr="007F7EBF">
        <w:rPr>
          <w:sz w:val="22"/>
          <w:szCs w:val="22"/>
        </w:rPr>
        <w:t>)</w:t>
      </w:r>
      <w:r w:rsidR="00D072D2">
        <w:rPr>
          <w:sz w:val="22"/>
          <w:szCs w:val="22"/>
        </w:rPr>
        <w:t xml:space="preserve"> dagli amministrativisti</w:t>
      </w:r>
      <w:r w:rsidR="00B91AC8">
        <w:rPr>
          <w:sz w:val="22"/>
          <w:szCs w:val="22"/>
        </w:rPr>
        <w:t xml:space="preserve">; </w:t>
      </w:r>
      <w:r w:rsidR="00997166">
        <w:rPr>
          <w:sz w:val="22"/>
          <w:szCs w:val="22"/>
        </w:rPr>
        <w:t>l’interesse de</w:t>
      </w:r>
      <w:r w:rsidR="00493E43">
        <w:rPr>
          <w:sz w:val="22"/>
          <w:szCs w:val="22"/>
        </w:rPr>
        <w:t>i</w:t>
      </w:r>
      <w:r w:rsidR="00997166">
        <w:rPr>
          <w:sz w:val="22"/>
          <w:szCs w:val="22"/>
        </w:rPr>
        <w:t xml:space="preserve"> contribuent</w:t>
      </w:r>
      <w:r w:rsidR="00493E43">
        <w:rPr>
          <w:sz w:val="22"/>
          <w:szCs w:val="22"/>
        </w:rPr>
        <w:t>i</w:t>
      </w:r>
      <w:r w:rsidR="00997166">
        <w:rPr>
          <w:sz w:val="22"/>
          <w:szCs w:val="22"/>
        </w:rPr>
        <w:t xml:space="preserve"> è perciò </w:t>
      </w:r>
      <w:r w:rsidR="00D072D2">
        <w:rPr>
          <w:sz w:val="22"/>
          <w:szCs w:val="22"/>
        </w:rPr>
        <w:t>“oppositivo”</w:t>
      </w:r>
      <w:r w:rsidR="00997166">
        <w:rPr>
          <w:sz w:val="22"/>
          <w:szCs w:val="22"/>
        </w:rPr>
        <w:t>,</w:t>
      </w:r>
      <w:r w:rsidR="00D072D2">
        <w:rPr>
          <w:sz w:val="22"/>
          <w:szCs w:val="22"/>
        </w:rPr>
        <w:t xml:space="preserve"> non “pretensivo”</w:t>
      </w:r>
      <w:r w:rsidR="00493E43">
        <w:rPr>
          <w:sz w:val="22"/>
          <w:szCs w:val="22"/>
        </w:rPr>
        <w:t>. Il contribuente preferisce non vedere il fisco, che vedere un fisco efficiente nello stimare</w:t>
      </w:r>
      <w:r>
        <w:rPr>
          <w:sz w:val="22"/>
          <w:szCs w:val="22"/>
        </w:rPr>
        <w:t xml:space="preserve"> presupposti economici d’imposta maggiori</w:t>
      </w:r>
      <w:r w:rsidR="00493E43">
        <w:rPr>
          <w:sz w:val="22"/>
          <w:szCs w:val="22"/>
        </w:rPr>
        <w:t xml:space="preserve"> di quelli dichiarati, </w:t>
      </w:r>
      <w:r>
        <w:rPr>
          <w:sz w:val="22"/>
          <w:szCs w:val="22"/>
        </w:rPr>
        <w:t xml:space="preserve">anche se più </w:t>
      </w:r>
      <w:r w:rsidR="00493E43">
        <w:rPr>
          <w:sz w:val="22"/>
          <w:szCs w:val="22"/>
        </w:rPr>
        <w:t>verosimili</w:t>
      </w:r>
      <w:r>
        <w:rPr>
          <w:sz w:val="22"/>
          <w:szCs w:val="22"/>
        </w:rPr>
        <w:t xml:space="preserve">. </w:t>
      </w:r>
      <w:r w:rsidR="00A0371C">
        <w:rPr>
          <w:sz w:val="22"/>
          <w:szCs w:val="22"/>
        </w:rPr>
        <w:t xml:space="preserve"> </w:t>
      </w:r>
      <w:r w:rsidR="009C0A8C">
        <w:rPr>
          <w:sz w:val="22"/>
          <w:szCs w:val="22"/>
        </w:rPr>
        <w:t xml:space="preserve">La confusione </w:t>
      </w:r>
      <w:r w:rsidR="00493E43">
        <w:rPr>
          <w:sz w:val="22"/>
          <w:szCs w:val="22"/>
        </w:rPr>
        <w:t>sociale sulla funzione</w:t>
      </w:r>
      <w:r w:rsidR="009C0A8C">
        <w:rPr>
          <w:sz w:val="22"/>
          <w:szCs w:val="22"/>
        </w:rPr>
        <w:t xml:space="preserve"> tributaria (capitolo 4) disorienta quindi i pubblici uffici del settore</w:t>
      </w:r>
      <w:r w:rsidR="00493E43">
        <w:rPr>
          <w:sz w:val="22"/>
          <w:szCs w:val="22"/>
        </w:rPr>
        <w:t xml:space="preserve">, allontanandoli </w:t>
      </w:r>
      <w:r w:rsidR="00493E43">
        <w:rPr>
          <w:sz w:val="22"/>
          <w:szCs w:val="22"/>
        </w:rPr>
        <w:lastRenderedPageBreak/>
        <w:t>dal</w:t>
      </w:r>
      <w:r w:rsidR="009C0A8C">
        <w:rPr>
          <w:sz w:val="22"/>
          <w:szCs w:val="22"/>
        </w:rPr>
        <w:t xml:space="preserve">la </w:t>
      </w:r>
      <w:r w:rsidR="00751CD4">
        <w:rPr>
          <w:sz w:val="22"/>
          <w:szCs w:val="22"/>
        </w:rPr>
        <w:t xml:space="preserve">determinazione dei presupposti economici d’imposta, </w:t>
      </w:r>
      <w:r w:rsidR="00493E43">
        <w:rPr>
          <w:sz w:val="22"/>
          <w:szCs w:val="22"/>
        </w:rPr>
        <w:t xml:space="preserve">loro principale obiettivo. </w:t>
      </w:r>
    </w:p>
    <w:p w14:paraId="215E53F3" w14:textId="70FC8E26" w:rsidR="006E21FB" w:rsidRPr="007F7EBF" w:rsidRDefault="002365CE" w:rsidP="006E21FB">
      <w:pPr>
        <w:pStyle w:val="tit23"/>
        <w:ind w:left="6464" w:right="-1361" w:firstLine="0"/>
        <w:jc w:val="left"/>
        <w:rPr>
          <w:bCs/>
          <w:i/>
          <w:iCs/>
          <w:color w:val="0000FF"/>
          <w:lang w:val="it-IT"/>
        </w:rPr>
      </w:pPr>
      <w:r>
        <w:rPr>
          <w:bCs/>
          <w:i/>
          <w:iCs/>
          <w:color w:val="0000FF"/>
          <w:lang w:val="it-IT"/>
        </w:rPr>
        <w:t xml:space="preserve">Drammatizzazione </w:t>
      </w:r>
      <w:r w:rsidR="009867B7">
        <w:rPr>
          <w:bCs/>
          <w:i/>
          <w:iCs/>
          <w:color w:val="0000FF"/>
          <w:lang w:val="it-IT"/>
        </w:rPr>
        <w:t>e paralisi delle valutazioni</w:t>
      </w:r>
    </w:p>
    <w:p w14:paraId="534080E9" w14:textId="4DC7949E" w:rsidR="00670F54" w:rsidRDefault="00493E43" w:rsidP="00670F54">
      <w:pPr>
        <w:autoSpaceDE w:val="0"/>
        <w:autoSpaceDN w:val="0"/>
        <w:adjustRightInd w:val="0"/>
        <w:rPr>
          <w:sz w:val="22"/>
          <w:szCs w:val="22"/>
        </w:rPr>
      </w:pPr>
      <w:r>
        <w:rPr>
          <w:sz w:val="22"/>
          <w:szCs w:val="22"/>
        </w:rPr>
        <w:t xml:space="preserve">La valutazione su larga scala, per ordine di grandezza, di piccolo commercio, artigianato, professioni e piccole organizzazioni “flessibili” mette in imbarazzo. Davanti a una pubblica opinione disorientata sul tema </w:t>
      </w:r>
      <w:r w:rsidR="009C0A8C">
        <w:rPr>
          <w:sz w:val="22"/>
          <w:szCs w:val="22"/>
        </w:rPr>
        <w:t xml:space="preserve">gli uffici tributari </w:t>
      </w:r>
      <w:r>
        <w:rPr>
          <w:sz w:val="22"/>
          <w:szCs w:val="22"/>
        </w:rPr>
        <w:t>devono</w:t>
      </w:r>
      <w:r w:rsidR="00CC002C">
        <w:rPr>
          <w:sz w:val="22"/>
          <w:szCs w:val="22"/>
        </w:rPr>
        <w:t xml:space="preserve"> </w:t>
      </w:r>
      <w:r w:rsidR="00CC002C" w:rsidRPr="007F7EBF">
        <w:rPr>
          <w:sz w:val="22"/>
          <w:szCs w:val="22"/>
        </w:rPr>
        <w:t xml:space="preserve">destreggiarsi </w:t>
      </w:r>
      <w:r>
        <w:rPr>
          <w:sz w:val="22"/>
          <w:szCs w:val="22"/>
        </w:rPr>
        <w:t>in variazioni su temi d’immagine</w:t>
      </w:r>
      <w:r w:rsidR="00B973C4">
        <w:rPr>
          <w:sz w:val="22"/>
          <w:szCs w:val="22"/>
        </w:rPr>
        <w:t xml:space="preserve">, </w:t>
      </w:r>
      <w:r w:rsidR="009C0A8C">
        <w:rPr>
          <w:sz w:val="22"/>
          <w:szCs w:val="22"/>
        </w:rPr>
        <w:t xml:space="preserve">come </w:t>
      </w:r>
      <w:r w:rsidR="00CC002C" w:rsidRPr="007F7EBF">
        <w:rPr>
          <w:sz w:val="22"/>
          <w:szCs w:val="22"/>
        </w:rPr>
        <w:t>"lotta all'evasione"</w:t>
      </w:r>
      <w:r w:rsidR="009C0A8C">
        <w:rPr>
          <w:sz w:val="22"/>
          <w:szCs w:val="22"/>
        </w:rPr>
        <w:t xml:space="preserve">, “grandi evasori” e </w:t>
      </w:r>
      <w:r w:rsidR="00CC002C" w:rsidRPr="007F7EBF">
        <w:rPr>
          <w:sz w:val="22"/>
          <w:szCs w:val="22"/>
        </w:rPr>
        <w:t>“fisco amico”</w:t>
      </w:r>
      <w:r w:rsidR="00CC002C">
        <w:rPr>
          <w:sz w:val="22"/>
          <w:szCs w:val="22"/>
        </w:rPr>
        <w:t xml:space="preserve">; </w:t>
      </w:r>
      <w:r w:rsidR="00C50533">
        <w:rPr>
          <w:sz w:val="22"/>
          <w:szCs w:val="22"/>
        </w:rPr>
        <w:t>come i</w:t>
      </w:r>
      <w:r w:rsidR="00C50533" w:rsidRPr="007F7EBF">
        <w:rPr>
          <w:sz w:val="22"/>
          <w:szCs w:val="22"/>
        </w:rPr>
        <w:t xml:space="preserve">l marinaio di Seneca cui </w:t>
      </w:r>
      <w:r w:rsidR="00C50533" w:rsidRPr="007F7EBF">
        <w:rPr>
          <w:i/>
          <w:sz w:val="22"/>
          <w:szCs w:val="22"/>
        </w:rPr>
        <w:t>manca sempre il vento se non sa dove andare</w:t>
      </w:r>
      <w:r w:rsidR="009C0A8C">
        <w:rPr>
          <w:sz w:val="22"/>
          <w:szCs w:val="22"/>
        </w:rPr>
        <w:t xml:space="preserve">, </w:t>
      </w:r>
      <w:r w:rsidR="00B973C4">
        <w:rPr>
          <w:sz w:val="22"/>
          <w:szCs w:val="22"/>
        </w:rPr>
        <w:t>si</w:t>
      </w:r>
      <w:r w:rsidR="009C0A8C">
        <w:rPr>
          <w:sz w:val="22"/>
          <w:szCs w:val="22"/>
        </w:rPr>
        <w:t xml:space="preserve"> cerca di </w:t>
      </w:r>
      <w:r w:rsidR="00CC002C">
        <w:rPr>
          <w:sz w:val="22"/>
          <w:szCs w:val="22"/>
        </w:rPr>
        <w:t xml:space="preserve"> </w:t>
      </w:r>
      <w:r w:rsidR="009C0A8C">
        <w:rPr>
          <w:sz w:val="22"/>
          <w:szCs w:val="22"/>
        </w:rPr>
        <w:t>gestire le situazioni alla meglio</w:t>
      </w:r>
      <w:r w:rsidR="004B055A" w:rsidRPr="007F7EBF">
        <w:t xml:space="preserve">, </w:t>
      </w:r>
      <w:r w:rsidR="00B973C4">
        <w:rPr>
          <w:sz w:val="22"/>
          <w:szCs w:val="22"/>
        </w:rPr>
        <w:t xml:space="preserve">mediando tra copertura normativa, </w:t>
      </w:r>
      <w:r w:rsidR="00B973C4" w:rsidRPr="007F7EBF">
        <w:rPr>
          <w:sz w:val="22"/>
          <w:szCs w:val="22"/>
        </w:rPr>
        <w:t xml:space="preserve">comodità operativa, </w:t>
      </w:r>
      <w:r w:rsidR="00B973C4">
        <w:rPr>
          <w:sz w:val="22"/>
          <w:szCs w:val="22"/>
        </w:rPr>
        <w:t xml:space="preserve">risultato di servizio e </w:t>
      </w:r>
      <w:r w:rsidR="00B973C4" w:rsidRPr="007F7EBF">
        <w:rPr>
          <w:sz w:val="22"/>
          <w:szCs w:val="22"/>
        </w:rPr>
        <w:t>immagine istituzionale</w:t>
      </w:r>
      <w:r w:rsidR="004B055A">
        <w:t xml:space="preserve">. </w:t>
      </w:r>
      <w:r w:rsidR="00B973C4">
        <w:t>Davanti all’incertezza sociale su quale sia</w:t>
      </w:r>
      <w:r w:rsidR="00B973C4" w:rsidRPr="007F7EBF">
        <w:rPr>
          <w:i/>
        </w:rPr>
        <w:t xml:space="preserve"> la cosa giusta, </w:t>
      </w:r>
      <w:r w:rsidR="008B5E33">
        <w:t>vista</w:t>
      </w:r>
      <w:r w:rsidR="00B973C4" w:rsidRPr="007F7EBF">
        <w:t xml:space="preserve"> la funzione</w:t>
      </w:r>
      <w:r w:rsidR="008B5E33">
        <w:t xml:space="preserve">, </w:t>
      </w:r>
      <w:r w:rsidR="00B973C4">
        <w:t xml:space="preserve">si teme di essere criticati qualunque cosa si faccia. Scatta così l’amministrazione “protettiva”, che naviga cautamente nella confusione legislativa di cui al par.2.4. </w:t>
      </w:r>
      <w:r w:rsidR="008B5E33">
        <w:t xml:space="preserve">Non ci si espone quindi nelle </w:t>
      </w:r>
      <w:r w:rsidR="00B973C4">
        <w:t xml:space="preserve">strategie valutative di massa, </w:t>
      </w:r>
      <w:r w:rsidR="008B5E33">
        <w:t xml:space="preserve">con controlli </w:t>
      </w:r>
      <w:r w:rsidR="008B5E33">
        <w:rPr>
          <w:sz w:val="22"/>
          <w:szCs w:val="22"/>
        </w:rPr>
        <w:t xml:space="preserve">“numerosi, ragionevoli e flessibili”, come indicato al par.5.7, per riequilibrare la diversa visibilità dei presupposti economici d’imposta (parr.1.11). </w:t>
      </w:r>
      <w:r w:rsidR="008B5E33">
        <w:t xml:space="preserve">Si tende invece a un minor numero di controlli, gestiti con cautela, </w:t>
      </w:r>
      <w:r w:rsidR="00B973C4">
        <w:t>prefer</w:t>
      </w:r>
      <w:r w:rsidR="008B5E33">
        <w:t>e</w:t>
      </w:r>
      <w:r w:rsidR="00B973C4">
        <w:t>n</w:t>
      </w:r>
      <w:r w:rsidR="008B5E33">
        <w:t>d</w:t>
      </w:r>
      <w:r w:rsidR="00B973C4">
        <w:t xml:space="preserve">o le contestazioni interpretative (parr.5.17 ss.), </w:t>
      </w:r>
      <w:r w:rsidR="00B869F9">
        <w:rPr>
          <w:sz w:val="22"/>
          <w:szCs w:val="22"/>
        </w:rPr>
        <w:t>coinvolg</w:t>
      </w:r>
      <w:r w:rsidR="008B5E33">
        <w:rPr>
          <w:sz w:val="22"/>
          <w:szCs w:val="22"/>
        </w:rPr>
        <w:t>end</w:t>
      </w:r>
      <w:r w:rsidR="00B869F9">
        <w:rPr>
          <w:sz w:val="22"/>
          <w:szCs w:val="22"/>
        </w:rPr>
        <w:t xml:space="preserve">o </w:t>
      </w:r>
      <w:r w:rsidR="00B869F9" w:rsidRPr="007F7EBF">
        <w:rPr>
          <w:sz w:val="22"/>
          <w:szCs w:val="22"/>
        </w:rPr>
        <w:t>altri uffici</w:t>
      </w:r>
      <w:r w:rsidR="008B5E33">
        <w:rPr>
          <w:sz w:val="22"/>
          <w:szCs w:val="22"/>
        </w:rPr>
        <w:t xml:space="preserve"> in </w:t>
      </w:r>
      <w:r w:rsidR="00B869F9">
        <w:rPr>
          <w:sz w:val="22"/>
          <w:szCs w:val="22"/>
        </w:rPr>
        <w:t xml:space="preserve">condivisioni di </w:t>
      </w:r>
      <w:r w:rsidR="00B869F9" w:rsidRPr="007F7EBF">
        <w:rPr>
          <w:sz w:val="22"/>
          <w:szCs w:val="22"/>
        </w:rPr>
        <w:t xml:space="preserve">responsabilità </w:t>
      </w:r>
      <w:r w:rsidR="00B869F9">
        <w:rPr>
          <w:sz w:val="22"/>
          <w:szCs w:val="22"/>
        </w:rPr>
        <w:t>(</w:t>
      </w:r>
      <w:r w:rsidR="00B869F9" w:rsidRPr="007F7EBF">
        <w:rPr>
          <w:rStyle w:val="Rimandonotaapidipagina"/>
          <w:sz w:val="22"/>
          <w:szCs w:val="22"/>
        </w:rPr>
        <w:footnoteReference w:id="531"/>
      </w:r>
      <w:r w:rsidR="00B869F9">
        <w:rPr>
          <w:sz w:val="22"/>
          <w:szCs w:val="22"/>
        </w:rPr>
        <w:t xml:space="preserve">), </w:t>
      </w:r>
      <w:r w:rsidR="008B5E33">
        <w:rPr>
          <w:sz w:val="22"/>
          <w:szCs w:val="22"/>
        </w:rPr>
        <w:t xml:space="preserve">rinviando </w:t>
      </w:r>
      <w:r w:rsidR="004B055A">
        <w:rPr>
          <w:sz w:val="22"/>
          <w:szCs w:val="22"/>
        </w:rPr>
        <w:t xml:space="preserve">le </w:t>
      </w:r>
      <w:r w:rsidR="00B869F9">
        <w:rPr>
          <w:sz w:val="22"/>
          <w:szCs w:val="22"/>
        </w:rPr>
        <w:t xml:space="preserve">decisioni </w:t>
      </w:r>
      <w:r w:rsidR="00B869F9" w:rsidRPr="007F7EBF">
        <w:rPr>
          <w:sz w:val="22"/>
          <w:szCs w:val="22"/>
        </w:rPr>
        <w:t xml:space="preserve">a ridosso della scadenza, </w:t>
      </w:r>
      <w:r w:rsidR="004B055A">
        <w:rPr>
          <w:sz w:val="22"/>
          <w:szCs w:val="22"/>
        </w:rPr>
        <w:t xml:space="preserve">quando l’urgenza </w:t>
      </w:r>
      <w:r w:rsidR="00B869F9">
        <w:rPr>
          <w:sz w:val="22"/>
          <w:szCs w:val="22"/>
        </w:rPr>
        <w:t xml:space="preserve">le </w:t>
      </w:r>
      <w:r w:rsidR="00B869F9" w:rsidRPr="007F7EBF">
        <w:rPr>
          <w:sz w:val="22"/>
          <w:szCs w:val="22"/>
        </w:rPr>
        <w:t>r</w:t>
      </w:r>
      <w:r w:rsidR="004B055A">
        <w:rPr>
          <w:sz w:val="22"/>
          <w:szCs w:val="22"/>
        </w:rPr>
        <w:t>ende più difendibili</w:t>
      </w:r>
      <w:r w:rsidR="008B5E33">
        <w:rPr>
          <w:sz w:val="22"/>
          <w:szCs w:val="22"/>
        </w:rPr>
        <w:t xml:space="preserve"> </w:t>
      </w:r>
      <w:r w:rsidR="00B869F9">
        <w:rPr>
          <w:sz w:val="22"/>
          <w:szCs w:val="22"/>
        </w:rPr>
        <w:t>(</w:t>
      </w:r>
      <w:r w:rsidR="00B869F9" w:rsidRPr="007F7EBF">
        <w:rPr>
          <w:rStyle w:val="Rimandonotaapidipagina"/>
          <w:sz w:val="22"/>
          <w:szCs w:val="22"/>
        </w:rPr>
        <w:footnoteReference w:id="532"/>
      </w:r>
      <w:r w:rsidR="00B869F9">
        <w:rPr>
          <w:sz w:val="22"/>
          <w:szCs w:val="22"/>
        </w:rPr>
        <w:t>)</w:t>
      </w:r>
      <w:r w:rsidR="00B869F9" w:rsidRPr="007F7EBF">
        <w:rPr>
          <w:sz w:val="22"/>
          <w:szCs w:val="22"/>
        </w:rPr>
        <w:t>.</w:t>
      </w:r>
      <w:r w:rsidR="008B5E33">
        <w:rPr>
          <w:sz w:val="22"/>
          <w:szCs w:val="22"/>
        </w:rPr>
        <w:t xml:space="preserve"> Rispetto alle  contestazioni interpretative, le stime valutative </w:t>
      </w:r>
      <w:r w:rsidR="005A6DB7">
        <w:rPr>
          <w:sz w:val="22"/>
          <w:szCs w:val="22"/>
        </w:rPr>
        <w:t>su piccoli commercianti, artigiani e organizzazioni padronali sono poche</w:t>
      </w:r>
      <w:r w:rsidR="00670F54">
        <w:rPr>
          <w:sz w:val="22"/>
          <w:szCs w:val="22"/>
        </w:rPr>
        <w:t xml:space="preserve"> e partono da una richiesta molto elevata, che mette al riparo da sospetti di negligenze o connivenze di cui al par.5.11. Queste stime sono così poche, rispetto </w:t>
      </w:r>
      <w:r w:rsidR="00670F54">
        <w:rPr>
          <w:sz w:val="22"/>
          <w:szCs w:val="22"/>
        </w:rPr>
        <w:lastRenderedPageBreak/>
        <w:t>all’evasione percepita, da sembrare q</w:t>
      </w:r>
      <w:r w:rsidR="00670F54" w:rsidRPr="000A29A8">
        <w:rPr>
          <w:sz w:val="22"/>
          <w:szCs w:val="22"/>
        </w:rPr>
        <w:t>uasi un favore o un dispetto</w:t>
      </w:r>
      <w:r w:rsidR="00670F54">
        <w:rPr>
          <w:sz w:val="22"/>
          <w:szCs w:val="22"/>
        </w:rPr>
        <w:t xml:space="preserve">, </w:t>
      </w:r>
      <w:r w:rsidR="00670F54" w:rsidRPr="000A29A8">
        <w:rPr>
          <w:sz w:val="22"/>
          <w:szCs w:val="22"/>
        </w:rPr>
        <w:t>anziché un diritto o una doverosa punizione</w:t>
      </w:r>
      <w:r w:rsidR="00670F54" w:rsidRPr="00024496">
        <w:t xml:space="preserve"> </w:t>
      </w:r>
      <w:r w:rsidR="00670F54">
        <w:rPr>
          <w:sz w:val="22"/>
          <w:szCs w:val="22"/>
        </w:rPr>
        <w:t>(</w:t>
      </w:r>
      <w:r w:rsidR="00670F54">
        <w:rPr>
          <w:rStyle w:val="Rimandonotaapidipagina"/>
          <w:sz w:val="22"/>
          <w:szCs w:val="22"/>
        </w:rPr>
        <w:footnoteReference w:id="533"/>
      </w:r>
      <w:r w:rsidR="00670F54">
        <w:rPr>
          <w:sz w:val="22"/>
          <w:szCs w:val="22"/>
        </w:rPr>
        <w:t xml:space="preserve">). </w:t>
      </w:r>
    </w:p>
    <w:p w14:paraId="4803794E" w14:textId="0549B878" w:rsidR="00670F54" w:rsidRPr="007F7EBF" w:rsidRDefault="00670F54" w:rsidP="00670F54">
      <w:pPr>
        <w:autoSpaceDE w:val="0"/>
        <w:autoSpaceDN w:val="0"/>
        <w:adjustRightInd w:val="0"/>
        <w:rPr>
          <w:sz w:val="22"/>
          <w:szCs w:val="22"/>
        </w:rPr>
      </w:pPr>
      <w:r>
        <w:rPr>
          <w:sz w:val="22"/>
          <w:szCs w:val="22"/>
        </w:rPr>
        <w:t xml:space="preserve">Queste stime esagerate, come le suddette forzature interpretative,  spesso di lana caprina, alimentano la generale </w:t>
      </w:r>
      <w:r w:rsidR="008B5E33">
        <w:rPr>
          <w:sz w:val="22"/>
          <w:szCs w:val="22"/>
        </w:rPr>
        <w:t xml:space="preserve">tendenza a </w:t>
      </w:r>
      <w:r w:rsidR="008B5E33">
        <w:rPr>
          <w:i/>
          <w:iCs/>
          <w:sz w:val="22"/>
          <w:szCs w:val="22"/>
        </w:rPr>
        <w:t>far decidere il giudice</w:t>
      </w:r>
      <w:r>
        <w:t>, con la proliferazione dei processi, di cui al par.6.10</w:t>
      </w:r>
      <w:r w:rsidR="00B06A82">
        <w:rPr>
          <w:sz w:val="22"/>
          <w:szCs w:val="22"/>
        </w:rPr>
        <w:t xml:space="preserve">. </w:t>
      </w:r>
      <w:r w:rsidR="00656FCC">
        <w:rPr>
          <w:sz w:val="22"/>
          <w:szCs w:val="22"/>
        </w:rPr>
        <w:t xml:space="preserve"> </w:t>
      </w:r>
    </w:p>
    <w:p w14:paraId="368A5700" w14:textId="66837460" w:rsidR="003D589E" w:rsidRPr="007F7EBF" w:rsidRDefault="00670F54" w:rsidP="003D589E">
      <w:pPr>
        <w:autoSpaceDE w:val="0"/>
        <w:autoSpaceDN w:val="0"/>
        <w:adjustRightInd w:val="0"/>
        <w:rPr>
          <w:sz w:val="22"/>
          <w:szCs w:val="22"/>
        </w:rPr>
      </w:pPr>
      <w:r>
        <w:rPr>
          <w:sz w:val="22"/>
          <w:szCs w:val="22"/>
        </w:rPr>
        <w:t xml:space="preserve">I controlli diventano così, nel loro insieme, socialmente poco visibili, come indicato </w:t>
      </w:r>
      <w:r w:rsidR="00681933" w:rsidRPr="00681933">
        <w:rPr>
          <w:sz w:val="22"/>
          <w:szCs w:val="22"/>
        </w:rPr>
        <w:t>al par.</w:t>
      </w:r>
      <w:r w:rsidR="00361BCC">
        <w:rPr>
          <w:sz w:val="22"/>
          <w:szCs w:val="22"/>
        </w:rPr>
        <w:t>1.7</w:t>
      </w:r>
      <w:r w:rsidR="002D6F50">
        <w:rPr>
          <w:sz w:val="22"/>
          <w:szCs w:val="22"/>
        </w:rPr>
        <w:t xml:space="preserve">. </w:t>
      </w:r>
    </w:p>
    <w:p w14:paraId="0DB2B249" w14:textId="3394461F" w:rsidR="00C646CD" w:rsidRPr="007F7EBF" w:rsidRDefault="00C646CD" w:rsidP="00C646CD">
      <w:pPr>
        <w:pStyle w:val="tit23"/>
        <w:ind w:left="6464" w:right="-1361" w:firstLine="0"/>
        <w:jc w:val="left"/>
        <w:rPr>
          <w:bCs/>
          <w:i/>
          <w:iCs/>
          <w:color w:val="0000FF"/>
          <w:lang w:val="it-IT"/>
        </w:rPr>
      </w:pPr>
      <w:r>
        <w:rPr>
          <w:bCs/>
          <w:i/>
          <w:iCs/>
          <w:color w:val="0000FF"/>
          <w:lang w:val="it-IT"/>
        </w:rPr>
        <w:t>Percezioni scientifico sociali della dirigenza</w:t>
      </w:r>
    </w:p>
    <w:p w14:paraId="1E0B2240" w14:textId="2037EC5E" w:rsidR="002365CE" w:rsidRPr="007F7EBF" w:rsidRDefault="00670F54" w:rsidP="002365CE">
      <w:pPr>
        <w:autoSpaceDE w:val="0"/>
        <w:autoSpaceDN w:val="0"/>
        <w:adjustRightInd w:val="0"/>
        <w:rPr>
          <w:sz w:val="22"/>
          <w:szCs w:val="22"/>
        </w:rPr>
      </w:pPr>
      <w:r>
        <w:rPr>
          <w:sz w:val="22"/>
          <w:szCs w:val="22"/>
        </w:rPr>
        <w:t xml:space="preserve">Da anni </w:t>
      </w:r>
      <w:r w:rsidR="00F70063">
        <w:rPr>
          <w:sz w:val="22"/>
          <w:szCs w:val="22"/>
        </w:rPr>
        <w:t xml:space="preserve">la dirigenza dell’Agenzia delle Entrate </w:t>
      </w:r>
      <w:r>
        <w:rPr>
          <w:sz w:val="22"/>
          <w:szCs w:val="22"/>
        </w:rPr>
        <w:t xml:space="preserve">comprende </w:t>
      </w:r>
      <w:r w:rsidR="00F70063">
        <w:rPr>
          <w:sz w:val="22"/>
          <w:szCs w:val="22"/>
        </w:rPr>
        <w:t xml:space="preserve">i problemi </w:t>
      </w:r>
      <w:r>
        <w:rPr>
          <w:sz w:val="22"/>
          <w:szCs w:val="22"/>
        </w:rPr>
        <w:t xml:space="preserve">indicati in questo testo </w:t>
      </w:r>
      <w:r w:rsidR="00F70063">
        <w:rPr>
          <w:sz w:val="22"/>
          <w:szCs w:val="22"/>
        </w:rPr>
        <w:t>meglio dell’accademia</w:t>
      </w:r>
      <w:r>
        <w:rPr>
          <w:sz w:val="22"/>
          <w:szCs w:val="22"/>
        </w:rPr>
        <w:t>,</w:t>
      </w:r>
      <w:r w:rsidR="00F70063">
        <w:rPr>
          <w:sz w:val="22"/>
          <w:szCs w:val="22"/>
        </w:rPr>
        <w:t xml:space="preserve"> e a maggior ragione dei professionisti e di tutte le categorie di cui al par.4.4</w:t>
      </w:r>
      <w:r w:rsidR="00F70063">
        <w:t xml:space="preserve"> </w:t>
      </w:r>
      <w:r w:rsidR="00F70063">
        <w:rPr>
          <w:sz w:val="22"/>
          <w:szCs w:val="22"/>
        </w:rPr>
        <w:t>(</w:t>
      </w:r>
      <w:r w:rsidR="00F70063" w:rsidRPr="007F7EBF">
        <w:rPr>
          <w:rStyle w:val="Rimandonotaapidipagina"/>
          <w:sz w:val="22"/>
          <w:szCs w:val="22"/>
        </w:rPr>
        <w:footnoteReference w:id="534"/>
      </w:r>
      <w:r w:rsidR="00F70063">
        <w:rPr>
          <w:sz w:val="22"/>
          <w:szCs w:val="22"/>
        </w:rPr>
        <w:t>)</w:t>
      </w:r>
      <w:r w:rsidR="0036610E">
        <w:rPr>
          <w:sz w:val="22"/>
          <w:szCs w:val="22"/>
        </w:rPr>
        <w:t xml:space="preserve">. </w:t>
      </w:r>
      <w:r w:rsidR="005260D1">
        <w:rPr>
          <w:sz w:val="22"/>
          <w:szCs w:val="22"/>
        </w:rPr>
        <w:t xml:space="preserve">E’ un effetto della consapevolezza di una funzione in chi a tutti i livelli vi si dedica (par.1.2), sviluppando maggior </w:t>
      </w:r>
      <w:r w:rsidR="005260D1" w:rsidRPr="005260D1">
        <w:rPr>
          <w:sz w:val="22"/>
          <w:szCs w:val="22"/>
        </w:rPr>
        <w:t>senso d’appartenenza di ch</w:t>
      </w:r>
      <w:r w:rsidR="005260D1">
        <w:rPr>
          <w:sz w:val="22"/>
          <w:szCs w:val="22"/>
        </w:rPr>
        <w:t>i lavora nelle aziende. Anche l’Agenzia</w:t>
      </w:r>
      <w:r w:rsidR="0036610E">
        <w:rPr>
          <w:sz w:val="22"/>
          <w:szCs w:val="22"/>
        </w:rPr>
        <w:t xml:space="preserve"> è </w:t>
      </w:r>
      <w:r w:rsidR="005260D1">
        <w:rPr>
          <w:sz w:val="22"/>
          <w:szCs w:val="22"/>
        </w:rPr>
        <w:t xml:space="preserve">però </w:t>
      </w:r>
      <w:r w:rsidR="0036610E">
        <w:rPr>
          <w:sz w:val="22"/>
          <w:szCs w:val="22"/>
        </w:rPr>
        <w:t xml:space="preserve">ostaggio della confusione tra le percezioni sociali della funzione tributaria da parte della </w:t>
      </w:r>
      <w:r w:rsidR="000A03EB">
        <w:rPr>
          <w:sz w:val="22"/>
          <w:szCs w:val="22"/>
        </w:rPr>
        <w:t xml:space="preserve">pubblica opinione </w:t>
      </w:r>
      <w:r w:rsidR="0036610E">
        <w:rPr>
          <w:sz w:val="22"/>
          <w:szCs w:val="22"/>
        </w:rPr>
        <w:t xml:space="preserve">e della </w:t>
      </w:r>
      <w:r w:rsidR="002365CE">
        <w:rPr>
          <w:sz w:val="22"/>
          <w:szCs w:val="22"/>
        </w:rPr>
        <w:t>politic</w:t>
      </w:r>
      <w:r w:rsidR="0036610E">
        <w:rPr>
          <w:sz w:val="22"/>
          <w:szCs w:val="22"/>
        </w:rPr>
        <w:t>a</w:t>
      </w:r>
      <w:r w:rsidR="002365CE">
        <w:rPr>
          <w:sz w:val="22"/>
          <w:szCs w:val="22"/>
        </w:rPr>
        <w:t>.</w:t>
      </w:r>
      <w:r w:rsidR="004344B1">
        <w:rPr>
          <w:sz w:val="22"/>
          <w:szCs w:val="22"/>
        </w:rPr>
        <w:t xml:space="preserve"> </w:t>
      </w:r>
      <w:r w:rsidR="006C6E66">
        <w:t>Quest’ultima, pensando alla coesione sociale e al consenso,</w:t>
      </w:r>
      <w:r w:rsidR="006C6E66" w:rsidRPr="007F7EBF">
        <w:t xml:space="preserve"> </w:t>
      </w:r>
      <w:r w:rsidR="006C6E66">
        <w:t>rifletterà in varia misura la confusione sociale diffusa nella pubblica opinione; la politica rispecchia cioè inevitabilmente la confusione mentale della società che la esprime, dovuta alla nota mancanza di spiegazioni sociali della funzione tributaria.</w:t>
      </w:r>
      <w:r w:rsidR="00680EC7">
        <w:t xml:space="preserve"> </w:t>
      </w:r>
      <w:r w:rsidR="004344B1">
        <w:rPr>
          <w:sz w:val="22"/>
          <w:szCs w:val="22"/>
        </w:rPr>
        <w:t xml:space="preserve">Solo </w:t>
      </w:r>
      <w:r w:rsidR="005260D1">
        <w:rPr>
          <w:sz w:val="22"/>
          <w:szCs w:val="22"/>
        </w:rPr>
        <w:t>coordina</w:t>
      </w:r>
      <w:r w:rsidR="006C6E66">
        <w:rPr>
          <w:sz w:val="22"/>
          <w:szCs w:val="22"/>
        </w:rPr>
        <w:t>nd</w:t>
      </w:r>
      <w:r w:rsidR="005260D1">
        <w:rPr>
          <w:sz w:val="22"/>
          <w:szCs w:val="22"/>
        </w:rPr>
        <w:t xml:space="preserve">o </w:t>
      </w:r>
      <w:r w:rsidR="006C6E66">
        <w:rPr>
          <w:sz w:val="22"/>
          <w:szCs w:val="22"/>
        </w:rPr>
        <w:t xml:space="preserve">le </w:t>
      </w:r>
      <w:r w:rsidR="0036610E">
        <w:rPr>
          <w:sz w:val="22"/>
          <w:szCs w:val="22"/>
        </w:rPr>
        <w:t>percezioni degli interessati, come spiegato al par.4.7</w:t>
      </w:r>
      <w:r w:rsidR="004344B1">
        <w:rPr>
          <w:sz w:val="22"/>
          <w:szCs w:val="22"/>
        </w:rPr>
        <w:t xml:space="preserve"> </w:t>
      </w:r>
      <w:r w:rsidR="006C6E66">
        <w:rPr>
          <w:sz w:val="22"/>
          <w:szCs w:val="22"/>
        </w:rPr>
        <w:t>sugli studi sociali, potrà esserci una</w:t>
      </w:r>
      <w:r w:rsidR="002365CE">
        <w:rPr>
          <w:sz w:val="22"/>
          <w:szCs w:val="22"/>
        </w:rPr>
        <w:t xml:space="preserve"> “pace fiscale”</w:t>
      </w:r>
      <w:r w:rsidR="006C6E66">
        <w:rPr>
          <w:sz w:val="22"/>
          <w:szCs w:val="22"/>
        </w:rPr>
        <w:t xml:space="preserve"> nell’opinione pubblica</w:t>
      </w:r>
      <w:r w:rsidR="0036610E">
        <w:rPr>
          <w:sz w:val="22"/>
          <w:szCs w:val="22"/>
        </w:rPr>
        <w:t xml:space="preserve">, premessa per l’efficienza degli uffici tributari. </w:t>
      </w:r>
      <w:r w:rsidR="002365CE">
        <w:rPr>
          <w:sz w:val="22"/>
          <w:szCs w:val="22"/>
        </w:rPr>
        <w:t xml:space="preserve"> </w:t>
      </w:r>
    </w:p>
    <w:p w14:paraId="57FEBA82" w14:textId="700ED8F0" w:rsidR="00205716" w:rsidRPr="007F7EBF" w:rsidRDefault="00205716" w:rsidP="003D589E">
      <w:pPr>
        <w:autoSpaceDE w:val="0"/>
        <w:autoSpaceDN w:val="0"/>
        <w:adjustRightInd w:val="0"/>
        <w:rPr>
          <w:bCs/>
          <w:i/>
          <w:iCs/>
          <w:color w:val="0000FF"/>
        </w:rPr>
      </w:pPr>
    </w:p>
    <w:p w14:paraId="2EAA29C1" w14:textId="0A3C10CF" w:rsidR="00877151" w:rsidRPr="007F7EBF" w:rsidRDefault="001B63D2" w:rsidP="00291DB7">
      <w:pPr>
        <w:pStyle w:val="Titolo3"/>
        <w:rPr>
          <w:rFonts w:ascii="Times New Roman" w:hAnsi="Times New Roman"/>
          <w:bCs w:val="0"/>
          <w:i/>
          <w:iCs/>
          <w:color w:val="0000FF"/>
          <w:sz w:val="22"/>
          <w:szCs w:val="22"/>
          <w:lang w:val="it-IT"/>
        </w:rPr>
      </w:pPr>
      <w:bookmarkStart w:id="60" w:name="_Toc63364976"/>
      <w:r w:rsidRPr="007F7EBF">
        <w:rPr>
          <w:rFonts w:ascii="Times New Roman" w:hAnsi="Times New Roman"/>
          <w:sz w:val="22"/>
          <w:szCs w:val="22"/>
        </w:rPr>
        <w:lastRenderedPageBreak/>
        <w:t xml:space="preserve">5.4. </w:t>
      </w:r>
      <w:r w:rsidR="00D41E22">
        <w:rPr>
          <w:rFonts w:ascii="Times New Roman" w:hAnsi="Times New Roman"/>
          <w:sz w:val="22"/>
          <w:szCs w:val="22"/>
          <w:lang w:val="it-IT"/>
        </w:rPr>
        <w:t xml:space="preserve">Supporto </w:t>
      </w:r>
      <w:r w:rsidR="00D42B38" w:rsidRPr="007F7EBF">
        <w:rPr>
          <w:rFonts w:ascii="Times New Roman" w:hAnsi="Times New Roman"/>
          <w:sz w:val="22"/>
          <w:szCs w:val="22"/>
          <w:lang w:val="it-IT"/>
        </w:rPr>
        <w:t>de</w:t>
      </w:r>
      <w:r w:rsidR="007C77AE" w:rsidRPr="007F7EBF">
        <w:rPr>
          <w:rFonts w:ascii="Times New Roman" w:hAnsi="Times New Roman"/>
          <w:sz w:val="22"/>
          <w:szCs w:val="22"/>
          <w:lang w:val="it-IT"/>
        </w:rPr>
        <w:t xml:space="preserve">gli uffici  </w:t>
      </w:r>
      <w:r w:rsidR="00D41E22">
        <w:rPr>
          <w:rFonts w:ascii="Times New Roman" w:hAnsi="Times New Roman"/>
          <w:sz w:val="22"/>
          <w:szCs w:val="22"/>
          <w:lang w:val="it-IT"/>
        </w:rPr>
        <w:t>all’autodeterminazione</w:t>
      </w:r>
      <w:r w:rsidR="007C77AE" w:rsidRPr="007F7EBF">
        <w:rPr>
          <w:rFonts w:ascii="Times New Roman" w:hAnsi="Times New Roman"/>
          <w:sz w:val="22"/>
          <w:szCs w:val="22"/>
          <w:lang w:val="it-IT"/>
        </w:rPr>
        <w:t xml:space="preserve"> </w:t>
      </w:r>
      <w:r w:rsidR="00D41E22">
        <w:rPr>
          <w:rFonts w:ascii="Times New Roman" w:hAnsi="Times New Roman"/>
          <w:sz w:val="22"/>
          <w:szCs w:val="22"/>
          <w:lang w:val="it-IT"/>
        </w:rPr>
        <w:t>(</w:t>
      </w:r>
      <w:r w:rsidR="00D41E22">
        <w:rPr>
          <w:rFonts w:ascii="Times New Roman" w:hAnsi="Times New Roman"/>
          <w:i/>
          <w:iCs/>
          <w:sz w:val="22"/>
          <w:szCs w:val="22"/>
          <w:lang w:val="it-IT"/>
        </w:rPr>
        <w:t xml:space="preserve">amministrazione di </w:t>
      </w:r>
      <w:r w:rsidR="00D41E22" w:rsidRPr="00D41E22">
        <w:rPr>
          <w:rFonts w:ascii="Times New Roman" w:hAnsi="Times New Roman"/>
          <w:sz w:val="22"/>
          <w:szCs w:val="22"/>
          <w:lang w:val="it-IT"/>
        </w:rPr>
        <w:t>servizio</w:t>
      </w:r>
      <w:r w:rsidR="00D41E22">
        <w:rPr>
          <w:rFonts w:ascii="Times New Roman" w:hAnsi="Times New Roman"/>
          <w:sz w:val="22"/>
          <w:szCs w:val="22"/>
          <w:lang w:val="it-IT"/>
        </w:rPr>
        <w:t xml:space="preserve">) </w:t>
      </w:r>
      <w:r w:rsidR="006342C5" w:rsidRPr="00D41E22">
        <w:rPr>
          <w:rFonts w:ascii="Times New Roman" w:hAnsi="Times New Roman"/>
          <w:sz w:val="22"/>
          <w:szCs w:val="22"/>
        </w:rPr>
        <w:t>e</w:t>
      </w:r>
      <w:r w:rsidR="006342C5" w:rsidRPr="007F7EBF">
        <w:rPr>
          <w:rFonts w:ascii="Times New Roman" w:hAnsi="Times New Roman"/>
          <w:sz w:val="22"/>
          <w:szCs w:val="22"/>
        </w:rPr>
        <w:t xml:space="preserve"> </w:t>
      </w:r>
      <w:r w:rsidR="00D41E22">
        <w:rPr>
          <w:rFonts w:ascii="Times New Roman" w:hAnsi="Times New Roman"/>
          <w:sz w:val="22"/>
          <w:szCs w:val="22"/>
          <w:lang w:val="it-IT"/>
        </w:rPr>
        <w:t xml:space="preserve">valore delle loro </w:t>
      </w:r>
      <w:r w:rsidR="006342C5" w:rsidRPr="007F7EBF">
        <w:rPr>
          <w:rFonts w:ascii="Times New Roman" w:hAnsi="Times New Roman"/>
          <w:sz w:val="22"/>
          <w:szCs w:val="22"/>
        </w:rPr>
        <w:t>interpretazioni</w:t>
      </w:r>
      <w:bookmarkEnd w:id="60"/>
    </w:p>
    <w:p w14:paraId="05FCD584" w14:textId="77777777" w:rsidR="00207B2F" w:rsidRPr="007F7EBF" w:rsidRDefault="000166A5" w:rsidP="00207B2F">
      <w:pPr>
        <w:pStyle w:val="tit23"/>
        <w:ind w:left="6464" w:right="-1361" w:firstLine="0"/>
        <w:jc w:val="left"/>
        <w:rPr>
          <w:bCs/>
          <w:i/>
          <w:iCs/>
          <w:color w:val="0000FF"/>
          <w:lang w:val="it-IT"/>
        </w:rPr>
      </w:pPr>
      <w:r w:rsidRPr="007F7EBF">
        <w:rPr>
          <w:bCs/>
          <w:i/>
          <w:iCs/>
          <w:color w:val="0000FF"/>
          <w:lang w:val="it-IT"/>
        </w:rPr>
        <w:t xml:space="preserve">L’amministrazione “di servizio” </w:t>
      </w:r>
    </w:p>
    <w:p w14:paraId="4F97E6FE" w14:textId="644F8015" w:rsidR="00183A0B" w:rsidRPr="007F7EBF" w:rsidRDefault="00AC133E" w:rsidP="00183A0B">
      <w:pPr>
        <w:autoSpaceDE w:val="0"/>
        <w:autoSpaceDN w:val="0"/>
        <w:adjustRightInd w:val="0"/>
        <w:rPr>
          <w:sz w:val="22"/>
          <w:szCs w:val="22"/>
        </w:rPr>
      </w:pPr>
      <w:r w:rsidRPr="007F7EBF">
        <w:rPr>
          <w:sz w:val="22"/>
          <w:szCs w:val="22"/>
        </w:rPr>
        <w:t xml:space="preserve">Visto che i contribuenti devono autodeterminare i tributi, è normale che </w:t>
      </w:r>
      <w:r w:rsidR="00043A43" w:rsidRPr="007F7EBF">
        <w:rPr>
          <w:sz w:val="22"/>
          <w:szCs w:val="22"/>
        </w:rPr>
        <w:t xml:space="preserve">gli uffici tributari </w:t>
      </w:r>
      <w:r w:rsidR="005F1AE4" w:rsidRPr="007F7EBF">
        <w:rPr>
          <w:sz w:val="22"/>
          <w:szCs w:val="22"/>
        </w:rPr>
        <w:t>fo</w:t>
      </w:r>
      <w:r w:rsidRPr="007F7EBF">
        <w:rPr>
          <w:sz w:val="22"/>
          <w:szCs w:val="22"/>
        </w:rPr>
        <w:t xml:space="preserve">rniscano loro </w:t>
      </w:r>
      <w:r w:rsidR="00315C56" w:rsidRPr="007F7EBF">
        <w:rPr>
          <w:sz w:val="22"/>
          <w:szCs w:val="22"/>
        </w:rPr>
        <w:t>istruzioni, indicazioni e chiarimenti su</w:t>
      </w:r>
      <w:r w:rsidRPr="007F7EBF">
        <w:rPr>
          <w:sz w:val="22"/>
          <w:szCs w:val="22"/>
        </w:rPr>
        <w:t xml:space="preserve">i vari aspetti della normativa che i privati devono applicare e più in generale </w:t>
      </w:r>
      <w:r w:rsidR="00417339">
        <w:rPr>
          <w:sz w:val="22"/>
          <w:szCs w:val="22"/>
        </w:rPr>
        <w:t>su</w:t>
      </w:r>
      <w:r w:rsidRPr="007F7EBF">
        <w:rPr>
          <w:sz w:val="22"/>
          <w:szCs w:val="22"/>
        </w:rPr>
        <w:t>lle situazioni che essi devono gestire</w:t>
      </w:r>
      <w:r w:rsidR="00315C56" w:rsidRPr="007F7EBF">
        <w:rPr>
          <w:sz w:val="22"/>
          <w:szCs w:val="22"/>
        </w:rPr>
        <w:t xml:space="preserve">. </w:t>
      </w:r>
      <w:r w:rsidRPr="007F7EBF">
        <w:rPr>
          <w:sz w:val="22"/>
          <w:szCs w:val="22"/>
        </w:rPr>
        <w:t xml:space="preserve"> L'autotassazione richiede insomma una qualche cooperazione del fisco </w:t>
      </w:r>
      <w:r w:rsidR="00183A0B" w:rsidRPr="007F7EBF">
        <w:rPr>
          <w:sz w:val="22"/>
          <w:szCs w:val="22"/>
        </w:rPr>
        <w:t>e in questo limitato senso l'amministrazione tributaria diventa anche "di servizio"</w:t>
      </w:r>
      <w:r w:rsidR="00721100">
        <w:rPr>
          <w:sz w:val="22"/>
          <w:szCs w:val="22"/>
        </w:rPr>
        <w:t>, con un interesse anche “pretensivo”, e non solo oppositivo, dei contribuenti, come indicato al par.5.3</w:t>
      </w:r>
      <w:r w:rsidR="0048647B">
        <w:rPr>
          <w:sz w:val="22"/>
          <w:szCs w:val="22"/>
        </w:rPr>
        <w:t xml:space="preserve">; </w:t>
      </w:r>
      <w:r w:rsidR="0048647B">
        <w:t xml:space="preserve">la </w:t>
      </w:r>
      <w:r w:rsidR="0048647B" w:rsidRPr="007F7EBF">
        <w:t xml:space="preserve">cooperazione del fisco  </w:t>
      </w:r>
      <w:r w:rsidR="0048647B">
        <w:t>semplifica infatti i costi di adempimento del</w:t>
      </w:r>
      <w:r w:rsidR="0048647B" w:rsidRPr="007F7EBF">
        <w:t>l'autodeterminazione dei tributi</w:t>
      </w:r>
      <w:r w:rsidR="0048647B">
        <w:t>, proporzionalmente più incisivi con la diminuzione degli imponibili</w:t>
      </w:r>
      <w:r w:rsidRPr="007F7EBF">
        <w:rPr>
          <w:sz w:val="22"/>
          <w:szCs w:val="22"/>
        </w:rPr>
        <w:t xml:space="preserve">. </w:t>
      </w:r>
    </w:p>
    <w:p w14:paraId="11858767" w14:textId="77777777" w:rsidR="00183A0B" w:rsidRPr="007F7EBF" w:rsidRDefault="00183A0B" w:rsidP="00183A0B">
      <w:pPr>
        <w:pStyle w:val="tit23"/>
        <w:ind w:left="6464" w:right="-1361" w:firstLine="0"/>
        <w:jc w:val="left"/>
        <w:rPr>
          <w:bCs/>
          <w:i/>
          <w:iCs/>
          <w:color w:val="0000FF"/>
          <w:lang w:val="it-IT"/>
        </w:rPr>
      </w:pPr>
      <w:r w:rsidRPr="007F7EBF">
        <w:rPr>
          <w:bCs/>
          <w:i/>
          <w:iCs/>
          <w:color w:val="0000FF"/>
          <w:lang w:val="it-IT"/>
        </w:rPr>
        <w:t>Servizi di interazione e di interpretazione</w:t>
      </w:r>
    </w:p>
    <w:p w14:paraId="7E7AA597" w14:textId="5294EF5C" w:rsidR="00784232" w:rsidRPr="007F7EBF" w:rsidRDefault="0048647B" w:rsidP="00784232">
      <w:pPr>
        <w:autoSpaceDE w:val="0"/>
        <w:autoSpaceDN w:val="0"/>
        <w:adjustRightInd w:val="0"/>
        <w:rPr>
          <w:sz w:val="22"/>
          <w:szCs w:val="22"/>
        </w:rPr>
      </w:pPr>
      <w:r>
        <w:rPr>
          <w:sz w:val="22"/>
          <w:szCs w:val="22"/>
        </w:rPr>
        <w:t>La cooperazione degli uffici tributari avviene nella fase di “anagrafe” dei contribuenti, col</w:t>
      </w:r>
      <w:r w:rsidR="00273CE3" w:rsidRPr="007F7EBF">
        <w:rPr>
          <w:sz w:val="22"/>
          <w:szCs w:val="22"/>
        </w:rPr>
        <w:t xml:space="preserve"> rilascio di documenti identificativi, </w:t>
      </w:r>
      <w:r>
        <w:rPr>
          <w:sz w:val="22"/>
          <w:szCs w:val="22"/>
        </w:rPr>
        <w:t xml:space="preserve">con la </w:t>
      </w:r>
      <w:r w:rsidR="00273CE3" w:rsidRPr="007F7EBF">
        <w:rPr>
          <w:sz w:val="22"/>
          <w:szCs w:val="22"/>
        </w:rPr>
        <w:t xml:space="preserve">documentazione dei versamenti </w:t>
      </w:r>
      <w:r w:rsidR="003E4ABF">
        <w:rPr>
          <w:sz w:val="22"/>
          <w:szCs w:val="22"/>
        </w:rPr>
        <w:t>(</w:t>
      </w:r>
      <w:r w:rsidR="00273CE3" w:rsidRPr="007F7EBF">
        <w:rPr>
          <w:rStyle w:val="Rimandonotaapidipagina"/>
          <w:sz w:val="22"/>
          <w:szCs w:val="22"/>
        </w:rPr>
        <w:footnoteReference w:id="535"/>
      </w:r>
      <w:r w:rsidR="003E4ABF">
        <w:rPr>
          <w:sz w:val="22"/>
          <w:szCs w:val="22"/>
        </w:rPr>
        <w:t>)</w:t>
      </w:r>
      <w:r w:rsidR="00273CE3" w:rsidRPr="007F7EBF">
        <w:rPr>
          <w:sz w:val="22"/>
          <w:szCs w:val="22"/>
        </w:rPr>
        <w:t xml:space="preserve">, monitoraggio "seriale" degli adempimenti  </w:t>
      </w:r>
      <w:r w:rsidR="003E4ABF">
        <w:rPr>
          <w:sz w:val="22"/>
          <w:szCs w:val="22"/>
        </w:rPr>
        <w:t>(</w:t>
      </w:r>
      <w:r w:rsidR="00273CE3" w:rsidRPr="007F7EBF">
        <w:rPr>
          <w:rStyle w:val="Rimandonotaapidipagina"/>
          <w:sz w:val="22"/>
          <w:szCs w:val="22"/>
        </w:rPr>
        <w:footnoteReference w:id="536"/>
      </w:r>
      <w:r w:rsidR="003E4ABF">
        <w:rPr>
          <w:sz w:val="22"/>
          <w:szCs w:val="22"/>
        </w:rPr>
        <w:t>)</w:t>
      </w:r>
      <w:r w:rsidR="00273CE3" w:rsidRPr="007F7EBF">
        <w:rPr>
          <w:sz w:val="22"/>
          <w:szCs w:val="22"/>
        </w:rPr>
        <w:t xml:space="preserve">, </w:t>
      </w:r>
      <w:r w:rsidR="0077780E" w:rsidRPr="007F7EBF">
        <w:rPr>
          <w:sz w:val="22"/>
          <w:szCs w:val="22"/>
        </w:rPr>
        <w:t>gestione inf</w:t>
      </w:r>
      <w:r w:rsidR="00273CE3" w:rsidRPr="007F7EBF">
        <w:rPr>
          <w:sz w:val="22"/>
          <w:szCs w:val="22"/>
        </w:rPr>
        <w:t xml:space="preserve">ormatica delle dichiarazioni, </w:t>
      </w:r>
      <w:r w:rsidR="0077780E" w:rsidRPr="007F7EBF">
        <w:rPr>
          <w:sz w:val="22"/>
          <w:szCs w:val="22"/>
        </w:rPr>
        <w:t>erogazione dei rimborsi</w:t>
      </w:r>
      <w:r w:rsidR="00273CE3" w:rsidRPr="007F7EBF">
        <w:rPr>
          <w:sz w:val="22"/>
          <w:szCs w:val="22"/>
        </w:rPr>
        <w:t>, risposte a quesiti interpretativi</w:t>
      </w:r>
      <w:r>
        <w:rPr>
          <w:sz w:val="22"/>
          <w:szCs w:val="22"/>
        </w:rPr>
        <w:t xml:space="preserve">. I contribuenti devono infatti qualificare ex ante, ai fini tributari, comportamenti ancora da porre in essere, </w:t>
      </w:r>
      <w:r w:rsidR="006D4C7F">
        <w:rPr>
          <w:sz w:val="22"/>
          <w:szCs w:val="22"/>
        </w:rPr>
        <w:t>anche</w:t>
      </w:r>
      <w:r>
        <w:rPr>
          <w:sz w:val="22"/>
          <w:szCs w:val="22"/>
        </w:rPr>
        <w:t xml:space="preserve"> per regolarsi su “come” porli in essere</w:t>
      </w:r>
      <w:r w:rsidR="000610A5">
        <w:rPr>
          <w:sz w:val="22"/>
          <w:szCs w:val="22"/>
        </w:rPr>
        <w:t>, in relazione a</w:t>
      </w:r>
      <w:r>
        <w:rPr>
          <w:sz w:val="22"/>
          <w:szCs w:val="22"/>
        </w:rPr>
        <w:t xml:space="preserve">l </w:t>
      </w:r>
      <w:r w:rsidR="000610A5">
        <w:rPr>
          <w:sz w:val="22"/>
          <w:szCs w:val="22"/>
        </w:rPr>
        <w:t>lor</w:t>
      </w:r>
      <w:r>
        <w:rPr>
          <w:sz w:val="22"/>
          <w:szCs w:val="22"/>
        </w:rPr>
        <w:t xml:space="preserve">o previsto inquadramento normativo tributario. </w:t>
      </w:r>
    </w:p>
    <w:p w14:paraId="300CA657" w14:textId="12494851" w:rsidR="006C4881" w:rsidRPr="007F7EBF" w:rsidRDefault="00784232" w:rsidP="00784232">
      <w:pPr>
        <w:pStyle w:val="tit23"/>
        <w:ind w:left="6464" w:right="-1361" w:firstLine="0"/>
        <w:jc w:val="left"/>
        <w:rPr>
          <w:bCs/>
          <w:i/>
          <w:iCs/>
          <w:color w:val="0000FF"/>
          <w:lang w:val="it-IT"/>
        </w:rPr>
      </w:pPr>
      <w:r>
        <w:rPr>
          <w:bCs/>
          <w:i/>
          <w:iCs/>
          <w:color w:val="0000FF"/>
          <w:lang w:val="it-IT"/>
        </w:rPr>
        <w:t>Importanza e fondamento dell’interpreta</w:t>
      </w:r>
      <w:r>
        <w:rPr>
          <w:bCs/>
          <w:i/>
          <w:iCs/>
          <w:color w:val="0000FF"/>
          <w:lang w:val="it-IT"/>
        </w:rPr>
        <w:lastRenderedPageBreak/>
        <w:t>zione amministrativa</w:t>
      </w:r>
    </w:p>
    <w:p w14:paraId="4C54C4D7" w14:textId="30AF1FA6" w:rsidR="00457CDF" w:rsidRPr="007F7EBF" w:rsidRDefault="0048647B" w:rsidP="001C755A">
      <w:pPr>
        <w:autoSpaceDE w:val="0"/>
        <w:autoSpaceDN w:val="0"/>
        <w:adjustRightInd w:val="0"/>
        <w:rPr>
          <w:sz w:val="22"/>
          <w:szCs w:val="22"/>
        </w:rPr>
      </w:pPr>
      <w:r>
        <w:rPr>
          <w:sz w:val="22"/>
          <w:szCs w:val="22"/>
        </w:rPr>
        <w:t xml:space="preserve">La fuorviante concezione privatistico-giurisdizionale del diritto (par.1.3) non riesce a valorizzare l’importanza </w:t>
      </w:r>
      <w:r w:rsidR="000628D0">
        <w:rPr>
          <w:sz w:val="22"/>
          <w:szCs w:val="22"/>
        </w:rPr>
        <w:t xml:space="preserve">dell’interpretazione amministrativa né il suo </w:t>
      </w:r>
      <w:r w:rsidR="00784232">
        <w:rPr>
          <w:sz w:val="22"/>
          <w:szCs w:val="22"/>
        </w:rPr>
        <w:t>fondamento organizzativo, “gerarchico”, tipico delle funzioni non giurisdizionali</w:t>
      </w:r>
      <w:r w:rsidR="000628D0">
        <w:rPr>
          <w:sz w:val="22"/>
          <w:szCs w:val="22"/>
        </w:rPr>
        <w:t xml:space="preserve">. In esse </w:t>
      </w:r>
      <w:r w:rsidR="00784232">
        <w:rPr>
          <w:sz w:val="22"/>
          <w:szCs w:val="22"/>
        </w:rPr>
        <w:t>l</w:t>
      </w:r>
      <w:r w:rsidR="006342C5" w:rsidRPr="007F7EBF">
        <w:rPr>
          <w:bCs/>
          <w:sz w:val="22"/>
          <w:szCs w:val="22"/>
        </w:rPr>
        <w:t>’interpretazione ufficiale</w:t>
      </w:r>
      <w:r w:rsidR="006342C5" w:rsidRPr="007F7EBF">
        <w:rPr>
          <w:sz w:val="22"/>
          <w:szCs w:val="22"/>
        </w:rPr>
        <w:t xml:space="preserve">, di un </w:t>
      </w:r>
      <w:r w:rsidR="00291DB7" w:rsidRPr="007F7EBF">
        <w:rPr>
          <w:sz w:val="22"/>
          <w:szCs w:val="22"/>
        </w:rPr>
        <w:t>superiore gerarchico</w:t>
      </w:r>
      <w:r w:rsidR="000628D0">
        <w:rPr>
          <w:sz w:val="22"/>
          <w:szCs w:val="22"/>
        </w:rPr>
        <w:t xml:space="preserve"> crea </w:t>
      </w:r>
      <w:r w:rsidR="003377CE" w:rsidRPr="007F7EBF">
        <w:rPr>
          <w:sz w:val="22"/>
          <w:szCs w:val="22"/>
        </w:rPr>
        <w:t>inevitabilmente</w:t>
      </w:r>
      <w:r w:rsidR="00BB6265" w:rsidRPr="007F7EBF">
        <w:rPr>
          <w:sz w:val="22"/>
          <w:szCs w:val="22"/>
        </w:rPr>
        <w:t xml:space="preserve"> affidamento </w:t>
      </w:r>
      <w:r w:rsidR="000A2CBA" w:rsidRPr="007F7EBF">
        <w:rPr>
          <w:sz w:val="22"/>
          <w:szCs w:val="22"/>
        </w:rPr>
        <w:t>nei privati</w:t>
      </w:r>
      <w:r w:rsidR="000628D0">
        <w:rPr>
          <w:sz w:val="22"/>
          <w:szCs w:val="22"/>
        </w:rPr>
        <w:t xml:space="preserve"> (</w:t>
      </w:r>
      <w:r w:rsidR="00D36169" w:rsidRPr="007F7EBF">
        <w:rPr>
          <w:rStyle w:val="Rimandonotaapidipagina"/>
          <w:sz w:val="22"/>
          <w:szCs w:val="22"/>
        </w:rPr>
        <w:footnoteReference w:id="537"/>
      </w:r>
      <w:r w:rsidR="000628D0">
        <w:rPr>
          <w:sz w:val="22"/>
          <w:szCs w:val="22"/>
        </w:rPr>
        <w:t xml:space="preserve">)  e </w:t>
      </w:r>
      <w:r w:rsidR="000628D0" w:rsidRPr="007F7EBF">
        <w:rPr>
          <w:bCs/>
          <w:sz w:val="22"/>
          <w:szCs w:val="22"/>
        </w:rPr>
        <w:t xml:space="preserve">condiziona </w:t>
      </w:r>
      <w:r w:rsidR="000628D0" w:rsidRPr="007F7EBF">
        <w:rPr>
          <w:sz w:val="22"/>
          <w:szCs w:val="22"/>
        </w:rPr>
        <w:t xml:space="preserve">gli </w:t>
      </w:r>
      <w:r w:rsidR="000628D0" w:rsidRPr="007F7EBF">
        <w:rPr>
          <w:bCs/>
          <w:sz w:val="22"/>
          <w:szCs w:val="22"/>
        </w:rPr>
        <w:t xml:space="preserve">uffici  </w:t>
      </w:r>
      <w:r w:rsidR="000628D0" w:rsidRPr="007F7EBF">
        <w:rPr>
          <w:sz w:val="22"/>
          <w:szCs w:val="22"/>
        </w:rPr>
        <w:t>dipendenti</w:t>
      </w:r>
      <w:r w:rsidR="000628D0">
        <w:rPr>
          <w:sz w:val="22"/>
          <w:szCs w:val="22"/>
        </w:rPr>
        <w:t xml:space="preserve">, </w:t>
      </w:r>
      <w:r w:rsidR="000A2CBA" w:rsidRPr="007F7EBF">
        <w:rPr>
          <w:sz w:val="22"/>
          <w:szCs w:val="22"/>
        </w:rPr>
        <w:t xml:space="preserve">è </w:t>
      </w:r>
      <w:r w:rsidR="006342C5" w:rsidRPr="007F7EBF">
        <w:rPr>
          <w:sz w:val="22"/>
          <w:szCs w:val="22"/>
        </w:rPr>
        <w:t xml:space="preserve">un </w:t>
      </w:r>
      <w:r w:rsidR="006342C5" w:rsidRPr="007F7EBF">
        <w:rPr>
          <w:bCs/>
          <w:sz w:val="22"/>
          <w:szCs w:val="22"/>
        </w:rPr>
        <w:t>normale riflesso</w:t>
      </w:r>
      <w:r w:rsidR="00BB6265" w:rsidRPr="007F7EBF">
        <w:rPr>
          <w:bCs/>
          <w:sz w:val="22"/>
          <w:szCs w:val="22"/>
        </w:rPr>
        <w:t xml:space="preserve"> dei principi generali </w:t>
      </w:r>
      <w:r w:rsidR="003377CE" w:rsidRPr="007F7EBF">
        <w:rPr>
          <w:bCs/>
          <w:sz w:val="22"/>
          <w:szCs w:val="22"/>
        </w:rPr>
        <w:t xml:space="preserve">sull'organizzazione </w:t>
      </w:r>
      <w:r w:rsidR="00BB6265" w:rsidRPr="007F7EBF">
        <w:rPr>
          <w:bCs/>
          <w:sz w:val="22"/>
          <w:szCs w:val="22"/>
        </w:rPr>
        <w:t>delle pubbliche autorità</w:t>
      </w:r>
      <w:r w:rsidR="003377CE" w:rsidRPr="007F7EBF">
        <w:rPr>
          <w:bCs/>
          <w:sz w:val="22"/>
          <w:szCs w:val="22"/>
        </w:rPr>
        <w:t>, riflessa nei rapporti  con l'esterno</w:t>
      </w:r>
      <w:r w:rsidR="0092145F" w:rsidRPr="007F7EBF">
        <w:rPr>
          <w:bCs/>
          <w:sz w:val="22"/>
          <w:szCs w:val="22"/>
        </w:rPr>
        <w:t xml:space="preserve">. </w:t>
      </w:r>
      <w:r w:rsidR="001C755A" w:rsidRPr="007F7EBF">
        <w:rPr>
          <w:sz w:val="22"/>
          <w:szCs w:val="22"/>
        </w:rPr>
        <w:t>L’interpretazione amministrativa si distingue così dalle tradizionali interpretazioni prive di valore formale, come  i «</w:t>
      </w:r>
      <w:r w:rsidR="001C755A" w:rsidRPr="007F7EBF">
        <w:rPr>
          <w:bCs/>
          <w:sz w:val="22"/>
          <w:szCs w:val="22"/>
        </w:rPr>
        <w:t xml:space="preserve">lavori preparatori </w:t>
      </w:r>
      <w:r w:rsidR="001C755A" w:rsidRPr="007F7EBF">
        <w:rPr>
          <w:sz w:val="22"/>
          <w:szCs w:val="22"/>
        </w:rPr>
        <w:t>“</w:t>
      </w:r>
      <w:r w:rsidR="000628D0">
        <w:rPr>
          <w:sz w:val="22"/>
          <w:szCs w:val="22"/>
        </w:rPr>
        <w:t>(</w:t>
      </w:r>
      <w:r w:rsidR="001C755A" w:rsidRPr="007F7EBF">
        <w:rPr>
          <w:rStyle w:val="Rimandonotaapidipagina"/>
          <w:sz w:val="22"/>
          <w:szCs w:val="22"/>
        </w:rPr>
        <w:footnoteReference w:id="538"/>
      </w:r>
      <w:r w:rsidR="000628D0">
        <w:rPr>
          <w:sz w:val="22"/>
          <w:szCs w:val="22"/>
        </w:rPr>
        <w:t>)</w:t>
      </w:r>
      <w:r w:rsidR="001C755A" w:rsidRPr="007F7EBF">
        <w:rPr>
          <w:sz w:val="22"/>
          <w:szCs w:val="22"/>
        </w:rPr>
        <w:t xml:space="preserve">, i rari, e </w:t>
      </w:r>
      <w:r w:rsidR="001C755A" w:rsidRPr="007F7EBF">
        <w:rPr>
          <w:bCs/>
          <w:sz w:val="22"/>
          <w:szCs w:val="22"/>
        </w:rPr>
        <w:t>spesso equivoci</w:t>
      </w:r>
      <w:r w:rsidR="001C755A" w:rsidRPr="007F7EBF">
        <w:rPr>
          <w:sz w:val="22"/>
          <w:szCs w:val="22"/>
        </w:rPr>
        <w:t>, precedenti giurisprudenziali e la pubblicistica</w:t>
      </w:r>
      <w:r w:rsidR="000628D0">
        <w:rPr>
          <w:sz w:val="22"/>
          <w:szCs w:val="22"/>
        </w:rPr>
        <w:t>(</w:t>
      </w:r>
      <w:r w:rsidR="001C755A" w:rsidRPr="007F7EBF">
        <w:rPr>
          <w:rStyle w:val="Rimandonotaapidipagina"/>
          <w:sz w:val="22"/>
          <w:szCs w:val="22"/>
        </w:rPr>
        <w:footnoteReference w:id="539"/>
      </w:r>
      <w:r w:rsidR="000628D0">
        <w:rPr>
          <w:sz w:val="22"/>
          <w:szCs w:val="22"/>
        </w:rPr>
        <w:t>)</w:t>
      </w:r>
      <w:r w:rsidR="001C755A" w:rsidRPr="007F7EBF">
        <w:rPr>
          <w:sz w:val="22"/>
          <w:szCs w:val="22"/>
        </w:rPr>
        <w:t xml:space="preserve">. </w:t>
      </w:r>
    </w:p>
    <w:p w14:paraId="6B105275" w14:textId="77777777" w:rsidR="00457CDF" w:rsidRPr="007F7EBF" w:rsidRDefault="00457CDF" w:rsidP="00457CDF">
      <w:pPr>
        <w:pStyle w:val="tit23"/>
        <w:ind w:left="6464" w:right="-1361" w:firstLine="0"/>
        <w:jc w:val="left"/>
        <w:rPr>
          <w:bCs/>
          <w:i/>
          <w:iCs/>
          <w:color w:val="0000FF"/>
          <w:lang w:val="it-IT"/>
        </w:rPr>
      </w:pPr>
      <w:r w:rsidRPr="007F7EBF">
        <w:rPr>
          <w:bCs/>
          <w:i/>
          <w:iCs/>
          <w:color w:val="0000FF"/>
          <w:lang w:val="it-IT"/>
        </w:rPr>
        <w:t>Interpretazioni e precedenti amministrativi</w:t>
      </w:r>
    </w:p>
    <w:p w14:paraId="2F696451" w14:textId="3A048210" w:rsidR="00152383" w:rsidRPr="007F7EBF" w:rsidRDefault="001C755A" w:rsidP="00152383">
      <w:pPr>
        <w:autoSpaceDE w:val="0"/>
        <w:autoSpaceDN w:val="0"/>
        <w:adjustRightInd w:val="0"/>
        <w:rPr>
          <w:sz w:val="22"/>
          <w:szCs w:val="22"/>
        </w:rPr>
      </w:pPr>
      <w:r w:rsidRPr="007F7EBF">
        <w:rPr>
          <w:sz w:val="22"/>
          <w:szCs w:val="22"/>
        </w:rPr>
        <w:t>L'interpretazione amministrativa</w:t>
      </w:r>
      <w:r w:rsidR="000628D0">
        <w:rPr>
          <w:sz w:val="22"/>
          <w:szCs w:val="22"/>
        </w:rPr>
        <w:t xml:space="preserve">, </w:t>
      </w:r>
      <w:r w:rsidRPr="007F7EBF">
        <w:rPr>
          <w:sz w:val="22"/>
          <w:szCs w:val="22"/>
        </w:rPr>
        <w:t xml:space="preserve">fondamentale per la </w:t>
      </w:r>
      <w:r w:rsidR="000628D0">
        <w:rPr>
          <w:sz w:val="22"/>
          <w:szCs w:val="22"/>
        </w:rPr>
        <w:t xml:space="preserve">funzione tributaria di </w:t>
      </w:r>
      <w:r w:rsidRPr="007F7EBF">
        <w:rPr>
          <w:sz w:val="22"/>
          <w:szCs w:val="22"/>
        </w:rPr>
        <w:t>tutti i paesi sviluppati</w:t>
      </w:r>
      <w:r w:rsidR="000628D0">
        <w:rPr>
          <w:sz w:val="22"/>
          <w:szCs w:val="22"/>
        </w:rPr>
        <w:t>, è affidata i</w:t>
      </w:r>
      <w:r w:rsidRPr="007F7EBF">
        <w:rPr>
          <w:sz w:val="22"/>
          <w:szCs w:val="22"/>
        </w:rPr>
        <w:t>n Italia all'Agenzia delle Entrate</w:t>
      </w:r>
      <w:r w:rsidR="000610A5">
        <w:t xml:space="preserve">. Gli uffici </w:t>
      </w:r>
      <w:r w:rsidR="000628D0" w:rsidRPr="007F7EBF">
        <w:t>periferici</w:t>
      </w:r>
      <w:r w:rsidR="000610A5">
        <w:t xml:space="preserve"> di quest’ultima,</w:t>
      </w:r>
      <w:r w:rsidR="000628D0">
        <w:t xml:space="preserve"> </w:t>
      </w:r>
      <w:r w:rsidR="000628D0" w:rsidRPr="007F7EBF">
        <w:t>preposti alla determinazione del tributo</w:t>
      </w:r>
      <w:r w:rsidR="000610A5">
        <w:t xml:space="preserve"> come indicato al par.5.2,</w:t>
      </w:r>
      <w:r w:rsidR="000628D0" w:rsidRPr="007F7EBF">
        <w:t xml:space="preserve"> sono </w:t>
      </w:r>
      <w:r w:rsidR="000628D0">
        <w:t>vincolati</w:t>
      </w:r>
      <w:r w:rsidR="000628D0" w:rsidRPr="007F7EBF">
        <w:t xml:space="preserve"> all’interpretazione normativa </w:t>
      </w:r>
      <w:r w:rsidR="000628D0">
        <w:t xml:space="preserve">dei </w:t>
      </w:r>
      <w:r w:rsidR="000628D0" w:rsidRPr="007F7EBF">
        <w:t>loro organi superiori</w:t>
      </w:r>
      <w:r w:rsidR="000628D0" w:rsidRPr="007F7EBF">
        <w:rPr>
          <w:rStyle w:val="Rimandonotaapidipagina"/>
          <w:bCs/>
          <w:sz w:val="22"/>
          <w:szCs w:val="22"/>
        </w:rPr>
        <w:t xml:space="preserve"> </w:t>
      </w:r>
      <w:r w:rsidR="000628D0">
        <w:rPr>
          <w:bCs/>
          <w:sz w:val="22"/>
          <w:szCs w:val="22"/>
        </w:rPr>
        <w:t>secondo le filiere gerarchiche di cui al par.5.2 (</w:t>
      </w:r>
      <w:r w:rsidRPr="007F7EBF">
        <w:rPr>
          <w:rStyle w:val="Rimandonotaapidipagina"/>
          <w:bCs/>
          <w:sz w:val="22"/>
          <w:szCs w:val="22"/>
        </w:rPr>
        <w:footnoteReference w:id="540"/>
      </w:r>
      <w:r w:rsidR="000628D0">
        <w:rPr>
          <w:bCs/>
          <w:sz w:val="22"/>
          <w:szCs w:val="22"/>
        </w:rPr>
        <w:t>)</w:t>
      </w:r>
      <w:r w:rsidRPr="007F7EBF">
        <w:rPr>
          <w:sz w:val="22"/>
          <w:szCs w:val="22"/>
        </w:rPr>
        <w:t xml:space="preserve">, in base al principio </w:t>
      </w:r>
      <w:r w:rsidR="00E3631A">
        <w:rPr>
          <w:sz w:val="22"/>
          <w:szCs w:val="22"/>
        </w:rPr>
        <w:t xml:space="preserve">di </w:t>
      </w:r>
      <w:r w:rsidR="00E3631A">
        <w:rPr>
          <w:sz w:val="22"/>
          <w:szCs w:val="22"/>
        </w:rPr>
        <w:lastRenderedPageBreak/>
        <w:t xml:space="preserve">ripartizione </w:t>
      </w:r>
      <w:r w:rsidR="000628D0">
        <w:rPr>
          <w:sz w:val="22"/>
          <w:szCs w:val="22"/>
        </w:rPr>
        <w:t xml:space="preserve">interna </w:t>
      </w:r>
      <w:r w:rsidR="00E3631A">
        <w:rPr>
          <w:sz w:val="22"/>
          <w:szCs w:val="22"/>
        </w:rPr>
        <w:t>dei compiti</w:t>
      </w:r>
      <w:r w:rsidR="000628D0">
        <w:rPr>
          <w:sz w:val="22"/>
          <w:szCs w:val="22"/>
        </w:rPr>
        <w:t xml:space="preserve">. </w:t>
      </w:r>
      <w:r w:rsidR="000628D0">
        <w:t xml:space="preserve">Anche a parità di grado, l’ufficio competente all’interpretazione di una certa normativa vincola, su questi aspetti, un ufficio avente altre competenze, dove rileva la normativa cui l’altro </w:t>
      </w:r>
      <w:r w:rsidR="00152383">
        <w:t xml:space="preserve">ufficio </w:t>
      </w:r>
      <w:r w:rsidR="000628D0">
        <w:t>è preposto</w:t>
      </w:r>
      <w:r w:rsidRPr="007F7EBF">
        <w:rPr>
          <w:sz w:val="22"/>
          <w:szCs w:val="22"/>
        </w:rPr>
        <w:t xml:space="preserve">. </w:t>
      </w:r>
    </w:p>
    <w:p w14:paraId="793A517D" w14:textId="55237567" w:rsidR="00152383" w:rsidRPr="007F7EBF" w:rsidRDefault="00152383" w:rsidP="00152383">
      <w:pPr>
        <w:pStyle w:val="tit23"/>
        <w:ind w:left="6464" w:right="-1361" w:firstLine="0"/>
        <w:jc w:val="left"/>
        <w:rPr>
          <w:bCs/>
          <w:i/>
          <w:iCs/>
          <w:color w:val="0000FF"/>
          <w:lang w:val="it-IT"/>
        </w:rPr>
      </w:pPr>
      <w:r>
        <w:rPr>
          <w:bCs/>
          <w:i/>
          <w:iCs/>
          <w:color w:val="0000FF"/>
          <w:lang w:val="it-IT"/>
        </w:rPr>
        <w:t>Sedi dell’interpretazione</w:t>
      </w:r>
    </w:p>
    <w:p w14:paraId="42BC35B3" w14:textId="178F2947" w:rsidR="00556EF8" w:rsidRPr="007F7EBF" w:rsidRDefault="00152383" w:rsidP="00556EF8">
      <w:pPr>
        <w:autoSpaceDE w:val="0"/>
        <w:autoSpaceDN w:val="0"/>
        <w:adjustRightInd w:val="0"/>
        <w:rPr>
          <w:sz w:val="22"/>
          <w:szCs w:val="22"/>
        </w:rPr>
      </w:pPr>
      <w:r>
        <w:rPr>
          <w:sz w:val="22"/>
          <w:szCs w:val="22"/>
        </w:rPr>
        <w:t>La valenza dell’</w:t>
      </w:r>
      <w:r w:rsidR="00CA0D8E" w:rsidRPr="007F7EBF">
        <w:rPr>
          <w:sz w:val="22"/>
          <w:szCs w:val="22"/>
        </w:rPr>
        <w:t xml:space="preserve">interpretazione </w:t>
      </w:r>
      <w:r>
        <w:rPr>
          <w:sz w:val="22"/>
          <w:szCs w:val="22"/>
        </w:rPr>
        <w:t xml:space="preserve">non cambia in relazione ad altri aspetti dell’atto che la contiene, </w:t>
      </w:r>
      <w:r w:rsidR="00CA0D8E" w:rsidRPr="007F7EBF">
        <w:rPr>
          <w:sz w:val="22"/>
          <w:szCs w:val="22"/>
        </w:rPr>
        <w:t>come le "circolari"</w:t>
      </w:r>
      <w:r>
        <w:rPr>
          <w:sz w:val="22"/>
          <w:szCs w:val="22"/>
        </w:rPr>
        <w:t>(</w:t>
      </w:r>
      <w:r w:rsidR="00CA0D8E" w:rsidRPr="007F7EBF">
        <w:rPr>
          <w:rStyle w:val="Rimandonotaapidipagina"/>
          <w:sz w:val="22"/>
          <w:szCs w:val="22"/>
        </w:rPr>
        <w:footnoteReference w:id="541"/>
      </w:r>
      <w:r>
        <w:rPr>
          <w:sz w:val="22"/>
          <w:szCs w:val="22"/>
        </w:rPr>
        <w:t>) o le</w:t>
      </w:r>
      <w:r w:rsidR="00CA0D8E" w:rsidRPr="007F7EBF">
        <w:rPr>
          <w:sz w:val="22"/>
          <w:szCs w:val="22"/>
        </w:rPr>
        <w:t xml:space="preserve"> risposte a </w:t>
      </w:r>
      <w:r w:rsidR="00CA0D8E" w:rsidRPr="007F7EBF">
        <w:rPr>
          <w:bCs/>
          <w:sz w:val="22"/>
          <w:szCs w:val="22"/>
        </w:rPr>
        <w:t>specifici quesiti</w:t>
      </w:r>
      <w:r>
        <w:rPr>
          <w:bCs/>
          <w:sz w:val="22"/>
          <w:szCs w:val="22"/>
        </w:rPr>
        <w:t>(</w:t>
      </w:r>
      <w:r w:rsidR="00CA0D8E" w:rsidRPr="007F7EBF">
        <w:rPr>
          <w:rStyle w:val="Rimandonotaapidipagina"/>
          <w:bCs/>
          <w:sz w:val="22"/>
          <w:szCs w:val="22"/>
        </w:rPr>
        <w:footnoteReference w:id="542"/>
      </w:r>
      <w:r>
        <w:rPr>
          <w:bCs/>
          <w:sz w:val="22"/>
          <w:szCs w:val="22"/>
        </w:rPr>
        <w:t>)</w:t>
      </w:r>
      <w:r w:rsidR="00CA0D8E" w:rsidRPr="007F7EBF">
        <w:rPr>
          <w:bCs/>
          <w:sz w:val="22"/>
          <w:szCs w:val="22"/>
        </w:rPr>
        <w:t xml:space="preserve">, denominate </w:t>
      </w:r>
      <w:r w:rsidR="00CA0D8E" w:rsidRPr="007F7EBF">
        <w:rPr>
          <w:sz w:val="22"/>
          <w:szCs w:val="22"/>
        </w:rPr>
        <w:t>”</w:t>
      </w:r>
      <w:r w:rsidR="00CA0D8E" w:rsidRPr="007F7EBF">
        <w:rPr>
          <w:bCs/>
          <w:sz w:val="22"/>
          <w:szCs w:val="22"/>
        </w:rPr>
        <w:t>risoluzioni</w:t>
      </w:r>
      <w:r w:rsidR="00CA0D8E" w:rsidRPr="007F7EBF">
        <w:rPr>
          <w:sz w:val="22"/>
          <w:szCs w:val="22"/>
        </w:rPr>
        <w:t>”</w:t>
      </w:r>
      <w:r>
        <w:rPr>
          <w:sz w:val="22"/>
          <w:szCs w:val="22"/>
        </w:rPr>
        <w:t xml:space="preserve"> o “interpelli”, fino alle istruzioni alle </w:t>
      </w:r>
      <w:r w:rsidR="006342C5" w:rsidRPr="007F7EBF">
        <w:rPr>
          <w:bCs/>
          <w:sz w:val="22"/>
          <w:szCs w:val="22"/>
        </w:rPr>
        <w:t xml:space="preserve">dichiarazione </w:t>
      </w:r>
      <w:r w:rsidR="006342C5" w:rsidRPr="007F7EBF">
        <w:rPr>
          <w:sz w:val="22"/>
          <w:szCs w:val="22"/>
        </w:rPr>
        <w:t xml:space="preserve">dei redditi (par. 3.4), </w:t>
      </w:r>
      <w:r>
        <w:rPr>
          <w:sz w:val="22"/>
          <w:szCs w:val="22"/>
        </w:rPr>
        <w:t>ai</w:t>
      </w:r>
      <w:r w:rsidR="006342C5" w:rsidRPr="007F7EBF">
        <w:rPr>
          <w:sz w:val="22"/>
          <w:szCs w:val="22"/>
        </w:rPr>
        <w:t xml:space="preserve"> </w:t>
      </w:r>
      <w:r w:rsidR="006342C5" w:rsidRPr="007F7EBF">
        <w:rPr>
          <w:bCs/>
          <w:sz w:val="22"/>
          <w:szCs w:val="22"/>
        </w:rPr>
        <w:t>comunicati stampa</w:t>
      </w:r>
      <w:r w:rsidR="00DC667A">
        <w:rPr>
          <w:bCs/>
          <w:sz w:val="22"/>
          <w:szCs w:val="22"/>
        </w:rPr>
        <w:t>,</w:t>
      </w:r>
      <w:r w:rsidR="006342C5" w:rsidRPr="007F7EBF">
        <w:rPr>
          <w:sz w:val="22"/>
          <w:szCs w:val="22"/>
        </w:rPr>
        <w:t xml:space="preserve"> </w:t>
      </w:r>
      <w:r>
        <w:rPr>
          <w:sz w:val="22"/>
          <w:szCs w:val="22"/>
        </w:rPr>
        <w:t>alle</w:t>
      </w:r>
      <w:r w:rsidR="00BF3C30" w:rsidRPr="007F7EBF">
        <w:rPr>
          <w:sz w:val="22"/>
          <w:szCs w:val="22"/>
        </w:rPr>
        <w:t xml:space="preserve"> </w:t>
      </w:r>
      <w:r w:rsidR="006342C5" w:rsidRPr="007F7EBF">
        <w:rPr>
          <w:sz w:val="22"/>
          <w:szCs w:val="22"/>
        </w:rPr>
        <w:t>risposte a</w:t>
      </w:r>
      <w:r w:rsidR="00457CDF" w:rsidRPr="007F7EBF">
        <w:rPr>
          <w:sz w:val="22"/>
          <w:szCs w:val="22"/>
        </w:rPr>
        <w:t xml:space="preserve"> interrogazioni parlamentari</w:t>
      </w:r>
      <w:r w:rsidR="00DC667A">
        <w:rPr>
          <w:sz w:val="22"/>
          <w:szCs w:val="22"/>
        </w:rPr>
        <w:t xml:space="preserve">, fino alle FAQ </w:t>
      </w:r>
      <w:r w:rsidR="002E362B">
        <w:rPr>
          <w:sz w:val="22"/>
          <w:szCs w:val="22"/>
        </w:rPr>
        <w:t>(</w:t>
      </w:r>
      <w:proofErr w:type="spellStart"/>
      <w:r w:rsidR="002E362B" w:rsidRPr="002E362B">
        <w:rPr>
          <w:i/>
          <w:iCs/>
          <w:sz w:val="22"/>
          <w:szCs w:val="22"/>
        </w:rPr>
        <w:t>frequently</w:t>
      </w:r>
      <w:proofErr w:type="spellEnd"/>
      <w:r w:rsidR="002E362B" w:rsidRPr="002E362B">
        <w:rPr>
          <w:i/>
          <w:iCs/>
          <w:sz w:val="22"/>
          <w:szCs w:val="22"/>
        </w:rPr>
        <w:t xml:space="preserve"> </w:t>
      </w:r>
      <w:proofErr w:type="spellStart"/>
      <w:r w:rsidR="002E362B" w:rsidRPr="002E362B">
        <w:rPr>
          <w:i/>
          <w:iCs/>
          <w:sz w:val="22"/>
          <w:szCs w:val="22"/>
        </w:rPr>
        <w:t>asked</w:t>
      </w:r>
      <w:proofErr w:type="spellEnd"/>
      <w:r w:rsidR="002E362B" w:rsidRPr="002E362B">
        <w:rPr>
          <w:i/>
          <w:iCs/>
          <w:sz w:val="22"/>
          <w:szCs w:val="22"/>
        </w:rPr>
        <w:t xml:space="preserve"> </w:t>
      </w:r>
      <w:proofErr w:type="spellStart"/>
      <w:r w:rsidR="002E362B" w:rsidRPr="002E362B">
        <w:rPr>
          <w:i/>
          <w:iCs/>
          <w:sz w:val="22"/>
          <w:szCs w:val="22"/>
        </w:rPr>
        <w:t>questions</w:t>
      </w:r>
      <w:proofErr w:type="spellEnd"/>
      <w:r w:rsidR="002E362B">
        <w:rPr>
          <w:sz w:val="22"/>
          <w:szCs w:val="22"/>
        </w:rPr>
        <w:t xml:space="preserve">) </w:t>
      </w:r>
      <w:r w:rsidR="00DC667A">
        <w:rPr>
          <w:sz w:val="22"/>
          <w:szCs w:val="22"/>
        </w:rPr>
        <w:t>pubblicate su internet</w:t>
      </w:r>
      <w:r w:rsidR="00457CDF" w:rsidRPr="007F7EBF">
        <w:rPr>
          <w:sz w:val="22"/>
          <w:szCs w:val="22"/>
        </w:rPr>
        <w:t xml:space="preserve">. </w:t>
      </w:r>
      <w:r w:rsidR="001B5110" w:rsidRPr="007F7EBF">
        <w:rPr>
          <w:sz w:val="22"/>
          <w:szCs w:val="22"/>
        </w:rPr>
        <w:t>L'i</w:t>
      </w:r>
      <w:r>
        <w:rPr>
          <w:sz w:val="22"/>
          <w:szCs w:val="22"/>
        </w:rPr>
        <w:t>mportante è la provenienza dagli uffici abilitati all’in</w:t>
      </w:r>
      <w:r w:rsidR="001B5110" w:rsidRPr="007F7EBF">
        <w:rPr>
          <w:sz w:val="22"/>
          <w:szCs w:val="22"/>
        </w:rPr>
        <w:t>terpretazione</w:t>
      </w:r>
      <w:r>
        <w:rPr>
          <w:sz w:val="22"/>
          <w:szCs w:val="22"/>
        </w:rPr>
        <w:t xml:space="preserve"> e la sua </w:t>
      </w:r>
      <w:r w:rsidR="001B5110" w:rsidRPr="007F7EBF">
        <w:rPr>
          <w:sz w:val="22"/>
          <w:szCs w:val="22"/>
        </w:rPr>
        <w:t xml:space="preserve">valenza </w:t>
      </w:r>
      <w:r>
        <w:rPr>
          <w:sz w:val="22"/>
          <w:szCs w:val="22"/>
        </w:rPr>
        <w:t xml:space="preserve">di principio, </w:t>
      </w:r>
      <w:r w:rsidR="001B5110" w:rsidRPr="007F7EBF">
        <w:rPr>
          <w:sz w:val="22"/>
          <w:szCs w:val="22"/>
        </w:rPr>
        <w:t xml:space="preserve"> anche quando il quesito è stato posto da un singolo contribuente, come nelle istanze di interpello interpretativo</w:t>
      </w:r>
      <w:r>
        <w:rPr>
          <w:sz w:val="22"/>
          <w:szCs w:val="22"/>
        </w:rPr>
        <w:t xml:space="preserve"> (</w:t>
      </w:r>
      <w:r w:rsidR="001B5110" w:rsidRPr="007F7EBF">
        <w:rPr>
          <w:rStyle w:val="Rimandonotaapidipagina"/>
          <w:sz w:val="22"/>
          <w:szCs w:val="22"/>
        </w:rPr>
        <w:footnoteReference w:id="543"/>
      </w:r>
      <w:r>
        <w:rPr>
          <w:sz w:val="22"/>
          <w:szCs w:val="22"/>
        </w:rPr>
        <w:t>)</w:t>
      </w:r>
      <w:r w:rsidR="001B5110" w:rsidRPr="007F7EBF">
        <w:rPr>
          <w:sz w:val="22"/>
          <w:szCs w:val="22"/>
        </w:rPr>
        <w:t xml:space="preserve">. </w:t>
      </w:r>
      <w:r w:rsidR="00435049" w:rsidRPr="007F7EBF">
        <w:rPr>
          <w:sz w:val="22"/>
          <w:szCs w:val="22"/>
        </w:rPr>
        <w:t xml:space="preserve"> </w:t>
      </w:r>
      <w:r>
        <w:rPr>
          <w:sz w:val="22"/>
          <w:szCs w:val="22"/>
        </w:rPr>
        <w:t>Questa idoneità a creare affidamento non esiste invece per il “precedente amministrativo”, cioè l’interpretazione seguita nel concreto accertamento, o nella concreta definizione amministrativa (par.6.4) su un singolo contribuente</w:t>
      </w:r>
      <w:r w:rsidR="002E362B">
        <w:rPr>
          <w:sz w:val="22"/>
          <w:szCs w:val="22"/>
        </w:rPr>
        <w:t xml:space="preserve">; questa </w:t>
      </w:r>
      <w:r w:rsidR="002E362B" w:rsidRPr="007F7EBF">
        <w:t>diversità di comportamento può essere</w:t>
      </w:r>
      <w:r w:rsidR="002E362B">
        <w:t xml:space="preserve"> solo</w:t>
      </w:r>
      <w:r w:rsidR="002E362B" w:rsidRPr="007F7EBF">
        <w:t xml:space="preserve"> un </w:t>
      </w:r>
      <w:r w:rsidR="002E362B">
        <w:t>indizio, ancora limitato,</w:t>
      </w:r>
      <w:r w:rsidR="002E362B" w:rsidRPr="007F7EBF">
        <w:t xml:space="preserve"> di un "abuso di potere" o di "negligenza amministrativa"</w:t>
      </w:r>
      <w:r w:rsidR="002E362B">
        <w:rPr>
          <w:sz w:val="22"/>
          <w:szCs w:val="22"/>
        </w:rPr>
        <w:t xml:space="preserve"> </w:t>
      </w:r>
      <w:r>
        <w:rPr>
          <w:sz w:val="22"/>
          <w:szCs w:val="22"/>
        </w:rPr>
        <w:t>(</w:t>
      </w:r>
      <w:r w:rsidR="00457CDF" w:rsidRPr="007F7EBF">
        <w:rPr>
          <w:rStyle w:val="Rimandonotaapidipagina"/>
          <w:sz w:val="22"/>
          <w:szCs w:val="22"/>
        </w:rPr>
        <w:footnoteReference w:id="544"/>
      </w:r>
      <w:r>
        <w:rPr>
          <w:sz w:val="22"/>
          <w:szCs w:val="22"/>
        </w:rPr>
        <w:t>)</w:t>
      </w:r>
      <w:r w:rsidR="00457CDF" w:rsidRPr="007F7EBF">
        <w:rPr>
          <w:sz w:val="22"/>
          <w:szCs w:val="22"/>
        </w:rPr>
        <w:t xml:space="preserve">. </w:t>
      </w:r>
    </w:p>
    <w:p w14:paraId="4964DB22" w14:textId="7666E69A" w:rsidR="00556EF8" w:rsidRPr="007F7EBF" w:rsidRDefault="00556EF8" w:rsidP="00556EF8">
      <w:pPr>
        <w:pStyle w:val="tit23"/>
        <w:ind w:left="6464" w:right="-1361" w:firstLine="0"/>
        <w:jc w:val="left"/>
        <w:rPr>
          <w:bCs/>
          <w:i/>
          <w:iCs/>
          <w:color w:val="0000FF"/>
          <w:lang w:val="it-IT"/>
        </w:rPr>
      </w:pPr>
      <w:r w:rsidRPr="007F7EBF">
        <w:rPr>
          <w:bCs/>
          <w:i/>
          <w:iCs/>
          <w:color w:val="0000FF"/>
          <w:lang w:val="it-IT"/>
        </w:rPr>
        <w:t>L’affidamento del contribuente</w:t>
      </w:r>
    </w:p>
    <w:p w14:paraId="267EA1EC" w14:textId="27B1EB90" w:rsidR="0035388C" w:rsidRPr="007F7EBF" w:rsidRDefault="006679CC" w:rsidP="0035388C">
      <w:pPr>
        <w:autoSpaceDE w:val="0"/>
        <w:autoSpaceDN w:val="0"/>
        <w:adjustRightInd w:val="0"/>
        <w:rPr>
          <w:sz w:val="22"/>
          <w:szCs w:val="22"/>
        </w:rPr>
      </w:pPr>
      <w:r w:rsidRPr="007F7EBF">
        <w:rPr>
          <w:sz w:val="22"/>
          <w:szCs w:val="22"/>
        </w:rPr>
        <w:lastRenderedPageBreak/>
        <w:t xml:space="preserve">Le interpretazioni amministrative </w:t>
      </w:r>
      <w:r w:rsidR="003C0485">
        <w:rPr>
          <w:sz w:val="22"/>
          <w:szCs w:val="22"/>
        </w:rPr>
        <w:t>non pregiudicano i</w:t>
      </w:r>
      <w:r w:rsidRPr="007F7EBF">
        <w:rPr>
          <w:sz w:val="22"/>
          <w:szCs w:val="22"/>
        </w:rPr>
        <w:t>l contribuente</w:t>
      </w:r>
      <w:r w:rsidR="003C0485">
        <w:rPr>
          <w:sz w:val="22"/>
          <w:szCs w:val="22"/>
        </w:rPr>
        <w:t xml:space="preserve">, </w:t>
      </w:r>
      <w:r w:rsidR="009D0B63" w:rsidRPr="007F7EBF">
        <w:rPr>
          <w:sz w:val="22"/>
          <w:szCs w:val="22"/>
        </w:rPr>
        <w:t>pot</w:t>
      </w:r>
      <w:r w:rsidRPr="007F7EBF">
        <w:rPr>
          <w:sz w:val="22"/>
          <w:szCs w:val="22"/>
        </w:rPr>
        <w:t>endo essere comunque disattese</w:t>
      </w:r>
      <w:r w:rsidR="009D0B63" w:rsidRPr="007F7EBF">
        <w:rPr>
          <w:sz w:val="22"/>
          <w:szCs w:val="22"/>
        </w:rPr>
        <w:t xml:space="preserve"> a suo favore d</w:t>
      </w:r>
      <w:r w:rsidRPr="007F7EBF">
        <w:rPr>
          <w:sz w:val="22"/>
          <w:szCs w:val="22"/>
        </w:rPr>
        <w:t>al giudice</w:t>
      </w:r>
      <w:r w:rsidR="003C0485" w:rsidRPr="007F7EBF">
        <w:rPr>
          <w:sz w:val="22"/>
          <w:szCs w:val="22"/>
        </w:rPr>
        <w:t>, senza particolari formalità, annullando l’atto amministrativo individuale che vi si è conformato</w:t>
      </w:r>
      <w:r w:rsidR="003C0485">
        <w:rPr>
          <w:sz w:val="22"/>
          <w:szCs w:val="22"/>
        </w:rPr>
        <w:t xml:space="preserve">; </w:t>
      </w:r>
      <w:r w:rsidR="0035388C">
        <w:t>d</w:t>
      </w:r>
      <w:r w:rsidR="0035388C" w:rsidRPr="007F7EBF">
        <w:t>avanti all’interpretazione amministrativa che non condivide, e comporta un maggior tributo, il contribuente dovrà decidere se disattenderla, e rischiare un rilievo fiscale</w:t>
      </w:r>
      <w:r w:rsidR="0035388C">
        <w:t xml:space="preserve"> futuro (con sanzioni)</w:t>
      </w:r>
      <w:r w:rsidR="0035388C" w:rsidRPr="007F7EBF">
        <w:t>, oppure seguirla, salvo poi intentare azione di rimborso.</w:t>
      </w:r>
      <w:r w:rsidR="0035388C">
        <w:t xml:space="preserve"> </w:t>
      </w:r>
      <w:r w:rsidR="0035388C">
        <w:rPr>
          <w:sz w:val="22"/>
          <w:szCs w:val="22"/>
        </w:rPr>
        <w:t>U</w:t>
      </w:r>
      <w:r w:rsidR="003C0485" w:rsidRPr="007F7EBF">
        <w:rPr>
          <w:sz w:val="22"/>
          <w:szCs w:val="22"/>
        </w:rPr>
        <w:t xml:space="preserve">n'impugnazione delle interpretazioni amministrative sarebbe inammissibile in quanto prematura, </w:t>
      </w:r>
      <w:r w:rsidR="003C0485">
        <w:rPr>
          <w:sz w:val="22"/>
          <w:szCs w:val="22"/>
        </w:rPr>
        <w:t xml:space="preserve">salvi i casi in cui se ne dimostri un’autonoma lesività, come in alcuni casi in cui si riflette immediatamente in rapporti tra contribuenti di </w:t>
      </w:r>
      <w:r w:rsidR="00426422">
        <w:rPr>
          <w:sz w:val="22"/>
          <w:szCs w:val="22"/>
        </w:rPr>
        <w:t xml:space="preserve">“mero </w:t>
      </w:r>
      <w:r w:rsidR="003C0485">
        <w:rPr>
          <w:sz w:val="22"/>
          <w:szCs w:val="22"/>
        </w:rPr>
        <w:t>diritto</w:t>
      </w:r>
      <w:r w:rsidR="00426422">
        <w:rPr>
          <w:sz w:val="22"/>
          <w:szCs w:val="22"/>
        </w:rPr>
        <w:t>”</w:t>
      </w:r>
      <w:r w:rsidR="003C0485">
        <w:rPr>
          <w:sz w:val="22"/>
          <w:szCs w:val="22"/>
        </w:rPr>
        <w:t xml:space="preserve">, </w:t>
      </w:r>
      <w:r w:rsidR="00426422">
        <w:rPr>
          <w:sz w:val="22"/>
          <w:szCs w:val="22"/>
        </w:rPr>
        <w:t xml:space="preserve">che poi si rivalgono su </w:t>
      </w:r>
      <w:r w:rsidR="003C0485" w:rsidRPr="007F7EBF">
        <w:rPr>
          <w:sz w:val="22"/>
          <w:szCs w:val="22"/>
        </w:rPr>
        <w:t>terzi</w:t>
      </w:r>
      <w:r w:rsidR="00426422">
        <w:rPr>
          <w:sz w:val="22"/>
          <w:szCs w:val="22"/>
        </w:rPr>
        <w:t>, come indicato al par.3.5</w:t>
      </w:r>
      <w:r w:rsidR="0035388C">
        <w:rPr>
          <w:sz w:val="22"/>
          <w:szCs w:val="22"/>
        </w:rPr>
        <w:t>(</w:t>
      </w:r>
      <w:r w:rsidR="003C0485" w:rsidRPr="007F7EBF">
        <w:rPr>
          <w:rStyle w:val="Rimandonotaapidipagina"/>
          <w:sz w:val="22"/>
          <w:szCs w:val="22"/>
        </w:rPr>
        <w:footnoteReference w:id="545"/>
      </w:r>
      <w:r w:rsidR="0035388C">
        <w:rPr>
          <w:sz w:val="22"/>
          <w:szCs w:val="22"/>
        </w:rPr>
        <w:t>)</w:t>
      </w:r>
      <w:r w:rsidR="003C0485" w:rsidRPr="007F7EBF">
        <w:rPr>
          <w:sz w:val="22"/>
          <w:szCs w:val="22"/>
        </w:rPr>
        <w:t xml:space="preserve">.  </w:t>
      </w:r>
      <w:r w:rsidR="00A16E34">
        <w:rPr>
          <w:sz w:val="22"/>
          <w:szCs w:val="22"/>
        </w:rPr>
        <w:t xml:space="preserve">Le interpretazioni in esame invece </w:t>
      </w:r>
      <w:r w:rsidR="003C0485">
        <w:rPr>
          <w:sz w:val="22"/>
          <w:szCs w:val="22"/>
        </w:rPr>
        <w:t xml:space="preserve">giovano </w:t>
      </w:r>
      <w:r w:rsidR="00A16E34">
        <w:rPr>
          <w:sz w:val="22"/>
          <w:szCs w:val="22"/>
        </w:rPr>
        <w:t xml:space="preserve">al </w:t>
      </w:r>
      <w:r w:rsidR="003C0485" w:rsidRPr="007F7EBF">
        <w:rPr>
          <w:sz w:val="22"/>
          <w:szCs w:val="22"/>
        </w:rPr>
        <w:t>in base alla tutela della buona fede generata dall'autorità amministrativa</w:t>
      </w:r>
      <w:r w:rsidR="003C0485">
        <w:rPr>
          <w:sz w:val="22"/>
          <w:szCs w:val="22"/>
        </w:rPr>
        <w:t xml:space="preserve">; </w:t>
      </w:r>
      <w:r w:rsidR="003C0485">
        <w:rPr>
          <w:bCs/>
          <w:sz w:val="22"/>
          <w:szCs w:val="22"/>
        </w:rPr>
        <w:t>l’a</w:t>
      </w:r>
      <w:r w:rsidR="003C0485" w:rsidRPr="007F7EBF">
        <w:rPr>
          <w:bCs/>
          <w:sz w:val="22"/>
          <w:szCs w:val="22"/>
        </w:rPr>
        <w:t>ffidamento</w:t>
      </w:r>
      <w:r w:rsidR="003C0485">
        <w:rPr>
          <w:bCs/>
          <w:sz w:val="22"/>
          <w:szCs w:val="22"/>
        </w:rPr>
        <w:t xml:space="preserve"> verso i pubblici poteri è un classico principio generale del </w:t>
      </w:r>
      <w:r w:rsidR="00426422">
        <w:rPr>
          <w:bCs/>
          <w:sz w:val="22"/>
          <w:szCs w:val="22"/>
        </w:rPr>
        <w:t xml:space="preserve">diritto, anche Europeo, nonché </w:t>
      </w:r>
      <w:r w:rsidR="00464540" w:rsidRPr="007F7EBF">
        <w:rPr>
          <w:sz w:val="22"/>
          <w:szCs w:val="22"/>
        </w:rPr>
        <w:t>dei comuni principi di ragionevolezza</w:t>
      </w:r>
      <w:r w:rsidR="00426422">
        <w:rPr>
          <w:sz w:val="22"/>
          <w:szCs w:val="22"/>
        </w:rPr>
        <w:t xml:space="preserve">; è un riflesso dello stato di diritto, dove le autorità amministrative non possono creare ulteriori vincoli rispetto a quelli previsti per legge, ma possono </w:t>
      </w:r>
      <w:r w:rsidRPr="007F7EBF">
        <w:rPr>
          <w:sz w:val="22"/>
          <w:szCs w:val="22"/>
        </w:rPr>
        <w:t>impegnare sé</w:t>
      </w:r>
      <w:r w:rsidR="00464540" w:rsidRPr="007F7EBF">
        <w:rPr>
          <w:sz w:val="22"/>
          <w:szCs w:val="22"/>
        </w:rPr>
        <w:t xml:space="preserve"> stesse</w:t>
      </w:r>
      <w:r w:rsidR="00426422">
        <w:rPr>
          <w:sz w:val="22"/>
          <w:szCs w:val="22"/>
        </w:rPr>
        <w:t xml:space="preserve">, creando affidamento nei terzi. </w:t>
      </w:r>
      <w:r w:rsidR="00426422" w:rsidRPr="007F7EBF">
        <w:rPr>
          <w:sz w:val="22"/>
          <w:szCs w:val="22"/>
        </w:rPr>
        <w:t xml:space="preserve">Ne discende che, nei casi di modifica “peggiorativa” dell’interpretazione, i contribuenti, in base alla tutela dell’affidamento e della buona fede, saranno comunque </w:t>
      </w:r>
      <w:r w:rsidR="00426422" w:rsidRPr="007F7EBF">
        <w:rPr>
          <w:bCs/>
          <w:sz w:val="22"/>
          <w:szCs w:val="22"/>
        </w:rPr>
        <w:t>immuni da sanzioni</w:t>
      </w:r>
      <w:r w:rsidR="00426422" w:rsidRPr="007F7EBF">
        <w:rPr>
          <w:sz w:val="22"/>
          <w:szCs w:val="22"/>
        </w:rPr>
        <w:t>, per le mancate applicazioni del tributo, conseguenti all’osservanza delle indicazioni interpretative successivamente modificate (</w:t>
      </w:r>
      <w:r w:rsidR="00426422" w:rsidRPr="007F7EBF">
        <w:rPr>
          <w:rStyle w:val="Rimandonotaapidipagina"/>
          <w:sz w:val="22"/>
          <w:szCs w:val="22"/>
        </w:rPr>
        <w:footnoteReference w:id="546"/>
      </w:r>
      <w:r w:rsidR="00426422" w:rsidRPr="007F7EBF">
        <w:rPr>
          <w:sz w:val="22"/>
          <w:szCs w:val="22"/>
        </w:rPr>
        <w:t>).</w:t>
      </w:r>
      <w:r w:rsidR="00556EF8" w:rsidRPr="007F7EBF">
        <w:rPr>
          <w:bCs/>
          <w:i/>
          <w:iCs/>
          <w:color w:val="0000FF"/>
        </w:rPr>
        <w:t xml:space="preserve"> </w:t>
      </w:r>
    </w:p>
    <w:p w14:paraId="6316B060" w14:textId="6D23996C" w:rsidR="0035388C" w:rsidRPr="007F7EBF" w:rsidRDefault="0035388C" w:rsidP="0035388C">
      <w:pPr>
        <w:pStyle w:val="tit23"/>
        <w:ind w:left="6464" w:right="-1361" w:firstLine="0"/>
        <w:jc w:val="left"/>
        <w:rPr>
          <w:bCs/>
          <w:i/>
          <w:iCs/>
          <w:color w:val="0000FF"/>
          <w:lang w:val="it-IT"/>
        </w:rPr>
      </w:pPr>
      <w:r>
        <w:rPr>
          <w:bCs/>
          <w:i/>
          <w:iCs/>
          <w:color w:val="0000FF"/>
          <w:lang w:val="it-IT"/>
        </w:rPr>
        <w:t>Il fastidio giurisdizionale</w:t>
      </w:r>
    </w:p>
    <w:p w14:paraId="2204FC50" w14:textId="1B456EB6" w:rsidR="00556EF8" w:rsidRPr="007F7EBF" w:rsidRDefault="001B6206" w:rsidP="00426422">
      <w:pPr>
        <w:autoSpaceDE w:val="0"/>
        <w:autoSpaceDN w:val="0"/>
        <w:adjustRightInd w:val="0"/>
        <w:rPr>
          <w:bCs/>
          <w:i/>
          <w:iCs/>
          <w:color w:val="0000FF"/>
        </w:rPr>
      </w:pPr>
      <w:r w:rsidRPr="007F7EBF">
        <w:rPr>
          <w:sz w:val="22"/>
          <w:szCs w:val="22"/>
        </w:rPr>
        <w:t xml:space="preserve">Sono quindi del tutto </w:t>
      </w:r>
      <w:r w:rsidRPr="007F7EBF">
        <w:rPr>
          <w:bCs/>
          <w:sz w:val="22"/>
          <w:szCs w:val="22"/>
        </w:rPr>
        <w:t>estemporanee</w:t>
      </w:r>
      <w:r w:rsidRPr="007F7EBF">
        <w:rPr>
          <w:sz w:val="22"/>
          <w:szCs w:val="22"/>
        </w:rPr>
        <w:t xml:space="preserve">, rispetto al quadro descritto sopra, alcune </w:t>
      </w:r>
      <w:r w:rsidRPr="007F7EBF">
        <w:rPr>
          <w:bCs/>
          <w:sz w:val="22"/>
          <w:szCs w:val="22"/>
        </w:rPr>
        <w:t>svalutazioni</w:t>
      </w:r>
      <w:r w:rsidR="00315DB0">
        <w:rPr>
          <w:sz w:val="22"/>
          <w:szCs w:val="22"/>
        </w:rPr>
        <w:t xml:space="preserve"> </w:t>
      </w:r>
      <w:r w:rsidR="00E37818" w:rsidRPr="007F7EBF">
        <w:rPr>
          <w:bCs/>
          <w:sz w:val="22"/>
          <w:szCs w:val="22"/>
        </w:rPr>
        <w:t>g</w:t>
      </w:r>
      <w:r w:rsidRPr="007F7EBF">
        <w:rPr>
          <w:bCs/>
          <w:sz w:val="22"/>
          <w:szCs w:val="22"/>
        </w:rPr>
        <w:t>iurisprudenziali</w:t>
      </w:r>
      <w:r w:rsidR="00560A7F">
        <w:rPr>
          <w:sz w:val="22"/>
          <w:szCs w:val="22"/>
        </w:rPr>
        <w:t xml:space="preserve"> </w:t>
      </w:r>
      <w:r w:rsidR="00B05E3E" w:rsidRPr="007F7EBF">
        <w:rPr>
          <w:sz w:val="22"/>
          <w:szCs w:val="22"/>
        </w:rPr>
        <w:t>dell'interpretazione amministrativa</w:t>
      </w:r>
      <w:r w:rsidR="00426422">
        <w:rPr>
          <w:sz w:val="22"/>
          <w:szCs w:val="22"/>
        </w:rPr>
        <w:t xml:space="preserve">, </w:t>
      </w:r>
      <w:r w:rsidR="00426422">
        <w:rPr>
          <w:sz w:val="22"/>
          <w:szCs w:val="22"/>
        </w:rPr>
        <w:lastRenderedPageBreak/>
        <w:t xml:space="preserve">che riflettono la </w:t>
      </w:r>
      <w:r w:rsidRPr="007F7EBF">
        <w:rPr>
          <w:sz w:val="22"/>
          <w:szCs w:val="22"/>
        </w:rPr>
        <w:t xml:space="preserve">consueta </w:t>
      </w:r>
      <w:r w:rsidR="00D66BBA" w:rsidRPr="007F7EBF">
        <w:rPr>
          <w:sz w:val="22"/>
          <w:szCs w:val="22"/>
        </w:rPr>
        <w:t>sopravvalutazione della funzione giurisdizionale</w:t>
      </w:r>
      <w:r w:rsidR="00426422">
        <w:rPr>
          <w:sz w:val="22"/>
          <w:szCs w:val="22"/>
        </w:rPr>
        <w:t xml:space="preserve">, di cui al par.1.3; </w:t>
      </w:r>
      <w:r w:rsidR="00560A7F">
        <w:rPr>
          <w:sz w:val="22"/>
          <w:szCs w:val="22"/>
        </w:rPr>
        <w:t xml:space="preserve">dietro quest’atteggiamento c’è </w:t>
      </w:r>
      <w:r w:rsidR="00426422">
        <w:rPr>
          <w:sz w:val="22"/>
          <w:szCs w:val="22"/>
        </w:rPr>
        <w:t xml:space="preserve">l’impossibilità dei </w:t>
      </w:r>
      <w:r w:rsidR="003E2D05" w:rsidRPr="007F7EBF">
        <w:rPr>
          <w:sz w:val="22"/>
          <w:szCs w:val="22"/>
        </w:rPr>
        <w:t xml:space="preserve">privati </w:t>
      </w:r>
      <w:r w:rsidR="00426422">
        <w:rPr>
          <w:sz w:val="22"/>
          <w:szCs w:val="22"/>
        </w:rPr>
        <w:t xml:space="preserve">di </w:t>
      </w:r>
      <w:r w:rsidR="003E2D05" w:rsidRPr="007F7EBF">
        <w:rPr>
          <w:sz w:val="22"/>
          <w:szCs w:val="22"/>
        </w:rPr>
        <w:t>crea</w:t>
      </w:r>
      <w:r w:rsidR="00426422">
        <w:rPr>
          <w:sz w:val="22"/>
          <w:szCs w:val="22"/>
        </w:rPr>
        <w:t xml:space="preserve">re </w:t>
      </w:r>
      <w:r w:rsidR="003E2D05" w:rsidRPr="007F7EBF">
        <w:rPr>
          <w:sz w:val="22"/>
          <w:szCs w:val="22"/>
        </w:rPr>
        <w:t>affidamento verso altri priv</w:t>
      </w:r>
      <w:r w:rsidR="006679CC" w:rsidRPr="007F7EBF">
        <w:rPr>
          <w:sz w:val="22"/>
          <w:szCs w:val="22"/>
        </w:rPr>
        <w:t>ati</w:t>
      </w:r>
      <w:r w:rsidR="00560A7F">
        <w:rPr>
          <w:sz w:val="22"/>
          <w:szCs w:val="22"/>
        </w:rPr>
        <w:t xml:space="preserve">, vincolando il giudice con determinate </w:t>
      </w:r>
      <w:r w:rsidR="00D66BBA" w:rsidRPr="007F7EBF">
        <w:rPr>
          <w:sz w:val="22"/>
          <w:szCs w:val="22"/>
        </w:rPr>
        <w:t>int</w:t>
      </w:r>
      <w:r w:rsidR="006679CC" w:rsidRPr="007F7EBF">
        <w:rPr>
          <w:sz w:val="22"/>
          <w:szCs w:val="22"/>
        </w:rPr>
        <w:t xml:space="preserve">erpretazioni </w:t>
      </w:r>
      <w:r w:rsidR="00560A7F">
        <w:rPr>
          <w:sz w:val="22"/>
          <w:szCs w:val="22"/>
        </w:rPr>
        <w:t>normative (</w:t>
      </w:r>
      <w:r w:rsidR="00560A7F">
        <w:rPr>
          <w:rStyle w:val="Rimandonotaapidipagina"/>
          <w:sz w:val="22"/>
          <w:szCs w:val="22"/>
        </w:rPr>
        <w:footnoteReference w:id="547"/>
      </w:r>
      <w:r w:rsidR="00560A7F">
        <w:rPr>
          <w:sz w:val="22"/>
          <w:szCs w:val="22"/>
        </w:rPr>
        <w:t xml:space="preserve">). </w:t>
      </w:r>
      <w:r w:rsidR="006679CC" w:rsidRPr="007F7EBF">
        <w:rPr>
          <w:sz w:val="22"/>
          <w:szCs w:val="22"/>
        </w:rPr>
        <w:t xml:space="preserve"> </w:t>
      </w:r>
      <w:r w:rsidR="00560A7F">
        <w:rPr>
          <w:sz w:val="22"/>
          <w:szCs w:val="22"/>
        </w:rPr>
        <w:t>E’ però facile rendersi conto che qui l’affidamento non viene creato da un privato, ma da</w:t>
      </w:r>
      <w:r w:rsidR="00D02A56">
        <w:rPr>
          <w:sz w:val="22"/>
          <w:szCs w:val="22"/>
        </w:rPr>
        <w:t>ll</w:t>
      </w:r>
      <w:r w:rsidR="00560A7F">
        <w:rPr>
          <w:sz w:val="22"/>
          <w:szCs w:val="22"/>
        </w:rPr>
        <w:t xml:space="preserve">’autorità amministrativa investita della funzione </w:t>
      </w:r>
      <w:r w:rsidR="00D66BBA" w:rsidRPr="007F7EBF">
        <w:rPr>
          <w:sz w:val="22"/>
          <w:szCs w:val="22"/>
        </w:rPr>
        <w:t xml:space="preserve"> </w:t>
      </w:r>
      <w:r w:rsidR="003E2D05" w:rsidRPr="007F7EBF">
        <w:rPr>
          <w:sz w:val="22"/>
          <w:szCs w:val="22"/>
        </w:rPr>
        <w:t>tributaria</w:t>
      </w:r>
      <w:r w:rsidR="002F3288">
        <w:rPr>
          <w:sz w:val="22"/>
          <w:szCs w:val="22"/>
        </w:rPr>
        <w:t>(</w:t>
      </w:r>
      <w:r w:rsidR="00556EF8" w:rsidRPr="007F7EBF">
        <w:rPr>
          <w:rStyle w:val="Rimandonotaapidipagina"/>
          <w:sz w:val="22"/>
          <w:szCs w:val="22"/>
        </w:rPr>
        <w:footnoteReference w:id="548"/>
      </w:r>
      <w:r w:rsidR="002F3288">
        <w:rPr>
          <w:sz w:val="22"/>
          <w:szCs w:val="22"/>
        </w:rPr>
        <w:t>)</w:t>
      </w:r>
      <w:r w:rsidR="003E2D05" w:rsidRPr="007F7EBF">
        <w:rPr>
          <w:sz w:val="22"/>
          <w:szCs w:val="22"/>
        </w:rPr>
        <w:t xml:space="preserve">. </w:t>
      </w:r>
    </w:p>
    <w:p w14:paraId="6A7DA95B" w14:textId="5F7B111B" w:rsidR="00556EF8" w:rsidRPr="007F7EBF" w:rsidRDefault="004E5C25" w:rsidP="00556EF8">
      <w:pPr>
        <w:pStyle w:val="tit23"/>
        <w:ind w:left="6464" w:right="-1361" w:firstLine="0"/>
        <w:jc w:val="left"/>
        <w:rPr>
          <w:bCs/>
          <w:i/>
          <w:iCs/>
          <w:color w:val="0000FF"/>
          <w:lang w:val="it-IT"/>
        </w:rPr>
      </w:pPr>
      <w:r>
        <w:rPr>
          <w:bCs/>
          <w:i/>
          <w:iCs/>
          <w:color w:val="0000FF"/>
          <w:lang w:val="it-IT"/>
        </w:rPr>
        <w:t>Contestualizzazione dell’interpretazione amministrativa</w:t>
      </w:r>
      <w:r w:rsidR="006B0B67" w:rsidRPr="007F7EBF">
        <w:rPr>
          <w:bCs/>
          <w:i/>
          <w:iCs/>
          <w:color w:val="0000FF"/>
          <w:lang w:val="it-IT"/>
        </w:rPr>
        <w:t xml:space="preserve"> </w:t>
      </w:r>
    </w:p>
    <w:p w14:paraId="5906EBCC" w14:textId="444276F7" w:rsidR="00393C96" w:rsidRPr="007F7EBF" w:rsidRDefault="005D01E0" w:rsidP="004E5C25">
      <w:pPr>
        <w:autoSpaceDE w:val="0"/>
        <w:autoSpaceDN w:val="0"/>
        <w:adjustRightInd w:val="0"/>
        <w:rPr>
          <w:sz w:val="22"/>
          <w:szCs w:val="22"/>
        </w:rPr>
      </w:pPr>
      <w:r>
        <w:rPr>
          <w:sz w:val="22"/>
          <w:szCs w:val="22"/>
        </w:rPr>
        <w:t xml:space="preserve">Il problema resta quello della riferibilità dell’interpretazione al </w:t>
      </w:r>
      <w:r w:rsidR="00DB57A2">
        <w:rPr>
          <w:bCs/>
          <w:sz w:val="22"/>
          <w:szCs w:val="22"/>
        </w:rPr>
        <w:t xml:space="preserve">caso che </w:t>
      </w:r>
      <w:r>
        <w:rPr>
          <w:bCs/>
          <w:sz w:val="22"/>
          <w:szCs w:val="22"/>
        </w:rPr>
        <w:t>ufficio e contribuente stanno</w:t>
      </w:r>
      <w:r w:rsidR="00DB57A2">
        <w:rPr>
          <w:bCs/>
          <w:sz w:val="22"/>
          <w:szCs w:val="22"/>
        </w:rPr>
        <w:t xml:space="preserve"> esaminando</w:t>
      </w:r>
      <w:r>
        <w:rPr>
          <w:bCs/>
          <w:sz w:val="22"/>
          <w:szCs w:val="22"/>
        </w:rPr>
        <w:t>, in relazione al quale si effettua una sorta di “interpretazione dell’interpretazione”</w:t>
      </w:r>
      <w:r w:rsidR="00426422">
        <w:rPr>
          <w:sz w:val="22"/>
          <w:szCs w:val="22"/>
        </w:rPr>
        <w:t xml:space="preserve"> </w:t>
      </w:r>
      <w:r w:rsidR="00426422" w:rsidRPr="007F7EBF">
        <w:rPr>
          <w:sz w:val="22"/>
          <w:szCs w:val="22"/>
        </w:rPr>
        <w:t>(</w:t>
      </w:r>
      <w:r w:rsidR="00426422" w:rsidRPr="007F7EBF">
        <w:rPr>
          <w:rStyle w:val="Rimandonotaapidipagina"/>
          <w:sz w:val="22"/>
          <w:szCs w:val="22"/>
        </w:rPr>
        <w:footnoteReference w:id="549"/>
      </w:r>
      <w:r w:rsidR="00426422" w:rsidRPr="007F7EBF">
        <w:rPr>
          <w:sz w:val="22"/>
          <w:szCs w:val="22"/>
        </w:rPr>
        <w:t>).</w:t>
      </w:r>
      <w:r>
        <w:rPr>
          <w:sz w:val="22"/>
          <w:szCs w:val="22"/>
        </w:rPr>
        <w:t xml:space="preserve"> Sono dubbi abbastanza </w:t>
      </w:r>
      <w:r w:rsidR="004E5C25">
        <w:rPr>
          <w:sz w:val="22"/>
          <w:szCs w:val="22"/>
        </w:rPr>
        <w:t>frequent</w:t>
      </w:r>
      <w:r>
        <w:rPr>
          <w:sz w:val="22"/>
          <w:szCs w:val="22"/>
        </w:rPr>
        <w:t xml:space="preserve">i vista la cautela con cui sono redatte le </w:t>
      </w:r>
      <w:r w:rsidR="004E5C25">
        <w:rPr>
          <w:sz w:val="22"/>
          <w:szCs w:val="22"/>
        </w:rPr>
        <w:t>interpretazioni</w:t>
      </w:r>
      <w:r>
        <w:rPr>
          <w:sz w:val="22"/>
          <w:szCs w:val="22"/>
        </w:rPr>
        <w:t xml:space="preserve"> </w:t>
      </w:r>
      <w:r w:rsidR="004E5C25" w:rsidRPr="007F7EBF">
        <w:rPr>
          <w:sz w:val="22"/>
          <w:szCs w:val="22"/>
        </w:rPr>
        <w:t>(</w:t>
      </w:r>
      <w:r w:rsidR="004E5C25" w:rsidRPr="007F7EBF">
        <w:rPr>
          <w:rStyle w:val="Rimandonotaapidipagina"/>
          <w:sz w:val="22"/>
          <w:szCs w:val="22"/>
        </w:rPr>
        <w:footnoteReference w:id="550"/>
      </w:r>
      <w:r w:rsidR="004E5C25" w:rsidRPr="007F7EBF">
        <w:rPr>
          <w:sz w:val="22"/>
          <w:szCs w:val="22"/>
        </w:rPr>
        <w:t>).</w:t>
      </w:r>
      <w:r w:rsidR="004E5C25">
        <w:rPr>
          <w:sz w:val="22"/>
          <w:szCs w:val="22"/>
        </w:rPr>
        <w:t xml:space="preserve"> </w:t>
      </w:r>
      <w:r>
        <w:rPr>
          <w:sz w:val="22"/>
          <w:szCs w:val="22"/>
        </w:rPr>
        <w:t xml:space="preserve">Esse sono però d’altra parte </w:t>
      </w:r>
      <w:r w:rsidR="004E5C25">
        <w:rPr>
          <w:sz w:val="22"/>
          <w:szCs w:val="22"/>
        </w:rPr>
        <w:t xml:space="preserve">importanti, sia per </w:t>
      </w:r>
      <w:r>
        <w:rPr>
          <w:sz w:val="22"/>
          <w:szCs w:val="22"/>
        </w:rPr>
        <w:t xml:space="preserve">la suddetta </w:t>
      </w:r>
      <w:r w:rsidR="004E5C25">
        <w:rPr>
          <w:sz w:val="22"/>
          <w:szCs w:val="22"/>
        </w:rPr>
        <w:t xml:space="preserve">immagine pubblica </w:t>
      </w:r>
      <w:r>
        <w:rPr>
          <w:sz w:val="22"/>
          <w:szCs w:val="22"/>
        </w:rPr>
        <w:t>(par.5.3) di</w:t>
      </w:r>
      <w:r w:rsidR="004E5C25">
        <w:rPr>
          <w:sz w:val="22"/>
          <w:szCs w:val="22"/>
        </w:rPr>
        <w:t xml:space="preserve"> “amministrazione di servizio”, sia per </w:t>
      </w:r>
      <w:r>
        <w:rPr>
          <w:sz w:val="22"/>
          <w:szCs w:val="22"/>
        </w:rPr>
        <w:t>il desiderio di punti fermi anche da parte deg</w:t>
      </w:r>
      <w:r w:rsidR="004E5C25">
        <w:rPr>
          <w:sz w:val="22"/>
          <w:szCs w:val="22"/>
        </w:rPr>
        <w:t xml:space="preserve">li uffici periferici. </w:t>
      </w:r>
      <w:r>
        <w:rPr>
          <w:sz w:val="22"/>
          <w:szCs w:val="22"/>
        </w:rPr>
        <w:t xml:space="preserve">Ne deriva quindi </w:t>
      </w:r>
      <w:r w:rsidR="00564F2F">
        <w:rPr>
          <w:sz w:val="22"/>
          <w:szCs w:val="22"/>
        </w:rPr>
        <w:t>la tendenza a</w:t>
      </w:r>
      <w:r>
        <w:rPr>
          <w:sz w:val="22"/>
          <w:szCs w:val="22"/>
        </w:rPr>
        <w:t xml:space="preserve"> </w:t>
      </w:r>
      <w:r w:rsidR="00564F2F">
        <w:rPr>
          <w:sz w:val="22"/>
          <w:szCs w:val="22"/>
        </w:rPr>
        <w:t xml:space="preserve">circolari interpretative molto tempestive ed ampie, </w:t>
      </w:r>
      <w:r>
        <w:rPr>
          <w:sz w:val="22"/>
          <w:szCs w:val="22"/>
        </w:rPr>
        <w:t xml:space="preserve">sfuggenti sui </w:t>
      </w:r>
      <w:r w:rsidR="00564F2F">
        <w:rPr>
          <w:sz w:val="22"/>
          <w:szCs w:val="22"/>
        </w:rPr>
        <w:t xml:space="preserve">punti </w:t>
      </w:r>
      <w:r>
        <w:rPr>
          <w:sz w:val="22"/>
          <w:szCs w:val="22"/>
        </w:rPr>
        <w:t>potenzialmente controversi</w:t>
      </w:r>
      <w:r w:rsidR="00564F2F">
        <w:rPr>
          <w:sz w:val="22"/>
          <w:szCs w:val="22"/>
        </w:rPr>
        <w:t xml:space="preserve">, </w:t>
      </w:r>
      <w:r>
        <w:rPr>
          <w:sz w:val="22"/>
          <w:szCs w:val="22"/>
        </w:rPr>
        <w:t xml:space="preserve">da affinare nella prassi con successive risoluzioni e interpelli. Il risultato, sul piano della certezza del diritto, è comunque molto migliore rispetto </w:t>
      </w:r>
      <w:r w:rsidR="00772D87">
        <w:rPr>
          <w:sz w:val="22"/>
          <w:szCs w:val="22"/>
        </w:rPr>
        <w:t>all’</w:t>
      </w:r>
      <w:r>
        <w:rPr>
          <w:sz w:val="22"/>
          <w:szCs w:val="22"/>
        </w:rPr>
        <w:t xml:space="preserve">“interpretazione giurisprudenziale” </w:t>
      </w:r>
      <w:r w:rsidR="00772D87">
        <w:rPr>
          <w:sz w:val="22"/>
          <w:szCs w:val="22"/>
        </w:rPr>
        <w:t>di</w:t>
      </w:r>
      <w:r>
        <w:rPr>
          <w:sz w:val="22"/>
          <w:szCs w:val="22"/>
        </w:rPr>
        <w:t xml:space="preserve"> una funzione amministrativa. </w:t>
      </w:r>
    </w:p>
    <w:p w14:paraId="7990DDC1" w14:textId="77777777" w:rsidR="00BB6265" w:rsidRPr="007F7EBF" w:rsidRDefault="00BB6265" w:rsidP="006B0B67">
      <w:pPr>
        <w:autoSpaceDE w:val="0"/>
        <w:autoSpaceDN w:val="0"/>
        <w:adjustRightInd w:val="0"/>
        <w:rPr>
          <w:sz w:val="22"/>
          <w:szCs w:val="22"/>
        </w:rPr>
      </w:pPr>
    </w:p>
    <w:p w14:paraId="45981D7D" w14:textId="77777777" w:rsidR="00115C39" w:rsidRPr="007F7EBF" w:rsidRDefault="00B06894" w:rsidP="00130E94">
      <w:pPr>
        <w:pStyle w:val="Titolo3"/>
        <w:rPr>
          <w:rFonts w:ascii="Times New Roman" w:hAnsi="Times New Roman"/>
          <w:sz w:val="22"/>
          <w:szCs w:val="22"/>
        </w:rPr>
      </w:pPr>
      <w:bookmarkStart w:id="61" w:name="_Toc63364977"/>
      <w:r w:rsidRPr="007F7EBF">
        <w:rPr>
          <w:rFonts w:ascii="Times New Roman" w:hAnsi="Times New Roman"/>
          <w:sz w:val="22"/>
          <w:szCs w:val="22"/>
        </w:rPr>
        <w:t>5.5. A</w:t>
      </w:r>
      <w:r w:rsidR="006342C5" w:rsidRPr="007F7EBF">
        <w:rPr>
          <w:rFonts w:ascii="Times New Roman" w:hAnsi="Times New Roman"/>
          <w:sz w:val="22"/>
          <w:szCs w:val="22"/>
        </w:rPr>
        <w:t>c</w:t>
      </w:r>
      <w:r w:rsidR="0033456F" w:rsidRPr="007F7EBF">
        <w:rPr>
          <w:rFonts w:ascii="Times New Roman" w:hAnsi="Times New Roman"/>
          <w:sz w:val="22"/>
          <w:szCs w:val="22"/>
        </w:rPr>
        <w:t xml:space="preserve">quisizione </w:t>
      </w:r>
      <w:r w:rsidRPr="007F7EBF">
        <w:rPr>
          <w:rFonts w:ascii="Times New Roman" w:hAnsi="Times New Roman"/>
          <w:sz w:val="22"/>
          <w:szCs w:val="22"/>
        </w:rPr>
        <w:t>e</w:t>
      </w:r>
      <w:r w:rsidR="0033456F" w:rsidRPr="007F7EBF">
        <w:rPr>
          <w:rFonts w:ascii="Times New Roman" w:hAnsi="Times New Roman"/>
          <w:sz w:val="22"/>
          <w:szCs w:val="22"/>
        </w:rPr>
        <w:t xml:space="preserve"> </w:t>
      </w:r>
      <w:r w:rsidR="006342C5" w:rsidRPr="007F7EBF">
        <w:rPr>
          <w:rFonts w:ascii="Times New Roman" w:hAnsi="Times New Roman"/>
          <w:sz w:val="22"/>
          <w:szCs w:val="22"/>
        </w:rPr>
        <w:t xml:space="preserve">controllo </w:t>
      </w:r>
      <w:r w:rsidRPr="007F7EBF">
        <w:rPr>
          <w:rFonts w:ascii="Times New Roman" w:hAnsi="Times New Roman"/>
          <w:sz w:val="22"/>
          <w:szCs w:val="22"/>
        </w:rPr>
        <w:t>formale delle dichiarazioni e dei versamenti (incroci informatici e campionatura oneri deducibili)</w:t>
      </w:r>
      <w:bookmarkEnd w:id="61"/>
      <w:r w:rsidR="00637F3F" w:rsidRPr="007F7EBF">
        <w:rPr>
          <w:rFonts w:ascii="Times New Roman" w:hAnsi="Times New Roman"/>
          <w:sz w:val="22"/>
          <w:szCs w:val="22"/>
        </w:rPr>
        <w:t xml:space="preserve"> </w:t>
      </w:r>
    </w:p>
    <w:p w14:paraId="77B01F4C" w14:textId="77777777" w:rsidR="00506C88" w:rsidRPr="007F7EBF" w:rsidRDefault="00506C88" w:rsidP="00506C88">
      <w:pPr>
        <w:pStyle w:val="Testorientro"/>
        <w:ind w:firstLine="0"/>
        <w:rPr>
          <w:rFonts w:ascii="Times New Roman" w:hAnsi="Times New Roman" w:cs="Times New Roman"/>
        </w:rPr>
      </w:pPr>
    </w:p>
    <w:p w14:paraId="2913B6F7" w14:textId="77777777" w:rsidR="001C36ED" w:rsidRDefault="001C36ED" w:rsidP="001C36ED">
      <w:pPr>
        <w:pStyle w:val="tit23"/>
        <w:ind w:left="6464" w:right="-1361" w:firstLine="0"/>
        <w:jc w:val="left"/>
        <w:rPr>
          <w:bCs/>
          <w:i/>
          <w:iCs/>
          <w:color w:val="0000FF"/>
          <w:lang w:val="it-IT"/>
        </w:rPr>
      </w:pPr>
      <w:r>
        <w:rPr>
          <w:bCs/>
          <w:i/>
          <w:iCs/>
          <w:color w:val="0000FF"/>
          <w:lang w:val="it-IT"/>
        </w:rPr>
        <w:lastRenderedPageBreak/>
        <w:t xml:space="preserve">Acquisizione delle dichiarazioni e controlli formali </w:t>
      </w:r>
    </w:p>
    <w:p w14:paraId="77FA5240" w14:textId="60837563" w:rsidR="00465ED2" w:rsidRDefault="001B32C0" w:rsidP="00257F3F">
      <w:pPr>
        <w:autoSpaceDE w:val="0"/>
        <w:autoSpaceDN w:val="0"/>
        <w:adjustRightInd w:val="0"/>
        <w:rPr>
          <w:bCs/>
          <w:i/>
          <w:iCs/>
          <w:color w:val="0000FF"/>
        </w:rPr>
      </w:pPr>
      <w:r>
        <w:rPr>
          <w:sz w:val="22"/>
          <w:szCs w:val="22"/>
        </w:rPr>
        <w:t>G</w:t>
      </w:r>
      <w:r w:rsidR="001C36ED">
        <w:rPr>
          <w:sz w:val="22"/>
          <w:szCs w:val="22"/>
        </w:rPr>
        <w:t>li uffici tributari acquisiscono</w:t>
      </w:r>
      <w:r>
        <w:rPr>
          <w:sz w:val="22"/>
          <w:szCs w:val="22"/>
        </w:rPr>
        <w:t xml:space="preserve"> in via informatica, nelle proprie banche dati, </w:t>
      </w:r>
      <w:r w:rsidR="001C36ED">
        <w:rPr>
          <w:sz w:val="22"/>
          <w:szCs w:val="22"/>
        </w:rPr>
        <w:t xml:space="preserve">le comunicazioni e le dichiarazioni </w:t>
      </w:r>
      <w:r>
        <w:rPr>
          <w:sz w:val="22"/>
          <w:szCs w:val="22"/>
        </w:rPr>
        <w:t>dei contribuenti,</w:t>
      </w:r>
      <w:r w:rsidR="001C36ED">
        <w:rPr>
          <w:sz w:val="22"/>
          <w:szCs w:val="22"/>
        </w:rPr>
        <w:t xml:space="preserve"> descritte al par. 3.4. </w:t>
      </w:r>
      <w:r w:rsidR="00D41E22">
        <w:rPr>
          <w:sz w:val="22"/>
          <w:szCs w:val="22"/>
        </w:rPr>
        <w:t xml:space="preserve">I dati dichiarati contribuiscono alle </w:t>
      </w:r>
      <w:r w:rsidR="00D41E22" w:rsidRPr="007F7EBF">
        <w:rPr>
          <w:sz w:val="22"/>
          <w:szCs w:val="22"/>
        </w:rPr>
        <w:t xml:space="preserve">banche dati </w:t>
      </w:r>
      <w:r w:rsidR="00D41E22">
        <w:rPr>
          <w:sz w:val="22"/>
          <w:szCs w:val="22"/>
        </w:rPr>
        <w:t xml:space="preserve">del fisco </w:t>
      </w:r>
      <w:r w:rsidR="00D41E22" w:rsidRPr="007F7EBF">
        <w:rPr>
          <w:rStyle w:val="Rimandonotaapidipagina"/>
          <w:sz w:val="22"/>
          <w:szCs w:val="22"/>
        </w:rPr>
        <w:footnoteReference w:id="551"/>
      </w:r>
      <w:r w:rsidR="00D41E22">
        <w:rPr>
          <w:sz w:val="22"/>
          <w:szCs w:val="22"/>
        </w:rPr>
        <w:t xml:space="preserve">, di cui </w:t>
      </w:r>
      <w:r w:rsidR="00D41E22" w:rsidRPr="007F7EBF">
        <w:rPr>
          <w:sz w:val="22"/>
          <w:szCs w:val="22"/>
        </w:rPr>
        <w:t>riparleremo al par.5.7</w:t>
      </w:r>
      <w:r w:rsidR="00D41E22">
        <w:rPr>
          <w:sz w:val="22"/>
          <w:szCs w:val="22"/>
        </w:rPr>
        <w:t xml:space="preserve"> e 5.9</w:t>
      </w:r>
      <w:r w:rsidR="00D869CC">
        <w:rPr>
          <w:sz w:val="22"/>
          <w:szCs w:val="22"/>
        </w:rPr>
        <w:t xml:space="preserve">. </w:t>
      </w:r>
      <w:r w:rsidR="00D41E22">
        <w:rPr>
          <w:sz w:val="22"/>
          <w:szCs w:val="22"/>
        </w:rPr>
        <w:t xml:space="preserve"> </w:t>
      </w:r>
      <w:r w:rsidR="00D869CC">
        <w:rPr>
          <w:sz w:val="22"/>
          <w:szCs w:val="22"/>
        </w:rPr>
        <w:t xml:space="preserve">In base a tali dati possono svolgersi </w:t>
      </w:r>
      <w:r w:rsidR="001C36ED">
        <w:t xml:space="preserve">alcuni </w:t>
      </w:r>
      <w:r w:rsidR="001C36ED">
        <w:rPr>
          <w:bCs/>
        </w:rPr>
        <w:t xml:space="preserve">controlli formali, </w:t>
      </w:r>
      <w:r>
        <w:rPr>
          <w:bCs/>
        </w:rPr>
        <w:t xml:space="preserve">anch’essi </w:t>
      </w:r>
      <w:r w:rsidR="001C36ED">
        <w:t xml:space="preserve">ormai </w:t>
      </w:r>
      <w:r>
        <w:t>in buona parte</w:t>
      </w:r>
      <w:r w:rsidR="001C36ED">
        <w:t xml:space="preserve"> informatizzati, che incrociano alcuni dati esposti nella dichiarazione con quelli trasmessi da altri soggetti, come </w:t>
      </w:r>
      <w:r>
        <w:t xml:space="preserve">i sostituti d’imposta e </w:t>
      </w:r>
      <w:r w:rsidR="001C36ED">
        <w:t xml:space="preserve">banche per i </w:t>
      </w:r>
      <w:r>
        <w:t xml:space="preserve">relativi </w:t>
      </w:r>
      <w:r w:rsidR="001C36ED">
        <w:t xml:space="preserve">versamenti </w:t>
      </w:r>
      <w:r>
        <w:rPr>
          <w:bCs/>
        </w:rPr>
        <w:t>(</w:t>
      </w:r>
      <w:r>
        <w:rPr>
          <w:rStyle w:val="Rimandonotaapidipagina"/>
          <w:bCs/>
        </w:rPr>
        <w:footnoteReference w:id="552"/>
      </w:r>
      <w:r>
        <w:rPr>
          <w:bCs/>
        </w:rPr>
        <w:t xml:space="preserve">). </w:t>
      </w:r>
      <w:r w:rsidR="001C36ED">
        <w:t xml:space="preserve">E' quindi un </w:t>
      </w:r>
      <w:r w:rsidR="001C36ED">
        <w:rPr>
          <w:bCs/>
        </w:rPr>
        <w:t xml:space="preserve">riscontro </w:t>
      </w:r>
      <w:r w:rsidR="001C36ED">
        <w:t xml:space="preserve">di </w:t>
      </w:r>
      <w:r w:rsidR="001C36ED">
        <w:rPr>
          <w:bCs/>
        </w:rPr>
        <w:t>regolarità esteriore</w:t>
      </w:r>
      <w:r>
        <w:rPr>
          <w:bCs/>
        </w:rPr>
        <w:t>,</w:t>
      </w:r>
      <w:r w:rsidR="001C36ED">
        <w:rPr>
          <w:bCs/>
        </w:rPr>
        <w:t xml:space="preserve"> </w:t>
      </w:r>
      <w:r w:rsidR="001C36ED">
        <w:t xml:space="preserve"> effettuato </w:t>
      </w:r>
      <w:r>
        <w:t>a tappeto e denominato  “liquidazione” delle dichiarazioni (art. 36-bis decreto 600-1973)</w:t>
      </w:r>
      <w:r w:rsidR="001C36ED">
        <w:rPr>
          <w:bCs/>
        </w:rPr>
        <w:t xml:space="preserve">. </w:t>
      </w:r>
      <w:r w:rsidR="001C36ED">
        <w:t>I problemi di questo controllo formale erano molto maggiori quando esisteva il rischio di errori numerici nelle dichiarazioni cartacee; il passaggio alla dichiarazione telematica</w:t>
      </w:r>
      <w:r>
        <w:t xml:space="preserve">, col </w:t>
      </w:r>
      <w:r w:rsidR="001C36ED">
        <w:t>coinvolgimento de</w:t>
      </w:r>
      <w:r>
        <w:t xml:space="preserve">i </w:t>
      </w:r>
      <w:r w:rsidR="001C36ED">
        <w:t xml:space="preserve">centri di assistenza fiscale e </w:t>
      </w:r>
      <w:r>
        <w:t>de</w:t>
      </w:r>
      <w:r w:rsidR="001C36ED">
        <w:t>i professionisti</w:t>
      </w:r>
      <w:r>
        <w:t>, evita questo tipo di errori e consente una gestione “seriale” delle liquidazioni</w:t>
      </w:r>
      <w:r w:rsidR="006A68DD">
        <w:t xml:space="preserve">; in essa rientrano anche </w:t>
      </w:r>
      <w:r w:rsidR="006A68DD">
        <w:rPr>
          <w:sz w:val="22"/>
          <w:szCs w:val="22"/>
        </w:rPr>
        <w:t>i rimborsi dei crediti d’imposta con un ordinativo di rimborso senza le caratteristiche di un atto impositivo formale (</w:t>
      </w:r>
      <w:r w:rsidR="006A68DD">
        <w:rPr>
          <w:rStyle w:val="Rimandonotaapidipagina"/>
          <w:sz w:val="22"/>
          <w:szCs w:val="22"/>
        </w:rPr>
        <w:footnoteReference w:id="553"/>
      </w:r>
      <w:r w:rsidR="006A68DD">
        <w:rPr>
          <w:sz w:val="22"/>
          <w:szCs w:val="22"/>
        </w:rPr>
        <w:t xml:space="preserve">). </w:t>
      </w:r>
    </w:p>
    <w:p w14:paraId="41773BA7" w14:textId="39BCFE4B" w:rsidR="00006795" w:rsidRPr="007F7EBF" w:rsidRDefault="00257F3F" w:rsidP="00006795">
      <w:pPr>
        <w:pStyle w:val="tit23"/>
        <w:ind w:left="6464" w:right="-1361" w:firstLine="0"/>
        <w:jc w:val="left"/>
        <w:rPr>
          <w:bCs/>
          <w:i/>
          <w:iCs/>
          <w:color w:val="0000FF"/>
          <w:lang w:val="it-IT"/>
        </w:rPr>
      </w:pPr>
      <w:r>
        <w:rPr>
          <w:bCs/>
          <w:i/>
          <w:iCs/>
          <w:color w:val="0000FF"/>
          <w:lang w:val="it-IT"/>
        </w:rPr>
        <w:t>Sopravvalutazione</w:t>
      </w:r>
      <w:r w:rsidR="00E61F4B">
        <w:rPr>
          <w:bCs/>
          <w:i/>
          <w:iCs/>
          <w:color w:val="0000FF"/>
          <w:lang w:val="it-IT"/>
        </w:rPr>
        <w:t xml:space="preserve"> </w:t>
      </w:r>
      <w:r w:rsidR="00465ED2">
        <w:rPr>
          <w:bCs/>
          <w:i/>
          <w:iCs/>
          <w:color w:val="0000FF"/>
          <w:lang w:val="it-IT"/>
        </w:rPr>
        <w:t xml:space="preserve"> dei </w:t>
      </w:r>
      <w:r w:rsidR="00465ED2">
        <w:rPr>
          <w:bCs/>
          <w:i/>
          <w:iCs/>
          <w:color w:val="0000FF"/>
          <w:lang w:val="it-IT"/>
        </w:rPr>
        <w:lastRenderedPageBreak/>
        <w:t>controlli formali</w:t>
      </w:r>
    </w:p>
    <w:p w14:paraId="097FDDB4" w14:textId="793B0D0D" w:rsidR="00E762EC" w:rsidRPr="007F7EBF" w:rsidRDefault="00E762EC" w:rsidP="00E762EC">
      <w:pPr>
        <w:pStyle w:val="tit23"/>
        <w:ind w:left="6464" w:right="-1361" w:firstLine="0"/>
        <w:jc w:val="left"/>
        <w:rPr>
          <w:bCs/>
          <w:i/>
          <w:iCs/>
          <w:color w:val="0000FF"/>
          <w:lang w:val="it-IT"/>
        </w:rPr>
      </w:pPr>
      <w:r w:rsidRPr="007F7EBF">
        <w:rPr>
          <w:bCs/>
          <w:i/>
          <w:iCs/>
          <w:color w:val="0000FF"/>
          <w:lang w:val="it-IT"/>
        </w:rPr>
        <w:t xml:space="preserve"> </w:t>
      </w:r>
    </w:p>
    <w:p w14:paraId="000221BF" w14:textId="6C782448" w:rsidR="006A68DD" w:rsidRDefault="00691764" w:rsidP="006A68DD">
      <w:pPr>
        <w:autoSpaceDE w:val="0"/>
        <w:autoSpaceDN w:val="0"/>
        <w:adjustRightInd w:val="0"/>
        <w:rPr>
          <w:sz w:val="22"/>
          <w:szCs w:val="22"/>
        </w:rPr>
      </w:pPr>
      <w:r>
        <w:rPr>
          <w:sz w:val="22"/>
          <w:szCs w:val="22"/>
        </w:rPr>
        <w:t xml:space="preserve">In questa fase emerge una caratteristica generale dei pubblici uffici, molto intensa nel nostro caso per via della confusione scientifico sociale esistente in materia tributaria. Mi riferisco alla tendenza a concentrarsi sulla regolarità formale di quanto si conosce anziché trovare quanto non si conosce. Il controllo formale suddetto è abbastanza facile, ed </w:t>
      </w:r>
      <w:r w:rsidR="004F5FDE">
        <w:rPr>
          <w:sz w:val="22"/>
          <w:szCs w:val="22"/>
        </w:rPr>
        <w:t xml:space="preserve">è importante soprattutto per richiedere imposte dichiarate e non versate; </w:t>
      </w:r>
      <w:r>
        <w:rPr>
          <w:sz w:val="22"/>
          <w:szCs w:val="22"/>
        </w:rPr>
        <w:t>una volta informatizzato</w:t>
      </w:r>
      <w:r w:rsidR="004F5FDE">
        <w:rPr>
          <w:sz w:val="22"/>
          <w:szCs w:val="22"/>
        </w:rPr>
        <w:t xml:space="preserve"> è un intervento facile da generalizzare</w:t>
      </w:r>
      <w:r>
        <w:rPr>
          <w:sz w:val="22"/>
          <w:szCs w:val="22"/>
        </w:rPr>
        <w:t>. Tuttavia è facile rendersi conto che esso si svolge interamente nell’ambito dei dati dichiarati e che quindi</w:t>
      </w:r>
      <w:r w:rsidR="00746581">
        <w:rPr>
          <w:sz w:val="22"/>
          <w:szCs w:val="22"/>
        </w:rPr>
        <w:t xml:space="preserve"> </w:t>
      </w:r>
      <w:r w:rsidR="002A3FE6" w:rsidRPr="007F7EBF">
        <w:rPr>
          <w:sz w:val="22"/>
          <w:szCs w:val="22"/>
        </w:rPr>
        <w:t xml:space="preserve">non è una priorità </w:t>
      </w:r>
      <w:r w:rsidR="00746581">
        <w:rPr>
          <w:sz w:val="22"/>
          <w:szCs w:val="22"/>
        </w:rPr>
        <w:t>rispetto al</w:t>
      </w:r>
      <w:r w:rsidR="00C952EA" w:rsidRPr="007F7EBF">
        <w:rPr>
          <w:sz w:val="22"/>
          <w:szCs w:val="22"/>
        </w:rPr>
        <w:t xml:space="preserve">l'individuazione e </w:t>
      </w:r>
      <w:r w:rsidR="00746581">
        <w:rPr>
          <w:sz w:val="22"/>
          <w:szCs w:val="22"/>
        </w:rPr>
        <w:t xml:space="preserve">valutazione degli imponibili che sfuggono alla </w:t>
      </w:r>
      <w:r>
        <w:rPr>
          <w:sz w:val="22"/>
          <w:szCs w:val="22"/>
        </w:rPr>
        <w:t xml:space="preserve">tassazione documentale attraverso le aziende; </w:t>
      </w:r>
      <w:r w:rsidR="00342324">
        <w:rPr>
          <w:sz w:val="22"/>
          <w:szCs w:val="22"/>
        </w:rPr>
        <w:t>al</w:t>
      </w:r>
      <w:r w:rsidR="00746581">
        <w:rPr>
          <w:sz w:val="22"/>
          <w:szCs w:val="22"/>
        </w:rPr>
        <w:t xml:space="preserve">la perequazione </w:t>
      </w:r>
      <w:r>
        <w:rPr>
          <w:sz w:val="22"/>
          <w:szCs w:val="22"/>
        </w:rPr>
        <w:t>tributaria di cui si preoccupa l’opinione pubblica (</w:t>
      </w:r>
      <w:r>
        <w:rPr>
          <w:rStyle w:val="Rimandonotaapidipagina"/>
          <w:sz w:val="22"/>
          <w:szCs w:val="22"/>
        </w:rPr>
        <w:footnoteReference w:id="554"/>
      </w:r>
      <w:r>
        <w:rPr>
          <w:sz w:val="22"/>
          <w:szCs w:val="22"/>
        </w:rPr>
        <w:t>)</w:t>
      </w:r>
      <w:r w:rsidR="00746581">
        <w:rPr>
          <w:sz w:val="22"/>
          <w:szCs w:val="22"/>
        </w:rPr>
        <w:t xml:space="preserve"> </w:t>
      </w:r>
      <w:r>
        <w:rPr>
          <w:sz w:val="22"/>
          <w:szCs w:val="22"/>
        </w:rPr>
        <w:t xml:space="preserve">servirebbe più una stima diffusa degli </w:t>
      </w:r>
      <w:r w:rsidR="00342324">
        <w:rPr>
          <w:sz w:val="22"/>
          <w:szCs w:val="22"/>
        </w:rPr>
        <w:t>imponibili da</w:t>
      </w:r>
      <w:r w:rsidR="00746581">
        <w:rPr>
          <w:sz w:val="22"/>
          <w:szCs w:val="22"/>
        </w:rPr>
        <w:t xml:space="preserve"> </w:t>
      </w:r>
      <w:r>
        <w:rPr>
          <w:sz w:val="22"/>
          <w:szCs w:val="22"/>
        </w:rPr>
        <w:t>valutare</w:t>
      </w:r>
      <w:r w:rsidR="00746581">
        <w:rPr>
          <w:sz w:val="22"/>
          <w:szCs w:val="22"/>
        </w:rPr>
        <w:t xml:space="preserve"> per ordine di grandezza</w:t>
      </w:r>
      <w:r>
        <w:rPr>
          <w:sz w:val="22"/>
          <w:szCs w:val="22"/>
        </w:rPr>
        <w:t>, anziché i suddetti massivi incroci contabili</w:t>
      </w:r>
      <w:r w:rsidR="00746581">
        <w:rPr>
          <w:sz w:val="22"/>
          <w:szCs w:val="22"/>
        </w:rPr>
        <w:t>. A</w:t>
      </w:r>
      <w:r w:rsidR="00342324">
        <w:rPr>
          <w:sz w:val="22"/>
          <w:szCs w:val="22"/>
        </w:rPr>
        <w:t>nch’ess</w:t>
      </w:r>
      <w:r w:rsidR="00B80AC1">
        <w:rPr>
          <w:sz w:val="22"/>
          <w:szCs w:val="22"/>
        </w:rPr>
        <w:t>i</w:t>
      </w:r>
      <w:r w:rsidR="00342324">
        <w:rPr>
          <w:sz w:val="22"/>
          <w:szCs w:val="22"/>
        </w:rPr>
        <w:t xml:space="preserve"> ricorda</w:t>
      </w:r>
      <w:r w:rsidR="00B80AC1">
        <w:rPr>
          <w:sz w:val="22"/>
          <w:szCs w:val="22"/>
        </w:rPr>
        <w:t>no</w:t>
      </w:r>
      <w:r w:rsidR="00342324">
        <w:rPr>
          <w:sz w:val="22"/>
          <w:szCs w:val="22"/>
        </w:rPr>
        <w:t xml:space="preserve"> l’esportazione della ragioneria, di cui al par.4.5, e</w:t>
      </w:r>
      <w:r w:rsidR="00B80AC1">
        <w:rPr>
          <w:sz w:val="22"/>
          <w:szCs w:val="22"/>
        </w:rPr>
        <w:t xml:space="preserve"> trasformano gli uffici da </w:t>
      </w:r>
      <w:r w:rsidR="00342324">
        <w:rPr>
          <w:sz w:val="22"/>
          <w:szCs w:val="22"/>
        </w:rPr>
        <w:t>luogo di valutazione de</w:t>
      </w:r>
      <w:r w:rsidR="00637144">
        <w:rPr>
          <w:sz w:val="22"/>
          <w:szCs w:val="22"/>
        </w:rPr>
        <w:t>i presupposti d’imposta</w:t>
      </w:r>
      <w:r w:rsidR="00342324">
        <w:rPr>
          <w:sz w:val="22"/>
          <w:szCs w:val="22"/>
        </w:rPr>
        <w:t>, a “luogo di interpretazione di documenti”, come nella tradizione d</w:t>
      </w:r>
      <w:r w:rsidR="00746581">
        <w:rPr>
          <w:sz w:val="22"/>
          <w:szCs w:val="22"/>
        </w:rPr>
        <w:t>ell’imposta di registro</w:t>
      </w:r>
      <w:r w:rsidR="00342324">
        <w:rPr>
          <w:sz w:val="22"/>
          <w:szCs w:val="22"/>
        </w:rPr>
        <w:t xml:space="preserve"> (par.10.2)</w:t>
      </w:r>
      <w:r w:rsidR="00C952EA" w:rsidRPr="007F7EBF">
        <w:rPr>
          <w:sz w:val="22"/>
          <w:szCs w:val="22"/>
        </w:rPr>
        <w:t>.</w:t>
      </w:r>
      <w:r w:rsidR="00621A55">
        <w:rPr>
          <w:sz w:val="22"/>
          <w:szCs w:val="22"/>
        </w:rPr>
        <w:t xml:space="preserve"> Nessuna spiegazione sociale della funzione tributaria</w:t>
      </w:r>
      <w:r w:rsidR="00D95B58">
        <w:rPr>
          <w:sz w:val="22"/>
          <w:szCs w:val="22"/>
        </w:rPr>
        <w:t xml:space="preserve"> </w:t>
      </w:r>
      <w:r w:rsidR="00621A55">
        <w:rPr>
          <w:sz w:val="22"/>
          <w:szCs w:val="22"/>
        </w:rPr>
        <w:t>ostacola</w:t>
      </w:r>
      <w:r w:rsidR="00D95B58">
        <w:rPr>
          <w:sz w:val="22"/>
          <w:szCs w:val="22"/>
        </w:rPr>
        <w:t xml:space="preserve">, in termini di priorità, l’istintiva tendenza, </w:t>
      </w:r>
      <w:r w:rsidR="00B80AC1">
        <w:rPr>
          <w:sz w:val="22"/>
          <w:szCs w:val="22"/>
        </w:rPr>
        <w:t xml:space="preserve"> amministrativamente </w:t>
      </w:r>
      <w:r w:rsidR="00B80AC1" w:rsidRPr="007F7EBF">
        <w:rPr>
          <w:sz w:val="22"/>
          <w:szCs w:val="22"/>
        </w:rPr>
        <w:t>"comod</w:t>
      </w:r>
      <w:r w:rsidR="00D95B58">
        <w:rPr>
          <w:sz w:val="22"/>
          <w:szCs w:val="22"/>
        </w:rPr>
        <w:t>a</w:t>
      </w:r>
      <w:r w:rsidR="00B80AC1" w:rsidRPr="007F7EBF">
        <w:rPr>
          <w:sz w:val="22"/>
          <w:szCs w:val="22"/>
        </w:rPr>
        <w:t xml:space="preserve">" </w:t>
      </w:r>
      <w:r w:rsidR="00D95B58">
        <w:rPr>
          <w:sz w:val="22"/>
          <w:szCs w:val="22"/>
        </w:rPr>
        <w:t xml:space="preserve">a concentrarsi su interventi </w:t>
      </w:r>
      <w:r w:rsidR="00B80AC1" w:rsidRPr="007F7EBF">
        <w:rPr>
          <w:sz w:val="22"/>
          <w:szCs w:val="22"/>
        </w:rPr>
        <w:t>in gran parte automatizzat</w:t>
      </w:r>
      <w:r w:rsidR="00D95B58">
        <w:rPr>
          <w:sz w:val="22"/>
          <w:szCs w:val="22"/>
        </w:rPr>
        <w:t>i</w:t>
      </w:r>
      <w:r w:rsidR="00B80AC1">
        <w:rPr>
          <w:sz w:val="22"/>
          <w:szCs w:val="22"/>
        </w:rPr>
        <w:t xml:space="preserve"> </w:t>
      </w:r>
      <w:r w:rsidR="00B80AC1" w:rsidRPr="007F7EBF">
        <w:rPr>
          <w:sz w:val="22"/>
          <w:szCs w:val="22"/>
        </w:rPr>
        <w:t xml:space="preserve">e </w:t>
      </w:r>
      <w:r w:rsidR="00B80AC1">
        <w:rPr>
          <w:sz w:val="22"/>
          <w:szCs w:val="22"/>
        </w:rPr>
        <w:t>deresponsabilizzat</w:t>
      </w:r>
      <w:r w:rsidR="00D95B58">
        <w:rPr>
          <w:sz w:val="22"/>
          <w:szCs w:val="22"/>
        </w:rPr>
        <w:t>i</w:t>
      </w:r>
      <w:r w:rsidR="00B80AC1">
        <w:rPr>
          <w:sz w:val="22"/>
          <w:szCs w:val="22"/>
        </w:rPr>
        <w:t xml:space="preserve">, in quanto </w:t>
      </w:r>
      <w:r w:rsidR="00534C3A">
        <w:rPr>
          <w:sz w:val="22"/>
          <w:szCs w:val="22"/>
        </w:rPr>
        <w:t>scarsamente valutativi</w:t>
      </w:r>
      <w:r w:rsidR="004F5FDE">
        <w:rPr>
          <w:sz w:val="22"/>
          <w:szCs w:val="22"/>
        </w:rPr>
        <w:t xml:space="preserve">, ma al tempo inadeguati agli obiettivi </w:t>
      </w:r>
      <w:r w:rsidR="00746581">
        <w:rPr>
          <w:sz w:val="22"/>
          <w:szCs w:val="22"/>
        </w:rPr>
        <w:t xml:space="preserve">di cui al par.5.7. </w:t>
      </w:r>
    </w:p>
    <w:p w14:paraId="6CD55721" w14:textId="294A93DF" w:rsidR="006A68DD" w:rsidRDefault="00CD6203" w:rsidP="006A68DD">
      <w:pPr>
        <w:pStyle w:val="tit23"/>
        <w:ind w:left="6464" w:right="-1361" w:firstLine="0"/>
        <w:jc w:val="left"/>
        <w:rPr>
          <w:bCs/>
          <w:i/>
          <w:iCs/>
          <w:color w:val="0000FF"/>
          <w:lang w:val="it-IT"/>
        </w:rPr>
      </w:pPr>
      <w:r>
        <w:rPr>
          <w:bCs/>
          <w:i/>
          <w:iCs/>
          <w:color w:val="0000FF"/>
          <w:lang w:val="it-IT"/>
        </w:rPr>
        <w:t>Aspetti procedurali</w:t>
      </w:r>
    </w:p>
    <w:p w14:paraId="4F7C766A" w14:textId="513A3BB0" w:rsidR="006A68DD" w:rsidRDefault="005B4B46" w:rsidP="005B4B46">
      <w:pPr>
        <w:autoSpaceDE w:val="0"/>
        <w:autoSpaceDN w:val="0"/>
        <w:adjustRightInd w:val="0"/>
        <w:rPr>
          <w:sz w:val="22"/>
          <w:szCs w:val="22"/>
        </w:rPr>
      </w:pPr>
      <w:r w:rsidRPr="005B4B46">
        <w:rPr>
          <w:sz w:val="22"/>
          <w:szCs w:val="22"/>
        </w:rPr>
        <w:t xml:space="preserve">L’impostazione </w:t>
      </w:r>
      <w:r w:rsidR="006A68DD" w:rsidRPr="005B4B46">
        <w:rPr>
          <w:sz w:val="22"/>
          <w:szCs w:val="22"/>
        </w:rPr>
        <w:t xml:space="preserve">“seriale” di questi controlli, </w:t>
      </w:r>
      <w:r w:rsidRPr="005B4B46">
        <w:rPr>
          <w:sz w:val="22"/>
          <w:szCs w:val="22"/>
        </w:rPr>
        <w:t xml:space="preserve">sacrifica l’interlocuzione col </w:t>
      </w:r>
      <w:r w:rsidR="006A68DD" w:rsidRPr="005B4B46">
        <w:rPr>
          <w:sz w:val="22"/>
          <w:szCs w:val="22"/>
        </w:rPr>
        <w:t>contribuente</w:t>
      </w:r>
      <w:r w:rsidRPr="005B4B46">
        <w:rPr>
          <w:sz w:val="22"/>
          <w:szCs w:val="22"/>
        </w:rPr>
        <w:t xml:space="preserve">, </w:t>
      </w:r>
      <w:r w:rsidR="006A68DD" w:rsidRPr="005B4B46">
        <w:rPr>
          <w:sz w:val="22"/>
          <w:szCs w:val="22"/>
        </w:rPr>
        <w:t xml:space="preserve">avvertito dell’esito della liquidazione, ai sensi del comma 3 dell’art. 36-bis, con una </w:t>
      </w:r>
      <w:r w:rsidR="006A68DD" w:rsidRPr="005B4B46">
        <w:rPr>
          <w:bCs/>
          <w:sz w:val="22"/>
          <w:szCs w:val="22"/>
        </w:rPr>
        <w:t>comunicazione semi-formale</w:t>
      </w:r>
      <w:r w:rsidR="006A68DD" w:rsidRPr="005B4B46">
        <w:rPr>
          <w:sz w:val="22"/>
          <w:szCs w:val="22"/>
        </w:rPr>
        <w:t>, tendente a consentirgli la presentazione di chiarimenti ovvero l'adesione, con riduzione delle sanzioni amministrative(</w:t>
      </w:r>
      <w:r w:rsidR="006A68DD" w:rsidRPr="005B4B46">
        <w:rPr>
          <w:rStyle w:val="Rimandonotaapidipagina"/>
          <w:sz w:val="22"/>
          <w:szCs w:val="22"/>
        </w:rPr>
        <w:footnoteReference w:id="555"/>
      </w:r>
      <w:r w:rsidR="006A68DD" w:rsidRPr="005B4B46">
        <w:rPr>
          <w:sz w:val="22"/>
          <w:szCs w:val="22"/>
        </w:rPr>
        <w:t>); se il destinatario resta inerte, o presenta chiarimenti ritenuti non convincenti, la somma è iscritta a ruolo (</w:t>
      </w:r>
      <w:r w:rsidR="006A68DD" w:rsidRPr="005B4B46">
        <w:rPr>
          <w:bCs/>
          <w:sz w:val="22"/>
          <w:szCs w:val="22"/>
        </w:rPr>
        <w:t xml:space="preserve">par.6.11), contro cui il contribuente dissenziente </w:t>
      </w:r>
      <w:r w:rsidR="006A68DD" w:rsidRPr="005B4B46">
        <w:rPr>
          <w:sz w:val="22"/>
          <w:szCs w:val="22"/>
        </w:rPr>
        <w:t xml:space="preserve">dovrà </w:t>
      </w:r>
      <w:r w:rsidR="006A68DD" w:rsidRPr="005B4B46">
        <w:rPr>
          <w:bCs/>
          <w:sz w:val="22"/>
          <w:szCs w:val="22"/>
        </w:rPr>
        <w:lastRenderedPageBreak/>
        <w:t>presentare ricorso</w:t>
      </w:r>
      <w:r w:rsidR="006A68DD" w:rsidRPr="005B4B46">
        <w:rPr>
          <w:rStyle w:val="Rimandonotaapidipagina"/>
          <w:bCs/>
          <w:sz w:val="22"/>
          <w:szCs w:val="22"/>
        </w:rPr>
        <w:footnoteReference w:id="556"/>
      </w:r>
      <w:r w:rsidR="006A68DD" w:rsidRPr="005B4B46">
        <w:rPr>
          <w:sz w:val="22"/>
          <w:szCs w:val="22"/>
        </w:rPr>
        <w:t>.</w:t>
      </w:r>
      <w:r w:rsidR="006A68DD" w:rsidRPr="005B4B46">
        <w:rPr>
          <w:bCs/>
          <w:i/>
          <w:iCs/>
          <w:color w:val="0000FF"/>
          <w:sz w:val="22"/>
          <w:szCs w:val="22"/>
        </w:rPr>
        <w:t xml:space="preserve"> </w:t>
      </w:r>
      <w:r w:rsidRPr="005B4B46">
        <w:rPr>
          <w:sz w:val="22"/>
          <w:szCs w:val="22"/>
        </w:rPr>
        <w:t>Il contraddittorio procedimentale, su cui par.6.1, è quindi scarno, e la motivazione (par.6.2) degli avvisi suddetti necessariamente stringata.</w:t>
      </w:r>
      <w:r w:rsidRPr="007F7EBF">
        <w:rPr>
          <w:sz w:val="22"/>
          <w:szCs w:val="22"/>
        </w:rPr>
        <w:t xml:space="preserve">  </w:t>
      </w:r>
    </w:p>
    <w:p w14:paraId="74D797A6" w14:textId="77777777" w:rsidR="006A68DD" w:rsidRDefault="006A68DD" w:rsidP="006A68DD">
      <w:pPr>
        <w:pStyle w:val="tit23"/>
        <w:ind w:left="6464" w:right="-1361" w:firstLine="0"/>
        <w:jc w:val="left"/>
        <w:rPr>
          <w:bCs/>
          <w:i/>
          <w:iCs/>
          <w:color w:val="0000FF"/>
          <w:lang w:val="it-IT"/>
        </w:rPr>
      </w:pPr>
      <w:r>
        <w:rPr>
          <w:bCs/>
          <w:i/>
          <w:iCs/>
          <w:color w:val="0000FF"/>
          <w:lang w:val="it-IT"/>
        </w:rPr>
        <w:t>controllo a campione su oneri deducibili e detrazioni</w:t>
      </w:r>
    </w:p>
    <w:p w14:paraId="0DE19EAA" w14:textId="1A0516BF" w:rsidR="006A68DD" w:rsidRDefault="005B4B46" w:rsidP="006A68DD">
      <w:pPr>
        <w:autoSpaceDE w:val="0"/>
        <w:autoSpaceDN w:val="0"/>
        <w:adjustRightInd w:val="0"/>
        <w:rPr>
          <w:bCs/>
          <w:i/>
          <w:iCs/>
          <w:color w:val="0000FF"/>
          <w:sz w:val="22"/>
          <w:szCs w:val="22"/>
        </w:rPr>
      </w:pPr>
      <w:r>
        <w:rPr>
          <w:sz w:val="22"/>
          <w:szCs w:val="22"/>
        </w:rPr>
        <w:t>G</w:t>
      </w:r>
      <w:r w:rsidR="006A68DD">
        <w:rPr>
          <w:sz w:val="22"/>
          <w:szCs w:val="22"/>
        </w:rPr>
        <w:t xml:space="preserve">li uffici </w:t>
      </w:r>
      <w:r w:rsidR="006A68DD">
        <w:rPr>
          <w:bCs/>
          <w:sz w:val="22"/>
          <w:szCs w:val="22"/>
        </w:rPr>
        <w:t xml:space="preserve">richiedono </w:t>
      </w:r>
      <w:r w:rsidR="006A68DD">
        <w:rPr>
          <w:sz w:val="22"/>
          <w:szCs w:val="22"/>
        </w:rPr>
        <w:t xml:space="preserve">(art. 36-ter) </w:t>
      </w:r>
      <w:r>
        <w:rPr>
          <w:sz w:val="22"/>
          <w:szCs w:val="22"/>
        </w:rPr>
        <w:t xml:space="preserve">anche </w:t>
      </w:r>
      <w:r w:rsidR="006A68DD">
        <w:rPr>
          <w:sz w:val="22"/>
          <w:szCs w:val="22"/>
        </w:rPr>
        <w:t xml:space="preserve">i </w:t>
      </w:r>
      <w:r w:rsidR="006A68DD">
        <w:rPr>
          <w:bCs/>
          <w:sz w:val="22"/>
          <w:szCs w:val="22"/>
        </w:rPr>
        <w:t>documenti giustificativi di oneri deducibili “personali</w:t>
      </w:r>
      <w:r w:rsidR="006A68DD">
        <w:rPr>
          <w:sz w:val="22"/>
          <w:szCs w:val="22"/>
        </w:rPr>
        <w:t xml:space="preserve">”, come assicurazioni vita, alimenti al coniuge separato, spese mediche etc. (paragrafo 9.3), detrazioni per familiari a carico, ritenute d’acconto, etc. </w:t>
      </w:r>
      <w:r>
        <w:rPr>
          <w:sz w:val="22"/>
          <w:szCs w:val="22"/>
        </w:rPr>
        <w:t xml:space="preserve">Questo controllo richiede un’istruttoria personalizzata, e riguarda quindi di fatto una percentuale modesta delle dichiarazioni. Serve infatti un’interlocuzione personalizzata in genere riguardante la quadratura tra quanto detratto e i dati </w:t>
      </w:r>
      <w:r w:rsidR="00B541F9">
        <w:rPr>
          <w:sz w:val="22"/>
          <w:szCs w:val="22"/>
        </w:rPr>
        <w:t>segnalati</w:t>
      </w:r>
      <w:r>
        <w:rPr>
          <w:sz w:val="22"/>
          <w:szCs w:val="22"/>
        </w:rPr>
        <w:t xml:space="preserve"> al fisco </w:t>
      </w:r>
      <w:r w:rsidR="00B541F9">
        <w:rPr>
          <w:sz w:val="22"/>
          <w:szCs w:val="22"/>
        </w:rPr>
        <w:t>dai</w:t>
      </w:r>
      <w:r>
        <w:rPr>
          <w:sz w:val="22"/>
          <w:szCs w:val="22"/>
        </w:rPr>
        <w:t xml:space="preserve"> terzi</w:t>
      </w:r>
      <w:r w:rsidR="00B541F9">
        <w:rPr>
          <w:sz w:val="22"/>
          <w:szCs w:val="22"/>
        </w:rPr>
        <w:t xml:space="preserve"> che hanno ricevuto gli oneri (</w:t>
      </w:r>
      <w:r w:rsidR="00B541F9">
        <w:rPr>
          <w:rStyle w:val="Rimandonotaapidipagina"/>
          <w:sz w:val="22"/>
          <w:szCs w:val="22"/>
        </w:rPr>
        <w:footnoteReference w:id="557"/>
      </w:r>
      <w:r w:rsidR="00B541F9">
        <w:rPr>
          <w:sz w:val="22"/>
          <w:szCs w:val="22"/>
        </w:rPr>
        <w:t xml:space="preserve">), </w:t>
      </w:r>
      <w:r>
        <w:rPr>
          <w:sz w:val="22"/>
          <w:szCs w:val="22"/>
        </w:rPr>
        <w:t xml:space="preserve">nonché i rari casi in cui quest’acquisizione non si verifica (ad esempio gli alimenti al coniuge). </w:t>
      </w:r>
      <w:r w:rsidR="00470CB4">
        <w:rPr>
          <w:sz w:val="22"/>
          <w:szCs w:val="22"/>
        </w:rPr>
        <w:t xml:space="preserve">Ove rimangano squadrature non chiarite, </w:t>
      </w:r>
      <w:r>
        <w:rPr>
          <w:sz w:val="22"/>
          <w:szCs w:val="22"/>
        </w:rPr>
        <w:t xml:space="preserve">le maggiori imposte saranno </w:t>
      </w:r>
      <w:r w:rsidR="00470CB4">
        <w:rPr>
          <w:sz w:val="22"/>
          <w:szCs w:val="22"/>
        </w:rPr>
        <w:t xml:space="preserve">comunque </w:t>
      </w:r>
      <w:r>
        <w:rPr>
          <w:sz w:val="22"/>
          <w:szCs w:val="22"/>
        </w:rPr>
        <w:t>richieste con iscrizione a ruolo</w:t>
      </w:r>
      <w:r w:rsidR="00470CB4">
        <w:rPr>
          <w:sz w:val="22"/>
          <w:szCs w:val="22"/>
        </w:rPr>
        <w:t xml:space="preserve"> (par.6.11)</w:t>
      </w:r>
      <w:r>
        <w:rPr>
          <w:sz w:val="22"/>
          <w:szCs w:val="22"/>
        </w:rPr>
        <w:t>.</w:t>
      </w:r>
      <w:r w:rsidR="006A68DD">
        <w:rPr>
          <w:sz w:val="22"/>
          <w:szCs w:val="22"/>
        </w:rPr>
        <w:t xml:space="preserve"> </w:t>
      </w:r>
    </w:p>
    <w:p w14:paraId="2B6DC628" w14:textId="4BC62641" w:rsidR="00BE6357" w:rsidRDefault="00BE6357" w:rsidP="00BE6357">
      <w:pPr>
        <w:autoSpaceDE w:val="0"/>
        <w:autoSpaceDN w:val="0"/>
        <w:adjustRightInd w:val="0"/>
        <w:rPr>
          <w:sz w:val="22"/>
          <w:szCs w:val="22"/>
        </w:rPr>
      </w:pPr>
    </w:p>
    <w:p w14:paraId="5DCD5608" w14:textId="62D7B7BD" w:rsidR="00BE6357" w:rsidRPr="00BE6357" w:rsidRDefault="006342C5" w:rsidP="00BE6357">
      <w:pPr>
        <w:pStyle w:val="Titolo3"/>
        <w:rPr>
          <w:rFonts w:ascii="Times New Roman" w:hAnsi="Times New Roman"/>
        </w:rPr>
      </w:pPr>
      <w:bookmarkStart w:id="62" w:name="_Toc63364978"/>
      <w:r w:rsidRPr="00BE6357">
        <w:rPr>
          <w:rFonts w:ascii="Times New Roman" w:hAnsi="Times New Roman"/>
        </w:rPr>
        <w:t xml:space="preserve">5.6. </w:t>
      </w:r>
      <w:r w:rsidR="0083797A" w:rsidRPr="00BE6357">
        <w:rPr>
          <w:rFonts w:ascii="Times New Roman" w:hAnsi="Times New Roman"/>
        </w:rPr>
        <w:t>Indagin</w:t>
      </w:r>
      <w:r w:rsidR="006943E0">
        <w:rPr>
          <w:rFonts w:ascii="Times New Roman" w:hAnsi="Times New Roman"/>
          <w:lang w:val="it-IT"/>
        </w:rPr>
        <w:t xml:space="preserve">e </w:t>
      </w:r>
      <w:r w:rsidR="0083797A" w:rsidRPr="00BE6357">
        <w:rPr>
          <w:rFonts w:ascii="Times New Roman" w:hAnsi="Times New Roman"/>
        </w:rPr>
        <w:t>amministrativ</w:t>
      </w:r>
      <w:r w:rsidR="006943E0">
        <w:rPr>
          <w:rFonts w:ascii="Times New Roman" w:hAnsi="Times New Roman"/>
          <w:lang w:val="it-IT"/>
        </w:rPr>
        <w:t>a</w:t>
      </w:r>
      <w:r w:rsidR="0083797A" w:rsidRPr="00BE6357">
        <w:rPr>
          <w:rFonts w:ascii="Times New Roman" w:hAnsi="Times New Roman"/>
        </w:rPr>
        <w:t xml:space="preserve"> </w:t>
      </w:r>
      <w:r w:rsidR="006943E0">
        <w:rPr>
          <w:rFonts w:ascii="Times New Roman" w:hAnsi="Times New Roman"/>
          <w:lang w:val="it-IT"/>
        </w:rPr>
        <w:t>sulla</w:t>
      </w:r>
      <w:r w:rsidR="0083797A" w:rsidRPr="00BE6357">
        <w:rPr>
          <w:rFonts w:ascii="Times New Roman" w:hAnsi="Times New Roman"/>
        </w:rPr>
        <w:t xml:space="preserve"> </w:t>
      </w:r>
      <w:r w:rsidR="00B06894" w:rsidRPr="00BE6357">
        <w:rPr>
          <w:rFonts w:ascii="Times New Roman" w:hAnsi="Times New Roman"/>
        </w:rPr>
        <w:t>determinazione de</w:t>
      </w:r>
      <w:r w:rsidR="006943E0">
        <w:rPr>
          <w:rFonts w:ascii="Times New Roman" w:hAnsi="Times New Roman"/>
          <w:lang w:val="it-IT"/>
        </w:rPr>
        <w:t>lle imposte e relativa formalizzazione</w:t>
      </w:r>
      <w:bookmarkEnd w:id="62"/>
      <w:r w:rsidR="001556FA" w:rsidRPr="00BE6357">
        <w:rPr>
          <w:rFonts w:ascii="Times New Roman" w:hAnsi="Times New Roman"/>
        </w:rPr>
        <w:t xml:space="preserve"> </w:t>
      </w:r>
    </w:p>
    <w:p w14:paraId="296A5B88" w14:textId="54FC2C87" w:rsidR="00BE6357" w:rsidRPr="007F7EBF" w:rsidRDefault="00623A00" w:rsidP="00BE6357">
      <w:pPr>
        <w:pStyle w:val="tit23"/>
        <w:ind w:left="6464" w:right="-1361" w:firstLine="0"/>
        <w:jc w:val="left"/>
        <w:rPr>
          <w:bCs/>
          <w:i/>
          <w:iCs/>
          <w:color w:val="0000FF"/>
          <w:lang w:val="it-IT"/>
        </w:rPr>
      </w:pPr>
      <w:r>
        <w:rPr>
          <w:bCs/>
          <w:i/>
          <w:iCs/>
          <w:color w:val="0000FF"/>
          <w:lang w:val="it-IT"/>
        </w:rPr>
        <w:t xml:space="preserve"> controlli di merito</w:t>
      </w:r>
      <w:r w:rsidR="001C245B">
        <w:rPr>
          <w:bCs/>
          <w:i/>
          <w:iCs/>
          <w:color w:val="0000FF"/>
          <w:lang w:val="it-IT"/>
        </w:rPr>
        <w:t xml:space="preserve">, scarsità e </w:t>
      </w:r>
      <w:r w:rsidR="004E1A7E">
        <w:rPr>
          <w:bCs/>
          <w:i/>
          <w:iCs/>
          <w:color w:val="0000FF"/>
          <w:lang w:val="it-IT"/>
        </w:rPr>
        <w:t>preoccupazioni</w:t>
      </w:r>
      <w:r w:rsidR="001C245B">
        <w:rPr>
          <w:bCs/>
          <w:i/>
          <w:iCs/>
          <w:color w:val="0000FF"/>
          <w:lang w:val="it-IT"/>
        </w:rPr>
        <w:t xml:space="preserve">  </w:t>
      </w:r>
    </w:p>
    <w:p w14:paraId="1D75B867" w14:textId="77777777" w:rsidR="00CC752F" w:rsidRDefault="00D41E22" w:rsidP="00D41E22">
      <w:pPr>
        <w:autoSpaceDE w:val="0"/>
        <w:autoSpaceDN w:val="0"/>
        <w:adjustRightInd w:val="0"/>
        <w:rPr>
          <w:sz w:val="22"/>
          <w:szCs w:val="22"/>
        </w:rPr>
      </w:pPr>
      <w:r>
        <w:rPr>
          <w:sz w:val="22"/>
          <w:szCs w:val="22"/>
        </w:rPr>
        <w:t>I</w:t>
      </w:r>
      <w:r w:rsidR="00BA2445" w:rsidRPr="00BA2445">
        <w:rPr>
          <w:sz w:val="22"/>
          <w:szCs w:val="22"/>
        </w:rPr>
        <w:t xml:space="preserve"> controlli di merito </w:t>
      </w:r>
      <w:r w:rsidR="00951319">
        <w:rPr>
          <w:sz w:val="22"/>
          <w:szCs w:val="22"/>
        </w:rPr>
        <w:t xml:space="preserve">diretti a individuare e valutare </w:t>
      </w:r>
      <w:r w:rsidR="00CC752F">
        <w:rPr>
          <w:sz w:val="22"/>
          <w:szCs w:val="22"/>
        </w:rPr>
        <w:t>le</w:t>
      </w:r>
      <w:r w:rsidR="00BA2445" w:rsidRPr="00BA2445">
        <w:rPr>
          <w:sz w:val="22"/>
          <w:szCs w:val="22"/>
        </w:rPr>
        <w:t xml:space="preserve"> </w:t>
      </w:r>
      <w:r>
        <w:rPr>
          <w:sz w:val="22"/>
          <w:szCs w:val="22"/>
        </w:rPr>
        <w:t>evasion</w:t>
      </w:r>
      <w:r w:rsidR="00CC752F">
        <w:rPr>
          <w:sz w:val="22"/>
          <w:szCs w:val="22"/>
        </w:rPr>
        <w:t>i</w:t>
      </w:r>
      <w:r w:rsidR="00951319">
        <w:rPr>
          <w:sz w:val="22"/>
          <w:szCs w:val="22"/>
        </w:rPr>
        <w:t xml:space="preserve"> descritt</w:t>
      </w:r>
      <w:r w:rsidR="00CC752F">
        <w:rPr>
          <w:sz w:val="22"/>
          <w:szCs w:val="22"/>
        </w:rPr>
        <w:t>e al capitolo 3 (</w:t>
      </w:r>
      <w:r w:rsidR="00951319">
        <w:rPr>
          <w:sz w:val="22"/>
          <w:szCs w:val="22"/>
        </w:rPr>
        <w:t>parr.</w:t>
      </w:r>
      <w:r>
        <w:rPr>
          <w:sz w:val="22"/>
          <w:szCs w:val="22"/>
        </w:rPr>
        <w:t>3.7 -3.</w:t>
      </w:r>
      <w:r w:rsidR="00951319">
        <w:rPr>
          <w:sz w:val="22"/>
          <w:szCs w:val="22"/>
        </w:rPr>
        <w:t>15</w:t>
      </w:r>
      <w:r w:rsidR="00CC752F">
        <w:rPr>
          <w:sz w:val="22"/>
          <w:szCs w:val="22"/>
        </w:rPr>
        <w:t>)</w:t>
      </w:r>
      <w:r w:rsidR="00951319">
        <w:rPr>
          <w:sz w:val="22"/>
          <w:szCs w:val="22"/>
        </w:rPr>
        <w:t xml:space="preserve"> riguardano una parte</w:t>
      </w:r>
      <w:r w:rsidR="00CC752F">
        <w:rPr>
          <w:sz w:val="22"/>
          <w:szCs w:val="22"/>
        </w:rPr>
        <w:t xml:space="preserve"> soltanto</w:t>
      </w:r>
      <w:r w:rsidR="00951319">
        <w:rPr>
          <w:sz w:val="22"/>
          <w:szCs w:val="22"/>
        </w:rPr>
        <w:t xml:space="preserve"> </w:t>
      </w:r>
      <w:r>
        <w:rPr>
          <w:sz w:val="22"/>
          <w:szCs w:val="22"/>
        </w:rPr>
        <w:t>de</w:t>
      </w:r>
      <w:r w:rsidR="00BA2445">
        <w:rPr>
          <w:sz w:val="22"/>
          <w:szCs w:val="22"/>
        </w:rPr>
        <w:t>i contribuenti</w:t>
      </w:r>
      <w:r w:rsidR="00951319">
        <w:rPr>
          <w:sz w:val="22"/>
          <w:szCs w:val="22"/>
        </w:rPr>
        <w:t xml:space="preserve">. </w:t>
      </w:r>
      <w:r w:rsidR="00CC752F">
        <w:rPr>
          <w:sz w:val="22"/>
          <w:szCs w:val="22"/>
        </w:rPr>
        <w:t>Tali controlli, c</w:t>
      </w:r>
      <w:r w:rsidR="004D1C85">
        <w:rPr>
          <w:sz w:val="22"/>
          <w:szCs w:val="22"/>
        </w:rPr>
        <w:t>ome indicato a</w:t>
      </w:r>
      <w:r w:rsidR="00951319">
        <w:rPr>
          <w:sz w:val="22"/>
          <w:szCs w:val="22"/>
        </w:rPr>
        <w:t>l par.5.2</w:t>
      </w:r>
      <w:r w:rsidR="004D1C85">
        <w:rPr>
          <w:sz w:val="22"/>
          <w:szCs w:val="22"/>
        </w:rPr>
        <w:t xml:space="preserve">, tendono a concentrarsi </w:t>
      </w:r>
      <w:r w:rsidR="00951319">
        <w:rPr>
          <w:sz w:val="22"/>
          <w:szCs w:val="22"/>
        </w:rPr>
        <w:t xml:space="preserve">sulle aziende </w:t>
      </w:r>
      <w:r w:rsidR="008D08E5">
        <w:rPr>
          <w:sz w:val="22"/>
          <w:szCs w:val="22"/>
        </w:rPr>
        <w:t xml:space="preserve">organizzate </w:t>
      </w:r>
      <w:r w:rsidR="00951319">
        <w:rPr>
          <w:sz w:val="22"/>
          <w:szCs w:val="22"/>
        </w:rPr>
        <w:t>di maggiori dimensioni</w:t>
      </w:r>
      <w:r w:rsidR="008D08E5">
        <w:rPr>
          <w:sz w:val="22"/>
          <w:szCs w:val="22"/>
        </w:rPr>
        <w:t>, mentre la perequazione tributaria</w:t>
      </w:r>
      <w:r w:rsidR="00CC752F">
        <w:rPr>
          <w:sz w:val="22"/>
          <w:szCs w:val="22"/>
        </w:rPr>
        <w:t xml:space="preserve"> avrebbe bisogno di diffusi controlli valutativi</w:t>
      </w:r>
      <w:r w:rsidR="008D08E5">
        <w:rPr>
          <w:sz w:val="22"/>
          <w:szCs w:val="22"/>
        </w:rPr>
        <w:t xml:space="preserve">, </w:t>
      </w:r>
      <w:r w:rsidR="008D08E5">
        <w:rPr>
          <w:sz w:val="22"/>
          <w:szCs w:val="22"/>
        </w:rPr>
        <w:lastRenderedPageBreak/>
        <w:t xml:space="preserve">per ordine di grandezza, </w:t>
      </w:r>
      <w:r w:rsidR="00CC752F">
        <w:rPr>
          <w:sz w:val="22"/>
          <w:szCs w:val="22"/>
        </w:rPr>
        <w:t xml:space="preserve">su </w:t>
      </w:r>
      <w:r w:rsidR="008D08E5">
        <w:rPr>
          <w:sz w:val="22"/>
          <w:szCs w:val="22"/>
        </w:rPr>
        <w:t>p</w:t>
      </w:r>
      <w:r w:rsidR="004D1C85">
        <w:rPr>
          <w:sz w:val="22"/>
          <w:szCs w:val="22"/>
        </w:rPr>
        <w:t>iccole organizzazioni, artigiani e professionisti al consumo finale</w:t>
      </w:r>
      <w:r w:rsidR="008D08E5">
        <w:rPr>
          <w:sz w:val="22"/>
          <w:szCs w:val="22"/>
        </w:rPr>
        <w:t xml:space="preserve"> (parr.3.13 </w:t>
      </w:r>
      <w:proofErr w:type="spellStart"/>
      <w:r w:rsidR="008D08E5">
        <w:rPr>
          <w:sz w:val="22"/>
          <w:szCs w:val="22"/>
        </w:rPr>
        <w:t>ss</w:t>
      </w:r>
      <w:proofErr w:type="spellEnd"/>
      <w:r w:rsidR="008D08E5">
        <w:rPr>
          <w:sz w:val="22"/>
          <w:szCs w:val="22"/>
        </w:rPr>
        <w:t>, 4.2, 5.7 etc.)</w:t>
      </w:r>
      <w:r w:rsidR="004D1C85">
        <w:rPr>
          <w:sz w:val="22"/>
          <w:szCs w:val="22"/>
        </w:rPr>
        <w:t xml:space="preserve">. </w:t>
      </w:r>
    </w:p>
    <w:p w14:paraId="1B71A3B7" w14:textId="1644CD58" w:rsidR="00BC4D6E" w:rsidRDefault="004D1C85" w:rsidP="00D41E22">
      <w:pPr>
        <w:autoSpaceDE w:val="0"/>
        <w:autoSpaceDN w:val="0"/>
        <w:adjustRightInd w:val="0"/>
        <w:rPr>
          <w:sz w:val="22"/>
          <w:szCs w:val="22"/>
        </w:rPr>
      </w:pPr>
      <w:r>
        <w:rPr>
          <w:sz w:val="22"/>
          <w:szCs w:val="22"/>
        </w:rPr>
        <w:t xml:space="preserve">Per </w:t>
      </w:r>
      <w:r w:rsidR="00BC4D6E">
        <w:rPr>
          <w:sz w:val="22"/>
          <w:szCs w:val="22"/>
        </w:rPr>
        <w:t xml:space="preserve">questi </w:t>
      </w:r>
      <w:r>
        <w:rPr>
          <w:sz w:val="22"/>
          <w:szCs w:val="22"/>
        </w:rPr>
        <w:t xml:space="preserve">piccoli contribuenti il rischio di controllo è minimo, e </w:t>
      </w:r>
      <w:r w:rsidR="00BC4D6E">
        <w:rPr>
          <w:sz w:val="22"/>
          <w:szCs w:val="22"/>
        </w:rPr>
        <w:t xml:space="preserve">per fortuna </w:t>
      </w:r>
      <w:r>
        <w:rPr>
          <w:sz w:val="22"/>
          <w:szCs w:val="22"/>
        </w:rPr>
        <w:t xml:space="preserve">viene </w:t>
      </w:r>
      <w:r w:rsidR="00BC4D6E">
        <w:rPr>
          <w:sz w:val="22"/>
          <w:szCs w:val="22"/>
        </w:rPr>
        <w:t xml:space="preserve">da loro </w:t>
      </w:r>
      <w:r>
        <w:rPr>
          <w:sz w:val="22"/>
          <w:szCs w:val="22"/>
        </w:rPr>
        <w:t>sovrastimato</w:t>
      </w:r>
      <w:r w:rsidR="00BC4D6E">
        <w:rPr>
          <w:sz w:val="22"/>
          <w:szCs w:val="22"/>
        </w:rPr>
        <w:t>, c</w:t>
      </w:r>
      <w:r>
        <w:rPr>
          <w:sz w:val="22"/>
          <w:szCs w:val="22"/>
        </w:rPr>
        <w:t>ome indicato al par.</w:t>
      </w:r>
      <w:r w:rsidR="00361BCC">
        <w:rPr>
          <w:sz w:val="22"/>
          <w:szCs w:val="22"/>
        </w:rPr>
        <w:t>1.7</w:t>
      </w:r>
      <w:r>
        <w:rPr>
          <w:sz w:val="22"/>
          <w:szCs w:val="22"/>
        </w:rPr>
        <w:t xml:space="preserve">. </w:t>
      </w:r>
    </w:p>
    <w:p w14:paraId="26E78789" w14:textId="71A268B6" w:rsidR="007F3648" w:rsidRDefault="00D41E22" w:rsidP="00D41E22">
      <w:pPr>
        <w:autoSpaceDE w:val="0"/>
        <w:autoSpaceDN w:val="0"/>
        <w:adjustRightInd w:val="0"/>
        <w:rPr>
          <w:sz w:val="22"/>
          <w:szCs w:val="22"/>
        </w:rPr>
      </w:pPr>
      <w:r>
        <w:rPr>
          <w:sz w:val="22"/>
          <w:szCs w:val="22"/>
        </w:rPr>
        <w:t xml:space="preserve">La scelta di chi controllare è quindi </w:t>
      </w:r>
      <w:r w:rsidRPr="007F7EBF">
        <w:rPr>
          <w:sz w:val="22"/>
          <w:szCs w:val="22"/>
        </w:rPr>
        <w:t>programma</w:t>
      </w:r>
      <w:r>
        <w:rPr>
          <w:sz w:val="22"/>
          <w:szCs w:val="22"/>
        </w:rPr>
        <w:t xml:space="preserve">ta, </w:t>
      </w:r>
      <w:r w:rsidRPr="007F7EBF">
        <w:rPr>
          <w:sz w:val="22"/>
          <w:szCs w:val="22"/>
        </w:rPr>
        <w:t xml:space="preserve">in base agli indicatori di rischio di </w:t>
      </w:r>
      <w:r>
        <w:rPr>
          <w:sz w:val="22"/>
          <w:szCs w:val="22"/>
        </w:rPr>
        <w:t xml:space="preserve">evasione </w:t>
      </w:r>
      <w:r>
        <w:rPr>
          <w:rStyle w:val="Rimandonotaapidipagina"/>
          <w:sz w:val="22"/>
          <w:szCs w:val="22"/>
        </w:rPr>
        <w:footnoteReference w:id="558"/>
      </w:r>
      <w:r>
        <w:rPr>
          <w:sz w:val="22"/>
          <w:szCs w:val="22"/>
        </w:rPr>
        <w:t xml:space="preserve">e di possibile recupero d’imposta </w:t>
      </w:r>
      <w:r>
        <w:rPr>
          <w:rStyle w:val="Rimandonotaapidipagina"/>
          <w:sz w:val="22"/>
          <w:szCs w:val="22"/>
        </w:rPr>
        <w:footnoteReference w:id="559"/>
      </w:r>
      <w:r>
        <w:rPr>
          <w:sz w:val="22"/>
          <w:szCs w:val="22"/>
        </w:rPr>
        <w:t xml:space="preserve">, per ridurre possibilità di abusi e favoritismi. </w:t>
      </w:r>
      <w:r w:rsidR="007F3648">
        <w:rPr>
          <w:sz w:val="22"/>
          <w:szCs w:val="22"/>
        </w:rPr>
        <w:t xml:space="preserve">Per il contribuente, di fronte al modesto numero di controlli, è infatti istintivo pensare di essere soggetto a indagini perché </w:t>
      </w:r>
      <w:r w:rsidR="007F3648">
        <w:rPr>
          <w:i/>
          <w:iCs/>
          <w:sz w:val="22"/>
          <w:szCs w:val="22"/>
        </w:rPr>
        <w:t xml:space="preserve">qualcuno ce l’ha con lui </w:t>
      </w:r>
      <w:r w:rsidR="007F3648">
        <w:rPr>
          <w:rStyle w:val="Rimandonotaapidipagina"/>
          <w:i/>
          <w:iCs/>
          <w:sz w:val="22"/>
          <w:szCs w:val="22"/>
        </w:rPr>
        <w:footnoteReference w:id="560"/>
      </w:r>
      <w:r w:rsidR="007F3648">
        <w:rPr>
          <w:i/>
          <w:iCs/>
          <w:sz w:val="22"/>
          <w:szCs w:val="22"/>
        </w:rPr>
        <w:t xml:space="preserve">. </w:t>
      </w:r>
      <w:r w:rsidR="007F3648" w:rsidRPr="007F3648">
        <w:rPr>
          <w:sz w:val="22"/>
          <w:szCs w:val="22"/>
        </w:rPr>
        <w:t>Sulle liste suddett</w:t>
      </w:r>
      <w:r w:rsidR="007F3648">
        <w:rPr>
          <w:sz w:val="22"/>
          <w:szCs w:val="22"/>
        </w:rPr>
        <w:t xml:space="preserve">e, formate anche tramite le banche dati di cui al par.5.5, si svolge </w:t>
      </w:r>
      <w:r>
        <w:rPr>
          <w:sz w:val="22"/>
          <w:szCs w:val="22"/>
        </w:rPr>
        <w:t xml:space="preserve">la selezione </w:t>
      </w:r>
      <w:r w:rsidR="007F3648">
        <w:rPr>
          <w:sz w:val="22"/>
          <w:szCs w:val="22"/>
        </w:rPr>
        <w:t>personalizzata</w:t>
      </w:r>
      <w:r>
        <w:rPr>
          <w:sz w:val="22"/>
          <w:szCs w:val="22"/>
        </w:rPr>
        <w:t xml:space="preserve"> degli uffici</w:t>
      </w:r>
      <w:r w:rsidR="007F3648">
        <w:rPr>
          <w:sz w:val="22"/>
          <w:szCs w:val="22"/>
        </w:rPr>
        <w:t xml:space="preserve">. Di fatto gli abusi ed i reclami sono rari, sia per la trasparenza delle scelte, e la </w:t>
      </w:r>
      <w:r>
        <w:rPr>
          <w:sz w:val="22"/>
          <w:szCs w:val="22"/>
        </w:rPr>
        <w:t xml:space="preserve">tracciabilità interna delle </w:t>
      </w:r>
      <w:r w:rsidR="007F3648">
        <w:rPr>
          <w:sz w:val="22"/>
          <w:szCs w:val="22"/>
        </w:rPr>
        <w:t xml:space="preserve">loro </w:t>
      </w:r>
      <w:r>
        <w:rPr>
          <w:sz w:val="22"/>
          <w:szCs w:val="22"/>
        </w:rPr>
        <w:t xml:space="preserve">motivazioni, </w:t>
      </w:r>
      <w:r w:rsidR="007F3648">
        <w:rPr>
          <w:sz w:val="22"/>
          <w:szCs w:val="22"/>
        </w:rPr>
        <w:t xml:space="preserve">sia per la difficoltà di dimostrare possibili abusi. </w:t>
      </w:r>
    </w:p>
    <w:p w14:paraId="21BD9338" w14:textId="4EB4382F" w:rsidR="000572A8" w:rsidRPr="007F7EBF" w:rsidRDefault="000572A8" w:rsidP="000572A8">
      <w:pPr>
        <w:pStyle w:val="tit23"/>
        <w:ind w:left="6464" w:right="-1361" w:firstLine="0"/>
        <w:jc w:val="left"/>
        <w:rPr>
          <w:b/>
          <w:bCs/>
          <w:i/>
          <w:iCs/>
          <w:color w:val="0000FF"/>
          <w:lang w:val="it-IT"/>
        </w:rPr>
      </w:pPr>
      <w:r>
        <w:rPr>
          <w:b/>
          <w:bCs/>
          <w:i/>
          <w:iCs/>
          <w:color w:val="0000FF"/>
          <w:lang w:val="it-IT"/>
        </w:rPr>
        <w:t xml:space="preserve">selezione e </w:t>
      </w:r>
      <w:r w:rsidR="004E1A7E">
        <w:rPr>
          <w:b/>
          <w:bCs/>
          <w:i/>
          <w:iCs/>
          <w:color w:val="0000FF"/>
          <w:lang w:val="it-IT"/>
        </w:rPr>
        <w:t>ufficio competente</w:t>
      </w:r>
    </w:p>
    <w:p w14:paraId="3E38D31B" w14:textId="5ABB5181" w:rsidR="0015151E" w:rsidRPr="007F7EBF" w:rsidRDefault="0015151E" w:rsidP="0015151E">
      <w:pPr>
        <w:pStyle w:val="tit23"/>
        <w:ind w:left="6464" w:right="-1361" w:firstLine="0"/>
        <w:jc w:val="left"/>
        <w:rPr>
          <w:b/>
          <w:bCs/>
          <w:i/>
          <w:iCs/>
          <w:color w:val="0000FF"/>
          <w:lang w:val="it-IT"/>
        </w:rPr>
      </w:pPr>
      <w:r w:rsidRPr="007F7EBF">
        <w:rPr>
          <w:b/>
          <w:bCs/>
          <w:i/>
          <w:iCs/>
          <w:color w:val="0000FF"/>
          <w:lang w:val="it-IT"/>
        </w:rPr>
        <w:t>poteri autoritativi di indagine</w:t>
      </w:r>
      <w:r w:rsidR="00BE6357">
        <w:rPr>
          <w:b/>
          <w:bCs/>
          <w:i/>
          <w:iCs/>
          <w:color w:val="0000FF"/>
          <w:lang w:val="it-IT"/>
        </w:rPr>
        <w:t xml:space="preserve"> </w:t>
      </w:r>
    </w:p>
    <w:p w14:paraId="6AE7B7BE" w14:textId="570D5F3B" w:rsidR="00E540C4" w:rsidRPr="007F7EBF" w:rsidRDefault="00EF03F8" w:rsidP="00E540C4">
      <w:pPr>
        <w:autoSpaceDE w:val="0"/>
        <w:autoSpaceDN w:val="0"/>
        <w:adjustRightInd w:val="0"/>
        <w:rPr>
          <w:bCs/>
          <w:i/>
          <w:iCs/>
          <w:color w:val="0000FF"/>
          <w:sz w:val="22"/>
          <w:szCs w:val="22"/>
        </w:rPr>
      </w:pPr>
      <w:r>
        <w:rPr>
          <w:sz w:val="22"/>
          <w:szCs w:val="22"/>
        </w:rPr>
        <w:t xml:space="preserve">Le </w:t>
      </w:r>
      <w:r w:rsidR="006342C5" w:rsidRPr="007F7EBF">
        <w:rPr>
          <w:bCs/>
          <w:sz w:val="22"/>
          <w:szCs w:val="22"/>
        </w:rPr>
        <w:t>indagini fiscali</w:t>
      </w:r>
      <w:r>
        <w:rPr>
          <w:bCs/>
          <w:sz w:val="22"/>
          <w:szCs w:val="22"/>
        </w:rPr>
        <w:t xml:space="preserve">, di polizia amministrativa, </w:t>
      </w:r>
      <w:r w:rsidR="00137FF4">
        <w:rPr>
          <w:bCs/>
          <w:sz w:val="22"/>
          <w:szCs w:val="22"/>
        </w:rPr>
        <w:t>ricordano</w:t>
      </w:r>
      <w:r>
        <w:rPr>
          <w:bCs/>
          <w:sz w:val="22"/>
          <w:szCs w:val="22"/>
        </w:rPr>
        <w:t xml:space="preserve"> </w:t>
      </w:r>
      <w:r w:rsidR="001B7DFA" w:rsidRPr="007F7EBF">
        <w:rPr>
          <w:sz w:val="22"/>
          <w:szCs w:val="22"/>
        </w:rPr>
        <w:t xml:space="preserve">la matrice </w:t>
      </w:r>
      <w:r w:rsidR="00137FF4">
        <w:rPr>
          <w:sz w:val="22"/>
          <w:szCs w:val="22"/>
        </w:rPr>
        <w:t xml:space="preserve">non </w:t>
      </w:r>
      <w:r w:rsidR="00137FF4">
        <w:rPr>
          <w:i/>
          <w:iCs/>
          <w:sz w:val="22"/>
          <w:szCs w:val="22"/>
        </w:rPr>
        <w:t>privatistico giurisdizionale</w:t>
      </w:r>
      <w:r w:rsidR="001B7DFA" w:rsidRPr="007F7EBF">
        <w:rPr>
          <w:sz w:val="22"/>
          <w:szCs w:val="22"/>
        </w:rPr>
        <w:t xml:space="preserve"> della </w:t>
      </w:r>
      <w:r w:rsidR="00343D72">
        <w:rPr>
          <w:sz w:val="22"/>
          <w:szCs w:val="22"/>
        </w:rPr>
        <w:t>funzione tributaria</w:t>
      </w:r>
      <w:r w:rsidR="001B7DFA" w:rsidRPr="007F7EBF">
        <w:rPr>
          <w:sz w:val="22"/>
          <w:szCs w:val="22"/>
        </w:rPr>
        <w:t xml:space="preserve">; </w:t>
      </w:r>
      <w:r w:rsidR="00343D72">
        <w:rPr>
          <w:sz w:val="22"/>
          <w:szCs w:val="22"/>
        </w:rPr>
        <w:t>gli uffici</w:t>
      </w:r>
      <w:r w:rsidR="00137FF4">
        <w:rPr>
          <w:sz w:val="22"/>
          <w:szCs w:val="22"/>
        </w:rPr>
        <w:t xml:space="preserve"> tributari</w:t>
      </w:r>
      <w:r w:rsidR="00343D72">
        <w:rPr>
          <w:sz w:val="22"/>
          <w:szCs w:val="22"/>
        </w:rPr>
        <w:t xml:space="preserve"> </w:t>
      </w:r>
      <w:r w:rsidR="00137FF4" w:rsidRPr="007F7EBF">
        <w:rPr>
          <w:sz w:val="22"/>
          <w:szCs w:val="22"/>
        </w:rPr>
        <w:t>in quanto pubblica autorità, e nei limiti di legge (</w:t>
      </w:r>
      <w:r w:rsidR="00137FF4" w:rsidRPr="007F7EBF">
        <w:rPr>
          <w:i/>
          <w:sz w:val="22"/>
          <w:szCs w:val="22"/>
        </w:rPr>
        <w:t>infra</w:t>
      </w:r>
      <w:r w:rsidR="00137FF4" w:rsidRPr="007F7EBF">
        <w:rPr>
          <w:sz w:val="22"/>
          <w:szCs w:val="22"/>
        </w:rPr>
        <w:t>)</w:t>
      </w:r>
      <w:r w:rsidR="00137FF4">
        <w:rPr>
          <w:sz w:val="22"/>
          <w:szCs w:val="22"/>
        </w:rPr>
        <w:t xml:space="preserve">, </w:t>
      </w:r>
      <w:r w:rsidR="009B4078" w:rsidRPr="007F7EBF">
        <w:rPr>
          <w:sz w:val="22"/>
          <w:szCs w:val="22"/>
        </w:rPr>
        <w:t xml:space="preserve">possono </w:t>
      </w:r>
      <w:r w:rsidR="00343D72">
        <w:rPr>
          <w:sz w:val="22"/>
          <w:szCs w:val="22"/>
        </w:rPr>
        <w:t xml:space="preserve">infatti chiedere </w:t>
      </w:r>
      <w:r w:rsidR="009B4078" w:rsidRPr="007F7EBF">
        <w:rPr>
          <w:sz w:val="22"/>
          <w:szCs w:val="22"/>
        </w:rPr>
        <w:t>ai privati</w:t>
      </w:r>
      <w:r w:rsidR="00BE6357">
        <w:rPr>
          <w:sz w:val="22"/>
          <w:szCs w:val="22"/>
        </w:rPr>
        <w:t xml:space="preserve"> inf</w:t>
      </w:r>
      <w:r w:rsidR="009B4078" w:rsidRPr="007F7EBF">
        <w:rPr>
          <w:sz w:val="22"/>
          <w:szCs w:val="22"/>
        </w:rPr>
        <w:t>ormazioni</w:t>
      </w:r>
      <w:r w:rsidR="00343D72">
        <w:rPr>
          <w:sz w:val="22"/>
          <w:szCs w:val="22"/>
        </w:rPr>
        <w:t xml:space="preserve">, </w:t>
      </w:r>
      <w:r w:rsidR="00FD3ADC" w:rsidRPr="007F7EBF">
        <w:rPr>
          <w:sz w:val="22"/>
          <w:szCs w:val="22"/>
        </w:rPr>
        <w:t>documenti</w:t>
      </w:r>
      <w:r w:rsidR="00343D72">
        <w:rPr>
          <w:sz w:val="22"/>
          <w:szCs w:val="22"/>
        </w:rPr>
        <w:t xml:space="preserve"> e </w:t>
      </w:r>
      <w:r w:rsidR="00FD3ADC" w:rsidRPr="007F7EBF">
        <w:rPr>
          <w:sz w:val="22"/>
          <w:szCs w:val="22"/>
        </w:rPr>
        <w:t>accesso fisico a</w:t>
      </w:r>
      <w:r w:rsidR="00E540C4" w:rsidRPr="007F7EBF">
        <w:rPr>
          <w:sz w:val="22"/>
          <w:szCs w:val="22"/>
        </w:rPr>
        <w:t xml:space="preserve"> determinat</w:t>
      </w:r>
      <w:r w:rsidR="00FD3ADC" w:rsidRPr="007F7EBF">
        <w:rPr>
          <w:sz w:val="22"/>
          <w:szCs w:val="22"/>
        </w:rPr>
        <w:t>i luoghi</w:t>
      </w:r>
      <w:r w:rsidR="00BE6357">
        <w:rPr>
          <w:sz w:val="22"/>
          <w:szCs w:val="22"/>
        </w:rPr>
        <w:t>, sotto pena di sanzioni (par.6.13) ed esecuzione coercitiva (</w:t>
      </w:r>
      <w:r w:rsidR="0083797A" w:rsidRPr="007F7EBF">
        <w:rPr>
          <w:vanish/>
          <w:sz w:val="22"/>
          <w:szCs w:val="22"/>
        </w:rPr>
        <w:t>QQ</w:t>
      </w:r>
      <w:r w:rsidR="00BE6357">
        <w:rPr>
          <w:vanish/>
          <w:sz w:val="22"/>
          <w:szCs w:val="22"/>
        </w:rPr>
        <w:t>(((</w:t>
      </w:r>
      <w:r w:rsidR="00E540C4" w:rsidRPr="007F7EBF">
        <w:rPr>
          <w:rStyle w:val="Rimandonotaapidipagina"/>
          <w:sz w:val="22"/>
          <w:szCs w:val="22"/>
        </w:rPr>
        <w:footnoteReference w:id="561"/>
      </w:r>
      <w:r w:rsidR="00BE6357">
        <w:rPr>
          <w:sz w:val="22"/>
          <w:szCs w:val="22"/>
        </w:rPr>
        <w:t xml:space="preserve">). </w:t>
      </w:r>
      <w:r w:rsidR="00137FF4">
        <w:rPr>
          <w:sz w:val="22"/>
          <w:szCs w:val="22"/>
        </w:rPr>
        <w:t>Questi poteri a</w:t>
      </w:r>
      <w:r w:rsidR="00BE6357">
        <w:rPr>
          <w:sz w:val="22"/>
          <w:szCs w:val="22"/>
        </w:rPr>
        <w:t xml:space="preserve">nticamente </w:t>
      </w:r>
      <w:r w:rsidR="00E107E8">
        <w:rPr>
          <w:sz w:val="22"/>
          <w:szCs w:val="22"/>
        </w:rPr>
        <w:t>erano</w:t>
      </w:r>
      <w:r w:rsidR="00BE6357">
        <w:rPr>
          <w:sz w:val="22"/>
          <w:szCs w:val="22"/>
        </w:rPr>
        <w:t xml:space="preserve"> impliciti nella funzione tributaria, mentre </w:t>
      </w:r>
      <w:r w:rsidR="00527081">
        <w:rPr>
          <w:sz w:val="22"/>
          <w:szCs w:val="22"/>
        </w:rPr>
        <w:t>oggi il p</w:t>
      </w:r>
      <w:r w:rsidR="0083797A" w:rsidRPr="007F7EBF">
        <w:rPr>
          <w:bCs/>
          <w:sz w:val="22"/>
          <w:szCs w:val="22"/>
        </w:rPr>
        <w:t xml:space="preserve">rincipio di </w:t>
      </w:r>
      <w:r w:rsidR="0015151E" w:rsidRPr="007F7EBF">
        <w:rPr>
          <w:bCs/>
          <w:sz w:val="22"/>
          <w:szCs w:val="22"/>
        </w:rPr>
        <w:t>legalità</w:t>
      </w:r>
      <w:r w:rsidR="00BE6357">
        <w:rPr>
          <w:bCs/>
          <w:sz w:val="22"/>
          <w:szCs w:val="22"/>
        </w:rPr>
        <w:t xml:space="preserve"> (</w:t>
      </w:r>
      <w:r w:rsidR="0083797A" w:rsidRPr="007F7EBF">
        <w:rPr>
          <w:bCs/>
          <w:sz w:val="22"/>
          <w:szCs w:val="22"/>
        </w:rPr>
        <w:t>par.2.</w:t>
      </w:r>
      <w:r w:rsidR="00527081">
        <w:rPr>
          <w:bCs/>
          <w:sz w:val="22"/>
          <w:szCs w:val="22"/>
        </w:rPr>
        <w:t>3</w:t>
      </w:r>
      <w:r w:rsidR="00BE6357">
        <w:rPr>
          <w:bCs/>
          <w:sz w:val="22"/>
          <w:szCs w:val="22"/>
        </w:rPr>
        <w:t>)</w:t>
      </w:r>
      <w:r w:rsidR="00527081">
        <w:rPr>
          <w:bCs/>
          <w:sz w:val="22"/>
          <w:szCs w:val="22"/>
        </w:rPr>
        <w:t xml:space="preserve"> ne impone la predeterminazione</w:t>
      </w:r>
      <w:r w:rsidR="00E107E8">
        <w:rPr>
          <w:bCs/>
          <w:sz w:val="22"/>
          <w:szCs w:val="22"/>
        </w:rPr>
        <w:t xml:space="preserve">, per imporre </w:t>
      </w:r>
      <w:r w:rsidR="00137FF4">
        <w:rPr>
          <w:bCs/>
          <w:sz w:val="22"/>
          <w:szCs w:val="22"/>
        </w:rPr>
        <w:t xml:space="preserve">l’esercizio coattivo e le </w:t>
      </w:r>
      <w:r w:rsidR="0015151E" w:rsidRPr="007F7EBF">
        <w:rPr>
          <w:sz w:val="22"/>
          <w:szCs w:val="22"/>
        </w:rPr>
        <w:t xml:space="preserve">sanzioni in caso di </w:t>
      </w:r>
      <w:r w:rsidR="00BE6357">
        <w:rPr>
          <w:sz w:val="22"/>
          <w:szCs w:val="22"/>
        </w:rPr>
        <w:t>inadempimento</w:t>
      </w:r>
      <w:r w:rsidR="00527081">
        <w:rPr>
          <w:sz w:val="22"/>
          <w:szCs w:val="22"/>
        </w:rPr>
        <w:t xml:space="preserve">. </w:t>
      </w:r>
    </w:p>
    <w:p w14:paraId="5680EB3C" w14:textId="0A66FFE4" w:rsidR="00E540C4" w:rsidRPr="007F7EBF" w:rsidRDefault="00FE4777" w:rsidP="00E540C4">
      <w:pPr>
        <w:pStyle w:val="tit23"/>
        <w:ind w:left="6464" w:right="-1361" w:firstLine="0"/>
        <w:jc w:val="left"/>
        <w:rPr>
          <w:bCs/>
          <w:i/>
          <w:iCs/>
          <w:color w:val="0000FF"/>
          <w:lang w:val="it-IT"/>
        </w:rPr>
      </w:pPr>
      <w:r>
        <w:rPr>
          <w:bCs/>
          <w:i/>
          <w:iCs/>
          <w:color w:val="0000FF"/>
          <w:lang w:val="it-IT"/>
        </w:rPr>
        <w:t>E informazioni liberamente acquisibili</w:t>
      </w:r>
    </w:p>
    <w:p w14:paraId="709DCDB1" w14:textId="03B4367A" w:rsidR="00E60235" w:rsidRPr="007F7EBF" w:rsidRDefault="00E107E8" w:rsidP="00BE6357">
      <w:pPr>
        <w:autoSpaceDE w:val="0"/>
        <w:autoSpaceDN w:val="0"/>
        <w:adjustRightInd w:val="0"/>
        <w:rPr>
          <w:sz w:val="22"/>
          <w:szCs w:val="22"/>
        </w:rPr>
      </w:pPr>
      <w:r>
        <w:t>Resta il potere di indagare</w:t>
      </w:r>
      <w:r w:rsidR="00271F39" w:rsidRPr="007F7EBF">
        <w:rPr>
          <w:sz w:val="22"/>
          <w:szCs w:val="22"/>
        </w:rPr>
        <w:t xml:space="preserve"> </w:t>
      </w:r>
      <w:r>
        <w:rPr>
          <w:sz w:val="22"/>
          <w:szCs w:val="22"/>
        </w:rPr>
        <w:t>senza</w:t>
      </w:r>
      <w:r w:rsidR="003A07AD">
        <w:rPr>
          <w:sz w:val="22"/>
          <w:szCs w:val="22"/>
        </w:rPr>
        <w:t xml:space="preserve"> introdursi nella sfera giuridica altrui</w:t>
      </w:r>
      <w:r>
        <w:rPr>
          <w:sz w:val="22"/>
          <w:szCs w:val="22"/>
        </w:rPr>
        <w:t xml:space="preserve"> e senza imporre sanzioni, trovando </w:t>
      </w:r>
      <w:r w:rsidR="00BB0ADA" w:rsidRPr="007F7EBF">
        <w:rPr>
          <w:sz w:val="22"/>
          <w:szCs w:val="22"/>
        </w:rPr>
        <w:t>informazioni accessibili</w:t>
      </w:r>
      <w:r w:rsidR="00BB0ADA">
        <w:rPr>
          <w:sz w:val="22"/>
          <w:szCs w:val="22"/>
        </w:rPr>
        <w:t xml:space="preserve"> su </w:t>
      </w:r>
      <w:r w:rsidR="00BB0ADA" w:rsidRPr="007F7EBF">
        <w:rPr>
          <w:sz w:val="22"/>
          <w:szCs w:val="22"/>
        </w:rPr>
        <w:t>internet</w:t>
      </w:r>
      <w:r>
        <w:rPr>
          <w:sz w:val="22"/>
          <w:szCs w:val="22"/>
        </w:rPr>
        <w:t xml:space="preserve">, </w:t>
      </w:r>
      <w:r>
        <w:rPr>
          <w:sz w:val="22"/>
          <w:szCs w:val="22"/>
        </w:rPr>
        <w:lastRenderedPageBreak/>
        <w:t xml:space="preserve">percepibili dalla pubblica via </w:t>
      </w:r>
      <w:r w:rsidR="00FE4777">
        <w:rPr>
          <w:sz w:val="22"/>
          <w:szCs w:val="22"/>
        </w:rPr>
        <w:t xml:space="preserve">o </w:t>
      </w:r>
      <w:r>
        <w:rPr>
          <w:sz w:val="22"/>
          <w:szCs w:val="22"/>
        </w:rPr>
        <w:t xml:space="preserve">fornite </w:t>
      </w:r>
      <w:r w:rsidR="00BB0ADA" w:rsidRPr="007F7EBF">
        <w:rPr>
          <w:sz w:val="22"/>
          <w:szCs w:val="22"/>
        </w:rPr>
        <w:t>spontanea</w:t>
      </w:r>
      <w:r>
        <w:rPr>
          <w:sz w:val="22"/>
          <w:szCs w:val="22"/>
        </w:rPr>
        <w:t>mente da</w:t>
      </w:r>
      <w:r w:rsidR="00FE4777">
        <w:rPr>
          <w:sz w:val="22"/>
          <w:szCs w:val="22"/>
        </w:rPr>
        <w:t xml:space="preserve"> terzi</w:t>
      </w:r>
      <w:r w:rsidR="00965773">
        <w:rPr>
          <w:bCs/>
          <w:sz w:val="22"/>
          <w:szCs w:val="22"/>
        </w:rPr>
        <w:t xml:space="preserve">; </w:t>
      </w:r>
      <w:r>
        <w:rPr>
          <w:bCs/>
          <w:sz w:val="22"/>
          <w:szCs w:val="22"/>
        </w:rPr>
        <w:t>è sostenibile che i dati forniti da terzi dovessero essere da loro lecitamente posseduti per essere utilizzabili ai fini del controllo fiscale (</w:t>
      </w:r>
      <w:r w:rsidRPr="007F7EBF">
        <w:rPr>
          <w:rStyle w:val="Rimandonotaapidipagina"/>
          <w:bCs/>
          <w:sz w:val="22"/>
          <w:szCs w:val="22"/>
        </w:rPr>
        <w:footnoteReference w:id="562"/>
      </w:r>
      <w:r>
        <w:rPr>
          <w:bCs/>
          <w:sz w:val="22"/>
          <w:szCs w:val="22"/>
        </w:rPr>
        <w:t xml:space="preserve">). Se il possesso è legittimo, non rileva che l’esposto del terzo all’ufficio tributario sia dovuto </w:t>
      </w:r>
      <w:r w:rsidR="00965773">
        <w:rPr>
          <w:bCs/>
          <w:sz w:val="22"/>
          <w:szCs w:val="22"/>
        </w:rPr>
        <w:t>a rivalse personali verso il contribuente</w:t>
      </w:r>
      <w:r>
        <w:rPr>
          <w:bCs/>
          <w:sz w:val="22"/>
          <w:szCs w:val="22"/>
        </w:rPr>
        <w:t>, come accade spesso da parte di clienti insoddisfatti, dipendenti non pagati,  professionisti esautorati o ex coniugi desiderosi di ritorsioni</w:t>
      </w:r>
      <w:r w:rsidR="00860CFD">
        <w:rPr>
          <w:bCs/>
          <w:sz w:val="22"/>
          <w:szCs w:val="22"/>
        </w:rPr>
        <w:t xml:space="preserve"> </w:t>
      </w:r>
      <w:r w:rsidR="00860CFD">
        <w:rPr>
          <w:rStyle w:val="Rimandonotaapidipagina"/>
          <w:bCs/>
          <w:sz w:val="22"/>
          <w:szCs w:val="22"/>
        </w:rPr>
        <w:footnoteReference w:id="563"/>
      </w:r>
      <w:r>
        <w:rPr>
          <w:bCs/>
          <w:sz w:val="22"/>
          <w:szCs w:val="22"/>
        </w:rPr>
        <w:t xml:space="preserve">. </w:t>
      </w:r>
      <w:r w:rsidR="0015151E" w:rsidRPr="007F7EBF">
        <w:rPr>
          <w:bCs/>
          <w:i/>
          <w:iCs/>
          <w:color w:val="0000FF"/>
          <w:sz w:val="22"/>
          <w:szCs w:val="22"/>
        </w:rPr>
        <w:t xml:space="preserve"> </w:t>
      </w:r>
    </w:p>
    <w:p w14:paraId="70E901D3" w14:textId="2CF9144B" w:rsidR="00E60235" w:rsidRPr="007F7EBF" w:rsidRDefault="00EF03F8" w:rsidP="00E60235">
      <w:pPr>
        <w:pStyle w:val="tit23"/>
        <w:ind w:left="6464" w:right="-1361" w:firstLine="0"/>
        <w:jc w:val="left"/>
        <w:rPr>
          <w:bCs/>
          <w:i/>
          <w:iCs/>
          <w:color w:val="0000FF"/>
          <w:lang w:val="it-IT"/>
        </w:rPr>
      </w:pPr>
      <w:r>
        <w:rPr>
          <w:bCs/>
          <w:i/>
          <w:iCs/>
          <w:color w:val="0000FF"/>
          <w:lang w:val="it-IT"/>
        </w:rPr>
        <w:t xml:space="preserve">Competenza amministrativa </w:t>
      </w:r>
    </w:p>
    <w:p w14:paraId="610C2E85" w14:textId="77777777" w:rsidR="00EF03F8" w:rsidRPr="00831F88" w:rsidRDefault="00EF03F8" w:rsidP="00EF03F8">
      <w:pPr>
        <w:autoSpaceDE w:val="0"/>
        <w:autoSpaceDN w:val="0"/>
        <w:adjustRightInd w:val="0"/>
        <w:rPr>
          <w:sz w:val="22"/>
          <w:szCs w:val="22"/>
        </w:rPr>
      </w:pPr>
      <w:r>
        <w:rPr>
          <w:sz w:val="22"/>
          <w:szCs w:val="22"/>
        </w:rPr>
        <w:t xml:space="preserve">L’indagine è di </w:t>
      </w:r>
      <w:r w:rsidRPr="007F7EBF">
        <w:rPr>
          <w:bCs/>
          <w:sz w:val="22"/>
          <w:szCs w:val="22"/>
        </w:rPr>
        <w:t xml:space="preserve">competenza </w:t>
      </w:r>
      <w:r>
        <w:rPr>
          <w:sz w:val="22"/>
          <w:szCs w:val="22"/>
        </w:rPr>
        <w:t>spetta all’ufficio nella cui circoscrizione territoriale si trovava il domicilio fiscale</w:t>
      </w:r>
      <w:r w:rsidRPr="007F7EBF">
        <w:rPr>
          <w:bCs/>
          <w:sz w:val="22"/>
          <w:szCs w:val="22"/>
        </w:rPr>
        <w:t xml:space="preserve"> </w:t>
      </w:r>
      <w:r w:rsidRPr="007F7EBF">
        <w:rPr>
          <w:sz w:val="22"/>
          <w:szCs w:val="22"/>
        </w:rPr>
        <w:t>del contribuente al momento di presentazione della dichiarazione</w:t>
      </w:r>
      <w:r>
        <w:rPr>
          <w:sz w:val="22"/>
          <w:szCs w:val="22"/>
        </w:rPr>
        <w:t xml:space="preserve"> (</w:t>
      </w:r>
      <w:r>
        <w:rPr>
          <w:rStyle w:val="Rimandonotaapidipagina"/>
          <w:sz w:val="22"/>
          <w:szCs w:val="22"/>
        </w:rPr>
        <w:footnoteReference w:id="564"/>
      </w:r>
      <w:r>
        <w:rPr>
          <w:sz w:val="22"/>
          <w:szCs w:val="22"/>
        </w:rPr>
        <w:t>); tale ufficio rimane competente, per i relativi controlli, indipendentemente da successivi trasferimenti del soggetto (</w:t>
      </w:r>
      <w:r w:rsidRPr="007F7EBF">
        <w:rPr>
          <w:rStyle w:val="Rimandonotaapidipagina"/>
          <w:sz w:val="22"/>
          <w:szCs w:val="22"/>
        </w:rPr>
        <w:footnoteReference w:id="565"/>
      </w:r>
      <w:r>
        <w:rPr>
          <w:sz w:val="22"/>
          <w:szCs w:val="22"/>
        </w:rPr>
        <w:t>)</w:t>
      </w:r>
      <w:r w:rsidRPr="007F7EBF">
        <w:rPr>
          <w:sz w:val="22"/>
          <w:szCs w:val="22"/>
        </w:rPr>
        <w:t>.</w:t>
      </w:r>
      <w:r w:rsidRPr="007F7EBF">
        <w:rPr>
          <w:bCs/>
          <w:i/>
          <w:iCs/>
          <w:color w:val="0000FF"/>
          <w:sz w:val="22"/>
          <w:szCs w:val="22"/>
        </w:rPr>
        <w:t xml:space="preserve">  </w:t>
      </w:r>
    </w:p>
    <w:p w14:paraId="042800E3" w14:textId="350C1D9C" w:rsidR="00123238" w:rsidRPr="008A3B20" w:rsidRDefault="00B22B75" w:rsidP="00123238">
      <w:pPr>
        <w:autoSpaceDE w:val="0"/>
        <w:autoSpaceDN w:val="0"/>
        <w:adjustRightInd w:val="0"/>
        <w:rPr>
          <w:sz w:val="22"/>
          <w:szCs w:val="22"/>
        </w:rPr>
      </w:pPr>
      <w:r w:rsidRPr="007F7EBF">
        <w:rPr>
          <w:sz w:val="22"/>
          <w:szCs w:val="22"/>
        </w:rPr>
        <w:t>I tributi applicati attraverso le aziende, cioè imposte dirette ed IVA,  procedono di pari passo anche sotto il profilo dei suddetti poteri istruttori</w:t>
      </w:r>
      <w:r w:rsidR="008A3B20">
        <w:rPr>
          <w:sz w:val="22"/>
          <w:szCs w:val="22"/>
        </w:rPr>
        <w:t xml:space="preserve"> (</w:t>
      </w:r>
      <w:r w:rsidR="00A71A44" w:rsidRPr="007F7EBF">
        <w:rPr>
          <w:rStyle w:val="Rimandonotaapidipagina"/>
          <w:sz w:val="22"/>
          <w:szCs w:val="22"/>
        </w:rPr>
        <w:footnoteReference w:id="566"/>
      </w:r>
      <w:r w:rsidR="008A3B20">
        <w:rPr>
          <w:sz w:val="22"/>
          <w:szCs w:val="22"/>
        </w:rPr>
        <w:t>)</w:t>
      </w:r>
      <w:r w:rsidRPr="007F7EBF">
        <w:rPr>
          <w:sz w:val="22"/>
          <w:szCs w:val="22"/>
        </w:rPr>
        <w:t xml:space="preserve">,  </w:t>
      </w:r>
      <w:r w:rsidR="00E60235" w:rsidRPr="007F7EBF">
        <w:rPr>
          <w:sz w:val="22"/>
          <w:szCs w:val="22"/>
        </w:rPr>
        <w:t xml:space="preserve">disciplinati "in parallelo" dalla normativa sull'IVA e da quella sull'accertamento delle imposte sui redditi </w:t>
      </w:r>
      <w:r w:rsidR="008A3B20">
        <w:rPr>
          <w:sz w:val="22"/>
          <w:szCs w:val="22"/>
        </w:rPr>
        <w:t>(</w:t>
      </w:r>
      <w:r w:rsidR="00E60235" w:rsidRPr="007F7EBF">
        <w:rPr>
          <w:rStyle w:val="Rimandonotaapidipagina"/>
          <w:sz w:val="22"/>
          <w:szCs w:val="22"/>
        </w:rPr>
        <w:footnoteReference w:id="567"/>
      </w:r>
      <w:r w:rsidR="008A3B20">
        <w:rPr>
          <w:sz w:val="22"/>
          <w:szCs w:val="22"/>
        </w:rPr>
        <w:t>)</w:t>
      </w:r>
      <w:r w:rsidRPr="007F7EBF">
        <w:rPr>
          <w:sz w:val="22"/>
          <w:szCs w:val="22"/>
        </w:rPr>
        <w:t>.</w:t>
      </w:r>
    </w:p>
    <w:p w14:paraId="0DB6B360" w14:textId="742302CC" w:rsidR="00123238" w:rsidRPr="007F7EBF" w:rsidRDefault="00123238" w:rsidP="00123238">
      <w:pPr>
        <w:pStyle w:val="tit23"/>
        <w:ind w:left="6464" w:right="-1361" w:firstLine="0"/>
        <w:jc w:val="left"/>
        <w:rPr>
          <w:bCs/>
          <w:i/>
          <w:iCs/>
          <w:color w:val="0000FF"/>
          <w:lang w:val="it-IT"/>
        </w:rPr>
      </w:pPr>
      <w:r>
        <w:rPr>
          <w:bCs/>
          <w:i/>
          <w:iCs/>
          <w:color w:val="0000FF"/>
          <w:lang w:val="it-IT"/>
        </w:rPr>
        <w:lastRenderedPageBreak/>
        <w:t xml:space="preserve">Convocazioni e richieste di documenti e informazioni </w:t>
      </w:r>
    </w:p>
    <w:p w14:paraId="35F7E5AD" w14:textId="4E635F26" w:rsidR="0015151E" w:rsidRPr="008A3B20" w:rsidRDefault="00123238" w:rsidP="00D15914">
      <w:pPr>
        <w:autoSpaceDE w:val="0"/>
        <w:autoSpaceDN w:val="0"/>
        <w:adjustRightInd w:val="0"/>
        <w:rPr>
          <w:sz w:val="22"/>
          <w:szCs w:val="22"/>
        </w:rPr>
      </w:pPr>
      <w:r w:rsidRPr="007F7EBF">
        <w:rPr>
          <w:sz w:val="22"/>
          <w:szCs w:val="22"/>
        </w:rPr>
        <w:t xml:space="preserve">Nei confronti di  piccoli commercianti, artigiani e persone fisiche, </w:t>
      </w:r>
      <w:r>
        <w:rPr>
          <w:sz w:val="22"/>
          <w:szCs w:val="22"/>
        </w:rPr>
        <w:t xml:space="preserve">un primo livello di indagine comporta </w:t>
      </w:r>
      <w:r w:rsidRPr="007F7EBF">
        <w:rPr>
          <w:sz w:val="22"/>
          <w:szCs w:val="22"/>
        </w:rPr>
        <w:t xml:space="preserve">la convocazione presso gli uffici tributari, presentando  documenti e rispondendo a domande, verbalizzate assieme alle risposte. </w:t>
      </w:r>
      <w:r>
        <w:rPr>
          <w:sz w:val="22"/>
          <w:szCs w:val="22"/>
        </w:rPr>
        <w:t xml:space="preserve">Queste </w:t>
      </w:r>
      <w:r w:rsidR="00C17D68">
        <w:rPr>
          <w:sz w:val="22"/>
          <w:szCs w:val="22"/>
        </w:rPr>
        <w:t xml:space="preserve">possono </w:t>
      </w:r>
      <w:r>
        <w:rPr>
          <w:sz w:val="22"/>
          <w:szCs w:val="22"/>
        </w:rPr>
        <w:t xml:space="preserve">riguardare anche terzi, in rapporti col contribuente, compresi clienti </w:t>
      </w:r>
      <w:r w:rsidR="00C17D68">
        <w:rPr>
          <w:sz w:val="22"/>
          <w:szCs w:val="22"/>
        </w:rPr>
        <w:t xml:space="preserve">privati consumatori finali; ad es. chi aveva pagato pranzi di nozze è stato invitato a fornire informazioni per il controllo fiscale del relativo ristorante e gli inquilini sul pagamento di canoni locativi al proprietario. </w:t>
      </w:r>
    </w:p>
    <w:p w14:paraId="1852ECC1" w14:textId="05FE7F4F" w:rsidR="00690226" w:rsidRPr="007F7EBF" w:rsidRDefault="000E191E" w:rsidP="000E191E">
      <w:pPr>
        <w:pStyle w:val="tit23"/>
        <w:ind w:left="6464" w:right="-1361" w:firstLine="0"/>
        <w:jc w:val="left"/>
        <w:rPr>
          <w:bCs/>
          <w:i/>
          <w:iCs/>
          <w:color w:val="0000FF"/>
          <w:lang w:val="it-IT"/>
        </w:rPr>
      </w:pPr>
      <w:r>
        <w:rPr>
          <w:bCs/>
          <w:i/>
          <w:iCs/>
          <w:color w:val="0000FF"/>
          <w:lang w:val="it-IT"/>
        </w:rPr>
        <w:t xml:space="preserve">Indagini presso il </w:t>
      </w:r>
      <w:r w:rsidR="00E416F9" w:rsidRPr="007F7EBF">
        <w:rPr>
          <w:bCs/>
          <w:i/>
          <w:iCs/>
          <w:color w:val="0000FF"/>
          <w:lang w:val="it-IT"/>
        </w:rPr>
        <w:t xml:space="preserve"> contribuente </w:t>
      </w:r>
    </w:p>
    <w:p w14:paraId="597955E8" w14:textId="5FFBF5D1" w:rsidR="00C17D68" w:rsidRDefault="00123238" w:rsidP="00C17D68">
      <w:pPr>
        <w:autoSpaceDE w:val="0"/>
        <w:autoSpaceDN w:val="0"/>
        <w:adjustRightInd w:val="0"/>
        <w:rPr>
          <w:sz w:val="22"/>
          <w:szCs w:val="22"/>
        </w:rPr>
      </w:pPr>
      <w:r>
        <w:rPr>
          <w:sz w:val="22"/>
          <w:szCs w:val="22"/>
        </w:rPr>
        <w:t>Oltre che presso gli uffici, come appena detto, l</w:t>
      </w:r>
      <w:r w:rsidR="005D7C9F" w:rsidRPr="007F7EBF">
        <w:rPr>
          <w:sz w:val="22"/>
          <w:szCs w:val="22"/>
        </w:rPr>
        <w:t>e indagini possono anche svolgersi</w:t>
      </w:r>
      <w:r>
        <w:rPr>
          <w:sz w:val="22"/>
          <w:szCs w:val="22"/>
        </w:rPr>
        <w:t xml:space="preserve"> </w:t>
      </w:r>
      <w:r w:rsidR="005D7C9F" w:rsidRPr="007F7EBF">
        <w:rPr>
          <w:sz w:val="22"/>
          <w:szCs w:val="22"/>
        </w:rPr>
        <w:t xml:space="preserve">presso il contribuente, con "accessi, ispezioni e verifiche", espressioni riguardanti profili diversi dell'istruttoria esterna agli uffici. </w:t>
      </w:r>
      <w:r w:rsidR="00C17D68" w:rsidRPr="007F7EBF">
        <w:rPr>
          <w:sz w:val="22"/>
          <w:szCs w:val="22"/>
        </w:rPr>
        <w:t>Ciascuno può immaginar</w:t>
      </w:r>
      <w:r w:rsidR="00C17D68">
        <w:rPr>
          <w:sz w:val="22"/>
          <w:szCs w:val="22"/>
        </w:rPr>
        <w:t>n</w:t>
      </w:r>
      <w:r w:rsidR="00C17D68" w:rsidRPr="007F7EBF">
        <w:rPr>
          <w:sz w:val="22"/>
          <w:szCs w:val="22"/>
        </w:rPr>
        <w:t xml:space="preserve">e </w:t>
      </w:r>
      <w:r w:rsidR="00C17D68">
        <w:rPr>
          <w:sz w:val="22"/>
          <w:szCs w:val="22"/>
        </w:rPr>
        <w:t xml:space="preserve">lo svolgimento </w:t>
      </w:r>
      <w:r w:rsidR="00C17D68" w:rsidRPr="007F7EBF">
        <w:rPr>
          <w:sz w:val="22"/>
          <w:szCs w:val="22"/>
        </w:rPr>
        <w:t xml:space="preserve">con un minimo di fantasia, senza parafrasare qui, nei soliti sterili schemini, le lunghe elencazioni </w:t>
      </w:r>
      <w:r w:rsidR="00C17D68">
        <w:rPr>
          <w:sz w:val="22"/>
          <w:szCs w:val="22"/>
        </w:rPr>
        <w:t>normative sulle modalità di esercizio</w:t>
      </w:r>
      <w:r w:rsidR="00C17D68" w:rsidRPr="007F7EBF">
        <w:rPr>
          <w:bCs/>
          <w:i/>
          <w:iCs/>
          <w:color w:val="0000FF"/>
          <w:sz w:val="22"/>
          <w:szCs w:val="22"/>
        </w:rPr>
        <w:t>.</w:t>
      </w:r>
      <w:r w:rsidR="00C17D68">
        <w:rPr>
          <w:bCs/>
          <w:i/>
          <w:iCs/>
          <w:color w:val="0000FF"/>
          <w:sz w:val="22"/>
          <w:szCs w:val="22"/>
        </w:rPr>
        <w:t xml:space="preserve"> </w:t>
      </w:r>
    </w:p>
    <w:p w14:paraId="40516B79" w14:textId="2D7624F0" w:rsidR="005D7C9F" w:rsidRPr="007F7EBF" w:rsidRDefault="00C17D68" w:rsidP="005D7C9F">
      <w:pPr>
        <w:autoSpaceDE w:val="0"/>
        <w:autoSpaceDN w:val="0"/>
        <w:adjustRightInd w:val="0"/>
        <w:rPr>
          <w:bCs/>
          <w:iCs/>
          <w:color w:val="0000FF"/>
          <w:sz w:val="22"/>
          <w:szCs w:val="22"/>
        </w:rPr>
      </w:pPr>
      <w:r>
        <w:rPr>
          <w:sz w:val="22"/>
          <w:szCs w:val="22"/>
        </w:rPr>
        <w:t>Tuttavia può essere utile un “</w:t>
      </w:r>
      <w:r w:rsidR="005D7C9F" w:rsidRPr="007F7EBF">
        <w:rPr>
          <w:bCs/>
          <w:sz w:val="22"/>
          <w:szCs w:val="22"/>
        </w:rPr>
        <w:t>accesso</w:t>
      </w:r>
      <w:r>
        <w:rPr>
          <w:bCs/>
          <w:sz w:val="22"/>
          <w:szCs w:val="22"/>
        </w:rPr>
        <w:t>”</w:t>
      </w:r>
      <w:r w:rsidR="005D7C9F" w:rsidRPr="007F7EBF">
        <w:rPr>
          <w:sz w:val="22"/>
          <w:szCs w:val="22"/>
        </w:rPr>
        <w:t xml:space="preserve"> presso il contribuente</w:t>
      </w:r>
      <w:r>
        <w:rPr>
          <w:sz w:val="22"/>
          <w:szCs w:val="22"/>
        </w:rPr>
        <w:t xml:space="preserve"> (</w:t>
      </w:r>
      <w:proofErr w:type="spellStart"/>
      <w:r>
        <w:rPr>
          <w:sz w:val="22"/>
          <w:szCs w:val="22"/>
        </w:rPr>
        <w:t>c.d.”a</w:t>
      </w:r>
      <w:r w:rsidR="005D7C9F" w:rsidRPr="007F7EBF">
        <w:rPr>
          <w:bCs/>
          <w:sz w:val="22"/>
          <w:szCs w:val="22"/>
        </w:rPr>
        <w:t>ccessi</w:t>
      </w:r>
      <w:proofErr w:type="spellEnd"/>
      <w:r w:rsidR="005D7C9F" w:rsidRPr="007F7EBF">
        <w:rPr>
          <w:bCs/>
          <w:sz w:val="22"/>
          <w:szCs w:val="22"/>
        </w:rPr>
        <w:t xml:space="preserve"> brevi</w:t>
      </w:r>
      <w:r w:rsidR="005D7C9F" w:rsidRPr="007F7EBF">
        <w:rPr>
          <w:sz w:val="22"/>
          <w:szCs w:val="22"/>
        </w:rPr>
        <w:t>”</w:t>
      </w:r>
      <w:r>
        <w:rPr>
          <w:sz w:val="22"/>
          <w:szCs w:val="22"/>
        </w:rPr>
        <w:t>)</w:t>
      </w:r>
      <w:r w:rsidR="005D7C9F" w:rsidRPr="007F7EBF">
        <w:rPr>
          <w:sz w:val="22"/>
          <w:szCs w:val="22"/>
        </w:rPr>
        <w:t xml:space="preserve"> per rendersi conto direttamente delle caratteristiche di una certa attività</w:t>
      </w:r>
      <w:r>
        <w:rPr>
          <w:sz w:val="22"/>
          <w:szCs w:val="22"/>
        </w:rPr>
        <w:t xml:space="preserve">. </w:t>
      </w:r>
      <w:r w:rsidR="005D7C9F" w:rsidRPr="007F7EBF">
        <w:rPr>
          <w:bCs/>
          <w:i/>
          <w:iCs/>
          <w:color w:val="0000FF"/>
          <w:sz w:val="22"/>
          <w:szCs w:val="22"/>
        </w:rPr>
        <w:t xml:space="preserve"> </w:t>
      </w:r>
    </w:p>
    <w:p w14:paraId="39B0312E" w14:textId="79E1FF8A" w:rsidR="00C82C93" w:rsidRPr="007F7EBF" w:rsidRDefault="005D7C9F" w:rsidP="00C82C93">
      <w:pPr>
        <w:autoSpaceDE w:val="0"/>
        <w:autoSpaceDN w:val="0"/>
        <w:adjustRightInd w:val="0"/>
        <w:rPr>
          <w:sz w:val="22"/>
          <w:szCs w:val="22"/>
        </w:rPr>
      </w:pPr>
      <w:r w:rsidRPr="007F7EBF">
        <w:rPr>
          <w:sz w:val="22"/>
          <w:szCs w:val="22"/>
        </w:rPr>
        <w:t xml:space="preserve">Il concetto di ispezione attiene all'analisi di documenti ed eventualmente di luoghi fisici diversi dalla sede dell'attività, dove altrimenti di avrebbe un accesso (ad es. depositi, rimessaggi, terreni, veicoli etc.). L'indagine più ampia è la </w:t>
      </w:r>
      <w:r w:rsidRPr="007F7EBF">
        <w:rPr>
          <w:bCs/>
          <w:sz w:val="22"/>
          <w:szCs w:val="22"/>
        </w:rPr>
        <w:t>verifica (generale o parziale), che comporta una qualche permanenza stabile presso la sede dell'attività, o addirittura il domicilio, del contribuente ispezionato.</w:t>
      </w:r>
      <w:r w:rsidR="00C82C93" w:rsidRPr="00C82C93">
        <w:rPr>
          <w:sz w:val="22"/>
          <w:szCs w:val="22"/>
        </w:rPr>
        <w:t xml:space="preserve"> </w:t>
      </w:r>
    </w:p>
    <w:p w14:paraId="375B83FC" w14:textId="77777777" w:rsidR="00C82C93" w:rsidRPr="007F7EBF" w:rsidRDefault="00C82C93" w:rsidP="00C82C93">
      <w:pPr>
        <w:pStyle w:val="tit23"/>
        <w:ind w:left="6464" w:right="-1361" w:firstLine="0"/>
        <w:jc w:val="left"/>
        <w:rPr>
          <w:bCs/>
          <w:i/>
          <w:iCs/>
          <w:color w:val="0000FF"/>
          <w:lang w:val="it-IT"/>
        </w:rPr>
      </w:pPr>
      <w:r w:rsidRPr="007F7EBF">
        <w:rPr>
          <w:bCs/>
          <w:i/>
          <w:iCs/>
          <w:color w:val="0000FF"/>
          <w:lang w:val="it-IT"/>
        </w:rPr>
        <w:t>Controlli e territorio estero</w:t>
      </w:r>
    </w:p>
    <w:p w14:paraId="0E94E61D" w14:textId="1534D4A0" w:rsidR="00690226" w:rsidRPr="007F7EBF" w:rsidRDefault="00C82C93" w:rsidP="00690226">
      <w:pPr>
        <w:autoSpaceDE w:val="0"/>
        <w:autoSpaceDN w:val="0"/>
        <w:adjustRightInd w:val="0"/>
        <w:rPr>
          <w:sz w:val="22"/>
          <w:szCs w:val="22"/>
        </w:rPr>
      </w:pPr>
      <w:r w:rsidRPr="007F7EBF">
        <w:rPr>
          <w:sz w:val="22"/>
          <w:szCs w:val="22"/>
        </w:rPr>
        <w:t xml:space="preserve">I controlli tributari, in quanto espressione di potere pubblico, sono esercitabili solo all'interno del territorio, e quindi sono parzialmente spiazzati dalla globalizzazione e dalle libertà di circolazione europee (merci, capitali, imprese: paragrafi 2.6, 3.11). Sono tuttavia </w:t>
      </w:r>
      <w:r>
        <w:rPr>
          <w:sz w:val="22"/>
          <w:szCs w:val="22"/>
        </w:rPr>
        <w:t>astrattamente concepibili</w:t>
      </w:r>
      <w:r w:rsidRPr="007F7EBF">
        <w:rPr>
          <w:sz w:val="22"/>
          <w:szCs w:val="22"/>
        </w:rPr>
        <w:t xml:space="preserve"> sopralluoghi </w:t>
      </w:r>
      <w:r>
        <w:rPr>
          <w:sz w:val="22"/>
          <w:szCs w:val="22"/>
        </w:rPr>
        <w:t xml:space="preserve">e assunzioni d’informazioni </w:t>
      </w:r>
      <w:r w:rsidRPr="007F7EBF">
        <w:rPr>
          <w:sz w:val="22"/>
          <w:szCs w:val="22"/>
        </w:rPr>
        <w:t>"non autoritativi" all'estero</w:t>
      </w:r>
      <w:r>
        <w:rPr>
          <w:sz w:val="22"/>
          <w:szCs w:val="22"/>
        </w:rPr>
        <w:t xml:space="preserve">, svolti anche col consenso di controparti italiane, che invitano il soggetto estero a collaborare, in modo da agevolare </w:t>
      </w:r>
      <w:proofErr w:type="spellStart"/>
      <w:r>
        <w:rPr>
          <w:sz w:val="22"/>
          <w:szCs w:val="22"/>
        </w:rPr>
        <w:lastRenderedPageBreak/>
        <w:t>cooperativamente</w:t>
      </w:r>
      <w:proofErr w:type="spellEnd"/>
      <w:r>
        <w:rPr>
          <w:sz w:val="22"/>
          <w:szCs w:val="22"/>
        </w:rPr>
        <w:t xml:space="preserve"> le indagini nei loro confronti (</w:t>
      </w:r>
      <w:r w:rsidRPr="007F7EBF">
        <w:rPr>
          <w:rStyle w:val="Rimandonotaapidipagina"/>
          <w:sz w:val="22"/>
          <w:szCs w:val="22"/>
        </w:rPr>
        <w:footnoteReference w:id="568"/>
      </w:r>
      <w:r>
        <w:rPr>
          <w:sz w:val="22"/>
          <w:szCs w:val="22"/>
        </w:rPr>
        <w:t>)</w:t>
      </w:r>
      <w:r w:rsidRPr="007F7EBF">
        <w:rPr>
          <w:sz w:val="22"/>
          <w:szCs w:val="22"/>
        </w:rPr>
        <w:t xml:space="preserve">. </w:t>
      </w:r>
      <w:r w:rsidR="000E191E">
        <w:rPr>
          <w:sz w:val="22"/>
          <w:szCs w:val="22"/>
        </w:rPr>
        <w:t>S</w:t>
      </w:r>
      <w:r w:rsidRPr="007F7EBF">
        <w:rPr>
          <w:sz w:val="22"/>
          <w:szCs w:val="22"/>
        </w:rPr>
        <w:t>e coercitive</w:t>
      </w:r>
      <w:r w:rsidR="000E191E">
        <w:rPr>
          <w:sz w:val="22"/>
          <w:szCs w:val="22"/>
        </w:rPr>
        <w:t>, le indagini</w:t>
      </w:r>
      <w:r w:rsidRPr="007F7EBF">
        <w:rPr>
          <w:sz w:val="22"/>
          <w:szCs w:val="22"/>
        </w:rPr>
        <w:t xml:space="preserve"> all'estero devono </w:t>
      </w:r>
      <w:r>
        <w:rPr>
          <w:sz w:val="22"/>
          <w:szCs w:val="22"/>
        </w:rPr>
        <w:t xml:space="preserve">invece </w:t>
      </w:r>
      <w:r w:rsidRPr="007F7EBF">
        <w:rPr>
          <w:sz w:val="22"/>
          <w:szCs w:val="22"/>
        </w:rPr>
        <w:t xml:space="preserve">ricorrere  </w:t>
      </w:r>
      <w:r>
        <w:rPr>
          <w:sz w:val="22"/>
          <w:szCs w:val="22"/>
        </w:rPr>
        <w:t xml:space="preserve">all’assistenza degli uffici del paese ospite, prevista dalle </w:t>
      </w:r>
      <w:r w:rsidRPr="007F7EBF">
        <w:rPr>
          <w:sz w:val="22"/>
          <w:szCs w:val="22"/>
        </w:rPr>
        <w:t xml:space="preserve">convenzioni contro le doppie imposizioni </w:t>
      </w:r>
      <w:r>
        <w:rPr>
          <w:sz w:val="22"/>
          <w:szCs w:val="22"/>
        </w:rPr>
        <w:t>(</w:t>
      </w:r>
      <w:r w:rsidRPr="007F7EBF">
        <w:rPr>
          <w:sz w:val="22"/>
          <w:szCs w:val="22"/>
        </w:rPr>
        <w:t xml:space="preserve">par.7.18), oppure </w:t>
      </w:r>
      <w:r>
        <w:rPr>
          <w:sz w:val="22"/>
          <w:szCs w:val="22"/>
        </w:rPr>
        <w:t>dal</w:t>
      </w:r>
      <w:r w:rsidRPr="007F7EBF">
        <w:rPr>
          <w:sz w:val="22"/>
          <w:szCs w:val="22"/>
        </w:rPr>
        <w:t>le norme interne emanate su direttive dell'Unione Europea</w:t>
      </w:r>
      <w:r w:rsidR="009739A4">
        <w:rPr>
          <w:sz w:val="22"/>
          <w:szCs w:val="22"/>
        </w:rPr>
        <w:t xml:space="preserve"> (</w:t>
      </w:r>
      <w:r w:rsidR="009739A4">
        <w:rPr>
          <w:rStyle w:val="Rimandonotaapidipagina"/>
          <w:sz w:val="22"/>
          <w:szCs w:val="22"/>
        </w:rPr>
        <w:footnoteReference w:id="569"/>
      </w:r>
      <w:r w:rsidR="009739A4">
        <w:rPr>
          <w:sz w:val="22"/>
          <w:szCs w:val="22"/>
        </w:rPr>
        <w:t>)</w:t>
      </w:r>
      <w:r>
        <w:rPr>
          <w:sz w:val="22"/>
          <w:szCs w:val="22"/>
        </w:rPr>
        <w:t xml:space="preserve">; in sintesi però i controlli fiscali circolano tra un paese e l’altro in modo molto più lento di quanto circolino imprese e capitali </w:t>
      </w:r>
      <w:r w:rsidR="000E191E">
        <w:rPr>
          <w:sz w:val="22"/>
          <w:szCs w:val="22"/>
        </w:rPr>
        <w:t>(</w:t>
      </w:r>
      <w:r w:rsidRPr="007F7EBF">
        <w:rPr>
          <w:rStyle w:val="Rimandonotaapidipagina"/>
          <w:sz w:val="22"/>
          <w:szCs w:val="22"/>
        </w:rPr>
        <w:footnoteReference w:id="570"/>
      </w:r>
      <w:r w:rsidR="000E191E">
        <w:rPr>
          <w:sz w:val="22"/>
          <w:szCs w:val="22"/>
        </w:rPr>
        <w:t>)</w:t>
      </w:r>
      <w:r w:rsidRPr="007F7EBF">
        <w:rPr>
          <w:sz w:val="22"/>
          <w:szCs w:val="22"/>
        </w:rPr>
        <w:t>.</w:t>
      </w:r>
      <w:r w:rsidRPr="00A16E1E">
        <w:t xml:space="preserve"> </w:t>
      </w:r>
    </w:p>
    <w:p w14:paraId="014CA242" w14:textId="77777777" w:rsidR="00690226" w:rsidRPr="007F7EBF" w:rsidRDefault="00690226" w:rsidP="00690226">
      <w:pPr>
        <w:pStyle w:val="tit23"/>
        <w:ind w:left="6464" w:right="-1361" w:firstLine="0"/>
        <w:jc w:val="left"/>
        <w:rPr>
          <w:bCs/>
          <w:i/>
          <w:iCs/>
          <w:color w:val="0000FF"/>
          <w:lang w:val="it-IT"/>
        </w:rPr>
      </w:pPr>
      <w:r w:rsidRPr="007F7EBF">
        <w:rPr>
          <w:bCs/>
          <w:i/>
          <w:iCs/>
          <w:color w:val="0000FF"/>
          <w:lang w:val="it-IT"/>
        </w:rPr>
        <w:t xml:space="preserve">Esigenze organizzative interne e di tutela degli indagati     </w:t>
      </w:r>
    </w:p>
    <w:p w14:paraId="73F96888" w14:textId="0A6F0DA5" w:rsidR="00B22B75" w:rsidRPr="007F7EBF" w:rsidRDefault="00BB6BE1" w:rsidP="00B22B75">
      <w:pPr>
        <w:autoSpaceDE w:val="0"/>
        <w:autoSpaceDN w:val="0"/>
        <w:adjustRightInd w:val="0"/>
        <w:rPr>
          <w:sz w:val="22"/>
          <w:szCs w:val="22"/>
        </w:rPr>
      </w:pPr>
      <w:r w:rsidRPr="007F7EBF">
        <w:rPr>
          <w:sz w:val="22"/>
          <w:szCs w:val="22"/>
        </w:rPr>
        <w:t>Nelle regole che disciplinano le  indagini si mescolano finalità organizzative interne, dirette al buon andamento degli uffici, e finalità di protezione dei privati, cui le indagini si dirigono</w:t>
      </w:r>
      <w:r w:rsidR="00123238">
        <w:rPr>
          <w:sz w:val="22"/>
          <w:szCs w:val="22"/>
        </w:rPr>
        <w:t xml:space="preserve">, come </w:t>
      </w:r>
      <w:r w:rsidR="008A3B20">
        <w:rPr>
          <w:sz w:val="22"/>
          <w:szCs w:val="22"/>
        </w:rPr>
        <w:t xml:space="preserve">protezione del </w:t>
      </w:r>
      <w:r w:rsidR="00AD186E" w:rsidRPr="007F7EBF">
        <w:rPr>
          <w:sz w:val="22"/>
          <w:szCs w:val="22"/>
        </w:rPr>
        <w:t xml:space="preserve">domicilio, </w:t>
      </w:r>
      <w:r w:rsidR="008A3B20">
        <w:rPr>
          <w:sz w:val="22"/>
          <w:szCs w:val="22"/>
        </w:rPr>
        <w:t xml:space="preserve">della </w:t>
      </w:r>
      <w:r w:rsidR="00AD186E" w:rsidRPr="007F7EBF">
        <w:rPr>
          <w:sz w:val="22"/>
          <w:szCs w:val="22"/>
        </w:rPr>
        <w:t xml:space="preserve">riservatezza, </w:t>
      </w:r>
      <w:r w:rsidR="008A3B20">
        <w:rPr>
          <w:sz w:val="22"/>
          <w:szCs w:val="22"/>
        </w:rPr>
        <w:t xml:space="preserve">della </w:t>
      </w:r>
      <w:r w:rsidR="00AD186E" w:rsidRPr="007F7EBF">
        <w:rPr>
          <w:sz w:val="22"/>
          <w:szCs w:val="22"/>
        </w:rPr>
        <w:t>corr</w:t>
      </w:r>
      <w:r w:rsidR="008A3B20">
        <w:rPr>
          <w:sz w:val="22"/>
          <w:szCs w:val="22"/>
        </w:rPr>
        <w:t>i</w:t>
      </w:r>
      <w:r w:rsidR="00AD186E" w:rsidRPr="007F7EBF">
        <w:rPr>
          <w:sz w:val="22"/>
          <w:szCs w:val="22"/>
        </w:rPr>
        <w:t>spondenza etc.</w:t>
      </w:r>
      <w:r w:rsidR="00123238" w:rsidRPr="007F7EBF">
        <w:rPr>
          <w:rStyle w:val="Rimandonotaapidipagina"/>
          <w:sz w:val="22"/>
          <w:szCs w:val="22"/>
        </w:rPr>
        <w:footnoteReference w:id="571"/>
      </w:r>
      <w:r w:rsidRPr="007F7EBF">
        <w:rPr>
          <w:sz w:val="22"/>
          <w:szCs w:val="22"/>
        </w:rPr>
        <w:t xml:space="preserve">. La violazione delle </w:t>
      </w:r>
      <w:r w:rsidR="00AD186E" w:rsidRPr="007F7EBF">
        <w:rPr>
          <w:sz w:val="22"/>
          <w:szCs w:val="22"/>
        </w:rPr>
        <w:t>regole di buon andamento degli uffici</w:t>
      </w:r>
      <w:r w:rsidRPr="007F7EBF">
        <w:rPr>
          <w:sz w:val="22"/>
          <w:szCs w:val="22"/>
        </w:rPr>
        <w:t xml:space="preserve"> rileva in modo indiretto, nei confronti dei </w:t>
      </w:r>
      <w:r w:rsidR="00AD186E" w:rsidRPr="007F7EBF">
        <w:rPr>
          <w:sz w:val="22"/>
          <w:szCs w:val="22"/>
        </w:rPr>
        <w:t xml:space="preserve">contribuenti, che possono </w:t>
      </w:r>
      <w:r w:rsidRPr="007F7EBF">
        <w:rPr>
          <w:sz w:val="22"/>
          <w:szCs w:val="22"/>
        </w:rPr>
        <w:t>utilizzarla come elemento segnaletico di sviamento</w:t>
      </w:r>
      <w:r w:rsidR="00AD186E" w:rsidRPr="007F7EBF">
        <w:rPr>
          <w:sz w:val="22"/>
          <w:szCs w:val="22"/>
        </w:rPr>
        <w:t xml:space="preserve"> di potere</w:t>
      </w:r>
      <w:r w:rsidR="00123238">
        <w:rPr>
          <w:sz w:val="22"/>
          <w:szCs w:val="22"/>
        </w:rPr>
        <w:t>, utilizzato per finalità estranee alla funzione, ad esempio ritorsioni personali o tentativi di concussione (par.5.11)</w:t>
      </w:r>
      <w:r w:rsidR="00B22B75" w:rsidRPr="007F7EBF">
        <w:rPr>
          <w:sz w:val="22"/>
          <w:szCs w:val="22"/>
        </w:rPr>
        <w:t>.</w:t>
      </w:r>
      <w:r w:rsidR="00123238">
        <w:rPr>
          <w:sz w:val="22"/>
          <w:szCs w:val="22"/>
        </w:rPr>
        <w:t xml:space="preserve"> </w:t>
      </w:r>
      <w:r w:rsidR="00B22B75" w:rsidRPr="007F7EBF">
        <w:rPr>
          <w:sz w:val="22"/>
          <w:szCs w:val="22"/>
        </w:rPr>
        <w:t>In mancanza di queste patologie, la giurisprudenza t</w:t>
      </w:r>
      <w:r w:rsidR="00123238">
        <w:rPr>
          <w:sz w:val="22"/>
          <w:szCs w:val="22"/>
        </w:rPr>
        <w:t xml:space="preserve">iene giustamente </w:t>
      </w:r>
      <w:r w:rsidR="00B22B75" w:rsidRPr="007F7EBF">
        <w:rPr>
          <w:sz w:val="22"/>
          <w:szCs w:val="22"/>
        </w:rPr>
        <w:t xml:space="preserve">fermi gli atti impositivi basati su indagini dove i verificatori </w:t>
      </w:r>
      <w:r w:rsidR="00B22B75" w:rsidRPr="007F7EBF">
        <w:rPr>
          <w:sz w:val="22"/>
          <w:szCs w:val="22"/>
        </w:rPr>
        <w:lastRenderedPageBreak/>
        <w:t xml:space="preserve">hanno </w:t>
      </w:r>
      <w:r w:rsidR="00B22B75" w:rsidRPr="007F7EBF">
        <w:rPr>
          <w:bCs/>
          <w:sz w:val="22"/>
          <w:szCs w:val="22"/>
        </w:rPr>
        <w:t xml:space="preserve">violato </w:t>
      </w:r>
      <w:r w:rsidR="00B22B75" w:rsidRPr="007F7EBF">
        <w:rPr>
          <w:sz w:val="22"/>
          <w:szCs w:val="22"/>
        </w:rPr>
        <w:t>disposizioni attinenti all’</w:t>
      </w:r>
      <w:r w:rsidR="00B22B75" w:rsidRPr="007F7EBF">
        <w:rPr>
          <w:bCs/>
          <w:sz w:val="22"/>
          <w:szCs w:val="22"/>
        </w:rPr>
        <w:t>organizzazione amministrativa interna della loro struttura</w:t>
      </w:r>
      <w:r w:rsidR="00690226" w:rsidRPr="007F7EBF">
        <w:rPr>
          <w:rStyle w:val="Rimandonotaapidipagina"/>
          <w:bCs/>
          <w:sz w:val="22"/>
          <w:szCs w:val="22"/>
        </w:rPr>
        <w:footnoteReference w:id="572"/>
      </w:r>
      <w:r w:rsidR="00690226" w:rsidRPr="007F7EBF">
        <w:rPr>
          <w:sz w:val="22"/>
          <w:szCs w:val="22"/>
        </w:rPr>
        <w:t xml:space="preserve">. </w:t>
      </w:r>
    </w:p>
    <w:p w14:paraId="668F56B0" w14:textId="616B32C8" w:rsidR="003376A6" w:rsidRPr="007F7EBF" w:rsidRDefault="00022B0B" w:rsidP="0093164F">
      <w:pPr>
        <w:autoSpaceDE w:val="0"/>
        <w:autoSpaceDN w:val="0"/>
        <w:adjustRightInd w:val="0"/>
        <w:rPr>
          <w:bCs/>
          <w:i/>
          <w:iCs/>
          <w:color w:val="0000FF"/>
          <w:sz w:val="22"/>
          <w:szCs w:val="22"/>
        </w:rPr>
      </w:pPr>
      <w:r>
        <w:rPr>
          <w:sz w:val="22"/>
          <w:szCs w:val="22"/>
        </w:rPr>
        <w:t xml:space="preserve">La potenziale </w:t>
      </w:r>
      <w:r w:rsidR="003376A6" w:rsidRPr="007F7EBF">
        <w:rPr>
          <w:sz w:val="22"/>
          <w:szCs w:val="22"/>
        </w:rPr>
        <w:t xml:space="preserve">invasività delle indagini non </w:t>
      </w:r>
      <w:r>
        <w:rPr>
          <w:sz w:val="22"/>
          <w:szCs w:val="22"/>
        </w:rPr>
        <w:t>è regolabile con rigide disposizioni legislative</w:t>
      </w:r>
      <w:r w:rsidR="003376A6" w:rsidRPr="007F7EBF">
        <w:rPr>
          <w:sz w:val="22"/>
          <w:szCs w:val="22"/>
        </w:rPr>
        <w:t xml:space="preserve">, </w:t>
      </w:r>
      <w:r>
        <w:rPr>
          <w:sz w:val="22"/>
          <w:szCs w:val="22"/>
        </w:rPr>
        <w:t xml:space="preserve">ad esempio </w:t>
      </w:r>
      <w:r w:rsidR="003376A6" w:rsidRPr="007F7EBF">
        <w:rPr>
          <w:sz w:val="22"/>
          <w:szCs w:val="22"/>
        </w:rPr>
        <w:t>l’art. 12 dello statuto del contribuente (</w:t>
      </w:r>
      <w:r w:rsidR="0093164F" w:rsidRPr="007F7EBF">
        <w:rPr>
          <w:sz w:val="22"/>
          <w:szCs w:val="22"/>
        </w:rPr>
        <w:t>par.2.1</w:t>
      </w:r>
      <w:r w:rsidR="003376A6" w:rsidRPr="007F7EBF">
        <w:rPr>
          <w:sz w:val="22"/>
          <w:szCs w:val="22"/>
        </w:rPr>
        <w:t>) secondo cui le indagini presso il contribuente non poss</w:t>
      </w:r>
      <w:r>
        <w:rPr>
          <w:sz w:val="22"/>
          <w:szCs w:val="22"/>
        </w:rPr>
        <w:t>o</w:t>
      </w:r>
      <w:r w:rsidR="003376A6" w:rsidRPr="007F7EBF">
        <w:rPr>
          <w:sz w:val="22"/>
          <w:szCs w:val="22"/>
        </w:rPr>
        <w:t>no durare più di trenta giorni, motivatamente prorogabili per altri trenta</w:t>
      </w:r>
      <w:r>
        <w:rPr>
          <w:sz w:val="22"/>
          <w:szCs w:val="22"/>
        </w:rPr>
        <w:t xml:space="preserve">; si tratta di </w:t>
      </w:r>
      <w:r w:rsidR="003376A6" w:rsidRPr="007F7EBF">
        <w:rPr>
          <w:sz w:val="22"/>
          <w:szCs w:val="22"/>
        </w:rPr>
        <w:t>giorni di “effettiva presenza”</w:t>
      </w:r>
      <w:r>
        <w:rPr>
          <w:sz w:val="22"/>
          <w:szCs w:val="22"/>
        </w:rPr>
        <w:t xml:space="preserve">, distribuibili in un arco temporale più lungo, ma che </w:t>
      </w:r>
      <w:r w:rsidR="003376A6" w:rsidRPr="007F7EBF">
        <w:rPr>
          <w:sz w:val="22"/>
          <w:szCs w:val="22"/>
        </w:rPr>
        <w:t xml:space="preserve">possono essere eccessivi o insufficienti, in relazione a ciò che occorre verificare. </w:t>
      </w:r>
    </w:p>
    <w:p w14:paraId="23FD9A8C" w14:textId="79FC1504" w:rsidR="00753C2D" w:rsidRPr="007F7EBF" w:rsidRDefault="003376A6" w:rsidP="00753C2D">
      <w:pPr>
        <w:autoSpaceDE w:val="0"/>
        <w:autoSpaceDN w:val="0"/>
        <w:adjustRightInd w:val="0"/>
        <w:rPr>
          <w:sz w:val="22"/>
          <w:szCs w:val="22"/>
        </w:rPr>
      </w:pPr>
      <w:r w:rsidRPr="007F7EBF">
        <w:rPr>
          <w:sz w:val="22"/>
          <w:szCs w:val="22"/>
        </w:rPr>
        <w:t xml:space="preserve">Per accedere in locali adibiti ad attività d’impresa è sufficiente </w:t>
      </w:r>
      <w:r w:rsidRPr="007F7EBF">
        <w:rPr>
          <w:bCs/>
          <w:sz w:val="22"/>
          <w:szCs w:val="22"/>
        </w:rPr>
        <w:t>l’autorizzazione del capo dell’ufficio</w:t>
      </w:r>
      <w:r w:rsidRPr="007F7EBF">
        <w:rPr>
          <w:sz w:val="22"/>
          <w:szCs w:val="22"/>
        </w:rPr>
        <w:t>, rispondente a finalità organizzative interne</w:t>
      </w:r>
      <w:r w:rsidR="008A3B20">
        <w:rPr>
          <w:sz w:val="22"/>
          <w:szCs w:val="22"/>
        </w:rPr>
        <w:t>. P</w:t>
      </w:r>
      <w:r w:rsidRPr="007F7EBF">
        <w:rPr>
          <w:sz w:val="22"/>
          <w:szCs w:val="22"/>
        </w:rPr>
        <w:t>er gli accessi domiciliari e gli atti più lesivi della riservatezza (ad es. apertura forzata di borse, plichi sigillati, mobilio, casseforti, ecc. ex art. 52 comma 3, nonché perquisizioni personali) occorre un’</w:t>
      </w:r>
      <w:r w:rsidRPr="007F7EBF">
        <w:rPr>
          <w:bCs/>
          <w:sz w:val="22"/>
          <w:szCs w:val="22"/>
        </w:rPr>
        <w:t>autorizzazione del procuratore della repubblic</w:t>
      </w:r>
      <w:r w:rsidRPr="007F7EBF">
        <w:rPr>
          <w:sz w:val="22"/>
          <w:szCs w:val="22"/>
        </w:rPr>
        <w:t xml:space="preserve">a, da richiedere in base a gravi indizi di violazioni tributarie. </w:t>
      </w:r>
    </w:p>
    <w:p w14:paraId="531EA2F5" w14:textId="1C397B75" w:rsidR="00753C2D" w:rsidRPr="007F7EBF" w:rsidRDefault="00753C2D" w:rsidP="00753C2D">
      <w:pPr>
        <w:pStyle w:val="tit23"/>
        <w:ind w:left="6464" w:right="-1361" w:firstLine="0"/>
        <w:jc w:val="left"/>
        <w:rPr>
          <w:bCs/>
          <w:i/>
          <w:iCs/>
          <w:color w:val="0000FF"/>
          <w:lang w:val="it-IT"/>
        </w:rPr>
      </w:pPr>
      <w:r w:rsidRPr="007F7EBF">
        <w:rPr>
          <w:bCs/>
          <w:i/>
          <w:iCs/>
          <w:color w:val="0000FF"/>
          <w:lang w:val="it-IT"/>
        </w:rPr>
        <w:t>Inutilizzabilità di prove illegittimamente acquisit</w:t>
      </w:r>
      <w:r w:rsidR="002675C4">
        <w:rPr>
          <w:bCs/>
          <w:i/>
          <w:iCs/>
          <w:color w:val="0000FF"/>
          <w:lang w:val="it-IT"/>
        </w:rPr>
        <w:t>e</w:t>
      </w:r>
    </w:p>
    <w:p w14:paraId="170A6893" w14:textId="1360234D" w:rsidR="00753C2D" w:rsidRPr="002675C4" w:rsidRDefault="00753C2D" w:rsidP="002675C4">
      <w:pPr>
        <w:autoSpaceDE w:val="0"/>
        <w:autoSpaceDN w:val="0"/>
        <w:adjustRightInd w:val="0"/>
        <w:rPr>
          <w:sz w:val="22"/>
          <w:szCs w:val="22"/>
        </w:rPr>
      </w:pPr>
      <w:r w:rsidRPr="007F7EBF">
        <w:rPr>
          <w:sz w:val="22"/>
          <w:szCs w:val="22"/>
        </w:rPr>
        <w:t xml:space="preserve"> </w:t>
      </w:r>
      <w:r w:rsidR="003376A6" w:rsidRPr="007F7EBF">
        <w:rPr>
          <w:sz w:val="22"/>
          <w:szCs w:val="22"/>
        </w:rPr>
        <w:t xml:space="preserve">Le </w:t>
      </w:r>
      <w:r w:rsidR="003376A6" w:rsidRPr="007F7EBF">
        <w:rPr>
          <w:bCs/>
          <w:sz w:val="22"/>
          <w:szCs w:val="22"/>
        </w:rPr>
        <w:t xml:space="preserve">informazioni </w:t>
      </w:r>
      <w:r w:rsidR="0093164F" w:rsidRPr="007F7EBF">
        <w:rPr>
          <w:bCs/>
          <w:sz w:val="22"/>
          <w:szCs w:val="22"/>
        </w:rPr>
        <w:t xml:space="preserve">illegittimamente </w:t>
      </w:r>
      <w:r w:rsidR="003376A6" w:rsidRPr="007F7EBF">
        <w:rPr>
          <w:bCs/>
          <w:sz w:val="22"/>
          <w:szCs w:val="22"/>
        </w:rPr>
        <w:t>acquisite</w:t>
      </w:r>
      <w:r w:rsidR="0093164F" w:rsidRPr="007F7EBF">
        <w:rPr>
          <w:bCs/>
          <w:sz w:val="22"/>
          <w:szCs w:val="22"/>
        </w:rPr>
        <w:t xml:space="preserve">, </w:t>
      </w:r>
      <w:r w:rsidR="003376A6" w:rsidRPr="007F7EBF">
        <w:rPr>
          <w:bCs/>
          <w:sz w:val="22"/>
          <w:szCs w:val="22"/>
        </w:rPr>
        <w:t xml:space="preserve">senza le autorizzazioni </w:t>
      </w:r>
      <w:r w:rsidR="003376A6" w:rsidRPr="007F7EBF">
        <w:rPr>
          <w:sz w:val="22"/>
          <w:szCs w:val="22"/>
        </w:rPr>
        <w:t xml:space="preserve">a tutela di diritti costituzionalmente garantiti, come il domicilio, l’integrità personale o la riservatezza, </w:t>
      </w:r>
      <w:r w:rsidR="003376A6" w:rsidRPr="007F7EBF">
        <w:rPr>
          <w:bCs/>
          <w:sz w:val="22"/>
          <w:szCs w:val="22"/>
        </w:rPr>
        <w:t>sono inutilizzabili come elementi probatori del successivo atto di accertamento</w:t>
      </w:r>
      <w:r w:rsidR="003376A6" w:rsidRPr="007F7EBF">
        <w:rPr>
          <w:sz w:val="22"/>
          <w:szCs w:val="22"/>
        </w:rPr>
        <w:t>. Quest’ultimo è  quindi annullabile</w:t>
      </w:r>
      <w:r w:rsidR="004A0014">
        <w:rPr>
          <w:sz w:val="22"/>
          <w:szCs w:val="22"/>
        </w:rPr>
        <w:t>, in una sorta di “illegittimità derivata” (</w:t>
      </w:r>
      <w:r w:rsidR="004A0014">
        <w:rPr>
          <w:rStyle w:val="Rimandonotaapidipagina"/>
          <w:sz w:val="22"/>
          <w:szCs w:val="22"/>
        </w:rPr>
        <w:footnoteReference w:id="573"/>
      </w:r>
      <w:r w:rsidR="004A0014">
        <w:rPr>
          <w:sz w:val="22"/>
          <w:szCs w:val="22"/>
        </w:rPr>
        <w:t>),</w:t>
      </w:r>
      <w:r w:rsidR="003376A6" w:rsidRPr="007F7EBF">
        <w:rPr>
          <w:sz w:val="22"/>
          <w:szCs w:val="22"/>
        </w:rPr>
        <w:t xml:space="preserve"> se non giustificato anche da altre informazioni legittimamente ottenute. Questa inutilizzabilità, sancita dopo molte incertezze giurisprudenziali, è una sorta di “sanzione”, a carico degli uffici tributari, per avere leso un diritto </w:t>
      </w:r>
      <w:r w:rsidRPr="007F7EBF">
        <w:rPr>
          <w:sz w:val="22"/>
          <w:szCs w:val="22"/>
        </w:rPr>
        <w:t xml:space="preserve">primario </w:t>
      </w:r>
      <w:r w:rsidR="003464DE" w:rsidRPr="007F7EBF">
        <w:rPr>
          <w:sz w:val="22"/>
          <w:szCs w:val="22"/>
        </w:rPr>
        <w:t xml:space="preserve">del contribuente; questa soluzione, sia pure la più ragionevole allo stato della riflessione, desta sempre qualche perplessità, trattandosi comunque di </w:t>
      </w:r>
      <w:r w:rsidRPr="007F7EBF">
        <w:rPr>
          <w:sz w:val="22"/>
          <w:szCs w:val="22"/>
        </w:rPr>
        <w:t>un "vizio formale", anche se grave</w:t>
      </w:r>
      <w:r w:rsidR="004A0014">
        <w:rPr>
          <w:sz w:val="22"/>
          <w:szCs w:val="22"/>
        </w:rPr>
        <w:t>(</w:t>
      </w:r>
      <w:r w:rsidRPr="007F7EBF">
        <w:rPr>
          <w:rStyle w:val="Rimandonotaapidipagina"/>
          <w:sz w:val="22"/>
          <w:szCs w:val="22"/>
        </w:rPr>
        <w:footnoteReference w:id="574"/>
      </w:r>
      <w:r w:rsidR="004A0014">
        <w:rPr>
          <w:sz w:val="22"/>
          <w:szCs w:val="22"/>
        </w:rPr>
        <w:t>)</w:t>
      </w:r>
      <w:r w:rsidRPr="007F7EBF">
        <w:rPr>
          <w:sz w:val="22"/>
          <w:szCs w:val="22"/>
        </w:rPr>
        <w:t xml:space="preserve">.  </w:t>
      </w:r>
    </w:p>
    <w:p w14:paraId="04E4B25A" w14:textId="77777777" w:rsidR="00690226" w:rsidRPr="007F7EBF" w:rsidRDefault="00690226" w:rsidP="00690226">
      <w:pPr>
        <w:pStyle w:val="tit23"/>
        <w:ind w:left="6464" w:right="-1361" w:firstLine="0"/>
        <w:jc w:val="left"/>
        <w:rPr>
          <w:bCs/>
          <w:i/>
          <w:iCs/>
          <w:color w:val="0000FF"/>
          <w:lang w:val="it-IT"/>
        </w:rPr>
      </w:pPr>
      <w:r w:rsidRPr="007F7EBF">
        <w:rPr>
          <w:bCs/>
          <w:i/>
          <w:iCs/>
          <w:color w:val="0000FF"/>
          <w:lang w:val="it-IT"/>
        </w:rPr>
        <w:lastRenderedPageBreak/>
        <w:t>Danni diretti dovuti alle indagini: rarità del caso</w:t>
      </w:r>
    </w:p>
    <w:p w14:paraId="531562A4" w14:textId="03A3DD14" w:rsidR="00BD2649" w:rsidRPr="007F7EBF" w:rsidRDefault="00690226" w:rsidP="00753C2D">
      <w:pPr>
        <w:autoSpaceDE w:val="0"/>
        <w:autoSpaceDN w:val="0"/>
        <w:adjustRightInd w:val="0"/>
        <w:rPr>
          <w:sz w:val="22"/>
          <w:szCs w:val="22"/>
        </w:rPr>
      </w:pPr>
      <w:r w:rsidRPr="007F7EBF">
        <w:rPr>
          <w:sz w:val="22"/>
          <w:szCs w:val="22"/>
        </w:rPr>
        <w:t xml:space="preserve"> Le indagini fiscali, come qualsiasi altro esercizio di poteri amministrativi, possono </w:t>
      </w:r>
      <w:r w:rsidRPr="007F7EBF">
        <w:rPr>
          <w:bCs/>
          <w:sz w:val="22"/>
          <w:szCs w:val="22"/>
        </w:rPr>
        <w:t>parzialmente intralciare lo svolgimento dell’attività economica o la vita privata</w:t>
      </w:r>
      <w:r w:rsidRPr="007F7EBF">
        <w:rPr>
          <w:sz w:val="22"/>
          <w:szCs w:val="22"/>
        </w:rPr>
        <w:t>,</w:t>
      </w:r>
      <w:r w:rsidR="00561BFC">
        <w:rPr>
          <w:sz w:val="22"/>
          <w:szCs w:val="22"/>
        </w:rPr>
        <w:t xml:space="preserve"> </w:t>
      </w:r>
      <w:r w:rsidRPr="007F7EBF">
        <w:rPr>
          <w:sz w:val="22"/>
          <w:szCs w:val="22"/>
        </w:rPr>
        <w:t>ma sono preoccupazioni da valutare caso per caso, tenendo conto della complessità delle indagini, del fastidio concreto che l’attività degli uffici provoca al contribuente o alla sua azienda. Non risultano comunque contenziosi sulla "nocività" intrinseca degli atti investigativi in quanto tali, di cui sarebbe difficile anche individuare il giudice competente, tendenzialmente quello amministrativo, viste le carenze di tutela sugli atti non diretti alla determinazione del tributo, davanti al giudice tributario. Il sistema contenzioso attuale, sbrigativamente riferito agli atti di determinazione del tributo (paragrafo 6.8), non offre tutela giurisdizionale immediata contro gli inconvenienti immediati delle indagini</w:t>
      </w:r>
      <w:r w:rsidR="006F610B">
        <w:rPr>
          <w:sz w:val="22"/>
          <w:szCs w:val="22"/>
        </w:rPr>
        <w:t xml:space="preserve">. Ciò </w:t>
      </w:r>
      <w:r w:rsidRPr="007F7EBF">
        <w:rPr>
          <w:sz w:val="22"/>
          <w:szCs w:val="22"/>
        </w:rPr>
        <w:t xml:space="preserve">tuttavia non provoca particolari lamentele, a conferma </w:t>
      </w:r>
      <w:r w:rsidR="006F610B">
        <w:rPr>
          <w:sz w:val="22"/>
          <w:szCs w:val="22"/>
        </w:rPr>
        <w:t xml:space="preserve">che la giuridicità non è solo giurisdizionale (par.1.3) e l’insieme di controlli sociali e reclami amministrativi possono limitare gli abusi </w:t>
      </w:r>
      <w:r w:rsidR="00865329">
        <w:rPr>
          <w:sz w:val="22"/>
          <w:szCs w:val="22"/>
        </w:rPr>
        <w:t>(</w:t>
      </w:r>
      <w:r w:rsidRPr="007F7EBF">
        <w:rPr>
          <w:rStyle w:val="Rimandonotaapidipagina"/>
          <w:sz w:val="22"/>
          <w:szCs w:val="22"/>
        </w:rPr>
        <w:footnoteReference w:id="575"/>
      </w:r>
      <w:r w:rsidR="00865329">
        <w:rPr>
          <w:sz w:val="22"/>
          <w:szCs w:val="22"/>
        </w:rPr>
        <w:t>)</w:t>
      </w:r>
      <w:r w:rsidRPr="007F7EBF">
        <w:rPr>
          <w:sz w:val="22"/>
          <w:szCs w:val="22"/>
        </w:rPr>
        <w:t xml:space="preserve">. </w:t>
      </w:r>
    </w:p>
    <w:p w14:paraId="7675FF52" w14:textId="77777777" w:rsidR="00BD2649" w:rsidRPr="007F7EBF" w:rsidRDefault="00E416F9" w:rsidP="00BD2649">
      <w:pPr>
        <w:pStyle w:val="tit23"/>
        <w:ind w:left="6464" w:right="-1361" w:firstLine="0"/>
        <w:jc w:val="left"/>
        <w:rPr>
          <w:bCs/>
          <w:i/>
          <w:iCs/>
          <w:color w:val="0000FF"/>
          <w:lang w:val="it-IT"/>
        </w:rPr>
      </w:pPr>
      <w:r w:rsidRPr="007F7EBF">
        <w:rPr>
          <w:bCs/>
          <w:i/>
          <w:iCs/>
          <w:color w:val="0000FF"/>
          <w:lang w:val="it-IT"/>
        </w:rPr>
        <w:t xml:space="preserve">Omessa collaborazione, </w:t>
      </w:r>
      <w:r w:rsidR="00BD2649" w:rsidRPr="007F7EBF">
        <w:rPr>
          <w:bCs/>
          <w:i/>
          <w:iCs/>
          <w:color w:val="0000FF"/>
          <w:lang w:val="it-IT"/>
        </w:rPr>
        <w:t>sanzioni indirette</w:t>
      </w:r>
      <w:r w:rsidRPr="007F7EBF">
        <w:rPr>
          <w:bCs/>
          <w:i/>
          <w:iCs/>
          <w:color w:val="0000FF"/>
          <w:lang w:val="it-IT"/>
        </w:rPr>
        <w:t xml:space="preserve"> e rinvio al contraddittorio</w:t>
      </w:r>
    </w:p>
    <w:p w14:paraId="194BE289" w14:textId="5F613D90" w:rsidR="00753C2D" w:rsidRPr="007F7EBF" w:rsidRDefault="006342C5" w:rsidP="00C82C93">
      <w:pPr>
        <w:autoSpaceDE w:val="0"/>
        <w:autoSpaceDN w:val="0"/>
        <w:adjustRightInd w:val="0"/>
        <w:rPr>
          <w:sz w:val="22"/>
          <w:szCs w:val="22"/>
        </w:rPr>
      </w:pPr>
      <w:r w:rsidRPr="007F7EBF">
        <w:rPr>
          <w:sz w:val="22"/>
          <w:szCs w:val="22"/>
        </w:rPr>
        <w:lastRenderedPageBreak/>
        <w:t xml:space="preserve">In caso </w:t>
      </w:r>
      <w:r w:rsidRPr="007F7EBF">
        <w:rPr>
          <w:bCs/>
          <w:sz w:val="22"/>
          <w:szCs w:val="22"/>
        </w:rPr>
        <w:t xml:space="preserve">di rifiuto di esibire documentazione </w:t>
      </w:r>
      <w:r w:rsidRPr="007F7EBF">
        <w:rPr>
          <w:sz w:val="22"/>
          <w:szCs w:val="22"/>
        </w:rPr>
        <w:t xml:space="preserve">o di fornire informazioni </w:t>
      </w:r>
      <w:r w:rsidR="00515800" w:rsidRPr="007F7EBF">
        <w:rPr>
          <w:sz w:val="22"/>
          <w:szCs w:val="22"/>
        </w:rPr>
        <w:t xml:space="preserve">, oltre alle suddette sanzioni dirette per l'inadempimento, al contribuente è vietato di far valere tali informazioni e documenti </w:t>
      </w:r>
      <w:r w:rsidRPr="007F7EBF">
        <w:rPr>
          <w:sz w:val="22"/>
          <w:szCs w:val="22"/>
        </w:rPr>
        <w:t xml:space="preserve">nel corso del processo tributario. </w:t>
      </w:r>
      <w:r w:rsidR="00515800" w:rsidRPr="007F7EBF">
        <w:rPr>
          <w:sz w:val="22"/>
          <w:szCs w:val="22"/>
        </w:rPr>
        <w:t xml:space="preserve">Non è tanto una sanzione indiretta, quanto una cautela contro </w:t>
      </w:r>
      <w:r w:rsidR="00515800" w:rsidRPr="007F7EBF">
        <w:rPr>
          <w:bCs/>
          <w:sz w:val="22"/>
          <w:szCs w:val="22"/>
        </w:rPr>
        <w:t>rinvii tattici, diretti a rimandare la questione al termine delle indagini, quando i v</w:t>
      </w:r>
      <w:r w:rsidRPr="007F7EBF">
        <w:rPr>
          <w:sz w:val="22"/>
          <w:szCs w:val="22"/>
        </w:rPr>
        <w:t xml:space="preserve">erificatori </w:t>
      </w:r>
      <w:r w:rsidR="00515800" w:rsidRPr="007F7EBF">
        <w:rPr>
          <w:sz w:val="22"/>
          <w:szCs w:val="22"/>
        </w:rPr>
        <w:t xml:space="preserve">non più </w:t>
      </w:r>
      <w:r w:rsidR="00DE0282" w:rsidRPr="007F7EBF">
        <w:rPr>
          <w:sz w:val="22"/>
          <w:szCs w:val="22"/>
        </w:rPr>
        <w:t xml:space="preserve">vanificare la portata di tali documenti, </w:t>
      </w:r>
      <w:r w:rsidR="00515800" w:rsidRPr="007F7EBF">
        <w:rPr>
          <w:sz w:val="22"/>
          <w:szCs w:val="22"/>
        </w:rPr>
        <w:t>né</w:t>
      </w:r>
      <w:r w:rsidR="00DE0282" w:rsidRPr="007F7EBF">
        <w:rPr>
          <w:sz w:val="22"/>
          <w:szCs w:val="22"/>
        </w:rPr>
        <w:t xml:space="preserve"> scoprire altre violazioni ad essi c</w:t>
      </w:r>
      <w:r w:rsidRPr="007F7EBF">
        <w:rPr>
          <w:sz w:val="22"/>
          <w:szCs w:val="22"/>
        </w:rPr>
        <w:t>ollegate</w:t>
      </w:r>
      <w:r w:rsidR="00E13D01">
        <w:rPr>
          <w:sz w:val="22"/>
          <w:szCs w:val="22"/>
        </w:rPr>
        <w:t>(</w:t>
      </w:r>
      <w:r w:rsidR="001B0593" w:rsidRPr="007F7EBF">
        <w:rPr>
          <w:rStyle w:val="Rimandonotaapidipagina"/>
          <w:sz w:val="22"/>
          <w:szCs w:val="22"/>
        </w:rPr>
        <w:footnoteReference w:id="576"/>
      </w:r>
      <w:r w:rsidR="00E13D01">
        <w:rPr>
          <w:sz w:val="22"/>
          <w:szCs w:val="22"/>
        </w:rPr>
        <w:t>)</w:t>
      </w:r>
      <w:r w:rsidRPr="007F7EBF">
        <w:rPr>
          <w:sz w:val="22"/>
          <w:szCs w:val="22"/>
        </w:rPr>
        <w:t xml:space="preserve">. La </w:t>
      </w:r>
      <w:r w:rsidRPr="007F7EBF">
        <w:rPr>
          <w:bCs/>
          <w:sz w:val="22"/>
          <w:szCs w:val="22"/>
        </w:rPr>
        <w:t>norma scatta ovviamente solo qualora la richiesta del fisco sia</w:t>
      </w:r>
      <w:r w:rsidR="00467902" w:rsidRPr="007F7EBF">
        <w:rPr>
          <w:bCs/>
          <w:sz w:val="22"/>
          <w:szCs w:val="22"/>
        </w:rPr>
        <w:t xml:space="preserve"> </w:t>
      </w:r>
      <w:r w:rsidRPr="007F7EBF">
        <w:rPr>
          <w:bCs/>
          <w:sz w:val="22"/>
          <w:szCs w:val="22"/>
        </w:rPr>
        <w:t>specifica e circostanziata</w:t>
      </w:r>
      <w:r w:rsidR="00515800" w:rsidRPr="007F7EBF">
        <w:rPr>
          <w:bCs/>
          <w:sz w:val="22"/>
          <w:szCs w:val="22"/>
        </w:rPr>
        <w:t>, e non per le richieste generiche di fornire qualsiasi documentazione rilevante a proprio favore (</w:t>
      </w:r>
      <w:r w:rsidR="00753C2D" w:rsidRPr="007F7EBF">
        <w:rPr>
          <w:rStyle w:val="Rimandonotaapidipagina"/>
          <w:bCs/>
          <w:sz w:val="22"/>
          <w:szCs w:val="22"/>
        </w:rPr>
        <w:footnoteReference w:id="577"/>
      </w:r>
      <w:r w:rsidR="00515800" w:rsidRPr="007F7EBF">
        <w:rPr>
          <w:bCs/>
          <w:sz w:val="22"/>
          <w:szCs w:val="22"/>
        </w:rPr>
        <w:t xml:space="preserve">). </w:t>
      </w:r>
      <w:r w:rsidR="00D33FCD" w:rsidRPr="007F7EBF">
        <w:rPr>
          <w:sz w:val="22"/>
          <w:szCs w:val="22"/>
        </w:rPr>
        <w:t xml:space="preserve">Non è certamente attraverso </w:t>
      </w:r>
      <w:r w:rsidR="00D63BCD">
        <w:rPr>
          <w:sz w:val="22"/>
          <w:szCs w:val="22"/>
        </w:rPr>
        <w:t xml:space="preserve">simili </w:t>
      </w:r>
      <w:r w:rsidR="00D33FCD" w:rsidRPr="007F7EBF">
        <w:rPr>
          <w:sz w:val="22"/>
          <w:szCs w:val="22"/>
        </w:rPr>
        <w:t>estemporanee disposizioni che si può costruire un organico contraddittorio procedimentale tributario, come vedremo al par. 6.1</w:t>
      </w:r>
      <w:r w:rsidR="00C219F0" w:rsidRPr="007F7EBF">
        <w:rPr>
          <w:sz w:val="22"/>
          <w:szCs w:val="22"/>
        </w:rPr>
        <w:t>.</w:t>
      </w:r>
    </w:p>
    <w:p w14:paraId="0F3E61FD" w14:textId="77777777" w:rsidR="00753C2D" w:rsidRPr="007F7EBF" w:rsidRDefault="00753C2D" w:rsidP="00753C2D">
      <w:pPr>
        <w:pStyle w:val="tit23"/>
        <w:ind w:left="6464" w:right="-1361" w:firstLine="0"/>
        <w:jc w:val="left"/>
        <w:rPr>
          <w:bCs/>
          <w:i/>
          <w:iCs/>
          <w:color w:val="0000FF"/>
          <w:lang w:val="it-IT"/>
        </w:rPr>
      </w:pPr>
      <w:r w:rsidRPr="007F7EBF">
        <w:rPr>
          <w:bCs/>
          <w:i/>
          <w:iCs/>
          <w:color w:val="0000FF"/>
          <w:lang w:val="it-IT"/>
        </w:rPr>
        <w:t>insufficienza di un vasto controllo del territorio “a monte”</w:t>
      </w:r>
    </w:p>
    <w:p w14:paraId="4BA04760" w14:textId="618B0077" w:rsidR="00A73875" w:rsidRPr="007F7EBF" w:rsidRDefault="00753C2D" w:rsidP="00A73875">
      <w:pPr>
        <w:autoSpaceDE w:val="0"/>
        <w:autoSpaceDN w:val="0"/>
        <w:adjustRightInd w:val="0"/>
        <w:rPr>
          <w:sz w:val="22"/>
          <w:szCs w:val="22"/>
        </w:rPr>
      </w:pPr>
      <w:r w:rsidRPr="007F7EBF">
        <w:rPr>
          <w:sz w:val="22"/>
          <w:szCs w:val="22"/>
        </w:rPr>
        <w:t>La mancanza del preliminare, sistematico ed effettivo</w:t>
      </w:r>
      <w:r w:rsidR="00E13D01">
        <w:rPr>
          <w:sz w:val="22"/>
          <w:szCs w:val="22"/>
        </w:rPr>
        <w:t>(</w:t>
      </w:r>
      <w:r w:rsidRPr="007F7EBF">
        <w:rPr>
          <w:rStyle w:val="Rimandonotaapidipagina"/>
          <w:sz w:val="22"/>
          <w:szCs w:val="22"/>
        </w:rPr>
        <w:footnoteReference w:id="578"/>
      </w:r>
      <w:r w:rsidR="00E13D01">
        <w:rPr>
          <w:sz w:val="22"/>
          <w:szCs w:val="22"/>
        </w:rPr>
        <w:t>)</w:t>
      </w:r>
      <w:r w:rsidRPr="007F7EBF">
        <w:rPr>
          <w:sz w:val="22"/>
          <w:szCs w:val="22"/>
        </w:rPr>
        <w:t xml:space="preserve">, monitoraggio complessivo, di cui alla fine del par.5.7 diminuisce l'efficacia delle indagini; </w:t>
      </w:r>
      <w:r w:rsidR="006F610B">
        <w:rPr>
          <w:sz w:val="22"/>
          <w:szCs w:val="22"/>
        </w:rPr>
        <w:t>n</w:t>
      </w:r>
      <w:r w:rsidR="006F610B" w:rsidRPr="007F7EBF">
        <w:rPr>
          <w:sz w:val="22"/>
          <w:szCs w:val="22"/>
        </w:rPr>
        <w:t xml:space="preserve">on a caso i verbali di  verifica iniziano con </w:t>
      </w:r>
      <w:r w:rsidR="006F610B" w:rsidRPr="007F7EBF">
        <w:rPr>
          <w:bCs/>
          <w:sz w:val="22"/>
          <w:szCs w:val="22"/>
        </w:rPr>
        <w:t>asettiche descrizioni generali dell’attività svolta</w:t>
      </w:r>
      <w:r w:rsidR="006F610B" w:rsidRPr="007F7EBF">
        <w:rPr>
          <w:sz w:val="22"/>
          <w:szCs w:val="22"/>
        </w:rPr>
        <w:t>, come se essa fosse stata scoperta durante l'attività d'indagine, e non analizzata "a monte" (</w:t>
      </w:r>
      <w:r w:rsidR="006F610B">
        <w:rPr>
          <w:rStyle w:val="Rimandonotaapidipagina"/>
          <w:sz w:val="22"/>
          <w:szCs w:val="22"/>
        </w:rPr>
        <w:footnoteReference w:id="579"/>
      </w:r>
      <w:r w:rsidR="006F610B" w:rsidRPr="007F7EBF">
        <w:rPr>
          <w:sz w:val="22"/>
          <w:szCs w:val="22"/>
        </w:rPr>
        <w:t xml:space="preserve">).   </w:t>
      </w:r>
      <w:r w:rsidRPr="007F7EBF">
        <w:rPr>
          <w:sz w:val="22"/>
          <w:szCs w:val="22"/>
        </w:rPr>
        <w:t xml:space="preserve">gli </w:t>
      </w:r>
      <w:r w:rsidRPr="007F7EBF">
        <w:rPr>
          <w:bCs/>
          <w:sz w:val="22"/>
          <w:szCs w:val="22"/>
        </w:rPr>
        <w:t xml:space="preserve">accessi, ispezioni e verifiche, </w:t>
      </w:r>
      <w:r w:rsidRPr="007F7EBF">
        <w:rPr>
          <w:sz w:val="22"/>
          <w:szCs w:val="22"/>
        </w:rPr>
        <w:t xml:space="preserve"> sono innescati solo da analisi "a tavolino", non particolarmente agevolate dalle innumerevoli banche dati di cui al par.5.16. Le indagini, quindi, sono peggiori in qualità e quantità rispetto a come potrebbero essere </w:t>
      </w:r>
      <w:r w:rsidR="00DB3837">
        <w:rPr>
          <w:sz w:val="22"/>
          <w:szCs w:val="22"/>
        </w:rPr>
        <w:t>se precedute dal bagaglio informativo generale sul contribuente, proposto al paragrafo seguente</w:t>
      </w:r>
      <w:r w:rsidR="006F610B">
        <w:rPr>
          <w:sz w:val="22"/>
          <w:szCs w:val="22"/>
        </w:rPr>
        <w:t xml:space="preserve">; </w:t>
      </w:r>
    </w:p>
    <w:p w14:paraId="11B80D6E" w14:textId="242533E7" w:rsidR="00561BFC" w:rsidRPr="007F7EBF" w:rsidRDefault="00A73875" w:rsidP="00561BFC">
      <w:pPr>
        <w:autoSpaceDE w:val="0"/>
        <w:autoSpaceDN w:val="0"/>
        <w:adjustRightInd w:val="0"/>
        <w:rPr>
          <w:sz w:val="22"/>
          <w:szCs w:val="22"/>
        </w:rPr>
      </w:pPr>
      <w:r w:rsidRPr="007F7EBF">
        <w:rPr>
          <w:sz w:val="22"/>
          <w:szCs w:val="22"/>
        </w:rPr>
        <w:lastRenderedPageBreak/>
        <w:t>È una conferma dell’episodicità dell’attività amministrativa in materia tributaria, cui si connettono dispersioni di risorse, che ostacolano la serena, e soprattutto sistematica, stima de</w:t>
      </w:r>
      <w:r w:rsidR="00637144">
        <w:rPr>
          <w:sz w:val="22"/>
          <w:szCs w:val="22"/>
        </w:rPr>
        <w:t xml:space="preserve">i presupposti economici </w:t>
      </w:r>
      <w:r w:rsidRPr="007F7EBF">
        <w:rPr>
          <w:sz w:val="22"/>
          <w:szCs w:val="22"/>
        </w:rPr>
        <w:t>non registrat</w:t>
      </w:r>
      <w:r w:rsidR="00637144">
        <w:rPr>
          <w:sz w:val="22"/>
          <w:szCs w:val="22"/>
        </w:rPr>
        <w:t>i</w:t>
      </w:r>
      <w:r w:rsidRPr="007F7EBF">
        <w:rPr>
          <w:sz w:val="22"/>
          <w:szCs w:val="22"/>
        </w:rPr>
        <w:t xml:space="preserve">. </w:t>
      </w:r>
    </w:p>
    <w:p w14:paraId="5CE7E24B" w14:textId="15D184F0" w:rsidR="00561BFC" w:rsidRPr="007F7EBF" w:rsidRDefault="00561BFC" w:rsidP="00561BFC">
      <w:pPr>
        <w:pStyle w:val="tit23"/>
        <w:ind w:left="6464" w:right="-1361" w:firstLine="0"/>
        <w:jc w:val="left"/>
        <w:rPr>
          <w:bCs/>
          <w:i/>
          <w:iCs/>
          <w:color w:val="0000FF"/>
          <w:lang w:val="it-IT"/>
        </w:rPr>
      </w:pPr>
      <w:r>
        <w:rPr>
          <w:bCs/>
          <w:i/>
          <w:iCs/>
          <w:color w:val="0000FF"/>
          <w:lang w:val="it-IT"/>
        </w:rPr>
        <w:t>valore di atto pubblico dei verbali di ispezione</w:t>
      </w:r>
    </w:p>
    <w:p w14:paraId="07AF25A9" w14:textId="0112DC76" w:rsidR="006342C5" w:rsidRPr="007F7EBF" w:rsidRDefault="006342C5" w:rsidP="00BD2649">
      <w:pPr>
        <w:autoSpaceDE w:val="0"/>
        <w:autoSpaceDN w:val="0"/>
        <w:adjustRightInd w:val="0"/>
        <w:rPr>
          <w:sz w:val="22"/>
          <w:szCs w:val="22"/>
        </w:rPr>
      </w:pPr>
      <w:r w:rsidRPr="007F7EBF">
        <w:rPr>
          <w:sz w:val="22"/>
          <w:szCs w:val="22"/>
        </w:rPr>
        <w:t xml:space="preserve">Veniamo ora alla </w:t>
      </w:r>
      <w:r w:rsidRPr="007F7EBF">
        <w:rPr>
          <w:bCs/>
          <w:sz w:val="22"/>
          <w:szCs w:val="22"/>
        </w:rPr>
        <w:t>documentazione delle indagini fiscali</w:t>
      </w:r>
      <w:r w:rsidRPr="007F7EBF">
        <w:rPr>
          <w:sz w:val="22"/>
          <w:szCs w:val="22"/>
        </w:rPr>
        <w:t>, effettuata con lo</w:t>
      </w:r>
      <w:r w:rsidR="00B85690" w:rsidRPr="007F7EBF">
        <w:rPr>
          <w:sz w:val="22"/>
          <w:szCs w:val="22"/>
        </w:rPr>
        <w:t xml:space="preserve"> </w:t>
      </w:r>
      <w:r w:rsidRPr="007F7EBF">
        <w:rPr>
          <w:bCs/>
          <w:sz w:val="22"/>
          <w:szCs w:val="22"/>
        </w:rPr>
        <w:t>strumento generale dei “processi verbali”</w:t>
      </w:r>
      <w:r w:rsidRPr="007F7EBF">
        <w:rPr>
          <w:sz w:val="22"/>
          <w:szCs w:val="22"/>
        </w:rPr>
        <w:t>, in cui si descrivono le operazioni</w:t>
      </w:r>
      <w:r w:rsidR="00B85690" w:rsidRPr="007F7EBF">
        <w:rPr>
          <w:sz w:val="22"/>
          <w:szCs w:val="22"/>
        </w:rPr>
        <w:t xml:space="preserve"> avvenute e </w:t>
      </w:r>
      <w:r w:rsidRPr="007F7EBF">
        <w:rPr>
          <w:sz w:val="22"/>
          <w:szCs w:val="22"/>
        </w:rPr>
        <w:t>gli incontri svolti; ritroviamo qui un potere tipico delle autorità amministrative,</w:t>
      </w:r>
      <w:r w:rsidR="00B85690" w:rsidRPr="007F7EBF">
        <w:rPr>
          <w:sz w:val="22"/>
          <w:szCs w:val="22"/>
        </w:rPr>
        <w:t xml:space="preserve"> </w:t>
      </w:r>
      <w:r w:rsidRPr="007F7EBF">
        <w:rPr>
          <w:sz w:val="22"/>
          <w:szCs w:val="22"/>
        </w:rPr>
        <w:t xml:space="preserve">come il </w:t>
      </w:r>
      <w:r w:rsidRPr="007F7EBF">
        <w:rPr>
          <w:bCs/>
          <w:sz w:val="22"/>
          <w:szCs w:val="22"/>
        </w:rPr>
        <w:t>“potere di certazione”</w:t>
      </w:r>
      <w:r w:rsidRPr="007F7EBF">
        <w:rPr>
          <w:sz w:val="22"/>
          <w:szCs w:val="22"/>
        </w:rPr>
        <w:t>, che riflette la nota matrice amministrativistica</w:t>
      </w:r>
      <w:r w:rsidR="00B85690" w:rsidRPr="007F7EBF">
        <w:rPr>
          <w:sz w:val="22"/>
          <w:szCs w:val="22"/>
        </w:rPr>
        <w:t xml:space="preserve"> </w:t>
      </w:r>
      <w:r w:rsidRPr="007F7EBF">
        <w:rPr>
          <w:sz w:val="22"/>
          <w:szCs w:val="22"/>
        </w:rPr>
        <w:t>d</w:t>
      </w:r>
      <w:r w:rsidR="006361A7" w:rsidRPr="007F7EBF">
        <w:rPr>
          <w:sz w:val="22"/>
          <w:szCs w:val="22"/>
        </w:rPr>
        <w:t xml:space="preserve">el diritto tributario e </w:t>
      </w:r>
      <w:r w:rsidRPr="007F7EBF">
        <w:rPr>
          <w:sz w:val="22"/>
          <w:szCs w:val="22"/>
        </w:rPr>
        <w:t>la natura di pubblici ufficiali dei funzionari</w:t>
      </w:r>
      <w:r w:rsidR="00B85690" w:rsidRPr="007F7EBF">
        <w:rPr>
          <w:sz w:val="22"/>
          <w:szCs w:val="22"/>
        </w:rPr>
        <w:t xml:space="preserve"> </w:t>
      </w:r>
      <w:r w:rsidRPr="007F7EBF">
        <w:rPr>
          <w:sz w:val="22"/>
          <w:szCs w:val="22"/>
        </w:rPr>
        <w:t>del fisco.</w:t>
      </w:r>
    </w:p>
    <w:p w14:paraId="65447180" w14:textId="77777777" w:rsidR="00BD2649" w:rsidRPr="007F7EBF" w:rsidRDefault="006342C5" w:rsidP="00BD2649">
      <w:pPr>
        <w:autoSpaceDE w:val="0"/>
        <w:autoSpaceDN w:val="0"/>
        <w:adjustRightInd w:val="0"/>
        <w:rPr>
          <w:sz w:val="22"/>
          <w:szCs w:val="22"/>
        </w:rPr>
      </w:pPr>
      <w:r w:rsidRPr="007F7EBF">
        <w:rPr>
          <w:sz w:val="22"/>
          <w:szCs w:val="22"/>
        </w:rPr>
        <w:t>Il verbale costituisce</w:t>
      </w:r>
      <w:r w:rsidR="00BD2649" w:rsidRPr="007F7EBF">
        <w:rPr>
          <w:sz w:val="22"/>
          <w:szCs w:val="22"/>
        </w:rPr>
        <w:t>, prova legale, come diremo al par.5.8, nel senso di fare</w:t>
      </w:r>
      <w:r w:rsidRPr="007F7EBF">
        <w:rPr>
          <w:sz w:val="22"/>
          <w:szCs w:val="22"/>
        </w:rPr>
        <w:t xml:space="preserve"> «prova fino a querela di falso», delle operazioni materiali accadute in presenza del verbalizzante</w:t>
      </w:r>
      <w:r w:rsidR="006361A7" w:rsidRPr="007F7EBF">
        <w:rPr>
          <w:sz w:val="22"/>
          <w:szCs w:val="22"/>
        </w:rPr>
        <w:t xml:space="preserve"> </w:t>
      </w:r>
      <w:r w:rsidR="000E4FCA" w:rsidRPr="007F7EBF">
        <w:rPr>
          <w:sz w:val="22"/>
          <w:szCs w:val="22"/>
        </w:rPr>
        <w:t xml:space="preserve">o da lui compiute. </w:t>
      </w:r>
    </w:p>
    <w:p w14:paraId="0DC322AE" w14:textId="77777777" w:rsidR="00BD2649" w:rsidRPr="007F7EBF" w:rsidRDefault="00BD2649" w:rsidP="00BD2649">
      <w:pPr>
        <w:pStyle w:val="tit23"/>
        <w:ind w:left="6464" w:right="-1361" w:firstLine="0"/>
        <w:jc w:val="left"/>
        <w:rPr>
          <w:bCs/>
          <w:i/>
          <w:iCs/>
          <w:color w:val="0000FF"/>
          <w:lang w:val="it-IT"/>
        </w:rPr>
      </w:pPr>
      <w:r w:rsidRPr="007F7EBF">
        <w:rPr>
          <w:bCs/>
          <w:i/>
          <w:iCs/>
          <w:color w:val="0000FF"/>
          <w:lang w:val="it-IT"/>
        </w:rPr>
        <w:t>Limiti ordinari di valore probatorio legale</w:t>
      </w:r>
    </w:p>
    <w:p w14:paraId="5DBC76EB" w14:textId="690D03E7" w:rsidR="006253EC" w:rsidRPr="007F7EBF" w:rsidRDefault="00EA1BAB" w:rsidP="006253EC">
      <w:pPr>
        <w:autoSpaceDE w:val="0"/>
        <w:autoSpaceDN w:val="0"/>
        <w:adjustRightInd w:val="0"/>
        <w:rPr>
          <w:sz w:val="22"/>
          <w:szCs w:val="22"/>
        </w:rPr>
      </w:pPr>
      <w:r w:rsidRPr="007F7EBF">
        <w:rPr>
          <w:sz w:val="22"/>
          <w:szCs w:val="22"/>
        </w:rPr>
        <w:t>Si tratta di un riflesso del val</w:t>
      </w:r>
      <w:r w:rsidR="00BD2649" w:rsidRPr="007F7EBF">
        <w:rPr>
          <w:sz w:val="22"/>
          <w:szCs w:val="22"/>
        </w:rPr>
        <w:t>ore probatorio privilegiato degli atti provenienti da pubblici uffici</w:t>
      </w:r>
      <w:r w:rsidRPr="007F7EBF">
        <w:rPr>
          <w:sz w:val="22"/>
          <w:szCs w:val="22"/>
        </w:rPr>
        <w:t>, dotati de</w:t>
      </w:r>
      <w:r w:rsidR="00BD2649" w:rsidRPr="007F7EBF">
        <w:rPr>
          <w:sz w:val="22"/>
          <w:szCs w:val="22"/>
        </w:rPr>
        <w:t>l suddetto "potere di certazione"(o certificazione) amministrativa. Secondo questi principi generali, quindi, n</w:t>
      </w:r>
      <w:r w:rsidR="000E4FCA" w:rsidRPr="007F7EBF">
        <w:rPr>
          <w:sz w:val="22"/>
          <w:szCs w:val="22"/>
        </w:rPr>
        <w:t xml:space="preserve">essun </w:t>
      </w:r>
      <w:r w:rsidR="006342C5" w:rsidRPr="007F7EBF">
        <w:rPr>
          <w:sz w:val="22"/>
          <w:szCs w:val="22"/>
        </w:rPr>
        <w:t xml:space="preserve">valore </w:t>
      </w:r>
      <w:r w:rsidR="000E4FCA" w:rsidRPr="007F7EBF">
        <w:rPr>
          <w:sz w:val="22"/>
          <w:szCs w:val="22"/>
        </w:rPr>
        <w:t>privilegiato</w:t>
      </w:r>
      <w:r w:rsidR="006342C5" w:rsidRPr="007F7EBF">
        <w:rPr>
          <w:sz w:val="22"/>
          <w:szCs w:val="22"/>
        </w:rPr>
        <w:t xml:space="preserve"> spetta invece alla parte</w:t>
      </w:r>
      <w:r w:rsidR="00B85690" w:rsidRPr="007F7EBF">
        <w:rPr>
          <w:sz w:val="22"/>
          <w:szCs w:val="22"/>
        </w:rPr>
        <w:t xml:space="preserve"> </w:t>
      </w:r>
      <w:r w:rsidR="006342C5" w:rsidRPr="007F7EBF">
        <w:rPr>
          <w:sz w:val="22"/>
          <w:szCs w:val="22"/>
        </w:rPr>
        <w:t>logico-critica del verbale, in cui il verbalizzante utilizza i dati osservati per formulare</w:t>
      </w:r>
      <w:r w:rsidR="00BD2649" w:rsidRPr="007F7EBF">
        <w:rPr>
          <w:sz w:val="22"/>
          <w:szCs w:val="22"/>
        </w:rPr>
        <w:t xml:space="preserve"> </w:t>
      </w:r>
      <w:r w:rsidR="006342C5" w:rsidRPr="007F7EBF">
        <w:rPr>
          <w:sz w:val="22"/>
          <w:szCs w:val="22"/>
        </w:rPr>
        <w:t>deduzioni ulteriori (di solito argomenti presuntivi) rispetto ad essi</w:t>
      </w:r>
      <w:r w:rsidR="00BD2649" w:rsidRPr="007F7EBF">
        <w:rPr>
          <w:rStyle w:val="Rimandonotaapidipagina"/>
          <w:sz w:val="22"/>
          <w:szCs w:val="22"/>
        </w:rPr>
        <w:footnoteReference w:id="580"/>
      </w:r>
      <w:r w:rsidR="00BD2649" w:rsidRPr="007F7EBF">
        <w:rPr>
          <w:sz w:val="22"/>
          <w:szCs w:val="22"/>
        </w:rPr>
        <w:t xml:space="preserve">. </w:t>
      </w:r>
    </w:p>
    <w:p w14:paraId="222B0FE2" w14:textId="20874424" w:rsidR="006253EC" w:rsidRPr="007F7EBF" w:rsidRDefault="006253EC" w:rsidP="006253EC">
      <w:pPr>
        <w:pStyle w:val="tit23"/>
        <w:ind w:left="6464" w:right="-1361" w:firstLine="0"/>
        <w:jc w:val="left"/>
        <w:rPr>
          <w:bCs/>
          <w:i/>
          <w:iCs/>
          <w:color w:val="0000FF"/>
          <w:lang w:val="it-IT"/>
        </w:rPr>
      </w:pPr>
      <w:r>
        <w:rPr>
          <w:bCs/>
          <w:i/>
          <w:iCs/>
          <w:color w:val="0000FF"/>
          <w:lang w:val="it-IT"/>
        </w:rPr>
        <w:t>Verbale e procedimento d’imposizione (rinvii)</w:t>
      </w:r>
    </w:p>
    <w:p w14:paraId="2A88B777" w14:textId="1172ACDA" w:rsidR="00DB3837" w:rsidRDefault="00DB3837" w:rsidP="00DB3837">
      <w:pPr>
        <w:autoSpaceDE w:val="0"/>
        <w:autoSpaceDN w:val="0"/>
        <w:adjustRightInd w:val="0"/>
        <w:rPr>
          <w:bCs/>
          <w:i/>
          <w:iCs/>
          <w:color w:val="0000FF"/>
          <w:sz w:val="22"/>
          <w:szCs w:val="22"/>
        </w:rPr>
      </w:pPr>
      <w:r>
        <w:rPr>
          <w:sz w:val="22"/>
          <w:szCs w:val="22"/>
        </w:rPr>
        <w:t xml:space="preserve">Il </w:t>
      </w:r>
      <w:r>
        <w:rPr>
          <w:bCs/>
          <w:sz w:val="22"/>
          <w:szCs w:val="22"/>
        </w:rPr>
        <w:t xml:space="preserve">verbale </w:t>
      </w:r>
      <w:r>
        <w:rPr>
          <w:sz w:val="22"/>
          <w:szCs w:val="22"/>
        </w:rPr>
        <w:t>è un atto ancora preliminare rispetto agli avvisi di accertamento</w:t>
      </w:r>
      <w:r w:rsidR="006C13F1">
        <w:rPr>
          <w:sz w:val="22"/>
          <w:szCs w:val="22"/>
        </w:rPr>
        <w:t xml:space="preserve"> (par.6.1)</w:t>
      </w:r>
      <w:r>
        <w:rPr>
          <w:sz w:val="22"/>
          <w:szCs w:val="22"/>
        </w:rPr>
        <w:t xml:space="preserve"> cui eventualmente darà luogo</w:t>
      </w:r>
      <w:r w:rsidR="006C13F1">
        <w:rPr>
          <w:sz w:val="22"/>
          <w:szCs w:val="22"/>
        </w:rPr>
        <w:t xml:space="preserve"> e </w:t>
      </w:r>
      <w:r>
        <w:rPr>
          <w:sz w:val="22"/>
          <w:szCs w:val="22"/>
        </w:rPr>
        <w:t xml:space="preserve">per questo </w:t>
      </w:r>
      <w:r>
        <w:rPr>
          <w:bCs/>
          <w:sz w:val="22"/>
          <w:szCs w:val="22"/>
        </w:rPr>
        <w:t xml:space="preserve">la sua impugnazione </w:t>
      </w:r>
      <w:r w:rsidR="006C13F1">
        <w:rPr>
          <w:sz w:val="22"/>
          <w:szCs w:val="22"/>
        </w:rPr>
        <w:t>giurisdizionale</w:t>
      </w:r>
      <w:r>
        <w:rPr>
          <w:sz w:val="22"/>
          <w:szCs w:val="22"/>
        </w:rPr>
        <w:t xml:space="preserve"> </w:t>
      </w:r>
      <w:r w:rsidR="000F39D4">
        <w:rPr>
          <w:sz w:val="22"/>
          <w:szCs w:val="22"/>
        </w:rPr>
        <w:t>è</w:t>
      </w:r>
      <w:r>
        <w:rPr>
          <w:sz w:val="22"/>
          <w:szCs w:val="22"/>
        </w:rPr>
        <w:t xml:space="preserve"> </w:t>
      </w:r>
      <w:r>
        <w:rPr>
          <w:bCs/>
          <w:sz w:val="22"/>
          <w:szCs w:val="22"/>
        </w:rPr>
        <w:t>inammissibile</w:t>
      </w:r>
      <w:r>
        <w:rPr>
          <w:sz w:val="22"/>
          <w:szCs w:val="22"/>
        </w:rPr>
        <w:t xml:space="preserve">, </w:t>
      </w:r>
      <w:r w:rsidR="000F39D4">
        <w:rPr>
          <w:sz w:val="22"/>
          <w:szCs w:val="22"/>
        </w:rPr>
        <w:t xml:space="preserve">perché </w:t>
      </w:r>
      <w:r>
        <w:rPr>
          <w:sz w:val="22"/>
          <w:szCs w:val="22"/>
        </w:rPr>
        <w:t>prematura.</w:t>
      </w:r>
      <w:r w:rsidRPr="00875833">
        <w:rPr>
          <w:sz w:val="22"/>
        </w:rPr>
        <w:t xml:space="preserve"> </w:t>
      </w:r>
    </w:p>
    <w:p w14:paraId="4083718D" w14:textId="775DDF2A" w:rsidR="00F96AD0" w:rsidRDefault="000F39D4" w:rsidP="006342C5">
      <w:pPr>
        <w:autoSpaceDE w:val="0"/>
        <w:autoSpaceDN w:val="0"/>
        <w:adjustRightInd w:val="0"/>
        <w:rPr>
          <w:sz w:val="22"/>
          <w:szCs w:val="22"/>
        </w:rPr>
      </w:pPr>
      <w:r>
        <w:rPr>
          <w:sz w:val="22"/>
          <w:szCs w:val="22"/>
        </w:rPr>
        <w:t xml:space="preserve">Eventuali </w:t>
      </w:r>
      <w:r w:rsidR="00DB3837">
        <w:rPr>
          <w:sz w:val="22"/>
          <w:szCs w:val="22"/>
        </w:rPr>
        <w:t>misure cautelari di garanzia patrimoniale, come l’ipoteca o il sequestro di beni del contribuente</w:t>
      </w:r>
      <w:r>
        <w:rPr>
          <w:sz w:val="22"/>
          <w:szCs w:val="22"/>
        </w:rPr>
        <w:t xml:space="preserve">, adottate in base al verbale, possono </w:t>
      </w:r>
      <w:r>
        <w:rPr>
          <w:sz w:val="22"/>
          <w:szCs w:val="22"/>
        </w:rPr>
        <w:lastRenderedPageBreak/>
        <w:t xml:space="preserve">casomai essere impugnate come tali, coinvolgendo anche il verbale che esse presuppongono. </w:t>
      </w:r>
      <w:r w:rsidR="006253EC">
        <w:rPr>
          <w:sz w:val="22"/>
        </w:rPr>
        <w:t xml:space="preserve">Un </w:t>
      </w:r>
      <w:r w:rsidR="006253EC">
        <w:rPr>
          <w:sz w:val="22"/>
          <w:szCs w:val="22"/>
        </w:rPr>
        <w:t>nesso procedimentale lega l’apertura delle indagini, la redazione del verbale, la partecipazione dei contribuenti, con la facoltà di presentare all'ufficio impositore deduzioni (</w:t>
      </w:r>
      <w:r w:rsidR="006253EC" w:rsidRPr="007F7EBF">
        <w:rPr>
          <w:rStyle w:val="Rimandonotaapidipagina"/>
          <w:sz w:val="22"/>
          <w:szCs w:val="22"/>
        </w:rPr>
        <w:footnoteReference w:id="581"/>
      </w:r>
      <w:r w:rsidR="006253EC">
        <w:rPr>
          <w:sz w:val="22"/>
          <w:szCs w:val="22"/>
        </w:rPr>
        <w:t>) e gli eventuali atti d’accertamento di cui al par.6.1 ss.</w:t>
      </w:r>
    </w:p>
    <w:p w14:paraId="4DE4DFB6" w14:textId="654572D0" w:rsidR="00D82638" w:rsidRPr="007F7EBF" w:rsidRDefault="00F96AD0" w:rsidP="006342C5">
      <w:pPr>
        <w:autoSpaceDE w:val="0"/>
        <w:autoSpaceDN w:val="0"/>
        <w:adjustRightInd w:val="0"/>
        <w:rPr>
          <w:sz w:val="22"/>
          <w:szCs w:val="22"/>
        </w:rPr>
      </w:pPr>
      <w:r>
        <w:rPr>
          <w:sz w:val="22"/>
          <w:szCs w:val="22"/>
        </w:rPr>
        <w:t>E’ stata soppressa l’</w:t>
      </w:r>
      <w:r w:rsidR="00DB3837">
        <w:rPr>
          <w:sz w:val="22"/>
          <w:szCs w:val="22"/>
        </w:rPr>
        <w:t xml:space="preserve">acquiescenza al verbale, con sconto sulle sanzioni, </w:t>
      </w:r>
      <w:r>
        <w:rPr>
          <w:sz w:val="22"/>
          <w:szCs w:val="22"/>
        </w:rPr>
        <w:t xml:space="preserve">in quanto assorbita </w:t>
      </w:r>
      <w:r w:rsidR="00DB3837">
        <w:rPr>
          <w:sz w:val="22"/>
          <w:szCs w:val="22"/>
        </w:rPr>
        <w:t xml:space="preserve">dal “ravvedimento lungo” (par.3.4) </w:t>
      </w:r>
      <w:r>
        <w:rPr>
          <w:sz w:val="22"/>
          <w:szCs w:val="22"/>
        </w:rPr>
        <w:t>e d</w:t>
      </w:r>
      <w:r w:rsidR="00DB3837">
        <w:rPr>
          <w:sz w:val="22"/>
          <w:szCs w:val="22"/>
        </w:rPr>
        <w:t xml:space="preserve">all’accertamento con adesione (par.6.4 </w:t>
      </w:r>
      <w:proofErr w:type="spellStart"/>
      <w:r w:rsidR="00DB3837">
        <w:rPr>
          <w:sz w:val="22"/>
          <w:szCs w:val="22"/>
        </w:rPr>
        <w:t>ss</w:t>
      </w:r>
      <w:proofErr w:type="spellEnd"/>
      <w:r w:rsidR="00DB3837">
        <w:rPr>
          <w:sz w:val="22"/>
          <w:szCs w:val="22"/>
        </w:rPr>
        <w:t xml:space="preserve">). </w:t>
      </w:r>
    </w:p>
    <w:p w14:paraId="0FAED23F" w14:textId="6E033461" w:rsidR="00E70BE5" w:rsidRDefault="006342C5" w:rsidP="001412D6">
      <w:pPr>
        <w:pStyle w:val="Titolo3"/>
        <w:rPr>
          <w:sz w:val="22"/>
          <w:szCs w:val="22"/>
        </w:rPr>
      </w:pPr>
      <w:bookmarkStart w:id="63" w:name="_Toc63364979"/>
      <w:r w:rsidRPr="007F7EBF">
        <w:rPr>
          <w:rFonts w:ascii="Times New Roman" w:hAnsi="Times New Roman"/>
          <w:sz w:val="22"/>
          <w:szCs w:val="22"/>
        </w:rPr>
        <w:t xml:space="preserve">5.7. </w:t>
      </w:r>
      <w:r w:rsidR="00F304C7">
        <w:rPr>
          <w:rFonts w:ascii="Times New Roman" w:hAnsi="Times New Roman"/>
          <w:sz w:val="22"/>
          <w:szCs w:val="22"/>
          <w:lang w:val="it-IT"/>
        </w:rPr>
        <w:t xml:space="preserve"> </w:t>
      </w:r>
      <w:r w:rsidR="005C4708">
        <w:rPr>
          <w:rFonts w:ascii="Times New Roman" w:hAnsi="Times New Roman"/>
          <w:sz w:val="22"/>
          <w:szCs w:val="22"/>
          <w:lang w:val="it-IT"/>
        </w:rPr>
        <w:t>I</w:t>
      </w:r>
      <w:r w:rsidR="00780E66">
        <w:rPr>
          <w:rFonts w:ascii="Times New Roman" w:hAnsi="Times New Roman"/>
          <w:sz w:val="22"/>
          <w:szCs w:val="22"/>
          <w:lang w:val="it-IT"/>
        </w:rPr>
        <w:t>l</w:t>
      </w:r>
      <w:r w:rsidR="005C4708">
        <w:rPr>
          <w:rFonts w:ascii="Times New Roman" w:hAnsi="Times New Roman"/>
          <w:sz w:val="22"/>
          <w:szCs w:val="22"/>
          <w:lang w:val="it-IT"/>
        </w:rPr>
        <w:t xml:space="preserve"> </w:t>
      </w:r>
      <w:r w:rsidR="00780E66">
        <w:rPr>
          <w:rFonts w:ascii="Times New Roman" w:hAnsi="Times New Roman"/>
          <w:sz w:val="22"/>
          <w:szCs w:val="22"/>
          <w:lang w:val="it-IT"/>
        </w:rPr>
        <w:t>r</w:t>
      </w:r>
      <w:r w:rsidR="001412D6">
        <w:rPr>
          <w:rFonts w:ascii="Times New Roman" w:hAnsi="Times New Roman"/>
          <w:sz w:val="22"/>
          <w:szCs w:val="22"/>
          <w:lang w:val="it-IT"/>
        </w:rPr>
        <w:t xml:space="preserve">uolo dei controlli </w:t>
      </w:r>
      <w:r w:rsidR="005C4708">
        <w:rPr>
          <w:rFonts w:ascii="Times New Roman" w:hAnsi="Times New Roman"/>
          <w:sz w:val="22"/>
          <w:szCs w:val="22"/>
          <w:lang w:val="it-IT"/>
        </w:rPr>
        <w:t xml:space="preserve">per </w:t>
      </w:r>
      <w:r w:rsidR="0050645D">
        <w:rPr>
          <w:rFonts w:ascii="Times New Roman" w:hAnsi="Times New Roman"/>
          <w:sz w:val="22"/>
          <w:szCs w:val="22"/>
          <w:lang w:val="it-IT"/>
        </w:rPr>
        <w:t>indurre</w:t>
      </w:r>
      <w:r w:rsidR="005C4708">
        <w:rPr>
          <w:rFonts w:ascii="Times New Roman" w:hAnsi="Times New Roman"/>
          <w:sz w:val="22"/>
          <w:szCs w:val="22"/>
          <w:lang w:val="it-IT"/>
        </w:rPr>
        <w:t xml:space="preserve"> ad una credibile </w:t>
      </w:r>
      <w:r w:rsidR="001412D6">
        <w:rPr>
          <w:rFonts w:ascii="Times New Roman" w:hAnsi="Times New Roman"/>
          <w:sz w:val="22"/>
          <w:szCs w:val="22"/>
          <w:lang w:val="it-IT"/>
        </w:rPr>
        <w:t>autotassazione</w:t>
      </w:r>
      <w:bookmarkEnd w:id="63"/>
    </w:p>
    <w:p w14:paraId="40C468AB" w14:textId="77777777" w:rsidR="00E70BE5" w:rsidRDefault="00E70BE5" w:rsidP="00E70BE5">
      <w:pPr>
        <w:pStyle w:val="tit23"/>
        <w:ind w:left="6464" w:right="-1361" w:firstLine="0"/>
        <w:jc w:val="left"/>
        <w:rPr>
          <w:bCs/>
          <w:i/>
          <w:iCs/>
          <w:color w:val="0000FF"/>
          <w:lang w:val="it-IT"/>
        </w:rPr>
      </w:pPr>
      <w:r>
        <w:rPr>
          <w:bCs/>
          <w:i/>
          <w:iCs/>
          <w:color w:val="0000FF"/>
          <w:lang w:val="it-IT"/>
        </w:rPr>
        <w:t xml:space="preserve">Funzione tributaria in un contesto di autotassazione     </w:t>
      </w:r>
    </w:p>
    <w:p w14:paraId="49F04149" w14:textId="350C84CA" w:rsidR="00E70BE5" w:rsidRDefault="006B396F" w:rsidP="00E70BE5">
      <w:pPr>
        <w:autoSpaceDE w:val="0"/>
        <w:autoSpaceDN w:val="0"/>
        <w:adjustRightInd w:val="0"/>
        <w:rPr>
          <w:sz w:val="22"/>
          <w:szCs w:val="22"/>
        </w:rPr>
      </w:pPr>
      <w:r>
        <w:rPr>
          <w:sz w:val="22"/>
          <w:szCs w:val="22"/>
        </w:rPr>
        <w:t xml:space="preserve">Una volta illustrata l’inevitabile matrice amministrativistica dei </w:t>
      </w:r>
      <w:r w:rsidRPr="006B396F">
        <w:rPr>
          <w:i/>
          <w:iCs/>
          <w:sz w:val="22"/>
          <w:szCs w:val="22"/>
        </w:rPr>
        <w:t>controlli del</w:t>
      </w:r>
      <w:r>
        <w:rPr>
          <w:sz w:val="22"/>
          <w:szCs w:val="22"/>
        </w:rPr>
        <w:t xml:space="preserve"> </w:t>
      </w:r>
      <w:r w:rsidRPr="006B396F">
        <w:rPr>
          <w:i/>
          <w:iCs/>
          <w:sz w:val="22"/>
          <w:szCs w:val="22"/>
        </w:rPr>
        <w:t>dichiarato</w:t>
      </w:r>
      <w:r>
        <w:rPr>
          <w:sz w:val="22"/>
          <w:szCs w:val="22"/>
        </w:rPr>
        <w:t xml:space="preserve"> e delle </w:t>
      </w:r>
      <w:r w:rsidRPr="006B396F">
        <w:rPr>
          <w:i/>
          <w:iCs/>
          <w:sz w:val="22"/>
          <w:szCs w:val="22"/>
        </w:rPr>
        <w:t>indagini sul non dichiarato</w:t>
      </w:r>
      <w:r>
        <w:rPr>
          <w:sz w:val="22"/>
          <w:szCs w:val="22"/>
        </w:rPr>
        <w:t xml:space="preserve">, dovrebbe essere chiaro il ruolo degli uffici tributari </w:t>
      </w:r>
      <w:r w:rsidR="005C4708">
        <w:rPr>
          <w:sz w:val="22"/>
          <w:szCs w:val="22"/>
        </w:rPr>
        <w:t>davanti al</w:t>
      </w:r>
      <w:r>
        <w:rPr>
          <w:sz w:val="22"/>
          <w:szCs w:val="22"/>
        </w:rPr>
        <w:t xml:space="preserve">la </w:t>
      </w:r>
      <w:r w:rsidR="00E240E9">
        <w:rPr>
          <w:sz w:val="22"/>
          <w:szCs w:val="22"/>
        </w:rPr>
        <w:t xml:space="preserve">diversa </w:t>
      </w:r>
      <w:r w:rsidR="00932893">
        <w:rPr>
          <w:sz w:val="22"/>
          <w:szCs w:val="22"/>
        </w:rPr>
        <w:t>determina</w:t>
      </w:r>
      <w:r w:rsidR="00E240E9">
        <w:rPr>
          <w:sz w:val="22"/>
          <w:szCs w:val="22"/>
        </w:rPr>
        <w:t>bilità dei presupposti economici delle imposte</w:t>
      </w:r>
      <w:r>
        <w:rPr>
          <w:sz w:val="22"/>
          <w:szCs w:val="22"/>
        </w:rPr>
        <w:t xml:space="preserve">. L’obiettivo non è massimizzare le imposte accertate sul singolo contribuente accertato, disperdendo risorse amministrative e creando una controproducente immagine di “fiscalismo”, come sospettosa e vessatoria pignoleria. In un contesto di autodeterminazione, l’obiettivo del controllo è </w:t>
      </w:r>
      <w:r w:rsidR="005C4708">
        <w:rPr>
          <w:sz w:val="22"/>
          <w:szCs w:val="22"/>
        </w:rPr>
        <w:t>invece</w:t>
      </w:r>
      <w:r>
        <w:rPr>
          <w:sz w:val="22"/>
          <w:szCs w:val="22"/>
        </w:rPr>
        <w:t xml:space="preserve"> indurre </w:t>
      </w:r>
      <w:r w:rsidR="005C4708">
        <w:rPr>
          <w:sz w:val="22"/>
          <w:szCs w:val="22"/>
        </w:rPr>
        <w:t>l’insieme de</w:t>
      </w:r>
      <w:r>
        <w:rPr>
          <w:sz w:val="22"/>
          <w:szCs w:val="22"/>
        </w:rPr>
        <w:t>i contribuenti ad un adempimento credibile</w:t>
      </w:r>
      <w:r w:rsidR="005C4708">
        <w:rPr>
          <w:sz w:val="22"/>
          <w:szCs w:val="22"/>
        </w:rPr>
        <w:t>, non prelevare più imposte possibile dal singolo contribuente accertato</w:t>
      </w:r>
      <w:r>
        <w:rPr>
          <w:sz w:val="22"/>
          <w:szCs w:val="22"/>
        </w:rPr>
        <w:t xml:space="preserve">. Il controllo deve cioè </w:t>
      </w:r>
      <w:r w:rsidR="005C4708">
        <w:rPr>
          <w:sz w:val="22"/>
          <w:szCs w:val="22"/>
        </w:rPr>
        <w:t>far</w:t>
      </w:r>
      <w:r>
        <w:rPr>
          <w:sz w:val="22"/>
          <w:szCs w:val="22"/>
        </w:rPr>
        <w:t xml:space="preserve"> percepire la </w:t>
      </w:r>
      <w:r w:rsidR="00B35947">
        <w:rPr>
          <w:sz w:val="22"/>
          <w:szCs w:val="22"/>
        </w:rPr>
        <w:t xml:space="preserve">presenza </w:t>
      </w:r>
      <w:r w:rsidR="000B30AA">
        <w:rPr>
          <w:sz w:val="22"/>
          <w:szCs w:val="22"/>
        </w:rPr>
        <w:t>valutativ</w:t>
      </w:r>
      <w:r w:rsidR="00932893">
        <w:rPr>
          <w:sz w:val="22"/>
          <w:szCs w:val="22"/>
        </w:rPr>
        <w:t>a</w:t>
      </w:r>
      <w:r w:rsidR="00BA7FB5">
        <w:rPr>
          <w:sz w:val="22"/>
          <w:szCs w:val="22"/>
        </w:rPr>
        <w:t xml:space="preserve"> </w:t>
      </w:r>
      <w:r w:rsidR="000B30AA">
        <w:rPr>
          <w:sz w:val="22"/>
          <w:szCs w:val="22"/>
        </w:rPr>
        <w:t>degli uffici tributari</w:t>
      </w:r>
      <w:r w:rsidR="003B1710">
        <w:rPr>
          <w:sz w:val="22"/>
          <w:szCs w:val="22"/>
        </w:rPr>
        <w:t xml:space="preserve"> </w:t>
      </w:r>
      <w:r w:rsidR="00B35947">
        <w:rPr>
          <w:sz w:val="22"/>
          <w:szCs w:val="22"/>
        </w:rPr>
        <w:t xml:space="preserve">anche attraverso le relazioni di vicinato, d’affari o familiari degli interessati. </w:t>
      </w:r>
    </w:p>
    <w:p w14:paraId="74EB53B9" w14:textId="7791334C" w:rsidR="00081A77" w:rsidRDefault="00081A77" w:rsidP="00081A77">
      <w:pPr>
        <w:pStyle w:val="tit23"/>
        <w:ind w:left="6464" w:right="-1361" w:firstLine="0"/>
        <w:jc w:val="left"/>
        <w:rPr>
          <w:bCs/>
          <w:i/>
          <w:iCs/>
          <w:color w:val="0000FF"/>
          <w:lang w:val="it-IT"/>
        </w:rPr>
      </w:pPr>
      <w:r>
        <w:rPr>
          <w:bCs/>
          <w:i/>
          <w:iCs/>
          <w:color w:val="0000FF"/>
          <w:lang w:val="it-IT"/>
        </w:rPr>
        <w:t>Sfasamento tra gettito dei controlli e</w:t>
      </w:r>
      <w:r w:rsidR="00637144">
        <w:rPr>
          <w:bCs/>
          <w:i/>
          <w:iCs/>
          <w:color w:val="0000FF"/>
          <w:lang w:val="it-IT"/>
        </w:rPr>
        <w:t xml:space="preserve">d </w:t>
      </w:r>
      <w:r w:rsidR="00637144">
        <w:rPr>
          <w:bCs/>
          <w:i/>
          <w:iCs/>
          <w:color w:val="0000FF"/>
          <w:lang w:val="it-IT"/>
        </w:rPr>
        <w:lastRenderedPageBreak/>
        <w:t>evasione in senso materiale</w:t>
      </w:r>
    </w:p>
    <w:p w14:paraId="02F7E43C" w14:textId="0A8FDC43" w:rsidR="00081A77" w:rsidRDefault="002E6C44" w:rsidP="00081A77">
      <w:pPr>
        <w:autoSpaceDE w:val="0"/>
        <w:autoSpaceDN w:val="0"/>
        <w:adjustRightInd w:val="0"/>
        <w:rPr>
          <w:sz w:val="22"/>
          <w:szCs w:val="22"/>
        </w:rPr>
      </w:pPr>
      <w:proofErr w:type="spellStart"/>
      <w:r>
        <w:rPr>
          <w:sz w:val="22"/>
          <w:szCs w:val="22"/>
        </w:rPr>
        <w:t>Ancorchè</w:t>
      </w:r>
      <w:proofErr w:type="spellEnd"/>
      <w:r>
        <w:rPr>
          <w:sz w:val="22"/>
          <w:szCs w:val="22"/>
        </w:rPr>
        <w:t xml:space="preserve"> sopravvalutato dai contribuenti (par.</w:t>
      </w:r>
      <w:r w:rsidR="00361BCC">
        <w:rPr>
          <w:sz w:val="22"/>
          <w:szCs w:val="22"/>
        </w:rPr>
        <w:t>1.7</w:t>
      </w:r>
      <w:r>
        <w:rPr>
          <w:sz w:val="22"/>
          <w:szCs w:val="22"/>
        </w:rPr>
        <w:t xml:space="preserve">) quest’intervento è ancora irrisorio, come risulta dal par.5.2 e dalle </w:t>
      </w:r>
      <w:r w:rsidR="009C7628">
        <w:rPr>
          <w:sz w:val="22"/>
          <w:szCs w:val="22"/>
        </w:rPr>
        <w:t>statistiche dell’attività di controllo</w:t>
      </w:r>
      <w:r>
        <w:rPr>
          <w:sz w:val="22"/>
          <w:szCs w:val="22"/>
        </w:rPr>
        <w:t xml:space="preserve">. Esse </w:t>
      </w:r>
      <w:r w:rsidR="009C7628">
        <w:rPr>
          <w:sz w:val="22"/>
          <w:szCs w:val="22"/>
        </w:rPr>
        <w:t>confermano l</w:t>
      </w:r>
      <w:r w:rsidR="000B30AA">
        <w:rPr>
          <w:sz w:val="22"/>
          <w:szCs w:val="22"/>
        </w:rPr>
        <w:t>a scars</w:t>
      </w:r>
      <w:r w:rsidR="009C7628">
        <w:rPr>
          <w:sz w:val="22"/>
          <w:szCs w:val="22"/>
        </w:rPr>
        <w:t xml:space="preserve">ità di </w:t>
      </w:r>
      <w:r w:rsidR="00932893">
        <w:rPr>
          <w:sz w:val="22"/>
          <w:szCs w:val="22"/>
        </w:rPr>
        <w:t xml:space="preserve">risorse (par.5.2) attribuite alla stima valutativa degli imponibili non determinati attraverso le aziende. </w:t>
      </w:r>
      <w:r w:rsidR="000B30AA">
        <w:rPr>
          <w:sz w:val="22"/>
          <w:szCs w:val="22"/>
        </w:rPr>
        <w:t xml:space="preserve">Su circa 15 miliardi di euro di </w:t>
      </w:r>
      <w:r w:rsidR="00697623">
        <w:rPr>
          <w:sz w:val="22"/>
          <w:szCs w:val="22"/>
        </w:rPr>
        <w:t>incassi da controlli</w:t>
      </w:r>
      <w:r w:rsidR="000B30AA">
        <w:rPr>
          <w:sz w:val="22"/>
          <w:szCs w:val="22"/>
        </w:rPr>
        <w:t xml:space="preserve">, </w:t>
      </w:r>
      <w:r w:rsidR="00081A77">
        <w:rPr>
          <w:sz w:val="22"/>
          <w:szCs w:val="22"/>
        </w:rPr>
        <w:t>compresi interessi e sanzioni</w:t>
      </w:r>
      <w:r w:rsidR="000B30AA">
        <w:rPr>
          <w:sz w:val="22"/>
          <w:szCs w:val="22"/>
        </w:rPr>
        <w:t xml:space="preserve"> </w:t>
      </w:r>
      <w:r w:rsidR="00081A77">
        <w:rPr>
          <w:bCs/>
          <w:sz w:val="22"/>
          <w:szCs w:val="22"/>
        </w:rPr>
        <w:t>(</w:t>
      </w:r>
      <w:r w:rsidR="00081A77">
        <w:rPr>
          <w:rStyle w:val="Rimandonotaapidipagina"/>
          <w:bCs/>
          <w:sz w:val="22"/>
          <w:szCs w:val="22"/>
        </w:rPr>
        <w:footnoteReference w:id="582"/>
      </w:r>
      <w:r w:rsidR="00081A77">
        <w:rPr>
          <w:bCs/>
          <w:sz w:val="22"/>
          <w:szCs w:val="22"/>
        </w:rPr>
        <w:t>)</w:t>
      </w:r>
      <w:r w:rsidR="000B30AA">
        <w:rPr>
          <w:bCs/>
          <w:sz w:val="22"/>
          <w:szCs w:val="22"/>
        </w:rPr>
        <w:t xml:space="preserve">, </w:t>
      </w:r>
      <w:r w:rsidR="00081A77">
        <w:rPr>
          <w:sz w:val="22"/>
          <w:szCs w:val="22"/>
        </w:rPr>
        <w:t xml:space="preserve">quasi la metà </w:t>
      </w:r>
      <w:r w:rsidR="00697623">
        <w:rPr>
          <w:sz w:val="22"/>
          <w:szCs w:val="22"/>
        </w:rPr>
        <w:t xml:space="preserve">riguarda </w:t>
      </w:r>
      <w:r w:rsidR="00081A77">
        <w:rPr>
          <w:sz w:val="22"/>
          <w:szCs w:val="22"/>
        </w:rPr>
        <w:t>imposte  dichiarate, ma non versate, verosimilmente per difficoltà finanziarie del contribuente (</w:t>
      </w:r>
      <w:r w:rsidR="00081A77">
        <w:rPr>
          <w:rStyle w:val="Rimandonotaapidipagina"/>
          <w:sz w:val="22"/>
          <w:szCs w:val="22"/>
        </w:rPr>
        <w:footnoteReference w:id="583"/>
      </w:r>
      <w:r w:rsidR="00081A77">
        <w:rPr>
          <w:sz w:val="22"/>
          <w:szCs w:val="22"/>
        </w:rPr>
        <w:t xml:space="preserve">); </w:t>
      </w:r>
      <w:r w:rsidR="00B30905">
        <w:rPr>
          <w:sz w:val="22"/>
          <w:szCs w:val="22"/>
        </w:rPr>
        <w:t xml:space="preserve">c’è la tendenza a controllare “a tappeto”, in punto di diritto”, detrazioni, qualificazioni degli atti ai fini dell'imposta di registro, agevolazioni varie, </w:t>
      </w:r>
      <w:proofErr w:type="spellStart"/>
      <w:r w:rsidR="00B30905">
        <w:rPr>
          <w:sz w:val="22"/>
          <w:szCs w:val="22"/>
        </w:rPr>
        <w:t>etc</w:t>
      </w:r>
      <w:proofErr w:type="spellEnd"/>
      <w:r w:rsidR="00B30905">
        <w:rPr>
          <w:sz w:val="22"/>
          <w:szCs w:val="22"/>
        </w:rPr>
        <w:t xml:space="preserve"> nei modi seriali, descritti al par.5.5. </w:t>
      </w:r>
      <w:r w:rsidR="002F5D0D">
        <w:rPr>
          <w:sz w:val="22"/>
          <w:szCs w:val="22"/>
        </w:rPr>
        <w:t xml:space="preserve"> </w:t>
      </w:r>
      <w:r w:rsidR="00B30905">
        <w:rPr>
          <w:sz w:val="22"/>
          <w:szCs w:val="22"/>
        </w:rPr>
        <w:t xml:space="preserve">Anche </w:t>
      </w:r>
      <w:r w:rsidR="00B35947">
        <w:rPr>
          <w:sz w:val="22"/>
          <w:szCs w:val="22"/>
        </w:rPr>
        <w:t>le verifiche sul campo riguardano in misura eccessiv</w:t>
      </w:r>
      <w:r w:rsidR="00B30905">
        <w:rPr>
          <w:sz w:val="22"/>
          <w:szCs w:val="22"/>
        </w:rPr>
        <w:t xml:space="preserve">a </w:t>
      </w:r>
      <w:r w:rsidR="00B35947">
        <w:rPr>
          <w:sz w:val="22"/>
          <w:szCs w:val="22"/>
        </w:rPr>
        <w:t>la reinterpretazione giuridica di</w:t>
      </w:r>
      <w:r w:rsidR="00081A77">
        <w:rPr>
          <w:sz w:val="22"/>
          <w:szCs w:val="22"/>
        </w:rPr>
        <w:t xml:space="preserve"> vicende dichiarate o palesi (</w:t>
      </w:r>
      <w:r w:rsidR="00081A77">
        <w:rPr>
          <w:rStyle w:val="Rimandonotaapidipagina"/>
          <w:sz w:val="22"/>
          <w:szCs w:val="22"/>
        </w:rPr>
        <w:footnoteReference w:id="584"/>
      </w:r>
      <w:r w:rsidR="00081A77">
        <w:rPr>
          <w:sz w:val="22"/>
          <w:szCs w:val="22"/>
        </w:rPr>
        <w:t>)</w:t>
      </w:r>
      <w:r w:rsidR="00B35947">
        <w:rPr>
          <w:sz w:val="22"/>
          <w:szCs w:val="22"/>
        </w:rPr>
        <w:t xml:space="preserve"> e poco la credibilità economica del dichiarato, come </w:t>
      </w:r>
      <w:r w:rsidR="00B30905">
        <w:rPr>
          <w:sz w:val="22"/>
          <w:szCs w:val="22"/>
        </w:rPr>
        <w:t>ordine di grandezza</w:t>
      </w:r>
      <w:r w:rsidR="00B35947">
        <w:rPr>
          <w:sz w:val="22"/>
          <w:szCs w:val="22"/>
        </w:rPr>
        <w:t>, cioè g</w:t>
      </w:r>
      <w:r w:rsidR="00B30905">
        <w:rPr>
          <w:sz w:val="22"/>
          <w:szCs w:val="22"/>
        </w:rPr>
        <w:t xml:space="preserve">li imponibili nascosti; </w:t>
      </w:r>
      <w:r w:rsidR="008008EF">
        <w:rPr>
          <w:sz w:val="22"/>
          <w:szCs w:val="22"/>
        </w:rPr>
        <w:t xml:space="preserve">le verifiche sui contribuenti di piccole dimensioni, il 95% del totale, comportano incassi di circa </w:t>
      </w:r>
      <w:r w:rsidR="00B30905">
        <w:rPr>
          <w:sz w:val="22"/>
          <w:szCs w:val="22"/>
        </w:rPr>
        <w:t>2 miliardi (</w:t>
      </w:r>
      <w:r w:rsidR="00B30905">
        <w:rPr>
          <w:rStyle w:val="Rimandonotaapidipagina"/>
          <w:sz w:val="22"/>
          <w:szCs w:val="22"/>
        </w:rPr>
        <w:footnoteReference w:id="585"/>
      </w:r>
      <w:r w:rsidR="00B30905">
        <w:rPr>
          <w:sz w:val="22"/>
          <w:szCs w:val="22"/>
        </w:rPr>
        <w:t xml:space="preserve">), ben poco </w:t>
      </w:r>
      <w:r w:rsidR="000B30AA">
        <w:rPr>
          <w:sz w:val="22"/>
          <w:szCs w:val="22"/>
        </w:rPr>
        <w:t>rispetto a</w:t>
      </w:r>
      <w:r w:rsidR="00EB0E51">
        <w:rPr>
          <w:sz w:val="22"/>
          <w:szCs w:val="22"/>
        </w:rPr>
        <w:t xml:space="preserve">lle </w:t>
      </w:r>
      <w:r w:rsidR="00B30905">
        <w:rPr>
          <w:sz w:val="22"/>
          <w:szCs w:val="22"/>
        </w:rPr>
        <w:t>stime dell’evasione indicate al par.4.</w:t>
      </w:r>
      <w:r w:rsidR="001F586B">
        <w:rPr>
          <w:sz w:val="22"/>
          <w:szCs w:val="22"/>
        </w:rPr>
        <w:t xml:space="preserve">.1 e alle entrate da autotassazione di cui al par.1.10. </w:t>
      </w:r>
    </w:p>
    <w:p w14:paraId="73A28AD9" w14:textId="0745FCB1" w:rsidR="00081A77" w:rsidRDefault="00B30905" w:rsidP="001C06A1">
      <w:pPr>
        <w:rPr>
          <w:sz w:val="22"/>
          <w:szCs w:val="22"/>
        </w:rPr>
      </w:pPr>
      <w:r>
        <w:rPr>
          <w:sz w:val="22"/>
          <w:szCs w:val="22"/>
        </w:rPr>
        <w:t xml:space="preserve">Gli scarsi </w:t>
      </w:r>
      <w:r w:rsidR="00081A77">
        <w:rPr>
          <w:sz w:val="22"/>
          <w:szCs w:val="22"/>
        </w:rPr>
        <w:t>controlli</w:t>
      </w:r>
      <w:r w:rsidR="00697623">
        <w:rPr>
          <w:sz w:val="22"/>
          <w:szCs w:val="22"/>
        </w:rPr>
        <w:t xml:space="preserve"> su questi contribuenti sono </w:t>
      </w:r>
      <w:r w:rsidR="00081A77">
        <w:rPr>
          <w:sz w:val="22"/>
          <w:szCs w:val="22"/>
        </w:rPr>
        <w:t xml:space="preserve">in compenso </w:t>
      </w:r>
      <w:r w:rsidR="00697623">
        <w:rPr>
          <w:sz w:val="22"/>
          <w:szCs w:val="22"/>
        </w:rPr>
        <w:t>rigidi</w:t>
      </w:r>
      <w:r w:rsidR="001F586B">
        <w:rPr>
          <w:sz w:val="22"/>
          <w:szCs w:val="22"/>
        </w:rPr>
        <w:t xml:space="preserve"> e </w:t>
      </w:r>
      <w:r w:rsidR="00081A77">
        <w:rPr>
          <w:sz w:val="22"/>
          <w:szCs w:val="22"/>
        </w:rPr>
        <w:t>formalistic</w:t>
      </w:r>
      <w:r w:rsidR="00697623">
        <w:rPr>
          <w:sz w:val="22"/>
          <w:szCs w:val="22"/>
        </w:rPr>
        <w:t>i</w:t>
      </w:r>
      <w:r w:rsidR="00450ED9">
        <w:rPr>
          <w:sz w:val="22"/>
          <w:szCs w:val="22"/>
        </w:rPr>
        <w:t xml:space="preserve">, per </w:t>
      </w:r>
      <w:r w:rsidR="001F586B">
        <w:rPr>
          <w:sz w:val="22"/>
          <w:szCs w:val="22"/>
        </w:rPr>
        <w:t xml:space="preserve">mostrare rigore, </w:t>
      </w:r>
      <w:r w:rsidR="00697623">
        <w:rPr>
          <w:sz w:val="22"/>
          <w:szCs w:val="22"/>
        </w:rPr>
        <w:t>assecondare le tendenze di opinione sulla c.d. “lotta all’evasione</w:t>
      </w:r>
      <w:r w:rsidR="00697623" w:rsidRPr="002E6C44">
        <w:rPr>
          <w:sz w:val="22"/>
          <w:szCs w:val="22"/>
        </w:rPr>
        <w:t>”</w:t>
      </w:r>
      <w:r w:rsidR="002E6C44" w:rsidRPr="002E6C44">
        <w:t xml:space="preserve"> ; è una suggestione che spinge a pochi accertamenti sovrastimati, per non farsi ritenere deboli o collusi (par.5.11) contro una specie di “nemico”</w:t>
      </w:r>
      <w:r w:rsidR="002E6C44">
        <w:t xml:space="preserve"> </w:t>
      </w:r>
      <w:r w:rsidR="008008EF">
        <w:rPr>
          <w:sz w:val="22"/>
          <w:szCs w:val="22"/>
        </w:rPr>
        <w:t xml:space="preserve">e gli obiettivi parametrati </w:t>
      </w:r>
      <w:r w:rsidR="008008EF">
        <w:rPr>
          <w:sz w:val="22"/>
          <w:szCs w:val="22"/>
        </w:rPr>
        <w:lastRenderedPageBreak/>
        <w:t>all’incasso (</w:t>
      </w:r>
      <w:r w:rsidR="00410E93">
        <w:rPr>
          <w:rStyle w:val="Rimandonotaapidipagina"/>
          <w:sz w:val="22"/>
          <w:szCs w:val="22"/>
        </w:rPr>
        <w:footnoteReference w:id="586"/>
      </w:r>
      <w:r w:rsidR="008008EF">
        <w:rPr>
          <w:sz w:val="22"/>
          <w:szCs w:val="22"/>
        </w:rPr>
        <w:t xml:space="preserve">); </w:t>
      </w:r>
      <w:r w:rsidR="00CE103B">
        <w:rPr>
          <w:sz w:val="22"/>
          <w:szCs w:val="22"/>
        </w:rPr>
        <w:t>questo suddetto diffidente rigore su pochi è controproducente, in quanto riduce la percezione di controllo del territorio da parte del fisco. N</w:t>
      </w:r>
      <w:r w:rsidR="008008EF">
        <w:rPr>
          <w:sz w:val="22"/>
          <w:szCs w:val="22"/>
        </w:rPr>
        <w:t>ell’attuale contesto di autotassazione, in</w:t>
      </w:r>
      <w:r w:rsidR="00CE103B">
        <w:rPr>
          <w:sz w:val="22"/>
          <w:szCs w:val="22"/>
        </w:rPr>
        <w:t>fatti</w:t>
      </w:r>
      <w:r w:rsidR="008008EF">
        <w:rPr>
          <w:sz w:val="22"/>
          <w:szCs w:val="22"/>
        </w:rPr>
        <w:t>, gli uffici</w:t>
      </w:r>
      <w:r w:rsidR="00450ED9">
        <w:rPr>
          <w:sz w:val="22"/>
          <w:szCs w:val="22"/>
        </w:rPr>
        <w:t xml:space="preserve"> </w:t>
      </w:r>
      <w:r w:rsidR="00697623">
        <w:rPr>
          <w:sz w:val="22"/>
          <w:szCs w:val="22"/>
        </w:rPr>
        <w:t xml:space="preserve">tributari </w:t>
      </w:r>
      <w:r w:rsidR="00450ED9">
        <w:rPr>
          <w:sz w:val="22"/>
          <w:szCs w:val="22"/>
        </w:rPr>
        <w:t>non hanno bisogno di “prendere soldi”</w:t>
      </w:r>
      <w:r w:rsidR="001F586B" w:rsidRPr="001F586B">
        <w:rPr>
          <w:sz w:val="22"/>
          <w:szCs w:val="22"/>
        </w:rPr>
        <w:t xml:space="preserve"> </w:t>
      </w:r>
      <w:r w:rsidR="001F586B">
        <w:rPr>
          <w:sz w:val="22"/>
          <w:szCs w:val="22"/>
        </w:rPr>
        <w:t>(</w:t>
      </w:r>
      <w:r w:rsidR="001F586B">
        <w:rPr>
          <w:rStyle w:val="Rimandonotaapidipagina"/>
          <w:sz w:val="22"/>
          <w:szCs w:val="22"/>
        </w:rPr>
        <w:footnoteReference w:id="587"/>
      </w:r>
      <w:r w:rsidR="001F586B">
        <w:rPr>
          <w:sz w:val="22"/>
          <w:szCs w:val="22"/>
        </w:rPr>
        <w:t>)</w:t>
      </w:r>
      <w:r w:rsidR="00450ED9">
        <w:rPr>
          <w:sz w:val="22"/>
          <w:szCs w:val="22"/>
        </w:rPr>
        <w:t xml:space="preserve">, </w:t>
      </w:r>
      <w:r w:rsidR="001F586B">
        <w:rPr>
          <w:sz w:val="22"/>
          <w:szCs w:val="22"/>
        </w:rPr>
        <w:t xml:space="preserve">che </w:t>
      </w:r>
      <w:r w:rsidR="00450ED9">
        <w:rPr>
          <w:sz w:val="22"/>
          <w:szCs w:val="22"/>
        </w:rPr>
        <w:t>“arrivano da soli”</w:t>
      </w:r>
      <w:r w:rsidR="001F586B">
        <w:rPr>
          <w:sz w:val="22"/>
          <w:szCs w:val="22"/>
        </w:rPr>
        <w:t xml:space="preserve"> tramite l’autotassazione</w:t>
      </w:r>
      <w:r w:rsidR="00CE103B">
        <w:rPr>
          <w:sz w:val="22"/>
          <w:szCs w:val="22"/>
        </w:rPr>
        <w:t xml:space="preserve">. Ad essa </w:t>
      </w:r>
      <w:r w:rsidR="001F586B">
        <w:rPr>
          <w:sz w:val="22"/>
          <w:szCs w:val="22"/>
        </w:rPr>
        <w:t>gli uffici contribuiscono massimi</w:t>
      </w:r>
      <w:r w:rsidR="001F586B" w:rsidRPr="00CE103B">
        <w:rPr>
          <w:sz w:val="22"/>
          <w:szCs w:val="22"/>
        </w:rPr>
        <w:t>zzando la percezione della propria presenza</w:t>
      </w:r>
      <w:r w:rsidR="00CE103B" w:rsidRPr="00CE103B">
        <w:rPr>
          <w:sz w:val="22"/>
          <w:szCs w:val="22"/>
        </w:rPr>
        <w:t xml:space="preserve"> valutativa sul territorio</w:t>
      </w:r>
      <w:r w:rsidR="002E6C44" w:rsidRPr="00CE103B">
        <w:rPr>
          <w:sz w:val="22"/>
          <w:szCs w:val="22"/>
        </w:rPr>
        <w:t xml:space="preserve">. Il controllo deve essere </w:t>
      </w:r>
      <w:r w:rsidR="00CE103B" w:rsidRPr="00CE103B">
        <w:rPr>
          <w:sz w:val="22"/>
          <w:szCs w:val="22"/>
        </w:rPr>
        <w:t>quindi</w:t>
      </w:r>
      <w:r w:rsidR="002E6C44" w:rsidRPr="00CE103B">
        <w:rPr>
          <w:sz w:val="22"/>
          <w:szCs w:val="22"/>
        </w:rPr>
        <w:t xml:space="preserve"> diffuso, </w:t>
      </w:r>
      <w:r w:rsidR="00CE103B">
        <w:rPr>
          <w:sz w:val="22"/>
          <w:szCs w:val="22"/>
        </w:rPr>
        <w:t xml:space="preserve">massimizzandone la percezione da parte dei </w:t>
      </w:r>
      <w:r w:rsidR="002E6C44" w:rsidRPr="00CE103B">
        <w:rPr>
          <w:sz w:val="22"/>
          <w:szCs w:val="22"/>
        </w:rPr>
        <w:t xml:space="preserve">contribuenti che sfuggono alla nota determinazione documentale, nei modi indicati </w:t>
      </w:r>
      <w:r w:rsidR="00CE103B" w:rsidRPr="00CE103B">
        <w:rPr>
          <w:sz w:val="22"/>
          <w:szCs w:val="22"/>
        </w:rPr>
        <w:t>qui di seguito</w:t>
      </w:r>
      <w:r w:rsidR="002E6C44" w:rsidRPr="00CE103B">
        <w:rPr>
          <w:sz w:val="22"/>
          <w:szCs w:val="22"/>
        </w:rPr>
        <w:t xml:space="preserve">. </w:t>
      </w:r>
    </w:p>
    <w:p w14:paraId="7FD20E34" w14:textId="77777777" w:rsidR="00081A77" w:rsidRDefault="00081A77" w:rsidP="00081A77">
      <w:pPr>
        <w:pStyle w:val="tit23"/>
        <w:ind w:left="6464" w:right="-1361" w:firstLine="0"/>
        <w:jc w:val="left"/>
        <w:rPr>
          <w:bCs/>
          <w:i/>
          <w:iCs/>
          <w:color w:val="0000FF"/>
          <w:lang w:val="it-IT"/>
        </w:rPr>
      </w:pPr>
      <w:r>
        <w:rPr>
          <w:bCs/>
          <w:i/>
          <w:iCs/>
          <w:color w:val="0000FF"/>
          <w:lang w:val="it-IT"/>
        </w:rPr>
        <w:t>il monitoraggio a distanza e l’anagrafe personalizzata valutativa</w:t>
      </w:r>
    </w:p>
    <w:p w14:paraId="3877DEEC" w14:textId="71B11CA9" w:rsidR="00081A77" w:rsidRDefault="00303BF3" w:rsidP="00081A77">
      <w:pPr>
        <w:autoSpaceDE w:val="0"/>
        <w:autoSpaceDN w:val="0"/>
        <w:adjustRightInd w:val="0"/>
        <w:rPr>
          <w:sz w:val="22"/>
          <w:szCs w:val="22"/>
        </w:rPr>
      </w:pPr>
      <w:r>
        <w:rPr>
          <w:bCs/>
          <w:sz w:val="22"/>
          <w:szCs w:val="22"/>
        </w:rPr>
        <w:t>Il punto di partenza</w:t>
      </w:r>
      <w:r w:rsidR="001F586B">
        <w:rPr>
          <w:bCs/>
          <w:sz w:val="22"/>
          <w:szCs w:val="22"/>
        </w:rPr>
        <w:t xml:space="preserve"> per un controllo valu</w:t>
      </w:r>
      <w:r w:rsidR="007C186F">
        <w:rPr>
          <w:bCs/>
          <w:sz w:val="22"/>
          <w:szCs w:val="22"/>
        </w:rPr>
        <w:t>t</w:t>
      </w:r>
      <w:r w:rsidR="001F586B">
        <w:rPr>
          <w:bCs/>
          <w:sz w:val="22"/>
          <w:szCs w:val="22"/>
        </w:rPr>
        <w:t xml:space="preserve">ativo </w:t>
      </w:r>
      <w:r w:rsidR="007C186F">
        <w:rPr>
          <w:bCs/>
          <w:sz w:val="22"/>
          <w:szCs w:val="22"/>
        </w:rPr>
        <w:t xml:space="preserve">degli imponibili non determinabili contabilmente </w:t>
      </w:r>
      <w:r>
        <w:rPr>
          <w:bCs/>
          <w:sz w:val="22"/>
          <w:szCs w:val="22"/>
        </w:rPr>
        <w:t xml:space="preserve">è </w:t>
      </w:r>
      <w:r w:rsidR="00081A77">
        <w:rPr>
          <w:bCs/>
          <w:sz w:val="22"/>
          <w:szCs w:val="22"/>
        </w:rPr>
        <w:t>una “base informativa” personalizzata su singoli contribuenti, con descrizioni quali-quantitative dell’attività economica</w:t>
      </w:r>
      <w:r w:rsidR="00472C99">
        <w:rPr>
          <w:bCs/>
          <w:sz w:val="22"/>
          <w:szCs w:val="22"/>
        </w:rPr>
        <w:t xml:space="preserve">; rispetto ai tempi degli antichi catasti, </w:t>
      </w:r>
      <w:r w:rsidR="007C186F">
        <w:rPr>
          <w:bCs/>
          <w:sz w:val="22"/>
          <w:szCs w:val="22"/>
        </w:rPr>
        <w:t xml:space="preserve">potrebbero aiutare </w:t>
      </w:r>
      <w:r w:rsidR="00472C99">
        <w:rPr>
          <w:bCs/>
          <w:sz w:val="22"/>
          <w:szCs w:val="22"/>
        </w:rPr>
        <w:t xml:space="preserve">le moderne tecnologie </w:t>
      </w:r>
      <w:r w:rsidR="00081A77">
        <w:rPr>
          <w:bCs/>
          <w:sz w:val="22"/>
          <w:szCs w:val="22"/>
        </w:rPr>
        <w:t xml:space="preserve"> </w:t>
      </w:r>
      <w:r w:rsidR="00081A77">
        <w:rPr>
          <w:sz w:val="22"/>
          <w:szCs w:val="22"/>
        </w:rPr>
        <w:t>digitalizzabil</w:t>
      </w:r>
      <w:r w:rsidR="00472C99">
        <w:rPr>
          <w:sz w:val="22"/>
          <w:szCs w:val="22"/>
        </w:rPr>
        <w:t>i</w:t>
      </w:r>
      <w:r w:rsidR="00081A77">
        <w:rPr>
          <w:sz w:val="22"/>
          <w:szCs w:val="22"/>
        </w:rPr>
        <w:t>, comprese foto e video</w:t>
      </w:r>
      <w:r w:rsidR="00472C99">
        <w:rPr>
          <w:sz w:val="22"/>
          <w:szCs w:val="22"/>
        </w:rPr>
        <w:t xml:space="preserve"> (</w:t>
      </w:r>
      <w:r w:rsidR="00472C99">
        <w:rPr>
          <w:rStyle w:val="Rimandonotaapidipagina"/>
          <w:sz w:val="22"/>
          <w:szCs w:val="22"/>
        </w:rPr>
        <w:footnoteReference w:id="588"/>
      </w:r>
      <w:r w:rsidR="00472C99">
        <w:rPr>
          <w:sz w:val="22"/>
          <w:szCs w:val="22"/>
        </w:rPr>
        <w:t>)</w:t>
      </w:r>
      <w:r w:rsidR="006524E0">
        <w:rPr>
          <w:sz w:val="22"/>
          <w:szCs w:val="22"/>
        </w:rPr>
        <w:t>; attorno a questo nucleo descrittivo potrebbero aggregarsi le innumerevoli banche dati dell’anagrafe tributaria</w:t>
      </w:r>
      <w:r w:rsidR="005E4982">
        <w:rPr>
          <w:sz w:val="22"/>
          <w:szCs w:val="22"/>
        </w:rPr>
        <w:t xml:space="preserve"> (</w:t>
      </w:r>
      <w:r w:rsidR="005E4982">
        <w:rPr>
          <w:rStyle w:val="Rimandonotaapidipagina"/>
          <w:sz w:val="22"/>
          <w:szCs w:val="22"/>
        </w:rPr>
        <w:footnoteReference w:id="589"/>
      </w:r>
      <w:r w:rsidR="005E4982">
        <w:rPr>
          <w:sz w:val="22"/>
          <w:szCs w:val="22"/>
        </w:rPr>
        <w:t>)</w:t>
      </w:r>
      <w:r w:rsidR="006524E0">
        <w:rPr>
          <w:sz w:val="22"/>
          <w:szCs w:val="22"/>
        </w:rPr>
        <w:t xml:space="preserve">, </w:t>
      </w:r>
      <w:r w:rsidR="00E00FD4" w:rsidRPr="007F7EBF">
        <w:rPr>
          <w:sz w:val="22"/>
          <w:szCs w:val="22"/>
        </w:rPr>
        <w:t xml:space="preserve">espressamente </w:t>
      </w:r>
      <w:r w:rsidR="00E00FD4">
        <w:rPr>
          <w:bCs/>
          <w:sz w:val="22"/>
          <w:szCs w:val="22"/>
        </w:rPr>
        <w:t xml:space="preserve">ammesse </w:t>
      </w:r>
      <w:r w:rsidR="00E00FD4" w:rsidRPr="007F7EBF">
        <w:rPr>
          <w:bCs/>
          <w:sz w:val="22"/>
          <w:szCs w:val="22"/>
        </w:rPr>
        <w:t xml:space="preserve">dalla </w:t>
      </w:r>
      <w:r w:rsidR="00E00FD4" w:rsidRPr="007F7EBF">
        <w:rPr>
          <w:bCs/>
          <w:sz w:val="22"/>
          <w:szCs w:val="22"/>
        </w:rPr>
        <w:lastRenderedPageBreak/>
        <w:t>normativa sulla privacy</w:t>
      </w:r>
      <w:r w:rsidR="00E00FD4">
        <w:rPr>
          <w:bCs/>
          <w:sz w:val="22"/>
          <w:szCs w:val="22"/>
        </w:rPr>
        <w:t xml:space="preserve"> (</w:t>
      </w:r>
      <w:r w:rsidR="00E00FD4" w:rsidRPr="007F7EBF">
        <w:rPr>
          <w:rStyle w:val="Rimandonotaapidipagina"/>
          <w:bCs/>
          <w:sz w:val="22"/>
          <w:szCs w:val="22"/>
        </w:rPr>
        <w:footnoteReference w:id="590"/>
      </w:r>
      <w:r w:rsidR="00E00FD4">
        <w:rPr>
          <w:bCs/>
          <w:sz w:val="22"/>
          <w:szCs w:val="22"/>
        </w:rPr>
        <w:t>)</w:t>
      </w:r>
      <w:r w:rsidR="00E00FD4">
        <w:rPr>
          <w:sz w:val="22"/>
          <w:szCs w:val="22"/>
        </w:rPr>
        <w:t xml:space="preserve">. Anziché </w:t>
      </w:r>
      <w:r w:rsidR="002F7FF1">
        <w:rPr>
          <w:sz w:val="22"/>
          <w:szCs w:val="22"/>
        </w:rPr>
        <w:t xml:space="preserve">usarle per una </w:t>
      </w:r>
      <w:r w:rsidR="00E00FD4">
        <w:rPr>
          <w:sz w:val="22"/>
          <w:szCs w:val="22"/>
        </w:rPr>
        <w:t>velleitari</w:t>
      </w:r>
      <w:r w:rsidR="002F7FF1">
        <w:rPr>
          <w:sz w:val="22"/>
          <w:szCs w:val="22"/>
        </w:rPr>
        <w:t xml:space="preserve">a determinazione </w:t>
      </w:r>
      <w:proofErr w:type="spellStart"/>
      <w:r w:rsidR="002F7FF1">
        <w:rPr>
          <w:sz w:val="22"/>
          <w:szCs w:val="22"/>
        </w:rPr>
        <w:t>ragionieristicamente</w:t>
      </w:r>
      <w:proofErr w:type="spellEnd"/>
      <w:r w:rsidR="002F7FF1">
        <w:rPr>
          <w:sz w:val="22"/>
          <w:szCs w:val="22"/>
        </w:rPr>
        <w:t xml:space="preserve"> puntuale, esse vanno inserite nella determinazione valutativa, come indicato al par.5.9, </w:t>
      </w:r>
      <w:r w:rsidR="007C186F">
        <w:rPr>
          <w:bCs/>
          <w:sz w:val="22"/>
          <w:szCs w:val="22"/>
        </w:rPr>
        <w:t>sugl</w:t>
      </w:r>
      <w:r w:rsidR="006524E0">
        <w:rPr>
          <w:bCs/>
          <w:sz w:val="22"/>
          <w:szCs w:val="22"/>
        </w:rPr>
        <w:t>i “indizi contabili”</w:t>
      </w:r>
      <w:r w:rsidR="008B2911">
        <w:rPr>
          <w:bCs/>
          <w:sz w:val="22"/>
          <w:szCs w:val="22"/>
        </w:rPr>
        <w:t xml:space="preserve">; ciò consentirebbe anche di </w:t>
      </w:r>
      <w:r w:rsidR="008B2911">
        <w:rPr>
          <w:sz w:val="22"/>
          <w:szCs w:val="22"/>
        </w:rPr>
        <w:t xml:space="preserve">snellire le dichiarazioni annuali (par.3.4), limitabili ai dati “di periodo”, separate dalle informazioni destinate a durare nel tempo </w:t>
      </w:r>
      <w:r w:rsidR="005E4982">
        <w:rPr>
          <w:sz w:val="22"/>
          <w:szCs w:val="22"/>
        </w:rPr>
        <w:t>(</w:t>
      </w:r>
      <w:r w:rsidR="005E4982">
        <w:rPr>
          <w:rStyle w:val="Rimandonotaapidipagina"/>
          <w:sz w:val="22"/>
          <w:szCs w:val="22"/>
        </w:rPr>
        <w:footnoteReference w:id="591"/>
      </w:r>
      <w:r w:rsidR="005E4982">
        <w:rPr>
          <w:sz w:val="22"/>
          <w:szCs w:val="22"/>
        </w:rPr>
        <w:t>).</w:t>
      </w:r>
      <w:r w:rsidR="007D47B9">
        <w:rPr>
          <w:sz w:val="22"/>
          <w:szCs w:val="22"/>
        </w:rPr>
        <w:t xml:space="preserve"> </w:t>
      </w:r>
      <w:r w:rsidR="00081A77">
        <w:rPr>
          <w:bCs/>
          <w:sz w:val="22"/>
          <w:szCs w:val="22"/>
        </w:rPr>
        <w:t>P</w:t>
      </w:r>
      <w:r w:rsidR="00081A77">
        <w:rPr>
          <w:sz w:val="22"/>
          <w:szCs w:val="22"/>
        </w:rPr>
        <w:t xml:space="preserve">otrebbero esservi inserite anche le informazioni </w:t>
      </w:r>
      <w:r w:rsidR="007D47B9">
        <w:rPr>
          <w:sz w:val="22"/>
          <w:szCs w:val="22"/>
        </w:rPr>
        <w:t>patrimoniali e reddituali necessarie a rendere plausibile il tenore di vita rispetto ai redditi dichiarati, come indicato al par.5.14</w:t>
      </w:r>
      <w:r w:rsidR="00081A77">
        <w:rPr>
          <w:sz w:val="22"/>
          <w:szCs w:val="22"/>
        </w:rPr>
        <w:t xml:space="preserve"> (</w:t>
      </w:r>
      <w:r w:rsidR="00081A77">
        <w:rPr>
          <w:rStyle w:val="Rimandonotaapidipagina"/>
          <w:sz w:val="22"/>
          <w:szCs w:val="22"/>
        </w:rPr>
        <w:footnoteReference w:id="592"/>
      </w:r>
      <w:r w:rsidR="00081A77">
        <w:rPr>
          <w:sz w:val="22"/>
          <w:szCs w:val="22"/>
        </w:rPr>
        <w:t>)</w:t>
      </w:r>
      <w:r w:rsidR="007D47B9">
        <w:rPr>
          <w:sz w:val="22"/>
          <w:szCs w:val="22"/>
        </w:rPr>
        <w:t xml:space="preserve">. Questa </w:t>
      </w:r>
      <w:r w:rsidR="00081A77">
        <w:rPr>
          <w:sz w:val="22"/>
          <w:szCs w:val="22"/>
        </w:rPr>
        <w:t xml:space="preserve">versione moderna degli </w:t>
      </w:r>
      <w:r w:rsidR="00081A77">
        <w:t xml:space="preserve">antichi catasti </w:t>
      </w:r>
      <w:r w:rsidR="00DE0A81">
        <w:t>(</w:t>
      </w:r>
      <w:r w:rsidR="00DE0A81">
        <w:rPr>
          <w:rStyle w:val="Rimandonotaapidipagina"/>
        </w:rPr>
        <w:footnoteReference w:id="593"/>
      </w:r>
      <w:r w:rsidR="00DE0A81">
        <w:t>) potrebbe essere perfezionata anche per controllare l’erogazione di sussidi, come indicato al par.2.2 per l’ISEE</w:t>
      </w:r>
      <w:r w:rsidR="00081A77">
        <w:t xml:space="preserve">. </w:t>
      </w:r>
      <w:r w:rsidR="00BB43BB">
        <w:t xml:space="preserve">L’affidabilità di uno </w:t>
      </w:r>
      <w:r w:rsidR="00DE0A81">
        <w:t xml:space="preserve">schedario </w:t>
      </w:r>
      <w:r w:rsidR="00BB43BB">
        <w:t xml:space="preserve">valutativo </w:t>
      </w:r>
      <w:r w:rsidR="00DE0A81">
        <w:t>siffatto</w:t>
      </w:r>
      <w:r w:rsidR="00BB43BB">
        <w:t xml:space="preserve"> sarebbe </w:t>
      </w:r>
      <w:r w:rsidR="00081A77">
        <w:rPr>
          <w:sz w:val="22"/>
          <w:szCs w:val="22"/>
        </w:rPr>
        <w:t>controllabile da altri funzionari, uffici ispettivi e controinteressati</w:t>
      </w:r>
      <w:r w:rsidR="000A2534">
        <w:rPr>
          <w:sz w:val="22"/>
          <w:szCs w:val="22"/>
        </w:rPr>
        <w:t xml:space="preserve"> </w:t>
      </w:r>
      <w:r w:rsidR="00081A77">
        <w:rPr>
          <w:sz w:val="22"/>
          <w:szCs w:val="22"/>
        </w:rPr>
        <w:t>(</w:t>
      </w:r>
      <w:r w:rsidR="00081A77">
        <w:rPr>
          <w:rStyle w:val="Rimandonotaapidipagina"/>
          <w:sz w:val="22"/>
          <w:szCs w:val="22"/>
        </w:rPr>
        <w:footnoteReference w:id="594"/>
      </w:r>
      <w:r w:rsidR="00081A77">
        <w:rPr>
          <w:sz w:val="22"/>
          <w:szCs w:val="22"/>
        </w:rPr>
        <w:t xml:space="preserve">). </w:t>
      </w:r>
    </w:p>
    <w:p w14:paraId="69AFCB4A" w14:textId="77777777" w:rsidR="00081A77" w:rsidRDefault="00081A77" w:rsidP="00081A77">
      <w:pPr>
        <w:pStyle w:val="tit23"/>
        <w:ind w:left="6464" w:right="-1361" w:firstLine="0"/>
        <w:jc w:val="left"/>
        <w:rPr>
          <w:bCs/>
          <w:i/>
          <w:iCs/>
          <w:color w:val="0000FF"/>
          <w:lang w:val="it-IT"/>
        </w:rPr>
      </w:pPr>
      <w:r>
        <w:rPr>
          <w:bCs/>
          <w:i/>
          <w:iCs/>
          <w:color w:val="0000FF"/>
          <w:lang w:val="it-IT"/>
        </w:rPr>
        <w:t>Controllo di credibilità a passaggi successivi</w:t>
      </w:r>
    </w:p>
    <w:p w14:paraId="3C0F1EF8" w14:textId="78D644D3" w:rsidR="00081A77" w:rsidRDefault="00081A77" w:rsidP="00DF6DEC">
      <w:pPr>
        <w:autoSpaceDE w:val="0"/>
        <w:autoSpaceDN w:val="0"/>
        <w:adjustRightInd w:val="0"/>
        <w:rPr>
          <w:bCs/>
          <w:i/>
          <w:iCs/>
          <w:color w:val="0000FF"/>
        </w:rPr>
      </w:pPr>
      <w:r>
        <w:rPr>
          <w:sz w:val="22"/>
          <w:szCs w:val="22"/>
        </w:rPr>
        <w:t xml:space="preserve">A questa base informativa si riferirebbero </w:t>
      </w:r>
      <w:r w:rsidR="007C186F">
        <w:rPr>
          <w:sz w:val="22"/>
          <w:szCs w:val="22"/>
        </w:rPr>
        <w:t xml:space="preserve">i riscontri valutativi </w:t>
      </w:r>
      <w:r>
        <w:rPr>
          <w:sz w:val="22"/>
          <w:szCs w:val="22"/>
        </w:rPr>
        <w:t xml:space="preserve">sul territorio, sia per controllare la credibilità delle informazioni, in assoluto e rispetto a quanto indicato nelle dichiarazioni fiscali di cui al par.3.4. Sarebbero sopralluoghi senza rettifiche d’imposta, mere valutazioni di coerenza di massima tra sostanza economica dell'attività, fisicamente percepibile, dati dichiarati e suddetta descrizione permanente.  </w:t>
      </w:r>
    </w:p>
    <w:p w14:paraId="539EF5EA" w14:textId="70DBA43B" w:rsidR="00081A77" w:rsidRDefault="00081A77" w:rsidP="00013EBD">
      <w:pPr>
        <w:autoSpaceDE w:val="0"/>
        <w:autoSpaceDN w:val="0"/>
        <w:adjustRightInd w:val="0"/>
        <w:rPr>
          <w:bCs/>
          <w:i/>
          <w:iCs/>
          <w:color w:val="0000FF"/>
        </w:rPr>
      </w:pPr>
      <w:r>
        <w:rPr>
          <w:bCs/>
          <w:sz w:val="22"/>
          <w:szCs w:val="22"/>
        </w:rPr>
        <w:t xml:space="preserve">In questa fase di </w:t>
      </w:r>
      <w:r>
        <w:rPr>
          <w:sz w:val="22"/>
          <w:szCs w:val="22"/>
        </w:rPr>
        <w:t xml:space="preserve">monitoraggio e scrematura sarebbe valutata </w:t>
      </w:r>
      <w:proofErr w:type="spellStart"/>
      <w:r>
        <w:rPr>
          <w:sz w:val="22"/>
          <w:szCs w:val="22"/>
        </w:rPr>
        <w:t>probabilisticamente</w:t>
      </w:r>
      <w:proofErr w:type="spellEnd"/>
      <w:r>
        <w:rPr>
          <w:sz w:val="22"/>
          <w:szCs w:val="22"/>
        </w:rPr>
        <w:t xml:space="preserve"> la qualità e la quantità di imponibili non registrati</w:t>
      </w:r>
      <w:r w:rsidR="00BD550C">
        <w:rPr>
          <w:sz w:val="22"/>
          <w:szCs w:val="22"/>
        </w:rPr>
        <w:t xml:space="preserve">. </w:t>
      </w:r>
      <w:r>
        <w:rPr>
          <w:sz w:val="22"/>
          <w:szCs w:val="22"/>
        </w:rPr>
        <w:t xml:space="preserve"> </w:t>
      </w:r>
      <w:r>
        <w:rPr>
          <w:sz w:val="22"/>
          <w:szCs w:val="22"/>
        </w:rPr>
        <w:lastRenderedPageBreak/>
        <w:t>riservando loro un secondo livello di intervent</w:t>
      </w:r>
      <w:r w:rsidR="00BD550C">
        <w:rPr>
          <w:sz w:val="22"/>
          <w:szCs w:val="22"/>
        </w:rPr>
        <w:t>o.</w:t>
      </w:r>
      <w:r w:rsidR="004B2D29">
        <w:rPr>
          <w:sz w:val="22"/>
          <w:szCs w:val="22"/>
        </w:rPr>
        <w:t xml:space="preserve"> </w:t>
      </w:r>
      <w:r w:rsidR="00BD550C">
        <w:rPr>
          <w:sz w:val="22"/>
          <w:szCs w:val="22"/>
        </w:rPr>
        <w:t xml:space="preserve">L’ampiezza del monitoraggio renderebbe cioè inevitabile omettere approfondimenti  su situazioni anche “sospette”, ma meno di altre, cui andrebbero riservati gli interventi accertativi. </w:t>
      </w:r>
      <w:r w:rsidR="004B2D29">
        <w:rPr>
          <w:sz w:val="22"/>
          <w:szCs w:val="22"/>
        </w:rPr>
        <w:t>(</w:t>
      </w:r>
      <w:r w:rsidR="004B2D29">
        <w:rPr>
          <w:rStyle w:val="Rimandonotaapidipagina"/>
          <w:sz w:val="22"/>
          <w:szCs w:val="22"/>
        </w:rPr>
        <w:footnoteReference w:id="595"/>
      </w:r>
      <w:r w:rsidR="004B2D29">
        <w:rPr>
          <w:sz w:val="22"/>
          <w:szCs w:val="22"/>
        </w:rPr>
        <w:t>)</w:t>
      </w:r>
      <w:r w:rsidR="00BD550C">
        <w:rPr>
          <w:sz w:val="22"/>
          <w:szCs w:val="22"/>
        </w:rPr>
        <w:t xml:space="preserve">. </w:t>
      </w:r>
      <w:r w:rsidR="004B2D29">
        <w:rPr>
          <w:sz w:val="22"/>
          <w:szCs w:val="22"/>
        </w:rPr>
        <w:t xml:space="preserve"> </w:t>
      </w:r>
      <w:r w:rsidR="00BD550C">
        <w:rPr>
          <w:sz w:val="22"/>
          <w:szCs w:val="22"/>
        </w:rPr>
        <w:t>Su alcune situazioni collocate in ampie zone grigie “di confine”</w:t>
      </w:r>
      <w:r>
        <w:rPr>
          <w:sz w:val="22"/>
          <w:szCs w:val="22"/>
        </w:rPr>
        <w:t xml:space="preserve"> ci si potrebbe limitare a richieste di </w:t>
      </w:r>
      <w:r w:rsidR="00BD550C">
        <w:rPr>
          <w:sz w:val="22"/>
          <w:szCs w:val="22"/>
        </w:rPr>
        <w:t>maggiori imponibili</w:t>
      </w:r>
      <w:r>
        <w:rPr>
          <w:sz w:val="22"/>
          <w:szCs w:val="22"/>
        </w:rPr>
        <w:t xml:space="preserve"> per il futuro</w:t>
      </w:r>
      <w:r w:rsidR="00BD550C">
        <w:rPr>
          <w:sz w:val="22"/>
          <w:szCs w:val="22"/>
        </w:rPr>
        <w:t>, con varie combinazioni. L’importante è tener presente che il controllo tributario è un bene scarso, visto il numero degli operatori economici e dei funzionari disponibili, e che il suo dosaggio segue i criteri, inevitabilmente discrezionali, di cui al par.5.10(</w:t>
      </w:r>
      <w:r w:rsidR="00BD550C">
        <w:rPr>
          <w:rStyle w:val="Rimandonotaapidipagina"/>
          <w:sz w:val="22"/>
          <w:szCs w:val="22"/>
        </w:rPr>
        <w:footnoteReference w:id="596"/>
      </w:r>
      <w:r w:rsidR="00BD550C">
        <w:rPr>
          <w:sz w:val="22"/>
          <w:szCs w:val="22"/>
        </w:rPr>
        <w:t xml:space="preserve">). </w:t>
      </w:r>
      <w:r w:rsidR="004546E8">
        <w:rPr>
          <w:sz w:val="22"/>
          <w:szCs w:val="22"/>
        </w:rPr>
        <w:t>L’azione amministrativa sarebbe quindi in partenza disponibile e "dialogante", secondo il modello del “fisco amico”</w:t>
      </w:r>
      <w:r w:rsidR="00E13DAF">
        <w:rPr>
          <w:sz w:val="22"/>
          <w:szCs w:val="22"/>
        </w:rPr>
        <w:t>, sinonimo di sereno esercizio della funzione sottostante; come l’ospedale cura, la scuola insegna, la nettezza urbana porta via i rifiuti, etc., la determinazione dei presupposti economici d’imposta non deve svolgersi in tribunale, ma negli uffici tributari.  Questi ultimi dovrebbero</w:t>
      </w:r>
      <w:r w:rsidR="004546E8">
        <w:rPr>
          <w:sz w:val="22"/>
          <w:szCs w:val="22"/>
        </w:rPr>
        <w:t xml:space="preserve"> irrigid</w:t>
      </w:r>
      <w:r w:rsidR="00E13DAF">
        <w:rPr>
          <w:sz w:val="22"/>
          <w:szCs w:val="22"/>
        </w:rPr>
        <w:t>ir</w:t>
      </w:r>
      <w:r w:rsidR="004546E8">
        <w:rPr>
          <w:sz w:val="22"/>
          <w:szCs w:val="22"/>
        </w:rPr>
        <w:t>si gradualmente davanti ad atteggiamenti non collaborativi</w:t>
      </w:r>
      <w:r w:rsidR="007C186F">
        <w:rPr>
          <w:sz w:val="22"/>
          <w:szCs w:val="22"/>
        </w:rPr>
        <w:t xml:space="preserve"> o ostruzionistici</w:t>
      </w:r>
      <w:r w:rsidR="004546E8">
        <w:rPr>
          <w:sz w:val="22"/>
          <w:szCs w:val="22"/>
        </w:rPr>
        <w:t>, rasserenandosi quando tali criticità vengono superate (</w:t>
      </w:r>
      <w:r w:rsidR="004546E8">
        <w:rPr>
          <w:rStyle w:val="Rimandonotaapidipagina"/>
          <w:sz w:val="22"/>
          <w:szCs w:val="22"/>
        </w:rPr>
        <w:footnoteReference w:id="597"/>
      </w:r>
      <w:r w:rsidR="004546E8">
        <w:rPr>
          <w:sz w:val="22"/>
          <w:szCs w:val="22"/>
        </w:rPr>
        <w:t>).</w:t>
      </w:r>
    </w:p>
    <w:p w14:paraId="65291F34" w14:textId="5115F293" w:rsidR="00081A77" w:rsidRDefault="00081A77" w:rsidP="00081A77">
      <w:pPr>
        <w:pStyle w:val="tit23"/>
        <w:ind w:left="6464" w:right="-1361" w:firstLine="0"/>
        <w:jc w:val="left"/>
        <w:rPr>
          <w:bCs/>
          <w:i/>
          <w:iCs/>
          <w:color w:val="0000FF"/>
          <w:lang w:val="it-IT"/>
        </w:rPr>
      </w:pPr>
      <w:r>
        <w:rPr>
          <w:bCs/>
          <w:i/>
          <w:iCs/>
          <w:color w:val="0000FF"/>
          <w:lang w:val="it-IT"/>
        </w:rPr>
        <w:t xml:space="preserve">Risorse </w:t>
      </w:r>
      <w:r w:rsidR="00BD550C">
        <w:rPr>
          <w:bCs/>
          <w:i/>
          <w:iCs/>
          <w:color w:val="0000FF"/>
          <w:lang w:val="it-IT"/>
        </w:rPr>
        <w:t>disponibili per sdrammatizzare la funzione tributaria</w:t>
      </w:r>
      <w:r>
        <w:rPr>
          <w:bCs/>
          <w:i/>
          <w:iCs/>
          <w:color w:val="0000FF"/>
          <w:lang w:val="it-IT"/>
        </w:rPr>
        <w:t xml:space="preserve"> </w:t>
      </w:r>
    </w:p>
    <w:p w14:paraId="5FCBEF21" w14:textId="77777777" w:rsidR="00013EBD" w:rsidRDefault="00081A77" w:rsidP="00013EBD">
      <w:pPr>
        <w:autoSpaceDE w:val="0"/>
        <w:autoSpaceDN w:val="0"/>
        <w:adjustRightInd w:val="0"/>
        <w:rPr>
          <w:sz w:val="22"/>
          <w:szCs w:val="22"/>
        </w:rPr>
      </w:pPr>
      <w:r>
        <w:rPr>
          <w:sz w:val="22"/>
          <w:szCs w:val="22"/>
        </w:rPr>
        <w:t xml:space="preserve">Le </w:t>
      </w:r>
      <w:r>
        <w:rPr>
          <w:bCs/>
          <w:sz w:val="22"/>
          <w:szCs w:val="22"/>
        </w:rPr>
        <w:t>risorse di personale per l’attività sopra indicata non mancherebbero se si pensa agli addetti all’agenzia delle entrate, compreso l’ex personale d</w:t>
      </w:r>
      <w:r w:rsidR="00B67778">
        <w:rPr>
          <w:bCs/>
          <w:sz w:val="22"/>
          <w:szCs w:val="22"/>
        </w:rPr>
        <w:t>ei concessionari per la riscossione (par.6.11)</w:t>
      </w:r>
      <w:r>
        <w:rPr>
          <w:bCs/>
          <w:sz w:val="22"/>
          <w:szCs w:val="22"/>
        </w:rPr>
        <w:t xml:space="preserve">, Guardia di finanza e </w:t>
      </w:r>
      <w:r>
        <w:rPr>
          <w:bCs/>
          <w:sz w:val="22"/>
          <w:szCs w:val="22"/>
        </w:rPr>
        <w:lastRenderedPageBreak/>
        <w:t xml:space="preserve">uffici tributari degli enti locali </w:t>
      </w:r>
      <w:r>
        <w:rPr>
          <w:sz w:val="22"/>
          <w:szCs w:val="22"/>
        </w:rPr>
        <w:t>(</w:t>
      </w:r>
      <w:r>
        <w:rPr>
          <w:rStyle w:val="Rimandonotaapidipagina"/>
          <w:sz w:val="22"/>
          <w:szCs w:val="22"/>
        </w:rPr>
        <w:footnoteReference w:id="598"/>
      </w:r>
      <w:r>
        <w:rPr>
          <w:sz w:val="22"/>
          <w:szCs w:val="22"/>
        </w:rPr>
        <w:t xml:space="preserve">); per una parziale </w:t>
      </w:r>
      <w:r>
        <w:rPr>
          <w:bCs/>
          <w:sz w:val="22"/>
          <w:szCs w:val="22"/>
        </w:rPr>
        <w:t>riconversione di questo personale ai compiti sopra indicati basterebbe un’idea condivisa della funzione tributaria</w:t>
      </w:r>
      <w:r>
        <w:rPr>
          <w:sz w:val="22"/>
          <w:szCs w:val="22"/>
        </w:rPr>
        <w:t xml:space="preserve"> come determinazione </w:t>
      </w:r>
      <w:r w:rsidR="00BD550C">
        <w:rPr>
          <w:sz w:val="22"/>
          <w:szCs w:val="22"/>
        </w:rPr>
        <w:t xml:space="preserve">valutativa </w:t>
      </w:r>
      <w:r>
        <w:rPr>
          <w:sz w:val="22"/>
          <w:szCs w:val="22"/>
        </w:rPr>
        <w:t xml:space="preserve">degli imponibili, secondo quanto spiegato in questo testo. </w:t>
      </w:r>
      <w:r w:rsidR="00BD550C">
        <w:rPr>
          <w:sz w:val="22"/>
          <w:szCs w:val="22"/>
        </w:rPr>
        <w:t xml:space="preserve">Il problema non è “trovare le persone”, ma superarne la paura di valutare e il desiderio burocratico di presentarsi come “telecomandate dalla legge”. </w:t>
      </w:r>
    </w:p>
    <w:p w14:paraId="2A8F2B23" w14:textId="79EA656B" w:rsidR="00B462FF" w:rsidRPr="007F7EBF" w:rsidRDefault="007C186F" w:rsidP="00013EBD">
      <w:pPr>
        <w:autoSpaceDE w:val="0"/>
        <w:autoSpaceDN w:val="0"/>
        <w:adjustRightInd w:val="0"/>
        <w:rPr>
          <w:b/>
          <w:bCs/>
          <w:i/>
          <w:iCs/>
          <w:color w:val="0000FF"/>
          <w:sz w:val="22"/>
          <w:szCs w:val="22"/>
        </w:rPr>
      </w:pPr>
      <w:r>
        <w:rPr>
          <w:sz w:val="22"/>
          <w:szCs w:val="22"/>
        </w:rPr>
        <w:t xml:space="preserve">Percepire questa </w:t>
      </w:r>
      <w:r w:rsidR="00013EBD">
        <w:rPr>
          <w:sz w:val="22"/>
          <w:szCs w:val="22"/>
        </w:rPr>
        <w:t>presenza valutativa degli uffici tributari</w:t>
      </w:r>
      <w:r w:rsidR="00067D88">
        <w:rPr>
          <w:sz w:val="22"/>
          <w:szCs w:val="22"/>
        </w:rPr>
        <w:t xml:space="preserve"> </w:t>
      </w:r>
      <w:r w:rsidR="00013EBD">
        <w:rPr>
          <w:sz w:val="22"/>
          <w:szCs w:val="22"/>
        </w:rPr>
        <w:t xml:space="preserve">nella propria cerchia di relazioni d'impresa, professionali, di </w:t>
      </w:r>
      <w:r>
        <w:rPr>
          <w:sz w:val="22"/>
          <w:szCs w:val="22"/>
        </w:rPr>
        <w:t>vicinato</w:t>
      </w:r>
      <w:r w:rsidR="00013EBD">
        <w:rPr>
          <w:sz w:val="22"/>
          <w:szCs w:val="22"/>
        </w:rPr>
        <w:t xml:space="preserve"> e parentela</w:t>
      </w:r>
      <w:r>
        <w:rPr>
          <w:sz w:val="22"/>
          <w:szCs w:val="22"/>
        </w:rPr>
        <w:t>,</w:t>
      </w:r>
      <w:r w:rsidR="00067D88">
        <w:rPr>
          <w:sz w:val="22"/>
          <w:szCs w:val="22"/>
        </w:rPr>
        <w:t xml:space="preserve"> </w:t>
      </w:r>
      <w:r w:rsidR="00013EBD">
        <w:rPr>
          <w:sz w:val="22"/>
          <w:szCs w:val="22"/>
        </w:rPr>
        <w:t xml:space="preserve">aumenterebbe un tasso di </w:t>
      </w:r>
      <w:r w:rsidR="00013EBD">
        <w:rPr>
          <w:bCs/>
          <w:sz w:val="22"/>
          <w:szCs w:val="22"/>
        </w:rPr>
        <w:t>adempimento già oggi tutt’altro che disprezzabile, per i motivi di cui al par.</w:t>
      </w:r>
      <w:r w:rsidR="00361BCC">
        <w:rPr>
          <w:bCs/>
          <w:sz w:val="22"/>
          <w:szCs w:val="22"/>
        </w:rPr>
        <w:t>1.7</w:t>
      </w:r>
      <w:r w:rsidR="00013EBD">
        <w:rPr>
          <w:sz w:val="22"/>
          <w:szCs w:val="22"/>
        </w:rPr>
        <w:t>.</w:t>
      </w:r>
      <w:r>
        <w:rPr>
          <w:sz w:val="22"/>
          <w:szCs w:val="22"/>
        </w:rPr>
        <w:t xml:space="preserve"> Le sperequazioni fiscali rientrerebbero nei livelli di guardia, e diventerebbe accettabile socialmente </w:t>
      </w:r>
      <w:r w:rsidR="004546E8">
        <w:t xml:space="preserve">lo sfasamento tra </w:t>
      </w:r>
      <w:r w:rsidR="004546E8" w:rsidRPr="007F7EBF">
        <w:t>la precisione</w:t>
      </w:r>
      <w:r w:rsidR="004546E8">
        <w:t xml:space="preserve">, su </w:t>
      </w:r>
      <w:r>
        <w:t>alcuni imponibili,</w:t>
      </w:r>
      <w:r w:rsidR="004546E8">
        <w:t xml:space="preserve"> </w:t>
      </w:r>
      <w:r w:rsidRPr="007F7EBF">
        <w:t>della tassazione attraverso le aziende</w:t>
      </w:r>
      <w:r>
        <w:t xml:space="preserve"> e </w:t>
      </w:r>
      <w:r w:rsidR="004546E8">
        <w:t xml:space="preserve">la più blanda </w:t>
      </w:r>
      <w:r>
        <w:t xml:space="preserve">stima su alcune </w:t>
      </w:r>
      <w:r w:rsidR="004546E8">
        <w:t xml:space="preserve"> attività “autonome” al consumo finale</w:t>
      </w:r>
      <w:r w:rsidR="00600F41">
        <w:rPr>
          <w:sz w:val="22"/>
          <w:szCs w:val="22"/>
        </w:rPr>
        <w:t>(</w:t>
      </w:r>
      <w:r w:rsidR="00600F41">
        <w:rPr>
          <w:rStyle w:val="Rimandonotaapidipagina"/>
          <w:sz w:val="22"/>
          <w:szCs w:val="22"/>
        </w:rPr>
        <w:footnoteReference w:id="599"/>
      </w:r>
      <w:r w:rsidR="00600F41">
        <w:rPr>
          <w:sz w:val="22"/>
          <w:szCs w:val="22"/>
        </w:rPr>
        <w:t>)</w:t>
      </w:r>
      <w:r w:rsidR="004546E8">
        <w:t>.</w:t>
      </w:r>
      <w:r w:rsidR="00081A77">
        <w:rPr>
          <w:sz w:val="22"/>
          <w:szCs w:val="22"/>
        </w:rPr>
        <w:t xml:space="preserve"> </w:t>
      </w:r>
    </w:p>
    <w:p w14:paraId="51769443" w14:textId="6A162C66" w:rsidR="0001547F" w:rsidRPr="007F7EBF" w:rsidRDefault="006342C5" w:rsidP="00C138C8">
      <w:pPr>
        <w:pStyle w:val="Titolo3"/>
        <w:rPr>
          <w:bCs w:val="0"/>
          <w:i/>
          <w:iCs/>
          <w:color w:val="0000FF"/>
          <w:sz w:val="22"/>
          <w:szCs w:val="22"/>
        </w:rPr>
      </w:pPr>
      <w:bookmarkStart w:id="64" w:name="_Toc63364980"/>
      <w:r w:rsidRPr="007F7EBF">
        <w:rPr>
          <w:rFonts w:ascii="Times New Roman" w:hAnsi="Times New Roman"/>
          <w:sz w:val="22"/>
          <w:szCs w:val="22"/>
        </w:rPr>
        <w:t xml:space="preserve">5.8. </w:t>
      </w:r>
      <w:r w:rsidR="00B06894" w:rsidRPr="007F7EBF">
        <w:rPr>
          <w:rFonts w:ascii="Times New Roman" w:hAnsi="Times New Roman"/>
          <w:sz w:val="22"/>
          <w:szCs w:val="22"/>
        </w:rPr>
        <w:t>L</w:t>
      </w:r>
      <w:r w:rsidR="00BA2945" w:rsidRPr="007F7EBF">
        <w:rPr>
          <w:rFonts w:ascii="Times New Roman" w:hAnsi="Times New Roman"/>
          <w:sz w:val="22"/>
          <w:szCs w:val="22"/>
        </w:rPr>
        <w:t xml:space="preserve">’empirismo e </w:t>
      </w:r>
      <w:r w:rsidR="00B06894" w:rsidRPr="007F7EBF">
        <w:rPr>
          <w:rFonts w:ascii="Times New Roman" w:hAnsi="Times New Roman"/>
          <w:sz w:val="22"/>
          <w:szCs w:val="22"/>
        </w:rPr>
        <w:t>il</w:t>
      </w:r>
      <w:r w:rsidR="00BA2945" w:rsidRPr="007F7EBF">
        <w:rPr>
          <w:rFonts w:ascii="Times New Roman" w:hAnsi="Times New Roman"/>
          <w:sz w:val="22"/>
          <w:szCs w:val="22"/>
        </w:rPr>
        <w:t xml:space="preserve"> probabilismo del giudizio di fatto</w:t>
      </w:r>
      <w:r w:rsidR="00B06894" w:rsidRPr="007F7EBF">
        <w:rPr>
          <w:rFonts w:ascii="Times New Roman" w:hAnsi="Times New Roman"/>
          <w:sz w:val="22"/>
          <w:szCs w:val="22"/>
        </w:rPr>
        <w:t xml:space="preserve"> nella </w:t>
      </w:r>
      <w:r w:rsidR="00F009B0">
        <w:rPr>
          <w:rFonts w:ascii="Times New Roman" w:hAnsi="Times New Roman"/>
          <w:sz w:val="22"/>
          <w:szCs w:val="22"/>
          <w:lang w:val="it-IT"/>
        </w:rPr>
        <w:t>determinazione degli imponibili</w:t>
      </w:r>
      <w:bookmarkEnd w:id="64"/>
      <w:r w:rsidR="00BA2945" w:rsidRPr="007F7EBF">
        <w:rPr>
          <w:rFonts w:ascii="Times New Roman" w:hAnsi="Times New Roman"/>
          <w:sz w:val="22"/>
          <w:szCs w:val="22"/>
        </w:rPr>
        <w:t xml:space="preserve"> </w:t>
      </w:r>
    </w:p>
    <w:p w14:paraId="4D22B12B" w14:textId="6927005A" w:rsidR="0001547F" w:rsidRPr="007F7EBF" w:rsidRDefault="008C53DF" w:rsidP="0001547F">
      <w:pPr>
        <w:pStyle w:val="tit23"/>
        <w:ind w:left="6464" w:right="-1361" w:firstLine="0"/>
        <w:jc w:val="left"/>
        <w:rPr>
          <w:b/>
          <w:bCs/>
          <w:i/>
          <w:iCs/>
          <w:color w:val="0000FF"/>
          <w:lang w:val="it-IT"/>
        </w:rPr>
      </w:pPr>
      <w:bookmarkStart w:id="65" w:name="_Hlk55164105"/>
      <w:r>
        <w:rPr>
          <w:b/>
          <w:bCs/>
          <w:i/>
          <w:iCs/>
          <w:color w:val="0000FF"/>
          <w:lang w:val="it-IT"/>
        </w:rPr>
        <w:t>Determinazione degli imponibili e prova</w:t>
      </w:r>
    </w:p>
    <w:p w14:paraId="3A79B063" w14:textId="0D9CACCA" w:rsidR="008C53DF" w:rsidRDefault="008C07A6" w:rsidP="00082B71">
      <w:pPr>
        <w:autoSpaceDE w:val="0"/>
        <w:autoSpaceDN w:val="0"/>
        <w:adjustRightInd w:val="0"/>
        <w:rPr>
          <w:sz w:val="22"/>
          <w:szCs w:val="22"/>
        </w:rPr>
      </w:pPr>
      <w:r>
        <w:rPr>
          <w:sz w:val="22"/>
          <w:szCs w:val="22"/>
        </w:rPr>
        <w:t xml:space="preserve">Come determinazione degli imponibili, ormai dovrebbe essere chiaro (dai paragrafi 1.4 e 1.10) che la funzione tributaria </w:t>
      </w:r>
      <w:r w:rsidR="002B36BE">
        <w:rPr>
          <w:sz w:val="22"/>
          <w:szCs w:val="22"/>
        </w:rPr>
        <w:t>deve risolvere</w:t>
      </w:r>
      <w:r>
        <w:rPr>
          <w:sz w:val="22"/>
          <w:szCs w:val="22"/>
        </w:rPr>
        <w:t xml:space="preserve">, </w:t>
      </w:r>
      <w:r w:rsidR="002B36BE">
        <w:rPr>
          <w:sz w:val="22"/>
          <w:szCs w:val="22"/>
        </w:rPr>
        <w:t xml:space="preserve">come primo </w:t>
      </w:r>
      <w:r w:rsidR="001F035F">
        <w:rPr>
          <w:sz w:val="22"/>
          <w:szCs w:val="22"/>
        </w:rPr>
        <w:t xml:space="preserve">e principale </w:t>
      </w:r>
      <w:r w:rsidR="002B36BE">
        <w:rPr>
          <w:sz w:val="22"/>
          <w:szCs w:val="22"/>
        </w:rPr>
        <w:t xml:space="preserve">passaggio, </w:t>
      </w:r>
      <w:r>
        <w:rPr>
          <w:sz w:val="22"/>
          <w:szCs w:val="22"/>
        </w:rPr>
        <w:t xml:space="preserve">questioni di fatto; </w:t>
      </w:r>
      <w:r w:rsidR="002B36BE">
        <w:rPr>
          <w:sz w:val="22"/>
          <w:szCs w:val="22"/>
        </w:rPr>
        <w:t xml:space="preserve">su di esse si innestano poi </w:t>
      </w:r>
      <w:r>
        <w:rPr>
          <w:sz w:val="22"/>
          <w:szCs w:val="22"/>
        </w:rPr>
        <w:t xml:space="preserve">le consuete astrazioni economiche cui commisurare le imposte </w:t>
      </w:r>
      <w:r w:rsidR="001C11C6">
        <w:rPr>
          <w:sz w:val="22"/>
          <w:szCs w:val="22"/>
        </w:rPr>
        <w:t>cioè reddito, consumi, patrimonio</w:t>
      </w:r>
      <w:r w:rsidR="002B36BE">
        <w:rPr>
          <w:sz w:val="22"/>
          <w:szCs w:val="22"/>
        </w:rPr>
        <w:t xml:space="preserve"> etc.;</w:t>
      </w:r>
      <w:r w:rsidR="001F035F">
        <w:rPr>
          <w:sz w:val="22"/>
          <w:szCs w:val="22"/>
        </w:rPr>
        <w:t xml:space="preserve"> come visto</w:t>
      </w:r>
      <w:r w:rsidR="002B36BE">
        <w:rPr>
          <w:sz w:val="22"/>
          <w:szCs w:val="22"/>
        </w:rPr>
        <w:t xml:space="preserve"> al par.1.8</w:t>
      </w:r>
      <w:r w:rsidR="001F035F">
        <w:rPr>
          <w:sz w:val="22"/>
          <w:szCs w:val="22"/>
        </w:rPr>
        <w:t xml:space="preserve">, si tratta di </w:t>
      </w:r>
      <w:r w:rsidR="002B36BE">
        <w:rPr>
          <w:sz w:val="22"/>
          <w:szCs w:val="22"/>
        </w:rPr>
        <w:t>astrazioni economiche</w:t>
      </w:r>
      <w:r w:rsidR="00D8755A">
        <w:rPr>
          <w:sz w:val="22"/>
          <w:szCs w:val="22"/>
        </w:rPr>
        <w:t xml:space="preserve">, in sé </w:t>
      </w:r>
      <w:r w:rsidR="002B36BE">
        <w:rPr>
          <w:sz w:val="22"/>
          <w:szCs w:val="22"/>
        </w:rPr>
        <w:t>non suscettibili di prova</w:t>
      </w:r>
      <w:r w:rsidR="00D8755A">
        <w:rPr>
          <w:sz w:val="22"/>
          <w:szCs w:val="22"/>
        </w:rPr>
        <w:t xml:space="preserve">, che si riferisce </w:t>
      </w:r>
      <w:r w:rsidR="002B36BE">
        <w:rPr>
          <w:sz w:val="22"/>
          <w:szCs w:val="22"/>
        </w:rPr>
        <w:t xml:space="preserve">a eventi </w:t>
      </w:r>
      <w:r w:rsidR="00D8755A">
        <w:rPr>
          <w:sz w:val="22"/>
          <w:szCs w:val="22"/>
        </w:rPr>
        <w:t>ad esse collegati</w:t>
      </w:r>
      <w:r w:rsidR="002B36BE">
        <w:rPr>
          <w:sz w:val="22"/>
          <w:szCs w:val="22"/>
        </w:rPr>
        <w:t xml:space="preserve">, come </w:t>
      </w:r>
      <w:r w:rsidR="00C966A6">
        <w:rPr>
          <w:sz w:val="22"/>
          <w:szCs w:val="22"/>
        </w:rPr>
        <w:t xml:space="preserve">attività economiche, </w:t>
      </w:r>
      <w:r w:rsidR="002B36BE">
        <w:rPr>
          <w:sz w:val="22"/>
          <w:szCs w:val="22"/>
        </w:rPr>
        <w:t xml:space="preserve">contrattuali, </w:t>
      </w:r>
      <w:r w:rsidR="00C966A6">
        <w:rPr>
          <w:sz w:val="22"/>
          <w:szCs w:val="22"/>
        </w:rPr>
        <w:t>incassi, pagamenti etc</w:t>
      </w:r>
      <w:r w:rsidR="002B36BE">
        <w:rPr>
          <w:sz w:val="22"/>
          <w:szCs w:val="22"/>
        </w:rPr>
        <w:t xml:space="preserve">. </w:t>
      </w:r>
    </w:p>
    <w:p w14:paraId="3B81AB92" w14:textId="672E7265" w:rsidR="008C53DF" w:rsidRPr="007F7EBF" w:rsidRDefault="008C53DF" w:rsidP="008C53DF">
      <w:pPr>
        <w:pStyle w:val="tit23"/>
        <w:ind w:left="6464" w:right="-1361" w:firstLine="0"/>
        <w:jc w:val="left"/>
        <w:rPr>
          <w:b/>
          <w:bCs/>
          <w:i/>
          <w:iCs/>
          <w:color w:val="0000FF"/>
          <w:lang w:val="it-IT"/>
        </w:rPr>
      </w:pPr>
      <w:r>
        <w:rPr>
          <w:b/>
          <w:bCs/>
          <w:i/>
          <w:iCs/>
          <w:color w:val="0000FF"/>
          <w:lang w:val="it-IT"/>
        </w:rPr>
        <w:t>empirismo</w:t>
      </w:r>
      <w:r w:rsidRPr="007F7EBF">
        <w:rPr>
          <w:b/>
          <w:bCs/>
          <w:i/>
          <w:iCs/>
          <w:color w:val="0000FF"/>
          <w:lang w:val="it-IT"/>
        </w:rPr>
        <w:t xml:space="preserve"> </w:t>
      </w:r>
      <w:r w:rsidR="00D8755A">
        <w:rPr>
          <w:b/>
          <w:bCs/>
          <w:i/>
          <w:iCs/>
          <w:color w:val="0000FF"/>
          <w:lang w:val="it-IT"/>
        </w:rPr>
        <w:t xml:space="preserve">della </w:t>
      </w:r>
      <w:r w:rsidR="00F009B0">
        <w:rPr>
          <w:b/>
          <w:bCs/>
          <w:i/>
          <w:iCs/>
          <w:color w:val="0000FF"/>
          <w:lang w:val="it-IT"/>
        </w:rPr>
        <w:t>questione di fatto</w:t>
      </w:r>
      <w:r w:rsidR="00D8755A">
        <w:rPr>
          <w:b/>
          <w:bCs/>
          <w:i/>
          <w:iCs/>
          <w:color w:val="0000FF"/>
          <w:lang w:val="it-IT"/>
        </w:rPr>
        <w:t xml:space="preserve"> </w:t>
      </w:r>
    </w:p>
    <w:p w14:paraId="65921051" w14:textId="77777777" w:rsidR="00F009B0" w:rsidRPr="007F7EBF" w:rsidRDefault="00D8755A" w:rsidP="00F009B0">
      <w:pPr>
        <w:autoSpaceDE w:val="0"/>
        <w:autoSpaceDN w:val="0"/>
        <w:adjustRightInd w:val="0"/>
        <w:rPr>
          <w:bCs/>
          <w:i/>
          <w:iCs/>
          <w:color w:val="0000FF"/>
          <w:sz w:val="22"/>
          <w:szCs w:val="22"/>
        </w:rPr>
      </w:pPr>
      <w:r>
        <w:rPr>
          <w:sz w:val="22"/>
          <w:szCs w:val="22"/>
        </w:rPr>
        <w:lastRenderedPageBreak/>
        <w:t xml:space="preserve">La prova è questione </w:t>
      </w:r>
      <w:r>
        <w:t>conoscitiva, comune a tutti i settori de</w:t>
      </w:r>
      <w:r w:rsidRPr="007F7EBF">
        <w:t>l diritto</w:t>
      </w:r>
      <w:r>
        <w:t>. La questione di fatto è “</w:t>
      </w:r>
      <w:r w:rsidR="00200725" w:rsidRPr="007F7EBF">
        <w:rPr>
          <w:bCs/>
          <w:sz w:val="22"/>
          <w:szCs w:val="22"/>
        </w:rPr>
        <w:t>giuridic</w:t>
      </w:r>
      <w:r>
        <w:rPr>
          <w:bCs/>
          <w:sz w:val="22"/>
          <w:szCs w:val="22"/>
        </w:rPr>
        <w:t>a</w:t>
      </w:r>
      <w:r w:rsidR="00200725" w:rsidRPr="007F7EBF">
        <w:rPr>
          <w:bCs/>
          <w:sz w:val="22"/>
          <w:szCs w:val="22"/>
        </w:rPr>
        <w:t xml:space="preserve">" in quanto </w:t>
      </w:r>
      <w:r w:rsidR="008C53DF">
        <w:rPr>
          <w:bCs/>
          <w:sz w:val="22"/>
          <w:szCs w:val="22"/>
        </w:rPr>
        <w:t>rientrant</w:t>
      </w:r>
      <w:r>
        <w:rPr>
          <w:bCs/>
          <w:sz w:val="22"/>
          <w:szCs w:val="22"/>
        </w:rPr>
        <w:t>e</w:t>
      </w:r>
      <w:r w:rsidR="008C53DF">
        <w:rPr>
          <w:bCs/>
          <w:sz w:val="22"/>
          <w:szCs w:val="22"/>
        </w:rPr>
        <w:t xml:space="preserve"> in </w:t>
      </w:r>
      <w:r w:rsidR="00200725" w:rsidRPr="007F7EBF">
        <w:rPr>
          <w:bCs/>
          <w:sz w:val="22"/>
          <w:szCs w:val="22"/>
        </w:rPr>
        <w:t>un</w:t>
      </w:r>
      <w:r w:rsidR="00AE78A0">
        <w:rPr>
          <w:bCs/>
          <w:sz w:val="22"/>
          <w:szCs w:val="22"/>
        </w:rPr>
        <w:t xml:space="preserve">a </w:t>
      </w:r>
      <w:r w:rsidR="00200725" w:rsidRPr="007F7EBF">
        <w:rPr>
          <w:bCs/>
          <w:sz w:val="22"/>
          <w:szCs w:val="22"/>
        </w:rPr>
        <w:t>pubblic</w:t>
      </w:r>
      <w:r w:rsidR="00AE78A0">
        <w:rPr>
          <w:bCs/>
          <w:sz w:val="22"/>
          <w:szCs w:val="22"/>
        </w:rPr>
        <w:t>a</w:t>
      </w:r>
      <w:r w:rsidR="00200725" w:rsidRPr="007F7EBF">
        <w:rPr>
          <w:bCs/>
          <w:sz w:val="22"/>
          <w:szCs w:val="22"/>
        </w:rPr>
        <w:t xml:space="preserve"> </w:t>
      </w:r>
      <w:r w:rsidR="00AE78A0">
        <w:rPr>
          <w:bCs/>
          <w:sz w:val="22"/>
          <w:szCs w:val="22"/>
        </w:rPr>
        <w:t>funzione</w:t>
      </w:r>
      <w:r w:rsidR="00AB24BB">
        <w:rPr>
          <w:bCs/>
          <w:sz w:val="22"/>
          <w:szCs w:val="22"/>
        </w:rPr>
        <w:t xml:space="preserve">, ma </w:t>
      </w:r>
      <w:r w:rsidR="008C53DF">
        <w:rPr>
          <w:bCs/>
          <w:sz w:val="22"/>
          <w:szCs w:val="22"/>
        </w:rPr>
        <w:t xml:space="preserve">in prima battuta </w:t>
      </w:r>
      <w:r w:rsidR="00AB24BB">
        <w:t>“empiric</w:t>
      </w:r>
      <w:r>
        <w:t>a</w:t>
      </w:r>
      <w:r w:rsidR="00AB24BB">
        <w:t>”</w:t>
      </w:r>
      <w:r w:rsidR="008C53DF">
        <w:t xml:space="preserve">, </w:t>
      </w:r>
      <w:r w:rsidR="008C53DF">
        <w:rPr>
          <w:bCs/>
          <w:sz w:val="22"/>
          <w:szCs w:val="22"/>
        </w:rPr>
        <w:t>finalizzat</w:t>
      </w:r>
      <w:r>
        <w:rPr>
          <w:bCs/>
          <w:sz w:val="22"/>
          <w:szCs w:val="22"/>
        </w:rPr>
        <w:t xml:space="preserve">a </w:t>
      </w:r>
      <w:r w:rsidR="008C53DF">
        <w:rPr>
          <w:bCs/>
          <w:sz w:val="22"/>
          <w:szCs w:val="22"/>
        </w:rPr>
        <w:t>al conoscere</w:t>
      </w:r>
      <w:r>
        <w:rPr>
          <w:bCs/>
          <w:sz w:val="22"/>
          <w:szCs w:val="22"/>
        </w:rPr>
        <w:t xml:space="preserve">. L’approvazione o la disapprovazione di quanto conosciuto, </w:t>
      </w:r>
      <w:r w:rsidR="008C53DF">
        <w:t xml:space="preserve">sul piano del dover essere, etico, </w:t>
      </w:r>
      <w:r w:rsidR="008C53DF" w:rsidRPr="007F7EBF">
        <w:t xml:space="preserve">politico, valoriale, </w:t>
      </w:r>
      <w:r w:rsidR="008C53DF">
        <w:t xml:space="preserve">di interesse </w:t>
      </w:r>
      <w:r w:rsidR="008C53DF" w:rsidRPr="007F7EBF">
        <w:t>economico</w:t>
      </w:r>
      <w:r w:rsidR="008C53DF">
        <w:t xml:space="preserve"> etc</w:t>
      </w:r>
      <w:r>
        <w:t>., appartengono a un momento logico successivo, e danno luogo alle questioni di diritto o “interpretative”, esaminate ai parr.3.9 ss. I</w:t>
      </w:r>
      <w:r w:rsidR="008C53DF" w:rsidRPr="007F7EBF">
        <w:t>l</w:t>
      </w:r>
      <w:r>
        <w:t xml:space="preserve"> carattere “conoscitivo” del</w:t>
      </w:r>
      <w:r w:rsidR="008C53DF" w:rsidRPr="007F7EBF">
        <w:t xml:space="preserve"> giudizio di fatto </w:t>
      </w:r>
      <w:r>
        <w:t xml:space="preserve">non </w:t>
      </w:r>
      <w:r w:rsidR="008C53DF">
        <w:t>incappa nell’indimostrabilità delle scale di valori di cui al par.1.3 (</w:t>
      </w:r>
      <w:r w:rsidR="008C53DF">
        <w:rPr>
          <w:rStyle w:val="Rimandonotaapidipagina"/>
        </w:rPr>
        <w:footnoteReference w:id="600"/>
      </w:r>
      <w:r w:rsidR="008C53DF">
        <w:t>)</w:t>
      </w:r>
      <w:r>
        <w:t>; c</w:t>
      </w:r>
      <w:r w:rsidR="00AB24BB">
        <w:t>osì come la conoscenza precede la deliberazione, l</w:t>
      </w:r>
      <w:r w:rsidR="00C44680">
        <w:rPr>
          <w:bCs/>
          <w:sz w:val="22"/>
          <w:szCs w:val="22"/>
        </w:rPr>
        <w:t>e questioni di fatto si</w:t>
      </w:r>
      <w:r w:rsidR="00C44680" w:rsidRPr="007F7EBF">
        <w:rPr>
          <w:bCs/>
          <w:sz w:val="22"/>
          <w:szCs w:val="22"/>
        </w:rPr>
        <w:t xml:space="preserve"> colloca</w:t>
      </w:r>
      <w:r w:rsidR="00C44680">
        <w:rPr>
          <w:bCs/>
          <w:sz w:val="22"/>
          <w:szCs w:val="22"/>
        </w:rPr>
        <w:t>no</w:t>
      </w:r>
      <w:r w:rsidR="00C44680" w:rsidRPr="007F7EBF">
        <w:rPr>
          <w:bCs/>
          <w:sz w:val="22"/>
          <w:szCs w:val="22"/>
        </w:rPr>
        <w:t xml:space="preserve"> logicamente "a monte" della questione di diritto</w:t>
      </w:r>
      <w:r w:rsidR="00082B71">
        <w:rPr>
          <w:bCs/>
          <w:sz w:val="22"/>
          <w:szCs w:val="22"/>
        </w:rPr>
        <w:t xml:space="preserve">, nel nostro caso la determinazione dell’imponibile e poi del tributo </w:t>
      </w:r>
      <w:r w:rsidR="00C44680" w:rsidRPr="007F7EBF">
        <w:rPr>
          <w:bCs/>
          <w:sz w:val="22"/>
          <w:szCs w:val="22"/>
        </w:rPr>
        <w:t>(</w:t>
      </w:r>
      <w:r w:rsidR="00C44680" w:rsidRPr="007F7EBF">
        <w:rPr>
          <w:rStyle w:val="Rimandonotaapidipagina"/>
          <w:bCs/>
          <w:sz w:val="22"/>
          <w:szCs w:val="22"/>
        </w:rPr>
        <w:footnoteReference w:id="601"/>
      </w:r>
      <w:r w:rsidR="00C44680" w:rsidRPr="007F7EBF">
        <w:rPr>
          <w:bCs/>
          <w:sz w:val="22"/>
          <w:szCs w:val="22"/>
        </w:rPr>
        <w:t>)</w:t>
      </w:r>
      <w:r w:rsidR="001C11C6">
        <w:rPr>
          <w:bCs/>
          <w:sz w:val="22"/>
          <w:szCs w:val="22"/>
        </w:rPr>
        <w:t>.</w:t>
      </w:r>
    </w:p>
    <w:p w14:paraId="2F88D3B6" w14:textId="797563AE" w:rsidR="00F009B0" w:rsidRPr="007F7EBF" w:rsidRDefault="00F009B0" w:rsidP="00F009B0">
      <w:pPr>
        <w:pStyle w:val="tit23"/>
        <w:ind w:left="6464" w:right="-1361" w:firstLine="0"/>
        <w:jc w:val="left"/>
        <w:rPr>
          <w:b/>
          <w:bCs/>
          <w:i/>
          <w:iCs/>
          <w:color w:val="0000FF"/>
          <w:lang w:val="it-IT"/>
        </w:rPr>
      </w:pPr>
      <w:r>
        <w:rPr>
          <w:b/>
          <w:bCs/>
          <w:i/>
          <w:iCs/>
          <w:color w:val="0000FF"/>
          <w:lang w:val="it-IT"/>
        </w:rPr>
        <w:t>Ambiguità del concetto di prova e sua componente interpretativa</w:t>
      </w:r>
    </w:p>
    <w:p w14:paraId="7D236F36" w14:textId="31D6C808" w:rsidR="00DB3223" w:rsidRPr="00814B55" w:rsidRDefault="00F009B0" w:rsidP="00DB3223">
      <w:pPr>
        <w:autoSpaceDE w:val="0"/>
        <w:autoSpaceDN w:val="0"/>
        <w:adjustRightInd w:val="0"/>
        <w:rPr>
          <w:sz w:val="22"/>
          <w:szCs w:val="22"/>
        </w:rPr>
      </w:pPr>
      <w:r>
        <w:t xml:space="preserve">Il  giudizio di fatto è tutt’altro che meccanico, e </w:t>
      </w:r>
      <w:r>
        <w:rPr>
          <w:sz w:val="22"/>
          <w:szCs w:val="22"/>
        </w:rPr>
        <w:t xml:space="preserve">comporta </w:t>
      </w:r>
      <w:r w:rsidRPr="007F7EBF">
        <w:rPr>
          <w:sz w:val="22"/>
          <w:szCs w:val="22"/>
        </w:rPr>
        <w:t>un'interpretazione, secondo i nostri sensi e il nostro bagaglio culturale, d</w:t>
      </w:r>
      <w:r>
        <w:rPr>
          <w:sz w:val="22"/>
          <w:szCs w:val="22"/>
        </w:rPr>
        <w:t>i informazion</w:t>
      </w:r>
      <w:r w:rsidRPr="007F7EBF">
        <w:rPr>
          <w:sz w:val="22"/>
          <w:szCs w:val="22"/>
        </w:rPr>
        <w:t xml:space="preserve">i </w:t>
      </w:r>
      <w:r>
        <w:rPr>
          <w:sz w:val="22"/>
          <w:szCs w:val="22"/>
        </w:rPr>
        <w:t>, siano esse immagini, documenti, repert</w:t>
      </w:r>
      <w:r w:rsidR="00247E6C">
        <w:rPr>
          <w:sz w:val="22"/>
          <w:szCs w:val="22"/>
        </w:rPr>
        <w:t>i fisic</w:t>
      </w:r>
      <w:r>
        <w:rPr>
          <w:sz w:val="22"/>
          <w:szCs w:val="22"/>
        </w:rPr>
        <w:t>i, intercettazioni telefoniche</w:t>
      </w:r>
      <w:r w:rsidR="00DB3223">
        <w:rPr>
          <w:sz w:val="22"/>
          <w:szCs w:val="22"/>
        </w:rPr>
        <w:t>,</w:t>
      </w:r>
      <w:r>
        <w:rPr>
          <w:sz w:val="22"/>
          <w:szCs w:val="22"/>
        </w:rPr>
        <w:t xml:space="preserve"> </w:t>
      </w:r>
      <w:r w:rsidR="00DB3223" w:rsidRPr="007F7EBF">
        <w:rPr>
          <w:sz w:val="22"/>
          <w:szCs w:val="22"/>
        </w:rPr>
        <w:t>affermazioni non contestate</w:t>
      </w:r>
      <w:r w:rsidR="00DB3223">
        <w:rPr>
          <w:sz w:val="22"/>
          <w:szCs w:val="22"/>
        </w:rPr>
        <w:t xml:space="preserve"> </w:t>
      </w:r>
      <w:r>
        <w:rPr>
          <w:sz w:val="22"/>
          <w:szCs w:val="22"/>
        </w:rPr>
        <w:t>o testimonianze</w:t>
      </w:r>
      <w:r w:rsidR="00247E6C">
        <w:rPr>
          <w:sz w:val="22"/>
          <w:szCs w:val="22"/>
        </w:rPr>
        <w:t xml:space="preserve">. Si tratta della prova come </w:t>
      </w:r>
      <w:r w:rsidR="00247E6C" w:rsidRPr="007F7EBF">
        <w:rPr>
          <w:sz w:val="22"/>
          <w:szCs w:val="22"/>
        </w:rPr>
        <w:t xml:space="preserve">elemento </w:t>
      </w:r>
      <w:r w:rsidR="00247E6C" w:rsidRPr="007F7EBF">
        <w:rPr>
          <w:bCs/>
          <w:sz w:val="22"/>
          <w:szCs w:val="22"/>
        </w:rPr>
        <w:t>materiale</w:t>
      </w:r>
      <w:r w:rsidR="00DB3223">
        <w:rPr>
          <w:sz w:val="22"/>
          <w:szCs w:val="22"/>
        </w:rPr>
        <w:t xml:space="preserve">, </w:t>
      </w:r>
      <w:r w:rsidR="00247E6C">
        <w:rPr>
          <w:color w:val="000000"/>
          <w:sz w:val="22"/>
          <w:szCs w:val="22"/>
        </w:rPr>
        <w:t xml:space="preserve">in inglese distinta con la </w:t>
      </w:r>
      <w:r w:rsidR="00247E6C">
        <w:rPr>
          <w:color w:val="000000"/>
          <w:sz w:val="22"/>
          <w:szCs w:val="22"/>
        </w:rPr>
        <w:lastRenderedPageBreak/>
        <w:t>parola “</w:t>
      </w:r>
      <w:proofErr w:type="spellStart"/>
      <w:r w:rsidR="00247E6C">
        <w:rPr>
          <w:color w:val="000000"/>
          <w:sz w:val="22"/>
          <w:szCs w:val="22"/>
        </w:rPr>
        <w:t>evidence</w:t>
      </w:r>
      <w:proofErr w:type="spellEnd"/>
      <w:r w:rsidR="00247E6C">
        <w:rPr>
          <w:color w:val="000000"/>
          <w:sz w:val="22"/>
          <w:szCs w:val="22"/>
        </w:rPr>
        <w:t>”</w:t>
      </w:r>
      <w:r w:rsidR="00DB3223">
        <w:rPr>
          <w:color w:val="000000"/>
          <w:sz w:val="22"/>
          <w:szCs w:val="22"/>
        </w:rPr>
        <w:t xml:space="preserve">, dalla prova come ragionamento, magari fulmineo (ma comunque interpretativo), </w:t>
      </w:r>
      <w:r w:rsidR="00DB3223">
        <w:rPr>
          <w:sz w:val="22"/>
          <w:szCs w:val="22"/>
        </w:rPr>
        <w:t>in inglese chiamato “</w:t>
      </w:r>
      <w:proofErr w:type="spellStart"/>
      <w:r w:rsidR="00DB3223">
        <w:rPr>
          <w:sz w:val="22"/>
          <w:szCs w:val="22"/>
        </w:rPr>
        <w:t>proof</w:t>
      </w:r>
      <w:proofErr w:type="spellEnd"/>
      <w:r w:rsidR="00DB3223">
        <w:rPr>
          <w:sz w:val="22"/>
          <w:szCs w:val="22"/>
        </w:rPr>
        <w:t>”(</w:t>
      </w:r>
      <w:r w:rsidR="00DB3223" w:rsidRPr="007F7EBF">
        <w:rPr>
          <w:rStyle w:val="Rimandonotaapidipagina"/>
          <w:sz w:val="22"/>
          <w:szCs w:val="22"/>
        </w:rPr>
        <w:footnoteReference w:id="602"/>
      </w:r>
      <w:r w:rsidR="00DB3223">
        <w:rPr>
          <w:sz w:val="22"/>
          <w:szCs w:val="22"/>
        </w:rPr>
        <w:t>)</w:t>
      </w:r>
      <w:r w:rsidR="00DB3223" w:rsidRPr="007F7EBF">
        <w:rPr>
          <w:sz w:val="22"/>
          <w:szCs w:val="22"/>
        </w:rPr>
        <w:t>.</w:t>
      </w:r>
      <w:r w:rsidR="00DB3223">
        <w:rPr>
          <w:sz w:val="22"/>
          <w:szCs w:val="22"/>
        </w:rPr>
        <w:t xml:space="preserve"> </w:t>
      </w:r>
      <w:r w:rsidR="006D012F">
        <w:rPr>
          <w:color w:val="000000"/>
          <w:sz w:val="22"/>
          <w:szCs w:val="22"/>
        </w:rPr>
        <w:t xml:space="preserve">La genuinità della “prova in senso materiale”, rispetto ad </w:t>
      </w:r>
      <w:r w:rsidR="006D012F" w:rsidRPr="007F7EBF">
        <w:rPr>
          <w:color w:val="000000"/>
          <w:sz w:val="22"/>
          <w:szCs w:val="22"/>
        </w:rPr>
        <w:t xml:space="preserve"> alterazioni e </w:t>
      </w:r>
      <w:r w:rsidR="006D012F">
        <w:rPr>
          <w:color w:val="000000"/>
          <w:sz w:val="22"/>
          <w:szCs w:val="22"/>
        </w:rPr>
        <w:t>manipolazioni</w:t>
      </w:r>
      <w:r w:rsidR="006D012F" w:rsidRPr="007F7EBF">
        <w:rPr>
          <w:color w:val="000000"/>
          <w:sz w:val="22"/>
          <w:szCs w:val="22"/>
        </w:rPr>
        <w:t xml:space="preserve">, </w:t>
      </w:r>
      <w:r w:rsidR="006D012F">
        <w:rPr>
          <w:color w:val="000000"/>
          <w:sz w:val="22"/>
          <w:szCs w:val="22"/>
        </w:rPr>
        <w:t>è garantita dalla presenza di pubblici uffici, ordinariamente a</w:t>
      </w:r>
      <w:r w:rsidR="006D012F" w:rsidRPr="007F7EBF">
        <w:rPr>
          <w:color w:val="000000"/>
          <w:sz w:val="22"/>
          <w:szCs w:val="22"/>
        </w:rPr>
        <w:t>ffidabili</w:t>
      </w:r>
      <w:r w:rsidR="006D012F" w:rsidRPr="007F7EBF">
        <w:rPr>
          <w:rStyle w:val="Rimandonotaapidipagina"/>
          <w:color w:val="000000"/>
          <w:sz w:val="22"/>
          <w:szCs w:val="22"/>
        </w:rPr>
        <w:footnoteReference w:id="603"/>
      </w:r>
      <w:r w:rsidR="006D012F" w:rsidRPr="007F7EBF">
        <w:rPr>
          <w:color w:val="000000"/>
          <w:sz w:val="22"/>
          <w:szCs w:val="22"/>
        </w:rPr>
        <w:t>.</w:t>
      </w:r>
      <w:r w:rsidR="006D012F">
        <w:rPr>
          <w:color w:val="000000"/>
          <w:sz w:val="22"/>
          <w:szCs w:val="22"/>
        </w:rPr>
        <w:t xml:space="preserve"> </w:t>
      </w:r>
      <w:r w:rsidR="006D012F" w:rsidRPr="007F7EBF">
        <w:rPr>
          <w:color w:val="000000"/>
          <w:sz w:val="22"/>
          <w:szCs w:val="22"/>
        </w:rPr>
        <w:t xml:space="preserve"> </w:t>
      </w:r>
      <w:r w:rsidR="00DB3223">
        <w:rPr>
          <w:sz w:val="22"/>
          <w:szCs w:val="22"/>
        </w:rPr>
        <w:t xml:space="preserve">La prova come ragionamento passa </w:t>
      </w:r>
      <w:r w:rsidR="006D012F">
        <w:rPr>
          <w:sz w:val="22"/>
          <w:szCs w:val="22"/>
        </w:rPr>
        <w:t xml:space="preserve">invece </w:t>
      </w:r>
      <w:r>
        <w:rPr>
          <w:sz w:val="22"/>
          <w:szCs w:val="22"/>
        </w:rPr>
        <w:t>attraverso il senso comune</w:t>
      </w:r>
      <w:r w:rsidR="00DB3223">
        <w:rPr>
          <w:sz w:val="22"/>
          <w:szCs w:val="22"/>
        </w:rPr>
        <w:t>, col suo suddetto “empirismo”</w:t>
      </w:r>
      <w:r>
        <w:rPr>
          <w:sz w:val="22"/>
          <w:szCs w:val="22"/>
        </w:rPr>
        <w:t xml:space="preserve">, </w:t>
      </w:r>
      <w:r w:rsidRPr="007F7EBF">
        <w:rPr>
          <w:sz w:val="22"/>
          <w:szCs w:val="22"/>
        </w:rPr>
        <w:t>socialmente controllabil</w:t>
      </w:r>
      <w:r>
        <w:rPr>
          <w:sz w:val="22"/>
          <w:szCs w:val="22"/>
        </w:rPr>
        <w:t>e</w:t>
      </w:r>
      <w:r w:rsidR="006D012F">
        <w:rPr>
          <w:sz w:val="22"/>
          <w:szCs w:val="22"/>
        </w:rPr>
        <w:t xml:space="preserve"> </w:t>
      </w:r>
      <w:r w:rsidRPr="007F7EBF">
        <w:rPr>
          <w:rStyle w:val="Rimandonotaapidipagina"/>
          <w:bCs/>
          <w:sz w:val="22"/>
          <w:szCs w:val="22"/>
        </w:rPr>
        <w:footnoteReference w:id="604"/>
      </w:r>
      <w:r w:rsidRPr="007F7EBF">
        <w:rPr>
          <w:sz w:val="22"/>
          <w:szCs w:val="22"/>
        </w:rPr>
        <w:t>.</w:t>
      </w:r>
      <w:r w:rsidRPr="00EC19F0">
        <w:rPr>
          <w:sz w:val="22"/>
          <w:szCs w:val="22"/>
        </w:rPr>
        <w:t xml:space="preserve"> </w:t>
      </w:r>
    </w:p>
    <w:p w14:paraId="64932C86" w14:textId="1109D8DA" w:rsidR="00D8755A" w:rsidRDefault="006D012F" w:rsidP="00DB3223">
      <w:pPr>
        <w:autoSpaceDE w:val="0"/>
        <w:autoSpaceDN w:val="0"/>
        <w:adjustRightInd w:val="0"/>
        <w:jc w:val="both"/>
        <w:rPr>
          <w:sz w:val="22"/>
          <w:szCs w:val="22"/>
        </w:rPr>
      </w:pPr>
      <w:r>
        <w:rPr>
          <w:sz w:val="22"/>
          <w:szCs w:val="22"/>
        </w:rPr>
        <w:t>Q</w:t>
      </w:r>
      <w:r w:rsidR="00F009B0">
        <w:rPr>
          <w:sz w:val="22"/>
          <w:szCs w:val="22"/>
        </w:rPr>
        <w:t>uesta componente interpretativa</w:t>
      </w:r>
      <w:r w:rsidR="00CD4C16" w:rsidRPr="00DB3223">
        <w:rPr>
          <w:rStyle w:val="Rimandonotaapidipagina"/>
          <w:sz w:val="22"/>
          <w:szCs w:val="22"/>
        </w:rPr>
        <w:footnoteReference w:id="605"/>
      </w:r>
      <w:r w:rsidR="00CD4C16">
        <w:rPr>
          <w:sz w:val="22"/>
          <w:szCs w:val="22"/>
        </w:rPr>
        <w:t xml:space="preserve"> </w:t>
      </w:r>
      <w:r w:rsidR="00F009B0">
        <w:rPr>
          <w:sz w:val="22"/>
          <w:szCs w:val="22"/>
        </w:rPr>
        <w:t xml:space="preserve">conferma che “il fatto” non va inteso in senso materiale, come evento </w:t>
      </w:r>
      <w:r w:rsidR="00F009B0" w:rsidRPr="007F7EBF">
        <w:rPr>
          <w:sz w:val="22"/>
          <w:szCs w:val="22"/>
        </w:rPr>
        <w:t>ormai avvenuto</w:t>
      </w:r>
      <w:r w:rsidR="00F009B0">
        <w:rPr>
          <w:sz w:val="22"/>
          <w:szCs w:val="22"/>
        </w:rPr>
        <w:t>, irriproducibile e remoto, ma va inteso come giudizio; si controverte cioè su un’</w:t>
      </w:r>
      <w:r w:rsidR="00F009B0" w:rsidRPr="007F7EBF">
        <w:rPr>
          <w:sz w:val="22"/>
          <w:szCs w:val="22"/>
        </w:rPr>
        <w:t>affermazione</w:t>
      </w:r>
      <w:r w:rsidR="00F009B0">
        <w:rPr>
          <w:sz w:val="22"/>
          <w:szCs w:val="22"/>
        </w:rPr>
        <w:t xml:space="preserve"> relativa a un fatto ipotetico, cioè su “</w:t>
      </w:r>
      <w:r w:rsidR="00F009B0" w:rsidRPr="007F7EBF">
        <w:rPr>
          <w:sz w:val="22"/>
          <w:szCs w:val="22"/>
        </w:rPr>
        <w:t>un giudizio"</w:t>
      </w:r>
      <w:r w:rsidR="00F009B0" w:rsidRPr="007F7EBF">
        <w:rPr>
          <w:rStyle w:val="Rimandonotaapidipagina"/>
          <w:sz w:val="22"/>
          <w:szCs w:val="22"/>
        </w:rPr>
        <w:footnoteReference w:id="606"/>
      </w:r>
      <w:r w:rsidR="00F009B0">
        <w:t xml:space="preserve">. </w:t>
      </w:r>
    </w:p>
    <w:p w14:paraId="7D1FF30F" w14:textId="5554B92A" w:rsidR="00D8755A" w:rsidRDefault="00D8755A" w:rsidP="00D8755A">
      <w:pPr>
        <w:pStyle w:val="tit23"/>
        <w:ind w:left="6464" w:right="-1361" w:firstLine="0"/>
        <w:jc w:val="left"/>
        <w:rPr>
          <w:bCs/>
          <w:i/>
          <w:iCs/>
          <w:color w:val="0000FF"/>
          <w:lang w:val="it-IT"/>
        </w:rPr>
      </w:pPr>
      <w:r>
        <w:rPr>
          <w:bCs/>
          <w:i/>
          <w:iCs/>
          <w:color w:val="0000FF"/>
          <w:lang w:val="it-IT"/>
        </w:rPr>
        <w:t xml:space="preserve">probabilismo </w:t>
      </w:r>
      <w:r w:rsidR="00F009B0">
        <w:rPr>
          <w:bCs/>
          <w:i/>
          <w:iCs/>
          <w:color w:val="0000FF"/>
          <w:lang w:val="it-IT"/>
        </w:rPr>
        <w:t>della prova</w:t>
      </w:r>
    </w:p>
    <w:p w14:paraId="3F1E2D2F" w14:textId="4873ED82" w:rsidR="00DB3223" w:rsidRPr="007F7EBF" w:rsidRDefault="000C55D5" w:rsidP="00DB3223">
      <w:pPr>
        <w:autoSpaceDE w:val="0"/>
        <w:autoSpaceDN w:val="0"/>
        <w:adjustRightInd w:val="0"/>
        <w:rPr>
          <w:bCs/>
          <w:i/>
          <w:iCs/>
          <w:color w:val="0000FF"/>
          <w:sz w:val="22"/>
          <w:szCs w:val="22"/>
        </w:rPr>
      </w:pPr>
      <w:r>
        <w:t xml:space="preserve">Come tutta la conoscenza </w:t>
      </w:r>
      <w:r w:rsidR="00AF2B78">
        <w:t xml:space="preserve">empirica, anche il giudizio di fatto si basa su un vario </w:t>
      </w:r>
      <w:r w:rsidR="001E183C">
        <w:t>razionale probabilismo</w:t>
      </w:r>
      <w:r w:rsidR="00AF2B78">
        <w:t xml:space="preserve"> delle soluzioni raggiunte; sul piano logico, confermato da un consenso generalizzato di filosofia della scienza</w:t>
      </w:r>
      <w:r w:rsidR="001E183C">
        <w:t xml:space="preserve">, </w:t>
      </w:r>
      <w:r w:rsidR="00AF2B78">
        <w:t xml:space="preserve">parliamo di certezza solo per riferirci a un’elevata probabilità, qualche volta affermandone la sufficienza ad </w:t>
      </w:r>
      <w:r w:rsidR="001E183C" w:rsidRPr="007F7EBF">
        <w:rPr>
          <w:sz w:val="22"/>
          <w:szCs w:val="22"/>
        </w:rPr>
        <w:t>escludere ogni ragionevole dubbio</w:t>
      </w:r>
      <w:r w:rsidR="00AF2B78">
        <w:rPr>
          <w:sz w:val="22"/>
          <w:szCs w:val="22"/>
        </w:rPr>
        <w:t>; quest’ultimo, anche quando è percepibile, si pone s</w:t>
      </w:r>
      <w:r w:rsidR="007B3648">
        <w:rPr>
          <w:sz w:val="22"/>
          <w:szCs w:val="22"/>
        </w:rPr>
        <w:t xml:space="preserve">ul piano </w:t>
      </w:r>
      <w:r w:rsidR="007E221E">
        <w:rPr>
          <w:sz w:val="22"/>
          <w:szCs w:val="22"/>
        </w:rPr>
        <w:t>conoscitiv</w:t>
      </w:r>
      <w:r w:rsidR="007B3648">
        <w:rPr>
          <w:sz w:val="22"/>
          <w:szCs w:val="22"/>
        </w:rPr>
        <w:t>o,</w:t>
      </w:r>
      <w:r w:rsidR="007E221E">
        <w:rPr>
          <w:sz w:val="22"/>
          <w:szCs w:val="22"/>
        </w:rPr>
        <w:t xml:space="preserve"> non </w:t>
      </w:r>
      <w:r w:rsidR="00304A0F">
        <w:rPr>
          <w:sz w:val="22"/>
          <w:szCs w:val="22"/>
        </w:rPr>
        <w:t>valorial</w:t>
      </w:r>
      <w:r w:rsidR="007B3648">
        <w:rPr>
          <w:sz w:val="22"/>
          <w:szCs w:val="22"/>
        </w:rPr>
        <w:t>e</w:t>
      </w:r>
      <w:r w:rsidR="00304A0F">
        <w:rPr>
          <w:sz w:val="22"/>
          <w:szCs w:val="22"/>
        </w:rPr>
        <w:t xml:space="preserve"> </w:t>
      </w:r>
      <w:r w:rsidR="00304A0F" w:rsidRPr="007F7EBF">
        <w:rPr>
          <w:sz w:val="22"/>
          <w:szCs w:val="22"/>
        </w:rPr>
        <w:t>(</w:t>
      </w:r>
      <w:r w:rsidR="00304A0F" w:rsidRPr="007F7EBF">
        <w:rPr>
          <w:rStyle w:val="Rimandonotaapidipagina"/>
          <w:sz w:val="22"/>
          <w:szCs w:val="22"/>
        </w:rPr>
        <w:footnoteReference w:id="607"/>
      </w:r>
      <w:r w:rsidR="00304A0F" w:rsidRPr="007F7EBF">
        <w:rPr>
          <w:sz w:val="22"/>
          <w:szCs w:val="22"/>
        </w:rPr>
        <w:t>)</w:t>
      </w:r>
      <w:r w:rsidR="00AF2B78">
        <w:rPr>
          <w:sz w:val="22"/>
          <w:szCs w:val="22"/>
        </w:rPr>
        <w:t xml:space="preserve">. Questo </w:t>
      </w:r>
      <w:r w:rsidR="00304A0F">
        <w:t xml:space="preserve"> </w:t>
      </w:r>
      <w:r w:rsidR="00304A0F">
        <w:lastRenderedPageBreak/>
        <w:t xml:space="preserve">probabilismo </w:t>
      </w:r>
      <w:r w:rsidR="00735101">
        <w:rPr>
          <w:sz w:val="22"/>
          <w:szCs w:val="22"/>
        </w:rPr>
        <w:t xml:space="preserve">del ragionamento probatorio </w:t>
      </w:r>
      <w:r w:rsidR="00735101" w:rsidRPr="007F7EBF">
        <w:rPr>
          <w:sz w:val="22"/>
          <w:szCs w:val="22"/>
        </w:rPr>
        <w:t xml:space="preserve">non è esprimibile numericamente, secondo criteri matematico-statistici di calcolo delle </w:t>
      </w:r>
      <w:r w:rsidR="00735101">
        <w:rPr>
          <w:sz w:val="22"/>
          <w:szCs w:val="22"/>
        </w:rPr>
        <w:t>“</w:t>
      </w:r>
      <w:r w:rsidR="00735101" w:rsidRPr="007F7EBF">
        <w:rPr>
          <w:sz w:val="22"/>
          <w:szCs w:val="22"/>
        </w:rPr>
        <w:t>probabilità</w:t>
      </w:r>
      <w:r w:rsidR="00735101">
        <w:rPr>
          <w:sz w:val="22"/>
          <w:szCs w:val="22"/>
        </w:rPr>
        <w:t xml:space="preserve"> oggettive”</w:t>
      </w:r>
      <w:r w:rsidR="001731B2">
        <w:rPr>
          <w:sz w:val="22"/>
          <w:szCs w:val="22"/>
        </w:rPr>
        <w:t xml:space="preserve">; esso è </w:t>
      </w:r>
      <w:r w:rsidR="00735101" w:rsidRPr="007F7EBF">
        <w:rPr>
          <w:sz w:val="22"/>
          <w:szCs w:val="22"/>
        </w:rPr>
        <w:t>solo “valutabile”, con argomenti di senso comune</w:t>
      </w:r>
      <w:r w:rsidR="001731B2">
        <w:rPr>
          <w:sz w:val="22"/>
          <w:szCs w:val="22"/>
        </w:rPr>
        <w:t xml:space="preserve"> e </w:t>
      </w:r>
      <w:r w:rsidR="00304A0F">
        <w:t xml:space="preserve">spazia </w:t>
      </w:r>
      <w:r w:rsidR="001731B2">
        <w:rPr>
          <w:sz w:val="22"/>
          <w:szCs w:val="22"/>
        </w:rPr>
        <w:t>con</w:t>
      </w:r>
      <w:r w:rsidR="001E183C" w:rsidRPr="007F7EBF">
        <w:rPr>
          <w:sz w:val="22"/>
          <w:szCs w:val="22"/>
        </w:rPr>
        <w:t xml:space="preserve"> le consuete sfumature del</w:t>
      </w:r>
      <w:r w:rsidR="00304A0F">
        <w:rPr>
          <w:sz w:val="22"/>
          <w:szCs w:val="22"/>
        </w:rPr>
        <w:t xml:space="preserve"> sapere umanistico sociale</w:t>
      </w:r>
      <w:r w:rsidR="001E183C" w:rsidRPr="00DB3223">
        <w:rPr>
          <w:sz w:val="22"/>
          <w:szCs w:val="22"/>
        </w:rPr>
        <w:t>.</w:t>
      </w:r>
      <w:r w:rsidR="00A8307D" w:rsidRPr="00DB3223">
        <w:rPr>
          <w:sz w:val="22"/>
          <w:szCs w:val="22"/>
        </w:rPr>
        <w:t xml:space="preserve"> </w:t>
      </w:r>
    </w:p>
    <w:p w14:paraId="02DFA872" w14:textId="77777777" w:rsidR="001E3F78" w:rsidRPr="007F7EBF" w:rsidRDefault="00E3610C" w:rsidP="00E3610C">
      <w:pPr>
        <w:pStyle w:val="tit23"/>
        <w:ind w:left="6464" w:right="-1361" w:firstLine="0"/>
        <w:jc w:val="left"/>
        <w:rPr>
          <w:bCs/>
          <w:i/>
          <w:iCs/>
          <w:color w:val="0000FF"/>
          <w:lang w:val="it-IT"/>
        </w:rPr>
      </w:pPr>
      <w:r w:rsidRPr="007F7EBF">
        <w:rPr>
          <w:bCs/>
          <w:i/>
          <w:iCs/>
          <w:color w:val="0000FF"/>
          <w:lang w:val="it-IT"/>
        </w:rPr>
        <w:t xml:space="preserve">Fatti puntuali e </w:t>
      </w:r>
      <w:proofErr w:type="spellStart"/>
      <w:r w:rsidRPr="007F7EBF">
        <w:rPr>
          <w:bCs/>
          <w:i/>
          <w:iCs/>
          <w:color w:val="0000FF"/>
          <w:lang w:val="it-IT"/>
        </w:rPr>
        <w:t>valutativi:loro</w:t>
      </w:r>
      <w:proofErr w:type="spellEnd"/>
      <w:r w:rsidRPr="007F7EBF">
        <w:rPr>
          <w:bCs/>
          <w:i/>
          <w:iCs/>
          <w:color w:val="0000FF"/>
          <w:lang w:val="it-IT"/>
        </w:rPr>
        <w:t xml:space="preserve"> importanza  ai fini tributari </w:t>
      </w:r>
    </w:p>
    <w:p w14:paraId="1459623D" w14:textId="50C59FE9" w:rsidR="00CA6179" w:rsidRPr="0008473B" w:rsidRDefault="001731B2" w:rsidP="0008473B">
      <w:pPr>
        <w:autoSpaceDE w:val="0"/>
        <w:autoSpaceDN w:val="0"/>
        <w:adjustRightInd w:val="0"/>
        <w:jc w:val="both"/>
        <w:rPr>
          <w:bCs/>
          <w:sz w:val="22"/>
          <w:szCs w:val="22"/>
        </w:rPr>
      </w:pPr>
      <w:r w:rsidRPr="00DB3223">
        <w:rPr>
          <w:sz w:val="22"/>
          <w:szCs w:val="22"/>
        </w:rPr>
        <w:t xml:space="preserve">La determinazione degli imponibili appare </w:t>
      </w:r>
      <w:r w:rsidR="00CD4C16">
        <w:rPr>
          <w:sz w:val="22"/>
          <w:szCs w:val="22"/>
        </w:rPr>
        <w:t>chiaramente</w:t>
      </w:r>
      <w:r w:rsidRPr="00DB3223">
        <w:rPr>
          <w:sz w:val="22"/>
          <w:szCs w:val="22"/>
        </w:rPr>
        <w:t xml:space="preserve"> </w:t>
      </w:r>
      <w:r w:rsidR="00C204D5">
        <w:rPr>
          <w:sz w:val="22"/>
          <w:szCs w:val="22"/>
        </w:rPr>
        <w:t xml:space="preserve">interpretativa e </w:t>
      </w:r>
      <w:r w:rsidRPr="00DB3223">
        <w:rPr>
          <w:sz w:val="22"/>
          <w:szCs w:val="22"/>
        </w:rPr>
        <w:t xml:space="preserve">probabilistica quand’è effettuata per ordine di grandezza, </w:t>
      </w:r>
      <w:r w:rsidR="00CD4C16">
        <w:rPr>
          <w:sz w:val="22"/>
          <w:szCs w:val="22"/>
        </w:rPr>
        <w:t xml:space="preserve">nelle stime valutative; </w:t>
      </w:r>
      <w:r w:rsidR="00C204D5">
        <w:rPr>
          <w:sz w:val="22"/>
          <w:szCs w:val="22"/>
        </w:rPr>
        <w:t xml:space="preserve">quando si valuta </w:t>
      </w:r>
      <w:r w:rsidR="00C204D5" w:rsidRPr="007F7EBF">
        <w:rPr>
          <w:sz w:val="22"/>
          <w:szCs w:val="22"/>
        </w:rPr>
        <w:t>l</w:t>
      </w:r>
      <w:r w:rsidR="00C204D5" w:rsidRPr="007F7EBF">
        <w:rPr>
          <w:bCs/>
          <w:sz w:val="22"/>
          <w:szCs w:val="22"/>
        </w:rPr>
        <w:t>a redditività di un frutteto, il prezzo di mercato di un appartamento, gli incassi di un artigiano,</w:t>
      </w:r>
      <w:r w:rsidR="00A2255C">
        <w:rPr>
          <w:bCs/>
          <w:sz w:val="22"/>
          <w:szCs w:val="22"/>
        </w:rPr>
        <w:t xml:space="preserve"> ci</w:t>
      </w:r>
      <w:r w:rsidR="00C204D5" w:rsidRPr="007F7EBF">
        <w:rPr>
          <w:bCs/>
          <w:sz w:val="22"/>
          <w:szCs w:val="22"/>
        </w:rPr>
        <w:t xml:space="preserve"> si colloca  pur sempre sul piano del </w:t>
      </w:r>
      <w:r w:rsidR="00A2255C">
        <w:rPr>
          <w:bCs/>
          <w:sz w:val="22"/>
          <w:szCs w:val="22"/>
        </w:rPr>
        <w:t>giudizio di fatto</w:t>
      </w:r>
      <w:r w:rsidR="006F2591">
        <w:rPr>
          <w:bCs/>
          <w:sz w:val="22"/>
          <w:szCs w:val="22"/>
        </w:rPr>
        <w:t xml:space="preserve">, </w:t>
      </w:r>
      <w:r w:rsidR="00A2255C">
        <w:rPr>
          <w:bCs/>
          <w:sz w:val="22"/>
          <w:szCs w:val="22"/>
        </w:rPr>
        <w:t xml:space="preserve">l’affermazione controversa non riguarda </w:t>
      </w:r>
      <w:r w:rsidR="006F2591">
        <w:rPr>
          <w:bCs/>
          <w:sz w:val="22"/>
          <w:szCs w:val="22"/>
        </w:rPr>
        <w:t xml:space="preserve">però </w:t>
      </w:r>
      <w:r w:rsidR="00A2255C">
        <w:rPr>
          <w:bCs/>
          <w:sz w:val="22"/>
          <w:szCs w:val="22"/>
        </w:rPr>
        <w:t>un evento puntuale</w:t>
      </w:r>
      <w:r w:rsidR="00C204D5" w:rsidRPr="007F7EBF">
        <w:rPr>
          <w:bCs/>
          <w:sz w:val="22"/>
          <w:szCs w:val="22"/>
        </w:rPr>
        <w:t xml:space="preserve">, ma </w:t>
      </w:r>
      <w:r w:rsidR="000560E1">
        <w:rPr>
          <w:bCs/>
          <w:sz w:val="22"/>
          <w:szCs w:val="22"/>
        </w:rPr>
        <w:t xml:space="preserve">eventi </w:t>
      </w:r>
      <w:r w:rsidR="00E36B50">
        <w:rPr>
          <w:bCs/>
          <w:sz w:val="22"/>
          <w:szCs w:val="22"/>
        </w:rPr>
        <w:t>aggregati, come il numero di prestazioni rese da un artigiano, o i</w:t>
      </w:r>
      <w:r w:rsidR="00A2255C">
        <w:rPr>
          <w:bCs/>
          <w:sz w:val="22"/>
          <w:szCs w:val="22"/>
        </w:rPr>
        <w:t>potetici</w:t>
      </w:r>
      <w:r w:rsidR="00E36B50">
        <w:rPr>
          <w:bCs/>
          <w:sz w:val="22"/>
          <w:szCs w:val="22"/>
        </w:rPr>
        <w:t xml:space="preserve">, ad esempio quanto sarebbero stati disposti a pagare per una certa prestazione altri soggetti ad essa interessati </w:t>
      </w:r>
      <w:r w:rsidR="00C204D5">
        <w:rPr>
          <w:bCs/>
          <w:sz w:val="22"/>
          <w:szCs w:val="22"/>
        </w:rPr>
        <w:t>(</w:t>
      </w:r>
      <w:r w:rsidR="00C204D5" w:rsidRPr="007F7EBF">
        <w:rPr>
          <w:rStyle w:val="Rimandonotaapidipagina"/>
          <w:bCs/>
          <w:sz w:val="22"/>
          <w:szCs w:val="22"/>
        </w:rPr>
        <w:footnoteReference w:id="608"/>
      </w:r>
      <w:r w:rsidR="00C204D5">
        <w:rPr>
          <w:bCs/>
          <w:sz w:val="22"/>
          <w:szCs w:val="22"/>
        </w:rPr>
        <w:t>)</w:t>
      </w:r>
      <w:r w:rsidR="00C204D5" w:rsidRPr="007F7EBF">
        <w:rPr>
          <w:bCs/>
          <w:sz w:val="22"/>
          <w:szCs w:val="22"/>
        </w:rPr>
        <w:t xml:space="preserve">; </w:t>
      </w:r>
      <w:r w:rsidR="00F4650C">
        <w:rPr>
          <w:sz w:val="22"/>
          <w:szCs w:val="22"/>
        </w:rPr>
        <w:t xml:space="preserve"> </w:t>
      </w:r>
      <w:r w:rsidR="00202CC5">
        <w:rPr>
          <w:sz w:val="22"/>
          <w:szCs w:val="22"/>
        </w:rPr>
        <w:t>ne</w:t>
      </w:r>
      <w:r w:rsidR="00F4650C">
        <w:rPr>
          <w:bCs/>
          <w:sz w:val="22"/>
          <w:szCs w:val="22"/>
        </w:rPr>
        <w:t xml:space="preserve">l probabilismo di questi “fatti </w:t>
      </w:r>
      <w:r w:rsidR="00F4650C" w:rsidRPr="007F7EBF">
        <w:rPr>
          <w:bCs/>
          <w:sz w:val="22"/>
          <w:szCs w:val="22"/>
        </w:rPr>
        <w:t>valutativi”</w:t>
      </w:r>
      <w:r w:rsidR="00202CC5">
        <w:rPr>
          <w:bCs/>
          <w:sz w:val="22"/>
          <w:szCs w:val="22"/>
        </w:rPr>
        <w:t xml:space="preserve"> </w:t>
      </w:r>
      <w:r w:rsidR="00F4650C">
        <w:rPr>
          <w:bCs/>
          <w:sz w:val="22"/>
          <w:szCs w:val="22"/>
        </w:rPr>
        <w:t xml:space="preserve">dev’essere </w:t>
      </w:r>
      <w:r w:rsidR="00F4650C">
        <w:rPr>
          <w:sz w:val="22"/>
          <w:szCs w:val="22"/>
        </w:rPr>
        <w:t xml:space="preserve"> convincente </w:t>
      </w:r>
      <w:r w:rsidR="00F4650C" w:rsidRPr="007F7EBF">
        <w:rPr>
          <w:sz w:val="22"/>
          <w:szCs w:val="22"/>
        </w:rPr>
        <w:t>non già l</w:t>
      </w:r>
      <w:r w:rsidR="00F4650C">
        <w:rPr>
          <w:sz w:val="22"/>
          <w:szCs w:val="22"/>
        </w:rPr>
        <w:t>a</w:t>
      </w:r>
      <w:r w:rsidR="00F4650C" w:rsidRPr="007F7EBF">
        <w:rPr>
          <w:sz w:val="22"/>
          <w:szCs w:val="22"/>
        </w:rPr>
        <w:t xml:space="preserve"> cifr</w:t>
      </w:r>
      <w:r w:rsidR="00F4650C">
        <w:rPr>
          <w:sz w:val="22"/>
          <w:szCs w:val="22"/>
        </w:rPr>
        <w:t>a</w:t>
      </w:r>
      <w:r w:rsidR="00F4650C" w:rsidRPr="007F7EBF">
        <w:rPr>
          <w:sz w:val="22"/>
          <w:szCs w:val="22"/>
        </w:rPr>
        <w:t xml:space="preserve"> puntual</w:t>
      </w:r>
      <w:r w:rsidR="00F4650C">
        <w:rPr>
          <w:sz w:val="22"/>
          <w:szCs w:val="22"/>
        </w:rPr>
        <w:t>e</w:t>
      </w:r>
      <w:r w:rsidR="00F4650C" w:rsidRPr="007F7EBF">
        <w:rPr>
          <w:sz w:val="22"/>
          <w:szCs w:val="22"/>
        </w:rPr>
        <w:t>, ma l'ordine di grandezza</w:t>
      </w:r>
      <w:r w:rsidR="00202CC5">
        <w:rPr>
          <w:sz w:val="22"/>
          <w:szCs w:val="22"/>
        </w:rPr>
        <w:t xml:space="preserve"> </w:t>
      </w:r>
      <w:r w:rsidR="00A2255C">
        <w:rPr>
          <w:sz w:val="22"/>
          <w:szCs w:val="22"/>
        </w:rPr>
        <w:t>(</w:t>
      </w:r>
      <w:r w:rsidR="00A2255C" w:rsidRPr="007F7EBF">
        <w:rPr>
          <w:rStyle w:val="Rimandonotaapidipagina"/>
          <w:sz w:val="22"/>
          <w:szCs w:val="22"/>
        </w:rPr>
        <w:footnoteReference w:id="609"/>
      </w:r>
      <w:r w:rsidR="00A2255C">
        <w:rPr>
          <w:sz w:val="22"/>
          <w:szCs w:val="22"/>
        </w:rPr>
        <w:t>)</w:t>
      </w:r>
      <w:r w:rsidR="00202CC5">
        <w:rPr>
          <w:sz w:val="22"/>
          <w:szCs w:val="22"/>
        </w:rPr>
        <w:t xml:space="preserve">; </w:t>
      </w:r>
      <w:r w:rsidR="00F4650C">
        <w:rPr>
          <w:bCs/>
          <w:sz w:val="22"/>
          <w:szCs w:val="22"/>
        </w:rPr>
        <w:t xml:space="preserve">anche </w:t>
      </w:r>
      <w:r w:rsidR="00F4650C">
        <w:rPr>
          <w:sz w:val="22"/>
          <w:szCs w:val="22"/>
        </w:rPr>
        <w:t xml:space="preserve">la </w:t>
      </w:r>
      <w:r w:rsidR="00CD4C16">
        <w:rPr>
          <w:sz w:val="22"/>
          <w:szCs w:val="22"/>
        </w:rPr>
        <w:t>determinazione contabile degli imponibili</w:t>
      </w:r>
      <w:r w:rsidR="00202CC5">
        <w:rPr>
          <w:sz w:val="22"/>
          <w:szCs w:val="22"/>
        </w:rPr>
        <w:t xml:space="preserve"> ha portata probabilistica,</w:t>
      </w:r>
      <w:r w:rsidRPr="00DB3223">
        <w:rPr>
          <w:sz w:val="22"/>
          <w:szCs w:val="22"/>
        </w:rPr>
        <w:t xml:space="preserve"> </w:t>
      </w:r>
      <w:r w:rsidR="008F6A91">
        <w:rPr>
          <w:sz w:val="22"/>
          <w:szCs w:val="22"/>
        </w:rPr>
        <w:t xml:space="preserve">e </w:t>
      </w:r>
      <w:r w:rsidR="008F6A91">
        <w:rPr>
          <w:sz w:val="22"/>
          <w:szCs w:val="22"/>
        </w:rPr>
        <w:lastRenderedPageBreak/>
        <w:t>valenza presuntiva</w:t>
      </w:r>
      <w:r w:rsidR="00142118">
        <w:rPr>
          <w:sz w:val="22"/>
          <w:szCs w:val="22"/>
        </w:rPr>
        <w:t>(</w:t>
      </w:r>
      <w:r w:rsidR="00142118">
        <w:rPr>
          <w:rStyle w:val="Rimandonotaapidipagina"/>
          <w:sz w:val="22"/>
          <w:szCs w:val="22"/>
        </w:rPr>
        <w:footnoteReference w:id="610"/>
      </w:r>
      <w:r w:rsidR="00142118">
        <w:rPr>
          <w:sz w:val="22"/>
          <w:szCs w:val="22"/>
        </w:rPr>
        <w:t>)</w:t>
      </w:r>
      <w:r w:rsidR="008F6A91">
        <w:rPr>
          <w:sz w:val="22"/>
          <w:szCs w:val="22"/>
        </w:rPr>
        <w:t xml:space="preserve">, </w:t>
      </w:r>
      <w:r w:rsidR="00CD4C16">
        <w:rPr>
          <w:sz w:val="22"/>
          <w:szCs w:val="22"/>
        </w:rPr>
        <w:t xml:space="preserve">in punto di rispondenza alla realtà dei </w:t>
      </w:r>
      <w:r w:rsidR="00A8307D">
        <w:rPr>
          <w:sz w:val="22"/>
          <w:szCs w:val="22"/>
        </w:rPr>
        <w:t>documenti (par. 3.3,7.7,7.8)</w:t>
      </w:r>
      <w:r w:rsidR="00202CC5">
        <w:rPr>
          <w:sz w:val="22"/>
          <w:szCs w:val="22"/>
        </w:rPr>
        <w:t xml:space="preserve">. </w:t>
      </w:r>
      <w:r w:rsidR="00CA6179" w:rsidRPr="007F7EBF">
        <w:rPr>
          <w:bCs/>
          <w:i/>
          <w:iCs/>
          <w:color w:val="0000FF"/>
        </w:rPr>
        <w:t xml:space="preserve"> </w:t>
      </w:r>
    </w:p>
    <w:p w14:paraId="441A84BE" w14:textId="77777777" w:rsidR="00CA6179" w:rsidRPr="007F7EBF" w:rsidRDefault="00CA6179" w:rsidP="00CA6179">
      <w:pPr>
        <w:pStyle w:val="tit23"/>
        <w:ind w:left="6464" w:right="-1361" w:firstLine="0"/>
        <w:jc w:val="left"/>
        <w:rPr>
          <w:bCs/>
          <w:i/>
          <w:iCs/>
          <w:color w:val="0000FF"/>
          <w:lang w:val="it-IT"/>
        </w:rPr>
      </w:pPr>
      <w:r>
        <w:rPr>
          <w:bCs/>
          <w:i/>
          <w:iCs/>
          <w:color w:val="0000FF"/>
          <w:lang w:val="it-IT"/>
        </w:rPr>
        <w:t>Il libero convincimento (empirico) e le prove legali</w:t>
      </w:r>
    </w:p>
    <w:p w14:paraId="48634AE9" w14:textId="110E23DE" w:rsidR="00CA6179" w:rsidRPr="007F7EBF" w:rsidRDefault="005234DC" w:rsidP="00CA6179">
      <w:pPr>
        <w:autoSpaceDE w:val="0"/>
        <w:autoSpaceDN w:val="0"/>
        <w:adjustRightInd w:val="0"/>
        <w:jc w:val="both"/>
        <w:rPr>
          <w:bCs/>
          <w:sz w:val="22"/>
          <w:szCs w:val="22"/>
        </w:rPr>
      </w:pPr>
      <w:r>
        <w:rPr>
          <w:bCs/>
          <w:sz w:val="22"/>
          <w:szCs w:val="22"/>
        </w:rPr>
        <w:t xml:space="preserve">Quest’empirismo probabilistico del giudizio di fatto spiega </w:t>
      </w:r>
      <w:r w:rsidR="00C55019">
        <w:rPr>
          <w:bCs/>
          <w:sz w:val="22"/>
          <w:szCs w:val="22"/>
        </w:rPr>
        <w:t>il s</w:t>
      </w:r>
      <w:r>
        <w:rPr>
          <w:bCs/>
          <w:sz w:val="22"/>
          <w:szCs w:val="22"/>
        </w:rPr>
        <w:t xml:space="preserve">enso </w:t>
      </w:r>
      <w:r w:rsidR="00C55019">
        <w:rPr>
          <w:bCs/>
          <w:sz w:val="22"/>
          <w:szCs w:val="22"/>
        </w:rPr>
        <w:t xml:space="preserve">in cui </w:t>
      </w:r>
      <w:r w:rsidR="00CA6179">
        <w:rPr>
          <w:bCs/>
          <w:sz w:val="22"/>
          <w:szCs w:val="22"/>
        </w:rPr>
        <w:t>s</w:t>
      </w:r>
      <w:r w:rsidR="00CA6179" w:rsidRPr="007F7EBF">
        <w:rPr>
          <w:bCs/>
          <w:sz w:val="22"/>
          <w:szCs w:val="22"/>
        </w:rPr>
        <w:t>i parla di convincimento "libero" del giudice</w:t>
      </w:r>
      <w:r w:rsidR="00CA6179">
        <w:rPr>
          <w:bCs/>
          <w:sz w:val="22"/>
          <w:szCs w:val="22"/>
        </w:rPr>
        <w:t xml:space="preserve"> </w:t>
      </w:r>
      <w:r w:rsidR="00CA6179" w:rsidRPr="007F7EBF">
        <w:rPr>
          <w:rStyle w:val="Rimandonotaapidipagina"/>
          <w:bCs/>
          <w:sz w:val="22"/>
          <w:szCs w:val="22"/>
        </w:rPr>
        <w:footnoteReference w:id="611"/>
      </w:r>
      <w:r>
        <w:rPr>
          <w:bCs/>
          <w:sz w:val="22"/>
          <w:szCs w:val="22"/>
        </w:rPr>
        <w:t xml:space="preserve">; </w:t>
      </w:r>
      <w:r w:rsidR="00C55019">
        <w:rPr>
          <w:bCs/>
          <w:sz w:val="22"/>
          <w:szCs w:val="22"/>
        </w:rPr>
        <w:t xml:space="preserve">il “conoscere” è infatti possibile anche </w:t>
      </w:r>
      <w:r>
        <w:rPr>
          <w:bCs/>
          <w:sz w:val="22"/>
          <w:szCs w:val="22"/>
        </w:rPr>
        <w:t xml:space="preserve">senza </w:t>
      </w:r>
      <w:r w:rsidR="00CA6179" w:rsidRPr="007F7EBF">
        <w:rPr>
          <w:bCs/>
          <w:sz w:val="22"/>
          <w:szCs w:val="22"/>
        </w:rPr>
        <w:t>criteri legislativi</w:t>
      </w:r>
      <w:r w:rsidR="00C55019">
        <w:rPr>
          <w:bCs/>
          <w:sz w:val="22"/>
          <w:szCs w:val="22"/>
        </w:rPr>
        <w:t>, né la legge ha alcun potere sul piano della “conoscenza</w:t>
      </w:r>
      <w:r w:rsidR="00CA591B">
        <w:rPr>
          <w:bCs/>
          <w:sz w:val="22"/>
          <w:szCs w:val="22"/>
        </w:rPr>
        <w:t xml:space="preserve"> empirica</w:t>
      </w:r>
      <w:r w:rsidR="00C55019">
        <w:rPr>
          <w:bCs/>
          <w:sz w:val="22"/>
          <w:szCs w:val="22"/>
        </w:rPr>
        <w:t>”</w:t>
      </w:r>
      <w:r>
        <w:rPr>
          <w:bCs/>
          <w:sz w:val="22"/>
          <w:szCs w:val="22"/>
        </w:rPr>
        <w:t xml:space="preserve">; </w:t>
      </w:r>
      <w:r w:rsidR="000E086E">
        <w:rPr>
          <w:bCs/>
          <w:sz w:val="22"/>
          <w:szCs w:val="22"/>
        </w:rPr>
        <w:t>s</w:t>
      </w:r>
      <w:r w:rsidR="00CA591B">
        <w:rPr>
          <w:bCs/>
          <w:sz w:val="22"/>
          <w:szCs w:val="22"/>
        </w:rPr>
        <w:t>u quest’ultima</w:t>
      </w:r>
      <w:r w:rsidR="000E086E">
        <w:rPr>
          <w:bCs/>
          <w:sz w:val="22"/>
          <w:szCs w:val="22"/>
        </w:rPr>
        <w:t xml:space="preserve">, presupponendola e in parte </w:t>
      </w:r>
      <w:r>
        <w:rPr>
          <w:bCs/>
          <w:sz w:val="22"/>
          <w:szCs w:val="22"/>
        </w:rPr>
        <w:t>condizionandol</w:t>
      </w:r>
      <w:r w:rsidR="000E086E">
        <w:rPr>
          <w:bCs/>
          <w:sz w:val="22"/>
          <w:szCs w:val="22"/>
        </w:rPr>
        <w:t xml:space="preserve">a a determinati fini “tecnico-giuridici”, possono inserirsi </w:t>
      </w:r>
      <w:r>
        <w:rPr>
          <w:bCs/>
          <w:sz w:val="22"/>
          <w:szCs w:val="22"/>
        </w:rPr>
        <w:t>le c.d. “prove legali”</w:t>
      </w:r>
      <w:r w:rsidR="00CA6179">
        <w:rPr>
          <w:bCs/>
          <w:sz w:val="22"/>
          <w:szCs w:val="22"/>
        </w:rPr>
        <w:t xml:space="preserve">; </w:t>
      </w:r>
      <w:r>
        <w:rPr>
          <w:bCs/>
          <w:sz w:val="22"/>
          <w:szCs w:val="22"/>
        </w:rPr>
        <w:t xml:space="preserve">esse </w:t>
      </w:r>
      <w:r w:rsidR="002A3C88">
        <w:rPr>
          <w:bCs/>
          <w:sz w:val="22"/>
          <w:szCs w:val="22"/>
        </w:rPr>
        <w:t xml:space="preserve">vincolano la conoscenza empirica, imponendo di accettare certe affermazioni fattuali. </w:t>
      </w:r>
      <w:r w:rsidR="002A3C88">
        <w:rPr>
          <w:sz w:val="22"/>
          <w:szCs w:val="22"/>
        </w:rPr>
        <w:t xml:space="preserve">La </w:t>
      </w:r>
      <w:r w:rsidR="002A3C88" w:rsidRPr="007F7EBF">
        <w:rPr>
          <w:bCs/>
          <w:sz w:val="22"/>
          <w:szCs w:val="22"/>
        </w:rPr>
        <w:t xml:space="preserve">prova “legale” </w:t>
      </w:r>
      <w:r w:rsidR="002A3C88" w:rsidRPr="007F7EBF">
        <w:rPr>
          <w:sz w:val="22"/>
          <w:szCs w:val="22"/>
        </w:rPr>
        <w:t xml:space="preserve">non </w:t>
      </w:r>
      <w:r w:rsidR="002A3C88">
        <w:rPr>
          <w:sz w:val="22"/>
          <w:szCs w:val="22"/>
        </w:rPr>
        <w:t>va</w:t>
      </w:r>
      <w:r w:rsidR="002A3C88" w:rsidRPr="007F7EBF">
        <w:rPr>
          <w:sz w:val="22"/>
          <w:szCs w:val="22"/>
        </w:rPr>
        <w:t xml:space="preserve"> ovviamente contrappost</w:t>
      </w:r>
      <w:r w:rsidR="002A3C88">
        <w:rPr>
          <w:sz w:val="22"/>
          <w:szCs w:val="22"/>
        </w:rPr>
        <w:t>a</w:t>
      </w:r>
      <w:r w:rsidR="002A3C88" w:rsidRPr="007F7EBF">
        <w:rPr>
          <w:sz w:val="22"/>
          <w:szCs w:val="22"/>
        </w:rPr>
        <w:t xml:space="preserve"> a una </w:t>
      </w:r>
      <w:r w:rsidR="002A3C88" w:rsidRPr="007F7EBF">
        <w:rPr>
          <w:bCs/>
          <w:sz w:val="22"/>
          <w:szCs w:val="22"/>
        </w:rPr>
        <w:t xml:space="preserve">fantomatica “prova illegale”, </w:t>
      </w:r>
      <w:r w:rsidR="002A3C88" w:rsidRPr="007F7EBF">
        <w:rPr>
          <w:sz w:val="22"/>
          <w:szCs w:val="22"/>
        </w:rPr>
        <w:t xml:space="preserve">ma al suddetto ordinario empirismo probabilistico, </w:t>
      </w:r>
      <w:r w:rsidR="002A3C88">
        <w:rPr>
          <w:sz w:val="22"/>
          <w:szCs w:val="22"/>
        </w:rPr>
        <w:t>che pur sempre ne costituisce la cornice(</w:t>
      </w:r>
      <w:r w:rsidR="002A3C88" w:rsidRPr="007F7EBF">
        <w:rPr>
          <w:rStyle w:val="Rimandonotaapidipagina"/>
          <w:sz w:val="22"/>
          <w:szCs w:val="22"/>
        </w:rPr>
        <w:footnoteReference w:id="612"/>
      </w:r>
      <w:r w:rsidR="002A3C88">
        <w:rPr>
          <w:sz w:val="22"/>
          <w:szCs w:val="22"/>
        </w:rPr>
        <w:t>)</w:t>
      </w:r>
      <w:r w:rsidR="002A3C88">
        <w:rPr>
          <w:bCs/>
          <w:sz w:val="22"/>
          <w:szCs w:val="22"/>
        </w:rPr>
        <w:t xml:space="preserve">. Esempi classici sono </w:t>
      </w:r>
      <w:r w:rsidR="00CA6179">
        <w:rPr>
          <w:sz w:val="22"/>
          <w:szCs w:val="22"/>
        </w:rPr>
        <w:t xml:space="preserve">l’attestazione di </w:t>
      </w:r>
      <w:r w:rsidR="00CA6179" w:rsidRPr="007F7EBF">
        <w:rPr>
          <w:sz w:val="22"/>
          <w:szCs w:val="22"/>
        </w:rPr>
        <w:t xml:space="preserve">pubblici ufficiali </w:t>
      </w:r>
      <w:r w:rsidR="00CA6179">
        <w:rPr>
          <w:sz w:val="22"/>
          <w:szCs w:val="22"/>
        </w:rPr>
        <w:t xml:space="preserve">sui fatti avvenuti in loro presenza </w:t>
      </w:r>
      <w:r w:rsidR="00CA6179" w:rsidRPr="007F7EBF">
        <w:rPr>
          <w:sz w:val="22"/>
          <w:szCs w:val="22"/>
        </w:rPr>
        <w:t>(</w:t>
      </w:r>
      <w:r w:rsidR="00CA6179" w:rsidRPr="007F7EBF">
        <w:rPr>
          <w:rStyle w:val="Rimandonotaapidipagina"/>
          <w:sz w:val="22"/>
          <w:szCs w:val="22"/>
        </w:rPr>
        <w:footnoteReference w:id="613"/>
      </w:r>
      <w:r w:rsidR="00CA6179" w:rsidRPr="007F7EBF">
        <w:rPr>
          <w:sz w:val="22"/>
          <w:szCs w:val="22"/>
        </w:rPr>
        <w:t>)</w:t>
      </w:r>
      <w:r w:rsidR="00CA6179">
        <w:rPr>
          <w:sz w:val="22"/>
          <w:szCs w:val="22"/>
        </w:rPr>
        <w:t>,</w:t>
      </w:r>
      <w:r w:rsidR="002A3C88">
        <w:rPr>
          <w:sz w:val="22"/>
          <w:szCs w:val="22"/>
        </w:rPr>
        <w:t xml:space="preserve"> </w:t>
      </w:r>
      <w:r w:rsidR="00CA6179" w:rsidRPr="007F7EBF">
        <w:rPr>
          <w:sz w:val="22"/>
          <w:szCs w:val="22"/>
        </w:rPr>
        <w:t>la confessione, la non contestazione processuale</w:t>
      </w:r>
      <w:r w:rsidR="002A3C88">
        <w:rPr>
          <w:sz w:val="22"/>
          <w:szCs w:val="22"/>
        </w:rPr>
        <w:t>,</w:t>
      </w:r>
      <w:r w:rsidR="00CA6179" w:rsidRPr="007F7EBF">
        <w:rPr>
          <w:sz w:val="22"/>
          <w:szCs w:val="22"/>
        </w:rPr>
        <w:t xml:space="preserve"> il divieto di considerare circostanze o documenti in quanto non esibiti in determinati tempi e luoghi. </w:t>
      </w:r>
      <w:r w:rsidR="002A3C88">
        <w:rPr>
          <w:sz w:val="22"/>
          <w:szCs w:val="22"/>
        </w:rPr>
        <w:t xml:space="preserve">Ci sono poi </w:t>
      </w:r>
      <w:r w:rsidR="002A3C88" w:rsidRPr="007F7EBF">
        <w:rPr>
          <w:sz w:val="22"/>
          <w:szCs w:val="22"/>
        </w:rPr>
        <w:lastRenderedPageBreak/>
        <w:t>le presunzioni legali, in cui dati certi fatti se ne presumono altri salvo prova contraria</w:t>
      </w:r>
      <w:r w:rsidR="007159A0">
        <w:rPr>
          <w:sz w:val="22"/>
          <w:szCs w:val="22"/>
        </w:rPr>
        <w:t xml:space="preserve">. </w:t>
      </w:r>
      <w:r w:rsidR="007159A0">
        <w:t>Per riflessi di “prova legale” sulla dimostrazione delle astrazioni economiche di cui al par.1.8 cfr. pa</w:t>
      </w:r>
      <w:r w:rsidR="007159A0">
        <w:rPr>
          <w:sz w:val="22"/>
          <w:szCs w:val="22"/>
        </w:rPr>
        <w:t>r.5.13 sugli studi di settore, il par. 5.14 sulla presunzione di reddito in base alla spesa e par. 5.16 sul valore presuntivo dei versamenti bancari</w:t>
      </w:r>
      <w:r w:rsidR="002A3C88">
        <w:rPr>
          <w:sz w:val="22"/>
          <w:szCs w:val="22"/>
        </w:rPr>
        <w:t xml:space="preserve">. </w:t>
      </w:r>
    </w:p>
    <w:bookmarkEnd w:id="65"/>
    <w:p w14:paraId="023A56D9" w14:textId="61FAA9EA" w:rsidR="00A04D4F" w:rsidRPr="00A8307D" w:rsidRDefault="00A04D4F" w:rsidP="00A8307D">
      <w:pPr>
        <w:autoSpaceDE w:val="0"/>
        <w:autoSpaceDN w:val="0"/>
        <w:adjustRightInd w:val="0"/>
        <w:rPr>
          <w:sz w:val="22"/>
          <w:szCs w:val="22"/>
        </w:rPr>
      </w:pPr>
    </w:p>
    <w:p w14:paraId="29AC02B3" w14:textId="093ED111" w:rsidR="00B57859" w:rsidRPr="007F7EBF" w:rsidRDefault="006342C5" w:rsidP="00D756EA">
      <w:pPr>
        <w:pStyle w:val="Titolo3"/>
        <w:rPr>
          <w:sz w:val="22"/>
          <w:szCs w:val="22"/>
        </w:rPr>
      </w:pPr>
      <w:bookmarkStart w:id="66" w:name="_Toc63364981"/>
      <w:r w:rsidRPr="007F7EBF">
        <w:rPr>
          <w:rFonts w:ascii="Times New Roman" w:hAnsi="Times New Roman"/>
          <w:sz w:val="22"/>
          <w:szCs w:val="22"/>
        </w:rPr>
        <w:t xml:space="preserve">5.9. </w:t>
      </w:r>
      <w:r w:rsidRPr="007F7EBF">
        <w:rPr>
          <w:rFonts w:ascii="Times New Roman" w:hAnsi="Times New Roman"/>
          <w:i/>
          <w:iCs/>
          <w:sz w:val="22"/>
          <w:szCs w:val="22"/>
        </w:rPr>
        <w:t>Segue</w:t>
      </w:r>
      <w:r w:rsidRPr="007F7EBF">
        <w:rPr>
          <w:rFonts w:ascii="Times New Roman" w:hAnsi="Times New Roman"/>
          <w:sz w:val="22"/>
          <w:szCs w:val="22"/>
        </w:rPr>
        <w:t>:</w:t>
      </w:r>
      <w:r w:rsidR="00225A0E" w:rsidRPr="007F7EBF">
        <w:rPr>
          <w:rFonts w:ascii="Times New Roman" w:hAnsi="Times New Roman"/>
          <w:sz w:val="22"/>
          <w:szCs w:val="22"/>
          <w:lang w:val="it-IT"/>
        </w:rPr>
        <w:t xml:space="preserve"> </w:t>
      </w:r>
      <w:r w:rsidR="00C5343D">
        <w:rPr>
          <w:rFonts w:ascii="Times New Roman" w:hAnsi="Times New Roman"/>
          <w:sz w:val="22"/>
          <w:szCs w:val="22"/>
          <w:lang w:val="it-IT"/>
        </w:rPr>
        <w:t>Aumento dei parametri di stima</w:t>
      </w:r>
      <w:r w:rsidR="00D756EA">
        <w:rPr>
          <w:rFonts w:ascii="Times New Roman" w:hAnsi="Times New Roman"/>
          <w:sz w:val="22"/>
          <w:szCs w:val="22"/>
          <w:lang w:val="it-IT"/>
        </w:rPr>
        <w:t xml:space="preserve"> per via degli “</w:t>
      </w:r>
      <w:r w:rsidR="006968E5" w:rsidRPr="007F7EBF">
        <w:rPr>
          <w:rFonts w:ascii="Times New Roman" w:hAnsi="Times New Roman"/>
          <w:sz w:val="22"/>
          <w:szCs w:val="22"/>
          <w:lang w:val="it-IT"/>
        </w:rPr>
        <w:t>indizi contabili</w:t>
      </w:r>
      <w:r w:rsidR="00D756EA">
        <w:rPr>
          <w:rFonts w:ascii="Times New Roman" w:hAnsi="Times New Roman"/>
          <w:sz w:val="22"/>
          <w:szCs w:val="22"/>
          <w:lang w:val="it-IT"/>
        </w:rPr>
        <w:t>” e necessità di loro contestualizzazione</w:t>
      </w:r>
      <w:bookmarkEnd w:id="66"/>
    </w:p>
    <w:p w14:paraId="46F044D9" w14:textId="5B453194" w:rsidR="00B57859" w:rsidRPr="007F7EBF" w:rsidRDefault="009F41FE" w:rsidP="00B57859">
      <w:pPr>
        <w:pStyle w:val="tit23"/>
        <w:ind w:left="6464" w:right="-1361" w:firstLine="0"/>
        <w:jc w:val="left"/>
        <w:rPr>
          <w:bCs/>
          <w:i/>
          <w:iCs/>
          <w:color w:val="0000FF"/>
          <w:lang w:val="it-IT"/>
        </w:rPr>
      </w:pPr>
      <w:r>
        <w:rPr>
          <w:bCs/>
          <w:i/>
          <w:iCs/>
          <w:color w:val="0000FF"/>
          <w:lang w:val="it-IT"/>
        </w:rPr>
        <w:t>Limitata analiticità dei controlli</w:t>
      </w:r>
    </w:p>
    <w:p w14:paraId="60E071E1" w14:textId="774EEAFF" w:rsidR="0042612E" w:rsidRPr="007F7EBF" w:rsidRDefault="009235EC" w:rsidP="0042612E">
      <w:pPr>
        <w:autoSpaceDE w:val="0"/>
        <w:autoSpaceDN w:val="0"/>
        <w:adjustRightInd w:val="0"/>
        <w:rPr>
          <w:b/>
          <w:bCs/>
          <w:i/>
          <w:iCs/>
          <w:color w:val="0000FF"/>
          <w:sz w:val="22"/>
          <w:szCs w:val="22"/>
        </w:rPr>
      </w:pPr>
      <w:r>
        <w:rPr>
          <w:sz w:val="22"/>
          <w:szCs w:val="22"/>
        </w:rPr>
        <w:t xml:space="preserve">L’empirismo </w:t>
      </w:r>
      <w:r w:rsidR="00B05F5B" w:rsidRPr="007F7EBF">
        <w:rPr>
          <w:sz w:val="22"/>
          <w:szCs w:val="22"/>
        </w:rPr>
        <w:t>probabilistico</w:t>
      </w:r>
      <w:r w:rsidR="004A6FC1">
        <w:rPr>
          <w:sz w:val="22"/>
          <w:szCs w:val="22"/>
        </w:rPr>
        <w:t xml:space="preserve">-valutativo </w:t>
      </w:r>
      <w:r w:rsidR="00B05F5B" w:rsidRPr="007F7EBF">
        <w:rPr>
          <w:sz w:val="22"/>
          <w:szCs w:val="22"/>
        </w:rPr>
        <w:t>del</w:t>
      </w:r>
      <w:r w:rsidR="0092420C" w:rsidRPr="007F7EBF">
        <w:rPr>
          <w:sz w:val="22"/>
          <w:szCs w:val="22"/>
        </w:rPr>
        <w:t xml:space="preserve"> giudizio di fatto</w:t>
      </w:r>
      <w:r>
        <w:rPr>
          <w:sz w:val="22"/>
          <w:szCs w:val="22"/>
        </w:rPr>
        <w:t xml:space="preserve"> (paragrafo precedente) </w:t>
      </w:r>
      <w:r w:rsidR="00DC1FF4">
        <w:rPr>
          <w:sz w:val="22"/>
          <w:szCs w:val="22"/>
        </w:rPr>
        <w:t xml:space="preserve">conferma che la determinazione </w:t>
      </w:r>
      <w:r w:rsidR="004A6FC1">
        <w:rPr>
          <w:sz w:val="22"/>
          <w:szCs w:val="22"/>
        </w:rPr>
        <w:t xml:space="preserve">documentale e </w:t>
      </w:r>
      <w:r w:rsidR="00DC1FF4">
        <w:rPr>
          <w:sz w:val="22"/>
          <w:szCs w:val="22"/>
        </w:rPr>
        <w:t xml:space="preserve">contabile degli imponibili </w:t>
      </w:r>
      <w:r w:rsidR="004A6FC1">
        <w:rPr>
          <w:sz w:val="22"/>
          <w:szCs w:val="22"/>
        </w:rPr>
        <w:t xml:space="preserve">non è </w:t>
      </w:r>
      <w:r w:rsidR="004A6FC1">
        <w:rPr>
          <w:i/>
          <w:iCs/>
          <w:sz w:val="22"/>
          <w:szCs w:val="22"/>
        </w:rPr>
        <w:t>esportabile</w:t>
      </w:r>
      <w:r w:rsidR="004A6FC1">
        <w:rPr>
          <w:sz w:val="22"/>
          <w:szCs w:val="22"/>
        </w:rPr>
        <w:t xml:space="preserve">, fuori delle strutture pluripersonali organizzate; </w:t>
      </w:r>
      <w:r w:rsidR="00DC1FF4">
        <w:rPr>
          <w:sz w:val="22"/>
          <w:szCs w:val="22"/>
        </w:rPr>
        <w:t xml:space="preserve"> </w:t>
      </w:r>
      <w:r w:rsidR="004A6FC1">
        <w:rPr>
          <w:sz w:val="22"/>
          <w:szCs w:val="22"/>
        </w:rPr>
        <w:t xml:space="preserve">l’aspetto </w:t>
      </w:r>
      <w:r w:rsidR="007C6C52">
        <w:rPr>
          <w:sz w:val="22"/>
          <w:szCs w:val="22"/>
        </w:rPr>
        <w:t xml:space="preserve">più velleitario di questa determinazione contabile </w:t>
      </w:r>
      <w:r w:rsidR="004A6FC1">
        <w:rPr>
          <w:sz w:val="22"/>
          <w:szCs w:val="22"/>
        </w:rPr>
        <w:t xml:space="preserve"> </w:t>
      </w:r>
      <w:r w:rsidR="0042731F">
        <w:rPr>
          <w:sz w:val="22"/>
          <w:szCs w:val="22"/>
        </w:rPr>
        <w:t>senza le relative condizioni (par.3.13 e 4.5) è</w:t>
      </w:r>
      <w:r w:rsidR="00D9722F">
        <w:rPr>
          <w:sz w:val="22"/>
          <w:szCs w:val="22"/>
        </w:rPr>
        <w:t xml:space="preserve"> quello secondo cui </w:t>
      </w:r>
      <w:r w:rsidR="0042731F">
        <w:rPr>
          <w:sz w:val="22"/>
          <w:szCs w:val="22"/>
        </w:rPr>
        <w:t xml:space="preserve">i controlli </w:t>
      </w:r>
      <w:r w:rsidR="00D9722F">
        <w:rPr>
          <w:sz w:val="22"/>
          <w:szCs w:val="22"/>
        </w:rPr>
        <w:t>de</w:t>
      </w:r>
      <w:r w:rsidR="0042731F">
        <w:rPr>
          <w:sz w:val="22"/>
          <w:szCs w:val="22"/>
        </w:rPr>
        <w:t xml:space="preserve">gli uffici tributari </w:t>
      </w:r>
      <w:r w:rsidR="00E00FD4">
        <w:rPr>
          <w:sz w:val="22"/>
          <w:szCs w:val="22"/>
        </w:rPr>
        <w:t>dovrebbero</w:t>
      </w:r>
      <w:r w:rsidR="0042731F">
        <w:rPr>
          <w:sz w:val="22"/>
          <w:szCs w:val="22"/>
        </w:rPr>
        <w:t xml:space="preserve"> determinare in modo documentale e contabile </w:t>
      </w:r>
      <w:r w:rsidR="00E00FD4">
        <w:rPr>
          <w:sz w:val="22"/>
          <w:szCs w:val="22"/>
        </w:rPr>
        <w:t xml:space="preserve">le singole operazioni non registrate da </w:t>
      </w:r>
      <w:r w:rsidR="0042731F">
        <w:rPr>
          <w:sz w:val="22"/>
          <w:szCs w:val="22"/>
        </w:rPr>
        <w:t xml:space="preserve">piccoli commerciati, artigiani etc. </w:t>
      </w:r>
      <w:r w:rsidR="004A6FC1">
        <w:rPr>
          <w:sz w:val="22"/>
          <w:szCs w:val="22"/>
        </w:rPr>
        <w:t xml:space="preserve">Basta pensare alla </w:t>
      </w:r>
      <w:r w:rsidR="0042731F">
        <w:rPr>
          <w:sz w:val="22"/>
          <w:szCs w:val="22"/>
        </w:rPr>
        <w:t>difficoltà di organizzare e classificare i dati, da parte de</w:t>
      </w:r>
      <w:r w:rsidR="004A6FC1" w:rsidRPr="007F7EBF">
        <w:rPr>
          <w:sz w:val="22"/>
          <w:szCs w:val="22"/>
        </w:rPr>
        <w:t>gli stessi contabili dell'azienda</w:t>
      </w:r>
      <w:r w:rsidR="004A6FC1">
        <w:rPr>
          <w:sz w:val="22"/>
          <w:szCs w:val="22"/>
        </w:rPr>
        <w:t>,</w:t>
      </w:r>
      <w:r w:rsidR="004A6FC1" w:rsidRPr="007F7EBF">
        <w:rPr>
          <w:sz w:val="22"/>
          <w:szCs w:val="22"/>
        </w:rPr>
        <w:t xml:space="preserve"> </w:t>
      </w:r>
      <w:r w:rsidR="004A6FC1">
        <w:rPr>
          <w:sz w:val="22"/>
          <w:szCs w:val="22"/>
        </w:rPr>
        <w:t xml:space="preserve">per capire l’impossibilità di </w:t>
      </w:r>
      <w:r w:rsidR="00E00FD4">
        <w:rPr>
          <w:sz w:val="22"/>
          <w:szCs w:val="22"/>
        </w:rPr>
        <w:t xml:space="preserve">simili </w:t>
      </w:r>
      <w:r w:rsidR="004A6FC1">
        <w:rPr>
          <w:sz w:val="22"/>
          <w:szCs w:val="22"/>
        </w:rPr>
        <w:t xml:space="preserve">ricostruzioni </w:t>
      </w:r>
      <w:r w:rsidR="00E00FD4">
        <w:rPr>
          <w:sz w:val="22"/>
          <w:szCs w:val="22"/>
        </w:rPr>
        <w:t>analitiche</w:t>
      </w:r>
      <w:r w:rsidR="004A6FC1">
        <w:rPr>
          <w:sz w:val="22"/>
          <w:szCs w:val="22"/>
        </w:rPr>
        <w:t>, da parte degli uffici tributari</w:t>
      </w:r>
      <w:r w:rsidR="0042731F">
        <w:rPr>
          <w:sz w:val="22"/>
          <w:szCs w:val="22"/>
        </w:rPr>
        <w:t xml:space="preserve">. </w:t>
      </w:r>
      <w:r w:rsidR="00E00FD4">
        <w:rPr>
          <w:sz w:val="22"/>
          <w:szCs w:val="22"/>
        </w:rPr>
        <w:t xml:space="preserve">E’ infatti solo un raro caso fortuito il rinvenimento casuale, durante le ispezioni di cui al par.5.6, di tracce documentali, </w:t>
      </w:r>
      <w:r w:rsidR="00E00FD4" w:rsidRPr="007F7EBF">
        <w:rPr>
          <w:bCs/>
          <w:sz w:val="22"/>
          <w:szCs w:val="22"/>
        </w:rPr>
        <w:t xml:space="preserve"> </w:t>
      </w:r>
      <w:r w:rsidR="00E00FD4">
        <w:rPr>
          <w:bCs/>
          <w:sz w:val="22"/>
          <w:szCs w:val="22"/>
        </w:rPr>
        <w:t xml:space="preserve">non registrate nella contabilità ufficiale, che </w:t>
      </w:r>
      <w:r w:rsidR="00E00FD4">
        <w:rPr>
          <w:sz w:val="22"/>
          <w:szCs w:val="22"/>
        </w:rPr>
        <w:t xml:space="preserve">il contribuente si riprometteva di distruggere quando non più necessarie; </w:t>
      </w:r>
      <w:r w:rsidR="00E00FD4">
        <w:t xml:space="preserve">si tratta infatti di </w:t>
      </w:r>
      <w:r w:rsidR="00E00FD4" w:rsidRPr="007F7EBF">
        <w:t xml:space="preserve">annotazioni </w:t>
      </w:r>
      <w:r w:rsidR="00E00FD4">
        <w:t xml:space="preserve"> informali e </w:t>
      </w:r>
      <w:r w:rsidR="00E00FD4" w:rsidRPr="007F7EBF">
        <w:t>fram</w:t>
      </w:r>
      <w:r w:rsidR="00E00FD4" w:rsidRPr="00824276">
        <w:t>mentarie, per memoria, interpretabili solo da chi le ha redatte, ed impropriamente chiamate talvolta</w:t>
      </w:r>
      <w:r w:rsidR="00E00FD4" w:rsidRPr="00824276">
        <w:rPr>
          <w:sz w:val="22"/>
          <w:szCs w:val="22"/>
        </w:rPr>
        <w:t xml:space="preserve"> </w:t>
      </w:r>
      <w:r w:rsidR="00E00FD4" w:rsidRPr="00824276">
        <w:t>contabilità nera, come fosse la versione occulta della contabilità bianca, con paragonabile precisione ragionieristica.</w:t>
      </w:r>
      <w:r w:rsidR="00E00FD4">
        <w:t xml:space="preserve">  </w:t>
      </w:r>
    </w:p>
    <w:p w14:paraId="1D7DAA6B" w14:textId="2E8DAD3D" w:rsidR="0042612E" w:rsidRPr="007F7EBF" w:rsidRDefault="00D74303" w:rsidP="0042612E">
      <w:pPr>
        <w:pStyle w:val="tit23"/>
        <w:ind w:left="6464" w:right="-1361" w:firstLine="0"/>
        <w:jc w:val="left"/>
        <w:rPr>
          <w:bCs/>
          <w:i/>
          <w:iCs/>
          <w:color w:val="0000FF"/>
          <w:lang w:val="it-IT"/>
        </w:rPr>
      </w:pPr>
      <w:r>
        <w:rPr>
          <w:bCs/>
          <w:i/>
          <w:iCs/>
          <w:color w:val="0000FF"/>
          <w:lang w:val="it-IT"/>
        </w:rPr>
        <w:t>Dimostra</w:t>
      </w:r>
      <w:r w:rsidR="006318C9">
        <w:rPr>
          <w:bCs/>
          <w:i/>
          <w:iCs/>
          <w:color w:val="0000FF"/>
          <w:lang w:val="it-IT"/>
        </w:rPr>
        <w:t>bilità solo</w:t>
      </w:r>
      <w:r>
        <w:rPr>
          <w:bCs/>
          <w:i/>
          <w:iCs/>
          <w:color w:val="0000FF"/>
          <w:lang w:val="it-IT"/>
        </w:rPr>
        <w:t xml:space="preserve"> presuntiva degli imponibili evasi</w:t>
      </w:r>
    </w:p>
    <w:p w14:paraId="129CEABD" w14:textId="21C3266A" w:rsidR="009235EC" w:rsidRPr="007F7EBF" w:rsidRDefault="00DC1FF4" w:rsidP="009235EC">
      <w:pPr>
        <w:autoSpaceDE w:val="0"/>
        <w:autoSpaceDN w:val="0"/>
        <w:adjustRightInd w:val="0"/>
        <w:rPr>
          <w:sz w:val="22"/>
          <w:szCs w:val="22"/>
        </w:rPr>
      </w:pPr>
      <w:r>
        <w:rPr>
          <w:sz w:val="22"/>
          <w:szCs w:val="22"/>
        </w:rPr>
        <w:t xml:space="preserve">A parte occasionali documenti </w:t>
      </w:r>
      <w:r w:rsidR="003116C5">
        <w:rPr>
          <w:sz w:val="22"/>
          <w:szCs w:val="22"/>
        </w:rPr>
        <w:t xml:space="preserve">esaustivi o segnalazioni </w:t>
      </w:r>
      <w:r>
        <w:rPr>
          <w:sz w:val="22"/>
          <w:szCs w:val="22"/>
        </w:rPr>
        <w:t>specific</w:t>
      </w:r>
      <w:r w:rsidR="003116C5">
        <w:rPr>
          <w:sz w:val="22"/>
          <w:szCs w:val="22"/>
        </w:rPr>
        <w:t xml:space="preserve">he </w:t>
      </w:r>
      <w:r w:rsidR="009B33AF">
        <w:rPr>
          <w:sz w:val="22"/>
          <w:szCs w:val="22"/>
        </w:rPr>
        <w:t>(</w:t>
      </w:r>
      <w:r w:rsidR="009B33AF" w:rsidRPr="007F7EBF">
        <w:rPr>
          <w:rStyle w:val="Rimandonotaapidipagina"/>
          <w:sz w:val="22"/>
          <w:szCs w:val="22"/>
        </w:rPr>
        <w:footnoteReference w:id="614"/>
      </w:r>
      <w:r w:rsidR="009B33AF">
        <w:rPr>
          <w:sz w:val="22"/>
          <w:szCs w:val="22"/>
        </w:rPr>
        <w:t>)</w:t>
      </w:r>
      <w:r>
        <w:rPr>
          <w:sz w:val="22"/>
          <w:szCs w:val="22"/>
        </w:rPr>
        <w:t>, l</w:t>
      </w:r>
      <w:r w:rsidR="007A749B">
        <w:rPr>
          <w:sz w:val="22"/>
          <w:szCs w:val="22"/>
        </w:rPr>
        <w:t xml:space="preserve">a prova degli imponibili </w:t>
      </w:r>
      <w:r w:rsidR="009902F8">
        <w:rPr>
          <w:sz w:val="22"/>
          <w:szCs w:val="22"/>
        </w:rPr>
        <w:t xml:space="preserve">occultati al fisco </w:t>
      </w:r>
      <w:r>
        <w:rPr>
          <w:sz w:val="22"/>
          <w:szCs w:val="22"/>
        </w:rPr>
        <w:t xml:space="preserve">sarà quindi normalmente </w:t>
      </w:r>
      <w:r w:rsidR="004D7D20" w:rsidRPr="007F7EBF">
        <w:rPr>
          <w:sz w:val="22"/>
          <w:szCs w:val="22"/>
        </w:rPr>
        <w:lastRenderedPageBreak/>
        <w:t>presuntiv</w:t>
      </w:r>
      <w:r w:rsidR="007A749B">
        <w:rPr>
          <w:sz w:val="22"/>
          <w:szCs w:val="22"/>
        </w:rPr>
        <w:t>a</w:t>
      </w:r>
      <w:r w:rsidR="009902F8">
        <w:rPr>
          <w:sz w:val="22"/>
          <w:szCs w:val="22"/>
        </w:rPr>
        <w:t xml:space="preserve">, </w:t>
      </w:r>
      <w:r w:rsidR="009235EC">
        <w:rPr>
          <w:sz w:val="22"/>
          <w:szCs w:val="22"/>
        </w:rPr>
        <w:t xml:space="preserve">secondo valutazioni </w:t>
      </w:r>
      <w:r w:rsidR="009902F8">
        <w:rPr>
          <w:sz w:val="22"/>
          <w:szCs w:val="22"/>
        </w:rPr>
        <w:t xml:space="preserve">per </w:t>
      </w:r>
      <w:r w:rsidR="004D7D20" w:rsidRPr="007F7EBF">
        <w:rPr>
          <w:sz w:val="22"/>
          <w:szCs w:val="22"/>
        </w:rPr>
        <w:t>ordin</w:t>
      </w:r>
      <w:r w:rsidR="009902F8">
        <w:rPr>
          <w:sz w:val="22"/>
          <w:szCs w:val="22"/>
        </w:rPr>
        <w:t>i</w:t>
      </w:r>
      <w:r w:rsidR="004D7D20" w:rsidRPr="007F7EBF">
        <w:rPr>
          <w:sz w:val="22"/>
          <w:szCs w:val="22"/>
        </w:rPr>
        <w:t xml:space="preserve"> di grandezza</w:t>
      </w:r>
      <w:r w:rsidR="009B33AF">
        <w:rPr>
          <w:sz w:val="22"/>
          <w:szCs w:val="22"/>
        </w:rPr>
        <w:t>.</w:t>
      </w:r>
      <w:r w:rsidR="007A749B">
        <w:rPr>
          <w:sz w:val="22"/>
          <w:szCs w:val="22"/>
        </w:rPr>
        <w:t xml:space="preserve"> </w:t>
      </w:r>
      <w:r w:rsidR="00E00FD4">
        <w:t>Vedremo al par.5.12 che l</w:t>
      </w:r>
      <w:r w:rsidR="00E00FD4" w:rsidRPr="007F7EBF">
        <w:t xml:space="preserve">'idea stessa di </w:t>
      </w:r>
      <w:r w:rsidR="00E00FD4" w:rsidRPr="007F7EBF">
        <w:rPr>
          <w:bCs/>
        </w:rPr>
        <w:t>accertamento contabile” dei piccoli operatori al consumo finale</w:t>
      </w:r>
      <w:r w:rsidR="00E00FD4">
        <w:rPr>
          <w:bCs/>
        </w:rPr>
        <w:t xml:space="preserve"> è impraticabile</w:t>
      </w:r>
      <w:r w:rsidR="00E00FD4" w:rsidRPr="007F7EBF">
        <w:rPr>
          <w:bCs/>
        </w:rPr>
        <w:t xml:space="preserve">, </w:t>
      </w:r>
      <w:proofErr w:type="spellStart"/>
      <w:r w:rsidR="00E00FD4" w:rsidRPr="007F7EBF">
        <w:rPr>
          <w:bCs/>
        </w:rPr>
        <w:t>benchè</w:t>
      </w:r>
      <w:proofErr w:type="spellEnd"/>
      <w:r w:rsidR="00E00FD4" w:rsidRPr="007F7EBF">
        <w:rPr>
          <w:bCs/>
        </w:rPr>
        <w:t xml:space="preserve"> </w:t>
      </w:r>
      <w:r w:rsidR="001A55AD">
        <w:rPr>
          <w:bCs/>
        </w:rPr>
        <w:t>n</w:t>
      </w:r>
      <w:r w:rsidR="00E00FD4" w:rsidRPr="007F7EBF">
        <w:rPr>
          <w:bCs/>
        </w:rPr>
        <w:t xml:space="preserve">ormativamente presupposta </w:t>
      </w:r>
      <w:r w:rsidR="00E00FD4">
        <w:rPr>
          <w:bCs/>
        </w:rPr>
        <w:t>ne</w:t>
      </w:r>
      <w:r w:rsidR="00E00FD4" w:rsidRPr="007F7EBF">
        <w:t>ll'illusione de</w:t>
      </w:r>
      <w:r w:rsidR="00E00FD4" w:rsidRPr="00824276">
        <w:t>lla</w:t>
      </w:r>
      <w:r w:rsidR="001A55AD">
        <w:t xml:space="preserve"> </w:t>
      </w:r>
      <w:proofErr w:type="spellStart"/>
      <w:r w:rsidR="00E00FD4" w:rsidRPr="00824276">
        <w:t>ragionierizzazione</w:t>
      </w:r>
      <w:proofErr w:type="spellEnd"/>
      <w:r w:rsidR="00E00FD4" w:rsidRPr="00824276">
        <w:t>" di cui ai parr.3.13 e 4.5.</w:t>
      </w:r>
      <w:r w:rsidR="00824276" w:rsidRPr="00824276">
        <w:t xml:space="preserve"> </w:t>
      </w:r>
      <w:r w:rsidR="00634A0D" w:rsidRPr="00824276">
        <w:t xml:space="preserve">Restano </w:t>
      </w:r>
      <w:r w:rsidR="00447BB9" w:rsidRPr="00824276">
        <w:t xml:space="preserve">ovviamente “analitiche” le contestazioni su questioni di diritto, cioè sul regime giuridico di elementi dichiarati, come spiegato ai parr.3.9 </w:t>
      </w:r>
      <w:proofErr w:type="spellStart"/>
      <w:r w:rsidR="00447BB9" w:rsidRPr="00824276">
        <w:t>ss</w:t>
      </w:r>
      <w:proofErr w:type="spellEnd"/>
      <w:r w:rsidR="00447BB9" w:rsidRPr="00824276">
        <w:t>, e ripreso ai par.5.17 ss.</w:t>
      </w:r>
    </w:p>
    <w:p w14:paraId="52781DC6" w14:textId="4FB4E1D6" w:rsidR="00791D80" w:rsidRPr="007F7EBF" w:rsidRDefault="00D74303" w:rsidP="00791D80">
      <w:pPr>
        <w:pStyle w:val="tit23"/>
        <w:ind w:left="6464" w:right="-1361" w:firstLine="0"/>
        <w:jc w:val="left"/>
        <w:rPr>
          <w:bCs/>
          <w:i/>
          <w:iCs/>
          <w:color w:val="0000FF"/>
          <w:lang w:val="it-IT"/>
        </w:rPr>
      </w:pPr>
      <w:r>
        <w:rPr>
          <w:bCs/>
          <w:i/>
          <w:iCs/>
          <w:color w:val="0000FF"/>
          <w:lang w:val="it-IT"/>
        </w:rPr>
        <w:t>Pluralità di indizi contabili e valutativi</w:t>
      </w:r>
    </w:p>
    <w:p w14:paraId="1D99C946" w14:textId="4E14D6EE" w:rsidR="00BD5F5C" w:rsidRDefault="00D162A9" w:rsidP="00BD5F5C">
      <w:r>
        <w:rPr>
          <w:sz w:val="22"/>
          <w:szCs w:val="22"/>
        </w:rPr>
        <w:t xml:space="preserve">Un assetto generale di </w:t>
      </w:r>
      <w:r w:rsidR="00634A0D">
        <w:rPr>
          <w:sz w:val="22"/>
          <w:szCs w:val="22"/>
        </w:rPr>
        <w:t xml:space="preserve">determinazione </w:t>
      </w:r>
      <w:proofErr w:type="spellStart"/>
      <w:r w:rsidR="00634A0D">
        <w:rPr>
          <w:sz w:val="22"/>
          <w:szCs w:val="22"/>
        </w:rPr>
        <w:t>documental</w:t>
      </w:r>
      <w:proofErr w:type="spellEnd"/>
      <w:r w:rsidR="00634A0D">
        <w:rPr>
          <w:sz w:val="22"/>
          <w:szCs w:val="22"/>
        </w:rPr>
        <w:t xml:space="preserve">-contabile </w:t>
      </w:r>
      <w:r>
        <w:rPr>
          <w:sz w:val="22"/>
          <w:szCs w:val="22"/>
        </w:rPr>
        <w:t xml:space="preserve">dei presupposti economici d’imposta </w:t>
      </w:r>
      <w:r w:rsidR="00585BF8">
        <w:rPr>
          <w:sz w:val="22"/>
          <w:szCs w:val="22"/>
        </w:rPr>
        <w:t xml:space="preserve">aumenta gli indizi per la stima anche di </w:t>
      </w:r>
      <w:r w:rsidR="007466C6">
        <w:rPr>
          <w:sz w:val="22"/>
          <w:szCs w:val="22"/>
        </w:rPr>
        <w:t xml:space="preserve">piccoli commercianti, artigiani e </w:t>
      </w:r>
      <w:r w:rsidR="00585BF8">
        <w:rPr>
          <w:sz w:val="22"/>
          <w:szCs w:val="22"/>
        </w:rPr>
        <w:t>micro-</w:t>
      </w:r>
      <w:r w:rsidR="007466C6">
        <w:rPr>
          <w:sz w:val="22"/>
          <w:szCs w:val="22"/>
        </w:rPr>
        <w:t>organizzazioni</w:t>
      </w:r>
      <w:r w:rsidR="00585BF8">
        <w:rPr>
          <w:sz w:val="22"/>
          <w:szCs w:val="22"/>
        </w:rPr>
        <w:t xml:space="preserve"> padronali. Abbiamo accennato al par.5.5 alle varie </w:t>
      </w:r>
      <w:r w:rsidR="00D869CC" w:rsidRPr="007F7EBF">
        <w:rPr>
          <w:sz w:val="22"/>
          <w:szCs w:val="22"/>
        </w:rPr>
        <w:t>banche dati</w:t>
      </w:r>
      <w:r w:rsidR="00D869CC">
        <w:rPr>
          <w:sz w:val="22"/>
          <w:szCs w:val="22"/>
        </w:rPr>
        <w:t xml:space="preserve"> disponibili per il controllo fiscale</w:t>
      </w:r>
      <w:r w:rsidR="00D869CC" w:rsidRPr="007F7EBF">
        <w:rPr>
          <w:sz w:val="22"/>
          <w:szCs w:val="22"/>
        </w:rPr>
        <w:t xml:space="preserve">, </w:t>
      </w:r>
      <w:r w:rsidR="00585BF8">
        <w:rPr>
          <w:sz w:val="22"/>
          <w:szCs w:val="22"/>
        </w:rPr>
        <w:t xml:space="preserve">di cui vedremo al par.5.16 l’inutilizzabilità in chiave ragionieristica; esse avrebbero però forte valenza presuntiva, affiancando alla determinazione documentale dei presupposti economici d’imposta quella valutativa, come unico strumento di perequazione tributaria possibile, nei termini di cui al par.5.7. </w:t>
      </w:r>
      <w:r w:rsidR="00B07560">
        <w:rPr>
          <w:sz w:val="22"/>
          <w:szCs w:val="22"/>
        </w:rPr>
        <w:t xml:space="preserve">Oltre al tenore di vita di cui al par.5.14 ricordiamo i versamenti bancari di cui al par.5.16, </w:t>
      </w:r>
      <w:r w:rsidR="00E00FD4">
        <w:rPr>
          <w:sz w:val="22"/>
          <w:szCs w:val="22"/>
        </w:rPr>
        <w:t xml:space="preserve">i ricavi segnalati da clienti strutturati, cioè le operazioni </w:t>
      </w:r>
      <w:r w:rsidR="00E00FD4" w:rsidRPr="00896FD1">
        <w:rPr>
          <w:i/>
          <w:sz w:val="22"/>
          <w:szCs w:val="22"/>
        </w:rPr>
        <w:t xml:space="preserve">b2b </w:t>
      </w:r>
      <w:r w:rsidR="00E00FD4">
        <w:rPr>
          <w:sz w:val="22"/>
          <w:szCs w:val="22"/>
        </w:rPr>
        <w:t>di cui al par.</w:t>
      </w:r>
      <w:r w:rsidR="00B07560">
        <w:rPr>
          <w:sz w:val="22"/>
          <w:szCs w:val="22"/>
        </w:rPr>
        <w:t>3.6 e 9.3 sul “contrasto di interessi”, gl</w:t>
      </w:r>
      <w:r w:rsidR="00E00FD4">
        <w:rPr>
          <w:sz w:val="22"/>
          <w:szCs w:val="22"/>
        </w:rPr>
        <w:t xml:space="preserve">i incassi in moneta elettronica, cioè il POS, </w:t>
      </w:r>
      <w:r w:rsidR="00BD5F5C">
        <w:rPr>
          <w:sz w:val="22"/>
          <w:szCs w:val="22"/>
        </w:rPr>
        <w:t>le utenze energetiche</w:t>
      </w:r>
      <w:r w:rsidR="00BD5F5C">
        <w:rPr>
          <w:rStyle w:val="Rimandonotaapidipagina"/>
          <w:sz w:val="22"/>
          <w:szCs w:val="22"/>
        </w:rPr>
        <w:footnoteReference w:id="615"/>
      </w:r>
      <w:r w:rsidR="00B07560">
        <w:rPr>
          <w:sz w:val="22"/>
          <w:szCs w:val="22"/>
        </w:rPr>
        <w:t xml:space="preserve">, </w:t>
      </w:r>
      <w:r w:rsidR="00E00FD4">
        <w:rPr>
          <w:sz w:val="22"/>
          <w:szCs w:val="22"/>
        </w:rPr>
        <w:t>la distribuzione giornaliera degli scontrini, fiscali</w:t>
      </w:r>
      <w:r w:rsidR="00B07560">
        <w:rPr>
          <w:sz w:val="22"/>
          <w:szCs w:val="22"/>
        </w:rPr>
        <w:t xml:space="preserve"> e altri indicati al par.5.13.</w:t>
      </w:r>
      <w:r w:rsidR="00BD5F5C">
        <w:rPr>
          <w:sz w:val="22"/>
          <w:szCs w:val="22"/>
        </w:rPr>
        <w:t xml:space="preserve"> </w:t>
      </w:r>
    </w:p>
    <w:p w14:paraId="3CDEF03C" w14:textId="2FCB43D8" w:rsidR="001A55AD" w:rsidRDefault="001A55AD" w:rsidP="00BD5F5C">
      <w:pPr>
        <w:pStyle w:val="Testonotaapidipagina"/>
        <w:rPr>
          <w:bCs/>
          <w:i/>
          <w:iCs/>
          <w:color w:val="0000FF"/>
          <w:sz w:val="22"/>
          <w:szCs w:val="22"/>
        </w:rPr>
      </w:pPr>
    </w:p>
    <w:p w14:paraId="0CD6D749" w14:textId="5D6B0B35" w:rsidR="003F49F3" w:rsidRDefault="00A85CFE" w:rsidP="00896FD1">
      <w:pPr>
        <w:autoSpaceDE w:val="0"/>
        <w:autoSpaceDN w:val="0"/>
        <w:adjustRightInd w:val="0"/>
        <w:rPr>
          <w:sz w:val="22"/>
          <w:szCs w:val="22"/>
        </w:rPr>
      </w:pPr>
      <w:r>
        <w:rPr>
          <w:sz w:val="22"/>
          <w:szCs w:val="22"/>
        </w:rPr>
        <w:t xml:space="preserve">  </w:t>
      </w:r>
    </w:p>
    <w:p w14:paraId="1E652D97" w14:textId="108229BC" w:rsidR="00EA1172" w:rsidRPr="007F7EBF" w:rsidRDefault="006318C9" w:rsidP="00EA1172">
      <w:pPr>
        <w:pStyle w:val="tit23"/>
        <w:ind w:left="6464" w:right="-1361" w:firstLine="0"/>
        <w:jc w:val="left"/>
        <w:rPr>
          <w:bCs/>
          <w:i/>
          <w:iCs/>
          <w:color w:val="0000FF"/>
          <w:lang w:val="it-IT"/>
        </w:rPr>
      </w:pPr>
      <w:r>
        <w:rPr>
          <w:bCs/>
          <w:i/>
          <w:iCs/>
          <w:color w:val="0000FF"/>
          <w:lang w:val="it-IT"/>
        </w:rPr>
        <w:t>Necessità di loro coordinamento</w:t>
      </w:r>
    </w:p>
    <w:p w14:paraId="6A44462C" w14:textId="5AD3C6F5" w:rsidR="00BD5F5C" w:rsidRDefault="00B07560" w:rsidP="003116C5">
      <w:pPr>
        <w:pStyle w:val="Testonotaapidipagina"/>
      </w:pPr>
      <w:r>
        <w:rPr>
          <w:sz w:val="22"/>
          <w:szCs w:val="22"/>
        </w:rPr>
        <w:t xml:space="preserve">Sono </w:t>
      </w:r>
      <w:r w:rsidR="00D869CC">
        <w:rPr>
          <w:sz w:val="22"/>
          <w:szCs w:val="22"/>
        </w:rPr>
        <w:t>strumenti presuntivi aggiuntivi rispetto ai t</w:t>
      </w:r>
      <w:r w:rsidR="003116C5">
        <w:rPr>
          <w:sz w:val="22"/>
          <w:szCs w:val="22"/>
        </w:rPr>
        <w:t>radizionali parametri di stima “valutativa”, economico-materiale, tipici della tradizione di cui al par.1.4</w:t>
      </w:r>
      <w:r>
        <w:t>, c</w:t>
      </w:r>
      <w:r w:rsidRPr="007F7EBF">
        <w:t xml:space="preserve">ome </w:t>
      </w:r>
      <w:r>
        <w:t>natura,</w:t>
      </w:r>
      <w:r w:rsidRPr="007F7EBF">
        <w:t xml:space="preserve"> </w:t>
      </w:r>
      <w:r>
        <w:t xml:space="preserve">caratteristiche, </w:t>
      </w:r>
      <w:r w:rsidRPr="007F7EBF">
        <w:rPr>
          <w:bCs/>
        </w:rPr>
        <w:t xml:space="preserve">dimensioni ed ubicazione </w:t>
      </w:r>
      <w:r>
        <w:rPr>
          <w:bCs/>
        </w:rPr>
        <w:t>dell’attività. In assenza di una “cultura della stima”, riflesso della mancata cultura della determinazione dei presupposti economici di imposta, l’aumento de</w:t>
      </w:r>
      <w:r w:rsidR="00A828E8">
        <w:rPr>
          <w:sz w:val="22"/>
          <w:szCs w:val="22"/>
        </w:rPr>
        <w:t xml:space="preserve">l numero </w:t>
      </w:r>
      <w:r w:rsidR="00A828E8">
        <w:rPr>
          <w:sz w:val="22"/>
          <w:szCs w:val="22"/>
        </w:rPr>
        <w:lastRenderedPageBreak/>
        <w:t xml:space="preserve">di indizi </w:t>
      </w:r>
      <w:r>
        <w:rPr>
          <w:sz w:val="22"/>
          <w:szCs w:val="22"/>
        </w:rPr>
        <w:t>è</w:t>
      </w:r>
      <w:r w:rsidR="00A828E8">
        <w:rPr>
          <w:sz w:val="22"/>
          <w:szCs w:val="22"/>
        </w:rPr>
        <w:t xml:space="preserve"> </w:t>
      </w:r>
      <w:r>
        <w:rPr>
          <w:sz w:val="22"/>
          <w:szCs w:val="22"/>
        </w:rPr>
        <w:t>controproducente. Esso mette infatti</w:t>
      </w:r>
      <w:r w:rsidR="00A828E8">
        <w:rPr>
          <w:sz w:val="22"/>
          <w:szCs w:val="22"/>
        </w:rPr>
        <w:t xml:space="preserve"> in imbarazzo gli uffici su quali </w:t>
      </w:r>
      <w:r>
        <w:rPr>
          <w:sz w:val="22"/>
          <w:szCs w:val="22"/>
        </w:rPr>
        <w:t xml:space="preserve">indizi </w:t>
      </w:r>
      <w:r w:rsidR="00A828E8">
        <w:rPr>
          <w:sz w:val="22"/>
          <w:szCs w:val="22"/>
        </w:rPr>
        <w:t xml:space="preserve">utilizzare, ostacolando </w:t>
      </w:r>
      <w:r>
        <w:rPr>
          <w:sz w:val="22"/>
          <w:szCs w:val="22"/>
        </w:rPr>
        <w:t xml:space="preserve">la </w:t>
      </w:r>
      <w:r w:rsidR="00890672">
        <w:rPr>
          <w:sz w:val="22"/>
          <w:szCs w:val="22"/>
        </w:rPr>
        <w:t>determinazion</w:t>
      </w:r>
      <w:r w:rsidR="00C247F1">
        <w:rPr>
          <w:sz w:val="22"/>
          <w:szCs w:val="22"/>
        </w:rPr>
        <w:t xml:space="preserve">e </w:t>
      </w:r>
      <w:r w:rsidR="00890672">
        <w:rPr>
          <w:sz w:val="22"/>
          <w:szCs w:val="22"/>
        </w:rPr>
        <w:t>valutativ</w:t>
      </w:r>
      <w:r w:rsidR="00C247F1">
        <w:rPr>
          <w:sz w:val="22"/>
          <w:szCs w:val="22"/>
        </w:rPr>
        <w:t>a</w:t>
      </w:r>
      <w:r w:rsidR="00A828E8">
        <w:rPr>
          <w:sz w:val="22"/>
          <w:szCs w:val="22"/>
        </w:rPr>
        <w:t xml:space="preserve"> dei presupposti economici d’imposta, secondo l’adagio </w:t>
      </w:r>
      <w:r w:rsidR="00A828E8" w:rsidRPr="00A828E8">
        <w:rPr>
          <w:i/>
          <w:iCs/>
          <w:sz w:val="22"/>
          <w:szCs w:val="22"/>
        </w:rPr>
        <w:t>troppi indizi nessun indizio</w:t>
      </w:r>
      <w:r w:rsidR="00BD5F5C">
        <w:rPr>
          <w:sz w:val="22"/>
          <w:szCs w:val="22"/>
        </w:rPr>
        <w:t xml:space="preserve">; senza dello schedario descrittivo permanente delle attività economiche (par.5.7), perseguendo un’impossibile determinazione documentale, quest’eccesso di informazioni crea per gli uffici solo una </w:t>
      </w:r>
      <w:r w:rsidR="00BD5F5C">
        <w:rPr>
          <w:i/>
          <w:sz w:val="22"/>
          <w:szCs w:val="22"/>
        </w:rPr>
        <w:t>paralisi da analisi</w:t>
      </w:r>
      <w:r w:rsidR="00BD5F5C">
        <w:t xml:space="preserve">. </w:t>
      </w:r>
    </w:p>
    <w:p w14:paraId="67340242" w14:textId="7C578C05" w:rsidR="000A60AE" w:rsidRPr="007F7EBF" w:rsidRDefault="00B07560" w:rsidP="003116C5">
      <w:pPr>
        <w:pStyle w:val="Testonotaapidipagina"/>
        <w:rPr>
          <w:sz w:val="22"/>
          <w:szCs w:val="22"/>
        </w:rPr>
      </w:pPr>
      <w:r>
        <w:rPr>
          <w:sz w:val="22"/>
          <w:szCs w:val="22"/>
        </w:rPr>
        <w:t>Come vedremo al par.5.13</w:t>
      </w:r>
      <w:r w:rsidR="00522A78">
        <w:rPr>
          <w:sz w:val="22"/>
          <w:szCs w:val="22"/>
        </w:rPr>
        <w:t>,</w:t>
      </w:r>
      <w:r>
        <w:rPr>
          <w:sz w:val="22"/>
          <w:szCs w:val="22"/>
        </w:rPr>
        <w:t xml:space="preserve"> l</w:t>
      </w:r>
      <w:r w:rsidR="00C247F1">
        <w:rPr>
          <w:sz w:val="22"/>
          <w:szCs w:val="22"/>
        </w:rPr>
        <w:t>’</w:t>
      </w:r>
      <w:r w:rsidR="00810681">
        <w:rPr>
          <w:bCs/>
          <w:sz w:val="22"/>
          <w:szCs w:val="22"/>
        </w:rPr>
        <w:t xml:space="preserve">importanza comparativa </w:t>
      </w:r>
      <w:r w:rsidR="00C247F1">
        <w:rPr>
          <w:bCs/>
          <w:sz w:val="22"/>
          <w:szCs w:val="22"/>
        </w:rPr>
        <w:t>di ciascun</w:t>
      </w:r>
      <w:r w:rsidR="00A828E8">
        <w:rPr>
          <w:bCs/>
          <w:sz w:val="22"/>
          <w:szCs w:val="22"/>
        </w:rPr>
        <w:t xml:space="preserve"> indizi</w:t>
      </w:r>
      <w:r w:rsidR="00C247F1">
        <w:rPr>
          <w:bCs/>
          <w:sz w:val="22"/>
          <w:szCs w:val="22"/>
        </w:rPr>
        <w:t xml:space="preserve">o non può </w:t>
      </w:r>
      <w:r w:rsidR="00A828E8">
        <w:rPr>
          <w:bCs/>
          <w:sz w:val="22"/>
          <w:szCs w:val="22"/>
        </w:rPr>
        <w:t>infatti</w:t>
      </w:r>
      <w:r w:rsidR="00C247F1">
        <w:rPr>
          <w:bCs/>
          <w:sz w:val="22"/>
          <w:szCs w:val="22"/>
        </w:rPr>
        <w:t xml:space="preserve"> essere fissata “a priori”, </w:t>
      </w:r>
      <w:r w:rsidR="00810681">
        <w:rPr>
          <w:sz w:val="22"/>
          <w:szCs w:val="22"/>
        </w:rPr>
        <w:t>varia</w:t>
      </w:r>
      <w:r>
        <w:rPr>
          <w:sz w:val="22"/>
          <w:szCs w:val="22"/>
        </w:rPr>
        <w:t>ndo</w:t>
      </w:r>
      <w:r w:rsidR="00890672">
        <w:rPr>
          <w:sz w:val="22"/>
          <w:szCs w:val="22"/>
        </w:rPr>
        <w:t xml:space="preserve"> a seconda dei singoli casi concreti, in relazione a</w:t>
      </w:r>
      <w:r w:rsidR="00C247F1">
        <w:rPr>
          <w:sz w:val="22"/>
          <w:szCs w:val="22"/>
        </w:rPr>
        <w:t>ll’</w:t>
      </w:r>
      <w:r w:rsidR="00890672">
        <w:rPr>
          <w:sz w:val="22"/>
          <w:szCs w:val="22"/>
        </w:rPr>
        <w:t xml:space="preserve">attività svolta, </w:t>
      </w:r>
      <w:r w:rsidR="00C247F1">
        <w:rPr>
          <w:sz w:val="22"/>
          <w:szCs w:val="22"/>
        </w:rPr>
        <w:t xml:space="preserve">ai suoi </w:t>
      </w:r>
      <w:r w:rsidR="00890672">
        <w:rPr>
          <w:sz w:val="22"/>
          <w:szCs w:val="22"/>
        </w:rPr>
        <w:t xml:space="preserve">criteri organizzativi, </w:t>
      </w:r>
      <w:r w:rsidR="00C247F1">
        <w:rPr>
          <w:sz w:val="22"/>
          <w:szCs w:val="22"/>
        </w:rPr>
        <w:t xml:space="preserve">alla tipologia di clienti e fornitori, alle </w:t>
      </w:r>
      <w:r w:rsidR="00890672">
        <w:rPr>
          <w:sz w:val="22"/>
          <w:szCs w:val="22"/>
        </w:rPr>
        <w:t xml:space="preserve">modalità di </w:t>
      </w:r>
      <w:r w:rsidR="00C247F1">
        <w:rPr>
          <w:sz w:val="22"/>
          <w:szCs w:val="22"/>
        </w:rPr>
        <w:t xml:space="preserve">incasso e </w:t>
      </w:r>
      <w:r w:rsidR="00890672">
        <w:rPr>
          <w:sz w:val="22"/>
          <w:szCs w:val="22"/>
        </w:rPr>
        <w:t>pagamento etc.</w:t>
      </w:r>
      <w:r w:rsidR="00C247F1">
        <w:rPr>
          <w:sz w:val="22"/>
          <w:szCs w:val="22"/>
        </w:rPr>
        <w:t xml:space="preserve"> </w:t>
      </w:r>
      <w:r>
        <w:rPr>
          <w:sz w:val="22"/>
          <w:szCs w:val="22"/>
        </w:rPr>
        <w:t>Questa necessità di s</w:t>
      </w:r>
      <w:r w:rsidR="00A828E8">
        <w:rPr>
          <w:sz w:val="22"/>
          <w:szCs w:val="22"/>
        </w:rPr>
        <w:t>elezionare i parametri più attendibili nel caso concreto</w:t>
      </w:r>
      <w:r>
        <w:rPr>
          <w:sz w:val="22"/>
          <w:szCs w:val="22"/>
        </w:rPr>
        <w:t xml:space="preserve">, anche secondo le risorse disponibili </w:t>
      </w:r>
      <w:r>
        <w:rPr>
          <w:i/>
          <w:iCs/>
          <w:sz w:val="22"/>
          <w:szCs w:val="22"/>
        </w:rPr>
        <w:t xml:space="preserve">apre </w:t>
      </w:r>
      <w:r>
        <w:rPr>
          <w:sz w:val="22"/>
          <w:szCs w:val="22"/>
        </w:rPr>
        <w:t>ai</w:t>
      </w:r>
      <w:r w:rsidR="00A828E8">
        <w:rPr>
          <w:sz w:val="22"/>
          <w:szCs w:val="22"/>
        </w:rPr>
        <w:t xml:space="preserve"> p</w:t>
      </w:r>
      <w:r w:rsidR="00ED18E7">
        <w:rPr>
          <w:sz w:val="22"/>
          <w:szCs w:val="22"/>
        </w:rPr>
        <w:t xml:space="preserve">rofili di discrezionalità </w:t>
      </w:r>
      <w:r>
        <w:rPr>
          <w:sz w:val="22"/>
          <w:szCs w:val="22"/>
        </w:rPr>
        <w:t>di</w:t>
      </w:r>
      <w:r w:rsidR="00ED18E7">
        <w:rPr>
          <w:sz w:val="22"/>
          <w:szCs w:val="22"/>
        </w:rPr>
        <w:t xml:space="preserve"> </w:t>
      </w:r>
      <w:r>
        <w:rPr>
          <w:sz w:val="22"/>
          <w:szCs w:val="22"/>
        </w:rPr>
        <w:t xml:space="preserve">cui </w:t>
      </w:r>
      <w:r w:rsidR="00ED18E7">
        <w:rPr>
          <w:sz w:val="22"/>
          <w:szCs w:val="22"/>
        </w:rPr>
        <w:t xml:space="preserve">al prossimo paragrafo. </w:t>
      </w:r>
    </w:p>
    <w:p w14:paraId="730BE43E" w14:textId="38308ED9" w:rsidR="00081A77" w:rsidRDefault="00081A77" w:rsidP="00081A77">
      <w:pPr>
        <w:pStyle w:val="Titolo3"/>
        <w:rPr>
          <w:rFonts w:ascii="Times New Roman" w:hAnsi="Times New Roman"/>
          <w:sz w:val="22"/>
          <w:szCs w:val="22"/>
        </w:rPr>
      </w:pPr>
      <w:bookmarkStart w:id="67" w:name="_Toc63364982"/>
      <w:r>
        <w:rPr>
          <w:rFonts w:ascii="Times New Roman" w:hAnsi="Times New Roman"/>
          <w:sz w:val="22"/>
          <w:szCs w:val="22"/>
        </w:rPr>
        <w:t xml:space="preserve">5.10. </w:t>
      </w:r>
      <w:r>
        <w:rPr>
          <w:rFonts w:ascii="Times New Roman" w:hAnsi="Times New Roman"/>
          <w:sz w:val="22"/>
          <w:szCs w:val="22"/>
          <w:lang w:val="it-IT"/>
        </w:rPr>
        <w:t>La discrezionalità nell</w:t>
      </w:r>
      <w:r w:rsidR="00ED18E7">
        <w:rPr>
          <w:rFonts w:ascii="Times New Roman" w:hAnsi="Times New Roman"/>
          <w:sz w:val="22"/>
          <w:szCs w:val="22"/>
          <w:lang w:val="it-IT"/>
        </w:rPr>
        <w:t xml:space="preserve">a </w:t>
      </w:r>
      <w:r>
        <w:rPr>
          <w:rFonts w:ascii="Times New Roman" w:hAnsi="Times New Roman"/>
          <w:sz w:val="22"/>
          <w:szCs w:val="22"/>
          <w:lang w:val="it-IT"/>
        </w:rPr>
        <w:t>determinazione degli imponibili</w:t>
      </w:r>
      <w:r w:rsidR="00ED18E7">
        <w:rPr>
          <w:rFonts w:ascii="Times New Roman" w:hAnsi="Times New Roman"/>
          <w:sz w:val="22"/>
          <w:szCs w:val="22"/>
          <w:lang w:val="it-IT"/>
        </w:rPr>
        <w:t xml:space="preserve"> come funzione non giurisdizionale</w:t>
      </w:r>
      <w:r>
        <w:rPr>
          <w:rFonts w:ascii="Times New Roman" w:hAnsi="Times New Roman"/>
          <w:sz w:val="22"/>
          <w:szCs w:val="22"/>
          <w:lang w:val="it-IT"/>
        </w:rPr>
        <w:t>.</w:t>
      </w:r>
      <w:bookmarkEnd w:id="67"/>
      <w:r>
        <w:rPr>
          <w:rFonts w:ascii="Times New Roman" w:hAnsi="Times New Roman"/>
          <w:sz w:val="22"/>
          <w:szCs w:val="22"/>
        </w:rPr>
        <w:t xml:space="preserve"> </w:t>
      </w:r>
    </w:p>
    <w:p w14:paraId="2A402672" w14:textId="77777777" w:rsidR="00081A77" w:rsidRDefault="00081A77" w:rsidP="00081A77">
      <w:pPr>
        <w:pStyle w:val="tit23"/>
        <w:ind w:left="6464" w:right="-1361" w:firstLine="0"/>
        <w:jc w:val="left"/>
        <w:rPr>
          <w:bCs/>
          <w:i/>
          <w:iCs/>
          <w:color w:val="0000FF"/>
          <w:lang w:val="it-IT"/>
        </w:rPr>
      </w:pPr>
      <w:proofErr w:type="spellStart"/>
      <w:r>
        <w:rPr>
          <w:bCs/>
          <w:i/>
          <w:iCs/>
          <w:color w:val="0000FF"/>
          <w:lang w:val="it-IT"/>
        </w:rPr>
        <w:t>valutatività</w:t>
      </w:r>
      <w:proofErr w:type="spellEnd"/>
      <w:r>
        <w:rPr>
          <w:bCs/>
          <w:i/>
          <w:iCs/>
          <w:color w:val="0000FF"/>
          <w:lang w:val="it-IT"/>
        </w:rPr>
        <w:t xml:space="preserve"> delle funzioni pubbliche, compresa quella giurisdizionale </w:t>
      </w:r>
    </w:p>
    <w:p w14:paraId="6BACCECE" w14:textId="0BF6065F" w:rsidR="006B715F" w:rsidRPr="001F5784" w:rsidRDefault="00282FCC" w:rsidP="006B715F">
      <w:pPr>
        <w:pStyle w:val="Testonotaapidipagina"/>
        <w:rPr>
          <w:sz w:val="24"/>
          <w:szCs w:val="24"/>
        </w:rPr>
      </w:pPr>
      <w:r>
        <w:rPr>
          <w:sz w:val="22"/>
          <w:szCs w:val="22"/>
        </w:rPr>
        <w:t xml:space="preserve">Determinare i presupposti economici d’imposta è una funzione, cioè un compito, e in ogni incarico </w:t>
      </w:r>
      <w:r w:rsidR="00F34E59">
        <w:rPr>
          <w:sz w:val="22"/>
          <w:szCs w:val="22"/>
        </w:rPr>
        <w:t xml:space="preserve">sono inclusi margini di valutazione; </w:t>
      </w:r>
      <w:r w:rsidR="00A133AE">
        <w:rPr>
          <w:sz w:val="22"/>
          <w:szCs w:val="22"/>
        </w:rPr>
        <w:t xml:space="preserve">il </w:t>
      </w:r>
      <w:r w:rsidR="00F34E59">
        <w:rPr>
          <w:sz w:val="22"/>
          <w:szCs w:val="22"/>
        </w:rPr>
        <w:t>loro</w:t>
      </w:r>
      <w:r w:rsidR="00A133AE">
        <w:rPr>
          <w:sz w:val="22"/>
          <w:szCs w:val="22"/>
        </w:rPr>
        <w:t xml:space="preserve"> contenuto </w:t>
      </w:r>
      <w:r w:rsidR="00A133AE">
        <w:t xml:space="preserve">non può essere in tutto e per tutto predeterminato, e </w:t>
      </w:r>
      <w:r w:rsidR="00F34E59">
        <w:t>quindi</w:t>
      </w:r>
      <w:r w:rsidR="00A133AE">
        <w:t xml:space="preserve"> il discernimento del delegato è ineliminabile</w:t>
      </w:r>
      <w:r w:rsidR="00F34E59">
        <w:rPr>
          <w:sz w:val="22"/>
          <w:szCs w:val="22"/>
        </w:rPr>
        <w:t>, anche n</w:t>
      </w:r>
      <w:r w:rsidR="007A5F48">
        <w:rPr>
          <w:sz w:val="22"/>
          <w:szCs w:val="22"/>
        </w:rPr>
        <w:t>e</w:t>
      </w:r>
      <w:r w:rsidR="00F34E59">
        <w:rPr>
          <w:sz w:val="22"/>
          <w:szCs w:val="22"/>
        </w:rPr>
        <w:t>l comparto</w:t>
      </w:r>
      <w:r w:rsidR="00962C58">
        <w:rPr>
          <w:sz w:val="22"/>
          <w:szCs w:val="22"/>
        </w:rPr>
        <w:t xml:space="preserve"> privatistico-</w:t>
      </w:r>
      <w:r w:rsidR="00F51B25">
        <w:rPr>
          <w:sz w:val="22"/>
          <w:szCs w:val="22"/>
        </w:rPr>
        <w:t xml:space="preserve">giurisdizionale </w:t>
      </w:r>
      <w:r w:rsidR="00962C58">
        <w:rPr>
          <w:sz w:val="22"/>
          <w:szCs w:val="22"/>
        </w:rPr>
        <w:t>degli studi giuridici</w:t>
      </w:r>
      <w:r w:rsidR="00D42043">
        <w:rPr>
          <w:sz w:val="22"/>
          <w:szCs w:val="22"/>
        </w:rPr>
        <w:t xml:space="preserve"> </w:t>
      </w:r>
      <w:r w:rsidR="00962C58">
        <w:rPr>
          <w:sz w:val="22"/>
          <w:szCs w:val="22"/>
        </w:rPr>
        <w:t xml:space="preserve"> </w:t>
      </w:r>
      <w:r w:rsidR="00F51B25">
        <w:rPr>
          <w:sz w:val="22"/>
          <w:szCs w:val="22"/>
        </w:rPr>
        <w:t>(pa</w:t>
      </w:r>
      <w:r w:rsidR="007A5F48">
        <w:rPr>
          <w:sz w:val="22"/>
          <w:szCs w:val="22"/>
        </w:rPr>
        <w:t>r</w:t>
      </w:r>
      <w:r w:rsidR="00F51B25">
        <w:rPr>
          <w:sz w:val="22"/>
          <w:szCs w:val="22"/>
        </w:rPr>
        <w:t>r.</w:t>
      </w:r>
      <w:r w:rsidR="007A5F48">
        <w:rPr>
          <w:sz w:val="22"/>
          <w:szCs w:val="22"/>
        </w:rPr>
        <w:t>1.3 e 4.3</w:t>
      </w:r>
      <w:r w:rsidR="00F51B25">
        <w:rPr>
          <w:sz w:val="22"/>
          <w:szCs w:val="22"/>
        </w:rPr>
        <w:t>)</w:t>
      </w:r>
      <w:r w:rsidR="00F34E59">
        <w:rPr>
          <w:sz w:val="22"/>
          <w:szCs w:val="22"/>
        </w:rPr>
        <w:t xml:space="preserve">. In esso i margini di valutazione sono meno evidenti, in quanto stretti tra </w:t>
      </w:r>
      <w:r w:rsidR="007A5F48">
        <w:rPr>
          <w:sz w:val="22"/>
          <w:szCs w:val="22"/>
        </w:rPr>
        <w:t xml:space="preserve">l’autonomia privata da un lato, e </w:t>
      </w:r>
      <w:r w:rsidR="00F34E59">
        <w:rPr>
          <w:sz w:val="22"/>
          <w:szCs w:val="22"/>
        </w:rPr>
        <w:t xml:space="preserve">la </w:t>
      </w:r>
      <w:proofErr w:type="spellStart"/>
      <w:r w:rsidR="007A5F48">
        <w:rPr>
          <w:sz w:val="22"/>
          <w:szCs w:val="22"/>
        </w:rPr>
        <w:t>vincol</w:t>
      </w:r>
      <w:r w:rsidR="00F34E59">
        <w:rPr>
          <w:sz w:val="22"/>
          <w:szCs w:val="22"/>
        </w:rPr>
        <w:t>atezza</w:t>
      </w:r>
      <w:proofErr w:type="spellEnd"/>
      <w:r w:rsidR="00F34E59">
        <w:rPr>
          <w:sz w:val="22"/>
          <w:szCs w:val="22"/>
        </w:rPr>
        <w:t xml:space="preserve"> della sua applicazione dall’altro; nella diligenza del buon padre di famiglia, d</w:t>
      </w:r>
      <w:r w:rsidR="007A5F48">
        <w:rPr>
          <w:sz w:val="22"/>
          <w:szCs w:val="22"/>
        </w:rPr>
        <w:t>el mandat</w:t>
      </w:r>
      <w:r w:rsidR="00F34E59">
        <w:rPr>
          <w:sz w:val="22"/>
          <w:szCs w:val="22"/>
        </w:rPr>
        <w:t>ari</w:t>
      </w:r>
      <w:r w:rsidR="007A5F48">
        <w:rPr>
          <w:sz w:val="22"/>
          <w:szCs w:val="22"/>
        </w:rPr>
        <w:t>o, nei poteri istruttori e cautelari</w:t>
      </w:r>
      <w:r w:rsidR="00CC5CCF">
        <w:rPr>
          <w:sz w:val="22"/>
          <w:szCs w:val="22"/>
        </w:rPr>
        <w:t xml:space="preserve"> del giudice</w:t>
      </w:r>
      <w:r w:rsidR="007A5F48">
        <w:rPr>
          <w:sz w:val="22"/>
          <w:szCs w:val="22"/>
        </w:rPr>
        <w:t xml:space="preserve"> </w:t>
      </w:r>
      <w:r w:rsidR="003C780E">
        <w:rPr>
          <w:sz w:val="22"/>
          <w:szCs w:val="22"/>
        </w:rPr>
        <w:t xml:space="preserve">e in </w:t>
      </w:r>
      <w:r w:rsidR="00CC5CCF">
        <w:rPr>
          <w:sz w:val="22"/>
          <w:szCs w:val="22"/>
        </w:rPr>
        <w:t>vari</w:t>
      </w:r>
      <w:r w:rsidR="003C780E">
        <w:rPr>
          <w:sz w:val="22"/>
          <w:szCs w:val="22"/>
        </w:rPr>
        <w:t xml:space="preserve"> altri casi, </w:t>
      </w:r>
      <w:r w:rsidR="00CC5CCF">
        <w:rPr>
          <w:sz w:val="22"/>
          <w:szCs w:val="22"/>
        </w:rPr>
        <w:t xml:space="preserve">anche </w:t>
      </w:r>
      <w:r w:rsidR="003C780E">
        <w:rPr>
          <w:sz w:val="22"/>
          <w:szCs w:val="22"/>
        </w:rPr>
        <w:t xml:space="preserve">la mentalità privatistico giurisdizionale deve gestire </w:t>
      </w:r>
      <w:r w:rsidR="007A5F48">
        <w:rPr>
          <w:sz w:val="22"/>
          <w:szCs w:val="22"/>
        </w:rPr>
        <w:t xml:space="preserve"> valutazioni di opportunità. </w:t>
      </w:r>
      <w:r w:rsidR="00DF71BA">
        <w:rPr>
          <w:sz w:val="22"/>
          <w:szCs w:val="22"/>
        </w:rPr>
        <w:t>Esse sono però troppo poche per costruire</w:t>
      </w:r>
      <w:r w:rsidR="00CC5CCF">
        <w:rPr>
          <w:sz w:val="22"/>
          <w:szCs w:val="22"/>
        </w:rPr>
        <w:t>, nel comparto privatistico giurisdizionale,</w:t>
      </w:r>
      <w:r w:rsidR="00DF71BA">
        <w:rPr>
          <w:sz w:val="22"/>
          <w:szCs w:val="22"/>
        </w:rPr>
        <w:t xml:space="preserve"> una categoria concettuale </w:t>
      </w:r>
      <w:r w:rsidR="00CC5CCF">
        <w:rPr>
          <w:sz w:val="22"/>
          <w:szCs w:val="22"/>
        </w:rPr>
        <w:t xml:space="preserve">che includa </w:t>
      </w:r>
      <w:r w:rsidR="00DF71BA">
        <w:rPr>
          <w:sz w:val="22"/>
          <w:szCs w:val="22"/>
        </w:rPr>
        <w:t xml:space="preserve">la </w:t>
      </w:r>
      <w:r w:rsidR="00F51B25">
        <w:rPr>
          <w:sz w:val="22"/>
          <w:szCs w:val="22"/>
        </w:rPr>
        <w:t xml:space="preserve">strutturale </w:t>
      </w:r>
      <w:proofErr w:type="spellStart"/>
      <w:r w:rsidR="00F51B25">
        <w:rPr>
          <w:sz w:val="22"/>
          <w:szCs w:val="22"/>
        </w:rPr>
        <w:t>valutatività</w:t>
      </w:r>
      <w:proofErr w:type="spellEnd"/>
      <w:r w:rsidR="00F51B25">
        <w:rPr>
          <w:sz w:val="22"/>
          <w:szCs w:val="22"/>
        </w:rPr>
        <w:t xml:space="preserve"> </w:t>
      </w:r>
      <w:r w:rsidR="007A5F48">
        <w:rPr>
          <w:sz w:val="22"/>
          <w:szCs w:val="22"/>
        </w:rPr>
        <w:t xml:space="preserve">delle </w:t>
      </w:r>
      <w:r w:rsidR="00F51B25">
        <w:rPr>
          <w:sz w:val="22"/>
          <w:szCs w:val="22"/>
        </w:rPr>
        <w:t>funzioni non giurisdizionali</w:t>
      </w:r>
      <w:r w:rsidR="007F7A24">
        <w:rPr>
          <w:sz w:val="22"/>
          <w:szCs w:val="22"/>
        </w:rPr>
        <w:t xml:space="preserve">. Il concetto di </w:t>
      </w:r>
      <w:r w:rsidR="00CC5CCF">
        <w:rPr>
          <w:sz w:val="22"/>
          <w:szCs w:val="22"/>
        </w:rPr>
        <w:t xml:space="preserve"> </w:t>
      </w:r>
      <w:r w:rsidR="00673685" w:rsidRPr="00CC5CCF">
        <w:rPr>
          <w:i/>
          <w:iCs/>
          <w:sz w:val="22"/>
          <w:szCs w:val="22"/>
        </w:rPr>
        <w:t>discrezionalità</w:t>
      </w:r>
      <w:r w:rsidR="007F7A24">
        <w:rPr>
          <w:sz w:val="22"/>
          <w:szCs w:val="22"/>
        </w:rPr>
        <w:t xml:space="preserve"> è però stato sviluppato </w:t>
      </w:r>
      <w:r w:rsidR="007F7A24">
        <w:rPr>
          <w:sz w:val="22"/>
          <w:szCs w:val="22"/>
        </w:rPr>
        <w:lastRenderedPageBreak/>
        <w:t xml:space="preserve">solo nel diritto amministrativo </w:t>
      </w:r>
      <w:r w:rsidR="007F7A24">
        <w:rPr>
          <w:rStyle w:val="Rimandonotaapidipagina"/>
          <w:sz w:val="22"/>
          <w:szCs w:val="22"/>
        </w:rPr>
        <w:footnoteReference w:id="616"/>
      </w:r>
      <w:r w:rsidR="007F7A24">
        <w:rPr>
          <w:sz w:val="22"/>
          <w:szCs w:val="22"/>
        </w:rPr>
        <w:t xml:space="preserve"> e anche lì </w:t>
      </w:r>
      <w:r w:rsidR="00673685">
        <w:rPr>
          <w:sz w:val="22"/>
          <w:szCs w:val="22"/>
        </w:rPr>
        <w:t xml:space="preserve"> </w:t>
      </w:r>
      <w:r w:rsidR="00CC5CCF">
        <w:rPr>
          <w:sz w:val="22"/>
          <w:szCs w:val="22"/>
        </w:rPr>
        <w:t>considerat</w:t>
      </w:r>
      <w:r w:rsidR="007F7A24">
        <w:rPr>
          <w:sz w:val="22"/>
          <w:szCs w:val="22"/>
        </w:rPr>
        <w:t>o</w:t>
      </w:r>
      <w:r w:rsidR="00CC5CCF">
        <w:rPr>
          <w:sz w:val="22"/>
          <w:szCs w:val="22"/>
        </w:rPr>
        <w:t xml:space="preserve"> </w:t>
      </w:r>
      <w:r w:rsidR="00673685">
        <w:rPr>
          <w:sz w:val="22"/>
          <w:szCs w:val="22"/>
        </w:rPr>
        <w:t xml:space="preserve">talvolta con diffidenza, </w:t>
      </w:r>
      <w:r w:rsidR="007F7A24">
        <w:rPr>
          <w:sz w:val="22"/>
          <w:szCs w:val="22"/>
        </w:rPr>
        <w:t xml:space="preserve">rimosso più che contestualizzato, </w:t>
      </w:r>
      <w:r w:rsidR="00673685">
        <w:rPr>
          <w:sz w:val="22"/>
          <w:szCs w:val="22"/>
        </w:rPr>
        <w:t xml:space="preserve">in </w:t>
      </w:r>
      <w:r w:rsidR="007F7A24">
        <w:rPr>
          <w:sz w:val="22"/>
          <w:szCs w:val="22"/>
        </w:rPr>
        <w:t>un’</w:t>
      </w:r>
      <w:r w:rsidR="00CC5CCF" w:rsidRPr="00CC5CCF">
        <w:t>ottica privatistico-giurisdizionale</w:t>
      </w:r>
      <w:r w:rsidR="00CC5CCF">
        <w:t xml:space="preserve">. </w:t>
      </w:r>
      <w:r w:rsidR="007F7A24">
        <w:t xml:space="preserve">L’atteggiamento degli amministrativisti-avvocati è stato quello di negarla, in modo da aumentare gli spazi di sindacato sull’attività della pubblica amministrazione, e quest’ultima ha adottato l’atteggiamento ambiguo tipico dei detentori di un potere. Cioè quello di negare la discrezionalità in linea di principio, gestendola </w:t>
      </w:r>
      <w:r w:rsidR="00A133AE">
        <w:rPr>
          <w:sz w:val="22"/>
          <w:szCs w:val="22"/>
        </w:rPr>
        <w:t>di fatto in modo opportunistico</w:t>
      </w:r>
      <w:r w:rsidR="007F7A24">
        <w:rPr>
          <w:sz w:val="22"/>
          <w:szCs w:val="22"/>
        </w:rPr>
        <w:t>, cioè presentandosi come telecomandati dalla legge nel fare quello che loro ritenevano più opportuno</w:t>
      </w:r>
      <w:r w:rsidR="00C4592A">
        <w:rPr>
          <w:sz w:val="22"/>
          <w:szCs w:val="22"/>
        </w:rPr>
        <w:t xml:space="preserve">. Ritroviamo in questo </w:t>
      </w:r>
      <w:r w:rsidR="006B715F">
        <w:rPr>
          <w:sz w:val="22"/>
          <w:szCs w:val="22"/>
        </w:rPr>
        <w:t xml:space="preserve">l’ipocrisia del tecnicismo giuridico, </w:t>
      </w:r>
      <w:r w:rsidR="00C4592A">
        <w:t xml:space="preserve">il  </w:t>
      </w:r>
      <w:proofErr w:type="spellStart"/>
      <w:r w:rsidR="00C4592A">
        <w:rPr>
          <w:i/>
        </w:rPr>
        <w:t>juristen</w:t>
      </w:r>
      <w:proofErr w:type="spellEnd"/>
      <w:r w:rsidR="00C4592A">
        <w:rPr>
          <w:i/>
        </w:rPr>
        <w:t xml:space="preserve"> bose </w:t>
      </w:r>
      <w:proofErr w:type="spellStart"/>
      <w:r w:rsidR="00C4592A">
        <w:rPr>
          <w:i/>
        </w:rPr>
        <w:t>christen</w:t>
      </w:r>
      <w:proofErr w:type="spellEnd"/>
      <w:r w:rsidR="00C4592A">
        <w:t xml:space="preserve"> che c’accompagna dal par.1.3</w:t>
      </w:r>
      <w:r w:rsidR="006B715F">
        <w:t xml:space="preserve">, e che spinge a far dire alle regole ciò che sotto vari profili conviene a chi esercita la funzione. Questa  mancata elaborazione della </w:t>
      </w:r>
      <w:proofErr w:type="spellStart"/>
      <w:r w:rsidR="006B715F">
        <w:t>valutatività</w:t>
      </w:r>
      <w:proofErr w:type="spellEnd"/>
      <w:r w:rsidR="006B715F">
        <w:t xml:space="preserve"> del diritto fa temere anche a chi agisce in perfetta buona fede </w:t>
      </w:r>
      <w:r w:rsidR="00C4592A">
        <w:t>accuse di arbitrarietà e fantomatici favoritismi</w:t>
      </w:r>
      <w:r w:rsidR="007F7A24">
        <w:rPr>
          <w:sz w:val="22"/>
          <w:szCs w:val="22"/>
        </w:rPr>
        <w:t xml:space="preserve">. </w:t>
      </w:r>
      <w:r w:rsidR="006B715F">
        <w:rPr>
          <w:sz w:val="22"/>
          <w:szCs w:val="22"/>
        </w:rPr>
        <w:t xml:space="preserve">E’ del resto naturale che tutti </w:t>
      </w:r>
      <w:r w:rsidR="007F7A24">
        <w:rPr>
          <w:sz w:val="22"/>
          <w:szCs w:val="22"/>
        </w:rPr>
        <w:t xml:space="preserve">i delegati, </w:t>
      </w:r>
      <w:r w:rsidR="006B715F">
        <w:rPr>
          <w:sz w:val="22"/>
          <w:szCs w:val="22"/>
        </w:rPr>
        <w:t>invece di</w:t>
      </w:r>
      <w:r w:rsidR="007F7A24">
        <w:rPr>
          <w:sz w:val="22"/>
          <w:szCs w:val="22"/>
        </w:rPr>
        <w:t xml:space="preserve"> farsi interpreti della delega ricevuta, </w:t>
      </w:r>
      <w:r w:rsidR="006B715F">
        <w:rPr>
          <w:sz w:val="22"/>
          <w:szCs w:val="22"/>
        </w:rPr>
        <w:t xml:space="preserve">tendano a leggerla nel modo </w:t>
      </w:r>
      <w:r w:rsidR="007F7A24">
        <w:rPr>
          <w:sz w:val="22"/>
          <w:szCs w:val="22"/>
        </w:rPr>
        <w:t>che loro conviene di più</w:t>
      </w:r>
      <w:r w:rsidR="006B715F">
        <w:rPr>
          <w:sz w:val="22"/>
          <w:szCs w:val="22"/>
        </w:rPr>
        <w:t>; gli obiettivi non sono gli abusi, ma semplicemente la prevenzione delle critiche, il</w:t>
      </w:r>
      <w:r w:rsidR="00911670">
        <w:t xml:space="preserve"> quieto vivere o</w:t>
      </w:r>
      <w:r w:rsidR="006B715F">
        <w:t xml:space="preserve"> la</w:t>
      </w:r>
      <w:r w:rsidR="00911670">
        <w:t xml:space="preserve"> pigrizia mentale</w:t>
      </w:r>
      <w:r w:rsidR="00775721">
        <w:t xml:space="preserve"> </w:t>
      </w:r>
      <w:r w:rsidR="00775721">
        <w:rPr>
          <w:sz w:val="22"/>
          <w:szCs w:val="22"/>
        </w:rPr>
        <w:t>(</w:t>
      </w:r>
      <w:r w:rsidR="00775721">
        <w:rPr>
          <w:rStyle w:val="Rimandonotaapidipagina"/>
          <w:sz w:val="22"/>
          <w:szCs w:val="22"/>
        </w:rPr>
        <w:footnoteReference w:id="617"/>
      </w:r>
      <w:r w:rsidR="00775721">
        <w:rPr>
          <w:sz w:val="22"/>
          <w:szCs w:val="22"/>
        </w:rPr>
        <w:t>)</w:t>
      </w:r>
      <w:r w:rsidR="00911670">
        <w:t>.</w:t>
      </w:r>
      <w:r w:rsidR="003B5ED0">
        <w:rPr>
          <w:sz w:val="22"/>
          <w:szCs w:val="22"/>
        </w:rPr>
        <w:t xml:space="preserve"> N</w:t>
      </w:r>
      <w:r w:rsidR="00B40942">
        <w:rPr>
          <w:sz w:val="22"/>
          <w:szCs w:val="22"/>
        </w:rPr>
        <w:t xml:space="preserve">egare </w:t>
      </w:r>
      <w:r w:rsidR="00DA11FF">
        <w:rPr>
          <w:sz w:val="22"/>
          <w:szCs w:val="22"/>
        </w:rPr>
        <w:t xml:space="preserve">la </w:t>
      </w:r>
      <w:r w:rsidR="00B40942">
        <w:rPr>
          <w:sz w:val="22"/>
          <w:szCs w:val="22"/>
        </w:rPr>
        <w:t xml:space="preserve">discrezionalità è </w:t>
      </w:r>
      <w:r w:rsidR="003B5ED0">
        <w:rPr>
          <w:sz w:val="22"/>
          <w:szCs w:val="22"/>
        </w:rPr>
        <w:t xml:space="preserve">infatti </w:t>
      </w:r>
      <w:r w:rsidR="00B40942">
        <w:rPr>
          <w:sz w:val="22"/>
          <w:szCs w:val="22"/>
        </w:rPr>
        <w:t xml:space="preserve">un modo di eludere l’analisi delle responsabilità, il che </w:t>
      </w:r>
      <w:r w:rsidR="003B5ED0">
        <w:rPr>
          <w:sz w:val="22"/>
          <w:szCs w:val="22"/>
        </w:rPr>
        <w:t xml:space="preserve">risponde alla </w:t>
      </w:r>
      <w:r w:rsidR="00B40942">
        <w:rPr>
          <w:sz w:val="22"/>
          <w:szCs w:val="22"/>
        </w:rPr>
        <w:t>tendenza ad evitarla</w:t>
      </w:r>
      <w:r w:rsidR="003B5ED0">
        <w:rPr>
          <w:sz w:val="22"/>
          <w:szCs w:val="22"/>
        </w:rPr>
        <w:t xml:space="preserve">. Il timore è sempre quello, tipico dei gruppi pluripersonali, </w:t>
      </w:r>
      <w:r w:rsidR="00C30A46">
        <w:rPr>
          <w:sz w:val="22"/>
          <w:szCs w:val="22"/>
        </w:rPr>
        <w:t>i</w:t>
      </w:r>
      <w:r w:rsidR="003B5ED0">
        <w:rPr>
          <w:sz w:val="22"/>
          <w:szCs w:val="22"/>
        </w:rPr>
        <w:t xml:space="preserve"> cui </w:t>
      </w:r>
      <w:r w:rsidR="00C30A46">
        <w:rPr>
          <w:sz w:val="22"/>
          <w:szCs w:val="22"/>
        </w:rPr>
        <w:t>membri</w:t>
      </w:r>
      <w:r w:rsidR="003B5ED0">
        <w:rPr>
          <w:sz w:val="22"/>
          <w:szCs w:val="22"/>
        </w:rPr>
        <w:t xml:space="preserve"> </w:t>
      </w:r>
      <w:r w:rsidR="00B40942">
        <w:rPr>
          <w:sz w:val="22"/>
          <w:szCs w:val="22"/>
        </w:rPr>
        <w:t>tem</w:t>
      </w:r>
      <w:r w:rsidR="00C30A46">
        <w:rPr>
          <w:sz w:val="22"/>
          <w:szCs w:val="22"/>
        </w:rPr>
        <w:t>ono</w:t>
      </w:r>
      <w:r w:rsidR="003B5ED0">
        <w:rPr>
          <w:sz w:val="22"/>
          <w:szCs w:val="22"/>
        </w:rPr>
        <w:t xml:space="preserve"> </w:t>
      </w:r>
      <w:r w:rsidR="00B40942">
        <w:rPr>
          <w:sz w:val="22"/>
          <w:szCs w:val="22"/>
        </w:rPr>
        <w:t xml:space="preserve">che altri si prendano i meriti se le cose vanno bene, e invece </w:t>
      </w:r>
      <w:r w:rsidR="00C30A46">
        <w:rPr>
          <w:sz w:val="22"/>
          <w:szCs w:val="22"/>
        </w:rPr>
        <w:t xml:space="preserve">li </w:t>
      </w:r>
      <w:r w:rsidR="00B40942">
        <w:rPr>
          <w:sz w:val="22"/>
          <w:szCs w:val="22"/>
        </w:rPr>
        <w:t>critichino se vanno male</w:t>
      </w:r>
      <w:r w:rsidR="00A133AE">
        <w:rPr>
          <w:sz w:val="22"/>
          <w:szCs w:val="22"/>
        </w:rPr>
        <w:t>(</w:t>
      </w:r>
      <w:r w:rsidR="00A133AE">
        <w:rPr>
          <w:rStyle w:val="Rimandonotaapidipagina"/>
          <w:sz w:val="22"/>
          <w:szCs w:val="22"/>
        </w:rPr>
        <w:footnoteReference w:id="618"/>
      </w:r>
      <w:r w:rsidR="00A133AE">
        <w:rPr>
          <w:sz w:val="22"/>
          <w:szCs w:val="22"/>
        </w:rPr>
        <w:t xml:space="preserve">). </w:t>
      </w:r>
      <w:r w:rsidR="003C780E">
        <w:rPr>
          <w:sz w:val="22"/>
          <w:szCs w:val="22"/>
        </w:rPr>
        <w:t>I delegati tendono così istintivamente a spostare le responsabilità sul delegante (superiore o legislatore).</w:t>
      </w:r>
      <w:r w:rsidR="006B715F">
        <w:rPr>
          <w:sz w:val="22"/>
          <w:szCs w:val="22"/>
        </w:rPr>
        <w:t xml:space="preserve"> </w:t>
      </w:r>
    </w:p>
    <w:p w14:paraId="5F86B0D7" w14:textId="7CB33EC1" w:rsidR="006B715F" w:rsidRDefault="006B715F" w:rsidP="006B715F">
      <w:pPr>
        <w:pStyle w:val="tit23"/>
        <w:ind w:left="6464" w:right="-1361" w:firstLine="0"/>
        <w:jc w:val="left"/>
        <w:rPr>
          <w:bCs/>
          <w:i/>
          <w:iCs/>
          <w:color w:val="0000FF"/>
          <w:lang w:val="it-IT"/>
        </w:rPr>
      </w:pPr>
      <w:r>
        <w:rPr>
          <w:bCs/>
          <w:i/>
          <w:iCs/>
          <w:color w:val="0000FF"/>
          <w:lang w:val="it-IT"/>
        </w:rPr>
        <w:t>Timore della discrezionalità e avanzata del formalismo</w:t>
      </w:r>
    </w:p>
    <w:p w14:paraId="2641321D" w14:textId="46951AFB" w:rsidR="006B715F" w:rsidRDefault="006B715F" w:rsidP="006B715F">
      <w:pPr>
        <w:pStyle w:val="Testonotaapidipagina"/>
        <w:rPr>
          <w:sz w:val="22"/>
          <w:szCs w:val="22"/>
        </w:rPr>
      </w:pPr>
      <w:r>
        <w:rPr>
          <w:sz w:val="22"/>
          <w:szCs w:val="22"/>
        </w:rPr>
        <w:t xml:space="preserve">Anche l’autorità politica, compiaciuta della sua fantomatica "onnipotenza legislativa”, vorrebbe istintivamente “telecomandare” i pubblici uffici tramite la legge, salvo poi sollecitarne la valutazione sulle pratiche che le stanno a cuore. </w:t>
      </w:r>
      <w:r w:rsidR="00DE2A04">
        <w:rPr>
          <w:sz w:val="22"/>
          <w:szCs w:val="22"/>
        </w:rPr>
        <w:t xml:space="preserve">Invece di prendere atto dei margini di valutazione presenti nelle funzioni non giurisdizionali, la politica li ha </w:t>
      </w:r>
      <w:r w:rsidR="00DE2A04">
        <w:rPr>
          <w:sz w:val="22"/>
          <w:szCs w:val="22"/>
        </w:rPr>
        <w:lastRenderedPageBreak/>
        <w:t xml:space="preserve">sempre esorcizzati, anche con nuove leggi; si è così autoprodotto un  ginepraio </w:t>
      </w:r>
      <w:r w:rsidR="00DE2A04">
        <w:t xml:space="preserve"> di obblighi e divieti, doveri e diritti,  con opposti formalismi, sottratti a un vero controllo sociale. </w:t>
      </w:r>
      <w:r w:rsidR="00DE2A04">
        <w:rPr>
          <w:sz w:val="22"/>
          <w:szCs w:val="22"/>
        </w:rPr>
        <w:t xml:space="preserve"> Da una parte gli uffici possono </w:t>
      </w:r>
      <w:r w:rsidR="00DE2A04">
        <w:t xml:space="preserve">“lasciano correre” informalmente, trasformando i diritti in favori, ed esaltando l’arbitrio del potere </w:t>
      </w:r>
      <w:r w:rsidR="00DE2A04">
        <w:rPr>
          <w:rStyle w:val="Rimandonotaapidipagina"/>
        </w:rPr>
        <w:footnoteReference w:id="619"/>
      </w:r>
      <w:r w:rsidR="00DE2A04">
        <w:t xml:space="preserve">. Di contro solo pochi solo privati agguerriti riescono a superare  questo logoramento formale, ottenendo vantaggi ingestibili se estesi all’insieme degli interessati. </w:t>
      </w:r>
    </w:p>
    <w:p w14:paraId="310F7720" w14:textId="6458B4EC" w:rsidR="00751CD4" w:rsidRPr="007F7EBF" w:rsidRDefault="006B715F" w:rsidP="00751CD4">
      <w:pPr>
        <w:pStyle w:val="tit23"/>
        <w:ind w:left="6464" w:right="-1361" w:firstLine="0"/>
        <w:jc w:val="left"/>
        <w:rPr>
          <w:bCs/>
          <w:i/>
          <w:iCs/>
          <w:color w:val="0000FF"/>
          <w:lang w:val="it-IT"/>
        </w:rPr>
      </w:pPr>
      <w:r>
        <w:rPr>
          <w:bCs/>
          <w:i/>
          <w:iCs/>
          <w:color w:val="0000FF"/>
          <w:lang w:val="it-IT"/>
        </w:rPr>
        <w:t xml:space="preserve">Diritto soggettivo, interesse e </w:t>
      </w:r>
      <w:r w:rsidR="00696C38">
        <w:rPr>
          <w:bCs/>
          <w:i/>
          <w:iCs/>
          <w:color w:val="0000FF"/>
          <w:lang w:val="it-IT"/>
        </w:rPr>
        <w:t xml:space="preserve"> </w:t>
      </w:r>
      <w:r w:rsidR="00751CD4">
        <w:rPr>
          <w:bCs/>
          <w:i/>
          <w:iCs/>
          <w:color w:val="0000FF"/>
          <w:lang w:val="it-IT"/>
        </w:rPr>
        <w:t>funzione tributaria</w:t>
      </w:r>
    </w:p>
    <w:p w14:paraId="6D9E152A" w14:textId="15ACFD60" w:rsidR="00515954" w:rsidRDefault="00973229" w:rsidP="00481807">
      <w:pPr>
        <w:rPr>
          <w:sz w:val="22"/>
          <w:szCs w:val="22"/>
        </w:rPr>
      </w:pPr>
      <w:r>
        <w:t xml:space="preserve">La posizione del contribuente rispetto agli uffici tributari </w:t>
      </w:r>
      <w:r w:rsidR="003049C6">
        <w:t xml:space="preserve">non </w:t>
      </w:r>
      <w:r>
        <w:t xml:space="preserve">è comunemente considerata di </w:t>
      </w:r>
      <w:r w:rsidR="003049C6">
        <w:t xml:space="preserve">interesse legittimo al corretto esercizio di una funzione pubblica, nella specie quella tributaria. Il contribuente è invece considerato titolare di un </w:t>
      </w:r>
      <w:r>
        <w:t xml:space="preserve">diritto soggettivo all’integrità patrimoniale, </w:t>
      </w:r>
      <w:r w:rsidR="003049C6">
        <w:t xml:space="preserve">come se fosse il debitore di </w:t>
      </w:r>
      <w:r>
        <w:t xml:space="preserve">un’obbligazione </w:t>
      </w:r>
      <w:r w:rsidR="003049C6">
        <w:t xml:space="preserve">per </w:t>
      </w:r>
      <w:r>
        <w:t xml:space="preserve">un debito </w:t>
      </w:r>
      <w:r w:rsidR="003049C6">
        <w:t xml:space="preserve">d’imposta </w:t>
      </w:r>
      <w:r>
        <w:t>sorto dalla legge</w:t>
      </w:r>
      <w:r w:rsidR="003049C6">
        <w:t>, al verificarsi del relativo presupposto economico</w:t>
      </w:r>
      <w:r>
        <w:t xml:space="preserve">. </w:t>
      </w:r>
      <w:r w:rsidR="003049C6">
        <w:t>Nonostante il corretto parziale dissenso di parte della dottrina, la prassi vive il rapporto tributario attraverso banali strumenti privatistico-giurisdizionali, come il debito del contribuente e il credito del fisco. Anziché con strumenti amministrativistici, come l’interesse legittimo, a seconda dei casi oppositivo o pretensivo (par.5.3), all’esercizio corretto della funzione tributaria, il rapporto contribuente/fisco è analizzato con strumenti privatistico-giurisdizionali. Questi ultimi consistono nel debito del contribuente, nel credito del fisco e nell’obbligazione</w:t>
      </w:r>
      <w:r w:rsidR="00AB6FD7">
        <w:t xml:space="preserve">. </w:t>
      </w:r>
      <w:r w:rsidR="00D445AD">
        <w:t xml:space="preserve">Si è dimenticato che il diritto soggettivo è </w:t>
      </w:r>
      <w:r w:rsidR="00626F24">
        <w:t>una</w:t>
      </w:r>
      <w:r w:rsidR="000A459D">
        <w:t xml:space="preserve"> figura tipica del diritto dei privati, cioè una</w:t>
      </w:r>
      <w:r w:rsidR="00626F24">
        <w:t xml:space="preserve"> protezione </w:t>
      </w:r>
      <w:r w:rsidR="000A459D">
        <w:t>del gruppo</w:t>
      </w:r>
      <w:r w:rsidR="00626F24">
        <w:t xml:space="preserve">, attraverso la funzione di giustizia, </w:t>
      </w:r>
      <w:r w:rsidR="000A459D">
        <w:t>a una pretesa verso terzi, che trova oggi il proprio limite nel relativo patrimonio</w:t>
      </w:r>
      <w:r w:rsidR="00626F24">
        <w:t>.</w:t>
      </w:r>
      <w:r w:rsidR="000A459D">
        <w:t xml:space="preserve"> E’ una protezione molto diversa da quella offerta dalla collettività verso sé stessa, cioè verso proprie articolazioni non giurisdizionali, in materia di sicurezza, ambiente, viabilità, determinazione </w:t>
      </w:r>
      <w:r w:rsidR="00626F24">
        <w:t xml:space="preserve"> </w:t>
      </w:r>
      <w:r w:rsidR="000A459D">
        <w:t>dei tributi e altre funzioni pubbliche</w:t>
      </w:r>
      <w:r w:rsidR="00626F24">
        <w:rPr>
          <w:sz w:val="22"/>
          <w:szCs w:val="22"/>
        </w:rPr>
        <w:t xml:space="preserve">. In </w:t>
      </w:r>
      <w:r w:rsidR="00626F24">
        <w:rPr>
          <w:sz w:val="22"/>
          <w:szCs w:val="22"/>
        </w:rPr>
        <w:lastRenderedPageBreak/>
        <w:t xml:space="preserve">queste ultime esse non si vende né compra nulla,  i mezzi sono scarsi, e persino i diritti fondamentali sono a ben vedere interessi </w:t>
      </w:r>
      <w:r w:rsidR="00626F24">
        <w:rPr>
          <w:rStyle w:val="Rimandonotaapidipagina"/>
          <w:sz w:val="22"/>
          <w:szCs w:val="22"/>
        </w:rPr>
        <w:footnoteReference w:id="620"/>
      </w:r>
      <w:r w:rsidR="000A459D">
        <w:rPr>
          <w:sz w:val="22"/>
          <w:szCs w:val="22"/>
        </w:rPr>
        <w:t xml:space="preserve">, non perché sono meno importanti, ma perché rivolti verso la stessa collettività. </w:t>
      </w:r>
      <w:bookmarkStart w:id="68" w:name="_Hlk63404877"/>
      <w:r w:rsidR="000A459D">
        <w:rPr>
          <w:sz w:val="22"/>
          <w:szCs w:val="22"/>
        </w:rPr>
        <w:t xml:space="preserve">Questo spiega da una parte perché l’interesse legittimo sia una posizione sostanziale verso le amministrazioni pubbliche, che preesiste all’eventuale processo, esistendo prima di tutto nella società, cosa di cui ormai gli amministrativisti si sono resi conto; essi invece sono ancora piuttosto deboli nel confinare, coerentemente, il diritto soggettivo nel comparto privatistico-giurisdizionale. </w:t>
      </w:r>
      <w:bookmarkEnd w:id="68"/>
      <w:r w:rsidR="00481807">
        <w:rPr>
          <w:sz w:val="22"/>
          <w:szCs w:val="22"/>
        </w:rPr>
        <w:t xml:space="preserve">Nella funzione tributaria, quest’improprio uso del diritto soggettivo </w:t>
      </w:r>
      <w:r w:rsidR="006D16E2">
        <w:t xml:space="preserve">penalizza </w:t>
      </w:r>
      <w:r w:rsidR="00481807">
        <w:t xml:space="preserve">tanto per cambiare </w:t>
      </w:r>
      <w:r w:rsidR="006D16E2">
        <w:t>i contribuenti nei rapporti con gli uffici, come vedremo</w:t>
      </w:r>
      <w:r w:rsidR="00097298">
        <w:t xml:space="preserve"> </w:t>
      </w:r>
      <w:r w:rsidR="006D16E2">
        <w:t>tra l’altro ai parr.6.2 sulle prove e 6.10 sul processo</w:t>
      </w:r>
      <w:r w:rsidR="00097298">
        <w:t xml:space="preserve">. </w:t>
      </w:r>
      <w:r w:rsidR="003049C6">
        <w:t xml:space="preserve">Gli uffici sono avvocatescamente avvantaggiati nelle dialettiche coi singoli contribuenti, ma l’efficienza complessiva della funzione tributaria è molto indebolita da questa impostazione, soprattutto per quanto riguarda la </w:t>
      </w:r>
      <w:r w:rsidR="006D16E2">
        <w:rPr>
          <w:sz w:val="22"/>
          <w:szCs w:val="22"/>
        </w:rPr>
        <w:t>determinazione valutativa de</w:t>
      </w:r>
      <w:r w:rsidR="00097298">
        <w:rPr>
          <w:sz w:val="22"/>
          <w:szCs w:val="22"/>
        </w:rPr>
        <w:t xml:space="preserve">i presupposti economici d’imposta, cioè </w:t>
      </w:r>
      <w:r w:rsidR="003049C6">
        <w:rPr>
          <w:sz w:val="22"/>
          <w:szCs w:val="22"/>
        </w:rPr>
        <w:t xml:space="preserve">il contrasto </w:t>
      </w:r>
      <w:r w:rsidR="00097298">
        <w:rPr>
          <w:sz w:val="22"/>
          <w:szCs w:val="22"/>
        </w:rPr>
        <w:t>a</w:t>
      </w:r>
      <w:r w:rsidR="006D16E2">
        <w:rPr>
          <w:sz w:val="22"/>
          <w:szCs w:val="22"/>
        </w:rPr>
        <w:t>ll’evasione in senso materiale</w:t>
      </w:r>
      <w:r w:rsidR="00097298">
        <w:rPr>
          <w:sz w:val="22"/>
          <w:szCs w:val="22"/>
        </w:rPr>
        <w:t xml:space="preserve">. </w:t>
      </w:r>
      <w:r w:rsidR="003049C6">
        <w:rPr>
          <w:sz w:val="22"/>
          <w:szCs w:val="22"/>
        </w:rPr>
        <w:t>L’idea di maneggiare un “credito” del fisco, anziché stimare un presupposto economico d’imposta, mette in crisi gli uffici, che sono come spaventati dalla loro funzione</w:t>
      </w:r>
      <w:r w:rsidR="00E73FE0">
        <w:rPr>
          <w:rStyle w:val="Rimandonotaapidipagina"/>
          <w:sz w:val="22"/>
          <w:szCs w:val="22"/>
        </w:rPr>
        <w:footnoteReference w:id="621"/>
      </w:r>
      <w:r w:rsidR="00E73FE0">
        <w:rPr>
          <w:sz w:val="22"/>
          <w:szCs w:val="22"/>
        </w:rPr>
        <w:t xml:space="preserve">. </w:t>
      </w:r>
      <w:r w:rsidR="00626F24">
        <w:rPr>
          <w:sz w:val="22"/>
          <w:szCs w:val="22"/>
        </w:rPr>
        <w:t xml:space="preserve">La rigidità della legalità e l’ampiezza della </w:t>
      </w:r>
      <w:r w:rsidR="00097298">
        <w:rPr>
          <w:sz w:val="22"/>
          <w:szCs w:val="22"/>
        </w:rPr>
        <w:t>libertà del volere</w:t>
      </w:r>
      <w:r w:rsidR="00626F24">
        <w:rPr>
          <w:sz w:val="22"/>
          <w:szCs w:val="22"/>
        </w:rPr>
        <w:t xml:space="preserve">, unita alla </w:t>
      </w:r>
      <w:r w:rsidR="00097298">
        <w:rPr>
          <w:sz w:val="22"/>
          <w:szCs w:val="22"/>
        </w:rPr>
        <w:t>responsabilità per il suo esercizio, deresponsabilizza</w:t>
      </w:r>
      <w:r w:rsidR="00626F24">
        <w:rPr>
          <w:sz w:val="22"/>
          <w:szCs w:val="22"/>
        </w:rPr>
        <w:t>no rispetto</w:t>
      </w:r>
      <w:r w:rsidR="00097298">
        <w:rPr>
          <w:sz w:val="22"/>
          <w:szCs w:val="22"/>
        </w:rPr>
        <w:t xml:space="preserve"> dall’esercizio della funzione</w:t>
      </w:r>
      <w:r w:rsidR="00626F24">
        <w:rPr>
          <w:sz w:val="22"/>
          <w:szCs w:val="22"/>
        </w:rPr>
        <w:t>. Quest’ultima passa quasi sotto silenzio nell’</w:t>
      </w:r>
      <w:r w:rsidR="00097298">
        <w:rPr>
          <w:sz w:val="22"/>
          <w:szCs w:val="22"/>
        </w:rPr>
        <w:t xml:space="preserve">ottica </w:t>
      </w:r>
      <w:r w:rsidR="00626F24">
        <w:rPr>
          <w:sz w:val="22"/>
          <w:szCs w:val="22"/>
        </w:rPr>
        <w:t xml:space="preserve">privatistico-giurisdizionale, cioè </w:t>
      </w:r>
      <w:r w:rsidR="00097298">
        <w:rPr>
          <w:sz w:val="22"/>
          <w:szCs w:val="22"/>
        </w:rPr>
        <w:t xml:space="preserve">avvocatesca. </w:t>
      </w:r>
    </w:p>
    <w:p w14:paraId="7793D15F" w14:textId="0FF732E2" w:rsidR="00351941" w:rsidRPr="007F7EBF" w:rsidRDefault="00351941" w:rsidP="00351941">
      <w:pPr>
        <w:pStyle w:val="tit23"/>
        <w:ind w:left="6464" w:right="-1361" w:firstLine="0"/>
        <w:jc w:val="left"/>
        <w:rPr>
          <w:bCs/>
          <w:i/>
          <w:iCs/>
          <w:color w:val="0000FF"/>
          <w:lang w:val="it-IT"/>
        </w:rPr>
      </w:pPr>
      <w:r>
        <w:rPr>
          <w:bCs/>
          <w:i/>
          <w:iCs/>
          <w:color w:val="0000FF"/>
          <w:lang w:val="it-IT"/>
        </w:rPr>
        <w:t xml:space="preserve">L’equivoco della </w:t>
      </w:r>
      <w:proofErr w:type="spellStart"/>
      <w:r>
        <w:rPr>
          <w:bCs/>
          <w:i/>
          <w:iCs/>
          <w:color w:val="0000FF"/>
          <w:lang w:val="it-IT"/>
        </w:rPr>
        <w:t>vincolatezza</w:t>
      </w:r>
      <w:proofErr w:type="spellEnd"/>
    </w:p>
    <w:p w14:paraId="5CA8E9EE" w14:textId="4F688815" w:rsidR="00E73FE0" w:rsidRDefault="006B715F" w:rsidP="00E73FE0">
      <w:pPr>
        <w:pStyle w:val="Testonotaapidipagina"/>
        <w:rPr>
          <w:bCs/>
          <w:i/>
          <w:iCs/>
          <w:color w:val="0000FF"/>
          <w:sz w:val="22"/>
          <w:szCs w:val="22"/>
        </w:rPr>
      </w:pPr>
      <w:r>
        <w:rPr>
          <w:sz w:val="22"/>
          <w:szCs w:val="22"/>
        </w:rPr>
        <w:t>Il</w:t>
      </w:r>
      <w:r w:rsidR="00B01C47">
        <w:rPr>
          <w:sz w:val="22"/>
          <w:szCs w:val="22"/>
        </w:rPr>
        <w:t xml:space="preserve"> </w:t>
      </w:r>
      <w:r w:rsidR="00F36C2D">
        <w:rPr>
          <w:sz w:val="22"/>
          <w:szCs w:val="22"/>
        </w:rPr>
        <w:t xml:space="preserve">concetto </w:t>
      </w:r>
      <w:r w:rsidR="00B01C47">
        <w:rPr>
          <w:sz w:val="22"/>
          <w:szCs w:val="22"/>
        </w:rPr>
        <w:t xml:space="preserve">generale </w:t>
      </w:r>
      <w:r w:rsidR="00F36C2D">
        <w:rPr>
          <w:sz w:val="22"/>
          <w:szCs w:val="22"/>
        </w:rPr>
        <w:t>di discrezionalità, elaborato dagli amministrativisti</w:t>
      </w:r>
      <w:r w:rsidR="00B01C47">
        <w:rPr>
          <w:sz w:val="22"/>
          <w:szCs w:val="22"/>
        </w:rPr>
        <w:t xml:space="preserve">, </w:t>
      </w:r>
      <w:r w:rsidR="0038437F">
        <w:rPr>
          <w:sz w:val="22"/>
          <w:szCs w:val="22"/>
        </w:rPr>
        <w:t>avrebbe dovuto essere</w:t>
      </w:r>
      <w:r w:rsidR="00B01C47">
        <w:rPr>
          <w:sz w:val="22"/>
          <w:szCs w:val="22"/>
        </w:rPr>
        <w:t xml:space="preserve"> riempito di contenuti</w:t>
      </w:r>
      <w:r w:rsidR="00842987">
        <w:rPr>
          <w:sz w:val="22"/>
          <w:szCs w:val="22"/>
        </w:rPr>
        <w:t xml:space="preserve"> </w:t>
      </w:r>
      <w:r w:rsidR="00515954">
        <w:rPr>
          <w:sz w:val="22"/>
          <w:szCs w:val="22"/>
        </w:rPr>
        <w:t xml:space="preserve">anche per la </w:t>
      </w:r>
      <w:r w:rsidR="00842987">
        <w:rPr>
          <w:sz w:val="22"/>
          <w:szCs w:val="22"/>
        </w:rPr>
        <w:t>funzione</w:t>
      </w:r>
      <w:r w:rsidR="00515954">
        <w:rPr>
          <w:sz w:val="22"/>
          <w:szCs w:val="22"/>
        </w:rPr>
        <w:t xml:space="preserve"> </w:t>
      </w:r>
      <w:r w:rsidR="008F0279">
        <w:rPr>
          <w:sz w:val="22"/>
          <w:szCs w:val="22"/>
        </w:rPr>
        <w:t>tributaria</w:t>
      </w:r>
      <w:r w:rsidR="0038437F">
        <w:rPr>
          <w:sz w:val="22"/>
          <w:szCs w:val="22"/>
        </w:rPr>
        <w:t>, non certo dal legislatore, né dagli uffici o dai giudici, che riflettono nella massima buona fede spiegazioni e confusioni diffuse nella pubblica opinione, come indicato al par.5.3. Questo compito dei giuristi studiosi sociali è stato eluso da un’accademia che, anziché spiegare dove fosse la discrezionalità nella funzione tributaria</w:t>
      </w:r>
      <w:r w:rsidR="00C92436">
        <w:rPr>
          <w:sz w:val="22"/>
          <w:szCs w:val="22"/>
        </w:rPr>
        <w:t>,</w:t>
      </w:r>
      <w:r w:rsidR="0038437F">
        <w:rPr>
          <w:sz w:val="22"/>
          <w:szCs w:val="22"/>
        </w:rPr>
        <w:t xml:space="preserve"> </w:t>
      </w:r>
      <w:r w:rsidR="00515954">
        <w:rPr>
          <w:sz w:val="22"/>
          <w:szCs w:val="22"/>
        </w:rPr>
        <w:t>l’ha</w:t>
      </w:r>
      <w:r w:rsidR="008F0279">
        <w:rPr>
          <w:sz w:val="22"/>
          <w:szCs w:val="22"/>
        </w:rPr>
        <w:t xml:space="preserve"> </w:t>
      </w:r>
      <w:r w:rsidR="00B55324">
        <w:rPr>
          <w:sz w:val="22"/>
          <w:szCs w:val="22"/>
        </w:rPr>
        <w:t>rimoss</w:t>
      </w:r>
      <w:r w:rsidR="0038437F">
        <w:rPr>
          <w:sz w:val="22"/>
          <w:szCs w:val="22"/>
        </w:rPr>
        <w:t>a</w:t>
      </w:r>
      <w:r w:rsidR="00B55324">
        <w:rPr>
          <w:sz w:val="22"/>
          <w:szCs w:val="22"/>
        </w:rPr>
        <w:t xml:space="preserve"> co</w:t>
      </w:r>
      <w:r w:rsidR="00C92436">
        <w:rPr>
          <w:sz w:val="22"/>
          <w:szCs w:val="22"/>
        </w:rPr>
        <w:t>i suddetti</w:t>
      </w:r>
      <w:r w:rsidR="00B55324">
        <w:rPr>
          <w:sz w:val="22"/>
          <w:szCs w:val="22"/>
        </w:rPr>
        <w:t xml:space="preserve"> </w:t>
      </w:r>
      <w:r w:rsidR="0038437F">
        <w:rPr>
          <w:sz w:val="22"/>
          <w:szCs w:val="22"/>
        </w:rPr>
        <w:t xml:space="preserve">semplicistici </w:t>
      </w:r>
      <w:r w:rsidR="00B55324">
        <w:rPr>
          <w:sz w:val="22"/>
          <w:szCs w:val="22"/>
        </w:rPr>
        <w:t>stereotipi privatistico-giurisdizionali</w:t>
      </w:r>
      <w:r w:rsidR="00C92436">
        <w:rPr>
          <w:sz w:val="22"/>
          <w:szCs w:val="22"/>
        </w:rPr>
        <w:t xml:space="preserve">, come la </w:t>
      </w:r>
      <w:r w:rsidR="00B55324">
        <w:rPr>
          <w:sz w:val="22"/>
          <w:szCs w:val="22"/>
        </w:rPr>
        <w:t xml:space="preserve">generica </w:t>
      </w:r>
      <w:proofErr w:type="spellStart"/>
      <w:r w:rsidR="00B55324">
        <w:rPr>
          <w:sz w:val="22"/>
          <w:szCs w:val="22"/>
        </w:rPr>
        <w:t>vincolatezza</w:t>
      </w:r>
      <w:proofErr w:type="spellEnd"/>
      <w:r w:rsidR="0038437F">
        <w:rPr>
          <w:sz w:val="22"/>
          <w:szCs w:val="22"/>
        </w:rPr>
        <w:t xml:space="preserve">. Ad essa </w:t>
      </w:r>
      <w:r w:rsidR="00515954">
        <w:t xml:space="preserve">si addice </w:t>
      </w:r>
      <w:r w:rsidR="00C92436">
        <w:t xml:space="preserve">invece </w:t>
      </w:r>
      <w:r w:rsidR="00515954">
        <w:t xml:space="preserve">una critica di </w:t>
      </w:r>
      <w:r w:rsidR="00515954">
        <w:lastRenderedPageBreak/>
        <w:t xml:space="preserve">Giannini MS (Diritto amministrativo, Milano, 1970, I, 485), secondo cui </w:t>
      </w:r>
      <w:r w:rsidR="00515954">
        <w:rPr>
          <w:i/>
        </w:rPr>
        <w:t xml:space="preserve"> la normalità è la discrezionalità per i provvedimenti amministrativi e la </w:t>
      </w:r>
      <w:proofErr w:type="spellStart"/>
      <w:r w:rsidR="00515954">
        <w:rPr>
          <w:i/>
        </w:rPr>
        <w:t>vincolatezza</w:t>
      </w:r>
      <w:proofErr w:type="spellEnd"/>
      <w:r w:rsidR="00515954">
        <w:rPr>
          <w:i/>
        </w:rPr>
        <w:t xml:space="preserve"> è una semplice astrazione verbale introdotta solo per la propensione alle simmetrie concettuali, propria del formalismo giuridico  perché la potestà discrezionale ha sempre momenti vincolati , anche quando è amplissima.</w:t>
      </w:r>
      <w:r w:rsidR="00C92436">
        <w:rPr>
          <w:i/>
        </w:rPr>
        <w:t xml:space="preserve"> </w:t>
      </w:r>
      <w:r w:rsidR="00C92436" w:rsidRPr="00010026">
        <w:rPr>
          <w:sz w:val="24"/>
          <w:szCs w:val="24"/>
        </w:rPr>
        <w:t>La discrezionalità esiste in ogni compito da svolgere, che -per quanto dettagliato dal delegante-, comporta sempre margini di valutazione per il delegato. Solo nel comparto privatistico giurisdizionale, essendoci diritti e obblighi da consenso o risarcimento, questo profilo è meno immediatamente evidente, e viene messo in ombra nelle consuete discussioni tra centralità delle regole o del giudice</w:t>
      </w:r>
      <w:r w:rsidR="0094717F" w:rsidRPr="00010026">
        <w:rPr>
          <w:sz w:val="24"/>
          <w:szCs w:val="24"/>
        </w:rPr>
        <w:t xml:space="preserve"> (dietro cui si intravede l’irrisolta dicotomia tra positivismo e giusnaturalismo di cui al par.4.3, sulla cui ricomposizione nell’analisi delle funzioni pubbliche, inclusiva delle relative regole, Studi sociali, cit., par.2.4 ss.).</w:t>
      </w:r>
      <w:r w:rsidR="0094717F">
        <w:t xml:space="preserve"> </w:t>
      </w:r>
    </w:p>
    <w:p w14:paraId="5723494B" w14:textId="20DCA2D9" w:rsidR="00E73FE0" w:rsidRDefault="00E73FE0" w:rsidP="00E73FE0">
      <w:pPr>
        <w:pStyle w:val="tit23"/>
        <w:ind w:left="6464" w:right="-1361" w:firstLine="0"/>
        <w:jc w:val="left"/>
        <w:rPr>
          <w:bCs/>
          <w:i/>
          <w:iCs/>
          <w:color w:val="0000FF"/>
          <w:lang w:val="it-IT"/>
        </w:rPr>
      </w:pPr>
      <w:r>
        <w:rPr>
          <w:bCs/>
          <w:i/>
          <w:iCs/>
          <w:color w:val="0000FF"/>
          <w:lang w:val="it-IT"/>
        </w:rPr>
        <w:t>E del “credito tributario”</w:t>
      </w:r>
    </w:p>
    <w:p w14:paraId="5319C8D7" w14:textId="072CC700" w:rsidR="00515954" w:rsidRDefault="00836CF9" w:rsidP="001D7E84">
      <w:pPr>
        <w:pStyle w:val="Testonotaapidipagina"/>
        <w:rPr>
          <w:sz w:val="22"/>
          <w:szCs w:val="22"/>
        </w:rPr>
      </w:pPr>
      <w:r>
        <w:rPr>
          <w:sz w:val="22"/>
          <w:szCs w:val="22"/>
        </w:rPr>
        <w:t xml:space="preserve">Tanto per confondere meglio le acque, inconsapevolmente, </w:t>
      </w:r>
      <w:r w:rsidR="00515954">
        <w:rPr>
          <w:sz w:val="22"/>
          <w:szCs w:val="22"/>
        </w:rPr>
        <w:t xml:space="preserve">i </w:t>
      </w:r>
      <w:r>
        <w:rPr>
          <w:sz w:val="22"/>
          <w:szCs w:val="22"/>
        </w:rPr>
        <w:t>tributaristi hanno</w:t>
      </w:r>
      <w:r w:rsidR="00515954">
        <w:rPr>
          <w:sz w:val="22"/>
          <w:szCs w:val="22"/>
        </w:rPr>
        <w:t xml:space="preserve"> aggiunt</w:t>
      </w:r>
      <w:r>
        <w:rPr>
          <w:sz w:val="22"/>
          <w:szCs w:val="22"/>
        </w:rPr>
        <w:t>o</w:t>
      </w:r>
      <w:r w:rsidR="00515954">
        <w:rPr>
          <w:sz w:val="22"/>
          <w:szCs w:val="22"/>
        </w:rPr>
        <w:t xml:space="preserve"> </w:t>
      </w:r>
      <w:r w:rsidR="00B55324">
        <w:rPr>
          <w:sz w:val="22"/>
          <w:szCs w:val="22"/>
        </w:rPr>
        <w:t>la fantomatica indisponibilità del credito tributario</w:t>
      </w:r>
      <w:r>
        <w:rPr>
          <w:sz w:val="22"/>
          <w:szCs w:val="22"/>
        </w:rPr>
        <w:t>, riferendola a</w:t>
      </w:r>
      <w:r w:rsidR="00B55324">
        <w:rPr>
          <w:sz w:val="22"/>
          <w:szCs w:val="22"/>
        </w:rPr>
        <w:t>i presupposti economici d’imposta</w:t>
      </w:r>
      <w:r>
        <w:rPr>
          <w:sz w:val="22"/>
          <w:szCs w:val="22"/>
        </w:rPr>
        <w:t xml:space="preserve">. La normale dialettica sulla determinazione valutativa dei presupposti economici d’imposta è stata così presentata come trattativa sull’imposta, avendo in mente l’obiettivo avvocatesco di riservarla al giudice, dando luogo così a quella che al par.6.10 chiameremo </w:t>
      </w:r>
      <w:r>
        <w:rPr>
          <w:i/>
          <w:iCs/>
          <w:sz w:val="22"/>
          <w:szCs w:val="22"/>
        </w:rPr>
        <w:t>cannibalizzazione processuale della funzione tributaria</w:t>
      </w:r>
      <w:r>
        <w:rPr>
          <w:sz w:val="22"/>
          <w:szCs w:val="22"/>
        </w:rPr>
        <w:t>; vi si sono accompagnate</w:t>
      </w:r>
      <w:r w:rsidR="00AB1609">
        <w:t xml:space="preserve"> deresponsabilizzazioni amministrative, proliferazione di contenziosi, bramosie avvocatesche, drammatizzazioni e </w:t>
      </w:r>
      <w:r w:rsidR="00515954">
        <w:t xml:space="preserve">naturalmente </w:t>
      </w:r>
      <w:r w:rsidR="00AB1609">
        <w:t>corruzioni (par.5.11)</w:t>
      </w:r>
      <w:r w:rsidR="00AB1609">
        <w:rPr>
          <w:sz w:val="22"/>
          <w:szCs w:val="22"/>
        </w:rPr>
        <w:t xml:space="preserve">. </w:t>
      </w:r>
    </w:p>
    <w:p w14:paraId="41E459FC" w14:textId="335B098B" w:rsidR="00696C38" w:rsidRDefault="00836CF9" w:rsidP="001D7E84">
      <w:pPr>
        <w:pStyle w:val="Testonotaapidipagina"/>
        <w:rPr>
          <w:bCs/>
          <w:i/>
          <w:iCs/>
          <w:color w:val="0000FF"/>
        </w:rPr>
      </w:pPr>
      <w:r>
        <w:rPr>
          <w:sz w:val="22"/>
          <w:szCs w:val="22"/>
        </w:rPr>
        <w:t xml:space="preserve">La </w:t>
      </w:r>
      <w:r w:rsidR="00696C38">
        <w:rPr>
          <w:sz w:val="22"/>
          <w:szCs w:val="22"/>
        </w:rPr>
        <w:t xml:space="preserve">stima </w:t>
      </w:r>
      <w:r w:rsidR="00002573">
        <w:rPr>
          <w:sz w:val="22"/>
          <w:szCs w:val="22"/>
        </w:rPr>
        <w:t>per ordine di grandezza</w:t>
      </w:r>
      <w:r w:rsidR="00696C38">
        <w:rPr>
          <w:sz w:val="22"/>
          <w:szCs w:val="22"/>
        </w:rPr>
        <w:t xml:space="preserve"> d</w:t>
      </w:r>
      <w:r>
        <w:rPr>
          <w:sz w:val="22"/>
          <w:szCs w:val="22"/>
        </w:rPr>
        <w:t xml:space="preserve">ei presupposti economici </w:t>
      </w:r>
      <w:r w:rsidR="00294EB1">
        <w:rPr>
          <w:sz w:val="22"/>
          <w:szCs w:val="22"/>
        </w:rPr>
        <w:t>di artigiani e piccole organizzazioni</w:t>
      </w:r>
      <w:r>
        <w:rPr>
          <w:sz w:val="22"/>
          <w:szCs w:val="22"/>
        </w:rPr>
        <w:t xml:space="preserve"> ha perso qualsiasi sistematicità (par.5.2), l’esportazione della ragioneria e la formalizzazione delle stime (par.4.5) hanno reso defatiganti sia le pratiche professionali (par.3.16) sia le procedure amministrative, che hanno perso il </w:t>
      </w:r>
      <w:r>
        <w:t>controllo del territorio (par. 5.</w:t>
      </w:r>
      <w:r w:rsidR="00547DD7">
        <w:t>20 sui condoni</w:t>
      </w:r>
      <w:r>
        <w:t>)</w:t>
      </w:r>
      <w:r w:rsidR="00547DD7">
        <w:t xml:space="preserve">. Quest’andazzo ha </w:t>
      </w:r>
      <w:r w:rsidR="0038437F">
        <w:rPr>
          <w:sz w:val="22"/>
          <w:szCs w:val="22"/>
        </w:rPr>
        <w:t>assecondat</w:t>
      </w:r>
      <w:r w:rsidR="00547DD7">
        <w:rPr>
          <w:sz w:val="22"/>
          <w:szCs w:val="22"/>
        </w:rPr>
        <w:t>o</w:t>
      </w:r>
      <w:r w:rsidR="0038437F">
        <w:rPr>
          <w:sz w:val="22"/>
          <w:szCs w:val="22"/>
        </w:rPr>
        <w:t xml:space="preserve"> l</w:t>
      </w:r>
      <w:r w:rsidR="00857128">
        <w:rPr>
          <w:sz w:val="22"/>
          <w:szCs w:val="22"/>
        </w:rPr>
        <w:t xml:space="preserve">a </w:t>
      </w:r>
      <w:r w:rsidR="00611A6E">
        <w:rPr>
          <w:sz w:val="22"/>
          <w:szCs w:val="22"/>
        </w:rPr>
        <w:t>tendenza a</w:t>
      </w:r>
      <w:r w:rsidR="0038437F">
        <w:rPr>
          <w:sz w:val="22"/>
          <w:szCs w:val="22"/>
        </w:rPr>
        <w:t>lle contestazioni interpretative</w:t>
      </w:r>
      <w:r>
        <w:rPr>
          <w:sz w:val="22"/>
          <w:szCs w:val="22"/>
        </w:rPr>
        <w:t xml:space="preserve"> di cui ai parr.5.17 ss.</w:t>
      </w:r>
      <w:r w:rsidR="0038437F">
        <w:rPr>
          <w:sz w:val="22"/>
          <w:szCs w:val="22"/>
        </w:rPr>
        <w:t>,</w:t>
      </w:r>
      <w:r w:rsidR="00696C38">
        <w:rPr>
          <w:sz w:val="22"/>
          <w:szCs w:val="22"/>
        </w:rPr>
        <w:t xml:space="preserve"> in nome di un’ineffabile </w:t>
      </w:r>
      <w:r w:rsidR="00696C38">
        <w:rPr>
          <w:i/>
          <w:sz w:val="22"/>
          <w:szCs w:val="22"/>
        </w:rPr>
        <w:t>legalità</w:t>
      </w:r>
      <w:r w:rsidR="00696C38">
        <w:rPr>
          <w:sz w:val="22"/>
          <w:szCs w:val="22"/>
        </w:rPr>
        <w:t xml:space="preserve">, </w:t>
      </w:r>
      <w:r w:rsidR="0038437F">
        <w:rPr>
          <w:sz w:val="22"/>
          <w:szCs w:val="22"/>
        </w:rPr>
        <w:t xml:space="preserve">facendo </w:t>
      </w:r>
      <w:r w:rsidR="00857128">
        <w:rPr>
          <w:sz w:val="22"/>
          <w:szCs w:val="22"/>
        </w:rPr>
        <w:t xml:space="preserve">perdere il senso </w:t>
      </w:r>
      <w:r w:rsidR="00611A6E">
        <w:rPr>
          <w:sz w:val="22"/>
          <w:szCs w:val="22"/>
        </w:rPr>
        <w:t>della funzione</w:t>
      </w:r>
      <w:r w:rsidR="00857128">
        <w:rPr>
          <w:sz w:val="22"/>
          <w:szCs w:val="22"/>
        </w:rPr>
        <w:t xml:space="preserve"> amministrativa tributaria</w:t>
      </w:r>
      <w:r w:rsidR="00696C38">
        <w:rPr>
          <w:sz w:val="22"/>
          <w:szCs w:val="22"/>
        </w:rPr>
        <w:t xml:space="preserve">.  </w:t>
      </w:r>
    </w:p>
    <w:p w14:paraId="39DCA55A" w14:textId="75F2D46D" w:rsidR="00696C38" w:rsidRDefault="001D7E84" w:rsidP="00696C38">
      <w:pPr>
        <w:pStyle w:val="tit23"/>
        <w:ind w:left="6464" w:right="-1361" w:firstLine="0"/>
        <w:jc w:val="left"/>
        <w:rPr>
          <w:bCs/>
          <w:i/>
          <w:iCs/>
          <w:color w:val="0000FF"/>
          <w:lang w:val="it-IT"/>
        </w:rPr>
      </w:pPr>
      <w:r>
        <w:rPr>
          <w:bCs/>
          <w:i/>
          <w:iCs/>
          <w:color w:val="0000FF"/>
          <w:lang w:val="it-IT"/>
        </w:rPr>
        <w:t xml:space="preserve">Perequazione </w:t>
      </w:r>
      <w:r w:rsidR="00696C38" w:rsidRPr="00081A77">
        <w:rPr>
          <w:bCs/>
          <w:i/>
          <w:iCs/>
          <w:color w:val="0000FF"/>
          <w:lang w:val="it-IT"/>
        </w:rPr>
        <w:t xml:space="preserve">“interesse primario” </w:t>
      </w:r>
      <w:r>
        <w:rPr>
          <w:bCs/>
          <w:i/>
          <w:iCs/>
          <w:color w:val="0000FF"/>
          <w:lang w:val="it-IT"/>
        </w:rPr>
        <w:t xml:space="preserve">e </w:t>
      </w:r>
      <w:r>
        <w:rPr>
          <w:bCs/>
          <w:i/>
          <w:iCs/>
          <w:color w:val="0000FF"/>
          <w:lang w:val="it-IT"/>
        </w:rPr>
        <w:lastRenderedPageBreak/>
        <w:t>interessi extrafiscali</w:t>
      </w:r>
    </w:p>
    <w:p w14:paraId="1BB0EB33" w14:textId="77FAE4BA" w:rsidR="00474C18" w:rsidRPr="00010026" w:rsidRDefault="001D7E84" w:rsidP="00696C38">
      <w:pPr>
        <w:pStyle w:val="Testonotaapidipagina"/>
        <w:rPr>
          <w:sz w:val="24"/>
          <w:szCs w:val="24"/>
        </w:rPr>
      </w:pPr>
      <w:r w:rsidRPr="00010026">
        <w:rPr>
          <w:sz w:val="24"/>
          <w:szCs w:val="24"/>
        </w:rPr>
        <w:t>Anche in materia tributaria</w:t>
      </w:r>
      <w:r>
        <w:rPr>
          <w:sz w:val="22"/>
          <w:szCs w:val="22"/>
        </w:rPr>
        <w:t>, invece di divagare in astratto pro o contro la discrezionalità, occorre capire le valutazioni in concreto demandate agli uffici</w:t>
      </w:r>
      <w:r w:rsidR="00857128">
        <w:rPr>
          <w:sz w:val="22"/>
          <w:szCs w:val="22"/>
        </w:rPr>
        <w:t xml:space="preserve">, per </w:t>
      </w:r>
      <w:r w:rsidR="00696C38">
        <w:rPr>
          <w:sz w:val="22"/>
          <w:szCs w:val="22"/>
        </w:rPr>
        <w:t>svolgere</w:t>
      </w:r>
      <w:r w:rsidR="00857128">
        <w:rPr>
          <w:sz w:val="22"/>
          <w:szCs w:val="22"/>
        </w:rPr>
        <w:t xml:space="preserve"> nel modo migliore</w:t>
      </w:r>
      <w:r w:rsidR="00696C38">
        <w:rPr>
          <w:sz w:val="22"/>
          <w:szCs w:val="22"/>
        </w:rPr>
        <w:t xml:space="preserve"> la</w:t>
      </w:r>
      <w:r w:rsidR="00857128">
        <w:rPr>
          <w:sz w:val="22"/>
          <w:szCs w:val="22"/>
        </w:rPr>
        <w:t xml:space="preserve"> propria</w:t>
      </w:r>
      <w:r w:rsidR="00696C38">
        <w:rPr>
          <w:sz w:val="22"/>
          <w:szCs w:val="22"/>
        </w:rPr>
        <w:t xml:space="preserve"> funzione</w:t>
      </w:r>
      <w:r w:rsidR="00857128">
        <w:rPr>
          <w:sz w:val="22"/>
          <w:szCs w:val="22"/>
        </w:rPr>
        <w:t xml:space="preserve">. </w:t>
      </w:r>
      <w:r w:rsidR="007A5EDC">
        <w:rPr>
          <w:sz w:val="22"/>
          <w:szCs w:val="22"/>
        </w:rPr>
        <w:t xml:space="preserve">Qui non aiutano le esatte, ma ancora troppo superficiali, elaborazioni del diritto amministrativo sulla discrezionalità, come mediazione di interessi pubblici diversi, che sicuramente in materia tributaria non esiste. </w:t>
      </w:r>
      <w:r w:rsidR="00857128">
        <w:rPr>
          <w:sz w:val="22"/>
          <w:szCs w:val="22"/>
        </w:rPr>
        <w:t>Rispetto all’interesse primario di determinare i presupposti economici d’imposta</w:t>
      </w:r>
      <w:r w:rsidR="00CE4A8F">
        <w:rPr>
          <w:sz w:val="22"/>
          <w:szCs w:val="22"/>
        </w:rPr>
        <w:t xml:space="preserve"> , non rilevano </w:t>
      </w:r>
      <w:proofErr w:type="spellStart"/>
      <w:r w:rsidR="00CE4A8F" w:rsidRPr="00010026">
        <w:rPr>
          <w:sz w:val="24"/>
          <w:szCs w:val="24"/>
        </w:rPr>
        <w:t>nè</w:t>
      </w:r>
      <w:proofErr w:type="spellEnd"/>
      <w:r w:rsidR="00CE4A8F" w:rsidRPr="00010026">
        <w:rPr>
          <w:sz w:val="24"/>
          <w:szCs w:val="24"/>
        </w:rPr>
        <w:t xml:space="preserve"> l’</w:t>
      </w:r>
      <w:r w:rsidRPr="00010026">
        <w:rPr>
          <w:sz w:val="24"/>
          <w:szCs w:val="24"/>
        </w:rPr>
        <w:t>impatto economico sociale dell’attività svolta dal contribuente</w:t>
      </w:r>
      <w:r w:rsidR="00CE4A8F" w:rsidRPr="00010026">
        <w:rPr>
          <w:sz w:val="24"/>
          <w:szCs w:val="24"/>
        </w:rPr>
        <w:t>, né gli effetti economico sociali dell’imposta</w:t>
      </w:r>
      <w:r w:rsidR="00857128" w:rsidRPr="00010026">
        <w:rPr>
          <w:sz w:val="24"/>
          <w:szCs w:val="24"/>
        </w:rPr>
        <w:t xml:space="preserve">, </w:t>
      </w:r>
      <w:r w:rsidR="00CE4A8F" w:rsidRPr="00010026">
        <w:rPr>
          <w:sz w:val="24"/>
          <w:szCs w:val="24"/>
        </w:rPr>
        <w:t>come sviluppo economico</w:t>
      </w:r>
      <w:r w:rsidR="00857128" w:rsidRPr="00010026">
        <w:rPr>
          <w:sz w:val="24"/>
          <w:szCs w:val="24"/>
        </w:rPr>
        <w:t xml:space="preserve"> (par.4.2)</w:t>
      </w:r>
      <w:r w:rsidR="00CE4A8F" w:rsidRPr="00010026">
        <w:rPr>
          <w:sz w:val="24"/>
          <w:szCs w:val="24"/>
        </w:rPr>
        <w:t>, ricerca, cultura, assistenza, salute, etc.</w:t>
      </w:r>
      <w:r w:rsidR="00857128" w:rsidRPr="00010026">
        <w:rPr>
          <w:sz w:val="24"/>
          <w:szCs w:val="24"/>
        </w:rPr>
        <w:t xml:space="preserve">. Queste prospettive </w:t>
      </w:r>
      <w:r w:rsidR="00CE4A8F" w:rsidRPr="00010026">
        <w:rPr>
          <w:sz w:val="24"/>
          <w:szCs w:val="24"/>
        </w:rPr>
        <w:t xml:space="preserve">riguardano </w:t>
      </w:r>
      <w:r w:rsidR="00294EB1" w:rsidRPr="00010026">
        <w:rPr>
          <w:sz w:val="24"/>
          <w:szCs w:val="24"/>
        </w:rPr>
        <w:t xml:space="preserve">infatti </w:t>
      </w:r>
      <w:r w:rsidR="00CE4A8F" w:rsidRPr="00010026">
        <w:rPr>
          <w:sz w:val="24"/>
          <w:szCs w:val="24"/>
        </w:rPr>
        <w:t>altre diverse pubbliche funzioni</w:t>
      </w:r>
      <w:r w:rsidR="00294EB1" w:rsidRPr="00010026">
        <w:rPr>
          <w:sz w:val="24"/>
          <w:szCs w:val="24"/>
        </w:rPr>
        <w:t xml:space="preserve">, e </w:t>
      </w:r>
      <w:r w:rsidRPr="00010026">
        <w:rPr>
          <w:sz w:val="24"/>
          <w:szCs w:val="24"/>
        </w:rPr>
        <w:t xml:space="preserve">possono essere recuperate in momenti logici </w:t>
      </w:r>
      <w:r w:rsidR="00781653" w:rsidRPr="00010026">
        <w:rPr>
          <w:sz w:val="24"/>
          <w:szCs w:val="24"/>
        </w:rPr>
        <w:t xml:space="preserve">diversi dalla </w:t>
      </w:r>
      <w:r w:rsidRPr="00010026">
        <w:rPr>
          <w:sz w:val="24"/>
          <w:szCs w:val="24"/>
        </w:rPr>
        <w:t>determinazione del</w:t>
      </w:r>
      <w:r w:rsidR="00294EB1" w:rsidRPr="00010026">
        <w:rPr>
          <w:sz w:val="24"/>
          <w:szCs w:val="24"/>
        </w:rPr>
        <w:t xml:space="preserve"> presupposto</w:t>
      </w:r>
      <w:r w:rsidRPr="00010026">
        <w:rPr>
          <w:sz w:val="24"/>
          <w:szCs w:val="24"/>
        </w:rPr>
        <w:t>, come le fasi</w:t>
      </w:r>
      <w:r w:rsidR="00781653" w:rsidRPr="00010026">
        <w:rPr>
          <w:sz w:val="24"/>
          <w:szCs w:val="24"/>
        </w:rPr>
        <w:t xml:space="preserve"> </w:t>
      </w:r>
      <w:r w:rsidRPr="00010026">
        <w:rPr>
          <w:sz w:val="24"/>
          <w:szCs w:val="24"/>
        </w:rPr>
        <w:t>di riscossione</w:t>
      </w:r>
      <w:r w:rsidR="00781653" w:rsidRPr="00010026">
        <w:rPr>
          <w:sz w:val="24"/>
          <w:szCs w:val="24"/>
        </w:rPr>
        <w:t>, su cui</w:t>
      </w:r>
      <w:r w:rsidRPr="00010026">
        <w:rPr>
          <w:sz w:val="24"/>
          <w:szCs w:val="24"/>
        </w:rPr>
        <w:t xml:space="preserve"> par</w:t>
      </w:r>
      <w:r w:rsidR="00781653" w:rsidRPr="00010026">
        <w:rPr>
          <w:sz w:val="24"/>
          <w:szCs w:val="24"/>
        </w:rPr>
        <w:t>r</w:t>
      </w:r>
      <w:r w:rsidRPr="00010026">
        <w:rPr>
          <w:sz w:val="24"/>
          <w:szCs w:val="24"/>
        </w:rPr>
        <w:t>.</w:t>
      </w:r>
      <w:r w:rsidR="00781653" w:rsidRPr="00010026">
        <w:rPr>
          <w:sz w:val="24"/>
          <w:szCs w:val="24"/>
        </w:rPr>
        <w:t xml:space="preserve">6.5 e </w:t>
      </w:r>
      <w:r w:rsidRPr="00010026">
        <w:rPr>
          <w:sz w:val="24"/>
          <w:szCs w:val="24"/>
        </w:rPr>
        <w:t>6.1</w:t>
      </w:r>
      <w:r w:rsidR="00781653" w:rsidRPr="00010026">
        <w:rPr>
          <w:sz w:val="24"/>
          <w:szCs w:val="24"/>
        </w:rPr>
        <w:t>1</w:t>
      </w:r>
      <w:r w:rsidRPr="00010026">
        <w:rPr>
          <w:sz w:val="24"/>
          <w:szCs w:val="24"/>
        </w:rPr>
        <w:t xml:space="preserve">. </w:t>
      </w:r>
    </w:p>
    <w:p w14:paraId="4A48F2AB" w14:textId="57004233" w:rsidR="00696C38" w:rsidRDefault="00696C38" w:rsidP="00696C38">
      <w:pPr>
        <w:pStyle w:val="tit23"/>
        <w:ind w:left="6464" w:right="-1361" w:firstLine="0"/>
        <w:jc w:val="left"/>
        <w:rPr>
          <w:bCs/>
          <w:i/>
          <w:iCs/>
          <w:color w:val="0000FF"/>
          <w:lang w:val="it-IT"/>
        </w:rPr>
      </w:pPr>
      <w:r w:rsidRPr="00081A77">
        <w:rPr>
          <w:bCs/>
          <w:i/>
          <w:iCs/>
          <w:color w:val="0000FF"/>
          <w:lang w:val="it-IT"/>
        </w:rPr>
        <w:t>varie modalità di soddisfare l’interesse primario</w:t>
      </w:r>
    </w:p>
    <w:p w14:paraId="13EA34F4" w14:textId="076CAEB6" w:rsidR="00367855" w:rsidRDefault="0038437F" w:rsidP="00B86A53">
      <w:pPr>
        <w:pStyle w:val="Testonotaapidipagina"/>
        <w:rPr>
          <w:sz w:val="22"/>
          <w:szCs w:val="22"/>
        </w:rPr>
      </w:pPr>
      <w:r w:rsidRPr="0038437F">
        <w:rPr>
          <w:sz w:val="22"/>
          <w:szCs w:val="22"/>
        </w:rPr>
        <w:t xml:space="preserve">La funzione tributaria, come tutte le funzioni pubbliche (tipo sanità, istruzione, ambiente, beni culturali </w:t>
      </w:r>
      <w:proofErr w:type="spellStart"/>
      <w:r w:rsidRPr="0038437F">
        <w:rPr>
          <w:sz w:val="22"/>
          <w:szCs w:val="22"/>
        </w:rPr>
        <w:t>etc</w:t>
      </w:r>
      <w:proofErr w:type="spellEnd"/>
      <w:r w:rsidRPr="0038437F">
        <w:rPr>
          <w:sz w:val="22"/>
          <w:szCs w:val="22"/>
        </w:rPr>
        <w:t>) raramente deve mediare tra interessi pubblici diversi, quanto piuttosto tra modalità diverse sotto cui rileva un unico pubblico; quest’ultimo, denominato “interesse primario”, consiste nel nostro caso nella determinazione dei presupposti economici d’imposta nei modi complessivi di cui al par.5.7, per l’impatto dei controlli percepito nella pubblica opinione, che si riflette sul tasso di adempimento (c.d. “tax compliance”).</w:t>
      </w:r>
      <w:r w:rsidR="0056547D">
        <w:rPr>
          <w:sz w:val="22"/>
          <w:szCs w:val="22"/>
        </w:rPr>
        <w:t xml:space="preserve">Vengono quindi </w:t>
      </w:r>
      <w:r w:rsidR="00696C38">
        <w:rPr>
          <w:sz w:val="22"/>
          <w:szCs w:val="22"/>
        </w:rPr>
        <w:t>in considerazione molteplici profili, da conciliare tra loro, riportabili alla precisione, alla rapidità, alla proficuità, alla semplicità, alla certezza</w:t>
      </w:r>
      <w:r>
        <w:rPr>
          <w:sz w:val="22"/>
          <w:szCs w:val="22"/>
        </w:rPr>
        <w:t>, alle indicazioni fornite all’insieme dei contribuenti, il che vuol dire all’immagine reputazionale della funzione tributaria</w:t>
      </w:r>
      <w:r w:rsidR="00696C38">
        <w:rPr>
          <w:sz w:val="22"/>
          <w:szCs w:val="22"/>
        </w:rPr>
        <w:t xml:space="preserve">. </w:t>
      </w:r>
      <w:r w:rsidR="001D7E84">
        <w:rPr>
          <w:sz w:val="22"/>
          <w:szCs w:val="22"/>
        </w:rPr>
        <w:t>Ne troviamo applicazioni nella s</w:t>
      </w:r>
      <w:r w:rsidR="001D7E84">
        <w:t>celta dei contribuenti da controllare, nelle direzioni di indagine anche in relazione alla credibilità del dichiarato (par.5.7)</w:t>
      </w:r>
      <w:r w:rsidR="0056547D">
        <w:t xml:space="preserve"> e </w:t>
      </w:r>
      <w:r w:rsidR="001D7E84">
        <w:t>all</w:t>
      </w:r>
      <w:r w:rsidR="0056547D">
        <w:t>e</w:t>
      </w:r>
      <w:r w:rsidR="001D7E84">
        <w:t xml:space="preserve"> </w:t>
      </w:r>
      <w:r w:rsidR="0056547D">
        <w:t>prospettive</w:t>
      </w:r>
      <w:r w:rsidR="001D7E84">
        <w:t xml:space="preserve"> dei contenziosi amministrativi (par.6.4-6.5) e giurisdizionali. La perequazione tributaria richiede una tendenziale omogeneità di </w:t>
      </w:r>
      <w:r w:rsidR="001D7E84">
        <w:rPr>
          <w:sz w:val="22"/>
          <w:szCs w:val="22"/>
        </w:rPr>
        <w:t>valutazione degli imponibili, anche considerando comparativamente i comportamenti dei soggetti non accertati, rispetto alle informazioni disponibili e all</w:t>
      </w:r>
      <w:r w:rsidR="0056547D">
        <w:rPr>
          <w:sz w:val="22"/>
          <w:szCs w:val="22"/>
        </w:rPr>
        <w:t>’impatto dell’attività sul tasso complessivo di adempimento dei contribuenti</w:t>
      </w:r>
      <w:r w:rsidR="001D7E84">
        <w:rPr>
          <w:sz w:val="22"/>
          <w:szCs w:val="22"/>
        </w:rPr>
        <w:t xml:space="preserve">, </w:t>
      </w:r>
      <w:r w:rsidR="0056547D">
        <w:rPr>
          <w:sz w:val="22"/>
          <w:szCs w:val="22"/>
        </w:rPr>
        <w:t>secondo i parametri</w:t>
      </w:r>
      <w:r w:rsidR="001D7E84">
        <w:rPr>
          <w:sz w:val="22"/>
          <w:szCs w:val="22"/>
        </w:rPr>
        <w:t xml:space="preserve"> indicat</w:t>
      </w:r>
      <w:r w:rsidR="0056547D">
        <w:rPr>
          <w:sz w:val="22"/>
          <w:szCs w:val="22"/>
        </w:rPr>
        <w:t>i</w:t>
      </w:r>
      <w:r w:rsidR="001D7E84">
        <w:rPr>
          <w:sz w:val="22"/>
          <w:szCs w:val="22"/>
        </w:rPr>
        <w:t xml:space="preserve"> al par.5.7. </w:t>
      </w:r>
      <w:r w:rsidR="00696C38">
        <w:rPr>
          <w:sz w:val="22"/>
          <w:szCs w:val="22"/>
        </w:rPr>
        <w:t xml:space="preserve">Può quindi rispondere all’interesse pubblico, come indicato al par.5.7, astenersi da </w:t>
      </w:r>
      <w:r w:rsidR="00696C38">
        <w:rPr>
          <w:sz w:val="22"/>
          <w:szCs w:val="22"/>
        </w:rPr>
        <w:lastRenderedPageBreak/>
        <w:t xml:space="preserve">approfondire un controllo dove “prima </w:t>
      </w:r>
      <w:proofErr w:type="spellStart"/>
      <w:r w:rsidR="00696C38">
        <w:rPr>
          <w:sz w:val="22"/>
          <w:szCs w:val="22"/>
        </w:rPr>
        <w:t>facie</w:t>
      </w:r>
      <w:proofErr w:type="spellEnd"/>
      <w:r w:rsidR="00696C38">
        <w:rPr>
          <w:sz w:val="22"/>
          <w:szCs w:val="22"/>
        </w:rPr>
        <w:t xml:space="preserve">” l’evasione è  relativamente modesta, </w:t>
      </w:r>
      <w:r w:rsidR="007B7156">
        <w:rPr>
          <w:sz w:val="22"/>
          <w:szCs w:val="22"/>
        </w:rPr>
        <w:t xml:space="preserve">comparativamente all’abbondanza </w:t>
      </w:r>
      <w:r w:rsidR="00696C38">
        <w:rPr>
          <w:sz w:val="22"/>
          <w:szCs w:val="22"/>
        </w:rPr>
        <w:t>di situazioni dove sono prospetticamente verosimili evasioni maggiori (</w:t>
      </w:r>
      <w:r w:rsidR="00696C38">
        <w:rPr>
          <w:rStyle w:val="Rimandonotaapidipagina"/>
          <w:sz w:val="22"/>
          <w:szCs w:val="22"/>
        </w:rPr>
        <w:footnoteReference w:id="622"/>
      </w:r>
      <w:r w:rsidR="00696C38">
        <w:rPr>
          <w:sz w:val="22"/>
          <w:szCs w:val="22"/>
        </w:rPr>
        <w:t xml:space="preserve">); c’è anche un interesse a mantenere una  certa presenza sulle varie tipologie di operatori economici, evitando che alcune di esse si sentano immuni da controlli. </w:t>
      </w:r>
    </w:p>
    <w:p w14:paraId="7B6F3D83" w14:textId="1F2CC765" w:rsidR="00B86A53" w:rsidRPr="00010026" w:rsidRDefault="001D7E84" w:rsidP="00B86A53">
      <w:pPr>
        <w:pStyle w:val="Testonotaapidipagina"/>
        <w:rPr>
          <w:bCs/>
          <w:sz w:val="24"/>
          <w:szCs w:val="24"/>
        </w:rPr>
      </w:pPr>
      <w:r w:rsidRPr="00010026">
        <w:rPr>
          <w:bCs/>
          <w:sz w:val="24"/>
          <w:szCs w:val="24"/>
        </w:rPr>
        <w:t>Su questo sfondo, a</w:t>
      </w:r>
      <w:r w:rsidR="00B86A53" w:rsidRPr="00010026">
        <w:rPr>
          <w:sz w:val="24"/>
          <w:szCs w:val="24"/>
        </w:rPr>
        <w:t>nche la sola discussione su</w:t>
      </w:r>
      <w:r w:rsidRPr="00010026">
        <w:rPr>
          <w:sz w:val="24"/>
          <w:szCs w:val="24"/>
        </w:rPr>
        <w:t>i margini di valutazione degli uffici tributari</w:t>
      </w:r>
      <w:r w:rsidR="00B86A53" w:rsidRPr="00010026">
        <w:rPr>
          <w:sz w:val="24"/>
          <w:szCs w:val="24"/>
        </w:rPr>
        <w:t xml:space="preserve"> contribuisce all</w:t>
      </w:r>
      <w:r w:rsidRPr="00010026">
        <w:rPr>
          <w:sz w:val="24"/>
          <w:szCs w:val="24"/>
        </w:rPr>
        <w:t xml:space="preserve">a loro </w:t>
      </w:r>
      <w:r w:rsidR="00B86A53" w:rsidRPr="00010026">
        <w:rPr>
          <w:sz w:val="24"/>
          <w:szCs w:val="24"/>
        </w:rPr>
        <w:t xml:space="preserve">efficienza, contro i timori di corruzioni, negligenze e deresponsabilizzazioni cui è dedicato il prossimo paragrafo. </w:t>
      </w:r>
    </w:p>
    <w:p w14:paraId="7B447FD9" w14:textId="01994231" w:rsidR="00530646" w:rsidRPr="007F7EBF" w:rsidRDefault="006342C5" w:rsidP="00406370">
      <w:pPr>
        <w:pStyle w:val="Titolo3"/>
        <w:rPr>
          <w:bCs w:val="0"/>
          <w:i/>
          <w:iCs/>
          <w:color w:val="0000FF"/>
          <w:sz w:val="22"/>
          <w:szCs w:val="22"/>
        </w:rPr>
      </w:pPr>
      <w:bookmarkStart w:id="69" w:name="_Toc63364983"/>
      <w:r w:rsidRPr="007F7EBF">
        <w:rPr>
          <w:rFonts w:ascii="Times New Roman" w:hAnsi="Times New Roman"/>
          <w:sz w:val="22"/>
          <w:szCs w:val="22"/>
        </w:rPr>
        <w:t xml:space="preserve">5.11. </w:t>
      </w:r>
      <w:r w:rsidRPr="007F7EBF">
        <w:rPr>
          <w:rFonts w:ascii="Times New Roman" w:hAnsi="Times New Roman"/>
          <w:i/>
          <w:iCs/>
          <w:sz w:val="22"/>
          <w:szCs w:val="22"/>
        </w:rPr>
        <w:t>Segue</w:t>
      </w:r>
      <w:r w:rsidR="00364297" w:rsidRPr="007F7EBF">
        <w:rPr>
          <w:rFonts w:ascii="Times New Roman" w:hAnsi="Times New Roman"/>
          <w:sz w:val="22"/>
          <w:szCs w:val="22"/>
        </w:rPr>
        <w:t xml:space="preserve">. </w:t>
      </w:r>
      <w:r w:rsidR="00AC1DF4">
        <w:rPr>
          <w:rFonts w:ascii="Times New Roman" w:hAnsi="Times New Roman"/>
          <w:sz w:val="22"/>
          <w:szCs w:val="22"/>
          <w:lang w:val="it-IT"/>
        </w:rPr>
        <w:t>timori</w:t>
      </w:r>
      <w:r w:rsidR="00364297" w:rsidRPr="007F7EBF">
        <w:rPr>
          <w:rFonts w:ascii="Times New Roman" w:hAnsi="Times New Roman"/>
          <w:sz w:val="22"/>
          <w:szCs w:val="22"/>
        </w:rPr>
        <w:t xml:space="preserve"> di</w:t>
      </w:r>
      <w:r w:rsidR="009F7A9F" w:rsidRPr="007F7EBF">
        <w:rPr>
          <w:rFonts w:ascii="Times New Roman" w:hAnsi="Times New Roman"/>
          <w:sz w:val="22"/>
          <w:szCs w:val="22"/>
        </w:rPr>
        <w:t xml:space="preserve"> </w:t>
      </w:r>
      <w:r w:rsidR="00364297" w:rsidRPr="007F7EBF">
        <w:rPr>
          <w:rFonts w:ascii="Times New Roman" w:hAnsi="Times New Roman"/>
          <w:sz w:val="22"/>
          <w:szCs w:val="22"/>
        </w:rPr>
        <w:t>negligenza</w:t>
      </w:r>
      <w:r w:rsidR="008F3A01" w:rsidRPr="007F7EBF">
        <w:rPr>
          <w:rFonts w:ascii="Times New Roman" w:hAnsi="Times New Roman"/>
          <w:sz w:val="22"/>
          <w:szCs w:val="22"/>
        </w:rPr>
        <w:t xml:space="preserve"> </w:t>
      </w:r>
      <w:r w:rsidR="00AC1DF4">
        <w:rPr>
          <w:rFonts w:ascii="Times New Roman" w:hAnsi="Times New Roman"/>
          <w:sz w:val="22"/>
          <w:szCs w:val="22"/>
          <w:lang w:val="it-IT"/>
        </w:rPr>
        <w:t xml:space="preserve">e connivenza </w:t>
      </w:r>
      <w:r w:rsidRPr="007F7EBF">
        <w:rPr>
          <w:rFonts w:ascii="Times New Roman" w:hAnsi="Times New Roman"/>
          <w:sz w:val="22"/>
          <w:szCs w:val="22"/>
        </w:rPr>
        <w:t>come ostacolo a</w:t>
      </w:r>
      <w:r w:rsidR="005817A2" w:rsidRPr="007F7EBF">
        <w:rPr>
          <w:rFonts w:ascii="Times New Roman" w:hAnsi="Times New Roman"/>
          <w:sz w:val="22"/>
          <w:szCs w:val="22"/>
        </w:rPr>
        <w:t>ll</w:t>
      </w:r>
      <w:r w:rsidR="00F375AA">
        <w:rPr>
          <w:rFonts w:ascii="Times New Roman" w:hAnsi="Times New Roman"/>
          <w:sz w:val="22"/>
          <w:szCs w:val="22"/>
          <w:lang w:val="it-IT"/>
        </w:rPr>
        <w:t xml:space="preserve">a stima </w:t>
      </w:r>
      <w:r w:rsidR="00DC52E7">
        <w:rPr>
          <w:rFonts w:ascii="Times New Roman" w:hAnsi="Times New Roman"/>
          <w:sz w:val="22"/>
          <w:szCs w:val="22"/>
          <w:lang w:val="it-IT"/>
        </w:rPr>
        <w:t>dei presupposti economici d’imposta</w:t>
      </w:r>
      <w:bookmarkEnd w:id="69"/>
    </w:p>
    <w:p w14:paraId="0DE990E3" w14:textId="77777777" w:rsidR="00530646" w:rsidRPr="007F7EBF" w:rsidRDefault="00ED265C" w:rsidP="00530646">
      <w:pPr>
        <w:pStyle w:val="tit23"/>
        <w:ind w:left="6464" w:right="-1361" w:firstLine="0"/>
        <w:jc w:val="left"/>
        <w:rPr>
          <w:bCs/>
          <w:i/>
          <w:iCs/>
          <w:color w:val="0000FF"/>
          <w:lang w:val="it-IT"/>
        </w:rPr>
      </w:pPr>
      <w:r>
        <w:rPr>
          <w:bCs/>
          <w:i/>
          <w:iCs/>
          <w:color w:val="0000FF"/>
          <w:lang w:val="it-IT"/>
        </w:rPr>
        <w:t>Meriti , demeriti e responsabilità nelle organizzazioni pluripersonali</w:t>
      </w:r>
    </w:p>
    <w:p w14:paraId="63DA2055" w14:textId="18FAD9B2" w:rsidR="00FE1B66" w:rsidRPr="007F7EBF" w:rsidRDefault="00DC52E7" w:rsidP="00FE1B66">
      <w:pPr>
        <w:autoSpaceDE w:val="0"/>
        <w:autoSpaceDN w:val="0"/>
        <w:adjustRightInd w:val="0"/>
        <w:rPr>
          <w:sz w:val="22"/>
          <w:szCs w:val="22"/>
        </w:rPr>
      </w:pPr>
      <w:r>
        <w:rPr>
          <w:sz w:val="22"/>
          <w:szCs w:val="22"/>
        </w:rPr>
        <w:t xml:space="preserve">Alla </w:t>
      </w:r>
      <w:r w:rsidR="00F67B1E">
        <w:rPr>
          <w:sz w:val="22"/>
          <w:szCs w:val="22"/>
        </w:rPr>
        <w:t xml:space="preserve">riluttanza </w:t>
      </w:r>
      <w:r>
        <w:rPr>
          <w:sz w:val="22"/>
          <w:szCs w:val="22"/>
        </w:rPr>
        <w:t xml:space="preserve">di stimare </w:t>
      </w:r>
      <w:r w:rsidR="004C144A">
        <w:rPr>
          <w:sz w:val="22"/>
          <w:szCs w:val="22"/>
        </w:rPr>
        <w:t>i presupposti economici d’imposta</w:t>
      </w:r>
      <w:r w:rsidR="00F67B1E">
        <w:rPr>
          <w:sz w:val="22"/>
          <w:szCs w:val="22"/>
        </w:rPr>
        <w:t xml:space="preserve"> </w:t>
      </w:r>
      <w:r>
        <w:rPr>
          <w:sz w:val="22"/>
          <w:szCs w:val="22"/>
        </w:rPr>
        <w:t xml:space="preserve">contribuisce </w:t>
      </w:r>
      <w:r w:rsidR="004C144A">
        <w:rPr>
          <w:sz w:val="22"/>
          <w:szCs w:val="22"/>
        </w:rPr>
        <w:t xml:space="preserve"> </w:t>
      </w:r>
      <w:r w:rsidR="00F67B1E">
        <w:rPr>
          <w:sz w:val="22"/>
          <w:szCs w:val="22"/>
        </w:rPr>
        <w:t>il timore d</w:t>
      </w:r>
      <w:r>
        <w:rPr>
          <w:sz w:val="22"/>
          <w:szCs w:val="22"/>
        </w:rPr>
        <w:t xml:space="preserve">i critiche per </w:t>
      </w:r>
      <w:r w:rsidR="004C144A">
        <w:rPr>
          <w:sz w:val="22"/>
          <w:szCs w:val="22"/>
        </w:rPr>
        <w:t xml:space="preserve">negligenze, abusi o favoritismi. </w:t>
      </w:r>
      <w:r w:rsidR="0029561B">
        <w:rPr>
          <w:sz w:val="22"/>
          <w:szCs w:val="22"/>
        </w:rPr>
        <w:t xml:space="preserve">Iniziamo dalle negligenze, che certamente giustificano licenziamenti o demansionamenti, ma non risarcimenti. Se infatti i dipendenti </w:t>
      </w:r>
      <w:r w:rsidR="00F67B1E">
        <w:rPr>
          <w:sz w:val="22"/>
          <w:szCs w:val="22"/>
        </w:rPr>
        <w:t xml:space="preserve">non acquisiscono </w:t>
      </w:r>
      <w:r w:rsidR="000F04F6">
        <w:rPr>
          <w:sz w:val="22"/>
          <w:szCs w:val="22"/>
        </w:rPr>
        <w:t>i benefici della propria attività</w:t>
      </w:r>
      <w:r w:rsidR="004C144A">
        <w:rPr>
          <w:sz w:val="22"/>
          <w:szCs w:val="22"/>
        </w:rPr>
        <w:t xml:space="preserve">, </w:t>
      </w:r>
      <w:r w:rsidR="00F67B1E">
        <w:rPr>
          <w:sz w:val="22"/>
          <w:szCs w:val="22"/>
        </w:rPr>
        <w:t>inversamente non dovrebbero subir</w:t>
      </w:r>
      <w:r w:rsidR="005D62C6">
        <w:rPr>
          <w:sz w:val="22"/>
          <w:szCs w:val="22"/>
        </w:rPr>
        <w:t>n</w:t>
      </w:r>
      <w:r w:rsidR="00F67B1E">
        <w:rPr>
          <w:sz w:val="22"/>
          <w:szCs w:val="22"/>
        </w:rPr>
        <w:t xml:space="preserve">e le conseguenze </w:t>
      </w:r>
      <w:r w:rsidR="005D62C6">
        <w:rPr>
          <w:sz w:val="22"/>
          <w:szCs w:val="22"/>
        </w:rPr>
        <w:t xml:space="preserve">negative, </w:t>
      </w:r>
      <w:r w:rsidR="004C144A">
        <w:rPr>
          <w:sz w:val="22"/>
          <w:szCs w:val="22"/>
        </w:rPr>
        <w:t xml:space="preserve">anche </w:t>
      </w:r>
      <w:r w:rsidR="005D62C6">
        <w:rPr>
          <w:sz w:val="22"/>
          <w:szCs w:val="22"/>
        </w:rPr>
        <w:t xml:space="preserve">nel caso in cui </w:t>
      </w:r>
      <w:r w:rsidR="0029561B">
        <w:rPr>
          <w:sz w:val="22"/>
          <w:szCs w:val="22"/>
        </w:rPr>
        <w:t>danneggino il datore di lavoro o i terzi</w:t>
      </w:r>
      <w:r w:rsidR="0029561B">
        <w:t>; s</w:t>
      </w:r>
      <w:r w:rsidR="00D52120">
        <w:t xml:space="preserve">arebbe fuori </w:t>
      </w:r>
      <w:r w:rsidR="00E70DE8">
        <w:t>luogo</w:t>
      </w:r>
      <w:r w:rsidR="00D52120">
        <w:t xml:space="preserve"> soffermarsi sulle varie disposizioni in tema di responsabilità da negligenza, ma sul loro sfondo dovrebbe tenersi presente che se </w:t>
      </w:r>
      <w:r>
        <w:t xml:space="preserve"> l’addetto acquisisce solo lo stipendio</w:t>
      </w:r>
      <w:r w:rsidR="00D52120">
        <w:t xml:space="preserve"> quando le cose vanno bene, non si vede perché debba rischiare più del posto di lavoro quando vanno male. </w:t>
      </w:r>
      <w:r w:rsidR="00E70DE8">
        <w:t>Qui non c’è infatti un abuso di potere per fini personali</w:t>
      </w:r>
      <w:r w:rsidR="00E70DE8">
        <w:rPr>
          <w:rStyle w:val="Rimandonotaapidipagina"/>
        </w:rPr>
        <w:footnoteReference w:id="623"/>
      </w:r>
      <w:r w:rsidR="00E70DE8">
        <w:t>, e</w:t>
      </w:r>
      <w:r w:rsidR="00D52120">
        <w:t xml:space="preserve"> il datore di lavoro è comunque corresponsabile per avergli affidato </w:t>
      </w:r>
      <w:r w:rsidR="00E70DE8">
        <w:t>il</w:t>
      </w:r>
      <w:r w:rsidR="00D52120">
        <w:t xml:space="preserve"> compito </w:t>
      </w:r>
      <w:r w:rsidR="00E70DE8">
        <w:t>poi da lui svolto male</w:t>
      </w:r>
      <w:r>
        <w:t xml:space="preserve">. </w:t>
      </w:r>
      <w:r w:rsidR="00D52120">
        <w:t xml:space="preserve">Gli equivoci e le drammatizzazioni sulla responsabilità in esame riflettono la scarsità di riflessioni sulle organizzazioni pluripersonali, come le aziende e gli uffici pubblici, </w:t>
      </w:r>
      <w:r>
        <w:t xml:space="preserve">dove ruoli e responsabilità </w:t>
      </w:r>
      <w:r>
        <w:lastRenderedPageBreak/>
        <w:t>s’intrecciano</w:t>
      </w:r>
      <w:r w:rsidR="00D52120">
        <w:t xml:space="preserve"> </w:t>
      </w:r>
      <w:r w:rsidR="00ED61BA">
        <w:t>(</w:t>
      </w:r>
      <w:r w:rsidR="005D62C6">
        <w:rPr>
          <w:rStyle w:val="Rimandonotaapidipagina"/>
          <w:sz w:val="22"/>
          <w:szCs w:val="22"/>
        </w:rPr>
        <w:footnoteReference w:id="624"/>
      </w:r>
      <w:r w:rsidR="00ED61BA">
        <w:t>)</w:t>
      </w:r>
      <w:r w:rsidR="005E1F5D">
        <w:rPr>
          <w:sz w:val="22"/>
          <w:szCs w:val="22"/>
        </w:rPr>
        <w:t xml:space="preserve">. </w:t>
      </w:r>
      <w:r w:rsidR="004C144A">
        <w:rPr>
          <w:sz w:val="22"/>
          <w:szCs w:val="22"/>
        </w:rPr>
        <w:t xml:space="preserve">Esporre gli addetti a troppi rischi li induce </w:t>
      </w:r>
      <w:r w:rsidR="006929CA">
        <w:rPr>
          <w:sz w:val="22"/>
          <w:szCs w:val="22"/>
        </w:rPr>
        <w:t>più ad “autoprotegge</w:t>
      </w:r>
      <w:r w:rsidR="004C144A">
        <w:rPr>
          <w:sz w:val="22"/>
          <w:szCs w:val="22"/>
        </w:rPr>
        <w:t>rsi</w:t>
      </w:r>
      <w:r w:rsidR="006929CA">
        <w:rPr>
          <w:sz w:val="22"/>
          <w:szCs w:val="22"/>
        </w:rPr>
        <w:t xml:space="preserve">”, </w:t>
      </w:r>
      <w:r w:rsidR="00D60316">
        <w:rPr>
          <w:sz w:val="22"/>
          <w:szCs w:val="22"/>
        </w:rPr>
        <w:t xml:space="preserve">anziché </w:t>
      </w:r>
      <w:r w:rsidR="006929CA">
        <w:rPr>
          <w:sz w:val="22"/>
          <w:szCs w:val="22"/>
        </w:rPr>
        <w:t>a svolgere al meglio la propria funzione</w:t>
      </w:r>
      <w:r w:rsidR="00D52120">
        <w:rPr>
          <w:sz w:val="22"/>
          <w:szCs w:val="22"/>
        </w:rPr>
        <w:t xml:space="preserve">, il che comporta </w:t>
      </w:r>
      <w:r w:rsidR="00ED61BA">
        <w:rPr>
          <w:sz w:val="22"/>
          <w:szCs w:val="22"/>
        </w:rPr>
        <w:t>inefficienza</w:t>
      </w:r>
      <w:r w:rsidR="005349C0">
        <w:rPr>
          <w:sz w:val="22"/>
          <w:szCs w:val="22"/>
        </w:rPr>
        <w:t xml:space="preserve">, visto che il modo </w:t>
      </w:r>
      <w:r w:rsidR="00D52120">
        <w:rPr>
          <w:sz w:val="22"/>
          <w:szCs w:val="22"/>
        </w:rPr>
        <w:t>più sicuro</w:t>
      </w:r>
      <w:r w:rsidR="005349C0">
        <w:rPr>
          <w:sz w:val="22"/>
          <w:szCs w:val="22"/>
        </w:rPr>
        <w:t xml:space="preserve"> per ridurre i rischi è l’inattività, come ricorda l</w:t>
      </w:r>
      <w:r w:rsidR="005349C0">
        <w:t>’</w:t>
      </w:r>
      <w:r w:rsidR="005349C0">
        <w:rPr>
          <w:sz w:val="22"/>
          <w:szCs w:val="22"/>
        </w:rPr>
        <w:t>antico proverbio “chi non fa non falla”</w:t>
      </w:r>
      <w:r w:rsidR="00ED61BA">
        <w:rPr>
          <w:sz w:val="22"/>
          <w:szCs w:val="22"/>
        </w:rPr>
        <w:t xml:space="preserve">. </w:t>
      </w:r>
      <w:r w:rsidR="00FE1B66">
        <w:t xml:space="preserve">Nel pubblico impiego, e anche in materia tributaria, questa è forte il timore della </w:t>
      </w:r>
      <w:r w:rsidR="00FE1B66">
        <w:rPr>
          <w:sz w:val="22"/>
          <w:szCs w:val="22"/>
        </w:rPr>
        <w:t>tradizionale responsabilità “contabile” (</w:t>
      </w:r>
      <w:r w:rsidR="00FE1B66">
        <w:rPr>
          <w:rStyle w:val="Rimandonotaapidipagina"/>
          <w:sz w:val="22"/>
          <w:szCs w:val="22"/>
        </w:rPr>
        <w:footnoteReference w:id="625"/>
      </w:r>
      <w:r w:rsidR="00FE1B66">
        <w:rPr>
          <w:sz w:val="22"/>
          <w:szCs w:val="22"/>
        </w:rPr>
        <w:t>), per “danno erariale”,  concepita per danneggiamento o perdita di beni</w:t>
      </w:r>
      <w:r w:rsidR="00FE1B66" w:rsidRPr="007F7EBF">
        <w:rPr>
          <w:sz w:val="22"/>
          <w:szCs w:val="22"/>
        </w:rPr>
        <w:t xml:space="preserve"> ormai nel patrimonio pubblico</w:t>
      </w:r>
      <w:r w:rsidR="00FE1B66">
        <w:rPr>
          <w:sz w:val="22"/>
          <w:szCs w:val="22"/>
        </w:rPr>
        <w:t xml:space="preserve"> (par.1.1). </w:t>
      </w:r>
      <w:r w:rsidR="00B22CCB">
        <w:rPr>
          <w:sz w:val="22"/>
          <w:szCs w:val="22"/>
        </w:rPr>
        <w:t>Oltre ad essere f</w:t>
      </w:r>
      <w:r w:rsidR="00FE1B66">
        <w:rPr>
          <w:sz w:val="22"/>
          <w:szCs w:val="22"/>
        </w:rPr>
        <w:t xml:space="preserve">uori luogo per la stima dei presupposti economici d’imposta, </w:t>
      </w:r>
      <w:r w:rsidR="00B22CCB">
        <w:rPr>
          <w:sz w:val="22"/>
          <w:szCs w:val="22"/>
        </w:rPr>
        <w:t>di essa si hanno applicazioni molto rare, e</w:t>
      </w:r>
      <w:r w:rsidR="00FE1B66">
        <w:rPr>
          <w:sz w:val="22"/>
          <w:szCs w:val="22"/>
        </w:rPr>
        <w:t>d è stata da</w:t>
      </w:r>
      <w:r w:rsidR="00FE1B66">
        <w:t xml:space="preserve">l 2010 </w:t>
      </w:r>
      <w:r w:rsidR="00FE1B66" w:rsidRPr="007F7EBF">
        <w:t>esclusa</w:t>
      </w:r>
      <w:r w:rsidR="00FE1B66">
        <w:t xml:space="preserve"> ex lege</w:t>
      </w:r>
      <w:r w:rsidR="00FE1B66" w:rsidRPr="007F7EBF">
        <w:t xml:space="preserve"> per le valutazioni effettuate in sede di contenzioso amministrativo (par. 6.4 e seguenti)</w:t>
      </w:r>
      <w:r w:rsidR="00FE1B66">
        <w:t xml:space="preserve">. </w:t>
      </w:r>
      <w:r w:rsidR="00B22CCB">
        <w:t>Tuttavia</w:t>
      </w:r>
      <w:r w:rsidR="00FE1B66">
        <w:t xml:space="preserve"> quest’istituto è ancora spesso usato come pretesto </w:t>
      </w:r>
      <w:r w:rsidR="00B22CCB">
        <w:t xml:space="preserve">formale </w:t>
      </w:r>
      <w:r w:rsidR="00FE1B66">
        <w:t xml:space="preserve">per </w:t>
      </w:r>
      <w:r w:rsidR="00996945">
        <w:t>giustificare stime poco realistiche per eccesso, oppure passare alle contestazioni interpretative di cui ai parr.5.17 ss..</w:t>
      </w:r>
    </w:p>
    <w:p w14:paraId="080A9EC9" w14:textId="403FC220" w:rsidR="001A1450" w:rsidRPr="007F7EBF" w:rsidRDefault="001A1450" w:rsidP="001A1450">
      <w:pPr>
        <w:pStyle w:val="tit23"/>
        <w:ind w:left="6464" w:right="-1361" w:firstLine="0"/>
        <w:jc w:val="left"/>
        <w:rPr>
          <w:b/>
          <w:bCs/>
          <w:i/>
          <w:iCs/>
          <w:color w:val="0000FF"/>
          <w:lang w:val="it-IT"/>
        </w:rPr>
      </w:pPr>
      <w:r>
        <w:rPr>
          <w:b/>
          <w:bCs/>
          <w:i/>
          <w:iCs/>
          <w:color w:val="0000FF"/>
          <w:lang w:val="it-IT"/>
        </w:rPr>
        <w:t xml:space="preserve">Margini di valutazione e </w:t>
      </w:r>
      <w:r w:rsidRPr="007F7EBF">
        <w:rPr>
          <w:b/>
          <w:bCs/>
          <w:i/>
          <w:iCs/>
          <w:color w:val="0000FF"/>
          <w:lang w:val="it-IT"/>
        </w:rPr>
        <w:t xml:space="preserve">possibili corruzioni </w:t>
      </w:r>
    </w:p>
    <w:p w14:paraId="58D42213" w14:textId="06680DAD" w:rsidR="00D27A85" w:rsidRPr="007F7EBF" w:rsidRDefault="00996945" w:rsidP="00D27A85">
      <w:pPr>
        <w:autoSpaceDE w:val="0"/>
        <w:autoSpaceDN w:val="0"/>
        <w:adjustRightInd w:val="0"/>
        <w:rPr>
          <w:sz w:val="22"/>
          <w:szCs w:val="22"/>
        </w:rPr>
      </w:pPr>
      <w:r>
        <w:rPr>
          <w:sz w:val="22"/>
          <w:szCs w:val="22"/>
        </w:rPr>
        <w:t xml:space="preserve">Oltre la negligenza </w:t>
      </w:r>
      <w:r w:rsidR="00D60316">
        <w:rPr>
          <w:sz w:val="22"/>
          <w:szCs w:val="22"/>
        </w:rPr>
        <w:t xml:space="preserve">c’è il </w:t>
      </w:r>
      <w:r>
        <w:rPr>
          <w:sz w:val="22"/>
          <w:szCs w:val="22"/>
        </w:rPr>
        <w:t>sospetto di</w:t>
      </w:r>
      <w:r w:rsidR="00D60316">
        <w:rPr>
          <w:sz w:val="22"/>
          <w:szCs w:val="22"/>
        </w:rPr>
        <w:t xml:space="preserve"> abuso del potere per finalità personali</w:t>
      </w:r>
      <w:r>
        <w:rPr>
          <w:sz w:val="22"/>
          <w:szCs w:val="22"/>
        </w:rPr>
        <w:t xml:space="preserve">, in quanto la stima dei presupposti economici d’imposta non determinabili documentalmente si presta bene a corruzioni e concussioni. Entrambe hanno </w:t>
      </w:r>
      <w:r>
        <w:t xml:space="preserve">origini remote, anche </w:t>
      </w:r>
      <w:r>
        <w:rPr>
          <w:sz w:val="22"/>
          <w:szCs w:val="22"/>
        </w:rPr>
        <w:t xml:space="preserve">nello svolgimento di compiti giuridici da parte della politica, </w:t>
      </w:r>
      <w:r>
        <w:t xml:space="preserve">mantenuta anticamente dai </w:t>
      </w:r>
      <w:r w:rsidRPr="007F7EBF">
        <w:t>frutti del patrimonio pubblico (</w:t>
      </w:r>
      <w:proofErr w:type="spellStart"/>
      <w:r w:rsidRPr="007F7EBF">
        <w:rPr>
          <w:i/>
        </w:rPr>
        <w:t>fiscus</w:t>
      </w:r>
      <w:proofErr w:type="spellEnd"/>
      <w:r>
        <w:rPr>
          <w:i/>
        </w:rPr>
        <w:t xml:space="preserve"> </w:t>
      </w:r>
      <w:r w:rsidRPr="00996945">
        <w:rPr>
          <w:iCs/>
        </w:rPr>
        <w:t>par.1.1</w:t>
      </w:r>
      <w:r w:rsidRPr="007F7EBF">
        <w:t xml:space="preserve">) </w:t>
      </w:r>
      <w:r>
        <w:t xml:space="preserve">di cui aveva </w:t>
      </w:r>
      <w:r w:rsidRPr="007F7EBF">
        <w:t xml:space="preserve">la disponibilità; </w:t>
      </w:r>
      <w:r>
        <w:t>anche oggi</w:t>
      </w:r>
      <w:r w:rsidRPr="007F7EBF">
        <w:t xml:space="preserve"> i dittatori pretendono una provvigione dalle aziende che fanno affari coi relativi stati</w:t>
      </w:r>
      <w:r>
        <w:t>, e il</w:t>
      </w:r>
      <w:r w:rsidRPr="007F7EBF">
        <w:t xml:space="preserve"> problema del finanziamento della politica, molto drammatizzato in occidente, viene risolto con </w:t>
      </w:r>
      <w:r w:rsidRPr="007F7EBF">
        <w:rPr>
          <w:i/>
        </w:rPr>
        <w:t xml:space="preserve">regalie </w:t>
      </w:r>
      <w:r w:rsidRPr="007F7EBF">
        <w:t xml:space="preserve">cioè erogazioni agli esercenti del potere politico. </w:t>
      </w:r>
      <w:r w:rsidRPr="007F7EBF">
        <w:rPr>
          <w:sz w:val="22"/>
          <w:szCs w:val="22"/>
        </w:rPr>
        <w:t>Solo con l'idea del "pubblico funzionario", del "</w:t>
      </w:r>
      <w:proofErr w:type="spellStart"/>
      <w:r w:rsidRPr="007F7EBF">
        <w:rPr>
          <w:sz w:val="22"/>
          <w:szCs w:val="22"/>
        </w:rPr>
        <w:t>civil</w:t>
      </w:r>
      <w:proofErr w:type="spellEnd"/>
      <w:r w:rsidRPr="007F7EBF">
        <w:rPr>
          <w:sz w:val="22"/>
          <w:szCs w:val="22"/>
        </w:rPr>
        <w:t xml:space="preserve"> </w:t>
      </w:r>
      <w:proofErr w:type="spellStart"/>
      <w:r w:rsidRPr="007F7EBF">
        <w:rPr>
          <w:sz w:val="22"/>
          <w:szCs w:val="22"/>
        </w:rPr>
        <w:t>servant</w:t>
      </w:r>
      <w:proofErr w:type="spellEnd"/>
      <w:r w:rsidRPr="007F7EBF">
        <w:rPr>
          <w:sz w:val="22"/>
          <w:szCs w:val="22"/>
        </w:rPr>
        <w:t xml:space="preserve">" tipica dello stato liberale, questi vantaggi </w:t>
      </w:r>
      <w:r>
        <w:rPr>
          <w:sz w:val="22"/>
          <w:szCs w:val="22"/>
        </w:rPr>
        <w:t xml:space="preserve">collaterali </w:t>
      </w:r>
      <w:r w:rsidRPr="007F7EBF">
        <w:rPr>
          <w:sz w:val="22"/>
          <w:szCs w:val="22"/>
        </w:rPr>
        <w:t>sono stati universalmente disapprovati</w:t>
      </w:r>
      <w:r>
        <w:rPr>
          <w:sz w:val="22"/>
          <w:szCs w:val="22"/>
        </w:rPr>
        <w:t xml:space="preserve"> e puniti penalmente. Tentativi in questo senso </w:t>
      </w:r>
      <w:r w:rsidR="009A7376">
        <w:rPr>
          <w:sz w:val="22"/>
          <w:szCs w:val="22"/>
        </w:rPr>
        <w:t xml:space="preserve">sono </w:t>
      </w:r>
      <w:r>
        <w:rPr>
          <w:sz w:val="22"/>
          <w:szCs w:val="22"/>
        </w:rPr>
        <w:t xml:space="preserve">più ipotizzabili per </w:t>
      </w:r>
      <w:r w:rsidR="008859E4">
        <w:rPr>
          <w:sz w:val="22"/>
          <w:szCs w:val="22"/>
        </w:rPr>
        <w:t>piccoli commercianti, artigian</w:t>
      </w:r>
      <w:r w:rsidR="000126FD">
        <w:rPr>
          <w:sz w:val="22"/>
          <w:szCs w:val="22"/>
        </w:rPr>
        <w:t xml:space="preserve">i e </w:t>
      </w:r>
      <w:r w:rsidR="000126FD">
        <w:rPr>
          <w:sz w:val="22"/>
          <w:szCs w:val="22"/>
        </w:rPr>
        <w:lastRenderedPageBreak/>
        <w:t>organizzazioni “padronal</w:t>
      </w:r>
      <w:r w:rsidR="000939BC">
        <w:rPr>
          <w:sz w:val="22"/>
          <w:szCs w:val="22"/>
        </w:rPr>
        <w:t>i”</w:t>
      </w:r>
      <w:r w:rsidR="000126FD" w:rsidRPr="00FF519F">
        <w:rPr>
          <w:sz w:val="22"/>
          <w:szCs w:val="22"/>
        </w:rPr>
        <w:t xml:space="preserve"> (</w:t>
      </w:r>
      <w:r w:rsidR="000126FD" w:rsidRPr="007F7EBF">
        <w:rPr>
          <w:rStyle w:val="Rimandonotaapidipagina"/>
          <w:sz w:val="22"/>
          <w:szCs w:val="22"/>
        </w:rPr>
        <w:footnoteReference w:id="626"/>
      </w:r>
      <w:r w:rsidR="000939BC">
        <w:rPr>
          <w:sz w:val="22"/>
          <w:szCs w:val="22"/>
        </w:rPr>
        <w:t>)</w:t>
      </w:r>
      <w:r>
        <w:rPr>
          <w:sz w:val="22"/>
          <w:szCs w:val="22"/>
        </w:rPr>
        <w:t xml:space="preserve">, mentre i </w:t>
      </w:r>
      <w:r w:rsidR="008859E4">
        <w:t>dirigenti di</w:t>
      </w:r>
      <w:r w:rsidR="00D845EF">
        <w:t xml:space="preserve"> organizzazioni pluripersonali</w:t>
      </w:r>
      <w:r>
        <w:t xml:space="preserve"> </w:t>
      </w:r>
      <w:r w:rsidR="008859E4">
        <w:t xml:space="preserve">tendono a non esporsi a </w:t>
      </w:r>
      <w:r w:rsidR="00D845EF">
        <w:t>rischi corruttiv</w:t>
      </w:r>
      <w:r w:rsidR="008859E4">
        <w:t>i</w:t>
      </w:r>
      <w:r w:rsidR="00D845EF">
        <w:t>,</w:t>
      </w:r>
      <w:r w:rsidR="008859E4">
        <w:t xml:space="preserve"> per un vantaggio dell’azienda</w:t>
      </w:r>
      <w:r w:rsidR="0025627B">
        <w:rPr>
          <w:sz w:val="22"/>
          <w:szCs w:val="22"/>
        </w:rPr>
        <w:t xml:space="preserve">. </w:t>
      </w:r>
      <w:r>
        <w:rPr>
          <w:sz w:val="22"/>
          <w:szCs w:val="22"/>
        </w:rPr>
        <w:t xml:space="preserve">Questo è un ulteriore ostacolo alla determinazione valutativa dei presupposti economici d’imposta proprio </w:t>
      </w:r>
      <w:r w:rsidR="006900E3">
        <w:rPr>
          <w:sz w:val="22"/>
          <w:szCs w:val="22"/>
        </w:rPr>
        <w:t xml:space="preserve">sulle categorie </w:t>
      </w:r>
      <w:r>
        <w:rPr>
          <w:sz w:val="22"/>
          <w:szCs w:val="22"/>
        </w:rPr>
        <w:t>dove</w:t>
      </w:r>
      <w:r w:rsidR="006900E3">
        <w:rPr>
          <w:sz w:val="22"/>
          <w:szCs w:val="22"/>
        </w:rPr>
        <w:t xml:space="preserve"> </w:t>
      </w:r>
      <w:r>
        <w:rPr>
          <w:sz w:val="22"/>
          <w:szCs w:val="22"/>
        </w:rPr>
        <w:t xml:space="preserve">sarebbe più </w:t>
      </w:r>
      <w:r w:rsidR="006900E3">
        <w:rPr>
          <w:sz w:val="22"/>
          <w:szCs w:val="22"/>
        </w:rPr>
        <w:t>necessaria</w:t>
      </w:r>
      <w:r>
        <w:rPr>
          <w:sz w:val="22"/>
          <w:szCs w:val="22"/>
        </w:rPr>
        <w:t xml:space="preserve">. </w:t>
      </w:r>
    </w:p>
    <w:p w14:paraId="5D2C1B20" w14:textId="4882A528" w:rsidR="00D27A85" w:rsidRPr="007F7EBF" w:rsidRDefault="00D27A85" w:rsidP="00D27A85">
      <w:pPr>
        <w:pStyle w:val="tit23"/>
        <w:ind w:left="6464" w:right="-1361" w:firstLine="0"/>
        <w:jc w:val="left"/>
        <w:rPr>
          <w:b/>
          <w:bCs/>
          <w:i/>
          <w:iCs/>
          <w:color w:val="0000FF"/>
          <w:lang w:val="it-IT"/>
        </w:rPr>
      </w:pPr>
      <w:r>
        <w:rPr>
          <w:b/>
          <w:bCs/>
          <w:i/>
          <w:iCs/>
          <w:color w:val="0000FF"/>
          <w:lang w:val="it-IT"/>
        </w:rPr>
        <w:t xml:space="preserve">Il clima di sospetto e </w:t>
      </w:r>
      <w:r w:rsidR="0025627B">
        <w:rPr>
          <w:b/>
          <w:bCs/>
          <w:i/>
          <w:iCs/>
          <w:color w:val="0000FF"/>
          <w:lang w:val="it-IT"/>
        </w:rPr>
        <w:t>gli effetti boomerang</w:t>
      </w:r>
    </w:p>
    <w:p w14:paraId="6E876718" w14:textId="77777777" w:rsidR="007530B8" w:rsidRDefault="00147BE7" w:rsidP="007530B8">
      <w:pPr>
        <w:autoSpaceDE w:val="0"/>
        <w:autoSpaceDN w:val="0"/>
        <w:adjustRightInd w:val="0"/>
      </w:pPr>
      <w:r>
        <w:t xml:space="preserve">Si preferisce evitare la stima dei presupposti d’imposta, facendo risultato di servizio con contestazioni interpretative, recuperi di imposta dichiarata e non versata, e altre attività </w:t>
      </w:r>
      <w:r w:rsidR="00D24648">
        <w:t xml:space="preserve">con minori </w:t>
      </w:r>
      <w:r>
        <w:t xml:space="preserve">margini di apprezzamento. </w:t>
      </w:r>
      <w:r w:rsidR="00D24648">
        <w:t xml:space="preserve">E’ un circolo vizioso che si autoalimenta, giovando ai </w:t>
      </w:r>
      <w:r w:rsidRPr="007F7EBF">
        <w:rPr>
          <w:bCs/>
          <w:sz w:val="22"/>
          <w:szCs w:val="22"/>
        </w:rPr>
        <w:t>corrotti</w:t>
      </w:r>
      <w:r w:rsidRPr="007F7EBF">
        <w:rPr>
          <w:sz w:val="22"/>
          <w:szCs w:val="22"/>
        </w:rPr>
        <w:t xml:space="preserve">, </w:t>
      </w:r>
      <w:r w:rsidR="00D24648">
        <w:rPr>
          <w:sz w:val="22"/>
          <w:szCs w:val="22"/>
        </w:rPr>
        <w:t>che allontanano d</w:t>
      </w:r>
      <w:r>
        <w:rPr>
          <w:sz w:val="22"/>
          <w:szCs w:val="22"/>
        </w:rPr>
        <w:t xml:space="preserve">a sé i sospetti,  </w:t>
      </w:r>
      <w:r w:rsidRPr="007F7EBF">
        <w:t>indirizzandoli su colleghi onesti, ma ragionevoli</w:t>
      </w:r>
      <w:r>
        <w:t xml:space="preserve"> nella determinazione degli imponibili(</w:t>
      </w:r>
      <w:r w:rsidRPr="007F7EBF">
        <w:rPr>
          <w:rStyle w:val="Rimandonotaapidipagina"/>
          <w:sz w:val="22"/>
          <w:szCs w:val="22"/>
        </w:rPr>
        <w:footnoteReference w:id="627"/>
      </w:r>
      <w:r>
        <w:rPr>
          <w:sz w:val="22"/>
          <w:szCs w:val="22"/>
        </w:rPr>
        <w:t xml:space="preserve">). </w:t>
      </w:r>
      <w:r>
        <w:t>A</w:t>
      </w:r>
      <w:r w:rsidR="00D24648">
        <w:t xml:space="preserve">i loro </w:t>
      </w:r>
      <w:r>
        <w:t xml:space="preserve">occhi </w:t>
      </w:r>
      <w:r w:rsidR="00D24648">
        <w:t>questa</w:t>
      </w:r>
      <w:r>
        <w:t xml:space="preserve"> ragionevolezza </w:t>
      </w:r>
      <w:r w:rsidR="00D24648">
        <w:t>equivale a</w:t>
      </w:r>
      <w:r w:rsidRPr="007F7EBF">
        <w:t xml:space="preserve"> regalare merce che si potrebbe vendere</w:t>
      </w:r>
      <w:r>
        <w:t>; i corrotti sono probabilmente, quindi, i primi ad additare i collegh</w:t>
      </w:r>
      <w:r w:rsidR="00D24648">
        <w:t>i più ragionevoli</w:t>
      </w:r>
      <w:r>
        <w:t xml:space="preserve"> </w:t>
      </w:r>
      <w:r>
        <w:rPr>
          <w:bCs/>
        </w:rPr>
        <w:t xml:space="preserve">come </w:t>
      </w:r>
      <w:r w:rsidRPr="007F7EBF">
        <w:rPr>
          <w:bCs/>
          <w:i/>
        </w:rPr>
        <w:t>amic</w:t>
      </w:r>
      <w:r>
        <w:rPr>
          <w:bCs/>
          <w:i/>
        </w:rPr>
        <w:t>i</w:t>
      </w:r>
      <w:r w:rsidRPr="007F7EBF">
        <w:rPr>
          <w:bCs/>
          <w:i/>
        </w:rPr>
        <w:t xml:space="preserve"> degli evasori</w:t>
      </w:r>
      <w:r w:rsidR="00D24648">
        <w:rPr>
          <w:bCs/>
        </w:rPr>
        <w:t xml:space="preserve">, </w:t>
      </w:r>
      <w:r>
        <w:t xml:space="preserve">come gli antichi inquisitori </w:t>
      </w:r>
      <w:r w:rsidR="00D24648">
        <w:t>consideravano a</w:t>
      </w:r>
      <w:r w:rsidR="00D24648" w:rsidRPr="00D24648">
        <w:rPr>
          <w:i/>
          <w:iCs/>
        </w:rPr>
        <w:t>mici delle streghe</w:t>
      </w:r>
      <w:r w:rsidR="00D24648">
        <w:t xml:space="preserve"> chi ne metteva in dubbio l’esistenza. </w:t>
      </w:r>
      <w:r>
        <w:t xml:space="preserve"> </w:t>
      </w:r>
      <w:r w:rsidR="00D24648">
        <w:t>I</w:t>
      </w:r>
      <w:r w:rsidR="0025627B">
        <w:rPr>
          <w:sz w:val="22"/>
          <w:szCs w:val="22"/>
        </w:rPr>
        <w:t xml:space="preserve"> </w:t>
      </w:r>
      <w:r w:rsidR="00D845EF">
        <w:t>controlli</w:t>
      </w:r>
      <w:r w:rsidR="0025627B">
        <w:t xml:space="preserve"> </w:t>
      </w:r>
      <w:r w:rsidR="00D24648">
        <w:t xml:space="preserve">si trasformano così </w:t>
      </w:r>
      <w:r w:rsidR="00787427">
        <w:t>in</w:t>
      </w:r>
      <w:r w:rsidR="00D845EF">
        <w:t xml:space="preserve"> </w:t>
      </w:r>
      <w:r w:rsidR="0025627B">
        <w:t xml:space="preserve">una </w:t>
      </w:r>
      <w:r w:rsidR="00D845EF">
        <w:t>disgrazia fortuita</w:t>
      </w:r>
      <w:r w:rsidR="009A7376">
        <w:t xml:space="preserve">, </w:t>
      </w:r>
      <w:r w:rsidR="00D24648">
        <w:t>e non essere ispezionati diventa più importante che dichiarare cifre credibili</w:t>
      </w:r>
      <w:r w:rsidR="0025627B">
        <w:t xml:space="preserve">. </w:t>
      </w:r>
      <w:r w:rsidR="007530B8">
        <w:rPr>
          <w:sz w:val="22"/>
          <w:szCs w:val="22"/>
        </w:rPr>
        <w:t>Il problema viene esorcizzato in termini moralistici</w:t>
      </w:r>
      <w:r w:rsidR="007530B8">
        <w:t>, p</w:t>
      </w:r>
      <w:r w:rsidR="007530B8">
        <w:rPr>
          <w:sz w:val="22"/>
          <w:szCs w:val="22"/>
        </w:rPr>
        <w:t xml:space="preserve">arlando di </w:t>
      </w:r>
      <w:r w:rsidR="007530B8" w:rsidRPr="007F7EBF">
        <w:t>“mele marce”</w:t>
      </w:r>
      <w:r w:rsidR="007530B8">
        <w:t xml:space="preserve">, in una specie di politica dello struzzo, per le ragioni d’immagine di cui al par.5.3; è infatti comprensibile il timore di un </w:t>
      </w:r>
      <w:r w:rsidR="007530B8" w:rsidRPr="008966E0">
        <w:t xml:space="preserve"> "effetto domino", dove il corrotto individuato chiama in causa i colleghi, </w:t>
      </w:r>
      <w:r w:rsidR="007530B8">
        <w:t xml:space="preserve">anche con calunnie, nella </w:t>
      </w:r>
      <w:r w:rsidR="007530B8" w:rsidRPr="008966E0">
        <w:t xml:space="preserve">strategia del </w:t>
      </w:r>
      <w:r w:rsidR="007530B8" w:rsidRPr="008966E0">
        <w:rPr>
          <w:i/>
        </w:rPr>
        <w:t>tutti colpevoli nessun colpevole</w:t>
      </w:r>
      <w:r w:rsidR="007530B8">
        <w:t xml:space="preserve">; la corruzione diventa cioè “un fastidio”, che si cerca quindi di evitare, sorvolando sui relativi indizi </w:t>
      </w:r>
      <w:proofErr w:type="spellStart"/>
      <w:r w:rsidR="007530B8">
        <w:t>finchè</w:t>
      </w:r>
      <w:proofErr w:type="spellEnd"/>
      <w:r w:rsidR="007530B8">
        <w:t xml:space="preserve"> possibile. </w:t>
      </w:r>
    </w:p>
    <w:p w14:paraId="7F040DFB" w14:textId="7A767C47" w:rsidR="00FE1B66" w:rsidRDefault="007530B8" w:rsidP="007530B8">
      <w:pPr>
        <w:rPr>
          <w:b/>
          <w:bCs/>
          <w:i/>
          <w:iCs/>
          <w:color w:val="0000FF"/>
        </w:rPr>
      </w:pPr>
      <w:r>
        <w:rPr>
          <w:sz w:val="22"/>
          <w:szCs w:val="22"/>
        </w:rPr>
        <w:t>I</w:t>
      </w:r>
      <w:r w:rsidRPr="007F7EBF">
        <w:rPr>
          <w:sz w:val="22"/>
          <w:szCs w:val="22"/>
        </w:rPr>
        <w:t xml:space="preserve">l timore delle accuse di </w:t>
      </w:r>
      <w:r>
        <w:rPr>
          <w:sz w:val="22"/>
          <w:szCs w:val="22"/>
        </w:rPr>
        <w:t xml:space="preserve">corruzione è </w:t>
      </w:r>
      <w:r w:rsidRPr="007F7EBF">
        <w:rPr>
          <w:sz w:val="22"/>
          <w:szCs w:val="22"/>
        </w:rPr>
        <w:t>più dannoso</w:t>
      </w:r>
      <w:r>
        <w:rPr>
          <w:sz w:val="22"/>
          <w:szCs w:val="22"/>
        </w:rPr>
        <w:t xml:space="preserve">, in termini di paralisi funzionale, </w:t>
      </w:r>
      <w:r w:rsidRPr="007F7EBF">
        <w:rPr>
          <w:sz w:val="22"/>
          <w:szCs w:val="22"/>
        </w:rPr>
        <w:t xml:space="preserve"> degli abusi effettiv</w:t>
      </w:r>
      <w:r>
        <w:rPr>
          <w:sz w:val="22"/>
          <w:szCs w:val="22"/>
        </w:rPr>
        <w:t xml:space="preserve">i, con </w:t>
      </w:r>
      <w:r>
        <w:t xml:space="preserve">drammatizzazioni, dove anche </w:t>
      </w:r>
      <w:r>
        <w:lastRenderedPageBreak/>
        <w:t xml:space="preserve">solo </w:t>
      </w:r>
      <w:r w:rsidRPr="007F7EBF">
        <w:rPr>
          <w:b/>
        </w:rPr>
        <w:t xml:space="preserve">mostrare interessamento </w:t>
      </w:r>
      <w:r w:rsidRPr="007F7EBF">
        <w:t>per una pratica</w:t>
      </w:r>
      <w:r>
        <w:t>, cercando di risolverla,</w:t>
      </w:r>
      <w:r w:rsidRPr="007F7EBF">
        <w:t xml:space="preserve"> </w:t>
      </w:r>
      <w:r>
        <w:t xml:space="preserve">innesca  </w:t>
      </w:r>
      <w:r w:rsidRPr="007F7EBF">
        <w:t>indizi di favoritismo o corruzione</w:t>
      </w:r>
      <w:r>
        <w:t xml:space="preserve">, spingendo a dire ai contribuenti il fatidico </w:t>
      </w:r>
      <w:r w:rsidRPr="007F7EBF">
        <w:t>"lei ha ragione, ma faccia ricorso"</w:t>
      </w:r>
      <w:r>
        <w:rPr>
          <w:sz w:val="22"/>
          <w:szCs w:val="22"/>
        </w:rPr>
        <w:t>.</w:t>
      </w:r>
    </w:p>
    <w:p w14:paraId="59995735" w14:textId="304A7812" w:rsidR="00586232" w:rsidRPr="007F7EBF" w:rsidRDefault="007530B8" w:rsidP="00586232">
      <w:pPr>
        <w:pStyle w:val="tit23"/>
        <w:ind w:left="6464" w:right="-1361" w:firstLine="0"/>
        <w:jc w:val="left"/>
        <w:rPr>
          <w:b/>
          <w:bCs/>
          <w:i/>
          <w:iCs/>
          <w:color w:val="0000FF"/>
          <w:lang w:val="it-IT"/>
        </w:rPr>
      </w:pPr>
      <w:r>
        <w:rPr>
          <w:b/>
          <w:bCs/>
          <w:i/>
          <w:iCs/>
          <w:color w:val="0000FF"/>
          <w:lang w:val="it-IT"/>
        </w:rPr>
        <w:t xml:space="preserve">Strumenti di contrasto di un </w:t>
      </w:r>
      <w:r w:rsidR="00AC686E">
        <w:rPr>
          <w:b/>
          <w:bCs/>
          <w:i/>
          <w:iCs/>
          <w:color w:val="0000FF"/>
          <w:lang w:val="it-IT"/>
        </w:rPr>
        <w:t xml:space="preserve"> vizio della funzione</w:t>
      </w:r>
    </w:p>
    <w:p w14:paraId="081AC2A7" w14:textId="0D747BF1" w:rsidR="00ED4761" w:rsidRDefault="007530B8" w:rsidP="008C5056">
      <w:pPr>
        <w:autoSpaceDE w:val="0"/>
        <w:autoSpaceDN w:val="0"/>
        <w:adjustRightInd w:val="0"/>
      </w:pPr>
      <w:r>
        <w:rPr>
          <w:sz w:val="22"/>
          <w:szCs w:val="22"/>
        </w:rPr>
        <w:t>L</w:t>
      </w:r>
      <w:r w:rsidR="00AB259D">
        <w:rPr>
          <w:sz w:val="22"/>
          <w:szCs w:val="22"/>
        </w:rPr>
        <w:t xml:space="preserve">a </w:t>
      </w:r>
      <w:r w:rsidR="00142B0E">
        <w:rPr>
          <w:sz w:val="22"/>
          <w:szCs w:val="22"/>
        </w:rPr>
        <w:t xml:space="preserve">corruzione, come patologia delle pubbliche funzioni, va </w:t>
      </w:r>
      <w:r w:rsidR="00AB259D">
        <w:rPr>
          <w:sz w:val="22"/>
          <w:szCs w:val="22"/>
        </w:rPr>
        <w:t>studiata relativamente a</w:t>
      </w:r>
      <w:r w:rsidR="00142B0E">
        <w:rPr>
          <w:sz w:val="22"/>
          <w:szCs w:val="22"/>
        </w:rPr>
        <w:t xml:space="preserve"> ciascuna di esse</w:t>
      </w:r>
      <w:r w:rsidR="00AB259D">
        <w:rPr>
          <w:sz w:val="22"/>
          <w:szCs w:val="22"/>
        </w:rPr>
        <w:t xml:space="preserve">, </w:t>
      </w:r>
      <w:r>
        <w:rPr>
          <w:sz w:val="22"/>
          <w:szCs w:val="22"/>
        </w:rPr>
        <w:t>non in modo indiscriminato e preventivo (</w:t>
      </w:r>
      <w:r w:rsidRPr="007F7EBF">
        <w:rPr>
          <w:rStyle w:val="Rimandonotaapidipagina"/>
        </w:rPr>
        <w:footnoteReference w:id="628"/>
      </w:r>
      <w:r>
        <w:rPr>
          <w:sz w:val="22"/>
          <w:szCs w:val="22"/>
        </w:rPr>
        <w:t>); ciò intralcia l’attività amministrativa più di quanto ostacoli i corrotti. Un denominatore comune anticorruzione è il controllo sociale, l</w:t>
      </w:r>
      <w:r w:rsidR="00ED4761">
        <w:rPr>
          <w:sz w:val="22"/>
          <w:szCs w:val="22"/>
        </w:rPr>
        <w:t xml:space="preserve">a presenza di controinteressati nei </w:t>
      </w:r>
      <w:r w:rsidR="002217BA">
        <w:rPr>
          <w:sz w:val="22"/>
          <w:szCs w:val="22"/>
        </w:rPr>
        <w:t xml:space="preserve">passaggi </w:t>
      </w:r>
      <w:r w:rsidR="00AB259D">
        <w:rPr>
          <w:sz w:val="22"/>
          <w:szCs w:val="22"/>
        </w:rPr>
        <w:t xml:space="preserve">critici </w:t>
      </w:r>
      <w:r w:rsidR="00AC686E">
        <w:rPr>
          <w:sz w:val="22"/>
          <w:szCs w:val="22"/>
        </w:rPr>
        <w:t>dove si innestano l</w:t>
      </w:r>
      <w:r w:rsidR="00512D56" w:rsidRPr="007F7EBF">
        <w:rPr>
          <w:sz w:val="22"/>
          <w:szCs w:val="22"/>
        </w:rPr>
        <w:t xml:space="preserve">e </w:t>
      </w:r>
      <w:r w:rsidR="00C16DB9" w:rsidRPr="007F7EBF">
        <w:rPr>
          <w:sz w:val="22"/>
          <w:szCs w:val="22"/>
        </w:rPr>
        <w:t>possibilità corruttive</w:t>
      </w:r>
      <w:r w:rsidR="00ED4761">
        <w:rPr>
          <w:sz w:val="22"/>
          <w:szCs w:val="22"/>
        </w:rPr>
        <w:t>. I controinteressati e la visibilità sociale sono molto alti nell’urbanistica</w:t>
      </w:r>
      <w:r w:rsidR="00ED4761">
        <w:rPr>
          <w:rStyle w:val="Rimandonotaapidipagina"/>
          <w:sz w:val="22"/>
          <w:szCs w:val="22"/>
        </w:rPr>
        <w:footnoteReference w:id="629"/>
      </w:r>
      <w:r w:rsidR="00ED4761">
        <w:rPr>
          <w:sz w:val="22"/>
          <w:szCs w:val="22"/>
        </w:rPr>
        <w:t>, mentre la determinazione dei presupposti d’imposta avviene lontano da occhi indiscreti. A</w:t>
      </w:r>
      <w:r w:rsidR="00CB3694" w:rsidRPr="00431D8A">
        <w:t>ndrebbe</w:t>
      </w:r>
      <w:r w:rsidR="00ED4761">
        <w:t>ro quindi</w:t>
      </w:r>
      <w:r w:rsidR="00CB3694" w:rsidRPr="00431D8A">
        <w:t xml:space="preserve"> </w:t>
      </w:r>
      <w:r w:rsidR="00ED4761">
        <w:t xml:space="preserve">valorizzati i controinteressati e </w:t>
      </w:r>
      <w:r w:rsidR="00CB3694" w:rsidRPr="00431D8A">
        <w:t>incentivat</w:t>
      </w:r>
      <w:r w:rsidR="00ED4761">
        <w:t>a</w:t>
      </w:r>
      <w:r w:rsidR="00CB3694" w:rsidRPr="00431D8A">
        <w:t xml:space="preserve"> la segnalazione, se si preferisce "delazione"</w:t>
      </w:r>
      <w:r w:rsidR="00AB259D" w:rsidRPr="00431D8A">
        <w:t xml:space="preserve"> (</w:t>
      </w:r>
      <w:r w:rsidR="00AB259D" w:rsidRPr="00431D8A">
        <w:rPr>
          <w:rStyle w:val="Rimandonotaapidipagina"/>
        </w:rPr>
        <w:footnoteReference w:id="630"/>
      </w:r>
      <w:r w:rsidR="00AB259D" w:rsidRPr="00431D8A">
        <w:t>)</w:t>
      </w:r>
      <w:r>
        <w:t xml:space="preserve">. </w:t>
      </w:r>
      <w:r w:rsidR="00BF0DA7">
        <w:t xml:space="preserve">Servirebbero quindi accorgimenti per salvaguardare chi denuncia concussioni da atteggiamenti “punitivi”, sempre in punto di determinazione degli imponibili, dei colleghi del denunciato. Inversamente, </w:t>
      </w:r>
      <w:r w:rsidR="00BF0DA7" w:rsidRPr="00BF0DA7">
        <w:rPr>
          <w:sz w:val="22"/>
          <w:szCs w:val="22"/>
        </w:rPr>
        <w:t xml:space="preserve">le proposte corruttive </w:t>
      </w:r>
      <w:r w:rsidR="00BF0DA7">
        <w:rPr>
          <w:sz w:val="22"/>
          <w:szCs w:val="22"/>
        </w:rPr>
        <w:t>dei contribuenti andrebbero inizialmente assecondate, avvertendo i servizi di “audit”</w:t>
      </w:r>
      <w:r w:rsidR="00BF0DA7">
        <w:t>, controllo ispettivo interno degli uffici finanziari, che vaglierebbe il coinvolgimento della polizia giudiziaria, una volta ottenuti riscontri adeguati</w:t>
      </w:r>
      <w:r w:rsidR="00BF0DA7">
        <w:rPr>
          <w:sz w:val="22"/>
          <w:szCs w:val="22"/>
        </w:rPr>
        <w:t xml:space="preserve">, </w:t>
      </w:r>
      <w:r w:rsidR="00BF0DA7" w:rsidRPr="00BF0DA7">
        <w:rPr>
          <w:sz w:val="22"/>
          <w:szCs w:val="22"/>
        </w:rPr>
        <w:t>in modo da acquisirne prove idonee a una condanna penale.</w:t>
      </w:r>
      <w:r w:rsidR="00BF0DA7" w:rsidRPr="00BF0DA7">
        <w:t xml:space="preserve"> </w:t>
      </w:r>
      <w:r w:rsidR="00BF0DA7" w:rsidRPr="00BF0DA7">
        <w:rPr>
          <w:sz w:val="22"/>
          <w:szCs w:val="22"/>
        </w:rPr>
        <w:t xml:space="preserve"> </w:t>
      </w:r>
    </w:p>
    <w:p w14:paraId="14A8CDC0" w14:textId="77777777" w:rsidR="00BF0DA7" w:rsidRDefault="007530B8" w:rsidP="008C5056">
      <w:pPr>
        <w:autoSpaceDE w:val="0"/>
        <w:autoSpaceDN w:val="0"/>
        <w:adjustRightInd w:val="0"/>
      </w:pPr>
      <w:r>
        <w:t xml:space="preserve">Ai fini del controllo </w:t>
      </w:r>
      <w:r w:rsidR="00ED4761">
        <w:t>sociale</w:t>
      </w:r>
      <w:r w:rsidR="00AB259D" w:rsidRPr="00431D8A">
        <w:t xml:space="preserve"> </w:t>
      </w:r>
      <w:r w:rsidR="00CB3694" w:rsidRPr="00431D8A">
        <w:t>le stime degli imponibili comparabili dovrebbero essere accessibili da chi esercita attività economiche comparabili</w:t>
      </w:r>
      <w:r w:rsidR="005349C0" w:rsidRPr="00431D8A">
        <w:t>.</w:t>
      </w:r>
      <w:r w:rsidR="00CB3694" w:rsidRPr="00431D8A">
        <w:t xml:space="preserve">  La sistematicità delle stime, nei confronti di un numero elevato di operatori economici, non solo aumenterebbe il </w:t>
      </w:r>
      <w:r w:rsidR="00CB3694" w:rsidRPr="00431D8A">
        <w:lastRenderedPageBreak/>
        <w:t>controllo tributario del territorio (par.5.7), ma anche il circolo virtuoso di questo controllo reciproco (</w:t>
      </w:r>
      <w:r w:rsidR="00CB3694" w:rsidRPr="00431D8A">
        <w:rPr>
          <w:rStyle w:val="Rimandonotaapidipagina"/>
        </w:rPr>
        <w:footnoteReference w:id="631"/>
      </w:r>
      <w:r w:rsidR="00CB3694" w:rsidRPr="00431D8A">
        <w:t>).</w:t>
      </w:r>
      <w:r w:rsidR="00C0608E" w:rsidRPr="00431D8A">
        <w:t xml:space="preserve"> </w:t>
      </w:r>
    </w:p>
    <w:p w14:paraId="4FEB9A0D" w14:textId="247585B9" w:rsidR="009201D0" w:rsidRPr="007F7EBF" w:rsidRDefault="005349C0" w:rsidP="008C5056">
      <w:pPr>
        <w:autoSpaceDE w:val="0"/>
        <w:autoSpaceDN w:val="0"/>
        <w:adjustRightInd w:val="0"/>
        <w:rPr>
          <w:bCs/>
          <w:i/>
          <w:iCs/>
          <w:color w:val="0000FF"/>
        </w:rPr>
      </w:pPr>
      <w:r w:rsidRPr="00431D8A">
        <w:t>Un sistema di contenzioso amministrativo trasparente ed accessibile</w:t>
      </w:r>
      <w:r w:rsidR="007530B8">
        <w:t xml:space="preserve"> (par.6.4 ss.) </w:t>
      </w:r>
      <w:r w:rsidRPr="00431D8A">
        <w:t xml:space="preserve"> sarebbe uno strumento di controllo sociale che riduce i</w:t>
      </w:r>
      <w:r w:rsidR="00CB3694" w:rsidRPr="00431D8A">
        <w:t xml:space="preserve"> rischi di corruzione connessi alle stime</w:t>
      </w:r>
      <w:r w:rsidRPr="00431D8A">
        <w:t>,</w:t>
      </w:r>
      <w:r w:rsidR="00431D8A" w:rsidRPr="00431D8A">
        <w:t xml:space="preserve"> </w:t>
      </w:r>
      <w:r w:rsidR="00CB3694" w:rsidRPr="00431D8A">
        <w:t xml:space="preserve">senza esorcizzarli con </w:t>
      </w:r>
      <w:r w:rsidRPr="00431D8A">
        <w:t xml:space="preserve">gli </w:t>
      </w:r>
      <w:r w:rsidR="00CB3694" w:rsidRPr="00431D8A">
        <w:t xml:space="preserve">automatismi legislativi, come quelli indicati al par.5.8,5.9, </w:t>
      </w:r>
      <w:r w:rsidR="00EF6783" w:rsidRPr="00431D8A">
        <w:t xml:space="preserve">5.16 </w:t>
      </w:r>
      <w:r w:rsidR="00CB3694" w:rsidRPr="00431D8A">
        <w:t xml:space="preserve"> (</w:t>
      </w:r>
      <w:r w:rsidR="00CB3694" w:rsidRPr="00431D8A">
        <w:rPr>
          <w:rStyle w:val="Rimandonotaapidipagina"/>
        </w:rPr>
        <w:footnoteReference w:id="632"/>
      </w:r>
      <w:r w:rsidR="00CB3694" w:rsidRPr="00431D8A">
        <w:t>)</w:t>
      </w:r>
      <w:r w:rsidR="00BF0DA7">
        <w:t xml:space="preserve">. </w:t>
      </w:r>
    </w:p>
    <w:p w14:paraId="1C81B3A0" w14:textId="0DE41421" w:rsidR="00920A12" w:rsidRPr="007F7EBF" w:rsidRDefault="00F375AA" w:rsidP="00D251D4">
      <w:pPr>
        <w:pStyle w:val="Titolo3"/>
        <w:rPr>
          <w:rFonts w:ascii="Times New Roman" w:hAnsi="Times New Roman"/>
          <w:sz w:val="22"/>
          <w:szCs w:val="22"/>
        </w:rPr>
      </w:pPr>
      <w:bookmarkStart w:id="70" w:name="_Hlk47906493"/>
      <w:r>
        <w:rPr>
          <w:rFonts w:ascii="Times New Roman" w:hAnsi="Times New Roman"/>
          <w:sz w:val="22"/>
          <w:szCs w:val="22"/>
          <w:lang w:val="it-IT"/>
        </w:rPr>
        <w:t xml:space="preserve"> </w:t>
      </w:r>
      <w:bookmarkStart w:id="71" w:name="_Toc63364984"/>
      <w:r w:rsidR="006342C5" w:rsidRPr="007F7EBF">
        <w:rPr>
          <w:rFonts w:ascii="Times New Roman" w:hAnsi="Times New Roman"/>
          <w:sz w:val="22"/>
          <w:szCs w:val="22"/>
        </w:rPr>
        <w:t xml:space="preserve">5.12. </w:t>
      </w:r>
      <w:r w:rsidR="007F2CA7" w:rsidRPr="007F7EBF">
        <w:rPr>
          <w:rFonts w:ascii="Times New Roman" w:hAnsi="Times New Roman"/>
          <w:sz w:val="22"/>
          <w:szCs w:val="22"/>
        </w:rPr>
        <w:t xml:space="preserve"> </w:t>
      </w:r>
      <w:r w:rsidR="00A479A9" w:rsidRPr="007F7EBF">
        <w:rPr>
          <w:rFonts w:ascii="Times New Roman" w:hAnsi="Times New Roman"/>
          <w:sz w:val="22"/>
          <w:szCs w:val="22"/>
        </w:rPr>
        <w:t>A</w:t>
      </w:r>
      <w:r w:rsidR="006342C5" w:rsidRPr="007F7EBF">
        <w:rPr>
          <w:rFonts w:ascii="Times New Roman" w:hAnsi="Times New Roman"/>
          <w:sz w:val="22"/>
          <w:szCs w:val="22"/>
        </w:rPr>
        <w:t>mbiguità de</w:t>
      </w:r>
      <w:r w:rsidR="00A479A9" w:rsidRPr="007F7EBF">
        <w:rPr>
          <w:rFonts w:ascii="Times New Roman" w:hAnsi="Times New Roman"/>
          <w:sz w:val="22"/>
          <w:szCs w:val="22"/>
        </w:rPr>
        <w:t>lle formule normative sull’accertamento tributario (</w:t>
      </w:r>
      <w:r w:rsidR="004B1637">
        <w:rPr>
          <w:rFonts w:ascii="Times New Roman" w:hAnsi="Times New Roman"/>
          <w:sz w:val="22"/>
          <w:szCs w:val="22"/>
          <w:lang w:val="it-IT"/>
        </w:rPr>
        <w:t xml:space="preserve">analitico, sintetico, </w:t>
      </w:r>
      <w:r w:rsidR="00A479A9" w:rsidRPr="007F7EBF">
        <w:rPr>
          <w:rFonts w:ascii="Times New Roman" w:hAnsi="Times New Roman"/>
          <w:sz w:val="22"/>
          <w:szCs w:val="22"/>
        </w:rPr>
        <w:t>induttivo, contabile, etc.)</w:t>
      </w:r>
      <w:bookmarkEnd w:id="71"/>
    </w:p>
    <w:p w14:paraId="36D4BEDE" w14:textId="62B17621" w:rsidR="00920A12" w:rsidRPr="007F7EBF" w:rsidRDefault="00404456" w:rsidP="00920A12">
      <w:pPr>
        <w:pStyle w:val="tit23"/>
        <w:ind w:left="6464" w:right="-1361" w:firstLine="0"/>
        <w:jc w:val="left"/>
        <w:rPr>
          <w:b/>
          <w:bCs/>
          <w:i/>
          <w:iCs/>
          <w:color w:val="0000FF"/>
          <w:lang w:val="it-IT"/>
        </w:rPr>
      </w:pPr>
      <w:r>
        <w:rPr>
          <w:b/>
          <w:bCs/>
          <w:i/>
          <w:iCs/>
          <w:color w:val="0000FF"/>
          <w:lang w:val="it-IT"/>
        </w:rPr>
        <w:t>Pluralità di definizioni degli acc</w:t>
      </w:r>
      <w:r w:rsidR="00D319DA" w:rsidRPr="007F7EBF">
        <w:rPr>
          <w:b/>
          <w:bCs/>
          <w:i/>
          <w:iCs/>
          <w:color w:val="0000FF"/>
          <w:lang w:val="it-IT"/>
        </w:rPr>
        <w:t>e</w:t>
      </w:r>
      <w:r>
        <w:rPr>
          <w:b/>
          <w:bCs/>
          <w:i/>
          <w:iCs/>
          <w:color w:val="0000FF"/>
          <w:lang w:val="it-IT"/>
        </w:rPr>
        <w:t>rtamenti</w:t>
      </w:r>
    </w:p>
    <w:p w14:paraId="1AAB17E7" w14:textId="48387743" w:rsidR="009201D0" w:rsidRPr="007F7EBF" w:rsidRDefault="00D319DA" w:rsidP="003860F7">
      <w:pPr>
        <w:autoSpaceDE w:val="0"/>
        <w:autoSpaceDN w:val="0"/>
        <w:adjustRightInd w:val="0"/>
        <w:rPr>
          <w:sz w:val="22"/>
          <w:szCs w:val="22"/>
        </w:rPr>
      </w:pPr>
      <w:r w:rsidRPr="007F7EBF">
        <w:rPr>
          <w:sz w:val="22"/>
          <w:szCs w:val="22"/>
        </w:rPr>
        <w:t>L</w:t>
      </w:r>
      <w:r w:rsidR="002F27D0" w:rsidRPr="007F7EBF">
        <w:rPr>
          <w:sz w:val="22"/>
          <w:szCs w:val="22"/>
        </w:rPr>
        <w:t xml:space="preserve">e disposizioni </w:t>
      </w:r>
      <w:r w:rsidR="00B877FC">
        <w:rPr>
          <w:sz w:val="22"/>
          <w:szCs w:val="22"/>
        </w:rPr>
        <w:t>legislative</w:t>
      </w:r>
      <w:r w:rsidR="002F27D0" w:rsidRPr="007F7EBF">
        <w:rPr>
          <w:sz w:val="22"/>
          <w:szCs w:val="22"/>
        </w:rPr>
        <w:t xml:space="preserve"> su</w:t>
      </w:r>
      <w:r w:rsidR="0050564F">
        <w:rPr>
          <w:sz w:val="22"/>
          <w:szCs w:val="22"/>
        </w:rPr>
        <w:t>gli atti d’</w:t>
      </w:r>
      <w:r w:rsidR="002F5267" w:rsidRPr="007F7EBF">
        <w:rPr>
          <w:sz w:val="22"/>
          <w:szCs w:val="22"/>
        </w:rPr>
        <w:t>accertament</w:t>
      </w:r>
      <w:r w:rsidR="0050564F">
        <w:rPr>
          <w:sz w:val="22"/>
          <w:szCs w:val="22"/>
        </w:rPr>
        <w:t>o</w:t>
      </w:r>
      <w:r w:rsidR="002F5267" w:rsidRPr="007F7EBF">
        <w:rPr>
          <w:sz w:val="22"/>
          <w:szCs w:val="22"/>
        </w:rPr>
        <w:t xml:space="preserve"> tributari</w:t>
      </w:r>
      <w:r w:rsidR="0050564F">
        <w:rPr>
          <w:sz w:val="22"/>
          <w:szCs w:val="22"/>
        </w:rPr>
        <w:t xml:space="preserve">o (par.6.1) </w:t>
      </w:r>
      <w:r w:rsidR="002F27D0" w:rsidRPr="007F7EBF">
        <w:rPr>
          <w:sz w:val="22"/>
          <w:szCs w:val="22"/>
        </w:rPr>
        <w:t xml:space="preserve">confermano il </w:t>
      </w:r>
      <w:r w:rsidR="0050564F">
        <w:rPr>
          <w:sz w:val="22"/>
          <w:szCs w:val="22"/>
        </w:rPr>
        <w:t>filo conduttore del testo secondo cui la normativa “non insegna”, ma riflette l</w:t>
      </w:r>
      <w:r w:rsidR="00407D1B">
        <w:rPr>
          <w:sz w:val="22"/>
          <w:szCs w:val="22"/>
        </w:rPr>
        <w:t xml:space="preserve">e spiegazioni </w:t>
      </w:r>
      <w:r w:rsidR="0050564F">
        <w:rPr>
          <w:sz w:val="22"/>
          <w:szCs w:val="22"/>
        </w:rPr>
        <w:t>social</w:t>
      </w:r>
      <w:r w:rsidR="00407D1B">
        <w:rPr>
          <w:sz w:val="22"/>
          <w:szCs w:val="22"/>
        </w:rPr>
        <w:t>i</w:t>
      </w:r>
      <w:r w:rsidR="0050564F">
        <w:rPr>
          <w:sz w:val="22"/>
          <w:szCs w:val="22"/>
        </w:rPr>
        <w:t xml:space="preserve"> dei fenomeni </w:t>
      </w:r>
      <w:r w:rsidR="00407D1B">
        <w:rPr>
          <w:sz w:val="22"/>
          <w:szCs w:val="22"/>
        </w:rPr>
        <w:t>sottostanti</w:t>
      </w:r>
      <w:r w:rsidR="0050564F">
        <w:rPr>
          <w:sz w:val="22"/>
          <w:szCs w:val="22"/>
        </w:rPr>
        <w:t xml:space="preserve">. </w:t>
      </w:r>
      <w:r w:rsidR="00407D1B">
        <w:rPr>
          <w:sz w:val="22"/>
          <w:szCs w:val="22"/>
        </w:rPr>
        <w:t>Tali spiegazioni</w:t>
      </w:r>
      <w:r w:rsidR="0050564F">
        <w:rPr>
          <w:sz w:val="22"/>
          <w:szCs w:val="22"/>
        </w:rPr>
        <w:t>,</w:t>
      </w:r>
      <w:r w:rsidR="00407D1B">
        <w:rPr>
          <w:sz w:val="22"/>
          <w:szCs w:val="22"/>
        </w:rPr>
        <w:t xml:space="preserve"> sulla</w:t>
      </w:r>
      <w:r w:rsidR="00BE61D6">
        <w:rPr>
          <w:sz w:val="22"/>
          <w:szCs w:val="22"/>
        </w:rPr>
        <w:t xml:space="preserve"> determinazione dei presupposti economici d’imposta, </w:t>
      </w:r>
      <w:r w:rsidR="00BD55A2">
        <w:rPr>
          <w:sz w:val="22"/>
          <w:szCs w:val="22"/>
        </w:rPr>
        <w:t xml:space="preserve">sono </w:t>
      </w:r>
      <w:r w:rsidR="00BE61D6">
        <w:rPr>
          <w:sz w:val="22"/>
          <w:szCs w:val="22"/>
        </w:rPr>
        <w:t>estremamente confusionari</w:t>
      </w:r>
      <w:r w:rsidR="00BD55A2">
        <w:rPr>
          <w:sz w:val="22"/>
          <w:szCs w:val="22"/>
        </w:rPr>
        <w:t>e, secondo un filo conduttore del testo</w:t>
      </w:r>
      <w:r w:rsidR="00BE61D6">
        <w:rPr>
          <w:sz w:val="22"/>
          <w:szCs w:val="22"/>
        </w:rPr>
        <w:t xml:space="preserve">, e </w:t>
      </w:r>
      <w:r w:rsidR="00404456">
        <w:rPr>
          <w:sz w:val="22"/>
          <w:szCs w:val="22"/>
        </w:rPr>
        <w:t xml:space="preserve">questo si riflette sulle definizioni </w:t>
      </w:r>
      <w:r w:rsidR="00B02D47">
        <w:rPr>
          <w:sz w:val="22"/>
          <w:szCs w:val="22"/>
        </w:rPr>
        <w:t xml:space="preserve">degli atti d’accertamento. Esse si pongono da vari punti di vista </w:t>
      </w:r>
      <w:r w:rsidR="00BE61D6">
        <w:rPr>
          <w:sz w:val="22"/>
          <w:szCs w:val="22"/>
        </w:rPr>
        <w:t xml:space="preserve"> </w:t>
      </w:r>
      <w:r w:rsidR="00B02D47">
        <w:t>in una</w:t>
      </w:r>
      <w:r w:rsidR="00B02D47" w:rsidRPr="007F7EBF">
        <w:t xml:space="preserve"> </w:t>
      </w:r>
      <w:r w:rsidR="00B02D47">
        <w:t xml:space="preserve">geografia normativa risalente al 1972-73, </w:t>
      </w:r>
      <w:r w:rsidR="00B02D47" w:rsidRPr="007F7EBF">
        <w:t>ancora oggi in vigore per la generalità dei contribuenti (artt.39 dpr 600 e 54-55 dell’IVA</w:t>
      </w:r>
      <w:r w:rsidR="00B02D47">
        <w:t>), e che si riflette confusamente sulle</w:t>
      </w:r>
      <w:r w:rsidR="002E58C5">
        <w:t xml:space="preserve"> </w:t>
      </w:r>
      <w:r w:rsidR="00B02D47">
        <w:t xml:space="preserve">espressioni utilizzate dagli operatori del settore. </w:t>
      </w:r>
      <w:r w:rsidR="0050564F">
        <w:rPr>
          <w:sz w:val="22"/>
          <w:szCs w:val="22"/>
        </w:rPr>
        <w:t xml:space="preserve"> </w:t>
      </w:r>
    </w:p>
    <w:p w14:paraId="30C0B6CF" w14:textId="77777777" w:rsidR="002C6519" w:rsidRPr="007F7EBF" w:rsidRDefault="009201D0" w:rsidP="003860F7">
      <w:pPr>
        <w:pStyle w:val="tit23"/>
        <w:ind w:left="6464" w:right="-1361" w:firstLine="0"/>
        <w:jc w:val="left"/>
        <w:rPr>
          <w:b/>
          <w:bCs/>
          <w:i/>
          <w:iCs/>
          <w:color w:val="0000FF"/>
          <w:lang w:val="it-IT"/>
        </w:rPr>
      </w:pPr>
      <w:r w:rsidRPr="007F7EBF">
        <w:rPr>
          <w:b/>
          <w:bCs/>
          <w:i/>
          <w:iCs/>
          <w:color w:val="0000FF"/>
          <w:lang w:val="it-IT"/>
        </w:rPr>
        <w:t xml:space="preserve">Astrattezza </w:t>
      </w:r>
      <w:r w:rsidR="0099669D" w:rsidRPr="007F7EBF">
        <w:rPr>
          <w:b/>
          <w:bCs/>
          <w:i/>
          <w:iCs/>
          <w:color w:val="0000FF"/>
          <w:lang w:val="it-IT"/>
        </w:rPr>
        <w:t xml:space="preserve">e ingenuità </w:t>
      </w:r>
      <w:r w:rsidRPr="007F7EBF">
        <w:rPr>
          <w:b/>
          <w:bCs/>
          <w:i/>
          <w:iCs/>
          <w:color w:val="0000FF"/>
          <w:lang w:val="it-IT"/>
        </w:rPr>
        <w:t>normativa</w:t>
      </w:r>
    </w:p>
    <w:p w14:paraId="0B4A6AAD" w14:textId="7DE6AA35" w:rsidR="00956B04" w:rsidRPr="000B21EB" w:rsidRDefault="003860F7" w:rsidP="00956B04">
      <w:pPr>
        <w:autoSpaceDE w:val="0"/>
        <w:autoSpaceDN w:val="0"/>
        <w:adjustRightInd w:val="0"/>
        <w:rPr>
          <w:sz w:val="22"/>
          <w:szCs w:val="22"/>
        </w:rPr>
      </w:pPr>
      <w:r w:rsidRPr="007F7EBF">
        <w:rPr>
          <w:sz w:val="22"/>
          <w:szCs w:val="22"/>
        </w:rPr>
        <w:t xml:space="preserve">Nelle disposizioni suddette troviamo lunghe </w:t>
      </w:r>
      <w:r w:rsidR="006342C5" w:rsidRPr="007F7EBF">
        <w:rPr>
          <w:sz w:val="22"/>
          <w:szCs w:val="22"/>
        </w:rPr>
        <w:t>elencazion</w:t>
      </w:r>
      <w:r w:rsidRPr="007F7EBF">
        <w:rPr>
          <w:sz w:val="22"/>
          <w:szCs w:val="22"/>
        </w:rPr>
        <w:t>i</w:t>
      </w:r>
      <w:r w:rsidR="00AC4D4D" w:rsidRPr="007F7EBF">
        <w:rPr>
          <w:sz w:val="22"/>
          <w:szCs w:val="22"/>
        </w:rPr>
        <w:t xml:space="preserve"> </w:t>
      </w:r>
      <w:r w:rsidR="006342C5" w:rsidRPr="007F7EBF">
        <w:rPr>
          <w:sz w:val="22"/>
          <w:szCs w:val="22"/>
        </w:rPr>
        <w:t>di stereotipe e tautologic</w:t>
      </w:r>
      <w:r w:rsidR="00533B6F">
        <w:rPr>
          <w:sz w:val="22"/>
          <w:szCs w:val="22"/>
        </w:rPr>
        <w:t>o-c</w:t>
      </w:r>
      <w:r w:rsidRPr="007F7EBF">
        <w:rPr>
          <w:sz w:val="22"/>
          <w:szCs w:val="22"/>
        </w:rPr>
        <w:t>asistiche</w:t>
      </w:r>
      <w:r w:rsidR="006342C5" w:rsidRPr="007F7EBF">
        <w:rPr>
          <w:sz w:val="22"/>
          <w:szCs w:val="22"/>
        </w:rPr>
        <w:t xml:space="preserve"> in cui l’ufficio “procede all</w:t>
      </w:r>
      <w:r w:rsidR="0044479F" w:rsidRPr="007F7EBF">
        <w:rPr>
          <w:sz w:val="22"/>
          <w:szCs w:val="22"/>
        </w:rPr>
        <w:t xml:space="preserve">a rettifica o all’accertamento”. Alcune di tali </w:t>
      </w:r>
      <w:r w:rsidR="006342C5" w:rsidRPr="007F7EBF">
        <w:rPr>
          <w:bCs/>
          <w:sz w:val="22"/>
          <w:szCs w:val="22"/>
        </w:rPr>
        <w:t xml:space="preserve">ipotesi </w:t>
      </w:r>
      <w:r w:rsidR="006342C5" w:rsidRPr="007F7EBF">
        <w:rPr>
          <w:sz w:val="22"/>
          <w:szCs w:val="22"/>
        </w:rPr>
        <w:t xml:space="preserve">di rettifica </w:t>
      </w:r>
      <w:r w:rsidR="0044479F" w:rsidRPr="007F7EBF">
        <w:rPr>
          <w:sz w:val="22"/>
          <w:szCs w:val="22"/>
        </w:rPr>
        <w:t xml:space="preserve">sono </w:t>
      </w:r>
      <w:r w:rsidR="006342C5" w:rsidRPr="007F7EBF">
        <w:rPr>
          <w:bCs/>
          <w:sz w:val="22"/>
          <w:szCs w:val="22"/>
        </w:rPr>
        <w:t>inverosimili</w:t>
      </w:r>
      <w:r w:rsidR="006342C5" w:rsidRPr="007F7EBF">
        <w:rPr>
          <w:sz w:val="22"/>
          <w:szCs w:val="22"/>
        </w:rPr>
        <w:t xml:space="preserve">, </w:t>
      </w:r>
      <w:r w:rsidR="0044479F" w:rsidRPr="007F7EBF">
        <w:rPr>
          <w:sz w:val="22"/>
          <w:szCs w:val="22"/>
        </w:rPr>
        <w:t xml:space="preserve">altre </w:t>
      </w:r>
      <w:r w:rsidR="00701E53" w:rsidRPr="007F7EBF">
        <w:rPr>
          <w:bCs/>
          <w:sz w:val="22"/>
          <w:szCs w:val="22"/>
        </w:rPr>
        <w:t>banali</w:t>
      </w:r>
      <w:r w:rsidR="006342C5" w:rsidRPr="007F7EBF">
        <w:rPr>
          <w:bCs/>
          <w:sz w:val="22"/>
          <w:szCs w:val="22"/>
        </w:rPr>
        <w:t xml:space="preserve"> </w:t>
      </w:r>
      <w:r w:rsidR="006342C5" w:rsidRPr="007F7EBF">
        <w:rPr>
          <w:sz w:val="22"/>
          <w:szCs w:val="22"/>
        </w:rPr>
        <w:t xml:space="preserve">o </w:t>
      </w:r>
      <w:r w:rsidR="006342C5" w:rsidRPr="007F7EBF">
        <w:rPr>
          <w:bCs/>
          <w:sz w:val="22"/>
          <w:szCs w:val="22"/>
        </w:rPr>
        <w:t>ingenue</w:t>
      </w:r>
      <w:r w:rsidR="002C6519" w:rsidRPr="007F7EBF">
        <w:rPr>
          <w:bCs/>
          <w:sz w:val="22"/>
          <w:szCs w:val="22"/>
        </w:rPr>
        <w:t xml:space="preserve"> </w:t>
      </w:r>
      <w:r w:rsidR="006342C5" w:rsidRPr="007F7EBF">
        <w:rPr>
          <w:sz w:val="22"/>
          <w:szCs w:val="22"/>
        </w:rPr>
        <w:t>come la mancata corrispondenza tra elementi dichiarati e indicati nel conto dei profitti</w:t>
      </w:r>
      <w:r w:rsidR="002C6519" w:rsidRPr="007F7EBF">
        <w:rPr>
          <w:sz w:val="22"/>
          <w:szCs w:val="22"/>
        </w:rPr>
        <w:t xml:space="preserve"> </w:t>
      </w:r>
      <w:r w:rsidR="006342C5" w:rsidRPr="007F7EBF">
        <w:rPr>
          <w:sz w:val="22"/>
          <w:szCs w:val="22"/>
        </w:rPr>
        <w:t>e delle perdite</w:t>
      </w:r>
      <w:r w:rsidR="002A0EF6" w:rsidRPr="007F7EBF">
        <w:rPr>
          <w:sz w:val="22"/>
          <w:szCs w:val="22"/>
        </w:rPr>
        <w:t xml:space="preserve">. Ci sono indicazioni palesemente </w:t>
      </w:r>
      <w:r w:rsidR="008C254A" w:rsidRPr="007F7EBF">
        <w:rPr>
          <w:bCs/>
          <w:sz w:val="22"/>
          <w:szCs w:val="22"/>
        </w:rPr>
        <w:t>pleonastiche</w:t>
      </w:r>
      <w:r w:rsidR="00533B6F">
        <w:rPr>
          <w:bCs/>
          <w:sz w:val="22"/>
          <w:szCs w:val="22"/>
        </w:rPr>
        <w:t xml:space="preserve"> e stereotipe,</w:t>
      </w:r>
      <w:r w:rsidR="002A0EF6" w:rsidRPr="007F7EBF">
        <w:rPr>
          <w:sz w:val="22"/>
          <w:szCs w:val="22"/>
        </w:rPr>
        <w:t xml:space="preserve"> in quanto </w:t>
      </w:r>
      <w:r w:rsidR="006342C5" w:rsidRPr="007F7EBF">
        <w:rPr>
          <w:sz w:val="22"/>
          <w:szCs w:val="22"/>
        </w:rPr>
        <w:t xml:space="preserve">non serve </w:t>
      </w:r>
      <w:r w:rsidR="006342C5" w:rsidRPr="007F7EBF">
        <w:rPr>
          <w:sz w:val="22"/>
          <w:szCs w:val="22"/>
        </w:rPr>
        <w:lastRenderedPageBreak/>
        <w:t>un</w:t>
      </w:r>
      <w:r w:rsidR="00533B6F">
        <w:rPr>
          <w:sz w:val="22"/>
          <w:szCs w:val="22"/>
        </w:rPr>
        <w:t xml:space="preserve">a disposizione </w:t>
      </w:r>
      <w:r w:rsidR="006342C5" w:rsidRPr="007F7EBF">
        <w:rPr>
          <w:sz w:val="22"/>
          <w:szCs w:val="22"/>
        </w:rPr>
        <w:t>di legge per consentire</w:t>
      </w:r>
      <w:r w:rsidR="002C6519" w:rsidRPr="007F7EBF">
        <w:rPr>
          <w:sz w:val="22"/>
          <w:szCs w:val="22"/>
        </w:rPr>
        <w:t xml:space="preserve"> </w:t>
      </w:r>
      <w:r w:rsidR="00533B6F">
        <w:rPr>
          <w:sz w:val="22"/>
          <w:szCs w:val="22"/>
        </w:rPr>
        <w:t xml:space="preserve">all’ufficio tributario </w:t>
      </w:r>
      <w:r w:rsidR="001955FA">
        <w:rPr>
          <w:sz w:val="22"/>
          <w:szCs w:val="22"/>
        </w:rPr>
        <w:t>rettifiche</w:t>
      </w:r>
      <w:r w:rsidR="006342C5" w:rsidRPr="007F7EBF">
        <w:rPr>
          <w:sz w:val="22"/>
          <w:szCs w:val="22"/>
        </w:rPr>
        <w:t xml:space="preserve"> “quando risultano attività non dichiarate”. È altrettanto ovvi</w:t>
      </w:r>
      <w:r w:rsidR="001955FA">
        <w:rPr>
          <w:sz w:val="22"/>
          <w:szCs w:val="22"/>
        </w:rPr>
        <w:t xml:space="preserve">a la rettifica </w:t>
      </w:r>
      <w:r w:rsidR="006342C5" w:rsidRPr="007F7EBF">
        <w:rPr>
          <w:sz w:val="22"/>
          <w:szCs w:val="22"/>
        </w:rPr>
        <w:t xml:space="preserve">quando </w:t>
      </w:r>
      <w:r w:rsidR="002E58C5">
        <w:rPr>
          <w:sz w:val="22"/>
          <w:szCs w:val="22"/>
        </w:rPr>
        <w:t xml:space="preserve">i presupposti economici d’imposta non risultano </w:t>
      </w:r>
      <w:r w:rsidR="006342C5" w:rsidRPr="007F7EBF">
        <w:rPr>
          <w:sz w:val="22"/>
          <w:szCs w:val="22"/>
        </w:rPr>
        <w:t xml:space="preserve">esattamente </w:t>
      </w:r>
      <w:r w:rsidR="002E58C5">
        <w:rPr>
          <w:sz w:val="22"/>
          <w:szCs w:val="22"/>
        </w:rPr>
        <w:t>qualificati in punto di diritto, come detto ai paragrafi 3.9 ss. sull’evasione interpreta</w:t>
      </w:r>
      <w:r w:rsidR="002E58C5" w:rsidRPr="000B21EB">
        <w:rPr>
          <w:sz w:val="22"/>
          <w:szCs w:val="22"/>
        </w:rPr>
        <w:t>tiva da riqualificazione giuridica</w:t>
      </w:r>
      <w:r w:rsidR="006342C5" w:rsidRPr="000B21EB">
        <w:rPr>
          <w:sz w:val="22"/>
          <w:szCs w:val="22"/>
        </w:rPr>
        <w:t>.</w:t>
      </w:r>
      <w:r w:rsidR="002C6519" w:rsidRPr="000B21EB">
        <w:rPr>
          <w:sz w:val="22"/>
          <w:szCs w:val="22"/>
        </w:rPr>
        <w:t xml:space="preserve"> </w:t>
      </w:r>
    </w:p>
    <w:p w14:paraId="4564C4F1" w14:textId="32EA6A07" w:rsidR="009B0D0E" w:rsidRPr="000B21EB" w:rsidRDefault="000B21EB" w:rsidP="009B0D0E">
      <w:pPr>
        <w:pStyle w:val="tit23"/>
        <w:ind w:left="6464" w:right="-1361" w:firstLine="0"/>
        <w:jc w:val="left"/>
        <w:rPr>
          <w:bCs/>
          <w:i/>
          <w:iCs/>
          <w:color w:val="0000FF"/>
          <w:lang w:val="it-IT"/>
        </w:rPr>
      </w:pPr>
      <w:r>
        <w:rPr>
          <w:bCs/>
          <w:i/>
          <w:iCs/>
          <w:color w:val="0000FF"/>
          <w:lang w:val="it-IT"/>
        </w:rPr>
        <w:t>Una normativa controproducente</w:t>
      </w:r>
    </w:p>
    <w:p w14:paraId="448DA3AF" w14:textId="3769EEEE" w:rsidR="00956B04" w:rsidRPr="007F7EBF" w:rsidRDefault="009B0D0E" w:rsidP="000B21EB">
      <w:pPr>
        <w:autoSpaceDE w:val="0"/>
        <w:autoSpaceDN w:val="0"/>
        <w:adjustRightInd w:val="0"/>
        <w:rPr>
          <w:b/>
          <w:bCs/>
          <w:i/>
          <w:iCs/>
          <w:color w:val="0000FF"/>
        </w:rPr>
      </w:pPr>
      <w:r w:rsidRPr="000B21EB">
        <w:rPr>
          <w:bCs/>
          <w:sz w:val="22"/>
          <w:szCs w:val="22"/>
        </w:rPr>
        <w:t>Dall</w:t>
      </w:r>
      <w:r w:rsidRPr="000B21EB">
        <w:rPr>
          <w:sz w:val="22"/>
          <w:szCs w:val="22"/>
        </w:rPr>
        <w:t xml:space="preserve">a normativa suddetta non emerge alcuna percezione della diversa determinabilità dei presupposti economici d’imposta, in relazione alle dimensioni aziendali, alla tipologia della clientela, all’assetto proprietario e </w:t>
      </w:r>
      <w:r w:rsidR="000B21EB">
        <w:rPr>
          <w:sz w:val="22"/>
          <w:szCs w:val="22"/>
        </w:rPr>
        <w:t xml:space="preserve">i vari </w:t>
      </w:r>
      <w:r w:rsidRPr="000B21EB">
        <w:rPr>
          <w:sz w:val="22"/>
          <w:szCs w:val="22"/>
        </w:rPr>
        <w:t>aspetti</w:t>
      </w:r>
      <w:r w:rsidR="000B21EB" w:rsidRPr="000B21EB">
        <w:rPr>
          <w:sz w:val="22"/>
          <w:szCs w:val="22"/>
        </w:rPr>
        <w:t xml:space="preserve"> di stima della </w:t>
      </w:r>
      <w:r w:rsidRPr="000B21EB">
        <w:rPr>
          <w:sz w:val="22"/>
          <w:szCs w:val="22"/>
        </w:rPr>
        <w:t xml:space="preserve">credibilità del dichiarato. </w:t>
      </w:r>
      <w:r w:rsidR="000B21EB" w:rsidRPr="000B21EB">
        <w:rPr>
          <w:sz w:val="22"/>
          <w:szCs w:val="22"/>
        </w:rPr>
        <w:t xml:space="preserve">La normativa rispecchia la </w:t>
      </w:r>
      <w:r w:rsidRPr="000B21EB">
        <w:rPr>
          <w:sz w:val="22"/>
          <w:szCs w:val="22"/>
        </w:rPr>
        <w:t>confusione</w:t>
      </w:r>
      <w:r w:rsidR="000B21EB" w:rsidRPr="000B21EB">
        <w:rPr>
          <w:sz w:val="22"/>
          <w:szCs w:val="22"/>
        </w:rPr>
        <w:t xml:space="preserve">, </w:t>
      </w:r>
      <w:r w:rsidRPr="000B21EB">
        <w:rPr>
          <w:sz w:val="22"/>
          <w:szCs w:val="22"/>
        </w:rPr>
        <w:t>declinata in modo differente da sensibilità politiche diverse e disorientate (</w:t>
      </w:r>
      <w:r w:rsidRPr="000B21EB">
        <w:rPr>
          <w:rStyle w:val="Rimandonotaapidipagina"/>
          <w:sz w:val="22"/>
          <w:szCs w:val="22"/>
        </w:rPr>
        <w:footnoteReference w:id="633"/>
      </w:r>
      <w:r w:rsidRPr="000B21EB">
        <w:rPr>
          <w:sz w:val="22"/>
          <w:szCs w:val="22"/>
        </w:rPr>
        <w:t xml:space="preserve">);non potevano certo </w:t>
      </w:r>
      <w:r w:rsidR="000B21EB">
        <w:rPr>
          <w:sz w:val="22"/>
          <w:szCs w:val="22"/>
        </w:rPr>
        <w:t xml:space="preserve">essere </w:t>
      </w:r>
      <w:r w:rsidRPr="000B21EB">
        <w:rPr>
          <w:sz w:val="22"/>
          <w:szCs w:val="22"/>
        </w:rPr>
        <w:t>legislatore e pubblica opinione (par.</w:t>
      </w:r>
      <w:r w:rsidRPr="000B21EB">
        <w:t xml:space="preserve"> 4.1</w:t>
      </w:r>
      <w:r w:rsidRPr="000B21EB">
        <w:rPr>
          <w:sz w:val="22"/>
          <w:szCs w:val="22"/>
        </w:rPr>
        <w:t>)</w:t>
      </w:r>
      <w:r w:rsidR="000B21EB">
        <w:rPr>
          <w:sz w:val="22"/>
          <w:szCs w:val="22"/>
        </w:rPr>
        <w:t xml:space="preserve"> a comprendere </w:t>
      </w:r>
      <w:r w:rsidR="000B21EB" w:rsidRPr="000B21EB">
        <w:rPr>
          <w:sz w:val="22"/>
          <w:szCs w:val="22"/>
        </w:rPr>
        <w:t xml:space="preserve">la diversa determinabilità </w:t>
      </w:r>
      <w:r w:rsidR="000B21EB">
        <w:rPr>
          <w:sz w:val="22"/>
          <w:szCs w:val="22"/>
        </w:rPr>
        <w:t xml:space="preserve">dei presupposti economici d’imposta, </w:t>
      </w:r>
      <w:r w:rsidR="000B21EB" w:rsidRPr="000B21EB">
        <w:rPr>
          <w:sz w:val="22"/>
          <w:szCs w:val="22"/>
        </w:rPr>
        <w:t>l'empirismo probabilistico del giudizio di fatto (par.5.8) e la natura strutturalmente valutativa delle rettifich</w:t>
      </w:r>
      <w:r w:rsidR="000B21EB">
        <w:rPr>
          <w:sz w:val="22"/>
          <w:szCs w:val="22"/>
        </w:rPr>
        <w:t xml:space="preserve">e, tutti aspetti che sfuggivano persino all’accademia (par.4.3). </w:t>
      </w:r>
    </w:p>
    <w:p w14:paraId="77C212AF" w14:textId="07ED1D03" w:rsidR="000B21EB" w:rsidRPr="007F7EBF" w:rsidRDefault="000B21EB" w:rsidP="000B21EB">
      <w:pPr>
        <w:autoSpaceDE w:val="0"/>
        <w:autoSpaceDN w:val="0"/>
        <w:adjustRightInd w:val="0"/>
        <w:rPr>
          <w:sz w:val="22"/>
          <w:szCs w:val="22"/>
        </w:rPr>
      </w:pPr>
      <w:r>
        <w:rPr>
          <w:sz w:val="22"/>
          <w:szCs w:val="22"/>
        </w:rPr>
        <w:t xml:space="preserve">Si tratta quindi di </w:t>
      </w:r>
      <w:r w:rsidRPr="000B21EB">
        <w:rPr>
          <w:sz w:val="22"/>
          <w:szCs w:val="22"/>
        </w:rPr>
        <w:t xml:space="preserve">disposizioni superflue, </w:t>
      </w:r>
      <w:r>
        <w:rPr>
          <w:sz w:val="22"/>
          <w:szCs w:val="22"/>
        </w:rPr>
        <w:t>in</w:t>
      </w:r>
      <w:r w:rsidRPr="000B21EB">
        <w:rPr>
          <w:sz w:val="22"/>
          <w:szCs w:val="22"/>
        </w:rPr>
        <w:t xml:space="preserve"> assenza </w:t>
      </w:r>
      <w:r>
        <w:rPr>
          <w:sz w:val="22"/>
          <w:szCs w:val="22"/>
        </w:rPr>
        <w:t xml:space="preserve">delle quali </w:t>
      </w:r>
      <w:r w:rsidRPr="000B21EB">
        <w:rPr>
          <w:sz w:val="22"/>
          <w:szCs w:val="22"/>
        </w:rPr>
        <w:t>ci sarebbero stati meno equivoci, meno immobilismi, meno destabilizzazioni degli uffici tributari, e più riflessione(</w:t>
      </w:r>
      <w:r w:rsidRPr="000B21EB">
        <w:rPr>
          <w:rStyle w:val="Rimandonotaapidipagina"/>
          <w:sz w:val="22"/>
          <w:szCs w:val="22"/>
        </w:rPr>
        <w:footnoteReference w:id="634"/>
      </w:r>
      <w:r w:rsidRPr="000B21EB">
        <w:rPr>
          <w:sz w:val="22"/>
          <w:szCs w:val="22"/>
        </w:rPr>
        <w:t>).</w:t>
      </w:r>
      <w:r w:rsidRPr="007F7EBF">
        <w:rPr>
          <w:sz w:val="22"/>
          <w:szCs w:val="22"/>
        </w:rPr>
        <w:t xml:space="preserve"> </w:t>
      </w:r>
    </w:p>
    <w:p w14:paraId="6B53CAAB" w14:textId="62682B46" w:rsidR="000B21EB" w:rsidRPr="007F7EBF" w:rsidRDefault="000B21EB" w:rsidP="000B21EB">
      <w:pPr>
        <w:pStyle w:val="tit23"/>
        <w:ind w:left="6464" w:right="-1361" w:firstLine="0"/>
        <w:jc w:val="left"/>
        <w:rPr>
          <w:b/>
          <w:bCs/>
          <w:i/>
          <w:iCs/>
          <w:color w:val="0000FF"/>
          <w:lang w:val="it-IT"/>
        </w:rPr>
      </w:pPr>
      <w:r>
        <w:rPr>
          <w:b/>
          <w:bCs/>
          <w:i/>
          <w:iCs/>
          <w:color w:val="0000FF"/>
          <w:lang w:val="it-IT"/>
        </w:rPr>
        <w:t>Vani ammiccamenti all’ accertamento analitico</w:t>
      </w:r>
    </w:p>
    <w:p w14:paraId="2F2BEB61" w14:textId="77777777" w:rsidR="000B21EB" w:rsidRDefault="00533B6F" w:rsidP="00956B04">
      <w:pPr>
        <w:autoSpaceDE w:val="0"/>
        <w:autoSpaceDN w:val="0"/>
        <w:adjustRightInd w:val="0"/>
        <w:rPr>
          <w:sz w:val="22"/>
          <w:szCs w:val="22"/>
        </w:rPr>
      </w:pPr>
      <w:r>
        <w:rPr>
          <w:sz w:val="22"/>
          <w:szCs w:val="22"/>
        </w:rPr>
        <w:t>La normativa elude la dimostrazione dell</w:t>
      </w:r>
      <w:r w:rsidR="0030400E">
        <w:rPr>
          <w:sz w:val="22"/>
          <w:szCs w:val="22"/>
        </w:rPr>
        <w:t>’evasione in senso materiale,</w:t>
      </w:r>
      <w:r>
        <w:rPr>
          <w:sz w:val="22"/>
          <w:szCs w:val="22"/>
        </w:rPr>
        <w:t xml:space="preserve"> né del resto potrebbe davvero regolarla, in quanto vi dominano per principio i criteri empirici di cui al par.5.8. Anzi, </w:t>
      </w:r>
      <w:r w:rsidR="00CA2AA3">
        <w:rPr>
          <w:sz w:val="22"/>
          <w:szCs w:val="22"/>
        </w:rPr>
        <w:t xml:space="preserve">in queste disposizioni si trovano </w:t>
      </w:r>
      <w:r>
        <w:rPr>
          <w:sz w:val="22"/>
          <w:szCs w:val="22"/>
        </w:rPr>
        <w:t>allusioni controproducenti rispetto al</w:t>
      </w:r>
      <w:r w:rsidR="00CA2AA3">
        <w:rPr>
          <w:sz w:val="22"/>
          <w:szCs w:val="22"/>
        </w:rPr>
        <w:t xml:space="preserve">le reali possibilità dimostrative spiegate al par.5.9; le disposizioni suddette offrono </w:t>
      </w:r>
      <w:r>
        <w:rPr>
          <w:sz w:val="22"/>
          <w:szCs w:val="22"/>
        </w:rPr>
        <w:t xml:space="preserve">infatti </w:t>
      </w:r>
      <w:r w:rsidR="0030400E">
        <w:rPr>
          <w:sz w:val="22"/>
          <w:szCs w:val="22"/>
        </w:rPr>
        <w:t>numerosi appigli</w:t>
      </w:r>
      <w:r w:rsidR="00CA2AA3">
        <w:rPr>
          <w:sz w:val="22"/>
          <w:szCs w:val="22"/>
        </w:rPr>
        <w:t xml:space="preserve"> letterali </w:t>
      </w:r>
      <w:r w:rsidR="0030400E">
        <w:rPr>
          <w:sz w:val="22"/>
          <w:szCs w:val="22"/>
        </w:rPr>
        <w:t>per sostenere</w:t>
      </w:r>
      <w:r w:rsidR="00CA2AA3">
        <w:rPr>
          <w:sz w:val="22"/>
          <w:szCs w:val="22"/>
        </w:rPr>
        <w:t xml:space="preserve">, se la contabilità è formalmente </w:t>
      </w:r>
      <w:r w:rsidR="00CA2AA3">
        <w:rPr>
          <w:sz w:val="22"/>
          <w:szCs w:val="22"/>
        </w:rPr>
        <w:lastRenderedPageBreak/>
        <w:t xml:space="preserve">regolare, che </w:t>
      </w:r>
      <w:r w:rsidR="0030400E">
        <w:rPr>
          <w:sz w:val="22"/>
          <w:szCs w:val="22"/>
        </w:rPr>
        <w:t>l’ufficio tributario fornisca prove</w:t>
      </w:r>
      <w:r w:rsidR="00CA2AA3">
        <w:rPr>
          <w:sz w:val="22"/>
          <w:szCs w:val="22"/>
        </w:rPr>
        <w:t xml:space="preserve"> che nessuno sarebbe in grado di dare. La normativa fa infatti insistente riferimento a prove </w:t>
      </w:r>
      <w:r w:rsidR="0030400E">
        <w:rPr>
          <w:sz w:val="22"/>
          <w:szCs w:val="22"/>
        </w:rPr>
        <w:t>dirette o specifiche presunzioni</w:t>
      </w:r>
      <w:r w:rsidR="00CA2AA3">
        <w:rPr>
          <w:sz w:val="22"/>
          <w:szCs w:val="22"/>
        </w:rPr>
        <w:t>, gravi precise e concordanti,</w:t>
      </w:r>
      <w:r w:rsidR="0030400E">
        <w:rPr>
          <w:sz w:val="22"/>
          <w:szCs w:val="22"/>
        </w:rPr>
        <w:t xml:space="preserve"> per ogni maggior corrispettivo accertato</w:t>
      </w:r>
      <w:r w:rsidR="00CA2AA3">
        <w:rPr>
          <w:sz w:val="22"/>
          <w:szCs w:val="22"/>
        </w:rPr>
        <w:t>. All’idea della determinazione analitico documentale da parte dei contribuenti sembra quindi corrispondere la simmetria concettuale de</w:t>
      </w:r>
      <w:r w:rsidR="0030400E">
        <w:rPr>
          <w:sz w:val="22"/>
          <w:szCs w:val="22"/>
        </w:rPr>
        <w:t xml:space="preserve">l c.d. </w:t>
      </w:r>
      <w:r w:rsidR="0030400E" w:rsidRPr="0030400E">
        <w:rPr>
          <w:i/>
          <w:iCs/>
          <w:sz w:val="22"/>
          <w:szCs w:val="22"/>
        </w:rPr>
        <w:t>accertamento analitico.</w:t>
      </w:r>
      <w:r w:rsidR="0030400E">
        <w:rPr>
          <w:sz w:val="22"/>
          <w:szCs w:val="22"/>
        </w:rPr>
        <w:t xml:space="preserve"> </w:t>
      </w:r>
      <w:r w:rsidR="00CA2AA3">
        <w:rPr>
          <w:sz w:val="22"/>
          <w:szCs w:val="22"/>
        </w:rPr>
        <w:t xml:space="preserve">Quest’ultimo è invece materialmente impossibile, </w:t>
      </w:r>
      <w:r w:rsidR="004B1637">
        <w:rPr>
          <w:sz w:val="22"/>
          <w:szCs w:val="22"/>
        </w:rPr>
        <w:t>per il piccolo commercio, l’artigianato e le organizzazioni a gestione padronale</w:t>
      </w:r>
      <w:r w:rsidR="00CA2AA3">
        <w:rPr>
          <w:sz w:val="22"/>
          <w:szCs w:val="22"/>
        </w:rPr>
        <w:t xml:space="preserve">. Abbiamo visto al par.5.9 che in tali casi la prova </w:t>
      </w:r>
      <w:r w:rsidR="004B1637">
        <w:rPr>
          <w:sz w:val="22"/>
          <w:szCs w:val="22"/>
        </w:rPr>
        <w:t xml:space="preserve">può essere, secondo la tradizione della funzione tributaria, solamente presuntivo valutativa. </w:t>
      </w:r>
    </w:p>
    <w:p w14:paraId="30AAA7E2" w14:textId="77777777" w:rsidR="000B21EB" w:rsidRDefault="000B21EB" w:rsidP="000B21EB">
      <w:pPr>
        <w:autoSpaceDE w:val="0"/>
        <w:autoSpaceDN w:val="0"/>
        <w:adjustRightInd w:val="0"/>
        <w:rPr>
          <w:bCs/>
          <w:i/>
          <w:iCs/>
          <w:color w:val="0000FF"/>
          <w:sz w:val="22"/>
          <w:szCs w:val="22"/>
        </w:rPr>
      </w:pPr>
    </w:p>
    <w:p w14:paraId="1DF75F92" w14:textId="5A67FF09" w:rsidR="000B21EB" w:rsidRDefault="000B21EB" w:rsidP="000B21EB">
      <w:pPr>
        <w:pStyle w:val="tit23"/>
        <w:ind w:left="6464" w:right="-1361" w:firstLine="0"/>
        <w:jc w:val="left"/>
        <w:rPr>
          <w:bCs/>
          <w:i/>
          <w:iCs/>
          <w:color w:val="0000FF"/>
          <w:lang w:val="it-IT"/>
        </w:rPr>
      </w:pPr>
      <w:r>
        <w:rPr>
          <w:bCs/>
          <w:i/>
          <w:iCs/>
          <w:color w:val="0000FF"/>
          <w:lang w:val="it-IT"/>
        </w:rPr>
        <w:t>Illusioni avvocatesche</w:t>
      </w:r>
    </w:p>
    <w:p w14:paraId="02F52A78" w14:textId="0714E43D" w:rsidR="000B21EB" w:rsidRDefault="004B1637" w:rsidP="000B21EB">
      <w:pPr>
        <w:autoSpaceDE w:val="0"/>
        <w:autoSpaceDN w:val="0"/>
        <w:adjustRightInd w:val="0"/>
        <w:rPr>
          <w:bCs/>
          <w:i/>
          <w:iCs/>
          <w:color w:val="0000FF"/>
          <w:sz w:val="22"/>
          <w:szCs w:val="22"/>
        </w:rPr>
      </w:pPr>
      <w:r>
        <w:rPr>
          <w:sz w:val="22"/>
          <w:szCs w:val="22"/>
        </w:rPr>
        <w:t xml:space="preserve">Questa </w:t>
      </w:r>
      <w:r w:rsidR="00956B04">
        <w:rPr>
          <w:sz w:val="22"/>
          <w:szCs w:val="22"/>
        </w:rPr>
        <w:t>formulazione</w:t>
      </w:r>
      <w:r>
        <w:rPr>
          <w:sz w:val="22"/>
          <w:szCs w:val="22"/>
        </w:rPr>
        <w:t xml:space="preserve"> normativa</w:t>
      </w:r>
      <w:r w:rsidR="00CA2AA3">
        <w:rPr>
          <w:sz w:val="22"/>
          <w:szCs w:val="22"/>
        </w:rPr>
        <w:t>, è stata avvocatescamente sfruttata dai consulenti dei contribuenti, ma con esito negativo. Da sempre infatti la giurisprudenza include</w:t>
      </w:r>
      <w:r w:rsidR="00E50CB3">
        <w:rPr>
          <w:sz w:val="22"/>
          <w:szCs w:val="22"/>
        </w:rPr>
        <w:t xml:space="preserve"> nell’accertamento analitico</w:t>
      </w:r>
      <w:r w:rsidR="00CA2AA3">
        <w:rPr>
          <w:sz w:val="22"/>
          <w:szCs w:val="22"/>
        </w:rPr>
        <w:t xml:space="preserve"> l</w:t>
      </w:r>
      <w:r w:rsidR="00CA2AA3" w:rsidRPr="007F7EBF">
        <w:rPr>
          <w:sz w:val="22"/>
          <w:szCs w:val="22"/>
        </w:rPr>
        <w:t xml:space="preserve">a </w:t>
      </w:r>
      <w:r w:rsidR="00CA2AA3" w:rsidRPr="007F7EBF">
        <w:rPr>
          <w:bCs/>
          <w:sz w:val="22"/>
          <w:szCs w:val="22"/>
        </w:rPr>
        <w:t xml:space="preserve">rideterminazione </w:t>
      </w:r>
      <w:r w:rsidR="00CA2AA3" w:rsidRPr="007F7EBF">
        <w:rPr>
          <w:sz w:val="22"/>
          <w:szCs w:val="22"/>
        </w:rPr>
        <w:t xml:space="preserve">complessiva dei ricavi, in base a </w:t>
      </w:r>
      <w:r w:rsidR="00CA2AA3" w:rsidRPr="007F7EBF">
        <w:rPr>
          <w:bCs/>
          <w:sz w:val="22"/>
          <w:szCs w:val="22"/>
        </w:rPr>
        <w:t>indizi tipicamente estimativi</w:t>
      </w:r>
      <w:r w:rsidR="00E50CB3">
        <w:rPr>
          <w:sz w:val="22"/>
          <w:szCs w:val="22"/>
        </w:rPr>
        <w:t>. In realtà tale determinazione farebbe a rigore parte d</w:t>
      </w:r>
      <w:r w:rsidR="00CA2AA3" w:rsidRPr="007F7EBF">
        <w:rPr>
          <w:sz w:val="22"/>
          <w:szCs w:val="22"/>
        </w:rPr>
        <w:t xml:space="preserve">el c.d. </w:t>
      </w:r>
      <w:r w:rsidR="00CA2AA3" w:rsidRPr="007F7EBF">
        <w:rPr>
          <w:bCs/>
          <w:sz w:val="22"/>
          <w:szCs w:val="22"/>
        </w:rPr>
        <w:t>accertamento “induttivo extracontabile</w:t>
      </w:r>
      <w:r w:rsidR="00CA2AA3" w:rsidRPr="007F7EBF">
        <w:rPr>
          <w:sz w:val="22"/>
          <w:szCs w:val="22"/>
        </w:rPr>
        <w:t>”</w:t>
      </w:r>
      <w:r w:rsidR="00CA2AA3">
        <w:rPr>
          <w:sz w:val="22"/>
          <w:szCs w:val="22"/>
        </w:rPr>
        <w:t xml:space="preserve">, </w:t>
      </w:r>
      <w:r w:rsidR="00E50CB3">
        <w:rPr>
          <w:sz w:val="22"/>
          <w:szCs w:val="22"/>
        </w:rPr>
        <w:t xml:space="preserve">che richiederebbe irregolarità formali </w:t>
      </w:r>
      <w:r w:rsidR="00E50CB3" w:rsidRPr="007F7EBF">
        <w:rPr>
          <w:sz w:val="22"/>
          <w:szCs w:val="22"/>
        </w:rPr>
        <w:t>come la mancata tenuta di un registro contabile</w:t>
      </w:r>
      <w:r w:rsidR="00E50CB3">
        <w:rPr>
          <w:sz w:val="22"/>
          <w:szCs w:val="22"/>
        </w:rPr>
        <w:t>. S</w:t>
      </w:r>
      <w:r w:rsidR="00E50CB3" w:rsidRPr="007F7EBF">
        <w:rPr>
          <w:sz w:val="22"/>
          <w:szCs w:val="22"/>
        </w:rPr>
        <w:t xml:space="preserve">ono </w:t>
      </w:r>
      <w:r w:rsidR="00E50CB3">
        <w:rPr>
          <w:sz w:val="22"/>
          <w:szCs w:val="22"/>
        </w:rPr>
        <w:t xml:space="preserve">però </w:t>
      </w:r>
      <w:r w:rsidR="00E50CB3" w:rsidRPr="007F7EBF">
        <w:rPr>
          <w:sz w:val="22"/>
          <w:szCs w:val="22"/>
        </w:rPr>
        <w:t>casi limite sostanzialmente assenti</w:t>
      </w:r>
      <w:r w:rsidR="00E50CB3">
        <w:rPr>
          <w:sz w:val="22"/>
          <w:szCs w:val="22"/>
        </w:rPr>
        <w:t xml:space="preserve">, specie per </w:t>
      </w:r>
      <w:r w:rsidR="00E50CB3" w:rsidRPr="007F7EBF">
        <w:rPr>
          <w:sz w:val="22"/>
          <w:szCs w:val="22"/>
        </w:rPr>
        <w:t>organizzazion</w:t>
      </w:r>
      <w:r w:rsidR="00E50CB3">
        <w:rPr>
          <w:sz w:val="22"/>
          <w:szCs w:val="22"/>
        </w:rPr>
        <w:t xml:space="preserve">i di una certa </w:t>
      </w:r>
      <w:r w:rsidR="00E50CB3" w:rsidRPr="007F7EBF">
        <w:rPr>
          <w:sz w:val="22"/>
          <w:szCs w:val="22"/>
        </w:rPr>
        <w:t>dimension</w:t>
      </w:r>
      <w:r w:rsidR="00E50CB3">
        <w:rPr>
          <w:sz w:val="22"/>
          <w:szCs w:val="22"/>
        </w:rPr>
        <w:t xml:space="preserve">e, mentre per le piccole organizzazioni sono talvolta utilizzate strumentalmente </w:t>
      </w:r>
      <w:r w:rsidR="00E50CB3" w:rsidRPr="007F7EBF">
        <w:t xml:space="preserve">per </w:t>
      </w:r>
      <w:r w:rsidR="00E50CB3">
        <w:t>giustificare l’</w:t>
      </w:r>
      <w:r w:rsidR="00E50CB3" w:rsidRPr="007F7EBF">
        <w:t xml:space="preserve">accertamento </w:t>
      </w:r>
      <w:r w:rsidR="00E50CB3">
        <w:t>presuntivo</w:t>
      </w:r>
      <w:r w:rsidR="00E50CB3" w:rsidRPr="007F7EBF">
        <w:t xml:space="preserve"> </w:t>
      </w:r>
      <w:r w:rsidR="00E50CB3">
        <w:t>quando il dichiarato è in sé poco credibile. Senza queste irregolarità formali, la determinazione globale e presuntiva dei ricavi dovrebbe essere subordinata al</w:t>
      </w:r>
      <w:r w:rsidR="00E50CB3">
        <w:rPr>
          <w:sz w:val="22"/>
          <w:szCs w:val="22"/>
        </w:rPr>
        <w:t>la</w:t>
      </w:r>
      <w:r w:rsidR="00CA2AA3">
        <w:rPr>
          <w:sz w:val="22"/>
          <w:szCs w:val="22"/>
        </w:rPr>
        <w:t xml:space="preserve"> dimostrazione </w:t>
      </w:r>
      <w:r w:rsidR="00E50CB3">
        <w:rPr>
          <w:sz w:val="22"/>
          <w:szCs w:val="22"/>
        </w:rPr>
        <w:t>dell’in</w:t>
      </w:r>
      <w:r w:rsidR="00CA2AA3">
        <w:rPr>
          <w:sz w:val="22"/>
          <w:szCs w:val="22"/>
        </w:rPr>
        <w:t>affidabilità complessiva</w:t>
      </w:r>
      <w:r w:rsidR="00E50CB3">
        <w:rPr>
          <w:sz w:val="22"/>
          <w:szCs w:val="22"/>
        </w:rPr>
        <w:t xml:space="preserve"> delle scritture, con presunzioni qualificate; a questo punto troverebbe ingresso una determinazione valutativa più credibile. </w:t>
      </w:r>
    </w:p>
    <w:p w14:paraId="126B00F5" w14:textId="04BA87F2" w:rsidR="000B21EB" w:rsidRDefault="000B21EB" w:rsidP="000B21EB">
      <w:pPr>
        <w:pStyle w:val="tit23"/>
        <w:ind w:left="6464" w:right="-1361" w:firstLine="0"/>
        <w:jc w:val="left"/>
        <w:rPr>
          <w:bCs/>
          <w:i/>
          <w:iCs/>
          <w:color w:val="0000FF"/>
          <w:lang w:val="it-IT"/>
        </w:rPr>
      </w:pPr>
      <w:r>
        <w:rPr>
          <w:bCs/>
          <w:i/>
          <w:iCs/>
          <w:color w:val="0000FF"/>
          <w:lang w:val="it-IT"/>
        </w:rPr>
        <w:t>Giuste scorciatoie dei giudici</w:t>
      </w:r>
    </w:p>
    <w:p w14:paraId="1FB92EEF" w14:textId="62AFDBE0" w:rsidR="00CA2AA3" w:rsidRDefault="00E50CB3" w:rsidP="00956B04">
      <w:pPr>
        <w:autoSpaceDE w:val="0"/>
        <w:autoSpaceDN w:val="0"/>
        <w:adjustRightInd w:val="0"/>
        <w:rPr>
          <w:sz w:val="22"/>
          <w:szCs w:val="22"/>
        </w:rPr>
      </w:pPr>
      <w:r>
        <w:rPr>
          <w:sz w:val="22"/>
          <w:szCs w:val="22"/>
        </w:rPr>
        <w:t>Invece di imbarcarsi in distinzioni tra questi diversi momenti logici,</w:t>
      </w:r>
      <w:r w:rsidR="00CA2AA3" w:rsidRPr="007F7EBF">
        <w:rPr>
          <w:sz w:val="22"/>
          <w:szCs w:val="22"/>
        </w:rPr>
        <w:t xml:space="preserve"> </w:t>
      </w:r>
      <w:r w:rsidRPr="007F7EBF">
        <w:rPr>
          <w:sz w:val="22"/>
          <w:szCs w:val="22"/>
        </w:rPr>
        <w:t>i giudici tagliano corto, inserendo</w:t>
      </w:r>
      <w:r>
        <w:rPr>
          <w:sz w:val="22"/>
          <w:szCs w:val="22"/>
        </w:rPr>
        <w:t xml:space="preserve"> questi rilievi</w:t>
      </w:r>
      <w:r w:rsidRPr="007F7EBF">
        <w:rPr>
          <w:sz w:val="22"/>
          <w:szCs w:val="22"/>
        </w:rPr>
        <w:t xml:space="preserve"> nell’accertamento </w:t>
      </w:r>
      <w:r>
        <w:rPr>
          <w:sz w:val="22"/>
          <w:szCs w:val="22"/>
        </w:rPr>
        <w:t>analitico-</w:t>
      </w:r>
      <w:r w:rsidRPr="007F7EBF">
        <w:rPr>
          <w:sz w:val="22"/>
          <w:szCs w:val="22"/>
        </w:rPr>
        <w:t>contabile (art. 39 comma 1 e art. 54 dell’IVA)</w:t>
      </w:r>
      <w:r w:rsidR="009B0D0E">
        <w:rPr>
          <w:sz w:val="22"/>
          <w:szCs w:val="22"/>
        </w:rPr>
        <w:t>. L</w:t>
      </w:r>
      <w:r>
        <w:rPr>
          <w:sz w:val="22"/>
          <w:szCs w:val="22"/>
        </w:rPr>
        <w:t>a formula d</w:t>
      </w:r>
      <w:r w:rsidR="00CA2AA3" w:rsidRPr="007F7EBF">
        <w:rPr>
          <w:sz w:val="22"/>
          <w:szCs w:val="22"/>
        </w:rPr>
        <w:t xml:space="preserve">ell’accertamento “analitico induttivo”, </w:t>
      </w:r>
      <w:r w:rsidR="009B0D0E">
        <w:rPr>
          <w:sz w:val="22"/>
          <w:szCs w:val="22"/>
        </w:rPr>
        <w:t>giustifica cioè la rideterminazione complessiva de</w:t>
      </w:r>
      <w:r w:rsidR="00CA2AA3" w:rsidRPr="007F7EBF">
        <w:rPr>
          <w:sz w:val="22"/>
          <w:szCs w:val="22"/>
        </w:rPr>
        <w:t>i ricavi</w:t>
      </w:r>
      <w:r w:rsidR="009B0D0E">
        <w:rPr>
          <w:sz w:val="22"/>
          <w:szCs w:val="22"/>
        </w:rPr>
        <w:t>, con criteri globali indicati al par.5.13.</w:t>
      </w:r>
      <w:r w:rsidR="00CA2AA3" w:rsidRPr="007F7EBF">
        <w:rPr>
          <w:sz w:val="22"/>
          <w:szCs w:val="22"/>
        </w:rPr>
        <w:t xml:space="preserve"> </w:t>
      </w:r>
      <w:r>
        <w:rPr>
          <w:sz w:val="22"/>
          <w:szCs w:val="22"/>
        </w:rPr>
        <w:t>Nella realtà, q</w:t>
      </w:r>
      <w:r w:rsidRPr="007F7EBF">
        <w:rPr>
          <w:sz w:val="22"/>
          <w:szCs w:val="22"/>
        </w:rPr>
        <w:t>uanto più l'ufficio tributario si allontana da “singoli ricavi” rideterminando presuntivamente “gruppi di operazioni”, tanto più l’accertamento «analitico», si avvicina</w:t>
      </w:r>
      <w:r>
        <w:rPr>
          <w:sz w:val="22"/>
          <w:szCs w:val="22"/>
        </w:rPr>
        <w:t xml:space="preserve"> a quello </w:t>
      </w:r>
      <w:r w:rsidRPr="007F7EBF">
        <w:rPr>
          <w:sz w:val="22"/>
          <w:szCs w:val="22"/>
        </w:rPr>
        <w:t>induttivo o extracontabile</w:t>
      </w:r>
      <w:r>
        <w:rPr>
          <w:sz w:val="22"/>
          <w:szCs w:val="22"/>
        </w:rPr>
        <w:t>, di cui all’a</w:t>
      </w:r>
      <w:r w:rsidRPr="007F7EBF">
        <w:t>rt. 39 comma 2 del decreto sull'accertamento, corrispondente all'art.55 dell'IVA</w:t>
      </w:r>
      <w:r>
        <w:rPr>
          <w:sz w:val="22"/>
          <w:szCs w:val="22"/>
        </w:rPr>
        <w:t xml:space="preserve">. </w:t>
      </w:r>
    </w:p>
    <w:p w14:paraId="75D5B535" w14:textId="07BB4150" w:rsidR="00956B04" w:rsidRPr="007F7EBF" w:rsidRDefault="00E50CB3" w:rsidP="00956B04">
      <w:pPr>
        <w:pStyle w:val="tit23"/>
        <w:ind w:left="6464" w:right="-1361" w:firstLine="0"/>
        <w:jc w:val="left"/>
        <w:rPr>
          <w:bCs/>
          <w:i/>
          <w:iCs/>
          <w:color w:val="0000FF"/>
          <w:lang w:val="it-IT"/>
        </w:rPr>
      </w:pPr>
      <w:r>
        <w:rPr>
          <w:bCs/>
          <w:i/>
          <w:iCs/>
          <w:color w:val="0000FF"/>
          <w:lang w:val="it-IT"/>
        </w:rPr>
        <w:lastRenderedPageBreak/>
        <w:t>Il senso dell’induttività</w:t>
      </w:r>
      <w:r w:rsidR="00956B04" w:rsidRPr="007F7EBF">
        <w:rPr>
          <w:bCs/>
          <w:i/>
          <w:iCs/>
          <w:color w:val="0000FF"/>
          <w:lang w:val="it-IT"/>
        </w:rPr>
        <w:t xml:space="preserve">  </w:t>
      </w:r>
    </w:p>
    <w:p w14:paraId="2295BB13" w14:textId="546A11E8" w:rsidR="00956B04" w:rsidRDefault="009B0D0E" w:rsidP="00956B04">
      <w:pPr>
        <w:autoSpaceDE w:val="0"/>
        <w:autoSpaceDN w:val="0"/>
        <w:adjustRightInd w:val="0"/>
        <w:rPr>
          <w:sz w:val="22"/>
          <w:szCs w:val="22"/>
        </w:rPr>
      </w:pPr>
      <w:r>
        <w:rPr>
          <w:bCs/>
          <w:sz w:val="22"/>
          <w:szCs w:val="22"/>
        </w:rPr>
        <w:t>Ripetiamo quindi che l</w:t>
      </w:r>
      <w:r w:rsidR="00956B04">
        <w:rPr>
          <w:bCs/>
          <w:sz w:val="22"/>
          <w:szCs w:val="22"/>
        </w:rPr>
        <w:t>’</w:t>
      </w:r>
      <w:r w:rsidR="00E50CB3">
        <w:rPr>
          <w:bCs/>
          <w:sz w:val="22"/>
          <w:szCs w:val="22"/>
        </w:rPr>
        <w:t>espressione “</w:t>
      </w:r>
      <w:r w:rsidR="00956B04">
        <w:rPr>
          <w:bCs/>
          <w:sz w:val="22"/>
          <w:szCs w:val="22"/>
        </w:rPr>
        <w:t>accertamento i</w:t>
      </w:r>
      <w:r w:rsidR="00956B04" w:rsidRPr="007F7EBF">
        <w:rPr>
          <w:bCs/>
          <w:sz w:val="22"/>
          <w:szCs w:val="22"/>
        </w:rPr>
        <w:t>nduttivo</w:t>
      </w:r>
      <w:r w:rsidR="00E50CB3">
        <w:rPr>
          <w:bCs/>
          <w:sz w:val="22"/>
          <w:szCs w:val="22"/>
        </w:rPr>
        <w:t>”, entrat</w:t>
      </w:r>
      <w:r>
        <w:rPr>
          <w:bCs/>
          <w:sz w:val="22"/>
          <w:szCs w:val="22"/>
        </w:rPr>
        <w:t>a</w:t>
      </w:r>
      <w:r w:rsidR="00E50CB3">
        <w:rPr>
          <w:bCs/>
          <w:sz w:val="22"/>
          <w:szCs w:val="22"/>
        </w:rPr>
        <w:t xml:space="preserve"> nell’uso comune, </w:t>
      </w:r>
      <w:r w:rsidR="00956B04">
        <w:rPr>
          <w:sz w:val="22"/>
          <w:szCs w:val="22"/>
        </w:rPr>
        <w:t>indica</w:t>
      </w:r>
      <w:r w:rsidR="00956B04" w:rsidRPr="007F7EBF">
        <w:rPr>
          <w:sz w:val="22"/>
          <w:szCs w:val="22"/>
        </w:rPr>
        <w:t xml:space="preserve"> </w:t>
      </w:r>
      <w:r w:rsidR="00956B04">
        <w:rPr>
          <w:sz w:val="22"/>
          <w:szCs w:val="22"/>
        </w:rPr>
        <w:t xml:space="preserve">una determinazione </w:t>
      </w:r>
      <w:r w:rsidR="00956B04" w:rsidRPr="007F7EBF">
        <w:rPr>
          <w:sz w:val="22"/>
          <w:szCs w:val="22"/>
        </w:rPr>
        <w:t>“</w:t>
      </w:r>
      <w:r w:rsidR="00E50CB3">
        <w:rPr>
          <w:sz w:val="22"/>
          <w:szCs w:val="22"/>
        </w:rPr>
        <w:t>valutativo-</w:t>
      </w:r>
      <w:r w:rsidR="00956B04" w:rsidRPr="007F7EBF">
        <w:rPr>
          <w:sz w:val="22"/>
          <w:szCs w:val="22"/>
        </w:rPr>
        <w:t>presuntiv</w:t>
      </w:r>
      <w:r w:rsidR="00956B04">
        <w:rPr>
          <w:sz w:val="22"/>
          <w:szCs w:val="22"/>
        </w:rPr>
        <w:t>a</w:t>
      </w:r>
      <w:r w:rsidR="00956B04" w:rsidRPr="007F7EBF">
        <w:rPr>
          <w:sz w:val="22"/>
          <w:szCs w:val="22"/>
        </w:rPr>
        <w:t xml:space="preserve">”  </w:t>
      </w:r>
      <w:r w:rsidR="00956B04">
        <w:rPr>
          <w:sz w:val="22"/>
          <w:szCs w:val="22"/>
        </w:rPr>
        <w:t xml:space="preserve">dell’insieme dei ricavi, o del reddito, disattendendo le scritture contabili; </w:t>
      </w:r>
    </w:p>
    <w:p w14:paraId="0B3ADE73" w14:textId="56A9C988" w:rsidR="00B864E4" w:rsidRPr="007F7EBF" w:rsidRDefault="00956B04" w:rsidP="002E58C5">
      <w:pPr>
        <w:autoSpaceDE w:val="0"/>
        <w:autoSpaceDN w:val="0"/>
        <w:adjustRightInd w:val="0"/>
        <w:rPr>
          <w:bCs/>
          <w:i/>
          <w:iCs/>
          <w:color w:val="0000FF"/>
          <w:sz w:val="22"/>
          <w:szCs w:val="22"/>
        </w:rPr>
      </w:pPr>
      <w:r>
        <w:rPr>
          <w:sz w:val="22"/>
          <w:szCs w:val="22"/>
        </w:rPr>
        <w:t xml:space="preserve">Come indicato al par.3.13, per piccolo commercio, artigianato e piccole organizzazioni, sono i contribuenti a farsi scudo di scritture contabili formalmente ineccepibili </w:t>
      </w:r>
      <w:r w:rsidRPr="007F7EBF">
        <w:t>per difendere risultati economicamente non verosimili rispetto alle caratteristiche dell'attività</w:t>
      </w:r>
      <w:r w:rsidR="009B0D0E">
        <w:rPr>
          <w:sz w:val="22"/>
          <w:szCs w:val="22"/>
        </w:rPr>
        <w:t>. Per questo</w:t>
      </w:r>
      <w:r w:rsidR="009B0D0E" w:rsidRPr="007F7EBF">
        <w:rPr>
          <w:sz w:val="22"/>
          <w:szCs w:val="22"/>
        </w:rPr>
        <w:t xml:space="preserve"> l'a</w:t>
      </w:r>
      <w:r w:rsidR="009B0D0E">
        <w:rPr>
          <w:sz w:val="22"/>
          <w:szCs w:val="22"/>
        </w:rPr>
        <w:t xml:space="preserve">ccertamento induttivo è  chiamato anche </w:t>
      </w:r>
      <w:r w:rsidR="009B0D0E" w:rsidRPr="007F7EBF">
        <w:rPr>
          <w:sz w:val="22"/>
          <w:szCs w:val="22"/>
        </w:rPr>
        <w:t>“</w:t>
      </w:r>
      <w:r w:rsidR="009B0D0E" w:rsidRPr="007F7EBF">
        <w:rPr>
          <w:bCs/>
          <w:sz w:val="22"/>
          <w:szCs w:val="22"/>
        </w:rPr>
        <w:t>extracontabi</w:t>
      </w:r>
      <w:r w:rsidR="009B0D0E">
        <w:rPr>
          <w:bCs/>
          <w:sz w:val="22"/>
          <w:szCs w:val="22"/>
        </w:rPr>
        <w:t>le</w:t>
      </w:r>
      <w:r w:rsidR="009B0D0E">
        <w:rPr>
          <w:sz w:val="22"/>
          <w:szCs w:val="22"/>
        </w:rPr>
        <w:t>, smentendo la suddett</w:t>
      </w:r>
      <w:r>
        <w:rPr>
          <w:sz w:val="22"/>
          <w:szCs w:val="22"/>
        </w:rPr>
        <w:t>a vellei</w:t>
      </w:r>
      <w:r w:rsidRPr="007F7EBF">
        <w:rPr>
          <w:bCs/>
          <w:sz w:val="22"/>
          <w:szCs w:val="22"/>
        </w:rPr>
        <w:t xml:space="preserve">taria enfasi normativa </w:t>
      </w:r>
      <w:r w:rsidRPr="007F7EBF">
        <w:rPr>
          <w:sz w:val="22"/>
          <w:szCs w:val="22"/>
        </w:rPr>
        <w:t>sulla regolarità o irregolarità delle scritture contabili</w:t>
      </w:r>
      <w:r>
        <w:rPr>
          <w:sz w:val="22"/>
          <w:szCs w:val="22"/>
        </w:rPr>
        <w:t xml:space="preserve">, </w:t>
      </w:r>
      <w:r w:rsidR="009B0D0E">
        <w:rPr>
          <w:sz w:val="22"/>
          <w:szCs w:val="22"/>
        </w:rPr>
        <w:t>coi suoi c</w:t>
      </w:r>
      <w:r w:rsidRPr="007F7EBF">
        <w:rPr>
          <w:bCs/>
          <w:sz w:val="22"/>
          <w:szCs w:val="22"/>
        </w:rPr>
        <w:t xml:space="preserve">ontingenti tatticismi professionali, </w:t>
      </w:r>
      <w:r w:rsidRPr="007F7EBF">
        <w:rPr>
          <w:sz w:val="22"/>
          <w:szCs w:val="22"/>
        </w:rPr>
        <w:t>accertativi</w:t>
      </w:r>
      <w:r w:rsidR="009B0D0E">
        <w:rPr>
          <w:sz w:val="22"/>
          <w:szCs w:val="22"/>
        </w:rPr>
        <w:t xml:space="preserve"> e</w:t>
      </w:r>
      <w:r w:rsidRPr="007F7EBF">
        <w:rPr>
          <w:sz w:val="22"/>
          <w:szCs w:val="22"/>
        </w:rPr>
        <w:t xml:space="preserve"> avvocateschi</w:t>
      </w:r>
      <w:r w:rsidR="009B0D0E">
        <w:rPr>
          <w:sz w:val="22"/>
          <w:szCs w:val="22"/>
        </w:rPr>
        <w:t xml:space="preserve">. </w:t>
      </w:r>
    </w:p>
    <w:p w14:paraId="6C74A55C" w14:textId="19D68B46" w:rsidR="00B864E4" w:rsidRPr="007F7EBF" w:rsidRDefault="000B21EB" w:rsidP="00B864E4">
      <w:pPr>
        <w:pStyle w:val="tit23"/>
        <w:ind w:left="6464" w:right="-1361" w:firstLine="0"/>
        <w:jc w:val="left"/>
        <w:rPr>
          <w:bCs/>
          <w:i/>
          <w:iCs/>
          <w:color w:val="0000FF"/>
          <w:lang w:val="it-IT"/>
        </w:rPr>
      </w:pPr>
      <w:r>
        <w:rPr>
          <w:bCs/>
          <w:i/>
          <w:iCs/>
          <w:color w:val="0000FF"/>
          <w:lang w:val="it-IT"/>
        </w:rPr>
        <w:t>Scarsi controlli sull’evasione in senso materiale</w:t>
      </w:r>
    </w:p>
    <w:p w14:paraId="1861EAE3" w14:textId="76E6C061" w:rsidR="000B21EB" w:rsidRPr="007F7EBF" w:rsidRDefault="00503C07" w:rsidP="000B21EB">
      <w:pPr>
        <w:autoSpaceDE w:val="0"/>
        <w:autoSpaceDN w:val="0"/>
        <w:adjustRightInd w:val="0"/>
        <w:rPr>
          <w:sz w:val="22"/>
          <w:szCs w:val="22"/>
        </w:rPr>
      </w:pPr>
      <w:r>
        <w:rPr>
          <w:sz w:val="22"/>
          <w:szCs w:val="22"/>
        </w:rPr>
        <w:t>Ne sono derivati</w:t>
      </w:r>
      <w:r w:rsidR="00B864E4" w:rsidRPr="007F7EBF">
        <w:rPr>
          <w:sz w:val="22"/>
          <w:szCs w:val="22"/>
        </w:rPr>
        <w:t xml:space="preserve"> inutili steccati tra </w:t>
      </w:r>
      <w:r w:rsidR="00E92CAD">
        <w:rPr>
          <w:sz w:val="22"/>
          <w:szCs w:val="22"/>
        </w:rPr>
        <w:t xml:space="preserve">determinazioni valutative e </w:t>
      </w:r>
      <w:r w:rsidR="00B864E4" w:rsidRPr="007F7EBF">
        <w:rPr>
          <w:sz w:val="22"/>
          <w:szCs w:val="22"/>
        </w:rPr>
        <w:t xml:space="preserve"> accertamento “</w:t>
      </w:r>
      <w:r w:rsidR="00B864E4" w:rsidRPr="007F7EBF">
        <w:rPr>
          <w:bCs/>
          <w:sz w:val="22"/>
          <w:szCs w:val="22"/>
        </w:rPr>
        <w:t>analitico</w:t>
      </w:r>
      <w:r w:rsidR="00B864E4" w:rsidRPr="007F7EBF">
        <w:rPr>
          <w:sz w:val="22"/>
          <w:szCs w:val="22"/>
        </w:rPr>
        <w:t>”</w:t>
      </w:r>
      <w:r w:rsidR="00E92CAD">
        <w:rPr>
          <w:sz w:val="22"/>
          <w:szCs w:val="22"/>
        </w:rPr>
        <w:t xml:space="preserve">, giustificato solo contestazioni interpretative e basate su rare prove documentali di specifici elementi non dichiarati. </w:t>
      </w:r>
      <w:r w:rsidR="009B0D0E">
        <w:rPr>
          <w:sz w:val="22"/>
          <w:szCs w:val="22"/>
        </w:rPr>
        <w:t>Q</w:t>
      </w:r>
      <w:r w:rsidR="009B0D0E" w:rsidRPr="007F7EBF">
        <w:rPr>
          <w:sz w:val="22"/>
          <w:szCs w:val="22"/>
        </w:rPr>
        <w:t>uest</w:t>
      </w:r>
      <w:r w:rsidR="009B0D0E">
        <w:rPr>
          <w:sz w:val="22"/>
          <w:szCs w:val="22"/>
        </w:rPr>
        <w:t xml:space="preserve">o quadro potrebbe </w:t>
      </w:r>
      <w:r w:rsidR="009B0D0E" w:rsidRPr="007F7EBF">
        <w:rPr>
          <w:sz w:val="22"/>
          <w:szCs w:val="22"/>
        </w:rPr>
        <w:t>avvantaggia</w:t>
      </w:r>
      <w:r w:rsidR="009B0D0E">
        <w:rPr>
          <w:sz w:val="22"/>
          <w:szCs w:val="22"/>
        </w:rPr>
        <w:t>re,</w:t>
      </w:r>
      <w:r w:rsidR="009B0D0E" w:rsidRPr="007F7EBF">
        <w:rPr>
          <w:sz w:val="22"/>
          <w:szCs w:val="22"/>
        </w:rPr>
        <w:t xml:space="preserve"> alla fine</w:t>
      </w:r>
      <w:r w:rsidR="009B0D0E">
        <w:rPr>
          <w:sz w:val="22"/>
          <w:szCs w:val="22"/>
        </w:rPr>
        <w:t xml:space="preserve">, </w:t>
      </w:r>
      <w:r w:rsidR="009B0D0E" w:rsidRPr="007F7EBF">
        <w:rPr>
          <w:sz w:val="22"/>
          <w:szCs w:val="22"/>
        </w:rPr>
        <w:t xml:space="preserve"> l'"evasore ordinato"</w:t>
      </w:r>
      <w:r w:rsidR="009B0D0E">
        <w:rPr>
          <w:sz w:val="22"/>
          <w:szCs w:val="22"/>
        </w:rPr>
        <w:t xml:space="preserve"> rispetto ai</w:t>
      </w:r>
      <w:r w:rsidR="009B0D0E" w:rsidRPr="007F7EBF">
        <w:rPr>
          <w:sz w:val="22"/>
          <w:szCs w:val="22"/>
        </w:rPr>
        <w:t xml:space="preserve"> contribuent</w:t>
      </w:r>
      <w:r w:rsidR="009B0D0E">
        <w:rPr>
          <w:sz w:val="22"/>
          <w:szCs w:val="22"/>
        </w:rPr>
        <w:t>i</w:t>
      </w:r>
      <w:r w:rsidR="009B0D0E" w:rsidRPr="007F7EBF">
        <w:rPr>
          <w:sz w:val="22"/>
          <w:szCs w:val="22"/>
        </w:rPr>
        <w:t xml:space="preserve"> sostanzialmente corrett</w:t>
      </w:r>
      <w:r w:rsidR="009B0D0E">
        <w:rPr>
          <w:sz w:val="22"/>
          <w:szCs w:val="22"/>
        </w:rPr>
        <w:t>i</w:t>
      </w:r>
      <w:r w:rsidR="009B0D0E" w:rsidRPr="007F7EBF">
        <w:rPr>
          <w:sz w:val="22"/>
          <w:szCs w:val="22"/>
        </w:rPr>
        <w:t xml:space="preserve"> e soprattutto </w:t>
      </w:r>
      <w:r w:rsidR="009B0D0E" w:rsidRPr="007F7EBF">
        <w:rPr>
          <w:i/>
          <w:sz w:val="22"/>
          <w:szCs w:val="22"/>
        </w:rPr>
        <w:t>economicamente credibil</w:t>
      </w:r>
      <w:r w:rsidR="009B0D0E">
        <w:rPr>
          <w:i/>
          <w:sz w:val="22"/>
          <w:szCs w:val="22"/>
        </w:rPr>
        <w:t>i</w:t>
      </w:r>
      <w:r w:rsidR="009B0D0E" w:rsidRPr="007F7EBF">
        <w:rPr>
          <w:sz w:val="22"/>
          <w:szCs w:val="22"/>
        </w:rPr>
        <w:t>, ma formalmente disordinat</w:t>
      </w:r>
      <w:r w:rsidR="009B0D0E">
        <w:rPr>
          <w:sz w:val="22"/>
          <w:szCs w:val="22"/>
        </w:rPr>
        <w:t>i  e casualmente oggetto di controlli</w:t>
      </w:r>
      <w:r w:rsidR="009B0D0E" w:rsidRPr="007F7EBF">
        <w:rPr>
          <w:sz w:val="22"/>
          <w:szCs w:val="22"/>
        </w:rPr>
        <w:t>.</w:t>
      </w:r>
      <w:r w:rsidR="009B0D0E">
        <w:rPr>
          <w:sz w:val="22"/>
          <w:szCs w:val="22"/>
        </w:rPr>
        <w:t xml:space="preserve"> </w:t>
      </w:r>
      <w:r w:rsidR="00E92CAD">
        <w:rPr>
          <w:sz w:val="22"/>
          <w:szCs w:val="22"/>
        </w:rPr>
        <w:t>T</w:t>
      </w:r>
      <w:r w:rsidR="009B0D0E">
        <w:rPr>
          <w:sz w:val="22"/>
          <w:szCs w:val="22"/>
        </w:rPr>
        <w:t xml:space="preserve">uttavia i controlli diretti alla valutazione dell’evasione in senso materiale </w:t>
      </w:r>
      <w:r w:rsidR="00E92CAD">
        <w:rPr>
          <w:sz w:val="22"/>
          <w:szCs w:val="22"/>
        </w:rPr>
        <w:t xml:space="preserve">sono </w:t>
      </w:r>
      <w:r w:rsidR="009B0D0E">
        <w:rPr>
          <w:sz w:val="22"/>
          <w:szCs w:val="22"/>
        </w:rPr>
        <w:t>di fatto molto rar</w:t>
      </w:r>
      <w:r w:rsidR="00E92CAD">
        <w:rPr>
          <w:sz w:val="22"/>
          <w:szCs w:val="22"/>
        </w:rPr>
        <w:t>i</w:t>
      </w:r>
      <w:r w:rsidR="009B0D0E">
        <w:rPr>
          <w:sz w:val="22"/>
          <w:szCs w:val="22"/>
        </w:rPr>
        <w:t xml:space="preserve"> rispetto al peso sociale del problema. </w:t>
      </w:r>
      <w:r w:rsidR="000B21EB">
        <w:rPr>
          <w:sz w:val="22"/>
          <w:szCs w:val="22"/>
        </w:rPr>
        <w:t xml:space="preserve">Gli accertamenti valutativi sono infatti molto responsabilizzanti, </w:t>
      </w:r>
      <w:r w:rsidR="00E92CAD">
        <w:rPr>
          <w:sz w:val="22"/>
          <w:szCs w:val="22"/>
        </w:rPr>
        <w:t xml:space="preserve">esposti a polemiche e recriminazioni su  ipotetici favoritismi, </w:t>
      </w:r>
      <w:r w:rsidR="000B21EB">
        <w:rPr>
          <w:sz w:val="22"/>
          <w:szCs w:val="22"/>
        </w:rPr>
        <w:t>come indicato a</w:t>
      </w:r>
      <w:r w:rsidR="00E92CAD">
        <w:rPr>
          <w:sz w:val="22"/>
          <w:szCs w:val="22"/>
        </w:rPr>
        <w:t>i</w:t>
      </w:r>
      <w:r w:rsidR="000B21EB">
        <w:rPr>
          <w:sz w:val="22"/>
          <w:szCs w:val="22"/>
        </w:rPr>
        <w:t xml:space="preserve"> par</w:t>
      </w:r>
      <w:r w:rsidR="00E92CAD">
        <w:rPr>
          <w:sz w:val="22"/>
          <w:szCs w:val="22"/>
        </w:rPr>
        <w:t>r</w:t>
      </w:r>
      <w:r w:rsidR="000B21EB">
        <w:rPr>
          <w:sz w:val="22"/>
          <w:szCs w:val="22"/>
        </w:rPr>
        <w:t xml:space="preserve">.5.10 </w:t>
      </w:r>
      <w:r w:rsidR="00E92CAD">
        <w:rPr>
          <w:sz w:val="22"/>
          <w:szCs w:val="22"/>
        </w:rPr>
        <w:t xml:space="preserve">/5.11. Ciò </w:t>
      </w:r>
      <w:r w:rsidR="000B21EB">
        <w:rPr>
          <w:sz w:val="22"/>
          <w:szCs w:val="22"/>
        </w:rPr>
        <w:t>ha oggettivamente spinto i controlli sull’evasione interpretativa (parr.5.17 ss.), eludendo l’evasione in senso materiale, e la perequazione della diversa determinabilità dei presupposti economici d’imposta.</w:t>
      </w:r>
    </w:p>
    <w:p w14:paraId="01CA4FF5" w14:textId="53E07669" w:rsidR="006342C5" w:rsidRPr="007F7EBF" w:rsidRDefault="009B0D0E" w:rsidP="006342C5">
      <w:pPr>
        <w:autoSpaceDE w:val="0"/>
        <w:autoSpaceDN w:val="0"/>
        <w:adjustRightInd w:val="0"/>
        <w:rPr>
          <w:sz w:val="22"/>
          <w:szCs w:val="22"/>
        </w:rPr>
      </w:pPr>
      <w:r>
        <w:rPr>
          <w:sz w:val="22"/>
          <w:szCs w:val="22"/>
        </w:rPr>
        <w:t xml:space="preserve">Sono i frutti della carenza di spiegazioni sociali sulla diversa determinabilità dei presupposti economici d’imposta, il desiderio di essere costantemente coperti da “regole”, che mette in ombra la funzione svolta, Gli interventi sull’evasione in senso materiale sono quindi al minimo necessario a salvare le apparenze, cioè dire di averli fatti. Anzi, </w:t>
      </w:r>
      <w:r w:rsidRPr="007F7EBF">
        <w:rPr>
          <w:sz w:val="22"/>
          <w:szCs w:val="22"/>
        </w:rPr>
        <w:t>i tempi dei controlli</w:t>
      </w:r>
      <w:r>
        <w:rPr>
          <w:sz w:val="22"/>
          <w:szCs w:val="22"/>
        </w:rPr>
        <w:t xml:space="preserve"> si dilatano e anche sui contribuenti di piccole dimensioni (fino a 5 milioni di euro di giro d’affari) si cerca di alimentare il risultato di servizio dando la precedenza all’evasione interpretativa, come indicato al par.5.17 ss.</w:t>
      </w:r>
      <w:r w:rsidRPr="007F7EBF">
        <w:rPr>
          <w:sz w:val="22"/>
          <w:szCs w:val="22"/>
        </w:rPr>
        <w:t xml:space="preserve"> </w:t>
      </w:r>
      <w:bookmarkEnd w:id="70"/>
    </w:p>
    <w:p w14:paraId="0A19E218" w14:textId="11DFBD33" w:rsidR="000B21EB" w:rsidRDefault="006342C5" w:rsidP="0099117F">
      <w:pPr>
        <w:pStyle w:val="Titolo3"/>
        <w:rPr>
          <w:bCs w:val="0"/>
          <w:i/>
          <w:iCs/>
          <w:color w:val="0000FF"/>
          <w:sz w:val="22"/>
          <w:szCs w:val="22"/>
        </w:rPr>
      </w:pPr>
      <w:bookmarkStart w:id="72" w:name="_Toc63364985"/>
      <w:r w:rsidRPr="007F7EBF">
        <w:rPr>
          <w:rFonts w:ascii="Times New Roman" w:hAnsi="Times New Roman"/>
          <w:sz w:val="22"/>
          <w:szCs w:val="22"/>
        </w:rPr>
        <w:lastRenderedPageBreak/>
        <w:t>5.13. Valutazione amministrativa dell</w:t>
      </w:r>
      <w:r w:rsidR="00010026">
        <w:rPr>
          <w:rFonts w:ascii="Times New Roman" w:hAnsi="Times New Roman"/>
          <w:sz w:val="22"/>
          <w:szCs w:val="22"/>
          <w:lang w:val="it-IT"/>
        </w:rPr>
        <w:t>’evasione in senso materiale</w:t>
      </w:r>
      <w:r w:rsidRPr="007F7EBF">
        <w:rPr>
          <w:rFonts w:ascii="Times New Roman" w:hAnsi="Times New Roman"/>
          <w:sz w:val="22"/>
          <w:szCs w:val="22"/>
        </w:rPr>
        <w:t>, tra indizi</w:t>
      </w:r>
      <w:r w:rsidR="009F7A9F" w:rsidRPr="007F7EBF">
        <w:rPr>
          <w:rFonts w:ascii="Times New Roman" w:hAnsi="Times New Roman"/>
          <w:sz w:val="22"/>
          <w:szCs w:val="22"/>
        </w:rPr>
        <w:t xml:space="preserve"> </w:t>
      </w:r>
      <w:r w:rsidR="00E51B41" w:rsidRPr="007F7EBF">
        <w:rPr>
          <w:rFonts w:ascii="Times New Roman" w:hAnsi="Times New Roman"/>
          <w:sz w:val="22"/>
          <w:szCs w:val="22"/>
        </w:rPr>
        <w:t xml:space="preserve">fisico-economico-contabili </w:t>
      </w:r>
      <w:r w:rsidRPr="007F7EBF">
        <w:rPr>
          <w:rFonts w:ascii="Times New Roman" w:hAnsi="Times New Roman"/>
          <w:sz w:val="22"/>
          <w:szCs w:val="22"/>
        </w:rPr>
        <w:t>e studi di settore</w:t>
      </w:r>
      <w:bookmarkEnd w:id="72"/>
    </w:p>
    <w:p w14:paraId="1E035FD4" w14:textId="463D1335" w:rsidR="000B21EB" w:rsidRDefault="000B21EB" w:rsidP="000B21EB">
      <w:pPr>
        <w:pStyle w:val="tit23"/>
        <w:ind w:left="6464" w:right="-1361" w:firstLine="0"/>
        <w:jc w:val="left"/>
        <w:rPr>
          <w:bCs/>
          <w:i/>
          <w:iCs/>
          <w:color w:val="0000FF"/>
          <w:lang w:val="it-IT"/>
        </w:rPr>
      </w:pPr>
      <w:r>
        <w:rPr>
          <w:bCs/>
          <w:i/>
          <w:iCs/>
          <w:color w:val="0000FF"/>
          <w:lang w:val="it-IT"/>
        </w:rPr>
        <w:t>Normalità delle valutazioni</w:t>
      </w:r>
    </w:p>
    <w:p w14:paraId="76E64295" w14:textId="0C316647" w:rsidR="000B21EB" w:rsidRDefault="000B21EB" w:rsidP="000B21EB">
      <w:pPr>
        <w:autoSpaceDE w:val="0"/>
        <w:autoSpaceDN w:val="0"/>
        <w:adjustRightInd w:val="0"/>
        <w:rPr>
          <w:sz w:val="22"/>
          <w:szCs w:val="22"/>
        </w:rPr>
      </w:pPr>
      <w:r w:rsidRPr="00010026">
        <w:t>L’accertamento presuntivo, come indicato al paragrafo precedente, ripercorre gli schemi della millenaria valutazione amministrativa degli imponibili, stimandoli per ordine di grandezza, con presunzioni basate su</w:t>
      </w:r>
      <w:r w:rsidRPr="00010026">
        <w:rPr>
          <w:bCs/>
        </w:rPr>
        <w:t>ll’attività svolta; un tempo la stima seguiva caratteristiche esteriori dell’azienda</w:t>
      </w:r>
      <w:r w:rsidRPr="00010026">
        <w:t>, quali la capacità produttiva dei macchinari, la resa delle materie prime o il rendimento degli addetti (ne vedremo esempi ai paragrafi successivi). Oggi a questa</w:t>
      </w:r>
      <w:r>
        <w:rPr>
          <w:sz w:val="20"/>
          <w:szCs w:val="20"/>
        </w:rPr>
        <w:t xml:space="preserve"> </w:t>
      </w:r>
      <w:r w:rsidRPr="007F7EBF">
        <w:rPr>
          <w:sz w:val="22"/>
          <w:szCs w:val="22"/>
        </w:rPr>
        <w:t>"visibilità materiale" della ricchezza, bas</w:t>
      </w:r>
      <w:r>
        <w:rPr>
          <w:sz w:val="22"/>
          <w:szCs w:val="22"/>
        </w:rPr>
        <w:t>ata</w:t>
      </w:r>
      <w:r w:rsidRPr="007F7EBF">
        <w:rPr>
          <w:sz w:val="22"/>
          <w:szCs w:val="22"/>
        </w:rPr>
        <w:t xml:space="preserve"> s</w:t>
      </w:r>
      <w:r>
        <w:rPr>
          <w:sz w:val="22"/>
          <w:szCs w:val="22"/>
        </w:rPr>
        <w:t>u</w:t>
      </w:r>
      <w:r w:rsidRPr="007F7EBF">
        <w:rPr>
          <w:sz w:val="22"/>
          <w:szCs w:val="22"/>
        </w:rPr>
        <w:t xml:space="preserve"> elementi "fisico-economici", </w:t>
      </w:r>
      <w:r>
        <w:rPr>
          <w:sz w:val="22"/>
          <w:szCs w:val="22"/>
        </w:rPr>
        <w:t xml:space="preserve">si aggiungono presunzioni basate sugli </w:t>
      </w:r>
      <w:r w:rsidRPr="007F7EBF">
        <w:rPr>
          <w:sz w:val="22"/>
          <w:szCs w:val="22"/>
        </w:rPr>
        <w:t>"indizi contabili"</w:t>
      </w:r>
      <w:r>
        <w:rPr>
          <w:sz w:val="22"/>
          <w:szCs w:val="22"/>
        </w:rPr>
        <w:t xml:space="preserve"> di cui al par.5.9. </w:t>
      </w:r>
      <w:r>
        <w:rPr>
          <w:bCs/>
          <w:sz w:val="20"/>
          <w:szCs w:val="20"/>
        </w:rPr>
        <w:t xml:space="preserve">Questa determinazione non ha nulla di eccezionale, ed anzi </w:t>
      </w:r>
      <w:r w:rsidRPr="007F7EBF">
        <w:rPr>
          <w:sz w:val="22"/>
          <w:szCs w:val="22"/>
        </w:rPr>
        <w:t>appare come l'unica modalità sensata di intervento</w:t>
      </w:r>
      <w:r>
        <w:rPr>
          <w:sz w:val="22"/>
          <w:szCs w:val="22"/>
        </w:rPr>
        <w:t xml:space="preserve"> quando il dichiarato è, nel suo complesso, inverosimile rispetto ad altre caratteristiche dell’attività.</w:t>
      </w:r>
    </w:p>
    <w:p w14:paraId="464D2A91" w14:textId="22B126FD" w:rsidR="00AF3208" w:rsidRPr="007F7EBF" w:rsidRDefault="00AF3208" w:rsidP="00AF3208">
      <w:pPr>
        <w:pStyle w:val="tit23"/>
        <w:ind w:left="6464" w:right="-1361" w:firstLine="0"/>
        <w:jc w:val="left"/>
        <w:rPr>
          <w:bCs/>
          <w:i/>
          <w:iCs/>
          <w:color w:val="0000FF"/>
          <w:lang w:val="it-IT"/>
        </w:rPr>
      </w:pPr>
      <w:r w:rsidRPr="007F7EBF">
        <w:rPr>
          <w:bCs/>
          <w:i/>
          <w:iCs/>
          <w:color w:val="0000FF"/>
          <w:lang w:val="it-IT"/>
        </w:rPr>
        <w:t>Rarità della scoperta di “grandi evasioni”</w:t>
      </w:r>
      <w:r w:rsidR="00E92CAD">
        <w:rPr>
          <w:bCs/>
          <w:i/>
          <w:iCs/>
          <w:color w:val="0000FF"/>
          <w:lang w:val="it-IT"/>
        </w:rPr>
        <w:t xml:space="preserve"> in senso materiale</w:t>
      </w:r>
    </w:p>
    <w:p w14:paraId="1966C536" w14:textId="1D9437A6" w:rsidR="002D1EAC" w:rsidRPr="00E42E3B" w:rsidRDefault="00E92CAD" w:rsidP="00663BEE">
      <w:pPr>
        <w:autoSpaceDE w:val="0"/>
        <w:autoSpaceDN w:val="0"/>
        <w:adjustRightInd w:val="0"/>
        <w:rPr>
          <w:sz w:val="22"/>
          <w:szCs w:val="22"/>
        </w:rPr>
      </w:pPr>
      <w:r>
        <w:rPr>
          <w:sz w:val="22"/>
          <w:szCs w:val="22"/>
        </w:rPr>
        <w:t>L</w:t>
      </w:r>
      <w:r w:rsidR="00226DA6">
        <w:rPr>
          <w:sz w:val="22"/>
          <w:szCs w:val="22"/>
        </w:rPr>
        <w:t xml:space="preserve">e aziende pluripersonali, </w:t>
      </w:r>
      <w:proofErr w:type="spellStart"/>
      <w:r w:rsidR="00226DA6">
        <w:rPr>
          <w:sz w:val="22"/>
          <w:szCs w:val="22"/>
        </w:rPr>
        <w:t>ancorchè</w:t>
      </w:r>
      <w:proofErr w:type="spellEnd"/>
      <w:r w:rsidR="00226DA6">
        <w:rPr>
          <w:sz w:val="22"/>
          <w:szCs w:val="22"/>
        </w:rPr>
        <w:t xml:space="preserve"> “padronali”, non si prestano a stime esteriori, attendibili per piccoli commercianti e artigiani. Gli imponibili evasi attraverso le aziende possono essere presunti solo con valutazioni </w:t>
      </w:r>
      <w:r w:rsidR="00E42E3B" w:rsidRPr="007F7EBF">
        <w:rPr>
          <w:bCs/>
          <w:sz w:val="22"/>
          <w:szCs w:val="22"/>
        </w:rPr>
        <w:t>personalizzate di coerenza interna all'organizzazione</w:t>
      </w:r>
      <w:r w:rsidR="00E42E3B" w:rsidRPr="007F7EBF">
        <w:rPr>
          <w:rStyle w:val="Rimandonotaapidipagina"/>
          <w:bCs/>
          <w:sz w:val="22"/>
          <w:szCs w:val="22"/>
        </w:rPr>
        <w:footnoteReference w:id="635"/>
      </w:r>
      <w:r w:rsidR="00E42E3B" w:rsidRPr="007F7EBF">
        <w:rPr>
          <w:bCs/>
          <w:sz w:val="22"/>
          <w:szCs w:val="22"/>
        </w:rPr>
        <w:t>.</w:t>
      </w:r>
      <w:r w:rsidR="00E42E3B" w:rsidRPr="007F7EBF">
        <w:rPr>
          <w:bCs/>
          <w:i/>
          <w:iCs/>
          <w:color w:val="0000FF"/>
          <w:sz w:val="22"/>
          <w:szCs w:val="22"/>
        </w:rPr>
        <w:t xml:space="preserve"> </w:t>
      </w:r>
      <w:r w:rsidR="00E42E3B">
        <w:rPr>
          <w:sz w:val="22"/>
          <w:szCs w:val="22"/>
        </w:rPr>
        <w:t xml:space="preserve">Nel capitalismo familiare italiano (par.3.1), simili evasioni </w:t>
      </w:r>
      <w:r w:rsidR="00226DA6">
        <w:rPr>
          <w:sz w:val="22"/>
          <w:szCs w:val="22"/>
        </w:rPr>
        <w:t>raramente emergono i</w:t>
      </w:r>
      <w:r w:rsidR="00AF3208" w:rsidRPr="007F7EBF">
        <w:rPr>
          <w:sz w:val="22"/>
          <w:szCs w:val="22"/>
        </w:rPr>
        <w:t xml:space="preserve">n ordinarie verifiche tributarie, ma </w:t>
      </w:r>
      <w:r w:rsidR="007D58BD" w:rsidRPr="007F7EBF">
        <w:rPr>
          <w:sz w:val="22"/>
          <w:szCs w:val="22"/>
        </w:rPr>
        <w:t xml:space="preserve">come </w:t>
      </w:r>
      <w:r w:rsidR="00AF3208" w:rsidRPr="007F7EBF">
        <w:rPr>
          <w:sz w:val="22"/>
          <w:szCs w:val="22"/>
        </w:rPr>
        <w:t>riflesso di liti societarie interne al capitalismo familiare, inchieste penali su personaggi pubblicamente esposti</w:t>
      </w:r>
      <w:r w:rsidR="007D58BD" w:rsidRPr="007F7EBF">
        <w:rPr>
          <w:sz w:val="22"/>
          <w:szCs w:val="22"/>
        </w:rPr>
        <w:t>,</w:t>
      </w:r>
      <w:r w:rsidR="00AF3208" w:rsidRPr="007F7EBF">
        <w:rPr>
          <w:sz w:val="22"/>
          <w:szCs w:val="22"/>
        </w:rPr>
        <w:t xml:space="preserve"> o "cod</w:t>
      </w:r>
      <w:r w:rsidR="00E42E3B">
        <w:rPr>
          <w:sz w:val="22"/>
          <w:szCs w:val="22"/>
        </w:rPr>
        <w:t>e</w:t>
      </w:r>
      <w:r w:rsidR="00AF3208" w:rsidRPr="007F7EBF">
        <w:rPr>
          <w:sz w:val="22"/>
          <w:szCs w:val="22"/>
        </w:rPr>
        <w:t>" di inchieste di altro tipo</w:t>
      </w:r>
      <w:r>
        <w:rPr>
          <w:sz w:val="22"/>
          <w:szCs w:val="22"/>
        </w:rPr>
        <w:t xml:space="preserve"> </w:t>
      </w:r>
      <w:r w:rsidR="008954A8">
        <w:rPr>
          <w:sz w:val="22"/>
          <w:szCs w:val="22"/>
        </w:rPr>
        <w:t>(</w:t>
      </w:r>
      <w:r w:rsidR="00AF3208" w:rsidRPr="007F7EBF">
        <w:rPr>
          <w:rStyle w:val="Rimandonotaapidipagina"/>
          <w:sz w:val="22"/>
          <w:szCs w:val="22"/>
        </w:rPr>
        <w:footnoteReference w:id="636"/>
      </w:r>
      <w:r w:rsidR="008954A8">
        <w:rPr>
          <w:sz w:val="22"/>
          <w:szCs w:val="22"/>
        </w:rPr>
        <w:t>)</w:t>
      </w:r>
      <w:r w:rsidR="00AF3208" w:rsidRPr="007F7EBF">
        <w:rPr>
          <w:sz w:val="22"/>
          <w:szCs w:val="22"/>
        </w:rPr>
        <w:t xml:space="preserve">. </w:t>
      </w:r>
      <w:r w:rsidR="00663BEE" w:rsidRPr="007F7EBF">
        <w:rPr>
          <w:sz w:val="22"/>
          <w:szCs w:val="22"/>
        </w:rPr>
        <w:t xml:space="preserve">Se gli uffici tributari </w:t>
      </w:r>
      <w:r w:rsidR="00663BEE" w:rsidRPr="007F7EBF">
        <w:rPr>
          <w:sz w:val="22"/>
          <w:szCs w:val="22"/>
        </w:rPr>
        <w:lastRenderedPageBreak/>
        <w:t xml:space="preserve">sono </w:t>
      </w:r>
      <w:r w:rsidR="008954A8">
        <w:rPr>
          <w:sz w:val="22"/>
          <w:szCs w:val="22"/>
        </w:rPr>
        <w:t xml:space="preserve">disorientati dalle stime per ordine di grandezza su </w:t>
      </w:r>
      <w:r w:rsidR="00663BEE" w:rsidRPr="007F7EBF">
        <w:rPr>
          <w:sz w:val="22"/>
          <w:szCs w:val="22"/>
        </w:rPr>
        <w:t xml:space="preserve">piccoli commercianti e artigiani, è intuibile l'imbarazzo </w:t>
      </w:r>
      <w:r w:rsidR="008954A8">
        <w:rPr>
          <w:sz w:val="22"/>
          <w:szCs w:val="22"/>
        </w:rPr>
        <w:t xml:space="preserve">verso </w:t>
      </w:r>
      <w:r w:rsidR="00663BEE" w:rsidRPr="007F7EBF">
        <w:rPr>
          <w:sz w:val="22"/>
          <w:szCs w:val="22"/>
        </w:rPr>
        <w:t xml:space="preserve">analoghe valutazioni </w:t>
      </w:r>
      <w:r w:rsidR="008954A8">
        <w:rPr>
          <w:sz w:val="22"/>
          <w:szCs w:val="22"/>
        </w:rPr>
        <w:t xml:space="preserve">per </w:t>
      </w:r>
      <w:r w:rsidR="00663BEE" w:rsidRPr="007F7EBF">
        <w:rPr>
          <w:sz w:val="22"/>
          <w:szCs w:val="22"/>
        </w:rPr>
        <w:t>aziende di una certa dimensione</w:t>
      </w:r>
      <w:r w:rsidR="00663BEE" w:rsidRPr="007F7EBF">
        <w:rPr>
          <w:rStyle w:val="Rimandonotaapidipagina"/>
          <w:sz w:val="22"/>
          <w:szCs w:val="22"/>
        </w:rPr>
        <w:footnoteReference w:id="637"/>
      </w:r>
      <w:r w:rsidR="00663BEE" w:rsidRPr="007F7EBF">
        <w:rPr>
          <w:sz w:val="22"/>
          <w:szCs w:val="22"/>
        </w:rPr>
        <w:t xml:space="preserve">. </w:t>
      </w:r>
    </w:p>
    <w:p w14:paraId="16A85581" w14:textId="67B72C1A" w:rsidR="00AF3208" w:rsidRPr="007F7EBF" w:rsidRDefault="0019352D" w:rsidP="00AF3208">
      <w:pPr>
        <w:pStyle w:val="tit23"/>
        <w:ind w:left="6464" w:right="-1361" w:firstLine="0"/>
        <w:jc w:val="left"/>
        <w:rPr>
          <w:bCs/>
          <w:i/>
          <w:iCs/>
          <w:color w:val="0000FF"/>
          <w:lang w:val="it-IT"/>
        </w:rPr>
      </w:pPr>
      <w:r>
        <w:rPr>
          <w:bCs/>
          <w:i/>
          <w:iCs/>
          <w:color w:val="0000FF"/>
          <w:lang w:val="it-IT"/>
        </w:rPr>
        <w:t>Piccoli commercianti e assimilati</w:t>
      </w:r>
    </w:p>
    <w:p w14:paraId="34F6363A" w14:textId="20F57823" w:rsidR="00E65E51" w:rsidRPr="007F7EBF" w:rsidRDefault="0084258B" w:rsidP="00E65E51">
      <w:pPr>
        <w:autoSpaceDE w:val="0"/>
        <w:autoSpaceDN w:val="0"/>
        <w:adjustRightInd w:val="0"/>
        <w:rPr>
          <w:sz w:val="22"/>
          <w:szCs w:val="22"/>
        </w:rPr>
      </w:pPr>
      <w:r>
        <w:rPr>
          <w:sz w:val="22"/>
          <w:szCs w:val="22"/>
        </w:rPr>
        <w:t xml:space="preserve">Rispetto a queste eterogenee frodi contabili, </w:t>
      </w:r>
      <w:r w:rsidR="00725C31" w:rsidRPr="007F7EBF">
        <w:rPr>
          <w:sz w:val="22"/>
          <w:szCs w:val="22"/>
        </w:rPr>
        <w:t>l'omessa registrazione dei ricavi</w:t>
      </w:r>
      <w:r w:rsidR="0019352D">
        <w:rPr>
          <w:sz w:val="22"/>
          <w:szCs w:val="22"/>
        </w:rPr>
        <w:t xml:space="preserve"> (</w:t>
      </w:r>
      <w:r w:rsidR="0019352D" w:rsidRPr="007F7EBF">
        <w:rPr>
          <w:rStyle w:val="Rimandonotaapidipagina"/>
          <w:sz w:val="22"/>
          <w:szCs w:val="22"/>
        </w:rPr>
        <w:footnoteReference w:id="638"/>
      </w:r>
      <w:r w:rsidR="0019352D">
        <w:rPr>
          <w:sz w:val="22"/>
          <w:szCs w:val="22"/>
        </w:rPr>
        <w:t>)</w:t>
      </w:r>
      <w:r w:rsidR="00AF3208" w:rsidRPr="007F7EBF">
        <w:rPr>
          <w:sz w:val="22"/>
          <w:szCs w:val="22"/>
        </w:rPr>
        <w:t xml:space="preserve">, </w:t>
      </w:r>
      <w:r w:rsidR="0019352D">
        <w:rPr>
          <w:sz w:val="22"/>
          <w:szCs w:val="22"/>
        </w:rPr>
        <w:t>indicata al par.3.13</w:t>
      </w:r>
      <w:r w:rsidR="00AF3208" w:rsidRPr="007F7EBF">
        <w:rPr>
          <w:sz w:val="22"/>
          <w:szCs w:val="22"/>
        </w:rPr>
        <w:t xml:space="preserve"> per </w:t>
      </w:r>
      <w:r w:rsidR="0019352D">
        <w:rPr>
          <w:sz w:val="22"/>
          <w:szCs w:val="22"/>
        </w:rPr>
        <w:t>piccoli commercianti, artigiani e</w:t>
      </w:r>
      <w:r w:rsidR="00AF3208" w:rsidRPr="007F7EBF">
        <w:rPr>
          <w:sz w:val="22"/>
          <w:szCs w:val="22"/>
        </w:rPr>
        <w:t xml:space="preserve"> piccole organizzazioni</w:t>
      </w:r>
      <w:r>
        <w:rPr>
          <w:sz w:val="22"/>
          <w:szCs w:val="22"/>
        </w:rPr>
        <w:t>, risponde a schemi molto più tipici. I ragionamenti tradizionali di rettifica si basano sulle caratteristiche fisico-economiche dell’attività, come l’ubicazione, le dimensioni, gli addetti. Ci sono anche “i</w:t>
      </w:r>
      <w:r w:rsidR="00E65E51" w:rsidRPr="007F7EBF">
        <w:rPr>
          <w:sz w:val="22"/>
          <w:szCs w:val="22"/>
        </w:rPr>
        <w:t xml:space="preserve">ndizi </w:t>
      </w:r>
      <w:r w:rsidR="00555A33" w:rsidRPr="007F7EBF">
        <w:rPr>
          <w:sz w:val="22"/>
          <w:szCs w:val="22"/>
        </w:rPr>
        <w:t>contabili</w:t>
      </w:r>
      <w:r>
        <w:rPr>
          <w:sz w:val="22"/>
          <w:szCs w:val="22"/>
        </w:rPr>
        <w:t>” (par.5.9) basati sull’inadeguatezza dei ricavi rispetto agli acquisti registrati; e</w:t>
      </w:r>
      <w:r w:rsidR="00E65E51" w:rsidRPr="007F7EBF">
        <w:rPr>
          <w:sz w:val="22"/>
          <w:szCs w:val="22"/>
        </w:rPr>
        <w:t>siste infatti una tendenza, ispirata al desiderio di mantenere il controllo dell'attività, oltre che a dedurre i costi</w:t>
      </w:r>
      <w:r w:rsidR="00E65E51" w:rsidRPr="007F7EBF">
        <w:rPr>
          <w:rStyle w:val="Rimandonotaapidipagina"/>
          <w:sz w:val="22"/>
          <w:szCs w:val="22"/>
        </w:rPr>
        <w:footnoteReference w:id="639"/>
      </w:r>
      <w:r w:rsidR="00E65E51" w:rsidRPr="007F7EBF">
        <w:rPr>
          <w:sz w:val="22"/>
          <w:szCs w:val="22"/>
        </w:rPr>
        <w:t xml:space="preserve">, a una registrazione degli acquisti </w:t>
      </w:r>
      <w:r w:rsidR="00344C7C" w:rsidRPr="007F7EBF">
        <w:rPr>
          <w:sz w:val="22"/>
          <w:szCs w:val="22"/>
        </w:rPr>
        <w:t>più</w:t>
      </w:r>
      <w:r w:rsidR="00E65E51" w:rsidRPr="007F7EBF">
        <w:rPr>
          <w:sz w:val="22"/>
          <w:szCs w:val="22"/>
        </w:rPr>
        <w:t xml:space="preserve"> completa di quella delle vendite. </w:t>
      </w:r>
    </w:p>
    <w:p w14:paraId="648B1DD1" w14:textId="77777777" w:rsidR="00E65E51" w:rsidRPr="007F7EBF" w:rsidRDefault="00E65E51" w:rsidP="00E65E51">
      <w:pPr>
        <w:pStyle w:val="tit23"/>
        <w:ind w:left="6464" w:right="-1361" w:firstLine="0"/>
        <w:jc w:val="left"/>
        <w:rPr>
          <w:bCs/>
          <w:i/>
          <w:iCs/>
          <w:color w:val="0000FF"/>
          <w:lang w:val="it-IT"/>
        </w:rPr>
      </w:pPr>
      <w:r w:rsidRPr="007F7EBF">
        <w:rPr>
          <w:bCs/>
          <w:i/>
          <w:iCs/>
          <w:color w:val="0000FF"/>
          <w:lang w:val="it-IT"/>
        </w:rPr>
        <w:t>Le percentuali di ricarico</w:t>
      </w:r>
    </w:p>
    <w:p w14:paraId="4803D775" w14:textId="62CD4D60" w:rsidR="002D1EAC" w:rsidRPr="007F7EBF" w:rsidRDefault="0019352D" w:rsidP="002D1EAC">
      <w:pPr>
        <w:autoSpaceDE w:val="0"/>
        <w:autoSpaceDN w:val="0"/>
        <w:adjustRightInd w:val="0"/>
        <w:rPr>
          <w:sz w:val="22"/>
          <w:szCs w:val="22"/>
        </w:rPr>
      </w:pPr>
      <w:r>
        <w:rPr>
          <w:sz w:val="22"/>
          <w:szCs w:val="22"/>
        </w:rPr>
        <w:t>L</w:t>
      </w:r>
      <w:r w:rsidR="0084258B">
        <w:rPr>
          <w:sz w:val="22"/>
          <w:szCs w:val="22"/>
        </w:rPr>
        <w:t xml:space="preserve">’insufficienza dei </w:t>
      </w:r>
      <w:r>
        <w:rPr>
          <w:sz w:val="22"/>
          <w:szCs w:val="22"/>
        </w:rPr>
        <w:t>ricavi registrati</w:t>
      </w:r>
      <w:r w:rsidR="0084258B">
        <w:rPr>
          <w:sz w:val="22"/>
          <w:szCs w:val="22"/>
        </w:rPr>
        <w:t xml:space="preserve"> rispetto ai costi di acquisto è uno schema generale, che per </w:t>
      </w:r>
      <w:r w:rsidR="00555A33" w:rsidRPr="007F7EBF">
        <w:rPr>
          <w:sz w:val="22"/>
          <w:szCs w:val="22"/>
        </w:rPr>
        <w:t>i commercianti al dettaglio</w:t>
      </w:r>
      <w:r w:rsidR="0084258B">
        <w:rPr>
          <w:sz w:val="22"/>
          <w:szCs w:val="22"/>
        </w:rPr>
        <w:t xml:space="preserve"> consente </w:t>
      </w:r>
      <w:r w:rsidR="00555A33" w:rsidRPr="007F7EBF">
        <w:rPr>
          <w:sz w:val="22"/>
          <w:szCs w:val="22"/>
        </w:rPr>
        <w:t xml:space="preserve">di presumere </w:t>
      </w:r>
      <w:r w:rsidR="00EB12DB" w:rsidRPr="007F7EBF">
        <w:rPr>
          <w:sz w:val="22"/>
          <w:szCs w:val="22"/>
        </w:rPr>
        <w:t>la possibile rivendita "in nero"</w:t>
      </w:r>
      <w:r w:rsidR="00555A33" w:rsidRPr="007F7EBF">
        <w:rPr>
          <w:sz w:val="22"/>
          <w:szCs w:val="22"/>
        </w:rPr>
        <w:t xml:space="preserve"> d</w:t>
      </w:r>
      <w:r>
        <w:rPr>
          <w:sz w:val="22"/>
          <w:szCs w:val="22"/>
        </w:rPr>
        <w:t xml:space="preserve">i </w:t>
      </w:r>
      <w:r w:rsidR="00555A33" w:rsidRPr="007F7EBF">
        <w:rPr>
          <w:sz w:val="22"/>
          <w:szCs w:val="22"/>
        </w:rPr>
        <w:t>merci</w:t>
      </w:r>
      <w:r w:rsidR="00057AD2" w:rsidRPr="007F7EBF">
        <w:rPr>
          <w:sz w:val="22"/>
          <w:szCs w:val="22"/>
        </w:rPr>
        <w:t xml:space="preserve"> acquistate con fattura</w:t>
      </w:r>
      <w:r w:rsidR="0084258B">
        <w:rPr>
          <w:sz w:val="22"/>
          <w:szCs w:val="22"/>
        </w:rPr>
        <w:t>. Il procedimento logico è semplice, p</w:t>
      </w:r>
      <w:r>
        <w:rPr>
          <w:sz w:val="22"/>
          <w:szCs w:val="22"/>
        </w:rPr>
        <w:t xml:space="preserve">artendo dalle </w:t>
      </w:r>
      <w:r w:rsidR="000A6FEA" w:rsidRPr="007F7EBF">
        <w:rPr>
          <w:sz w:val="22"/>
          <w:szCs w:val="22"/>
        </w:rPr>
        <w:t>merci esposte</w:t>
      </w:r>
      <w:r w:rsidR="00EB12DB" w:rsidRPr="007F7EBF">
        <w:rPr>
          <w:sz w:val="22"/>
          <w:szCs w:val="22"/>
        </w:rPr>
        <w:t xml:space="preserve"> </w:t>
      </w:r>
      <w:r w:rsidR="00555A33" w:rsidRPr="007F7EBF">
        <w:rPr>
          <w:sz w:val="22"/>
          <w:szCs w:val="22"/>
        </w:rPr>
        <w:t xml:space="preserve">in </w:t>
      </w:r>
      <w:r w:rsidR="000A6FEA" w:rsidRPr="007F7EBF">
        <w:rPr>
          <w:sz w:val="22"/>
          <w:szCs w:val="22"/>
        </w:rPr>
        <w:t>vendita</w:t>
      </w:r>
      <w:r w:rsidR="00555A33" w:rsidRPr="007F7EBF">
        <w:rPr>
          <w:sz w:val="22"/>
          <w:szCs w:val="22"/>
        </w:rPr>
        <w:t xml:space="preserve"> al </w:t>
      </w:r>
      <w:r w:rsidR="000A6FEA" w:rsidRPr="007F7EBF">
        <w:rPr>
          <w:sz w:val="22"/>
          <w:szCs w:val="22"/>
        </w:rPr>
        <w:t>pubblico, co</w:t>
      </w:r>
      <w:r>
        <w:rPr>
          <w:sz w:val="22"/>
          <w:szCs w:val="22"/>
        </w:rPr>
        <w:t>l</w:t>
      </w:r>
      <w:r w:rsidR="000A6FEA" w:rsidRPr="007F7EBF">
        <w:rPr>
          <w:sz w:val="22"/>
          <w:szCs w:val="22"/>
        </w:rPr>
        <w:t xml:space="preserve"> relativo prezzo</w:t>
      </w:r>
      <w:r>
        <w:rPr>
          <w:sz w:val="22"/>
          <w:szCs w:val="22"/>
        </w:rPr>
        <w:t xml:space="preserve">, rintraccia il </w:t>
      </w:r>
      <w:r w:rsidRPr="007F7EBF">
        <w:rPr>
          <w:sz w:val="22"/>
          <w:szCs w:val="22"/>
        </w:rPr>
        <w:t xml:space="preserve"> prezzo di </w:t>
      </w:r>
      <w:r w:rsidRPr="007F7EBF">
        <w:rPr>
          <w:sz w:val="22"/>
          <w:szCs w:val="22"/>
        </w:rPr>
        <w:lastRenderedPageBreak/>
        <w:t>acquisto</w:t>
      </w:r>
      <w:r w:rsidR="000A6FEA" w:rsidRPr="007F7EBF">
        <w:rPr>
          <w:sz w:val="22"/>
          <w:szCs w:val="22"/>
        </w:rPr>
        <w:t xml:space="preserve"> </w:t>
      </w:r>
      <w:r w:rsidR="00EB12DB" w:rsidRPr="007F7EBF">
        <w:rPr>
          <w:sz w:val="22"/>
          <w:szCs w:val="22"/>
        </w:rPr>
        <w:t xml:space="preserve"> attraverso la documentazione </w:t>
      </w:r>
      <w:r>
        <w:rPr>
          <w:sz w:val="22"/>
          <w:szCs w:val="22"/>
        </w:rPr>
        <w:t>contabile</w:t>
      </w:r>
      <w:r w:rsidR="0084258B">
        <w:rPr>
          <w:sz w:val="22"/>
          <w:szCs w:val="22"/>
        </w:rPr>
        <w:t xml:space="preserve">. Si </w:t>
      </w:r>
      <w:r w:rsidR="00FA0BAB">
        <w:rPr>
          <w:sz w:val="22"/>
          <w:szCs w:val="22"/>
        </w:rPr>
        <w:t>stabil</w:t>
      </w:r>
      <w:r w:rsidR="0084258B">
        <w:rPr>
          <w:sz w:val="22"/>
          <w:szCs w:val="22"/>
        </w:rPr>
        <w:t xml:space="preserve">isce così </w:t>
      </w:r>
      <w:r w:rsidR="00FA0BAB">
        <w:rPr>
          <w:sz w:val="22"/>
          <w:szCs w:val="22"/>
        </w:rPr>
        <w:t>la c.d.</w:t>
      </w:r>
      <w:r w:rsidR="00555A33" w:rsidRPr="007F7EBF">
        <w:rPr>
          <w:sz w:val="22"/>
          <w:szCs w:val="22"/>
        </w:rPr>
        <w:t xml:space="preserve"> </w:t>
      </w:r>
      <w:r w:rsidR="00EB12DB" w:rsidRPr="007F7EBF">
        <w:rPr>
          <w:bCs/>
          <w:sz w:val="22"/>
          <w:szCs w:val="22"/>
        </w:rPr>
        <w:t>“percentuale di ricarico”</w:t>
      </w:r>
      <w:r w:rsidR="00555A33" w:rsidRPr="007F7EBF">
        <w:rPr>
          <w:bCs/>
          <w:sz w:val="22"/>
          <w:szCs w:val="22"/>
        </w:rPr>
        <w:t xml:space="preserve"> delle vendite sugli acquisti</w:t>
      </w:r>
      <w:r w:rsidR="00FA0BAB">
        <w:rPr>
          <w:bCs/>
          <w:sz w:val="22"/>
          <w:szCs w:val="22"/>
        </w:rPr>
        <w:t xml:space="preserve">; </w:t>
      </w:r>
      <w:r w:rsidR="00644195" w:rsidRPr="007F7EBF">
        <w:rPr>
          <w:sz w:val="22"/>
          <w:szCs w:val="22"/>
        </w:rPr>
        <w:t>applica</w:t>
      </w:r>
      <w:r w:rsidR="00FA0BAB">
        <w:rPr>
          <w:sz w:val="22"/>
          <w:szCs w:val="22"/>
        </w:rPr>
        <w:t>ndol</w:t>
      </w:r>
      <w:r w:rsidR="00644195" w:rsidRPr="007F7EBF">
        <w:rPr>
          <w:sz w:val="22"/>
          <w:szCs w:val="22"/>
        </w:rPr>
        <w:t xml:space="preserve">a ai </w:t>
      </w:r>
      <w:r w:rsidR="00EB12DB" w:rsidRPr="007F7EBF">
        <w:rPr>
          <w:sz w:val="22"/>
          <w:szCs w:val="22"/>
        </w:rPr>
        <w:t xml:space="preserve"> costi di acquisto</w:t>
      </w:r>
      <w:r w:rsidR="00555A33" w:rsidRPr="007F7EBF">
        <w:rPr>
          <w:sz w:val="22"/>
          <w:szCs w:val="22"/>
        </w:rPr>
        <w:t xml:space="preserve"> registrati</w:t>
      </w:r>
      <w:r w:rsidR="00FA0BAB">
        <w:rPr>
          <w:sz w:val="22"/>
          <w:szCs w:val="22"/>
        </w:rPr>
        <w:t xml:space="preserve"> si determinano le vendite teoriche, da confrontare con quelle effettive.</w:t>
      </w:r>
      <w:r w:rsidR="00555A33" w:rsidRPr="007F7EBF">
        <w:rPr>
          <w:sz w:val="22"/>
          <w:szCs w:val="22"/>
        </w:rPr>
        <w:t xml:space="preserve"> </w:t>
      </w:r>
      <w:r w:rsidR="00150830" w:rsidRPr="007F7EBF">
        <w:rPr>
          <w:sz w:val="22"/>
          <w:szCs w:val="22"/>
        </w:rPr>
        <w:t>Ragioni logiche impongono di tener conto dei diversi margini di ricarico delle varie merci</w:t>
      </w:r>
      <w:r w:rsidR="00596CDF" w:rsidRPr="007F7EBF">
        <w:rPr>
          <w:rStyle w:val="Rimandonotaapidipagina"/>
          <w:sz w:val="22"/>
          <w:szCs w:val="22"/>
        </w:rPr>
        <w:footnoteReference w:id="640"/>
      </w:r>
      <w:r w:rsidR="00150830" w:rsidRPr="007F7EBF">
        <w:rPr>
          <w:sz w:val="22"/>
          <w:szCs w:val="22"/>
        </w:rPr>
        <w:t xml:space="preserve">, nonché dei periodi di liquidazione </w:t>
      </w:r>
      <w:r w:rsidR="00150830" w:rsidRPr="007F7EBF">
        <w:rPr>
          <w:rStyle w:val="Rimandonotaapidipagina"/>
          <w:sz w:val="22"/>
          <w:szCs w:val="22"/>
        </w:rPr>
        <w:footnoteReference w:id="641"/>
      </w:r>
      <w:r w:rsidR="00150830" w:rsidRPr="007F7EBF">
        <w:rPr>
          <w:sz w:val="22"/>
          <w:szCs w:val="22"/>
        </w:rPr>
        <w:t>, delle  rimanenze</w:t>
      </w:r>
      <w:r w:rsidR="00150830" w:rsidRPr="007F7EBF">
        <w:rPr>
          <w:rStyle w:val="Rimandonotaapidipagina"/>
          <w:sz w:val="22"/>
          <w:szCs w:val="22"/>
        </w:rPr>
        <w:footnoteReference w:id="642"/>
      </w:r>
      <w:r w:rsidR="00B812FD" w:rsidRPr="007F7EBF">
        <w:rPr>
          <w:sz w:val="22"/>
          <w:szCs w:val="22"/>
        </w:rPr>
        <w:t xml:space="preserve">, </w:t>
      </w:r>
      <w:r w:rsidR="00644195" w:rsidRPr="007F7EBF">
        <w:rPr>
          <w:sz w:val="22"/>
          <w:szCs w:val="22"/>
        </w:rPr>
        <w:t>de</w:t>
      </w:r>
      <w:r w:rsidR="00B812FD" w:rsidRPr="007F7EBF">
        <w:rPr>
          <w:sz w:val="22"/>
          <w:szCs w:val="22"/>
        </w:rPr>
        <w:t>i deperimenti</w:t>
      </w:r>
      <w:r w:rsidR="00B812FD" w:rsidRPr="007F7EBF">
        <w:rPr>
          <w:rStyle w:val="Rimandonotaapidipagina"/>
          <w:sz w:val="22"/>
          <w:szCs w:val="22"/>
        </w:rPr>
        <w:footnoteReference w:id="643"/>
      </w:r>
      <w:r w:rsidR="00B812FD" w:rsidRPr="007F7EBF">
        <w:rPr>
          <w:sz w:val="22"/>
          <w:szCs w:val="22"/>
        </w:rPr>
        <w:t xml:space="preserve">, etc.. Siamo davanti a un classico "indizio contabile" nel senso di cui al par.5.9, in cui acquisti registrati servono a presumere vendite non registrate. </w:t>
      </w:r>
    </w:p>
    <w:p w14:paraId="566D78FF" w14:textId="77777777" w:rsidR="002D1EAC" w:rsidRPr="007F7EBF" w:rsidRDefault="002D1EAC" w:rsidP="002D1EAC">
      <w:pPr>
        <w:pStyle w:val="tit23"/>
        <w:ind w:left="6464" w:right="-1361" w:firstLine="0"/>
        <w:jc w:val="left"/>
        <w:rPr>
          <w:bCs/>
          <w:i/>
          <w:iCs/>
          <w:color w:val="0000FF"/>
          <w:lang w:val="it-IT"/>
        </w:rPr>
      </w:pPr>
      <w:r w:rsidRPr="007F7EBF">
        <w:rPr>
          <w:bCs/>
          <w:i/>
          <w:iCs/>
          <w:color w:val="0000FF"/>
          <w:lang w:val="it-IT"/>
        </w:rPr>
        <w:t xml:space="preserve">Stima dei servizi resi in relazione agli acquisti </w:t>
      </w:r>
    </w:p>
    <w:p w14:paraId="40C7B224" w14:textId="21FFD383" w:rsidR="00907592" w:rsidRPr="007F7EBF" w:rsidRDefault="00A360E4" w:rsidP="00907592">
      <w:pPr>
        <w:autoSpaceDE w:val="0"/>
        <w:autoSpaceDN w:val="0"/>
        <w:adjustRightInd w:val="0"/>
        <w:rPr>
          <w:sz w:val="22"/>
          <w:szCs w:val="22"/>
        </w:rPr>
      </w:pPr>
      <w:r>
        <w:rPr>
          <w:sz w:val="22"/>
          <w:szCs w:val="22"/>
        </w:rPr>
        <w:t xml:space="preserve">L’argomentazione </w:t>
      </w:r>
      <w:r w:rsidR="00EC6C59" w:rsidRPr="007F7EBF">
        <w:rPr>
          <w:sz w:val="22"/>
          <w:szCs w:val="22"/>
        </w:rPr>
        <w:t xml:space="preserve">è adattabile </w:t>
      </w:r>
      <w:r w:rsidR="00555A33" w:rsidRPr="007F7EBF">
        <w:rPr>
          <w:sz w:val="22"/>
          <w:szCs w:val="22"/>
        </w:rPr>
        <w:t xml:space="preserve">alle </w:t>
      </w:r>
      <w:r w:rsidR="00555A33" w:rsidRPr="007F7EBF">
        <w:rPr>
          <w:bCs/>
          <w:sz w:val="22"/>
          <w:szCs w:val="22"/>
        </w:rPr>
        <w:t xml:space="preserve">imprese di servizi </w:t>
      </w:r>
      <w:r w:rsidR="00555A33" w:rsidRPr="007F7EBF">
        <w:rPr>
          <w:sz w:val="22"/>
          <w:szCs w:val="22"/>
        </w:rPr>
        <w:t>(albergatori, baristi, autoriparatori, parrucchieri, ecc.)</w:t>
      </w:r>
      <w:r>
        <w:rPr>
          <w:sz w:val="22"/>
          <w:szCs w:val="22"/>
        </w:rPr>
        <w:t xml:space="preserve">, e si basa sulla registrazione di costi per singoli </w:t>
      </w:r>
      <w:r w:rsidR="00EC6C59" w:rsidRPr="007F7EBF">
        <w:rPr>
          <w:sz w:val="22"/>
          <w:szCs w:val="22"/>
        </w:rPr>
        <w:t>fattor</w:t>
      </w:r>
      <w:r>
        <w:rPr>
          <w:sz w:val="22"/>
          <w:szCs w:val="22"/>
        </w:rPr>
        <w:t>i</w:t>
      </w:r>
      <w:r w:rsidR="00EC6C59" w:rsidRPr="007F7EBF">
        <w:rPr>
          <w:sz w:val="22"/>
          <w:szCs w:val="22"/>
        </w:rPr>
        <w:t xml:space="preserve"> produttiv</w:t>
      </w:r>
      <w:r>
        <w:rPr>
          <w:sz w:val="22"/>
          <w:szCs w:val="22"/>
        </w:rPr>
        <w:t xml:space="preserve">i, come materie prime, servizi o energia, che sono in rapporto con la produzione totale. </w:t>
      </w:r>
      <w:r w:rsidRPr="007F7EBF">
        <w:t xml:space="preserve">Ad esempio il consumo di farina può fare da guida per la stima della produzione di un panettiere, il consumo di elettricità per la produzione di una </w:t>
      </w:r>
      <w:r w:rsidRPr="007F7EBF">
        <w:lastRenderedPageBreak/>
        <w:t>lavanderia, il consumo di vernice per un carrozziere, il consumo di carne per un ristorante, la fattura del lavaggio delle lenzuola per la ricettività effettiva di un albergo e via enumerando</w:t>
      </w:r>
      <w:r w:rsidR="00EC6C59" w:rsidRPr="007F7EBF">
        <w:rPr>
          <w:sz w:val="22"/>
          <w:szCs w:val="22"/>
        </w:rPr>
        <w:t>.</w:t>
      </w:r>
    </w:p>
    <w:p w14:paraId="4809F14F" w14:textId="31AB8E27" w:rsidR="00907592" w:rsidRPr="007F7EBF" w:rsidRDefault="00511875" w:rsidP="00907592">
      <w:pPr>
        <w:pStyle w:val="tit23"/>
        <w:ind w:left="6464" w:right="-1361" w:firstLine="0"/>
        <w:jc w:val="left"/>
        <w:rPr>
          <w:bCs/>
          <w:i/>
          <w:iCs/>
          <w:color w:val="0000FF"/>
          <w:lang w:val="it-IT"/>
        </w:rPr>
      </w:pPr>
      <w:r>
        <w:rPr>
          <w:bCs/>
          <w:i/>
          <w:iCs/>
          <w:color w:val="0000FF"/>
          <w:lang w:val="it-IT"/>
        </w:rPr>
        <w:t>Perdita della cultura della valutazione</w:t>
      </w:r>
      <w:r w:rsidR="00907592" w:rsidRPr="007F7EBF">
        <w:rPr>
          <w:bCs/>
          <w:i/>
          <w:iCs/>
          <w:color w:val="0000FF"/>
          <w:lang w:val="it-IT"/>
        </w:rPr>
        <w:t xml:space="preserve"> </w:t>
      </w:r>
      <w:r w:rsidR="007C3125">
        <w:rPr>
          <w:bCs/>
          <w:i/>
          <w:iCs/>
          <w:color w:val="0000FF"/>
          <w:lang w:val="it-IT"/>
        </w:rPr>
        <w:t>e studi di settore</w:t>
      </w:r>
      <w:r w:rsidR="00907592" w:rsidRPr="007F7EBF">
        <w:rPr>
          <w:bCs/>
          <w:i/>
          <w:iCs/>
          <w:color w:val="0000FF"/>
          <w:lang w:val="it-IT"/>
        </w:rPr>
        <w:t xml:space="preserve">   </w:t>
      </w:r>
    </w:p>
    <w:p w14:paraId="7D0C7028" w14:textId="16605018" w:rsidR="00055D1B" w:rsidRPr="007F7EBF" w:rsidRDefault="009504CA" w:rsidP="00055D1B">
      <w:pPr>
        <w:autoSpaceDE w:val="0"/>
        <w:autoSpaceDN w:val="0"/>
        <w:adjustRightInd w:val="0"/>
        <w:rPr>
          <w:sz w:val="22"/>
          <w:szCs w:val="22"/>
        </w:rPr>
      </w:pPr>
      <w:r>
        <w:rPr>
          <w:sz w:val="22"/>
          <w:szCs w:val="22"/>
        </w:rPr>
        <w:t xml:space="preserve">Per ogni tipo di attività </w:t>
      </w:r>
      <w:r w:rsidR="00980BF8">
        <w:rPr>
          <w:sz w:val="22"/>
          <w:szCs w:val="22"/>
        </w:rPr>
        <w:t xml:space="preserve">possono concorrere diversi </w:t>
      </w:r>
      <w:r>
        <w:rPr>
          <w:sz w:val="22"/>
          <w:szCs w:val="22"/>
        </w:rPr>
        <w:t>parametri di stima</w:t>
      </w:r>
      <w:r w:rsidR="00980BF8">
        <w:rPr>
          <w:sz w:val="22"/>
          <w:szCs w:val="22"/>
        </w:rPr>
        <w:t xml:space="preserve">, ciascuno con diversa importanza, a ciascuno dei quali bisognerebbe dare un peso, non tanto in assoluto quanto rispetto agli altri; con gli “indizi contabili” di cui al par.5.9, questi </w:t>
      </w:r>
      <w:r w:rsidR="00511875">
        <w:rPr>
          <w:sz w:val="22"/>
          <w:szCs w:val="22"/>
        </w:rPr>
        <w:t>parametri di stima</w:t>
      </w:r>
      <w:r w:rsidR="00980BF8">
        <w:rPr>
          <w:sz w:val="22"/>
          <w:szCs w:val="22"/>
        </w:rPr>
        <w:t xml:space="preserve"> addirittura aumentano; la loro valutazione comparativa diventa quindi ancora più complessa, e soprattutto va in controtendenza rispetto al tentativo di trasferire la determinazione contabile </w:t>
      </w:r>
      <w:r w:rsidR="00515678">
        <w:rPr>
          <w:sz w:val="22"/>
          <w:szCs w:val="22"/>
        </w:rPr>
        <w:t>dove non ne esistono i presupposti</w:t>
      </w:r>
      <w:r w:rsidR="00980BF8">
        <w:rPr>
          <w:sz w:val="22"/>
          <w:szCs w:val="22"/>
        </w:rPr>
        <w:t xml:space="preserve"> (par.4.5)</w:t>
      </w:r>
      <w:r w:rsidR="00515678">
        <w:rPr>
          <w:sz w:val="22"/>
          <w:szCs w:val="22"/>
        </w:rPr>
        <w:t xml:space="preserve">. </w:t>
      </w:r>
      <w:r w:rsidR="00980BF8">
        <w:rPr>
          <w:sz w:val="22"/>
          <w:szCs w:val="22"/>
        </w:rPr>
        <w:t>Si è quindi autoprodotta</w:t>
      </w:r>
      <w:r w:rsidR="00B07A4F">
        <w:rPr>
          <w:sz w:val="22"/>
          <w:szCs w:val="22"/>
        </w:rPr>
        <w:t xml:space="preserve"> (</w:t>
      </w:r>
      <w:r w:rsidR="00B07A4F">
        <w:rPr>
          <w:rStyle w:val="Rimandonotaapidipagina"/>
          <w:sz w:val="22"/>
          <w:szCs w:val="22"/>
        </w:rPr>
        <w:footnoteReference w:id="644"/>
      </w:r>
      <w:r w:rsidR="00B07A4F">
        <w:rPr>
          <w:sz w:val="22"/>
          <w:szCs w:val="22"/>
        </w:rPr>
        <w:t>)</w:t>
      </w:r>
      <w:r w:rsidR="00980BF8">
        <w:rPr>
          <w:sz w:val="22"/>
          <w:szCs w:val="22"/>
        </w:rPr>
        <w:t xml:space="preserve"> quella “</w:t>
      </w:r>
      <w:proofErr w:type="spellStart"/>
      <w:r w:rsidR="00980BF8">
        <w:rPr>
          <w:sz w:val="22"/>
          <w:szCs w:val="22"/>
        </w:rPr>
        <w:t>ragionierizzazione</w:t>
      </w:r>
      <w:proofErr w:type="spellEnd"/>
      <w:r w:rsidR="00980BF8">
        <w:rPr>
          <w:sz w:val="22"/>
          <w:szCs w:val="22"/>
        </w:rPr>
        <w:t xml:space="preserve"> delle stime”, indicata al par.4.5 e cristallizzatasi a partire dal</w:t>
      </w:r>
      <w:r w:rsidR="00425593">
        <w:rPr>
          <w:sz w:val="22"/>
          <w:szCs w:val="22"/>
        </w:rPr>
        <w:t xml:space="preserve"> 1989 </w:t>
      </w:r>
      <w:r w:rsidR="00980BF8">
        <w:rPr>
          <w:sz w:val="22"/>
          <w:szCs w:val="22"/>
        </w:rPr>
        <w:t>ne</w:t>
      </w:r>
      <w:r w:rsidR="00425593">
        <w:rPr>
          <w:sz w:val="22"/>
          <w:szCs w:val="22"/>
        </w:rPr>
        <w:t xml:space="preserve">i c.d. “studi di settore”. </w:t>
      </w:r>
    </w:p>
    <w:p w14:paraId="6137A870" w14:textId="77777777" w:rsidR="00055D1B" w:rsidRPr="007F7EBF" w:rsidRDefault="00055D1B" w:rsidP="00055D1B">
      <w:pPr>
        <w:pStyle w:val="tit23"/>
        <w:ind w:left="6464" w:right="-1361" w:firstLine="0"/>
        <w:jc w:val="left"/>
        <w:rPr>
          <w:bCs/>
          <w:i/>
          <w:iCs/>
          <w:color w:val="0000FF"/>
          <w:lang w:val="it-IT"/>
        </w:rPr>
      </w:pPr>
      <w:r w:rsidRPr="007F7EBF">
        <w:rPr>
          <w:bCs/>
          <w:i/>
          <w:iCs/>
          <w:color w:val="0000FF"/>
          <w:lang w:val="it-IT"/>
        </w:rPr>
        <w:t>Schema indiziario degli studi</w:t>
      </w:r>
    </w:p>
    <w:p w14:paraId="7806D748" w14:textId="26877E85" w:rsidR="007644B5" w:rsidRPr="007644B5" w:rsidRDefault="00425593" w:rsidP="007644B5">
      <w:pPr>
        <w:autoSpaceDE w:val="0"/>
        <w:autoSpaceDN w:val="0"/>
        <w:adjustRightInd w:val="0"/>
        <w:rPr>
          <w:bCs/>
          <w:i/>
          <w:iCs/>
          <w:color w:val="0000FF"/>
          <w:sz w:val="22"/>
          <w:szCs w:val="22"/>
        </w:rPr>
      </w:pPr>
      <w:r>
        <w:rPr>
          <w:bCs/>
          <w:sz w:val="22"/>
          <w:szCs w:val="22"/>
        </w:rPr>
        <w:t xml:space="preserve">Essi </w:t>
      </w:r>
      <w:r w:rsidR="006342C5" w:rsidRPr="007F7EBF">
        <w:rPr>
          <w:bCs/>
          <w:sz w:val="22"/>
          <w:szCs w:val="22"/>
        </w:rPr>
        <w:t xml:space="preserve">ripercorrono, </w:t>
      </w:r>
      <w:r w:rsidR="006342C5" w:rsidRPr="007F7EBF">
        <w:rPr>
          <w:sz w:val="22"/>
          <w:szCs w:val="22"/>
        </w:rPr>
        <w:t>formalizzandole</w:t>
      </w:r>
      <w:r w:rsidR="00EF0CC5" w:rsidRPr="007F7EBF">
        <w:rPr>
          <w:sz w:val="22"/>
          <w:szCs w:val="22"/>
        </w:rPr>
        <w:t xml:space="preserve"> </w:t>
      </w:r>
      <w:r w:rsidR="006342C5" w:rsidRPr="007F7EBF">
        <w:rPr>
          <w:sz w:val="22"/>
          <w:szCs w:val="22"/>
        </w:rPr>
        <w:t>numericamente, e irrigidendole in formule prestabilite, le già indicate stime</w:t>
      </w:r>
      <w:r w:rsidR="00555A33" w:rsidRPr="007F7EBF">
        <w:rPr>
          <w:sz w:val="22"/>
          <w:szCs w:val="22"/>
        </w:rPr>
        <w:t xml:space="preserve"> </w:t>
      </w:r>
      <w:r w:rsidR="006342C5" w:rsidRPr="007F7EBF">
        <w:rPr>
          <w:sz w:val="22"/>
          <w:szCs w:val="22"/>
        </w:rPr>
        <w:t xml:space="preserve">dei ricavi, in base alle caratteristiche economico-strutturali dell’attività. </w:t>
      </w:r>
      <w:r w:rsidR="003D58E7">
        <w:rPr>
          <w:sz w:val="22"/>
          <w:szCs w:val="22"/>
        </w:rPr>
        <w:t xml:space="preserve">Si tratta di </w:t>
      </w:r>
      <w:r w:rsidR="006342C5" w:rsidRPr="007F7EBF">
        <w:rPr>
          <w:bCs/>
          <w:sz w:val="22"/>
          <w:szCs w:val="22"/>
        </w:rPr>
        <w:t>correlazioni</w:t>
      </w:r>
      <w:r w:rsidR="00555A33" w:rsidRPr="007F7EBF">
        <w:rPr>
          <w:bCs/>
          <w:sz w:val="22"/>
          <w:szCs w:val="22"/>
        </w:rPr>
        <w:t xml:space="preserve"> </w:t>
      </w:r>
      <w:r w:rsidR="006342C5" w:rsidRPr="007F7EBF">
        <w:rPr>
          <w:bCs/>
          <w:sz w:val="22"/>
          <w:szCs w:val="22"/>
        </w:rPr>
        <w:t xml:space="preserve">numerico-statistiche </w:t>
      </w:r>
      <w:r w:rsidR="00EF0CC5" w:rsidRPr="007F7EBF">
        <w:rPr>
          <w:sz w:val="22"/>
          <w:szCs w:val="22"/>
        </w:rPr>
        <w:t xml:space="preserve">che individuano, per </w:t>
      </w:r>
      <w:r w:rsidR="003D58E7">
        <w:rPr>
          <w:sz w:val="22"/>
          <w:szCs w:val="22"/>
        </w:rPr>
        <w:t>gli</w:t>
      </w:r>
      <w:r w:rsidR="00EF0CC5" w:rsidRPr="007F7EBF">
        <w:rPr>
          <w:sz w:val="22"/>
          <w:szCs w:val="22"/>
        </w:rPr>
        <w:t xml:space="preserve"> operator</w:t>
      </w:r>
      <w:r w:rsidR="003D58E7">
        <w:rPr>
          <w:sz w:val="22"/>
          <w:szCs w:val="22"/>
        </w:rPr>
        <w:t>i</w:t>
      </w:r>
      <w:r w:rsidR="00EF0CC5" w:rsidRPr="007F7EBF">
        <w:rPr>
          <w:sz w:val="22"/>
          <w:szCs w:val="22"/>
        </w:rPr>
        <w:t xml:space="preserve"> economic</w:t>
      </w:r>
      <w:r w:rsidR="003D58E7">
        <w:rPr>
          <w:sz w:val="22"/>
          <w:szCs w:val="22"/>
        </w:rPr>
        <w:t>i</w:t>
      </w:r>
      <w:r w:rsidR="00EF0CC5" w:rsidRPr="007F7EBF">
        <w:rPr>
          <w:sz w:val="22"/>
          <w:szCs w:val="22"/>
        </w:rPr>
        <w:t xml:space="preserve"> </w:t>
      </w:r>
      <w:r w:rsidR="006342C5" w:rsidRPr="007F7EBF">
        <w:rPr>
          <w:sz w:val="22"/>
          <w:szCs w:val="22"/>
        </w:rPr>
        <w:t>con ricavi i</w:t>
      </w:r>
      <w:r w:rsidR="00EF0CC5" w:rsidRPr="007F7EBF">
        <w:rPr>
          <w:sz w:val="22"/>
          <w:szCs w:val="22"/>
        </w:rPr>
        <w:t>nferiori a una certa soglia (</w:t>
      </w:r>
      <w:r w:rsidR="00464CA0" w:rsidRPr="007F7EBF">
        <w:rPr>
          <w:rStyle w:val="Rimandonotaapidipagina"/>
          <w:sz w:val="22"/>
          <w:szCs w:val="22"/>
        </w:rPr>
        <w:footnoteReference w:id="645"/>
      </w:r>
      <w:r w:rsidR="006342C5" w:rsidRPr="007F7EBF">
        <w:rPr>
          <w:sz w:val="22"/>
          <w:szCs w:val="22"/>
        </w:rPr>
        <w:t>), una serie di caratteristiche</w:t>
      </w:r>
      <w:r w:rsidR="00555A33" w:rsidRPr="007F7EBF">
        <w:rPr>
          <w:sz w:val="22"/>
          <w:szCs w:val="22"/>
        </w:rPr>
        <w:t xml:space="preserve"> </w:t>
      </w:r>
      <w:r w:rsidR="006342C5" w:rsidRPr="007F7EBF">
        <w:rPr>
          <w:sz w:val="22"/>
          <w:szCs w:val="22"/>
        </w:rPr>
        <w:t>economico strutturali in base alle quali presumere le operazioni attive (ricavi) ai fini</w:t>
      </w:r>
      <w:r w:rsidR="00EF0CC5" w:rsidRPr="007F7EBF">
        <w:rPr>
          <w:sz w:val="22"/>
          <w:szCs w:val="22"/>
        </w:rPr>
        <w:t xml:space="preserve"> </w:t>
      </w:r>
      <w:r w:rsidR="006342C5" w:rsidRPr="007F7EBF">
        <w:rPr>
          <w:sz w:val="22"/>
          <w:szCs w:val="22"/>
        </w:rPr>
        <w:t>delle i</w:t>
      </w:r>
      <w:r w:rsidR="00464CA0" w:rsidRPr="007F7EBF">
        <w:rPr>
          <w:sz w:val="22"/>
          <w:szCs w:val="22"/>
        </w:rPr>
        <w:t>mposte sui redditi e dell’IVA</w:t>
      </w:r>
      <w:r w:rsidR="00BA2B6F" w:rsidRPr="007F7EBF">
        <w:rPr>
          <w:sz w:val="22"/>
          <w:szCs w:val="22"/>
        </w:rPr>
        <w:t>.</w:t>
      </w:r>
      <w:r w:rsidR="00464CA0" w:rsidRPr="007F7EBF">
        <w:rPr>
          <w:sz w:val="22"/>
          <w:szCs w:val="22"/>
        </w:rPr>
        <w:t xml:space="preserve"> </w:t>
      </w:r>
    </w:p>
    <w:p w14:paraId="25D9982B" w14:textId="37C36545" w:rsidR="00425593" w:rsidRPr="007F7EBF" w:rsidRDefault="007644B5" w:rsidP="007644B5">
      <w:pPr>
        <w:pStyle w:val="tit23"/>
        <w:ind w:left="6464" w:right="-1361" w:firstLine="0"/>
        <w:jc w:val="left"/>
        <w:rPr>
          <w:bCs/>
          <w:i/>
          <w:iCs/>
          <w:color w:val="0000FF"/>
          <w:lang w:val="it-IT"/>
        </w:rPr>
      </w:pPr>
      <w:r w:rsidRPr="007F7EBF">
        <w:rPr>
          <w:bCs/>
          <w:i/>
          <w:iCs/>
          <w:color w:val="0000FF"/>
          <w:lang w:val="it-IT"/>
        </w:rPr>
        <w:t xml:space="preserve">Appiattimento  </w:t>
      </w:r>
      <w:r>
        <w:rPr>
          <w:bCs/>
          <w:i/>
          <w:iCs/>
          <w:color w:val="0000FF"/>
          <w:lang w:val="it-IT"/>
        </w:rPr>
        <w:t xml:space="preserve">dei vari </w:t>
      </w:r>
      <w:r w:rsidRPr="007F7EBF">
        <w:rPr>
          <w:bCs/>
          <w:i/>
          <w:iCs/>
          <w:color w:val="0000FF"/>
          <w:lang w:val="it-IT"/>
        </w:rPr>
        <w:t xml:space="preserve"> profili di stima</w:t>
      </w:r>
    </w:p>
    <w:p w14:paraId="0DEC8140" w14:textId="7F5842C7" w:rsidR="00425593" w:rsidRPr="007F7EBF" w:rsidRDefault="00425593" w:rsidP="007644B5">
      <w:pPr>
        <w:autoSpaceDE w:val="0"/>
        <w:autoSpaceDN w:val="0"/>
        <w:adjustRightInd w:val="0"/>
        <w:rPr>
          <w:bCs/>
          <w:i/>
          <w:iCs/>
          <w:color w:val="0000FF"/>
        </w:rPr>
      </w:pPr>
      <w:r w:rsidRPr="007F7EBF">
        <w:rPr>
          <w:sz w:val="22"/>
          <w:szCs w:val="22"/>
        </w:rPr>
        <w:t xml:space="preserve">Gli studi di settore cercano di considerare simultaneamente le </w:t>
      </w:r>
      <w:r w:rsidR="007644B5">
        <w:rPr>
          <w:sz w:val="22"/>
          <w:szCs w:val="22"/>
        </w:rPr>
        <w:t xml:space="preserve">già indicate </w:t>
      </w:r>
      <w:r w:rsidRPr="007F7EBF">
        <w:rPr>
          <w:sz w:val="22"/>
          <w:szCs w:val="22"/>
        </w:rPr>
        <w:t>variabili che influenzano la stima dei ricavi registrati</w:t>
      </w:r>
      <w:r w:rsidR="007644B5">
        <w:rPr>
          <w:sz w:val="22"/>
          <w:szCs w:val="22"/>
        </w:rPr>
        <w:t xml:space="preserve">, come </w:t>
      </w:r>
      <w:r w:rsidR="007644B5" w:rsidRPr="007F7EBF">
        <w:rPr>
          <w:sz w:val="22"/>
          <w:szCs w:val="22"/>
        </w:rPr>
        <w:t xml:space="preserve">materie prime, percentuali di ricarico, macchinari, energia, addetti, </w:t>
      </w:r>
      <w:proofErr w:type="spellStart"/>
      <w:r w:rsidR="007644B5">
        <w:rPr>
          <w:sz w:val="22"/>
          <w:szCs w:val="22"/>
        </w:rPr>
        <w:t>etc</w:t>
      </w:r>
      <w:proofErr w:type="spellEnd"/>
      <w:r w:rsidRPr="007F7EBF">
        <w:rPr>
          <w:sz w:val="22"/>
          <w:szCs w:val="22"/>
        </w:rPr>
        <w:t xml:space="preserve"> </w:t>
      </w:r>
    </w:p>
    <w:p w14:paraId="45272943" w14:textId="351C6C76" w:rsidR="00425593" w:rsidRPr="007F7EBF" w:rsidRDefault="00425593" w:rsidP="00425593">
      <w:pPr>
        <w:autoSpaceDE w:val="0"/>
        <w:autoSpaceDN w:val="0"/>
        <w:adjustRightInd w:val="0"/>
        <w:rPr>
          <w:sz w:val="22"/>
          <w:szCs w:val="22"/>
        </w:rPr>
      </w:pPr>
      <w:r w:rsidRPr="007F7EBF">
        <w:rPr>
          <w:sz w:val="22"/>
          <w:szCs w:val="22"/>
        </w:rPr>
        <w:lastRenderedPageBreak/>
        <w:t xml:space="preserve">Ciascun elemento indiziante, di stima, porta ad un ricavo presunto, e tra tutti i ricavi presunti occorrerebbe calcolare un “ricavo medio”, tenendo conto della più intensa portata indiziante di alcuni parametri nel caso di specie. Non </w:t>
      </w:r>
      <w:r w:rsidR="00ED1E2B">
        <w:rPr>
          <w:sz w:val="22"/>
          <w:szCs w:val="22"/>
        </w:rPr>
        <w:t xml:space="preserve">invece </w:t>
      </w:r>
      <w:r w:rsidRPr="007F7EBF">
        <w:rPr>
          <w:sz w:val="22"/>
          <w:szCs w:val="22"/>
        </w:rPr>
        <w:t xml:space="preserve">c’è traccia di come gli studi di settore, nelle loro formalizzazioni matematico-statistiche, effettuino questa ponderazione tra indizi. </w:t>
      </w:r>
      <w:r w:rsidR="00ED1E2B">
        <w:rPr>
          <w:sz w:val="22"/>
          <w:szCs w:val="22"/>
        </w:rPr>
        <w:t>R</w:t>
      </w:r>
      <w:r w:rsidR="000621D3">
        <w:rPr>
          <w:sz w:val="22"/>
          <w:szCs w:val="22"/>
        </w:rPr>
        <w:t xml:space="preserve">ispetto alla stima personalizzata, dove è possibile </w:t>
      </w:r>
      <w:r w:rsidRPr="007F7EBF">
        <w:rPr>
          <w:sz w:val="22"/>
          <w:szCs w:val="22"/>
        </w:rPr>
        <w:t xml:space="preserve">scegliere </w:t>
      </w:r>
      <w:r w:rsidR="001508EC">
        <w:rPr>
          <w:sz w:val="22"/>
          <w:szCs w:val="22"/>
        </w:rPr>
        <w:t xml:space="preserve">i dati </w:t>
      </w:r>
      <w:r w:rsidRPr="007F7EBF">
        <w:rPr>
          <w:sz w:val="22"/>
          <w:szCs w:val="22"/>
        </w:rPr>
        <w:t>più significativ</w:t>
      </w:r>
      <w:r w:rsidR="001508EC">
        <w:rPr>
          <w:sz w:val="22"/>
          <w:szCs w:val="22"/>
        </w:rPr>
        <w:t>i</w:t>
      </w:r>
      <w:r w:rsidRPr="007F7EBF">
        <w:rPr>
          <w:sz w:val="22"/>
          <w:szCs w:val="22"/>
        </w:rPr>
        <w:t xml:space="preserve"> in concreto</w:t>
      </w:r>
      <w:r w:rsidR="00ED1E2B">
        <w:rPr>
          <w:sz w:val="22"/>
          <w:szCs w:val="22"/>
        </w:rPr>
        <w:t xml:space="preserve">, danno </w:t>
      </w:r>
      <w:r w:rsidR="001508EC">
        <w:rPr>
          <w:sz w:val="22"/>
          <w:szCs w:val="22"/>
        </w:rPr>
        <w:t>un peso specifico a o</w:t>
      </w:r>
      <w:r w:rsidRPr="007F7EBF">
        <w:rPr>
          <w:sz w:val="22"/>
          <w:szCs w:val="22"/>
        </w:rPr>
        <w:t xml:space="preserve">gni indizio </w:t>
      </w:r>
      <w:r w:rsidR="001508EC">
        <w:rPr>
          <w:sz w:val="22"/>
          <w:szCs w:val="22"/>
        </w:rPr>
        <w:t xml:space="preserve">astratto, anche se </w:t>
      </w:r>
      <w:r w:rsidRPr="007F7EBF">
        <w:rPr>
          <w:sz w:val="22"/>
          <w:szCs w:val="22"/>
        </w:rPr>
        <w:t>in concreto irrilevante, o all'opposto decisivo, assorbente di tutti gli altri</w:t>
      </w:r>
      <w:r w:rsidR="007644B5">
        <w:rPr>
          <w:sz w:val="22"/>
          <w:szCs w:val="22"/>
        </w:rPr>
        <w:t>(</w:t>
      </w:r>
      <w:r w:rsidRPr="007F7EBF">
        <w:rPr>
          <w:rStyle w:val="Rimandonotaapidipagina"/>
          <w:sz w:val="22"/>
          <w:szCs w:val="22"/>
        </w:rPr>
        <w:footnoteReference w:id="646"/>
      </w:r>
      <w:r w:rsidR="007644B5">
        <w:rPr>
          <w:sz w:val="22"/>
          <w:szCs w:val="22"/>
        </w:rPr>
        <w:t>)</w:t>
      </w:r>
      <w:r w:rsidRPr="007F7EBF">
        <w:rPr>
          <w:sz w:val="22"/>
          <w:szCs w:val="22"/>
        </w:rPr>
        <w:t xml:space="preserve">. </w:t>
      </w:r>
      <w:r w:rsidR="007644B5" w:rsidRPr="007F7EBF">
        <w:rPr>
          <w:sz w:val="22"/>
          <w:szCs w:val="22"/>
        </w:rPr>
        <w:t xml:space="preserve"> </w:t>
      </w:r>
    </w:p>
    <w:p w14:paraId="6C85243D" w14:textId="2C9E3238" w:rsidR="00565E11" w:rsidRPr="007F7EBF" w:rsidRDefault="007644B5" w:rsidP="00565E11">
      <w:pPr>
        <w:autoSpaceDE w:val="0"/>
        <w:autoSpaceDN w:val="0"/>
        <w:adjustRightInd w:val="0"/>
        <w:rPr>
          <w:sz w:val="22"/>
          <w:szCs w:val="22"/>
        </w:rPr>
      </w:pPr>
      <w:r>
        <w:rPr>
          <w:sz w:val="22"/>
          <w:szCs w:val="22"/>
        </w:rPr>
        <w:t>Da</w:t>
      </w:r>
      <w:r w:rsidR="001508EC">
        <w:rPr>
          <w:sz w:val="22"/>
          <w:szCs w:val="22"/>
        </w:rPr>
        <w:t xml:space="preserve">gli studi </w:t>
      </w:r>
      <w:r w:rsidRPr="007F7EBF">
        <w:rPr>
          <w:sz w:val="22"/>
          <w:szCs w:val="22"/>
        </w:rPr>
        <w:t>emerge un “</w:t>
      </w:r>
      <w:r w:rsidRPr="007F7EBF">
        <w:rPr>
          <w:bCs/>
          <w:sz w:val="22"/>
          <w:szCs w:val="22"/>
        </w:rPr>
        <w:t>intervallo di confidenza</w:t>
      </w:r>
      <w:r w:rsidRPr="007F7EBF">
        <w:rPr>
          <w:sz w:val="22"/>
          <w:szCs w:val="22"/>
        </w:rPr>
        <w:t>” (tipico dei ragionamenti per ordine di grandezza), in cui collocare i ricavi.</w:t>
      </w:r>
      <w:r>
        <w:rPr>
          <w:sz w:val="22"/>
          <w:szCs w:val="22"/>
        </w:rPr>
        <w:t xml:space="preserve"> </w:t>
      </w:r>
    </w:p>
    <w:p w14:paraId="4ACC2A80" w14:textId="2F9701DD" w:rsidR="00565E11" w:rsidRPr="007F7EBF" w:rsidRDefault="00565E11" w:rsidP="00565E11">
      <w:pPr>
        <w:pStyle w:val="tit23"/>
        <w:ind w:left="6464" w:right="-1361" w:firstLine="0"/>
        <w:jc w:val="left"/>
        <w:rPr>
          <w:bCs/>
          <w:i/>
          <w:iCs/>
          <w:color w:val="0000FF"/>
          <w:lang w:val="it-IT"/>
        </w:rPr>
      </w:pPr>
      <w:r w:rsidRPr="007F7EBF">
        <w:rPr>
          <w:bCs/>
          <w:i/>
          <w:iCs/>
          <w:color w:val="0000FF"/>
          <w:lang w:val="it-IT"/>
        </w:rPr>
        <w:t xml:space="preserve">Rigidità </w:t>
      </w:r>
      <w:r w:rsidR="003131C4">
        <w:rPr>
          <w:bCs/>
          <w:i/>
          <w:iCs/>
          <w:color w:val="0000FF"/>
          <w:lang w:val="it-IT"/>
        </w:rPr>
        <w:t xml:space="preserve">degli studi </w:t>
      </w:r>
    </w:p>
    <w:p w14:paraId="444A4163" w14:textId="4BF95D65" w:rsidR="00565E11" w:rsidRPr="007F7EBF" w:rsidRDefault="00565E11" w:rsidP="00565E11">
      <w:pPr>
        <w:autoSpaceDE w:val="0"/>
        <w:autoSpaceDN w:val="0"/>
        <w:adjustRightInd w:val="0"/>
        <w:rPr>
          <w:sz w:val="22"/>
          <w:szCs w:val="22"/>
        </w:rPr>
      </w:pPr>
      <w:r w:rsidRPr="007F7EBF">
        <w:rPr>
          <w:sz w:val="22"/>
          <w:szCs w:val="22"/>
        </w:rPr>
        <w:t xml:space="preserve">Gli studi sono applicabili verso tutti i contribuenti con ricavi inferiori a 5,16 milioni di Euro, compresi irragionevolmente quelli operanti verso aziende o enti pubblici, magari anche assoggettati a ritenuta, dove i pagamenti in nero sono semplicemente “inverosimili” </w:t>
      </w:r>
      <w:r w:rsidRPr="007F7EBF">
        <w:rPr>
          <w:rStyle w:val="Rimandonotaapidipagina"/>
          <w:sz w:val="22"/>
          <w:szCs w:val="22"/>
        </w:rPr>
        <w:footnoteReference w:id="647"/>
      </w:r>
      <w:r w:rsidRPr="007F7EBF">
        <w:rPr>
          <w:sz w:val="22"/>
          <w:szCs w:val="22"/>
        </w:rPr>
        <w:t xml:space="preserve">. Lo stesso paradosso sussiste per </w:t>
      </w:r>
      <w:r w:rsidR="00063784">
        <w:rPr>
          <w:sz w:val="22"/>
          <w:szCs w:val="22"/>
        </w:rPr>
        <w:t>società</w:t>
      </w:r>
      <w:r w:rsidRPr="007F7EBF">
        <w:rPr>
          <w:sz w:val="22"/>
          <w:szCs w:val="22"/>
        </w:rPr>
        <w:t xml:space="preserve"> con fatturato inferiore a</w:t>
      </w:r>
      <w:r w:rsidR="00063784">
        <w:rPr>
          <w:sz w:val="22"/>
          <w:szCs w:val="22"/>
        </w:rPr>
        <w:t>l limite suddetto</w:t>
      </w:r>
      <w:r w:rsidRPr="007F7EBF">
        <w:rPr>
          <w:sz w:val="22"/>
          <w:szCs w:val="22"/>
        </w:rPr>
        <w:t>, ma alto valore aggiunto, magari appartenenti a gruppi multinazionali rigidamente organizzati, o a enti pubblici, teoricamente soggette agli studi di settore senza margini per occultare corrispettivi (</w:t>
      </w:r>
      <w:r w:rsidRPr="007F7EBF">
        <w:rPr>
          <w:rStyle w:val="Rimandonotaapidipagina"/>
          <w:sz w:val="22"/>
          <w:szCs w:val="22"/>
        </w:rPr>
        <w:footnoteReference w:id="648"/>
      </w:r>
      <w:r w:rsidRPr="007F7EBF">
        <w:rPr>
          <w:sz w:val="22"/>
          <w:szCs w:val="22"/>
        </w:rPr>
        <w:t xml:space="preserve">). </w:t>
      </w:r>
      <w:r w:rsidR="00ED1E2B" w:rsidRPr="007F7EBF">
        <w:rPr>
          <w:sz w:val="22"/>
          <w:szCs w:val="22"/>
        </w:rPr>
        <w:t xml:space="preserve">Nella prassi gli studi spesso sono </w:t>
      </w:r>
      <w:r w:rsidR="00ED1E2B" w:rsidRPr="007F7EBF">
        <w:rPr>
          <w:bCs/>
          <w:sz w:val="22"/>
          <w:szCs w:val="22"/>
        </w:rPr>
        <w:t xml:space="preserve">valutati, anziché nel metodo logico formale, </w:t>
      </w:r>
      <w:r w:rsidR="00ED1E2B" w:rsidRPr="007F7EBF">
        <w:rPr>
          <w:sz w:val="22"/>
          <w:szCs w:val="22"/>
        </w:rPr>
        <w:t xml:space="preserve"> confrontandone il risultato concreto con le cifre dichiarate. Se i ricavi dichiarati sono bassi, e dagli studi emerge un importo più verosimile, </w:t>
      </w:r>
      <w:r w:rsidR="00ED1E2B" w:rsidRPr="007F7EBF">
        <w:rPr>
          <w:sz w:val="22"/>
          <w:szCs w:val="22"/>
        </w:rPr>
        <w:lastRenderedPageBreak/>
        <w:t>alla luce delle caratteristiche dell'attività, questo è sufficiente a preferirlo, anche senza razionalizzare il criterio di determinazione</w:t>
      </w:r>
      <w:r w:rsidR="00ED1E2B" w:rsidRPr="007F7EBF">
        <w:rPr>
          <w:rStyle w:val="Rimandonotaapidipagina"/>
          <w:sz w:val="22"/>
          <w:szCs w:val="22"/>
        </w:rPr>
        <w:footnoteReference w:id="649"/>
      </w:r>
      <w:r w:rsidR="00ED1E2B" w:rsidRPr="007F7EBF">
        <w:rPr>
          <w:sz w:val="22"/>
          <w:szCs w:val="22"/>
        </w:rPr>
        <w:t>.</w:t>
      </w:r>
    </w:p>
    <w:p w14:paraId="15875189" w14:textId="77777777" w:rsidR="00565E11" w:rsidRPr="007F7EBF" w:rsidRDefault="00565E11" w:rsidP="00565E11">
      <w:pPr>
        <w:autoSpaceDE w:val="0"/>
        <w:autoSpaceDN w:val="0"/>
        <w:adjustRightInd w:val="0"/>
        <w:rPr>
          <w:sz w:val="22"/>
          <w:szCs w:val="22"/>
        </w:rPr>
      </w:pPr>
    </w:p>
    <w:p w14:paraId="034FB0DE" w14:textId="77777777" w:rsidR="00565E11" w:rsidRPr="007F7EBF" w:rsidRDefault="00565E11" w:rsidP="00565E11">
      <w:pPr>
        <w:pStyle w:val="tit23"/>
        <w:ind w:left="6464" w:right="-1361" w:firstLine="0"/>
        <w:jc w:val="left"/>
        <w:rPr>
          <w:bCs/>
          <w:i/>
          <w:iCs/>
          <w:color w:val="0000FF"/>
          <w:lang w:val="it-IT"/>
        </w:rPr>
      </w:pPr>
      <w:r w:rsidRPr="007F7EBF">
        <w:rPr>
          <w:bCs/>
          <w:i/>
          <w:iCs/>
          <w:color w:val="0000FF"/>
          <w:lang w:val="it-IT"/>
        </w:rPr>
        <w:t xml:space="preserve">Studi e lavoro intellettuale  </w:t>
      </w:r>
    </w:p>
    <w:p w14:paraId="0A38BAC5" w14:textId="3D077C85" w:rsidR="00565E11" w:rsidRPr="007F7EBF" w:rsidRDefault="00565E11" w:rsidP="00565E11">
      <w:pPr>
        <w:autoSpaceDE w:val="0"/>
        <w:autoSpaceDN w:val="0"/>
        <w:adjustRightInd w:val="0"/>
        <w:rPr>
          <w:sz w:val="22"/>
          <w:szCs w:val="22"/>
        </w:rPr>
      </w:pPr>
      <w:r w:rsidRPr="007F7EBF">
        <w:rPr>
          <w:sz w:val="22"/>
          <w:szCs w:val="22"/>
        </w:rPr>
        <w:t>Un’altra obiezione, particolarmente calzante per il lavoro intellettuale, è di non considerare le diverse abilità e attitudini, mi riferisco soprattutto</w:t>
      </w:r>
      <w:r>
        <w:rPr>
          <w:sz w:val="22"/>
          <w:szCs w:val="22"/>
        </w:rPr>
        <w:t xml:space="preserve"> </w:t>
      </w:r>
      <w:r w:rsidRPr="007F7EBF">
        <w:rPr>
          <w:sz w:val="22"/>
          <w:szCs w:val="22"/>
        </w:rPr>
        <w:t>alle libere professioni (avvocato, o chirurgo), dove la prestazione è meno fungibile di quella di un tassista o di un parrucchiere. L’applicazione degli studi ai professionisti,</w:t>
      </w:r>
    </w:p>
    <w:p w14:paraId="22757BC5" w14:textId="32DD894F" w:rsidR="00565E11" w:rsidRPr="007F7EBF" w:rsidRDefault="00565E11" w:rsidP="00565E11">
      <w:pPr>
        <w:autoSpaceDE w:val="0"/>
        <w:autoSpaceDN w:val="0"/>
        <w:adjustRightInd w:val="0"/>
        <w:rPr>
          <w:sz w:val="22"/>
          <w:szCs w:val="22"/>
        </w:rPr>
      </w:pPr>
      <w:r w:rsidRPr="007F7EBF">
        <w:rPr>
          <w:sz w:val="22"/>
          <w:szCs w:val="22"/>
        </w:rPr>
        <w:t>pur dettata da</w:t>
      </w:r>
      <w:r>
        <w:rPr>
          <w:sz w:val="22"/>
          <w:szCs w:val="22"/>
        </w:rPr>
        <w:t xml:space="preserve"> </w:t>
      </w:r>
      <w:r w:rsidRPr="007F7EBF">
        <w:rPr>
          <w:sz w:val="22"/>
          <w:szCs w:val="22"/>
        </w:rPr>
        <w:t xml:space="preserve">esigenze di uniformità “politico-comunicazionale”, deve quindi fare i conti la minore omogeneità delle relative prestazioni, e soprattutto </w:t>
      </w:r>
      <w:r w:rsidR="00ED1E2B">
        <w:rPr>
          <w:sz w:val="22"/>
          <w:szCs w:val="22"/>
        </w:rPr>
        <w:t>il</w:t>
      </w:r>
      <w:r w:rsidRPr="007F7EBF">
        <w:rPr>
          <w:sz w:val="22"/>
          <w:szCs w:val="22"/>
        </w:rPr>
        <w:t xml:space="preserve"> possibile divers</w:t>
      </w:r>
      <w:r w:rsidR="00ED1E2B">
        <w:rPr>
          <w:sz w:val="22"/>
          <w:szCs w:val="22"/>
        </w:rPr>
        <w:t>o impegno</w:t>
      </w:r>
      <w:r w:rsidRPr="007F7EBF">
        <w:rPr>
          <w:sz w:val="22"/>
          <w:szCs w:val="22"/>
        </w:rPr>
        <w:t xml:space="preserve"> lavorativ</w:t>
      </w:r>
      <w:r w:rsidR="00ED1E2B">
        <w:rPr>
          <w:sz w:val="22"/>
          <w:szCs w:val="22"/>
        </w:rPr>
        <w:t>o</w:t>
      </w:r>
      <w:r w:rsidRPr="007F7EBF">
        <w:rPr>
          <w:sz w:val="22"/>
          <w:szCs w:val="22"/>
        </w:rPr>
        <w:t>.</w:t>
      </w:r>
      <w:r w:rsidRPr="007F7EBF">
        <w:rPr>
          <w:bCs/>
          <w:i/>
          <w:iCs/>
          <w:color w:val="0000FF"/>
          <w:sz w:val="22"/>
          <w:szCs w:val="22"/>
        </w:rPr>
        <w:t xml:space="preserve">  </w:t>
      </w:r>
    </w:p>
    <w:p w14:paraId="1019F1C9" w14:textId="77777777" w:rsidR="00565E11" w:rsidRPr="007F7EBF" w:rsidRDefault="00565E11" w:rsidP="00565E11">
      <w:pPr>
        <w:pStyle w:val="tit23"/>
        <w:ind w:left="6464" w:right="-1361" w:firstLine="0"/>
        <w:jc w:val="left"/>
        <w:rPr>
          <w:bCs/>
          <w:i/>
          <w:iCs/>
          <w:color w:val="0000FF"/>
          <w:lang w:val="it-IT"/>
        </w:rPr>
      </w:pPr>
      <w:r>
        <w:rPr>
          <w:bCs/>
          <w:i/>
          <w:iCs/>
          <w:color w:val="0000FF"/>
          <w:lang w:val="it-IT"/>
        </w:rPr>
        <w:t>Scoordinamento con l</w:t>
      </w:r>
      <w:r w:rsidRPr="007F7EBF">
        <w:rPr>
          <w:bCs/>
          <w:i/>
          <w:iCs/>
          <w:color w:val="0000FF"/>
          <w:lang w:val="it-IT"/>
        </w:rPr>
        <w:t>a tracciabilità</w:t>
      </w:r>
    </w:p>
    <w:p w14:paraId="6A0322D8" w14:textId="52532029" w:rsidR="007644B5" w:rsidRPr="007F7EBF" w:rsidRDefault="00565E11" w:rsidP="007644B5">
      <w:pPr>
        <w:autoSpaceDE w:val="0"/>
        <w:autoSpaceDN w:val="0"/>
        <w:adjustRightInd w:val="0"/>
        <w:rPr>
          <w:sz w:val="22"/>
          <w:szCs w:val="22"/>
        </w:rPr>
      </w:pPr>
      <w:r w:rsidRPr="007F7EBF">
        <w:rPr>
          <w:sz w:val="22"/>
          <w:szCs w:val="22"/>
        </w:rPr>
        <w:t>Gli studi neppure valorizzano i casi in cui i ricavi sono inverosimili non in assoluto, ma in quanto sbilanciati  verso clienti che possono “scaricare” (</w:t>
      </w:r>
      <w:r w:rsidRPr="007F7EBF">
        <w:rPr>
          <w:rStyle w:val="Rimandonotaapidipagina"/>
          <w:sz w:val="22"/>
          <w:szCs w:val="22"/>
        </w:rPr>
        <w:footnoteReference w:id="650"/>
      </w:r>
      <w:r w:rsidRPr="007F7EBF">
        <w:rPr>
          <w:sz w:val="22"/>
          <w:szCs w:val="22"/>
        </w:rPr>
        <w:t>) o prevalentemente costituiti da incassi "</w:t>
      </w:r>
      <w:proofErr w:type="spellStart"/>
      <w:r w:rsidRPr="007F7EBF">
        <w:rPr>
          <w:sz w:val="22"/>
          <w:szCs w:val="22"/>
        </w:rPr>
        <w:t>tracciabili"rispetto</w:t>
      </w:r>
      <w:proofErr w:type="spellEnd"/>
      <w:r w:rsidRPr="007F7EBF">
        <w:rPr>
          <w:sz w:val="22"/>
          <w:szCs w:val="22"/>
        </w:rPr>
        <w:t xml:space="preserve"> ai contanti </w:t>
      </w:r>
      <w:r w:rsidRPr="007F7EBF">
        <w:rPr>
          <w:rStyle w:val="Rimandonotaapidipagina"/>
          <w:sz w:val="22"/>
          <w:szCs w:val="22"/>
        </w:rPr>
        <w:footnoteReference w:id="651"/>
      </w:r>
      <w:r w:rsidRPr="007F7EBF">
        <w:rPr>
          <w:sz w:val="22"/>
          <w:szCs w:val="22"/>
        </w:rPr>
        <w:t>. Gli studi, espressione della tendenza a "</w:t>
      </w:r>
      <w:proofErr w:type="spellStart"/>
      <w:r w:rsidRPr="007F7EBF">
        <w:rPr>
          <w:sz w:val="22"/>
          <w:szCs w:val="22"/>
        </w:rPr>
        <w:t>ragionierizzare</w:t>
      </w:r>
      <w:proofErr w:type="spellEnd"/>
      <w:r w:rsidRPr="007F7EBF">
        <w:rPr>
          <w:sz w:val="22"/>
          <w:szCs w:val="22"/>
        </w:rPr>
        <w:t xml:space="preserve"> le stime"</w:t>
      </w:r>
      <w:r w:rsidR="003131C4">
        <w:rPr>
          <w:sz w:val="22"/>
          <w:szCs w:val="22"/>
        </w:rPr>
        <w:t>,</w:t>
      </w:r>
      <w:r w:rsidRPr="007F7EBF">
        <w:rPr>
          <w:sz w:val="22"/>
          <w:szCs w:val="22"/>
        </w:rPr>
        <w:t xml:space="preserve"> non sono insomma coordinati con la parallela tendenza a "esportare la contabilità"</w:t>
      </w:r>
      <w:r w:rsidRPr="007F7EBF">
        <w:rPr>
          <w:rStyle w:val="Rimandonotaapidipagina"/>
          <w:sz w:val="22"/>
          <w:szCs w:val="22"/>
        </w:rPr>
        <w:footnoteReference w:id="652"/>
      </w:r>
      <w:r w:rsidRPr="007F7EBF">
        <w:rPr>
          <w:sz w:val="22"/>
          <w:szCs w:val="22"/>
        </w:rPr>
        <w:t>.</w:t>
      </w:r>
    </w:p>
    <w:p w14:paraId="155C9742" w14:textId="77777777" w:rsidR="007644B5" w:rsidRPr="007F7EBF" w:rsidRDefault="007644B5" w:rsidP="007644B5">
      <w:pPr>
        <w:pStyle w:val="tit23"/>
        <w:ind w:left="6464" w:right="-1361" w:firstLine="0"/>
        <w:jc w:val="left"/>
        <w:rPr>
          <w:bCs/>
          <w:i/>
          <w:iCs/>
          <w:color w:val="0000FF"/>
          <w:lang w:val="it-IT"/>
        </w:rPr>
      </w:pPr>
      <w:proofErr w:type="spellStart"/>
      <w:r>
        <w:rPr>
          <w:bCs/>
          <w:i/>
          <w:iCs/>
          <w:color w:val="0000FF"/>
          <w:lang w:val="it-IT"/>
        </w:rPr>
        <w:t>Catastizzazione</w:t>
      </w:r>
      <w:proofErr w:type="spellEnd"/>
      <w:r>
        <w:rPr>
          <w:bCs/>
          <w:i/>
          <w:iCs/>
          <w:color w:val="0000FF"/>
          <w:lang w:val="it-IT"/>
        </w:rPr>
        <w:t xml:space="preserve"> e appiattimenti</w:t>
      </w:r>
    </w:p>
    <w:p w14:paraId="2CDA33E8" w14:textId="5E0C2C51" w:rsidR="00464CA0" w:rsidRPr="007F7EBF" w:rsidRDefault="00425593" w:rsidP="007644B5">
      <w:pPr>
        <w:autoSpaceDE w:val="0"/>
        <w:autoSpaceDN w:val="0"/>
        <w:adjustRightInd w:val="0"/>
        <w:rPr>
          <w:sz w:val="22"/>
          <w:szCs w:val="22"/>
        </w:rPr>
      </w:pPr>
      <w:r>
        <w:rPr>
          <w:sz w:val="22"/>
          <w:szCs w:val="22"/>
        </w:rPr>
        <w:lastRenderedPageBreak/>
        <w:t>G</w:t>
      </w:r>
      <w:r w:rsidRPr="007F7EBF">
        <w:rPr>
          <w:sz w:val="22"/>
          <w:szCs w:val="22"/>
        </w:rPr>
        <w:t xml:space="preserve">li studi non portano alla tassazione di </w:t>
      </w:r>
      <w:r w:rsidR="007644B5">
        <w:rPr>
          <w:sz w:val="22"/>
          <w:szCs w:val="22"/>
        </w:rPr>
        <w:t>imponibili</w:t>
      </w:r>
      <w:r w:rsidRPr="007F7EBF">
        <w:rPr>
          <w:sz w:val="22"/>
          <w:szCs w:val="22"/>
        </w:rPr>
        <w:t xml:space="preserve"> fittizi</w:t>
      </w:r>
      <w:r>
        <w:rPr>
          <w:sz w:val="22"/>
          <w:szCs w:val="22"/>
        </w:rPr>
        <w:t xml:space="preserve">, in quanto </w:t>
      </w:r>
      <w:r w:rsidR="007644B5">
        <w:rPr>
          <w:sz w:val="22"/>
          <w:szCs w:val="22"/>
        </w:rPr>
        <w:t xml:space="preserve">non hanno valore “catastale”, e </w:t>
      </w:r>
      <w:r w:rsidR="003131C4">
        <w:rPr>
          <w:sz w:val="22"/>
          <w:szCs w:val="22"/>
        </w:rPr>
        <w:t xml:space="preserve">consentono </w:t>
      </w:r>
      <w:r w:rsidRPr="007F7EBF">
        <w:rPr>
          <w:sz w:val="22"/>
          <w:szCs w:val="22"/>
        </w:rPr>
        <w:t xml:space="preserve"> </w:t>
      </w:r>
      <w:r w:rsidR="003131C4">
        <w:rPr>
          <w:sz w:val="22"/>
          <w:szCs w:val="22"/>
        </w:rPr>
        <w:t>ogni prova contraria</w:t>
      </w:r>
      <w:r w:rsidRPr="007F7EBF">
        <w:rPr>
          <w:sz w:val="22"/>
          <w:szCs w:val="22"/>
        </w:rPr>
        <w:t xml:space="preserve">, anche presuntiva, </w:t>
      </w:r>
      <w:r w:rsidR="003131C4">
        <w:rPr>
          <w:sz w:val="22"/>
          <w:szCs w:val="22"/>
        </w:rPr>
        <w:t xml:space="preserve">che in </w:t>
      </w:r>
      <w:r w:rsidR="007644B5">
        <w:rPr>
          <w:sz w:val="22"/>
          <w:szCs w:val="22"/>
        </w:rPr>
        <w:t>concret</w:t>
      </w:r>
      <w:r w:rsidR="003131C4">
        <w:rPr>
          <w:sz w:val="22"/>
          <w:szCs w:val="22"/>
        </w:rPr>
        <w:t>o</w:t>
      </w:r>
      <w:r w:rsidR="007644B5">
        <w:rPr>
          <w:sz w:val="22"/>
          <w:szCs w:val="22"/>
        </w:rPr>
        <w:t xml:space="preserve"> </w:t>
      </w:r>
      <w:r w:rsidRPr="007F7EBF">
        <w:rPr>
          <w:sz w:val="22"/>
          <w:szCs w:val="22"/>
        </w:rPr>
        <w:t>rend</w:t>
      </w:r>
      <w:r w:rsidR="003131C4">
        <w:rPr>
          <w:sz w:val="22"/>
          <w:szCs w:val="22"/>
        </w:rPr>
        <w:t>a</w:t>
      </w:r>
      <w:r w:rsidRPr="007F7EBF">
        <w:rPr>
          <w:sz w:val="22"/>
          <w:szCs w:val="22"/>
        </w:rPr>
        <w:t xml:space="preserve"> più credibile un imponibile minore. </w:t>
      </w:r>
      <w:r w:rsidR="007D58BD" w:rsidRPr="007F7EBF">
        <w:rPr>
          <w:sz w:val="22"/>
          <w:szCs w:val="22"/>
        </w:rPr>
        <w:t>Si tratta sostanzialmente di una "</w:t>
      </w:r>
      <w:r>
        <w:rPr>
          <w:sz w:val="22"/>
          <w:szCs w:val="22"/>
        </w:rPr>
        <w:t>presunzione</w:t>
      </w:r>
      <w:r w:rsidR="007D58BD" w:rsidRPr="007F7EBF">
        <w:rPr>
          <w:sz w:val="22"/>
          <w:szCs w:val="22"/>
        </w:rPr>
        <w:t xml:space="preserve"> </w:t>
      </w:r>
      <w:r>
        <w:rPr>
          <w:sz w:val="22"/>
          <w:szCs w:val="22"/>
        </w:rPr>
        <w:t>relativa</w:t>
      </w:r>
      <w:r w:rsidR="007D58BD" w:rsidRPr="007F7EBF">
        <w:rPr>
          <w:sz w:val="22"/>
          <w:szCs w:val="22"/>
        </w:rPr>
        <w:t>"</w:t>
      </w:r>
      <w:r w:rsidR="007644B5">
        <w:rPr>
          <w:sz w:val="22"/>
          <w:szCs w:val="22"/>
        </w:rPr>
        <w:t>,</w:t>
      </w:r>
      <w:r w:rsidR="007D58BD" w:rsidRPr="007F7EBF">
        <w:rPr>
          <w:sz w:val="22"/>
          <w:szCs w:val="22"/>
        </w:rPr>
        <w:t xml:space="preserve"> nel senso di cui al par.5.</w:t>
      </w:r>
      <w:r>
        <w:rPr>
          <w:sz w:val="22"/>
          <w:szCs w:val="22"/>
        </w:rPr>
        <w:t xml:space="preserve">8, che in parte snatura </w:t>
      </w:r>
      <w:r w:rsidR="007D58BD" w:rsidRPr="007F7EBF">
        <w:rPr>
          <w:sz w:val="22"/>
          <w:szCs w:val="22"/>
        </w:rPr>
        <w:t xml:space="preserve">una questione </w:t>
      </w:r>
      <w:r w:rsidR="00053090" w:rsidRPr="007F7EBF">
        <w:rPr>
          <w:sz w:val="22"/>
          <w:szCs w:val="22"/>
        </w:rPr>
        <w:t>di fatto empirico-probabilistica</w:t>
      </w:r>
      <w:r>
        <w:rPr>
          <w:sz w:val="22"/>
          <w:szCs w:val="22"/>
        </w:rPr>
        <w:t>, trasformandola in una questione di</w:t>
      </w:r>
      <w:r w:rsidR="007D58BD" w:rsidRPr="007F7EBF">
        <w:rPr>
          <w:sz w:val="22"/>
          <w:szCs w:val="22"/>
        </w:rPr>
        <w:t xml:space="preserve"> interpretazione normativa</w:t>
      </w:r>
      <w:r w:rsidR="00063784">
        <w:rPr>
          <w:sz w:val="22"/>
          <w:szCs w:val="22"/>
        </w:rPr>
        <w:t xml:space="preserve">. </w:t>
      </w:r>
      <w:r w:rsidR="003131C4">
        <w:rPr>
          <w:sz w:val="22"/>
          <w:szCs w:val="22"/>
        </w:rPr>
        <w:t>Resta però</w:t>
      </w:r>
      <w:r w:rsidR="007644B5">
        <w:rPr>
          <w:sz w:val="22"/>
          <w:szCs w:val="22"/>
        </w:rPr>
        <w:t xml:space="preserve"> </w:t>
      </w:r>
      <w:r w:rsidR="00295780" w:rsidRPr="007F7EBF">
        <w:rPr>
          <w:sz w:val="22"/>
          <w:szCs w:val="22"/>
        </w:rPr>
        <w:t xml:space="preserve"> il rischio di appiattimento, cioè che </w:t>
      </w:r>
      <w:r w:rsidR="003131C4">
        <w:rPr>
          <w:sz w:val="22"/>
          <w:szCs w:val="22"/>
        </w:rPr>
        <w:t>ricavi</w:t>
      </w:r>
      <w:r w:rsidR="00063784">
        <w:rPr>
          <w:sz w:val="22"/>
          <w:szCs w:val="22"/>
        </w:rPr>
        <w:t xml:space="preserve"> effettivi </w:t>
      </w:r>
      <w:r w:rsidR="00295780" w:rsidRPr="007F7EBF">
        <w:rPr>
          <w:sz w:val="22"/>
          <w:szCs w:val="22"/>
        </w:rPr>
        <w:t>superiori a quelli risultanti dagli studi</w:t>
      </w:r>
      <w:r w:rsidR="003131C4">
        <w:rPr>
          <w:sz w:val="22"/>
          <w:szCs w:val="22"/>
        </w:rPr>
        <w:t xml:space="preserve">, si adagino su di essi, </w:t>
      </w:r>
      <w:r w:rsidR="00295780" w:rsidRPr="007F7EBF">
        <w:rPr>
          <w:sz w:val="22"/>
          <w:szCs w:val="22"/>
        </w:rPr>
        <w:t>come una sorta di f</w:t>
      </w:r>
      <w:r w:rsidR="00053090" w:rsidRPr="007F7EBF">
        <w:rPr>
          <w:sz w:val="22"/>
          <w:szCs w:val="22"/>
        </w:rPr>
        <w:t>orfetizzazione dell’imponibile</w:t>
      </w:r>
      <w:r w:rsidR="00063784">
        <w:rPr>
          <w:sz w:val="22"/>
          <w:szCs w:val="22"/>
        </w:rPr>
        <w:t xml:space="preserve"> (</w:t>
      </w:r>
      <w:r w:rsidR="00063784">
        <w:rPr>
          <w:rStyle w:val="Rimandonotaapidipagina"/>
          <w:sz w:val="22"/>
          <w:szCs w:val="22"/>
        </w:rPr>
        <w:footnoteReference w:id="653"/>
      </w:r>
      <w:r w:rsidR="00063784">
        <w:rPr>
          <w:sz w:val="22"/>
          <w:szCs w:val="22"/>
        </w:rPr>
        <w:t>)</w:t>
      </w:r>
      <w:r w:rsidR="00053090" w:rsidRPr="007F7EBF">
        <w:rPr>
          <w:sz w:val="22"/>
          <w:szCs w:val="22"/>
        </w:rPr>
        <w:t xml:space="preserve">; </w:t>
      </w:r>
      <w:r w:rsidR="003131C4">
        <w:rPr>
          <w:sz w:val="22"/>
          <w:szCs w:val="22"/>
        </w:rPr>
        <w:t>nulla vieta, inversamente, a</w:t>
      </w:r>
      <w:r w:rsidR="00053090" w:rsidRPr="007F7EBF">
        <w:rPr>
          <w:sz w:val="22"/>
          <w:szCs w:val="22"/>
        </w:rPr>
        <w:t xml:space="preserve">gli uffici </w:t>
      </w:r>
      <w:r w:rsidR="003131C4">
        <w:rPr>
          <w:sz w:val="22"/>
          <w:szCs w:val="22"/>
        </w:rPr>
        <w:t>di</w:t>
      </w:r>
      <w:r w:rsidR="00053090" w:rsidRPr="007F7EBF">
        <w:rPr>
          <w:sz w:val="22"/>
          <w:szCs w:val="22"/>
        </w:rPr>
        <w:t xml:space="preserve"> </w:t>
      </w:r>
      <w:r w:rsidR="003131C4">
        <w:rPr>
          <w:sz w:val="22"/>
          <w:szCs w:val="22"/>
        </w:rPr>
        <w:t>presumere, in modo</w:t>
      </w:r>
      <w:r w:rsidR="00053090" w:rsidRPr="007F7EBF">
        <w:rPr>
          <w:sz w:val="22"/>
          <w:szCs w:val="22"/>
        </w:rPr>
        <w:t xml:space="preserve"> specifico, imponibil</w:t>
      </w:r>
      <w:r w:rsidR="003131C4">
        <w:rPr>
          <w:sz w:val="22"/>
          <w:szCs w:val="22"/>
        </w:rPr>
        <w:t>i</w:t>
      </w:r>
      <w:r w:rsidR="00053090" w:rsidRPr="007F7EBF">
        <w:rPr>
          <w:sz w:val="22"/>
          <w:szCs w:val="22"/>
        </w:rPr>
        <w:t xml:space="preserve"> maggior</w:t>
      </w:r>
      <w:r w:rsidR="003131C4">
        <w:rPr>
          <w:sz w:val="22"/>
          <w:szCs w:val="22"/>
        </w:rPr>
        <w:t>i</w:t>
      </w:r>
      <w:r w:rsidR="00053090" w:rsidRPr="007F7EBF">
        <w:rPr>
          <w:sz w:val="22"/>
          <w:szCs w:val="22"/>
        </w:rPr>
        <w:t xml:space="preserve">.   </w:t>
      </w:r>
    </w:p>
    <w:p w14:paraId="4A060606" w14:textId="77777777" w:rsidR="00464CA0" w:rsidRPr="007F7EBF" w:rsidRDefault="00464CA0" w:rsidP="00464CA0">
      <w:pPr>
        <w:pStyle w:val="tit23"/>
        <w:ind w:left="6464" w:right="-1361" w:firstLine="0"/>
        <w:jc w:val="left"/>
        <w:rPr>
          <w:bCs/>
          <w:i/>
          <w:iCs/>
          <w:color w:val="0000FF"/>
          <w:lang w:val="it-IT"/>
        </w:rPr>
      </w:pPr>
      <w:r w:rsidRPr="007F7EBF">
        <w:rPr>
          <w:bCs/>
          <w:i/>
          <w:iCs/>
          <w:color w:val="0000FF"/>
          <w:lang w:val="it-IT"/>
        </w:rPr>
        <w:t>Estraneità culturali e freddezze</w:t>
      </w:r>
    </w:p>
    <w:p w14:paraId="4FAC5B11" w14:textId="66AD8466" w:rsidR="00206507" w:rsidRPr="007F7EBF" w:rsidRDefault="003131C4" w:rsidP="00565E11">
      <w:pPr>
        <w:autoSpaceDE w:val="0"/>
        <w:autoSpaceDN w:val="0"/>
        <w:adjustRightInd w:val="0"/>
        <w:rPr>
          <w:sz w:val="22"/>
          <w:szCs w:val="22"/>
        </w:rPr>
      </w:pPr>
      <w:r>
        <w:rPr>
          <w:sz w:val="22"/>
          <w:szCs w:val="22"/>
        </w:rPr>
        <w:t xml:space="preserve">Gli studi sono accompagnati da concetti </w:t>
      </w:r>
      <w:r w:rsidR="006342C5" w:rsidRPr="007F7EBF">
        <w:rPr>
          <w:bCs/>
          <w:sz w:val="22"/>
          <w:szCs w:val="22"/>
        </w:rPr>
        <w:t>economico statistici</w:t>
      </w:r>
      <w:r w:rsidR="00EF0CC5" w:rsidRPr="007F7EBF">
        <w:rPr>
          <w:bCs/>
          <w:sz w:val="22"/>
          <w:szCs w:val="22"/>
        </w:rPr>
        <w:t xml:space="preserve"> </w:t>
      </w:r>
      <w:r w:rsidR="006342C5" w:rsidRPr="007F7EBF">
        <w:rPr>
          <w:sz w:val="22"/>
          <w:szCs w:val="22"/>
        </w:rPr>
        <w:t xml:space="preserve">estranei alla cultura sia degli uomini di legge </w:t>
      </w:r>
      <w:r>
        <w:rPr>
          <w:sz w:val="22"/>
          <w:szCs w:val="22"/>
        </w:rPr>
        <w:t>e</w:t>
      </w:r>
      <w:r w:rsidR="006342C5" w:rsidRPr="007F7EBF">
        <w:rPr>
          <w:sz w:val="22"/>
          <w:szCs w:val="22"/>
        </w:rPr>
        <w:t xml:space="preserve"> degli uomini di azienda, </w:t>
      </w:r>
      <w:r>
        <w:rPr>
          <w:sz w:val="22"/>
          <w:szCs w:val="22"/>
        </w:rPr>
        <w:t xml:space="preserve">come </w:t>
      </w:r>
      <w:r w:rsidR="00EF0CC5" w:rsidRPr="007F7EBF">
        <w:rPr>
          <w:sz w:val="22"/>
          <w:szCs w:val="22"/>
        </w:rPr>
        <w:t>r</w:t>
      </w:r>
      <w:r w:rsidR="006342C5" w:rsidRPr="007F7EBF">
        <w:rPr>
          <w:sz w:val="22"/>
          <w:szCs w:val="22"/>
        </w:rPr>
        <w:t>egressione lineare multipla, reti neurali,</w:t>
      </w:r>
      <w:r w:rsidR="00EF0CC5" w:rsidRPr="007F7EBF">
        <w:rPr>
          <w:sz w:val="22"/>
          <w:szCs w:val="22"/>
        </w:rPr>
        <w:t xml:space="preserve"> </w:t>
      </w:r>
      <w:r w:rsidR="006342C5" w:rsidRPr="007F7EBF">
        <w:rPr>
          <w:sz w:val="22"/>
          <w:szCs w:val="22"/>
        </w:rPr>
        <w:t>cluster, intervalli di confidenza</w:t>
      </w:r>
      <w:r w:rsidR="003A5178" w:rsidRPr="007F7EBF">
        <w:rPr>
          <w:sz w:val="22"/>
          <w:szCs w:val="22"/>
        </w:rPr>
        <w:t xml:space="preserve">, ma anche </w:t>
      </w:r>
      <w:r w:rsidR="006342C5" w:rsidRPr="007F7EBF">
        <w:rPr>
          <w:sz w:val="22"/>
          <w:szCs w:val="22"/>
        </w:rPr>
        <w:t>“congruità”, “coerenza”, indicatori di normalità economica</w:t>
      </w:r>
      <w:r>
        <w:rPr>
          <w:sz w:val="22"/>
          <w:szCs w:val="22"/>
        </w:rPr>
        <w:t xml:space="preserve"> </w:t>
      </w:r>
      <w:r w:rsidR="00053090" w:rsidRPr="007F7EBF">
        <w:rPr>
          <w:sz w:val="22"/>
          <w:szCs w:val="22"/>
        </w:rPr>
        <w:t>(</w:t>
      </w:r>
      <w:r w:rsidR="00053090" w:rsidRPr="007F7EBF">
        <w:rPr>
          <w:rStyle w:val="Rimandonotaapidipagina"/>
          <w:sz w:val="22"/>
          <w:szCs w:val="22"/>
        </w:rPr>
        <w:footnoteReference w:id="654"/>
      </w:r>
      <w:r w:rsidR="003A5178" w:rsidRPr="007F7EBF">
        <w:rPr>
          <w:sz w:val="22"/>
          <w:szCs w:val="22"/>
        </w:rPr>
        <w:t>).</w:t>
      </w:r>
      <w:r w:rsidR="00053090" w:rsidRPr="007F7EBF">
        <w:rPr>
          <w:sz w:val="22"/>
          <w:szCs w:val="22"/>
        </w:rPr>
        <w:t xml:space="preserve"> </w:t>
      </w:r>
      <w:r w:rsidR="003A5178" w:rsidRPr="007F7EBF">
        <w:rPr>
          <w:sz w:val="22"/>
          <w:szCs w:val="22"/>
        </w:rPr>
        <w:t xml:space="preserve">Ne è derivata </w:t>
      </w:r>
      <w:r w:rsidR="00E70FC0" w:rsidRPr="007F7EBF">
        <w:rPr>
          <w:sz w:val="22"/>
          <w:szCs w:val="22"/>
        </w:rPr>
        <w:t xml:space="preserve"> una </w:t>
      </w:r>
      <w:r w:rsidR="003A5178" w:rsidRPr="007F7EBF">
        <w:rPr>
          <w:sz w:val="22"/>
          <w:szCs w:val="22"/>
        </w:rPr>
        <w:t xml:space="preserve">forte diffidenza per gli studi di settore </w:t>
      </w:r>
      <w:r w:rsidR="00053090" w:rsidRPr="007F7EBF">
        <w:rPr>
          <w:sz w:val="22"/>
          <w:szCs w:val="22"/>
        </w:rPr>
        <w:t xml:space="preserve"> negli ambienti avvocatesco-ragionieristici</w:t>
      </w:r>
      <w:r w:rsidR="00E70FC0" w:rsidRPr="007F7EBF">
        <w:rPr>
          <w:sz w:val="22"/>
          <w:szCs w:val="22"/>
        </w:rPr>
        <w:t xml:space="preserve"> </w:t>
      </w:r>
      <w:r w:rsidR="00053090" w:rsidRPr="007F7EBF">
        <w:rPr>
          <w:sz w:val="22"/>
          <w:szCs w:val="22"/>
        </w:rPr>
        <w:t>, incapaci</w:t>
      </w:r>
      <w:r w:rsidR="003A5178" w:rsidRPr="007F7EBF">
        <w:rPr>
          <w:sz w:val="22"/>
          <w:szCs w:val="22"/>
        </w:rPr>
        <w:t xml:space="preserve"> di ripercorrer</w:t>
      </w:r>
      <w:r w:rsidR="00924D5B" w:rsidRPr="007F7EBF">
        <w:rPr>
          <w:sz w:val="22"/>
          <w:szCs w:val="22"/>
        </w:rPr>
        <w:t>n</w:t>
      </w:r>
      <w:r w:rsidR="0028503B" w:rsidRPr="007F7EBF">
        <w:rPr>
          <w:sz w:val="22"/>
          <w:szCs w:val="22"/>
        </w:rPr>
        <w:t>e il funzionamento</w:t>
      </w:r>
      <w:r w:rsidR="00C14702">
        <w:rPr>
          <w:sz w:val="22"/>
          <w:szCs w:val="22"/>
        </w:rPr>
        <w:t xml:space="preserve">. </w:t>
      </w:r>
    </w:p>
    <w:p w14:paraId="222E68BB" w14:textId="59B02415" w:rsidR="00855EEE" w:rsidRPr="007F7EBF" w:rsidRDefault="002E048A" w:rsidP="00855EEE">
      <w:pPr>
        <w:pStyle w:val="tit23"/>
        <w:ind w:left="6464" w:right="-1361" w:firstLine="0"/>
        <w:jc w:val="left"/>
        <w:rPr>
          <w:bCs/>
          <w:i/>
          <w:iCs/>
          <w:color w:val="0000FF"/>
          <w:lang w:val="it-IT"/>
        </w:rPr>
      </w:pPr>
      <w:r w:rsidRPr="007F7EBF">
        <w:rPr>
          <w:bCs/>
          <w:i/>
          <w:iCs/>
          <w:color w:val="0000FF"/>
          <w:lang w:val="it-IT"/>
        </w:rPr>
        <w:t xml:space="preserve">il logoramento politico </w:t>
      </w:r>
      <w:r w:rsidR="00565E11">
        <w:rPr>
          <w:bCs/>
          <w:i/>
          <w:iCs/>
          <w:color w:val="0000FF"/>
          <w:lang w:val="it-IT"/>
        </w:rPr>
        <w:t>e possibile ruolo</w:t>
      </w:r>
      <w:r w:rsidRPr="007F7EBF">
        <w:rPr>
          <w:bCs/>
          <w:i/>
          <w:iCs/>
          <w:color w:val="0000FF"/>
          <w:lang w:val="it-IT"/>
        </w:rPr>
        <w:t xml:space="preserve"> </w:t>
      </w:r>
    </w:p>
    <w:p w14:paraId="35928AF2" w14:textId="698BE490" w:rsidR="002E048A" w:rsidRPr="007F7EBF" w:rsidRDefault="00C14702" w:rsidP="00565E11">
      <w:pPr>
        <w:autoSpaceDE w:val="0"/>
        <w:autoSpaceDN w:val="0"/>
        <w:adjustRightInd w:val="0"/>
        <w:rPr>
          <w:bCs/>
          <w:i/>
          <w:iCs/>
          <w:color w:val="0000FF"/>
        </w:rPr>
      </w:pPr>
      <w:r>
        <w:rPr>
          <w:sz w:val="22"/>
          <w:szCs w:val="22"/>
        </w:rPr>
        <w:t>Q</w:t>
      </w:r>
      <w:r w:rsidRPr="007F7EBF">
        <w:rPr>
          <w:sz w:val="22"/>
          <w:szCs w:val="22"/>
        </w:rPr>
        <w:t xml:space="preserve">uesto ha contribuito al "logoramento" degli studi, </w:t>
      </w:r>
      <w:r>
        <w:rPr>
          <w:sz w:val="22"/>
          <w:szCs w:val="22"/>
        </w:rPr>
        <w:t xml:space="preserve">anche per via della </w:t>
      </w:r>
      <w:r w:rsidR="00206507" w:rsidRPr="007F7EBF">
        <w:rPr>
          <w:sz w:val="22"/>
          <w:szCs w:val="22"/>
        </w:rPr>
        <w:t xml:space="preserve">mancanza di una spiegazione </w:t>
      </w:r>
      <w:r>
        <w:rPr>
          <w:sz w:val="22"/>
          <w:szCs w:val="22"/>
        </w:rPr>
        <w:t>sociale</w:t>
      </w:r>
      <w:r w:rsidR="00206507" w:rsidRPr="007F7EBF">
        <w:rPr>
          <w:sz w:val="22"/>
          <w:szCs w:val="22"/>
        </w:rPr>
        <w:t xml:space="preserve"> della determinazione </w:t>
      </w:r>
      <w:r>
        <w:rPr>
          <w:sz w:val="22"/>
          <w:szCs w:val="22"/>
        </w:rPr>
        <w:t xml:space="preserve">degli imponibili </w:t>
      </w:r>
      <w:r w:rsidR="00206507" w:rsidRPr="007F7EBF">
        <w:rPr>
          <w:sz w:val="22"/>
          <w:szCs w:val="22"/>
        </w:rPr>
        <w:t xml:space="preserve">(cap.4) </w:t>
      </w:r>
      <w:r w:rsidR="005F0144">
        <w:rPr>
          <w:sz w:val="22"/>
          <w:szCs w:val="22"/>
        </w:rPr>
        <w:t>e del prevalere delle tendenze di opinione “antifisco” di cui al par.4.6</w:t>
      </w:r>
      <w:r w:rsidR="002E048A" w:rsidRPr="007F7EBF">
        <w:rPr>
          <w:sz w:val="22"/>
          <w:szCs w:val="22"/>
        </w:rPr>
        <w:t xml:space="preserve">.  </w:t>
      </w:r>
    </w:p>
    <w:p w14:paraId="51E9436C" w14:textId="6DE1C2FB" w:rsidR="006342C5" w:rsidRPr="007F7EBF" w:rsidRDefault="00206507" w:rsidP="00206507">
      <w:pPr>
        <w:autoSpaceDE w:val="0"/>
        <w:autoSpaceDN w:val="0"/>
        <w:adjustRightInd w:val="0"/>
        <w:rPr>
          <w:sz w:val="22"/>
          <w:szCs w:val="22"/>
        </w:rPr>
      </w:pPr>
      <w:r w:rsidRPr="007F7EBF">
        <w:rPr>
          <w:sz w:val="22"/>
          <w:szCs w:val="22"/>
        </w:rPr>
        <w:t xml:space="preserve">E' </w:t>
      </w:r>
      <w:r w:rsidR="002E048A" w:rsidRPr="007F7EBF">
        <w:rPr>
          <w:sz w:val="22"/>
          <w:szCs w:val="22"/>
        </w:rPr>
        <w:t xml:space="preserve">invece </w:t>
      </w:r>
      <w:r w:rsidRPr="007F7EBF">
        <w:rPr>
          <w:sz w:val="22"/>
          <w:szCs w:val="22"/>
        </w:rPr>
        <w:t xml:space="preserve">uno strumento </w:t>
      </w:r>
      <w:r w:rsidR="00855EEE" w:rsidRPr="007F7EBF">
        <w:rPr>
          <w:sz w:val="22"/>
          <w:szCs w:val="22"/>
        </w:rPr>
        <w:t>sicuramente preferibil</w:t>
      </w:r>
      <w:r w:rsidRPr="007F7EBF">
        <w:rPr>
          <w:sz w:val="22"/>
          <w:szCs w:val="22"/>
        </w:rPr>
        <w:t>e</w:t>
      </w:r>
      <w:r w:rsidR="00855EEE" w:rsidRPr="007F7EBF">
        <w:rPr>
          <w:sz w:val="22"/>
          <w:szCs w:val="22"/>
        </w:rPr>
        <w:t xml:space="preserve"> all'inutile contabilità dei lavoratori indipendenti (par.3.13), </w:t>
      </w:r>
      <w:r w:rsidRPr="007F7EBF">
        <w:rPr>
          <w:sz w:val="22"/>
          <w:szCs w:val="22"/>
        </w:rPr>
        <w:t>in quanto in un</w:t>
      </w:r>
      <w:r w:rsidR="006069EC" w:rsidRPr="007F7EBF">
        <w:rPr>
          <w:sz w:val="22"/>
          <w:szCs w:val="22"/>
        </w:rPr>
        <w:t xml:space="preserve">a prima fase </w:t>
      </w:r>
      <w:r w:rsidRPr="007F7EBF">
        <w:rPr>
          <w:sz w:val="22"/>
          <w:szCs w:val="22"/>
        </w:rPr>
        <w:t xml:space="preserve">fa leva </w:t>
      </w:r>
      <w:r w:rsidR="006069EC" w:rsidRPr="007F7EBF">
        <w:rPr>
          <w:sz w:val="22"/>
          <w:szCs w:val="22"/>
        </w:rPr>
        <w:t>sui consul</w:t>
      </w:r>
      <w:r w:rsidRPr="007F7EBF">
        <w:rPr>
          <w:sz w:val="22"/>
          <w:szCs w:val="22"/>
        </w:rPr>
        <w:t>enti</w:t>
      </w:r>
      <w:r w:rsidR="005F0144">
        <w:rPr>
          <w:sz w:val="22"/>
          <w:szCs w:val="22"/>
        </w:rPr>
        <w:t xml:space="preserve"> </w:t>
      </w:r>
      <w:r w:rsidR="006069EC" w:rsidRPr="007F7EBF">
        <w:rPr>
          <w:rStyle w:val="Rimandonotaapidipagina"/>
          <w:sz w:val="22"/>
          <w:szCs w:val="22"/>
        </w:rPr>
        <w:footnoteReference w:id="655"/>
      </w:r>
      <w:r w:rsidR="006069EC" w:rsidRPr="007F7EBF">
        <w:rPr>
          <w:sz w:val="22"/>
          <w:szCs w:val="22"/>
        </w:rPr>
        <w:t xml:space="preserve">; </w:t>
      </w:r>
      <w:r w:rsidRPr="007F7EBF">
        <w:rPr>
          <w:sz w:val="22"/>
          <w:szCs w:val="22"/>
        </w:rPr>
        <w:t>nel c</w:t>
      </w:r>
      <w:r w:rsidR="00855EEE" w:rsidRPr="007F7EBF">
        <w:rPr>
          <w:sz w:val="22"/>
          <w:szCs w:val="22"/>
        </w:rPr>
        <w:t xml:space="preserve">ontrollo valutativo del territorio da parte degli uffici, di cui al par. 5.7, </w:t>
      </w:r>
      <w:r w:rsidRPr="007F7EBF">
        <w:rPr>
          <w:sz w:val="22"/>
          <w:szCs w:val="22"/>
        </w:rPr>
        <w:t xml:space="preserve">lo studio </w:t>
      </w:r>
      <w:r w:rsidR="002E048A" w:rsidRPr="007F7EBF">
        <w:rPr>
          <w:sz w:val="22"/>
          <w:szCs w:val="22"/>
        </w:rPr>
        <w:t xml:space="preserve">sarebbe </w:t>
      </w:r>
      <w:r w:rsidR="005F0144">
        <w:rPr>
          <w:sz w:val="22"/>
          <w:szCs w:val="22"/>
        </w:rPr>
        <w:t xml:space="preserve">un primo elemento per </w:t>
      </w:r>
      <w:r w:rsidRPr="007F7EBF">
        <w:rPr>
          <w:sz w:val="22"/>
          <w:szCs w:val="22"/>
        </w:rPr>
        <w:t>controlli di credibilità esteriore</w:t>
      </w:r>
      <w:r w:rsidR="005F0144">
        <w:rPr>
          <w:sz w:val="22"/>
          <w:szCs w:val="22"/>
        </w:rPr>
        <w:t xml:space="preserve">, </w:t>
      </w:r>
      <w:r w:rsidR="00AB1592">
        <w:rPr>
          <w:bCs/>
          <w:sz w:val="22"/>
          <w:szCs w:val="22"/>
        </w:rPr>
        <w:t>estimativ</w:t>
      </w:r>
      <w:r w:rsidR="005F0144">
        <w:rPr>
          <w:bCs/>
          <w:sz w:val="22"/>
          <w:szCs w:val="22"/>
        </w:rPr>
        <w:t>i</w:t>
      </w:r>
      <w:r w:rsidR="00AB1592">
        <w:rPr>
          <w:bCs/>
          <w:sz w:val="22"/>
          <w:szCs w:val="22"/>
        </w:rPr>
        <w:t>, ma consapevol</w:t>
      </w:r>
      <w:r w:rsidR="005F0144">
        <w:rPr>
          <w:bCs/>
          <w:sz w:val="22"/>
          <w:szCs w:val="22"/>
        </w:rPr>
        <w:t>i</w:t>
      </w:r>
      <w:r w:rsidR="00AB1592">
        <w:rPr>
          <w:bCs/>
          <w:sz w:val="22"/>
          <w:szCs w:val="22"/>
        </w:rPr>
        <w:t xml:space="preserve"> e ordinat</w:t>
      </w:r>
      <w:r w:rsidR="005F0144">
        <w:rPr>
          <w:bCs/>
          <w:sz w:val="22"/>
          <w:szCs w:val="22"/>
        </w:rPr>
        <w:t>i</w:t>
      </w:r>
      <w:r w:rsidR="00855EEE" w:rsidRPr="007F7EBF">
        <w:rPr>
          <w:sz w:val="22"/>
          <w:szCs w:val="22"/>
        </w:rPr>
        <w:t xml:space="preserve">. </w:t>
      </w:r>
      <w:r w:rsidR="005F0144">
        <w:rPr>
          <w:sz w:val="22"/>
          <w:szCs w:val="22"/>
        </w:rPr>
        <w:t xml:space="preserve">Senza essere </w:t>
      </w:r>
      <w:r w:rsidR="005F0144">
        <w:rPr>
          <w:sz w:val="22"/>
          <w:szCs w:val="22"/>
        </w:rPr>
        <w:lastRenderedPageBreak/>
        <w:t xml:space="preserve">risolutivi da soli, si inserirebbero nel controllo valutativo del territorio cui va riportato </w:t>
      </w:r>
      <w:r w:rsidR="00855EEE" w:rsidRPr="007F7EBF">
        <w:rPr>
          <w:sz w:val="22"/>
          <w:szCs w:val="22"/>
        </w:rPr>
        <w:t>anche l’u</w:t>
      </w:r>
      <w:r w:rsidR="005F0144">
        <w:rPr>
          <w:sz w:val="22"/>
          <w:szCs w:val="22"/>
        </w:rPr>
        <w:t xml:space="preserve">so del tenore di vita, di cui </w:t>
      </w:r>
      <w:r w:rsidR="00855EEE" w:rsidRPr="007F7EBF">
        <w:rPr>
          <w:sz w:val="22"/>
          <w:szCs w:val="22"/>
        </w:rPr>
        <w:t>al</w:t>
      </w:r>
      <w:r w:rsidRPr="007F7EBF">
        <w:rPr>
          <w:sz w:val="22"/>
          <w:szCs w:val="22"/>
        </w:rPr>
        <w:t xml:space="preserve"> </w:t>
      </w:r>
      <w:r w:rsidR="00855EEE" w:rsidRPr="007F7EBF">
        <w:rPr>
          <w:sz w:val="22"/>
          <w:szCs w:val="22"/>
        </w:rPr>
        <w:t>prossimo paragrafo.</w:t>
      </w:r>
      <w:r w:rsidR="00295780" w:rsidRPr="007F7EBF">
        <w:rPr>
          <w:sz w:val="22"/>
          <w:szCs w:val="22"/>
        </w:rPr>
        <w:t xml:space="preserve"> </w:t>
      </w:r>
    </w:p>
    <w:p w14:paraId="7CCC7A72" w14:textId="01E8379C" w:rsidR="00EC370C" w:rsidRPr="007F7EBF" w:rsidRDefault="006342C5" w:rsidP="0078178D">
      <w:pPr>
        <w:pStyle w:val="Titolo3"/>
        <w:rPr>
          <w:rFonts w:ascii="Times New Roman" w:hAnsi="Times New Roman"/>
          <w:sz w:val="22"/>
          <w:szCs w:val="22"/>
        </w:rPr>
      </w:pPr>
      <w:bookmarkStart w:id="73" w:name="_Toc63364986"/>
      <w:r w:rsidRPr="007F7EBF">
        <w:rPr>
          <w:rFonts w:ascii="Times New Roman" w:hAnsi="Times New Roman"/>
          <w:sz w:val="22"/>
          <w:szCs w:val="22"/>
        </w:rPr>
        <w:t xml:space="preserve">5.14. Tenore di vita e spesa “privata” come indizio </w:t>
      </w:r>
      <w:r w:rsidR="00305357">
        <w:rPr>
          <w:rFonts w:ascii="Times New Roman" w:hAnsi="Times New Roman"/>
          <w:sz w:val="22"/>
          <w:szCs w:val="22"/>
          <w:lang w:val="it-IT"/>
        </w:rPr>
        <w:t xml:space="preserve">imponibili </w:t>
      </w:r>
      <w:r w:rsidRPr="007F7EBF">
        <w:rPr>
          <w:rFonts w:ascii="Times New Roman" w:hAnsi="Times New Roman"/>
          <w:sz w:val="22"/>
          <w:szCs w:val="22"/>
        </w:rPr>
        <w:t>non registrat</w:t>
      </w:r>
      <w:r w:rsidR="00305357">
        <w:rPr>
          <w:rFonts w:ascii="Times New Roman" w:hAnsi="Times New Roman"/>
          <w:sz w:val="22"/>
          <w:szCs w:val="22"/>
          <w:lang w:val="it-IT"/>
        </w:rPr>
        <w:t>i</w:t>
      </w:r>
      <w:r w:rsidR="009F7A9F" w:rsidRPr="007F7EBF">
        <w:rPr>
          <w:rFonts w:ascii="Times New Roman" w:hAnsi="Times New Roman"/>
          <w:sz w:val="22"/>
          <w:szCs w:val="22"/>
        </w:rPr>
        <w:t xml:space="preserve"> </w:t>
      </w:r>
      <w:r w:rsidRPr="007F7EBF">
        <w:rPr>
          <w:rFonts w:ascii="Times New Roman" w:hAnsi="Times New Roman"/>
          <w:sz w:val="22"/>
          <w:szCs w:val="22"/>
        </w:rPr>
        <w:t>(accertamenti “sintetico-redditometrici”)</w:t>
      </w:r>
      <w:bookmarkEnd w:id="73"/>
    </w:p>
    <w:p w14:paraId="4B825D0D" w14:textId="77777777" w:rsidR="00EC370C" w:rsidRPr="007F7EBF" w:rsidRDefault="00EC370C" w:rsidP="00EC370C">
      <w:pPr>
        <w:pStyle w:val="tit23"/>
        <w:ind w:left="6464" w:right="-1361" w:firstLine="0"/>
        <w:jc w:val="left"/>
        <w:rPr>
          <w:b/>
          <w:bCs/>
          <w:i/>
          <w:iCs/>
          <w:color w:val="0000FF"/>
          <w:lang w:val="it-IT"/>
        </w:rPr>
      </w:pPr>
      <w:r w:rsidRPr="007F7EBF">
        <w:rPr>
          <w:b/>
          <w:bCs/>
          <w:i/>
          <w:iCs/>
          <w:color w:val="0000FF"/>
          <w:lang w:val="it-IT"/>
        </w:rPr>
        <w:t>Sussidiarietà della determinazione dei tributi in base al tenore di vita</w:t>
      </w:r>
    </w:p>
    <w:p w14:paraId="63389C74" w14:textId="69F00DD9" w:rsidR="0099265D" w:rsidRPr="007F7EBF" w:rsidRDefault="00AB1592" w:rsidP="00EC370C">
      <w:pPr>
        <w:autoSpaceDE w:val="0"/>
        <w:autoSpaceDN w:val="0"/>
        <w:adjustRightInd w:val="0"/>
        <w:rPr>
          <w:sz w:val="22"/>
          <w:szCs w:val="22"/>
        </w:rPr>
      </w:pPr>
      <w:r>
        <w:rPr>
          <w:sz w:val="22"/>
          <w:szCs w:val="22"/>
        </w:rPr>
        <w:t>Anche il tenore di vita, il consumo privato (par.1.8) possono essere indici indiretti della produzione di redditi, soprattutto quando è noto che il consumatore dedica la maggior parte del proprio tempo in attività economiche, ad esempio di artigianato o di piccolo commercio, non altrimenti meritevoli di impegno; lo</w:t>
      </w:r>
      <w:r w:rsidR="0099265D" w:rsidRPr="007F7EBF">
        <w:rPr>
          <w:sz w:val="22"/>
          <w:szCs w:val="22"/>
        </w:rPr>
        <w:t xml:space="preserve"> abbiamo già visto alla fine del par.1.</w:t>
      </w:r>
      <w:r>
        <w:rPr>
          <w:sz w:val="22"/>
          <w:szCs w:val="22"/>
        </w:rPr>
        <w:t>4 sulla funzione importante, per l’epoca, de</w:t>
      </w:r>
      <w:r w:rsidR="0099265D" w:rsidRPr="007F7EBF">
        <w:rPr>
          <w:sz w:val="22"/>
          <w:szCs w:val="22"/>
        </w:rPr>
        <w:t xml:space="preserve">gli antichi sistemi </w:t>
      </w:r>
      <w:r>
        <w:rPr>
          <w:sz w:val="22"/>
          <w:szCs w:val="22"/>
        </w:rPr>
        <w:t>c.d. “</w:t>
      </w:r>
      <w:r w:rsidR="0099265D" w:rsidRPr="007F7EBF">
        <w:rPr>
          <w:sz w:val="22"/>
          <w:szCs w:val="22"/>
        </w:rPr>
        <w:t>a ripartizione"</w:t>
      </w:r>
      <w:r>
        <w:rPr>
          <w:sz w:val="22"/>
          <w:szCs w:val="22"/>
        </w:rPr>
        <w:t>(</w:t>
      </w:r>
      <w:r w:rsidR="00E0303F" w:rsidRPr="007F7EBF">
        <w:rPr>
          <w:rStyle w:val="Rimandonotaapidipagina"/>
          <w:sz w:val="22"/>
          <w:szCs w:val="22"/>
        </w:rPr>
        <w:footnoteReference w:id="656"/>
      </w:r>
      <w:r>
        <w:rPr>
          <w:sz w:val="22"/>
          <w:szCs w:val="22"/>
        </w:rPr>
        <w:t>)</w:t>
      </w:r>
      <w:r w:rsidR="003F0AF5" w:rsidRPr="007F7EBF">
        <w:rPr>
          <w:sz w:val="22"/>
          <w:szCs w:val="22"/>
        </w:rPr>
        <w:t xml:space="preserve">, </w:t>
      </w:r>
      <w:r>
        <w:rPr>
          <w:sz w:val="22"/>
          <w:szCs w:val="22"/>
        </w:rPr>
        <w:t>basati su</w:t>
      </w:r>
      <w:r w:rsidR="00BF5551">
        <w:rPr>
          <w:sz w:val="22"/>
          <w:szCs w:val="22"/>
        </w:rPr>
        <w:t xml:space="preserve"> patrimonio personale e </w:t>
      </w:r>
      <w:r>
        <w:rPr>
          <w:sz w:val="22"/>
          <w:szCs w:val="22"/>
        </w:rPr>
        <w:t>t</w:t>
      </w:r>
      <w:r w:rsidR="0099265D" w:rsidRPr="007F7EBF">
        <w:rPr>
          <w:sz w:val="22"/>
          <w:szCs w:val="22"/>
        </w:rPr>
        <w:t xml:space="preserve">enore di vita. </w:t>
      </w:r>
    </w:p>
    <w:p w14:paraId="033436B7" w14:textId="2F31BA49" w:rsidR="00E17103" w:rsidRPr="007F7EBF" w:rsidRDefault="00AB1592" w:rsidP="00E17103">
      <w:pPr>
        <w:autoSpaceDE w:val="0"/>
        <w:autoSpaceDN w:val="0"/>
        <w:adjustRightInd w:val="0"/>
        <w:rPr>
          <w:sz w:val="22"/>
          <w:szCs w:val="22"/>
        </w:rPr>
      </w:pPr>
      <w:r>
        <w:rPr>
          <w:sz w:val="22"/>
          <w:szCs w:val="22"/>
        </w:rPr>
        <w:t>Quest’ultimo è stato abbandonato non solo per lo sfilacciarsi delle comunità e delle relazioni di vicinato su cui si basava, ma anche perché molto più complesso rispetto alla determinazione dell’imponibile “alla produzione”</w:t>
      </w:r>
      <w:r w:rsidR="00145BB0">
        <w:rPr>
          <w:sz w:val="22"/>
          <w:szCs w:val="22"/>
        </w:rPr>
        <w:t xml:space="preserve">; un operatore economico </w:t>
      </w:r>
      <w:r w:rsidR="0099265D" w:rsidRPr="007F7EBF">
        <w:rPr>
          <w:bCs/>
          <w:sz w:val="22"/>
          <w:szCs w:val="22"/>
        </w:rPr>
        <w:t>guadagna in un modo soltanto</w:t>
      </w:r>
      <w:r w:rsidR="0099265D" w:rsidRPr="007F7EBF">
        <w:rPr>
          <w:sz w:val="22"/>
          <w:szCs w:val="22"/>
        </w:rPr>
        <w:t xml:space="preserve">, o al massimo due, mentre si </w:t>
      </w:r>
      <w:r w:rsidR="0099265D" w:rsidRPr="007F7EBF">
        <w:rPr>
          <w:bCs/>
          <w:sz w:val="22"/>
          <w:szCs w:val="22"/>
        </w:rPr>
        <w:t xml:space="preserve">spende </w:t>
      </w:r>
      <w:r w:rsidR="0099265D" w:rsidRPr="007F7EBF">
        <w:rPr>
          <w:sz w:val="22"/>
          <w:szCs w:val="22"/>
        </w:rPr>
        <w:t xml:space="preserve">in tanti </w:t>
      </w:r>
      <w:r w:rsidR="0099265D" w:rsidRPr="007F7EBF">
        <w:rPr>
          <w:bCs/>
          <w:sz w:val="22"/>
          <w:szCs w:val="22"/>
        </w:rPr>
        <w:t>modi divers</w:t>
      </w:r>
      <w:r w:rsidR="0099265D" w:rsidRPr="007F7EBF">
        <w:rPr>
          <w:sz w:val="22"/>
          <w:szCs w:val="22"/>
        </w:rPr>
        <w:t xml:space="preserve">i, </w:t>
      </w:r>
      <w:r w:rsidR="00145BB0">
        <w:rPr>
          <w:sz w:val="22"/>
          <w:szCs w:val="22"/>
        </w:rPr>
        <w:t>e quindi stimare le astrazioni economiche connesse all’attività i</w:t>
      </w:r>
      <w:r w:rsidR="0099265D" w:rsidRPr="007F7EBF">
        <w:rPr>
          <w:sz w:val="22"/>
          <w:szCs w:val="22"/>
        </w:rPr>
        <w:t>n base al tenore di vita è un</w:t>
      </w:r>
      <w:r w:rsidR="00145BB0">
        <w:rPr>
          <w:sz w:val="22"/>
          <w:szCs w:val="22"/>
        </w:rPr>
        <w:t xml:space="preserve">a soluzione di </w:t>
      </w:r>
      <w:r w:rsidR="0099265D" w:rsidRPr="007F7EBF">
        <w:rPr>
          <w:sz w:val="22"/>
          <w:szCs w:val="22"/>
        </w:rPr>
        <w:t>ripiego</w:t>
      </w:r>
      <w:r w:rsidR="00145BB0">
        <w:rPr>
          <w:sz w:val="22"/>
          <w:szCs w:val="22"/>
        </w:rPr>
        <w:t>; essa può tuttavia avere una sua</w:t>
      </w:r>
      <w:r w:rsidR="0099265D" w:rsidRPr="007F7EBF">
        <w:rPr>
          <w:sz w:val="22"/>
          <w:szCs w:val="22"/>
        </w:rPr>
        <w:t xml:space="preserve"> util</w:t>
      </w:r>
      <w:r w:rsidR="00145BB0">
        <w:rPr>
          <w:sz w:val="22"/>
          <w:szCs w:val="22"/>
        </w:rPr>
        <w:t>ità quando le informazioni sull’attività produttiva sono modeste o equivoche</w:t>
      </w:r>
      <w:r w:rsidR="0099265D" w:rsidRPr="007F7EBF">
        <w:rPr>
          <w:sz w:val="22"/>
          <w:szCs w:val="22"/>
        </w:rPr>
        <w:t xml:space="preserve">. </w:t>
      </w:r>
    </w:p>
    <w:p w14:paraId="0523B186" w14:textId="127C20FD" w:rsidR="00E17103" w:rsidRPr="007F7EBF" w:rsidRDefault="00145BB0" w:rsidP="00E17103">
      <w:pPr>
        <w:pStyle w:val="tit23"/>
        <w:ind w:left="6464" w:right="-1361" w:firstLine="0"/>
        <w:jc w:val="left"/>
        <w:rPr>
          <w:bCs/>
          <w:i/>
          <w:iCs/>
          <w:color w:val="0000FF"/>
          <w:lang w:val="it-IT"/>
        </w:rPr>
      </w:pPr>
      <w:r>
        <w:rPr>
          <w:bCs/>
          <w:i/>
          <w:iCs/>
          <w:color w:val="0000FF"/>
          <w:lang w:val="it-IT"/>
        </w:rPr>
        <w:t xml:space="preserve">Accertamento sintetico </w:t>
      </w:r>
      <w:proofErr w:type="spellStart"/>
      <w:r>
        <w:rPr>
          <w:bCs/>
          <w:i/>
          <w:iCs/>
          <w:color w:val="0000FF"/>
          <w:lang w:val="it-IT"/>
        </w:rPr>
        <w:t>e</w:t>
      </w:r>
      <w:r w:rsidR="00E17103" w:rsidRPr="007F7EBF">
        <w:rPr>
          <w:bCs/>
          <w:i/>
          <w:iCs/>
          <w:color w:val="0000FF"/>
          <w:lang w:val="it-IT"/>
        </w:rPr>
        <w:t>“redditometr</w:t>
      </w:r>
      <w:r>
        <w:rPr>
          <w:bCs/>
          <w:i/>
          <w:iCs/>
          <w:color w:val="0000FF"/>
          <w:lang w:val="it-IT"/>
        </w:rPr>
        <w:t>o</w:t>
      </w:r>
      <w:proofErr w:type="spellEnd"/>
      <w:r w:rsidR="00E17103" w:rsidRPr="007F7EBF">
        <w:rPr>
          <w:bCs/>
          <w:i/>
          <w:iCs/>
          <w:color w:val="0000FF"/>
          <w:lang w:val="it-IT"/>
        </w:rPr>
        <w:t>”</w:t>
      </w:r>
    </w:p>
    <w:p w14:paraId="71AC9B17" w14:textId="02910112" w:rsidR="006D287F" w:rsidRPr="007F7EBF" w:rsidRDefault="00145BB0" w:rsidP="006D287F">
      <w:pPr>
        <w:autoSpaceDE w:val="0"/>
        <w:autoSpaceDN w:val="0"/>
        <w:adjustRightInd w:val="0"/>
        <w:rPr>
          <w:sz w:val="22"/>
          <w:szCs w:val="22"/>
        </w:rPr>
      </w:pPr>
      <w:r>
        <w:rPr>
          <w:sz w:val="22"/>
          <w:szCs w:val="22"/>
        </w:rPr>
        <w:t>Questa utilizzazione congiunta e sinergica di informazioni sull’attività e sul tenore di vita fu trascurata dalla riforma fiscale de</w:t>
      </w:r>
      <w:r w:rsidRPr="007F7EBF">
        <w:rPr>
          <w:sz w:val="22"/>
          <w:szCs w:val="22"/>
        </w:rPr>
        <w:t>l 1973</w:t>
      </w:r>
      <w:r>
        <w:rPr>
          <w:sz w:val="22"/>
          <w:szCs w:val="22"/>
        </w:rPr>
        <w:t>(</w:t>
      </w:r>
      <w:r>
        <w:rPr>
          <w:rStyle w:val="Rimandonotaapidipagina"/>
          <w:sz w:val="22"/>
          <w:szCs w:val="22"/>
        </w:rPr>
        <w:footnoteReference w:id="657"/>
      </w:r>
      <w:r>
        <w:rPr>
          <w:sz w:val="22"/>
          <w:szCs w:val="22"/>
        </w:rPr>
        <w:t>) , dando rilevanza</w:t>
      </w:r>
      <w:r w:rsidR="000721C5">
        <w:rPr>
          <w:sz w:val="22"/>
          <w:szCs w:val="22"/>
        </w:rPr>
        <w:t>, per il c.d. “accertamento sintetico”(</w:t>
      </w:r>
      <w:r w:rsidR="000721C5">
        <w:rPr>
          <w:rStyle w:val="Rimandonotaapidipagina"/>
          <w:sz w:val="22"/>
          <w:szCs w:val="22"/>
        </w:rPr>
        <w:footnoteReference w:id="658"/>
      </w:r>
      <w:r w:rsidR="000721C5">
        <w:rPr>
          <w:sz w:val="22"/>
          <w:szCs w:val="22"/>
        </w:rPr>
        <w:t>)</w:t>
      </w:r>
      <w:r w:rsidRPr="007F7EBF">
        <w:rPr>
          <w:sz w:val="22"/>
          <w:szCs w:val="22"/>
        </w:rPr>
        <w:t xml:space="preserve"> </w:t>
      </w:r>
      <w:r>
        <w:rPr>
          <w:sz w:val="22"/>
          <w:szCs w:val="22"/>
        </w:rPr>
        <w:t xml:space="preserve">ad alcuni indici di </w:t>
      </w:r>
      <w:r>
        <w:rPr>
          <w:sz w:val="22"/>
          <w:szCs w:val="22"/>
        </w:rPr>
        <w:lastRenderedPageBreak/>
        <w:t xml:space="preserve">spesa, “ad </w:t>
      </w:r>
      <w:r w:rsidRPr="007F7EBF">
        <w:rPr>
          <w:sz w:val="22"/>
          <w:szCs w:val="22"/>
        </w:rPr>
        <w:t>alta visibilità”</w:t>
      </w:r>
      <w:r w:rsidR="000721C5">
        <w:rPr>
          <w:sz w:val="22"/>
          <w:szCs w:val="22"/>
        </w:rPr>
        <w:t xml:space="preserve">. Si trattava di spese </w:t>
      </w:r>
      <w:r w:rsidRPr="007F7EBF">
        <w:rPr>
          <w:sz w:val="22"/>
          <w:szCs w:val="22"/>
        </w:rPr>
        <w:t xml:space="preserve">come il mantenimento di autovetture, di residenze secondarie, di imbarcazioni da diporto, investimenti patrimoniali, come la sottoscrizione di capitale societario o l’acquisto di beni di valore. </w:t>
      </w:r>
      <w:r w:rsidR="006342C5" w:rsidRPr="007F7EBF">
        <w:rPr>
          <w:sz w:val="22"/>
          <w:szCs w:val="22"/>
        </w:rPr>
        <w:t>Regolamenti applicativi innestavano quindi su</w:t>
      </w:r>
      <w:r w:rsidR="000721C5">
        <w:rPr>
          <w:sz w:val="22"/>
          <w:szCs w:val="22"/>
        </w:rPr>
        <w:t xml:space="preserve"> tali</w:t>
      </w:r>
      <w:r w:rsidR="006342C5" w:rsidRPr="007F7EBF">
        <w:rPr>
          <w:sz w:val="22"/>
          <w:szCs w:val="22"/>
        </w:rPr>
        <w:t xml:space="preserve"> spese “visibili” indicate sopra,</w:t>
      </w:r>
      <w:r w:rsidR="000811F4" w:rsidRPr="007F7EBF">
        <w:rPr>
          <w:sz w:val="22"/>
          <w:szCs w:val="22"/>
        </w:rPr>
        <w:t xml:space="preserve"> </w:t>
      </w:r>
      <w:r w:rsidR="000721C5">
        <w:rPr>
          <w:sz w:val="22"/>
          <w:szCs w:val="22"/>
        </w:rPr>
        <w:t xml:space="preserve">ulteriori somme per </w:t>
      </w:r>
      <w:r w:rsidR="006342C5" w:rsidRPr="007F7EBF">
        <w:rPr>
          <w:sz w:val="22"/>
          <w:szCs w:val="22"/>
        </w:rPr>
        <w:t xml:space="preserve">esprimere le spese ulteriori di </w:t>
      </w:r>
      <w:r w:rsidR="000721C5">
        <w:rPr>
          <w:sz w:val="22"/>
          <w:szCs w:val="22"/>
        </w:rPr>
        <w:t xml:space="preserve">sopravvivenza </w:t>
      </w:r>
      <w:r w:rsidR="006342C5" w:rsidRPr="007F7EBF">
        <w:rPr>
          <w:sz w:val="22"/>
          <w:szCs w:val="22"/>
        </w:rPr>
        <w:t>non rilevabili specificamente, come</w:t>
      </w:r>
      <w:r>
        <w:rPr>
          <w:sz w:val="22"/>
          <w:szCs w:val="22"/>
        </w:rPr>
        <w:t xml:space="preserve"> </w:t>
      </w:r>
      <w:r w:rsidR="006342C5" w:rsidRPr="007F7EBF">
        <w:rPr>
          <w:sz w:val="22"/>
          <w:szCs w:val="22"/>
        </w:rPr>
        <w:t>alimentazione, vestiario, etc.</w:t>
      </w:r>
      <w:r w:rsidR="000721C5">
        <w:rPr>
          <w:sz w:val="22"/>
          <w:szCs w:val="22"/>
        </w:rPr>
        <w:t xml:space="preserve"> </w:t>
      </w:r>
      <w:r>
        <w:rPr>
          <w:sz w:val="22"/>
          <w:szCs w:val="22"/>
        </w:rPr>
        <w:t xml:space="preserve">Per evitare stime personalizzate, estranee alla mentalità </w:t>
      </w:r>
      <w:proofErr w:type="spellStart"/>
      <w:r>
        <w:rPr>
          <w:sz w:val="22"/>
          <w:szCs w:val="22"/>
        </w:rPr>
        <w:t>contabilistica</w:t>
      </w:r>
      <w:proofErr w:type="spellEnd"/>
      <w:r w:rsidR="000721C5">
        <w:rPr>
          <w:sz w:val="22"/>
          <w:szCs w:val="22"/>
        </w:rPr>
        <w:t xml:space="preserve">, </w:t>
      </w:r>
      <w:r>
        <w:rPr>
          <w:sz w:val="22"/>
          <w:szCs w:val="22"/>
        </w:rPr>
        <w:t>della riforma del 1973</w:t>
      </w:r>
      <w:r w:rsidR="00CB1169">
        <w:rPr>
          <w:sz w:val="22"/>
          <w:szCs w:val="22"/>
        </w:rPr>
        <w:t xml:space="preserve"> (</w:t>
      </w:r>
      <w:r w:rsidR="00CB1169">
        <w:rPr>
          <w:rStyle w:val="Rimandonotaapidipagina"/>
          <w:sz w:val="22"/>
          <w:szCs w:val="22"/>
        </w:rPr>
        <w:footnoteReference w:id="659"/>
      </w:r>
      <w:r w:rsidR="00CB1169">
        <w:rPr>
          <w:sz w:val="22"/>
          <w:szCs w:val="22"/>
        </w:rPr>
        <w:t>)</w:t>
      </w:r>
      <w:r>
        <w:rPr>
          <w:sz w:val="22"/>
          <w:szCs w:val="22"/>
        </w:rPr>
        <w:t xml:space="preserve">, </w:t>
      </w:r>
      <w:r w:rsidR="000721C5">
        <w:rPr>
          <w:sz w:val="22"/>
          <w:szCs w:val="22"/>
        </w:rPr>
        <w:t xml:space="preserve">fu tentata una </w:t>
      </w:r>
      <w:r w:rsidR="00E17103" w:rsidRPr="007F7EBF">
        <w:rPr>
          <w:sz w:val="22"/>
          <w:szCs w:val="22"/>
        </w:rPr>
        <w:t xml:space="preserve"> predeterminazione automatico-statistica, denominata “redditometro”</w:t>
      </w:r>
      <w:r w:rsidR="00BF5551">
        <w:rPr>
          <w:sz w:val="22"/>
          <w:szCs w:val="22"/>
        </w:rPr>
        <w:t>. L’istituto comunque non ebbe mai applicazione sistematica, socialmente percepibile, in modo da influenzare i comportamenti di massa su adempimento ed evasione (par.5.7).</w:t>
      </w:r>
    </w:p>
    <w:p w14:paraId="05C6C529" w14:textId="77777777" w:rsidR="006D287F" w:rsidRPr="007F7EBF" w:rsidRDefault="006D287F" w:rsidP="006D287F">
      <w:pPr>
        <w:pStyle w:val="tit23"/>
        <w:ind w:left="6464" w:right="-1361" w:firstLine="0"/>
        <w:jc w:val="left"/>
        <w:rPr>
          <w:bCs/>
          <w:i/>
          <w:iCs/>
          <w:color w:val="0000FF"/>
          <w:lang w:val="it-IT"/>
        </w:rPr>
      </w:pPr>
      <w:r w:rsidRPr="007F7EBF">
        <w:rPr>
          <w:bCs/>
          <w:i/>
          <w:iCs/>
          <w:color w:val="0000FF"/>
          <w:lang w:val="it-IT"/>
        </w:rPr>
        <w:t xml:space="preserve">Il finanziamento con somme fiscalmente irrilevanti         </w:t>
      </w:r>
    </w:p>
    <w:p w14:paraId="3586567D" w14:textId="68BD49D4" w:rsidR="006D287F" w:rsidRPr="007F7EBF" w:rsidRDefault="006D287F" w:rsidP="006D287F">
      <w:pPr>
        <w:autoSpaceDE w:val="0"/>
        <w:autoSpaceDN w:val="0"/>
        <w:adjustRightInd w:val="0"/>
        <w:rPr>
          <w:bCs/>
          <w:i/>
          <w:iCs/>
          <w:color w:val="0000FF"/>
          <w:sz w:val="22"/>
          <w:szCs w:val="22"/>
        </w:rPr>
      </w:pPr>
      <w:r>
        <w:rPr>
          <w:sz w:val="22"/>
          <w:szCs w:val="22"/>
        </w:rPr>
        <w:t>Il contribuente poteva però ovviamente dimostr</w:t>
      </w:r>
      <w:r w:rsidRPr="007F7EBF">
        <w:rPr>
          <w:sz w:val="22"/>
          <w:szCs w:val="22"/>
        </w:rPr>
        <w:t xml:space="preserve">are </w:t>
      </w:r>
      <w:r>
        <w:rPr>
          <w:sz w:val="22"/>
          <w:szCs w:val="22"/>
        </w:rPr>
        <w:t>il</w:t>
      </w:r>
      <w:r w:rsidRPr="007F7EBF">
        <w:rPr>
          <w:bCs/>
          <w:sz w:val="22"/>
          <w:szCs w:val="22"/>
        </w:rPr>
        <w:t xml:space="preserve"> finanziamento delle spese </w:t>
      </w:r>
      <w:r w:rsidRPr="007F7EBF">
        <w:rPr>
          <w:sz w:val="22"/>
          <w:szCs w:val="22"/>
        </w:rPr>
        <w:t xml:space="preserve">con somme </w:t>
      </w:r>
      <w:r w:rsidRPr="007F7EBF">
        <w:rPr>
          <w:bCs/>
          <w:sz w:val="22"/>
          <w:szCs w:val="22"/>
        </w:rPr>
        <w:t>non costituenti reddito imponibile</w:t>
      </w:r>
      <w:r w:rsidRPr="007F7EBF">
        <w:rPr>
          <w:sz w:val="22"/>
          <w:szCs w:val="22"/>
        </w:rPr>
        <w:t>, prima di tutto per erogazioni di altri soggetti, come genitori o coniugi, o redditi esenti o soggetti a imposta sostitutiva, smobilizzi patrimoniali</w:t>
      </w:r>
      <w:r>
        <w:rPr>
          <w:sz w:val="22"/>
          <w:szCs w:val="22"/>
        </w:rPr>
        <w:t xml:space="preserve">, </w:t>
      </w:r>
      <w:r w:rsidRPr="007F7EBF">
        <w:rPr>
          <w:sz w:val="22"/>
          <w:szCs w:val="22"/>
        </w:rPr>
        <w:t>erogazioni liberali da genitori o coniugi (</w:t>
      </w:r>
      <w:r w:rsidRPr="007F7EBF">
        <w:rPr>
          <w:rStyle w:val="Rimandonotaapidipagina"/>
          <w:sz w:val="22"/>
          <w:szCs w:val="22"/>
        </w:rPr>
        <w:footnoteReference w:id="660"/>
      </w:r>
      <w:r w:rsidRPr="007F7EBF">
        <w:rPr>
          <w:sz w:val="22"/>
          <w:szCs w:val="22"/>
        </w:rPr>
        <w:t>)</w:t>
      </w:r>
      <w:r>
        <w:rPr>
          <w:sz w:val="22"/>
          <w:szCs w:val="22"/>
        </w:rPr>
        <w:t xml:space="preserve"> </w:t>
      </w:r>
      <w:r w:rsidRPr="007F7EBF">
        <w:rPr>
          <w:sz w:val="22"/>
          <w:szCs w:val="22"/>
        </w:rPr>
        <w:t xml:space="preserve">o prestiti. </w:t>
      </w:r>
      <w:r>
        <w:rPr>
          <w:sz w:val="22"/>
          <w:szCs w:val="22"/>
        </w:rPr>
        <w:t xml:space="preserve">Anche la prova di </w:t>
      </w:r>
      <w:r w:rsidRPr="007F7EBF">
        <w:rPr>
          <w:sz w:val="22"/>
          <w:szCs w:val="22"/>
        </w:rPr>
        <w:t>queste forme “alternative” di finanziamento</w:t>
      </w:r>
      <w:r>
        <w:rPr>
          <w:sz w:val="22"/>
          <w:szCs w:val="22"/>
        </w:rPr>
        <w:t xml:space="preserve">, oltre che quella delle spese, comporta </w:t>
      </w:r>
      <w:r w:rsidRPr="007F7EBF">
        <w:rPr>
          <w:sz w:val="22"/>
          <w:szCs w:val="22"/>
        </w:rPr>
        <w:t>notevoli dispersioni di tempo per uffici e contribuenti</w:t>
      </w:r>
      <w:r w:rsidRPr="007F7EBF">
        <w:rPr>
          <w:rStyle w:val="Rimandonotaapidipagina"/>
          <w:sz w:val="22"/>
          <w:szCs w:val="22"/>
        </w:rPr>
        <w:footnoteReference w:id="661"/>
      </w:r>
      <w:r w:rsidRPr="007F7EBF">
        <w:rPr>
          <w:sz w:val="22"/>
          <w:szCs w:val="22"/>
        </w:rPr>
        <w:t>.</w:t>
      </w:r>
    </w:p>
    <w:p w14:paraId="492C7403" w14:textId="0FE2C0C5" w:rsidR="00E17103" w:rsidRPr="00145BB0" w:rsidRDefault="006D287F" w:rsidP="00E17103">
      <w:pPr>
        <w:autoSpaceDE w:val="0"/>
        <w:autoSpaceDN w:val="0"/>
        <w:adjustRightInd w:val="0"/>
        <w:rPr>
          <w:sz w:val="22"/>
          <w:szCs w:val="22"/>
        </w:rPr>
      </w:pPr>
      <w:r>
        <w:rPr>
          <w:sz w:val="22"/>
          <w:szCs w:val="22"/>
        </w:rPr>
        <w:t>Anche questa macchinosità conferma che i</w:t>
      </w:r>
      <w:r w:rsidRPr="007F7EBF">
        <w:rPr>
          <w:sz w:val="22"/>
          <w:szCs w:val="22"/>
        </w:rPr>
        <w:t xml:space="preserve">l tenore di vita non è quindi "centrale" </w:t>
      </w:r>
      <w:r w:rsidR="00513D29">
        <w:rPr>
          <w:sz w:val="22"/>
          <w:szCs w:val="22"/>
        </w:rPr>
        <w:t>da solo nella funzione tributaria</w:t>
      </w:r>
      <w:r w:rsidRPr="007F7EBF">
        <w:rPr>
          <w:sz w:val="22"/>
          <w:szCs w:val="22"/>
        </w:rPr>
        <w:t>, ma può aiutare in molte situazioni</w:t>
      </w:r>
      <w:r w:rsidRPr="007F7EBF">
        <w:rPr>
          <w:rStyle w:val="Rimandonotaapidipagina"/>
          <w:sz w:val="22"/>
          <w:szCs w:val="22"/>
        </w:rPr>
        <w:footnoteReference w:id="662"/>
      </w:r>
      <w:r w:rsidRPr="007F7EBF">
        <w:rPr>
          <w:sz w:val="22"/>
          <w:szCs w:val="22"/>
        </w:rPr>
        <w:t xml:space="preserve">, come quelle di cui al paragrafo successivo. </w:t>
      </w:r>
    </w:p>
    <w:p w14:paraId="496B6AB6" w14:textId="77777777" w:rsidR="00E17103" w:rsidRPr="007F7EBF" w:rsidRDefault="00E17103" w:rsidP="00E17103">
      <w:pPr>
        <w:pStyle w:val="tit23"/>
        <w:ind w:left="6464" w:right="-1361" w:firstLine="0"/>
        <w:jc w:val="left"/>
        <w:rPr>
          <w:bCs/>
          <w:i/>
          <w:iCs/>
          <w:color w:val="0000FF"/>
          <w:lang w:val="it-IT"/>
        </w:rPr>
      </w:pPr>
      <w:r w:rsidRPr="007F7EBF">
        <w:rPr>
          <w:bCs/>
          <w:i/>
          <w:iCs/>
          <w:color w:val="0000FF"/>
          <w:lang w:val="it-IT"/>
        </w:rPr>
        <w:t>Tenore di vita come diversivo</w:t>
      </w:r>
      <w:r w:rsidR="00265C46" w:rsidRPr="007F7EBF">
        <w:rPr>
          <w:bCs/>
          <w:i/>
          <w:iCs/>
          <w:color w:val="0000FF"/>
          <w:lang w:val="it-IT"/>
        </w:rPr>
        <w:t xml:space="preserve"> politico mediatico</w:t>
      </w:r>
    </w:p>
    <w:p w14:paraId="5FEC5F6B" w14:textId="741424F4" w:rsidR="00A73949" w:rsidRPr="007F7EBF" w:rsidRDefault="003F0AF5" w:rsidP="00A73949">
      <w:pPr>
        <w:autoSpaceDE w:val="0"/>
        <w:autoSpaceDN w:val="0"/>
        <w:adjustRightInd w:val="0"/>
        <w:rPr>
          <w:sz w:val="22"/>
          <w:szCs w:val="22"/>
        </w:rPr>
      </w:pPr>
      <w:r w:rsidRPr="007F7EBF">
        <w:rPr>
          <w:bCs/>
          <w:sz w:val="22"/>
          <w:szCs w:val="22"/>
        </w:rPr>
        <w:lastRenderedPageBreak/>
        <w:t xml:space="preserve">Anche l’accertamento sintetico ha svolto, come gli studi di settore, una funzione di “immagine politica” davanti al problema dell’evasione fiscale; tuttavia è stato un </w:t>
      </w:r>
      <w:r w:rsidR="00DF0DFA" w:rsidRPr="007F7EBF">
        <w:rPr>
          <w:bCs/>
          <w:sz w:val="22"/>
          <w:szCs w:val="22"/>
        </w:rPr>
        <w:t>d</w:t>
      </w:r>
      <w:r w:rsidR="006342C5" w:rsidRPr="007F7EBF">
        <w:rPr>
          <w:bCs/>
          <w:sz w:val="22"/>
          <w:szCs w:val="22"/>
        </w:rPr>
        <w:t>iversivo</w:t>
      </w:r>
      <w:r w:rsidR="00124082" w:rsidRPr="007F7EBF">
        <w:rPr>
          <w:bCs/>
          <w:sz w:val="22"/>
          <w:szCs w:val="22"/>
        </w:rPr>
        <w:t xml:space="preserve"> </w:t>
      </w:r>
      <w:r w:rsidRPr="007F7EBF">
        <w:rPr>
          <w:bCs/>
          <w:sz w:val="22"/>
          <w:szCs w:val="22"/>
        </w:rPr>
        <w:t xml:space="preserve">peggiore degli studi di settore, in quanto questi ultimi erano più vicini, con tutti i loro </w:t>
      </w:r>
      <w:r w:rsidR="00732899">
        <w:rPr>
          <w:bCs/>
          <w:sz w:val="22"/>
          <w:szCs w:val="22"/>
        </w:rPr>
        <w:t xml:space="preserve">già indicati </w:t>
      </w:r>
      <w:r w:rsidRPr="007F7EBF">
        <w:rPr>
          <w:bCs/>
          <w:sz w:val="22"/>
          <w:szCs w:val="22"/>
        </w:rPr>
        <w:t>difetti, alla determinazione della ricchezza</w:t>
      </w:r>
      <w:r w:rsidR="00732899">
        <w:rPr>
          <w:bCs/>
          <w:sz w:val="22"/>
          <w:szCs w:val="22"/>
        </w:rPr>
        <w:t>, più efficiente alla produzione che al consumo, come già rilevato</w:t>
      </w:r>
      <w:r w:rsidRPr="007F7EBF">
        <w:rPr>
          <w:bCs/>
          <w:sz w:val="22"/>
          <w:szCs w:val="22"/>
        </w:rPr>
        <w:t xml:space="preserve">. Il riferimento al tenore di vita è invece più una risposta politica </w:t>
      </w:r>
      <w:r w:rsidR="006342C5" w:rsidRPr="007F7EBF">
        <w:rPr>
          <w:sz w:val="22"/>
          <w:szCs w:val="22"/>
        </w:rPr>
        <w:t xml:space="preserve">alle </w:t>
      </w:r>
      <w:r w:rsidR="00B4139C" w:rsidRPr="007F7EBF">
        <w:rPr>
          <w:sz w:val="22"/>
          <w:szCs w:val="22"/>
        </w:rPr>
        <w:t>l</w:t>
      </w:r>
      <w:r w:rsidRPr="007F7EBF">
        <w:rPr>
          <w:sz w:val="22"/>
          <w:szCs w:val="22"/>
        </w:rPr>
        <w:t>acerazioni</w:t>
      </w:r>
      <w:r w:rsidR="006342C5" w:rsidRPr="007F7EBF">
        <w:rPr>
          <w:sz w:val="22"/>
          <w:szCs w:val="22"/>
        </w:rPr>
        <w:t xml:space="preserve"> </w:t>
      </w:r>
      <w:r w:rsidR="00732899">
        <w:rPr>
          <w:sz w:val="22"/>
          <w:szCs w:val="22"/>
        </w:rPr>
        <w:t>sociali tra titolari di imponibili diversamente determinabili.</w:t>
      </w:r>
      <w:r w:rsidR="00DF0DFA" w:rsidRPr="007F7EBF">
        <w:rPr>
          <w:sz w:val="22"/>
          <w:szCs w:val="22"/>
        </w:rPr>
        <w:t xml:space="preserve"> </w:t>
      </w:r>
      <w:r w:rsidR="00732899">
        <w:rPr>
          <w:sz w:val="22"/>
          <w:szCs w:val="22"/>
        </w:rPr>
        <w:t>L’accertamento sintetico era politicamente utile a sfumare le d</w:t>
      </w:r>
      <w:r w:rsidR="006342C5" w:rsidRPr="007F7EBF">
        <w:rPr>
          <w:sz w:val="22"/>
          <w:szCs w:val="22"/>
        </w:rPr>
        <w:t>ifferenze</w:t>
      </w:r>
      <w:r w:rsidR="00732899">
        <w:rPr>
          <w:sz w:val="22"/>
          <w:szCs w:val="22"/>
        </w:rPr>
        <w:t xml:space="preserve"> di determinabilità degli </w:t>
      </w:r>
      <w:r w:rsidR="00265C46" w:rsidRPr="007F7EBF">
        <w:rPr>
          <w:sz w:val="22"/>
          <w:szCs w:val="22"/>
        </w:rPr>
        <w:t>imponibili,</w:t>
      </w:r>
      <w:r w:rsidR="006342C5" w:rsidRPr="007F7EBF">
        <w:rPr>
          <w:sz w:val="22"/>
          <w:szCs w:val="22"/>
        </w:rPr>
        <w:t xml:space="preserve"> tra piccoli commercianti, artigiani, dipendenti e</w:t>
      </w:r>
      <w:r w:rsidR="00B4139C" w:rsidRPr="007F7EBF">
        <w:rPr>
          <w:sz w:val="22"/>
          <w:szCs w:val="22"/>
        </w:rPr>
        <w:t xml:space="preserve"> </w:t>
      </w:r>
      <w:r w:rsidR="00265C46" w:rsidRPr="007F7EBF">
        <w:rPr>
          <w:sz w:val="22"/>
          <w:szCs w:val="22"/>
        </w:rPr>
        <w:t>professionisti;</w:t>
      </w:r>
      <w:r w:rsidRPr="007F7EBF">
        <w:rPr>
          <w:sz w:val="22"/>
          <w:szCs w:val="22"/>
        </w:rPr>
        <w:t xml:space="preserve"> tutti hanno infatti un "tenore di vita" e</w:t>
      </w:r>
      <w:r w:rsidR="00732899">
        <w:rPr>
          <w:sz w:val="22"/>
          <w:szCs w:val="22"/>
        </w:rPr>
        <w:t xml:space="preserve"> farvi riferimento attenuava, </w:t>
      </w:r>
      <w:r w:rsidRPr="007F7EBF">
        <w:rPr>
          <w:sz w:val="22"/>
          <w:szCs w:val="22"/>
        </w:rPr>
        <w:t xml:space="preserve">sul piano della comunicazione sociale </w:t>
      </w:r>
      <w:r w:rsidR="00732899">
        <w:rPr>
          <w:sz w:val="22"/>
          <w:szCs w:val="22"/>
        </w:rPr>
        <w:t>sull’evasione, le differenze tra le categorie suddette</w:t>
      </w:r>
      <w:r w:rsidR="00A73949" w:rsidRPr="007F7EBF">
        <w:rPr>
          <w:sz w:val="22"/>
          <w:szCs w:val="22"/>
        </w:rPr>
        <w:t xml:space="preserve">. </w:t>
      </w:r>
      <w:r w:rsidR="00732899">
        <w:rPr>
          <w:sz w:val="22"/>
          <w:szCs w:val="22"/>
        </w:rPr>
        <w:t>T</w:t>
      </w:r>
      <w:r w:rsidR="006342C5" w:rsidRPr="007F7EBF">
        <w:rPr>
          <w:sz w:val="22"/>
          <w:szCs w:val="22"/>
        </w:rPr>
        <w:t xml:space="preserve">utti </w:t>
      </w:r>
      <w:r w:rsidR="00265C46" w:rsidRPr="007F7EBF">
        <w:rPr>
          <w:sz w:val="22"/>
          <w:szCs w:val="22"/>
        </w:rPr>
        <w:t xml:space="preserve">sono </w:t>
      </w:r>
      <w:r w:rsidR="00732899">
        <w:rPr>
          <w:sz w:val="22"/>
          <w:szCs w:val="22"/>
        </w:rPr>
        <w:t xml:space="preserve">infatti </w:t>
      </w:r>
      <w:r w:rsidR="006342C5" w:rsidRPr="007F7EBF">
        <w:rPr>
          <w:sz w:val="22"/>
          <w:szCs w:val="22"/>
        </w:rPr>
        <w:t>uguali davanti alla spesa, e alle sue conseguenze sul piano</w:t>
      </w:r>
      <w:r w:rsidR="00B4139C" w:rsidRPr="007F7EBF">
        <w:rPr>
          <w:sz w:val="22"/>
          <w:szCs w:val="22"/>
        </w:rPr>
        <w:t xml:space="preserve"> </w:t>
      </w:r>
      <w:r w:rsidR="00265C46" w:rsidRPr="007F7EBF">
        <w:rPr>
          <w:sz w:val="22"/>
          <w:szCs w:val="22"/>
        </w:rPr>
        <w:t>dell'accertamento tributario</w:t>
      </w:r>
      <w:r w:rsidR="00DF0DFA" w:rsidRPr="007F7EBF">
        <w:rPr>
          <w:sz w:val="22"/>
          <w:szCs w:val="22"/>
        </w:rPr>
        <w:t xml:space="preserve">; inoltre </w:t>
      </w:r>
      <w:r w:rsidR="006342C5" w:rsidRPr="007F7EBF">
        <w:rPr>
          <w:sz w:val="22"/>
          <w:szCs w:val="22"/>
        </w:rPr>
        <w:t>le categorie produttive sono molto</w:t>
      </w:r>
      <w:r w:rsidR="00B4139C" w:rsidRPr="007F7EBF">
        <w:rPr>
          <w:sz w:val="22"/>
          <w:szCs w:val="22"/>
        </w:rPr>
        <w:t xml:space="preserve"> </w:t>
      </w:r>
      <w:r w:rsidR="00732899">
        <w:rPr>
          <w:sz w:val="22"/>
          <w:szCs w:val="22"/>
        </w:rPr>
        <w:t>più</w:t>
      </w:r>
      <w:r w:rsidR="006342C5" w:rsidRPr="007F7EBF">
        <w:rPr>
          <w:sz w:val="22"/>
          <w:szCs w:val="22"/>
        </w:rPr>
        <w:t xml:space="preserve"> “sindacalizzate” sul </w:t>
      </w:r>
      <w:r w:rsidR="006D287F">
        <w:rPr>
          <w:sz w:val="22"/>
          <w:szCs w:val="22"/>
        </w:rPr>
        <w:t>tema</w:t>
      </w:r>
      <w:r w:rsidR="006342C5" w:rsidRPr="007F7EBF">
        <w:rPr>
          <w:sz w:val="22"/>
          <w:szCs w:val="22"/>
        </w:rPr>
        <w:t xml:space="preserve"> rispetto ai consumatori, il che crea meno imbarazzi politici.</w:t>
      </w:r>
      <w:r w:rsidR="00B4139C" w:rsidRPr="007F7EBF">
        <w:rPr>
          <w:bCs/>
          <w:i/>
          <w:iCs/>
          <w:color w:val="0000FF"/>
          <w:sz w:val="22"/>
          <w:szCs w:val="22"/>
        </w:rPr>
        <w:t xml:space="preserve"> </w:t>
      </w:r>
      <w:r w:rsidR="006342C5" w:rsidRPr="007F7EBF">
        <w:rPr>
          <w:sz w:val="22"/>
          <w:szCs w:val="22"/>
        </w:rPr>
        <w:t>Quest’utilizzazione “politico-mediatica” dell’accertamento sintetico è stata riproposta</w:t>
      </w:r>
      <w:r w:rsidR="00B4139C" w:rsidRPr="007F7EBF">
        <w:rPr>
          <w:sz w:val="22"/>
          <w:szCs w:val="22"/>
        </w:rPr>
        <w:t xml:space="preserve"> </w:t>
      </w:r>
      <w:r w:rsidR="006342C5" w:rsidRPr="007F7EBF">
        <w:rPr>
          <w:sz w:val="22"/>
          <w:szCs w:val="22"/>
        </w:rPr>
        <w:t>nel 2010</w:t>
      </w:r>
      <w:r w:rsidR="00C01F28" w:rsidRPr="007F7EBF">
        <w:rPr>
          <w:rStyle w:val="Rimandonotaapidipagina"/>
          <w:sz w:val="22"/>
          <w:szCs w:val="22"/>
        </w:rPr>
        <w:footnoteReference w:id="663"/>
      </w:r>
      <w:r w:rsidR="006342C5" w:rsidRPr="007F7EBF">
        <w:rPr>
          <w:sz w:val="22"/>
          <w:szCs w:val="22"/>
        </w:rPr>
        <w:t>, con un</w:t>
      </w:r>
      <w:r w:rsidR="00B4139C" w:rsidRPr="007F7EBF">
        <w:rPr>
          <w:sz w:val="22"/>
          <w:szCs w:val="22"/>
        </w:rPr>
        <w:t xml:space="preserve"> </w:t>
      </w:r>
      <w:r w:rsidR="006342C5" w:rsidRPr="007F7EBF">
        <w:rPr>
          <w:sz w:val="22"/>
          <w:szCs w:val="22"/>
        </w:rPr>
        <w:t>effetto di annuncio, in cui si è girato a vuoto per circa quattro anni con inutili discussioni,</w:t>
      </w:r>
      <w:r w:rsidR="00B4139C" w:rsidRPr="007F7EBF">
        <w:rPr>
          <w:sz w:val="22"/>
          <w:szCs w:val="22"/>
        </w:rPr>
        <w:t xml:space="preserve"> </w:t>
      </w:r>
      <w:r w:rsidR="006342C5" w:rsidRPr="007F7EBF">
        <w:rPr>
          <w:sz w:val="22"/>
          <w:szCs w:val="22"/>
        </w:rPr>
        <w:t xml:space="preserve">chiacchiere e polemiche, relative anche alla </w:t>
      </w:r>
      <w:r w:rsidR="006342C5" w:rsidRPr="007F7EBF">
        <w:rPr>
          <w:i/>
          <w:sz w:val="22"/>
          <w:szCs w:val="22"/>
        </w:rPr>
        <w:t>privacy</w:t>
      </w:r>
      <w:r w:rsidR="00C01F28" w:rsidRPr="007F7EBF">
        <w:rPr>
          <w:sz w:val="22"/>
          <w:szCs w:val="22"/>
        </w:rPr>
        <w:t xml:space="preserve">. </w:t>
      </w:r>
    </w:p>
    <w:p w14:paraId="0A156F74" w14:textId="77777777" w:rsidR="00A73949" w:rsidRPr="007F7EBF" w:rsidRDefault="00A73949" w:rsidP="00A73949">
      <w:pPr>
        <w:pStyle w:val="tit23"/>
        <w:ind w:left="6464" w:right="-1361" w:firstLine="0"/>
        <w:jc w:val="left"/>
        <w:rPr>
          <w:bCs/>
          <w:i/>
          <w:iCs/>
          <w:color w:val="0000FF"/>
          <w:lang w:val="it-IT"/>
        </w:rPr>
      </w:pPr>
      <w:r w:rsidRPr="007F7EBF">
        <w:rPr>
          <w:bCs/>
          <w:i/>
          <w:iCs/>
          <w:color w:val="0000FF"/>
          <w:lang w:val="it-IT"/>
        </w:rPr>
        <w:t xml:space="preserve">L’occasione perduta per un uso integrativo rispetto alle stime “alla produzione” </w:t>
      </w:r>
    </w:p>
    <w:p w14:paraId="49D12297" w14:textId="250925E8" w:rsidR="00A73949" w:rsidRPr="007F7EBF" w:rsidRDefault="006D287F" w:rsidP="00513D29">
      <w:pPr>
        <w:autoSpaceDE w:val="0"/>
        <w:autoSpaceDN w:val="0"/>
        <w:adjustRightInd w:val="0"/>
        <w:rPr>
          <w:bCs/>
          <w:i/>
          <w:iCs/>
          <w:color w:val="0000FF"/>
        </w:rPr>
      </w:pPr>
      <w:r w:rsidRPr="007F7EBF">
        <w:rPr>
          <w:sz w:val="22"/>
          <w:szCs w:val="22"/>
        </w:rPr>
        <w:t xml:space="preserve">Poi tutto è finito nel dimenticatoio, compreso </w:t>
      </w:r>
      <w:r>
        <w:rPr>
          <w:sz w:val="22"/>
          <w:szCs w:val="22"/>
        </w:rPr>
        <w:t>l’aiuto che i</w:t>
      </w:r>
      <w:r w:rsidRPr="007F7EBF">
        <w:rPr>
          <w:sz w:val="22"/>
          <w:szCs w:val="22"/>
        </w:rPr>
        <w:t xml:space="preserve">l tenore di vita </w:t>
      </w:r>
      <w:r>
        <w:rPr>
          <w:sz w:val="22"/>
          <w:szCs w:val="22"/>
        </w:rPr>
        <w:t>poteva dare all’accertamento degli imponibili “alla produzione”, su titolari di attività economico professionali che sfuggono a stime efficienti. L</w:t>
      </w:r>
      <w:r w:rsidR="003F1738" w:rsidRPr="007F7EBF">
        <w:rPr>
          <w:sz w:val="22"/>
          <w:szCs w:val="22"/>
        </w:rPr>
        <w:t xml:space="preserve">a </w:t>
      </w:r>
      <w:r w:rsidR="00A73949" w:rsidRPr="007F7EBF">
        <w:rPr>
          <w:sz w:val="22"/>
          <w:szCs w:val="22"/>
        </w:rPr>
        <w:t xml:space="preserve">spesa </w:t>
      </w:r>
      <w:r w:rsidR="003F1738" w:rsidRPr="007F7EBF">
        <w:rPr>
          <w:sz w:val="22"/>
          <w:szCs w:val="22"/>
        </w:rPr>
        <w:t xml:space="preserve">per il tenore di vita </w:t>
      </w:r>
      <w:r w:rsidR="00A73949" w:rsidRPr="007F7EBF">
        <w:rPr>
          <w:sz w:val="22"/>
          <w:szCs w:val="22"/>
        </w:rPr>
        <w:t xml:space="preserve">potrebbe essere </w:t>
      </w:r>
      <w:r>
        <w:rPr>
          <w:sz w:val="22"/>
          <w:szCs w:val="22"/>
        </w:rPr>
        <w:t>cioè</w:t>
      </w:r>
      <w:r w:rsidR="00A73949" w:rsidRPr="007F7EBF">
        <w:rPr>
          <w:sz w:val="22"/>
          <w:szCs w:val="22"/>
        </w:rPr>
        <w:t xml:space="preserve"> un</w:t>
      </w:r>
      <w:r>
        <w:rPr>
          <w:sz w:val="22"/>
          <w:szCs w:val="22"/>
        </w:rPr>
        <w:t xml:space="preserve"> </w:t>
      </w:r>
      <w:r w:rsidR="00A73949" w:rsidRPr="007F7EBF">
        <w:rPr>
          <w:sz w:val="22"/>
          <w:szCs w:val="22"/>
        </w:rPr>
        <w:t xml:space="preserve">utile </w:t>
      </w:r>
      <w:r>
        <w:rPr>
          <w:bCs/>
          <w:sz w:val="22"/>
          <w:szCs w:val="22"/>
        </w:rPr>
        <w:t>complemento indiziario</w:t>
      </w:r>
      <w:r w:rsidR="003F1738" w:rsidRPr="007F7EBF">
        <w:rPr>
          <w:bCs/>
          <w:sz w:val="22"/>
          <w:szCs w:val="22"/>
        </w:rPr>
        <w:t xml:space="preserve">, </w:t>
      </w:r>
      <w:r w:rsidR="00A73949" w:rsidRPr="007F7EBF">
        <w:rPr>
          <w:sz w:val="22"/>
          <w:szCs w:val="22"/>
        </w:rPr>
        <w:t xml:space="preserve">soprattutto per attività ad </w:t>
      </w:r>
      <w:r w:rsidR="00A73949" w:rsidRPr="007F7EBF">
        <w:rPr>
          <w:bCs/>
          <w:sz w:val="22"/>
          <w:szCs w:val="22"/>
        </w:rPr>
        <w:t xml:space="preserve">intensità variabile </w:t>
      </w:r>
      <w:r w:rsidR="00A73949" w:rsidRPr="007F7EBF">
        <w:rPr>
          <w:sz w:val="22"/>
          <w:szCs w:val="22"/>
        </w:rPr>
        <w:t>nel tempo,</w:t>
      </w:r>
      <w:r w:rsidR="003F1738" w:rsidRPr="007F7EBF">
        <w:rPr>
          <w:sz w:val="22"/>
          <w:szCs w:val="22"/>
        </w:rPr>
        <w:t xml:space="preserve"> </w:t>
      </w:r>
      <w:r w:rsidR="00A73949" w:rsidRPr="007F7EBF">
        <w:rPr>
          <w:sz w:val="22"/>
          <w:szCs w:val="22"/>
        </w:rPr>
        <w:t xml:space="preserve">potenzialmente </w:t>
      </w:r>
      <w:r w:rsidR="00A73949" w:rsidRPr="007F7EBF">
        <w:rPr>
          <w:bCs/>
          <w:sz w:val="22"/>
          <w:szCs w:val="22"/>
        </w:rPr>
        <w:t>discontinue</w:t>
      </w:r>
      <w:r w:rsidR="00A73949" w:rsidRPr="007F7EBF">
        <w:rPr>
          <w:sz w:val="22"/>
          <w:szCs w:val="22"/>
        </w:rPr>
        <w:t>, come indicato ai paragrafi 3.15, 5.13 e 5.15.</w:t>
      </w:r>
      <w:r>
        <w:rPr>
          <w:sz w:val="22"/>
          <w:szCs w:val="22"/>
        </w:rPr>
        <w:t xml:space="preserve"> Quando le informazioni sull’attività produttiva sono insufficienti, il tenore di vita può utilmente integrarle, con un </w:t>
      </w:r>
      <w:r w:rsidR="00A73949" w:rsidRPr="007F7EBF">
        <w:rPr>
          <w:sz w:val="22"/>
          <w:szCs w:val="22"/>
        </w:rPr>
        <w:t xml:space="preserve">coordinamento </w:t>
      </w:r>
      <w:r>
        <w:rPr>
          <w:sz w:val="22"/>
          <w:szCs w:val="22"/>
        </w:rPr>
        <w:t>p</w:t>
      </w:r>
      <w:r w:rsidR="00A73949" w:rsidRPr="007F7EBF">
        <w:rPr>
          <w:sz w:val="22"/>
          <w:szCs w:val="22"/>
        </w:rPr>
        <w:t>ossibile anche “a legislazione vigente”</w:t>
      </w:r>
      <w:r w:rsidR="00513D29">
        <w:rPr>
          <w:sz w:val="22"/>
          <w:szCs w:val="22"/>
        </w:rPr>
        <w:t xml:space="preserve">, anche se di </w:t>
      </w:r>
      <w:r w:rsidR="00513D29">
        <w:rPr>
          <w:sz w:val="22"/>
          <w:szCs w:val="22"/>
        </w:rPr>
        <w:lastRenderedPageBreak/>
        <w:t xml:space="preserve">fatto la ritrosia verso le valutazioni, e la diversità di riferimenti normativi, ha impedito questa sinergia. </w:t>
      </w:r>
    </w:p>
    <w:p w14:paraId="50134183" w14:textId="028273AE" w:rsidR="006D287F" w:rsidRDefault="006D287F" w:rsidP="00A73949">
      <w:pPr>
        <w:autoSpaceDE w:val="0"/>
        <w:autoSpaceDN w:val="0"/>
        <w:adjustRightInd w:val="0"/>
        <w:rPr>
          <w:sz w:val="22"/>
          <w:szCs w:val="22"/>
        </w:rPr>
      </w:pPr>
      <w:r w:rsidRPr="007F7EBF">
        <w:rPr>
          <w:sz w:val="22"/>
          <w:szCs w:val="22"/>
        </w:rPr>
        <w:t xml:space="preserve">Nell’empirismo del giudizio di fatto (par. 5.8) è </w:t>
      </w:r>
      <w:r w:rsidR="00513D29">
        <w:rPr>
          <w:sz w:val="22"/>
          <w:szCs w:val="22"/>
        </w:rPr>
        <w:t xml:space="preserve">invece </w:t>
      </w:r>
      <w:r w:rsidRPr="007F7EBF">
        <w:rPr>
          <w:sz w:val="22"/>
          <w:szCs w:val="22"/>
        </w:rPr>
        <w:t xml:space="preserve">del tutto logico utilizzare la villa al mare dell’idraulico per rettificarne gli incassi lavorativi, </w:t>
      </w:r>
      <w:r w:rsidR="00DA788B">
        <w:rPr>
          <w:sz w:val="22"/>
          <w:szCs w:val="22"/>
        </w:rPr>
        <w:t xml:space="preserve">non solo ai fini delle imposte sui redditi, ma anche </w:t>
      </w:r>
      <w:r w:rsidRPr="007F7EBF">
        <w:rPr>
          <w:sz w:val="22"/>
          <w:szCs w:val="22"/>
        </w:rPr>
        <w:t xml:space="preserve">ai fini IVA </w:t>
      </w:r>
      <w:r w:rsidR="00513D29">
        <w:rPr>
          <w:sz w:val="22"/>
          <w:szCs w:val="22"/>
        </w:rPr>
        <w:t>(</w:t>
      </w:r>
      <w:r w:rsidR="00513D29">
        <w:rPr>
          <w:rStyle w:val="Rimandonotaapidipagina"/>
          <w:sz w:val="22"/>
          <w:szCs w:val="22"/>
        </w:rPr>
        <w:footnoteReference w:id="664"/>
      </w:r>
      <w:r w:rsidR="00513D29">
        <w:rPr>
          <w:sz w:val="22"/>
          <w:szCs w:val="22"/>
        </w:rPr>
        <w:t>)</w:t>
      </w:r>
      <w:r w:rsidRPr="007F7EBF">
        <w:rPr>
          <w:sz w:val="22"/>
          <w:szCs w:val="22"/>
        </w:rPr>
        <w:t xml:space="preserve">. </w:t>
      </w:r>
    </w:p>
    <w:p w14:paraId="0BD1230C" w14:textId="53689005" w:rsidR="000E6485" w:rsidRPr="007F7EBF" w:rsidRDefault="006342C5" w:rsidP="00311DB9">
      <w:pPr>
        <w:pStyle w:val="Titolo3"/>
        <w:rPr>
          <w:rFonts w:ascii="Times New Roman" w:hAnsi="Times New Roman"/>
          <w:b w:val="0"/>
          <w:bCs w:val="0"/>
          <w:i/>
          <w:iCs/>
          <w:color w:val="0000FF"/>
          <w:sz w:val="22"/>
          <w:szCs w:val="22"/>
          <w:lang w:val="it-IT"/>
        </w:rPr>
      </w:pPr>
      <w:bookmarkStart w:id="74" w:name="_Toc63364987"/>
      <w:r w:rsidRPr="007F7EBF">
        <w:rPr>
          <w:rFonts w:ascii="Times New Roman" w:hAnsi="Times New Roman"/>
          <w:sz w:val="22"/>
          <w:szCs w:val="22"/>
        </w:rPr>
        <w:t xml:space="preserve">5.15. </w:t>
      </w:r>
      <w:r w:rsidR="006943E0">
        <w:rPr>
          <w:rFonts w:ascii="Times New Roman" w:hAnsi="Times New Roman"/>
          <w:sz w:val="22"/>
          <w:szCs w:val="22"/>
          <w:lang w:val="it-IT"/>
        </w:rPr>
        <w:t>Difficoltà di controllo degli operatori economici senza sede fissa</w:t>
      </w:r>
      <w:bookmarkEnd w:id="74"/>
      <w:r w:rsidR="006943E0">
        <w:rPr>
          <w:rFonts w:ascii="Times New Roman" w:hAnsi="Times New Roman"/>
          <w:sz w:val="22"/>
          <w:szCs w:val="22"/>
          <w:lang w:val="it-IT"/>
        </w:rPr>
        <w:t xml:space="preserve"> </w:t>
      </w:r>
    </w:p>
    <w:p w14:paraId="713A3795" w14:textId="77777777" w:rsidR="00393CAA" w:rsidRPr="007F7EBF" w:rsidRDefault="00393CAA" w:rsidP="00393CAA">
      <w:pPr>
        <w:autoSpaceDE w:val="0"/>
        <w:autoSpaceDN w:val="0"/>
        <w:adjustRightInd w:val="0"/>
        <w:rPr>
          <w:sz w:val="22"/>
          <w:szCs w:val="22"/>
        </w:rPr>
      </w:pPr>
    </w:p>
    <w:p w14:paraId="6173401E" w14:textId="5D0C2EF5" w:rsidR="00393CAA" w:rsidRPr="007F7EBF" w:rsidRDefault="00F9317B" w:rsidP="00393CAA">
      <w:pPr>
        <w:pStyle w:val="tit23"/>
        <w:ind w:left="6464" w:right="-1361" w:firstLine="0"/>
        <w:jc w:val="left"/>
        <w:rPr>
          <w:b/>
          <w:bCs/>
          <w:i/>
          <w:iCs/>
          <w:color w:val="0000FF"/>
          <w:lang w:val="it-IT"/>
        </w:rPr>
      </w:pPr>
      <w:r>
        <w:rPr>
          <w:b/>
          <w:bCs/>
          <w:i/>
          <w:iCs/>
          <w:color w:val="0000FF"/>
          <w:lang w:val="it-IT"/>
        </w:rPr>
        <w:t>Stabilità e aumento del lavoro disorganizzato</w:t>
      </w:r>
    </w:p>
    <w:p w14:paraId="64EB1829" w14:textId="4866456B" w:rsidR="00AF18F5" w:rsidRPr="007F7EBF" w:rsidRDefault="000E6485" w:rsidP="00AF18F5">
      <w:pPr>
        <w:autoSpaceDE w:val="0"/>
        <w:autoSpaceDN w:val="0"/>
        <w:adjustRightInd w:val="0"/>
        <w:rPr>
          <w:sz w:val="22"/>
          <w:szCs w:val="22"/>
        </w:rPr>
      </w:pPr>
      <w:r w:rsidRPr="007F7EBF">
        <w:rPr>
          <w:b/>
          <w:bCs/>
          <w:i/>
          <w:iCs/>
          <w:color w:val="0000FF"/>
          <w:sz w:val="22"/>
          <w:szCs w:val="22"/>
        </w:rPr>
        <w:t xml:space="preserve"> </w:t>
      </w:r>
      <w:r w:rsidR="00FB00C2" w:rsidRPr="007F7EBF">
        <w:rPr>
          <w:sz w:val="22"/>
          <w:szCs w:val="22"/>
        </w:rPr>
        <w:t xml:space="preserve">La situazione economica indicata al </w:t>
      </w:r>
      <w:r w:rsidR="00AA02DC" w:rsidRPr="007F7EBF">
        <w:rPr>
          <w:sz w:val="22"/>
          <w:szCs w:val="22"/>
        </w:rPr>
        <w:t>par. 3.15,</w:t>
      </w:r>
      <w:r w:rsidR="00FB00C2" w:rsidRPr="007F7EBF">
        <w:rPr>
          <w:sz w:val="22"/>
          <w:szCs w:val="22"/>
        </w:rPr>
        <w:t xml:space="preserve"> sul “lavoro liquido” e la “società fluida”</w:t>
      </w:r>
      <w:r w:rsidR="00AA02DC" w:rsidRPr="007F7EBF">
        <w:rPr>
          <w:sz w:val="22"/>
          <w:szCs w:val="22"/>
        </w:rPr>
        <w:t xml:space="preserve"> </w:t>
      </w:r>
      <w:r w:rsidR="00FB00C2" w:rsidRPr="007F7EBF">
        <w:rPr>
          <w:sz w:val="22"/>
          <w:szCs w:val="22"/>
        </w:rPr>
        <w:t>c</w:t>
      </w:r>
      <w:r w:rsidR="00AA02DC" w:rsidRPr="007F7EBF">
        <w:rPr>
          <w:sz w:val="22"/>
          <w:szCs w:val="22"/>
        </w:rPr>
        <w:t xml:space="preserve">i </w:t>
      </w:r>
      <w:r w:rsidR="00FB00C2" w:rsidRPr="007F7EBF">
        <w:rPr>
          <w:sz w:val="22"/>
          <w:szCs w:val="22"/>
        </w:rPr>
        <w:t xml:space="preserve">avverte </w:t>
      </w:r>
      <w:r w:rsidR="00DA788B">
        <w:rPr>
          <w:sz w:val="22"/>
          <w:szCs w:val="22"/>
        </w:rPr>
        <w:t xml:space="preserve">su quanto sia illusorio che il problema della determinazione valutativa degli imponibili da </w:t>
      </w:r>
      <w:r w:rsidR="00FB00C2" w:rsidRPr="007F7EBF">
        <w:rPr>
          <w:sz w:val="22"/>
          <w:szCs w:val="22"/>
        </w:rPr>
        <w:t xml:space="preserve">lavoro non organizzato </w:t>
      </w:r>
      <w:r w:rsidR="00DA788B">
        <w:rPr>
          <w:sz w:val="22"/>
          <w:szCs w:val="22"/>
        </w:rPr>
        <w:t>si</w:t>
      </w:r>
      <w:r w:rsidR="00FB00C2" w:rsidRPr="007F7EBF">
        <w:rPr>
          <w:sz w:val="22"/>
          <w:szCs w:val="22"/>
        </w:rPr>
        <w:t xml:space="preserve"> risolv</w:t>
      </w:r>
      <w:r w:rsidR="00DA788B">
        <w:rPr>
          <w:sz w:val="22"/>
          <w:szCs w:val="22"/>
        </w:rPr>
        <w:t>a</w:t>
      </w:r>
      <w:r w:rsidR="00FB00C2" w:rsidRPr="007F7EBF">
        <w:rPr>
          <w:sz w:val="22"/>
          <w:szCs w:val="22"/>
        </w:rPr>
        <w:t xml:space="preserve"> semplicemente con la </w:t>
      </w:r>
      <w:r w:rsidR="00DA788B">
        <w:rPr>
          <w:sz w:val="22"/>
          <w:szCs w:val="22"/>
        </w:rPr>
        <w:t xml:space="preserve">sua </w:t>
      </w:r>
      <w:r w:rsidR="00FB00C2" w:rsidRPr="007F7EBF">
        <w:rPr>
          <w:sz w:val="22"/>
          <w:szCs w:val="22"/>
        </w:rPr>
        <w:t>sparizione</w:t>
      </w:r>
      <w:r w:rsidR="00DA788B">
        <w:rPr>
          <w:sz w:val="22"/>
          <w:szCs w:val="22"/>
        </w:rPr>
        <w:t xml:space="preserve">; abbiamo visto invece che </w:t>
      </w:r>
      <w:r w:rsidR="00FB00C2" w:rsidRPr="007F7EBF">
        <w:rPr>
          <w:sz w:val="22"/>
          <w:szCs w:val="22"/>
        </w:rPr>
        <w:t>la tassazione attraverso le aziende</w:t>
      </w:r>
      <w:r w:rsidR="00DA788B">
        <w:rPr>
          <w:sz w:val="22"/>
          <w:szCs w:val="22"/>
        </w:rPr>
        <w:t xml:space="preserve"> non solo non si espande, ma si riduce</w:t>
      </w:r>
      <w:r w:rsidR="008D2335" w:rsidRPr="007F7EBF">
        <w:rPr>
          <w:sz w:val="22"/>
          <w:szCs w:val="22"/>
        </w:rPr>
        <w:t>, co</w:t>
      </w:r>
      <w:r w:rsidR="002003FC">
        <w:rPr>
          <w:sz w:val="22"/>
          <w:szCs w:val="22"/>
        </w:rPr>
        <w:t>n l</w:t>
      </w:r>
      <w:r w:rsidR="008D2335" w:rsidRPr="007F7EBF">
        <w:rPr>
          <w:sz w:val="22"/>
          <w:szCs w:val="22"/>
        </w:rPr>
        <w:t xml:space="preserve">a deindustrializzazione </w:t>
      </w:r>
      <w:r w:rsidR="00DA788B">
        <w:rPr>
          <w:sz w:val="22"/>
          <w:szCs w:val="22"/>
        </w:rPr>
        <w:t>(</w:t>
      </w:r>
      <w:r w:rsidR="008D2335" w:rsidRPr="007F7EBF">
        <w:rPr>
          <w:rStyle w:val="Rimandonotaapidipagina"/>
          <w:sz w:val="22"/>
          <w:szCs w:val="22"/>
        </w:rPr>
        <w:footnoteReference w:id="665"/>
      </w:r>
      <w:r w:rsidR="00DA788B">
        <w:rPr>
          <w:sz w:val="22"/>
          <w:szCs w:val="22"/>
        </w:rPr>
        <w:t>)</w:t>
      </w:r>
      <w:r w:rsidR="008D2335" w:rsidRPr="007F7EBF">
        <w:rPr>
          <w:sz w:val="22"/>
          <w:szCs w:val="22"/>
        </w:rPr>
        <w:t xml:space="preserve">. </w:t>
      </w:r>
      <w:r w:rsidR="009A0400">
        <w:rPr>
          <w:sz w:val="22"/>
          <w:szCs w:val="22"/>
        </w:rPr>
        <w:t xml:space="preserve">Quest lavoro emerge per la parte intercettata dalla determinazione contabile attraverso le aziende, </w:t>
      </w:r>
      <w:r w:rsidR="002003FC">
        <w:rPr>
          <w:sz w:val="22"/>
          <w:szCs w:val="22"/>
        </w:rPr>
        <w:t xml:space="preserve">come confermano i milioni di </w:t>
      </w:r>
      <w:r w:rsidR="007E3611" w:rsidRPr="007F7EBF">
        <w:rPr>
          <w:bCs/>
          <w:sz w:val="22"/>
          <w:szCs w:val="22"/>
        </w:rPr>
        <w:t>redditi minimi emer</w:t>
      </w:r>
      <w:r w:rsidR="00205AE0">
        <w:rPr>
          <w:bCs/>
          <w:sz w:val="22"/>
          <w:szCs w:val="22"/>
        </w:rPr>
        <w:t xml:space="preserve">genti </w:t>
      </w:r>
      <w:r w:rsidR="007E3611" w:rsidRPr="007F7EBF">
        <w:rPr>
          <w:bCs/>
          <w:sz w:val="22"/>
          <w:szCs w:val="22"/>
        </w:rPr>
        <w:t>dall</w:t>
      </w:r>
      <w:r w:rsidR="008D2335" w:rsidRPr="007F7EBF">
        <w:rPr>
          <w:sz w:val="22"/>
          <w:szCs w:val="22"/>
        </w:rPr>
        <w:t xml:space="preserve">e statistiche </w:t>
      </w:r>
      <w:r w:rsidR="007E3611" w:rsidRPr="007F7EBF">
        <w:rPr>
          <w:sz w:val="22"/>
          <w:szCs w:val="22"/>
        </w:rPr>
        <w:t>delle dichiarazioni dei redditi</w:t>
      </w:r>
      <w:r w:rsidR="009A0400">
        <w:rPr>
          <w:sz w:val="22"/>
          <w:szCs w:val="22"/>
        </w:rPr>
        <w:t xml:space="preserve">; essi </w:t>
      </w:r>
      <w:r w:rsidR="007E3611" w:rsidRPr="007F7EBF">
        <w:rPr>
          <w:sz w:val="22"/>
          <w:szCs w:val="22"/>
        </w:rPr>
        <w:t xml:space="preserve">riguardano </w:t>
      </w:r>
      <w:r w:rsidR="002003FC">
        <w:rPr>
          <w:sz w:val="22"/>
          <w:szCs w:val="22"/>
        </w:rPr>
        <w:t>non solo dichiarazioni modeste di piccoli commercianti e artigiani, ma anche</w:t>
      </w:r>
      <w:r w:rsidR="00A029EE">
        <w:rPr>
          <w:sz w:val="22"/>
          <w:szCs w:val="22"/>
        </w:rPr>
        <w:t xml:space="preserve"> redditi di lavoro dipendente parzialmente “in nero”, e </w:t>
      </w:r>
      <w:r w:rsidR="007E3611" w:rsidRPr="007F7EBF">
        <w:rPr>
          <w:sz w:val="22"/>
          <w:szCs w:val="22"/>
        </w:rPr>
        <w:t>oc</w:t>
      </w:r>
      <w:r w:rsidR="008D2335" w:rsidRPr="007F7EBF">
        <w:rPr>
          <w:sz w:val="22"/>
          <w:szCs w:val="22"/>
        </w:rPr>
        <w:t xml:space="preserve">casionali emersioni </w:t>
      </w:r>
      <w:r w:rsidR="00A029EE">
        <w:rPr>
          <w:sz w:val="22"/>
          <w:szCs w:val="22"/>
        </w:rPr>
        <w:t xml:space="preserve">(come “redditi diversi” di cui al par.8.6) </w:t>
      </w:r>
      <w:r w:rsidR="008D2335" w:rsidRPr="007F7EBF">
        <w:rPr>
          <w:sz w:val="22"/>
          <w:szCs w:val="22"/>
        </w:rPr>
        <w:t xml:space="preserve">di attività </w:t>
      </w:r>
      <w:r w:rsidR="00A029EE">
        <w:rPr>
          <w:sz w:val="22"/>
          <w:szCs w:val="22"/>
        </w:rPr>
        <w:t xml:space="preserve">“precarie”, ordinariamente </w:t>
      </w:r>
      <w:r w:rsidR="008D2335" w:rsidRPr="007F7EBF">
        <w:rPr>
          <w:sz w:val="22"/>
          <w:szCs w:val="22"/>
        </w:rPr>
        <w:t>sommerse</w:t>
      </w:r>
      <w:r w:rsidR="007E3611" w:rsidRPr="007F7EBF">
        <w:rPr>
          <w:sz w:val="22"/>
          <w:szCs w:val="22"/>
        </w:rPr>
        <w:t xml:space="preserve">. </w:t>
      </w:r>
    </w:p>
    <w:p w14:paraId="2A0AC293" w14:textId="10460A5F" w:rsidR="00AF18F5" w:rsidRPr="007F7EBF" w:rsidRDefault="00F9317B" w:rsidP="00AF18F5">
      <w:pPr>
        <w:pStyle w:val="tit23"/>
        <w:ind w:left="6464" w:right="-1361" w:firstLine="0"/>
        <w:jc w:val="left"/>
        <w:rPr>
          <w:b/>
          <w:bCs/>
          <w:i/>
          <w:iCs/>
          <w:color w:val="0000FF"/>
          <w:lang w:val="it-IT"/>
        </w:rPr>
      </w:pPr>
      <w:r>
        <w:rPr>
          <w:b/>
          <w:bCs/>
          <w:i/>
          <w:iCs/>
          <w:color w:val="0000FF"/>
          <w:lang w:val="it-IT"/>
        </w:rPr>
        <w:t>perdita</w:t>
      </w:r>
      <w:r w:rsidR="00AF18F5" w:rsidRPr="007F7EBF">
        <w:rPr>
          <w:b/>
          <w:bCs/>
          <w:i/>
          <w:iCs/>
          <w:color w:val="0000FF"/>
          <w:lang w:val="it-IT"/>
        </w:rPr>
        <w:t xml:space="preserve"> di controll</w:t>
      </w:r>
      <w:r>
        <w:rPr>
          <w:b/>
          <w:bCs/>
          <w:i/>
          <w:iCs/>
          <w:color w:val="0000FF"/>
          <w:lang w:val="it-IT"/>
        </w:rPr>
        <w:t>o d’insieme</w:t>
      </w:r>
    </w:p>
    <w:p w14:paraId="62849FCE" w14:textId="7324C6CA" w:rsidR="008D2335" w:rsidRPr="007F7EBF" w:rsidRDefault="00A029EE" w:rsidP="00AF18F5">
      <w:pPr>
        <w:autoSpaceDE w:val="0"/>
        <w:autoSpaceDN w:val="0"/>
        <w:adjustRightInd w:val="0"/>
        <w:rPr>
          <w:b/>
          <w:bCs/>
          <w:i/>
          <w:iCs/>
          <w:color w:val="0000FF"/>
        </w:rPr>
      </w:pPr>
      <w:r w:rsidRPr="007F7EBF">
        <w:rPr>
          <w:bCs/>
          <w:sz w:val="22"/>
          <w:szCs w:val="22"/>
        </w:rPr>
        <w:lastRenderedPageBreak/>
        <w:t>S</w:t>
      </w:r>
      <w:r>
        <w:rPr>
          <w:bCs/>
          <w:sz w:val="22"/>
          <w:szCs w:val="22"/>
        </w:rPr>
        <w:t>i aggiungano i redditi da c</w:t>
      </w:r>
      <w:r w:rsidRPr="007F7EBF">
        <w:rPr>
          <w:sz w:val="22"/>
          <w:szCs w:val="22"/>
        </w:rPr>
        <w:t>espiti molto frammentati sul territorio (</w:t>
      </w:r>
      <w:r w:rsidRPr="007F7EBF">
        <w:rPr>
          <w:rStyle w:val="Rimandonotaapidipagina"/>
          <w:sz w:val="22"/>
          <w:szCs w:val="22"/>
        </w:rPr>
        <w:footnoteReference w:id="666"/>
      </w:r>
      <w:r w:rsidRPr="007F7EBF">
        <w:rPr>
          <w:sz w:val="22"/>
          <w:szCs w:val="22"/>
        </w:rPr>
        <w:t xml:space="preserve">), le </w:t>
      </w:r>
      <w:r>
        <w:rPr>
          <w:sz w:val="22"/>
          <w:szCs w:val="22"/>
        </w:rPr>
        <w:t xml:space="preserve">piccole manutenzioni e i piccoli trasporti, le attività didattiche, sportive e ricreative del tutto in nero, per capire la molteplicità crescente di persone che semplicemente “si arrangiano”; rispetto ad esse è sorprendentemente bassa la </w:t>
      </w:r>
      <w:r w:rsidRPr="007F7EBF">
        <w:rPr>
          <w:sz w:val="22"/>
          <w:szCs w:val="22"/>
        </w:rPr>
        <w:t>cifra annua di meno di 10 mila evasori totali individuati, quando davanti alle bancarelle della periferia di Roma si vede materialmente un probabile evasore totale ogni cinque metri</w:t>
      </w:r>
      <w:r w:rsidRPr="007F7EBF">
        <w:rPr>
          <w:rStyle w:val="Rimandonotaapidipagina"/>
          <w:sz w:val="22"/>
          <w:szCs w:val="22"/>
        </w:rPr>
        <w:footnoteReference w:id="667"/>
      </w:r>
      <w:r w:rsidRPr="007F7EBF">
        <w:rPr>
          <w:sz w:val="22"/>
          <w:szCs w:val="22"/>
        </w:rPr>
        <w:t xml:space="preserve">. </w:t>
      </w:r>
      <w:r w:rsidRPr="007F7EBF">
        <w:rPr>
          <w:bCs/>
          <w:i/>
          <w:iCs/>
          <w:color w:val="0000FF"/>
          <w:sz w:val="22"/>
          <w:szCs w:val="22"/>
        </w:rPr>
        <w:t xml:space="preserve"> </w:t>
      </w:r>
    </w:p>
    <w:p w14:paraId="5FF87E2F" w14:textId="28266895" w:rsidR="005A1B88" w:rsidRPr="007F7EBF" w:rsidRDefault="008D2335" w:rsidP="005A1B88">
      <w:pPr>
        <w:autoSpaceDE w:val="0"/>
        <w:autoSpaceDN w:val="0"/>
        <w:adjustRightInd w:val="0"/>
        <w:rPr>
          <w:sz w:val="22"/>
          <w:szCs w:val="22"/>
        </w:rPr>
      </w:pPr>
      <w:r w:rsidRPr="007F7EBF">
        <w:rPr>
          <w:sz w:val="22"/>
          <w:szCs w:val="22"/>
        </w:rPr>
        <w:t xml:space="preserve">Le entrate di questi soggetti saranno anche modeste, ma è necessaria una tendenziale perequazione rispetto a chi, lavorando con </w:t>
      </w:r>
      <w:r w:rsidR="00F9317B">
        <w:rPr>
          <w:sz w:val="22"/>
          <w:szCs w:val="22"/>
        </w:rPr>
        <w:t xml:space="preserve">grandi </w:t>
      </w:r>
      <w:r w:rsidRPr="007F7EBF">
        <w:rPr>
          <w:sz w:val="22"/>
          <w:szCs w:val="22"/>
        </w:rPr>
        <w:t xml:space="preserve">organizzazioni, </w:t>
      </w:r>
      <w:proofErr w:type="spellStart"/>
      <w:r w:rsidRPr="007F7EBF">
        <w:rPr>
          <w:sz w:val="22"/>
          <w:szCs w:val="22"/>
        </w:rPr>
        <w:t>ancorchè</w:t>
      </w:r>
      <w:proofErr w:type="spellEnd"/>
      <w:r w:rsidRPr="007F7EBF">
        <w:rPr>
          <w:sz w:val="22"/>
          <w:szCs w:val="22"/>
        </w:rPr>
        <w:t xml:space="preserve"> </w:t>
      </w:r>
      <w:r w:rsidR="00F9317B">
        <w:rPr>
          <w:sz w:val="22"/>
          <w:szCs w:val="22"/>
        </w:rPr>
        <w:t>modestamente pagato</w:t>
      </w:r>
      <w:r w:rsidRPr="007F7EBF">
        <w:rPr>
          <w:sz w:val="22"/>
          <w:szCs w:val="22"/>
        </w:rPr>
        <w:t xml:space="preserve">, è assoggettato a tassazione </w:t>
      </w:r>
      <w:r w:rsidRPr="007F7EBF">
        <w:rPr>
          <w:rStyle w:val="Rimandonotaapidipagina"/>
          <w:sz w:val="22"/>
          <w:szCs w:val="22"/>
        </w:rPr>
        <w:footnoteReference w:id="668"/>
      </w:r>
      <w:r w:rsidRPr="007F7EBF">
        <w:rPr>
          <w:sz w:val="22"/>
          <w:szCs w:val="22"/>
        </w:rPr>
        <w:t xml:space="preserve">.  </w:t>
      </w:r>
    </w:p>
    <w:p w14:paraId="5B0DC4B0" w14:textId="77777777" w:rsidR="005A1B88" w:rsidRPr="007F7EBF" w:rsidRDefault="005A1B88" w:rsidP="005A1B88">
      <w:pPr>
        <w:pStyle w:val="tit23"/>
        <w:ind w:left="6464" w:right="-1361" w:firstLine="0"/>
        <w:jc w:val="left"/>
        <w:rPr>
          <w:bCs/>
          <w:i/>
          <w:iCs/>
          <w:color w:val="0000FF"/>
          <w:lang w:val="it-IT"/>
        </w:rPr>
      </w:pPr>
      <w:r w:rsidRPr="007F7EBF">
        <w:rPr>
          <w:bCs/>
          <w:i/>
          <w:iCs/>
          <w:color w:val="0000FF"/>
          <w:lang w:val="it-IT"/>
        </w:rPr>
        <w:t>Necessità di una rilevazione conoscitiva</w:t>
      </w:r>
    </w:p>
    <w:p w14:paraId="106227ED" w14:textId="2FBB2055" w:rsidR="009A747F" w:rsidRPr="007F7EBF" w:rsidRDefault="008D2335" w:rsidP="00CD3DF0">
      <w:pPr>
        <w:autoSpaceDE w:val="0"/>
        <w:autoSpaceDN w:val="0"/>
        <w:adjustRightInd w:val="0"/>
        <w:rPr>
          <w:sz w:val="22"/>
          <w:szCs w:val="22"/>
        </w:rPr>
      </w:pPr>
      <w:r w:rsidRPr="007F7EBF">
        <w:rPr>
          <w:sz w:val="22"/>
          <w:szCs w:val="22"/>
        </w:rPr>
        <w:t xml:space="preserve">Serve invece un </w:t>
      </w:r>
      <w:r w:rsidR="00F9317B">
        <w:rPr>
          <w:sz w:val="22"/>
          <w:szCs w:val="22"/>
        </w:rPr>
        <w:t xml:space="preserve">sereno monitoraggio valutativo </w:t>
      </w:r>
      <w:r w:rsidRPr="007F7EBF">
        <w:rPr>
          <w:bCs/>
          <w:sz w:val="22"/>
          <w:szCs w:val="22"/>
        </w:rPr>
        <w:t>su quest</w:t>
      </w:r>
      <w:r w:rsidR="00F9317B">
        <w:rPr>
          <w:bCs/>
          <w:sz w:val="22"/>
          <w:szCs w:val="22"/>
        </w:rPr>
        <w:t>a m</w:t>
      </w:r>
      <w:r w:rsidRPr="007F7EBF">
        <w:rPr>
          <w:bCs/>
          <w:sz w:val="22"/>
          <w:szCs w:val="22"/>
        </w:rPr>
        <w:t>oderna “economia di sussistenza”</w:t>
      </w:r>
      <w:r w:rsidR="00F9317B">
        <w:rPr>
          <w:sz w:val="22"/>
          <w:szCs w:val="22"/>
        </w:rPr>
        <w:t>, dove altrimenti rischiano di accumularsi</w:t>
      </w:r>
      <w:r w:rsidR="00FC27AB" w:rsidRPr="007F7EBF">
        <w:rPr>
          <w:sz w:val="22"/>
          <w:szCs w:val="22"/>
        </w:rPr>
        <w:t xml:space="preserve"> milioni di "sconosciuti fiscali", di cui non si comprendono le fonti di sopravvivenza</w:t>
      </w:r>
      <w:r w:rsidR="00903F2B">
        <w:rPr>
          <w:sz w:val="22"/>
          <w:szCs w:val="22"/>
        </w:rPr>
        <w:t>(</w:t>
      </w:r>
      <w:r w:rsidR="00F9317B" w:rsidRPr="007F7EBF">
        <w:rPr>
          <w:rStyle w:val="Rimandonotaapidipagina"/>
          <w:sz w:val="22"/>
          <w:szCs w:val="22"/>
        </w:rPr>
        <w:footnoteReference w:id="669"/>
      </w:r>
      <w:r w:rsidR="00903F2B">
        <w:rPr>
          <w:sz w:val="22"/>
          <w:szCs w:val="22"/>
        </w:rPr>
        <w:t>)</w:t>
      </w:r>
      <w:r w:rsidR="00FC27AB" w:rsidRPr="007F7EBF">
        <w:rPr>
          <w:sz w:val="22"/>
          <w:szCs w:val="22"/>
        </w:rPr>
        <w:t xml:space="preserve">. Non è insomma questione di “tassare”, </w:t>
      </w:r>
      <w:r w:rsidR="00C979DE" w:rsidRPr="007F7EBF">
        <w:rPr>
          <w:sz w:val="22"/>
          <w:szCs w:val="22"/>
        </w:rPr>
        <w:t>con occasionali incursioni, larvatamente punitive</w:t>
      </w:r>
      <w:r w:rsidR="00F9317B">
        <w:rPr>
          <w:sz w:val="22"/>
          <w:szCs w:val="22"/>
        </w:rPr>
        <w:t xml:space="preserve"> e quindi politicamente impresentabili</w:t>
      </w:r>
      <w:r w:rsidR="00C979DE" w:rsidRPr="007F7EBF">
        <w:rPr>
          <w:sz w:val="22"/>
          <w:szCs w:val="22"/>
        </w:rPr>
        <w:t xml:space="preserve">, </w:t>
      </w:r>
      <w:r w:rsidR="00903F2B">
        <w:rPr>
          <w:sz w:val="22"/>
          <w:szCs w:val="22"/>
        </w:rPr>
        <w:t xml:space="preserve">questa sempre più vasta </w:t>
      </w:r>
      <w:r w:rsidR="00C979DE" w:rsidRPr="007F7EBF">
        <w:rPr>
          <w:sz w:val="22"/>
          <w:szCs w:val="22"/>
        </w:rPr>
        <w:t>area economic</w:t>
      </w:r>
      <w:r w:rsidR="00903F2B">
        <w:rPr>
          <w:sz w:val="22"/>
          <w:szCs w:val="22"/>
        </w:rPr>
        <w:t>o-sociale</w:t>
      </w:r>
      <w:r w:rsidR="00C979DE" w:rsidRPr="007F7EBF">
        <w:rPr>
          <w:sz w:val="22"/>
          <w:szCs w:val="22"/>
        </w:rPr>
        <w:t xml:space="preserve">, ma semplicemente di conoscerla. </w:t>
      </w:r>
      <w:r w:rsidR="00226F1E">
        <w:rPr>
          <w:sz w:val="22"/>
          <w:szCs w:val="22"/>
        </w:rPr>
        <w:t xml:space="preserve">Servirebbe cioè un controllo valutativo del territorio, basato sullo </w:t>
      </w:r>
      <w:r w:rsidR="00CD3DF0" w:rsidRPr="007F7EBF">
        <w:rPr>
          <w:sz w:val="22"/>
          <w:szCs w:val="22"/>
        </w:rPr>
        <w:t xml:space="preserve">schedario permanente dei contribuenti di cui al </w:t>
      </w:r>
      <w:r w:rsidR="00CD3DF0" w:rsidRPr="007F7EBF">
        <w:rPr>
          <w:sz w:val="22"/>
          <w:szCs w:val="22"/>
        </w:rPr>
        <w:lastRenderedPageBreak/>
        <w:t xml:space="preserve">par.5.7, utile anche a mirare meglio </w:t>
      </w:r>
      <w:r w:rsidR="0077699B" w:rsidRPr="007F7EBF">
        <w:rPr>
          <w:sz w:val="22"/>
          <w:szCs w:val="22"/>
        </w:rPr>
        <w:t>l’erogazione di provvidenze e sussidi pubblici</w:t>
      </w:r>
      <w:r w:rsidR="000A2256" w:rsidRPr="007F7EBF">
        <w:rPr>
          <w:rStyle w:val="Rimandonotaapidipagina"/>
          <w:sz w:val="22"/>
          <w:szCs w:val="22"/>
        </w:rPr>
        <w:footnoteReference w:id="670"/>
      </w:r>
      <w:r w:rsidR="00226F1E">
        <w:rPr>
          <w:sz w:val="22"/>
          <w:szCs w:val="22"/>
        </w:rPr>
        <w:t xml:space="preserve">. </w:t>
      </w:r>
    </w:p>
    <w:p w14:paraId="20A264AC" w14:textId="24322A20" w:rsidR="00C67BAC" w:rsidRPr="00510BD8" w:rsidRDefault="006342C5" w:rsidP="00014D40">
      <w:pPr>
        <w:pStyle w:val="Titolo3"/>
        <w:rPr>
          <w:rFonts w:ascii="Times New Roman" w:hAnsi="Times New Roman"/>
          <w:sz w:val="22"/>
          <w:szCs w:val="22"/>
          <w:lang w:val="it-IT"/>
        </w:rPr>
      </w:pPr>
      <w:bookmarkStart w:id="75" w:name="_Toc63364988"/>
      <w:r w:rsidRPr="007F7EBF">
        <w:rPr>
          <w:rFonts w:ascii="Times New Roman" w:hAnsi="Times New Roman"/>
          <w:sz w:val="22"/>
          <w:szCs w:val="22"/>
        </w:rPr>
        <w:t xml:space="preserve">5.16. </w:t>
      </w:r>
      <w:r w:rsidR="005E0E78">
        <w:rPr>
          <w:rFonts w:ascii="Times New Roman" w:hAnsi="Times New Roman"/>
          <w:sz w:val="22"/>
          <w:szCs w:val="22"/>
          <w:lang w:val="it-IT"/>
        </w:rPr>
        <w:t>Tracciabilità dei pagamenti, indagini bancarie e inefficienza delle relative presunzioni</w:t>
      </w:r>
      <w:bookmarkEnd w:id="75"/>
    </w:p>
    <w:p w14:paraId="4629F2AF" w14:textId="7953A645" w:rsidR="0047440E" w:rsidRPr="007F7EBF" w:rsidRDefault="00346D65" w:rsidP="0047440E">
      <w:pPr>
        <w:pStyle w:val="tit23"/>
        <w:ind w:left="6464" w:right="-1361" w:firstLine="0"/>
        <w:jc w:val="left"/>
        <w:rPr>
          <w:b/>
          <w:bCs/>
          <w:i/>
          <w:iCs/>
          <w:color w:val="0000FF"/>
          <w:lang w:val="it-IT"/>
        </w:rPr>
      </w:pPr>
      <w:r>
        <w:rPr>
          <w:b/>
          <w:bCs/>
          <w:i/>
          <w:iCs/>
          <w:color w:val="0000FF"/>
          <w:lang w:val="it-IT"/>
        </w:rPr>
        <w:t>Riflessi accertativi dell’illusione di “e</w:t>
      </w:r>
      <w:r w:rsidR="0047440E">
        <w:rPr>
          <w:b/>
          <w:bCs/>
          <w:i/>
          <w:iCs/>
          <w:color w:val="0000FF"/>
          <w:lang w:val="it-IT"/>
        </w:rPr>
        <w:t>sporta</w:t>
      </w:r>
      <w:r>
        <w:rPr>
          <w:b/>
          <w:bCs/>
          <w:i/>
          <w:iCs/>
          <w:color w:val="0000FF"/>
          <w:lang w:val="it-IT"/>
        </w:rPr>
        <w:t>r</w:t>
      </w:r>
      <w:r w:rsidR="0047440E">
        <w:rPr>
          <w:b/>
          <w:bCs/>
          <w:i/>
          <w:iCs/>
          <w:color w:val="0000FF"/>
          <w:lang w:val="it-IT"/>
        </w:rPr>
        <w:t>e la contabilità</w:t>
      </w:r>
      <w:r>
        <w:rPr>
          <w:b/>
          <w:bCs/>
          <w:i/>
          <w:iCs/>
          <w:color w:val="0000FF"/>
          <w:lang w:val="it-IT"/>
        </w:rPr>
        <w:t>”</w:t>
      </w:r>
    </w:p>
    <w:p w14:paraId="48B4FE4D" w14:textId="7446E408" w:rsidR="002D7C73" w:rsidRPr="007F7EBF" w:rsidRDefault="008406B4" w:rsidP="00CD0A61">
      <w:pPr>
        <w:autoSpaceDE w:val="0"/>
        <w:autoSpaceDN w:val="0"/>
        <w:adjustRightInd w:val="0"/>
        <w:rPr>
          <w:sz w:val="22"/>
          <w:szCs w:val="22"/>
        </w:rPr>
      </w:pPr>
      <w:r>
        <w:t>Vediamo in questo paragrafo l’inefficienza di molt</w:t>
      </w:r>
      <w:r w:rsidR="00B3488E">
        <w:t xml:space="preserve">e informazioni accessibili al fisco, se usate come surrogati di un’impossibile </w:t>
      </w:r>
      <w:r>
        <w:t>determinazione contabile (par.4.5 e 5.9)</w:t>
      </w:r>
      <w:r w:rsidR="00B3488E">
        <w:t xml:space="preserve"> in assenza di una cultura delle stime per ordine di grandezza; a queste ultime andrebbero infatti finalizzati gli</w:t>
      </w:r>
      <w:r>
        <w:t xml:space="preserve">  </w:t>
      </w:r>
      <w:r>
        <w:rPr>
          <w:i/>
          <w:iCs/>
        </w:rPr>
        <w:t>indizi contabili</w:t>
      </w:r>
      <w:r w:rsidRPr="007F7EBF">
        <w:t xml:space="preserve"> </w:t>
      </w:r>
      <w:r w:rsidR="00B3488E">
        <w:t>di cui al par.5.9</w:t>
      </w:r>
      <w:r w:rsidRPr="007F7EBF">
        <w:t xml:space="preserve"> </w:t>
      </w:r>
      <w:r w:rsidR="00B3488E">
        <w:t xml:space="preserve">. </w:t>
      </w:r>
    </w:p>
    <w:p w14:paraId="628CB07A" w14:textId="261490B8" w:rsidR="002D7C73" w:rsidRPr="007F7EBF" w:rsidRDefault="00B3488E" w:rsidP="002D7C73">
      <w:pPr>
        <w:pStyle w:val="tit23"/>
        <w:ind w:left="6464" w:right="-1361" w:firstLine="0"/>
        <w:jc w:val="left"/>
        <w:rPr>
          <w:bCs/>
          <w:i/>
          <w:iCs/>
          <w:color w:val="0000FF"/>
          <w:lang w:val="it-IT"/>
        </w:rPr>
      </w:pPr>
      <w:r>
        <w:rPr>
          <w:bCs/>
          <w:i/>
          <w:iCs/>
          <w:color w:val="0000FF"/>
          <w:lang w:val="it-IT"/>
        </w:rPr>
        <w:t>Sopravvalutazione delle</w:t>
      </w:r>
      <w:r w:rsidR="00E60236">
        <w:rPr>
          <w:bCs/>
          <w:i/>
          <w:iCs/>
          <w:color w:val="0000FF"/>
          <w:lang w:val="it-IT"/>
        </w:rPr>
        <w:t xml:space="preserve"> informazioni bancarie </w:t>
      </w:r>
    </w:p>
    <w:p w14:paraId="56852076" w14:textId="143444B7" w:rsidR="00B3488E" w:rsidRDefault="00B3488E" w:rsidP="00B3488E">
      <w:pPr>
        <w:autoSpaceDE w:val="0"/>
        <w:autoSpaceDN w:val="0"/>
        <w:adjustRightInd w:val="0"/>
        <w:rPr>
          <w:bCs/>
          <w:i/>
          <w:iCs/>
          <w:color w:val="0000FF"/>
          <w:sz w:val="22"/>
          <w:szCs w:val="22"/>
        </w:rPr>
      </w:pPr>
      <w:r>
        <w:t xml:space="preserve">All’illusione di </w:t>
      </w:r>
      <w:r w:rsidRPr="007F7EBF">
        <w:rPr>
          <w:sz w:val="22"/>
          <w:szCs w:val="22"/>
        </w:rPr>
        <w:t>“esportare la contabilità”</w:t>
      </w:r>
      <w:r>
        <w:rPr>
          <w:sz w:val="22"/>
          <w:szCs w:val="22"/>
        </w:rPr>
        <w:t xml:space="preserve"> (par.4.5) dove mancano esigenze di documentazione amministrativa, risponde il mito della </w:t>
      </w:r>
      <w:r w:rsidRPr="007F7EBF">
        <w:rPr>
          <w:sz w:val="22"/>
          <w:szCs w:val="22"/>
        </w:rPr>
        <w:t>"tracciabilità</w:t>
      </w:r>
      <w:r w:rsidR="003C2BA2">
        <w:rPr>
          <w:sz w:val="22"/>
          <w:szCs w:val="22"/>
        </w:rPr>
        <w:t xml:space="preserve"> dei pagamenti</w:t>
      </w:r>
      <w:r w:rsidRPr="007F7EBF">
        <w:rPr>
          <w:sz w:val="22"/>
          <w:szCs w:val="22"/>
        </w:rPr>
        <w:t>".</w:t>
      </w:r>
      <w:r w:rsidR="003C2BA2">
        <w:rPr>
          <w:sz w:val="22"/>
          <w:szCs w:val="22"/>
        </w:rPr>
        <w:t xml:space="preserve"> </w:t>
      </w:r>
      <w:r w:rsidR="007B3242">
        <w:rPr>
          <w:sz w:val="22"/>
          <w:szCs w:val="22"/>
        </w:rPr>
        <w:t xml:space="preserve">Nel dibattito pubblico sull’evasione si guarda spesso alle </w:t>
      </w:r>
      <w:r w:rsidR="00314D8C">
        <w:rPr>
          <w:sz w:val="22"/>
          <w:szCs w:val="22"/>
        </w:rPr>
        <w:t>informazioni bancarie</w:t>
      </w:r>
      <w:r w:rsidR="007B3242">
        <w:rPr>
          <w:sz w:val="22"/>
          <w:szCs w:val="22"/>
        </w:rPr>
        <w:t xml:space="preserve"> e all’eliminazione del contante </w:t>
      </w:r>
      <w:r w:rsidR="00314D8C">
        <w:rPr>
          <w:sz w:val="22"/>
          <w:szCs w:val="22"/>
        </w:rPr>
        <w:t xml:space="preserve">come l’”arma finale” contro l’evasione. </w:t>
      </w:r>
      <w:r w:rsidR="00CD0A61">
        <w:rPr>
          <w:sz w:val="22"/>
          <w:szCs w:val="22"/>
        </w:rPr>
        <w:t xml:space="preserve"> </w:t>
      </w:r>
      <w:r w:rsidR="007B3242">
        <w:rPr>
          <w:sz w:val="22"/>
          <w:szCs w:val="22"/>
        </w:rPr>
        <w:t xml:space="preserve">Sono stati necessari decenni a un </w:t>
      </w:r>
      <w:r w:rsidR="007B3242" w:rsidRPr="007F7EBF">
        <w:rPr>
          <w:sz w:val="22"/>
          <w:szCs w:val="22"/>
        </w:rPr>
        <w:t xml:space="preserve">collegamento informatico "di massa" </w:t>
      </w:r>
      <w:r w:rsidR="007B3242">
        <w:rPr>
          <w:sz w:val="22"/>
          <w:szCs w:val="22"/>
        </w:rPr>
        <w:t xml:space="preserve">tra istituti di credito e </w:t>
      </w:r>
      <w:r w:rsidR="007B3242" w:rsidRPr="007F7EBF">
        <w:rPr>
          <w:sz w:val="22"/>
          <w:szCs w:val="22"/>
        </w:rPr>
        <w:t xml:space="preserve">c.d. </w:t>
      </w:r>
      <w:r w:rsidR="007B3242" w:rsidRPr="007F7EBF">
        <w:rPr>
          <w:bCs/>
          <w:sz w:val="22"/>
          <w:szCs w:val="22"/>
        </w:rPr>
        <w:t xml:space="preserve">anagrafe generale </w:t>
      </w:r>
      <w:r w:rsidR="007B3242" w:rsidRPr="007F7EBF">
        <w:rPr>
          <w:sz w:val="22"/>
          <w:szCs w:val="22"/>
        </w:rPr>
        <w:t xml:space="preserve">dei conti bancari. Quest'ultima consente </w:t>
      </w:r>
      <w:r w:rsidR="007B3242">
        <w:rPr>
          <w:sz w:val="22"/>
          <w:szCs w:val="22"/>
        </w:rPr>
        <w:t xml:space="preserve">oggi </w:t>
      </w:r>
      <w:r w:rsidR="007B3242" w:rsidRPr="007F7EBF">
        <w:rPr>
          <w:sz w:val="22"/>
          <w:szCs w:val="22"/>
        </w:rPr>
        <w:t>all’amministrazione finanziaria di conoscere in tempo reale dove il contribuente intrattiene i conti, e anche quanto sono stati movimentati, in modo da poter chiedere alla singola banca interessata</w:t>
      </w:r>
      <w:r w:rsidR="007B3242">
        <w:rPr>
          <w:sz w:val="22"/>
          <w:szCs w:val="22"/>
        </w:rPr>
        <w:t xml:space="preserve"> gli estratti conto del cliente</w:t>
      </w:r>
      <w:r w:rsidR="007B3242" w:rsidRPr="007F7EBF">
        <w:rPr>
          <w:sz w:val="22"/>
          <w:szCs w:val="22"/>
        </w:rPr>
        <w:t>.</w:t>
      </w:r>
      <w:r w:rsidR="007B3242" w:rsidRPr="00314D8C">
        <w:rPr>
          <w:sz w:val="22"/>
          <w:szCs w:val="22"/>
        </w:rPr>
        <w:t xml:space="preserve"> </w:t>
      </w:r>
    </w:p>
    <w:p w14:paraId="4C3B439B" w14:textId="04B2ACB6" w:rsidR="00B3488E" w:rsidRDefault="00B3488E" w:rsidP="00B3488E">
      <w:pPr>
        <w:pStyle w:val="tit23"/>
        <w:ind w:left="6464" w:right="-1361" w:firstLine="0"/>
        <w:jc w:val="left"/>
        <w:rPr>
          <w:bCs/>
          <w:i/>
          <w:iCs/>
          <w:color w:val="0000FF"/>
          <w:lang w:val="it-IT"/>
        </w:rPr>
      </w:pPr>
      <w:r>
        <w:rPr>
          <w:bCs/>
          <w:i/>
          <w:iCs/>
          <w:color w:val="0000FF"/>
          <w:lang w:val="it-IT"/>
        </w:rPr>
        <w:t>L’anagrafe dei conti: ritardi e contromisure</w:t>
      </w:r>
    </w:p>
    <w:p w14:paraId="6B5D0FFC" w14:textId="49478A74" w:rsidR="0068126E" w:rsidRDefault="00314D8C" w:rsidP="0068126E">
      <w:r w:rsidRPr="007F7EBF">
        <w:rPr>
          <w:sz w:val="22"/>
          <w:szCs w:val="22"/>
        </w:rPr>
        <w:t xml:space="preserve">E' </w:t>
      </w:r>
      <w:r>
        <w:rPr>
          <w:sz w:val="22"/>
          <w:szCs w:val="22"/>
        </w:rPr>
        <w:t>tuttavia</w:t>
      </w:r>
      <w:r w:rsidRPr="007F7EBF">
        <w:rPr>
          <w:sz w:val="22"/>
          <w:szCs w:val="22"/>
        </w:rPr>
        <w:t xml:space="preserve"> difficile stabilire (</w:t>
      </w:r>
      <w:r w:rsidRPr="007F7EBF">
        <w:rPr>
          <w:rStyle w:val="Rimandonotaapidipagina"/>
          <w:sz w:val="22"/>
          <w:szCs w:val="22"/>
        </w:rPr>
        <w:footnoteReference w:id="671"/>
      </w:r>
      <w:r w:rsidRPr="007F7EBF">
        <w:rPr>
          <w:sz w:val="22"/>
          <w:szCs w:val="22"/>
        </w:rPr>
        <w:t>) se dietro a innumerevoli operazioni effettuate con bancomat, assegni o bonifici c'</w:t>
      </w:r>
      <w:proofErr w:type="spellStart"/>
      <w:r w:rsidRPr="007F7EBF">
        <w:rPr>
          <w:sz w:val="22"/>
          <w:szCs w:val="22"/>
        </w:rPr>
        <w:t>é</w:t>
      </w:r>
      <w:proofErr w:type="spellEnd"/>
      <w:r w:rsidRPr="007F7EBF">
        <w:rPr>
          <w:sz w:val="22"/>
          <w:szCs w:val="22"/>
        </w:rPr>
        <w:t xml:space="preserve">  una erogazione di reddito o una percezione di spese per consumi.</w:t>
      </w:r>
      <w:r w:rsidRPr="00314D8C">
        <w:rPr>
          <w:sz w:val="22"/>
          <w:szCs w:val="22"/>
        </w:rPr>
        <w:t xml:space="preserve"> </w:t>
      </w:r>
      <w:r w:rsidR="007B3242">
        <w:rPr>
          <w:sz w:val="22"/>
          <w:szCs w:val="22"/>
        </w:rPr>
        <w:t xml:space="preserve">Le  banche invece </w:t>
      </w:r>
      <w:r w:rsidR="007B3242" w:rsidRPr="007F7EBF">
        <w:rPr>
          <w:sz w:val="22"/>
          <w:szCs w:val="22"/>
        </w:rPr>
        <w:t xml:space="preserve">non hanno né </w:t>
      </w:r>
      <w:r w:rsidR="007B3242" w:rsidRPr="007F7EBF">
        <w:rPr>
          <w:sz w:val="22"/>
          <w:szCs w:val="22"/>
        </w:rPr>
        <w:lastRenderedPageBreak/>
        <w:t xml:space="preserve">possono avere la minima idea del motivo economico per cui, sui conti dei clienti, transitano somme in entrata e in uscita. Per questo </w:t>
      </w:r>
      <w:r w:rsidR="007B3242">
        <w:rPr>
          <w:sz w:val="22"/>
          <w:szCs w:val="22"/>
        </w:rPr>
        <w:t>i conti bancari</w:t>
      </w:r>
      <w:r w:rsidR="007B3242" w:rsidRPr="007F7EBF">
        <w:rPr>
          <w:sz w:val="22"/>
          <w:szCs w:val="22"/>
        </w:rPr>
        <w:t>, per quanto accessibili dal fisco, non si presteranno mai ad una determinazione ragionieristica "di massa" de</w:t>
      </w:r>
      <w:r w:rsidR="007B3242">
        <w:rPr>
          <w:sz w:val="22"/>
          <w:szCs w:val="22"/>
        </w:rPr>
        <w:t xml:space="preserve">gli imponibili </w:t>
      </w:r>
      <w:r w:rsidR="007B3242" w:rsidRPr="007F7EBF">
        <w:rPr>
          <w:sz w:val="22"/>
          <w:szCs w:val="22"/>
        </w:rPr>
        <w:t>non determina</w:t>
      </w:r>
      <w:r w:rsidR="007B3242">
        <w:rPr>
          <w:sz w:val="22"/>
          <w:szCs w:val="22"/>
        </w:rPr>
        <w:t>ti</w:t>
      </w:r>
      <w:r w:rsidR="007B3242" w:rsidRPr="007F7EBF">
        <w:rPr>
          <w:sz w:val="22"/>
          <w:szCs w:val="22"/>
        </w:rPr>
        <w:t xml:space="preserve"> attraverso le aziende. </w:t>
      </w:r>
      <w:r w:rsidRPr="007F7EBF">
        <w:rPr>
          <w:sz w:val="22"/>
          <w:szCs w:val="22"/>
        </w:rPr>
        <w:t>La tracciabilità non potrebbe insomma essere sistematica, in quanto a milioni di contribuenti e piccole organizzazioni corrisponderebbero miliardi di  operazioni da controllare e interpretare.</w:t>
      </w:r>
      <w:r w:rsidR="0068126E">
        <w:t xml:space="preserve"> </w:t>
      </w:r>
    </w:p>
    <w:p w14:paraId="388A2561" w14:textId="6C3B26C9" w:rsidR="00314D8C" w:rsidRPr="007F7EBF" w:rsidRDefault="00314D8C" w:rsidP="00314D8C">
      <w:pPr>
        <w:autoSpaceDE w:val="0"/>
        <w:autoSpaceDN w:val="0"/>
        <w:adjustRightInd w:val="0"/>
        <w:rPr>
          <w:sz w:val="22"/>
          <w:szCs w:val="22"/>
        </w:rPr>
      </w:pPr>
    </w:p>
    <w:p w14:paraId="4D372D3D" w14:textId="5F781548" w:rsidR="00313148" w:rsidRPr="007F7EBF" w:rsidRDefault="00B3488E" w:rsidP="00314D8C">
      <w:pPr>
        <w:pStyle w:val="tit23"/>
        <w:ind w:left="6464" w:right="-1361" w:firstLine="0"/>
        <w:jc w:val="left"/>
        <w:rPr>
          <w:bCs/>
          <w:i/>
          <w:iCs/>
          <w:color w:val="0000FF"/>
          <w:lang w:val="it-IT"/>
        </w:rPr>
      </w:pPr>
      <w:r>
        <w:rPr>
          <w:bCs/>
          <w:i/>
          <w:iCs/>
          <w:color w:val="0000FF"/>
          <w:lang w:val="it-IT"/>
        </w:rPr>
        <w:t>Le vessatorie p</w:t>
      </w:r>
      <w:r w:rsidR="00314D8C">
        <w:rPr>
          <w:bCs/>
          <w:i/>
          <w:iCs/>
          <w:color w:val="0000FF"/>
          <w:lang w:val="it-IT"/>
        </w:rPr>
        <w:t>resunzioni legali</w:t>
      </w:r>
    </w:p>
    <w:p w14:paraId="58CF6B4E" w14:textId="3D4D0504" w:rsidR="00313148" w:rsidRPr="007F7EBF" w:rsidRDefault="00314D8C" w:rsidP="00750628">
      <w:pPr>
        <w:autoSpaceDE w:val="0"/>
        <w:autoSpaceDN w:val="0"/>
        <w:adjustRightInd w:val="0"/>
        <w:rPr>
          <w:sz w:val="22"/>
          <w:szCs w:val="22"/>
        </w:rPr>
      </w:pPr>
      <w:r w:rsidRPr="007F7EBF">
        <w:rPr>
          <w:sz w:val="22"/>
          <w:szCs w:val="22"/>
        </w:rPr>
        <w:t xml:space="preserve">L'utilizzazione presuntiva, come indizi contabili, delle suddette tracce finanziarie, potrebbe anche essere utile </w:t>
      </w:r>
      <w:r>
        <w:rPr>
          <w:sz w:val="22"/>
          <w:szCs w:val="22"/>
        </w:rPr>
        <w:t>un arricchimento delle fonti di stima, nella logica degli “indizi contabili” di cui al par.5.9. Invece la ritrosia alla “cultura della stima” e il formalismo legalistico hanno i</w:t>
      </w:r>
      <w:r w:rsidR="007A75C7" w:rsidRPr="007F7EBF">
        <w:rPr>
          <w:sz w:val="22"/>
          <w:szCs w:val="22"/>
        </w:rPr>
        <w:t>ndotto a prendere scorciatoie legislative</w:t>
      </w:r>
      <w:r>
        <w:rPr>
          <w:sz w:val="22"/>
          <w:szCs w:val="22"/>
        </w:rPr>
        <w:t xml:space="preserve">. Sono infatti ormai </w:t>
      </w:r>
      <w:r w:rsidR="00E60159" w:rsidRPr="007F7EBF">
        <w:rPr>
          <w:sz w:val="22"/>
          <w:szCs w:val="22"/>
        </w:rPr>
        <w:t xml:space="preserve">vigenti </w:t>
      </w:r>
      <w:r w:rsidR="002D7C73" w:rsidRPr="007F7EBF">
        <w:rPr>
          <w:sz w:val="22"/>
          <w:szCs w:val="22"/>
        </w:rPr>
        <w:t xml:space="preserve">in Italia </w:t>
      </w:r>
      <w:r w:rsidR="00E60159" w:rsidRPr="007F7EBF">
        <w:rPr>
          <w:sz w:val="22"/>
          <w:szCs w:val="22"/>
        </w:rPr>
        <w:t>da vent'anni</w:t>
      </w:r>
      <w:r w:rsidR="007A75C7" w:rsidRPr="007F7EBF">
        <w:rPr>
          <w:sz w:val="22"/>
          <w:szCs w:val="22"/>
        </w:rPr>
        <w:t xml:space="preserve">, </w:t>
      </w:r>
      <w:r>
        <w:rPr>
          <w:sz w:val="22"/>
          <w:szCs w:val="22"/>
        </w:rPr>
        <w:t xml:space="preserve">regole </w:t>
      </w:r>
      <w:r w:rsidR="007A75C7" w:rsidRPr="007F7EBF">
        <w:rPr>
          <w:sz w:val="22"/>
          <w:szCs w:val="22"/>
        </w:rPr>
        <w:t xml:space="preserve">secondo cui </w:t>
      </w:r>
      <w:r w:rsidR="006342C5" w:rsidRPr="007F7EBF">
        <w:rPr>
          <w:sz w:val="22"/>
          <w:szCs w:val="22"/>
        </w:rPr>
        <w:t xml:space="preserve">tutti i </w:t>
      </w:r>
      <w:r w:rsidR="006342C5" w:rsidRPr="007F7EBF">
        <w:rPr>
          <w:bCs/>
          <w:sz w:val="22"/>
          <w:szCs w:val="22"/>
        </w:rPr>
        <w:t>versamenti</w:t>
      </w:r>
      <w:r w:rsidR="00E60159" w:rsidRPr="007F7EBF">
        <w:rPr>
          <w:bCs/>
          <w:sz w:val="22"/>
          <w:szCs w:val="22"/>
        </w:rPr>
        <w:t xml:space="preserve"> </w:t>
      </w:r>
      <w:r w:rsidR="006342C5" w:rsidRPr="007F7EBF">
        <w:rPr>
          <w:bCs/>
          <w:sz w:val="22"/>
          <w:szCs w:val="22"/>
        </w:rPr>
        <w:t>e i prelevament</w:t>
      </w:r>
      <w:r w:rsidR="006342C5" w:rsidRPr="007F7EBF">
        <w:rPr>
          <w:sz w:val="22"/>
          <w:szCs w:val="22"/>
        </w:rPr>
        <w:t xml:space="preserve">i non spiegati dal contribuente, si considerano </w:t>
      </w:r>
      <w:r w:rsidR="006342C5" w:rsidRPr="007F7EBF">
        <w:rPr>
          <w:bCs/>
          <w:sz w:val="22"/>
          <w:szCs w:val="22"/>
        </w:rPr>
        <w:t>come ricavi o compensi</w:t>
      </w:r>
      <w:r w:rsidR="00AF0B6E" w:rsidRPr="007F7EBF">
        <w:rPr>
          <w:bCs/>
          <w:sz w:val="22"/>
          <w:szCs w:val="22"/>
        </w:rPr>
        <w:t xml:space="preserve"> </w:t>
      </w:r>
      <w:r w:rsidR="00E60159" w:rsidRPr="007F7EBF">
        <w:rPr>
          <w:bCs/>
          <w:sz w:val="22"/>
          <w:szCs w:val="22"/>
        </w:rPr>
        <w:t>non registrati</w:t>
      </w:r>
      <w:r w:rsidR="006342C5" w:rsidRPr="007F7EBF">
        <w:rPr>
          <w:bCs/>
          <w:sz w:val="22"/>
          <w:szCs w:val="22"/>
        </w:rPr>
        <w:t xml:space="preserve"> </w:t>
      </w:r>
      <w:r w:rsidR="008B48F7" w:rsidRPr="007F7EBF">
        <w:rPr>
          <w:sz w:val="22"/>
          <w:szCs w:val="22"/>
        </w:rPr>
        <w:t>(</w:t>
      </w:r>
      <w:r w:rsidR="00514955" w:rsidRPr="007F7EBF">
        <w:rPr>
          <w:rStyle w:val="Rimandonotaapidipagina"/>
          <w:sz w:val="22"/>
          <w:szCs w:val="22"/>
        </w:rPr>
        <w:footnoteReference w:id="672"/>
      </w:r>
      <w:r w:rsidR="008B48F7" w:rsidRPr="007F7EBF">
        <w:rPr>
          <w:sz w:val="22"/>
          <w:szCs w:val="22"/>
        </w:rPr>
        <w:t xml:space="preserve">). </w:t>
      </w:r>
    </w:p>
    <w:p w14:paraId="5E9EF9DA" w14:textId="3E0D532D" w:rsidR="00E60236" w:rsidRPr="00E60236" w:rsidRDefault="008C7AEF" w:rsidP="00E60236">
      <w:pPr>
        <w:autoSpaceDE w:val="0"/>
        <w:autoSpaceDN w:val="0"/>
        <w:adjustRightInd w:val="0"/>
        <w:rPr>
          <w:bCs/>
          <w:i/>
          <w:iCs/>
          <w:color w:val="0000FF"/>
          <w:sz w:val="22"/>
          <w:szCs w:val="22"/>
        </w:rPr>
      </w:pPr>
      <w:r w:rsidRPr="007F7EBF">
        <w:rPr>
          <w:sz w:val="22"/>
          <w:szCs w:val="22"/>
        </w:rPr>
        <w:t xml:space="preserve">La </w:t>
      </w:r>
      <w:r w:rsidR="006342C5" w:rsidRPr="007F7EBF">
        <w:rPr>
          <w:sz w:val="22"/>
          <w:szCs w:val="22"/>
        </w:rPr>
        <w:t>rilevanza reddituale dei</w:t>
      </w:r>
      <w:r w:rsidR="00AF0B6E" w:rsidRPr="007F7EBF">
        <w:rPr>
          <w:sz w:val="22"/>
          <w:szCs w:val="22"/>
        </w:rPr>
        <w:t xml:space="preserve"> </w:t>
      </w:r>
      <w:r w:rsidR="00FE2446" w:rsidRPr="007F7EBF">
        <w:rPr>
          <w:sz w:val="22"/>
          <w:szCs w:val="22"/>
        </w:rPr>
        <w:t>versamenti è conforme a nozioni di esperienza comune</w:t>
      </w:r>
      <w:r w:rsidR="00EC05D8" w:rsidRPr="007F7EBF">
        <w:rPr>
          <w:rStyle w:val="Rimandonotaapidipagina"/>
          <w:sz w:val="22"/>
          <w:szCs w:val="22"/>
        </w:rPr>
        <w:footnoteReference w:id="673"/>
      </w:r>
      <w:r w:rsidR="00FE2446" w:rsidRPr="007F7EBF">
        <w:rPr>
          <w:sz w:val="22"/>
          <w:szCs w:val="22"/>
        </w:rPr>
        <w:t xml:space="preserve">, mentre quella dei </w:t>
      </w:r>
      <w:r w:rsidR="006342C5" w:rsidRPr="007F7EBF">
        <w:rPr>
          <w:sz w:val="22"/>
          <w:szCs w:val="22"/>
        </w:rPr>
        <w:t>prelevamenti</w:t>
      </w:r>
      <w:r w:rsidRPr="007F7EBF">
        <w:rPr>
          <w:sz w:val="22"/>
          <w:szCs w:val="22"/>
        </w:rPr>
        <w:t xml:space="preserve"> è per molti versi irrazionale, </w:t>
      </w:r>
      <w:r w:rsidRPr="007F7EBF">
        <w:rPr>
          <w:i/>
          <w:sz w:val="22"/>
          <w:szCs w:val="22"/>
        </w:rPr>
        <w:t>contronatura</w:t>
      </w:r>
      <w:r w:rsidRPr="007F7EBF">
        <w:rPr>
          <w:sz w:val="22"/>
          <w:szCs w:val="22"/>
        </w:rPr>
        <w:t xml:space="preserve"> sul piano della determinazione della ricchezza. </w:t>
      </w:r>
      <w:r w:rsidR="008B48F7" w:rsidRPr="007F7EBF">
        <w:rPr>
          <w:sz w:val="22"/>
          <w:szCs w:val="22"/>
        </w:rPr>
        <w:t xml:space="preserve">Queste presunzioni </w:t>
      </w:r>
      <w:r w:rsidR="006342C5" w:rsidRPr="007F7EBF">
        <w:rPr>
          <w:sz w:val="22"/>
          <w:szCs w:val="22"/>
        </w:rPr>
        <w:t>asseconda</w:t>
      </w:r>
      <w:r w:rsidR="008B48F7" w:rsidRPr="007F7EBF">
        <w:rPr>
          <w:sz w:val="22"/>
          <w:szCs w:val="22"/>
        </w:rPr>
        <w:t>no</w:t>
      </w:r>
      <w:r w:rsidR="006342C5" w:rsidRPr="007F7EBF">
        <w:rPr>
          <w:sz w:val="22"/>
          <w:szCs w:val="22"/>
        </w:rPr>
        <w:t xml:space="preserve"> la solita </w:t>
      </w:r>
      <w:r w:rsidR="006342C5" w:rsidRPr="007F7EBF">
        <w:rPr>
          <w:bCs/>
          <w:sz w:val="22"/>
          <w:szCs w:val="22"/>
        </w:rPr>
        <w:t xml:space="preserve">deresponsabilizzata tendenza </w:t>
      </w:r>
      <w:r w:rsidR="006342C5" w:rsidRPr="007F7EBF">
        <w:rPr>
          <w:sz w:val="22"/>
          <w:szCs w:val="22"/>
        </w:rPr>
        <w:t xml:space="preserve">degli </w:t>
      </w:r>
      <w:r w:rsidR="006342C5" w:rsidRPr="007F7EBF">
        <w:rPr>
          <w:bCs/>
          <w:sz w:val="22"/>
          <w:szCs w:val="22"/>
        </w:rPr>
        <w:t xml:space="preserve">uffici </w:t>
      </w:r>
      <w:r w:rsidR="006342C5" w:rsidRPr="007F7EBF">
        <w:rPr>
          <w:sz w:val="22"/>
          <w:szCs w:val="22"/>
        </w:rPr>
        <w:t>di “</w:t>
      </w:r>
      <w:r w:rsidR="006342C5" w:rsidRPr="007F7EBF">
        <w:rPr>
          <w:bCs/>
          <w:sz w:val="22"/>
          <w:szCs w:val="22"/>
        </w:rPr>
        <w:t>non</w:t>
      </w:r>
      <w:r w:rsidR="00AF0B6E" w:rsidRPr="007F7EBF">
        <w:rPr>
          <w:bCs/>
          <w:sz w:val="22"/>
          <w:szCs w:val="22"/>
        </w:rPr>
        <w:t xml:space="preserve"> </w:t>
      </w:r>
      <w:r w:rsidR="006342C5" w:rsidRPr="007F7EBF">
        <w:rPr>
          <w:bCs/>
          <w:sz w:val="22"/>
          <w:szCs w:val="22"/>
        </w:rPr>
        <w:t>valutare</w:t>
      </w:r>
      <w:r w:rsidR="006342C5" w:rsidRPr="007F7EBF">
        <w:rPr>
          <w:sz w:val="22"/>
          <w:szCs w:val="22"/>
        </w:rPr>
        <w:t>”, lasciando che il contribuente si tragga d’impaccio in sede giurisdizionale,</w:t>
      </w:r>
      <w:r w:rsidR="00AF0B6E" w:rsidRPr="007F7EBF">
        <w:rPr>
          <w:sz w:val="22"/>
          <w:szCs w:val="22"/>
        </w:rPr>
        <w:t xml:space="preserve"> </w:t>
      </w:r>
      <w:r w:rsidR="006342C5" w:rsidRPr="007F7EBF">
        <w:rPr>
          <w:sz w:val="22"/>
          <w:szCs w:val="22"/>
        </w:rPr>
        <w:t>cosa molto difficile vista la sbrigatività del processo tributario.</w:t>
      </w:r>
      <w:r w:rsidR="00514955" w:rsidRPr="007F7EBF">
        <w:rPr>
          <w:sz w:val="22"/>
          <w:szCs w:val="22"/>
        </w:rPr>
        <w:t xml:space="preserve"> La c</w:t>
      </w:r>
      <w:r w:rsidR="00514955" w:rsidRPr="007F7EBF">
        <w:rPr>
          <w:bCs/>
          <w:sz w:val="22"/>
          <w:szCs w:val="22"/>
        </w:rPr>
        <w:t>onsapevolezza</w:t>
      </w:r>
      <w:r w:rsidR="00514955" w:rsidRPr="007F7EBF">
        <w:rPr>
          <w:sz w:val="22"/>
          <w:szCs w:val="22"/>
        </w:rPr>
        <w:t>, da parte degli uffici, della vessatorietà di queste presunzioni "contronatura" (soprattutto quella sui prelevamenti)  finisce per frenare spesso, indirettamente, l'uso stesso delle  indagini bancarie (</w:t>
      </w:r>
      <w:r w:rsidR="00514955" w:rsidRPr="007F7EBF">
        <w:rPr>
          <w:rStyle w:val="Rimandonotaapidipagina"/>
          <w:sz w:val="22"/>
          <w:szCs w:val="22"/>
        </w:rPr>
        <w:footnoteReference w:id="674"/>
      </w:r>
      <w:r w:rsidR="00514955" w:rsidRPr="007F7EBF">
        <w:rPr>
          <w:sz w:val="22"/>
          <w:szCs w:val="22"/>
        </w:rPr>
        <w:t xml:space="preserve">). </w:t>
      </w:r>
    </w:p>
    <w:p w14:paraId="13E403C7" w14:textId="396FAA3F" w:rsidR="00E60236" w:rsidRPr="007F7EBF" w:rsidRDefault="00E60236" w:rsidP="00E60236">
      <w:pPr>
        <w:pStyle w:val="tit23"/>
        <w:ind w:left="6464" w:right="-1361" w:firstLine="0"/>
        <w:jc w:val="left"/>
        <w:rPr>
          <w:b/>
          <w:bCs/>
          <w:i/>
          <w:iCs/>
          <w:color w:val="0000FF"/>
          <w:lang w:val="it-IT"/>
        </w:rPr>
      </w:pPr>
      <w:r>
        <w:rPr>
          <w:b/>
          <w:bCs/>
          <w:i/>
          <w:iCs/>
          <w:color w:val="0000FF"/>
          <w:lang w:val="it-IT"/>
        </w:rPr>
        <w:lastRenderedPageBreak/>
        <w:t>Abolizione del contante e tracciabilità</w:t>
      </w:r>
      <w:r w:rsidRPr="007F7EBF">
        <w:rPr>
          <w:b/>
          <w:bCs/>
          <w:i/>
          <w:iCs/>
          <w:color w:val="0000FF"/>
          <w:lang w:val="it-IT"/>
        </w:rPr>
        <w:t xml:space="preserve">  </w:t>
      </w:r>
    </w:p>
    <w:p w14:paraId="299999FE" w14:textId="1054FE01" w:rsidR="007B3242" w:rsidRDefault="00314D8C" w:rsidP="007B3242">
      <w:pPr>
        <w:autoSpaceDE w:val="0"/>
        <w:autoSpaceDN w:val="0"/>
        <w:adjustRightInd w:val="0"/>
        <w:rPr>
          <w:bCs/>
          <w:i/>
          <w:iCs/>
          <w:color w:val="0000FF"/>
          <w:sz w:val="22"/>
          <w:szCs w:val="22"/>
        </w:rPr>
      </w:pPr>
      <w:r>
        <w:rPr>
          <w:sz w:val="22"/>
          <w:szCs w:val="22"/>
        </w:rPr>
        <w:t xml:space="preserve">Ciò </w:t>
      </w:r>
      <w:r w:rsidR="00E60236">
        <w:rPr>
          <w:sz w:val="22"/>
          <w:szCs w:val="22"/>
        </w:rPr>
        <w:t>ridimensiona le illus</w:t>
      </w:r>
      <w:r>
        <w:rPr>
          <w:sz w:val="22"/>
          <w:szCs w:val="22"/>
        </w:rPr>
        <w:t xml:space="preserve">ioni </w:t>
      </w:r>
      <w:r w:rsidR="00E60236">
        <w:rPr>
          <w:sz w:val="22"/>
          <w:szCs w:val="22"/>
        </w:rPr>
        <w:t xml:space="preserve">di poter  determinare ordinariamente gli imponibili attraverso le informazioni </w:t>
      </w:r>
      <w:r w:rsidR="00E60236" w:rsidRPr="007F7EBF">
        <w:t>derivanti dalla moneta elettronica, dalle carte di credito</w:t>
      </w:r>
      <w:r w:rsidR="00E60236">
        <w:t>, e da altri strumenti sostitutivi del contante</w:t>
      </w:r>
      <w:r w:rsidR="00E60236" w:rsidRPr="007F7EBF">
        <w:rPr>
          <w:sz w:val="22"/>
          <w:szCs w:val="22"/>
        </w:rPr>
        <w:t xml:space="preserve">. </w:t>
      </w:r>
      <w:r>
        <w:rPr>
          <w:sz w:val="22"/>
          <w:szCs w:val="22"/>
        </w:rPr>
        <w:t>E’ il solito e</w:t>
      </w:r>
      <w:r w:rsidR="006E4CEC">
        <w:rPr>
          <w:sz w:val="22"/>
          <w:szCs w:val="22"/>
        </w:rPr>
        <w:t xml:space="preserve">quivoco di associare a questi strumenti </w:t>
      </w:r>
      <w:r>
        <w:rPr>
          <w:sz w:val="22"/>
          <w:szCs w:val="22"/>
        </w:rPr>
        <w:t>ri</w:t>
      </w:r>
      <w:r w:rsidR="006E4CEC">
        <w:rPr>
          <w:sz w:val="22"/>
          <w:szCs w:val="22"/>
        </w:rPr>
        <w:t>determinazioni ragionieristiche delle basi imponibili (</w:t>
      </w:r>
      <w:r w:rsidR="006E4CEC">
        <w:rPr>
          <w:rStyle w:val="Rimandonotaapidipagina"/>
          <w:sz w:val="22"/>
          <w:szCs w:val="22"/>
        </w:rPr>
        <w:footnoteReference w:id="675"/>
      </w:r>
      <w:r w:rsidR="006E4CEC">
        <w:rPr>
          <w:sz w:val="22"/>
          <w:szCs w:val="22"/>
        </w:rPr>
        <w:t>)</w:t>
      </w:r>
      <w:r w:rsidR="00D824E4">
        <w:rPr>
          <w:sz w:val="22"/>
          <w:szCs w:val="22"/>
        </w:rPr>
        <w:t xml:space="preserve">; </w:t>
      </w:r>
      <w:r w:rsidR="006E4CEC">
        <w:rPr>
          <w:sz w:val="22"/>
          <w:szCs w:val="22"/>
        </w:rPr>
        <w:t>la c.d.</w:t>
      </w:r>
      <w:r w:rsidR="00E60236" w:rsidRPr="007F7EBF">
        <w:rPr>
          <w:sz w:val="22"/>
          <w:szCs w:val="22"/>
        </w:rPr>
        <w:t xml:space="preserve"> "tracciabilità" è </w:t>
      </w:r>
      <w:r w:rsidR="006E4CEC">
        <w:rPr>
          <w:sz w:val="22"/>
          <w:szCs w:val="22"/>
        </w:rPr>
        <w:t>solo un</w:t>
      </w:r>
      <w:r w:rsidR="00D824E4">
        <w:rPr>
          <w:sz w:val="22"/>
          <w:szCs w:val="22"/>
        </w:rPr>
        <w:t>a possibilità teorica, praticabile per pochissime posizioni, e non certo in via sistematica</w:t>
      </w:r>
      <w:r w:rsidR="00936039">
        <w:rPr>
          <w:sz w:val="22"/>
          <w:szCs w:val="22"/>
        </w:rPr>
        <w:t>; essa fornisce un</w:t>
      </w:r>
      <w:r w:rsidR="006E4CEC">
        <w:rPr>
          <w:sz w:val="22"/>
          <w:szCs w:val="22"/>
        </w:rPr>
        <w:t xml:space="preserve"> altro “indizio contabile”</w:t>
      </w:r>
      <w:r w:rsidR="00936039">
        <w:rPr>
          <w:sz w:val="22"/>
          <w:szCs w:val="22"/>
        </w:rPr>
        <w:t xml:space="preserve"> di cui al par.5.9; di tali indizi </w:t>
      </w:r>
      <w:r w:rsidR="006E4CEC">
        <w:rPr>
          <w:sz w:val="22"/>
          <w:szCs w:val="22"/>
        </w:rPr>
        <w:t xml:space="preserve">ce ne sono </w:t>
      </w:r>
      <w:r w:rsidR="00936039">
        <w:rPr>
          <w:sz w:val="22"/>
          <w:szCs w:val="22"/>
        </w:rPr>
        <w:t xml:space="preserve">già </w:t>
      </w:r>
      <w:r w:rsidR="006E4CEC">
        <w:rPr>
          <w:sz w:val="22"/>
          <w:szCs w:val="22"/>
        </w:rPr>
        <w:t>tanti, non utilizzati per la suddetta assenza di una cultura della determinazione valutativa de</w:t>
      </w:r>
      <w:r>
        <w:rPr>
          <w:sz w:val="22"/>
          <w:szCs w:val="22"/>
        </w:rPr>
        <w:t>gli imponibili</w:t>
      </w:r>
      <w:r w:rsidR="00E60236" w:rsidRPr="007F7EBF">
        <w:rPr>
          <w:sz w:val="22"/>
          <w:szCs w:val="22"/>
        </w:rPr>
        <w:t xml:space="preserve">. </w:t>
      </w:r>
      <w:r w:rsidR="0068126E">
        <w:t xml:space="preserve">L’enfasi sulla "tracciabilità" si riduce a un effetto di annuncio, per far credere ai contribuenti di essere, come si dice, “nel mirino”; è un espediente d’immagine che contribuisce alla sopravvalutazione dei controlli (par.4.2), restando a uno stadio “virtuale”.  </w:t>
      </w:r>
    </w:p>
    <w:p w14:paraId="04B57E12" w14:textId="1E61A4B5" w:rsidR="007B3242" w:rsidRDefault="007B3242" w:rsidP="007B3242">
      <w:pPr>
        <w:pStyle w:val="tit23"/>
        <w:ind w:left="6464" w:right="-1361" w:firstLine="0"/>
        <w:jc w:val="left"/>
        <w:rPr>
          <w:bCs/>
          <w:i/>
          <w:iCs/>
          <w:color w:val="0000FF"/>
          <w:lang w:val="it-IT"/>
        </w:rPr>
      </w:pPr>
      <w:r>
        <w:rPr>
          <w:bCs/>
          <w:i/>
          <w:iCs/>
          <w:color w:val="0000FF"/>
          <w:lang w:val="it-IT"/>
        </w:rPr>
        <w:t>Contromisure dei contribuenti</w:t>
      </w:r>
    </w:p>
    <w:p w14:paraId="626BFCA9" w14:textId="76685012" w:rsidR="00B34C68" w:rsidRPr="00E60236" w:rsidRDefault="0068126E" w:rsidP="00B34C68">
      <w:pPr>
        <w:autoSpaceDE w:val="0"/>
        <w:autoSpaceDN w:val="0"/>
        <w:adjustRightInd w:val="0"/>
        <w:rPr>
          <w:bCs/>
          <w:i/>
          <w:iCs/>
          <w:color w:val="0000FF"/>
          <w:sz w:val="22"/>
          <w:szCs w:val="22"/>
        </w:rPr>
      </w:pPr>
      <w:r>
        <w:rPr>
          <w:sz w:val="22"/>
          <w:szCs w:val="22"/>
        </w:rPr>
        <w:t xml:space="preserve">Quanto sopra è confermato dal fatto che </w:t>
      </w:r>
      <w:r w:rsidR="007B3242" w:rsidRPr="007F7EBF">
        <w:rPr>
          <w:sz w:val="22"/>
          <w:szCs w:val="22"/>
        </w:rPr>
        <w:t>l</w:t>
      </w:r>
      <w:r w:rsidR="007B3242">
        <w:rPr>
          <w:sz w:val="22"/>
          <w:szCs w:val="22"/>
        </w:rPr>
        <w:t>’</w:t>
      </w:r>
      <w:r w:rsidR="007B3242" w:rsidRPr="007F7EBF">
        <w:rPr>
          <w:sz w:val="22"/>
          <w:szCs w:val="22"/>
        </w:rPr>
        <w:t xml:space="preserve">evasione </w:t>
      </w:r>
      <w:r w:rsidR="007B3242">
        <w:rPr>
          <w:sz w:val="22"/>
          <w:szCs w:val="22"/>
        </w:rPr>
        <w:t xml:space="preserve">di artigianato e piccolo commercio </w:t>
      </w:r>
      <w:r>
        <w:rPr>
          <w:sz w:val="22"/>
          <w:szCs w:val="22"/>
        </w:rPr>
        <w:t xml:space="preserve">resta alta </w:t>
      </w:r>
      <w:r w:rsidR="007B3242">
        <w:rPr>
          <w:sz w:val="22"/>
          <w:szCs w:val="22"/>
        </w:rPr>
        <w:t>a</w:t>
      </w:r>
      <w:r w:rsidR="007B3242" w:rsidRPr="007F7EBF">
        <w:rPr>
          <w:sz w:val="22"/>
          <w:szCs w:val="22"/>
        </w:rPr>
        <w:t xml:space="preserve">nche in paesi in cui la moneta </w:t>
      </w:r>
      <w:r w:rsidR="007B3242" w:rsidRPr="007F7EBF">
        <w:rPr>
          <w:bCs/>
          <w:sz w:val="22"/>
          <w:szCs w:val="22"/>
        </w:rPr>
        <w:t xml:space="preserve">cartacea </w:t>
      </w:r>
      <w:r w:rsidR="007B3242" w:rsidRPr="007F7EBF">
        <w:rPr>
          <w:sz w:val="22"/>
          <w:szCs w:val="22"/>
        </w:rPr>
        <w:t xml:space="preserve">è stata pressoché </w:t>
      </w:r>
      <w:r w:rsidR="007B3242" w:rsidRPr="007F7EBF">
        <w:rPr>
          <w:bCs/>
          <w:sz w:val="22"/>
          <w:szCs w:val="22"/>
        </w:rPr>
        <w:t>abbandonata</w:t>
      </w:r>
      <w:r w:rsidR="007B3242" w:rsidRPr="007F7EBF">
        <w:rPr>
          <w:sz w:val="22"/>
          <w:szCs w:val="22"/>
        </w:rPr>
        <w:t xml:space="preserve">. </w:t>
      </w:r>
      <w:r w:rsidR="007B3242">
        <w:rPr>
          <w:sz w:val="22"/>
          <w:szCs w:val="22"/>
        </w:rPr>
        <w:t>Infatti</w:t>
      </w:r>
      <w:r w:rsidR="007B3242" w:rsidRPr="007F7EBF">
        <w:rPr>
          <w:sz w:val="22"/>
          <w:szCs w:val="22"/>
        </w:rPr>
        <w:t xml:space="preserve"> i conti bancari su cui indirizzare  i proventi possono essere numerosi; su di essi  è possibile far transitare versamenti, prelevare per poi rapidamente chiudere i conti, oppure intestarli a familiari o prestanome, ovvero ancora collocarli all’estero.</w:t>
      </w:r>
      <w:r>
        <w:rPr>
          <w:sz w:val="22"/>
          <w:szCs w:val="22"/>
        </w:rPr>
        <w:t xml:space="preserve"> </w:t>
      </w:r>
      <w:r w:rsidR="007B3242">
        <w:rPr>
          <w:sz w:val="22"/>
          <w:szCs w:val="22"/>
        </w:rPr>
        <w:t xml:space="preserve">inoltre anche le nuove modalità di pagamento possono essere occultate </w:t>
      </w:r>
      <w:r w:rsidR="007B3242">
        <w:rPr>
          <w:sz w:val="22"/>
          <w:szCs w:val="22"/>
        </w:rPr>
        <w:lastRenderedPageBreak/>
        <w:t xml:space="preserve">al fisco </w:t>
      </w:r>
      <w:r w:rsidR="007B3242" w:rsidRPr="007F7EBF">
        <w:rPr>
          <w:rStyle w:val="Rimandonotaapidipagina"/>
          <w:sz w:val="22"/>
          <w:szCs w:val="22"/>
        </w:rPr>
        <w:footnoteReference w:id="676"/>
      </w:r>
      <w:r w:rsidR="007B3242" w:rsidRPr="007F7EBF">
        <w:rPr>
          <w:sz w:val="22"/>
          <w:szCs w:val="22"/>
        </w:rPr>
        <w:t xml:space="preserve">, </w:t>
      </w:r>
      <w:r w:rsidR="007B3242">
        <w:rPr>
          <w:sz w:val="22"/>
          <w:szCs w:val="22"/>
        </w:rPr>
        <w:t xml:space="preserve">anche per la possibilità di usare </w:t>
      </w:r>
      <w:r w:rsidR="007B3242" w:rsidRPr="007F7EBF">
        <w:rPr>
          <w:sz w:val="22"/>
          <w:szCs w:val="22"/>
        </w:rPr>
        <w:t>monete parallele di vicinato, o al limite nuove forme di baratto.</w:t>
      </w:r>
    </w:p>
    <w:p w14:paraId="63C8D867" w14:textId="6BE6DD65" w:rsidR="00B34C68" w:rsidRPr="007F7EBF" w:rsidRDefault="00B34C68" w:rsidP="00B34C68">
      <w:pPr>
        <w:pStyle w:val="tit23"/>
        <w:ind w:left="6464" w:right="-1361" w:firstLine="0"/>
        <w:jc w:val="left"/>
        <w:rPr>
          <w:b/>
          <w:bCs/>
          <w:i/>
          <w:iCs/>
          <w:color w:val="0000FF"/>
          <w:lang w:val="it-IT"/>
        </w:rPr>
      </w:pPr>
      <w:r>
        <w:rPr>
          <w:b/>
          <w:bCs/>
          <w:i/>
          <w:iCs/>
          <w:color w:val="0000FF"/>
          <w:lang w:val="it-IT"/>
        </w:rPr>
        <w:t>Diversa finalità dei limiti al contante</w:t>
      </w:r>
    </w:p>
    <w:p w14:paraId="404628FB" w14:textId="49F1E750" w:rsidR="00E60236" w:rsidRPr="007F7EBF" w:rsidRDefault="007B3242" w:rsidP="00514955">
      <w:pPr>
        <w:autoSpaceDE w:val="0"/>
        <w:autoSpaceDN w:val="0"/>
        <w:adjustRightInd w:val="0"/>
        <w:rPr>
          <w:sz w:val="22"/>
          <w:szCs w:val="22"/>
        </w:rPr>
      </w:pPr>
      <w:r>
        <w:rPr>
          <w:sz w:val="22"/>
          <w:szCs w:val="22"/>
        </w:rPr>
        <w:t xml:space="preserve">A ben guardare la riduzione della circolazione del contante è un processo positivo, che però dipende dalle abitudini e non può essere forzato. </w:t>
      </w:r>
      <w:r w:rsidR="00E60236" w:rsidRPr="007F7EBF">
        <w:rPr>
          <w:sz w:val="22"/>
          <w:szCs w:val="22"/>
        </w:rPr>
        <w:t xml:space="preserve">Il limite alla circolazione del contante è </w:t>
      </w:r>
      <w:r w:rsidR="00B34C68">
        <w:rPr>
          <w:sz w:val="22"/>
          <w:szCs w:val="22"/>
        </w:rPr>
        <w:t xml:space="preserve">improprio ai fini tributari, in quanto nasce </w:t>
      </w:r>
      <w:r w:rsidR="00E60236" w:rsidRPr="007F7EBF">
        <w:rPr>
          <w:sz w:val="22"/>
          <w:szCs w:val="22"/>
        </w:rPr>
        <w:t xml:space="preserve">contro il riciclaggio, la mafia e il terrorismo, per evitare </w:t>
      </w:r>
      <w:r w:rsidR="00B34C68">
        <w:rPr>
          <w:sz w:val="22"/>
          <w:szCs w:val="22"/>
        </w:rPr>
        <w:t xml:space="preserve">l’impiego in </w:t>
      </w:r>
      <w:r w:rsidR="00E60236" w:rsidRPr="007F7EBF">
        <w:rPr>
          <w:sz w:val="22"/>
          <w:szCs w:val="22"/>
        </w:rPr>
        <w:t>attività immobiliari o imprenditoriali</w:t>
      </w:r>
      <w:r w:rsidR="00B34C68">
        <w:rPr>
          <w:sz w:val="22"/>
          <w:szCs w:val="22"/>
        </w:rPr>
        <w:t xml:space="preserve"> di ingenti somme di provenienza illecita</w:t>
      </w:r>
      <w:r w:rsidR="00B34C68" w:rsidRPr="007F7EBF">
        <w:rPr>
          <w:rStyle w:val="Rimandonotaapidipagina"/>
          <w:sz w:val="22"/>
          <w:szCs w:val="22"/>
        </w:rPr>
        <w:footnoteReference w:id="677"/>
      </w:r>
      <w:r w:rsidR="00B34C68">
        <w:rPr>
          <w:sz w:val="22"/>
          <w:szCs w:val="22"/>
        </w:rPr>
        <w:t xml:space="preserve">. </w:t>
      </w:r>
      <w:r w:rsidR="00E60236" w:rsidRPr="007F7EBF">
        <w:rPr>
          <w:sz w:val="22"/>
          <w:szCs w:val="22"/>
        </w:rPr>
        <w:t xml:space="preserve">L'evasione fiscale, soprattutto di </w:t>
      </w:r>
      <w:r w:rsidR="00B34C68">
        <w:rPr>
          <w:sz w:val="22"/>
          <w:szCs w:val="22"/>
        </w:rPr>
        <w:t xml:space="preserve">piccoli commercianti e artigiani, </w:t>
      </w:r>
      <w:r w:rsidR="00E60236" w:rsidRPr="007F7EBF">
        <w:rPr>
          <w:sz w:val="22"/>
          <w:szCs w:val="22"/>
        </w:rPr>
        <w:t xml:space="preserve">è </w:t>
      </w:r>
      <w:r w:rsidR="00B34C68">
        <w:rPr>
          <w:sz w:val="22"/>
          <w:szCs w:val="22"/>
        </w:rPr>
        <w:t xml:space="preserve">un fenomeno diverso, </w:t>
      </w:r>
      <w:r w:rsidR="00E60236" w:rsidRPr="007F7EBF">
        <w:rPr>
          <w:sz w:val="22"/>
          <w:szCs w:val="22"/>
        </w:rPr>
        <w:t>enormemente più diffus</w:t>
      </w:r>
      <w:r w:rsidR="00B34C68">
        <w:rPr>
          <w:sz w:val="22"/>
          <w:szCs w:val="22"/>
        </w:rPr>
        <w:t xml:space="preserve">o </w:t>
      </w:r>
      <w:r w:rsidR="00E60236" w:rsidRPr="007F7EBF">
        <w:rPr>
          <w:sz w:val="22"/>
          <w:szCs w:val="22"/>
        </w:rPr>
        <w:t xml:space="preserve">della criminalità </w:t>
      </w:r>
      <w:r w:rsidR="00B34C68">
        <w:rPr>
          <w:sz w:val="22"/>
          <w:szCs w:val="22"/>
        </w:rPr>
        <w:t>suddetta (par.3.13 ss.), che impiega l’evasione per i</w:t>
      </w:r>
      <w:r w:rsidR="00E60236" w:rsidRPr="007F7EBF">
        <w:rPr>
          <w:sz w:val="22"/>
          <w:szCs w:val="22"/>
        </w:rPr>
        <w:t xml:space="preserve">l sostentamento </w:t>
      </w:r>
      <w:r w:rsidR="00B34C68">
        <w:rPr>
          <w:sz w:val="22"/>
          <w:szCs w:val="22"/>
        </w:rPr>
        <w:t xml:space="preserve">personale e familiare , composto di piccole spese </w:t>
      </w:r>
      <w:r w:rsidR="00E60236" w:rsidRPr="007F7EBF">
        <w:rPr>
          <w:sz w:val="22"/>
          <w:szCs w:val="22"/>
        </w:rPr>
        <w:t>(par.</w:t>
      </w:r>
      <w:r w:rsidR="00361BCC">
        <w:rPr>
          <w:sz w:val="22"/>
          <w:szCs w:val="22"/>
        </w:rPr>
        <w:t>1.7</w:t>
      </w:r>
      <w:r w:rsidR="00E60236" w:rsidRPr="007F7EBF">
        <w:rPr>
          <w:sz w:val="22"/>
          <w:szCs w:val="22"/>
        </w:rPr>
        <w:t>)</w:t>
      </w:r>
      <w:r w:rsidR="00B34C68">
        <w:rPr>
          <w:sz w:val="22"/>
          <w:szCs w:val="22"/>
        </w:rPr>
        <w:t xml:space="preserve">, presso fornitori al dettaglio dove il contante non sarà mai eliminabile del tutto </w:t>
      </w:r>
      <w:r w:rsidR="00E60236" w:rsidRPr="007F7EBF">
        <w:rPr>
          <w:rStyle w:val="Rimandonotaapidipagina"/>
          <w:sz w:val="22"/>
          <w:szCs w:val="22"/>
        </w:rPr>
        <w:footnoteReference w:id="678"/>
      </w:r>
      <w:r w:rsidR="00E60236" w:rsidRPr="007F7EBF">
        <w:rPr>
          <w:sz w:val="22"/>
          <w:szCs w:val="22"/>
        </w:rPr>
        <w:t xml:space="preserve">. </w:t>
      </w:r>
    </w:p>
    <w:p w14:paraId="4964F43E" w14:textId="77777777" w:rsidR="006A7282" w:rsidRPr="007F7EBF" w:rsidRDefault="006A7282" w:rsidP="00A22357">
      <w:pPr>
        <w:pStyle w:val="tit23"/>
        <w:ind w:right="-1361" w:firstLine="0"/>
        <w:jc w:val="left"/>
        <w:rPr>
          <w:bCs/>
          <w:i/>
          <w:iCs/>
          <w:color w:val="0000FF"/>
          <w:lang w:val="it-IT"/>
        </w:rPr>
      </w:pPr>
    </w:p>
    <w:p w14:paraId="71DF52B1" w14:textId="6520DC69" w:rsidR="00736E14" w:rsidRDefault="00830347" w:rsidP="00F16731">
      <w:pPr>
        <w:pStyle w:val="Titolo3"/>
        <w:rPr>
          <w:rFonts w:ascii="Times New Roman" w:hAnsi="Times New Roman"/>
          <w:sz w:val="22"/>
          <w:szCs w:val="22"/>
          <w:lang w:val="it-IT"/>
        </w:rPr>
      </w:pPr>
      <w:bookmarkStart w:id="76" w:name="_Toc63364989"/>
      <w:r w:rsidRPr="007F7EBF">
        <w:rPr>
          <w:rFonts w:ascii="Times New Roman" w:hAnsi="Times New Roman"/>
          <w:sz w:val="22"/>
          <w:szCs w:val="22"/>
        </w:rPr>
        <w:t xml:space="preserve">5.17. </w:t>
      </w:r>
      <w:r w:rsidR="006C1B80">
        <w:rPr>
          <w:rFonts w:ascii="Times New Roman" w:hAnsi="Times New Roman"/>
          <w:sz w:val="22"/>
          <w:szCs w:val="22"/>
          <w:lang w:val="it-IT"/>
        </w:rPr>
        <w:t>Le c</w:t>
      </w:r>
      <w:r w:rsidR="00C97196">
        <w:rPr>
          <w:rFonts w:ascii="Times New Roman" w:hAnsi="Times New Roman"/>
          <w:sz w:val="22"/>
          <w:szCs w:val="22"/>
          <w:lang w:val="it-IT"/>
        </w:rPr>
        <w:t>ontestazioni interpretative</w:t>
      </w:r>
      <w:r w:rsidR="001F5CD0">
        <w:rPr>
          <w:rFonts w:ascii="Times New Roman" w:hAnsi="Times New Roman"/>
          <w:sz w:val="22"/>
          <w:szCs w:val="22"/>
          <w:lang w:val="it-IT"/>
        </w:rPr>
        <w:t xml:space="preserve"> </w:t>
      </w:r>
      <w:r w:rsidR="006C1B80">
        <w:rPr>
          <w:rFonts w:ascii="Times New Roman" w:hAnsi="Times New Roman"/>
          <w:sz w:val="22"/>
          <w:szCs w:val="22"/>
          <w:lang w:val="it-IT"/>
        </w:rPr>
        <w:t xml:space="preserve">specie </w:t>
      </w:r>
      <w:r w:rsidR="001F5CD0">
        <w:rPr>
          <w:rFonts w:ascii="Times New Roman" w:hAnsi="Times New Roman"/>
          <w:sz w:val="22"/>
          <w:szCs w:val="22"/>
          <w:lang w:val="it-IT"/>
        </w:rPr>
        <w:t xml:space="preserve">sulle aziende come “grandi evasori”: </w:t>
      </w:r>
      <w:r w:rsidR="006C1B80">
        <w:rPr>
          <w:rFonts w:ascii="Times New Roman" w:hAnsi="Times New Roman"/>
          <w:sz w:val="22"/>
          <w:szCs w:val="22"/>
          <w:lang w:val="it-IT"/>
        </w:rPr>
        <w:t>premesse sociali e metodologica</w:t>
      </w:r>
      <w:bookmarkEnd w:id="76"/>
    </w:p>
    <w:p w14:paraId="5952E622" w14:textId="77777777" w:rsidR="00F16731" w:rsidRPr="00F16731" w:rsidRDefault="00F16731" w:rsidP="00F16731">
      <w:pPr>
        <w:rPr>
          <w:lang w:eastAsia="x-none"/>
        </w:rPr>
      </w:pPr>
    </w:p>
    <w:p w14:paraId="18C30075" w14:textId="77327BCB" w:rsidR="00F16731" w:rsidRPr="007F7EBF" w:rsidRDefault="00F16731" w:rsidP="00F16731">
      <w:pPr>
        <w:pStyle w:val="tit23"/>
        <w:ind w:left="6464" w:right="-1361" w:firstLine="0"/>
        <w:jc w:val="left"/>
        <w:rPr>
          <w:b/>
          <w:bCs/>
          <w:i/>
          <w:iCs/>
          <w:color w:val="0000FF"/>
          <w:lang w:val="it-IT"/>
        </w:rPr>
      </w:pPr>
      <w:r>
        <w:rPr>
          <w:b/>
          <w:bCs/>
          <w:i/>
          <w:iCs/>
          <w:color w:val="0000FF"/>
          <w:lang w:val="it-IT"/>
        </w:rPr>
        <w:t xml:space="preserve">Contestazioni </w:t>
      </w:r>
      <w:proofErr w:type="spellStart"/>
      <w:r>
        <w:rPr>
          <w:b/>
          <w:bCs/>
          <w:i/>
          <w:iCs/>
          <w:color w:val="0000FF"/>
          <w:lang w:val="it-IT"/>
        </w:rPr>
        <w:t>interpretstive</w:t>
      </w:r>
      <w:proofErr w:type="spellEnd"/>
      <w:r w:rsidR="00A844EC">
        <w:rPr>
          <w:b/>
          <w:bCs/>
          <w:i/>
          <w:iCs/>
          <w:color w:val="0000FF"/>
          <w:lang w:val="it-IT"/>
        </w:rPr>
        <w:t xml:space="preserve"> alle aziende</w:t>
      </w:r>
    </w:p>
    <w:p w14:paraId="2AE9EB2D" w14:textId="2871718D" w:rsidR="006647D4" w:rsidRPr="007F7EBF" w:rsidRDefault="00F16731" w:rsidP="006647D4">
      <w:pPr>
        <w:autoSpaceDE w:val="0"/>
        <w:autoSpaceDN w:val="0"/>
        <w:adjustRightInd w:val="0"/>
        <w:rPr>
          <w:sz w:val="22"/>
          <w:szCs w:val="22"/>
        </w:rPr>
      </w:pPr>
      <w:r>
        <w:rPr>
          <w:sz w:val="22"/>
          <w:szCs w:val="22"/>
        </w:rPr>
        <w:t>La confusione sociale sulla funzione tributari</w:t>
      </w:r>
      <w:r w:rsidR="002D6F50">
        <w:rPr>
          <w:sz w:val="22"/>
          <w:szCs w:val="22"/>
        </w:rPr>
        <w:t>a, coi suoi riflessi politici (par.4.6)</w:t>
      </w:r>
      <w:r>
        <w:rPr>
          <w:sz w:val="22"/>
          <w:szCs w:val="22"/>
        </w:rPr>
        <w:t>, ha bisogno di una valvola di sfogo, un capro espiatorio, secondo la tendenza “complottista” di cui al par.</w:t>
      </w:r>
      <w:r w:rsidR="00FE3595" w:rsidRPr="00FE3595">
        <w:t xml:space="preserve"> </w:t>
      </w:r>
      <w:r w:rsidR="00FE3595">
        <w:t>4.1</w:t>
      </w:r>
      <w:r>
        <w:rPr>
          <w:sz w:val="22"/>
          <w:szCs w:val="22"/>
        </w:rPr>
        <w:t xml:space="preserve">, che ritroviamo </w:t>
      </w:r>
      <w:r>
        <w:rPr>
          <w:sz w:val="22"/>
          <w:szCs w:val="22"/>
        </w:rPr>
        <w:lastRenderedPageBreak/>
        <w:t xml:space="preserve">anche sui controlli fiscali; il mito dei “grandi evasori” concentra paradossalmente i controlli dove servono meno, sviandoli dalle stime </w:t>
      </w:r>
      <w:r w:rsidR="002D6F50">
        <w:rPr>
          <w:sz w:val="22"/>
          <w:szCs w:val="22"/>
        </w:rPr>
        <w:t xml:space="preserve">valutative sui presupposti economici non determinati documentalmente, cioè dell’evasione in senso materiale.  </w:t>
      </w:r>
      <w:r w:rsidR="00FD3411">
        <w:rPr>
          <w:sz w:val="22"/>
          <w:szCs w:val="22"/>
        </w:rPr>
        <w:t xml:space="preserve">Tutto ruota attorno alla mancata percezione delle aziende come gruppi sociali pluripersonali </w:t>
      </w:r>
      <w:r w:rsidR="00FD3411" w:rsidRPr="007F7EBF">
        <w:rPr>
          <w:sz w:val="22"/>
          <w:szCs w:val="22"/>
        </w:rPr>
        <w:t>a matrice economica (par.3.1 e 4.4), non culturale</w:t>
      </w:r>
      <w:r w:rsidR="00FD3411">
        <w:rPr>
          <w:sz w:val="22"/>
          <w:szCs w:val="22"/>
        </w:rPr>
        <w:t xml:space="preserve">. </w:t>
      </w:r>
      <w:r w:rsidR="00FD3411" w:rsidRPr="007F7EBF">
        <w:rPr>
          <w:sz w:val="22"/>
          <w:szCs w:val="22"/>
        </w:rPr>
        <w:t>La “spersonalizzazione”</w:t>
      </w:r>
      <w:r w:rsidR="00FD3411">
        <w:rPr>
          <w:sz w:val="22"/>
          <w:szCs w:val="22"/>
        </w:rPr>
        <w:t xml:space="preserve"> aziendale, normale per </w:t>
      </w:r>
      <w:r w:rsidR="00FD3411" w:rsidRPr="007F7EBF">
        <w:rPr>
          <w:sz w:val="22"/>
          <w:szCs w:val="22"/>
        </w:rPr>
        <w:t xml:space="preserve">“gruppi sociali”, </w:t>
      </w:r>
      <w:r w:rsidR="00FD3411">
        <w:rPr>
          <w:sz w:val="22"/>
          <w:szCs w:val="22"/>
        </w:rPr>
        <w:t xml:space="preserve">viene confusa </w:t>
      </w:r>
      <w:r w:rsidR="00FD3411" w:rsidRPr="007F7EBF">
        <w:rPr>
          <w:sz w:val="22"/>
          <w:szCs w:val="22"/>
        </w:rPr>
        <w:t xml:space="preserve">con una generica </w:t>
      </w:r>
      <w:r w:rsidR="00FD3411" w:rsidRPr="007F7EBF">
        <w:rPr>
          <w:bCs/>
          <w:sz w:val="22"/>
          <w:szCs w:val="22"/>
        </w:rPr>
        <w:t>mancanza di umanità</w:t>
      </w:r>
      <w:r w:rsidR="00FD3411">
        <w:rPr>
          <w:bCs/>
          <w:sz w:val="22"/>
          <w:szCs w:val="22"/>
        </w:rPr>
        <w:t xml:space="preserve"> </w:t>
      </w:r>
      <w:r w:rsidR="00FD3411" w:rsidRPr="007F7EBF">
        <w:rPr>
          <w:sz w:val="22"/>
          <w:szCs w:val="22"/>
        </w:rPr>
        <w:t>(</w:t>
      </w:r>
      <w:r w:rsidR="00FD3411" w:rsidRPr="007F7EBF">
        <w:rPr>
          <w:rStyle w:val="Rimandonotaapidipagina"/>
          <w:sz w:val="22"/>
          <w:szCs w:val="22"/>
        </w:rPr>
        <w:footnoteReference w:id="679"/>
      </w:r>
      <w:r w:rsidR="00FD3411">
        <w:rPr>
          <w:sz w:val="22"/>
          <w:szCs w:val="22"/>
        </w:rPr>
        <w:t>), cui collegare un’</w:t>
      </w:r>
      <w:r w:rsidR="00FD3411" w:rsidRPr="007F7EBF">
        <w:rPr>
          <w:sz w:val="22"/>
          <w:szCs w:val="22"/>
        </w:rPr>
        <w:t xml:space="preserve">imprecisata </w:t>
      </w:r>
      <w:r w:rsidR="00FD3411" w:rsidRPr="007F7EBF">
        <w:rPr>
          <w:bCs/>
          <w:sz w:val="22"/>
          <w:szCs w:val="22"/>
        </w:rPr>
        <w:t>disonestà</w:t>
      </w:r>
      <w:r w:rsidR="00FD3411">
        <w:rPr>
          <w:sz w:val="22"/>
          <w:szCs w:val="22"/>
        </w:rPr>
        <w:t xml:space="preserve">, trascurando </w:t>
      </w:r>
      <w:r w:rsidR="00FD3411" w:rsidRPr="007F7EBF">
        <w:rPr>
          <w:sz w:val="22"/>
          <w:szCs w:val="22"/>
        </w:rPr>
        <w:t>la</w:t>
      </w:r>
      <w:r w:rsidR="00FD3411">
        <w:rPr>
          <w:sz w:val="22"/>
          <w:szCs w:val="22"/>
        </w:rPr>
        <w:t xml:space="preserve"> loro</w:t>
      </w:r>
      <w:r w:rsidR="00FD3411" w:rsidRPr="007F7EBF">
        <w:rPr>
          <w:sz w:val="22"/>
          <w:szCs w:val="22"/>
        </w:rPr>
        <w:t xml:space="preserve"> </w:t>
      </w:r>
      <w:r w:rsidR="00FD3411" w:rsidRPr="007F7EBF">
        <w:rPr>
          <w:bCs/>
          <w:sz w:val="22"/>
          <w:szCs w:val="22"/>
        </w:rPr>
        <w:t>rigidità organizzativa</w:t>
      </w:r>
      <w:r w:rsidR="00FD3411" w:rsidRPr="007F7EBF">
        <w:rPr>
          <w:sz w:val="22"/>
          <w:szCs w:val="22"/>
        </w:rPr>
        <w:t xml:space="preserve"> </w:t>
      </w:r>
      <w:r w:rsidR="00FD3411">
        <w:rPr>
          <w:sz w:val="22"/>
          <w:szCs w:val="22"/>
        </w:rPr>
        <w:t xml:space="preserve">come </w:t>
      </w:r>
      <w:r w:rsidR="00FD3411" w:rsidRPr="007F7EBF">
        <w:rPr>
          <w:sz w:val="22"/>
          <w:szCs w:val="22"/>
        </w:rPr>
        <w:t xml:space="preserve">punto forte della loro affidabilità </w:t>
      </w:r>
      <w:r w:rsidR="00FD3411">
        <w:rPr>
          <w:sz w:val="22"/>
          <w:szCs w:val="22"/>
        </w:rPr>
        <w:t>tributaria (par.3.1). Le aziende sono viste come “</w:t>
      </w:r>
      <w:r w:rsidR="00FD3411" w:rsidRPr="007F7EBF">
        <w:rPr>
          <w:sz w:val="22"/>
          <w:szCs w:val="22"/>
        </w:rPr>
        <w:t>grandi, impersonali, poco numerose (quindi insignificanti elettoralmente),</w:t>
      </w:r>
      <w:r w:rsidR="00FD3411">
        <w:rPr>
          <w:sz w:val="22"/>
          <w:szCs w:val="22"/>
        </w:rPr>
        <w:t xml:space="preserve"> </w:t>
      </w:r>
      <w:r w:rsidR="00FD3411" w:rsidRPr="007F7EBF">
        <w:rPr>
          <w:sz w:val="22"/>
          <w:szCs w:val="22"/>
        </w:rPr>
        <w:t>misteriose nei loro meccanismi contabili (</w:t>
      </w:r>
      <w:r w:rsidR="00FD3411" w:rsidRPr="007F7EBF">
        <w:rPr>
          <w:rStyle w:val="Rimandonotaapidipagina"/>
          <w:sz w:val="22"/>
          <w:szCs w:val="22"/>
        </w:rPr>
        <w:footnoteReference w:id="680"/>
      </w:r>
      <w:r w:rsidR="00FD3411" w:rsidRPr="007F7EBF">
        <w:rPr>
          <w:sz w:val="22"/>
          <w:szCs w:val="22"/>
        </w:rPr>
        <w:t>)</w:t>
      </w:r>
      <w:r w:rsidR="00FD3411">
        <w:rPr>
          <w:sz w:val="22"/>
          <w:szCs w:val="22"/>
        </w:rPr>
        <w:t xml:space="preserve">, presentabili come </w:t>
      </w:r>
      <w:r w:rsidR="00FD3411" w:rsidRPr="007F7EBF">
        <w:rPr>
          <w:sz w:val="22"/>
          <w:szCs w:val="22"/>
        </w:rPr>
        <w:t>"omoni dediti al profitto</w:t>
      </w:r>
      <w:r w:rsidR="00FD3411">
        <w:rPr>
          <w:sz w:val="22"/>
          <w:szCs w:val="22"/>
        </w:rPr>
        <w:t>”</w:t>
      </w:r>
      <w:r w:rsidR="00FD3411" w:rsidRPr="007F7EBF">
        <w:rPr>
          <w:sz w:val="22"/>
          <w:szCs w:val="22"/>
        </w:rPr>
        <w:t xml:space="preserve"> (</w:t>
      </w:r>
      <w:r w:rsidR="00FD3411" w:rsidRPr="007F7EBF">
        <w:rPr>
          <w:rStyle w:val="Rimandonotaapidipagina"/>
          <w:sz w:val="22"/>
          <w:szCs w:val="22"/>
        </w:rPr>
        <w:footnoteReference w:id="681"/>
      </w:r>
      <w:r w:rsidR="00FD3411" w:rsidRPr="007F7EBF">
        <w:rPr>
          <w:sz w:val="22"/>
          <w:szCs w:val="22"/>
        </w:rPr>
        <w:t>)</w:t>
      </w:r>
      <w:r w:rsidR="00FD3411">
        <w:rPr>
          <w:sz w:val="22"/>
          <w:szCs w:val="22"/>
        </w:rPr>
        <w:t xml:space="preserve">. </w:t>
      </w:r>
      <w:r w:rsidR="00FD3411" w:rsidRPr="007F7EBF">
        <w:rPr>
          <w:sz w:val="22"/>
          <w:szCs w:val="22"/>
        </w:rPr>
        <w:t xml:space="preserve"> </w:t>
      </w:r>
    </w:p>
    <w:p w14:paraId="6AEFEC65" w14:textId="66C7CCD0" w:rsidR="006647D4" w:rsidRPr="007F7EBF" w:rsidRDefault="00A844EC" w:rsidP="006647D4">
      <w:pPr>
        <w:pStyle w:val="tit23"/>
        <w:ind w:left="6464" w:right="-1361" w:firstLine="0"/>
        <w:jc w:val="left"/>
        <w:rPr>
          <w:b/>
          <w:bCs/>
          <w:i/>
          <w:iCs/>
          <w:color w:val="0000FF"/>
          <w:lang w:val="it-IT"/>
        </w:rPr>
      </w:pPr>
      <w:r>
        <w:rPr>
          <w:b/>
          <w:bCs/>
          <w:i/>
          <w:iCs/>
          <w:color w:val="0000FF"/>
          <w:lang w:val="it-IT"/>
        </w:rPr>
        <w:t>Loro i</w:t>
      </w:r>
      <w:r w:rsidR="006647D4" w:rsidRPr="007F7EBF">
        <w:rPr>
          <w:b/>
          <w:bCs/>
          <w:i/>
          <w:iCs/>
          <w:color w:val="0000FF"/>
          <w:lang w:val="it-IT"/>
        </w:rPr>
        <w:t xml:space="preserve">mmagine sociale negativa </w:t>
      </w:r>
    </w:p>
    <w:p w14:paraId="4AF08175" w14:textId="77B62380" w:rsidR="006647D4" w:rsidRPr="007F7EBF" w:rsidRDefault="006647D4" w:rsidP="00A844EC">
      <w:pPr>
        <w:autoSpaceDE w:val="0"/>
        <w:autoSpaceDN w:val="0"/>
        <w:adjustRightInd w:val="0"/>
        <w:rPr>
          <w:bCs/>
          <w:i/>
          <w:iCs/>
          <w:color w:val="0000FF"/>
        </w:rPr>
      </w:pPr>
      <w:r>
        <w:rPr>
          <w:sz w:val="22"/>
          <w:szCs w:val="22"/>
        </w:rPr>
        <w:t xml:space="preserve">Quest’appetibilità dell’azienda, come oggetto di controllo tributario, si concilia con la diffusa mentalità </w:t>
      </w:r>
      <w:proofErr w:type="spellStart"/>
      <w:r>
        <w:rPr>
          <w:sz w:val="22"/>
          <w:szCs w:val="22"/>
        </w:rPr>
        <w:t>antiaziendale</w:t>
      </w:r>
      <w:proofErr w:type="spellEnd"/>
      <w:r w:rsidRPr="007F7EBF">
        <w:rPr>
          <w:rStyle w:val="Rimandonotaapidipagina"/>
          <w:sz w:val="22"/>
          <w:szCs w:val="22"/>
        </w:rPr>
        <w:footnoteReference w:id="682"/>
      </w:r>
      <w:r>
        <w:rPr>
          <w:sz w:val="22"/>
          <w:szCs w:val="22"/>
        </w:rPr>
        <w:t xml:space="preserve">, connessa alle </w:t>
      </w:r>
      <w:r w:rsidRPr="007F7EBF">
        <w:rPr>
          <w:sz w:val="22"/>
          <w:szCs w:val="22"/>
        </w:rPr>
        <w:t xml:space="preserve">carenze formative esposte </w:t>
      </w:r>
      <w:r w:rsidR="00FE3595">
        <w:rPr>
          <w:sz w:val="22"/>
          <w:szCs w:val="22"/>
        </w:rPr>
        <w:t>al par.4.1</w:t>
      </w:r>
      <w:r w:rsidRPr="007F7EBF">
        <w:rPr>
          <w:sz w:val="22"/>
          <w:szCs w:val="22"/>
        </w:rPr>
        <w:t xml:space="preserve"> </w:t>
      </w:r>
      <w:r>
        <w:rPr>
          <w:sz w:val="22"/>
          <w:szCs w:val="22"/>
        </w:rPr>
        <w:t>sulle organizzazioni pluripersonali; esse sono infatti considerate in termini antropomorfici, come piccoli commercianti o artigiani troppo cresciuti, cui a</w:t>
      </w:r>
      <w:r w:rsidRPr="007F7EBF">
        <w:rPr>
          <w:sz w:val="22"/>
          <w:szCs w:val="22"/>
        </w:rPr>
        <w:t>pplica</w:t>
      </w:r>
      <w:r>
        <w:rPr>
          <w:sz w:val="22"/>
          <w:szCs w:val="22"/>
        </w:rPr>
        <w:t xml:space="preserve">re i concetti </w:t>
      </w:r>
      <w:r>
        <w:rPr>
          <w:sz w:val="22"/>
          <w:szCs w:val="22"/>
        </w:rPr>
        <w:lastRenderedPageBreak/>
        <w:t xml:space="preserve">moralistici di </w:t>
      </w:r>
      <w:r w:rsidRPr="007F7EBF">
        <w:rPr>
          <w:sz w:val="22"/>
          <w:szCs w:val="22"/>
        </w:rPr>
        <w:t xml:space="preserve">onestà e disonestà, sul cui uso improprio per spiegare l’evasione vedasi già il par.4.5. </w:t>
      </w:r>
      <w:r>
        <w:rPr>
          <w:sz w:val="22"/>
          <w:szCs w:val="22"/>
        </w:rPr>
        <w:t xml:space="preserve">E’ la solita traslazione </w:t>
      </w:r>
      <w:r w:rsidRPr="007F7EBF">
        <w:rPr>
          <w:sz w:val="22"/>
          <w:szCs w:val="22"/>
        </w:rPr>
        <w:t>su</w:t>
      </w:r>
      <w:r>
        <w:rPr>
          <w:sz w:val="22"/>
          <w:szCs w:val="22"/>
        </w:rPr>
        <w:t xml:space="preserve">lle organizzazioni aziendali pluripersonali, la percezione sociale di artigiani e piccoli commercianti, </w:t>
      </w:r>
      <w:r w:rsidRPr="007F7EBF">
        <w:rPr>
          <w:sz w:val="22"/>
          <w:szCs w:val="22"/>
        </w:rPr>
        <w:t xml:space="preserve"> </w:t>
      </w:r>
      <w:r>
        <w:rPr>
          <w:sz w:val="22"/>
          <w:szCs w:val="22"/>
        </w:rPr>
        <w:t xml:space="preserve">ingigantendola in proporzione alle dimensioni; il legittimo desiderio di guadagno dei piccoli operatori è traslato sulle aziende,  </w:t>
      </w:r>
      <w:r w:rsidRPr="007F7EBF">
        <w:rPr>
          <w:sz w:val="22"/>
          <w:szCs w:val="22"/>
        </w:rPr>
        <w:t>accusa</w:t>
      </w:r>
      <w:r>
        <w:rPr>
          <w:sz w:val="22"/>
          <w:szCs w:val="22"/>
        </w:rPr>
        <w:t xml:space="preserve">te </w:t>
      </w:r>
      <w:r w:rsidRPr="007F7EBF">
        <w:rPr>
          <w:sz w:val="22"/>
          <w:szCs w:val="22"/>
        </w:rPr>
        <w:t>di</w:t>
      </w:r>
      <w:r>
        <w:rPr>
          <w:sz w:val="22"/>
          <w:szCs w:val="22"/>
        </w:rPr>
        <w:t xml:space="preserve"> badare al profitto, </w:t>
      </w:r>
      <w:r w:rsidRPr="007F7EBF">
        <w:rPr>
          <w:sz w:val="22"/>
          <w:szCs w:val="22"/>
        </w:rPr>
        <w:t>sfruttare i dipendenti, lasciarli morire negli infortuni sul lavoro, inquinare l’ambiente</w:t>
      </w:r>
      <w:r>
        <w:rPr>
          <w:sz w:val="22"/>
          <w:szCs w:val="22"/>
        </w:rPr>
        <w:t>(</w:t>
      </w:r>
      <w:r w:rsidRPr="007F7EBF">
        <w:rPr>
          <w:rStyle w:val="Rimandonotaapidipagina"/>
          <w:sz w:val="22"/>
          <w:szCs w:val="22"/>
        </w:rPr>
        <w:footnoteReference w:id="683"/>
      </w:r>
      <w:r>
        <w:rPr>
          <w:sz w:val="22"/>
          <w:szCs w:val="22"/>
        </w:rPr>
        <w:t>)</w:t>
      </w:r>
      <w:r w:rsidRPr="007F7EBF">
        <w:rPr>
          <w:sz w:val="22"/>
          <w:szCs w:val="22"/>
        </w:rPr>
        <w:t>,</w:t>
      </w:r>
      <w:r>
        <w:rPr>
          <w:sz w:val="22"/>
          <w:szCs w:val="22"/>
        </w:rPr>
        <w:t xml:space="preserve"> </w:t>
      </w:r>
      <w:r w:rsidRPr="007F7EBF">
        <w:rPr>
          <w:sz w:val="22"/>
          <w:szCs w:val="22"/>
        </w:rPr>
        <w:t>suggestionare i consumatori, mercificare i rapporti umani, truffare i risparmiatori, corrompere i pubblici ufficiali e chi più ne ha più ne metta</w:t>
      </w:r>
      <w:r w:rsidRPr="007F7EBF">
        <w:rPr>
          <w:rStyle w:val="Rimandonotaapidipagina"/>
          <w:sz w:val="22"/>
          <w:szCs w:val="22"/>
        </w:rPr>
        <w:footnoteReference w:id="684"/>
      </w:r>
      <w:r w:rsidRPr="007F7EBF">
        <w:rPr>
          <w:sz w:val="22"/>
          <w:szCs w:val="22"/>
        </w:rPr>
        <w:t>.</w:t>
      </w:r>
      <w:r>
        <w:rPr>
          <w:sz w:val="22"/>
          <w:szCs w:val="22"/>
        </w:rPr>
        <w:t xml:space="preserve"> Questa </w:t>
      </w:r>
      <w:r>
        <w:t xml:space="preserve">personalizzazione deriva anche dalla </w:t>
      </w:r>
      <w:r w:rsidRPr="007F7EBF">
        <w:t>base familiare del capitalismo italiano (par.3.1),</w:t>
      </w:r>
      <w:r>
        <w:t xml:space="preserve"> che spesso vede l’azienda come una propria appendice, anziché un gruppo sociale</w:t>
      </w:r>
      <w:r w:rsidRPr="00CB12C8">
        <w:rPr>
          <w:sz w:val="22"/>
          <w:szCs w:val="22"/>
        </w:rPr>
        <w:t xml:space="preserve"> </w:t>
      </w:r>
      <w:r w:rsidRPr="007F7EBF">
        <w:rPr>
          <w:sz w:val="22"/>
          <w:szCs w:val="22"/>
        </w:rPr>
        <w:t>a matrice economica</w:t>
      </w:r>
      <w:r>
        <w:rPr>
          <w:sz w:val="22"/>
          <w:szCs w:val="22"/>
        </w:rPr>
        <w:t xml:space="preserve">; anche gli stessi </w:t>
      </w:r>
      <w:r w:rsidRPr="007F7EBF">
        <w:rPr>
          <w:sz w:val="22"/>
          <w:szCs w:val="22"/>
        </w:rPr>
        <w:t>dipendenti</w:t>
      </w:r>
      <w:r>
        <w:rPr>
          <w:sz w:val="22"/>
          <w:szCs w:val="22"/>
        </w:rPr>
        <w:t xml:space="preserve"> di tali aziende le concepiscono come un’appendice del titolare, con esperienze di s</w:t>
      </w:r>
      <w:r w:rsidRPr="007F7EBF">
        <w:rPr>
          <w:sz w:val="22"/>
          <w:szCs w:val="22"/>
        </w:rPr>
        <w:t>personalizzazione e alienazione</w:t>
      </w:r>
      <w:r>
        <w:rPr>
          <w:sz w:val="22"/>
          <w:szCs w:val="22"/>
        </w:rPr>
        <w:t xml:space="preserve"> che alimentano questa reputazione negativa. </w:t>
      </w:r>
    </w:p>
    <w:p w14:paraId="3A71947E" w14:textId="5B64002E" w:rsidR="00F16731" w:rsidRPr="00FD3411" w:rsidRDefault="006647D4" w:rsidP="00FD3411">
      <w:pPr>
        <w:autoSpaceDE w:val="0"/>
        <w:autoSpaceDN w:val="0"/>
        <w:adjustRightInd w:val="0"/>
        <w:rPr>
          <w:bCs/>
          <w:i/>
          <w:iCs/>
          <w:color w:val="0000FF"/>
          <w:sz w:val="22"/>
          <w:szCs w:val="22"/>
        </w:rPr>
      </w:pPr>
      <w:r>
        <w:rPr>
          <w:sz w:val="22"/>
          <w:szCs w:val="22"/>
        </w:rPr>
        <w:t xml:space="preserve">Essa risente </w:t>
      </w:r>
      <w:r w:rsidRPr="007F7EBF">
        <w:rPr>
          <w:sz w:val="22"/>
          <w:szCs w:val="22"/>
        </w:rPr>
        <w:t xml:space="preserve">anche </w:t>
      </w:r>
      <w:r>
        <w:rPr>
          <w:sz w:val="22"/>
          <w:szCs w:val="22"/>
        </w:rPr>
        <w:t>d</w:t>
      </w:r>
      <w:r w:rsidR="00A844EC">
        <w:rPr>
          <w:sz w:val="22"/>
          <w:szCs w:val="22"/>
        </w:rPr>
        <w:t>e</w:t>
      </w:r>
      <w:r>
        <w:rPr>
          <w:sz w:val="22"/>
          <w:szCs w:val="22"/>
        </w:rPr>
        <w:t>lla confusione tra azienda, come organizzazione economico-sostanziale, e società, figura giuridico formale, molto più frequente, spesso con reddito negativo per ina</w:t>
      </w:r>
      <w:r w:rsidRPr="007F7EBF">
        <w:t xml:space="preserve">ttività </w:t>
      </w:r>
      <w:r>
        <w:t xml:space="preserve">e uso </w:t>
      </w:r>
      <w:r w:rsidRPr="007F7EBF">
        <w:t>come "contenitori patrimoniali" per detenere immobili o partecipazioni</w:t>
      </w:r>
      <w:r>
        <w:t>(</w:t>
      </w:r>
      <w:r>
        <w:rPr>
          <w:rStyle w:val="Rimandonotaapidipagina"/>
        </w:rPr>
        <w:footnoteReference w:id="685"/>
      </w:r>
      <w:r>
        <w:t>)</w:t>
      </w:r>
      <w:r>
        <w:rPr>
          <w:sz w:val="22"/>
          <w:szCs w:val="22"/>
        </w:rPr>
        <w:t xml:space="preserve">; abbiamo visto in proposito che le aziende pluripersonali sono addirittura una piccola minoranza rispetto alle società di capitali (par.7.5), e che per esse una perdita è più credibile di quanto sia per </w:t>
      </w:r>
      <w:r>
        <w:t>piccoli commercianti e artigiani (</w:t>
      </w:r>
      <w:r>
        <w:rPr>
          <w:rStyle w:val="Rimandonotaapidipagina"/>
        </w:rPr>
        <w:footnoteReference w:id="686"/>
      </w:r>
      <w:r>
        <w:t xml:space="preserve">). </w:t>
      </w:r>
    </w:p>
    <w:p w14:paraId="325A7845" w14:textId="77777777" w:rsidR="00F16731" w:rsidRPr="007F7EBF" w:rsidRDefault="00F16731" w:rsidP="00F16731">
      <w:pPr>
        <w:pStyle w:val="tit23"/>
        <w:ind w:left="6464" w:right="-1361" w:firstLine="0"/>
        <w:jc w:val="left"/>
        <w:rPr>
          <w:bCs/>
          <w:i/>
          <w:iCs/>
          <w:color w:val="0000FF"/>
          <w:lang w:val="it-IT"/>
        </w:rPr>
      </w:pPr>
      <w:r>
        <w:rPr>
          <w:bCs/>
          <w:i/>
          <w:iCs/>
          <w:color w:val="0000FF"/>
          <w:lang w:val="it-IT"/>
        </w:rPr>
        <w:t>Una tendenza legislativa “bipartisan”</w:t>
      </w:r>
    </w:p>
    <w:p w14:paraId="53C4C861" w14:textId="11F76ED6" w:rsidR="00F16731" w:rsidRPr="007F7EBF" w:rsidRDefault="00A844EC" w:rsidP="00F16731">
      <w:pPr>
        <w:autoSpaceDE w:val="0"/>
        <w:autoSpaceDN w:val="0"/>
        <w:adjustRightInd w:val="0"/>
        <w:rPr>
          <w:sz w:val="22"/>
          <w:szCs w:val="22"/>
        </w:rPr>
      </w:pPr>
      <w:r>
        <w:rPr>
          <w:sz w:val="22"/>
          <w:szCs w:val="22"/>
        </w:rPr>
        <w:t>Quanto sopra rende le</w:t>
      </w:r>
      <w:r w:rsidR="00FD3411">
        <w:rPr>
          <w:sz w:val="22"/>
          <w:szCs w:val="22"/>
        </w:rPr>
        <w:t xml:space="preserve"> aziende un ottimo capro espiatorio per la confusione politica</w:t>
      </w:r>
      <w:r>
        <w:rPr>
          <w:sz w:val="22"/>
          <w:szCs w:val="22"/>
        </w:rPr>
        <w:t xml:space="preserve"> sulla funzione tributaria. </w:t>
      </w:r>
      <w:r w:rsidR="00F16731">
        <w:rPr>
          <w:sz w:val="22"/>
          <w:szCs w:val="22"/>
        </w:rPr>
        <w:t xml:space="preserve">Vige </w:t>
      </w:r>
      <w:r w:rsidR="00FD3411">
        <w:rPr>
          <w:sz w:val="22"/>
          <w:szCs w:val="22"/>
        </w:rPr>
        <w:t>quindi</w:t>
      </w:r>
      <w:r w:rsidR="00F16731">
        <w:rPr>
          <w:sz w:val="22"/>
          <w:szCs w:val="22"/>
        </w:rPr>
        <w:t xml:space="preserve"> dal 2000 </w:t>
      </w:r>
      <w:r w:rsidR="00F16731" w:rsidRPr="007F7EBF">
        <w:rPr>
          <w:sz w:val="22"/>
          <w:szCs w:val="22"/>
        </w:rPr>
        <w:lastRenderedPageBreak/>
        <w:t>l’</w:t>
      </w:r>
      <w:r w:rsidR="00F16731" w:rsidRPr="007F7EBF">
        <w:rPr>
          <w:bCs/>
          <w:sz w:val="22"/>
          <w:szCs w:val="22"/>
        </w:rPr>
        <w:t xml:space="preserve">obbligo legislativo </w:t>
      </w:r>
      <w:r w:rsidR="00F16731" w:rsidRPr="007F7EBF">
        <w:rPr>
          <w:sz w:val="22"/>
          <w:szCs w:val="22"/>
        </w:rPr>
        <w:t xml:space="preserve">di </w:t>
      </w:r>
      <w:r w:rsidR="00F16731" w:rsidRPr="007F7EBF">
        <w:rPr>
          <w:bCs/>
          <w:sz w:val="22"/>
          <w:szCs w:val="22"/>
        </w:rPr>
        <w:t xml:space="preserve">controllo annuale </w:t>
      </w:r>
      <w:r w:rsidR="00F16731" w:rsidRPr="007F7EBF">
        <w:rPr>
          <w:sz w:val="22"/>
          <w:szCs w:val="22"/>
        </w:rPr>
        <w:t xml:space="preserve">per le aziende con più di 50 milioni di euro di giro d’affari; </w:t>
      </w:r>
      <w:r w:rsidR="00F16731">
        <w:rPr>
          <w:sz w:val="22"/>
          <w:szCs w:val="22"/>
        </w:rPr>
        <w:t xml:space="preserve">la norma venne da </w:t>
      </w:r>
      <w:r w:rsidR="00F16731" w:rsidRPr="007F7EBF">
        <w:rPr>
          <w:sz w:val="22"/>
          <w:szCs w:val="22"/>
        </w:rPr>
        <w:t xml:space="preserve">un governo di centro sinistra, </w:t>
      </w:r>
      <w:r w:rsidR="00F16731">
        <w:rPr>
          <w:sz w:val="22"/>
          <w:szCs w:val="22"/>
        </w:rPr>
        <w:t>e fu</w:t>
      </w:r>
      <w:r w:rsidR="00F16731" w:rsidRPr="007F7EBF">
        <w:rPr>
          <w:sz w:val="22"/>
          <w:szCs w:val="22"/>
        </w:rPr>
        <w:t xml:space="preserve"> ripres</w:t>
      </w:r>
      <w:r w:rsidR="00F16731">
        <w:rPr>
          <w:sz w:val="22"/>
          <w:szCs w:val="22"/>
        </w:rPr>
        <w:t>a</w:t>
      </w:r>
      <w:r w:rsidR="00F16731" w:rsidRPr="007F7EBF">
        <w:rPr>
          <w:sz w:val="22"/>
          <w:szCs w:val="22"/>
        </w:rPr>
        <w:t xml:space="preserve"> e sviluppato da governi di centro destra, tecnici, e di ogni sfumatura</w:t>
      </w:r>
      <w:r w:rsidR="00F16731">
        <w:rPr>
          <w:sz w:val="22"/>
          <w:szCs w:val="22"/>
        </w:rPr>
        <w:t xml:space="preserve"> (</w:t>
      </w:r>
      <w:r w:rsidR="00F16731" w:rsidRPr="007F7EBF">
        <w:rPr>
          <w:rStyle w:val="Rimandonotaapidipagina"/>
          <w:sz w:val="22"/>
          <w:szCs w:val="22"/>
        </w:rPr>
        <w:footnoteReference w:id="687"/>
      </w:r>
      <w:r w:rsidR="00F16731">
        <w:rPr>
          <w:sz w:val="22"/>
          <w:szCs w:val="22"/>
        </w:rPr>
        <w:t xml:space="preserve">); </w:t>
      </w:r>
      <w:proofErr w:type="spellStart"/>
      <w:r w:rsidR="00F16731">
        <w:rPr>
          <w:sz w:val="22"/>
          <w:szCs w:val="22"/>
        </w:rPr>
        <w:t>b</w:t>
      </w:r>
      <w:r w:rsidR="00F16731" w:rsidRPr="007F7EBF">
        <w:rPr>
          <w:sz w:val="22"/>
          <w:szCs w:val="22"/>
        </w:rPr>
        <w:t>enchè</w:t>
      </w:r>
      <w:proofErr w:type="spellEnd"/>
      <w:r w:rsidR="00F16731" w:rsidRPr="007F7EBF">
        <w:rPr>
          <w:sz w:val="22"/>
          <w:szCs w:val="22"/>
        </w:rPr>
        <w:t xml:space="preserve"> </w:t>
      </w:r>
      <w:r w:rsidR="00F16731">
        <w:rPr>
          <w:sz w:val="22"/>
          <w:szCs w:val="22"/>
        </w:rPr>
        <w:t xml:space="preserve">irrilevanti </w:t>
      </w:r>
      <w:r w:rsidR="00F16731" w:rsidRPr="007F7EBF">
        <w:rPr>
          <w:sz w:val="22"/>
          <w:szCs w:val="22"/>
        </w:rPr>
        <w:t xml:space="preserve">nelle stime </w:t>
      </w:r>
      <w:r w:rsidR="00F16731">
        <w:rPr>
          <w:sz w:val="22"/>
          <w:szCs w:val="22"/>
        </w:rPr>
        <w:t>macroeconomiche dell’evasione (</w:t>
      </w:r>
      <w:r w:rsidR="00F16731" w:rsidRPr="007F7EBF">
        <w:rPr>
          <w:sz w:val="22"/>
          <w:szCs w:val="22"/>
        </w:rPr>
        <w:t>par.</w:t>
      </w:r>
      <w:r w:rsidR="001F13C8">
        <w:rPr>
          <w:sz w:val="22"/>
          <w:szCs w:val="22"/>
        </w:rPr>
        <w:t>1.6</w:t>
      </w:r>
      <w:r w:rsidR="00F16731">
        <w:rPr>
          <w:sz w:val="22"/>
          <w:szCs w:val="22"/>
        </w:rPr>
        <w:t>) le contestazioni interpretative, sul regime degli imponibili palesi</w:t>
      </w:r>
      <w:r w:rsidR="00F16731" w:rsidRPr="007F7EBF">
        <w:rPr>
          <w:sz w:val="22"/>
          <w:szCs w:val="22"/>
        </w:rPr>
        <w:t>,</w:t>
      </w:r>
      <w:r w:rsidR="00F16731">
        <w:rPr>
          <w:sz w:val="22"/>
          <w:szCs w:val="22"/>
        </w:rPr>
        <w:t xml:space="preserve"> superano di gran lunga, nelle statistiche dei controlli, quelle da stime degli imponibili non registrati</w:t>
      </w:r>
      <w:r w:rsidR="00F16731" w:rsidRPr="007F7EBF">
        <w:rPr>
          <w:sz w:val="22"/>
          <w:szCs w:val="22"/>
        </w:rPr>
        <w:t xml:space="preserve"> </w:t>
      </w:r>
      <w:r w:rsidR="00F16731">
        <w:rPr>
          <w:sz w:val="22"/>
          <w:szCs w:val="22"/>
        </w:rPr>
        <w:t>costituendo la parte più significativa del loro risultato (</w:t>
      </w:r>
      <w:r w:rsidR="00F16731">
        <w:rPr>
          <w:rStyle w:val="Rimandonotaapidipagina"/>
          <w:sz w:val="22"/>
          <w:szCs w:val="22"/>
        </w:rPr>
        <w:footnoteReference w:id="688"/>
      </w:r>
      <w:r w:rsidR="00F16731">
        <w:rPr>
          <w:sz w:val="22"/>
          <w:szCs w:val="22"/>
        </w:rPr>
        <w:t>)</w:t>
      </w:r>
      <w:r w:rsidR="00F16731" w:rsidRPr="007F7EBF">
        <w:rPr>
          <w:sz w:val="22"/>
          <w:szCs w:val="22"/>
        </w:rPr>
        <w:t>.</w:t>
      </w:r>
      <w:r w:rsidR="00F16731">
        <w:rPr>
          <w:sz w:val="22"/>
          <w:szCs w:val="22"/>
        </w:rPr>
        <w:t xml:space="preserve"> </w:t>
      </w:r>
      <w:r>
        <w:rPr>
          <w:sz w:val="22"/>
          <w:szCs w:val="22"/>
        </w:rPr>
        <w:t>In generale l’inquadramento giuridico degli imponibili dichiarati assorbe più controlli che la stima per ordine di grandezza degli imponibili evasi.</w:t>
      </w:r>
    </w:p>
    <w:p w14:paraId="3F481EDC" w14:textId="77777777" w:rsidR="00F16731" w:rsidRPr="007F7EBF" w:rsidRDefault="00F16731" w:rsidP="00F16731">
      <w:pPr>
        <w:pStyle w:val="tit23"/>
        <w:ind w:left="6464" w:right="-1361" w:firstLine="0"/>
        <w:jc w:val="left"/>
        <w:rPr>
          <w:bCs/>
          <w:i/>
          <w:iCs/>
          <w:color w:val="0000FF"/>
          <w:lang w:val="it-IT"/>
        </w:rPr>
      </w:pPr>
      <w:r>
        <w:rPr>
          <w:bCs/>
          <w:i/>
          <w:iCs/>
          <w:color w:val="0000FF"/>
          <w:lang w:val="it-IT"/>
        </w:rPr>
        <w:t>Convenienza politico, professionale ed evasiva</w:t>
      </w:r>
    </w:p>
    <w:p w14:paraId="1F7453A7" w14:textId="6D96BADE" w:rsidR="00736E14" w:rsidRPr="00CC7CF9" w:rsidRDefault="00F16731" w:rsidP="00736E14">
      <w:pPr>
        <w:autoSpaceDE w:val="0"/>
        <w:autoSpaceDN w:val="0"/>
        <w:adjustRightInd w:val="0"/>
        <w:rPr>
          <w:bCs/>
          <w:sz w:val="22"/>
          <w:szCs w:val="22"/>
        </w:rPr>
      </w:pPr>
      <w:r>
        <w:rPr>
          <w:sz w:val="22"/>
          <w:szCs w:val="22"/>
        </w:rPr>
        <w:t xml:space="preserve">Su queste  contestazioni prospera anche il sensazionalismo mediatico sui “grandi evasori” collegato a schizofreniche tendenze </w:t>
      </w:r>
      <w:proofErr w:type="spellStart"/>
      <w:r>
        <w:rPr>
          <w:sz w:val="22"/>
          <w:szCs w:val="22"/>
        </w:rPr>
        <w:t>antiaziendali</w:t>
      </w:r>
      <w:proofErr w:type="spellEnd"/>
      <w:r>
        <w:rPr>
          <w:sz w:val="22"/>
          <w:szCs w:val="22"/>
        </w:rPr>
        <w:t xml:space="preserve">, intrecciate con la parallela </w:t>
      </w:r>
      <w:r w:rsidRPr="007F7EBF">
        <w:rPr>
          <w:sz w:val="22"/>
          <w:szCs w:val="22"/>
        </w:rPr>
        <w:t>mitizzazion</w:t>
      </w:r>
      <w:r>
        <w:rPr>
          <w:sz w:val="22"/>
          <w:szCs w:val="22"/>
        </w:rPr>
        <w:t>e</w:t>
      </w:r>
      <w:r w:rsidRPr="007F7EBF">
        <w:rPr>
          <w:sz w:val="22"/>
          <w:szCs w:val="22"/>
        </w:rPr>
        <w:t>, da parte degli stessi ambienti e stessi mezzi di comunicazione</w:t>
      </w:r>
      <w:r>
        <w:rPr>
          <w:sz w:val="22"/>
          <w:szCs w:val="22"/>
        </w:rPr>
        <w:t>,</w:t>
      </w:r>
      <w:r w:rsidRPr="007F7EBF">
        <w:rPr>
          <w:sz w:val="22"/>
          <w:szCs w:val="22"/>
        </w:rPr>
        <w:t xml:space="preserve"> del modello aziendale come fonte di lavoro e di sviluppo</w:t>
      </w:r>
      <w:r>
        <w:rPr>
          <w:sz w:val="22"/>
          <w:szCs w:val="22"/>
        </w:rPr>
        <w:t>(</w:t>
      </w:r>
      <w:r w:rsidRPr="007F7EBF">
        <w:rPr>
          <w:rStyle w:val="Rimandonotaapidipagina"/>
          <w:sz w:val="22"/>
          <w:szCs w:val="22"/>
        </w:rPr>
        <w:footnoteReference w:id="689"/>
      </w:r>
      <w:r>
        <w:rPr>
          <w:sz w:val="22"/>
          <w:szCs w:val="22"/>
        </w:rPr>
        <w:t>).I</w:t>
      </w:r>
      <w:r w:rsidR="00CC7CF9">
        <w:rPr>
          <w:sz w:val="22"/>
          <w:szCs w:val="22"/>
        </w:rPr>
        <w:t xml:space="preserve"> </w:t>
      </w:r>
      <w:proofErr w:type="spellStart"/>
      <w:r>
        <w:rPr>
          <w:sz w:val="22"/>
          <w:szCs w:val="22"/>
        </w:rPr>
        <w:t>nfine</w:t>
      </w:r>
      <w:proofErr w:type="spellEnd"/>
      <w:r>
        <w:rPr>
          <w:sz w:val="22"/>
          <w:szCs w:val="22"/>
        </w:rPr>
        <w:t xml:space="preserve"> le contestazioni interpretative sull</w:t>
      </w:r>
      <w:r w:rsidRPr="007F7EBF">
        <w:rPr>
          <w:sz w:val="22"/>
          <w:szCs w:val="22"/>
        </w:rPr>
        <w:t>'"azienda"</w:t>
      </w:r>
      <w:r>
        <w:rPr>
          <w:sz w:val="22"/>
          <w:szCs w:val="22"/>
        </w:rPr>
        <w:t xml:space="preserve"> </w:t>
      </w:r>
      <w:r w:rsidRPr="007F7EBF">
        <w:rPr>
          <w:sz w:val="22"/>
          <w:szCs w:val="22"/>
        </w:rPr>
        <w:t>com</w:t>
      </w:r>
      <w:r>
        <w:rPr>
          <w:sz w:val="22"/>
          <w:szCs w:val="22"/>
        </w:rPr>
        <w:t>e</w:t>
      </w:r>
      <w:r w:rsidRPr="007F7EBF">
        <w:rPr>
          <w:sz w:val="22"/>
          <w:szCs w:val="22"/>
        </w:rPr>
        <w:t xml:space="preserve"> organizzazione,  </w:t>
      </w:r>
      <w:r>
        <w:rPr>
          <w:sz w:val="22"/>
          <w:szCs w:val="22"/>
        </w:rPr>
        <w:t xml:space="preserve">distraggono dai comportamenti evasivi dei titolari </w:t>
      </w:r>
      <w:r w:rsidRPr="007F7EBF">
        <w:rPr>
          <w:sz w:val="22"/>
          <w:szCs w:val="22"/>
        </w:rPr>
        <w:t>o dirigenti</w:t>
      </w:r>
      <w:r>
        <w:rPr>
          <w:sz w:val="22"/>
          <w:szCs w:val="22"/>
        </w:rPr>
        <w:t xml:space="preserve"> descritti </w:t>
      </w:r>
      <w:r w:rsidRPr="007F7EBF">
        <w:rPr>
          <w:sz w:val="22"/>
          <w:szCs w:val="22"/>
        </w:rPr>
        <w:t>al par.3.7</w:t>
      </w:r>
      <w:r>
        <w:rPr>
          <w:sz w:val="22"/>
          <w:szCs w:val="22"/>
        </w:rPr>
        <w:t>; in tali casi esse sono un diversivo gradito al</w:t>
      </w:r>
      <w:r w:rsidRPr="007F7EBF">
        <w:rPr>
          <w:sz w:val="22"/>
          <w:szCs w:val="22"/>
        </w:rPr>
        <w:t>l'imprenditore</w:t>
      </w:r>
      <w:r>
        <w:rPr>
          <w:sz w:val="22"/>
          <w:szCs w:val="22"/>
        </w:rPr>
        <w:t xml:space="preserve"> </w:t>
      </w:r>
      <w:r w:rsidRPr="007F7EBF">
        <w:rPr>
          <w:sz w:val="22"/>
          <w:szCs w:val="22"/>
        </w:rPr>
        <w:t>come "persona"</w:t>
      </w:r>
      <w:r>
        <w:rPr>
          <w:sz w:val="22"/>
          <w:szCs w:val="22"/>
        </w:rPr>
        <w:t xml:space="preserve"> con qualcosa da nascondere; non a caso queste evasioni </w:t>
      </w:r>
      <w:r w:rsidRPr="007F7EBF">
        <w:rPr>
          <w:sz w:val="22"/>
          <w:szCs w:val="22"/>
        </w:rPr>
        <w:t xml:space="preserve">sono emerse raramente, e di solito per liti familiari, societarie, o reati di altro genere, come bancarotta e corruzione. </w:t>
      </w:r>
      <w:r w:rsidR="00CC7CF9">
        <w:rPr>
          <w:bCs/>
          <w:sz w:val="22"/>
          <w:szCs w:val="22"/>
        </w:rPr>
        <w:t xml:space="preserve">Come indicato al par.3.7 gli indizi di </w:t>
      </w:r>
      <w:r w:rsidR="00637144">
        <w:rPr>
          <w:bCs/>
          <w:sz w:val="22"/>
          <w:szCs w:val="22"/>
        </w:rPr>
        <w:t xml:space="preserve">evasione in senso materiale </w:t>
      </w:r>
      <w:r w:rsidR="00CC7CF9">
        <w:rPr>
          <w:bCs/>
          <w:sz w:val="22"/>
          <w:szCs w:val="22"/>
        </w:rPr>
        <w:t xml:space="preserve">sono meno percepibili nelle organizzazioni, con </w:t>
      </w:r>
      <w:r>
        <w:rPr>
          <w:sz w:val="22"/>
          <w:szCs w:val="22"/>
        </w:rPr>
        <w:t>inconvenienti, indicati al par.5.19, in materia di crescita dimensionale delle imprese.</w:t>
      </w:r>
    </w:p>
    <w:p w14:paraId="4CB9F12E" w14:textId="420A5CE8" w:rsidR="00736E14" w:rsidRPr="007F7EBF" w:rsidRDefault="00F16731" w:rsidP="00736E14">
      <w:pPr>
        <w:pStyle w:val="tit23"/>
        <w:ind w:left="6464" w:right="-1361" w:firstLine="0"/>
        <w:jc w:val="left"/>
        <w:rPr>
          <w:bCs/>
          <w:i/>
          <w:iCs/>
          <w:color w:val="0000FF"/>
          <w:lang w:val="it-IT"/>
        </w:rPr>
      </w:pPr>
      <w:r>
        <w:rPr>
          <w:bCs/>
          <w:i/>
          <w:iCs/>
          <w:color w:val="0000FF"/>
          <w:lang w:val="it-IT"/>
        </w:rPr>
        <w:t>Convenienze amministrativ</w:t>
      </w:r>
      <w:r>
        <w:rPr>
          <w:bCs/>
          <w:i/>
          <w:iCs/>
          <w:color w:val="0000FF"/>
          <w:lang w:val="it-IT"/>
        </w:rPr>
        <w:lastRenderedPageBreak/>
        <w:t>e</w:t>
      </w:r>
      <w:r w:rsidR="00F53E9D">
        <w:rPr>
          <w:bCs/>
          <w:i/>
          <w:iCs/>
          <w:color w:val="0000FF"/>
          <w:lang w:val="it-IT"/>
        </w:rPr>
        <w:t xml:space="preserve"> e professionali</w:t>
      </w:r>
    </w:p>
    <w:p w14:paraId="34CE8711" w14:textId="7BC9ACA2" w:rsidR="00563DC4" w:rsidRDefault="00F16731" w:rsidP="00F53E9D">
      <w:pPr>
        <w:autoSpaceDE w:val="0"/>
        <w:autoSpaceDN w:val="0"/>
        <w:adjustRightInd w:val="0"/>
        <w:rPr>
          <w:sz w:val="22"/>
          <w:szCs w:val="22"/>
        </w:rPr>
      </w:pPr>
      <w:r>
        <w:rPr>
          <w:sz w:val="22"/>
          <w:szCs w:val="22"/>
        </w:rPr>
        <w:t>La convenienza amministrativa delle contestazioni interpretative sta nella loro maggiore “copertura” normativ</w:t>
      </w:r>
      <w:r w:rsidR="00F53E9D">
        <w:rPr>
          <w:sz w:val="22"/>
          <w:szCs w:val="22"/>
        </w:rPr>
        <w:t>a</w:t>
      </w:r>
      <w:r w:rsidR="007E5355">
        <w:rPr>
          <w:sz w:val="22"/>
          <w:szCs w:val="22"/>
        </w:rPr>
        <w:t xml:space="preserve"> rispetto alle </w:t>
      </w:r>
      <w:r w:rsidR="00F53E9D">
        <w:rPr>
          <w:bCs/>
          <w:sz w:val="22"/>
          <w:szCs w:val="22"/>
        </w:rPr>
        <w:t xml:space="preserve">sfuggenti stime </w:t>
      </w:r>
      <w:r w:rsidR="00563DC4">
        <w:rPr>
          <w:bCs/>
          <w:sz w:val="22"/>
          <w:szCs w:val="22"/>
        </w:rPr>
        <w:t xml:space="preserve">valutative </w:t>
      </w:r>
      <w:r w:rsidR="00F53E9D">
        <w:rPr>
          <w:bCs/>
          <w:sz w:val="22"/>
          <w:szCs w:val="22"/>
        </w:rPr>
        <w:t xml:space="preserve">di </w:t>
      </w:r>
      <w:r w:rsidR="00563DC4">
        <w:rPr>
          <w:bCs/>
          <w:sz w:val="22"/>
          <w:szCs w:val="22"/>
        </w:rPr>
        <w:t>ipotetici imponibili</w:t>
      </w:r>
      <w:r w:rsidR="00F53E9D">
        <w:rPr>
          <w:bCs/>
          <w:sz w:val="22"/>
          <w:szCs w:val="22"/>
        </w:rPr>
        <w:t xml:space="preserve"> </w:t>
      </w:r>
      <w:r w:rsidR="00563DC4">
        <w:rPr>
          <w:bCs/>
          <w:sz w:val="22"/>
          <w:szCs w:val="22"/>
        </w:rPr>
        <w:t>o</w:t>
      </w:r>
      <w:r w:rsidR="00F53E9D">
        <w:rPr>
          <w:bCs/>
          <w:sz w:val="22"/>
          <w:szCs w:val="22"/>
        </w:rPr>
        <w:t>c</w:t>
      </w:r>
      <w:r w:rsidR="00563DC4">
        <w:rPr>
          <w:bCs/>
          <w:sz w:val="22"/>
          <w:szCs w:val="22"/>
        </w:rPr>
        <w:t xml:space="preserve">cultati </w:t>
      </w:r>
      <w:r w:rsidR="00F53E9D">
        <w:rPr>
          <w:bCs/>
          <w:sz w:val="22"/>
          <w:szCs w:val="22"/>
        </w:rPr>
        <w:t>(</w:t>
      </w:r>
      <w:r w:rsidR="00F53E9D" w:rsidRPr="007F7EBF">
        <w:rPr>
          <w:rStyle w:val="Rimandonotaapidipagina"/>
          <w:sz w:val="22"/>
          <w:szCs w:val="22"/>
        </w:rPr>
        <w:footnoteReference w:id="690"/>
      </w:r>
      <w:r w:rsidR="00F53E9D">
        <w:rPr>
          <w:bCs/>
          <w:sz w:val="22"/>
          <w:szCs w:val="22"/>
        </w:rPr>
        <w:t>)</w:t>
      </w:r>
      <w:r w:rsidR="00CC7CF9">
        <w:rPr>
          <w:sz w:val="22"/>
          <w:szCs w:val="22"/>
        </w:rPr>
        <w:t xml:space="preserve">. </w:t>
      </w:r>
      <w:r w:rsidR="00563DC4">
        <w:rPr>
          <w:sz w:val="22"/>
          <w:szCs w:val="22"/>
        </w:rPr>
        <w:t xml:space="preserve">Sulle riqualificazioni giuridico-interpretative di circostanze palesi ci si </w:t>
      </w:r>
      <w:r>
        <w:rPr>
          <w:sz w:val="22"/>
          <w:szCs w:val="22"/>
        </w:rPr>
        <w:t>espo</w:t>
      </w:r>
      <w:r w:rsidR="00563DC4">
        <w:rPr>
          <w:sz w:val="22"/>
          <w:szCs w:val="22"/>
        </w:rPr>
        <w:t xml:space="preserve">ne di meno </w:t>
      </w:r>
      <w:r>
        <w:rPr>
          <w:sz w:val="22"/>
          <w:szCs w:val="22"/>
        </w:rPr>
        <w:t xml:space="preserve"> (</w:t>
      </w:r>
      <w:r w:rsidRPr="007F7EBF">
        <w:rPr>
          <w:rStyle w:val="Rimandonotaapidipagina"/>
          <w:bCs/>
          <w:sz w:val="22"/>
          <w:szCs w:val="22"/>
        </w:rPr>
        <w:footnoteReference w:id="691"/>
      </w:r>
      <w:r>
        <w:rPr>
          <w:sz w:val="22"/>
          <w:szCs w:val="22"/>
        </w:rPr>
        <w:t>)</w:t>
      </w:r>
      <w:r w:rsidR="00CC7CF9">
        <w:rPr>
          <w:sz w:val="22"/>
          <w:szCs w:val="22"/>
        </w:rPr>
        <w:t xml:space="preserve">, </w:t>
      </w:r>
      <w:r w:rsidR="00563DC4">
        <w:rPr>
          <w:sz w:val="22"/>
          <w:szCs w:val="22"/>
        </w:rPr>
        <w:t xml:space="preserve">e si raggiunge comunque l’”obiettivo monetario” </w:t>
      </w:r>
      <w:r>
        <w:rPr>
          <w:sz w:val="22"/>
          <w:szCs w:val="22"/>
        </w:rPr>
        <w:t>(par.5.7</w:t>
      </w:r>
      <w:r w:rsidR="00563DC4">
        <w:rPr>
          <w:sz w:val="22"/>
          <w:szCs w:val="22"/>
        </w:rPr>
        <w:t xml:space="preserve">), cioè il </w:t>
      </w:r>
      <w:r>
        <w:rPr>
          <w:sz w:val="22"/>
          <w:szCs w:val="22"/>
        </w:rPr>
        <w:t xml:space="preserve">c.d. </w:t>
      </w:r>
      <w:r w:rsidRPr="007F7EBF">
        <w:rPr>
          <w:i/>
          <w:sz w:val="22"/>
          <w:szCs w:val="22"/>
        </w:rPr>
        <w:t>risultato di servizio</w:t>
      </w:r>
      <w:r>
        <w:rPr>
          <w:sz w:val="22"/>
          <w:szCs w:val="22"/>
        </w:rPr>
        <w:t xml:space="preserve">; </w:t>
      </w:r>
      <w:r w:rsidRPr="007F7EBF">
        <w:rPr>
          <w:sz w:val="22"/>
          <w:szCs w:val="22"/>
        </w:rPr>
        <w:t xml:space="preserve">è </w:t>
      </w:r>
      <w:r>
        <w:rPr>
          <w:sz w:val="22"/>
          <w:szCs w:val="22"/>
        </w:rPr>
        <w:t>infatti</w:t>
      </w:r>
      <w:r w:rsidRPr="007F7EBF">
        <w:rPr>
          <w:sz w:val="22"/>
          <w:szCs w:val="22"/>
        </w:rPr>
        <w:t xml:space="preserve"> più agevole rendicontare maggiore imposta recuperata per un milione con due contestazioni interpretative a organizzazioni medio-grandi, anziché con venti accertamenti a piccoli commercianti e artigiani (</w:t>
      </w:r>
      <w:r>
        <w:rPr>
          <w:rStyle w:val="Rimandonotaapidipagina"/>
          <w:sz w:val="22"/>
          <w:szCs w:val="22"/>
        </w:rPr>
        <w:footnoteReference w:id="692"/>
      </w:r>
      <w:r w:rsidRPr="007F7EBF">
        <w:rPr>
          <w:sz w:val="22"/>
          <w:szCs w:val="22"/>
        </w:rPr>
        <w:t xml:space="preserve">). </w:t>
      </w:r>
      <w:r w:rsidR="002D6F50">
        <w:rPr>
          <w:sz w:val="22"/>
          <w:szCs w:val="22"/>
        </w:rPr>
        <w:t xml:space="preserve"> </w:t>
      </w:r>
      <w:r w:rsidR="00563DC4">
        <w:rPr>
          <w:sz w:val="22"/>
          <w:szCs w:val="22"/>
        </w:rPr>
        <w:t>E’ la stessa tendenza che spinge</w:t>
      </w:r>
      <w:r w:rsidR="002D6F50">
        <w:rPr>
          <w:sz w:val="22"/>
          <w:szCs w:val="22"/>
        </w:rPr>
        <w:t xml:space="preserve"> a formulare contestazioni interpretative dovunque l’importo non sia irrisorio, anche verso i piccoli contribuenti, </w:t>
      </w:r>
      <w:r w:rsidR="00563DC4">
        <w:rPr>
          <w:sz w:val="22"/>
          <w:szCs w:val="22"/>
        </w:rPr>
        <w:t>controlla</w:t>
      </w:r>
      <w:r w:rsidR="002D6F50">
        <w:rPr>
          <w:sz w:val="22"/>
          <w:szCs w:val="22"/>
        </w:rPr>
        <w:t xml:space="preserve">ndo </w:t>
      </w:r>
      <w:r w:rsidR="00563DC4">
        <w:rPr>
          <w:sz w:val="22"/>
          <w:szCs w:val="22"/>
        </w:rPr>
        <w:t>il regime giuridico di tutto ciò che vi si presta</w:t>
      </w:r>
      <w:r w:rsidR="002D6F50">
        <w:rPr>
          <w:sz w:val="22"/>
          <w:szCs w:val="22"/>
        </w:rPr>
        <w:t xml:space="preserve"> anche nei controlli formali di cui al par.5.5.</w:t>
      </w:r>
      <w:r w:rsidR="00563DC4">
        <w:rPr>
          <w:sz w:val="22"/>
          <w:szCs w:val="22"/>
        </w:rPr>
        <w:t xml:space="preserve">. </w:t>
      </w:r>
    </w:p>
    <w:p w14:paraId="5B236413" w14:textId="4733674F" w:rsidR="00F53E9D" w:rsidRPr="007F7EBF" w:rsidRDefault="00563DC4" w:rsidP="00F53E9D">
      <w:pPr>
        <w:autoSpaceDE w:val="0"/>
        <w:autoSpaceDN w:val="0"/>
        <w:adjustRightInd w:val="0"/>
        <w:rPr>
          <w:sz w:val="22"/>
          <w:szCs w:val="22"/>
        </w:rPr>
      </w:pPr>
      <w:r>
        <w:rPr>
          <w:sz w:val="22"/>
          <w:szCs w:val="22"/>
        </w:rPr>
        <w:t>Inoltre l</w:t>
      </w:r>
      <w:r w:rsidR="00F53E9D">
        <w:rPr>
          <w:sz w:val="22"/>
          <w:szCs w:val="22"/>
        </w:rPr>
        <w:t>e contestazioni interpretative</w:t>
      </w:r>
      <w:r w:rsidR="00446669">
        <w:rPr>
          <w:sz w:val="22"/>
          <w:szCs w:val="22"/>
        </w:rPr>
        <w:t xml:space="preserve"> verso le </w:t>
      </w:r>
      <w:r w:rsidR="00F53E9D" w:rsidRPr="007F7EBF">
        <w:rPr>
          <w:bCs/>
          <w:sz w:val="22"/>
          <w:szCs w:val="22"/>
        </w:rPr>
        <w:t xml:space="preserve">organizzazioni aziendali </w:t>
      </w:r>
      <w:r w:rsidR="00446669">
        <w:rPr>
          <w:bCs/>
          <w:sz w:val="22"/>
          <w:szCs w:val="22"/>
        </w:rPr>
        <w:t xml:space="preserve">sono facili da svolgere in quanto si dirigono a strutture </w:t>
      </w:r>
      <w:r w:rsidR="00F53E9D">
        <w:rPr>
          <w:bCs/>
          <w:sz w:val="22"/>
          <w:szCs w:val="22"/>
        </w:rPr>
        <w:t xml:space="preserve">solvibili, </w:t>
      </w:r>
      <w:r w:rsidR="00F53E9D" w:rsidRPr="007F7EBF">
        <w:rPr>
          <w:sz w:val="22"/>
          <w:szCs w:val="22"/>
        </w:rPr>
        <w:t>scrupolose, collaborative</w:t>
      </w:r>
      <w:r w:rsidR="00F53E9D">
        <w:rPr>
          <w:sz w:val="22"/>
          <w:szCs w:val="22"/>
        </w:rPr>
        <w:t xml:space="preserve">, </w:t>
      </w:r>
      <w:r w:rsidR="00446669">
        <w:rPr>
          <w:sz w:val="22"/>
          <w:szCs w:val="22"/>
        </w:rPr>
        <w:t>con cui</w:t>
      </w:r>
      <w:r w:rsidR="00F53E9D" w:rsidRPr="007F7EBF">
        <w:rPr>
          <w:sz w:val="22"/>
          <w:szCs w:val="22"/>
        </w:rPr>
        <w:t xml:space="preserve"> si interloquisce in punta di fioretto </w:t>
      </w:r>
      <w:r w:rsidR="00446669">
        <w:rPr>
          <w:sz w:val="22"/>
          <w:szCs w:val="22"/>
        </w:rPr>
        <w:t xml:space="preserve">spesso </w:t>
      </w:r>
      <w:r w:rsidR="00F53E9D" w:rsidRPr="007F7EBF">
        <w:rPr>
          <w:sz w:val="22"/>
          <w:szCs w:val="22"/>
        </w:rPr>
        <w:t xml:space="preserve">con professionisti preparati; </w:t>
      </w:r>
      <w:r w:rsidR="00446669">
        <w:rPr>
          <w:sz w:val="22"/>
          <w:szCs w:val="22"/>
        </w:rPr>
        <w:t xml:space="preserve">invece delle ipotetiche stime degli imponibili (par.5.13) le contestazioni interpretative si risolvono in </w:t>
      </w:r>
      <w:r w:rsidR="00F53E9D" w:rsidRPr="007F7EBF">
        <w:rPr>
          <w:sz w:val="22"/>
          <w:szCs w:val="22"/>
        </w:rPr>
        <w:t xml:space="preserve">eleganti ed erudite divagazioni, </w:t>
      </w:r>
      <w:r w:rsidR="00F53E9D">
        <w:rPr>
          <w:sz w:val="22"/>
          <w:szCs w:val="22"/>
        </w:rPr>
        <w:t>che danno modo a</w:t>
      </w:r>
      <w:r w:rsidR="00446669">
        <w:rPr>
          <w:sz w:val="22"/>
          <w:szCs w:val="22"/>
        </w:rPr>
        <w:t xml:space="preserve"> funzionari e professionisti di sentirsi anche </w:t>
      </w:r>
      <w:r w:rsidR="00F53E9D" w:rsidRPr="007F7EBF">
        <w:rPr>
          <w:sz w:val="22"/>
          <w:szCs w:val="22"/>
        </w:rPr>
        <w:t>un po' professori</w:t>
      </w:r>
      <w:r w:rsidR="00446669">
        <w:rPr>
          <w:sz w:val="22"/>
          <w:szCs w:val="22"/>
        </w:rPr>
        <w:t xml:space="preserve"> </w:t>
      </w:r>
      <w:r w:rsidR="00F53E9D">
        <w:rPr>
          <w:bCs/>
          <w:sz w:val="22"/>
          <w:szCs w:val="22"/>
        </w:rPr>
        <w:t>(</w:t>
      </w:r>
      <w:r w:rsidR="00F53E9D">
        <w:rPr>
          <w:rStyle w:val="Rimandonotaapidipagina"/>
          <w:bCs/>
          <w:sz w:val="22"/>
          <w:szCs w:val="22"/>
        </w:rPr>
        <w:footnoteReference w:id="693"/>
      </w:r>
      <w:r w:rsidR="00F53E9D">
        <w:rPr>
          <w:bCs/>
          <w:sz w:val="22"/>
          <w:szCs w:val="22"/>
        </w:rPr>
        <w:t>)</w:t>
      </w:r>
      <w:r w:rsidR="00446669">
        <w:rPr>
          <w:bCs/>
          <w:sz w:val="22"/>
          <w:szCs w:val="22"/>
        </w:rPr>
        <w:t xml:space="preserve">. </w:t>
      </w:r>
      <w:r w:rsidR="00F53E9D">
        <w:rPr>
          <w:bCs/>
          <w:sz w:val="22"/>
          <w:szCs w:val="22"/>
        </w:rPr>
        <w:t xml:space="preserve">per cui queste contestazioni sono </w:t>
      </w:r>
      <w:r w:rsidR="00F53E9D">
        <w:rPr>
          <w:sz w:val="22"/>
          <w:szCs w:val="22"/>
        </w:rPr>
        <w:t>occasioni di lavoro</w:t>
      </w:r>
      <w:r w:rsidR="00CC7CF9">
        <w:rPr>
          <w:sz w:val="22"/>
          <w:szCs w:val="22"/>
        </w:rPr>
        <w:t xml:space="preserve"> ben remunerate</w:t>
      </w:r>
      <w:r w:rsidR="00F53E9D">
        <w:rPr>
          <w:sz w:val="22"/>
          <w:szCs w:val="22"/>
        </w:rPr>
        <w:t>, anche se socialmente inutili</w:t>
      </w:r>
      <w:r w:rsidR="00277D68">
        <w:rPr>
          <w:bCs/>
          <w:sz w:val="22"/>
          <w:szCs w:val="22"/>
        </w:rPr>
        <w:t xml:space="preserve">. </w:t>
      </w:r>
    </w:p>
    <w:p w14:paraId="50AE15F4" w14:textId="5D612E8D" w:rsidR="00576E60" w:rsidRPr="007F7EBF" w:rsidRDefault="006342C5" w:rsidP="00F51816">
      <w:pPr>
        <w:pStyle w:val="Titolo3"/>
        <w:rPr>
          <w:rFonts w:ascii="Times New Roman" w:hAnsi="Times New Roman"/>
          <w:sz w:val="22"/>
          <w:szCs w:val="22"/>
        </w:rPr>
      </w:pPr>
      <w:bookmarkStart w:id="77" w:name="_Toc63364990"/>
      <w:r w:rsidRPr="007F7EBF">
        <w:rPr>
          <w:rFonts w:ascii="Times New Roman" w:hAnsi="Times New Roman"/>
          <w:sz w:val="22"/>
          <w:szCs w:val="22"/>
        </w:rPr>
        <w:lastRenderedPageBreak/>
        <w:t>5.18.</w:t>
      </w:r>
      <w:r w:rsidR="00E608F3">
        <w:rPr>
          <w:rFonts w:ascii="Times New Roman" w:hAnsi="Times New Roman"/>
          <w:sz w:val="22"/>
          <w:szCs w:val="22"/>
          <w:lang w:val="it-IT"/>
        </w:rPr>
        <w:t xml:space="preserve"> </w:t>
      </w:r>
      <w:r w:rsidR="001F5CD0">
        <w:rPr>
          <w:rFonts w:ascii="Times New Roman" w:hAnsi="Times New Roman"/>
          <w:sz w:val="22"/>
          <w:szCs w:val="22"/>
          <w:lang w:val="it-IT"/>
        </w:rPr>
        <w:t xml:space="preserve">Segue: </w:t>
      </w:r>
      <w:r w:rsidR="006C1B80">
        <w:rPr>
          <w:rFonts w:ascii="Times New Roman" w:hAnsi="Times New Roman"/>
          <w:sz w:val="22"/>
          <w:szCs w:val="22"/>
          <w:lang w:val="it-IT"/>
        </w:rPr>
        <w:t>I contenuti delle</w:t>
      </w:r>
      <w:r w:rsidR="00051B22">
        <w:rPr>
          <w:rFonts w:ascii="Times New Roman" w:hAnsi="Times New Roman"/>
          <w:sz w:val="22"/>
          <w:szCs w:val="22"/>
          <w:lang w:val="it-IT"/>
        </w:rPr>
        <w:t xml:space="preserve"> più frequenti contestazioni interpretative </w:t>
      </w:r>
      <w:r w:rsidR="001F5CD0">
        <w:rPr>
          <w:rFonts w:ascii="Times New Roman" w:hAnsi="Times New Roman"/>
          <w:sz w:val="22"/>
          <w:szCs w:val="22"/>
          <w:lang w:val="it-IT"/>
        </w:rPr>
        <w:t xml:space="preserve"> </w:t>
      </w:r>
      <w:r w:rsidR="00491C64">
        <w:rPr>
          <w:rFonts w:ascii="Times New Roman" w:hAnsi="Times New Roman"/>
          <w:sz w:val="22"/>
          <w:szCs w:val="22"/>
          <w:lang w:val="it-IT"/>
        </w:rPr>
        <w:t>e la loro gestione</w:t>
      </w:r>
      <w:bookmarkEnd w:id="77"/>
    </w:p>
    <w:p w14:paraId="418D1CA3" w14:textId="65BC7B0A" w:rsidR="00576E60" w:rsidRPr="007F7EBF" w:rsidRDefault="002709AB" w:rsidP="00576E60">
      <w:pPr>
        <w:pStyle w:val="tit23"/>
        <w:ind w:left="6464" w:right="-1361" w:firstLine="0"/>
        <w:jc w:val="left"/>
        <w:rPr>
          <w:bCs/>
          <w:i/>
          <w:iCs/>
          <w:color w:val="0000FF"/>
          <w:lang w:val="it-IT"/>
        </w:rPr>
      </w:pPr>
      <w:r>
        <w:rPr>
          <w:bCs/>
          <w:i/>
          <w:iCs/>
          <w:color w:val="0000FF"/>
          <w:lang w:val="it-IT"/>
        </w:rPr>
        <w:t>Forzature interpretative tra forma e sostanza</w:t>
      </w:r>
    </w:p>
    <w:p w14:paraId="6F025FDA" w14:textId="43723CE5" w:rsidR="00A844EC" w:rsidRPr="007F7EBF" w:rsidRDefault="00A010C0" w:rsidP="00A844EC">
      <w:pPr>
        <w:autoSpaceDE w:val="0"/>
        <w:autoSpaceDN w:val="0"/>
        <w:adjustRightInd w:val="0"/>
        <w:rPr>
          <w:bCs/>
          <w:i/>
          <w:iCs/>
          <w:color w:val="0000FF"/>
        </w:rPr>
      </w:pPr>
      <w:r>
        <w:rPr>
          <w:sz w:val="22"/>
          <w:szCs w:val="22"/>
        </w:rPr>
        <w:t>Il contenuto delle contestazioni interpretative</w:t>
      </w:r>
      <w:r w:rsidR="00A844EC">
        <w:rPr>
          <w:sz w:val="22"/>
          <w:szCs w:val="22"/>
        </w:rPr>
        <w:t xml:space="preserve"> si collega </w:t>
      </w:r>
      <w:r w:rsidR="00F26C8D" w:rsidRPr="007F7EBF">
        <w:rPr>
          <w:sz w:val="22"/>
          <w:szCs w:val="22"/>
        </w:rPr>
        <w:t>ai parr.3</w:t>
      </w:r>
      <w:r w:rsidR="00553939" w:rsidRPr="007F7EBF">
        <w:rPr>
          <w:sz w:val="22"/>
          <w:szCs w:val="22"/>
        </w:rPr>
        <w:t>.9</w:t>
      </w:r>
      <w:r w:rsidR="00F26C8D" w:rsidRPr="007F7EBF">
        <w:rPr>
          <w:sz w:val="22"/>
          <w:szCs w:val="22"/>
        </w:rPr>
        <w:t>-3.10</w:t>
      </w:r>
      <w:r w:rsidR="00A844EC">
        <w:rPr>
          <w:sz w:val="22"/>
          <w:szCs w:val="22"/>
        </w:rPr>
        <w:t xml:space="preserve">-3.12 </w:t>
      </w:r>
      <w:r w:rsidR="00F26C8D" w:rsidRPr="007F7EBF">
        <w:rPr>
          <w:sz w:val="22"/>
          <w:szCs w:val="22"/>
        </w:rPr>
        <w:t xml:space="preserve"> </w:t>
      </w:r>
      <w:r w:rsidR="00553939" w:rsidRPr="007F7EBF">
        <w:rPr>
          <w:sz w:val="22"/>
          <w:szCs w:val="22"/>
        </w:rPr>
        <w:t>sull’interpretazione</w:t>
      </w:r>
      <w:r w:rsidR="001569DF">
        <w:rPr>
          <w:sz w:val="22"/>
          <w:szCs w:val="22"/>
        </w:rPr>
        <w:t xml:space="preserve">, </w:t>
      </w:r>
      <w:r w:rsidR="00BA2DF4">
        <w:rPr>
          <w:sz w:val="22"/>
          <w:szCs w:val="22"/>
        </w:rPr>
        <w:t>l’elusione</w:t>
      </w:r>
      <w:r w:rsidR="00A844EC">
        <w:rPr>
          <w:sz w:val="22"/>
          <w:szCs w:val="22"/>
        </w:rPr>
        <w:t xml:space="preserve"> e</w:t>
      </w:r>
      <w:r w:rsidR="004407C7">
        <w:rPr>
          <w:sz w:val="22"/>
          <w:szCs w:val="22"/>
        </w:rPr>
        <w:t>tc.</w:t>
      </w:r>
      <w:r w:rsidR="00A844EC">
        <w:rPr>
          <w:sz w:val="22"/>
          <w:szCs w:val="22"/>
        </w:rPr>
        <w:t xml:space="preserve">. </w:t>
      </w:r>
      <w:r w:rsidR="00BA2DF4">
        <w:rPr>
          <w:sz w:val="22"/>
          <w:szCs w:val="22"/>
        </w:rPr>
        <w:t xml:space="preserve">eventi </w:t>
      </w:r>
      <w:r w:rsidR="009F6702" w:rsidRPr="007F7EBF">
        <w:rPr>
          <w:sz w:val="22"/>
          <w:szCs w:val="22"/>
        </w:rPr>
        <w:t xml:space="preserve">materialmente dichiarati o comunque </w:t>
      </w:r>
      <w:r w:rsidR="003D2E27">
        <w:rPr>
          <w:sz w:val="22"/>
          <w:szCs w:val="22"/>
        </w:rPr>
        <w:t>rendicontati nel modo conforme a una determinata qualificazione giuridica (</w:t>
      </w:r>
      <w:r w:rsidR="003D2E27">
        <w:rPr>
          <w:rStyle w:val="Rimandonotaapidipagina"/>
          <w:sz w:val="22"/>
          <w:szCs w:val="22"/>
        </w:rPr>
        <w:footnoteReference w:id="694"/>
      </w:r>
      <w:r w:rsidR="003D2E27">
        <w:rPr>
          <w:sz w:val="22"/>
          <w:szCs w:val="22"/>
        </w:rPr>
        <w:t>)</w:t>
      </w:r>
      <w:r w:rsidR="004407C7">
        <w:rPr>
          <w:sz w:val="22"/>
          <w:szCs w:val="22"/>
        </w:rPr>
        <w:t xml:space="preserve"> vengono inquadrati in modo differente dall’ufficio tributario. Quest’ultimo</w:t>
      </w:r>
      <w:r w:rsidR="00E707DF">
        <w:rPr>
          <w:sz w:val="22"/>
          <w:szCs w:val="22"/>
        </w:rPr>
        <w:t xml:space="preserve"> </w:t>
      </w:r>
      <w:r w:rsidR="008503BB">
        <w:rPr>
          <w:sz w:val="22"/>
          <w:szCs w:val="22"/>
        </w:rPr>
        <w:t>combina in modo diverso da come aveva fatto il contribuente gli argomenti che influenzano la “discrezionalità interpretativa” di cui al par.3.9. Ciò avviene in</w:t>
      </w:r>
      <w:r w:rsidR="00E707DF">
        <w:rPr>
          <w:sz w:val="22"/>
          <w:szCs w:val="22"/>
        </w:rPr>
        <w:t xml:space="preserve"> genere </w:t>
      </w:r>
      <w:r w:rsidR="008503BB">
        <w:rPr>
          <w:sz w:val="22"/>
          <w:szCs w:val="22"/>
        </w:rPr>
        <w:t>combinando in chiave “fiscale” forma gi</w:t>
      </w:r>
      <w:r w:rsidR="008503BB" w:rsidRPr="007F7EBF">
        <w:rPr>
          <w:sz w:val="22"/>
          <w:szCs w:val="22"/>
        </w:rPr>
        <w:t xml:space="preserve">uridica </w:t>
      </w:r>
      <w:r w:rsidR="008503BB">
        <w:rPr>
          <w:sz w:val="22"/>
          <w:szCs w:val="22"/>
        </w:rPr>
        <w:t xml:space="preserve">civilistica </w:t>
      </w:r>
      <w:r w:rsidR="008503BB" w:rsidRPr="007F7EBF">
        <w:rPr>
          <w:sz w:val="22"/>
          <w:szCs w:val="22"/>
        </w:rPr>
        <w:t>e sostanza economica</w:t>
      </w:r>
      <w:r w:rsidR="008503BB">
        <w:rPr>
          <w:sz w:val="22"/>
          <w:szCs w:val="22"/>
        </w:rPr>
        <w:t xml:space="preserve"> </w:t>
      </w:r>
      <w:r w:rsidR="002F782B">
        <w:rPr>
          <w:sz w:val="22"/>
          <w:szCs w:val="22"/>
        </w:rPr>
        <w:t>(</w:t>
      </w:r>
      <w:r w:rsidR="00E707DF" w:rsidRPr="007F7EBF">
        <w:rPr>
          <w:rStyle w:val="Rimandonotaapidipagina"/>
          <w:sz w:val="22"/>
          <w:szCs w:val="22"/>
        </w:rPr>
        <w:footnoteReference w:id="695"/>
      </w:r>
      <w:r w:rsidR="002F782B">
        <w:rPr>
          <w:sz w:val="22"/>
          <w:szCs w:val="22"/>
        </w:rPr>
        <w:t>)</w:t>
      </w:r>
      <w:r w:rsidR="008503BB">
        <w:rPr>
          <w:sz w:val="22"/>
          <w:szCs w:val="22"/>
        </w:rPr>
        <w:t xml:space="preserve">; </w:t>
      </w:r>
      <w:r w:rsidR="004407C7">
        <w:rPr>
          <w:sz w:val="22"/>
          <w:szCs w:val="22"/>
        </w:rPr>
        <w:t>qualche volta la reinterpretazione è corretta, ma quando viene forzata, per giustificare una maggiore imposta finisce per essere disorientante; assistiamo spesso a</w:t>
      </w:r>
      <w:r w:rsidR="008503BB">
        <w:rPr>
          <w:sz w:val="22"/>
          <w:szCs w:val="22"/>
        </w:rPr>
        <w:t xml:space="preserve"> un miscuglio di </w:t>
      </w:r>
      <w:r w:rsidR="004C4E72">
        <w:rPr>
          <w:sz w:val="22"/>
          <w:szCs w:val="22"/>
        </w:rPr>
        <w:t>divagazioni economicistiche,</w:t>
      </w:r>
      <w:r w:rsidR="004C4E72" w:rsidRPr="007F7EBF">
        <w:rPr>
          <w:sz w:val="22"/>
          <w:szCs w:val="22"/>
        </w:rPr>
        <w:t xml:space="preserve"> richiami </w:t>
      </w:r>
      <w:r w:rsidR="004C4E72">
        <w:rPr>
          <w:sz w:val="22"/>
          <w:szCs w:val="22"/>
        </w:rPr>
        <w:t>di materiali normativi</w:t>
      </w:r>
      <w:r w:rsidR="004C4E72" w:rsidRPr="007F7EBF">
        <w:rPr>
          <w:sz w:val="22"/>
          <w:szCs w:val="22"/>
        </w:rPr>
        <w:t xml:space="preserve">, </w:t>
      </w:r>
      <w:r w:rsidR="004C4E72">
        <w:rPr>
          <w:sz w:val="22"/>
          <w:szCs w:val="22"/>
        </w:rPr>
        <w:t>riferimenti</w:t>
      </w:r>
      <w:r w:rsidR="004C4E72" w:rsidRPr="007F7EBF">
        <w:rPr>
          <w:sz w:val="22"/>
          <w:szCs w:val="22"/>
        </w:rPr>
        <w:t xml:space="preserve"> civilistic</w:t>
      </w:r>
      <w:r w:rsidR="004C4E72">
        <w:rPr>
          <w:sz w:val="22"/>
          <w:szCs w:val="22"/>
        </w:rPr>
        <w:t>i</w:t>
      </w:r>
      <w:r w:rsidR="004C4E72" w:rsidRPr="007F7EBF">
        <w:rPr>
          <w:sz w:val="22"/>
          <w:szCs w:val="22"/>
        </w:rPr>
        <w:t xml:space="preserve"> irrilevanti</w:t>
      </w:r>
      <w:r w:rsidR="004C4E72">
        <w:rPr>
          <w:sz w:val="22"/>
          <w:szCs w:val="22"/>
        </w:rPr>
        <w:t xml:space="preserve"> (</w:t>
      </w:r>
      <w:r w:rsidR="004C4E72" w:rsidRPr="007F7EBF">
        <w:rPr>
          <w:rStyle w:val="Rimandonotaapidipagina"/>
          <w:sz w:val="22"/>
          <w:szCs w:val="22"/>
        </w:rPr>
        <w:footnoteReference w:id="696"/>
      </w:r>
      <w:r w:rsidR="004C4E72">
        <w:rPr>
          <w:sz w:val="22"/>
          <w:szCs w:val="22"/>
        </w:rPr>
        <w:t>)</w:t>
      </w:r>
      <w:r w:rsidR="004C4E72" w:rsidRPr="007F7EBF">
        <w:rPr>
          <w:sz w:val="22"/>
          <w:szCs w:val="22"/>
        </w:rPr>
        <w:t xml:space="preserve">, </w:t>
      </w:r>
      <w:r w:rsidR="004C4E72">
        <w:rPr>
          <w:sz w:val="22"/>
          <w:szCs w:val="22"/>
        </w:rPr>
        <w:t>allusioni</w:t>
      </w:r>
      <w:r w:rsidR="004C4E72" w:rsidRPr="007F7EBF">
        <w:rPr>
          <w:sz w:val="22"/>
          <w:szCs w:val="22"/>
        </w:rPr>
        <w:t xml:space="preserve"> insinuanti, </w:t>
      </w:r>
      <w:r w:rsidR="008503BB">
        <w:rPr>
          <w:sz w:val="22"/>
          <w:szCs w:val="22"/>
        </w:rPr>
        <w:t xml:space="preserve">dati </w:t>
      </w:r>
      <w:r w:rsidR="004C4E72" w:rsidRPr="007F7EBF">
        <w:rPr>
          <w:sz w:val="22"/>
          <w:szCs w:val="22"/>
        </w:rPr>
        <w:t>fattuali in sé ver</w:t>
      </w:r>
      <w:r w:rsidR="008503BB">
        <w:rPr>
          <w:sz w:val="22"/>
          <w:szCs w:val="22"/>
        </w:rPr>
        <w:t>i</w:t>
      </w:r>
      <w:r w:rsidR="004C4E72" w:rsidRPr="007F7EBF">
        <w:rPr>
          <w:sz w:val="22"/>
          <w:szCs w:val="22"/>
        </w:rPr>
        <w:t>, ma espost</w:t>
      </w:r>
      <w:r w:rsidR="008503BB">
        <w:rPr>
          <w:sz w:val="22"/>
          <w:szCs w:val="22"/>
        </w:rPr>
        <w:t>i</w:t>
      </w:r>
      <w:r w:rsidR="004C4E72" w:rsidRPr="007F7EBF">
        <w:rPr>
          <w:sz w:val="22"/>
          <w:szCs w:val="22"/>
        </w:rPr>
        <w:t xml:space="preserve"> in modo </w:t>
      </w:r>
      <w:r w:rsidR="008503BB">
        <w:rPr>
          <w:sz w:val="22"/>
          <w:szCs w:val="22"/>
        </w:rPr>
        <w:t>tendenzioso</w:t>
      </w:r>
      <w:r w:rsidR="004407C7">
        <w:rPr>
          <w:sz w:val="22"/>
          <w:szCs w:val="22"/>
        </w:rPr>
        <w:t xml:space="preserve"> </w:t>
      </w:r>
      <w:r w:rsidR="004C4E72">
        <w:rPr>
          <w:sz w:val="22"/>
          <w:szCs w:val="22"/>
        </w:rPr>
        <w:t>(</w:t>
      </w:r>
      <w:r w:rsidR="004C4E72" w:rsidRPr="007F7EBF">
        <w:rPr>
          <w:rStyle w:val="Rimandonotaapidipagina"/>
          <w:sz w:val="22"/>
          <w:szCs w:val="22"/>
        </w:rPr>
        <w:footnoteReference w:id="697"/>
      </w:r>
      <w:r w:rsidR="004C4E72">
        <w:rPr>
          <w:sz w:val="22"/>
          <w:szCs w:val="22"/>
        </w:rPr>
        <w:t>)</w:t>
      </w:r>
      <w:r w:rsidR="004C4E72" w:rsidRPr="007F7EBF">
        <w:rPr>
          <w:sz w:val="22"/>
          <w:szCs w:val="22"/>
        </w:rPr>
        <w:t>.</w:t>
      </w:r>
    </w:p>
    <w:p w14:paraId="6D71C373" w14:textId="14B0B55E" w:rsidR="00E23E0E" w:rsidRPr="007F7EBF" w:rsidRDefault="00196E89" w:rsidP="00E23E0E">
      <w:pPr>
        <w:pStyle w:val="tit23"/>
        <w:ind w:left="6464" w:right="-1361" w:firstLine="0"/>
        <w:jc w:val="left"/>
        <w:rPr>
          <w:bCs/>
          <w:i/>
          <w:iCs/>
          <w:color w:val="0000FF"/>
          <w:lang w:val="it-IT"/>
        </w:rPr>
      </w:pPr>
      <w:r>
        <w:rPr>
          <w:bCs/>
          <w:i/>
          <w:iCs/>
          <w:color w:val="0000FF"/>
          <w:lang w:val="it-IT"/>
        </w:rPr>
        <w:lastRenderedPageBreak/>
        <w:t>Le asimmetrie pro fisco nel calcolo degli imponibili</w:t>
      </w:r>
    </w:p>
    <w:p w14:paraId="5CE4C274" w14:textId="357D6ADA" w:rsidR="009807BA" w:rsidRPr="003C6BA1" w:rsidRDefault="009B5AC0" w:rsidP="009807BA">
      <w:pPr>
        <w:autoSpaceDE w:val="0"/>
        <w:autoSpaceDN w:val="0"/>
        <w:adjustRightInd w:val="0"/>
        <w:rPr>
          <w:sz w:val="22"/>
          <w:szCs w:val="22"/>
        </w:rPr>
      </w:pPr>
      <w:r>
        <w:rPr>
          <w:sz w:val="22"/>
          <w:szCs w:val="22"/>
        </w:rPr>
        <w:t xml:space="preserve">Queste </w:t>
      </w:r>
      <w:r w:rsidR="002F782B">
        <w:rPr>
          <w:sz w:val="22"/>
          <w:szCs w:val="22"/>
        </w:rPr>
        <w:t>rettifiche ricalcolano gli imponibili in modo “asimmetrico” rispetto a una corretta specificazione de</w:t>
      </w:r>
      <w:r w:rsidR="00B53D82">
        <w:rPr>
          <w:sz w:val="22"/>
          <w:szCs w:val="22"/>
        </w:rPr>
        <w:t xml:space="preserve">i concetti economici </w:t>
      </w:r>
      <w:r w:rsidR="002F782B">
        <w:rPr>
          <w:sz w:val="22"/>
          <w:szCs w:val="22"/>
        </w:rPr>
        <w:t xml:space="preserve"> economiche di cui al par.1.8; </w:t>
      </w:r>
      <w:r w:rsidR="004407C7">
        <w:rPr>
          <w:sz w:val="22"/>
          <w:szCs w:val="22"/>
        </w:rPr>
        <w:t xml:space="preserve">ciò avviene </w:t>
      </w:r>
      <w:r w:rsidR="002F782B">
        <w:rPr>
          <w:sz w:val="22"/>
          <w:szCs w:val="22"/>
        </w:rPr>
        <w:t>riposizionan</w:t>
      </w:r>
      <w:r w:rsidR="004407C7">
        <w:rPr>
          <w:sz w:val="22"/>
          <w:szCs w:val="22"/>
        </w:rPr>
        <w:t>d</w:t>
      </w:r>
      <w:r w:rsidR="002F782B">
        <w:rPr>
          <w:sz w:val="22"/>
          <w:szCs w:val="22"/>
        </w:rPr>
        <w:t xml:space="preserve">o, nel tempo o nell’attribuzione soggettiva, </w:t>
      </w:r>
      <w:r w:rsidR="00A734F5">
        <w:rPr>
          <w:sz w:val="22"/>
          <w:szCs w:val="22"/>
        </w:rPr>
        <w:t>gli elementi del</w:t>
      </w:r>
      <w:r w:rsidR="002F782B">
        <w:rPr>
          <w:sz w:val="22"/>
          <w:szCs w:val="22"/>
        </w:rPr>
        <w:t xml:space="preserve">l’imponibile, </w:t>
      </w:r>
      <w:r w:rsidR="00A734F5">
        <w:rPr>
          <w:sz w:val="22"/>
          <w:szCs w:val="22"/>
        </w:rPr>
        <w:t>ignora</w:t>
      </w:r>
      <w:r w:rsidR="004407C7">
        <w:rPr>
          <w:sz w:val="22"/>
          <w:szCs w:val="22"/>
        </w:rPr>
        <w:t>ndo,</w:t>
      </w:r>
      <w:r w:rsidR="001802A0">
        <w:rPr>
          <w:sz w:val="22"/>
          <w:szCs w:val="22"/>
        </w:rPr>
        <w:t xml:space="preserve"> </w:t>
      </w:r>
      <w:r w:rsidR="00A734F5">
        <w:rPr>
          <w:sz w:val="22"/>
          <w:szCs w:val="22"/>
        </w:rPr>
        <w:t>con formalismi di varia natura</w:t>
      </w:r>
      <w:r w:rsidR="001802A0">
        <w:rPr>
          <w:sz w:val="22"/>
          <w:szCs w:val="22"/>
        </w:rPr>
        <w:t xml:space="preserve">, gli elementi positivi </w:t>
      </w:r>
      <w:r w:rsidR="00540B5F">
        <w:rPr>
          <w:sz w:val="22"/>
          <w:szCs w:val="22"/>
        </w:rPr>
        <w:t>già dichiarati</w:t>
      </w:r>
      <w:r w:rsidR="00A734F5">
        <w:rPr>
          <w:sz w:val="22"/>
          <w:szCs w:val="22"/>
        </w:rPr>
        <w:t xml:space="preserve"> </w:t>
      </w:r>
      <w:r w:rsidR="00A734F5">
        <w:t xml:space="preserve">da parte di </w:t>
      </w:r>
      <w:r w:rsidR="00A734F5" w:rsidRPr="007F7EBF">
        <w:t>altri soggetti o dal</w:t>
      </w:r>
      <w:r w:rsidR="001802A0">
        <w:t xml:space="preserve"> medesimo, </w:t>
      </w:r>
      <w:r w:rsidR="00A734F5" w:rsidRPr="007F7EBF">
        <w:t xml:space="preserve">in </w:t>
      </w:r>
      <w:r w:rsidR="001802A0">
        <w:t xml:space="preserve">altri </w:t>
      </w:r>
      <w:r w:rsidR="00A734F5" w:rsidRPr="007F7EBF">
        <w:t>periodi di imposta</w:t>
      </w:r>
      <w:r w:rsidR="001802A0">
        <w:t xml:space="preserve">; </w:t>
      </w:r>
      <w:r w:rsidR="00A734F5" w:rsidRPr="007F7EBF">
        <w:t xml:space="preserve"> </w:t>
      </w:r>
      <w:r w:rsidR="004407C7">
        <w:t xml:space="preserve">trascurando </w:t>
      </w:r>
      <w:r w:rsidR="00A734F5">
        <w:t xml:space="preserve">le </w:t>
      </w:r>
      <w:r w:rsidR="00A734F5" w:rsidRPr="007F7EBF">
        <w:t>simmetrie di cui a</w:t>
      </w:r>
      <w:r w:rsidR="00A734F5">
        <w:t xml:space="preserve">i </w:t>
      </w:r>
      <w:r w:rsidR="00A734F5" w:rsidRPr="007F7EBF">
        <w:t xml:space="preserve"> pa</w:t>
      </w:r>
      <w:r w:rsidR="00A734F5">
        <w:t>r</w:t>
      </w:r>
      <w:r w:rsidR="00A734F5" w:rsidRPr="007F7EBF">
        <w:t>r.</w:t>
      </w:r>
      <w:r w:rsidR="00A734F5">
        <w:t>3.11-</w:t>
      </w:r>
      <w:r w:rsidR="00A734F5" w:rsidRPr="007F7EBF">
        <w:t>3.1</w:t>
      </w:r>
      <w:r w:rsidR="001802A0">
        <w:t xml:space="preserve"> si duplica così l’imposizione di </w:t>
      </w:r>
      <w:r w:rsidR="00A734F5">
        <w:rPr>
          <w:sz w:val="22"/>
          <w:szCs w:val="22"/>
        </w:rPr>
        <w:t xml:space="preserve">redditi o consumi. </w:t>
      </w:r>
    </w:p>
    <w:p w14:paraId="4F04D201" w14:textId="709BCD0D" w:rsidR="009807BA" w:rsidRPr="007F7EBF" w:rsidRDefault="009807BA" w:rsidP="009807BA">
      <w:pPr>
        <w:pStyle w:val="tit23"/>
        <w:ind w:left="6464" w:right="-1361" w:firstLine="0"/>
        <w:jc w:val="left"/>
        <w:rPr>
          <w:lang w:val="it-IT"/>
        </w:rPr>
      </w:pPr>
      <w:r>
        <w:rPr>
          <w:bCs/>
          <w:i/>
          <w:iCs/>
          <w:color w:val="0000FF"/>
          <w:lang w:val="it-IT"/>
        </w:rPr>
        <w:t>Esempi e doppie imposizioni</w:t>
      </w:r>
    </w:p>
    <w:p w14:paraId="40CAF055" w14:textId="212B9F03" w:rsidR="003C6BA1" w:rsidRDefault="004407C7" w:rsidP="003C6BA1">
      <w:pPr>
        <w:autoSpaceDE w:val="0"/>
        <w:autoSpaceDN w:val="0"/>
        <w:adjustRightInd w:val="0"/>
        <w:rPr>
          <w:bCs/>
          <w:i/>
          <w:iCs/>
          <w:color w:val="0000FF"/>
          <w:sz w:val="22"/>
          <w:szCs w:val="22"/>
        </w:rPr>
      </w:pPr>
      <w:r>
        <w:rPr>
          <w:sz w:val="22"/>
          <w:szCs w:val="22"/>
        </w:rPr>
        <w:t xml:space="preserve">Richiamiamo alcuni </w:t>
      </w:r>
      <w:r w:rsidR="001802A0">
        <w:rPr>
          <w:sz w:val="22"/>
          <w:szCs w:val="22"/>
        </w:rPr>
        <w:t xml:space="preserve">esempi, </w:t>
      </w:r>
      <w:r w:rsidR="005027E4">
        <w:rPr>
          <w:sz w:val="22"/>
          <w:szCs w:val="22"/>
        </w:rPr>
        <w:t xml:space="preserve">dove si altera il concetto </w:t>
      </w:r>
      <w:r w:rsidR="00611291">
        <w:rPr>
          <w:sz w:val="22"/>
          <w:szCs w:val="22"/>
        </w:rPr>
        <w:t>d</w:t>
      </w:r>
      <w:r w:rsidR="005027E4">
        <w:rPr>
          <w:sz w:val="22"/>
          <w:szCs w:val="22"/>
        </w:rPr>
        <w:t>i</w:t>
      </w:r>
      <w:r w:rsidR="00611291">
        <w:rPr>
          <w:sz w:val="22"/>
          <w:szCs w:val="22"/>
        </w:rPr>
        <w:t xml:space="preserve"> reddito</w:t>
      </w:r>
      <w:r w:rsidR="001802A0">
        <w:rPr>
          <w:sz w:val="22"/>
          <w:szCs w:val="22"/>
        </w:rPr>
        <w:t xml:space="preserve">, </w:t>
      </w:r>
      <w:r w:rsidR="005027E4">
        <w:rPr>
          <w:sz w:val="22"/>
          <w:szCs w:val="22"/>
        </w:rPr>
        <w:t>soprattutto nei rapporti con altri operatori economici, quando</w:t>
      </w:r>
      <w:r w:rsidR="001802A0">
        <w:rPr>
          <w:sz w:val="22"/>
          <w:szCs w:val="22"/>
        </w:rPr>
        <w:t xml:space="preserve"> viene negata la deduzione del costo al cliente-imprenditore, tenendo ferma l’imponibilità del ricavo in capo al fornitore</w:t>
      </w:r>
      <w:r w:rsidR="00252CD2">
        <w:rPr>
          <w:sz w:val="22"/>
          <w:szCs w:val="22"/>
        </w:rPr>
        <w:t xml:space="preserve">  (</w:t>
      </w:r>
      <w:r w:rsidR="00252CD2">
        <w:rPr>
          <w:rStyle w:val="Rimandonotaapidipagina"/>
          <w:bCs/>
          <w:sz w:val="22"/>
          <w:szCs w:val="22"/>
        </w:rPr>
        <w:footnoteReference w:id="698"/>
      </w:r>
      <w:r w:rsidR="00252CD2">
        <w:rPr>
          <w:sz w:val="22"/>
          <w:szCs w:val="22"/>
        </w:rPr>
        <w:t>)</w:t>
      </w:r>
      <w:r w:rsidR="00EE6617">
        <w:rPr>
          <w:sz w:val="22"/>
          <w:szCs w:val="22"/>
        </w:rPr>
        <w:t xml:space="preserve">; spesso ciò si collega al mancato esercizio di diritti formalmente esistenti, come interessi attivi di mora, o prestazioni rese senza obbligo, come riparazioni gratuite di prodotti non più in garanzia  dei prodotti forniti, il tutto per convenienza commerciale </w:t>
      </w:r>
      <w:r w:rsidR="00EE6617" w:rsidRPr="007F7EBF">
        <w:rPr>
          <w:sz w:val="22"/>
          <w:szCs w:val="22"/>
        </w:rPr>
        <w:t>(</w:t>
      </w:r>
      <w:r w:rsidR="00EE6617" w:rsidRPr="007F7EBF">
        <w:rPr>
          <w:rStyle w:val="Rimandonotaapidipagina"/>
          <w:sz w:val="22"/>
          <w:szCs w:val="22"/>
        </w:rPr>
        <w:footnoteReference w:id="699"/>
      </w:r>
      <w:r w:rsidR="00EE6617" w:rsidRPr="007F7EBF">
        <w:rPr>
          <w:bCs/>
          <w:sz w:val="22"/>
          <w:szCs w:val="22"/>
        </w:rPr>
        <w:t>)</w:t>
      </w:r>
      <w:r w:rsidR="00EE6617">
        <w:rPr>
          <w:bCs/>
          <w:sz w:val="22"/>
          <w:szCs w:val="22"/>
        </w:rPr>
        <w:t xml:space="preserve">; </w:t>
      </w:r>
      <w:r w:rsidR="006D778D">
        <w:rPr>
          <w:bCs/>
          <w:sz w:val="22"/>
          <w:szCs w:val="22"/>
        </w:rPr>
        <w:t>il pretesto</w:t>
      </w:r>
      <w:r w:rsidR="00EE6617">
        <w:rPr>
          <w:bCs/>
          <w:sz w:val="22"/>
          <w:szCs w:val="22"/>
        </w:rPr>
        <w:t xml:space="preserve"> è la fantomatica “antieconomicità” (parr.3.10 e 7.10) </w:t>
      </w:r>
      <w:r w:rsidR="006D778D">
        <w:rPr>
          <w:bCs/>
          <w:sz w:val="22"/>
          <w:szCs w:val="22"/>
        </w:rPr>
        <w:t xml:space="preserve">con </w:t>
      </w:r>
      <w:r w:rsidR="005B57F0">
        <w:rPr>
          <w:sz w:val="22"/>
          <w:szCs w:val="22"/>
        </w:rPr>
        <w:t>accertamenti di “omessi ricavi”</w:t>
      </w:r>
      <w:r w:rsidR="00FC6ECF" w:rsidRPr="00FC6ECF">
        <w:rPr>
          <w:sz w:val="22"/>
          <w:szCs w:val="22"/>
        </w:rPr>
        <w:t xml:space="preserve"> </w:t>
      </w:r>
      <w:r w:rsidR="00FC6ECF">
        <w:rPr>
          <w:sz w:val="22"/>
          <w:szCs w:val="22"/>
        </w:rPr>
        <w:t>(</w:t>
      </w:r>
      <w:r w:rsidR="00FC6ECF" w:rsidRPr="007F7EBF">
        <w:rPr>
          <w:rStyle w:val="Rimandonotaapidipagina"/>
          <w:sz w:val="22"/>
          <w:szCs w:val="22"/>
        </w:rPr>
        <w:footnoteReference w:id="700"/>
      </w:r>
      <w:r w:rsidR="00FC6ECF">
        <w:rPr>
          <w:sz w:val="22"/>
          <w:szCs w:val="22"/>
        </w:rPr>
        <w:t>)</w:t>
      </w:r>
      <w:r w:rsidR="005B57F0">
        <w:rPr>
          <w:sz w:val="22"/>
          <w:szCs w:val="22"/>
        </w:rPr>
        <w:t xml:space="preserve"> </w:t>
      </w:r>
      <w:r w:rsidR="006D778D">
        <w:rPr>
          <w:sz w:val="22"/>
          <w:szCs w:val="22"/>
        </w:rPr>
        <w:t>senza riconoscere a</w:t>
      </w:r>
      <w:r w:rsidR="00540B5F">
        <w:rPr>
          <w:sz w:val="22"/>
          <w:szCs w:val="22"/>
        </w:rPr>
        <w:t>ll</w:t>
      </w:r>
      <w:r w:rsidR="005B57F0">
        <w:rPr>
          <w:sz w:val="22"/>
          <w:szCs w:val="22"/>
        </w:rPr>
        <w:t>e</w:t>
      </w:r>
      <w:r w:rsidR="00540B5F">
        <w:rPr>
          <w:sz w:val="22"/>
          <w:szCs w:val="22"/>
        </w:rPr>
        <w:t xml:space="preserve"> contropart</w:t>
      </w:r>
      <w:r w:rsidR="005B57F0">
        <w:rPr>
          <w:sz w:val="22"/>
          <w:szCs w:val="22"/>
        </w:rPr>
        <w:t xml:space="preserve">i, ipotetici clienti, </w:t>
      </w:r>
      <w:r w:rsidR="00540B5F">
        <w:rPr>
          <w:sz w:val="22"/>
          <w:szCs w:val="22"/>
        </w:rPr>
        <w:t xml:space="preserve">la corrispondente deduzione </w:t>
      </w:r>
      <w:r w:rsidR="00611291">
        <w:rPr>
          <w:sz w:val="22"/>
          <w:szCs w:val="22"/>
        </w:rPr>
        <w:t>d</w:t>
      </w:r>
      <w:r w:rsidR="005B57F0">
        <w:rPr>
          <w:sz w:val="22"/>
          <w:szCs w:val="22"/>
        </w:rPr>
        <w:t>i un e</w:t>
      </w:r>
      <w:r w:rsidR="00611291">
        <w:rPr>
          <w:sz w:val="22"/>
          <w:szCs w:val="22"/>
        </w:rPr>
        <w:t>lemento negativo di reddito</w:t>
      </w:r>
      <w:r w:rsidR="006D778D">
        <w:rPr>
          <w:sz w:val="22"/>
          <w:szCs w:val="22"/>
        </w:rPr>
        <w:t xml:space="preserve">. Nascono </w:t>
      </w:r>
      <w:r w:rsidR="00FC6ECF">
        <w:rPr>
          <w:sz w:val="22"/>
          <w:szCs w:val="22"/>
        </w:rPr>
        <w:t xml:space="preserve">imponibili </w:t>
      </w:r>
      <w:r w:rsidR="00540B5F">
        <w:rPr>
          <w:sz w:val="22"/>
          <w:szCs w:val="22"/>
        </w:rPr>
        <w:t>fittizi</w:t>
      </w:r>
      <w:r w:rsidR="006D778D">
        <w:rPr>
          <w:sz w:val="22"/>
          <w:szCs w:val="22"/>
        </w:rPr>
        <w:t xml:space="preserve"> anche d</w:t>
      </w:r>
      <w:r w:rsidR="003C6BA1">
        <w:rPr>
          <w:sz w:val="22"/>
          <w:szCs w:val="22"/>
        </w:rPr>
        <w:t xml:space="preserve">al </w:t>
      </w:r>
      <w:r w:rsidR="003C6BA1" w:rsidRPr="007F7EBF">
        <w:rPr>
          <w:sz w:val="22"/>
          <w:szCs w:val="22"/>
        </w:rPr>
        <w:t>disconoscimento, per l’azienda</w:t>
      </w:r>
      <w:r w:rsidR="007C26F2">
        <w:rPr>
          <w:sz w:val="22"/>
          <w:szCs w:val="22"/>
        </w:rPr>
        <w:t xml:space="preserve"> erogante</w:t>
      </w:r>
      <w:r w:rsidR="003C6BA1" w:rsidRPr="007F7EBF">
        <w:rPr>
          <w:sz w:val="22"/>
          <w:szCs w:val="22"/>
        </w:rPr>
        <w:t>, della deduzione di compensi agli amministratori, regolarmente dichiarati da</w:t>
      </w:r>
      <w:r w:rsidR="007C26F2">
        <w:rPr>
          <w:sz w:val="22"/>
          <w:szCs w:val="22"/>
        </w:rPr>
        <w:t>i percettori</w:t>
      </w:r>
      <w:r w:rsidR="003C6BA1">
        <w:rPr>
          <w:sz w:val="22"/>
          <w:szCs w:val="22"/>
        </w:rPr>
        <w:t>. Anche i rilievi di “esterovestizione”</w:t>
      </w:r>
      <w:r w:rsidR="007C26F2">
        <w:rPr>
          <w:sz w:val="22"/>
          <w:szCs w:val="22"/>
        </w:rPr>
        <w:t xml:space="preserve">, </w:t>
      </w:r>
      <w:r w:rsidR="003C6BA1">
        <w:rPr>
          <w:sz w:val="22"/>
          <w:szCs w:val="22"/>
        </w:rPr>
        <w:t xml:space="preserve">di “stabile organizzazione occulta” </w:t>
      </w:r>
      <w:r w:rsidR="003C6BA1">
        <w:rPr>
          <w:sz w:val="22"/>
          <w:szCs w:val="22"/>
        </w:rPr>
        <w:lastRenderedPageBreak/>
        <w:t xml:space="preserve">(par.7.18), di “costi illeciti” e “operazioni soggettivamente inesistenti” </w:t>
      </w:r>
      <w:r w:rsidR="007C26F2">
        <w:rPr>
          <w:sz w:val="22"/>
          <w:szCs w:val="22"/>
        </w:rPr>
        <w:t xml:space="preserve">vengono di solito confezionati con queste doppie imposizioni; </w:t>
      </w:r>
      <w:r w:rsidR="006D778D">
        <w:rPr>
          <w:sz w:val="22"/>
          <w:szCs w:val="22"/>
        </w:rPr>
        <w:t>esse</w:t>
      </w:r>
      <w:r w:rsidR="00FD79EA">
        <w:rPr>
          <w:sz w:val="22"/>
          <w:szCs w:val="22"/>
        </w:rPr>
        <w:t xml:space="preserve"> si accompagnarono anche per decenni alle contestazioni interpretative </w:t>
      </w:r>
      <w:r w:rsidR="007C26F2">
        <w:rPr>
          <w:sz w:val="22"/>
          <w:szCs w:val="22"/>
        </w:rPr>
        <w:t xml:space="preserve"> </w:t>
      </w:r>
      <w:r w:rsidR="003C6BA1">
        <w:rPr>
          <w:sz w:val="22"/>
          <w:szCs w:val="22"/>
        </w:rPr>
        <w:t>sull’imputazione a periodo nel reddito d’impresa (parr.7.11 e 7.14)</w:t>
      </w:r>
      <w:r w:rsidR="00FD79EA">
        <w:rPr>
          <w:sz w:val="22"/>
          <w:szCs w:val="22"/>
        </w:rPr>
        <w:t xml:space="preserve"> poi disinnescate da coraggiose interpretazioni amministrative. </w:t>
      </w:r>
    </w:p>
    <w:p w14:paraId="4472D15C" w14:textId="0B0A76A9" w:rsidR="003C6BA1" w:rsidRDefault="009D5C2B" w:rsidP="003C6BA1">
      <w:pPr>
        <w:pStyle w:val="tit23"/>
        <w:ind w:left="6464" w:right="-1361" w:firstLine="0"/>
        <w:jc w:val="left"/>
        <w:rPr>
          <w:bCs/>
          <w:i/>
          <w:iCs/>
          <w:color w:val="0000FF"/>
          <w:lang w:val="it-IT"/>
        </w:rPr>
      </w:pPr>
      <w:r>
        <w:rPr>
          <w:bCs/>
          <w:i/>
          <w:iCs/>
          <w:color w:val="0000FF"/>
          <w:lang w:val="it-IT"/>
        </w:rPr>
        <w:t xml:space="preserve">La gestione </w:t>
      </w:r>
      <w:r w:rsidR="00D271FD">
        <w:rPr>
          <w:bCs/>
          <w:i/>
          <w:iCs/>
          <w:color w:val="0000FF"/>
          <w:lang w:val="it-IT"/>
        </w:rPr>
        <w:t xml:space="preserve"> delle contestazioni interpretative</w:t>
      </w:r>
    </w:p>
    <w:p w14:paraId="589E7C2C" w14:textId="3A8D65AA" w:rsidR="003C6BA1" w:rsidRDefault="003C6BA1" w:rsidP="003C6BA1">
      <w:pPr>
        <w:autoSpaceDE w:val="0"/>
        <w:autoSpaceDN w:val="0"/>
        <w:adjustRightInd w:val="0"/>
        <w:rPr>
          <w:bCs/>
          <w:i/>
          <w:iCs/>
          <w:color w:val="0000FF"/>
          <w:sz w:val="22"/>
          <w:szCs w:val="22"/>
        </w:rPr>
      </w:pPr>
      <w:r>
        <w:rPr>
          <w:sz w:val="22"/>
          <w:szCs w:val="22"/>
        </w:rPr>
        <w:t>Qualche volta i comportamenti contestati in questi rilievi sono  formalmente e sostanzialmente legittim</w:t>
      </w:r>
      <w:r w:rsidR="009807BA">
        <w:rPr>
          <w:sz w:val="22"/>
          <w:szCs w:val="22"/>
        </w:rPr>
        <w:t>i</w:t>
      </w:r>
      <w:r>
        <w:rPr>
          <w:sz w:val="22"/>
          <w:szCs w:val="22"/>
        </w:rPr>
        <w:t xml:space="preserve">, </w:t>
      </w:r>
      <w:r w:rsidR="009807BA">
        <w:rPr>
          <w:sz w:val="22"/>
          <w:szCs w:val="22"/>
        </w:rPr>
        <w:t>con totale infondatezza della contestazione</w:t>
      </w:r>
      <w:r w:rsidR="00E6168B">
        <w:rPr>
          <w:sz w:val="22"/>
          <w:szCs w:val="22"/>
        </w:rPr>
        <w:t>; questo accade con una certa frequenza</w:t>
      </w:r>
      <w:r w:rsidR="00090E09">
        <w:rPr>
          <w:sz w:val="22"/>
          <w:szCs w:val="22"/>
        </w:rPr>
        <w:t xml:space="preserve"> da quando</w:t>
      </w:r>
      <w:r w:rsidR="00E6168B">
        <w:rPr>
          <w:sz w:val="22"/>
          <w:szCs w:val="22"/>
        </w:rPr>
        <w:t xml:space="preserve"> </w:t>
      </w:r>
      <w:r w:rsidR="00FD79EA">
        <w:rPr>
          <w:sz w:val="22"/>
          <w:szCs w:val="22"/>
        </w:rPr>
        <w:t xml:space="preserve">l’elusione è sostanzialmente </w:t>
      </w:r>
      <w:r w:rsidR="00521114">
        <w:rPr>
          <w:sz w:val="22"/>
          <w:szCs w:val="22"/>
        </w:rPr>
        <w:t>scomparsa,</w:t>
      </w:r>
      <w:r w:rsidR="00FD79EA">
        <w:rPr>
          <w:sz w:val="22"/>
          <w:szCs w:val="22"/>
        </w:rPr>
        <w:t xml:space="preserve"> </w:t>
      </w:r>
      <w:r w:rsidR="006E7E85">
        <w:rPr>
          <w:sz w:val="22"/>
          <w:szCs w:val="22"/>
        </w:rPr>
        <w:t>ostacolando adeguati</w:t>
      </w:r>
      <w:r w:rsidR="00FD79EA">
        <w:rPr>
          <w:sz w:val="22"/>
          <w:szCs w:val="22"/>
        </w:rPr>
        <w:t xml:space="preserve"> </w:t>
      </w:r>
      <w:r w:rsidR="00F9772C">
        <w:rPr>
          <w:sz w:val="22"/>
          <w:szCs w:val="22"/>
        </w:rPr>
        <w:t>“risultat</w:t>
      </w:r>
      <w:r w:rsidR="006E7E85">
        <w:rPr>
          <w:sz w:val="22"/>
          <w:szCs w:val="22"/>
        </w:rPr>
        <w:t>i</w:t>
      </w:r>
      <w:r w:rsidR="00F9772C">
        <w:rPr>
          <w:sz w:val="22"/>
          <w:szCs w:val="22"/>
        </w:rPr>
        <w:t xml:space="preserve"> di servizio” </w:t>
      </w:r>
      <w:r w:rsidR="00090E09">
        <w:rPr>
          <w:sz w:val="22"/>
          <w:szCs w:val="22"/>
        </w:rPr>
        <w:t xml:space="preserve">sui </w:t>
      </w:r>
      <w:r w:rsidR="00FD79EA">
        <w:rPr>
          <w:sz w:val="22"/>
          <w:szCs w:val="22"/>
        </w:rPr>
        <w:t xml:space="preserve">controlli biennali </w:t>
      </w:r>
      <w:r w:rsidR="00090E09">
        <w:rPr>
          <w:sz w:val="22"/>
          <w:szCs w:val="22"/>
        </w:rPr>
        <w:t xml:space="preserve">imposti per legge sulle grandi aziende, </w:t>
      </w:r>
      <w:r w:rsidR="006E7E85">
        <w:rPr>
          <w:sz w:val="22"/>
          <w:szCs w:val="22"/>
        </w:rPr>
        <w:t>assecondando il mito mediatico dei “grandi evasori” (</w:t>
      </w:r>
      <w:r w:rsidR="00090E09">
        <w:rPr>
          <w:sz w:val="22"/>
          <w:szCs w:val="22"/>
        </w:rPr>
        <w:t>par.5.17</w:t>
      </w:r>
      <w:r w:rsidR="006E7E85">
        <w:rPr>
          <w:sz w:val="22"/>
          <w:szCs w:val="22"/>
        </w:rPr>
        <w:t>)</w:t>
      </w:r>
      <w:r>
        <w:rPr>
          <w:sz w:val="22"/>
          <w:szCs w:val="22"/>
        </w:rPr>
        <w:t>.</w:t>
      </w:r>
    </w:p>
    <w:p w14:paraId="4A9C54CC" w14:textId="5F50A43D" w:rsidR="009D5C2B" w:rsidRDefault="00D271FD" w:rsidP="009D5C2B">
      <w:pPr>
        <w:autoSpaceDE w:val="0"/>
        <w:autoSpaceDN w:val="0"/>
        <w:adjustRightInd w:val="0"/>
        <w:rPr>
          <w:sz w:val="22"/>
          <w:szCs w:val="22"/>
        </w:rPr>
      </w:pPr>
      <w:r>
        <w:rPr>
          <w:sz w:val="22"/>
          <w:szCs w:val="22"/>
        </w:rPr>
        <w:t xml:space="preserve">L’esito </w:t>
      </w:r>
      <w:r w:rsidR="00525B34">
        <w:rPr>
          <w:sz w:val="22"/>
          <w:szCs w:val="22"/>
        </w:rPr>
        <w:t xml:space="preserve">concreto </w:t>
      </w:r>
      <w:r>
        <w:rPr>
          <w:sz w:val="22"/>
          <w:szCs w:val="22"/>
        </w:rPr>
        <w:t xml:space="preserve">di queste contestazioni è </w:t>
      </w:r>
      <w:r w:rsidR="006E7E85">
        <w:rPr>
          <w:sz w:val="22"/>
          <w:szCs w:val="22"/>
        </w:rPr>
        <w:t>tollerabile</w:t>
      </w:r>
      <w:r w:rsidR="00525B34">
        <w:rPr>
          <w:sz w:val="22"/>
          <w:szCs w:val="22"/>
        </w:rPr>
        <w:t xml:space="preserve"> per tutti i soggetti coinvolti, a cominciare da</w:t>
      </w:r>
      <w:r w:rsidR="009D5C2B">
        <w:rPr>
          <w:sz w:val="22"/>
          <w:szCs w:val="22"/>
        </w:rPr>
        <w:t xml:space="preserve">gli uffici, che fanno </w:t>
      </w:r>
      <w:r w:rsidR="006E7E85">
        <w:rPr>
          <w:sz w:val="22"/>
          <w:szCs w:val="22"/>
        </w:rPr>
        <w:t xml:space="preserve">il suddetto </w:t>
      </w:r>
      <w:r w:rsidR="009D5C2B">
        <w:rPr>
          <w:sz w:val="22"/>
          <w:szCs w:val="22"/>
        </w:rPr>
        <w:t>“risultato di servizio”</w:t>
      </w:r>
      <w:r w:rsidR="006E7E85">
        <w:rPr>
          <w:sz w:val="22"/>
          <w:szCs w:val="22"/>
        </w:rPr>
        <w:t>, dalla politica e dai mass media, che</w:t>
      </w:r>
      <w:r w:rsidR="009D5C2B">
        <w:rPr>
          <w:sz w:val="22"/>
          <w:szCs w:val="22"/>
        </w:rPr>
        <w:t xml:space="preserve"> assecondano </w:t>
      </w:r>
      <w:r w:rsidR="006E7E85">
        <w:rPr>
          <w:sz w:val="22"/>
          <w:szCs w:val="22"/>
        </w:rPr>
        <w:t xml:space="preserve">la già indicata idea </w:t>
      </w:r>
      <w:r w:rsidR="009D5C2B">
        <w:rPr>
          <w:sz w:val="22"/>
          <w:szCs w:val="22"/>
        </w:rPr>
        <w:t>della grande evasione (</w:t>
      </w:r>
      <w:r w:rsidR="009D5C2B">
        <w:rPr>
          <w:rStyle w:val="Rimandonotaapidipagina"/>
          <w:sz w:val="22"/>
          <w:szCs w:val="22"/>
        </w:rPr>
        <w:footnoteReference w:id="701"/>
      </w:r>
      <w:r w:rsidR="009D5C2B">
        <w:rPr>
          <w:sz w:val="22"/>
          <w:szCs w:val="22"/>
        </w:rPr>
        <w:t xml:space="preserve">) per blandire piccoli commercianti, artigiani e organizzazioni padronali. I professionisti aiutano le aziende a riportare questi </w:t>
      </w:r>
      <w:r w:rsidR="00525B34">
        <w:rPr>
          <w:sz w:val="22"/>
          <w:szCs w:val="22"/>
        </w:rPr>
        <w:t>rilievi</w:t>
      </w:r>
      <w:r w:rsidR="009D5C2B">
        <w:rPr>
          <w:sz w:val="22"/>
          <w:szCs w:val="22"/>
        </w:rPr>
        <w:t xml:space="preserve"> </w:t>
      </w:r>
      <w:r w:rsidR="00525B34">
        <w:rPr>
          <w:sz w:val="22"/>
          <w:szCs w:val="22"/>
        </w:rPr>
        <w:t>alle loro reali dimensioni economiche</w:t>
      </w:r>
      <w:r w:rsidR="009D5C2B">
        <w:rPr>
          <w:sz w:val="22"/>
          <w:szCs w:val="22"/>
        </w:rPr>
        <w:t xml:space="preserve">, </w:t>
      </w:r>
      <w:r w:rsidR="00525B34">
        <w:rPr>
          <w:sz w:val="22"/>
          <w:szCs w:val="22"/>
        </w:rPr>
        <w:t xml:space="preserve">nel contenzioso amministrativo di cui ai parr.6.4 e 6.5 (accertamento con adesione o conciliazione giudiziale). </w:t>
      </w:r>
    </w:p>
    <w:p w14:paraId="6A6DF890" w14:textId="0AED5975" w:rsidR="009D5C2B" w:rsidRDefault="0069718B" w:rsidP="009D5C2B">
      <w:pPr>
        <w:pStyle w:val="tit23"/>
        <w:ind w:left="6464" w:right="-1361" w:firstLine="0"/>
        <w:jc w:val="left"/>
        <w:rPr>
          <w:lang w:val="it-IT"/>
        </w:rPr>
      </w:pPr>
      <w:r>
        <w:rPr>
          <w:bCs/>
          <w:i/>
          <w:iCs/>
          <w:color w:val="0000FF"/>
          <w:lang w:val="it-IT"/>
        </w:rPr>
        <w:t>Riflessi sulle aziende coinvolte</w:t>
      </w:r>
    </w:p>
    <w:p w14:paraId="7448CE94" w14:textId="0C8E7AFB" w:rsidR="009D5C2B" w:rsidRDefault="006E7E85" w:rsidP="00720E0F">
      <w:pPr>
        <w:autoSpaceDE w:val="0"/>
        <w:autoSpaceDN w:val="0"/>
        <w:adjustRightInd w:val="0"/>
        <w:rPr>
          <w:sz w:val="22"/>
          <w:szCs w:val="22"/>
        </w:rPr>
      </w:pPr>
      <w:r>
        <w:rPr>
          <w:sz w:val="22"/>
          <w:szCs w:val="22"/>
        </w:rPr>
        <w:t xml:space="preserve">Vediamo quindi perché </w:t>
      </w:r>
      <w:r w:rsidR="009D5C2B">
        <w:rPr>
          <w:sz w:val="22"/>
          <w:szCs w:val="22"/>
        </w:rPr>
        <w:t xml:space="preserve">“nessuno si fa davvero male”, </w:t>
      </w:r>
      <w:r w:rsidR="0067703E">
        <w:rPr>
          <w:sz w:val="22"/>
          <w:szCs w:val="22"/>
        </w:rPr>
        <w:t xml:space="preserve">pur in </w:t>
      </w:r>
      <w:r>
        <w:rPr>
          <w:sz w:val="22"/>
          <w:szCs w:val="22"/>
        </w:rPr>
        <w:t xml:space="preserve"> contestazioni socialmente dannosissime, per i motivi indicati al successivo paragrafo 5.19</w:t>
      </w:r>
      <w:r w:rsidR="0067703E">
        <w:rPr>
          <w:sz w:val="22"/>
          <w:szCs w:val="22"/>
        </w:rPr>
        <w:t>. L</w:t>
      </w:r>
      <w:r w:rsidR="009D5C2B">
        <w:rPr>
          <w:sz w:val="22"/>
          <w:szCs w:val="22"/>
        </w:rPr>
        <w:t xml:space="preserve">e aziende coinvolte “ne escono” in via di contenzioso amministrativo, </w:t>
      </w:r>
      <w:r w:rsidR="0067703E">
        <w:rPr>
          <w:sz w:val="22"/>
          <w:szCs w:val="22"/>
        </w:rPr>
        <w:t>pur dovendo</w:t>
      </w:r>
      <w:r w:rsidR="009D5C2B">
        <w:rPr>
          <w:sz w:val="22"/>
          <w:szCs w:val="22"/>
        </w:rPr>
        <w:t xml:space="preserve"> assoggettarsi a piccole alterazioni di una corretta determinazione degli imponibili, necessarie agli uffici per chiudere la pratica “in adesione”</w:t>
      </w:r>
      <w:r w:rsidR="007D21A1">
        <w:rPr>
          <w:sz w:val="22"/>
          <w:szCs w:val="22"/>
        </w:rPr>
        <w:t xml:space="preserve">. E’ normale </w:t>
      </w:r>
      <w:r w:rsidR="0067703E">
        <w:rPr>
          <w:sz w:val="22"/>
          <w:szCs w:val="22"/>
        </w:rPr>
        <w:t xml:space="preserve">infatti </w:t>
      </w:r>
      <w:r w:rsidR="007D21A1">
        <w:rPr>
          <w:sz w:val="22"/>
          <w:szCs w:val="22"/>
        </w:rPr>
        <w:t xml:space="preserve">che il tecnicismo di questi rilievi impedisca nello sbrigativo processo tributario, di “avere giustizia” con la sicurezza </w:t>
      </w:r>
      <w:r w:rsidR="0067703E">
        <w:rPr>
          <w:sz w:val="22"/>
          <w:szCs w:val="22"/>
        </w:rPr>
        <w:t>desiderata dal</w:t>
      </w:r>
      <w:r w:rsidR="007D21A1">
        <w:rPr>
          <w:sz w:val="22"/>
          <w:szCs w:val="22"/>
        </w:rPr>
        <w:t xml:space="preserve">le </w:t>
      </w:r>
      <w:r w:rsidR="0067703E">
        <w:rPr>
          <w:sz w:val="22"/>
          <w:szCs w:val="22"/>
        </w:rPr>
        <w:t>organizzazioni aziendali</w:t>
      </w:r>
      <w:r w:rsidR="007D21A1">
        <w:rPr>
          <w:sz w:val="22"/>
          <w:szCs w:val="22"/>
        </w:rPr>
        <w:t>, come indicato al par.6.10</w:t>
      </w:r>
      <w:r w:rsidR="002933CA">
        <w:rPr>
          <w:sz w:val="22"/>
          <w:szCs w:val="22"/>
        </w:rPr>
        <w:t xml:space="preserve">; </w:t>
      </w:r>
      <w:r w:rsidR="002933CA" w:rsidRPr="007F7EBF">
        <w:rPr>
          <w:sz w:val="22"/>
          <w:szCs w:val="22"/>
        </w:rPr>
        <w:t>per evitare processi inadeguati a questo tipo di controversie</w:t>
      </w:r>
      <w:r w:rsidR="002933CA">
        <w:rPr>
          <w:sz w:val="22"/>
          <w:szCs w:val="22"/>
        </w:rPr>
        <w:t>, le aziende subiscono spesso determinazioni dell’imponibile in qualche misura penalizzati (</w:t>
      </w:r>
      <w:r w:rsidR="002933CA" w:rsidRPr="007F7EBF">
        <w:rPr>
          <w:rStyle w:val="Rimandonotaapidipagina"/>
          <w:sz w:val="22"/>
          <w:szCs w:val="22"/>
        </w:rPr>
        <w:footnoteReference w:id="702"/>
      </w:r>
      <w:r w:rsidR="002933CA">
        <w:rPr>
          <w:sz w:val="22"/>
          <w:szCs w:val="22"/>
        </w:rPr>
        <w:t>)</w:t>
      </w:r>
      <w:r w:rsidR="002933CA" w:rsidRPr="007F7EBF">
        <w:rPr>
          <w:sz w:val="22"/>
          <w:szCs w:val="22"/>
        </w:rPr>
        <w:t>.</w:t>
      </w:r>
    </w:p>
    <w:p w14:paraId="68BB4B0E" w14:textId="15DCB14A" w:rsidR="00783907" w:rsidRDefault="0067703E" w:rsidP="00720E0F">
      <w:pPr>
        <w:autoSpaceDE w:val="0"/>
        <w:autoSpaceDN w:val="0"/>
        <w:adjustRightInd w:val="0"/>
        <w:rPr>
          <w:bCs/>
          <w:sz w:val="22"/>
          <w:szCs w:val="22"/>
        </w:rPr>
      </w:pPr>
      <w:r>
        <w:rPr>
          <w:sz w:val="22"/>
          <w:szCs w:val="22"/>
        </w:rPr>
        <w:lastRenderedPageBreak/>
        <w:t>Questa necessità di acce</w:t>
      </w:r>
      <w:r w:rsidR="007D21A1">
        <w:rPr>
          <w:sz w:val="22"/>
          <w:szCs w:val="22"/>
        </w:rPr>
        <w:t>ttare</w:t>
      </w:r>
      <w:r>
        <w:rPr>
          <w:sz w:val="22"/>
          <w:szCs w:val="22"/>
        </w:rPr>
        <w:t>, in adesione,</w:t>
      </w:r>
      <w:r w:rsidR="007D21A1">
        <w:rPr>
          <w:sz w:val="22"/>
          <w:szCs w:val="22"/>
        </w:rPr>
        <w:t xml:space="preserve"> una qualche rideterminazione dell’imposta (</w:t>
      </w:r>
      <w:r w:rsidR="007D21A1">
        <w:rPr>
          <w:rStyle w:val="Rimandonotaapidipagina"/>
          <w:sz w:val="22"/>
          <w:szCs w:val="22"/>
        </w:rPr>
        <w:footnoteReference w:id="703"/>
      </w:r>
      <w:r w:rsidR="007D21A1">
        <w:rPr>
          <w:sz w:val="22"/>
          <w:szCs w:val="22"/>
        </w:rPr>
        <w:t>),</w:t>
      </w:r>
      <w:r>
        <w:rPr>
          <w:sz w:val="22"/>
          <w:szCs w:val="22"/>
        </w:rPr>
        <w:t xml:space="preserve"> per disinnescare il rilievo,</w:t>
      </w:r>
      <w:r w:rsidR="00A3370D">
        <w:rPr>
          <w:sz w:val="22"/>
          <w:szCs w:val="22"/>
        </w:rPr>
        <w:t xml:space="preserve"> </w:t>
      </w:r>
      <w:r w:rsidR="007D21A1">
        <w:rPr>
          <w:sz w:val="22"/>
          <w:szCs w:val="22"/>
        </w:rPr>
        <w:t xml:space="preserve"> infastidisce soprattutto le aziende avevano adottato interpretazioni corrette, e paradossalmente avvantaggia chi aveva eluso o distorto l’interpretazione per risparmiare imposte</w:t>
      </w:r>
      <w:r w:rsidR="00D015BC">
        <w:rPr>
          <w:sz w:val="22"/>
          <w:szCs w:val="22"/>
        </w:rPr>
        <w:t xml:space="preserve">. Al di là dell’esborso finanziario, </w:t>
      </w:r>
      <w:r w:rsidR="007D21A1">
        <w:rPr>
          <w:sz w:val="22"/>
          <w:szCs w:val="22"/>
        </w:rPr>
        <w:t xml:space="preserve">questi rilievi destabilizzano le alte direzioni </w:t>
      </w:r>
      <w:r w:rsidR="007D21A1">
        <w:rPr>
          <w:bCs/>
          <w:sz w:val="22"/>
          <w:szCs w:val="22"/>
        </w:rPr>
        <w:t xml:space="preserve">aziendali, che non ne capiscono la logica “giuridico-politica” (par.5.3), estranea a quella economico </w:t>
      </w:r>
      <w:r w:rsidR="007D21A1">
        <w:rPr>
          <w:sz w:val="22"/>
          <w:szCs w:val="22"/>
        </w:rPr>
        <w:t>aziendale cui esse si ispirano (</w:t>
      </w:r>
      <w:r w:rsidR="007D21A1">
        <w:rPr>
          <w:rStyle w:val="Rimandonotaapidipagina"/>
          <w:sz w:val="22"/>
          <w:szCs w:val="22"/>
        </w:rPr>
        <w:footnoteReference w:id="704"/>
      </w:r>
      <w:r w:rsidR="007D21A1">
        <w:rPr>
          <w:sz w:val="22"/>
          <w:szCs w:val="22"/>
        </w:rPr>
        <w:t xml:space="preserve">). </w:t>
      </w:r>
      <w:r w:rsidR="001B3339">
        <w:rPr>
          <w:sz w:val="22"/>
          <w:szCs w:val="22"/>
        </w:rPr>
        <w:t>I</w:t>
      </w:r>
      <w:r w:rsidR="007D21A1">
        <w:rPr>
          <w:sz w:val="22"/>
          <w:szCs w:val="22"/>
        </w:rPr>
        <w:t>noltre le</w:t>
      </w:r>
      <w:r w:rsidR="00783907">
        <w:rPr>
          <w:sz w:val="22"/>
          <w:szCs w:val="22"/>
        </w:rPr>
        <w:t xml:space="preserve"> contestazioni interpretative innescano spesso inchieste penali del tutto fuori luogo</w:t>
      </w:r>
      <w:r w:rsidR="005545AA">
        <w:rPr>
          <w:sz w:val="22"/>
          <w:szCs w:val="22"/>
        </w:rPr>
        <w:t xml:space="preserve">, come indicato al </w:t>
      </w:r>
      <w:r w:rsidR="00783907">
        <w:rPr>
          <w:sz w:val="22"/>
          <w:szCs w:val="22"/>
        </w:rPr>
        <w:t>par.6.14; di esse le</w:t>
      </w:r>
      <w:r w:rsidR="007D21A1">
        <w:rPr>
          <w:sz w:val="22"/>
          <w:szCs w:val="22"/>
        </w:rPr>
        <w:t xml:space="preserve"> aziende </w:t>
      </w:r>
      <w:r w:rsidR="00176908">
        <w:rPr>
          <w:sz w:val="22"/>
          <w:szCs w:val="22"/>
        </w:rPr>
        <w:t xml:space="preserve">forse sopravvalutano </w:t>
      </w:r>
      <w:r w:rsidR="007D21A1">
        <w:rPr>
          <w:sz w:val="22"/>
          <w:szCs w:val="22"/>
        </w:rPr>
        <w:t>i d</w:t>
      </w:r>
      <w:r w:rsidR="007D21A1" w:rsidRPr="007F7EBF">
        <w:rPr>
          <w:bCs/>
        </w:rPr>
        <w:t xml:space="preserve">anni </w:t>
      </w:r>
      <w:r w:rsidR="0079109F">
        <w:rPr>
          <w:bCs/>
        </w:rPr>
        <w:t>d’immagine,</w:t>
      </w:r>
      <w:r w:rsidR="0079109F">
        <w:rPr>
          <w:sz w:val="22"/>
          <w:szCs w:val="22"/>
        </w:rPr>
        <w:t xml:space="preserve"> con </w:t>
      </w:r>
      <w:r w:rsidR="0079109F">
        <w:t xml:space="preserve">la gogna mediatica come pena reputazionale anticipata, con patemi d’animo </w:t>
      </w:r>
      <w:r w:rsidR="00783907">
        <w:rPr>
          <w:bCs/>
        </w:rPr>
        <w:t>esorcizza</w:t>
      </w:r>
      <w:r w:rsidR="0079109F">
        <w:rPr>
          <w:bCs/>
        </w:rPr>
        <w:t xml:space="preserve">ti vanamente da </w:t>
      </w:r>
      <w:r w:rsidR="00D015BC" w:rsidRPr="007F7EBF">
        <w:rPr>
          <w:bCs/>
          <w:sz w:val="22"/>
          <w:szCs w:val="22"/>
        </w:rPr>
        <w:t xml:space="preserve">riunioni </w:t>
      </w:r>
      <w:r w:rsidR="00D015BC">
        <w:rPr>
          <w:bCs/>
          <w:sz w:val="22"/>
          <w:szCs w:val="22"/>
        </w:rPr>
        <w:t xml:space="preserve">tra uffici aziendali e </w:t>
      </w:r>
      <w:r w:rsidR="00D015BC" w:rsidRPr="007F7EBF">
        <w:rPr>
          <w:bCs/>
          <w:sz w:val="22"/>
          <w:szCs w:val="22"/>
        </w:rPr>
        <w:t>consulenti</w:t>
      </w:r>
      <w:r w:rsidR="001B3339">
        <w:rPr>
          <w:bCs/>
          <w:sz w:val="22"/>
          <w:szCs w:val="22"/>
        </w:rPr>
        <w:t xml:space="preserve"> esterni</w:t>
      </w:r>
      <w:r w:rsidR="0079109F">
        <w:rPr>
          <w:bCs/>
          <w:sz w:val="22"/>
          <w:szCs w:val="22"/>
        </w:rPr>
        <w:t xml:space="preserve"> ignari dei meccanismi “mediatico-giudiziari” </w:t>
      </w:r>
      <w:r w:rsidR="00D015BC" w:rsidRPr="007F7EBF">
        <w:rPr>
          <w:sz w:val="22"/>
          <w:szCs w:val="22"/>
        </w:rPr>
        <w:t>(</w:t>
      </w:r>
      <w:r w:rsidR="00D015BC" w:rsidRPr="007F7EBF">
        <w:rPr>
          <w:rStyle w:val="Rimandonotaapidipagina"/>
          <w:sz w:val="22"/>
          <w:szCs w:val="22"/>
        </w:rPr>
        <w:footnoteReference w:id="705"/>
      </w:r>
      <w:r w:rsidR="00D015BC" w:rsidRPr="007F7EBF">
        <w:rPr>
          <w:sz w:val="22"/>
          <w:szCs w:val="22"/>
        </w:rPr>
        <w:t>)</w:t>
      </w:r>
      <w:r w:rsidR="002933CA">
        <w:rPr>
          <w:bCs/>
          <w:sz w:val="22"/>
          <w:szCs w:val="22"/>
        </w:rPr>
        <w:t xml:space="preserve"> </w:t>
      </w:r>
    </w:p>
    <w:p w14:paraId="13F91846" w14:textId="1869DE38" w:rsidR="00735F58" w:rsidRPr="007F7EBF" w:rsidRDefault="006342C5" w:rsidP="00DA0DA0">
      <w:pPr>
        <w:pStyle w:val="Titolo3"/>
        <w:rPr>
          <w:rFonts w:ascii="Times New Roman" w:hAnsi="Times New Roman"/>
          <w:sz w:val="22"/>
          <w:szCs w:val="22"/>
        </w:rPr>
      </w:pPr>
      <w:bookmarkStart w:id="78" w:name="_Toc63364991"/>
      <w:r w:rsidRPr="007F7EBF">
        <w:rPr>
          <w:rFonts w:ascii="Times New Roman" w:hAnsi="Times New Roman"/>
          <w:sz w:val="22"/>
          <w:szCs w:val="22"/>
        </w:rPr>
        <w:t>5.19</w:t>
      </w:r>
      <w:r w:rsidR="006C1B80">
        <w:rPr>
          <w:rFonts w:ascii="Times New Roman" w:hAnsi="Times New Roman"/>
          <w:sz w:val="22"/>
          <w:szCs w:val="22"/>
          <w:lang w:val="it-IT"/>
        </w:rPr>
        <w:t xml:space="preserve"> C</w:t>
      </w:r>
      <w:r w:rsidR="001F5CD0">
        <w:rPr>
          <w:rFonts w:ascii="Times New Roman" w:hAnsi="Times New Roman"/>
          <w:sz w:val="22"/>
          <w:szCs w:val="22"/>
          <w:lang w:val="it-IT"/>
        </w:rPr>
        <w:t xml:space="preserve">ontestazioni interpretative </w:t>
      </w:r>
      <w:r w:rsidR="006C1B80">
        <w:rPr>
          <w:rFonts w:ascii="Times New Roman" w:hAnsi="Times New Roman"/>
          <w:sz w:val="22"/>
          <w:szCs w:val="22"/>
          <w:lang w:val="it-IT"/>
        </w:rPr>
        <w:t>e danni sociali sulla</w:t>
      </w:r>
      <w:r w:rsidR="00AE4737" w:rsidRPr="007F7EBF">
        <w:rPr>
          <w:rFonts w:ascii="Times New Roman" w:hAnsi="Times New Roman"/>
          <w:iCs/>
          <w:sz w:val="22"/>
          <w:szCs w:val="22"/>
          <w:lang w:val="it-IT"/>
        </w:rPr>
        <w:t xml:space="preserve"> funzione tributaria</w:t>
      </w:r>
      <w:r w:rsidR="006C1B80">
        <w:rPr>
          <w:rFonts w:ascii="Times New Roman" w:hAnsi="Times New Roman"/>
          <w:iCs/>
          <w:sz w:val="22"/>
          <w:szCs w:val="22"/>
          <w:lang w:val="it-IT"/>
        </w:rPr>
        <w:t xml:space="preserve"> , l’economia e la società</w:t>
      </w:r>
      <w:bookmarkEnd w:id="78"/>
    </w:p>
    <w:p w14:paraId="72885519" w14:textId="77777777" w:rsidR="00720E0F" w:rsidRPr="003C6BA1" w:rsidRDefault="00720E0F" w:rsidP="00720E0F">
      <w:pPr>
        <w:autoSpaceDE w:val="0"/>
        <w:autoSpaceDN w:val="0"/>
        <w:adjustRightInd w:val="0"/>
        <w:rPr>
          <w:sz w:val="22"/>
          <w:szCs w:val="22"/>
        </w:rPr>
      </w:pPr>
    </w:p>
    <w:p w14:paraId="7335A527" w14:textId="2DAA13B2" w:rsidR="00720E0F" w:rsidRPr="007F7EBF" w:rsidRDefault="006C524B" w:rsidP="00720E0F">
      <w:pPr>
        <w:pStyle w:val="tit23"/>
        <w:ind w:left="6464" w:right="-1361" w:firstLine="0"/>
        <w:jc w:val="left"/>
        <w:rPr>
          <w:lang w:val="it-IT"/>
        </w:rPr>
      </w:pPr>
      <w:r>
        <w:rPr>
          <w:bCs/>
          <w:i/>
          <w:iCs/>
          <w:color w:val="0000FF"/>
          <w:lang w:val="it-IT"/>
        </w:rPr>
        <w:t>Lo spreco di controlli</w:t>
      </w:r>
      <w:r w:rsidR="00720E0F">
        <w:rPr>
          <w:bCs/>
          <w:i/>
          <w:iCs/>
          <w:color w:val="0000FF"/>
          <w:lang w:val="it-IT"/>
        </w:rPr>
        <w:t xml:space="preserve"> </w:t>
      </w:r>
    </w:p>
    <w:p w14:paraId="5D398AA8" w14:textId="42432D01" w:rsidR="006C524B" w:rsidRPr="007F7EBF" w:rsidRDefault="006C524B" w:rsidP="006C524B">
      <w:pPr>
        <w:autoSpaceDE w:val="0"/>
        <w:autoSpaceDN w:val="0"/>
        <w:adjustRightInd w:val="0"/>
        <w:rPr>
          <w:bCs/>
          <w:i/>
          <w:iCs/>
          <w:color w:val="0000FF"/>
        </w:rPr>
      </w:pPr>
      <w:r>
        <w:rPr>
          <w:bCs/>
          <w:sz w:val="22"/>
          <w:szCs w:val="22"/>
        </w:rPr>
        <w:t xml:space="preserve">Anche se alla fine, sulle singole aziende coinvolte, le contestazioni interpretative </w:t>
      </w:r>
      <w:r w:rsidR="000B36F1">
        <w:rPr>
          <w:bCs/>
          <w:sz w:val="22"/>
          <w:szCs w:val="22"/>
        </w:rPr>
        <w:t xml:space="preserve">non </w:t>
      </w:r>
      <w:r>
        <w:rPr>
          <w:bCs/>
          <w:sz w:val="22"/>
          <w:szCs w:val="22"/>
        </w:rPr>
        <w:t xml:space="preserve">sono </w:t>
      </w:r>
      <w:r w:rsidR="000B36F1">
        <w:rPr>
          <w:bCs/>
          <w:sz w:val="22"/>
          <w:szCs w:val="22"/>
        </w:rPr>
        <w:t xml:space="preserve">distruttive, </w:t>
      </w:r>
      <w:r>
        <w:rPr>
          <w:bCs/>
          <w:sz w:val="22"/>
          <w:szCs w:val="22"/>
        </w:rPr>
        <w:t>l’insistenza su di esse provoca notevoli danni sociali</w:t>
      </w:r>
      <w:r w:rsidR="000B36F1">
        <w:rPr>
          <w:bCs/>
          <w:sz w:val="22"/>
          <w:szCs w:val="22"/>
        </w:rPr>
        <w:t xml:space="preserve">, prima di tutto </w:t>
      </w:r>
      <w:r>
        <w:rPr>
          <w:bCs/>
          <w:sz w:val="22"/>
          <w:szCs w:val="22"/>
        </w:rPr>
        <w:t xml:space="preserve">sulla funzione tributaria. </w:t>
      </w:r>
      <w:r>
        <w:rPr>
          <w:sz w:val="22"/>
          <w:szCs w:val="22"/>
        </w:rPr>
        <w:t xml:space="preserve"> </w:t>
      </w:r>
      <w:r w:rsidR="000B36F1">
        <w:rPr>
          <w:sz w:val="22"/>
          <w:szCs w:val="22"/>
        </w:rPr>
        <w:t>E</w:t>
      </w:r>
      <w:r>
        <w:rPr>
          <w:sz w:val="22"/>
          <w:szCs w:val="22"/>
        </w:rPr>
        <w:t xml:space="preserve">sse </w:t>
      </w:r>
      <w:r w:rsidR="000B36F1">
        <w:rPr>
          <w:sz w:val="22"/>
          <w:szCs w:val="22"/>
        </w:rPr>
        <w:t xml:space="preserve">sguarniscono infatti le energie degli uffici dove servirebbero davvero, consentendo di dire che in Italia, </w:t>
      </w:r>
      <w:r>
        <w:rPr>
          <w:sz w:val="22"/>
          <w:szCs w:val="22"/>
        </w:rPr>
        <w:t xml:space="preserve"> </w:t>
      </w:r>
      <w:r>
        <w:rPr>
          <w:i/>
          <w:sz w:val="22"/>
          <w:szCs w:val="22"/>
        </w:rPr>
        <w:t>i</w:t>
      </w:r>
      <w:r>
        <w:rPr>
          <w:sz w:val="22"/>
          <w:szCs w:val="22"/>
        </w:rPr>
        <w:t xml:space="preserve"> </w:t>
      </w:r>
      <w:r w:rsidRPr="007F7EBF">
        <w:rPr>
          <w:i/>
          <w:sz w:val="22"/>
          <w:szCs w:val="22"/>
        </w:rPr>
        <w:t>controlli tributari</w:t>
      </w:r>
      <w:r>
        <w:rPr>
          <w:i/>
          <w:sz w:val="22"/>
          <w:szCs w:val="22"/>
        </w:rPr>
        <w:t xml:space="preserve"> </w:t>
      </w:r>
      <w:r w:rsidRPr="007F7EBF">
        <w:rPr>
          <w:i/>
          <w:sz w:val="22"/>
          <w:szCs w:val="22"/>
        </w:rPr>
        <w:t xml:space="preserve">si sprecano </w:t>
      </w:r>
      <w:r>
        <w:rPr>
          <w:sz w:val="22"/>
          <w:szCs w:val="22"/>
        </w:rPr>
        <w:t>nel vero senso della parola, in quanto distolti dal  monitoraggio valutativo per ordine di grandezza sugli imponibili non registrati (par.5.7)</w:t>
      </w:r>
      <w:r w:rsidRPr="007F7EBF">
        <w:rPr>
          <w:sz w:val="22"/>
          <w:szCs w:val="22"/>
        </w:rPr>
        <w:t xml:space="preserve">; </w:t>
      </w:r>
      <w:r>
        <w:rPr>
          <w:sz w:val="22"/>
          <w:szCs w:val="22"/>
        </w:rPr>
        <w:t xml:space="preserve">questa collocazione di risorse “alla rovescia”, dovuta agli equivoci dei grandi evasori e dell’”evasione di sopravvivenza”, rende meramente virtuale l’impulso degli uffici tributari alla </w:t>
      </w:r>
      <w:r w:rsidRPr="007F7EBF">
        <w:rPr>
          <w:sz w:val="22"/>
          <w:szCs w:val="22"/>
        </w:rPr>
        <w:t>"tax compliance"</w:t>
      </w:r>
      <w:r>
        <w:rPr>
          <w:sz w:val="22"/>
          <w:szCs w:val="22"/>
        </w:rPr>
        <w:t xml:space="preserve"> di massa sugli </w:t>
      </w:r>
      <w:r>
        <w:rPr>
          <w:sz w:val="22"/>
          <w:szCs w:val="22"/>
        </w:rPr>
        <w:lastRenderedPageBreak/>
        <w:t xml:space="preserve">imponibili </w:t>
      </w:r>
      <w:r w:rsidRPr="007F7EBF">
        <w:rPr>
          <w:sz w:val="22"/>
          <w:szCs w:val="22"/>
        </w:rPr>
        <w:t xml:space="preserve">non </w:t>
      </w:r>
      <w:r>
        <w:rPr>
          <w:sz w:val="22"/>
          <w:szCs w:val="22"/>
        </w:rPr>
        <w:t>determinati</w:t>
      </w:r>
      <w:r w:rsidRPr="007F7EBF">
        <w:rPr>
          <w:sz w:val="22"/>
          <w:szCs w:val="22"/>
        </w:rPr>
        <w:t xml:space="preserve"> dalle organizzazioni aziendali, secondo un filo conduttore del testo indicato al par.</w:t>
      </w:r>
      <w:r w:rsidR="00361BCC">
        <w:rPr>
          <w:sz w:val="22"/>
          <w:szCs w:val="22"/>
        </w:rPr>
        <w:t>1.7</w:t>
      </w:r>
      <w:r w:rsidRPr="007F7EBF">
        <w:rPr>
          <w:sz w:val="22"/>
          <w:szCs w:val="22"/>
        </w:rPr>
        <w:t xml:space="preserve"> e 5.7</w:t>
      </w:r>
      <w:r>
        <w:rPr>
          <w:sz w:val="22"/>
          <w:szCs w:val="22"/>
        </w:rPr>
        <w:t>.</w:t>
      </w:r>
      <w:r w:rsidRPr="006C524B">
        <w:t xml:space="preserve"> </w:t>
      </w:r>
      <w:r>
        <w:t xml:space="preserve">La destabilizzazione delle aziende, cui come vedremo qui di seguito questi controlli contribuiscono, conserva e alimenta, anche sotto le forme nuove dei </w:t>
      </w:r>
      <w:proofErr w:type="spellStart"/>
      <w:r>
        <w:t>parr</w:t>
      </w:r>
      <w:proofErr w:type="spellEnd"/>
      <w:r>
        <w:t xml:space="preserve">. 3.15 e 5.15, una massa di </w:t>
      </w:r>
      <w:r w:rsidR="00E4471F">
        <w:t>operatori</w:t>
      </w:r>
      <w:r w:rsidRPr="007F7EBF">
        <w:rPr>
          <w:bCs/>
          <w:sz w:val="22"/>
          <w:szCs w:val="22"/>
        </w:rPr>
        <w:t xml:space="preserve"> indipendenti al consumo finale, </w:t>
      </w:r>
      <w:r w:rsidRPr="007F7EBF">
        <w:rPr>
          <w:sz w:val="22"/>
          <w:szCs w:val="22"/>
        </w:rPr>
        <w:t xml:space="preserve">totalmente o parzialmente </w:t>
      </w:r>
      <w:r w:rsidRPr="007F7EBF">
        <w:rPr>
          <w:bCs/>
          <w:sz w:val="22"/>
          <w:szCs w:val="22"/>
        </w:rPr>
        <w:t>nascost</w:t>
      </w:r>
      <w:r w:rsidR="00E4471F">
        <w:rPr>
          <w:bCs/>
          <w:sz w:val="22"/>
          <w:szCs w:val="22"/>
        </w:rPr>
        <w:t>i</w:t>
      </w:r>
      <w:r w:rsidRPr="007F7EBF">
        <w:rPr>
          <w:bCs/>
          <w:sz w:val="22"/>
          <w:szCs w:val="22"/>
        </w:rPr>
        <w:t xml:space="preserve"> al fisco</w:t>
      </w:r>
      <w:r>
        <w:rPr>
          <w:sz w:val="22"/>
          <w:szCs w:val="22"/>
        </w:rPr>
        <w:t xml:space="preserve">, </w:t>
      </w:r>
      <w:r w:rsidR="00E4471F">
        <w:rPr>
          <w:sz w:val="22"/>
          <w:szCs w:val="22"/>
        </w:rPr>
        <w:t xml:space="preserve">facendo rimanere </w:t>
      </w:r>
      <w:r>
        <w:rPr>
          <w:sz w:val="22"/>
          <w:szCs w:val="22"/>
        </w:rPr>
        <w:t xml:space="preserve">l’Italia </w:t>
      </w:r>
      <w:r>
        <w:t xml:space="preserve">un paese di </w:t>
      </w:r>
      <w:r>
        <w:rPr>
          <w:i/>
        </w:rPr>
        <w:t xml:space="preserve">piccoli commercianti e artigiani </w:t>
      </w:r>
      <w:r>
        <w:t xml:space="preserve">sia pure in versione postindustriale </w:t>
      </w:r>
      <w:r w:rsidR="000B36F1">
        <w:t xml:space="preserve">c.d. </w:t>
      </w:r>
      <w:r w:rsidR="000B36F1">
        <w:rPr>
          <w:i/>
        </w:rPr>
        <w:t>4</w:t>
      </w:r>
      <w:r>
        <w:rPr>
          <w:i/>
        </w:rPr>
        <w:t>.0</w:t>
      </w:r>
      <w:r>
        <w:rPr>
          <w:sz w:val="22"/>
          <w:szCs w:val="22"/>
        </w:rPr>
        <w:t xml:space="preserve">. Con le contestazioni interpretative, prima di tutto alle aziende, </w:t>
      </w:r>
      <w:r w:rsidRPr="007F7EBF">
        <w:rPr>
          <w:sz w:val="22"/>
          <w:szCs w:val="22"/>
        </w:rPr>
        <w:t xml:space="preserve">la </w:t>
      </w:r>
      <w:r>
        <w:rPr>
          <w:sz w:val="22"/>
          <w:szCs w:val="22"/>
        </w:rPr>
        <w:t xml:space="preserve">funzione tributaria contribuisce quindi a </w:t>
      </w:r>
      <w:r w:rsidRPr="007F7EBF">
        <w:rPr>
          <w:sz w:val="22"/>
          <w:szCs w:val="22"/>
        </w:rPr>
        <w:t>sega</w:t>
      </w:r>
      <w:r>
        <w:rPr>
          <w:sz w:val="22"/>
          <w:szCs w:val="22"/>
        </w:rPr>
        <w:t xml:space="preserve">re </w:t>
      </w:r>
      <w:r w:rsidRPr="007F7EBF">
        <w:rPr>
          <w:sz w:val="22"/>
          <w:szCs w:val="22"/>
        </w:rPr>
        <w:t>il ramo su cui sta sedut</w:t>
      </w:r>
      <w:r>
        <w:rPr>
          <w:sz w:val="22"/>
          <w:szCs w:val="22"/>
        </w:rPr>
        <w:t>a</w:t>
      </w:r>
      <w:r w:rsidR="00E4471F">
        <w:rPr>
          <w:sz w:val="22"/>
          <w:szCs w:val="22"/>
        </w:rPr>
        <w:t xml:space="preserve"> </w:t>
      </w:r>
      <w:r>
        <w:rPr>
          <w:sz w:val="22"/>
          <w:szCs w:val="22"/>
        </w:rPr>
        <w:t>(</w:t>
      </w:r>
      <w:r w:rsidRPr="007F7EBF">
        <w:rPr>
          <w:rStyle w:val="Rimandonotaapidipagina"/>
          <w:sz w:val="22"/>
          <w:szCs w:val="22"/>
        </w:rPr>
        <w:footnoteReference w:id="706"/>
      </w:r>
      <w:r>
        <w:rPr>
          <w:sz w:val="22"/>
          <w:szCs w:val="22"/>
        </w:rPr>
        <w:t>)</w:t>
      </w:r>
      <w:r w:rsidRPr="007F7EBF">
        <w:rPr>
          <w:sz w:val="22"/>
          <w:szCs w:val="22"/>
        </w:rPr>
        <w:t xml:space="preserve">. </w:t>
      </w:r>
    </w:p>
    <w:p w14:paraId="03892880" w14:textId="00EF3F5A" w:rsidR="006C524B" w:rsidRPr="007F7EBF" w:rsidRDefault="006C524B" w:rsidP="006C524B">
      <w:pPr>
        <w:pStyle w:val="tit23"/>
        <w:ind w:left="6464" w:right="-1361" w:firstLine="0"/>
        <w:jc w:val="left"/>
        <w:rPr>
          <w:bCs/>
          <w:i/>
          <w:iCs/>
          <w:color w:val="0000FF"/>
          <w:lang w:val="it-IT"/>
        </w:rPr>
      </w:pPr>
      <w:r w:rsidRPr="007F7EBF">
        <w:rPr>
          <w:bCs/>
          <w:i/>
          <w:iCs/>
          <w:color w:val="0000FF"/>
          <w:lang w:val="it-IT"/>
        </w:rPr>
        <w:t xml:space="preserve">Riflessi negativi sulle </w:t>
      </w:r>
      <w:r>
        <w:rPr>
          <w:bCs/>
          <w:i/>
          <w:iCs/>
          <w:color w:val="0000FF"/>
          <w:lang w:val="it-IT"/>
        </w:rPr>
        <w:t>aziende: capitalismo familiare</w:t>
      </w:r>
      <w:r w:rsidRPr="007F7EBF">
        <w:rPr>
          <w:bCs/>
          <w:i/>
          <w:iCs/>
          <w:color w:val="0000FF"/>
          <w:lang w:val="it-IT"/>
        </w:rPr>
        <w:t xml:space="preserve"> </w:t>
      </w:r>
      <w:r w:rsidR="00E4471F">
        <w:rPr>
          <w:bCs/>
          <w:i/>
          <w:iCs/>
          <w:color w:val="0000FF"/>
          <w:lang w:val="it-IT"/>
        </w:rPr>
        <w:t>e multinazionali</w:t>
      </w:r>
    </w:p>
    <w:p w14:paraId="11B33583" w14:textId="755E0861" w:rsidR="006C524B" w:rsidRPr="007F7EBF" w:rsidRDefault="006C524B" w:rsidP="00E4471F">
      <w:pPr>
        <w:autoSpaceDE w:val="0"/>
        <w:autoSpaceDN w:val="0"/>
        <w:adjustRightInd w:val="0"/>
        <w:rPr>
          <w:bCs/>
          <w:i/>
          <w:iCs/>
          <w:color w:val="0000FF"/>
        </w:rPr>
      </w:pPr>
      <w:r>
        <w:rPr>
          <w:sz w:val="22"/>
          <w:szCs w:val="22"/>
        </w:rPr>
        <w:t xml:space="preserve">Questo spreco riguarda anche </w:t>
      </w:r>
      <w:r w:rsidRPr="007F7EBF">
        <w:rPr>
          <w:sz w:val="22"/>
          <w:szCs w:val="22"/>
        </w:rPr>
        <w:t xml:space="preserve">energie </w:t>
      </w:r>
      <w:proofErr w:type="spellStart"/>
      <w:r w:rsidRPr="007F7EBF">
        <w:rPr>
          <w:sz w:val="22"/>
          <w:szCs w:val="22"/>
        </w:rPr>
        <w:t>aziendal</w:t>
      </w:r>
      <w:proofErr w:type="spellEnd"/>
      <w:r>
        <w:rPr>
          <w:sz w:val="22"/>
          <w:szCs w:val="22"/>
        </w:rPr>
        <w:t>-</w:t>
      </w:r>
      <w:r w:rsidRPr="007F7EBF">
        <w:rPr>
          <w:sz w:val="22"/>
          <w:szCs w:val="22"/>
        </w:rPr>
        <w:t xml:space="preserve">professionali </w:t>
      </w:r>
      <w:r>
        <w:rPr>
          <w:sz w:val="22"/>
          <w:szCs w:val="22"/>
        </w:rPr>
        <w:t>del settore privato, esposto anche a continui e capziosi controlli, con e</w:t>
      </w:r>
      <w:r w:rsidRPr="007F7EBF">
        <w:rPr>
          <w:sz w:val="22"/>
          <w:szCs w:val="22"/>
        </w:rPr>
        <w:t xml:space="preserve">ffetti </w:t>
      </w:r>
      <w:r>
        <w:rPr>
          <w:sz w:val="22"/>
          <w:szCs w:val="22"/>
        </w:rPr>
        <w:t xml:space="preserve">diversamente </w:t>
      </w:r>
      <w:r w:rsidRPr="007F7EBF">
        <w:rPr>
          <w:sz w:val="22"/>
          <w:szCs w:val="22"/>
        </w:rPr>
        <w:t>negativi sia su</w:t>
      </w:r>
      <w:r>
        <w:rPr>
          <w:sz w:val="22"/>
          <w:szCs w:val="22"/>
        </w:rPr>
        <w:t xml:space="preserve">gli investitori esteri sia sul </w:t>
      </w:r>
      <w:r w:rsidRPr="007F7EBF">
        <w:rPr>
          <w:sz w:val="22"/>
          <w:szCs w:val="22"/>
        </w:rPr>
        <w:t>c.d. "capitalismo familiare"</w:t>
      </w:r>
      <w:r>
        <w:rPr>
          <w:sz w:val="22"/>
          <w:szCs w:val="22"/>
        </w:rPr>
        <w:t xml:space="preserve">; quest’ultimo percepisce </w:t>
      </w:r>
      <w:r w:rsidRPr="007F7EBF">
        <w:rPr>
          <w:sz w:val="22"/>
          <w:szCs w:val="22"/>
        </w:rPr>
        <w:t xml:space="preserve">che i controlli non </w:t>
      </w:r>
      <w:r>
        <w:rPr>
          <w:sz w:val="22"/>
          <w:szCs w:val="22"/>
        </w:rPr>
        <w:t xml:space="preserve">cercano </w:t>
      </w:r>
      <w:r w:rsidRPr="007F7EBF">
        <w:rPr>
          <w:sz w:val="22"/>
          <w:szCs w:val="22"/>
        </w:rPr>
        <w:t xml:space="preserve">le </w:t>
      </w:r>
      <w:r>
        <w:rPr>
          <w:sz w:val="22"/>
          <w:szCs w:val="22"/>
        </w:rPr>
        <w:t>evasioni</w:t>
      </w:r>
      <w:r w:rsidRPr="007F7EBF">
        <w:rPr>
          <w:sz w:val="22"/>
          <w:szCs w:val="22"/>
        </w:rPr>
        <w:t xml:space="preserve"> descritte al par. 3.7</w:t>
      </w:r>
      <w:r>
        <w:rPr>
          <w:sz w:val="22"/>
          <w:szCs w:val="22"/>
        </w:rPr>
        <w:t xml:space="preserve"> (</w:t>
      </w:r>
      <w:r w:rsidRPr="007F7EBF">
        <w:rPr>
          <w:rStyle w:val="Rimandonotaapidipagina"/>
          <w:sz w:val="22"/>
          <w:szCs w:val="22"/>
        </w:rPr>
        <w:footnoteReference w:id="707"/>
      </w:r>
      <w:r>
        <w:rPr>
          <w:sz w:val="22"/>
          <w:szCs w:val="22"/>
        </w:rPr>
        <w:t xml:space="preserve">) e </w:t>
      </w:r>
      <w:r w:rsidR="00E4471F">
        <w:rPr>
          <w:sz w:val="22"/>
          <w:szCs w:val="22"/>
        </w:rPr>
        <w:t>che l’unico ostacolo a commetterle è interno all’azienda, per possibili frizioni con eventuali altri soci, il che</w:t>
      </w:r>
      <w:r>
        <w:rPr>
          <w:sz w:val="22"/>
          <w:szCs w:val="22"/>
        </w:rPr>
        <w:t xml:space="preserve"> rafforza il proposito di mantenere</w:t>
      </w:r>
      <w:r w:rsidRPr="007F7EBF">
        <w:rPr>
          <w:sz w:val="22"/>
          <w:szCs w:val="22"/>
        </w:rPr>
        <w:t xml:space="preserve"> il controllo personal-familiar</w:t>
      </w:r>
      <w:r w:rsidR="00E4471F">
        <w:rPr>
          <w:sz w:val="22"/>
          <w:szCs w:val="22"/>
        </w:rPr>
        <w:t xml:space="preserve">e </w:t>
      </w:r>
      <w:r>
        <w:rPr>
          <w:sz w:val="22"/>
          <w:szCs w:val="22"/>
        </w:rPr>
        <w:t xml:space="preserve"> (</w:t>
      </w:r>
      <w:r>
        <w:rPr>
          <w:rStyle w:val="Rimandonotaapidipagina"/>
          <w:sz w:val="22"/>
          <w:szCs w:val="22"/>
        </w:rPr>
        <w:footnoteReference w:id="708"/>
      </w:r>
      <w:r>
        <w:rPr>
          <w:sz w:val="22"/>
          <w:szCs w:val="22"/>
        </w:rPr>
        <w:t xml:space="preserve">). </w:t>
      </w:r>
    </w:p>
    <w:p w14:paraId="59ED40EC" w14:textId="76B4F372" w:rsidR="006C524B" w:rsidRPr="007F7EBF" w:rsidRDefault="00E4471F" w:rsidP="00576D87">
      <w:pPr>
        <w:autoSpaceDE w:val="0"/>
        <w:autoSpaceDN w:val="0"/>
        <w:adjustRightInd w:val="0"/>
        <w:rPr>
          <w:sz w:val="22"/>
          <w:szCs w:val="22"/>
        </w:rPr>
      </w:pPr>
      <w:r>
        <w:rPr>
          <w:sz w:val="22"/>
          <w:szCs w:val="22"/>
        </w:rPr>
        <w:t xml:space="preserve">Le multinazionali estere </w:t>
      </w:r>
      <w:r w:rsidR="006C524B">
        <w:rPr>
          <w:sz w:val="22"/>
          <w:szCs w:val="22"/>
        </w:rPr>
        <w:t xml:space="preserve">in genere </w:t>
      </w:r>
      <w:r w:rsidR="006C524B" w:rsidRPr="007F7EBF">
        <w:rPr>
          <w:sz w:val="22"/>
          <w:szCs w:val="22"/>
        </w:rPr>
        <w:t xml:space="preserve">aziende </w:t>
      </w:r>
      <w:r w:rsidR="006C524B">
        <w:rPr>
          <w:sz w:val="22"/>
          <w:szCs w:val="22"/>
        </w:rPr>
        <w:t>già con proprietà diffusa o molto “</w:t>
      </w:r>
      <w:proofErr w:type="spellStart"/>
      <w:r w:rsidR="006C524B">
        <w:rPr>
          <w:sz w:val="22"/>
          <w:szCs w:val="22"/>
        </w:rPr>
        <w:t>managerializzate</w:t>
      </w:r>
      <w:proofErr w:type="spellEnd"/>
      <w:r w:rsidR="006C524B">
        <w:rPr>
          <w:sz w:val="22"/>
          <w:szCs w:val="22"/>
        </w:rPr>
        <w:t>”</w:t>
      </w:r>
      <w:r>
        <w:rPr>
          <w:sz w:val="22"/>
          <w:szCs w:val="22"/>
        </w:rPr>
        <w:t xml:space="preserve">, sono </w:t>
      </w:r>
      <w:r w:rsidR="006C524B" w:rsidRPr="007F7EBF">
        <w:rPr>
          <w:sz w:val="22"/>
          <w:szCs w:val="22"/>
        </w:rPr>
        <w:t>abituate ad interagire co</w:t>
      </w:r>
      <w:r w:rsidR="006C524B">
        <w:rPr>
          <w:sz w:val="22"/>
          <w:szCs w:val="22"/>
        </w:rPr>
        <w:t xml:space="preserve">i più </w:t>
      </w:r>
      <w:r w:rsidR="006C524B">
        <w:rPr>
          <w:sz w:val="22"/>
          <w:szCs w:val="22"/>
        </w:rPr>
        <w:lastRenderedPageBreak/>
        <w:t>responsabilizzati uffici tributari</w:t>
      </w:r>
      <w:r w:rsidR="006C524B" w:rsidRPr="007F7EBF">
        <w:rPr>
          <w:sz w:val="22"/>
          <w:szCs w:val="22"/>
        </w:rPr>
        <w:t xml:space="preserve"> </w:t>
      </w:r>
      <w:r w:rsidR="006C524B">
        <w:rPr>
          <w:sz w:val="22"/>
          <w:szCs w:val="22"/>
        </w:rPr>
        <w:t>del proprio paese,</w:t>
      </w:r>
      <w:r w:rsidR="006C524B" w:rsidRPr="007F7EBF">
        <w:rPr>
          <w:sz w:val="22"/>
          <w:szCs w:val="22"/>
        </w:rPr>
        <w:t xml:space="preserve"> </w:t>
      </w:r>
      <w:r>
        <w:rPr>
          <w:sz w:val="22"/>
          <w:szCs w:val="22"/>
        </w:rPr>
        <w:t>e restano stupite davanti agli inutili bizantinismi del</w:t>
      </w:r>
      <w:r w:rsidR="006C524B" w:rsidRPr="007F7EBF">
        <w:rPr>
          <w:sz w:val="22"/>
          <w:szCs w:val="22"/>
        </w:rPr>
        <w:t xml:space="preserve">le contestazioni interpretative; </w:t>
      </w:r>
      <w:r w:rsidR="006C524B">
        <w:rPr>
          <w:sz w:val="22"/>
          <w:szCs w:val="22"/>
        </w:rPr>
        <w:t xml:space="preserve">i relativi contenziosi, con gli esiti deludenti di cui al par.6.10, </w:t>
      </w:r>
      <w:r>
        <w:rPr>
          <w:sz w:val="22"/>
          <w:szCs w:val="22"/>
        </w:rPr>
        <w:t xml:space="preserve">contribuiscono a far loro </w:t>
      </w:r>
      <w:r w:rsidR="006C524B">
        <w:rPr>
          <w:sz w:val="22"/>
          <w:szCs w:val="22"/>
        </w:rPr>
        <w:t xml:space="preserve">considerare l’Italia ben poco amichevole per le aziende, </w:t>
      </w:r>
      <w:r>
        <w:rPr>
          <w:sz w:val="22"/>
          <w:szCs w:val="22"/>
        </w:rPr>
        <w:t xml:space="preserve">senza </w:t>
      </w:r>
      <w:r w:rsidR="006C524B">
        <w:rPr>
          <w:sz w:val="22"/>
          <w:szCs w:val="22"/>
        </w:rPr>
        <w:t xml:space="preserve">“giudici a Berlino”. Per fortuna le </w:t>
      </w:r>
      <w:r>
        <w:rPr>
          <w:sz w:val="22"/>
          <w:szCs w:val="22"/>
        </w:rPr>
        <w:t>aziende</w:t>
      </w:r>
      <w:r w:rsidR="006C524B">
        <w:rPr>
          <w:sz w:val="22"/>
          <w:szCs w:val="22"/>
        </w:rPr>
        <w:t xml:space="preserve"> non provano sentimenti umani come l’esasperazione, concentran</w:t>
      </w:r>
      <w:r>
        <w:rPr>
          <w:sz w:val="22"/>
          <w:szCs w:val="22"/>
        </w:rPr>
        <w:t xml:space="preserve">dosi </w:t>
      </w:r>
      <w:r w:rsidR="006C524B">
        <w:rPr>
          <w:sz w:val="22"/>
          <w:szCs w:val="22"/>
        </w:rPr>
        <w:t>sul prodotto, sul mercato, e quindi istintivamente sopportan</w:t>
      </w:r>
      <w:r>
        <w:rPr>
          <w:sz w:val="22"/>
          <w:szCs w:val="22"/>
        </w:rPr>
        <w:t>d</w:t>
      </w:r>
      <w:r w:rsidR="006C524B">
        <w:rPr>
          <w:sz w:val="22"/>
          <w:szCs w:val="22"/>
        </w:rPr>
        <w:t xml:space="preserve">o questo clima </w:t>
      </w:r>
      <w:proofErr w:type="spellStart"/>
      <w:r w:rsidR="006C524B">
        <w:rPr>
          <w:sz w:val="22"/>
          <w:szCs w:val="22"/>
        </w:rPr>
        <w:t>antiaziendale</w:t>
      </w:r>
      <w:proofErr w:type="spellEnd"/>
      <w:r w:rsidR="006C524B" w:rsidRPr="000C7CC7">
        <w:t xml:space="preserve"> </w:t>
      </w:r>
      <w:r w:rsidR="006C524B">
        <w:t>(</w:t>
      </w:r>
      <w:r w:rsidR="006C524B">
        <w:rPr>
          <w:rStyle w:val="Rimandonotaapidipagina"/>
        </w:rPr>
        <w:footnoteReference w:id="709"/>
      </w:r>
      <w:r w:rsidR="006C524B">
        <w:t>).</w:t>
      </w:r>
      <w:r w:rsidR="006C524B" w:rsidRPr="007F7EBF">
        <w:t xml:space="preserve"> </w:t>
      </w:r>
      <w:r>
        <w:t>Q</w:t>
      </w:r>
      <w:r w:rsidR="006C524B">
        <w:t>uando</w:t>
      </w:r>
      <w:r>
        <w:t xml:space="preserve"> però</w:t>
      </w:r>
      <w:r w:rsidR="006C524B">
        <w:t xml:space="preserve">, </w:t>
      </w:r>
      <w:r w:rsidR="006C524B">
        <w:rPr>
          <w:sz w:val="22"/>
          <w:szCs w:val="22"/>
        </w:rPr>
        <w:t xml:space="preserve">per ragioni gestionali, l’azienda valuta se ampliare o ridimensionare </w:t>
      </w:r>
      <w:r>
        <w:rPr>
          <w:sz w:val="22"/>
          <w:szCs w:val="22"/>
        </w:rPr>
        <w:t>la</w:t>
      </w:r>
      <w:r w:rsidR="006C524B">
        <w:rPr>
          <w:sz w:val="22"/>
          <w:szCs w:val="22"/>
        </w:rPr>
        <w:t xml:space="preserve"> su</w:t>
      </w:r>
      <w:r>
        <w:rPr>
          <w:sz w:val="22"/>
          <w:szCs w:val="22"/>
        </w:rPr>
        <w:t xml:space="preserve">a presenza </w:t>
      </w:r>
      <w:r w:rsidR="006C524B" w:rsidRPr="007F7EBF">
        <w:rPr>
          <w:sz w:val="22"/>
          <w:szCs w:val="22"/>
        </w:rPr>
        <w:t>in Italia</w:t>
      </w:r>
      <w:r>
        <w:rPr>
          <w:sz w:val="22"/>
          <w:szCs w:val="22"/>
        </w:rPr>
        <w:t xml:space="preserve"> (</w:t>
      </w:r>
      <w:r>
        <w:rPr>
          <w:rStyle w:val="Rimandonotaapidipagina"/>
          <w:sz w:val="22"/>
          <w:szCs w:val="22"/>
        </w:rPr>
        <w:footnoteReference w:id="710"/>
      </w:r>
      <w:r>
        <w:rPr>
          <w:sz w:val="22"/>
          <w:szCs w:val="22"/>
        </w:rPr>
        <w:t>)</w:t>
      </w:r>
      <w:r w:rsidR="006C524B">
        <w:rPr>
          <w:sz w:val="22"/>
          <w:szCs w:val="22"/>
        </w:rPr>
        <w:t>,</w:t>
      </w:r>
      <w:r w:rsidR="00576D87">
        <w:rPr>
          <w:sz w:val="22"/>
          <w:szCs w:val="22"/>
        </w:rPr>
        <w:t xml:space="preserve"> </w:t>
      </w:r>
      <w:r w:rsidR="006C524B">
        <w:t>i rilievi suddetti contribuiscono a dissuadere</w:t>
      </w:r>
      <w:r w:rsidR="00576D87">
        <w:t xml:space="preserve"> gli ambienti delle aziende multinazionali </w:t>
      </w:r>
      <w:r w:rsidR="006C524B" w:rsidRPr="00576D87">
        <w:t>dall’avere a che fare con</w:t>
      </w:r>
      <w:r w:rsidR="006C524B" w:rsidRPr="007F7EBF">
        <w:rPr>
          <w:i/>
        </w:rPr>
        <w:t xml:space="preserve"> </w:t>
      </w:r>
      <w:r w:rsidR="00576D87" w:rsidRPr="00576D87">
        <w:rPr>
          <w:i/>
        </w:rPr>
        <w:t>un paese di matti</w:t>
      </w:r>
      <w:r w:rsidR="00576D87">
        <w:t xml:space="preserve"> nei rapporti con gli uffici pubblici, ma </w:t>
      </w:r>
      <w:r w:rsidR="00576D87">
        <w:rPr>
          <w:i/>
        </w:rPr>
        <w:t>buono s</w:t>
      </w:r>
      <w:r w:rsidR="006C524B" w:rsidRPr="007F7EBF">
        <w:rPr>
          <w:i/>
        </w:rPr>
        <w:t>olo per le vacanz</w:t>
      </w:r>
      <w:r w:rsidR="00576D87">
        <w:rPr>
          <w:i/>
        </w:rPr>
        <w:t>e</w:t>
      </w:r>
      <w:r w:rsidR="006C524B">
        <w:t xml:space="preserve">.  </w:t>
      </w:r>
    </w:p>
    <w:p w14:paraId="7DE0753F" w14:textId="6BC28344" w:rsidR="006C524B" w:rsidRPr="007F7EBF" w:rsidRDefault="004C33AA" w:rsidP="006C524B">
      <w:pPr>
        <w:pStyle w:val="tit23"/>
        <w:ind w:left="6464" w:right="-1361" w:firstLine="0"/>
        <w:jc w:val="left"/>
        <w:rPr>
          <w:bCs/>
          <w:i/>
          <w:iCs/>
          <w:color w:val="0000FF"/>
          <w:lang w:val="it-IT"/>
        </w:rPr>
      </w:pPr>
      <w:r>
        <w:rPr>
          <w:bCs/>
          <w:i/>
          <w:iCs/>
          <w:color w:val="0000FF"/>
          <w:lang w:val="it-IT"/>
        </w:rPr>
        <w:t>Inadeguatezza delle reazioni delle aziende</w:t>
      </w:r>
    </w:p>
    <w:p w14:paraId="16EC4C6F" w14:textId="7F204AA4" w:rsidR="00576D87" w:rsidRPr="007F7EBF" w:rsidRDefault="00720E0F" w:rsidP="00576D87">
      <w:pPr>
        <w:autoSpaceDE w:val="0"/>
        <w:autoSpaceDN w:val="0"/>
        <w:adjustRightInd w:val="0"/>
        <w:rPr>
          <w:sz w:val="22"/>
          <w:szCs w:val="22"/>
        </w:rPr>
      </w:pPr>
      <w:proofErr w:type="spellStart"/>
      <w:r>
        <w:rPr>
          <w:bCs/>
        </w:rPr>
        <w:t>Benchè</w:t>
      </w:r>
      <w:proofErr w:type="spellEnd"/>
      <w:r>
        <w:rPr>
          <w:bCs/>
        </w:rPr>
        <w:t xml:space="preserve"> infastidite dalla tendenza in esame, le aziende, </w:t>
      </w:r>
      <w:r w:rsidRPr="007F7EBF">
        <w:rPr>
          <w:sz w:val="22"/>
          <w:szCs w:val="22"/>
        </w:rPr>
        <w:t>come organizzazion</w:t>
      </w:r>
      <w:r>
        <w:rPr>
          <w:sz w:val="22"/>
          <w:szCs w:val="22"/>
        </w:rPr>
        <w:t xml:space="preserve">i </w:t>
      </w:r>
      <w:r w:rsidRPr="007F7EBF">
        <w:rPr>
          <w:sz w:val="22"/>
          <w:szCs w:val="22"/>
        </w:rPr>
        <w:t>pluripersonal</w:t>
      </w:r>
      <w:r>
        <w:rPr>
          <w:sz w:val="22"/>
          <w:szCs w:val="22"/>
        </w:rPr>
        <w:t>i</w:t>
      </w:r>
      <w:r w:rsidR="009F1157">
        <w:rPr>
          <w:sz w:val="22"/>
          <w:szCs w:val="22"/>
        </w:rPr>
        <w:t xml:space="preserve"> a matrice economica, tenuti insieme dal prodotto (par.4.4), sono inadeguate a fornire spiegazioni scientifico sociali, persino sull’idea di azienda e sulla determinazione degli imponibili attraverso le aziende. Le aziende forniscono beni e servizi ai clienti, non spiegazioni all’opinione pubblica, anche sul tema dell’evasione fiscale e dei controlli degli uffici </w:t>
      </w:r>
      <w:r>
        <w:t>(</w:t>
      </w:r>
      <w:r w:rsidRPr="007F7EBF">
        <w:rPr>
          <w:rStyle w:val="Rimandonotaapidipagina"/>
          <w:bCs/>
          <w:sz w:val="22"/>
          <w:szCs w:val="22"/>
        </w:rPr>
        <w:footnoteReference w:id="711"/>
      </w:r>
      <w:r>
        <w:t>)</w:t>
      </w:r>
      <w:r w:rsidR="00E539B9">
        <w:rPr>
          <w:bCs/>
          <w:sz w:val="22"/>
          <w:szCs w:val="22"/>
        </w:rPr>
        <w:t xml:space="preserve">; </w:t>
      </w:r>
      <w:r w:rsidR="009F1157">
        <w:rPr>
          <w:bCs/>
          <w:sz w:val="22"/>
          <w:szCs w:val="22"/>
        </w:rPr>
        <w:t>per questo i loro tentativi di sensibilizzare la politica sulle contestazioni interpretative sono</w:t>
      </w:r>
      <w:r w:rsidR="00E539B9" w:rsidRPr="00FA3D3E">
        <w:rPr>
          <w:bCs/>
          <w:sz w:val="22"/>
          <w:szCs w:val="22"/>
        </w:rPr>
        <w:t xml:space="preserve"> destinat</w:t>
      </w:r>
      <w:r w:rsidR="009F1157">
        <w:rPr>
          <w:bCs/>
          <w:sz w:val="22"/>
          <w:szCs w:val="22"/>
        </w:rPr>
        <w:t>i</w:t>
      </w:r>
      <w:r w:rsidR="00E539B9" w:rsidRPr="00FA3D3E">
        <w:rPr>
          <w:bCs/>
          <w:sz w:val="22"/>
          <w:szCs w:val="22"/>
        </w:rPr>
        <w:t xml:space="preserve"> </w:t>
      </w:r>
      <w:r w:rsidRPr="00FA3D3E">
        <w:rPr>
          <w:bCs/>
          <w:sz w:val="22"/>
          <w:szCs w:val="22"/>
        </w:rPr>
        <w:t>all'insuccesso</w:t>
      </w:r>
      <w:r w:rsidR="009F1157">
        <w:rPr>
          <w:bCs/>
          <w:sz w:val="22"/>
          <w:szCs w:val="22"/>
        </w:rPr>
        <w:t xml:space="preserve">, anche perché tendono a dilungarsi sugli aspetti tecnici dei rilievi, senza capire i motivi </w:t>
      </w:r>
      <w:r w:rsidR="009F2047">
        <w:rPr>
          <w:bCs/>
          <w:sz w:val="22"/>
          <w:szCs w:val="22"/>
        </w:rPr>
        <w:t>politico sociali da cui derivano e come i</w:t>
      </w:r>
      <w:r w:rsidRPr="00FA3D3E">
        <w:rPr>
          <w:bCs/>
          <w:sz w:val="22"/>
          <w:szCs w:val="22"/>
        </w:rPr>
        <w:t>l malessere</w:t>
      </w:r>
      <w:r w:rsidR="00FA3D3E" w:rsidRPr="00FA3D3E">
        <w:rPr>
          <w:bCs/>
          <w:sz w:val="22"/>
          <w:szCs w:val="22"/>
        </w:rPr>
        <w:t xml:space="preserve"> dell’opinione pubblica </w:t>
      </w:r>
      <w:r w:rsidR="009F2047">
        <w:rPr>
          <w:bCs/>
          <w:sz w:val="22"/>
          <w:szCs w:val="22"/>
        </w:rPr>
        <w:t xml:space="preserve"> sulla funzione tributaria si sfoghi sulle organizzazioni aziendali, come indicato </w:t>
      </w:r>
      <w:r w:rsidRPr="00FA3D3E">
        <w:rPr>
          <w:bCs/>
          <w:sz w:val="22"/>
          <w:szCs w:val="22"/>
        </w:rPr>
        <w:t>al par.5.17 .</w:t>
      </w:r>
      <w:r w:rsidR="00EC7143" w:rsidRPr="007F7EBF">
        <w:rPr>
          <w:sz w:val="22"/>
          <w:szCs w:val="22"/>
        </w:rPr>
        <w:t xml:space="preserve"> </w:t>
      </w:r>
    </w:p>
    <w:p w14:paraId="023D0715" w14:textId="77777777" w:rsidR="00576D87" w:rsidRPr="007F7EBF" w:rsidRDefault="00576D87" w:rsidP="00576D87">
      <w:pPr>
        <w:pStyle w:val="tit23"/>
        <w:ind w:left="6464" w:right="-1361" w:firstLine="0"/>
        <w:jc w:val="left"/>
        <w:rPr>
          <w:bCs/>
          <w:i/>
          <w:iCs/>
          <w:color w:val="0000FF"/>
          <w:lang w:val="it-IT"/>
        </w:rPr>
      </w:pPr>
      <w:r>
        <w:rPr>
          <w:bCs/>
          <w:i/>
          <w:iCs/>
          <w:color w:val="0000FF"/>
          <w:lang w:val="it-IT"/>
        </w:rPr>
        <w:t>Schizofrenica alternanza di agevolazioni</w:t>
      </w:r>
      <w:r w:rsidRPr="00E75B1C">
        <w:rPr>
          <w:bCs/>
          <w:i/>
          <w:iCs/>
          <w:color w:val="0000FF"/>
          <w:lang w:val="it-IT"/>
        </w:rPr>
        <w:t xml:space="preserve"> </w:t>
      </w:r>
      <w:r>
        <w:rPr>
          <w:bCs/>
          <w:i/>
          <w:iCs/>
          <w:color w:val="0000FF"/>
          <w:lang w:val="it-IT"/>
        </w:rPr>
        <w:t>e vessazioni</w:t>
      </w:r>
    </w:p>
    <w:p w14:paraId="7A45726A" w14:textId="495835B6" w:rsidR="00576D87" w:rsidRPr="007F7EBF" w:rsidRDefault="00EA1EF3" w:rsidP="00576D87">
      <w:pPr>
        <w:autoSpaceDE w:val="0"/>
        <w:autoSpaceDN w:val="0"/>
        <w:adjustRightInd w:val="0"/>
        <w:rPr>
          <w:sz w:val="22"/>
          <w:szCs w:val="22"/>
        </w:rPr>
      </w:pPr>
      <w:r>
        <w:rPr>
          <w:sz w:val="22"/>
          <w:szCs w:val="22"/>
        </w:rPr>
        <w:lastRenderedPageBreak/>
        <w:t xml:space="preserve">Anche l’atteggiamento verso le aziende sulla funzione tributaria riflette l’atteggiamento generale della pubblica opinione verso le aziende, cioè la mancata comprensione della loro natura di gruppi sociali, di cui al par.3.1 </w:t>
      </w:r>
      <w:proofErr w:type="spellStart"/>
      <w:r>
        <w:rPr>
          <w:sz w:val="22"/>
          <w:szCs w:val="22"/>
        </w:rPr>
        <w:t>ss</w:t>
      </w:r>
      <w:proofErr w:type="spellEnd"/>
      <w:r>
        <w:rPr>
          <w:sz w:val="22"/>
          <w:szCs w:val="22"/>
        </w:rPr>
        <w:t xml:space="preserve">, e la confusione con l’imprenditore come “proprietà aziendale”. Ignorando cosa sono in realtà le aziende, le si trattano come esseri senzienti, come fossero piccoli commercianti troppo cresciuti, nell’equivoco dei “grandi evasori”, oppure </w:t>
      </w:r>
      <w:r w:rsidR="006E49E2">
        <w:rPr>
          <w:sz w:val="22"/>
          <w:szCs w:val="22"/>
        </w:rPr>
        <w:t>all’opposto, come</w:t>
      </w:r>
      <w:r>
        <w:rPr>
          <w:sz w:val="22"/>
          <w:szCs w:val="22"/>
        </w:rPr>
        <w:t xml:space="preserve"> se fossero </w:t>
      </w:r>
      <w:r w:rsidR="006E49E2">
        <w:rPr>
          <w:sz w:val="22"/>
          <w:szCs w:val="22"/>
        </w:rPr>
        <w:t xml:space="preserve">“persone datrici </w:t>
      </w:r>
      <w:r>
        <w:rPr>
          <w:sz w:val="22"/>
          <w:szCs w:val="22"/>
        </w:rPr>
        <w:t xml:space="preserve">di </w:t>
      </w:r>
      <w:r w:rsidR="006E49E2">
        <w:rPr>
          <w:sz w:val="22"/>
          <w:szCs w:val="22"/>
        </w:rPr>
        <w:t xml:space="preserve">lavoro”. Quindi da una parte si sospettano le aziende delle evasioni commesse dalle persone, dall’altra si cerca di blandirle, come fossero persone, con costosi incentivi </w:t>
      </w:r>
      <w:r w:rsidR="00576D87">
        <w:rPr>
          <w:sz w:val="22"/>
          <w:szCs w:val="22"/>
        </w:rPr>
        <w:t xml:space="preserve">per una fantomatica </w:t>
      </w:r>
      <w:r w:rsidR="00576D87" w:rsidRPr="007F7EBF">
        <w:rPr>
          <w:sz w:val="22"/>
          <w:szCs w:val="22"/>
        </w:rPr>
        <w:t>"crescita"</w:t>
      </w:r>
      <w:r w:rsidR="00576D87" w:rsidRPr="00C1490C">
        <w:t xml:space="preserve"> </w:t>
      </w:r>
      <w:r w:rsidR="00576D87">
        <w:t>(</w:t>
      </w:r>
      <w:r w:rsidR="00576D87">
        <w:rPr>
          <w:rStyle w:val="Rimandonotaapidipagina"/>
        </w:rPr>
        <w:footnoteReference w:id="712"/>
      </w:r>
      <w:r w:rsidR="00576D87">
        <w:t>)</w:t>
      </w:r>
      <w:r w:rsidR="006E49E2">
        <w:rPr>
          <w:sz w:val="22"/>
          <w:szCs w:val="22"/>
        </w:rPr>
        <w:t xml:space="preserve">. Il tutto senza accorgersi che la migliore agevolazione è trattare le </w:t>
      </w:r>
      <w:r w:rsidR="00576D87">
        <w:rPr>
          <w:sz w:val="22"/>
          <w:szCs w:val="22"/>
        </w:rPr>
        <w:t xml:space="preserve">aziende </w:t>
      </w:r>
      <w:r w:rsidR="006E49E2">
        <w:rPr>
          <w:sz w:val="22"/>
          <w:szCs w:val="22"/>
        </w:rPr>
        <w:t>per quello che sono, cioè</w:t>
      </w:r>
      <w:r w:rsidR="00576D87">
        <w:rPr>
          <w:sz w:val="22"/>
          <w:szCs w:val="22"/>
        </w:rPr>
        <w:t xml:space="preserve"> gruppi sociali</w:t>
      </w:r>
      <w:r w:rsidR="006E49E2">
        <w:rPr>
          <w:sz w:val="22"/>
          <w:szCs w:val="22"/>
        </w:rPr>
        <w:t xml:space="preserve"> a vocazione produttiva; questi ultimi, a forza di essere trattati </w:t>
      </w:r>
      <w:r w:rsidR="00576D87">
        <w:rPr>
          <w:sz w:val="22"/>
          <w:szCs w:val="22"/>
        </w:rPr>
        <w:t>anziché bottegai troppo cresciuti</w:t>
      </w:r>
      <w:r w:rsidR="006E49E2">
        <w:rPr>
          <w:sz w:val="22"/>
          <w:szCs w:val="22"/>
        </w:rPr>
        <w:t>, con</w:t>
      </w:r>
      <w:r w:rsidR="00576D87">
        <w:rPr>
          <w:sz w:val="22"/>
          <w:szCs w:val="22"/>
        </w:rPr>
        <w:t xml:space="preserve"> intrecci di agevolazioni e di capziose contestazioni</w:t>
      </w:r>
      <w:r w:rsidR="006E49E2">
        <w:rPr>
          <w:sz w:val="22"/>
          <w:szCs w:val="22"/>
        </w:rPr>
        <w:t xml:space="preserve"> (</w:t>
      </w:r>
      <w:r w:rsidR="006E49E2">
        <w:rPr>
          <w:rStyle w:val="Rimandonotaapidipagina"/>
          <w:sz w:val="22"/>
          <w:szCs w:val="22"/>
        </w:rPr>
        <w:footnoteReference w:id="713"/>
      </w:r>
      <w:r w:rsidR="006E49E2">
        <w:rPr>
          <w:sz w:val="22"/>
          <w:szCs w:val="22"/>
        </w:rPr>
        <w:t>)</w:t>
      </w:r>
      <w:r w:rsidR="00576D87">
        <w:rPr>
          <w:sz w:val="22"/>
          <w:szCs w:val="22"/>
        </w:rPr>
        <w:t>,</w:t>
      </w:r>
      <w:r w:rsidR="006E49E2">
        <w:rPr>
          <w:sz w:val="22"/>
          <w:szCs w:val="22"/>
        </w:rPr>
        <w:t xml:space="preserve"> si destabilizzano. </w:t>
      </w:r>
      <w:r w:rsidR="00576D87">
        <w:rPr>
          <w:sz w:val="22"/>
          <w:szCs w:val="22"/>
        </w:rPr>
        <w:t xml:space="preserve">un riconoscimento di ruolo sociale è invece una condizione necessaria, anche se non sufficiente, perché le aziende non si disgreghino. </w:t>
      </w:r>
    </w:p>
    <w:p w14:paraId="4A2507F3" w14:textId="0FE0831A" w:rsidR="00131876" w:rsidRDefault="00E06F65" w:rsidP="00131876">
      <w:pPr>
        <w:rPr>
          <w:sz w:val="22"/>
          <w:szCs w:val="22"/>
        </w:rPr>
      </w:pPr>
      <w:r>
        <w:rPr>
          <w:sz w:val="22"/>
          <w:szCs w:val="22"/>
        </w:rPr>
        <w:t>I</w:t>
      </w:r>
      <w:r w:rsidR="00815BEA">
        <w:rPr>
          <w:sz w:val="22"/>
          <w:szCs w:val="22"/>
        </w:rPr>
        <w:t xml:space="preserve">l vero “fisco per lo sviluppo” spinge all’aggregazione produttiva semplicemente valutando le aziende per quello che sono, </w:t>
      </w:r>
      <w:r w:rsidR="00131876">
        <w:rPr>
          <w:sz w:val="22"/>
          <w:szCs w:val="22"/>
        </w:rPr>
        <w:t xml:space="preserve">utilizzando il loro contributo  per la </w:t>
      </w:r>
      <w:r w:rsidR="00815BEA">
        <w:rPr>
          <w:sz w:val="22"/>
          <w:szCs w:val="22"/>
        </w:rPr>
        <w:t>determinazione degli imponibili, e svolgendola al meglio (come indicato al par.5.7), dove esse non arrivano</w:t>
      </w:r>
      <w:r w:rsidR="00131876">
        <w:rPr>
          <w:sz w:val="22"/>
          <w:szCs w:val="22"/>
        </w:rPr>
        <w:t xml:space="preserve">, </w:t>
      </w:r>
    </w:p>
    <w:p w14:paraId="4444ECC2" w14:textId="3740EA96" w:rsidR="00783907" w:rsidRPr="00E41200" w:rsidRDefault="00163C47" w:rsidP="00783907">
      <w:pPr>
        <w:autoSpaceDE w:val="0"/>
        <w:autoSpaceDN w:val="0"/>
        <w:adjustRightInd w:val="0"/>
      </w:pPr>
      <w:r>
        <w:rPr>
          <w:sz w:val="22"/>
          <w:szCs w:val="22"/>
        </w:rPr>
        <w:t xml:space="preserve">con la consueta </w:t>
      </w:r>
      <w:r w:rsidR="00E06F65">
        <w:rPr>
          <w:sz w:val="22"/>
          <w:szCs w:val="22"/>
        </w:rPr>
        <w:t xml:space="preserve">valutazione per ordine di grandezza </w:t>
      </w:r>
      <w:r w:rsidR="00131876">
        <w:rPr>
          <w:sz w:val="22"/>
          <w:szCs w:val="22"/>
        </w:rPr>
        <w:t xml:space="preserve">svolta dagli uffici tributi. </w:t>
      </w:r>
    </w:p>
    <w:p w14:paraId="233BB954" w14:textId="77777777" w:rsidR="00783907" w:rsidRPr="00E41200" w:rsidRDefault="00783907" w:rsidP="00783907">
      <w:pPr>
        <w:pStyle w:val="tit23"/>
        <w:ind w:left="6464" w:right="-1361" w:firstLine="0"/>
        <w:jc w:val="left"/>
        <w:rPr>
          <w:bCs/>
          <w:i/>
          <w:iCs/>
          <w:color w:val="0000FF"/>
          <w:lang w:val="it-IT"/>
        </w:rPr>
      </w:pPr>
      <w:r w:rsidRPr="00E41200">
        <w:rPr>
          <w:bCs/>
          <w:i/>
          <w:iCs/>
          <w:color w:val="0000FF"/>
          <w:lang w:val="it-IT"/>
        </w:rPr>
        <w:t>il fumoso controllo interno del rischio fiscale</w:t>
      </w:r>
    </w:p>
    <w:p w14:paraId="7CCE66A6" w14:textId="55A81D1D" w:rsidR="00783907" w:rsidRPr="007F7EBF" w:rsidRDefault="00131876" w:rsidP="00625A62">
      <w:pPr>
        <w:autoSpaceDE w:val="0"/>
        <w:autoSpaceDN w:val="0"/>
        <w:adjustRightInd w:val="0"/>
        <w:rPr>
          <w:sz w:val="22"/>
          <w:szCs w:val="22"/>
        </w:rPr>
      </w:pPr>
      <w:r w:rsidRPr="00E41200">
        <w:rPr>
          <w:bCs/>
          <w:sz w:val="22"/>
          <w:szCs w:val="22"/>
        </w:rPr>
        <w:t xml:space="preserve">Invece </w:t>
      </w:r>
      <w:r w:rsidR="00382E5D" w:rsidRPr="00E41200">
        <w:rPr>
          <w:bCs/>
          <w:sz w:val="22"/>
          <w:szCs w:val="22"/>
        </w:rPr>
        <w:t>a</w:t>
      </w:r>
      <w:r w:rsidRPr="00E41200">
        <w:rPr>
          <w:bCs/>
          <w:sz w:val="22"/>
          <w:szCs w:val="22"/>
        </w:rPr>
        <w:t xml:space="preserve">i malumori indotti </w:t>
      </w:r>
      <w:r w:rsidR="002616F3" w:rsidRPr="00E41200">
        <w:rPr>
          <w:bCs/>
          <w:sz w:val="22"/>
          <w:szCs w:val="22"/>
        </w:rPr>
        <w:t>dalle contestazioni interpretative, non inser</w:t>
      </w:r>
      <w:r w:rsidR="00382E5D" w:rsidRPr="00E41200">
        <w:rPr>
          <w:bCs/>
          <w:sz w:val="22"/>
          <w:szCs w:val="22"/>
        </w:rPr>
        <w:t>iti</w:t>
      </w:r>
      <w:r w:rsidR="002616F3" w:rsidRPr="00E41200">
        <w:rPr>
          <w:bCs/>
          <w:sz w:val="22"/>
          <w:szCs w:val="22"/>
        </w:rPr>
        <w:t xml:space="preserve"> in una cornice scientifico sociale della funzione </w:t>
      </w:r>
      <w:r w:rsidR="002616F3" w:rsidRPr="00625A62">
        <w:rPr>
          <w:bCs/>
          <w:sz w:val="22"/>
          <w:szCs w:val="22"/>
        </w:rPr>
        <w:t xml:space="preserve">tributaria, </w:t>
      </w:r>
      <w:r w:rsidR="00382E5D" w:rsidRPr="00625A62">
        <w:rPr>
          <w:bCs/>
          <w:sz w:val="22"/>
          <w:szCs w:val="22"/>
        </w:rPr>
        <w:t>è</w:t>
      </w:r>
      <w:r w:rsidR="002616F3" w:rsidRPr="00625A62">
        <w:rPr>
          <w:bCs/>
          <w:sz w:val="22"/>
          <w:szCs w:val="22"/>
        </w:rPr>
        <w:t xml:space="preserve"> stat</w:t>
      </w:r>
      <w:r w:rsidR="00382E5D" w:rsidRPr="00625A62">
        <w:rPr>
          <w:bCs/>
          <w:sz w:val="22"/>
          <w:szCs w:val="22"/>
        </w:rPr>
        <w:t xml:space="preserve">o dato ascolto politico </w:t>
      </w:r>
      <w:r w:rsidR="00E41200" w:rsidRPr="00625A62">
        <w:rPr>
          <w:bCs/>
          <w:sz w:val="22"/>
          <w:szCs w:val="22"/>
        </w:rPr>
        <w:t xml:space="preserve">senza smentire </w:t>
      </w:r>
      <w:r w:rsidR="002616F3" w:rsidRPr="00625A62">
        <w:rPr>
          <w:bCs/>
          <w:sz w:val="22"/>
          <w:szCs w:val="22"/>
        </w:rPr>
        <w:t>la narrazione secondo cui le aziende sarebbero “i grandi evasori”</w:t>
      </w:r>
      <w:r w:rsidR="00E41200" w:rsidRPr="00625A62">
        <w:rPr>
          <w:bCs/>
          <w:sz w:val="22"/>
          <w:szCs w:val="22"/>
        </w:rPr>
        <w:t xml:space="preserve"> </w:t>
      </w:r>
      <w:r w:rsidR="00625A62" w:rsidRPr="00625A62">
        <w:rPr>
          <w:bCs/>
          <w:sz w:val="22"/>
          <w:szCs w:val="22"/>
        </w:rPr>
        <w:t>(</w:t>
      </w:r>
      <w:r w:rsidR="00625A62" w:rsidRPr="00625A62">
        <w:rPr>
          <w:rStyle w:val="Rimandonotaapidipagina"/>
          <w:bCs/>
          <w:sz w:val="22"/>
          <w:szCs w:val="22"/>
        </w:rPr>
        <w:footnoteReference w:id="714"/>
      </w:r>
      <w:r w:rsidR="00625A62" w:rsidRPr="00625A62">
        <w:rPr>
          <w:bCs/>
          <w:sz w:val="22"/>
          <w:szCs w:val="22"/>
        </w:rPr>
        <w:t xml:space="preserve">) </w:t>
      </w:r>
      <w:r w:rsidR="00E41200" w:rsidRPr="00625A62">
        <w:rPr>
          <w:bCs/>
          <w:sz w:val="22"/>
          <w:szCs w:val="22"/>
        </w:rPr>
        <w:t xml:space="preserve">e valutando gli </w:t>
      </w:r>
      <w:r w:rsidR="00382E5D" w:rsidRPr="00625A62">
        <w:rPr>
          <w:bCs/>
          <w:sz w:val="22"/>
          <w:szCs w:val="22"/>
        </w:rPr>
        <w:t xml:space="preserve">imponibili di lavoratori </w:t>
      </w:r>
      <w:r w:rsidR="00382E5D" w:rsidRPr="00625A62">
        <w:rPr>
          <w:bCs/>
          <w:sz w:val="22"/>
          <w:szCs w:val="22"/>
        </w:rPr>
        <w:lastRenderedPageBreak/>
        <w:t xml:space="preserve">autonomi e piccole organizzazioni. </w:t>
      </w:r>
      <w:r w:rsidR="002616F3" w:rsidRPr="00625A62">
        <w:rPr>
          <w:bCs/>
          <w:sz w:val="22"/>
          <w:szCs w:val="22"/>
        </w:rPr>
        <w:t xml:space="preserve"> </w:t>
      </w:r>
      <w:r w:rsidR="007F59B8" w:rsidRPr="00625A62">
        <w:rPr>
          <w:bCs/>
          <w:sz w:val="22"/>
          <w:szCs w:val="22"/>
        </w:rPr>
        <w:t>Sono nati quindi contort</w:t>
      </w:r>
      <w:r w:rsidR="00783907" w:rsidRPr="00625A62">
        <w:rPr>
          <w:sz w:val="22"/>
          <w:szCs w:val="22"/>
        </w:rPr>
        <w:t>i istituti legislativi come il “controllo del rischio fiscale” nelle aziende, o la “cooperative compliance”</w:t>
      </w:r>
      <w:r w:rsidR="007F59B8" w:rsidRPr="00625A62">
        <w:rPr>
          <w:sz w:val="22"/>
          <w:szCs w:val="22"/>
        </w:rPr>
        <w:t xml:space="preserve">, maldestri tentativi di assecondare un problema politicamente </w:t>
      </w:r>
      <w:r w:rsidR="00625A62" w:rsidRPr="00625A62">
        <w:rPr>
          <w:sz w:val="22"/>
          <w:szCs w:val="22"/>
        </w:rPr>
        <w:t>non di primo piano</w:t>
      </w:r>
      <w:r w:rsidR="007F59B8" w:rsidRPr="00625A62">
        <w:rPr>
          <w:sz w:val="22"/>
          <w:szCs w:val="22"/>
        </w:rPr>
        <w:t xml:space="preserve"> (le lamentele delle aziende “che non votano” né “si spiegano”)</w:t>
      </w:r>
      <w:r w:rsidR="00625A62" w:rsidRPr="00625A62">
        <w:rPr>
          <w:sz w:val="22"/>
          <w:szCs w:val="22"/>
        </w:rPr>
        <w:t xml:space="preserve">; sono disposizioni che </w:t>
      </w:r>
      <w:r w:rsidR="00783907" w:rsidRPr="00625A62">
        <w:rPr>
          <w:sz w:val="22"/>
          <w:szCs w:val="22"/>
        </w:rPr>
        <w:t>confermano</w:t>
      </w:r>
      <w:r w:rsidR="00625A62" w:rsidRPr="00625A62">
        <w:rPr>
          <w:sz w:val="22"/>
          <w:szCs w:val="22"/>
        </w:rPr>
        <w:t xml:space="preserve"> la mancanza di spiegazioni scientifico sociali </w:t>
      </w:r>
      <w:r w:rsidR="00783907" w:rsidRPr="00625A62">
        <w:rPr>
          <w:sz w:val="22"/>
          <w:szCs w:val="22"/>
        </w:rPr>
        <w:t xml:space="preserve">della </w:t>
      </w:r>
      <w:r w:rsidR="00625A62" w:rsidRPr="00625A62">
        <w:rPr>
          <w:sz w:val="22"/>
          <w:szCs w:val="22"/>
        </w:rPr>
        <w:t xml:space="preserve">funzione tributaria </w:t>
      </w:r>
      <w:r w:rsidR="00783907" w:rsidRPr="00625A62">
        <w:rPr>
          <w:sz w:val="22"/>
          <w:szCs w:val="22"/>
        </w:rPr>
        <w:t xml:space="preserve"> opinione e la sua mancanza di spiegazioni sociali su una determinata funzione pubblica, nel nostro caso quella tributaria (</w:t>
      </w:r>
      <w:r w:rsidR="00783907" w:rsidRPr="00625A62">
        <w:rPr>
          <w:rStyle w:val="Rimandonotaapidipagina"/>
          <w:sz w:val="22"/>
          <w:szCs w:val="22"/>
        </w:rPr>
        <w:footnoteReference w:id="715"/>
      </w:r>
      <w:r w:rsidR="00783907" w:rsidRPr="00625A62">
        <w:rPr>
          <w:sz w:val="22"/>
          <w:szCs w:val="22"/>
        </w:rPr>
        <w:t>). In particolare il controllo del “rischio fiscale” si riduce quindi a verifica dell’adozione di interpretazioni legislative corrette, già immanente nelle ordinarie procedure gestionali (</w:t>
      </w:r>
      <w:r w:rsidR="00783907" w:rsidRPr="00625A62">
        <w:rPr>
          <w:rStyle w:val="Rimandonotaapidipagina"/>
          <w:sz w:val="22"/>
          <w:szCs w:val="22"/>
        </w:rPr>
        <w:footnoteReference w:id="716"/>
      </w:r>
      <w:r w:rsidR="00783907" w:rsidRPr="00625A62">
        <w:rPr>
          <w:sz w:val="22"/>
          <w:szCs w:val="22"/>
        </w:rPr>
        <w:t xml:space="preserve">). </w:t>
      </w:r>
      <w:r w:rsidR="00625A62" w:rsidRPr="00625A62">
        <w:t>E</w:t>
      </w:r>
      <w:r w:rsidR="005545AA">
        <w:t>’</w:t>
      </w:r>
      <w:r w:rsidR="00625A62" w:rsidRPr="00625A62">
        <w:t xml:space="preserve"> infatti difficile che in un’organizzazione aziendale si autoproduca una pianificazione fiscale legittima, o un’elusione, all’insaputa del direttore amministrativo, e che questo non la condivida con l’amministratore delegato o altri vertici, se ha per lo meno un minimo di dubbio, per non essere il solo ad averne la responsabilità. Né del resto q</w:t>
      </w:r>
      <w:r w:rsidR="00625A62" w:rsidRPr="00625A62">
        <w:rPr>
          <w:sz w:val="22"/>
          <w:szCs w:val="22"/>
        </w:rPr>
        <w:t>uesto controllo del rischio fiscale può certo riferirsi al possibile scavalcamento delle procedure contabili interne da parte della proprietà (</w:t>
      </w:r>
      <w:r w:rsidR="00625A62" w:rsidRPr="00625A62">
        <w:rPr>
          <w:rStyle w:val="Rimandonotaapidipagina"/>
          <w:sz w:val="22"/>
          <w:szCs w:val="22"/>
        </w:rPr>
        <w:footnoteReference w:id="717"/>
      </w:r>
      <w:r w:rsidR="00625A62" w:rsidRPr="00625A62">
        <w:rPr>
          <w:sz w:val="22"/>
          <w:szCs w:val="22"/>
        </w:rPr>
        <w:t xml:space="preserve">). Se rispetto a tali comportamenti esistono efficienti "contropoteri" all'interno di queste organizzazioni, essi sono già connaturati  alle procedure contabili dell'azienda come gruppo sociale. Se invece si tratta di aziende con forti ingerenze </w:t>
      </w:r>
      <w:r w:rsidR="00625A62" w:rsidRPr="00625A62">
        <w:rPr>
          <w:sz w:val="22"/>
          <w:szCs w:val="22"/>
        </w:rPr>
        <w:lastRenderedPageBreak/>
        <w:t>padronali, è inverosimile che un presidio tributario interno contro queste appropriazioni possa funzionare</w:t>
      </w:r>
      <w:r w:rsidR="005837C6">
        <w:rPr>
          <w:sz w:val="22"/>
          <w:szCs w:val="22"/>
        </w:rPr>
        <w:t xml:space="preserve"> (</w:t>
      </w:r>
      <w:r w:rsidR="005837C6">
        <w:rPr>
          <w:rStyle w:val="Rimandonotaapidipagina"/>
          <w:sz w:val="22"/>
          <w:szCs w:val="22"/>
        </w:rPr>
        <w:footnoteReference w:id="718"/>
      </w:r>
      <w:r w:rsidR="005837C6">
        <w:rPr>
          <w:sz w:val="22"/>
          <w:szCs w:val="22"/>
        </w:rPr>
        <w:t>)</w:t>
      </w:r>
      <w:r w:rsidR="00625A62" w:rsidRPr="00625A62">
        <w:rPr>
          <w:sz w:val="22"/>
          <w:szCs w:val="22"/>
        </w:rPr>
        <w:t>.</w:t>
      </w:r>
    </w:p>
    <w:p w14:paraId="09AEC78D" w14:textId="5D23E2AB" w:rsidR="006342C5" w:rsidRPr="007F7EBF" w:rsidRDefault="006342C5" w:rsidP="00AC4EBE">
      <w:pPr>
        <w:autoSpaceDE w:val="0"/>
        <w:autoSpaceDN w:val="0"/>
        <w:adjustRightInd w:val="0"/>
        <w:rPr>
          <w:sz w:val="22"/>
          <w:szCs w:val="22"/>
        </w:rPr>
      </w:pPr>
    </w:p>
    <w:p w14:paraId="1A988A79" w14:textId="313DD694" w:rsidR="003E23FB" w:rsidRPr="007F7EBF" w:rsidRDefault="006342C5" w:rsidP="003C795B">
      <w:pPr>
        <w:pStyle w:val="Titolo3"/>
        <w:rPr>
          <w:sz w:val="22"/>
          <w:szCs w:val="22"/>
        </w:rPr>
      </w:pPr>
      <w:bookmarkStart w:id="79" w:name="_Toc63364992"/>
      <w:r w:rsidRPr="007F7EBF">
        <w:rPr>
          <w:rFonts w:ascii="Times New Roman" w:hAnsi="Times New Roman"/>
          <w:sz w:val="22"/>
          <w:szCs w:val="22"/>
        </w:rPr>
        <w:t>5</w:t>
      </w:r>
      <w:r w:rsidR="00493803" w:rsidRPr="007F7EBF">
        <w:rPr>
          <w:rFonts w:ascii="Times New Roman" w:hAnsi="Times New Roman"/>
          <w:sz w:val="22"/>
          <w:szCs w:val="22"/>
        </w:rPr>
        <w:t xml:space="preserve">.20. </w:t>
      </w:r>
      <w:r w:rsidR="00F0128C" w:rsidRPr="007F7EBF">
        <w:rPr>
          <w:rFonts w:ascii="Times New Roman" w:hAnsi="Times New Roman"/>
          <w:sz w:val="22"/>
          <w:szCs w:val="22"/>
        </w:rPr>
        <w:t xml:space="preserve">Il </w:t>
      </w:r>
      <w:r w:rsidR="00493803" w:rsidRPr="007F7EBF">
        <w:rPr>
          <w:rFonts w:ascii="Times New Roman" w:hAnsi="Times New Roman"/>
          <w:sz w:val="22"/>
          <w:szCs w:val="22"/>
        </w:rPr>
        <w:t xml:space="preserve">condono come </w:t>
      </w:r>
      <w:r w:rsidR="00F0128C" w:rsidRPr="007F7EBF">
        <w:rPr>
          <w:rFonts w:ascii="Times New Roman" w:hAnsi="Times New Roman"/>
          <w:sz w:val="22"/>
          <w:szCs w:val="22"/>
        </w:rPr>
        <w:t xml:space="preserve">ultima frontiera dell’autodeterminazione e </w:t>
      </w:r>
      <w:r w:rsidR="00493803" w:rsidRPr="007F7EBF">
        <w:rPr>
          <w:rFonts w:ascii="Times New Roman" w:hAnsi="Times New Roman"/>
          <w:sz w:val="22"/>
          <w:szCs w:val="22"/>
        </w:rPr>
        <w:t>dell’“amministrazion</w:t>
      </w:r>
      <w:r w:rsidRPr="007F7EBF">
        <w:rPr>
          <w:rFonts w:ascii="Times New Roman" w:hAnsi="Times New Roman"/>
          <w:sz w:val="22"/>
          <w:szCs w:val="22"/>
        </w:rPr>
        <w:t>e</w:t>
      </w:r>
      <w:r w:rsidR="009F7A9F" w:rsidRPr="007F7EBF">
        <w:rPr>
          <w:rFonts w:ascii="Times New Roman" w:hAnsi="Times New Roman"/>
          <w:sz w:val="22"/>
          <w:szCs w:val="22"/>
        </w:rPr>
        <w:t xml:space="preserve"> </w:t>
      </w:r>
      <w:r w:rsidRPr="007F7EBF">
        <w:rPr>
          <w:rFonts w:ascii="Times New Roman" w:hAnsi="Times New Roman"/>
          <w:sz w:val="22"/>
          <w:szCs w:val="22"/>
        </w:rPr>
        <w:t>per legge”</w:t>
      </w:r>
      <w:bookmarkEnd w:id="79"/>
      <w:r w:rsidR="002A2D35" w:rsidRPr="007F7EBF">
        <w:rPr>
          <w:rFonts w:ascii="Times New Roman" w:hAnsi="Times New Roman"/>
          <w:b w:val="0"/>
          <w:bCs w:val="0"/>
          <w:i/>
          <w:iCs/>
          <w:color w:val="0000FF"/>
          <w:sz w:val="22"/>
          <w:szCs w:val="22"/>
          <w:lang w:val="it-IT"/>
        </w:rPr>
        <w:t xml:space="preserve"> </w:t>
      </w:r>
      <w:r w:rsidR="000B6ED2">
        <w:rPr>
          <w:rFonts w:ascii="Times New Roman" w:hAnsi="Times New Roman"/>
          <w:b w:val="0"/>
          <w:bCs w:val="0"/>
          <w:i/>
          <w:iCs/>
          <w:color w:val="0000FF"/>
          <w:sz w:val="22"/>
          <w:szCs w:val="22"/>
          <w:lang w:val="it-IT"/>
        </w:rPr>
        <w:t xml:space="preserve"> </w:t>
      </w:r>
    </w:p>
    <w:p w14:paraId="690512B4" w14:textId="1371CE35" w:rsidR="003E23FB" w:rsidRPr="007F7EBF" w:rsidRDefault="00E97C9B" w:rsidP="003E23FB">
      <w:pPr>
        <w:pStyle w:val="tit23"/>
        <w:ind w:left="6464" w:right="-1361" w:firstLine="0"/>
        <w:jc w:val="left"/>
        <w:rPr>
          <w:b/>
          <w:bCs/>
          <w:i/>
          <w:iCs/>
          <w:color w:val="0000FF"/>
          <w:lang w:val="it-IT"/>
        </w:rPr>
      </w:pPr>
      <w:r>
        <w:rPr>
          <w:b/>
          <w:bCs/>
          <w:i/>
          <w:iCs/>
          <w:color w:val="0000FF"/>
          <w:lang w:val="it-IT"/>
        </w:rPr>
        <w:t>Il c</w:t>
      </w:r>
      <w:r w:rsidR="003E23FB" w:rsidRPr="007F7EBF">
        <w:rPr>
          <w:b/>
          <w:bCs/>
          <w:i/>
          <w:iCs/>
          <w:color w:val="0000FF"/>
          <w:lang w:val="it-IT"/>
        </w:rPr>
        <w:t xml:space="preserve">ondono </w:t>
      </w:r>
      <w:r>
        <w:rPr>
          <w:b/>
          <w:bCs/>
          <w:i/>
          <w:iCs/>
          <w:color w:val="0000FF"/>
          <w:lang w:val="it-IT"/>
        </w:rPr>
        <w:t>da</w:t>
      </w:r>
      <w:r w:rsidR="00016FDA" w:rsidRPr="007F7EBF">
        <w:rPr>
          <w:b/>
          <w:bCs/>
          <w:i/>
          <w:iCs/>
          <w:color w:val="0000FF"/>
          <w:lang w:val="it-IT"/>
        </w:rPr>
        <w:t xml:space="preserve">lla tassazione preindustriale </w:t>
      </w:r>
      <w:r>
        <w:rPr>
          <w:b/>
          <w:bCs/>
          <w:i/>
          <w:iCs/>
          <w:color w:val="0000FF"/>
          <w:lang w:val="it-IT"/>
        </w:rPr>
        <w:t xml:space="preserve"> all’autotassazione</w:t>
      </w:r>
    </w:p>
    <w:p w14:paraId="0857563B" w14:textId="78E0814F" w:rsidR="003E23FB" w:rsidRPr="007F7EBF" w:rsidRDefault="00D73EA5" w:rsidP="00E97C9B">
      <w:pPr>
        <w:autoSpaceDE w:val="0"/>
        <w:autoSpaceDN w:val="0"/>
        <w:adjustRightInd w:val="0"/>
        <w:rPr>
          <w:bCs/>
          <w:i/>
          <w:iCs/>
          <w:color w:val="0000FF"/>
        </w:rPr>
      </w:pPr>
      <w:r>
        <w:rPr>
          <w:sz w:val="22"/>
          <w:szCs w:val="22"/>
        </w:rPr>
        <w:t>L’inefficienza complessiva dell’attività accertativa, provocata dall’assenza di spiegazioni scientifico sociali della funzione tributaria, è alla radice di frequenti c</w:t>
      </w:r>
      <w:r w:rsidR="00F8218E" w:rsidRPr="007F7EBF">
        <w:rPr>
          <w:sz w:val="22"/>
          <w:szCs w:val="22"/>
        </w:rPr>
        <w:t>ondoni e sanatorie</w:t>
      </w:r>
      <w:r>
        <w:rPr>
          <w:sz w:val="22"/>
          <w:szCs w:val="22"/>
        </w:rPr>
        <w:t xml:space="preserve">. Entrambi erano presenti </w:t>
      </w:r>
      <w:r w:rsidR="00591689">
        <w:rPr>
          <w:sz w:val="22"/>
          <w:szCs w:val="22"/>
        </w:rPr>
        <w:t xml:space="preserve">già </w:t>
      </w:r>
      <w:r w:rsidR="00F8218E" w:rsidRPr="007F7EBF">
        <w:rPr>
          <w:sz w:val="22"/>
          <w:szCs w:val="22"/>
        </w:rPr>
        <w:t xml:space="preserve">nella </w:t>
      </w:r>
      <w:r w:rsidR="00E97292" w:rsidRPr="007F7EBF">
        <w:rPr>
          <w:sz w:val="22"/>
          <w:szCs w:val="22"/>
        </w:rPr>
        <w:t xml:space="preserve"> </w:t>
      </w:r>
      <w:r w:rsidR="00B37927" w:rsidRPr="007F7EBF">
        <w:rPr>
          <w:sz w:val="22"/>
          <w:szCs w:val="22"/>
        </w:rPr>
        <w:t>tassazione preindustriale</w:t>
      </w:r>
      <w:r w:rsidR="00591689">
        <w:rPr>
          <w:sz w:val="22"/>
          <w:szCs w:val="22"/>
        </w:rPr>
        <w:t>, q</w:t>
      </w:r>
      <w:r w:rsidR="006342C5" w:rsidRPr="007F7EBF">
        <w:rPr>
          <w:sz w:val="22"/>
          <w:szCs w:val="22"/>
        </w:rPr>
        <w:t>uando</w:t>
      </w:r>
      <w:r w:rsidR="00F8218E" w:rsidRPr="007F7EBF">
        <w:rPr>
          <w:sz w:val="22"/>
          <w:szCs w:val="22"/>
        </w:rPr>
        <w:t xml:space="preserve"> </w:t>
      </w:r>
      <w:r w:rsidR="006342C5" w:rsidRPr="007F7EBF">
        <w:rPr>
          <w:sz w:val="22"/>
          <w:szCs w:val="22"/>
        </w:rPr>
        <w:t xml:space="preserve">le imposte erano chieste </w:t>
      </w:r>
      <w:r w:rsidR="00CA7216">
        <w:rPr>
          <w:sz w:val="22"/>
          <w:szCs w:val="22"/>
        </w:rPr>
        <w:t xml:space="preserve">in modo valutativo </w:t>
      </w:r>
      <w:r w:rsidR="006342C5" w:rsidRPr="007F7EBF">
        <w:rPr>
          <w:sz w:val="22"/>
          <w:szCs w:val="22"/>
        </w:rPr>
        <w:t xml:space="preserve">dagli </w:t>
      </w:r>
      <w:r w:rsidR="002A2D35" w:rsidRPr="007F7EBF">
        <w:rPr>
          <w:sz w:val="22"/>
          <w:szCs w:val="22"/>
        </w:rPr>
        <w:t>uffici tributari</w:t>
      </w:r>
      <w:r w:rsidR="00CA7216">
        <w:rPr>
          <w:sz w:val="22"/>
          <w:szCs w:val="22"/>
        </w:rPr>
        <w:t xml:space="preserve"> </w:t>
      </w:r>
      <w:r w:rsidR="009F4F75">
        <w:rPr>
          <w:sz w:val="22"/>
          <w:szCs w:val="22"/>
        </w:rPr>
        <w:t>(</w:t>
      </w:r>
      <w:r w:rsidR="00CA7216">
        <w:rPr>
          <w:sz w:val="22"/>
          <w:szCs w:val="22"/>
        </w:rPr>
        <w:t xml:space="preserve">par.1.4); </w:t>
      </w:r>
      <w:r w:rsidR="00F9102A">
        <w:rPr>
          <w:sz w:val="22"/>
          <w:szCs w:val="22"/>
        </w:rPr>
        <w:t>qui il fisco bussava alla porta dei contribuenti, ne determinava i debiti tributari, e poi in parte glieli rimetteva, per</w:t>
      </w:r>
      <w:r w:rsidR="00B37927" w:rsidRPr="007F7EBF">
        <w:rPr>
          <w:sz w:val="22"/>
          <w:szCs w:val="22"/>
        </w:rPr>
        <w:t xml:space="preserve"> varie ragioni</w:t>
      </w:r>
      <w:r w:rsidR="00F9102A">
        <w:rPr>
          <w:sz w:val="22"/>
          <w:szCs w:val="22"/>
        </w:rPr>
        <w:t xml:space="preserve">. Si pensi al reperimento di </w:t>
      </w:r>
      <w:r w:rsidR="00CA7216">
        <w:rPr>
          <w:sz w:val="22"/>
          <w:szCs w:val="22"/>
        </w:rPr>
        <w:t xml:space="preserve">altre fonti di entrata (ad es. guerre vittoriose), minori spese, la necessità di </w:t>
      </w:r>
      <w:r w:rsidR="000331DE" w:rsidRPr="007F7EBF">
        <w:rPr>
          <w:sz w:val="22"/>
          <w:szCs w:val="22"/>
        </w:rPr>
        <w:t>ingraziarsi le pubbliche opinioni del tempo, gestendo</w:t>
      </w:r>
      <w:r w:rsidR="0072237B" w:rsidRPr="007F7EBF">
        <w:rPr>
          <w:sz w:val="22"/>
          <w:szCs w:val="22"/>
        </w:rPr>
        <w:t xml:space="preserve"> </w:t>
      </w:r>
      <w:r w:rsidR="00016FDA" w:rsidRPr="007F7EBF">
        <w:rPr>
          <w:sz w:val="22"/>
          <w:szCs w:val="22"/>
        </w:rPr>
        <w:t xml:space="preserve">i malesseri </w:t>
      </w:r>
      <w:r w:rsidR="000331DE" w:rsidRPr="007F7EBF">
        <w:rPr>
          <w:sz w:val="22"/>
          <w:szCs w:val="22"/>
        </w:rPr>
        <w:t>di</w:t>
      </w:r>
      <w:r w:rsidR="00016FDA" w:rsidRPr="007F7EBF">
        <w:rPr>
          <w:sz w:val="22"/>
          <w:szCs w:val="22"/>
        </w:rPr>
        <w:t xml:space="preserve"> una fiscalità </w:t>
      </w:r>
      <w:r w:rsidR="00CA7216">
        <w:rPr>
          <w:sz w:val="22"/>
          <w:szCs w:val="22"/>
        </w:rPr>
        <w:t>già allora “diversamente sperequata (</w:t>
      </w:r>
      <w:r w:rsidR="00B37927" w:rsidRPr="007F7EBF">
        <w:rPr>
          <w:rStyle w:val="Rimandonotaapidipagina"/>
          <w:sz w:val="22"/>
          <w:szCs w:val="22"/>
        </w:rPr>
        <w:footnoteReference w:id="719"/>
      </w:r>
      <w:r w:rsidR="00CA7216">
        <w:rPr>
          <w:sz w:val="22"/>
          <w:szCs w:val="22"/>
        </w:rPr>
        <w:t>)</w:t>
      </w:r>
      <w:r w:rsidR="00016FDA" w:rsidRPr="007F7EBF">
        <w:rPr>
          <w:sz w:val="22"/>
          <w:szCs w:val="22"/>
        </w:rPr>
        <w:t>.</w:t>
      </w:r>
      <w:r w:rsidR="00B37927" w:rsidRPr="007F7EBF">
        <w:rPr>
          <w:sz w:val="22"/>
          <w:szCs w:val="22"/>
        </w:rPr>
        <w:t xml:space="preserve"> </w:t>
      </w:r>
      <w:r w:rsidR="00016FDA" w:rsidRPr="007F7EBF">
        <w:rPr>
          <w:sz w:val="22"/>
          <w:szCs w:val="22"/>
        </w:rPr>
        <w:t xml:space="preserve"> </w:t>
      </w:r>
    </w:p>
    <w:p w14:paraId="1993D295" w14:textId="3D9EBDC1" w:rsidR="003E23FB" w:rsidRPr="007F7EBF" w:rsidRDefault="00E16B5F" w:rsidP="003E23FB">
      <w:pPr>
        <w:autoSpaceDE w:val="0"/>
        <w:autoSpaceDN w:val="0"/>
        <w:adjustRightInd w:val="0"/>
        <w:rPr>
          <w:sz w:val="22"/>
          <w:szCs w:val="22"/>
        </w:rPr>
      </w:pPr>
      <w:r>
        <w:rPr>
          <w:sz w:val="22"/>
          <w:szCs w:val="22"/>
        </w:rPr>
        <w:t>Nell’autodeterminazione dei tributi il condono assume finalità del tutto diverse</w:t>
      </w:r>
      <w:r w:rsidR="00F9102A">
        <w:rPr>
          <w:sz w:val="22"/>
          <w:szCs w:val="22"/>
        </w:rPr>
        <w:t>, diventando una “seconda richiesta di adempimento”; in essa il fisco rinuncia a una parte del debito, oppure alle sanzioni, ai suoi poteri di controllo futuro o a un misto di</w:t>
      </w:r>
      <w:r w:rsidR="00E97C9B">
        <w:rPr>
          <w:sz w:val="22"/>
          <w:szCs w:val="22"/>
        </w:rPr>
        <w:t xml:space="preserve"> tutto </w:t>
      </w:r>
      <w:r w:rsidR="00F9102A">
        <w:rPr>
          <w:sz w:val="22"/>
          <w:szCs w:val="22"/>
        </w:rPr>
        <w:t>questo, a fronte di un pagamento ulteriore</w:t>
      </w:r>
      <w:r w:rsidR="00E97C9B">
        <w:rPr>
          <w:sz w:val="22"/>
          <w:szCs w:val="22"/>
        </w:rPr>
        <w:t>(</w:t>
      </w:r>
      <w:r w:rsidR="000331DE" w:rsidRPr="007F7EBF">
        <w:rPr>
          <w:rStyle w:val="Rimandonotaapidipagina"/>
          <w:sz w:val="22"/>
          <w:szCs w:val="22"/>
        </w:rPr>
        <w:footnoteReference w:id="720"/>
      </w:r>
      <w:r w:rsidR="00E97C9B">
        <w:rPr>
          <w:sz w:val="22"/>
          <w:szCs w:val="22"/>
        </w:rPr>
        <w:t>)</w:t>
      </w:r>
      <w:r w:rsidR="000331DE" w:rsidRPr="007F7EBF">
        <w:rPr>
          <w:sz w:val="22"/>
          <w:szCs w:val="22"/>
        </w:rPr>
        <w:t>.</w:t>
      </w:r>
      <w:r w:rsidR="00906E8E" w:rsidRPr="007F7EBF">
        <w:rPr>
          <w:sz w:val="22"/>
          <w:szCs w:val="22"/>
        </w:rPr>
        <w:t xml:space="preserve"> </w:t>
      </w:r>
      <w:r w:rsidR="00F9102A">
        <w:rPr>
          <w:sz w:val="22"/>
          <w:szCs w:val="22"/>
        </w:rPr>
        <w:t>E’ una logica variamente rinvenibile ne</w:t>
      </w:r>
      <w:r w:rsidR="00026F8E" w:rsidRPr="007F7EBF">
        <w:rPr>
          <w:sz w:val="22"/>
          <w:szCs w:val="22"/>
        </w:rPr>
        <w:t>i condoni su</w:t>
      </w:r>
      <w:r w:rsidR="00C03FBD" w:rsidRPr="007F7EBF">
        <w:rPr>
          <w:sz w:val="22"/>
          <w:szCs w:val="22"/>
        </w:rPr>
        <w:t xml:space="preserve">ccedutisi negli ultimi 40 anni, usati per </w:t>
      </w:r>
      <w:r w:rsidR="00906E8E" w:rsidRPr="007F7EBF">
        <w:rPr>
          <w:sz w:val="22"/>
          <w:szCs w:val="22"/>
        </w:rPr>
        <w:t xml:space="preserve">fronteggiare </w:t>
      </w:r>
      <w:r w:rsidR="00C03FBD" w:rsidRPr="007F7EBF">
        <w:rPr>
          <w:sz w:val="22"/>
          <w:szCs w:val="22"/>
        </w:rPr>
        <w:t xml:space="preserve">le note difficoltà </w:t>
      </w:r>
      <w:r w:rsidR="00591689">
        <w:rPr>
          <w:sz w:val="22"/>
          <w:szCs w:val="22"/>
        </w:rPr>
        <w:t>nella determinazione degli imponibili sfuggenti, non calcolabili contabilmente tramite organizzazioni amministrative</w:t>
      </w:r>
      <w:r w:rsidR="00906E8E" w:rsidRPr="007F7EBF">
        <w:rPr>
          <w:sz w:val="22"/>
          <w:szCs w:val="22"/>
        </w:rPr>
        <w:t xml:space="preserve">. </w:t>
      </w:r>
    </w:p>
    <w:p w14:paraId="57024AA0" w14:textId="77777777" w:rsidR="003E23FB" w:rsidRPr="007F7EBF" w:rsidRDefault="003E23FB" w:rsidP="003E23FB">
      <w:pPr>
        <w:pStyle w:val="tit23"/>
        <w:ind w:left="6464" w:right="-1361" w:firstLine="0"/>
        <w:jc w:val="left"/>
        <w:rPr>
          <w:bCs/>
          <w:i/>
          <w:iCs/>
          <w:color w:val="0000FF"/>
          <w:lang w:val="it-IT"/>
        </w:rPr>
      </w:pPr>
      <w:r w:rsidRPr="007F7EBF">
        <w:rPr>
          <w:bCs/>
          <w:i/>
          <w:iCs/>
          <w:color w:val="0000FF"/>
          <w:lang w:val="it-IT"/>
        </w:rPr>
        <w:lastRenderedPageBreak/>
        <w:t>Logica tecnico politica del condono</w:t>
      </w:r>
    </w:p>
    <w:p w14:paraId="0DF5C909" w14:textId="2C7542ED" w:rsidR="00EE2AF1" w:rsidRPr="007F7EBF" w:rsidRDefault="003E23FB" w:rsidP="00EE2AF1">
      <w:pPr>
        <w:autoSpaceDE w:val="0"/>
        <w:autoSpaceDN w:val="0"/>
        <w:adjustRightInd w:val="0"/>
        <w:rPr>
          <w:sz w:val="22"/>
          <w:szCs w:val="22"/>
        </w:rPr>
      </w:pPr>
      <w:r w:rsidRPr="007F7EBF">
        <w:rPr>
          <w:sz w:val="22"/>
          <w:szCs w:val="22"/>
        </w:rPr>
        <w:t xml:space="preserve">Davanti alla difficoltà di stimare, in modo sufficientemente sistematico, la ricchezza non registrata, ed all’assurdità (esattamente intuita) di criminalizzare </w:t>
      </w:r>
      <w:r w:rsidR="00A8473E">
        <w:rPr>
          <w:sz w:val="22"/>
          <w:szCs w:val="22"/>
        </w:rPr>
        <w:t>in massa piccoli commercianti, artigiani e altri operatori economici,</w:t>
      </w:r>
      <w:r w:rsidRPr="007F7EBF">
        <w:rPr>
          <w:sz w:val="22"/>
          <w:szCs w:val="22"/>
        </w:rPr>
        <w:t xml:space="preserve"> il condono appariva come un compromesso</w:t>
      </w:r>
      <w:r w:rsidR="0034172F" w:rsidRPr="007F7EBF">
        <w:rPr>
          <w:sz w:val="22"/>
          <w:szCs w:val="22"/>
        </w:rPr>
        <w:t xml:space="preserve"> politicamente gradito; si trattava infatti di un meccanismo "volontario", che sfuggiva all'accusa di aver "aumentato le imposte"</w:t>
      </w:r>
      <w:r w:rsidR="00EB56B2" w:rsidRPr="007F7EBF">
        <w:rPr>
          <w:rStyle w:val="Rimandonotaapidipagina"/>
          <w:sz w:val="22"/>
          <w:szCs w:val="22"/>
        </w:rPr>
        <w:footnoteReference w:id="721"/>
      </w:r>
      <w:r w:rsidR="0034172F" w:rsidRPr="007F7EBF">
        <w:rPr>
          <w:sz w:val="22"/>
          <w:szCs w:val="22"/>
        </w:rPr>
        <w:t xml:space="preserve">,  </w:t>
      </w:r>
      <w:r w:rsidR="002E5436" w:rsidRPr="007F7EBF">
        <w:rPr>
          <w:sz w:val="22"/>
          <w:szCs w:val="22"/>
        </w:rPr>
        <w:t xml:space="preserve">perché spontaneamente l'interessato </w:t>
      </w:r>
      <w:r w:rsidR="00591689">
        <w:rPr>
          <w:sz w:val="22"/>
          <w:szCs w:val="22"/>
        </w:rPr>
        <w:t xml:space="preserve">vi si assoggettava </w:t>
      </w:r>
      <w:r w:rsidR="002E5436" w:rsidRPr="007F7EBF">
        <w:rPr>
          <w:sz w:val="22"/>
          <w:szCs w:val="22"/>
        </w:rPr>
        <w:t xml:space="preserve">per proteggersi da controlli futuri. </w:t>
      </w:r>
      <w:r w:rsidR="00EE2AF1" w:rsidRPr="007F7EBF">
        <w:rPr>
          <w:sz w:val="22"/>
          <w:szCs w:val="22"/>
        </w:rPr>
        <w:t xml:space="preserve">Col condono il contribuente "acquistava tranquillità" </w:t>
      </w:r>
      <w:r w:rsidR="0034172F" w:rsidRPr="007F7EBF">
        <w:rPr>
          <w:rStyle w:val="Rimandonotaapidipagina"/>
          <w:sz w:val="22"/>
          <w:szCs w:val="22"/>
        </w:rPr>
        <w:footnoteReference w:id="722"/>
      </w:r>
      <w:r w:rsidR="00EE2AF1" w:rsidRPr="007F7EBF">
        <w:rPr>
          <w:sz w:val="22"/>
          <w:szCs w:val="22"/>
        </w:rPr>
        <w:t xml:space="preserve">, a fronte di un </w:t>
      </w:r>
      <w:r w:rsidR="00A8473E">
        <w:rPr>
          <w:sz w:val="22"/>
          <w:szCs w:val="22"/>
        </w:rPr>
        <w:t>costo</w:t>
      </w:r>
      <w:r w:rsidR="00EE2AF1" w:rsidRPr="007F7EBF">
        <w:rPr>
          <w:sz w:val="22"/>
          <w:szCs w:val="22"/>
        </w:rPr>
        <w:t xml:space="preserve"> variamente costruito, in base al dichiarato o ad altri parametri. </w:t>
      </w:r>
    </w:p>
    <w:p w14:paraId="292E2574" w14:textId="1751A55E" w:rsidR="00EE2AF1" w:rsidRPr="007F7EBF" w:rsidRDefault="00505C11" w:rsidP="00EE2AF1">
      <w:pPr>
        <w:pStyle w:val="tit23"/>
        <w:ind w:left="6464" w:right="-1361" w:firstLine="0"/>
        <w:jc w:val="left"/>
        <w:rPr>
          <w:bCs/>
          <w:i/>
          <w:iCs/>
          <w:color w:val="0000FF"/>
          <w:lang w:val="it-IT"/>
        </w:rPr>
      </w:pPr>
      <w:r>
        <w:rPr>
          <w:bCs/>
          <w:i/>
          <w:iCs/>
          <w:color w:val="0000FF"/>
          <w:lang w:val="it-IT"/>
        </w:rPr>
        <w:t>Condono sul dichiarato e premio al</w:t>
      </w:r>
      <w:r w:rsidR="002E5436" w:rsidRPr="007F7EBF">
        <w:rPr>
          <w:bCs/>
          <w:i/>
          <w:iCs/>
          <w:color w:val="0000FF"/>
          <w:lang w:val="it-IT"/>
        </w:rPr>
        <w:t>l’evasione</w:t>
      </w:r>
    </w:p>
    <w:p w14:paraId="264258C6" w14:textId="331B38DA" w:rsidR="00DE01E4" w:rsidRDefault="00A8473E" w:rsidP="00883009">
      <w:pPr>
        <w:autoSpaceDE w:val="0"/>
        <w:autoSpaceDN w:val="0"/>
        <w:adjustRightInd w:val="0"/>
        <w:rPr>
          <w:sz w:val="22"/>
          <w:szCs w:val="22"/>
        </w:rPr>
      </w:pPr>
      <w:r>
        <w:rPr>
          <w:sz w:val="22"/>
          <w:szCs w:val="22"/>
        </w:rPr>
        <w:t xml:space="preserve">Il condono è un sintomo di </w:t>
      </w:r>
      <w:r w:rsidR="00367D2B">
        <w:rPr>
          <w:sz w:val="22"/>
          <w:szCs w:val="22"/>
        </w:rPr>
        <w:t xml:space="preserve">crisi </w:t>
      </w:r>
      <w:r>
        <w:rPr>
          <w:sz w:val="22"/>
          <w:szCs w:val="22"/>
        </w:rPr>
        <w:t>del</w:t>
      </w:r>
      <w:r w:rsidR="00367D2B">
        <w:rPr>
          <w:sz w:val="22"/>
          <w:szCs w:val="22"/>
        </w:rPr>
        <w:t>la funzione tributaria</w:t>
      </w:r>
      <w:r>
        <w:rPr>
          <w:sz w:val="22"/>
          <w:szCs w:val="22"/>
        </w:rPr>
        <w:t xml:space="preserve">, </w:t>
      </w:r>
      <w:r w:rsidR="00367D2B">
        <w:rPr>
          <w:sz w:val="22"/>
          <w:szCs w:val="22"/>
        </w:rPr>
        <w:t>ma non né è certo la causa, individuabile nella carenza di spiegazioni sociali del</w:t>
      </w:r>
      <w:r w:rsidR="00DE01E4">
        <w:rPr>
          <w:sz w:val="22"/>
          <w:szCs w:val="22"/>
        </w:rPr>
        <w:t xml:space="preserve">la determinazione </w:t>
      </w:r>
      <w:r w:rsidR="00F75C68">
        <w:rPr>
          <w:sz w:val="22"/>
          <w:szCs w:val="22"/>
        </w:rPr>
        <w:t>presupposti economici d’imposta</w:t>
      </w:r>
      <w:r w:rsidR="00DE01E4">
        <w:rPr>
          <w:sz w:val="22"/>
          <w:szCs w:val="22"/>
        </w:rPr>
        <w:t xml:space="preserve">; esse </w:t>
      </w:r>
      <w:r w:rsidR="00367D2B">
        <w:rPr>
          <w:sz w:val="22"/>
          <w:szCs w:val="22"/>
        </w:rPr>
        <w:t>non verranno certo demonizzando i condoni</w:t>
      </w:r>
      <w:r w:rsidR="00DE01E4">
        <w:rPr>
          <w:sz w:val="22"/>
          <w:szCs w:val="22"/>
        </w:rPr>
        <w:t>, che s</w:t>
      </w:r>
      <w:r w:rsidR="00367D2B">
        <w:rPr>
          <w:sz w:val="22"/>
          <w:szCs w:val="22"/>
        </w:rPr>
        <w:t>trada facendo</w:t>
      </w:r>
      <w:r w:rsidR="00DE01E4">
        <w:rPr>
          <w:sz w:val="22"/>
          <w:szCs w:val="22"/>
        </w:rPr>
        <w:t xml:space="preserve"> possono essere</w:t>
      </w:r>
      <w:r w:rsidR="00367D2B">
        <w:rPr>
          <w:sz w:val="22"/>
          <w:szCs w:val="22"/>
        </w:rPr>
        <w:t xml:space="preserve"> uno strumento tattico per gestire </w:t>
      </w:r>
      <w:r w:rsidR="00DE01E4">
        <w:rPr>
          <w:sz w:val="22"/>
          <w:szCs w:val="22"/>
        </w:rPr>
        <w:t>disfunzioni contingenti</w:t>
      </w:r>
      <w:r w:rsidR="00367D2B">
        <w:rPr>
          <w:sz w:val="22"/>
          <w:szCs w:val="22"/>
        </w:rPr>
        <w:t xml:space="preserve">. </w:t>
      </w:r>
    </w:p>
    <w:p w14:paraId="35D0B569" w14:textId="65913E6D" w:rsidR="00505C11" w:rsidRPr="007F7EBF" w:rsidRDefault="00DE01E4" w:rsidP="00DE01E4">
      <w:pPr>
        <w:autoSpaceDE w:val="0"/>
        <w:autoSpaceDN w:val="0"/>
        <w:adjustRightInd w:val="0"/>
        <w:rPr>
          <w:bCs/>
          <w:i/>
          <w:iCs/>
          <w:color w:val="0000FF"/>
          <w:sz w:val="22"/>
          <w:szCs w:val="22"/>
        </w:rPr>
      </w:pPr>
      <w:r>
        <w:rPr>
          <w:sz w:val="22"/>
          <w:szCs w:val="22"/>
        </w:rPr>
        <w:lastRenderedPageBreak/>
        <w:t xml:space="preserve">Alcuni condoni </w:t>
      </w:r>
      <w:r w:rsidR="00367D2B">
        <w:rPr>
          <w:sz w:val="22"/>
          <w:szCs w:val="22"/>
        </w:rPr>
        <w:t>“da prima repubblica”</w:t>
      </w:r>
      <w:r>
        <w:rPr>
          <w:sz w:val="22"/>
          <w:szCs w:val="22"/>
        </w:rPr>
        <w:t xml:space="preserve"> furono molto grossolani, </w:t>
      </w:r>
      <w:r w:rsidR="00367D2B">
        <w:rPr>
          <w:sz w:val="22"/>
          <w:szCs w:val="22"/>
        </w:rPr>
        <w:t>come quelli</w:t>
      </w:r>
      <w:r w:rsidR="002E5436" w:rsidRPr="007F7EBF">
        <w:rPr>
          <w:sz w:val="22"/>
          <w:szCs w:val="22"/>
        </w:rPr>
        <w:t xml:space="preserve"> del 1982 e del </w:t>
      </w:r>
      <w:r w:rsidR="005013D8" w:rsidRPr="007F7EBF">
        <w:rPr>
          <w:sz w:val="22"/>
          <w:szCs w:val="22"/>
        </w:rPr>
        <w:t>1991</w:t>
      </w:r>
      <w:r w:rsidR="00367D2B">
        <w:rPr>
          <w:sz w:val="22"/>
          <w:szCs w:val="22"/>
        </w:rPr>
        <w:t xml:space="preserve">, </w:t>
      </w:r>
      <w:r>
        <w:rPr>
          <w:sz w:val="22"/>
          <w:szCs w:val="22"/>
        </w:rPr>
        <w:t>dove il fisco rinunciava ai controlli futuri a fronte di maggiorazioni dell’imposta dichiarata. Simili meccanismi</w:t>
      </w:r>
      <w:r w:rsidR="00367D2B">
        <w:rPr>
          <w:sz w:val="22"/>
          <w:szCs w:val="22"/>
        </w:rPr>
        <w:t xml:space="preserve"> premiavano </w:t>
      </w:r>
      <w:r>
        <w:rPr>
          <w:sz w:val="22"/>
          <w:szCs w:val="22"/>
        </w:rPr>
        <w:t xml:space="preserve">ovviamente </w:t>
      </w:r>
      <w:r w:rsidR="00367D2B">
        <w:rPr>
          <w:sz w:val="22"/>
          <w:szCs w:val="22"/>
        </w:rPr>
        <w:t xml:space="preserve">chi dichiarava meno, consentendogli di definire con </w:t>
      </w:r>
      <w:r>
        <w:rPr>
          <w:sz w:val="22"/>
          <w:szCs w:val="22"/>
        </w:rPr>
        <w:t>somme minori</w:t>
      </w:r>
      <w:r w:rsidR="00367D2B">
        <w:rPr>
          <w:sz w:val="22"/>
          <w:szCs w:val="22"/>
        </w:rPr>
        <w:t xml:space="preserve">. </w:t>
      </w:r>
      <w:r w:rsidR="00367D2B" w:rsidRPr="007F7EBF">
        <w:t>Dietro c’era il grossolano  preconcetto, socialmente suicida, secondo cui l’evasione sarebbe proporzionale al dichiarato, di modo che “più si dichiara più si evade”</w:t>
      </w:r>
      <w:r w:rsidR="00367D2B">
        <w:t>(</w:t>
      </w:r>
      <w:r w:rsidR="00367D2B" w:rsidRPr="007F7EBF">
        <w:t xml:space="preserve"> </w:t>
      </w:r>
      <w:r w:rsidR="00EE2AF1" w:rsidRPr="007F7EBF">
        <w:rPr>
          <w:rStyle w:val="Rimandonotaapidipagina"/>
          <w:bCs/>
          <w:sz w:val="22"/>
          <w:szCs w:val="22"/>
        </w:rPr>
        <w:footnoteReference w:id="723"/>
      </w:r>
      <w:r w:rsidR="00367D2B">
        <w:t>)</w:t>
      </w:r>
      <w:r w:rsidR="00EE2AF1" w:rsidRPr="007F7EBF">
        <w:rPr>
          <w:sz w:val="22"/>
          <w:szCs w:val="22"/>
        </w:rPr>
        <w:t xml:space="preserve">. </w:t>
      </w:r>
      <w:r w:rsidR="00367D2B" w:rsidRPr="007F7EBF">
        <w:rPr>
          <w:sz w:val="22"/>
          <w:szCs w:val="22"/>
        </w:rPr>
        <w:t>Inversamente, chi aveva presentato dichiarazioni più verosimili, avrebbe potuto comprare la tranquillità solo a condizioni più onerose, dovute alla maggiore imposta dichiarata.</w:t>
      </w:r>
      <w:r w:rsidR="00883009">
        <w:rPr>
          <w:sz w:val="22"/>
          <w:szCs w:val="22"/>
        </w:rPr>
        <w:t xml:space="preserve"> Quest</w:t>
      </w:r>
      <w:r>
        <w:rPr>
          <w:sz w:val="22"/>
          <w:szCs w:val="22"/>
        </w:rPr>
        <w:t>e beffe a</w:t>
      </w:r>
      <w:r w:rsidR="00883009">
        <w:rPr>
          <w:sz w:val="22"/>
          <w:szCs w:val="22"/>
        </w:rPr>
        <w:t xml:space="preserve"> chi aveva dichiarato correttamente, </w:t>
      </w:r>
      <w:r>
        <w:rPr>
          <w:sz w:val="22"/>
          <w:szCs w:val="22"/>
        </w:rPr>
        <w:t xml:space="preserve">hanno </w:t>
      </w:r>
      <w:r w:rsidR="00883009">
        <w:rPr>
          <w:sz w:val="22"/>
          <w:szCs w:val="22"/>
        </w:rPr>
        <w:t>scredita</w:t>
      </w:r>
      <w:r>
        <w:rPr>
          <w:sz w:val="22"/>
          <w:szCs w:val="22"/>
        </w:rPr>
        <w:t xml:space="preserve">to l’idea del condono, assieme ai </w:t>
      </w:r>
      <w:r w:rsidRPr="007F7EBF">
        <w:rPr>
          <w:sz w:val="22"/>
          <w:szCs w:val="22"/>
        </w:rPr>
        <w:t>due “</w:t>
      </w:r>
      <w:r w:rsidRPr="007F7EBF">
        <w:rPr>
          <w:bCs/>
          <w:sz w:val="22"/>
          <w:szCs w:val="22"/>
        </w:rPr>
        <w:t>scudi fiscali</w:t>
      </w:r>
      <w:r w:rsidRPr="007F7EBF">
        <w:rPr>
          <w:sz w:val="22"/>
          <w:szCs w:val="22"/>
        </w:rPr>
        <w:t>”, a fronte di soldi esteri non dichiarati al fisco</w:t>
      </w:r>
      <w:r>
        <w:rPr>
          <w:sz w:val="22"/>
          <w:szCs w:val="22"/>
        </w:rPr>
        <w:t>, la cui sanatoria offriva anche un “condono a costo zero” su redditi evasi nel periodo (</w:t>
      </w:r>
      <w:r w:rsidRPr="007F7EBF">
        <w:rPr>
          <w:rStyle w:val="Rimandonotaapidipagina"/>
          <w:sz w:val="22"/>
          <w:szCs w:val="22"/>
        </w:rPr>
        <w:footnoteReference w:id="724"/>
      </w:r>
      <w:r>
        <w:rPr>
          <w:sz w:val="22"/>
          <w:szCs w:val="22"/>
        </w:rPr>
        <w:t>)</w:t>
      </w:r>
      <w:r w:rsidRPr="007F7EBF">
        <w:rPr>
          <w:sz w:val="22"/>
          <w:szCs w:val="22"/>
        </w:rPr>
        <w:t xml:space="preserve">. </w:t>
      </w:r>
    </w:p>
    <w:p w14:paraId="22CC4348" w14:textId="1D6DAA3E" w:rsidR="00505C11" w:rsidRPr="007F7EBF" w:rsidRDefault="00470BD9" w:rsidP="00505C11">
      <w:pPr>
        <w:pStyle w:val="tit23"/>
        <w:ind w:left="6464" w:right="-1361" w:firstLine="0"/>
        <w:jc w:val="left"/>
        <w:rPr>
          <w:bCs/>
          <w:i/>
          <w:iCs/>
          <w:color w:val="0000FF"/>
          <w:lang w:val="it-IT"/>
        </w:rPr>
      </w:pPr>
      <w:r>
        <w:rPr>
          <w:bCs/>
          <w:i/>
          <w:iCs/>
          <w:color w:val="0000FF"/>
          <w:lang w:val="it-IT"/>
        </w:rPr>
        <w:t>Abbattimenti analitici delle sanzioni (riaperture di termini)</w:t>
      </w:r>
    </w:p>
    <w:p w14:paraId="2BA3A939" w14:textId="4EF09CE3" w:rsidR="003378F7" w:rsidRPr="007F7EBF" w:rsidRDefault="00DE01E4" w:rsidP="003378F7">
      <w:pPr>
        <w:autoSpaceDE w:val="0"/>
        <w:autoSpaceDN w:val="0"/>
        <w:adjustRightInd w:val="0"/>
        <w:rPr>
          <w:sz w:val="22"/>
          <w:szCs w:val="22"/>
        </w:rPr>
      </w:pPr>
      <w:r>
        <w:rPr>
          <w:sz w:val="22"/>
          <w:szCs w:val="22"/>
        </w:rPr>
        <w:t>In una fiscalità di massa, dove i controlli non riescono ad essere capillari, e il loro gettito diretto è sempre stato inferiore a quello dei condoni (</w:t>
      </w:r>
      <w:r w:rsidRPr="007F7EBF">
        <w:rPr>
          <w:rStyle w:val="Rimandonotaapidipagina"/>
          <w:sz w:val="22"/>
          <w:szCs w:val="22"/>
        </w:rPr>
        <w:footnoteReference w:id="725"/>
      </w:r>
      <w:r>
        <w:rPr>
          <w:sz w:val="22"/>
          <w:szCs w:val="22"/>
        </w:rPr>
        <w:t>), questi ultimi possono essere, ripetiamo, un tassello tattico, con le varie sfumature offerte. Già n</w:t>
      </w:r>
      <w:r w:rsidR="00CB698C">
        <w:rPr>
          <w:sz w:val="22"/>
          <w:szCs w:val="22"/>
        </w:rPr>
        <w:t xml:space="preserve">on costituiscono un premio a chi ha </w:t>
      </w:r>
      <w:r w:rsidR="00CB698C">
        <w:rPr>
          <w:sz w:val="22"/>
          <w:szCs w:val="22"/>
        </w:rPr>
        <w:lastRenderedPageBreak/>
        <w:t xml:space="preserve">dichiarato meno i </w:t>
      </w:r>
      <w:r w:rsidR="003378F7" w:rsidRPr="007F7EBF">
        <w:rPr>
          <w:sz w:val="22"/>
          <w:szCs w:val="22"/>
        </w:rPr>
        <w:t>condoni</w:t>
      </w:r>
      <w:r w:rsidR="003378F7">
        <w:rPr>
          <w:sz w:val="22"/>
          <w:szCs w:val="22"/>
        </w:rPr>
        <w:t xml:space="preserve"> basat</w:t>
      </w:r>
      <w:r w:rsidR="00CB698C">
        <w:rPr>
          <w:sz w:val="22"/>
          <w:szCs w:val="22"/>
        </w:rPr>
        <w:t>i</w:t>
      </w:r>
      <w:r w:rsidR="003378F7">
        <w:rPr>
          <w:sz w:val="22"/>
          <w:szCs w:val="22"/>
        </w:rPr>
        <w:t xml:space="preserve"> su </w:t>
      </w:r>
      <w:r w:rsidR="003378F7" w:rsidRPr="007F7EBF">
        <w:rPr>
          <w:sz w:val="22"/>
          <w:szCs w:val="22"/>
        </w:rPr>
        <w:t>imponibili “standard” con cui confrontare il dichiarato, anche in base alla “coerenza e congruità” rispetto agli studi di settore</w:t>
      </w:r>
      <w:r w:rsidR="00CB698C">
        <w:rPr>
          <w:sz w:val="22"/>
          <w:szCs w:val="22"/>
        </w:rPr>
        <w:t xml:space="preserve">; qualcosa del genere accadde nel condono del 2002 per chi già risultasse regolare con gli studi di settore, cui venivano chiesti moderati versamenti aggiuntivi per l’immunità rispetto ai controlli sugli anni precedenti. </w:t>
      </w:r>
    </w:p>
    <w:p w14:paraId="65941F6B" w14:textId="0B1602D8" w:rsidR="00EB5C44" w:rsidRPr="007F7EBF" w:rsidRDefault="00CB698C" w:rsidP="00EB5C44">
      <w:pPr>
        <w:autoSpaceDE w:val="0"/>
        <w:autoSpaceDN w:val="0"/>
        <w:adjustRightInd w:val="0"/>
        <w:rPr>
          <w:bCs/>
          <w:i/>
          <w:iCs/>
          <w:color w:val="0000FF"/>
        </w:rPr>
      </w:pPr>
      <w:r>
        <w:rPr>
          <w:sz w:val="22"/>
          <w:szCs w:val="22"/>
        </w:rPr>
        <w:t xml:space="preserve">Nessuna immunità è legata invece alle </w:t>
      </w:r>
      <w:r w:rsidR="00DB7089" w:rsidRPr="007F7EBF">
        <w:rPr>
          <w:sz w:val="22"/>
          <w:szCs w:val="22"/>
        </w:rPr>
        <w:t>rimession</w:t>
      </w:r>
      <w:r w:rsidR="00DB7089">
        <w:rPr>
          <w:sz w:val="22"/>
          <w:szCs w:val="22"/>
        </w:rPr>
        <w:t xml:space="preserve">i </w:t>
      </w:r>
      <w:r w:rsidR="00DB7089" w:rsidRPr="007F7EBF">
        <w:rPr>
          <w:sz w:val="22"/>
          <w:szCs w:val="22"/>
        </w:rPr>
        <w:t>in termini per dichiara</w:t>
      </w:r>
      <w:r w:rsidR="00DB7089">
        <w:rPr>
          <w:sz w:val="22"/>
          <w:szCs w:val="22"/>
        </w:rPr>
        <w:t xml:space="preserve">re </w:t>
      </w:r>
      <w:r w:rsidR="00DB7089" w:rsidRPr="007F7EBF">
        <w:rPr>
          <w:sz w:val="22"/>
          <w:szCs w:val="22"/>
        </w:rPr>
        <w:t>le imposte a suo tempo evase</w:t>
      </w:r>
      <w:r w:rsidR="003378F7">
        <w:rPr>
          <w:sz w:val="22"/>
          <w:szCs w:val="22"/>
        </w:rPr>
        <w:t>, con abbattimenti di sanzioni e interessi, che non comportano i “premi all’evasione” indicati sopra</w:t>
      </w:r>
      <w:r>
        <w:rPr>
          <w:sz w:val="22"/>
          <w:szCs w:val="22"/>
        </w:rPr>
        <w:t xml:space="preserve">. </w:t>
      </w:r>
      <w:r w:rsidR="00EB5C44" w:rsidRPr="007F7EBF">
        <w:rPr>
          <w:sz w:val="22"/>
          <w:szCs w:val="22"/>
        </w:rPr>
        <w:t>La disposizione sull'emersione volontaria del 2015 (c.d. "</w:t>
      </w:r>
      <w:proofErr w:type="spellStart"/>
      <w:r w:rsidR="00EB5C44" w:rsidRPr="007F7EBF">
        <w:rPr>
          <w:sz w:val="22"/>
          <w:szCs w:val="22"/>
        </w:rPr>
        <w:t>voluntary</w:t>
      </w:r>
      <w:proofErr w:type="spellEnd"/>
      <w:r w:rsidR="00EB5C44" w:rsidRPr="007F7EBF">
        <w:rPr>
          <w:sz w:val="22"/>
          <w:szCs w:val="22"/>
        </w:rPr>
        <w:t xml:space="preserve"> </w:t>
      </w:r>
      <w:proofErr w:type="spellStart"/>
      <w:r w:rsidR="00EB5C44" w:rsidRPr="007F7EBF">
        <w:rPr>
          <w:sz w:val="22"/>
          <w:szCs w:val="22"/>
        </w:rPr>
        <w:t>disclosure</w:t>
      </w:r>
      <w:proofErr w:type="spellEnd"/>
      <w:r w:rsidR="00EB5C44" w:rsidRPr="007F7EBF">
        <w:rPr>
          <w:sz w:val="22"/>
          <w:szCs w:val="22"/>
        </w:rPr>
        <w:t>") presuppone</w:t>
      </w:r>
      <w:r w:rsidR="00EB5C44">
        <w:rPr>
          <w:sz w:val="22"/>
          <w:szCs w:val="22"/>
        </w:rPr>
        <w:t>va anche l’applicazione di sanzioni, sia pure nella misura minima</w:t>
      </w:r>
      <w:r w:rsidR="00EB5C44" w:rsidRPr="007F7EBF">
        <w:rPr>
          <w:sz w:val="22"/>
          <w:szCs w:val="22"/>
        </w:rPr>
        <w:t xml:space="preserve">. </w:t>
      </w:r>
    </w:p>
    <w:p w14:paraId="277F1A36" w14:textId="45E5F922" w:rsidR="00DB7089" w:rsidRPr="007F7EBF" w:rsidRDefault="00DE01E4" w:rsidP="00DB7089">
      <w:pPr>
        <w:autoSpaceDE w:val="0"/>
        <w:autoSpaceDN w:val="0"/>
        <w:adjustRightInd w:val="0"/>
        <w:rPr>
          <w:sz w:val="22"/>
          <w:szCs w:val="22"/>
        </w:rPr>
      </w:pPr>
      <w:r>
        <w:rPr>
          <w:sz w:val="22"/>
          <w:szCs w:val="22"/>
        </w:rPr>
        <w:t>Questi ultimi s</w:t>
      </w:r>
      <w:r w:rsidR="00CB698C">
        <w:rPr>
          <w:sz w:val="22"/>
          <w:szCs w:val="22"/>
        </w:rPr>
        <w:t xml:space="preserve">ono istituti “analitici” molto simili al </w:t>
      </w:r>
      <w:r w:rsidR="00DB7089" w:rsidRPr="007F7EBF">
        <w:rPr>
          <w:sz w:val="22"/>
          <w:szCs w:val="22"/>
        </w:rPr>
        <w:t xml:space="preserve">c.d. "ravvedimento operoso", adempimento tardivo a regime, </w:t>
      </w:r>
      <w:r w:rsidR="00CB698C">
        <w:rPr>
          <w:sz w:val="22"/>
          <w:szCs w:val="22"/>
        </w:rPr>
        <w:t>moderatamente sanzionato, come visto</w:t>
      </w:r>
      <w:r w:rsidR="00DB7089" w:rsidRPr="007F7EBF">
        <w:rPr>
          <w:sz w:val="22"/>
          <w:szCs w:val="22"/>
        </w:rPr>
        <w:t xml:space="preserve"> alla fine del par.3.4</w:t>
      </w:r>
      <w:r w:rsidR="00CB698C">
        <w:rPr>
          <w:sz w:val="22"/>
          <w:szCs w:val="22"/>
        </w:rPr>
        <w:t xml:space="preserve">. </w:t>
      </w:r>
      <w:r w:rsidR="00CB698C" w:rsidRPr="007F7EBF">
        <w:rPr>
          <w:sz w:val="22"/>
          <w:szCs w:val="22"/>
        </w:rPr>
        <w:t>Abbattimenti totali delle sanzioni sono stati introdotti negli ultimi anni solo con provvedimenti legati allo smaltimento dell’arretrato presso l’ente di riscossione o presso le commissioni tributari</w:t>
      </w:r>
      <w:r w:rsidR="00EB5C44">
        <w:rPr>
          <w:sz w:val="22"/>
          <w:szCs w:val="22"/>
        </w:rPr>
        <w:t>e</w:t>
      </w:r>
      <w:r w:rsidR="00CB698C" w:rsidRPr="007F7EBF">
        <w:rPr>
          <w:sz w:val="22"/>
          <w:szCs w:val="22"/>
        </w:rPr>
        <w:t xml:space="preserve"> (</w:t>
      </w:r>
      <w:r w:rsidR="00CB698C" w:rsidRPr="007F7EBF">
        <w:rPr>
          <w:rStyle w:val="Rimandonotaapidipagina"/>
          <w:sz w:val="22"/>
          <w:szCs w:val="22"/>
        </w:rPr>
        <w:footnoteReference w:id="726"/>
      </w:r>
      <w:r w:rsidR="00CB698C" w:rsidRPr="007F7EBF">
        <w:rPr>
          <w:sz w:val="22"/>
          <w:szCs w:val="22"/>
        </w:rPr>
        <w:t>).</w:t>
      </w:r>
      <w:r w:rsidR="00D27B09">
        <w:rPr>
          <w:sz w:val="22"/>
          <w:szCs w:val="22"/>
        </w:rPr>
        <w:t xml:space="preserve">  </w:t>
      </w:r>
    </w:p>
    <w:p w14:paraId="0D7501BF" w14:textId="77777777" w:rsidR="008A6D79" w:rsidRPr="007F7EBF" w:rsidRDefault="008A6D79" w:rsidP="008A6D79">
      <w:pPr>
        <w:pStyle w:val="tit23"/>
        <w:ind w:left="6464" w:right="-1361" w:firstLine="0"/>
        <w:jc w:val="left"/>
        <w:rPr>
          <w:bCs/>
          <w:i/>
          <w:iCs/>
          <w:color w:val="0000FF"/>
          <w:lang w:val="it-IT"/>
        </w:rPr>
      </w:pPr>
      <w:r w:rsidRPr="007F7EBF">
        <w:rPr>
          <w:bCs/>
          <w:i/>
          <w:iCs/>
          <w:color w:val="0000FF"/>
          <w:lang w:val="it-IT"/>
        </w:rPr>
        <w:t xml:space="preserve">Inadeguatezza </w:t>
      </w:r>
      <w:r w:rsidR="00233A5B" w:rsidRPr="007F7EBF">
        <w:rPr>
          <w:bCs/>
          <w:i/>
          <w:iCs/>
          <w:color w:val="0000FF"/>
          <w:lang w:val="it-IT"/>
        </w:rPr>
        <w:t xml:space="preserve">e declino </w:t>
      </w:r>
      <w:r w:rsidRPr="007F7EBF">
        <w:rPr>
          <w:bCs/>
          <w:i/>
          <w:iCs/>
          <w:color w:val="0000FF"/>
          <w:lang w:val="it-IT"/>
        </w:rPr>
        <w:t xml:space="preserve">della tassazione per condono        </w:t>
      </w:r>
    </w:p>
    <w:p w14:paraId="45D8CAC5" w14:textId="3E0C486F" w:rsidR="00C52EE3" w:rsidRPr="007F7EBF" w:rsidRDefault="00EB5C44" w:rsidP="00C52EE3">
      <w:pPr>
        <w:rPr>
          <w:sz w:val="22"/>
          <w:szCs w:val="22"/>
        </w:rPr>
      </w:pPr>
      <w:r>
        <w:rPr>
          <w:sz w:val="22"/>
          <w:szCs w:val="22"/>
        </w:rPr>
        <w:t xml:space="preserve">Si comprende da quanto precede che il condono non è un’idea da demonizzare moralisticamente, ma uno dei </w:t>
      </w:r>
      <w:r w:rsidR="00905AC2">
        <w:rPr>
          <w:sz w:val="22"/>
          <w:szCs w:val="22"/>
        </w:rPr>
        <w:t>vari</w:t>
      </w:r>
      <w:r>
        <w:rPr>
          <w:sz w:val="22"/>
          <w:szCs w:val="22"/>
        </w:rPr>
        <w:t xml:space="preserve"> strumenti per gestire l’autotassazione</w:t>
      </w:r>
      <w:r w:rsidR="00905AC2">
        <w:rPr>
          <w:sz w:val="22"/>
          <w:szCs w:val="22"/>
        </w:rPr>
        <w:t>,</w:t>
      </w:r>
      <w:r>
        <w:rPr>
          <w:sz w:val="22"/>
          <w:szCs w:val="22"/>
        </w:rPr>
        <w:t xml:space="preserve"> di cui non </w:t>
      </w:r>
      <w:r w:rsidR="00905AC2">
        <w:rPr>
          <w:sz w:val="22"/>
          <w:szCs w:val="22"/>
        </w:rPr>
        <w:t xml:space="preserve">si deve </w:t>
      </w:r>
      <w:r>
        <w:rPr>
          <w:sz w:val="22"/>
          <w:szCs w:val="22"/>
        </w:rPr>
        <w:t xml:space="preserve">abusare; la </w:t>
      </w:r>
      <w:r w:rsidR="0063044F" w:rsidRPr="007F7EBF">
        <w:rPr>
          <w:sz w:val="22"/>
          <w:szCs w:val="22"/>
        </w:rPr>
        <w:t>ripetizione dei c</w:t>
      </w:r>
      <w:r w:rsidR="005C4DA6" w:rsidRPr="007F7EBF">
        <w:rPr>
          <w:sz w:val="22"/>
          <w:szCs w:val="22"/>
        </w:rPr>
        <w:t>ondoni,</w:t>
      </w:r>
      <w:r>
        <w:rPr>
          <w:sz w:val="22"/>
          <w:szCs w:val="22"/>
        </w:rPr>
        <w:t xml:space="preserve"> ne compromette il successo, anche se molti piccoli commercianti e artigiani, </w:t>
      </w:r>
      <w:r w:rsidR="00905AC2">
        <w:rPr>
          <w:sz w:val="22"/>
          <w:szCs w:val="22"/>
        </w:rPr>
        <w:t xml:space="preserve">dopo aver aderito ai condoni, </w:t>
      </w:r>
      <w:r>
        <w:rPr>
          <w:sz w:val="22"/>
          <w:szCs w:val="22"/>
        </w:rPr>
        <w:t xml:space="preserve">spinti dai consulenti </w:t>
      </w:r>
      <w:r w:rsidRPr="007F7EBF">
        <w:t>per i motivi di cui al par.3.16</w:t>
      </w:r>
      <w:r>
        <w:rPr>
          <w:sz w:val="22"/>
          <w:szCs w:val="22"/>
        </w:rPr>
        <w:t xml:space="preserve">, </w:t>
      </w:r>
      <w:r w:rsidRPr="007F7EBF">
        <w:t xml:space="preserve">lamentavano di non aver mai pagato imposte come </w:t>
      </w:r>
      <w:r w:rsidR="00905AC2">
        <w:t>in quelle occasioni</w:t>
      </w:r>
      <w:r w:rsidRPr="007F7EBF">
        <w:t>.</w:t>
      </w:r>
      <w:r>
        <w:t xml:space="preserve"> </w:t>
      </w:r>
      <w:r w:rsidR="00905AC2">
        <w:t>E’ una specie di “tassazione in due tempi”, su cui n</w:t>
      </w:r>
      <w:r>
        <w:t>on si può puntare troppo</w:t>
      </w:r>
      <w:r w:rsidR="00905AC2">
        <w:t xml:space="preserve">, </w:t>
      </w:r>
      <w:r>
        <w:rPr>
          <w:sz w:val="22"/>
          <w:szCs w:val="22"/>
        </w:rPr>
        <w:t xml:space="preserve">come surrogato dei controlli, perché </w:t>
      </w:r>
      <w:r w:rsidR="00905AC2">
        <w:rPr>
          <w:sz w:val="22"/>
          <w:szCs w:val="22"/>
        </w:rPr>
        <w:t xml:space="preserve">questi ultimi sono via via avvertiti come “meno probabili” da </w:t>
      </w:r>
      <w:r w:rsidR="006342C5" w:rsidRPr="007F7EBF">
        <w:rPr>
          <w:sz w:val="22"/>
          <w:szCs w:val="22"/>
        </w:rPr>
        <w:t xml:space="preserve">contribuenti </w:t>
      </w:r>
      <w:r w:rsidR="00905AC2">
        <w:rPr>
          <w:sz w:val="22"/>
          <w:szCs w:val="22"/>
        </w:rPr>
        <w:t xml:space="preserve">che </w:t>
      </w:r>
      <w:r w:rsidR="006342C5" w:rsidRPr="007F7EBF">
        <w:rPr>
          <w:sz w:val="22"/>
          <w:szCs w:val="22"/>
        </w:rPr>
        <w:t>“mangiano la fogl</w:t>
      </w:r>
      <w:r w:rsidR="00905AC2">
        <w:rPr>
          <w:sz w:val="22"/>
          <w:szCs w:val="22"/>
        </w:rPr>
        <w:t xml:space="preserve">ia” </w:t>
      </w:r>
      <w:r w:rsidR="00C24D72">
        <w:rPr>
          <w:sz w:val="22"/>
          <w:szCs w:val="22"/>
        </w:rPr>
        <w:t>(</w:t>
      </w:r>
      <w:r w:rsidR="00B81A25" w:rsidRPr="007F7EBF">
        <w:rPr>
          <w:rStyle w:val="Rimandonotaapidipagina"/>
          <w:sz w:val="22"/>
          <w:szCs w:val="22"/>
        </w:rPr>
        <w:footnoteReference w:id="727"/>
      </w:r>
      <w:r w:rsidR="00C24D72">
        <w:rPr>
          <w:sz w:val="22"/>
          <w:szCs w:val="22"/>
        </w:rPr>
        <w:t>)</w:t>
      </w:r>
      <w:r w:rsidR="006342C5" w:rsidRPr="007F7EBF">
        <w:rPr>
          <w:sz w:val="22"/>
          <w:szCs w:val="22"/>
        </w:rPr>
        <w:t>.</w:t>
      </w:r>
      <w:r w:rsidR="00B16187" w:rsidRPr="007F7EBF">
        <w:rPr>
          <w:sz w:val="22"/>
          <w:szCs w:val="22"/>
        </w:rPr>
        <w:t xml:space="preserve"> </w:t>
      </w:r>
      <w:r w:rsidR="00905AC2">
        <w:rPr>
          <w:sz w:val="22"/>
          <w:szCs w:val="22"/>
        </w:rPr>
        <w:t>Oggi l</w:t>
      </w:r>
      <w:r w:rsidR="00295926" w:rsidRPr="007F7EBF">
        <w:rPr>
          <w:sz w:val="22"/>
          <w:szCs w:val="22"/>
        </w:rPr>
        <w:t xml:space="preserve">'istituto </w:t>
      </w:r>
      <w:r w:rsidR="00B16187" w:rsidRPr="007F7EBF">
        <w:rPr>
          <w:sz w:val="22"/>
          <w:szCs w:val="22"/>
        </w:rPr>
        <w:t xml:space="preserve">è </w:t>
      </w:r>
      <w:r w:rsidR="00C34A17">
        <w:rPr>
          <w:sz w:val="22"/>
          <w:szCs w:val="22"/>
        </w:rPr>
        <w:lastRenderedPageBreak/>
        <w:t>screditato, ma non perché si sia raggiunta una spiegazione sociale della funzione tributaria</w:t>
      </w:r>
      <w:r w:rsidR="00C34A17" w:rsidRPr="007F7EBF">
        <w:rPr>
          <w:sz w:val="22"/>
          <w:szCs w:val="22"/>
        </w:rPr>
        <w:t xml:space="preserve"> </w:t>
      </w:r>
      <w:r w:rsidR="00C24D72">
        <w:rPr>
          <w:sz w:val="22"/>
          <w:szCs w:val="22"/>
        </w:rPr>
        <w:t>(</w:t>
      </w:r>
      <w:r w:rsidR="00EE2AF1" w:rsidRPr="007F7EBF">
        <w:rPr>
          <w:rStyle w:val="Rimandonotaapidipagina"/>
          <w:sz w:val="22"/>
          <w:szCs w:val="22"/>
        </w:rPr>
        <w:footnoteReference w:id="728"/>
      </w:r>
      <w:r w:rsidR="00C24D72">
        <w:rPr>
          <w:sz w:val="22"/>
          <w:szCs w:val="22"/>
        </w:rPr>
        <w:t>)</w:t>
      </w:r>
      <w:r w:rsidR="00C34A17">
        <w:rPr>
          <w:sz w:val="22"/>
          <w:szCs w:val="22"/>
        </w:rPr>
        <w:t>; nel valutare gli effetti dei condoni occorre capire che le organizzazioni comunque adempiono, ed essi riguardano solo piccoli commercianti, artigiani e titolari di piccole attività pluripersonali; tatticamente, un</w:t>
      </w:r>
      <w:r w:rsidR="00C34A17" w:rsidRPr="007F7EBF">
        <w:t xml:space="preserve">a nuova spiegazione </w:t>
      </w:r>
      <w:r w:rsidR="00C34A17">
        <w:t xml:space="preserve">scientifico </w:t>
      </w:r>
      <w:r w:rsidR="00C34A17" w:rsidRPr="007F7EBF">
        <w:t>sociale della determinazione de</w:t>
      </w:r>
      <w:r w:rsidR="00C34A17">
        <w:t xml:space="preserve">gli imponibili </w:t>
      </w:r>
      <w:r w:rsidR="00C34A17" w:rsidRPr="007F7EBF">
        <w:t>potrebbe essere quasi sugellata da un condono "di transito" sugli anni aperti, per raggiungere l'assetto di cui al par.5.7</w:t>
      </w:r>
      <w:r w:rsidR="0018396A">
        <w:t>, in un’</w:t>
      </w:r>
      <w:r w:rsidR="00DE2FD1">
        <w:t xml:space="preserve">ampia </w:t>
      </w:r>
      <w:r w:rsidR="0018396A">
        <w:t>operazione culturale di cui il condono sarebbe solo un tattic</w:t>
      </w:r>
      <w:r w:rsidR="00DE2FD1">
        <w:t>ism</w:t>
      </w:r>
      <w:r w:rsidR="0018396A">
        <w:t xml:space="preserve">o. </w:t>
      </w:r>
    </w:p>
    <w:p w14:paraId="28E7B558" w14:textId="77777777" w:rsidR="00591418" w:rsidRPr="007F7EBF" w:rsidRDefault="006342C5" w:rsidP="004D5CCE">
      <w:pPr>
        <w:pStyle w:val="Titolo3"/>
        <w:rPr>
          <w:rFonts w:ascii="Times New Roman" w:hAnsi="Times New Roman"/>
          <w:sz w:val="22"/>
          <w:szCs w:val="22"/>
        </w:rPr>
      </w:pPr>
      <w:bookmarkStart w:id="80" w:name="_Toc63364993"/>
      <w:r w:rsidRPr="007F7EBF">
        <w:rPr>
          <w:rFonts w:ascii="Times New Roman" w:hAnsi="Times New Roman"/>
          <w:sz w:val="22"/>
          <w:szCs w:val="22"/>
        </w:rPr>
        <w:t>Capitolo 6</w:t>
      </w:r>
      <w:r w:rsidR="003863F1" w:rsidRPr="007F7EBF">
        <w:rPr>
          <w:rFonts w:ascii="Times New Roman" w:hAnsi="Times New Roman"/>
          <w:sz w:val="22"/>
          <w:szCs w:val="22"/>
        </w:rPr>
        <w:t xml:space="preserve"> </w:t>
      </w:r>
      <w:r w:rsidR="00DE1AC5" w:rsidRPr="007F7EBF">
        <w:rPr>
          <w:rFonts w:ascii="Times New Roman" w:hAnsi="Times New Roman"/>
          <w:sz w:val="22"/>
          <w:szCs w:val="22"/>
        </w:rPr>
        <w:t>C</w:t>
      </w:r>
      <w:r w:rsidRPr="007F7EBF">
        <w:rPr>
          <w:rFonts w:ascii="Times New Roman" w:hAnsi="Times New Roman"/>
          <w:sz w:val="22"/>
          <w:szCs w:val="22"/>
        </w:rPr>
        <w:t>ONTENZIOSO</w:t>
      </w:r>
      <w:r w:rsidR="00EE04FC" w:rsidRPr="007F7EBF">
        <w:rPr>
          <w:rFonts w:ascii="Times New Roman" w:hAnsi="Times New Roman"/>
          <w:sz w:val="22"/>
          <w:szCs w:val="22"/>
        </w:rPr>
        <w:t xml:space="preserve"> AMMINISTRATIVO </w:t>
      </w:r>
      <w:r w:rsidR="00D70B85" w:rsidRPr="007F7EBF">
        <w:rPr>
          <w:rFonts w:ascii="Times New Roman" w:hAnsi="Times New Roman"/>
          <w:sz w:val="22"/>
          <w:szCs w:val="22"/>
        </w:rPr>
        <w:t xml:space="preserve">E GIURISDIZIONALE, </w:t>
      </w:r>
      <w:r w:rsidR="00591418" w:rsidRPr="007F7EBF">
        <w:rPr>
          <w:rFonts w:ascii="Times New Roman" w:hAnsi="Times New Roman"/>
          <w:sz w:val="22"/>
          <w:szCs w:val="22"/>
        </w:rPr>
        <w:t>RISCOSSIONE</w:t>
      </w:r>
      <w:r w:rsidRPr="007F7EBF">
        <w:rPr>
          <w:rFonts w:ascii="Times New Roman" w:hAnsi="Times New Roman"/>
          <w:sz w:val="22"/>
          <w:szCs w:val="22"/>
        </w:rPr>
        <w:t xml:space="preserve"> E</w:t>
      </w:r>
      <w:r w:rsidR="00591418" w:rsidRPr="007F7EBF">
        <w:rPr>
          <w:rFonts w:ascii="Times New Roman" w:hAnsi="Times New Roman"/>
          <w:sz w:val="22"/>
          <w:szCs w:val="22"/>
        </w:rPr>
        <w:t xml:space="preserve"> SANZIONI</w:t>
      </w:r>
      <w:bookmarkEnd w:id="80"/>
    </w:p>
    <w:p w14:paraId="5C24B946" w14:textId="77777777" w:rsidR="00E4292C" w:rsidRPr="007F7EBF" w:rsidRDefault="00E4292C" w:rsidP="00C52EE3">
      <w:pPr>
        <w:rPr>
          <w:sz w:val="22"/>
          <w:szCs w:val="22"/>
        </w:rPr>
      </w:pPr>
    </w:p>
    <w:p w14:paraId="07E49723" w14:textId="0BC38124" w:rsidR="00E4292C" w:rsidRPr="007F7EBF" w:rsidRDefault="00E4292C" w:rsidP="00E4292C">
      <w:pPr>
        <w:autoSpaceDE w:val="0"/>
        <w:autoSpaceDN w:val="0"/>
        <w:adjustRightInd w:val="0"/>
        <w:rPr>
          <w:b/>
          <w:bCs/>
          <w:sz w:val="22"/>
          <w:szCs w:val="22"/>
        </w:rPr>
      </w:pPr>
      <w:r w:rsidRPr="007F7EBF">
        <w:rPr>
          <w:sz w:val="22"/>
          <w:szCs w:val="22"/>
        </w:rPr>
        <w:t xml:space="preserve">Sintesi. </w:t>
      </w:r>
      <w:r w:rsidR="00C24D72">
        <w:rPr>
          <w:sz w:val="22"/>
          <w:szCs w:val="22"/>
        </w:rPr>
        <w:t>Questo capitolo è dedicato a</w:t>
      </w:r>
      <w:r w:rsidR="00E811F8">
        <w:rPr>
          <w:sz w:val="22"/>
          <w:szCs w:val="22"/>
        </w:rPr>
        <w:t xml:space="preserve">lla rideterminazione delle imposte da parte degli uffici tributari, con </w:t>
      </w:r>
      <w:r w:rsidR="00C24D72">
        <w:rPr>
          <w:sz w:val="22"/>
          <w:szCs w:val="22"/>
        </w:rPr>
        <w:t>atti amministrativ</w:t>
      </w:r>
      <w:r w:rsidRPr="007F7EBF">
        <w:rPr>
          <w:sz w:val="22"/>
          <w:szCs w:val="22"/>
        </w:rPr>
        <w:t>i, come tali in grado di imporsi unilateralmente al destinatario</w:t>
      </w:r>
      <w:r w:rsidR="002153FC">
        <w:rPr>
          <w:sz w:val="22"/>
          <w:szCs w:val="22"/>
        </w:rPr>
        <w:t xml:space="preserve">, e quindi da motivare, </w:t>
      </w:r>
      <w:r w:rsidRPr="007F7EBF">
        <w:rPr>
          <w:sz w:val="22"/>
          <w:szCs w:val="22"/>
        </w:rPr>
        <w:t xml:space="preserve">in modo che </w:t>
      </w:r>
      <w:r w:rsidR="00E811F8">
        <w:rPr>
          <w:sz w:val="22"/>
          <w:szCs w:val="22"/>
        </w:rPr>
        <w:t>il destinatario</w:t>
      </w:r>
      <w:r w:rsidRPr="007F7EBF">
        <w:rPr>
          <w:sz w:val="22"/>
          <w:szCs w:val="22"/>
        </w:rPr>
        <w:t xml:space="preserve"> possa</w:t>
      </w:r>
      <w:r w:rsidR="00EA243E" w:rsidRPr="007F7EBF">
        <w:rPr>
          <w:sz w:val="22"/>
          <w:szCs w:val="22"/>
        </w:rPr>
        <w:t xml:space="preserve"> </w:t>
      </w:r>
      <w:r w:rsidRPr="007F7EBF">
        <w:rPr>
          <w:sz w:val="22"/>
          <w:szCs w:val="22"/>
        </w:rPr>
        <w:t>attiva</w:t>
      </w:r>
      <w:r w:rsidR="002153FC">
        <w:rPr>
          <w:sz w:val="22"/>
          <w:szCs w:val="22"/>
        </w:rPr>
        <w:t xml:space="preserve">re con cognizione di causa </w:t>
      </w:r>
      <w:r w:rsidRPr="007F7EBF">
        <w:rPr>
          <w:sz w:val="22"/>
          <w:szCs w:val="22"/>
        </w:rPr>
        <w:t>il contenzioso amministrativo e giurisdizionale</w:t>
      </w:r>
      <w:r w:rsidR="00435CED" w:rsidRPr="007F7EBF">
        <w:rPr>
          <w:sz w:val="22"/>
          <w:szCs w:val="22"/>
        </w:rPr>
        <w:t xml:space="preserve"> (parr.6.1-6.3)</w:t>
      </w:r>
      <w:r w:rsidRPr="007F7EBF">
        <w:rPr>
          <w:sz w:val="22"/>
          <w:szCs w:val="22"/>
        </w:rPr>
        <w:t>.</w:t>
      </w:r>
    </w:p>
    <w:p w14:paraId="6786D1FC" w14:textId="10902824" w:rsidR="00E4292C" w:rsidRPr="007F7EBF" w:rsidRDefault="00E4292C" w:rsidP="00E4292C">
      <w:pPr>
        <w:rPr>
          <w:sz w:val="22"/>
          <w:szCs w:val="22"/>
        </w:rPr>
      </w:pPr>
      <w:r w:rsidRPr="007F7EBF">
        <w:rPr>
          <w:sz w:val="22"/>
          <w:szCs w:val="22"/>
        </w:rPr>
        <w:t xml:space="preserve">Il contenzioso amministrativo rappresenta il </w:t>
      </w:r>
      <w:r w:rsidR="00435CED" w:rsidRPr="007F7EBF">
        <w:rPr>
          <w:sz w:val="22"/>
          <w:szCs w:val="22"/>
        </w:rPr>
        <w:t>logico</w:t>
      </w:r>
      <w:r w:rsidRPr="007F7EBF">
        <w:rPr>
          <w:sz w:val="22"/>
          <w:szCs w:val="22"/>
        </w:rPr>
        <w:t xml:space="preserve"> passaggio </w:t>
      </w:r>
      <w:r w:rsidR="00435CED" w:rsidRPr="007F7EBF">
        <w:rPr>
          <w:sz w:val="22"/>
          <w:szCs w:val="22"/>
        </w:rPr>
        <w:t xml:space="preserve">preliminare attraverso cui </w:t>
      </w:r>
      <w:r w:rsidR="002153FC">
        <w:rPr>
          <w:sz w:val="22"/>
          <w:szCs w:val="22"/>
        </w:rPr>
        <w:t xml:space="preserve">le funzioni </w:t>
      </w:r>
      <w:r w:rsidRPr="007F7EBF">
        <w:rPr>
          <w:sz w:val="22"/>
          <w:szCs w:val="22"/>
        </w:rPr>
        <w:t>non giurisdizional</w:t>
      </w:r>
      <w:r w:rsidR="002153FC">
        <w:rPr>
          <w:sz w:val="22"/>
          <w:szCs w:val="22"/>
        </w:rPr>
        <w:t>i</w:t>
      </w:r>
      <w:r w:rsidR="00E811F8">
        <w:rPr>
          <w:sz w:val="22"/>
          <w:szCs w:val="22"/>
        </w:rPr>
        <w:t xml:space="preserve"> cerca</w:t>
      </w:r>
      <w:r w:rsidR="002153FC">
        <w:rPr>
          <w:sz w:val="22"/>
          <w:szCs w:val="22"/>
        </w:rPr>
        <w:t>no</w:t>
      </w:r>
      <w:r w:rsidR="00E811F8">
        <w:rPr>
          <w:sz w:val="22"/>
          <w:szCs w:val="22"/>
        </w:rPr>
        <w:t xml:space="preserve"> </w:t>
      </w:r>
      <w:r w:rsidR="00435CED" w:rsidRPr="007F7EBF">
        <w:rPr>
          <w:sz w:val="22"/>
          <w:szCs w:val="22"/>
        </w:rPr>
        <w:t xml:space="preserve">di </w:t>
      </w:r>
      <w:r w:rsidR="00E811F8">
        <w:rPr>
          <w:sz w:val="22"/>
          <w:szCs w:val="22"/>
        </w:rPr>
        <w:t>gestire i conflitti a</w:t>
      </w:r>
      <w:r w:rsidR="002153FC">
        <w:rPr>
          <w:sz w:val="22"/>
          <w:szCs w:val="22"/>
        </w:rPr>
        <w:t xml:space="preserve">l proprio interno (in modo “gerarchico politico”), tramite </w:t>
      </w:r>
      <w:r w:rsidR="007054BB" w:rsidRPr="007F7EBF">
        <w:rPr>
          <w:sz w:val="22"/>
          <w:szCs w:val="22"/>
        </w:rPr>
        <w:t xml:space="preserve">lo stesso ufficio </w:t>
      </w:r>
      <w:r w:rsidRPr="007F7EBF">
        <w:rPr>
          <w:sz w:val="22"/>
          <w:szCs w:val="22"/>
        </w:rPr>
        <w:t xml:space="preserve">che ha emanato l’atto, o sue articolazioni </w:t>
      </w:r>
      <w:r w:rsidR="007054BB" w:rsidRPr="007F7EBF">
        <w:rPr>
          <w:sz w:val="22"/>
          <w:szCs w:val="22"/>
        </w:rPr>
        <w:t>“contenziose”</w:t>
      </w:r>
      <w:r w:rsidRPr="007F7EBF">
        <w:rPr>
          <w:sz w:val="22"/>
          <w:szCs w:val="22"/>
        </w:rPr>
        <w:t xml:space="preserve">. </w:t>
      </w:r>
      <w:r w:rsidR="00E811F8">
        <w:rPr>
          <w:sz w:val="22"/>
          <w:szCs w:val="22"/>
        </w:rPr>
        <w:t xml:space="preserve">Ai paragrafi </w:t>
      </w:r>
      <w:r w:rsidR="00E811F8" w:rsidRPr="007F7EBF">
        <w:rPr>
          <w:sz w:val="22"/>
          <w:szCs w:val="22"/>
        </w:rPr>
        <w:t>parr.6.4-6</w:t>
      </w:r>
      <w:r w:rsidR="00E811F8">
        <w:rPr>
          <w:sz w:val="22"/>
          <w:szCs w:val="22"/>
        </w:rPr>
        <w:t>.</w:t>
      </w:r>
      <w:r w:rsidR="00E811F8" w:rsidRPr="007F7EBF">
        <w:rPr>
          <w:sz w:val="22"/>
          <w:szCs w:val="22"/>
        </w:rPr>
        <w:t>5</w:t>
      </w:r>
      <w:r w:rsidR="00E811F8">
        <w:rPr>
          <w:sz w:val="22"/>
          <w:szCs w:val="22"/>
        </w:rPr>
        <w:t xml:space="preserve">-6.6 vedremo la pluridecennale sottovalutazione </w:t>
      </w:r>
      <w:r w:rsidR="002153FC">
        <w:rPr>
          <w:sz w:val="22"/>
          <w:szCs w:val="22"/>
        </w:rPr>
        <w:t xml:space="preserve">del contenzioso amministrativo a favore di una </w:t>
      </w:r>
      <w:r w:rsidR="00E811F8">
        <w:rPr>
          <w:sz w:val="22"/>
          <w:szCs w:val="22"/>
        </w:rPr>
        <w:t xml:space="preserve"> determinazione ragionieristica degli imponibili</w:t>
      </w:r>
      <w:r w:rsidR="002153FC">
        <w:rPr>
          <w:sz w:val="22"/>
          <w:szCs w:val="22"/>
        </w:rPr>
        <w:t>, nella cornice privatistico-giurisdizionale del diritto</w:t>
      </w:r>
      <w:r w:rsidR="00E811F8">
        <w:rPr>
          <w:sz w:val="22"/>
          <w:szCs w:val="22"/>
        </w:rPr>
        <w:t xml:space="preserve">. Ne è derivato un enorme numero di </w:t>
      </w:r>
      <w:r w:rsidR="00435CED" w:rsidRPr="007F7EBF">
        <w:rPr>
          <w:sz w:val="22"/>
          <w:szCs w:val="22"/>
        </w:rPr>
        <w:t xml:space="preserve">processi tributari, gestiti da organi giurisdizionali “speciali” (par.6.7 ss.), in un </w:t>
      </w:r>
      <w:r w:rsidR="00E811F8">
        <w:rPr>
          <w:sz w:val="22"/>
          <w:szCs w:val="22"/>
        </w:rPr>
        <w:t xml:space="preserve">rito </w:t>
      </w:r>
      <w:r w:rsidR="00435CED" w:rsidRPr="007F7EBF">
        <w:rPr>
          <w:sz w:val="22"/>
          <w:szCs w:val="22"/>
        </w:rPr>
        <w:t>strutturalmente</w:t>
      </w:r>
      <w:r w:rsidRPr="007F7EBF">
        <w:rPr>
          <w:sz w:val="22"/>
          <w:szCs w:val="22"/>
        </w:rPr>
        <w:t xml:space="preserve"> </w:t>
      </w:r>
      <w:proofErr w:type="spellStart"/>
      <w:r w:rsidRPr="007F7EBF">
        <w:rPr>
          <w:sz w:val="22"/>
          <w:szCs w:val="22"/>
        </w:rPr>
        <w:t>impugnatorio</w:t>
      </w:r>
      <w:proofErr w:type="spellEnd"/>
      <w:r w:rsidR="00153FB3">
        <w:rPr>
          <w:sz w:val="22"/>
          <w:szCs w:val="22"/>
        </w:rPr>
        <w:t>,</w:t>
      </w:r>
      <w:r w:rsidRPr="007F7EBF">
        <w:rPr>
          <w:sz w:val="22"/>
          <w:szCs w:val="22"/>
        </w:rPr>
        <w:t xml:space="preserve"> </w:t>
      </w:r>
      <w:r w:rsidR="00153FB3">
        <w:rPr>
          <w:sz w:val="22"/>
          <w:szCs w:val="22"/>
        </w:rPr>
        <w:t xml:space="preserve">dove si esamina la corretta </w:t>
      </w:r>
      <w:r w:rsidRPr="007F7EBF">
        <w:rPr>
          <w:sz w:val="22"/>
          <w:szCs w:val="22"/>
        </w:rPr>
        <w:t xml:space="preserve">determinazione, da parte dell’ufficio, </w:t>
      </w:r>
      <w:r w:rsidR="00153FB3">
        <w:rPr>
          <w:sz w:val="22"/>
          <w:szCs w:val="22"/>
        </w:rPr>
        <w:t>dell’imposta</w:t>
      </w:r>
      <w:r w:rsidR="00435CED" w:rsidRPr="007F7EBF">
        <w:rPr>
          <w:sz w:val="22"/>
          <w:szCs w:val="22"/>
        </w:rPr>
        <w:t xml:space="preserve"> (parr.6.8 -6.9 sui </w:t>
      </w:r>
      <w:r w:rsidR="00435CED" w:rsidRPr="007F7EBF">
        <w:rPr>
          <w:sz w:val="22"/>
          <w:szCs w:val="22"/>
        </w:rPr>
        <w:lastRenderedPageBreak/>
        <w:t xml:space="preserve">giudici e sul rito); tuttavia il retaggio del contenzioso amministrativo mantiene </w:t>
      </w:r>
      <w:r w:rsidR="00680F92">
        <w:rPr>
          <w:sz w:val="22"/>
          <w:szCs w:val="22"/>
        </w:rPr>
        <w:t xml:space="preserve">una sostanziale </w:t>
      </w:r>
      <w:r w:rsidR="00435CED" w:rsidRPr="007F7EBF">
        <w:rPr>
          <w:sz w:val="22"/>
          <w:szCs w:val="22"/>
        </w:rPr>
        <w:t xml:space="preserve">rideterminazione dell’imposta da parte del giudice, </w:t>
      </w:r>
      <w:r w:rsidR="00680F92">
        <w:rPr>
          <w:sz w:val="22"/>
          <w:szCs w:val="22"/>
        </w:rPr>
        <w:t>come vedremo ai parr.6.9-6.10 a proposito d</w:t>
      </w:r>
      <w:r w:rsidR="007422A8">
        <w:rPr>
          <w:sz w:val="22"/>
          <w:szCs w:val="22"/>
        </w:rPr>
        <w:t xml:space="preserve">i </w:t>
      </w:r>
      <w:r w:rsidR="00435CED" w:rsidRPr="007F7EBF">
        <w:rPr>
          <w:sz w:val="22"/>
          <w:szCs w:val="22"/>
        </w:rPr>
        <w:t xml:space="preserve"> “annullamento parziale” </w:t>
      </w:r>
      <w:r w:rsidR="008F3056">
        <w:rPr>
          <w:sz w:val="22"/>
          <w:szCs w:val="22"/>
        </w:rPr>
        <w:t>e impugnazione merito</w:t>
      </w:r>
      <w:r w:rsidRPr="007F7EBF">
        <w:rPr>
          <w:sz w:val="22"/>
          <w:szCs w:val="22"/>
        </w:rPr>
        <w:t xml:space="preserve">. </w:t>
      </w:r>
      <w:r w:rsidR="008F3056">
        <w:rPr>
          <w:sz w:val="22"/>
          <w:szCs w:val="22"/>
        </w:rPr>
        <w:t>U</w:t>
      </w:r>
      <w:r w:rsidRPr="007F7EBF">
        <w:rPr>
          <w:sz w:val="22"/>
          <w:szCs w:val="22"/>
        </w:rPr>
        <w:t xml:space="preserve">n processo </w:t>
      </w:r>
      <w:r w:rsidR="00E811F8">
        <w:rPr>
          <w:sz w:val="22"/>
          <w:szCs w:val="22"/>
        </w:rPr>
        <w:t xml:space="preserve">oggettivamente </w:t>
      </w:r>
      <w:r w:rsidRPr="007F7EBF">
        <w:rPr>
          <w:sz w:val="22"/>
          <w:szCs w:val="22"/>
        </w:rPr>
        <w:t xml:space="preserve">amministrativo </w:t>
      </w:r>
      <w:r w:rsidR="008F3056">
        <w:rPr>
          <w:sz w:val="22"/>
          <w:szCs w:val="22"/>
        </w:rPr>
        <w:t xml:space="preserve">è stato calato </w:t>
      </w:r>
      <w:r w:rsidRPr="007F7EBF">
        <w:rPr>
          <w:sz w:val="22"/>
          <w:szCs w:val="22"/>
        </w:rPr>
        <w:t>nelle forme del rito civile,</w:t>
      </w:r>
      <w:r w:rsidR="00E811F8">
        <w:rPr>
          <w:sz w:val="22"/>
          <w:szCs w:val="22"/>
        </w:rPr>
        <w:t xml:space="preserve"> con una serie </w:t>
      </w:r>
      <w:r w:rsidRPr="007F7EBF">
        <w:rPr>
          <w:sz w:val="22"/>
          <w:szCs w:val="22"/>
        </w:rPr>
        <w:t>di equivoci sul ruolo del giudice, sull’onere della prova</w:t>
      </w:r>
      <w:r w:rsidR="00435CED" w:rsidRPr="007F7EBF">
        <w:rPr>
          <w:sz w:val="22"/>
          <w:szCs w:val="22"/>
        </w:rPr>
        <w:t xml:space="preserve"> (par.6.2)</w:t>
      </w:r>
      <w:r w:rsidRPr="007F7EBF">
        <w:rPr>
          <w:sz w:val="22"/>
          <w:szCs w:val="22"/>
        </w:rPr>
        <w:t>, la riscossione</w:t>
      </w:r>
      <w:r w:rsidR="00435CED" w:rsidRPr="007F7EBF">
        <w:rPr>
          <w:sz w:val="22"/>
          <w:szCs w:val="22"/>
        </w:rPr>
        <w:t xml:space="preserve"> (parr.6.11-6.12) e le sanzioni (parr.6.13-6.14). </w:t>
      </w:r>
    </w:p>
    <w:p w14:paraId="42524E59" w14:textId="77777777" w:rsidR="00C61A6E" w:rsidRPr="007F7EBF" w:rsidRDefault="00C61A6E" w:rsidP="006342C5">
      <w:pPr>
        <w:autoSpaceDE w:val="0"/>
        <w:autoSpaceDN w:val="0"/>
        <w:adjustRightInd w:val="0"/>
        <w:rPr>
          <w:b/>
          <w:bCs/>
          <w:sz w:val="22"/>
          <w:szCs w:val="22"/>
        </w:rPr>
      </w:pPr>
    </w:p>
    <w:p w14:paraId="41E5E533" w14:textId="0AE08094" w:rsidR="002367DB" w:rsidRPr="007F7EBF" w:rsidRDefault="006342C5" w:rsidP="00613F75">
      <w:pPr>
        <w:pStyle w:val="Titolo3"/>
        <w:rPr>
          <w:bCs w:val="0"/>
          <w:i/>
          <w:iCs/>
          <w:color w:val="0000FF"/>
          <w:sz w:val="22"/>
          <w:szCs w:val="22"/>
        </w:rPr>
      </w:pPr>
      <w:bookmarkStart w:id="81" w:name="_Toc63364994"/>
      <w:r w:rsidRPr="007F7EBF">
        <w:rPr>
          <w:rFonts w:ascii="Times New Roman" w:hAnsi="Times New Roman"/>
          <w:sz w:val="22"/>
          <w:szCs w:val="22"/>
        </w:rPr>
        <w:t xml:space="preserve">6.1. </w:t>
      </w:r>
      <w:r w:rsidR="00A479A9" w:rsidRPr="007F7EBF">
        <w:rPr>
          <w:rFonts w:ascii="Times New Roman" w:hAnsi="Times New Roman"/>
          <w:sz w:val="22"/>
          <w:szCs w:val="22"/>
        </w:rPr>
        <w:t>P</w:t>
      </w:r>
      <w:r w:rsidRPr="007F7EBF">
        <w:rPr>
          <w:rFonts w:ascii="Times New Roman" w:hAnsi="Times New Roman"/>
          <w:sz w:val="22"/>
          <w:szCs w:val="22"/>
        </w:rPr>
        <w:t xml:space="preserve">rovvedimenti </w:t>
      </w:r>
      <w:r w:rsidR="003F5570" w:rsidRPr="007F7EBF">
        <w:rPr>
          <w:rFonts w:ascii="Times New Roman" w:hAnsi="Times New Roman"/>
          <w:sz w:val="22"/>
          <w:szCs w:val="22"/>
        </w:rPr>
        <w:t>amministrativ</w:t>
      </w:r>
      <w:r w:rsidR="00A479A9" w:rsidRPr="007F7EBF">
        <w:rPr>
          <w:rFonts w:ascii="Times New Roman" w:hAnsi="Times New Roman"/>
          <w:sz w:val="22"/>
          <w:szCs w:val="22"/>
        </w:rPr>
        <w:t>i nella determinazione dei tributi</w:t>
      </w:r>
      <w:r w:rsidR="003F5570" w:rsidRPr="007F7EBF">
        <w:rPr>
          <w:rFonts w:ascii="Times New Roman" w:hAnsi="Times New Roman"/>
          <w:sz w:val="22"/>
          <w:szCs w:val="22"/>
        </w:rPr>
        <w:t xml:space="preserve">: </w:t>
      </w:r>
      <w:proofErr w:type="spellStart"/>
      <w:r w:rsidR="003F5570" w:rsidRPr="007F7EBF">
        <w:rPr>
          <w:rFonts w:ascii="Times New Roman" w:hAnsi="Times New Roman"/>
          <w:sz w:val="22"/>
          <w:szCs w:val="22"/>
        </w:rPr>
        <w:t>autoritatività</w:t>
      </w:r>
      <w:proofErr w:type="spellEnd"/>
      <w:r w:rsidR="003F5570" w:rsidRPr="007F7EBF">
        <w:rPr>
          <w:rFonts w:ascii="Times New Roman" w:hAnsi="Times New Roman"/>
          <w:sz w:val="22"/>
          <w:szCs w:val="22"/>
        </w:rPr>
        <w:t>, termini, competenza, partecipazione del privato</w:t>
      </w:r>
      <w:r w:rsidR="00DB55DA" w:rsidRPr="007F7EBF">
        <w:rPr>
          <w:rFonts w:ascii="Times New Roman" w:hAnsi="Times New Roman"/>
          <w:sz w:val="22"/>
          <w:szCs w:val="22"/>
        </w:rPr>
        <w:t>.</w:t>
      </w:r>
      <w:bookmarkEnd w:id="81"/>
    </w:p>
    <w:p w14:paraId="2B96ABB2" w14:textId="60D61DB3" w:rsidR="002367DB" w:rsidRPr="007F7EBF" w:rsidRDefault="00D56975" w:rsidP="002367DB">
      <w:pPr>
        <w:pStyle w:val="tit23"/>
        <w:ind w:left="6464" w:right="-1361" w:firstLine="0"/>
        <w:jc w:val="left"/>
        <w:rPr>
          <w:bCs/>
          <w:i/>
          <w:iCs/>
          <w:color w:val="0000FF"/>
          <w:lang w:val="it-IT"/>
        </w:rPr>
      </w:pPr>
      <w:r>
        <w:rPr>
          <w:bCs/>
          <w:i/>
          <w:iCs/>
          <w:color w:val="0000FF"/>
          <w:lang w:val="it-IT"/>
        </w:rPr>
        <w:t xml:space="preserve">Gli accertamenti d’imposta </w:t>
      </w:r>
    </w:p>
    <w:p w14:paraId="7BA1DE41" w14:textId="0CFE2B7C" w:rsidR="004A7BE0" w:rsidRPr="007F7EBF" w:rsidRDefault="00460C8F" w:rsidP="004A7BE0">
      <w:pPr>
        <w:autoSpaceDE w:val="0"/>
        <w:autoSpaceDN w:val="0"/>
        <w:adjustRightInd w:val="0"/>
        <w:rPr>
          <w:sz w:val="22"/>
          <w:szCs w:val="22"/>
        </w:rPr>
      </w:pPr>
      <w:r>
        <w:rPr>
          <w:sz w:val="22"/>
          <w:szCs w:val="22"/>
        </w:rPr>
        <w:t xml:space="preserve">Gli uffici </w:t>
      </w:r>
      <w:r w:rsidR="00757E23">
        <w:rPr>
          <w:sz w:val="22"/>
          <w:szCs w:val="22"/>
        </w:rPr>
        <w:t xml:space="preserve">tributari </w:t>
      </w:r>
      <w:r w:rsidRPr="007F7EBF">
        <w:rPr>
          <w:sz w:val="22"/>
          <w:szCs w:val="22"/>
        </w:rPr>
        <w:t>(</w:t>
      </w:r>
      <w:r w:rsidR="0050645D">
        <w:rPr>
          <w:sz w:val="22"/>
          <w:szCs w:val="22"/>
        </w:rPr>
        <w:t>parr.1.4 e 5.2</w:t>
      </w:r>
      <w:r w:rsidR="0050645D">
        <w:t>), compresi eventuali concessionari privati dei relativi poteri</w:t>
      </w:r>
      <w:r w:rsidR="00757E23">
        <w:rPr>
          <w:sz w:val="22"/>
          <w:szCs w:val="22"/>
        </w:rPr>
        <w:t>, a seguito dei controlli di cui al capitolo precedente, ri</w:t>
      </w:r>
      <w:r w:rsidR="00364B94">
        <w:rPr>
          <w:sz w:val="22"/>
          <w:szCs w:val="22"/>
        </w:rPr>
        <w:t xml:space="preserve">determinano </w:t>
      </w:r>
      <w:r w:rsidR="0050645D">
        <w:rPr>
          <w:sz w:val="22"/>
          <w:szCs w:val="22"/>
        </w:rPr>
        <w:t xml:space="preserve">le imposte e i presupposti economici cui si riferiscono; il relativo risultato può essere anche l’accertamento di minori perdite riportabili negli anni successivi </w:t>
      </w:r>
      <w:r w:rsidR="0050645D">
        <w:t xml:space="preserve">(par.9.1) o la spettanza di detrazioni o crediti d’imposta </w:t>
      </w:r>
      <w:r w:rsidR="004A7BE0" w:rsidRPr="007F7EBF">
        <w:rPr>
          <w:sz w:val="22"/>
          <w:szCs w:val="22"/>
        </w:rPr>
        <w:t>(</w:t>
      </w:r>
      <w:r w:rsidR="004A7BE0" w:rsidRPr="007F7EBF">
        <w:rPr>
          <w:rStyle w:val="Rimandonotaapidipagina"/>
          <w:sz w:val="22"/>
          <w:szCs w:val="22"/>
        </w:rPr>
        <w:footnoteReference w:id="729"/>
      </w:r>
      <w:r w:rsidR="004A7BE0" w:rsidRPr="007F7EBF">
        <w:rPr>
          <w:sz w:val="22"/>
          <w:szCs w:val="22"/>
        </w:rPr>
        <w:t xml:space="preserve">). </w:t>
      </w:r>
    </w:p>
    <w:p w14:paraId="74BE82A0" w14:textId="2B64916F" w:rsidR="00D56975" w:rsidRDefault="00D56975" w:rsidP="00D56975">
      <w:pPr>
        <w:pStyle w:val="tit23"/>
        <w:ind w:left="6464" w:right="-1361" w:firstLine="0"/>
        <w:jc w:val="left"/>
        <w:rPr>
          <w:bCs/>
          <w:i/>
          <w:iCs/>
          <w:color w:val="0000FF"/>
          <w:lang w:val="it-IT"/>
        </w:rPr>
      </w:pPr>
      <w:r>
        <w:rPr>
          <w:bCs/>
          <w:i/>
          <w:iCs/>
          <w:color w:val="0000FF"/>
          <w:lang w:val="it-IT"/>
        </w:rPr>
        <w:t>Come esempi di autotutela amministrativa decisoria</w:t>
      </w:r>
    </w:p>
    <w:p w14:paraId="60445F09" w14:textId="1BC32A4C" w:rsidR="002367DB" w:rsidRPr="007F7EBF" w:rsidRDefault="005A138D" w:rsidP="00EA093D">
      <w:pPr>
        <w:autoSpaceDE w:val="0"/>
        <w:autoSpaceDN w:val="0"/>
        <w:adjustRightInd w:val="0"/>
        <w:rPr>
          <w:bCs/>
          <w:i/>
          <w:iCs/>
          <w:color w:val="0000FF"/>
        </w:rPr>
      </w:pPr>
      <w:r>
        <w:rPr>
          <w:bCs/>
          <w:sz w:val="22"/>
          <w:szCs w:val="22"/>
        </w:rPr>
        <w:t>Q</w:t>
      </w:r>
      <w:r w:rsidR="00D7371E">
        <w:rPr>
          <w:bCs/>
          <w:sz w:val="22"/>
          <w:szCs w:val="22"/>
        </w:rPr>
        <w:t xml:space="preserve">uesta </w:t>
      </w:r>
      <w:r>
        <w:rPr>
          <w:bCs/>
          <w:sz w:val="22"/>
          <w:szCs w:val="22"/>
        </w:rPr>
        <w:t xml:space="preserve">rideterminazione avviene con atti </w:t>
      </w:r>
      <w:r w:rsidR="0050645D">
        <w:rPr>
          <w:bCs/>
          <w:sz w:val="22"/>
          <w:szCs w:val="22"/>
        </w:rPr>
        <w:t>espressione dell’autorità pubblica connessa alla funzione tributaria (</w:t>
      </w:r>
      <w:r w:rsidR="00D7371E">
        <w:rPr>
          <w:bCs/>
          <w:sz w:val="22"/>
          <w:szCs w:val="22"/>
        </w:rPr>
        <w:t>par.1.3</w:t>
      </w:r>
      <w:r w:rsidR="0050645D">
        <w:rPr>
          <w:bCs/>
          <w:sz w:val="22"/>
          <w:szCs w:val="22"/>
        </w:rPr>
        <w:t>), e sono espressioni di</w:t>
      </w:r>
      <w:r w:rsidR="00D7371E">
        <w:rPr>
          <w:bCs/>
          <w:sz w:val="22"/>
          <w:szCs w:val="22"/>
        </w:rPr>
        <w:t xml:space="preserve"> </w:t>
      </w:r>
      <w:r w:rsidR="00D7371E">
        <w:rPr>
          <w:bCs/>
          <w:i/>
          <w:sz w:val="22"/>
          <w:szCs w:val="22"/>
        </w:rPr>
        <w:t>autotutela decisoria</w:t>
      </w:r>
      <w:r w:rsidR="00D56975">
        <w:rPr>
          <w:bCs/>
          <w:sz w:val="22"/>
          <w:szCs w:val="22"/>
        </w:rPr>
        <w:t xml:space="preserve">, idonea a mettere fuori contestazione, salvo ricorso del privato, la posizione giuridica affermata dall’amministrazione. </w:t>
      </w:r>
      <w:r w:rsidR="00EA093D">
        <w:rPr>
          <w:bCs/>
          <w:sz w:val="22"/>
          <w:szCs w:val="22"/>
        </w:rPr>
        <w:t xml:space="preserve">L’autotutela decisoria, come quella esecutiva di cui al par.6.11, </w:t>
      </w:r>
      <w:r w:rsidR="00663676">
        <w:rPr>
          <w:bCs/>
          <w:sz w:val="22"/>
          <w:szCs w:val="22"/>
        </w:rPr>
        <w:t xml:space="preserve">procede in modo unilaterale </w:t>
      </w:r>
      <w:r w:rsidR="00641C29">
        <w:rPr>
          <w:sz w:val="22"/>
          <w:szCs w:val="22"/>
        </w:rPr>
        <w:t>nei confronti del privato</w:t>
      </w:r>
      <w:r w:rsidR="00663676">
        <w:rPr>
          <w:sz w:val="22"/>
          <w:szCs w:val="22"/>
        </w:rPr>
        <w:t xml:space="preserve">, </w:t>
      </w:r>
      <w:r w:rsidR="00EA093D">
        <w:rPr>
          <w:sz w:val="22"/>
          <w:szCs w:val="22"/>
        </w:rPr>
        <w:t xml:space="preserve">anche se sono sempre più ampie le facoltà di quest’ultimo di </w:t>
      </w:r>
      <w:r w:rsidR="00663676">
        <w:rPr>
          <w:sz w:val="22"/>
          <w:szCs w:val="22"/>
        </w:rPr>
        <w:t xml:space="preserve">partecipare </w:t>
      </w:r>
      <w:r w:rsidR="00641C29">
        <w:rPr>
          <w:sz w:val="22"/>
          <w:szCs w:val="22"/>
        </w:rPr>
        <w:t xml:space="preserve"> </w:t>
      </w:r>
      <w:r w:rsidR="00663676">
        <w:rPr>
          <w:sz w:val="22"/>
          <w:szCs w:val="22"/>
        </w:rPr>
        <w:t>al relativo procedimento</w:t>
      </w:r>
      <w:r w:rsidR="00525507">
        <w:rPr>
          <w:sz w:val="22"/>
          <w:szCs w:val="22"/>
        </w:rPr>
        <w:t xml:space="preserve">; </w:t>
      </w:r>
      <w:r w:rsidR="00EA093D">
        <w:rPr>
          <w:sz w:val="22"/>
          <w:szCs w:val="22"/>
        </w:rPr>
        <w:t xml:space="preserve">anche in questo caso al massimo abbiamo un’interlocuzione bilaterale, che </w:t>
      </w:r>
      <w:r w:rsidR="00663676">
        <w:rPr>
          <w:bCs/>
          <w:sz w:val="22"/>
          <w:szCs w:val="22"/>
        </w:rPr>
        <w:t>coinvolge l’amministrazione e il privato</w:t>
      </w:r>
      <w:r w:rsidR="00EA093D">
        <w:rPr>
          <w:bCs/>
          <w:sz w:val="22"/>
          <w:szCs w:val="22"/>
        </w:rPr>
        <w:t xml:space="preserve">; essa si differenzia quindi dalla </w:t>
      </w:r>
      <w:proofErr w:type="spellStart"/>
      <w:r w:rsidR="00EA093D">
        <w:rPr>
          <w:bCs/>
          <w:sz w:val="22"/>
          <w:szCs w:val="22"/>
        </w:rPr>
        <w:t>trilateralità</w:t>
      </w:r>
      <w:proofErr w:type="spellEnd"/>
      <w:r w:rsidR="00EA093D">
        <w:rPr>
          <w:bCs/>
          <w:sz w:val="22"/>
          <w:szCs w:val="22"/>
        </w:rPr>
        <w:t xml:space="preserve"> de</w:t>
      </w:r>
      <w:r w:rsidR="00663676">
        <w:rPr>
          <w:bCs/>
          <w:sz w:val="22"/>
          <w:szCs w:val="22"/>
        </w:rPr>
        <w:t>l processo,</w:t>
      </w:r>
      <w:r w:rsidR="000940E5">
        <w:rPr>
          <w:bCs/>
          <w:sz w:val="22"/>
          <w:szCs w:val="22"/>
        </w:rPr>
        <w:t xml:space="preserve"> </w:t>
      </w:r>
      <w:r w:rsidR="00EA093D">
        <w:rPr>
          <w:bCs/>
          <w:sz w:val="22"/>
          <w:szCs w:val="22"/>
        </w:rPr>
        <w:t xml:space="preserve">realizzata </w:t>
      </w:r>
      <w:r w:rsidR="000940E5">
        <w:rPr>
          <w:bCs/>
          <w:sz w:val="22"/>
          <w:szCs w:val="22"/>
        </w:rPr>
        <w:t xml:space="preserve">anche in sede penale, per la creazione di una parte  pubblica grazie alla distinzione tra magistratura </w:t>
      </w:r>
      <w:r w:rsidR="000940E5">
        <w:rPr>
          <w:bCs/>
          <w:sz w:val="22"/>
          <w:szCs w:val="22"/>
        </w:rPr>
        <w:lastRenderedPageBreak/>
        <w:t>inquirente e giudicante</w:t>
      </w:r>
      <w:r w:rsidR="00663676">
        <w:rPr>
          <w:bCs/>
          <w:sz w:val="22"/>
          <w:szCs w:val="22"/>
        </w:rPr>
        <w:t xml:space="preserve">. </w:t>
      </w:r>
      <w:r w:rsidR="00EA093D">
        <w:rPr>
          <w:bCs/>
          <w:sz w:val="22"/>
          <w:szCs w:val="22"/>
        </w:rPr>
        <w:t>S</w:t>
      </w:r>
      <w:r w:rsidR="00663676">
        <w:rPr>
          <w:bCs/>
          <w:sz w:val="22"/>
          <w:szCs w:val="22"/>
        </w:rPr>
        <w:t xml:space="preserve">olo la riduttiva concezione privatistico-giurisdizionale </w:t>
      </w:r>
      <w:r w:rsidR="00663676">
        <w:rPr>
          <w:sz w:val="22"/>
          <w:szCs w:val="22"/>
        </w:rPr>
        <w:t xml:space="preserve">del diritto (par.1.3) fa apparire istintivamente “atipica” quest’autotutela </w:t>
      </w:r>
      <w:r w:rsidR="000940E5">
        <w:rPr>
          <w:sz w:val="22"/>
          <w:szCs w:val="22"/>
        </w:rPr>
        <w:t>decisoria</w:t>
      </w:r>
      <w:r w:rsidR="00663676">
        <w:rPr>
          <w:sz w:val="22"/>
          <w:szCs w:val="22"/>
        </w:rPr>
        <w:t>, trascurando che</w:t>
      </w:r>
      <w:r w:rsidR="000940E5">
        <w:rPr>
          <w:sz w:val="22"/>
          <w:szCs w:val="22"/>
        </w:rPr>
        <w:t xml:space="preserve"> mai,</w:t>
      </w:r>
      <w:r w:rsidR="00663676">
        <w:rPr>
          <w:sz w:val="22"/>
          <w:szCs w:val="22"/>
        </w:rPr>
        <w:t xml:space="preserve"> nel tempo e nello spazio</w:t>
      </w:r>
      <w:r w:rsidR="000940E5">
        <w:rPr>
          <w:sz w:val="22"/>
          <w:szCs w:val="22"/>
        </w:rPr>
        <w:t>,</w:t>
      </w:r>
      <w:r w:rsidR="00663676">
        <w:rPr>
          <w:sz w:val="22"/>
          <w:szCs w:val="22"/>
        </w:rPr>
        <w:t xml:space="preserve"> nessun</w:t>
      </w:r>
      <w:r w:rsidR="000940E5">
        <w:rPr>
          <w:sz w:val="22"/>
          <w:szCs w:val="22"/>
        </w:rPr>
        <w:t>a pubblica funzione s</w:t>
      </w:r>
      <w:r w:rsidR="00DA5A72">
        <w:rPr>
          <w:sz w:val="22"/>
          <w:szCs w:val="22"/>
        </w:rPr>
        <w:t xml:space="preserve">i svolge rivolgendosi previamente al giudice. A quest’ultimo casomai possono rivolgersi i destinatari dell’azione amministrativa, nel nostro caso i contribuenti, </w:t>
      </w:r>
      <w:r w:rsidR="00364B94">
        <w:rPr>
          <w:bCs/>
          <w:sz w:val="22"/>
          <w:szCs w:val="22"/>
        </w:rPr>
        <w:t xml:space="preserve">come </w:t>
      </w:r>
      <w:r w:rsidR="00A04BC4">
        <w:rPr>
          <w:bCs/>
          <w:sz w:val="22"/>
          <w:szCs w:val="22"/>
        </w:rPr>
        <w:t>vedremo</w:t>
      </w:r>
      <w:r w:rsidR="00364B94">
        <w:rPr>
          <w:bCs/>
          <w:sz w:val="22"/>
          <w:szCs w:val="22"/>
        </w:rPr>
        <w:t xml:space="preserve"> ai pa</w:t>
      </w:r>
      <w:r w:rsidR="00A04BC4">
        <w:rPr>
          <w:bCs/>
          <w:sz w:val="22"/>
          <w:szCs w:val="22"/>
        </w:rPr>
        <w:t>r</w:t>
      </w:r>
      <w:r w:rsidR="00364B94">
        <w:rPr>
          <w:bCs/>
          <w:sz w:val="22"/>
          <w:szCs w:val="22"/>
        </w:rPr>
        <w:t>r.6.7 ss.</w:t>
      </w:r>
      <w:r w:rsidR="00A04BC4">
        <w:rPr>
          <w:bCs/>
          <w:sz w:val="22"/>
          <w:szCs w:val="22"/>
        </w:rPr>
        <w:t>.</w:t>
      </w:r>
      <w:r w:rsidR="00525507">
        <w:rPr>
          <w:bCs/>
          <w:sz w:val="22"/>
          <w:szCs w:val="22"/>
        </w:rPr>
        <w:t xml:space="preserve"> </w:t>
      </w:r>
    </w:p>
    <w:p w14:paraId="35B6A162" w14:textId="70A9A8A9" w:rsidR="005E4E75" w:rsidRPr="007F7EBF" w:rsidRDefault="005E4E75" w:rsidP="005E4E75">
      <w:pPr>
        <w:pStyle w:val="tit23"/>
        <w:ind w:left="6464" w:right="-1361" w:firstLine="0"/>
        <w:jc w:val="left"/>
        <w:rPr>
          <w:b/>
          <w:bCs/>
          <w:i/>
          <w:iCs/>
          <w:color w:val="0000FF"/>
          <w:lang w:val="it-IT"/>
        </w:rPr>
      </w:pPr>
      <w:r w:rsidRPr="007F7EBF">
        <w:rPr>
          <w:b/>
          <w:bCs/>
          <w:i/>
          <w:iCs/>
          <w:color w:val="0000FF"/>
          <w:lang w:val="it-IT"/>
        </w:rPr>
        <w:t xml:space="preserve">Provvedimenti d’imposizione </w:t>
      </w:r>
    </w:p>
    <w:p w14:paraId="23359B4E" w14:textId="5BCE0962" w:rsidR="000E4EC4" w:rsidRPr="007F7EBF" w:rsidRDefault="00DA5A72" w:rsidP="000E4EC4">
      <w:pPr>
        <w:autoSpaceDE w:val="0"/>
        <w:autoSpaceDN w:val="0"/>
        <w:adjustRightInd w:val="0"/>
        <w:rPr>
          <w:sz w:val="22"/>
          <w:szCs w:val="22"/>
        </w:rPr>
      </w:pPr>
      <w:r>
        <w:rPr>
          <w:bCs/>
          <w:sz w:val="22"/>
          <w:szCs w:val="22"/>
        </w:rPr>
        <w:t xml:space="preserve">Quanto precede impone una certa solennità, con relativo formalismo </w:t>
      </w:r>
      <w:r w:rsidR="003B7460">
        <w:rPr>
          <w:bCs/>
          <w:sz w:val="22"/>
          <w:szCs w:val="22"/>
        </w:rPr>
        <w:t>ai provvedimenti amministrativi denominati d</w:t>
      </w:r>
      <w:r w:rsidR="00A04BC4">
        <w:rPr>
          <w:bCs/>
          <w:sz w:val="22"/>
          <w:szCs w:val="22"/>
        </w:rPr>
        <w:t>i “accertamento tributario”</w:t>
      </w:r>
      <w:r w:rsidR="003B7460">
        <w:rPr>
          <w:bCs/>
          <w:sz w:val="22"/>
          <w:szCs w:val="22"/>
        </w:rPr>
        <w:t xml:space="preserve">, talvolta definiti tecnicamente anche in modo diverso </w:t>
      </w:r>
      <w:r w:rsidR="003B7460">
        <w:t>da tributo a tributo, come atto di rettifica, atto di liquidazione etc</w:t>
      </w:r>
      <w:r w:rsidR="00A04BC4">
        <w:rPr>
          <w:bCs/>
          <w:sz w:val="22"/>
          <w:szCs w:val="22"/>
        </w:rPr>
        <w:t xml:space="preserve">. </w:t>
      </w:r>
      <w:r w:rsidR="003B7460">
        <w:rPr>
          <w:bCs/>
          <w:sz w:val="22"/>
          <w:szCs w:val="22"/>
        </w:rPr>
        <w:t>Essi</w:t>
      </w:r>
      <w:r w:rsidR="00CF2504" w:rsidRPr="007F7EBF">
        <w:rPr>
          <w:sz w:val="22"/>
          <w:szCs w:val="22"/>
        </w:rPr>
        <w:t xml:space="preserve"> </w:t>
      </w:r>
      <w:r w:rsidR="00D84807" w:rsidRPr="007F7EBF">
        <w:rPr>
          <w:sz w:val="22"/>
          <w:szCs w:val="22"/>
        </w:rPr>
        <w:t>sono</w:t>
      </w:r>
      <w:r w:rsidR="00A04BC4">
        <w:rPr>
          <w:sz w:val="22"/>
          <w:szCs w:val="22"/>
        </w:rPr>
        <w:t xml:space="preserve"> quindi </w:t>
      </w:r>
      <w:r w:rsidR="00D84807" w:rsidRPr="007F7EBF">
        <w:rPr>
          <w:sz w:val="22"/>
          <w:szCs w:val="22"/>
        </w:rPr>
        <w:t xml:space="preserve"> portati a conoscenza dei destinatari mediante </w:t>
      </w:r>
      <w:r w:rsidR="00D84807" w:rsidRPr="007F7EBF">
        <w:rPr>
          <w:bCs/>
          <w:sz w:val="22"/>
          <w:szCs w:val="22"/>
        </w:rPr>
        <w:t>formale notifica</w:t>
      </w:r>
      <w:r w:rsidR="00EA1D28">
        <w:rPr>
          <w:bCs/>
          <w:sz w:val="22"/>
          <w:szCs w:val="22"/>
        </w:rPr>
        <w:t xml:space="preserve">, cui </w:t>
      </w:r>
      <w:r w:rsidR="00D84807" w:rsidRPr="007F7EBF">
        <w:rPr>
          <w:sz w:val="22"/>
          <w:szCs w:val="22"/>
        </w:rPr>
        <w:t>gli uffici tributari possono anche procedere direttamente</w:t>
      </w:r>
      <w:r w:rsidR="00026425" w:rsidRPr="007F7EBF">
        <w:rPr>
          <w:sz w:val="22"/>
          <w:szCs w:val="22"/>
        </w:rPr>
        <w:t>, in quanto pubbliche autorità</w:t>
      </w:r>
      <w:r w:rsidR="00805479">
        <w:rPr>
          <w:sz w:val="22"/>
          <w:szCs w:val="22"/>
        </w:rPr>
        <w:t xml:space="preserve">, tramite </w:t>
      </w:r>
      <w:r w:rsidR="001E2B68" w:rsidRPr="007F7EBF">
        <w:rPr>
          <w:sz w:val="22"/>
          <w:szCs w:val="22"/>
        </w:rPr>
        <w:t>messi con la qualità di</w:t>
      </w:r>
      <w:r w:rsidR="00D17F70" w:rsidRPr="007F7EBF">
        <w:rPr>
          <w:sz w:val="22"/>
          <w:szCs w:val="22"/>
        </w:rPr>
        <w:t xml:space="preserve"> </w:t>
      </w:r>
      <w:r w:rsidR="001E2B68" w:rsidRPr="007F7EBF">
        <w:rPr>
          <w:sz w:val="22"/>
          <w:szCs w:val="22"/>
        </w:rPr>
        <w:t>pubblici ufficiali</w:t>
      </w:r>
      <w:r w:rsidR="003B7460">
        <w:rPr>
          <w:sz w:val="22"/>
          <w:szCs w:val="22"/>
        </w:rPr>
        <w:t xml:space="preserve"> o </w:t>
      </w:r>
      <w:r w:rsidR="00525507">
        <w:rPr>
          <w:sz w:val="22"/>
          <w:szCs w:val="22"/>
        </w:rPr>
        <w:t>in modalità informatica</w:t>
      </w:r>
      <w:r w:rsidR="003B7460">
        <w:rPr>
          <w:sz w:val="22"/>
          <w:szCs w:val="22"/>
        </w:rPr>
        <w:t>, ad esempio via PEC</w:t>
      </w:r>
      <w:r w:rsidR="000E4EC4" w:rsidRPr="007F7EBF">
        <w:rPr>
          <w:sz w:val="22"/>
          <w:szCs w:val="22"/>
        </w:rPr>
        <w:t xml:space="preserve">. </w:t>
      </w:r>
      <w:r w:rsidR="00EA093D">
        <w:t>Anche in questo la funzione tributaria appare meglio organizzata rispetto alle altre funzioni amministrative, dove può rilevare anche un</w:t>
      </w:r>
      <w:r w:rsidR="00EA093D" w:rsidRPr="007F7EBF">
        <w:t>a conoscenza informale de</w:t>
      </w:r>
      <w:r w:rsidR="00EA093D">
        <w:t>gli atti</w:t>
      </w:r>
      <w:r w:rsidR="00EA093D" w:rsidRPr="007F7EBF">
        <w:t xml:space="preserve">, </w:t>
      </w:r>
      <w:r w:rsidR="00EA093D">
        <w:t xml:space="preserve">che </w:t>
      </w:r>
      <w:r w:rsidR="00EA093D" w:rsidRPr="007F7EBF">
        <w:t>l'amministrazione</w:t>
      </w:r>
      <w:r w:rsidR="00EA093D">
        <w:t xml:space="preserve"> può dimostrare,</w:t>
      </w:r>
      <w:r w:rsidR="00EA093D" w:rsidRPr="007F7EBF">
        <w:t xml:space="preserve"> </w:t>
      </w:r>
      <w:r w:rsidR="00EA093D">
        <w:t>per i</w:t>
      </w:r>
      <w:r w:rsidR="00EA093D" w:rsidRPr="007F7EBF">
        <w:t>l principio dell</w:t>
      </w:r>
      <w:r w:rsidR="00EA093D">
        <w:t>’</w:t>
      </w:r>
      <w:r w:rsidR="00EA093D" w:rsidRPr="007F7EBF">
        <w:t>atipicità degli atti amministrativi</w:t>
      </w:r>
      <w:r w:rsidR="00EA093D">
        <w:t xml:space="preserve">; questi ultimi invece nella </w:t>
      </w:r>
      <w:r w:rsidR="00EA093D" w:rsidRPr="007F7EBF">
        <w:t>funzione tributaria</w:t>
      </w:r>
      <w:r w:rsidR="00EA093D">
        <w:t xml:space="preserve"> sono “tipici”, come vedremo</w:t>
      </w:r>
      <w:r w:rsidR="00EA093D">
        <w:t xml:space="preserve"> sul piano processuale</w:t>
      </w:r>
      <w:r w:rsidR="00EA093D">
        <w:t xml:space="preserve"> al par.6.9</w:t>
      </w:r>
      <w:r w:rsidR="00EA093D">
        <w:t xml:space="preserve">. </w:t>
      </w:r>
    </w:p>
    <w:p w14:paraId="5A93BC07" w14:textId="77777777" w:rsidR="000E4EC4" w:rsidRPr="007F7EBF" w:rsidRDefault="009042C9" w:rsidP="000E4EC4">
      <w:pPr>
        <w:pStyle w:val="tit23"/>
        <w:ind w:left="6464" w:right="-1361" w:firstLine="0"/>
        <w:jc w:val="left"/>
        <w:rPr>
          <w:bCs/>
          <w:i/>
          <w:iCs/>
          <w:color w:val="0000FF"/>
          <w:lang w:val="it-IT"/>
        </w:rPr>
      </w:pPr>
      <w:r w:rsidRPr="007F7EBF">
        <w:rPr>
          <w:bCs/>
          <w:i/>
          <w:iCs/>
          <w:color w:val="0000FF"/>
          <w:lang w:val="it-IT"/>
        </w:rPr>
        <w:t>ufficio competente e termini</w:t>
      </w:r>
    </w:p>
    <w:p w14:paraId="70A13753" w14:textId="712830D4" w:rsidR="009042C9" w:rsidRPr="007F7EBF" w:rsidRDefault="006342C5" w:rsidP="009042C9">
      <w:pPr>
        <w:autoSpaceDE w:val="0"/>
        <w:autoSpaceDN w:val="0"/>
        <w:adjustRightInd w:val="0"/>
        <w:rPr>
          <w:sz w:val="22"/>
          <w:szCs w:val="22"/>
        </w:rPr>
      </w:pPr>
      <w:r w:rsidRPr="007F7EBF">
        <w:rPr>
          <w:sz w:val="22"/>
          <w:szCs w:val="22"/>
        </w:rPr>
        <w:t xml:space="preserve">Esistono anche dei </w:t>
      </w:r>
      <w:r w:rsidRPr="007F7EBF">
        <w:rPr>
          <w:bCs/>
          <w:sz w:val="22"/>
          <w:szCs w:val="22"/>
        </w:rPr>
        <w:t xml:space="preserve">termini </w:t>
      </w:r>
      <w:r w:rsidRPr="007F7EBF">
        <w:rPr>
          <w:sz w:val="22"/>
          <w:szCs w:val="22"/>
        </w:rPr>
        <w:t xml:space="preserve">entro i quali il potere amministrativo </w:t>
      </w:r>
      <w:r w:rsidR="00525507">
        <w:rPr>
          <w:sz w:val="22"/>
          <w:szCs w:val="22"/>
        </w:rPr>
        <w:t>va</w:t>
      </w:r>
      <w:r w:rsidRPr="007F7EBF">
        <w:rPr>
          <w:sz w:val="22"/>
          <w:szCs w:val="22"/>
        </w:rPr>
        <w:t xml:space="preserve"> </w:t>
      </w:r>
      <w:r w:rsidRPr="007F7EBF">
        <w:rPr>
          <w:bCs/>
          <w:sz w:val="22"/>
          <w:szCs w:val="22"/>
        </w:rPr>
        <w:t>esercitat</w:t>
      </w:r>
      <w:r w:rsidR="00F84AF6" w:rsidRPr="007F7EBF">
        <w:rPr>
          <w:bCs/>
          <w:sz w:val="22"/>
          <w:szCs w:val="22"/>
        </w:rPr>
        <w:t>o</w:t>
      </w:r>
      <w:r w:rsidRPr="007F7EBF">
        <w:rPr>
          <w:sz w:val="22"/>
          <w:szCs w:val="22"/>
        </w:rPr>
        <w:t xml:space="preserve">, in modo da non lasciare i contribuenti esposti </w:t>
      </w:r>
      <w:r w:rsidR="00A04BC4">
        <w:rPr>
          <w:sz w:val="22"/>
          <w:szCs w:val="22"/>
        </w:rPr>
        <w:t xml:space="preserve">senza limiti </w:t>
      </w:r>
      <w:r w:rsidRPr="007F7EBF">
        <w:rPr>
          <w:bCs/>
          <w:sz w:val="22"/>
          <w:szCs w:val="22"/>
        </w:rPr>
        <w:t xml:space="preserve">a richieste </w:t>
      </w:r>
      <w:r w:rsidRPr="007F7EBF">
        <w:rPr>
          <w:sz w:val="22"/>
          <w:szCs w:val="22"/>
        </w:rPr>
        <w:t>di tributi, su cui dopo lunghi anni neppure saprebbero interloquire. Ci sono quindi termini di decadenza per la notifica, che ad esempio, per</w:t>
      </w:r>
      <w:r w:rsidR="00A53DAE">
        <w:rPr>
          <w:sz w:val="22"/>
          <w:szCs w:val="22"/>
        </w:rPr>
        <w:t xml:space="preserve"> </w:t>
      </w:r>
      <w:r w:rsidRPr="007F7EBF">
        <w:rPr>
          <w:sz w:val="22"/>
          <w:szCs w:val="22"/>
        </w:rPr>
        <w:t xml:space="preserve">le rettifiche delle dichiarazioni dei redditi e dell’IVA , deve avvenire </w:t>
      </w:r>
      <w:r w:rsidR="00805479">
        <w:rPr>
          <w:sz w:val="22"/>
          <w:szCs w:val="22"/>
        </w:rPr>
        <w:t>tendenzialmente</w:t>
      </w:r>
      <w:r w:rsidR="00D16498" w:rsidRPr="007F7EBF">
        <w:rPr>
          <w:sz w:val="22"/>
          <w:szCs w:val="22"/>
        </w:rPr>
        <w:t xml:space="preserve"> </w:t>
      </w:r>
      <w:r w:rsidRPr="007F7EBF">
        <w:rPr>
          <w:sz w:val="22"/>
          <w:szCs w:val="22"/>
        </w:rPr>
        <w:t>entro il quarto</w:t>
      </w:r>
      <w:r w:rsidR="00D84807" w:rsidRPr="007F7EBF">
        <w:rPr>
          <w:sz w:val="22"/>
          <w:szCs w:val="22"/>
        </w:rPr>
        <w:t xml:space="preserve"> </w:t>
      </w:r>
      <w:r w:rsidRPr="007F7EBF">
        <w:rPr>
          <w:sz w:val="22"/>
          <w:szCs w:val="22"/>
        </w:rPr>
        <w:t>anno successivo a quello in cui è st</w:t>
      </w:r>
      <w:r w:rsidR="009042C9" w:rsidRPr="007F7EBF">
        <w:rPr>
          <w:sz w:val="22"/>
          <w:szCs w:val="22"/>
        </w:rPr>
        <w:t>ata presentata la dichiarazione</w:t>
      </w:r>
      <w:r w:rsidR="00805479">
        <w:rPr>
          <w:sz w:val="22"/>
          <w:szCs w:val="22"/>
        </w:rPr>
        <w:t>(</w:t>
      </w:r>
      <w:r w:rsidR="003659DD" w:rsidRPr="007F7EBF">
        <w:rPr>
          <w:rStyle w:val="Rimandonotaapidipagina"/>
          <w:sz w:val="22"/>
          <w:szCs w:val="22"/>
        </w:rPr>
        <w:footnoteReference w:id="730"/>
      </w:r>
      <w:r w:rsidR="00805479">
        <w:rPr>
          <w:sz w:val="22"/>
          <w:szCs w:val="22"/>
        </w:rPr>
        <w:t>)</w:t>
      </w:r>
      <w:r w:rsidR="009042C9" w:rsidRPr="007F7EBF">
        <w:rPr>
          <w:sz w:val="22"/>
          <w:szCs w:val="22"/>
        </w:rPr>
        <w:t xml:space="preserve">. </w:t>
      </w:r>
      <w:r w:rsidRPr="007F7EBF">
        <w:rPr>
          <w:sz w:val="22"/>
          <w:szCs w:val="22"/>
        </w:rPr>
        <w:t xml:space="preserve"> </w:t>
      </w:r>
    </w:p>
    <w:p w14:paraId="73D462BC" w14:textId="77777777" w:rsidR="009042C9" w:rsidRPr="007F7EBF" w:rsidRDefault="009042C9" w:rsidP="009042C9">
      <w:pPr>
        <w:pStyle w:val="tit23"/>
        <w:ind w:left="6464" w:right="-1361" w:firstLine="0"/>
        <w:jc w:val="left"/>
        <w:rPr>
          <w:bCs/>
          <w:i/>
          <w:iCs/>
          <w:color w:val="0000FF"/>
          <w:lang w:val="it-IT"/>
        </w:rPr>
      </w:pPr>
      <w:r w:rsidRPr="007F7EBF">
        <w:rPr>
          <w:bCs/>
          <w:i/>
          <w:iCs/>
          <w:color w:val="0000FF"/>
          <w:lang w:val="it-IT"/>
        </w:rPr>
        <w:t>pluralità di accertamenti</w:t>
      </w:r>
    </w:p>
    <w:p w14:paraId="51EE44EE" w14:textId="2ED714A2" w:rsidR="00380677" w:rsidRPr="007F7EBF" w:rsidRDefault="00D84807" w:rsidP="004A7BE0">
      <w:pPr>
        <w:autoSpaceDE w:val="0"/>
        <w:autoSpaceDN w:val="0"/>
        <w:adjustRightInd w:val="0"/>
        <w:rPr>
          <w:sz w:val="22"/>
          <w:szCs w:val="22"/>
        </w:rPr>
      </w:pPr>
      <w:r w:rsidRPr="007F7EBF">
        <w:rPr>
          <w:sz w:val="22"/>
          <w:szCs w:val="22"/>
        </w:rPr>
        <w:t>Nell’autotassazione passa in secondo piano la vecchia globalità della determinazione valutativa de</w:t>
      </w:r>
      <w:r w:rsidR="001D2BE7">
        <w:rPr>
          <w:sz w:val="22"/>
          <w:szCs w:val="22"/>
        </w:rPr>
        <w:t>i presupposti economici d’imposta</w:t>
      </w:r>
      <w:r w:rsidRPr="007F7EBF">
        <w:rPr>
          <w:sz w:val="22"/>
          <w:szCs w:val="22"/>
        </w:rPr>
        <w:t xml:space="preserve">, </w:t>
      </w:r>
      <w:r w:rsidRPr="007F7EBF">
        <w:rPr>
          <w:sz w:val="22"/>
          <w:szCs w:val="22"/>
        </w:rPr>
        <w:lastRenderedPageBreak/>
        <w:t>a</w:t>
      </w:r>
      <w:r w:rsidR="00C9775C" w:rsidRPr="007F7EBF">
        <w:rPr>
          <w:sz w:val="22"/>
          <w:szCs w:val="22"/>
        </w:rPr>
        <w:t xml:space="preserve">ttraverso gli uffici tributari, dove era normale che la stima avvenisse una sola volta; oggi possono </w:t>
      </w:r>
      <w:r w:rsidR="00A5146E" w:rsidRPr="007F7EBF">
        <w:rPr>
          <w:sz w:val="22"/>
          <w:szCs w:val="22"/>
        </w:rPr>
        <w:t xml:space="preserve">esserci </w:t>
      </w:r>
      <w:r w:rsidR="00C9775C" w:rsidRPr="007F7EBF">
        <w:rPr>
          <w:sz w:val="22"/>
          <w:szCs w:val="22"/>
        </w:rPr>
        <w:t xml:space="preserve">invece </w:t>
      </w:r>
      <w:r w:rsidR="00A5146E" w:rsidRPr="007F7EBF">
        <w:rPr>
          <w:sz w:val="22"/>
          <w:szCs w:val="22"/>
        </w:rPr>
        <w:t xml:space="preserve">una pluralità di interventi successivi, in relazione a </w:t>
      </w:r>
      <w:r w:rsidR="00F84AF6" w:rsidRPr="007F7EBF">
        <w:rPr>
          <w:sz w:val="22"/>
          <w:szCs w:val="22"/>
        </w:rPr>
        <w:t>diversi elementi positivi e negativi dell'imponibile</w:t>
      </w:r>
      <w:r w:rsidR="00E05EDB">
        <w:rPr>
          <w:sz w:val="22"/>
          <w:szCs w:val="22"/>
        </w:rPr>
        <w:t xml:space="preserve">, individuati </w:t>
      </w:r>
      <w:r w:rsidR="003B7460">
        <w:rPr>
          <w:sz w:val="22"/>
          <w:szCs w:val="22"/>
        </w:rPr>
        <w:t xml:space="preserve">dall’ufficio </w:t>
      </w:r>
      <w:r w:rsidR="00E05EDB">
        <w:rPr>
          <w:sz w:val="22"/>
          <w:szCs w:val="22"/>
        </w:rPr>
        <w:t>in momenti diversi</w:t>
      </w:r>
      <w:r w:rsidR="00A5146E" w:rsidRPr="007F7EBF">
        <w:rPr>
          <w:sz w:val="22"/>
          <w:szCs w:val="22"/>
        </w:rPr>
        <w:t xml:space="preserve">; per questo </w:t>
      </w:r>
      <w:r w:rsidR="006342C5" w:rsidRPr="007F7EBF">
        <w:rPr>
          <w:sz w:val="22"/>
          <w:szCs w:val="22"/>
        </w:rPr>
        <w:t>l’accertamento può sempre essere “parziale”, cioè limitato</w:t>
      </w:r>
      <w:r w:rsidR="00A5146E" w:rsidRPr="007F7EBF">
        <w:rPr>
          <w:sz w:val="22"/>
          <w:szCs w:val="22"/>
        </w:rPr>
        <w:t xml:space="preserve"> </w:t>
      </w:r>
      <w:r w:rsidR="006342C5" w:rsidRPr="007F7EBF">
        <w:rPr>
          <w:sz w:val="22"/>
          <w:szCs w:val="22"/>
        </w:rPr>
        <w:t>agli elementi di cui l’ufficio tri</w:t>
      </w:r>
      <w:r w:rsidR="00FE417F" w:rsidRPr="007F7EBF">
        <w:rPr>
          <w:sz w:val="22"/>
          <w:szCs w:val="22"/>
        </w:rPr>
        <w:t>butario in quel momento dispone</w:t>
      </w:r>
      <w:r w:rsidR="00760A68">
        <w:rPr>
          <w:sz w:val="22"/>
          <w:szCs w:val="22"/>
        </w:rPr>
        <w:t xml:space="preserve">. In un contesto di autodeterminazione delle imposte svanisce infatti il tema della c.d. “consumazione del potere amministrativo d’imposizione”, esistente quando erano gli uffici tributari a determinare </w:t>
      </w:r>
      <w:proofErr w:type="spellStart"/>
      <w:r w:rsidR="00760A68">
        <w:rPr>
          <w:sz w:val="22"/>
          <w:szCs w:val="22"/>
        </w:rPr>
        <w:t>valutativamente</w:t>
      </w:r>
      <w:proofErr w:type="spellEnd"/>
      <w:r w:rsidR="00760A68">
        <w:rPr>
          <w:sz w:val="22"/>
          <w:szCs w:val="22"/>
        </w:rPr>
        <w:t xml:space="preserve"> i presupposti economici d’imposta</w:t>
      </w:r>
      <w:r w:rsidR="00760A68">
        <w:rPr>
          <w:rStyle w:val="Rimandonotaapidipagina"/>
          <w:sz w:val="22"/>
          <w:szCs w:val="22"/>
        </w:rPr>
        <w:footnoteReference w:id="731"/>
      </w:r>
      <w:r w:rsidR="00760A68">
        <w:rPr>
          <w:sz w:val="22"/>
          <w:szCs w:val="22"/>
        </w:rPr>
        <w:t>.</w:t>
      </w:r>
    </w:p>
    <w:p w14:paraId="3CD73B99" w14:textId="48E1B959" w:rsidR="00380677" w:rsidRPr="007F7EBF" w:rsidRDefault="002D647E" w:rsidP="00380677">
      <w:pPr>
        <w:pStyle w:val="tit23"/>
        <w:ind w:left="6464" w:right="-1361" w:firstLine="0"/>
        <w:jc w:val="left"/>
        <w:rPr>
          <w:bCs/>
          <w:i/>
          <w:iCs/>
          <w:color w:val="0000FF"/>
          <w:lang w:val="it-IT"/>
        </w:rPr>
      </w:pPr>
      <w:r>
        <w:rPr>
          <w:bCs/>
          <w:i/>
          <w:iCs/>
          <w:color w:val="0000FF"/>
          <w:lang w:val="it-IT"/>
        </w:rPr>
        <w:t>Accertamento e procedimento amministrativo</w:t>
      </w:r>
    </w:p>
    <w:p w14:paraId="09A28BBA" w14:textId="77777777" w:rsidR="00C67BFB" w:rsidRDefault="003B7460" w:rsidP="000A0F7F">
      <w:pPr>
        <w:autoSpaceDE w:val="0"/>
        <w:autoSpaceDN w:val="0"/>
        <w:adjustRightInd w:val="0"/>
        <w:rPr>
          <w:sz w:val="22"/>
          <w:szCs w:val="22"/>
        </w:rPr>
      </w:pPr>
      <w:r>
        <w:rPr>
          <w:sz w:val="22"/>
          <w:szCs w:val="22"/>
        </w:rPr>
        <w:t xml:space="preserve">A differenza del processo, con una sua scansione, rispondente al modello trilaterale sopra indicato, </w:t>
      </w:r>
      <w:r w:rsidR="0050741A">
        <w:rPr>
          <w:sz w:val="22"/>
          <w:szCs w:val="22"/>
        </w:rPr>
        <w:t>i</w:t>
      </w:r>
      <w:r w:rsidR="00632698">
        <w:rPr>
          <w:sz w:val="22"/>
          <w:szCs w:val="22"/>
        </w:rPr>
        <w:t>l procedimento amministrativo</w:t>
      </w:r>
      <w:r>
        <w:rPr>
          <w:sz w:val="22"/>
          <w:szCs w:val="22"/>
        </w:rPr>
        <w:t xml:space="preserve"> </w:t>
      </w:r>
      <w:r w:rsidR="0050741A">
        <w:rPr>
          <w:sz w:val="22"/>
          <w:szCs w:val="22"/>
        </w:rPr>
        <w:t xml:space="preserve">ha una composizione variabile </w:t>
      </w:r>
      <w:r w:rsidR="00C67BFB">
        <w:rPr>
          <w:sz w:val="22"/>
          <w:szCs w:val="22"/>
        </w:rPr>
        <w:t xml:space="preserve">a seconda delle varie funzioni e dei diversi obiettivi al suo interno perseguiti. Serve a poco usare il </w:t>
      </w:r>
      <w:r w:rsidR="00C67BFB">
        <w:t xml:space="preserve">procedimento come figura unificante delle funzioni pubbliche “non giurisdizionali”, come il processo </w:t>
      </w:r>
      <w:r w:rsidR="00C67BFB">
        <w:t>unisce</w:t>
      </w:r>
      <w:r w:rsidR="00C67BFB">
        <w:t xml:space="preserve"> quelle giurisdizionali</w:t>
      </w:r>
      <w:r w:rsidR="00C67BFB">
        <w:t xml:space="preserve">. </w:t>
      </w:r>
      <w:r w:rsidR="00C67BFB">
        <w:t xml:space="preserve"> </w:t>
      </w:r>
      <w:r w:rsidR="00C67BFB">
        <w:t>O</w:t>
      </w:r>
      <w:r w:rsidR="00C67BFB">
        <w:t>gni funzione amministrativa ha contenuti diversi, ulteriormente variabili al</w:t>
      </w:r>
      <w:r w:rsidR="00C67BFB">
        <w:t xml:space="preserve"> suo </w:t>
      </w:r>
      <w:r w:rsidR="00C67BFB">
        <w:t>interno</w:t>
      </w:r>
      <w:r w:rsidR="00C67BFB">
        <w:t>, ed u</w:t>
      </w:r>
      <w:r w:rsidR="00C67BFB">
        <w:t xml:space="preserve">sare il procedimento come </w:t>
      </w:r>
      <w:r w:rsidR="00C67BFB">
        <w:t xml:space="preserve">elemento unificante </w:t>
      </w:r>
      <w:r w:rsidR="00C67BFB">
        <w:t>appiattisce realtà multiformi</w:t>
      </w:r>
      <w:r w:rsidR="00C67BFB">
        <w:t>, peccando qualche volta per difetto e altre per eccesso</w:t>
      </w:r>
      <w:r w:rsidR="00C67BFB">
        <w:t>. Rispetto al processo, trilaterale e con un</w:t>
      </w:r>
      <w:r w:rsidR="00C67BFB">
        <w:t xml:space="preserve"> conflitto da risolvere, </w:t>
      </w:r>
      <w:r w:rsidR="00C67BFB">
        <w:t xml:space="preserve">il </w:t>
      </w:r>
      <w:r w:rsidR="00C67BFB" w:rsidRPr="007F7EBF">
        <w:t>procedimento</w:t>
      </w:r>
      <w:r w:rsidR="00C67BFB">
        <w:t xml:space="preserve"> non </w:t>
      </w:r>
      <w:r w:rsidR="00C67BFB">
        <w:rPr>
          <w:sz w:val="22"/>
          <w:szCs w:val="22"/>
        </w:rPr>
        <w:t>ha bisogno dell’indipendenza del giudice e gli basta l’imparzialità amministrativa (</w:t>
      </w:r>
      <w:r w:rsidR="00C67BFB">
        <w:rPr>
          <w:rStyle w:val="Rimandonotaapidipagina"/>
          <w:sz w:val="22"/>
          <w:szCs w:val="22"/>
        </w:rPr>
        <w:footnoteReference w:id="732"/>
      </w:r>
      <w:r w:rsidR="00C67BFB">
        <w:t>)</w:t>
      </w:r>
      <w:r w:rsidR="00C67BFB">
        <w:rPr>
          <w:sz w:val="22"/>
          <w:szCs w:val="22"/>
        </w:rPr>
        <w:t xml:space="preserve">. </w:t>
      </w:r>
    </w:p>
    <w:p w14:paraId="3A8321BE" w14:textId="62EC59F4" w:rsidR="000A0F7F" w:rsidRPr="007F7EBF" w:rsidRDefault="00C67BFB" w:rsidP="000A0F7F">
      <w:pPr>
        <w:autoSpaceDE w:val="0"/>
        <w:autoSpaceDN w:val="0"/>
        <w:adjustRightInd w:val="0"/>
        <w:rPr>
          <w:sz w:val="22"/>
          <w:szCs w:val="22"/>
        </w:rPr>
      </w:pPr>
      <w:r>
        <w:rPr>
          <w:sz w:val="22"/>
          <w:szCs w:val="22"/>
        </w:rPr>
        <w:t xml:space="preserve">In materia tributaria, abbastanza </w:t>
      </w:r>
      <w:r w:rsidR="00D65D85">
        <w:rPr>
          <w:sz w:val="22"/>
          <w:szCs w:val="22"/>
        </w:rPr>
        <w:t xml:space="preserve">sterile è usare il </w:t>
      </w:r>
      <w:r>
        <w:rPr>
          <w:sz w:val="22"/>
          <w:szCs w:val="22"/>
        </w:rPr>
        <w:t xml:space="preserve">procedimento per </w:t>
      </w:r>
      <w:r w:rsidR="00D65D85">
        <w:rPr>
          <w:sz w:val="22"/>
          <w:szCs w:val="22"/>
        </w:rPr>
        <w:t>collegare</w:t>
      </w:r>
      <w:r>
        <w:rPr>
          <w:sz w:val="22"/>
          <w:szCs w:val="22"/>
        </w:rPr>
        <w:t xml:space="preserve"> le dichiarazioni dei contribuenti e la loro liquidazione </w:t>
      </w:r>
      <w:r w:rsidR="002D647E">
        <w:rPr>
          <w:sz w:val="22"/>
          <w:szCs w:val="22"/>
        </w:rPr>
        <w:t>formale di cui al par.5.5.</w:t>
      </w:r>
      <w:r>
        <w:rPr>
          <w:sz w:val="22"/>
          <w:szCs w:val="22"/>
        </w:rPr>
        <w:t xml:space="preserve"> </w:t>
      </w:r>
      <w:r w:rsidR="00D65D85">
        <w:rPr>
          <w:sz w:val="22"/>
          <w:szCs w:val="22"/>
        </w:rPr>
        <w:t xml:space="preserve">Più proficuo si presenta invece il </w:t>
      </w:r>
      <w:r w:rsidR="002D647E">
        <w:rPr>
          <w:sz w:val="22"/>
          <w:szCs w:val="22"/>
        </w:rPr>
        <w:t xml:space="preserve">procedimento per collegare l’istruttoria di cui al par.5.6 con i successivi atti di accertamento. </w:t>
      </w:r>
      <w:r w:rsidR="00D65D85">
        <w:rPr>
          <w:sz w:val="22"/>
          <w:szCs w:val="22"/>
        </w:rPr>
        <w:t xml:space="preserve">Anche il </w:t>
      </w:r>
      <w:r w:rsidR="00FA12AE">
        <w:rPr>
          <w:sz w:val="22"/>
          <w:szCs w:val="22"/>
        </w:rPr>
        <w:t xml:space="preserve">procedimento </w:t>
      </w:r>
      <w:r w:rsidR="00D65D85">
        <w:rPr>
          <w:sz w:val="22"/>
          <w:szCs w:val="22"/>
        </w:rPr>
        <w:t xml:space="preserve">deve essere però qui </w:t>
      </w:r>
      <w:r w:rsidR="00D65D85">
        <w:rPr>
          <w:sz w:val="22"/>
          <w:szCs w:val="22"/>
        </w:rPr>
        <w:lastRenderedPageBreak/>
        <w:t xml:space="preserve">funzionalizzato alla determinazione dei </w:t>
      </w:r>
      <w:r>
        <w:rPr>
          <w:sz w:val="22"/>
          <w:szCs w:val="22"/>
        </w:rPr>
        <w:t xml:space="preserve">presupposti economici d’imposta di cui </w:t>
      </w:r>
      <w:r w:rsidR="002D647E">
        <w:rPr>
          <w:sz w:val="22"/>
          <w:szCs w:val="22"/>
        </w:rPr>
        <w:t>al par.1.8</w:t>
      </w:r>
      <w:r w:rsidR="00B40961">
        <w:rPr>
          <w:sz w:val="22"/>
          <w:szCs w:val="22"/>
        </w:rPr>
        <w:t xml:space="preserve">. </w:t>
      </w:r>
    </w:p>
    <w:p w14:paraId="53B23C3B" w14:textId="24EF1833" w:rsidR="000A0F7F" w:rsidRPr="007F7EBF" w:rsidRDefault="002D647E" w:rsidP="000A0F7F">
      <w:pPr>
        <w:pStyle w:val="tit23"/>
        <w:ind w:left="6464" w:right="-1361" w:firstLine="0"/>
        <w:jc w:val="left"/>
        <w:rPr>
          <w:bCs/>
          <w:i/>
          <w:iCs/>
          <w:color w:val="0000FF"/>
          <w:lang w:val="it-IT"/>
        </w:rPr>
      </w:pPr>
      <w:r>
        <w:rPr>
          <w:bCs/>
          <w:i/>
          <w:iCs/>
          <w:color w:val="0000FF"/>
          <w:lang w:val="it-IT"/>
        </w:rPr>
        <w:t>Separazione dallo studio del procedimento e a</w:t>
      </w:r>
      <w:r w:rsidR="000A0F7F" w:rsidRPr="007F7EBF">
        <w:rPr>
          <w:bCs/>
          <w:i/>
          <w:iCs/>
          <w:color w:val="0000FF"/>
          <w:lang w:val="it-IT"/>
        </w:rPr>
        <w:t>ccesso agli atti</w:t>
      </w:r>
    </w:p>
    <w:p w14:paraId="28162DF5" w14:textId="12B68EBC" w:rsidR="00380677" w:rsidRPr="007F7EBF" w:rsidRDefault="002D647E" w:rsidP="00D65D85">
      <w:pPr>
        <w:pStyle w:val="ox-6db5ecf62e-msolistparagraph"/>
        <w:shd w:val="clear" w:color="auto" w:fill="FFFFFF"/>
        <w:spacing w:before="0" w:beforeAutospacing="0" w:after="0" w:afterAutospacing="0"/>
        <w:rPr>
          <w:sz w:val="22"/>
          <w:szCs w:val="22"/>
        </w:rPr>
      </w:pPr>
      <w:r>
        <w:rPr>
          <w:sz w:val="22"/>
          <w:szCs w:val="22"/>
        </w:rPr>
        <w:t xml:space="preserve">Non vivificato dal proprio contenuto funzionale, il riferimento tributaristico al procedimento </w:t>
      </w:r>
      <w:r w:rsidR="00D65D85">
        <w:t>è stato spesso causa di formalismi, com</w:t>
      </w:r>
      <w:r w:rsidR="00D65D85">
        <w:t>e l’”indicazione del responsabile del procedimento”</w:t>
      </w:r>
      <w:r w:rsidR="00D65D85">
        <w:t xml:space="preserve">. Si </w:t>
      </w:r>
      <w:r w:rsidR="0064621C">
        <w:rPr>
          <w:sz w:val="22"/>
          <w:szCs w:val="22"/>
        </w:rPr>
        <w:t xml:space="preserve">è </w:t>
      </w:r>
      <w:r w:rsidR="00D65D85">
        <w:rPr>
          <w:sz w:val="22"/>
          <w:szCs w:val="22"/>
        </w:rPr>
        <w:t xml:space="preserve">così </w:t>
      </w:r>
      <w:r w:rsidR="0064621C">
        <w:rPr>
          <w:sz w:val="22"/>
          <w:szCs w:val="22"/>
        </w:rPr>
        <w:t xml:space="preserve">trascurato il nesso </w:t>
      </w:r>
      <w:r w:rsidR="00D65D85">
        <w:rPr>
          <w:sz w:val="22"/>
          <w:szCs w:val="22"/>
        </w:rPr>
        <w:t>tra le</w:t>
      </w:r>
      <w:r w:rsidR="0064621C">
        <w:rPr>
          <w:sz w:val="22"/>
          <w:szCs w:val="22"/>
        </w:rPr>
        <w:t xml:space="preserve"> allegazioni procedimentali, e anche delle relative omissioni e negligenze, </w:t>
      </w:r>
      <w:r w:rsidR="00D65D85">
        <w:rPr>
          <w:sz w:val="22"/>
          <w:szCs w:val="22"/>
        </w:rPr>
        <w:t>e i</w:t>
      </w:r>
      <w:r w:rsidR="0064621C">
        <w:rPr>
          <w:sz w:val="22"/>
          <w:szCs w:val="22"/>
        </w:rPr>
        <w:t xml:space="preserve">l provvedimento finale. </w:t>
      </w:r>
      <w:r w:rsidR="000A0F7F">
        <w:rPr>
          <w:sz w:val="22"/>
          <w:szCs w:val="22"/>
        </w:rPr>
        <w:t>Ne è derivata un’“auto-marginalizzazione” del diritto tributario</w:t>
      </w:r>
      <w:r w:rsidR="00D65D85">
        <w:rPr>
          <w:sz w:val="22"/>
          <w:szCs w:val="22"/>
        </w:rPr>
        <w:t xml:space="preserve"> rispetto alle altre funzioni amministrative</w:t>
      </w:r>
      <w:r w:rsidR="000A0F7F">
        <w:rPr>
          <w:sz w:val="22"/>
          <w:szCs w:val="22"/>
        </w:rPr>
        <w:t xml:space="preserve">, che ha portato persino </w:t>
      </w:r>
      <w:r w:rsidR="000A0F7F" w:rsidRPr="007F7EBF">
        <w:rPr>
          <w:sz w:val="22"/>
          <w:szCs w:val="22"/>
        </w:rPr>
        <w:t>all</w:t>
      </w:r>
      <w:r w:rsidR="000A0F7F" w:rsidRPr="007F7EBF">
        <w:rPr>
          <w:bCs/>
          <w:sz w:val="22"/>
          <w:szCs w:val="22"/>
        </w:rPr>
        <w:t xml:space="preserve">’inapplicabilità espressa </w:t>
      </w:r>
      <w:r w:rsidR="000A0F7F" w:rsidRPr="007F7EBF">
        <w:rPr>
          <w:sz w:val="22"/>
          <w:szCs w:val="22"/>
        </w:rPr>
        <w:t xml:space="preserve">al settore di </w:t>
      </w:r>
      <w:r w:rsidR="000A0F7F" w:rsidRPr="007F7EBF">
        <w:rPr>
          <w:bCs/>
          <w:sz w:val="22"/>
          <w:szCs w:val="22"/>
        </w:rPr>
        <w:t xml:space="preserve">molte disposizioni della legge generale </w:t>
      </w:r>
      <w:r w:rsidR="000A0F7F" w:rsidRPr="007F7EBF">
        <w:rPr>
          <w:sz w:val="22"/>
          <w:szCs w:val="22"/>
        </w:rPr>
        <w:t>sui procedimenti amministrativi n. 241 del 1990</w:t>
      </w:r>
      <w:r w:rsidR="0064621C">
        <w:rPr>
          <w:sz w:val="22"/>
          <w:szCs w:val="22"/>
        </w:rPr>
        <w:t xml:space="preserve">. </w:t>
      </w:r>
      <w:r w:rsidR="000A0F7F">
        <w:rPr>
          <w:sz w:val="22"/>
          <w:szCs w:val="22"/>
        </w:rPr>
        <w:t xml:space="preserve">Si addice invece facilmente </w:t>
      </w:r>
      <w:r w:rsidR="000A0F7F" w:rsidRPr="007F7EBF">
        <w:rPr>
          <w:sz w:val="22"/>
          <w:szCs w:val="22"/>
        </w:rPr>
        <w:t>alla funzione tributaria l'accesso agli</w:t>
      </w:r>
      <w:r w:rsidR="000A0F7F">
        <w:rPr>
          <w:sz w:val="22"/>
          <w:szCs w:val="22"/>
        </w:rPr>
        <w:t xml:space="preserve"> </w:t>
      </w:r>
      <w:r w:rsidR="000A0F7F" w:rsidRPr="007F7EBF">
        <w:rPr>
          <w:sz w:val="22"/>
          <w:szCs w:val="22"/>
        </w:rPr>
        <w:t xml:space="preserve">atti, sancito, dall’art. 22 della suddetta </w:t>
      </w:r>
      <w:r w:rsidR="000A0F7F">
        <w:rPr>
          <w:sz w:val="22"/>
          <w:szCs w:val="22"/>
        </w:rPr>
        <w:t>legge 241, e</w:t>
      </w:r>
      <w:r w:rsidR="000A0F7F" w:rsidRPr="007F7EBF">
        <w:rPr>
          <w:sz w:val="22"/>
          <w:szCs w:val="22"/>
        </w:rPr>
        <w:t xml:space="preserve"> </w:t>
      </w:r>
      <w:r w:rsidR="000A0F7F">
        <w:rPr>
          <w:sz w:val="22"/>
          <w:szCs w:val="22"/>
        </w:rPr>
        <w:t xml:space="preserve">derivante </w:t>
      </w:r>
      <w:r w:rsidR="000A0F7F" w:rsidRPr="007F7EBF">
        <w:rPr>
          <w:sz w:val="22"/>
          <w:szCs w:val="22"/>
        </w:rPr>
        <w:t>dai doveri pubblicistici di imparzialità, cui non si addicono le sfere di riservatezza esistenti per i privati</w:t>
      </w:r>
      <w:r w:rsidR="000A0F7F">
        <w:rPr>
          <w:sz w:val="22"/>
          <w:szCs w:val="22"/>
        </w:rPr>
        <w:t xml:space="preserve"> (</w:t>
      </w:r>
      <w:r w:rsidR="000A0F7F" w:rsidRPr="007F7EBF">
        <w:rPr>
          <w:rStyle w:val="Rimandonotaapidipagina"/>
          <w:sz w:val="22"/>
          <w:szCs w:val="22"/>
        </w:rPr>
        <w:footnoteReference w:id="733"/>
      </w:r>
      <w:r w:rsidR="000A0F7F">
        <w:rPr>
          <w:sz w:val="22"/>
          <w:szCs w:val="22"/>
        </w:rPr>
        <w:t>)</w:t>
      </w:r>
      <w:r w:rsidR="000A0F7F" w:rsidRPr="007F7EBF">
        <w:rPr>
          <w:sz w:val="22"/>
          <w:szCs w:val="22"/>
        </w:rPr>
        <w:t>.</w:t>
      </w:r>
      <w:r w:rsidR="000A0F7F">
        <w:rPr>
          <w:sz w:val="22"/>
          <w:szCs w:val="22"/>
        </w:rPr>
        <w:t xml:space="preserve"> L’accesso è però effettuabile </w:t>
      </w:r>
      <w:r w:rsidR="000A0F7F" w:rsidRPr="007F7EBF">
        <w:rPr>
          <w:sz w:val="22"/>
          <w:szCs w:val="22"/>
        </w:rPr>
        <w:t xml:space="preserve">dopo l’emanazione dell’atto impositivo, </w:t>
      </w:r>
      <w:r w:rsidR="000A0F7F">
        <w:rPr>
          <w:sz w:val="22"/>
          <w:szCs w:val="22"/>
        </w:rPr>
        <w:t xml:space="preserve">in quanto anteriormente sarebbe incompleto e potrebbe </w:t>
      </w:r>
      <w:r w:rsidR="000A0F7F" w:rsidRPr="007F7EBF">
        <w:rPr>
          <w:sz w:val="22"/>
          <w:szCs w:val="22"/>
        </w:rPr>
        <w:t>intralc</w:t>
      </w:r>
      <w:r w:rsidR="000A0F7F">
        <w:rPr>
          <w:sz w:val="22"/>
          <w:szCs w:val="22"/>
        </w:rPr>
        <w:t>iare</w:t>
      </w:r>
      <w:r w:rsidR="000A0F7F" w:rsidRPr="007F7EBF">
        <w:rPr>
          <w:sz w:val="22"/>
          <w:szCs w:val="22"/>
        </w:rPr>
        <w:t xml:space="preserve"> le indagini</w:t>
      </w:r>
      <w:r w:rsidR="000A0F7F">
        <w:rPr>
          <w:sz w:val="22"/>
          <w:szCs w:val="22"/>
        </w:rPr>
        <w:t xml:space="preserve"> di cui al par.5.6</w:t>
      </w:r>
      <w:r w:rsidR="000A0F7F">
        <w:rPr>
          <w:rFonts w:ascii="Calibri" w:hAnsi="Calibri" w:cs="Calibri"/>
          <w:color w:val="000000"/>
          <w:sz w:val="22"/>
          <w:szCs w:val="22"/>
        </w:rPr>
        <w:t>.</w:t>
      </w:r>
    </w:p>
    <w:p w14:paraId="75EDCD84" w14:textId="77777777" w:rsidR="00380677" w:rsidRPr="007F7EBF" w:rsidRDefault="00380677" w:rsidP="00380677">
      <w:pPr>
        <w:pStyle w:val="tit23"/>
        <w:ind w:left="6464" w:right="-1361" w:firstLine="0"/>
        <w:jc w:val="left"/>
        <w:rPr>
          <w:bCs/>
          <w:i/>
          <w:iCs/>
          <w:color w:val="0000FF"/>
          <w:lang w:val="it-IT"/>
        </w:rPr>
      </w:pPr>
      <w:r w:rsidRPr="007F7EBF">
        <w:rPr>
          <w:bCs/>
          <w:i/>
          <w:iCs/>
          <w:color w:val="0000FF"/>
          <w:lang w:val="it-IT"/>
        </w:rPr>
        <w:t>confusione sul contraddittorio</w:t>
      </w:r>
      <w:r w:rsidR="009925C9" w:rsidRPr="007F7EBF">
        <w:rPr>
          <w:bCs/>
          <w:i/>
          <w:iCs/>
          <w:color w:val="0000FF"/>
          <w:lang w:val="it-IT"/>
        </w:rPr>
        <w:t xml:space="preserve"> amministrativo</w:t>
      </w:r>
    </w:p>
    <w:p w14:paraId="63CF76ED" w14:textId="5E1DAFD3" w:rsidR="00545F18" w:rsidRPr="007F7EBF" w:rsidRDefault="0064621C" w:rsidP="00545F18">
      <w:pPr>
        <w:autoSpaceDE w:val="0"/>
        <w:autoSpaceDN w:val="0"/>
        <w:adjustRightInd w:val="0"/>
        <w:rPr>
          <w:sz w:val="22"/>
          <w:szCs w:val="22"/>
        </w:rPr>
      </w:pPr>
      <w:r>
        <w:rPr>
          <w:sz w:val="22"/>
          <w:szCs w:val="22"/>
        </w:rPr>
        <w:t xml:space="preserve">La mancanza di riflessione su questi temi emerge nella superficialità dell’elaborazione, normativa e dottrinale, sul rapporto tra contraddittorio procedimentale e determinazione dell’imposta; </w:t>
      </w:r>
      <w:r w:rsidR="00545F18">
        <w:rPr>
          <w:sz w:val="22"/>
          <w:szCs w:val="22"/>
        </w:rPr>
        <w:t>senza un’adeguata funzionalizzazione a</w:t>
      </w:r>
      <w:r w:rsidR="00D65D85">
        <w:rPr>
          <w:sz w:val="22"/>
          <w:szCs w:val="22"/>
        </w:rPr>
        <w:t xml:space="preserve">i presupposti economici d’imposta, </w:t>
      </w:r>
      <w:r w:rsidR="00545F18">
        <w:rPr>
          <w:sz w:val="22"/>
          <w:szCs w:val="22"/>
        </w:rPr>
        <w:t xml:space="preserve"> il contraddittorio resta vuota forma, non valorizzata sul piano della determinazione del tributo</w:t>
      </w:r>
      <w:r w:rsidR="00D65D85">
        <w:rPr>
          <w:sz w:val="22"/>
          <w:szCs w:val="22"/>
        </w:rPr>
        <w:t>; l</w:t>
      </w:r>
      <w:r w:rsidR="00D65D85" w:rsidRPr="007F7EBF">
        <w:t xml:space="preserve">’unica preclusione è il divieto, di cui al </w:t>
      </w:r>
      <w:r w:rsidR="00D65D85" w:rsidRPr="007F7EBF">
        <w:lastRenderedPageBreak/>
        <w:t>par.5.6, di far valere documenti che in sede istruttoria si è dichiarato di non possedere</w:t>
      </w:r>
      <w:r w:rsidR="00545F18" w:rsidRPr="007F7EBF">
        <w:rPr>
          <w:sz w:val="22"/>
          <w:szCs w:val="22"/>
        </w:rPr>
        <w:t xml:space="preserve">. </w:t>
      </w:r>
    </w:p>
    <w:p w14:paraId="6F7544CB" w14:textId="1E27A68A" w:rsidR="007E7383" w:rsidRPr="007F7EBF" w:rsidRDefault="00545F18" w:rsidP="008725D6">
      <w:pPr>
        <w:autoSpaceDE w:val="0"/>
        <w:autoSpaceDN w:val="0"/>
        <w:adjustRightInd w:val="0"/>
        <w:rPr>
          <w:bCs/>
          <w:i/>
          <w:iCs/>
          <w:color w:val="0000FF"/>
        </w:rPr>
      </w:pPr>
      <w:r>
        <w:rPr>
          <w:sz w:val="22"/>
          <w:szCs w:val="22"/>
        </w:rPr>
        <w:t>I</w:t>
      </w:r>
      <w:r w:rsidR="0064621C">
        <w:rPr>
          <w:sz w:val="22"/>
          <w:szCs w:val="22"/>
        </w:rPr>
        <w:t>l con</w:t>
      </w:r>
      <w:r w:rsidR="00380677" w:rsidRPr="007F7EBF">
        <w:rPr>
          <w:bCs/>
          <w:sz w:val="22"/>
          <w:szCs w:val="22"/>
        </w:rPr>
        <w:t xml:space="preserve">traddittorio </w:t>
      </w:r>
      <w:r w:rsidR="009925C9" w:rsidRPr="007F7EBF">
        <w:rPr>
          <w:bCs/>
          <w:sz w:val="22"/>
          <w:szCs w:val="22"/>
        </w:rPr>
        <w:t>procedimentale</w:t>
      </w:r>
      <w:r w:rsidR="00380677" w:rsidRPr="007F7EBF">
        <w:rPr>
          <w:bCs/>
          <w:sz w:val="22"/>
          <w:szCs w:val="22"/>
        </w:rPr>
        <w:t xml:space="preserve"> </w:t>
      </w:r>
      <w:r w:rsidR="00380677" w:rsidRPr="007F7EBF">
        <w:rPr>
          <w:sz w:val="22"/>
          <w:szCs w:val="22"/>
        </w:rPr>
        <w:t>con gli uffici tributari</w:t>
      </w:r>
      <w:r w:rsidR="002F240A">
        <w:rPr>
          <w:sz w:val="22"/>
          <w:szCs w:val="22"/>
        </w:rPr>
        <w:t xml:space="preserve"> esiste di fatto </w:t>
      </w:r>
      <w:r w:rsidR="009925C9" w:rsidRPr="007F7EBF">
        <w:rPr>
          <w:sz w:val="22"/>
          <w:szCs w:val="22"/>
        </w:rPr>
        <w:t>quando</w:t>
      </w:r>
      <w:r w:rsidR="00380677" w:rsidRPr="007F7EBF">
        <w:rPr>
          <w:sz w:val="22"/>
          <w:szCs w:val="22"/>
        </w:rPr>
        <w:t xml:space="preserve"> </w:t>
      </w:r>
      <w:r w:rsidR="0068663F" w:rsidRPr="007F7EBF">
        <w:rPr>
          <w:sz w:val="22"/>
          <w:szCs w:val="22"/>
        </w:rPr>
        <w:t xml:space="preserve">il contribuente è in prima persona destinatario delle richieste istruttorie e delle indagini di cui al par.5.6. </w:t>
      </w:r>
      <w:r w:rsidR="0064621C">
        <w:rPr>
          <w:sz w:val="22"/>
          <w:szCs w:val="22"/>
        </w:rPr>
        <w:t xml:space="preserve">Tuttavia è anche possibile ricevere accertamenti d’imposta senza essere stati neppure convocati, </w:t>
      </w:r>
      <w:r>
        <w:rPr>
          <w:sz w:val="22"/>
          <w:szCs w:val="22"/>
        </w:rPr>
        <w:t xml:space="preserve">ed è  contraddittoria rispetto a questo la necessità degli </w:t>
      </w:r>
      <w:r w:rsidRPr="007F7EBF">
        <w:rPr>
          <w:bCs/>
        </w:rPr>
        <w:t>"avvisi bonari" di cui al par.5.5</w:t>
      </w:r>
      <w:r>
        <w:rPr>
          <w:bCs/>
        </w:rPr>
        <w:t xml:space="preserve"> per imposte dichiarate e non versate. Peraltro tale mancata convocazione è giustificata </w:t>
      </w:r>
      <w:r w:rsidR="0064621C">
        <w:rPr>
          <w:sz w:val="22"/>
          <w:szCs w:val="22"/>
        </w:rPr>
        <w:t xml:space="preserve">per moltissimi accertamenti “seriali” e di piccolo importo, </w:t>
      </w:r>
      <w:r>
        <w:rPr>
          <w:sz w:val="22"/>
          <w:szCs w:val="22"/>
        </w:rPr>
        <w:t xml:space="preserve">perché </w:t>
      </w:r>
      <w:r w:rsidR="0064621C">
        <w:rPr>
          <w:sz w:val="22"/>
          <w:szCs w:val="22"/>
        </w:rPr>
        <w:t>creerebbe complicazioni inutili per gli stessi contribuenti</w:t>
      </w:r>
      <w:r>
        <w:rPr>
          <w:sz w:val="22"/>
          <w:szCs w:val="22"/>
        </w:rPr>
        <w:t xml:space="preserve">; in tali casi </w:t>
      </w:r>
      <w:r w:rsidR="008725D6">
        <w:rPr>
          <w:sz w:val="22"/>
          <w:szCs w:val="22"/>
        </w:rPr>
        <w:t>il contraddittorio può avvenire, se necessario, a posteriori (</w:t>
      </w:r>
      <w:r w:rsidR="008725D6">
        <w:rPr>
          <w:rStyle w:val="Rimandonotaapidipagina"/>
          <w:sz w:val="22"/>
          <w:szCs w:val="22"/>
        </w:rPr>
        <w:footnoteReference w:id="734"/>
      </w:r>
      <w:r w:rsidR="008725D6">
        <w:rPr>
          <w:sz w:val="22"/>
          <w:szCs w:val="22"/>
        </w:rPr>
        <w:t>)</w:t>
      </w:r>
      <w:r>
        <w:rPr>
          <w:sz w:val="22"/>
          <w:szCs w:val="22"/>
        </w:rPr>
        <w:t xml:space="preserve">. La riflessione sull’oggetto della funzione tributaria è stata troppo superficiale distinguere questi casi da quelli in cui la determinazione degli imponibili è troppo complessa per avvenire senza previe deduzioni del contribuente </w:t>
      </w:r>
      <w:r w:rsidR="008725D6">
        <w:rPr>
          <w:sz w:val="22"/>
          <w:szCs w:val="22"/>
        </w:rPr>
        <w:t>(</w:t>
      </w:r>
      <w:r w:rsidR="008725D6" w:rsidRPr="007F7EBF">
        <w:rPr>
          <w:rStyle w:val="Rimandonotaapidipagina"/>
          <w:sz w:val="22"/>
          <w:szCs w:val="22"/>
        </w:rPr>
        <w:footnoteReference w:id="735"/>
      </w:r>
      <w:r w:rsidR="008725D6">
        <w:rPr>
          <w:sz w:val="22"/>
          <w:szCs w:val="22"/>
        </w:rPr>
        <w:t xml:space="preserve">), </w:t>
      </w:r>
      <w:r w:rsidR="0089301F">
        <w:t>con intensità da contestualizzare</w:t>
      </w:r>
      <w:r w:rsidR="008725D6">
        <w:t>(</w:t>
      </w:r>
      <w:r w:rsidR="007E7383" w:rsidRPr="007F7EBF">
        <w:rPr>
          <w:rStyle w:val="Rimandonotaapidipagina"/>
          <w:sz w:val="22"/>
          <w:szCs w:val="22"/>
        </w:rPr>
        <w:footnoteReference w:id="736"/>
      </w:r>
      <w:r w:rsidR="008725D6">
        <w:t>)</w:t>
      </w:r>
      <w:r w:rsidR="004E45CD" w:rsidRPr="007F7EBF">
        <w:rPr>
          <w:sz w:val="22"/>
          <w:szCs w:val="22"/>
        </w:rPr>
        <w:t>.</w:t>
      </w:r>
      <w:r>
        <w:rPr>
          <w:sz w:val="22"/>
          <w:szCs w:val="22"/>
        </w:rPr>
        <w:t xml:space="preserve"> </w:t>
      </w:r>
      <w:r w:rsidR="008725D6">
        <w:rPr>
          <w:sz w:val="22"/>
          <w:szCs w:val="22"/>
        </w:rPr>
        <w:t>A queste difficoltà si aggiunge una tendenza a mortificare il contraddittorio per via dei consueti timori connessi all’esplicitazione dei passaggi valutativi e di stima degli imponibili.</w:t>
      </w:r>
    </w:p>
    <w:p w14:paraId="00DD202D" w14:textId="5BDB81A0" w:rsidR="00186628" w:rsidRPr="007F7EBF" w:rsidRDefault="00186628" w:rsidP="00186628">
      <w:pPr>
        <w:autoSpaceDE w:val="0"/>
        <w:autoSpaceDN w:val="0"/>
        <w:adjustRightInd w:val="0"/>
        <w:rPr>
          <w:sz w:val="22"/>
          <w:szCs w:val="22"/>
        </w:rPr>
      </w:pPr>
    </w:p>
    <w:p w14:paraId="3E281EB6" w14:textId="77777777" w:rsidR="00186628" w:rsidRPr="007F7EBF" w:rsidRDefault="00FD706A" w:rsidP="00186628">
      <w:pPr>
        <w:pStyle w:val="tit23"/>
        <w:ind w:left="6464" w:right="-1361" w:firstLine="0"/>
        <w:jc w:val="left"/>
        <w:rPr>
          <w:bCs/>
          <w:i/>
          <w:iCs/>
          <w:color w:val="0000FF"/>
          <w:lang w:val="it-IT"/>
        </w:rPr>
      </w:pPr>
      <w:r w:rsidRPr="007F7EBF">
        <w:rPr>
          <w:bCs/>
          <w:i/>
          <w:iCs/>
          <w:color w:val="0000FF"/>
          <w:lang w:val="it-IT"/>
        </w:rPr>
        <w:t xml:space="preserve">Omissione di contraddittorio come vizio formale – rinvio </w:t>
      </w:r>
    </w:p>
    <w:p w14:paraId="7070001E" w14:textId="62F82141" w:rsidR="00EB1FAE" w:rsidRPr="007F7EBF" w:rsidRDefault="00186628" w:rsidP="00D13F83">
      <w:pPr>
        <w:autoSpaceDE w:val="0"/>
        <w:autoSpaceDN w:val="0"/>
        <w:adjustRightInd w:val="0"/>
        <w:rPr>
          <w:bCs/>
          <w:sz w:val="22"/>
          <w:szCs w:val="22"/>
        </w:rPr>
      </w:pPr>
      <w:r w:rsidRPr="007F7EBF">
        <w:rPr>
          <w:sz w:val="22"/>
          <w:szCs w:val="22"/>
        </w:rPr>
        <w:t>Il mancato contraddittorio</w:t>
      </w:r>
      <w:r w:rsidR="00FF7F6D">
        <w:rPr>
          <w:sz w:val="22"/>
          <w:szCs w:val="22"/>
        </w:rPr>
        <w:t>, nei casi in cui è previsto,</w:t>
      </w:r>
      <w:r w:rsidRPr="007F7EBF">
        <w:rPr>
          <w:sz w:val="22"/>
          <w:szCs w:val="22"/>
        </w:rPr>
        <w:t xml:space="preserve"> è </w:t>
      </w:r>
      <w:r w:rsidR="00FF7F6D">
        <w:rPr>
          <w:sz w:val="22"/>
          <w:szCs w:val="22"/>
        </w:rPr>
        <w:t xml:space="preserve">stato considerato </w:t>
      </w:r>
      <w:r w:rsidRPr="007F7EBF">
        <w:rPr>
          <w:sz w:val="22"/>
          <w:szCs w:val="22"/>
        </w:rPr>
        <w:t xml:space="preserve"> "vizio formale"</w:t>
      </w:r>
      <w:r w:rsidR="00FF7F6D">
        <w:rPr>
          <w:sz w:val="22"/>
          <w:szCs w:val="22"/>
        </w:rPr>
        <w:t xml:space="preserve"> </w:t>
      </w:r>
      <w:r w:rsidR="00FF7F6D" w:rsidRPr="007F7EBF">
        <w:rPr>
          <w:sz w:val="22"/>
          <w:szCs w:val="22"/>
        </w:rPr>
        <w:t>per non vanificare accertamenti per altri versi fondati</w:t>
      </w:r>
      <w:r w:rsidR="000F6A54" w:rsidRPr="007F7EBF">
        <w:t xml:space="preserve">. Un caso divertente di impugnazioni strumentali riguarda gli accertamenti prematuri rispetto al </w:t>
      </w:r>
      <w:r w:rsidR="00EC5529">
        <w:t xml:space="preserve">processo verbale </w:t>
      </w:r>
      <w:r w:rsidR="000F6A54" w:rsidRPr="007F7EBF">
        <w:t>e quell</w:t>
      </w:r>
      <w:r w:rsidR="00EC5529">
        <w:t>o</w:t>
      </w:r>
      <w:r w:rsidR="000F6A54" w:rsidRPr="007F7EBF">
        <w:t xml:space="preserve"> secondo cui gli accertamenti redatti a seguito di un'istruttoria presso l'ufficio dovrebbero essere preceduti da un </w:t>
      </w:r>
      <w:r w:rsidR="00EC5529">
        <w:t>verbale</w:t>
      </w:r>
      <w:r w:rsidR="000F6A54" w:rsidRPr="007F7EBF">
        <w:t xml:space="preserve"> in modo </w:t>
      </w:r>
      <w:r w:rsidR="000F6A54" w:rsidRPr="007F7EBF">
        <w:lastRenderedPageBreak/>
        <w:t>che il contribuente (già edotto dell'attività investigativa) p</w:t>
      </w:r>
      <w:r w:rsidR="000F6A54">
        <w:t>ossa</w:t>
      </w:r>
      <w:r w:rsidR="000F6A54" w:rsidRPr="007F7EBF">
        <w:t xml:space="preserve"> presentare le deduzioni</w:t>
      </w:r>
      <w:r w:rsidR="00776698">
        <w:rPr>
          <w:sz w:val="22"/>
          <w:szCs w:val="22"/>
        </w:rPr>
        <w:t xml:space="preserve"> </w:t>
      </w:r>
      <w:r w:rsidR="00EC5529">
        <w:rPr>
          <w:sz w:val="22"/>
          <w:szCs w:val="22"/>
        </w:rPr>
        <w:t>suddette</w:t>
      </w:r>
      <w:r w:rsidR="000F6A54">
        <w:rPr>
          <w:sz w:val="22"/>
          <w:szCs w:val="22"/>
        </w:rPr>
        <w:t>.</w:t>
      </w:r>
      <w:r w:rsidR="00FF7F6D">
        <w:rPr>
          <w:sz w:val="22"/>
          <w:szCs w:val="22"/>
        </w:rPr>
        <w:t xml:space="preserve"> </w:t>
      </w:r>
      <w:r w:rsidRPr="007F7EBF">
        <w:rPr>
          <w:sz w:val="22"/>
          <w:szCs w:val="22"/>
        </w:rPr>
        <w:t xml:space="preserve">Vedremo </w:t>
      </w:r>
      <w:r w:rsidR="00FF7F6D">
        <w:rPr>
          <w:sz w:val="22"/>
          <w:szCs w:val="22"/>
        </w:rPr>
        <w:t xml:space="preserve">però </w:t>
      </w:r>
      <w:r w:rsidRPr="007F7EBF">
        <w:rPr>
          <w:sz w:val="22"/>
          <w:szCs w:val="22"/>
        </w:rPr>
        <w:t>al par.6.10 che la soluzione più lineare, forse anche a legislazione vigente, sarebbe l'annullamento con possibilità degli uffici di rinnovare l'atto</w:t>
      </w:r>
      <w:r w:rsidR="00EC5529">
        <w:rPr>
          <w:sz w:val="22"/>
          <w:szCs w:val="22"/>
        </w:rPr>
        <w:t xml:space="preserve">, </w:t>
      </w:r>
      <w:r w:rsidRPr="007F7EBF">
        <w:rPr>
          <w:sz w:val="22"/>
          <w:szCs w:val="22"/>
        </w:rPr>
        <w:t xml:space="preserve"> privo del vizio</w:t>
      </w:r>
      <w:r w:rsidR="00EC5529">
        <w:rPr>
          <w:sz w:val="22"/>
          <w:szCs w:val="22"/>
        </w:rPr>
        <w:t>, n</w:t>
      </w:r>
      <w:r w:rsidR="00EC5529" w:rsidRPr="007F7EBF">
        <w:t>ei limiti della motivazione dell’atto impugnato</w:t>
      </w:r>
      <w:r w:rsidR="002535FC" w:rsidRPr="007F7EBF">
        <w:rPr>
          <w:sz w:val="22"/>
          <w:szCs w:val="22"/>
        </w:rPr>
        <w:t xml:space="preserve">, </w:t>
      </w:r>
      <w:r w:rsidR="00EC5529">
        <w:rPr>
          <w:sz w:val="22"/>
          <w:szCs w:val="22"/>
        </w:rPr>
        <w:t xml:space="preserve">senza </w:t>
      </w:r>
      <w:r w:rsidR="002535FC" w:rsidRPr="007F7EBF">
        <w:rPr>
          <w:sz w:val="22"/>
          <w:szCs w:val="22"/>
        </w:rPr>
        <w:t xml:space="preserve">vanificare </w:t>
      </w:r>
      <w:r w:rsidRPr="007F7EBF">
        <w:rPr>
          <w:sz w:val="22"/>
          <w:szCs w:val="22"/>
        </w:rPr>
        <w:t>l’azione amministrativa</w:t>
      </w:r>
      <w:r w:rsidR="009925C9" w:rsidRPr="007F7EBF">
        <w:rPr>
          <w:sz w:val="22"/>
          <w:szCs w:val="22"/>
        </w:rPr>
        <w:t>,</w:t>
      </w:r>
      <w:r w:rsidRPr="007F7EBF">
        <w:rPr>
          <w:sz w:val="22"/>
          <w:szCs w:val="22"/>
        </w:rPr>
        <w:t xml:space="preserve"> </w:t>
      </w:r>
      <w:r w:rsidR="00BD4DC3" w:rsidRPr="007F7EBF">
        <w:rPr>
          <w:sz w:val="22"/>
          <w:szCs w:val="22"/>
        </w:rPr>
        <w:t xml:space="preserve">né </w:t>
      </w:r>
      <w:r w:rsidR="009925C9" w:rsidRPr="007F7EBF">
        <w:rPr>
          <w:sz w:val="22"/>
          <w:szCs w:val="22"/>
        </w:rPr>
        <w:t xml:space="preserve">svuotare di senso </w:t>
      </w:r>
      <w:r w:rsidR="00BD4DC3" w:rsidRPr="007F7EBF">
        <w:rPr>
          <w:sz w:val="22"/>
          <w:szCs w:val="22"/>
        </w:rPr>
        <w:t xml:space="preserve">l’adempimento </w:t>
      </w:r>
      <w:r w:rsidR="009925C9" w:rsidRPr="007F7EBF">
        <w:rPr>
          <w:sz w:val="22"/>
          <w:szCs w:val="22"/>
        </w:rPr>
        <w:t>in esame</w:t>
      </w:r>
      <w:r w:rsidR="00112A96" w:rsidRPr="007F7EBF">
        <w:rPr>
          <w:sz w:val="22"/>
          <w:szCs w:val="22"/>
        </w:rPr>
        <w:t xml:space="preserve">. </w:t>
      </w:r>
    </w:p>
    <w:p w14:paraId="13C16D45" w14:textId="77777777" w:rsidR="00274A1F" w:rsidRPr="007F7EBF" w:rsidRDefault="006342C5" w:rsidP="009925C9">
      <w:pPr>
        <w:pStyle w:val="Titolo3"/>
        <w:rPr>
          <w:rFonts w:ascii="Times New Roman" w:hAnsi="Times New Roman"/>
          <w:sz w:val="22"/>
          <w:szCs w:val="22"/>
        </w:rPr>
      </w:pPr>
      <w:bookmarkStart w:id="82" w:name="_Toc63364995"/>
      <w:r w:rsidRPr="007F7EBF">
        <w:rPr>
          <w:rFonts w:ascii="Times New Roman" w:hAnsi="Times New Roman"/>
          <w:sz w:val="22"/>
          <w:szCs w:val="22"/>
        </w:rPr>
        <w:t xml:space="preserve">6.2. </w:t>
      </w:r>
      <w:bookmarkStart w:id="83" w:name="_Hlk47989491"/>
      <w:r w:rsidRPr="007F7EBF">
        <w:rPr>
          <w:rFonts w:ascii="Times New Roman" w:hAnsi="Times New Roman"/>
          <w:i/>
          <w:iCs/>
          <w:sz w:val="22"/>
          <w:szCs w:val="22"/>
        </w:rPr>
        <w:t>Segue</w:t>
      </w:r>
      <w:r w:rsidRPr="007F7EBF">
        <w:rPr>
          <w:rFonts w:ascii="Times New Roman" w:hAnsi="Times New Roman"/>
          <w:sz w:val="22"/>
          <w:szCs w:val="22"/>
        </w:rPr>
        <w:t xml:space="preserve">: </w:t>
      </w:r>
      <w:r w:rsidR="00A479A9" w:rsidRPr="007F7EBF">
        <w:rPr>
          <w:rFonts w:ascii="Times New Roman" w:hAnsi="Times New Roman"/>
          <w:sz w:val="22"/>
          <w:szCs w:val="22"/>
        </w:rPr>
        <w:t xml:space="preserve">diversità tra </w:t>
      </w:r>
      <w:r w:rsidRPr="007F7EBF">
        <w:rPr>
          <w:rFonts w:ascii="Times New Roman" w:hAnsi="Times New Roman"/>
          <w:sz w:val="22"/>
          <w:szCs w:val="22"/>
        </w:rPr>
        <w:t>motivazione e pr</w:t>
      </w:r>
      <w:r w:rsidR="009F7A9F" w:rsidRPr="007F7EBF">
        <w:rPr>
          <w:rFonts w:ascii="Times New Roman" w:hAnsi="Times New Roman"/>
          <w:sz w:val="22"/>
          <w:szCs w:val="22"/>
        </w:rPr>
        <w:t xml:space="preserve">ova </w:t>
      </w:r>
      <w:r w:rsidR="00A479A9" w:rsidRPr="007F7EBF">
        <w:rPr>
          <w:rFonts w:ascii="Times New Roman" w:hAnsi="Times New Roman"/>
          <w:sz w:val="22"/>
          <w:szCs w:val="22"/>
        </w:rPr>
        <w:t>degli accertamenti tributari</w:t>
      </w:r>
      <w:bookmarkEnd w:id="82"/>
      <w:bookmarkEnd w:id="83"/>
    </w:p>
    <w:p w14:paraId="7E89B8F8" w14:textId="77777777" w:rsidR="00274A1F" w:rsidRPr="007F7EBF" w:rsidRDefault="00274A1F" w:rsidP="00274A1F">
      <w:pPr>
        <w:pStyle w:val="tit23"/>
        <w:ind w:left="6464" w:right="-1361" w:firstLine="0"/>
        <w:jc w:val="left"/>
        <w:rPr>
          <w:b/>
          <w:bCs/>
          <w:i/>
          <w:iCs/>
          <w:color w:val="0000FF"/>
          <w:lang w:val="it-IT"/>
        </w:rPr>
      </w:pPr>
      <w:r w:rsidRPr="007F7EBF">
        <w:rPr>
          <w:b/>
          <w:bCs/>
          <w:i/>
          <w:iCs/>
          <w:color w:val="0000FF"/>
          <w:lang w:val="it-IT"/>
        </w:rPr>
        <w:t>Motivazione degli atti impositivi</w:t>
      </w:r>
    </w:p>
    <w:p w14:paraId="0489F82F" w14:textId="49288DE5" w:rsidR="00274A1F" w:rsidRPr="007F7EBF" w:rsidRDefault="0029767E" w:rsidP="003479AE">
      <w:pPr>
        <w:autoSpaceDE w:val="0"/>
        <w:autoSpaceDN w:val="0"/>
        <w:adjustRightInd w:val="0"/>
        <w:rPr>
          <w:bCs/>
          <w:i/>
          <w:iCs/>
          <w:color w:val="0000FF"/>
          <w:sz w:val="22"/>
          <w:szCs w:val="22"/>
        </w:rPr>
      </w:pPr>
      <w:r>
        <w:rPr>
          <w:sz w:val="22"/>
          <w:szCs w:val="22"/>
        </w:rPr>
        <w:t xml:space="preserve">L’unilateralità dell’accertamento tributario, </w:t>
      </w:r>
      <w:r w:rsidR="00D86DF5">
        <w:rPr>
          <w:sz w:val="22"/>
          <w:szCs w:val="22"/>
        </w:rPr>
        <w:t xml:space="preserve">descritta al paragrafo precedente, ne rende logicamente necessaria la motivazione, </w:t>
      </w:r>
      <w:r w:rsidR="00CE054A">
        <w:rPr>
          <w:sz w:val="22"/>
          <w:szCs w:val="22"/>
        </w:rPr>
        <w:t xml:space="preserve">forse più di quanto debba essere motivata la sentenza, emanata a chiusura di un processo cui le parti hanno avuto modo di partecipare su un piano di parità </w:t>
      </w:r>
      <w:r w:rsidR="0047144D">
        <w:rPr>
          <w:sz w:val="22"/>
          <w:szCs w:val="22"/>
        </w:rPr>
        <w:t>(</w:t>
      </w:r>
      <w:r w:rsidR="00274A1F" w:rsidRPr="007F7EBF">
        <w:rPr>
          <w:rStyle w:val="Rimandonotaapidipagina"/>
          <w:sz w:val="22"/>
          <w:szCs w:val="22"/>
        </w:rPr>
        <w:footnoteReference w:id="737"/>
      </w:r>
      <w:r w:rsidR="0047144D">
        <w:rPr>
          <w:sz w:val="22"/>
          <w:szCs w:val="22"/>
        </w:rPr>
        <w:t>)</w:t>
      </w:r>
      <w:r w:rsidR="00CE054A">
        <w:rPr>
          <w:sz w:val="22"/>
          <w:szCs w:val="22"/>
        </w:rPr>
        <w:t>. Il destinatario dell’atto impositivo</w:t>
      </w:r>
      <w:r w:rsidR="00D34B94">
        <w:rPr>
          <w:sz w:val="22"/>
          <w:szCs w:val="22"/>
        </w:rPr>
        <w:t xml:space="preserve">, che al massimo viene da un contraddittorio procedimentale, deve quindi essere </w:t>
      </w:r>
      <w:r w:rsidR="003479AE" w:rsidRPr="007F7EBF">
        <w:rPr>
          <w:bCs/>
          <w:sz w:val="22"/>
          <w:szCs w:val="22"/>
        </w:rPr>
        <w:t>informa</w:t>
      </w:r>
      <w:r w:rsidR="00D34B94">
        <w:rPr>
          <w:bCs/>
          <w:sz w:val="22"/>
          <w:szCs w:val="22"/>
        </w:rPr>
        <w:t xml:space="preserve">to sulle determinazioni dell’ufficio, </w:t>
      </w:r>
      <w:r w:rsidR="00C24655">
        <w:rPr>
          <w:bCs/>
          <w:sz w:val="22"/>
          <w:szCs w:val="22"/>
        </w:rPr>
        <w:t>consentendogli di valutar</w:t>
      </w:r>
      <w:r w:rsidR="00D34B94">
        <w:rPr>
          <w:bCs/>
          <w:sz w:val="22"/>
          <w:szCs w:val="22"/>
        </w:rPr>
        <w:t>ne il fondamento in fatto e in diritto</w:t>
      </w:r>
      <w:r w:rsidR="00C24655">
        <w:rPr>
          <w:bCs/>
          <w:sz w:val="22"/>
          <w:szCs w:val="22"/>
        </w:rPr>
        <w:t>.</w:t>
      </w:r>
      <w:r w:rsidR="00C24655" w:rsidRPr="00C24655">
        <w:rPr>
          <w:sz w:val="22"/>
          <w:szCs w:val="22"/>
        </w:rPr>
        <w:t xml:space="preserve"> </w:t>
      </w:r>
      <w:r w:rsidR="00D34B94">
        <w:rPr>
          <w:sz w:val="22"/>
          <w:szCs w:val="22"/>
        </w:rPr>
        <w:t xml:space="preserve">Proprio per il suo collegamento con un procedimento, </w:t>
      </w:r>
      <w:r w:rsidR="00C24655" w:rsidRPr="007F7EBF">
        <w:rPr>
          <w:sz w:val="22"/>
          <w:szCs w:val="22"/>
        </w:rPr>
        <w:t xml:space="preserve"> la motivazione può </w:t>
      </w:r>
      <w:r w:rsidR="00D34B94">
        <w:rPr>
          <w:sz w:val="22"/>
          <w:szCs w:val="22"/>
        </w:rPr>
        <w:t>comunque</w:t>
      </w:r>
      <w:r w:rsidR="00C24655" w:rsidRPr="007F7EBF">
        <w:rPr>
          <w:sz w:val="22"/>
          <w:szCs w:val="22"/>
        </w:rPr>
        <w:t xml:space="preserve"> consistere in un </w:t>
      </w:r>
      <w:r w:rsidR="00C24655" w:rsidRPr="007F7EBF">
        <w:rPr>
          <w:bCs/>
          <w:sz w:val="22"/>
          <w:szCs w:val="22"/>
        </w:rPr>
        <w:t xml:space="preserve">rinvio ad altri atti già in possesso del contribuente, </w:t>
      </w:r>
      <w:r w:rsidR="00C24655" w:rsidRPr="007F7EBF">
        <w:rPr>
          <w:sz w:val="22"/>
          <w:szCs w:val="22"/>
        </w:rPr>
        <w:t>come ad esempio i processi verbali di constatazione di cui abbiamo detto al par. 5.6</w:t>
      </w:r>
      <w:r w:rsidR="00C24655">
        <w:rPr>
          <w:sz w:val="22"/>
          <w:szCs w:val="22"/>
        </w:rPr>
        <w:t xml:space="preserve"> (</w:t>
      </w:r>
      <w:r w:rsidR="00C24655" w:rsidRPr="007F7EBF">
        <w:rPr>
          <w:rStyle w:val="Rimandonotaapidipagina"/>
          <w:sz w:val="22"/>
          <w:szCs w:val="22"/>
        </w:rPr>
        <w:footnoteReference w:id="738"/>
      </w:r>
      <w:r w:rsidR="00C24655">
        <w:rPr>
          <w:sz w:val="22"/>
          <w:szCs w:val="22"/>
        </w:rPr>
        <w:t>)</w:t>
      </w:r>
      <w:r w:rsidR="00C24655" w:rsidRPr="007F7EBF">
        <w:rPr>
          <w:sz w:val="22"/>
          <w:szCs w:val="22"/>
        </w:rPr>
        <w:t>.</w:t>
      </w:r>
    </w:p>
    <w:p w14:paraId="3C02E0BE" w14:textId="77777777" w:rsidR="00380677" w:rsidRPr="007F7EBF" w:rsidRDefault="00C24655" w:rsidP="00380677">
      <w:pPr>
        <w:pStyle w:val="tit23"/>
        <w:ind w:left="6464" w:right="-1361" w:firstLine="0"/>
        <w:jc w:val="left"/>
        <w:rPr>
          <w:bCs/>
          <w:i/>
          <w:iCs/>
          <w:color w:val="0000FF"/>
          <w:lang w:val="it-IT"/>
        </w:rPr>
      </w:pPr>
      <w:r>
        <w:rPr>
          <w:bCs/>
          <w:i/>
          <w:iCs/>
          <w:color w:val="0000FF"/>
          <w:lang w:val="it-IT"/>
        </w:rPr>
        <w:t xml:space="preserve">Contenuto </w:t>
      </w:r>
      <w:r w:rsidR="00380677" w:rsidRPr="007F7EBF">
        <w:rPr>
          <w:bCs/>
          <w:i/>
          <w:iCs/>
          <w:color w:val="0000FF"/>
          <w:lang w:val="it-IT"/>
        </w:rPr>
        <w:t>e rapporti con la prova</w:t>
      </w:r>
    </w:p>
    <w:p w14:paraId="55749F4E" w14:textId="065A2474" w:rsidR="00C00F4C" w:rsidRPr="007F7EBF" w:rsidRDefault="00D34B94" w:rsidP="00C00F4C">
      <w:pPr>
        <w:autoSpaceDE w:val="0"/>
        <w:autoSpaceDN w:val="0"/>
        <w:adjustRightInd w:val="0"/>
        <w:rPr>
          <w:sz w:val="22"/>
          <w:szCs w:val="22"/>
        </w:rPr>
      </w:pPr>
      <w:r>
        <w:rPr>
          <w:sz w:val="22"/>
          <w:szCs w:val="22"/>
        </w:rPr>
        <w:t>Il contenuto minimo dell</w:t>
      </w:r>
      <w:r w:rsidR="009863F4" w:rsidRPr="007F7EBF">
        <w:rPr>
          <w:bCs/>
          <w:sz w:val="22"/>
          <w:szCs w:val="22"/>
        </w:rPr>
        <w:t xml:space="preserve">a </w:t>
      </w:r>
      <w:r w:rsidR="009863F4" w:rsidRPr="007F7EBF">
        <w:rPr>
          <w:sz w:val="22"/>
          <w:szCs w:val="22"/>
        </w:rPr>
        <w:t>motivazione</w:t>
      </w:r>
      <w:r>
        <w:rPr>
          <w:sz w:val="22"/>
          <w:szCs w:val="22"/>
        </w:rPr>
        <w:t xml:space="preserve">, compresi i suddetti rinvii ad altri atti, è quindi </w:t>
      </w:r>
      <w:r w:rsidR="009863F4" w:rsidRPr="007F7EBF">
        <w:rPr>
          <w:sz w:val="22"/>
          <w:szCs w:val="22"/>
        </w:rPr>
        <w:t xml:space="preserve">individuare </w:t>
      </w:r>
      <w:r w:rsidR="001B5137">
        <w:rPr>
          <w:bCs/>
          <w:sz w:val="22"/>
          <w:szCs w:val="22"/>
        </w:rPr>
        <w:t>gl</w:t>
      </w:r>
      <w:r w:rsidR="009863F4" w:rsidRPr="007F7EBF">
        <w:rPr>
          <w:bCs/>
          <w:sz w:val="22"/>
          <w:szCs w:val="22"/>
        </w:rPr>
        <w:t xml:space="preserve">i elementi </w:t>
      </w:r>
      <w:r w:rsidR="001B5137">
        <w:rPr>
          <w:bCs/>
          <w:sz w:val="22"/>
          <w:szCs w:val="22"/>
        </w:rPr>
        <w:t>del presupposto</w:t>
      </w:r>
      <w:r w:rsidR="009863F4" w:rsidRPr="007F7EBF">
        <w:rPr>
          <w:bCs/>
          <w:sz w:val="22"/>
          <w:szCs w:val="22"/>
        </w:rPr>
        <w:t xml:space="preserve"> </w:t>
      </w:r>
      <w:r>
        <w:rPr>
          <w:bCs/>
          <w:sz w:val="22"/>
          <w:szCs w:val="22"/>
        </w:rPr>
        <w:t>r</w:t>
      </w:r>
      <w:r w:rsidR="009863F4" w:rsidRPr="007F7EBF">
        <w:rPr>
          <w:bCs/>
          <w:sz w:val="22"/>
          <w:szCs w:val="22"/>
        </w:rPr>
        <w:t>ettificati</w:t>
      </w:r>
      <w:r w:rsidR="009863F4" w:rsidRPr="007F7EBF">
        <w:rPr>
          <w:sz w:val="22"/>
          <w:szCs w:val="22"/>
        </w:rPr>
        <w:t xml:space="preserve">, nonché le ragioni di fatto e di diritto </w:t>
      </w:r>
      <w:r>
        <w:rPr>
          <w:sz w:val="22"/>
          <w:szCs w:val="22"/>
        </w:rPr>
        <w:t xml:space="preserve">alla base di </w:t>
      </w:r>
      <w:r w:rsidR="009863F4" w:rsidRPr="007F7EBF">
        <w:rPr>
          <w:sz w:val="22"/>
          <w:szCs w:val="22"/>
        </w:rPr>
        <w:t>tale rettific</w:t>
      </w:r>
      <w:r>
        <w:rPr>
          <w:sz w:val="22"/>
          <w:szCs w:val="22"/>
        </w:rPr>
        <w:t xml:space="preserve">a </w:t>
      </w:r>
      <w:r w:rsidR="00C24655">
        <w:rPr>
          <w:sz w:val="22"/>
          <w:szCs w:val="22"/>
        </w:rPr>
        <w:t>(</w:t>
      </w:r>
      <w:r w:rsidR="009863F4" w:rsidRPr="007F7EBF">
        <w:rPr>
          <w:rStyle w:val="Rimandonotaapidipagina"/>
          <w:bCs/>
          <w:sz w:val="22"/>
          <w:szCs w:val="22"/>
        </w:rPr>
        <w:footnoteReference w:id="739"/>
      </w:r>
      <w:r w:rsidR="00C24655">
        <w:rPr>
          <w:sz w:val="22"/>
          <w:szCs w:val="22"/>
        </w:rPr>
        <w:t>)</w:t>
      </w:r>
      <w:r w:rsidR="00C00F4C" w:rsidRPr="007F7EBF">
        <w:rPr>
          <w:sz w:val="22"/>
          <w:szCs w:val="22"/>
        </w:rPr>
        <w:t xml:space="preserve">. </w:t>
      </w:r>
      <w:r w:rsidR="00192847" w:rsidRPr="007F7EBF">
        <w:rPr>
          <w:sz w:val="22"/>
          <w:szCs w:val="22"/>
        </w:rPr>
        <w:t xml:space="preserve"> </w:t>
      </w:r>
      <w:r w:rsidR="00C00F4C" w:rsidRPr="007F7EBF">
        <w:rPr>
          <w:sz w:val="22"/>
          <w:szCs w:val="22"/>
        </w:rPr>
        <w:t xml:space="preserve">Ad esempio l’accertamento di un certo importo di maggiori ricavi potrebbe essere fondato su una molteplicità di ragioni, ed anche la deduzione dei costi </w:t>
      </w:r>
      <w:r w:rsidR="00C00F4C" w:rsidRPr="007F7EBF">
        <w:rPr>
          <w:sz w:val="22"/>
          <w:szCs w:val="22"/>
        </w:rPr>
        <w:lastRenderedPageBreak/>
        <w:t xml:space="preserve">può essere disconosciuta per le ragioni più varie, come la mancanza di documentazione, l’estraneità all’attività dell’impresa (mancanza di inerenza), l’imputazione a un periodo d’imposta sbagliato ecc. In entrambi i casi il contribuente, per valutare se e come </w:t>
      </w:r>
      <w:r w:rsidR="00E86B3D" w:rsidRPr="007F7EBF">
        <w:rPr>
          <w:sz w:val="22"/>
          <w:szCs w:val="22"/>
        </w:rPr>
        <w:t xml:space="preserve"> </w:t>
      </w:r>
      <w:r w:rsidR="00C00F4C" w:rsidRPr="007F7EBF">
        <w:rPr>
          <w:sz w:val="22"/>
          <w:szCs w:val="22"/>
        </w:rPr>
        <w:t xml:space="preserve">difendersi, deve essere informato sulle </w:t>
      </w:r>
      <w:r w:rsidR="00C00F4C" w:rsidRPr="007F7EBF">
        <w:rPr>
          <w:bCs/>
          <w:sz w:val="22"/>
          <w:szCs w:val="22"/>
        </w:rPr>
        <w:t>ragioni di fatto e di diritto della contestazione</w:t>
      </w:r>
      <w:r w:rsidR="00C00F4C" w:rsidRPr="007F7EBF">
        <w:rPr>
          <w:sz w:val="22"/>
          <w:szCs w:val="22"/>
        </w:rPr>
        <w:t>, cui si dirigerà l’eventuale processo.</w:t>
      </w:r>
      <w:r w:rsidR="00C00F4C" w:rsidRPr="007F7EBF">
        <w:rPr>
          <w:bCs/>
          <w:i/>
          <w:iCs/>
          <w:color w:val="0000FF"/>
          <w:sz w:val="22"/>
          <w:szCs w:val="22"/>
        </w:rPr>
        <w:t xml:space="preserve">   </w:t>
      </w:r>
      <w:bookmarkStart w:id="84" w:name="_Hlk47994657"/>
      <w:r w:rsidR="00C00F4C" w:rsidRPr="007F7EBF">
        <w:rPr>
          <w:sz w:val="22"/>
          <w:szCs w:val="22"/>
        </w:rPr>
        <w:t>I</w:t>
      </w:r>
      <w:r>
        <w:rPr>
          <w:sz w:val="22"/>
          <w:szCs w:val="22"/>
        </w:rPr>
        <w:t>n questo</w:t>
      </w:r>
      <w:r w:rsidR="00C00F4C" w:rsidRPr="007F7EBF">
        <w:rPr>
          <w:sz w:val="22"/>
          <w:szCs w:val="22"/>
        </w:rPr>
        <w:t xml:space="preserve"> </w:t>
      </w:r>
      <w:r w:rsidR="00C00F4C" w:rsidRPr="007F7EBF">
        <w:rPr>
          <w:bCs/>
          <w:sz w:val="22"/>
          <w:szCs w:val="22"/>
        </w:rPr>
        <w:t>ruolo informativo</w:t>
      </w:r>
      <w:r>
        <w:rPr>
          <w:bCs/>
          <w:sz w:val="22"/>
          <w:szCs w:val="22"/>
        </w:rPr>
        <w:t>, l</w:t>
      </w:r>
      <w:r w:rsidR="00C00F4C" w:rsidRPr="007F7EBF">
        <w:rPr>
          <w:sz w:val="22"/>
          <w:szCs w:val="22"/>
        </w:rPr>
        <w:t xml:space="preserve">a motivazione può anche comporsi di “allegazioni”, cioè indicazioni di fatti e circostanze, </w:t>
      </w:r>
      <w:r w:rsidR="00600379" w:rsidRPr="007F7EBF">
        <w:rPr>
          <w:sz w:val="22"/>
          <w:szCs w:val="22"/>
        </w:rPr>
        <w:t xml:space="preserve">in altro modo documentate e già in possesso del destinatario dell'atto </w:t>
      </w:r>
      <w:r>
        <w:rPr>
          <w:sz w:val="22"/>
          <w:szCs w:val="22"/>
        </w:rPr>
        <w:t>(</w:t>
      </w:r>
      <w:r w:rsidR="00600379" w:rsidRPr="007F7EBF">
        <w:rPr>
          <w:rStyle w:val="Rimandonotaapidipagina"/>
          <w:sz w:val="22"/>
          <w:szCs w:val="22"/>
        </w:rPr>
        <w:footnoteReference w:id="740"/>
      </w:r>
      <w:r>
        <w:rPr>
          <w:sz w:val="22"/>
          <w:szCs w:val="22"/>
        </w:rPr>
        <w:t>)</w:t>
      </w:r>
      <w:r w:rsidR="00192847" w:rsidRPr="007F7EBF">
        <w:rPr>
          <w:sz w:val="22"/>
          <w:szCs w:val="22"/>
        </w:rPr>
        <w:t>.</w:t>
      </w:r>
    </w:p>
    <w:bookmarkEnd w:id="84"/>
    <w:p w14:paraId="76105BB5" w14:textId="77777777" w:rsidR="00C00F4C" w:rsidRPr="007F7EBF" w:rsidRDefault="00C00F4C" w:rsidP="00C00F4C">
      <w:pPr>
        <w:pStyle w:val="tit23"/>
        <w:ind w:left="6464" w:right="-1361" w:firstLine="0"/>
        <w:jc w:val="left"/>
        <w:rPr>
          <w:bCs/>
          <w:i/>
          <w:iCs/>
          <w:color w:val="0000FF"/>
          <w:lang w:val="it-IT"/>
        </w:rPr>
      </w:pPr>
      <w:r w:rsidRPr="007F7EBF">
        <w:rPr>
          <w:bCs/>
          <w:i/>
          <w:iCs/>
          <w:color w:val="0000FF"/>
          <w:lang w:val="it-IT"/>
        </w:rPr>
        <w:t>sua delimitazione della materia del contendere</w:t>
      </w:r>
    </w:p>
    <w:p w14:paraId="6C9B2FEE" w14:textId="5EEEA088" w:rsidR="00017A6D" w:rsidRPr="007F7EBF" w:rsidRDefault="00C00F4C" w:rsidP="00017A6D">
      <w:pPr>
        <w:autoSpaceDE w:val="0"/>
        <w:autoSpaceDN w:val="0"/>
        <w:adjustRightInd w:val="0"/>
        <w:rPr>
          <w:sz w:val="22"/>
          <w:szCs w:val="22"/>
        </w:rPr>
      </w:pPr>
      <w:r w:rsidRPr="007F7EBF">
        <w:rPr>
          <w:sz w:val="22"/>
          <w:szCs w:val="22"/>
        </w:rPr>
        <w:t>Ne consegue che la</w:t>
      </w:r>
      <w:r w:rsidRPr="007F7EBF">
        <w:rPr>
          <w:bCs/>
          <w:sz w:val="22"/>
          <w:szCs w:val="22"/>
        </w:rPr>
        <w:t xml:space="preserve"> motivazione </w:t>
      </w:r>
      <w:r w:rsidRPr="007F7EBF">
        <w:rPr>
          <w:sz w:val="22"/>
          <w:szCs w:val="22"/>
        </w:rPr>
        <w:t xml:space="preserve">delimita la </w:t>
      </w:r>
      <w:r w:rsidRPr="007F7EBF">
        <w:rPr>
          <w:bCs/>
          <w:sz w:val="22"/>
          <w:szCs w:val="22"/>
        </w:rPr>
        <w:t xml:space="preserve">materia del contendere </w:t>
      </w:r>
      <w:r w:rsidRPr="007F7EBF">
        <w:rPr>
          <w:sz w:val="22"/>
          <w:szCs w:val="22"/>
        </w:rPr>
        <w:t>del successivo eventuale processo</w:t>
      </w:r>
      <w:r w:rsidR="00847E51" w:rsidRPr="007F7EBF">
        <w:rPr>
          <w:sz w:val="22"/>
          <w:szCs w:val="22"/>
        </w:rPr>
        <w:t xml:space="preserve"> </w:t>
      </w:r>
      <w:r w:rsidR="00E86B3D" w:rsidRPr="007F7EBF">
        <w:rPr>
          <w:sz w:val="22"/>
          <w:szCs w:val="22"/>
        </w:rPr>
        <w:t>davanti ai giudici</w:t>
      </w:r>
      <w:r w:rsidR="00847E51" w:rsidRPr="007F7EBF">
        <w:rPr>
          <w:sz w:val="22"/>
          <w:szCs w:val="22"/>
        </w:rPr>
        <w:t xml:space="preserve"> </w:t>
      </w:r>
      <w:r w:rsidRPr="007F7EBF">
        <w:rPr>
          <w:sz w:val="22"/>
          <w:szCs w:val="22"/>
        </w:rPr>
        <w:t xml:space="preserve"> (</w:t>
      </w:r>
      <w:r w:rsidR="001B5137">
        <w:rPr>
          <w:sz w:val="22"/>
          <w:szCs w:val="22"/>
        </w:rPr>
        <w:t>par.6.9</w:t>
      </w:r>
      <w:r w:rsidR="00031C59" w:rsidRPr="007F7EBF">
        <w:rPr>
          <w:sz w:val="22"/>
          <w:szCs w:val="22"/>
        </w:rPr>
        <w:t xml:space="preserve">); in esso </w:t>
      </w:r>
      <w:r w:rsidR="00847E51" w:rsidRPr="007F7EBF">
        <w:rPr>
          <w:sz w:val="22"/>
          <w:szCs w:val="22"/>
        </w:rPr>
        <w:t xml:space="preserve">si </w:t>
      </w:r>
      <w:r w:rsidRPr="007F7EBF">
        <w:rPr>
          <w:sz w:val="22"/>
          <w:szCs w:val="22"/>
        </w:rPr>
        <w:t>discuterà solo degli elementi cui</w:t>
      </w:r>
      <w:r w:rsidR="00600379" w:rsidRPr="007F7EBF">
        <w:rPr>
          <w:sz w:val="22"/>
          <w:szCs w:val="22"/>
        </w:rPr>
        <w:t xml:space="preserve"> si riferisce l’atto impugnato e del</w:t>
      </w:r>
      <w:r w:rsidRPr="007F7EBF">
        <w:rPr>
          <w:sz w:val="22"/>
          <w:szCs w:val="22"/>
        </w:rPr>
        <w:t xml:space="preserve">le ragioni di fatto e di diritto </w:t>
      </w:r>
      <w:r w:rsidR="00847E51" w:rsidRPr="007F7EBF">
        <w:rPr>
          <w:sz w:val="22"/>
          <w:szCs w:val="22"/>
        </w:rPr>
        <w:t>contenute nel medesimo; n</w:t>
      </w:r>
      <w:r w:rsidRPr="007F7EBF">
        <w:rPr>
          <w:sz w:val="22"/>
          <w:szCs w:val="22"/>
        </w:rPr>
        <w:t xml:space="preserve">on </w:t>
      </w:r>
      <w:r w:rsidR="00600379" w:rsidRPr="007F7EBF">
        <w:rPr>
          <w:sz w:val="22"/>
          <w:szCs w:val="22"/>
        </w:rPr>
        <w:t xml:space="preserve">si </w:t>
      </w:r>
      <w:r w:rsidR="003D7701" w:rsidRPr="007F7EBF">
        <w:rPr>
          <w:sz w:val="22"/>
          <w:szCs w:val="22"/>
        </w:rPr>
        <w:t xml:space="preserve">potranno quindi addurre, a fondamento della maggiore imposta accertata, </w:t>
      </w:r>
      <w:r w:rsidRPr="007F7EBF">
        <w:rPr>
          <w:bCs/>
          <w:sz w:val="22"/>
          <w:szCs w:val="22"/>
        </w:rPr>
        <w:t>ragion</w:t>
      </w:r>
      <w:r w:rsidR="00600379" w:rsidRPr="007F7EBF">
        <w:rPr>
          <w:bCs/>
          <w:sz w:val="22"/>
          <w:szCs w:val="22"/>
        </w:rPr>
        <w:t xml:space="preserve">i diverse da quelle </w:t>
      </w:r>
      <w:r w:rsidRPr="007F7EBF">
        <w:rPr>
          <w:bCs/>
          <w:sz w:val="22"/>
          <w:szCs w:val="22"/>
        </w:rPr>
        <w:t>indicate nell’atto</w:t>
      </w:r>
      <w:r w:rsidR="00600379" w:rsidRPr="007F7EBF">
        <w:rPr>
          <w:bCs/>
          <w:sz w:val="22"/>
          <w:szCs w:val="22"/>
        </w:rPr>
        <w:t xml:space="preserve"> impositivo</w:t>
      </w:r>
      <w:r w:rsidR="008E7D30">
        <w:rPr>
          <w:sz w:val="22"/>
          <w:szCs w:val="22"/>
        </w:rPr>
        <w:t xml:space="preserve">. </w:t>
      </w:r>
      <w:r w:rsidR="008E7D30" w:rsidRPr="007F7EBF">
        <w:t>E’ il riflesso naturale della natura amministrativa della funzione tributaria, dell’impossibilità logica di spostar</w:t>
      </w:r>
      <w:r w:rsidR="008E7D30">
        <w:t>ne</w:t>
      </w:r>
      <w:r w:rsidR="008E7D30" w:rsidRPr="007F7EBF">
        <w:t xml:space="preserve"> l’esercizio davanti al giudice</w:t>
      </w:r>
      <w:r w:rsidR="008E7D30">
        <w:t xml:space="preserve">, della </w:t>
      </w:r>
      <w:r w:rsidR="008E7D30" w:rsidRPr="007F7EBF">
        <w:t xml:space="preserve">natura </w:t>
      </w:r>
      <w:proofErr w:type="spellStart"/>
      <w:r w:rsidR="008E7D30" w:rsidRPr="007F7EBF">
        <w:t>impugnatoria</w:t>
      </w:r>
      <w:proofErr w:type="spellEnd"/>
      <w:r w:rsidR="008E7D30" w:rsidRPr="007F7EBF">
        <w:t xml:space="preserve"> del relativo processo,</w:t>
      </w:r>
      <w:r w:rsidR="008E7D30">
        <w:t xml:space="preserve"> </w:t>
      </w:r>
      <w:r w:rsidR="008E7D30" w:rsidRPr="007F7EBF">
        <w:t xml:space="preserve">come indicato al par.6.7 ss. Solo nell’ambito delimitato </w:t>
      </w:r>
      <w:r w:rsidR="008E7D30">
        <w:t xml:space="preserve">dalla motivazione </w:t>
      </w:r>
      <w:r w:rsidR="008E7D30" w:rsidRPr="007F7EBF">
        <w:t>l’ufficio potrà portare prove, svolgere ulteriori illustrazioni del proprio punto di vista, ecc</w:t>
      </w:r>
      <w:r w:rsidR="00847E51" w:rsidRPr="007F7EBF">
        <w:rPr>
          <w:sz w:val="22"/>
          <w:szCs w:val="22"/>
        </w:rPr>
        <w:t xml:space="preserve">. </w:t>
      </w:r>
    </w:p>
    <w:p w14:paraId="188A9CFF" w14:textId="77777777" w:rsidR="00017A6D" w:rsidRPr="007F7EBF" w:rsidRDefault="00017A6D" w:rsidP="00017A6D">
      <w:pPr>
        <w:pStyle w:val="tit23"/>
        <w:ind w:left="6464" w:right="-1361" w:firstLine="0"/>
        <w:jc w:val="left"/>
        <w:rPr>
          <w:bCs/>
          <w:i/>
          <w:iCs/>
          <w:color w:val="0000FF"/>
          <w:lang w:val="it-IT"/>
        </w:rPr>
      </w:pPr>
      <w:r w:rsidRPr="007F7EBF">
        <w:rPr>
          <w:bCs/>
          <w:i/>
          <w:iCs/>
          <w:color w:val="0000FF"/>
          <w:lang w:val="it-IT"/>
        </w:rPr>
        <w:t>Carenza di motivazione come vizio da eccepire</w:t>
      </w:r>
    </w:p>
    <w:p w14:paraId="18B5ACE5" w14:textId="7A932921" w:rsidR="00017A6D" w:rsidRPr="007F7EBF" w:rsidRDefault="00017A6D" w:rsidP="00C00F4C">
      <w:pPr>
        <w:autoSpaceDE w:val="0"/>
        <w:autoSpaceDN w:val="0"/>
        <w:adjustRightInd w:val="0"/>
        <w:rPr>
          <w:sz w:val="22"/>
          <w:szCs w:val="22"/>
        </w:rPr>
      </w:pPr>
      <w:r w:rsidRPr="007F7EBF">
        <w:rPr>
          <w:sz w:val="22"/>
          <w:szCs w:val="22"/>
        </w:rPr>
        <w:t>Come tutti i vizi degli atti amministrativi, la carenza di motivazione si risolve in un'invalidità, senza sconfinare nella categoria estrema della c.d. "inesistenza". L'atto privo di motivazione, o con una motivazione meramente esteriore, è quindi</w:t>
      </w:r>
      <w:r w:rsidR="002C1470">
        <w:rPr>
          <w:sz w:val="22"/>
          <w:szCs w:val="22"/>
        </w:rPr>
        <w:t xml:space="preserve"> </w:t>
      </w:r>
      <w:r w:rsidRPr="007F7EBF">
        <w:rPr>
          <w:sz w:val="22"/>
          <w:szCs w:val="22"/>
        </w:rPr>
        <w:t xml:space="preserve">idoneo a diventare comunque non più impugnabile, davanti alle commissioni, qualora il contribuente non proponga ricorso </w:t>
      </w:r>
      <w:r w:rsidR="00D34B94">
        <w:rPr>
          <w:sz w:val="22"/>
          <w:szCs w:val="22"/>
        </w:rPr>
        <w:t>(</w:t>
      </w:r>
      <w:r w:rsidRPr="007F7EBF">
        <w:rPr>
          <w:rStyle w:val="Rimandonotaapidipagina"/>
          <w:sz w:val="22"/>
          <w:szCs w:val="22"/>
        </w:rPr>
        <w:footnoteReference w:id="741"/>
      </w:r>
      <w:r w:rsidR="00D34B94">
        <w:rPr>
          <w:sz w:val="22"/>
          <w:szCs w:val="22"/>
        </w:rPr>
        <w:t>)</w:t>
      </w:r>
      <w:r w:rsidRPr="007F7EBF">
        <w:rPr>
          <w:sz w:val="22"/>
          <w:szCs w:val="22"/>
        </w:rPr>
        <w:t xml:space="preserve">. </w:t>
      </w:r>
      <w:r w:rsidR="009D1300">
        <w:rPr>
          <w:sz w:val="22"/>
          <w:szCs w:val="22"/>
        </w:rPr>
        <w:t xml:space="preserve">  </w:t>
      </w:r>
      <w:r w:rsidR="00B73AFF">
        <w:rPr>
          <w:sz w:val="22"/>
          <w:szCs w:val="22"/>
        </w:rPr>
        <w:t xml:space="preserve">In quest’ultimo, inoltre, il contribuente deve </w:t>
      </w:r>
      <w:r w:rsidR="00B73AFF">
        <w:rPr>
          <w:sz w:val="22"/>
          <w:szCs w:val="22"/>
        </w:rPr>
        <w:lastRenderedPageBreak/>
        <w:t xml:space="preserve">eccepire esplicitamente tale carenza motivazionale, secondo </w:t>
      </w:r>
      <w:r w:rsidR="00B73AFF" w:rsidRPr="007F7EBF">
        <w:t xml:space="preserve">anacronistiche disposizioni </w:t>
      </w:r>
      <w:r w:rsidR="00B73AFF">
        <w:t xml:space="preserve">dell’IVA e delle imposte sui redditi. </w:t>
      </w:r>
    </w:p>
    <w:p w14:paraId="0CB680E5" w14:textId="77777777" w:rsidR="00C00F4C" w:rsidRPr="007F7EBF" w:rsidRDefault="00C00F4C" w:rsidP="00C00F4C">
      <w:pPr>
        <w:pStyle w:val="tit23"/>
        <w:ind w:left="6464" w:right="-1361" w:firstLine="0"/>
        <w:jc w:val="left"/>
        <w:rPr>
          <w:bCs/>
          <w:i/>
          <w:iCs/>
          <w:color w:val="0000FF"/>
          <w:lang w:val="it-IT"/>
        </w:rPr>
      </w:pPr>
      <w:r w:rsidRPr="007F7EBF">
        <w:rPr>
          <w:bCs/>
          <w:i/>
          <w:iCs/>
          <w:color w:val="0000FF"/>
          <w:lang w:val="it-IT"/>
        </w:rPr>
        <w:t>contenuto della motivazione di contestazioni interpretative</w:t>
      </w:r>
    </w:p>
    <w:p w14:paraId="507B9167" w14:textId="257947F3" w:rsidR="00C4438D" w:rsidRPr="007F7EBF" w:rsidRDefault="00C00F4C" w:rsidP="00C4438D">
      <w:pPr>
        <w:autoSpaceDE w:val="0"/>
        <w:autoSpaceDN w:val="0"/>
        <w:adjustRightInd w:val="0"/>
        <w:rPr>
          <w:sz w:val="22"/>
          <w:szCs w:val="22"/>
        </w:rPr>
      </w:pPr>
      <w:r w:rsidRPr="007F7EBF">
        <w:rPr>
          <w:sz w:val="22"/>
          <w:szCs w:val="22"/>
        </w:rPr>
        <w:t xml:space="preserve">L’adeguatezza della </w:t>
      </w:r>
      <w:r w:rsidRPr="007F7EBF">
        <w:rPr>
          <w:bCs/>
          <w:sz w:val="22"/>
          <w:szCs w:val="22"/>
        </w:rPr>
        <w:t xml:space="preserve">motivazione </w:t>
      </w:r>
      <w:r w:rsidRPr="007F7EBF">
        <w:rPr>
          <w:sz w:val="22"/>
          <w:szCs w:val="22"/>
        </w:rPr>
        <w:t>dipende dal contenuto sostanziale della pretesa</w:t>
      </w:r>
      <w:r w:rsidR="003D7701" w:rsidRPr="007F7EBF">
        <w:rPr>
          <w:sz w:val="22"/>
          <w:szCs w:val="22"/>
        </w:rPr>
        <w:t xml:space="preserve"> dell'ufficio</w:t>
      </w:r>
      <w:r w:rsidR="00031C59" w:rsidRPr="007F7EBF">
        <w:rPr>
          <w:sz w:val="22"/>
          <w:szCs w:val="22"/>
        </w:rPr>
        <w:t>, che la motivazione deve adeguatamente illustrare; la motivazione deve cioè "descrivere la determinazione</w:t>
      </w:r>
      <w:r w:rsidR="002C656F" w:rsidRPr="007F7EBF">
        <w:rPr>
          <w:sz w:val="22"/>
          <w:szCs w:val="22"/>
        </w:rPr>
        <w:t>"</w:t>
      </w:r>
      <w:r w:rsidR="00031C59" w:rsidRPr="007F7EBF">
        <w:rPr>
          <w:sz w:val="22"/>
          <w:szCs w:val="22"/>
        </w:rPr>
        <w:t xml:space="preserve"> della base di commisu</w:t>
      </w:r>
      <w:r w:rsidR="002C656F" w:rsidRPr="007F7EBF">
        <w:rPr>
          <w:sz w:val="22"/>
          <w:szCs w:val="22"/>
        </w:rPr>
        <w:t>razione del tributo da parte dell'ufficio. P</w:t>
      </w:r>
      <w:r w:rsidRPr="007F7EBF">
        <w:rPr>
          <w:sz w:val="22"/>
          <w:szCs w:val="22"/>
        </w:rPr>
        <w:t>er le c.d. "contestazioni interpretative"</w:t>
      </w:r>
      <w:r w:rsidR="002C656F" w:rsidRPr="007F7EBF">
        <w:rPr>
          <w:sz w:val="22"/>
          <w:szCs w:val="22"/>
        </w:rPr>
        <w:t>,</w:t>
      </w:r>
      <w:r w:rsidR="00633B9E">
        <w:rPr>
          <w:sz w:val="22"/>
          <w:szCs w:val="22"/>
        </w:rPr>
        <w:t xml:space="preserve"> </w:t>
      </w:r>
      <w:r w:rsidR="002C656F" w:rsidRPr="00633B9E">
        <w:rPr>
          <w:sz w:val="22"/>
          <w:szCs w:val="22"/>
        </w:rPr>
        <w:t xml:space="preserve">la motivazione </w:t>
      </w:r>
      <w:r w:rsidR="00B73AFF">
        <w:rPr>
          <w:sz w:val="22"/>
          <w:szCs w:val="22"/>
        </w:rPr>
        <w:t xml:space="preserve">in diritto </w:t>
      </w:r>
      <w:r w:rsidR="002C656F" w:rsidRPr="00633B9E">
        <w:rPr>
          <w:sz w:val="22"/>
          <w:szCs w:val="22"/>
        </w:rPr>
        <w:t xml:space="preserve">consiste in argomentazioni giuridiche, da indicare nell'atto impositivo, </w:t>
      </w:r>
      <w:r w:rsidRPr="00633B9E">
        <w:rPr>
          <w:sz w:val="22"/>
          <w:szCs w:val="22"/>
        </w:rPr>
        <w:t>qualche volta</w:t>
      </w:r>
      <w:r w:rsidR="002C656F" w:rsidRPr="00633B9E">
        <w:rPr>
          <w:sz w:val="22"/>
          <w:szCs w:val="22"/>
        </w:rPr>
        <w:t xml:space="preserve"> riformulate </w:t>
      </w:r>
      <w:r w:rsidR="00030DB7" w:rsidRPr="00633B9E">
        <w:rPr>
          <w:sz w:val="22"/>
          <w:szCs w:val="22"/>
        </w:rPr>
        <w:t>dai giudici</w:t>
      </w:r>
      <w:r w:rsidRPr="00633B9E">
        <w:rPr>
          <w:sz w:val="22"/>
          <w:szCs w:val="22"/>
        </w:rPr>
        <w:t xml:space="preserve">, </w:t>
      </w:r>
      <w:r w:rsidR="002C656F" w:rsidRPr="00633B9E">
        <w:rPr>
          <w:sz w:val="22"/>
          <w:szCs w:val="22"/>
        </w:rPr>
        <w:t xml:space="preserve">che estendono indebitamente il </w:t>
      </w:r>
      <w:r w:rsidRPr="00633B9E">
        <w:rPr>
          <w:sz w:val="22"/>
          <w:szCs w:val="22"/>
        </w:rPr>
        <w:t>principio</w:t>
      </w:r>
      <w:r w:rsidR="00030DB7" w:rsidRPr="00633B9E">
        <w:rPr>
          <w:sz w:val="22"/>
          <w:szCs w:val="22"/>
        </w:rPr>
        <w:t xml:space="preserve"> civilistico "iura </w:t>
      </w:r>
      <w:proofErr w:type="spellStart"/>
      <w:r w:rsidR="00030DB7" w:rsidRPr="00633B9E">
        <w:rPr>
          <w:sz w:val="22"/>
          <w:szCs w:val="22"/>
        </w:rPr>
        <w:t>novit</w:t>
      </w:r>
      <w:proofErr w:type="spellEnd"/>
      <w:r w:rsidR="00030DB7" w:rsidRPr="00633B9E">
        <w:rPr>
          <w:sz w:val="22"/>
          <w:szCs w:val="22"/>
        </w:rPr>
        <w:t xml:space="preserve"> curia"</w:t>
      </w:r>
      <w:r w:rsidRPr="00633B9E">
        <w:rPr>
          <w:sz w:val="22"/>
          <w:szCs w:val="22"/>
        </w:rPr>
        <w:t>.</w:t>
      </w:r>
      <w:r w:rsidRPr="007F7EBF">
        <w:rPr>
          <w:sz w:val="22"/>
          <w:szCs w:val="22"/>
        </w:rPr>
        <w:t xml:space="preserve"> </w:t>
      </w:r>
      <w:r w:rsidR="00B73AFF" w:rsidRPr="007F7EBF">
        <w:t xml:space="preserve">Questa svalutazione della "motivazione in diritto" è uno dei tanti inconvenienti dell'impostazione </w:t>
      </w:r>
      <w:r w:rsidR="00B73AFF">
        <w:t>privatistico-</w:t>
      </w:r>
      <w:r w:rsidR="00B73AFF" w:rsidRPr="007F7EBF">
        <w:t>processual</w:t>
      </w:r>
      <w:r w:rsidR="00B73AFF">
        <w:t>e,</w:t>
      </w:r>
      <w:r w:rsidR="00B73AFF" w:rsidRPr="007F7EBF">
        <w:t xml:space="preserve"> dove l'inquadramento giuridico di una pretesa di un privato verso un altro privato non vincola né la sua successiva citazione a giudizio, né la sentenza del giudice.</w:t>
      </w:r>
    </w:p>
    <w:p w14:paraId="2F860FCF" w14:textId="77777777" w:rsidR="00C4438D" w:rsidRPr="007F7EBF" w:rsidRDefault="00C4438D" w:rsidP="00C4438D">
      <w:pPr>
        <w:pStyle w:val="tit23"/>
        <w:ind w:left="6464" w:right="-1361" w:firstLine="0"/>
        <w:jc w:val="left"/>
        <w:rPr>
          <w:b/>
          <w:bCs/>
          <w:i/>
          <w:iCs/>
          <w:color w:val="0000FF"/>
          <w:lang w:val="it-IT"/>
        </w:rPr>
      </w:pPr>
      <w:r w:rsidRPr="007F7EBF">
        <w:rPr>
          <w:b/>
          <w:bCs/>
          <w:i/>
          <w:iCs/>
          <w:color w:val="0000FF"/>
          <w:lang w:val="it-IT"/>
        </w:rPr>
        <w:t>E rapporto motivazione-prova</w:t>
      </w:r>
    </w:p>
    <w:p w14:paraId="4519478C" w14:textId="08A1A6E5" w:rsidR="000E6D7D" w:rsidRPr="007F7EBF" w:rsidRDefault="00C4438D" w:rsidP="00C4438D">
      <w:pPr>
        <w:autoSpaceDE w:val="0"/>
        <w:autoSpaceDN w:val="0"/>
        <w:adjustRightInd w:val="0"/>
        <w:rPr>
          <w:bCs/>
          <w:i/>
          <w:iCs/>
          <w:color w:val="0000FF"/>
          <w:sz w:val="22"/>
          <w:szCs w:val="22"/>
        </w:rPr>
      </w:pPr>
      <w:r w:rsidRPr="007F7EBF">
        <w:rPr>
          <w:sz w:val="22"/>
          <w:szCs w:val="22"/>
        </w:rPr>
        <w:t xml:space="preserve">La motivazione consiste nella descrizione delle argomentazioni probatorie dell'ufficio, cioè della prova come ragionamento, nel senso indicato al par.5.8. Alla </w:t>
      </w:r>
      <w:r w:rsidRPr="007F7EBF">
        <w:rPr>
          <w:bCs/>
          <w:sz w:val="22"/>
          <w:szCs w:val="22"/>
        </w:rPr>
        <w:t xml:space="preserve">motivazione si chiede quindi solo  di </w:t>
      </w:r>
      <w:r w:rsidRPr="007F7EBF">
        <w:rPr>
          <w:bCs/>
          <w:i/>
          <w:sz w:val="22"/>
          <w:szCs w:val="22"/>
        </w:rPr>
        <w:t>informare</w:t>
      </w:r>
      <w:r w:rsidRPr="007F7EBF">
        <w:rPr>
          <w:rStyle w:val="Rimandonotaapidipagina"/>
          <w:bCs/>
          <w:i/>
          <w:sz w:val="22"/>
          <w:szCs w:val="22"/>
        </w:rPr>
        <w:footnoteReference w:id="742"/>
      </w:r>
      <w:r w:rsidRPr="007F7EBF">
        <w:rPr>
          <w:sz w:val="22"/>
          <w:szCs w:val="22"/>
        </w:rPr>
        <w:t xml:space="preserve">, non ancora di dimostrare; sono perciò concepibili </w:t>
      </w:r>
      <w:r w:rsidRPr="007F7EBF">
        <w:rPr>
          <w:rStyle w:val="Rimandonotaapidipagina"/>
          <w:sz w:val="22"/>
          <w:szCs w:val="22"/>
        </w:rPr>
        <w:footnoteReference w:id="743"/>
      </w:r>
      <w:r w:rsidRPr="007F7EBF">
        <w:rPr>
          <w:sz w:val="22"/>
          <w:szCs w:val="22"/>
        </w:rPr>
        <w:t xml:space="preserve"> accertamenti </w:t>
      </w:r>
      <w:r w:rsidRPr="007F7EBF">
        <w:rPr>
          <w:bCs/>
          <w:sz w:val="22"/>
          <w:szCs w:val="22"/>
        </w:rPr>
        <w:t>motivati</w:t>
      </w:r>
      <w:r w:rsidRPr="007F7EBF">
        <w:rPr>
          <w:sz w:val="22"/>
          <w:szCs w:val="22"/>
        </w:rPr>
        <w:t xml:space="preserve">, ma successivamente </w:t>
      </w:r>
      <w:r w:rsidRPr="007F7EBF">
        <w:rPr>
          <w:bCs/>
          <w:sz w:val="22"/>
          <w:szCs w:val="22"/>
        </w:rPr>
        <w:t xml:space="preserve">annullati </w:t>
      </w:r>
      <w:r w:rsidRPr="007F7EBF">
        <w:rPr>
          <w:sz w:val="22"/>
          <w:szCs w:val="22"/>
        </w:rPr>
        <w:t xml:space="preserve">perché </w:t>
      </w:r>
      <w:r w:rsidRPr="007F7EBF">
        <w:rPr>
          <w:bCs/>
          <w:sz w:val="22"/>
          <w:szCs w:val="22"/>
        </w:rPr>
        <w:t xml:space="preserve">non provati </w:t>
      </w:r>
      <w:r w:rsidRPr="007F7EBF">
        <w:rPr>
          <w:sz w:val="22"/>
          <w:szCs w:val="22"/>
        </w:rPr>
        <w:t>in sede contenziosa</w:t>
      </w:r>
      <w:r w:rsidR="00CE7399" w:rsidRPr="007F7EBF">
        <w:rPr>
          <w:rStyle w:val="Rimandonotaapidipagina"/>
          <w:sz w:val="22"/>
          <w:szCs w:val="22"/>
        </w:rPr>
        <w:footnoteReference w:id="744"/>
      </w:r>
      <w:r w:rsidRPr="007F7EBF">
        <w:rPr>
          <w:sz w:val="22"/>
          <w:szCs w:val="22"/>
        </w:rPr>
        <w:t xml:space="preserve">. </w:t>
      </w:r>
      <w:r w:rsidRPr="007F7EBF">
        <w:rPr>
          <w:bCs/>
          <w:i/>
          <w:iCs/>
          <w:color w:val="0000FF"/>
          <w:sz w:val="22"/>
          <w:szCs w:val="22"/>
        </w:rPr>
        <w:t xml:space="preserve"> </w:t>
      </w:r>
      <w:r w:rsidR="00D96A83" w:rsidRPr="007F7EBF">
        <w:rPr>
          <w:sz w:val="22"/>
          <w:szCs w:val="22"/>
        </w:rPr>
        <w:t>Raramente però</w:t>
      </w:r>
      <w:r w:rsidRPr="007F7EBF">
        <w:rPr>
          <w:sz w:val="22"/>
          <w:szCs w:val="22"/>
        </w:rPr>
        <w:t xml:space="preserve"> il contribuente </w:t>
      </w:r>
      <w:r w:rsidR="00D96A83" w:rsidRPr="007F7EBF">
        <w:rPr>
          <w:sz w:val="22"/>
          <w:szCs w:val="22"/>
        </w:rPr>
        <w:t xml:space="preserve">contesta i fatti materiali </w:t>
      </w:r>
      <w:r w:rsidR="00CE7399" w:rsidRPr="007F7EBF">
        <w:rPr>
          <w:sz w:val="22"/>
          <w:szCs w:val="22"/>
        </w:rPr>
        <w:t xml:space="preserve">alla base </w:t>
      </w:r>
      <w:r w:rsidR="00D96A83" w:rsidRPr="007F7EBF">
        <w:rPr>
          <w:sz w:val="22"/>
          <w:szCs w:val="22"/>
        </w:rPr>
        <w:t xml:space="preserve">della rettifica </w:t>
      </w:r>
      <w:r w:rsidRPr="007F7EBF">
        <w:rPr>
          <w:rStyle w:val="Rimandonotaapidipagina"/>
          <w:sz w:val="22"/>
          <w:szCs w:val="22"/>
        </w:rPr>
        <w:footnoteReference w:id="745"/>
      </w:r>
      <w:r w:rsidRPr="007F7EBF">
        <w:rPr>
          <w:sz w:val="22"/>
          <w:szCs w:val="22"/>
        </w:rPr>
        <w:t>,</w:t>
      </w:r>
      <w:r w:rsidR="00D96A83" w:rsidRPr="007F7EBF">
        <w:rPr>
          <w:sz w:val="22"/>
          <w:szCs w:val="22"/>
        </w:rPr>
        <w:t xml:space="preserve"> </w:t>
      </w:r>
      <w:r w:rsidR="00B73AFF">
        <w:rPr>
          <w:sz w:val="22"/>
          <w:szCs w:val="22"/>
        </w:rPr>
        <w:t>in quanto la</w:t>
      </w:r>
      <w:r w:rsidR="00030DB7" w:rsidRPr="007F7EBF">
        <w:rPr>
          <w:sz w:val="22"/>
          <w:szCs w:val="22"/>
        </w:rPr>
        <w:t xml:space="preserve"> prova in senso materiale, come precisata al par.5.8,</w:t>
      </w:r>
      <w:r w:rsidR="00D96A83" w:rsidRPr="007F7EBF">
        <w:rPr>
          <w:sz w:val="22"/>
          <w:szCs w:val="22"/>
        </w:rPr>
        <w:t xml:space="preserve"> è</w:t>
      </w:r>
      <w:r w:rsidR="00030DB7" w:rsidRPr="007F7EBF">
        <w:rPr>
          <w:sz w:val="22"/>
          <w:szCs w:val="22"/>
        </w:rPr>
        <w:t xml:space="preserve"> generalmente affidabile</w:t>
      </w:r>
      <w:r w:rsidR="009F26F2">
        <w:rPr>
          <w:sz w:val="22"/>
          <w:szCs w:val="22"/>
        </w:rPr>
        <w:t xml:space="preserve">, venendo </w:t>
      </w:r>
      <w:r w:rsidR="00030DB7" w:rsidRPr="007F7EBF">
        <w:rPr>
          <w:sz w:val="22"/>
          <w:szCs w:val="22"/>
        </w:rPr>
        <w:t>da una pubblica autorità, come l'ufficio tributario</w:t>
      </w:r>
      <w:r w:rsidR="009F26F2">
        <w:rPr>
          <w:sz w:val="22"/>
          <w:szCs w:val="22"/>
        </w:rPr>
        <w:t>. E’</w:t>
      </w:r>
      <w:r w:rsidR="009F26F2" w:rsidRPr="007F7EBF">
        <w:t xml:space="preserve"> inverosimile </w:t>
      </w:r>
      <w:r w:rsidR="009F26F2">
        <w:t xml:space="preserve">infatti </w:t>
      </w:r>
      <w:r w:rsidR="009F26F2" w:rsidRPr="007F7EBF">
        <w:t xml:space="preserve">che un funzionario pubblico si esponga di persona costruendo elementi di prova </w:t>
      </w:r>
      <w:r w:rsidR="009F26F2">
        <w:t xml:space="preserve"> materialmente </w:t>
      </w:r>
      <w:r w:rsidR="009F26F2" w:rsidRPr="007F7EBF">
        <w:t xml:space="preserve">falsi. E’ frequente </w:t>
      </w:r>
      <w:r w:rsidR="009F26F2" w:rsidRPr="007F7EBF">
        <w:lastRenderedPageBreak/>
        <w:t>piuttosto l</w:t>
      </w:r>
      <w:r w:rsidR="009F26F2">
        <w:t>’</w:t>
      </w:r>
      <w:r w:rsidR="009F26F2" w:rsidRPr="007F7EBF">
        <w:t>interpreta</w:t>
      </w:r>
      <w:r w:rsidR="009F26F2">
        <w:t xml:space="preserve">zione tendenziosa </w:t>
      </w:r>
      <w:r w:rsidR="009F26F2" w:rsidRPr="007F7EBF">
        <w:t xml:space="preserve">di tale aspetto materiale, </w:t>
      </w:r>
      <w:r w:rsidR="009F26F2">
        <w:t xml:space="preserve">cioè </w:t>
      </w:r>
      <w:r w:rsidR="009F26F2" w:rsidRPr="007F7EBF">
        <w:t>la prova come ragionamento (la c.d. “</w:t>
      </w:r>
      <w:proofErr w:type="spellStart"/>
      <w:r w:rsidR="009F26F2" w:rsidRPr="007F7EBF">
        <w:t>proof</w:t>
      </w:r>
      <w:proofErr w:type="spellEnd"/>
      <w:r w:rsidR="009F26F2" w:rsidRPr="007F7EBF">
        <w:t>”)</w:t>
      </w:r>
      <w:r w:rsidR="009F26F2">
        <w:t xml:space="preserve">, costruita </w:t>
      </w:r>
      <w:r w:rsidR="009F26F2" w:rsidRPr="007F7EBF">
        <w:t xml:space="preserve">in modo </w:t>
      </w:r>
      <w:r w:rsidR="009F26F2">
        <w:t>forzato</w:t>
      </w:r>
      <w:r w:rsidR="009F26F2" w:rsidRPr="007F7EBF">
        <w:t>, allusivo e insinuante</w:t>
      </w:r>
      <w:r w:rsidR="00030DB7" w:rsidRPr="007F7EBF">
        <w:rPr>
          <w:rStyle w:val="Rimandonotaapidipagina"/>
          <w:color w:val="000000"/>
          <w:sz w:val="22"/>
          <w:szCs w:val="22"/>
        </w:rPr>
        <w:footnoteReference w:id="746"/>
      </w:r>
      <w:r w:rsidR="00FA0D6E" w:rsidRPr="007F7EBF">
        <w:rPr>
          <w:color w:val="000000"/>
          <w:sz w:val="22"/>
          <w:szCs w:val="22"/>
        </w:rPr>
        <w:t xml:space="preserve">. </w:t>
      </w:r>
      <w:r w:rsidR="008D2F12" w:rsidRPr="007F7EBF">
        <w:rPr>
          <w:color w:val="000000"/>
          <w:sz w:val="22"/>
          <w:szCs w:val="22"/>
        </w:rPr>
        <w:t xml:space="preserve"> </w:t>
      </w:r>
      <w:r w:rsidR="00D96A83" w:rsidRPr="007F7EBF">
        <w:rPr>
          <w:sz w:val="22"/>
          <w:szCs w:val="22"/>
        </w:rPr>
        <w:t xml:space="preserve">Il contribuente contesta invece di solito l'argomentazione costruita dall'ufficio, cioè </w:t>
      </w:r>
      <w:r w:rsidR="000500ED" w:rsidRPr="007F7EBF">
        <w:rPr>
          <w:color w:val="000000"/>
          <w:sz w:val="22"/>
          <w:szCs w:val="22"/>
        </w:rPr>
        <w:t>la prova come ragionamento, con cui viene determinato, in genere presuntivamente</w:t>
      </w:r>
      <w:r w:rsidR="009F26F2">
        <w:rPr>
          <w:color w:val="000000"/>
          <w:sz w:val="22"/>
          <w:szCs w:val="22"/>
        </w:rPr>
        <w:t xml:space="preserve"> (par.5.9)</w:t>
      </w:r>
      <w:r w:rsidR="000500ED" w:rsidRPr="007F7EBF">
        <w:rPr>
          <w:color w:val="000000"/>
          <w:sz w:val="22"/>
          <w:szCs w:val="22"/>
        </w:rPr>
        <w:t xml:space="preserve"> il maggior imponibile.</w:t>
      </w:r>
      <w:r w:rsidR="00267840" w:rsidRPr="007F7EBF">
        <w:rPr>
          <w:color w:val="000000"/>
          <w:sz w:val="22"/>
          <w:szCs w:val="22"/>
        </w:rPr>
        <w:t xml:space="preserve"> </w:t>
      </w:r>
    </w:p>
    <w:p w14:paraId="75DAAD68" w14:textId="41DCA100" w:rsidR="000E6D7D" w:rsidRPr="007F7EBF" w:rsidRDefault="000E6D7D" w:rsidP="000E6D7D">
      <w:pPr>
        <w:pStyle w:val="tit23"/>
        <w:ind w:left="6464" w:right="-1361" w:firstLine="0"/>
        <w:jc w:val="left"/>
        <w:rPr>
          <w:bCs/>
          <w:i/>
          <w:iCs/>
          <w:color w:val="0000FF"/>
          <w:lang w:val="it-IT"/>
        </w:rPr>
      </w:pPr>
      <w:r w:rsidRPr="007F7EBF">
        <w:rPr>
          <w:bCs/>
          <w:i/>
          <w:iCs/>
          <w:color w:val="0000FF"/>
          <w:lang w:val="it-IT"/>
        </w:rPr>
        <w:t xml:space="preserve">Onere della prova </w:t>
      </w:r>
      <w:r w:rsidR="00295F14">
        <w:rPr>
          <w:bCs/>
          <w:i/>
          <w:iCs/>
          <w:color w:val="0000FF"/>
          <w:lang w:val="it-IT"/>
        </w:rPr>
        <w:t>e asimmetrie a danno dei contribuenti</w:t>
      </w:r>
    </w:p>
    <w:p w14:paraId="4045C97C" w14:textId="75A55EC7" w:rsidR="00D45057" w:rsidRPr="007F7EBF" w:rsidRDefault="00671822" w:rsidP="00295F14">
      <w:pPr>
        <w:autoSpaceDE w:val="0"/>
        <w:autoSpaceDN w:val="0"/>
        <w:adjustRightInd w:val="0"/>
        <w:rPr>
          <w:bCs/>
          <w:i/>
          <w:iCs/>
          <w:color w:val="0000FF"/>
        </w:rPr>
      </w:pPr>
      <w:r w:rsidRPr="007F7EBF">
        <w:rPr>
          <w:sz w:val="22"/>
          <w:szCs w:val="22"/>
        </w:rPr>
        <w:t>Di solito si afferma, nella consueta logica pr</w:t>
      </w:r>
      <w:r w:rsidR="00295F14">
        <w:rPr>
          <w:sz w:val="22"/>
          <w:szCs w:val="22"/>
        </w:rPr>
        <w:t>ivatistico-pr</w:t>
      </w:r>
      <w:r w:rsidRPr="007F7EBF">
        <w:rPr>
          <w:sz w:val="22"/>
          <w:szCs w:val="22"/>
        </w:rPr>
        <w:t>ocessual</w:t>
      </w:r>
      <w:r w:rsidR="00295F14">
        <w:rPr>
          <w:sz w:val="22"/>
          <w:szCs w:val="22"/>
        </w:rPr>
        <w:t>e</w:t>
      </w:r>
      <w:r w:rsidRPr="007F7EBF">
        <w:rPr>
          <w:sz w:val="22"/>
          <w:szCs w:val="22"/>
        </w:rPr>
        <w:t>, che sull'ufficio tributario ricade l'onere della prova dei maggiori</w:t>
      </w:r>
      <w:r w:rsidR="001D2BE7">
        <w:rPr>
          <w:sz w:val="22"/>
          <w:szCs w:val="22"/>
        </w:rPr>
        <w:t xml:space="preserve"> presupposti economici </w:t>
      </w:r>
      <w:r w:rsidRPr="007F7EBF">
        <w:rPr>
          <w:sz w:val="22"/>
          <w:szCs w:val="22"/>
        </w:rPr>
        <w:t>accertati</w:t>
      </w:r>
      <w:r w:rsidR="001D2BE7">
        <w:rPr>
          <w:sz w:val="22"/>
          <w:szCs w:val="22"/>
        </w:rPr>
        <w:t>, come i ricavi</w:t>
      </w:r>
      <w:r w:rsidR="00295F14">
        <w:rPr>
          <w:sz w:val="22"/>
          <w:szCs w:val="22"/>
        </w:rPr>
        <w:t>, mentre</w:t>
      </w:r>
      <w:r w:rsidR="00295F14" w:rsidRPr="007F7EBF">
        <w:rPr>
          <w:sz w:val="22"/>
          <w:szCs w:val="22"/>
        </w:rPr>
        <w:t xml:space="preserve"> la prova dei costi, delle esenzioni, e delle richieste di rimborso sarebbe a carico del contribuente.</w:t>
      </w:r>
      <w:r w:rsidR="00295F14">
        <w:rPr>
          <w:sz w:val="22"/>
          <w:szCs w:val="22"/>
        </w:rPr>
        <w:t xml:space="preserve"> </w:t>
      </w:r>
      <w:r w:rsidRPr="007F7EBF">
        <w:rPr>
          <w:sz w:val="22"/>
          <w:szCs w:val="22"/>
        </w:rPr>
        <w:t xml:space="preserve">In prima battuta è ovvio </w:t>
      </w:r>
      <w:r w:rsidR="00C00F4C" w:rsidRPr="007F7EBF">
        <w:rPr>
          <w:sz w:val="22"/>
          <w:szCs w:val="22"/>
        </w:rPr>
        <w:t xml:space="preserve">che se </w:t>
      </w:r>
      <w:r w:rsidR="000E6D7D" w:rsidRPr="007F7EBF">
        <w:rPr>
          <w:sz w:val="22"/>
          <w:szCs w:val="22"/>
        </w:rPr>
        <w:t>dal</w:t>
      </w:r>
      <w:r w:rsidR="00961BFD" w:rsidRPr="007F7EBF">
        <w:rPr>
          <w:sz w:val="22"/>
          <w:szCs w:val="22"/>
        </w:rPr>
        <w:t xml:space="preserve">l’ufficio tributario </w:t>
      </w:r>
      <w:r w:rsidR="00C00F4C" w:rsidRPr="007F7EBF">
        <w:rPr>
          <w:sz w:val="22"/>
          <w:szCs w:val="22"/>
        </w:rPr>
        <w:t xml:space="preserve">non </w:t>
      </w:r>
      <w:r w:rsidR="000E6D7D" w:rsidRPr="007F7EBF">
        <w:rPr>
          <w:sz w:val="22"/>
          <w:szCs w:val="22"/>
        </w:rPr>
        <w:t>viene</w:t>
      </w:r>
      <w:r w:rsidR="00C00F4C" w:rsidRPr="007F7EBF">
        <w:rPr>
          <w:sz w:val="22"/>
          <w:szCs w:val="22"/>
        </w:rPr>
        <w:t xml:space="preserve"> </w:t>
      </w:r>
      <w:r w:rsidR="00961BFD" w:rsidRPr="007F7EBF">
        <w:rPr>
          <w:sz w:val="22"/>
          <w:szCs w:val="22"/>
        </w:rPr>
        <w:t xml:space="preserve">una </w:t>
      </w:r>
      <w:r w:rsidR="00961BFD" w:rsidRPr="007F7EBF">
        <w:rPr>
          <w:bCs/>
          <w:sz w:val="22"/>
          <w:szCs w:val="22"/>
        </w:rPr>
        <w:t>convincente dimostrazione</w:t>
      </w:r>
      <w:r w:rsidR="00ED590E" w:rsidRPr="007F7EBF">
        <w:rPr>
          <w:bCs/>
          <w:sz w:val="22"/>
          <w:szCs w:val="22"/>
        </w:rPr>
        <w:t xml:space="preserve">, </w:t>
      </w:r>
      <w:r w:rsidR="00295F14">
        <w:rPr>
          <w:sz w:val="22"/>
          <w:szCs w:val="22"/>
        </w:rPr>
        <w:t>a</w:t>
      </w:r>
      <w:r w:rsidR="009863F4" w:rsidRPr="007F7EBF">
        <w:rPr>
          <w:sz w:val="22"/>
          <w:szCs w:val="22"/>
        </w:rPr>
        <w:t xml:space="preserve">l </w:t>
      </w:r>
      <w:r w:rsidR="00961BFD" w:rsidRPr="007F7EBF">
        <w:rPr>
          <w:sz w:val="22"/>
          <w:szCs w:val="22"/>
        </w:rPr>
        <w:t xml:space="preserve">contribuente </w:t>
      </w:r>
      <w:r w:rsidR="000E6D7D" w:rsidRPr="007F7EBF">
        <w:rPr>
          <w:sz w:val="22"/>
          <w:szCs w:val="22"/>
        </w:rPr>
        <w:t xml:space="preserve">non </w:t>
      </w:r>
      <w:r w:rsidR="009863F4" w:rsidRPr="007F7EBF">
        <w:rPr>
          <w:sz w:val="22"/>
          <w:szCs w:val="22"/>
        </w:rPr>
        <w:t xml:space="preserve">può </w:t>
      </w:r>
      <w:r w:rsidR="000E6D7D" w:rsidRPr="007F7EBF">
        <w:rPr>
          <w:sz w:val="22"/>
          <w:szCs w:val="22"/>
        </w:rPr>
        <w:t xml:space="preserve">certo </w:t>
      </w:r>
      <w:r w:rsidR="00295F14">
        <w:rPr>
          <w:sz w:val="22"/>
          <w:szCs w:val="22"/>
        </w:rPr>
        <w:t>addossarsi</w:t>
      </w:r>
      <w:r w:rsidR="00C00F4C" w:rsidRPr="007F7EBF">
        <w:rPr>
          <w:sz w:val="22"/>
          <w:szCs w:val="22"/>
        </w:rPr>
        <w:t xml:space="preserve"> l</w:t>
      </w:r>
      <w:r w:rsidR="00295F14" w:rsidRPr="007F7EBF">
        <w:t>a "prova negativa"</w:t>
      </w:r>
      <w:r w:rsidR="00295F14">
        <w:t xml:space="preserve">, </w:t>
      </w:r>
      <w:r w:rsidR="00295F14" w:rsidRPr="007F7EBF">
        <w:t xml:space="preserve">concepibile solo </w:t>
      </w:r>
      <w:r w:rsidR="00295F14">
        <w:t>con l</w:t>
      </w:r>
      <w:r w:rsidR="00295F14" w:rsidRPr="007F7EBF">
        <w:t xml:space="preserve">a prova positiva di circostanze incompatibili con quanto afferma l'ufficio </w:t>
      </w:r>
      <w:r w:rsidR="009863F4" w:rsidRPr="007F7EBF">
        <w:rPr>
          <w:sz w:val="22"/>
          <w:szCs w:val="22"/>
        </w:rPr>
        <w:t>(</w:t>
      </w:r>
      <w:r w:rsidR="009863F4" w:rsidRPr="007F7EBF">
        <w:rPr>
          <w:rStyle w:val="Rimandonotaapidipagina"/>
          <w:sz w:val="22"/>
          <w:szCs w:val="22"/>
        </w:rPr>
        <w:footnoteReference w:id="747"/>
      </w:r>
      <w:r w:rsidR="009863F4" w:rsidRPr="007F7EBF">
        <w:rPr>
          <w:sz w:val="22"/>
          <w:szCs w:val="22"/>
        </w:rPr>
        <w:t>).</w:t>
      </w:r>
      <w:r w:rsidR="000E6D7D" w:rsidRPr="007F7EBF">
        <w:rPr>
          <w:sz w:val="22"/>
          <w:szCs w:val="22"/>
        </w:rPr>
        <w:t xml:space="preserve"> </w:t>
      </w:r>
    </w:p>
    <w:p w14:paraId="504F6713" w14:textId="69E8091C" w:rsidR="00641F4C" w:rsidRPr="007F7EBF" w:rsidRDefault="002A0691" w:rsidP="00641F4C">
      <w:pPr>
        <w:autoSpaceDE w:val="0"/>
        <w:autoSpaceDN w:val="0"/>
        <w:adjustRightInd w:val="0"/>
        <w:rPr>
          <w:sz w:val="22"/>
          <w:szCs w:val="22"/>
        </w:rPr>
      </w:pPr>
      <w:r w:rsidRPr="007F7EBF">
        <w:rPr>
          <w:sz w:val="22"/>
          <w:szCs w:val="22"/>
        </w:rPr>
        <w:t xml:space="preserve">In questo modo si crea un risultato asimmetrico a favore degli uffici, per i quali la </w:t>
      </w:r>
      <w:r w:rsidR="000E6D7D" w:rsidRPr="007F7EBF">
        <w:rPr>
          <w:sz w:val="22"/>
          <w:szCs w:val="22"/>
        </w:rPr>
        <w:t xml:space="preserve">prova dei maggiori elementi positivi viene considerata assolta anche con </w:t>
      </w:r>
      <w:r w:rsidR="00D92B2D" w:rsidRPr="007F7EBF">
        <w:rPr>
          <w:sz w:val="22"/>
          <w:szCs w:val="22"/>
        </w:rPr>
        <w:t>le presunzioni di cui al par.5.9, basate su valutazioni per ordine di grandezza</w:t>
      </w:r>
      <w:r w:rsidRPr="007F7EBF">
        <w:rPr>
          <w:sz w:val="22"/>
          <w:szCs w:val="22"/>
        </w:rPr>
        <w:t>; ciò sia per la strutturale affidabilità de</w:t>
      </w:r>
      <w:r w:rsidR="000238B8">
        <w:rPr>
          <w:sz w:val="22"/>
          <w:szCs w:val="22"/>
        </w:rPr>
        <w:t>i pubblic</w:t>
      </w:r>
      <w:r w:rsidRPr="007F7EBF">
        <w:rPr>
          <w:sz w:val="22"/>
          <w:szCs w:val="22"/>
        </w:rPr>
        <w:t xml:space="preserve">i uffici, sia per la loro </w:t>
      </w:r>
      <w:r w:rsidR="000E6D7D" w:rsidRPr="007F7EBF">
        <w:rPr>
          <w:sz w:val="22"/>
          <w:szCs w:val="22"/>
        </w:rPr>
        <w:t>estraneità alle informazioni sottostanti, sia per la possibilità di determinare la ricchezza solo in modo presuntivo</w:t>
      </w:r>
      <w:r w:rsidR="000E6D7D" w:rsidRPr="007F7EBF">
        <w:rPr>
          <w:rStyle w:val="Rimandonotaapidipagina"/>
          <w:sz w:val="22"/>
          <w:szCs w:val="22"/>
        </w:rPr>
        <w:footnoteReference w:id="748"/>
      </w:r>
      <w:r w:rsidR="000E6D7D" w:rsidRPr="007F7EBF">
        <w:rPr>
          <w:sz w:val="22"/>
          <w:szCs w:val="22"/>
        </w:rPr>
        <w:t xml:space="preserve">. </w:t>
      </w:r>
      <w:r w:rsidR="00EE4081" w:rsidRPr="007F7EBF">
        <w:rPr>
          <w:sz w:val="22"/>
          <w:szCs w:val="22"/>
        </w:rPr>
        <w:t xml:space="preserve">Quando invece il contribuente deve dimostrare </w:t>
      </w:r>
      <w:r w:rsidR="00EE4081" w:rsidRPr="007F7EBF">
        <w:rPr>
          <w:bCs/>
          <w:sz w:val="22"/>
          <w:szCs w:val="22"/>
        </w:rPr>
        <w:t>costi</w:t>
      </w:r>
      <w:r w:rsidR="00EE4081" w:rsidRPr="007F7EBF">
        <w:rPr>
          <w:sz w:val="22"/>
          <w:szCs w:val="22"/>
        </w:rPr>
        <w:t xml:space="preserve">, </w:t>
      </w:r>
      <w:r w:rsidR="00EE4081" w:rsidRPr="007F7EBF">
        <w:rPr>
          <w:bCs/>
          <w:sz w:val="22"/>
          <w:szCs w:val="22"/>
        </w:rPr>
        <w:t>detrazioni IVA</w:t>
      </w:r>
      <w:r w:rsidR="00EE4081" w:rsidRPr="007F7EBF">
        <w:rPr>
          <w:sz w:val="22"/>
          <w:szCs w:val="22"/>
        </w:rPr>
        <w:t xml:space="preserve">, </w:t>
      </w:r>
      <w:r w:rsidR="00EE4081" w:rsidRPr="007F7EBF">
        <w:rPr>
          <w:bCs/>
          <w:sz w:val="22"/>
          <w:szCs w:val="22"/>
        </w:rPr>
        <w:t>oneri deducibili</w:t>
      </w:r>
      <w:r w:rsidR="00EE4081" w:rsidRPr="007F7EBF">
        <w:rPr>
          <w:sz w:val="22"/>
          <w:szCs w:val="22"/>
        </w:rPr>
        <w:t xml:space="preserve">, presupposti per le </w:t>
      </w:r>
      <w:r w:rsidR="00EE4081" w:rsidRPr="007F7EBF">
        <w:rPr>
          <w:bCs/>
          <w:sz w:val="22"/>
          <w:szCs w:val="22"/>
        </w:rPr>
        <w:t>esenzioni</w:t>
      </w:r>
      <w:r w:rsidR="00EE4081" w:rsidRPr="007F7EBF">
        <w:rPr>
          <w:sz w:val="22"/>
          <w:szCs w:val="22"/>
        </w:rPr>
        <w:t xml:space="preserve">  e </w:t>
      </w:r>
      <w:r w:rsidR="00EE4081" w:rsidRPr="007F7EBF">
        <w:rPr>
          <w:bCs/>
          <w:sz w:val="22"/>
          <w:szCs w:val="22"/>
        </w:rPr>
        <w:t>richieste di rimborso</w:t>
      </w:r>
      <w:r w:rsidRPr="007F7EBF">
        <w:rPr>
          <w:sz w:val="22"/>
          <w:szCs w:val="22"/>
        </w:rPr>
        <w:t xml:space="preserve"> in genere, i giudici applicano, </w:t>
      </w:r>
      <w:r w:rsidR="008009E7" w:rsidRPr="007F7EBF">
        <w:rPr>
          <w:sz w:val="22"/>
          <w:szCs w:val="22"/>
        </w:rPr>
        <w:t xml:space="preserve">secondo il consueto rigore </w:t>
      </w:r>
      <w:r w:rsidR="00EE4081" w:rsidRPr="007F7EBF">
        <w:rPr>
          <w:sz w:val="22"/>
          <w:szCs w:val="22"/>
        </w:rPr>
        <w:t>civilistico</w:t>
      </w:r>
      <w:r w:rsidRPr="007F7EBF">
        <w:rPr>
          <w:sz w:val="22"/>
          <w:szCs w:val="22"/>
        </w:rPr>
        <w:t>,</w:t>
      </w:r>
      <w:r w:rsidR="00EE4081" w:rsidRPr="007F7EBF">
        <w:rPr>
          <w:sz w:val="22"/>
          <w:szCs w:val="22"/>
        </w:rPr>
        <w:t xml:space="preserve"> l’onere </w:t>
      </w:r>
      <w:r w:rsidR="00EE4081" w:rsidRPr="007F7EBF">
        <w:rPr>
          <w:sz w:val="22"/>
          <w:szCs w:val="22"/>
        </w:rPr>
        <w:lastRenderedPageBreak/>
        <w:t>della prova</w:t>
      </w:r>
      <w:r w:rsidRPr="007F7EBF">
        <w:rPr>
          <w:sz w:val="22"/>
          <w:szCs w:val="22"/>
        </w:rPr>
        <w:t>; ciò anche quando</w:t>
      </w:r>
      <w:r w:rsidR="00ED590E" w:rsidRPr="007F7EBF">
        <w:rPr>
          <w:sz w:val="22"/>
          <w:szCs w:val="22"/>
        </w:rPr>
        <w:t xml:space="preserve"> la prova può venire solo dalla normalità contabile</w:t>
      </w:r>
      <w:r w:rsidR="006318C9">
        <w:rPr>
          <w:sz w:val="22"/>
          <w:szCs w:val="22"/>
        </w:rPr>
        <w:t xml:space="preserve"> (parr.3.3 e 7.8)</w:t>
      </w:r>
      <w:r w:rsidR="00ED590E" w:rsidRPr="007F7EBF">
        <w:rPr>
          <w:sz w:val="22"/>
          <w:szCs w:val="22"/>
        </w:rPr>
        <w:t>, e</w:t>
      </w:r>
      <w:r w:rsidRPr="007F7EBF">
        <w:rPr>
          <w:sz w:val="22"/>
          <w:szCs w:val="22"/>
        </w:rPr>
        <w:t xml:space="preserve"> il </w:t>
      </w:r>
      <w:r w:rsidR="00EE4081" w:rsidRPr="007F7EBF">
        <w:rPr>
          <w:bCs/>
          <w:sz w:val="22"/>
          <w:szCs w:val="22"/>
        </w:rPr>
        <w:t>contribuente si difende</w:t>
      </w:r>
      <w:r w:rsidR="00715BCA" w:rsidRPr="007F7EBF">
        <w:rPr>
          <w:bCs/>
          <w:sz w:val="22"/>
          <w:szCs w:val="22"/>
        </w:rPr>
        <w:t xml:space="preserve">, con argomenti presuntivi analoghi a quelli </w:t>
      </w:r>
      <w:r w:rsidR="00EE4081" w:rsidRPr="007F7EBF">
        <w:rPr>
          <w:bCs/>
          <w:sz w:val="22"/>
          <w:szCs w:val="22"/>
        </w:rPr>
        <w:t>utilizzati dall'ufficio</w:t>
      </w:r>
      <w:r w:rsidRPr="007F7EBF">
        <w:rPr>
          <w:rStyle w:val="Rimandonotaapidipagina"/>
          <w:sz w:val="22"/>
          <w:szCs w:val="22"/>
        </w:rPr>
        <w:footnoteReference w:id="749"/>
      </w:r>
      <w:r w:rsidR="00EE4081" w:rsidRPr="007F7EBF">
        <w:rPr>
          <w:bCs/>
          <w:sz w:val="22"/>
          <w:szCs w:val="22"/>
        </w:rPr>
        <w:t xml:space="preserve">. </w:t>
      </w:r>
      <w:r w:rsidR="00535C7B" w:rsidRPr="007F7EBF">
        <w:rPr>
          <w:sz w:val="22"/>
          <w:szCs w:val="22"/>
        </w:rPr>
        <w:t xml:space="preserve">  </w:t>
      </w:r>
    </w:p>
    <w:p w14:paraId="11321341" w14:textId="77777777" w:rsidR="00641F4C" w:rsidRPr="007F7EBF" w:rsidRDefault="00C4438D" w:rsidP="00641F4C">
      <w:pPr>
        <w:pStyle w:val="tit23"/>
        <w:ind w:left="6464" w:right="-1361" w:firstLine="0"/>
        <w:jc w:val="left"/>
        <w:rPr>
          <w:b/>
          <w:bCs/>
          <w:i/>
          <w:iCs/>
          <w:color w:val="0000FF"/>
          <w:lang w:val="it-IT"/>
        </w:rPr>
      </w:pPr>
      <w:r w:rsidRPr="007F7EBF">
        <w:rPr>
          <w:b/>
          <w:bCs/>
          <w:i/>
          <w:iCs/>
          <w:color w:val="0000FF"/>
          <w:lang w:val="it-IT"/>
        </w:rPr>
        <w:t>segue</w:t>
      </w:r>
      <w:r w:rsidR="00641F4C" w:rsidRPr="007F7EBF">
        <w:rPr>
          <w:b/>
          <w:bCs/>
          <w:i/>
          <w:iCs/>
          <w:color w:val="0000FF"/>
          <w:lang w:val="it-IT"/>
        </w:rPr>
        <w:t xml:space="preserve"> disparità sostanziale</w:t>
      </w:r>
      <w:r w:rsidRPr="007F7EBF">
        <w:rPr>
          <w:b/>
          <w:bCs/>
          <w:i/>
          <w:iCs/>
          <w:color w:val="0000FF"/>
          <w:lang w:val="it-IT"/>
        </w:rPr>
        <w:t xml:space="preserve"> sull’onere della prova</w:t>
      </w:r>
    </w:p>
    <w:p w14:paraId="491965CD" w14:textId="35EA7D5C" w:rsidR="00CF30FD" w:rsidRPr="007F7EBF" w:rsidRDefault="000238B8" w:rsidP="00CF30FD">
      <w:pPr>
        <w:autoSpaceDE w:val="0"/>
        <w:autoSpaceDN w:val="0"/>
        <w:adjustRightInd w:val="0"/>
        <w:rPr>
          <w:sz w:val="22"/>
          <w:szCs w:val="22"/>
        </w:rPr>
      </w:pPr>
      <w:r>
        <w:rPr>
          <w:sz w:val="22"/>
          <w:szCs w:val="22"/>
        </w:rPr>
        <w:t xml:space="preserve">Questa concezione privatistico giurisdizionale </w:t>
      </w:r>
      <w:r>
        <w:rPr>
          <w:sz w:val="22"/>
          <w:szCs w:val="22"/>
        </w:rPr>
        <w:t xml:space="preserve">trascura che la prova non si forma in giudizio, come in materia civile, ma che il processo riguarda il controllo di una funzione non giurisdizionale. </w:t>
      </w:r>
      <w:r>
        <w:rPr>
          <w:sz w:val="22"/>
          <w:szCs w:val="22"/>
        </w:rPr>
        <w:t xml:space="preserve">Questa </w:t>
      </w:r>
      <w:r w:rsidR="00641F4C" w:rsidRPr="007F7EBF">
        <w:rPr>
          <w:sz w:val="22"/>
          <w:szCs w:val="22"/>
        </w:rPr>
        <w:t>concezion</w:t>
      </w:r>
      <w:r>
        <w:rPr>
          <w:sz w:val="22"/>
          <w:szCs w:val="22"/>
        </w:rPr>
        <w:t>e</w:t>
      </w:r>
      <w:r w:rsidRPr="007F7EBF">
        <w:t xml:space="preserve">, caldeggiata dagli accademici-avvocati, </w:t>
      </w:r>
      <w:r>
        <w:t xml:space="preserve">ancora una volta si rivolge </w:t>
      </w:r>
      <w:r w:rsidRPr="007F7EBF">
        <w:t>paradossalmente contro i loro clienti</w:t>
      </w:r>
      <w:r>
        <w:t>. L</w:t>
      </w:r>
      <w:r w:rsidR="00641F4C" w:rsidRPr="007F7EBF">
        <w:rPr>
          <w:sz w:val="22"/>
          <w:szCs w:val="22"/>
        </w:rPr>
        <w:t xml:space="preserve">a </w:t>
      </w:r>
      <w:r w:rsidR="00641F4C" w:rsidRPr="007F7EBF">
        <w:rPr>
          <w:bCs/>
          <w:sz w:val="22"/>
          <w:szCs w:val="22"/>
        </w:rPr>
        <w:t xml:space="preserve">parità processualistica </w:t>
      </w:r>
      <w:r w:rsidR="00641F4C" w:rsidRPr="007F7EBF">
        <w:rPr>
          <w:sz w:val="22"/>
          <w:szCs w:val="22"/>
        </w:rPr>
        <w:t>delle parti, trasferita meccanicamente in un contesto amministrativistico, provoca una confusionaria oggettiva disparità</w:t>
      </w:r>
      <w:r>
        <w:rPr>
          <w:sz w:val="22"/>
          <w:szCs w:val="22"/>
        </w:rPr>
        <w:t xml:space="preserve"> a vantaggio degli uffici; questi ultimi, </w:t>
      </w:r>
      <w:r w:rsidR="00641F4C" w:rsidRPr="007F7EBF">
        <w:rPr>
          <w:sz w:val="22"/>
          <w:szCs w:val="22"/>
        </w:rPr>
        <w:t xml:space="preserve">come anticipato al par.4.4, </w:t>
      </w:r>
      <w:r>
        <w:rPr>
          <w:sz w:val="22"/>
          <w:szCs w:val="22"/>
        </w:rPr>
        <w:t>riescono ad essere</w:t>
      </w:r>
      <w:r w:rsidR="00641F4C" w:rsidRPr="007F7EBF">
        <w:rPr>
          <w:sz w:val="22"/>
          <w:szCs w:val="22"/>
        </w:rPr>
        <w:t xml:space="preserve"> considerati “parte” o “autorità pubblica” a seconda delle circostanze e convenienze contingenti. </w:t>
      </w:r>
      <w:r>
        <w:rPr>
          <w:sz w:val="22"/>
          <w:szCs w:val="22"/>
        </w:rPr>
        <w:t>Vedremo ai parr.6.9 e seguenti, m</w:t>
      </w:r>
      <w:r w:rsidRPr="007F7EBF">
        <w:t>ettendo</w:t>
      </w:r>
      <w:r>
        <w:t>c</w:t>
      </w:r>
      <w:r w:rsidRPr="007F7EBF">
        <w:t>i nei panni del giudice, l'inquietante domanda "</w:t>
      </w:r>
      <w:r w:rsidRPr="007F7EBF">
        <w:rPr>
          <w:i/>
        </w:rPr>
        <w:t xml:space="preserve">ma se </w:t>
      </w:r>
      <w:r>
        <w:rPr>
          <w:i/>
        </w:rPr>
        <w:t>il contribuente</w:t>
      </w:r>
      <w:r w:rsidRPr="007F7EBF">
        <w:rPr>
          <w:i/>
        </w:rPr>
        <w:t xml:space="preserve"> ha davvero ragione, perché l'ufficio non gliela da</w:t>
      </w:r>
      <w:r w:rsidRPr="007F7EBF">
        <w:t>?"</w:t>
      </w:r>
      <w:r>
        <w:t xml:space="preserve">, che in un contesto </w:t>
      </w:r>
      <w:r w:rsidRPr="007F7EBF">
        <w:t xml:space="preserve">amministrativistico </w:t>
      </w:r>
      <w:r>
        <w:t>spinge</w:t>
      </w:r>
      <w:r w:rsidRPr="007F7EBF">
        <w:t xml:space="preserve"> al rigetto del ricorso. </w:t>
      </w:r>
      <w:r>
        <w:t xml:space="preserve">Ciò </w:t>
      </w:r>
      <w:r>
        <w:t>danneggia al tempo stesso la funzione tributaria e deresponsabilizza gli uffici</w:t>
      </w:r>
      <w:r>
        <w:t xml:space="preserve">, spingendoli a </w:t>
      </w:r>
      <w:r w:rsidR="0078108A">
        <w:rPr>
          <w:sz w:val="22"/>
          <w:szCs w:val="22"/>
        </w:rPr>
        <w:t xml:space="preserve">chiedere al contribuente una </w:t>
      </w:r>
      <w:r w:rsidR="00143324">
        <w:rPr>
          <w:sz w:val="22"/>
          <w:szCs w:val="22"/>
        </w:rPr>
        <w:t>tortuosa</w:t>
      </w:r>
      <w:r w:rsidR="0078108A">
        <w:rPr>
          <w:sz w:val="22"/>
          <w:szCs w:val="22"/>
        </w:rPr>
        <w:t xml:space="preserve"> “prova negativa” </w:t>
      </w:r>
      <w:r>
        <w:rPr>
          <w:sz w:val="22"/>
          <w:szCs w:val="22"/>
        </w:rPr>
        <w:t xml:space="preserve">come </w:t>
      </w:r>
      <w:r w:rsidR="00143324">
        <w:rPr>
          <w:sz w:val="22"/>
          <w:szCs w:val="22"/>
        </w:rPr>
        <w:t xml:space="preserve">difficile </w:t>
      </w:r>
      <w:r w:rsidR="0078108A">
        <w:rPr>
          <w:sz w:val="22"/>
          <w:szCs w:val="22"/>
        </w:rPr>
        <w:t xml:space="preserve">prova positiva di circostanze incompatibili con l’accertamento </w:t>
      </w:r>
      <w:r w:rsidR="0078108A">
        <w:rPr>
          <w:rStyle w:val="Rimandonotaapidipagina"/>
          <w:sz w:val="22"/>
          <w:szCs w:val="22"/>
        </w:rPr>
        <w:footnoteReference w:id="750"/>
      </w:r>
      <w:r w:rsidR="0078108A">
        <w:rPr>
          <w:sz w:val="22"/>
          <w:szCs w:val="22"/>
        </w:rPr>
        <w:t>.</w:t>
      </w:r>
    </w:p>
    <w:p w14:paraId="6E63445C" w14:textId="77777777" w:rsidR="00CF30FD" w:rsidRPr="007F7EBF" w:rsidRDefault="00CF30FD" w:rsidP="00CF30FD">
      <w:pPr>
        <w:pStyle w:val="tit23"/>
        <w:ind w:left="6464" w:right="-1361" w:firstLine="0"/>
        <w:jc w:val="left"/>
        <w:rPr>
          <w:b/>
          <w:bCs/>
          <w:i/>
          <w:iCs/>
          <w:color w:val="0000FF"/>
          <w:lang w:val="it-IT"/>
        </w:rPr>
      </w:pPr>
      <w:r w:rsidRPr="007F7EBF">
        <w:rPr>
          <w:b/>
          <w:bCs/>
          <w:i/>
          <w:iCs/>
          <w:color w:val="0000FF"/>
          <w:lang w:val="it-IT"/>
        </w:rPr>
        <w:t xml:space="preserve">La mancata prova come vizio dell’atto </w:t>
      </w:r>
    </w:p>
    <w:p w14:paraId="714263EC" w14:textId="31FFCB86" w:rsidR="004256FA" w:rsidRPr="007F7EBF" w:rsidRDefault="00C4438D" w:rsidP="00C4438D">
      <w:pPr>
        <w:autoSpaceDE w:val="0"/>
        <w:autoSpaceDN w:val="0"/>
        <w:adjustRightInd w:val="0"/>
        <w:rPr>
          <w:b/>
          <w:bCs/>
          <w:i/>
          <w:iCs/>
          <w:color w:val="0000FF"/>
          <w:sz w:val="22"/>
          <w:szCs w:val="22"/>
        </w:rPr>
      </w:pPr>
      <w:r w:rsidRPr="007F7EBF">
        <w:rPr>
          <w:sz w:val="22"/>
          <w:szCs w:val="22"/>
        </w:rPr>
        <w:t xml:space="preserve">Quanto sopra anticipa quanto diremo al par.6.10 sulla correttezza del comportamento dell'ufficio tributario come </w:t>
      </w:r>
      <w:r w:rsidR="008F3056">
        <w:rPr>
          <w:sz w:val="22"/>
          <w:szCs w:val="22"/>
        </w:rPr>
        <w:t xml:space="preserve">effettivo </w:t>
      </w:r>
      <w:r w:rsidRPr="007F7EBF">
        <w:rPr>
          <w:sz w:val="22"/>
          <w:szCs w:val="22"/>
        </w:rPr>
        <w:t xml:space="preserve">oggetto del processo. </w:t>
      </w:r>
      <w:r w:rsidR="0041087C" w:rsidRPr="007F7EBF">
        <w:rPr>
          <w:sz w:val="22"/>
          <w:szCs w:val="22"/>
        </w:rPr>
        <w:t>Il mancato assolvimento dell</w:t>
      </w:r>
      <w:r w:rsidR="00CF30FD" w:rsidRPr="007F7EBF">
        <w:rPr>
          <w:sz w:val="22"/>
          <w:szCs w:val="22"/>
        </w:rPr>
        <w:t>'</w:t>
      </w:r>
      <w:r w:rsidR="00D45057" w:rsidRPr="007F7EBF">
        <w:rPr>
          <w:sz w:val="22"/>
          <w:szCs w:val="22"/>
        </w:rPr>
        <w:t>"onere della prova"</w:t>
      </w:r>
      <w:r w:rsidR="0041087C" w:rsidRPr="007F7EBF">
        <w:rPr>
          <w:sz w:val="22"/>
          <w:szCs w:val="22"/>
        </w:rPr>
        <w:t xml:space="preserve">, spettante </w:t>
      </w:r>
      <w:r w:rsidR="00CF30FD" w:rsidRPr="007F7EBF">
        <w:rPr>
          <w:sz w:val="22"/>
          <w:szCs w:val="22"/>
        </w:rPr>
        <w:lastRenderedPageBreak/>
        <w:t xml:space="preserve">all'ufficio, </w:t>
      </w:r>
      <w:r w:rsidR="00722E37" w:rsidRPr="007F7EBF">
        <w:rPr>
          <w:sz w:val="22"/>
          <w:szCs w:val="22"/>
        </w:rPr>
        <w:t xml:space="preserve">va </w:t>
      </w:r>
      <w:r w:rsidRPr="007F7EBF">
        <w:rPr>
          <w:sz w:val="22"/>
          <w:szCs w:val="22"/>
        </w:rPr>
        <w:t>quindi</w:t>
      </w:r>
      <w:r w:rsidR="00722E37" w:rsidRPr="007F7EBF">
        <w:rPr>
          <w:sz w:val="22"/>
          <w:szCs w:val="22"/>
        </w:rPr>
        <w:t xml:space="preserve"> considerato </w:t>
      </w:r>
      <w:r w:rsidR="00CF30FD" w:rsidRPr="007F7EBF">
        <w:rPr>
          <w:sz w:val="22"/>
          <w:szCs w:val="22"/>
        </w:rPr>
        <w:t>un vizio dell'atto di accertamento</w:t>
      </w:r>
      <w:r w:rsidR="0041087C" w:rsidRPr="007F7EBF">
        <w:rPr>
          <w:sz w:val="22"/>
          <w:szCs w:val="22"/>
        </w:rPr>
        <w:t xml:space="preserve"> </w:t>
      </w:r>
      <w:r w:rsidR="0041087C" w:rsidRPr="007F7EBF">
        <w:rPr>
          <w:rStyle w:val="Rimandonotaapidipagina"/>
          <w:sz w:val="22"/>
          <w:szCs w:val="22"/>
        </w:rPr>
        <w:footnoteReference w:id="751"/>
      </w:r>
      <w:r w:rsidR="0041087C" w:rsidRPr="007F7EBF">
        <w:rPr>
          <w:sz w:val="22"/>
          <w:szCs w:val="22"/>
        </w:rPr>
        <w:t xml:space="preserve">, </w:t>
      </w:r>
      <w:r w:rsidR="00CF30FD" w:rsidRPr="007F7EBF">
        <w:rPr>
          <w:sz w:val="22"/>
          <w:szCs w:val="22"/>
        </w:rPr>
        <w:t xml:space="preserve">tipico del nostro </w:t>
      </w:r>
      <w:r w:rsidR="00CF30FD" w:rsidRPr="007F7EBF">
        <w:rPr>
          <w:bCs/>
          <w:sz w:val="22"/>
          <w:szCs w:val="22"/>
        </w:rPr>
        <w:t xml:space="preserve">naturale contesto amministrativistico. </w:t>
      </w:r>
      <w:r w:rsidR="00CF30FD" w:rsidRPr="007F7EBF">
        <w:rPr>
          <w:sz w:val="22"/>
          <w:szCs w:val="22"/>
        </w:rPr>
        <w:t xml:space="preserve">Il contribuente deve quindi </w:t>
      </w:r>
      <w:r w:rsidR="00CF30FD" w:rsidRPr="007F7EBF">
        <w:rPr>
          <w:bCs/>
          <w:sz w:val="22"/>
          <w:szCs w:val="22"/>
        </w:rPr>
        <w:t xml:space="preserve">addurre </w:t>
      </w:r>
      <w:r w:rsidR="00CF30FD" w:rsidRPr="007F7EBF">
        <w:rPr>
          <w:sz w:val="22"/>
          <w:szCs w:val="22"/>
        </w:rPr>
        <w:t>(</w:t>
      </w:r>
      <w:r w:rsidR="0000302F" w:rsidRPr="007F7EBF">
        <w:rPr>
          <w:rStyle w:val="Rimandonotaapidipagina"/>
          <w:sz w:val="22"/>
          <w:szCs w:val="22"/>
        </w:rPr>
        <w:footnoteReference w:id="752"/>
      </w:r>
      <w:r w:rsidR="00CF30FD" w:rsidRPr="007F7EBF">
        <w:rPr>
          <w:sz w:val="22"/>
          <w:szCs w:val="22"/>
        </w:rPr>
        <w:t xml:space="preserve">), in questa logica amministrativistica, </w:t>
      </w:r>
      <w:r w:rsidR="00CF30FD" w:rsidRPr="007F7EBF">
        <w:rPr>
          <w:bCs/>
          <w:sz w:val="22"/>
          <w:szCs w:val="22"/>
        </w:rPr>
        <w:t xml:space="preserve">la carenza </w:t>
      </w:r>
      <w:r w:rsidR="00CF30FD" w:rsidRPr="007F7EBF">
        <w:rPr>
          <w:sz w:val="22"/>
          <w:szCs w:val="22"/>
        </w:rPr>
        <w:t xml:space="preserve">di fondamento fattuale, </w:t>
      </w:r>
      <w:r w:rsidR="00CF30FD" w:rsidRPr="007F7EBF">
        <w:rPr>
          <w:bCs/>
          <w:sz w:val="22"/>
          <w:szCs w:val="22"/>
        </w:rPr>
        <w:t>come vizio dell’atto, dandone quei riscontri che gli si possono ragionevolmente richiedere nel caso specifico</w:t>
      </w:r>
      <w:r w:rsidR="00F25E25" w:rsidRPr="007F7EBF">
        <w:rPr>
          <w:sz w:val="22"/>
          <w:szCs w:val="22"/>
        </w:rPr>
        <w:t xml:space="preserve">. </w:t>
      </w:r>
      <w:r w:rsidR="0000302F" w:rsidRPr="007F7EBF">
        <w:rPr>
          <w:sz w:val="22"/>
          <w:szCs w:val="22"/>
        </w:rPr>
        <w:t xml:space="preserve">Svanisce quindi la suddetta dicotomia tra </w:t>
      </w:r>
      <w:r w:rsidR="008D3072">
        <w:rPr>
          <w:sz w:val="22"/>
          <w:szCs w:val="22"/>
        </w:rPr>
        <w:t xml:space="preserve">prova degli </w:t>
      </w:r>
      <w:r w:rsidR="0000302F" w:rsidRPr="007F7EBF">
        <w:rPr>
          <w:sz w:val="22"/>
          <w:szCs w:val="22"/>
        </w:rPr>
        <w:t xml:space="preserve">elementi positivi e negativi </w:t>
      </w:r>
      <w:r w:rsidR="0000302F" w:rsidRPr="007F7EBF">
        <w:rPr>
          <w:rStyle w:val="Rimandonotaapidipagina"/>
          <w:sz w:val="22"/>
          <w:szCs w:val="22"/>
        </w:rPr>
        <w:footnoteReference w:id="753"/>
      </w:r>
      <w:r w:rsidR="0000302F" w:rsidRPr="007F7EBF">
        <w:rPr>
          <w:sz w:val="22"/>
          <w:szCs w:val="22"/>
        </w:rPr>
        <w:t xml:space="preserve">, </w:t>
      </w:r>
      <w:r w:rsidR="008D3072">
        <w:rPr>
          <w:sz w:val="22"/>
          <w:szCs w:val="22"/>
        </w:rPr>
        <w:t xml:space="preserve">sostituita </w:t>
      </w:r>
      <w:r w:rsidR="0000302F" w:rsidRPr="007F7EBF">
        <w:rPr>
          <w:sz w:val="22"/>
          <w:szCs w:val="22"/>
        </w:rPr>
        <w:t xml:space="preserve">in </w:t>
      </w:r>
      <w:r w:rsidR="008D3072">
        <w:rPr>
          <w:sz w:val="22"/>
          <w:szCs w:val="22"/>
        </w:rPr>
        <w:t>entrambi i casi da un esame dell’atto impugnato in punto di fondamento dimostrativo, in una prospettiva amministrativistica. N</w:t>
      </w:r>
      <w:r w:rsidR="0000302F" w:rsidRPr="007F7EBF">
        <w:rPr>
          <w:sz w:val="22"/>
          <w:szCs w:val="22"/>
        </w:rPr>
        <w:t xml:space="preserve">eppure per </w:t>
      </w:r>
      <w:r w:rsidR="008D3072">
        <w:rPr>
          <w:sz w:val="22"/>
          <w:szCs w:val="22"/>
        </w:rPr>
        <w:t xml:space="preserve">i costi </w:t>
      </w:r>
      <w:r w:rsidR="00F25E25" w:rsidRPr="007F7EBF">
        <w:rPr>
          <w:sz w:val="22"/>
          <w:szCs w:val="22"/>
        </w:rPr>
        <w:t xml:space="preserve">il contribuente </w:t>
      </w:r>
      <w:r w:rsidR="00F25E25" w:rsidRPr="007F7EBF">
        <w:rPr>
          <w:i/>
          <w:sz w:val="22"/>
          <w:szCs w:val="22"/>
        </w:rPr>
        <w:t>dà una prova</w:t>
      </w:r>
      <w:r w:rsidR="00F25E25" w:rsidRPr="007F7EBF">
        <w:rPr>
          <w:sz w:val="22"/>
          <w:szCs w:val="22"/>
        </w:rPr>
        <w:t xml:space="preserve">, ma dimostra </w:t>
      </w:r>
      <w:r w:rsidR="0000302F" w:rsidRPr="007F7EBF">
        <w:rPr>
          <w:sz w:val="22"/>
          <w:szCs w:val="22"/>
        </w:rPr>
        <w:t xml:space="preserve">piuttosto </w:t>
      </w:r>
      <w:r w:rsidR="00F25E25" w:rsidRPr="007F7EBF">
        <w:rPr>
          <w:sz w:val="22"/>
          <w:szCs w:val="22"/>
        </w:rPr>
        <w:t>un vizio probatorio dell'atto impugnato</w:t>
      </w:r>
      <w:r w:rsidR="008D3072">
        <w:rPr>
          <w:sz w:val="22"/>
          <w:szCs w:val="22"/>
        </w:rPr>
        <w:t xml:space="preserve">, </w:t>
      </w:r>
      <w:r w:rsidR="008E1EFE">
        <w:rPr>
          <w:sz w:val="22"/>
          <w:szCs w:val="22"/>
        </w:rPr>
        <w:t xml:space="preserve">censurato per aver </w:t>
      </w:r>
      <w:r w:rsidR="008E1EFE" w:rsidRPr="007F7EBF">
        <w:t xml:space="preserve">erroneamente disconosciuto la dimostrazione </w:t>
      </w:r>
      <w:r w:rsidR="008E1EFE">
        <w:t xml:space="preserve">aziendalmente adeguata </w:t>
      </w:r>
      <w:r w:rsidR="008E1EFE" w:rsidRPr="007F7EBF">
        <w:t>dei costi medesimi</w:t>
      </w:r>
      <w:r w:rsidR="008E1EFE">
        <w:t>, come indicato al par.3.3 e 7.7.</w:t>
      </w:r>
      <w:r w:rsidR="008E1EFE" w:rsidRPr="007F7EBF">
        <w:t xml:space="preserve"> Il senso della documentazione dei costi in giudizio non è quindi quello di dare una prova dei medesimi al g</w:t>
      </w:r>
      <w:r w:rsidR="008D3072">
        <w:t>i</w:t>
      </w:r>
      <w:r w:rsidR="008E1EFE" w:rsidRPr="007F7EBF">
        <w:t xml:space="preserve">udice, ma di dimostrare </w:t>
      </w:r>
      <w:r w:rsidR="008E1EFE">
        <w:t>questo</w:t>
      </w:r>
      <w:r w:rsidR="008E1EFE" w:rsidRPr="007F7EBF">
        <w:t xml:space="preserve"> vizio logico dell'atto impositivo. </w:t>
      </w:r>
      <w:r w:rsidR="008E1EFE">
        <w:t xml:space="preserve">Si </w:t>
      </w:r>
      <w:r w:rsidR="008E1EFE" w:rsidRPr="007F7EBF">
        <w:t xml:space="preserve">riporta </w:t>
      </w:r>
      <w:r w:rsidR="008E1EFE">
        <w:t xml:space="preserve">così </w:t>
      </w:r>
      <w:r w:rsidR="008E1EFE" w:rsidRPr="007F7EBF">
        <w:t xml:space="preserve">ad unità la prova dei costi, dei ricavi, delle esenzioni e delle liti di rimborso, perché in tutti i casi viene in considerazione la coerenza e la ragionevolezza dell'azione amministrativa, indipendentemente dal contingente elemento </w:t>
      </w:r>
      <w:r w:rsidR="008D3072">
        <w:t xml:space="preserve">del presupposto </w:t>
      </w:r>
      <w:r w:rsidR="008E1EFE" w:rsidRPr="007F7EBF">
        <w:t>(costo o ricavo)</w:t>
      </w:r>
      <w:r w:rsidR="008E1EFE">
        <w:t xml:space="preserve"> cui si riferisce</w:t>
      </w:r>
      <w:r w:rsidR="00CF30FD" w:rsidRPr="007F7EBF">
        <w:rPr>
          <w:sz w:val="22"/>
          <w:szCs w:val="22"/>
        </w:rPr>
        <w:t xml:space="preserve">. </w:t>
      </w:r>
    </w:p>
    <w:p w14:paraId="73D06F13" w14:textId="0C0C5DAB" w:rsidR="00D70658" w:rsidRPr="007F7EBF" w:rsidRDefault="006342C5" w:rsidP="008F3056">
      <w:pPr>
        <w:pStyle w:val="Titolo3"/>
        <w:rPr>
          <w:lang w:val="it-IT"/>
        </w:rPr>
      </w:pPr>
      <w:bookmarkStart w:id="85" w:name="_Toc63364996"/>
      <w:r w:rsidRPr="007F7EBF">
        <w:rPr>
          <w:rFonts w:ascii="Times New Roman" w:hAnsi="Times New Roman"/>
          <w:sz w:val="22"/>
          <w:szCs w:val="22"/>
        </w:rPr>
        <w:t>6.3. Provvedimenti degli uffici tributari verso coobbligati solidali e contribuenti</w:t>
      </w:r>
      <w:r w:rsidR="009F7A9F" w:rsidRPr="007F7EBF">
        <w:rPr>
          <w:rFonts w:ascii="Times New Roman" w:hAnsi="Times New Roman"/>
          <w:sz w:val="22"/>
          <w:szCs w:val="22"/>
        </w:rPr>
        <w:t xml:space="preserve"> </w:t>
      </w:r>
      <w:r w:rsidRPr="007F7EBF">
        <w:rPr>
          <w:rFonts w:ascii="Times New Roman" w:hAnsi="Times New Roman"/>
          <w:sz w:val="22"/>
          <w:szCs w:val="22"/>
        </w:rPr>
        <w:t>di fatto</w:t>
      </w:r>
      <w:bookmarkEnd w:id="85"/>
    </w:p>
    <w:p w14:paraId="1E421A0D" w14:textId="77777777" w:rsidR="008D1E61" w:rsidRPr="007F7EBF" w:rsidRDefault="008D1E61" w:rsidP="008D1E61">
      <w:pPr>
        <w:pStyle w:val="tit23"/>
        <w:ind w:left="6464" w:right="-1361" w:firstLine="0"/>
        <w:jc w:val="left"/>
        <w:rPr>
          <w:b/>
          <w:bCs/>
          <w:i/>
          <w:iCs/>
          <w:color w:val="0000FF"/>
          <w:lang w:val="it-IT"/>
        </w:rPr>
      </w:pPr>
      <w:r w:rsidRPr="007F7EBF">
        <w:rPr>
          <w:b/>
          <w:bCs/>
          <w:i/>
          <w:iCs/>
          <w:color w:val="0000FF"/>
          <w:lang w:val="it-IT"/>
        </w:rPr>
        <w:t xml:space="preserve">Riflessi procedurali  della pluralità di  contribuenti    </w:t>
      </w:r>
    </w:p>
    <w:p w14:paraId="72AA1A59" w14:textId="2BA6422E" w:rsidR="000439B5" w:rsidRDefault="00A20581" w:rsidP="000439B5">
      <w:pPr>
        <w:pStyle w:val="tit23"/>
        <w:ind w:firstLine="0"/>
        <w:rPr>
          <w:lang w:val="it-IT"/>
        </w:rPr>
      </w:pPr>
      <w:r w:rsidRPr="00991891">
        <w:rPr>
          <w:lang w:val="it-IT"/>
        </w:rPr>
        <w:t>L</w:t>
      </w:r>
      <w:r w:rsidR="008F3056" w:rsidRPr="00991891">
        <w:rPr>
          <w:lang w:val="it-IT"/>
        </w:rPr>
        <w:t xml:space="preserve">e figure </w:t>
      </w:r>
      <w:r w:rsidRPr="00991891">
        <w:rPr>
          <w:lang w:val="it-IT"/>
        </w:rPr>
        <w:t xml:space="preserve">del contribuente di fatto, di diritto, della coobbligazione solidale e del sostituto d’imposta, su cui </w:t>
      </w:r>
      <w:proofErr w:type="spellStart"/>
      <w:r w:rsidR="008F3056" w:rsidRPr="00991891">
        <w:rPr>
          <w:lang w:val="it-IT"/>
        </w:rPr>
        <w:t>par</w:t>
      </w:r>
      <w:r w:rsidRPr="00991891">
        <w:rPr>
          <w:lang w:val="it-IT"/>
        </w:rPr>
        <w:t>r</w:t>
      </w:r>
      <w:proofErr w:type="spellEnd"/>
      <w:r w:rsidRPr="00991891">
        <w:rPr>
          <w:lang w:val="it-IT"/>
        </w:rPr>
        <w:t>.</w:t>
      </w:r>
      <w:r w:rsidR="008F3056" w:rsidRPr="00991891">
        <w:rPr>
          <w:lang w:val="it-IT"/>
        </w:rPr>
        <w:t xml:space="preserve"> 3.5-3.6</w:t>
      </w:r>
      <w:r w:rsidRPr="00991891">
        <w:rPr>
          <w:lang w:val="it-IT"/>
        </w:rPr>
        <w:t xml:space="preserve"> ha</w:t>
      </w:r>
      <w:r w:rsidR="000439B5" w:rsidRPr="00991891">
        <w:rPr>
          <w:lang w:val="it-IT"/>
        </w:rPr>
        <w:t>nno</w:t>
      </w:r>
      <w:r w:rsidRPr="00991891">
        <w:rPr>
          <w:lang w:val="it-IT"/>
        </w:rPr>
        <w:t xml:space="preserve"> riflessi procedurali, in quanto l’atto d’accertamento </w:t>
      </w:r>
      <w:r w:rsidR="008F3056" w:rsidRPr="00991891">
        <w:rPr>
          <w:lang w:val="it-IT"/>
        </w:rPr>
        <w:t xml:space="preserve">può avere più destinatari “in parallelo”. </w:t>
      </w:r>
      <w:r w:rsidR="008F3056" w:rsidRPr="000439B5">
        <w:rPr>
          <w:lang w:val="it-IT"/>
        </w:rPr>
        <w:t xml:space="preserve">Ad ognuno di essi sarà quindi richiesto il medesimo tributo, con </w:t>
      </w:r>
      <w:r w:rsidR="0092047D" w:rsidRPr="000439B5">
        <w:rPr>
          <w:lang w:val="it-IT"/>
        </w:rPr>
        <w:t xml:space="preserve">gli </w:t>
      </w:r>
      <w:r w:rsidR="00960323" w:rsidRPr="000439B5">
        <w:rPr>
          <w:lang w:val="it-IT"/>
        </w:rPr>
        <w:t xml:space="preserve">atti </w:t>
      </w:r>
      <w:r w:rsidR="0092047D" w:rsidRPr="000439B5">
        <w:rPr>
          <w:lang w:val="it-IT"/>
        </w:rPr>
        <w:t xml:space="preserve">impositivi </w:t>
      </w:r>
      <w:r w:rsidR="00730A6E" w:rsidRPr="000439B5">
        <w:rPr>
          <w:lang w:val="it-IT"/>
        </w:rPr>
        <w:t>di cui a</w:t>
      </w:r>
      <w:r w:rsidR="00D92B2D" w:rsidRPr="000439B5">
        <w:rPr>
          <w:lang w:val="it-IT"/>
        </w:rPr>
        <w:t>l par.6.1</w:t>
      </w:r>
      <w:r w:rsidRPr="000439B5">
        <w:rPr>
          <w:lang w:val="it-IT"/>
        </w:rPr>
        <w:t>,</w:t>
      </w:r>
      <w:r w:rsidR="00730A6E" w:rsidRPr="000439B5">
        <w:rPr>
          <w:lang w:val="it-IT"/>
        </w:rPr>
        <w:t xml:space="preserve"> </w:t>
      </w:r>
      <w:r w:rsidR="00960323" w:rsidRPr="000439B5">
        <w:rPr>
          <w:lang w:val="it-IT"/>
        </w:rPr>
        <w:t xml:space="preserve">anche </w:t>
      </w:r>
      <w:r w:rsidR="0092047D" w:rsidRPr="000439B5">
        <w:rPr>
          <w:lang w:val="it-IT"/>
        </w:rPr>
        <w:t xml:space="preserve">quando </w:t>
      </w:r>
      <w:r w:rsidR="00BF04C5" w:rsidRPr="000439B5">
        <w:rPr>
          <w:lang w:val="it-IT"/>
        </w:rPr>
        <w:t>il condebitore</w:t>
      </w:r>
      <w:r w:rsidR="0092047D" w:rsidRPr="000439B5">
        <w:rPr>
          <w:lang w:val="it-IT"/>
        </w:rPr>
        <w:t xml:space="preserve"> </w:t>
      </w:r>
      <w:r w:rsidR="00BF04C5" w:rsidRPr="000439B5">
        <w:rPr>
          <w:lang w:val="it-IT"/>
        </w:rPr>
        <w:t>è tale</w:t>
      </w:r>
      <w:r w:rsidR="0092047D" w:rsidRPr="000439B5">
        <w:rPr>
          <w:lang w:val="it-IT"/>
        </w:rPr>
        <w:t xml:space="preserve"> </w:t>
      </w:r>
      <w:r w:rsidR="00BF04C5" w:rsidRPr="000439B5">
        <w:rPr>
          <w:lang w:val="it-IT"/>
        </w:rPr>
        <w:t>per</w:t>
      </w:r>
      <w:r w:rsidR="00960323" w:rsidRPr="000439B5">
        <w:rPr>
          <w:lang w:val="it-IT"/>
        </w:rPr>
        <w:t xml:space="preserve"> </w:t>
      </w:r>
      <w:r w:rsidR="00960323" w:rsidRPr="000439B5">
        <w:rPr>
          <w:lang w:val="it-IT"/>
        </w:rPr>
        <w:lastRenderedPageBreak/>
        <w:t xml:space="preserve">contratto </w:t>
      </w:r>
      <w:r w:rsidR="00730A6E" w:rsidRPr="007F7EBF">
        <w:rPr>
          <w:rStyle w:val="Rimandonotaapidipagina"/>
        </w:rPr>
        <w:footnoteReference w:id="754"/>
      </w:r>
      <w:r w:rsidR="00960323" w:rsidRPr="000439B5">
        <w:rPr>
          <w:lang w:val="it-IT"/>
        </w:rPr>
        <w:t xml:space="preserve"> o </w:t>
      </w:r>
      <w:r w:rsidR="00BF04C5" w:rsidRPr="000439B5">
        <w:rPr>
          <w:lang w:val="it-IT"/>
        </w:rPr>
        <w:t>per</w:t>
      </w:r>
      <w:r w:rsidR="00960323" w:rsidRPr="000439B5">
        <w:rPr>
          <w:lang w:val="it-IT"/>
        </w:rPr>
        <w:t xml:space="preserve"> </w:t>
      </w:r>
      <w:r w:rsidR="00D92B2D" w:rsidRPr="000439B5">
        <w:rPr>
          <w:lang w:val="it-IT"/>
        </w:rPr>
        <w:t>disposizione</w:t>
      </w:r>
      <w:r w:rsidR="00960323" w:rsidRPr="000439B5">
        <w:rPr>
          <w:lang w:val="it-IT"/>
        </w:rPr>
        <w:t xml:space="preserve"> civilistica</w:t>
      </w:r>
      <w:r w:rsidR="000439B5">
        <w:rPr>
          <w:lang w:val="it-IT"/>
        </w:rPr>
        <w:t>. L’ufficio tributario di solito può rivolgersi direttamente a qualunque coobbligato solidale, senza preventivamente chiedere il pagamento al debitore principale(</w:t>
      </w:r>
      <w:r w:rsidR="000439B5">
        <w:rPr>
          <w:rStyle w:val="Rimandonotaapidipagina"/>
          <w:lang w:val="it-IT"/>
        </w:rPr>
        <w:footnoteReference w:id="755"/>
      </w:r>
      <w:r w:rsidR="000439B5">
        <w:rPr>
          <w:lang w:val="it-IT"/>
        </w:rPr>
        <w:t>); quest’ultimo può senz’altro rivalersi, nei rapporti interni, verso il debitore principale, ma se esso è insolvente rischia di essere inciso dal tributo.</w:t>
      </w:r>
    </w:p>
    <w:p w14:paraId="7FE3830A" w14:textId="1C9B8663" w:rsidR="00B02971" w:rsidRPr="007F7EBF" w:rsidRDefault="000439B5" w:rsidP="008F3056">
      <w:pPr>
        <w:autoSpaceDE w:val="0"/>
        <w:autoSpaceDN w:val="0"/>
        <w:adjustRightInd w:val="0"/>
        <w:rPr>
          <w:sz w:val="22"/>
          <w:szCs w:val="22"/>
        </w:rPr>
      </w:pPr>
      <w:r>
        <w:rPr>
          <w:sz w:val="22"/>
          <w:szCs w:val="22"/>
        </w:rPr>
        <w:t>S</w:t>
      </w:r>
      <w:r w:rsidR="00A20581">
        <w:rPr>
          <w:sz w:val="22"/>
          <w:szCs w:val="22"/>
        </w:rPr>
        <w:t xml:space="preserve">econdo le regole generali delle obbligazioni solidali l’adempimento di un condebitore libera gli altri, ed innesca le eventuali “rivalse interne”, se ne sussistono </w:t>
      </w:r>
      <w:proofErr w:type="spellStart"/>
      <w:r w:rsidR="00A20581">
        <w:rPr>
          <w:sz w:val="22"/>
          <w:szCs w:val="22"/>
        </w:rPr>
        <w:t>civilisticamente</w:t>
      </w:r>
      <w:proofErr w:type="spellEnd"/>
      <w:r w:rsidR="00A20581">
        <w:rPr>
          <w:sz w:val="22"/>
          <w:szCs w:val="22"/>
        </w:rPr>
        <w:t xml:space="preserve"> i presupposti</w:t>
      </w:r>
      <w:r w:rsidR="002A16E1">
        <w:rPr>
          <w:sz w:val="22"/>
          <w:szCs w:val="22"/>
        </w:rPr>
        <w:t xml:space="preserve">; si tratta cioè di </w:t>
      </w:r>
      <w:r w:rsidR="002A16E1" w:rsidRPr="007F7EBF">
        <w:rPr>
          <w:sz w:val="22"/>
          <w:szCs w:val="22"/>
        </w:rPr>
        <w:t>rivolgersi agli altri coobbligati per ottenere la loro “quota parte” di</w:t>
      </w:r>
      <w:r w:rsidR="002A16E1">
        <w:rPr>
          <w:sz w:val="22"/>
          <w:szCs w:val="22"/>
        </w:rPr>
        <w:t xml:space="preserve"> </w:t>
      </w:r>
      <w:r w:rsidR="002A16E1" w:rsidRPr="007F7EBF">
        <w:rPr>
          <w:sz w:val="22"/>
          <w:szCs w:val="22"/>
        </w:rPr>
        <w:t>debito, secondo i principi già indicati, per le imposte pagate in autotassazione, al par.3.5 (</w:t>
      </w:r>
      <w:r w:rsidR="002A16E1" w:rsidRPr="007F7EBF">
        <w:rPr>
          <w:rStyle w:val="Rimandonotaapidipagina"/>
          <w:sz w:val="22"/>
          <w:szCs w:val="22"/>
        </w:rPr>
        <w:footnoteReference w:id="756"/>
      </w:r>
      <w:r w:rsidR="002A16E1" w:rsidRPr="007F7EBF">
        <w:rPr>
          <w:sz w:val="22"/>
          <w:szCs w:val="22"/>
        </w:rPr>
        <w:t xml:space="preserve">). </w:t>
      </w:r>
      <w:r w:rsidR="002A16E1">
        <w:rPr>
          <w:sz w:val="22"/>
          <w:szCs w:val="22"/>
        </w:rPr>
        <w:t>I destinatari della richiesta</w:t>
      </w:r>
      <w:r w:rsidR="002A16E1" w:rsidRPr="007F7EBF">
        <w:rPr>
          <w:sz w:val="22"/>
          <w:szCs w:val="22"/>
        </w:rPr>
        <w:t xml:space="preserve"> potranno </w:t>
      </w:r>
      <w:r w:rsidR="002A16E1">
        <w:rPr>
          <w:sz w:val="22"/>
          <w:szCs w:val="22"/>
        </w:rPr>
        <w:t>obiettare</w:t>
      </w:r>
      <w:r w:rsidR="002A16E1" w:rsidRPr="007F7EBF">
        <w:rPr>
          <w:sz w:val="22"/>
          <w:szCs w:val="22"/>
        </w:rPr>
        <w:t xml:space="preserve">, in sede civilistica, </w:t>
      </w:r>
      <w:r w:rsidR="002A16E1">
        <w:rPr>
          <w:sz w:val="22"/>
          <w:szCs w:val="22"/>
        </w:rPr>
        <w:t xml:space="preserve">che il </w:t>
      </w:r>
      <w:r w:rsidR="002A16E1" w:rsidRPr="007F7EBF">
        <w:rPr>
          <w:sz w:val="22"/>
          <w:szCs w:val="22"/>
        </w:rPr>
        <w:t xml:space="preserve">tributo non era dovuto, ed è stato avventatamente pagato da chi agisce in rivalsa verso di loro. </w:t>
      </w:r>
    </w:p>
    <w:p w14:paraId="56270E38" w14:textId="77777777" w:rsidR="00B02971" w:rsidRPr="007F7EBF" w:rsidRDefault="00B02971" w:rsidP="00B02971">
      <w:pPr>
        <w:pStyle w:val="tit23"/>
        <w:ind w:left="6464" w:right="-1361" w:firstLine="0"/>
        <w:jc w:val="left"/>
        <w:rPr>
          <w:bCs/>
          <w:i/>
          <w:iCs/>
          <w:color w:val="0000FF"/>
          <w:lang w:val="it-IT"/>
        </w:rPr>
      </w:pPr>
      <w:r w:rsidRPr="007F7EBF">
        <w:rPr>
          <w:bCs/>
          <w:i/>
          <w:iCs/>
          <w:color w:val="0000FF"/>
          <w:lang w:val="it-IT"/>
        </w:rPr>
        <w:t xml:space="preserve"> tutela processuale del coobbligato</w:t>
      </w:r>
    </w:p>
    <w:p w14:paraId="3359504A" w14:textId="1EFD3D14" w:rsidR="00BF04C5" w:rsidRPr="007F7EBF" w:rsidRDefault="00A20581" w:rsidP="00BF04C5">
      <w:pPr>
        <w:autoSpaceDE w:val="0"/>
        <w:autoSpaceDN w:val="0"/>
        <w:adjustRightInd w:val="0"/>
        <w:rPr>
          <w:bCs/>
          <w:i/>
          <w:iCs/>
          <w:color w:val="0000FF"/>
          <w:sz w:val="22"/>
          <w:szCs w:val="22"/>
        </w:rPr>
      </w:pPr>
      <w:r>
        <w:rPr>
          <w:sz w:val="22"/>
          <w:szCs w:val="22"/>
        </w:rPr>
        <w:t xml:space="preserve">Se l’atto viene </w:t>
      </w:r>
      <w:r w:rsidR="00BF04C5" w:rsidRPr="007F7EBF">
        <w:rPr>
          <w:sz w:val="22"/>
          <w:szCs w:val="22"/>
        </w:rPr>
        <w:t xml:space="preserve">notificato solo ad alcuni debitori solidali, non </w:t>
      </w:r>
      <w:r>
        <w:rPr>
          <w:sz w:val="22"/>
          <w:szCs w:val="22"/>
        </w:rPr>
        <w:t>nuoce agli altri, per elementar</w:t>
      </w:r>
      <w:r w:rsidR="002D5FA8">
        <w:rPr>
          <w:sz w:val="22"/>
          <w:szCs w:val="22"/>
        </w:rPr>
        <w:t>i</w:t>
      </w:r>
      <w:r>
        <w:rPr>
          <w:sz w:val="22"/>
          <w:szCs w:val="22"/>
        </w:rPr>
        <w:t xml:space="preserve"> </w:t>
      </w:r>
      <w:r w:rsidR="002D5FA8">
        <w:rPr>
          <w:sz w:val="22"/>
          <w:szCs w:val="22"/>
        </w:rPr>
        <w:t xml:space="preserve">ragioni di </w:t>
      </w:r>
      <w:r>
        <w:rPr>
          <w:sz w:val="22"/>
          <w:szCs w:val="22"/>
        </w:rPr>
        <w:t>diritto di difesa, latent</w:t>
      </w:r>
      <w:r w:rsidR="002D5FA8">
        <w:rPr>
          <w:sz w:val="22"/>
          <w:szCs w:val="22"/>
        </w:rPr>
        <w:t>i</w:t>
      </w:r>
      <w:r>
        <w:rPr>
          <w:sz w:val="22"/>
          <w:szCs w:val="22"/>
        </w:rPr>
        <w:t xml:space="preserve"> anche </w:t>
      </w:r>
      <w:r w:rsidR="008F3056">
        <w:rPr>
          <w:sz w:val="22"/>
          <w:szCs w:val="22"/>
        </w:rPr>
        <w:t xml:space="preserve">dietro </w:t>
      </w:r>
      <w:r w:rsidR="00BF04C5" w:rsidRPr="007F7EBF">
        <w:rPr>
          <w:sz w:val="22"/>
          <w:szCs w:val="22"/>
        </w:rPr>
        <w:t>l'art.1306 c.c.</w:t>
      </w:r>
      <w:r w:rsidR="00591954" w:rsidRPr="007F7EBF">
        <w:rPr>
          <w:sz w:val="22"/>
          <w:szCs w:val="22"/>
        </w:rPr>
        <w:t xml:space="preserve"> </w:t>
      </w:r>
      <w:r w:rsidR="003D4BE5">
        <w:rPr>
          <w:sz w:val="22"/>
          <w:szCs w:val="22"/>
        </w:rPr>
        <w:t>(</w:t>
      </w:r>
      <w:r w:rsidR="00730A6E" w:rsidRPr="007F7EBF">
        <w:rPr>
          <w:rStyle w:val="Rimandonotaapidipagina"/>
          <w:sz w:val="22"/>
          <w:szCs w:val="22"/>
        </w:rPr>
        <w:footnoteReference w:id="757"/>
      </w:r>
      <w:r w:rsidR="003D4BE5">
        <w:rPr>
          <w:sz w:val="22"/>
          <w:szCs w:val="22"/>
        </w:rPr>
        <w:t>)</w:t>
      </w:r>
      <w:r w:rsidR="00BF04C5" w:rsidRPr="007F7EBF">
        <w:rPr>
          <w:sz w:val="22"/>
          <w:szCs w:val="22"/>
        </w:rPr>
        <w:t>.</w:t>
      </w:r>
    </w:p>
    <w:p w14:paraId="0469E77A" w14:textId="762E4F7F" w:rsidR="00B02971" w:rsidRPr="002A16E1" w:rsidRDefault="00BF04C5" w:rsidP="00B02971">
      <w:pPr>
        <w:autoSpaceDE w:val="0"/>
        <w:autoSpaceDN w:val="0"/>
        <w:adjustRightInd w:val="0"/>
        <w:rPr>
          <w:sz w:val="22"/>
          <w:szCs w:val="22"/>
        </w:rPr>
      </w:pPr>
      <w:r w:rsidRPr="007F7EBF">
        <w:rPr>
          <w:sz w:val="22"/>
          <w:szCs w:val="22"/>
        </w:rPr>
        <w:t>Qualora più condebitori ricevano l'atto, ed uno solo lo impugni, ottenendo un giudicato favorevole, la giurisprudenza applica, anche qui impropriamente, l’art. 1306 c.c., secondo cui possono giovarsene anche i condebitori rimasti inerti</w:t>
      </w:r>
      <w:r w:rsidR="00E52808" w:rsidRPr="007F7EBF">
        <w:rPr>
          <w:sz w:val="22"/>
          <w:szCs w:val="22"/>
        </w:rPr>
        <w:t xml:space="preserve">, nonostante la definitività dell'atto </w:t>
      </w:r>
      <w:r w:rsidR="00E52808" w:rsidRPr="007F7EBF">
        <w:rPr>
          <w:sz w:val="22"/>
          <w:szCs w:val="22"/>
        </w:rPr>
        <w:lastRenderedPageBreak/>
        <w:t>d'imposizione nei loro confronti (</w:t>
      </w:r>
      <w:r w:rsidR="00B02971" w:rsidRPr="007F7EBF">
        <w:rPr>
          <w:rStyle w:val="Rimandonotaapidipagina"/>
          <w:sz w:val="22"/>
          <w:szCs w:val="22"/>
        </w:rPr>
        <w:footnoteReference w:id="758"/>
      </w:r>
      <w:r w:rsidR="00E52808" w:rsidRPr="007F7EBF">
        <w:rPr>
          <w:sz w:val="22"/>
          <w:szCs w:val="22"/>
        </w:rPr>
        <w:t>)</w:t>
      </w:r>
      <w:r w:rsidR="002A16E1">
        <w:rPr>
          <w:sz w:val="22"/>
          <w:szCs w:val="22"/>
        </w:rPr>
        <w:t xml:space="preserve">. Se più debitori impugnano, la giurisprudenza configura, correttamente ma confusamente, un litisconsorzio necessario, tradotto in pratica come una necessità di riunione dei processi. </w:t>
      </w:r>
    </w:p>
    <w:p w14:paraId="6DE1D676" w14:textId="77777777" w:rsidR="00B02971" w:rsidRPr="007F7EBF" w:rsidRDefault="00B02971" w:rsidP="00B02971">
      <w:pPr>
        <w:pStyle w:val="tit23"/>
        <w:ind w:left="6464" w:right="-1361" w:firstLine="0"/>
        <w:jc w:val="left"/>
        <w:rPr>
          <w:bCs/>
          <w:i/>
          <w:iCs/>
          <w:color w:val="0000FF"/>
          <w:lang w:val="it-IT"/>
        </w:rPr>
      </w:pPr>
      <w:r w:rsidRPr="007F7EBF">
        <w:rPr>
          <w:bCs/>
          <w:i/>
          <w:iCs/>
          <w:color w:val="0000FF"/>
          <w:lang w:val="it-IT"/>
        </w:rPr>
        <w:t>Diretta notifica degli atti di riscossione</w:t>
      </w:r>
    </w:p>
    <w:p w14:paraId="0BED4DFA" w14:textId="5CD2C0EE" w:rsidR="00B02971" w:rsidRPr="007F7EBF" w:rsidRDefault="008B6A1B" w:rsidP="00B02971">
      <w:pPr>
        <w:autoSpaceDE w:val="0"/>
        <w:autoSpaceDN w:val="0"/>
        <w:adjustRightInd w:val="0"/>
        <w:rPr>
          <w:sz w:val="22"/>
          <w:szCs w:val="22"/>
        </w:rPr>
      </w:pPr>
      <w:r w:rsidRPr="007F7EBF">
        <w:rPr>
          <w:sz w:val="22"/>
          <w:szCs w:val="22"/>
        </w:rPr>
        <w:t>La coobbligazione solidale "dipendente", per debiti tributari cui si è estranei (</w:t>
      </w:r>
      <w:r w:rsidR="00591954" w:rsidRPr="007F7EBF">
        <w:rPr>
          <w:rStyle w:val="Rimandonotaapidipagina"/>
          <w:sz w:val="22"/>
          <w:szCs w:val="22"/>
        </w:rPr>
        <w:footnoteReference w:id="759"/>
      </w:r>
      <w:r w:rsidR="00591954" w:rsidRPr="007F7EBF">
        <w:rPr>
          <w:sz w:val="22"/>
          <w:szCs w:val="22"/>
        </w:rPr>
        <w:t>)</w:t>
      </w:r>
      <w:r w:rsidRPr="007F7EBF">
        <w:rPr>
          <w:sz w:val="22"/>
          <w:szCs w:val="22"/>
        </w:rPr>
        <w:t xml:space="preserve">, tende ad essere fatta valere anche solo </w:t>
      </w:r>
      <w:r w:rsidR="00591954" w:rsidRPr="007F7EBF">
        <w:rPr>
          <w:sz w:val="22"/>
          <w:szCs w:val="22"/>
        </w:rPr>
        <w:t xml:space="preserve">con </w:t>
      </w:r>
      <w:r w:rsidR="00E52808" w:rsidRPr="007F7EBF">
        <w:rPr>
          <w:sz w:val="22"/>
          <w:szCs w:val="22"/>
        </w:rPr>
        <w:t>atti della risco</w:t>
      </w:r>
      <w:r w:rsidRPr="007F7EBF">
        <w:rPr>
          <w:sz w:val="22"/>
          <w:szCs w:val="22"/>
        </w:rPr>
        <w:t xml:space="preserve">ssione di cui al paragrafo 6.11; viene cioè omesso </w:t>
      </w:r>
      <w:r w:rsidR="00E52808" w:rsidRPr="007F7EBF">
        <w:rPr>
          <w:sz w:val="22"/>
          <w:szCs w:val="22"/>
        </w:rPr>
        <w:t xml:space="preserve">nei confronti </w:t>
      </w:r>
      <w:r w:rsidRPr="007F7EBF">
        <w:rPr>
          <w:sz w:val="22"/>
          <w:szCs w:val="22"/>
        </w:rPr>
        <w:t>di questi coobbligati</w:t>
      </w:r>
      <w:r w:rsidR="009A27A7" w:rsidRPr="007F7EBF">
        <w:rPr>
          <w:sz w:val="22"/>
          <w:szCs w:val="22"/>
        </w:rPr>
        <w:t xml:space="preserve"> un </w:t>
      </w:r>
      <w:r w:rsidR="00E52808" w:rsidRPr="007F7EBF">
        <w:rPr>
          <w:sz w:val="22"/>
          <w:szCs w:val="22"/>
        </w:rPr>
        <w:t>atto impositivo motivato</w:t>
      </w:r>
      <w:r w:rsidR="002A16E1">
        <w:rPr>
          <w:sz w:val="22"/>
          <w:szCs w:val="22"/>
        </w:rPr>
        <w:t>(</w:t>
      </w:r>
      <w:r w:rsidRPr="007F7EBF">
        <w:rPr>
          <w:rStyle w:val="Rimandonotaapidipagina"/>
          <w:sz w:val="22"/>
          <w:szCs w:val="22"/>
        </w:rPr>
        <w:footnoteReference w:id="760"/>
      </w:r>
      <w:r w:rsidR="002A16E1">
        <w:rPr>
          <w:sz w:val="22"/>
          <w:szCs w:val="22"/>
        </w:rPr>
        <w:t>)</w:t>
      </w:r>
      <w:r w:rsidR="00E52808" w:rsidRPr="007F7EBF">
        <w:rPr>
          <w:sz w:val="22"/>
          <w:szCs w:val="22"/>
        </w:rPr>
        <w:t xml:space="preserve">. </w:t>
      </w:r>
      <w:r w:rsidR="009A27A7" w:rsidRPr="007F7EBF">
        <w:rPr>
          <w:sz w:val="22"/>
          <w:szCs w:val="22"/>
        </w:rPr>
        <w:t xml:space="preserve"> Formalmente </w:t>
      </w:r>
      <w:r w:rsidR="009A27A7" w:rsidRPr="007F7EBF">
        <w:rPr>
          <w:bCs/>
          <w:sz w:val="22"/>
          <w:szCs w:val="22"/>
        </w:rPr>
        <w:t xml:space="preserve">il diritto di difesa di tali soggetti è </w:t>
      </w:r>
      <w:r w:rsidR="00E52808" w:rsidRPr="007F7EBF">
        <w:rPr>
          <w:bCs/>
          <w:sz w:val="22"/>
          <w:szCs w:val="22"/>
        </w:rPr>
        <w:t>salvaguardato</w:t>
      </w:r>
      <w:r w:rsidR="009A27A7" w:rsidRPr="007F7EBF">
        <w:rPr>
          <w:bCs/>
          <w:sz w:val="22"/>
          <w:szCs w:val="22"/>
        </w:rPr>
        <w:t xml:space="preserve">, </w:t>
      </w:r>
      <w:r w:rsidR="00E52808" w:rsidRPr="007F7EBF">
        <w:rPr>
          <w:bCs/>
          <w:sz w:val="22"/>
          <w:szCs w:val="22"/>
        </w:rPr>
        <w:t xml:space="preserve">in quanto resta </w:t>
      </w:r>
      <w:r w:rsidR="00E52808" w:rsidRPr="007F7EBF">
        <w:rPr>
          <w:sz w:val="22"/>
          <w:szCs w:val="22"/>
        </w:rPr>
        <w:t xml:space="preserve">ferma la loro possibilità di far valere, tramite l'ordinaria impugnazione alle commissioni tributarie, ogni vizio della pretesa tributaria, indipendentemente dal comportamento del debitore principale. </w:t>
      </w:r>
      <w:r w:rsidR="00E52808" w:rsidRPr="007F7EBF">
        <w:rPr>
          <w:bCs/>
          <w:sz w:val="22"/>
          <w:szCs w:val="22"/>
        </w:rPr>
        <w:t xml:space="preserve">Tuttavia essi </w:t>
      </w:r>
      <w:r w:rsidR="005371EE" w:rsidRPr="007F7EBF">
        <w:rPr>
          <w:sz w:val="22"/>
          <w:szCs w:val="22"/>
        </w:rPr>
        <w:t>non ricevono</w:t>
      </w:r>
      <w:r w:rsidR="009A27A7" w:rsidRPr="007F7EBF">
        <w:rPr>
          <w:sz w:val="22"/>
          <w:szCs w:val="22"/>
        </w:rPr>
        <w:t xml:space="preserve"> </w:t>
      </w:r>
      <w:r w:rsidR="005371EE" w:rsidRPr="007F7EBF">
        <w:rPr>
          <w:sz w:val="22"/>
          <w:szCs w:val="22"/>
        </w:rPr>
        <w:t>le motivazioni dell'atto impositivo, e perdono la possibilità di</w:t>
      </w:r>
      <w:r w:rsidR="009A27A7" w:rsidRPr="007F7EBF">
        <w:rPr>
          <w:sz w:val="22"/>
          <w:szCs w:val="22"/>
        </w:rPr>
        <w:t xml:space="preserve"> «riscossione frazionata» in caso di ricorso (</w:t>
      </w:r>
      <w:r w:rsidR="008A2AAC">
        <w:rPr>
          <w:sz w:val="22"/>
          <w:szCs w:val="22"/>
        </w:rPr>
        <w:t>par.6.12</w:t>
      </w:r>
      <w:r w:rsidR="009A27A7" w:rsidRPr="007F7EBF">
        <w:rPr>
          <w:sz w:val="22"/>
          <w:szCs w:val="22"/>
        </w:rPr>
        <w:t xml:space="preserve">). </w:t>
      </w:r>
    </w:p>
    <w:p w14:paraId="29D532E2" w14:textId="77777777" w:rsidR="00B02971" w:rsidRPr="007F7EBF" w:rsidRDefault="00B02971" w:rsidP="00B02971">
      <w:pPr>
        <w:pStyle w:val="tit23"/>
        <w:ind w:left="6464" w:right="-1361" w:firstLine="0"/>
        <w:jc w:val="left"/>
        <w:rPr>
          <w:bCs/>
          <w:i/>
          <w:iCs/>
          <w:color w:val="0000FF"/>
          <w:lang w:val="it-IT"/>
        </w:rPr>
      </w:pPr>
      <w:r w:rsidRPr="007F7EBF">
        <w:rPr>
          <w:bCs/>
          <w:i/>
          <w:iCs/>
          <w:color w:val="0000FF"/>
          <w:lang w:val="it-IT"/>
        </w:rPr>
        <w:t>Eredi e soci di società estinte</w:t>
      </w:r>
    </w:p>
    <w:p w14:paraId="730DD161" w14:textId="5F49380E" w:rsidR="00B02971" w:rsidRPr="007F7EBF" w:rsidRDefault="00E52808" w:rsidP="00B02971">
      <w:pPr>
        <w:autoSpaceDE w:val="0"/>
        <w:autoSpaceDN w:val="0"/>
        <w:adjustRightInd w:val="0"/>
        <w:rPr>
          <w:sz w:val="22"/>
          <w:szCs w:val="22"/>
        </w:rPr>
      </w:pPr>
      <w:r w:rsidRPr="007F7EBF">
        <w:rPr>
          <w:sz w:val="22"/>
          <w:szCs w:val="22"/>
        </w:rPr>
        <w:t xml:space="preserve">L'accertamento per i debiti tributari di soggetti deceduti o di società estinte si svolge nei confronti degli eredi o </w:t>
      </w:r>
      <w:r w:rsidR="006A1E43" w:rsidRPr="007F7EBF">
        <w:rPr>
          <w:sz w:val="22"/>
          <w:szCs w:val="22"/>
        </w:rPr>
        <w:t>dei soci che abbiano ricevuto beni a seguito della</w:t>
      </w:r>
      <w:r w:rsidR="0095701C" w:rsidRPr="007F7EBF">
        <w:rPr>
          <w:sz w:val="22"/>
          <w:szCs w:val="22"/>
        </w:rPr>
        <w:t xml:space="preserve"> liquidazione della società</w:t>
      </w:r>
      <w:r w:rsidR="008A2AAC">
        <w:rPr>
          <w:sz w:val="22"/>
          <w:szCs w:val="22"/>
        </w:rPr>
        <w:t xml:space="preserve"> (</w:t>
      </w:r>
      <w:r w:rsidR="008A2AAC">
        <w:rPr>
          <w:rStyle w:val="Rimandonotaapidipagina"/>
          <w:sz w:val="22"/>
          <w:szCs w:val="22"/>
        </w:rPr>
        <w:footnoteReference w:id="761"/>
      </w:r>
      <w:r w:rsidR="008A2AAC">
        <w:rPr>
          <w:sz w:val="22"/>
          <w:szCs w:val="22"/>
        </w:rPr>
        <w:t>). E’</w:t>
      </w:r>
      <w:r w:rsidR="0095701C" w:rsidRPr="007F7EBF">
        <w:rPr>
          <w:sz w:val="22"/>
          <w:szCs w:val="22"/>
        </w:rPr>
        <w:t xml:space="preserve"> </w:t>
      </w:r>
      <w:r w:rsidR="006A1E43" w:rsidRPr="007F7EBF">
        <w:rPr>
          <w:sz w:val="22"/>
          <w:szCs w:val="22"/>
        </w:rPr>
        <w:t>un riflesso del</w:t>
      </w:r>
      <w:r w:rsidR="00317C2B" w:rsidRPr="007F7EBF">
        <w:rPr>
          <w:sz w:val="22"/>
          <w:szCs w:val="22"/>
        </w:rPr>
        <w:t>la regola generale civilistica</w:t>
      </w:r>
      <w:r w:rsidR="006A1E43" w:rsidRPr="007F7EBF">
        <w:rPr>
          <w:sz w:val="22"/>
          <w:szCs w:val="22"/>
        </w:rPr>
        <w:t>, secondo cui</w:t>
      </w:r>
      <w:r w:rsidR="002A16E1">
        <w:rPr>
          <w:sz w:val="22"/>
          <w:szCs w:val="22"/>
        </w:rPr>
        <w:t>,</w:t>
      </w:r>
      <w:r w:rsidR="006A1E43" w:rsidRPr="007F7EBF">
        <w:rPr>
          <w:sz w:val="22"/>
          <w:szCs w:val="22"/>
        </w:rPr>
        <w:t xml:space="preserve"> i</w:t>
      </w:r>
      <w:r w:rsidR="00317C2B" w:rsidRPr="007F7EBF">
        <w:rPr>
          <w:sz w:val="22"/>
          <w:szCs w:val="22"/>
        </w:rPr>
        <w:t xml:space="preserve">n caso di </w:t>
      </w:r>
      <w:r w:rsidR="00317C2B" w:rsidRPr="007F7EBF">
        <w:rPr>
          <w:bCs/>
          <w:sz w:val="22"/>
          <w:szCs w:val="22"/>
        </w:rPr>
        <w:t xml:space="preserve">due o più eredi, </w:t>
      </w:r>
      <w:r w:rsidR="006A1E43" w:rsidRPr="007F7EBF">
        <w:rPr>
          <w:bCs/>
          <w:sz w:val="22"/>
          <w:szCs w:val="22"/>
        </w:rPr>
        <w:t xml:space="preserve">ognuno </w:t>
      </w:r>
      <w:r w:rsidR="00317C2B" w:rsidRPr="007F7EBF">
        <w:rPr>
          <w:sz w:val="22"/>
          <w:szCs w:val="22"/>
        </w:rPr>
        <w:t xml:space="preserve">risponde </w:t>
      </w:r>
      <w:r w:rsidR="00317C2B" w:rsidRPr="007F7EBF">
        <w:rPr>
          <w:bCs/>
          <w:sz w:val="22"/>
          <w:szCs w:val="22"/>
        </w:rPr>
        <w:t>solo in proporzione alla sua quota</w:t>
      </w:r>
      <w:r w:rsidR="00317C2B" w:rsidRPr="007F7EBF">
        <w:rPr>
          <w:sz w:val="22"/>
          <w:szCs w:val="22"/>
        </w:rPr>
        <w:t xml:space="preserve">. Solo per le imposte sui redditi, in virtù </w:t>
      </w:r>
      <w:r w:rsidR="008A2AAC">
        <w:rPr>
          <w:sz w:val="22"/>
          <w:szCs w:val="22"/>
        </w:rPr>
        <w:t>dell’art.65 DPR 600,</w:t>
      </w:r>
      <w:r w:rsidR="00317C2B" w:rsidRPr="007F7EBF">
        <w:rPr>
          <w:sz w:val="22"/>
          <w:szCs w:val="22"/>
        </w:rPr>
        <w:t xml:space="preserve"> sussiste la </w:t>
      </w:r>
      <w:r w:rsidR="00317C2B" w:rsidRPr="007F7EBF">
        <w:rPr>
          <w:bCs/>
          <w:sz w:val="22"/>
          <w:szCs w:val="22"/>
        </w:rPr>
        <w:t>coobbligazione solidale tra i coered</w:t>
      </w:r>
      <w:r w:rsidR="00317C2B" w:rsidRPr="007F7EBF">
        <w:rPr>
          <w:sz w:val="22"/>
          <w:szCs w:val="22"/>
        </w:rPr>
        <w:t xml:space="preserve">i, in deroga al suddetto criterio generale. </w:t>
      </w:r>
    </w:p>
    <w:p w14:paraId="742668CD" w14:textId="77777777" w:rsidR="00B02971" w:rsidRPr="007F7EBF" w:rsidRDefault="00B02971" w:rsidP="00B02971">
      <w:pPr>
        <w:pStyle w:val="tit23"/>
        <w:ind w:left="6464" w:right="-1361" w:firstLine="0"/>
        <w:jc w:val="left"/>
        <w:rPr>
          <w:bCs/>
          <w:i/>
          <w:iCs/>
          <w:color w:val="0000FF"/>
          <w:lang w:val="it-IT"/>
        </w:rPr>
      </w:pPr>
      <w:r w:rsidRPr="007F7EBF">
        <w:rPr>
          <w:bCs/>
          <w:i/>
          <w:iCs/>
          <w:color w:val="0000FF"/>
          <w:lang w:val="it-IT"/>
        </w:rPr>
        <w:t>Privilegi a favore del fisco</w:t>
      </w:r>
    </w:p>
    <w:p w14:paraId="008F7657" w14:textId="77777777" w:rsidR="00E45F87" w:rsidRPr="007F7EBF" w:rsidRDefault="00317C2B" w:rsidP="00E45F87">
      <w:pPr>
        <w:autoSpaceDE w:val="0"/>
        <w:autoSpaceDN w:val="0"/>
        <w:adjustRightInd w:val="0"/>
        <w:rPr>
          <w:sz w:val="22"/>
          <w:szCs w:val="22"/>
        </w:rPr>
      </w:pPr>
      <w:r w:rsidRPr="007F7EBF">
        <w:rPr>
          <w:sz w:val="22"/>
          <w:szCs w:val="22"/>
        </w:rPr>
        <w:lastRenderedPageBreak/>
        <w:t xml:space="preserve">Anche </w:t>
      </w:r>
      <w:r w:rsidRPr="007F7EBF">
        <w:rPr>
          <w:bCs/>
          <w:sz w:val="22"/>
          <w:szCs w:val="22"/>
        </w:rPr>
        <w:t xml:space="preserve">a favore del fisco </w:t>
      </w:r>
      <w:r w:rsidRPr="007F7EBF">
        <w:rPr>
          <w:sz w:val="22"/>
          <w:szCs w:val="22"/>
        </w:rPr>
        <w:t>esistono “</w:t>
      </w:r>
      <w:r w:rsidRPr="007F7EBF">
        <w:rPr>
          <w:bCs/>
          <w:sz w:val="22"/>
          <w:szCs w:val="22"/>
        </w:rPr>
        <w:t>privilegi</w:t>
      </w:r>
      <w:r w:rsidRPr="007F7EBF">
        <w:rPr>
          <w:sz w:val="22"/>
          <w:szCs w:val="22"/>
        </w:rPr>
        <w:t xml:space="preserve">”, cioè diritti del creditore di soddisfarsi prioritariamente su alcuni beni, chiunque ne sia il proprietario; </w:t>
      </w:r>
      <w:r w:rsidR="00C4796C" w:rsidRPr="007F7EBF">
        <w:rPr>
          <w:sz w:val="22"/>
          <w:szCs w:val="22"/>
        </w:rPr>
        <w:t xml:space="preserve">quest'ultimo </w:t>
      </w:r>
      <w:r w:rsidRPr="007F7EBF">
        <w:rPr>
          <w:sz w:val="22"/>
          <w:szCs w:val="22"/>
        </w:rPr>
        <w:t xml:space="preserve">risponde </w:t>
      </w:r>
      <w:r w:rsidR="00C4796C" w:rsidRPr="007F7EBF">
        <w:rPr>
          <w:sz w:val="22"/>
          <w:szCs w:val="22"/>
        </w:rPr>
        <w:t>solo con questo bene, e quindi non è un coobbligato solidale</w:t>
      </w:r>
      <w:r w:rsidRPr="007F7EBF">
        <w:rPr>
          <w:sz w:val="22"/>
          <w:szCs w:val="22"/>
        </w:rPr>
        <w:t>.</w:t>
      </w:r>
      <w:r w:rsidR="00C4796C" w:rsidRPr="007F7EBF">
        <w:rPr>
          <w:sz w:val="22"/>
          <w:szCs w:val="22"/>
        </w:rPr>
        <w:t xml:space="preserve"> Ciononostante, anche a questo soggetto</w:t>
      </w:r>
      <w:r w:rsidR="0095701C" w:rsidRPr="007F7EBF">
        <w:rPr>
          <w:sz w:val="22"/>
          <w:szCs w:val="22"/>
        </w:rPr>
        <w:t>,</w:t>
      </w:r>
      <w:r w:rsidR="00C4796C" w:rsidRPr="007F7EBF">
        <w:rPr>
          <w:sz w:val="22"/>
          <w:szCs w:val="22"/>
        </w:rPr>
        <w:t xml:space="preserve"> </w:t>
      </w:r>
      <w:r w:rsidRPr="007F7EBF">
        <w:rPr>
          <w:sz w:val="22"/>
          <w:szCs w:val="22"/>
        </w:rPr>
        <w:t xml:space="preserve">la giurisprudenza, </w:t>
      </w:r>
      <w:r w:rsidR="00340049" w:rsidRPr="007F7EBF">
        <w:rPr>
          <w:sz w:val="22"/>
          <w:szCs w:val="22"/>
        </w:rPr>
        <w:t xml:space="preserve">ha consentito, più recentemente, </w:t>
      </w:r>
      <w:r w:rsidRPr="007F7EBF">
        <w:rPr>
          <w:sz w:val="22"/>
          <w:szCs w:val="22"/>
        </w:rPr>
        <w:t xml:space="preserve">di </w:t>
      </w:r>
      <w:r w:rsidRPr="007F7EBF">
        <w:rPr>
          <w:bCs/>
          <w:sz w:val="22"/>
          <w:szCs w:val="22"/>
        </w:rPr>
        <w:t>contestare</w:t>
      </w:r>
      <w:r w:rsidR="00C4796C" w:rsidRPr="007F7EBF">
        <w:rPr>
          <w:bCs/>
          <w:sz w:val="22"/>
          <w:szCs w:val="22"/>
        </w:rPr>
        <w:t xml:space="preserve"> nel merito</w:t>
      </w:r>
      <w:r w:rsidRPr="007F7EBF">
        <w:rPr>
          <w:bCs/>
          <w:sz w:val="22"/>
          <w:szCs w:val="22"/>
        </w:rPr>
        <w:t xml:space="preserve"> la richiesta del tributo</w:t>
      </w:r>
      <w:r w:rsidR="006A1E43" w:rsidRPr="007F7EBF">
        <w:rPr>
          <w:bCs/>
          <w:sz w:val="22"/>
          <w:szCs w:val="22"/>
        </w:rPr>
        <w:t xml:space="preserve">. </w:t>
      </w:r>
      <w:r w:rsidR="009C410F" w:rsidRPr="007F7EBF">
        <w:rPr>
          <w:bCs/>
          <w:i/>
          <w:iCs/>
          <w:color w:val="0000FF"/>
          <w:sz w:val="22"/>
          <w:szCs w:val="22"/>
        </w:rPr>
        <w:t xml:space="preserve"> </w:t>
      </w:r>
    </w:p>
    <w:p w14:paraId="1ABB9072" w14:textId="77777777" w:rsidR="00E45F87" w:rsidRPr="007F7EBF" w:rsidRDefault="00E45F87" w:rsidP="00E45F87">
      <w:pPr>
        <w:pStyle w:val="tit23"/>
        <w:ind w:left="6464" w:right="-1361" w:firstLine="0"/>
        <w:jc w:val="left"/>
        <w:rPr>
          <w:bCs/>
          <w:i/>
          <w:iCs/>
          <w:color w:val="0000FF"/>
          <w:lang w:val="it-IT"/>
        </w:rPr>
      </w:pPr>
      <w:r w:rsidRPr="007F7EBF">
        <w:rPr>
          <w:bCs/>
          <w:i/>
          <w:iCs/>
          <w:color w:val="0000FF"/>
          <w:lang w:val="it-IT"/>
        </w:rPr>
        <w:t>Tendenziale irresponsabilità del consumatore</w:t>
      </w:r>
    </w:p>
    <w:p w14:paraId="460465A0" w14:textId="1107CA32" w:rsidR="006342C5" w:rsidRPr="007F7EBF" w:rsidRDefault="00E45F87" w:rsidP="002A16E1">
      <w:pPr>
        <w:autoSpaceDE w:val="0"/>
        <w:autoSpaceDN w:val="0"/>
        <w:adjustRightInd w:val="0"/>
        <w:rPr>
          <w:sz w:val="22"/>
          <w:szCs w:val="22"/>
        </w:rPr>
      </w:pPr>
      <w:r w:rsidRPr="007F7EBF">
        <w:rPr>
          <w:sz w:val="22"/>
          <w:szCs w:val="22"/>
        </w:rPr>
        <w:t>Per le imposte sui consumi, e in linea di principio per i "contribuenti di fatto", come il consumatore finale IVA, non c'è alcuna responsabilità verso il fisco. Quest'ultima è stata introdotta di recente nei casi particolari in cui il cliente è identificato, in modo da consentire anche la rivalsa successiva del fornitore, per l'IVA pagata in sede di accertamento</w:t>
      </w:r>
      <w:r w:rsidR="002A16E1">
        <w:rPr>
          <w:sz w:val="22"/>
          <w:szCs w:val="22"/>
        </w:rPr>
        <w:t>(</w:t>
      </w:r>
      <w:r w:rsidRPr="007F7EBF">
        <w:rPr>
          <w:rStyle w:val="Rimandonotaapidipagina"/>
          <w:sz w:val="22"/>
          <w:szCs w:val="22"/>
        </w:rPr>
        <w:footnoteReference w:id="762"/>
      </w:r>
      <w:r w:rsidR="002A16E1">
        <w:rPr>
          <w:sz w:val="22"/>
          <w:szCs w:val="22"/>
        </w:rPr>
        <w:t>)</w:t>
      </w:r>
      <w:r w:rsidRPr="007F7EBF">
        <w:rPr>
          <w:sz w:val="22"/>
          <w:szCs w:val="22"/>
        </w:rPr>
        <w:t xml:space="preserve">. </w:t>
      </w:r>
    </w:p>
    <w:p w14:paraId="31BB7DEC" w14:textId="77777777" w:rsidR="00DD1822" w:rsidRPr="007F7EBF" w:rsidRDefault="006342C5" w:rsidP="00DD1822">
      <w:pPr>
        <w:pStyle w:val="Titolo3"/>
        <w:rPr>
          <w:rFonts w:ascii="Times New Roman" w:hAnsi="Times New Roman"/>
          <w:sz w:val="22"/>
          <w:szCs w:val="22"/>
        </w:rPr>
      </w:pPr>
      <w:bookmarkStart w:id="86" w:name="_Toc63364997"/>
      <w:r w:rsidRPr="007F7EBF">
        <w:rPr>
          <w:rFonts w:ascii="Times New Roman" w:hAnsi="Times New Roman"/>
          <w:sz w:val="22"/>
          <w:szCs w:val="22"/>
        </w:rPr>
        <w:t>6.4. Il contenzioso amministrativo: accertamento con adesione, conciliazione</w:t>
      </w:r>
      <w:r w:rsidR="009F7A9F" w:rsidRPr="007F7EBF">
        <w:rPr>
          <w:rFonts w:ascii="Times New Roman" w:hAnsi="Times New Roman"/>
          <w:sz w:val="22"/>
          <w:szCs w:val="22"/>
        </w:rPr>
        <w:t xml:space="preserve"> </w:t>
      </w:r>
      <w:r w:rsidRPr="007F7EBF">
        <w:rPr>
          <w:rFonts w:ascii="Times New Roman" w:hAnsi="Times New Roman"/>
          <w:sz w:val="22"/>
          <w:szCs w:val="22"/>
        </w:rPr>
        <w:t>giudiziale, “mediazione” e prospettive</w:t>
      </w:r>
      <w:bookmarkEnd w:id="86"/>
    </w:p>
    <w:p w14:paraId="00DA9590" w14:textId="77777777" w:rsidR="00F74BB3" w:rsidRPr="007F7EBF" w:rsidRDefault="00F74BB3" w:rsidP="00DD1822">
      <w:pPr>
        <w:pStyle w:val="tit23"/>
        <w:ind w:left="6464" w:right="-1361" w:firstLine="0"/>
        <w:jc w:val="left"/>
        <w:rPr>
          <w:b/>
          <w:bCs/>
          <w:i/>
          <w:iCs/>
          <w:color w:val="0000FF"/>
          <w:lang w:val="it-IT"/>
        </w:rPr>
      </w:pPr>
      <w:r w:rsidRPr="007F7EBF">
        <w:rPr>
          <w:b/>
          <w:bCs/>
          <w:i/>
          <w:iCs/>
          <w:color w:val="0000FF"/>
          <w:lang w:val="it-IT"/>
        </w:rPr>
        <w:t>La tradizionale valutazione contenziosa della ricchezza</w:t>
      </w:r>
    </w:p>
    <w:p w14:paraId="003C3422" w14:textId="0307E342" w:rsidR="009B73CE" w:rsidRPr="007F7EBF" w:rsidRDefault="009C0C93" w:rsidP="00C01615">
      <w:pPr>
        <w:rPr>
          <w:sz w:val="22"/>
          <w:szCs w:val="22"/>
        </w:rPr>
      </w:pPr>
      <w:r w:rsidRPr="007F7EBF">
        <w:rPr>
          <w:sz w:val="22"/>
          <w:szCs w:val="22"/>
        </w:rPr>
        <w:t>La tradizionale determinazione valutativa de</w:t>
      </w:r>
      <w:r w:rsidR="005D2F3C">
        <w:rPr>
          <w:sz w:val="22"/>
          <w:szCs w:val="22"/>
        </w:rPr>
        <w:t>gli imponibili (</w:t>
      </w:r>
      <w:r w:rsidR="00627BD3">
        <w:rPr>
          <w:sz w:val="22"/>
          <w:szCs w:val="22"/>
        </w:rPr>
        <w:t>par.1.4</w:t>
      </w:r>
      <w:r w:rsidR="005D2F3C">
        <w:rPr>
          <w:sz w:val="22"/>
          <w:szCs w:val="22"/>
        </w:rPr>
        <w:t>)</w:t>
      </w:r>
      <w:r w:rsidR="00627BD3">
        <w:rPr>
          <w:sz w:val="22"/>
          <w:szCs w:val="22"/>
        </w:rPr>
        <w:t xml:space="preserve"> </w:t>
      </w:r>
      <w:r w:rsidRPr="007F7EBF">
        <w:rPr>
          <w:sz w:val="22"/>
          <w:szCs w:val="22"/>
        </w:rPr>
        <w:t xml:space="preserve">era intrinsecamente </w:t>
      </w:r>
      <w:r w:rsidR="00553519" w:rsidRPr="007F7EBF">
        <w:rPr>
          <w:bCs/>
          <w:sz w:val="22"/>
          <w:szCs w:val="22"/>
        </w:rPr>
        <w:t>contenziosa</w:t>
      </w:r>
      <w:r w:rsidR="00627BD3">
        <w:rPr>
          <w:bCs/>
          <w:sz w:val="22"/>
          <w:szCs w:val="22"/>
        </w:rPr>
        <w:t xml:space="preserve"> </w:t>
      </w:r>
      <w:r w:rsidR="00627BD3">
        <w:rPr>
          <w:sz w:val="22"/>
          <w:szCs w:val="22"/>
        </w:rPr>
        <w:t>(</w:t>
      </w:r>
      <w:r w:rsidR="00627BD3" w:rsidRPr="007F7EBF">
        <w:rPr>
          <w:rStyle w:val="Rimandonotaapidipagina"/>
          <w:b/>
          <w:sz w:val="22"/>
          <w:szCs w:val="22"/>
        </w:rPr>
        <w:footnoteReference w:id="763"/>
      </w:r>
      <w:r w:rsidR="00627BD3">
        <w:rPr>
          <w:sz w:val="22"/>
          <w:szCs w:val="22"/>
        </w:rPr>
        <w:t>)</w:t>
      </w:r>
      <w:r w:rsidR="00FA0AB6">
        <w:rPr>
          <w:bCs/>
          <w:sz w:val="22"/>
          <w:szCs w:val="22"/>
        </w:rPr>
        <w:t xml:space="preserve">, </w:t>
      </w:r>
      <w:r w:rsidR="00627BD3">
        <w:rPr>
          <w:sz w:val="22"/>
          <w:szCs w:val="22"/>
        </w:rPr>
        <w:t>in quanto</w:t>
      </w:r>
      <w:r w:rsidR="00627BD3" w:rsidRPr="007F7EBF">
        <w:rPr>
          <w:sz w:val="22"/>
          <w:szCs w:val="22"/>
        </w:rPr>
        <w:t xml:space="preserve"> basata su stime per ordine di grandezza</w:t>
      </w:r>
      <w:r w:rsidR="004D7D01">
        <w:rPr>
          <w:sz w:val="22"/>
          <w:szCs w:val="22"/>
        </w:rPr>
        <w:t xml:space="preserve">, </w:t>
      </w:r>
      <w:r w:rsidR="00627BD3">
        <w:rPr>
          <w:sz w:val="22"/>
          <w:szCs w:val="22"/>
        </w:rPr>
        <w:t>dialettic</w:t>
      </w:r>
      <w:r w:rsidR="004D7D01">
        <w:rPr>
          <w:sz w:val="22"/>
          <w:szCs w:val="22"/>
        </w:rPr>
        <w:t>he,</w:t>
      </w:r>
      <w:r w:rsidR="004857E5">
        <w:rPr>
          <w:sz w:val="22"/>
          <w:szCs w:val="22"/>
        </w:rPr>
        <w:t xml:space="preserve"> </w:t>
      </w:r>
      <w:r w:rsidR="00310EF8">
        <w:rPr>
          <w:sz w:val="22"/>
          <w:szCs w:val="22"/>
        </w:rPr>
        <w:t xml:space="preserve">tra uffici e contribuenti; questi ultimi </w:t>
      </w:r>
      <w:r w:rsidR="00627BD3">
        <w:rPr>
          <w:bCs/>
          <w:sz w:val="22"/>
          <w:szCs w:val="22"/>
        </w:rPr>
        <w:t xml:space="preserve"> </w:t>
      </w:r>
      <w:r w:rsidR="004857E5">
        <w:rPr>
          <w:bCs/>
          <w:sz w:val="22"/>
          <w:szCs w:val="22"/>
        </w:rPr>
        <w:t xml:space="preserve">comprensibilmente sottostimavano </w:t>
      </w:r>
      <w:r w:rsidR="00310EF8">
        <w:rPr>
          <w:sz w:val="22"/>
          <w:szCs w:val="22"/>
        </w:rPr>
        <w:t xml:space="preserve">il presupposto economico d’imposta, per ridurne l’ammontare, </w:t>
      </w:r>
      <w:r w:rsidR="004D7D01">
        <w:rPr>
          <w:sz w:val="22"/>
          <w:szCs w:val="22"/>
        </w:rPr>
        <w:t xml:space="preserve">mentre gli uffici </w:t>
      </w:r>
      <w:r w:rsidR="00310EF8">
        <w:rPr>
          <w:sz w:val="22"/>
          <w:szCs w:val="22"/>
        </w:rPr>
        <w:t>cercavano di evitare</w:t>
      </w:r>
      <w:r w:rsidR="004D7D01">
        <w:rPr>
          <w:sz w:val="22"/>
          <w:szCs w:val="22"/>
        </w:rPr>
        <w:t xml:space="preserve"> che in tal modo fosse ridotto il gettito</w:t>
      </w:r>
      <w:r w:rsidR="00A16561" w:rsidRPr="007F7EBF">
        <w:rPr>
          <w:sz w:val="22"/>
          <w:szCs w:val="22"/>
        </w:rPr>
        <w:t xml:space="preserve">. </w:t>
      </w:r>
      <w:r w:rsidR="004857E5">
        <w:t>Si tratta del resto dell</w:t>
      </w:r>
      <w:r w:rsidR="004857E5" w:rsidRPr="007F7EBF">
        <w:t xml:space="preserve">'unico modo di </w:t>
      </w:r>
      <w:r w:rsidR="004857E5">
        <w:t>diminuire</w:t>
      </w:r>
      <w:r w:rsidR="004857E5" w:rsidRPr="007F7EBF">
        <w:t xml:space="preserve"> </w:t>
      </w:r>
      <w:r w:rsidR="004857E5">
        <w:t xml:space="preserve">l’imposta, </w:t>
      </w:r>
      <w:r w:rsidR="004857E5">
        <w:rPr>
          <w:sz w:val="22"/>
          <w:szCs w:val="22"/>
        </w:rPr>
        <w:t>senza</w:t>
      </w:r>
      <w:r w:rsidR="004857E5" w:rsidRPr="007F7EBF">
        <w:rPr>
          <w:sz w:val="22"/>
          <w:szCs w:val="22"/>
        </w:rPr>
        <w:t xml:space="preserve"> contesta</w:t>
      </w:r>
      <w:r w:rsidR="004857E5">
        <w:rPr>
          <w:sz w:val="22"/>
          <w:szCs w:val="22"/>
        </w:rPr>
        <w:t xml:space="preserve">rla in sé, rispettando </w:t>
      </w:r>
      <w:r w:rsidR="004857E5" w:rsidRPr="007F7EBF">
        <w:rPr>
          <w:sz w:val="22"/>
          <w:szCs w:val="22"/>
        </w:rPr>
        <w:t xml:space="preserve">l'autorità </w:t>
      </w:r>
      <w:r w:rsidR="004857E5" w:rsidRPr="007F7EBF">
        <w:rPr>
          <w:sz w:val="22"/>
          <w:szCs w:val="22"/>
        </w:rPr>
        <w:lastRenderedPageBreak/>
        <w:t>politic</w:t>
      </w:r>
      <w:r w:rsidR="004857E5">
        <w:rPr>
          <w:sz w:val="22"/>
          <w:szCs w:val="22"/>
        </w:rPr>
        <w:t>o-giuridic</w:t>
      </w:r>
      <w:r w:rsidR="004857E5" w:rsidRPr="007F7EBF">
        <w:rPr>
          <w:sz w:val="22"/>
          <w:szCs w:val="22"/>
        </w:rPr>
        <w:t>a che l</w:t>
      </w:r>
      <w:r w:rsidR="004857E5">
        <w:rPr>
          <w:sz w:val="22"/>
          <w:szCs w:val="22"/>
        </w:rPr>
        <w:t>’</w:t>
      </w:r>
      <w:r w:rsidR="004857E5" w:rsidRPr="007F7EBF">
        <w:rPr>
          <w:sz w:val="22"/>
          <w:szCs w:val="22"/>
        </w:rPr>
        <w:t>imponeva</w:t>
      </w:r>
      <w:r w:rsidR="004857E5">
        <w:rPr>
          <w:sz w:val="22"/>
          <w:szCs w:val="22"/>
        </w:rPr>
        <w:t xml:space="preserve">. </w:t>
      </w:r>
      <w:r w:rsidR="00D57F89">
        <w:t xml:space="preserve">Ritroviamo la dialettica “imponibile-imposta” di cui al par.1.9, dove si valuta il primo pensando alla seconda; sull’imposta non si possono chiedere  </w:t>
      </w:r>
      <w:r w:rsidR="00D57F89" w:rsidRPr="007F7EBF">
        <w:t>scont</w:t>
      </w:r>
      <w:r w:rsidR="00D57F89">
        <w:t>i, indirettamente perseguito con</w:t>
      </w:r>
      <w:r w:rsidR="00D57F89" w:rsidRPr="007F7EBF">
        <w:t xml:space="preserve"> una determinazione </w:t>
      </w:r>
      <w:r w:rsidR="00D57F89">
        <w:t xml:space="preserve">più bassa dell’imponibile; tutto questo da quando </w:t>
      </w:r>
      <w:r w:rsidR="00D57F89" w:rsidRPr="007F7EBF">
        <w:t xml:space="preserve">i tributi venivano prelevati in natura, come quota dei raccolti, </w:t>
      </w:r>
      <w:r w:rsidR="00D57F89">
        <w:t xml:space="preserve">e </w:t>
      </w:r>
      <w:r w:rsidR="00D57F89" w:rsidRPr="007F7EBF">
        <w:t xml:space="preserve">i contribuenti </w:t>
      </w:r>
      <w:r w:rsidR="00D57F89">
        <w:t xml:space="preserve">ne </w:t>
      </w:r>
      <w:r w:rsidR="00D57F89" w:rsidRPr="007F7EBF">
        <w:t xml:space="preserve">lamentavano </w:t>
      </w:r>
      <w:r w:rsidR="00D57F89">
        <w:t>il cattivo andamento</w:t>
      </w:r>
      <w:r w:rsidR="00D57F89" w:rsidRPr="007F7EBF">
        <w:t>.</w:t>
      </w:r>
    </w:p>
    <w:p w14:paraId="20A8ACAF" w14:textId="5A4C233A" w:rsidR="009B73CE" w:rsidRPr="007F7EBF" w:rsidRDefault="009B73CE" w:rsidP="00FA756A">
      <w:pPr>
        <w:pStyle w:val="tit23"/>
        <w:ind w:left="6464" w:right="-1361" w:firstLine="0"/>
        <w:jc w:val="left"/>
        <w:rPr>
          <w:b/>
          <w:bCs/>
          <w:i/>
          <w:iCs/>
          <w:color w:val="0000FF"/>
          <w:lang w:val="it-IT"/>
        </w:rPr>
      </w:pPr>
      <w:r w:rsidRPr="007F7EBF">
        <w:rPr>
          <w:b/>
          <w:bCs/>
          <w:i/>
          <w:iCs/>
          <w:color w:val="0000FF"/>
          <w:lang w:val="it-IT"/>
        </w:rPr>
        <w:t xml:space="preserve">Necessità </w:t>
      </w:r>
      <w:r w:rsidR="00C01615">
        <w:rPr>
          <w:b/>
          <w:bCs/>
          <w:i/>
          <w:iCs/>
          <w:color w:val="0000FF"/>
          <w:lang w:val="it-IT"/>
        </w:rPr>
        <w:t xml:space="preserve">politica di gestirle </w:t>
      </w:r>
    </w:p>
    <w:p w14:paraId="01F56F20" w14:textId="2C8ADFFE" w:rsidR="00DD1822" w:rsidRPr="007F7EBF" w:rsidRDefault="00C01615" w:rsidP="00DD1822">
      <w:pPr>
        <w:autoSpaceDE w:val="0"/>
        <w:autoSpaceDN w:val="0"/>
        <w:adjustRightInd w:val="0"/>
        <w:rPr>
          <w:sz w:val="22"/>
          <w:szCs w:val="22"/>
        </w:rPr>
      </w:pPr>
      <w:r>
        <w:rPr>
          <w:sz w:val="22"/>
          <w:szCs w:val="22"/>
        </w:rPr>
        <w:t xml:space="preserve">Lamentare </w:t>
      </w:r>
      <w:r w:rsidR="004D7D01">
        <w:rPr>
          <w:sz w:val="22"/>
          <w:szCs w:val="22"/>
        </w:rPr>
        <w:t>l’eccessività dell’</w:t>
      </w:r>
      <w:r>
        <w:rPr>
          <w:sz w:val="22"/>
          <w:szCs w:val="22"/>
        </w:rPr>
        <w:t>imponibile</w:t>
      </w:r>
      <w:r w:rsidR="004D7D01">
        <w:rPr>
          <w:sz w:val="22"/>
          <w:szCs w:val="22"/>
        </w:rPr>
        <w:t xml:space="preserve"> stimato era una rimostranza che </w:t>
      </w:r>
      <w:r>
        <w:rPr>
          <w:sz w:val="22"/>
          <w:szCs w:val="22"/>
        </w:rPr>
        <w:t>l</w:t>
      </w:r>
      <w:r w:rsidRPr="007F7EBF">
        <w:rPr>
          <w:sz w:val="22"/>
          <w:szCs w:val="22"/>
        </w:rPr>
        <w:t>'autorità politica, anche in regimi di dittatura, non ha mai potuto ignorare</w:t>
      </w:r>
      <w:r>
        <w:rPr>
          <w:sz w:val="22"/>
          <w:szCs w:val="22"/>
        </w:rPr>
        <w:t xml:space="preserve">; </w:t>
      </w:r>
      <w:r w:rsidR="004D7D01">
        <w:rPr>
          <w:sz w:val="22"/>
          <w:szCs w:val="22"/>
        </w:rPr>
        <w:t>protestavano infatt</w:t>
      </w:r>
      <w:r>
        <w:rPr>
          <w:sz w:val="22"/>
          <w:szCs w:val="22"/>
        </w:rPr>
        <w:t xml:space="preserve">i </w:t>
      </w:r>
      <w:r w:rsidRPr="007F7EBF">
        <w:rPr>
          <w:sz w:val="22"/>
          <w:szCs w:val="22"/>
        </w:rPr>
        <w:t xml:space="preserve">ceti attivi, produttori di ricchezza, </w:t>
      </w:r>
      <w:r>
        <w:rPr>
          <w:sz w:val="22"/>
          <w:szCs w:val="22"/>
        </w:rPr>
        <w:t xml:space="preserve">rispettosi, almeno formalmente, dell’autorità politica ed </w:t>
      </w:r>
      <w:r w:rsidRPr="007F7EBF">
        <w:rPr>
          <w:sz w:val="22"/>
          <w:szCs w:val="22"/>
        </w:rPr>
        <w:t>importanti per il consenso sociale</w:t>
      </w:r>
      <w:r>
        <w:rPr>
          <w:sz w:val="22"/>
          <w:szCs w:val="22"/>
        </w:rPr>
        <w:t>(</w:t>
      </w:r>
      <w:r w:rsidRPr="007F7EBF">
        <w:rPr>
          <w:rStyle w:val="Rimandonotaapidipagina"/>
          <w:sz w:val="22"/>
          <w:szCs w:val="22"/>
        </w:rPr>
        <w:footnoteReference w:id="764"/>
      </w:r>
      <w:r>
        <w:rPr>
          <w:sz w:val="22"/>
          <w:szCs w:val="22"/>
        </w:rPr>
        <w:t>)</w:t>
      </w:r>
      <w:r w:rsidRPr="007F7EBF">
        <w:rPr>
          <w:sz w:val="22"/>
          <w:szCs w:val="22"/>
        </w:rPr>
        <w:t xml:space="preserve">. </w:t>
      </w:r>
      <w:r w:rsidR="004D7D01">
        <w:rPr>
          <w:sz w:val="22"/>
          <w:szCs w:val="22"/>
        </w:rPr>
        <w:t xml:space="preserve">Alle lamentele su un’eccessiva determinazione degli imponibili </w:t>
      </w:r>
      <w:r w:rsidR="003D4409">
        <w:rPr>
          <w:sz w:val="22"/>
          <w:szCs w:val="22"/>
        </w:rPr>
        <w:t xml:space="preserve">occorreva quindi </w:t>
      </w:r>
      <w:r w:rsidR="00D41402" w:rsidRPr="007F7EBF">
        <w:rPr>
          <w:sz w:val="22"/>
          <w:szCs w:val="22"/>
        </w:rPr>
        <w:t>"dare attenzione"</w:t>
      </w:r>
      <w:r w:rsidR="00A241AF">
        <w:rPr>
          <w:sz w:val="22"/>
          <w:szCs w:val="22"/>
        </w:rPr>
        <w:t>, distinguendo</w:t>
      </w:r>
      <w:r w:rsidR="00D41402" w:rsidRPr="007F7EBF">
        <w:rPr>
          <w:sz w:val="22"/>
          <w:szCs w:val="22"/>
        </w:rPr>
        <w:t xml:space="preserve"> in quale misura fossero genuine</w:t>
      </w:r>
      <w:r w:rsidR="00A241AF">
        <w:rPr>
          <w:sz w:val="22"/>
          <w:szCs w:val="22"/>
        </w:rPr>
        <w:t xml:space="preserve"> ovvero </w:t>
      </w:r>
      <w:r w:rsidR="00D41402" w:rsidRPr="007F7EBF">
        <w:rPr>
          <w:sz w:val="22"/>
          <w:szCs w:val="22"/>
        </w:rPr>
        <w:t>opportunistico-strumentali</w:t>
      </w:r>
      <w:r w:rsidR="0006606E" w:rsidRPr="007F7EBF">
        <w:rPr>
          <w:sz w:val="22"/>
          <w:szCs w:val="22"/>
        </w:rPr>
        <w:t xml:space="preserve">. </w:t>
      </w:r>
      <w:r w:rsidR="006760EA">
        <w:rPr>
          <w:sz w:val="22"/>
          <w:szCs w:val="22"/>
        </w:rPr>
        <w:t xml:space="preserve">In queste fasi sociali meno evolute, la </w:t>
      </w:r>
      <w:r w:rsidR="00D57F89">
        <w:rPr>
          <w:sz w:val="22"/>
          <w:szCs w:val="22"/>
        </w:rPr>
        <w:t>via</w:t>
      </w:r>
      <w:r w:rsidR="006760EA">
        <w:rPr>
          <w:sz w:val="22"/>
          <w:szCs w:val="22"/>
        </w:rPr>
        <w:t xml:space="preserve"> </w:t>
      </w:r>
      <w:r w:rsidR="00D57F89">
        <w:rPr>
          <w:sz w:val="22"/>
          <w:szCs w:val="22"/>
        </w:rPr>
        <w:t xml:space="preserve">gerarchico-politica, istituzionalizzata nel contenzioso amministrativo, </w:t>
      </w:r>
      <w:r w:rsidR="006760EA">
        <w:rPr>
          <w:sz w:val="22"/>
          <w:szCs w:val="22"/>
        </w:rPr>
        <w:t>era l’unico modo per gestire</w:t>
      </w:r>
      <w:r w:rsidR="00D57F89">
        <w:rPr>
          <w:sz w:val="22"/>
          <w:szCs w:val="22"/>
        </w:rPr>
        <w:t xml:space="preserve"> queste rimostranze, come indicato </w:t>
      </w:r>
      <w:r w:rsidR="00D57F89" w:rsidRPr="00D57F89">
        <w:rPr>
          <w:sz w:val="22"/>
          <w:szCs w:val="22"/>
        </w:rPr>
        <w:t>al par.6.7</w:t>
      </w:r>
      <w:r w:rsidR="00D57F89">
        <w:rPr>
          <w:sz w:val="22"/>
          <w:szCs w:val="22"/>
        </w:rPr>
        <w:t xml:space="preserve">; questa modalità si è evoluta, </w:t>
      </w:r>
      <w:r w:rsidR="00D57F89" w:rsidRPr="00D57F89">
        <w:rPr>
          <w:sz w:val="22"/>
          <w:szCs w:val="22"/>
        </w:rPr>
        <w:t>nei paesi più garantisti e raffinati</w:t>
      </w:r>
      <w:r w:rsidR="00D57F89">
        <w:rPr>
          <w:sz w:val="22"/>
          <w:szCs w:val="22"/>
        </w:rPr>
        <w:t>, in giurisdizione amministrativa</w:t>
      </w:r>
      <w:r w:rsidR="00D57F89" w:rsidRPr="00D57F89">
        <w:rPr>
          <w:sz w:val="22"/>
          <w:szCs w:val="22"/>
        </w:rPr>
        <w:t xml:space="preserve"> indipendente</w:t>
      </w:r>
      <w:r w:rsidR="00D57F89">
        <w:rPr>
          <w:sz w:val="22"/>
          <w:szCs w:val="22"/>
        </w:rPr>
        <w:t xml:space="preserve">. Ciò in quanto il contenzioso amministrativo, gerarchico-politico, pur vicino alle questioni da trattare, </w:t>
      </w:r>
      <w:r w:rsidR="00D57F89" w:rsidRPr="00D57F89">
        <w:rPr>
          <w:sz w:val="22"/>
          <w:szCs w:val="22"/>
        </w:rPr>
        <w:t xml:space="preserve"> </w:t>
      </w:r>
      <w:r w:rsidR="00D57F89">
        <w:rPr>
          <w:sz w:val="22"/>
          <w:szCs w:val="22"/>
        </w:rPr>
        <w:t xml:space="preserve">può </w:t>
      </w:r>
      <w:r w:rsidR="00D57F89" w:rsidRPr="00D57F89">
        <w:rPr>
          <w:sz w:val="22"/>
          <w:szCs w:val="22"/>
        </w:rPr>
        <w:t>tende</w:t>
      </w:r>
      <w:r w:rsidR="00D57F89">
        <w:rPr>
          <w:sz w:val="22"/>
          <w:szCs w:val="22"/>
        </w:rPr>
        <w:t xml:space="preserve">re </w:t>
      </w:r>
      <w:r w:rsidR="00D57F89" w:rsidRPr="00D57F89">
        <w:rPr>
          <w:sz w:val="22"/>
          <w:szCs w:val="22"/>
        </w:rPr>
        <w:t xml:space="preserve">a coprire i propri incaricati fiduciari. </w:t>
      </w:r>
      <w:r w:rsidR="00A67B63">
        <w:rPr>
          <w:sz w:val="22"/>
          <w:szCs w:val="22"/>
        </w:rPr>
        <w:t xml:space="preserve">Vedremo ai parr.6.7-6.10 gli inconvenienti della via amministrativa e di quella giurisdizionale, nonché i modi per combinarle, tenendo conto che </w:t>
      </w:r>
      <w:r w:rsidR="00D57F89" w:rsidRPr="00D57F89">
        <w:rPr>
          <w:sz w:val="22"/>
          <w:szCs w:val="22"/>
        </w:rPr>
        <w:t>non si può amministrare  né per legge né per sentenza.</w:t>
      </w:r>
      <w:r w:rsidR="006760EA">
        <w:rPr>
          <w:sz w:val="22"/>
          <w:szCs w:val="22"/>
        </w:rPr>
        <w:t xml:space="preserve"> </w:t>
      </w:r>
      <w:r w:rsidR="006760EA" w:rsidRPr="007F7EBF">
        <w:rPr>
          <w:sz w:val="22"/>
          <w:szCs w:val="22"/>
        </w:rPr>
        <w:t>.</w:t>
      </w:r>
      <w:r w:rsidR="006760EA">
        <w:rPr>
          <w:sz w:val="22"/>
          <w:szCs w:val="22"/>
        </w:rPr>
        <w:t xml:space="preserve"> </w:t>
      </w:r>
    </w:p>
    <w:p w14:paraId="16350966" w14:textId="60EC754C" w:rsidR="00DD1822" w:rsidRPr="007F7EBF" w:rsidRDefault="00C01615" w:rsidP="00DD1822">
      <w:pPr>
        <w:pStyle w:val="tit23"/>
        <w:ind w:left="6464" w:right="-1361" w:firstLine="0"/>
        <w:jc w:val="left"/>
        <w:rPr>
          <w:bCs/>
          <w:i/>
          <w:iCs/>
          <w:color w:val="0000FF"/>
          <w:lang w:val="it-IT"/>
        </w:rPr>
      </w:pPr>
      <w:r>
        <w:rPr>
          <w:bCs/>
          <w:i/>
          <w:iCs/>
          <w:color w:val="0000FF"/>
          <w:lang w:val="it-IT"/>
        </w:rPr>
        <w:t>Re</w:t>
      </w:r>
      <w:r w:rsidR="004D7D01">
        <w:rPr>
          <w:bCs/>
          <w:i/>
          <w:iCs/>
          <w:color w:val="0000FF"/>
          <w:lang w:val="it-IT"/>
        </w:rPr>
        <w:t>c</w:t>
      </w:r>
      <w:r>
        <w:rPr>
          <w:bCs/>
          <w:i/>
          <w:iCs/>
          <w:color w:val="0000FF"/>
          <w:lang w:val="it-IT"/>
        </w:rPr>
        <w:t>lamo politico-gerarchico</w:t>
      </w:r>
      <w:r w:rsidR="00DD1822" w:rsidRPr="007F7EBF">
        <w:rPr>
          <w:bCs/>
          <w:i/>
          <w:iCs/>
          <w:color w:val="0000FF"/>
          <w:lang w:val="it-IT"/>
        </w:rPr>
        <w:t xml:space="preserve"> </w:t>
      </w:r>
    </w:p>
    <w:p w14:paraId="6D3573E2" w14:textId="77777777" w:rsidR="006760EA" w:rsidRPr="007F7EBF" w:rsidRDefault="006760EA" w:rsidP="006760EA">
      <w:pPr>
        <w:autoSpaceDE w:val="0"/>
        <w:autoSpaceDN w:val="0"/>
        <w:adjustRightInd w:val="0"/>
        <w:rPr>
          <w:bCs/>
          <w:sz w:val="22"/>
          <w:szCs w:val="22"/>
        </w:rPr>
      </w:pPr>
      <w:r>
        <w:rPr>
          <w:sz w:val="22"/>
          <w:szCs w:val="22"/>
        </w:rPr>
        <w:t>Le rimostranze insomma andavano gestite socialmente, nell’interesse alla coesione del gruppo, per non innescare al suo interno disaffezione, resistenza passiva o rivolta, contro il tributo e la politica che l’imponeva</w:t>
      </w:r>
      <w:r w:rsidRPr="007F7EBF">
        <w:rPr>
          <w:sz w:val="22"/>
          <w:szCs w:val="22"/>
        </w:rPr>
        <w:t xml:space="preserve">. </w:t>
      </w:r>
      <w:r>
        <w:rPr>
          <w:sz w:val="22"/>
          <w:szCs w:val="22"/>
        </w:rPr>
        <w:lastRenderedPageBreak/>
        <w:t xml:space="preserve">Il modo più a portata di mano per farlo era </w:t>
      </w:r>
      <w:r w:rsidR="00C01615" w:rsidRPr="007F7EBF">
        <w:rPr>
          <w:sz w:val="22"/>
          <w:szCs w:val="22"/>
        </w:rPr>
        <w:t>gerarchico-politic</w:t>
      </w:r>
      <w:r>
        <w:rPr>
          <w:sz w:val="22"/>
          <w:szCs w:val="22"/>
        </w:rPr>
        <w:t>o</w:t>
      </w:r>
      <w:r w:rsidR="00C268C5">
        <w:rPr>
          <w:sz w:val="22"/>
          <w:szCs w:val="22"/>
        </w:rPr>
        <w:t xml:space="preserve"> (</w:t>
      </w:r>
      <w:r w:rsidR="00C268C5" w:rsidRPr="007F7EBF">
        <w:rPr>
          <w:rStyle w:val="Rimandonotaapidipagina"/>
          <w:sz w:val="22"/>
          <w:szCs w:val="22"/>
        </w:rPr>
        <w:footnoteReference w:id="765"/>
      </w:r>
      <w:r w:rsidR="00C268C5">
        <w:rPr>
          <w:sz w:val="22"/>
          <w:szCs w:val="22"/>
        </w:rPr>
        <w:t>)</w:t>
      </w:r>
      <w:r w:rsidR="00C01615" w:rsidRPr="007F7EBF">
        <w:rPr>
          <w:sz w:val="22"/>
          <w:szCs w:val="22"/>
        </w:rPr>
        <w:t>, all'interno della stessa autorità amministrativa</w:t>
      </w:r>
      <w:r>
        <w:rPr>
          <w:sz w:val="22"/>
          <w:szCs w:val="22"/>
        </w:rPr>
        <w:t>, o verso la politica, rispetto al</w:t>
      </w:r>
      <w:r w:rsidR="00C01615" w:rsidRPr="007F7EBF">
        <w:rPr>
          <w:sz w:val="22"/>
          <w:szCs w:val="22"/>
        </w:rPr>
        <w:t xml:space="preserve">le pretese disfunzioni </w:t>
      </w:r>
      <w:r>
        <w:rPr>
          <w:sz w:val="22"/>
          <w:szCs w:val="22"/>
        </w:rPr>
        <w:t>imputate</w:t>
      </w:r>
      <w:r w:rsidR="00C01615" w:rsidRPr="007F7EBF">
        <w:rPr>
          <w:sz w:val="22"/>
          <w:szCs w:val="22"/>
        </w:rPr>
        <w:t xml:space="preserve"> a funzionari negligenti, o prepotenti</w:t>
      </w:r>
      <w:r w:rsidR="00C01615">
        <w:rPr>
          <w:sz w:val="22"/>
          <w:szCs w:val="22"/>
        </w:rPr>
        <w:t>(</w:t>
      </w:r>
      <w:r w:rsidR="00C01615" w:rsidRPr="007F7EBF">
        <w:rPr>
          <w:rStyle w:val="Rimandonotaapidipagina"/>
          <w:sz w:val="22"/>
          <w:szCs w:val="22"/>
        </w:rPr>
        <w:footnoteReference w:id="766"/>
      </w:r>
      <w:r w:rsidR="00C01615">
        <w:rPr>
          <w:sz w:val="22"/>
          <w:szCs w:val="22"/>
        </w:rPr>
        <w:t>)</w:t>
      </w:r>
      <w:r w:rsidR="00C01615" w:rsidRPr="007F7EBF">
        <w:rPr>
          <w:sz w:val="22"/>
          <w:szCs w:val="22"/>
        </w:rPr>
        <w:t xml:space="preserve">. </w:t>
      </w:r>
      <w:r w:rsidR="00C01615">
        <w:rPr>
          <w:sz w:val="22"/>
          <w:szCs w:val="22"/>
        </w:rPr>
        <w:t>Molti reclami per la voracità o la corruzione dei funzionari fiscali erano indirizzati al vertice politico; quest’ultimo, n</w:t>
      </w:r>
      <w:r w:rsidR="00C01615" w:rsidRPr="007F7EBF">
        <w:rPr>
          <w:sz w:val="22"/>
          <w:szCs w:val="22"/>
        </w:rPr>
        <w:t xml:space="preserve">on avendo tempo per approfondire simili questioni in prima persona, le affidava alla catena gerarchica, </w:t>
      </w:r>
      <w:r w:rsidR="00C01615">
        <w:rPr>
          <w:sz w:val="22"/>
          <w:szCs w:val="22"/>
        </w:rPr>
        <w:t xml:space="preserve">con la frequente creazione di specifici </w:t>
      </w:r>
      <w:r w:rsidR="00C01615" w:rsidRPr="007F7EBF">
        <w:rPr>
          <w:sz w:val="22"/>
          <w:szCs w:val="22"/>
        </w:rPr>
        <w:t xml:space="preserve">organi </w:t>
      </w:r>
      <w:r w:rsidR="003F26B1">
        <w:rPr>
          <w:sz w:val="22"/>
          <w:szCs w:val="22"/>
        </w:rPr>
        <w:t xml:space="preserve">di riesame </w:t>
      </w:r>
      <w:r w:rsidR="00C01615" w:rsidRPr="007F7EBF">
        <w:rPr>
          <w:sz w:val="22"/>
          <w:szCs w:val="22"/>
        </w:rPr>
        <w:t>contenzios</w:t>
      </w:r>
      <w:r w:rsidR="003F26B1">
        <w:rPr>
          <w:sz w:val="22"/>
          <w:szCs w:val="22"/>
        </w:rPr>
        <w:t>o</w:t>
      </w:r>
      <w:r w:rsidR="00C01615" w:rsidRPr="007F7EBF">
        <w:rPr>
          <w:sz w:val="22"/>
          <w:szCs w:val="22"/>
        </w:rPr>
        <w:t xml:space="preserve">. </w:t>
      </w:r>
    </w:p>
    <w:p w14:paraId="36AB96FE" w14:textId="30CEC5FF" w:rsidR="006760EA" w:rsidRPr="007F7EBF" w:rsidRDefault="006760EA" w:rsidP="006760EA">
      <w:pPr>
        <w:pStyle w:val="tit23"/>
        <w:ind w:left="6464" w:right="-1361" w:firstLine="0"/>
        <w:jc w:val="left"/>
        <w:rPr>
          <w:bCs/>
          <w:i/>
          <w:iCs/>
          <w:color w:val="0000FF"/>
          <w:lang w:val="it-IT"/>
        </w:rPr>
      </w:pPr>
      <w:r>
        <w:rPr>
          <w:bCs/>
          <w:i/>
          <w:iCs/>
          <w:color w:val="0000FF"/>
          <w:lang w:val="it-IT"/>
        </w:rPr>
        <w:t xml:space="preserve">Funzioni di riesame e  giurisdizionale-procedurale </w:t>
      </w:r>
    </w:p>
    <w:p w14:paraId="6CA6116D" w14:textId="1281BB0E" w:rsidR="00DD1822" w:rsidRPr="007F7EBF" w:rsidRDefault="00C268C5" w:rsidP="006760EA">
      <w:pPr>
        <w:autoSpaceDE w:val="0"/>
        <w:autoSpaceDN w:val="0"/>
        <w:adjustRightInd w:val="0"/>
        <w:rPr>
          <w:bCs/>
          <w:i/>
          <w:iCs/>
          <w:color w:val="0000FF"/>
        </w:rPr>
      </w:pPr>
      <w:proofErr w:type="spellStart"/>
      <w:r>
        <w:rPr>
          <w:sz w:val="22"/>
          <w:szCs w:val="22"/>
        </w:rPr>
        <w:t>B</w:t>
      </w:r>
      <w:r w:rsidRPr="007F7EBF">
        <w:rPr>
          <w:sz w:val="22"/>
          <w:szCs w:val="22"/>
        </w:rPr>
        <w:t>enchè</w:t>
      </w:r>
      <w:proofErr w:type="spellEnd"/>
      <w:r w:rsidRPr="007F7EBF">
        <w:rPr>
          <w:sz w:val="22"/>
          <w:szCs w:val="22"/>
        </w:rPr>
        <w:t xml:space="preserve"> </w:t>
      </w:r>
      <w:r>
        <w:rPr>
          <w:sz w:val="22"/>
          <w:szCs w:val="22"/>
        </w:rPr>
        <w:t>si trattasse di una funzione procedurale (</w:t>
      </w:r>
      <w:r>
        <w:rPr>
          <w:rStyle w:val="Rimandonotaapidipagina"/>
          <w:sz w:val="22"/>
          <w:szCs w:val="22"/>
        </w:rPr>
        <w:footnoteReference w:id="767"/>
      </w:r>
      <w:r>
        <w:rPr>
          <w:sz w:val="22"/>
          <w:szCs w:val="22"/>
        </w:rPr>
        <w:t xml:space="preserve">) “di riesame”, non giurisdizionale, </w:t>
      </w:r>
      <w:r w:rsidR="006760EA">
        <w:rPr>
          <w:sz w:val="22"/>
          <w:szCs w:val="22"/>
        </w:rPr>
        <w:t>senza</w:t>
      </w:r>
      <w:r>
        <w:rPr>
          <w:sz w:val="22"/>
          <w:szCs w:val="22"/>
        </w:rPr>
        <w:t xml:space="preserve"> giudici indipendenti,  essa dava soddisfazione ai contribuenti, se sufficientemente imparziale nell’insieme</w:t>
      </w:r>
      <w:r>
        <w:rPr>
          <w:bCs/>
          <w:sz w:val="22"/>
          <w:szCs w:val="22"/>
        </w:rPr>
        <w:t>; se svolto in modo autorevole</w:t>
      </w:r>
      <w:r w:rsidRPr="007F7EBF">
        <w:rPr>
          <w:bCs/>
          <w:sz w:val="22"/>
          <w:szCs w:val="22"/>
        </w:rPr>
        <w:t xml:space="preserve"> e imparziale</w:t>
      </w:r>
      <w:r>
        <w:rPr>
          <w:bCs/>
          <w:sz w:val="22"/>
          <w:szCs w:val="22"/>
        </w:rPr>
        <w:t xml:space="preserve"> anche un riesame </w:t>
      </w:r>
      <w:r w:rsidR="00A67B63">
        <w:rPr>
          <w:bCs/>
          <w:sz w:val="22"/>
          <w:szCs w:val="22"/>
        </w:rPr>
        <w:t xml:space="preserve">siffatto </w:t>
      </w:r>
      <w:r w:rsidRPr="007F7EBF">
        <w:rPr>
          <w:bCs/>
          <w:sz w:val="22"/>
          <w:szCs w:val="22"/>
        </w:rPr>
        <w:t>soddisfa</w:t>
      </w:r>
      <w:r w:rsidR="00A67B63">
        <w:rPr>
          <w:bCs/>
          <w:sz w:val="22"/>
          <w:szCs w:val="22"/>
        </w:rPr>
        <w:t>ceva</w:t>
      </w:r>
      <w:r w:rsidRPr="007F7EBF">
        <w:rPr>
          <w:sz w:val="22"/>
          <w:szCs w:val="22"/>
        </w:rPr>
        <w:t xml:space="preserve"> chi </w:t>
      </w:r>
      <w:r>
        <w:rPr>
          <w:sz w:val="22"/>
          <w:szCs w:val="22"/>
        </w:rPr>
        <w:t xml:space="preserve">si </w:t>
      </w:r>
      <w:r w:rsidRPr="007F7EBF">
        <w:rPr>
          <w:sz w:val="22"/>
          <w:szCs w:val="22"/>
        </w:rPr>
        <w:t>riteneva</w:t>
      </w:r>
      <w:r>
        <w:rPr>
          <w:sz w:val="22"/>
          <w:szCs w:val="22"/>
        </w:rPr>
        <w:t xml:space="preserve"> </w:t>
      </w:r>
      <w:r w:rsidRPr="007F7EBF">
        <w:rPr>
          <w:sz w:val="22"/>
          <w:szCs w:val="22"/>
        </w:rPr>
        <w:t xml:space="preserve">discriminato da richieste </w:t>
      </w:r>
      <w:r>
        <w:rPr>
          <w:sz w:val="22"/>
          <w:szCs w:val="22"/>
        </w:rPr>
        <w:t>sperequate</w:t>
      </w:r>
      <w:r w:rsidRPr="007F7EBF">
        <w:rPr>
          <w:sz w:val="22"/>
          <w:szCs w:val="22"/>
        </w:rPr>
        <w:t xml:space="preserve"> di tributi, rispetto ad altri </w:t>
      </w:r>
      <w:r>
        <w:rPr>
          <w:sz w:val="22"/>
          <w:szCs w:val="22"/>
        </w:rPr>
        <w:t xml:space="preserve">contribuenti </w:t>
      </w:r>
      <w:r w:rsidRPr="007F7EBF">
        <w:rPr>
          <w:sz w:val="22"/>
          <w:szCs w:val="22"/>
        </w:rPr>
        <w:t>in condizioni analoghe.</w:t>
      </w:r>
      <w:r>
        <w:rPr>
          <w:bCs/>
          <w:i/>
          <w:iCs/>
          <w:color w:val="0000FF"/>
        </w:rPr>
        <w:t xml:space="preserve"> </w:t>
      </w:r>
    </w:p>
    <w:p w14:paraId="0652DBC5" w14:textId="347B3083" w:rsidR="00C01615" w:rsidRPr="007F7EBF" w:rsidRDefault="00653FA2" w:rsidP="00C01615">
      <w:pPr>
        <w:autoSpaceDE w:val="0"/>
        <w:autoSpaceDN w:val="0"/>
        <w:adjustRightInd w:val="0"/>
        <w:rPr>
          <w:sz w:val="22"/>
          <w:szCs w:val="22"/>
        </w:rPr>
      </w:pPr>
      <w:r>
        <w:rPr>
          <w:bCs/>
          <w:sz w:val="22"/>
          <w:szCs w:val="22"/>
        </w:rPr>
        <w:t>Solo ne</w:t>
      </w:r>
      <w:r w:rsidR="00C268C5">
        <w:rPr>
          <w:bCs/>
          <w:sz w:val="22"/>
          <w:szCs w:val="22"/>
        </w:rPr>
        <w:t xml:space="preserve">lle </w:t>
      </w:r>
      <w:r w:rsidR="003F26B1">
        <w:rPr>
          <w:bCs/>
          <w:sz w:val="22"/>
          <w:szCs w:val="22"/>
        </w:rPr>
        <w:t xml:space="preserve">democrazie pluraliste è </w:t>
      </w:r>
      <w:r w:rsidR="005454A7">
        <w:rPr>
          <w:bCs/>
          <w:sz w:val="22"/>
          <w:szCs w:val="22"/>
        </w:rPr>
        <w:t>del resto</w:t>
      </w:r>
      <w:r w:rsidR="00C268C5">
        <w:rPr>
          <w:bCs/>
          <w:sz w:val="22"/>
          <w:szCs w:val="22"/>
        </w:rPr>
        <w:t xml:space="preserve"> </w:t>
      </w:r>
      <w:r w:rsidR="003F26B1">
        <w:rPr>
          <w:bCs/>
          <w:sz w:val="22"/>
          <w:szCs w:val="22"/>
        </w:rPr>
        <w:t>concepibile un</w:t>
      </w:r>
      <w:r w:rsidR="005454A7">
        <w:rPr>
          <w:bCs/>
          <w:sz w:val="22"/>
          <w:szCs w:val="22"/>
        </w:rPr>
        <w:t xml:space="preserve"> controllo</w:t>
      </w:r>
      <w:r w:rsidR="003F26B1">
        <w:rPr>
          <w:bCs/>
          <w:sz w:val="22"/>
          <w:szCs w:val="22"/>
        </w:rPr>
        <w:t xml:space="preserve"> giurisdizionale </w:t>
      </w:r>
      <w:r w:rsidR="005454A7">
        <w:rPr>
          <w:bCs/>
          <w:sz w:val="22"/>
          <w:szCs w:val="22"/>
        </w:rPr>
        <w:t xml:space="preserve">indipendente del </w:t>
      </w:r>
      <w:r w:rsidR="003F26B1">
        <w:rPr>
          <w:bCs/>
          <w:sz w:val="22"/>
          <w:szCs w:val="22"/>
        </w:rPr>
        <w:t>corretto esercizio d</w:t>
      </w:r>
      <w:r>
        <w:rPr>
          <w:bCs/>
          <w:sz w:val="22"/>
          <w:szCs w:val="22"/>
        </w:rPr>
        <w:t>elle</w:t>
      </w:r>
      <w:r w:rsidR="003F26B1">
        <w:rPr>
          <w:bCs/>
          <w:sz w:val="22"/>
          <w:szCs w:val="22"/>
        </w:rPr>
        <w:t xml:space="preserve"> funzioni pubbliche</w:t>
      </w:r>
      <w:r>
        <w:rPr>
          <w:bCs/>
          <w:sz w:val="22"/>
          <w:szCs w:val="22"/>
        </w:rPr>
        <w:t xml:space="preserve"> sostanziali</w:t>
      </w:r>
      <w:r w:rsidR="003F26B1">
        <w:rPr>
          <w:bCs/>
          <w:sz w:val="22"/>
          <w:szCs w:val="22"/>
        </w:rPr>
        <w:t xml:space="preserve"> </w:t>
      </w:r>
      <w:r>
        <w:rPr>
          <w:bCs/>
          <w:sz w:val="22"/>
          <w:szCs w:val="22"/>
        </w:rPr>
        <w:t>non di</w:t>
      </w:r>
      <w:r w:rsidR="003F26B1">
        <w:rPr>
          <w:bCs/>
          <w:sz w:val="22"/>
          <w:szCs w:val="22"/>
        </w:rPr>
        <w:t xml:space="preserve"> giustizia (par.1.3)</w:t>
      </w:r>
      <w:r>
        <w:rPr>
          <w:bCs/>
          <w:sz w:val="22"/>
          <w:szCs w:val="22"/>
        </w:rPr>
        <w:t>; quest’ultima è infatti la funzione pubblica destinata, come detto al par.1.3, al</w:t>
      </w:r>
      <w:r w:rsidR="003F26B1">
        <w:rPr>
          <w:bCs/>
          <w:sz w:val="22"/>
          <w:szCs w:val="22"/>
        </w:rPr>
        <w:t xml:space="preserve">la pacifica risoluzione delle </w:t>
      </w:r>
      <w:r>
        <w:rPr>
          <w:bCs/>
          <w:sz w:val="22"/>
          <w:szCs w:val="22"/>
        </w:rPr>
        <w:t xml:space="preserve">controversie sul diritto dei </w:t>
      </w:r>
      <w:r w:rsidR="003F26B1">
        <w:rPr>
          <w:bCs/>
          <w:sz w:val="22"/>
          <w:szCs w:val="22"/>
        </w:rPr>
        <w:t>privati</w:t>
      </w:r>
      <w:r w:rsidR="00BB031B">
        <w:rPr>
          <w:bCs/>
          <w:sz w:val="22"/>
          <w:szCs w:val="22"/>
        </w:rPr>
        <w:t xml:space="preserve">. </w:t>
      </w:r>
      <w:r w:rsidR="007C3F7B">
        <w:rPr>
          <w:bCs/>
          <w:sz w:val="22"/>
          <w:szCs w:val="22"/>
        </w:rPr>
        <w:t xml:space="preserve">Lo conferma indirettamente quanto vedremo al par.6.7, sul diverso atteggiarsi della </w:t>
      </w:r>
      <w:r w:rsidR="00BB031B">
        <w:rPr>
          <w:bCs/>
          <w:sz w:val="22"/>
          <w:szCs w:val="22"/>
        </w:rPr>
        <w:t>fase giurisdizionale (</w:t>
      </w:r>
      <w:r w:rsidR="00BB031B">
        <w:rPr>
          <w:rStyle w:val="Rimandonotaapidipagina"/>
          <w:bCs/>
          <w:sz w:val="22"/>
          <w:szCs w:val="22"/>
        </w:rPr>
        <w:footnoteReference w:id="768"/>
      </w:r>
      <w:r w:rsidR="00BB031B">
        <w:rPr>
          <w:bCs/>
          <w:sz w:val="22"/>
          <w:szCs w:val="22"/>
        </w:rPr>
        <w:t>)</w:t>
      </w:r>
      <w:r w:rsidR="007C3F7B">
        <w:rPr>
          <w:bCs/>
          <w:sz w:val="22"/>
          <w:szCs w:val="22"/>
        </w:rPr>
        <w:t>, rispetto alla funzione di giustizia</w:t>
      </w:r>
      <w:r w:rsidR="00A67B63">
        <w:rPr>
          <w:bCs/>
          <w:sz w:val="22"/>
          <w:szCs w:val="22"/>
        </w:rPr>
        <w:t xml:space="preserve"> (giustiziale) interna a tutte le</w:t>
      </w:r>
      <w:r w:rsidR="007C3F7B">
        <w:rPr>
          <w:bCs/>
          <w:sz w:val="22"/>
          <w:szCs w:val="22"/>
        </w:rPr>
        <w:t xml:space="preserve"> funzioni </w:t>
      </w:r>
      <w:r w:rsidR="00A67B63">
        <w:rPr>
          <w:bCs/>
          <w:sz w:val="22"/>
          <w:szCs w:val="22"/>
        </w:rPr>
        <w:t>pubbliche</w:t>
      </w:r>
      <w:r w:rsidR="007C3F7B">
        <w:rPr>
          <w:bCs/>
          <w:sz w:val="22"/>
          <w:szCs w:val="22"/>
        </w:rPr>
        <w:t xml:space="preserve"> non giurisdizionali.</w:t>
      </w:r>
    </w:p>
    <w:p w14:paraId="64AD0376" w14:textId="27F5DCC4" w:rsidR="00DD1822" w:rsidRPr="007F7EBF" w:rsidRDefault="006760EA" w:rsidP="00DD1822">
      <w:pPr>
        <w:pStyle w:val="tit23"/>
        <w:ind w:left="6464" w:right="-1361" w:firstLine="0"/>
        <w:jc w:val="left"/>
        <w:rPr>
          <w:bCs/>
          <w:i/>
          <w:iCs/>
          <w:color w:val="0000FF"/>
          <w:lang w:val="it-IT"/>
        </w:rPr>
      </w:pPr>
      <w:r>
        <w:rPr>
          <w:bCs/>
          <w:i/>
          <w:iCs/>
          <w:color w:val="0000FF"/>
          <w:lang w:val="it-IT"/>
        </w:rPr>
        <w:lastRenderedPageBreak/>
        <w:t>Le amministrazioni contenziose</w:t>
      </w:r>
    </w:p>
    <w:p w14:paraId="5C6AA8EC" w14:textId="4B3F341C" w:rsidR="007F645B" w:rsidRPr="007F7EBF" w:rsidRDefault="007C3F7B" w:rsidP="007F645B">
      <w:pPr>
        <w:autoSpaceDE w:val="0"/>
        <w:autoSpaceDN w:val="0"/>
        <w:adjustRightInd w:val="0"/>
        <w:rPr>
          <w:sz w:val="22"/>
          <w:szCs w:val="22"/>
        </w:rPr>
      </w:pPr>
      <w:r>
        <w:rPr>
          <w:sz w:val="22"/>
          <w:szCs w:val="22"/>
        </w:rPr>
        <w:t xml:space="preserve">Le </w:t>
      </w:r>
      <w:r w:rsidRPr="007F7EBF">
        <w:rPr>
          <w:sz w:val="22"/>
          <w:szCs w:val="22"/>
        </w:rPr>
        <w:t>antich</w:t>
      </w:r>
      <w:r>
        <w:rPr>
          <w:sz w:val="22"/>
          <w:szCs w:val="22"/>
        </w:rPr>
        <w:t>e</w:t>
      </w:r>
      <w:r w:rsidRPr="007F7EBF">
        <w:rPr>
          <w:sz w:val="22"/>
          <w:szCs w:val="22"/>
        </w:rPr>
        <w:t xml:space="preserve"> “amministrazion</w:t>
      </w:r>
      <w:r>
        <w:rPr>
          <w:sz w:val="22"/>
          <w:szCs w:val="22"/>
        </w:rPr>
        <w:t>i</w:t>
      </w:r>
      <w:r w:rsidRPr="007F7EBF">
        <w:rPr>
          <w:sz w:val="22"/>
          <w:szCs w:val="22"/>
        </w:rPr>
        <w:t xml:space="preserve"> contenzios</w:t>
      </w:r>
      <w:r>
        <w:rPr>
          <w:sz w:val="22"/>
          <w:szCs w:val="22"/>
        </w:rPr>
        <w:t>e</w:t>
      </w:r>
      <w:r w:rsidRPr="007F7EBF">
        <w:rPr>
          <w:sz w:val="22"/>
          <w:szCs w:val="22"/>
        </w:rPr>
        <w:t>” (par.1.4 all'inizio)</w:t>
      </w:r>
      <w:r>
        <w:rPr>
          <w:sz w:val="22"/>
          <w:szCs w:val="22"/>
        </w:rPr>
        <w:t xml:space="preserve">, con </w:t>
      </w:r>
      <w:r w:rsidRPr="007F7EBF">
        <w:rPr>
          <w:sz w:val="22"/>
          <w:szCs w:val="22"/>
        </w:rPr>
        <w:t>la capillarità d</w:t>
      </w:r>
      <w:r>
        <w:rPr>
          <w:sz w:val="22"/>
          <w:szCs w:val="22"/>
        </w:rPr>
        <w:t xml:space="preserve">i un </w:t>
      </w:r>
      <w:r w:rsidRPr="007F7EBF">
        <w:rPr>
          <w:sz w:val="22"/>
          <w:szCs w:val="22"/>
        </w:rPr>
        <w:t>'intervento amministrativo</w:t>
      </w:r>
      <w:r>
        <w:rPr>
          <w:sz w:val="22"/>
          <w:szCs w:val="22"/>
        </w:rPr>
        <w:t xml:space="preserve"> </w:t>
      </w:r>
      <w:r w:rsidRPr="007F7EBF">
        <w:rPr>
          <w:sz w:val="22"/>
          <w:szCs w:val="22"/>
        </w:rPr>
        <w:t>"partecipat</w:t>
      </w:r>
      <w:r>
        <w:rPr>
          <w:sz w:val="22"/>
          <w:szCs w:val="22"/>
        </w:rPr>
        <w:t>o</w:t>
      </w:r>
      <w:r w:rsidRPr="007F7EBF">
        <w:rPr>
          <w:sz w:val="22"/>
          <w:szCs w:val="22"/>
        </w:rPr>
        <w:t>" dagli interessati</w:t>
      </w:r>
      <w:r>
        <w:rPr>
          <w:sz w:val="22"/>
          <w:szCs w:val="22"/>
        </w:rPr>
        <w:t>(</w:t>
      </w:r>
      <w:r w:rsidRPr="007F7EBF">
        <w:rPr>
          <w:rStyle w:val="Rimandonotaapidipagina"/>
          <w:sz w:val="22"/>
          <w:szCs w:val="22"/>
        </w:rPr>
        <w:footnoteReference w:id="769"/>
      </w:r>
      <w:r>
        <w:rPr>
          <w:sz w:val="22"/>
          <w:szCs w:val="22"/>
        </w:rPr>
        <w:t xml:space="preserve">), anticipa </w:t>
      </w:r>
      <w:r w:rsidR="003F10E6" w:rsidRPr="007F7EBF">
        <w:rPr>
          <w:sz w:val="22"/>
          <w:szCs w:val="22"/>
        </w:rPr>
        <w:t>l</w:t>
      </w:r>
      <w:r w:rsidR="003F10E6">
        <w:rPr>
          <w:sz w:val="22"/>
          <w:szCs w:val="22"/>
        </w:rPr>
        <w:t>’ide</w:t>
      </w:r>
      <w:r w:rsidR="003F10E6" w:rsidRPr="007F7EBF">
        <w:rPr>
          <w:sz w:val="22"/>
          <w:szCs w:val="22"/>
        </w:rPr>
        <w:t xml:space="preserve">a </w:t>
      </w:r>
      <w:r>
        <w:rPr>
          <w:sz w:val="22"/>
          <w:szCs w:val="22"/>
        </w:rPr>
        <w:t>generale (</w:t>
      </w:r>
      <w:r w:rsidR="003F10E6">
        <w:rPr>
          <w:sz w:val="22"/>
          <w:szCs w:val="22"/>
        </w:rPr>
        <w:t>par.6.7</w:t>
      </w:r>
      <w:r>
        <w:rPr>
          <w:sz w:val="22"/>
          <w:szCs w:val="22"/>
        </w:rPr>
        <w:t>)</w:t>
      </w:r>
      <w:r w:rsidR="003F10E6">
        <w:rPr>
          <w:sz w:val="22"/>
          <w:szCs w:val="22"/>
        </w:rPr>
        <w:t>,</w:t>
      </w:r>
      <w:r w:rsidR="003F10E6" w:rsidRPr="007F7EBF">
        <w:rPr>
          <w:sz w:val="22"/>
          <w:szCs w:val="22"/>
        </w:rPr>
        <w:t xml:space="preserve"> secondo cui la forma più diretta di </w:t>
      </w:r>
      <w:r w:rsidR="006760EA">
        <w:rPr>
          <w:sz w:val="22"/>
          <w:szCs w:val="22"/>
        </w:rPr>
        <w:t xml:space="preserve">soluzione delle controversie tra privati e </w:t>
      </w:r>
      <w:r w:rsidR="003F10E6">
        <w:rPr>
          <w:sz w:val="22"/>
          <w:szCs w:val="22"/>
        </w:rPr>
        <w:t>funzioni non giurisdizionali,</w:t>
      </w:r>
      <w:r w:rsidR="003F10E6" w:rsidRPr="007F7EBF">
        <w:rPr>
          <w:sz w:val="22"/>
          <w:szCs w:val="22"/>
        </w:rPr>
        <w:t xml:space="preserve"> è </w:t>
      </w:r>
      <w:r w:rsidR="003F10E6" w:rsidRPr="007F7EBF">
        <w:rPr>
          <w:bCs/>
          <w:sz w:val="22"/>
          <w:szCs w:val="22"/>
        </w:rPr>
        <w:t>interna all</w:t>
      </w:r>
      <w:r w:rsidR="006760EA">
        <w:rPr>
          <w:bCs/>
          <w:sz w:val="22"/>
          <w:szCs w:val="22"/>
        </w:rPr>
        <w:t>e</w:t>
      </w:r>
      <w:r w:rsidR="003F10E6" w:rsidRPr="007F7EBF">
        <w:rPr>
          <w:bCs/>
          <w:sz w:val="22"/>
          <w:szCs w:val="22"/>
        </w:rPr>
        <w:t xml:space="preserve"> stess</w:t>
      </w:r>
      <w:r w:rsidR="006760EA">
        <w:rPr>
          <w:bCs/>
          <w:sz w:val="22"/>
          <w:szCs w:val="22"/>
        </w:rPr>
        <w:t>e</w:t>
      </w:r>
      <w:r w:rsidR="003F10E6" w:rsidRPr="007F7EBF">
        <w:rPr>
          <w:bCs/>
          <w:sz w:val="22"/>
          <w:szCs w:val="22"/>
        </w:rPr>
        <w:t xml:space="preserve"> </w:t>
      </w:r>
      <w:r w:rsidR="006760EA">
        <w:rPr>
          <w:bCs/>
          <w:sz w:val="22"/>
          <w:szCs w:val="22"/>
        </w:rPr>
        <w:t>funzioni</w:t>
      </w:r>
      <w:r w:rsidR="003F10E6" w:rsidRPr="007F7EBF">
        <w:rPr>
          <w:bCs/>
          <w:sz w:val="22"/>
          <w:szCs w:val="22"/>
        </w:rPr>
        <w:t xml:space="preserve">. </w:t>
      </w:r>
      <w:r w:rsidR="00EA6752" w:rsidRPr="007F7EBF">
        <w:rPr>
          <w:sz w:val="22"/>
          <w:szCs w:val="22"/>
        </w:rPr>
        <w:t xml:space="preserve">La tradizionale determinazione valutativa dei tributi si è sempre strutturalmente prestata a un </w:t>
      </w:r>
      <w:r w:rsidR="00111989" w:rsidRPr="007F7EBF">
        <w:rPr>
          <w:sz w:val="22"/>
          <w:szCs w:val="22"/>
        </w:rPr>
        <w:t>contenzioso</w:t>
      </w:r>
      <w:r w:rsidR="00EA6752" w:rsidRPr="007F7EBF">
        <w:rPr>
          <w:sz w:val="22"/>
          <w:szCs w:val="22"/>
        </w:rPr>
        <w:t xml:space="preserve"> amministrativo</w:t>
      </w:r>
      <w:r w:rsidR="003C3F71" w:rsidRPr="007F7EBF">
        <w:rPr>
          <w:sz w:val="22"/>
          <w:szCs w:val="22"/>
        </w:rPr>
        <w:t xml:space="preserve"> interno, o parallelo, </w:t>
      </w:r>
      <w:r w:rsidR="007054BB" w:rsidRPr="007F7EBF">
        <w:rPr>
          <w:sz w:val="22"/>
          <w:szCs w:val="22"/>
        </w:rPr>
        <w:t xml:space="preserve">agli uffici </w:t>
      </w:r>
      <w:r w:rsidR="003C3F71" w:rsidRPr="007F7EBF">
        <w:rPr>
          <w:sz w:val="22"/>
          <w:szCs w:val="22"/>
        </w:rPr>
        <w:t>tributari</w:t>
      </w:r>
      <w:r w:rsidR="00111989" w:rsidRPr="007F7EBF">
        <w:rPr>
          <w:sz w:val="22"/>
          <w:szCs w:val="22"/>
        </w:rPr>
        <w:t xml:space="preserve">, </w:t>
      </w:r>
      <w:r w:rsidR="003F10E6">
        <w:rPr>
          <w:sz w:val="22"/>
          <w:szCs w:val="22"/>
        </w:rPr>
        <w:t xml:space="preserve">portando </w:t>
      </w:r>
      <w:r w:rsidR="00111989" w:rsidRPr="007F7EBF">
        <w:rPr>
          <w:sz w:val="22"/>
          <w:szCs w:val="22"/>
        </w:rPr>
        <w:t>a una valutazione condivisa della ricchezza, e quindi del tributo.</w:t>
      </w:r>
    </w:p>
    <w:p w14:paraId="02DF4486" w14:textId="7970C361" w:rsidR="007F645B" w:rsidRPr="007F7EBF" w:rsidRDefault="006760EA" w:rsidP="007F645B">
      <w:pPr>
        <w:pStyle w:val="tit23"/>
        <w:ind w:left="6464" w:right="-1361" w:firstLine="0"/>
        <w:jc w:val="left"/>
        <w:rPr>
          <w:b/>
          <w:bCs/>
          <w:i/>
          <w:iCs/>
          <w:color w:val="0000FF"/>
          <w:lang w:val="it-IT"/>
        </w:rPr>
      </w:pPr>
      <w:r>
        <w:rPr>
          <w:b/>
          <w:bCs/>
          <w:i/>
          <w:iCs/>
          <w:color w:val="0000FF"/>
          <w:lang w:val="it-IT"/>
        </w:rPr>
        <w:t xml:space="preserve">Effetti della </w:t>
      </w:r>
      <w:r w:rsidR="007F645B" w:rsidRPr="007F7EBF">
        <w:rPr>
          <w:b/>
          <w:bCs/>
          <w:i/>
          <w:iCs/>
          <w:color w:val="0000FF"/>
          <w:lang w:val="it-IT"/>
        </w:rPr>
        <w:t>tassazione attraverso le aziende</w:t>
      </w:r>
      <w:r w:rsidR="004824CB">
        <w:rPr>
          <w:b/>
          <w:bCs/>
          <w:i/>
          <w:iCs/>
          <w:color w:val="0000FF"/>
          <w:lang w:val="it-IT"/>
        </w:rPr>
        <w:t xml:space="preserve"> </w:t>
      </w:r>
      <w:r>
        <w:rPr>
          <w:b/>
          <w:bCs/>
          <w:i/>
          <w:iCs/>
          <w:color w:val="0000FF"/>
          <w:lang w:val="it-IT"/>
        </w:rPr>
        <w:t>sul</w:t>
      </w:r>
      <w:r w:rsidR="004824CB">
        <w:rPr>
          <w:b/>
          <w:bCs/>
          <w:i/>
          <w:iCs/>
          <w:color w:val="0000FF"/>
          <w:lang w:val="it-IT"/>
        </w:rPr>
        <w:t xml:space="preserve"> contenzioso amministrativo</w:t>
      </w:r>
    </w:p>
    <w:p w14:paraId="720A15DB" w14:textId="3F989140" w:rsidR="009E188E" w:rsidRPr="007F7EBF" w:rsidRDefault="003F10E6" w:rsidP="009E188E">
      <w:pPr>
        <w:autoSpaceDE w:val="0"/>
        <w:autoSpaceDN w:val="0"/>
        <w:adjustRightInd w:val="0"/>
        <w:rPr>
          <w:sz w:val="22"/>
          <w:szCs w:val="22"/>
        </w:rPr>
      </w:pPr>
      <w:r>
        <w:rPr>
          <w:sz w:val="22"/>
          <w:szCs w:val="22"/>
        </w:rPr>
        <w:t>Questa cornice</w:t>
      </w:r>
      <w:r w:rsidR="00A67B63">
        <w:rPr>
          <w:sz w:val="22"/>
          <w:szCs w:val="22"/>
        </w:rPr>
        <w:t xml:space="preserve"> valutativo-contenziosa fu </w:t>
      </w:r>
      <w:r>
        <w:rPr>
          <w:sz w:val="22"/>
          <w:szCs w:val="22"/>
        </w:rPr>
        <w:t xml:space="preserve">messa in crisi dalla </w:t>
      </w:r>
      <w:r w:rsidR="0079390C" w:rsidRPr="007F7EBF">
        <w:rPr>
          <w:sz w:val="22"/>
          <w:szCs w:val="22"/>
        </w:rPr>
        <w:t xml:space="preserve">determinazione </w:t>
      </w:r>
      <w:r w:rsidR="007F645B" w:rsidRPr="007F7EBF">
        <w:rPr>
          <w:sz w:val="22"/>
          <w:szCs w:val="22"/>
        </w:rPr>
        <w:t xml:space="preserve">contabile </w:t>
      </w:r>
      <w:r w:rsidR="0079390C" w:rsidRPr="007F7EBF">
        <w:rPr>
          <w:sz w:val="22"/>
          <w:szCs w:val="22"/>
        </w:rPr>
        <w:t>de</w:t>
      </w:r>
      <w:r w:rsidR="00A241AF">
        <w:rPr>
          <w:sz w:val="22"/>
          <w:szCs w:val="22"/>
        </w:rPr>
        <w:t xml:space="preserve">i </w:t>
      </w:r>
      <w:r w:rsidR="00A67B63">
        <w:rPr>
          <w:sz w:val="22"/>
          <w:szCs w:val="22"/>
        </w:rPr>
        <w:t>presupposti economici d’imposta</w:t>
      </w:r>
      <w:r w:rsidR="00A241AF">
        <w:rPr>
          <w:sz w:val="22"/>
          <w:szCs w:val="22"/>
        </w:rPr>
        <w:t xml:space="preserve"> </w:t>
      </w:r>
      <w:r w:rsidR="0079390C" w:rsidRPr="007F7EBF">
        <w:rPr>
          <w:sz w:val="22"/>
          <w:szCs w:val="22"/>
        </w:rPr>
        <w:t>attraverso le aziende,  caratterizzat</w:t>
      </w:r>
      <w:r w:rsidR="00FA756A" w:rsidRPr="007F7EBF">
        <w:rPr>
          <w:sz w:val="22"/>
          <w:szCs w:val="22"/>
        </w:rPr>
        <w:t xml:space="preserve">a da documenti </w:t>
      </w:r>
      <w:r w:rsidR="0079390C" w:rsidRPr="007F7EBF">
        <w:rPr>
          <w:sz w:val="22"/>
          <w:szCs w:val="22"/>
        </w:rPr>
        <w:t>e cifre puntuali</w:t>
      </w:r>
      <w:r w:rsidR="00D679F6">
        <w:rPr>
          <w:sz w:val="22"/>
          <w:szCs w:val="22"/>
        </w:rPr>
        <w:t xml:space="preserve">; ciò </w:t>
      </w:r>
      <w:r w:rsidR="00A97BB1">
        <w:rPr>
          <w:sz w:val="22"/>
          <w:szCs w:val="22"/>
        </w:rPr>
        <w:t xml:space="preserve">spinse a esorcizzare con già indicati palliativi ed espedienti </w:t>
      </w:r>
      <w:r w:rsidR="0087484C" w:rsidRPr="007F7EBF">
        <w:rPr>
          <w:sz w:val="22"/>
          <w:szCs w:val="22"/>
        </w:rPr>
        <w:t xml:space="preserve">le </w:t>
      </w:r>
      <w:r w:rsidR="00717469" w:rsidRPr="007F7EBF">
        <w:rPr>
          <w:sz w:val="22"/>
          <w:szCs w:val="22"/>
        </w:rPr>
        <w:t>tradizion</w:t>
      </w:r>
      <w:r w:rsidR="00FA756A" w:rsidRPr="007F7EBF">
        <w:rPr>
          <w:sz w:val="22"/>
          <w:szCs w:val="22"/>
        </w:rPr>
        <w:t>al</w:t>
      </w:r>
      <w:r w:rsidR="0087484C" w:rsidRPr="007F7EBF">
        <w:rPr>
          <w:sz w:val="22"/>
          <w:szCs w:val="22"/>
        </w:rPr>
        <w:t xml:space="preserve">i stime </w:t>
      </w:r>
      <w:r w:rsidR="00FA756A" w:rsidRPr="007F7EBF">
        <w:rPr>
          <w:sz w:val="22"/>
          <w:szCs w:val="22"/>
        </w:rPr>
        <w:t>per ordine di grandezza</w:t>
      </w:r>
      <w:r w:rsidR="00E94A4D" w:rsidRPr="007F7EBF">
        <w:rPr>
          <w:sz w:val="22"/>
          <w:szCs w:val="22"/>
        </w:rPr>
        <w:t xml:space="preserve"> </w:t>
      </w:r>
      <w:r w:rsidR="004824CB">
        <w:rPr>
          <w:sz w:val="22"/>
          <w:szCs w:val="22"/>
        </w:rPr>
        <w:t>(</w:t>
      </w:r>
      <w:r w:rsidR="0087484C" w:rsidRPr="007F7EBF">
        <w:rPr>
          <w:rStyle w:val="Rimandonotaapidipagina"/>
          <w:sz w:val="22"/>
          <w:szCs w:val="22"/>
        </w:rPr>
        <w:footnoteReference w:id="770"/>
      </w:r>
      <w:r w:rsidR="004824CB">
        <w:rPr>
          <w:sz w:val="22"/>
          <w:szCs w:val="22"/>
        </w:rPr>
        <w:t>)</w:t>
      </w:r>
      <w:r w:rsidR="00A67B63">
        <w:rPr>
          <w:sz w:val="22"/>
          <w:szCs w:val="22"/>
        </w:rPr>
        <w:t>,</w:t>
      </w:r>
      <w:r w:rsidR="004824CB">
        <w:rPr>
          <w:sz w:val="22"/>
          <w:szCs w:val="22"/>
        </w:rPr>
        <w:t xml:space="preserve"> abolendo il </w:t>
      </w:r>
      <w:r w:rsidR="003E1B0B" w:rsidRPr="007F7EBF">
        <w:rPr>
          <w:sz w:val="22"/>
          <w:szCs w:val="22"/>
        </w:rPr>
        <w:t xml:space="preserve"> </w:t>
      </w:r>
      <w:r w:rsidR="004824CB" w:rsidRPr="007F7EBF">
        <w:rPr>
          <w:sz w:val="22"/>
          <w:szCs w:val="22"/>
        </w:rPr>
        <w:t xml:space="preserve">contenzioso amministrativo precedente alla riforma del 1973 </w:t>
      </w:r>
      <w:r w:rsidR="0067355A">
        <w:rPr>
          <w:sz w:val="22"/>
          <w:szCs w:val="22"/>
        </w:rPr>
        <w:t>(</w:t>
      </w:r>
      <w:r w:rsidR="004824CB" w:rsidRPr="007F7EBF">
        <w:rPr>
          <w:rStyle w:val="Rimandonotaapidipagina"/>
          <w:sz w:val="22"/>
          <w:szCs w:val="22"/>
        </w:rPr>
        <w:footnoteReference w:id="771"/>
      </w:r>
      <w:r w:rsidR="0067355A">
        <w:rPr>
          <w:sz w:val="22"/>
          <w:szCs w:val="22"/>
        </w:rPr>
        <w:t>)</w:t>
      </w:r>
      <w:r w:rsidR="004824CB" w:rsidRPr="007F7EBF">
        <w:rPr>
          <w:sz w:val="22"/>
          <w:szCs w:val="22"/>
        </w:rPr>
        <w:t xml:space="preserve">; </w:t>
      </w:r>
      <w:r w:rsidR="004824CB">
        <w:rPr>
          <w:sz w:val="22"/>
          <w:szCs w:val="22"/>
        </w:rPr>
        <w:t xml:space="preserve">la determinazione degli imponibili si scaricò così, del tutto impropriamente, sulla giurisdizione, con l’equivoca determinazione giudiziale dell’imposta, cioè l’”impugnazione merito”, di cui al  par.6.10; non si capì che l’apprezzamento amministrativo travalica le stime di piccoli commercianti e artigiani, </w:t>
      </w:r>
      <w:r w:rsidR="0067355A">
        <w:rPr>
          <w:sz w:val="22"/>
          <w:szCs w:val="22"/>
        </w:rPr>
        <w:t xml:space="preserve">estendendosi a tutte le casistiche “seriali” e </w:t>
      </w:r>
      <w:r w:rsidR="0067355A">
        <w:rPr>
          <w:sz w:val="22"/>
          <w:szCs w:val="22"/>
        </w:rPr>
        <w:lastRenderedPageBreak/>
        <w:t xml:space="preserve">anche a grandi contribuenti </w:t>
      </w:r>
      <w:r w:rsidR="003E1B0B" w:rsidRPr="007F7EBF">
        <w:rPr>
          <w:sz w:val="22"/>
          <w:szCs w:val="22"/>
        </w:rPr>
        <w:t>su questioni specifiche</w:t>
      </w:r>
      <w:r w:rsidR="003E1B0B" w:rsidRPr="007F7EBF">
        <w:rPr>
          <w:rStyle w:val="Rimandonotaapidipagina"/>
          <w:sz w:val="22"/>
          <w:szCs w:val="22"/>
        </w:rPr>
        <w:footnoteReference w:id="772"/>
      </w:r>
      <w:r w:rsidR="00143240" w:rsidRPr="007F7EBF">
        <w:rPr>
          <w:sz w:val="22"/>
          <w:szCs w:val="22"/>
        </w:rPr>
        <w:t>.</w:t>
      </w:r>
      <w:r w:rsidR="004824CB">
        <w:rPr>
          <w:sz w:val="22"/>
          <w:szCs w:val="22"/>
        </w:rPr>
        <w:t xml:space="preserve"> </w:t>
      </w:r>
      <w:r w:rsidR="0067355A">
        <w:rPr>
          <w:sz w:val="22"/>
          <w:szCs w:val="22"/>
        </w:rPr>
        <w:t xml:space="preserve">Ne derivarono </w:t>
      </w:r>
      <w:r w:rsidR="00143240" w:rsidRPr="007F7EBF">
        <w:rPr>
          <w:sz w:val="22"/>
          <w:szCs w:val="22"/>
        </w:rPr>
        <w:t>d</w:t>
      </w:r>
      <w:r w:rsidR="006342C5" w:rsidRPr="007F7EBF">
        <w:rPr>
          <w:sz w:val="22"/>
          <w:szCs w:val="22"/>
        </w:rPr>
        <w:t>ecenni di</w:t>
      </w:r>
      <w:r w:rsidR="00A615DB" w:rsidRPr="007F7EBF">
        <w:rPr>
          <w:sz w:val="22"/>
          <w:szCs w:val="22"/>
        </w:rPr>
        <w:t xml:space="preserve"> </w:t>
      </w:r>
      <w:r w:rsidR="006342C5" w:rsidRPr="007F7EBF">
        <w:rPr>
          <w:sz w:val="22"/>
          <w:szCs w:val="22"/>
        </w:rPr>
        <w:t>indebolimento della capacità valutativa</w:t>
      </w:r>
      <w:r w:rsidR="00147907" w:rsidRPr="007F7EBF">
        <w:rPr>
          <w:sz w:val="22"/>
          <w:szCs w:val="22"/>
        </w:rPr>
        <w:t xml:space="preserve"> </w:t>
      </w:r>
      <w:r w:rsidR="006342C5" w:rsidRPr="007F7EBF">
        <w:rPr>
          <w:sz w:val="22"/>
          <w:szCs w:val="22"/>
        </w:rPr>
        <w:t>degli uffici</w:t>
      </w:r>
      <w:r w:rsidR="004A1EF9" w:rsidRPr="007F7EBF">
        <w:rPr>
          <w:sz w:val="22"/>
          <w:szCs w:val="22"/>
        </w:rPr>
        <w:t>, indicat</w:t>
      </w:r>
      <w:r w:rsidR="0067355A">
        <w:rPr>
          <w:sz w:val="22"/>
          <w:szCs w:val="22"/>
        </w:rPr>
        <w:t>i</w:t>
      </w:r>
      <w:r w:rsidR="004A1EF9" w:rsidRPr="007F7EBF">
        <w:rPr>
          <w:sz w:val="22"/>
          <w:szCs w:val="22"/>
        </w:rPr>
        <w:t xml:space="preserve"> ai parr.5.12-5.19</w:t>
      </w:r>
      <w:r w:rsidR="00D85ACB" w:rsidRPr="007F7EBF">
        <w:rPr>
          <w:sz w:val="22"/>
          <w:szCs w:val="22"/>
        </w:rPr>
        <w:t>(</w:t>
      </w:r>
      <w:r w:rsidR="00D85ACB" w:rsidRPr="007F7EBF">
        <w:rPr>
          <w:rStyle w:val="Rimandonotaapidipagina"/>
          <w:sz w:val="22"/>
          <w:szCs w:val="22"/>
        </w:rPr>
        <w:footnoteReference w:id="773"/>
      </w:r>
      <w:r w:rsidR="00D85ACB" w:rsidRPr="007F7EBF">
        <w:rPr>
          <w:sz w:val="22"/>
          <w:szCs w:val="22"/>
        </w:rPr>
        <w:t>)</w:t>
      </w:r>
      <w:r w:rsidR="0067355A">
        <w:rPr>
          <w:sz w:val="22"/>
          <w:szCs w:val="22"/>
        </w:rPr>
        <w:t>, di cui l’</w:t>
      </w:r>
      <w:r w:rsidR="0052313C" w:rsidRPr="007F7EBF">
        <w:rPr>
          <w:sz w:val="22"/>
          <w:szCs w:val="22"/>
        </w:rPr>
        <w:t>aboli</w:t>
      </w:r>
      <w:r w:rsidR="0067355A">
        <w:rPr>
          <w:sz w:val="22"/>
          <w:szCs w:val="22"/>
        </w:rPr>
        <w:t>zion</w:t>
      </w:r>
      <w:r w:rsidR="0052313C" w:rsidRPr="007F7EBF">
        <w:rPr>
          <w:sz w:val="22"/>
          <w:szCs w:val="22"/>
        </w:rPr>
        <w:t>e</w:t>
      </w:r>
      <w:r w:rsidR="0067355A">
        <w:rPr>
          <w:sz w:val="22"/>
          <w:szCs w:val="22"/>
        </w:rPr>
        <w:t xml:space="preserve"> del</w:t>
      </w:r>
      <w:r w:rsidR="0052313C" w:rsidRPr="007F7EBF">
        <w:rPr>
          <w:sz w:val="22"/>
          <w:szCs w:val="22"/>
        </w:rPr>
        <w:t xml:space="preserve"> contenzioso amministrativo</w:t>
      </w:r>
      <w:r w:rsidR="00A615DB" w:rsidRPr="007F7EBF">
        <w:rPr>
          <w:sz w:val="22"/>
          <w:szCs w:val="22"/>
        </w:rPr>
        <w:t xml:space="preserve"> assecond</w:t>
      </w:r>
      <w:r w:rsidR="0052313C" w:rsidRPr="007F7EBF">
        <w:rPr>
          <w:sz w:val="22"/>
          <w:szCs w:val="22"/>
        </w:rPr>
        <w:t>ò</w:t>
      </w:r>
      <w:r w:rsidR="00A615DB" w:rsidRPr="007F7EBF">
        <w:rPr>
          <w:sz w:val="22"/>
          <w:szCs w:val="22"/>
        </w:rPr>
        <w:t xml:space="preserve"> la tendenza</w:t>
      </w:r>
      <w:r w:rsidR="00495911" w:rsidRPr="007F7EBF">
        <w:rPr>
          <w:sz w:val="22"/>
          <w:szCs w:val="22"/>
        </w:rPr>
        <w:t>, innata nelle</w:t>
      </w:r>
      <w:r w:rsidR="00A615DB" w:rsidRPr="007F7EBF">
        <w:rPr>
          <w:sz w:val="22"/>
          <w:szCs w:val="22"/>
        </w:rPr>
        <w:t xml:space="preserve"> istituzioni</w:t>
      </w:r>
      <w:r w:rsidR="00495911" w:rsidRPr="007F7EBF">
        <w:rPr>
          <w:sz w:val="22"/>
          <w:szCs w:val="22"/>
        </w:rPr>
        <w:t>,</w:t>
      </w:r>
      <w:r w:rsidR="00A615DB" w:rsidRPr="007F7EBF">
        <w:rPr>
          <w:sz w:val="22"/>
          <w:szCs w:val="22"/>
        </w:rPr>
        <w:t xml:space="preserve"> a scaricare sul giudice</w:t>
      </w:r>
      <w:r w:rsidR="00D679F6">
        <w:rPr>
          <w:sz w:val="22"/>
          <w:szCs w:val="22"/>
        </w:rPr>
        <w:t xml:space="preserve"> </w:t>
      </w:r>
      <w:r w:rsidR="00A615DB" w:rsidRPr="007F7EBF">
        <w:rPr>
          <w:sz w:val="22"/>
          <w:szCs w:val="22"/>
        </w:rPr>
        <w:t>gli aspett</w:t>
      </w:r>
      <w:r w:rsidR="0052313C" w:rsidRPr="007F7EBF">
        <w:rPr>
          <w:sz w:val="22"/>
          <w:szCs w:val="22"/>
        </w:rPr>
        <w:t>i sfuggenti e imbarazzanti della funzione</w:t>
      </w:r>
      <w:r w:rsidR="00A615DB" w:rsidRPr="007F7EBF">
        <w:rPr>
          <w:sz w:val="22"/>
          <w:szCs w:val="22"/>
        </w:rPr>
        <w:t xml:space="preserve">; </w:t>
      </w:r>
      <w:r w:rsidR="00D85ACB" w:rsidRPr="007F7EBF">
        <w:rPr>
          <w:sz w:val="22"/>
          <w:szCs w:val="22"/>
        </w:rPr>
        <w:t>i</w:t>
      </w:r>
      <w:r w:rsidR="00A615DB" w:rsidRPr="007F7EBF">
        <w:rPr>
          <w:sz w:val="22"/>
          <w:szCs w:val="22"/>
        </w:rPr>
        <w:t xml:space="preserve"> processi</w:t>
      </w:r>
      <w:r w:rsidR="0067355A">
        <w:rPr>
          <w:sz w:val="22"/>
          <w:szCs w:val="22"/>
        </w:rPr>
        <w:t xml:space="preserve"> si moltiplicarono, la valutazione degli imponibili e il controllo tributario del territorio si ridussero ai minimi termini, </w:t>
      </w:r>
      <w:r w:rsidR="00D00020">
        <w:rPr>
          <w:sz w:val="22"/>
          <w:szCs w:val="22"/>
        </w:rPr>
        <w:t xml:space="preserve">dilagarono paralizzanti timori di </w:t>
      </w:r>
      <w:r w:rsidR="006342C5" w:rsidRPr="007F7EBF">
        <w:rPr>
          <w:bCs/>
          <w:sz w:val="22"/>
          <w:szCs w:val="22"/>
        </w:rPr>
        <w:t>corruzione</w:t>
      </w:r>
      <w:r w:rsidR="00D00020">
        <w:rPr>
          <w:bCs/>
          <w:sz w:val="22"/>
          <w:szCs w:val="22"/>
        </w:rPr>
        <w:t xml:space="preserve"> (</w:t>
      </w:r>
      <w:r w:rsidR="0052313C" w:rsidRPr="007F7EBF">
        <w:rPr>
          <w:rStyle w:val="Rimandonotaapidipagina"/>
          <w:bCs/>
          <w:sz w:val="22"/>
          <w:szCs w:val="22"/>
        </w:rPr>
        <w:footnoteReference w:id="774"/>
      </w:r>
      <w:r w:rsidR="00D00020">
        <w:rPr>
          <w:bCs/>
          <w:sz w:val="22"/>
          <w:szCs w:val="22"/>
        </w:rPr>
        <w:t xml:space="preserve">). </w:t>
      </w:r>
      <w:r w:rsidR="00A615DB" w:rsidRPr="007F7EBF">
        <w:rPr>
          <w:sz w:val="22"/>
          <w:szCs w:val="22"/>
        </w:rPr>
        <w:t xml:space="preserve"> </w:t>
      </w:r>
      <w:r w:rsidR="00A97BB1">
        <w:rPr>
          <w:sz w:val="22"/>
          <w:szCs w:val="22"/>
        </w:rPr>
        <w:t xml:space="preserve"> </w:t>
      </w:r>
    </w:p>
    <w:p w14:paraId="07F5595D" w14:textId="6E240DC4" w:rsidR="009E188E" w:rsidRPr="007F7EBF" w:rsidRDefault="00D00020" w:rsidP="009E188E">
      <w:pPr>
        <w:pStyle w:val="tit23"/>
        <w:ind w:left="6464" w:right="-1361" w:firstLine="0"/>
        <w:jc w:val="left"/>
        <w:rPr>
          <w:bCs/>
          <w:i/>
          <w:iCs/>
          <w:color w:val="0000FF"/>
          <w:lang w:val="it-IT"/>
        </w:rPr>
      </w:pPr>
      <w:r>
        <w:rPr>
          <w:bCs/>
          <w:i/>
          <w:iCs/>
          <w:color w:val="0000FF"/>
          <w:lang w:val="it-IT"/>
        </w:rPr>
        <w:t>Reintroduzione, successo</w:t>
      </w:r>
      <w:r w:rsidR="009E188E" w:rsidRPr="007F7EBF">
        <w:rPr>
          <w:bCs/>
          <w:i/>
          <w:iCs/>
          <w:color w:val="0000FF"/>
          <w:lang w:val="it-IT"/>
        </w:rPr>
        <w:t xml:space="preserve"> e cautela</w:t>
      </w:r>
    </w:p>
    <w:p w14:paraId="6A72005A" w14:textId="4F7CD34B" w:rsidR="00D85ACB" w:rsidRPr="007F7EBF" w:rsidRDefault="000521CA" w:rsidP="009E188E">
      <w:pPr>
        <w:autoSpaceDE w:val="0"/>
        <w:autoSpaceDN w:val="0"/>
        <w:adjustRightInd w:val="0"/>
        <w:rPr>
          <w:sz w:val="22"/>
          <w:szCs w:val="22"/>
        </w:rPr>
      </w:pPr>
      <w:r>
        <w:rPr>
          <w:sz w:val="22"/>
          <w:szCs w:val="22"/>
        </w:rPr>
        <w:t xml:space="preserve">Un </w:t>
      </w:r>
      <w:r w:rsidR="002166D7" w:rsidRPr="007F7EBF">
        <w:rPr>
          <w:sz w:val="22"/>
          <w:szCs w:val="22"/>
        </w:rPr>
        <w:t>contenzioso amministrativo</w:t>
      </w:r>
      <w:r>
        <w:rPr>
          <w:sz w:val="22"/>
          <w:szCs w:val="22"/>
        </w:rPr>
        <w:t xml:space="preserve"> fu reintrodotto nel 1994 e  </w:t>
      </w:r>
      <w:r w:rsidR="002166D7" w:rsidRPr="007F7EBF">
        <w:rPr>
          <w:sz w:val="22"/>
          <w:szCs w:val="22"/>
        </w:rPr>
        <w:t xml:space="preserve">sistematizzato nel 1997 </w:t>
      </w:r>
      <w:r w:rsidR="004A1EF9" w:rsidRPr="007F7EBF">
        <w:rPr>
          <w:sz w:val="22"/>
          <w:szCs w:val="22"/>
        </w:rPr>
        <w:t>(</w:t>
      </w:r>
      <w:r w:rsidR="004A1EF9" w:rsidRPr="007F7EBF">
        <w:rPr>
          <w:rStyle w:val="Rimandonotaapidipagina"/>
          <w:sz w:val="22"/>
          <w:szCs w:val="22"/>
        </w:rPr>
        <w:footnoteReference w:id="775"/>
      </w:r>
      <w:r w:rsidR="002166D7" w:rsidRPr="007F7EBF">
        <w:rPr>
          <w:sz w:val="22"/>
          <w:szCs w:val="22"/>
        </w:rPr>
        <w:t>)</w:t>
      </w:r>
      <w:r>
        <w:rPr>
          <w:sz w:val="22"/>
          <w:szCs w:val="22"/>
        </w:rPr>
        <w:t xml:space="preserve">, riscuotendo un </w:t>
      </w:r>
      <w:r w:rsidR="00A53691" w:rsidRPr="007F7EBF">
        <w:rPr>
          <w:sz w:val="22"/>
          <w:szCs w:val="22"/>
        </w:rPr>
        <w:t xml:space="preserve">notevole successo </w:t>
      </w:r>
      <w:r>
        <w:rPr>
          <w:sz w:val="22"/>
          <w:szCs w:val="22"/>
        </w:rPr>
        <w:t xml:space="preserve">nonostante la sua sommarietà; ciò </w:t>
      </w:r>
      <w:r w:rsidR="002166D7" w:rsidRPr="007F7EBF">
        <w:rPr>
          <w:sz w:val="22"/>
          <w:szCs w:val="22"/>
        </w:rPr>
        <w:t>conferma</w:t>
      </w:r>
      <w:r w:rsidR="003A1E01" w:rsidRPr="007F7EBF">
        <w:rPr>
          <w:sz w:val="22"/>
          <w:szCs w:val="22"/>
        </w:rPr>
        <w:t xml:space="preserve"> che</w:t>
      </w:r>
      <w:r w:rsidR="00C674D9">
        <w:rPr>
          <w:sz w:val="22"/>
          <w:szCs w:val="22"/>
        </w:rPr>
        <w:t xml:space="preserve"> la sede processuale non è la più adatta per la </w:t>
      </w:r>
      <w:r w:rsidR="003A1E01" w:rsidRPr="007F7EBF">
        <w:rPr>
          <w:sz w:val="22"/>
          <w:szCs w:val="22"/>
        </w:rPr>
        <w:t>determinazione dei tributi</w:t>
      </w:r>
      <w:r w:rsidR="00C674D9">
        <w:rPr>
          <w:sz w:val="22"/>
          <w:szCs w:val="22"/>
        </w:rPr>
        <w:t xml:space="preserve">, come </w:t>
      </w:r>
      <w:r w:rsidR="003A1E01" w:rsidRPr="007F7EBF">
        <w:rPr>
          <w:sz w:val="22"/>
          <w:szCs w:val="22"/>
        </w:rPr>
        <w:t xml:space="preserve">funzione amministrativa, non </w:t>
      </w:r>
      <w:r w:rsidR="00C674D9">
        <w:rPr>
          <w:sz w:val="22"/>
          <w:szCs w:val="22"/>
        </w:rPr>
        <w:t>giurisdizionale</w:t>
      </w:r>
      <w:r>
        <w:rPr>
          <w:sz w:val="22"/>
          <w:szCs w:val="22"/>
        </w:rPr>
        <w:t>, come ripetiamo dal par.1.3 (</w:t>
      </w:r>
      <w:r w:rsidR="003A1E01" w:rsidRPr="007F7EBF">
        <w:rPr>
          <w:rStyle w:val="Rimandonotaapidipagina"/>
          <w:sz w:val="22"/>
          <w:szCs w:val="22"/>
        </w:rPr>
        <w:footnoteReference w:id="776"/>
      </w:r>
      <w:r>
        <w:rPr>
          <w:sz w:val="22"/>
          <w:szCs w:val="22"/>
        </w:rPr>
        <w:t>)</w:t>
      </w:r>
      <w:r w:rsidR="003A1E01" w:rsidRPr="007F7EBF">
        <w:rPr>
          <w:sz w:val="22"/>
          <w:szCs w:val="22"/>
        </w:rPr>
        <w:t xml:space="preserve">. </w:t>
      </w:r>
      <w:r w:rsidR="00A53691" w:rsidRPr="007F7EBF">
        <w:rPr>
          <w:sz w:val="22"/>
          <w:szCs w:val="22"/>
        </w:rPr>
        <w:t xml:space="preserve"> </w:t>
      </w:r>
    </w:p>
    <w:p w14:paraId="3284660C" w14:textId="586B12CF" w:rsidR="009E188E" w:rsidRPr="007F7EBF" w:rsidRDefault="000521CA" w:rsidP="009E188E">
      <w:pPr>
        <w:autoSpaceDE w:val="0"/>
        <w:autoSpaceDN w:val="0"/>
        <w:adjustRightInd w:val="0"/>
        <w:rPr>
          <w:sz w:val="22"/>
          <w:szCs w:val="22"/>
        </w:rPr>
      </w:pPr>
      <w:r>
        <w:rPr>
          <w:sz w:val="22"/>
          <w:szCs w:val="22"/>
        </w:rPr>
        <w:t xml:space="preserve">Su questo sfondo è fuorviante considerare tali istituti come </w:t>
      </w:r>
      <w:r w:rsidR="006342C5" w:rsidRPr="007F7EBF">
        <w:rPr>
          <w:sz w:val="22"/>
          <w:szCs w:val="22"/>
        </w:rPr>
        <w:t>“</w:t>
      </w:r>
      <w:r w:rsidR="00EB38AC" w:rsidRPr="007F7EBF">
        <w:rPr>
          <w:bCs/>
          <w:sz w:val="22"/>
          <w:szCs w:val="22"/>
        </w:rPr>
        <w:t>strument</w:t>
      </w:r>
      <w:r>
        <w:rPr>
          <w:bCs/>
          <w:sz w:val="22"/>
          <w:szCs w:val="22"/>
        </w:rPr>
        <w:t>i</w:t>
      </w:r>
      <w:r w:rsidR="00EB38AC" w:rsidRPr="007F7EBF">
        <w:rPr>
          <w:bCs/>
          <w:sz w:val="22"/>
          <w:szCs w:val="22"/>
        </w:rPr>
        <w:t xml:space="preserve"> deflativ</w:t>
      </w:r>
      <w:r>
        <w:rPr>
          <w:bCs/>
          <w:sz w:val="22"/>
          <w:szCs w:val="22"/>
        </w:rPr>
        <w:t>i</w:t>
      </w:r>
      <w:r w:rsidR="006342C5" w:rsidRPr="007F7EBF">
        <w:rPr>
          <w:bCs/>
          <w:sz w:val="22"/>
          <w:szCs w:val="22"/>
        </w:rPr>
        <w:t xml:space="preserve"> del contenzioso</w:t>
      </w:r>
      <w:r w:rsidR="00B03DFB" w:rsidRPr="007F7EBF">
        <w:rPr>
          <w:sz w:val="22"/>
          <w:szCs w:val="22"/>
        </w:rPr>
        <w:t>”</w:t>
      </w:r>
      <w:r w:rsidR="00714257" w:rsidRPr="007F7EBF">
        <w:rPr>
          <w:sz w:val="22"/>
          <w:szCs w:val="22"/>
        </w:rPr>
        <w:t xml:space="preserve">, </w:t>
      </w:r>
      <w:r>
        <w:rPr>
          <w:sz w:val="22"/>
          <w:szCs w:val="22"/>
        </w:rPr>
        <w:t xml:space="preserve">mentre rappresentano </w:t>
      </w:r>
      <w:r w:rsidR="00714257" w:rsidRPr="007F7EBF">
        <w:rPr>
          <w:sz w:val="22"/>
          <w:szCs w:val="22"/>
        </w:rPr>
        <w:t xml:space="preserve"> una fase ordinaria della funzione tributaria</w:t>
      </w:r>
      <w:r w:rsidR="009161C6">
        <w:t xml:space="preserve">; le funzioni pubbliche si dovrebbero infatti svolgere “assieme all’ufficio”, non “contro di esso”, secondo un travisamento della concezione “privatistico-giurisdizionale” del diritto; </w:t>
      </w:r>
      <w:r w:rsidR="00823417">
        <w:t>in</w:t>
      </w:r>
      <w:r w:rsidR="008C704A">
        <w:t xml:space="preserve"> essa si </w:t>
      </w:r>
      <w:r w:rsidR="00AC09D7">
        <w:t xml:space="preserve">radica l’idea </w:t>
      </w:r>
      <w:r w:rsidR="009161C6">
        <w:t>c</w:t>
      </w:r>
      <w:r>
        <w:t>he</w:t>
      </w:r>
      <w:r w:rsidR="00AC09D7">
        <w:t xml:space="preserve">, una volta emanato l’accertamento, l’imponibile debba essere determinato </w:t>
      </w:r>
      <w:r w:rsidRPr="007F7EBF">
        <w:rPr>
          <w:bCs/>
        </w:rPr>
        <w:t>davanti a un giudice</w:t>
      </w:r>
      <w:r w:rsidR="00AC09D7">
        <w:rPr>
          <w:bCs/>
        </w:rPr>
        <w:t xml:space="preserve">, </w:t>
      </w:r>
      <w:r w:rsidR="007234E0">
        <w:rPr>
          <w:bCs/>
        </w:rPr>
        <w:t xml:space="preserve">trascurando </w:t>
      </w:r>
      <w:r w:rsidR="00AC09D7">
        <w:rPr>
          <w:bCs/>
        </w:rPr>
        <w:t>la tradizione del contenzioso amministrativ</w:t>
      </w:r>
      <w:r w:rsidR="007234E0">
        <w:rPr>
          <w:bCs/>
        </w:rPr>
        <w:t xml:space="preserve">o; invece di essere la via ordinaria per determinare gli imponibili, una singolare (e paralizzante) inversione di piani la </w:t>
      </w:r>
      <w:r w:rsidR="007234E0">
        <w:rPr>
          <w:bCs/>
        </w:rPr>
        <w:lastRenderedPageBreak/>
        <w:t>riduce a r</w:t>
      </w:r>
      <w:r>
        <w:t>ipiego</w:t>
      </w:r>
      <w:r w:rsidR="00AC09D7">
        <w:t xml:space="preserve"> </w:t>
      </w:r>
      <w:r w:rsidRPr="007F7EBF">
        <w:rPr>
          <w:bCs/>
        </w:rPr>
        <w:t xml:space="preserve">per </w:t>
      </w:r>
      <w:r w:rsidRPr="007F7EBF">
        <w:t>“</w:t>
      </w:r>
      <w:r w:rsidRPr="007F7EBF">
        <w:rPr>
          <w:bCs/>
        </w:rPr>
        <w:t>deflazionare</w:t>
      </w:r>
      <w:r>
        <w:rPr>
          <w:bCs/>
        </w:rPr>
        <w:t>”</w:t>
      </w:r>
      <w:r w:rsidR="007234E0">
        <w:rPr>
          <w:bCs/>
        </w:rPr>
        <w:t xml:space="preserve"> il numero dei processi </w:t>
      </w:r>
      <w:r w:rsidR="004D4E46">
        <w:t>(</w:t>
      </w:r>
      <w:r w:rsidR="004D4E46">
        <w:rPr>
          <w:rStyle w:val="Rimandonotaapidipagina"/>
        </w:rPr>
        <w:footnoteReference w:id="777"/>
      </w:r>
      <w:r w:rsidR="004D4E46">
        <w:t>)</w:t>
      </w:r>
      <w:r>
        <w:t>. E’ un riflesso dell</w:t>
      </w:r>
      <w:r w:rsidR="007234E0">
        <w:t xml:space="preserve">a mancata spiegazione </w:t>
      </w:r>
      <w:r w:rsidR="00F75C68">
        <w:t>giuridico</w:t>
      </w:r>
      <w:r w:rsidR="007234E0">
        <w:t xml:space="preserve">-sociale della funzione tributaria come </w:t>
      </w:r>
      <w:r>
        <w:t>determinazione degli imponibili, in qualche modo collegabile all</w:t>
      </w:r>
      <w:r w:rsidR="00E662CD">
        <w:t>’antica (e più sensata) concezione dell’</w:t>
      </w:r>
      <w:r>
        <w:t>accertamento come “</w:t>
      </w:r>
      <w:proofErr w:type="spellStart"/>
      <w:r>
        <w:t>provocatio</w:t>
      </w:r>
      <w:proofErr w:type="spellEnd"/>
      <w:r>
        <w:t xml:space="preserve"> ad </w:t>
      </w:r>
      <w:proofErr w:type="spellStart"/>
      <w:r>
        <w:t>opponendum</w:t>
      </w:r>
      <w:proofErr w:type="spellEnd"/>
      <w:r w:rsidR="004D4E46">
        <w:t>”</w:t>
      </w:r>
      <w:r w:rsidR="009161C6">
        <w:t xml:space="preserve"> </w:t>
      </w:r>
      <w:r w:rsidR="00766FD9" w:rsidRPr="007F7EBF">
        <w:rPr>
          <w:sz w:val="22"/>
          <w:szCs w:val="22"/>
        </w:rPr>
        <w:t>(</w:t>
      </w:r>
      <w:r w:rsidR="00766FD9" w:rsidRPr="007F7EBF">
        <w:rPr>
          <w:rStyle w:val="Rimandonotaapidipagina"/>
          <w:sz w:val="22"/>
          <w:szCs w:val="22"/>
        </w:rPr>
        <w:footnoteReference w:id="778"/>
      </w:r>
      <w:r w:rsidR="00766FD9" w:rsidRPr="007F7EBF">
        <w:rPr>
          <w:sz w:val="22"/>
          <w:szCs w:val="22"/>
        </w:rPr>
        <w:t>)</w:t>
      </w:r>
      <w:r w:rsidR="00766FD9">
        <w:rPr>
          <w:sz w:val="22"/>
          <w:szCs w:val="22"/>
        </w:rPr>
        <w:t xml:space="preserve">, </w:t>
      </w:r>
      <w:r w:rsidR="009161C6">
        <w:t xml:space="preserve">davanti alle commissioni tributarie come organi di contenzioso amministrativo </w:t>
      </w:r>
      <w:r>
        <w:rPr>
          <w:sz w:val="22"/>
          <w:szCs w:val="22"/>
        </w:rPr>
        <w:t>(</w:t>
      </w:r>
      <w:r w:rsidRPr="007F7EBF">
        <w:rPr>
          <w:rStyle w:val="Rimandonotaapidipagina"/>
          <w:sz w:val="22"/>
          <w:szCs w:val="22"/>
        </w:rPr>
        <w:footnoteReference w:id="779"/>
      </w:r>
      <w:r>
        <w:rPr>
          <w:sz w:val="22"/>
          <w:szCs w:val="22"/>
        </w:rPr>
        <w:t>)</w:t>
      </w:r>
      <w:r w:rsidR="00714257" w:rsidRPr="007F7EBF">
        <w:rPr>
          <w:sz w:val="22"/>
          <w:szCs w:val="22"/>
        </w:rPr>
        <w:t>.</w:t>
      </w:r>
      <w:r w:rsidR="00495911" w:rsidRPr="007F7EBF">
        <w:rPr>
          <w:sz w:val="22"/>
          <w:szCs w:val="22"/>
        </w:rPr>
        <w:t xml:space="preserve"> </w:t>
      </w:r>
    </w:p>
    <w:p w14:paraId="1C4B9CAC" w14:textId="77777777" w:rsidR="009E188E" w:rsidRPr="007F7EBF" w:rsidRDefault="009E188E" w:rsidP="009E188E">
      <w:pPr>
        <w:pStyle w:val="tit23"/>
        <w:ind w:left="6464" w:right="-1361" w:firstLine="0"/>
        <w:jc w:val="left"/>
        <w:rPr>
          <w:b/>
          <w:bCs/>
          <w:i/>
          <w:iCs/>
          <w:color w:val="0000FF"/>
          <w:lang w:val="it-IT"/>
        </w:rPr>
      </w:pPr>
      <w:r w:rsidRPr="007F7EBF">
        <w:rPr>
          <w:b/>
          <w:bCs/>
          <w:i/>
          <w:iCs/>
          <w:color w:val="0000FF"/>
          <w:lang w:val="it-IT"/>
        </w:rPr>
        <w:t>Contenzioso sulla determinazione del tributo</w:t>
      </w:r>
    </w:p>
    <w:p w14:paraId="2EFE2374" w14:textId="5E17CA63" w:rsidR="00766FD9" w:rsidRDefault="007038D1" w:rsidP="00766FD9">
      <w:pPr>
        <w:autoSpaceDE w:val="0"/>
        <w:autoSpaceDN w:val="0"/>
        <w:adjustRightInd w:val="0"/>
        <w:rPr>
          <w:sz w:val="22"/>
          <w:szCs w:val="22"/>
        </w:rPr>
      </w:pPr>
      <w:r>
        <w:rPr>
          <w:sz w:val="22"/>
          <w:szCs w:val="22"/>
        </w:rPr>
        <w:t>La dialettica sottostante ad a</w:t>
      </w:r>
      <w:r w:rsidR="00143240" w:rsidRPr="007F7EBF">
        <w:rPr>
          <w:sz w:val="22"/>
          <w:szCs w:val="22"/>
        </w:rPr>
        <w:t xml:space="preserve">ccertamento con adesione e conciliazione giudiziale </w:t>
      </w:r>
      <w:r w:rsidR="00924EB4" w:rsidRPr="007F7EBF">
        <w:rPr>
          <w:sz w:val="22"/>
          <w:szCs w:val="22"/>
        </w:rPr>
        <w:t xml:space="preserve"> </w:t>
      </w:r>
      <w:r>
        <w:rPr>
          <w:sz w:val="22"/>
          <w:szCs w:val="22"/>
        </w:rPr>
        <w:t xml:space="preserve">non riguarda </w:t>
      </w:r>
      <w:r>
        <w:rPr>
          <w:bCs/>
          <w:sz w:val="22"/>
          <w:szCs w:val="22"/>
        </w:rPr>
        <w:t xml:space="preserve">l’imposta, ma i criteri per la sua determinazione, </w:t>
      </w:r>
      <w:r w:rsidR="006E4354">
        <w:rPr>
          <w:bCs/>
          <w:sz w:val="22"/>
          <w:szCs w:val="22"/>
        </w:rPr>
        <w:t xml:space="preserve">soprattutto </w:t>
      </w:r>
      <w:r>
        <w:rPr>
          <w:bCs/>
          <w:sz w:val="22"/>
          <w:szCs w:val="22"/>
        </w:rPr>
        <w:t>la base imponibile, specificando le astrazioni economiche di cui al par.1.8</w:t>
      </w:r>
      <w:r w:rsidR="004D4E46">
        <w:rPr>
          <w:bCs/>
          <w:sz w:val="22"/>
          <w:szCs w:val="22"/>
        </w:rPr>
        <w:t xml:space="preserve"> (</w:t>
      </w:r>
      <w:r w:rsidR="006E4354">
        <w:rPr>
          <w:bCs/>
          <w:sz w:val="22"/>
          <w:szCs w:val="22"/>
        </w:rPr>
        <w:t xml:space="preserve">il c.d. </w:t>
      </w:r>
      <w:r w:rsidR="006E4354" w:rsidRPr="006E4354">
        <w:rPr>
          <w:bCs/>
          <w:i/>
          <w:sz w:val="22"/>
          <w:szCs w:val="22"/>
        </w:rPr>
        <w:t>oggetto economico della funzione tributaria</w:t>
      </w:r>
      <w:r w:rsidR="004D4E46">
        <w:rPr>
          <w:bCs/>
          <w:sz w:val="22"/>
          <w:szCs w:val="22"/>
        </w:rPr>
        <w:t>)</w:t>
      </w:r>
      <w:r w:rsidR="006E4354">
        <w:rPr>
          <w:bCs/>
          <w:sz w:val="22"/>
          <w:szCs w:val="22"/>
        </w:rPr>
        <w:t>, nei loro aspetti di fatto e di diritto</w:t>
      </w:r>
      <w:r w:rsidR="00317CF5">
        <w:rPr>
          <w:bCs/>
          <w:sz w:val="22"/>
          <w:szCs w:val="22"/>
        </w:rPr>
        <w:t xml:space="preserve"> </w:t>
      </w:r>
      <w:r w:rsidR="00C35693" w:rsidRPr="007F7EBF">
        <w:rPr>
          <w:sz w:val="22"/>
          <w:szCs w:val="22"/>
        </w:rPr>
        <w:t>(</w:t>
      </w:r>
      <w:r w:rsidR="00C35693" w:rsidRPr="007F7EBF">
        <w:rPr>
          <w:rStyle w:val="Rimandonotaapidipagina"/>
          <w:sz w:val="22"/>
          <w:szCs w:val="22"/>
        </w:rPr>
        <w:footnoteReference w:id="780"/>
      </w:r>
      <w:r w:rsidR="00C35693" w:rsidRPr="007F7EBF">
        <w:rPr>
          <w:sz w:val="22"/>
          <w:szCs w:val="22"/>
        </w:rPr>
        <w:t>)</w:t>
      </w:r>
      <w:r w:rsidR="004D4E46">
        <w:rPr>
          <w:sz w:val="22"/>
          <w:szCs w:val="22"/>
        </w:rPr>
        <w:t xml:space="preserve">. </w:t>
      </w:r>
      <w:r w:rsidR="006E4354">
        <w:rPr>
          <w:sz w:val="22"/>
          <w:szCs w:val="22"/>
        </w:rPr>
        <w:t xml:space="preserve">E’ </w:t>
      </w:r>
      <w:r w:rsidR="00B7209C">
        <w:rPr>
          <w:sz w:val="22"/>
          <w:szCs w:val="22"/>
        </w:rPr>
        <w:t xml:space="preserve">questo lo scopo del </w:t>
      </w:r>
      <w:r w:rsidR="00317CF5">
        <w:rPr>
          <w:sz w:val="22"/>
          <w:szCs w:val="22"/>
        </w:rPr>
        <w:t xml:space="preserve">contenzioso </w:t>
      </w:r>
      <w:r w:rsidR="00574C05">
        <w:rPr>
          <w:sz w:val="22"/>
          <w:szCs w:val="22"/>
        </w:rPr>
        <w:t xml:space="preserve">amministrativo in esame, non certo spiegabile con </w:t>
      </w:r>
      <w:r w:rsidR="006E4354">
        <w:t>l</w:t>
      </w:r>
      <w:r w:rsidR="006E4354" w:rsidRPr="007F7EBF">
        <w:t>’idea</w:t>
      </w:r>
      <w:r w:rsidR="006E4354">
        <w:t xml:space="preserve"> semplicistica</w:t>
      </w:r>
      <w:r w:rsidR="006E4354" w:rsidRPr="007F7EBF">
        <w:t xml:space="preserve"> </w:t>
      </w:r>
      <w:r w:rsidR="00B809E7">
        <w:t xml:space="preserve">di uno </w:t>
      </w:r>
      <w:r w:rsidR="006E4354">
        <w:t>“</w:t>
      </w:r>
      <w:r w:rsidR="006E4354" w:rsidRPr="007F7EBF">
        <w:t>scont</w:t>
      </w:r>
      <w:r w:rsidR="00B809E7">
        <w:t>o</w:t>
      </w:r>
      <w:r w:rsidR="006E4354" w:rsidRPr="007F7EBF">
        <w:t xml:space="preserve"> sull’imposta”</w:t>
      </w:r>
      <w:r w:rsidR="00317CF5">
        <w:t xml:space="preserve">. Si tratta piuttosto </w:t>
      </w:r>
      <w:r w:rsidR="00574C05">
        <w:t xml:space="preserve">di </w:t>
      </w:r>
      <w:r w:rsidR="006E4354" w:rsidRPr="007F7EBF">
        <w:t>una valutazion</w:t>
      </w:r>
      <w:r w:rsidR="00B809E7">
        <w:t xml:space="preserve">e </w:t>
      </w:r>
      <w:r w:rsidR="006E4354">
        <w:t>condivis</w:t>
      </w:r>
      <w:r w:rsidR="00B809E7">
        <w:t>a</w:t>
      </w:r>
      <w:r w:rsidR="006E4354">
        <w:t xml:space="preserve"> </w:t>
      </w:r>
      <w:r w:rsidR="006E4354" w:rsidRPr="007F7EBF">
        <w:t>dell’imponibile</w:t>
      </w:r>
      <w:r w:rsidR="00317CF5">
        <w:t>, s</w:t>
      </w:r>
      <w:r w:rsidR="00574C05">
        <w:t xml:space="preserve">ia nella </w:t>
      </w:r>
      <w:r w:rsidR="00574C05">
        <w:lastRenderedPageBreak/>
        <w:t>sua consistenza fattuale, sia nel suo regime giuridico</w:t>
      </w:r>
      <w:r w:rsidR="00317CF5">
        <w:t>. Nell’</w:t>
      </w:r>
      <w:r w:rsidR="009412EA">
        <w:t>impostazione valutativa preindustriale l’ufficio esprimeva queste entità con una determinazione (</w:t>
      </w:r>
      <w:r w:rsidR="00317CF5">
        <w:t>“</w:t>
      </w:r>
      <w:proofErr w:type="spellStart"/>
      <w:r w:rsidR="00317CF5">
        <w:t>provocatio</w:t>
      </w:r>
      <w:proofErr w:type="spellEnd"/>
      <w:r w:rsidR="00317CF5">
        <w:t xml:space="preserve"> ad </w:t>
      </w:r>
      <w:proofErr w:type="spellStart"/>
      <w:r w:rsidR="00317CF5">
        <w:t>opponendum</w:t>
      </w:r>
      <w:proofErr w:type="spellEnd"/>
      <w:r w:rsidR="00317CF5">
        <w:t>”</w:t>
      </w:r>
      <w:r w:rsidR="009412EA">
        <w:t>) su cui si innestava la successiva in</w:t>
      </w:r>
      <w:r w:rsidR="00574C05">
        <w:t xml:space="preserve">terlocuzione </w:t>
      </w:r>
      <w:r w:rsidR="009412EA">
        <w:t>del</w:t>
      </w:r>
      <w:r w:rsidR="00317CF5">
        <w:t xml:space="preserve"> </w:t>
      </w:r>
      <w:r w:rsidR="00574C05">
        <w:t>contribuente</w:t>
      </w:r>
      <w:r w:rsidR="009412EA">
        <w:t xml:space="preserve"> davanti a organi di contenzioso amministrativo. </w:t>
      </w:r>
    </w:p>
    <w:p w14:paraId="66A2F659" w14:textId="3A4927DB" w:rsidR="00766FD9" w:rsidRPr="007F7EBF" w:rsidRDefault="00766FD9" w:rsidP="00766FD9">
      <w:pPr>
        <w:pStyle w:val="tit23"/>
        <w:ind w:left="6464" w:right="-1361" w:firstLine="0"/>
        <w:jc w:val="left"/>
        <w:rPr>
          <w:b/>
          <w:bCs/>
          <w:i/>
          <w:iCs/>
          <w:color w:val="0000FF"/>
          <w:lang w:val="it-IT"/>
        </w:rPr>
      </w:pPr>
      <w:r>
        <w:rPr>
          <w:b/>
          <w:bCs/>
          <w:i/>
          <w:iCs/>
          <w:color w:val="0000FF"/>
          <w:lang w:val="it-IT"/>
        </w:rPr>
        <w:t>Rilevanza della “giusta imposta”</w:t>
      </w:r>
    </w:p>
    <w:p w14:paraId="1BC642CF" w14:textId="70275A0C" w:rsidR="009E188E" w:rsidRPr="007F7EBF" w:rsidRDefault="00574C05" w:rsidP="00766FD9">
      <w:pPr>
        <w:autoSpaceDE w:val="0"/>
        <w:autoSpaceDN w:val="0"/>
        <w:adjustRightInd w:val="0"/>
        <w:rPr>
          <w:sz w:val="22"/>
          <w:szCs w:val="22"/>
        </w:rPr>
      </w:pPr>
      <w:r>
        <w:rPr>
          <w:sz w:val="22"/>
          <w:szCs w:val="22"/>
        </w:rPr>
        <w:t xml:space="preserve">E’ quindi fuori posto ogni accostamento all’istituto privatistico della </w:t>
      </w:r>
      <w:r w:rsidRPr="007F7EBF">
        <w:rPr>
          <w:sz w:val="22"/>
          <w:szCs w:val="22"/>
        </w:rPr>
        <w:t>transazione</w:t>
      </w:r>
      <w:r>
        <w:rPr>
          <w:sz w:val="22"/>
          <w:szCs w:val="22"/>
        </w:rPr>
        <w:t xml:space="preserve"> civilistica, coi suoi </w:t>
      </w:r>
      <w:r w:rsidR="004017F4" w:rsidRPr="008914EA">
        <w:t xml:space="preserve">tatticismi tra privati, </w:t>
      </w:r>
      <w:r>
        <w:t xml:space="preserve">ciascuno dei quali </w:t>
      </w:r>
      <w:r w:rsidR="004017F4" w:rsidRPr="008914EA">
        <w:t>cerca legittimamente di massimizzare la propria convenienza individuale</w:t>
      </w:r>
      <w:r w:rsidR="00DB020A">
        <w:t xml:space="preserve"> (</w:t>
      </w:r>
      <w:r w:rsidR="00DB020A">
        <w:rPr>
          <w:rStyle w:val="Rimandonotaapidipagina"/>
        </w:rPr>
        <w:footnoteReference w:id="781"/>
      </w:r>
      <w:r w:rsidR="00DB020A">
        <w:t>)</w:t>
      </w:r>
      <w:r w:rsidR="004017F4" w:rsidRPr="008914EA">
        <w:t xml:space="preserve">; </w:t>
      </w:r>
      <w:r w:rsidR="009412EA">
        <w:t xml:space="preserve">un privato può anche farsi </w:t>
      </w:r>
      <w:r>
        <w:t xml:space="preserve">forte di una sentenza ingiusta o della possibilità di essa, mentre il pubblico ufficio deve </w:t>
      </w:r>
      <w:r w:rsidR="00D5709F" w:rsidRPr="008914EA">
        <w:t xml:space="preserve">per sua natura </w:t>
      </w:r>
      <w:r w:rsidR="00BD69B9" w:rsidRPr="008914EA">
        <w:t>guarda</w:t>
      </w:r>
      <w:r w:rsidR="00D5709F" w:rsidRPr="008914EA">
        <w:t>re</w:t>
      </w:r>
      <w:r w:rsidR="00BD69B9" w:rsidRPr="008914EA">
        <w:t xml:space="preserve"> alla corretta determinazione dell’imposta</w:t>
      </w:r>
      <w:r w:rsidR="00C60015">
        <w:t xml:space="preserve">, senza profittare di sviste </w:t>
      </w:r>
      <w:r w:rsidR="00027B47" w:rsidRPr="008914EA">
        <w:t>del</w:t>
      </w:r>
      <w:r>
        <w:t xml:space="preserve">la controparte </w:t>
      </w:r>
      <w:r w:rsidR="00027B47" w:rsidRPr="008914EA">
        <w:t>privat</w:t>
      </w:r>
      <w:r>
        <w:t>a</w:t>
      </w:r>
      <w:r w:rsidR="00027B47" w:rsidRPr="008914EA">
        <w:t xml:space="preserve"> </w:t>
      </w:r>
      <w:r w:rsidR="00C60015">
        <w:t xml:space="preserve">o del disorientamento del giudice nella determinazione di vicende complesse, secondo gli atteggiamenti giurisprudenziali anticipati al par.6.2 sull’onere della prova e confermati al par.6.10 sulla tendenza dei giudici a risolvere i dubbi a favore dell’ufficio. </w:t>
      </w:r>
      <w:r w:rsidR="00D72332">
        <w:t xml:space="preserve">E’ quindi normale che la determinazione dell’imposta in adesione sia più favorevole per il contribuente di quella che potrebbe emergere in sede giurisdizionale, perché i giudici sono meno esperti, capaci e mentalmente attrezzati a determinare l’imposta rispetto agli uffici. </w:t>
      </w:r>
      <w:r w:rsidR="00361B60">
        <w:t xml:space="preserve">In un contesto di autodeterminazione dei tributi, in cui la maggior parte del gettito non proviene dagli uffici (par.5.7) un loro atteggiamento </w:t>
      </w:r>
      <w:r w:rsidR="004017F4" w:rsidRPr="000B4713">
        <w:rPr>
          <w:i/>
          <w:sz w:val="22"/>
          <w:szCs w:val="22"/>
        </w:rPr>
        <w:t>fiscalistico</w:t>
      </w:r>
      <w:r w:rsidR="004017F4">
        <w:rPr>
          <w:sz w:val="22"/>
          <w:szCs w:val="22"/>
        </w:rPr>
        <w:t xml:space="preserve"> </w:t>
      </w:r>
      <w:r w:rsidR="00455A13">
        <w:rPr>
          <w:sz w:val="22"/>
          <w:szCs w:val="22"/>
        </w:rPr>
        <w:t>sarebbe</w:t>
      </w:r>
      <w:r w:rsidR="004017F4">
        <w:rPr>
          <w:sz w:val="22"/>
          <w:szCs w:val="22"/>
        </w:rPr>
        <w:t xml:space="preserve"> addirittura controproducente per la funzione tributaria</w:t>
      </w:r>
      <w:r w:rsidR="00455A13">
        <w:rPr>
          <w:sz w:val="22"/>
          <w:szCs w:val="22"/>
        </w:rPr>
        <w:t xml:space="preserve"> </w:t>
      </w:r>
      <w:r w:rsidR="00D72332" w:rsidRPr="008914EA">
        <w:t>(</w:t>
      </w:r>
      <w:r w:rsidR="00D72332" w:rsidRPr="008914EA">
        <w:rPr>
          <w:rStyle w:val="Rimandonotaapidipagina"/>
        </w:rPr>
        <w:footnoteReference w:id="782"/>
      </w:r>
      <w:r w:rsidR="00D72332" w:rsidRPr="008914EA">
        <w:t>).</w:t>
      </w:r>
      <w:r w:rsidR="001872AF">
        <w:rPr>
          <w:sz w:val="22"/>
          <w:szCs w:val="22"/>
        </w:rPr>
        <w:t xml:space="preserve"> </w:t>
      </w:r>
      <w:r w:rsidR="00027B47" w:rsidRPr="007F7EBF">
        <w:t>Anche sotto questo profilo</w:t>
      </w:r>
      <w:r w:rsidR="00027B47">
        <w:t xml:space="preserve">, </w:t>
      </w:r>
      <w:r w:rsidR="00027B47" w:rsidRPr="007F7EBF">
        <w:t xml:space="preserve"> </w:t>
      </w:r>
      <w:r w:rsidR="00027B47" w:rsidRPr="007F7EBF">
        <w:lastRenderedPageBreak/>
        <w:t xml:space="preserve">l’espressione “strumenti deflativi del contenzioso” è fuorviante </w:t>
      </w:r>
      <w:r w:rsidR="001872AF">
        <w:t xml:space="preserve">in quanto </w:t>
      </w:r>
      <w:r w:rsidR="00027B47">
        <w:t>spinge cioè a proiettare sul contenzioso amministrativo il possibile esito de</w:t>
      </w:r>
      <w:r w:rsidR="00027B47" w:rsidRPr="007F7EBF">
        <w:t>l processo</w:t>
      </w:r>
      <w:r w:rsidR="001872AF">
        <w:t xml:space="preserve">. </w:t>
      </w:r>
      <w:r w:rsidR="00AF530A">
        <w:t xml:space="preserve">Questa </w:t>
      </w:r>
      <w:proofErr w:type="spellStart"/>
      <w:r w:rsidR="00AF530A">
        <w:t>processualizzazione</w:t>
      </w:r>
      <w:proofErr w:type="spellEnd"/>
      <w:r w:rsidR="00AF530A">
        <w:t xml:space="preserve"> riflette la </w:t>
      </w:r>
      <w:r w:rsidR="001872AF">
        <w:t xml:space="preserve">concezione </w:t>
      </w:r>
      <w:r w:rsidR="00AF530A">
        <w:t xml:space="preserve">privatistico-giurisdizionale </w:t>
      </w:r>
      <w:r w:rsidR="001872AF">
        <w:t xml:space="preserve">della funzione tributaria, </w:t>
      </w:r>
      <w:r w:rsidR="00AF530A">
        <w:t>di cui al par.4.3, che porta a considerare il processo, anziché l’ufficio tributario, come sede naturale dell</w:t>
      </w:r>
      <w:r w:rsidR="001872AF">
        <w:t xml:space="preserve">a determinazione </w:t>
      </w:r>
      <w:r w:rsidR="00AF530A">
        <w:t>delle imposte e dei loro presupposti economici</w:t>
      </w:r>
      <w:r w:rsidR="00027B47">
        <w:t xml:space="preserve">. </w:t>
      </w:r>
    </w:p>
    <w:p w14:paraId="1FFDCE40" w14:textId="77777777" w:rsidR="009E188E" w:rsidRPr="007F7EBF" w:rsidRDefault="009E188E" w:rsidP="009E188E">
      <w:pPr>
        <w:pStyle w:val="tit23"/>
        <w:ind w:left="6464" w:right="-1361" w:firstLine="0"/>
        <w:jc w:val="left"/>
        <w:rPr>
          <w:b/>
          <w:bCs/>
          <w:i/>
          <w:iCs/>
          <w:color w:val="0000FF"/>
          <w:lang w:val="it-IT"/>
        </w:rPr>
      </w:pPr>
      <w:r w:rsidRPr="007F7EBF">
        <w:rPr>
          <w:b/>
          <w:bCs/>
          <w:i/>
          <w:iCs/>
          <w:color w:val="0000FF"/>
          <w:lang w:val="it-IT"/>
        </w:rPr>
        <w:t>Profili da contemperare</w:t>
      </w:r>
    </w:p>
    <w:p w14:paraId="08FF2881" w14:textId="4C85CC85" w:rsidR="0062712D" w:rsidRDefault="00387BC4" w:rsidP="00AA7FF6">
      <w:pPr>
        <w:autoSpaceDE w:val="0"/>
        <w:autoSpaceDN w:val="0"/>
        <w:adjustRightInd w:val="0"/>
        <w:rPr>
          <w:sz w:val="22"/>
          <w:szCs w:val="22"/>
        </w:rPr>
      </w:pPr>
      <w:r w:rsidRPr="007F7EBF">
        <w:rPr>
          <w:sz w:val="22"/>
          <w:szCs w:val="22"/>
        </w:rPr>
        <w:t xml:space="preserve">Il contenzioso amministrativo </w:t>
      </w:r>
      <w:r w:rsidR="00B80B5D">
        <w:rPr>
          <w:sz w:val="22"/>
          <w:szCs w:val="22"/>
        </w:rPr>
        <w:t>arricchisce la</w:t>
      </w:r>
      <w:r w:rsidR="00D85ACB" w:rsidRPr="007F7EBF">
        <w:rPr>
          <w:sz w:val="22"/>
          <w:szCs w:val="22"/>
        </w:rPr>
        <w:t xml:space="preserve"> determinazione dei tributi</w:t>
      </w:r>
      <w:r w:rsidR="00B80B5D">
        <w:rPr>
          <w:sz w:val="22"/>
          <w:szCs w:val="22"/>
        </w:rPr>
        <w:t xml:space="preserve"> con </w:t>
      </w:r>
      <w:r w:rsidR="00D85ACB" w:rsidRPr="007F7EBF">
        <w:rPr>
          <w:sz w:val="22"/>
          <w:szCs w:val="22"/>
        </w:rPr>
        <w:t>la partecipazione del privato</w:t>
      </w:r>
      <w:r w:rsidR="00BE4718">
        <w:rPr>
          <w:sz w:val="22"/>
          <w:szCs w:val="22"/>
        </w:rPr>
        <w:t>, in un esempio di quel contraddittorio procedimentale di cui al par.6.1, esaltato solo a parole e riduttivamente considerato come strumentale motivo d’impugnazion</w:t>
      </w:r>
      <w:r w:rsidR="0018632F">
        <w:rPr>
          <w:sz w:val="22"/>
          <w:szCs w:val="22"/>
        </w:rPr>
        <w:t>e processual</w:t>
      </w:r>
      <w:r w:rsidR="00BE4718">
        <w:rPr>
          <w:sz w:val="22"/>
          <w:szCs w:val="22"/>
        </w:rPr>
        <w:t>e</w:t>
      </w:r>
      <w:r w:rsidR="0018632F">
        <w:rPr>
          <w:sz w:val="22"/>
          <w:szCs w:val="22"/>
        </w:rPr>
        <w:t>; quest’ultima rivest</w:t>
      </w:r>
      <w:r w:rsidR="0062712D">
        <w:rPr>
          <w:sz w:val="22"/>
          <w:szCs w:val="22"/>
        </w:rPr>
        <w:t>e</w:t>
      </w:r>
      <w:r w:rsidR="0018632F">
        <w:rPr>
          <w:sz w:val="22"/>
          <w:szCs w:val="22"/>
        </w:rPr>
        <w:t xml:space="preserve"> casomai u</w:t>
      </w:r>
      <w:r w:rsidR="001D5308">
        <w:rPr>
          <w:sz w:val="22"/>
          <w:szCs w:val="22"/>
        </w:rPr>
        <w:t xml:space="preserve">na qualche rilevanza </w:t>
      </w:r>
      <w:r w:rsidR="0018632F">
        <w:rPr>
          <w:sz w:val="22"/>
          <w:szCs w:val="22"/>
        </w:rPr>
        <w:t xml:space="preserve">in termini di </w:t>
      </w:r>
      <w:r w:rsidR="00924EB4" w:rsidRPr="007F7EBF">
        <w:rPr>
          <w:sz w:val="22"/>
          <w:szCs w:val="22"/>
        </w:rPr>
        <w:t>costi di gestione della lite</w:t>
      </w:r>
      <w:r w:rsidR="0018632F">
        <w:rPr>
          <w:bCs/>
          <w:sz w:val="22"/>
          <w:szCs w:val="22"/>
        </w:rPr>
        <w:t xml:space="preserve"> (</w:t>
      </w:r>
      <w:r w:rsidR="001D5308">
        <w:rPr>
          <w:bCs/>
          <w:sz w:val="22"/>
          <w:szCs w:val="22"/>
        </w:rPr>
        <w:t>economicità dell’azione amministrativa</w:t>
      </w:r>
      <w:r w:rsidR="0018632F">
        <w:rPr>
          <w:bCs/>
          <w:sz w:val="22"/>
          <w:szCs w:val="22"/>
        </w:rPr>
        <w:t>)</w:t>
      </w:r>
      <w:r w:rsidR="0062712D">
        <w:rPr>
          <w:bCs/>
          <w:sz w:val="22"/>
          <w:szCs w:val="22"/>
        </w:rPr>
        <w:t>,</w:t>
      </w:r>
      <w:r w:rsidR="0018632F">
        <w:rPr>
          <w:bCs/>
          <w:sz w:val="22"/>
          <w:szCs w:val="22"/>
        </w:rPr>
        <w:t xml:space="preserve"> </w:t>
      </w:r>
      <w:r w:rsidR="0062712D">
        <w:rPr>
          <w:bCs/>
          <w:sz w:val="22"/>
          <w:szCs w:val="22"/>
        </w:rPr>
        <w:t xml:space="preserve">ma il grosso riguarda </w:t>
      </w:r>
      <w:r w:rsidR="0018632F" w:rsidRPr="007F7EBF">
        <w:rPr>
          <w:sz w:val="22"/>
          <w:szCs w:val="22"/>
        </w:rPr>
        <w:t>le argomentazioni rilevanti per determina</w:t>
      </w:r>
      <w:r w:rsidR="0018632F">
        <w:rPr>
          <w:sz w:val="22"/>
          <w:szCs w:val="22"/>
        </w:rPr>
        <w:t>r</w:t>
      </w:r>
      <w:r w:rsidR="0018632F" w:rsidRPr="007F7EBF">
        <w:rPr>
          <w:sz w:val="22"/>
          <w:szCs w:val="22"/>
        </w:rPr>
        <w:t>e l’imponibile</w:t>
      </w:r>
      <w:r w:rsidR="0018632F">
        <w:rPr>
          <w:sz w:val="22"/>
          <w:szCs w:val="22"/>
        </w:rPr>
        <w:t>, e quindi l’imposta</w:t>
      </w:r>
      <w:r w:rsidR="0018632F" w:rsidRPr="007F7EBF">
        <w:rPr>
          <w:sz w:val="22"/>
          <w:szCs w:val="22"/>
        </w:rPr>
        <w:t xml:space="preserve">; </w:t>
      </w:r>
      <w:r w:rsidR="0062712D">
        <w:rPr>
          <w:sz w:val="22"/>
          <w:szCs w:val="22"/>
        </w:rPr>
        <w:t xml:space="preserve">chi afferma che questa determinazione deve essere accuratissima sin dall’inizio, cioè dall’avviso di accertamento, non considera la scarsità di risorse disponibili e il numero di contribuenti; è quindi </w:t>
      </w:r>
      <w:r w:rsidR="0018632F" w:rsidRPr="007F7EBF">
        <w:rPr>
          <w:sz w:val="22"/>
          <w:szCs w:val="22"/>
        </w:rPr>
        <w:t xml:space="preserve">comprensibile </w:t>
      </w:r>
      <w:r w:rsidR="0018632F">
        <w:rPr>
          <w:sz w:val="22"/>
          <w:szCs w:val="22"/>
        </w:rPr>
        <w:t>procedere</w:t>
      </w:r>
      <w:r w:rsidR="0018632F" w:rsidRPr="007F7EBF">
        <w:rPr>
          <w:sz w:val="22"/>
          <w:szCs w:val="22"/>
        </w:rPr>
        <w:t xml:space="preserve"> “a passaggi successivi”, </w:t>
      </w:r>
      <w:r w:rsidR="0062712D">
        <w:rPr>
          <w:sz w:val="22"/>
          <w:szCs w:val="22"/>
        </w:rPr>
        <w:t xml:space="preserve">in termini di ordine di grandezza, </w:t>
      </w:r>
      <w:r w:rsidR="0018632F">
        <w:rPr>
          <w:sz w:val="22"/>
          <w:szCs w:val="22"/>
        </w:rPr>
        <w:t>anche tenendo conto delle reazioni del contribuente</w:t>
      </w:r>
      <w:r w:rsidR="0062712D">
        <w:rPr>
          <w:sz w:val="22"/>
          <w:szCs w:val="22"/>
        </w:rPr>
        <w:t xml:space="preserve"> (</w:t>
      </w:r>
      <w:r w:rsidR="0062712D">
        <w:rPr>
          <w:rStyle w:val="Rimandonotaapidipagina"/>
          <w:sz w:val="22"/>
          <w:szCs w:val="22"/>
        </w:rPr>
        <w:footnoteReference w:id="783"/>
      </w:r>
      <w:r w:rsidR="0062712D">
        <w:rPr>
          <w:sz w:val="22"/>
          <w:szCs w:val="22"/>
        </w:rPr>
        <w:t>). Dovrebbe rilevare anche l’</w:t>
      </w:r>
      <w:r w:rsidR="001D5308">
        <w:rPr>
          <w:bCs/>
          <w:sz w:val="22"/>
          <w:szCs w:val="22"/>
        </w:rPr>
        <w:t xml:space="preserve">omogeneità </w:t>
      </w:r>
      <w:r w:rsidR="0062712D">
        <w:rPr>
          <w:bCs/>
          <w:sz w:val="22"/>
          <w:szCs w:val="22"/>
        </w:rPr>
        <w:t xml:space="preserve">della definizione </w:t>
      </w:r>
      <w:r w:rsidR="001D5308">
        <w:rPr>
          <w:bCs/>
          <w:sz w:val="22"/>
          <w:szCs w:val="22"/>
        </w:rPr>
        <w:t>rispetto a situazioni simili</w:t>
      </w:r>
      <w:r w:rsidR="0062712D">
        <w:rPr>
          <w:bCs/>
          <w:sz w:val="22"/>
          <w:szCs w:val="22"/>
        </w:rPr>
        <w:t>, esaminate da</w:t>
      </w:r>
      <w:r w:rsidR="001D5308">
        <w:rPr>
          <w:bCs/>
          <w:sz w:val="22"/>
          <w:szCs w:val="22"/>
        </w:rPr>
        <w:t>lla prassi degli uffici</w:t>
      </w:r>
      <w:r w:rsidR="006C51EC">
        <w:rPr>
          <w:sz w:val="22"/>
          <w:szCs w:val="22"/>
        </w:rPr>
        <w:t>(</w:t>
      </w:r>
      <w:r w:rsidR="006C51EC" w:rsidRPr="007F7EBF">
        <w:rPr>
          <w:rStyle w:val="Rimandonotaapidipagina"/>
          <w:sz w:val="22"/>
          <w:szCs w:val="22"/>
        </w:rPr>
        <w:footnoteReference w:id="784"/>
      </w:r>
      <w:r w:rsidR="006C51EC" w:rsidRPr="007F7EBF">
        <w:rPr>
          <w:sz w:val="22"/>
          <w:szCs w:val="22"/>
        </w:rPr>
        <w:t>)</w:t>
      </w:r>
      <w:r w:rsidR="00924EB4" w:rsidRPr="007F7EBF">
        <w:rPr>
          <w:sz w:val="22"/>
          <w:szCs w:val="22"/>
        </w:rPr>
        <w:t xml:space="preserve">. </w:t>
      </w:r>
      <w:r w:rsidR="0062712D">
        <w:rPr>
          <w:sz w:val="22"/>
          <w:szCs w:val="22"/>
        </w:rPr>
        <w:t>L</w:t>
      </w:r>
      <w:r w:rsidR="00AA7FF6" w:rsidRPr="007F7EBF">
        <w:rPr>
          <w:sz w:val="22"/>
          <w:szCs w:val="22"/>
        </w:rPr>
        <w:t>a solvibilità</w:t>
      </w:r>
      <w:r w:rsidR="00AA7FF6">
        <w:rPr>
          <w:sz w:val="22"/>
          <w:szCs w:val="22"/>
        </w:rPr>
        <w:t xml:space="preserve"> finanziaria</w:t>
      </w:r>
      <w:r w:rsidR="00C35693">
        <w:rPr>
          <w:sz w:val="22"/>
          <w:szCs w:val="22"/>
        </w:rPr>
        <w:t xml:space="preserve"> </w:t>
      </w:r>
      <w:r w:rsidR="0062712D">
        <w:rPr>
          <w:sz w:val="22"/>
          <w:szCs w:val="22"/>
        </w:rPr>
        <w:t xml:space="preserve">del contribuente </w:t>
      </w:r>
      <w:r w:rsidR="00C35693">
        <w:rPr>
          <w:sz w:val="22"/>
          <w:szCs w:val="22"/>
        </w:rPr>
        <w:t xml:space="preserve">non rileva </w:t>
      </w:r>
      <w:r w:rsidR="00AA7FF6" w:rsidRPr="007F7EBF">
        <w:rPr>
          <w:sz w:val="22"/>
          <w:szCs w:val="22"/>
        </w:rPr>
        <w:t>invece ai fini del</w:t>
      </w:r>
      <w:r w:rsidR="00C35693">
        <w:rPr>
          <w:sz w:val="22"/>
          <w:szCs w:val="22"/>
        </w:rPr>
        <w:t>la determinazione dell’imposta, ma attiene al</w:t>
      </w:r>
      <w:r w:rsidR="00AA7FF6">
        <w:rPr>
          <w:sz w:val="22"/>
          <w:szCs w:val="22"/>
        </w:rPr>
        <w:t xml:space="preserve"> diverso aspetto della</w:t>
      </w:r>
      <w:r w:rsidR="00AA7FF6" w:rsidRPr="007F7EBF">
        <w:rPr>
          <w:sz w:val="22"/>
          <w:szCs w:val="22"/>
        </w:rPr>
        <w:t xml:space="preserve"> riscossione</w:t>
      </w:r>
      <w:r w:rsidR="00C35693">
        <w:rPr>
          <w:sz w:val="22"/>
          <w:szCs w:val="22"/>
        </w:rPr>
        <w:t>, come diremo per la “transazione fiscale” ai par.6.11 e 7.21</w:t>
      </w:r>
      <w:r w:rsidR="00AA7FF6" w:rsidRPr="007F7EBF">
        <w:rPr>
          <w:sz w:val="22"/>
          <w:szCs w:val="22"/>
        </w:rPr>
        <w:t xml:space="preserve">. </w:t>
      </w:r>
      <w:r w:rsidR="0062712D">
        <w:rPr>
          <w:sz w:val="22"/>
          <w:szCs w:val="22"/>
        </w:rPr>
        <w:t xml:space="preserve">A maggior ragione non rilevano i profili extra tributari di cui al par.5.10, </w:t>
      </w:r>
      <w:r w:rsidR="0062712D" w:rsidRPr="007F7EBF">
        <w:rPr>
          <w:sz w:val="22"/>
          <w:szCs w:val="22"/>
        </w:rPr>
        <w:t xml:space="preserve">come </w:t>
      </w:r>
      <w:r w:rsidR="0062712D" w:rsidRPr="007F7EBF">
        <w:rPr>
          <w:bCs/>
          <w:sz w:val="22"/>
          <w:szCs w:val="22"/>
        </w:rPr>
        <w:t xml:space="preserve">la </w:t>
      </w:r>
      <w:proofErr w:type="spellStart"/>
      <w:r w:rsidR="0062712D" w:rsidRPr="007F7EBF">
        <w:rPr>
          <w:bCs/>
          <w:sz w:val="22"/>
          <w:szCs w:val="22"/>
        </w:rPr>
        <w:t>meritevolezza</w:t>
      </w:r>
      <w:proofErr w:type="spellEnd"/>
      <w:r w:rsidR="0062712D" w:rsidRPr="007F7EBF">
        <w:rPr>
          <w:bCs/>
          <w:sz w:val="22"/>
          <w:szCs w:val="22"/>
        </w:rPr>
        <w:t xml:space="preserve"> economico-sociale dell'attività, le </w:t>
      </w:r>
      <w:r w:rsidR="0062712D" w:rsidRPr="007F7EBF">
        <w:rPr>
          <w:sz w:val="22"/>
          <w:szCs w:val="22"/>
        </w:rPr>
        <w:t>condizioni personali e familiari del contribuente, la correttezza e buona fede nel suo comportamento</w:t>
      </w:r>
      <w:r w:rsidR="0062712D">
        <w:rPr>
          <w:sz w:val="22"/>
          <w:szCs w:val="22"/>
        </w:rPr>
        <w:t xml:space="preserve">. </w:t>
      </w:r>
    </w:p>
    <w:p w14:paraId="48032B99" w14:textId="7BA8778C" w:rsidR="00E21D35" w:rsidRDefault="001D5308" w:rsidP="00AA7FF6">
      <w:pPr>
        <w:autoSpaceDE w:val="0"/>
        <w:autoSpaceDN w:val="0"/>
        <w:adjustRightInd w:val="0"/>
        <w:rPr>
          <w:sz w:val="22"/>
          <w:szCs w:val="22"/>
        </w:rPr>
      </w:pPr>
      <w:r w:rsidRPr="007F7EBF">
        <w:rPr>
          <w:sz w:val="22"/>
          <w:szCs w:val="22"/>
        </w:rPr>
        <w:lastRenderedPageBreak/>
        <w:t xml:space="preserve">Si tratta di </w:t>
      </w:r>
      <w:r>
        <w:rPr>
          <w:sz w:val="22"/>
          <w:szCs w:val="22"/>
        </w:rPr>
        <w:t>vari</w:t>
      </w:r>
      <w:r w:rsidRPr="007F7EBF">
        <w:rPr>
          <w:sz w:val="22"/>
          <w:szCs w:val="22"/>
        </w:rPr>
        <w:t xml:space="preserve"> profili </w:t>
      </w:r>
      <w:r>
        <w:rPr>
          <w:sz w:val="22"/>
          <w:szCs w:val="22"/>
        </w:rPr>
        <w:t xml:space="preserve">sotto cui </w:t>
      </w:r>
      <w:r w:rsidRPr="007F7EBF">
        <w:rPr>
          <w:sz w:val="22"/>
          <w:szCs w:val="22"/>
        </w:rPr>
        <w:t xml:space="preserve">valutare l'interesse primario a una perequata determinazione dei tributi, </w:t>
      </w:r>
      <w:r>
        <w:rPr>
          <w:sz w:val="22"/>
          <w:szCs w:val="22"/>
        </w:rPr>
        <w:t xml:space="preserve">con una decisione che esprime </w:t>
      </w:r>
      <w:r w:rsidRPr="007F7EBF">
        <w:rPr>
          <w:bCs/>
          <w:sz w:val="22"/>
          <w:szCs w:val="22"/>
        </w:rPr>
        <w:t>discrezionalità amministrativa</w:t>
      </w:r>
      <w:r>
        <w:rPr>
          <w:bCs/>
          <w:sz w:val="22"/>
          <w:szCs w:val="22"/>
        </w:rPr>
        <w:t xml:space="preserve"> nei termini indicati al par.5.10</w:t>
      </w:r>
      <w:r w:rsidRPr="007F7EBF">
        <w:rPr>
          <w:sz w:val="22"/>
          <w:szCs w:val="22"/>
        </w:rPr>
        <w:t>.</w:t>
      </w:r>
    </w:p>
    <w:p w14:paraId="3C0798BC" w14:textId="77777777" w:rsidR="009E188E" w:rsidRPr="007F7EBF" w:rsidRDefault="00E21D35" w:rsidP="009E188E">
      <w:pPr>
        <w:pStyle w:val="tit23"/>
        <w:ind w:left="6464" w:right="-1361" w:firstLine="0"/>
        <w:jc w:val="left"/>
        <w:rPr>
          <w:b/>
          <w:bCs/>
          <w:i/>
          <w:iCs/>
          <w:color w:val="0000FF"/>
          <w:lang w:val="it-IT"/>
        </w:rPr>
      </w:pPr>
      <w:r>
        <w:rPr>
          <w:b/>
          <w:bCs/>
          <w:i/>
          <w:iCs/>
          <w:color w:val="0000FF"/>
          <w:lang w:val="it-IT"/>
        </w:rPr>
        <w:t>Tipologie di controversie e definizione</w:t>
      </w:r>
    </w:p>
    <w:p w14:paraId="6F4D6C7F" w14:textId="77777777" w:rsidR="006D41D2" w:rsidRDefault="00506BA3" w:rsidP="009E188E">
      <w:pPr>
        <w:autoSpaceDE w:val="0"/>
        <w:autoSpaceDN w:val="0"/>
        <w:adjustRightInd w:val="0"/>
        <w:rPr>
          <w:sz w:val="22"/>
          <w:szCs w:val="22"/>
        </w:rPr>
      </w:pPr>
      <w:r w:rsidRPr="007F7EBF">
        <w:rPr>
          <w:sz w:val="22"/>
          <w:szCs w:val="22"/>
        </w:rPr>
        <w:t>Le questioni più adatte a una definizione nel con</w:t>
      </w:r>
      <w:r w:rsidR="0026378A" w:rsidRPr="007F7EBF">
        <w:rPr>
          <w:sz w:val="22"/>
          <w:szCs w:val="22"/>
        </w:rPr>
        <w:t xml:space="preserve">tenzioso amministrativo sono </w:t>
      </w:r>
      <w:r w:rsidR="006342C5" w:rsidRPr="007F7EBF">
        <w:rPr>
          <w:bCs/>
          <w:sz w:val="22"/>
          <w:szCs w:val="22"/>
        </w:rPr>
        <w:t>le stime e le valutazioni</w:t>
      </w:r>
      <w:r w:rsidR="00147907" w:rsidRPr="007F7EBF">
        <w:rPr>
          <w:bCs/>
          <w:sz w:val="22"/>
          <w:szCs w:val="22"/>
        </w:rPr>
        <w:t xml:space="preserve"> </w:t>
      </w:r>
      <w:r w:rsidR="003B0A23" w:rsidRPr="007F7EBF">
        <w:rPr>
          <w:bCs/>
          <w:sz w:val="22"/>
          <w:szCs w:val="22"/>
        </w:rPr>
        <w:t>per ordine di grandezza (</w:t>
      </w:r>
      <w:r w:rsidR="0026378A" w:rsidRPr="007F7EBF">
        <w:rPr>
          <w:rStyle w:val="Rimandonotaapidipagina"/>
          <w:bCs/>
          <w:sz w:val="22"/>
          <w:szCs w:val="22"/>
        </w:rPr>
        <w:footnoteReference w:id="785"/>
      </w:r>
      <w:r w:rsidR="003B0A23" w:rsidRPr="007F7EBF">
        <w:rPr>
          <w:bCs/>
          <w:sz w:val="22"/>
          <w:szCs w:val="22"/>
        </w:rPr>
        <w:t>)</w:t>
      </w:r>
      <w:r w:rsidR="001D5308">
        <w:rPr>
          <w:sz w:val="22"/>
          <w:szCs w:val="22"/>
        </w:rPr>
        <w:t xml:space="preserve">, senza </w:t>
      </w:r>
      <w:r w:rsidR="0026378A" w:rsidRPr="007F7EBF">
        <w:rPr>
          <w:sz w:val="22"/>
          <w:szCs w:val="22"/>
        </w:rPr>
        <w:t xml:space="preserve">però limiti </w:t>
      </w:r>
      <w:r w:rsidR="001D5308">
        <w:rPr>
          <w:sz w:val="22"/>
          <w:szCs w:val="22"/>
        </w:rPr>
        <w:t>pregiudiziali</w:t>
      </w:r>
      <w:r w:rsidR="00545DFB" w:rsidRPr="007F7EBF">
        <w:rPr>
          <w:sz w:val="22"/>
          <w:szCs w:val="22"/>
        </w:rPr>
        <w:t xml:space="preserve"> alle controversie </w:t>
      </w:r>
      <w:r w:rsidR="0026378A" w:rsidRPr="007F7EBF">
        <w:rPr>
          <w:sz w:val="22"/>
          <w:szCs w:val="22"/>
        </w:rPr>
        <w:t>defini</w:t>
      </w:r>
      <w:r w:rsidR="00545DFB" w:rsidRPr="007F7EBF">
        <w:rPr>
          <w:sz w:val="22"/>
          <w:szCs w:val="22"/>
        </w:rPr>
        <w:t>bili</w:t>
      </w:r>
      <w:r w:rsidR="0026378A" w:rsidRPr="007F7EBF">
        <w:rPr>
          <w:sz w:val="22"/>
          <w:szCs w:val="22"/>
        </w:rPr>
        <w:t xml:space="preserve"> in questo modo, comprese </w:t>
      </w:r>
      <w:r w:rsidR="003B0A23" w:rsidRPr="007F7EBF">
        <w:rPr>
          <w:sz w:val="22"/>
          <w:szCs w:val="22"/>
        </w:rPr>
        <w:t>le contestazioni interp</w:t>
      </w:r>
      <w:r w:rsidR="0026378A" w:rsidRPr="007F7EBF">
        <w:rPr>
          <w:sz w:val="22"/>
          <w:szCs w:val="22"/>
        </w:rPr>
        <w:t xml:space="preserve">retative (par.3.10 e 5.17 </w:t>
      </w:r>
      <w:proofErr w:type="spellStart"/>
      <w:r w:rsidR="0026378A" w:rsidRPr="007F7EBF">
        <w:rPr>
          <w:sz w:val="22"/>
          <w:szCs w:val="22"/>
        </w:rPr>
        <w:t>ss</w:t>
      </w:r>
      <w:proofErr w:type="spellEnd"/>
      <w:r w:rsidR="0026378A" w:rsidRPr="007F7EBF">
        <w:rPr>
          <w:sz w:val="22"/>
          <w:szCs w:val="22"/>
        </w:rPr>
        <w:t xml:space="preserve">), anche quando si presentano isolate </w:t>
      </w:r>
      <w:r w:rsidR="003B0A23" w:rsidRPr="007F7EBF">
        <w:rPr>
          <w:sz w:val="22"/>
          <w:szCs w:val="22"/>
        </w:rPr>
        <w:t xml:space="preserve"> </w:t>
      </w:r>
      <w:r w:rsidR="0042708B">
        <w:rPr>
          <w:sz w:val="22"/>
          <w:szCs w:val="22"/>
        </w:rPr>
        <w:t>(</w:t>
      </w:r>
      <w:r w:rsidR="00183835" w:rsidRPr="007F7EBF">
        <w:rPr>
          <w:rStyle w:val="Rimandonotaapidipagina"/>
          <w:sz w:val="22"/>
          <w:szCs w:val="22"/>
        </w:rPr>
        <w:footnoteReference w:id="786"/>
      </w:r>
      <w:r w:rsidR="0042708B">
        <w:rPr>
          <w:sz w:val="22"/>
          <w:szCs w:val="22"/>
        </w:rPr>
        <w:t>)</w:t>
      </w:r>
      <w:r w:rsidR="001777E3" w:rsidRPr="007F7EBF">
        <w:rPr>
          <w:sz w:val="22"/>
          <w:szCs w:val="22"/>
        </w:rPr>
        <w:t>; v</w:t>
      </w:r>
      <w:r w:rsidR="006342C5" w:rsidRPr="007F7EBF">
        <w:rPr>
          <w:sz w:val="22"/>
          <w:szCs w:val="22"/>
        </w:rPr>
        <w:t xml:space="preserve">edremo </w:t>
      </w:r>
      <w:r w:rsidR="00AA7FF6">
        <w:rPr>
          <w:sz w:val="22"/>
          <w:szCs w:val="22"/>
        </w:rPr>
        <w:t xml:space="preserve">anzi </w:t>
      </w:r>
      <w:r w:rsidR="006342C5" w:rsidRPr="007F7EBF">
        <w:rPr>
          <w:sz w:val="22"/>
          <w:szCs w:val="22"/>
        </w:rPr>
        <w:t xml:space="preserve">al prossimo paragrafo </w:t>
      </w:r>
      <w:r w:rsidR="00924EB4" w:rsidRPr="007F7EBF">
        <w:rPr>
          <w:sz w:val="22"/>
          <w:szCs w:val="22"/>
        </w:rPr>
        <w:t>per quali motivi</w:t>
      </w:r>
      <w:r w:rsidR="006342C5" w:rsidRPr="007F7EBF">
        <w:rPr>
          <w:sz w:val="22"/>
          <w:szCs w:val="22"/>
        </w:rPr>
        <w:t xml:space="preserve"> proprio </w:t>
      </w:r>
      <w:r w:rsidR="0026378A" w:rsidRPr="007F7EBF">
        <w:rPr>
          <w:sz w:val="22"/>
          <w:szCs w:val="22"/>
        </w:rPr>
        <w:t>sulle questioni interpretative</w:t>
      </w:r>
      <w:r w:rsidR="003B0A23" w:rsidRPr="007F7EBF">
        <w:rPr>
          <w:sz w:val="22"/>
          <w:szCs w:val="22"/>
        </w:rPr>
        <w:t xml:space="preserve"> le adesioni hanno il massimo success</w:t>
      </w:r>
      <w:r w:rsidR="00AA7FF6">
        <w:rPr>
          <w:sz w:val="22"/>
          <w:szCs w:val="22"/>
        </w:rPr>
        <w:t xml:space="preserve">o, mentre l’esito è meno brillante sulle </w:t>
      </w:r>
      <w:r w:rsidR="00AA7FF6" w:rsidRPr="007F7EBF">
        <w:t>questioni di stima</w:t>
      </w:r>
      <w:r w:rsidR="00E21D35">
        <w:t>, frequenti e di ridotto ammontare</w:t>
      </w:r>
      <w:r w:rsidR="006342C5" w:rsidRPr="007F7EBF">
        <w:rPr>
          <w:sz w:val="22"/>
          <w:szCs w:val="22"/>
        </w:rPr>
        <w:t>.</w:t>
      </w:r>
      <w:r w:rsidR="001C597A" w:rsidRPr="007F7EBF">
        <w:rPr>
          <w:sz w:val="22"/>
          <w:szCs w:val="22"/>
        </w:rPr>
        <w:t xml:space="preserve"> </w:t>
      </w:r>
    </w:p>
    <w:p w14:paraId="35EBCC4D" w14:textId="06BBD7AB" w:rsidR="009E188E" w:rsidRPr="007F7EBF" w:rsidRDefault="006D41D2" w:rsidP="009E188E">
      <w:pPr>
        <w:autoSpaceDE w:val="0"/>
        <w:autoSpaceDN w:val="0"/>
        <w:adjustRightInd w:val="0"/>
        <w:rPr>
          <w:sz w:val="22"/>
          <w:szCs w:val="22"/>
        </w:rPr>
      </w:pPr>
      <w:r>
        <w:rPr>
          <w:bCs/>
          <w:sz w:val="22"/>
          <w:szCs w:val="22"/>
        </w:rPr>
        <w:t>Le definizioni riguardano le potenziali contestazioni, non un indifferenziato tributo dovuto per periodo di imposta, che si articola in una pluralità di elementi, potenzialmente oggetto di determinazioni e di contenziosi paralleli, amministrativi e giurisdizionali.</w:t>
      </w:r>
    </w:p>
    <w:p w14:paraId="320970D4" w14:textId="7D75815E" w:rsidR="009E188E" w:rsidRPr="007F7EBF" w:rsidRDefault="00BB4690" w:rsidP="009E188E">
      <w:pPr>
        <w:pStyle w:val="tit23"/>
        <w:ind w:left="6464" w:right="-1361" w:firstLine="0"/>
        <w:jc w:val="left"/>
        <w:rPr>
          <w:bCs/>
          <w:i/>
          <w:iCs/>
          <w:color w:val="0000FF"/>
          <w:lang w:val="it-IT"/>
        </w:rPr>
      </w:pPr>
      <w:r>
        <w:rPr>
          <w:bCs/>
          <w:i/>
          <w:iCs/>
          <w:color w:val="0000FF"/>
          <w:lang w:val="it-IT"/>
        </w:rPr>
        <w:t>Aspetti procedurali e rinvio</w:t>
      </w:r>
    </w:p>
    <w:p w14:paraId="4108921C" w14:textId="5CE22973" w:rsidR="009E188E" w:rsidRPr="007F7EBF" w:rsidRDefault="00BB4690" w:rsidP="009E188E">
      <w:pPr>
        <w:autoSpaceDE w:val="0"/>
        <w:autoSpaceDN w:val="0"/>
        <w:adjustRightInd w:val="0"/>
        <w:rPr>
          <w:sz w:val="22"/>
          <w:szCs w:val="22"/>
        </w:rPr>
      </w:pPr>
      <w:r w:rsidRPr="007F7EBF">
        <w:rPr>
          <w:sz w:val="22"/>
          <w:szCs w:val="22"/>
        </w:rPr>
        <w:t>Alcuni requisiti legislativi della procedura sono intuitivi, come la necessità di una istanza del contribuente</w:t>
      </w:r>
      <w:r>
        <w:rPr>
          <w:sz w:val="22"/>
          <w:szCs w:val="22"/>
        </w:rPr>
        <w:t xml:space="preserve"> </w:t>
      </w:r>
      <w:r w:rsidRPr="007F7EBF">
        <w:rPr>
          <w:bCs/>
          <w:sz w:val="22"/>
          <w:szCs w:val="22"/>
        </w:rPr>
        <w:t xml:space="preserve">allo stesso ufficio </w:t>
      </w:r>
      <w:r w:rsidRPr="007F7EBF">
        <w:rPr>
          <w:sz w:val="22"/>
          <w:szCs w:val="22"/>
        </w:rPr>
        <w:t>che ha emesso l’atto impugnato</w:t>
      </w:r>
      <w:r w:rsidR="0042708B">
        <w:rPr>
          <w:sz w:val="22"/>
          <w:szCs w:val="22"/>
        </w:rPr>
        <w:t xml:space="preserve"> (</w:t>
      </w:r>
      <w:r w:rsidRPr="007F7EBF">
        <w:rPr>
          <w:rStyle w:val="Rimandonotaapidipagina"/>
          <w:sz w:val="22"/>
          <w:szCs w:val="22"/>
        </w:rPr>
        <w:footnoteReference w:id="787"/>
      </w:r>
      <w:r w:rsidR="0042708B">
        <w:rPr>
          <w:sz w:val="22"/>
          <w:szCs w:val="22"/>
        </w:rPr>
        <w:t>)</w:t>
      </w:r>
      <w:r w:rsidRPr="007F7EBF">
        <w:rPr>
          <w:sz w:val="22"/>
          <w:szCs w:val="22"/>
        </w:rPr>
        <w:t xml:space="preserve">, una sua </w:t>
      </w:r>
      <w:r w:rsidRPr="007F7EBF">
        <w:rPr>
          <w:bCs/>
          <w:sz w:val="22"/>
          <w:szCs w:val="22"/>
        </w:rPr>
        <w:t xml:space="preserve">audizione </w:t>
      </w:r>
      <w:r w:rsidRPr="007F7EBF">
        <w:rPr>
          <w:sz w:val="22"/>
          <w:szCs w:val="22"/>
        </w:rPr>
        <w:t xml:space="preserve">ed una </w:t>
      </w:r>
      <w:r w:rsidRPr="007F7EBF">
        <w:rPr>
          <w:bCs/>
          <w:sz w:val="22"/>
          <w:szCs w:val="22"/>
        </w:rPr>
        <w:t xml:space="preserve">verbalizzazione </w:t>
      </w:r>
      <w:r w:rsidRPr="007F7EBF">
        <w:rPr>
          <w:sz w:val="22"/>
          <w:szCs w:val="22"/>
        </w:rPr>
        <w:t>dei relativi colloqui</w:t>
      </w:r>
      <w:r w:rsidR="0042708B">
        <w:rPr>
          <w:sz w:val="22"/>
          <w:szCs w:val="22"/>
        </w:rPr>
        <w:t xml:space="preserve">. </w:t>
      </w:r>
      <w:r w:rsidR="006342C5" w:rsidRPr="007F7EBF">
        <w:rPr>
          <w:sz w:val="22"/>
          <w:szCs w:val="22"/>
        </w:rPr>
        <w:t xml:space="preserve">La </w:t>
      </w:r>
      <w:r w:rsidR="00AB3DC5">
        <w:rPr>
          <w:bCs/>
          <w:sz w:val="22"/>
          <w:szCs w:val="22"/>
        </w:rPr>
        <w:t xml:space="preserve">normativa sulle procedure in esame </w:t>
      </w:r>
      <w:r w:rsidR="001D5308">
        <w:rPr>
          <w:sz w:val="22"/>
          <w:szCs w:val="22"/>
        </w:rPr>
        <w:t>cont</w:t>
      </w:r>
      <w:r w:rsidR="00AB3DC5">
        <w:rPr>
          <w:sz w:val="22"/>
          <w:szCs w:val="22"/>
        </w:rPr>
        <w:t xml:space="preserve">iene </w:t>
      </w:r>
      <w:r w:rsidR="00545DFB" w:rsidRPr="007F7EBF">
        <w:rPr>
          <w:sz w:val="22"/>
          <w:szCs w:val="22"/>
        </w:rPr>
        <w:t>rigidità fuori luogo</w:t>
      </w:r>
      <w:r w:rsidR="00B64401" w:rsidRPr="007F7EBF">
        <w:rPr>
          <w:sz w:val="22"/>
          <w:szCs w:val="22"/>
        </w:rPr>
        <w:t xml:space="preserve">, </w:t>
      </w:r>
      <w:r w:rsidR="00AB3DC5">
        <w:rPr>
          <w:sz w:val="22"/>
          <w:szCs w:val="22"/>
        </w:rPr>
        <w:t xml:space="preserve">come </w:t>
      </w:r>
      <w:r w:rsidR="00304EEA" w:rsidRPr="007F7EBF">
        <w:rPr>
          <w:sz w:val="22"/>
          <w:szCs w:val="22"/>
        </w:rPr>
        <w:t>un tempo minimo (15</w:t>
      </w:r>
      <w:r w:rsidR="00B64401" w:rsidRPr="007F7EBF">
        <w:rPr>
          <w:sz w:val="22"/>
          <w:szCs w:val="22"/>
        </w:rPr>
        <w:t xml:space="preserve">0 </w:t>
      </w:r>
      <w:r w:rsidR="00304EEA" w:rsidRPr="007F7EBF">
        <w:rPr>
          <w:sz w:val="22"/>
          <w:szCs w:val="22"/>
        </w:rPr>
        <w:t>giorni</w:t>
      </w:r>
      <w:r w:rsidR="00AB3DC5">
        <w:rPr>
          <w:sz w:val="22"/>
          <w:szCs w:val="22"/>
        </w:rPr>
        <w:t xml:space="preserve"> dalla notifica dell’atto impositivo</w:t>
      </w:r>
      <w:r w:rsidR="00304EEA" w:rsidRPr="007F7EBF">
        <w:rPr>
          <w:sz w:val="22"/>
          <w:szCs w:val="22"/>
        </w:rPr>
        <w:t xml:space="preserve">) oltre il quale </w:t>
      </w:r>
      <w:r w:rsidR="0042708B">
        <w:rPr>
          <w:sz w:val="22"/>
          <w:szCs w:val="22"/>
        </w:rPr>
        <w:t>il contribuente</w:t>
      </w:r>
      <w:r w:rsidR="00304EEA" w:rsidRPr="007F7EBF">
        <w:rPr>
          <w:sz w:val="22"/>
          <w:szCs w:val="22"/>
        </w:rPr>
        <w:t xml:space="preserve"> deve</w:t>
      </w:r>
      <w:r w:rsidR="00B64401" w:rsidRPr="007F7EBF">
        <w:rPr>
          <w:sz w:val="22"/>
          <w:szCs w:val="22"/>
        </w:rPr>
        <w:t xml:space="preserve"> comunque presentare ricorso, pur continuando di fatto le trattative</w:t>
      </w:r>
      <w:r w:rsidR="00E21D35">
        <w:rPr>
          <w:sz w:val="22"/>
          <w:szCs w:val="22"/>
        </w:rPr>
        <w:t xml:space="preserve">; </w:t>
      </w:r>
      <w:r w:rsidR="00AB3DC5">
        <w:rPr>
          <w:sz w:val="22"/>
          <w:szCs w:val="22"/>
        </w:rPr>
        <w:t xml:space="preserve">sono </w:t>
      </w:r>
      <w:r w:rsidR="0042708B">
        <w:rPr>
          <w:sz w:val="22"/>
          <w:szCs w:val="22"/>
        </w:rPr>
        <w:t>oggi</w:t>
      </w:r>
      <w:r w:rsidR="00AB3DC5">
        <w:rPr>
          <w:sz w:val="22"/>
          <w:szCs w:val="22"/>
        </w:rPr>
        <w:t xml:space="preserve"> superati sia</w:t>
      </w:r>
      <w:r w:rsidR="00AB3DC5" w:rsidRPr="007F7EBF">
        <w:rPr>
          <w:sz w:val="22"/>
          <w:szCs w:val="22"/>
        </w:rPr>
        <w:t xml:space="preserve"> </w:t>
      </w:r>
      <w:r w:rsidR="00AB3DC5">
        <w:rPr>
          <w:sz w:val="22"/>
          <w:szCs w:val="22"/>
        </w:rPr>
        <w:t>la</w:t>
      </w:r>
      <w:r w:rsidR="00AB3DC5" w:rsidRPr="007F7EBF">
        <w:rPr>
          <w:sz w:val="22"/>
          <w:szCs w:val="22"/>
        </w:rPr>
        <w:t xml:space="preserve"> necessità di "definizione integrale" della pretesa tributaria</w:t>
      </w:r>
      <w:r w:rsidR="00AB3DC5">
        <w:rPr>
          <w:sz w:val="22"/>
          <w:szCs w:val="22"/>
        </w:rPr>
        <w:t xml:space="preserve"> </w:t>
      </w:r>
      <w:r w:rsidR="00AB3DC5">
        <w:rPr>
          <w:sz w:val="22"/>
          <w:szCs w:val="22"/>
        </w:rPr>
        <w:lastRenderedPageBreak/>
        <w:t>(</w:t>
      </w:r>
      <w:r w:rsidR="00AB3DC5" w:rsidRPr="007F7EBF">
        <w:rPr>
          <w:rStyle w:val="Rimandonotaapidipagina"/>
          <w:sz w:val="22"/>
          <w:szCs w:val="22"/>
        </w:rPr>
        <w:footnoteReference w:id="788"/>
      </w:r>
      <w:r w:rsidR="00AB3DC5">
        <w:rPr>
          <w:sz w:val="22"/>
          <w:szCs w:val="22"/>
        </w:rPr>
        <w:t>)</w:t>
      </w:r>
      <w:r w:rsidR="00AB3DC5" w:rsidRPr="007F7EBF">
        <w:rPr>
          <w:sz w:val="22"/>
          <w:szCs w:val="22"/>
        </w:rPr>
        <w:t xml:space="preserve">, </w:t>
      </w:r>
      <w:r w:rsidR="00AB3DC5">
        <w:rPr>
          <w:sz w:val="22"/>
          <w:szCs w:val="22"/>
        </w:rPr>
        <w:t xml:space="preserve">sia </w:t>
      </w:r>
      <w:r w:rsidR="00545DFB" w:rsidRPr="007F7EBF">
        <w:rPr>
          <w:sz w:val="22"/>
          <w:szCs w:val="22"/>
        </w:rPr>
        <w:t>il limite alla conciliazione giudiziale entro il primo grado di giudizio</w:t>
      </w:r>
      <w:r w:rsidR="00AB3DC5">
        <w:rPr>
          <w:sz w:val="22"/>
          <w:szCs w:val="22"/>
        </w:rPr>
        <w:t xml:space="preserve">, estesa ora anche al </w:t>
      </w:r>
      <w:r w:rsidR="001D5308">
        <w:rPr>
          <w:sz w:val="22"/>
          <w:szCs w:val="22"/>
        </w:rPr>
        <w:t>processo d’appello</w:t>
      </w:r>
      <w:r w:rsidR="0042708B">
        <w:rPr>
          <w:sz w:val="22"/>
          <w:szCs w:val="22"/>
        </w:rPr>
        <w:t xml:space="preserve"> </w:t>
      </w:r>
      <w:r w:rsidR="00B70F0A">
        <w:rPr>
          <w:sz w:val="22"/>
          <w:szCs w:val="22"/>
        </w:rPr>
        <w:t>(</w:t>
      </w:r>
      <w:r w:rsidR="00B70F0A" w:rsidRPr="007F7EBF">
        <w:rPr>
          <w:rStyle w:val="Rimandonotaapidipagina"/>
          <w:bCs/>
          <w:sz w:val="22"/>
          <w:szCs w:val="22"/>
        </w:rPr>
        <w:footnoteReference w:id="789"/>
      </w:r>
      <w:r w:rsidR="00B70F0A">
        <w:rPr>
          <w:bCs/>
          <w:sz w:val="22"/>
          <w:szCs w:val="22"/>
        </w:rPr>
        <w:t>)</w:t>
      </w:r>
      <w:r>
        <w:rPr>
          <w:bCs/>
          <w:sz w:val="22"/>
          <w:szCs w:val="22"/>
        </w:rPr>
        <w:t xml:space="preserve">. </w:t>
      </w:r>
    </w:p>
    <w:p w14:paraId="00DA15B7" w14:textId="3B37D384" w:rsidR="009E188E" w:rsidRPr="007F7EBF" w:rsidRDefault="008976C1" w:rsidP="009E188E">
      <w:pPr>
        <w:pStyle w:val="tit23"/>
        <w:ind w:left="6464" w:right="-1361" w:firstLine="0"/>
        <w:jc w:val="left"/>
        <w:rPr>
          <w:b/>
          <w:bCs/>
          <w:i/>
          <w:iCs/>
          <w:color w:val="0000FF"/>
          <w:lang w:val="it-IT"/>
        </w:rPr>
      </w:pPr>
      <w:r>
        <w:rPr>
          <w:b/>
          <w:bCs/>
          <w:i/>
          <w:iCs/>
          <w:color w:val="0000FF"/>
          <w:lang w:val="it-IT"/>
        </w:rPr>
        <w:t>Omogeneità e riduzioni delle sanzioni</w:t>
      </w:r>
      <w:r w:rsidR="009E188E" w:rsidRPr="007F7EBF">
        <w:rPr>
          <w:b/>
          <w:bCs/>
          <w:i/>
          <w:iCs/>
          <w:color w:val="0000FF"/>
          <w:lang w:val="it-IT"/>
        </w:rPr>
        <w:t xml:space="preserve"> </w:t>
      </w:r>
    </w:p>
    <w:p w14:paraId="392CEA5C" w14:textId="5D64A435" w:rsidR="00B70F0A" w:rsidRDefault="00304EEA" w:rsidP="00C37F27">
      <w:pPr>
        <w:autoSpaceDE w:val="0"/>
        <w:autoSpaceDN w:val="0"/>
        <w:adjustRightInd w:val="0"/>
        <w:rPr>
          <w:bCs/>
          <w:sz w:val="22"/>
          <w:szCs w:val="22"/>
        </w:rPr>
      </w:pPr>
      <w:r w:rsidRPr="007F7EBF">
        <w:rPr>
          <w:sz w:val="22"/>
          <w:szCs w:val="22"/>
        </w:rPr>
        <w:t xml:space="preserve">La determinazione consensuale è concettualmente la medesima, anche se </w:t>
      </w:r>
      <w:r w:rsidR="0085137D" w:rsidRPr="007F7EBF">
        <w:rPr>
          <w:sz w:val="22"/>
          <w:szCs w:val="22"/>
        </w:rPr>
        <w:t xml:space="preserve">fino alla presentazione del </w:t>
      </w:r>
      <w:r w:rsidR="006342C5" w:rsidRPr="007F7EBF">
        <w:rPr>
          <w:sz w:val="22"/>
          <w:szCs w:val="22"/>
        </w:rPr>
        <w:t>ricorso</w:t>
      </w:r>
      <w:r w:rsidR="0085137D" w:rsidRPr="007F7EBF">
        <w:rPr>
          <w:sz w:val="22"/>
          <w:szCs w:val="22"/>
        </w:rPr>
        <w:t xml:space="preserve"> alle commissioni tributarie</w:t>
      </w:r>
      <w:r w:rsidRPr="007F7EBF">
        <w:rPr>
          <w:sz w:val="22"/>
          <w:szCs w:val="22"/>
        </w:rPr>
        <w:t xml:space="preserve"> è denominata "accertamento con adesione" e quindi </w:t>
      </w:r>
      <w:r w:rsidR="00D558FF" w:rsidRPr="007F7EBF">
        <w:rPr>
          <w:sz w:val="22"/>
          <w:szCs w:val="22"/>
        </w:rPr>
        <w:t>"</w:t>
      </w:r>
      <w:r w:rsidR="0085137D" w:rsidRPr="007F7EBF">
        <w:rPr>
          <w:bCs/>
          <w:sz w:val="22"/>
          <w:szCs w:val="22"/>
        </w:rPr>
        <w:t>conciliazione giudiziale"</w:t>
      </w:r>
      <w:r w:rsidR="00B70F0A">
        <w:rPr>
          <w:bCs/>
          <w:sz w:val="22"/>
          <w:szCs w:val="22"/>
        </w:rPr>
        <w:t xml:space="preserve"> </w:t>
      </w:r>
      <w:r w:rsidR="00545DFB" w:rsidRPr="007F7EBF">
        <w:rPr>
          <w:bCs/>
          <w:sz w:val="22"/>
          <w:szCs w:val="22"/>
        </w:rPr>
        <w:t>in quest’ultima</w:t>
      </w:r>
      <w:r w:rsidR="000A439A" w:rsidRPr="007F7EBF">
        <w:rPr>
          <w:bCs/>
          <w:sz w:val="22"/>
          <w:szCs w:val="22"/>
        </w:rPr>
        <w:t xml:space="preserve"> il giudice </w:t>
      </w:r>
      <w:r w:rsidR="001777E3" w:rsidRPr="007F7EBF">
        <w:rPr>
          <w:bCs/>
          <w:sz w:val="22"/>
          <w:szCs w:val="22"/>
        </w:rPr>
        <w:t>ha</w:t>
      </w:r>
      <w:r w:rsidR="000A439A" w:rsidRPr="007F7EBF">
        <w:rPr>
          <w:bCs/>
          <w:sz w:val="22"/>
          <w:szCs w:val="22"/>
        </w:rPr>
        <w:t xml:space="preserve"> un ruolo</w:t>
      </w:r>
      <w:r w:rsidR="001777E3" w:rsidRPr="007F7EBF">
        <w:rPr>
          <w:bCs/>
          <w:sz w:val="22"/>
          <w:szCs w:val="22"/>
        </w:rPr>
        <w:t xml:space="preserve"> di controllo</w:t>
      </w:r>
      <w:r w:rsidR="000A439A" w:rsidRPr="007F7EBF">
        <w:rPr>
          <w:bCs/>
          <w:sz w:val="22"/>
          <w:szCs w:val="22"/>
        </w:rPr>
        <w:t xml:space="preserve"> formale, </w:t>
      </w:r>
      <w:r w:rsidR="001777E3" w:rsidRPr="007F7EBF">
        <w:rPr>
          <w:bCs/>
          <w:sz w:val="22"/>
          <w:szCs w:val="22"/>
        </w:rPr>
        <w:t>mentre rest</w:t>
      </w:r>
      <w:r w:rsidR="0085137D" w:rsidRPr="007F7EBF">
        <w:rPr>
          <w:bCs/>
          <w:sz w:val="22"/>
          <w:szCs w:val="22"/>
        </w:rPr>
        <w:t xml:space="preserve">a </w:t>
      </w:r>
      <w:r w:rsidR="001777E3" w:rsidRPr="007F7EBF">
        <w:rPr>
          <w:bCs/>
          <w:sz w:val="22"/>
          <w:szCs w:val="22"/>
        </w:rPr>
        <w:t xml:space="preserve">centrale </w:t>
      </w:r>
      <w:r w:rsidR="0085137D" w:rsidRPr="007F7EBF">
        <w:rPr>
          <w:bCs/>
          <w:sz w:val="22"/>
          <w:szCs w:val="22"/>
        </w:rPr>
        <w:t>l'ufficio</w:t>
      </w:r>
      <w:r w:rsidR="00EE47F1">
        <w:rPr>
          <w:bCs/>
          <w:sz w:val="22"/>
          <w:szCs w:val="22"/>
        </w:rPr>
        <w:t xml:space="preserve">. </w:t>
      </w:r>
    </w:p>
    <w:p w14:paraId="76E9CC4F" w14:textId="6CBBAF78" w:rsidR="006342C5" w:rsidRPr="007F7EBF" w:rsidRDefault="00B70F0A" w:rsidP="00C37F27">
      <w:pPr>
        <w:autoSpaceDE w:val="0"/>
        <w:autoSpaceDN w:val="0"/>
        <w:adjustRightInd w:val="0"/>
        <w:rPr>
          <w:sz w:val="22"/>
          <w:szCs w:val="22"/>
        </w:rPr>
      </w:pPr>
      <w:r>
        <w:rPr>
          <w:bCs/>
          <w:sz w:val="22"/>
          <w:szCs w:val="22"/>
        </w:rPr>
        <w:t>A</w:t>
      </w:r>
      <w:r w:rsidR="006342C5" w:rsidRPr="007F7EBF">
        <w:rPr>
          <w:sz w:val="22"/>
          <w:szCs w:val="22"/>
        </w:rPr>
        <w:t>lla definizione amministrativa si accompagna una</w:t>
      </w:r>
      <w:r w:rsidR="00EC0CAA" w:rsidRPr="007F7EBF">
        <w:rPr>
          <w:sz w:val="22"/>
          <w:szCs w:val="22"/>
        </w:rPr>
        <w:t xml:space="preserve"> </w:t>
      </w:r>
      <w:r w:rsidR="006342C5" w:rsidRPr="007F7EBF">
        <w:rPr>
          <w:bCs/>
          <w:sz w:val="22"/>
          <w:szCs w:val="22"/>
        </w:rPr>
        <w:t>riduzione delle sanzioni</w:t>
      </w:r>
      <w:r w:rsidR="003544D6" w:rsidRPr="007F7EBF">
        <w:rPr>
          <w:bCs/>
          <w:sz w:val="22"/>
          <w:szCs w:val="22"/>
        </w:rPr>
        <w:t xml:space="preserve"> tributarie, d</w:t>
      </w:r>
      <w:r w:rsidR="00EC0CAA" w:rsidRPr="007F7EBF">
        <w:rPr>
          <w:sz w:val="22"/>
          <w:szCs w:val="22"/>
        </w:rPr>
        <w:t>ecrescente in relazione al momento in cui interviene la definizione</w:t>
      </w:r>
      <w:r w:rsidR="006D41D2">
        <w:rPr>
          <w:sz w:val="22"/>
          <w:szCs w:val="22"/>
        </w:rPr>
        <w:t xml:space="preserve"> (</w:t>
      </w:r>
      <w:r w:rsidR="003544D6" w:rsidRPr="007F7EBF">
        <w:rPr>
          <w:rStyle w:val="Rimandonotaapidipagina"/>
          <w:sz w:val="22"/>
          <w:szCs w:val="22"/>
        </w:rPr>
        <w:footnoteReference w:id="790"/>
      </w:r>
      <w:r w:rsidR="006D41D2">
        <w:rPr>
          <w:sz w:val="22"/>
          <w:szCs w:val="22"/>
        </w:rPr>
        <w:t>)</w:t>
      </w:r>
      <w:r w:rsidR="00EC0CAA" w:rsidRPr="007F7EBF">
        <w:rPr>
          <w:sz w:val="22"/>
          <w:szCs w:val="22"/>
        </w:rPr>
        <w:t xml:space="preserve">; qualche volta è riferita alla sanzione concretamente inflitta, e qualche altra alla misura minima prevista, tra i minimi e i massimi di cui al par.6.13. </w:t>
      </w:r>
    </w:p>
    <w:p w14:paraId="024FEAE3" w14:textId="37574968" w:rsidR="00831547" w:rsidRPr="007F7EBF" w:rsidRDefault="006342C5" w:rsidP="00831547">
      <w:pPr>
        <w:pStyle w:val="Titolo3"/>
        <w:rPr>
          <w:rFonts w:ascii="Times New Roman" w:hAnsi="Times New Roman"/>
          <w:sz w:val="22"/>
          <w:szCs w:val="22"/>
          <w:lang w:val="it-IT"/>
        </w:rPr>
      </w:pPr>
      <w:bookmarkStart w:id="87" w:name="_Toc63364998"/>
      <w:r w:rsidRPr="007F7EBF">
        <w:rPr>
          <w:rFonts w:ascii="Times New Roman" w:hAnsi="Times New Roman"/>
          <w:sz w:val="22"/>
          <w:szCs w:val="22"/>
        </w:rPr>
        <w:t xml:space="preserve">6.5. </w:t>
      </w:r>
      <w:r w:rsidRPr="007F7EBF">
        <w:rPr>
          <w:rFonts w:ascii="Times New Roman" w:hAnsi="Times New Roman"/>
          <w:i/>
          <w:iCs/>
          <w:sz w:val="22"/>
          <w:szCs w:val="22"/>
        </w:rPr>
        <w:t>Segue</w:t>
      </w:r>
      <w:r w:rsidRPr="007F7EBF">
        <w:rPr>
          <w:rFonts w:ascii="Times New Roman" w:hAnsi="Times New Roman"/>
          <w:sz w:val="22"/>
          <w:szCs w:val="22"/>
        </w:rPr>
        <w:t xml:space="preserve">. </w:t>
      </w:r>
      <w:r w:rsidR="0029757C">
        <w:rPr>
          <w:rFonts w:ascii="Times New Roman" w:hAnsi="Times New Roman"/>
          <w:sz w:val="22"/>
          <w:szCs w:val="22"/>
          <w:lang w:val="it-IT"/>
        </w:rPr>
        <w:t xml:space="preserve">Inadeguatezza del ricorso amministrativo allo stesso ufficio che ha </w:t>
      </w:r>
      <w:r w:rsidR="002D0219" w:rsidRPr="007F7EBF">
        <w:rPr>
          <w:rFonts w:ascii="Times New Roman" w:hAnsi="Times New Roman"/>
          <w:sz w:val="22"/>
          <w:szCs w:val="22"/>
          <w:lang w:val="it-IT"/>
        </w:rPr>
        <w:t xml:space="preserve">emesso </w:t>
      </w:r>
      <w:r w:rsidR="00432B5A" w:rsidRPr="007F7EBF">
        <w:rPr>
          <w:rFonts w:ascii="Times New Roman" w:hAnsi="Times New Roman"/>
          <w:sz w:val="22"/>
          <w:szCs w:val="22"/>
          <w:lang w:val="it-IT"/>
        </w:rPr>
        <w:t>l’atto</w:t>
      </w:r>
      <w:r w:rsidR="0029757C">
        <w:rPr>
          <w:rFonts w:ascii="Times New Roman" w:hAnsi="Times New Roman"/>
          <w:sz w:val="22"/>
          <w:szCs w:val="22"/>
          <w:lang w:val="it-IT"/>
        </w:rPr>
        <w:t xml:space="preserve"> e prospettive della </w:t>
      </w:r>
      <w:r w:rsidR="00226DA6">
        <w:rPr>
          <w:rFonts w:ascii="Times New Roman" w:hAnsi="Times New Roman"/>
          <w:sz w:val="22"/>
          <w:szCs w:val="22"/>
          <w:lang w:val="it-IT"/>
        </w:rPr>
        <w:t>c.d.</w:t>
      </w:r>
      <w:r w:rsidRPr="007F7EBF">
        <w:rPr>
          <w:rFonts w:ascii="Times New Roman" w:hAnsi="Times New Roman"/>
          <w:sz w:val="22"/>
          <w:szCs w:val="22"/>
        </w:rPr>
        <w:t xml:space="preserve"> “mediazione tributaria”</w:t>
      </w:r>
      <w:bookmarkEnd w:id="87"/>
    </w:p>
    <w:p w14:paraId="4EF2C76D" w14:textId="77777777" w:rsidR="00994AED" w:rsidRPr="007F7EBF" w:rsidRDefault="00994AED" w:rsidP="00994AED">
      <w:pPr>
        <w:pStyle w:val="tit23"/>
        <w:ind w:left="6464" w:right="-1361" w:firstLine="0"/>
        <w:jc w:val="left"/>
        <w:rPr>
          <w:bCs/>
          <w:i/>
          <w:iCs/>
          <w:color w:val="0000FF"/>
          <w:lang w:val="it-IT"/>
        </w:rPr>
      </w:pPr>
      <w:r w:rsidRPr="007F7EBF">
        <w:rPr>
          <w:bCs/>
          <w:i/>
          <w:iCs/>
          <w:color w:val="0000FF"/>
          <w:lang w:val="it-IT"/>
        </w:rPr>
        <w:t>Difetti dell’interlocuzione con lo stesso ufficio</w:t>
      </w:r>
      <w:r w:rsidR="00183835" w:rsidRPr="007F7EBF">
        <w:rPr>
          <w:bCs/>
          <w:i/>
          <w:iCs/>
          <w:color w:val="0000FF"/>
          <w:lang w:val="it-IT"/>
        </w:rPr>
        <w:t xml:space="preserve"> che ha emanato l’atto</w:t>
      </w:r>
    </w:p>
    <w:p w14:paraId="64ED021A" w14:textId="38FE2008" w:rsidR="00D37E88" w:rsidRPr="007F7EBF" w:rsidRDefault="00124359" w:rsidP="00957225">
      <w:pPr>
        <w:autoSpaceDE w:val="0"/>
        <w:autoSpaceDN w:val="0"/>
        <w:adjustRightInd w:val="0"/>
        <w:rPr>
          <w:sz w:val="22"/>
          <w:szCs w:val="22"/>
        </w:rPr>
      </w:pPr>
      <w:r w:rsidRPr="007F7EBF">
        <w:rPr>
          <w:sz w:val="22"/>
          <w:szCs w:val="22"/>
        </w:rPr>
        <w:t>Il successo del</w:t>
      </w:r>
      <w:r w:rsidR="00F02D29">
        <w:rPr>
          <w:sz w:val="22"/>
          <w:szCs w:val="22"/>
        </w:rPr>
        <w:t xml:space="preserve"> contenzioso amministrativo </w:t>
      </w:r>
      <w:r w:rsidR="00BB4690">
        <w:rPr>
          <w:sz w:val="22"/>
          <w:szCs w:val="22"/>
        </w:rPr>
        <w:t>di cui</w:t>
      </w:r>
      <w:r w:rsidRPr="007F7EBF">
        <w:rPr>
          <w:sz w:val="22"/>
          <w:szCs w:val="22"/>
        </w:rPr>
        <w:t xml:space="preserve"> al paragrafo precedente, </w:t>
      </w:r>
      <w:r w:rsidR="00F02D29">
        <w:rPr>
          <w:sz w:val="22"/>
          <w:szCs w:val="22"/>
        </w:rPr>
        <w:t xml:space="preserve">ha migliorato la funzione tributaria, </w:t>
      </w:r>
      <w:r w:rsidR="00E21D35">
        <w:rPr>
          <w:sz w:val="22"/>
          <w:szCs w:val="22"/>
        </w:rPr>
        <w:t xml:space="preserve">anche </w:t>
      </w:r>
      <w:r w:rsidR="00F02D29">
        <w:rPr>
          <w:sz w:val="22"/>
          <w:szCs w:val="22"/>
        </w:rPr>
        <w:t>grazie al</w:t>
      </w:r>
      <w:r w:rsidRPr="007F7EBF">
        <w:rPr>
          <w:sz w:val="22"/>
          <w:szCs w:val="22"/>
        </w:rPr>
        <w:t xml:space="preserve">l'incoraggiamento dei </w:t>
      </w:r>
      <w:r w:rsidR="00D37E88" w:rsidRPr="007F7EBF">
        <w:rPr>
          <w:sz w:val="22"/>
          <w:szCs w:val="22"/>
        </w:rPr>
        <w:t xml:space="preserve"> ver</w:t>
      </w:r>
      <w:r w:rsidRPr="007F7EBF">
        <w:rPr>
          <w:sz w:val="22"/>
          <w:szCs w:val="22"/>
        </w:rPr>
        <w:t>tici dell’agenzia delle entrate</w:t>
      </w:r>
      <w:r w:rsidR="00F02D29">
        <w:rPr>
          <w:sz w:val="22"/>
          <w:szCs w:val="22"/>
        </w:rPr>
        <w:t>. Tuttavia</w:t>
      </w:r>
      <w:r w:rsidR="00957225">
        <w:rPr>
          <w:sz w:val="22"/>
          <w:szCs w:val="22"/>
        </w:rPr>
        <w:t xml:space="preserve"> </w:t>
      </w:r>
      <w:r w:rsidR="00D37E88" w:rsidRPr="007F7EBF">
        <w:rPr>
          <w:sz w:val="22"/>
          <w:szCs w:val="22"/>
        </w:rPr>
        <w:t>gli istituti in esame non esplicano ancora appieno le loro potenzialità</w:t>
      </w:r>
      <w:r w:rsidR="005545AA">
        <w:rPr>
          <w:sz w:val="22"/>
          <w:szCs w:val="22"/>
        </w:rPr>
        <w:t xml:space="preserve"> </w:t>
      </w:r>
      <w:r w:rsidR="008976C1">
        <w:rPr>
          <w:sz w:val="22"/>
          <w:szCs w:val="22"/>
        </w:rPr>
        <w:t>(</w:t>
      </w:r>
      <w:r w:rsidRPr="007F7EBF">
        <w:rPr>
          <w:rStyle w:val="Rimandonotaapidipagina"/>
          <w:sz w:val="22"/>
          <w:szCs w:val="22"/>
        </w:rPr>
        <w:footnoteReference w:id="791"/>
      </w:r>
      <w:r w:rsidR="008976C1">
        <w:rPr>
          <w:sz w:val="22"/>
          <w:szCs w:val="22"/>
        </w:rPr>
        <w:t>)</w:t>
      </w:r>
      <w:r w:rsidR="00F02D29">
        <w:rPr>
          <w:sz w:val="22"/>
          <w:szCs w:val="22"/>
        </w:rPr>
        <w:t xml:space="preserve">, </w:t>
      </w:r>
      <w:r w:rsidR="00F02D29">
        <w:rPr>
          <w:sz w:val="22"/>
          <w:szCs w:val="22"/>
        </w:rPr>
        <w:lastRenderedPageBreak/>
        <w:t>prima di tutto perché l’a</w:t>
      </w:r>
      <w:r w:rsidR="00957225">
        <w:rPr>
          <w:sz w:val="22"/>
          <w:szCs w:val="22"/>
        </w:rPr>
        <w:t xml:space="preserve">ccertamento con adesione </w:t>
      </w:r>
      <w:r w:rsidR="00F02D29">
        <w:rPr>
          <w:sz w:val="22"/>
          <w:szCs w:val="22"/>
        </w:rPr>
        <w:t>è un</w:t>
      </w:r>
      <w:r w:rsidR="00957225">
        <w:rPr>
          <w:sz w:val="22"/>
          <w:szCs w:val="22"/>
        </w:rPr>
        <w:t xml:space="preserve"> </w:t>
      </w:r>
      <w:r w:rsidRPr="007F7EBF">
        <w:rPr>
          <w:bCs/>
          <w:sz w:val="22"/>
          <w:szCs w:val="22"/>
        </w:rPr>
        <w:t>ricorso amministrativo “in opposizione”</w:t>
      </w:r>
      <w:r w:rsidR="00907FB2">
        <w:rPr>
          <w:sz w:val="22"/>
          <w:szCs w:val="22"/>
        </w:rPr>
        <w:t xml:space="preserve">, </w:t>
      </w:r>
      <w:r w:rsidR="00F02D29">
        <w:rPr>
          <w:sz w:val="22"/>
          <w:szCs w:val="22"/>
        </w:rPr>
        <w:t xml:space="preserve">diretto </w:t>
      </w:r>
      <w:r w:rsidR="00907FB2">
        <w:rPr>
          <w:sz w:val="22"/>
          <w:szCs w:val="22"/>
        </w:rPr>
        <w:t xml:space="preserve">cioè allo </w:t>
      </w:r>
      <w:r w:rsidR="00907FB2" w:rsidRPr="007F7EBF">
        <w:rPr>
          <w:sz w:val="22"/>
          <w:szCs w:val="22"/>
        </w:rPr>
        <w:t>stesso ufficio che aveva emesso l’atto impugnato</w:t>
      </w:r>
      <w:r w:rsidR="00220A19">
        <w:rPr>
          <w:sz w:val="22"/>
          <w:szCs w:val="22"/>
        </w:rPr>
        <w:t>. Per le piccole pratiche “valutative”, si tratta</w:t>
      </w:r>
      <w:r w:rsidR="00907FB2" w:rsidRPr="007F7EBF">
        <w:rPr>
          <w:sz w:val="22"/>
          <w:szCs w:val="22"/>
        </w:rPr>
        <w:t xml:space="preserve"> addirittura allo stesso funzionario</w:t>
      </w:r>
      <w:r w:rsidR="00220A19">
        <w:rPr>
          <w:sz w:val="22"/>
          <w:szCs w:val="22"/>
        </w:rPr>
        <w:t xml:space="preserve">, </w:t>
      </w:r>
      <w:r w:rsidR="00907FB2">
        <w:rPr>
          <w:sz w:val="22"/>
          <w:szCs w:val="22"/>
        </w:rPr>
        <w:t xml:space="preserve">troppo coinvolto per </w:t>
      </w:r>
      <w:r w:rsidR="00220A19">
        <w:rPr>
          <w:sz w:val="22"/>
          <w:szCs w:val="22"/>
        </w:rPr>
        <w:t>smentire parzialmente</w:t>
      </w:r>
      <w:r w:rsidR="00957225">
        <w:rPr>
          <w:sz w:val="22"/>
          <w:szCs w:val="22"/>
        </w:rPr>
        <w:t xml:space="preserve">, coi </w:t>
      </w:r>
      <w:r w:rsidR="006342C5" w:rsidRPr="007F7EBF">
        <w:rPr>
          <w:sz w:val="22"/>
          <w:szCs w:val="22"/>
        </w:rPr>
        <w:t xml:space="preserve"> </w:t>
      </w:r>
      <w:r w:rsidR="006342C5" w:rsidRPr="007F7EBF">
        <w:rPr>
          <w:bCs/>
          <w:sz w:val="22"/>
          <w:szCs w:val="22"/>
        </w:rPr>
        <w:t>consueti</w:t>
      </w:r>
      <w:r w:rsidR="00A416AA" w:rsidRPr="007F7EBF">
        <w:rPr>
          <w:bCs/>
          <w:sz w:val="22"/>
          <w:szCs w:val="22"/>
        </w:rPr>
        <w:t xml:space="preserve"> </w:t>
      </w:r>
      <w:r w:rsidR="006342C5" w:rsidRPr="007F7EBF">
        <w:rPr>
          <w:bCs/>
          <w:sz w:val="22"/>
          <w:szCs w:val="22"/>
        </w:rPr>
        <w:t>imbarazzi</w:t>
      </w:r>
      <w:r w:rsidR="00907FB2">
        <w:rPr>
          <w:sz w:val="22"/>
          <w:szCs w:val="22"/>
        </w:rPr>
        <w:t xml:space="preserve"> di cui al par.5.11, </w:t>
      </w:r>
      <w:r w:rsidR="006321D2" w:rsidRPr="007F7EBF">
        <w:rPr>
          <w:sz w:val="22"/>
          <w:szCs w:val="22"/>
        </w:rPr>
        <w:t>il proprio comportamento precedente</w:t>
      </w:r>
      <w:r w:rsidR="00957225">
        <w:rPr>
          <w:sz w:val="22"/>
          <w:szCs w:val="22"/>
        </w:rPr>
        <w:t xml:space="preserve"> </w:t>
      </w:r>
      <w:r w:rsidR="00907FB2">
        <w:rPr>
          <w:sz w:val="22"/>
          <w:szCs w:val="22"/>
        </w:rPr>
        <w:t>(</w:t>
      </w:r>
      <w:r w:rsidRPr="007F7EBF">
        <w:rPr>
          <w:rStyle w:val="Rimandonotaapidipagina"/>
          <w:sz w:val="22"/>
          <w:szCs w:val="22"/>
        </w:rPr>
        <w:footnoteReference w:id="792"/>
      </w:r>
      <w:r w:rsidR="00907FB2">
        <w:rPr>
          <w:sz w:val="22"/>
          <w:szCs w:val="22"/>
        </w:rPr>
        <w:t>)</w:t>
      </w:r>
      <w:r w:rsidR="00994AED" w:rsidRPr="007F7EBF">
        <w:rPr>
          <w:sz w:val="22"/>
          <w:szCs w:val="22"/>
        </w:rPr>
        <w:t xml:space="preserve">. </w:t>
      </w:r>
    </w:p>
    <w:p w14:paraId="73767E60" w14:textId="77777777" w:rsidR="00994AED" w:rsidRPr="007F7EBF" w:rsidRDefault="00200300" w:rsidP="00994AED">
      <w:pPr>
        <w:pStyle w:val="tit23"/>
        <w:ind w:left="6464" w:right="-1361" w:firstLine="0"/>
        <w:jc w:val="left"/>
        <w:rPr>
          <w:bCs/>
          <w:i/>
          <w:iCs/>
          <w:color w:val="0000FF"/>
          <w:lang w:val="it-IT"/>
        </w:rPr>
      </w:pPr>
      <w:r w:rsidRPr="007F7EBF">
        <w:rPr>
          <w:bCs/>
          <w:i/>
          <w:iCs/>
          <w:color w:val="0000FF"/>
          <w:lang w:val="it-IT"/>
        </w:rPr>
        <w:t>Ragioni del successo  sui grandi contribuenti</w:t>
      </w:r>
    </w:p>
    <w:p w14:paraId="2A8FCCE8" w14:textId="2D678C2C" w:rsidR="008538B5" w:rsidRPr="007F7EBF" w:rsidRDefault="00CA2F4F" w:rsidP="00183835">
      <w:pPr>
        <w:autoSpaceDE w:val="0"/>
        <w:autoSpaceDN w:val="0"/>
        <w:adjustRightInd w:val="0"/>
        <w:rPr>
          <w:sz w:val="22"/>
          <w:szCs w:val="22"/>
        </w:rPr>
      </w:pPr>
      <w:r w:rsidRPr="007F7EBF">
        <w:rPr>
          <w:sz w:val="22"/>
          <w:szCs w:val="22"/>
        </w:rPr>
        <w:t xml:space="preserve">Per questo, </w:t>
      </w:r>
      <w:r w:rsidR="00957225">
        <w:rPr>
          <w:sz w:val="22"/>
          <w:szCs w:val="22"/>
        </w:rPr>
        <w:t>di fatto</w:t>
      </w:r>
      <w:r w:rsidRPr="007F7EBF">
        <w:rPr>
          <w:sz w:val="22"/>
          <w:szCs w:val="22"/>
        </w:rPr>
        <w:t>, i</w:t>
      </w:r>
      <w:r w:rsidR="006342C5" w:rsidRPr="007F7EBF">
        <w:rPr>
          <w:sz w:val="22"/>
          <w:szCs w:val="22"/>
        </w:rPr>
        <w:t xml:space="preserve">l maggiore </w:t>
      </w:r>
      <w:r w:rsidR="006342C5" w:rsidRPr="007F7EBF">
        <w:rPr>
          <w:bCs/>
          <w:sz w:val="22"/>
          <w:szCs w:val="22"/>
        </w:rPr>
        <w:t xml:space="preserve">successo </w:t>
      </w:r>
      <w:r w:rsidR="006342C5" w:rsidRPr="007F7EBF">
        <w:rPr>
          <w:sz w:val="22"/>
          <w:szCs w:val="22"/>
        </w:rPr>
        <w:t>de</w:t>
      </w:r>
      <w:r w:rsidR="00957225">
        <w:rPr>
          <w:sz w:val="22"/>
          <w:szCs w:val="22"/>
        </w:rPr>
        <w:t xml:space="preserve">gli istituti </w:t>
      </w:r>
      <w:r w:rsidR="006342C5" w:rsidRPr="007F7EBF">
        <w:rPr>
          <w:sz w:val="22"/>
          <w:szCs w:val="22"/>
        </w:rPr>
        <w:t xml:space="preserve">in esame riguarda </w:t>
      </w:r>
      <w:r w:rsidR="00220A19">
        <w:rPr>
          <w:sz w:val="22"/>
          <w:szCs w:val="22"/>
        </w:rPr>
        <w:t>i casi</w:t>
      </w:r>
      <w:r w:rsidR="00124359" w:rsidRPr="007F7EBF">
        <w:rPr>
          <w:sz w:val="22"/>
          <w:szCs w:val="22"/>
        </w:rPr>
        <w:t xml:space="preserve"> in cui </w:t>
      </w:r>
      <w:r w:rsidR="00220A19">
        <w:rPr>
          <w:sz w:val="22"/>
          <w:szCs w:val="22"/>
        </w:rPr>
        <w:t>il funzionario</w:t>
      </w:r>
      <w:r w:rsidR="00124359" w:rsidRPr="007F7EBF">
        <w:rPr>
          <w:sz w:val="22"/>
          <w:szCs w:val="22"/>
        </w:rPr>
        <w:t xml:space="preserve"> può </w:t>
      </w:r>
      <w:r w:rsidR="007762BA">
        <w:rPr>
          <w:sz w:val="22"/>
          <w:szCs w:val="22"/>
        </w:rPr>
        <w:t xml:space="preserve">di fatto </w:t>
      </w:r>
      <w:r w:rsidR="00124359" w:rsidRPr="007F7EBF">
        <w:rPr>
          <w:sz w:val="22"/>
          <w:szCs w:val="22"/>
        </w:rPr>
        <w:t>coinvolger</w:t>
      </w:r>
      <w:r w:rsidR="00220A19">
        <w:rPr>
          <w:sz w:val="22"/>
          <w:szCs w:val="22"/>
        </w:rPr>
        <w:t>n</w:t>
      </w:r>
      <w:r w:rsidR="00124359" w:rsidRPr="007F7EBF">
        <w:rPr>
          <w:sz w:val="22"/>
          <w:szCs w:val="22"/>
        </w:rPr>
        <w:t xml:space="preserve">e altri, condividendo </w:t>
      </w:r>
      <w:r w:rsidRPr="007F7EBF">
        <w:rPr>
          <w:sz w:val="22"/>
          <w:szCs w:val="22"/>
        </w:rPr>
        <w:t>l</w:t>
      </w:r>
      <w:r w:rsidR="006342C5" w:rsidRPr="007F7EBF">
        <w:rPr>
          <w:sz w:val="22"/>
          <w:szCs w:val="22"/>
        </w:rPr>
        <w:t xml:space="preserve">e </w:t>
      </w:r>
      <w:r w:rsidR="00124359" w:rsidRPr="007F7EBF">
        <w:rPr>
          <w:sz w:val="22"/>
          <w:szCs w:val="22"/>
        </w:rPr>
        <w:t>responsabilità del</w:t>
      </w:r>
      <w:r w:rsidR="007762BA">
        <w:rPr>
          <w:sz w:val="22"/>
          <w:szCs w:val="22"/>
        </w:rPr>
        <w:t>la rideterminazione</w:t>
      </w:r>
      <w:r w:rsidR="00124359" w:rsidRPr="007F7EBF">
        <w:rPr>
          <w:sz w:val="22"/>
          <w:szCs w:val="22"/>
        </w:rPr>
        <w:t xml:space="preserve">. Ciò accade per le </w:t>
      </w:r>
      <w:r w:rsidR="00994AED" w:rsidRPr="007F7EBF">
        <w:rPr>
          <w:sz w:val="22"/>
          <w:szCs w:val="22"/>
        </w:rPr>
        <w:t xml:space="preserve">note </w:t>
      </w:r>
      <w:r w:rsidR="006342C5" w:rsidRPr="007F7EBF">
        <w:rPr>
          <w:bCs/>
          <w:sz w:val="22"/>
          <w:szCs w:val="22"/>
        </w:rPr>
        <w:t xml:space="preserve">contestazioni interpretative </w:t>
      </w:r>
      <w:r w:rsidR="006342C5" w:rsidRPr="007F7EBF">
        <w:rPr>
          <w:sz w:val="22"/>
          <w:szCs w:val="22"/>
        </w:rPr>
        <w:t xml:space="preserve">sui “grandi contribuenti” </w:t>
      </w:r>
      <w:r w:rsidR="00957225">
        <w:rPr>
          <w:sz w:val="22"/>
          <w:szCs w:val="22"/>
        </w:rPr>
        <w:t>(</w:t>
      </w:r>
      <w:r w:rsidRPr="007F7EBF">
        <w:rPr>
          <w:rStyle w:val="Rimandonotaapidipagina"/>
          <w:sz w:val="22"/>
          <w:szCs w:val="22"/>
        </w:rPr>
        <w:footnoteReference w:id="793"/>
      </w:r>
      <w:r w:rsidR="00957225">
        <w:rPr>
          <w:sz w:val="22"/>
          <w:szCs w:val="22"/>
        </w:rPr>
        <w:t xml:space="preserve">), importanti in termini monetari e giuridicamente complesse; su di esse esistono quindi vari motivi per consultarsi </w:t>
      </w:r>
      <w:r w:rsidR="00200300" w:rsidRPr="007F7EBF">
        <w:rPr>
          <w:sz w:val="22"/>
          <w:szCs w:val="22"/>
        </w:rPr>
        <w:t xml:space="preserve">con </w:t>
      </w:r>
      <w:r w:rsidR="006342C5" w:rsidRPr="007F7EBF">
        <w:rPr>
          <w:sz w:val="22"/>
          <w:szCs w:val="22"/>
        </w:rPr>
        <w:t>capi ufficio, dirigenti, direzioni</w:t>
      </w:r>
      <w:r w:rsidR="004B25C3" w:rsidRPr="007F7EBF">
        <w:rPr>
          <w:sz w:val="22"/>
          <w:szCs w:val="22"/>
        </w:rPr>
        <w:t xml:space="preserve"> </w:t>
      </w:r>
      <w:r w:rsidR="006342C5" w:rsidRPr="007F7EBF">
        <w:rPr>
          <w:sz w:val="22"/>
          <w:szCs w:val="22"/>
        </w:rPr>
        <w:t>regionali e centrali</w:t>
      </w:r>
      <w:r w:rsidR="00CA2C9D" w:rsidRPr="007F7EBF">
        <w:rPr>
          <w:sz w:val="22"/>
          <w:szCs w:val="22"/>
        </w:rPr>
        <w:t xml:space="preserve"> (par.5.2)</w:t>
      </w:r>
      <w:r w:rsidR="00200300" w:rsidRPr="007F7EBF">
        <w:rPr>
          <w:sz w:val="22"/>
          <w:szCs w:val="22"/>
        </w:rPr>
        <w:t xml:space="preserve">; </w:t>
      </w:r>
      <w:r w:rsidR="00957225">
        <w:rPr>
          <w:sz w:val="22"/>
          <w:szCs w:val="22"/>
        </w:rPr>
        <w:t>ne deriva un oggettivo</w:t>
      </w:r>
      <w:r w:rsidR="00200300" w:rsidRPr="007F7EBF">
        <w:rPr>
          <w:sz w:val="22"/>
          <w:szCs w:val="22"/>
        </w:rPr>
        <w:t xml:space="preserve"> frazionamento delle responsabilità</w:t>
      </w:r>
      <w:r w:rsidR="00957225">
        <w:rPr>
          <w:sz w:val="22"/>
          <w:szCs w:val="22"/>
        </w:rPr>
        <w:t>, che agevola le decisioni</w:t>
      </w:r>
      <w:r w:rsidR="00236701">
        <w:rPr>
          <w:sz w:val="22"/>
          <w:szCs w:val="22"/>
        </w:rPr>
        <w:t>, come indicato al par.5.18</w:t>
      </w:r>
      <w:r w:rsidR="00957225">
        <w:rPr>
          <w:sz w:val="22"/>
          <w:szCs w:val="22"/>
        </w:rPr>
        <w:t xml:space="preserve"> (</w:t>
      </w:r>
      <w:r w:rsidR="00200300" w:rsidRPr="007F7EBF">
        <w:rPr>
          <w:rStyle w:val="Rimandonotaapidipagina"/>
          <w:bCs/>
          <w:sz w:val="22"/>
          <w:szCs w:val="22"/>
        </w:rPr>
        <w:footnoteReference w:id="794"/>
      </w:r>
      <w:r w:rsidR="00957225">
        <w:rPr>
          <w:sz w:val="22"/>
          <w:szCs w:val="22"/>
        </w:rPr>
        <w:t>)</w:t>
      </w:r>
      <w:r w:rsidR="00200300" w:rsidRPr="007F7EBF">
        <w:rPr>
          <w:sz w:val="22"/>
          <w:szCs w:val="22"/>
        </w:rPr>
        <w:t>. Inoltre s</w:t>
      </w:r>
      <w:r w:rsidR="008538B5" w:rsidRPr="007F7EBF">
        <w:rPr>
          <w:sz w:val="22"/>
          <w:szCs w:val="22"/>
        </w:rPr>
        <w:t xml:space="preserve">i tratta in genere di questioni di </w:t>
      </w:r>
      <w:r w:rsidR="00224FBE" w:rsidRPr="007F7EBF">
        <w:rPr>
          <w:sz w:val="22"/>
          <w:szCs w:val="22"/>
        </w:rPr>
        <w:t>qualificazione giuridica</w:t>
      </w:r>
      <w:r w:rsidR="008538B5" w:rsidRPr="007F7EBF">
        <w:rPr>
          <w:sz w:val="22"/>
          <w:szCs w:val="22"/>
        </w:rPr>
        <w:t xml:space="preserve">, </w:t>
      </w:r>
      <w:r w:rsidR="00224FBE" w:rsidRPr="007F7EBF">
        <w:rPr>
          <w:sz w:val="22"/>
          <w:szCs w:val="22"/>
        </w:rPr>
        <w:t xml:space="preserve">in capo ad organizzazioni </w:t>
      </w:r>
      <w:r w:rsidR="00957225">
        <w:rPr>
          <w:sz w:val="22"/>
          <w:szCs w:val="22"/>
        </w:rPr>
        <w:t xml:space="preserve">complesse, </w:t>
      </w:r>
      <w:r w:rsidR="00224FBE" w:rsidRPr="007F7EBF">
        <w:rPr>
          <w:sz w:val="22"/>
          <w:szCs w:val="22"/>
        </w:rPr>
        <w:t>dove sono fuori luogo sospetti di corruzione (par.5.11)</w:t>
      </w:r>
      <w:r w:rsidR="003F4ED4">
        <w:rPr>
          <w:sz w:val="22"/>
          <w:szCs w:val="22"/>
        </w:rPr>
        <w:t xml:space="preserve">, </w:t>
      </w:r>
      <w:r w:rsidR="002933CA">
        <w:rPr>
          <w:sz w:val="22"/>
          <w:szCs w:val="22"/>
        </w:rPr>
        <w:t xml:space="preserve">e i notevoli </w:t>
      </w:r>
      <w:r w:rsidR="007762BA">
        <w:rPr>
          <w:sz w:val="22"/>
          <w:szCs w:val="22"/>
        </w:rPr>
        <w:t xml:space="preserve">importi influenzano positivamente il c.d. budget monetario degli uffici (par.5.7). </w:t>
      </w:r>
    </w:p>
    <w:p w14:paraId="69B4AF8E" w14:textId="77777777" w:rsidR="008538B5" w:rsidRPr="007F7EBF" w:rsidRDefault="00515720" w:rsidP="008538B5">
      <w:pPr>
        <w:pStyle w:val="tit23"/>
        <w:ind w:left="6464" w:right="-1361" w:firstLine="0"/>
        <w:jc w:val="left"/>
        <w:rPr>
          <w:bCs/>
          <w:i/>
          <w:iCs/>
          <w:color w:val="0000FF"/>
          <w:lang w:val="it-IT"/>
        </w:rPr>
      </w:pPr>
      <w:r w:rsidRPr="007F7EBF">
        <w:rPr>
          <w:bCs/>
          <w:i/>
          <w:iCs/>
          <w:color w:val="0000FF"/>
          <w:lang w:val="it-IT"/>
        </w:rPr>
        <w:t>insuccesso e difficoltà sull’evasione di massa</w:t>
      </w:r>
    </w:p>
    <w:p w14:paraId="53BFBB2B" w14:textId="5B09250E" w:rsidR="00D538A3" w:rsidRPr="007F7EBF" w:rsidRDefault="007762BA" w:rsidP="00D538A3">
      <w:pPr>
        <w:autoSpaceDE w:val="0"/>
        <w:autoSpaceDN w:val="0"/>
        <w:adjustRightInd w:val="0"/>
        <w:rPr>
          <w:sz w:val="22"/>
          <w:szCs w:val="22"/>
        </w:rPr>
      </w:pPr>
      <w:r>
        <w:rPr>
          <w:sz w:val="22"/>
          <w:szCs w:val="22"/>
        </w:rPr>
        <w:t xml:space="preserve">Maggiori difficoltà si incontrano </w:t>
      </w:r>
      <w:r w:rsidR="00123499">
        <w:rPr>
          <w:sz w:val="22"/>
          <w:szCs w:val="22"/>
        </w:rPr>
        <w:t xml:space="preserve">davanti alle stime </w:t>
      </w:r>
      <w:r w:rsidR="00281BED" w:rsidRPr="007F7EBF">
        <w:rPr>
          <w:sz w:val="22"/>
          <w:szCs w:val="22"/>
        </w:rPr>
        <w:t>valutativ</w:t>
      </w:r>
      <w:r w:rsidR="00123499">
        <w:rPr>
          <w:sz w:val="22"/>
          <w:szCs w:val="22"/>
        </w:rPr>
        <w:t>e</w:t>
      </w:r>
      <w:r w:rsidR="00C024DF" w:rsidRPr="007F7EBF">
        <w:rPr>
          <w:sz w:val="22"/>
          <w:szCs w:val="22"/>
        </w:rPr>
        <w:t xml:space="preserve"> per ordine di grandezza, </w:t>
      </w:r>
      <w:r w:rsidR="00123499">
        <w:rPr>
          <w:sz w:val="22"/>
          <w:szCs w:val="22"/>
        </w:rPr>
        <w:t xml:space="preserve">per </w:t>
      </w:r>
      <w:r w:rsidR="00B9578D">
        <w:rPr>
          <w:sz w:val="22"/>
          <w:szCs w:val="22"/>
        </w:rPr>
        <w:t>pratiche di piccolo importo</w:t>
      </w:r>
      <w:r w:rsidR="00123499">
        <w:rPr>
          <w:sz w:val="22"/>
          <w:szCs w:val="22"/>
        </w:rPr>
        <w:t>, riguardanti piccoli commercianti, artigiani e professionisti, per l’evasione “di massa” di cui a</w:t>
      </w:r>
      <w:r w:rsidR="00361BCC">
        <w:rPr>
          <w:sz w:val="22"/>
          <w:szCs w:val="22"/>
        </w:rPr>
        <w:t>i parr.3.13-3.14</w:t>
      </w:r>
      <w:r w:rsidR="00123499">
        <w:rPr>
          <w:sz w:val="22"/>
          <w:szCs w:val="22"/>
        </w:rPr>
        <w:t>. Era qui che servivano</w:t>
      </w:r>
      <w:r w:rsidR="00B9578D">
        <w:rPr>
          <w:sz w:val="22"/>
          <w:szCs w:val="22"/>
        </w:rPr>
        <w:t xml:space="preserve"> l</w:t>
      </w:r>
      <w:r w:rsidR="00281BED" w:rsidRPr="007F7EBF">
        <w:rPr>
          <w:sz w:val="22"/>
          <w:szCs w:val="22"/>
        </w:rPr>
        <w:t xml:space="preserve">e procedure conciliative </w:t>
      </w:r>
      <w:r w:rsidR="00B9578D">
        <w:rPr>
          <w:sz w:val="22"/>
          <w:szCs w:val="22"/>
        </w:rPr>
        <w:t>in esame</w:t>
      </w:r>
      <w:r w:rsidR="00123499">
        <w:rPr>
          <w:sz w:val="22"/>
          <w:szCs w:val="22"/>
        </w:rPr>
        <w:t xml:space="preserve">, assieme a una maggiore sistematicità dell’intervento del fisco, come indicato al par.5.7; si tratta di pratiche numerose, di importo </w:t>
      </w:r>
      <w:r w:rsidR="00123499">
        <w:rPr>
          <w:sz w:val="22"/>
          <w:szCs w:val="22"/>
        </w:rPr>
        <w:lastRenderedPageBreak/>
        <w:t xml:space="preserve">individualmente modesto, dove </w:t>
      </w:r>
      <w:r w:rsidR="00C024DF" w:rsidRPr="007F7EBF">
        <w:rPr>
          <w:sz w:val="22"/>
          <w:szCs w:val="22"/>
        </w:rPr>
        <w:t>i</w:t>
      </w:r>
      <w:r w:rsidR="00CA2F4F" w:rsidRPr="007F7EBF">
        <w:rPr>
          <w:sz w:val="22"/>
          <w:szCs w:val="22"/>
        </w:rPr>
        <w:t xml:space="preserve">l funzionario che ha emanato l'atto impositivo </w:t>
      </w:r>
      <w:r w:rsidR="00123499">
        <w:rPr>
          <w:sz w:val="22"/>
          <w:szCs w:val="22"/>
        </w:rPr>
        <w:t>ha maggiori difficol</w:t>
      </w:r>
      <w:r w:rsidR="00CA2F4F" w:rsidRPr="007F7EBF">
        <w:rPr>
          <w:sz w:val="22"/>
          <w:szCs w:val="22"/>
        </w:rPr>
        <w:t xml:space="preserve">tà </w:t>
      </w:r>
      <w:r w:rsidR="00123499">
        <w:rPr>
          <w:sz w:val="22"/>
          <w:szCs w:val="22"/>
        </w:rPr>
        <w:t>interne a</w:t>
      </w:r>
      <w:r w:rsidR="00CA2F4F" w:rsidRPr="007F7EBF">
        <w:rPr>
          <w:sz w:val="22"/>
          <w:szCs w:val="22"/>
        </w:rPr>
        <w:t xml:space="preserve"> condivider</w:t>
      </w:r>
      <w:r w:rsidR="00123499">
        <w:rPr>
          <w:sz w:val="22"/>
          <w:szCs w:val="22"/>
        </w:rPr>
        <w:t>n</w:t>
      </w:r>
      <w:r w:rsidR="00CA2F4F" w:rsidRPr="007F7EBF">
        <w:rPr>
          <w:sz w:val="22"/>
          <w:szCs w:val="22"/>
        </w:rPr>
        <w:t xml:space="preserve">e </w:t>
      </w:r>
      <w:r w:rsidR="00123499">
        <w:rPr>
          <w:sz w:val="22"/>
          <w:szCs w:val="22"/>
        </w:rPr>
        <w:t>il riesame con colleghi o superiori; la maggiore</w:t>
      </w:r>
      <w:r w:rsidR="00C024DF" w:rsidRPr="007F7EBF">
        <w:rPr>
          <w:sz w:val="22"/>
          <w:szCs w:val="22"/>
        </w:rPr>
        <w:t xml:space="preserve"> necessità di </w:t>
      </w:r>
      <w:r w:rsidR="00281BED" w:rsidRPr="007F7EBF">
        <w:rPr>
          <w:sz w:val="22"/>
          <w:szCs w:val="22"/>
        </w:rPr>
        <w:t>esporsi</w:t>
      </w:r>
      <w:r w:rsidR="00C024DF" w:rsidRPr="007F7EBF">
        <w:rPr>
          <w:sz w:val="22"/>
          <w:szCs w:val="22"/>
        </w:rPr>
        <w:t xml:space="preserve"> personalmente fa scattare </w:t>
      </w:r>
      <w:r w:rsidR="00D538A3" w:rsidRPr="007F7EBF">
        <w:rPr>
          <w:sz w:val="22"/>
          <w:szCs w:val="22"/>
        </w:rPr>
        <w:t xml:space="preserve">una rigidità “autoprotettiva”, dipendente anche dalla sfiducia verso i contribuenti, e quindi dal timore che circostanze sopravvenute facciano apparire “eccessivamente benevole” determinazioni a suo tempo ritenute, in tutta la buona fede, “ragionevoli”.  </w:t>
      </w:r>
      <w:r w:rsidR="00220A19">
        <w:rPr>
          <w:bCs/>
          <w:sz w:val="22"/>
          <w:szCs w:val="22"/>
        </w:rPr>
        <w:t xml:space="preserve">Mancando la suddetta possibilità di frazionare la responsabilità, in modo che non abbia deciso nessuno, l’accertamento con adesione non si innesca, e subentra la tendenza a </w:t>
      </w:r>
      <w:r w:rsidR="00220A19">
        <w:rPr>
          <w:bCs/>
          <w:i/>
          <w:iCs/>
          <w:sz w:val="22"/>
          <w:szCs w:val="22"/>
        </w:rPr>
        <w:t>far decidere al giudice.</w:t>
      </w:r>
    </w:p>
    <w:p w14:paraId="7D7C3FA0" w14:textId="77777777" w:rsidR="00D538A3" w:rsidRPr="007F7EBF" w:rsidRDefault="00D538A3" w:rsidP="00D538A3">
      <w:pPr>
        <w:pStyle w:val="tit23"/>
        <w:ind w:left="6464" w:right="-1361" w:firstLine="0"/>
        <w:jc w:val="left"/>
        <w:rPr>
          <w:bCs/>
          <w:i/>
          <w:iCs/>
          <w:color w:val="0000FF"/>
          <w:lang w:val="it-IT"/>
        </w:rPr>
      </w:pPr>
      <w:r w:rsidRPr="007F7EBF">
        <w:rPr>
          <w:bCs/>
          <w:i/>
          <w:iCs/>
          <w:color w:val="0000FF"/>
          <w:lang w:val="it-IT"/>
        </w:rPr>
        <w:t>Tendenza ad abbattimenti percentuali predeterminati</w:t>
      </w:r>
    </w:p>
    <w:p w14:paraId="22A1E99E" w14:textId="2E190B79" w:rsidR="004227A1" w:rsidRPr="007F7EBF" w:rsidRDefault="00281BED" w:rsidP="004017B8">
      <w:pPr>
        <w:autoSpaceDE w:val="0"/>
        <w:autoSpaceDN w:val="0"/>
        <w:adjustRightInd w:val="0"/>
        <w:rPr>
          <w:bCs/>
          <w:i/>
          <w:iCs/>
          <w:color w:val="0000FF"/>
          <w:sz w:val="22"/>
          <w:szCs w:val="22"/>
        </w:rPr>
      </w:pPr>
      <w:r w:rsidRPr="007F7EBF">
        <w:rPr>
          <w:sz w:val="22"/>
          <w:szCs w:val="22"/>
        </w:rPr>
        <w:t xml:space="preserve">Per questo </w:t>
      </w:r>
      <w:r w:rsidR="00D538A3" w:rsidRPr="007F7EBF">
        <w:rPr>
          <w:sz w:val="22"/>
          <w:szCs w:val="22"/>
        </w:rPr>
        <w:t xml:space="preserve">gli uffici </w:t>
      </w:r>
      <w:r w:rsidR="00E627C9" w:rsidRPr="007F7EBF">
        <w:rPr>
          <w:sz w:val="22"/>
          <w:szCs w:val="22"/>
        </w:rPr>
        <w:t>sono d</w:t>
      </w:r>
      <w:r w:rsidR="00C024DF" w:rsidRPr="007F7EBF">
        <w:rPr>
          <w:sz w:val="22"/>
          <w:szCs w:val="22"/>
        </w:rPr>
        <w:t>iffidenti rispetto a complessi,</w:t>
      </w:r>
      <w:r w:rsidR="00E627C9" w:rsidRPr="007F7EBF">
        <w:rPr>
          <w:sz w:val="22"/>
          <w:szCs w:val="22"/>
        </w:rPr>
        <w:t xml:space="preserve"> e responsabilizzanti,</w:t>
      </w:r>
      <w:r w:rsidR="004017B8" w:rsidRPr="007F7EBF">
        <w:rPr>
          <w:sz w:val="22"/>
          <w:szCs w:val="22"/>
        </w:rPr>
        <w:t xml:space="preserve"> </w:t>
      </w:r>
      <w:r w:rsidRPr="007F7EBF">
        <w:rPr>
          <w:sz w:val="22"/>
          <w:szCs w:val="22"/>
        </w:rPr>
        <w:t xml:space="preserve">riesami </w:t>
      </w:r>
      <w:r w:rsidR="00E627C9" w:rsidRPr="007F7EBF">
        <w:rPr>
          <w:sz w:val="22"/>
          <w:szCs w:val="22"/>
        </w:rPr>
        <w:t>personalizzati; anche se il contribuente accompagna questi ultimi con c</w:t>
      </w:r>
      <w:r w:rsidR="006342C5" w:rsidRPr="007F7EBF">
        <w:rPr>
          <w:sz w:val="22"/>
          <w:szCs w:val="22"/>
        </w:rPr>
        <w:t>ircostanze verosimili, il funzionario non</w:t>
      </w:r>
      <w:r w:rsidR="00CA2C9D" w:rsidRPr="007F7EBF">
        <w:rPr>
          <w:sz w:val="22"/>
          <w:szCs w:val="22"/>
        </w:rPr>
        <w:t xml:space="preserve"> </w:t>
      </w:r>
      <w:r w:rsidR="006342C5" w:rsidRPr="007F7EBF">
        <w:rPr>
          <w:sz w:val="22"/>
          <w:szCs w:val="22"/>
        </w:rPr>
        <w:t xml:space="preserve">ha tempo per svolgere adeguati riscontri, visto il numero di </w:t>
      </w:r>
      <w:r w:rsidR="00E627C9" w:rsidRPr="007F7EBF">
        <w:rPr>
          <w:sz w:val="22"/>
          <w:szCs w:val="22"/>
        </w:rPr>
        <w:t xml:space="preserve">piccole </w:t>
      </w:r>
      <w:r w:rsidR="00E77A9B">
        <w:rPr>
          <w:sz w:val="22"/>
          <w:szCs w:val="22"/>
        </w:rPr>
        <w:t xml:space="preserve">analoghe </w:t>
      </w:r>
      <w:r w:rsidR="00E627C9" w:rsidRPr="007F7EBF">
        <w:rPr>
          <w:sz w:val="22"/>
          <w:szCs w:val="22"/>
        </w:rPr>
        <w:t xml:space="preserve">posizioni da controllare </w:t>
      </w:r>
      <w:r w:rsidR="00E77A9B">
        <w:rPr>
          <w:sz w:val="22"/>
          <w:szCs w:val="22"/>
        </w:rPr>
        <w:t>(</w:t>
      </w:r>
      <w:r w:rsidR="00515720" w:rsidRPr="007F7EBF">
        <w:rPr>
          <w:rStyle w:val="Rimandonotaapidipagina"/>
          <w:sz w:val="22"/>
          <w:szCs w:val="22"/>
        </w:rPr>
        <w:footnoteReference w:id="795"/>
      </w:r>
      <w:r w:rsidR="00E77A9B">
        <w:rPr>
          <w:sz w:val="22"/>
          <w:szCs w:val="22"/>
        </w:rPr>
        <w:t>)</w:t>
      </w:r>
      <w:r w:rsidR="00CA2C9D" w:rsidRPr="007F7EBF">
        <w:rPr>
          <w:sz w:val="22"/>
          <w:szCs w:val="22"/>
        </w:rPr>
        <w:t xml:space="preserve">. </w:t>
      </w:r>
      <w:r w:rsidR="006342C5" w:rsidRPr="007F7EBF">
        <w:rPr>
          <w:sz w:val="22"/>
          <w:szCs w:val="22"/>
        </w:rPr>
        <w:t xml:space="preserve"> Dovendo </w:t>
      </w:r>
      <w:r w:rsidR="00E627C9" w:rsidRPr="007F7EBF">
        <w:rPr>
          <w:sz w:val="22"/>
          <w:szCs w:val="22"/>
        </w:rPr>
        <w:t>accontentarsi di in</w:t>
      </w:r>
      <w:r w:rsidR="006342C5" w:rsidRPr="007F7EBF">
        <w:rPr>
          <w:sz w:val="22"/>
          <w:szCs w:val="22"/>
        </w:rPr>
        <w:t>formazioni limitate, gli uffici</w:t>
      </w:r>
      <w:r w:rsidR="00831547" w:rsidRPr="007F7EBF">
        <w:rPr>
          <w:sz w:val="22"/>
          <w:szCs w:val="22"/>
        </w:rPr>
        <w:t xml:space="preserve"> </w:t>
      </w:r>
      <w:r w:rsidR="004413FB" w:rsidRPr="007F7EBF">
        <w:rPr>
          <w:sz w:val="22"/>
          <w:szCs w:val="22"/>
        </w:rPr>
        <w:t xml:space="preserve">tendono a </w:t>
      </w:r>
      <w:r w:rsidR="00E627C9" w:rsidRPr="007F7EBF">
        <w:rPr>
          <w:sz w:val="22"/>
          <w:szCs w:val="22"/>
        </w:rPr>
        <w:t>standardizzare i propri comportamenti</w:t>
      </w:r>
      <w:r w:rsidR="00123499">
        <w:rPr>
          <w:sz w:val="22"/>
          <w:szCs w:val="22"/>
        </w:rPr>
        <w:t>(</w:t>
      </w:r>
      <w:r w:rsidR="00E627C9" w:rsidRPr="007F7EBF">
        <w:rPr>
          <w:rStyle w:val="Rimandonotaapidipagina"/>
          <w:sz w:val="22"/>
          <w:szCs w:val="22"/>
        </w:rPr>
        <w:footnoteReference w:id="796"/>
      </w:r>
      <w:r w:rsidR="00123499">
        <w:rPr>
          <w:sz w:val="22"/>
          <w:szCs w:val="22"/>
        </w:rPr>
        <w:t>)</w:t>
      </w:r>
      <w:r w:rsidR="00E627C9" w:rsidRPr="007F7EBF">
        <w:rPr>
          <w:sz w:val="22"/>
          <w:szCs w:val="22"/>
        </w:rPr>
        <w:t xml:space="preserve">, </w:t>
      </w:r>
      <w:r w:rsidR="00123499">
        <w:rPr>
          <w:sz w:val="22"/>
          <w:szCs w:val="22"/>
        </w:rPr>
        <w:t xml:space="preserve">confrontando gli </w:t>
      </w:r>
      <w:r w:rsidR="00515720" w:rsidRPr="007F7EBF">
        <w:rPr>
          <w:sz w:val="22"/>
          <w:szCs w:val="22"/>
        </w:rPr>
        <w:t xml:space="preserve">abbattimenti </w:t>
      </w:r>
      <w:r w:rsidR="00123499">
        <w:rPr>
          <w:sz w:val="22"/>
          <w:szCs w:val="22"/>
        </w:rPr>
        <w:t>percentuali dell’accertato</w:t>
      </w:r>
      <w:r w:rsidR="004413FB" w:rsidRPr="007F7EBF">
        <w:rPr>
          <w:sz w:val="22"/>
          <w:szCs w:val="22"/>
        </w:rPr>
        <w:t xml:space="preserve">, in funzione "autoprotettiva" </w:t>
      </w:r>
      <w:r w:rsidR="00123499">
        <w:rPr>
          <w:sz w:val="22"/>
          <w:szCs w:val="22"/>
        </w:rPr>
        <w:t>(</w:t>
      </w:r>
      <w:r w:rsidR="00515720" w:rsidRPr="007F7EBF">
        <w:rPr>
          <w:rStyle w:val="Rimandonotaapidipagina"/>
          <w:sz w:val="22"/>
          <w:szCs w:val="22"/>
        </w:rPr>
        <w:footnoteReference w:id="797"/>
      </w:r>
      <w:r w:rsidR="00123499">
        <w:rPr>
          <w:sz w:val="22"/>
          <w:szCs w:val="22"/>
        </w:rPr>
        <w:t>)</w:t>
      </w:r>
      <w:r w:rsidR="00E627C9" w:rsidRPr="007F7EBF">
        <w:rPr>
          <w:sz w:val="22"/>
          <w:szCs w:val="22"/>
        </w:rPr>
        <w:t xml:space="preserve">. </w:t>
      </w:r>
      <w:r w:rsidR="00123499">
        <w:rPr>
          <w:sz w:val="22"/>
          <w:szCs w:val="22"/>
        </w:rPr>
        <w:t xml:space="preserve">Queste tendenze </w:t>
      </w:r>
      <w:r w:rsidR="00A17715" w:rsidRPr="007F7EBF">
        <w:rPr>
          <w:sz w:val="22"/>
          <w:szCs w:val="22"/>
        </w:rPr>
        <w:t>qualche volta avvantaggiano chi ha evaso largamente, e qualche volta puniscono chi, in proporzione, ha evaso molto meno, sub</w:t>
      </w:r>
      <w:r w:rsidR="00123499">
        <w:rPr>
          <w:sz w:val="22"/>
          <w:szCs w:val="22"/>
        </w:rPr>
        <w:t>endo</w:t>
      </w:r>
      <w:r w:rsidR="00A17715" w:rsidRPr="007F7EBF">
        <w:rPr>
          <w:sz w:val="22"/>
          <w:szCs w:val="22"/>
        </w:rPr>
        <w:t xml:space="preserve"> determinazioni del tributo errate per eccesso</w:t>
      </w:r>
      <w:r w:rsidR="00123499">
        <w:rPr>
          <w:sz w:val="22"/>
          <w:szCs w:val="22"/>
        </w:rPr>
        <w:t xml:space="preserve"> (</w:t>
      </w:r>
      <w:r w:rsidR="00A17715" w:rsidRPr="007F7EBF">
        <w:rPr>
          <w:rStyle w:val="Rimandonotaapidipagina"/>
          <w:sz w:val="22"/>
          <w:szCs w:val="22"/>
        </w:rPr>
        <w:footnoteReference w:id="798"/>
      </w:r>
      <w:r w:rsidR="00123499">
        <w:rPr>
          <w:sz w:val="22"/>
          <w:szCs w:val="22"/>
        </w:rPr>
        <w:t>)</w:t>
      </w:r>
      <w:r w:rsidR="00A17715" w:rsidRPr="007F7EBF">
        <w:rPr>
          <w:sz w:val="22"/>
          <w:szCs w:val="22"/>
        </w:rPr>
        <w:t>. Partire dall'accertato</w:t>
      </w:r>
      <w:r w:rsidR="00123499">
        <w:rPr>
          <w:sz w:val="22"/>
          <w:szCs w:val="22"/>
        </w:rPr>
        <w:t xml:space="preserve">, </w:t>
      </w:r>
      <w:r w:rsidR="005F167A">
        <w:rPr>
          <w:sz w:val="22"/>
          <w:szCs w:val="22"/>
        </w:rPr>
        <w:t xml:space="preserve">anziché personalizzarne la credibilità comparativa rispetto al dichiarato, può avere effetti distorsivi rispetto a una corretta determinazione degli imponibili. La logica degli “abbattimenti dell’accertato” mantiene in vita almeno in parte determinazioni irragionevoli, oppure abbatte </w:t>
      </w:r>
      <w:r w:rsidR="005F167A">
        <w:rPr>
          <w:sz w:val="22"/>
          <w:szCs w:val="22"/>
        </w:rPr>
        <w:lastRenderedPageBreak/>
        <w:t>determinazioni ragionevoli, da confermare integralmente (</w:t>
      </w:r>
      <w:r w:rsidR="00A17715" w:rsidRPr="007F7EBF">
        <w:rPr>
          <w:rStyle w:val="Rimandonotaapidipagina"/>
          <w:sz w:val="22"/>
          <w:szCs w:val="22"/>
        </w:rPr>
        <w:footnoteReference w:id="799"/>
      </w:r>
      <w:r w:rsidR="005F167A">
        <w:rPr>
          <w:sz w:val="22"/>
          <w:szCs w:val="22"/>
        </w:rPr>
        <w:t>)</w:t>
      </w:r>
      <w:r w:rsidR="00A17715" w:rsidRPr="007F7EBF">
        <w:rPr>
          <w:sz w:val="22"/>
          <w:szCs w:val="22"/>
        </w:rPr>
        <w:t xml:space="preserve">. </w:t>
      </w:r>
      <w:r w:rsidR="002B3607" w:rsidRPr="007F7EBF">
        <w:rPr>
          <w:sz w:val="22"/>
          <w:szCs w:val="22"/>
        </w:rPr>
        <w:t xml:space="preserve">Sulle pratiche più significative, sempre dei piccoli contribuenti, questo meccanicismo spinge spesso al contenzioso giurisdizionale, col numero dei processi </w:t>
      </w:r>
      <w:r w:rsidR="002B3607" w:rsidRPr="007F7EBF">
        <w:rPr>
          <w:bCs/>
          <w:sz w:val="22"/>
          <w:szCs w:val="22"/>
        </w:rPr>
        <w:t>stabilizzato, ma non diminuito, come anticipato sopra e vedremo al par.6.10.</w:t>
      </w:r>
      <w:r w:rsidR="00A17715" w:rsidRPr="007F7EBF">
        <w:rPr>
          <w:sz w:val="22"/>
          <w:szCs w:val="22"/>
        </w:rPr>
        <w:t xml:space="preserve"> </w:t>
      </w:r>
      <w:r w:rsidR="00C91B46">
        <w:rPr>
          <w:sz w:val="22"/>
          <w:szCs w:val="22"/>
        </w:rPr>
        <w:t>Le adesioni hanno più successo per le pretese relativamente piccole, quando i</w:t>
      </w:r>
      <w:r w:rsidR="00A17715" w:rsidRPr="007F7EBF">
        <w:rPr>
          <w:sz w:val="22"/>
          <w:szCs w:val="22"/>
        </w:rPr>
        <w:t xml:space="preserve"> costi del processo </w:t>
      </w:r>
      <w:r w:rsidR="00C91B46">
        <w:rPr>
          <w:sz w:val="22"/>
          <w:szCs w:val="22"/>
        </w:rPr>
        <w:t>“pesano” relativamente di più</w:t>
      </w:r>
      <w:r w:rsidR="00E77A9B">
        <w:rPr>
          <w:sz w:val="22"/>
          <w:szCs w:val="22"/>
        </w:rPr>
        <w:t>, rendendo appetibili, anche per il contribuente, gli abbattimenti d’imponibile concessi dall’ufficio.</w:t>
      </w:r>
    </w:p>
    <w:p w14:paraId="388C1C0E" w14:textId="77777777" w:rsidR="004017B8" w:rsidRPr="007F7EBF" w:rsidRDefault="004017B8" w:rsidP="004017B8">
      <w:pPr>
        <w:pStyle w:val="tit23"/>
        <w:ind w:left="6464" w:right="-1361" w:firstLine="0"/>
        <w:jc w:val="left"/>
        <w:rPr>
          <w:bCs/>
          <w:i/>
          <w:iCs/>
          <w:color w:val="0000FF"/>
          <w:lang w:val="it-IT"/>
        </w:rPr>
      </w:pPr>
      <w:r w:rsidRPr="007F7EBF">
        <w:rPr>
          <w:bCs/>
          <w:i/>
          <w:iCs/>
          <w:color w:val="0000FF"/>
          <w:lang w:val="it-IT"/>
        </w:rPr>
        <w:t>Disfunzioni sul piano della sistematicità dell’intervento amministrativo</w:t>
      </w:r>
    </w:p>
    <w:p w14:paraId="5FA5F962" w14:textId="011C2A81" w:rsidR="004017B8" w:rsidRPr="007F7EBF" w:rsidRDefault="00E77A9B" w:rsidP="004227A1">
      <w:pPr>
        <w:autoSpaceDE w:val="0"/>
        <w:autoSpaceDN w:val="0"/>
        <w:adjustRightInd w:val="0"/>
        <w:rPr>
          <w:bCs/>
          <w:i/>
          <w:iCs/>
          <w:color w:val="0000FF"/>
          <w:sz w:val="22"/>
          <w:szCs w:val="22"/>
        </w:rPr>
      </w:pPr>
      <w:r>
        <w:rPr>
          <w:sz w:val="22"/>
          <w:szCs w:val="22"/>
        </w:rPr>
        <w:t>Si conferma quindi che i</w:t>
      </w:r>
      <w:r w:rsidR="00A17715" w:rsidRPr="007F7EBF">
        <w:rPr>
          <w:sz w:val="22"/>
          <w:szCs w:val="22"/>
        </w:rPr>
        <w:t xml:space="preserve">l contenzioso amministrativo diventa paradossalmente </w:t>
      </w:r>
      <w:r w:rsidR="00A17715" w:rsidRPr="007F7EBF">
        <w:rPr>
          <w:bCs/>
          <w:sz w:val="22"/>
          <w:szCs w:val="22"/>
        </w:rPr>
        <w:t xml:space="preserve">troppo rigido </w:t>
      </w:r>
      <w:r w:rsidR="00A17715" w:rsidRPr="007F7EBF">
        <w:rPr>
          <w:sz w:val="22"/>
          <w:szCs w:val="22"/>
        </w:rPr>
        <w:t xml:space="preserve">proprio dove sarebbe </w:t>
      </w:r>
      <w:r w:rsidR="00A17715" w:rsidRPr="007F7EBF">
        <w:rPr>
          <w:bCs/>
          <w:sz w:val="22"/>
          <w:szCs w:val="22"/>
        </w:rPr>
        <w:t xml:space="preserve">più necessario </w:t>
      </w:r>
      <w:r w:rsidR="00A17715" w:rsidRPr="007F7EBF">
        <w:rPr>
          <w:sz w:val="22"/>
          <w:szCs w:val="22"/>
        </w:rPr>
        <w:t xml:space="preserve">a massimizzare il controllo valutativo del territorio, secondo quanto indicato al par.5.7. </w:t>
      </w:r>
      <w:r w:rsidR="004017B8" w:rsidRPr="007F7EBF">
        <w:rPr>
          <w:sz w:val="22"/>
          <w:szCs w:val="22"/>
        </w:rPr>
        <w:t xml:space="preserve">Ciò va a scapito della perequazione tributaria e dell’interesse generale, perché </w:t>
      </w:r>
      <w:r w:rsidR="00CD3DC0" w:rsidRPr="007F7EBF">
        <w:rPr>
          <w:sz w:val="22"/>
          <w:szCs w:val="22"/>
        </w:rPr>
        <w:t>il</w:t>
      </w:r>
      <w:r w:rsidR="00A17715" w:rsidRPr="007F7EBF">
        <w:rPr>
          <w:sz w:val="22"/>
          <w:szCs w:val="22"/>
        </w:rPr>
        <w:t xml:space="preserve"> controll</w:t>
      </w:r>
      <w:r w:rsidR="004017B8" w:rsidRPr="007F7EBF">
        <w:rPr>
          <w:sz w:val="22"/>
          <w:szCs w:val="22"/>
        </w:rPr>
        <w:t xml:space="preserve">o </w:t>
      </w:r>
      <w:r w:rsidR="00CD3DC0" w:rsidRPr="007F7EBF">
        <w:rPr>
          <w:sz w:val="22"/>
          <w:szCs w:val="22"/>
        </w:rPr>
        <w:t>valutativo de</w:t>
      </w:r>
      <w:r w:rsidR="004017B8" w:rsidRPr="007F7EBF">
        <w:rPr>
          <w:sz w:val="22"/>
          <w:szCs w:val="22"/>
        </w:rPr>
        <w:t xml:space="preserve">lla ricchezza non </w:t>
      </w:r>
      <w:r w:rsidR="00CD3DC0" w:rsidRPr="007F7EBF">
        <w:rPr>
          <w:sz w:val="22"/>
          <w:szCs w:val="22"/>
        </w:rPr>
        <w:t xml:space="preserve">determinata contabilmente attraverso le </w:t>
      </w:r>
      <w:r w:rsidR="004017B8" w:rsidRPr="007F7EBF">
        <w:rPr>
          <w:sz w:val="22"/>
          <w:szCs w:val="22"/>
        </w:rPr>
        <w:t xml:space="preserve">aziende, </w:t>
      </w:r>
      <w:r w:rsidR="00CD3DC0" w:rsidRPr="007F7EBF">
        <w:rPr>
          <w:sz w:val="22"/>
          <w:szCs w:val="22"/>
        </w:rPr>
        <w:t xml:space="preserve">diventa meno sistematico, in quanto ogni pratica assorbe </w:t>
      </w:r>
      <w:r w:rsidR="008B3F13">
        <w:rPr>
          <w:sz w:val="22"/>
          <w:szCs w:val="22"/>
        </w:rPr>
        <w:t>eccessivi</w:t>
      </w:r>
      <w:r w:rsidR="00CD3DC0" w:rsidRPr="007F7EBF">
        <w:rPr>
          <w:sz w:val="22"/>
          <w:szCs w:val="22"/>
        </w:rPr>
        <w:t xml:space="preserve"> tempi ed energie</w:t>
      </w:r>
      <w:r w:rsidR="004017B8" w:rsidRPr="007F7EBF">
        <w:rPr>
          <w:sz w:val="22"/>
          <w:szCs w:val="22"/>
        </w:rPr>
        <w:t xml:space="preserve">. </w:t>
      </w:r>
      <w:r w:rsidR="00281BED" w:rsidRPr="007F7EBF">
        <w:rPr>
          <w:sz w:val="22"/>
          <w:szCs w:val="22"/>
        </w:rPr>
        <w:t xml:space="preserve">Il </w:t>
      </w:r>
      <w:r w:rsidR="004017B8" w:rsidRPr="007F7EBF">
        <w:rPr>
          <w:bCs/>
          <w:sz w:val="22"/>
          <w:szCs w:val="22"/>
        </w:rPr>
        <w:t xml:space="preserve">contenzioso amministrativo </w:t>
      </w:r>
      <w:r w:rsidR="004017B8" w:rsidRPr="007F7EBF">
        <w:rPr>
          <w:sz w:val="22"/>
          <w:szCs w:val="22"/>
        </w:rPr>
        <w:t>si i</w:t>
      </w:r>
      <w:r w:rsidR="00CD3DC0" w:rsidRPr="007F7EBF">
        <w:rPr>
          <w:bCs/>
          <w:sz w:val="22"/>
          <w:szCs w:val="22"/>
        </w:rPr>
        <w:t xml:space="preserve">nceppa insomma proprio dove servirebbe il controllo valutativo degli uffici, per ordine di grandezza, che costituisce </w:t>
      </w:r>
      <w:r w:rsidR="004017B8" w:rsidRPr="007F7EBF">
        <w:rPr>
          <w:sz w:val="22"/>
          <w:szCs w:val="22"/>
        </w:rPr>
        <w:t>il problema tribu</w:t>
      </w:r>
      <w:r w:rsidR="00A17715" w:rsidRPr="007F7EBF">
        <w:rPr>
          <w:sz w:val="22"/>
          <w:szCs w:val="22"/>
        </w:rPr>
        <w:t>tario</w:t>
      </w:r>
      <w:r w:rsidR="00CD3DC0" w:rsidRPr="007F7EBF">
        <w:rPr>
          <w:sz w:val="22"/>
          <w:szCs w:val="22"/>
        </w:rPr>
        <w:t xml:space="preserve"> italiano</w:t>
      </w:r>
      <w:r w:rsidR="00A17715" w:rsidRPr="007F7EBF">
        <w:rPr>
          <w:sz w:val="22"/>
          <w:szCs w:val="22"/>
        </w:rPr>
        <w:t xml:space="preserve"> </w:t>
      </w:r>
      <w:r w:rsidR="004017B8" w:rsidRPr="007F7EBF">
        <w:rPr>
          <w:sz w:val="22"/>
          <w:szCs w:val="22"/>
        </w:rPr>
        <w:t>(</w:t>
      </w:r>
      <w:r w:rsidR="004017B8" w:rsidRPr="007F7EBF">
        <w:rPr>
          <w:rStyle w:val="Rimandonotaapidipagina"/>
          <w:sz w:val="22"/>
          <w:szCs w:val="22"/>
        </w:rPr>
        <w:footnoteReference w:id="800"/>
      </w:r>
      <w:r w:rsidR="004017B8" w:rsidRPr="007F7EBF">
        <w:rPr>
          <w:sz w:val="22"/>
          <w:szCs w:val="22"/>
        </w:rPr>
        <w:t>).</w:t>
      </w:r>
    </w:p>
    <w:p w14:paraId="7D5D1511" w14:textId="77777777" w:rsidR="004A1D0C" w:rsidRPr="007F7EBF" w:rsidRDefault="004A1D0C" w:rsidP="004A1D0C">
      <w:pPr>
        <w:pStyle w:val="tit23"/>
        <w:ind w:left="6464" w:right="-1361" w:firstLine="0"/>
        <w:jc w:val="left"/>
        <w:rPr>
          <w:bCs/>
          <w:i/>
          <w:iCs/>
          <w:color w:val="0000FF"/>
          <w:lang w:val="it-IT"/>
        </w:rPr>
      </w:pPr>
      <w:r w:rsidRPr="007F7EBF">
        <w:rPr>
          <w:bCs/>
          <w:i/>
          <w:iCs/>
          <w:color w:val="0000FF"/>
          <w:lang w:val="it-IT"/>
        </w:rPr>
        <w:t>Mediazione tributaria come ricorso gerarchico improprio</w:t>
      </w:r>
    </w:p>
    <w:p w14:paraId="76FE1FAA" w14:textId="634E9BBD" w:rsidR="006342C5" w:rsidRPr="007F7EBF" w:rsidRDefault="006342C5" w:rsidP="006342C5">
      <w:pPr>
        <w:autoSpaceDE w:val="0"/>
        <w:autoSpaceDN w:val="0"/>
        <w:adjustRightInd w:val="0"/>
        <w:rPr>
          <w:sz w:val="22"/>
          <w:szCs w:val="22"/>
        </w:rPr>
      </w:pPr>
      <w:r w:rsidRPr="007F7EBF">
        <w:rPr>
          <w:sz w:val="22"/>
          <w:szCs w:val="22"/>
        </w:rPr>
        <w:t>Per snellire queste determinazioni si è cercato di abbandonare lo schema del “ricorso</w:t>
      </w:r>
      <w:r w:rsidR="0079635D" w:rsidRPr="007F7EBF">
        <w:rPr>
          <w:sz w:val="22"/>
          <w:szCs w:val="22"/>
        </w:rPr>
        <w:t xml:space="preserve"> </w:t>
      </w:r>
      <w:r w:rsidRPr="007F7EBF">
        <w:rPr>
          <w:sz w:val="22"/>
          <w:szCs w:val="22"/>
        </w:rPr>
        <w:t xml:space="preserve">amministrativo in opposizione”, </w:t>
      </w:r>
      <w:r w:rsidR="00CD3DC0" w:rsidRPr="007F7EBF">
        <w:rPr>
          <w:sz w:val="22"/>
          <w:szCs w:val="22"/>
        </w:rPr>
        <w:t xml:space="preserve">indirizzando </w:t>
      </w:r>
      <w:r w:rsidRPr="007F7EBF">
        <w:rPr>
          <w:sz w:val="22"/>
          <w:szCs w:val="22"/>
        </w:rPr>
        <w:t xml:space="preserve">le richieste di </w:t>
      </w:r>
      <w:r w:rsidRPr="007F7EBF">
        <w:rPr>
          <w:sz w:val="22"/>
          <w:szCs w:val="22"/>
        </w:rPr>
        <w:lastRenderedPageBreak/>
        <w:t>riesame, in via sperimentale e per le</w:t>
      </w:r>
      <w:r w:rsidR="004017B8" w:rsidRPr="007F7EBF">
        <w:rPr>
          <w:sz w:val="22"/>
          <w:szCs w:val="22"/>
        </w:rPr>
        <w:t xml:space="preserve"> pratiche di minore ammontare (</w:t>
      </w:r>
      <w:r w:rsidR="00F445F4">
        <w:rPr>
          <w:rStyle w:val="Rimandonotaapidipagina"/>
          <w:sz w:val="22"/>
          <w:szCs w:val="22"/>
        </w:rPr>
        <w:footnoteReference w:id="801"/>
      </w:r>
      <w:r w:rsidRPr="007F7EBF">
        <w:rPr>
          <w:sz w:val="22"/>
          <w:szCs w:val="22"/>
        </w:rPr>
        <w:t xml:space="preserve">) </w:t>
      </w:r>
      <w:r w:rsidR="00CD3DC0" w:rsidRPr="007F7EBF">
        <w:rPr>
          <w:sz w:val="22"/>
          <w:szCs w:val="22"/>
        </w:rPr>
        <w:t>ad u</w:t>
      </w:r>
      <w:r w:rsidRPr="007F7EBF">
        <w:rPr>
          <w:sz w:val="22"/>
          <w:szCs w:val="22"/>
        </w:rPr>
        <w:t>n diverso ufficio dell’agenzia delle</w:t>
      </w:r>
      <w:r w:rsidR="0079635D" w:rsidRPr="007F7EBF">
        <w:rPr>
          <w:sz w:val="22"/>
          <w:szCs w:val="22"/>
        </w:rPr>
        <w:t xml:space="preserve"> </w:t>
      </w:r>
      <w:r w:rsidR="00CD3DC0" w:rsidRPr="007F7EBF">
        <w:rPr>
          <w:sz w:val="22"/>
          <w:szCs w:val="22"/>
        </w:rPr>
        <w:t>entrate</w:t>
      </w:r>
      <w:r w:rsidR="00C51FBA">
        <w:rPr>
          <w:sz w:val="22"/>
          <w:szCs w:val="22"/>
        </w:rPr>
        <w:t>, cioè l’ufficio legale della direzione provinciale delle entrate (par.5.2)</w:t>
      </w:r>
      <w:r w:rsidR="00CD3DC0" w:rsidRPr="007F7EBF">
        <w:rPr>
          <w:sz w:val="22"/>
          <w:szCs w:val="22"/>
        </w:rPr>
        <w:t xml:space="preserve">. </w:t>
      </w:r>
      <w:r w:rsidRPr="007F7EBF">
        <w:rPr>
          <w:sz w:val="22"/>
          <w:szCs w:val="22"/>
        </w:rPr>
        <w:t>Si tratta della c.d.</w:t>
      </w:r>
      <w:r w:rsidR="002B3607" w:rsidRPr="007F7EBF">
        <w:rPr>
          <w:sz w:val="22"/>
          <w:szCs w:val="22"/>
        </w:rPr>
        <w:t xml:space="preserve"> </w:t>
      </w:r>
      <w:r w:rsidRPr="007F7EBF">
        <w:rPr>
          <w:sz w:val="22"/>
          <w:szCs w:val="22"/>
        </w:rPr>
        <w:t>“</w:t>
      </w:r>
      <w:r w:rsidRPr="007F7EBF">
        <w:rPr>
          <w:bCs/>
          <w:sz w:val="22"/>
          <w:szCs w:val="22"/>
        </w:rPr>
        <w:t>mediazione tributaria</w:t>
      </w:r>
      <w:r w:rsidRPr="007F7EBF">
        <w:rPr>
          <w:sz w:val="22"/>
          <w:szCs w:val="22"/>
        </w:rPr>
        <w:t>”</w:t>
      </w:r>
      <w:r w:rsidR="00EB2EB4">
        <w:rPr>
          <w:sz w:val="22"/>
          <w:szCs w:val="22"/>
        </w:rPr>
        <w:t>(</w:t>
      </w:r>
      <w:r w:rsidR="002B3607" w:rsidRPr="007F7EBF">
        <w:rPr>
          <w:rStyle w:val="Rimandonotaapidipagina"/>
          <w:sz w:val="22"/>
          <w:szCs w:val="22"/>
        </w:rPr>
        <w:footnoteReference w:id="802"/>
      </w:r>
      <w:r w:rsidR="00EB2EB4">
        <w:rPr>
          <w:sz w:val="22"/>
          <w:szCs w:val="22"/>
        </w:rPr>
        <w:t>)</w:t>
      </w:r>
      <w:r w:rsidRPr="007F7EBF">
        <w:rPr>
          <w:sz w:val="22"/>
          <w:szCs w:val="22"/>
        </w:rPr>
        <w:t xml:space="preserve">, impropria denominazione di un </w:t>
      </w:r>
      <w:r w:rsidRPr="007F7EBF">
        <w:rPr>
          <w:bCs/>
          <w:sz w:val="22"/>
          <w:szCs w:val="22"/>
        </w:rPr>
        <w:t>ricorso amministrativo</w:t>
      </w:r>
      <w:r w:rsidR="0079635D" w:rsidRPr="007F7EBF">
        <w:rPr>
          <w:bCs/>
          <w:sz w:val="22"/>
          <w:szCs w:val="22"/>
        </w:rPr>
        <w:t xml:space="preserve"> </w:t>
      </w:r>
      <w:r w:rsidRPr="007F7EBF">
        <w:rPr>
          <w:sz w:val="22"/>
          <w:szCs w:val="22"/>
        </w:rPr>
        <w:t>ad un diverso organo della stessa amministrazione</w:t>
      </w:r>
      <w:r w:rsidR="004A1D0C" w:rsidRPr="007F7EBF">
        <w:rPr>
          <w:sz w:val="22"/>
          <w:szCs w:val="22"/>
        </w:rPr>
        <w:t>, precisamente il servizio legale della direzione provinciale, mentre l'accertamento è redatto dall'ufficio controlli</w:t>
      </w:r>
      <w:r w:rsidR="00CD3DC0" w:rsidRPr="007F7EBF">
        <w:rPr>
          <w:sz w:val="22"/>
          <w:szCs w:val="22"/>
        </w:rPr>
        <w:t xml:space="preserve"> della stessa direzione</w:t>
      </w:r>
      <w:r w:rsidR="008B3F13">
        <w:rPr>
          <w:sz w:val="22"/>
          <w:szCs w:val="22"/>
        </w:rPr>
        <w:t xml:space="preserve"> provinciale</w:t>
      </w:r>
      <w:r w:rsidRPr="007F7EBF">
        <w:rPr>
          <w:sz w:val="22"/>
          <w:szCs w:val="22"/>
        </w:rPr>
        <w:t xml:space="preserve">; </w:t>
      </w:r>
      <w:r w:rsidR="00EB2EB4">
        <w:rPr>
          <w:sz w:val="22"/>
          <w:szCs w:val="22"/>
        </w:rPr>
        <w:t xml:space="preserve">questa diversità di organi </w:t>
      </w:r>
      <w:r w:rsidRPr="007F7EBF">
        <w:rPr>
          <w:sz w:val="22"/>
          <w:szCs w:val="22"/>
        </w:rPr>
        <w:t xml:space="preserve">dovrebbe </w:t>
      </w:r>
      <w:r w:rsidR="00EB2EB4">
        <w:rPr>
          <w:bCs/>
          <w:sz w:val="22"/>
          <w:szCs w:val="22"/>
        </w:rPr>
        <w:t xml:space="preserve">istituzionalizzare </w:t>
      </w:r>
      <w:r w:rsidRPr="007F7EBF">
        <w:rPr>
          <w:bCs/>
          <w:sz w:val="22"/>
          <w:szCs w:val="22"/>
        </w:rPr>
        <w:t xml:space="preserve">le condivisioni di responsabilità </w:t>
      </w:r>
      <w:r w:rsidRPr="007F7EBF">
        <w:rPr>
          <w:sz w:val="22"/>
          <w:szCs w:val="22"/>
        </w:rPr>
        <w:t>descritte sopra per i “grandi contribuenti”.</w:t>
      </w:r>
    </w:p>
    <w:p w14:paraId="0E11AB95" w14:textId="77777777" w:rsidR="004A1D0C" w:rsidRPr="007F7EBF" w:rsidRDefault="006342C5" w:rsidP="00CD3DC0">
      <w:pPr>
        <w:autoSpaceDE w:val="0"/>
        <w:autoSpaceDN w:val="0"/>
        <w:adjustRightInd w:val="0"/>
        <w:rPr>
          <w:sz w:val="22"/>
          <w:szCs w:val="22"/>
        </w:rPr>
      </w:pPr>
      <w:r w:rsidRPr="007F7EBF">
        <w:rPr>
          <w:sz w:val="22"/>
          <w:szCs w:val="22"/>
        </w:rPr>
        <w:t>I primi risultati sono stati molto lusinghieri per riabituare gli uffici a decidere, e</w:t>
      </w:r>
      <w:r w:rsidR="0079635D" w:rsidRPr="007F7EBF">
        <w:rPr>
          <w:sz w:val="22"/>
          <w:szCs w:val="22"/>
        </w:rPr>
        <w:t xml:space="preserve"> </w:t>
      </w:r>
      <w:r w:rsidRPr="007F7EBF">
        <w:rPr>
          <w:sz w:val="22"/>
          <w:szCs w:val="22"/>
        </w:rPr>
        <w:t>potrebbero essere oggetto di approfondimenti specifici</w:t>
      </w:r>
      <w:r w:rsidR="00CD3DC0" w:rsidRPr="007F7EBF">
        <w:rPr>
          <w:rStyle w:val="Rimandonotaapidipagina"/>
          <w:sz w:val="22"/>
          <w:szCs w:val="22"/>
        </w:rPr>
        <w:footnoteReference w:id="803"/>
      </w:r>
      <w:r w:rsidRPr="007F7EBF">
        <w:rPr>
          <w:sz w:val="22"/>
          <w:szCs w:val="22"/>
        </w:rPr>
        <w:t>.</w:t>
      </w:r>
      <w:r w:rsidR="00E76042" w:rsidRPr="007F7EBF">
        <w:rPr>
          <w:sz w:val="22"/>
          <w:szCs w:val="22"/>
        </w:rPr>
        <w:t xml:space="preserve"> </w:t>
      </w:r>
    </w:p>
    <w:p w14:paraId="56F0191E" w14:textId="77777777" w:rsidR="004A1D0C" w:rsidRPr="007F7EBF" w:rsidRDefault="004A1D0C" w:rsidP="004A1D0C">
      <w:pPr>
        <w:pStyle w:val="tit23"/>
        <w:ind w:left="6464" w:right="-1361" w:firstLine="0"/>
        <w:jc w:val="left"/>
        <w:rPr>
          <w:bCs/>
          <w:i/>
          <w:iCs/>
          <w:color w:val="0000FF"/>
          <w:lang w:val="it-IT"/>
        </w:rPr>
      </w:pPr>
      <w:r w:rsidRPr="007F7EBF">
        <w:rPr>
          <w:bCs/>
          <w:i/>
          <w:iCs/>
          <w:color w:val="0000FF"/>
          <w:lang w:val="it-IT"/>
        </w:rPr>
        <w:t>possibile “arbitrato tributario”</w:t>
      </w:r>
      <w:r w:rsidR="003C3DA3" w:rsidRPr="007F7EBF">
        <w:rPr>
          <w:bCs/>
          <w:i/>
          <w:iCs/>
          <w:color w:val="0000FF"/>
          <w:lang w:val="it-IT"/>
        </w:rPr>
        <w:t xml:space="preserve"> e controllo sociale</w:t>
      </w:r>
    </w:p>
    <w:p w14:paraId="3005D741" w14:textId="40C58121" w:rsidR="00802276" w:rsidRPr="007F7EBF" w:rsidRDefault="008B3F13" w:rsidP="00831547">
      <w:pPr>
        <w:autoSpaceDE w:val="0"/>
        <w:autoSpaceDN w:val="0"/>
        <w:adjustRightInd w:val="0"/>
        <w:rPr>
          <w:sz w:val="22"/>
          <w:szCs w:val="22"/>
        </w:rPr>
      </w:pPr>
      <w:r>
        <w:rPr>
          <w:sz w:val="22"/>
          <w:szCs w:val="22"/>
        </w:rPr>
        <w:t>C’è quindi ancora molto da fare per invertire l</w:t>
      </w:r>
      <w:r w:rsidR="004151E8">
        <w:rPr>
          <w:sz w:val="22"/>
          <w:szCs w:val="22"/>
        </w:rPr>
        <w:t xml:space="preserve">a </w:t>
      </w:r>
      <w:r w:rsidR="00CD3DC0" w:rsidRPr="007F7EBF">
        <w:rPr>
          <w:sz w:val="22"/>
          <w:szCs w:val="22"/>
        </w:rPr>
        <w:t xml:space="preserve">“via </w:t>
      </w:r>
      <w:r w:rsidR="00EB2EB4">
        <w:rPr>
          <w:sz w:val="22"/>
          <w:szCs w:val="22"/>
        </w:rPr>
        <w:t>processuale</w:t>
      </w:r>
      <w:r w:rsidR="00CD3DC0" w:rsidRPr="007F7EBF">
        <w:rPr>
          <w:sz w:val="22"/>
          <w:szCs w:val="22"/>
        </w:rPr>
        <w:t xml:space="preserve">” </w:t>
      </w:r>
      <w:r w:rsidR="00EB2EB4">
        <w:rPr>
          <w:sz w:val="22"/>
          <w:szCs w:val="22"/>
        </w:rPr>
        <w:t xml:space="preserve">a una funzione non giurisdizionale come quella tributaria </w:t>
      </w:r>
      <w:r w:rsidR="00CD3DC0" w:rsidRPr="007F7EBF">
        <w:rPr>
          <w:sz w:val="22"/>
          <w:szCs w:val="22"/>
        </w:rPr>
        <w:t>(</w:t>
      </w:r>
      <w:r w:rsidR="00CD3DC0" w:rsidRPr="007F7EBF">
        <w:rPr>
          <w:rStyle w:val="Rimandonotaapidipagina"/>
          <w:sz w:val="22"/>
          <w:szCs w:val="22"/>
        </w:rPr>
        <w:footnoteReference w:id="804"/>
      </w:r>
      <w:r w:rsidR="00CD3DC0" w:rsidRPr="007F7EBF">
        <w:rPr>
          <w:sz w:val="22"/>
          <w:szCs w:val="22"/>
        </w:rPr>
        <w:t>)</w:t>
      </w:r>
      <w:r>
        <w:rPr>
          <w:sz w:val="22"/>
          <w:szCs w:val="22"/>
        </w:rPr>
        <w:t>; possono esserci ancora grandi recuperi di efficienza, concentrando la determinazione degli imponibili in un’unica fase amministrativa coordinata, anziché due o tre fasi processuali scoordinate e a distanza di anni</w:t>
      </w:r>
      <w:r w:rsidR="004151E8">
        <w:rPr>
          <w:sz w:val="22"/>
          <w:szCs w:val="22"/>
        </w:rPr>
        <w:t>, mentre la memoria si perde</w:t>
      </w:r>
      <w:r w:rsidR="00B82DB4">
        <w:rPr>
          <w:sz w:val="22"/>
          <w:szCs w:val="22"/>
        </w:rPr>
        <w:t xml:space="preserve">. Un rafforzamento del contenzioso amministrativo </w:t>
      </w:r>
      <w:r w:rsidR="004151E8">
        <w:rPr>
          <w:sz w:val="22"/>
          <w:szCs w:val="22"/>
        </w:rPr>
        <w:t xml:space="preserve">potrebbe </w:t>
      </w:r>
      <w:r w:rsidR="00B82DB4">
        <w:rPr>
          <w:sz w:val="22"/>
          <w:szCs w:val="22"/>
        </w:rPr>
        <w:t>avvenire, riprendendo l’idea generale di “A.D.R” (</w:t>
      </w:r>
      <w:r w:rsidR="00B82DB4" w:rsidRPr="00B82DB4">
        <w:rPr>
          <w:i/>
          <w:sz w:val="22"/>
          <w:szCs w:val="22"/>
        </w:rPr>
        <w:t xml:space="preserve">Alternative Dispute </w:t>
      </w:r>
      <w:proofErr w:type="spellStart"/>
      <w:r w:rsidR="00B82DB4" w:rsidRPr="00B82DB4">
        <w:rPr>
          <w:i/>
          <w:sz w:val="22"/>
          <w:szCs w:val="22"/>
        </w:rPr>
        <w:t>Resolution</w:t>
      </w:r>
      <w:proofErr w:type="spellEnd"/>
      <w:r w:rsidR="00B82DB4">
        <w:rPr>
          <w:sz w:val="22"/>
          <w:szCs w:val="22"/>
        </w:rPr>
        <w:t xml:space="preserve">) </w:t>
      </w:r>
      <w:r w:rsidR="004151E8">
        <w:rPr>
          <w:sz w:val="22"/>
          <w:szCs w:val="22"/>
        </w:rPr>
        <w:t xml:space="preserve">, </w:t>
      </w:r>
      <w:r w:rsidR="00B82DB4">
        <w:rPr>
          <w:sz w:val="22"/>
          <w:szCs w:val="22"/>
        </w:rPr>
        <w:t xml:space="preserve">e con un </w:t>
      </w:r>
      <w:r w:rsidR="004151E8">
        <w:rPr>
          <w:sz w:val="22"/>
          <w:szCs w:val="22"/>
        </w:rPr>
        <w:t xml:space="preserve">buon </w:t>
      </w:r>
      <w:r w:rsidR="00C72678" w:rsidRPr="007F7EBF">
        <w:rPr>
          <w:sz w:val="22"/>
          <w:szCs w:val="22"/>
        </w:rPr>
        <w:t>controllo sociale</w:t>
      </w:r>
      <w:r w:rsidR="00B82DB4">
        <w:rPr>
          <w:sz w:val="22"/>
          <w:szCs w:val="22"/>
        </w:rPr>
        <w:t xml:space="preserve">, attraverso </w:t>
      </w:r>
      <w:r w:rsidR="004151E8">
        <w:rPr>
          <w:sz w:val="22"/>
          <w:szCs w:val="22"/>
        </w:rPr>
        <w:t>un</w:t>
      </w:r>
      <w:r w:rsidR="00B82DB4">
        <w:rPr>
          <w:sz w:val="22"/>
          <w:szCs w:val="22"/>
        </w:rPr>
        <w:t>a sorta di</w:t>
      </w:r>
      <w:r w:rsidR="004151E8">
        <w:rPr>
          <w:sz w:val="22"/>
          <w:szCs w:val="22"/>
        </w:rPr>
        <w:t xml:space="preserve"> “</w:t>
      </w:r>
      <w:r w:rsidR="006342C5" w:rsidRPr="007F7EBF">
        <w:rPr>
          <w:bCs/>
          <w:sz w:val="22"/>
          <w:szCs w:val="22"/>
        </w:rPr>
        <w:t>arbitrato tributario</w:t>
      </w:r>
      <w:r w:rsidR="003C3DA3" w:rsidRPr="007F7EBF">
        <w:rPr>
          <w:bCs/>
          <w:sz w:val="22"/>
          <w:szCs w:val="22"/>
        </w:rPr>
        <w:t>"</w:t>
      </w:r>
      <w:r w:rsidR="00B82DB4">
        <w:rPr>
          <w:bCs/>
          <w:sz w:val="22"/>
          <w:szCs w:val="22"/>
        </w:rPr>
        <w:t xml:space="preserve">. Esso potrebbe svolgersi con </w:t>
      </w:r>
      <w:r w:rsidR="004151E8">
        <w:rPr>
          <w:bCs/>
          <w:sz w:val="22"/>
          <w:szCs w:val="22"/>
        </w:rPr>
        <w:t>un funzionario del</w:t>
      </w:r>
      <w:r w:rsidR="00EB2EB4">
        <w:rPr>
          <w:bCs/>
          <w:sz w:val="22"/>
          <w:szCs w:val="22"/>
        </w:rPr>
        <w:t>l’ufficio</w:t>
      </w:r>
      <w:r w:rsidR="006342C5" w:rsidRPr="007F7EBF">
        <w:rPr>
          <w:sz w:val="22"/>
          <w:szCs w:val="22"/>
        </w:rPr>
        <w:t xml:space="preserve"> “edotto” della pratica</w:t>
      </w:r>
      <w:r w:rsidR="00B82DB4">
        <w:rPr>
          <w:sz w:val="22"/>
          <w:szCs w:val="22"/>
        </w:rPr>
        <w:t xml:space="preserve"> (</w:t>
      </w:r>
      <w:r w:rsidR="003C3DA3" w:rsidRPr="007F7EBF">
        <w:rPr>
          <w:rStyle w:val="Rimandonotaapidipagina"/>
          <w:sz w:val="22"/>
          <w:szCs w:val="22"/>
        </w:rPr>
        <w:footnoteReference w:id="805"/>
      </w:r>
      <w:r w:rsidR="00B82DB4">
        <w:rPr>
          <w:sz w:val="22"/>
          <w:szCs w:val="22"/>
        </w:rPr>
        <w:t>)</w:t>
      </w:r>
      <w:r w:rsidR="006342C5" w:rsidRPr="007F7EBF">
        <w:rPr>
          <w:sz w:val="22"/>
          <w:szCs w:val="22"/>
        </w:rPr>
        <w:t>, un</w:t>
      </w:r>
      <w:r w:rsidR="0079635D" w:rsidRPr="007F7EBF">
        <w:rPr>
          <w:sz w:val="22"/>
          <w:szCs w:val="22"/>
        </w:rPr>
        <w:t xml:space="preserve"> </w:t>
      </w:r>
      <w:r w:rsidR="00EB2EB4">
        <w:rPr>
          <w:sz w:val="22"/>
          <w:szCs w:val="22"/>
        </w:rPr>
        <w:t>rappresentante de</w:t>
      </w:r>
      <w:r w:rsidR="006342C5" w:rsidRPr="007F7EBF">
        <w:rPr>
          <w:sz w:val="22"/>
          <w:szCs w:val="22"/>
        </w:rPr>
        <w:t>l contribuente, e un terzo scelto di comune accordo</w:t>
      </w:r>
      <w:r w:rsidR="003C3DA3" w:rsidRPr="007F7EBF">
        <w:rPr>
          <w:sz w:val="22"/>
          <w:szCs w:val="22"/>
        </w:rPr>
        <w:t xml:space="preserve"> o designato da enti esterni</w:t>
      </w:r>
      <w:r w:rsidR="00B82DB4">
        <w:rPr>
          <w:sz w:val="22"/>
          <w:szCs w:val="22"/>
        </w:rPr>
        <w:t>(</w:t>
      </w:r>
      <w:r w:rsidR="00C72678" w:rsidRPr="007F7EBF">
        <w:rPr>
          <w:rStyle w:val="Rimandonotaapidipagina"/>
          <w:sz w:val="22"/>
          <w:szCs w:val="22"/>
        </w:rPr>
        <w:footnoteReference w:id="806"/>
      </w:r>
      <w:r w:rsidR="00B82DB4">
        <w:rPr>
          <w:sz w:val="22"/>
          <w:szCs w:val="22"/>
        </w:rPr>
        <w:t>)</w:t>
      </w:r>
      <w:r w:rsidR="003C3DA3" w:rsidRPr="007F7EBF">
        <w:rPr>
          <w:sz w:val="22"/>
          <w:szCs w:val="22"/>
        </w:rPr>
        <w:t>. L</w:t>
      </w:r>
      <w:r w:rsidR="00B82DB4">
        <w:rPr>
          <w:sz w:val="22"/>
          <w:szCs w:val="22"/>
        </w:rPr>
        <w:t>a pubblicità delle decisioni e l</w:t>
      </w:r>
      <w:r w:rsidR="003C3DA3" w:rsidRPr="007F7EBF">
        <w:rPr>
          <w:sz w:val="22"/>
          <w:szCs w:val="22"/>
        </w:rPr>
        <w:t>'</w:t>
      </w:r>
      <w:r w:rsidR="00802276" w:rsidRPr="007F7EBF">
        <w:rPr>
          <w:sz w:val="22"/>
          <w:szCs w:val="22"/>
        </w:rPr>
        <w:t xml:space="preserve">accessibilità </w:t>
      </w:r>
      <w:r w:rsidR="00B82DB4">
        <w:rPr>
          <w:sz w:val="22"/>
          <w:szCs w:val="22"/>
        </w:rPr>
        <w:t xml:space="preserve">a </w:t>
      </w:r>
      <w:r w:rsidR="00FA2A90" w:rsidRPr="007F7EBF">
        <w:rPr>
          <w:sz w:val="22"/>
          <w:szCs w:val="22"/>
        </w:rPr>
        <w:t>contr</w:t>
      </w:r>
      <w:r w:rsidR="003C3DA3" w:rsidRPr="007F7EBF">
        <w:rPr>
          <w:sz w:val="22"/>
          <w:szCs w:val="22"/>
        </w:rPr>
        <w:t>ibuenti in condizioni similari</w:t>
      </w:r>
      <w:r w:rsidR="00EB2EB4">
        <w:rPr>
          <w:sz w:val="22"/>
          <w:szCs w:val="22"/>
        </w:rPr>
        <w:t xml:space="preserve">, tutelerebbe </w:t>
      </w:r>
      <w:r w:rsidR="003C3DA3" w:rsidRPr="007F7EBF">
        <w:rPr>
          <w:sz w:val="22"/>
          <w:szCs w:val="22"/>
        </w:rPr>
        <w:t xml:space="preserve">la </w:t>
      </w:r>
      <w:r w:rsidR="006342C5" w:rsidRPr="007F7EBF">
        <w:rPr>
          <w:sz w:val="22"/>
          <w:szCs w:val="22"/>
        </w:rPr>
        <w:t xml:space="preserve">coerenza economica </w:t>
      </w:r>
      <w:r w:rsidR="00802276" w:rsidRPr="007F7EBF">
        <w:rPr>
          <w:sz w:val="22"/>
          <w:szCs w:val="22"/>
        </w:rPr>
        <w:t xml:space="preserve">di tali </w:t>
      </w:r>
      <w:r w:rsidR="00802276" w:rsidRPr="007F7EBF">
        <w:rPr>
          <w:sz w:val="22"/>
          <w:szCs w:val="22"/>
        </w:rPr>
        <w:lastRenderedPageBreak/>
        <w:t xml:space="preserve">definizioni, </w:t>
      </w:r>
      <w:r w:rsidR="00EB2EB4">
        <w:rPr>
          <w:sz w:val="22"/>
          <w:szCs w:val="22"/>
        </w:rPr>
        <w:t>in un</w:t>
      </w:r>
      <w:r w:rsidR="00272DB1">
        <w:rPr>
          <w:sz w:val="22"/>
          <w:szCs w:val="22"/>
        </w:rPr>
        <w:t xml:space="preserve"> </w:t>
      </w:r>
      <w:r w:rsidR="003C3DA3" w:rsidRPr="007F7EBF">
        <w:rPr>
          <w:sz w:val="22"/>
          <w:szCs w:val="22"/>
        </w:rPr>
        <w:t xml:space="preserve">controllo sociale </w:t>
      </w:r>
      <w:r w:rsidR="00272DB1">
        <w:rPr>
          <w:sz w:val="22"/>
          <w:szCs w:val="22"/>
        </w:rPr>
        <w:t xml:space="preserve">anticorruzione </w:t>
      </w:r>
      <w:r w:rsidR="00907FB2">
        <w:rPr>
          <w:sz w:val="22"/>
          <w:szCs w:val="22"/>
        </w:rPr>
        <w:t>(</w:t>
      </w:r>
      <w:r w:rsidR="00974E22" w:rsidRPr="007F7EBF">
        <w:rPr>
          <w:rStyle w:val="Rimandonotaapidipagina"/>
          <w:sz w:val="22"/>
          <w:szCs w:val="22"/>
        </w:rPr>
        <w:footnoteReference w:id="807"/>
      </w:r>
      <w:r w:rsidR="00907FB2">
        <w:rPr>
          <w:sz w:val="22"/>
          <w:szCs w:val="22"/>
        </w:rPr>
        <w:t>)</w:t>
      </w:r>
      <w:r w:rsidR="00974E22" w:rsidRPr="007F7EBF">
        <w:rPr>
          <w:sz w:val="22"/>
          <w:szCs w:val="22"/>
        </w:rPr>
        <w:t xml:space="preserve">. </w:t>
      </w:r>
      <w:r w:rsidR="00482C74">
        <w:rPr>
          <w:sz w:val="22"/>
          <w:szCs w:val="22"/>
        </w:rPr>
        <w:t xml:space="preserve">Esso sarebbe molto più facile rispetto a una determinazione di contenzioso amministrativo, anziché giurisdizionale. </w:t>
      </w:r>
      <w:r w:rsidR="003C3DA3" w:rsidRPr="007F7EBF">
        <w:rPr>
          <w:sz w:val="22"/>
          <w:szCs w:val="22"/>
        </w:rPr>
        <w:t>L'omogeneità del comportamento amministrativo nella stima della ricchezza è infatti un profilo di interesse generale</w:t>
      </w:r>
      <w:r w:rsidR="00EB2EB4">
        <w:rPr>
          <w:sz w:val="22"/>
          <w:szCs w:val="22"/>
        </w:rPr>
        <w:t xml:space="preserve">, in quanto </w:t>
      </w:r>
      <w:r w:rsidR="003C3DA3" w:rsidRPr="007F7EBF">
        <w:rPr>
          <w:sz w:val="22"/>
          <w:szCs w:val="22"/>
        </w:rPr>
        <w:t xml:space="preserve">i </w:t>
      </w:r>
      <w:r w:rsidR="0052748B" w:rsidRPr="007F7EBF">
        <w:rPr>
          <w:sz w:val="22"/>
          <w:szCs w:val="22"/>
        </w:rPr>
        <w:t xml:space="preserve">contribuenti </w:t>
      </w:r>
      <w:r w:rsidR="00EB2EB4">
        <w:rPr>
          <w:sz w:val="22"/>
          <w:szCs w:val="22"/>
        </w:rPr>
        <w:t xml:space="preserve">accettano imponibili vicini a quelli </w:t>
      </w:r>
      <w:r w:rsidR="00F427C8" w:rsidRPr="007F7EBF">
        <w:rPr>
          <w:sz w:val="22"/>
          <w:szCs w:val="22"/>
        </w:rPr>
        <w:t>effettiv</w:t>
      </w:r>
      <w:r w:rsidR="00EB2EB4">
        <w:rPr>
          <w:sz w:val="22"/>
          <w:szCs w:val="22"/>
        </w:rPr>
        <w:t xml:space="preserve">i se convinti </w:t>
      </w:r>
      <w:r w:rsidR="00F427C8" w:rsidRPr="007F7EBF">
        <w:rPr>
          <w:sz w:val="22"/>
          <w:szCs w:val="22"/>
        </w:rPr>
        <w:t xml:space="preserve">che si tratta di una prassi diffusa, allontanando </w:t>
      </w:r>
      <w:r w:rsidR="006B7589">
        <w:rPr>
          <w:sz w:val="22"/>
          <w:szCs w:val="22"/>
        </w:rPr>
        <w:t xml:space="preserve"> </w:t>
      </w:r>
      <w:r w:rsidR="00F427C8" w:rsidRPr="007F7EBF">
        <w:rPr>
          <w:sz w:val="22"/>
          <w:szCs w:val="22"/>
        </w:rPr>
        <w:t>il sospetto di essere</w:t>
      </w:r>
      <w:r w:rsidR="00C72678" w:rsidRPr="007F7EBF">
        <w:rPr>
          <w:sz w:val="22"/>
          <w:szCs w:val="22"/>
        </w:rPr>
        <w:t xml:space="preserve"> casi isolati </w:t>
      </w:r>
      <w:r w:rsidR="00907FB2">
        <w:rPr>
          <w:sz w:val="22"/>
          <w:szCs w:val="22"/>
        </w:rPr>
        <w:t>(</w:t>
      </w:r>
      <w:r w:rsidR="00C72678" w:rsidRPr="007F7EBF">
        <w:rPr>
          <w:rStyle w:val="Rimandonotaapidipagina"/>
          <w:sz w:val="22"/>
          <w:szCs w:val="22"/>
        </w:rPr>
        <w:footnoteReference w:id="808"/>
      </w:r>
      <w:r w:rsidR="00907FB2">
        <w:rPr>
          <w:sz w:val="22"/>
          <w:szCs w:val="22"/>
        </w:rPr>
        <w:t>)</w:t>
      </w:r>
      <w:r w:rsidR="00296472" w:rsidRPr="007F7EBF">
        <w:rPr>
          <w:sz w:val="22"/>
          <w:szCs w:val="22"/>
        </w:rPr>
        <w:t xml:space="preserve">. </w:t>
      </w:r>
    </w:p>
    <w:p w14:paraId="6B1FB021" w14:textId="77777777" w:rsidR="006342C5" w:rsidRPr="007F7EBF" w:rsidRDefault="006342C5" w:rsidP="000D0F0D">
      <w:pPr>
        <w:pStyle w:val="Titolo3"/>
        <w:rPr>
          <w:rFonts w:ascii="Times New Roman" w:hAnsi="Times New Roman"/>
          <w:sz w:val="22"/>
          <w:szCs w:val="22"/>
        </w:rPr>
      </w:pPr>
      <w:bookmarkStart w:id="88" w:name="_Toc63364999"/>
      <w:r w:rsidRPr="007F7EBF">
        <w:rPr>
          <w:rFonts w:ascii="Times New Roman" w:hAnsi="Times New Roman"/>
          <w:sz w:val="22"/>
          <w:szCs w:val="22"/>
        </w:rPr>
        <w:t xml:space="preserve">6.6. </w:t>
      </w:r>
      <w:r w:rsidR="00A479A9" w:rsidRPr="007F7EBF">
        <w:rPr>
          <w:rFonts w:ascii="Times New Roman" w:hAnsi="Times New Roman"/>
          <w:sz w:val="22"/>
          <w:szCs w:val="22"/>
        </w:rPr>
        <w:t>Il</w:t>
      </w:r>
      <w:r w:rsidRPr="007F7EBF">
        <w:rPr>
          <w:rFonts w:ascii="Times New Roman" w:hAnsi="Times New Roman"/>
          <w:sz w:val="22"/>
          <w:szCs w:val="22"/>
        </w:rPr>
        <w:t xml:space="preserve"> ritiro degli atti in autotutela, tra correzione,</w:t>
      </w:r>
      <w:r w:rsidR="000D0F0D" w:rsidRPr="007F7EBF">
        <w:rPr>
          <w:rFonts w:ascii="Times New Roman" w:hAnsi="Times New Roman"/>
          <w:sz w:val="22"/>
          <w:szCs w:val="22"/>
        </w:rPr>
        <w:t xml:space="preserve"> riduzione</w:t>
      </w:r>
      <w:r w:rsidRPr="007F7EBF">
        <w:rPr>
          <w:rFonts w:ascii="Times New Roman" w:hAnsi="Times New Roman"/>
          <w:sz w:val="22"/>
          <w:szCs w:val="22"/>
        </w:rPr>
        <w:t xml:space="preserve"> e abbandono</w:t>
      </w:r>
      <w:bookmarkEnd w:id="88"/>
    </w:p>
    <w:p w14:paraId="39B4C1D3" w14:textId="453338CC" w:rsidR="009414D9" w:rsidRPr="007F7EBF" w:rsidRDefault="009414D9" w:rsidP="009414D9">
      <w:pPr>
        <w:pStyle w:val="tit23"/>
        <w:ind w:left="6464" w:right="-1361" w:firstLine="0"/>
        <w:jc w:val="left"/>
        <w:rPr>
          <w:b/>
          <w:bCs/>
          <w:i/>
          <w:iCs/>
          <w:color w:val="0000FF"/>
          <w:lang w:val="it-IT"/>
        </w:rPr>
      </w:pPr>
      <w:r w:rsidRPr="007F7EBF">
        <w:rPr>
          <w:b/>
          <w:bCs/>
          <w:i/>
          <w:iCs/>
          <w:color w:val="0000FF"/>
          <w:lang w:val="it-IT"/>
        </w:rPr>
        <w:t xml:space="preserve">Autotutela </w:t>
      </w:r>
      <w:r w:rsidR="00407207">
        <w:rPr>
          <w:b/>
          <w:bCs/>
          <w:i/>
          <w:iCs/>
          <w:color w:val="0000FF"/>
          <w:lang w:val="it-IT"/>
        </w:rPr>
        <w:t xml:space="preserve">come potere di riesame amministrativo </w:t>
      </w:r>
    </w:p>
    <w:p w14:paraId="667C7B6A" w14:textId="34EF28E4" w:rsidR="003A2D91" w:rsidRPr="005C367B" w:rsidRDefault="00640C49" w:rsidP="003A2D91">
      <w:pPr>
        <w:autoSpaceDE w:val="0"/>
        <w:autoSpaceDN w:val="0"/>
        <w:adjustRightInd w:val="0"/>
        <w:rPr>
          <w:bCs/>
          <w:i/>
          <w:iCs/>
          <w:color w:val="0000FF"/>
        </w:rPr>
      </w:pPr>
      <w:r>
        <w:rPr>
          <w:sz w:val="22"/>
          <w:szCs w:val="22"/>
        </w:rPr>
        <w:t xml:space="preserve">Il potere di autotutela decisoria di cui al </w:t>
      </w:r>
      <w:r w:rsidR="001F5F45">
        <w:rPr>
          <w:sz w:val="22"/>
          <w:szCs w:val="22"/>
        </w:rPr>
        <w:t>par.6.1</w:t>
      </w:r>
      <w:r>
        <w:rPr>
          <w:sz w:val="22"/>
          <w:szCs w:val="22"/>
        </w:rPr>
        <w:t xml:space="preserve"> comprende intuitivamente</w:t>
      </w:r>
      <w:r w:rsidR="00B20207">
        <w:rPr>
          <w:sz w:val="22"/>
          <w:szCs w:val="22"/>
        </w:rPr>
        <w:t>,</w:t>
      </w:r>
      <w:r w:rsidR="004E16F7" w:rsidRPr="007F7EBF">
        <w:rPr>
          <w:sz w:val="22"/>
          <w:szCs w:val="22"/>
        </w:rPr>
        <w:t xml:space="preserve"> </w:t>
      </w:r>
      <w:r w:rsidR="002869F0">
        <w:rPr>
          <w:sz w:val="22"/>
          <w:szCs w:val="22"/>
        </w:rPr>
        <w:t xml:space="preserve">ne </w:t>
      </w:r>
      <w:r w:rsidR="00260D1D">
        <w:rPr>
          <w:sz w:val="22"/>
          <w:szCs w:val="22"/>
        </w:rPr>
        <w:t>include</w:t>
      </w:r>
      <w:r w:rsidR="00B13CDF">
        <w:rPr>
          <w:sz w:val="22"/>
          <w:szCs w:val="22"/>
        </w:rPr>
        <w:t xml:space="preserve"> anche</w:t>
      </w:r>
      <w:r w:rsidR="00BC0783">
        <w:rPr>
          <w:sz w:val="22"/>
          <w:szCs w:val="22"/>
        </w:rPr>
        <w:t xml:space="preserve"> l’annullamento</w:t>
      </w:r>
      <w:r w:rsidR="002869F0">
        <w:rPr>
          <w:bCs/>
          <w:sz w:val="22"/>
          <w:szCs w:val="22"/>
        </w:rPr>
        <w:t xml:space="preserve"> o la revoca, totali o parziali; il primo tende</w:t>
      </w:r>
      <w:r w:rsidR="00EB4E61">
        <w:rPr>
          <w:bCs/>
          <w:sz w:val="22"/>
          <w:szCs w:val="22"/>
        </w:rPr>
        <w:t>n</w:t>
      </w:r>
      <w:r w:rsidR="002869F0">
        <w:rPr>
          <w:bCs/>
          <w:sz w:val="22"/>
          <w:szCs w:val="22"/>
        </w:rPr>
        <w:t xml:space="preserve">zialmente è associato al riconoscimento di un vizio preesistente, non necessariamente imputabile all’ufficio, mentre la seconda un fatto sopravvenuto. </w:t>
      </w:r>
      <w:r w:rsidR="0089346F" w:rsidRPr="007F7EBF">
        <w:rPr>
          <w:bCs/>
          <w:sz w:val="22"/>
          <w:szCs w:val="22"/>
        </w:rPr>
        <w:t xml:space="preserve"> </w:t>
      </w:r>
      <w:r w:rsidR="002869F0">
        <w:rPr>
          <w:bCs/>
          <w:sz w:val="22"/>
          <w:szCs w:val="22"/>
        </w:rPr>
        <w:t xml:space="preserve">Entrambi però presuppongono un </w:t>
      </w:r>
      <w:r w:rsidR="00735298">
        <w:rPr>
          <w:bCs/>
          <w:sz w:val="22"/>
          <w:szCs w:val="22"/>
        </w:rPr>
        <w:t xml:space="preserve">potere di </w:t>
      </w:r>
      <w:r w:rsidR="002869F0">
        <w:rPr>
          <w:bCs/>
          <w:sz w:val="22"/>
          <w:szCs w:val="22"/>
        </w:rPr>
        <w:t>riesame,</w:t>
      </w:r>
      <w:r w:rsidR="00735298">
        <w:rPr>
          <w:bCs/>
          <w:sz w:val="22"/>
          <w:szCs w:val="22"/>
        </w:rPr>
        <w:t xml:space="preserve"> in senso ampio</w:t>
      </w:r>
      <w:r w:rsidR="00407207">
        <w:rPr>
          <w:bCs/>
          <w:sz w:val="22"/>
          <w:szCs w:val="22"/>
        </w:rPr>
        <w:t>,</w:t>
      </w:r>
      <w:r w:rsidR="002869F0">
        <w:rPr>
          <w:bCs/>
          <w:sz w:val="22"/>
          <w:szCs w:val="22"/>
        </w:rPr>
        <w:t xml:space="preserve"> immanente</w:t>
      </w:r>
      <w:r w:rsidR="00735298">
        <w:rPr>
          <w:bCs/>
          <w:sz w:val="22"/>
          <w:szCs w:val="22"/>
        </w:rPr>
        <w:t xml:space="preserve"> in quello di emanazione</w:t>
      </w:r>
      <w:r w:rsidR="00D23168" w:rsidRPr="007F7EBF">
        <w:rPr>
          <w:sz w:val="22"/>
          <w:szCs w:val="22"/>
        </w:rPr>
        <w:t xml:space="preserve">. </w:t>
      </w:r>
      <w:r w:rsidR="00407207">
        <w:t xml:space="preserve">Questo potere di riesame era visto con diffidenza solo nell’impostazione “privatistico-giurisdizionale” del diritto tributario (par.4.3), dove né i privati, nella loro attività negoziale, né i giudici, dopo la sentenza, lo possiedono, salvi casi eccezionali. </w:t>
      </w:r>
    </w:p>
    <w:p w14:paraId="50978173" w14:textId="54D471B5" w:rsidR="003A2D91" w:rsidRPr="007F7EBF" w:rsidRDefault="003A2D91" w:rsidP="003A2D91">
      <w:pPr>
        <w:pStyle w:val="tit23"/>
        <w:ind w:left="6464" w:right="-1361" w:firstLine="0"/>
        <w:jc w:val="left"/>
        <w:rPr>
          <w:bCs/>
          <w:i/>
          <w:iCs/>
          <w:color w:val="0000FF"/>
          <w:lang w:val="it-IT"/>
        </w:rPr>
      </w:pPr>
      <w:r w:rsidRPr="007F7EBF">
        <w:rPr>
          <w:bCs/>
          <w:i/>
          <w:iCs/>
          <w:color w:val="0000FF"/>
          <w:lang w:val="it-IT"/>
        </w:rPr>
        <w:lastRenderedPageBreak/>
        <w:t>Autotutela sostitutiva</w:t>
      </w:r>
      <w:r w:rsidR="005C367B">
        <w:rPr>
          <w:bCs/>
          <w:i/>
          <w:iCs/>
          <w:color w:val="0000FF"/>
          <w:lang w:val="it-IT"/>
        </w:rPr>
        <w:t xml:space="preserve"> per eliminare vizi </w:t>
      </w:r>
    </w:p>
    <w:p w14:paraId="5F4E00DA" w14:textId="75921E9E" w:rsidR="003A2D91" w:rsidRPr="007F7EBF" w:rsidRDefault="005B0201" w:rsidP="003A2D91">
      <w:pPr>
        <w:autoSpaceDE w:val="0"/>
        <w:autoSpaceDN w:val="0"/>
        <w:adjustRightInd w:val="0"/>
        <w:rPr>
          <w:sz w:val="22"/>
          <w:szCs w:val="22"/>
        </w:rPr>
      </w:pPr>
      <w:r>
        <w:rPr>
          <w:sz w:val="22"/>
          <w:szCs w:val="22"/>
        </w:rPr>
        <w:t>Non è necessariamente una modifica a favore del contribuente, potendo dirigersi all’</w:t>
      </w:r>
      <w:r w:rsidR="00F94384">
        <w:rPr>
          <w:sz w:val="22"/>
          <w:szCs w:val="22"/>
        </w:rPr>
        <w:t>elimina</w:t>
      </w:r>
      <w:r>
        <w:rPr>
          <w:sz w:val="22"/>
          <w:szCs w:val="22"/>
        </w:rPr>
        <w:t>zion</w:t>
      </w:r>
      <w:r w:rsidR="00F94384">
        <w:rPr>
          <w:sz w:val="22"/>
          <w:szCs w:val="22"/>
        </w:rPr>
        <w:t xml:space="preserve">e </w:t>
      </w:r>
      <w:r>
        <w:rPr>
          <w:sz w:val="22"/>
          <w:szCs w:val="22"/>
        </w:rPr>
        <w:t xml:space="preserve">di </w:t>
      </w:r>
      <w:r w:rsidR="00296472" w:rsidRPr="007F7EBF">
        <w:rPr>
          <w:sz w:val="22"/>
          <w:szCs w:val="22"/>
        </w:rPr>
        <w:t>vizi</w:t>
      </w:r>
      <w:r>
        <w:rPr>
          <w:sz w:val="22"/>
          <w:szCs w:val="22"/>
        </w:rPr>
        <w:t>, in genere</w:t>
      </w:r>
      <w:r w:rsidR="00296472" w:rsidRPr="007F7EBF">
        <w:rPr>
          <w:sz w:val="22"/>
          <w:szCs w:val="22"/>
        </w:rPr>
        <w:t xml:space="preserve">  formali e procedurali</w:t>
      </w:r>
      <w:r w:rsidR="00F94384">
        <w:rPr>
          <w:sz w:val="22"/>
          <w:szCs w:val="22"/>
        </w:rPr>
        <w:t xml:space="preserve">, che renderebbero </w:t>
      </w:r>
      <w:r>
        <w:rPr>
          <w:sz w:val="22"/>
          <w:szCs w:val="22"/>
        </w:rPr>
        <w:t xml:space="preserve">l’accertamento </w:t>
      </w:r>
      <w:r w:rsidR="00F94384">
        <w:rPr>
          <w:sz w:val="22"/>
          <w:szCs w:val="22"/>
        </w:rPr>
        <w:t>attaccabile davanti ai giudici</w:t>
      </w:r>
      <w:r w:rsidR="006342C5" w:rsidRPr="007F7EBF">
        <w:rPr>
          <w:sz w:val="22"/>
          <w:szCs w:val="22"/>
        </w:rPr>
        <w:t xml:space="preserve">; </w:t>
      </w:r>
      <w:r w:rsidR="00F94384">
        <w:rPr>
          <w:sz w:val="22"/>
          <w:szCs w:val="22"/>
        </w:rPr>
        <w:t>la funzione di quest’</w:t>
      </w:r>
      <w:r w:rsidR="003A2D91" w:rsidRPr="007F7EBF">
        <w:rPr>
          <w:sz w:val="22"/>
          <w:szCs w:val="22"/>
        </w:rPr>
        <w:t>autotutela</w:t>
      </w:r>
      <w:r w:rsidR="00F94384">
        <w:rPr>
          <w:sz w:val="22"/>
          <w:szCs w:val="22"/>
        </w:rPr>
        <w:t xml:space="preserve"> è quindi</w:t>
      </w:r>
      <w:r w:rsidR="003A2D91" w:rsidRPr="007F7EBF">
        <w:rPr>
          <w:sz w:val="22"/>
          <w:szCs w:val="22"/>
        </w:rPr>
        <w:t xml:space="preserve"> "sostitutiva" </w:t>
      </w:r>
      <w:r w:rsidR="00F94384">
        <w:rPr>
          <w:sz w:val="22"/>
          <w:szCs w:val="22"/>
        </w:rPr>
        <w:t xml:space="preserve">, diretta cioè a emettere un nuovo atto, nella sostanza analogo al precedente, ma immune da vizi; per questo </w:t>
      </w:r>
      <w:r w:rsidR="00C85935">
        <w:rPr>
          <w:sz w:val="22"/>
          <w:szCs w:val="22"/>
        </w:rPr>
        <w:t xml:space="preserve">si </w:t>
      </w:r>
      <w:r w:rsidR="00F94384">
        <w:rPr>
          <w:sz w:val="22"/>
          <w:szCs w:val="22"/>
        </w:rPr>
        <w:t>ritiene</w:t>
      </w:r>
      <w:r w:rsidR="00C85935">
        <w:rPr>
          <w:sz w:val="22"/>
          <w:szCs w:val="22"/>
        </w:rPr>
        <w:t>, a mio avviso affrettatamente</w:t>
      </w:r>
      <w:r w:rsidR="008046A7">
        <w:rPr>
          <w:sz w:val="22"/>
          <w:szCs w:val="22"/>
        </w:rPr>
        <w:t>,</w:t>
      </w:r>
      <w:r w:rsidR="00C85935">
        <w:rPr>
          <w:sz w:val="22"/>
          <w:szCs w:val="22"/>
        </w:rPr>
        <w:t xml:space="preserve"> visti gli interessi tutelati,</w:t>
      </w:r>
      <w:r w:rsidR="00F94384">
        <w:rPr>
          <w:sz w:val="22"/>
          <w:szCs w:val="22"/>
        </w:rPr>
        <w:t xml:space="preserve"> che </w:t>
      </w:r>
      <w:r w:rsidR="008046A7">
        <w:rPr>
          <w:sz w:val="22"/>
          <w:szCs w:val="22"/>
        </w:rPr>
        <w:t>questa sostanziale</w:t>
      </w:r>
      <w:r w:rsidR="00C85935">
        <w:rPr>
          <w:sz w:val="22"/>
          <w:szCs w:val="22"/>
        </w:rPr>
        <w:t xml:space="preserve"> sanatoria vada e</w:t>
      </w:r>
      <w:r w:rsidR="006342C5" w:rsidRPr="007F7EBF">
        <w:rPr>
          <w:sz w:val="22"/>
          <w:szCs w:val="22"/>
        </w:rPr>
        <w:t xml:space="preserve">sercitata </w:t>
      </w:r>
      <w:r w:rsidR="00C85935">
        <w:rPr>
          <w:sz w:val="22"/>
          <w:szCs w:val="22"/>
        </w:rPr>
        <w:t>e</w:t>
      </w:r>
      <w:r w:rsidR="006342C5" w:rsidRPr="007F7EBF">
        <w:rPr>
          <w:sz w:val="22"/>
          <w:szCs w:val="22"/>
        </w:rPr>
        <w:t>n</w:t>
      </w:r>
      <w:r w:rsidR="00C85935">
        <w:rPr>
          <w:sz w:val="22"/>
          <w:szCs w:val="22"/>
        </w:rPr>
        <w:t xml:space="preserve">tro </w:t>
      </w:r>
      <w:r w:rsidR="006342C5" w:rsidRPr="007F7EBF">
        <w:rPr>
          <w:sz w:val="22"/>
          <w:szCs w:val="22"/>
        </w:rPr>
        <w:t>i termini di decadenza dell’azione</w:t>
      </w:r>
      <w:r w:rsidR="00D23168" w:rsidRPr="007F7EBF">
        <w:rPr>
          <w:sz w:val="22"/>
          <w:szCs w:val="22"/>
        </w:rPr>
        <w:t xml:space="preserve"> </w:t>
      </w:r>
      <w:r w:rsidR="006342C5" w:rsidRPr="007F7EBF">
        <w:rPr>
          <w:sz w:val="22"/>
          <w:szCs w:val="22"/>
        </w:rPr>
        <w:t>amministrativa</w:t>
      </w:r>
      <w:r w:rsidR="00296472" w:rsidRPr="007F7EBF">
        <w:rPr>
          <w:sz w:val="22"/>
          <w:szCs w:val="22"/>
        </w:rPr>
        <w:t xml:space="preserve"> (</w:t>
      </w:r>
      <w:r w:rsidR="003A2D91" w:rsidRPr="007F7EBF">
        <w:rPr>
          <w:rStyle w:val="Rimandonotaapidipagina"/>
          <w:sz w:val="22"/>
          <w:szCs w:val="22"/>
        </w:rPr>
        <w:footnoteReference w:id="809"/>
      </w:r>
      <w:r w:rsidR="00296472" w:rsidRPr="007F7EBF">
        <w:rPr>
          <w:sz w:val="22"/>
          <w:szCs w:val="22"/>
        </w:rPr>
        <w:t>)</w:t>
      </w:r>
      <w:r w:rsidR="00F20CD2" w:rsidRPr="007F7EBF">
        <w:rPr>
          <w:sz w:val="22"/>
          <w:szCs w:val="22"/>
        </w:rPr>
        <w:t xml:space="preserve">. </w:t>
      </w:r>
      <w:r w:rsidR="00407207">
        <w:t>E’ invece sostenibile che alcuni vizi formali possono invece essere corretti</w:t>
      </w:r>
      <w:r w:rsidR="002D0B3C">
        <w:t xml:space="preserve">, anche a posteriori, </w:t>
      </w:r>
      <w:r w:rsidR="00407207">
        <w:t>anche dopo la scadenza del termine per l’accertamento,</w:t>
      </w:r>
      <w:r w:rsidR="002D0B3C">
        <w:t xml:space="preserve"> nei limiti dell</w:t>
      </w:r>
      <w:r w:rsidR="00407207">
        <w:t xml:space="preserve">a  relativa </w:t>
      </w:r>
      <w:r w:rsidR="00407207" w:rsidRPr="007F7EBF">
        <w:t xml:space="preserve"> motivazione</w:t>
      </w:r>
      <w:r w:rsidR="00407207">
        <w:t>, come indicato al par.6.2</w:t>
      </w:r>
      <w:r w:rsidR="002D0B3C">
        <w:t>.</w:t>
      </w:r>
    </w:p>
    <w:p w14:paraId="4E83907F" w14:textId="77777777" w:rsidR="003A2D91" w:rsidRPr="007F7EBF" w:rsidRDefault="003A2D91" w:rsidP="003A2D91">
      <w:pPr>
        <w:pStyle w:val="tit23"/>
        <w:ind w:left="6464" w:right="-1361" w:firstLine="0"/>
        <w:jc w:val="left"/>
        <w:rPr>
          <w:bCs/>
          <w:i/>
          <w:iCs/>
          <w:color w:val="0000FF"/>
          <w:lang w:val="it-IT"/>
        </w:rPr>
      </w:pPr>
      <w:r w:rsidRPr="007F7EBF">
        <w:rPr>
          <w:bCs/>
          <w:i/>
          <w:iCs/>
          <w:color w:val="0000FF"/>
          <w:lang w:val="it-IT"/>
        </w:rPr>
        <w:t xml:space="preserve">autotutela come definitiva eliminazione dell’atto </w:t>
      </w:r>
    </w:p>
    <w:p w14:paraId="2841BC1E" w14:textId="49BD22D0" w:rsidR="00AD7426" w:rsidRPr="005C367B" w:rsidRDefault="0015127A" w:rsidP="00AD7426">
      <w:pPr>
        <w:autoSpaceDE w:val="0"/>
        <w:autoSpaceDN w:val="0"/>
        <w:adjustRightInd w:val="0"/>
        <w:rPr>
          <w:bCs/>
          <w:i/>
          <w:iCs/>
          <w:color w:val="0000FF"/>
        </w:rPr>
      </w:pPr>
      <w:r>
        <w:rPr>
          <w:sz w:val="22"/>
          <w:szCs w:val="22"/>
        </w:rPr>
        <w:t>L</w:t>
      </w:r>
      <w:r w:rsidR="006342C5" w:rsidRPr="007F7EBF">
        <w:rPr>
          <w:sz w:val="22"/>
          <w:szCs w:val="22"/>
        </w:rPr>
        <w:t>’</w:t>
      </w:r>
      <w:r w:rsidR="006342C5" w:rsidRPr="007F7EBF">
        <w:rPr>
          <w:bCs/>
          <w:sz w:val="22"/>
          <w:szCs w:val="22"/>
        </w:rPr>
        <w:t xml:space="preserve">autotutela </w:t>
      </w:r>
      <w:r w:rsidR="00260D1D">
        <w:rPr>
          <w:bCs/>
          <w:sz w:val="22"/>
          <w:szCs w:val="22"/>
        </w:rPr>
        <w:t xml:space="preserve">con cui la pretesa tributaria è </w:t>
      </w:r>
      <w:r w:rsidR="006342C5" w:rsidRPr="007F7EBF">
        <w:rPr>
          <w:bCs/>
          <w:sz w:val="22"/>
          <w:szCs w:val="22"/>
        </w:rPr>
        <w:t>elimina</w:t>
      </w:r>
      <w:r w:rsidR="00260D1D">
        <w:rPr>
          <w:bCs/>
          <w:sz w:val="22"/>
          <w:szCs w:val="22"/>
        </w:rPr>
        <w:t>ta</w:t>
      </w:r>
      <w:r w:rsidR="002D0B3C">
        <w:rPr>
          <w:bCs/>
          <w:sz w:val="22"/>
          <w:szCs w:val="22"/>
        </w:rPr>
        <w:t xml:space="preserve"> o ridotta</w:t>
      </w:r>
      <w:r w:rsidR="00260D1D">
        <w:rPr>
          <w:bCs/>
          <w:sz w:val="22"/>
          <w:szCs w:val="22"/>
        </w:rPr>
        <w:t xml:space="preserve"> del tutto</w:t>
      </w:r>
      <w:r w:rsidR="002D0B3C">
        <w:rPr>
          <w:bCs/>
          <w:sz w:val="22"/>
          <w:szCs w:val="22"/>
        </w:rPr>
        <w:t xml:space="preserve"> richiede </w:t>
      </w:r>
      <w:r w:rsidR="001107F0">
        <w:rPr>
          <w:bCs/>
          <w:sz w:val="22"/>
          <w:szCs w:val="22"/>
        </w:rPr>
        <w:t xml:space="preserve">un notevole grado di evidenza </w:t>
      </w:r>
      <w:r w:rsidR="0046365C">
        <w:rPr>
          <w:bCs/>
          <w:sz w:val="22"/>
          <w:szCs w:val="22"/>
        </w:rPr>
        <w:t xml:space="preserve">del “vizio d’origine”, oppure </w:t>
      </w:r>
      <w:r w:rsidR="002D0B3C">
        <w:rPr>
          <w:bCs/>
          <w:sz w:val="22"/>
          <w:szCs w:val="22"/>
        </w:rPr>
        <w:t xml:space="preserve">delle ragioni di opportunità sopravvenute, anche in corso di giudizio. </w:t>
      </w:r>
      <w:r w:rsidR="0046365C">
        <w:rPr>
          <w:bCs/>
          <w:sz w:val="22"/>
          <w:szCs w:val="22"/>
        </w:rPr>
        <w:t xml:space="preserve"> Altrettanto spesso le autotutele sono emesse nel quadro di una “sistemazione complessiva” di una pluralità di posizioni fiscali correlate</w:t>
      </w:r>
      <w:r w:rsidR="005B0201">
        <w:rPr>
          <w:bCs/>
          <w:sz w:val="22"/>
          <w:szCs w:val="22"/>
        </w:rPr>
        <w:t>,</w:t>
      </w:r>
      <w:r w:rsidR="0046365C">
        <w:rPr>
          <w:bCs/>
          <w:sz w:val="22"/>
          <w:szCs w:val="22"/>
        </w:rPr>
        <w:t xml:space="preserve"> nel quadro dei gruppi societari di cui al par.7.5(</w:t>
      </w:r>
      <w:r w:rsidR="0046365C">
        <w:rPr>
          <w:rStyle w:val="Rimandonotaapidipagina"/>
          <w:bCs/>
          <w:sz w:val="22"/>
          <w:szCs w:val="22"/>
        </w:rPr>
        <w:footnoteReference w:id="810"/>
      </w:r>
      <w:r w:rsidR="0046365C">
        <w:rPr>
          <w:bCs/>
          <w:sz w:val="22"/>
          <w:szCs w:val="22"/>
        </w:rPr>
        <w:t xml:space="preserve">). </w:t>
      </w:r>
    </w:p>
    <w:p w14:paraId="7CDA8783" w14:textId="3C89FB7E" w:rsidR="00AD7426" w:rsidRPr="007F7EBF" w:rsidRDefault="00AD7426" w:rsidP="00AD7426">
      <w:pPr>
        <w:pStyle w:val="tit23"/>
        <w:ind w:left="6464" w:right="-1361" w:firstLine="0"/>
        <w:jc w:val="left"/>
        <w:rPr>
          <w:bCs/>
          <w:i/>
          <w:iCs/>
          <w:color w:val="0000FF"/>
          <w:lang w:val="it-IT"/>
        </w:rPr>
      </w:pPr>
      <w:r w:rsidRPr="007F7EBF">
        <w:rPr>
          <w:bCs/>
          <w:i/>
          <w:iCs/>
          <w:color w:val="0000FF"/>
          <w:lang w:val="it-IT"/>
        </w:rPr>
        <w:t xml:space="preserve">Autotutela </w:t>
      </w:r>
      <w:r>
        <w:rPr>
          <w:bCs/>
          <w:i/>
          <w:iCs/>
          <w:color w:val="0000FF"/>
          <w:lang w:val="it-IT"/>
        </w:rPr>
        <w:t xml:space="preserve">e decadenze del contribuente </w:t>
      </w:r>
    </w:p>
    <w:p w14:paraId="1CE46A68" w14:textId="77777777" w:rsidR="00EE1795" w:rsidRDefault="00203791" w:rsidP="00FE7886">
      <w:pPr>
        <w:autoSpaceDE w:val="0"/>
        <w:autoSpaceDN w:val="0"/>
        <w:adjustRightInd w:val="0"/>
        <w:rPr>
          <w:sz w:val="22"/>
          <w:szCs w:val="22"/>
        </w:rPr>
      </w:pPr>
      <w:r>
        <w:rPr>
          <w:sz w:val="22"/>
          <w:szCs w:val="22"/>
        </w:rPr>
        <w:t xml:space="preserve">Quando il contribuente, soprattutto per pratiche “seriali”, ha perso l’azione giurisdizionale, l’autotutela è ancora ammessa, se </w:t>
      </w:r>
      <w:r w:rsidR="006342C5" w:rsidRPr="007F7EBF">
        <w:rPr>
          <w:sz w:val="22"/>
          <w:szCs w:val="22"/>
        </w:rPr>
        <w:t>l’illegittimità dell’atto</w:t>
      </w:r>
      <w:r w:rsidR="00EE1795">
        <w:rPr>
          <w:sz w:val="22"/>
          <w:szCs w:val="22"/>
        </w:rPr>
        <w:t xml:space="preserve">, </w:t>
      </w:r>
      <w:r w:rsidR="006342C5" w:rsidRPr="007F7EBF">
        <w:rPr>
          <w:sz w:val="22"/>
          <w:szCs w:val="22"/>
        </w:rPr>
        <w:t>o la spettanza del rimborso</w:t>
      </w:r>
      <w:r w:rsidR="00EE1795">
        <w:rPr>
          <w:sz w:val="22"/>
          <w:szCs w:val="22"/>
        </w:rPr>
        <w:t>,</w:t>
      </w:r>
      <w:r w:rsidR="006342C5" w:rsidRPr="007F7EBF">
        <w:rPr>
          <w:sz w:val="22"/>
          <w:szCs w:val="22"/>
        </w:rPr>
        <w:t xml:space="preserve"> </w:t>
      </w:r>
      <w:r>
        <w:rPr>
          <w:sz w:val="22"/>
          <w:szCs w:val="22"/>
        </w:rPr>
        <w:t>sono</w:t>
      </w:r>
      <w:r w:rsidR="006342C5" w:rsidRPr="007F7EBF">
        <w:rPr>
          <w:sz w:val="22"/>
          <w:szCs w:val="22"/>
        </w:rPr>
        <w:t xml:space="preserve"> talmente </w:t>
      </w:r>
      <w:r w:rsidR="006342C5" w:rsidRPr="007F7EBF">
        <w:rPr>
          <w:bCs/>
          <w:sz w:val="22"/>
          <w:szCs w:val="22"/>
        </w:rPr>
        <w:t>grav</w:t>
      </w:r>
      <w:r>
        <w:rPr>
          <w:bCs/>
          <w:sz w:val="22"/>
          <w:szCs w:val="22"/>
        </w:rPr>
        <w:t>i</w:t>
      </w:r>
      <w:r w:rsidR="006342C5" w:rsidRPr="007F7EBF">
        <w:rPr>
          <w:bCs/>
          <w:sz w:val="22"/>
          <w:szCs w:val="22"/>
        </w:rPr>
        <w:t xml:space="preserve"> </w:t>
      </w:r>
      <w:r w:rsidR="006342C5" w:rsidRPr="007F7EBF">
        <w:rPr>
          <w:sz w:val="22"/>
          <w:szCs w:val="22"/>
        </w:rPr>
        <w:t xml:space="preserve">ed </w:t>
      </w:r>
      <w:r w:rsidR="006342C5" w:rsidRPr="007F7EBF">
        <w:rPr>
          <w:bCs/>
          <w:sz w:val="22"/>
          <w:szCs w:val="22"/>
        </w:rPr>
        <w:t>evident</w:t>
      </w:r>
      <w:r>
        <w:rPr>
          <w:bCs/>
          <w:sz w:val="22"/>
          <w:szCs w:val="22"/>
        </w:rPr>
        <w:t>i</w:t>
      </w:r>
      <w:r w:rsidR="006342C5" w:rsidRPr="007F7EBF">
        <w:rPr>
          <w:bCs/>
          <w:sz w:val="22"/>
          <w:szCs w:val="22"/>
        </w:rPr>
        <w:t xml:space="preserve"> </w:t>
      </w:r>
      <w:r w:rsidR="006342C5" w:rsidRPr="007F7EBF">
        <w:rPr>
          <w:sz w:val="22"/>
          <w:szCs w:val="22"/>
        </w:rPr>
        <w:t>da</w:t>
      </w:r>
      <w:r w:rsidR="00D23168" w:rsidRPr="007F7EBF">
        <w:rPr>
          <w:sz w:val="22"/>
          <w:szCs w:val="22"/>
        </w:rPr>
        <w:t xml:space="preserve"> </w:t>
      </w:r>
      <w:r w:rsidR="006342C5" w:rsidRPr="007F7EBF">
        <w:rPr>
          <w:sz w:val="22"/>
          <w:szCs w:val="22"/>
        </w:rPr>
        <w:t>giustificare l’annullamento d’ufficio</w:t>
      </w:r>
      <w:r w:rsidR="00AD7426">
        <w:rPr>
          <w:sz w:val="22"/>
          <w:szCs w:val="22"/>
        </w:rPr>
        <w:t xml:space="preserve"> (totale o parziale)</w:t>
      </w:r>
      <w:r w:rsidR="003A1F6C" w:rsidRPr="007F7EBF">
        <w:rPr>
          <w:sz w:val="22"/>
          <w:szCs w:val="22"/>
        </w:rPr>
        <w:t>,</w:t>
      </w:r>
      <w:r w:rsidR="00EE1795">
        <w:rPr>
          <w:sz w:val="22"/>
          <w:szCs w:val="22"/>
        </w:rPr>
        <w:t xml:space="preserve"> o il rimborso,</w:t>
      </w:r>
      <w:r w:rsidR="003A1F6C" w:rsidRPr="007F7EBF">
        <w:rPr>
          <w:sz w:val="22"/>
          <w:szCs w:val="22"/>
        </w:rPr>
        <w:t xml:space="preserve"> anche quando il contribuente ha perso l'azione giurisdizionale</w:t>
      </w:r>
      <w:r w:rsidR="006342C5" w:rsidRPr="007F7EBF">
        <w:rPr>
          <w:sz w:val="22"/>
          <w:szCs w:val="22"/>
        </w:rPr>
        <w:t xml:space="preserve">. </w:t>
      </w:r>
    </w:p>
    <w:p w14:paraId="284B4828" w14:textId="4B10F465" w:rsidR="003A2D91" w:rsidRPr="007F7EBF" w:rsidRDefault="006342C5" w:rsidP="00FE7886">
      <w:pPr>
        <w:autoSpaceDE w:val="0"/>
        <w:autoSpaceDN w:val="0"/>
        <w:adjustRightInd w:val="0"/>
        <w:rPr>
          <w:bCs/>
          <w:i/>
          <w:iCs/>
          <w:color w:val="0000FF"/>
        </w:rPr>
      </w:pPr>
      <w:r w:rsidRPr="007F7EBF">
        <w:rPr>
          <w:sz w:val="22"/>
          <w:szCs w:val="22"/>
        </w:rPr>
        <w:t>Solo in concreto potrà stabilirsi se ad un vizio</w:t>
      </w:r>
      <w:r w:rsidR="00D23168" w:rsidRPr="007F7EBF">
        <w:rPr>
          <w:sz w:val="22"/>
          <w:szCs w:val="22"/>
        </w:rPr>
        <w:t xml:space="preserve"> </w:t>
      </w:r>
      <w:r w:rsidRPr="007F7EBF">
        <w:rPr>
          <w:sz w:val="22"/>
          <w:szCs w:val="22"/>
        </w:rPr>
        <w:t>debbano essere riconosciute queste caratteristiche, che è improduttivo tentare di fissare</w:t>
      </w:r>
      <w:r w:rsidR="002D0219" w:rsidRPr="007F7EBF">
        <w:rPr>
          <w:sz w:val="22"/>
          <w:szCs w:val="22"/>
        </w:rPr>
        <w:t xml:space="preserve"> </w:t>
      </w:r>
      <w:r w:rsidRPr="007F7EBF">
        <w:rPr>
          <w:sz w:val="22"/>
          <w:szCs w:val="22"/>
        </w:rPr>
        <w:lastRenderedPageBreak/>
        <w:t xml:space="preserve">una volta per tutte in una formula astratta, </w:t>
      </w:r>
      <w:r w:rsidR="00D23168" w:rsidRPr="007F7EBF">
        <w:rPr>
          <w:sz w:val="22"/>
          <w:szCs w:val="22"/>
        </w:rPr>
        <w:t>da applicare poi meccanicamente, anche se è possibile dare alcune indicazioni al riguardo</w:t>
      </w:r>
      <w:r w:rsidR="00EE1795">
        <w:rPr>
          <w:sz w:val="22"/>
          <w:szCs w:val="22"/>
        </w:rPr>
        <w:t>. Pensiamo agli e</w:t>
      </w:r>
      <w:r w:rsidR="00EE1795" w:rsidRPr="007F7EBF">
        <w:t>rrori materiali, ad elevato grado di evidenza,</w:t>
      </w:r>
      <w:r w:rsidR="00EE1795">
        <w:t xml:space="preserve"> alle duplicazioni, agli errori di persona, ma anche alle coerenze con decisioni su altri contribuenti o altri periodi d’imposta, le c.d. “simmetrie” di cui al par.3.12.</w:t>
      </w:r>
      <w:r w:rsidR="00111C82">
        <w:t xml:space="preserve"> </w:t>
      </w:r>
      <w:r w:rsidR="00EE1795">
        <w:t xml:space="preserve">L’autotutela sulle </w:t>
      </w:r>
      <w:r w:rsidR="00EE1795" w:rsidRPr="007F7EBF">
        <w:t xml:space="preserve">interpretazioni giuridiche, </w:t>
      </w:r>
      <w:r w:rsidR="00EE1795">
        <w:t xml:space="preserve">presuppone la trascuratezza verso fonti autorevoli, </w:t>
      </w:r>
      <w:r w:rsidR="0011543E">
        <w:t xml:space="preserve">preesistenti anteriormente all’atto, </w:t>
      </w:r>
      <w:r w:rsidR="00EE1795">
        <w:t>o la</w:t>
      </w:r>
      <w:r w:rsidR="0011543E">
        <w:t xml:space="preserve"> loro</w:t>
      </w:r>
      <w:r w:rsidR="00EE1795">
        <w:t xml:space="preserve"> successiva emanazione. </w:t>
      </w:r>
      <w:r w:rsidR="0011543E">
        <w:t>L’autotutela sull</w:t>
      </w:r>
      <w:r w:rsidR="00EE1795" w:rsidRPr="007F7EBF">
        <w:t xml:space="preserve">e </w:t>
      </w:r>
      <w:r w:rsidR="0011543E">
        <w:t>stime</w:t>
      </w:r>
      <w:r w:rsidR="00EE1795" w:rsidRPr="007F7EBF">
        <w:t xml:space="preserve"> valutative per ordine di grandezza</w:t>
      </w:r>
      <w:r w:rsidR="0011543E">
        <w:t xml:space="preserve"> è più difficile, ma può esserci quando si travisano le premesse della stima, o essa avviene con salti logici. La ponderazione della gravità del vizio, in relazione alla stabilità dei rapporti giuridici, </w:t>
      </w:r>
      <w:r w:rsidR="00111C82">
        <w:t>richiama le riflessioni sulla discrezionalità di cui al par.</w:t>
      </w:r>
      <w:r w:rsidR="00D42043">
        <w:t>5</w:t>
      </w:r>
      <w:r w:rsidR="00111C82">
        <w:t>.10, ed è ottimo tema per</w:t>
      </w:r>
      <w:r w:rsidR="00EE1795" w:rsidRPr="007F7EBF">
        <w:t xml:space="preserve"> tesi di laurea o dottorato.</w:t>
      </w:r>
    </w:p>
    <w:p w14:paraId="6B1BEF36" w14:textId="77777777" w:rsidR="003A2D91" w:rsidRPr="007F7EBF" w:rsidRDefault="003A2D91" w:rsidP="003A2D91">
      <w:pPr>
        <w:pStyle w:val="tit23"/>
        <w:ind w:left="6464" w:right="-1361" w:firstLine="0"/>
        <w:jc w:val="left"/>
        <w:rPr>
          <w:bCs/>
          <w:i/>
          <w:iCs/>
          <w:color w:val="0000FF"/>
          <w:lang w:val="it-IT"/>
        </w:rPr>
      </w:pPr>
      <w:r w:rsidRPr="007F7EBF">
        <w:rPr>
          <w:bCs/>
          <w:i/>
          <w:iCs/>
          <w:color w:val="0000FF"/>
          <w:lang w:val="it-IT"/>
        </w:rPr>
        <w:t>Mancata autotutela e sindacato giurisdizionale</w:t>
      </w:r>
    </w:p>
    <w:p w14:paraId="29B4CBCD" w14:textId="1B7F6214" w:rsidR="00340A91" w:rsidRDefault="00FE7886" w:rsidP="004B0F8A">
      <w:pPr>
        <w:autoSpaceDE w:val="0"/>
        <w:autoSpaceDN w:val="0"/>
        <w:adjustRightInd w:val="0"/>
        <w:rPr>
          <w:sz w:val="22"/>
          <w:szCs w:val="22"/>
        </w:rPr>
      </w:pPr>
      <w:r w:rsidRPr="007F7EBF">
        <w:rPr>
          <w:sz w:val="22"/>
          <w:szCs w:val="22"/>
        </w:rPr>
        <w:t xml:space="preserve">L’autotutela non </w:t>
      </w:r>
      <w:r w:rsidR="0012619E">
        <w:rPr>
          <w:sz w:val="22"/>
          <w:szCs w:val="22"/>
        </w:rPr>
        <w:t>è quindi</w:t>
      </w:r>
      <w:r w:rsidRPr="007F7EBF">
        <w:rPr>
          <w:sz w:val="22"/>
          <w:szCs w:val="22"/>
        </w:rPr>
        <w:t xml:space="preserve"> un</w:t>
      </w:r>
      <w:r w:rsidR="00AD7426">
        <w:rPr>
          <w:sz w:val="22"/>
          <w:szCs w:val="22"/>
        </w:rPr>
        <w:t>’</w:t>
      </w:r>
      <w:r w:rsidRPr="007F7EBF">
        <w:rPr>
          <w:sz w:val="22"/>
          <w:szCs w:val="22"/>
        </w:rPr>
        <w:t xml:space="preserve">indiscriminata "seconda possibilità" </w:t>
      </w:r>
      <w:r w:rsidR="00107C86">
        <w:rPr>
          <w:sz w:val="22"/>
          <w:szCs w:val="22"/>
        </w:rPr>
        <w:t>dei contribuenti di</w:t>
      </w:r>
      <w:r w:rsidRPr="007F7EBF">
        <w:rPr>
          <w:sz w:val="22"/>
          <w:szCs w:val="22"/>
        </w:rPr>
        <w:t xml:space="preserve"> riproporre qualsiasi eccezione dalla quale s</w:t>
      </w:r>
      <w:r w:rsidR="00107C86">
        <w:rPr>
          <w:sz w:val="22"/>
          <w:szCs w:val="22"/>
        </w:rPr>
        <w:t>o</w:t>
      </w:r>
      <w:r w:rsidRPr="007F7EBF">
        <w:rPr>
          <w:sz w:val="22"/>
          <w:szCs w:val="22"/>
        </w:rPr>
        <w:t xml:space="preserve">no decaduti. Con quest'avvertenza, e quindi con questa limitazione, l’autotutela è esperibile anche </w:t>
      </w:r>
      <w:r w:rsidR="00AD7426">
        <w:rPr>
          <w:sz w:val="22"/>
          <w:szCs w:val="22"/>
        </w:rPr>
        <w:t>nei suddetti casi in cui</w:t>
      </w:r>
      <w:r w:rsidRPr="007F7EBF">
        <w:rPr>
          <w:sz w:val="22"/>
          <w:szCs w:val="22"/>
        </w:rPr>
        <w:t xml:space="preserve"> i contribuenti si s</w:t>
      </w:r>
      <w:r w:rsidR="00AD7426">
        <w:rPr>
          <w:sz w:val="22"/>
          <w:szCs w:val="22"/>
        </w:rPr>
        <w:t>o</w:t>
      </w:r>
      <w:r w:rsidRPr="007F7EBF">
        <w:rPr>
          <w:sz w:val="22"/>
          <w:szCs w:val="22"/>
        </w:rPr>
        <w:t xml:space="preserve">no lasciati sfuggire i termini per ricorrere o chiedere il rimborso. </w:t>
      </w:r>
      <w:r w:rsidR="00107C86">
        <w:rPr>
          <w:sz w:val="22"/>
          <w:szCs w:val="22"/>
        </w:rPr>
        <w:t>Tuttavia</w:t>
      </w:r>
      <w:r w:rsidR="006342C5" w:rsidRPr="007F7EBF">
        <w:rPr>
          <w:sz w:val="22"/>
          <w:szCs w:val="22"/>
        </w:rPr>
        <w:t xml:space="preserve"> la giurisprudenza tende a negare un sindacato </w:t>
      </w:r>
      <w:r w:rsidR="003A1F6C" w:rsidRPr="007F7EBF">
        <w:rPr>
          <w:sz w:val="22"/>
          <w:szCs w:val="22"/>
        </w:rPr>
        <w:t>giurisdizionale del mancato esercizio dell'autotutela</w:t>
      </w:r>
      <w:r w:rsidR="00107C86">
        <w:rPr>
          <w:sz w:val="22"/>
          <w:szCs w:val="22"/>
        </w:rPr>
        <w:t xml:space="preserve"> a favore del contribuente </w:t>
      </w:r>
      <w:r w:rsidR="006342C5" w:rsidRPr="007F7EBF">
        <w:rPr>
          <w:sz w:val="22"/>
          <w:szCs w:val="22"/>
        </w:rPr>
        <w:t>che ha lasciato</w:t>
      </w:r>
      <w:r w:rsidR="002D0219" w:rsidRPr="007F7EBF">
        <w:rPr>
          <w:sz w:val="22"/>
          <w:szCs w:val="22"/>
        </w:rPr>
        <w:t xml:space="preserve"> </w:t>
      </w:r>
      <w:r w:rsidR="006342C5" w:rsidRPr="007F7EBF">
        <w:rPr>
          <w:sz w:val="22"/>
          <w:szCs w:val="22"/>
        </w:rPr>
        <w:t>scadere i termini di impugnazione dell’atto</w:t>
      </w:r>
      <w:r w:rsidR="00107C86">
        <w:rPr>
          <w:sz w:val="22"/>
          <w:szCs w:val="22"/>
        </w:rPr>
        <w:t>; è un po' come se l</w:t>
      </w:r>
      <w:r w:rsidR="004B0F8A">
        <w:rPr>
          <w:sz w:val="22"/>
          <w:szCs w:val="22"/>
        </w:rPr>
        <w:t>a definitività dell’atto amministrativo</w:t>
      </w:r>
      <w:r>
        <w:rPr>
          <w:sz w:val="22"/>
          <w:szCs w:val="22"/>
        </w:rPr>
        <w:t xml:space="preserve">, o la decadenza dal diritto al rimborso, </w:t>
      </w:r>
      <w:r w:rsidR="00107C86">
        <w:rPr>
          <w:sz w:val="22"/>
          <w:szCs w:val="22"/>
        </w:rPr>
        <w:t>fossero</w:t>
      </w:r>
      <w:r w:rsidR="00260D1D">
        <w:rPr>
          <w:sz w:val="22"/>
          <w:szCs w:val="22"/>
        </w:rPr>
        <w:t xml:space="preserve"> </w:t>
      </w:r>
      <w:r w:rsidR="007475B9">
        <w:rPr>
          <w:sz w:val="22"/>
          <w:szCs w:val="22"/>
        </w:rPr>
        <w:t>equiparati al</w:t>
      </w:r>
      <w:r w:rsidR="00260D1D">
        <w:rPr>
          <w:sz w:val="22"/>
          <w:szCs w:val="22"/>
        </w:rPr>
        <w:t xml:space="preserve"> </w:t>
      </w:r>
      <w:r w:rsidR="004B0F8A">
        <w:rPr>
          <w:sz w:val="22"/>
          <w:szCs w:val="22"/>
        </w:rPr>
        <w:t xml:space="preserve">giudicato, </w:t>
      </w:r>
      <w:r w:rsidR="00260D1D">
        <w:rPr>
          <w:sz w:val="22"/>
          <w:szCs w:val="22"/>
        </w:rPr>
        <w:t>considerando</w:t>
      </w:r>
      <w:r>
        <w:rPr>
          <w:sz w:val="22"/>
          <w:szCs w:val="22"/>
        </w:rPr>
        <w:t xml:space="preserve"> inammissibili i ricorsi </w:t>
      </w:r>
      <w:r w:rsidR="00107C86">
        <w:rPr>
          <w:sz w:val="22"/>
          <w:szCs w:val="22"/>
        </w:rPr>
        <w:t>successivi (</w:t>
      </w:r>
      <w:r w:rsidR="00107C86" w:rsidRPr="007F7EBF">
        <w:rPr>
          <w:rStyle w:val="Rimandonotaapidipagina"/>
          <w:sz w:val="22"/>
          <w:szCs w:val="22"/>
        </w:rPr>
        <w:footnoteReference w:id="811"/>
      </w:r>
      <w:r w:rsidR="00107C86">
        <w:rPr>
          <w:sz w:val="22"/>
          <w:szCs w:val="22"/>
        </w:rPr>
        <w:t>).</w:t>
      </w:r>
      <w:r w:rsidR="007F4092">
        <w:rPr>
          <w:sz w:val="22"/>
          <w:szCs w:val="22"/>
        </w:rPr>
        <w:t xml:space="preserve"> </w:t>
      </w:r>
      <w:r w:rsidR="007F4092">
        <w:t>La rigidità di questa tesi spinge a presentare inutili ricorsi “cautelativi” anche verso atti “seriali”, manifestamente erronei, ma che l’ufficio non riesce formalmente a ritirare entro i termini di impugnazione.</w:t>
      </w:r>
    </w:p>
    <w:p w14:paraId="17FB4194" w14:textId="77777777" w:rsidR="00FE7886" w:rsidRDefault="00FE7886" w:rsidP="004B0F8A">
      <w:pPr>
        <w:autoSpaceDE w:val="0"/>
        <w:autoSpaceDN w:val="0"/>
        <w:adjustRightInd w:val="0"/>
        <w:rPr>
          <w:rStyle w:val="Titolo3Carattere"/>
        </w:rPr>
      </w:pPr>
    </w:p>
    <w:p w14:paraId="7A1C97A5" w14:textId="28DF0C17" w:rsidR="001300E8" w:rsidRPr="00F77696" w:rsidRDefault="005D2F3C" w:rsidP="00F77696">
      <w:pPr>
        <w:autoSpaceDE w:val="0"/>
        <w:autoSpaceDN w:val="0"/>
        <w:adjustRightInd w:val="0"/>
        <w:rPr>
          <w:rFonts w:ascii="Arial" w:hAnsi="Arial" w:cs="Arial"/>
          <w:b/>
          <w:bCs/>
          <w:sz w:val="26"/>
          <w:szCs w:val="26"/>
        </w:rPr>
      </w:pPr>
      <w:bookmarkStart w:id="89" w:name="_Toc63365000"/>
      <w:r>
        <w:rPr>
          <w:rStyle w:val="Titolo3Carattere"/>
        </w:rPr>
        <w:t xml:space="preserve">6.7 </w:t>
      </w:r>
      <w:r w:rsidR="003C493F">
        <w:rPr>
          <w:rStyle w:val="Titolo3Carattere"/>
        </w:rPr>
        <w:t xml:space="preserve">Natura strutturalmente </w:t>
      </w:r>
      <w:proofErr w:type="spellStart"/>
      <w:r w:rsidR="003C493F">
        <w:rPr>
          <w:rStyle w:val="Titolo3Carattere"/>
        </w:rPr>
        <w:t>impugnatoria</w:t>
      </w:r>
      <w:proofErr w:type="spellEnd"/>
      <w:r w:rsidR="003C493F">
        <w:rPr>
          <w:rStyle w:val="Titolo3Carattere"/>
        </w:rPr>
        <w:t xml:space="preserve"> del contenzioso</w:t>
      </w:r>
      <w:r w:rsidR="00FE236A" w:rsidRPr="00FB63EA">
        <w:rPr>
          <w:rStyle w:val="Titolo3Carattere"/>
        </w:rPr>
        <w:t xml:space="preserve"> giurisdizionale</w:t>
      </w:r>
      <w:bookmarkEnd w:id="89"/>
    </w:p>
    <w:p w14:paraId="344835AC" w14:textId="47586255" w:rsidR="008D3970" w:rsidRPr="007F7EBF" w:rsidRDefault="009C350A" w:rsidP="008D3970">
      <w:pPr>
        <w:pStyle w:val="tit23"/>
        <w:ind w:left="6464" w:right="-1361" w:firstLine="0"/>
        <w:jc w:val="left"/>
        <w:rPr>
          <w:bCs/>
          <w:i/>
          <w:iCs/>
          <w:color w:val="0000FF"/>
          <w:lang w:val="it-IT"/>
        </w:rPr>
      </w:pPr>
      <w:r>
        <w:rPr>
          <w:bCs/>
          <w:i/>
          <w:iCs/>
          <w:color w:val="0000FF"/>
          <w:lang w:val="it-IT"/>
        </w:rPr>
        <w:lastRenderedPageBreak/>
        <w:t xml:space="preserve">originaria tutela gerarchico politica </w:t>
      </w:r>
    </w:p>
    <w:p w14:paraId="513FD975" w14:textId="398F83CC" w:rsidR="00E92220" w:rsidRPr="009A37B2" w:rsidRDefault="00F666B0" w:rsidP="00E92220">
      <w:pPr>
        <w:autoSpaceDE w:val="0"/>
        <w:autoSpaceDN w:val="0"/>
        <w:adjustRightInd w:val="0"/>
        <w:rPr>
          <w:sz w:val="22"/>
          <w:szCs w:val="22"/>
        </w:rPr>
      </w:pPr>
      <w:r>
        <w:t>Sulla funzione tributaria, in senso sostanziale diversa da quella giurisdizionale (</w:t>
      </w:r>
      <w:r w:rsidR="005E63A7">
        <w:t>par.1.3</w:t>
      </w:r>
      <w:r>
        <w:t>), non necessariamente si innesta</w:t>
      </w:r>
      <w:r w:rsidR="00F856CD">
        <w:t>, nel tempo e nello spazio,</w:t>
      </w:r>
      <w:r>
        <w:t xml:space="preserve"> una tutela davanti a un giudice indipendente</w:t>
      </w:r>
      <w:r w:rsidR="00F856CD">
        <w:t>, cioè una funzione di giustizia in senso procedurale (</w:t>
      </w:r>
      <w:r w:rsidR="00F856CD">
        <w:rPr>
          <w:rStyle w:val="Rimandonotaapidipagina"/>
        </w:rPr>
        <w:footnoteReference w:id="812"/>
      </w:r>
      <w:r w:rsidR="00F856CD">
        <w:t xml:space="preserve">); contro gli </w:t>
      </w:r>
      <w:r w:rsidR="00457140">
        <w:rPr>
          <w:bCs/>
          <w:sz w:val="22"/>
          <w:szCs w:val="22"/>
        </w:rPr>
        <w:t>abusi o</w:t>
      </w:r>
      <w:r w:rsidR="00F856CD">
        <w:rPr>
          <w:bCs/>
          <w:sz w:val="22"/>
          <w:szCs w:val="22"/>
        </w:rPr>
        <w:t xml:space="preserve"> le</w:t>
      </w:r>
      <w:r w:rsidR="00457140">
        <w:rPr>
          <w:bCs/>
          <w:sz w:val="22"/>
          <w:szCs w:val="22"/>
        </w:rPr>
        <w:t xml:space="preserve"> negligenze di</w:t>
      </w:r>
      <w:r w:rsidR="00457140" w:rsidRPr="007F7EBF">
        <w:rPr>
          <w:bCs/>
          <w:sz w:val="22"/>
          <w:szCs w:val="22"/>
        </w:rPr>
        <w:t xml:space="preserve"> </w:t>
      </w:r>
      <w:r w:rsidR="00457140">
        <w:rPr>
          <w:bCs/>
          <w:sz w:val="22"/>
          <w:szCs w:val="22"/>
        </w:rPr>
        <w:t>titolari di funzioni pubbliche</w:t>
      </w:r>
      <w:r w:rsidR="00457140">
        <w:t xml:space="preserve"> l’unica forma di </w:t>
      </w:r>
      <w:r w:rsidR="00F856CD">
        <w:t>protesta</w:t>
      </w:r>
      <w:r w:rsidR="00457140">
        <w:t xml:space="preserve"> concepibile</w:t>
      </w:r>
      <w:r w:rsidR="00F856CD">
        <w:t xml:space="preserve"> fu, per millenni</w:t>
      </w:r>
      <w:r w:rsidR="00457140">
        <w:t xml:space="preserve">, </w:t>
      </w:r>
      <w:r w:rsidR="00F856CD">
        <w:t>la rimostranza gerarchico-politica</w:t>
      </w:r>
      <w:r w:rsidR="00EB4E61">
        <w:t xml:space="preserve"> di cui all’inizio del par.6.4, istit</w:t>
      </w:r>
      <w:r w:rsidR="00457140">
        <w:t>uzionalizz</w:t>
      </w:r>
      <w:r w:rsidR="00251148">
        <w:t>a</w:t>
      </w:r>
      <w:r w:rsidR="00EB4E61">
        <w:t xml:space="preserve">ta </w:t>
      </w:r>
      <w:r w:rsidR="00457140">
        <w:t>in un contenzioso amministrativo</w:t>
      </w:r>
      <w:r w:rsidR="00EB4E61">
        <w:t xml:space="preserve"> seriale</w:t>
      </w:r>
      <w:r w:rsidR="00CB53BB">
        <w:t xml:space="preserve">. </w:t>
      </w:r>
    </w:p>
    <w:p w14:paraId="19862C68" w14:textId="7BBFE200" w:rsidR="00E92220" w:rsidRPr="009A37B2" w:rsidRDefault="00537BA0" w:rsidP="00E92220">
      <w:pPr>
        <w:pStyle w:val="tit23"/>
        <w:ind w:left="6464" w:right="-1361" w:firstLine="0"/>
        <w:jc w:val="left"/>
        <w:rPr>
          <w:bCs/>
          <w:i/>
          <w:iCs/>
          <w:color w:val="0000FF"/>
          <w:lang w:val="it-IT"/>
        </w:rPr>
      </w:pPr>
      <w:r>
        <w:rPr>
          <w:bCs/>
          <w:i/>
          <w:iCs/>
          <w:color w:val="0000FF"/>
          <w:lang w:val="it-IT"/>
        </w:rPr>
        <w:t xml:space="preserve">Sua </w:t>
      </w:r>
      <w:proofErr w:type="spellStart"/>
      <w:r>
        <w:rPr>
          <w:bCs/>
          <w:i/>
          <w:iCs/>
          <w:color w:val="0000FF"/>
          <w:lang w:val="it-IT"/>
        </w:rPr>
        <w:t>giurisdizionalizzazione</w:t>
      </w:r>
      <w:proofErr w:type="spellEnd"/>
      <w:r w:rsidR="009C350A" w:rsidRPr="009A37B2">
        <w:rPr>
          <w:bCs/>
          <w:i/>
          <w:iCs/>
          <w:color w:val="0000FF"/>
          <w:lang w:val="it-IT"/>
        </w:rPr>
        <w:t>.</w:t>
      </w:r>
    </w:p>
    <w:p w14:paraId="0B694534" w14:textId="7E3C94B3" w:rsidR="00EA3117" w:rsidRDefault="00CB53BB" w:rsidP="009A37B2">
      <w:pPr>
        <w:pStyle w:val="Testorientro"/>
        <w:ind w:firstLine="0"/>
        <w:rPr>
          <w:rFonts w:ascii="Times New Roman" w:hAnsi="Times New Roman" w:cs="Times New Roman"/>
        </w:rPr>
      </w:pPr>
      <w:r>
        <w:t xml:space="preserve">Per le altre decisioni amministrative, invece, la rimostranza gerarchico politica, </w:t>
      </w:r>
      <w:r w:rsidR="00EB4E61">
        <w:t xml:space="preserve">era meno frequente, e </w:t>
      </w:r>
      <w:r>
        <w:t xml:space="preserve">si istituzionalizzò nei </w:t>
      </w:r>
      <w:r w:rsidRPr="007F7EBF">
        <w:t>primi “</w:t>
      </w:r>
      <w:r w:rsidRPr="007F7EBF">
        <w:rPr>
          <w:bCs/>
        </w:rPr>
        <w:t>consigli di stato</w:t>
      </w:r>
      <w:r w:rsidRPr="007F7EBF">
        <w:t>”</w:t>
      </w:r>
      <w:r>
        <w:t xml:space="preserve">, come </w:t>
      </w:r>
      <w:r w:rsidRPr="007F7EBF">
        <w:t>organi ausiliari (</w:t>
      </w:r>
      <w:r>
        <w:rPr>
          <w:rStyle w:val="Rimandonotaapidipagina"/>
        </w:rPr>
        <w:footnoteReference w:id="813"/>
      </w:r>
      <w:r w:rsidRPr="007F7EBF">
        <w:t xml:space="preserve">) del </w:t>
      </w:r>
      <w:r>
        <w:t>vertice politico</w:t>
      </w:r>
      <w:r w:rsidRPr="007F7EBF">
        <w:t xml:space="preserve">, per </w:t>
      </w:r>
      <w:r w:rsidRPr="007F7EBF">
        <w:rPr>
          <w:bCs/>
        </w:rPr>
        <w:t xml:space="preserve">istruire i reclami </w:t>
      </w:r>
      <w:r>
        <w:rPr>
          <w:bCs/>
        </w:rPr>
        <w:t xml:space="preserve">a lui indirizzati; fu l’embrione dell’attuale </w:t>
      </w:r>
      <w:r w:rsidR="00537BA0">
        <w:rPr>
          <w:rFonts w:ascii="Times New Roman" w:hAnsi="Times New Roman" w:cs="Times New Roman"/>
        </w:rPr>
        <w:t xml:space="preserve">controllo giurisdizionale </w:t>
      </w:r>
      <w:r>
        <w:rPr>
          <w:rFonts w:ascii="Times New Roman" w:hAnsi="Times New Roman" w:cs="Times New Roman"/>
        </w:rPr>
        <w:t>dell’attività amministrativa; esso è</w:t>
      </w:r>
      <w:r w:rsidR="00457140">
        <w:rPr>
          <w:rFonts w:ascii="Times New Roman" w:hAnsi="Times New Roman" w:cs="Times New Roman"/>
        </w:rPr>
        <w:t xml:space="preserve"> </w:t>
      </w:r>
      <w:r>
        <w:rPr>
          <w:rFonts w:ascii="Times New Roman" w:hAnsi="Times New Roman" w:cs="Times New Roman"/>
        </w:rPr>
        <w:t xml:space="preserve">svolto in Italia dal </w:t>
      </w:r>
      <w:r w:rsidR="00537BA0">
        <w:t xml:space="preserve">sistema </w:t>
      </w:r>
      <w:r w:rsidR="00537BA0" w:rsidRPr="007F7EBF">
        <w:t>TAR</w:t>
      </w:r>
      <w:r w:rsidR="00537BA0">
        <w:t>-Consiglio di stato</w:t>
      </w:r>
      <w:r>
        <w:t xml:space="preserve">, relativamente recente, in quanto sistematizzato alla fine </w:t>
      </w:r>
      <w:r w:rsidR="00EA3117">
        <w:t xml:space="preserve">del secolo scorso, </w:t>
      </w:r>
      <w:r>
        <w:t>mentr</w:t>
      </w:r>
      <w:r w:rsidR="00EA3117">
        <w:t xml:space="preserve">e </w:t>
      </w:r>
      <w:r>
        <w:t>in precedenza</w:t>
      </w:r>
      <w:r w:rsidR="00537BA0" w:rsidRPr="007F7EBF">
        <w:t xml:space="preserve"> i rimedi giurisdizionali al potere amministrativo </w:t>
      </w:r>
      <w:r>
        <w:t>erano</w:t>
      </w:r>
      <w:r w:rsidR="00537BA0" w:rsidRPr="007F7EBF">
        <w:t xml:space="preserve"> </w:t>
      </w:r>
      <w:r w:rsidR="00EA3117">
        <w:t xml:space="preserve">anche da noi </w:t>
      </w:r>
      <w:r w:rsidR="00537BA0" w:rsidRPr="007F7EBF">
        <w:t>molto limitati</w:t>
      </w:r>
      <w:r w:rsidR="00537BA0">
        <w:rPr>
          <w:rFonts w:ascii="Times New Roman" w:hAnsi="Times New Roman" w:cs="Times New Roman"/>
        </w:rPr>
        <w:t xml:space="preserve">. </w:t>
      </w:r>
    </w:p>
    <w:p w14:paraId="4B624F86" w14:textId="43F77F98" w:rsidR="008D3970" w:rsidRPr="00274057" w:rsidRDefault="009E735B" w:rsidP="009A37B2">
      <w:pPr>
        <w:pStyle w:val="Testorientro"/>
        <w:ind w:firstLine="0"/>
      </w:pPr>
      <w:r>
        <w:rPr>
          <w:rFonts w:ascii="Times New Roman" w:hAnsi="Times New Roman" w:cs="Times New Roman"/>
        </w:rPr>
        <w:t xml:space="preserve">L’affiancamento di un giudice indipendente alle suddette tutele amministrative è senza dubbio </w:t>
      </w:r>
      <w:r w:rsidR="00CB53BB">
        <w:rPr>
          <w:rFonts w:ascii="Times New Roman" w:hAnsi="Times New Roman" w:cs="Times New Roman"/>
        </w:rPr>
        <w:t>opportuno</w:t>
      </w:r>
      <w:r>
        <w:rPr>
          <w:rFonts w:ascii="Times New Roman" w:hAnsi="Times New Roman" w:cs="Times New Roman"/>
        </w:rPr>
        <w:t xml:space="preserve">, ma non può essere </w:t>
      </w:r>
      <w:r w:rsidR="00CB53BB">
        <w:rPr>
          <w:rFonts w:ascii="Times New Roman" w:hAnsi="Times New Roman" w:cs="Times New Roman"/>
        </w:rPr>
        <w:t xml:space="preserve">sistematicamente </w:t>
      </w:r>
      <w:r>
        <w:rPr>
          <w:rFonts w:ascii="Times New Roman" w:hAnsi="Times New Roman" w:cs="Times New Roman"/>
        </w:rPr>
        <w:t>sostitutivo</w:t>
      </w:r>
      <w:r w:rsidR="00CB53BB">
        <w:rPr>
          <w:rFonts w:ascii="Times New Roman" w:hAnsi="Times New Roman" w:cs="Times New Roman"/>
        </w:rPr>
        <w:t xml:space="preserve"> delle diversissime funzioni su cui si innesta</w:t>
      </w:r>
      <w:r w:rsidR="00537BA0">
        <w:rPr>
          <w:rFonts w:ascii="Times New Roman" w:hAnsi="Times New Roman" w:cs="Times New Roman"/>
        </w:rPr>
        <w:t xml:space="preserve">. </w:t>
      </w:r>
      <w:r>
        <w:rPr>
          <w:rFonts w:ascii="Times New Roman" w:hAnsi="Times New Roman" w:cs="Times New Roman"/>
        </w:rPr>
        <w:t xml:space="preserve"> </w:t>
      </w:r>
      <w:r>
        <w:t>La pace sociale, quando c’è di mezzo il cattivo esercizio di una funzione pubblica,</w:t>
      </w:r>
      <w:r w:rsidR="009A37B2">
        <w:t xml:space="preserve"> </w:t>
      </w:r>
      <w:r>
        <w:t xml:space="preserve">non si raggiunge infatti </w:t>
      </w:r>
      <w:r w:rsidR="00CB53BB">
        <w:t>tramite sistematiche supplenze giudiziarie</w:t>
      </w:r>
      <w:r>
        <w:t>, ma co</w:t>
      </w:r>
      <w:r w:rsidR="0080709A">
        <w:t xml:space="preserve">n </w:t>
      </w:r>
      <w:r w:rsidR="00CB53BB">
        <w:t>la funzione giustiziale dell’amministrazione, magari sotto la spinta del giudice nei modi che diremo</w:t>
      </w:r>
      <w:r w:rsidR="000C1618">
        <w:t xml:space="preserve"> </w:t>
      </w:r>
      <w:r w:rsidR="004D2D5F">
        <w:t>(</w:t>
      </w:r>
      <w:r w:rsidR="004D2D5F" w:rsidRPr="007F7EBF">
        <w:rPr>
          <w:rStyle w:val="Rimandonotaapidipagina"/>
        </w:rPr>
        <w:footnoteReference w:id="814"/>
      </w:r>
      <w:r w:rsidR="004D2D5F">
        <w:t>)</w:t>
      </w:r>
      <w:r w:rsidR="00E92220" w:rsidRPr="007F7EBF">
        <w:t>.</w:t>
      </w:r>
      <w:r w:rsidR="006342C5" w:rsidRPr="007F7EBF">
        <w:t xml:space="preserve"> </w:t>
      </w:r>
    </w:p>
    <w:p w14:paraId="159194EF" w14:textId="02DBD652" w:rsidR="008D3970" w:rsidRPr="007F7EBF" w:rsidRDefault="00592CFE" w:rsidP="008D3970">
      <w:pPr>
        <w:pStyle w:val="tit23"/>
        <w:ind w:left="6464" w:right="-1361" w:firstLine="0"/>
        <w:jc w:val="left"/>
        <w:rPr>
          <w:bCs/>
          <w:i/>
          <w:iCs/>
          <w:color w:val="0000FF"/>
          <w:lang w:val="it-IT"/>
        </w:rPr>
      </w:pPr>
      <w:r w:rsidRPr="007F7EBF">
        <w:rPr>
          <w:bCs/>
          <w:i/>
          <w:iCs/>
          <w:color w:val="0000FF"/>
          <w:lang w:val="it-IT"/>
        </w:rPr>
        <w:lastRenderedPageBreak/>
        <w:t>Giurisdizione generale di ann</w:t>
      </w:r>
      <w:r w:rsidR="002C6E6B">
        <w:rPr>
          <w:bCs/>
          <w:i/>
          <w:iCs/>
          <w:color w:val="0000FF"/>
          <w:lang w:val="it-IT"/>
        </w:rPr>
        <w:t>ull</w:t>
      </w:r>
      <w:r w:rsidRPr="007F7EBF">
        <w:rPr>
          <w:bCs/>
          <w:i/>
          <w:iCs/>
          <w:color w:val="0000FF"/>
          <w:lang w:val="it-IT"/>
        </w:rPr>
        <w:t>amento</w:t>
      </w:r>
    </w:p>
    <w:p w14:paraId="0D0B52B8" w14:textId="60D03432" w:rsidR="0042581A" w:rsidRPr="007F7EBF" w:rsidRDefault="00A91126" w:rsidP="00DF026F">
      <w:pPr>
        <w:autoSpaceDE w:val="0"/>
        <w:autoSpaceDN w:val="0"/>
        <w:adjustRightInd w:val="0"/>
        <w:rPr>
          <w:sz w:val="22"/>
          <w:szCs w:val="22"/>
        </w:rPr>
      </w:pPr>
      <w:r>
        <w:rPr>
          <w:sz w:val="22"/>
          <w:szCs w:val="22"/>
        </w:rPr>
        <w:t>L</w:t>
      </w:r>
      <w:r w:rsidR="00274057">
        <w:rPr>
          <w:sz w:val="22"/>
          <w:szCs w:val="22"/>
        </w:rPr>
        <w:t>’oggettiva impossibilità del</w:t>
      </w:r>
      <w:r>
        <w:rPr>
          <w:sz w:val="22"/>
          <w:szCs w:val="22"/>
        </w:rPr>
        <w:t xml:space="preserve"> processo amministrativo di sostituirsi con sistematicità a</w:t>
      </w:r>
      <w:r w:rsidR="0080709A" w:rsidRPr="007F7EBF">
        <w:rPr>
          <w:sz w:val="22"/>
          <w:szCs w:val="22"/>
        </w:rPr>
        <w:t>ll</w:t>
      </w:r>
      <w:r w:rsidR="0080709A">
        <w:rPr>
          <w:sz w:val="22"/>
          <w:szCs w:val="22"/>
        </w:rPr>
        <w:t>e</w:t>
      </w:r>
      <w:r w:rsidR="00274057">
        <w:rPr>
          <w:sz w:val="22"/>
          <w:szCs w:val="22"/>
        </w:rPr>
        <w:t xml:space="preserve"> varie</w:t>
      </w:r>
      <w:r w:rsidR="0080709A">
        <w:rPr>
          <w:sz w:val="22"/>
          <w:szCs w:val="22"/>
        </w:rPr>
        <w:t xml:space="preserve"> funzioni pubbliche </w:t>
      </w:r>
      <w:r>
        <w:rPr>
          <w:sz w:val="22"/>
          <w:szCs w:val="22"/>
        </w:rPr>
        <w:t xml:space="preserve">sottostanti è probabilmente </w:t>
      </w:r>
      <w:r w:rsidR="00274057">
        <w:rPr>
          <w:sz w:val="22"/>
          <w:szCs w:val="22"/>
        </w:rPr>
        <w:t xml:space="preserve"> </w:t>
      </w:r>
      <w:r>
        <w:rPr>
          <w:sz w:val="22"/>
          <w:szCs w:val="22"/>
        </w:rPr>
        <w:t xml:space="preserve">condivisa dallo </w:t>
      </w:r>
      <w:r w:rsidR="00132EED">
        <w:rPr>
          <w:sz w:val="22"/>
          <w:szCs w:val="22"/>
        </w:rPr>
        <w:t>stesso</w:t>
      </w:r>
      <w:r w:rsidR="0080709A">
        <w:rPr>
          <w:sz w:val="22"/>
          <w:szCs w:val="22"/>
        </w:rPr>
        <w:t xml:space="preserve"> giudice amministrativo</w:t>
      </w:r>
      <w:r>
        <w:rPr>
          <w:sz w:val="22"/>
          <w:szCs w:val="22"/>
        </w:rPr>
        <w:t>, che non può certo occuparsi di attribuire “il bene della vita” a chi vi aspira, nei settori più disparati, come quello urbanistico</w:t>
      </w:r>
      <w:r w:rsidR="0080709A" w:rsidRPr="007F7EBF">
        <w:rPr>
          <w:sz w:val="22"/>
          <w:szCs w:val="22"/>
        </w:rPr>
        <w:t xml:space="preserve">, infrastrutturale, </w:t>
      </w:r>
      <w:r>
        <w:rPr>
          <w:sz w:val="22"/>
          <w:szCs w:val="22"/>
        </w:rPr>
        <w:t xml:space="preserve">concessorio, </w:t>
      </w:r>
      <w:r w:rsidR="0080709A" w:rsidRPr="007F7EBF">
        <w:rPr>
          <w:sz w:val="22"/>
          <w:szCs w:val="22"/>
        </w:rPr>
        <w:t>ambientale o culturale che sia</w:t>
      </w:r>
      <w:r w:rsidR="0080709A">
        <w:rPr>
          <w:sz w:val="22"/>
          <w:szCs w:val="22"/>
        </w:rPr>
        <w:t xml:space="preserve"> (</w:t>
      </w:r>
      <w:r w:rsidR="0080709A">
        <w:rPr>
          <w:rStyle w:val="Rimandonotaapidipagina"/>
          <w:sz w:val="22"/>
          <w:szCs w:val="22"/>
        </w:rPr>
        <w:footnoteReference w:id="815"/>
      </w:r>
      <w:r w:rsidR="0080709A">
        <w:rPr>
          <w:sz w:val="22"/>
          <w:szCs w:val="22"/>
        </w:rPr>
        <w:t>)</w:t>
      </w:r>
      <w:r w:rsidR="0080709A" w:rsidRPr="007F7EBF">
        <w:rPr>
          <w:sz w:val="22"/>
          <w:szCs w:val="22"/>
        </w:rPr>
        <w:t xml:space="preserve">. </w:t>
      </w:r>
      <w:r w:rsidR="003154BA">
        <w:rPr>
          <w:sz w:val="22"/>
          <w:szCs w:val="22"/>
        </w:rPr>
        <w:t xml:space="preserve">Per questo la tutela contro le funzioni non giurisdizionali è </w:t>
      </w:r>
      <w:r w:rsidR="00A71ED5" w:rsidRPr="007F7EBF">
        <w:rPr>
          <w:sz w:val="22"/>
          <w:szCs w:val="22"/>
        </w:rPr>
        <w:t>"di impugnazione-annullamento"</w:t>
      </w:r>
      <w:r>
        <w:rPr>
          <w:sz w:val="22"/>
          <w:szCs w:val="22"/>
        </w:rPr>
        <w:t>;</w:t>
      </w:r>
      <w:r w:rsidR="00274057">
        <w:rPr>
          <w:sz w:val="22"/>
          <w:szCs w:val="22"/>
        </w:rPr>
        <w:t xml:space="preserve"> per assicurare all’interessato il “bene della vita” </w:t>
      </w:r>
      <w:r>
        <w:rPr>
          <w:sz w:val="22"/>
          <w:szCs w:val="22"/>
        </w:rPr>
        <w:t>serve cioè la cooperazione di altri pubblici uffici, tenuti a “conformarsi” alla sentenza (</w:t>
      </w:r>
      <w:r w:rsidRPr="007F7EBF">
        <w:rPr>
          <w:rStyle w:val="Rimandonotaapidipagina"/>
          <w:sz w:val="22"/>
          <w:szCs w:val="22"/>
        </w:rPr>
        <w:footnoteReference w:id="816"/>
      </w:r>
      <w:r>
        <w:rPr>
          <w:sz w:val="22"/>
          <w:szCs w:val="22"/>
        </w:rPr>
        <w:t xml:space="preserve">), con </w:t>
      </w:r>
      <w:r w:rsidR="00274057">
        <w:rPr>
          <w:sz w:val="22"/>
          <w:szCs w:val="22"/>
        </w:rPr>
        <w:t>un nuovo atto immune da vizi</w:t>
      </w:r>
      <w:r>
        <w:rPr>
          <w:sz w:val="22"/>
          <w:szCs w:val="22"/>
        </w:rPr>
        <w:t xml:space="preserve">; il </w:t>
      </w:r>
      <w:r w:rsidR="00537BA0">
        <w:rPr>
          <w:sz w:val="22"/>
          <w:szCs w:val="22"/>
        </w:rPr>
        <w:t>giudice amministrativo</w:t>
      </w:r>
      <w:r>
        <w:rPr>
          <w:sz w:val="22"/>
          <w:szCs w:val="22"/>
        </w:rPr>
        <w:t xml:space="preserve"> </w:t>
      </w:r>
      <w:r w:rsidR="0061050A" w:rsidRPr="007F7EBF">
        <w:rPr>
          <w:sz w:val="22"/>
          <w:szCs w:val="22"/>
        </w:rPr>
        <w:t>fornisce indicazioni</w:t>
      </w:r>
      <w:r w:rsidR="0061050A">
        <w:rPr>
          <w:sz w:val="22"/>
          <w:szCs w:val="22"/>
        </w:rPr>
        <w:t xml:space="preserve"> al</w:t>
      </w:r>
      <w:r w:rsidR="0061050A" w:rsidRPr="007F7EBF">
        <w:rPr>
          <w:sz w:val="22"/>
          <w:szCs w:val="22"/>
        </w:rPr>
        <w:t xml:space="preserve">l’ufficio pubblico </w:t>
      </w:r>
      <w:r w:rsidR="0061050A">
        <w:rPr>
          <w:sz w:val="22"/>
          <w:szCs w:val="22"/>
        </w:rPr>
        <w:t xml:space="preserve">e </w:t>
      </w:r>
      <w:r w:rsidR="0061050A" w:rsidRPr="007F7EBF">
        <w:rPr>
          <w:sz w:val="22"/>
          <w:szCs w:val="22"/>
        </w:rPr>
        <w:t>può anche incaricare un "commissario ad acta" di applicare i</w:t>
      </w:r>
      <w:r w:rsidR="0061050A">
        <w:rPr>
          <w:sz w:val="22"/>
          <w:szCs w:val="22"/>
        </w:rPr>
        <w:t>l giudicato amministrativo al</w:t>
      </w:r>
      <w:r w:rsidR="0061050A" w:rsidRPr="007F7EBF">
        <w:rPr>
          <w:sz w:val="22"/>
          <w:szCs w:val="22"/>
        </w:rPr>
        <w:t xml:space="preserve"> contesto in cui occorre deliberare</w:t>
      </w:r>
      <w:r w:rsidR="0061050A">
        <w:rPr>
          <w:sz w:val="22"/>
          <w:szCs w:val="22"/>
        </w:rPr>
        <w:t xml:space="preserve">. </w:t>
      </w:r>
      <w:r w:rsidR="00874883">
        <w:rPr>
          <w:sz w:val="22"/>
          <w:szCs w:val="22"/>
        </w:rPr>
        <w:t>I</w:t>
      </w:r>
      <w:r>
        <w:rPr>
          <w:sz w:val="22"/>
          <w:szCs w:val="22"/>
        </w:rPr>
        <w:t>l nuovo atto</w:t>
      </w:r>
      <w:r w:rsidR="00874883">
        <w:rPr>
          <w:sz w:val="22"/>
          <w:szCs w:val="22"/>
        </w:rPr>
        <w:t xml:space="preserve"> può essere immune da vizi, e però non</w:t>
      </w:r>
      <w:r>
        <w:rPr>
          <w:sz w:val="22"/>
          <w:szCs w:val="22"/>
        </w:rPr>
        <w:t xml:space="preserve"> </w:t>
      </w:r>
      <w:r w:rsidR="00874883">
        <w:rPr>
          <w:sz w:val="22"/>
          <w:szCs w:val="22"/>
        </w:rPr>
        <w:t xml:space="preserve">soddisfare, per ragioni legittime e opportune, </w:t>
      </w:r>
      <w:r w:rsidR="00132EED">
        <w:rPr>
          <w:sz w:val="22"/>
          <w:szCs w:val="22"/>
        </w:rPr>
        <w:t xml:space="preserve">le aspettative </w:t>
      </w:r>
      <w:r w:rsidR="00485FDA">
        <w:rPr>
          <w:sz w:val="22"/>
          <w:szCs w:val="22"/>
        </w:rPr>
        <w:t xml:space="preserve">sostanziali </w:t>
      </w:r>
      <w:r w:rsidR="00132EED">
        <w:rPr>
          <w:sz w:val="22"/>
          <w:szCs w:val="22"/>
        </w:rPr>
        <w:t>d</w:t>
      </w:r>
      <w:r w:rsidR="00874883">
        <w:rPr>
          <w:sz w:val="22"/>
          <w:szCs w:val="22"/>
        </w:rPr>
        <w:t xml:space="preserve">i chi </w:t>
      </w:r>
      <w:r w:rsidR="00485FDA">
        <w:rPr>
          <w:sz w:val="22"/>
          <w:szCs w:val="22"/>
        </w:rPr>
        <w:t>ha ottenuto l’annullamento</w:t>
      </w:r>
      <w:r w:rsidR="00874883">
        <w:rPr>
          <w:sz w:val="22"/>
          <w:szCs w:val="22"/>
        </w:rPr>
        <w:t xml:space="preserve"> del primo</w:t>
      </w:r>
      <w:r w:rsidR="00537BA0">
        <w:t xml:space="preserve">. </w:t>
      </w:r>
    </w:p>
    <w:p w14:paraId="067111AC" w14:textId="0181965B" w:rsidR="0042581A" w:rsidRPr="007F7EBF" w:rsidRDefault="00DF026F" w:rsidP="0042581A">
      <w:pPr>
        <w:pStyle w:val="tit23"/>
        <w:ind w:left="6464" w:right="-1361" w:firstLine="0"/>
        <w:jc w:val="left"/>
        <w:rPr>
          <w:bCs/>
          <w:i/>
          <w:iCs/>
          <w:color w:val="0000FF"/>
          <w:lang w:val="it-IT"/>
        </w:rPr>
      </w:pPr>
      <w:r w:rsidRPr="007F7EBF">
        <w:rPr>
          <w:bCs/>
          <w:i/>
          <w:iCs/>
          <w:color w:val="0000FF"/>
          <w:lang w:val="it-IT"/>
        </w:rPr>
        <w:lastRenderedPageBreak/>
        <w:t xml:space="preserve">Motivi storici della rideterminazione del tributo </w:t>
      </w:r>
    </w:p>
    <w:p w14:paraId="65C85949" w14:textId="25326C8D" w:rsidR="00D15319" w:rsidRPr="007F7EBF" w:rsidRDefault="000C1618" w:rsidP="00D15319">
      <w:pPr>
        <w:autoSpaceDE w:val="0"/>
        <w:autoSpaceDN w:val="0"/>
        <w:adjustRightInd w:val="0"/>
        <w:rPr>
          <w:sz w:val="22"/>
          <w:szCs w:val="22"/>
        </w:rPr>
      </w:pPr>
      <w:r w:rsidRPr="004F276F">
        <w:t xml:space="preserve">Invece </w:t>
      </w:r>
      <w:r w:rsidR="004F276F" w:rsidRPr="004F276F">
        <w:t>di percorrere questa strada, la</w:t>
      </w:r>
      <w:r w:rsidRPr="004F276F">
        <w:t xml:space="preserve"> funzione tributaria</w:t>
      </w:r>
      <w:r w:rsidR="004F276F" w:rsidRPr="004F276F">
        <w:t xml:space="preserve">, condizionata dal proprio retroterra di contenzioso amministrativo, si </w:t>
      </w:r>
      <w:r w:rsidRPr="004F276F">
        <w:t xml:space="preserve">è impantanata in una paralisi  </w:t>
      </w:r>
      <w:proofErr w:type="spellStart"/>
      <w:r w:rsidRPr="004F276F">
        <w:rPr>
          <w:i/>
        </w:rPr>
        <w:t>panprocessualistica</w:t>
      </w:r>
      <w:proofErr w:type="spellEnd"/>
      <w:r w:rsidR="004F276F" w:rsidRPr="004F276F">
        <w:rPr>
          <w:sz w:val="22"/>
          <w:szCs w:val="22"/>
        </w:rPr>
        <w:t>, dovuta alla tradizionale concezione privatistico-giurisdizionale del diritto.</w:t>
      </w:r>
      <w:r w:rsidR="004F276F">
        <w:rPr>
          <w:sz w:val="22"/>
          <w:szCs w:val="22"/>
        </w:rPr>
        <w:t xml:space="preserve"> </w:t>
      </w:r>
      <w:r w:rsidR="00EB4E61">
        <w:rPr>
          <w:sz w:val="22"/>
          <w:szCs w:val="22"/>
        </w:rPr>
        <w:t xml:space="preserve">Ci fu quindi un’evoluzione dei precedenti organi </w:t>
      </w:r>
      <w:r w:rsidR="00745059" w:rsidRPr="007F7EBF">
        <w:rPr>
          <w:sz w:val="22"/>
          <w:szCs w:val="22"/>
        </w:rPr>
        <w:t xml:space="preserve">di contenzioso amministrativo </w:t>
      </w:r>
      <w:r w:rsidR="004902A7">
        <w:rPr>
          <w:sz w:val="22"/>
          <w:szCs w:val="22"/>
        </w:rPr>
        <w:t xml:space="preserve">di cui al par.6.4 </w:t>
      </w:r>
      <w:r w:rsidR="005158A9">
        <w:rPr>
          <w:sz w:val="22"/>
          <w:szCs w:val="22"/>
        </w:rPr>
        <w:t>(</w:t>
      </w:r>
      <w:r w:rsidR="00745059" w:rsidRPr="007F7EBF">
        <w:rPr>
          <w:rStyle w:val="Rimandonotaapidipagina"/>
          <w:sz w:val="22"/>
          <w:szCs w:val="22"/>
        </w:rPr>
        <w:footnoteReference w:id="817"/>
      </w:r>
      <w:r w:rsidR="005158A9">
        <w:rPr>
          <w:sz w:val="22"/>
          <w:szCs w:val="22"/>
        </w:rPr>
        <w:t>)</w:t>
      </w:r>
      <w:r w:rsidR="00745059" w:rsidRPr="007F7EBF">
        <w:rPr>
          <w:sz w:val="22"/>
          <w:szCs w:val="22"/>
        </w:rPr>
        <w:t xml:space="preserve">, </w:t>
      </w:r>
      <w:r w:rsidR="004902A7">
        <w:rPr>
          <w:sz w:val="22"/>
          <w:szCs w:val="22"/>
        </w:rPr>
        <w:t xml:space="preserve">tipici della fiscalità valutativa preindustriale </w:t>
      </w:r>
      <w:r w:rsidR="00745059" w:rsidRPr="007F7EBF">
        <w:rPr>
          <w:sz w:val="22"/>
          <w:szCs w:val="22"/>
        </w:rPr>
        <w:t xml:space="preserve">vigenti </w:t>
      </w:r>
      <w:r w:rsidR="00DF026F" w:rsidRPr="007F7EBF">
        <w:rPr>
          <w:sz w:val="22"/>
          <w:szCs w:val="22"/>
        </w:rPr>
        <w:t>con</w:t>
      </w:r>
      <w:r w:rsidR="00745059" w:rsidRPr="007F7EBF">
        <w:rPr>
          <w:sz w:val="22"/>
          <w:szCs w:val="22"/>
        </w:rPr>
        <w:t xml:space="preserve"> varie modifiche </w:t>
      </w:r>
      <w:r w:rsidR="008F5DB4" w:rsidRPr="007F7EBF">
        <w:rPr>
          <w:sz w:val="22"/>
          <w:szCs w:val="22"/>
        </w:rPr>
        <w:t xml:space="preserve">dall'unità d'Italia </w:t>
      </w:r>
      <w:r w:rsidR="00DF026F" w:rsidRPr="007F7EBF">
        <w:rPr>
          <w:sz w:val="22"/>
          <w:szCs w:val="22"/>
        </w:rPr>
        <w:t>al 1972</w:t>
      </w:r>
      <w:r w:rsidR="004902A7">
        <w:rPr>
          <w:sz w:val="22"/>
          <w:szCs w:val="22"/>
        </w:rPr>
        <w:t xml:space="preserve">. </w:t>
      </w:r>
      <w:r w:rsidR="0028423A">
        <w:rPr>
          <w:sz w:val="22"/>
          <w:szCs w:val="22"/>
        </w:rPr>
        <w:t xml:space="preserve"> </w:t>
      </w:r>
      <w:r w:rsidR="00527889">
        <w:rPr>
          <w:sz w:val="22"/>
          <w:szCs w:val="22"/>
        </w:rPr>
        <w:t xml:space="preserve">La soluzione più facile nel 1973 fu di rendere tali organi </w:t>
      </w:r>
      <w:r w:rsidR="0028423A">
        <w:rPr>
          <w:sz w:val="22"/>
          <w:szCs w:val="22"/>
        </w:rPr>
        <w:t>esteriormente</w:t>
      </w:r>
      <w:r w:rsidR="00247E53" w:rsidRPr="007F7EBF">
        <w:rPr>
          <w:sz w:val="22"/>
          <w:szCs w:val="22"/>
        </w:rPr>
        <w:t xml:space="preserve"> giur</w:t>
      </w:r>
      <w:r w:rsidR="00763311" w:rsidRPr="007F7EBF">
        <w:rPr>
          <w:sz w:val="22"/>
          <w:szCs w:val="22"/>
        </w:rPr>
        <w:t>i</w:t>
      </w:r>
      <w:r w:rsidR="00247E53" w:rsidRPr="007F7EBF">
        <w:rPr>
          <w:sz w:val="22"/>
          <w:szCs w:val="22"/>
        </w:rPr>
        <w:t>sdizionali</w:t>
      </w:r>
      <w:r w:rsidR="00CB4947">
        <w:rPr>
          <w:sz w:val="22"/>
          <w:szCs w:val="22"/>
        </w:rPr>
        <w:t xml:space="preserve">, in concomitanza con la determinazione </w:t>
      </w:r>
      <w:r w:rsidR="00527889">
        <w:rPr>
          <w:sz w:val="22"/>
          <w:szCs w:val="22"/>
        </w:rPr>
        <w:t>documentale dei presupposti economici d’imposta</w:t>
      </w:r>
      <w:r w:rsidR="00CB4947">
        <w:rPr>
          <w:sz w:val="22"/>
          <w:szCs w:val="22"/>
        </w:rPr>
        <w:t xml:space="preserve">. </w:t>
      </w:r>
      <w:proofErr w:type="spellStart"/>
      <w:r w:rsidR="007E74E5">
        <w:rPr>
          <w:sz w:val="22"/>
          <w:szCs w:val="22"/>
        </w:rPr>
        <w:t>Finchè</w:t>
      </w:r>
      <w:proofErr w:type="spellEnd"/>
      <w:r w:rsidR="007E74E5">
        <w:rPr>
          <w:sz w:val="22"/>
          <w:szCs w:val="22"/>
        </w:rPr>
        <w:t xml:space="preserve"> ciò portava all’annullamento </w:t>
      </w:r>
      <w:r w:rsidR="00527889">
        <w:rPr>
          <w:sz w:val="22"/>
          <w:szCs w:val="22"/>
        </w:rPr>
        <w:t xml:space="preserve">totale o di una precisa parte </w:t>
      </w:r>
      <w:r w:rsidR="007E74E5">
        <w:rPr>
          <w:sz w:val="22"/>
          <w:szCs w:val="22"/>
        </w:rPr>
        <w:t>dell’atto nessun problema</w:t>
      </w:r>
      <w:r w:rsidR="00527889">
        <w:rPr>
          <w:sz w:val="22"/>
          <w:szCs w:val="22"/>
        </w:rPr>
        <w:t>; le cose si complicano però q</w:t>
      </w:r>
      <w:r w:rsidR="007E74E5">
        <w:rPr>
          <w:sz w:val="22"/>
          <w:szCs w:val="22"/>
        </w:rPr>
        <w:t>uando si deve rideterminare l’imposta</w:t>
      </w:r>
      <w:r w:rsidR="00527889">
        <w:rPr>
          <w:sz w:val="22"/>
          <w:szCs w:val="22"/>
        </w:rPr>
        <w:t>, ne</w:t>
      </w:r>
      <w:r w:rsidR="007E74E5">
        <w:rPr>
          <w:sz w:val="22"/>
          <w:szCs w:val="22"/>
        </w:rPr>
        <w:t>l</w:t>
      </w:r>
      <w:r w:rsidR="00527889">
        <w:rPr>
          <w:sz w:val="22"/>
          <w:szCs w:val="22"/>
        </w:rPr>
        <w:t xml:space="preserve"> qual caso il</w:t>
      </w:r>
      <w:r w:rsidR="007E74E5">
        <w:rPr>
          <w:sz w:val="22"/>
          <w:szCs w:val="22"/>
        </w:rPr>
        <w:t xml:space="preserve"> retaggio del precedente contenzioso amministrativo </w:t>
      </w:r>
      <w:r w:rsidR="003A1EFB">
        <w:rPr>
          <w:sz w:val="22"/>
          <w:szCs w:val="22"/>
        </w:rPr>
        <w:t xml:space="preserve">crea </w:t>
      </w:r>
      <w:r w:rsidR="007E74E5">
        <w:rPr>
          <w:sz w:val="22"/>
          <w:szCs w:val="22"/>
        </w:rPr>
        <w:t xml:space="preserve">un </w:t>
      </w:r>
      <w:r w:rsidR="00822F9C">
        <w:rPr>
          <w:sz w:val="22"/>
          <w:szCs w:val="22"/>
        </w:rPr>
        <w:t>ibrido rispetto a</w:t>
      </w:r>
      <w:r w:rsidR="00647598">
        <w:rPr>
          <w:sz w:val="22"/>
          <w:szCs w:val="22"/>
        </w:rPr>
        <w:t>i principi sopra indicati. Ne parleremo dopo aver indicato al prossimo paragrafo le principali caratteristiche del giudice speciale tributario.</w:t>
      </w:r>
      <w:r w:rsidR="00822F9C">
        <w:rPr>
          <w:sz w:val="22"/>
          <w:szCs w:val="22"/>
        </w:rPr>
        <w:t xml:space="preserve">  </w:t>
      </w:r>
    </w:p>
    <w:p w14:paraId="521640DA" w14:textId="5EE0306C" w:rsidR="00E706B1" w:rsidRPr="007F7EBF" w:rsidRDefault="006342C5" w:rsidP="002D0219">
      <w:pPr>
        <w:pStyle w:val="Titolo3"/>
        <w:rPr>
          <w:rFonts w:ascii="Times New Roman" w:hAnsi="Times New Roman"/>
          <w:sz w:val="22"/>
          <w:szCs w:val="22"/>
        </w:rPr>
      </w:pPr>
      <w:bookmarkStart w:id="90" w:name="_Toc63365001"/>
      <w:r w:rsidRPr="007F7EBF">
        <w:rPr>
          <w:rFonts w:ascii="Times New Roman" w:hAnsi="Times New Roman"/>
          <w:sz w:val="22"/>
          <w:szCs w:val="22"/>
        </w:rPr>
        <w:t xml:space="preserve">6.8. </w:t>
      </w:r>
      <w:r w:rsidR="00CE6CE7">
        <w:rPr>
          <w:rFonts w:ascii="Times New Roman" w:hAnsi="Times New Roman"/>
          <w:sz w:val="22"/>
          <w:szCs w:val="22"/>
          <w:lang w:val="it-IT"/>
        </w:rPr>
        <w:t>Tradizioni amministrative del g</w:t>
      </w:r>
      <w:proofErr w:type="spellStart"/>
      <w:r w:rsidR="000105BC" w:rsidRPr="007F7EBF">
        <w:rPr>
          <w:rFonts w:ascii="Times New Roman" w:hAnsi="Times New Roman"/>
          <w:sz w:val="22"/>
          <w:szCs w:val="22"/>
        </w:rPr>
        <w:t>iudice</w:t>
      </w:r>
      <w:proofErr w:type="spellEnd"/>
      <w:r w:rsidR="000105BC" w:rsidRPr="007F7EBF">
        <w:rPr>
          <w:rFonts w:ascii="Times New Roman" w:hAnsi="Times New Roman"/>
          <w:sz w:val="22"/>
          <w:szCs w:val="22"/>
        </w:rPr>
        <w:t xml:space="preserve"> speciale tributario:</w:t>
      </w:r>
      <w:r w:rsidR="000105BC" w:rsidRPr="007F7EBF">
        <w:rPr>
          <w:rFonts w:ascii="Times New Roman" w:hAnsi="Times New Roman"/>
          <w:sz w:val="22"/>
          <w:szCs w:val="22"/>
          <w:lang w:val="it-IT"/>
        </w:rPr>
        <w:t xml:space="preserve"> reclutamento,</w:t>
      </w:r>
      <w:r w:rsidR="002E48A8" w:rsidRPr="007F7EBF">
        <w:rPr>
          <w:rFonts w:ascii="Times New Roman" w:hAnsi="Times New Roman"/>
          <w:sz w:val="22"/>
          <w:szCs w:val="22"/>
          <w:lang w:val="it-IT"/>
        </w:rPr>
        <w:t xml:space="preserve"> eterogeneità </w:t>
      </w:r>
      <w:r w:rsidR="000105BC" w:rsidRPr="007F7EBF">
        <w:rPr>
          <w:rFonts w:ascii="Times New Roman" w:hAnsi="Times New Roman"/>
          <w:sz w:val="22"/>
          <w:szCs w:val="22"/>
          <w:lang w:val="it-IT"/>
        </w:rPr>
        <w:t>e “tempo parziale”</w:t>
      </w:r>
      <w:bookmarkEnd w:id="90"/>
    </w:p>
    <w:p w14:paraId="3AC2C449" w14:textId="15F20B47" w:rsidR="00E706B1" w:rsidRPr="007F7EBF" w:rsidRDefault="00D70F1B" w:rsidP="00E706B1">
      <w:pPr>
        <w:pStyle w:val="tit23"/>
        <w:ind w:left="6464" w:right="-1361" w:firstLine="0"/>
        <w:jc w:val="left"/>
        <w:rPr>
          <w:bCs/>
          <w:i/>
          <w:iCs/>
          <w:color w:val="0000FF"/>
          <w:lang w:val="it-IT"/>
        </w:rPr>
      </w:pPr>
      <w:r>
        <w:rPr>
          <w:bCs/>
          <w:i/>
          <w:iCs/>
          <w:color w:val="0000FF"/>
          <w:lang w:val="it-IT"/>
        </w:rPr>
        <w:t xml:space="preserve">Una </w:t>
      </w:r>
      <w:proofErr w:type="spellStart"/>
      <w:r>
        <w:rPr>
          <w:bCs/>
          <w:i/>
          <w:iCs/>
          <w:color w:val="0000FF"/>
          <w:lang w:val="it-IT"/>
        </w:rPr>
        <w:t>giurisdizionalizzazione</w:t>
      </w:r>
      <w:proofErr w:type="spellEnd"/>
      <w:r>
        <w:rPr>
          <w:bCs/>
          <w:i/>
          <w:iCs/>
          <w:color w:val="0000FF"/>
          <w:lang w:val="it-IT"/>
        </w:rPr>
        <w:t xml:space="preserve"> </w:t>
      </w:r>
      <w:r w:rsidR="00D147EC">
        <w:rPr>
          <w:bCs/>
          <w:i/>
          <w:iCs/>
          <w:color w:val="0000FF"/>
          <w:lang w:val="it-IT"/>
        </w:rPr>
        <w:t>improvvisata</w:t>
      </w:r>
    </w:p>
    <w:p w14:paraId="5CF0FD3C" w14:textId="7077FB70" w:rsidR="008C387F" w:rsidRPr="007F7EBF" w:rsidRDefault="00F63295" w:rsidP="008C387F">
      <w:pPr>
        <w:autoSpaceDE w:val="0"/>
        <w:autoSpaceDN w:val="0"/>
        <w:adjustRightInd w:val="0"/>
        <w:rPr>
          <w:bCs/>
          <w:i/>
          <w:iCs/>
          <w:color w:val="0000FF"/>
          <w:sz w:val="22"/>
          <w:szCs w:val="22"/>
        </w:rPr>
      </w:pPr>
      <w:r>
        <w:rPr>
          <w:sz w:val="22"/>
          <w:szCs w:val="22"/>
        </w:rPr>
        <w:t>Anche l’a</w:t>
      </w:r>
      <w:r w:rsidR="00D147EC">
        <w:rPr>
          <w:sz w:val="22"/>
          <w:szCs w:val="22"/>
        </w:rPr>
        <w:t xml:space="preserve">ttuale sistema </w:t>
      </w:r>
      <w:r>
        <w:rPr>
          <w:sz w:val="22"/>
          <w:szCs w:val="22"/>
        </w:rPr>
        <w:t>process</w:t>
      </w:r>
      <w:r w:rsidR="00D147EC">
        <w:rPr>
          <w:sz w:val="22"/>
          <w:szCs w:val="22"/>
        </w:rPr>
        <w:t xml:space="preserve">uale conferma che, senza spiegazioni sociali della funzione tributaria, le sue singole articolazioni, come questa, si stratificano in modo casuale, subendo la forza d’inerzia di assetti precedenti. Nel nostro caso si tratta della vischiosità dei precedenti sistemi di contenzioso amministrativo, forzati in un modello </w:t>
      </w:r>
      <w:r w:rsidR="003B5695" w:rsidRPr="007F7EBF">
        <w:rPr>
          <w:sz w:val="22"/>
          <w:szCs w:val="22"/>
        </w:rPr>
        <w:t xml:space="preserve"> </w:t>
      </w:r>
      <w:r w:rsidR="003B5695" w:rsidRPr="007F7EBF">
        <w:rPr>
          <w:sz w:val="22"/>
          <w:szCs w:val="22"/>
        </w:rPr>
        <w:lastRenderedPageBreak/>
        <w:t>giurisdizional</w:t>
      </w:r>
      <w:r w:rsidR="00D147EC">
        <w:rPr>
          <w:sz w:val="22"/>
          <w:szCs w:val="22"/>
        </w:rPr>
        <w:t>e con la riforma tributaria del 1973</w:t>
      </w:r>
      <w:r w:rsidR="00822F9C">
        <w:rPr>
          <w:sz w:val="22"/>
          <w:szCs w:val="22"/>
        </w:rPr>
        <w:t xml:space="preserve"> (</w:t>
      </w:r>
      <w:r w:rsidR="003B5695" w:rsidRPr="007F7EBF">
        <w:rPr>
          <w:rStyle w:val="Rimandonotaapidipagina"/>
          <w:sz w:val="22"/>
          <w:szCs w:val="22"/>
        </w:rPr>
        <w:footnoteReference w:id="818"/>
      </w:r>
      <w:r w:rsidR="00822F9C">
        <w:rPr>
          <w:sz w:val="22"/>
          <w:szCs w:val="22"/>
        </w:rPr>
        <w:t>)</w:t>
      </w:r>
      <w:r w:rsidR="008A4E7F" w:rsidRPr="007F7EBF">
        <w:rPr>
          <w:sz w:val="22"/>
          <w:szCs w:val="22"/>
        </w:rPr>
        <w:t>.</w:t>
      </w:r>
      <w:r w:rsidR="00D147EC">
        <w:rPr>
          <w:sz w:val="22"/>
          <w:szCs w:val="22"/>
        </w:rPr>
        <w:t xml:space="preserve"> Anche questo profilo conferma l’ingenua fiducia in u</w:t>
      </w:r>
      <w:r w:rsidR="00D147EC" w:rsidRPr="007F7EBF">
        <w:rPr>
          <w:bCs/>
          <w:sz w:val="22"/>
          <w:szCs w:val="22"/>
        </w:rPr>
        <w:t>na generalizzata determinazione contabile de</w:t>
      </w:r>
      <w:r w:rsidR="00D147EC">
        <w:rPr>
          <w:bCs/>
          <w:sz w:val="22"/>
          <w:szCs w:val="22"/>
        </w:rPr>
        <w:t>gli imponibili, che ci accompagna dal par.3.13 e dal par.6.4 sull’abolizione del contenzioso amministrativo</w:t>
      </w:r>
      <w:r w:rsidR="00D147EC" w:rsidRPr="007F7EBF">
        <w:rPr>
          <w:sz w:val="22"/>
          <w:szCs w:val="22"/>
        </w:rPr>
        <w:t xml:space="preserve">. </w:t>
      </w:r>
      <w:r w:rsidR="00D147EC">
        <w:rPr>
          <w:sz w:val="22"/>
          <w:szCs w:val="22"/>
        </w:rPr>
        <w:t xml:space="preserve">Visto che nel 1971, anche il processo amministrativo era in fase di avvio, </w:t>
      </w:r>
      <w:r w:rsidR="00F8112A">
        <w:rPr>
          <w:sz w:val="22"/>
          <w:szCs w:val="22"/>
        </w:rPr>
        <w:t xml:space="preserve">il modello per un processo “seriale” era solo quello </w:t>
      </w:r>
      <w:r w:rsidR="00A81AFB" w:rsidRPr="007F7EBF">
        <w:rPr>
          <w:sz w:val="22"/>
          <w:szCs w:val="22"/>
        </w:rPr>
        <w:t>civile</w:t>
      </w:r>
      <w:r w:rsidR="00F8112A">
        <w:rPr>
          <w:sz w:val="22"/>
          <w:szCs w:val="22"/>
        </w:rPr>
        <w:t>, con tutti gli equivoci che ciò comporta per un processo di impugnazione relativo a una funzione n</w:t>
      </w:r>
      <w:r>
        <w:rPr>
          <w:sz w:val="22"/>
          <w:szCs w:val="22"/>
        </w:rPr>
        <w:t>on giurisdizionale</w:t>
      </w:r>
      <w:r w:rsidR="00F8112A">
        <w:rPr>
          <w:sz w:val="22"/>
          <w:szCs w:val="22"/>
        </w:rPr>
        <w:t xml:space="preserve">, </w:t>
      </w:r>
      <w:r>
        <w:rPr>
          <w:sz w:val="22"/>
          <w:szCs w:val="22"/>
        </w:rPr>
        <w:t>come indicato al par.1.3</w:t>
      </w:r>
      <w:r w:rsidR="00F8112A">
        <w:rPr>
          <w:sz w:val="22"/>
          <w:szCs w:val="22"/>
        </w:rPr>
        <w:t>.</w:t>
      </w:r>
      <w:r w:rsidR="006D21BA" w:rsidRPr="007F7EBF">
        <w:rPr>
          <w:sz w:val="22"/>
          <w:szCs w:val="22"/>
        </w:rPr>
        <w:t xml:space="preserve"> </w:t>
      </w:r>
    </w:p>
    <w:p w14:paraId="242FC309" w14:textId="77777777" w:rsidR="007C404F" w:rsidRPr="007F7EBF" w:rsidRDefault="007C404F" w:rsidP="007C404F">
      <w:pPr>
        <w:pStyle w:val="tit23"/>
        <w:ind w:left="6464" w:right="-1361" w:firstLine="0"/>
        <w:jc w:val="left"/>
        <w:rPr>
          <w:bCs/>
          <w:i/>
          <w:iCs/>
          <w:color w:val="0000FF"/>
          <w:lang w:val="it-IT"/>
        </w:rPr>
      </w:pPr>
      <w:r w:rsidRPr="007F7EBF">
        <w:rPr>
          <w:bCs/>
          <w:i/>
          <w:iCs/>
          <w:color w:val="0000FF"/>
          <w:lang w:val="it-IT"/>
        </w:rPr>
        <w:t xml:space="preserve">Indipendenza, </w:t>
      </w:r>
      <w:r w:rsidR="008E43BF" w:rsidRPr="007F7EBF">
        <w:rPr>
          <w:bCs/>
          <w:i/>
          <w:iCs/>
          <w:color w:val="0000FF"/>
          <w:lang w:val="it-IT"/>
        </w:rPr>
        <w:t>e autogoverno</w:t>
      </w:r>
      <w:r w:rsidR="00E54872" w:rsidRPr="007F7EBF">
        <w:rPr>
          <w:bCs/>
          <w:i/>
          <w:iCs/>
          <w:color w:val="0000FF"/>
          <w:lang w:val="it-IT"/>
        </w:rPr>
        <w:t xml:space="preserve"> e assenza di preparazione nel settore</w:t>
      </w:r>
    </w:p>
    <w:p w14:paraId="31F5605B" w14:textId="043A30E0" w:rsidR="008E43BF" w:rsidRPr="007F7EBF" w:rsidRDefault="00F8112A" w:rsidP="008E43BF">
      <w:pPr>
        <w:autoSpaceDE w:val="0"/>
        <w:autoSpaceDN w:val="0"/>
        <w:adjustRightInd w:val="0"/>
        <w:rPr>
          <w:sz w:val="22"/>
          <w:szCs w:val="22"/>
        </w:rPr>
      </w:pPr>
      <w:r>
        <w:rPr>
          <w:sz w:val="22"/>
          <w:szCs w:val="22"/>
        </w:rPr>
        <w:t xml:space="preserve">L’inserimento di una fase giurisdizionale in senso procedurale, su una funzione non giurisdizionale, come quella tributaria, prese le mosse dall’indipendenza rispetto </w:t>
      </w:r>
      <w:r w:rsidR="000A79F6" w:rsidRPr="007F7EBF">
        <w:rPr>
          <w:sz w:val="22"/>
          <w:szCs w:val="22"/>
        </w:rPr>
        <w:t>alle parti</w:t>
      </w:r>
      <w:r w:rsidR="007262D7">
        <w:rPr>
          <w:sz w:val="22"/>
          <w:szCs w:val="22"/>
        </w:rPr>
        <w:t xml:space="preserve">; essa fu </w:t>
      </w:r>
      <w:r w:rsidR="00DB5241" w:rsidRPr="007F7EBF">
        <w:rPr>
          <w:sz w:val="22"/>
          <w:szCs w:val="22"/>
        </w:rPr>
        <w:t>rafforzata</w:t>
      </w:r>
      <w:r>
        <w:rPr>
          <w:sz w:val="22"/>
          <w:szCs w:val="22"/>
        </w:rPr>
        <w:t xml:space="preserve"> </w:t>
      </w:r>
      <w:r w:rsidR="00E54872" w:rsidRPr="007F7EBF">
        <w:rPr>
          <w:sz w:val="22"/>
          <w:szCs w:val="22"/>
        </w:rPr>
        <w:t xml:space="preserve">fino a sancirla </w:t>
      </w:r>
      <w:r w:rsidR="007262D7">
        <w:rPr>
          <w:sz w:val="22"/>
          <w:szCs w:val="22"/>
        </w:rPr>
        <w:t xml:space="preserve">(1992) </w:t>
      </w:r>
      <w:r w:rsidR="00E54872" w:rsidRPr="007F7EBF">
        <w:rPr>
          <w:sz w:val="22"/>
          <w:szCs w:val="22"/>
        </w:rPr>
        <w:t>con u</w:t>
      </w:r>
      <w:r w:rsidR="008E43BF" w:rsidRPr="007F7EBF">
        <w:rPr>
          <w:sz w:val="22"/>
          <w:szCs w:val="22"/>
        </w:rPr>
        <w:t>n organo elettivo di autogoverno</w:t>
      </w:r>
      <w:r w:rsidR="00AF24B3" w:rsidRPr="007F7EBF">
        <w:rPr>
          <w:sz w:val="22"/>
          <w:szCs w:val="22"/>
        </w:rPr>
        <w:t xml:space="preserve"> </w:t>
      </w:r>
      <w:r w:rsidR="008E43BF" w:rsidRPr="007F7EBF">
        <w:rPr>
          <w:sz w:val="22"/>
          <w:szCs w:val="22"/>
        </w:rPr>
        <w:t>(</w:t>
      </w:r>
      <w:r w:rsidR="000A79F6" w:rsidRPr="007F7EBF">
        <w:rPr>
          <w:rStyle w:val="Rimandonotaapidipagina"/>
          <w:sz w:val="22"/>
          <w:szCs w:val="22"/>
        </w:rPr>
        <w:footnoteReference w:id="819"/>
      </w:r>
      <w:r w:rsidR="00711AD2" w:rsidRPr="007F7EBF">
        <w:rPr>
          <w:sz w:val="22"/>
          <w:szCs w:val="22"/>
        </w:rPr>
        <w:t>)</w:t>
      </w:r>
      <w:r w:rsidR="00E54872" w:rsidRPr="007F7EBF">
        <w:rPr>
          <w:sz w:val="22"/>
          <w:szCs w:val="22"/>
        </w:rPr>
        <w:t xml:space="preserve"> e notevoli incompatibilità rispetto ad altr</w:t>
      </w:r>
      <w:r w:rsidR="001D6F8B">
        <w:rPr>
          <w:sz w:val="22"/>
          <w:szCs w:val="22"/>
        </w:rPr>
        <w:t xml:space="preserve">e occupazioni </w:t>
      </w:r>
      <w:r w:rsidR="00E54872" w:rsidRPr="007F7EBF">
        <w:rPr>
          <w:sz w:val="22"/>
          <w:szCs w:val="22"/>
        </w:rPr>
        <w:t>in campo tributario</w:t>
      </w:r>
      <w:r w:rsidR="00190966">
        <w:rPr>
          <w:sz w:val="22"/>
          <w:szCs w:val="22"/>
        </w:rPr>
        <w:t>,</w:t>
      </w:r>
      <w:r w:rsidR="00190966">
        <w:rPr>
          <w:bCs/>
          <w:sz w:val="22"/>
          <w:szCs w:val="22"/>
        </w:rPr>
        <w:t xml:space="preserve"> per evitare conflitti d’interesse, di fatto a vantaggio dei contribuenti.</w:t>
      </w:r>
      <w:r w:rsidR="00190966">
        <w:rPr>
          <w:sz w:val="22"/>
          <w:szCs w:val="22"/>
        </w:rPr>
        <w:t xml:space="preserve"> </w:t>
      </w:r>
      <w:r w:rsidR="001D6F8B">
        <w:rPr>
          <w:sz w:val="22"/>
          <w:szCs w:val="22"/>
        </w:rPr>
        <w:t>(</w:t>
      </w:r>
      <w:r w:rsidR="00E54872" w:rsidRPr="007F7EBF">
        <w:rPr>
          <w:rStyle w:val="Rimandonotaapidipagina"/>
          <w:sz w:val="22"/>
          <w:szCs w:val="22"/>
        </w:rPr>
        <w:footnoteReference w:id="820"/>
      </w:r>
      <w:r w:rsidR="001D6F8B">
        <w:rPr>
          <w:sz w:val="22"/>
          <w:szCs w:val="22"/>
        </w:rPr>
        <w:t>)</w:t>
      </w:r>
      <w:r w:rsidR="00E54872" w:rsidRPr="007F7EBF">
        <w:rPr>
          <w:sz w:val="22"/>
          <w:szCs w:val="22"/>
        </w:rPr>
        <w:t>.</w:t>
      </w:r>
      <w:r>
        <w:rPr>
          <w:sz w:val="22"/>
          <w:szCs w:val="22"/>
        </w:rPr>
        <w:t xml:space="preserve"> L</w:t>
      </w:r>
      <w:r w:rsidR="00E717AA" w:rsidRPr="007F7EBF">
        <w:rPr>
          <w:sz w:val="22"/>
          <w:szCs w:val="22"/>
        </w:rPr>
        <w:t xml:space="preserve">’indipendenza </w:t>
      </w:r>
      <w:r w:rsidR="00E54872" w:rsidRPr="007F7EBF">
        <w:rPr>
          <w:bCs/>
          <w:sz w:val="22"/>
          <w:szCs w:val="22"/>
        </w:rPr>
        <w:t xml:space="preserve">non comporta </w:t>
      </w:r>
      <w:r w:rsidR="00227585" w:rsidRPr="007F7EBF">
        <w:rPr>
          <w:bCs/>
          <w:sz w:val="22"/>
          <w:szCs w:val="22"/>
        </w:rPr>
        <w:t xml:space="preserve"> </w:t>
      </w:r>
      <w:r>
        <w:rPr>
          <w:bCs/>
          <w:sz w:val="22"/>
          <w:szCs w:val="22"/>
        </w:rPr>
        <w:t xml:space="preserve">però </w:t>
      </w:r>
      <w:r w:rsidR="00E54872" w:rsidRPr="007F7EBF">
        <w:rPr>
          <w:bCs/>
          <w:sz w:val="22"/>
          <w:szCs w:val="22"/>
        </w:rPr>
        <w:t xml:space="preserve">meccanicamente familiarità </w:t>
      </w:r>
      <w:r w:rsidR="00E717AA">
        <w:rPr>
          <w:bCs/>
          <w:sz w:val="22"/>
          <w:szCs w:val="22"/>
        </w:rPr>
        <w:t xml:space="preserve">con la </w:t>
      </w:r>
      <w:r w:rsidR="00190966">
        <w:rPr>
          <w:bCs/>
          <w:sz w:val="22"/>
          <w:szCs w:val="22"/>
        </w:rPr>
        <w:lastRenderedPageBreak/>
        <w:t>materia</w:t>
      </w:r>
      <w:r w:rsidR="00E717AA">
        <w:rPr>
          <w:bCs/>
          <w:sz w:val="22"/>
          <w:szCs w:val="22"/>
        </w:rPr>
        <w:t xml:space="preserve"> </w:t>
      </w:r>
      <w:r w:rsidR="00F63295">
        <w:rPr>
          <w:bCs/>
          <w:sz w:val="22"/>
          <w:szCs w:val="22"/>
        </w:rPr>
        <w:t xml:space="preserve">da </w:t>
      </w:r>
      <w:r w:rsidR="00190966">
        <w:rPr>
          <w:bCs/>
          <w:sz w:val="22"/>
          <w:szCs w:val="22"/>
        </w:rPr>
        <w:t>trattare</w:t>
      </w:r>
      <w:r w:rsidR="00F63295">
        <w:rPr>
          <w:bCs/>
          <w:sz w:val="22"/>
          <w:szCs w:val="22"/>
        </w:rPr>
        <w:t xml:space="preserve">, nel nostro caso la </w:t>
      </w:r>
      <w:r w:rsidR="00E717AA">
        <w:rPr>
          <w:bCs/>
          <w:sz w:val="22"/>
          <w:szCs w:val="22"/>
        </w:rPr>
        <w:t>determinazione degli imponibili</w:t>
      </w:r>
      <w:r>
        <w:rPr>
          <w:bCs/>
          <w:sz w:val="22"/>
          <w:szCs w:val="22"/>
        </w:rPr>
        <w:t>, specificando le astrazioni economiche di cui al par.1.8</w:t>
      </w:r>
      <w:r w:rsidR="00A81AFB" w:rsidRPr="007F7EBF">
        <w:rPr>
          <w:sz w:val="22"/>
          <w:szCs w:val="22"/>
        </w:rPr>
        <w:t xml:space="preserve">. </w:t>
      </w:r>
      <w:r>
        <w:rPr>
          <w:sz w:val="22"/>
          <w:szCs w:val="22"/>
        </w:rPr>
        <w:t xml:space="preserve">Il </w:t>
      </w:r>
      <w:r w:rsidR="00B5291B" w:rsidRPr="007F7EBF">
        <w:rPr>
          <w:sz w:val="22"/>
          <w:szCs w:val="22"/>
        </w:rPr>
        <w:t>problema</w:t>
      </w:r>
      <w:r>
        <w:rPr>
          <w:sz w:val="22"/>
          <w:szCs w:val="22"/>
        </w:rPr>
        <w:t xml:space="preserve"> si aggrava con un elevato numero di processi, dovuto alla </w:t>
      </w:r>
      <w:r w:rsidR="00A81AFB" w:rsidRPr="007F7EBF">
        <w:rPr>
          <w:sz w:val="22"/>
          <w:szCs w:val="22"/>
        </w:rPr>
        <w:t xml:space="preserve">frequenza con cui </w:t>
      </w:r>
      <w:r w:rsidR="000D7C15">
        <w:rPr>
          <w:sz w:val="22"/>
          <w:szCs w:val="22"/>
        </w:rPr>
        <w:t xml:space="preserve">l’attività </w:t>
      </w:r>
      <w:r w:rsidR="00DB55C9">
        <w:rPr>
          <w:sz w:val="22"/>
          <w:szCs w:val="22"/>
        </w:rPr>
        <w:t xml:space="preserve">amministrativa tributaria </w:t>
      </w:r>
      <w:r w:rsidR="0086178F">
        <w:rPr>
          <w:sz w:val="22"/>
          <w:szCs w:val="22"/>
        </w:rPr>
        <w:t>viene trasferita al giudice, per i circoli viziosi descritti al par.5.3</w:t>
      </w:r>
      <w:r w:rsidR="00227585" w:rsidRPr="007F7EBF">
        <w:rPr>
          <w:sz w:val="22"/>
          <w:szCs w:val="22"/>
        </w:rPr>
        <w:t xml:space="preserve">. </w:t>
      </w:r>
    </w:p>
    <w:p w14:paraId="2D7E5D46" w14:textId="77777777" w:rsidR="008E43BF" w:rsidRPr="007F7EBF" w:rsidRDefault="008E43BF" w:rsidP="008E43BF">
      <w:pPr>
        <w:pStyle w:val="tit23"/>
        <w:ind w:left="6464" w:right="-1361" w:firstLine="0"/>
        <w:jc w:val="left"/>
        <w:rPr>
          <w:bCs/>
          <w:i/>
          <w:iCs/>
          <w:color w:val="0000FF"/>
          <w:lang w:val="it-IT"/>
        </w:rPr>
      </w:pPr>
      <w:r w:rsidRPr="007F7EBF">
        <w:rPr>
          <w:bCs/>
          <w:i/>
          <w:iCs/>
          <w:color w:val="0000FF"/>
          <w:lang w:val="it-IT"/>
        </w:rPr>
        <w:t>Formalismo nel reclutamento</w:t>
      </w:r>
      <w:r w:rsidR="00227585" w:rsidRPr="007F7EBF">
        <w:rPr>
          <w:bCs/>
          <w:i/>
          <w:iCs/>
          <w:color w:val="0000FF"/>
          <w:lang w:val="it-IT"/>
        </w:rPr>
        <w:t xml:space="preserve"> e irrilevanza di preparazione tributaria</w:t>
      </w:r>
      <w:r w:rsidR="00C91E15" w:rsidRPr="007F7EBF">
        <w:rPr>
          <w:bCs/>
          <w:i/>
          <w:iCs/>
          <w:color w:val="0000FF"/>
          <w:lang w:val="it-IT"/>
        </w:rPr>
        <w:t xml:space="preserve"> ed eterogeneità</w:t>
      </w:r>
    </w:p>
    <w:p w14:paraId="63CD1494" w14:textId="32AB8042" w:rsidR="00A81AFB" w:rsidRPr="00190966" w:rsidRDefault="007F0FE1" w:rsidP="00A81AFB">
      <w:pPr>
        <w:autoSpaceDE w:val="0"/>
        <w:autoSpaceDN w:val="0"/>
        <w:adjustRightInd w:val="0"/>
        <w:rPr>
          <w:bCs/>
          <w:sz w:val="22"/>
          <w:szCs w:val="22"/>
        </w:rPr>
      </w:pPr>
      <w:r>
        <w:rPr>
          <w:sz w:val="22"/>
          <w:szCs w:val="22"/>
        </w:rPr>
        <w:t>I</w:t>
      </w:r>
      <w:r w:rsidR="00E717AA">
        <w:rPr>
          <w:sz w:val="22"/>
          <w:szCs w:val="22"/>
        </w:rPr>
        <w:t>l</w:t>
      </w:r>
      <w:r w:rsidR="00B5291B" w:rsidRPr="007F7EBF">
        <w:rPr>
          <w:sz w:val="22"/>
          <w:szCs w:val="22"/>
        </w:rPr>
        <w:t xml:space="preserve"> </w:t>
      </w:r>
      <w:r w:rsidR="006342C5" w:rsidRPr="007F7EBF">
        <w:rPr>
          <w:bCs/>
          <w:sz w:val="22"/>
          <w:szCs w:val="22"/>
        </w:rPr>
        <w:t xml:space="preserve">reclutamento </w:t>
      </w:r>
      <w:r w:rsidR="006342C5" w:rsidRPr="007F7EBF">
        <w:rPr>
          <w:sz w:val="22"/>
          <w:szCs w:val="22"/>
        </w:rPr>
        <w:t>dei giudic</w:t>
      </w:r>
      <w:r>
        <w:rPr>
          <w:sz w:val="22"/>
          <w:szCs w:val="22"/>
        </w:rPr>
        <w:t xml:space="preserve">i </w:t>
      </w:r>
      <w:r w:rsidR="00190966">
        <w:rPr>
          <w:sz w:val="22"/>
          <w:szCs w:val="22"/>
        </w:rPr>
        <w:t>trascurava invece la conoscenza della materia,</w:t>
      </w:r>
      <w:r w:rsidR="00E717AA">
        <w:rPr>
          <w:bCs/>
          <w:sz w:val="22"/>
          <w:szCs w:val="22"/>
        </w:rPr>
        <w:t xml:space="preserve"> </w:t>
      </w:r>
      <w:r w:rsidR="00B5291B" w:rsidRPr="007F7EBF">
        <w:rPr>
          <w:bCs/>
          <w:sz w:val="22"/>
          <w:szCs w:val="22"/>
        </w:rPr>
        <w:t>basa</w:t>
      </w:r>
      <w:r w:rsidR="00190966">
        <w:rPr>
          <w:bCs/>
          <w:sz w:val="22"/>
          <w:szCs w:val="22"/>
        </w:rPr>
        <w:t>nd</w:t>
      </w:r>
      <w:r w:rsidR="00E717AA">
        <w:rPr>
          <w:bCs/>
          <w:sz w:val="22"/>
          <w:szCs w:val="22"/>
        </w:rPr>
        <w:t>o</w:t>
      </w:r>
      <w:r w:rsidR="00190966">
        <w:rPr>
          <w:bCs/>
          <w:sz w:val="22"/>
          <w:szCs w:val="22"/>
        </w:rPr>
        <w:t>si</w:t>
      </w:r>
      <w:r w:rsidR="00B5291B" w:rsidRPr="007F7EBF">
        <w:rPr>
          <w:bCs/>
          <w:sz w:val="22"/>
          <w:szCs w:val="22"/>
        </w:rPr>
        <w:t xml:space="preserve"> su </w:t>
      </w:r>
      <w:r w:rsidR="00B5291B" w:rsidRPr="007F7EBF">
        <w:rPr>
          <w:sz w:val="22"/>
          <w:szCs w:val="22"/>
        </w:rPr>
        <w:t xml:space="preserve">qualifiche formali, prestabilite dalla legge, come </w:t>
      </w:r>
      <w:r w:rsidR="006342C5" w:rsidRPr="007F7EBF">
        <w:rPr>
          <w:sz w:val="22"/>
          <w:szCs w:val="22"/>
        </w:rPr>
        <w:t>titoli di studio economico-giuridici</w:t>
      </w:r>
      <w:r w:rsidR="00B5291B" w:rsidRPr="007F7EBF">
        <w:rPr>
          <w:sz w:val="22"/>
          <w:szCs w:val="22"/>
        </w:rPr>
        <w:t xml:space="preserve"> in relazione ed anzianità di servizio in pubblici uffici e assimilat</w:t>
      </w:r>
      <w:r w:rsidR="00190966">
        <w:rPr>
          <w:sz w:val="22"/>
          <w:szCs w:val="22"/>
        </w:rPr>
        <w:t>i (</w:t>
      </w:r>
      <w:r w:rsidR="00BA78B4" w:rsidRPr="007F7EBF">
        <w:rPr>
          <w:rStyle w:val="Rimandonotaapidipagina"/>
          <w:sz w:val="22"/>
          <w:szCs w:val="22"/>
        </w:rPr>
        <w:footnoteReference w:id="821"/>
      </w:r>
      <w:r w:rsidR="00190966">
        <w:rPr>
          <w:sz w:val="22"/>
          <w:szCs w:val="22"/>
        </w:rPr>
        <w:t>)</w:t>
      </w:r>
      <w:r w:rsidR="00B5291B" w:rsidRPr="007F7EBF">
        <w:rPr>
          <w:sz w:val="22"/>
          <w:szCs w:val="22"/>
        </w:rPr>
        <w:t xml:space="preserve">. </w:t>
      </w:r>
      <w:r w:rsidR="000A789A">
        <w:rPr>
          <w:sz w:val="22"/>
          <w:szCs w:val="22"/>
        </w:rPr>
        <w:t>Non c’è alcuna specifica rilevanza dell’esperienza nel settore</w:t>
      </w:r>
      <w:r w:rsidR="00190966">
        <w:rPr>
          <w:sz w:val="22"/>
          <w:szCs w:val="22"/>
        </w:rPr>
        <w:t xml:space="preserve">, </w:t>
      </w:r>
      <w:r w:rsidR="000A789A">
        <w:rPr>
          <w:sz w:val="22"/>
          <w:szCs w:val="22"/>
        </w:rPr>
        <w:t xml:space="preserve">addirittura ostacolata </w:t>
      </w:r>
      <w:r w:rsidR="000A789A" w:rsidRPr="007F7EBF">
        <w:rPr>
          <w:sz w:val="22"/>
          <w:szCs w:val="22"/>
        </w:rPr>
        <w:t>da</w:t>
      </w:r>
      <w:r w:rsidR="000A789A">
        <w:rPr>
          <w:sz w:val="22"/>
          <w:szCs w:val="22"/>
        </w:rPr>
        <w:t xml:space="preserve">lle </w:t>
      </w:r>
      <w:r w:rsidR="00F8112A">
        <w:rPr>
          <w:sz w:val="22"/>
          <w:szCs w:val="22"/>
        </w:rPr>
        <w:t>suddette</w:t>
      </w:r>
      <w:r w:rsidR="000A789A" w:rsidRPr="007F7EBF">
        <w:rPr>
          <w:sz w:val="22"/>
          <w:szCs w:val="22"/>
        </w:rPr>
        <w:t xml:space="preserve"> i</w:t>
      </w:r>
      <w:r w:rsidR="000A789A" w:rsidRPr="007F7EBF">
        <w:rPr>
          <w:bCs/>
          <w:sz w:val="22"/>
          <w:szCs w:val="22"/>
        </w:rPr>
        <w:t>ncompatibilità</w:t>
      </w:r>
      <w:r w:rsidR="00190966">
        <w:rPr>
          <w:bCs/>
          <w:sz w:val="22"/>
          <w:szCs w:val="22"/>
        </w:rPr>
        <w:t>(</w:t>
      </w:r>
      <w:r w:rsidR="00190966" w:rsidRPr="007F7EBF">
        <w:rPr>
          <w:rStyle w:val="Rimandonotaapidipagina"/>
          <w:sz w:val="22"/>
          <w:szCs w:val="22"/>
        </w:rPr>
        <w:footnoteReference w:id="822"/>
      </w:r>
      <w:r w:rsidR="00190966">
        <w:rPr>
          <w:bCs/>
          <w:sz w:val="22"/>
          <w:szCs w:val="22"/>
        </w:rPr>
        <w:t xml:space="preserve">). </w:t>
      </w:r>
      <w:r w:rsidR="000A789A">
        <w:rPr>
          <w:bCs/>
          <w:sz w:val="22"/>
          <w:szCs w:val="22"/>
        </w:rPr>
        <w:t>I</w:t>
      </w:r>
      <w:r w:rsidR="00A81AFB" w:rsidRPr="007F7EBF">
        <w:rPr>
          <w:sz w:val="22"/>
          <w:szCs w:val="22"/>
        </w:rPr>
        <w:t xml:space="preserve">l bagaglio </w:t>
      </w:r>
      <w:r w:rsidR="000A789A">
        <w:rPr>
          <w:sz w:val="22"/>
          <w:szCs w:val="22"/>
        </w:rPr>
        <w:t>tecnico-giuridico</w:t>
      </w:r>
      <w:r w:rsidR="00A81AFB" w:rsidRPr="007F7EBF">
        <w:rPr>
          <w:sz w:val="22"/>
          <w:szCs w:val="22"/>
        </w:rPr>
        <w:t xml:space="preserve"> del giudice </w:t>
      </w:r>
      <w:r w:rsidR="00E717AA">
        <w:rPr>
          <w:sz w:val="22"/>
          <w:szCs w:val="22"/>
        </w:rPr>
        <w:t>consiste</w:t>
      </w:r>
      <w:r w:rsidR="00A81AFB" w:rsidRPr="007F7EBF">
        <w:rPr>
          <w:sz w:val="22"/>
          <w:szCs w:val="22"/>
        </w:rPr>
        <w:t xml:space="preserve"> </w:t>
      </w:r>
      <w:r w:rsidR="000A789A">
        <w:rPr>
          <w:sz w:val="22"/>
          <w:szCs w:val="22"/>
        </w:rPr>
        <w:t xml:space="preserve">quindi </w:t>
      </w:r>
      <w:r w:rsidR="00A81AFB" w:rsidRPr="007F7EBF">
        <w:rPr>
          <w:sz w:val="22"/>
          <w:szCs w:val="22"/>
        </w:rPr>
        <w:t xml:space="preserve">nel migliore dei casi </w:t>
      </w:r>
      <w:r w:rsidR="00E717AA">
        <w:rPr>
          <w:sz w:val="22"/>
          <w:szCs w:val="22"/>
        </w:rPr>
        <w:t>nel</w:t>
      </w:r>
      <w:r w:rsidR="00A81AFB" w:rsidRPr="007F7EBF">
        <w:rPr>
          <w:sz w:val="22"/>
          <w:szCs w:val="22"/>
        </w:rPr>
        <w:t xml:space="preserve">la </w:t>
      </w:r>
      <w:r w:rsidR="00A81AFB" w:rsidRPr="007F7EBF">
        <w:rPr>
          <w:bCs/>
          <w:sz w:val="22"/>
          <w:szCs w:val="22"/>
        </w:rPr>
        <w:t xml:space="preserve">sensibilità generalista </w:t>
      </w:r>
      <w:r w:rsidR="00A81AFB" w:rsidRPr="007F7EBF">
        <w:rPr>
          <w:sz w:val="22"/>
          <w:szCs w:val="22"/>
        </w:rPr>
        <w:t xml:space="preserve">dei </w:t>
      </w:r>
      <w:r w:rsidR="00A81AFB" w:rsidRPr="007F7EBF">
        <w:rPr>
          <w:bCs/>
          <w:sz w:val="22"/>
          <w:szCs w:val="22"/>
        </w:rPr>
        <w:t xml:space="preserve">magistrati ordinari </w:t>
      </w:r>
      <w:r w:rsidR="00A81AFB" w:rsidRPr="007F7EBF">
        <w:rPr>
          <w:sz w:val="22"/>
          <w:szCs w:val="22"/>
        </w:rPr>
        <w:t>, nonché di professionisti (avvocati, etc.)</w:t>
      </w:r>
      <w:r w:rsidR="006F0AE7">
        <w:rPr>
          <w:sz w:val="22"/>
          <w:szCs w:val="22"/>
        </w:rPr>
        <w:t xml:space="preserve"> operanti in altri settori, </w:t>
      </w:r>
      <w:r w:rsidR="00A81AFB" w:rsidRPr="007F7EBF">
        <w:rPr>
          <w:sz w:val="22"/>
          <w:szCs w:val="22"/>
        </w:rPr>
        <w:t>dirigenti e funzionari di enti o amministrazioni pubbliche, spesso in pensione</w:t>
      </w:r>
      <w:r w:rsidR="006F0AE7">
        <w:rPr>
          <w:sz w:val="22"/>
          <w:szCs w:val="22"/>
        </w:rPr>
        <w:t>.</w:t>
      </w:r>
      <w:r w:rsidR="000A789A">
        <w:rPr>
          <w:sz w:val="22"/>
          <w:szCs w:val="22"/>
        </w:rPr>
        <w:t xml:space="preserve"> Questa </w:t>
      </w:r>
      <w:r w:rsidR="00190966">
        <w:rPr>
          <w:sz w:val="22"/>
          <w:szCs w:val="22"/>
        </w:rPr>
        <w:t xml:space="preserve">eterogeneità resta anche durante </w:t>
      </w:r>
      <w:r w:rsidR="00190966">
        <w:rPr>
          <w:bCs/>
          <w:sz w:val="22"/>
          <w:szCs w:val="22"/>
        </w:rPr>
        <w:t>l</w:t>
      </w:r>
      <w:r w:rsidR="000A789A">
        <w:rPr>
          <w:bCs/>
          <w:sz w:val="22"/>
          <w:szCs w:val="22"/>
        </w:rPr>
        <w:t xml:space="preserve">’attività di giudice tributario, </w:t>
      </w:r>
      <w:r w:rsidR="00190966">
        <w:rPr>
          <w:bCs/>
          <w:sz w:val="22"/>
          <w:szCs w:val="22"/>
        </w:rPr>
        <w:t>svolta</w:t>
      </w:r>
      <w:r w:rsidR="000A789A">
        <w:rPr>
          <w:bCs/>
          <w:sz w:val="22"/>
          <w:szCs w:val="22"/>
        </w:rPr>
        <w:t xml:space="preserve"> -come vedremo subito- “part time”</w:t>
      </w:r>
      <w:r w:rsidR="00190966">
        <w:rPr>
          <w:bCs/>
          <w:sz w:val="22"/>
          <w:szCs w:val="22"/>
        </w:rPr>
        <w:t xml:space="preserve"> e</w:t>
      </w:r>
      <w:r w:rsidR="000A789A">
        <w:rPr>
          <w:bCs/>
          <w:sz w:val="22"/>
          <w:szCs w:val="22"/>
        </w:rPr>
        <w:t xml:space="preserve"> parallela ad </w:t>
      </w:r>
      <w:r w:rsidR="00C91E15" w:rsidRPr="007F7EBF">
        <w:rPr>
          <w:bCs/>
          <w:sz w:val="22"/>
          <w:szCs w:val="22"/>
        </w:rPr>
        <w:t>"</w:t>
      </w:r>
      <w:proofErr w:type="spellStart"/>
      <w:r w:rsidR="00C91E15" w:rsidRPr="007F7EBF">
        <w:rPr>
          <w:bCs/>
          <w:sz w:val="22"/>
          <w:szCs w:val="22"/>
        </w:rPr>
        <w:t>altre"attività</w:t>
      </w:r>
      <w:proofErr w:type="spellEnd"/>
      <w:r w:rsidR="00C91E15" w:rsidRPr="007F7EBF">
        <w:rPr>
          <w:bCs/>
          <w:sz w:val="22"/>
          <w:szCs w:val="22"/>
        </w:rPr>
        <w:t xml:space="preserve"> principali</w:t>
      </w:r>
      <w:r w:rsidR="00190966">
        <w:rPr>
          <w:sz w:val="22"/>
          <w:szCs w:val="22"/>
        </w:rPr>
        <w:t>(</w:t>
      </w:r>
      <w:r w:rsidR="00190966" w:rsidRPr="007F7EBF">
        <w:rPr>
          <w:rStyle w:val="Rimandonotaapidipagina"/>
          <w:sz w:val="22"/>
          <w:szCs w:val="22"/>
        </w:rPr>
        <w:footnoteReference w:id="823"/>
      </w:r>
      <w:r w:rsidR="00190966">
        <w:rPr>
          <w:sz w:val="22"/>
          <w:szCs w:val="22"/>
        </w:rPr>
        <w:t>)</w:t>
      </w:r>
      <w:r w:rsidR="00190966">
        <w:rPr>
          <w:bCs/>
          <w:sz w:val="22"/>
          <w:szCs w:val="22"/>
        </w:rPr>
        <w:t xml:space="preserve">. </w:t>
      </w:r>
    </w:p>
    <w:p w14:paraId="4D9B5CEA" w14:textId="77777777" w:rsidR="00A81AFB" w:rsidRPr="007F7EBF" w:rsidRDefault="006F0AE7" w:rsidP="00A81AFB">
      <w:pPr>
        <w:pStyle w:val="tit23"/>
        <w:ind w:left="6464" w:right="-1361" w:firstLine="0"/>
        <w:jc w:val="left"/>
        <w:rPr>
          <w:bCs/>
          <w:i/>
          <w:iCs/>
          <w:color w:val="0000FF"/>
          <w:lang w:val="it-IT"/>
        </w:rPr>
      </w:pPr>
      <w:r>
        <w:rPr>
          <w:bCs/>
          <w:i/>
          <w:iCs/>
          <w:color w:val="0000FF"/>
          <w:lang w:val="it-IT"/>
        </w:rPr>
        <w:lastRenderedPageBreak/>
        <w:t>Impegno e remunerazione</w:t>
      </w:r>
    </w:p>
    <w:p w14:paraId="5CC2E551" w14:textId="692096CF" w:rsidR="008F4DB5" w:rsidRPr="0086178F" w:rsidRDefault="006F0AE7" w:rsidP="008F4DB5">
      <w:pPr>
        <w:autoSpaceDE w:val="0"/>
        <w:autoSpaceDN w:val="0"/>
        <w:adjustRightInd w:val="0"/>
        <w:rPr>
          <w:bCs/>
          <w:i/>
          <w:iCs/>
          <w:color w:val="0000FF"/>
        </w:rPr>
      </w:pPr>
      <w:r>
        <w:rPr>
          <w:sz w:val="22"/>
          <w:szCs w:val="22"/>
        </w:rPr>
        <w:t>L</w:t>
      </w:r>
      <w:r w:rsidR="008F4DB5" w:rsidRPr="007F7EBF">
        <w:rPr>
          <w:sz w:val="22"/>
          <w:szCs w:val="22"/>
        </w:rPr>
        <w:t xml:space="preserve">’impegno consiste in </w:t>
      </w:r>
      <w:r w:rsidR="005317E4" w:rsidRPr="007F7EBF">
        <w:rPr>
          <w:sz w:val="22"/>
          <w:szCs w:val="22"/>
        </w:rPr>
        <w:t xml:space="preserve">un paio di  udienze al mese, più lo studio della causa e la redazione delle sentenze, effettuata a domicilio dopo averle concordate con gli altri giudici; </w:t>
      </w:r>
      <w:r>
        <w:rPr>
          <w:sz w:val="22"/>
          <w:szCs w:val="22"/>
        </w:rPr>
        <w:t xml:space="preserve">è un impegno poco intenso, ma coerente con </w:t>
      </w:r>
      <w:r w:rsidR="005317E4" w:rsidRPr="007F7EBF">
        <w:rPr>
          <w:sz w:val="22"/>
          <w:szCs w:val="22"/>
        </w:rPr>
        <w:t xml:space="preserve">una remunerazione modesta, </w:t>
      </w:r>
      <w:r>
        <w:rPr>
          <w:sz w:val="22"/>
          <w:szCs w:val="22"/>
        </w:rPr>
        <w:t>spesso in</w:t>
      </w:r>
      <w:r w:rsidRPr="007F7EBF">
        <w:rPr>
          <w:sz w:val="22"/>
          <w:szCs w:val="22"/>
        </w:rPr>
        <w:t>adeguata alla complessità dei casi da esaminare</w:t>
      </w:r>
      <w:r>
        <w:rPr>
          <w:sz w:val="22"/>
          <w:szCs w:val="22"/>
        </w:rPr>
        <w:t xml:space="preserve">. La remunerazione è infatti </w:t>
      </w:r>
      <w:r w:rsidRPr="007F7EBF">
        <w:rPr>
          <w:sz w:val="22"/>
          <w:szCs w:val="22"/>
        </w:rPr>
        <w:t>collegata al numero delle sentenze redatte dai singoli giudici e dal collegio</w:t>
      </w:r>
      <w:r>
        <w:rPr>
          <w:sz w:val="22"/>
          <w:szCs w:val="22"/>
        </w:rPr>
        <w:t xml:space="preserve">, ma con questo tipo di remunerazione le controversie comprensibili e “facili” sono le preferite, come quelle </w:t>
      </w:r>
      <w:r w:rsidR="005317E4" w:rsidRPr="007F7EBF">
        <w:rPr>
          <w:sz w:val="22"/>
          <w:szCs w:val="22"/>
        </w:rPr>
        <w:t xml:space="preserve">seriali </w:t>
      </w:r>
      <w:r w:rsidR="00A81AFB" w:rsidRPr="007F7EBF">
        <w:rPr>
          <w:sz w:val="22"/>
          <w:szCs w:val="22"/>
        </w:rPr>
        <w:t>indicate al par.6.10 (</w:t>
      </w:r>
      <w:r w:rsidR="00A81AFB" w:rsidRPr="007F7EBF">
        <w:rPr>
          <w:rStyle w:val="Rimandonotaapidipagina"/>
          <w:sz w:val="22"/>
          <w:szCs w:val="22"/>
        </w:rPr>
        <w:footnoteReference w:id="824"/>
      </w:r>
      <w:r w:rsidR="00A81AFB" w:rsidRPr="007F7EBF">
        <w:rPr>
          <w:sz w:val="22"/>
          <w:szCs w:val="22"/>
        </w:rPr>
        <w:t>)</w:t>
      </w:r>
      <w:r w:rsidR="008F4DB5" w:rsidRPr="007F7EBF">
        <w:rPr>
          <w:sz w:val="22"/>
          <w:szCs w:val="22"/>
        </w:rPr>
        <w:t>.</w:t>
      </w:r>
      <w:r w:rsidR="00392315" w:rsidRPr="007F7EBF">
        <w:rPr>
          <w:bCs/>
          <w:i/>
          <w:iCs/>
          <w:color w:val="0000FF"/>
        </w:rPr>
        <w:t xml:space="preserve"> </w:t>
      </w:r>
      <w:r w:rsidR="008C387F" w:rsidRPr="007F7EBF">
        <w:rPr>
          <w:sz w:val="22"/>
          <w:szCs w:val="22"/>
        </w:rPr>
        <w:t xml:space="preserve">Su queste premesse, una importante </w:t>
      </w:r>
      <w:r w:rsidR="008C387F" w:rsidRPr="007F7EBF">
        <w:rPr>
          <w:bCs/>
          <w:sz w:val="22"/>
          <w:szCs w:val="22"/>
        </w:rPr>
        <w:t xml:space="preserve">preoccupazione </w:t>
      </w:r>
      <w:r w:rsidR="008C387F" w:rsidRPr="007F7EBF">
        <w:rPr>
          <w:sz w:val="22"/>
          <w:szCs w:val="22"/>
        </w:rPr>
        <w:t xml:space="preserve">del giudice è </w:t>
      </w:r>
      <w:r w:rsidR="008C387F" w:rsidRPr="007F7EBF">
        <w:rPr>
          <w:bCs/>
          <w:sz w:val="22"/>
          <w:szCs w:val="22"/>
        </w:rPr>
        <w:t>smaltire rapidamente le sentenze</w:t>
      </w:r>
      <w:r w:rsidR="008F4DB5" w:rsidRPr="007F7EBF">
        <w:rPr>
          <w:bCs/>
          <w:sz w:val="22"/>
          <w:szCs w:val="22"/>
        </w:rPr>
        <w:t xml:space="preserve">, </w:t>
      </w:r>
      <w:r w:rsidR="000A789A">
        <w:rPr>
          <w:bCs/>
          <w:sz w:val="22"/>
          <w:szCs w:val="22"/>
        </w:rPr>
        <w:t xml:space="preserve">il che </w:t>
      </w:r>
      <w:r w:rsidR="008C387F" w:rsidRPr="007F7EBF">
        <w:rPr>
          <w:bCs/>
          <w:sz w:val="22"/>
          <w:szCs w:val="22"/>
        </w:rPr>
        <w:t>accresce l'</w:t>
      </w:r>
      <w:r w:rsidR="008C387F" w:rsidRPr="007F7EBF">
        <w:rPr>
          <w:sz w:val="22"/>
          <w:szCs w:val="22"/>
        </w:rPr>
        <w:t>imprevedibilità del processo</w:t>
      </w:r>
      <w:r w:rsidR="008F4DB5" w:rsidRPr="007F7EBF">
        <w:rPr>
          <w:sz w:val="22"/>
          <w:szCs w:val="22"/>
        </w:rPr>
        <w:t xml:space="preserve">. </w:t>
      </w:r>
    </w:p>
    <w:p w14:paraId="3BE42C78" w14:textId="77777777" w:rsidR="008F4DB5" w:rsidRPr="007F7EBF" w:rsidRDefault="008F4DB5" w:rsidP="008F4DB5">
      <w:pPr>
        <w:pStyle w:val="tit23"/>
        <w:ind w:left="6464" w:right="-1361" w:firstLine="0"/>
        <w:jc w:val="left"/>
        <w:rPr>
          <w:bCs/>
          <w:i/>
          <w:iCs/>
          <w:color w:val="0000FF"/>
          <w:lang w:val="it-IT"/>
        </w:rPr>
      </w:pPr>
      <w:r w:rsidRPr="007F7EBF">
        <w:rPr>
          <w:bCs/>
          <w:i/>
          <w:iCs/>
          <w:color w:val="0000FF"/>
          <w:lang w:val="it-IT"/>
        </w:rPr>
        <w:t xml:space="preserve">Un bilancio </w:t>
      </w:r>
      <w:proofErr w:type="spellStart"/>
      <w:r w:rsidRPr="007F7EBF">
        <w:rPr>
          <w:bCs/>
          <w:i/>
          <w:iCs/>
          <w:color w:val="0000FF"/>
          <w:lang w:val="it-IT"/>
        </w:rPr>
        <w:t>negativo:rinvio</w:t>
      </w:r>
      <w:proofErr w:type="spellEnd"/>
      <w:r w:rsidRPr="007F7EBF">
        <w:rPr>
          <w:bCs/>
          <w:i/>
          <w:iCs/>
          <w:color w:val="0000FF"/>
          <w:lang w:val="it-IT"/>
        </w:rPr>
        <w:t xml:space="preserve"> ai rimedi</w:t>
      </w:r>
    </w:p>
    <w:p w14:paraId="2523455C" w14:textId="23563F6D" w:rsidR="00102AFF" w:rsidRDefault="0094521A" w:rsidP="008E43BF">
      <w:pPr>
        <w:autoSpaceDE w:val="0"/>
        <w:autoSpaceDN w:val="0"/>
        <w:adjustRightInd w:val="0"/>
        <w:rPr>
          <w:sz w:val="22"/>
          <w:szCs w:val="22"/>
        </w:rPr>
      </w:pPr>
      <w:r>
        <w:rPr>
          <w:bCs/>
          <w:sz w:val="22"/>
          <w:szCs w:val="22"/>
        </w:rPr>
        <w:t>Quest’insieme</w:t>
      </w:r>
      <w:r w:rsidR="00190966">
        <w:rPr>
          <w:bCs/>
          <w:sz w:val="22"/>
          <w:szCs w:val="22"/>
        </w:rPr>
        <w:t xml:space="preserve">  aumenta </w:t>
      </w:r>
      <w:r w:rsidR="00190966" w:rsidRPr="007F7EBF">
        <w:rPr>
          <w:sz w:val="22"/>
          <w:szCs w:val="22"/>
        </w:rPr>
        <w:t>lo strutturale personalismo con cui i giudici puntualizzano</w:t>
      </w:r>
      <w:r w:rsidR="00190966">
        <w:rPr>
          <w:sz w:val="22"/>
          <w:szCs w:val="22"/>
        </w:rPr>
        <w:t>, in ciascun caso loro sottoposto, l</w:t>
      </w:r>
      <w:r w:rsidR="00190966" w:rsidRPr="007F7EBF">
        <w:rPr>
          <w:sz w:val="22"/>
          <w:szCs w:val="22"/>
        </w:rPr>
        <w:t xml:space="preserve">e regole e i valori  esistenti nella società, come rilevato </w:t>
      </w:r>
      <w:r w:rsidR="00190966">
        <w:rPr>
          <w:sz w:val="22"/>
          <w:szCs w:val="22"/>
        </w:rPr>
        <w:t>d</w:t>
      </w:r>
      <w:r w:rsidR="00190966" w:rsidRPr="007F7EBF">
        <w:rPr>
          <w:sz w:val="22"/>
          <w:szCs w:val="22"/>
        </w:rPr>
        <w:t>al par.1.3</w:t>
      </w:r>
      <w:r w:rsidR="00190966">
        <w:rPr>
          <w:sz w:val="22"/>
          <w:szCs w:val="22"/>
        </w:rPr>
        <w:t>.</w:t>
      </w:r>
      <w:r>
        <w:rPr>
          <w:sz w:val="22"/>
          <w:szCs w:val="22"/>
        </w:rPr>
        <w:t xml:space="preserve"> </w:t>
      </w:r>
      <w:r w:rsidR="001A37DF">
        <w:t xml:space="preserve">In tale sede abbiamo rilevato infatti che </w:t>
      </w:r>
      <w:r w:rsidR="00251148" w:rsidRPr="007F7EBF">
        <w:t xml:space="preserve">la  funzione giurisdizionale </w:t>
      </w:r>
      <w:r w:rsidR="001A37DF">
        <w:t xml:space="preserve">non è appesantita come le altre funzioni pubbliche dalla scarsità di risorse. Questo aumenta il rischio di </w:t>
      </w:r>
      <w:r w:rsidR="00251148" w:rsidRPr="007F7EBF">
        <w:t>decisioni improvvisate</w:t>
      </w:r>
      <w:r w:rsidR="001A37DF">
        <w:t xml:space="preserve">, dovute anche al disorientamento sociale sulla </w:t>
      </w:r>
      <w:r w:rsidR="00251148" w:rsidRPr="007F7EBF">
        <w:t>funzione tributaria</w:t>
      </w:r>
      <w:r w:rsidR="001A37DF">
        <w:t xml:space="preserve">, filo conduttore del testo. </w:t>
      </w:r>
      <w:r w:rsidR="001A37DF" w:rsidRPr="001A37DF">
        <w:t xml:space="preserve">E’ ben vero che </w:t>
      </w:r>
      <w:r w:rsidR="00102AFF" w:rsidRPr="001A37DF">
        <w:rPr>
          <w:sz w:val="22"/>
          <w:szCs w:val="22"/>
        </w:rPr>
        <w:t>i giudici togati sono</w:t>
      </w:r>
      <w:r w:rsidR="00FB3B86">
        <w:rPr>
          <w:sz w:val="22"/>
          <w:szCs w:val="22"/>
        </w:rPr>
        <w:t xml:space="preserve"> più omogenei</w:t>
      </w:r>
      <w:r w:rsidR="00102AFF" w:rsidRPr="001A37DF">
        <w:rPr>
          <w:sz w:val="22"/>
          <w:szCs w:val="22"/>
        </w:rPr>
        <w:t xml:space="preserve"> rispetto ai giudici laici,</w:t>
      </w:r>
      <w:r w:rsidR="00FB3B86">
        <w:rPr>
          <w:sz w:val="22"/>
          <w:szCs w:val="22"/>
        </w:rPr>
        <w:t xml:space="preserve"> con p</w:t>
      </w:r>
      <w:r w:rsidR="00102AFF" w:rsidRPr="001A37DF">
        <w:rPr>
          <w:sz w:val="22"/>
          <w:szCs w:val="22"/>
        </w:rPr>
        <w:t>ercorso concorsuale e lavorativo</w:t>
      </w:r>
      <w:r w:rsidR="00FB3B86">
        <w:rPr>
          <w:sz w:val="22"/>
          <w:szCs w:val="22"/>
        </w:rPr>
        <w:t xml:space="preserve"> comune</w:t>
      </w:r>
      <w:r w:rsidR="001A37DF" w:rsidRPr="001A37DF">
        <w:rPr>
          <w:sz w:val="22"/>
          <w:szCs w:val="22"/>
        </w:rPr>
        <w:t>.</w:t>
      </w:r>
      <w:r w:rsidR="00102AFF" w:rsidRPr="001A37DF">
        <w:rPr>
          <w:sz w:val="22"/>
          <w:szCs w:val="22"/>
        </w:rPr>
        <w:t xml:space="preserve"> </w:t>
      </w:r>
      <w:r w:rsidR="00FB3B86">
        <w:rPr>
          <w:sz w:val="22"/>
          <w:szCs w:val="22"/>
        </w:rPr>
        <w:t xml:space="preserve">Tuttavia anche per essi </w:t>
      </w:r>
      <w:r w:rsidR="001A37DF" w:rsidRPr="00EF6645">
        <w:rPr>
          <w:sz w:val="22"/>
          <w:szCs w:val="22"/>
        </w:rPr>
        <w:t xml:space="preserve">la commissione tributaria è un luogo di libertà e di varietà rispetto alla routine tipologica dell’incarico istituzionale. </w:t>
      </w:r>
      <w:r w:rsidR="00EF6645" w:rsidRPr="00EF6645">
        <w:rPr>
          <w:sz w:val="22"/>
          <w:szCs w:val="22"/>
        </w:rPr>
        <w:t xml:space="preserve">Potremmo dire che si tratta di una delle valvole di sfogo dello spontaneismo creativo italiano, in veste giurisdizionale. Esso consente infatti di improvvisarsi socialmente utili, per quanto di competenza, e nei limiti del tempo disponibile, facendosi interpreti delle proprie funzioni </w:t>
      </w:r>
      <w:r w:rsidR="00102AFF" w:rsidRPr="00EF6645">
        <w:rPr>
          <w:sz w:val="22"/>
          <w:szCs w:val="22"/>
        </w:rPr>
        <w:t>secondo i propri personali convincimenti</w:t>
      </w:r>
      <w:r w:rsidR="00EF6645" w:rsidRPr="00EF6645">
        <w:rPr>
          <w:sz w:val="22"/>
          <w:szCs w:val="22"/>
        </w:rPr>
        <w:t>, senza essere condizionati dalla serialità degli altri uffici pubblici</w:t>
      </w:r>
      <w:r w:rsidR="00EF6645">
        <w:rPr>
          <w:sz w:val="22"/>
          <w:szCs w:val="22"/>
          <w:highlight w:val="yellow"/>
        </w:rPr>
        <w:t>.</w:t>
      </w:r>
      <w:r w:rsidR="00102AFF">
        <w:rPr>
          <w:sz w:val="22"/>
          <w:szCs w:val="22"/>
        </w:rPr>
        <w:t xml:space="preserve">  </w:t>
      </w:r>
    </w:p>
    <w:p w14:paraId="544726E3" w14:textId="2E2FA1E5" w:rsidR="00E32B8B" w:rsidRPr="007F7EBF" w:rsidRDefault="008F4DB5" w:rsidP="008E43BF">
      <w:pPr>
        <w:autoSpaceDE w:val="0"/>
        <w:autoSpaceDN w:val="0"/>
        <w:adjustRightInd w:val="0"/>
        <w:rPr>
          <w:bCs/>
          <w:i/>
          <w:iCs/>
          <w:color w:val="0000FF"/>
          <w:sz w:val="22"/>
          <w:szCs w:val="22"/>
        </w:rPr>
      </w:pPr>
      <w:r w:rsidRPr="007F7EBF">
        <w:rPr>
          <w:sz w:val="22"/>
          <w:szCs w:val="22"/>
        </w:rPr>
        <w:t xml:space="preserve">La </w:t>
      </w:r>
      <w:proofErr w:type="spellStart"/>
      <w:r w:rsidRPr="007F7EBF">
        <w:rPr>
          <w:sz w:val="22"/>
          <w:szCs w:val="22"/>
        </w:rPr>
        <w:t>giurisdizionalizzazione</w:t>
      </w:r>
      <w:proofErr w:type="spellEnd"/>
      <w:r w:rsidRPr="007F7EBF">
        <w:rPr>
          <w:sz w:val="22"/>
          <w:szCs w:val="22"/>
        </w:rPr>
        <w:t xml:space="preserve"> delle vecchie commissioni amministrative</w:t>
      </w:r>
      <w:r w:rsidR="0086178F">
        <w:rPr>
          <w:sz w:val="22"/>
          <w:szCs w:val="22"/>
        </w:rPr>
        <w:t xml:space="preserve"> è stata quindi un trasformismo che</w:t>
      </w:r>
      <w:r w:rsidRPr="007F7EBF">
        <w:rPr>
          <w:sz w:val="22"/>
          <w:szCs w:val="22"/>
        </w:rPr>
        <w:t xml:space="preserve"> ha costretto u</w:t>
      </w:r>
      <w:r w:rsidR="005317E4" w:rsidRPr="007F7EBF">
        <w:rPr>
          <w:sz w:val="22"/>
          <w:szCs w:val="22"/>
        </w:rPr>
        <w:t xml:space="preserve">n giudice “generalista” ed “onorario”, </w:t>
      </w:r>
      <w:r w:rsidRPr="007F7EBF">
        <w:rPr>
          <w:sz w:val="22"/>
          <w:szCs w:val="22"/>
        </w:rPr>
        <w:t xml:space="preserve">ad avventurarsi su  </w:t>
      </w:r>
      <w:r w:rsidR="0086178F">
        <w:rPr>
          <w:sz w:val="22"/>
          <w:szCs w:val="22"/>
        </w:rPr>
        <w:t xml:space="preserve">temi ormai </w:t>
      </w:r>
      <w:r w:rsidRPr="007F7EBF">
        <w:rPr>
          <w:sz w:val="22"/>
          <w:szCs w:val="22"/>
        </w:rPr>
        <w:t>compless</w:t>
      </w:r>
      <w:r w:rsidR="0086178F">
        <w:rPr>
          <w:sz w:val="22"/>
          <w:szCs w:val="22"/>
        </w:rPr>
        <w:t>i</w:t>
      </w:r>
      <w:r w:rsidRPr="007F7EBF">
        <w:rPr>
          <w:sz w:val="22"/>
          <w:szCs w:val="22"/>
        </w:rPr>
        <w:t xml:space="preserve">, </w:t>
      </w:r>
      <w:r w:rsidR="0086178F">
        <w:rPr>
          <w:sz w:val="22"/>
          <w:szCs w:val="22"/>
        </w:rPr>
        <w:t xml:space="preserve">spesso di notevole </w:t>
      </w:r>
      <w:r w:rsidR="0086178F">
        <w:rPr>
          <w:sz w:val="22"/>
          <w:szCs w:val="22"/>
        </w:rPr>
        <w:lastRenderedPageBreak/>
        <w:t xml:space="preserve">tecnicismo economicistico (si ricordi l’oggetto economico del diritto tributario al par.1.8). </w:t>
      </w:r>
      <w:r w:rsidR="00B877E6">
        <w:rPr>
          <w:sz w:val="22"/>
          <w:szCs w:val="22"/>
        </w:rPr>
        <w:t>Il</w:t>
      </w:r>
      <w:r w:rsidR="005C4DA7" w:rsidRPr="007F7EBF">
        <w:rPr>
          <w:sz w:val="22"/>
          <w:szCs w:val="22"/>
        </w:rPr>
        <w:t xml:space="preserve"> giudice “speciale", </w:t>
      </w:r>
      <w:r w:rsidR="00B877E6">
        <w:rPr>
          <w:sz w:val="22"/>
          <w:szCs w:val="22"/>
        </w:rPr>
        <w:t>nel senso di essere</w:t>
      </w:r>
      <w:r w:rsidR="005C4DA7" w:rsidRPr="007F7EBF">
        <w:rPr>
          <w:sz w:val="22"/>
          <w:szCs w:val="22"/>
        </w:rPr>
        <w:t xml:space="preserve"> dedicato solo alle controversie tributarie, </w:t>
      </w:r>
      <w:r w:rsidR="00B877E6">
        <w:rPr>
          <w:sz w:val="22"/>
          <w:szCs w:val="22"/>
        </w:rPr>
        <w:t>è quindi paradossalmente</w:t>
      </w:r>
      <w:r w:rsidR="005C4DA7" w:rsidRPr="007F7EBF">
        <w:rPr>
          <w:sz w:val="22"/>
          <w:szCs w:val="22"/>
        </w:rPr>
        <w:t xml:space="preserve"> tutt’altro che “</w:t>
      </w:r>
      <w:r w:rsidR="005C4DA7" w:rsidRPr="007F7EBF">
        <w:rPr>
          <w:bCs/>
          <w:sz w:val="22"/>
          <w:szCs w:val="22"/>
        </w:rPr>
        <w:t>specializzato</w:t>
      </w:r>
      <w:r w:rsidR="005C4DA7" w:rsidRPr="007F7EBF">
        <w:rPr>
          <w:sz w:val="22"/>
          <w:szCs w:val="22"/>
        </w:rPr>
        <w:t xml:space="preserve">” </w:t>
      </w:r>
      <w:r w:rsidR="00EE3AF8" w:rsidRPr="007F7EBF">
        <w:rPr>
          <w:sz w:val="22"/>
          <w:szCs w:val="22"/>
        </w:rPr>
        <w:t>nel</w:t>
      </w:r>
      <w:r w:rsidR="005C4DA7" w:rsidRPr="007F7EBF">
        <w:rPr>
          <w:sz w:val="22"/>
          <w:szCs w:val="22"/>
        </w:rPr>
        <w:t xml:space="preserve"> settore</w:t>
      </w:r>
      <w:r w:rsidR="00EF6645">
        <w:rPr>
          <w:sz w:val="22"/>
          <w:szCs w:val="22"/>
        </w:rPr>
        <w:t xml:space="preserve">, ma questo sarebbe irrilevante. E’ molto più grave la dispersione di energie nel discutere, ormai da decenni “chi” debba fare il giudice tributario, anziché riflettere su “cosa” debba fare il giudice tributario. Ne riparleremo </w:t>
      </w:r>
      <w:r w:rsidR="008E43BF" w:rsidRPr="007F7EBF">
        <w:rPr>
          <w:sz w:val="22"/>
          <w:szCs w:val="22"/>
        </w:rPr>
        <w:t xml:space="preserve">al par.6.10, dopo aver descritto il </w:t>
      </w:r>
      <w:r w:rsidR="00B877E6">
        <w:rPr>
          <w:sz w:val="22"/>
          <w:szCs w:val="22"/>
        </w:rPr>
        <w:t>rito processuale al</w:t>
      </w:r>
      <w:r w:rsidR="008E43BF" w:rsidRPr="007F7EBF">
        <w:rPr>
          <w:sz w:val="22"/>
          <w:szCs w:val="22"/>
        </w:rPr>
        <w:t xml:space="preserve"> paragrafo seguente. </w:t>
      </w:r>
    </w:p>
    <w:p w14:paraId="48ABBE10" w14:textId="77777777" w:rsidR="008E43BF" w:rsidRPr="007F7EBF" w:rsidRDefault="006342C5" w:rsidP="008E43BF">
      <w:pPr>
        <w:pStyle w:val="Titolo3"/>
        <w:rPr>
          <w:rFonts w:ascii="Times New Roman" w:hAnsi="Times New Roman"/>
          <w:sz w:val="22"/>
          <w:szCs w:val="22"/>
          <w:lang w:val="it-IT"/>
        </w:rPr>
      </w:pPr>
      <w:bookmarkStart w:id="91" w:name="_Toc63365002"/>
      <w:r w:rsidRPr="007F7EBF">
        <w:rPr>
          <w:rFonts w:ascii="Times New Roman" w:hAnsi="Times New Roman"/>
          <w:sz w:val="22"/>
          <w:szCs w:val="22"/>
        </w:rPr>
        <w:t xml:space="preserve">6.9. </w:t>
      </w:r>
      <w:r w:rsidR="00A7416F" w:rsidRPr="007F7EBF">
        <w:rPr>
          <w:rFonts w:ascii="Times New Roman" w:hAnsi="Times New Roman"/>
          <w:sz w:val="22"/>
          <w:szCs w:val="22"/>
          <w:lang w:val="it-IT"/>
        </w:rPr>
        <w:t>Ispirazione al rito</w:t>
      </w:r>
      <w:r w:rsidR="00A479A9" w:rsidRPr="007F7EBF">
        <w:rPr>
          <w:rFonts w:ascii="Times New Roman" w:hAnsi="Times New Roman"/>
          <w:sz w:val="22"/>
          <w:szCs w:val="22"/>
        </w:rPr>
        <w:t xml:space="preserve"> </w:t>
      </w:r>
      <w:proofErr w:type="spellStart"/>
      <w:r w:rsidR="00A479A9" w:rsidRPr="007F7EBF">
        <w:rPr>
          <w:rFonts w:ascii="Times New Roman" w:hAnsi="Times New Roman"/>
          <w:sz w:val="22"/>
          <w:szCs w:val="22"/>
        </w:rPr>
        <w:t>proce</w:t>
      </w:r>
      <w:r w:rsidR="005953C3" w:rsidRPr="007F7EBF">
        <w:rPr>
          <w:rFonts w:ascii="Times New Roman" w:hAnsi="Times New Roman"/>
          <w:sz w:val="22"/>
          <w:szCs w:val="22"/>
        </w:rPr>
        <w:t>ssualcivilistico</w:t>
      </w:r>
      <w:proofErr w:type="spellEnd"/>
      <w:r w:rsidR="005953C3" w:rsidRPr="007F7EBF">
        <w:rPr>
          <w:rFonts w:ascii="Times New Roman" w:hAnsi="Times New Roman"/>
          <w:sz w:val="22"/>
          <w:szCs w:val="22"/>
        </w:rPr>
        <w:t xml:space="preserve">, </w:t>
      </w:r>
      <w:r w:rsidR="00707D78" w:rsidRPr="007F7EBF">
        <w:rPr>
          <w:rFonts w:ascii="Times New Roman" w:hAnsi="Times New Roman"/>
          <w:sz w:val="22"/>
          <w:szCs w:val="22"/>
        </w:rPr>
        <w:t xml:space="preserve">sostanza </w:t>
      </w:r>
      <w:proofErr w:type="spellStart"/>
      <w:r w:rsidR="00707D78" w:rsidRPr="007F7EBF">
        <w:rPr>
          <w:rFonts w:ascii="Times New Roman" w:hAnsi="Times New Roman"/>
          <w:sz w:val="22"/>
          <w:szCs w:val="22"/>
        </w:rPr>
        <w:t>impugnatoria</w:t>
      </w:r>
      <w:proofErr w:type="spellEnd"/>
      <w:r w:rsidR="00707D78" w:rsidRPr="007F7EBF">
        <w:rPr>
          <w:rFonts w:ascii="Times New Roman" w:hAnsi="Times New Roman"/>
          <w:sz w:val="22"/>
          <w:szCs w:val="22"/>
        </w:rPr>
        <w:t xml:space="preserve"> </w:t>
      </w:r>
      <w:r w:rsidR="005953C3" w:rsidRPr="007F7EBF">
        <w:rPr>
          <w:rFonts w:ascii="Times New Roman" w:hAnsi="Times New Roman"/>
          <w:sz w:val="22"/>
          <w:szCs w:val="22"/>
          <w:lang w:val="it-IT"/>
        </w:rPr>
        <w:t>e rideterminazione del tributo.</w:t>
      </w:r>
      <w:bookmarkEnd w:id="91"/>
    </w:p>
    <w:p w14:paraId="7FA73F5B" w14:textId="77777777" w:rsidR="008E43BF" w:rsidRPr="007F7EBF" w:rsidRDefault="008E43BF" w:rsidP="008E43BF">
      <w:pPr>
        <w:pStyle w:val="tit23"/>
        <w:ind w:left="6464" w:right="-1361" w:firstLine="0"/>
        <w:jc w:val="left"/>
        <w:rPr>
          <w:bCs/>
          <w:i/>
          <w:iCs/>
          <w:color w:val="0000FF"/>
          <w:lang w:val="it-IT"/>
        </w:rPr>
      </w:pPr>
      <w:r w:rsidRPr="007F7EBF">
        <w:rPr>
          <w:bCs/>
          <w:i/>
          <w:iCs/>
          <w:color w:val="0000FF"/>
          <w:lang w:val="it-IT"/>
        </w:rPr>
        <w:t>Ambito applicativo alla generalità dei tributi</w:t>
      </w:r>
    </w:p>
    <w:p w14:paraId="4E615D77" w14:textId="4F4904A8" w:rsidR="00D00020" w:rsidRPr="007F7EBF" w:rsidRDefault="008E43BF" w:rsidP="00821E19">
      <w:pPr>
        <w:autoSpaceDE w:val="0"/>
        <w:autoSpaceDN w:val="0"/>
        <w:adjustRightInd w:val="0"/>
        <w:rPr>
          <w:sz w:val="22"/>
          <w:szCs w:val="22"/>
        </w:rPr>
      </w:pPr>
      <w:r w:rsidRPr="007F7EBF">
        <w:rPr>
          <w:sz w:val="22"/>
          <w:szCs w:val="22"/>
        </w:rPr>
        <w:t>La gi</w:t>
      </w:r>
      <w:r w:rsidR="00891DC8" w:rsidRPr="007F7EBF">
        <w:rPr>
          <w:sz w:val="22"/>
          <w:szCs w:val="22"/>
        </w:rPr>
        <w:t>urisdizione tributaria</w:t>
      </w:r>
      <w:r w:rsidRPr="007F7EBF">
        <w:rPr>
          <w:sz w:val="22"/>
          <w:szCs w:val="22"/>
        </w:rPr>
        <w:t xml:space="preserve"> </w:t>
      </w:r>
      <w:r w:rsidR="005953C3" w:rsidRPr="007F7EBF">
        <w:rPr>
          <w:sz w:val="22"/>
          <w:szCs w:val="22"/>
        </w:rPr>
        <w:t>è “speciale” nel senso di “specifica”</w:t>
      </w:r>
      <w:r w:rsidR="00D5417C" w:rsidRPr="007F7EBF">
        <w:rPr>
          <w:sz w:val="22"/>
          <w:szCs w:val="22"/>
        </w:rPr>
        <w:t xml:space="preserve"> </w:t>
      </w:r>
      <w:r w:rsidR="00513C80">
        <w:rPr>
          <w:sz w:val="22"/>
          <w:szCs w:val="22"/>
        </w:rPr>
        <w:t>sui</w:t>
      </w:r>
      <w:r w:rsidR="005953C3" w:rsidRPr="007F7EBF">
        <w:rPr>
          <w:sz w:val="22"/>
          <w:szCs w:val="22"/>
        </w:rPr>
        <w:t xml:space="preserve"> </w:t>
      </w:r>
      <w:r w:rsidRPr="007F7EBF">
        <w:rPr>
          <w:sz w:val="22"/>
          <w:szCs w:val="22"/>
        </w:rPr>
        <w:t>tribut</w:t>
      </w:r>
      <w:r w:rsidR="00513C80">
        <w:rPr>
          <w:sz w:val="22"/>
          <w:szCs w:val="22"/>
        </w:rPr>
        <w:t>i</w:t>
      </w:r>
      <w:r w:rsidRPr="007F7EBF">
        <w:rPr>
          <w:sz w:val="22"/>
          <w:szCs w:val="22"/>
        </w:rPr>
        <w:t>, identificat</w:t>
      </w:r>
      <w:r w:rsidR="00513C80">
        <w:rPr>
          <w:sz w:val="22"/>
          <w:szCs w:val="22"/>
        </w:rPr>
        <w:t>i</w:t>
      </w:r>
      <w:r w:rsidRPr="007F7EBF">
        <w:rPr>
          <w:sz w:val="22"/>
          <w:szCs w:val="22"/>
        </w:rPr>
        <w:t xml:space="preserve"> nei modi di cui a</w:t>
      </w:r>
      <w:r w:rsidR="005953C3" w:rsidRPr="007F7EBF">
        <w:rPr>
          <w:sz w:val="22"/>
          <w:szCs w:val="22"/>
        </w:rPr>
        <w:t xml:space="preserve">l termine del par.5.1; </w:t>
      </w:r>
      <w:r w:rsidR="00513C80">
        <w:rPr>
          <w:sz w:val="22"/>
          <w:szCs w:val="22"/>
        </w:rPr>
        <w:t xml:space="preserve">è un caso di </w:t>
      </w:r>
      <w:r w:rsidR="00513C80" w:rsidRPr="007F7EBF">
        <w:rPr>
          <w:sz w:val="22"/>
          <w:szCs w:val="22"/>
        </w:rPr>
        <w:t>c.d. “giurisdizione esclusiva”</w:t>
      </w:r>
      <w:r w:rsidR="00513C80">
        <w:rPr>
          <w:sz w:val="22"/>
          <w:szCs w:val="22"/>
        </w:rPr>
        <w:t xml:space="preserve">, con </w:t>
      </w:r>
      <w:r w:rsidRPr="007F7EBF">
        <w:rPr>
          <w:sz w:val="22"/>
          <w:szCs w:val="22"/>
        </w:rPr>
        <w:t xml:space="preserve">tendenza giurisprudenziale ad </w:t>
      </w:r>
      <w:r w:rsidR="00513C80">
        <w:rPr>
          <w:sz w:val="22"/>
          <w:szCs w:val="22"/>
        </w:rPr>
        <w:t xml:space="preserve">una nozione estensiva </w:t>
      </w:r>
      <w:r w:rsidRPr="007F7EBF">
        <w:rPr>
          <w:sz w:val="22"/>
          <w:szCs w:val="22"/>
        </w:rPr>
        <w:t xml:space="preserve"> di tributo,</w:t>
      </w:r>
      <w:r w:rsidR="00513C80">
        <w:rPr>
          <w:sz w:val="22"/>
          <w:szCs w:val="22"/>
        </w:rPr>
        <w:t xml:space="preserve"> considerando tali prestazioni </w:t>
      </w:r>
      <w:r w:rsidRPr="007F7EBF">
        <w:rPr>
          <w:sz w:val="22"/>
          <w:szCs w:val="22"/>
        </w:rPr>
        <w:t>caratterizzate da una imprecisata “coattività”</w:t>
      </w:r>
      <w:r w:rsidR="00513C80">
        <w:rPr>
          <w:sz w:val="22"/>
          <w:szCs w:val="22"/>
        </w:rPr>
        <w:t>; questo anche dove m</w:t>
      </w:r>
      <w:r w:rsidRPr="007F7EBF">
        <w:rPr>
          <w:sz w:val="22"/>
          <w:szCs w:val="22"/>
        </w:rPr>
        <w:t>anca</w:t>
      </w:r>
      <w:r w:rsidR="00513C80">
        <w:rPr>
          <w:sz w:val="22"/>
          <w:szCs w:val="22"/>
        </w:rPr>
        <w:t>no</w:t>
      </w:r>
      <w:r w:rsidRPr="007F7EBF">
        <w:rPr>
          <w:sz w:val="22"/>
          <w:szCs w:val="22"/>
        </w:rPr>
        <w:t xml:space="preserve"> una amministrazione pubblica</w:t>
      </w:r>
      <w:r w:rsidR="00513C80">
        <w:rPr>
          <w:sz w:val="22"/>
          <w:szCs w:val="22"/>
        </w:rPr>
        <w:t xml:space="preserve"> </w:t>
      </w:r>
      <w:r w:rsidRPr="007F7EBF">
        <w:rPr>
          <w:sz w:val="22"/>
          <w:szCs w:val="22"/>
        </w:rPr>
        <w:t xml:space="preserve">ed un atto autoritativo </w:t>
      </w:r>
      <w:r w:rsidR="00513C80">
        <w:rPr>
          <w:sz w:val="22"/>
          <w:szCs w:val="22"/>
        </w:rPr>
        <w:t>(</w:t>
      </w:r>
      <w:r w:rsidR="00513C80" w:rsidRPr="007F7EBF">
        <w:rPr>
          <w:rStyle w:val="Rimandonotaapidipagina"/>
          <w:sz w:val="22"/>
          <w:szCs w:val="22"/>
        </w:rPr>
        <w:footnoteReference w:id="825"/>
      </w:r>
      <w:r w:rsidR="00513C80">
        <w:rPr>
          <w:sz w:val="22"/>
          <w:szCs w:val="22"/>
        </w:rPr>
        <w:t>)</w:t>
      </w:r>
      <w:r w:rsidR="006E4B2A" w:rsidRPr="007F7EBF">
        <w:rPr>
          <w:sz w:val="22"/>
          <w:szCs w:val="22"/>
        </w:rPr>
        <w:t xml:space="preserve">. </w:t>
      </w:r>
      <w:r w:rsidR="00513C80" w:rsidRPr="007F7EBF">
        <w:t xml:space="preserve">Si vede anche sotto </w:t>
      </w:r>
      <w:r w:rsidR="00512988">
        <w:t>il</w:t>
      </w:r>
      <w:r w:rsidR="00513C80" w:rsidRPr="007F7EBF">
        <w:t xml:space="preserve"> profilo</w:t>
      </w:r>
      <w:r w:rsidR="00512988">
        <w:t xml:space="preserve"> della nozione di tribut</w:t>
      </w:r>
      <w:r w:rsidR="00592EE2">
        <w:t xml:space="preserve">o </w:t>
      </w:r>
      <w:r w:rsidR="00513C80" w:rsidRPr="007F7EBF">
        <w:t xml:space="preserve">che la giurisprudenza, come tutte le istituzioni, </w:t>
      </w:r>
      <w:r w:rsidR="00592EE2">
        <w:t xml:space="preserve">gestisce casi, senza </w:t>
      </w:r>
      <w:r w:rsidR="00513C80" w:rsidRPr="007F7EBF">
        <w:t>“</w:t>
      </w:r>
      <w:r w:rsidR="00592EE2">
        <w:t xml:space="preserve">impartire </w:t>
      </w:r>
      <w:r w:rsidR="00513C80" w:rsidRPr="007F7EBF">
        <w:t>insegna</w:t>
      </w:r>
      <w:r w:rsidR="00592EE2">
        <w:t>menti</w:t>
      </w:r>
      <w:r w:rsidR="00513C80" w:rsidRPr="007F7EBF">
        <w:t>”</w:t>
      </w:r>
      <w:r w:rsidR="00512988">
        <w:t xml:space="preserve">. </w:t>
      </w:r>
    </w:p>
    <w:p w14:paraId="084B8A35" w14:textId="1AABA153" w:rsidR="00D00020" w:rsidRPr="007F7EBF" w:rsidRDefault="00D00020" w:rsidP="00D00020">
      <w:pPr>
        <w:pStyle w:val="tit23"/>
        <w:ind w:left="6464" w:right="-1361" w:firstLine="0"/>
        <w:jc w:val="left"/>
        <w:rPr>
          <w:bCs/>
          <w:i/>
          <w:iCs/>
          <w:color w:val="0000FF"/>
          <w:lang w:val="it-IT"/>
        </w:rPr>
      </w:pPr>
      <w:r w:rsidRPr="007F7EBF">
        <w:rPr>
          <w:bCs/>
          <w:i/>
          <w:iCs/>
          <w:color w:val="0000FF"/>
          <w:lang w:val="it-IT"/>
        </w:rPr>
        <w:t xml:space="preserve"> modello civilistico </w:t>
      </w:r>
      <w:r w:rsidR="0086178F">
        <w:rPr>
          <w:bCs/>
          <w:i/>
          <w:iCs/>
          <w:color w:val="0000FF"/>
          <w:lang w:val="it-IT"/>
        </w:rPr>
        <w:t>e “atti impugnabili”</w:t>
      </w:r>
    </w:p>
    <w:p w14:paraId="23B8ED01" w14:textId="14781620" w:rsidR="00D04DAE" w:rsidRPr="007F7EBF" w:rsidRDefault="0086178F" w:rsidP="00D04DAE">
      <w:pPr>
        <w:autoSpaceDE w:val="0"/>
        <w:autoSpaceDN w:val="0"/>
        <w:adjustRightInd w:val="0"/>
        <w:rPr>
          <w:sz w:val="22"/>
          <w:szCs w:val="22"/>
        </w:rPr>
      </w:pPr>
      <w:r>
        <w:rPr>
          <w:sz w:val="22"/>
          <w:szCs w:val="22"/>
        </w:rPr>
        <w:t xml:space="preserve">La già indicata ispirazione al processo civile, nonostante la determinazione dei tributi sia amministrativa, è avvenuta </w:t>
      </w:r>
      <w:r w:rsidR="00592EE2">
        <w:rPr>
          <w:sz w:val="22"/>
          <w:szCs w:val="22"/>
        </w:rPr>
        <w:t>soprattutto nel rito</w:t>
      </w:r>
      <w:r w:rsidR="00357D1B">
        <w:rPr>
          <w:sz w:val="22"/>
          <w:szCs w:val="22"/>
        </w:rPr>
        <w:t xml:space="preserve"> (</w:t>
      </w:r>
      <w:r w:rsidR="00357D1B" w:rsidRPr="007F7EBF">
        <w:rPr>
          <w:rStyle w:val="Rimandonotaapidipagina"/>
          <w:sz w:val="22"/>
          <w:szCs w:val="22"/>
        </w:rPr>
        <w:footnoteReference w:id="826"/>
      </w:r>
      <w:r w:rsidR="00357D1B">
        <w:rPr>
          <w:sz w:val="22"/>
          <w:szCs w:val="22"/>
        </w:rPr>
        <w:t>)</w:t>
      </w:r>
      <w:r w:rsidR="00592EE2">
        <w:rPr>
          <w:sz w:val="22"/>
          <w:szCs w:val="22"/>
        </w:rPr>
        <w:t xml:space="preserve">, la cui </w:t>
      </w:r>
      <w:r w:rsidR="00357D1B">
        <w:rPr>
          <w:sz w:val="22"/>
          <w:szCs w:val="22"/>
        </w:rPr>
        <w:t>farraginosità</w:t>
      </w:r>
      <w:r w:rsidR="00592EE2">
        <w:rPr>
          <w:sz w:val="22"/>
          <w:szCs w:val="22"/>
        </w:rPr>
        <w:t xml:space="preserve"> ne</w:t>
      </w:r>
      <w:r>
        <w:rPr>
          <w:sz w:val="22"/>
          <w:szCs w:val="22"/>
        </w:rPr>
        <w:t xml:space="preserve"> lascia però impregiudicata </w:t>
      </w:r>
      <w:r w:rsidR="00AD240F" w:rsidRPr="007F7EBF">
        <w:rPr>
          <w:bCs/>
          <w:sz w:val="22"/>
          <w:szCs w:val="22"/>
        </w:rPr>
        <w:t>la sbrigatività</w:t>
      </w:r>
      <w:r w:rsidR="00592EE2">
        <w:rPr>
          <w:bCs/>
          <w:sz w:val="22"/>
          <w:szCs w:val="22"/>
        </w:rPr>
        <w:t xml:space="preserve"> di cui al prossimo paragrafo</w:t>
      </w:r>
      <w:r>
        <w:rPr>
          <w:bCs/>
          <w:sz w:val="22"/>
          <w:szCs w:val="22"/>
        </w:rPr>
        <w:t xml:space="preserve">. Resta tuttavia evidente, </w:t>
      </w:r>
      <w:r w:rsidR="00F532DF">
        <w:rPr>
          <w:sz w:val="22"/>
          <w:szCs w:val="22"/>
        </w:rPr>
        <w:t>r</w:t>
      </w:r>
      <w:r w:rsidR="00513C80">
        <w:rPr>
          <w:sz w:val="22"/>
          <w:szCs w:val="22"/>
        </w:rPr>
        <w:t xml:space="preserve">ispetto al modello </w:t>
      </w:r>
      <w:r w:rsidR="00513C80">
        <w:rPr>
          <w:sz w:val="22"/>
          <w:szCs w:val="22"/>
        </w:rPr>
        <w:lastRenderedPageBreak/>
        <w:t>civilistico</w:t>
      </w:r>
      <w:r w:rsidR="00F532DF">
        <w:rPr>
          <w:sz w:val="22"/>
          <w:szCs w:val="22"/>
        </w:rPr>
        <w:t xml:space="preserve">, la necessità, normale nel </w:t>
      </w:r>
      <w:r w:rsidR="001E2B68" w:rsidRPr="007F7EBF">
        <w:rPr>
          <w:bCs/>
          <w:sz w:val="22"/>
          <w:szCs w:val="22"/>
        </w:rPr>
        <w:t>contesto amministrativistico</w:t>
      </w:r>
      <w:r w:rsidR="00144C5C" w:rsidRPr="007F7EBF">
        <w:rPr>
          <w:bCs/>
          <w:sz w:val="22"/>
          <w:szCs w:val="22"/>
        </w:rPr>
        <w:t>,</w:t>
      </w:r>
      <w:r w:rsidR="001E2B68" w:rsidRPr="007F7EBF">
        <w:rPr>
          <w:bCs/>
          <w:sz w:val="22"/>
          <w:szCs w:val="22"/>
        </w:rPr>
        <w:t xml:space="preserve"> </w:t>
      </w:r>
      <w:r w:rsidR="00F532DF">
        <w:rPr>
          <w:sz w:val="22"/>
          <w:szCs w:val="22"/>
        </w:rPr>
        <w:t xml:space="preserve">che </w:t>
      </w:r>
      <w:r w:rsidR="00AA5737" w:rsidRPr="007F7EBF">
        <w:rPr>
          <w:sz w:val="22"/>
          <w:szCs w:val="22"/>
        </w:rPr>
        <w:t>sia</w:t>
      </w:r>
      <w:r w:rsidR="001E2B68" w:rsidRPr="007F7EBF">
        <w:rPr>
          <w:sz w:val="22"/>
          <w:szCs w:val="22"/>
        </w:rPr>
        <w:t xml:space="preserve"> il privato a rivolgersi al giudice</w:t>
      </w:r>
      <w:r w:rsidR="00F532DF">
        <w:rPr>
          <w:sz w:val="22"/>
          <w:szCs w:val="22"/>
        </w:rPr>
        <w:t xml:space="preserve"> (</w:t>
      </w:r>
      <w:r w:rsidR="00F532DF">
        <w:rPr>
          <w:rStyle w:val="Rimandonotaapidipagina"/>
          <w:sz w:val="22"/>
          <w:szCs w:val="22"/>
        </w:rPr>
        <w:footnoteReference w:id="827"/>
      </w:r>
      <w:r w:rsidR="00F532DF">
        <w:rPr>
          <w:sz w:val="22"/>
          <w:szCs w:val="22"/>
        </w:rPr>
        <w:t>)</w:t>
      </w:r>
      <w:r w:rsidR="0032582D">
        <w:rPr>
          <w:sz w:val="22"/>
          <w:szCs w:val="22"/>
        </w:rPr>
        <w:t xml:space="preserve">, in presenza di </w:t>
      </w:r>
      <w:r w:rsidR="00592EE2">
        <w:rPr>
          <w:sz w:val="22"/>
          <w:szCs w:val="22"/>
        </w:rPr>
        <w:t>determinati “atti impugnabili”</w:t>
      </w:r>
      <w:r w:rsidR="001E2B68" w:rsidRPr="007F7EBF">
        <w:rPr>
          <w:bCs/>
          <w:sz w:val="22"/>
          <w:szCs w:val="22"/>
        </w:rPr>
        <w:t xml:space="preserve"> di determinazione del tributo o </w:t>
      </w:r>
      <w:r w:rsidR="00F532DF">
        <w:rPr>
          <w:bCs/>
          <w:sz w:val="22"/>
          <w:szCs w:val="22"/>
        </w:rPr>
        <w:t xml:space="preserve">irrogazione </w:t>
      </w:r>
      <w:r w:rsidR="001E2B68" w:rsidRPr="007F7EBF">
        <w:rPr>
          <w:bCs/>
          <w:sz w:val="22"/>
          <w:szCs w:val="22"/>
        </w:rPr>
        <w:t>di sanzioni</w:t>
      </w:r>
      <w:r w:rsidR="00592EE2">
        <w:rPr>
          <w:sz w:val="22"/>
          <w:szCs w:val="22"/>
        </w:rPr>
        <w:t>; questi</w:t>
      </w:r>
      <w:r w:rsidR="00F532DF">
        <w:rPr>
          <w:sz w:val="22"/>
          <w:szCs w:val="22"/>
        </w:rPr>
        <w:t xml:space="preserve"> “</w:t>
      </w:r>
      <w:r w:rsidR="001E2B68" w:rsidRPr="007F7EBF">
        <w:rPr>
          <w:sz w:val="22"/>
          <w:szCs w:val="22"/>
        </w:rPr>
        <w:t>atti impugnabili</w:t>
      </w:r>
      <w:r w:rsidR="00F532DF">
        <w:rPr>
          <w:sz w:val="22"/>
          <w:szCs w:val="22"/>
        </w:rPr>
        <w:t>”</w:t>
      </w:r>
      <w:r w:rsidR="00592EE2">
        <w:rPr>
          <w:sz w:val="22"/>
          <w:szCs w:val="22"/>
        </w:rPr>
        <w:t xml:space="preserve"> sono</w:t>
      </w:r>
      <w:r w:rsidR="0032582D">
        <w:rPr>
          <w:sz w:val="22"/>
          <w:szCs w:val="22"/>
        </w:rPr>
        <w:t xml:space="preserve"> </w:t>
      </w:r>
      <w:r w:rsidR="001E2B68" w:rsidRPr="007F7EBF">
        <w:rPr>
          <w:sz w:val="22"/>
          <w:szCs w:val="22"/>
        </w:rPr>
        <w:t>individuati normativamente</w:t>
      </w:r>
      <w:r w:rsidR="00592EE2">
        <w:rPr>
          <w:sz w:val="22"/>
          <w:szCs w:val="22"/>
        </w:rPr>
        <w:t xml:space="preserve">, come </w:t>
      </w:r>
      <w:r w:rsidR="001E2B68" w:rsidRPr="007F7EBF">
        <w:rPr>
          <w:sz w:val="22"/>
          <w:szCs w:val="22"/>
        </w:rPr>
        <w:t>l’avviso di accertamento, l’avviso di liquidazione delle imposte indirette, l’iscrizione a ruolo, l’</w:t>
      </w:r>
      <w:r w:rsidR="00592EE2">
        <w:rPr>
          <w:sz w:val="22"/>
          <w:szCs w:val="22"/>
        </w:rPr>
        <w:t>atto d’</w:t>
      </w:r>
      <w:r w:rsidR="001E2B68" w:rsidRPr="007F7EBF">
        <w:rPr>
          <w:sz w:val="22"/>
          <w:szCs w:val="22"/>
        </w:rPr>
        <w:t>irrogazione di sanzioni</w:t>
      </w:r>
      <w:r w:rsidR="00592EE2">
        <w:rPr>
          <w:sz w:val="22"/>
          <w:szCs w:val="22"/>
        </w:rPr>
        <w:t xml:space="preserve"> </w:t>
      </w:r>
      <w:r w:rsidR="00F62AD0" w:rsidRPr="007F7EBF">
        <w:rPr>
          <w:rStyle w:val="Rimandonotaapidipagina"/>
          <w:sz w:val="22"/>
          <w:szCs w:val="22"/>
        </w:rPr>
        <w:footnoteReference w:id="828"/>
      </w:r>
      <w:r w:rsidR="001E2B68" w:rsidRPr="007F7EBF">
        <w:rPr>
          <w:sz w:val="22"/>
          <w:szCs w:val="22"/>
        </w:rPr>
        <w:t xml:space="preserve"> </w:t>
      </w:r>
      <w:r w:rsidR="00F62AD0">
        <w:rPr>
          <w:sz w:val="22"/>
          <w:szCs w:val="22"/>
        </w:rPr>
        <w:t xml:space="preserve">. </w:t>
      </w:r>
    </w:p>
    <w:p w14:paraId="086917B5" w14:textId="77777777" w:rsidR="00D04DAE" w:rsidRPr="007F7EBF" w:rsidRDefault="00D04DAE" w:rsidP="00D04DAE">
      <w:pPr>
        <w:pStyle w:val="tit23"/>
        <w:ind w:left="6464" w:right="-1361" w:firstLine="0"/>
        <w:jc w:val="left"/>
        <w:rPr>
          <w:bCs/>
          <w:i/>
          <w:iCs/>
          <w:color w:val="0000FF"/>
          <w:lang w:val="it-IT"/>
        </w:rPr>
      </w:pPr>
      <w:r>
        <w:rPr>
          <w:bCs/>
          <w:i/>
          <w:iCs/>
          <w:color w:val="0000FF"/>
          <w:lang w:val="it-IT"/>
        </w:rPr>
        <w:t>Facoltà di impugnazioni anticipate</w:t>
      </w:r>
    </w:p>
    <w:p w14:paraId="4D63650C" w14:textId="7CD81686" w:rsidR="00E000D4" w:rsidRPr="007F7EBF" w:rsidRDefault="00D04DAE" w:rsidP="00E000D4">
      <w:pPr>
        <w:autoSpaceDE w:val="0"/>
        <w:autoSpaceDN w:val="0"/>
        <w:adjustRightInd w:val="0"/>
        <w:rPr>
          <w:sz w:val="22"/>
          <w:szCs w:val="22"/>
        </w:rPr>
      </w:pPr>
      <w:r>
        <w:rPr>
          <w:sz w:val="22"/>
          <w:szCs w:val="22"/>
        </w:rPr>
        <w:t>A</w:t>
      </w:r>
      <w:r w:rsidR="001E2B68" w:rsidRPr="007F7EBF">
        <w:rPr>
          <w:sz w:val="22"/>
          <w:szCs w:val="22"/>
        </w:rPr>
        <w:t>ltri atti, o meri comportamenti,</w:t>
      </w:r>
      <w:r>
        <w:rPr>
          <w:sz w:val="22"/>
          <w:szCs w:val="22"/>
        </w:rPr>
        <w:t xml:space="preserve"> sono privi di tutti i requisiti formali per l’impugnazione, e danno luogo al </w:t>
      </w:r>
      <w:r w:rsidR="001E103B">
        <w:rPr>
          <w:sz w:val="22"/>
          <w:szCs w:val="22"/>
        </w:rPr>
        <w:t>tema generale denominato</w:t>
      </w:r>
      <w:r>
        <w:rPr>
          <w:sz w:val="22"/>
          <w:szCs w:val="22"/>
        </w:rPr>
        <w:t>,</w:t>
      </w:r>
      <w:r w:rsidR="001E103B">
        <w:rPr>
          <w:sz w:val="22"/>
          <w:szCs w:val="22"/>
        </w:rPr>
        <w:t xml:space="preserve"> in materia tributaria </w:t>
      </w:r>
      <w:r w:rsidR="001E2B68" w:rsidRPr="001E103B">
        <w:rPr>
          <w:bCs/>
          <w:i/>
          <w:iCs/>
          <w:sz w:val="22"/>
          <w:szCs w:val="22"/>
        </w:rPr>
        <w:t xml:space="preserve">impugnazione </w:t>
      </w:r>
      <w:r w:rsidR="001E103B" w:rsidRPr="001E103B">
        <w:rPr>
          <w:bCs/>
          <w:i/>
          <w:iCs/>
          <w:sz w:val="22"/>
          <w:szCs w:val="22"/>
        </w:rPr>
        <w:t xml:space="preserve"> </w:t>
      </w:r>
      <w:r w:rsidR="001E103B">
        <w:rPr>
          <w:bCs/>
          <w:i/>
          <w:iCs/>
          <w:sz w:val="22"/>
          <w:szCs w:val="22"/>
        </w:rPr>
        <w:t>facoltativa</w:t>
      </w:r>
      <w:r w:rsidR="001E103B">
        <w:rPr>
          <w:bCs/>
          <w:sz w:val="22"/>
          <w:szCs w:val="22"/>
        </w:rPr>
        <w:t xml:space="preserve"> </w:t>
      </w:r>
      <w:r>
        <w:rPr>
          <w:sz w:val="22"/>
          <w:szCs w:val="22"/>
        </w:rPr>
        <w:t xml:space="preserve">, ma più correttamente definibile come </w:t>
      </w:r>
      <w:r w:rsidRPr="00D04DAE">
        <w:rPr>
          <w:i/>
          <w:iCs/>
          <w:sz w:val="22"/>
          <w:szCs w:val="22"/>
        </w:rPr>
        <w:t>facoltà</w:t>
      </w:r>
      <w:r>
        <w:rPr>
          <w:sz w:val="22"/>
          <w:szCs w:val="22"/>
        </w:rPr>
        <w:t xml:space="preserve"> di </w:t>
      </w:r>
      <w:r w:rsidRPr="00D04DAE">
        <w:rPr>
          <w:i/>
          <w:iCs/>
          <w:sz w:val="22"/>
          <w:szCs w:val="22"/>
        </w:rPr>
        <w:t>impugnare</w:t>
      </w:r>
      <w:r>
        <w:rPr>
          <w:sz w:val="22"/>
          <w:szCs w:val="22"/>
        </w:rPr>
        <w:t xml:space="preserve"> atti ancora </w:t>
      </w:r>
      <w:r>
        <w:rPr>
          <w:i/>
          <w:iCs/>
          <w:sz w:val="22"/>
          <w:szCs w:val="22"/>
        </w:rPr>
        <w:t>non perfetti</w:t>
      </w:r>
      <w:r>
        <w:rPr>
          <w:sz w:val="22"/>
          <w:szCs w:val="22"/>
        </w:rPr>
        <w:t>;</w:t>
      </w:r>
      <w:r w:rsidR="001E103B">
        <w:rPr>
          <w:sz w:val="22"/>
          <w:szCs w:val="22"/>
        </w:rPr>
        <w:t xml:space="preserve"> è </w:t>
      </w:r>
      <w:r>
        <w:rPr>
          <w:sz w:val="22"/>
          <w:szCs w:val="22"/>
        </w:rPr>
        <w:t>un</w:t>
      </w:r>
      <w:r w:rsidR="001E103B">
        <w:rPr>
          <w:sz w:val="22"/>
          <w:szCs w:val="22"/>
        </w:rPr>
        <w:t xml:space="preserve">a puntualizzazione di un tema di principio relativo a tutte le fasi in cui </w:t>
      </w:r>
      <w:r w:rsidR="001E103B">
        <w:t xml:space="preserve">una certa posizione dell’ente dotato di poteri autoritativi (par.6.1) è </w:t>
      </w:r>
      <w:r>
        <w:t xml:space="preserve">già individuabile, senza però essere </w:t>
      </w:r>
      <w:r w:rsidR="001E103B">
        <w:t xml:space="preserve">ancora formalizzata </w:t>
      </w:r>
      <w:r>
        <w:t>in un atto conclusivo tipico</w:t>
      </w:r>
      <w:r w:rsidR="00F62AD0">
        <w:t xml:space="preserve"> </w:t>
      </w:r>
      <w:r w:rsidR="00F62AD0">
        <w:rPr>
          <w:rStyle w:val="Rimandonotaapidipagina"/>
        </w:rPr>
        <w:footnoteReference w:id="829"/>
      </w:r>
      <w:r w:rsidR="00F62AD0" w:rsidRPr="007F7EBF">
        <w:rPr>
          <w:sz w:val="22"/>
          <w:szCs w:val="22"/>
        </w:rPr>
        <w:t>.</w:t>
      </w:r>
      <w:r w:rsidR="001E103B">
        <w:t xml:space="preserve"> </w:t>
      </w:r>
      <w:r w:rsidR="00F62AD0">
        <w:t xml:space="preserve">Vi sono quindi i presupposti di principio per </w:t>
      </w:r>
      <w:r w:rsidR="001E103B">
        <w:t xml:space="preserve">consentire una tutela a chi vuole anticiparla, </w:t>
      </w:r>
      <w:r>
        <w:t xml:space="preserve">al tempo stesso </w:t>
      </w:r>
      <w:r w:rsidR="001E103B">
        <w:t xml:space="preserve">senza farla perdere a chi attende il </w:t>
      </w:r>
      <w:r w:rsidR="001E103B" w:rsidRPr="007F7EBF">
        <w:t>successivo "atto tipico".</w:t>
      </w:r>
      <w:r w:rsidR="001E103B">
        <w:t xml:space="preserve"> </w:t>
      </w:r>
      <w:r w:rsidR="001E2B68" w:rsidRPr="007F7EBF">
        <w:rPr>
          <w:sz w:val="22"/>
          <w:szCs w:val="22"/>
        </w:rPr>
        <w:t>(</w:t>
      </w:r>
      <w:r w:rsidR="006423F9" w:rsidRPr="007F7EBF">
        <w:rPr>
          <w:rStyle w:val="Rimandonotaapidipagina"/>
          <w:sz w:val="22"/>
          <w:szCs w:val="22"/>
        </w:rPr>
        <w:footnoteReference w:id="830"/>
      </w:r>
      <w:r w:rsidR="001E2B68" w:rsidRPr="007F7EBF">
        <w:rPr>
          <w:sz w:val="22"/>
          <w:szCs w:val="22"/>
        </w:rPr>
        <w:t xml:space="preserve">). </w:t>
      </w:r>
    </w:p>
    <w:p w14:paraId="79286E7F" w14:textId="44067457" w:rsidR="00E000D4" w:rsidRPr="007F7EBF" w:rsidRDefault="00E000D4" w:rsidP="00E000D4">
      <w:pPr>
        <w:pStyle w:val="tit23"/>
        <w:ind w:left="6464" w:right="-1361" w:firstLine="0"/>
        <w:jc w:val="left"/>
        <w:rPr>
          <w:bCs/>
          <w:i/>
          <w:iCs/>
          <w:color w:val="0000FF"/>
          <w:lang w:val="it-IT"/>
        </w:rPr>
      </w:pPr>
      <w:r>
        <w:rPr>
          <w:bCs/>
          <w:i/>
          <w:iCs/>
          <w:color w:val="0000FF"/>
          <w:lang w:val="it-IT"/>
        </w:rPr>
        <w:t>Successione di atti</w:t>
      </w:r>
    </w:p>
    <w:p w14:paraId="3FF27E29" w14:textId="0428CF60" w:rsidR="0034089B" w:rsidRPr="007F7EBF" w:rsidRDefault="00F62AD0" w:rsidP="0034089B">
      <w:pPr>
        <w:autoSpaceDE w:val="0"/>
        <w:autoSpaceDN w:val="0"/>
        <w:adjustRightInd w:val="0"/>
        <w:rPr>
          <w:sz w:val="22"/>
          <w:szCs w:val="22"/>
        </w:rPr>
      </w:pPr>
      <w:r>
        <w:rPr>
          <w:sz w:val="22"/>
          <w:szCs w:val="22"/>
        </w:rPr>
        <w:t>Naturalmente, quando quest’</w:t>
      </w:r>
      <w:r w:rsidRPr="00F62AD0">
        <w:rPr>
          <w:i/>
          <w:iCs/>
          <w:sz w:val="22"/>
          <w:szCs w:val="22"/>
        </w:rPr>
        <w:t>impugnazione facoltativa</w:t>
      </w:r>
      <w:r>
        <w:rPr>
          <w:sz w:val="22"/>
          <w:szCs w:val="22"/>
        </w:rPr>
        <w:t xml:space="preserve"> avviene, si crea una litispendenza</w:t>
      </w:r>
      <w:r w:rsidR="00D04DAE">
        <w:rPr>
          <w:sz w:val="22"/>
          <w:szCs w:val="22"/>
        </w:rPr>
        <w:t xml:space="preserve">, che impedisce di riproporre le stesse questioni contro </w:t>
      </w:r>
      <w:r w:rsidR="00D04DAE">
        <w:rPr>
          <w:sz w:val="22"/>
          <w:szCs w:val="22"/>
        </w:rPr>
        <w:lastRenderedPageBreak/>
        <w:t xml:space="preserve">l’atto tipico successivamente emanato </w:t>
      </w:r>
      <w:r w:rsidR="00D04DAE">
        <w:rPr>
          <w:rStyle w:val="Rimandonotaapidipagina"/>
          <w:sz w:val="22"/>
          <w:szCs w:val="22"/>
        </w:rPr>
        <w:footnoteReference w:id="831"/>
      </w:r>
      <w:r w:rsidR="00D04DAE">
        <w:rPr>
          <w:sz w:val="22"/>
          <w:szCs w:val="22"/>
        </w:rPr>
        <w:t>.</w:t>
      </w:r>
      <w:r w:rsidR="00E000D4">
        <w:rPr>
          <w:sz w:val="22"/>
          <w:szCs w:val="22"/>
        </w:rPr>
        <w:t xml:space="preserve"> </w:t>
      </w:r>
      <w:r w:rsidR="00D04DAE">
        <w:rPr>
          <w:sz w:val="22"/>
          <w:szCs w:val="22"/>
        </w:rPr>
        <w:t>Inversamente</w:t>
      </w:r>
      <w:r w:rsidR="00E000D4">
        <w:rPr>
          <w:sz w:val="22"/>
          <w:szCs w:val="22"/>
        </w:rPr>
        <w:t>, q</w:t>
      </w:r>
      <w:r w:rsidR="00C811DF" w:rsidRPr="007F7EBF">
        <w:rPr>
          <w:sz w:val="22"/>
          <w:szCs w:val="22"/>
        </w:rPr>
        <w:t>uando sono emessi atti applicativi (ad esempio di riscossione) di un precedente atto non impugnato, l’impugnazione è esclusa</w:t>
      </w:r>
      <w:r w:rsidR="00E000D4">
        <w:rPr>
          <w:sz w:val="22"/>
          <w:szCs w:val="22"/>
        </w:rPr>
        <w:t xml:space="preserve">, in quanto altrimenti si </w:t>
      </w:r>
      <w:r w:rsidR="00C811DF">
        <w:rPr>
          <w:sz w:val="22"/>
          <w:szCs w:val="22"/>
        </w:rPr>
        <w:t>“rimettere</w:t>
      </w:r>
      <w:r w:rsidR="00E000D4">
        <w:rPr>
          <w:sz w:val="22"/>
          <w:szCs w:val="22"/>
        </w:rPr>
        <w:t>bbe</w:t>
      </w:r>
      <w:r w:rsidR="00C811DF">
        <w:rPr>
          <w:sz w:val="22"/>
          <w:szCs w:val="22"/>
        </w:rPr>
        <w:t xml:space="preserve"> in termini” </w:t>
      </w:r>
      <w:r w:rsidR="00E000D4">
        <w:rPr>
          <w:sz w:val="22"/>
          <w:szCs w:val="22"/>
        </w:rPr>
        <w:t xml:space="preserve">chi non ha impugnato un atto precedente, o ci si sovrapporrebbe a </w:t>
      </w:r>
      <w:r w:rsidR="00C811DF">
        <w:rPr>
          <w:sz w:val="22"/>
          <w:szCs w:val="22"/>
        </w:rPr>
        <w:t xml:space="preserve">un processo </w:t>
      </w:r>
      <w:r w:rsidR="00E000D4">
        <w:rPr>
          <w:sz w:val="22"/>
          <w:szCs w:val="22"/>
        </w:rPr>
        <w:t xml:space="preserve">in corso </w:t>
      </w:r>
      <w:r w:rsidR="00D35185">
        <w:rPr>
          <w:sz w:val="22"/>
          <w:szCs w:val="22"/>
        </w:rPr>
        <w:t>(</w:t>
      </w:r>
      <w:r w:rsidR="00D35185">
        <w:rPr>
          <w:rStyle w:val="Rimandonotaapidipagina"/>
          <w:sz w:val="22"/>
          <w:szCs w:val="22"/>
        </w:rPr>
        <w:footnoteReference w:id="832"/>
      </w:r>
      <w:r w:rsidR="00C811DF" w:rsidRPr="007F7EBF">
        <w:rPr>
          <w:sz w:val="22"/>
          <w:szCs w:val="22"/>
        </w:rPr>
        <w:t>).</w:t>
      </w:r>
      <w:r w:rsidR="00C811DF" w:rsidRPr="007F7EBF">
        <w:rPr>
          <w:bCs/>
          <w:i/>
          <w:iCs/>
          <w:color w:val="0000FF"/>
          <w:sz w:val="22"/>
          <w:szCs w:val="22"/>
        </w:rPr>
        <w:t xml:space="preserve"> </w:t>
      </w:r>
    </w:p>
    <w:p w14:paraId="54DEB5BF" w14:textId="77777777" w:rsidR="0034089B" w:rsidRPr="007F7EBF" w:rsidRDefault="0034089B" w:rsidP="0034089B">
      <w:pPr>
        <w:pStyle w:val="tit23"/>
        <w:ind w:left="6464" w:right="-1361" w:firstLine="0"/>
        <w:jc w:val="left"/>
        <w:rPr>
          <w:bCs/>
          <w:i/>
          <w:iCs/>
          <w:color w:val="0000FF"/>
          <w:lang w:val="it-IT"/>
        </w:rPr>
      </w:pPr>
      <w:r w:rsidRPr="007F7EBF">
        <w:rPr>
          <w:bCs/>
          <w:i/>
          <w:iCs/>
          <w:color w:val="0000FF"/>
          <w:lang w:val="it-IT"/>
        </w:rPr>
        <w:t>Controversie di rimborso e “silenzio”</w:t>
      </w:r>
    </w:p>
    <w:p w14:paraId="6B8F4ACB" w14:textId="7DF03A78" w:rsidR="0034089B" w:rsidRPr="007F7EBF" w:rsidRDefault="0034089B" w:rsidP="0034089B">
      <w:pPr>
        <w:autoSpaceDE w:val="0"/>
        <w:autoSpaceDN w:val="0"/>
        <w:adjustRightInd w:val="0"/>
        <w:rPr>
          <w:bCs/>
          <w:i/>
          <w:iCs/>
          <w:color w:val="0000FF"/>
          <w:sz w:val="22"/>
          <w:szCs w:val="22"/>
        </w:rPr>
      </w:pPr>
      <w:r w:rsidRPr="007F7EBF">
        <w:rPr>
          <w:sz w:val="22"/>
          <w:szCs w:val="22"/>
        </w:rPr>
        <w:t xml:space="preserve">Un atto impugnabile manca nelle controversie di rimborso, che si innestano su apposite </w:t>
      </w:r>
      <w:r w:rsidRPr="007F7EBF">
        <w:rPr>
          <w:bCs/>
          <w:sz w:val="22"/>
          <w:szCs w:val="22"/>
        </w:rPr>
        <w:t>istanze dei contribuenti</w:t>
      </w:r>
      <w:r>
        <w:rPr>
          <w:bCs/>
          <w:sz w:val="22"/>
          <w:szCs w:val="22"/>
        </w:rPr>
        <w:t xml:space="preserve">, </w:t>
      </w:r>
      <w:r w:rsidRPr="007F7EBF">
        <w:rPr>
          <w:sz w:val="22"/>
          <w:szCs w:val="22"/>
        </w:rPr>
        <w:t>presentate agli uffici finanziari nei termini previsti dalle singole leggi d’imposta ovvero, in base all’art. 21, comma 2, entro due anni dal pagamento o dal sopravvenuto diritto al rimborso</w:t>
      </w:r>
      <w:r w:rsidR="00D35185">
        <w:rPr>
          <w:sz w:val="22"/>
          <w:szCs w:val="22"/>
        </w:rPr>
        <w:t>(</w:t>
      </w:r>
      <w:r w:rsidRPr="007F7EBF">
        <w:rPr>
          <w:rStyle w:val="Rimandonotaapidipagina"/>
          <w:bCs/>
          <w:sz w:val="22"/>
          <w:szCs w:val="22"/>
        </w:rPr>
        <w:footnoteReference w:id="833"/>
      </w:r>
      <w:r w:rsidR="00D35185">
        <w:rPr>
          <w:sz w:val="22"/>
          <w:szCs w:val="22"/>
        </w:rPr>
        <w:t>)</w:t>
      </w:r>
      <w:r w:rsidRPr="007F7EBF">
        <w:rPr>
          <w:sz w:val="22"/>
          <w:szCs w:val="22"/>
        </w:rPr>
        <w:t xml:space="preserve">. Il </w:t>
      </w:r>
      <w:r w:rsidRPr="007F7EBF">
        <w:rPr>
          <w:bCs/>
          <w:sz w:val="22"/>
          <w:szCs w:val="22"/>
        </w:rPr>
        <w:t xml:space="preserve">rifiuto espresso </w:t>
      </w:r>
      <w:r w:rsidRPr="007F7EBF">
        <w:rPr>
          <w:sz w:val="22"/>
          <w:szCs w:val="22"/>
        </w:rPr>
        <w:t xml:space="preserve">dell’ufficio finanziario </w:t>
      </w:r>
      <w:r w:rsidR="00FB06A1">
        <w:rPr>
          <w:sz w:val="22"/>
          <w:szCs w:val="22"/>
        </w:rPr>
        <w:t>costituisce un atto amministrativo, e come tale va</w:t>
      </w:r>
      <w:r w:rsidRPr="007F7EBF">
        <w:rPr>
          <w:sz w:val="22"/>
          <w:szCs w:val="22"/>
        </w:rPr>
        <w:t xml:space="preserve"> impugnato secondo le regole generali, </w:t>
      </w:r>
      <w:r w:rsidR="00FB06A1">
        <w:rPr>
          <w:sz w:val="22"/>
          <w:szCs w:val="22"/>
        </w:rPr>
        <w:t>entro 60 giorni. Tuttavia i</w:t>
      </w:r>
      <w:r w:rsidRPr="007F7EBF">
        <w:rPr>
          <w:sz w:val="22"/>
          <w:szCs w:val="22"/>
        </w:rPr>
        <w:t xml:space="preserve">n genere </w:t>
      </w:r>
      <w:r w:rsidR="00FB06A1">
        <w:rPr>
          <w:sz w:val="22"/>
          <w:szCs w:val="22"/>
        </w:rPr>
        <w:t xml:space="preserve">l’ufficio tributario resta in </w:t>
      </w:r>
      <w:r w:rsidRPr="007F7EBF">
        <w:rPr>
          <w:bCs/>
          <w:sz w:val="22"/>
          <w:szCs w:val="22"/>
        </w:rPr>
        <w:t>silenzio</w:t>
      </w:r>
      <w:r w:rsidR="00FB06A1">
        <w:rPr>
          <w:bCs/>
          <w:sz w:val="22"/>
          <w:szCs w:val="22"/>
        </w:rPr>
        <w:t xml:space="preserve"> sull’istanza di rimborso, nel qual caso</w:t>
      </w:r>
      <w:r w:rsidRPr="007F7EBF">
        <w:rPr>
          <w:sz w:val="22"/>
          <w:szCs w:val="22"/>
        </w:rPr>
        <w:t xml:space="preserve">, </w:t>
      </w:r>
      <w:r w:rsidR="00FB06A1">
        <w:rPr>
          <w:sz w:val="22"/>
          <w:szCs w:val="22"/>
        </w:rPr>
        <w:t xml:space="preserve">a partire da </w:t>
      </w:r>
      <w:r w:rsidRPr="007F7EBF">
        <w:rPr>
          <w:sz w:val="22"/>
          <w:szCs w:val="22"/>
        </w:rPr>
        <w:t>90 giorni dalla presentazione</w:t>
      </w:r>
      <w:r w:rsidR="00FB06A1">
        <w:rPr>
          <w:sz w:val="22"/>
          <w:szCs w:val="22"/>
        </w:rPr>
        <w:t xml:space="preserve"> </w:t>
      </w:r>
      <w:r w:rsidRPr="007F7EBF">
        <w:rPr>
          <w:sz w:val="22"/>
          <w:szCs w:val="22"/>
        </w:rPr>
        <w:t xml:space="preserve">dell’istanza di rimborso, </w:t>
      </w:r>
      <w:r w:rsidR="00FB06A1">
        <w:rPr>
          <w:sz w:val="22"/>
          <w:szCs w:val="22"/>
        </w:rPr>
        <w:t>si può</w:t>
      </w:r>
      <w:r w:rsidRPr="007F7EBF">
        <w:rPr>
          <w:bCs/>
          <w:sz w:val="22"/>
          <w:szCs w:val="22"/>
        </w:rPr>
        <w:t xml:space="preserve"> ricorrere </w:t>
      </w:r>
      <w:r w:rsidRPr="007F7EBF">
        <w:rPr>
          <w:sz w:val="22"/>
          <w:szCs w:val="22"/>
        </w:rPr>
        <w:t xml:space="preserve">alla commissione tributaria, entro il termine di prescrizione decennale (art. 21, comma 2).  Il silenzio non vale </w:t>
      </w:r>
      <w:r w:rsidR="00FB06A1">
        <w:rPr>
          <w:sz w:val="22"/>
          <w:szCs w:val="22"/>
        </w:rPr>
        <w:t xml:space="preserve">quindi </w:t>
      </w:r>
      <w:r w:rsidRPr="007F7EBF">
        <w:rPr>
          <w:sz w:val="22"/>
          <w:szCs w:val="22"/>
        </w:rPr>
        <w:t xml:space="preserve">come provvedimento amministrativo di implicito diniego di rimborso, che costringerebbe a ricorrere tempestivamente, anche quando la mancata risposta dell’ufficio è dovuta solo ad inerzia, senza alcuna intenzione di negare il rimborso. </w:t>
      </w:r>
      <w:r w:rsidR="00FB06A1" w:rsidRPr="007F7EBF">
        <w:t xml:space="preserve">Considerare il silenzio come il simulacro (la </w:t>
      </w:r>
      <w:proofErr w:type="spellStart"/>
      <w:r w:rsidR="00FB06A1" w:rsidRPr="00AC061A">
        <w:rPr>
          <w:i/>
          <w:iCs/>
        </w:rPr>
        <w:t>fictio</w:t>
      </w:r>
      <w:proofErr w:type="spellEnd"/>
      <w:r w:rsidR="00FB06A1" w:rsidRPr="007F7EBF">
        <w:t xml:space="preserve"> </w:t>
      </w:r>
      <w:r w:rsidR="00FB06A1" w:rsidRPr="00AC061A">
        <w:rPr>
          <w:i/>
          <w:iCs/>
        </w:rPr>
        <w:t>iuris</w:t>
      </w:r>
      <w:r w:rsidR="00FB06A1" w:rsidRPr="007F7EBF">
        <w:t xml:space="preserve">) di un atto impugnabile contrasterebbe con tendenze </w:t>
      </w:r>
      <w:r w:rsidR="00FB06A1">
        <w:t xml:space="preserve">consolidate </w:t>
      </w:r>
      <w:r w:rsidR="00FB06A1" w:rsidRPr="007F7EBF">
        <w:t xml:space="preserve">del diritto amministrativo, </w:t>
      </w:r>
      <w:r w:rsidR="00FB06A1">
        <w:t>dove</w:t>
      </w:r>
      <w:r w:rsidR="00FB06A1" w:rsidRPr="007F7EBF">
        <w:t xml:space="preserve"> casomai il </w:t>
      </w:r>
      <w:r w:rsidR="00FB06A1" w:rsidRPr="00AC061A">
        <w:rPr>
          <w:i/>
          <w:iCs/>
        </w:rPr>
        <w:t>silenzio</w:t>
      </w:r>
      <w:r w:rsidR="00FB06A1" w:rsidRPr="007F7EBF">
        <w:t xml:space="preserve"> vale </w:t>
      </w:r>
      <w:r w:rsidR="00FB06A1">
        <w:t xml:space="preserve">invece </w:t>
      </w:r>
      <w:r w:rsidR="00FB06A1" w:rsidRPr="007F7EBF">
        <w:t xml:space="preserve">come </w:t>
      </w:r>
      <w:r w:rsidR="00FB06A1" w:rsidRPr="00AC061A">
        <w:rPr>
          <w:i/>
          <w:iCs/>
        </w:rPr>
        <w:t>assenso</w:t>
      </w:r>
      <w:r w:rsidR="00FB06A1">
        <w:t xml:space="preserve">, cioè accoglimento dell’istanza. </w:t>
      </w:r>
    </w:p>
    <w:p w14:paraId="109980F3" w14:textId="76CF9B34" w:rsidR="00E539CB" w:rsidRPr="007F7EBF" w:rsidRDefault="0034089B" w:rsidP="0034089B">
      <w:pPr>
        <w:autoSpaceDE w:val="0"/>
        <w:autoSpaceDN w:val="0"/>
        <w:adjustRightInd w:val="0"/>
        <w:rPr>
          <w:sz w:val="22"/>
          <w:szCs w:val="22"/>
        </w:rPr>
      </w:pPr>
      <w:r w:rsidRPr="007F7EBF">
        <w:rPr>
          <w:sz w:val="22"/>
          <w:szCs w:val="22"/>
        </w:rPr>
        <w:lastRenderedPageBreak/>
        <w:t xml:space="preserve">In queste </w:t>
      </w:r>
      <w:r w:rsidRPr="007F7EBF">
        <w:rPr>
          <w:bCs/>
          <w:sz w:val="22"/>
          <w:szCs w:val="22"/>
        </w:rPr>
        <w:t xml:space="preserve">liti di rimborso </w:t>
      </w:r>
      <w:r w:rsidRPr="007F7EBF">
        <w:rPr>
          <w:sz w:val="22"/>
          <w:szCs w:val="22"/>
        </w:rPr>
        <w:t xml:space="preserve">si tende ad attribuire al contribuente la posizione di </w:t>
      </w:r>
      <w:r w:rsidRPr="007F7EBF">
        <w:rPr>
          <w:bCs/>
          <w:sz w:val="22"/>
          <w:szCs w:val="22"/>
        </w:rPr>
        <w:t>attore in senso sostanziale</w:t>
      </w:r>
      <w:r w:rsidR="00FB06A1">
        <w:rPr>
          <w:sz w:val="22"/>
          <w:szCs w:val="22"/>
        </w:rPr>
        <w:t xml:space="preserve">, accollandogli l’onere della prova, come indicato al par.6.2; è un riflesso meccanicistico delle concezioni privatistico-giurisdizionali ivi indicate, che trascurano il </w:t>
      </w:r>
      <w:r w:rsidRPr="007F7EBF">
        <w:rPr>
          <w:sz w:val="22"/>
          <w:szCs w:val="22"/>
        </w:rPr>
        <w:t>contesto amministrativistico</w:t>
      </w:r>
      <w:r w:rsidR="00FB06A1">
        <w:rPr>
          <w:sz w:val="22"/>
          <w:szCs w:val="22"/>
        </w:rPr>
        <w:t xml:space="preserve">, dove rileva </w:t>
      </w:r>
      <w:r w:rsidRPr="007F7EBF">
        <w:rPr>
          <w:sz w:val="22"/>
          <w:szCs w:val="22"/>
        </w:rPr>
        <w:t xml:space="preserve"> e si sta esaminando il comportamento di un</w:t>
      </w:r>
      <w:r w:rsidR="0093767E">
        <w:rPr>
          <w:sz w:val="22"/>
          <w:szCs w:val="22"/>
        </w:rPr>
        <w:t>’</w:t>
      </w:r>
      <w:r w:rsidRPr="007F7EBF">
        <w:rPr>
          <w:sz w:val="22"/>
          <w:szCs w:val="22"/>
        </w:rPr>
        <w:t>istituzione pubblica rispetto a una istanza del privato</w:t>
      </w:r>
      <w:r w:rsidR="0093767E">
        <w:rPr>
          <w:sz w:val="22"/>
          <w:szCs w:val="22"/>
        </w:rPr>
        <w:t xml:space="preserve"> (</w:t>
      </w:r>
      <w:r w:rsidRPr="007F7EBF">
        <w:rPr>
          <w:rStyle w:val="Rimandonotaapidipagina"/>
          <w:sz w:val="22"/>
          <w:szCs w:val="22"/>
        </w:rPr>
        <w:footnoteReference w:id="834"/>
      </w:r>
      <w:r w:rsidR="0093767E">
        <w:rPr>
          <w:sz w:val="22"/>
          <w:szCs w:val="22"/>
        </w:rPr>
        <w:t>)</w:t>
      </w:r>
      <w:r w:rsidRPr="007F7EBF">
        <w:rPr>
          <w:sz w:val="22"/>
          <w:szCs w:val="22"/>
        </w:rPr>
        <w:t xml:space="preserve">. </w:t>
      </w:r>
    </w:p>
    <w:p w14:paraId="6BF4AC10" w14:textId="20089D36" w:rsidR="002D55E7" w:rsidRPr="007F7EBF" w:rsidRDefault="00A7416F" w:rsidP="002D55E7">
      <w:pPr>
        <w:pStyle w:val="tit23"/>
        <w:ind w:left="6464" w:right="-1361" w:firstLine="0"/>
        <w:jc w:val="left"/>
        <w:rPr>
          <w:bCs/>
          <w:i/>
          <w:iCs/>
          <w:color w:val="0000FF"/>
          <w:lang w:val="it-IT"/>
        </w:rPr>
      </w:pPr>
      <w:r w:rsidRPr="007F7EBF">
        <w:rPr>
          <w:bCs/>
          <w:i/>
          <w:iCs/>
          <w:color w:val="0000FF"/>
          <w:lang w:val="it-IT"/>
        </w:rPr>
        <w:t xml:space="preserve">i due tempi </w:t>
      </w:r>
      <w:r w:rsidR="00823EF8">
        <w:rPr>
          <w:bCs/>
          <w:i/>
          <w:iCs/>
          <w:color w:val="0000FF"/>
          <w:lang w:val="it-IT"/>
        </w:rPr>
        <w:t>della presentazione del ricorso</w:t>
      </w:r>
    </w:p>
    <w:p w14:paraId="2479CE16" w14:textId="7ECA3A51" w:rsidR="003C07AC" w:rsidRPr="007F7EBF" w:rsidRDefault="00A7416F" w:rsidP="00E539CB">
      <w:pPr>
        <w:rPr>
          <w:sz w:val="22"/>
          <w:szCs w:val="22"/>
        </w:rPr>
      </w:pPr>
      <w:r w:rsidRPr="007F7EBF">
        <w:rPr>
          <w:sz w:val="22"/>
          <w:szCs w:val="22"/>
        </w:rPr>
        <w:t>La presentazio</w:t>
      </w:r>
      <w:r w:rsidR="00C52F04" w:rsidRPr="007F7EBF">
        <w:rPr>
          <w:sz w:val="22"/>
          <w:szCs w:val="22"/>
        </w:rPr>
        <w:t xml:space="preserve">ne del ricorso </w:t>
      </w:r>
      <w:r w:rsidRPr="007F7EBF">
        <w:rPr>
          <w:sz w:val="22"/>
          <w:szCs w:val="22"/>
        </w:rPr>
        <w:t xml:space="preserve">ricalca le modalità del codice di procedura civile, </w:t>
      </w:r>
      <w:r w:rsidR="00C52F04" w:rsidRPr="007F7EBF">
        <w:rPr>
          <w:sz w:val="22"/>
          <w:szCs w:val="22"/>
        </w:rPr>
        <w:t xml:space="preserve">ed </w:t>
      </w:r>
      <w:r w:rsidRPr="007F7EBF">
        <w:rPr>
          <w:sz w:val="22"/>
          <w:szCs w:val="22"/>
        </w:rPr>
        <w:t xml:space="preserve">avviene in due tempi, dapprima all'ufficio finanziario </w:t>
      </w:r>
      <w:r w:rsidR="00823EF8">
        <w:rPr>
          <w:sz w:val="22"/>
          <w:szCs w:val="22"/>
        </w:rPr>
        <w:t>(</w:t>
      </w:r>
      <w:r w:rsidRPr="007F7EBF">
        <w:rPr>
          <w:rStyle w:val="Rimandonotaapidipagina"/>
          <w:sz w:val="22"/>
          <w:szCs w:val="22"/>
        </w:rPr>
        <w:footnoteReference w:id="835"/>
      </w:r>
      <w:r w:rsidR="0093767E">
        <w:rPr>
          <w:sz w:val="22"/>
          <w:szCs w:val="22"/>
        </w:rPr>
        <w:t>) e poi al giudice</w:t>
      </w:r>
      <w:r w:rsidR="002059F8">
        <w:rPr>
          <w:sz w:val="22"/>
          <w:szCs w:val="22"/>
        </w:rPr>
        <w:t xml:space="preserve">, </w:t>
      </w:r>
      <w:r w:rsidR="002059F8" w:rsidRPr="007F7EBF">
        <w:rPr>
          <w:sz w:val="22"/>
          <w:szCs w:val="22"/>
        </w:rPr>
        <w:t xml:space="preserve">entro l'ulteriore  termine perentorio di trenta giorni </w:t>
      </w:r>
      <w:r w:rsidR="002059F8">
        <w:rPr>
          <w:sz w:val="22"/>
          <w:szCs w:val="22"/>
        </w:rPr>
        <w:t xml:space="preserve">dalla presentazione all’ufficio; solo in questo modo, con la </w:t>
      </w:r>
      <w:r w:rsidR="002059F8" w:rsidRPr="007F7EBF">
        <w:rPr>
          <w:bCs/>
          <w:sz w:val="22"/>
          <w:szCs w:val="22"/>
        </w:rPr>
        <w:t>c.d. “costituzione in giudizio”</w:t>
      </w:r>
      <w:r w:rsidR="002059F8" w:rsidRPr="007F7EBF">
        <w:rPr>
          <w:sz w:val="22"/>
          <w:szCs w:val="22"/>
        </w:rPr>
        <w:t xml:space="preserve"> (</w:t>
      </w:r>
      <w:r w:rsidR="002059F8" w:rsidRPr="007F7EBF">
        <w:rPr>
          <w:rStyle w:val="Rimandonotaapidipagina"/>
          <w:sz w:val="22"/>
          <w:szCs w:val="22"/>
        </w:rPr>
        <w:footnoteReference w:id="836"/>
      </w:r>
      <w:r w:rsidR="002059F8" w:rsidRPr="007F7EBF">
        <w:rPr>
          <w:sz w:val="22"/>
          <w:szCs w:val="22"/>
        </w:rPr>
        <w:t>)</w:t>
      </w:r>
      <w:r w:rsidR="002059F8">
        <w:rPr>
          <w:sz w:val="22"/>
          <w:szCs w:val="22"/>
        </w:rPr>
        <w:t xml:space="preserve"> il giudice viene informato della controversia. In entrambi i casi </w:t>
      </w:r>
      <w:r w:rsidR="002059F8" w:rsidRPr="007F7EBF">
        <w:t xml:space="preserve">il ricorso </w:t>
      </w:r>
      <w:r w:rsidR="002059F8">
        <w:t>può essere</w:t>
      </w:r>
      <w:r w:rsidR="002059F8" w:rsidRPr="007F7EBF">
        <w:t xml:space="preserve"> presentato </w:t>
      </w:r>
      <w:r w:rsidR="002059F8">
        <w:t xml:space="preserve">manualmente, </w:t>
      </w:r>
      <w:r w:rsidR="002059F8" w:rsidRPr="007F7EBF">
        <w:t>o spedito via posta</w:t>
      </w:r>
      <w:r w:rsidR="002059F8">
        <w:t>, spesso in alcune aree, in via sperimentale, è ammessa anche la posta elettronica certificata (c.d. “processo tributario telematico”)</w:t>
      </w:r>
      <w:r w:rsidR="002059F8" w:rsidRPr="007F7EBF">
        <w:t xml:space="preserve">. Nel nostro caso la controparte è una amministrazione pubblica, provvista di poteri di certificazione amministrativa di cui al par.5.6, che rilascia formale ricevuta. È quindi superflua e costosa la notifica a mezzo </w:t>
      </w:r>
      <w:r w:rsidR="002059F8" w:rsidRPr="007F7EBF">
        <w:rPr>
          <w:bCs/>
        </w:rPr>
        <w:t>ufficiale giudiziario</w:t>
      </w:r>
      <w:r w:rsidR="002059F8" w:rsidRPr="007F7EBF">
        <w:t>. Nel caso di spedizione a mezzo posta si crea anche qui il solito sfasamento tra termine per chi spedisce e per chi riceve. Il ricorso è cioè tempestivo se spedito entro la scadenza, anche se il destinatario lo riceve dopo</w:t>
      </w:r>
      <w:r w:rsidR="002059F8">
        <w:t>,</w:t>
      </w:r>
      <w:r w:rsidR="002059F8" w:rsidRPr="007F7EBF">
        <w:t xml:space="preserve"> per via degli imprecisati tempi tecnici della posta</w:t>
      </w:r>
      <w:r w:rsidR="009A0822" w:rsidRPr="007F7EBF">
        <w:rPr>
          <w:sz w:val="22"/>
          <w:szCs w:val="22"/>
        </w:rPr>
        <w:t xml:space="preserve"> (</w:t>
      </w:r>
      <w:r w:rsidR="009A0822" w:rsidRPr="007F7EBF">
        <w:rPr>
          <w:rStyle w:val="Rimandonotaapidipagina"/>
          <w:sz w:val="22"/>
          <w:szCs w:val="22"/>
        </w:rPr>
        <w:footnoteReference w:id="837"/>
      </w:r>
      <w:r w:rsidR="009A0822" w:rsidRPr="007F7EBF">
        <w:rPr>
          <w:sz w:val="22"/>
          <w:szCs w:val="22"/>
        </w:rPr>
        <w:t>)</w:t>
      </w:r>
      <w:r w:rsidR="00C52F04" w:rsidRPr="007F7EBF">
        <w:rPr>
          <w:sz w:val="22"/>
          <w:szCs w:val="22"/>
        </w:rPr>
        <w:t>.</w:t>
      </w:r>
      <w:r w:rsidR="009A0822" w:rsidRPr="007F7EBF">
        <w:rPr>
          <w:sz w:val="22"/>
          <w:szCs w:val="22"/>
        </w:rPr>
        <w:t xml:space="preserve"> </w:t>
      </w:r>
    </w:p>
    <w:p w14:paraId="3F68D9A2" w14:textId="77777777" w:rsidR="0036147E" w:rsidRPr="007F7EBF" w:rsidRDefault="0036147E" w:rsidP="0036147E">
      <w:pPr>
        <w:pStyle w:val="tit23"/>
        <w:ind w:left="6464" w:right="-1361" w:firstLine="0"/>
        <w:jc w:val="left"/>
        <w:rPr>
          <w:bCs/>
          <w:i/>
          <w:iCs/>
          <w:color w:val="0000FF"/>
          <w:lang w:val="it-IT"/>
        </w:rPr>
      </w:pPr>
      <w:r w:rsidRPr="007F7EBF">
        <w:rPr>
          <w:bCs/>
          <w:i/>
          <w:iCs/>
          <w:color w:val="0000FF"/>
          <w:lang w:val="it-IT"/>
        </w:rPr>
        <w:lastRenderedPageBreak/>
        <w:t>Contenuto del  ricorso</w:t>
      </w:r>
      <w:r w:rsidR="003B58E6" w:rsidRPr="007F7EBF">
        <w:rPr>
          <w:bCs/>
          <w:i/>
          <w:iCs/>
          <w:color w:val="0000FF"/>
          <w:lang w:val="it-IT"/>
        </w:rPr>
        <w:t xml:space="preserve"> e materia del contendere</w:t>
      </w:r>
    </w:p>
    <w:p w14:paraId="28E5F28F" w14:textId="10A3A978" w:rsidR="00AC061A" w:rsidRDefault="0055221E" w:rsidP="00B850B4">
      <w:pPr>
        <w:autoSpaceDE w:val="0"/>
        <w:autoSpaceDN w:val="0"/>
        <w:adjustRightInd w:val="0"/>
        <w:rPr>
          <w:bCs/>
          <w:sz w:val="22"/>
          <w:szCs w:val="22"/>
        </w:rPr>
      </w:pPr>
      <w:r w:rsidRPr="007F7EBF">
        <w:rPr>
          <w:sz w:val="22"/>
          <w:szCs w:val="22"/>
        </w:rPr>
        <w:t>Il ricorso deve contenere, o</w:t>
      </w:r>
      <w:r w:rsidR="001E2B68" w:rsidRPr="007F7EBF">
        <w:rPr>
          <w:sz w:val="22"/>
          <w:szCs w:val="22"/>
        </w:rPr>
        <w:t xml:space="preserve">ltre a una serie di </w:t>
      </w:r>
      <w:r w:rsidR="001E2B68" w:rsidRPr="007F7EBF">
        <w:rPr>
          <w:bCs/>
          <w:sz w:val="22"/>
          <w:szCs w:val="22"/>
        </w:rPr>
        <w:t>dati identificativ</w:t>
      </w:r>
      <w:r w:rsidR="001E2B68" w:rsidRPr="007F7EBF">
        <w:rPr>
          <w:sz w:val="22"/>
          <w:szCs w:val="22"/>
        </w:rPr>
        <w:t xml:space="preserve">i del ricorrente, della controparte e dell'atto impugnato (art. 15) </w:t>
      </w:r>
      <w:r w:rsidRPr="007F7EBF">
        <w:rPr>
          <w:sz w:val="22"/>
          <w:szCs w:val="22"/>
        </w:rPr>
        <w:t xml:space="preserve"> i</w:t>
      </w:r>
      <w:r w:rsidR="001E2B68" w:rsidRPr="007F7EBF">
        <w:rPr>
          <w:sz w:val="22"/>
          <w:szCs w:val="22"/>
        </w:rPr>
        <w:t xml:space="preserve">  «</w:t>
      </w:r>
      <w:r w:rsidR="001E2B68" w:rsidRPr="007F7EBF">
        <w:rPr>
          <w:bCs/>
          <w:sz w:val="22"/>
          <w:szCs w:val="22"/>
        </w:rPr>
        <w:t>motivi del ricorso</w:t>
      </w:r>
      <w:r w:rsidRPr="007F7EBF">
        <w:rPr>
          <w:sz w:val="22"/>
          <w:szCs w:val="22"/>
        </w:rPr>
        <w:t>»; si tratta dei</w:t>
      </w:r>
      <w:r w:rsidR="001E2B68" w:rsidRPr="007F7EBF">
        <w:rPr>
          <w:sz w:val="22"/>
          <w:szCs w:val="22"/>
        </w:rPr>
        <w:t xml:space="preserve"> vari vizi  per cui si chiede l'annullamento totale o parziale dell'atto impugnato (od il rimborso dell’imposta). Tali motivi, assieme alla motivazione dell’atto impositivo, delimitano la materia del contendere», in</w:t>
      </w:r>
      <w:r w:rsidR="009B1D98" w:rsidRPr="007F7EBF">
        <w:rPr>
          <w:sz w:val="22"/>
          <w:szCs w:val="22"/>
        </w:rPr>
        <w:t xml:space="preserve"> </w:t>
      </w:r>
      <w:r w:rsidR="001E2B68" w:rsidRPr="007F7EBF">
        <w:rPr>
          <w:sz w:val="22"/>
          <w:szCs w:val="22"/>
        </w:rPr>
        <w:t xml:space="preserve">un processo </w:t>
      </w:r>
      <w:r w:rsidR="001E2B68" w:rsidRPr="007F7EBF">
        <w:rPr>
          <w:bCs/>
          <w:sz w:val="22"/>
          <w:szCs w:val="22"/>
        </w:rPr>
        <w:t xml:space="preserve">strutturalmente </w:t>
      </w:r>
      <w:proofErr w:type="spellStart"/>
      <w:r w:rsidR="001E2B68" w:rsidRPr="007F7EBF">
        <w:rPr>
          <w:bCs/>
          <w:sz w:val="22"/>
          <w:szCs w:val="22"/>
        </w:rPr>
        <w:t>impugnatorio</w:t>
      </w:r>
      <w:proofErr w:type="spellEnd"/>
      <w:r w:rsidR="001E2B68" w:rsidRPr="007F7EBF">
        <w:rPr>
          <w:bCs/>
          <w:sz w:val="22"/>
          <w:szCs w:val="22"/>
        </w:rPr>
        <w:t xml:space="preserve">. </w:t>
      </w:r>
      <w:r w:rsidR="00AC061A">
        <w:rPr>
          <w:bCs/>
          <w:sz w:val="22"/>
          <w:szCs w:val="22"/>
        </w:rPr>
        <w:t>Non è più possibile</w:t>
      </w:r>
      <w:r w:rsidR="007350BE">
        <w:rPr>
          <w:bCs/>
          <w:sz w:val="22"/>
          <w:szCs w:val="22"/>
        </w:rPr>
        <w:t xml:space="preserve">, pertanto, far valere nuovi motivi di impugnazione dell’atto, e contestarne in un secondo momento aspetti inizialmente non censurati </w:t>
      </w:r>
      <w:r w:rsidR="007350BE">
        <w:rPr>
          <w:rStyle w:val="Rimandonotaapidipagina"/>
          <w:bCs/>
          <w:sz w:val="22"/>
          <w:szCs w:val="22"/>
        </w:rPr>
        <w:footnoteReference w:id="838"/>
      </w:r>
      <w:r w:rsidR="007350BE">
        <w:rPr>
          <w:bCs/>
          <w:sz w:val="22"/>
          <w:szCs w:val="22"/>
        </w:rPr>
        <w:t xml:space="preserve">.  </w:t>
      </w:r>
    </w:p>
    <w:p w14:paraId="6D80EC6A" w14:textId="5088BDCB" w:rsidR="0034089B" w:rsidRPr="007F7EBF" w:rsidRDefault="002059F8" w:rsidP="00B850B4">
      <w:pPr>
        <w:autoSpaceDE w:val="0"/>
        <w:autoSpaceDN w:val="0"/>
        <w:adjustRightInd w:val="0"/>
        <w:rPr>
          <w:sz w:val="22"/>
          <w:szCs w:val="22"/>
        </w:rPr>
      </w:pPr>
      <w:r w:rsidRPr="007F7EBF">
        <w:rPr>
          <w:sz w:val="22"/>
          <w:szCs w:val="22"/>
        </w:rPr>
        <w:t xml:space="preserve">In sede di costituzione il ricorrente deve depositare, in allegato al ricorso, la copia dell’atto impugnato e i documenti che produce, pagando altresì il </w:t>
      </w:r>
      <w:r w:rsidRPr="007F7EBF">
        <w:rPr>
          <w:bCs/>
          <w:sz w:val="22"/>
          <w:szCs w:val="22"/>
        </w:rPr>
        <w:t>contributo unificato</w:t>
      </w:r>
      <w:r w:rsidRPr="007F7EBF">
        <w:rPr>
          <w:sz w:val="22"/>
          <w:szCs w:val="22"/>
        </w:rPr>
        <w:t>, tributo variabile in relazione alla fascia di valore in cui si colloca la lite (</w:t>
      </w:r>
      <w:r w:rsidRPr="007F7EBF">
        <w:rPr>
          <w:rStyle w:val="Rimandonotaapidipagina"/>
          <w:sz w:val="22"/>
          <w:szCs w:val="22"/>
        </w:rPr>
        <w:footnoteReference w:id="839"/>
      </w:r>
      <w:r w:rsidRPr="007F7EBF">
        <w:rPr>
          <w:sz w:val="22"/>
          <w:szCs w:val="22"/>
        </w:rPr>
        <w:t>).</w:t>
      </w:r>
      <w:r w:rsidR="0034089B" w:rsidRPr="007F7EBF">
        <w:rPr>
          <w:sz w:val="22"/>
          <w:szCs w:val="22"/>
        </w:rPr>
        <w:t xml:space="preserve"> </w:t>
      </w:r>
    </w:p>
    <w:p w14:paraId="7B0C1B51" w14:textId="77777777" w:rsidR="003B58E6" w:rsidRPr="007F7EBF" w:rsidRDefault="008C3912" w:rsidP="003B58E6">
      <w:pPr>
        <w:pStyle w:val="tit23"/>
        <w:ind w:left="6464" w:right="-1361" w:firstLine="0"/>
        <w:jc w:val="left"/>
        <w:rPr>
          <w:bCs/>
          <w:i/>
          <w:iCs/>
          <w:color w:val="0000FF"/>
          <w:lang w:val="it-IT"/>
        </w:rPr>
      </w:pPr>
      <w:r w:rsidRPr="007F7EBF">
        <w:rPr>
          <w:bCs/>
          <w:i/>
          <w:iCs/>
          <w:color w:val="0000FF"/>
          <w:lang w:val="it-IT"/>
        </w:rPr>
        <w:t xml:space="preserve">Adempimenti dell’ufficio resistente </w:t>
      </w:r>
      <w:r w:rsidR="003B58E6" w:rsidRPr="007F7EBF">
        <w:rPr>
          <w:bCs/>
          <w:i/>
          <w:iCs/>
          <w:color w:val="0000FF"/>
          <w:lang w:val="it-IT"/>
        </w:rPr>
        <w:t>ed effetti della sua inerzia</w:t>
      </w:r>
    </w:p>
    <w:p w14:paraId="1A80E48B" w14:textId="77777777" w:rsidR="008A0ABA" w:rsidRPr="007F7EBF" w:rsidRDefault="003C07AC" w:rsidP="007038B0">
      <w:pPr>
        <w:autoSpaceDE w:val="0"/>
        <w:autoSpaceDN w:val="0"/>
        <w:adjustRightInd w:val="0"/>
        <w:rPr>
          <w:bCs/>
          <w:i/>
          <w:iCs/>
          <w:color w:val="0000FF"/>
          <w:sz w:val="22"/>
          <w:szCs w:val="22"/>
        </w:rPr>
      </w:pPr>
      <w:r w:rsidRPr="007F7EBF">
        <w:rPr>
          <w:sz w:val="22"/>
          <w:szCs w:val="22"/>
        </w:rPr>
        <w:t xml:space="preserve">L’ufficio tributario </w:t>
      </w:r>
      <w:r w:rsidR="006342C5" w:rsidRPr="007F7EBF">
        <w:rPr>
          <w:sz w:val="22"/>
          <w:szCs w:val="22"/>
        </w:rPr>
        <w:t>(</w:t>
      </w:r>
      <w:r w:rsidR="00B74075" w:rsidRPr="007F7EBF">
        <w:rPr>
          <w:rStyle w:val="Rimandonotaapidipagina"/>
          <w:sz w:val="22"/>
          <w:szCs w:val="22"/>
        </w:rPr>
        <w:footnoteReference w:id="840"/>
      </w:r>
      <w:r w:rsidR="00143055" w:rsidRPr="007F7EBF">
        <w:rPr>
          <w:sz w:val="22"/>
          <w:szCs w:val="22"/>
        </w:rPr>
        <w:t xml:space="preserve">) </w:t>
      </w:r>
      <w:r w:rsidR="006342C5" w:rsidRPr="007F7EBF">
        <w:rPr>
          <w:sz w:val="22"/>
          <w:szCs w:val="22"/>
        </w:rPr>
        <w:t>ha 60 giorni</w:t>
      </w:r>
      <w:r w:rsidR="00143055" w:rsidRPr="007F7EBF">
        <w:rPr>
          <w:sz w:val="22"/>
          <w:szCs w:val="22"/>
        </w:rPr>
        <w:t xml:space="preserve"> </w:t>
      </w:r>
      <w:r w:rsidR="006342C5" w:rsidRPr="007F7EBF">
        <w:rPr>
          <w:sz w:val="22"/>
          <w:szCs w:val="22"/>
        </w:rPr>
        <w:t xml:space="preserve">di tempo per </w:t>
      </w:r>
      <w:r w:rsidR="006342C5" w:rsidRPr="007F7EBF">
        <w:rPr>
          <w:bCs/>
          <w:sz w:val="22"/>
          <w:szCs w:val="22"/>
        </w:rPr>
        <w:t xml:space="preserve">“costituirsi in giudizio”, </w:t>
      </w:r>
      <w:r w:rsidR="006342C5" w:rsidRPr="007F7EBF">
        <w:rPr>
          <w:sz w:val="22"/>
          <w:szCs w:val="22"/>
        </w:rPr>
        <w:t>cioè prendere posizione sul ricorso con un</w:t>
      </w:r>
      <w:r w:rsidR="0089643B" w:rsidRPr="007F7EBF">
        <w:rPr>
          <w:sz w:val="22"/>
          <w:szCs w:val="22"/>
        </w:rPr>
        <w:t xml:space="preserve"> </w:t>
      </w:r>
      <w:r w:rsidR="003B58E6" w:rsidRPr="007F7EBF">
        <w:rPr>
          <w:sz w:val="22"/>
          <w:szCs w:val="22"/>
        </w:rPr>
        <w:t>atto di controdeduzioni. L</w:t>
      </w:r>
      <w:r w:rsidR="006342C5" w:rsidRPr="007F7EBF">
        <w:rPr>
          <w:sz w:val="22"/>
          <w:szCs w:val="22"/>
        </w:rPr>
        <w:t>’</w:t>
      </w:r>
      <w:r w:rsidR="006342C5" w:rsidRPr="007F7EBF">
        <w:rPr>
          <w:bCs/>
          <w:sz w:val="22"/>
          <w:szCs w:val="22"/>
        </w:rPr>
        <w:t xml:space="preserve">inerzia del resistente </w:t>
      </w:r>
      <w:r w:rsidR="006342C5" w:rsidRPr="007F7EBF">
        <w:rPr>
          <w:sz w:val="22"/>
          <w:szCs w:val="22"/>
        </w:rPr>
        <w:t>non comporta alcuna sua automatica</w:t>
      </w:r>
      <w:r w:rsidR="0089643B" w:rsidRPr="007F7EBF">
        <w:rPr>
          <w:sz w:val="22"/>
          <w:szCs w:val="22"/>
        </w:rPr>
        <w:t xml:space="preserve"> </w:t>
      </w:r>
      <w:r w:rsidR="006342C5" w:rsidRPr="007F7EBF">
        <w:rPr>
          <w:sz w:val="22"/>
          <w:szCs w:val="22"/>
        </w:rPr>
        <w:t>sconfitta, già nel processo civile; il giudice ben potrebbe infatti respingere il ricorso,</w:t>
      </w:r>
      <w:r w:rsidR="008A0ABA" w:rsidRPr="007F7EBF">
        <w:rPr>
          <w:sz w:val="22"/>
          <w:szCs w:val="22"/>
        </w:rPr>
        <w:t xml:space="preserve"> </w:t>
      </w:r>
      <w:r w:rsidR="006342C5" w:rsidRPr="007F7EBF">
        <w:rPr>
          <w:sz w:val="22"/>
          <w:szCs w:val="22"/>
        </w:rPr>
        <w:t>in quanto non fondato in fatto o in diritto, anche se il resistente non ha partecipato al</w:t>
      </w:r>
      <w:r w:rsidR="008A0ABA" w:rsidRPr="007F7EBF">
        <w:rPr>
          <w:sz w:val="22"/>
          <w:szCs w:val="22"/>
        </w:rPr>
        <w:t xml:space="preserve"> </w:t>
      </w:r>
      <w:r w:rsidR="006342C5" w:rsidRPr="007F7EBF">
        <w:rPr>
          <w:sz w:val="22"/>
          <w:szCs w:val="22"/>
        </w:rPr>
        <w:t>giudizio; la mancata costituzione comporta solo pregiudizi di rito, come il mancato invio</w:t>
      </w:r>
      <w:r w:rsidR="008A0ABA" w:rsidRPr="007F7EBF">
        <w:rPr>
          <w:sz w:val="22"/>
          <w:szCs w:val="22"/>
        </w:rPr>
        <w:t xml:space="preserve"> </w:t>
      </w:r>
      <w:r w:rsidR="006342C5" w:rsidRPr="007F7EBF">
        <w:rPr>
          <w:sz w:val="22"/>
          <w:szCs w:val="22"/>
        </w:rPr>
        <w:t>dell’avviso di udienza (art. 31) o la mancata comunicazione della sentenza (art. 37),</w:t>
      </w:r>
      <w:r w:rsidR="00735435" w:rsidRPr="007F7EBF">
        <w:rPr>
          <w:sz w:val="22"/>
          <w:szCs w:val="22"/>
        </w:rPr>
        <w:t xml:space="preserve"> </w:t>
      </w:r>
      <w:r w:rsidR="006342C5" w:rsidRPr="007F7EBF">
        <w:rPr>
          <w:sz w:val="22"/>
          <w:szCs w:val="22"/>
        </w:rPr>
        <w:t>riservate alle parti costituite.</w:t>
      </w:r>
    </w:p>
    <w:p w14:paraId="5DCC748C" w14:textId="77777777" w:rsidR="003B58E6" w:rsidRPr="007F7EBF" w:rsidRDefault="003B58E6" w:rsidP="00583B1C">
      <w:pPr>
        <w:pStyle w:val="tit23"/>
        <w:ind w:left="6464" w:right="-1361" w:firstLine="0"/>
        <w:jc w:val="left"/>
        <w:rPr>
          <w:bCs/>
          <w:i/>
          <w:iCs/>
          <w:color w:val="0000FF"/>
          <w:lang w:val="it-IT"/>
        </w:rPr>
      </w:pPr>
      <w:r w:rsidRPr="007F7EBF">
        <w:rPr>
          <w:bCs/>
          <w:i/>
          <w:iCs/>
          <w:color w:val="0000FF"/>
          <w:lang w:val="it-IT"/>
        </w:rPr>
        <w:lastRenderedPageBreak/>
        <w:t>Comunicazione udienza e memorie</w:t>
      </w:r>
    </w:p>
    <w:p w14:paraId="07A006B7" w14:textId="77777777" w:rsidR="003B58E6" w:rsidRPr="007F7EBF" w:rsidRDefault="00583B1C" w:rsidP="003B58E6">
      <w:pPr>
        <w:autoSpaceDE w:val="0"/>
        <w:autoSpaceDN w:val="0"/>
        <w:adjustRightInd w:val="0"/>
        <w:rPr>
          <w:sz w:val="22"/>
          <w:szCs w:val="22"/>
        </w:rPr>
      </w:pPr>
      <w:r w:rsidRPr="007F7EBF">
        <w:rPr>
          <w:sz w:val="22"/>
          <w:szCs w:val="22"/>
        </w:rPr>
        <w:t>Dopo un esame preliminare, di fatto abbastanza raro</w:t>
      </w:r>
      <w:r w:rsidRPr="007F7EBF">
        <w:rPr>
          <w:rStyle w:val="Rimandonotaapidipagina"/>
          <w:sz w:val="22"/>
          <w:szCs w:val="22"/>
        </w:rPr>
        <w:footnoteReference w:id="841"/>
      </w:r>
      <w:r w:rsidRPr="007F7EBF">
        <w:rPr>
          <w:sz w:val="22"/>
          <w:szCs w:val="22"/>
        </w:rPr>
        <w:t>, v</w:t>
      </w:r>
      <w:r w:rsidR="006342C5" w:rsidRPr="007F7EBF">
        <w:rPr>
          <w:sz w:val="22"/>
          <w:szCs w:val="22"/>
        </w:rPr>
        <w:t>iene fissata la data di trattazione</w:t>
      </w:r>
      <w:r w:rsidR="007038B0" w:rsidRPr="007F7EBF">
        <w:rPr>
          <w:sz w:val="22"/>
          <w:szCs w:val="22"/>
        </w:rPr>
        <w:t xml:space="preserve"> (</w:t>
      </w:r>
      <w:r w:rsidR="002E48A8" w:rsidRPr="007F7EBF">
        <w:rPr>
          <w:rStyle w:val="Rimandonotaapidipagina"/>
          <w:sz w:val="22"/>
          <w:szCs w:val="22"/>
        </w:rPr>
        <w:footnoteReference w:id="842"/>
      </w:r>
      <w:r w:rsidR="007038B0" w:rsidRPr="007F7EBF">
        <w:rPr>
          <w:sz w:val="22"/>
          <w:szCs w:val="22"/>
        </w:rPr>
        <w:t>)</w:t>
      </w:r>
      <w:r w:rsidR="006342C5" w:rsidRPr="007F7EBF">
        <w:rPr>
          <w:sz w:val="22"/>
          <w:szCs w:val="22"/>
        </w:rPr>
        <w:t>,</w:t>
      </w:r>
      <w:r w:rsidR="008A0ABA" w:rsidRPr="007F7EBF">
        <w:rPr>
          <w:sz w:val="22"/>
          <w:szCs w:val="22"/>
        </w:rPr>
        <w:t xml:space="preserve"> </w:t>
      </w:r>
      <w:r w:rsidR="006342C5" w:rsidRPr="007F7EBF">
        <w:rPr>
          <w:sz w:val="22"/>
          <w:szCs w:val="22"/>
        </w:rPr>
        <w:t>comunicata al contribuente e all’ufficio, se costituitosi (art. 31).</w:t>
      </w:r>
      <w:r w:rsidR="007038B0" w:rsidRPr="007F7EBF">
        <w:rPr>
          <w:bCs/>
          <w:i/>
          <w:iCs/>
          <w:color w:val="0000FF"/>
          <w:sz w:val="22"/>
          <w:szCs w:val="22"/>
        </w:rPr>
        <w:t xml:space="preserve"> </w:t>
      </w:r>
      <w:r w:rsidR="006342C5" w:rsidRPr="007F7EBF">
        <w:rPr>
          <w:sz w:val="22"/>
          <w:szCs w:val="22"/>
        </w:rPr>
        <w:t xml:space="preserve"> </w:t>
      </w:r>
      <w:r w:rsidR="007038B0" w:rsidRPr="007F7EBF">
        <w:rPr>
          <w:sz w:val="22"/>
          <w:szCs w:val="22"/>
        </w:rPr>
        <w:t xml:space="preserve">E' possibile </w:t>
      </w:r>
      <w:r w:rsidR="006342C5" w:rsidRPr="007F7EBF">
        <w:rPr>
          <w:bCs/>
          <w:sz w:val="22"/>
          <w:szCs w:val="22"/>
        </w:rPr>
        <w:t xml:space="preserve">presentare documenti e «memorie illustrative» </w:t>
      </w:r>
      <w:r w:rsidR="006342C5" w:rsidRPr="007F7EBF">
        <w:rPr>
          <w:sz w:val="22"/>
          <w:szCs w:val="22"/>
        </w:rPr>
        <w:t>dei motivi</w:t>
      </w:r>
      <w:r w:rsidR="008A0ABA" w:rsidRPr="007F7EBF">
        <w:rPr>
          <w:sz w:val="22"/>
          <w:szCs w:val="22"/>
        </w:rPr>
        <w:t xml:space="preserve"> </w:t>
      </w:r>
      <w:r w:rsidR="006342C5" w:rsidRPr="007F7EBF">
        <w:rPr>
          <w:sz w:val="22"/>
          <w:szCs w:val="22"/>
        </w:rPr>
        <w:t>già fatti valere, nei termini di dieci giorni prima dell’udienza (per le memorie) e di 20</w:t>
      </w:r>
      <w:r w:rsidR="00143055" w:rsidRPr="007F7EBF">
        <w:rPr>
          <w:sz w:val="22"/>
          <w:szCs w:val="22"/>
        </w:rPr>
        <w:t xml:space="preserve"> </w:t>
      </w:r>
      <w:r w:rsidR="006342C5" w:rsidRPr="007F7EBF">
        <w:rPr>
          <w:sz w:val="22"/>
          <w:szCs w:val="22"/>
        </w:rPr>
        <w:t>giorni per i documenti</w:t>
      </w:r>
      <w:r w:rsidR="007038B0" w:rsidRPr="007F7EBF">
        <w:rPr>
          <w:sz w:val="22"/>
          <w:szCs w:val="22"/>
        </w:rPr>
        <w:t>, presentati in segreteria (</w:t>
      </w:r>
      <w:r w:rsidRPr="007F7EBF">
        <w:rPr>
          <w:rStyle w:val="Rimandonotaapidipagina"/>
          <w:sz w:val="22"/>
          <w:szCs w:val="22"/>
        </w:rPr>
        <w:footnoteReference w:id="843"/>
      </w:r>
      <w:r w:rsidR="007038B0" w:rsidRPr="007F7EBF">
        <w:rPr>
          <w:sz w:val="22"/>
          <w:szCs w:val="22"/>
        </w:rPr>
        <w:t xml:space="preserve">). </w:t>
      </w:r>
    </w:p>
    <w:p w14:paraId="212E4484" w14:textId="72572F2B" w:rsidR="003B58E6" w:rsidRPr="007F7EBF" w:rsidRDefault="003B58E6" w:rsidP="003B58E6">
      <w:pPr>
        <w:pStyle w:val="tit23"/>
        <w:ind w:left="6464" w:right="-1361" w:firstLine="0"/>
        <w:jc w:val="left"/>
        <w:rPr>
          <w:bCs/>
          <w:i/>
          <w:iCs/>
          <w:color w:val="0000FF"/>
          <w:lang w:val="it-IT"/>
        </w:rPr>
      </w:pPr>
      <w:r w:rsidRPr="007F7EBF">
        <w:rPr>
          <w:bCs/>
          <w:i/>
          <w:iCs/>
          <w:color w:val="0000FF"/>
          <w:lang w:val="it-IT"/>
        </w:rPr>
        <w:t>sommarietà dell’udienza</w:t>
      </w:r>
      <w:r w:rsidR="0086178F">
        <w:rPr>
          <w:bCs/>
          <w:i/>
          <w:iCs/>
          <w:color w:val="0000FF"/>
          <w:lang w:val="it-IT"/>
        </w:rPr>
        <w:t xml:space="preserve"> e difficoltà d’interlocuzione </w:t>
      </w:r>
    </w:p>
    <w:p w14:paraId="3EE08504" w14:textId="15B968A7" w:rsidR="003B58E6" w:rsidRPr="007F7EBF" w:rsidRDefault="006342C5" w:rsidP="0086178F">
      <w:pPr>
        <w:autoSpaceDE w:val="0"/>
        <w:autoSpaceDN w:val="0"/>
        <w:adjustRightInd w:val="0"/>
        <w:rPr>
          <w:bCs/>
          <w:i/>
          <w:iCs/>
          <w:color w:val="0000FF"/>
        </w:rPr>
      </w:pPr>
      <w:r w:rsidRPr="007F7EBF">
        <w:rPr>
          <w:sz w:val="22"/>
          <w:szCs w:val="22"/>
        </w:rPr>
        <w:t>L’attuale processo tributario prevede l’</w:t>
      </w:r>
      <w:r w:rsidRPr="007F7EBF">
        <w:rPr>
          <w:bCs/>
          <w:sz w:val="22"/>
          <w:szCs w:val="22"/>
        </w:rPr>
        <w:t xml:space="preserve">udienza pubblica </w:t>
      </w:r>
      <w:r w:rsidRPr="007F7EBF">
        <w:rPr>
          <w:sz w:val="22"/>
          <w:szCs w:val="22"/>
        </w:rPr>
        <w:t>solo se una delle parti la</w:t>
      </w:r>
      <w:r w:rsidR="008A0ABA" w:rsidRPr="007F7EBF">
        <w:rPr>
          <w:sz w:val="22"/>
          <w:szCs w:val="22"/>
        </w:rPr>
        <w:t xml:space="preserve"> </w:t>
      </w:r>
      <w:r w:rsidRPr="007F7EBF">
        <w:rPr>
          <w:sz w:val="22"/>
          <w:szCs w:val="22"/>
        </w:rPr>
        <w:t>richiede, altrimenti la controversia viene decisa in camera di consiglio, alla presenza cioè</w:t>
      </w:r>
      <w:r w:rsidR="007038B0" w:rsidRPr="007F7EBF">
        <w:rPr>
          <w:sz w:val="22"/>
          <w:szCs w:val="22"/>
        </w:rPr>
        <w:t xml:space="preserve"> </w:t>
      </w:r>
      <w:r w:rsidRPr="007F7EBF">
        <w:rPr>
          <w:sz w:val="22"/>
          <w:szCs w:val="22"/>
        </w:rPr>
        <w:t>dei soli giudici e del segretario.</w:t>
      </w:r>
      <w:r w:rsidR="008A0ABA" w:rsidRPr="007F7EBF">
        <w:rPr>
          <w:sz w:val="22"/>
          <w:szCs w:val="22"/>
        </w:rPr>
        <w:t xml:space="preserve"> </w:t>
      </w:r>
      <w:r w:rsidRPr="007F7EBF">
        <w:rPr>
          <w:sz w:val="22"/>
          <w:szCs w:val="22"/>
        </w:rPr>
        <w:t>Nella pubblica udienza, il componente della commissione che funge da relatore illustra</w:t>
      </w:r>
      <w:r w:rsidR="008A0ABA" w:rsidRPr="007F7EBF">
        <w:rPr>
          <w:sz w:val="22"/>
          <w:szCs w:val="22"/>
        </w:rPr>
        <w:t xml:space="preserve"> </w:t>
      </w:r>
      <w:r w:rsidR="00487537" w:rsidRPr="007F7EBF">
        <w:rPr>
          <w:sz w:val="22"/>
          <w:szCs w:val="22"/>
        </w:rPr>
        <w:t>la questione, i</w:t>
      </w:r>
      <w:r w:rsidR="003B58E6" w:rsidRPr="007F7EBF">
        <w:rPr>
          <w:sz w:val="22"/>
          <w:szCs w:val="22"/>
        </w:rPr>
        <w:t>n genere in modo molto asettico</w:t>
      </w:r>
      <w:r w:rsidR="00E134D4" w:rsidRPr="007F7EBF">
        <w:rPr>
          <w:sz w:val="22"/>
          <w:szCs w:val="22"/>
        </w:rPr>
        <w:t xml:space="preserve">. </w:t>
      </w:r>
    </w:p>
    <w:p w14:paraId="465BAFD6" w14:textId="77777777" w:rsidR="00C54D05" w:rsidRPr="00B877E6" w:rsidRDefault="00C16BFB" w:rsidP="00B877E6">
      <w:pPr>
        <w:autoSpaceDE w:val="0"/>
        <w:autoSpaceDN w:val="0"/>
        <w:adjustRightInd w:val="0"/>
        <w:rPr>
          <w:sz w:val="22"/>
          <w:szCs w:val="22"/>
        </w:rPr>
      </w:pPr>
      <w:r w:rsidRPr="007F7EBF">
        <w:rPr>
          <w:sz w:val="22"/>
          <w:szCs w:val="22"/>
        </w:rPr>
        <w:t xml:space="preserve">Il </w:t>
      </w:r>
      <w:r w:rsidR="00E134D4" w:rsidRPr="007F7EBF">
        <w:rPr>
          <w:sz w:val="22"/>
          <w:szCs w:val="22"/>
        </w:rPr>
        <w:t>contribuente e il rappresentante dell’ufficio tributario</w:t>
      </w:r>
      <w:r w:rsidRPr="007F7EBF">
        <w:rPr>
          <w:sz w:val="22"/>
          <w:szCs w:val="22"/>
        </w:rPr>
        <w:t xml:space="preserve"> possono poi illustrare i propri scritti, durante un’interlocuzione a durata variabile, ma che in media non supera un quarto d’ora, ed è spesso molto più breve</w:t>
      </w:r>
      <w:r w:rsidR="00E134D4" w:rsidRPr="007F7EBF">
        <w:rPr>
          <w:sz w:val="22"/>
          <w:szCs w:val="22"/>
        </w:rPr>
        <w:t xml:space="preserve">. </w:t>
      </w:r>
      <w:r w:rsidRPr="007F7EBF">
        <w:rPr>
          <w:sz w:val="22"/>
          <w:szCs w:val="22"/>
        </w:rPr>
        <w:t xml:space="preserve">E’ quindi  </w:t>
      </w:r>
      <w:r w:rsidR="006C3612" w:rsidRPr="007F7EBF">
        <w:rPr>
          <w:sz w:val="22"/>
          <w:szCs w:val="22"/>
        </w:rPr>
        <w:t>difficile interloquire, precisare punti speci</w:t>
      </w:r>
      <w:r w:rsidR="00D265C8" w:rsidRPr="007F7EBF">
        <w:rPr>
          <w:sz w:val="22"/>
          <w:szCs w:val="22"/>
        </w:rPr>
        <w:t>fici, chiarire dubbi, replicare ad atti scritti spesso volutamente disorientanti e insinuanti</w:t>
      </w:r>
      <w:r w:rsidR="00D265C8" w:rsidRPr="007F7EBF">
        <w:rPr>
          <w:rStyle w:val="Rimandonotaapidipagina"/>
          <w:sz w:val="22"/>
          <w:szCs w:val="22"/>
        </w:rPr>
        <w:footnoteReference w:id="844"/>
      </w:r>
      <w:r w:rsidR="00D265C8" w:rsidRPr="007F7EBF">
        <w:rPr>
          <w:sz w:val="22"/>
          <w:szCs w:val="22"/>
        </w:rPr>
        <w:t>.</w:t>
      </w:r>
    </w:p>
    <w:p w14:paraId="46758639" w14:textId="77777777" w:rsidR="000B7C8A" w:rsidRPr="007F7EBF" w:rsidRDefault="00E37952" w:rsidP="000B7C8A">
      <w:pPr>
        <w:autoSpaceDE w:val="0"/>
        <w:autoSpaceDN w:val="0"/>
        <w:adjustRightInd w:val="0"/>
        <w:rPr>
          <w:sz w:val="22"/>
          <w:szCs w:val="22"/>
        </w:rPr>
      </w:pPr>
      <w:r w:rsidRPr="007F7EBF">
        <w:rPr>
          <w:sz w:val="22"/>
          <w:szCs w:val="22"/>
        </w:rPr>
        <w:lastRenderedPageBreak/>
        <w:t xml:space="preserve">Il processo è quindi in buona parte scritto, come conferma il </w:t>
      </w:r>
      <w:r w:rsidRPr="007F7EBF">
        <w:rPr>
          <w:bCs/>
          <w:sz w:val="22"/>
          <w:szCs w:val="22"/>
        </w:rPr>
        <w:t>divieto di prova testimoniale</w:t>
      </w:r>
      <w:r w:rsidR="00B877E6">
        <w:rPr>
          <w:bCs/>
          <w:sz w:val="22"/>
          <w:szCs w:val="22"/>
        </w:rPr>
        <w:t xml:space="preserve"> (</w:t>
      </w:r>
      <w:r w:rsidRPr="007F7EBF">
        <w:rPr>
          <w:rStyle w:val="Rimandonotaapidipagina"/>
          <w:sz w:val="22"/>
          <w:szCs w:val="22"/>
        </w:rPr>
        <w:footnoteReference w:id="845"/>
      </w:r>
      <w:r w:rsidR="00B877E6">
        <w:rPr>
          <w:bCs/>
          <w:sz w:val="22"/>
          <w:szCs w:val="22"/>
        </w:rPr>
        <w:t>)</w:t>
      </w:r>
      <w:r w:rsidRPr="007F7EBF">
        <w:rPr>
          <w:sz w:val="22"/>
          <w:szCs w:val="22"/>
        </w:rPr>
        <w:t xml:space="preserve">. Manca una dialettica in cui il giudice possa chiarirsi le idee, </w:t>
      </w:r>
      <w:r w:rsidR="00C54D05" w:rsidRPr="007F7EBF">
        <w:rPr>
          <w:sz w:val="22"/>
          <w:szCs w:val="22"/>
        </w:rPr>
        <w:t>mette</w:t>
      </w:r>
      <w:r w:rsidRPr="007F7EBF">
        <w:rPr>
          <w:sz w:val="22"/>
          <w:szCs w:val="22"/>
        </w:rPr>
        <w:t>ndo</w:t>
      </w:r>
      <w:r w:rsidR="00C54D05" w:rsidRPr="007F7EBF">
        <w:rPr>
          <w:sz w:val="22"/>
          <w:szCs w:val="22"/>
        </w:rPr>
        <w:t xml:space="preserve"> a fuoco i punti salienti della questione (</w:t>
      </w:r>
      <w:r w:rsidR="002E48A8" w:rsidRPr="007F7EBF">
        <w:rPr>
          <w:rStyle w:val="Rimandonotaapidipagina"/>
          <w:sz w:val="22"/>
          <w:szCs w:val="22"/>
        </w:rPr>
        <w:footnoteReference w:id="846"/>
      </w:r>
      <w:r w:rsidR="00C54D05" w:rsidRPr="007F7EBF">
        <w:rPr>
          <w:sz w:val="22"/>
          <w:szCs w:val="22"/>
        </w:rPr>
        <w:t xml:space="preserve">). </w:t>
      </w:r>
    </w:p>
    <w:p w14:paraId="25AB1E9D" w14:textId="77777777" w:rsidR="000B7C8A" w:rsidRPr="007F7EBF" w:rsidRDefault="000B7C8A" w:rsidP="000B7C8A">
      <w:pPr>
        <w:pStyle w:val="tit23"/>
        <w:ind w:left="6464" w:right="-1361" w:firstLine="0"/>
        <w:jc w:val="left"/>
        <w:rPr>
          <w:bCs/>
          <w:i/>
          <w:iCs/>
          <w:color w:val="0000FF"/>
          <w:lang w:val="it-IT"/>
        </w:rPr>
      </w:pPr>
      <w:r w:rsidRPr="007F7EBF">
        <w:rPr>
          <w:bCs/>
          <w:i/>
          <w:iCs/>
          <w:color w:val="0000FF"/>
          <w:lang w:val="it-IT"/>
        </w:rPr>
        <w:t xml:space="preserve"> decisioni “a </w:t>
      </w:r>
      <w:proofErr w:type="spellStart"/>
      <w:r w:rsidRPr="007F7EBF">
        <w:rPr>
          <w:bCs/>
          <w:i/>
          <w:iCs/>
          <w:color w:val="0000FF"/>
          <w:lang w:val="it-IT"/>
        </w:rPr>
        <w:t>sopresa</w:t>
      </w:r>
      <w:proofErr w:type="spellEnd"/>
      <w:r w:rsidRPr="007F7EBF">
        <w:rPr>
          <w:bCs/>
          <w:i/>
          <w:iCs/>
          <w:color w:val="0000FF"/>
          <w:lang w:val="it-IT"/>
        </w:rPr>
        <w:t>” e “giusto processo”</w:t>
      </w:r>
    </w:p>
    <w:p w14:paraId="4EBA4549" w14:textId="6BDF3E47" w:rsidR="00A513C3" w:rsidRPr="00A513C3" w:rsidRDefault="00B877E6" w:rsidP="00A513C3">
      <w:pPr>
        <w:autoSpaceDE w:val="0"/>
        <w:autoSpaceDN w:val="0"/>
        <w:adjustRightInd w:val="0"/>
      </w:pPr>
      <w:r w:rsidRPr="007F7EBF">
        <w:rPr>
          <w:sz w:val="22"/>
          <w:szCs w:val="22"/>
        </w:rPr>
        <w:t>Dopo l'udienza la causa viene messa subito in decisione, e le richieste istruttorie</w:t>
      </w:r>
      <w:r w:rsidR="00AC6F82">
        <w:rPr>
          <w:sz w:val="22"/>
          <w:szCs w:val="22"/>
        </w:rPr>
        <w:t xml:space="preserve"> del giudice</w:t>
      </w:r>
      <w:r w:rsidRPr="007F7EBF">
        <w:rPr>
          <w:sz w:val="22"/>
          <w:szCs w:val="22"/>
        </w:rPr>
        <w:t xml:space="preserve">, come l'ordine di </w:t>
      </w:r>
      <w:r w:rsidRPr="007F7EBF">
        <w:rPr>
          <w:bCs/>
          <w:sz w:val="22"/>
          <w:szCs w:val="22"/>
        </w:rPr>
        <w:t xml:space="preserve">presentare atti e documenti </w:t>
      </w:r>
      <w:r w:rsidRPr="007F7EBF">
        <w:rPr>
          <w:sz w:val="22"/>
          <w:szCs w:val="22"/>
        </w:rPr>
        <w:t>destinati a confermare la veridicità di alcune affermazioni di parte, sono molto rare</w:t>
      </w:r>
      <w:r w:rsidR="00AC6F82">
        <w:rPr>
          <w:sz w:val="22"/>
          <w:szCs w:val="22"/>
        </w:rPr>
        <w:t xml:space="preserve"> </w:t>
      </w:r>
      <w:r>
        <w:rPr>
          <w:sz w:val="22"/>
          <w:szCs w:val="22"/>
        </w:rPr>
        <w:t>(</w:t>
      </w:r>
      <w:r w:rsidRPr="007F7EBF">
        <w:rPr>
          <w:rStyle w:val="Rimandonotaapidipagina"/>
          <w:sz w:val="22"/>
          <w:szCs w:val="22"/>
        </w:rPr>
        <w:footnoteReference w:id="847"/>
      </w:r>
      <w:r>
        <w:rPr>
          <w:sz w:val="22"/>
          <w:szCs w:val="22"/>
        </w:rPr>
        <w:t>)</w:t>
      </w:r>
      <w:r w:rsidRPr="007F7EBF">
        <w:rPr>
          <w:sz w:val="22"/>
          <w:szCs w:val="22"/>
        </w:rPr>
        <w:t xml:space="preserve">. </w:t>
      </w:r>
      <w:r w:rsidR="00AC6F82">
        <w:rPr>
          <w:sz w:val="22"/>
          <w:szCs w:val="22"/>
        </w:rPr>
        <w:t>E’ quindi d</w:t>
      </w:r>
      <w:r w:rsidR="007C3407" w:rsidRPr="007F7EBF">
        <w:rPr>
          <w:sz w:val="22"/>
          <w:szCs w:val="22"/>
        </w:rPr>
        <w:t xml:space="preserve">ifficile capire </w:t>
      </w:r>
      <w:r w:rsidR="00C54D05" w:rsidRPr="007F7EBF">
        <w:rPr>
          <w:sz w:val="22"/>
          <w:szCs w:val="22"/>
        </w:rPr>
        <w:t>l'orientamento del giudice</w:t>
      </w:r>
      <w:r w:rsidR="007C3407" w:rsidRPr="007F7EBF">
        <w:rPr>
          <w:sz w:val="22"/>
          <w:szCs w:val="22"/>
        </w:rPr>
        <w:t xml:space="preserve"> prima della sentenza, </w:t>
      </w:r>
      <w:r w:rsidR="00592EE2">
        <w:rPr>
          <w:sz w:val="22"/>
          <w:szCs w:val="22"/>
        </w:rPr>
        <w:t>la quale</w:t>
      </w:r>
      <w:r w:rsidR="007C3407" w:rsidRPr="007F7EBF">
        <w:rPr>
          <w:sz w:val="22"/>
          <w:szCs w:val="22"/>
        </w:rPr>
        <w:t xml:space="preserve"> spesso è “a sorpresa” </w:t>
      </w:r>
      <w:r>
        <w:rPr>
          <w:sz w:val="22"/>
          <w:szCs w:val="22"/>
        </w:rPr>
        <w:t>(</w:t>
      </w:r>
      <w:r w:rsidR="007C3407" w:rsidRPr="007F7EBF">
        <w:rPr>
          <w:rStyle w:val="Rimandonotaapidipagina"/>
          <w:sz w:val="22"/>
          <w:szCs w:val="22"/>
        </w:rPr>
        <w:footnoteReference w:id="848"/>
      </w:r>
      <w:r>
        <w:rPr>
          <w:sz w:val="22"/>
          <w:szCs w:val="22"/>
        </w:rPr>
        <w:t>)</w:t>
      </w:r>
      <w:r w:rsidR="00A513C3">
        <w:rPr>
          <w:sz w:val="22"/>
          <w:szCs w:val="22"/>
        </w:rPr>
        <w:t xml:space="preserve">. Questo soprattutto  davanti a una pluralità di argomenti riversati in giudizio, spesso in modo confuso e causidico, soprattutto per le controversie di stima e di fiscalità specialistica (par.6.10) ; in questi casi è quindi </w:t>
      </w:r>
      <w:r w:rsidR="00A513C3">
        <w:t xml:space="preserve">difficilissimo prevedere </w:t>
      </w:r>
      <w:r w:rsidR="00A513C3" w:rsidRPr="007F7EBF">
        <w:t>cosa colpir</w:t>
      </w:r>
      <w:r w:rsidR="00A513C3">
        <w:t xml:space="preserve">à </w:t>
      </w:r>
      <w:r w:rsidR="00A513C3" w:rsidRPr="007F7EBF">
        <w:t>la disorientata e sbrigativa sensibilità di giudici preoccupati soprattutto di "smaltire la pratica"</w:t>
      </w:r>
      <w:r w:rsidR="00A513C3">
        <w:t xml:space="preserve"> </w:t>
      </w:r>
      <w:r w:rsidR="00A513C3">
        <w:rPr>
          <w:sz w:val="22"/>
          <w:szCs w:val="22"/>
        </w:rPr>
        <w:t>(</w:t>
      </w:r>
      <w:r w:rsidR="00A513C3" w:rsidRPr="007F7EBF">
        <w:rPr>
          <w:rStyle w:val="Rimandonotaapidipagina"/>
          <w:sz w:val="22"/>
          <w:szCs w:val="22"/>
        </w:rPr>
        <w:footnoteReference w:id="849"/>
      </w:r>
      <w:r w:rsidR="00A513C3">
        <w:rPr>
          <w:sz w:val="22"/>
          <w:szCs w:val="22"/>
        </w:rPr>
        <w:t>)</w:t>
      </w:r>
      <w:r w:rsidR="00A513C3">
        <w:t xml:space="preserve">. </w:t>
      </w:r>
    </w:p>
    <w:p w14:paraId="30C221B6" w14:textId="15E8ADC4" w:rsidR="004F5B9B" w:rsidRPr="007F7EBF" w:rsidRDefault="00C55A51" w:rsidP="004F5B9B">
      <w:pPr>
        <w:autoSpaceDE w:val="0"/>
        <w:autoSpaceDN w:val="0"/>
        <w:adjustRightInd w:val="0"/>
        <w:rPr>
          <w:bCs/>
          <w:sz w:val="22"/>
          <w:szCs w:val="22"/>
        </w:rPr>
      </w:pPr>
      <w:r>
        <w:rPr>
          <w:sz w:val="22"/>
          <w:szCs w:val="22"/>
        </w:rPr>
        <w:t xml:space="preserve">A questo si collega anche la ricerca </w:t>
      </w:r>
      <w:r w:rsidR="003C07AC" w:rsidRPr="007F7EBF">
        <w:rPr>
          <w:bCs/>
          <w:sz w:val="22"/>
          <w:szCs w:val="22"/>
        </w:rPr>
        <w:t xml:space="preserve">di informazioni parallele, </w:t>
      </w:r>
      <w:r w:rsidR="007C3407" w:rsidRPr="007F7EBF">
        <w:rPr>
          <w:bCs/>
          <w:sz w:val="22"/>
          <w:szCs w:val="22"/>
        </w:rPr>
        <w:t>d</w:t>
      </w:r>
      <w:r w:rsidR="003C07AC" w:rsidRPr="007F7EBF">
        <w:rPr>
          <w:bCs/>
          <w:sz w:val="22"/>
          <w:szCs w:val="22"/>
        </w:rPr>
        <w:t xml:space="preserve">i tipo </w:t>
      </w:r>
      <w:proofErr w:type="spellStart"/>
      <w:r w:rsidR="00AC6F82">
        <w:rPr>
          <w:bCs/>
          <w:sz w:val="22"/>
          <w:szCs w:val="22"/>
        </w:rPr>
        <w:t>ambiental</w:t>
      </w:r>
      <w:proofErr w:type="spellEnd"/>
      <w:r w:rsidR="00AC6F82">
        <w:rPr>
          <w:bCs/>
          <w:sz w:val="22"/>
          <w:szCs w:val="22"/>
        </w:rPr>
        <w:t>-</w:t>
      </w:r>
      <w:r w:rsidR="003C07AC" w:rsidRPr="007F7EBF">
        <w:rPr>
          <w:bCs/>
          <w:sz w:val="22"/>
          <w:szCs w:val="22"/>
        </w:rPr>
        <w:t>relazionale</w:t>
      </w:r>
      <w:r w:rsidR="007C3407" w:rsidRPr="007F7EBF">
        <w:rPr>
          <w:sz w:val="22"/>
          <w:szCs w:val="22"/>
        </w:rPr>
        <w:t xml:space="preserve">, </w:t>
      </w:r>
      <w:r w:rsidR="00FD2A57">
        <w:rPr>
          <w:sz w:val="22"/>
          <w:szCs w:val="22"/>
        </w:rPr>
        <w:t>a</w:t>
      </w:r>
      <w:r w:rsidR="003C07AC" w:rsidRPr="007F7EBF">
        <w:rPr>
          <w:sz w:val="22"/>
          <w:szCs w:val="22"/>
        </w:rPr>
        <w:t>nche solo per informar</w:t>
      </w:r>
      <w:r w:rsidR="00AC6F82">
        <w:rPr>
          <w:sz w:val="22"/>
          <w:szCs w:val="22"/>
        </w:rPr>
        <w:t>e ed informarsi</w:t>
      </w:r>
      <w:r w:rsidR="007C3407" w:rsidRPr="007F7EBF">
        <w:rPr>
          <w:sz w:val="22"/>
          <w:szCs w:val="22"/>
        </w:rPr>
        <w:t>;</w:t>
      </w:r>
      <w:r w:rsidR="00FD2A57">
        <w:rPr>
          <w:sz w:val="22"/>
          <w:szCs w:val="22"/>
        </w:rPr>
        <w:t xml:space="preserve"> </w:t>
      </w:r>
      <w:r w:rsidR="00F5385A">
        <w:rPr>
          <w:sz w:val="22"/>
          <w:szCs w:val="22"/>
        </w:rPr>
        <w:t>questa tendenza al</w:t>
      </w:r>
      <w:r w:rsidR="00A101F7">
        <w:rPr>
          <w:sz w:val="22"/>
          <w:szCs w:val="22"/>
        </w:rPr>
        <w:t>l’</w:t>
      </w:r>
      <w:r w:rsidR="00FD2A57">
        <w:rPr>
          <w:sz w:val="22"/>
          <w:szCs w:val="22"/>
        </w:rPr>
        <w:t xml:space="preserve">“avvicinamento” di giudici così eterogenei, e con contatti reciproci molto modesti, </w:t>
      </w:r>
      <w:r w:rsidR="003C07AC" w:rsidRPr="007F7EBF">
        <w:rPr>
          <w:sz w:val="22"/>
          <w:szCs w:val="22"/>
        </w:rPr>
        <w:t>degenera</w:t>
      </w:r>
      <w:r w:rsidR="00F5385A">
        <w:rPr>
          <w:sz w:val="22"/>
          <w:szCs w:val="22"/>
        </w:rPr>
        <w:t xml:space="preserve"> talvolta in episodi </w:t>
      </w:r>
      <w:r w:rsidR="003C07AC" w:rsidRPr="007F7EBF">
        <w:rPr>
          <w:sz w:val="22"/>
          <w:szCs w:val="22"/>
        </w:rPr>
        <w:t>corruttiv</w:t>
      </w:r>
      <w:r w:rsidR="00F5385A">
        <w:rPr>
          <w:sz w:val="22"/>
          <w:szCs w:val="22"/>
        </w:rPr>
        <w:t>i</w:t>
      </w:r>
      <w:r w:rsidR="003C07AC" w:rsidRPr="007F7EBF">
        <w:rPr>
          <w:sz w:val="22"/>
          <w:szCs w:val="22"/>
        </w:rPr>
        <w:t>, riportat</w:t>
      </w:r>
      <w:r w:rsidR="00F5385A">
        <w:rPr>
          <w:sz w:val="22"/>
          <w:szCs w:val="22"/>
        </w:rPr>
        <w:t>i</w:t>
      </w:r>
      <w:r w:rsidR="003C07AC" w:rsidRPr="007F7EBF">
        <w:rPr>
          <w:sz w:val="22"/>
          <w:szCs w:val="22"/>
        </w:rPr>
        <w:t xml:space="preserve"> dalla </w:t>
      </w:r>
      <w:r w:rsidR="003C07AC" w:rsidRPr="007F7EBF">
        <w:rPr>
          <w:bCs/>
          <w:sz w:val="22"/>
          <w:szCs w:val="22"/>
        </w:rPr>
        <w:t xml:space="preserve"> cronaca</w:t>
      </w:r>
      <w:r w:rsidR="00FD2A57">
        <w:rPr>
          <w:bCs/>
          <w:sz w:val="22"/>
          <w:szCs w:val="22"/>
        </w:rPr>
        <w:t xml:space="preserve"> </w:t>
      </w:r>
      <w:r w:rsidR="00FD2A57">
        <w:rPr>
          <w:sz w:val="22"/>
          <w:szCs w:val="22"/>
        </w:rPr>
        <w:t>(</w:t>
      </w:r>
      <w:r w:rsidR="00FD2A57" w:rsidRPr="007F7EBF">
        <w:rPr>
          <w:rStyle w:val="Rimandonotaapidipagina"/>
          <w:sz w:val="22"/>
          <w:szCs w:val="22"/>
        </w:rPr>
        <w:footnoteReference w:id="850"/>
      </w:r>
      <w:r w:rsidR="00FD2A57">
        <w:rPr>
          <w:sz w:val="22"/>
          <w:szCs w:val="22"/>
        </w:rPr>
        <w:t xml:space="preserve">) </w:t>
      </w:r>
      <w:r w:rsidR="003C07AC" w:rsidRPr="007F7EBF">
        <w:rPr>
          <w:bCs/>
          <w:sz w:val="22"/>
          <w:szCs w:val="22"/>
        </w:rPr>
        <w:t xml:space="preserve">. </w:t>
      </w:r>
    </w:p>
    <w:p w14:paraId="256468FB" w14:textId="6E7148DE" w:rsidR="00AD68AE" w:rsidRPr="007F7EBF" w:rsidRDefault="004C7B63" w:rsidP="00AD68AE">
      <w:pPr>
        <w:pStyle w:val="tit23"/>
        <w:ind w:left="6464" w:right="-1361" w:firstLine="0"/>
        <w:jc w:val="left"/>
        <w:rPr>
          <w:bCs/>
          <w:i/>
          <w:iCs/>
          <w:color w:val="0000FF"/>
          <w:lang w:val="it-IT"/>
        </w:rPr>
      </w:pPr>
      <w:r w:rsidRPr="007F7EBF">
        <w:rPr>
          <w:bCs/>
          <w:i/>
          <w:iCs/>
          <w:color w:val="0000FF"/>
          <w:lang w:val="it-IT"/>
        </w:rPr>
        <w:lastRenderedPageBreak/>
        <w:t xml:space="preserve"> </w:t>
      </w:r>
      <w:r w:rsidR="00B850B4" w:rsidRPr="007F7EBF">
        <w:rPr>
          <w:bCs/>
          <w:i/>
          <w:iCs/>
          <w:color w:val="0000FF"/>
          <w:lang w:val="it-IT"/>
        </w:rPr>
        <w:t>A</w:t>
      </w:r>
      <w:r w:rsidRPr="007F7EBF">
        <w:rPr>
          <w:bCs/>
          <w:i/>
          <w:iCs/>
          <w:color w:val="0000FF"/>
          <w:lang w:val="it-IT"/>
        </w:rPr>
        <w:t>nnullamento</w:t>
      </w:r>
      <w:r w:rsidR="00B850B4">
        <w:rPr>
          <w:bCs/>
          <w:i/>
          <w:iCs/>
          <w:color w:val="0000FF"/>
          <w:lang w:val="it-IT"/>
        </w:rPr>
        <w:t xml:space="preserve">  e rideterminazione del tributo</w:t>
      </w:r>
      <w:r w:rsidR="00BB53F4">
        <w:rPr>
          <w:bCs/>
          <w:i/>
          <w:iCs/>
          <w:color w:val="0000FF"/>
          <w:lang w:val="it-IT"/>
        </w:rPr>
        <w:t xml:space="preserve"> (impugnazione merito)</w:t>
      </w:r>
    </w:p>
    <w:p w14:paraId="0DD3048E" w14:textId="7D0A7AA8" w:rsidR="00FC3348" w:rsidRPr="007F7EBF" w:rsidRDefault="00AD68AE" w:rsidP="00B850B4">
      <w:pPr>
        <w:autoSpaceDE w:val="0"/>
        <w:autoSpaceDN w:val="0"/>
        <w:adjustRightInd w:val="0"/>
        <w:rPr>
          <w:bCs/>
          <w:i/>
          <w:iCs/>
          <w:color w:val="0000FF"/>
        </w:rPr>
      </w:pPr>
      <w:r w:rsidRPr="007F7EBF">
        <w:rPr>
          <w:sz w:val="22"/>
          <w:szCs w:val="22"/>
        </w:rPr>
        <w:t xml:space="preserve">Gli errori e le omissioni nella determinazione del tributo diventano </w:t>
      </w:r>
      <w:r w:rsidR="00BA7919" w:rsidRPr="007F7EBF">
        <w:rPr>
          <w:sz w:val="22"/>
          <w:szCs w:val="22"/>
        </w:rPr>
        <w:t>così logicamente altrettanti vizi dell’atto i</w:t>
      </w:r>
      <w:r w:rsidRPr="007F7EBF">
        <w:rPr>
          <w:sz w:val="22"/>
          <w:szCs w:val="22"/>
        </w:rPr>
        <w:t xml:space="preserve">mpugnato; sotto questo profilo, quindi, </w:t>
      </w:r>
      <w:r w:rsidR="00BA7919" w:rsidRPr="007F7EBF">
        <w:rPr>
          <w:sz w:val="22"/>
          <w:szCs w:val="22"/>
        </w:rPr>
        <w:t>l’atto può essere puramente e semplicemente annullato per gravi  vizi, come l</w:t>
      </w:r>
      <w:r w:rsidRPr="007F7EBF">
        <w:rPr>
          <w:sz w:val="22"/>
          <w:szCs w:val="22"/>
        </w:rPr>
        <w:t xml:space="preserve">a </w:t>
      </w:r>
      <w:r w:rsidRPr="007F7EBF">
        <w:rPr>
          <w:bCs/>
          <w:sz w:val="22"/>
          <w:szCs w:val="22"/>
        </w:rPr>
        <w:t>carenza di mo</w:t>
      </w:r>
      <w:r w:rsidR="00FC3348" w:rsidRPr="007F7EBF">
        <w:rPr>
          <w:bCs/>
          <w:sz w:val="22"/>
          <w:szCs w:val="22"/>
        </w:rPr>
        <w:t>tivazione,</w:t>
      </w:r>
      <w:r w:rsidRPr="007F7EBF">
        <w:rPr>
          <w:bCs/>
          <w:sz w:val="22"/>
          <w:szCs w:val="22"/>
        </w:rPr>
        <w:t xml:space="preserve"> di prova </w:t>
      </w:r>
      <w:r w:rsidRPr="007F7EBF">
        <w:rPr>
          <w:sz w:val="22"/>
          <w:szCs w:val="22"/>
        </w:rPr>
        <w:t>(</w:t>
      </w:r>
      <w:r w:rsidRPr="007F7EBF">
        <w:rPr>
          <w:rStyle w:val="Rimandonotaapidipagina"/>
          <w:sz w:val="22"/>
          <w:szCs w:val="22"/>
        </w:rPr>
        <w:footnoteReference w:id="851"/>
      </w:r>
      <w:r w:rsidR="00FC3348" w:rsidRPr="007F7EBF">
        <w:rPr>
          <w:sz w:val="22"/>
          <w:szCs w:val="22"/>
        </w:rPr>
        <w:t>), gravi vizi formali o erronee contestazioni di diritto (</w:t>
      </w:r>
      <w:r w:rsidR="00FC3348" w:rsidRPr="007F7EBF">
        <w:rPr>
          <w:rStyle w:val="Rimandonotaapidipagina"/>
          <w:sz w:val="22"/>
          <w:szCs w:val="22"/>
        </w:rPr>
        <w:footnoteReference w:id="852"/>
      </w:r>
      <w:r w:rsidR="00FC3348" w:rsidRPr="007F7EBF">
        <w:rPr>
          <w:sz w:val="22"/>
          <w:szCs w:val="22"/>
        </w:rPr>
        <w:t>).</w:t>
      </w:r>
    </w:p>
    <w:p w14:paraId="348BB0D3" w14:textId="107145B0" w:rsidR="00DD0D9B" w:rsidRPr="007F7EBF" w:rsidRDefault="00FC3348" w:rsidP="00DD0D9B">
      <w:pPr>
        <w:autoSpaceDE w:val="0"/>
        <w:autoSpaceDN w:val="0"/>
        <w:adjustRightInd w:val="0"/>
        <w:rPr>
          <w:sz w:val="22"/>
          <w:szCs w:val="22"/>
        </w:rPr>
      </w:pPr>
      <w:r w:rsidRPr="00633B9E">
        <w:rPr>
          <w:sz w:val="22"/>
          <w:szCs w:val="22"/>
        </w:rPr>
        <w:t>Nell’ambito della</w:t>
      </w:r>
      <w:r w:rsidRPr="00633B9E">
        <w:rPr>
          <w:bCs/>
          <w:sz w:val="22"/>
          <w:szCs w:val="22"/>
        </w:rPr>
        <w:t xml:space="preserve"> contestazione, </w:t>
      </w:r>
      <w:r w:rsidRPr="00633B9E">
        <w:rPr>
          <w:sz w:val="22"/>
          <w:szCs w:val="22"/>
        </w:rPr>
        <w:t xml:space="preserve">adeguatamente motivata in fatto e in diritto, è però </w:t>
      </w:r>
      <w:r w:rsidR="00B850B4" w:rsidRPr="00633B9E">
        <w:rPr>
          <w:sz w:val="22"/>
          <w:szCs w:val="22"/>
        </w:rPr>
        <w:t>previst</w:t>
      </w:r>
      <w:r w:rsidR="001A4B83">
        <w:rPr>
          <w:sz w:val="22"/>
          <w:szCs w:val="22"/>
        </w:rPr>
        <w:t>a la</w:t>
      </w:r>
      <w:r w:rsidRPr="00633B9E">
        <w:rPr>
          <w:sz w:val="22"/>
          <w:szCs w:val="22"/>
        </w:rPr>
        <w:t xml:space="preserve"> rideterminazione dell’imposta da parte del giudice</w:t>
      </w:r>
      <w:r w:rsidR="001A4B83">
        <w:rPr>
          <w:sz w:val="22"/>
          <w:szCs w:val="22"/>
        </w:rPr>
        <w:t xml:space="preserve">, </w:t>
      </w:r>
      <w:r w:rsidR="00BB53F4">
        <w:rPr>
          <w:sz w:val="22"/>
          <w:szCs w:val="22"/>
        </w:rPr>
        <w:t xml:space="preserve">nei limiti della motivazione dell’atto impositivo (par.6.2); questa c.d. ”impugnazione merito” non è sempre </w:t>
      </w:r>
      <w:r w:rsidR="001A4B83">
        <w:rPr>
          <w:sz w:val="22"/>
          <w:szCs w:val="22"/>
        </w:rPr>
        <w:t xml:space="preserve">riconducibile all’annullamento parziale. </w:t>
      </w:r>
      <w:r w:rsidR="00BB53F4">
        <w:rPr>
          <w:sz w:val="22"/>
          <w:szCs w:val="22"/>
        </w:rPr>
        <w:t xml:space="preserve">Soprattutto negli accertamenti valutativi, basati su molteplici presunzioni parallele e indicative, il giudice rivaluta, in modo creativo, tutti gli elementi di stima riversati nel processo. Queste sentenze a sorpresa portano qualche volta l’impugnazione merito ben al di là dell’annullamento parziale, dove il giudice tiene ferma una parte autosufficiente e organica dell’atto impugnato </w:t>
      </w:r>
      <w:r w:rsidR="00055D0F">
        <w:rPr>
          <w:rStyle w:val="Rimandonotaapidipagina"/>
          <w:sz w:val="22"/>
          <w:szCs w:val="22"/>
        </w:rPr>
        <w:footnoteReference w:id="853"/>
      </w:r>
      <w:r w:rsidR="00055D0F">
        <w:rPr>
          <w:sz w:val="22"/>
          <w:szCs w:val="22"/>
        </w:rPr>
        <w:t xml:space="preserve">. </w:t>
      </w:r>
    </w:p>
    <w:p w14:paraId="6E0B686A" w14:textId="478CB672" w:rsidR="00DD0D9B" w:rsidRPr="007F7EBF" w:rsidRDefault="00DD0D9B" w:rsidP="00DD0D9B">
      <w:pPr>
        <w:pStyle w:val="tit23"/>
        <w:ind w:left="6464" w:right="-1361" w:firstLine="0"/>
        <w:jc w:val="left"/>
        <w:rPr>
          <w:bCs/>
          <w:i/>
          <w:iCs/>
          <w:color w:val="0000FF"/>
          <w:lang w:val="it-IT"/>
        </w:rPr>
      </w:pPr>
      <w:r>
        <w:rPr>
          <w:bCs/>
          <w:i/>
          <w:iCs/>
          <w:color w:val="0000FF"/>
          <w:lang w:val="it-IT"/>
        </w:rPr>
        <w:t xml:space="preserve">Il giudicato </w:t>
      </w:r>
      <w:r w:rsidRPr="007F7EBF">
        <w:rPr>
          <w:bCs/>
          <w:i/>
          <w:iCs/>
          <w:color w:val="0000FF"/>
          <w:lang w:val="it-IT"/>
        </w:rPr>
        <w:t xml:space="preserve"> </w:t>
      </w:r>
    </w:p>
    <w:p w14:paraId="736270C8" w14:textId="214DB5E0" w:rsidR="004F5B9B" w:rsidRPr="007F7EBF" w:rsidRDefault="00B43961" w:rsidP="0045106A">
      <w:pPr>
        <w:autoSpaceDE w:val="0"/>
        <w:autoSpaceDN w:val="0"/>
        <w:adjustRightInd w:val="0"/>
        <w:rPr>
          <w:sz w:val="22"/>
          <w:szCs w:val="22"/>
        </w:rPr>
      </w:pPr>
      <w:r>
        <w:rPr>
          <w:sz w:val="22"/>
          <w:szCs w:val="22"/>
        </w:rPr>
        <w:t>L</w:t>
      </w:r>
      <w:r w:rsidR="00BF16A2">
        <w:rPr>
          <w:sz w:val="22"/>
          <w:szCs w:val="22"/>
        </w:rPr>
        <w:t xml:space="preserve">’istituto processualistico </w:t>
      </w:r>
      <w:r>
        <w:rPr>
          <w:sz w:val="22"/>
          <w:szCs w:val="22"/>
        </w:rPr>
        <w:t xml:space="preserve">del giudicato, principio logico prima che legislativo, va inquadrato nella cornice amministrativistica del diritto tributario; il tema ricorre spesso a proposito dei </w:t>
      </w:r>
      <w:r>
        <w:rPr>
          <w:i/>
          <w:iCs/>
          <w:sz w:val="22"/>
          <w:szCs w:val="22"/>
        </w:rPr>
        <w:t xml:space="preserve">fatti valutativi </w:t>
      </w:r>
      <w:r>
        <w:rPr>
          <w:i/>
          <w:iCs/>
          <w:sz w:val="22"/>
          <w:szCs w:val="22"/>
        </w:rPr>
        <w:lastRenderedPageBreak/>
        <w:t xml:space="preserve">pluriennali </w:t>
      </w:r>
      <w:r>
        <w:rPr>
          <w:sz w:val="22"/>
          <w:szCs w:val="22"/>
        </w:rPr>
        <w:t xml:space="preserve">(par.5.4) che, se accertati con sentenza passata in giudicato, dovrebbero essere rimessi in discussione solo adducendo modifiche degli eventi di riferimento </w:t>
      </w:r>
      <w:r w:rsidR="00BF16A2">
        <w:rPr>
          <w:sz w:val="22"/>
          <w:szCs w:val="22"/>
        </w:rPr>
        <w:t xml:space="preserve"> </w:t>
      </w:r>
      <w:r w:rsidR="00BF16A2">
        <w:rPr>
          <w:rStyle w:val="Rimandonotaapidipagina"/>
          <w:sz w:val="22"/>
          <w:szCs w:val="22"/>
        </w:rPr>
        <w:footnoteReference w:id="854"/>
      </w:r>
      <w:r w:rsidR="00BB53F4">
        <w:rPr>
          <w:sz w:val="22"/>
          <w:szCs w:val="22"/>
        </w:rPr>
        <w:t xml:space="preserve">. </w:t>
      </w:r>
      <w:r w:rsidR="00B71865">
        <w:rPr>
          <w:sz w:val="22"/>
          <w:szCs w:val="22"/>
        </w:rPr>
        <w:t xml:space="preserve">Questo giudicato esterno cade </w:t>
      </w:r>
      <w:r w:rsidR="00DD0D9B">
        <w:t xml:space="preserve"> sull’accertamento del fat</w:t>
      </w:r>
      <w:r w:rsidR="00B71865">
        <w:t xml:space="preserve">to, sia pure complesso, </w:t>
      </w:r>
      <w:r w:rsidR="00DD0D9B">
        <w:t>non sulla questione di diritto, logicamente successiva</w:t>
      </w:r>
      <w:r w:rsidR="00B71865">
        <w:t xml:space="preserve"> e dove ogni giudice è autonomo, senza vincoli al precedente</w:t>
      </w:r>
      <w:r w:rsidR="00DD0D9B">
        <w:t>.</w:t>
      </w:r>
    </w:p>
    <w:p w14:paraId="228DA783" w14:textId="681E9B3E" w:rsidR="004F5B9B" w:rsidRPr="007F7EBF" w:rsidRDefault="00DD0D9B" w:rsidP="004F5B9B">
      <w:pPr>
        <w:pStyle w:val="tit23"/>
        <w:ind w:left="6464" w:right="-1361" w:firstLine="0"/>
        <w:jc w:val="left"/>
        <w:rPr>
          <w:bCs/>
          <w:i/>
          <w:iCs/>
          <w:color w:val="0000FF"/>
          <w:lang w:val="it-IT"/>
        </w:rPr>
      </w:pPr>
      <w:r>
        <w:rPr>
          <w:bCs/>
          <w:i/>
          <w:iCs/>
          <w:color w:val="0000FF"/>
          <w:lang w:val="it-IT"/>
        </w:rPr>
        <w:t>Deposito sentenza</w:t>
      </w:r>
      <w:r w:rsidR="004F5B9B" w:rsidRPr="007F7EBF">
        <w:rPr>
          <w:bCs/>
          <w:i/>
          <w:iCs/>
          <w:color w:val="0000FF"/>
          <w:lang w:val="it-IT"/>
        </w:rPr>
        <w:t xml:space="preserve"> e  termini per l’appello </w:t>
      </w:r>
    </w:p>
    <w:p w14:paraId="6AC27E39" w14:textId="648367C6" w:rsidR="00A101F7" w:rsidRPr="007F7EBF" w:rsidRDefault="00A101F7" w:rsidP="00A101F7">
      <w:pPr>
        <w:autoSpaceDE w:val="0"/>
        <w:autoSpaceDN w:val="0"/>
        <w:adjustRightInd w:val="0"/>
        <w:rPr>
          <w:sz w:val="22"/>
          <w:szCs w:val="22"/>
        </w:rPr>
      </w:pPr>
      <w:r w:rsidRPr="007F7EBF">
        <w:rPr>
          <w:sz w:val="22"/>
          <w:szCs w:val="22"/>
        </w:rPr>
        <w:t xml:space="preserve">Dopo l’udienza i giudici non hanno un termine preciso entro il quale comunicare </w:t>
      </w:r>
      <w:r w:rsidR="002A361B">
        <w:rPr>
          <w:sz w:val="22"/>
          <w:szCs w:val="22"/>
        </w:rPr>
        <w:t>il dispositivo, prima dell’estensione materiale della sentenza, che non può certo essere contestuale, e per la quale c’è un termine ordinatorio di 30 giorni dall’udienza</w:t>
      </w:r>
      <w:r w:rsidR="00CB1682">
        <w:rPr>
          <w:sz w:val="22"/>
          <w:szCs w:val="22"/>
        </w:rPr>
        <w:t xml:space="preserve"> (art.36)</w:t>
      </w:r>
      <w:r w:rsidR="002A361B">
        <w:rPr>
          <w:sz w:val="22"/>
          <w:szCs w:val="22"/>
        </w:rPr>
        <w:t xml:space="preserve">. Il dispositivo non è </w:t>
      </w:r>
      <w:r w:rsidR="00127DE6">
        <w:rPr>
          <w:sz w:val="22"/>
          <w:szCs w:val="22"/>
        </w:rPr>
        <w:t>insomma pres</w:t>
      </w:r>
      <w:r w:rsidR="002A361B">
        <w:rPr>
          <w:sz w:val="22"/>
          <w:szCs w:val="22"/>
        </w:rPr>
        <w:t>o</w:t>
      </w:r>
      <w:r w:rsidR="00127DE6">
        <w:rPr>
          <w:sz w:val="22"/>
          <w:szCs w:val="22"/>
        </w:rPr>
        <w:t xml:space="preserve"> subito dopo l’udienza, e se è pres</w:t>
      </w:r>
      <w:r w:rsidR="002A361B">
        <w:rPr>
          <w:sz w:val="22"/>
          <w:szCs w:val="22"/>
        </w:rPr>
        <w:t>o</w:t>
      </w:r>
      <w:r w:rsidR="00127DE6">
        <w:rPr>
          <w:sz w:val="22"/>
          <w:szCs w:val="22"/>
        </w:rPr>
        <w:t xml:space="preserve"> non risulta</w:t>
      </w:r>
      <w:r w:rsidR="002A361B">
        <w:rPr>
          <w:sz w:val="22"/>
          <w:szCs w:val="22"/>
        </w:rPr>
        <w:t>, il che non contrasta adeguatamente</w:t>
      </w:r>
      <w:r w:rsidR="00127DE6">
        <w:rPr>
          <w:sz w:val="22"/>
          <w:szCs w:val="22"/>
        </w:rPr>
        <w:t xml:space="preserve"> interventi tesi a influenzar</w:t>
      </w:r>
      <w:r w:rsidR="002A361B">
        <w:rPr>
          <w:sz w:val="22"/>
          <w:szCs w:val="22"/>
        </w:rPr>
        <w:t xml:space="preserve">e la decisione dopo </w:t>
      </w:r>
      <w:r w:rsidR="00127DE6">
        <w:rPr>
          <w:sz w:val="22"/>
          <w:szCs w:val="22"/>
        </w:rPr>
        <w:t>l’udienza</w:t>
      </w:r>
      <w:r w:rsidRPr="007F7EBF">
        <w:rPr>
          <w:sz w:val="22"/>
          <w:szCs w:val="22"/>
        </w:rPr>
        <w:t>.</w:t>
      </w:r>
      <w:r w:rsidR="00CB1682">
        <w:rPr>
          <w:sz w:val="22"/>
          <w:szCs w:val="22"/>
        </w:rPr>
        <w:t xml:space="preserve"> </w:t>
      </w:r>
    </w:p>
    <w:p w14:paraId="2F6013FF" w14:textId="77777777" w:rsidR="000B7C8A" w:rsidRPr="007F7EBF" w:rsidRDefault="004F5B9B" w:rsidP="004F5B9B">
      <w:pPr>
        <w:autoSpaceDE w:val="0"/>
        <w:autoSpaceDN w:val="0"/>
        <w:adjustRightInd w:val="0"/>
        <w:rPr>
          <w:bCs/>
          <w:i/>
          <w:iCs/>
          <w:color w:val="0000FF"/>
          <w:sz w:val="22"/>
          <w:szCs w:val="22"/>
        </w:rPr>
      </w:pPr>
      <w:r w:rsidRPr="007F7EBF">
        <w:rPr>
          <w:sz w:val="22"/>
          <w:szCs w:val="22"/>
        </w:rPr>
        <w:t>La parte vittoriosa  può notificare la sentenza, facendo scattare il termine “breve” di 60 giorni per l’appello (art.51). Senza tale notifica subentra il «termine lungo» di cui all’art. 327 c.p.c., secondo cui la sentenza passa comunque in giudicato se non impugnata entro sei mesi dal suddetto deposito.</w:t>
      </w:r>
    </w:p>
    <w:p w14:paraId="13EBFB73" w14:textId="77777777" w:rsidR="00C7111B" w:rsidRPr="007F7EBF" w:rsidRDefault="009B3703" w:rsidP="00C7111B">
      <w:pPr>
        <w:pStyle w:val="tit23"/>
        <w:ind w:left="6464" w:right="-1361" w:firstLine="0"/>
        <w:jc w:val="left"/>
        <w:rPr>
          <w:bCs/>
          <w:i/>
          <w:iCs/>
          <w:color w:val="0000FF"/>
          <w:lang w:val="it-IT"/>
        </w:rPr>
      </w:pPr>
      <w:r w:rsidRPr="007F7EBF">
        <w:rPr>
          <w:bCs/>
          <w:i/>
          <w:iCs/>
          <w:color w:val="0000FF"/>
          <w:lang w:val="it-IT"/>
        </w:rPr>
        <w:t>Iniziativa dell’</w:t>
      </w:r>
      <w:r w:rsidR="00C7111B" w:rsidRPr="007F7EBF">
        <w:rPr>
          <w:bCs/>
          <w:i/>
          <w:iCs/>
          <w:color w:val="0000FF"/>
          <w:lang w:val="it-IT"/>
        </w:rPr>
        <w:t>appello alla commissione  regionale</w:t>
      </w:r>
      <w:r w:rsidRPr="007F7EBF">
        <w:rPr>
          <w:bCs/>
          <w:i/>
          <w:iCs/>
          <w:color w:val="0000FF"/>
          <w:lang w:val="it-IT"/>
        </w:rPr>
        <w:t xml:space="preserve"> e regole di rito</w:t>
      </w:r>
    </w:p>
    <w:p w14:paraId="5F1A2E23" w14:textId="77777777" w:rsidR="00C54D05" w:rsidRPr="007F7EBF" w:rsidRDefault="006342C5" w:rsidP="009B3703">
      <w:pPr>
        <w:autoSpaceDE w:val="0"/>
        <w:autoSpaceDN w:val="0"/>
        <w:adjustRightInd w:val="0"/>
        <w:rPr>
          <w:bCs/>
          <w:i/>
          <w:iCs/>
          <w:color w:val="0000FF"/>
          <w:sz w:val="22"/>
          <w:szCs w:val="22"/>
        </w:rPr>
      </w:pPr>
      <w:r w:rsidRPr="007F7EBF">
        <w:rPr>
          <w:sz w:val="22"/>
          <w:szCs w:val="22"/>
        </w:rPr>
        <w:t>L</w:t>
      </w:r>
      <w:r w:rsidR="003072AB" w:rsidRPr="007F7EBF">
        <w:rPr>
          <w:sz w:val="22"/>
          <w:szCs w:val="22"/>
        </w:rPr>
        <w:t>'a</w:t>
      </w:r>
      <w:r w:rsidRPr="007F7EBF">
        <w:rPr>
          <w:bCs/>
          <w:sz w:val="22"/>
          <w:szCs w:val="22"/>
        </w:rPr>
        <w:t xml:space="preserve">ppello </w:t>
      </w:r>
      <w:r w:rsidR="003072AB" w:rsidRPr="007F7EBF">
        <w:rPr>
          <w:bCs/>
          <w:sz w:val="22"/>
          <w:szCs w:val="22"/>
        </w:rPr>
        <w:t xml:space="preserve">è presentato </w:t>
      </w:r>
      <w:r w:rsidRPr="007F7EBF">
        <w:rPr>
          <w:sz w:val="22"/>
          <w:szCs w:val="22"/>
        </w:rPr>
        <w:t>secondo gli stessi criteri previsti per il</w:t>
      </w:r>
      <w:r w:rsidR="00697B30" w:rsidRPr="007F7EBF">
        <w:rPr>
          <w:sz w:val="22"/>
          <w:szCs w:val="22"/>
        </w:rPr>
        <w:t xml:space="preserve"> </w:t>
      </w:r>
      <w:r w:rsidRPr="007F7EBF">
        <w:rPr>
          <w:sz w:val="22"/>
          <w:szCs w:val="22"/>
        </w:rPr>
        <w:t>ricorso (</w:t>
      </w:r>
      <w:r w:rsidR="00143055" w:rsidRPr="007F7EBF">
        <w:rPr>
          <w:rStyle w:val="Rimandonotaapidipagina"/>
          <w:sz w:val="22"/>
          <w:szCs w:val="22"/>
        </w:rPr>
        <w:footnoteReference w:id="855"/>
      </w:r>
      <w:r w:rsidR="009B3703" w:rsidRPr="007F7EBF">
        <w:rPr>
          <w:sz w:val="22"/>
          <w:szCs w:val="22"/>
        </w:rPr>
        <w:t xml:space="preserve">), ma può provenire anche dall’ufficio, </w:t>
      </w:r>
      <w:r w:rsidR="00A40508">
        <w:rPr>
          <w:sz w:val="22"/>
          <w:szCs w:val="22"/>
        </w:rPr>
        <w:t>mentre i</w:t>
      </w:r>
      <w:r w:rsidR="009B3703" w:rsidRPr="007F7EBF">
        <w:rPr>
          <w:sz w:val="22"/>
          <w:szCs w:val="22"/>
        </w:rPr>
        <w:t>l ricorso in primo grado</w:t>
      </w:r>
      <w:r w:rsidR="00A40508">
        <w:rPr>
          <w:sz w:val="22"/>
          <w:szCs w:val="22"/>
        </w:rPr>
        <w:t xml:space="preserve"> è </w:t>
      </w:r>
      <w:r w:rsidR="009B3703" w:rsidRPr="007F7EBF">
        <w:rPr>
          <w:sz w:val="22"/>
          <w:szCs w:val="22"/>
        </w:rPr>
        <w:t>proposto necessariamente dal contribuente</w:t>
      </w:r>
      <w:r w:rsidR="00A40508">
        <w:rPr>
          <w:sz w:val="22"/>
          <w:szCs w:val="22"/>
        </w:rPr>
        <w:t>, visto che l’ufficio agisce in modo unilaterale (par.6.1)</w:t>
      </w:r>
      <w:r w:rsidR="009B3703" w:rsidRPr="007F7EBF">
        <w:rPr>
          <w:sz w:val="22"/>
          <w:szCs w:val="22"/>
        </w:rPr>
        <w:t xml:space="preserve">. </w:t>
      </w:r>
    </w:p>
    <w:p w14:paraId="0A68D9DF" w14:textId="77777777" w:rsidR="00C54D05" w:rsidRPr="007F7EBF" w:rsidRDefault="00F50183" w:rsidP="00C54D05">
      <w:pPr>
        <w:autoSpaceDE w:val="0"/>
        <w:autoSpaceDN w:val="0"/>
        <w:adjustRightInd w:val="0"/>
        <w:rPr>
          <w:sz w:val="22"/>
          <w:szCs w:val="22"/>
        </w:rPr>
      </w:pPr>
      <w:r w:rsidRPr="007F7EBF">
        <w:rPr>
          <w:sz w:val="22"/>
          <w:szCs w:val="22"/>
        </w:rPr>
        <w:t>La</w:t>
      </w:r>
      <w:r w:rsidR="006342C5" w:rsidRPr="007F7EBF">
        <w:rPr>
          <w:sz w:val="22"/>
          <w:szCs w:val="22"/>
        </w:rPr>
        <w:t xml:space="preserve"> parte che presenta l’appello per</w:t>
      </w:r>
      <w:r w:rsidR="00AB1A7E" w:rsidRPr="007F7EBF">
        <w:rPr>
          <w:sz w:val="22"/>
          <w:szCs w:val="22"/>
        </w:rPr>
        <w:t xml:space="preserve"> </w:t>
      </w:r>
      <w:r w:rsidR="006342C5" w:rsidRPr="007F7EBF">
        <w:rPr>
          <w:sz w:val="22"/>
          <w:szCs w:val="22"/>
        </w:rPr>
        <w:t>seconda</w:t>
      </w:r>
      <w:r w:rsidRPr="007F7EBF">
        <w:rPr>
          <w:sz w:val="22"/>
          <w:szCs w:val="22"/>
        </w:rPr>
        <w:t>, perché anche lei ha motivi di chiedere un secondo giudizio,</w:t>
      </w:r>
      <w:r w:rsidR="006342C5" w:rsidRPr="007F7EBF">
        <w:rPr>
          <w:sz w:val="22"/>
          <w:szCs w:val="22"/>
        </w:rPr>
        <w:t xml:space="preserve"> deve farlo con l’appello incidentale (art. 54), proposto nelle già indicate forme</w:t>
      </w:r>
      <w:r w:rsidR="009C410F" w:rsidRPr="007F7EBF">
        <w:rPr>
          <w:sz w:val="22"/>
          <w:szCs w:val="22"/>
        </w:rPr>
        <w:t xml:space="preserve"> </w:t>
      </w:r>
      <w:r w:rsidR="006342C5" w:rsidRPr="007F7EBF">
        <w:rPr>
          <w:sz w:val="22"/>
          <w:szCs w:val="22"/>
        </w:rPr>
        <w:t xml:space="preserve">della costituzione in giudizio, </w:t>
      </w:r>
      <w:r w:rsidR="006342C5" w:rsidRPr="007F7EBF">
        <w:rPr>
          <w:sz w:val="22"/>
          <w:szCs w:val="22"/>
        </w:rPr>
        <w:lastRenderedPageBreak/>
        <w:t>cioè senza notificazione alla controparte, ma con deposito</w:t>
      </w:r>
      <w:r w:rsidR="009C410F" w:rsidRPr="007F7EBF">
        <w:rPr>
          <w:sz w:val="22"/>
          <w:szCs w:val="22"/>
        </w:rPr>
        <w:t xml:space="preserve"> </w:t>
      </w:r>
      <w:r w:rsidR="006342C5" w:rsidRPr="007F7EBF">
        <w:rPr>
          <w:sz w:val="22"/>
          <w:szCs w:val="22"/>
        </w:rPr>
        <w:t>alla segreteria della commissione.</w:t>
      </w:r>
      <w:r w:rsidR="009B3703" w:rsidRPr="007F7EBF">
        <w:rPr>
          <w:sz w:val="22"/>
          <w:szCs w:val="22"/>
        </w:rPr>
        <w:t xml:space="preserve"> Anche il rito di </w:t>
      </w:r>
      <w:r w:rsidR="00C54D05" w:rsidRPr="007F7EBF">
        <w:rPr>
          <w:sz w:val="22"/>
          <w:szCs w:val="22"/>
        </w:rPr>
        <w:t xml:space="preserve">appello segue le </w:t>
      </w:r>
      <w:r w:rsidR="00C54D05" w:rsidRPr="007F7EBF">
        <w:rPr>
          <w:bCs/>
          <w:sz w:val="22"/>
          <w:szCs w:val="22"/>
        </w:rPr>
        <w:t xml:space="preserve">stesse regole procedurali indicate sopra per il giudizio di primo grado </w:t>
      </w:r>
      <w:r w:rsidR="00C54D05" w:rsidRPr="007F7EBF">
        <w:rPr>
          <w:sz w:val="22"/>
          <w:szCs w:val="22"/>
        </w:rPr>
        <w:t>(</w:t>
      </w:r>
      <w:r w:rsidR="000B7C8A" w:rsidRPr="007F7EBF">
        <w:rPr>
          <w:rStyle w:val="Rimandonotaapidipagina"/>
          <w:sz w:val="22"/>
          <w:szCs w:val="22"/>
        </w:rPr>
        <w:footnoteReference w:id="856"/>
      </w:r>
      <w:r w:rsidR="00C54D05" w:rsidRPr="007F7EBF">
        <w:rPr>
          <w:sz w:val="22"/>
          <w:szCs w:val="22"/>
        </w:rPr>
        <w:t>).</w:t>
      </w:r>
    </w:p>
    <w:p w14:paraId="737AFBBA" w14:textId="5D0C0B48" w:rsidR="00C54D05" w:rsidRPr="007F7EBF" w:rsidRDefault="00C54D05" w:rsidP="00C54D05">
      <w:pPr>
        <w:pStyle w:val="tit23"/>
        <w:ind w:left="6464" w:right="-1361" w:firstLine="0"/>
        <w:jc w:val="left"/>
        <w:rPr>
          <w:bCs/>
          <w:i/>
          <w:iCs/>
          <w:color w:val="0000FF"/>
          <w:lang w:val="it-IT"/>
        </w:rPr>
      </w:pPr>
      <w:r w:rsidRPr="007F7EBF">
        <w:rPr>
          <w:bCs/>
          <w:i/>
          <w:iCs/>
          <w:color w:val="0000FF"/>
          <w:lang w:val="it-IT"/>
        </w:rPr>
        <w:t>Appello come nuovo giudizio</w:t>
      </w:r>
      <w:r w:rsidR="00A101F7">
        <w:rPr>
          <w:bCs/>
          <w:i/>
          <w:iCs/>
          <w:color w:val="0000FF"/>
          <w:lang w:val="it-IT"/>
        </w:rPr>
        <w:t xml:space="preserve"> e relative spese</w:t>
      </w:r>
    </w:p>
    <w:p w14:paraId="501805DB" w14:textId="38AB6E57" w:rsidR="00C54D05" w:rsidRPr="007F7EBF" w:rsidRDefault="006342C5" w:rsidP="00C54D05">
      <w:pPr>
        <w:autoSpaceDE w:val="0"/>
        <w:autoSpaceDN w:val="0"/>
        <w:adjustRightInd w:val="0"/>
        <w:rPr>
          <w:sz w:val="22"/>
          <w:szCs w:val="22"/>
        </w:rPr>
      </w:pPr>
      <w:r w:rsidRPr="007F7EBF">
        <w:rPr>
          <w:sz w:val="22"/>
          <w:szCs w:val="22"/>
        </w:rPr>
        <w:t xml:space="preserve">L’appello non </w:t>
      </w:r>
      <w:r w:rsidR="00D0508D" w:rsidRPr="007F7EBF">
        <w:rPr>
          <w:sz w:val="22"/>
          <w:szCs w:val="22"/>
        </w:rPr>
        <w:t>è un rimedio "</w:t>
      </w:r>
      <w:proofErr w:type="spellStart"/>
      <w:r w:rsidR="00D0508D" w:rsidRPr="007F7EBF">
        <w:rPr>
          <w:sz w:val="22"/>
          <w:szCs w:val="22"/>
        </w:rPr>
        <w:t>i</w:t>
      </w:r>
      <w:r w:rsidR="00F50183" w:rsidRPr="007F7EBF">
        <w:rPr>
          <w:sz w:val="22"/>
          <w:szCs w:val="22"/>
        </w:rPr>
        <w:t>mpugnatorio</w:t>
      </w:r>
      <w:proofErr w:type="spellEnd"/>
      <w:r w:rsidR="00F50183" w:rsidRPr="007F7EBF">
        <w:rPr>
          <w:sz w:val="22"/>
          <w:szCs w:val="22"/>
        </w:rPr>
        <w:t xml:space="preserve">", cioè non </w:t>
      </w:r>
      <w:r w:rsidR="001465BD" w:rsidRPr="007F7EBF">
        <w:rPr>
          <w:sz w:val="22"/>
          <w:szCs w:val="22"/>
        </w:rPr>
        <w:t>presuppone</w:t>
      </w:r>
      <w:r w:rsidRPr="007F7EBF">
        <w:rPr>
          <w:bCs/>
          <w:sz w:val="22"/>
          <w:szCs w:val="22"/>
        </w:rPr>
        <w:t xml:space="preserve"> vizi </w:t>
      </w:r>
      <w:r w:rsidR="00F50183" w:rsidRPr="007F7EBF">
        <w:rPr>
          <w:bCs/>
          <w:sz w:val="22"/>
          <w:szCs w:val="22"/>
        </w:rPr>
        <w:t xml:space="preserve">logico-giuridici </w:t>
      </w:r>
      <w:r w:rsidRPr="007F7EBF">
        <w:rPr>
          <w:sz w:val="22"/>
          <w:szCs w:val="22"/>
        </w:rPr>
        <w:t>della sentenza</w:t>
      </w:r>
      <w:r w:rsidR="00A95BCB" w:rsidRPr="007F7EBF">
        <w:rPr>
          <w:sz w:val="22"/>
          <w:szCs w:val="22"/>
        </w:rPr>
        <w:t xml:space="preserve"> </w:t>
      </w:r>
      <w:r w:rsidRPr="007F7EBF">
        <w:rPr>
          <w:sz w:val="22"/>
          <w:szCs w:val="22"/>
        </w:rPr>
        <w:t>appellata</w:t>
      </w:r>
      <w:r w:rsidR="00AB1A7E" w:rsidRPr="007F7EBF">
        <w:rPr>
          <w:sz w:val="22"/>
          <w:szCs w:val="22"/>
        </w:rPr>
        <w:t xml:space="preserve"> (</w:t>
      </w:r>
      <w:r w:rsidR="001465BD" w:rsidRPr="007F7EBF">
        <w:rPr>
          <w:rStyle w:val="Rimandonotaapidipagina"/>
          <w:sz w:val="22"/>
          <w:szCs w:val="22"/>
        </w:rPr>
        <w:footnoteReference w:id="857"/>
      </w:r>
      <w:r w:rsidR="00AB1A7E" w:rsidRPr="007F7EBF">
        <w:rPr>
          <w:sz w:val="22"/>
          <w:szCs w:val="22"/>
        </w:rPr>
        <w:t>)</w:t>
      </w:r>
      <w:r w:rsidRPr="007F7EBF">
        <w:rPr>
          <w:sz w:val="22"/>
          <w:szCs w:val="22"/>
        </w:rPr>
        <w:t xml:space="preserve"> ma costituisce un nuovo giudizio, nei limiti definiti in primo grado ed</w:t>
      </w:r>
      <w:r w:rsidR="00C54D05" w:rsidRPr="007F7EBF">
        <w:rPr>
          <w:sz w:val="22"/>
          <w:szCs w:val="22"/>
        </w:rPr>
        <w:t xml:space="preserve"> </w:t>
      </w:r>
      <w:r w:rsidRPr="007F7EBF">
        <w:rPr>
          <w:sz w:val="22"/>
          <w:szCs w:val="22"/>
        </w:rPr>
        <w:t xml:space="preserve">in quelli – eventualmente più ristretti – definiti dai motivi di appello. </w:t>
      </w:r>
      <w:r w:rsidR="001465BD" w:rsidRPr="007F7EBF">
        <w:rPr>
          <w:sz w:val="22"/>
          <w:szCs w:val="22"/>
        </w:rPr>
        <w:t xml:space="preserve">Questi ultimi devono essere </w:t>
      </w:r>
      <w:r w:rsidRPr="007F7EBF">
        <w:rPr>
          <w:sz w:val="22"/>
          <w:szCs w:val="22"/>
        </w:rPr>
        <w:t>«specifici»,</w:t>
      </w:r>
      <w:r w:rsidR="003072AB" w:rsidRPr="007F7EBF">
        <w:rPr>
          <w:sz w:val="22"/>
          <w:szCs w:val="22"/>
        </w:rPr>
        <w:t xml:space="preserve"> </w:t>
      </w:r>
      <w:r w:rsidR="001465BD" w:rsidRPr="007F7EBF">
        <w:rPr>
          <w:sz w:val="22"/>
          <w:szCs w:val="22"/>
        </w:rPr>
        <w:t xml:space="preserve">e </w:t>
      </w:r>
      <w:r w:rsidR="00AB1A7E" w:rsidRPr="007F7EBF">
        <w:rPr>
          <w:sz w:val="22"/>
          <w:szCs w:val="22"/>
        </w:rPr>
        <w:t>l</w:t>
      </w:r>
      <w:r w:rsidRPr="007F7EBF">
        <w:rPr>
          <w:sz w:val="22"/>
          <w:szCs w:val="22"/>
        </w:rPr>
        <w:t>e ragioni per cui l’appellante chiede un secondo, e possibilmente diverso,</w:t>
      </w:r>
      <w:r w:rsidR="00ED6562" w:rsidRPr="007F7EBF">
        <w:rPr>
          <w:sz w:val="22"/>
          <w:szCs w:val="22"/>
        </w:rPr>
        <w:t xml:space="preserve"> </w:t>
      </w:r>
      <w:r w:rsidRPr="007F7EBF">
        <w:rPr>
          <w:sz w:val="22"/>
          <w:szCs w:val="22"/>
        </w:rPr>
        <w:t>giudizio</w:t>
      </w:r>
      <w:r w:rsidR="001465BD" w:rsidRPr="007F7EBF">
        <w:rPr>
          <w:sz w:val="22"/>
          <w:szCs w:val="22"/>
        </w:rPr>
        <w:t xml:space="preserve">, si sono avvicinate di più al ricorso in cassazione. </w:t>
      </w:r>
    </w:p>
    <w:p w14:paraId="44A582FE" w14:textId="77777777" w:rsidR="00C54D05" w:rsidRPr="007F7EBF" w:rsidRDefault="00C54D05" w:rsidP="00C54D05">
      <w:pPr>
        <w:pStyle w:val="tit23"/>
        <w:ind w:left="6464" w:right="-1361" w:firstLine="0"/>
        <w:jc w:val="left"/>
        <w:rPr>
          <w:bCs/>
          <w:i/>
          <w:iCs/>
          <w:color w:val="0000FF"/>
          <w:lang w:val="it-IT"/>
        </w:rPr>
      </w:pPr>
      <w:r w:rsidRPr="007F7EBF">
        <w:rPr>
          <w:bCs/>
          <w:i/>
          <w:iCs/>
          <w:color w:val="0000FF"/>
          <w:lang w:val="it-IT"/>
        </w:rPr>
        <w:t>Ricorso per cassazione</w:t>
      </w:r>
    </w:p>
    <w:p w14:paraId="1C9F1B59" w14:textId="77777777" w:rsidR="00C54D05" w:rsidRPr="007F7EBF" w:rsidRDefault="001465BD" w:rsidP="00C54D05">
      <w:pPr>
        <w:autoSpaceDE w:val="0"/>
        <w:autoSpaceDN w:val="0"/>
        <w:adjustRightInd w:val="0"/>
        <w:rPr>
          <w:sz w:val="22"/>
          <w:szCs w:val="22"/>
        </w:rPr>
      </w:pPr>
      <w:r w:rsidRPr="007F7EBF">
        <w:rPr>
          <w:sz w:val="22"/>
          <w:szCs w:val="22"/>
        </w:rPr>
        <w:t>Quest'ultimo si può presentare per l</w:t>
      </w:r>
      <w:r w:rsidR="006342C5" w:rsidRPr="007F7EBF">
        <w:rPr>
          <w:sz w:val="22"/>
          <w:szCs w:val="22"/>
        </w:rPr>
        <w:t>e sentenze delle commissioni (artt. 62 e</w:t>
      </w:r>
      <w:r w:rsidR="00ED6562" w:rsidRPr="007F7EBF">
        <w:rPr>
          <w:sz w:val="22"/>
          <w:szCs w:val="22"/>
        </w:rPr>
        <w:t xml:space="preserve"> </w:t>
      </w:r>
      <w:r w:rsidR="006342C5" w:rsidRPr="007F7EBF">
        <w:rPr>
          <w:sz w:val="22"/>
          <w:szCs w:val="22"/>
        </w:rPr>
        <w:t>ss.), per vizi di legittimità (</w:t>
      </w:r>
      <w:r w:rsidRPr="007F7EBF">
        <w:rPr>
          <w:rStyle w:val="Rimandonotaapidipagina"/>
          <w:sz w:val="22"/>
          <w:szCs w:val="22"/>
        </w:rPr>
        <w:footnoteReference w:id="858"/>
      </w:r>
      <w:r w:rsidR="006342C5" w:rsidRPr="007F7EBF">
        <w:rPr>
          <w:sz w:val="22"/>
          <w:szCs w:val="22"/>
        </w:rPr>
        <w:t>), ed anche carenza</w:t>
      </w:r>
      <w:r w:rsidRPr="007F7EBF">
        <w:rPr>
          <w:sz w:val="22"/>
          <w:szCs w:val="22"/>
        </w:rPr>
        <w:t xml:space="preserve"> dell</w:t>
      </w:r>
      <w:r w:rsidR="006342C5" w:rsidRPr="007F7EBF">
        <w:rPr>
          <w:sz w:val="22"/>
          <w:szCs w:val="22"/>
        </w:rPr>
        <w:t>a</w:t>
      </w:r>
      <w:r w:rsidRPr="007F7EBF">
        <w:rPr>
          <w:sz w:val="22"/>
          <w:szCs w:val="22"/>
        </w:rPr>
        <w:t xml:space="preserve"> </w:t>
      </w:r>
      <w:r w:rsidR="006342C5" w:rsidRPr="007F7EBF">
        <w:rPr>
          <w:sz w:val="22"/>
          <w:szCs w:val="22"/>
        </w:rPr>
        <w:t>motivazione</w:t>
      </w:r>
      <w:r w:rsidRPr="007F7EBF">
        <w:rPr>
          <w:sz w:val="22"/>
          <w:szCs w:val="22"/>
        </w:rPr>
        <w:t xml:space="preserve"> della sentenza</w:t>
      </w:r>
      <w:r w:rsidR="006342C5" w:rsidRPr="007F7EBF">
        <w:rPr>
          <w:sz w:val="22"/>
          <w:szCs w:val="22"/>
        </w:rPr>
        <w:t xml:space="preserve">. </w:t>
      </w:r>
      <w:r w:rsidR="00AB1A7E" w:rsidRPr="007F7EBF">
        <w:rPr>
          <w:sz w:val="22"/>
          <w:szCs w:val="22"/>
        </w:rPr>
        <w:t xml:space="preserve"> Si tratta del </w:t>
      </w:r>
      <w:r w:rsidR="006342C5" w:rsidRPr="007F7EBF">
        <w:rPr>
          <w:bCs/>
          <w:sz w:val="22"/>
          <w:szCs w:val="22"/>
        </w:rPr>
        <w:t>tipico rimedio «</w:t>
      </w:r>
      <w:proofErr w:type="spellStart"/>
      <w:r w:rsidR="006342C5" w:rsidRPr="007F7EBF">
        <w:rPr>
          <w:bCs/>
          <w:sz w:val="22"/>
          <w:szCs w:val="22"/>
        </w:rPr>
        <w:t>impugnatorio</w:t>
      </w:r>
      <w:proofErr w:type="spellEnd"/>
      <w:r w:rsidR="006342C5" w:rsidRPr="007F7EBF">
        <w:rPr>
          <w:bCs/>
          <w:sz w:val="22"/>
          <w:szCs w:val="22"/>
        </w:rPr>
        <w:t xml:space="preserve">», </w:t>
      </w:r>
      <w:r w:rsidR="006342C5" w:rsidRPr="007F7EBF">
        <w:rPr>
          <w:sz w:val="22"/>
          <w:szCs w:val="22"/>
        </w:rPr>
        <w:t>articolato su “motivi di ricorso”; ove la cassazione ritenga sussistente il</w:t>
      </w:r>
      <w:r w:rsidR="00ED6562" w:rsidRPr="007F7EBF">
        <w:rPr>
          <w:sz w:val="22"/>
          <w:szCs w:val="22"/>
        </w:rPr>
        <w:t xml:space="preserve"> </w:t>
      </w:r>
      <w:r w:rsidR="006342C5" w:rsidRPr="007F7EBF">
        <w:rPr>
          <w:sz w:val="22"/>
          <w:szCs w:val="22"/>
        </w:rPr>
        <w:t xml:space="preserve">vizio, potrà </w:t>
      </w:r>
      <w:r w:rsidR="006342C5" w:rsidRPr="007F7EBF">
        <w:rPr>
          <w:bCs/>
          <w:sz w:val="22"/>
          <w:szCs w:val="22"/>
        </w:rPr>
        <w:t xml:space="preserve">decidere direttamente </w:t>
      </w:r>
      <w:r w:rsidR="006342C5" w:rsidRPr="007F7EBF">
        <w:rPr>
          <w:sz w:val="22"/>
          <w:szCs w:val="22"/>
        </w:rPr>
        <w:t>ove non occorrano ulteriori accertamenti di fatto,</w:t>
      </w:r>
      <w:r w:rsidR="00ED6562" w:rsidRPr="007F7EBF">
        <w:rPr>
          <w:sz w:val="22"/>
          <w:szCs w:val="22"/>
        </w:rPr>
        <w:t xml:space="preserve"> </w:t>
      </w:r>
      <w:r w:rsidR="006342C5" w:rsidRPr="007F7EBF">
        <w:rPr>
          <w:sz w:val="22"/>
          <w:szCs w:val="22"/>
        </w:rPr>
        <w:t xml:space="preserve">altrimenti </w:t>
      </w:r>
      <w:r w:rsidR="006342C5" w:rsidRPr="007F7EBF">
        <w:rPr>
          <w:bCs/>
          <w:sz w:val="22"/>
          <w:szCs w:val="22"/>
        </w:rPr>
        <w:t xml:space="preserve">rinvierà </w:t>
      </w:r>
      <w:r w:rsidR="00960201" w:rsidRPr="007F7EBF">
        <w:rPr>
          <w:sz w:val="22"/>
          <w:szCs w:val="22"/>
        </w:rPr>
        <w:t>a una diversa sezione dell'organo giudiziario redattore della sentenza impugnata (</w:t>
      </w:r>
      <w:r w:rsidR="00960201" w:rsidRPr="007F7EBF">
        <w:rPr>
          <w:rStyle w:val="Rimandonotaapidipagina"/>
          <w:sz w:val="22"/>
          <w:szCs w:val="22"/>
        </w:rPr>
        <w:footnoteReference w:id="859"/>
      </w:r>
      <w:r w:rsidR="00960201" w:rsidRPr="007F7EBF">
        <w:rPr>
          <w:sz w:val="22"/>
          <w:szCs w:val="22"/>
        </w:rPr>
        <w:t>)</w:t>
      </w:r>
      <w:r w:rsidR="006342C5" w:rsidRPr="007F7EBF">
        <w:rPr>
          <w:sz w:val="22"/>
          <w:szCs w:val="22"/>
        </w:rPr>
        <w:t>, che dovrà rinnovare il</w:t>
      </w:r>
      <w:r w:rsidR="00ED6562" w:rsidRPr="007F7EBF">
        <w:rPr>
          <w:sz w:val="22"/>
          <w:szCs w:val="22"/>
        </w:rPr>
        <w:t xml:space="preserve"> </w:t>
      </w:r>
      <w:r w:rsidR="006342C5" w:rsidRPr="007F7EBF">
        <w:rPr>
          <w:sz w:val="22"/>
          <w:szCs w:val="22"/>
        </w:rPr>
        <w:t>giudizio, seguendo se del caso il principio di diritto fissato dalla cassazione.</w:t>
      </w:r>
    </w:p>
    <w:p w14:paraId="1EE8ED57" w14:textId="77777777" w:rsidR="00C54D05" w:rsidRPr="007F7EBF" w:rsidRDefault="00C54D05" w:rsidP="00C54D05">
      <w:pPr>
        <w:pStyle w:val="tit23"/>
        <w:ind w:left="6464" w:right="-1361" w:firstLine="0"/>
        <w:jc w:val="left"/>
        <w:rPr>
          <w:bCs/>
          <w:i/>
          <w:iCs/>
          <w:color w:val="0000FF"/>
          <w:lang w:val="it-IT"/>
        </w:rPr>
      </w:pPr>
      <w:r w:rsidRPr="007F7EBF">
        <w:rPr>
          <w:bCs/>
          <w:i/>
          <w:iCs/>
          <w:color w:val="0000FF"/>
          <w:lang w:val="it-IT"/>
        </w:rPr>
        <w:t xml:space="preserve">un giudizio </w:t>
      </w:r>
      <w:proofErr w:type="spellStart"/>
      <w:r w:rsidRPr="007F7EBF">
        <w:rPr>
          <w:bCs/>
          <w:i/>
          <w:iCs/>
          <w:color w:val="0000FF"/>
          <w:lang w:val="it-IT"/>
        </w:rPr>
        <w:t>impugnatorio</w:t>
      </w:r>
      <w:proofErr w:type="spellEnd"/>
      <w:r w:rsidR="00735435" w:rsidRPr="007F7EBF">
        <w:rPr>
          <w:bCs/>
          <w:i/>
          <w:iCs/>
          <w:color w:val="0000FF"/>
          <w:lang w:val="it-IT"/>
        </w:rPr>
        <w:t xml:space="preserve"> sull’impugnazione di un atto amministrativo</w:t>
      </w:r>
    </w:p>
    <w:p w14:paraId="68E5EB6F" w14:textId="77777777" w:rsidR="00C54D05" w:rsidRPr="007F7EBF" w:rsidRDefault="006342C5" w:rsidP="00C54D05">
      <w:pPr>
        <w:autoSpaceDE w:val="0"/>
        <w:autoSpaceDN w:val="0"/>
        <w:adjustRightInd w:val="0"/>
        <w:rPr>
          <w:sz w:val="22"/>
          <w:szCs w:val="22"/>
        </w:rPr>
      </w:pPr>
      <w:r w:rsidRPr="007F7EBF">
        <w:rPr>
          <w:sz w:val="22"/>
          <w:szCs w:val="22"/>
        </w:rPr>
        <w:t>La cassazione giudica insomma “sulla sentenza</w:t>
      </w:r>
      <w:r w:rsidR="00C53AD4" w:rsidRPr="007F7EBF">
        <w:rPr>
          <w:sz w:val="22"/>
          <w:szCs w:val="22"/>
        </w:rPr>
        <w:t xml:space="preserve">” </w:t>
      </w:r>
      <w:r w:rsidR="00D0508D" w:rsidRPr="007F7EBF">
        <w:rPr>
          <w:sz w:val="22"/>
          <w:szCs w:val="22"/>
        </w:rPr>
        <w:t xml:space="preserve">già nel processo civile; </w:t>
      </w:r>
      <w:r w:rsidR="00AB1A7E" w:rsidRPr="007F7EBF">
        <w:rPr>
          <w:sz w:val="22"/>
          <w:szCs w:val="22"/>
        </w:rPr>
        <w:t>quindi a</w:t>
      </w:r>
      <w:r w:rsidRPr="007F7EBF">
        <w:rPr>
          <w:sz w:val="22"/>
          <w:szCs w:val="22"/>
        </w:rPr>
        <w:t xml:space="preserve"> maggior ragione</w:t>
      </w:r>
      <w:r w:rsidR="00C53AD4" w:rsidRPr="007F7EBF">
        <w:rPr>
          <w:sz w:val="22"/>
          <w:szCs w:val="22"/>
        </w:rPr>
        <w:t xml:space="preserve"> </w:t>
      </w:r>
      <w:r w:rsidR="0097696E" w:rsidRPr="007F7EBF">
        <w:rPr>
          <w:sz w:val="22"/>
          <w:szCs w:val="22"/>
        </w:rPr>
        <w:t xml:space="preserve">è il giudice del giudice </w:t>
      </w:r>
      <w:r w:rsidR="00C53AD4" w:rsidRPr="007F7EBF">
        <w:rPr>
          <w:sz w:val="22"/>
          <w:szCs w:val="22"/>
        </w:rPr>
        <w:t xml:space="preserve">anche nel processo tributario; </w:t>
      </w:r>
      <w:r w:rsidR="00D0508D" w:rsidRPr="007F7EBF">
        <w:rPr>
          <w:sz w:val="22"/>
          <w:szCs w:val="22"/>
        </w:rPr>
        <w:t xml:space="preserve">quest'ultimo a sua volta </w:t>
      </w:r>
      <w:r w:rsidR="00C53AD4" w:rsidRPr="007F7EBF">
        <w:rPr>
          <w:sz w:val="22"/>
          <w:szCs w:val="22"/>
        </w:rPr>
        <w:t xml:space="preserve"> </w:t>
      </w:r>
      <w:r w:rsidR="00BB5FD1" w:rsidRPr="007F7EBF">
        <w:rPr>
          <w:sz w:val="22"/>
          <w:szCs w:val="22"/>
        </w:rPr>
        <w:t>serve</w:t>
      </w:r>
      <w:r w:rsidR="00C53AD4" w:rsidRPr="007F7EBF">
        <w:rPr>
          <w:sz w:val="22"/>
          <w:szCs w:val="22"/>
        </w:rPr>
        <w:t xml:space="preserve"> al controllo </w:t>
      </w:r>
      <w:r w:rsidR="00BB5FD1" w:rsidRPr="007F7EBF">
        <w:rPr>
          <w:sz w:val="22"/>
          <w:szCs w:val="22"/>
        </w:rPr>
        <w:t>di una</w:t>
      </w:r>
      <w:r w:rsidR="00C53AD4" w:rsidRPr="007F7EBF">
        <w:rPr>
          <w:sz w:val="22"/>
          <w:szCs w:val="22"/>
        </w:rPr>
        <w:t xml:space="preserve"> </w:t>
      </w:r>
      <w:r w:rsidR="00D0508D" w:rsidRPr="007F7EBF">
        <w:rPr>
          <w:sz w:val="22"/>
          <w:szCs w:val="22"/>
        </w:rPr>
        <w:t xml:space="preserve">diversa </w:t>
      </w:r>
      <w:r w:rsidR="00C53AD4" w:rsidRPr="007F7EBF">
        <w:rPr>
          <w:sz w:val="22"/>
          <w:szCs w:val="22"/>
        </w:rPr>
        <w:t xml:space="preserve">funzione </w:t>
      </w:r>
      <w:r w:rsidR="005472FF" w:rsidRPr="007F7EBF">
        <w:rPr>
          <w:sz w:val="22"/>
          <w:szCs w:val="22"/>
        </w:rPr>
        <w:t>pubblica</w:t>
      </w:r>
      <w:r w:rsidR="00BB5FD1" w:rsidRPr="007F7EBF">
        <w:rPr>
          <w:sz w:val="22"/>
          <w:szCs w:val="22"/>
        </w:rPr>
        <w:t xml:space="preserve">, </w:t>
      </w:r>
      <w:r w:rsidR="00735435" w:rsidRPr="007F7EBF">
        <w:rPr>
          <w:sz w:val="22"/>
          <w:szCs w:val="22"/>
        </w:rPr>
        <w:t>e la cassazione diventa il giudice</w:t>
      </w:r>
      <w:r w:rsidR="00D0508D" w:rsidRPr="007F7EBF">
        <w:rPr>
          <w:sz w:val="22"/>
          <w:szCs w:val="22"/>
        </w:rPr>
        <w:t xml:space="preserve"> del giudice che ha giudicato un'organizzazione non giurisdizionale, ma tributaria</w:t>
      </w:r>
      <w:r w:rsidR="00BB5FD1" w:rsidRPr="007F7EBF">
        <w:rPr>
          <w:sz w:val="22"/>
          <w:szCs w:val="22"/>
        </w:rPr>
        <w:t xml:space="preserve">. </w:t>
      </w:r>
    </w:p>
    <w:p w14:paraId="5785F071" w14:textId="77777777" w:rsidR="00C54D05" w:rsidRPr="007F7EBF" w:rsidRDefault="00735435" w:rsidP="00C54D05">
      <w:pPr>
        <w:pStyle w:val="tit23"/>
        <w:ind w:left="6464" w:right="-1361" w:firstLine="0"/>
        <w:jc w:val="left"/>
        <w:rPr>
          <w:bCs/>
          <w:i/>
          <w:iCs/>
          <w:color w:val="0000FF"/>
          <w:lang w:val="it-IT"/>
        </w:rPr>
      </w:pPr>
      <w:r w:rsidRPr="007F7EBF">
        <w:rPr>
          <w:bCs/>
          <w:i/>
          <w:iCs/>
          <w:color w:val="0000FF"/>
          <w:lang w:val="it-IT"/>
        </w:rPr>
        <w:lastRenderedPageBreak/>
        <w:t>Ridotto contributo giurisdizionale alla funzione tributaria</w:t>
      </w:r>
    </w:p>
    <w:p w14:paraId="48660733" w14:textId="016BFED3" w:rsidR="00BB5FD1" w:rsidRPr="007F7EBF" w:rsidRDefault="007D0C2F" w:rsidP="00BB5FD1">
      <w:pPr>
        <w:autoSpaceDE w:val="0"/>
        <w:autoSpaceDN w:val="0"/>
        <w:adjustRightInd w:val="0"/>
        <w:rPr>
          <w:sz w:val="22"/>
          <w:szCs w:val="22"/>
        </w:rPr>
      </w:pPr>
      <w:r>
        <w:rPr>
          <w:sz w:val="22"/>
          <w:szCs w:val="22"/>
        </w:rPr>
        <w:t xml:space="preserve">Per </w:t>
      </w:r>
      <w:r w:rsidR="009E2D13">
        <w:rPr>
          <w:sz w:val="22"/>
          <w:szCs w:val="22"/>
        </w:rPr>
        <w:t>quest</w:t>
      </w:r>
      <w:r>
        <w:rPr>
          <w:sz w:val="22"/>
          <w:szCs w:val="22"/>
        </w:rPr>
        <w:t>e sentenze è a</w:t>
      </w:r>
      <w:r w:rsidR="00D0508D" w:rsidRPr="007F7EBF">
        <w:rPr>
          <w:sz w:val="22"/>
          <w:szCs w:val="22"/>
        </w:rPr>
        <w:t xml:space="preserve">ncora più difficile di quanto sia in generale, come </w:t>
      </w:r>
      <w:r w:rsidR="00735435" w:rsidRPr="007F7EBF">
        <w:rPr>
          <w:sz w:val="22"/>
          <w:szCs w:val="22"/>
        </w:rPr>
        <w:t xml:space="preserve"> indicato al par.4.4</w:t>
      </w:r>
      <w:r w:rsidR="00D0508D" w:rsidRPr="007F7EBF">
        <w:rPr>
          <w:rStyle w:val="Rimandonotaapidipagina"/>
          <w:sz w:val="22"/>
          <w:szCs w:val="22"/>
        </w:rPr>
        <w:footnoteReference w:id="860"/>
      </w:r>
      <w:r w:rsidR="00735435" w:rsidRPr="007F7EBF">
        <w:rPr>
          <w:sz w:val="22"/>
          <w:szCs w:val="22"/>
        </w:rPr>
        <w:t xml:space="preserve">, </w:t>
      </w:r>
      <w:r w:rsidR="006410B8">
        <w:rPr>
          <w:sz w:val="22"/>
          <w:szCs w:val="22"/>
        </w:rPr>
        <w:t>dare</w:t>
      </w:r>
      <w:r w:rsidR="00F164F2">
        <w:rPr>
          <w:sz w:val="22"/>
          <w:szCs w:val="22"/>
        </w:rPr>
        <w:t xml:space="preserve"> </w:t>
      </w:r>
      <w:r w:rsidR="006410B8">
        <w:rPr>
          <w:sz w:val="22"/>
          <w:szCs w:val="22"/>
        </w:rPr>
        <w:t>spiegazioni sociali</w:t>
      </w:r>
      <w:r w:rsidR="00F164F2">
        <w:rPr>
          <w:sz w:val="22"/>
          <w:szCs w:val="22"/>
        </w:rPr>
        <w:t xml:space="preserve"> </w:t>
      </w:r>
      <w:r w:rsidR="006410B8">
        <w:rPr>
          <w:sz w:val="22"/>
          <w:szCs w:val="22"/>
        </w:rPr>
        <w:t>della</w:t>
      </w:r>
      <w:r w:rsidR="00D0508D" w:rsidRPr="007F7EBF">
        <w:rPr>
          <w:sz w:val="22"/>
          <w:szCs w:val="22"/>
        </w:rPr>
        <w:t xml:space="preserve"> </w:t>
      </w:r>
      <w:r w:rsidR="00735435" w:rsidRPr="007F7EBF">
        <w:rPr>
          <w:sz w:val="22"/>
          <w:szCs w:val="22"/>
        </w:rPr>
        <w:t xml:space="preserve">funzione </w:t>
      </w:r>
      <w:r w:rsidR="009E2D13">
        <w:rPr>
          <w:sz w:val="22"/>
          <w:szCs w:val="22"/>
        </w:rPr>
        <w:t>tributaria</w:t>
      </w:r>
      <w:r w:rsidR="00D0508D" w:rsidRPr="007F7EBF">
        <w:rPr>
          <w:sz w:val="22"/>
          <w:szCs w:val="22"/>
        </w:rPr>
        <w:t xml:space="preserve">; le motivazioni dei giudici </w:t>
      </w:r>
      <w:r w:rsidR="00735435" w:rsidRPr="007F7EBF">
        <w:rPr>
          <w:sz w:val="22"/>
          <w:szCs w:val="22"/>
        </w:rPr>
        <w:t xml:space="preserve">servono </w:t>
      </w:r>
      <w:r w:rsidR="00D0508D" w:rsidRPr="007F7EBF">
        <w:rPr>
          <w:sz w:val="22"/>
          <w:szCs w:val="22"/>
        </w:rPr>
        <w:t xml:space="preserve">infatti </w:t>
      </w:r>
      <w:r w:rsidR="002A7296" w:rsidRPr="007F7EBF">
        <w:rPr>
          <w:sz w:val="22"/>
          <w:szCs w:val="22"/>
        </w:rPr>
        <w:t xml:space="preserve">al controllo </w:t>
      </w:r>
      <w:r w:rsidR="00C54D05" w:rsidRPr="007F7EBF">
        <w:rPr>
          <w:sz w:val="22"/>
          <w:szCs w:val="22"/>
        </w:rPr>
        <w:t xml:space="preserve">della funzione giurisdizionale, </w:t>
      </w:r>
      <w:r w:rsidR="002A7296" w:rsidRPr="007F7EBF">
        <w:rPr>
          <w:sz w:val="22"/>
          <w:szCs w:val="22"/>
        </w:rPr>
        <w:t xml:space="preserve">sia </w:t>
      </w:r>
      <w:r w:rsidR="00C54D05" w:rsidRPr="007F7EBF">
        <w:rPr>
          <w:sz w:val="22"/>
          <w:szCs w:val="22"/>
        </w:rPr>
        <w:t>verso le parti (</w:t>
      </w:r>
      <w:r w:rsidR="007E31D9" w:rsidRPr="007F7EBF">
        <w:rPr>
          <w:rStyle w:val="Rimandonotaapidipagina"/>
          <w:sz w:val="22"/>
          <w:szCs w:val="22"/>
        </w:rPr>
        <w:footnoteReference w:id="861"/>
      </w:r>
      <w:r w:rsidR="002A7296" w:rsidRPr="007F7EBF">
        <w:rPr>
          <w:sz w:val="22"/>
          <w:szCs w:val="22"/>
        </w:rPr>
        <w:t>) sia verso tutti gli interessati nella società, come "</w:t>
      </w:r>
      <w:r w:rsidR="007E31D9" w:rsidRPr="007F7EBF">
        <w:rPr>
          <w:sz w:val="22"/>
          <w:szCs w:val="22"/>
        </w:rPr>
        <w:t>controllo sociale</w:t>
      </w:r>
      <w:r w:rsidR="005936A1" w:rsidRPr="007F7EBF">
        <w:rPr>
          <w:sz w:val="22"/>
          <w:szCs w:val="22"/>
        </w:rPr>
        <w:t xml:space="preserve">"; </w:t>
      </w:r>
      <w:r>
        <w:rPr>
          <w:sz w:val="22"/>
          <w:szCs w:val="22"/>
        </w:rPr>
        <w:t xml:space="preserve">prima di tutto </w:t>
      </w:r>
      <w:r w:rsidR="005936A1" w:rsidRPr="007F7EBF">
        <w:rPr>
          <w:sz w:val="22"/>
          <w:szCs w:val="22"/>
        </w:rPr>
        <w:t xml:space="preserve">il giudice </w:t>
      </w:r>
      <w:r>
        <w:rPr>
          <w:sz w:val="22"/>
          <w:szCs w:val="22"/>
        </w:rPr>
        <w:t xml:space="preserve">giustamente si </w:t>
      </w:r>
      <w:r w:rsidR="00F164F2">
        <w:rPr>
          <w:sz w:val="22"/>
          <w:szCs w:val="22"/>
        </w:rPr>
        <w:t xml:space="preserve">preoccupa di </w:t>
      </w:r>
      <w:r w:rsidR="005936A1" w:rsidRPr="007F7EBF">
        <w:rPr>
          <w:sz w:val="22"/>
          <w:szCs w:val="22"/>
        </w:rPr>
        <w:t>redigere</w:t>
      </w:r>
      <w:r w:rsidR="002A7296" w:rsidRPr="007F7EBF">
        <w:rPr>
          <w:sz w:val="22"/>
          <w:szCs w:val="22"/>
        </w:rPr>
        <w:t xml:space="preserve"> </w:t>
      </w:r>
      <w:r w:rsidR="00C54D05" w:rsidRPr="007F7EBF">
        <w:rPr>
          <w:sz w:val="22"/>
          <w:szCs w:val="22"/>
        </w:rPr>
        <w:t xml:space="preserve">una sentenza </w:t>
      </w:r>
      <w:r w:rsidR="00F164F2">
        <w:rPr>
          <w:sz w:val="22"/>
          <w:szCs w:val="22"/>
        </w:rPr>
        <w:t>corretta</w:t>
      </w:r>
      <w:r w:rsidR="005936A1" w:rsidRPr="007F7EBF">
        <w:rPr>
          <w:sz w:val="22"/>
          <w:szCs w:val="22"/>
        </w:rPr>
        <w:t xml:space="preserve"> nel caso di specie</w:t>
      </w:r>
      <w:r w:rsidR="00F164F2">
        <w:rPr>
          <w:sz w:val="22"/>
          <w:szCs w:val="22"/>
        </w:rPr>
        <w:t xml:space="preserve">. Ciò anche secondo il proprio senso di giustizia e la successione logica secondo cui </w:t>
      </w:r>
      <w:r w:rsidR="002A7296" w:rsidRPr="007F7EBF">
        <w:rPr>
          <w:sz w:val="22"/>
          <w:szCs w:val="22"/>
        </w:rPr>
        <w:t xml:space="preserve"> </w:t>
      </w:r>
      <w:r w:rsidR="00F164F2" w:rsidRPr="007F7EBF">
        <w:t xml:space="preserve">“prima si </w:t>
      </w:r>
      <w:r w:rsidR="00F164F2">
        <w:t>decide</w:t>
      </w:r>
      <w:r w:rsidR="00F164F2" w:rsidRPr="007F7EBF">
        <w:t xml:space="preserve"> poi si </w:t>
      </w:r>
      <w:r w:rsidR="00F164F2">
        <w:t>motiva</w:t>
      </w:r>
      <w:r w:rsidR="00F164F2" w:rsidRPr="007F7EBF">
        <w:t>”</w:t>
      </w:r>
      <w:r w:rsidR="00F164F2" w:rsidRPr="007F7EBF">
        <w:rPr>
          <w:sz w:val="22"/>
          <w:szCs w:val="22"/>
        </w:rPr>
        <w:t xml:space="preserve"> </w:t>
      </w:r>
      <w:r w:rsidR="00E074B6" w:rsidRPr="007F7EBF">
        <w:rPr>
          <w:sz w:val="22"/>
          <w:szCs w:val="22"/>
        </w:rPr>
        <w:t>(</w:t>
      </w:r>
      <w:r w:rsidR="00E074B6" w:rsidRPr="007F7EBF">
        <w:rPr>
          <w:rStyle w:val="Rimandonotaapidipagina"/>
          <w:sz w:val="22"/>
          <w:szCs w:val="22"/>
        </w:rPr>
        <w:footnoteReference w:id="862"/>
      </w:r>
      <w:r w:rsidR="00741139" w:rsidRPr="007F7EBF">
        <w:rPr>
          <w:sz w:val="22"/>
          <w:szCs w:val="22"/>
        </w:rPr>
        <w:t>)</w:t>
      </w:r>
      <w:r w:rsidR="00F164F2">
        <w:rPr>
          <w:sz w:val="22"/>
          <w:szCs w:val="22"/>
        </w:rPr>
        <w:t xml:space="preserve">; </w:t>
      </w:r>
      <w:r w:rsidR="00741139" w:rsidRPr="007F7EBF">
        <w:rPr>
          <w:sz w:val="22"/>
          <w:szCs w:val="22"/>
        </w:rPr>
        <w:t>la motivazione razionalizza "ex post"</w:t>
      </w:r>
      <w:r w:rsidR="00F164F2">
        <w:rPr>
          <w:sz w:val="22"/>
          <w:szCs w:val="22"/>
        </w:rPr>
        <w:t xml:space="preserve">, </w:t>
      </w:r>
      <w:r w:rsidR="00E074B6" w:rsidRPr="007F7EBF">
        <w:rPr>
          <w:sz w:val="22"/>
          <w:szCs w:val="22"/>
        </w:rPr>
        <w:t xml:space="preserve">con la massima </w:t>
      </w:r>
      <w:r w:rsidR="00186199" w:rsidRPr="007F7EBF">
        <w:rPr>
          <w:sz w:val="22"/>
          <w:szCs w:val="22"/>
        </w:rPr>
        <w:t>buona fede</w:t>
      </w:r>
      <w:r w:rsidR="00F164F2">
        <w:rPr>
          <w:sz w:val="22"/>
          <w:szCs w:val="22"/>
        </w:rPr>
        <w:t xml:space="preserve"> e senza alcuna ipocrisia</w:t>
      </w:r>
      <w:r w:rsidR="00E074B6" w:rsidRPr="007F7EBF">
        <w:rPr>
          <w:sz w:val="22"/>
          <w:szCs w:val="22"/>
        </w:rPr>
        <w:t xml:space="preserve">, </w:t>
      </w:r>
      <w:r w:rsidR="00F164F2">
        <w:rPr>
          <w:sz w:val="22"/>
          <w:szCs w:val="22"/>
        </w:rPr>
        <w:t>un bilanciamento informale, nella mente dei giudici, tra i vari argomenti rilevanti</w:t>
      </w:r>
      <w:r w:rsidR="009E2D13">
        <w:rPr>
          <w:sz w:val="22"/>
          <w:szCs w:val="22"/>
        </w:rPr>
        <w:t xml:space="preserve">; </w:t>
      </w:r>
      <w:r w:rsidR="00D46237">
        <w:rPr>
          <w:sz w:val="22"/>
          <w:szCs w:val="22"/>
        </w:rPr>
        <w:t xml:space="preserve">non </w:t>
      </w:r>
      <w:r w:rsidR="009E2D13">
        <w:rPr>
          <w:sz w:val="22"/>
          <w:szCs w:val="22"/>
        </w:rPr>
        <w:t xml:space="preserve">si tratta </w:t>
      </w:r>
      <w:r w:rsidR="00D46237">
        <w:rPr>
          <w:sz w:val="22"/>
          <w:szCs w:val="22"/>
        </w:rPr>
        <w:t xml:space="preserve">quindi </w:t>
      </w:r>
      <w:r w:rsidR="009E2D13">
        <w:rPr>
          <w:sz w:val="22"/>
          <w:szCs w:val="22"/>
        </w:rPr>
        <w:t xml:space="preserve">di </w:t>
      </w:r>
      <w:r w:rsidR="00D46237">
        <w:rPr>
          <w:sz w:val="22"/>
          <w:szCs w:val="22"/>
        </w:rPr>
        <w:t xml:space="preserve">un articolo di dottrina, ma </w:t>
      </w:r>
      <w:r w:rsidR="009E2D13">
        <w:rPr>
          <w:sz w:val="22"/>
          <w:szCs w:val="22"/>
        </w:rPr>
        <w:t>del supporto a</w:t>
      </w:r>
      <w:r w:rsidR="00D46237">
        <w:rPr>
          <w:sz w:val="22"/>
          <w:szCs w:val="22"/>
        </w:rPr>
        <w:t xml:space="preserve"> quanto già deciso informalmente in precedenza; è quindi normale che le questioni dubbie, che hanno messo in difficoltà i giudici, veng</w:t>
      </w:r>
      <w:r w:rsidR="009E2D13">
        <w:rPr>
          <w:sz w:val="22"/>
          <w:szCs w:val="22"/>
        </w:rPr>
        <w:t>a</w:t>
      </w:r>
      <w:r w:rsidR="00D46237">
        <w:rPr>
          <w:sz w:val="22"/>
          <w:szCs w:val="22"/>
        </w:rPr>
        <w:t>no eluse, anche con stereo</w:t>
      </w:r>
      <w:r w:rsidR="004053E4">
        <w:rPr>
          <w:sz w:val="22"/>
          <w:szCs w:val="22"/>
        </w:rPr>
        <w:t>tipi</w:t>
      </w:r>
      <w:r w:rsidR="00D46237">
        <w:rPr>
          <w:sz w:val="22"/>
          <w:szCs w:val="22"/>
        </w:rPr>
        <w:t xml:space="preserve"> e</w:t>
      </w:r>
      <w:r w:rsidR="004053E4">
        <w:rPr>
          <w:sz w:val="22"/>
          <w:szCs w:val="22"/>
        </w:rPr>
        <w:t xml:space="preserve"> </w:t>
      </w:r>
      <w:r w:rsidR="002A7296" w:rsidRPr="007F7EBF">
        <w:rPr>
          <w:sz w:val="22"/>
          <w:szCs w:val="22"/>
        </w:rPr>
        <w:t>riempitivi</w:t>
      </w:r>
      <w:r w:rsidR="00D46237">
        <w:rPr>
          <w:sz w:val="22"/>
          <w:szCs w:val="22"/>
        </w:rPr>
        <w:t xml:space="preserve">. Affrontarle direttamente, nelle loro varie implicazioni logiche </w:t>
      </w:r>
      <w:r w:rsidR="00D46237">
        <w:rPr>
          <w:rStyle w:val="Rimandonotaapidipagina"/>
          <w:sz w:val="22"/>
          <w:szCs w:val="22"/>
        </w:rPr>
        <w:footnoteReference w:id="863"/>
      </w:r>
      <w:r w:rsidR="00D46237">
        <w:rPr>
          <w:sz w:val="22"/>
          <w:szCs w:val="22"/>
        </w:rPr>
        <w:t xml:space="preserve">, richiederebbe non solo tempo ed energie sproporzionate, ma potrebbe essere equivocato, </w:t>
      </w:r>
      <w:r w:rsidR="00CB7BF5">
        <w:rPr>
          <w:sz w:val="22"/>
          <w:szCs w:val="22"/>
        </w:rPr>
        <w:t xml:space="preserve">creando precedenti non voluti  </w:t>
      </w:r>
      <w:r w:rsidR="00CF06C3">
        <w:rPr>
          <w:sz w:val="22"/>
          <w:szCs w:val="22"/>
        </w:rPr>
        <w:t>(</w:t>
      </w:r>
      <w:r w:rsidR="00CF06C3" w:rsidRPr="007F7EBF">
        <w:rPr>
          <w:rStyle w:val="Rimandonotaapidipagina"/>
          <w:sz w:val="22"/>
          <w:szCs w:val="22"/>
        </w:rPr>
        <w:footnoteReference w:id="864"/>
      </w:r>
      <w:r w:rsidR="00CF06C3">
        <w:rPr>
          <w:sz w:val="22"/>
          <w:szCs w:val="22"/>
        </w:rPr>
        <w:t>)</w:t>
      </w:r>
      <w:r w:rsidR="005936A1" w:rsidRPr="007F7EBF">
        <w:rPr>
          <w:sz w:val="22"/>
          <w:szCs w:val="22"/>
        </w:rPr>
        <w:t xml:space="preserve">. </w:t>
      </w:r>
    </w:p>
    <w:p w14:paraId="0D2F1BCD" w14:textId="03AFB926" w:rsidR="00BB5FD1" w:rsidRPr="007F7EBF" w:rsidRDefault="00FD1F62" w:rsidP="00BB5FD1">
      <w:pPr>
        <w:pStyle w:val="tit23"/>
        <w:ind w:left="6464" w:right="-1361" w:firstLine="0"/>
        <w:jc w:val="left"/>
        <w:rPr>
          <w:bCs/>
          <w:i/>
          <w:iCs/>
          <w:color w:val="0000FF"/>
          <w:lang w:val="it-IT"/>
        </w:rPr>
      </w:pPr>
      <w:r>
        <w:rPr>
          <w:bCs/>
          <w:i/>
          <w:iCs/>
          <w:color w:val="0000FF"/>
          <w:lang w:val="it-IT"/>
        </w:rPr>
        <w:lastRenderedPageBreak/>
        <w:t xml:space="preserve">Inconvenienti della </w:t>
      </w:r>
      <w:r w:rsidR="00BB5FD1" w:rsidRPr="007F7EBF">
        <w:rPr>
          <w:bCs/>
          <w:i/>
          <w:iCs/>
          <w:color w:val="0000FF"/>
          <w:lang w:val="it-IT"/>
        </w:rPr>
        <w:t xml:space="preserve"> massificazione d</w:t>
      </w:r>
      <w:r>
        <w:rPr>
          <w:bCs/>
          <w:i/>
          <w:iCs/>
          <w:color w:val="0000FF"/>
          <w:lang w:val="it-IT"/>
        </w:rPr>
        <w:t xml:space="preserve">ei ricorsi tributari in cassazione </w:t>
      </w:r>
    </w:p>
    <w:p w14:paraId="634A4D01" w14:textId="415A6D30" w:rsidR="004913DB" w:rsidRPr="007F7EBF" w:rsidRDefault="00BB5FD1" w:rsidP="00C70B7D">
      <w:pPr>
        <w:autoSpaceDE w:val="0"/>
        <w:autoSpaceDN w:val="0"/>
        <w:adjustRightInd w:val="0"/>
        <w:rPr>
          <w:bCs/>
          <w:i/>
          <w:iCs/>
          <w:color w:val="0000FF"/>
          <w:sz w:val="22"/>
          <w:szCs w:val="22"/>
        </w:rPr>
      </w:pPr>
      <w:r w:rsidRPr="007F7EBF">
        <w:rPr>
          <w:sz w:val="22"/>
          <w:szCs w:val="22"/>
        </w:rPr>
        <w:t>L</w:t>
      </w:r>
      <w:r w:rsidR="004913DB" w:rsidRPr="007F7EBF">
        <w:rPr>
          <w:sz w:val="22"/>
          <w:szCs w:val="22"/>
        </w:rPr>
        <w:t>'insuccesso della via giurisdizionale al diritto tributario è confermato anche dall</w:t>
      </w:r>
      <w:r w:rsidRPr="007F7EBF">
        <w:rPr>
          <w:sz w:val="22"/>
          <w:szCs w:val="22"/>
        </w:rPr>
        <w:t xml:space="preserve">'involuzione </w:t>
      </w:r>
      <w:r w:rsidR="00C70B7D" w:rsidRPr="007F7EBF">
        <w:rPr>
          <w:sz w:val="22"/>
          <w:szCs w:val="22"/>
        </w:rPr>
        <w:t xml:space="preserve">della giurisprudenza </w:t>
      </w:r>
      <w:r w:rsidR="00C03E0D">
        <w:rPr>
          <w:sz w:val="22"/>
          <w:szCs w:val="22"/>
        </w:rPr>
        <w:t xml:space="preserve">di legittimità </w:t>
      </w:r>
      <w:r w:rsidRPr="007F7EBF">
        <w:rPr>
          <w:sz w:val="22"/>
          <w:szCs w:val="22"/>
        </w:rPr>
        <w:t>da quando, con l'abolizione del</w:t>
      </w:r>
      <w:r w:rsidR="00C60F75" w:rsidRPr="007F7EBF">
        <w:rPr>
          <w:sz w:val="22"/>
          <w:szCs w:val="22"/>
        </w:rPr>
        <w:t xml:space="preserve">la commissione tributaria centrale, </w:t>
      </w:r>
      <w:r w:rsidRPr="007F7EBF">
        <w:rPr>
          <w:sz w:val="22"/>
          <w:szCs w:val="22"/>
        </w:rPr>
        <w:t>si è riversata sull</w:t>
      </w:r>
      <w:r w:rsidR="00C03E0D">
        <w:rPr>
          <w:sz w:val="22"/>
          <w:szCs w:val="22"/>
        </w:rPr>
        <w:t xml:space="preserve">’apposita </w:t>
      </w:r>
      <w:r w:rsidRPr="007F7EBF">
        <w:rPr>
          <w:sz w:val="22"/>
          <w:szCs w:val="22"/>
        </w:rPr>
        <w:t xml:space="preserve">sezione tributaria della </w:t>
      </w:r>
      <w:r w:rsidR="00C60F75" w:rsidRPr="007F7EBF">
        <w:rPr>
          <w:sz w:val="22"/>
          <w:szCs w:val="22"/>
        </w:rPr>
        <w:t>cassazione</w:t>
      </w:r>
      <w:r w:rsidR="00AA7EC8">
        <w:rPr>
          <w:sz w:val="22"/>
          <w:szCs w:val="22"/>
        </w:rPr>
        <w:t>, istituita nel 1999,</w:t>
      </w:r>
      <w:r w:rsidR="00C60F75" w:rsidRPr="007F7EBF">
        <w:rPr>
          <w:sz w:val="22"/>
          <w:szCs w:val="22"/>
        </w:rPr>
        <w:t xml:space="preserve"> </w:t>
      </w:r>
      <w:r w:rsidRPr="007F7EBF">
        <w:rPr>
          <w:sz w:val="22"/>
          <w:szCs w:val="22"/>
        </w:rPr>
        <w:t>un</w:t>
      </w:r>
      <w:r w:rsidR="00AA7EC8">
        <w:rPr>
          <w:sz w:val="22"/>
          <w:szCs w:val="22"/>
        </w:rPr>
        <w:t>’</w:t>
      </w:r>
      <w:r w:rsidR="00C70B7D" w:rsidRPr="007F7EBF">
        <w:rPr>
          <w:sz w:val="22"/>
          <w:szCs w:val="22"/>
        </w:rPr>
        <w:t>enorme mole</w:t>
      </w:r>
      <w:r w:rsidRPr="007F7EBF">
        <w:rPr>
          <w:sz w:val="22"/>
          <w:szCs w:val="22"/>
        </w:rPr>
        <w:t xml:space="preserve"> di </w:t>
      </w:r>
      <w:r w:rsidR="00C03E0D">
        <w:rPr>
          <w:sz w:val="22"/>
          <w:szCs w:val="22"/>
        </w:rPr>
        <w:t>controversie</w:t>
      </w:r>
      <w:r w:rsidR="004913DB" w:rsidRPr="007F7EBF">
        <w:rPr>
          <w:sz w:val="22"/>
          <w:szCs w:val="22"/>
        </w:rPr>
        <w:t xml:space="preserve">. </w:t>
      </w:r>
    </w:p>
    <w:p w14:paraId="34790EC8" w14:textId="6618BFB6" w:rsidR="004913DB" w:rsidRPr="007F7EBF" w:rsidRDefault="004913DB" w:rsidP="004913DB">
      <w:pPr>
        <w:autoSpaceDE w:val="0"/>
        <w:autoSpaceDN w:val="0"/>
        <w:adjustRightInd w:val="0"/>
        <w:rPr>
          <w:sz w:val="22"/>
          <w:szCs w:val="22"/>
        </w:rPr>
      </w:pPr>
      <w:r w:rsidRPr="007F7EBF">
        <w:rPr>
          <w:sz w:val="22"/>
          <w:szCs w:val="22"/>
        </w:rPr>
        <w:t>L</w:t>
      </w:r>
      <w:r w:rsidR="00BB5FD1" w:rsidRPr="007F7EBF">
        <w:rPr>
          <w:sz w:val="22"/>
          <w:szCs w:val="22"/>
        </w:rPr>
        <w:t xml:space="preserve">a pressione numerica, con un ingolfamento di </w:t>
      </w:r>
      <w:r w:rsidR="00C60F75" w:rsidRPr="007F7EBF">
        <w:rPr>
          <w:sz w:val="22"/>
          <w:szCs w:val="22"/>
        </w:rPr>
        <w:t>circa</w:t>
      </w:r>
      <w:r w:rsidR="00BB5FD1" w:rsidRPr="007F7EBF">
        <w:rPr>
          <w:sz w:val="22"/>
          <w:szCs w:val="22"/>
        </w:rPr>
        <w:t xml:space="preserve"> 6000 ricorsi tributari l'anno su una sezione </w:t>
      </w:r>
      <w:r w:rsidR="009E2D13">
        <w:rPr>
          <w:sz w:val="22"/>
          <w:szCs w:val="22"/>
        </w:rPr>
        <w:t xml:space="preserve">inizialmente </w:t>
      </w:r>
      <w:r w:rsidR="00BB5FD1" w:rsidRPr="007F7EBF">
        <w:rPr>
          <w:sz w:val="22"/>
          <w:szCs w:val="22"/>
        </w:rPr>
        <w:t>composta da poco più di 20 magistrati</w:t>
      </w:r>
      <w:r w:rsidR="00AA7EC8">
        <w:rPr>
          <w:sz w:val="22"/>
          <w:szCs w:val="22"/>
        </w:rPr>
        <w:t>(</w:t>
      </w:r>
      <w:r w:rsidR="00BB5FD1" w:rsidRPr="007F7EBF">
        <w:rPr>
          <w:rStyle w:val="Rimandonotaapidipagina"/>
          <w:sz w:val="22"/>
          <w:szCs w:val="22"/>
        </w:rPr>
        <w:footnoteReference w:id="865"/>
      </w:r>
      <w:r w:rsidR="00AA7EC8">
        <w:rPr>
          <w:sz w:val="22"/>
          <w:szCs w:val="22"/>
        </w:rPr>
        <w:t>)</w:t>
      </w:r>
      <w:r w:rsidR="00BB5FD1" w:rsidRPr="007F7EBF">
        <w:rPr>
          <w:sz w:val="22"/>
          <w:szCs w:val="22"/>
        </w:rPr>
        <w:t xml:space="preserve"> , ha nuociuto fortemente alla qualità delle sentenze rispetto a quando</w:t>
      </w:r>
      <w:r w:rsidR="007D32B8" w:rsidRPr="007F7EBF">
        <w:rPr>
          <w:sz w:val="22"/>
          <w:szCs w:val="22"/>
        </w:rPr>
        <w:t xml:space="preserve"> l</w:t>
      </w:r>
      <w:r w:rsidR="00BB5FD1" w:rsidRPr="007F7EBF">
        <w:rPr>
          <w:sz w:val="22"/>
          <w:szCs w:val="22"/>
        </w:rPr>
        <w:t>a prima sezione civile della cassazione</w:t>
      </w:r>
      <w:r w:rsidR="007D32B8" w:rsidRPr="007F7EBF">
        <w:rPr>
          <w:sz w:val="22"/>
          <w:szCs w:val="22"/>
        </w:rPr>
        <w:t xml:space="preserve"> esaminava un numero molto inferiore di liti </w:t>
      </w:r>
      <w:r w:rsidR="005357E5">
        <w:rPr>
          <w:sz w:val="22"/>
          <w:szCs w:val="22"/>
        </w:rPr>
        <w:t>(</w:t>
      </w:r>
      <w:r w:rsidR="00BB5FD1" w:rsidRPr="007F7EBF">
        <w:rPr>
          <w:rStyle w:val="Rimandonotaapidipagina"/>
          <w:sz w:val="22"/>
          <w:szCs w:val="22"/>
        </w:rPr>
        <w:footnoteReference w:id="866"/>
      </w:r>
      <w:r w:rsidR="005357E5">
        <w:rPr>
          <w:sz w:val="22"/>
          <w:szCs w:val="22"/>
        </w:rPr>
        <w:t>)</w:t>
      </w:r>
      <w:r w:rsidR="00BB5FD1" w:rsidRPr="007F7EBF">
        <w:rPr>
          <w:sz w:val="22"/>
          <w:szCs w:val="22"/>
        </w:rPr>
        <w:t xml:space="preserve">. </w:t>
      </w:r>
    </w:p>
    <w:p w14:paraId="2338EC52" w14:textId="77777777" w:rsidR="004913DB" w:rsidRPr="007F7EBF" w:rsidRDefault="004913DB" w:rsidP="004913DB">
      <w:pPr>
        <w:pStyle w:val="tit23"/>
        <w:ind w:left="6464" w:right="-1361" w:firstLine="0"/>
        <w:jc w:val="left"/>
        <w:rPr>
          <w:bCs/>
          <w:i/>
          <w:iCs/>
          <w:color w:val="0000FF"/>
          <w:lang w:val="it-IT"/>
        </w:rPr>
      </w:pPr>
      <w:r w:rsidRPr="007F7EBF">
        <w:rPr>
          <w:bCs/>
          <w:i/>
          <w:iCs/>
          <w:color w:val="0000FF"/>
          <w:lang w:val="it-IT"/>
        </w:rPr>
        <w:t xml:space="preserve">Il disorientamento </w:t>
      </w:r>
    </w:p>
    <w:p w14:paraId="417C99E4" w14:textId="21315E99" w:rsidR="00DF3D45" w:rsidRPr="007F7EBF" w:rsidRDefault="0002086E" w:rsidP="00DF3D45">
      <w:pPr>
        <w:rPr>
          <w:sz w:val="22"/>
          <w:szCs w:val="22"/>
        </w:rPr>
      </w:pPr>
      <w:r>
        <w:rPr>
          <w:sz w:val="22"/>
          <w:szCs w:val="22"/>
        </w:rPr>
        <w:t xml:space="preserve">Oggi la cassazione </w:t>
      </w:r>
      <w:r w:rsidR="00A572CC">
        <w:rPr>
          <w:sz w:val="22"/>
          <w:szCs w:val="22"/>
        </w:rPr>
        <w:t xml:space="preserve">è invece costretta sistematicamente a </w:t>
      </w:r>
      <w:r w:rsidR="00C03E0D">
        <w:rPr>
          <w:sz w:val="22"/>
          <w:szCs w:val="22"/>
        </w:rPr>
        <w:t xml:space="preserve">calarsi, attraverso </w:t>
      </w:r>
      <w:r w:rsidR="00CC6D21" w:rsidRPr="007F7EBF">
        <w:rPr>
          <w:sz w:val="22"/>
          <w:szCs w:val="22"/>
        </w:rPr>
        <w:t>ricorsi prolissi e</w:t>
      </w:r>
      <w:r w:rsidR="00CF68EA" w:rsidRPr="007F7EBF">
        <w:rPr>
          <w:sz w:val="22"/>
          <w:szCs w:val="22"/>
        </w:rPr>
        <w:t xml:space="preserve"> </w:t>
      </w:r>
      <w:r w:rsidR="0097696E" w:rsidRPr="007F7EBF">
        <w:rPr>
          <w:sz w:val="22"/>
          <w:szCs w:val="22"/>
        </w:rPr>
        <w:t>avvocatesco-tendenzios</w:t>
      </w:r>
      <w:r w:rsidR="00DB38F8" w:rsidRPr="007F7EBF">
        <w:rPr>
          <w:sz w:val="22"/>
          <w:szCs w:val="22"/>
        </w:rPr>
        <w:t>i</w:t>
      </w:r>
      <w:r w:rsidR="00C03E0D">
        <w:rPr>
          <w:sz w:val="22"/>
          <w:szCs w:val="22"/>
        </w:rPr>
        <w:t xml:space="preserve">, in una funzione non giurisdizionale (oggettivamente  </w:t>
      </w:r>
      <w:r w:rsidR="00C03E0D" w:rsidRPr="007F7EBF">
        <w:rPr>
          <w:sz w:val="22"/>
          <w:szCs w:val="22"/>
        </w:rPr>
        <w:t>amministrativistic</w:t>
      </w:r>
      <w:r w:rsidR="00C03E0D">
        <w:rPr>
          <w:sz w:val="22"/>
          <w:szCs w:val="22"/>
        </w:rPr>
        <w:t>a)</w:t>
      </w:r>
      <w:r w:rsidR="00C03E0D" w:rsidRPr="007F7EBF">
        <w:rPr>
          <w:sz w:val="22"/>
          <w:szCs w:val="22"/>
        </w:rPr>
        <w:t xml:space="preserve">, a </w:t>
      </w:r>
      <w:r w:rsidR="00C03E0D">
        <w:rPr>
          <w:sz w:val="22"/>
          <w:szCs w:val="22"/>
        </w:rPr>
        <w:t>oggetto</w:t>
      </w:r>
      <w:r w:rsidR="00C03E0D" w:rsidRPr="007F7EBF">
        <w:rPr>
          <w:sz w:val="22"/>
          <w:szCs w:val="22"/>
        </w:rPr>
        <w:t xml:space="preserve"> economico</w:t>
      </w:r>
      <w:r w:rsidR="00C03E0D">
        <w:rPr>
          <w:sz w:val="22"/>
          <w:szCs w:val="22"/>
        </w:rPr>
        <w:t xml:space="preserve"> (par.1.8) e spesso aziendale. Per di più si tratta di </w:t>
      </w:r>
      <w:r w:rsidR="00A572CC">
        <w:rPr>
          <w:sz w:val="22"/>
          <w:szCs w:val="22"/>
        </w:rPr>
        <w:t xml:space="preserve">vicende </w:t>
      </w:r>
      <w:r w:rsidR="00962D23">
        <w:rPr>
          <w:sz w:val="22"/>
          <w:szCs w:val="22"/>
        </w:rPr>
        <w:t xml:space="preserve">materiali </w:t>
      </w:r>
      <w:r w:rsidR="00A572CC">
        <w:rPr>
          <w:sz w:val="22"/>
          <w:szCs w:val="22"/>
        </w:rPr>
        <w:t>ormai remote</w:t>
      </w:r>
      <w:r w:rsidR="00450691">
        <w:rPr>
          <w:sz w:val="22"/>
          <w:szCs w:val="22"/>
        </w:rPr>
        <w:t xml:space="preserve">, tra cui si interpongono filtri non solo giurisdizionali (sentenze precedenti), ma </w:t>
      </w:r>
      <w:r w:rsidR="00962D23">
        <w:rPr>
          <w:sz w:val="22"/>
          <w:szCs w:val="22"/>
        </w:rPr>
        <w:t xml:space="preserve">anche i precedenti passaggi </w:t>
      </w:r>
      <w:r w:rsidR="00450691">
        <w:rPr>
          <w:sz w:val="22"/>
          <w:szCs w:val="22"/>
        </w:rPr>
        <w:lastRenderedPageBreak/>
        <w:t>amministrativi</w:t>
      </w:r>
      <w:r w:rsidR="00DB38F8" w:rsidRPr="007F7EBF">
        <w:rPr>
          <w:sz w:val="22"/>
          <w:szCs w:val="22"/>
        </w:rPr>
        <w:t xml:space="preserve">; </w:t>
      </w:r>
      <w:r w:rsidR="00450691">
        <w:rPr>
          <w:sz w:val="22"/>
          <w:szCs w:val="22"/>
        </w:rPr>
        <w:t xml:space="preserve">la reazione è stata densa di </w:t>
      </w:r>
      <w:r w:rsidR="00A572CC">
        <w:rPr>
          <w:sz w:val="22"/>
          <w:szCs w:val="22"/>
        </w:rPr>
        <w:t xml:space="preserve">equivoci, confusioni e travisamenti rispetto </w:t>
      </w:r>
      <w:r w:rsidR="00475180" w:rsidRPr="007F7EBF">
        <w:rPr>
          <w:sz w:val="22"/>
          <w:szCs w:val="22"/>
        </w:rPr>
        <w:t>al</w:t>
      </w:r>
      <w:r w:rsidR="0045106A">
        <w:rPr>
          <w:sz w:val="22"/>
          <w:szCs w:val="22"/>
        </w:rPr>
        <w:t>la funzione tributaria, oggetto di critiche fuori luogo dalla pubblicistica di settore</w:t>
      </w:r>
      <w:r w:rsidR="00A572CC">
        <w:rPr>
          <w:sz w:val="22"/>
          <w:szCs w:val="22"/>
        </w:rPr>
        <w:t xml:space="preserve"> </w:t>
      </w:r>
      <w:r w:rsidR="00541300">
        <w:rPr>
          <w:sz w:val="22"/>
          <w:szCs w:val="22"/>
        </w:rPr>
        <w:t>(</w:t>
      </w:r>
      <w:r w:rsidR="00CC6D21" w:rsidRPr="007F7EBF">
        <w:rPr>
          <w:rStyle w:val="Rimandonotaapidipagina"/>
          <w:sz w:val="22"/>
          <w:szCs w:val="22"/>
        </w:rPr>
        <w:footnoteReference w:id="867"/>
      </w:r>
      <w:r w:rsidR="00541300">
        <w:rPr>
          <w:sz w:val="22"/>
          <w:szCs w:val="22"/>
        </w:rPr>
        <w:t>)</w:t>
      </w:r>
      <w:r w:rsidR="005936A1" w:rsidRPr="007F7EBF">
        <w:rPr>
          <w:sz w:val="22"/>
          <w:szCs w:val="22"/>
        </w:rPr>
        <w:t>.</w:t>
      </w:r>
      <w:r w:rsidR="00DB38F8" w:rsidRPr="007F7EBF">
        <w:rPr>
          <w:sz w:val="22"/>
          <w:szCs w:val="22"/>
        </w:rPr>
        <w:t xml:space="preserve"> </w:t>
      </w:r>
      <w:r w:rsidR="00962D23">
        <w:rPr>
          <w:sz w:val="22"/>
          <w:szCs w:val="22"/>
        </w:rPr>
        <w:t xml:space="preserve"> Ne è risultata una crisi di rigetto, ennesima conferma di quanto sia fuori luogo chiedere all’organo di vertice della f</w:t>
      </w:r>
      <w:r w:rsidR="00DB38F8" w:rsidRPr="007F7EBF">
        <w:rPr>
          <w:sz w:val="22"/>
          <w:szCs w:val="22"/>
        </w:rPr>
        <w:t xml:space="preserve">unzione giurisdizionale </w:t>
      </w:r>
      <w:r w:rsidR="00962D23">
        <w:rPr>
          <w:sz w:val="22"/>
          <w:szCs w:val="22"/>
        </w:rPr>
        <w:t>un intenso e ricorrente intervento, in funzione nomofilattica, su una div</w:t>
      </w:r>
      <w:r>
        <w:rPr>
          <w:sz w:val="22"/>
          <w:szCs w:val="22"/>
        </w:rPr>
        <w:t xml:space="preserve">ersa funzione oggettivamente “non giurisdizionale”, come </w:t>
      </w:r>
      <w:r w:rsidR="00962D23">
        <w:rPr>
          <w:sz w:val="22"/>
          <w:szCs w:val="22"/>
        </w:rPr>
        <w:t>quella tributaria</w:t>
      </w:r>
      <w:r w:rsidR="00663CBF" w:rsidRPr="007F7EBF">
        <w:rPr>
          <w:sz w:val="22"/>
          <w:szCs w:val="22"/>
        </w:rPr>
        <w:t>.</w:t>
      </w:r>
      <w:r w:rsidR="001C45A0">
        <w:rPr>
          <w:sz w:val="22"/>
          <w:szCs w:val="22"/>
        </w:rPr>
        <w:t xml:space="preserve"> </w:t>
      </w:r>
      <w:r w:rsidR="006874B9">
        <w:rPr>
          <w:sz w:val="22"/>
          <w:szCs w:val="22"/>
        </w:rPr>
        <w:t xml:space="preserve">Davanti alla massa di questioni ad essa sottoposte, unita alla </w:t>
      </w:r>
      <w:r w:rsidR="006874B9" w:rsidRPr="007F7EBF">
        <w:rPr>
          <w:sz w:val="22"/>
          <w:szCs w:val="22"/>
        </w:rPr>
        <w:t>drammatizzazione sociale del</w:t>
      </w:r>
      <w:r w:rsidR="006874B9">
        <w:rPr>
          <w:sz w:val="22"/>
          <w:szCs w:val="22"/>
        </w:rPr>
        <w:t>la funzione tributaria e d</w:t>
      </w:r>
      <w:r w:rsidR="006874B9" w:rsidRPr="007F7EBF">
        <w:rPr>
          <w:sz w:val="22"/>
          <w:szCs w:val="22"/>
        </w:rPr>
        <w:t xml:space="preserve">ell'evasione, </w:t>
      </w:r>
      <w:r w:rsidR="006874B9">
        <w:rPr>
          <w:sz w:val="22"/>
          <w:szCs w:val="22"/>
        </w:rPr>
        <w:t xml:space="preserve">la cassazione reagisce </w:t>
      </w:r>
      <w:r w:rsidR="0045106A">
        <w:rPr>
          <w:sz w:val="22"/>
          <w:szCs w:val="22"/>
        </w:rPr>
        <w:t xml:space="preserve">con le consuete chiusure “pro fisco”, come farebbe chiunque al suo posto, ma ne riparleremo al prossimo paragrafo. </w:t>
      </w:r>
    </w:p>
    <w:p w14:paraId="6428A368" w14:textId="415508A2" w:rsidR="00DF3D45" w:rsidRPr="007F7EBF" w:rsidRDefault="00DF3D45" w:rsidP="00DF3D45">
      <w:pPr>
        <w:pStyle w:val="tit23"/>
        <w:ind w:left="6464" w:right="-1361" w:firstLine="0"/>
        <w:jc w:val="left"/>
        <w:rPr>
          <w:bCs/>
          <w:i/>
          <w:iCs/>
          <w:color w:val="0000FF"/>
          <w:lang w:val="it-IT"/>
        </w:rPr>
      </w:pPr>
      <w:r>
        <w:rPr>
          <w:bCs/>
          <w:i/>
          <w:iCs/>
          <w:color w:val="0000FF"/>
          <w:lang w:val="it-IT"/>
        </w:rPr>
        <w:t>Riscossione provvisoria, ottemperanza e spese</w:t>
      </w:r>
    </w:p>
    <w:p w14:paraId="761E74F5" w14:textId="209A22F5" w:rsidR="00DF3D45" w:rsidRPr="007F7EBF" w:rsidRDefault="00DF3D45" w:rsidP="00DF3D45">
      <w:pPr>
        <w:autoSpaceDE w:val="0"/>
        <w:autoSpaceDN w:val="0"/>
        <w:adjustRightInd w:val="0"/>
        <w:rPr>
          <w:sz w:val="22"/>
          <w:szCs w:val="22"/>
        </w:rPr>
      </w:pPr>
      <w:r>
        <w:rPr>
          <w:sz w:val="22"/>
          <w:szCs w:val="22"/>
        </w:rPr>
        <w:t>Rinviamo al par.6.12 per la riscossione provvisoria dell’imposta in pendenza di processo, con conguaglio finale. Se quest’ultimo è a favore del contribuente, un’alternativa per ottenere materialmente il rimborso, superando le difficoltà dell’azione esecutiva verso pubbliche amministrazioni, è il giudizio di ottemperanza con la nomina d</w:t>
      </w:r>
      <w:r w:rsidRPr="007F7EBF">
        <w:t xml:space="preserve">i un </w:t>
      </w:r>
      <w:r w:rsidRPr="004B3BAC">
        <w:rPr>
          <w:i/>
        </w:rPr>
        <w:t>commissario ad acta</w:t>
      </w:r>
      <w:r w:rsidR="00365C2D">
        <w:t>, ammesso anche nel processo tributario (</w:t>
      </w:r>
      <w:r w:rsidR="00365C2D">
        <w:rPr>
          <w:rStyle w:val="Rimandonotaapidipagina"/>
        </w:rPr>
        <w:footnoteReference w:id="868"/>
      </w:r>
      <w:r w:rsidR="00365C2D">
        <w:t xml:space="preserve">). </w:t>
      </w:r>
      <w:r w:rsidR="006862EB">
        <w:t xml:space="preserve">Il giudizio di ottemperanza ha solo questa funzione, vista l’anomala necessità che il giudice si sostituisca all’amministrazione, qualora ritenga che la sua pretesa vada in parte confermata, secondo la c.d. impugnazione merito. La previsione del giudizio di ottemperanza potrebbe però essere un argomento a favore della possibilità, anche nel processo tributario, di un annullamento con rinvio dell’atto all’amministrazione, per </w:t>
      </w:r>
      <w:r w:rsidR="00361AA9">
        <w:t xml:space="preserve"> </w:t>
      </w:r>
      <w:r w:rsidR="006862EB">
        <w:t xml:space="preserve">una rideterminazione dell’imposta (par.&amp;&amp;). </w:t>
      </w:r>
    </w:p>
    <w:p w14:paraId="562E77B7" w14:textId="3BE0AC1D" w:rsidR="0045106A" w:rsidRPr="007F7EBF" w:rsidRDefault="00DF3D45" w:rsidP="008912F8">
      <w:pPr>
        <w:rPr>
          <w:sz w:val="22"/>
          <w:szCs w:val="22"/>
        </w:rPr>
      </w:pPr>
      <w:r>
        <w:rPr>
          <w:sz w:val="22"/>
          <w:szCs w:val="22"/>
        </w:rPr>
        <w:lastRenderedPageBreak/>
        <w:t xml:space="preserve">Ciascuna </w:t>
      </w:r>
      <w:r w:rsidRPr="007F7EBF">
        <w:rPr>
          <w:sz w:val="22"/>
          <w:szCs w:val="22"/>
        </w:rPr>
        <w:t xml:space="preserve">sentenza decide anche sul </w:t>
      </w:r>
      <w:r w:rsidRPr="007F7EBF">
        <w:rPr>
          <w:bCs/>
          <w:sz w:val="22"/>
          <w:szCs w:val="22"/>
        </w:rPr>
        <w:t>rimborso delle spese processuali</w:t>
      </w:r>
      <w:r w:rsidRPr="007F7EBF">
        <w:rPr>
          <w:sz w:val="22"/>
          <w:szCs w:val="22"/>
        </w:rPr>
        <w:t>, vigendo il principio della condanna del soccombente al rimborso (art. 15, D.lgs. n. 546/1992), sempreché la commissione non ritenga di compensarle tra le parti per la particolare complessità della controversia</w:t>
      </w:r>
      <w:r w:rsidR="00361AA9" w:rsidRPr="00361AA9">
        <w:t xml:space="preserve"> </w:t>
      </w:r>
      <w:r w:rsidR="00361AA9" w:rsidRPr="007F7EBF">
        <w:t>Se si considera che il contribuente ha bisogno di un professionista, mentre l’ufficio si difende da solo, la condanna alle spese a favore di quest’ultimo spesso eccede i costi vivi sostenuti per il personale</w:t>
      </w:r>
      <w:r w:rsidR="00361AA9">
        <w:t xml:space="preserve"> dell’ufficio legale dell’Agenzia</w:t>
      </w:r>
      <w:r w:rsidR="00361AA9" w:rsidRPr="007F7EBF">
        <w:t xml:space="preserve">, </w:t>
      </w:r>
      <w:r w:rsidR="006862EB">
        <w:t xml:space="preserve">adibito </w:t>
      </w:r>
      <w:r w:rsidR="00361AA9" w:rsidRPr="007F7EBF">
        <w:t>a una molteplicità di pratiche</w:t>
      </w:r>
      <w:r w:rsidR="006862EB">
        <w:t xml:space="preserve">. Quando il contribuente si appella al corretto esercizio di una funzione pubblica, la condanna alle spese non dovrebbe invece superare il costo vivo dei funzionari che hanno trattato la questione. Anche quest’anomalia è figlia dell’impostazione privatistica del diritto tributario, che si ritorce anche in questo caso a danno del contribuente. </w:t>
      </w:r>
      <w:r w:rsidRPr="007F7EBF">
        <w:rPr>
          <w:sz w:val="22"/>
          <w:szCs w:val="22"/>
        </w:rPr>
        <w:t xml:space="preserve"> </w:t>
      </w:r>
    </w:p>
    <w:p w14:paraId="4FB388BD" w14:textId="477305FF" w:rsidR="0045106A" w:rsidRPr="007F7EBF" w:rsidRDefault="0045106A" w:rsidP="0045106A">
      <w:pPr>
        <w:pStyle w:val="tit23"/>
        <w:ind w:left="6464" w:right="-1361" w:firstLine="0"/>
        <w:jc w:val="left"/>
        <w:rPr>
          <w:bCs/>
          <w:i/>
          <w:iCs/>
          <w:color w:val="0000FF"/>
          <w:lang w:val="it-IT"/>
        </w:rPr>
      </w:pPr>
      <w:r w:rsidRPr="007F7EBF">
        <w:rPr>
          <w:bCs/>
          <w:i/>
          <w:iCs/>
          <w:color w:val="0000FF"/>
          <w:lang w:val="it-IT"/>
        </w:rPr>
        <w:t xml:space="preserve">inadeguatezza del </w:t>
      </w:r>
      <w:r w:rsidR="008912F8">
        <w:rPr>
          <w:bCs/>
          <w:i/>
          <w:iCs/>
          <w:color w:val="0000FF"/>
          <w:lang w:val="it-IT"/>
        </w:rPr>
        <w:t>rito</w:t>
      </w:r>
      <w:r w:rsidRPr="007F7EBF">
        <w:rPr>
          <w:bCs/>
          <w:i/>
          <w:iCs/>
          <w:color w:val="0000FF"/>
          <w:lang w:val="it-IT"/>
        </w:rPr>
        <w:t xml:space="preserve"> per atti diversi dalla determinazione del tributo</w:t>
      </w:r>
    </w:p>
    <w:p w14:paraId="38CDF86C" w14:textId="274A8B22" w:rsidR="00C7111B" w:rsidRPr="007F7EBF" w:rsidRDefault="0045106A" w:rsidP="0045106A">
      <w:pPr>
        <w:rPr>
          <w:sz w:val="22"/>
          <w:szCs w:val="22"/>
        </w:rPr>
      </w:pPr>
      <w:r w:rsidRPr="007F7EBF">
        <w:rPr>
          <w:sz w:val="22"/>
          <w:szCs w:val="22"/>
        </w:rPr>
        <w:t xml:space="preserve">La </w:t>
      </w:r>
      <w:r w:rsidRPr="007F7EBF">
        <w:rPr>
          <w:bCs/>
          <w:sz w:val="22"/>
          <w:szCs w:val="22"/>
        </w:rPr>
        <w:t xml:space="preserve">disciplina </w:t>
      </w:r>
      <w:r w:rsidRPr="007F7EBF">
        <w:rPr>
          <w:sz w:val="22"/>
          <w:szCs w:val="22"/>
        </w:rPr>
        <w:t xml:space="preserve">processuale guarda sbrigativamente alla determinazione del tributo, </w:t>
      </w:r>
      <w:r w:rsidR="003F486D">
        <w:rPr>
          <w:sz w:val="22"/>
          <w:szCs w:val="22"/>
        </w:rPr>
        <w:t>senza</w:t>
      </w:r>
      <w:r w:rsidRPr="007F7EBF">
        <w:rPr>
          <w:sz w:val="22"/>
          <w:szCs w:val="22"/>
        </w:rPr>
        <w:t xml:space="preserve"> un’organica tutela per le fasi precedenti e successive, come quella procedimentale, cautelare, incidentale, esecutiva e via enumerando </w:t>
      </w:r>
      <w:r w:rsidR="00100D52">
        <w:rPr>
          <w:sz w:val="22"/>
          <w:szCs w:val="22"/>
        </w:rPr>
        <w:t>(</w:t>
      </w:r>
      <w:r w:rsidRPr="007F7EBF">
        <w:rPr>
          <w:rStyle w:val="Rimandonotaapidipagina"/>
          <w:sz w:val="22"/>
          <w:szCs w:val="22"/>
        </w:rPr>
        <w:footnoteReference w:id="869"/>
      </w:r>
      <w:r w:rsidR="00100D52">
        <w:rPr>
          <w:sz w:val="22"/>
          <w:szCs w:val="22"/>
        </w:rPr>
        <w:t>)</w:t>
      </w:r>
      <w:r w:rsidRPr="007F7EBF">
        <w:rPr>
          <w:sz w:val="22"/>
          <w:szCs w:val="22"/>
        </w:rPr>
        <w:t xml:space="preserve"> ; si pensi ai vizi degli atti istruttori</w:t>
      </w:r>
      <w:r>
        <w:rPr>
          <w:sz w:val="22"/>
          <w:szCs w:val="22"/>
        </w:rPr>
        <w:t xml:space="preserve"> (par.5.6)</w:t>
      </w:r>
      <w:r w:rsidRPr="007F7EBF">
        <w:rPr>
          <w:sz w:val="22"/>
          <w:szCs w:val="22"/>
        </w:rPr>
        <w:t xml:space="preserve">, ai provvedimenti cautelari, </w:t>
      </w:r>
      <w:r>
        <w:rPr>
          <w:sz w:val="22"/>
          <w:szCs w:val="22"/>
        </w:rPr>
        <w:t xml:space="preserve">alla </w:t>
      </w:r>
      <w:r w:rsidRPr="007F7EBF">
        <w:rPr>
          <w:sz w:val="22"/>
          <w:szCs w:val="22"/>
        </w:rPr>
        <w:t>responsabilità civile de</w:t>
      </w:r>
      <w:r>
        <w:rPr>
          <w:sz w:val="22"/>
          <w:szCs w:val="22"/>
        </w:rPr>
        <w:t>gli uffici</w:t>
      </w:r>
      <w:r w:rsidRPr="007F7EBF">
        <w:rPr>
          <w:sz w:val="22"/>
          <w:szCs w:val="22"/>
        </w:rPr>
        <w:t xml:space="preserve"> tributari, </w:t>
      </w:r>
      <w:r>
        <w:rPr>
          <w:sz w:val="22"/>
          <w:szCs w:val="22"/>
        </w:rPr>
        <w:t xml:space="preserve">a </w:t>
      </w:r>
      <w:r w:rsidRPr="007F7EBF">
        <w:rPr>
          <w:sz w:val="22"/>
          <w:szCs w:val="22"/>
        </w:rPr>
        <w:t xml:space="preserve">sequestri e ipoteche, </w:t>
      </w:r>
      <w:r>
        <w:rPr>
          <w:sz w:val="22"/>
          <w:szCs w:val="22"/>
        </w:rPr>
        <w:t xml:space="preserve">a </w:t>
      </w:r>
      <w:r w:rsidRPr="007F7EBF">
        <w:rPr>
          <w:sz w:val="22"/>
          <w:szCs w:val="22"/>
        </w:rPr>
        <w:t>rifiuti di esercitare l’autotutela (paragrafo 6.4),</w:t>
      </w:r>
      <w:r>
        <w:rPr>
          <w:sz w:val="22"/>
          <w:szCs w:val="22"/>
        </w:rPr>
        <w:t xml:space="preserve"> a </w:t>
      </w:r>
      <w:r w:rsidRPr="007F7EBF">
        <w:rPr>
          <w:sz w:val="22"/>
          <w:szCs w:val="22"/>
        </w:rPr>
        <w:t>risposte negative ad interpelli «autorizzatori» (</w:t>
      </w:r>
      <w:r w:rsidRPr="007F7EBF">
        <w:rPr>
          <w:rStyle w:val="Rimandonotaapidipagina"/>
          <w:sz w:val="22"/>
          <w:szCs w:val="22"/>
        </w:rPr>
        <w:footnoteReference w:id="870"/>
      </w:r>
      <w:r w:rsidRPr="007F7EBF">
        <w:rPr>
          <w:sz w:val="22"/>
          <w:szCs w:val="22"/>
        </w:rPr>
        <w:t xml:space="preserve">); </w:t>
      </w:r>
      <w:r>
        <w:rPr>
          <w:sz w:val="22"/>
          <w:szCs w:val="22"/>
        </w:rPr>
        <w:t>sui profili cautelari ci</w:t>
      </w:r>
      <w:r w:rsidRPr="007F7EBF">
        <w:rPr>
          <w:sz w:val="22"/>
          <w:szCs w:val="22"/>
        </w:rPr>
        <w:t xml:space="preserve"> furono solo disposizioni specifiche come quella sulle riscossioni provvisorie (par.6.12)</w:t>
      </w:r>
      <w:r w:rsidR="00100D52">
        <w:rPr>
          <w:sz w:val="22"/>
          <w:szCs w:val="22"/>
        </w:rPr>
        <w:t>. Neppure le</w:t>
      </w:r>
      <w:r w:rsidRPr="007F7EBF">
        <w:rPr>
          <w:sz w:val="22"/>
          <w:szCs w:val="22"/>
        </w:rPr>
        <w:t xml:space="preserve"> altre </w:t>
      </w:r>
      <w:r w:rsidR="00100D52">
        <w:rPr>
          <w:sz w:val="22"/>
          <w:szCs w:val="22"/>
        </w:rPr>
        <w:t xml:space="preserve">tutele </w:t>
      </w:r>
      <w:r w:rsidRPr="007F7EBF">
        <w:rPr>
          <w:sz w:val="22"/>
          <w:szCs w:val="22"/>
        </w:rPr>
        <w:t xml:space="preserve">inserite successivamente </w:t>
      </w:r>
      <w:r w:rsidR="00100D52">
        <w:rPr>
          <w:sz w:val="22"/>
          <w:szCs w:val="22"/>
        </w:rPr>
        <w:t>danno luogo a un “processo incidentale”, con possibilità di impugnazioni proprie, in attesa della fase di merito; n</w:t>
      </w:r>
      <w:r w:rsidR="00100D52">
        <w:t>on si tratta cioè di “processi cautelari”, ma di reclami, conclu</w:t>
      </w:r>
      <w:r w:rsidR="008912F8">
        <w:t>si</w:t>
      </w:r>
      <w:r w:rsidR="00100D52">
        <w:t xml:space="preserve"> con ordinanze non </w:t>
      </w:r>
      <w:r w:rsidR="00100D52">
        <w:lastRenderedPageBreak/>
        <w:t xml:space="preserve">impugnabili </w:t>
      </w:r>
      <w:r>
        <w:rPr>
          <w:sz w:val="22"/>
          <w:szCs w:val="22"/>
        </w:rPr>
        <w:t>(</w:t>
      </w:r>
      <w:r w:rsidRPr="007F7EBF">
        <w:rPr>
          <w:rStyle w:val="Rimandonotaapidipagina"/>
          <w:sz w:val="22"/>
          <w:szCs w:val="22"/>
        </w:rPr>
        <w:footnoteReference w:id="871"/>
      </w:r>
      <w:r>
        <w:rPr>
          <w:sz w:val="22"/>
          <w:szCs w:val="22"/>
        </w:rPr>
        <w:t>)</w:t>
      </w:r>
      <w:r w:rsidRPr="007F7EBF">
        <w:rPr>
          <w:sz w:val="22"/>
          <w:szCs w:val="22"/>
        </w:rPr>
        <w:t>.</w:t>
      </w:r>
      <w:r w:rsidRPr="007F7EBF">
        <w:rPr>
          <w:bCs/>
          <w:i/>
          <w:iCs/>
          <w:color w:val="0000FF"/>
          <w:sz w:val="22"/>
          <w:szCs w:val="22"/>
        </w:rPr>
        <w:t xml:space="preserve"> </w:t>
      </w:r>
      <w:r w:rsidRPr="007F7EBF">
        <w:rPr>
          <w:sz w:val="22"/>
          <w:szCs w:val="22"/>
        </w:rPr>
        <w:t xml:space="preserve"> In questi casi rivolgersi al giudice amministrativo o a quello civile frammenterebbe il settore tra giudici diversi, contraddicendo la giurisdizione esclusiva «per materia»</w:t>
      </w:r>
      <w:r w:rsidR="00865329">
        <w:rPr>
          <w:sz w:val="22"/>
          <w:szCs w:val="22"/>
        </w:rPr>
        <w:t xml:space="preserve"> </w:t>
      </w:r>
      <w:r>
        <w:rPr>
          <w:sz w:val="22"/>
          <w:szCs w:val="22"/>
        </w:rPr>
        <w:t>(</w:t>
      </w:r>
      <w:r w:rsidRPr="007F7EBF">
        <w:rPr>
          <w:rStyle w:val="Rimandonotaapidipagina"/>
          <w:sz w:val="22"/>
          <w:szCs w:val="22"/>
        </w:rPr>
        <w:footnoteReference w:id="872"/>
      </w:r>
      <w:r>
        <w:rPr>
          <w:sz w:val="22"/>
          <w:szCs w:val="22"/>
        </w:rPr>
        <w:t>)</w:t>
      </w:r>
      <w:r w:rsidRPr="007F7EBF">
        <w:rPr>
          <w:sz w:val="22"/>
          <w:szCs w:val="22"/>
        </w:rPr>
        <w:t xml:space="preserve">. Comunque lo scarso clamore suscitato da questa carenza conferma che gli uffici tributari riescono a gestire le situazioni di frizione, anche come organi di giustizia in senso lato. </w:t>
      </w:r>
    </w:p>
    <w:p w14:paraId="50C01F46" w14:textId="77777777" w:rsidR="005B0466" w:rsidRPr="007F7EBF" w:rsidRDefault="005B0466" w:rsidP="006342C5">
      <w:pPr>
        <w:autoSpaceDE w:val="0"/>
        <w:autoSpaceDN w:val="0"/>
        <w:adjustRightInd w:val="0"/>
        <w:rPr>
          <w:bCs/>
          <w:sz w:val="22"/>
          <w:szCs w:val="22"/>
        </w:rPr>
      </w:pPr>
    </w:p>
    <w:p w14:paraId="757CAAAD" w14:textId="77777777" w:rsidR="00123F3E" w:rsidRPr="007F7EBF" w:rsidRDefault="006342C5" w:rsidP="004F5B9B">
      <w:pPr>
        <w:pStyle w:val="Titolo3"/>
        <w:rPr>
          <w:rFonts w:ascii="Times New Roman" w:hAnsi="Times New Roman"/>
          <w:sz w:val="22"/>
          <w:szCs w:val="22"/>
        </w:rPr>
      </w:pPr>
      <w:bookmarkStart w:id="92" w:name="_Toc63365003"/>
      <w:r w:rsidRPr="007F7EBF">
        <w:rPr>
          <w:rFonts w:ascii="Times New Roman" w:hAnsi="Times New Roman"/>
          <w:sz w:val="22"/>
          <w:szCs w:val="22"/>
        </w:rPr>
        <w:t>6.10.</w:t>
      </w:r>
      <w:r w:rsidR="008121B3" w:rsidRPr="007F7EBF">
        <w:rPr>
          <w:rFonts w:ascii="Times New Roman" w:hAnsi="Times New Roman"/>
          <w:sz w:val="22"/>
          <w:szCs w:val="22"/>
        </w:rPr>
        <w:t xml:space="preserve"> </w:t>
      </w:r>
      <w:r w:rsidR="00613692" w:rsidRPr="007F7EBF">
        <w:rPr>
          <w:rFonts w:ascii="Times New Roman" w:hAnsi="Times New Roman"/>
          <w:sz w:val="22"/>
          <w:szCs w:val="22"/>
          <w:lang w:val="it-IT"/>
        </w:rPr>
        <w:t>I</w:t>
      </w:r>
      <w:r w:rsidR="00BB384F" w:rsidRPr="007F7EBF">
        <w:rPr>
          <w:rFonts w:ascii="Times New Roman" w:hAnsi="Times New Roman"/>
          <w:sz w:val="22"/>
          <w:szCs w:val="22"/>
          <w:lang w:val="it-IT"/>
        </w:rPr>
        <w:t xml:space="preserve">nsuccesso </w:t>
      </w:r>
      <w:r w:rsidR="00E5760C" w:rsidRPr="007F7EBF">
        <w:rPr>
          <w:rFonts w:ascii="Times New Roman" w:hAnsi="Times New Roman"/>
          <w:sz w:val="22"/>
          <w:szCs w:val="22"/>
        </w:rPr>
        <w:t>della</w:t>
      </w:r>
      <w:r w:rsidR="00E63582" w:rsidRPr="007F7EBF">
        <w:rPr>
          <w:rFonts w:ascii="Times New Roman" w:hAnsi="Times New Roman"/>
          <w:sz w:val="22"/>
          <w:szCs w:val="22"/>
        </w:rPr>
        <w:t xml:space="preserve"> </w:t>
      </w:r>
      <w:r w:rsidR="00E5760C" w:rsidRPr="007F7EBF">
        <w:rPr>
          <w:rFonts w:ascii="Times New Roman" w:hAnsi="Times New Roman"/>
          <w:sz w:val="22"/>
          <w:szCs w:val="22"/>
        </w:rPr>
        <w:t xml:space="preserve">via </w:t>
      </w:r>
      <w:r w:rsidR="00E63582" w:rsidRPr="007F7EBF">
        <w:rPr>
          <w:rFonts w:ascii="Times New Roman" w:hAnsi="Times New Roman"/>
          <w:sz w:val="22"/>
          <w:szCs w:val="22"/>
          <w:lang w:val="it-IT"/>
        </w:rPr>
        <w:t>processuale</w:t>
      </w:r>
      <w:r w:rsidR="00E5760C" w:rsidRPr="007F7EBF">
        <w:rPr>
          <w:rFonts w:ascii="Times New Roman" w:hAnsi="Times New Roman"/>
          <w:sz w:val="22"/>
          <w:szCs w:val="22"/>
        </w:rPr>
        <w:t xml:space="preserve"> </w:t>
      </w:r>
      <w:r w:rsidR="008121B3" w:rsidRPr="007F7EBF">
        <w:rPr>
          <w:rFonts w:ascii="Times New Roman" w:hAnsi="Times New Roman"/>
          <w:sz w:val="22"/>
          <w:szCs w:val="22"/>
        </w:rPr>
        <w:t xml:space="preserve">alla determinazione dei </w:t>
      </w:r>
      <w:proofErr w:type="spellStart"/>
      <w:r w:rsidR="008121B3" w:rsidRPr="007F7EBF">
        <w:rPr>
          <w:rFonts w:ascii="Times New Roman" w:hAnsi="Times New Roman"/>
          <w:sz w:val="22"/>
          <w:szCs w:val="22"/>
        </w:rPr>
        <w:t>tributi</w:t>
      </w:r>
      <w:r w:rsidR="00E63582" w:rsidRPr="007F7EBF">
        <w:rPr>
          <w:rFonts w:ascii="Times New Roman" w:hAnsi="Times New Roman"/>
          <w:sz w:val="22"/>
          <w:szCs w:val="22"/>
          <w:lang w:val="it-IT"/>
        </w:rPr>
        <w:t>:</w:t>
      </w:r>
      <w:r w:rsidR="00613692" w:rsidRPr="007F7EBF">
        <w:rPr>
          <w:rFonts w:ascii="Times New Roman" w:hAnsi="Times New Roman"/>
          <w:sz w:val="22"/>
          <w:szCs w:val="22"/>
          <w:lang w:val="it-IT"/>
        </w:rPr>
        <w:t>prospettive</w:t>
      </w:r>
      <w:proofErr w:type="spellEnd"/>
      <w:r w:rsidR="00613692" w:rsidRPr="007F7EBF">
        <w:rPr>
          <w:rFonts w:ascii="Times New Roman" w:hAnsi="Times New Roman"/>
          <w:sz w:val="22"/>
          <w:szCs w:val="22"/>
          <w:lang w:val="it-IT"/>
        </w:rPr>
        <w:t xml:space="preserve"> di riforma per tipologie di controversie</w:t>
      </w:r>
      <w:bookmarkEnd w:id="92"/>
    </w:p>
    <w:p w14:paraId="4AAC9E6A" w14:textId="28812F09" w:rsidR="00123F3E" w:rsidRPr="007F7EBF" w:rsidRDefault="00CC4193" w:rsidP="00123F3E">
      <w:pPr>
        <w:pStyle w:val="tit23"/>
        <w:ind w:left="6464" w:right="-1361" w:firstLine="0"/>
        <w:jc w:val="left"/>
        <w:rPr>
          <w:bCs/>
          <w:i/>
          <w:iCs/>
          <w:color w:val="0000FF"/>
          <w:lang w:val="it-IT"/>
        </w:rPr>
      </w:pPr>
      <w:r>
        <w:rPr>
          <w:bCs/>
          <w:i/>
          <w:iCs/>
          <w:color w:val="0000FF"/>
          <w:lang w:val="it-IT"/>
        </w:rPr>
        <w:t xml:space="preserve">Eccesso di controversie e loro tipologie </w:t>
      </w:r>
    </w:p>
    <w:p w14:paraId="2F4CA33A" w14:textId="7B146E47" w:rsidR="00123F3E" w:rsidRPr="00CC4193" w:rsidRDefault="00C76EA4" w:rsidP="00CC4193">
      <w:pPr>
        <w:autoSpaceDE w:val="0"/>
        <w:autoSpaceDN w:val="0"/>
        <w:adjustRightInd w:val="0"/>
        <w:rPr>
          <w:sz w:val="22"/>
          <w:szCs w:val="22"/>
        </w:rPr>
      </w:pPr>
      <w:r>
        <w:rPr>
          <w:sz w:val="22"/>
          <w:szCs w:val="22"/>
        </w:rPr>
        <w:t>I professionisti</w:t>
      </w:r>
      <w:r w:rsidR="004D4F04" w:rsidRPr="007F7EBF">
        <w:rPr>
          <w:sz w:val="22"/>
          <w:szCs w:val="22"/>
        </w:rPr>
        <w:t xml:space="preserve"> </w:t>
      </w:r>
      <w:r w:rsidR="002F6D15" w:rsidRPr="007F7EBF">
        <w:rPr>
          <w:sz w:val="22"/>
          <w:szCs w:val="22"/>
        </w:rPr>
        <w:t>del settore</w:t>
      </w:r>
      <w:r w:rsidR="00CC4193">
        <w:rPr>
          <w:sz w:val="22"/>
          <w:szCs w:val="22"/>
        </w:rPr>
        <w:t xml:space="preserve"> avvertono le disfunzioni del processo tributario, ma faticano a</w:t>
      </w:r>
      <w:r w:rsidR="004D4F04" w:rsidRPr="007F7EBF">
        <w:rPr>
          <w:sz w:val="22"/>
          <w:szCs w:val="22"/>
        </w:rPr>
        <w:t xml:space="preserve"> </w:t>
      </w:r>
      <w:r w:rsidR="00110D44">
        <w:rPr>
          <w:sz w:val="22"/>
          <w:szCs w:val="22"/>
        </w:rPr>
        <w:t>spiegars</w:t>
      </w:r>
      <w:r w:rsidR="00CC4193">
        <w:rPr>
          <w:sz w:val="22"/>
          <w:szCs w:val="22"/>
        </w:rPr>
        <w:t>ene i motivi</w:t>
      </w:r>
      <w:r w:rsidR="00110D44">
        <w:rPr>
          <w:sz w:val="22"/>
          <w:szCs w:val="22"/>
        </w:rPr>
        <w:t>, che presuppon</w:t>
      </w:r>
      <w:r w:rsidR="00CC4193">
        <w:rPr>
          <w:sz w:val="22"/>
          <w:szCs w:val="22"/>
        </w:rPr>
        <w:t>gono</w:t>
      </w:r>
      <w:r w:rsidR="00110D44">
        <w:rPr>
          <w:sz w:val="22"/>
          <w:szCs w:val="22"/>
        </w:rPr>
        <w:t xml:space="preserve"> una </w:t>
      </w:r>
      <w:r w:rsidR="00B7031B" w:rsidRPr="007F7EBF">
        <w:rPr>
          <w:sz w:val="22"/>
          <w:szCs w:val="22"/>
        </w:rPr>
        <w:t xml:space="preserve">spiegazione d'insieme della </w:t>
      </w:r>
      <w:r w:rsidR="00CB7BF5">
        <w:rPr>
          <w:sz w:val="22"/>
          <w:szCs w:val="22"/>
        </w:rPr>
        <w:t>funzione tributaria</w:t>
      </w:r>
      <w:r w:rsidR="00A122BC">
        <w:rPr>
          <w:sz w:val="22"/>
          <w:szCs w:val="22"/>
        </w:rPr>
        <w:t xml:space="preserve"> </w:t>
      </w:r>
      <w:r w:rsidR="00110D44">
        <w:rPr>
          <w:sz w:val="22"/>
          <w:szCs w:val="22"/>
        </w:rPr>
        <w:t>(</w:t>
      </w:r>
      <w:r w:rsidR="00B7031B" w:rsidRPr="007F7EBF">
        <w:rPr>
          <w:sz w:val="22"/>
          <w:szCs w:val="22"/>
        </w:rPr>
        <w:t>cap.4</w:t>
      </w:r>
      <w:r w:rsidR="00110D44">
        <w:rPr>
          <w:sz w:val="22"/>
          <w:szCs w:val="22"/>
        </w:rPr>
        <w:t>)</w:t>
      </w:r>
      <w:r w:rsidR="00A122BC">
        <w:rPr>
          <w:sz w:val="22"/>
          <w:szCs w:val="22"/>
        </w:rPr>
        <w:t xml:space="preserve">; </w:t>
      </w:r>
      <w:r w:rsidR="00CC4193">
        <w:rPr>
          <w:sz w:val="22"/>
          <w:szCs w:val="22"/>
        </w:rPr>
        <w:t xml:space="preserve">si tratta infatti di </w:t>
      </w:r>
      <w:r w:rsidR="009F34AF">
        <w:rPr>
          <w:sz w:val="22"/>
          <w:szCs w:val="22"/>
        </w:rPr>
        <w:t>assoggettare</w:t>
      </w:r>
      <w:r w:rsidR="00CC4193">
        <w:rPr>
          <w:sz w:val="22"/>
          <w:szCs w:val="22"/>
        </w:rPr>
        <w:t xml:space="preserve"> una funzione non giurisdizionale</w:t>
      </w:r>
      <w:r w:rsidR="00110D44">
        <w:rPr>
          <w:sz w:val="22"/>
          <w:szCs w:val="22"/>
        </w:rPr>
        <w:t xml:space="preserve"> </w:t>
      </w:r>
      <w:r w:rsidR="009F34AF">
        <w:rPr>
          <w:sz w:val="22"/>
          <w:szCs w:val="22"/>
        </w:rPr>
        <w:t xml:space="preserve">a </w:t>
      </w:r>
      <w:r w:rsidR="00CC4193">
        <w:rPr>
          <w:sz w:val="22"/>
          <w:szCs w:val="22"/>
        </w:rPr>
        <w:t>un</w:t>
      </w:r>
      <w:r w:rsidR="008E5DF1">
        <w:rPr>
          <w:sz w:val="22"/>
          <w:szCs w:val="22"/>
        </w:rPr>
        <w:t xml:space="preserve"> </w:t>
      </w:r>
      <w:r w:rsidR="00A122BC">
        <w:rPr>
          <w:sz w:val="22"/>
          <w:szCs w:val="22"/>
        </w:rPr>
        <w:t>controllo giurisdizionale</w:t>
      </w:r>
      <w:r w:rsidR="00CC4193">
        <w:rPr>
          <w:sz w:val="22"/>
          <w:szCs w:val="22"/>
        </w:rPr>
        <w:t xml:space="preserve">, </w:t>
      </w:r>
      <w:r w:rsidR="009F34AF">
        <w:rPr>
          <w:sz w:val="22"/>
          <w:szCs w:val="22"/>
        </w:rPr>
        <w:t>nel senso procedurale</w:t>
      </w:r>
      <w:r w:rsidR="00CC4193">
        <w:rPr>
          <w:sz w:val="22"/>
          <w:szCs w:val="22"/>
        </w:rPr>
        <w:t xml:space="preserve"> di cui al par.1.3.</w:t>
      </w:r>
      <w:r w:rsidR="009F34AF">
        <w:rPr>
          <w:sz w:val="22"/>
          <w:szCs w:val="22"/>
        </w:rPr>
        <w:t xml:space="preserve">Un dato sociale di partenza </w:t>
      </w:r>
      <w:r w:rsidR="00CC4193">
        <w:rPr>
          <w:sz w:val="22"/>
          <w:szCs w:val="22"/>
        </w:rPr>
        <w:t>(par.4.7) è il numero macroscopico delle  circa 500 mila controversie tributarie pendenti, abnorme rispetto a tutti gli altri paesi sviluppati</w:t>
      </w:r>
      <w:r w:rsidR="00604262">
        <w:rPr>
          <w:sz w:val="22"/>
          <w:szCs w:val="22"/>
        </w:rPr>
        <w:t xml:space="preserve"> (</w:t>
      </w:r>
      <w:r w:rsidR="00604262" w:rsidRPr="007F7EBF">
        <w:rPr>
          <w:rStyle w:val="Rimandonotaapidipagina"/>
          <w:sz w:val="22"/>
          <w:szCs w:val="22"/>
        </w:rPr>
        <w:footnoteReference w:id="873"/>
      </w:r>
      <w:r w:rsidR="00604262">
        <w:rPr>
          <w:sz w:val="22"/>
          <w:szCs w:val="22"/>
        </w:rPr>
        <w:t>)</w:t>
      </w:r>
      <w:r w:rsidR="009F34AF">
        <w:rPr>
          <w:sz w:val="22"/>
          <w:szCs w:val="22"/>
        </w:rPr>
        <w:t xml:space="preserve">. Esso </w:t>
      </w:r>
      <w:r w:rsidR="00CC4193">
        <w:rPr>
          <w:sz w:val="22"/>
          <w:szCs w:val="22"/>
        </w:rPr>
        <w:t xml:space="preserve">va </w:t>
      </w:r>
      <w:r w:rsidR="009F34AF">
        <w:rPr>
          <w:sz w:val="22"/>
          <w:szCs w:val="22"/>
        </w:rPr>
        <w:t xml:space="preserve">quindi </w:t>
      </w:r>
      <w:r w:rsidR="00CC4193">
        <w:rPr>
          <w:sz w:val="22"/>
          <w:szCs w:val="22"/>
        </w:rPr>
        <w:t>disaggregato, in base alle</w:t>
      </w:r>
      <w:r w:rsidR="00CC4193" w:rsidRPr="007F7EBF">
        <w:rPr>
          <w:sz w:val="22"/>
          <w:szCs w:val="22"/>
        </w:rPr>
        <w:t xml:space="preserve"> tipologie di </w:t>
      </w:r>
      <w:r w:rsidR="00CC4193" w:rsidRPr="007F7EBF">
        <w:rPr>
          <w:sz w:val="22"/>
          <w:szCs w:val="22"/>
        </w:rPr>
        <w:lastRenderedPageBreak/>
        <w:t>controversie</w:t>
      </w:r>
      <w:r w:rsidR="009F34AF">
        <w:rPr>
          <w:sz w:val="22"/>
          <w:szCs w:val="22"/>
        </w:rPr>
        <w:t>, sotto i vari profili di cui diremo qui di seguito, riguardanti sia l’importanza sistematica, sia la l</w:t>
      </w:r>
      <w:r w:rsidR="00CC4193" w:rsidRPr="007F7EBF">
        <w:rPr>
          <w:sz w:val="22"/>
          <w:szCs w:val="22"/>
        </w:rPr>
        <w:t xml:space="preserve">oro familiarità al bagaglio culturale dei giudici, </w:t>
      </w:r>
      <w:r w:rsidR="009F34AF">
        <w:rPr>
          <w:sz w:val="22"/>
          <w:szCs w:val="22"/>
        </w:rPr>
        <w:t>sia</w:t>
      </w:r>
      <w:r w:rsidR="006B3F14">
        <w:rPr>
          <w:sz w:val="22"/>
          <w:szCs w:val="22"/>
        </w:rPr>
        <w:t xml:space="preserve"> </w:t>
      </w:r>
      <w:r w:rsidR="00CC4193" w:rsidRPr="007F7EBF">
        <w:rPr>
          <w:sz w:val="22"/>
          <w:szCs w:val="22"/>
        </w:rPr>
        <w:t xml:space="preserve">la </w:t>
      </w:r>
      <w:r w:rsidR="006B3F14">
        <w:rPr>
          <w:sz w:val="22"/>
          <w:szCs w:val="22"/>
        </w:rPr>
        <w:t>complessità di trattazione</w:t>
      </w:r>
      <w:r w:rsidR="00D5281F">
        <w:rPr>
          <w:sz w:val="22"/>
          <w:szCs w:val="22"/>
        </w:rPr>
        <w:t xml:space="preserve">. </w:t>
      </w:r>
    </w:p>
    <w:p w14:paraId="75AEFF98" w14:textId="77777777" w:rsidR="00745FDF" w:rsidRPr="007F7EBF" w:rsidRDefault="00745FDF" w:rsidP="00745FDF">
      <w:pPr>
        <w:pStyle w:val="tit23"/>
        <w:ind w:left="6464" w:right="-1361" w:firstLine="0"/>
        <w:jc w:val="left"/>
        <w:rPr>
          <w:bCs/>
          <w:i/>
          <w:iCs/>
          <w:color w:val="0000FF"/>
          <w:lang w:val="it-IT"/>
        </w:rPr>
      </w:pPr>
      <w:r w:rsidRPr="007F7EBF">
        <w:rPr>
          <w:bCs/>
          <w:i/>
          <w:iCs/>
          <w:color w:val="0000FF"/>
          <w:lang w:val="it-IT"/>
        </w:rPr>
        <w:t xml:space="preserve">Pratiche seriali di liquidazione </w:t>
      </w:r>
    </w:p>
    <w:p w14:paraId="497E6CAF" w14:textId="0A77D510" w:rsidR="00CD48C2" w:rsidRPr="007F7EBF" w:rsidRDefault="006B3F14" w:rsidP="00CD48C2">
      <w:pPr>
        <w:autoSpaceDE w:val="0"/>
        <w:autoSpaceDN w:val="0"/>
        <w:adjustRightInd w:val="0"/>
        <w:rPr>
          <w:sz w:val="22"/>
          <w:szCs w:val="22"/>
        </w:rPr>
      </w:pPr>
      <w:r>
        <w:rPr>
          <w:sz w:val="22"/>
          <w:szCs w:val="22"/>
        </w:rPr>
        <w:t>Buona parte delle controversie sono innescate d</w:t>
      </w:r>
      <w:r w:rsidR="005B0466" w:rsidRPr="007F7EBF">
        <w:rPr>
          <w:sz w:val="22"/>
          <w:szCs w:val="22"/>
        </w:rPr>
        <w:t xml:space="preserve">a </w:t>
      </w:r>
      <w:r w:rsidR="006342C5" w:rsidRPr="007F7EBF">
        <w:rPr>
          <w:sz w:val="22"/>
          <w:szCs w:val="22"/>
        </w:rPr>
        <w:t>pratiche di liquidazione</w:t>
      </w:r>
      <w:r w:rsidR="005B0466" w:rsidRPr="007F7EBF">
        <w:rPr>
          <w:sz w:val="22"/>
          <w:szCs w:val="22"/>
        </w:rPr>
        <w:t xml:space="preserve"> </w:t>
      </w:r>
      <w:r w:rsidR="00D5281F">
        <w:rPr>
          <w:sz w:val="22"/>
          <w:szCs w:val="22"/>
        </w:rPr>
        <w:t xml:space="preserve">dei dati dichiarati e dagli incroci, </w:t>
      </w:r>
      <w:proofErr w:type="spellStart"/>
      <w:r w:rsidR="00D5281F">
        <w:rPr>
          <w:sz w:val="22"/>
          <w:szCs w:val="22"/>
        </w:rPr>
        <w:t>pressochè</w:t>
      </w:r>
      <w:proofErr w:type="spellEnd"/>
      <w:r w:rsidR="00D5281F">
        <w:rPr>
          <w:sz w:val="22"/>
          <w:szCs w:val="22"/>
        </w:rPr>
        <w:t xml:space="preserve"> automatici, di informazioni acquisite da terzi; sono le richieste di imposta, generalmente di ridotto ammontare, ma numerose, generate da asimmetrie tra dati dichiarati e altre informazioni in possesso dell’amministrazione finanziaria (</w:t>
      </w:r>
      <w:r w:rsidR="005C4832" w:rsidRPr="007F7EBF">
        <w:rPr>
          <w:rStyle w:val="Rimandonotaapidipagina"/>
          <w:sz w:val="22"/>
          <w:szCs w:val="22"/>
        </w:rPr>
        <w:footnoteReference w:id="874"/>
      </w:r>
      <w:r w:rsidR="00D5281F">
        <w:rPr>
          <w:sz w:val="22"/>
          <w:szCs w:val="22"/>
        </w:rPr>
        <w:t>)</w:t>
      </w:r>
      <w:r w:rsidR="006342C5" w:rsidRPr="007F7EBF">
        <w:rPr>
          <w:sz w:val="22"/>
          <w:szCs w:val="22"/>
        </w:rPr>
        <w:t>; spesso si tratta infatti di</w:t>
      </w:r>
      <w:r w:rsidR="00694D20" w:rsidRPr="007F7EBF">
        <w:rPr>
          <w:sz w:val="22"/>
          <w:szCs w:val="22"/>
        </w:rPr>
        <w:t xml:space="preserve"> </w:t>
      </w:r>
      <w:r w:rsidR="006342C5" w:rsidRPr="007F7EBF">
        <w:rPr>
          <w:sz w:val="22"/>
          <w:szCs w:val="22"/>
        </w:rPr>
        <w:t xml:space="preserve">contenziosi innescati dalla </w:t>
      </w:r>
      <w:r w:rsidR="00155F9F" w:rsidRPr="007F7EBF">
        <w:rPr>
          <w:sz w:val="22"/>
          <w:szCs w:val="22"/>
        </w:rPr>
        <w:t xml:space="preserve">gestione </w:t>
      </w:r>
      <w:r w:rsidR="00EA3DE3" w:rsidRPr="007F7EBF">
        <w:rPr>
          <w:sz w:val="22"/>
          <w:szCs w:val="22"/>
        </w:rPr>
        <w:t>spersonalizzata</w:t>
      </w:r>
      <w:r w:rsidR="00155F9F" w:rsidRPr="007F7EBF">
        <w:rPr>
          <w:sz w:val="22"/>
          <w:szCs w:val="22"/>
        </w:rPr>
        <w:t xml:space="preserve">, </w:t>
      </w:r>
      <w:r w:rsidR="006342C5" w:rsidRPr="007F7EBF">
        <w:rPr>
          <w:sz w:val="22"/>
          <w:szCs w:val="22"/>
        </w:rPr>
        <w:t>informatica</w:t>
      </w:r>
      <w:r w:rsidR="00155F9F" w:rsidRPr="007F7EBF">
        <w:rPr>
          <w:sz w:val="22"/>
          <w:szCs w:val="22"/>
        </w:rPr>
        <w:t xml:space="preserve">, </w:t>
      </w:r>
      <w:r w:rsidR="006342C5" w:rsidRPr="007F7EBF">
        <w:rPr>
          <w:sz w:val="22"/>
          <w:szCs w:val="22"/>
        </w:rPr>
        <w:t xml:space="preserve"> di grandi masse di dati, </w:t>
      </w:r>
      <w:r w:rsidR="00EB45B3" w:rsidRPr="007F7EBF">
        <w:rPr>
          <w:sz w:val="22"/>
          <w:szCs w:val="22"/>
        </w:rPr>
        <w:t xml:space="preserve">da parte degli uffici; questi ultimi </w:t>
      </w:r>
      <w:r w:rsidR="00694D20" w:rsidRPr="007F7EBF">
        <w:rPr>
          <w:sz w:val="22"/>
          <w:szCs w:val="22"/>
        </w:rPr>
        <w:t>sp</w:t>
      </w:r>
      <w:r w:rsidR="00B211B2" w:rsidRPr="007F7EBF">
        <w:rPr>
          <w:sz w:val="22"/>
          <w:szCs w:val="22"/>
        </w:rPr>
        <w:t xml:space="preserve">esso </w:t>
      </w:r>
      <w:r w:rsidR="00155F9F" w:rsidRPr="007F7EBF">
        <w:rPr>
          <w:sz w:val="22"/>
          <w:szCs w:val="22"/>
        </w:rPr>
        <w:t xml:space="preserve">riconoscono nelle vie brevi che il </w:t>
      </w:r>
      <w:r w:rsidR="00694D20" w:rsidRPr="007F7EBF">
        <w:rPr>
          <w:sz w:val="22"/>
          <w:szCs w:val="22"/>
        </w:rPr>
        <w:t xml:space="preserve"> contribuente ha ragione, </w:t>
      </w:r>
      <w:r w:rsidR="00155F9F" w:rsidRPr="007F7EBF">
        <w:rPr>
          <w:sz w:val="22"/>
          <w:szCs w:val="22"/>
        </w:rPr>
        <w:t xml:space="preserve">adducendo però che </w:t>
      </w:r>
      <w:r w:rsidR="00EA3DE3" w:rsidRPr="007F7EBF">
        <w:rPr>
          <w:sz w:val="22"/>
          <w:szCs w:val="22"/>
        </w:rPr>
        <w:t>"la procedura</w:t>
      </w:r>
      <w:r w:rsidR="00694D20" w:rsidRPr="007F7EBF">
        <w:rPr>
          <w:sz w:val="22"/>
          <w:szCs w:val="22"/>
        </w:rPr>
        <w:t>"</w:t>
      </w:r>
      <w:r w:rsidR="00CC4193">
        <w:rPr>
          <w:sz w:val="22"/>
          <w:szCs w:val="22"/>
        </w:rPr>
        <w:t>, anche informatica,</w:t>
      </w:r>
      <w:r w:rsidR="00694D20" w:rsidRPr="007F7EBF">
        <w:rPr>
          <w:sz w:val="22"/>
          <w:szCs w:val="22"/>
        </w:rPr>
        <w:t xml:space="preserve"> impedisce loro di dargliela. </w:t>
      </w:r>
      <w:r w:rsidR="00B604A7">
        <w:rPr>
          <w:sz w:val="22"/>
          <w:szCs w:val="22"/>
        </w:rPr>
        <w:t xml:space="preserve">Privo di </w:t>
      </w:r>
      <w:r w:rsidR="00F64B5A" w:rsidRPr="007F7EBF">
        <w:rPr>
          <w:sz w:val="22"/>
          <w:szCs w:val="22"/>
        </w:rPr>
        <w:t>simili sudditanze burocratiche</w:t>
      </w:r>
      <w:r w:rsidR="007B470D" w:rsidRPr="007F7EBF">
        <w:rPr>
          <w:sz w:val="22"/>
          <w:szCs w:val="22"/>
        </w:rPr>
        <w:t xml:space="preserve">, </w:t>
      </w:r>
      <w:r w:rsidR="00F64B5A" w:rsidRPr="007F7EBF">
        <w:rPr>
          <w:sz w:val="22"/>
          <w:szCs w:val="22"/>
        </w:rPr>
        <w:t xml:space="preserve">il giudice </w:t>
      </w:r>
      <w:r w:rsidR="007B470D" w:rsidRPr="007F7EBF">
        <w:rPr>
          <w:sz w:val="22"/>
          <w:szCs w:val="22"/>
        </w:rPr>
        <w:t>supera</w:t>
      </w:r>
      <w:r w:rsidR="00F64B5A" w:rsidRPr="007F7EBF">
        <w:rPr>
          <w:sz w:val="22"/>
          <w:szCs w:val="22"/>
        </w:rPr>
        <w:t xml:space="preserve"> queste pastoie, </w:t>
      </w:r>
      <w:r w:rsidR="00694D20" w:rsidRPr="007F7EBF">
        <w:rPr>
          <w:sz w:val="22"/>
          <w:szCs w:val="22"/>
        </w:rPr>
        <w:t xml:space="preserve">anche perché si tratta di </w:t>
      </w:r>
      <w:r w:rsidR="00B604A7">
        <w:rPr>
          <w:sz w:val="22"/>
          <w:szCs w:val="22"/>
        </w:rPr>
        <w:t xml:space="preserve">piccole </w:t>
      </w:r>
      <w:r w:rsidR="00694D20" w:rsidRPr="007F7EBF">
        <w:rPr>
          <w:sz w:val="22"/>
          <w:szCs w:val="22"/>
        </w:rPr>
        <w:t>questioni</w:t>
      </w:r>
      <w:r w:rsidR="00B604A7">
        <w:rPr>
          <w:sz w:val="22"/>
          <w:szCs w:val="22"/>
        </w:rPr>
        <w:t>,</w:t>
      </w:r>
      <w:r w:rsidR="00694D20" w:rsidRPr="007F7EBF">
        <w:rPr>
          <w:sz w:val="22"/>
          <w:szCs w:val="22"/>
        </w:rPr>
        <w:t xml:space="preserve"> abbastanza facili da ricostruire </w:t>
      </w:r>
      <w:r w:rsidR="00B604A7">
        <w:rPr>
          <w:sz w:val="22"/>
          <w:szCs w:val="22"/>
        </w:rPr>
        <w:t xml:space="preserve">documentalmente </w:t>
      </w:r>
      <w:r w:rsidR="00694D20" w:rsidRPr="007F7EBF">
        <w:rPr>
          <w:sz w:val="22"/>
          <w:szCs w:val="22"/>
        </w:rPr>
        <w:t>in giudizio</w:t>
      </w:r>
      <w:r w:rsidR="006342C5" w:rsidRPr="007F7EBF">
        <w:rPr>
          <w:sz w:val="22"/>
          <w:szCs w:val="22"/>
        </w:rPr>
        <w:t>.</w:t>
      </w:r>
      <w:r w:rsidR="00B211B2" w:rsidRPr="007F7EBF">
        <w:rPr>
          <w:sz w:val="22"/>
          <w:szCs w:val="22"/>
        </w:rPr>
        <w:t xml:space="preserve"> </w:t>
      </w:r>
    </w:p>
    <w:p w14:paraId="121C43BA" w14:textId="11AC70F4" w:rsidR="00CD48C2" w:rsidRPr="007F7EBF" w:rsidRDefault="00CD48C2" w:rsidP="00CD48C2">
      <w:pPr>
        <w:pStyle w:val="tit23"/>
        <w:ind w:left="6464" w:right="-1361" w:firstLine="0"/>
        <w:jc w:val="left"/>
        <w:rPr>
          <w:bCs/>
          <w:i/>
          <w:iCs/>
          <w:color w:val="0000FF"/>
          <w:lang w:val="it-IT"/>
        </w:rPr>
      </w:pPr>
      <w:r>
        <w:rPr>
          <w:bCs/>
          <w:i/>
          <w:iCs/>
          <w:color w:val="0000FF"/>
          <w:lang w:val="it-IT"/>
        </w:rPr>
        <w:t>Tributi minori</w:t>
      </w:r>
      <w:r w:rsidR="00196070">
        <w:rPr>
          <w:bCs/>
          <w:i/>
          <w:iCs/>
          <w:color w:val="0000FF"/>
          <w:lang w:val="it-IT"/>
        </w:rPr>
        <w:t xml:space="preserve"> e contenzioso “di rito”</w:t>
      </w:r>
    </w:p>
    <w:p w14:paraId="7349746C" w14:textId="77777777" w:rsidR="00A02336" w:rsidRDefault="00A02336" w:rsidP="00CD48C2">
      <w:pPr>
        <w:autoSpaceDE w:val="0"/>
        <w:autoSpaceDN w:val="0"/>
        <w:adjustRightInd w:val="0"/>
        <w:rPr>
          <w:sz w:val="22"/>
          <w:szCs w:val="22"/>
        </w:rPr>
      </w:pPr>
      <w:r>
        <w:rPr>
          <w:sz w:val="22"/>
          <w:szCs w:val="22"/>
        </w:rPr>
        <w:t xml:space="preserve">Sono facilmente inquadrabili dai giudici anche i </w:t>
      </w:r>
      <w:r w:rsidR="00694D20" w:rsidRPr="007F7EBF">
        <w:rPr>
          <w:sz w:val="22"/>
          <w:szCs w:val="22"/>
        </w:rPr>
        <w:t>contenziosi</w:t>
      </w:r>
      <w:r w:rsidR="00CD48C2">
        <w:rPr>
          <w:sz w:val="22"/>
          <w:szCs w:val="22"/>
        </w:rPr>
        <w:t>, ancora numericamente consistenti, riguardanti “tributi minori”, a partire dall’imposta di registro e assimilate (par.10.2), compreso il</w:t>
      </w:r>
      <w:r w:rsidR="00CD48C2" w:rsidRPr="007F7EBF">
        <w:rPr>
          <w:sz w:val="22"/>
          <w:szCs w:val="22"/>
        </w:rPr>
        <w:t xml:space="preserve"> valore corrente di fabbricati o </w:t>
      </w:r>
      <w:r w:rsidR="00CD48C2">
        <w:rPr>
          <w:sz w:val="22"/>
          <w:szCs w:val="22"/>
        </w:rPr>
        <w:t xml:space="preserve">le agevolazioni per l’acquisto della “prima casa”; ci sono anche i tributi locali e la determinazione delle </w:t>
      </w:r>
      <w:r w:rsidR="00CD48C2" w:rsidRPr="007F7EBF">
        <w:rPr>
          <w:sz w:val="22"/>
          <w:szCs w:val="22"/>
        </w:rPr>
        <w:t>rendite catastali</w:t>
      </w:r>
      <w:r w:rsidR="00CD48C2">
        <w:rPr>
          <w:sz w:val="22"/>
          <w:szCs w:val="22"/>
        </w:rPr>
        <w:t xml:space="preserve"> (parr.8.2-8.4)</w:t>
      </w:r>
      <w:r w:rsidR="00CD48C2" w:rsidRPr="007F7EBF">
        <w:rPr>
          <w:sz w:val="22"/>
          <w:szCs w:val="22"/>
        </w:rPr>
        <w:t>.</w:t>
      </w:r>
      <w:r w:rsidR="00CD48C2">
        <w:rPr>
          <w:sz w:val="22"/>
          <w:szCs w:val="22"/>
        </w:rPr>
        <w:t xml:space="preserve"> </w:t>
      </w:r>
    </w:p>
    <w:p w14:paraId="550F2955" w14:textId="51638DF3" w:rsidR="00CD48C2" w:rsidRPr="007F7EBF" w:rsidRDefault="00A02336" w:rsidP="00CD48C2">
      <w:pPr>
        <w:autoSpaceDE w:val="0"/>
        <w:autoSpaceDN w:val="0"/>
        <w:adjustRightInd w:val="0"/>
        <w:rPr>
          <w:sz w:val="22"/>
          <w:szCs w:val="22"/>
        </w:rPr>
      </w:pPr>
      <w:r>
        <w:rPr>
          <w:sz w:val="22"/>
          <w:szCs w:val="22"/>
        </w:rPr>
        <w:t xml:space="preserve">Alla portata dei giudici sono per definizione i numerosi </w:t>
      </w:r>
      <w:r w:rsidR="00196070">
        <w:rPr>
          <w:sz w:val="22"/>
          <w:szCs w:val="22"/>
        </w:rPr>
        <w:t>processi riguarda</w:t>
      </w:r>
      <w:r>
        <w:rPr>
          <w:sz w:val="22"/>
          <w:szCs w:val="22"/>
        </w:rPr>
        <w:t xml:space="preserve">nti </w:t>
      </w:r>
      <w:r w:rsidR="00196070">
        <w:rPr>
          <w:sz w:val="22"/>
          <w:szCs w:val="22"/>
        </w:rPr>
        <w:t xml:space="preserve">questioni di rito, a partire dalle questioni sulle notifiche degli atti impositivi e dei ricorsi; qui “il processo genera processi”, pienamente alla portata dei giudici, ma anche </w:t>
      </w:r>
      <w:r w:rsidR="00161FDE">
        <w:rPr>
          <w:sz w:val="22"/>
          <w:szCs w:val="22"/>
        </w:rPr>
        <w:t xml:space="preserve">scarsamente </w:t>
      </w:r>
      <w:r w:rsidR="00196070">
        <w:rPr>
          <w:sz w:val="22"/>
          <w:szCs w:val="22"/>
        </w:rPr>
        <w:t xml:space="preserve">utili rispetto alla sostanza della funzione tributaria. </w:t>
      </w:r>
      <w:r w:rsidR="00B51FFB">
        <w:rPr>
          <w:sz w:val="22"/>
          <w:szCs w:val="22"/>
        </w:rPr>
        <w:t xml:space="preserve"> </w:t>
      </w:r>
    </w:p>
    <w:p w14:paraId="41B17E1E" w14:textId="200CF6E1" w:rsidR="00CD48C2" w:rsidRPr="007F7EBF" w:rsidRDefault="00FE787F" w:rsidP="00CD48C2">
      <w:pPr>
        <w:pStyle w:val="tit23"/>
        <w:ind w:left="6464" w:right="-1361" w:firstLine="0"/>
        <w:jc w:val="left"/>
        <w:rPr>
          <w:bCs/>
          <w:i/>
          <w:iCs/>
          <w:color w:val="0000FF"/>
          <w:lang w:val="it-IT"/>
        </w:rPr>
      </w:pPr>
      <w:r>
        <w:rPr>
          <w:bCs/>
          <w:i/>
          <w:iCs/>
          <w:color w:val="0000FF"/>
          <w:lang w:val="it-IT"/>
        </w:rPr>
        <w:lastRenderedPageBreak/>
        <w:t xml:space="preserve">Stime valutative </w:t>
      </w:r>
    </w:p>
    <w:p w14:paraId="431F3792" w14:textId="5283CDEA" w:rsidR="008A209B" w:rsidRPr="007F7EBF" w:rsidRDefault="0091636E" w:rsidP="007B470D">
      <w:pPr>
        <w:autoSpaceDE w:val="0"/>
        <w:autoSpaceDN w:val="0"/>
        <w:adjustRightInd w:val="0"/>
        <w:rPr>
          <w:bCs/>
          <w:i/>
          <w:iCs/>
          <w:color w:val="0000FF"/>
          <w:sz w:val="22"/>
          <w:szCs w:val="22"/>
        </w:rPr>
      </w:pPr>
      <w:r>
        <w:rPr>
          <w:sz w:val="22"/>
          <w:szCs w:val="22"/>
        </w:rPr>
        <w:t>P</w:t>
      </w:r>
      <w:r w:rsidR="00FE787F">
        <w:rPr>
          <w:sz w:val="22"/>
          <w:szCs w:val="22"/>
        </w:rPr>
        <w:t>er la perequazione tributaria</w:t>
      </w:r>
      <w:r>
        <w:rPr>
          <w:sz w:val="22"/>
          <w:szCs w:val="22"/>
        </w:rPr>
        <w:t xml:space="preserve"> rilevano di più i processi relativi alla stima </w:t>
      </w:r>
      <w:r w:rsidR="00FE787F">
        <w:rPr>
          <w:sz w:val="22"/>
          <w:szCs w:val="22"/>
        </w:rPr>
        <w:t>valutativa d</w:t>
      </w:r>
      <w:r>
        <w:rPr>
          <w:sz w:val="22"/>
          <w:szCs w:val="22"/>
        </w:rPr>
        <w:t>i circostanze non dichiarate o dichiarate in ordin</w:t>
      </w:r>
      <w:r w:rsidR="00A02336">
        <w:rPr>
          <w:sz w:val="22"/>
          <w:szCs w:val="22"/>
        </w:rPr>
        <w:t>i</w:t>
      </w:r>
      <w:r>
        <w:rPr>
          <w:sz w:val="22"/>
          <w:szCs w:val="22"/>
        </w:rPr>
        <w:t xml:space="preserve"> di grandezza economicamente non credibil</w:t>
      </w:r>
      <w:r w:rsidR="00A02336">
        <w:rPr>
          <w:sz w:val="22"/>
          <w:szCs w:val="22"/>
        </w:rPr>
        <w:t>i</w:t>
      </w:r>
      <w:r w:rsidR="005951DD">
        <w:rPr>
          <w:sz w:val="22"/>
          <w:szCs w:val="22"/>
        </w:rPr>
        <w:t xml:space="preserve">; </w:t>
      </w:r>
      <w:r>
        <w:rPr>
          <w:sz w:val="22"/>
          <w:szCs w:val="22"/>
        </w:rPr>
        <w:t xml:space="preserve">ciò </w:t>
      </w:r>
      <w:r w:rsidR="00A02336">
        <w:rPr>
          <w:sz w:val="22"/>
          <w:szCs w:val="22"/>
        </w:rPr>
        <w:t>prima di tutto</w:t>
      </w:r>
      <w:r>
        <w:rPr>
          <w:sz w:val="22"/>
          <w:szCs w:val="22"/>
        </w:rPr>
        <w:t xml:space="preserve"> per quanto riguarda </w:t>
      </w:r>
      <w:r w:rsidR="005951DD">
        <w:rPr>
          <w:sz w:val="22"/>
          <w:szCs w:val="22"/>
        </w:rPr>
        <w:t xml:space="preserve">le controversie di stima </w:t>
      </w:r>
      <w:r w:rsidR="00FE787F">
        <w:rPr>
          <w:sz w:val="22"/>
          <w:szCs w:val="22"/>
        </w:rPr>
        <w:t>riguardanti piccole attività di commercio e servizi al consumo finale (</w:t>
      </w:r>
      <w:r w:rsidR="00CC4193">
        <w:rPr>
          <w:sz w:val="22"/>
          <w:szCs w:val="22"/>
        </w:rPr>
        <w:t>par.5.13</w:t>
      </w:r>
      <w:r w:rsidR="00FE787F">
        <w:rPr>
          <w:sz w:val="22"/>
          <w:szCs w:val="22"/>
        </w:rPr>
        <w:t>)</w:t>
      </w:r>
      <w:r w:rsidR="00A02336">
        <w:rPr>
          <w:sz w:val="22"/>
          <w:szCs w:val="22"/>
        </w:rPr>
        <w:t xml:space="preserve">, ancora di una certa consistenza numerica. E’ una </w:t>
      </w:r>
      <w:r w:rsidR="00FE787F">
        <w:rPr>
          <w:sz w:val="22"/>
          <w:szCs w:val="22"/>
        </w:rPr>
        <w:t>tradizionale tematica del contenzioso amministrativo valutativo di un tempo,</w:t>
      </w:r>
      <w:r w:rsidR="00A02336">
        <w:rPr>
          <w:sz w:val="22"/>
          <w:szCs w:val="22"/>
        </w:rPr>
        <w:t xml:space="preserve"> cui </w:t>
      </w:r>
      <w:r w:rsidR="00FE787F">
        <w:rPr>
          <w:sz w:val="22"/>
          <w:szCs w:val="22"/>
        </w:rPr>
        <w:t xml:space="preserve">si sono però oggi </w:t>
      </w:r>
      <w:r w:rsidR="00A02336">
        <w:rPr>
          <w:sz w:val="22"/>
          <w:szCs w:val="22"/>
        </w:rPr>
        <w:t xml:space="preserve">affiancati </w:t>
      </w:r>
      <w:r w:rsidR="00FE787F">
        <w:rPr>
          <w:sz w:val="22"/>
          <w:szCs w:val="22"/>
        </w:rPr>
        <w:t xml:space="preserve"> “indizi contabili” (par.5.9), e “studi di settore”; </w:t>
      </w:r>
      <w:r w:rsidR="00A02336">
        <w:rPr>
          <w:sz w:val="22"/>
          <w:szCs w:val="22"/>
        </w:rPr>
        <w:t xml:space="preserve">i </w:t>
      </w:r>
      <w:r w:rsidR="00EB20E4">
        <w:rPr>
          <w:sz w:val="22"/>
          <w:szCs w:val="22"/>
        </w:rPr>
        <w:t xml:space="preserve">tempi stringati </w:t>
      </w:r>
      <w:r w:rsidR="00FE787F">
        <w:rPr>
          <w:sz w:val="22"/>
          <w:szCs w:val="22"/>
        </w:rPr>
        <w:t>del processo</w:t>
      </w:r>
      <w:r w:rsidR="00A02336" w:rsidRPr="00A02336">
        <w:rPr>
          <w:sz w:val="22"/>
          <w:szCs w:val="22"/>
        </w:rPr>
        <w:t xml:space="preserve"> </w:t>
      </w:r>
      <w:r w:rsidR="00A02336">
        <w:rPr>
          <w:sz w:val="22"/>
          <w:szCs w:val="22"/>
        </w:rPr>
        <w:t>non si prestano quindi ad un esame comparativo di una pluralità di indizi ed argomentazioni, esistenti anche per attività di piccole dimensioni</w:t>
      </w:r>
      <w:r w:rsidR="00760B98" w:rsidRPr="007F7EBF">
        <w:rPr>
          <w:sz w:val="22"/>
          <w:szCs w:val="22"/>
        </w:rPr>
        <w:t xml:space="preserve">.  </w:t>
      </w:r>
    </w:p>
    <w:p w14:paraId="63BC6A7B" w14:textId="77777777" w:rsidR="00745FDF" w:rsidRPr="007F7EBF" w:rsidRDefault="00745FDF" w:rsidP="00745FDF">
      <w:pPr>
        <w:pStyle w:val="tit23"/>
        <w:ind w:left="6464" w:right="-1361" w:firstLine="0"/>
        <w:jc w:val="left"/>
        <w:rPr>
          <w:bCs/>
          <w:i/>
          <w:iCs/>
          <w:color w:val="0000FF"/>
          <w:lang w:val="it-IT"/>
        </w:rPr>
      </w:pPr>
      <w:r w:rsidRPr="007F7EBF">
        <w:rPr>
          <w:bCs/>
          <w:i/>
          <w:iCs/>
          <w:color w:val="0000FF"/>
          <w:lang w:val="it-IT"/>
        </w:rPr>
        <w:t xml:space="preserve">Contestazioni </w:t>
      </w:r>
      <w:r w:rsidR="00B02326" w:rsidRPr="007F7EBF">
        <w:rPr>
          <w:bCs/>
          <w:i/>
          <w:iCs/>
          <w:color w:val="0000FF"/>
          <w:lang w:val="it-IT"/>
        </w:rPr>
        <w:t xml:space="preserve">valutative e </w:t>
      </w:r>
      <w:r w:rsidRPr="007F7EBF">
        <w:rPr>
          <w:bCs/>
          <w:i/>
          <w:iCs/>
          <w:color w:val="0000FF"/>
          <w:lang w:val="it-IT"/>
        </w:rPr>
        <w:t>interpretative specialistiche</w:t>
      </w:r>
    </w:p>
    <w:p w14:paraId="4E4DE2A6" w14:textId="35E80CEE" w:rsidR="00196C35" w:rsidRPr="007F7EBF" w:rsidRDefault="00FE787F" w:rsidP="007B583C">
      <w:pPr>
        <w:rPr>
          <w:sz w:val="22"/>
          <w:szCs w:val="22"/>
        </w:rPr>
      </w:pPr>
      <w:r>
        <w:rPr>
          <w:sz w:val="22"/>
          <w:szCs w:val="22"/>
        </w:rPr>
        <w:t>Quest’</w:t>
      </w:r>
      <w:r w:rsidR="00A02336">
        <w:rPr>
          <w:sz w:val="22"/>
          <w:szCs w:val="22"/>
        </w:rPr>
        <w:t xml:space="preserve">inadeguatezza sussiste </w:t>
      </w:r>
      <w:r w:rsidR="007318CA">
        <w:rPr>
          <w:sz w:val="22"/>
          <w:szCs w:val="22"/>
        </w:rPr>
        <w:t xml:space="preserve">anche per le questioni di evasione più rilevanti, come le “frodi IVA” (par.7.3) </w:t>
      </w:r>
      <w:r w:rsidR="00A9288A">
        <w:rPr>
          <w:sz w:val="22"/>
          <w:szCs w:val="22"/>
        </w:rPr>
        <w:t xml:space="preserve">e </w:t>
      </w:r>
      <w:r w:rsidR="007D4418">
        <w:rPr>
          <w:sz w:val="22"/>
          <w:szCs w:val="22"/>
        </w:rPr>
        <w:t xml:space="preserve">le questioni </w:t>
      </w:r>
      <w:r w:rsidR="007D4418" w:rsidRPr="007F7EBF">
        <w:rPr>
          <w:sz w:val="22"/>
          <w:szCs w:val="22"/>
        </w:rPr>
        <w:t xml:space="preserve">interpretative specialistiche </w:t>
      </w:r>
      <w:r w:rsidR="00A9288A">
        <w:rPr>
          <w:sz w:val="22"/>
          <w:szCs w:val="22"/>
        </w:rPr>
        <w:t xml:space="preserve">delle grandi aziende </w:t>
      </w:r>
      <w:r w:rsidR="00F06DCD">
        <w:rPr>
          <w:sz w:val="22"/>
          <w:szCs w:val="22"/>
        </w:rPr>
        <w:t>(</w:t>
      </w:r>
      <w:r w:rsidR="007D4418" w:rsidRPr="007F7EBF">
        <w:rPr>
          <w:sz w:val="22"/>
          <w:szCs w:val="22"/>
        </w:rPr>
        <w:t>pa</w:t>
      </w:r>
      <w:r w:rsidR="00F06DCD">
        <w:rPr>
          <w:sz w:val="22"/>
          <w:szCs w:val="22"/>
        </w:rPr>
        <w:t>r</w:t>
      </w:r>
      <w:r w:rsidR="007D4418" w:rsidRPr="007F7EBF">
        <w:rPr>
          <w:sz w:val="22"/>
          <w:szCs w:val="22"/>
        </w:rPr>
        <w:t>r.3.9</w:t>
      </w:r>
      <w:r w:rsidR="00F06DCD">
        <w:rPr>
          <w:sz w:val="22"/>
          <w:szCs w:val="22"/>
        </w:rPr>
        <w:t>,</w:t>
      </w:r>
      <w:r w:rsidR="007D4418" w:rsidRPr="007F7EBF">
        <w:rPr>
          <w:sz w:val="22"/>
          <w:szCs w:val="22"/>
        </w:rPr>
        <w:t xml:space="preserve"> 3.10</w:t>
      </w:r>
      <w:r w:rsidR="00F06DCD">
        <w:rPr>
          <w:sz w:val="22"/>
          <w:szCs w:val="22"/>
        </w:rPr>
        <w:t>, 5.18)</w:t>
      </w:r>
      <w:r w:rsidR="00A9288A">
        <w:rPr>
          <w:sz w:val="22"/>
          <w:szCs w:val="22"/>
        </w:rPr>
        <w:t xml:space="preserve">; esse contengono spesso una pluralità di rilievi, spesso riferiti </w:t>
      </w:r>
      <w:r w:rsidR="005951DD">
        <w:rPr>
          <w:sz w:val="22"/>
          <w:szCs w:val="22"/>
        </w:rPr>
        <w:t xml:space="preserve">a </w:t>
      </w:r>
      <w:r w:rsidR="007D4418">
        <w:rPr>
          <w:sz w:val="22"/>
          <w:szCs w:val="22"/>
        </w:rPr>
        <w:t>imposte</w:t>
      </w:r>
      <w:r w:rsidR="005951DD">
        <w:rPr>
          <w:sz w:val="22"/>
          <w:szCs w:val="22"/>
        </w:rPr>
        <w:t>, annualità ed entità soggettive d</w:t>
      </w:r>
      <w:r w:rsidR="007D4418">
        <w:rPr>
          <w:sz w:val="22"/>
          <w:szCs w:val="22"/>
        </w:rPr>
        <w:t>ivers</w:t>
      </w:r>
      <w:r w:rsidR="005951DD">
        <w:rPr>
          <w:sz w:val="22"/>
          <w:szCs w:val="22"/>
        </w:rPr>
        <w:t>e</w:t>
      </w:r>
      <w:r w:rsidR="007D4418">
        <w:rPr>
          <w:sz w:val="22"/>
          <w:szCs w:val="22"/>
        </w:rPr>
        <w:t>, secondo le “simmetrie” di cui al par.3.12</w:t>
      </w:r>
      <w:r w:rsidR="00AF0599">
        <w:rPr>
          <w:sz w:val="22"/>
          <w:szCs w:val="22"/>
        </w:rPr>
        <w:t xml:space="preserve">. </w:t>
      </w:r>
      <w:r w:rsidR="00A9288A">
        <w:rPr>
          <w:sz w:val="22"/>
          <w:szCs w:val="22"/>
        </w:rPr>
        <w:t xml:space="preserve">In questi casi, sia per ragioni di tempo che per ragioni di bagaglio culturale, </w:t>
      </w:r>
      <w:r w:rsidR="007D4418">
        <w:rPr>
          <w:sz w:val="22"/>
          <w:szCs w:val="22"/>
        </w:rPr>
        <w:t>i giudici avvertono la difficoltà di “sostituirsi all’amministrazione”</w:t>
      </w:r>
      <w:r w:rsidR="00AF0599">
        <w:rPr>
          <w:sz w:val="22"/>
          <w:szCs w:val="22"/>
        </w:rPr>
        <w:t xml:space="preserve"> nello schema dell’”impugnazione merito”, di cui parliamo a partire dal par.6.9; </w:t>
      </w:r>
      <w:r w:rsidR="00A9288A">
        <w:rPr>
          <w:sz w:val="22"/>
          <w:szCs w:val="22"/>
        </w:rPr>
        <w:t xml:space="preserve">si </w:t>
      </w:r>
      <w:r w:rsidR="00CE69B6">
        <w:rPr>
          <w:sz w:val="22"/>
          <w:szCs w:val="22"/>
        </w:rPr>
        <w:t>ripropon</w:t>
      </w:r>
      <w:r w:rsidR="00A9288A">
        <w:rPr>
          <w:sz w:val="22"/>
          <w:szCs w:val="22"/>
        </w:rPr>
        <w:t>e quindi</w:t>
      </w:r>
      <w:r w:rsidR="00CE69B6">
        <w:rPr>
          <w:sz w:val="22"/>
          <w:szCs w:val="22"/>
        </w:rPr>
        <w:t xml:space="preserve"> la tendenza </w:t>
      </w:r>
      <w:r w:rsidR="00A9288A">
        <w:rPr>
          <w:sz w:val="22"/>
          <w:szCs w:val="22"/>
        </w:rPr>
        <w:t>a su</w:t>
      </w:r>
      <w:r w:rsidR="007D4418">
        <w:rPr>
          <w:sz w:val="22"/>
          <w:szCs w:val="22"/>
        </w:rPr>
        <w:t xml:space="preserve">perare </w:t>
      </w:r>
      <w:r w:rsidR="004A601E">
        <w:rPr>
          <w:sz w:val="22"/>
          <w:szCs w:val="22"/>
        </w:rPr>
        <w:t xml:space="preserve">lo stallo preferendo, nel </w:t>
      </w:r>
      <w:r w:rsidR="00F06DCD">
        <w:rPr>
          <w:sz w:val="22"/>
          <w:szCs w:val="22"/>
        </w:rPr>
        <w:t>dubbio</w:t>
      </w:r>
      <w:r w:rsidR="004A601E">
        <w:rPr>
          <w:sz w:val="22"/>
          <w:szCs w:val="22"/>
        </w:rPr>
        <w:t xml:space="preserve">, le tesi </w:t>
      </w:r>
      <w:r w:rsidR="0089331E" w:rsidRPr="007F7EBF">
        <w:rPr>
          <w:sz w:val="22"/>
          <w:szCs w:val="22"/>
        </w:rPr>
        <w:t>dell'</w:t>
      </w:r>
      <w:r w:rsidR="00FD6960">
        <w:rPr>
          <w:sz w:val="22"/>
          <w:szCs w:val="22"/>
        </w:rPr>
        <w:t>ufficio pubblico</w:t>
      </w:r>
      <w:r w:rsidR="00C72C44">
        <w:rPr>
          <w:sz w:val="22"/>
          <w:szCs w:val="22"/>
        </w:rPr>
        <w:t xml:space="preserve">. </w:t>
      </w:r>
    </w:p>
    <w:p w14:paraId="1CFCDEB6" w14:textId="77777777" w:rsidR="00196C35" w:rsidRPr="007F7EBF" w:rsidRDefault="00196C35" w:rsidP="00196C35">
      <w:pPr>
        <w:pStyle w:val="tit23"/>
        <w:ind w:left="6464" w:right="-1361" w:firstLine="0"/>
        <w:jc w:val="left"/>
        <w:rPr>
          <w:bCs/>
          <w:i/>
          <w:iCs/>
          <w:color w:val="0000FF"/>
          <w:lang w:val="it-IT"/>
        </w:rPr>
      </w:pPr>
      <w:r w:rsidRPr="007F7EBF">
        <w:rPr>
          <w:bCs/>
          <w:i/>
          <w:iCs/>
          <w:color w:val="0000FF"/>
          <w:lang w:val="it-IT"/>
        </w:rPr>
        <w:t xml:space="preserve">Tipologia di giudizi e bagaglio culturale del giudice </w:t>
      </w:r>
    </w:p>
    <w:p w14:paraId="546174E9" w14:textId="0D0688C9" w:rsidR="008334C7" w:rsidRPr="007F7EBF" w:rsidRDefault="00196C35" w:rsidP="008334C7">
      <w:pPr>
        <w:autoSpaceDE w:val="0"/>
        <w:autoSpaceDN w:val="0"/>
        <w:adjustRightInd w:val="0"/>
        <w:rPr>
          <w:sz w:val="22"/>
          <w:szCs w:val="22"/>
        </w:rPr>
      </w:pPr>
      <w:r w:rsidRPr="007F7EBF">
        <w:rPr>
          <w:sz w:val="22"/>
          <w:szCs w:val="22"/>
        </w:rPr>
        <w:t xml:space="preserve">Non a caso, mentre i dati globali vedono un sostanziale equilibrio di  vittorie e di sconfitte tra uffici tributari e contribuenti, le controversie </w:t>
      </w:r>
      <w:r w:rsidR="00CE69B6">
        <w:rPr>
          <w:sz w:val="22"/>
          <w:szCs w:val="22"/>
        </w:rPr>
        <w:t xml:space="preserve">valutative e </w:t>
      </w:r>
      <w:r w:rsidRPr="007F7EBF">
        <w:rPr>
          <w:sz w:val="22"/>
          <w:szCs w:val="22"/>
        </w:rPr>
        <w:t>specialistiche sono vinte più spesso dal fisco</w:t>
      </w:r>
      <w:r w:rsidR="003E2D9F">
        <w:rPr>
          <w:sz w:val="22"/>
          <w:szCs w:val="22"/>
        </w:rPr>
        <w:t xml:space="preserve">, contribuendo, sulle contestazioni interpretative, alla frustrazione delle aziende, indicata al par.5.19. </w:t>
      </w:r>
      <w:r w:rsidR="00287744">
        <w:rPr>
          <w:sz w:val="22"/>
          <w:szCs w:val="22"/>
        </w:rPr>
        <w:t>N</w:t>
      </w:r>
      <w:r w:rsidR="003E2D9F">
        <w:rPr>
          <w:sz w:val="22"/>
          <w:szCs w:val="22"/>
        </w:rPr>
        <w:t>onostante la buona volontà individuale di tanti giudici</w:t>
      </w:r>
      <w:r w:rsidR="00287744">
        <w:rPr>
          <w:sz w:val="22"/>
          <w:szCs w:val="22"/>
        </w:rPr>
        <w:t>, le</w:t>
      </w:r>
      <w:r w:rsidR="003E2D9F">
        <w:rPr>
          <w:sz w:val="22"/>
          <w:szCs w:val="22"/>
        </w:rPr>
        <w:t xml:space="preserve"> </w:t>
      </w:r>
      <w:r w:rsidR="003E2D9F">
        <w:t>questioni</w:t>
      </w:r>
      <w:r w:rsidR="003E2D9F" w:rsidRPr="007F7EBF">
        <w:t xml:space="preserve"> risolte con stereotipi e giri di parole</w:t>
      </w:r>
      <w:r w:rsidR="003E2D9F">
        <w:t>, pur minoritari</w:t>
      </w:r>
      <w:r w:rsidR="00287744">
        <w:t>e</w:t>
      </w:r>
      <w:r w:rsidR="003E2D9F">
        <w:t xml:space="preserve">, </w:t>
      </w:r>
      <w:r w:rsidR="003E2D9F">
        <w:lastRenderedPageBreak/>
        <w:t>incrina</w:t>
      </w:r>
      <w:r w:rsidR="00287744">
        <w:t>no</w:t>
      </w:r>
      <w:r w:rsidR="003E2D9F">
        <w:t xml:space="preserve"> la reputazione di tutt</w:t>
      </w:r>
      <w:r w:rsidR="00287744">
        <w:t xml:space="preserve">a la giurisdizione tributaria </w:t>
      </w:r>
      <w:r w:rsidR="003E2D9F">
        <w:rPr>
          <w:sz w:val="22"/>
          <w:szCs w:val="22"/>
        </w:rPr>
        <w:t>(</w:t>
      </w:r>
      <w:r w:rsidR="003E2D9F" w:rsidRPr="007F7EBF">
        <w:rPr>
          <w:rStyle w:val="Rimandonotaapidipagina"/>
          <w:sz w:val="22"/>
          <w:szCs w:val="22"/>
        </w:rPr>
        <w:footnoteReference w:id="875"/>
      </w:r>
      <w:r w:rsidR="003E2D9F">
        <w:rPr>
          <w:sz w:val="22"/>
          <w:szCs w:val="22"/>
        </w:rPr>
        <w:t>)</w:t>
      </w:r>
      <w:r w:rsidR="003E2D9F" w:rsidRPr="007F7EBF">
        <w:rPr>
          <w:sz w:val="22"/>
          <w:szCs w:val="22"/>
        </w:rPr>
        <w:t xml:space="preserve">.  </w:t>
      </w:r>
      <w:r w:rsidR="00A513C3">
        <w:rPr>
          <w:sz w:val="22"/>
          <w:szCs w:val="22"/>
        </w:rPr>
        <w:t>E’ un inconveniente del</w:t>
      </w:r>
      <w:r w:rsidR="00D116B4">
        <w:t>l’idea privatistico-giurisdizionale del diritto</w:t>
      </w:r>
      <w:r w:rsidR="00CE69B6">
        <w:t xml:space="preserve"> (par.1.3)</w:t>
      </w:r>
      <w:r w:rsidR="00600D78">
        <w:t xml:space="preserve">, </w:t>
      </w:r>
      <w:r w:rsidR="00CE69B6">
        <w:t>c</w:t>
      </w:r>
      <w:r w:rsidR="00A513C3">
        <w:t>ui si collega i</w:t>
      </w:r>
      <w:r w:rsidR="00CE69B6">
        <w:t xml:space="preserve">l </w:t>
      </w:r>
      <w:r w:rsidR="00600D78">
        <w:t xml:space="preserve">paralizzante </w:t>
      </w:r>
      <w:r w:rsidR="009D1785">
        <w:t xml:space="preserve">equivoco secondo cui la determinazione dell’imposta </w:t>
      </w:r>
      <w:r w:rsidR="00600D78">
        <w:t xml:space="preserve">dovrebbe avvenire più in sede processuale che </w:t>
      </w:r>
      <w:r w:rsidR="009D1785">
        <w:t>amministrativa</w:t>
      </w:r>
      <w:r w:rsidR="00D116B4">
        <w:t xml:space="preserve">; </w:t>
      </w:r>
      <w:r w:rsidR="00CE69B6">
        <w:t xml:space="preserve">contribuisce </w:t>
      </w:r>
      <w:r w:rsidR="00A513C3">
        <w:t xml:space="preserve">poi </w:t>
      </w:r>
      <w:r w:rsidR="00CE69B6">
        <w:t>la</w:t>
      </w:r>
      <w:r w:rsidR="00AD2A4A">
        <w:t xml:space="preserve"> fuorviante eredità </w:t>
      </w:r>
      <w:r w:rsidR="009D1785">
        <w:t>del contenzioso amministrativo</w:t>
      </w:r>
      <w:r w:rsidR="00CE69B6">
        <w:t>, con</w:t>
      </w:r>
      <w:r w:rsidR="009D1785">
        <w:t xml:space="preserve"> la rideterminazione dell’imposta da parte del giudice, </w:t>
      </w:r>
      <w:r w:rsidR="00F604FE">
        <w:t>formalmente inquadrata come “a</w:t>
      </w:r>
      <w:r w:rsidR="00CE69B6">
        <w:t>nnullame</w:t>
      </w:r>
      <w:r w:rsidR="00F604FE">
        <w:t xml:space="preserve">nto parziale”, ma con frequenti scelte tra plurime opzioni interpretative di fatto e di diritto, senza contraddittorio ed </w:t>
      </w:r>
      <w:r w:rsidR="0091636E">
        <w:t xml:space="preserve"> </w:t>
      </w:r>
      <w:r w:rsidR="00F604FE">
        <w:t>ineffabili per le parti, che le conosceranno solo “ex post”</w:t>
      </w:r>
      <w:r w:rsidR="00A513C3">
        <w:t xml:space="preserve">, nelle già indicate “sentenze a sorpresa”. </w:t>
      </w:r>
    </w:p>
    <w:p w14:paraId="39CF0302" w14:textId="77777777" w:rsidR="008334C7" w:rsidRPr="007F7EBF" w:rsidRDefault="008334C7" w:rsidP="008334C7">
      <w:pPr>
        <w:pStyle w:val="tit23"/>
        <w:ind w:left="6464" w:right="-1361" w:firstLine="0"/>
        <w:jc w:val="left"/>
        <w:rPr>
          <w:bCs/>
          <w:i/>
          <w:iCs/>
          <w:color w:val="0000FF"/>
          <w:lang w:val="it-IT"/>
        </w:rPr>
      </w:pPr>
      <w:r w:rsidRPr="007F7EBF">
        <w:rPr>
          <w:bCs/>
          <w:i/>
          <w:iCs/>
          <w:color w:val="0000FF"/>
          <w:lang w:val="it-IT"/>
        </w:rPr>
        <w:t>Inconvenienti dell’atteggiamento avvocatesco</w:t>
      </w:r>
    </w:p>
    <w:p w14:paraId="2EF70A7F" w14:textId="2E63588B" w:rsidR="008F60C1" w:rsidRPr="007F7EBF" w:rsidRDefault="00BA6372" w:rsidP="008F60C1">
      <w:pPr>
        <w:autoSpaceDE w:val="0"/>
        <w:autoSpaceDN w:val="0"/>
        <w:adjustRightInd w:val="0"/>
        <w:rPr>
          <w:sz w:val="22"/>
          <w:szCs w:val="22"/>
        </w:rPr>
      </w:pPr>
      <w:r>
        <w:rPr>
          <w:sz w:val="22"/>
          <w:szCs w:val="22"/>
        </w:rPr>
        <w:t xml:space="preserve"> </w:t>
      </w:r>
    </w:p>
    <w:p w14:paraId="55B340F0" w14:textId="7E980806" w:rsidR="00F80580" w:rsidRPr="007F7EBF" w:rsidRDefault="000C1C81" w:rsidP="00196C35">
      <w:pPr>
        <w:autoSpaceDE w:val="0"/>
        <w:autoSpaceDN w:val="0"/>
        <w:adjustRightInd w:val="0"/>
        <w:rPr>
          <w:sz w:val="22"/>
          <w:szCs w:val="22"/>
        </w:rPr>
      </w:pPr>
      <w:r>
        <w:rPr>
          <w:sz w:val="22"/>
          <w:szCs w:val="22"/>
        </w:rPr>
        <w:t xml:space="preserve">La concezione processualistico-avvocatesca finisce in buona misura per concepire il giudice come una sorta di sostituto dell’ufficio; quest’ultimo è per certi versi ben lieto di deresponsabilizzarsi con accertamenti esagerati per eccesso e poi trasferiti al giudice. </w:t>
      </w:r>
      <w:r w:rsidRPr="00BC4D6E">
        <w:rPr>
          <w:sz w:val="22"/>
          <w:szCs w:val="22"/>
        </w:rPr>
        <w:t>Quest’ultimo, che</w:t>
      </w:r>
      <w:r w:rsidR="003D10F4" w:rsidRPr="00BC4D6E">
        <w:rPr>
          <w:sz w:val="22"/>
          <w:szCs w:val="22"/>
        </w:rPr>
        <w:t xml:space="preserve"> non </w:t>
      </w:r>
      <w:r w:rsidRPr="00BC4D6E">
        <w:rPr>
          <w:sz w:val="22"/>
          <w:szCs w:val="22"/>
        </w:rPr>
        <w:t xml:space="preserve">può avere </w:t>
      </w:r>
      <w:r w:rsidR="003D10F4" w:rsidRPr="00BC4D6E">
        <w:rPr>
          <w:sz w:val="22"/>
          <w:szCs w:val="22"/>
        </w:rPr>
        <w:t>tempo, energie, capacità e competenze per sostituirsi agli uffici</w:t>
      </w:r>
      <w:r w:rsidRPr="00BC4D6E">
        <w:rPr>
          <w:sz w:val="22"/>
          <w:szCs w:val="22"/>
        </w:rPr>
        <w:t xml:space="preserve">, </w:t>
      </w:r>
      <w:r w:rsidR="00AD2A4A" w:rsidRPr="00BC4D6E">
        <w:rPr>
          <w:sz w:val="22"/>
          <w:szCs w:val="22"/>
        </w:rPr>
        <w:t>deve</w:t>
      </w:r>
      <w:r w:rsidR="003D10F4" w:rsidRPr="00BC4D6E">
        <w:rPr>
          <w:sz w:val="22"/>
          <w:szCs w:val="22"/>
        </w:rPr>
        <w:t xml:space="preserve"> “andare sulla fiducia”</w:t>
      </w:r>
      <w:r w:rsidR="00AD2A4A" w:rsidRPr="00BC4D6E">
        <w:rPr>
          <w:sz w:val="22"/>
          <w:szCs w:val="22"/>
        </w:rPr>
        <w:t xml:space="preserve">; </w:t>
      </w:r>
      <w:r w:rsidRPr="00BC4D6E">
        <w:rPr>
          <w:sz w:val="22"/>
          <w:szCs w:val="22"/>
        </w:rPr>
        <w:t>essa</w:t>
      </w:r>
      <w:r w:rsidR="00AD2A4A" w:rsidRPr="00BC4D6E">
        <w:rPr>
          <w:sz w:val="22"/>
          <w:szCs w:val="22"/>
        </w:rPr>
        <w:t xml:space="preserve"> viene comprensibilmente </w:t>
      </w:r>
      <w:r w:rsidRPr="00BC4D6E">
        <w:rPr>
          <w:sz w:val="22"/>
          <w:szCs w:val="22"/>
        </w:rPr>
        <w:t>attribuita</w:t>
      </w:r>
      <w:r w:rsidR="00AD2A4A" w:rsidRPr="00BC4D6E">
        <w:rPr>
          <w:sz w:val="22"/>
          <w:szCs w:val="22"/>
        </w:rPr>
        <w:t xml:space="preserve"> più </w:t>
      </w:r>
      <w:r w:rsidRPr="00BC4D6E">
        <w:rPr>
          <w:sz w:val="22"/>
          <w:szCs w:val="22"/>
        </w:rPr>
        <w:t>a</w:t>
      </w:r>
      <w:r w:rsidR="003D10F4" w:rsidRPr="00BC4D6E">
        <w:rPr>
          <w:sz w:val="22"/>
          <w:szCs w:val="22"/>
        </w:rPr>
        <w:t>ll’ufficio tributario</w:t>
      </w:r>
      <w:r w:rsidR="00AD2A4A" w:rsidRPr="00BC4D6E">
        <w:rPr>
          <w:sz w:val="22"/>
          <w:szCs w:val="22"/>
        </w:rPr>
        <w:t xml:space="preserve">, </w:t>
      </w:r>
      <w:r w:rsidR="003D10F4" w:rsidRPr="00BC4D6E">
        <w:rPr>
          <w:sz w:val="22"/>
          <w:szCs w:val="22"/>
        </w:rPr>
        <w:t>“pubblica autorità”</w:t>
      </w:r>
      <w:r w:rsidR="00AD2A4A" w:rsidRPr="00BC4D6E">
        <w:rPr>
          <w:sz w:val="22"/>
          <w:szCs w:val="22"/>
        </w:rPr>
        <w:t xml:space="preserve">, che </w:t>
      </w:r>
      <w:r w:rsidRPr="00BC4D6E">
        <w:rPr>
          <w:sz w:val="22"/>
          <w:szCs w:val="22"/>
        </w:rPr>
        <w:t>a</w:t>
      </w:r>
      <w:r w:rsidR="00AD2A4A" w:rsidRPr="00BC4D6E">
        <w:rPr>
          <w:sz w:val="22"/>
          <w:szCs w:val="22"/>
        </w:rPr>
        <w:t xml:space="preserve"> </w:t>
      </w:r>
      <w:r w:rsidR="003D10F4" w:rsidRPr="00BC4D6E">
        <w:rPr>
          <w:sz w:val="22"/>
          <w:szCs w:val="22"/>
        </w:rPr>
        <w:t>un privato interessato a</w:t>
      </w:r>
      <w:r w:rsidR="00AD2A4A" w:rsidRPr="00BC4D6E">
        <w:rPr>
          <w:sz w:val="22"/>
          <w:szCs w:val="22"/>
        </w:rPr>
        <w:t>l</w:t>
      </w:r>
      <w:r w:rsidR="003D10F4" w:rsidRPr="00BC4D6E">
        <w:rPr>
          <w:sz w:val="22"/>
          <w:szCs w:val="22"/>
        </w:rPr>
        <w:t xml:space="preserve"> risparmi</w:t>
      </w:r>
      <w:r w:rsidR="00AD2A4A" w:rsidRPr="00BC4D6E">
        <w:rPr>
          <w:sz w:val="22"/>
          <w:szCs w:val="22"/>
        </w:rPr>
        <w:t>o fiscale</w:t>
      </w:r>
      <w:r w:rsidR="003D10F4" w:rsidRPr="00BC4D6E">
        <w:rPr>
          <w:sz w:val="22"/>
          <w:szCs w:val="22"/>
        </w:rPr>
        <w:t>; se il giudice non si sente di decidere serenamente, la tendenza a respingere il ricorso è del tutto naturale.</w:t>
      </w:r>
      <w:r w:rsidR="003D10F4" w:rsidRPr="007F7EBF">
        <w:rPr>
          <w:sz w:val="22"/>
          <w:szCs w:val="22"/>
        </w:rPr>
        <w:t xml:space="preserve"> </w:t>
      </w:r>
      <w:r w:rsidR="00624CF1">
        <w:rPr>
          <w:sz w:val="22"/>
          <w:szCs w:val="22"/>
        </w:rPr>
        <w:t>S</w:t>
      </w:r>
      <w:r w:rsidR="004810CB" w:rsidRPr="007F7EBF">
        <w:t>e il giudice non si sente di affrontare una complessa rideterminazione del tributo, ma sospetta che un qualche tributo fosse dovuto, al di là del vizio dell'atto di accertamento, sarà molto cauto nell'annullarlo, sa</w:t>
      </w:r>
      <w:r w:rsidR="004810CB">
        <w:t>pendo</w:t>
      </w:r>
      <w:r w:rsidR="004810CB" w:rsidRPr="007F7EBF">
        <w:t xml:space="preserve"> di vanificare del tutto la pretesa erariale</w:t>
      </w:r>
      <w:r w:rsidR="00F604FE">
        <w:t xml:space="preserve"> </w:t>
      </w:r>
      <w:r w:rsidR="00277027">
        <w:rPr>
          <w:sz w:val="22"/>
          <w:szCs w:val="22"/>
        </w:rPr>
        <w:t>(</w:t>
      </w:r>
      <w:r w:rsidR="00277027" w:rsidRPr="007F7EBF">
        <w:rPr>
          <w:rStyle w:val="Rimandonotaapidipagina"/>
          <w:sz w:val="22"/>
          <w:szCs w:val="22"/>
        </w:rPr>
        <w:footnoteReference w:id="876"/>
      </w:r>
      <w:r w:rsidR="00277027">
        <w:rPr>
          <w:sz w:val="22"/>
          <w:szCs w:val="22"/>
        </w:rPr>
        <w:t>)</w:t>
      </w:r>
      <w:r w:rsidR="00BC3135">
        <w:rPr>
          <w:sz w:val="22"/>
          <w:szCs w:val="22"/>
        </w:rPr>
        <w:t xml:space="preserve">; </w:t>
      </w:r>
      <w:r w:rsidR="00B21CD3">
        <w:rPr>
          <w:sz w:val="22"/>
          <w:szCs w:val="22"/>
        </w:rPr>
        <w:t>è normale, in</w:t>
      </w:r>
      <w:r w:rsidR="00AF7BA1">
        <w:rPr>
          <w:sz w:val="22"/>
          <w:szCs w:val="22"/>
        </w:rPr>
        <w:t xml:space="preserve"> questa </w:t>
      </w:r>
      <w:r w:rsidR="00BC3135">
        <w:rPr>
          <w:sz w:val="22"/>
          <w:szCs w:val="22"/>
        </w:rPr>
        <w:lastRenderedPageBreak/>
        <w:t>prospettiva</w:t>
      </w:r>
      <w:r w:rsidR="00B21CD3">
        <w:rPr>
          <w:sz w:val="22"/>
          <w:szCs w:val="22"/>
        </w:rPr>
        <w:t>, che anche la condotta processuale dell’</w:t>
      </w:r>
      <w:r w:rsidR="00F956F9" w:rsidRPr="007F7EBF">
        <w:rPr>
          <w:sz w:val="22"/>
          <w:szCs w:val="22"/>
        </w:rPr>
        <w:t>ufficio tributario</w:t>
      </w:r>
      <w:r w:rsidR="00BC3135">
        <w:rPr>
          <w:sz w:val="22"/>
          <w:szCs w:val="22"/>
        </w:rPr>
        <w:t xml:space="preserve"> segu</w:t>
      </w:r>
      <w:r w:rsidR="00B21CD3">
        <w:rPr>
          <w:sz w:val="22"/>
          <w:szCs w:val="22"/>
        </w:rPr>
        <w:t>a</w:t>
      </w:r>
      <w:r w:rsidR="00BC3135">
        <w:rPr>
          <w:sz w:val="22"/>
          <w:szCs w:val="22"/>
        </w:rPr>
        <w:t xml:space="preserve"> i </w:t>
      </w:r>
      <w:r w:rsidR="00841B20" w:rsidRPr="007F7EBF">
        <w:rPr>
          <w:sz w:val="22"/>
          <w:szCs w:val="22"/>
        </w:rPr>
        <w:t>tatticismi dei privati</w:t>
      </w:r>
      <w:r w:rsidR="004810CB">
        <w:rPr>
          <w:sz w:val="22"/>
          <w:szCs w:val="22"/>
        </w:rPr>
        <w:t>,</w:t>
      </w:r>
      <w:r w:rsidR="00841B20" w:rsidRPr="007F7EBF">
        <w:rPr>
          <w:sz w:val="22"/>
          <w:szCs w:val="22"/>
        </w:rPr>
        <w:t xml:space="preserve"> </w:t>
      </w:r>
      <w:r w:rsidR="00F956F9" w:rsidRPr="007F7EBF">
        <w:rPr>
          <w:sz w:val="22"/>
          <w:szCs w:val="22"/>
        </w:rPr>
        <w:t xml:space="preserve">con </w:t>
      </w:r>
      <w:r w:rsidR="00B21CD3">
        <w:rPr>
          <w:sz w:val="22"/>
          <w:szCs w:val="22"/>
        </w:rPr>
        <w:t xml:space="preserve">ammiccamenti </w:t>
      </w:r>
      <w:r w:rsidR="00AB3219" w:rsidRPr="007F7EBF">
        <w:rPr>
          <w:sz w:val="22"/>
          <w:szCs w:val="22"/>
        </w:rPr>
        <w:t>tendenzio</w:t>
      </w:r>
      <w:r w:rsidR="00613692" w:rsidRPr="007F7EBF">
        <w:rPr>
          <w:sz w:val="22"/>
          <w:szCs w:val="22"/>
        </w:rPr>
        <w:t>s</w:t>
      </w:r>
      <w:r w:rsidR="00AF7BA1">
        <w:rPr>
          <w:sz w:val="22"/>
          <w:szCs w:val="22"/>
        </w:rPr>
        <w:t>i</w:t>
      </w:r>
      <w:r w:rsidR="00B21CD3">
        <w:rPr>
          <w:sz w:val="22"/>
          <w:szCs w:val="22"/>
        </w:rPr>
        <w:t>, che disorientano il giudice</w:t>
      </w:r>
      <w:r w:rsidR="00FD2C20">
        <w:rPr>
          <w:sz w:val="22"/>
          <w:szCs w:val="22"/>
        </w:rPr>
        <w:t>,</w:t>
      </w:r>
      <w:r w:rsidR="00B21CD3">
        <w:rPr>
          <w:sz w:val="22"/>
          <w:szCs w:val="22"/>
        </w:rPr>
        <w:t xml:space="preserve"> </w:t>
      </w:r>
      <w:r w:rsidR="00FD2C20">
        <w:rPr>
          <w:sz w:val="22"/>
          <w:szCs w:val="22"/>
        </w:rPr>
        <w:t>spingendolo nel dubbio a dare credito alla “parte pubblica”</w:t>
      </w:r>
      <w:r w:rsidR="00FD2C20" w:rsidRPr="007F7EBF">
        <w:rPr>
          <w:sz w:val="22"/>
          <w:szCs w:val="22"/>
        </w:rPr>
        <w:t xml:space="preserve"> </w:t>
      </w:r>
      <w:r w:rsidR="002E4A4A" w:rsidRPr="007F7EBF">
        <w:rPr>
          <w:sz w:val="22"/>
          <w:szCs w:val="22"/>
        </w:rPr>
        <w:t>(</w:t>
      </w:r>
      <w:r w:rsidR="002E4A4A" w:rsidRPr="007F7EBF">
        <w:rPr>
          <w:rStyle w:val="Rimandonotaapidipagina"/>
          <w:sz w:val="22"/>
          <w:szCs w:val="22"/>
        </w:rPr>
        <w:footnoteReference w:id="877"/>
      </w:r>
      <w:r w:rsidR="002E4A4A" w:rsidRPr="007F7EBF">
        <w:rPr>
          <w:sz w:val="22"/>
          <w:szCs w:val="22"/>
        </w:rPr>
        <w:t>)</w:t>
      </w:r>
      <w:r w:rsidR="00FD2C20">
        <w:rPr>
          <w:sz w:val="22"/>
          <w:szCs w:val="22"/>
        </w:rPr>
        <w:t>.</w:t>
      </w:r>
    </w:p>
    <w:p w14:paraId="58CF0F87" w14:textId="77777777" w:rsidR="00A14B71" w:rsidRPr="007F7EBF" w:rsidRDefault="00A14B71" w:rsidP="00A14B71">
      <w:pPr>
        <w:pStyle w:val="tit23"/>
        <w:ind w:left="6464" w:right="-1361" w:firstLine="0"/>
        <w:jc w:val="left"/>
        <w:rPr>
          <w:bCs/>
          <w:i/>
          <w:iCs/>
          <w:color w:val="0000FF"/>
          <w:lang w:val="it-IT"/>
        </w:rPr>
      </w:pPr>
      <w:r w:rsidRPr="007F7EBF">
        <w:rPr>
          <w:bCs/>
          <w:i/>
          <w:iCs/>
          <w:color w:val="0000FF"/>
          <w:lang w:val="it-IT"/>
        </w:rPr>
        <w:t>L’insuccesso giurisdizionale e la paralisi degli uffici</w:t>
      </w:r>
    </w:p>
    <w:p w14:paraId="29B3D08F" w14:textId="14CEDFD2" w:rsidR="00745FDF" w:rsidRPr="007F7EBF" w:rsidRDefault="00712341" w:rsidP="008A41CD">
      <w:pPr>
        <w:autoSpaceDE w:val="0"/>
        <w:autoSpaceDN w:val="0"/>
        <w:adjustRightInd w:val="0"/>
        <w:rPr>
          <w:bCs/>
          <w:i/>
          <w:iCs/>
          <w:color w:val="0000FF"/>
        </w:rPr>
      </w:pPr>
      <w:r>
        <w:rPr>
          <w:sz w:val="22"/>
          <w:szCs w:val="22"/>
        </w:rPr>
        <w:t xml:space="preserve">Questo </w:t>
      </w:r>
      <w:r w:rsidR="00F31424" w:rsidRPr="007F7EBF">
        <w:rPr>
          <w:sz w:val="22"/>
          <w:szCs w:val="22"/>
        </w:rPr>
        <w:t xml:space="preserve">sbilanciamento sulla giurisdizione della funzione </w:t>
      </w:r>
      <w:r w:rsidR="005416BE" w:rsidRPr="007F7EBF">
        <w:rPr>
          <w:sz w:val="22"/>
          <w:szCs w:val="22"/>
        </w:rPr>
        <w:t>tributaria</w:t>
      </w:r>
      <w:r>
        <w:rPr>
          <w:sz w:val="22"/>
          <w:szCs w:val="22"/>
        </w:rPr>
        <w:t xml:space="preserve"> </w:t>
      </w:r>
      <w:r w:rsidR="004810CB">
        <w:rPr>
          <w:sz w:val="22"/>
          <w:szCs w:val="22"/>
        </w:rPr>
        <w:t>(</w:t>
      </w:r>
      <w:r w:rsidR="006650A4" w:rsidRPr="007F7EBF">
        <w:rPr>
          <w:rStyle w:val="Rimandonotaapidipagina"/>
          <w:sz w:val="22"/>
          <w:szCs w:val="22"/>
        </w:rPr>
        <w:footnoteReference w:id="878"/>
      </w:r>
      <w:r w:rsidR="004810CB">
        <w:rPr>
          <w:sz w:val="22"/>
          <w:szCs w:val="22"/>
        </w:rPr>
        <w:t>)</w:t>
      </w:r>
      <w:r w:rsidR="00064669">
        <w:rPr>
          <w:sz w:val="22"/>
          <w:szCs w:val="22"/>
        </w:rPr>
        <w:t xml:space="preserve"> nuoce a</w:t>
      </w:r>
      <w:r w:rsidR="005C5826" w:rsidRPr="007F7EBF">
        <w:rPr>
          <w:sz w:val="22"/>
          <w:szCs w:val="22"/>
        </w:rPr>
        <w:t>i contribuenti</w:t>
      </w:r>
      <w:r w:rsidR="00064669">
        <w:rPr>
          <w:sz w:val="22"/>
          <w:szCs w:val="22"/>
        </w:rPr>
        <w:t xml:space="preserve"> anche per la specializzazione dei “team legali” degli </w:t>
      </w:r>
      <w:r w:rsidR="00064669" w:rsidRPr="007F7EBF">
        <w:rPr>
          <w:sz w:val="22"/>
          <w:szCs w:val="22"/>
        </w:rPr>
        <w:t xml:space="preserve">uffici tributari, </w:t>
      </w:r>
      <w:r w:rsidR="00064669">
        <w:rPr>
          <w:sz w:val="22"/>
          <w:szCs w:val="22"/>
        </w:rPr>
        <w:t xml:space="preserve">operanti </w:t>
      </w:r>
      <w:r w:rsidR="00FD2C20">
        <w:t xml:space="preserve">con economie di scala e </w:t>
      </w:r>
      <w:r w:rsidR="00FD2C20" w:rsidRPr="007F7EBF">
        <w:t xml:space="preserve">gestione “seriale” delle pratiche, </w:t>
      </w:r>
      <w:r w:rsidR="00FD2C20">
        <w:t>inconcepibili</w:t>
      </w:r>
      <w:r w:rsidR="00FD2C20" w:rsidRPr="007F7EBF">
        <w:t xml:space="preserve"> per avvocati e commercialisti</w:t>
      </w:r>
      <w:r w:rsidR="00FD2C20">
        <w:t xml:space="preserve">, visto il numero minore di pratiche. </w:t>
      </w:r>
    </w:p>
    <w:p w14:paraId="7254C4AE" w14:textId="69EEA3DC" w:rsidR="00534E33" w:rsidRPr="007F7EBF" w:rsidRDefault="00624CF1" w:rsidP="00064669">
      <w:pPr>
        <w:autoSpaceDE w:val="0"/>
        <w:autoSpaceDN w:val="0"/>
        <w:adjustRightInd w:val="0"/>
        <w:rPr>
          <w:bCs/>
          <w:i/>
          <w:iCs/>
          <w:color w:val="0000FF"/>
        </w:rPr>
      </w:pPr>
      <w:r>
        <w:rPr>
          <w:sz w:val="22"/>
          <w:szCs w:val="22"/>
        </w:rPr>
        <w:lastRenderedPageBreak/>
        <w:t xml:space="preserve">Quanto sopra </w:t>
      </w:r>
      <w:r w:rsidR="00FD2C20">
        <w:rPr>
          <w:sz w:val="22"/>
          <w:szCs w:val="22"/>
        </w:rPr>
        <w:t xml:space="preserve">oggettivamente </w:t>
      </w:r>
      <w:r w:rsidR="005C5826" w:rsidRPr="007F7EBF">
        <w:rPr>
          <w:sz w:val="22"/>
          <w:szCs w:val="22"/>
        </w:rPr>
        <w:t>danneggia</w:t>
      </w:r>
      <w:r>
        <w:rPr>
          <w:sz w:val="22"/>
          <w:szCs w:val="22"/>
        </w:rPr>
        <w:t xml:space="preserve"> </w:t>
      </w:r>
      <w:r w:rsidR="005C5826" w:rsidRPr="007F7EBF">
        <w:rPr>
          <w:sz w:val="22"/>
          <w:szCs w:val="22"/>
        </w:rPr>
        <w:t xml:space="preserve">soprattutto i contribuenti e chi li assiste, complicando le pratiche semplici, con costi fissi spesso del tutto sproporzionati. </w:t>
      </w:r>
      <w:r w:rsidR="00FD2C20">
        <w:rPr>
          <w:sz w:val="22"/>
          <w:szCs w:val="22"/>
        </w:rPr>
        <w:t xml:space="preserve">Questo induce </w:t>
      </w:r>
      <w:r w:rsidR="00FD2C20" w:rsidRPr="007F7EBF">
        <w:rPr>
          <w:sz w:val="22"/>
          <w:szCs w:val="22"/>
        </w:rPr>
        <w:t>gli uffici a trasferire ai giudici le decisioni complesse</w:t>
      </w:r>
      <w:r w:rsidR="00FD2C20">
        <w:rPr>
          <w:sz w:val="22"/>
          <w:szCs w:val="22"/>
        </w:rPr>
        <w:t xml:space="preserve"> e in ultima analisi li deresponsabilizza</w:t>
      </w:r>
      <w:r w:rsidR="00FD2C20" w:rsidRPr="007F7EBF">
        <w:rPr>
          <w:sz w:val="22"/>
          <w:szCs w:val="22"/>
        </w:rPr>
        <w:t>, trasformando il processo da eccezione a regola</w:t>
      </w:r>
      <w:r w:rsidR="00FD2C20">
        <w:rPr>
          <w:sz w:val="22"/>
          <w:szCs w:val="22"/>
        </w:rPr>
        <w:t>(</w:t>
      </w:r>
      <w:r w:rsidR="00FD2C20" w:rsidRPr="007F7EBF">
        <w:rPr>
          <w:rStyle w:val="Rimandonotaapidipagina"/>
          <w:sz w:val="22"/>
          <w:szCs w:val="22"/>
        </w:rPr>
        <w:footnoteReference w:id="879"/>
      </w:r>
      <w:r w:rsidR="00FD2C20">
        <w:rPr>
          <w:sz w:val="22"/>
          <w:szCs w:val="22"/>
        </w:rPr>
        <w:t xml:space="preserve">);  anche se le vittorie degli uffici aumentano, la gestione delle liti sottrae molte loro energie </w:t>
      </w:r>
      <w:r w:rsidR="00FD2C20" w:rsidRPr="007F7EBF">
        <w:rPr>
          <w:sz w:val="22"/>
          <w:szCs w:val="22"/>
        </w:rPr>
        <w:t>al controllo tributaristico del territorio</w:t>
      </w:r>
      <w:r w:rsidR="00FD2C20">
        <w:rPr>
          <w:sz w:val="22"/>
          <w:szCs w:val="22"/>
        </w:rPr>
        <w:t xml:space="preserve"> (p</w:t>
      </w:r>
      <w:r w:rsidR="00FD2C20" w:rsidRPr="007F7EBF">
        <w:rPr>
          <w:sz w:val="22"/>
          <w:szCs w:val="22"/>
        </w:rPr>
        <w:t>ar.5.7</w:t>
      </w:r>
      <w:r w:rsidR="00FD2C20">
        <w:rPr>
          <w:sz w:val="22"/>
          <w:szCs w:val="22"/>
        </w:rPr>
        <w:t>).</w:t>
      </w:r>
      <w:r w:rsidR="0094565F">
        <w:rPr>
          <w:sz w:val="22"/>
          <w:szCs w:val="22"/>
        </w:rPr>
        <w:t xml:space="preserve"> Inoltre, una volta che i controlli sono indirizzati nel modo confuso descritto ai parr.5.2 e 5.7, per la mancanza di spiegazioni scientifico sociali della funzione tributaria, il processo amplifica queste disfunzioni. Anzi, bisognerebbe chiedersi in quale misura l’assetto del processo, con le sue disfunzioni, si riflette all’indietro sulla funzione tributaria, indebolendola. </w:t>
      </w:r>
    </w:p>
    <w:p w14:paraId="390A3309" w14:textId="26CBB01C" w:rsidR="00745FDF" w:rsidRPr="007F7EBF" w:rsidRDefault="00FD2C20" w:rsidP="00745FDF">
      <w:pPr>
        <w:autoSpaceDE w:val="0"/>
        <w:autoSpaceDN w:val="0"/>
        <w:adjustRightInd w:val="0"/>
        <w:rPr>
          <w:sz w:val="22"/>
          <w:szCs w:val="22"/>
        </w:rPr>
      </w:pPr>
      <w:r>
        <w:rPr>
          <w:sz w:val="22"/>
          <w:szCs w:val="22"/>
        </w:rPr>
        <w:t xml:space="preserve">Viene da chiedersi provocatoriamente se non sia preferibile, davanti a questa somma di inefficienze, abolire </w:t>
      </w:r>
      <w:r w:rsidR="00A37A50">
        <w:rPr>
          <w:sz w:val="22"/>
          <w:szCs w:val="22"/>
        </w:rPr>
        <w:t>un</w:t>
      </w:r>
      <w:r w:rsidR="006342C5" w:rsidRPr="007F7EBF">
        <w:rPr>
          <w:sz w:val="22"/>
          <w:szCs w:val="22"/>
        </w:rPr>
        <w:t>a giurisdizione tributaria</w:t>
      </w:r>
      <w:r w:rsidR="00A37A50">
        <w:rPr>
          <w:sz w:val="22"/>
          <w:szCs w:val="22"/>
        </w:rPr>
        <w:t xml:space="preserve"> che oggettivamente deresponsabilizza la funzione impositiva, spingendo gli uffici a fare risultato di servizio passando la palla ai giudici, in uno </w:t>
      </w:r>
      <w:r w:rsidR="00A37A50">
        <w:rPr>
          <w:i/>
          <w:iCs/>
          <w:sz w:val="22"/>
          <w:szCs w:val="22"/>
        </w:rPr>
        <w:t xml:space="preserve">scaricabarile istituzionalizzato. </w:t>
      </w:r>
      <w:r w:rsidR="00A37A50">
        <w:rPr>
          <w:sz w:val="22"/>
          <w:szCs w:val="22"/>
        </w:rPr>
        <w:t xml:space="preserve">Esso avviene su organi giurisdizionali che hanno solo i lati negativi dell’indipendenza, rappresentati dalla imprevedibilità e della sbrigatività delle sentenze, come indicato al precedente paragrafo 6.8. Si dovrebbe invece concentrare la rideterminazione del tributo sul </w:t>
      </w:r>
      <w:r w:rsidR="00D97E00" w:rsidRPr="007F7EBF">
        <w:rPr>
          <w:sz w:val="22"/>
          <w:szCs w:val="22"/>
        </w:rPr>
        <w:t xml:space="preserve">contenzioso </w:t>
      </w:r>
      <w:r w:rsidR="00D97E00" w:rsidRPr="007F7EBF">
        <w:rPr>
          <w:bCs/>
          <w:sz w:val="22"/>
          <w:szCs w:val="22"/>
        </w:rPr>
        <w:t>amministrativ</w:t>
      </w:r>
      <w:r w:rsidR="00D97E00">
        <w:rPr>
          <w:bCs/>
          <w:sz w:val="22"/>
          <w:szCs w:val="22"/>
        </w:rPr>
        <w:t>o</w:t>
      </w:r>
      <w:r w:rsidR="004869FF">
        <w:rPr>
          <w:bCs/>
          <w:sz w:val="22"/>
          <w:szCs w:val="22"/>
        </w:rPr>
        <w:t>, meno indipenden</w:t>
      </w:r>
      <w:r w:rsidR="00A37A50">
        <w:rPr>
          <w:bCs/>
          <w:sz w:val="22"/>
          <w:szCs w:val="22"/>
        </w:rPr>
        <w:t>te</w:t>
      </w:r>
      <w:r w:rsidR="004869FF">
        <w:rPr>
          <w:bCs/>
          <w:sz w:val="22"/>
          <w:szCs w:val="22"/>
        </w:rPr>
        <w:t>, ma più compete</w:t>
      </w:r>
      <w:r w:rsidR="00A37A50">
        <w:rPr>
          <w:bCs/>
          <w:sz w:val="22"/>
          <w:szCs w:val="22"/>
        </w:rPr>
        <w:t xml:space="preserve">nte </w:t>
      </w:r>
      <w:r w:rsidR="00A37A50">
        <w:rPr>
          <w:rStyle w:val="Rimandonotaapidipagina"/>
          <w:bCs/>
          <w:sz w:val="22"/>
          <w:szCs w:val="22"/>
        </w:rPr>
        <w:footnoteReference w:id="880"/>
      </w:r>
      <w:r w:rsidR="004869FF">
        <w:rPr>
          <w:bCs/>
          <w:sz w:val="22"/>
          <w:szCs w:val="22"/>
        </w:rPr>
        <w:t>,</w:t>
      </w:r>
      <w:r w:rsidR="00085EB8">
        <w:rPr>
          <w:bCs/>
          <w:sz w:val="22"/>
          <w:szCs w:val="22"/>
        </w:rPr>
        <w:t xml:space="preserve"> controllandone i vizi in sede giurisdizionale, come per tutte le funzioni amministrative </w:t>
      </w:r>
      <w:r w:rsidR="00085EB8">
        <w:rPr>
          <w:sz w:val="22"/>
          <w:szCs w:val="22"/>
        </w:rPr>
        <w:t>(</w:t>
      </w:r>
      <w:r w:rsidR="00085EB8" w:rsidRPr="007F7EBF">
        <w:rPr>
          <w:rStyle w:val="Rimandonotaapidipagina"/>
          <w:sz w:val="22"/>
          <w:szCs w:val="22"/>
        </w:rPr>
        <w:footnoteReference w:id="881"/>
      </w:r>
      <w:r w:rsidR="00085EB8">
        <w:rPr>
          <w:sz w:val="22"/>
          <w:szCs w:val="22"/>
        </w:rPr>
        <w:t xml:space="preserve">). </w:t>
      </w:r>
    </w:p>
    <w:p w14:paraId="5754A26E" w14:textId="77777777" w:rsidR="00745FDF" w:rsidRPr="007F7EBF" w:rsidRDefault="00B06A7E" w:rsidP="00745FDF">
      <w:pPr>
        <w:pStyle w:val="tit23"/>
        <w:ind w:left="6464" w:right="-1361" w:firstLine="0"/>
        <w:jc w:val="left"/>
        <w:rPr>
          <w:bCs/>
          <w:i/>
          <w:iCs/>
          <w:color w:val="0000FF"/>
          <w:lang w:val="it-IT"/>
        </w:rPr>
      </w:pPr>
      <w:r w:rsidRPr="007F7EBF">
        <w:rPr>
          <w:bCs/>
          <w:i/>
          <w:iCs/>
          <w:color w:val="0000FF"/>
          <w:lang w:val="it-IT"/>
        </w:rPr>
        <w:t>Processare meno processare meglio</w:t>
      </w:r>
    </w:p>
    <w:p w14:paraId="64E83EB5" w14:textId="0E84870C" w:rsidR="00745FDF" w:rsidRPr="007F7EBF" w:rsidRDefault="00085EB8" w:rsidP="00506E7E">
      <w:pPr>
        <w:rPr>
          <w:sz w:val="22"/>
          <w:szCs w:val="22"/>
        </w:rPr>
      </w:pPr>
      <w:r>
        <w:rPr>
          <w:sz w:val="22"/>
          <w:szCs w:val="22"/>
        </w:rPr>
        <w:t>L</w:t>
      </w:r>
      <w:r w:rsidR="00D97E00">
        <w:rPr>
          <w:sz w:val="22"/>
          <w:szCs w:val="22"/>
        </w:rPr>
        <w:t xml:space="preserve">’intervento del giudice non può </w:t>
      </w:r>
      <w:r>
        <w:rPr>
          <w:sz w:val="22"/>
          <w:szCs w:val="22"/>
        </w:rPr>
        <w:t xml:space="preserve">cioè </w:t>
      </w:r>
      <w:r w:rsidR="00D97E00">
        <w:rPr>
          <w:sz w:val="22"/>
          <w:szCs w:val="22"/>
        </w:rPr>
        <w:t>essere sostitutivo degli</w:t>
      </w:r>
      <w:r w:rsidR="00377BA7">
        <w:rPr>
          <w:sz w:val="22"/>
          <w:szCs w:val="22"/>
        </w:rPr>
        <w:t xml:space="preserve"> uffici tributari,</w:t>
      </w:r>
      <w:r w:rsidR="005B0B2E">
        <w:rPr>
          <w:sz w:val="22"/>
          <w:szCs w:val="22"/>
        </w:rPr>
        <w:t xml:space="preserve"> istituzional</w:t>
      </w:r>
      <w:r w:rsidR="00377BA7">
        <w:rPr>
          <w:sz w:val="22"/>
          <w:szCs w:val="22"/>
        </w:rPr>
        <w:t>ment</w:t>
      </w:r>
      <w:r w:rsidR="005B0B2E">
        <w:rPr>
          <w:sz w:val="22"/>
          <w:szCs w:val="22"/>
        </w:rPr>
        <w:t xml:space="preserve">e </w:t>
      </w:r>
      <w:r w:rsidR="00377BA7">
        <w:rPr>
          <w:sz w:val="22"/>
          <w:szCs w:val="22"/>
        </w:rPr>
        <w:t>preposti a determinare le</w:t>
      </w:r>
      <w:r w:rsidR="00D97E00">
        <w:rPr>
          <w:sz w:val="22"/>
          <w:szCs w:val="22"/>
        </w:rPr>
        <w:t xml:space="preserve"> imposte; il processo tributario </w:t>
      </w:r>
      <w:r w:rsidR="004869FF">
        <w:rPr>
          <w:sz w:val="22"/>
          <w:szCs w:val="22"/>
        </w:rPr>
        <w:t xml:space="preserve">va cioè riferito non tanto alla </w:t>
      </w:r>
      <w:r w:rsidR="005D44F1">
        <w:rPr>
          <w:sz w:val="22"/>
          <w:szCs w:val="22"/>
        </w:rPr>
        <w:t>determinazione dell’imposta</w:t>
      </w:r>
      <w:r w:rsidR="004869FF">
        <w:rPr>
          <w:sz w:val="22"/>
          <w:szCs w:val="22"/>
        </w:rPr>
        <w:t xml:space="preserve"> come tale, ma all’individuazione di vizi in come essa è stata determinata dall’ufficio che vi è preposto</w:t>
      </w:r>
      <w:r w:rsidR="008747BA">
        <w:rPr>
          <w:sz w:val="22"/>
          <w:szCs w:val="22"/>
        </w:rPr>
        <w:t xml:space="preserve">; </w:t>
      </w:r>
      <w:r w:rsidR="005D44F1">
        <w:rPr>
          <w:sz w:val="22"/>
          <w:szCs w:val="22"/>
        </w:rPr>
        <w:t xml:space="preserve">il vero “oggetto del </w:t>
      </w:r>
      <w:r w:rsidR="008747BA">
        <w:rPr>
          <w:sz w:val="22"/>
          <w:szCs w:val="22"/>
        </w:rPr>
        <w:t xml:space="preserve">processo </w:t>
      </w:r>
      <w:r w:rsidR="005D44F1">
        <w:rPr>
          <w:sz w:val="22"/>
          <w:szCs w:val="22"/>
        </w:rPr>
        <w:t xml:space="preserve">tributario” </w:t>
      </w:r>
      <w:r w:rsidR="005D44F1">
        <w:rPr>
          <w:sz w:val="22"/>
          <w:szCs w:val="22"/>
        </w:rPr>
        <w:lastRenderedPageBreak/>
        <w:t xml:space="preserve">non è quindi </w:t>
      </w:r>
      <w:r w:rsidR="005B0B2E">
        <w:rPr>
          <w:sz w:val="22"/>
          <w:szCs w:val="22"/>
        </w:rPr>
        <w:t xml:space="preserve">l’imposta, ma </w:t>
      </w:r>
      <w:r w:rsidR="005D44F1">
        <w:rPr>
          <w:sz w:val="22"/>
          <w:szCs w:val="22"/>
        </w:rPr>
        <w:t>vizi della sua determinazione,</w:t>
      </w:r>
      <w:r w:rsidR="00E91D71">
        <w:rPr>
          <w:sz w:val="22"/>
          <w:szCs w:val="22"/>
        </w:rPr>
        <w:t xml:space="preserve"> </w:t>
      </w:r>
      <w:r w:rsidR="007A01FD">
        <w:rPr>
          <w:sz w:val="22"/>
          <w:szCs w:val="22"/>
        </w:rPr>
        <w:t>nell’ottica</w:t>
      </w:r>
      <w:r w:rsidR="00B9007D">
        <w:rPr>
          <w:sz w:val="22"/>
          <w:szCs w:val="22"/>
        </w:rPr>
        <w:t xml:space="preserve"> “</w:t>
      </w:r>
      <w:r w:rsidR="00E91D71">
        <w:rPr>
          <w:sz w:val="22"/>
          <w:szCs w:val="22"/>
        </w:rPr>
        <w:t>conformativa</w:t>
      </w:r>
      <w:r w:rsidR="00220A19">
        <w:rPr>
          <w:sz w:val="22"/>
          <w:szCs w:val="22"/>
        </w:rPr>
        <w:t>”</w:t>
      </w:r>
      <w:r w:rsidR="007A01FD">
        <w:rPr>
          <w:sz w:val="22"/>
          <w:szCs w:val="22"/>
        </w:rPr>
        <w:t xml:space="preserve"> della giurisdizione amministrativa</w:t>
      </w:r>
      <w:r w:rsidR="00904356">
        <w:t xml:space="preserve">. </w:t>
      </w:r>
      <w:r w:rsidR="004869FF">
        <w:rPr>
          <w:sz w:val="22"/>
          <w:szCs w:val="22"/>
        </w:rPr>
        <w:t xml:space="preserve">Sarebbe un modo per </w:t>
      </w:r>
      <w:r w:rsidR="00E82DDF">
        <w:rPr>
          <w:sz w:val="22"/>
          <w:szCs w:val="22"/>
        </w:rPr>
        <w:t xml:space="preserve"> </w:t>
      </w:r>
      <w:r w:rsidR="008F3313" w:rsidRPr="007F7EBF">
        <w:rPr>
          <w:sz w:val="22"/>
          <w:szCs w:val="22"/>
        </w:rPr>
        <w:t>"processare meno processare meglio"</w:t>
      </w:r>
      <w:r w:rsidR="008F3313">
        <w:rPr>
          <w:sz w:val="22"/>
          <w:szCs w:val="22"/>
        </w:rPr>
        <w:t>(</w:t>
      </w:r>
      <w:r w:rsidR="008F3313" w:rsidRPr="007F7EBF">
        <w:rPr>
          <w:rStyle w:val="Rimandonotaapidipagina"/>
          <w:sz w:val="22"/>
          <w:szCs w:val="22"/>
        </w:rPr>
        <w:footnoteReference w:id="882"/>
      </w:r>
      <w:r w:rsidR="008F3313">
        <w:rPr>
          <w:sz w:val="22"/>
          <w:szCs w:val="22"/>
        </w:rPr>
        <w:t xml:space="preserve">), </w:t>
      </w:r>
      <w:r>
        <w:rPr>
          <w:sz w:val="22"/>
          <w:szCs w:val="22"/>
        </w:rPr>
        <w:t xml:space="preserve">facendo diventare tutto sommato secondario individuare “il giudice” (commissioni tributarie attuali, giudice civile, amministrativo o altro) una volta stabilitone il compito. </w:t>
      </w:r>
      <w:r w:rsidR="00FF4DC9" w:rsidRPr="00FF4DC9">
        <w:t xml:space="preserve"> </w:t>
      </w:r>
    </w:p>
    <w:p w14:paraId="3CBAA369" w14:textId="5CFA3BA9" w:rsidR="00745FDF" w:rsidRPr="007F7EBF" w:rsidRDefault="00D32D80" w:rsidP="00745FDF">
      <w:pPr>
        <w:pStyle w:val="tit23"/>
        <w:ind w:left="6464" w:right="-1361" w:firstLine="0"/>
        <w:jc w:val="left"/>
        <w:rPr>
          <w:bCs/>
          <w:i/>
          <w:iCs/>
          <w:color w:val="0000FF"/>
          <w:lang w:val="it-IT"/>
        </w:rPr>
      </w:pPr>
      <w:r>
        <w:rPr>
          <w:bCs/>
          <w:i/>
          <w:iCs/>
          <w:color w:val="0000FF"/>
          <w:lang w:val="it-IT"/>
        </w:rPr>
        <w:t>Tipologie di controversie e rilancio del contenzioso amministrativo</w:t>
      </w:r>
    </w:p>
    <w:p w14:paraId="4657AAF4" w14:textId="07F0641B" w:rsidR="00A052BF" w:rsidRPr="007F7EBF" w:rsidRDefault="00D11FE2" w:rsidP="00D11FE2">
      <w:pPr>
        <w:autoSpaceDE w:val="0"/>
        <w:autoSpaceDN w:val="0"/>
        <w:adjustRightInd w:val="0"/>
        <w:rPr>
          <w:bCs/>
          <w:i/>
          <w:iCs/>
          <w:color w:val="0000FF"/>
        </w:rPr>
      </w:pPr>
      <w:r>
        <w:rPr>
          <w:sz w:val="22"/>
          <w:szCs w:val="22"/>
        </w:rPr>
        <w:t xml:space="preserve">Per le </w:t>
      </w:r>
      <w:r w:rsidR="00D85C41" w:rsidRPr="007F7EBF">
        <w:rPr>
          <w:sz w:val="22"/>
          <w:szCs w:val="22"/>
        </w:rPr>
        <w:t xml:space="preserve">controversie </w:t>
      </w:r>
      <w:r>
        <w:rPr>
          <w:sz w:val="22"/>
          <w:szCs w:val="22"/>
        </w:rPr>
        <w:t xml:space="preserve">“liquidatorie”, </w:t>
      </w:r>
      <w:r w:rsidR="00D85C41" w:rsidRPr="007F7EBF">
        <w:rPr>
          <w:sz w:val="22"/>
          <w:szCs w:val="22"/>
        </w:rPr>
        <w:t xml:space="preserve">indicate sopra, </w:t>
      </w:r>
      <w:r w:rsidR="00123898">
        <w:rPr>
          <w:sz w:val="22"/>
          <w:szCs w:val="22"/>
        </w:rPr>
        <w:t xml:space="preserve">spesso generate dall’intreccio tra </w:t>
      </w:r>
      <w:r w:rsidR="00F82A49">
        <w:rPr>
          <w:sz w:val="22"/>
          <w:szCs w:val="22"/>
        </w:rPr>
        <w:t xml:space="preserve">determinazione ragionieristica </w:t>
      </w:r>
      <w:r w:rsidR="00123898">
        <w:rPr>
          <w:sz w:val="22"/>
          <w:szCs w:val="22"/>
        </w:rPr>
        <w:t>“di massa” e procedure informatiche dell’Agenzia delle entrate</w:t>
      </w:r>
      <w:r>
        <w:rPr>
          <w:sz w:val="22"/>
          <w:szCs w:val="22"/>
        </w:rPr>
        <w:t xml:space="preserve"> (par.5.5)</w:t>
      </w:r>
      <w:r w:rsidR="00123898">
        <w:rPr>
          <w:sz w:val="22"/>
          <w:szCs w:val="22"/>
        </w:rPr>
        <w:t xml:space="preserve">, il contenzioso amministrativo è </w:t>
      </w:r>
      <w:r>
        <w:rPr>
          <w:sz w:val="22"/>
          <w:szCs w:val="22"/>
        </w:rPr>
        <w:t xml:space="preserve">il </w:t>
      </w:r>
      <w:r w:rsidR="00123898">
        <w:rPr>
          <w:sz w:val="22"/>
          <w:szCs w:val="22"/>
        </w:rPr>
        <w:t>più adatt</w:t>
      </w:r>
      <w:r>
        <w:rPr>
          <w:sz w:val="22"/>
          <w:szCs w:val="22"/>
        </w:rPr>
        <w:t>o a</w:t>
      </w:r>
      <w:r w:rsidR="00123898">
        <w:rPr>
          <w:sz w:val="22"/>
          <w:szCs w:val="22"/>
        </w:rPr>
        <w:t xml:space="preserve"> gestire </w:t>
      </w:r>
      <w:r w:rsidR="00046F34">
        <w:rPr>
          <w:sz w:val="22"/>
          <w:szCs w:val="22"/>
        </w:rPr>
        <w:t>sfasamenti legislativamente imprevedibili</w:t>
      </w:r>
      <w:r w:rsidRPr="00D11FE2">
        <w:rPr>
          <w:sz w:val="22"/>
          <w:szCs w:val="22"/>
        </w:rPr>
        <w:t xml:space="preserve"> </w:t>
      </w:r>
      <w:r>
        <w:rPr>
          <w:sz w:val="22"/>
          <w:szCs w:val="22"/>
        </w:rPr>
        <w:t>(</w:t>
      </w:r>
      <w:r>
        <w:rPr>
          <w:rStyle w:val="Rimandonotaapidipagina"/>
          <w:sz w:val="22"/>
          <w:szCs w:val="22"/>
        </w:rPr>
        <w:footnoteReference w:id="883"/>
      </w:r>
      <w:r>
        <w:rPr>
          <w:sz w:val="22"/>
          <w:szCs w:val="22"/>
        </w:rPr>
        <w:t>)</w:t>
      </w:r>
      <w:r w:rsidR="004A2C3A">
        <w:t xml:space="preserve">. </w:t>
      </w:r>
      <w:r w:rsidR="00046F34">
        <w:t>O</w:t>
      </w:r>
      <w:r w:rsidR="005C2679">
        <w:t>rgan</w:t>
      </w:r>
      <w:r w:rsidR="00046F34">
        <w:t>i</w:t>
      </w:r>
      <w:r w:rsidR="005C2679">
        <w:t xml:space="preserve"> amministrativ</w:t>
      </w:r>
      <w:r w:rsidR="00046F34">
        <w:t>i</w:t>
      </w:r>
      <w:r w:rsidR="005C2679">
        <w:t xml:space="preserve"> di riesame “vicin</w:t>
      </w:r>
      <w:r w:rsidR="00046F34">
        <w:t>i</w:t>
      </w:r>
      <w:r w:rsidR="005C2679">
        <w:t>” a quell</w:t>
      </w:r>
      <w:r w:rsidR="00046F34">
        <w:t>i</w:t>
      </w:r>
      <w:r w:rsidR="005C2679">
        <w:t xml:space="preserve"> adibit</w:t>
      </w:r>
      <w:r w:rsidR="00046F34">
        <w:t>i</w:t>
      </w:r>
      <w:r w:rsidR="005C2679">
        <w:t xml:space="preserve"> alla lavorazione delle dichiarazioni, </w:t>
      </w:r>
      <w:r w:rsidR="001945AB">
        <w:t xml:space="preserve">potrebbero </w:t>
      </w:r>
      <w:r w:rsidR="005C2679">
        <w:t>condividere la soluzione</w:t>
      </w:r>
      <w:r w:rsidR="001945AB">
        <w:t xml:space="preserve"> anche con </w:t>
      </w:r>
      <w:r w:rsidR="005C2679">
        <w:t>chi assiste il contribuente (</w:t>
      </w:r>
      <w:r>
        <w:rPr>
          <w:rStyle w:val="Rimandonotaapidipagina"/>
        </w:rPr>
        <w:footnoteReference w:id="884"/>
      </w:r>
      <w:r w:rsidR="005C2679">
        <w:t>).</w:t>
      </w:r>
      <w:r>
        <w:t xml:space="preserve"> </w:t>
      </w:r>
      <w:r w:rsidR="00DF1CC2" w:rsidRPr="00CC6F50">
        <w:rPr>
          <w:sz w:val="22"/>
          <w:szCs w:val="22"/>
        </w:rPr>
        <w:t>Lo stesso vale per le stim</w:t>
      </w:r>
      <w:r w:rsidR="00CC6F50">
        <w:rPr>
          <w:sz w:val="22"/>
          <w:szCs w:val="22"/>
        </w:rPr>
        <w:t>e</w:t>
      </w:r>
      <w:r w:rsidR="00DF1CC2" w:rsidRPr="00CC6F50">
        <w:rPr>
          <w:sz w:val="22"/>
          <w:szCs w:val="22"/>
        </w:rPr>
        <w:t xml:space="preserve"> </w:t>
      </w:r>
      <w:r w:rsidR="00123898" w:rsidRPr="00CC6F50">
        <w:rPr>
          <w:sz w:val="22"/>
          <w:szCs w:val="22"/>
        </w:rPr>
        <w:t>sulla credibilità del dichiarato</w:t>
      </w:r>
      <w:r w:rsidR="00DF1CC2" w:rsidRPr="00CC6F50">
        <w:rPr>
          <w:sz w:val="22"/>
          <w:szCs w:val="22"/>
        </w:rPr>
        <w:t xml:space="preserve"> </w:t>
      </w:r>
      <w:r w:rsidR="00123898" w:rsidRPr="00CC6F50">
        <w:rPr>
          <w:sz w:val="22"/>
          <w:szCs w:val="22"/>
        </w:rPr>
        <w:t>(</w:t>
      </w:r>
      <w:r w:rsidR="00123898" w:rsidRPr="00CC6F50">
        <w:rPr>
          <w:rStyle w:val="Rimandonotaapidipagina"/>
          <w:sz w:val="22"/>
          <w:szCs w:val="22"/>
        </w:rPr>
        <w:footnoteReference w:id="885"/>
      </w:r>
      <w:r w:rsidR="00123898" w:rsidRPr="00CC6F50">
        <w:rPr>
          <w:sz w:val="22"/>
          <w:szCs w:val="22"/>
        </w:rPr>
        <w:t>)</w:t>
      </w:r>
      <w:r w:rsidR="00CC6F50">
        <w:rPr>
          <w:sz w:val="22"/>
          <w:szCs w:val="22"/>
        </w:rPr>
        <w:t xml:space="preserve">, che </w:t>
      </w:r>
      <w:r w:rsidR="00CC6F50" w:rsidRPr="007F7EBF">
        <w:t xml:space="preserve">dovrebbero diventare in prospettiva più </w:t>
      </w:r>
      <w:r w:rsidR="00CC6F50">
        <w:t xml:space="preserve">frequenti </w:t>
      </w:r>
      <w:r w:rsidR="00CC6F50" w:rsidRPr="007F7EBF">
        <w:t xml:space="preserve">per </w:t>
      </w:r>
      <w:r w:rsidR="005631FA">
        <w:t xml:space="preserve">il monitoraggio valutativo </w:t>
      </w:r>
      <w:r w:rsidR="00CC6F50" w:rsidRPr="007F7EBF">
        <w:t>della ricchezza non determinata attraverso le aziende</w:t>
      </w:r>
      <w:r w:rsidR="005631FA">
        <w:t xml:space="preserve"> (par.5.7)</w:t>
      </w:r>
      <w:r w:rsidR="00CC6F50" w:rsidRPr="007F7EBF">
        <w:t>.</w:t>
      </w:r>
      <w:r w:rsidR="00C679D0">
        <w:t xml:space="preserve"> Anche qui trasferire sistematicamente sul giudice i molteplici sfuggenti profili della </w:t>
      </w:r>
      <w:r w:rsidR="00C679D0">
        <w:lastRenderedPageBreak/>
        <w:t xml:space="preserve">stima è oggettivamente antieconomico, in quanto </w:t>
      </w:r>
      <w:r w:rsidR="005631FA">
        <w:t>lo costringe a</w:t>
      </w:r>
      <w:r w:rsidR="00C679D0">
        <w:t xml:space="preserve"> ripartire da zero, vanificando </w:t>
      </w:r>
      <w:r w:rsidR="005631FA">
        <w:t>le</w:t>
      </w:r>
      <w:r w:rsidR="00C679D0">
        <w:t xml:space="preserve"> precedent</w:t>
      </w:r>
      <w:r w:rsidR="005631FA">
        <w:t>i</w:t>
      </w:r>
      <w:r w:rsidR="00C679D0">
        <w:t xml:space="preserve"> </w:t>
      </w:r>
      <w:r w:rsidR="005631FA">
        <w:t xml:space="preserve">interlocuzioni amministrative, </w:t>
      </w:r>
      <w:r w:rsidR="00C679D0">
        <w:t xml:space="preserve">casomai </w:t>
      </w:r>
      <w:r w:rsidR="005631FA">
        <w:t xml:space="preserve">da </w:t>
      </w:r>
      <w:r w:rsidR="00C679D0">
        <w:t>corre</w:t>
      </w:r>
      <w:r w:rsidR="005631FA">
        <w:t>ggere</w:t>
      </w:r>
      <w:r w:rsidR="00C679D0">
        <w:t xml:space="preserve"> e precisa</w:t>
      </w:r>
      <w:r w:rsidR="005631FA">
        <w:t>re</w:t>
      </w:r>
      <w:r w:rsidR="00C679D0">
        <w:t xml:space="preserve">, valorizzando il contributo di chi </w:t>
      </w:r>
      <w:r w:rsidR="005631FA">
        <w:t xml:space="preserve">vi ha partecipato </w:t>
      </w:r>
      <w:r w:rsidR="00C679D0">
        <w:rPr>
          <w:sz w:val="22"/>
          <w:szCs w:val="22"/>
        </w:rPr>
        <w:t>(</w:t>
      </w:r>
      <w:r w:rsidR="00C679D0" w:rsidRPr="007F7EBF">
        <w:rPr>
          <w:rStyle w:val="Rimandonotaapidipagina"/>
          <w:sz w:val="22"/>
          <w:szCs w:val="22"/>
        </w:rPr>
        <w:footnoteReference w:id="886"/>
      </w:r>
      <w:r w:rsidR="00C679D0">
        <w:rPr>
          <w:sz w:val="22"/>
          <w:szCs w:val="22"/>
        </w:rPr>
        <w:t>)</w:t>
      </w:r>
      <w:r w:rsidR="008F671A">
        <w:rPr>
          <w:sz w:val="22"/>
          <w:szCs w:val="22"/>
        </w:rPr>
        <w:t xml:space="preserve">. </w:t>
      </w:r>
      <w:r w:rsidR="005631FA">
        <w:rPr>
          <w:sz w:val="22"/>
          <w:szCs w:val="22"/>
        </w:rPr>
        <w:t xml:space="preserve"> Le questioni che al giudice si addicono di più sono quelle di diritto, ben inquadrate, su cui fisco e contribuente hanno posizioni di principio diverse; tali questioni tuttavia dovrebbero essere più rare, vista la loro modesta incidenza quantitativa sull’evasione fiscale, indicata al par.</w:t>
      </w:r>
      <w:r w:rsidR="00361BCC">
        <w:rPr>
          <w:sz w:val="22"/>
          <w:szCs w:val="22"/>
        </w:rPr>
        <w:t>1.6</w:t>
      </w:r>
      <w:r w:rsidR="005631FA">
        <w:rPr>
          <w:sz w:val="22"/>
          <w:szCs w:val="22"/>
        </w:rPr>
        <w:t xml:space="preserve">. </w:t>
      </w:r>
    </w:p>
    <w:p w14:paraId="2C463A7E" w14:textId="37D8787B" w:rsidR="00860F19" w:rsidRPr="007F7EBF" w:rsidRDefault="008F671A" w:rsidP="00860F19">
      <w:pPr>
        <w:autoSpaceDE w:val="0"/>
        <w:autoSpaceDN w:val="0"/>
        <w:adjustRightInd w:val="0"/>
        <w:rPr>
          <w:sz w:val="22"/>
          <w:szCs w:val="22"/>
        </w:rPr>
      </w:pPr>
      <w:r>
        <w:rPr>
          <w:sz w:val="22"/>
          <w:szCs w:val="22"/>
        </w:rPr>
        <w:t xml:space="preserve">Il contenzioso </w:t>
      </w:r>
      <w:r w:rsidR="00D11FE2">
        <w:rPr>
          <w:sz w:val="22"/>
          <w:szCs w:val="22"/>
        </w:rPr>
        <w:t>amministrativo suddetto, tradizionale n</w:t>
      </w:r>
      <w:r>
        <w:rPr>
          <w:sz w:val="22"/>
          <w:szCs w:val="22"/>
        </w:rPr>
        <w:t>ella funzione tributaria</w:t>
      </w:r>
      <w:r w:rsidR="00D11FE2">
        <w:rPr>
          <w:sz w:val="22"/>
          <w:szCs w:val="22"/>
        </w:rPr>
        <w:t>,</w:t>
      </w:r>
      <w:r>
        <w:rPr>
          <w:sz w:val="22"/>
          <w:szCs w:val="22"/>
        </w:rPr>
        <w:t xml:space="preserve"> andrebbe gestito da organi collegati a</w:t>
      </w:r>
      <w:r w:rsidR="00306496" w:rsidRPr="007F7EBF">
        <w:rPr>
          <w:sz w:val="22"/>
          <w:szCs w:val="22"/>
        </w:rPr>
        <w:t xml:space="preserve">gli uffici tributari, per mantenere il controllo degli argomenti, </w:t>
      </w:r>
      <w:r>
        <w:rPr>
          <w:sz w:val="22"/>
          <w:szCs w:val="22"/>
        </w:rPr>
        <w:t xml:space="preserve">ma parzialmente terzi, per </w:t>
      </w:r>
      <w:r w:rsidR="00306496" w:rsidRPr="007F7EBF">
        <w:rPr>
          <w:sz w:val="22"/>
          <w:szCs w:val="22"/>
        </w:rPr>
        <w:t>condividere responsabilità</w:t>
      </w:r>
      <w:r w:rsidR="006A0C73">
        <w:rPr>
          <w:sz w:val="22"/>
          <w:szCs w:val="22"/>
        </w:rPr>
        <w:t xml:space="preserve"> </w:t>
      </w:r>
      <w:r w:rsidR="00306496">
        <w:rPr>
          <w:sz w:val="22"/>
          <w:szCs w:val="22"/>
        </w:rPr>
        <w:t>(</w:t>
      </w:r>
      <w:r w:rsidR="00306496" w:rsidRPr="007F7EBF">
        <w:rPr>
          <w:rStyle w:val="Rimandonotaapidipagina"/>
          <w:sz w:val="22"/>
          <w:szCs w:val="22"/>
        </w:rPr>
        <w:footnoteReference w:id="887"/>
      </w:r>
      <w:r w:rsidR="00306496">
        <w:rPr>
          <w:sz w:val="22"/>
          <w:szCs w:val="22"/>
        </w:rPr>
        <w:t xml:space="preserve">) </w:t>
      </w:r>
      <w:r w:rsidR="00306496" w:rsidRPr="007F7EBF">
        <w:rPr>
          <w:sz w:val="22"/>
          <w:szCs w:val="22"/>
        </w:rPr>
        <w:t>e prevenire abusi</w:t>
      </w:r>
      <w:r w:rsidR="005631FA">
        <w:rPr>
          <w:sz w:val="22"/>
          <w:szCs w:val="22"/>
        </w:rPr>
        <w:t xml:space="preserve"> </w:t>
      </w:r>
      <w:r w:rsidR="00306496">
        <w:rPr>
          <w:sz w:val="22"/>
          <w:szCs w:val="22"/>
        </w:rPr>
        <w:t>(</w:t>
      </w:r>
      <w:r w:rsidR="00306496" w:rsidRPr="007F7EBF">
        <w:rPr>
          <w:rStyle w:val="Rimandonotaapidipagina"/>
          <w:sz w:val="22"/>
          <w:szCs w:val="22"/>
        </w:rPr>
        <w:footnoteReference w:id="888"/>
      </w:r>
      <w:r w:rsidR="00306496">
        <w:rPr>
          <w:sz w:val="22"/>
          <w:szCs w:val="22"/>
        </w:rPr>
        <w:t>); r</w:t>
      </w:r>
      <w:r w:rsidR="00306496" w:rsidRPr="007F7EBF">
        <w:rPr>
          <w:sz w:val="22"/>
          <w:szCs w:val="22"/>
        </w:rPr>
        <w:t>ichiamiamo la possibilità, già indicata al par.6.5, di integrare questi organi di contenzioso amministrativo con rappresentanti dei contribuenti o con soggetti nominati da organi terzi, come la magistratura</w:t>
      </w:r>
      <w:r w:rsidR="00530F8F">
        <w:rPr>
          <w:sz w:val="22"/>
          <w:szCs w:val="22"/>
        </w:rPr>
        <w:t xml:space="preserve"> </w:t>
      </w:r>
      <w:r w:rsidR="00306496">
        <w:rPr>
          <w:sz w:val="22"/>
          <w:szCs w:val="22"/>
        </w:rPr>
        <w:t>(</w:t>
      </w:r>
      <w:r w:rsidR="00306496" w:rsidRPr="007F7EBF">
        <w:rPr>
          <w:rStyle w:val="Rimandonotaapidipagina"/>
          <w:sz w:val="22"/>
          <w:szCs w:val="22"/>
        </w:rPr>
        <w:footnoteReference w:id="889"/>
      </w:r>
      <w:r w:rsidR="00306496">
        <w:rPr>
          <w:sz w:val="22"/>
          <w:szCs w:val="22"/>
        </w:rPr>
        <w:t>)</w:t>
      </w:r>
      <w:r w:rsidR="00306496" w:rsidRPr="007F7EBF">
        <w:rPr>
          <w:sz w:val="22"/>
          <w:szCs w:val="22"/>
        </w:rPr>
        <w:t xml:space="preserve">.  </w:t>
      </w:r>
      <w:r w:rsidR="00306496">
        <w:rPr>
          <w:sz w:val="22"/>
          <w:szCs w:val="22"/>
        </w:rPr>
        <w:t xml:space="preserve">Essendo </w:t>
      </w:r>
      <w:r w:rsidR="00306496" w:rsidRPr="007F7EBF">
        <w:rPr>
          <w:sz w:val="22"/>
          <w:szCs w:val="22"/>
        </w:rPr>
        <w:t>organi di "amministrazione attiva", sia pure "di secondo grado"</w:t>
      </w:r>
      <w:r w:rsidR="00306496">
        <w:rPr>
          <w:sz w:val="22"/>
          <w:szCs w:val="22"/>
        </w:rPr>
        <w:t xml:space="preserve">, in quanto </w:t>
      </w:r>
      <w:r w:rsidR="00306496" w:rsidRPr="00887712">
        <w:rPr>
          <w:i/>
          <w:sz w:val="22"/>
          <w:szCs w:val="22"/>
        </w:rPr>
        <w:t>contenziosi</w:t>
      </w:r>
      <w:r w:rsidR="00306496">
        <w:rPr>
          <w:sz w:val="22"/>
          <w:szCs w:val="22"/>
        </w:rPr>
        <w:t xml:space="preserve">, </w:t>
      </w:r>
      <w:r w:rsidR="00BF0289">
        <w:rPr>
          <w:sz w:val="22"/>
          <w:szCs w:val="22"/>
        </w:rPr>
        <w:t xml:space="preserve">rideterminerebbero le imposte, </w:t>
      </w:r>
      <w:proofErr w:type="spellStart"/>
      <w:r w:rsidR="00BF0289">
        <w:rPr>
          <w:sz w:val="22"/>
          <w:szCs w:val="22"/>
        </w:rPr>
        <w:t>sostituendosi,</w:t>
      </w:r>
      <w:r w:rsidR="00306496" w:rsidRPr="007F7EBF">
        <w:rPr>
          <w:sz w:val="22"/>
          <w:szCs w:val="22"/>
        </w:rPr>
        <w:t>"in</w:t>
      </w:r>
      <w:proofErr w:type="spellEnd"/>
      <w:r w:rsidR="00306496" w:rsidRPr="007F7EBF">
        <w:rPr>
          <w:sz w:val="22"/>
          <w:szCs w:val="22"/>
        </w:rPr>
        <w:t xml:space="preserve"> automatico", alle precedenti determinazioni </w:t>
      </w:r>
      <w:r w:rsidR="00306496">
        <w:rPr>
          <w:sz w:val="22"/>
          <w:szCs w:val="22"/>
        </w:rPr>
        <w:t>degli uffici (</w:t>
      </w:r>
      <w:r w:rsidR="00306496" w:rsidRPr="007F7EBF">
        <w:rPr>
          <w:rStyle w:val="Rimandonotaapidipagina"/>
          <w:sz w:val="22"/>
          <w:szCs w:val="22"/>
        </w:rPr>
        <w:footnoteReference w:id="890"/>
      </w:r>
      <w:r w:rsidR="00306496">
        <w:rPr>
          <w:sz w:val="22"/>
          <w:szCs w:val="22"/>
        </w:rPr>
        <w:t>)</w:t>
      </w:r>
      <w:r w:rsidR="00306496" w:rsidRPr="007F7EBF">
        <w:rPr>
          <w:sz w:val="22"/>
          <w:szCs w:val="22"/>
        </w:rPr>
        <w:t xml:space="preserve">.  </w:t>
      </w:r>
    </w:p>
    <w:p w14:paraId="1D3EC42D" w14:textId="77777777" w:rsidR="00860F19" w:rsidRPr="007F7EBF" w:rsidRDefault="00EC2869" w:rsidP="00860F19">
      <w:pPr>
        <w:pStyle w:val="tit23"/>
        <w:ind w:left="6464" w:right="-1361" w:firstLine="0"/>
        <w:jc w:val="left"/>
        <w:rPr>
          <w:bCs/>
          <w:i/>
          <w:iCs/>
          <w:color w:val="0000FF"/>
          <w:lang w:val="it-IT"/>
        </w:rPr>
      </w:pPr>
      <w:r w:rsidRPr="007F7EBF">
        <w:rPr>
          <w:bCs/>
          <w:i/>
          <w:iCs/>
          <w:color w:val="0000FF"/>
          <w:lang w:val="it-IT"/>
        </w:rPr>
        <w:t xml:space="preserve">Ipotesi di </w:t>
      </w:r>
      <w:r w:rsidR="00860F19" w:rsidRPr="007F7EBF">
        <w:rPr>
          <w:bCs/>
          <w:i/>
          <w:iCs/>
          <w:color w:val="0000FF"/>
          <w:lang w:val="it-IT"/>
        </w:rPr>
        <w:t xml:space="preserve"> giurisdizione “non sostitutiva” sul modello amministrativo</w:t>
      </w:r>
    </w:p>
    <w:p w14:paraId="1C37DB23" w14:textId="295ABE10" w:rsidR="001716BD" w:rsidRPr="00677F92" w:rsidRDefault="00F633CA" w:rsidP="003B1B15">
      <w:pPr>
        <w:autoSpaceDE w:val="0"/>
        <w:autoSpaceDN w:val="0"/>
        <w:adjustRightInd w:val="0"/>
        <w:rPr>
          <w:sz w:val="22"/>
          <w:szCs w:val="22"/>
        </w:rPr>
      </w:pPr>
      <w:r>
        <w:rPr>
          <w:sz w:val="22"/>
          <w:szCs w:val="22"/>
        </w:rPr>
        <w:t>In questo modo</w:t>
      </w:r>
      <w:r w:rsidR="00D11FE2">
        <w:rPr>
          <w:sz w:val="22"/>
          <w:szCs w:val="22"/>
        </w:rPr>
        <w:t xml:space="preserve"> </w:t>
      </w:r>
      <w:r w:rsidR="006B5D7B">
        <w:rPr>
          <w:sz w:val="22"/>
          <w:szCs w:val="22"/>
        </w:rPr>
        <w:t>alleggerita</w:t>
      </w:r>
      <w:r>
        <w:rPr>
          <w:sz w:val="22"/>
          <w:szCs w:val="22"/>
        </w:rPr>
        <w:t>,</w:t>
      </w:r>
      <w:r w:rsidR="00D11FE2">
        <w:rPr>
          <w:sz w:val="22"/>
          <w:szCs w:val="22"/>
        </w:rPr>
        <w:t xml:space="preserve"> </w:t>
      </w:r>
      <w:r w:rsidR="00A128BD" w:rsidRPr="00633B9E">
        <w:rPr>
          <w:sz w:val="22"/>
          <w:szCs w:val="22"/>
        </w:rPr>
        <w:t xml:space="preserve">la giurisdizione </w:t>
      </w:r>
      <w:r w:rsidR="00736ABE" w:rsidRPr="00633B9E">
        <w:rPr>
          <w:sz w:val="22"/>
          <w:szCs w:val="22"/>
        </w:rPr>
        <w:t xml:space="preserve">tributaria </w:t>
      </w:r>
      <w:r>
        <w:rPr>
          <w:sz w:val="22"/>
          <w:szCs w:val="22"/>
        </w:rPr>
        <w:t>si</w:t>
      </w:r>
      <w:r w:rsidR="00A128BD" w:rsidRPr="00633B9E">
        <w:rPr>
          <w:sz w:val="22"/>
          <w:szCs w:val="22"/>
        </w:rPr>
        <w:t xml:space="preserve"> </w:t>
      </w:r>
      <w:r>
        <w:rPr>
          <w:sz w:val="22"/>
          <w:szCs w:val="22"/>
        </w:rPr>
        <w:t>a</w:t>
      </w:r>
      <w:r w:rsidR="00BE4EA7" w:rsidRPr="00633B9E">
        <w:rPr>
          <w:sz w:val="22"/>
          <w:szCs w:val="22"/>
        </w:rPr>
        <w:t>vvicin</w:t>
      </w:r>
      <w:r>
        <w:rPr>
          <w:sz w:val="22"/>
          <w:szCs w:val="22"/>
        </w:rPr>
        <w:t xml:space="preserve">erebbe </w:t>
      </w:r>
      <w:r w:rsidR="008F671A" w:rsidRPr="00633B9E">
        <w:rPr>
          <w:sz w:val="22"/>
          <w:szCs w:val="22"/>
        </w:rPr>
        <w:t>all</w:t>
      </w:r>
      <w:r w:rsidR="00D62BAE">
        <w:rPr>
          <w:sz w:val="22"/>
          <w:szCs w:val="22"/>
        </w:rPr>
        <w:t xml:space="preserve">’ormai solida tradizione della giurisdizione </w:t>
      </w:r>
      <w:r w:rsidR="008F671A" w:rsidRPr="00633B9E">
        <w:rPr>
          <w:sz w:val="22"/>
          <w:szCs w:val="22"/>
        </w:rPr>
        <w:t>amministrativ</w:t>
      </w:r>
      <w:r w:rsidR="00D62BAE">
        <w:rPr>
          <w:sz w:val="22"/>
          <w:szCs w:val="22"/>
        </w:rPr>
        <w:t>a</w:t>
      </w:r>
      <w:r>
        <w:rPr>
          <w:sz w:val="22"/>
          <w:szCs w:val="22"/>
        </w:rPr>
        <w:t xml:space="preserve"> di </w:t>
      </w:r>
      <w:r>
        <w:rPr>
          <w:sz w:val="22"/>
          <w:szCs w:val="22"/>
        </w:rPr>
        <w:lastRenderedPageBreak/>
        <w:t xml:space="preserve">legittimità, basata sull’annullamento-rinvio </w:t>
      </w:r>
      <w:r w:rsidR="004301C1" w:rsidRPr="00633B9E">
        <w:rPr>
          <w:sz w:val="22"/>
          <w:szCs w:val="22"/>
        </w:rPr>
        <w:t xml:space="preserve"> (</w:t>
      </w:r>
      <w:r w:rsidR="004301C1" w:rsidRPr="00633B9E">
        <w:rPr>
          <w:rStyle w:val="Rimandonotaapidipagina"/>
          <w:sz w:val="22"/>
          <w:szCs w:val="22"/>
        </w:rPr>
        <w:footnoteReference w:id="891"/>
      </w:r>
      <w:r w:rsidR="004301C1" w:rsidRPr="00633B9E">
        <w:rPr>
          <w:sz w:val="22"/>
          <w:szCs w:val="22"/>
        </w:rPr>
        <w:t>)</w:t>
      </w:r>
      <w:r w:rsidR="007F49B5" w:rsidRPr="00633B9E">
        <w:rPr>
          <w:sz w:val="22"/>
          <w:szCs w:val="22"/>
        </w:rPr>
        <w:t>;</w:t>
      </w:r>
      <w:r w:rsidR="00D62BAE">
        <w:rPr>
          <w:sz w:val="22"/>
          <w:szCs w:val="22"/>
        </w:rPr>
        <w:t xml:space="preserve"> eliminato l’equivoco dell’”impugnazione merito”,</w:t>
      </w:r>
      <w:r w:rsidR="004301C1" w:rsidRPr="00633B9E">
        <w:rPr>
          <w:sz w:val="22"/>
          <w:szCs w:val="22"/>
        </w:rPr>
        <w:t xml:space="preserve"> da parte del giudice potrebbe essere mantenuto, </w:t>
      </w:r>
      <w:r w:rsidR="007F49B5" w:rsidRPr="00633B9E">
        <w:rPr>
          <w:sz w:val="22"/>
          <w:szCs w:val="22"/>
        </w:rPr>
        <w:t>per</w:t>
      </w:r>
      <w:r w:rsidR="004301C1" w:rsidRPr="00633B9E">
        <w:rPr>
          <w:sz w:val="22"/>
          <w:szCs w:val="22"/>
        </w:rPr>
        <w:t xml:space="preserve"> esigenze di economicità, quando </w:t>
      </w:r>
      <w:r w:rsidR="002A02D8" w:rsidRPr="00633B9E">
        <w:rPr>
          <w:sz w:val="22"/>
          <w:szCs w:val="22"/>
        </w:rPr>
        <w:t>la rideterminazione dell’imposta</w:t>
      </w:r>
      <w:r w:rsidR="00D62BAE">
        <w:rPr>
          <w:sz w:val="22"/>
          <w:szCs w:val="22"/>
        </w:rPr>
        <w:t xml:space="preserve"> può avvenire a colpo sicuro (</w:t>
      </w:r>
      <w:r w:rsidR="00D62BAE">
        <w:rPr>
          <w:rStyle w:val="Rimandonotaapidipagina"/>
          <w:sz w:val="22"/>
          <w:szCs w:val="22"/>
        </w:rPr>
        <w:footnoteReference w:id="892"/>
      </w:r>
      <w:r w:rsidR="00D62BAE">
        <w:rPr>
          <w:sz w:val="22"/>
          <w:szCs w:val="22"/>
        </w:rPr>
        <w:t>); il rinvio all’ufficio, sul modello della giurisdizione amministrativa, è utile soprattutto</w:t>
      </w:r>
      <w:r w:rsidR="004301C1" w:rsidRPr="00633B9E">
        <w:rPr>
          <w:sz w:val="22"/>
          <w:szCs w:val="22"/>
        </w:rPr>
        <w:t xml:space="preserve"> per le già indicate </w:t>
      </w:r>
      <w:r w:rsidR="005F793F" w:rsidRPr="00633B9E">
        <w:rPr>
          <w:sz w:val="22"/>
          <w:szCs w:val="22"/>
        </w:rPr>
        <w:t>questioni di fatto</w:t>
      </w:r>
      <w:r w:rsidR="004301C1" w:rsidRPr="00633B9E">
        <w:rPr>
          <w:sz w:val="22"/>
          <w:szCs w:val="22"/>
        </w:rPr>
        <w:t xml:space="preserve"> suscettibili di essere risolte con </w:t>
      </w:r>
      <w:r w:rsidR="005F793F" w:rsidRPr="00633B9E">
        <w:rPr>
          <w:sz w:val="22"/>
          <w:szCs w:val="22"/>
        </w:rPr>
        <w:t xml:space="preserve">una pluralità di parametri di stima, o migliaia di documenti, riversati dalle parti </w:t>
      </w:r>
      <w:r w:rsidR="00060DCE" w:rsidRPr="00633B9E">
        <w:rPr>
          <w:sz w:val="22"/>
          <w:szCs w:val="22"/>
        </w:rPr>
        <w:t xml:space="preserve">in un processo </w:t>
      </w:r>
      <w:r w:rsidR="007F49B5" w:rsidRPr="00633B9E">
        <w:rPr>
          <w:sz w:val="22"/>
          <w:szCs w:val="22"/>
        </w:rPr>
        <w:t xml:space="preserve">sommario come quello descritto al par.6.9 </w:t>
      </w:r>
      <w:r w:rsidR="004301C1" w:rsidRPr="00633B9E">
        <w:rPr>
          <w:sz w:val="22"/>
          <w:szCs w:val="22"/>
        </w:rPr>
        <w:t xml:space="preserve">; </w:t>
      </w:r>
      <w:r w:rsidR="00D62BAE">
        <w:rPr>
          <w:sz w:val="22"/>
          <w:szCs w:val="22"/>
        </w:rPr>
        <w:t xml:space="preserve">il rinvio sarebbe opportuno anche </w:t>
      </w:r>
      <w:r w:rsidR="004301C1" w:rsidRPr="00633B9E">
        <w:rPr>
          <w:sz w:val="22"/>
          <w:szCs w:val="22"/>
        </w:rPr>
        <w:t xml:space="preserve">per le questioni di diritto che risentono delle complesse simmetrie di cui al par.3.12, o altri casi in cui il contraddittorio </w:t>
      </w:r>
      <w:r w:rsidR="007F49B5" w:rsidRPr="00633B9E">
        <w:rPr>
          <w:sz w:val="22"/>
          <w:szCs w:val="22"/>
        </w:rPr>
        <w:t>proc</w:t>
      </w:r>
      <w:r w:rsidR="004301C1" w:rsidRPr="00633B9E">
        <w:rPr>
          <w:sz w:val="22"/>
          <w:szCs w:val="22"/>
        </w:rPr>
        <w:t>essuale</w:t>
      </w:r>
      <w:r w:rsidR="00D62BAE">
        <w:rPr>
          <w:sz w:val="22"/>
          <w:szCs w:val="22"/>
        </w:rPr>
        <w:t xml:space="preserve"> non basta a chiarire i passaggi logico-giuridici per rideterminare l’imposta</w:t>
      </w:r>
      <w:r w:rsidR="007F49B5" w:rsidRPr="00633B9E">
        <w:rPr>
          <w:sz w:val="22"/>
          <w:szCs w:val="22"/>
        </w:rPr>
        <w:t xml:space="preserve">. </w:t>
      </w:r>
      <w:r w:rsidR="00D62BAE">
        <w:rPr>
          <w:sz w:val="22"/>
          <w:szCs w:val="22"/>
        </w:rPr>
        <w:t>Evitando le già indicate istintive</w:t>
      </w:r>
      <w:r w:rsidR="005F793F" w:rsidRPr="00633B9E">
        <w:rPr>
          <w:sz w:val="22"/>
          <w:szCs w:val="22"/>
        </w:rPr>
        <w:t xml:space="preserve"> </w:t>
      </w:r>
      <w:r w:rsidR="005F793F" w:rsidRPr="00633B9E">
        <w:rPr>
          <w:i/>
          <w:sz w:val="22"/>
          <w:szCs w:val="22"/>
        </w:rPr>
        <w:t>sentenze a sorpresa</w:t>
      </w:r>
      <w:r w:rsidR="005F793F" w:rsidRPr="00633B9E">
        <w:rPr>
          <w:sz w:val="22"/>
          <w:szCs w:val="22"/>
        </w:rPr>
        <w:t>, dove "prima si decide poi si motiva" (</w:t>
      </w:r>
      <w:r w:rsidR="005F793F" w:rsidRPr="00633B9E">
        <w:rPr>
          <w:rStyle w:val="Rimandonotaapidipagina"/>
          <w:sz w:val="22"/>
          <w:szCs w:val="22"/>
        </w:rPr>
        <w:footnoteReference w:id="893"/>
      </w:r>
      <w:r w:rsidR="005F793F" w:rsidRPr="00633B9E">
        <w:rPr>
          <w:sz w:val="22"/>
          <w:szCs w:val="22"/>
        </w:rPr>
        <w:t>)</w:t>
      </w:r>
      <w:r w:rsidR="00D62BAE">
        <w:rPr>
          <w:sz w:val="22"/>
          <w:szCs w:val="22"/>
        </w:rPr>
        <w:t xml:space="preserve">, </w:t>
      </w:r>
      <w:r w:rsidR="00CA39FD" w:rsidRPr="00677F92">
        <w:rPr>
          <w:sz w:val="22"/>
          <w:szCs w:val="22"/>
        </w:rPr>
        <w:t xml:space="preserve">il giudice potrebbe indicare </w:t>
      </w:r>
      <w:r w:rsidR="004301C1" w:rsidRPr="00677F92">
        <w:rPr>
          <w:sz w:val="22"/>
          <w:szCs w:val="22"/>
        </w:rPr>
        <w:t xml:space="preserve">principi per </w:t>
      </w:r>
      <w:r w:rsidR="00D62BAE">
        <w:rPr>
          <w:sz w:val="22"/>
          <w:szCs w:val="22"/>
        </w:rPr>
        <w:t>rideterminare l’imposta; è una applicazione del generale e</w:t>
      </w:r>
      <w:r w:rsidR="0073297A" w:rsidRPr="00677F92">
        <w:rPr>
          <w:sz w:val="22"/>
          <w:szCs w:val="22"/>
        </w:rPr>
        <w:t>ffetto conformativo del giudicato amministrativo</w:t>
      </w:r>
      <w:r w:rsidR="001716BD" w:rsidRPr="00677F92">
        <w:rPr>
          <w:sz w:val="22"/>
          <w:szCs w:val="22"/>
        </w:rPr>
        <w:t xml:space="preserve"> </w:t>
      </w:r>
      <w:r w:rsidR="00692A40" w:rsidRPr="00677F92">
        <w:rPr>
          <w:sz w:val="22"/>
          <w:szCs w:val="22"/>
        </w:rPr>
        <w:t>(</w:t>
      </w:r>
      <w:r w:rsidR="00692A40" w:rsidRPr="00677F92">
        <w:rPr>
          <w:rStyle w:val="Rimandonotaapidipagina"/>
          <w:sz w:val="22"/>
          <w:szCs w:val="22"/>
        </w:rPr>
        <w:footnoteReference w:id="894"/>
      </w:r>
      <w:r w:rsidR="00692A40" w:rsidRPr="00677F92">
        <w:rPr>
          <w:sz w:val="22"/>
          <w:szCs w:val="22"/>
        </w:rPr>
        <w:t>)</w:t>
      </w:r>
      <w:r w:rsidR="00D62BAE">
        <w:rPr>
          <w:sz w:val="22"/>
          <w:szCs w:val="22"/>
        </w:rPr>
        <w:t xml:space="preserve"> da effettuare </w:t>
      </w:r>
      <w:r w:rsidR="004301C1" w:rsidRPr="00677F92">
        <w:rPr>
          <w:sz w:val="22"/>
          <w:szCs w:val="22"/>
        </w:rPr>
        <w:t>nei limiti della motivazione del provvedimento impositivo</w:t>
      </w:r>
      <w:r w:rsidR="001716BD" w:rsidRPr="00677F92">
        <w:rPr>
          <w:sz w:val="22"/>
          <w:szCs w:val="22"/>
        </w:rPr>
        <w:t xml:space="preserve"> (par.6.2), </w:t>
      </w:r>
      <w:r w:rsidR="00D62BAE">
        <w:rPr>
          <w:sz w:val="22"/>
          <w:szCs w:val="22"/>
        </w:rPr>
        <w:t xml:space="preserve">senza </w:t>
      </w:r>
      <w:r w:rsidR="00BF0289">
        <w:rPr>
          <w:sz w:val="22"/>
          <w:szCs w:val="22"/>
        </w:rPr>
        <w:t>i</w:t>
      </w:r>
      <w:r w:rsidR="001716BD" w:rsidRPr="00677F92">
        <w:rPr>
          <w:sz w:val="22"/>
          <w:szCs w:val="22"/>
        </w:rPr>
        <w:t>ntegrazioni o modifiche</w:t>
      </w:r>
      <w:r w:rsidR="004301C1" w:rsidRPr="00677F92">
        <w:rPr>
          <w:sz w:val="22"/>
          <w:szCs w:val="22"/>
        </w:rPr>
        <w:t xml:space="preserve">. </w:t>
      </w:r>
      <w:r w:rsidR="001716BD" w:rsidRPr="00677F92">
        <w:rPr>
          <w:sz w:val="22"/>
          <w:szCs w:val="22"/>
        </w:rPr>
        <w:t>Questa possibilità di rinvio consentirebbe anche di valorizzare i vizi formali, come i difetti procedimentali, che oggi giustamente la giurisprudenza, quando non gravi, svaluta nel timore di vanificare pretese tributarie per altri versi fondate</w:t>
      </w:r>
      <w:r w:rsidR="00FF16B9">
        <w:rPr>
          <w:sz w:val="22"/>
          <w:szCs w:val="22"/>
        </w:rPr>
        <w:t xml:space="preserve"> </w:t>
      </w:r>
      <w:r w:rsidR="001716BD" w:rsidRPr="00677F92">
        <w:rPr>
          <w:sz w:val="22"/>
          <w:szCs w:val="22"/>
        </w:rPr>
        <w:t>(</w:t>
      </w:r>
      <w:r w:rsidR="001716BD" w:rsidRPr="00677F92">
        <w:rPr>
          <w:rStyle w:val="Rimandonotaapidipagina"/>
          <w:sz w:val="22"/>
          <w:szCs w:val="22"/>
        </w:rPr>
        <w:footnoteReference w:id="895"/>
      </w:r>
      <w:r w:rsidR="001716BD" w:rsidRPr="00677F92">
        <w:rPr>
          <w:sz w:val="22"/>
          <w:szCs w:val="22"/>
        </w:rPr>
        <w:t xml:space="preserve">). </w:t>
      </w:r>
    </w:p>
    <w:p w14:paraId="3C4A5661" w14:textId="116DD2A3" w:rsidR="00784CC9" w:rsidRPr="007F7EBF" w:rsidRDefault="00B978F9" w:rsidP="00784CC9">
      <w:pPr>
        <w:pStyle w:val="tit23"/>
        <w:ind w:left="6464" w:right="-1361" w:firstLine="0"/>
        <w:jc w:val="left"/>
        <w:rPr>
          <w:bCs/>
          <w:i/>
          <w:iCs/>
          <w:color w:val="0000FF"/>
          <w:lang w:val="it-IT"/>
        </w:rPr>
      </w:pPr>
      <w:r>
        <w:rPr>
          <w:bCs/>
          <w:i/>
          <w:iCs/>
          <w:color w:val="0000FF"/>
          <w:lang w:val="it-IT"/>
        </w:rPr>
        <w:t xml:space="preserve">Margini interpretativi </w:t>
      </w:r>
      <w:r>
        <w:rPr>
          <w:bCs/>
          <w:i/>
          <w:iCs/>
          <w:color w:val="0000FF"/>
          <w:lang w:val="it-IT"/>
        </w:rPr>
        <w:lastRenderedPageBreak/>
        <w:t>de iure condito</w:t>
      </w:r>
    </w:p>
    <w:p w14:paraId="71204FBA" w14:textId="1CB6E5F8" w:rsidR="00D62BAE" w:rsidRPr="007F7EBF" w:rsidRDefault="00D62BAE" w:rsidP="00D62BAE">
      <w:pPr>
        <w:autoSpaceDE w:val="0"/>
        <w:autoSpaceDN w:val="0"/>
        <w:adjustRightInd w:val="0"/>
        <w:rPr>
          <w:sz w:val="22"/>
          <w:szCs w:val="22"/>
        </w:rPr>
      </w:pPr>
      <w:r w:rsidRPr="00677F92">
        <w:rPr>
          <w:sz w:val="22"/>
          <w:szCs w:val="22"/>
        </w:rPr>
        <w:t xml:space="preserve">Sarebbe così ridimensionato </w:t>
      </w:r>
      <w:r>
        <w:rPr>
          <w:sz w:val="22"/>
          <w:szCs w:val="22"/>
        </w:rPr>
        <w:t xml:space="preserve">l’attuale imprevedibile attivismo </w:t>
      </w:r>
      <w:r w:rsidRPr="00677F92">
        <w:rPr>
          <w:color w:val="000000"/>
          <w:sz w:val="22"/>
          <w:szCs w:val="22"/>
        </w:rPr>
        <w:t>del giudice</w:t>
      </w:r>
      <w:r>
        <w:rPr>
          <w:color w:val="000000"/>
          <w:sz w:val="22"/>
          <w:szCs w:val="22"/>
        </w:rPr>
        <w:t xml:space="preserve">, nell’improvvisare determinazioni dell’imponibile </w:t>
      </w:r>
      <w:r w:rsidRPr="00677F92">
        <w:rPr>
          <w:sz w:val="22"/>
          <w:szCs w:val="22"/>
        </w:rPr>
        <w:t>(</w:t>
      </w:r>
      <w:r w:rsidRPr="00677F92">
        <w:rPr>
          <w:rStyle w:val="Rimandonotaapidipagina"/>
          <w:sz w:val="22"/>
          <w:szCs w:val="22"/>
        </w:rPr>
        <w:footnoteReference w:id="896"/>
      </w:r>
      <w:r w:rsidRPr="00677F92">
        <w:rPr>
          <w:sz w:val="22"/>
          <w:szCs w:val="22"/>
        </w:rPr>
        <w:t xml:space="preserve">), che </w:t>
      </w:r>
      <w:r w:rsidRPr="00677F92">
        <w:rPr>
          <w:color w:val="000000"/>
          <w:sz w:val="22"/>
          <w:szCs w:val="22"/>
        </w:rPr>
        <w:t xml:space="preserve">ne pregiudica anche l’indipendenza rispetto </w:t>
      </w:r>
      <w:r>
        <w:rPr>
          <w:color w:val="000000"/>
          <w:sz w:val="22"/>
          <w:szCs w:val="22"/>
        </w:rPr>
        <w:t>alle</w:t>
      </w:r>
      <w:r w:rsidRPr="00677F92">
        <w:rPr>
          <w:color w:val="000000"/>
          <w:sz w:val="22"/>
          <w:szCs w:val="22"/>
        </w:rPr>
        <w:t xml:space="preserve"> proprie impressioni preliminari</w:t>
      </w:r>
      <w:r w:rsidR="009C289F">
        <w:rPr>
          <w:color w:val="000000"/>
          <w:sz w:val="22"/>
          <w:szCs w:val="22"/>
        </w:rPr>
        <w:t xml:space="preserve"> </w:t>
      </w:r>
      <w:r w:rsidRPr="00677F92">
        <w:rPr>
          <w:color w:val="000000"/>
          <w:sz w:val="22"/>
          <w:szCs w:val="22"/>
        </w:rPr>
        <w:t>(</w:t>
      </w:r>
      <w:r w:rsidRPr="00677F92">
        <w:rPr>
          <w:rStyle w:val="Rimandonotaapidipagina"/>
          <w:color w:val="000000"/>
          <w:sz w:val="22"/>
          <w:szCs w:val="22"/>
        </w:rPr>
        <w:footnoteReference w:id="897"/>
      </w:r>
      <w:r w:rsidRPr="00677F92">
        <w:rPr>
          <w:color w:val="000000"/>
          <w:sz w:val="22"/>
          <w:szCs w:val="22"/>
        </w:rPr>
        <w:t>)</w:t>
      </w:r>
      <w:r>
        <w:rPr>
          <w:color w:val="000000"/>
          <w:sz w:val="22"/>
          <w:szCs w:val="22"/>
        </w:rPr>
        <w:t xml:space="preserve">. </w:t>
      </w:r>
    </w:p>
    <w:p w14:paraId="0AE0AD25" w14:textId="70316655" w:rsidR="000968AD" w:rsidRDefault="00784CC9" w:rsidP="000968AD">
      <w:pPr>
        <w:autoSpaceDE w:val="0"/>
        <w:autoSpaceDN w:val="0"/>
        <w:adjustRightInd w:val="0"/>
        <w:rPr>
          <w:sz w:val="22"/>
          <w:szCs w:val="22"/>
        </w:rPr>
      </w:pPr>
      <w:r w:rsidRPr="007F7EBF">
        <w:rPr>
          <w:sz w:val="22"/>
          <w:szCs w:val="22"/>
        </w:rPr>
        <w:t>Al di là di modifiche "de iure condendo" è da chiedersi se nel potere di "rideterminazione del tributo" non sia già oggi immanente</w:t>
      </w:r>
      <w:r w:rsidR="00E85C7F">
        <w:rPr>
          <w:sz w:val="22"/>
          <w:szCs w:val="22"/>
        </w:rPr>
        <w:t xml:space="preserve"> (</w:t>
      </w:r>
      <w:r w:rsidRPr="007F7EBF">
        <w:rPr>
          <w:rStyle w:val="Rimandonotaapidipagina"/>
          <w:sz w:val="22"/>
          <w:szCs w:val="22"/>
        </w:rPr>
        <w:footnoteReference w:id="898"/>
      </w:r>
      <w:r w:rsidR="00E85C7F">
        <w:rPr>
          <w:sz w:val="22"/>
          <w:szCs w:val="22"/>
        </w:rPr>
        <w:t>)</w:t>
      </w:r>
      <w:r w:rsidRPr="007F7EBF">
        <w:rPr>
          <w:sz w:val="22"/>
          <w:szCs w:val="22"/>
        </w:rPr>
        <w:t xml:space="preserve"> </w:t>
      </w:r>
      <w:r w:rsidR="00E85C7F">
        <w:rPr>
          <w:sz w:val="22"/>
          <w:szCs w:val="22"/>
        </w:rPr>
        <w:t xml:space="preserve">quello </w:t>
      </w:r>
      <w:r w:rsidR="00152F29" w:rsidRPr="007F7EBF">
        <w:rPr>
          <w:sz w:val="22"/>
          <w:szCs w:val="22"/>
        </w:rPr>
        <w:t xml:space="preserve">di </w:t>
      </w:r>
      <w:r w:rsidR="00E85C7F">
        <w:rPr>
          <w:sz w:val="22"/>
          <w:szCs w:val="22"/>
        </w:rPr>
        <w:t>rinvio agli uffici, ovviamente nell’ambito della motivazione della pretesa (</w:t>
      </w:r>
      <w:r w:rsidR="00E85C7F" w:rsidRPr="007F7EBF">
        <w:rPr>
          <w:rStyle w:val="Rimandonotaapidipagina"/>
          <w:sz w:val="22"/>
          <w:szCs w:val="22"/>
        </w:rPr>
        <w:footnoteReference w:id="899"/>
      </w:r>
      <w:r w:rsidR="00E85C7F">
        <w:rPr>
          <w:sz w:val="22"/>
          <w:szCs w:val="22"/>
        </w:rPr>
        <w:t>)</w:t>
      </w:r>
      <w:r w:rsidR="00E85C7F" w:rsidRPr="007F7EBF">
        <w:rPr>
          <w:sz w:val="22"/>
          <w:szCs w:val="22"/>
        </w:rPr>
        <w:t>;</w:t>
      </w:r>
      <w:r w:rsidR="00E85C7F">
        <w:rPr>
          <w:sz w:val="22"/>
          <w:szCs w:val="22"/>
        </w:rPr>
        <w:t xml:space="preserve"> </w:t>
      </w:r>
      <w:r w:rsidR="0048540E">
        <w:rPr>
          <w:sz w:val="22"/>
          <w:szCs w:val="22"/>
        </w:rPr>
        <w:t>il</w:t>
      </w:r>
      <w:r w:rsidRPr="007F7EBF">
        <w:rPr>
          <w:sz w:val="22"/>
          <w:szCs w:val="22"/>
        </w:rPr>
        <w:t xml:space="preserve"> </w:t>
      </w:r>
      <w:r w:rsidR="00E85C7F">
        <w:rPr>
          <w:sz w:val="22"/>
          <w:szCs w:val="22"/>
        </w:rPr>
        <w:t xml:space="preserve">rinvio </w:t>
      </w:r>
      <w:r w:rsidR="0048540E">
        <w:rPr>
          <w:sz w:val="22"/>
          <w:szCs w:val="22"/>
        </w:rPr>
        <w:t xml:space="preserve">agli uffici </w:t>
      </w:r>
      <w:r w:rsidRPr="007F7EBF">
        <w:rPr>
          <w:sz w:val="22"/>
          <w:szCs w:val="22"/>
        </w:rPr>
        <w:t>potrebbe quindi essere considerat</w:t>
      </w:r>
      <w:r w:rsidR="0048540E">
        <w:rPr>
          <w:sz w:val="22"/>
          <w:szCs w:val="22"/>
        </w:rPr>
        <w:t>o</w:t>
      </w:r>
      <w:r w:rsidRPr="007F7EBF">
        <w:rPr>
          <w:sz w:val="22"/>
          <w:szCs w:val="22"/>
        </w:rPr>
        <w:t xml:space="preserve">, anche de iure condito, </w:t>
      </w:r>
      <w:r w:rsidR="00E85C7F">
        <w:rPr>
          <w:sz w:val="22"/>
          <w:szCs w:val="22"/>
        </w:rPr>
        <w:t xml:space="preserve"> </w:t>
      </w:r>
      <w:r w:rsidR="0048540E">
        <w:rPr>
          <w:sz w:val="22"/>
          <w:szCs w:val="22"/>
        </w:rPr>
        <w:t>quando il contribuente ha verosimilmente evaso, ma è stato oggetto dei già indicati (par.5.7) accertamenti "punitivi", sproporzionati per eccesso(</w:t>
      </w:r>
      <w:r w:rsidR="0048540E">
        <w:rPr>
          <w:rStyle w:val="Rimandonotaapidipagina"/>
          <w:sz w:val="22"/>
          <w:szCs w:val="22"/>
        </w:rPr>
        <w:footnoteReference w:id="900"/>
      </w:r>
      <w:r w:rsidR="0048540E">
        <w:rPr>
          <w:sz w:val="22"/>
          <w:szCs w:val="22"/>
        </w:rPr>
        <w:t xml:space="preserve">), con un imponibile difficile da rideterminare nei tempi stringati del processo, il che spesso spinge a </w:t>
      </w:r>
      <w:r w:rsidR="00EF4C67">
        <w:rPr>
          <w:sz w:val="22"/>
          <w:szCs w:val="22"/>
        </w:rPr>
        <w:t>superare l</w:t>
      </w:r>
      <w:r w:rsidR="0048540E">
        <w:rPr>
          <w:sz w:val="22"/>
          <w:szCs w:val="22"/>
        </w:rPr>
        <w:t xml:space="preserve">’imbarazzo respingendo puramente e semplicemente il ricorso. </w:t>
      </w:r>
    </w:p>
    <w:p w14:paraId="235361FA" w14:textId="77777777" w:rsidR="00D1691E" w:rsidRPr="007F7EBF" w:rsidRDefault="00D1691E" w:rsidP="00D1691E">
      <w:pPr>
        <w:pStyle w:val="tit23"/>
        <w:ind w:left="6464" w:right="-1361" w:firstLine="0"/>
        <w:jc w:val="left"/>
        <w:rPr>
          <w:bCs/>
          <w:i/>
          <w:iCs/>
          <w:color w:val="0000FF"/>
          <w:lang w:val="it-IT"/>
        </w:rPr>
      </w:pPr>
      <w:r w:rsidRPr="007F7EBF">
        <w:rPr>
          <w:bCs/>
          <w:i/>
          <w:iCs/>
          <w:color w:val="0000FF"/>
          <w:lang w:val="it-IT"/>
        </w:rPr>
        <w:t>Natura preprocessuale dei rimedi</w:t>
      </w:r>
    </w:p>
    <w:p w14:paraId="50E271A3" w14:textId="50E24344" w:rsidR="00FD7420" w:rsidRPr="007F7EBF" w:rsidRDefault="005250A9" w:rsidP="00FD7420">
      <w:pPr>
        <w:autoSpaceDE w:val="0"/>
        <w:autoSpaceDN w:val="0"/>
        <w:adjustRightInd w:val="0"/>
        <w:rPr>
          <w:sz w:val="22"/>
          <w:szCs w:val="22"/>
        </w:rPr>
      </w:pPr>
      <w:r w:rsidRPr="007F7EBF">
        <w:rPr>
          <w:sz w:val="22"/>
          <w:szCs w:val="22"/>
        </w:rPr>
        <w:lastRenderedPageBreak/>
        <w:t xml:space="preserve">Anche quest'ipotesi di rinvio conferma </w:t>
      </w:r>
      <w:r w:rsidR="0053092B" w:rsidRPr="007F7EBF">
        <w:rPr>
          <w:sz w:val="22"/>
          <w:szCs w:val="22"/>
        </w:rPr>
        <w:t>che il</w:t>
      </w:r>
      <w:r w:rsidR="00FD7420" w:rsidRPr="007F7EBF">
        <w:rPr>
          <w:sz w:val="22"/>
          <w:szCs w:val="22"/>
        </w:rPr>
        <w:t xml:space="preserve"> </w:t>
      </w:r>
      <w:r w:rsidR="00FD7420" w:rsidRPr="007F7EBF">
        <w:rPr>
          <w:bCs/>
          <w:sz w:val="22"/>
          <w:szCs w:val="22"/>
        </w:rPr>
        <w:t xml:space="preserve">rimedio </w:t>
      </w:r>
      <w:r w:rsidR="00FD7420" w:rsidRPr="007F7EBF">
        <w:rPr>
          <w:sz w:val="22"/>
          <w:szCs w:val="22"/>
        </w:rPr>
        <w:t xml:space="preserve">alle disfunzioni processuali </w:t>
      </w:r>
      <w:r w:rsidR="00FD7420" w:rsidRPr="007F7EBF">
        <w:rPr>
          <w:bCs/>
          <w:sz w:val="22"/>
          <w:szCs w:val="22"/>
        </w:rPr>
        <w:t>è prima del processo</w:t>
      </w:r>
      <w:r w:rsidR="007112C1" w:rsidRPr="007F7EBF">
        <w:rPr>
          <w:bCs/>
          <w:sz w:val="22"/>
          <w:szCs w:val="22"/>
        </w:rPr>
        <w:t>,</w:t>
      </w:r>
      <w:r w:rsidRPr="007F7EBF">
        <w:rPr>
          <w:bCs/>
          <w:sz w:val="22"/>
          <w:szCs w:val="22"/>
        </w:rPr>
        <w:t xml:space="preserve"> e</w:t>
      </w:r>
      <w:r w:rsidR="0053092B" w:rsidRPr="007F7EBF">
        <w:rPr>
          <w:bCs/>
          <w:sz w:val="22"/>
          <w:szCs w:val="22"/>
        </w:rPr>
        <w:t xml:space="preserve"> fuori dal processo</w:t>
      </w:r>
      <w:r w:rsidRPr="007F7EBF">
        <w:rPr>
          <w:bCs/>
          <w:sz w:val="22"/>
          <w:szCs w:val="22"/>
        </w:rPr>
        <w:t xml:space="preserve">, </w:t>
      </w:r>
      <w:r w:rsidR="004F5B9B" w:rsidRPr="007F7EBF">
        <w:rPr>
          <w:bCs/>
          <w:sz w:val="22"/>
          <w:szCs w:val="22"/>
        </w:rPr>
        <w:t xml:space="preserve">nella corretta determinazione dell'imposta nel luogo appropriato, </w:t>
      </w:r>
      <w:r w:rsidRPr="007F7EBF">
        <w:rPr>
          <w:bCs/>
          <w:sz w:val="22"/>
          <w:szCs w:val="22"/>
        </w:rPr>
        <w:t>ci</w:t>
      </w:r>
      <w:r w:rsidR="007112C1" w:rsidRPr="007F7EBF">
        <w:rPr>
          <w:bCs/>
          <w:sz w:val="22"/>
          <w:szCs w:val="22"/>
        </w:rPr>
        <w:t>oè presso gli uffici tributari</w:t>
      </w:r>
      <w:r w:rsidR="00CD133E">
        <w:rPr>
          <w:bCs/>
          <w:sz w:val="22"/>
          <w:szCs w:val="22"/>
        </w:rPr>
        <w:t xml:space="preserve"> (insomma</w:t>
      </w:r>
      <w:r w:rsidR="00CD133E">
        <w:t xml:space="preserve"> </w:t>
      </w:r>
      <w:r w:rsidR="00CD133E" w:rsidRPr="00CD133E">
        <w:rPr>
          <w:i/>
        </w:rPr>
        <w:t>meglio</w:t>
      </w:r>
      <w:r w:rsidR="00CD133E">
        <w:t xml:space="preserve"> </w:t>
      </w:r>
      <w:r w:rsidR="00CD133E" w:rsidRPr="001B147A">
        <w:rPr>
          <w:i/>
        </w:rPr>
        <w:t>un brutto accordo</w:t>
      </w:r>
      <w:r w:rsidR="00CD133E">
        <w:t xml:space="preserve"> ad </w:t>
      </w:r>
      <w:r w:rsidR="00CD133E" w:rsidRPr="001B147A">
        <w:rPr>
          <w:i/>
        </w:rPr>
        <w:t>un bel processo</w:t>
      </w:r>
      <w:r w:rsidR="00CD133E">
        <w:t>)</w:t>
      </w:r>
      <w:r w:rsidR="00CD133E">
        <w:rPr>
          <w:i/>
        </w:rPr>
        <w:t xml:space="preserve">. </w:t>
      </w:r>
      <w:r w:rsidR="00CD133E">
        <w:rPr>
          <w:bCs/>
          <w:sz w:val="22"/>
          <w:szCs w:val="22"/>
        </w:rPr>
        <w:t>L</w:t>
      </w:r>
      <w:r w:rsidRPr="007F7EBF">
        <w:rPr>
          <w:bCs/>
          <w:sz w:val="22"/>
          <w:szCs w:val="22"/>
        </w:rPr>
        <w:t>a giustizia</w:t>
      </w:r>
      <w:r w:rsidR="00730A2A">
        <w:rPr>
          <w:bCs/>
          <w:sz w:val="22"/>
          <w:szCs w:val="22"/>
        </w:rPr>
        <w:t xml:space="preserve">, </w:t>
      </w:r>
      <w:r w:rsidR="00CD133E">
        <w:rPr>
          <w:bCs/>
          <w:sz w:val="22"/>
          <w:szCs w:val="22"/>
        </w:rPr>
        <w:t>in senso procedurale (par.1.3)</w:t>
      </w:r>
      <w:r w:rsidR="00730A2A">
        <w:rPr>
          <w:bCs/>
          <w:sz w:val="22"/>
          <w:szCs w:val="22"/>
        </w:rPr>
        <w:t>, prima di essere</w:t>
      </w:r>
      <w:r w:rsidR="00700970">
        <w:rPr>
          <w:bCs/>
          <w:sz w:val="22"/>
          <w:szCs w:val="22"/>
        </w:rPr>
        <w:t xml:space="preserve"> </w:t>
      </w:r>
      <w:r w:rsidR="00700970" w:rsidRPr="00700970">
        <w:rPr>
          <w:bCs/>
          <w:i/>
          <w:sz w:val="22"/>
          <w:szCs w:val="22"/>
        </w:rPr>
        <w:t xml:space="preserve">contro </w:t>
      </w:r>
      <w:r w:rsidR="00730A2A">
        <w:rPr>
          <w:bCs/>
          <w:i/>
          <w:sz w:val="22"/>
          <w:szCs w:val="22"/>
        </w:rPr>
        <w:t xml:space="preserve">le </w:t>
      </w:r>
      <w:r w:rsidR="00CD133E">
        <w:rPr>
          <w:bCs/>
          <w:i/>
          <w:sz w:val="22"/>
          <w:szCs w:val="22"/>
        </w:rPr>
        <w:t>funzioni pubbliche</w:t>
      </w:r>
      <w:r w:rsidR="00730A2A">
        <w:rPr>
          <w:bCs/>
          <w:i/>
          <w:sz w:val="22"/>
          <w:szCs w:val="22"/>
        </w:rPr>
        <w:t xml:space="preserve"> </w:t>
      </w:r>
      <w:r w:rsidR="00730A2A">
        <w:rPr>
          <w:bCs/>
          <w:sz w:val="22"/>
          <w:szCs w:val="22"/>
        </w:rPr>
        <w:t xml:space="preserve">è infatti </w:t>
      </w:r>
      <w:r w:rsidRPr="00700970">
        <w:rPr>
          <w:bCs/>
          <w:i/>
          <w:sz w:val="22"/>
          <w:szCs w:val="22"/>
        </w:rPr>
        <w:t xml:space="preserve">dentro </w:t>
      </w:r>
      <w:r w:rsidR="00CD133E">
        <w:rPr>
          <w:bCs/>
          <w:i/>
          <w:sz w:val="22"/>
          <w:szCs w:val="22"/>
        </w:rPr>
        <w:t xml:space="preserve">di esse </w:t>
      </w:r>
      <w:r w:rsidR="00550285">
        <w:rPr>
          <w:bCs/>
          <w:sz w:val="22"/>
          <w:szCs w:val="22"/>
        </w:rPr>
        <w:t>(</w:t>
      </w:r>
      <w:r w:rsidR="00487ED5" w:rsidRPr="007F7EBF">
        <w:rPr>
          <w:rStyle w:val="Rimandonotaapidipagina"/>
          <w:bCs/>
          <w:sz w:val="22"/>
          <w:szCs w:val="22"/>
        </w:rPr>
        <w:footnoteReference w:id="901"/>
      </w:r>
      <w:r w:rsidR="00550285">
        <w:rPr>
          <w:bCs/>
          <w:sz w:val="22"/>
          <w:szCs w:val="22"/>
        </w:rPr>
        <w:t>)</w:t>
      </w:r>
      <w:r w:rsidR="004E6238">
        <w:rPr>
          <w:bCs/>
          <w:sz w:val="22"/>
          <w:szCs w:val="22"/>
        </w:rPr>
        <w:t xml:space="preserve">. Il </w:t>
      </w:r>
      <w:r w:rsidR="00CD133E">
        <w:t xml:space="preserve">primo modo per </w:t>
      </w:r>
      <w:r w:rsidR="005F756F">
        <w:t>affrontare la quantità anomal</w:t>
      </w:r>
      <w:r w:rsidR="00671EBF">
        <w:t>a</w:t>
      </w:r>
      <w:r w:rsidR="005F756F">
        <w:t xml:space="preserve"> di processi tributari è capire che la loro funzione non è determinare l’imposta, ma controllare l’ufficio preposto a determinarla, svolgendo un </w:t>
      </w:r>
      <w:r w:rsidRPr="007F7EBF">
        <w:rPr>
          <w:bCs/>
          <w:sz w:val="22"/>
          <w:szCs w:val="22"/>
        </w:rPr>
        <w:t>controllo giurisdizionale</w:t>
      </w:r>
      <w:r w:rsidR="004E6238">
        <w:rPr>
          <w:bCs/>
          <w:sz w:val="22"/>
          <w:szCs w:val="22"/>
        </w:rPr>
        <w:t xml:space="preserve"> </w:t>
      </w:r>
      <w:r w:rsidR="00FC57B5">
        <w:rPr>
          <w:bCs/>
          <w:sz w:val="22"/>
          <w:szCs w:val="22"/>
        </w:rPr>
        <w:t>su</w:t>
      </w:r>
      <w:r w:rsidRPr="007F7EBF">
        <w:rPr>
          <w:bCs/>
          <w:sz w:val="22"/>
          <w:szCs w:val="22"/>
        </w:rPr>
        <w:t xml:space="preserve"> una funzione non giurisdizionale</w:t>
      </w:r>
      <w:r w:rsidR="008F44ED">
        <w:rPr>
          <w:bCs/>
          <w:sz w:val="22"/>
          <w:szCs w:val="22"/>
        </w:rPr>
        <w:t>.</w:t>
      </w:r>
      <w:r w:rsidR="004E6238">
        <w:rPr>
          <w:bCs/>
          <w:sz w:val="22"/>
          <w:szCs w:val="22"/>
        </w:rPr>
        <w:t xml:space="preserve"> </w:t>
      </w:r>
    </w:p>
    <w:p w14:paraId="1A2E4E70" w14:textId="5CC93CD1" w:rsidR="00D1691E" w:rsidRPr="007F7EBF" w:rsidRDefault="00044C3E" w:rsidP="00D1691E">
      <w:pPr>
        <w:pStyle w:val="tit23"/>
        <w:ind w:left="6464" w:right="-1361" w:firstLine="0"/>
        <w:jc w:val="left"/>
        <w:rPr>
          <w:bCs/>
          <w:i/>
          <w:iCs/>
          <w:color w:val="0000FF"/>
          <w:lang w:val="it-IT"/>
        </w:rPr>
      </w:pPr>
      <w:r>
        <w:rPr>
          <w:bCs/>
          <w:i/>
          <w:iCs/>
          <w:color w:val="0000FF"/>
          <w:lang w:val="it-IT"/>
        </w:rPr>
        <w:t>Natura amministrativa del processo tributario</w:t>
      </w:r>
    </w:p>
    <w:p w14:paraId="7D83D874" w14:textId="21030E8E" w:rsidR="006342C5" w:rsidRPr="007F7EBF" w:rsidRDefault="005F756F" w:rsidP="006342C5">
      <w:pPr>
        <w:autoSpaceDE w:val="0"/>
        <w:autoSpaceDN w:val="0"/>
        <w:adjustRightInd w:val="0"/>
        <w:rPr>
          <w:sz w:val="22"/>
          <w:szCs w:val="22"/>
        </w:rPr>
      </w:pPr>
      <w:r>
        <w:rPr>
          <w:sz w:val="22"/>
          <w:szCs w:val="22"/>
        </w:rPr>
        <w:t>La</w:t>
      </w:r>
      <w:r w:rsidR="0026693A">
        <w:rPr>
          <w:sz w:val="22"/>
          <w:szCs w:val="22"/>
        </w:rPr>
        <w:t xml:space="preserve"> </w:t>
      </w:r>
      <w:r w:rsidR="00D62BAE">
        <w:rPr>
          <w:sz w:val="22"/>
          <w:szCs w:val="22"/>
        </w:rPr>
        <w:t xml:space="preserve">suddetta collocazione della funzione procedurale di giustizia all’interno della funzione sostanziale tributaria (par.1.3) </w:t>
      </w:r>
      <w:r w:rsidR="00B625EA">
        <w:rPr>
          <w:sz w:val="22"/>
          <w:szCs w:val="22"/>
        </w:rPr>
        <w:t xml:space="preserve">consente di uscire dalla </w:t>
      </w:r>
      <w:r w:rsidR="002012D1">
        <w:rPr>
          <w:sz w:val="22"/>
          <w:szCs w:val="22"/>
        </w:rPr>
        <w:t xml:space="preserve">cannibalizzazione </w:t>
      </w:r>
      <w:r w:rsidR="00CE0F2B">
        <w:rPr>
          <w:sz w:val="22"/>
          <w:szCs w:val="22"/>
        </w:rPr>
        <w:t>processuale di quest’ultima</w:t>
      </w:r>
      <w:r w:rsidR="002012D1">
        <w:rPr>
          <w:sz w:val="22"/>
          <w:szCs w:val="22"/>
        </w:rPr>
        <w:t xml:space="preserve"> </w:t>
      </w:r>
      <w:r w:rsidR="00DE3C0B">
        <w:rPr>
          <w:sz w:val="22"/>
          <w:szCs w:val="22"/>
        </w:rPr>
        <w:t>(</w:t>
      </w:r>
      <w:r w:rsidR="00DE3C0B" w:rsidRPr="007F7EBF">
        <w:rPr>
          <w:rStyle w:val="Rimandonotaapidipagina"/>
          <w:sz w:val="22"/>
          <w:szCs w:val="22"/>
        </w:rPr>
        <w:footnoteReference w:id="902"/>
      </w:r>
      <w:r w:rsidR="00B625EA">
        <w:rPr>
          <w:sz w:val="22"/>
          <w:szCs w:val="22"/>
        </w:rPr>
        <w:t>)</w:t>
      </w:r>
      <w:r w:rsidR="00CE0F2B">
        <w:rPr>
          <w:sz w:val="22"/>
          <w:szCs w:val="22"/>
        </w:rPr>
        <w:t xml:space="preserve">, </w:t>
      </w:r>
      <w:r w:rsidR="00B625EA">
        <w:rPr>
          <w:sz w:val="22"/>
          <w:szCs w:val="22"/>
        </w:rPr>
        <w:t>sdrammatizza</w:t>
      </w:r>
      <w:r w:rsidR="00CE0F2B">
        <w:rPr>
          <w:sz w:val="22"/>
          <w:szCs w:val="22"/>
        </w:rPr>
        <w:t>ndo</w:t>
      </w:r>
      <w:r w:rsidR="00B625EA">
        <w:rPr>
          <w:sz w:val="22"/>
          <w:szCs w:val="22"/>
        </w:rPr>
        <w:t xml:space="preserve"> il problema della “professionalizzazione” e </w:t>
      </w:r>
      <w:r w:rsidR="00B625EA" w:rsidRPr="007F7EBF">
        <w:rPr>
          <w:sz w:val="22"/>
          <w:szCs w:val="22"/>
        </w:rPr>
        <w:t>"specializzazione"</w:t>
      </w:r>
      <w:r w:rsidR="00B625EA">
        <w:rPr>
          <w:sz w:val="22"/>
          <w:szCs w:val="22"/>
        </w:rPr>
        <w:t xml:space="preserve"> del giudice. </w:t>
      </w:r>
      <w:r w:rsidR="0026693A" w:rsidRPr="00B539DC">
        <w:rPr>
          <w:sz w:val="22"/>
          <w:szCs w:val="22"/>
        </w:rPr>
        <w:t xml:space="preserve">Le liti su altre funzioni amministrative non sono certo risolte da giudici specialisti in urbanistica, cultura, ricerca, sanità, </w:t>
      </w:r>
      <w:proofErr w:type="spellStart"/>
      <w:r w:rsidR="0026693A" w:rsidRPr="00B539DC">
        <w:rPr>
          <w:sz w:val="22"/>
          <w:szCs w:val="22"/>
        </w:rPr>
        <w:t>etc</w:t>
      </w:r>
      <w:proofErr w:type="spellEnd"/>
      <w:r w:rsidR="0026693A" w:rsidRPr="00B539DC">
        <w:rPr>
          <w:sz w:val="22"/>
          <w:szCs w:val="22"/>
        </w:rPr>
        <w:t xml:space="preserve">, che però riescono a individuare vizi nell’operato degli uffici sottostanti. </w:t>
      </w:r>
      <w:r w:rsidR="00B539DC" w:rsidRPr="00B539DC">
        <w:rPr>
          <w:sz w:val="22"/>
          <w:szCs w:val="22"/>
        </w:rPr>
        <w:t xml:space="preserve">Su questa premessa </w:t>
      </w:r>
      <w:r w:rsidR="00147CEE" w:rsidRPr="00B539DC">
        <w:rPr>
          <w:sz w:val="22"/>
          <w:szCs w:val="22"/>
        </w:rPr>
        <w:t>l’identificazione del giudice</w:t>
      </w:r>
      <w:r w:rsidR="00B539DC" w:rsidRPr="00B539DC">
        <w:rPr>
          <w:sz w:val="22"/>
          <w:szCs w:val="22"/>
        </w:rPr>
        <w:t xml:space="preserve"> è quasi secondaria</w:t>
      </w:r>
      <w:r w:rsidR="00B625EA">
        <w:rPr>
          <w:sz w:val="22"/>
          <w:szCs w:val="22"/>
        </w:rPr>
        <w:t xml:space="preserve"> </w:t>
      </w:r>
      <w:r w:rsidR="004F21C8" w:rsidRPr="00B539DC">
        <w:rPr>
          <w:sz w:val="22"/>
          <w:szCs w:val="22"/>
        </w:rPr>
        <w:t>(</w:t>
      </w:r>
      <w:r w:rsidR="004F21C8" w:rsidRPr="00B539DC">
        <w:rPr>
          <w:rStyle w:val="Rimandonotaapidipagina"/>
          <w:sz w:val="22"/>
          <w:szCs w:val="22"/>
        </w:rPr>
        <w:footnoteReference w:id="903"/>
      </w:r>
      <w:r w:rsidR="004F21C8" w:rsidRPr="00B539DC">
        <w:rPr>
          <w:sz w:val="22"/>
          <w:szCs w:val="22"/>
        </w:rPr>
        <w:t>)</w:t>
      </w:r>
      <w:r w:rsidR="00B625EA">
        <w:rPr>
          <w:sz w:val="22"/>
          <w:szCs w:val="22"/>
        </w:rPr>
        <w:t xml:space="preserve">, anche se </w:t>
      </w:r>
      <w:r w:rsidR="00147CEE" w:rsidRPr="00B539DC">
        <w:rPr>
          <w:sz w:val="22"/>
          <w:szCs w:val="22"/>
        </w:rPr>
        <w:t>lo sfondo ottimale sarebbe la magistratura amministrativa</w:t>
      </w:r>
      <w:r w:rsidR="00B625EA">
        <w:rPr>
          <w:sz w:val="22"/>
          <w:szCs w:val="22"/>
        </w:rPr>
        <w:t xml:space="preserve">; </w:t>
      </w:r>
      <w:r w:rsidR="004F21C8">
        <w:rPr>
          <w:sz w:val="22"/>
          <w:szCs w:val="22"/>
        </w:rPr>
        <w:t>considerando</w:t>
      </w:r>
      <w:r w:rsidR="00B625EA">
        <w:rPr>
          <w:sz w:val="22"/>
          <w:szCs w:val="22"/>
        </w:rPr>
        <w:t xml:space="preserve"> però</w:t>
      </w:r>
      <w:r w:rsidR="004F21C8">
        <w:rPr>
          <w:sz w:val="22"/>
          <w:szCs w:val="22"/>
        </w:rPr>
        <w:t xml:space="preserve"> i carichi di lavoro </w:t>
      </w:r>
      <w:proofErr w:type="spellStart"/>
      <w:r w:rsidR="004F21C8">
        <w:rPr>
          <w:sz w:val="22"/>
          <w:szCs w:val="22"/>
        </w:rPr>
        <w:t>processualtributari</w:t>
      </w:r>
      <w:proofErr w:type="spellEnd"/>
      <w:r w:rsidR="004F21C8">
        <w:rPr>
          <w:sz w:val="22"/>
          <w:szCs w:val="22"/>
        </w:rPr>
        <w:t>, sia pur</w:t>
      </w:r>
      <w:r w:rsidR="00B625EA">
        <w:rPr>
          <w:sz w:val="22"/>
          <w:szCs w:val="22"/>
        </w:rPr>
        <w:t>e in diminuzione</w:t>
      </w:r>
      <w:r w:rsidR="004F21C8">
        <w:rPr>
          <w:sz w:val="22"/>
          <w:szCs w:val="22"/>
        </w:rPr>
        <w:t>, sarebbe</w:t>
      </w:r>
      <w:r w:rsidR="00700970" w:rsidRPr="00B539DC">
        <w:rPr>
          <w:sz w:val="22"/>
          <w:szCs w:val="22"/>
        </w:rPr>
        <w:t xml:space="preserve"> riutilizza</w:t>
      </w:r>
      <w:r w:rsidR="004F21C8">
        <w:rPr>
          <w:sz w:val="22"/>
          <w:szCs w:val="22"/>
        </w:rPr>
        <w:t>bil</w:t>
      </w:r>
      <w:r w:rsidR="00700970" w:rsidRPr="00B539DC">
        <w:rPr>
          <w:sz w:val="22"/>
          <w:szCs w:val="22"/>
        </w:rPr>
        <w:t>e l’esperienza d</w:t>
      </w:r>
      <w:r w:rsidR="004F21C8">
        <w:rPr>
          <w:sz w:val="22"/>
          <w:szCs w:val="22"/>
        </w:rPr>
        <w:t>i una parte degli</w:t>
      </w:r>
      <w:r w:rsidR="00980FD1" w:rsidRPr="00B539DC">
        <w:rPr>
          <w:sz w:val="22"/>
          <w:szCs w:val="22"/>
        </w:rPr>
        <w:t xml:space="preserve"> </w:t>
      </w:r>
      <w:r w:rsidR="004F21C8">
        <w:rPr>
          <w:sz w:val="22"/>
          <w:szCs w:val="22"/>
        </w:rPr>
        <w:t>odierni</w:t>
      </w:r>
      <w:r w:rsidR="00980FD1" w:rsidRPr="00B539DC">
        <w:rPr>
          <w:sz w:val="22"/>
          <w:szCs w:val="22"/>
        </w:rPr>
        <w:t xml:space="preserve"> </w:t>
      </w:r>
      <w:r w:rsidR="004F21C8">
        <w:rPr>
          <w:sz w:val="22"/>
          <w:szCs w:val="22"/>
        </w:rPr>
        <w:t xml:space="preserve">giudici, mentre altri potrebbero alimentare </w:t>
      </w:r>
      <w:r w:rsidR="00B625EA">
        <w:rPr>
          <w:sz w:val="22"/>
          <w:szCs w:val="22"/>
        </w:rPr>
        <w:t>un</w:t>
      </w:r>
      <w:r w:rsidR="004F21C8">
        <w:rPr>
          <w:sz w:val="22"/>
          <w:szCs w:val="22"/>
        </w:rPr>
        <w:t xml:space="preserve"> contenzioso amministrativo</w:t>
      </w:r>
      <w:r w:rsidR="00B625EA">
        <w:rPr>
          <w:sz w:val="22"/>
          <w:szCs w:val="22"/>
        </w:rPr>
        <w:t xml:space="preserve"> nei termini </w:t>
      </w:r>
      <w:proofErr w:type="spellStart"/>
      <w:r w:rsidR="00B625EA">
        <w:rPr>
          <w:sz w:val="22"/>
          <w:szCs w:val="22"/>
        </w:rPr>
        <w:t>indicati</w:t>
      </w:r>
      <w:r w:rsidR="004F21C8">
        <w:rPr>
          <w:sz w:val="22"/>
          <w:szCs w:val="22"/>
        </w:rPr>
        <w:t>al</w:t>
      </w:r>
      <w:proofErr w:type="spellEnd"/>
      <w:r w:rsidR="004F21C8">
        <w:rPr>
          <w:sz w:val="22"/>
          <w:szCs w:val="22"/>
        </w:rPr>
        <w:t xml:space="preserve"> par.6.5</w:t>
      </w:r>
      <w:r w:rsidR="004A7D62" w:rsidRPr="00B539DC">
        <w:rPr>
          <w:sz w:val="22"/>
          <w:szCs w:val="22"/>
        </w:rPr>
        <w:t>.</w:t>
      </w:r>
      <w:r w:rsidR="004A7D62">
        <w:rPr>
          <w:sz w:val="22"/>
          <w:szCs w:val="22"/>
        </w:rPr>
        <w:t xml:space="preserve"> </w:t>
      </w:r>
      <w:r w:rsidR="00A5615C" w:rsidRPr="007F7EBF">
        <w:rPr>
          <w:sz w:val="22"/>
          <w:szCs w:val="22"/>
        </w:rPr>
        <w:t xml:space="preserve"> </w:t>
      </w:r>
    </w:p>
    <w:p w14:paraId="05369F53" w14:textId="07A240AF" w:rsidR="008323FD" w:rsidRDefault="00091A54" w:rsidP="00D8431E">
      <w:pPr>
        <w:pStyle w:val="Titolo3"/>
        <w:rPr>
          <w:rFonts w:ascii="Times New Roman" w:hAnsi="Times New Roman"/>
          <w:sz w:val="22"/>
          <w:szCs w:val="22"/>
          <w:lang w:val="it-IT"/>
        </w:rPr>
      </w:pPr>
      <w:bookmarkStart w:id="93" w:name="_Toc63365004"/>
      <w:r w:rsidRPr="007F7EBF">
        <w:rPr>
          <w:rFonts w:ascii="Times New Roman" w:hAnsi="Times New Roman"/>
          <w:sz w:val="22"/>
          <w:szCs w:val="22"/>
        </w:rPr>
        <w:t xml:space="preserve">6.11. </w:t>
      </w:r>
      <w:proofErr w:type="spellStart"/>
      <w:r w:rsidR="00F464A4" w:rsidRPr="007F7EBF">
        <w:rPr>
          <w:rFonts w:ascii="Times New Roman" w:hAnsi="Times New Roman"/>
          <w:sz w:val="22"/>
          <w:szCs w:val="22"/>
          <w:lang w:val="it-IT"/>
        </w:rPr>
        <w:t>Ris</w:t>
      </w:r>
      <w:r w:rsidR="006342C5" w:rsidRPr="007F7EBF">
        <w:rPr>
          <w:rFonts w:ascii="Times New Roman" w:hAnsi="Times New Roman"/>
          <w:sz w:val="22"/>
          <w:szCs w:val="22"/>
        </w:rPr>
        <w:t>cossione</w:t>
      </w:r>
      <w:proofErr w:type="spellEnd"/>
      <w:r w:rsidR="00F464A4" w:rsidRPr="007F7EBF">
        <w:rPr>
          <w:rFonts w:ascii="Times New Roman" w:hAnsi="Times New Roman"/>
          <w:sz w:val="22"/>
          <w:szCs w:val="22"/>
          <w:lang w:val="it-IT"/>
        </w:rPr>
        <w:t xml:space="preserve"> </w:t>
      </w:r>
      <w:r w:rsidR="0003075D" w:rsidRPr="007F7EBF">
        <w:rPr>
          <w:rFonts w:ascii="Times New Roman" w:hAnsi="Times New Roman"/>
          <w:sz w:val="22"/>
          <w:szCs w:val="22"/>
          <w:lang w:val="it-IT"/>
        </w:rPr>
        <w:t xml:space="preserve">coattiva </w:t>
      </w:r>
      <w:r w:rsidR="00D8431E">
        <w:rPr>
          <w:rFonts w:ascii="Times New Roman" w:hAnsi="Times New Roman"/>
          <w:sz w:val="22"/>
          <w:szCs w:val="22"/>
          <w:lang w:val="it-IT"/>
        </w:rPr>
        <w:t xml:space="preserve">(“autotutela esecutiva”) </w:t>
      </w:r>
      <w:r w:rsidR="00F464A4" w:rsidRPr="007F7EBF">
        <w:rPr>
          <w:rFonts w:ascii="Times New Roman" w:hAnsi="Times New Roman"/>
          <w:sz w:val="22"/>
          <w:szCs w:val="22"/>
          <w:lang w:val="it-IT"/>
        </w:rPr>
        <w:t>e retaggio degli “esattori”</w:t>
      </w:r>
      <w:bookmarkEnd w:id="93"/>
      <w:r w:rsidR="00F464A4" w:rsidRPr="007F7EBF">
        <w:rPr>
          <w:rFonts w:ascii="Times New Roman" w:hAnsi="Times New Roman"/>
          <w:sz w:val="22"/>
          <w:szCs w:val="22"/>
          <w:lang w:val="it-IT"/>
        </w:rPr>
        <w:t xml:space="preserve"> </w:t>
      </w:r>
    </w:p>
    <w:p w14:paraId="1162519B" w14:textId="77777777" w:rsidR="0019417D" w:rsidRDefault="0019417D" w:rsidP="0019417D">
      <w:pPr>
        <w:autoSpaceDE w:val="0"/>
        <w:autoSpaceDN w:val="0"/>
        <w:adjustRightInd w:val="0"/>
      </w:pPr>
    </w:p>
    <w:p w14:paraId="03E16BA6" w14:textId="77777777" w:rsidR="0019417D" w:rsidRPr="0019417D" w:rsidRDefault="0019417D" w:rsidP="0019417D">
      <w:pPr>
        <w:rPr>
          <w:lang w:eastAsia="x-none"/>
        </w:rPr>
      </w:pPr>
    </w:p>
    <w:p w14:paraId="79EB6597" w14:textId="178ABD2D" w:rsidR="0019417D" w:rsidRPr="007F7EBF" w:rsidRDefault="0019417D" w:rsidP="0019417D">
      <w:pPr>
        <w:pStyle w:val="tit23"/>
        <w:ind w:left="6464" w:right="-1361" w:firstLine="0"/>
        <w:jc w:val="left"/>
        <w:rPr>
          <w:bCs/>
          <w:i/>
          <w:iCs/>
          <w:color w:val="0000FF"/>
          <w:lang w:val="it-IT"/>
        </w:rPr>
      </w:pPr>
      <w:r>
        <w:rPr>
          <w:bCs/>
          <w:i/>
          <w:iCs/>
          <w:color w:val="0000FF"/>
          <w:lang w:val="it-IT"/>
        </w:rPr>
        <w:t>Riscossione delle imposte in autotutela esecutiva</w:t>
      </w:r>
    </w:p>
    <w:p w14:paraId="769828DA" w14:textId="1BF83A2E" w:rsidR="0019417D" w:rsidRPr="0019417D" w:rsidRDefault="0019417D" w:rsidP="00EE267B">
      <w:pPr>
        <w:autoSpaceDE w:val="0"/>
        <w:autoSpaceDN w:val="0"/>
        <w:adjustRightInd w:val="0"/>
        <w:rPr>
          <w:lang w:eastAsia="x-none"/>
        </w:rPr>
      </w:pPr>
      <w:r>
        <w:rPr>
          <w:bCs/>
          <w:sz w:val="22"/>
          <w:szCs w:val="22"/>
        </w:rPr>
        <w:t>L</w:t>
      </w:r>
      <w:r>
        <w:t>e imposte determinate in autotutela decisoria, nei modi di cui al par.6.1, non versate dal contribuente, sono richieste secondo l’</w:t>
      </w:r>
      <w:r>
        <w:t>autotutela esecutiva</w:t>
      </w:r>
      <w:r>
        <w:t xml:space="preserve">. Quest’ultima è una </w:t>
      </w:r>
      <w:r>
        <w:t xml:space="preserve">realizzazione coattiva della pretesa  amministrativa, </w:t>
      </w:r>
      <w:r>
        <w:t xml:space="preserve">che </w:t>
      </w:r>
      <w:r>
        <w:t>si intromette nella sfera giuridica dei destinatari, come l’esecuzione privatistico-giurisdizionale</w:t>
      </w:r>
      <w:r>
        <w:t>. Essa</w:t>
      </w:r>
      <w:r>
        <w:t xml:space="preserve"> è quindi circondata di cautele sulla regolarità formale dell’atto amministrativo che la precede</w:t>
      </w:r>
      <w:r>
        <w:t xml:space="preserve">, in quanto la sua componente coattiva travalica le competenze dell’amministrazione di riferimento, richiedendo competenze specifiche. </w:t>
      </w:r>
      <w:r w:rsidR="00EE267B" w:rsidRPr="007F7EBF">
        <w:rPr>
          <w:sz w:val="22"/>
          <w:szCs w:val="22"/>
        </w:rPr>
        <w:t>L</w:t>
      </w:r>
      <w:r w:rsidR="00EE267B">
        <w:rPr>
          <w:sz w:val="22"/>
          <w:szCs w:val="22"/>
        </w:rPr>
        <w:t xml:space="preserve">’autotutela esecutiva va quindi affidata </w:t>
      </w:r>
      <w:r w:rsidR="00EE267B" w:rsidRPr="007F7EBF">
        <w:rPr>
          <w:sz w:val="22"/>
          <w:szCs w:val="22"/>
        </w:rPr>
        <w:t xml:space="preserve">a strutture esterne, incaricate di </w:t>
      </w:r>
      <w:r w:rsidR="00EE267B">
        <w:rPr>
          <w:sz w:val="22"/>
          <w:szCs w:val="22"/>
        </w:rPr>
        <w:t>passaggi tecnici</w:t>
      </w:r>
      <w:r w:rsidR="00EE267B" w:rsidRPr="007F7EBF">
        <w:rPr>
          <w:sz w:val="22"/>
          <w:szCs w:val="22"/>
        </w:rPr>
        <w:t>, come pignoramenti, ipoteche, etc.</w:t>
      </w:r>
      <w:r w:rsidR="00EE267B">
        <w:rPr>
          <w:sz w:val="22"/>
          <w:szCs w:val="22"/>
        </w:rPr>
        <w:t xml:space="preserve">, estranei alle competenze generali delle amministrazioni pubbliche; solo in caso di grandi masse di crediti la gestione </w:t>
      </w:r>
      <w:r w:rsidR="00EE267B" w:rsidRPr="007F7EBF">
        <w:t>in proprio della riscossio</w:t>
      </w:r>
      <w:r w:rsidR="00EE267B">
        <w:t xml:space="preserve">ne da </w:t>
      </w:r>
      <w:r w:rsidR="00EE267B" w:rsidRPr="007F7EBF">
        <w:t>parte dell</w:t>
      </w:r>
      <w:r w:rsidR="00EE267B">
        <w:t xml:space="preserve">e singole amministrazioni, con uffici dedicati, </w:t>
      </w:r>
      <w:r w:rsidR="00EE267B" w:rsidRPr="007F7EBF">
        <w:t>potrebbe essere efficiente</w:t>
      </w:r>
      <w:r w:rsidR="00EE267B" w:rsidRPr="007F7EBF">
        <w:rPr>
          <w:sz w:val="22"/>
          <w:szCs w:val="22"/>
        </w:rPr>
        <w:t>.</w:t>
      </w:r>
    </w:p>
    <w:p w14:paraId="1B8AEE93" w14:textId="20ED226A" w:rsidR="008323FD" w:rsidRPr="007F7EBF" w:rsidRDefault="00E17493" w:rsidP="008323FD">
      <w:pPr>
        <w:pStyle w:val="tit23"/>
        <w:ind w:left="6464" w:right="-1361" w:firstLine="0"/>
        <w:jc w:val="left"/>
        <w:rPr>
          <w:bCs/>
          <w:i/>
          <w:iCs/>
          <w:color w:val="0000FF"/>
          <w:lang w:val="it-IT"/>
        </w:rPr>
      </w:pPr>
      <w:r>
        <w:rPr>
          <w:bCs/>
          <w:i/>
          <w:iCs/>
          <w:color w:val="0000FF"/>
          <w:lang w:val="it-IT"/>
        </w:rPr>
        <w:t>Gli esattori e svuotamento della loro funzione con l’autotassazione</w:t>
      </w:r>
    </w:p>
    <w:p w14:paraId="7ABE8C40" w14:textId="27694443" w:rsidR="00DE0E07" w:rsidRPr="007F7EBF" w:rsidRDefault="00EE267B" w:rsidP="00E17493">
      <w:pPr>
        <w:autoSpaceDE w:val="0"/>
        <w:autoSpaceDN w:val="0"/>
        <w:adjustRightInd w:val="0"/>
        <w:rPr>
          <w:bCs/>
          <w:i/>
          <w:iCs/>
          <w:color w:val="0000FF"/>
        </w:rPr>
      </w:pPr>
      <w:r>
        <w:rPr>
          <w:sz w:val="22"/>
          <w:szCs w:val="22"/>
        </w:rPr>
        <w:t>L’autotutela esecutiva, i</w:t>
      </w:r>
      <w:r w:rsidR="00FD777E" w:rsidRPr="007F7EBF">
        <w:rPr>
          <w:sz w:val="22"/>
          <w:szCs w:val="22"/>
        </w:rPr>
        <w:t>n Italia</w:t>
      </w:r>
      <w:r w:rsidR="00CA081F">
        <w:rPr>
          <w:sz w:val="22"/>
          <w:szCs w:val="22"/>
        </w:rPr>
        <w:t xml:space="preserve">, si intreccia con </w:t>
      </w:r>
      <w:r w:rsidR="00FD777E" w:rsidRPr="007F7EBF">
        <w:rPr>
          <w:sz w:val="22"/>
          <w:szCs w:val="22"/>
        </w:rPr>
        <w:t>la vischiosità delle antiche "esattorie"</w:t>
      </w:r>
      <w:r w:rsidR="006E5AC1">
        <w:rPr>
          <w:sz w:val="22"/>
          <w:szCs w:val="22"/>
        </w:rPr>
        <w:t>, cui alc</w:t>
      </w:r>
      <w:r w:rsidR="00EC37AF" w:rsidRPr="007F7EBF">
        <w:rPr>
          <w:sz w:val="22"/>
          <w:szCs w:val="22"/>
        </w:rPr>
        <w:t>une imposte venivano date in appalto</w:t>
      </w:r>
      <w:r w:rsidR="001C72F2">
        <w:rPr>
          <w:sz w:val="22"/>
          <w:szCs w:val="22"/>
        </w:rPr>
        <w:t xml:space="preserve"> (</w:t>
      </w:r>
      <w:r w:rsidR="00B83DB5">
        <w:rPr>
          <w:sz w:val="22"/>
          <w:szCs w:val="22"/>
        </w:rPr>
        <w:t>par.1.4</w:t>
      </w:r>
      <w:r w:rsidR="001C72F2">
        <w:rPr>
          <w:sz w:val="22"/>
          <w:szCs w:val="22"/>
        </w:rPr>
        <w:t xml:space="preserve">) </w:t>
      </w:r>
      <w:r w:rsidR="00E17493">
        <w:rPr>
          <w:sz w:val="22"/>
          <w:szCs w:val="22"/>
        </w:rPr>
        <w:t xml:space="preserve">in quanto finanziariamente in grado di </w:t>
      </w:r>
      <w:r w:rsidR="00B83DB5">
        <w:rPr>
          <w:sz w:val="22"/>
          <w:szCs w:val="22"/>
        </w:rPr>
        <w:t>anticipar</w:t>
      </w:r>
      <w:r w:rsidR="00E17493">
        <w:rPr>
          <w:sz w:val="22"/>
          <w:szCs w:val="22"/>
        </w:rPr>
        <w:t>n</w:t>
      </w:r>
      <w:r w:rsidR="00B83DB5">
        <w:rPr>
          <w:sz w:val="22"/>
          <w:szCs w:val="22"/>
        </w:rPr>
        <w:t xml:space="preserve">e </w:t>
      </w:r>
      <w:r w:rsidR="00E17493">
        <w:rPr>
          <w:sz w:val="22"/>
          <w:szCs w:val="22"/>
        </w:rPr>
        <w:t xml:space="preserve">il gettito </w:t>
      </w:r>
      <w:r w:rsidR="00133A2C" w:rsidRPr="007F7EBF">
        <w:rPr>
          <w:sz w:val="22"/>
          <w:szCs w:val="22"/>
        </w:rPr>
        <w:t xml:space="preserve">allo stato e </w:t>
      </w:r>
      <w:r w:rsidR="006342C5" w:rsidRPr="007F7EBF">
        <w:rPr>
          <w:sz w:val="22"/>
          <w:szCs w:val="22"/>
        </w:rPr>
        <w:t>poi rivalersi sui</w:t>
      </w:r>
      <w:r w:rsidR="00755AC4" w:rsidRPr="007F7EBF">
        <w:rPr>
          <w:sz w:val="22"/>
          <w:szCs w:val="22"/>
        </w:rPr>
        <w:t xml:space="preserve"> </w:t>
      </w:r>
      <w:r w:rsidR="006342C5" w:rsidRPr="007F7EBF">
        <w:rPr>
          <w:sz w:val="22"/>
          <w:szCs w:val="22"/>
        </w:rPr>
        <w:t>contribuenti</w:t>
      </w:r>
      <w:r w:rsidR="00EC37AF" w:rsidRPr="007F7EBF">
        <w:rPr>
          <w:sz w:val="22"/>
          <w:szCs w:val="22"/>
        </w:rPr>
        <w:t>,</w:t>
      </w:r>
      <w:r w:rsidR="006342C5" w:rsidRPr="007F7EBF">
        <w:rPr>
          <w:sz w:val="22"/>
          <w:szCs w:val="22"/>
        </w:rPr>
        <w:t xml:space="preserve"> con poteri autoritativi delegat</w:t>
      </w:r>
      <w:r w:rsidR="001C72F2">
        <w:rPr>
          <w:sz w:val="22"/>
          <w:szCs w:val="22"/>
        </w:rPr>
        <w:t>i</w:t>
      </w:r>
      <w:r w:rsidR="006342C5" w:rsidRPr="007F7EBF">
        <w:rPr>
          <w:sz w:val="22"/>
          <w:szCs w:val="22"/>
        </w:rPr>
        <w:t xml:space="preserve">. </w:t>
      </w:r>
      <w:r w:rsidR="00EC37AF" w:rsidRPr="007F7EBF">
        <w:rPr>
          <w:sz w:val="22"/>
          <w:szCs w:val="22"/>
        </w:rPr>
        <w:t xml:space="preserve"> </w:t>
      </w:r>
      <w:r w:rsidR="00B83DB5">
        <w:rPr>
          <w:sz w:val="22"/>
          <w:szCs w:val="22"/>
        </w:rPr>
        <w:t xml:space="preserve">Ancora dopo </w:t>
      </w:r>
      <w:r w:rsidR="00EC37AF" w:rsidRPr="007F7EBF">
        <w:rPr>
          <w:sz w:val="22"/>
          <w:szCs w:val="22"/>
        </w:rPr>
        <w:t>l'unità d'Italia</w:t>
      </w:r>
      <w:r w:rsidR="00B83DB5">
        <w:rPr>
          <w:sz w:val="22"/>
          <w:szCs w:val="22"/>
        </w:rPr>
        <w:t xml:space="preserve"> l</w:t>
      </w:r>
      <w:r w:rsidR="00EC37AF" w:rsidRPr="007F7EBF">
        <w:rPr>
          <w:sz w:val="22"/>
          <w:szCs w:val="22"/>
        </w:rPr>
        <w:t xml:space="preserve">'ufficio tributario determinava </w:t>
      </w:r>
      <w:r w:rsidR="00B83DB5">
        <w:rPr>
          <w:sz w:val="22"/>
          <w:szCs w:val="22"/>
        </w:rPr>
        <w:t xml:space="preserve">molte imposte, ma le riscuoteva tramite </w:t>
      </w:r>
      <w:r w:rsidR="00EC37AF" w:rsidRPr="007F7EBF">
        <w:rPr>
          <w:sz w:val="22"/>
          <w:szCs w:val="22"/>
        </w:rPr>
        <w:t>un "ruolo di riscossione"</w:t>
      </w:r>
      <w:r w:rsidR="001C72F2">
        <w:rPr>
          <w:sz w:val="22"/>
          <w:szCs w:val="22"/>
        </w:rPr>
        <w:t>(</w:t>
      </w:r>
      <w:r w:rsidR="00EC37AF" w:rsidRPr="007F7EBF">
        <w:rPr>
          <w:rStyle w:val="Rimandonotaapidipagina"/>
          <w:sz w:val="22"/>
          <w:szCs w:val="22"/>
        </w:rPr>
        <w:footnoteReference w:id="904"/>
      </w:r>
      <w:r w:rsidR="001C72F2">
        <w:rPr>
          <w:sz w:val="22"/>
          <w:szCs w:val="22"/>
        </w:rPr>
        <w:t>)</w:t>
      </w:r>
      <w:r w:rsidR="00EC37AF" w:rsidRPr="007F7EBF">
        <w:rPr>
          <w:sz w:val="22"/>
          <w:szCs w:val="22"/>
        </w:rPr>
        <w:t xml:space="preserve">, </w:t>
      </w:r>
      <w:r w:rsidR="00B83DB5">
        <w:rPr>
          <w:sz w:val="22"/>
          <w:szCs w:val="22"/>
        </w:rPr>
        <w:t xml:space="preserve">inviato </w:t>
      </w:r>
      <w:r w:rsidR="00EC37AF" w:rsidRPr="007F7EBF">
        <w:rPr>
          <w:sz w:val="22"/>
          <w:szCs w:val="22"/>
        </w:rPr>
        <w:t>all'esattore, che ne traeva le cartelle individuali di pagamento</w:t>
      </w:r>
      <w:r w:rsidR="00B83DB5">
        <w:rPr>
          <w:sz w:val="22"/>
          <w:szCs w:val="22"/>
        </w:rPr>
        <w:t xml:space="preserve"> per </w:t>
      </w:r>
      <w:r w:rsidR="00EC37AF" w:rsidRPr="007F7EBF">
        <w:rPr>
          <w:sz w:val="22"/>
          <w:szCs w:val="22"/>
        </w:rPr>
        <w:t xml:space="preserve">i </w:t>
      </w:r>
      <w:r w:rsidR="00B65CB9" w:rsidRPr="007F7EBF">
        <w:rPr>
          <w:sz w:val="22"/>
          <w:szCs w:val="22"/>
        </w:rPr>
        <w:t xml:space="preserve">singoli </w:t>
      </w:r>
      <w:r w:rsidR="00EC37AF" w:rsidRPr="007F7EBF">
        <w:rPr>
          <w:sz w:val="22"/>
          <w:szCs w:val="22"/>
        </w:rPr>
        <w:t xml:space="preserve">debitori. </w:t>
      </w:r>
    </w:p>
    <w:p w14:paraId="4C02EE57" w14:textId="75F8E2F0" w:rsidR="00DE0E07" w:rsidRPr="007F7EBF" w:rsidRDefault="00E17493" w:rsidP="00B83DB5">
      <w:pPr>
        <w:autoSpaceDE w:val="0"/>
        <w:autoSpaceDN w:val="0"/>
        <w:adjustRightInd w:val="0"/>
        <w:rPr>
          <w:bCs/>
          <w:i/>
          <w:iCs/>
          <w:color w:val="0000FF"/>
        </w:rPr>
      </w:pPr>
      <w:r>
        <w:rPr>
          <w:sz w:val="22"/>
          <w:szCs w:val="22"/>
        </w:rPr>
        <w:t>Q</w:t>
      </w:r>
      <w:r w:rsidR="00B65CB9" w:rsidRPr="007F7EBF">
        <w:rPr>
          <w:sz w:val="22"/>
          <w:szCs w:val="22"/>
        </w:rPr>
        <w:t>uesto sistema ibrido</w:t>
      </w:r>
      <w:r>
        <w:rPr>
          <w:sz w:val="22"/>
          <w:szCs w:val="22"/>
        </w:rPr>
        <w:t xml:space="preserve"> </w:t>
      </w:r>
      <w:r w:rsidR="00B65CB9" w:rsidRPr="007F7EBF">
        <w:rPr>
          <w:sz w:val="22"/>
          <w:szCs w:val="22"/>
        </w:rPr>
        <w:t xml:space="preserve">si </w:t>
      </w:r>
      <w:r w:rsidR="007304E7" w:rsidRPr="007F7EBF">
        <w:rPr>
          <w:sz w:val="22"/>
          <w:szCs w:val="22"/>
        </w:rPr>
        <w:t xml:space="preserve">svuotò </w:t>
      </w:r>
      <w:r w:rsidR="00B65CB9" w:rsidRPr="007F7EBF">
        <w:rPr>
          <w:sz w:val="22"/>
          <w:szCs w:val="22"/>
        </w:rPr>
        <w:t xml:space="preserve"> completamente di senso c</w:t>
      </w:r>
      <w:r w:rsidR="00DE0E07" w:rsidRPr="007F7EBF">
        <w:rPr>
          <w:sz w:val="22"/>
          <w:szCs w:val="22"/>
        </w:rPr>
        <w:t>o</w:t>
      </w:r>
      <w:r w:rsidR="00B65CB9" w:rsidRPr="007F7EBF">
        <w:rPr>
          <w:sz w:val="22"/>
          <w:szCs w:val="22"/>
        </w:rPr>
        <w:t xml:space="preserve">n </w:t>
      </w:r>
      <w:r w:rsidR="00DE0E07" w:rsidRPr="007F7EBF">
        <w:rPr>
          <w:sz w:val="22"/>
          <w:szCs w:val="22"/>
        </w:rPr>
        <w:t xml:space="preserve">l'autodeterminazione dei tributi </w:t>
      </w:r>
      <w:r w:rsidR="00B65CB9" w:rsidRPr="007F7EBF">
        <w:rPr>
          <w:sz w:val="22"/>
          <w:szCs w:val="22"/>
        </w:rPr>
        <w:t xml:space="preserve">, ed i versamenti diretti dei contribuenti, di cui al par.3.4. </w:t>
      </w:r>
      <w:r>
        <w:rPr>
          <w:sz w:val="22"/>
          <w:szCs w:val="22"/>
        </w:rPr>
        <w:t xml:space="preserve">Restava però </w:t>
      </w:r>
      <w:r w:rsidR="00B65CB9" w:rsidRPr="007F7EBF">
        <w:rPr>
          <w:sz w:val="22"/>
          <w:szCs w:val="22"/>
        </w:rPr>
        <w:t xml:space="preserve">la tendenza delle </w:t>
      </w:r>
      <w:r w:rsidRPr="007F7EBF">
        <w:t>burocrazie a perpetuare se stesse</w:t>
      </w:r>
      <w:r>
        <w:t xml:space="preserve">, specie se si emanazione bancaria, </w:t>
      </w:r>
      <w:r w:rsidRPr="007F7EBF">
        <w:t xml:space="preserve"> realizza</w:t>
      </w:r>
      <w:r>
        <w:t>ndo</w:t>
      </w:r>
      <w:r w:rsidRPr="007F7EBF">
        <w:t xml:space="preserve"> l'aforisma Hegeliano secondo cui tutto </w:t>
      </w:r>
      <w:proofErr w:type="spellStart"/>
      <w:r w:rsidRPr="007F7EBF">
        <w:t>cio'</w:t>
      </w:r>
      <w:proofErr w:type="spellEnd"/>
      <w:r w:rsidRPr="007F7EBF">
        <w:t xml:space="preserve"> che è reale </w:t>
      </w:r>
      <w:r w:rsidRPr="007F7EBF">
        <w:lastRenderedPageBreak/>
        <w:t>è razionale</w:t>
      </w:r>
      <w:r>
        <w:t>. L</w:t>
      </w:r>
      <w:r w:rsidR="00BB6C72" w:rsidRPr="007F7EBF">
        <w:rPr>
          <w:sz w:val="22"/>
          <w:szCs w:val="22"/>
        </w:rPr>
        <w:t xml:space="preserve">e "esattorie" </w:t>
      </w:r>
      <w:r>
        <w:rPr>
          <w:sz w:val="22"/>
          <w:szCs w:val="22"/>
        </w:rPr>
        <w:t>furono quindi mantenute per decenni</w:t>
      </w:r>
      <w:r w:rsidR="00BB6C72" w:rsidRPr="007F7EBF">
        <w:rPr>
          <w:sz w:val="22"/>
          <w:szCs w:val="22"/>
        </w:rPr>
        <w:t xml:space="preserve">, </w:t>
      </w:r>
      <w:r w:rsidR="00B83DB5">
        <w:rPr>
          <w:sz w:val="22"/>
          <w:szCs w:val="22"/>
        </w:rPr>
        <w:t>co</w:t>
      </w:r>
      <w:r w:rsidR="001C72F2">
        <w:rPr>
          <w:sz w:val="22"/>
          <w:szCs w:val="22"/>
        </w:rPr>
        <w:t>n forzati</w:t>
      </w:r>
      <w:r w:rsidR="00B83DB5">
        <w:rPr>
          <w:sz w:val="22"/>
          <w:szCs w:val="22"/>
        </w:rPr>
        <w:t xml:space="preserve"> tentativ</w:t>
      </w:r>
      <w:r w:rsidR="001C72F2">
        <w:rPr>
          <w:sz w:val="22"/>
          <w:szCs w:val="22"/>
        </w:rPr>
        <w:t>i</w:t>
      </w:r>
      <w:r w:rsidR="00001F57" w:rsidRPr="007F7EBF">
        <w:rPr>
          <w:sz w:val="22"/>
          <w:szCs w:val="22"/>
        </w:rPr>
        <w:t xml:space="preserve"> </w:t>
      </w:r>
      <w:r w:rsidR="00BB6C72" w:rsidRPr="007F7EBF">
        <w:rPr>
          <w:sz w:val="22"/>
          <w:szCs w:val="22"/>
        </w:rPr>
        <w:t xml:space="preserve">di </w:t>
      </w:r>
      <w:r w:rsidR="001C72F2">
        <w:rPr>
          <w:sz w:val="22"/>
          <w:szCs w:val="22"/>
        </w:rPr>
        <w:t xml:space="preserve">rivitalizzazione con </w:t>
      </w:r>
      <w:r w:rsidR="00BB6C72" w:rsidRPr="007F7EBF">
        <w:rPr>
          <w:sz w:val="22"/>
          <w:szCs w:val="22"/>
        </w:rPr>
        <w:t xml:space="preserve">nuove </w:t>
      </w:r>
      <w:r w:rsidR="00B83DB5">
        <w:rPr>
          <w:sz w:val="22"/>
          <w:szCs w:val="22"/>
        </w:rPr>
        <w:t xml:space="preserve">ingiustificate </w:t>
      </w:r>
      <w:r w:rsidR="00BB6C72" w:rsidRPr="007F7EBF">
        <w:rPr>
          <w:sz w:val="22"/>
          <w:szCs w:val="22"/>
        </w:rPr>
        <w:t xml:space="preserve">funzioni </w:t>
      </w:r>
      <w:r w:rsidR="00B83DB5">
        <w:rPr>
          <w:sz w:val="22"/>
          <w:szCs w:val="22"/>
        </w:rPr>
        <w:t>(</w:t>
      </w:r>
      <w:r w:rsidR="00BB6C72" w:rsidRPr="007F7EBF">
        <w:rPr>
          <w:rStyle w:val="Rimandonotaapidipagina"/>
          <w:sz w:val="22"/>
          <w:szCs w:val="22"/>
        </w:rPr>
        <w:footnoteReference w:id="905"/>
      </w:r>
      <w:r w:rsidR="00B83DB5">
        <w:rPr>
          <w:sz w:val="22"/>
          <w:szCs w:val="22"/>
        </w:rPr>
        <w:t>)</w:t>
      </w:r>
      <w:r w:rsidR="00001F57" w:rsidRPr="007F7EBF">
        <w:rPr>
          <w:sz w:val="22"/>
          <w:szCs w:val="22"/>
        </w:rPr>
        <w:t xml:space="preserve">. </w:t>
      </w:r>
    </w:p>
    <w:p w14:paraId="277E618A" w14:textId="2C11798B" w:rsidR="00755AC4" w:rsidRPr="007F7EBF" w:rsidRDefault="00001F57" w:rsidP="009A46B3">
      <w:pPr>
        <w:autoSpaceDE w:val="0"/>
        <w:autoSpaceDN w:val="0"/>
        <w:adjustRightInd w:val="0"/>
        <w:rPr>
          <w:bCs/>
          <w:i/>
          <w:iCs/>
          <w:color w:val="0000FF"/>
          <w:sz w:val="22"/>
          <w:szCs w:val="22"/>
        </w:rPr>
      </w:pPr>
      <w:r w:rsidRPr="007F7EBF">
        <w:rPr>
          <w:sz w:val="22"/>
          <w:szCs w:val="22"/>
        </w:rPr>
        <w:t xml:space="preserve">Passarono decenni in cui le esattorie, </w:t>
      </w:r>
      <w:r w:rsidR="00E17493">
        <w:rPr>
          <w:sz w:val="22"/>
          <w:szCs w:val="22"/>
        </w:rPr>
        <w:t>ormai</w:t>
      </w:r>
      <w:r w:rsidRPr="007F7EBF">
        <w:rPr>
          <w:sz w:val="22"/>
          <w:szCs w:val="22"/>
        </w:rPr>
        <w:t xml:space="preserve"> aree di parcheggio del personale </w:t>
      </w:r>
      <w:r w:rsidR="00E17493">
        <w:rPr>
          <w:sz w:val="22"/>
          <w:szCs w:val="22"/>
        </w:rPr>
        <w:t>in esubero delle banche</w:t>
      </w:r>
      <w:r w:rsidRPr="007F7EBF">
        <w:rPr>
          <w:sz w:val="22"/>
          <w:szCs w:val="22"/>
        </w:rPr>
        <w:t xml:space="preserve"> di cui erano emanazione, </w:t>
      </w:r>
      <w:r w:rsidR="00B83DB5">
        <w:rPr>
          <w:sz w:val="22"/>
          <w:szCs w:val="22"/>
        </w:rPr>
        <w:t xml:space="preserve">si </w:t>
      </w:r>
      <w:r w:rsidRPr="007F7EBF">
        <w:rPr>
          <w:sz w:val="22"/>
          <w:szCs w:val="22"/>
        </w:rPr>
        <w:t>trascinarono stancamente</w:t>
      </w:r>
      <w:r w:rsidR="00285FBF">
        <w:rPr>
          <w:sz w:val="22"/>
          <w:szCs w:val="22"/>
        </w:rPr>
        <w:t xml:space="preserve"> a spese della collettività</w:t>
      </w:r>
      <w:r w:rsidR="00E17493">
        <w:rPr>
          <w:sz w:val="22"/>
          <w:szCs w:val="22"/>
        </w:rPr>
        <w:t xml:space="preserve">. </w:t>
      </w:r>
      <w:r w:rsidR="00E17493" w:rsidRPr="007F7EBF">
        <w:t>L’efficienza della riscossione coattiva era bassissima, in quanto le esattorie (denominate nel frattempo “concessionarie per la riscossione”) tendevano a non anticipare costi di esecuzione forzata, e puntavano a un recupero dei loro deficit di bilancio a carico dell’erario</w:t>
      </w:r>
      <w:r w:rsidR="00E17493">
        <w:t xml:space="preserve"> </w:t>
      </w:r>
      <w:r w:rsidR="00B83DB5">
        <w:rPr>
          <w:sz w:val="22"/>
          <w:szCs w:val="22"/>
        </w:rPr>
        <w:t>(</w:t>
      </w:r>
      <w:r w:rsidRPr="007F7EBF">
        <w:rPr>
          <w:rStyle w:val="Rimandonotaapidipagina"/>
          <w:sz w:val="22"/>
          <w:szCs w:val="22"/>
        </w:rPr>
        <w:footnoteReference w:id="906"/>
      </w:r>
      <w:r w:rsidR="00B83DB5">
        <w:rPr>
          <w:sz w:val="22"/>
          <w:szCs w:val="22"/>
        </w:rPr>
        <w:t>)</w:t>
      </w:r>
      <w:r w:rsidR="008A23F0" w:rsidRPr="007F7EBF">
        <w:rPr>
          <w:sz w:val="22"/>
          <w:szCs w:val="22"/>
        </w:rPr>
        <w:t>.</w:t>
      </w:r>
      <w:r w:rsidRPr="007F7EBF">
        <w:rPr>
          <w:sz w:val="22"/>
          <w:szCs w:val="22"/>
        </w:rPr>
        <w:t xml:space="preserve"> </w:t>
      </w:r>
    </w:p>
    <w:p w14:paraId="3670AE1F" w14:textId="1CF47736" w:rsidR="009A46B3" w:rsidRPr="007F7EBF" w:rsidRDefault="00E17493" w:rsidP="009A46B3">
      <w:pPr>
        <w:pStyle w:val="tit23"/>
        <w:ind w:left="6464" w:right="-1361" w:firstLine="0"/>
        <w:jc w:val="left"/>
        <w:rPr>
          <w:bCs/>
          <w:i/>
          <w:iCs/>
          <w:color w:val="0000FF"/>
          <w:lang w:val="it-IT"/>
        </w:rPr>
      </w:pPr>
      <w:r>
        <w:rPr>
          <w:bCs/>
          <w:i/>
          <w:iCs/>
          <w:color w:val="0000FF"/>
          <w:lang w:val="it-IT"/>
        </w:rPr>
        <w:t>Equitalia, il</w:t>
      </w:r>
      <w:r w:rsidR="0063728E">
        <w:rPr>
          <w:bCs/>
          <w:i/>
          <w:iCs/>
          <w:color w:val="0000FF"/>
          <w:lang w:val="it-IT"/>
        </w:rPr>
        <w:t xml:space="preserve"> recupero di efficienza e le polemiche</w:t>
      </w:r>
    </w:p>
    <w:p w14:paraId="1BD49D93" w14:textId="179A244D" w:rsidR="009F27E4" w:rsidRPr="007F7EBF" w:rsidRDefault="00E17493" w:rsidP="009F27E4">
      <w:pPr>
        <w:autoSpaceDE w:val="0"/>
        <w:autoSpaceDN w:val="0"/>
        <w:adjustRightInd w:val="0"/>
        <w:rPr>
          <w:sz w:val="22"/>
          <w:szCs w:val="22"/>
        </w:rPr>
      </w:pPr>
      <w:r w:rsidRPr="007F7EBF">
        <w:rPr>
          <w:sz w:val="22"/>
          <w:szCs w:val="22"/>
        </w:rPr>
        <w:t>Nei primi anni duemila</w:t>
      </w:r>
      <w:r>
        <w:rPr>
          <w:sz w:val="22"/>
          <w:szCs w:val="22"/>
        </w:rPr>
        <w:t xml:space="preserve"> </w:t>
      </w:r>
      <w:r>
        <w:rPr>
          <w:sz w:val="22"/>
          <w:szCs w:val="22"/>
        </w:rPr>
        <w:t>le esattorie</w:t>
      </w:r>
      <w:r w:rsidRPr="007F7EBF">
        <w:rPr>
          <w:sz w:val="22"/>
          <w:szCs w:val="22"/>
        </w:rPr>
        <w:t xml:space="preserve"> furono acquisite, co</w:t>
      </w:r>
      <w:r>
        <w:rPr>
          <w:sz w:val="22"/>
          <w:szCs w:val="22"/>
        </w:rPr>
        <w:t>i loro</w:t>
      </w:r>
      <w:r w:rsidRPr="007F7EBF">
        <w:rPr>
          <w:sz w:val="22"/>
          <w:szCs w:val="22"/>
        </w:rPr>
        <w:t xml:space="preserve"> circa 10000 dipendenti, da Equitalia spa, controllata pariteticamente dall’agenzia delle entrate e dall’INPS</w:t>
      </w:r>
      <w:r>
        <w:rPr>
          <w:sz w:val="22"/>
          <w:szCs w:val="22"/>
        </w:rPr>
        <w:t>(</w:t>
      </w:r>
      <w:r w:rsidRPr="007F7EBF">
        <w:rPr>
          <w:rStyle w:val="Rimandonotaapidipagina"/>
          <w:sz w:val="22"/>
          <w:szCs w:val="22"/>
        </w:rPr>
        <w:footnoteReference w:id="907"/>
      </w:r>
      <w:r>
        <w:rPr>
          <w:sz w:val="22"/>
          <w:szCs w:val="22"/>
        </w:rPr>
        <w:t>)</w:t>
      </w:r>
      <w:r w:rsidRPr="007F7EBF">
        <w:rPr>
          <w:sz w:val="22"/>
          <w:szCs w:val="22"/>
        </w:rPr>
        <w:t>.</w:t>
      </w:r>
      <w:r w:rsidR="00C00A0C">
        <w:rPr>
          <w:sz w:val="22"/>
          <w:szCs w:val="22"/>
        </w:rPr>
        <w:t xml:space="preserve"> </w:t>
      </w:r>
      <w:r w:rsidR="007304E7" w:rsidRPr="007F7EBF">
        <w:rPr>
          <w:sz w:val="22"/>
          <w:szCs w:val="22"/>
        </w:rPr>
        <w:t>L'</w:t>
      </w:r>
      <w:r w:rsidR="009A46B3" w:rsidRPr="007F7EBF">
        <w:rPr>
          <w:bCs/>
          <w:sz w:val="22"/>
          <w:szCs w:val="22"/>
        </w:rPr>
        <w:t xml:space="preserve">impostazione aziendalistica </w:t>
      </w:r>
      <w:r w:rsidR="009A46B3" w:rsidRPr="007F7EBF">
        <w:rPr>
          <w:sz w:val="22"/>
          <w:szCs w:val="22"/>
        </w:rPr>
        <w:t xml:space="preserve">di Equitalia </w:t>
      </w:r>
      <w:r w:rsidR="007304E7" w:rsidRPr="007F7EBF">
        <w:rPr>
          <w:sz w:val="22"/>
          <w:szCs w:val="22"/>
        </w:rPr>
        <w:t>portò</w:t>
      </w:r>
      <w:r w:rsidR="009A46B3" w:rsidRPr="007F7EBF">
        <w:rPr>
          <w:sz w:val="22"/>
          <w:szCs w:val="22"/>
        </w:rPr>
        <w:t xml:space="preserve"> ad una </w:t>
      </w:r>
      <w:r w:rsidR="009A46B3" w:rsidRPr="007F7EBF">
        <w:rPr>
          <w:bCs/>
          <w:sz w:val="22"/>
          <w:szCs w:val="22"/>
        </w:rPr>
        <w:t xml:space="preserve">maggiore efficienza </w:t>
      </w:r>
      <w:r w:rsidR="009A46B3" w:rsidRPr="007F7EBF">
        <w:rPr>
          <w:sz w:val="22"/>
          <w:szCs w:val="22"/>
        </w:rPr>
        <w:t>della riscossione coattiva</w:t>
      </w:r>
      <w:r w:rsidR="00C00A0C">
        <w:rPr>
          <w:sz w:val="22"/>
          <w:szCs w:val="22"/>
        </w:rPr>
        <w:t xml:space="preserve">, </w:t>
      </w:r>
      <w:r w:rsidR="00C00A0C" w:rsidRPr="007F7EBF">
        <w:t xml:space="preserve">Si è trattato di un caso in cui il passaggio da “concessionario privato” alla gestione pubblica ha comportato un aumento di efficienza. Il motivo è che per gli esattori privati, ormai banche, </w:t>
      </w:r>
      <w:r w:rsidR="00C00A0C">
        <w:t>era un’</w:t>
      </w:r>
      <w:r w:rsidR="00C00A0C" w:rsidRPr="007F7EBF">
        <w:t xml:space="preserve">attività </w:t>
      </w:r>
      <w:r w:rsidR="00C00A0C">
        <w:t>collaterale, es</w:t>
      </w:r>
      <w:r w:rsidR="00C00A0C" w:rsidRPr="007F7EBF">
        <w:t>ercitata in modo svogliato e per molti versi opportunistico (scaricando sulle esattorie, come già rilevato, personale in esubero delle banche). Per Agenzia delle Entrate ed Inps, invece, l’attività di riscossione è una componente essenziale dell’attività istituzionale, dal che maggiore impegno organizzativo e coinvolgimento. Gli esiti, di cui diremo alla nota successiva, confermano che l’efficienza delle funzioni amministrative tributarie può suscitare tendenze di opinione negative nella società</w:t>
      </w:r>
      <w:r w:rsidR="00C00A0C">
        <w:rPr>
          <w:sz w:val="22"/>
          <w:szCs w:val="22"/>
        </w:rPr>
        <w:t xml:space="preserve"> </w:t>
      </w:r>
      <w:r w:rsidR="00576B84">
        <w:rPr>
          <w:sz w:val="22"/>
          <w:szCs w:val="22"/>
        </w:rPr>
        <w:lastRenderedPageBreak/>
        <w:t>(</w:t>
      </w:r>
      <w:r w:rsidR="00CD17BF" w:rsidRPr="007F7EBF">
        <w:rPr>
          <w:rStyle w:val="Rimandonotaapidipagina"/>
          <w:sz w:val="22"/>
          <w:szCs w:val="22"/>
        </w:rPr>
        <w:footnoteReference w:id="908"/>
      </w:r>
      <w:r w:rsidR="00576B84">
        <w:rPr>
          <w:sz w:val="22"/>
          <w:szCs w:val="22"/>
        </w:rPr>
        <w:t>)</w:t>
      </w:r>
      <w:r w:rsidR="007304E7" w:rsidRPr="007F7EBF">
        <w:rPr>
          <w:sz w:val="22"/>
          <w:szCs w:val="22"/>
        </w:rPr>
        <w:t>, ed Equitalia fu utilizzata anche da altri enti pubblici</w:t>
      </w:r>
      <w:r w:rsidR="00576B84">
        <w:rPr>
          <w:sz w:val="22"/>
          <w:szCs w:val="22"/>
        </w:rPr>
        <w:t>(</w:t>
      </w:r>
      <w:r w:rsidR="007304E7" w:rsidRPr="007F7EBF">
        <w:rPr>
          <w:rStyle w:val="Rimandonotaapidipagina"/>
          <w:sz w:val="22"/>
          <w:szCs w:val="22"/>
        </w:rPr>
        <w:footnoteReference w:id="909"/>
      </w:r>
      <w:r w:rsidR="00576B84">
        <w:rPr>
          <w:sz w:val="22"/>
          <w:szCs w:val="22"/>
        </w:rPr>
        <w:t>)</w:t>
      </w:r>
      <w:r w:rsidR="007304E7" w:rsidRPr="007F7EBF">
        <w:rPr>
          <w:sz w:val="22"/>
          <w:szCs w:val="22"/>
        </w:rPr>
        <w:t xml:space="preserve"> . </w:t>
      </w:r>
      <w:r w:rsidR="009A46B3" w:rsidRPr="007F7EBF">
        <w:rPr>
          <w:sz w:val="22"/>
          <w:szCs w:val="22"/>
        </w:rPr>
        <w:t xml:space="preserve">Tuttavia proprio </w:t>
      </w:r>
      <w:r w:rsidR="00B90F4F">
        <w:rPr>
          <w:sz w:val="22"/>
          <w:szCs w:val="22"/>
        </w:rPr>
        <w:t>l</w:t>
      </w:r>
      <w:r w:rsidR="009A46B3" w:rsidRPr="007F7EBF">
        <w:rPr>
          <w:sz w:val="22"/>
          <w:szCs w:val="22"/>
        </w:rPr>
        <w:t>'efficienza</w:t>
      </w:r>
      <w:r w:rsidR="00B90F4F">
        <w:rPr>
          <w:sz w:val="22"/>
          <w:szCs w:val="22"/>
        </w:rPr>
        <w:t xml:space="preserve"> di u</w:t>
      </w:r>
      <w:r w:rsidR="009A46B3" w:rsidRPr="007F7EBF">
        <w:rPr>
          <w:sz w:val="22"/>
          <w:szCs w:val="22"/>
        </w:rPr>
        <w:t>n ente che</w:t>
      </w:r>
      <w:r w:rsidR="00B90F4F">
        <w:rPr>
          <w:sz w:val="22"/>
          <w:szCs w:val="22"/>
        </w:rPr>
        <w:t xml:space="preserve"> non</w:t>
      </w:r>
      <w:r w:rsidR="009A46B3" w:rsidRPr="007F7EBF">
        <w:rPr>
          <w:sz w:val="22"/>
          <w:szCs w:val="22"/>
        </w:rPr>
        <w:t xml:space="preserve"> amministrava il tributo ha spersonalizzato la riscossione, con comportamenti percepiti come "vessatori" dai destinatari</w:t>
      </w:r>
      <w:r w:rsidR="002D4FA2" w:rsidRPr="007F7EBF">
        <w:rPr>
          <w:sz w:val="22"/>
          <w:szCs w:val="22"/>
        </w:rPr>
        <w:t>.</w:t>
      </w:r>
      <w:r w:rsidR="009F27E4" w:rsidRPr="007F7EBF">
        <w:rPr>
          <w:sz w:val="22"/>
          <w:szCs w:val="22"/>
        </w:rPr>
        <w:t xml:space="preserve"> </w:t>
      </w:r>
      <w:r w:rsidR="00F33078" w:rsidRPr="007F7EBF">
        <w:rPr>
          <w:sz w:val="22"/>
          <w:szCs w:val="22"/>
        </w:rPr>
        <w:t xml:space="preserve">Si pensi  all'utilizzo di poteri  </w:t>
      </w:r>
      <w:proofErr w:type="spellStart"/>
      <w:r w:rsidR="00F33078" w:rsidRPr="007F7EBF">
        <w:rPr>
          <w:sz w:val="22"/>
          <w:szCs w:val="22"/>
        </w:rPr>
        <w:t>parasanzionatori</w:t>
      </w:r>
      <w:proofErr w:type="spellEnd"/>
      <w:r w:rsidR="00F33078" w:rsidRPr="007F7EBF">
        <w:rPr>
          <w:sz w:val="22"/>
          <w:szCs w:val="22"/>
        </w:rPr>
        <w:t xml:space="preserve">, come il fermo della circolazione dei veicoli (“ganasce fiscali”) e l’iscrizione di ipoteche su immobili, in caso di mancato pagamento. </w:t>
      </w:r>
      <w:r w:rsidR="009F27E4" w:rsidRPr="007F7EBF">
        <w:rPr>
          <w:sz w:val="22"/>
          <w:szCs w:val="22"/>
        </w:rPr>
        <w:t>Sul piano mediatico Equitalia, adibita all</w:t>
      </w:r>
      <w:r w:rsidR="00B90F4F">
        <w:rPr>
          <w:sz w:val="22"/>
          <w:szCs w:val="22"/>
        </w:rPr>
        <w:t>’ultim</w:t>
      </w:r>
      <w:r w:rsidR="009F27E4" w:rsidRPr="007F7EBF">
        <w:rPr>
          <w:sz w:val="22"/>
          <w:szCs w:val="22"/>
        </w:rPr>
        <w:t xml:space="preserve">a fase di riscossione, </w:t>
      </w:r>
      <w:r w:rsidR="00F33078" w:rsidRPr="007F7EBF">
        <w:rPr>
          <w:sz w:val="22"/>
          <w:szCs w:val="22"/>
        </w:rPr>
        <w:t>fu quindi</w:t>
      </w:r>
      <w:r w:rsidR="009F27E4" w:rsidRPr="007F7EBF">
        <w:rPr>
          <w:sz w:val="22"/>
          <w:szCs w:val="22"/>
        </w:rPr>
        <w:t xml:space="preserve"> accusata </w:t>
      </w:r>
      <w:r w:rsidR="00B90F4F" w:rsidRPr="007F7EBF">
        <w:rPr>
          <w:sz w:val="22"/>
          <w:szCs w:val="22"/>
        </w:rPr>
        <w:t>del malessere generale verso il fisco, specie in periodi di crisi economica</w:t>
      </w:r>
      <w:r w:rsidR="00B90F4F">
        <w:rPr>
          <w:sz w:val="22"/>
          <w:szCs w:val="22"/>
        </w:rPr>
        <w:t xml:space="preserve"> (</w:t>
      </w:r>
      <w:r w:rsidR="00B90F4F" w:rsidRPr="007F7EBF">
        <w:rPr>
          <w:rStyle w:val="Rimandonotaapidipagina"/>
          <w:sz w:val="22"/>
          <w:szCs w:val="22"/>
        </w:rPr>
        <w:footnoteReference w:id="910"/>
      </w:r>
      <w:r w:rsidR="00B90F4F">
        <w:rPr>
          <w:sz w:val="22"/>
          <w:szCs w:val="22"/>
        </w:rPr>
        <w:t>)</w:t>
      </w:r>
      <w:r w:rsidR="00B90F4F" w:rsidRPr="007F7EBF">
        <w:rPr>
          <w:sz w:val="22"/>
          <w:szCs w:val="22"/>
        </w:rPr>
        <w:t>.</w:t>
      </w:r>
    </w:p>
    <w:p w14:paraId="46ADE0BA" w14:textId="25DEAF95" w:rsidR="009F27E4" w:rsidRPr="007F7EBF" w:rsidRDefault="00E404B1" w:rsidP="009F27E4">
      <w:pPr>
        <w:pStyle w:val="tit23"/>
        <w:ind w:left="6464" w:right="-1361" w:firstLine="0"/>
        <w:jc w:val="left"/>
        <w:rPr>
          <w:bCs/>
          <w:i/>
          <w:iCs/>
          <w:color w:val="0000FF"/>
          <w:lang w:val="it-IT"/>
        </w:rPr>
      </w:pPr>
      <w:r>
        <w:rPr>
          <w:bCs/>
          <w:i/>
          <w:iCs/>
          <w:color w:val="0000FF"/>
          <w:lang w:val="it-IT"/>
        </w:rPr>
        <w:t xml:space="preserve">L’inserimento della struttura di </w:t>
      </w:r>
      <w:r w:rsidR="00F33078" w:rsidRPr="007F7EBF">
        <w:rPr>
          <w:bCs/>
          <w:i/>
          <w:iCs/>
          <w:color w:val="0000FF"/>
          <w:lang w:val="it-IT"/>
        </w:rPr>
        <w:t xml:space="preserve">Equitalia </w:t>
      </w:r>
      <w:r>
        <w:rPr>
          <w:bCs/>
          <w:i/>
          <w:iCs/>
          <w:color w:val="0000FF"/>
          <w:lang w:val="it-IT"/>
        </w:rPr>
        <w:t>nell’</w:t>
      </w:r>
      <w:r w:rsidR="000E5277">
        <w:rPr>
          <w:bCs/>
          <w:i/>
          <w:iCs/>
          <w:color w:val="0000FF"/>
          <w:lang w:val="it-IT"/>
        </w:rPr>
        <w:t xml:space="preserve">agenzia delle entrate </w:t>
      </w:r>
    </w:p>
    <w:p w14:paraId="6CD1750F" w14:textId="675D8ADF" w:rsidR="00CC1696" w:rsidRPr="007F7EBF" w:rsidRDefault="00B90F4F" w:rsidP="00CC1696">
      <w:pPr>
        <w:autoSpaceDE w:val="0"/>
        <w:autoSpaceDN w:val="0"/>
        <w:adjustRightInd w:val="0"/>
        <w:rPr>
          <w:bCs/>
          <w:i/>
          <w:iCs/>
          <w:color w:val="0000FF"/>
          <w:sz w:val="22"/>
          <w:szCs w:val="22"/>
        </w:rPr>
      </w:pPr>
      <w:r>
        <w:rPr>
          <w:sz w:val="22"/>
          <w:szCs w:val="22"/>
        </w:rPr>
        <w:t xml:space="preserve">Fu quindi addebitata ad </w:t>
      </w:r>
      <w:r w:rsidR="009F27E4" w:rsidRPr="007F7EBF">
        <w:rPr>
          <w:sz w:val="22"/>
          <w:szCs w:val="22"/>
        </w:rPr>
        <w:t xml:space="preserve">Equitalia, </w:t>
      </w:r>
      <w:r w:rsidR="0010278A">
        <w:rPr>
          <w:sz w:val="22"/>
          <w:szCs w:val="22"/>
        </w:rPr>
        <w:t xml:space="preserve">personificata </w:t>
      </w:r>
      <w:r w:rsidR="00CD64A7">
        <w:rPr>
          <w:sz w:val="22"/>
          <w:szCs w:val="22"/>
        </w:rPr>
        <w:t xml:space="preserve">come simbolo </w:t>
      </w:r>
      <w:r>
        <w:rPr>
          <w:sz w:val="22"/>
          <w:szCs w:val="22"/>
        </w:rPr>
        <w:t>negativ</w:t>
      </w:r>
      <w:r w:rsidR="00CD64A7">
        <w:rPr>
          <w:sz w:val="22"/>
          <w:szCs w:val="22"/>
        </w:rPr>
        <w:t>o</w:t>
      </w:r>
      <w:r>
        <w:rPr>
          <w:sz w:val="22"/>
          <w:szCs w:val="22"/>
        </w:rPr>
        <w:t xml:space="preserve"> </w:t>
      </w:r>
      <w:r w:rsidR="00CD64A7">
        <w:rPr>
          <w:sz w:val="22"/>
          <w:szCs w:val="22"/>
        </w:rPr>
        <w:t>(</w:t>
      </w:r>
      <w:r>
        <w:rPr>
          <w:sz w:val="22"/>
          <w:szCs w:val="22"/>
        </w:rPr>
        <w:t>p</w:t>
      </w:r>
      <w:r w:rsidR="00F33078" w:rsidRPr="007F7EBF">
        <w:rPr>
          <w:sz w:val="22"/>
          <w:szCs w:val="22"/>
        </w:rPr>
        <w:t>ar.</w:t>
      </w:r>
      <w:r w:rsidR="00FE3595" w:rsidRPr="00FE3595">
        <w:t xml:space="preserve"> </w:t>
      </w:r>
      <w:r w:rsidR="00FE3595">
        <w:t>4.1</w:t>
      </w:r>
      <w:r w:rsidR="00CD64A7">
        <w:rPr>
          <w:sz w:val="22"/>
          <w:szCs w:val="22"/>
        </w:rPr>
        <w:t>)</w:t>
      </w:r>
      <w:r w:rsidR="009D433E">
        <w:rPr>
          <w:sz w:val="22"/>
          <w:szCs w:val="22"/>
        </w:rPr>
        <w:t xml:space="preserve"> la </w:t>
      </w:r>
      <w:r w:rsidR="00F33078" w:rsidRPr="007F7EBF">
        <w:rPr>
          <w:sz w:val="22"/>
          <w:szCs w:val="22"/>
        </w:rPr>
        <w:t>tipica carenza di</w:t>
      </w:r>
      <w:r w:rsidR="009A46B3" w:rsidRPr="007F7EBF">
        <w:rPr>
          <w:sz w:val="22"/>
          <w:szCs w:val="22"/>
        </w:rPr>
        <w:t xml:space="preserve"> umanità </w:t>
      </w:r>
      <w:r w:rsidR="00F33078" w:rsidRPr="007F7EBF">
        <w:rPr>
          <w:sz w:val="22"/>
          <w:szCs w:val="22"/>
        </w:rPr>
        <w:t>delle strutture impersonali</w:t>
      </w:r>
      <w:r w:rsidR="00F33078" w:rsidRPr="007F7EBF">
        <w:rPr>
          <w:rStyle w:val="Rimandonotaapidipagina"/>
          <w:sz w:val="22"/>
          <w:szCs w:val="22"/>
        </w:rPr>
        <w:footnoteReference w:id="911"/>
      </w:r>
      <w:r w:rsidR="009D433E">
        <w:rPr>
          <w:sz w:val="22"/>
          <w:szCs w:val="22"/>
        </w:rPr>
        <w:t>, mentre essa esprimeva solo maggiore efficienza rispetto ai precedenti concessionari</w:t>
      </w:r>
      <w:r w:rsidR="009D433E" w:rsidRPr="007F7EBF">
        <w:rPr>
          <w:sz w:val="22"/>
          <w:szCs w:val="22"/>
        </w:rPr>
        <w:t>.</w:t>
      </w:r>
      <w:r w:rsidR="009D433E">
        <w:rPr>
          <w:sz w:val="22"/>
          <w:szCs w:val="22"/>
        </w:rPr>
        <w:t xml:space="preserve"> </w:t>
      </w:r>
      <w:r w:rsidR="00576B84">
        <w:rPr>
          <w:sz w:val="22"/>
          <w:szCs w:val="22"/>
        </w:rPr>
        <w:t>Quest</w:t>
      </w:r>
      <w:r w:rsidR="009D433E">
        <w:rPr>
          <w:sz w:val="22"/>
          <w:szCs w:val="22"/>
        </w:rPr>
        <w:t>’immagine negativa</w:t>
      </w:r>
      <w:r w:rsidR="00576B84">
        <w:rPr>
          <w:sz w:val="22"/>
          <w:szCs w:val="22"/>
        </w:rPr>
        <w:t xml:space="preserve"> spinse all</w:t>
      </w:r>
      <w:r w:rsidR="00B67778">
        <w:rPr>
          <w:sz w:val="22"/>
          <w:szCs w:val="22"/>
        </w:rPr>
        <w:t xml:space="preserve">’abolizione di Equitalia, </w:t>
      </w:r>
      <w:r w:rsidR="009D433E">
        <w:rPr>
          <w:sz w:val="22"/>
          <w:szCs w:val="22"/>
        </w:rPr>
        <w:t xml:space="preserve">inserita </w:t>
      </w:r>
      <w:r w:rsidR="00B67778">
        <w:rPr>
          <w:sz w:val="22"/>
          <w:szCs w:val="22"/>
        </w:rPr>
        <w:t>nell’Agenzia delle Entrate</w:t>
      </w:r>
      <w:r w:rsidR="000E5277">
        <w:rPr>
          <w:sz w:val="22"/>
          <w:szCs w:val="22"/>
        </w:rPr>
        <w:t xml:space="preserve">, </w:t>
      </w:r>
      <w:r w:rsidR="009D433E">
        <w:rPr>
          <w:sz w:val="22"/>
          <w:szCs w:val="22"/>
        </w:rPr>
        <w:t xml:space="preserve">creandone </w:t>
      </w:r>
      <w:r w:rsidR="00E404B1">
        <w:rPr>
          <w:sz w:val="22"/>
          <w:szCs w:val="22"/>
        </w:rPr>
        <w:t>una divisione denominata “Agenzia delle Entrate riscossione”;</w:t>
      </w:r>
      <w:r w:rsidR="000E5277">
        <w:rPr>
          <w:sz w:val="22"/>
          <w:szCs w:val="22"/>
        </w:rPr>
        <w:t xml:space="preserve"> </w:t>
      </w:r>
      <w:r w:rsidR="00B67778">
        <w:rPr>
          <w:sz w:val="22"/>
          <w:szCs w:val="22"/>
        </w:rPr>
        <w:t xml:space="preserve">l’effetto indiretto, non voluto, </w:t>
      </w:r>
      <w:r w:rsidR="00E404B1">
        <w:rPr>
          <w:sz w:val="22"/>
          <w:szCs w:val="22"/>
        </w:rPr>
        <w:t xml:space="preserve">è stato </w:t>
      </w:r>
      <w:r w:rsidR="000E5277">
        <w:rPr>
          <w:sz w:val="22"/>
          <w:szCs w:val="22"/>
        </w:rPr>
        <w:t>fortuitamente</w:t>
      </w:r>
      <w:r w:rsidR="00E404B1">
        <w:rPr>
          <w:sz w:val="22"/>
          <w:szCs w:val="22"/>
        </w:rPr>
        <w:t xml:space="preserve"> </w:t>
      </w:r>
      <w:r w:rsidR="00B67778">
        <w:rPr>
          <w:sz w:val="22"/>
          <w:szCs w:val="22"/>
        </w:rPr>
        <w:t xml:space="preserve">positivo, </w:t>
      </w:r>
      <w:r w:rsidR="00E404B1">
        <w:rPr>
          <w:sz w:val="22"/>
          <w:szCs w:val="22"/>
        </w:rPr>
        <w:t>nel senso di</w:t>
      </w:r>
      <w:r w:rsidR="00B67778">
        <w:rPr>
          <w:sz w:val="22"/>
          <w:szCs w:val="22"/>
        </w:rPr>
        <w:t xml:space="preserve"> </w:t>
      </w:r>
      <w:r w:rsidR="000E5277">
        <w:rPr>
          <w:sz w:val="22"/>
          <w:szCs w:val="22"/>
        </w:rPr>
        <w:t>riavvicinare</w:t>
      </w:r>
      <w:r w:rsidR="00B67778">
        <w:rPr>
          <w:sz w:val="22"/>
          <w:szCs w:val="22"/>
        </w:rPr>
        <w:t xml:space="preserve"> </w:t>
      </w:r>
      <w:r w:rsidR="00E404B1">
        <w:rPr>
          <w:sz w:val="22"/>
          <w:szCs w:val="22"/>
        </w:rPr>
        <w:t xml:space="preserve">ulteriormente la </w:t>
      </w:r>
      <w:r w:rsidR="00B67778">
        <w:rPr>
          <w:sz w:val="22"/>
          <w:szCs w:val="22"/>
        </w:rPr>
        <w:t xml:space="preserve">determinazione dei tributi e </w:t>
      </w:r>
      <w:r w:rsidR="00E404B1">
        <w:rPr>
          <w:sz w:val="22"/>
          <w:szCs w:val="22"/>
        </w:rPr>
        <w:t xml:space="preserve">la </w:t>
      </w:r>
      <w:r w:rsidR="00B67778">
        <w:rPr>
          <w:sz w:val="22"/>
          <w:szCs w:val="22"/>
        </w:rPr>
        <w:t>loro riscossione</w:t>
      </w:r>
      <w:r w:rsidR="000E5277">
        <w:rPr>
          <w:sz w:val="22"/>
          <w:szCs w:val="22"/>
        </w:rPr>
        <w:t xml:space="preserve">. </w:t>
      </w:r>
      <w:r w:rsidR="00317EDF">
        <w:rPr>
          <w:sz w:val="22"/>
          <w:szCs w:val="22"/>
        </w:rPr>
        <w:t>I</w:t>
      </w:r>
      <w:r w:rsidR="0063728E">
        <w:rPr>
          <w:sz w:val="22"/>
          <w:szCs w:val="22"/>
        </w:rPr>
        <w:t xml:space="preserve">l progressivo coordinamento determinazione-riscossione, </w:t>
      </w:r>
      <w:r w:rsidR="00317EDF">
        <w:rPr>
          <w:sz w:val="22"/>
          <w:szCs w:val="22"/>
        </w:rPr>
        <w:t>riduce equivoci c</w:t>
      </w:r>
      <w:r w:rsidR="0063728E">
        <w:rPr>
          <w:sz w:val="22"/>
          <w:szCs w:val="22"/>
        </w:rPr>
        <w:t xml:space="preserve">ome richieste di pagamenti per </w:t>
      </w:r>
      <w:r w:rsidR="000E5277" w:rsidRPr="007F7EBF">
        <w:rPr>
          <w:sz w:val="22"/>
          <w:szCs w:val="22"/>
        </w:rPr>
        <w:t xml:space="preserve">crediti già pagati, prescritti, </w:t>
      </w:r>
      <w:r w:rsidR="0063728E">
        <w:rPr>
          <w:sz w:val="22"/>
          <w:szCs w:val="22"/>
        </w:rPr>
        <w:t xml:space="preserve">ed altri </w:t>
      </w:r>
      <w:r w:rsidR="00317EDF">
        <w:rPr>
          <w:sz w:val="22"/>
          <w:szCs w:val="22"/>
        </w:rPr>
        <w:t xml:space="preserve">malintesi </w:t>
      </w:r>
      <w:r w:rsidR="0063728E">
        <w:rPr>
          <w:sz w:val="22"/>
          <w:szCs w:val="22"/>
        </w:rPr>
        <w:t>dovuti</w:t>
      </w:r>
      <w:r w:rsidR="0063728E" w:rsidRPr="007F7EBF">
        <w:rPr>
          <w:sz w:val="22"/>
          <w:szCs w:val="22"/>
        </w:rPr>
        <w:t xml:space="preserve"> al </w:t>
      </w:r>
      <w:r w:rsidR="0063728E" w:rsidRPr="007F7EBF">
        <w:rPr>
          <w:bCs/>
          <w:sz w:val="22"/>
          <w:szCs w:val="22"/>
        </w:rPr>
        <w:t>numero elevatissimo di pratiche da gestire</w:t>
      </w:r>
      <w:r w:rsidR="0063728E">
        <w:rPr>
          <w:bCs/>
          <w:sz w:val="22"/>
          <w:szCs w:val="22"/>
        </w:rPr>
        <w:t xml:space="preserve"> in modo seriale (</w:t>
      </w:r>
      <w:r w:rsidR="000E5277" w:rsidRPr="007F7EBF">
        <w:rPr>
          <w:rStyle w:val="Rimandonotaapidipagina"/>
          <w:bCs/>
          <w:sz w:val="22"/>
          <w:szCs w:val="22"/>
        </w:rPr>
        <w:footnoteReference w:id="912"/>
      </w:r>
      <w:r w:rsidR="0063728E">
        <w:rPr>
          <w:bCs/>
          <w:sz w:val="22"/>
          <w:szCs w:val="22"/>
        </w:rPr>
        <w:t>)</w:t>
      </w:r>
      <w:r w:rsidR="000E5277" w:rsidRPr="007F7EBF">
        <w:rPr>
          <w:sz w:val="22"/>
          <w:szCs w:val="22"/>
        </w:rPr>
        <w:t xml:space="preserve">. </w:t>
      </w:r>
    </w:p>
    <w:p w14:paraId="1349775B" w14:textId="77777777" w:rsidR="00E955D9" w:rsidRPr="007F7EBF" w:rsidRDefault="00E955D9" w:rsidP="00E955D9">
      <w:pPr>
        <w:pStyle w:val="tit23"/>
        <w:ind w:left="6464" w:right="-1361" w:firstLine="0"/>
        <w:jc w:val="left"/>
        <w:rPr>
          <w:bCs/>
          <w:i/>
          <w:iCs/>
          <w:color w:val="0000FF"/>
          <w:lang w:val="it-IT"/>
        </w:rPr>
      </w:pPr>
      <w:r w:rsidRPr="007F7EBF">
        <w:rPr>
          <w:bCs/>
          <w:i/>
          <w:iCs/>
          <w:color w:val="0000FF"/>
          <w:lang w:val="it-IT"/>
        </w:rPr>
        <w:lastRenderedPageBreak/>
        <w:t xml:space="preserve">riscossione coattiva </w:t>
      </w:r>
      <w:proofErr w:type="spellStart"/>
      <w:r w:rsidRPr="007F7EBF">
        <w:rPr>
          <w:bCs/>
          <w:i/>
          <w:iCs/>
          <w:color w:val="0000FF"/>
          <w:lang w:val="it-IT"/>
        </w:rPr>
        <w:t>amministrativa</w:t>
      </w:r>
      <w:r w:rsidR="006F4A03" w:rsidRPr="007F7EBF">
        <w:rPr>
          <w:bCs/>
          <w:i/>
          <w:iCs/>
          <w:color w:val="0000FF"/>
          <w:lang w:val="it-IT"/>
        </w:rPr>
        <w:t>:il</w:t>
      </w:r>
      <w:proofErr w:type="spellEnd"/>
      <w:r w:rsidR="006F4A03" w:rsidRPr="007F7EBF">
        <w:rPr>
          <w:bCs/>
          <w:i/>
          <w:iCs/>
          <w:color w:val="0000FF"/>
          <w:lang w:val="it-IT"/>
        </w:rPr>
        <w:t xml:space="preserve"> ruolo di riscossione</w:t>
      </w:r>
    </w:p>
    <w:p w14:paraId="04748CAB" w14:textId="4FF35B9F" w:rsidR="006F4A03" w:rsidRPr="007F7EBF" w:rsidRDefault="005037EE" w:rsidP="006F4A03">
      <w:pPr>
        <w:autoSpaceDE w:val="0"/>
        <w:autoSpaceDN w:val="0"/>
        <w:adjustRightInd w:val="0"/>
        <w:rPr>
          <w:sz w:val="22"/>
          <w:szCs w:val="22"/>
        </w:rPr>
      </w:pPr>
      <w:r>
        <w:rPr>
          <w:sz w:val="22"/>
          <w:szCs w:val="22"/>
        </w:rPr>
        <w:t xml:space="preserve">Gli enti impositori sarebbero benissimo in grado, semplicemente spedendo raccomandate </w:t>
      </w:r>
      <w:r>
        <w:rPr>
          <w:bCs/>
          <w:sz w:val="22"/>
          <w:szCs w:val="22"/>
        </w:rPr>
        <w:t>(</w:t>
      </w:r>
      <w:r w:rsidRPr="007F7EBF">
        <w:rPr>
          <w:rStyle w:val="Rimandonotaapidipagina"/>
          <w:bCs/>
          <w:sz w:val="22"/>
          <w:szCs w:val="22"/>
        </w:rPr>
        <w:footnoteReference w:id="913"/>
      </w:r>
      <w:r>
        <w:rPr>
          <w:bCs/>
          <w:sz w:val="22"/>
          <w:szCs w:val="22"/>
        </w:rPr>
        <w:t>)</w:t>
      </w:r>
      <w:r w:rsidR="00CC5059">
        <w:rPr>
          <w:bCs/>
          <w:sz w:val="22"/>
          <w:szCs w:val="22"/>
        </w:rPr>
        <w:t>,</w:t>
      </w:r>
      <w:r>
        <w:rPr>
          <w:sz w:val="22"/>
          <w:szCs w:val="22"/>
        </w:rPr>
        <w:t xml:space="preserve">  di richiedere i pagamenti “preliminari” all’esecuzione coattiva</w:t>
      </w:r>
      <w:r w:rsidR="00FB1E84">
        <w:rPr>
          <w:sz w:val="22"/>
          <w:szCs w:val="22"/>
        </w:rPr>
        <w:t xml:space="preserve">; quest’ultima </w:t>
      </w:r>
      <w:r>
        <w:rPr>
          <w:sz w:val="22"/>
          <w:szCs w:val="22"/>
        </w:rPr>
        <w:t>invece richiede una gestione “professionale”</w:t>
      </w:r>
      <w:r w:rsidR="00FB1E84">
        <w:rPr>
          <w:sz w:val="22"/>
          <w:szCs w:val="22"/>
        </w:rPr>
        <w:t xml:space="preserve"> per </w:t>
      </w:r>
      <w:r>
        <w:rPr>
          <w:sz w:val="22"/>
          <w:szCs w:val="22"/>
        </w:rPr>
        <w:t xml:space="preserve">la </w:t>
      </w:r>
      <w:r w:rsidRPr="007F7EBF">
        <w:rPr>
          <w:bCs/>
          <w:sz w:val="22"/>
          <w:szCs w:val="22"/>
        </w:rPr>
        <w:t xml:space="preserve">ricerca di beni da espropriare, il loro pignoramento, </w:t>
      </w:r>
      <w:r>
        <w:rPr>
          <w:bCs/>
          <w:sz w:val="22"/>
          <w:szCs w:val="22"/>
        </w:rPr>
        <w:t xml:space="preserve">la vendita, </w:t>
      </w:r>
      <w:r w:rsidR="00CC5059">
        <w:rPr>
          <w:bCs/>
          <w:sz w:val="22"/>
          <w:szCs w:val="22"/>
        </w:rPr>
        <w:t xml:space="preserve">l’assegnazione del ricavato. Tutto ciò richiede abilità ulteriori </w:t>
      </w:r>
      <w:r w:rsidRPr="007F7EBF">
        <w:rPr>
          <w:bCs/>
          <w:sz w:val="22"/>
          <w:szCs w:val="22"/>
        </w:rPr>
        <w:t>rispetto a</w:t>
      </w:r>
      <w:r>
        <w:rPr>
          <w:bCs/>
          <w:sz w:val="22"/>
          <w:szCs w:val="22"/>
        </w:rPr>
        <w:t>lla</w:t>
      </w:r>
      <w:r w:rsidRPr="007F7EBF">
        <w:rPr>
          <w:bCs/>
          <w:sz w:val="22"/>
          <w:szCs w:val="22"/>
        </w:rPr>
        <w:t xml:space="preserve"> gestione del tributo</w:t>
      </w:r>
      <w:r w:rsidR="00CC5059">
        <w:rPr>
          <w:bCs/>
          <w:sz w:val="22"/>
          <w:szCs w:val="22"/>
        </w:rPr>
        <w:t xml:space="preserve">, </w:t>
      </w:r>
      <w:r w:rsidR="009337EA">
        <w:rPr>
          <w:bCs/>
          <w:sz w:val="22"/>
          <w:szCs w:val="22"/>
        </w:rPr>
        <w:t xml:space="preserve">per svolgere un’autotutela esecutiva, </w:t>
      </w:r>
      <w:r w:rsidR="00FB1E84">
        <w:rPr>
          <w:sz w:val="22"/>
          <w:szCs w:val="22"/>
        </w:rPr>
        <w:t xml:space="preserve">di natura amministrativa, </w:t>
      </w:r>
      <w:r w:rsidR="009337EA">
        <w:rPr>
          <w:sz w:val="22"/>
          <w:szCs w:val="22"/>
        </w:rPr>
        <w:t xml:space="preserve">che fronteggia gli stessi problemi di quella civile svolta dall’ufficiale giudiziario sotto il controllo del giudice dell’esecuzione. Essa è svolta </w:t>
      </w:r>
      <w:r w:rsidR="00FB1E84">
        <w:rPr>
          <w:sz w:val="22"/>
          <w:szCs w:val="22"/>
        </w:rPr>
        <w:t xml:space="preserve"> dalla suddetta struttura di riscossione (ex Equitalia) presso l’agenzia delle entrate</w:t>
      </w:r>
      <w:r w:rsidR="009337EA">
        <w:rPr>
          <w:sz w:val="22"/>
          <w:szCs w:val="22"/>
        </w:rPr>
        <w:t>.</w:t>
      </w:r>
      <w:r w:rsidR="006342C5" w:rsidRPr="007F7EBF">
        <w:rPr>
          <w:sz w:val="22"/>
          <w:szCs w:val="22"/>
        </w:rPr>
        <w:t xml:space="preserve"> </w:t>
      </w:r>
      <w:r w:rsidR="00BC09F6">
        <w:rPr>
          <w:sz w:val="22"/>
          <w:szCs w:val="22"/>
        </w:rPr>
        <w:t>Concettualmente sarebbe possibile far ultimare le richieste di pagamento agli enti impositori e far subentrare la struttura di riscossione solo per gli atti esecutivi. Ancora rimane invece una parziale sovrapposizione tra atti di determinazione del tributo e atti di riscossione, perché la struttura che procede a questi ultimi continua a inviare ai debitori le c.d. “cartelle di pagamento” (cartelle esattoriali), formate in base ad elenchi (“ruoli”) provenienti dagli uffici tributari</w:t>
      </w:r>
      <w:r w:rsidR="006342C5" w:rsidRPr="007F7EBF">
        <w:rPr>
          <w:bCs/>
          <w:sz w:val="22"/>
          <w:szCs w:val="22"/>
        </w:rPr>
        <w:t>.</w:t>
      </w:r>
      <w:r w:rsidR="00755AC4" w:rsidRPr="007F7EBF">
        <w:rPr>
          <w:bCs/>
          <w:sz w:val="22"/>
          <w:szCs w:val="22"/>
        </w:rPr>
        <w:t xml:space="preserve"> </w:t>
      </w:r>
      <w:r w:rsidR="00BC09F6">
        <w:rPr>
          <w:bCs/>
          <w:sz w:val="22"/>
          <w:szCs w:val="22"/>
        </w:rPr>
        <w:t>Lo scoordinamento tra le due fasi comporta però che talvolta, c</w:t>
      </w:r>
      <w:r w:rsidR="006F4A03" w:rsidRPr="007F7EBF">
        <w:rPr>
          <w:bCs/>
          <w:sz w:val="22"/>
          <w:szCs w:val="22"/>
        </w:rPr>
        <w:t xml:space="preserve">ome abbiamo visto al par.5.5, </w:t>
      </w:r>
      <w:r w:rsidR="00BC09F6">
        <w:rPr>
          <w:bCs/>
          <w:sz w:val="22"/>
          <w:szCs w:val="22"/>
        </w:rPr>
        <w:t xml:space="preserve">queste cartelle di pagamento possano </w:t>
      </w:r>
      <w:r w:rsidR="006F4A03" w:rsidRPr="007F7EBF">
        <w:rPr>
          <w:bCs/>
          <w:sz w:val="22"/>
          <w:szCs w:val="22"/>
        </w:rPr>
        <w:t>essere il primo atto impositivo ricevuto dal contribuente</w:t>
      </w:r>
      <w:r w:rsidR="00BC09F6">
        <w:rPr>
          <w:bCs/>
          <w:sz w:val="22"/>
          <w:szCs w:val="22"/>
        </w:rPr>
        <w:t xml:space="preserve">. </w:t>
      </w:r>
    </w:p>
    <w:p w14:paraId="06452EDA" w14:textId="77777777" w:rsidR="006F4A03" w:rsidRPr="007F7EBF" w:rsidRDefault="006F4A03" w:rsidP="006F4A03">
      <w:pPr>
        <w:pStyle w:val="tit23"/>
        <w:ind w:left="6464" w:right="-1361" w:firstLine="0"/>
        <w:jc w:val="left"/>
        <w:rPr>
          <w:bCs/>
          <w:i/>
          <w:iCs/>
          <w:color w:val="0000FF"/>
          <w:lang w:val="it-IT"/>
        </w:rPr>
      </w:pPr>
      <w:r w:rsidRPr="007F7EBF">
        <w:rPr>
          <w:bCs/>
          <w:i/>
          <w:iCs/>
          <w:color w:val="0000FF"/>
          <w:lang w:val="it-IT"/>
        </w:rPr>
        <w:t>Dal ruolo al pignoramento</w:t>
      </w:r>
    </w:p>
    <w:p w14:paraId="16308ABA" w14:textId="2C9DD825" w:rsidR="002D2A98" w:rsidRPr="007F7EBF" w:rsidRDefault="006342C5" w:rsidP="002D2A98">
      <w:pPr>
        <w:autoSpaceDE w:val="0"/>
        <w:autoSpaceDN w:val="0"/>
        <w:adjustRightInd w:val="0"/>
        <w:rPr>
          <w:sz w:val="22"/>
          <w:szCs w:val="22"/>
        </w:rPr>
      </w:pPr>
      <w:r w:rsidRPr="007F7EBF">
        <w:rPr>
          <w:sz w:val="22"/>
          <w:szCs w:val="22"/>
        </w:rPr>
        <w:t xml:space="preserve">Dopo la scadenza del </w:t>
      </w:r>
      <w:r w:rsidRPr="007F7EBF">
        <w:rPr>
          <w:bCs/>
          <w:sz w:val="22"/>
          <w:szCs w:val="22"/>
        </w:rPr>
        <w:t xml:space="preserve">termine per </w:t>
      </w:r>
      <w:r w:rsidR="004419DD">
        <w:rPr>
          <w:bCs/>
          <w:sz w:val="22"/>
          <w:szCs w:val="22"/>
        </w:rPr>
        <w:t>pagare la cartella</w:t>
      </w:r>
      <w:r w:rsidR="002653F9">
        <w:rPr>
          <w:bCs/>
          <w:sz w:val="22"/>
          <w:szCs w:val="22"/>
        </w:rPr>
        <w:t>,</w:t>
      </w:r>
      <w:r w:rsidR="004419DD">
        <w:rPr>
          <w:bCs/>
          <w:sz w:val="22"/>
          <w:szCs w:val="22"/>
        </w:rPr>
        <w:t xml:space="preserve"> </w:t>
      </w:r>
      <w:r w:rsidRPr="007F7EBF">
        <w:rPr>
          <w:sz w:val="22"/>
          <w:szCs w:val="22"/>
        </w:rPr>
        <w:t xml:space="preserve">l’esattore </w:t>
      </w:r>
      <w:r w:rsidR="002653F9">
        <w:rPr>
          <w:sz w:val="22"/>
          <w:szCs w:val="22"/>
        </w:rPr>
        <w:t>può</w:t>
      </w:r>
      <w:r w:rsidRPr="007F7EBF">
        <w:rPr>
          <w:sz w:val="22"/>
          <w:szCs w:val="22"/>
        </w:rPr>
        <w:t xml:space="preserve"> </w:t>
      </w:r>
      <w:r w:rsidRPr="007F7EBF">
        <w:rPr>
          <w:bCs/>
          <w:sz w:val="22"/>
          <w:szCs w:val="22"/>
        </w:rPr>
        <w:t>procedere con l’esecuzione</w:t>
      </w:r>
      <w:r w:rsidR="00755AC4" w:rsidRPr="007F7EBF">
        <w:rPr>
          <w:bCs/>
          <w:sz w:val="22"/>
          <w:szCs w:val="22"/>
        </w:rPr>
        <w:t xml:space="preserve"> </w:t>
      </w:r>
      <w:r w:rsidRPr="007F7EBF">
        <w:rPr>
          <w:bCs/>
          <w:sz w:val="22"/>
          <w:szCs w:val="22"/>
        </w:rPr>
        <w:t>coattiva</w:t>
      </w:r>
      <w:r w:rsidR="002653F9">
        <w:rPr>
          <w:bCs/>
          <w:sz w:val="22"/>
          <w:szCs w:val="22"/>
        </w:rPr>
        <w:t>(</w:t>
      </w:r>
      <w:r w:rsidR="00126019" w:rsidRPr="007F7EBF">
        <w:rPr>
          <w:rStyle w:val="Rimandonotaapidipagina"/>
          <w:bCs/>
          <w:sz w:val="22"/>
          <w:szCs w:val="22"/>
        </w:rPr>
        <w:footnoteReference w:id="914"/>
      </w:r>
      <w:r w:rsidR="002653F9">
        <w:rPr>
          <w:bCs/>
          <w:sz w:val="22"/>
          <w:szCs w:val="22"/>
        </w:rPr>
        <w:t>)</w:t>
      </w:r>
      <w:r w:rsidR="002653F9">
        <w:rPr>
          <w:sz w:val="22"/>
          <w:szCs w:val="22"/>
        </w:rPr>
        <w:t xml:space="preserve">, che </w:t>
      </w:r>
      <w:r w:rsidRPr="007F7EBF">
        <w:rPr>
          <w:bCs/>
          <w:sz w:val="22"/>
          <w:szCs w:val="22"/>
        </w:rPr>
        <w:t xml:space="preserve"> </w:t>
      </w:r>
      <w:r w:rsidRPr="007F7EBF">
        <w:rPr>
          <w:sz w:val="22"/>
          <w:szCs w:val="22"/>
        </w:rPr>
        <w:t xml:space="preserve">ricalca quella </w:t>
      </w:r>
      <w:r w:rsidRPr="007F7EBF">
        <w:rPr>
          <w:bCs/>
          <w:sz w:val="22"/>
          <w:szCs w:val="22"/>
        </w:rPr>
        <w:t>civilistica</w:t>
      </w:r>
      <w:r w:rsidRPr="007F7EBF">
        <w:rPr>
          <w:sz w:val="22"/>
          <w:szCs w:val="22"/>
        </w:rPr>
        <w:t xml:space="preserve">, </w:t>
      </w:r>
      <w:r w:rsidR="002653F9">
        <w:rPr>
          <w:sz w:val="22"/>
          <w:szCs w:val="22"/>
        </w:rPr>
        <w:t>ma in cui i funzionari della struttura di riscossione svolgono i compiti dell’Ufficiale Giudiziario. Per il resto le operazioni sono simili a quelle</w:t>
      </w:r>
      <w:r w:rsidRPr="007F7EBF">
        <w:rPr>
          <w:sz w:val="22"/>
          <w:szCs w:val="22"/>
        </w:rPr>
        <w:t xml:space="preserve"> dell’esecuzione ordinaria,</w:t>
      </w:r>
      <w:r w:rsidR="002653F9">
        <w:rPr>
          <w:sz w:val="22"/>
          <w:szCs w:val="22"/>
        </w:rPr>
        <w:t xml:space="preserve"> dirette al</w:t>
      </w:r>
      <w:r w:rsidR="002653F9" w:rsidRPr="007F7EBF">
        <w:rPr>
          <w:sz w:val="22"/>
          <w:szCs w:val="22"/>
        </w:rPr>
        <w:t xml:space="preserve"> pignora</w:t>
      </w:r>
      <w:r w:rsidR="002653F9">
        <w:rPr>
          <w:sz w:val="22"/>
          <w:szCs w:val="22"/>
        </w:rPr>
        <w:t>mento di</w:t>
      </w:r>
      <w:r w:rsidR="002653F9" w:rsidRPr="007F7EBF">
        <w:rPr>
          <w:sz w:val="22"/>
          <w:szCs w:val="22"/>
        </w:rPr>
        <w:t xml:space="preserve"> beni del debitore</w:t>
      </w:r>
      <w:r w:rsidR="002653F9">
        <w:rPr>
          <w:sz w:val="22"/>
          <w:szCs w:val="22"/>
        </w:rPr>
        <w:t xml:space="preserve">, </w:t>
      </w:r>
      <w:r w:rsidR="002653F9">
        <w:rPr>
          <w:sz w:val="22"/>
          <w:szCs w:val="22"/>
        </w:rPr>
        <w:lastRenderedPageBreak/>
        <w:t>alla loro</w:t>
      </w:r>
      <w:r w:rsidR="002653F9" w:rsidRPr="007F7EBF">
        <w:rPr>
          <w:sz w:val="22"/>
          <w:szCs w:val="22"/>
        </w:rPr>
        <w:t xml:space="preserve"> conver</w:t>
      </w:r>
      <w:r w:rsidR="002653F9">
        <w:rPr>
          <w:sz w:val="22"/>
          <w:szCs w:val="22"/>
        </w:rPr>
        <w:t xml:space="preserve">sione </w:t>
      </w:r>
      <w:r w:rsidR="002653F9" w:rsidRPr="007F7EBF">
        <w:rPr>
          <w:sz w:val="22"/>
          <w:szCs w:val="22"/>
        </w:rPr>
        <w:t xml:space="preserve">in denaro, </w:t>
      </w:r>
      <w:r w:rsidR="002653F9">
        <w:rPr>
          <w:sz w:val="22"/>
          <w:szCs w:val="22"/>
        </w:rPr>
        <w:t xml:space="preserve">tramite vendita </w:t>
      </w:r>
      <w:r w:rsidR="002653F9" w:rsidRPr="007F7EBF">
        <w:rPr>
          <w:bCs/>
          <w:sz w:val="22"/>
          <w:szCs w:val="22"/>
        </w:rPr>
        <w:t>all’asta</w:t>
      </w:r>
      <w:r w:rsidR="002653F9" w:rsidRPr="007F7EBF">
        <w:rPr>
          <w:sz w:val="22"/>
          <w:szCs w:val="22"/>
        </w:rPr>
        <w:t xml:space="preserve">, </w:t>
      </w:r>
      <w:r w:rsidR="002653F9" w:rsidRPr="007F7EBF">
        <w:rPr>
          <w:bCs/>
          <w:sz w:val="22"/>
          <w:szCs w:val="22"/>
        </w:rPr>
        <w:t>soddisfacendo col ricavato</w:t>
      </w:r>
      <w:r w:rsidR="002653F9">
        <w:rPr>
          <w:bCs/>
          <w:sz w:val="22"/>
          <w:szCs w:val="22"/>
        </w:rPr>
        <w:t xml:space="preserve"> </w:t>
      </w:r>
      <w:r w:rsidR="002653F9" w:rsidRPr="007F7EBF">
        <w:rPr>
          <w:bCs/>
          <w:sz w:val="22"/>
          <w:szCs w:val="22"/>
        </w:rPr>
        <w:t xml:space="preserve">il credito </w:t>
      </w:r>
      <w:r w:rsidR="002653F9" w:rsidRPr="007F7EBF">
        <w:rPr>
          <w:sz w:val="22"/>
          <w:szCs w:val="22"/>
        </w:rPr>
        <w:t>tributario nonché altri eventuali creditori (muniti di titolo esecutivo) intervenuti nella procedura.</w:t>
      </w:r>
      <w:r w:rsidR="002653F9">
        <w:rPr>
          <w:sz w:val="22"/>
          <w:szCs w:val="22"/>
        </w:rPr>
        <w:t xml:space="preserve"> La </w:t>
      </w:r>
      <w:r w:rsidRPr="007F7EBF">
        <w:rPr>
          <w:sz w:val="22"/>
          <w:szCs w:val="22"/>
        </w:rPr>
        <w:t xml:space="preserve">vigilanza </w:t>
      </w:r>
      <w:r w:rsidR="002653F9">
        <w:rPr>
          <w:sz w:val="22"/>
          <w:szCs w:val="22"/>
        </w:rPr>
        <w:t>su questa procedura spetta a</w:t>
      </w:r>
      <w:r w:rsidRPr="007F7EBF">
        <w:rPr>
          <w:sz w:val="22"/>
          <w:szCs w:val="22"/>
        </w:rPr>
        <w:t>l giudice dell’esecuzione,</w:t>
      </w:r>
      <w:r w:rsidR="00755AC4" w:rsidRPr="007F7EBF">
        <w:rPr>
          <w:sz w:val="22"/>
          <w:szCs w:val="22"/>
        </w:rPr>
        <w:t xml:space="preserve"> </w:t>
      </w:r>
      <w:r w:rsidRPr="007F7EBF">
        <w:rPr>
          <w:sz w:val="22"/>
          <w:szCs w:val="22"/>
        </w:rPr>
        <w:t>cui sono demandate le contestazioni che possono sorgere, nelle fasi di pignoramento</w:t>
      </w:r>
      <w:r w:rsidR="00755AC4" w:rsidRPr="007F7EBF">
        <w:rPr>
          <w:sz w:val="22"/>
          <w:szCs w:val="22"/>
        </w:rPr>
        <w:t xml:space="preserve"> </w:t>
      </w:r>
      <w:r w:rsidRPr="007F7EBF">
        <w:rPr>
          <w:sz w:val="22"/>
          <w:szCs w:val="22"/>
        </w:rPr>
        <w:t>e vendita dei beni. Per tutti questi aspetti, se non direttamente disciplinati dalla norma</w:t>
      </w:r>
      <w:r w:rsidR="00755AC4" w:rsidRPr="007F7EBF">
        <w:rPr>
          <w:sz w:val="22"/>
          <w:szCs w:val="22"/>
        </w:rPr>
        <w:t xml:space="preserve"> </w:t>
      </w:r>
      <w:r w:rsidRPr="007F7EBF">
        <w:rPr>
          <w:sz w:val="22"/>
          <w:szCs w:val="22"/>
        </w:rPr>
        <w:t>fiscale, si fa riferimento alla parte del codice di procedura civile dedicata al «processo di</w:t>
      </w:r>
      <w:r w:rsidR="00755AC4" w:rsidRPr="007F7EBF">
        <w:rPr>
          <w:sz w:val="22"/>
          <w:szCs w:val="22"/>
        </w:rPr>
        <w:t xml:space="preserve"> </w:t>
      </w:r>
      <w:r w:rsidRPr="007F7EBF">
        <w:rPr>
          <w:sz w:val="22"/>
          <w:szCs w:val="22"/>
        </w:rPr>
        <w:t>esecuzione» (art. 49 del d.P.R. n. 602/1973).</w:t>
      </w:r>
      <w:r w:rsidR="002D2A98" w:rsidRPr="007F7EBF">
        <w:rPr>
          <w:sz w:val="22"/>
          <w:szCs w:val="22"/>
        </w:rPr>
        <w:t xml:space="preserve"> </w:t>
      </w:r>
    </w:p>
    <w:p w14:paraId="5F46D1AB" w14:textId="77777777" w:rsidR="002D2A98" w:rsidRPr="007F7EBF" w:rsidRDefault="002D2A98" w:rsidP="002D2A98">
      <w:pPr>
        <w:pStyle w:val="tit23"/>
        <w:ind w:left="6464" w:right="-1361" w:firstLine="0"/>
        <w:jc w:val="left"/>
        <w:rPr>
          <w:bCs/>
          <w:i/>
          <w:iCs/>
          <w:color w:val="0000FF"/>
          <w:lang w:val="it-IT"/>
        </w:rPr>
      </w:pPr>
      <w:r w:rsidRPr="007F7EBF">
        <w:rPr>
          <w:bCs/>
          <w:i/>
          <w:iCs/>
          <w:color w:val="0000FF"/>
          <w:lang w:val="it-IT"/>
        </w:rPr>
        <w:t>Poteri investigativi dell’esattore</w:t>
      </w:r>
    </w:p>
    <w:p w14:paraId="3AE66DA1" w14:textId="6A0B0F0B" w:rsidR="002D2A98" w:rsidRPr="007F7EBF" w:rsidRDefault="002D2A98" w:rsidP="002D2A98">
      <w:pPr>
        <w:autoSpaceDE w:val="0"/>
        <w:autoSpaceDN w:val="0"/>
        <w:adjustRightInd w:val="0"/>
        <w:rPr>
          <w:sz w:val="22"/>
          <w:szCs w:val="22"/>
        </w:rPr>
      </w:pPr>
      <w:r w:rsidRPr="007F7EBF">
        <w:rPr>
          <w:sz w:val="22"/>
          <w:szCs w:val="22"/>
        </w:rPr>
        <w:t xml:space="preserve">Per cercare beni da </w:t>
      </w:r>
      <w:r w:rsidR="002653F9">
        <w:rPr>
          <w:sz w:val="22"/>
          <w:szCs w:val="22"/>
        </w:rPr>
        <w:t>pignorare</w:t>
      </w:r>
      <w:r w:rsidRPr="007F7EBF">
        <w:rPr>
          <w:sz w:val="22"/>
          <w:szCs w:val="22"/>
        </w:rPr>
        <w:t xml:space="preserve">, </w:t>
      </w:r>
      <w:r w:rsidR="002653F9">
        <w:rPr>
          <w:sz w:val="22"/>
          <w:szCs w:val="22"/>
        </w:rPr>
        <w:t>sono forniti alla struttura di riscossione g</w:t>
      </w:r>
      <w:r w:rsidRPr="007F7EBF">
        <w:rPr>
          <w:sz w:val="22"/>
          <w:szCs w:val="22"/>
        </w:rPr>
        <w:t>li stessi poteri degli uffici tributari (par.5.6). Ad esempio è concesso di indagare nel sistema dell’anagrafe tributaria, e sui conti bancari</w:t>
      </w:r>
      <w:r w:rsidRPr="007F7EBF">
        <w:rPr>
          <w:rStyle w:val="Rimandonotaapidipagina"/>
          <w:sz w:val="22"/>
          <w:szCs w:val="22"/>
        </w:rPr>
        <w:footnoteReference w:id="915"/>
      </w:r>
      <w:r w:rsidRPr="007F7EBF">
        <w:rPr>
          <w:sz w:val="22"/>
          <w:szCs w:val="22"/>
        </w:rPr>
        <w:t xml:space="preserve">; vi è persino  l’obbligo per gli enti pubblici debitori di imposta, prima di pagare forniture, di verificare che il beneficiario del pagamento non abbia debiti </w:t>
      </w:r>
      <w:r w:rsidR="000E1AF9">
        <w:rPr>
          <w:sz w:val="22"/>
          <w:szCs w:val="22"/>
        </w:rPr>
        <w:t>tributari o contributivi</w:t>
      </w:r>
      <w:r w:rsidRPr="007F7EBF">
        <w:rPr>
          <w:sz w:val="22"/>
          <w:szCs w:val="22"/>
        </w:rPr>
        <w:t>.</w:t>
      </w:r>
    </w:p>
    <w:p w14:paraId="35089188" w14:textId="77777777" w:rsidR="002D2A98" w:rsidRPr="007F7EBF" w:rsidRDefault="002D2A98" w:rsidP="002D2A98">
      <w:pPr>
        <w:pStyle w:val="tit23"/>
        <w:ind w:left="6464" w:right="-1361" w:firstLine="0"/>
        <w:jc w:val="left"/>
        <w:rPr>
          <w:bCs/>
          <w:i/>
          <w:iCs/>
          <w:color w:val="0000FF"/>
          <w:lang w:val="it-IT"/>
        </w:rPr>
      </w:pPr>
      <w:r w:rsidRPr="007F7EBF">
        <w:rPr>
          <w:bCs/>
          <w:i/>
          <w:iCs/>
          <w:color w:val="0000FF"/>
          <w:lang w:val="it-IT"/>
        </w:rPr>
        <w:t>L’aggio esattoriale come tributo?</w:t>
      </w:r>
    </w:p>
    <w:p w14:paraId="07675074" w14:textId="0C91C7A5" w:rsidR="006F4A03" w:rsidRPr="007F7EBF" w:rsidRDefault="0097665F" w:rsidP="006F4A03">
      <w:pPr>
        <w:autoSpaceDE w:val="0"/>
        <w:autoSpaceDN w:val="0"/>
        <w:adjustRightInd w:val="0"/>
        <w:rPr>
          <w:sz w:val="22"/>
          <w:szCs w:val="22"/>
        </w:rPr>
      </w:pPr>
      <w:r>
        <w:rPr>
          <w:sz w:val="22"/>
          <w:szCs w:val="22"/>
        </w:rPr>
        <w:t>I</w:t>
      </w:r>
      <w:r w:rsidR="002D2A98" w:rsidRPr="007F7EBF">
        <w:rPr>
          <w:sz w:val="22"/>
          <w:szCs w:val="22"/>
        </w:rPr>
        <w:t xml:space="preserve"> </w:t>
      </w:r>
      <w:r w:rsidR="002D2A98" w:rsidRPr="007F7EBF">
        <w:rPr>
          <w:bCs/>
          <w:sz w:val="22"/>
          <w:szCs w:val="22"/>
        </w:rPr>
        <w:t xml:space="preserve">costi di struttura </w:t>
      </w:r>
      <w:r>
        <w:rPr>
          <w:bCs/>
          <w:sz w:val="22"/>
          <w:szCs w:val="22"/>
        </w:rPr>
        <w:t xml:space="preserve">del sistema di riscossione sono </w:t>
      </w:r>
      <w:r w:rsidR="002D2A98" w:rsidRPr="007F7EBF">
        <w:rPr>
          <w:sz w:val="22"/>
          <w:szCs w:val="22"/>
        </w:rPr>
        <w:t xml:space="preserve">a carico dei debitori delle somme riscosse, </w:t>
      </w:r>
      <w:r>
        <w:rPr>
          <w:sz w:val="22"/>
          <w:szCs w:val="22"/>
        </w:rPr>
        <w:t>in u</w:t>
      </w:r>
      <w:r w:rsidR="002D2A98" w:rsidRPr="007F7EBF">
        <w:rPr>
          <w:sz w:val="22"/>
          <w:szCs w:val="22"/>
        </w:rPr>
        <w:t xml:space="preserve">na </w:t>
      </w:r>
      <w:r w:rsidR="002D2A98" w:rsidRPr="007F7EBF">
        <w:rPr>
          <w:bCs/>
          <w:sz w:val="22"/>
          <w:szCs w:val="22"/>
        </w:rPr>
        <w:t>remunerazione obbligatoria percentuale</w:t>
      </w:r>
      <w:r w:rsidR="002D2A98" w:rsidRPr="007F7EBF">
        <w:rPr>
          <w:sz w:val="22"/>
          <w:szCs w:val="22"/>
        </w:rPr>
        <w:t>, fissata normativamente</w:t>
      </w:r>
      <w:r>
        <w:rPr>
          <w:sz w:val="22"/>
          <w:szCs w:val="22"/>
        </w:rPr>
        <w:t>. La percentuale,</w:t>
      </w:r>
      <w:r w:rsidR="002D2A98" w:rsidRPr="007F7EBF">
        <w:rPr>
          <w:sz w:val="22"/>
          <w:szCs w:val="22"/>
        </w:rPr>
        <w:t xml:space="preserve"> denominata “</w:t>
      </w:r>
      <w:r w:rsidR="002D2A98" w:rsidRPr="007F7EBF">
        <w:rPr>
          <w:bCs/>
          <w:sz w:val="22"/>
          <w:szCs w:val="22"/>
        </w:rPr>
        <w:t>aggio</w:t>
      </w:r>
      <w:r>
        <w:rPr>
          <w:bCs/>
          <w:sz w:val="22"/>
          <w:szCs w:val="22"/>
        </w:rPr>
        <w:t xml:space="preserve"> </w:t>
      </w:r>
      <w:r w:rsidR="002D2A98" w:rsidRPr="007F7EBF">
        <w:rPr>
          <w:bCs/>
          <w:sz w:val="22"/>
          <w:szCs w:val="22"/>
        </w:rPr>
        <w:t>esattoriale</w:t>
      </w:r>
      <w:r w:rsidR="002D2A98" w:rsidRPr="007F7EBF">
        <w:rPr>
          <w:sz w:val="22"/>
          <w:szCs w:val="22"/>
        </w:rPr>
        <w:t>”</w:t>
      </w:r>
      <w:r>
        <w:rPr>
          <w:sz w:val="22"/>
          <w:szCs w:val="22"/>
        </w:rPr>
        <w:t xml:space="preserve">, </w:t>
      </w:r>
      <w:r w:rsidR="002D2A98" w:rsidRPr="007F7EBF">
        <w:rPr>
          <w:sz w:val="22"/>
          <w:szCs w:val="22"/>
        </w:rPr>
        <w:t xml:space="preserve"> è determinat</w:t>
      </w:r>
      <w:r>
        <w:rPr>
          <w:sz w:val="22"/>
          <w:szCs w:val="22"/>
        </w:rPr>
        <w:t>a</w:t>
      </w:r>
      <w:r w:rsidR="002D2A98" w:rsidRPr="007F7EBF">
        <w:rPr>
          <w:sz w:val="22"/>
          <w:szCs w:val="22"/>
        </w:rPr>
        <w:t xml:space="preserve"> in relazione a</w:t>
      </w:r>
      <w:r>
        <w:rPr>
          <w:sz w:val="22"/>
          <w:szCs w:val="22"/>
        </w:rPr>
        <w:t>l</w:t>
      </w:r>
      <w:r w:rsidR="002D2A98" w:rsidRPr="007F7EBF">
        <w:rPr>
          <w:sz w:val="22"/>
          <w:szCs w:val="22"/>
        </w:rPr>
        <w:t xml:space="preserve">  cost</w:t>
      </w:r>
      <w:r>
        <w:rPr>
          <w:sz w:val="22"/>
          <w:szCs w:val="22"/>
        </w:rPr>
        <w:t xml:space="preserve">o del sistema </w:t>
      </w:r>
      <w:r w:rsidR="002D2A98" w:rsidRPr="007F7EBF">
        <w:rPr>
          <w:sz w:val="22"/>
          <w:szCs w:val="22"/>
        </w:rPr>
        <w:t>e non è insignificante in quanto può andare all’incirca dal 5 al 9 percento delle somme richieste</w:t>
      </w:r>
      <w:r>
        <w:rPr>
          <w:sz w:val="22"/>
          <w:szCs w:val="22"/>
        </w:rPr>
        <w:t>.</w:t>
      </w:r>
      <w:r w:rsidR="002D2A98" w:rsidRPr="007F7EBF">
        <w:rPr>
          <w:sz w:val="22"/>
          <w:szCs w:val="22"/>
        </w:rPr>
        <w:t xml:space="preserve"> </w:t>
      </w:r>
      <w:r w:rsidRPr="007F7EBF">
        <w:t>S</w:t>
      </w:r>
      <w:r>
        <w:t xml:space="preserve">i mettono così </w:t>
      </w:r>
      <w:r w:rsidRPr="007F7EBF">
        <w:t xml:space="preserve">a carico dei debitori adempienti, </w:t>
      </w:r>
      <w:r>
        <w:t xml:space="preserve">per </w:t>
      </w:r>
      <w:r w:rsidRPr="007F7EBF">
        <w:t>i quali il costo vivo di recupero è poco più di quello della redazione ed invio di una lettera, oneri derivanti dalla massa di pratiche verso soggetti irreperibili, nullatenenti, falliti e via enumerando</w:t>
      </w:r>
      <w:r>
        <w:t xml:space="preserve">. </w:t>
      </w:r>
      <w:r w:rsidR="00B1444C">
        <w:t xml:space="preserve">In una riscossione privatistica sarebbero invece messe a carico del debitore le spese vive di procedura, determinate in modo personalizzato. </w:t>
      </w:r>
      <w:r>
        <w:t xml:space="preserve">E’ stata </w:t>
      </w:r>
      <w:r w:rsidR="00B1444C">
        <w:t>quindi</w:t>
      </w:r>
      <w:r w:rsidRPr="007F7EBF">
        <w:t xml:space="preserve"> persino ipotizza</w:t>
      </w:r>
      <w:r>
        <w:t xml:space="preserve">ta </w:t>
      </w:r>
      <w:r w:rsidRPr="007F7EBF">
        <w:t>una natura tributaria di questo pagamento, come altro "tributo di scopo", con cui si mettono a carico d</w:t>
      </w:r>
      <w:r w:rsidR="00B1444C">
        <w:t xml:space="preserve">i tutti </w:t>
      </w:r>
      <w:r w:rsidRPr="007F7EBF">
        <w:t>gli inadempienti</w:t>
      </w:r>
      <w:r w:rsidR="00B1444C">
        <w:t xml:space="preserve">, anche per equivoci o ritardi, </w:t>
      </w:r>
      <w:r w:rsidRPr="007F7EBF">
        <w:t>i costi della struttura necessaria dall'inadempienza diffusa</w:t>
      </w:r>
      <w:r w:rsidR="002D2A98" w:rsidRPr="007F7EBF">
        <w:rPr>
          <w:sz w:val="22"/>
          <w:szCs w:val="22"/>
        </w:rPr>
        <w:t xml:space="preserve">. </w:t>
      </w:r>
      <w:r w:rsidR="00B1444C">
        <w:rPr>
          <w:sz w:val="22"/>
          <w:szCs w:val="22"/>
        </w:rPr>
        <w:t>Quest</w:t>
      </w:r>
      <w:r w:rsidR="002D2A98" w:rsidRPr="007F7EBF">
        <w:rPr>
          <w:sz w:val="22"/>
          <w:szCs w:val="22"/>
        </w:rPr>
        <w:t xml:space="preserve">'aggio esattoriale è a carico dell'ente </w:t>
      </w:r>
      <w:r w:rsidR="002D2A98" w:rsidRPr="007F7EBF">
        <w:rPr>
          <w:sz w:val="22"/>
          <w:szCs w:val="22"/>
        </w:rPr>
        <w:lastRenderedPageBreak/>
        <w:t>impositore per le somme da dichiarare e riscuotere mediante ruolo, mentre negli altri casi</w:t>
      </w:r>
      <w:r w:rsidR="00B1444C">
        <w:rPr>
          <w:sz w:val="22"/>
          <w:szCs w:val="22"/>
        </w:rPr>
        <w:t xml:space="preserve"> </w:t>
      </w:r>
      <w:r w:rsidR="00B1444C">
        <w:rPr>
          <w:rStyle w:val="Rimandonotaapidipagina"/>
          <w:sz w:val="22"/>
          <w:szCs w:val="22"/>
        </w:rPr>
        <w:footnoteReference w:id="916"/>
      </w:r>
      <w:r w:rsidR="002D2A98" w:rsidRPr="007F7EBF">
        <w:rPr>
          <w:sz w:val="22"/>
          <w:szCs w:val="22"/>
        </w:rPr>
        <w:t xml:space="preserve"> è a carico del contribuente. </w:t>
      </w:r>
    </w:p>
    <w:p w14:paraId="21863760" w14:textId="28769774" w:rsidR="006F4A03" w:rsidRPr="007F7EBF" w:rsidRDefault="002653F9" w:rsidP="006F4A03">
      <w:pPr>
        <w:pStyle w:val="tit23"/>
        <w:ind w:left="6464" w:right="-1361" w:firstLine="0"/>
        <w:jc w:val="left"/>
        <w:rPr>
          <w:bCs/>
          <w:i/>
          <w:iCs/>
          <w:color w:val="0000FF"/>
          <w:lang w:val="it-IT"/>
        </w:rPr>
      </w:pPr>
      <w:r>
        <w:rPr>
          <w:bCs/>
          <w:i/>
          <w:iCs/>
          <w:color w:val="0000FF"/>
          <w:lang w:val="it-IT"/>
        </w:rPr>
        <w:t xml:space="preserve">Rateazioni e </w:t>
      </w:r>
      <w:r w:rsidR="008A0B57">
        <w:rPr>
          <w:bCs/>
          <w:i/>
          <w:iCs/>
          <w:color w:val="0000FF"/>
          <w:lang w:val="it-IT"/>
        </w:rPr>
        <w:t xml:space="preserve"> </w:t>
      </w:r>
      <w:r w:rsidR="006F4A03" w:rsidRPr="007F7EBF">
        <w:rPr>
          <w:bCs/>
          <w:i/>
          <w:iCs/>
          <w:color w:val="0000FF"/>
          <w:lang w:val="it-IT"/>
        </w:rPr>
        <w:t xml:space="preserve"> transazione fiscale</w:t>
      </w:r>
      <w:r w:rsidR="0027293D">
        <w:rPr>
          <w:bCs/>
          <w:i/>
          <w:iCs/>
          <w:color w:val="0000FF"/>
          <w:lang w:val="it-IT"/>
        </w:rPr>
        <w:t xml:space="preserve"> rinvio</w:t>
      </w:r>
    </w:p>
    <w:p w14:paraId="6FFFC403" w14:textId="50F813C8" w:rsidR="006342C5" w:rsidRPr="007F7EBF" w:rsidRDefault="008D5C4E" w:rsidP="00CC1696">
      <w:pPr>
        <w:autoSpaceDE w:val="0"/>
        <w:autoSpaceDN w:val="0"/>
        <w:adjustRightInd w:val="0"/>
        <w:rPr>
          <w:sz w:val="22"/>
          <w:szCs w:val="22"/>
        </w:rPr>
      </w:pPr>
      <w:r>
        <w:rPr>
          <w:sz w:val="22"/>
          <w:szCs w:val="22"/>
        </w:rPr>
        <w:t xml:space="preserve">La struttura di riscossione gestisce piani di </w:t>
      </w:r>
      <w:r w:rsidR="006342C5" w:rsidRPr="007F7EBF">
        <w:rPr>
          <w:sz w:val="22"/>
          <w:szCs w:val="22"/>
        </w:rPr>
        <w:t xml:space="preserve">rateazione del debito tributario, </w:t>
      </w:r>
      <w:r>
        <w:rPr>
          <w:sz w:val="22"/>
          <w:szCs w:val="22"/>
        </w:rPr>
        <w:t xml:space="preserve">ed anche loro decurtazioni, </w:t>
      </w:r>
      <w:r w:rsidR="006342C5" w:rsidRPr="007F7EBF">
        <w:rPr>
          <w:sz w:val="22"/>
          <w:szCs w:val="22"/>
        </w:rPr>
        <w:t>denominati “</w:t>
      </w:r>
      <w:r w:rsidR="006342C5" w:rsidRPr="007F7EBF">
        <w:rPr>
          <w:bCs/>
          <w:sz w:val="22"/>
          <w:szCs w:val="22"/>
        </w:rPr>
        <w:t>transazione</w:t>
      </w:r>
      <w:r w:rsidR="005F3C6F" w:rsidRPr="007F7EBF">
        <w:rPr>
          <w:bCs/>
          <w:sz w:val="22"/>
          <w:szCs w:val="22"/>
        </w:rPr>
        <w:t xml:space="preserve"> </w:t>
      </w:r>
      <w:r w:rsidR="006342C5" w:rsidRPr="007F7EBF">
        <w:rPr>
          <w:bCs/>
          <w:sz w:val="22"/>
          <w:szCs w:val="22"/>
        </w:rPr>
        <w:t>fiscal</w:t>
      </w:r>
      <w:r w:rsidR="005F3C6F" w:rsidRPr="007F7EBF">
        <w:rPr>
          <w:sz w:val="22"/>
          <w:szCs w:val="22"/>
        </w:rPr>
        <w:t>e”</w:t>
      </w:r>
      <w:r>
        <w:rPr>
          <w:sz w:val="22"/>
          <w:szCs w:val="22"/>
        </w:rPr>
        <w:t>, coinvolgendo i</w:t>
      </w:r>
      <w:r w:rsidR="006342C5" w:rsidRPr="007F7EBF">
        <w:rPr>
          <w:sz w:val="22"/>
          <w:szCs w:val="22"/>
        </w:rPr>
        <w:t xml:space="preserve">l magistrato </w:t>
      </w:r>
      <w:r w:rsidR="006F4A03" w:rsidRPr="007F7EBF">
        <w:rPr>
          <w:sz w:val="22"/>
          <w:szCs w:val="22"/>
        </w:rPr>
        <w:t xml:space="preserve">fallimentare </w:t>
      </w:r>
      <w:r w:rsidR="006342C5" w:rsidRPr="007F7EBF">
        <w:rPr>
          <w:sz w:val="22"/>
          <w:szCs w:val="22"/>
        </w:rPr>
        <w:t>competente, e previa verifica dell’esistenza di altri creditori,</w:t>
      </w:r>
      <w:r w:rsidR="005F3C6F" w:rsidRPr="007F7EBF">
        <w:rPr>
          <w:sz w:val="22"/>
          <w:szCs w:val="22"/>
        </w:rPr>
        <w:t xml:space="preserve"> </w:t>
      </w:r>
      <w:r w:rsidR="006342C5" w:rsidRPr="007F7EBF">
        <w:rPr>
          <w:sz w:val="22"/>
          <w:szCs w:val="22"/>
        </w:rPr>
        <w:t>che devono poter partecipare alle decisioni</w:t>
      </w:r>
      <w:r>
        <w:rPr>
          <w:sz w:val="22"/>
          <w:szCs w:val="22"/>
        </w:rPr>
        <w:t xml:space="preserve"> (</w:t>
      </w:r>
      <w:r>
        <w:rPr>
          <w:rStyle w:val="Rimandonotaapidipagina"/>
          <w:sz w:val="22"/>
          <w:szCs w:val="22"/>
        </w:rPr>
        <w:footnoteReference w:id="917"/>
      </w:r>
      <w:r>
        <w:rPr>
          <w:sz w:val="22"/>
          <w:szCs w:val="22"/>
        </w:rPr>
        <w:t>).</w:t>
      </w:r>
      <w:r w:rsidR="006342C5" w:rsidRPr="007F7EBF">
        <w:rPr>
          <w:sz w:val="22"/>
          <w:szCs w:val="22"/>
        </w:rPr>
        <w:t xml:space="preserve"> </w:t>
      </w:r>
      <w:r>
        <w:rPr>
          <w:sz w:val="22"/>
          <w:szCs w:val="22"/>
        </w:rPr>
        <w:t xml:space="preserve">Per i </w:t>
      </w:r>
      <w:r w:rsidRPr="007F7EBF">
        <w:rPr>
          <w:sz w:val="20"/>
          <w:szCs w:val="20"/>
        </w:rPr>
        <w:t xml:space="preserve">contribuenti che non falliscono, come </w:t>
      </w:r>
      <w:r w:rsidRPr="007F7EBF">
        <w:rPr>
          <w:bCs/>
          <w:sz w:val="20"/>
          <w:szCs w:val="20"/>
        </w:rPr>
        <w:t xml:space="preserve">privati </w:t>
      </w:r>
      <w:r w:rsidRPr="007F7EBF">
        <w:rPr>
          <w:sz w:val="20"/>
          <w:szCs w:val="20"/>
        </w:rPr>
        <w:t>o enti non commerciali</w:t>
      </w:r>
      <w:r>
        <w:rPr>
          <w:sz w:val="20"/>
          <w:szCs w:val="20"/>
        </w:rPr>
        <w:t xml:space="preserve">, anche i crediti erariali possono essere inseriti nelle procedure c.d. “di esdebitazione”. Resta il dubbio, indicato al par.7.21, sulla possibilità di verificare le cause effettive della situazione di insolvenza, e la diversa </w:t>
      </w:r>
      <w:proofErr w:type="spellStart"/>
      <w:r>
        <w:rPr>
          <w:sz w:val="20"/>
          <w:szCs w:val="20"/>
        </w:rPr>
        <w:t>meritevolezza</w:t>
      </w:r>
      <w:proofErr w:type="spellEnd"/>
      <w:r>
        <w:rPr>
          <w:sz w:val="20"/>
          <w:szCs w:val="20"/>
        </w:rPr>
        <w:t xml:space="preserve"> del debitore. </w:t>
      </w:r>
    </w:p>
    <w:p w14:paraId="420FA7BE" w14:textId="77777777" w:rsidR="000D0F0D" w:rsidRPr="007F7EBF" w:rsidRDefault="000D0F0D" w:rsidP="006342C5">
      <w:pPr>
        <w:autoSpaceDE w:val="0"/>
        <w:autoSpaceDN w:val="0"/>
        <w:adjustRightInd w:val="0"/>
        <w:rPr>
          <w:sz w:val="22"/>
          <w:szCs w:val="22"/>
        </w:rPr>
      </w:pPr>
    </w:p>
    <w:p w14:paraId="6DA2F937" w14:textId="426A7A4C" w:rsidR="005C31DE" w:rsidRPr="006D219D" w:rsidRDefault="006342C5" w:rsidP="00AD48CA">
      <w:pPr>
        <w:pStyle w:val="Titolo3"/>
        <w:rPr>
          <w:rFonts w:ascii="Times New Roman" w:hAnsi="Times New Roman"/>
          <w:sz w:val="22"/>
          <w:szCs w:val="22"/>
          <w:lang w:val="it-IT"/>
        </w:rPr>
      </w:pPr>
      <w:bookmarkStart w:id="94" w:name="_Toc63365005"/>
      <w:r w:rsidRPr="007F7EBF">
        <w:rPr>
          <w:rFonts w:ascii="Times New Roman" w:hAnsi="Times New Roman"/>
          <w:sz w:val="22"/>
          <w:szCs w:val="22"/>
        </w:rPr>
        <w:t xml:space="preserve">6.12. </w:t>
      </w:r>
      <w:r w:rsidR="002102B2" w:rsidRPr="007F7EBF">
        <w:rPr>
          <w:rFonts w:ascii="Times New Roman" w:hAnsi="Times New Roman"/>
          <w:sz w:val="22"/>
          <w:szCs w:val="22"/>
        </w:rPr>
        <w:t>Riscossione in pendenza di ricorso come diversivo rispetto alla certezza della riscossione</w:t>
      </w:r>
      <w:bookmarkEnd w:id="94"/>
      <w:r w:rsidR="006D219D">
        <w:rPr>
          <w:rFonts w:ascii="Times New Roman" w:hAnsi="Times New Roman"/>
          <w:sz w:val="22"/>
          <w:szCs w:val="22"/>
          <w:lang w:val="it-IT"/>
        </w:rPr>
        <w:t xml:space="preserve"> </w:t>
      </w:r>
    </w:p>
    <w:p w14:paraId="203FA0FA" w14:textId="77777777" w:rsidR="005C31DE" w:rsidRPr="007F7EBF" w:rsidRDefault="00C22ED9" w:rsidP="005C31DE">
      <w:pPr>
        <w:pStyle w:val="tit23"/>
        <w:ind w:left="6464" w:right="-1361" w:firstLine="0"/>
        <w:jc w:val="left"/>
        <w:rPr>
          <w:b/>
          <w:bCs/>
          <w:i/>
          <w:iCs/>
          <w:color w:val="0000FF"/>
          <w:lang w:val="it-IT"/>
        </w:rPr>
      </w:pPr>
      <w:r w:rsidRPr="007F7EBF">
        <w:rPr>
          <w:b/>
          <w:bCs/>
          <w:i/>
          <w:iCs/>
          <w:color w:val="0000FF"/>
          <w:lang w:val="it-IT"/>
        </w:rPr>
        <w:t>Tradizione della riscossione in pendenza di ricorso</w:t>
      </w:r>
    </w:p>
    <w:p w14:paraId="440F632C" w14:textId="14F911EB" w:rsidR="00543295" w:rsidRPr="007F7EBF" w:rsidRDefault="005C31DE" w:rsidP="00352A6D">
      <w:pPr>
        <w:autoSpaceDE w:val="0"/>
        <w:autoSpaceDN w:val="0"/>
        <w:adjustRightInd w:val="0"/>
        <w:rPr>
          <w:sz w:val="22"/>
          <w:szCs w:val="22"/>
        </w:rPr>
      </w:pPr>
      <w:r w:rsidRPr="007F7EBF">
        <w:rPr>
          <w:sz w:val="22"/>
          <w:szCs w:val="22"/>
        </w:rPr>
        <w:t xml:space="preserve">Nella </w:t>
      </w:r>
      <w:r w:rsidRPr="007F7EBF">
        <w:rPr>
          <w:bCs/>
          <w:sz w:val="22"/>
          <w:szCs w:val="22"/>
        </w:rPr>
        <w:t xml:space="preserve">tassazione </w:t>
      </w:r>
      <w:r w:rsidR="00C22ED9" w:rsidRPr="007F7EBF">
        <w:rPr>
          <w:bCs/>
          <w:sz w:val="22"/>
          <w:szCs w:val="22"/>
        </w:rPr>
        <w:t>tradizionale</w:t>
      </w:r>
      <w:r w:rsidRPr="007F7EBF">
        <w:rPr>
          <w:sz w:val="22"/>
          <w:szCs w:val="22"/>
        </w:rPr>
        <w:t xml:space="preserve"> </w:t>
      </w:r>
      <w:r w:rsidRPr="007F7EBF">
        <w:rPr>
          <w:bCs/>
          <w:sz w:val="22"/>
          <w:szCs w:val="22"/>
        </w:rPr>
        <w:t xml:space="preserve">la celere riscossione </w:t>
      </w:r>
      <w:r w:rsidRPr="007F7EBF">
        <w:rPr>
          <w:sz w:val="22"/>
          <w:szCs w:val="22"/>
        </w:rPr>
        <w:t xml:space="preserve">delle imposte </w:t>
      </w:r>
      <w:r w:rsidR="00B669EA">
        <w:rPr>
          <w:sz w:val="22"/>
          <w:szCs w:val="22"/>
        </w:rPr>
        <w:t xml:space="preserve">determinate dagli uffici tributari era </w:t>
      </w:r>
      <w:r w:rsidRPr="007F7EBF">
        <w:rPr>
          <w:sz w:val="22"/>
          <w:szCs w:val="22"/>
        </w:rPr>
        <w:t>fondamentale</w:t>
      </w:r>
      <w:r w:rsidR="00AC598C">
        <w:rPr>
          <w:sz w:val="22"/>
          <w:szCs w:val="22"/>
        </w:rPr>
        <w:t xml:space="preserve"> per le necessità di gettito</w:t>
      </w:r>
      <w:r w:rsidRPr="007F7EBF">
        <w:rPr>
          <w:sz w:val="22"/>
          <w:szCs w:val="22"/>
        </w:rPr>
        <w:t xml:space="preserve">. </w:t>
      </w:r>
      <w:r w:rsidR="00C22ED9" w:rsidRPr="007F7EBF">
        <w:rPr>
          <w:sz w:val="22"/>
          <w:szCs w:val="22"/>
        </w:rPr>
        <w:t xml:space="preserve">Non solo gli esattori, </w:t>
      </w:r>
      <w:r w:rsidRPr="007F7EBF">
        <w:rPr>
          <w:sz w:val="22"/>
          <w:szCs w:val="22"/>
        </w:rPr>
        <w:t xml:space="preserve">come indicato al paragrafo precedente, </w:t>
      </w:r>
      <w:r w:rsidR="00C22ED9" w:rsidRPr="007F7EBF">
        <w:rPr>
          <w:sz w:val="22"/>
          <w:szCs w:val="22"/>
        </w:rPr>
        <w:t>n</w:t>
      </w:r>
      <w:r w:rsidRPr="007F7EBF">
        <w:rPr>
          <w:sz w:val="22"/>
          <w:szCs w:val="22"/>
        </w:rPr>
        <w:t xml:space="preserve">e anticipavano l'importo, rivalendosi poi sui </w:t>
      </w:r>
      <w:r w:rsidR="00AC598C">
        <w:rPr>
          <w:sz w:val="22"/>
          <w:szCs w:val="22"/>
        </w:rPr>
        <w:t>contribuenti</w:t>
      </w:r>
      <w:r w:rsidR="00C22ED9" w:rsidRPr="007F7EBF">
        <w:rPr>
          <w:sz w:val="22"/>
          <w:szCs w:val="22"/>
        </w:rPr>
        <w:t xml:space="preserve">, ma le proteste </w:t>
      </w:r>
      <w:r w:rsidR="00AC598C">
        <w:rPr>
          <w:sz w:val="22"/>
          <w:szCs w:val="22"/>
        </w:rPr>
        <w:t>di questi ultimi</w:t>
      </w:r>
      <w:r w:rsidR="00C22ED9" w:rsidRPr="007F7EBF">
        <w:rPr>
          <w:sz w:val="22"/>
          <w:szCs w:val="22"/>
        </w:rPr>
        <w:t xml:space="preserve">, sotto forma di ricorsi, reclami etc., </w:t>
      </w:r>
      <w:r w:rsidR="006342C5" w:rsidRPr="007F7EBF">
        <w:rPr>
          <w:bCs/>
          <w:sz w:val="22"/>
          <w:szCs w:val="22"/>
        </w:rPr>
        <w:t>non ferma</w:t>
      </w:r>
      <w:r w:rsidR="00C22ED9" w:rsidRPr="007F7EBF">
        <w:rPr>
          <w:bCs/>
          <w:sz w:val="22"/>
          <w:szCs w:val="22"/>
        </w:rPr>
        <w:t>vano</w:t>
      </w:r>
      <w:r w:rsidR="006342C5" w:rsidRPr="007F7EBF">
        <w:rPr>
          <w:bCs/>
          <w:sz w:val="22"/>
          <w:szCs w:val="22"/>
        </w:rPr>
        <w:t xml:space="preserve"> la riscossione</w:t>
      </w:r>
      <w:r w:rsidR="00C22ED9" w:rsidRPr="007F7EBF">
        <w:rPr>
          <w:sz w:val="22"/>
          <w:szCs w:val="22"/>
        </w:rPr>
        <w:t xml:space="preserve">; </w:t>
      </w:r>
      <w:r w:rsidR="00B669EA">
        <w:rPr>
          <w:sz w:val="22"/>
          <w:szCs w:val="22"/>
        </w:rPr>
        <w:t xml:space="preserve">il contribuente doveva </w:t>
      </w:r>
      <w:r w:rsidR="00A3342A">
        <w:rPr>
          <w:sz w:val="22"/>
          <w:szCs w:val="22"/>
        </w:rPr>
        <w:t xml:space="preserve">comunque versare, </w:t>
      </w:r>
      <w:r w:rsidR="006342C5" w:rsidRPr="007F7EBF">
        <w:rPr>
          <w:sz w:val="22"/>
          <w:szCs w:val="22"/>
        </w:rPr>
        <w:t xml:space="preserve">in attesa della </w:t>
      </w:r>
      <w:r w:rsidR="00A3342A">
        <w:rPr>
          <w:sz w:val="22"/>
          <w:szCs w:val="22"/>
        </w:rPr>
        <w:t>decisione sulle</w:t>
      </w:r>
      <w:r w:rsidR="00B669EA">
        <w:rPr>
          <w:sz w:val="22"/>
          <w:szCs w:val="22"/>
        </w:rPr>
        <w:t xml:space="preserve"> sue</w:t>
      </w:r>
      <w:r w:rsidR="00A3342A">
        <w:rPr>
          <w:sz w:val="22"/>
          <w:szCs w:val="22"/>
        </w:rPr>
        <w:t xml:space="preserve"> rimostranze</w:t>
      </w:r>
      <w:r w:rsidR="00C22ED9" w:rsidRPr="007F7EBF">
        <w:rPr>
          <w:sz w:val="22"/>
          <w:szCs w:val="22"/>
        </w:rPr>
        <w:t xml:space="preserve">, che </w:t>
      </w:r>
      <w:r w:rsidR="00B669EA">
        <w:rPr>
          <w:sz w:val="22"/>
          <w:szCs w:val="22"/>
        </w:rPr>
        <w:t xml:space="preserve">gli </w:t>
      </w:r>
      <w:r w:rsidR="00C22ED9" w:rsidRPr="007F7EBF">
        <w:rPr>
          <w:sz w:val="22"/>
          <w:szCs w:val="22"/>
        </w:rPr>
        <w:t>avrebbe eventualmente consentito</w:t>
      </w:r>
      <w:r w:rsidR="00B669EA">
        <w:rPr>
          <w:sz w:val="22"/>
          <w:szCs w:val="22"/>
        </w:rPr>
        <w:t xml:space="preserve"> </w:t>
      </w:r>
      <w:r w:rsidR="00C22ED9" w:rsidRPr="007F7EBF">
        <w:rPr>
          <w:sz w:val="22"/>
          <w:szCs w:val="22"/>
        </w:rPr>
        <w:t>un rimborso</w:t>
      </w:r>
      <w:r w:rsidR="00B669EA">
        <w:rPr>
          <w:sz w:val="22"/>
          <w:szCs w:val="22"/>
        </w:rPr>
        <w:t xml:space="preserve">. </w:t>
      </w:r>
    </w:p>
    <w:p w14:paraId="1D5C6C59" w14:textId="4047B198" w:rsidR="00DA312B" w:rsidRPr="007F7EBF" w:rsidRDefault="00543295" w:rsidP="00DA312B">
      <w:pPr>
        <w:pStyle w:val="tit23"/>
        <w:ind w:left="6464" w:right="-1361" w:firstLine="0"/>
        <w:jc w:val="left"/>
        <w:rPr>
          <w:bCs/>
          <w:i/>
          <w:iCs/>
          <w:color w:val="0000FF"/>
          <w:lang w:val="it-IT"/>
        </w:rPr>
      </w:pPr>
      <w:r w:rsidRPr="007F7EBF">
        <w:rPr>
          <w:bCs/>
          <w:i/>
          <w:iCs/>
          <w:color w:val="0000FF"/>
          <w:lang w:val="it-IT"/>
        </w:rPr>
        <w:t xml:space="preserve">L’attuale riscossione provvisoria </w:t>
      </w:r>
    </w:p>
    <w:p w14:paraId="20E9CF1D" w14:textId="7F014104" w:rsidR="00ED309D" w:rsidRDefault="00B669EA" w:rsidP="009043CA">
      <w:pPr>
        <w:autoSpaceDE w:val="0"/>
        <w:autoSpaceDN w:val="0"/>
        <w:adjustRightInd w:val="0"/>
        <w:rPr>
          <w:sz w:val="22"/>
          <w:szCs w:val="22"/>
        </w:rPr>
      </w:pPr>
      <w:r>
        <w:rPr>
          <w:sz w:val="22"/>
          <w:szCs w:val="22"/>
        </w:rPr>
        <w:t>Q</w:t>
      </w:r>
      <w:r w:rsidR="00AC598C">
        <w:rPr>
          <w:sz w:val="22"/>
          <w:szCs w:val="22"/>
        </w:rPr>
        <w:t>uesta tradizione</w:t>
      </w:r>
      <w:r>
        <w:rPr>
          <w:sz w:val="22"/>
          <w:szCs w:val="22"/>
        </w:rPr>
        <w:t xml:space="preserve">, denominata </w:t>
      </w:r>
      <w:r>
        <w:rPr>
          <w:i/>
          <w:iCs/>
          <w:sz w:val="22"/>
          <w:szCs w:val="22"/>
        </w:rPr>
        <w:t xml:space="preserve">solve et repete </w:t>
      </w:r>
      <w:r>
        <w:rPr>
          <w:sz w:val="22"/>
          <w:szCs w:val="22"/>
        </w:rPr>
        <w:t xml:space="preserve">, ispira anche il regime attuale, dove </w:t>
      </w:r>
      <w:r w:rsidR="00AC598C">
        <w:rPr>
          <w:sz w:val="22"/>
          <w:szCs w:val="22"/>
        </w:rPr>
        <w:t>l</w:t>
      </w:r>
      <w:r w:rsidR="00543295" w:rsidRPr="007F7EBF">
        <w:rPr>
          <w:sz w:val="22"/>
          <w:szCs w:val="22"/>
        </w:rPr>
        <w:t>e</w:t>
      </w:r>
      <w:r w:rsidR="009043CA">
        <w:rPr>
          <w:sz w:val="22"/>
          <w:szCs w:val="22"/>
        </w:rPr>
        <w:t xml:space="preserve"> somme richieste </w:t>
      </w:r>
      <w:r>
        <w:rPr>
          <w:sz w:val="22"/>
          <w:szCs w:val="22"/>
        </w:rPr>
        <w:t xml:space="preserve">con l’atto impositivo </w:t>
      </w:r>
      <w:r w:rsidR="009043CA">
        <w:rPr>
          <w:sz w:val="22"/>
          <w:szCs w:val="22"/>
        </w:rPr>
        <w:t xml:space="preserve">devono essere in </w:t>
      </w:r>
      <w:r w:rsidR="009043CA">
        <w:rPr>
          <w:sz w:val="22"/>
          <w:szCs w:val="22"/>
        </w:rPr>
        <w:lastRenderedPageBreak/>
        <w:t xml:space="preserve">tutto in parte </w:t>
      </w:r>
      <w:r>
        <w:rPr>
          <w:sz w:val="22"/>
          <w:szCs w:val="22"/>
        </w:rPr>
        <w:t>pagate</w:t>
      </w:r>
      <w:r w:rsidR="009043CA">
        <w:rPr>
          <w:sz w:val="22"/>
          <w:szCs w:val="22"/>
        </w:rPr>
        <w:t xml:space="preserve">, </w:t>
      </w:r>
      <w:r w:rsidR="002E6FE6">
        <w:rPr>
          <w:sz w:val="22"/>
          <w:szCs w:val="22"/>
        </w:rPr>
        <w:t>prima del</w:t>
      </w:r>
      <w:r w:rsidR="00D07837">
        <w:rPr>
          <w:sz w:val="22"/>
          <w:szCs w:val="22"/>
        </w:rPr>
        <w:t xml:space="preserve">la sentenza </w:t>
      </w:r>
      <w:r w:rsidR="002E6FE6">
        <w:rPr>
          <w:sz w:val="22"/>
          <w:szCs w:val="22"/>
        </w:rPr>
        <w:t>definitiva</w:t>
      </w:r>
      <w:r>
        <w:rPr>
          <w:sz w:val="22"/>
          <w:szCs w:val="22"/>
        </w:rPr>
        <w:t xml:space="preserve"> sul relativo ricorso</w:t>
      </w:r>
      <w:r w:rsidR="00D07837">
        <w:rPr>
          <w:sz w:val="22"/>
          <w:szCs w:val="22"/>
        </w:rPr>
        <w:t xml:space="preserve">. </w:t>
      </w:r>
      <w:r>
        <w:rPr>
          <w:sz w:val="22"/>
          <w:szCs w:val="22"/>
        </w:rPr>
        <w:t>Q</w:t>
      </w:r>
      <w:r w:rsidR="00ED309D">
        <w:rPr>
          <w:sz w:val="22"/>
          <w:szCs w:val="22"/>
        </w:rPr>
        <w:t xml:space="preserve">uesta celere riscossione ha </w:t>
      </w:r>
      <w:r>
        <w:rPr>
          <w:sz w:val="22"/>
          <w:szCs w:val="22"/>
        </w:rPr>
        <w:t>però ormai</w:t>
      </w:r>
      <w:r w:rsidR="00ED309D">
        <w:rPr>
          <w:sz w:val="22"/>
          <w:szCs w:val="22"/>
        </w:rPr>
        <w:t xml:space="preserve"> poca importanza</w:t>
      </w:r>
      <w:r>
        <w:rPr>
          <w:sz w:val="22"/>
          <w:szCs w:val="22"/>
        </w:rPr>
        <w:t xml:space="preserve"> nel contesto di autodeterminazione delle imposte; più importante è invece </w:t>
      </w:r>
      <w:r w:rsidR="00ED309D">
        <w:rPr>
          <w:sz w:val="22"/>
          <w:szCs w:val="22"/>
        </w:rPr>
        <w:t xml:space="preserve">la sicura riscossione, in modo </w:t>
      </w:r>
      <w:r>
        <w:rPr>
          <w:sz w:val="22"/>
          <w:szCs w:val="22"/>
        </w:rPr>
        <w:t xml:space="preserve">che </w:t>
      </w:r>
      <w:r w:rsidR="00ED309D">
        <w:rPr>
          <w:sz w:val="22"/>
          <w:szCs w:val="22"/>
        </w:rPr>
        <w:t xml:space="preserve">i contribuenti </w:t>
      </w:r>
      <w:r>
        <w:rPr>
          <w:sz w:val="22"/>
          <w:szCs w:val="22"/>
        </w:rPr>
        <w:t xml:space="preserve">non </w:t>
      </w:r>
      <w:r w:rsidR="00ED309D">
        <w:rPr>
          <w:sz w:val="22"/>
          <w:szCs w:val="22"/>
        </w:rPr>
        <w:t>confid</w:t>
      </w:r>
      <w:r>
        <w:rPr>
          <w:sz w:val="22"/>
          <w:szCs w:val="22"/>
        </w:rPr>
        <w:t>ino anche sulla possibilità di rendersi nullatenenti per evitare le imposte, come nel caso delle società e dei prestanome</w:t>
      </w:r>
      <w:r w:rsidR="00ED309D">
        <w:rPr>
          <w:sz w:val="22"/>
          <w:szCs w:val="22"/>
        </w:rPr>
        <w:t xml:space="preserve">. </w:t>
      </w:r>
    </w:p>
    <w:p w14:paraId="30211267" w14:textId="6C3CF714" w:rsidR="00DA312B" w:rsidRPr="007F7EBF" w:rsidRDefault="00B669EA" w:rsidP="009043CA">
      <w:pPr>
        <w:autoSpaceDE w:val="0"/>
        <w:autoSpaceDN w:val="0"/>
        <w:adjustRightInd w:val="0"/>
        <w:rPr>
          <w:sz w:val="22"/>
          <w:szCs w:val="22"/>
        </w:rPr>
      </w:pPr>
      <w:r>
        <w:rPr>
          <w:sz w:val="22"/>
          <w:szCs w:val="22"/>
        </w:rPr>
        <w:t>P</w:t>
      </w:r>
      <w:r w:rsidR="00D07837">
        <w:rPr>
          <w:sz w:val="22"/>
          <w:szCs w:val="22"/>
        </w:rPr>
        <w:t>er gli avvisi di accertamento (</w:t>
      </w:r>
      <w:r w:rsidR="000D6363" w:rsidRPr="007F7EBF">
        <w:rPr>
          <w:rStyle w:val="Rimandonotaapidipagina"/>
          <w:sz w:val="22"/>
          <w:szCs w:val="22"/>
        </w:rPr>
        <w:footnoteReference w:id="918"/>
      </w:r>
      <w:r w:rsidR="00D07837">
        <w:rPr>
          <w:sz w:val="22"/>
          <w:szCs w:val="22"/>
        </w:rPr>
        <w:t>)</w:t>
      </w:r>
      <w:r>
        <w:rPr>
          <w:sz w:val="22"/>
          <w:szCs w:val="22"/>
        </w:rPr>
        <w:t xml:space="preserve"> il ricorso limita la riscossione provvisoria a un terzo dell’imposta, mentre le iscrizioni a ruolo di cui </w:t>
      </w:r>
      <w:r w:rsidR="009043CA">
        <w:rPr>
          <w:sz w:val="22"/>
          <w:szCs w:val="22"/>
        </w:rPr>
        <w:t xml:space="preserve">al par.5.5, ad esempio </w:t>
      </w:r>
      <w:r w:rsidR="00543295" w:rsidRPr="007F7EBF">
        <w:rPr>
          <w:sz w:val="22"/>
          <w:szCs w:val="22"/>
        </w:rPr>
        <w:t>per somme dichiarate e non versate, oppure dovute a seguito dei controlli formali della dichiarazione</w:t>
      </w:r>
      <w:r>
        <w:rPr>
          <w:sz w:val="22"/>
          <w:szCs w:val="22"/>
        </w:rPr>
        <w:t xml:space="preserve">, vanno pagate anche in caso di ricorso, perché ritenute </w:t>
      </w:r>
      <w:r w:rsidR="009043CA">
        <w:rPr>
          <w:sz w:val="22"/>
          <w:szCs w:val="22"/>
        </w:rPr>
        <w:t>“ad alta evidenza”</w:t>
      </w:r>
      <w:r>
        <w:rPr>
          <w:sz w:val="22"/>
          <w:szCs w:val="22"/>
        </w:rPr>
        <w:t xml:space="preserve"> (</w:t>
      </w:r>
      <w:r w:rsidR="001A5209">
        <w:rPr>
          <w:sz w:val="22"/>
          <w:szCs w:val="22"/>
        </w:rPr>
        <w:t xml:space="preserve">su queste richieste </w:t>
      </w:r>
      <w:r>
        <w:rPr>
          <w:sz w:val="22"/>
          <w:szCs w:val="22"/>
        </w:rPr>
        <w:t xml:space="preserve">opera quindi in pieno il suddetto criterio del </w:t>
      </w:r>
      <w:r w:rsidRPr="00B669EA">
        <w:rPr>
          <w:i/>
          <w:iCs/>
          <w:sz w:val="22"/>
          <w:szCs w:val="22"/>
        </w:rPr>
        <w:t>solve et repete</w:t>
      </w:r>
      <w:r>
        <w:rPr>
          <w:sz w:val="22"/>
          <w:szCs w:val="22"/>
        </w:rPr>
        <w:t xml:space="preserve">). </w:t>
      </w:r>
      <w:r w:rsidR="00C65431">
        <w:rPr>
          <w:sz w:val="22"/>
          <w:szCs w:val="22"/>
        </w:rPr>
        <w:t xml:space="preserve">  </w:t>
      </w:r>
      <w:r w:rsidR="001A5209">
        <w:rPr>
          <w:sz w:val="22"/>
          <w:szCs w:val="22"/>
        </w:rPr>
        <w:t>Pe</w:t>
      </w:r>
      <w:r w:rsidR="00ED309D">
        <w:rPr>
          <w:sz w:val="22"/>
          <w:szCs w:val="22"/>
        </w:rPr>
        <w:t>r evitare l’esecuzione forzata di quanto dovuto a titolo provvisorio, occorre quindi chiedere</w:t>
      </w:r>
      <w:r w:rsidR="00ED309D" w:rsidRPr="007F7EBF">
        <w:rPr>
          <w:sz w:val="22"/>
          <w:szCs w:val="22"/>
        </w:rPr>
        <w:t xml:space="preserve"> </w:t>
      </w:r>
      <w:r w:rsidR="00ED309D">
        <w:rPr>
          <w:sz w:val="22"/>
          <w:szCs w:val="22"/>
        </w:rPr>
        <w:t xml:space="preserve">la </w:t>
      </w:r>
      <w:r w:rsidR="00ED309D" w:rsidRPr="007F7EBF">
        <w:rPr>
          <w:sz w:val="22"/>
          <w:szCs w:val="22"/>
        </w:rPr>
        <w:t xml:space="preserve">sospensione </w:t>
      </w:r>
      <w:r w:rsidR="00ED309D">
        <w:rPr>
          <w:sz w:val="22"/>
          <w:szCs w:val="22"/>
        </w:rPr>
        <w:t>giurisdizionale o amministrativa</w:t>
      </w:r>
      <w:r w:rsidR="00ED309D" w:rsidRPr="007F7EBF">
        <w:rPr>
          <w:sz w:val="22"/>
          <w:szCs w:val="22"/>
        </w:rPr>
        <w:t xml:space="preserve"> della riscossione</w:t>
      </w:r>
      <w:r w:rsidR="00ED309D">
        <w:rPr>
          <w:sz w:val="22"/>
          <w:szCs w:val="22"/>
        </w:rPr>
        <w:t>, come vedremo tra breve.</w:t>
      </w:r>
    </w:p>
    <w:p w14:paraId="7FCBD93F" w14:textId="77777777" w:rsidR="00DA312B" w:rsidRPr="007F7EBF" w:rsidRDefault="00DA312B" w:rsidP="00DA312B">
      <w:pPr>
        <w:pStyle w:val="tit23"/>
        <w:ind w:left="6464" w:right="-1361" w:firstLine="0"/>
        <w:jc w:val="left"/>
        <w:rPr>
          <w:bCs/>
          <w:i/>
          <w:iCs/>
          <w:color w:val="0000FF"/>
          <w:lang w:val="it-IT"/>
        </w:rPr>
      </w:pPr>
      <w:r w:rsidRPr="007F7EBF">
        <w:rPr>
          <w:bCs/>
          <w:i/>
          <w:iCs/>
          <w:color w:val="0000FF"/>
          <w:lang w:val="it-IT"/>
        </w:rPr>
        <w:t>Il conguaglio rispetto al contenzioso</w:t>
      </w:r>
    </w:p>
    <w:p w14:paraId="4A5A524D" w14:textId="1A874E21" w:rsidR="00DA312B" w:rsidRPr="007F7EBF" w:rsidRDefault="009043CA" w:rsidP="00DA312B">
      <w:pPr>
        <w:autoSpaceDE w:val="0"/>
        <w:autoSpaceDN w:val="0"/>
        <w:adjustRightInd w:val="0"/>
        <w:rPr>
          <w:sz w:val="22"/>
          <w:szCs w:val="22"/>
        </w:rPr>
      </w:pPr>
      <w:r>
        <w:rPr>
          <w:sz w:val="22"/>
          <w:szCs w:val="22"/>
        </w:rPr>
        <w:t xml:space="preserve">Dopo le sentenze, le somme richieste con avvisi di accertamento, e parzialmente sospese per effetto del ricorso, vengono poste in riscossione secondo frazioni crescenti di quanto stabilito dal giudice; scattano quindi </w:t>
      </w:r>
      <w:r w:rsidR="00602641" w:rsidRPr="007F7EBF">
        <w:rPr>
          <w:sz w:val="22"/>
          <w:szCs w:val="22"/>
        </w:rPr>
        <w:t xml:space="preserve">una serie di </w:t>
      </w:r>
      <w:r w:rsidR="006342C5" w:rsidRPr="007F7EBF">
        <w:rPr>
          <w:bCs/>
          <w:sz w:val="22"/>
          <w:szCs w:val="22"/>
        </w:rPr>
        <w:t>conguagli</w:t>
      </w:r>
      <w:r w:rsidR="00602641" w:rsidRPr="007F7EBF">
        <w:rPr>
          <w:bCs/>
          <w:sz w:val="22"/>
          <w:szCs w:val="22"/>
        </w:rPr>
        <w:t xml:space="preserve"> con la somma dovuta in relazione alle varie sentenze del giudice</w:t>
      </w:r>
      <w:r w:rsidR="00CF5E63">
        <w:rPr>
          <w:bCs/>
          <w:sz w:val="22"/>
          <w:szCs w:val="22"/>
        </w:rPr>
        <w:t xml:space="preserve"> (par.6.9)</w:t>
      </w:r>
      <w:r>
        <w:rPr>
          <w:bCs/>
          <w:sz w:val="22"/>
          <w:szCs w:val="22"/>
        </w:rPr>
        <w:t>,</w:t>
      </w:r>
      <w:r w:rsidR="00602641" w:rsidRPr="007F7EBF">
        <w:rPr>
          <w:bCs/>
          <w:sz w:val="22"/>
          <w:szCs w:val="22"/>
        </w:rPr>
        <w:t xml:space="preserve"> </w:t>
      </w:r>
      <w:r w:rsidR="006342C5" w:rsidRPr="007F7EBF">
        <w:rPr>
          <w:sz w:val="22"/>
          <w:szCs w:val="22"/>
        </w:rPr>
        <w:t>man mano che il giudizio</w:t>
      </w:r>
      <w:r w:rsidR="00A751AB" w:rsidRPr="007F7EBF">
        <w:rPr>
          <w:sz w:val="22"/>
          <w:szCs w:val="22"/>
        </w:rPr>
        <w:t xml:space="preserve"> </w:t>
      </w:r>
      <w:r w:rsidR="006342C5" w:rsidRPr="007F7EBF">
        <w:rPr>
          <w:sz w:val="22"/>
          <w:szCs w:val="22"/>
        </w:rPr>
        <w:t>procede (</w:t>
      </w:r>
      <w:r>
        <w:rPr>
          <w:sz w:val="22"/>
          <w:szCs w:val="22"/>
        </w:rPr>
        <w:t xml:space="preserve">art.68 </w:t>
      </w:r>
      <w:proofErr w:type="spellStart"/>
      <w:r>
        <w:rPr>
          <w:sz w:val="22"/>
          <w:szCs w:val="22"/>
        </w:rPr>
        <w:t>dlgsvo</w:t>
      </w:r>
      <w:proofErr w:type="spellEnd"/>
      <w:r>
        <w:rPr>
          <w:sz w:val="22"/>
          <w:szCs w:val="22"/>
        </w:rPr>
        <w:t xml:space="preserve"> 546)</w:t>
      </w:r>
      <w:r w:rsidR="006342C5" w:rsidRPr="007F7EBF">
        <w:rPr>
          <w:sz w:val="22"/>
          <w:szCs w:val="22"/>
        </w:rPr>
        <w:t>.</w:t>
      </w:r>
      <w:r w:rsidR="00352A6D" w:rsidRPr="007F7EBF">
        <w:rPr>
          <w:sz w:val="22"/>
          <w:szCs w:val="22"/>
        </w:rPr>
        <w:t xml:space="preserve"> </w:t>
      </w:r>
      <w:r w:rsidR="006342C5" w:rsidRPr="007F7EBF">
        <w:rPr>
          <w:sz w:val="22"/>
          <w:szCs w:val="22"/>
        </w:rPr>
        <w:t xml:space="preserve">Le </w:t>
      </w:r>
      <w:r w:rsidR="006342C5" w:rsidRPr="007F7EBF">
        <w:rPr>
          <w:bCs/>
          <w:sz w:val="22"/>
          <w:szCs w:val="22"/>
        </w:rPr>
        <w:t xml:space="preserve">sanzioni </w:t>
      </w:r>
      <w:r w:rsidR="000D6363" w:rsidRPr="007F7EBF">
        <w:rPr>
          <w:sz w:val="22"/>
          <w:szCs w:val="22"/>
        </w:rPr>
        <w:t xml:space="preserve">connesse alle </w:t>
      </w:r>
      <w:r w:rsidR="006342C5" w:rsidRPr="007F7EBF">
        <w:rPr>
          <w:sz w:val="22"/>
          <w:szCs w:val="22"/>
        </w:rPr>
        <w:t xml:space="preserve">imposte sono riscosse </w:t>
      </w:r>
      <w:r w:rsidR="007F3F25" w:rsidRPr="007F7EBF">
        <w:rPr>
          <w:sz w:val="22"/>
          <w:szCs w:val="22"/>
        </w:rPr>
        <w:t>n</w:t>
      </w:r>
      <w:r w:rsidR="006342C5" w:rsidRPr="007F7EBF">
        <w:rPr>
          <w:sz w:val="22"/>
          <w:szCs w:val="22"/>
        </w:rPr>
        <w:t>ello stesso ammontare previsto</w:t>
      </w:r>
      <w:r w:rsidR="000D6363" w:rsidRPr="007F7EBF">
        <w:rPr>
          <w:sz w:val="22"/>
          <w:szCs w:val="22"/>
        </w:rPr>
        <w:t xml:space="preserve"> dalle sentenze</w:t>
      </w:r>
      <w:r w:rsidR="006342C5" w:rsidRPr="007F7EBF">
        <w:rPr>
          <w:sz w:val="22"/>
          <w:szCs w:val="22"/>
        </w:rPr>
        <w:t xml:space="preserve"> per la riscossione del tributo</w:t>
      </w:r>
      <w:r w:rsidR="00DA312B" w:rsidRPr="007F7EBF">
        <w:rPr>
          <w:sz w:val="22"/>
          <w:szCs w:val="22"/>
        </w:rPr>
        <w:t>.</w:t>
      </w:r>
    </w:p>
    <w:p w14:paraId="06143D1A" w14:textId="77777777" w:rsidR="00DA312B" w:rsidRPr="007F7EBF" w:rsidRDefault="00DA312B" w:rsidP="00DA312B">
      <w:pPr>
        <w:pStyle w:val="tit23"/>
        <w:ind w:left="6464" w:right="-1361" w:firstLine="0"/>
        <w:jc w:val="left"/>
        <w:rPr>
          <w:bCs/>
          <w:i/>
          <w:iCs/>
          <w:color w:val="0000FF"/>
          <w:lang w:val="it-IT"/>
        </w:rPr>
      </w:pPr>
      <w:r w:rsidRPr="007F7EBF">
        <w:rPr>
          <w:bCs/>
          <w:i/>
          <w:iCs/>
          <w:color w:val="0000FF"/>
          <w:lang w:val="it-IT"/>
        </w:rPr>
        <w:t xml:space="preserve">accertamento esecutivo </w:t>
      </w:r>
      <w:r w:rsidR="003878B7" w:rsidRPr="007F7EBF">
        <w:rPr>
          <w:bCs/>
          <w:i/>
          <w:iCs/>
          <w:color w:val="0000FF"/>
          <w:lang w:val="it-IT"/>
        </w:rPr>
        <w:t xml:space="preserve">ed esecuzione senza </w:t>
      </w:r>
      <w:r w:rsidRPr="007F7EBF">
        <w:rPr>
          <w:bCs/>
          <w:i/>
          <w:iCs/>
          <w:color w:val="0000FF"/>
          <w:lang w:val="it-IT"/>
        </w:rPr>
        <w:t xml:space="preserve">ruoli </w:t>
      </w:r>
    </w:p>
    <w:p w14:paraId="5178BBDA" w14:textId="62D482AC" w:rsidR="00923E8E" w:rsidRPr="007F7EBF" w:rsidRDefault="001A5209" w:rsidP="00923E8E">
      <w:pPr>
        <w:autoSpaceDE w:val="0"/>
        <w:autoSpaceDN w:val="0"/>
        <w:adjustRightInd w:val="0"/>
        <w:rPr>
          <w:sz w:val="22"/>
          <w:szCs w:val="22"/>
        </w:rPr>
      </w:pPr>
      <w:r>
        <w:rPr>
          <w:sz w:val="22"/>
          <w:szCs w:val="22"/>
        </w:rPr>
        <w:t xml:space="preserve">Dal 2010 il contribuente deve </w:t>
      </w:r>
      <w:r w:rsidR="006342C5" w:rsidRPr="007F7EBF">
        <w:rPr>
          <w:sz w:val="22"/>
          <w:szCs w:val="22"/>
        </w:rPr>
        <w:t>pagare di propria iniziativa</w:t>
      </w:r>
      <w:r>
        <w:rPr>
          <w:sz w:val="22"/>
          <w:szCs w:val="22"/>
        </w:rPr>
        <w:t xml:space="preserve"> dopo la notifica dell’avviso di accertamento, </w:t>
      </w:r>
      <w:r w:rsidR="006342C5" w:rsidRPr="007F7EBF">
        <w:rPr>
          <w:sz w:val="22"/>
          <w:szCs w:val="22"/>
        </w:rPr>
        <w:t>altrimenti scatterà, la riscossione coattiva</w:t>
      </w:r>
      <w:r>
        <w:rPr>
          <w:sz w:val="22"/>
          <w:szCs w:val="22"/>
        </w:rPr>
        <w:t xml:space="preserve">; è stata cioè eliminata l’iscrizione a ruolo, passaggio inutile, e lascito delle esattorie di cui al paragrafo precedente. </w:t>
      </w:r>
      <w:r w:rsidR="00342698">
        <w:rPr>
          <w:sz w:val="22"/>
          <w:szCs w:val="22"/>
        </w:rPr>
        <w:t xml:space="preserve">Decorso il termine per proporre ricorso, è possibile quindi l’esecuzione coattiva, cioè il pignoramento, che nei casi più invasivi deve essere preceduto da specifiche intimazioni al debitore. In tali sedi saranno quindi comunque richiesti gli “aggi esattoriali” di cui al paragrafo precedente. </w:t>
      </w:r>
    </w:p>
    <w:p w14:paraId="1FCB76E2" w14:textId="77777777" w:rsidR="00923E8E" w:rsidRPr="007F7EBF" w:rsidRDefault="00923E8E" w:rsidP="00923E8E">
      <w:pPr>
        <w:pStyle w:val="tit23"/>
        <w:ind w:left="6464" w:right="-1361" w:firstLine="0"/>
        <w:jc w:val="left"/>
        <w:rPr>
          <w:bCs/>
          <w:i/>
          <w:iCs/>
          <w:color w:val="0000FF"/>
          <w:lang w:val="it-IT"/>
        </w:rPr>
      </w:pPr>
      <w:r w:rsidRPr="007F7EBF">
        <w:rPr>
          <w:bCs/>
          <w:i/>
          <w:iCs/>
          <w:color w:val="0000FF"/>
          <w:lang w:val="it-IT"/>
        </w:rPr>
        <w:lastRenderedPageBreak/>
        <w:t>sospensione della riscossione provvisoria</w:t>
      </w:r>
    </w:p>
    <w:p w14:paraId="4A9DA111" w14:textId="717B44B6" w:rsidR="00923E8E" w:rsidRPr="007F7EBF" w:rsidRDefault="002E6FE6" w:rsidP="00885D59">
      <w:pPr>
        <w:autoSpaceDE w:val="0"/>
        <w:autoSpaceDN w:val="0"/>
        <w:adjustRightInd w:val="0"/>
        <w:rPr>
          <w:bCs/>
          <w:i/>
          <w:iCs/>
          <w:color w:val="0000FF"/>
        </w:rPr>
      </w:pPr>
      <w:r>
        <w:rPr>
          <w:sz w:val="22"/>
          <w:szCs w:val="22"/>
        </w:rPr>
        <w:t xml:space="preserve">Il giudice può </w:t>
      </w:r>
      <w:r w:rsidR="009043CA">
        <w:rPr>
          <w:sz w:val="22"/>
          <w:szCs w:val="22"/>
        </w:rPr>
        <w:t>sospen</w:t>
      </w:r>
      <w:r>
        <w:rPr>
          <w:sz w:val="22"/>
          <w:szCs w:val="22"/>
        </w:rPr>
        <w:t xml:space="preserve">dere, in via cautelare </w:t>
      </w:r>
      <w:r w:rsidR="009043CA">
        <w:rPr>
          <w:sz w:val="22"/>
          <w:szCs w:val="22"/>
        </w:rPr>
        <w:t xml:space="preserve">i pagamenti provvisori suddetti, </w:t>
      </w:r>
      <w:r w:rsidR="006342C5" w:rsidRPr="007F7EBF">
        <w:rPr>
          <w:sz w:val="22"/>
          <w:szCs w:val="22"/>
        </w:rPr>
        <w:t xml:space="preserve">prima di </w:t>
      </w:r>
      <w:r w:rsidR="00ED309D">
        <w:rPr>
          <w:sz w:val="22"/>
          <w:szCs w:val="22"/>
        </w:rPr>
        <w:t>determinare l’imposta</w:t>
      </w:r>
      <w:r w:rsidR="00885D59">
        <w:rPr>
          <w:sz w:val="22"/>
          <w:szCs w:val="22"/>
        </w:rPr>
        <w:t xml:space="preserve"> nel merito</w:t>
      </w:r>
      <w:r w:rsidR="006342C5" w:rsidRPr="007F7EBF">
        <w:rPr>
          <w:sz w:val="22"/>
          <w:szCs w:val="22"/>
        </w:rPr>
        <w:t xml:space="preserve"> (</w:t>
      </w:r>
      <w:r w:rsidR="00923E8E" w:rsidRPr="007F7EBF">
        <w:rPr>
          <w:rStyle w:val="Rimandonotaapidipagina"/>
          <w:sz w:val="22"/>
          <w:szCs w:val="22"/>
        </w:rPr>
        <w:footnoteReference w:id="919"/>
      </w:r>
      <w:r w:rsidR="006342C5" w:rsidRPr="007F7EBF">
        <w:rPr>
          <w:sz w:val="22"/>
          <w:szCs w:val="22"/>
        </w:rPr>
        <w:t>)</w:t>
      </w:r>
      <w:r w:rsidR="00530FB3" w:rsidRPr="007F7EBF">
        <w:rPr>
          <w:sz w:val="22"/>
          <w:szCs w:val="22"/>
        </w:rPr>
        <w:t>.</w:t>
      </w:r>
      <w:r w:rsidR="00D77D25">
        <w:rPr>
          <w:sz w:val="22"/>
          <w:szCs w:val="22"/>
        </w:rPr>
        <w:t xml:space="preserve"> </w:t>
      </w:r>
      <w:r w:rsidR="00530FB3" w:rsidRPr="007F7EBF">
        <w:rPr>
          <w:sz w:val="22"/>
          <w:szCs w:val="22"/>
        </w:rPr>
        <w:t xml:space="preserve">A </w:t>
      </w:r>
      <w:r w:rsidR="006342C5" w:rsidRPr="007F7EBF">
        <w:rPr>
          <w:sz w:val="22"/>
          <w:szCs w:val="22"/>
        </w:rPr>
        <w:t xml:space="preserve">tal fine </w:t>
      </w:r>
      <w:r w:rsidR="00885D59">
        <w:rPr>
          <w:sz w:val="22"/>
          <w:szCs w:val="22"/>
        </w:rPr>
        <w:t xml:space="preserve">il giudice deve </w:t>
      </w:r>
      <w:r w:rsidR="006342C5" w:rsidRPr="007F7EBF">
        <w:rPr>
          <w:sz w:val="22"/>
          <w:szCs w:val="22"/>
        </w:rPr>
        <w:t>valutare il pericolo di danno «grave ed irreparabile» (c.d.</w:t>
      </w:r>
      <w:r w:rsidR="00530FB3" w:rsidRPr="007F7EBF">
        <w:rPr>
          <w:sz w:val="22"/>
          <w:szCs w:val="22"/>
        </w:rPr>
        <w:t xml:space="preserve"> </w:t>
      </w:r>
      <w:r w:rsidR="006342C5" w:rsidRPr="007F7EBF">
        <w:rPr>
          <w:sz w:val="22"/>
          <w:szCs w:val="22"/>
        </w:rPr>
        <w:t>periculum in mora), ivi compreso il danno economico, quando l’anticipazione sottragga</w:t>
      </w:r>
      <w:r w:rsidR="00530FB3" w:rsidRPr="007F7EBF">
        <w:rPr>
          <w:sz w:val="22"/>
          <w:szCs w:val="22"/>
        </w:rPr>
        <w:t xml:space="preserve"> </w:t>
      </w:r>
      <w:r w:rsidR="006342C5" w:rsidRPr="007F7EBF">
        <w:rPr>
          <w:sz w:val="22"/>
          <w:szCs w:val="22"/>
        </w:rPr>
        <w:t>le risorse necessarie al proseguimento dell’attività produttiva e magari esponga al rischio</w:t>
      </w:r>
      <w:r w:rsidR="00530FB3" w:rsidRPr="007F7EBF">
        <w:rPr>
          <w:sz w:val="22"/>
          <w:szCs w:val="22"/>
        </w:rPr>
        <w:t xml:space="preserve"> </w:t>
      </w:r>
      <w:r w:rsidR="006342C5" w:rsidRPr="007F7EBF">
        <w:rPr>
          <w:sz w:val="22"/>
          <w:szCs w:val="22"/>
        </w:rPr>
        <w:t xml:space="preserve">di fallimento, o di dover svendere beni per un prezzo irrisorio. Questi </w:t>
      </w:r>
      <w:r w:rsidR="006342C5" w:rsidRPr="007F7EBF">
        <w:rPr>
          <w:bCs/>
          <w:sz w:val="22"/>
          <w:szCs w:val="22"/>
        </w:rPr>
        <w:t>rischi vanno</w:t>
      </w:r>
      <w:r w:rsidR="000D0F0D" w:rsidRPr="007F7EBF">
        <w:rPr>
          <w:bCs/>
          <w:sz w:val="22"/>
          <w:szCs w:val="22"/>
        </w:rPr>
        <w:t xml:space="preserve"> </w:t>
      </w:r>
      <w:r w:rsidR="006342C5" w:rsidRPr="007F7EBF">
        <w:rPr>
          <w:bCs/>
          <w:sz w:val="22"/>
          <w:szCs w:val="22"/>
        </w:rPr>
        <w:t xml:space="preserve">valutati </w:t>
      </w:r>
      <w:r w:rsidR="006342C5" w:rsidRPr="007F7EBF">
        <w:rPr>
          <w:sz w:val="22"/>
          <w:szCs w:val="22"/>
        </w:rPr>
        <w:t xml:space="preserve">alla luce delle </w:t>
      </w:r>
      <w:r w:rsidR="006342C5" w:rsidRPr="007F7EBF">
        <w:rPr>
          <w:bCs/>
          <w:sz w:val="22"/>
          <w:szCs w:val="22"/>
        </w:rPr>
        <w:t xml:space="preserve">probabilità d’accoglimento del ricorso </w:t>
      </w:r>
      <w:r w:rsidR="006342C5" w:rsidRPr="007F7EBF">
        <w:rPr>
          <w:sz w:val="22"/>
          <w:szCs w:val="22"/>
        </w:rPr>
        <w:t>(il c.d</w:t>
      </w:r>
      <w:r w:rsidR="006342C5" w:rsidRPr="007F7EBF">
        <w:rPr>
          <w:i/>
          <w:sz w:val="22"/>
          <w:szCs w:val="22"/>
        </w:rPr>
        <w:t>. fumus boni</w:t>
      </w:r>
      <w:r w:rsidR="00530FB3" w:rsidRPr="007F7EBF">
        <w:rPr>
          <w:i/>
          <w:sz w:val="22"/>
          <w:szCs w:val="22"/>
        </w:rPr>
        <w:t xml:space="preserve"> </w:t>
      </w:r>
      <w:r w:rsidR="006342C5" w:rsidRPr="007F7EBF">
        <w:rPr>
          <w:i/>
          <w:sz w:val="22"/>
          <w:szCs w:val="22"/>
        </w:rPr>
        <w:t>iuris</w:t>
      </w:r>
      <w:r w:rsidR="006342C5" w:rsidRPr="007F7EBF">
        <w:rPr>
          <w:sz w:val="22"/>
          <w:szCs w:val="22"/>
        </w:rPr>
        <w:t xml:space="preserve">), </w:t>
      </w:r>
      <w:r w:rsidR="00ED309D">
        <w:rPr>
          <w:sz w:val="22"/>
          <w:szCs w:val="22"/>
        </w:rPr>
        <w:t>e</w:t>
      </w:r>
      <w:r w:rsidR="006342C5" w:rsidRPr="007F7EBF">
        <w:rPr>
          <w:sz w:val="22"/>
          <w:szCs w:val="22"/>
        </w:rPr>
        <w:t xml:space="preserve"> la possibilità di subordinare la sospensione a idonea garanzia (</w:t>
      </w:r>
      <w:r w:rsidR="00923E8E" w:rsidRPr="007F7EBF">
        <w:rPr>
          <w:rStyle w:val="Rimandonotaapidipagina"/>
          <w:sz w:val="22"/>
          <w:szCs w:val="22"/>
        </w:rPr>
        <w:footnoteReference w:id="920"/>
      </w:r>
      <w:r w:rsidR="006342C5" w:rsidRPr="007F7EBF">
        <w:rPr>
          <w:sz w:val="22"/>
          <w:szCs w:val="22"/>
        </w:rPr>
        <w:t>).</w:t>
      </w:r>
    </w:p>
    <w:p w14:paraId="45BD238D" w14:textId="7F032A22" w:rsidR="00885D59" w:rsidRDefault="00A92579" w:rsidP="00923E8E">
      <w:pPr>
        <w:autoSpaceDE w:val="0"/>
        <w:autoSpaceDN w:val="0"/>
        <w:adjustRightInd w:val="0"/>
        <w:rPr>
          <w:sz w:val="22"/>
          <w:szCs w:val="22"/>
        </w:rPr>
      </w:pPr>
      <w:r>
        <w:rPr>
          <w:sz w:val="22"/>
          <w:szCs w:val="22"/>
        </w:rPr>
        <w:t>Inizialmente, l</w:t>
      </w:r>
      <w:r w:rsidR="006342C5" w:rsidRPr="007F7EBF">
        <w:rPr>
          <w:sz w:val="22"/>
          <w:szCs w:val="22"/>
        </w:rPr>
        <w:t>a sospensione suddetta opera</w:t>
      </w:r>
      <w:r w:rsidR="00A751AB" w:rsidRPr="007F7EBF">
        <w:rPr>
          <w:sz w:val="22"/>
          <w:szCs w:val="22"/>
        </w:rPr>
        <w:t xml:space="preserve">va </w:t>
      </w:r>
      <w:r w:rsidR="006342C5" w:rsidRPr="007F7EBF">
        <w:rPr>
          <w:sz w:val="22"/>
          <w:szCs w:val="22"/>
        </w:rPr>
        <w:t xml:space="preserve"> fino alla sentenza di primo grado, ma si </w:t>
      </w:r>
      <w:r w:rsidR="00BF3843" w:rsidRPr="007F7EBF">
        <w:rPr>
          <w:sz w:val="22"/>
          <w:szCs w:val="22"/>
        </w:rPr>
        <w:t xml:space="preserve">aprirono presto spiragli, ormai </w:t>
      </w:r>
      <w:r w:rsidR="00885D59">
        <w:rPr>
          <w:sz w:val="22"/>
          <w:szCs w:val="22"/>
        </w:rPr>
        <w:t>formalizzati</w:t>
      </w:r>
      <w:r w:rsidR="00920541" w:rsidRPr="007F7EBF">
        <w:rPr>
          <w:sz w:val="22"/>
          <w:szCs w:val="22"/>
        </w:rPr>
        <w:t xml:space="preserve"> nel decreto sul contenzioso tributario</w:t>
      </w:r>
      <w:r w:rsidR="00BF3843" w:rsidRPr="007F7EBF">
        <w:rPr>
          <w:sz w:val="22"/>
          <w:szCs w:val="22"/>
        </w:rPr>
        <w:t xml:space="preserve">, </w:t>
      </w:r>
      <w:r w:rsidR="006342C5" w:rsidRPr="007F7EBF">
        <w:rPr>
          <w:sz w:val="22"/>
          <w:szCs w:val="22"/>
        </w:rPr>
        <w:t>ad una sospensione anche da parte del giudice di appello,</w:t>
      </w:r>
      <w:r w:rsidR="00A751AB" w:rsidRPr="007F7EBF">
        <w:rPr>
          <w:sz w:val="22"/>
          <w:szCs w:val="22"/>
        </w:rPr>
        <w:t xml:space="preserve"> </w:t>
      </w:r>
      <w:r w:rsidR="00885D59">
        <w:rPr>
          <w:sz w:val="22"/>
          <w:szCs w:val="22"/>
        </w:rPr>
        <w:t>sulla sentenza di primo grado, ed anche sulla</w:t>
      </w:r>
      <w:r w:rsidR="006342C5" w:rsidRPr="007F7EBF">
        <w:rPr>
          <w:sz w:val="22"/>
          <w:szCs w:val="22"/>
        </w:rPr>
        <w:t xml:space="preserve"> sentenza di appello, quando il processo pende</w:t>
      </w:r>
      <w:r w:rsidR="00A751AB" w:rsidRPr="007F7EBF">
        <w:rPr>
          <w:sz w:val="22"/>
          <w:szCs w:val="22"/>
        </w:rPr>
        <w:t xml:space="preserve"> </w:t>
      </w:r>
      <w:r w:rsidR="006342C5" w:rsidRPr="007F7EBF">
        <w:rPr>
          <w:sz w:val="22"/>
          <w:szCs w:val="22"/>
        </w:rPr>
        <w:t>in cassazione</w:t>
      </w:r>
      <w:r w:rsidR="00FA451C">
        <w:rPr>
          <w:sz w:val="22"/>
          <w:szCs w:val="22"/>
        </w:rPr>
        <w:t xml:space="preserve"> </w:t>
      </w:r>
      <w:r>
        <w:rPr>
          <w:sz w:val="22"/>
          <w:szCs w:val="22"/>
        </w:rPr>
        <w:t>(</w:t>
      </w:r>
      <w:r w:rsidR="00923E8E" w:rsidRPr="007F7EBF">
        <w:rPr>
          <w:rStyle w:val="Rimandonotaapidipagina"/>
          <w:sz w:val="22"/>
          <w:szCs w:val="22"/>
        </w:rPr>
        <w:footnoteReference w:id="921"/>
      </w:r>
      <w:r>
        <w:rPr>
          <w:sz w:val="22"/>
          <w:szCs w:val="22"/>
        </w:rPr>
        <w:t>)</w:t>
      </w:r>
      <w:r w:rsidR="006342C5" w:rsidRPr="007F7EBF">
        <w:rPr>
          <w:sz w:val="22"/>
          <w:szCs w:val="22"/>
        </w:rPr>
        <w:t xml:space="preserve">. </w:t>
      </w:r>
    </w:p>
    <w:p w14:paraId="1C38EBDC" w14:textId="768C65C3" w:rsidR="00923E8E" w:rsidRPr="007F7EBF" w:rsidRDefault="00FA451C" w:rsidP="00923E8E">
      <w:pPr>
        <w:autoSpaceDE w:val="0"/>
        <w:autoSpaceDN w:val="0"/>
        <w:adjustRightInd w:val="0"/>
        <w:rPr>
          <w:sz w:val="22"/>
          <w:szCs w:val="22"/>
        </w:rPr>
      </w:pPr>
      <w:r>
        <w:rPr>
          <w:sz w:val="22"/>
          <w:szCs w:val="22"/>
        </w:rPr>
        <w:t>Queste decisioni “cautelari” sulla sospensione, sono prese con ordinanza non impugnabile, e non danno quindi luogo a un autonomo processo</w:t>
      </w:r>
      <w:r w:rsidR="002E6FE6">
        <w:rPr>
          <w:sz w:val="22"/>
          <w:szCs w:val="22"/>
        </w:rPr>
        <w:t xml:space="preserve"> incidentale (</w:t>
      </w:r>
      <w:r w:rsidR="002E6FE6">
        <w:rPr>
          <w:rStyle w:val="Rimandonotaapidipagina"/>
          <w:sz w:val="22"/>
          <w:szCs w:val="22"/>
        </w:rPr>
        <w:footnoteReference w:id="922"/>
      </w:r>
      <w:r w:rsidR="002E6FE6">
        <w:rPr>
          <w:sz w:val="22"/>
          <w:szCs w:val="22"/>
        </w:rPr>
        <w:t>)</w:t>
      </w:r>
      <w:r>
        <w:rPr>
          <w:sz w:val="22"/>
          <w:szCs w:val="22"/>
        </w:rPr>
        <w:t>, distinto da quello sul merito, come v</w:t>
      </w:r>
      <w:r w:rsidR="00A92579">
        <w:rPr>
          <w:sz w:val="22"/>
          <w:szCs w:val="22"/>
        </w:rPr>
        <w:t>edremo</w:t>
      </w:r>
      <w:r>
        <w:rPr>
          <w:sz w:val="22"/>
          <w:szCs w:val="22"/>
        </w:rPr>
        <w:t xml:space="preserve"> alla fine del par.6.9</w:t>
      </w:r>
      <w:r w:rsidR="00885D59">
        <w:rPr>
          <w:sz w:val="22"/>
          <w:szCs w:val="22"/>
        </w:rPr>
        <w:t xml:space="preserve"> sulla “sommarietà” della giurisdizione tributaria</w:t>
      </w:r>
      <w:r>
        <w:rPr>
          <w:sz w:val="22"/>
          <w:szCs w:val="22"/>
        </w:rPr>
        <w:t xml:space="preserve">. </w:t>
      </w:r>
      <w:r w:rsidR="00A92579">
        <w:rPr>
          <w:sz w:val="22"/>
          <w:szCs w:val="22"/>
        </w:rPr>
        <w:t xml:space="preserve"> </w:t>
      </w:r>
    </w:p>
    <w:p w14:paraId="4EBD12DD" w14:textId="77777777" w:rsidR="00923E8E" w:rsidRPr="007F7EBF" w:rsidRDefault="00923E8E" w:rsidP="00923E8E">
      <w:pPr>
        <w:pStyle w:val="tit23"/>
        <w:ind w:left="6464" w:right="-1361" w:firstLine="0"/>
        <w:jc w:val="left"/>
        <w:rPr>
          <w:bCs/>
          <w:i/>
          <w:iCs/>
          <w:color w:val="0000FF"/>
          <w:lang w:val="it-IT"/>
        </w:rPr>
      </w:pPr>
      <w:r w:rsidRPr="007F7EBF">
        <w:rPr>
          <w:bCs/>
          <w:i/>
          <w:iCs/>
          <w:color w:val="0000FF"/>
          <w:lang w:val="it-IT"/>
        </w:rPr>
        <w:t xml:space="preserve">Sospensione amministrativa e rateazione </w:t>
      </w:r>
    </w:p>
    <w:p w14:paraId="352672BA" w14:textId="77777777" w:rsidR="000A78E2" w:rsidRDefault="00A751AB" w:rsidP="00923E8E">
      <w:pPr>
        <w:autoSpaceDE w:val="0"/>
        <w:autoSpaceDN w:val="0"/>
        <w:adjustRightInd w:val="0"/>
        <w:rPr>
          <w:sz w:val="22"/>
          <w:szCs w:val="22"/>
        </w:rPr>
      </w:pPr>
      <w:r w:rsidRPr="007F7EBF">
        <w:rPr>
          <w:sz w:val="22"/>
          <w:szCs w:val="22"/>
        </w:rPr>
        <w:t>A</w:t>
      </w:r>
      <w:r w:rsidR="006342C5" w:rsidRPr="007F7EBF">
        <w:rPr>
          <w:sz w:val="22"/>
          <w:szCs w:val="22"/>
        </w:rPr>
        <w:t xml:space="preserve"> questa sospensione</w:t>
      </w:r>
      <w:r w:rsidR="00BF3843" w:rsidRPr="007F7EBF">
        <w:rPr>
          <w:sz w:val="22"/>
          <w:szCs w:val="22"/>
        </w:rPr>
        <w:t xml:space="preserve"> giurisdizionale, si affianca</w:t>
      </w:r>
      <w:r w:rsidR="0009045E" w:rsidRPr="007F7EBF">
        <w:rPr>
          <w:sz w:val="22"/>
          <w:szCs w:val="22"/>
        </w:rPr>
        <w:t>no</w:t>
      </w:r>
      <w:r w:rsidR="006342C5" w:rsidRPr="007F7EBF">
        <w:rPr>
          <w:sz w:val="22"/>
          <w:szCs w:val="22"/>
        </w:rPr>
        <w:t xml:space="preserve"> sempre, vista la matrice</w:t>
      </w:r>
      <w:r w:rsidR="00530FB3" w:rsidRPr="007F7EBF">
        <w:rPr>
          <w:sz w:val="22"/>
          <w:szCs w:val="22"/>
        </w:rPr>
        <w:t xml:space="preserve"> </w:t>
      </w:r>
      <w:r w:rsidR="006342C5" w:rsidRPr="007F7EBF">
        <w:rPr>
          <w:sz w:val="22"/>
          <w:szCs w:val="22"/>
        </w:rPr>
        <w:t>amministrativistica della nostra materia, l</w:t>
      </w:r>
      <w:r w:rsidR="0009045E" w:rsidRPr="007F7EBF">
        <w:rPr>
          <w:sz w:val="22"/>
          <w:szCs w:val="22"/>
        </w:rPr>
        <w:t>e</w:t>
      </w:r>
      <w:r w:rsidR="006342C5" w:rsidRPr="007F7EBF">
        <w:rPr>
          <w:sz w:val="22"/>
          <w:szCs w:val="22"/>
        </w:rPr>
        <w:t xml:space="preserve"> possibilità di sospensione</w:t>
      </w:r>
      <w:r w:rsidR="000A78E2">
        <w:rPr>
          <w:sz w:val="22"/>
          <w:szCs w:val="22"/>
        </w:rPr>
        <w:t xml:space="preserve"> in via amministrativa,</w:t>
      </w:r>
      <w:r w:rsidR="00920541" w:rsidRPr="007F7EBF">
        <w:rPr>
          <w:sz w:val="22"/>
          <w:szCs w:val="22"/>
        </w:rPr>
        <w:t xml:space="preserve"> </w:t>
      </w:r>
      <w:r w:rsidR="006342C5" w:rsidRPr="007F7EBF">
        <w:rPr>
          <w:sz w:val="22"/>
          <w:szCs w:val="22"/>
        </w:rPr>
        <w:t>per motivi eccezionali</w:t>
      </w:r>
      <w:r w:rsidR="000A78E2">
        <w:rPr>
          <w:sz w:val="22"/>
          <w:szCs w:val="22"/>
        </w:rPr>
        <w:t xml:space="preserve"> (art.19 decreto 602); tra essi c’è anche il riconoscimento dell’erroneità dell’atto </w:t>
      </w:r>
      <w:r w:rsidR="000A78E2">
        <w:rPr>
          <w:sz w:val="22"/>
          <w:szCs w:val="22"/>
        </w:rPr>
        <w:lastRenderedPageBreak/>
        <w:t xml:space="preserve">impugnato, nelle more del suo ritiro o della sua correzione in autotutela (par.6.6). </w:t>
      </w:r>
    </w:p>
    <w:p w14:paraId="46898E1D" w14:textId="0F31788F" w:rsidR="00923E8E" w:rsidRPr="007F7EBF" w:rsidRDefault="000A78E2" w:rsidP="00923E8E">
      <w:pPr>
        <w:autoSpaceDE w:val="0"/>
        <w:autoSpaceDN w:val="0"/>
        <w:adjustRightInd w:val="0"/>
        <w:rPr>
          <w:sz w:val="22"/>
          <w:szCs w:val="22"/>
        </w:rPr>
      </w:pPr>
      <w:r>
        <w:rPr>
          <w:sz w:val="22"/>
          <w:szCs w:val="22"/>
        </w:rPr>
        <w:t>La</w:t>
      </w:r>
      <w:r w:rsidR="006342C5" w:rsidRPr="007F7EBF">
        <w:rPr>
          <w:sz w:val="22"/>
          <w:szCs w:val="22"/>
        </w:rPr>
        <w:t xml:space="preserve"> rateazione</w:t>
      </w:r>
      <w:r>
        <w:rPr>
          <w:sz w:val="22"/>
          <w:szCs w:val="22"/>
        </w:rPr>
        <w:t>, disposta dalla struttura di riscossione</w:t>
      </w:r>
      <w:r w:rsidR="002B6703">
        <w:rPr>
          <w:sz w:val="22"/>
          <w:szCs w:val="22"/>
        </w:rPr>
        <w:t xml:space="preserve"> di cui al par.6.11</w:t>
      </w:r>
      <w:r>
        <w:rPr>
          <w:sz w:val="22"/>
          <w:szCs w:val="22"/>
        </w:rPr>
        <w:t xml:space="preserve">, </w:t>
      </w:r>
      <w:r w:rsidR="0070296B">
        <w:rPr>
          <w:sz w:val="22"/>
          <w:szCs w:val="22"/>
        </w:rPr>
        <w:t>può essere concessa</w:t>
      </w:r>
      <w:r w:rsidR="00923E8E" w:rsidRPr="007F7EBF">
        <w:rPr>
          <w:sz w:val="22"/>
          <w:szCs w:val="22"/>
        </w:rPr>
        <w:t>, oltre che</w:t>
      </w:r>
      <w:r w:rsidR="006342C5" w:rsidRPr="007F7EBF">
        <w:rPr>
          <w:sz w:val="22"/>
          <w:szCs w:val="22"/>
        </w:rPr>
        <w:t xml:space="preserve"> per somme definitivamente dovute, </w:t>
      </w:r>
      <w:r w:rsidR="00923E8E" w:rsidRPr="007F7EBF">
        <w:rPr>
          <w:sz w:val="22"/>
          <w:szCs w:val="22"/>
        </w:rPr>
        <w:t>anche</w:t>
      </w:r>
      <w:r w:rsidR="006342C5" w:rsidRPr="007F7EBF">
        <w:rPr>
          <w:sz w:val="22"/>
          <w:szCs w:val="22"/>
        </w:rPr>
        <w:t xml:space="preserve"> per </w:t>
      </w:r>
      <w:r>
        <w:rPr>
          <w:sz w:val="22"/>
          <w:szCs w:val="22"/>
        </w:rPr>
        <w:t>quelle</w:t>
      </w:r>
      <w:r w:rsidR="006342C5" w:rsidRPr="007F7EBF">
        <w:rPr>
          <w:sz w:val="22"/>
          <w:szCs w:val="22"/>
        </w:rPr>
        <w:t xml:space="preserve"> ancora in contestazione,</w:t>
      </w:r>
      <w:r w:rsidR="00530FB3" w:rsidRPr="007F7EBF">
        <w:rPr>
          <w:sz w:val="22"/>
          <w:szCs w:val="22"/>
        </w:rPr>
        <w:t xml:space="preserve"> </w:t>
      </w:r>
      <w:r w:rsidR="006342C5" w:rsidRPr="007F7EBF">
        <w:rPr>
          <w:sz w:val="22"/>
          <w:szCs w:val="22"/>
        </w:rPr>
        <w:t xml:space="preserve">ma per </w:t>
      </w:r>
      <w:r>
        <w:rPr>
          <w:sz w:val="22"/>
          <w:szCs w:val="22"/>
        </w:rPr>
        <w:t xml:space="preserve">cui </w:t>
      </w:r>
      <w:r w:rsidR="006342C5" w:rsidRPr="007F7EBF">
        <w:rPr>
          <w:sz w:val="22"/>
          <w:szCs w:val="22"/>
        </w:rPr>
        <w:t>la sospensione sia stata negata</w:t>
      </w:r>
      <w:r w:rsidR="002B6703">
        <w:rPr>
          <w:sz w:val="22"/>
          <w:szCs w:val="22"/>
        </w:rPr>
        <w:t xml:space="preserve"> dal giudice</w:t>
      </w:r>
      <w:r w:rsidR="006F2984" w:rsidRPr="007F7EBF">
        <w:rPr>
          <w:sz w:val="22"/>
          <w:szCs w:val="22"/>
        </w:rPr>
        <w:t xml:space="preserve"> (</w:t>
      </w:r>
      <w:r w:rsidR="00923E8E" w:rsidRPr="007F7EBF">
        <w:rPr>
          <w:rStyle w:val="Rimandonotaapidipagina"/>
          <w:sz w:val="22"/>
          <w:szCs w:val="22"/>
        </w:rPr>
        <w:footnoteReference w:id="923"/>
      </w:r>
      <w:r w:rsidR="006F2984" w:rsidRPr="007F7EBF">
        <w:rPr>
          <w:sz w:val="22"/>
          <w:szCs w:val="22"/>
        </w:rPr>
        <w:t>)</w:t>
      </w:r>
      <w:r w:rsidR="006342C5" w:rsidRPr="007F7EBF">
        <w:rPr>
          <w:sz w:val="22"/>
          <w:szCs w:val="22"/>
        </w:rPr>
        <w:t xml:space="preserve">. </w:t>
      </w:r>
    </w:p>
    <w:p w14:paraId="261DC29B" w14:textId="12DAAB7D" w:rsidR="00923E8E" w:rsidRPr="007F7EBF" w:rsidRDefault="00923E8E" w:rsidP="00923E8E">
      <w:pPr>
        <w:pStyle w:val="tit23"/>
        <w:ind w:left="6464" w:right="-1361" w:firstLine="0"/>
        <w:jc w:val="left"/>
        <w:rPr>
          <w:bCs/>
          <w:i/>
          <w:iCs/>
          <w:color w:val="0000FF"/>
          <w:lang w:val="it-IT"/>
        </w:rPr>
      </w:pPr>
      <w:r w:rsidRPr="007F7EBF">
        <w:rPr>
          <w:bCs/>
          <w:i/>
          <w:iCs/>
          <w:color w:val="0000FF"/>
          <w:lang w:val="it-IT"/>
        </w:rPr>
        <w:t>Specifico  pericolo per la riscossione</w:t>
      </w:r>
      <w:r w:rsidR="00DC54DF">
        <w:rPr>
          <w:bCs/>
          <w:i/>
          <w:iCs/>
          <w:color w:val="0000FF"/>
          <w:lang w:val="it-IT"/>
        </w:rPr>
        <w:t xml:space="preserve"> e termini di decadenza</w:t>
      </w:r>
    </w:p>
    <w:p w14:paraId="7497E6AA" w14:textId="5BFF42A1" w:rsidR="003B7814" w:rsidRPr="007F7EBF" w:rsidRDefault="00CA0A22" w:rsidP="00DC54DF">
      <w:pPr>
        <w:autoSpaceDE w:val="0"/>
        <w:autoSpaceDN w:val="0"/>
        <w:adjustRightInd w:val="0"/>
        <w:rPr>
          <w:bCs/>
          <w:i/>
          <w:iCs/>
          <w:color w:val="0000FF"/>
        </w:rPr>
      </w:pPr>
      <w:r w:rsidRPr="007F7EBF">
        <w:rPr>
          <w:sz w:val="22"/>
          <w:szCs w:val="22"/>
        </w:rPr>
        <w:t>Quando l'ufficio tributario intravede il rischio che il contribuente nasconda i beni che potrebbero essere aggrediti dall'esecuzione forzata, può anticipare la riscossione rispetto ai tempi sopra indicati; è una misura in senso ampio "cautelare", a fronte del rischio che il contribuente approfitti dei tempi del processo per rendersi insolvente, ad es. intestando a terzi i beni su cui il fisco, una volta vittorioso, potrebbe soddisfarsi</w:t>
      </w:r>
      <w:r w:rsidR="006F1A44">
        <w:rPr>
          <w:sz w:val="22"/>
          <w:szCs w:val="22"/>
        </w:rPr>
        <w:t>(</w:t>
      </w:r>
      <w:r w:rsidRPr="007F7EBF">
        <w:rPr>
          <w:rStyle w:val="Rimandonotaapidipagina"/>
          <w:sz w:val="22"/>
          <w:szCs w:val="22"/>
        </w:rPr>
        <w:footnoteReference w:id="924"/>
      </w:r>
      <w:r w:rsidR="006F1A44">
        <w:rPr>
          <w:sz w:val="22"/>
          <w:szCs w:val="22"/>
        </w:rPr>
        <w:t>)</w:t>
      </w:r>
      <w:r w:rsidRPr="007F7EBF">
        <w:rPr>
          <w:sz w:val="22"/>
          <w:szCs w:val="22"/>
        </w:rPr>
        <w:t xml:space="preserve">. </w:t>
      </w:r>
    </w:p>
    <w:p w14:paraId="027905DE" w14:textId="7F78BF33" w:rsidR="003B7814" w:rsidRDefault="006D49E3" w:rsidP="003B7814">
      <w:pPr>
        <w:autoSpaceDE w:val="0"/>
        <w:autoSpaceDN w:val="0"/>
        <w:adjustRightInd w:val="0"/>
        <w:rPr>
          <w:sz w:val="22"/>
          <w:szCs w:val="22"/>
        </w:rPr>
      </w:pPr>
      <w:r w:rsidRPr="007F7EBF">
        <w:rPr>
          <w:sz w:val="22"/>
          <w:szCs w:val="22"/>
        </w:rPr>
        <w:t xml:space="preserve">Dopo le riscossioni </w:t>
      </w:r>
      <w:r w:rsidR="00F87F65" w:rsidRPr="007F7EBF">
        <w:rPr>
          <w:sz w:val="22"/>
          <w:szCs w:val="22"/>
        </w:rPr>
        <w:t>provvisorie, una volta determinato il tributo in via definitiva, esistono termini di decadenza per la relativa riscossione, in nome dell'interesse alla stabilità dei rapporti giuridici</w:t>
      </w:r>
      <w:r w:rsidR="00FD60E6">
        <w:rPr>
          <w:sz w:val="22"/>
          <w:szCs w:val="22"/>
        </w:rPr>
        <w:t>(</w:t>
      </w:r>
      <w:r w:rsidR="00F87F65" w:rsidRPr="007F7EBF">
        <w:rPr>
          <w:rStyle w:val="Rimandonotaapidipagina"/>
          <w:sz w:val="22"/>
          <w:szCs w:val="22"/>
        </w:rPr>
        <w:footnoteReference w:id="925"/>
      </w:r>
      <w:r w:rsidR="00FD60E6">
        <w:rPr>
          <w:sz w:val="22"/>
          <w:szCs w:val="22"/>
        </w:rPr>
        <w:t>)</w:t>
      </w:r>
      <w:r w:rsidR="00F87F65" w:rsidRPr="007F7EBF">
        <w:rPr>
          <w:sz w:val="22"/>
          <w:szCs w:val="22"/>
        </w:rPr>
        <w:t>.</w:t>
      </w:r>
      <w:r w:rsidR="00BF7D65">
        <w:rPr>
          <w:sz w:val="22"/>
          <w:szCs w:val="22"/>
        </w:rPr>
        <w:t xml:space="preserve"> </w:t>
      </w:r>
    </w:p>
    <w:p w14:paraId="77E2BDBB" w14:textId="77777777" w:rsidR="003B7814" w:rsidRPr="007F7EBF" w:rsidRDefault="003B7814" w:rsidP="00A751AB">
      <w:pPr>
        <w:autoSpaceDE w:val="0"/>
        <w:autoSpaceDN w:val="0"/>
        <w:adjustRightInd w:val="0"/>
        <w:rPr>
          <w:sz w:val="22"/>
          <w:szCs w:val="22"/>
        </w:rPr>
      </w:pPr>
    </w:p>
    <w:p w14:paraId="5095B5F5" w14:textId="2653B0C1" w:rsidR="00E957BB" w:rsidRPr="007F7EBF" w:rsidRDefault="005008FA" w:rsidP="000C0260">
      <w:pPr>
        <w:pStyle w:val="Titolo3"/>
        <w:rPr>
          <w:rFonts w:ascii="Times New Roman" w:hAnsi="Times New Roman"/>
          <w:sz w:val="22"/>
          <w:szCs w:val="22"/>
        </w:rPr>
      </w:pPr>
      <w:bookmarkStart w:id="95" w:name="_Toc63365006"/>
      <w:r w:rsidRPr="007F7EBF">
        <w:rPr>
          <w:rFonts w:ascii="Times New Roman" w:hAnsi="Times New Roman"/>
          <w:sz w:val="22"/>
          <w:szCs w:val="22"/>
        </w:rPr>
        <w:lastRenderedPageBreak/>
        <w:t xml:space="preserve">6.13. </w:t>
      </w:r>
      <w:r w:rsidR="002F3CA8" w:rsidRPr="007F7EBF">
        <w:rPr>
          <w:rFonts w:ascii="Times New Roman" w:hAnsi="Times New Roman"/>
          <w:sz w:val="22"/>
          <w:szCs w:val="22"/>
          <w:lang w:val="it-IT"/>
        </w:rPr>
        <w:t>Inadeguatezza</w:t>
      </w:r>
      <w:r w:rsidR="00DA06E4" w:rsidRPr="007F7EBF">
        <w:rPr>
          <w:rFonts w:ascii="Times New Roman" w:hAnsi="Times New Roman"/>
          <w:sz w:val="22"/>
          <w:szCs w:val="22"/>
        </w:rPr>
        <w:t xml:space="preserve"> delle sanzioni a compensare </w:t>
      </w:r>
      <w:r w:rsidR="002F3CA8" w:rsidRPr="007F7EBF">
        <w:rPr>
          <w:rFonts w:ascii="Times New Roman" w:hAnsi="Times New Roman"/>
          <w:sz w:val="22"/>
          <w:szCs w:val="22"/>
          <w:lang w:val="it-IT"/>
        </w:rPr>
        <w:t>l’insufficiente intervento valutativo de</w:t>
      </w:r>
      <w:r w:rsidR="0016468B">
        <w:rPr>
          <w:rFonts w:ascii="Times New Roman" w:hAnsi="Times New Roman"/>
          <w:sz w:val="22"/>
          <w:szCs w:val="22"/>
          <w:lang w:val="it-IT"/>
        </w:rPr>
        <w:t xml:space="preserve">gli uffici </w:t>
      </w:r>
      <w:r w:rsidR="002F3CA8" w:rsidRPr="007F7EBF">
        <w:rPr>
          <w:rFonts w:ascii="Times New Roman" w:hAnsi="Times New Roman"/>
          <w:sz w:val="22"/>
          <w:szCs w:val="22"/>
          <w:lang w:val="it-IT"/>
        </w:rPr>
        <w:t>tributari</w:t>
      </w:r>
      <w:r w:rsidR="00DA06E4" w:rsidRPr="007F7EBF">
        <w:rPr>
          <w:rFonts w:ascii="Times New Roman" w:hAnsi="Times New Roman"/>
          <w:sz w:val="22"/>
          <w:szCs w:val="22"/>
        </w:rPr>
        <w:t>.</w:t>
      </w:r>
      <w:bookmarkEnd w:id="95"/>
    </w:p>
    <w:p w14:paraId="1A724EB3" w14:textId="254EF94E" w:rsidR="00E957BB" w:rsidRPr="007F7EBF" w:rsidRDefault="0019179B" w:rsidP="00E957BB">
      <w:pPr>
        <w:pStyle w:val="tit23"/>
        <w:ind w:left="6464" w:right="-1361" w:firstLine="0"/>
        <w:jc w:val="left"/>
        <w:rPr>
          <w:b/>
          <w:bCs/>
          <w:i/>
          <w:iCs/>
          <w:color w:val="0000FF"/>
          <w:lang w:val="it-IT"/>
        </w:rPr>
      </w:pPr>
      <w:r>
        <w:rPr>
          <w:b/>
          <w:bCs/>
          <w:i/>
          <w:iCs/>
          <w:color w:val="0000FF"/>
          <w:lang w:val="it-IT"/>
        </w:rPr>
        <w:t xml:space="preserve">Diritto e </w:t>
      </w:r>
      <w:r w:rsidR="000C0260" w:rsidRPr="007F7EBF">
        <w:rPr>
          <w:b/>
          <w:bCs/>
          <w:i/>
          <w:iCs/>
          <w:color w:val="0000FF"/>
          <w:lang w:val="it-IT"/>
        </w:rPr>
        <w:t xml:space="preserve">Sanzioni </w:t>
      </w:r>
      <w:r>
        <w:rPr>
          <w:b/>
          <w:bCs/>
          <w:i/>
          <w:iCs/>
          <w:color w:val="0000FF"/>
          <w:lang w:val="it-IT"/>
        </w:rPr>
        <w:t>(</w:t>
      </w:r>
      <w:r w:rsidR="000C0260" w:rsidRPr="007F7EBF">
        <w:rPr>
          <w:b/>
          <w:bCs/>
          <w:i/>
          <w:iCs/>
          <w:color w:val="0000FF"/>
          <w:lang w:val="it-IT"/>
        </w:rPr>
        <w:t>ripristinatorie e punitive</w:t>
      </w:r>
      <w:r>
        <w:rPr>
          <w:b/>
          <w:bCs/>
          <w:i/>
          <w:iCs/>
          <w:color w:val="0000FF"/>
          <w:lang w:val="it-IT"/>
        </w:rPr>
        <w:t>)</w:t>
      </w:r>
    </w:p>
    <w:p w14:paraId="2E41E293" w14:textId="58DD2469" w:rsidR="000C0260" w:rsidRPr="007F7EBF" w:rsidRDefault="0016468B" w:rsidP="000C0260">
      <w:pPr>
        <w:autoSpaceDE w:val="0"/>
        <w:autoSpaceDN w:val="0"/>
        <w:adjustRightInd w:val="0"/>
        <w:rPr>
          <w:sz w:val="22"/>
          <w:szCs w:val="22"/>
        </w:rPr>
      </w:pPr>
      <w:r>
        <w:rPr>
          <w:sz w:val="22"/>
          <w:szCs w:val="22"/>
        </w:rPr>
        <w:t>Il diritto ha un forte legame con le sanzioni</w:t>
      </w:r>
      <w:r w:rsidR="00983011">
        <w:rPr>
          <w:sz w:val="22"/>
          <w:szCs w:val="22"/>
        </w:rPr>
        <w:t xml:space="preserve"> (</w:t>
      </w:r>
      <w:r w:rsidR="00983011">
        <w:rPr>
          <w:rStyle w:val="Rimandonotaapidipagina"/>
          <w:sz w:val="22"/>
          <w:szCs w:val="22"/>
        </w:rPr>
        <w:footnoteReference w:id="926"/>
      </w:r>
      <w:r w:rsidR="00983011">
        <w:rPr>
          <w:sz w:val="22"/>
          <w:szCs w:val="22"/>
        </w:rPr>
        <w:t>)</w:t>
      </w:r>
      <w:r>
        <w:rPr>
          <w:sz w:val="22"/>
          <w:szCs w:val="22"/>
        </w:rPr>
        <w:t xml:space="preserve">, </w:t>
      </w:r>
      <w:r w:rsidR="0019179B">
        <w:rPr>
          <w:sz w:val="22"/>
          <w:szCs w:val="22"/>
        </w:rPr>
        <w:t>d</w:t>
      </w:r>
      <w:r>
        <w:rPr>
          <w:sz w:val="22"/>
          <w:szCs w:val="22"/>
        </w:rPr>
        <w:t xml:space="preserve">alla </w:t>
      </w:r>
      <w:r w:rsidR="0019179B">
        <w:rPr>
          <w:sz w:val="22"/>
          <w:szCs w:val="22"/>
        </w:rPr>
        <w:t xml:space="preserve">classica realizzazione </w:t>
      </w:r>
      <w:r>
        <w:rPr>
          <w:sz w:val="22"/>
          <w:szCs w:val="22"/>
        </w:rPr>
        <w:t>coattiva di una pretesa</w:t>
      </w:r>
      <w:r w:rsidR="0019179B">
        <w:rPr>
          <w:sz w:val="22"/>
          <w:szCs w:val="22"/>
        </w:rPr>
        <w:t>,</w:t>
      </w:r>
      <w:r>
        <w:rPr>
          <w:sz w:val="22"/>
          <w:szCs w:val="22"/>
        </w:rPr>
        <w:t xml:space="preserve"> al risarcimento del danno, tipici della funzione giurisdizionale rispetto al diritto dei privati (par.1.3), alle sanzioni “punitive” c.d. afflittive </w:t>
      </w:r>
      <w:r w:rsidR="00D445BE">
        <w:rPr>
          <w:sz w:val="22"/>
          <w:szCs w:val="22"/>
        </w:rPr>
        <w:t>(</w:t>
      </w:r>
      <w:r w:rsidR="00D445BE" w:rsidRPr="007F7EBF">
        <w:rPr>
          <w:rStyle w:val="Rimandonotaapidipagina"/>
          <w:sz w:val="22"/>
          <w:szCs w:val="22"/>
        </w:rPr>
        <w:footnoteReference w:id="927"/>
      </w:r>
      <w:r w:rsidR="00D445BE">
        <w:rPr>
          <w:sz w:val="22"/>
          <w:szCs w:val="22"/>
        </w:rPr>
        <w:t>)</w:t>
      </w:r>
      <w:r>
        <w:rPr>
          <w:sz w:val="22"/>
          <w:szCs w:val="22"/>
        </w:rPr>
        <w:t>; a</w:t>
      </w:r>
      <w:r w:rsidR="0019179B">
        <w:rPr>
          <w:sz w:val="22"/>
          <w:szCs w:val="22"/>
        </w:rPr>
        <w:t xml:space="preserve">nche la disapprovazione sociale, come perdita di reputazione (si pensi al diritto internazionale) è una sanzione </w:t>
      </w:r>
      <w:r>
        <w:rPr>
          <w:sz w:val="22"/>
          <w:szCs w:val="22"/>
        </w:rPr>
        <w:t xml:space="preserve"> </w:t>
      </w:r>
      <w:r w:rsidR="0019179B">
        <w:rPr>
          <w:sz w:val="22"/>
          <w:szCs w:val="22"/>
        </w:rPr>
        <w:t>in</w:t>
      </w:r>
      <w:r>
        <w:rPr>
          <w:sz w:val="22"/>
          <w:szCs w:val="22"/>
        </w:rPr>
        <w:t xml:space="preserve"> senso ampio</w:t>
      </w:r>
      <w:r w:rsidR="0019179B">
        <w:rPr>
          <w:sz w:val="22"/>
          <w:szCs w:val="22"/>
        </w:rPr>
        <w:t xml:space="preserve">, come </w:t>
      </w:r>
      <w:r>
        <w:rPr>
          <w:sz w:val="22"/>
          <w:szCs w:val="22"/>
        </w:rPr>
        <w:t>la possibilità d</w:t>
      </w:r>
      <w:r w:rsidR="0019179B">
        <w:rPr>
          <w:sz w:val="22"/>
          <w:szCs w:val="22"/>
        </w:rPr>
        <w:t>e</w:t>
      </w:r>
      <w:r>
        <w:rPr>
          <w:sz w:val="22"/>
          <w:szCs w:val="22"/>
        </w:rPr>
        <w:t xml:space="preserve">i </w:t>
      </w:r>
      <w:r w:rsidR="0019179B">
        <w:rPr>
          <w:sz w:val="22"/>
          <w:szCs w:val="22"/>
        </w:rPr>
        <w:t xml:space="preserve">poteri pubblici di </w:t>
      </w:r>
      <w:r w:rsidR="008A0433" w:rsidRPr="007F7EBF">
        <w:rPr>
          <w:sz w:val="22"/>
          <w:szCs w:val="22"/>
        </w:rPr>
        <w:t xml:space="preserve">procedere </w:t>
      </w:r>
      <w:r w:rsidR="0019179B">
        <w:rPr>
          <w:sz w:val="22"/>
          <w:szCs w:val="22"/>
        </w:rPr>
        <w:t xml:space="preserve">nella via autoritativa di cui al </w:t>
      </w:r>
      <w:r>
        <w:rPr>
          <w:sz w:val="22"/>
          <w:szCs w:val="22"/>
        </w:rPr>
        <w:t>par.6.1</w:t>
      </w:r>
      <w:r w:rsidR="0019179B">
        <w:rPr>
          <w:sz w:val="22"/>
          <w:szCs w:val="22"/>
        </w:rPr>
        <w:t xml:space="preserve">, o nella loro decisione di </w:t>
      </w:r>
      <w:r>
        <w:t xml:space="preserve">come erogare </w:t>
      </w:r>
      <w:r w:rsidRPr="007F7EBF">
        <w:t>un servizio o sussidio</w:t>
      </w:r>
      <w:r w:rsidR="00FD60E6">
        <w:rPr>
          <w:sz w:val="22"/>
          <w:szCs w:val="22"/>
        </w:rPr>
        <w:t xml:space="preserve"> (</w:t>
      </w:r>
      <w:r w:rsidR="008A0433" w:rsidRPr="007F7EBF">
        <w:rPr>
          <w:rStyle w:val="Rimandonotaapidipagina"/>
          <w:b/>
          <w:sz w:val="22"/>
          <w:szCs w:val="22"/>
        </w:rPr>
        <w:footnoteReference w:id="928"/>
      </w:r>
      <w:r w:rsidR="00FD60E6">
        <w:rPr>
          <w:sz w:val="22"/>
          <w:szCs w:val="22"/>
        </w:rPr>
        <w:t>)</w:t>
      </w:r>
      <w:r w:rsidR="00CD3B7C" w:rsidRPr="007F7EBF">
        <w:rPr>
          <w:sz w:val="22"/>
          <w:szCs w:val="22"/>
        </w:rPr>
        <w:t xml:space="preserve">. </w:t>
      </w:r>
      <w:r w:rsidR="004221DE" w:rsidRPr="007F7EBF">
        <w:rPr>
          <w:sz w:val="22"/>
          <w:szCs w:val="22"/>
        </w:rPr>
        <w:t xml:space="preserve"> </w:t>
      </w:r>
    </w:p>
    <w:p w14:paraId="309DE810" w14:textId="2F7DACDD" w:rsidR="000C0260" w:rsidRPr="007F7EBF" w:rsidRDefault="00804778" w:rsidP="000C0260">
      <w:pPr>
        <w:pStyle w:val="tit23"/>
        <w:ind w:left="6464" w:right="-1361" w:firstLine="0"/>
        <w:jc w:val="left"/>
        <w:rPr>
          <w:bCs/>
          <w:i/>
          <w:iCs/>
          <w:color w:val="0000FF"/>
          <w:lang w:val="it-IT"/>
        </w:rPr>
      </w:pPr>
      <w:r>
        <w:rPr>
          <w:bCs/>
          <w:i/>
          <w:iCs/>
          <w:color w:val="0000FF"/>
          <w:lang w:val="it-IT"/>
        </w:rPr>
        <w:t>Sanzioni punitive e iniziativa della tassazione</w:t>
      </w:r>
    </w:p>
    <w:p w14:paraId="65555FE7" w14:textId="655B750D" w:rsidR="001F6534" w:rsidRPr="007F7EBF" w:rsidRDefault="0059182A" w:rsidP="001F6534">
      <w:pPr>
        <w:autoSpaceDE w:val="0"/>
        <w:autoSpaceDN w:val="0"/>
        <w:adjustRightInd w:val="0"/>
        <w:rPr>
          <w:sz w:val="22"/>
          <w:szCs w:val="22"/>
        </w:rPr>
      </w:pPr>
      <w:r>
        <w:rPr>
          <w:sz w:val="22"/>
          <w:szCs w:val="22"/>
        </w:rPr>
        <w:t>Su queste premesse era “sanzionatoria”, nella tassazione preindustriale ad iniziativa degli uffici tributaria, prima di tutto la loro possibilità di acquisire coattivamente le somme o i beni in cui consisteva il tributo. A questa sanzione in senso coercitivo si accompagnavano sanzioni punitive solo per chi ostacolava i f</w:t>
      </w:r>
      <w:r w:rsidR="00804778">
        <w:rPr>
          <w:sz w:val="22"/>
          <w:szCs w:val="22"/>
        </w:rPr>
        <w:t>unzionari fisc</w:t>
      </w:r>
      <w:r>
        <w:rPr>
          <w:sz w:val="22"/>
          <w:szCs w:val="22"/>
        </w:rPr>
        <w:t xml:space="preserve">ali, ne vanificava il ruolo </w:t>
      </w:r>
      <w:r w:rsidR="00F1675C" w:rsidRPr="007F7EBF">
        <w:rPr>
          <w:sz w:val="22"/>
          <w:szCs w:val="22"/>
        </w:rPr>
        <w:t>(</w:t>
      </w:r>
      <w:r w:rsidR="00F1675C" w:rsidRPr="007F7EBF">
        <w:rPr>
          <w:rStyle w:val="Rimandonotaapidipagina"/>
          <w:sz w:val="22"/>
          <w:szCs w:val="22"/>
        </w:rPr>
        <w:footnoteReference w:id="929"/>
      </w:r>
      <w:r w:rsidR="00F1675C" w:rsidRPr="007F7EBF">
        <w:rPr>
          <w:sz w:val="22"/>
          <w:szCs w:val="22"/>
        </w:rPr>
        <w:t>)</w:t>
      </w:r>
      <w:r w:rsidR="00804778">
        <w:rPr>
          <w:sz w:val="22"/>
          <w:szCs w:val="22"/>
        </w:rPr>
        <w:t xml:space="preserve"> o </w:t>
      </w:r>
      <w:r>
        <w:rPr>
          <w:sz w:val="22"/>
          <w:szCs w:val="22"/>
        </w:rPr>
        <w:t>addirittura</w:t>
      </w:r>
      <w:r w:rsidR="00804778">
        <w:rPr>
          <w:sz w:val="22"/>
          <w:szCs w:val="22"/>
        </w:rPr>
        <w:t xml:space="preserve"> face</w:t>
      </w:r>
      <w:r>
        <w:rPr>
          <w:sz w:val="22"/>
          <w:szCs w:val="22"/>
        </w:rPr>
        <w:t xml:space="preserve">va </w:t>
      </w:r>
      <w:r w:rsidR="00804778">
        <w:rPr>
          <w:sz w:val="22"/>
          <w:szCs w:val="22"/>
        </w:rPr>
        <w:t>resistenza attiva verso di essi</w:t>
      </w:r>
      <w:r>
        <w:rPr>
          <w:sz w:val="22"/>
          <w:szCs w:val="22"/>
        </w:rPr>
        <w:t xml:space="preserve"> </w:t>
      </w:r>
      <w:r w:rsidRPr="007F7EBF">
        <w:rPr>
          <w:sz w:val="22"/>
          <w:szCs w:val="22"/>
        </w:rPr>
        <w:t>(</w:t>
      </w:r>
      <w:r w:rsidRPr="007F7EBF">
        <w:rPr>
          <w:rStyle w:val="Rimandonotaapidipagina"/>
          <w:sz w:val="22"/>
          <w:szCs w:val="22"/>
        </w:rPr>
        <w:footnoteReference w:id="930"/>
      </w:r>
      <w:r w:rsidRPr="007F7EBF">
        <w:rPr>
          <w:sz w:val="22"/>
          <w:szCs w:val="22"/>
        </w:rPr>
        <w:t>)</w:t>
      </w:r>
      <w:r w:rsidR="00804778">
        <w:rPr>
          <w:sz w:val="22"/>
          <w:szCs w:val="22"/>
        </w:rPr>
        <w:t xml:space="preserve">. </w:t>
      </w:r>
      <w:r w:rsidR="00804778">
        <w:rPr>
          <w:sz w:val="22"/>
          <w:szCs w:val="22"/>
        </w:rPr>
        <w:lastRenderedPageBreak/>
        <w:t>Nell’a</w:t>
      </w:r>
      <w:r w:rsidR="008E4E17" w:rsidRPr="007F7EBF">
        <w:rPr>
          <w:bCs/>
          <w:sz w:val="22"/>
          <w:szCs w:val="22"/>
        </w:rPr>
        <w:t>utotassazione le sanzioni</w:t>
      </w:r>
      <w:r>
        <w:rPr>
          <w:bCs/>
          <w:sz w:val="22"/>
          <w:szCs w:val="22"/>
        </w:rPr>
        <w:t xml:space="preserve"> </w:t>
      </w:r>
      <w:r w:rsidR="001F626C">
        <w:rPr>
          <w:bCs/>
          <w:sz w:val="22"/>
          <w:szCs w:val="22"/>
        </w:rPr>
        <w:t xml:space="preserve">punitive </w:t>
      </w:r>
      <w:r w:rsidR="00B51EF7">
        <w:rPr>
          <w:bCs/>
          <w:sz w:val="22"/>
          <w:szCs w:val="22"/>
        </w:rPr>
        <w:t>hanno un certo effetto sul tasso di adempimento</w:t>
      </w:r>
      <w:r w:rsidR="009636BF">
        <w:rPr>
          <w:bCs/>
          <w:sz w:val="22"/>
          <w:szCs w:val="22"/>
        </w:rPr>
        <w:t xml:space="preserve">, come rilevato al par.1.5; </w:t>
      </w:r>
      <w:r w:rsidR="001F626C">
        <w:rPr>
          <w:bCs/>
          <w:sz w:val="22"/>
          <w:szCs w:val="22"/>
        </w:rPr>
        <w:t xml:space="preserve">se </w:t>
      </w:r>
      <w:r w:rsidR="009636BF">
        <w:rPr>
          <w:bCs/>
          <w:sz w:val="22"/>
          <w:szCs w:val="22"/>
        </w:rPr>
        <w:t xml:space="preserve">esse </w:t>
      </w:r>
      <w:r w:rsidR="001F626C">
        <w:rPr>
          <w:bCs/>
          <w:sz w:val="22"/>
          <w:szCs w:val="22"/>
        </w:rPr>
        <w:t>mancassero del tutto</w:t>
      </w:r>
      <w:r w:rsidR="009636BF">
        <w:rPr>
          <w:bCs/>
          <w:sz w:val="22"/>
          <w:szCs w:val="22"/>
        </w:rPr>
        <w:t>,</w:t>
      </w:r>
      <w:r w:rsidR="001F626C">
        <w:rPr>
          <w:bCs/>
          <w:sz w:val="22"/>
          <w:szCs w:val="22"/>
        </w:rPr>
        <w:t xml:space="preserve"> e gli uffici recuperassero </w:t>
      </w:r>
      <w:r w:rsidR="00F32381">
        <w:rPr>
          <w:sz w:val="22"/>
          <w:szCs w:val="22"/>
        </w:rPr>
        <w:t xml:space="preserve">solo </w:t>
      </w:r>
      <w:r w:rsidR="00B51EF7">
        <w:rPr>
          <w:sz w:val="22"/>
          <w:szCs w:val="22"/>
        </w:rPr>
        <w:t>imposte</w:t>
      </w:r>
      <w:r w:rsidR="00F32381">
        <w:rPr>
          <w:sz w:val="22"/>
          <w:szCs w:val="22"/>
        </w:rPr>
        <w:t xml:space="preserve"> e interessi</w:t>
      </w:r>
      <w:r w:rsidR="009636BF">
        <w:rPr>
          <w:sz w:val="22"/>
          <w:szCs w:val="22"/>
        </w:rPr>
        <w:t>, ai contribuenti</w:t>
      </w:r>
      <w:r w:rsidR="001F626C" w:rsidRPr="001F626C">
        <w:rPr>
          <w:sz w:val="22"/>
          <w:szCs w:val="22"/>
        </w:rPr>
        <w:t xml:space="preserve"> </w:t>
      </w:r>
      <w:r w:rsidR="001F626C" w:rsidRPr="007F7EBF">
        <w:rPr>
          <w:sz w:val="22"/>
          <w:szCs w:val="22"/>
        </w:rPr>
        <w:t>converrebbe restare inerti</w:t>
      </w:r>
      <w:r w:rsidR="009636BF">
        <w:rPr>
          <w:sz w:val="22"/>
          <w:szCs w:val="22"/>
        </w:rPr>
        <w:t xml:space="preserve">; </w:t>
      </w:r>
      <w:r w:rsidR="001F626C">
        <w:rPr>
          <w:sz w:val="22"/>
          <w:szCs w:val="22"/>
        </w:rPr>
        <w:t xml:space="preserve">gli uffici </w:t>
      </w:r>
      <w:r w:rsidR="009636BF">
        <w:rPr>
          <w:sz w:val="22"/>
          <w:szCs w:val="22"/>
        </w:rPr>
        <w:t xml:space="preserve">infatti </w:t>
      </w:r>
      <w:r w:rsidR="001F626C">
        <w:rPr>
          <w:sz w:val="22"/>
          <w:szCs w:val="22"/>
        </w:rPr>
        <w:t xml:space="preserve">recupererebbero, in caso di controllo, solo </w:t>
      </w:r>
      <w:r w:rsidR="009636BF">
        <w:rPr>
          <w:sz w:val="22"/>
          <w:szCs w:val="22"/>
        </w:rPr>
        <w:t>quanto il contribuente avrebbe versato comunque, più gli interessi</w:t>
      </w:r>
      <w:r w:rsidR="001F626C">
        <w:rPr>
          <w:sz w:val="22"/>
          <w:szCs w:val="22"/>
        </w:rPr>
        <w:t xml:space="preserve">; </w:t>
      </w:r>
      <w:r w:rsidR="00F32381">
        <w:rPr>
          <w:sz w:val="22"/>
          <w:szCs w:val="22"/>
        </w:rPr>
        <w:t xml:space="preserve"> tanto varrebbe in questo caso confida</w:t>
      </w:r>
      <w:r w:rsidR="001F626C">
        <w:rPr>
          <w:sz w:val="22"/>
          <w:szCs w:val="22"/>
        </w:rPr>
        <w:t xml:space="preserve">re sulla scarsità dei controlli e rischiare, in un’elementare valutazione “costi – benefici”; questo comportamento di “free riding” attecchisce soprattutto presso </w:t>
      </w:r>
      <w:r w:rsidR="006F3FBE" w:rsidRPr="007F7EBF">
        <w:rPr>
          <w:sz w:val="22"/>
          <w:szCs w:val="22"/>
        </w:rPr>
        <w:t xml:space="preserve">persone fisiche, con bisogni individuali e familiari, </w:t>
      </w:r>
      <w:r w:rsidR="001F626C">
        <w:rPr>
          <w:sz w:val="22"/>
          <w:szCs w:val="22"/>
        </w:rPr>
        <w:t>sulle cui valutazioni par.</w:t>
      </w:r>
      <w:r w:rsidR="00361BCC">
        <w:rPr>
          <w:sz w:val="22"/>
          <w:szCs w:val="22"/>
        </w:rPr>
        <w:t>1.7</w:t>
      </w:r>
      <w:r w:rsidR="001F6534" w:rsidRPr="007F7EBF">
        <w:rPr>
          <w:sz w:val="22"/>
          <w:szCs w:val="22"/>
        </w:rPr>
        <w:t xml:space="preserve"> (</w:t>
      </w:r>
      <w:r w:rsidR="006F3FBE" w:rsidRPr="007F7EBF">
        <w:rPr>
          <w:rStyle w:val="Rimandonotaapidipagina"/>
          <w:sz w:val="22"/>
          <w:szCs w:val="22"/>
        </w:rPr>
        <w:footnoteReference w:id="931"/>
      </w:r>
      <w:r w:rsidR="009636BF">
        <w:rPr>
          <w:sz w:val="22"/>
          <w:szCs w:val="22"/>
        </w:rPr>
        <w:t>)</w:t>
      </w:r>
      <w:r w:rsidR="001F6534" w:rsidRPr="007F7EBF">
        <w:rPr>
          <w:sz w:val="22"/>
          <w:szCs w:val="22"/>
        </w:rPr>
        <w:t xml:space="preserve">. </w:t>
      </w:r>
      <w:r w:rsidR="006F3FBE" w:rsidRPr="007F7EBF">
        <w:rPr>
          <w:bCs/>
          <w:sz w:val="22"/>
          <w:szCs w:val="22"/>
        </w:rPr>
        <w:t>Per le aziende e le altre organizzazioni</w:t>
      </w:r>
      <w:r w:rsidR="001F626C">
        <w:rPr>
          <w:bCs/>
          <w:sz w:val="22"/>
          <w:szCs w:val="22"/>
        </w:rPr>
        <w:t xml:space="preserve"> pluripersonali</w:t>
      </w:r>
      <w:r w:rsidR="006F3FBE" w:rsidRPr="007F7EBF">
        <w:rPr>
          <w:bCs/>
          <w:sz w:val="22"/>
          <w:szCs w:val="22"/>
        </w:rPr>
        <w:t xml:space="preserve">, </w:t>
      </w:r>
      <w:r w:rsidR="004F1610">
        <w:rPr>
          <w:bCs/>
          <w:sz w:val="22"/>
          <w:szCs w:val="22"/>
        </w:rPr>
        <w:t xml:space="preserve">senza motivi propri </w:t>
      </w:r>
      <w:r w:rsidR="006F3FBE" w:rsidRPr="007F7EBF">
        <w:rPr>
          <w:bCs/>
          <w:sz w:val="22"/>
          <w:szCs w:val="22"/>
        </w:rPr>
        <w:t xml:space="preserve">per nascondere </w:t>
      </w:r>
      <w:r w:rsidR="00FD60E6">
        <w:rPr>
          <w:bCs/>
          <w:sz w:val="22"/>
          <w:szCs w:val="22"/>
        </w:rPr>
        <w:t>gli imponibili</w:t>
      </w:r>
      <w:r w:rsidR="006F3FBE" w:rsidRPr="007F7EBF">
        <w:rPr>
          <w:sz w:val="22"/>
          <w:szCs w:val="22"/>
        </w:rPr>
        <w:t xml:space="preserve">, </w:t>
      </w:r>
      <w:r w:rsidR="004F1610">
        <w:rPr>
          <w:sz w:val="22"/>
          <w:szCs w:val="22"/>
        </w:rPr>
        <w:t xml:space="preserve">secondo un filo conduttore del testo, le sanzioni sono molto meno necessarie </w:t>
      </w:r>
      <w:r w:rsidR="00FD60E6">
        <w:rPr>
          <w:sz w:val="22"/>
          <w:szCs w:val="22"/>
        </w:rPr>
        <w:t>(</w:t>
      </w:r>
      <w:r w:rsidR="006F3FBE" w:rsidRPr="007F7EBF">
        <w:rPr>
          <w:rStyle w:val="Rimandonotaapidipagina"/>
          <w:sz w:val="22"/>
          <w:szCs w:val="22"/>
        </w:rPr>
        <w:footnoteReference w:id="932"/>
      </w:r>
      <w:r w:rsidR="00FD60E6">
        <w:rPr>
          <w:sz w:val="22"/>
          <w:szCs w:val="22"/>
        </w:rPr>
        <w:t>)</w:t>
      </w:r>
      <w:r w:rsidR="006F3FBE" w:rsidRPr="007F7EBF">
        <w:rPr>
          <w:sz w:val="22"/>
          <w:szCs w:val="22"/>
        </w:rPr>
        <w:t>.</w:t>
      </w:r>
    </w:p>
    <w:p w14:paraId="174CFFDB" w14:textId="77777777" w:rsidR="001F6534" w:rsidRPr="007F7EBF" w:rsidRDefault="001F6534" w:rsidP="001F6534">
      <w:pPr>
        <w:pStyle w:val="tit23"/>
        <w:ind w:left="6464" w:right="-1361" w:firstLine="0"/>
        <w:jc w:val="left"/>
        <w:rPr>
          <w:bCs/>
          <w:i/>
          <w:iCs/>
          <w:color w:val="0000FF"/>
          <w:lang w:val="it-IT"/>
        </w:rPr>
      </w:pPr>
      <w:r w:rsidRPr="007F7EBF">
        <w:rPr>
          <w:bCs/>
          <w:i/>
          <w:iCs/>
          <w:color w:val="0000FF"/>
          <w:lang w:val="it-IT"/>
        </w:rPr>
        <w:t>l’insufficienza delle sanzioni come surrogato dei controlli</w:t>
      </w:r>
    </w:p>
    <w:p w14:paraId="4D7B0A5C" w14:textId="2FD199DE" w:rsidR="00AD1263" w:rsidRPr="007F7EBF" w:rsidRDefault="001F626C" w:rsidP="00AD1263">
      <w:pPr>
        <w:autoSpaceDE w:val="0"/>
        <w:autoSpaceDN w:val="0"/>
        <w:adjustRightInd w:val="0"/>
        <w:rPr>
          <w:sz w:val="22"/>
          <w:szCs w:val="22"/>
        </w:rPr>
      </w:pPr>
      <w:proofErr w:type="spellStart"/>
      <w:r>
        <w:rPr>
          <w:bCs/>
          <w:sz w:val="22"/>
          <w:szCs w:val="22"/>
        </w:rPr>
        <w:t>Benchè</w:t>
      </w:r>
      <w:proofErr w:type="spellEnd"/>
      <w:r>
        <w:rPr>
          <w:bCs/>
          <w:sz w:val="22"/>
          <w:szCs w:val="22"/>
        </w:rPr>
        <w:t xml:space="preserve"> una qualche sanzione sia necessaria in un contesto di autotassazione, è illusorio supplire con l’aumento delle sanzioni </w:t>
      </w:r>
      <w:r w:rsidR="004F1610">
        <w:rPr>
          <w:bCs/>
          <w:sz w:val="22"/>
          <w:szCs w:val="22"/>
        </w:rPr>
        <w:t xml:space="preserve">all’inadeguatezza dei controlli; questo </w:t>
      </w:r>
      <w:r w:rsidR="005F3C6F" w:rsidRPr="007F7EBF">
        <w:rPr>
          <w:bCs/>
          <w:sz w:val="22"/>
          <w:szCs w:val="22"/>
        </w:rPr>
        <w:t>delirio di</w:t>
      </w:r>
      <w:r w:rsidR="00AD192F" w:rsidRPr="007F7EBF">
        <w:rPr>
          <w:bCs/>
          <w:sz w:val="22"/>
          <w:szCs w:val="22"/>
        </w:rPr>
        <w:t xml:space="preserve"> </w:t>
      </w:r>
      <w:r w:rsidR="005F3C6F" w:rsidRPr="007F7EBF">
        <w:rPr>
          <w:bCs/>
          <w:sz w:val="22"/>
          <w:szCs w:val="22"/>
        </w:rPr>
        <w:t xml:space="preserve">onnipotenza </w:t>
      </w:r>
      <w:r>
        <w:rPr>
          <w:bCs/>
          <w:sz w:val="22"/>
          <w:szCs w:val="22"/>
        </w:rPr>
        <w:t>politico-</w:t>
      </w:r>
      <w:r w:rsidR="005F3C6F" w:rsidRPr="007F7EBF">
        <w:rPr>
          <w:bCs/>
          <w:sz w:val="22"/>
          <w:szCs w:val="22"/>
        </w:rPr>
        <w:t xml:space="preserve">legislativa </w:t>
      </w:r>
      <w:r w:rsidR="004F1610">
        <w:rPr>
          <w:bCs/>
          <w:sz w:val="22"/>
          <w:szCs w:val="22"/>
        </w:rPr>
        <w:t>lede</w:t>
      </w:r>
      <w:r>
        <w:rPr>
          <w:bCs/>
          <w:sz w:val="22"/>
          <w:szCs w:val="22"/>
        </w:rPr>
        <w:t xml:space="preserve"> in modo velleitario</w:t>
      </w:r>
      <w:r w:rsidR="004F1610">
        <w:rPr>
          <w:bCs/>
          <w:sz w:val="22"/>
          <w:szCs w:val="22"/>
        </w:rPr>
        <w:t xml:space="preserve"> il principio di effettività e </w:t>
      </w:r>
      <w:r w:rsidR="00AD192F" w:rsidRPr="007F7EBF">
        <w:rPr>
          <w:bCs/>
          <w:sz w:val="22"/>
          <w:szCs w:val="22"/>
        </w:rPr>
        <w:t xml:space="preserve">la proporzionalità </w:t>
      </w:r>
      <w:r w:rsidR="004F1610">
        <w:rPr>
          <w:bCs/>
          <w:sz w:val="22"/>
          <w:szCs w:val="22"/>
        </w:rPr>
        <w:t xml:space="preserve">rispetto a violazioni </w:t>
      </w:r>
      <w:r w:rsidR="00A10216" w:rsidRPr="007F7EBF">
        <w:rPr>
          <w:bCs/>
          <w:sz w:val="22"/>
          <w:szCs w:val="22"/>
        </w:rPr>
        <w:t>socialmente più insidiose</w:t>
      </w:r>
      <w:r w:rsidR="004F1610">
        <w:rPr>
          <w:bCs/>
          <w:sz w:val="22"/>
          <w:szCs w:val="22"/>
        </w:rPr>
        <w:t xml:space="preserve"> dell’evasione</w:t>
      </w:r>
      <w:r>
        <w:rPr>
          <w:bCs/>
          <w:sz w:val="22"/>
          <w:szCs w:val="22"/>
        </w:rPr>
        <w:t xml:space="preserve">, </w:t>
      </w:r>
      <w:r w:rsidR="00AD192F" w:rsidRPr="007F7EBF">
        <w:rPr>
          <w:bCs/>
          <w:sz w:val="22"/>
          <w:szCs w:val="22"/>
        </w:rPr>
        <w:t>trasforma</w:t>
      </w:r>
      <w:r>
        <w:rPr>
          <w:bCs/>
          <w:sz w:val="22"/>
          <w:szCs w:val="22"/>
        </w:rPr>
        <w:t>ndo oggettivamente</w:t>
      </w:r>
      <w:r w:rsidR="00AD192F" w:rsidRPr="007F7EBF">
        <w:rPr>
          <w:bCs/>
          <w:sz w:val="22"/>
          <w:szCs w:val="22"/>
        </w:rPr>
        <w:t xml:space="preserve"> in vittime i pochi trasgressori colpiti</w:t>
      </w:r>
      <w:r w:rsidR="00A10216" w:rsidRPr="007F7EBF">
        <w:rPr>
          <w:bCs/>
          <w:sz w:val="22"/>
          <w:szCs w:val="22"/>
        </w:rPr>
        <w:t xml:space="preserve"> </w:t>
      </w:r>
      <w:r w:rsidR="006C6E24">
        <w:rPr>
          <w:bCs/>
          <w:sz w:val="22"/>
          <w:szCs w:val="22"/>
        </w:rPr>
        <w:t>(</w:t>
      </w:r>
      <w:r w:rsidR="001F6534" w:rsidRPr="007F7EBF">
        <w:rPr>
          <w:rStyle w:val="Rimandonotaapidipagina"/>
          <w:bCs/>
          <w:sz w:val="22"/>
          <w:szCs w:val="22"/>
        </w:rPr>
        <w:footnoteReference w:id="933"/>
      </w:r>
      <w:r w:rsidR="006C6E24">
        <w:rPr>
          <w:bCs/>
          <w:sz w:val="22"/>
          <w:szCs w:val="22"/>
        </w:rPr>
        <w:t>)</w:t>
      </w:r>
      <w:r w:rsidR="00AD1263" w:rsidRPr="007F7EBF">
        <w:rPr>
          <w:bCs/>
          <w:sz w:val="22"/>
          <w:szCs w:val="22"/>
        </w:rPr>
        <w:t xml:space="preserve">. </w:t>
      </w:r>
    </w:p>
    <w:p w14:paraId="14C0FF2F" w14:textId="5AAFA2F4" w:rsidR="001F6534" w:rsidRPr="007F7EBF" w:rsidRDefault="004F1610" w:rsidP="00C30508">
      <w:pPr>
        <w:autoSpaceDE w:val="0"/>
        <w:autoSpaceDN w:val="0"/>
        <w:adjustRightInd w:val="0"/>
        <w:rPr>
          <w:bCs/>
          <w:i/>
          <w:iCs/>
          <w:color w:val="0000FF"/>
        </w:rPr>
      </w:pPr>
      <w:r w:rsidRPr="007F7EBF">
        <w:lastRenderedPageBreak/>
        <w:t xml:space="preserve">Chi viene individuato, tra tanti che commettono esattamente gli stessi comportamenti, diventa il capro espiatorio per fronteggiare il </w:t>
      </w:r>
      <w:r w:rsidRPr="007F7EBF">
        <w:rPr>
          <w:bCs/>
        </w:rPr>
        <w:t xml:space="preserve">"bisogno </w:t>
      </w:r>
      <w:r w:rsidR="009636BF">
        <w:rPr>
          <w:bCs/>
        </w:rPr>
        <w:t xml:space="preserve">sociale </w:t>
      </w:r>
      <w:r w:rsidRPr="007F7EBF">
        <w:rPr>
          <w:bCs/>
        </w:rPr>
        <w:t>di un colpevole",</w:t>
      </w:r>
      <w:r w:rsidR="009636BF">
        <w:rPr>
          <w:bCs/>
        </w:rPr>
        <w:t xml:space="preserve"> di cui al par.</w:t>
      </w:r>
      <w:r w:rsidR="00FE3595" w:rsidRPr="00FE3595">
        <w:t xml:space="preserve"> </w:t>
      </w:r>
      <w:r w:rsidR="00FE3595">
        <w:t>4.1</w:t>
      </w:r>
      <w:r w:rsidR="00FE3595">
        <w:rPr>
          <w:bCs/>
        </w:rPr>
        <w:t xml:space="preserve"> </w:t>
      </w:r>
      <w:r w:rsidR="00013AE3">
        <w:rPr>
          <w:bCs/>
        </w:rPr>
        <w:t>(</w:t>
      </w:r>
      <w:r w:rsidR="00013AE3">
        <w:rPr>
          <w:rStyle w:val="Rimandonotaapidipagina"/>
          <w:bCs/>
        </w:rPr>
        <w:footnoteReference w:id="934"/>
      </w:r>
      <w:r w:rsidR="00013AE3">
        <w:rPr>
          <w:bCs/>
        </w:rPr>
        <w:t>). La punizione finisce così per dipendere non tanto dell’i</w:t>
      </w:r>
      <w:r w:rsidR="00A10216" w:rsidRPr="007F7EBF">
        <w:rPr>
          <w:sz w:val="22"/>
          <w:szCs w:val="22"/>
        </w:rPr>
        <w:t xml:space="preserve">nsidiosità del comportamento, </w:t>
      </w:r>
      <w:r w:rsidR="00013AE3">
        <w:rPr>
          <w:sz w:val="22"/>
          <w:szCs w:val="22"/>
        </w:rPr>
        <w:t xml:space="preserve">ma </w:t>
      </w:r>
      <w:r w:rsidR="002524AA">
        <w:rPr>
          <w:sz w:val="22"/>
          <w:szCs w:val="22"/>
        </w:rPr>
        <w:t>da</w:t>
      </w:r>
      <w:r w:rsidR="00A10216" w:rsidRPr="007F7EBF">
        <w:rPr>
          <w:sz w:val="22"/>
          <w:szCs w:val="22"/>
        </w:rPr>
        <w:t xml:space="preserve">lla </w:t>
      </w:r>
      <w:r w:rsidR="00A10216" w:rsidRPr="007F7EBF">
        <w:rPr>
          <w:bCs/>
          <w:sz w:val="22"/>
          <w:szCs w:val="22"/>
        </w:rPr>
        <w:t>casualità di essere individuati</w:t>
      </w:r>
      <w:r w:rsidR="00E44222">
        <w:rPr>
          <w:sz w:val="22"/>
          <w:szCs w:val="22"/>
        </w:rPr>
        <w:t xml:space="preserve">; </w:t>
      </w:r>
      <w:r w:rsidR="002524AA">
        <w:rPr>
          <w:sz w:val="22"/>
          <w:szCs w:val="22"/>
        </w:rPr>
        <w:t xml:space="preserve">la sensazione che </w:t>
      </w:r>
      <w:r w:rsidR="00A10216" w:rsidRPr="007F7EBF">
        <w:rPr>
          <w:sz w:val="22"/>
          <w:szCs w:val="22"/>
        </w:rPr>
        <w:t xml:space="preserve">l'importante non </w:t>
      </w:r>
      <w:r w:rsidR="002524AA">
        <w:rPr>
          <w:sz w:val="22"/>
          <w:szCs w:val="22"/>
        </w:rPr>
        <w:t>sia</w:t>
      </w:r>
      <w:r w:rsidR="00A10216" w:rsidRPr="007F7EBF">
        <w:rPr>
          <w:sz w:val="22"/>
          <w:szCs w:val="22"/>
        </w:rPr>
        <w:t xml:space="preserve"> comportarsi correttamente, ma non </w:t>
      </w:r>
      <w:r w:rsidR="00E44222">
        <w:rPr>
          <w:sz w:val="22"/>
          <w:szCs w:val="22"/>
        </w:rPr>
        <w:t xml:space="preserve">subire </w:t>
      </w:r>
      <w:r w:rsidR="00C31626" w:rsidRPr="007F7EBF">
        <w:rPr>
          <w:sz w:val="22"/>
          <w:szCs w:val="22"/>
        </w:rPr>
        <w:t xml:space="preserve">controlli, </w:t>
      </w:r>
      <w:r w:rsidR="008A562E">
        <w:rPr>
          <w:sz w:val="22"/>
          <w:szCs w:val="22"/>
        </w:rPr>
        <w:t>non giova alla credibilità e alla serenità del sistema</w:t>
      </w:r>
      <w:r w:rsidR="00C31626" w:rsidRPr="007F7EBF">
        <w:rPr>
          <w:sz w:val="22"/>
          <w:szCs w:val="22"/>
        </w:rPr>
        <w:t xml:space="preserve"> </w:t>
      </w:r>
      <w:r w:rsidR="008A562E">
        <w:rPr>
          <w:sz w:val="22"/>
          <w:szCs w:val="22"/>
        </w:rPr>
        <w:t>(</w:t>
      </w:r>
      <w:r w:rsidR="008A562E" w:rsidRPr="007F7EBF">
        <w:rPr>
          <w:rStyle w:val="Rimandonotaapidipagina"/>
          <w:sz w:val="22"/>
          <w:szCs w:val="22"/>
        </w:rPr>
        <w:footnoteReference w:id="935"/>
      </w:r>
      <w:r w:rsidR="008A562E">
        <w:rPr>
          <w:sz w:val="22"/>
          <w:szCs w:val="22"/>
        </w:rPr>
        <w:t>) per il quale dovrebbero essere adottate invece le proposte di cui al par.5.7</w:t>
      </w:r>
      <w:r w:rsidR="00A10216" w:rsidRPr="007F7EBF">
        <w:rPr>
          <w:sz w:val="22"/>
          <w:szCs w:val="22"/>
        </w:rPr>
        <w:t xml:space="preserve">. </w:t>
      </w:r>
      <w:r w:rsidR="00A10216" w:rsidRPr="007F7EBF">
        <w:rPr>
          <w:bCs/>
          <w:sz w:val="22"/>
          <w:szCs w:val="22"/>
        </w:rPr>
        <w:t xml:space="preserve"> </w:t>
      </w:r>
    </w:p>
    <w:p w14:paraId="66DD4072" w14:textId="2BFBD914" w:rsidR="00D5105B" w:rsidRPr="007F7EBF" w:rsidRDefault="0024710E" w:rsidP="00D5105B">
      <w:pPr>
        <w:pStyle w:val="tit23"/>
        <w:ind w:left="6464" w:right="-1361" w:firstLine="0"/>
        <w:jc w:val="left"/>
        <w:rPr>
          <w:bCs/>
          <w:i/>
          <w:iCs/>
          <w:color w:val="0000FF"/>
          <w:lang w:val="it-IT"/>
        </w:rPr>
      </w:pPr>
      <w:r>
        <w:rPr>
          <w:bCs/>
          <w:i/>
          <w:iCs/>
          <w:color w:val="0000FF"/>
          <w:lang w:val="it-IT"/>
        </w:rPr>
        <w:t xml:space="preserve">Politica sanzionatoria </w:t>
      </w:r>
      <w:r>
        <w:rPr>
          <w:bCs/>
          <w:i/>
          <w:iCs/>
          <w:color w:val="0000FF"/>
          <w:lang w:val="it-IT"/>
        </w:rPr>
        <w:lastRenderedPageBreak/>
        <w:t xml:space="preserve">e proporzionalità </w:t>
      </w:r>
    </w:p>
    <w:p w14:paraId="54A2D1D1" w14:textId="3BE57D67" w:rsidR="009B7FF4" w:rsidRPr="007F7EBF" w:rsidRDefault="00C30508" w:rsidP="0024710E">
      <w:pPr>
        <w:autoSpaceDE w:val="0"/>
        <w:autoSpaceDN w:val="0"/>
        <w:adjustRightInd w:val="0"/>
        <w:rPr>
          <w:bCs/>
          <w:i/>
          <w:iCs/>
          <w:color w:val="0000FF"/>
        </w:rPr>
      </w:pPr>
      <w:r>
        <w:rPr>
          <w:sz w:val="22"/>
          <w:szCs w:val="22"/>
        </w:rPr>
        <w:t xml:space="preserve">Le sanzioni </w:t>
      </w:r>
      <w:r w:rsidR="0024710E">
        <w:rPr>
          <w:sz w:val="22"/>
          <w:szCs w:val="22"/>
        </w:rPr>
        <w:t xml:space="preserve">vanno quindi diversificate, tenendole </w:t>
      </w:r>
      <w:r w:rsidR="00617312">
        <w:rPr>
          <w:sz w:val="22"/>
          <w:szCs w:val="22"/>
        </w:rPr>
        <w:t xml:space="preserve">miti all’inizio, </w:t>
      </w:r>
      <w:r w:rsidR="00E12262">
        <w:rPr>
          <w:sz w:val="22"/>
          <w:szCs w:val="22"/>
        </w:rPr>
        <w:t xml:space="preserve">aumentandole </w:t>
      </w:r>
      <w:r w:rsidR="00FD6BCB" w:rsidRPr="007F7EBF">
        <w:rPr>
          <w:bCs/>
          <w:sz w:val="22"/>
          <w:szCs w:val="22"/>
        </w:rPr>
        <w:t xml:space="preserve">per chi </w:t>
      </w:r>
      <w:r w:rsidR="00E12262">
        <w:rPr>
          <w:bCs/>
          <w:sz w:val="22"/>
          <w:szCs w:val="22"/>
        </w:rPr>
        <w:t xml:space="preserve">fa </w:t>
      </w:r>
      <w:r w:rsidR="00FD6BCB" w:rsidRPr="007F7EBF">
        <w:rPr>
          <w:bCs/>
          <w:sz w:val="22"/>
          <w:szCs w:val="22"/>
        </w:rPr>
        <w:t xml:space="preserve"> </w:t>
      </w:r>
      <w:r w:rsidR="00D5105B" w:rsidRPr="007F7EBF">
        <w:rPr>
          <w:bCs/>
          <w:sz w:val="22"/>
          <w:szCs w:val="22"/>
        </w:rPr>
        <w:t>ostruzionismo rispetto al</w:t>
      </w:r>
      <w:r w:rsidR="00617312">
        <w:rPr>
          <w:bCs/>
          <w:sz w:val="22"/>
          <w:szCs w:val="22"/>
        </w:rPr>
        <w:t xml:space="preserve"> controllo.</w:t>
      </w:r>
      <w:r w:rsidR="0024710E">
        <w:rPr>
          <w:bCs/>
          <w:sz w:val="22"/>
          <w:szCs w:val="22"/>
        </w:rPr>
        <w:t xml:space="preserve"> Esse o</w:t>
      </w:r>
      <w:r w:rsidR="00617312">
        <w:rPr>
          <w:bCs/>
          <w:sz w:val="22"/>
          <w:szCs w:val="22"/>
        </w:rPr>
        <w:t xml:space="preserve">rdinariamente </w:t>
      </w:r>
      <w:r w:rsidR="00E12262" w:rsidRPr="007F7EBF">
        <w:rPr>
          <w:sz w:val="22"/>
          <w:szCs w:val="22"/>
        </w:rPr>
        <w:t>dovrebbero trovare spazio</w:t>
      </w:r>
      <w:r w:rsidR="00617312">
        <w:rPr>
          <w:sz w:val="22"/>
          <w:szCs w:val="22"/>
        </w:rPr>
        <w:t>, assieme all’imposta,</w:t>
      </w:r>
      <w:r w:rsidR="00E12262" w:rsidRPr="007F7EBF">
        <w:rPr>
          <w:sz w:val="22"/>
          <w:szCs w:val="22"/>
        </w:rPr>
        <w:t xml:space="preserve"> ne</w:t>
      </w:r>
      <w:r w:rsidR="00E12262">
        <w:rPr>
          <w:sz w:val="22"/>
          <w:szCs w:val="22"/>
        </w:rPr>
        <w:t>gli imponibili evasi</w:t>
      </w:r>
      <w:r w:rsidR="00E706CD">
        <w:rPr>
          <w:sz w:val="22"/>
          <w:szCs w:val="22"/>
        </w:rPr>
        <w:t xml:space="preserve"> </w:t>
      </w:r>
      <w:r w:rsidR="00E12262">
        <w:rPr>
          <w:sz w:val="22"/>
          <w:szCs w:val="22"/>
        </w:rPr>
        <w:t>(</w:t>
      </w:r>
      <w:r w:rsidR="00E12262" w:rsidRPr="007F7EBF">
        <w:rPr>
          <w:rStyle w:val="Rimandonotaapidipagina"/>
          <w:bCs/>
          <w:sz w:val="22"/>
          <w:szCs w:val="22"/>
        </w:rPr>
        <w:footnoteReference w:id="936"/>
      </w:r>
      <w:r w:rsidR="00E12262">
        <w:rPr>
          <w:sz w:val="22"/>
          <w:szCs w:val="22"/>
        </w:rPr>
        <w:t>)</w:t>
      </w:r>
      <w:r w:rsidR="00617312">
        <w:rPr>
          <w:bCs/>
          <w:sz w:val="22"/>
          <w:szCs w:val="22"/>
        </w:rPr>
        <w:t xml:space="preserve">; </w:t>
      </w:r>
      <w:r w:rsidR="00617312">
        <w:rPr>
          <w:sz w:val="22"/>
          <w:szCs w:val="22"/>
        </w:rPr>
        <w:t>solo u</w:t>
      </w:r>
      <w:r w:rsidR="00617312" w:rsidRPr="007F7EBF">
        <w:rPr>
          <w:sz w:val="22"/>
          <w:szCs w:val="22"/>
        </w:rPr>
        <w:t>na maggiore insidiosità</w:t>
      </w:r>
      <w:r w:rsidR="00617312">
        <w:rPr>
          <w:sz w:val="22"/>
          <w:szCs w:val="22"/>
        </w:rPr>
        <w:t xml:space="preserve"> </w:t>
      </w:r>
      <w:r w:rsidR="00617312" w:rsidRPr="007F7EBF">
        <w:rPr>
          <w:sz w:val="22"/>
          <w:szCs w:val="22"/>
        </w:rPr>
        <w:t xml:space="preserve">giustifica </w:t>
      </w:r>
      <w:r w:rsidR="002524AA">
        <w:rPr>
          <w:sz w:val="22"/>
          <w:szCs w:val="22"/>
        </w:rPr>
        <w:t xml:space="preserve">ulteriori </w:t>
      </w:r>
      <w:r w:rsidR="00617312">
        <w:rPr>
          <w:sz w:val="22"/>
          <w:szCs w:val="22"/>
        </w:rPr>
        <w:t>inasprimenti puni</w:t>
      </w:r>
      <w:r w:rsidR="002524AA">
        <w:rPr>
          <w:sz w:val="22"/>
          <w:szCs w:val="22"/>
        </w:rPr>
        <w:t>vi</w:t>
      </w:r>
      <w:r w:rsidR="008C659E">
        <w:rPr>
          <w:sz w:val="22"/>
          <w:szCs w:val="22"/>
        </w:rPr>
        <w:t xml:space="preserve">, ma </w:t>
      </w:r>
      <w:r w:rsidR="0024710E">
        <w:rPr>
          <w:sz w:val="22"/>
          <w:szCs w:val="22"/>
        </w:rPr>
        <w:t>tendenzialmente l</w:t>
      </w:r>
      <w:r w:rsidR="0024710E" w:rsidRPr="007F7EBF">
        <w:rPr>
          <w:sz w:val="22"/>
          <w:szCs w:val="22"/>
        </w:rPr>
        <w:t xml:space="preserve">’ordine di grandezza delle sanzioni </w:t>
      </w:r>
      <w:r w:rsidR="0024710E">
        <w:rPr>
          <w:sz w:val="22"/>
          <w:szCs w:val="22"/>
        </w:rPr>
        <w:t>per l’infedele dichiarazione</w:t>
      </w:r>
      <w:r w:rsidR="008C659E">
        <w:rPr>
          <w:sz w:val="22"/>
          <w:szCs w:val="22"/>
        </w:rPr>
        <w:t>, oltre l’imposta, si mantiene in questi limiti</w:t>
      </w:r>
      <w:r w:rsidR="0024710E">
        <w:rPr>
          <w:sz w:val="22"/>
          <w:szCs w:val="22"/>
        </w:rPr>
        <w:t>. Una sanzione “alternativa” (</w:t>
      </w:r>
      <w:r w:rsidR="0024710E">
        <w:rPr>
          <w:rStyle w:val="Rimandonotaapidipagina"/>
          <w:sz w:val="22"/>
          <w:szCs w:val="22"/>
        </w:rPr>
        <w:footnoteReference w:id="937"/>
      </w:r>
      <w:r w:rsidR="0024710E">
        <w:rPr>
          <w:sz w:val="22"/>
          <w:szCs w:val="22"/>
        </w:rPr>
        <w:t>), e più modesta per la minore gravità del comportamento sottostante, riguarda il mancato versamento di imposte dichiarate (</w:t>
      </w:r>
      <w:r w:rsidR="0024710E">
        <w:rPr>
          <w:rStyle w:val="Rimandonotaapidipagina"/>
          <w:sz w:val="22"/>
          <w:szCs w:val="22"/>
        </w:rPr>
        <w:footnoteReference w:id="938"/>
      </w:r>
      <w:r w:rsidR="0024710E">
        <w:rPr>
          <w:sz w:val="22"/>
          <w:szCs w:val="22"/>
        </w:rPr>
        <w:t>), oggi pari al 30% dell’imposta (</w:t>
      </w:r>
      <w:r w:rsidR="0024710E">
        <w:rPr>
          <w:rStyle w:val="Rimandonotaapidipagina"/>
          <w:sz w:val="22"/>
          <w:szCs w:val="22"/>
        </w:rPr>
        <w:footnoteReference w:id="939"/>
      </w:r>
      <w:r w:rsidR="0024710E">
        <w:rPr>
          <w:sz w:val="22"/>
          <w:szCs w:val="22"/>
        </w:rPr>
        <w:t>)</w:t>
      </w:r>
      <w:r w:rsidR="0024710E" w:rsidRPr="007F7EBF">
        <w:rPr>
          <w:sz w:val="22"/>
          <w:szCs w:val="22"/>
        </w:rPr>
        <w:t>.</w:t>
      </w:r>
    </w:p>
    <w:p w14:paraId="21C61157" w14:textId="38F8FDBF" w:rsidR="009E678C" w:rsidRPr="007F7EBF" w:rsidRDefault="0024710E" w:rsidP="0042340B">
      <w:pPr>
        <w:autoSpaceDE w:val="0"/>
        <w:autoSpaceDN w:val="0"/>
        <w:adjustRightInd w:val="0"/>
        <w:rPr>
          <w:bCs/>
          <w:i/>
          <w:iCs/>
          <w:color w:val="0000FF"/>
          <w:sz w:val="22"/>
          <w:szCs w:val="22"/>
        </w:rPr>
      </w:pPr>
      <w:r>
        <w:rPr>
          <w:sz w:val="22"/>
          <w:szCs w:val="22"/>
        </w:rPr>
        <w:t xml:space="preserve">Già da ciò si capisce l’ordinaria </w:t>
      </w:r>
      <w:r w:rsidR="006342C5" w:rsidRPr="007F7EBF">
        <w:rPr>
          <w:bCs/>
          <w:sz w:val="22"/>
          <w:szCs w:val="22"/>
        </w:rPr>
        <w:t>proporzionalità</w:t>
      </w:r>
      <w:r>
        <w:rPr>
          <w:bCs/>
          <w:sz w:val="22"/>
          <w:szCs w:val="22"/>
        </w:rPr>
        <w:t xml:space="preserve"> della sanzione</w:t>
      </w:r>
      <w:r w:rsidR="006342C5" w:rsidRPr="007F7EBF">
        <w:rPr>
          <w:bCs/>
          <w:sz w:val="22"/>
          <w:szCs w:val="22"/>
        </w:rPr>
        <w:t xml:space="preserve"> al tributo </w:t>
      </w:r>
      <w:r w:rsidR="006342C5" w:rsidRPr="007F7EBF">
        <w:rPr>
          <w:sz w:val="22"/>
          <w:szCs w:val="22"/>
        </w:rPr>
        <w:t>non dichiarato o non versato.</w:t>
      </w:r>
      <w:r w:rsidR="00D13DE5">
        <w:rPr>
          <w:sz w:val="22"/>
          <w:szCs w:val="22"/>
        </w:rPr>
        <w:t xml:space="preserve"> </w:t>
      </w:r>
      <w:r w:rsidR="006342C5" w:rsidRPr="007F7EBF">
        <w:rPr>
          <w:sz w:val="22"/>
          <w:szCs w:val="22"/>
        </w:rPr>
        <w:t xml:space="preserve"> </w:t>
      </w:r>
    </w:p>
    <w:p w14:paraId="4693FADD" w14:textId="0A23A3D2" w:rsidR="00AB2CA0" w:rsidRPr="007F7EBF" w:rsidRDefault="0024710E" w:rsidP="00BB6D07">
      <w:pPr>
        <w:autoSpaceDE w:val="0"/>
        <w:autoSpaceDN w:val="0"/>
        <w:adjustRightInd w:val="0"/>
        <w:rPr>
          <w:sz w:val="22"/>
          <w:szCs w:val="22"/>
        </w:rPr>
      </w:pPr>
      <w:r>
        <w:rPr>
          <w:sz w:val="22"/>
          <w:szCs w:val="22"/>
        </w:rPr>
        <w:t>Solo d</w:t>
      </w:r>
      <w:r w:rsidR="00A10F33">
        <w:rPr>
          <w:sz w:val="22"/>
          <w:szCs w:val="22"/>
        </w:rPr>
        <w:t xml:space="preserve">ove manca un’imposta dovuta, </w:t>
      </w:r>
      <w:r>
        <w:rPr>
          <w:sz w:val="22"/>
          <w:szCs w:val="22"/>
        </w:rPr>
        <w:t>riemerge la tradizione amministrativistica delle san</w:t>
      </w:r>
      <w:r w:rsidR="00A10F33">
        <w:rPr>
          <w:sz w:val="22"/>
          <w:szCs w:val="22"/>
        </w:rPr>
        <w:t>zioni tra m</w:t>
      </w:r>
      <w:r w:rsidR="006342C5" w:rsidRPr="007F7EBF">
        <w:rPr>
          <w:sz w:val="22"/>
          <w:szCs w:val="22"/>
        </w:rPr>
        <w:t>assimi e minimi prestabiliti</w:t>
      </w:r>
      <w:r w:rsidR="0041616A" w:rsidRPr="007F7EBF">
        <w:rPr>
          <w:sz w:val="22"/>
          <w:szCs w:val="22"/>
        </w:rPr>
        <w:t>, in cifra assoluta</w:t>
      </w:r>
      <w:r>
        <w:rPr>
          <w:sz w:val="22"/>
          <w:szCs w:val="22"/>
        </w:rPr>
        <w:t xml:space="preserve">; si pensi </w:t>
      </w:r>
      <w:r w:rsidR="00232DF7" w:rsidRPr="007F7EBF">
        <w:rPr>
          <w:sz w:val="22"/>
          <w:szCs w:val="22"/>
        </w:rPr>
        <w:t xml:space="preserve">ad esempio </w:t>
      </w:r>
      <w:r>
        <w:rPr>
          <w:sz w:val="22"/>
          <w:szCs w:val="22"/>
        </w:rPr>
        <w:t>al</w:t>
      </w:r>
      <w:r w:rsidR="006342C5" w:rsidRPr="007F7EBF">
        <w:rPr>
          <w:sz w:val="22"/>
          <w:szCs w:val="22"/>
        </w:rPr>
        <w:t>l’ome</w:t>
      </w:r>
      <w:r>
        <w:rPr>
          <w:sz w:val="22"/>
          <w:szCs w:val="22"/>
        </w:rPr>
        <w:t>s</w:t>
      </w:r>
      <w:r w:rsidR="006342C5" w:rsidRPr="007F7EBF">
        <w:rPr>
          <w:sz w:val="22"/>
          <w:szCs w:val="22"/>
        </w:rPr>
        <w:t>sa risposta alle richieste di informazioni</w:t>
      </w:r>
      <w:r w:rsidR="009E678C" w:rsidRPr="007F7EBF">
        <w:rPr>
          <w:sz w:val="22"/>
          <w:szCs w:val="22"/>
        </w:rPr>
        <w:t xml:space="preserve"> </w:t>
      </w:r>
      <w:r w:rsidR="00232DF7" w:rsidRPr="007F7EBF">
        <w:rPr>
          <w:sz w:val="22"/>
          <w:szCs w:val="22"/>
        </w:rPr>
        <w:t>del fisco</w:t>
      </w:r>
      <w:r w:rsidR="0042340B" w:rsidRPr="007F7EBF">
        <w:rPr>
          <w:sz w:val="22"/>
          <w:szCs w:val="22"/>
        </w:rPr>
        <w:t xml:space="preserve"> (par.5.6)</w:t>
      </w:r>
      <w:r w:rsidR="00232DF7" w:rsidRPr="007F7EBF">
        <w:rPr>
          <w:sz w:val="22"/>
          <w:szCs w:val="22"/>
        </w:rPr>
        <w:t xml:space="preserve">, </w:t>
      </w:r>
      <w:r>
        <w:rPr>
          <w:sz w:val="22"/>
          <w:szCs w:val="22"/>
        </w:rPr>
        <w:t>al</w:t>
      </w:r>
      <w:r w:rsidR="00A10F33">
        <w:rPr>
          <w:sz w:val="22"/>
          <w:szCs w:val="22"/>
        </w:rPr>
        <w:t>l’omessa</w:t>
      </w:r>
      <w:r w:rsidR="00FD6BCB" w:rsidRPr="007F7EBF">
        <w:rPr>
          <w:sz w:val="22"/>
          <w:szCs w:val="22"/>
        </w:rPr>
        <w:t xml:space="preserve"> tenuta di un registro contabile, </w:t>
      </w:r>
      <w:r w:rsidR="00232DF7" w:rsidRPr="007F7EBF">
        <w:rPr>
          <w:sz w:val="22"/>
          <w:szCs w:val="22"/>
        </w:rPr>
        <w:t>etc.</w:t>
      </w:r>
    </w:p>
    <w:p w14:paraId="360BDC55" w14:textId="77777777" w:rsidR="009B7FF4" w:rsidRPr="007F7EBF" w:rsidRDefault="00BB6D07" w:rsidP="009B7FF4">
      <w:pPr>
        <w:pStyle w:val="tit23"/>
        <w:ind w:left="6464" w:right="-1361" w:firstLine="0"/>
        <w:jc w:val="left"/>
        <w:rPr>
          <w:bCs/>
          <w:i/>
          <w:iCs/>
          <w:color w:val="0000FF"/>
          <w:lang w:val="it-IT"/>
        </w:rPr>
      </w:pPr>
      <w:r w:rsidRPr="007F7EBF">
        <w:rPr>
          <w:bCs/>
          <w:i/>
          <w:iCs/>
          <w:color w:val="0000FF"/>
          <w:lang w:val="it-IT"/>
        </w:rPr>
        <w:t>difficile</w:t>
      </w:r>
      <w:r w:rsidR="009B7FF4" w:rsidRPr="007F7EBF">
        <w:rPr>
          <w:bCs/>
          <w:i/>
          <w:iCs/>
          <w:color w:val="0000FF"/>
          <w:lang w:val="it-IT"/>
        </w:rPr>
        <w:t xml:space="preserve"> personalizzazione delle sanzioni</w:t>
      </w:r>
    </w:p>
    <w:p w14:paraId="1EC05EDD" w14:textId="5081490A" w:rsidR="00560B1D" w:rsidRPr="007F7EBF" w:rsidRDefault="00A94770" w:rsidP="00560B1D">
      <w:pPr>
        <w:autoSpaceDE w:val="0"/>
        <w:autoSpaceDN w:val="0"/>
        <w:adjustRightInd w:val="0"/>
        <w:rPr>
          <w:sz w:val="22"/>
          <w:szCs w:val="22"/>
        </w:rPr>
      </w:pPr>
      <w:r>
        <w:rPr>
          <w:sz w:val="22"/>
          <w:szCs w:val="22"/>
        </w:rPr>
        <w:t xml:space="preserve">La personalizzazione della pena </w:t>
      </w:r>
      <w:r w:rsidR="001E07E2">
        <w:rPr>
          <w:sz w:val="22"/>
          <w:szCs w:val="22"/>
        </w:rPr>
        <w:t xml:space="preserve">tra massimi </w:t>
      </w:r>
      <w:proofErr w:type="spellStart"/>
      <w:r w:rsidR="001E07E2">
        <w:rPr>
          <w:sz w:val="22"/>
          <w:szCs w:val="22"/>
        </w:rPr>
        <w:t>è</w:t>
      </w:r>
      <w:proofErr w:type="spellEnd"/>
      <w:r w:rsidR="001E07E2">
        <w:rPr>
          <w:sz w:val="22"/>
          <w:szCs w:val="22"/>
        </w:rPr>
        <w:t xml:space="preserve"> minimi si scontra col desiderio legalistico di</w:t>
      </w:r>
      <w:r w:rsidR="00F43C0C">
        <w:rPr>
          <w:sz w:val="22"/>
          <w:szCs w:val="22"/>
        </w:rPr>
        <w:t xml:space="preserve"> essere sempre guidati da “regole”</w:t>
      </w:r>
      <w:r w:rsidR="007253A9">
        <w:rPr>
          <w:sz w:val="22"/>
          <w:szCs w:val="22"/>
        </w:rPr>
        <w:t xml:space="preserve">, </w:t>
      </w:r>
      <w:r w:rsidR="001E07E2">
        <w:rPr>
          <w:sz w:val="22"/>
          <w:szCs w:val="22"/>
        </w:rPr>
        <w:t xml:space="preserve">lo stesso che </w:t>
      </w:r>
      <w:r w:rsidR="007253A9">
        <w:rPr>
          <w:sz w:val="22"/>
          <w:szCs w:val="22"/>
        </w:rPr>
        <w:t xml:space="preserve">ostacola </w:t>
      </w:r>
      <w:r w:rsidR="007253A9" w:rsidRPr="007F7EBF">
        <w:t xml:space="preserve">la </w:t>
      </w:r>
      <w:r w:rsidR="007253A9">
        <w:t>stima</w:t>
      </w:r>
      <w:r w:rsidR="007253A9" w:rsidRPr="007F7EBF">
        <w:t xml:space="preserve"> valutativa de</w:t>
      </w:r>
      <w:r w:rsidR="007253A9">
        <w:t>gli imponibili</w:t>
      </w:r>
      <w:r w:rsidR="007253A9">
        <w:rPr>
          <w:sz w:val="22"/>
          <w:szCs w:val="22"/>
        </w:rPr>
        <w:t xml:space="preserve">; </w:t>
      </w:r>
      <w:r w:rsidR="001E07E2">
        <w:rPr>
          <w:bCs/>
          <w:sz w:val="22"/>
          <w:szCs w:val="22"/>
        </w:rPr>
        <w:t xml:space="preserve">l’insidiosità del comportamento del contribuente, e l’intensità con cui ha ostacolato </w:t>
      </w:r>
      <w:r w:rsidR="001E07E2">
        <w:rPr>
          <w:bCs/>
          <w:sz w:val="22"/>
          <w:szCs w:val="22"/>
        </w:rPr>
        <w:lastRenderedPageBreak/>
        <w:t xml:space="preserve">l’individuazione della violazione </w:t>
      </w:r>
      <w:r w:rsidR="001E07E2">
        <w:rPr>
          <w:sz w:val="22"/>
          <w:szCs w:val="22"/>
        </w:rPr>
        <w:t>(</w:t>
      </w:r>
      <w:r w:rsidR="001E07E2" w:rsidRPr="007F7EBF">
        <w:rPr>
          <w:rStyle w:val="Rimandonotaapidipagina"/>
          <w:sz w:val="22"/>
          <w:szCs w:val="22"/>
        </w:rPr>
        <w:footnoteReference w:id="940"/>
      </w:r>
      <w:r w:rsidR="001E07E2">
        <w:rPr>
          <w:sz w:val="22"/>
          <w:szCs w:val="22"/>
        </w:rPr>
        <w:t xml:space="preserve">), </w:t>
      </w:r>
      <w:r w:rsidR="007253A9">
        <w:rPr>
          <w:bCs/>
          <w:sz w:val="22"/>
          <w:szCs w:val="22"/>
        </w:rPr>
        <w:t xml:space="preserve">sono </w:t>
      </w:r>
      <w:r w:rsidR="001E07E2">
        <w:rPr>
          <w:bCs/>
          <w:sz w:val="22"/>
          <w:szCs w:val="22"/>
        </w:rPr>
        <w:t xml:space="preserve">infatti da stimare </w:t>
      </w:r>
      <w:r w:rsidR="007253A9">
        <w:rPr>
          <w:bCs/>
          <w:sz w:val="22"/>
          <w:szCs w:val="22"/>
        </w:rPr>
        <w:t>(</w:t>
      </w:r>
      <w:r w:rsidR="007253A9">
        <w:rPr>
          <w:rStyle w:val="Rimandonotaapidipagina"/>
          <w:bCs/>
          <w:sz w:val="22"/>
          <w:szCs w:val="22"/>
        </w:rPr>
        <w:footnoteReference w:id="941"/>
      </w:r>
      <w:r w:rsidR="007253A9">
        <w:rPr>
          <w:bCs/>
          <w:sz w:val="22"/>
          <w:szCs w:val="22"/>
        </w:rPr>
        <w:t xml:space="preserve">) </w:t>
      </w:r>
      <w:r w:rsidR="001E07E2">
        <w:rPr>
          <w:bCs/>
          <w:sz w:val="22"/>
          <w:szCs w:val="22"/>
        </w:rPr>
        <w:t xml:space="preserve">; per questo </w:t>
      </w:r>
      <w:r w:rsidR="00960EA4">
        <w:rPr>
          <w:bCs/>
          <w:sz w:val="22"/>
          <w:szCs w:val="22"/>
        </w:rPr>
        <w:t>nella pratica le sanzioni sono generalmente applicate nel minimo, salvi meccanicistici aumenti, con criteri spesso estemporanei (</w:t>
      </w:r>
      <w:r w:rsidR="00960EA4">
        <w:rPr>
          <w:rStyle w:val="Rimandonotaapidipagina"/>
          <w:bCs/>
          <w:sz w:val="22"/>
          <w:szCs w:val="22"/>
        </w:rPr>
        <w:footnoteReference w:id="942"/>
      </w:r>
      <w:r w:rsidR="00960EA4">
        <w:rPr>
          <w:bCs/>
          <w:sz w:val="22"/>
          <w:szCs w:val="22"/>
        </w:rPr>
        <w:t>).</w:t>
      </w:r>
      <w:r w:rsidR="00D13DE5">
        <w:rPr>
          <w:sz w:val="22"/>
          <w:szCs w:val="22"/>
        </w:rPr>
        <w:t>L</w:t>
      </w:r>
      <w:r w:rsidR="00D13DE5" w:rsidRPr="007F7EBF">
        <w:rPr>
          <w:bCs/>
          <w:sz w:val="22"/>
          <w:szCs w:val="22"/>
        </w:rPr>
        <w:t>e attuali sanzioni sono</w:t>
      </w:r>
      <w:r w:rsidR="00D13DE5">
        <w:rPr>
          <w:bCs/>
          <w:sz w:val="22"/>
          <w:szCs w:val="22"/>
        </w:rPr>
        <w:t xml:space="preserve"> invece</w:t>
      </w:r>
      <w:r w:rsidR="00D13DE5" w:rsidRPr="007F7EBF">
        <w:rPr>
          <w:bCs/>
          <w:sz w:val="22"/>
          <w:szCs w:val="22"/>
        </w:rPr>
        <w:t xml:space="preserve"> troppo appiattite rispetto a</w:t>
      </w:r>
      <w:r w:rsidR="00D13DE5">
        <w:rPr>
          <w:bCs/>
          <w:sz w:val="22"/>
          <w:szCs w:val="22"/>
        </w:rPr>
        <w:t xml:space="preserve">l tributo e nemmeno distinguono </w:t>
      </w:r>
      <w:r w:rsidR="00D13DE5" w:rsidRPr="007F7EBF">
        <w:rPr>
          <w:sz w:val="22"/>
          <w:szCs w:val="22"/>
        </w:rPr>
        <w:t xml:space="preserve">tra </w:t>
      </w:r>
      <w:r w:rsidR="00D13DE5">
        <w:rPr>
          <w:sz w:val="22"/>
          <w:szCs w:val="22"/>
        </w:rPr>
        <w:t xml:space="preserve">maggiore imposta connessa </w:t>
      </w:r>
      <w:r w:rsidR="00D13DE5" w:rsidRPr="007F7EBF">
        <w:rPr>
          <w:sz w:val="22"/>
          <w:szCs w:val="22"/>
        </w:rPr>
        <w:t xml:space="preserve">a </w:t>
      </w:r>
      <w:r w:rsidR="00D13DE5">
        <w:rPr>
          <w:sz w:val="22"/>
          <w:szCs w:val="22"/>
        </w:rPr>
        <w:t>imponibili occultati,</w:t>
      </w:r>
      <w:r w:rsidR="00D13DE5" w:rsidRPr="007F7EBF">
        <w:rPr>
          <w:sz w:val="22"/>
          <w:szCs w:val="22"/>
        </w:rPr>
        <w:t xml:space="preserve"> </w:t>
      </w:r>
      <w:r w:rsidR="00D13DE5">
        <w:rPr>
          <w:sz w:val="22"/>
          <w:szCs w:val="22"/>
        </w:rPr>
        <w:t>ovvero derivante da reinterpretazioni giuridiche d</w:t>
      </w:r>
      <w:r w:rsidR="0024710E">
        <w:rPr>
          <w:sz w:val="22"/>
          <w:szCs w:val="22"/>
        </w:rPr>
        <w:t>i</w:t>
      </w:r>
      <w:r w:rsidR="00D13DE5">
        <w:rPr>
          <w:sz w:val="22"/>
          <w:szCs w:val="22"/>
        </w:rPr>
        <w:t xml:space="preserve"> imponibili dichiarati </w:t>
      </w:r>
      <w:r w:rsidR="00D13DE5" w:rsidRPr="007F7EBF">
        <w:rPr>
          <w:sz w:val="22"/>
          <w:szCs w:val="22"/>
        </w:rPr>
        <w:t xml:space="preserve">o palesi </w:t>
      </w:r>
      <w:r w:rsidR="00D13DE5">
        <w:rPr>
          <w:sz w:val="22"/>
          <w:szCs w:val="22"/>
        </w:rPr>
        <w:t>(</w:t>
      </w:r>
      <w:r w:rsidR="00D13DE5" w:rsidRPr="007F7EBF">
        <w:rPr>
          <w:rStyle w:val="Rimandonotaapidipagina"/>
          <w:sz w:val="22"/>
          <w:szCs w:val="22"/>
        </w:rPr>
        <w:footnoteReference w:id="943"/>
      </w:r>
      <w:r w:rsidR="00D13DE5">
        <w:rPr>
          <w:sz w:val="22"/>
          <w:szCs w:val="22"/>
        </w:rPr>
        <w:t>)</w:t>
      </w:r>
      <w:r w:rsidR="00D13DE5" w:rsidRPr="007F7EBF">
        <w:rPr>
          <w:bCs/>
          <w:sz w:val="22"/>
          <w:szCs w:val="22"/>
        </w:rPr>
        <w:t>.</w:t>
      </w:r>
    </w:p>
    <w:p w14:paraId="5503FCB5" w14:textId="59E08B75" w:rsidR="00560B1D" w:rsidRPr="007F7EBF" w:rsidRDefault="00560B1D" w:rsidP="00560B1D">
      <w:pPr>
        <w:pStyle w:val="tit23"/>
        <w:ind w:left="6464" w:right="-1361" w:firstLine="0"/>
        <w:jc w:val="left"/>
        <w:rPr>
          <w:bCs/>
          <w:i/>
          <w:iCs/>
          <w:color w:val="0000FF"/>
          <w:lang w:val="it-IT"/>
        </w:rPr>
      </w:pPr>
      <w:r w:rsidRPr="007F7EBF">
        <w:rPr>
          <w:bCs/>
          <w:i/>
          <w:iCs/>
          <w:color w:val="0000FF"/>
          <w:lang w:val="it-IT"/>
        </w:rPr>
        <w:t>Cumulo</w:t>
      </w:r>
      <w:r w:rsidR="00617312">
        <w:rPr>
          <w:bCs/>
          <w:i/>
          <w:iCs/>
          <w:color w:val="0000FF"/>
          <w:lang w:val="it-IT"/>
        </w:rPr>
        <w:t xml:space="preserve"> </w:t>
      </w:r>
      <w:r>
        <w:rPr>
          <w:bCs/>
          <w:i/>
          <w:iCs/>
          <w:color w:val="0000FF"/>
          <w:lang w:val="it-IT"/>
        </w:rPr>
        <w:t>e sanzioni improprie</w:t>
      </w:r>
    </w:p>
    <w:p w14:paraId="0F3C7C84" w14:textId="77777777" w:rsidR="00617312" w:rsidRDefault="006851A9" w:rsidP="00617312">
      <w:pPr>
        <w:autoSpaceDE w:val="0"/>
        <w:autoSpaceDN w:val="0"/>
        <w:adjustRightInd w:val="0"/>
        <w:rPr>
          <w:sz w:val="22"/>
          <w:szCs w:val="22"/>
        </w:rPr>
      </w:pPr>
      <w:r>
        <w:rPr>
          <w:sz w:val="22"/>
          <w:szCs w:val="22"/>
        </w:rPr>
        <w:t>Molti controlli fiscali esaminano comportamenti rilevanti simultaneamente per le imposte sui redditi e l’IVA (</w:t>
      </w:r>
      <w:r>
        <w:rPr>
          <w:rStyle w:val="Rimandonotaapidipagina"/>
          <w:sz w:val="22"/>
          <w:szCs w:val="22"/>
        </w:rPr>
        <w:footnoteReference w:id="944"/>
      </w:r>
      <w:r>
        <w:rPr>
          <w:sz w:val="22"/>
          <w:szCs w:val="22"/>
        </w:rPr>
        <w:t>), in genere per più annualità d’imposta. E’</w:t>
      </w:r>
      <w:r w:rsidR="00617312">
        <w:rPr>
          <w:sz w:val="22"/>
          <w:szCs w:val="22"/>
        </w:rPr>
        <w:t xml:space="preserve"> </w:t>
      </w:r>
      <w:r>
        <w:rPr>
          <w:sz w:val="22"/>
          <w:szCs w:val="22"/>
        </w:rPr>
        <w:t>riconosciuta in questi casi l’attenuazione delle sanzioni secondo il c.d. “cumulo giuridico” (</w:t>
      </w:r>
      <w:r>
        <w:rPr>
          <w:rStyle w:val="Rimandonotaapidipagina"/>
          <w:sz w:val="22"/>
          <w:szCs w:val="22"/>
        </w:rPr>
        <w:footnoteReference w:id="945"/>
      </w:r>
      <w:r>
        <w:rPr>
          <w:sz w:val="22"/>
          <w:szCs w:val="22"/>
        </w:rPr>
        <w:t xml:space="preserve">), basato su </w:t>
      </w:r>
      <w:r w:rsidR="00560B1D" w:rsidRPr="007F7EBF">
        <w:rPr>
          <w:sz w:val="22"/>
          <w:szCs w:val="22"/>
        </w:rPr>
        <w:t>una sanzione</w:t>
      </w:r>
      <w:r w:rsidR="00560B1D">
        <w:rPr>
          <w:sz w:val="22"/>
          <w:szCs w:val="22"/>
        </w:rPr>
        <w:t xml:space="preserve"> </w:t>
      </w:r>
      <w:r w:rsidR="00560B1D" w:rsidRPr="007F7EBF">
        <w:rPr>
          <w:sz w:val="22"/>
          <w:szCs w:val="22"/>
        </w:rPr>
        <w:t>unica</w:t>
      </w:r>
      <w:r>
        <w:rPr>
          <w:sz w:val="22"/>
          <w:szCs w:val="22"/>
        </w:rPr>
        <w:t xml:space="preserve">, determinata </w:t>
      </w:r>
      <w:r w:rsidR="00560B1D" w:rsidRPr="007F7EBF">
        <w:rPr>
          <w:sz w:val="22"/>
          <w:szCs w:val="22"/>
        </w:rPr>
        <w:t>aument</w:t>
      </w:r>
      <w:r>
        <w:rPr>
          <w:sz w:val="22"/>
          <w:szCs w:val="22"/>
        </w:rPr>
        <w:t>and</w:t>
      </w:r>
      <w:r w:rsidR="00560B1D" w:rsidRPr="007F7EBF">
        <w:rPr>
          <w:sz w:val="22"/>
          <w:szCs w:val="22"/>
        </w:rPr>
        <w:t xml:space="preserve">o </w:t>
      </w:r>
      <w:r>
        <w:rPr>
          <w:sz w:val="22"/>
          <w:szCs w:val="22"/>
        </w:rPr>
        <w:t>quella stabilita</w:t>
      </w:r>
      <w:r w:rsidR="00560B1D" w:rsidRPr="007F7EBF">
        <w:rPr>
          <w:sz w:val="22"/>
          <w:szCs w:val="22"/>
        </w:rPr>
        <w:t xml:space="preserve"> per la violazione più grave (</w:t>
      </w:r>
      <w:r w:rsidR="00560B1D" w:rsidRPr="007F7EBF">
        <w:rPr>
          <w:rStyle w:val="Rimandonotaapidipagina"/>
          <w:sz w:val="22"/>
          <w:szCs w:val="22"/>
        </w:rPr>
        <w:footnoteReference w:id="946"/>
      </w:r>
      <w:r w:rsidR="00560B1D">
        <w:rPr>
          <w:sz w:val="22"/>
          <w:szCs w:val="22"/>
        </w:rPr>
        <w:t>)</w:t>
      </w:r>
      <w:r w:rsidR="00560B1D" w:rsidRPr="007F7EBF">
        <w:rPr>
          <w:sz w:val="22"/>
          <w:szCs w:val="22"/>
        </w:rPr>
        <w:t xml:space="preserve">. </w:t>
      </w:r>
    </w:p>
    <w:p w14:paraId="54214F7F" w14:textId="158973AD" w:rsidR="000866D9" w:rsidRPr="007F7EBF" w:rsidRDefault="00617312" w:rsidP="000866D9">
      <w:pPr>
        <w:autoSpaceDE w:val="0"/>
        <w:autoSpaceDN w:val="0"/>
        <w:adjustRightInd w:val="0"/>
        <w:rPr>
          <w:sz w:val="22"/>
          <w:szCs w:val="22"/>
        </w:rPr>
      </w:pPr>
      <w:r>
        <w:rPr>
          <w:sz w:val="22"/>
          <w:szCs w:val="22"/>
        </w:rPr>
        <w:t xml:space="preserve">Qualche volta il mancato rispetto di formalità e comunicazioni comporta, per disposizioni legislative di varia natura, una </w:t>
      </w:r>
      <w:r>
        <w:rPr>
          <w:sz w:val="22"/>
          <w:szCs w:val="22"/>
        </w:rPr>
        <w:lastRenderedPageBreak/>
        <w:t>determinazione penalizzante dell’imponibile, confusamente definita come “sanzione impropria” (</w:t>
      </w:r>
      <w:r w:rsidRPr="007F7EBF">
        <w:rPr>
          <w:rStyle w:val="Rimandonotaapidipagina"/>
          <w:sz w:val="22"/>
          <w:szCs w:val="22"/>
        </w:rPr>
        <w:footnoteReference w:id="947"/>
      </w:r>
      <w:r>
        <w:rPr>
          <w:sz w:val="22"/>
          <w:szCs w:val="22"/>
        </w:rPr>
        <w:t>)</w:t>
      </w:r>
      <w:r w:rsidRPr="007F7EBF">
        <w:rPr>
          <w:sz w:val="22"/>
          <w:szCs w:val="22"/>
        </w:rPr>
        <w:t xml:space="preserve">. </w:t>
      </w:r>
    </w:p>
    <w:p w14:paraId="1CF3AF26" w14:textId="067B8B81" w:rsidR="009B7FF4" w:rsidRPr="007F7EBF" w:rsidRDefault="0024710E" w:rsidP="009B7FF4">
      <w:pPr>
        <w:pStyle w:val="tit23"/>
        <w:ind w:left="6464" w:right="-1361" w:firstLine="0"/>
        <w:jc w:val="left"/>
        <w:rPr>
          <w:bCs/>
          <w:i/>
          <w:iCs/>
          <w:color w:val="0000FF"/>
          <w:lang w:val="it-IT"/>
        </w:rPr>
      </w:pPr>
      <w:r>
        <w:rPr>
          <w:bCs/>
          <w:i/>
          <w:iCs/>
          <w:color w:val="0000FF"/>
          <w:lang w:val="it-IT"/>
        </w:rPr>
        <w:t>Riduzioni per ravvedimento e adesione</w:t>
      </w:r>
    </w:p>
    <w:p w14:paraId="330E72E4" w14:textId="0032E464" w:rsidR="00C55637" w:rsidRDefault="00C55637" w:rsidP="00E12262">
      <w:pPr>
        <w:autoSpaceDE w:val="0"/>
        <w:autoSpaceDN w:val="0"/>
        <w:adjustRightInd w:val="0"/>
        <w:rPr>
          <w:sz w:val="22"/>
          <w:szCs w:val="22"/>
        </w:rPr>
      </w:pPr>
      <w:r>
        <w:rPr>
          <w:sz w:val="22"/>
          <w:szCs w:val="22"/>
        </w:rPr>
        <w:t>A queste misure edittali, cioè “di base”, si applica il</w:t>
      </w:r>
      <w:r w:rsidRPr="007F7EBF">
        <w:rPr>
          <w:sz w:val="22"/>
          <w:szCs w:val="22"/>
        </w:rPr>
        <w:t xml:space="preserve"> </w:t>
      </w:r>
      <w:proofErr w:type="spellStart"/>
      <w:r w:rsidRPr="007F7EBF">
        <w:rPr>
          <w:sz w:val="22"/>
          <w:szCs w:val="22"/>
        </w:rPr>
        <w:t>c.d</w:t>
      </w:r>
      <w:proofErr w:type="spellEnd"/>
      <w:r w:rsidRPr="007F7EBF">
        <w:rPr>
          <w:sz w:val="22"/>
          <w:szCs w:val="22"/>
        </w:rPr>
        <w:t xml:space="preserve"> “</w:t>
      </w:r>
      <w:r w:rsidRPr="007F7EBF">
        <w:rPr>
          <w:bCs/>
          <w:sz w:val="22"/>
          <w:szCs w:val="22"/>
        </w:rPr>
        <w:t>ravvedimento</w:t>
      </w:r>
      <w:r>
        <w:rPr>
          <w:bCs/>
          <w:sz w:val="22"/>
          <w:szCs w:val="22"/>
        </w:rPr>
        <w:t xml:space="preserve"> operoso</w:t>
      </w:r>
      <w:r w:rsidRPr="007F7EBF">
        <w:rPr>
          <w:bCs/>
          <w:sz w:val="22"/>
          <w:szCs w:val="22"/>
        </w:rPr>
        <w:t>” del contribuente</w:t>
      </w:r>
      <w:r w:rsidRPr="007F7EBF">
        <w:rPr>
          <w:sz w:val="22"/>
          <w:szCs w:val="22"/>
        </w:rPr>
        <w:t>, prima di un atto formale di accertamento</w:t>
      </w:r>
      <w:r>
        <w:rPr>
          <w:sz w:val="22"/>
          <w:szCs w:val="22"/>
        </w:rPr>
        <w:t xml:space="preserve">  (par.3.4), sia le riduzioni da </w:t>
      </w:r>
      <w:r w:rsidRPr="007F7EBF">
        <w:rPr>
          <w:sz w:val="22"/>
          <w:szCs w:val="22"/>
        </w:rPr>
        <w:t xml:space="preserve">strumenti “adesivi” (di contenzioso amministrativo) </w:t>
      </w:r>
      <w:r>
        <w:rPr>
          <w:sz w:val="22"/>
          <w:szCs w:val="22"/>
        </w:rPr>
        <w:t>di cui</w:t>
      </w:r>
      <w:r w:rsidRPr="007F7EBF">
        <w:rPr>
          <w:sz w:val="22"/>
          <w:szCs w:val="22"/>
        </w:rPr>
        <w:t xml:space="preserve"> ai precedenti paragrafi 6.4-6.5 (</w:t>
      </w:r>
      <w:r w:rsidRPr="007F7EBF">
        <w:rPr>
          <w:rStyle w:val="Rimandonotaapidipagina"/>
          <w:sz w:val="22"/>
          <w:szCs w:val="22"/>
        </w:rPr>
        <w:footnoteReference w:id="948"/>
      </w:r>
      <w:r w:rsidRPr="007F7EBF">
        <w:rPr>
          <w:sz w:val="22"/>
          <w:szCs w:val="22"/>
        </w:rPr>
        <w:t>).</w:t>
      </w:r>
    </w:p>
    <w:p w14:paraId="172F522B" w14:textId="23001D83" w:rsidR="00E12262" w:rsidRPr="007F7EBF" w:rsidRDefault="00C55637" w:rsidP="00E12262">
      <w:pPr>
        <w:autoSpaceDE w:val="0"/>
        <w:autoSpaceDN w:val="0"/>
        <w:adjustRightInd w:val="0"/>
        <w:rPr>
          <w:sz w:val="22"/>
          <w:szCs w:val="22"/>
        </w:rPr>
      </w:pPr>
      <w:r>
        <w:rPr>
          <w:sz w:val="20"/>
          <w:szCs w:val="20"/>
        </w:rPr>
        <w:t xml:space="preserve">La possibilità di “ravvedersi” dopo l’inizio dei controlli (par.3.4) e le riduzioni, in acquiescenza, sul presupposto che l’imposta sia correttamente calcolata dal fisco, </w:t>
      </w:r>
      <w:r w:rsidR="00CB0686">
        <w:rPr>
          <w:sz w:val="20"/>
          <w:szCs w:val="20"/>
        </w:rPr>
        <w:t xml:space="preserve">spingono probabilmente, vista </w:t>
      </w:r>
      <w:r w:rsidRPr="007F7EBF">
        <w:rPr>
          <w:sz w:val="20"/>
          <w:szCs w:val="20"/>
        </w:rPr>
        <w:t xml:space="preserve">la scarsa probabilità di </w:t>
      </w:r>
      <w:r>
        <w:rPr>
          <w:sz w:val="20"/>
          <w:szCs w:val="20"/>
        </w:rPr>
        <w:t>controllo</w:t>
      </w:r>
      <w:r w:rsidRPr="007F7EBF">
        <w:rPr>
          <w:sz w:val="20"/>
          <w:szCs w:val="20"/>
        </w:rPr>
        <w:t xml:space="preserve">, </w:t>
      </w:r>
      <w:r w:rsidR="00CB0686">
        <w:rPr>
          <w:sz w:val="20"/>
          <w:szCs w:val="20"/>
        </w:rPr>
        <w:t xml:space="preserve">a </w:t>
      </w:r>
      <w:r>
        <w:rPr>
          <w:sz w:val="20"/>
          <w:szCs w:val="20"/>
        </w:rPr>
        <w:t xml:space="preserve">correre un </w:t>
      </w:r>
      <w:r w:rsidR="00CB0686">
        <w:rPr>
          <w:sz w:val="20"/>
          <w:szCs w:val="20"/>
        </w:rPr>
        <w:t>certo</w:t>
      </w:r>
      <w:r w:rsidRPr="007F7EBF">
        <w:rPr>
          <w:sz w:val="20"/>
          <w:szCs w:val="20"/>
        </w:rPr>
        <w:t xml:space="preserve"> rischio fiscale</w:t>
      </w:r>
      <w:r w:rsidR="007606D8">
        <w:rPr>
          <w:sz w:val="20"/>
          <w:szCs w:val="20"/>
        </w:rPr>
        <w:t xml:space="preserve"> (</w:t>
      </w:r>
      <w:r w:rsidR="007606D8">
        <w:rPr>
          <w:rStyle w:val="Rimandonotaapidipagina"/>
          <w:sz w:val="20"/>
          <w:szCs w:val="20"/>
        </w:rPr>
        <w:footnoteReference w:id="949"/>
      </w:r>
      <w:r w:rsidR="007606D8">
        <w:rPr>
          <w:sz w:val="20"/>
          <w:szCs w:val="20"/>
        </w:rPr>
        <w:t>)</w:t>
      </w:r>
      <w:r w:rsidRPr="007F7EBF">
        <w:rPr>
          <w:sz w:val="20"/>
          <w:szCs w:val="20"/>
        </w:rPr>
        <w:t>.</w:t>
      </w:r>
    </w:p>
    <w:p w14:paraId="0D6FF59E" w14:textId="77777777" w:rsidR="00E12262" w:rsidRPr="007F7EBF" w:rsidRDefault="00E12262" w:rsidP="00E12262">
      <w:pPr>
        <w:pStyle w:val="tit23"/>
        <w:ind w:left="6464" w:right="-1361" w:firstLine="0"/>
        <w:jc w:val="left"/>
        <w:rPr>
          <w:bCs/>
          <w:i/>
          <w:iCs/>
          <w:color w:val="0000FF"/>
          <w:lang w:val="it-IT"/>
        </w:rPr>
      </w:pPr>
      <w:r w:rsidRPr="007F7EBF">
        <w:rPr>
          <w:bCs/>
          <w:i/>
          <w:iCs/>
          <w:color w:val="0000FF"/>
          <w:lang w:val="it-IT"/>
        </w:rPr>
        <w:t>Provvedimenti amministrativi sanzionatori</w:t>
      </w:r>
    </w:p>
    <w:p w14:paraId="1B2E7881" w14:textId="77777777" w:rsidR="00E12262" w:rsidRPr="007F7EBF" w:rsidRDefault="00E12262" w:rsidP="00E12262">
      <w:pPr>
        <w:autoSpaceDE w:val="0"/>
        <w:autoSpaceDN w:val="0"/>
        <w:adjustRightInd w:val="0"/>
        <w:rPr>
          <w:bCs/>
          <w:sz w:val="22"/>
          <w:szCs w:val="22"/>
        </w:rPr>
      </w:pPr>
      <w:r w:rsidRPr="007F7EBF">
        <w:rPr>
          <w:sz w:val="22"/>
          <w:szCs w:val="22"/>
        </w:rPr>
        <w:t xml:space="preserve">Le sanzioni collegate al tributo sono in genere inflitte </w:t>
      </w:r>
      <w:r w:rsidRPr="007F7EBF">
        <w:rPr>
          <w:bCs/>
          <w:sz w:val="22"/>
          <w:szCs w:val="22"/>
        </w:rPr>
        <w:t>con</w:t>
      </w:r>
    </w:p>
    <w:p w14:paraId="60D1B8FD" w14:textId="77777777" w:rsidR="00E12262" w:rsidRPr="007F7EBF" w:rsidRDefault="00E12262" w:rsidP="00E12262">
      <w:pPr>
        <w:autoSpaceDE w:val="0"/>
        <w:autoSpaceDN w:val="0"/>
        <w:adjustRightInd w:val="0"/>
        <w:rPr>
          <w:sz w:val="22"/>
          <w:szCs w:val="22"/>
        </w:rPr>
      </w:pPr>
      <w:r w:rsidRPr="007F7EBF">
        <w:rPr>
          <w:bCs/>
          <w:sz w:val="22"/>
          <w:szCs w:val="22"/>
        </w:rPr>
        <w:t xml:space="preserve">lo stesso atto impositivo con cui esso viene richiesto, </w:t>
      </w:r>
      <w:r w:rsidRPr="007F7EBF">
        <w:rPr>
          <w:sz w:val="22"/>
          <w:szCs w:val="22"/>
        </w:rPr>
        <w:t xml:space="preserve">e quindi un avviso di accertamento o un’iscrizione a ruolo (art. 17, D.lgs. n. 472); tale atto deve essere motivato (par.6.2) anche in relazione ai criteri di individuazione della violazione e di determinazione della sanzione. </w:t>
      </w:r>
    </w:p>
    <w:p w14:paraId="4B92F74E" w14:textId="74631B12" w:rsidR="009B7FF4" w:rsidRPr="007F7EBF" w:rsidRDefault="00E12262" w:rsidP="009B7FF4">
      <w:pPr>
        <w:autoSpaceDE w:val="0"/>
        <w:autoSpaceDN w:val="0"/>
        <w:adjustRightInd w:val="0"/>
        <w:rPr>
          <w:sz w:val="22"/>
          <w:szCs w:val="22"/>
        </w:rPr>
      </w:pPr>
      <w:r w:rsidRPr="007F7EBF">
        <w:rPr>
          <w:sz w:val="22"/>
          <w:szCs w:val="22"/>
        </w:rPr>
        <w:t xml:space="preserve">Quando si tratta di sanzioni non collegate al tributo </w:t>
      </w:r>
      <w:r>
        <w:rPr>
          <w:sz w:val="22"/>
          <w:szCs w:val="22"/>
        </w:rPr>
        <w:t xml:space="preserve">va emesso </w:t>
      </w:r>
      <w:r w:rsidRPr="007F7EBF">
        <w:rPr>
          <w:sz w:val="22"/>
          <w:szCs w:val="22"/>
        </w:rPr>
        <w:t>un atto motivato di contestazione</w:t>
      </w:r>
      <w:r w:rsidR="00823E28">
        <w:rPr>
          <w:sz w:val="22"/>
          <w:szCs w:val="22"/>
        </w:rPr>
        <w:t xml:space="preserve">, contro cui il contribuente può controdedurre </w:t>
      </w:r>
      <w:r w:rsidRPr="007F7EBF">
        <w:rPr>
          <w:sz w:val="22"/>
          <w:szCs w:val="22"/>
        </w:rPr>
        <w:t xml:space="preserve">   </w:t>
      </w:r>
      <w:r w:rsidRPr="007F7EBF">
        <w:rPr>
          <w:sz w:val="22"/>
          <w:szCs w:val="22"/>
        </w:rPr>
        <w:lastRenderedPageBreak/>
        <w:t>(</w:t>
      </w:r>
      <w:r w:rsidRPr="007F7EBF">
        <w:rPr>
          <w:rStyle w:val="Rimandonotaapidipagina"/>
          <w:sz w:val="22"/>
          <w:szCs w:val="22"/>
        </w:rPr>
        <w:footnoteReference w:id="950"/>
      </w:r>
      <w:r w:rsidRPr="007F7EBF">
        <w:rPr>
          <w:sz w:val="22"/>
          <w:szCs w:val="22"/>
        </w:rPr>
        <w:t>)</w:t>
      </w:r>
      <w:r w:rsidR="00823E28">
        <w:rPr>
          <w:sz w:val="22"/>
          <w:szCs w:val="22"/>
        </w:rPr>
        <w:t xml:space="preserve">, e che può trasformarsi </w:t>
      </w:r>
      <w:r w:rsidRPr="007F7EBF">
        <w:rPr>
          <w:sz w:val="22"/>
          <w:szCs w:val="22"/>
        </w:rPr>
        <w:t>in atto impositivo</w:t>
      </w:r>
      <w:r>
        <w:rPr>
          <w:sz w:val="22"/>
          <w:szCs w:val="22"/>
        </w:rPr>
        <w:t>,</w:t>
      </w:r>
      <w:r w:rsidRPr="007F7EBF">
        <w:rPr>
          <w:sz w:val="22"/>
          <w:szCs w:val="22"/>
        </w:rPr>
        <w:t xml:space="preserve"> impugnabile di fronte alle commissioni tributarie</w:t>
      </w:r>
      <w:r w:rsidR="00823E28">
        <w:rPr>
          <w:sz w:val="22"/>
          <w:szCs w:val="22"/>
        </w:rPr>
        <w:t>(</w:t>
      </w:r>
      <w:r w:rsidR="00823E28">
        <w:rPr>
          <w:rStyle w:val="Rimandonotaapidipagina"/>
          <w:sz w:val="22"/>
          <w:szCs w:val="22"/>
        </w:rPr>
        <w:footnoteReference w:id="951"/>
      </w:r>
      <w:r w:rsidR="00823E28">
        <w:rPr>
          <w:sz w:val="22"/>
          <w:szCs w:val="22"/>
        </w:rPr>
        <w:t xml:space="preserve">). </w:t>
      </w:r>
    </w:p>
    <w:p w14:paraId="1E7F4A08" w14:textId="69AE97F2" w:rsidR="009B7FF4" w:rsidRPr="007F7EBF" w:rsidRDefault="009B7FF4" w:rsidP="009B7FF4">
      <w:pPr>
        <w:pStyle w:val="tit23"/>
        <w:ind w:left="6464" w:right="-1361" w:firstLine="0"/>
        <w:jc w:val="left"/>
        <w:rPr>
          <w:bCs/>
          <w:i/>
          <w:iCs/>
          <w:color w:val="0000FF"/>
          <w:lang w:val="it-IT"/>
        </w:rPr>
      </w:pPr>
      <w:r w:rsidRPr="007F7EBF">
        <w:rPr>
          <w:bCs/>
          <w:i/>
          <w:iCs/>
          <w:color w:val="0000FF"/>
          <w:lang w:val="it-IT"/>
        </w:rPr>
        <w:t xml:space="preserve">Sanzioni e </w:t>
      </w:r>
      <w:r w:rsidR="00560B1D">
        <w:rPr>
          <w:bCs/>
          <w:i/>
          <w:iCs/>
          <w:color w:val="0000FF"/>
          <w:lang w:val="it-IT"/>
        </w:rPr>
        <w:t>persone giuridiche</w:t>
      </w:r>
    </w:p>
    <w:p w14:paraId="1447C503" w14:textId="1DBB6FB9" w:rsidR="009B7FF4" w:rsidRPr="007F7EBF" w:rsidRDefault="00C600A9" w:rsidP="009B7FF4">
      <w:pPr>
        <w:autoSpaceDE w:val="0"/>
        <w:autoSpaceDN w:val="0"/>
        <w:adjustRightInd w:val="0"/>
        <w:rPr>
          <w:sz w:val="22"/>
          <w:szCs w:val="22"/>
        </w:rPr>
      </w:pPr>
      <w:r w:rsidRPr="007F7EBF">
        <w:rPr>
          <w:sz w:val="22"/>
          <w:szCs w:val="22"/>
        </w:rPr>
        <w:t xml:space="preserve">Invece di seguire i </w:t>
      </w:r>
      <w:r w:rsidR="00376681" w:rsidRPr="007F7EBF">
        <w:rPr>
          <w:sz w:val="22"/>
          <w:szCs w:val="22"/>
        </w:rPr>
        <w:t>criteri generali del diritto amministrativo</w:t>
      </w:r>
      <w:r w:rsidR="0057399D" w:rsidRPr="007F7EBF">
        <w:rPr>
          <w:sz w:val="22"/>
          <w:szCs w:val="22"/>
        </w:rPr>
        <w:t xml:space="preserve">, dove si punisce, secondo il modello penalistico, </w:t>
      </w:r>
      <w:r w:rsidR="001E3827" w:rsidRPr="007F7EBF">
        <w:rPr>
          <w:sz w:val="22"/>
          <w:szCs w:val="22"/>
        </w:rPr>
        <w:t>la persona fisica autrice della violazione</w:t>
      </w:r>
      <w:r w:rsidR="0057399D" w:rsidRPr="007F7EBF">
        <w:rPr>
          <w:sz w:val="22"/>
          <w:szCs w:val="22"/>
        </w:rPr>
        <w:t xml:space="preserve"> e non l'ente cui la violazione si riferisce</w:t>
      </w:r>
      <w:r w:rsidRPr="007F7EBF">
        <w:rPr>
          <w:sz w:val="22"/>
          <w:szCs w:val="22"/>
        </w:rPr>
        <w:t>, l</w:t>
      </w:r>
      <w:r w:rsidR="0057399D" w:rsidRPr="007F7EBF">
        <w:rPr>
          <w:sz w:val="22"/>
          <w:szCs w:val="22"/>
        </w:rPr>
        <w:t xml:space="preserve">a sanzione amministrativa tributaria </w:t>
      </w:r>
      <w:r w:rsidR="00560B1D">
        <w:rPr>
          <w:sz w:val="22"/>
          <w:szCs w:val="22"/>
        </w:rPr>
        <w:t xml:space="preserve">colpisce gli </w:t>
      </w:r>
      <w:r w:rsidRPr="007F7EBF">
        <w:rPr>
          <w:sz w:val="22"/>
          <w:szCs w:val="22"/>
        </w:rPr>
        <w:t xml:space="preserve">enti. </w:t>
      </w:r>
      <w:r w:rsidR="00560B1D">
        <w:rPr>
          <w:sz w:val="22"/>
          <w:szCs w:val="22"/>
        </w:rPr>
        <w:t>La</w:t>
      </w:r>
      <w:r w:rsidRPr="007F7EBF">
        <w:rPr>
          <w:sz w:val="22"/>
          <w:szCs w:val="22"/>
        </w:rPr>
        <w:t xml:space="preserve"> deroga </w:t>
      </w:r>
      <w:r w:rsidR="00560B1D">
        <w:rPr>
          <w:sz w:val="22"/>
          <w:szCs w:val="22"/>
        </w:rPr>
        <w:t>si spiega</w:t>
      </w:r>
      <w:r w:rsidRPr="007F7EBF">
        <w:rPr>
          <w:sz w:val="22"/>
          <w:szCs w:val="22"/>
        </w:rPr>
        <w:t xml:space="preserve"> in quanto </w:t>
      </w:r>
      <w:r w:rsidR="00CD7105" w:rsidRPr="007F7EBF">
        <w:rPr>
          <w:sz w:val="22"/>
          <w:szCs w:val="22"/>
        </w:rPr>
        <w:t>sarebbe</w:t>
      </w:r>
      <w:r w:rsidRPr="007F7EBF">
        <w:rPr>
          <w:sz w:val="22"/>
          <w:szCs w:val="22"/>
        </w:rPr>
        <w:t>ro</w:t>
      </w:r>
      <w:r w:rsidR="00CD7105" w:rsidRPr="007F7EBF">
        <w:rPr>
          <w:sz w:val="22"/>
          <w:szCs w:val="22"/>
        </w:rPr>
        <w:t xml:space="preserve"> assurd</w:t>
      </w:r>
      <w:r w:rsidRPr="007F7EBF">
        <w:rPr>
          <w:sz w:val="22"/>
          <w:szCs w:val="22"/>
        </w:rPr>
        <w:t>e</w:t>
      </w:r>
      <w:r w:rsidR="00CD7105" w:rsidRPr="007F7EBF">
        <w:rPr>
          <w:sz w:val="22"/>
          <w:szCs w:val="22"/>
        </w:rPr>
        <w:t xml:space="preserve"> sanzioni proporzionali al tributo </w:t>
      </w:r>
      <w:r w:rsidR="00560B1D">
        <w:rPr>
          <w:sz w:val="22"/>
          <w:szCs w:val="22"/>
        </w:rPr>
        <w:t>su</w:t>
      </w:r>
      <w:r w:rsidR="0057399D" w:rsidRPr="007F7EBF">
        <w:rPr>
          <w:sz w:val="22"/>
          <w:szCs w:val="22"/>
        </w:rPr>
        <w:t xml:space="preserve"> </w:t>
      </w:r>
      <w:r w:rsidR="00CD7105" w:rsidRPr="007F7EBF">
        <w:rPr>
          <w:sz w:val="22"/>
          <w:szCs w:val="22"/>
        </w:rPr>
        <w:t xml:space="preserve">individui che non avevano avuto alcun vantaggio personale dall'evasione stessa. </w:t>
      </w:r>
      <w:r w:rsidRPr="007F7EBF">
        <w:rPr>
          <w:sz w:val="22"/>
          <w:szCs w:val="22"/>
        </w:rPr>
        <w:t>(</w:t>
      </w:r>
      <w:r w:rsidR="009B7FF4" w:rsidRPr="007F7EBF">
        <w:rPr>
          <w:rStyle w:val="Rimandonotaapidipagina"/>
          <w:sz w:val="22"/>
          <w:szCs w:val="22"/>
        </w:rPr>
        <w:footnoteReference w:id="952"/>
      </w:r>
      <w:r w:rsidRPr="007F7EBF">
        <w:rPr>
          <w:sz w:val="22"/>
          <w:szCs w:val="22"/>
        </w:rPr>
        <w:t xml:space="preserve">). </w:t>
      </w:r>
    </w:p>
    <w:p w14:paraId="205DCF18" w14:textId="11ED95FE" w:rsidR="009B7FF4" w:rsidRPr="007F7EBF" w:rsidRDefault="001E07E2" w:rsidP="009B7FF4">
      <w:pPr>
        <w:pStyle w:val="tit23"/>
        <w:ind w:left="6464" w:right="-1361" w:firstLine="0"/>
        <w:jc w:val="left"/>
        <w:rPr>
          <w:bCs/>
          <w:i/>
          <w:iCs/>
          <w:color w:val="0000FF"/>
          <w:lang w:val="it-IT"/>
        </w:rPr>
      </w:pPr>
      <w:r>
        <w:rPr>
          <w:bCs/>
          <w:i/>
          <w:iCs/>
          <w:color w:val="0000FF"/>
          <w:lang w:val="it-IT"/>
        </w:rPr>
        <w:t xml:space="preserve">Principi comuni amministrativistici </w:t>
      </w:r>
    </w:p>
    <w:p w14:paraId="48213B89" w14:textId="6149F749" w:rsidR="00DF7CF7" w:rsidRDefault="001E07E2" w:rsidP="00560B1D">
      <w:pPr>
        <w:autoSpaceDE w:val="0"/>
        <w:autoSpaceDN w:val="0"/>
        <w:adjustRightInd w:val="0"/>
        <w:rPr>
          <w:sz w:val="22"/>
          <w:szCs w:val="22"/>
        </w:rPr>
      </w:pPr>
      <w:r>
        <w:rPr>
          <w:sz w:val="22"/>
          <w:szCs w:val="22"/>
        </w:rPr>
        <w:t xml:space="preserve">Per il resto anche le sanzioni tributarie si ispirano ai principi comuni di quelle amministrative, con la possibilità di un concorso, </w:t>
      </w:r>
      <w:r w:rsidR="006342C5" w:rsidRPr="007F7EBF">
        <w:rPr>
          <w:bCs/>
          <w:sz w:val="22"/>
          <w:szCs w:val="22"/>
        </w:rPr>
        <w:t>coopera</w:t>
      </w:r>
      <w:r>
        <w:rPr>
          <w:bCs/>
          <w:sz w:val="22"/>
          <w:szCs w:val="22"/>
        </w:rPr>
        <w:t>ndo</w:t>
      </w:r>
      <w:r w:rsidR="006342C5" w:rsidRPr="007F7EBF">
        <w:rPr>
          <w:bCs/>
          <w:sz w:val="22"/>
          <w:szCs w:val="22"/>
        </w:rPr>
        <w:t xml:space="preserve"> in violazioni commesse da altri</w:t>
      </w:r>
      <w:r>
        <w:rPr>
          <w:bCs/>
          <w:sz w:val="22"/>
          <w:szCs w:val="22"/>
        </w:rPr>
        <w:t xml:space="preserve"> (</w:t>
      </w:r>
      <w:r>
        <w:rPr>
          <w:rStyle w:val="Rimandonotaapidipagina"/>
          <w:bCs/>
          <w:sz w:val="22"/>
          <w:szCs w:val="22"/>
        </w:rPr>
        <w:footnoteReference w:id="953"/>
      </w:r>
      <w:r>
        <w:rPr>
          <w:bCs/>
          <w:sz w:val="22"/>
          <w:szCs w:val="22"/>
        </w:rPr>
        <w:t xml:space="preserve">). Come le sanzioni amministrative, anche quelle tributarie, secondo il modello penalistico, </w:t>
      </w:r>
      <w:r w:rsidR="006F2984" w:rsidRPr="007F7EBF">
        <w:rPr>
          <w:sz w:val="22"/>
          <w:szCs w:val="22"/>
        </w:rPr>
        <w:t xml:space="preserve">non sono </w:t>
      </w:r>
      <w:r w:rsidR="006F2984" w:rsidRPr="007F7EBF">
        <w:rPr>
          <w:bCs/>
          <w:sz w:val="22"/>
          <w:szCs w:val="22"/>
        </w:rPr>
        <w:t>trasmissibili</w:t>
      </w:r>
      <w:r w:rsidR="00F57409" w:rsidRPr="007F7EBF">
        <w:rPr>
          <w:bCs/>
          <w:sz w:val="22"/>
          <w:szCs w:val="22"/>
        </w:rPr>
        <w:t xml:space="preserve"> </w:t>
      </w:r>
      <w:r w:rsidR="006342C5" w:rsidRPr="007F7EBF">
        <w:rPr>
          <w:bCs/>
          <w:sz w:val="22"/>
          <w:szCs w:val="22"/>
        </w:rPr>
        <w:t>agli ered</w:t>
      </w:r>
      <w:r w:rsidR="00E63A3E" w:rsidRPr="007F7EBF">
        <w:rPr>
          <w:sz w:val="22"/>
          <w:szCs w:val="22"/>
        </w:rPr>
        <w:t xml:space="preserve">i </w:t>
      </w:r>
      <w:r w:rsidR="00B942BC">
        <w:rPr>
          <w:sz w:val="22"/>
          <w:szCs w:val="22"/>
        </w:rPr>
        <w:t>(</w:t>
      </w:r>
      <w:r w:rsidR="004B2D7A" w:rsidRPr="007F7EBF">
        <w:rPr>
          <w:rStyle w:val="Rimandonotaapidipagina"/>
          <w:sz w:val="22"/>
          <w:szCs w:val="22"/>
        </w:rPr>
        <w:footnoteReference w:id="954"/>
      </w:r>
      <w:r w:rsidR="00B942BC">
        <w:rPr>
          <w:sz w:val="22"/>
          <w:szCs w:val="22"/>
        </w:rPr>
        <w:t>)</w:t>
      </w:r>
      <w:r w:rsidR="006F2984" w:rsidRPr="007F7EBF">
        <w:rPr>
          <w:sz w:val="22"/>
          <w:szCs w:val="22"/>
        </w:rPr>
        <w:t xml:space="preserve">. </w:t>
      </w:r>
      <w:r w:rsidR="00E63A3E" w:rsidRPr="007F7EBF">
        <w:rPr>
          <w:sz w:val="22"/>
          <w:szCs w:val="22"/>
        </w:rPr>
        <w:t xml:space="preserve"> </w:t>
      </w:r>
      <w:r>
        <w:rPr>
          <w:sz w:val="22"/>
          <w:szCs w:val="22"/>
        </w:rPr>
        <w:t>Anche per le sanzioni tributarie</w:t>
      </w:r>
      <w:r w:rsidR="00CF4194">
        <w:rPr>
          <w:sz w:val="22"/>
          <w:szCs w:val="22"/>
        </w:rPr>
        <w:t xml:space="preserve"> </w:t>
      </w:r>
      <w:r>
        <w:rPr>
          <w:sz w:val="22"/>
          <w:szCs w:val="22"/>
        </w:rPr>
        <w:t>opera</w:t>
      </w:r>
      <w:r w:rsidR="00CF4194">
        <w:rPr>
          <w:sz w:val="22"/>
          <w:szCs w:val="22"/>
        </w:rPr>
        <w:t xml:space="preserve">no i principi penalistici sull’irretroattività degli inasprimenti punitivi e l’applicazione retroattiva delle eventuali mitigazioni </w:t>
      </w:r>
      <w:r>
        <w:rPr>
          <w:sz w:val="22"/>
          <w:szCs w:val="22"/>
        </w:rPr>
        <w:t>(</w:t>
      </w:r>
      <w:r>
        <w:rPr>
          <w:rStyle w:val="Rimandonotaapidipagina"/>
          <w:sz w:val="22"/>
          <w:szCs w:val="22"/>
        </w:rPr>
        <w:footnoteReference w:id="955"/>
      </w:r>
      <w:r>
        <w:rPr>
          <w:sz w:val="22"/>
          <w:szCs w:val="22"/>
        </w:rPr>
        <w:t>)</w:t>
      </w:r>
      <w:r w:rsidR="00CF4194">
        <w:rPr>
          <w:sz w:val="22"/>
          <w:szCs w:val="22"/>
        </w:rPr>
        <w:t>.</w:t>
      </w:r>
    </w:p>
    <w:p w14:paraId="7A2A06AD" w14:textId="6C45467A" w:rsidR="0049283C" w:rsidRPr="007F7EBF" w:rsidRDefault="006342C5" w:rsidP="00221C5E">
      <w:pPr>
        <w:pStyle w:val="Titolo3"/>
        <w:rPr>
          <w:sz w:val="22"/>
          <w:szCs w:val="22"/>
        </w:rPr>
      </w:pPr>
      <w:bookmarkStart w:id="96" w:name="_Toc63365007"/>
      <w:r w:rsidRPr="007F7EBF">
        <w:rPr>
          <w:rFonts w:ascii="Times New Roman" w:hAnsi="Times New Roman"/>
          <w:sz w:val="22"/>
          <w:szCs w:val="22"/>
        </w:rPr>
        <w:lastRenderedPageBreak/>
        <w:t xml:space="preserve">6.14. </w:t>
      </w:r>
      <w:r w:rsidRPr="007F7EBF">
        <w:rPr>
          <w:rFonts w:ascii="Times New Roman" w:hAnsi="Times New Roman"/>
          <w:i/>
          <w:iCs/>
          <w:sz w:val="22"/>
          <w:szCs w:val="22"/>
        </w:rPr>
        <w:t>Segue</w:t>
      </w:r>
      <w:r w:rsidRPr="007F7EBF">
        <w:rPr>
          <w:rFonts w:ascii="Times New Roman" w:hAnsi="Times New Roman"/>
          <w:sz w:val="22"/>
          <w:szCs w:val="22"/>
        </w:rPr>
        <w:t xml:space="preserve">: 2 Il </w:t>
      </w:r>
      <w:r w:rsidR="00DA06E4" w:rsidRPr="007F7EBF">
        <w:rPr>
          <w:rFonts w:ascii="Times New Roman" w:hAnsi="Times New Roman"/>
          <w:sz w:val="22"/>
          <w:szCs w:val="22"/>
        </w:rPr>
        <w:t xml:space="preserve"> </w:t>
      </w:r>
      <w:r w:rsidRPr="007F7EBF">
        <w:rPr>
          <w:rFonts w:ascii="Times New Roman" w:hAnsi="Times New Roman"/>
          <w:sz w:val="22"/>
          <w:szCs w:val="22"/>
        </w:rPr>
        <w:t xml:space="preserve">palliativo </w:t>
      </w:r>
      <w:proofErr w:type="spellStart"/>
      <w:r w:rsidRPr="007F7EBF">
        <w:rPr>
          <w:rFonts w:ascii="Times New Roman" w:hAnsi="Times New Roman"/>
          <w:sz w:val="22"/>
          <w:szCs w:val="22"/>
        </w:rPr>
        <w:t>penaltributario</w:t>
      </w:r>
      <w:proofErr w:type="spellEnd"/>
      <w:r w:rsidRPr="007F7EBF">
        <w:rPr>
          <w:rFonts w:ascii="Times New Roman" w:hAnsi="Times New Roman"/>
          <w:sz w:val="22"/>
          <w:szCs w:val="22"/>
        </w:rPr>
        <w:t xml:space="preserve"> tra </w:t>
      </w:r>
      <w:r w:rsidR="003029C1">
        <w:rPr>
          <w:rFonts w:ascii="Times New Roman" w:hAnsi="Times New Roman"/>
          <w:sz w:val="22"/>
          <w:szCs w:val="22"/>
          <w:lang w:val="it-IT"/>
        </w:rPr>
        <w:t>evasione in senso materiale e</w:t>
      </w:r>
      <w:r w:rsidRPr="007F7EBF">
        <w:rPr>
          <w:rFonts w:ascii="Times New Roman" w:hAnsi="Times New Roman"/>
          <w:sz w:val="22"/>
          <w:szCs w:val="22"/>
        </w:rPr>
        <w:t xml:space="preserve"> contestazioni interpretative</w:t>
      </w:r>
      <w:bookmarkEnd w:id="96"/>
    </w:p>
    <w:p w14:paraId="394F2730" w14:textId="77777777" w:rsidR="0049283C" w:rsidRPr="007F7EBF" w:rsidRDefault="0049283C" w:rsidP="0049283C">
      <w:pPr>
        <w:pStyle w:val="tit23"/>
        <w:ind w:left="6464" w:right="-1361" w:firstLine="0"/>
        <w:jc w:val="left"/>
        <w:rPr>
          <w:bCs/>
          <w:i/>
          <w:iCs/>
          <w:color w:val="0000FF"/>
          <w:lang w:val="it-IT"/>
        </w:rPr>
      </w:pPr>
      <w:r w:rsidRPr="007F7EBF">
        <w:rPr>
          <w:bCs/>
          <w:i/>
          <w:iCs/>
          <w:color w:val="0000FF"/>
          <w:lang w:val="it-IT"/>
        </w:rPr>
        <w:t>Tradizione e attualità delle sanzioni penali</w:t>
      </w:r>
    </w:p>
    <w:p w14:paraId="2C9F3E85" w14:textId="373F6FD5" w:rsidR="00F3485B" w:rsidRPr="007F7EBF" w:rsidRDefault="0049283C" w:rsidP="00F3485B">
      <w:pPr>
        <w:autoSpaceDE w:val="0"/>
        <w:autoSpaceDN w:val="0"/>
        <w:adjustRightInd w:val="0"/>
        <w:rPr>
          <w:sz w:val="22"/>
          <w:szCs w:val="22"/>
        </w:rPr>
      </w:pPr>
      <w:r w:rsidRPr="007F7EBF">
        <w:rPr>
          <w:sz w:val="22"/>
          <w:szCs w:val="22"/>
        </w:rPr>
        <w:t xml:space="preserve">Già al paragrafo precedente, sulle sanzioni amministrative, abbiamo anticipato che, nella fiscalità preindustriale, </w:t>
      </w:r>
      <w:r w:rsidR="00B669EA">
        <w:rPr>
          <w:sz w:val="22"/>
          <w:szCs w:val="22"/>
        </w:rPr>
        <w:t xml:space="preserve">erano puniti </w:t>
      </w:r>
      <w:r w:rsidR="00DF7CF7">
        <w:rPr>
          <w:sz w:val="22"/>
          <w:szCs w:val="22"/>
        </w:rPr>
        <w:t xml:space="preserve">solo </w:t>
      </w:r>
      <w:r w:rsidRPr="007F7EBF">
        <w:rPr>
          <w:sz w:val="22"/>
          <w:szCs w:val="22"/>
        </w:rPr>
        <w:t>comportamenti molto insidiosi per le finanze pubbliche</w:t>
      </w:r>
      <w:r w:rsidR="00B669EA">
        <w:rPr>
          <w:sz w:val="22"/>
          <w:szCs w:val="22"/>
        </w:rPr>
        <w:t xml:space="preserve">; </w:t>
      </w:r>
      <w:r w:rsidR="001D0895">
        <w:rPr>
          <w:sz w:val="22"/>
          <w:szCs w:val="22"/>
        </w:rPr>
        <w:t>la determinazione va</w:t>
      </w:r>
      <w:r w:rsidRPr="007F7EBF">
        <w:rPr>
          <w:sz w:val="22"/>
          <w:szCs w:val="22"/>
        </w:rPr>
        <w:t xml:space="preserve">lutativa </w:t>
      </w:r>
      <w:r w:rsidR="00B669EA">
        <w:rPr>
          <w:sz w:val="22"/>
          <w:szCs w:val="22"/>
        </w:rPr>
        <w:t xml:space="preserve">dei presupposti economici d’imposta, </w:t>
      </w:r>
      <w:r w:rsidRPr="007F7EBF">
        <w:rPr>
          <w:sz w:val="22"/>
          <w:szCs w:val="22"/>
        </w:rPr>
        <w:t>ad impulso degli uffici, non richiedeva sanzioni</w:t>
      </w:r>
      <w:r w:rsidR="00DF7CF7">
        <w:rPr>
          <w:sz w:val="22"/>
          <w:szCs w:val="22"/>
        </w:rPr>
        <w:t xml:space="preserve">, né </w:t>
      </w:r>
      <w:r w:rsidRPr="007F7EBF">
        <w:rPr>
          <w:sz w:val="22"/>
          <w:szCs w:val="22"/>
        </w:rPr>
        <w:t>amministrative</w:t>
      </w:r>
      <w:r w:rsidR="00DF7CF7">
        <w:rPr>
          <w:sz w:val="22"/>
          <w:szCs w:val="22"/>
        </w:rPr>
        <w:t xml:space="preserve"> né </w:t>
      </w:r>
      <w:r w:rsidRPr="007F7EBF">
        <w:rPr>
          <w:sz w:val="22"/>
          <w:szCs w:val="22"/>
        </w:rPr>
        <w:t>penali</w:t>
      </w:r>
      <w:r w:rsidR="00DF7CF7">
        <w:rPr>
          <w:sz w:val="22"/>
          <w:szCs w:val="22"/>
        </w:rPr>
        <w:t xml:space="preserve">. </w:t>
      </w:r>
      <w:r w:rsidR="00806C2A">
        <w:rPr>
          <w:sz w:val="22"/>
          <w:szCs w:val="22"/>
        </w:rPr>
        <w:t xml:space="preserve">Queste ultime </w:t>
      </w:r>
      <w:r w:rsidR="00806C2A" w:rsidRPr="007F7EBF">
        <w:rPr>
          <w:sz w:val="22"/>
          <w:szCs w:val="22"/>
        </w:rPr>
        <w:t xml:space="preserve">hanno </w:t>
      </w:r>
      <w:r w:rsidR="00806C2A">
        <w:rPr>
          <w:sz w:val="22"/>
          <w:szCs w:val="22"/>
        </w:rPr>
        <w:t xml:space="preserve">invece </w:t>
      </w:r>
      <w:r w:rsidR="00806C2A" w:rsidRPr="007F7EBF">
        <w:rPr>
          <w:sz w:val="22"/>
          <w:szCs w:val="22"/>
        </w:rPr>
        <w:t xml:space="preserve">trovato un qualche spazio </w:t>
      </w:r>
      <w:r w:rsidR="00806C2A">
        <w:rPr>
          <w:sz w:val="22"/>
          <w:szCs w:val="22"/>
        </w:rPr>
        <w:t xml:space="preserve">con </w:t>
      </w:r>
      <w:r w:rsidR="00806C2A" w:rsidRPr="007F7EBF">
        <w:rPr>
          <w:sz w:val="22"/>
          <w:szCs w:val="22"/>
        </w:rPr>
        <w:t>l'autodeterminazione dei tributi</w:t>
      </w:r>
      <w:r w:rsidR="00806C2A">
        <w:rPr>
          <w:sz w:val="22"/>
          <w:szCs w:val="22"/>
        </w:rPr>
        <w:t>, per le solite ragioni di “deterrenza”</w:t>
      </w:r>
      <w:r w:rsidR="00806C2A" w:rsidRPr="007F7EBF">
        <w:rPr>
          <w:sz w:val="22"/>
          <w:szCs w:val="22"/>
        </w:rPr>
        <w:t xml:space="preserve"> </w:t>
      </w:r>
      <w:r w:rsidR="00806C2A">
        <w:rPr>
          <w:sz w:val="22"/>
          <w:szCs w:val="22"/>
        </w:rPr>
        <w:t xml:space="preserve">già indicate al par.6.13. </w:t>
      </w:r>
      <w:r w:rsidR="00806C2A" w:rsidRPr="007F7EBF">
        <w:rPr>
          <w:sz w:val="22"/>
          <w:szCs w:val="22"/>
        </w:rPr>
        <w:t xml:space="preserve"> </w:t>
      </w:r>
    </w:p>
    <w:p w14:paraId="742E453C" w14:textId="0B998234" w:rsidR="00F3485B" w:rsidRPr="007F7EBF" w:rsidRDefault="00F3485B" w:rsidP="00F3485B">
      <w:pPr>
        <w:pStyle w:val="tit23"/>
        <w:ind w:left="6464" w:right="-1361" w:firstLine="0"/>
        <w:jc w:val="left"/>
        <w:rPr>
          <w:bCs/>
          <w:i/>
          <w:iCs/>
          <w:color w:val="0000FF"/>
          <w:lang w:val="it-IT"/>
        </w:rPr>
      </w:pPr>
      <w:r w:rsidRPr="007F7EBF">
        <w:rPr>
          <w:bCs/>
          <w:i/>
          <w:iCs/>
          <w:color w:val="0000FF"/>
          <w:lang w:val="it-IT"/>
        </w:rPr>
        <w:t>reati tributari</w:t>
      </w:r>
      <w:r w:rsidR="00806C2A">
        <w:rPr>
          <w:bCs/>
          <w:i/>
          <w:iCs/>
          <w:color w:val="0000FF"/>
          <w:lang w:val="it-IT"/>
        </w:rPr>
        <w:t xml:space="preserve"> e mancanza di spiegazioni scientifico sociali</w:t>
      </w:r>
    </w:p>
    <w:p w14:paraId="52549FEB" w14:textId="1FCFCE2D" w:rsidR="005F261D" w:rsidRDefault="00F3485B" w:rsidP="005F261D">
      <w:pPr>
        <w:autoSpaceDE w:val="0"/>
        <w:autoSpaceDN w:val="0"/>
        <w:adjustRightInd w:val="0"/>
        <w:rPr>
          <w:bCs/>
          <w:i/>
          <w:iCs/>
          <w:color w:val="0000FF"/>
        </w:rPr>
      </w:pPr>
      <w:r w:rsidRPr="007F7EBF">
        <w:rPr>
          <w:sz w:val="22"/>
          <w:szCs w:val="22"/>
        </w:rPr>
        <w:t>Anche le sanzioni penali risentono de</w:t>
      </w:r>
      <w:r w:rsidR="00921E61">
        <w:rPr>
          <w:sz w:val="22"/>
          <w:szCs w:val="22"/>
        </w:rPr>
        <w:t xml:space="preserve">lla mancanza di spiegazioni </w:t>
      </w:r>
      <w:r w:rsidR="00F75C68">
        <w:rPr>
          <w:sz w:val="22"/>
          <w:szCs w:val="22"/>
        </w:rPr>
        <w:t>giuridico</w:t>
      </w:r>
      <w:r w:rsidR="00921E61">
        <w:rPr>
          <w:sz w:val="22"/>
          <w:szCs w:val="22"/>
        </w:rPr>
        <w:t xml:space="preserve">-sociali sulla funzione tributaria, </w:t>
      </w:r>
      <w:r w:rsidRPr="007F7EBF">
        <w:rPr>
          <w:sz w:val="22"/>
          <w:szCs w:val="22"/>
        </w:rPr>
        <w:t>descritt</w:t>
      </w:r>
      <w:r w:rsidR="00921E61">
        <w:rPr>
          <w:sz w:val="22"/>
          <w:szCs w:val="22"/>
        </w:rPr>
        <w:t>a</w:t>
      </w:r>
      <w:r w:rsidRPr="007F7EBF">
        <w:rPr>
          <w:sz w:val="22"/>
          <w:szCs w:val="22"/>
        </w:rPr>
        <w:t xml:space="preserve"> al par.4.5/4.6</w:t>
      </w:r>
      <w:r w:rsidR="00921E61">
        <w:rPr>
          <w:sz w:val="22"/>
          <w:szCs w:val="22"/>
        </w:rPr>
        <w:t xml:space="preserve"> e ne</w:t>
      </w:r>
      <w:r w:rsidR="00921E61" w:rsidRPr="007F7EBF">
        <w:rPr>
          <w:sz w:val="22"/>
          <w:szCs w:val="22"/>
        </w:rPr>
        <w:t>l disorientamento generale</w:t>
      </w:r>
      <w:r w:rsidR="00921E61">
        <w:rPr>
          <w:sz w:val="22"/>
          <w:szCs w:val="22"/>
        </w:rPr>
        <w:t xml:space="preserve"> sulle caratteristiche dell’evasione fiscale (</w:t>
      </w:r>
      <w:r w:rsidR="00921E61" w:rsidRPr="007F7EBF">
        <w:rPr>
          <w:rStyle w:val="Rimandonotaapidipagina"/>
          <w:sz w:val="22"/>
          <w:szCs w:val="22"/>
        </w:rPr>
        <w:footnoteReference w:id="956"/>
      </w:r>
      <w:r w:rsidR="00921E61">
        <w:rPr>
          <w:sz w:val="22"/>
          <w:szCs w:val="22"/>
        </w:rPr>
        <w:t xml:space="preserve">) appaiono a intermittenza (par.4.5) impulsi istintivi ad affrontare il problema facendo </w:t>
      </w:r>
      <w:r w:rsidR="00921E61" w:rsidRPr="007F7EBF">
        <w:rPr>
          <w:bCs/>
          <w:sz w:val="22"/>
          <w:szCs w:val="22"/>
        </w:rPr>
        <w:t xml:space="preserve">leva sulla diversa funzione </w:t>
      </w:r>
      <w:r w:rsidR="00921E61">
        <w:rPr>
          <w:bCs/>
          <w:sz w:val="22"/>
          <w:szCs w:val="22"/>
        </w:rPr>
        <w:t>penale</w:t>
      </w:r>
      <w:r w:rsidR="00921E61" w:rsidRPr="007F7EBF">
        <w:rPr>
          <w:sz w:val="22"/>
          <w:szCs w:val="22"/>
        </w:rPr>
        <w:t xml:space="preserve"> </w:t>
      </w:r>
      <w:r w:rsidR="00921E61">
        <w:rPr>
          <w:sz w:val="22"/>
          <w:szCs w:val="22"/>
        </w:rPr>
        <w:t>(</w:t>
      </w:r>
      <w:r w:rsidR="00921E61" w:rsidRPr="007F7EBF">
        <w:rPr>
          <w:rStyle w:val="Rimandonotaapidipagina"/>
          <w:sz w:val="22"/>
          <w:szCs w:val="22"/>
        </w:rPr>
        <w:footnoteReference w:id="957"/>
      </w:r>
      <w:r w:rsidR="00921E61">
        <w:rPr>
          <w:sz w:val="22"/>
          <w:szCs w:val="22"/>
        </w:rPr>
        <w:t>)</w:t>
      </w:r>
      <w:r w:rsidR="005F261D">
        <w:rPr>
          <w:sz w:val="22"/>
          <w:szCs w:val="22"/>
        </w:rPr>
        <w:t xml:space="preserve">. La </w:t>
      </w:r>
      <w:r w:rsidR="00921E61">
        <w:rPr>
          <w:sz w:val="22"/>
          <w:szCs w:val="22"/>
        </w:rPr>
        <w:t xml:space="preserve">tendenza a </w:t>
      </w:r>
      <w:r w:rsidRPr="007F7EBF">
        <w:rPr>
          <w:sz w:val="22"/>
          <w:szCs w:val="22"/>
        </w:rPr>
        <w:lastRenderedPageBreak/>
        <w:t>mostrare "fermezza istituzionale"</w:t>
      </w:r>
      <w:r w:rsidR="00921E61">
        <w:rPr>
          <w:sz w:val="22"/>
          <w:szCs w:val="22"/>
        </w:rPr>
        <w:t xml:space="preserve"> contro l’evasione </w:t>
      </w:r>
      <w:r w:rsidR="00221C5E">
        <w:rPr>
          <w:sz w:val="22"/>
          <w:szCs w:val="22"/>
        </w:rPr>
        <w:t>(</w:t>
      </w:r>
      <w:r w:rsidRPr="007F7EBF">
        <w:rPr>
          <w:rStyle w:val="Rimandonotaapidipagina"/>
          <w:sz w:val="22"/>
          <w:szCs w:val="22"/>
        </w:rPr>
        <w:footnoteReference w:id="958"/>
      </w:r>
      <w:r w:rsidR="00221C5E">
        <w:rPr>
          <w:sz w:val="22"/>
          <w:szCs w:val="22"/>
        </w:rPr>
        <w:t>)</w:t>
      </w:r>
      <w:r w:rsidRPr="007F7EBF">
        <w:rPr>
          <w:sz w:val="22"/>
          <w:szCs w:val="22"/>
        </w:rPr>
        <w:t xml:space="preserve"> </w:t>
      </w:r>
      <w:r w:rsidR="005F261D">
        <w:rPr>
          <w:sz w:val="22"/>
          <w:szCs w:val="22"/>
        </w:rPr>
        <w:t>s’intreccia</w:t>
      </w:r>
      <w:r w:rsidR="00921E61">
        <w:rPr>
          <w:sz w:val="22"/>
          <w:szCs w:val="22"/>
        </w:rPr>
        <w:t xml:space="preserve"> con</w:t>
      </w:r>
      <w:r w:rsidR="00DF7CF7">
        <w:rPr>
          <w:sz w:val="22"/>
          <w:szCs w:val="22"/>
        </w:rPr>
        <w:t xml:space="preserve"> la consapevolezza che gli </w:t>
      </w:r>
      <w:r w:rsidR="00B04FB9" w:rsidRPr="007F7EBF">
        <w:rPr>
          <w:sz w:val="22"/>
          <w:szCs w:val="22"/>
        </w:rPr>
        <w:t xml:space="preserve">operatori economici </w:t>
      </w:r>
      <w:r w:rsidR="00DF7CF7">
        <w:rPr>
          <w:sz w:val="22"/>
          <w:szCs w:val="22"/>
        </w:rPr>
        <w:t xml:space="preserve">sono più utili a </w:t>
      </w:r>
      <w:r w:rsidRPr="007F7EBF">
        <w:rPr>
          <w:sz w:val="22"/>
          <w:szCs w:val="22"/>
        </w:rPr>
        <w:t>crea</w:t>
      </w:r>
      <w:r w:rsidR="00DF7CF7">
        <w:rPr>
          <w:sz w:val="22"/>
          <w:szCs w:val="22"/>
        </w:rPr>
        <w:t xml:space="preserve">re </w:t>
      </w:r>
      <w:r w:rsidRPr="007F7EBF">
        <w:rPr>
          <w:sz w:val="22"/>
          <w:szCs w:val="22"/>
        </w:rPr>
        <w:t>reddito, in negozio, al laboratorio o in azienda</w:t>
      </w:r>
      <w:r w:rsidR="00DF7CF7">
        <w:rPr>
          <w:sz w:val="22"/>
          <w:szCs w:val="22"/>
        </w:rPr>
        <w:t xml:space="preserve"> (</w:t>
      </w:r>
      <w:r w:rsidR="00DF7CF7">
        <w:rPr>
          <w:rStyle w:val="Rimandonotaapidipagina"/>
          <w:sz w:val="22"/>
          <w:szCs w:val="22"/>
        </w:rPr>
        <w:footnoteReference w:id="959"/>
      </w:r>
      <w:r w:rsidR="00DF7CF7">
        <w:rPr>
          <w:sz w:val="22"/>
          <w:szCs w:val="22"/>
        </w:rPr>
        <w:t>)</w:t>
      </w:r>
      <w:r w:rsidR="00B04FB9" w:rsidRPr="007F7EBF">
        <w:rPr>
          <w:sz w:val="22"/>
          <w:szCs w:val="22"/>
        </w:rPr>
        <w:t>.</w:t>
      </w:r>
    </w:p>
    <w:p w14:paraId="1387D81C" w14:textId="12AE37C3" w:rsidR="005F261D" w:rsidRDefault="005F261D" w:rsidP="005F261D">
      <w:pPr>
        <w:pStyle w:val="tit23"/>
        <w:ind w:left="6464" w:right="-1361" w:firstLine="0"/>
        <w:jc w:val="left"/>
        <w:rPr>
          <w:bCs/>
          <w:i/>
          <w:iCs/>
          <w:color w:val="0000FF"/>
          <w:lang w:val="it-IT"/>
        </w:rPr>
      </w:pPr>
      <w:r>
        <w:rPr>
          <w:bCs/>
          <w:i/>
          <w:iCs/>
          <w:color w:val="0000FF"/>
          <w:lang w:val="it-IT"/>
        </w:rPr>
        <w:t>Specialità dei reati tributari</w:t>
      </w:r>
    </w:p>
    <w:p w14:paraId="244A5D3B" w14:textId="7B64B242" w:rsidR="00A97766" w:rsidRDefault="001D0895" w:rsidP="00A97766">
      <w:pPr>
        <w:autoSpaceDE w:val="0"/>
        <w:autoSpaceDN w:val="0"/>
        <w:adjustRightInd w:val="0"/>
        <w:rPr>
          <w:bCs/>
          <w:i/>
          <w:iCs/>
          <w:color w:val="0000FF"/>
        </w:rPr>
      </w:pPr>
      <w:r>
        <w:rPr>
          <w:sz w:val="22"/>
          <w:szCs w:val="22"/>
        </w:rPr>
        <w:t>Q</w:t>
      </w:r>
      <w:r w:rsidR="005F261D">
        <w:rPr>
          <w:sz w:val="22"/>
          <w:szCs w:val="22"/>
        </w:rPr>
        <w:t xml:space="preserve">uesta confusione </w:t>
      </w:r>
      <w:r>
        <w:rPr>
          <w:sz w:val="22"/>
          <w:szCs w:val="22"/>
        </w:rPr>
        <w:t xml:space="preserve">ha portato a </w:t>
      </w:r>
      <w:r w:rsidR="005F261D">
        <w:rPr>
          <w:sz w:val="22"/>
          <w:szCs w:val="22"/>
        </w:rPr>
        <w:t>introd</w:t>
      </w:r>
      <w:r>
        <w:rPr>
          <w:sz w:val="22"/>
          <w:szCs w:val="22"/>
        </w:rPr>
        <w:t>urre</w:t>
      </w:r>
      <w:r w:rsidR="005F261D">
        <w:rPr>
          <w:sz w:val="22"/>
          <w:szCs w:val="22"/>
        </w:rPr>
        <w:t xml:space="preserve"> </w:t>
      </w:r>
      <w:r w:rsidR="007E4236" w:rsidRPr="007F7EBF">
        <w:rPr>
          <w:sz w:val="22"/>
          <w:szCs w:val="22"/>
        </w:rPr>
        <w:t>specifici reati tributari</w:t>
      </w:r>
      <w:r w:rsidR="005F261D">
        <w:rPr>
          <w:sz w:val="22"/>
          <w:szCs w:val="22"/>
        </w:rPr>
        <w:t xml:space="preserve"> (oggi</w:t>
      </w:r>
      <w:r w:rsidR="005F261D" w:rsidRPr="007F7EBF">
        <w:rPr>
          <w:sz w:val="22"/>
          <w:szCs w:val="22"/>
        </w:rPr>
        <w:t xml:space="preserve"> </w:t>
      </w:r>
      <w:r w:rsidR="005F261D" w:rsidRPr="007F7EBF">
        <w:rPr>
          <w:bCs/>
          <w:sz w:val="22"/>
          <w:szCs w:val="22"/>
        </w:rPr>
        <w:t>contenut</w:t>
      </w:r>
      <w:r w:rsidR="005F261D">
        <w:rPr>
          <w:bCs/>
          <w:sz w:val="22"/>
          <w:szCs w:val="22"/>
        </w:rPr>
        <w:t>i</w:t>
      </w:r>
      <w:r w:rsidR="005F261D" w:rsidRPr="007F7EBF">
        <w:rPr>
          <w:bCs/>
          <w:sz w:val="22"/>
          <w:szCs w:val="22"/>
        </w:rPr>
        <w:t xml:space="preserve"> nel </w:t>
      </w:r>
      <w:r w:rsidR="005F261D" w:rsidRPr="007F7EBF">
        <w:rPr>
          <w:sz w:val="22"/>
          <w:szCs w:val="22"/>
        </w:rPr>
        <w:t>d.lgs. n. 74/2000</w:t>
      </w:r>
      <w:r w:rsidR="005F261D">
        <w:rPr>
          <w:sz w:val="22"/>
          <w:szCs w:val="22"/>
        </w:rPr>
        <w:t>)</w:t>
      </w:r>
      <w:r w:rsidR="007E4236" w:rsidRPr="007F7EBF">
        <w:rPr>
          <w:sz w:val="22"/>
          <w:szCs w:val="22"/>
        </w:rPr>
        <w:t xml:space="preserve">, anche quando </w:t>
      </w:r>
      <w:r w:rsidR="00274562">
        <w:rPr>
          <w:sz w:val="22"/>
          <w:szCs w:val="22"/>
        </w:rPr>
        <w:t xml:space="preserve">per </w:t>
      </w:r>
      <w:r w:rsidR="007E4236" w:rsidRPr="007F7EBF">
        <w:rPr>
          <w:sz w:val="22"/>
          <w:szCs w:val="22"/>
        </w:rPr>
        <w:t>nascondere ricchezza al fisco</w:t>
      </w:r>
      <w:r w:rsidR="007E4236">
        <w:rPr>
          <w:sz w:val="22"/>
          <w:szCs w:val="22"/>
        </w:rPr>
        <w:t xml:space="preserve">, nei modi di cui al par.3.7, </w:t>
      </w:r>
      <w:r w:rsidR="007E4236" w:rsidRPr="007F7EBF">
        <w:rPr>
          <w:sz w:val="22"/>
          <w:szCs w:val="22"/>
        </w:rPr>
        <w:t xml:space="preserve"> </w:t>
      </w:r>
      <w:r w:rsidR="00274562">
        <w:rPr>
          <w:sz w:val="22"/>
          <w:szCs w:val="22"/>
        </w:rPr>
        <w:t xml:space="preserve">si commettono </w:t>
      </w:r>
      <w:r w:rsidR="007E4236" w:rsidRPr="007F7EBF">
        <w:rPr>
          <w:sz w:val="22"/>
          <w:szCs w:val="22"/>
        </w:rPr>
        <w:t>reati comuni</w:t>
      </w:r>
      <w:r w:rsidR="007E4236">
        <w:rPr>
          <w:sz w:val="22"/>
          <w:szCs w:val="22"/>
        </w:rPr>
        <w:t xml:space="preserve">, come </w:t>
      </w:r>
      <w:r w:rsidR="00F3485B" w:rsidRPr="007F7EBF">
        <w:rPr>
          <w:sz w:val="22"/>
          <w:szCs w:val="22"/>
        </w:rPr>
        <w:t>falso e truffa</w:t>
      </w:r>
      <w:r w:rsidR="00302E53">
        <w:rPr>
          <w:sz w:val="22"/>
          <w:szCs w:val="22"/>
        </w:rPr>
        <w:t>(</w:t>
      </w:r>
      <w:r w:rsidR="00C269DD" w:rsidRPr="007F7EBF">
        <w:rPr>
          <w:rStyle w:val="Rimandonotaapidipagina"/>
          <w:sz w:val="22"/>
          <w:szCs w:val="22"/>
        </w:rPr>
        <w:footnoteReference w:id="960"/>
      </w:r>
      <w:r w:rsidR="00302E53">
        <w:rPr>
          <w:sz w:val="22"/>
          <w:szCs w:val="22"/>
        </w:rPr>
        <w:t>)</w:t>
      </w:r>
      <w:r w:rsidR="00C269DD" w:rsidRPr="007F7EBF">
        <w:rPr>
          <w:sz w:val="22"/>
          <w:szCs w:val="22"/>
        </w:rPr>
        <w:t>.</w:t>
      </w:r>
      <w:r w:rsidR="00B04FB9" w:rsidRPr="007F7EBF">
        <w:rPr>
          <w:bCs/>
          <w:i/>
          <w:iCs/>
          <w:color w:val="0000FF"/>
        </w:rPr>
        <w:t xml:space="preserve"> </w:t>
      </w:r>
      <w:r w:rsidR="00C269DD" w:rsidRPr="007F7EBF">
        <w:rPr>
          <w:bCs/>
          <w:i/>
          <w:iCs/>
          <w:color w:val="0000FF"/>
        </w:rPr>
        <w:t xml:space="preserve"> </w:t>
      </w:r>
      <w:r w:rsidR="00B54BC1">
        <w:rPr>
          <w:sz w:val="22"/>
          <w:szCs w:val="22"/>
        </w:rPr>
        <w:t>L’esistenza di un sistema tributario speciale</w:t>
      </w:r>
      <w:r w:rsidR="005F261D">
        <w:rPr>
          <w:sz w:val="22"/>
          <w:szCs w:val="22"/>
        </w:rPr>
        <w:t>,</w:t>
      </w:r>
      <w:r w:rsidR="00B54BC1">
        <w:rPr>
          <w:sz w:val="22"/>
          <w:szCs w:val="22"/>
        </w:rPr>
        <w:t xml:space="preserve"> rilevante tra l’altro solo ai fini delle imposte sui redditi e dell’IVA(</w:t>
      </w:r>
      <w:r w:rsidR="00B54BC1" w:rsidRPr="007F7EBF">
        <w:rPr>
          <w:rStyle w:val="Rimandonotaapidipagina"/>
          <w:bCs/>
          <w:sz w:val="22"/>
          <w:szCs w:val="22"/>
        </w:rPr>
        <w:footnoteReference w:id="961"/>
      </w:r>
      <w:r w:rsidR="00B54BC1">
        <w:rPr>
          <w:sz w:val="22"/>
          <w:szCs w:val="22"/>
        </w:rPr>
        <w:t>)</w:t>
      </w:r>
      <w:r w:rsidR="00B54BC1" w:rsidRPr="007F7EBF">
        <w:rPr>
          <w:sz w:val="22"/>
          <w:szCs w:val="22"/>
        </w:rPr>
        <w:t>,</w:t>
      </w:r>
      <w:r w:rsidR="005F261D">
        <w:rPr>
          <w:sz w:val="22"/>
          <w:szCs w:val="22"/>
        </w:rPr>
        <w:t xml:space="preserve"> </w:t>
      </w:r>
      <w:r w:rsidR="00955C4C" w:rsidRPr="007F7EBF">
        <w:t>finisc</w:t>
      </w:r>
      <w:r w:rsidR="005F261D">
        <w:t>e</w:t>
      </w:r>
      <w:r w:rsidR="00955C4C" w:rsidRPr="007F7EBF">
        <w:t xml:space="preserve"> per </w:t>
      </w:r>
      <w:r w:rsidR="005F261D">
        <w:t xml:space="preserve">diventare oggettivamente un’esimente rispetto </w:t>
      </w:r>
      <w:r w:rsidR="00955C4C" w:rsidRPr="007F7EBF">
        <w:t>all'applicazione dei già citati reati comuni.</w:t>
      </w:r>
      <w:r w:rsidR="00AC1668" w:rsidRPr="00AC1668">
        <w:rPr>
          <w:sz w:val="22"/>
          <w:szCs w:val="22"/>
        </w:rPr>
        <w:t xml:space="preserve"> </w:t>
      </w:r>
      <w:r w:rsidR="00AC1668">
        <w:rPr>
          <w:sz w:val="22"/>
          <w:szCs w:val="22"/>
        </w:rPr>
        <w:t>Segnaliamo anche la specialità delle sanzioni penali rispetto a quelle amministrative in misura fissa, che dovrebbero essere assorbite da quelle penali</w:t>
      </w:r>
      <w:r w:rsidR="005F5447">
        <w:rPr>
          <w:rStyle w:val="Rimandonotaapidipagina"/>
          <w:sz w:val="22"/>
          <w:szCs w:val="22"/>
        </w:rPr>
        <w:footnoteReference w:id="962"/>
      </w:r>
      <w:r w:rsidR="00AC1668">
        <w:rPr>
          <w:sz w:val="22"/>
          <w:szCs w:val="22"/>
        </w:rPr>
        <w:t xml:space="preserve">; queste ultime non </w:t>
      </w:r>
      <w:r w:rsidR="00AC1668">
        <w:rPr>
          <w:sz w:val="22"/>
          <w:szCs w:val="22"/>
        </w:rPr>
        <w:lastRenderedPageBreak/>
        <w:t xml:space="preserve">assorbono invece quelle amministrative proporzionali al tributo, nonostante il principio di specialità; si intuisce infatti quanto indicato al paragrafo precedente sulla maggiore aderenza alla violazione (personalizzazione) della sanzione amministrativa proporzionale </w:t>
      </w:r>
    </w:p>
    <w:p w14:paraId="53E75A34" w14:textId="5F348AA9" w:rsidR="00A97766" w:rsidRDefault="00A97766" w:rsidP="00A97766">
      <w:pPr>
        <w:pStyle w:val="tit23"/>
        <w:ind w:left="6464" w:right="-1361" w:firstLine="0"/>
        <w:jc w:val="left"/>
        <w:rPr>
          <w:bCs/>
          <w:i/>
          <w:iCs/>
          <w:color w:val="0000FF"/>
          <w:lang w:val="it-IT"/>
        </w:rPr>
      </w:pPr>
      <w:r>
        <w:rPr>
          <w:bCs/>
          <w:i/>
          <w:iCs/>
          <w:color w:val="0000FF"/>
          <w:lang w:val="it-IT"/>
        </w:rPr>
        <w:t>Reati dichiarativi</w:t>
      </w:r>
    </w:p>
    <w:p w14:paraId="052138A8" w14:textId="53A10893" w:rsidR="00431C4A" w:rsidRDefault="005F261D" w:rsidP="00431C4A">
      <w:pPr>
        <w:autoSpaceDE w:val="0"/>
        <w:autoSpaceDN w:val="0"/>
        <w:adjustRightInd w:val="0"/>
        <w:rPr>
          <w:bCs/>
          <w:i/>
          <w:iCs/>
          <w:color w:val="0000FF"/>
        </w:rPr>
      </w:pPr>
      <w:r>
        <w:rPr>
          <w:sz w:val="22"/>
          <w:szCs w:val="22"/>
        </w:rPr>
        <w:t xml:space="preserve">L’attuale </w:t>
      </w:r>
      <w:r w:rsidR="00C46B55" w:rsidRPr="007F7EBF">
        <w:rPr>
          <w:sz w:val="22"/>
          <w:szCs w:val="22"/>
        </w:rPr>
        <w:t xml:space="preserve">normativa </w:t>
      </w:r>
      <w:r>
        <w:rPr>
          <w:sz w:val="22"/>
          <w:szCs w:val="22"/>
        </w:rPr>
        <w:t xml:space="preserve"> </w:t>
      </w:r>
      <w:r w:rsidR="00C46B55" w:rsidRPr="007F7EBF">
        <w:rPr>
          <w:sz w:val="22"/>
          <w:szCs w:val="22"/>
        </w:rPr>
        <w:t>fa leva sulla falsità di documenti</w:t>
      </w:r>
      <w:r w:rsidR="00A97766">
        <w:rPr>
          <w:sz w:val="22"/>
          <w:szCs w:val="22"/>
        </w:rPr>
        <w:t xml:space="preserve">, come le false fatturazioni in relazione alla c.d. </w:t>
      </w:r>
      <w:r w:rsidR="00C46B55" w:rsidRPr="007F7EBF">
        <w:rPr>
          <w:sz w:val="22"/>
          <w:szCs w:val="22"/>
        </w:rPr>
        <w:t>"infedele dichiarazione"</w:t>
      </w:r>
      <w:r w:rsidR="00A97766">
        <w:rPr>
          <w:sz w:val="22"/>
          <w:szCs w:val="22"/>
        </w:rPr>
        <w:t xml:space="preserve"> ; quest’ultima </w:t>
      </w:r>
      <w:r w:rsidR="00553F6A" w:rsidRPr="007F7EBF">
        <w:rPr>
          <w:sz w:val="22"/>
          <w:szCs w:val="22"/>
        </w:rPr>
        <w:t>è punita, indipendentemente dall’importo evaso</w:t>
      </w:r>
      <w:r w:rsidR="0042057F">
        <w:rPr>
          <w:sz w:val="22"/>
          <w:szCs w:val="22"/>
        </w:rPr>
        <w:t>(</w:t>
      </w:r>
      <w:r w:rsidR="00D85690" w:rsidRPr="007F7EBF">
        <w:rPr>
          <w:rStyle w:val="Rimandonotaapidipagina"/>
          <w:sz w:val="22"/>
          <w:szCs w:val="22"/>
        </w:rPr>
        <w:footnoteReference w:id="963"/>
      </w:r>
      <w:r w:rsidR="0042057F">
        <w:rPr>
          <w:sz w:val="22"/>
          <w:szCs w:val="22"/>
        </w:rPr>
        <w:t>)</w:t>
      </w:r>
      <w:r w:rsidR="00553F6A" w:rsidRPr="007F7EBF">
        <w:rPr>
          <w:sz w:val="22"/>
          <w:szCs w:val="22"/>
        </w:rPr>
        <w:t xml:space="preserve">, quando si basa su documenti </w:t>
      </w:r>
      <w:r w:rsidR="00721B94" w:rsidRPr="007F7EBF">
        <w:rPr>
          <w:sz w:val="22"/>
          <w:szCs w:val="22"/>
        </w:rPr>
        <w:t>alterati o fittizi (art. 2)</w:t>
      </w:r>
      <w:r w:rsidR="00A97766">
        <w:rPr>
          <w:sz w:val="22"/>
          <w:szCs w:val="22"/>
        </w:rPr>
        <w:t>. C</w:t>
      </w:r>
      <w:r w:rsidR="00431C4A">
        <w:rPr>
          <w:sz w:val="22"/>
          <w:szCs w:val="22"/>
        </w:rPr>
        <w:t>i</w:t>
      </w:r>
      <w:r w:rsidR="00A97766">
        <w:rPr>
          <w:sz w:val="22"/>
          <w:szCs w:val="22"/>
        </w:rPr>
        <w:t xml:space="preserve"> sono soglie </w:t>
      </w:r>
      <w:r w:rsidR="00553F6A" w:rsidRPr="007F7EBF">
        <w:rPr>
          <w:sz w:val="22"/>
          <w:szCs w:val="22"/>
        </w:rPr>
        <w:t>relativamente modest</w:t>
      </w:r>
      <w:r w:rsidR="00A97766">
        <w:rPr>
          <w:sz w:val="22"/>
          <w:szCs w:val="22"/>
        </w:rPr>
        <w:t xml:space="preserve">e </w:t>
      </w:r>
      <w:r w:rsidR="00553F6A" w:rsidRPr="007F7EBF">
        <w:rPr>
          <w:sz w:val="22"/>
          <w:szCs w:val="22"/>
        </w:rPr>
        <w:t xml:space="preserve">quando </w:t>
      </w:r>
      <w:r w:rsidR="00A97766">
        <w:rPr>
          <w:sz w:val="22"/>
          <w:szCs w:val="22"/>
        </w:rPr>
        <w:t xml:space="preserve">la dichiarazione è </w:t>
      </w:r>
      <w:r w:rsidR="00553F6A" w:rsidRPr="007F7EBF">
        <w:rPr>
          <w:sz w:val="22"/>
          <w:szCs w:val="22"/>
        </w:rPr>
        <w:t>basa</w:t>
      </w:r>
      <w:r w:rsidR="00A97766">
        <w:rPr>
          <w:sz w:val="22"/>
          <w:szCs w:val="22"/>
        </w:rPr>
        <w:t>ta</w:t>
      </w:r>
      <w:r w:rsidR="00553F6A" w:rsidRPr="007F7EBF">
        <w:rPr>
          <w:sz w:val="22"/>
          <w:szCs w:val="22"/>
        </w:rPr>
        <w:t xml:space="preserve"> su artifici diversi dal documento fittizio (art. 3), </w:t>
      </w:r>
      <w:r w:rsidR="00721B94" w:rsidRPr="007F7EBF">
        <w:rPr>
          <w:sz w:val="22"/>
          <w:szCs w:val="22"/>
        </w:rPr>
        <w:t>e</w:t>
      </w:r>
      <w:r w:rsidR="00553F6A" w:rsidRPr="007F7EBF">
        <w:rPr>
          <w:sz w:val="22"/>
          <w:szCs w:val="22"/>
        </w:rPr>
        <w:t xml:space="preserve"> soglie di ammontare elevato nelle altre ipotesi</w:t>
      </w:r>
      <w:r w:rsidR="00A97766">
        <w:rPr>
          <w:sz w:val="22"/>
          <w:szCs w:val="22"/>
        </w:rPr>
        <w:t xml:space="preserve">, di dichiarazione infedele, ma senza documenti fittizi o altri artifici </w:t>
      </w:r>
      <w:r w:rsidR="00553F6A" w:rsidRPr="007F7EBF">
        <w:rPr>
          <w:sz w:val="22"/>
          <w:szCs w:val="22"/>
        </w:rPr>
        <w:t>(art. 4).</w:t>
      </w:r>
    </w:p>
    <w:p w14:paraId="66873416" w14:textId="6C499DB8" w:rsidR="00431C4A" w:rsidRDefault="00FD6294" w:rsidP="00431C4A">
      <w:pPr>
        <w:pStyle w:val="tit23"/>
        <w:ind w:left="6464" w:right="-1361" w:firstLine="0"/>
        <w:jc w:val="left"/>
        <w:rPr>
          <w:bCs/>
          <w:i/>
          <w:iCs/>
          <w:color w:val="0000FF"/>
          <w:lang w:val="it-IT"/>
        </w:rPr>
      </w:pPr>
      <w:r>
        <w:rPr>
          <w:bCs/>
          <w:i/>
          <w:iCs/>
          <w:color w:val="0000FF"/>
          <w:lang w:val="it-IT"/>
        </w:rPr>
        <w:t>Sanzioni penali ed e</w:t>
      </w:r>
      <w:r w:rsidR="00431C4A">
        <w:rPr>
          <w:bCs/>
          <w:i/>
          <w:iCs/>
          <w:color w:val="0000FF"/>
          <w:lang w:val="it-IT"/>
        </w:rPr>
        <w:t xml:space="preserve">vasione di massa </w:t>
      </w:r>
    </w:p>
    <w:p w14:paraId="3CE999F2" w14:textId="76230405" w:rsidR="00D85690" w:rsidRPr="007F7EBF" w:rsidRDefault="00721B94" w:rsidP="00D85690">
      <w:pPr>
        <w:autoSpaceDE w:val="0"/>
        <w:autoSpaceDN w:val="0"/>
        <w:adjustRightInd w:val="0"/>
        <w:rPr>
          <w:sz w:val="22"/>
          <w:szCs w:val="22"/>
        </w:rPr>
      </w:pPr>
      <w:r w:rsidRPr="007F7EBF">
        <w:rPr>
          <w:sz w:val="22"/>
          <w:szCs w:val="22"/>
        </w:rPr>
        <w:t xml:space="preserve">Viste le soglie di punibilità, sono sostanzialmente al riparo da sanzioni penali i </w:t>
      </w:r>
      <w:r w:rsidR="00553F6A" w:rsidRPr="007F7EBF">
        <w:rPr>
          <w:bCs/>
          <w:sz w:val="22"/>
          <w:szCs w:val="22"/>
        </w:rPr>
        <w:t>comportamenti “omissivi”</w:t>
      </w:r>
      <w:r w:rsidR="00431C4A">
        <w:rPr>
          <w:bCs/>
          <w:sz w:val="22"/>
          <w:szCs w:val="22"/>
        </w:rPr>
        <w:t xml:space="preserve"> </w:t>
      </w:r>
      <w:r w:rsidR="00431C4A">
        <w:t xml:space="preserve">di piccoli commercianti, artigiani e piccole organizzazioni “padronali”. La loro mancata registrazione di ricavi e compensi fu </w:t>
      </w:r>
      <w:r w:rsidR="00431C4A">
        <w:rPr>
          <w:bCs/>
        </w:rPr>
        <w:t xml:space="preserve">oggetto di sanzioni penali, sostanzialmente inefficaci, dal 1982 al 2000 </w:t>
      </w:r>
      <w:r w:rsidR="00431C4A" w:rsidRPr="007F7EBF">
        <w:rPr>
          <w:bCs/>
          <w:sz w:val="22"/>
          <w:szCs w:val="22"/>
        </w:rPr>
        <w:t>(</w:t>
      </w:r>
      <w:r w:rsidR="00431C4A" w:rsidRPr="007F7EBF">
        <w:rPr>
          <w:rStyle w:val="Rimandonotaapidipagina"/>
          <w:bCs/>
          <w:sz w:val="22"/>
          <w:szCs w:val="22"/>
        </w:rPr>
        <w:footnoteReference w:id="964"/>
      </w:r>
      <w:r w:rsidR="00431C4A" w:rsidRPr="007F7EBF">
        <w:rPr>
          <w:bCs/>
          <w:sz w:val="22"/>
          <w:szCs w:val="22"/>
        </w:rPr>
        <w:t>)</w:t>
      </w:r>
      <w:r w:rsidR="00431C4A">
        <w:rPr>
          <w:sz w:val="22"/>
          <w:szCs w:val="22"/>
        </w:rPr>
        <w:t>,</w:t>
      </w:r>
      <w:r w:rsidR="00FD6294">
        <w:rPr>
          <w:sz w:val="22"/>
          <w:szCs w:val="22"/>
        </w:rPr>
        <w:t xml:space="preserve"> </w:t>
      </w:r>
      <w:r w:rsidR="00D85690" w:rsidRPr="007F7EBF">
        <w:rPr>
          <w:sz w:val="22"/>
          <w:szCs w:val="22"/>
        </w:rPr>
        <w:t xml:space="preserve">non c'è quindi sanzione per chi emette fatture per decine di migliaia di euro e poi “dimentica” di registrarle, confidando nella loro difficile individuazione in sede di controllo. Lo stesso per la mancata registrazione di scontrini emessi, o di versamenti bancari ricevuti. </w:t>
      </w:r>
      <w:r w:rsidR="00BC4D6E">
        <w:rPr>
          <w:sz w:val="22"/>
          <w:szCs w:val="22"/>
        </w:rPr>
        <w:t xml:space="preserve">Le sanzioni penali contribuiscono al mito della “grande evasione” , che invece si annida su milioni di operatori medio piccoli, dove l’intervento del pubblico ministero costituisce un oggettivo elemento di complicazione di indagini che invece dovrebbero essere snelle e si drammatizzano, dissuadendo gli </w:t>
      </w:r>
      <w:r w:rsidR="00BC4D6E">
        <w:rPr>
          <w:sz w:val="22"/>
          <w:szCs w:val="22"/>
        </w:rPr>
        <w:lastRenderedPageBreak/>
        <w:t xml:space="preserve">stessi uffici dal presentare rapporto penale, per le </w:t>
      </w:r>
      <w:r w:rsidR="00075CF6" w:rsidRPr="00BC4D6E">
        <w:t>seccatu</w:t>
      </w:r>
      <w:r w:rsidR="00BC4D6E" w:rsidRPr="00BC4D6E">
        <w:t>r</w:t>
      </w:r>
      <w:r w:rsidR="00075CF6" w:rsidRPr="00BC4D6E">
        <w:t>e del rapporto con l</w:t>
      </w:r>
      <w:r w:rsidR="00BC4D6E" w:rsidRPr="00BC4D6E">
        <w:t>e</w:t>
      </w:r>
      <w:r w:rsidR="00075CF6" w:rsidRPr="00BC4D6E">
        <w:t xml:space="preserve"> procur</w:t>
      </w:r>
      <w:r w:rsidR="00BC4D6E" w:rsidRPr="00BC4D6E">
        <w:t>e della repubblica su temi cui esse sono culturalmente estranee.</w:t>
      </w:r>
    </w:p>
    <w:p w14:paraId="68C39E4C" w14:textId="6B4A8053" w:rsidR="00553F6A" w:rsidRPr="007F7EBF" w:rsidRDefault="00431C4A" w:rsidP="00553F6A">
      <w:pPr>
        <w:pStyle w:val="tit23"/>
        <w:ind w:left="6464" w:right="-1361" w:firstLine="0"/>
        <w:jc w:val="left"/>
        <w:rPr>
          <w:bCs/>
          <w:i/>
          <w:iCs/>
          <w:color w:val="0000FF"/>
          <w:lang w:val="it-IT"/>
        </w:rPr>
      </w:pPr>
      <w:r>
        <w:rPr>
          <w:bCs/>
          <w:i/>
          <w:iCs/>
          <w:color w:val="0000FF"/>
          <w:lang w:val="it-IT"/>
        </w:rPr>
        <w:t xml:space="preserve">Reati tributari aziende e </w:t>
      </w:r>
      <w:r w:rsidR="00553F6A" w:rsidRPr="007F7EBF">
        <w:rPr>
          <w:bCs/>
          <w:i/>
          <w:iCs/>
          <w:color w:val="0000FF"/>
          <w:lang w:val="it-IT"/>
        </w:rPr>
        <w:t>contestazioni interpretative</w:t>
      </w:r>
    </w:p>
    <w:p w14:paraId="1C5C7743" w14:textId="127A8958" w:rsidR="00D70C03" w:rsidRPr="007F7EBF" w:rsidRDefault="00B843F5" w:rsidP="0003446E">
      <w:pPr>
        <w:autoSpaceDE w:val="0"/>
        <w:autoSpaceDN w:val="0"/>
        <w:adjustRightInd w:val="0"/>
        <w:rPr>
          <w:sz w:val="22"/>
          <w:szCs w:val="22"/>
        </w:rPr>
      </w:pPr>
      <w:r>
        <w:rPr>
          <w:sz w:val="22"/>
          <w:szCs w:val="22"/>
        </w:rPr>
        <w:t>I suddett</w:t>
      </w:r>
      <w:r w:rsidR="00FD6294">
        <w:rPr>
          <w:sz w:val="22"/>
          <w:szCs w:val="22"/>
        </w:rPr>
        <w:t xml:space="preserve">i reati dichiarativi, soprattutto quello di “infedele dichiarazione” </w:t>
      </w:r>
      <w:r>
        <w:rPr>
          <w:sz w:val="22"/>
          <w:szCs w:val="22"/>
        </w:rPr>
        <w:t xml:space="preserve">riguardano anche  le evasioni di cui al par.3.7, commesse dai relativi </w:t>
      </w:r>
      <w:r w:rsidRPr="00AF3D1A">
        <w:rPr>
          <w:sz w:val="22"/>
          <w:szCs w:val="22"/>
        </w:rPr>
        <w:t xml:space="preserve">titolari a proprio beneficio; su di esse, difficilmente individuabili, si indaga raramente e ancora più raramente </w:t>
      </w:r>
      <w:r w:rsidR="00AF3D1A" w:rsidRPr="00AF3D1A">
        <w:rPr>
          <w:sz w:val="22"/>
          <w:szCs w:val="22"/>
        </w:rPr>
        <w:t xml:space="preserve">ne </w:t>
      </w:r>
      <w:r w:rsidRPr="00AF3D1A">
        <w:rPr>
          <w:sz w:val="22"/>
          <w:szCs w:val="22"/>
        </w:rPr>
        <w:t>vengono scoperte (</w:t>
      </w:r>
      <w:r w:rsidRPr="00AF3D1A">
        <w:rPr>
          <w:rStyle w:val="Rimandonotaapidipagina"/>
          <w:sz w:val="22"/>
          <w:szCs w:val="22"/>
        </w:rPr>
        <w:footnoteReference w:id="965"/>
      </w:r>
      <w:r w:rsidRPr="00AF3D1A">
        <w:rPr>
          <w:sz w:val="22"/>
          <w:szCs w:val="22"/>
        </w:rPr>
        <w:t>).</w:t>
      </w:r>
      <w:r w:rsidR="00AF3D1A">
        <w:rPr>
          <w:sz w:val="22"/>
          <w:szCs w:val="22"/>
        </w:rPr>
        <w:t xml:space="preserve"> </w:t>
      </w:r>
      <w:r w:rsidR="00A75998" w:rsidRPr="00AF3D1A">
        <w:rPr>
          <w:sz w:val="22"/>
          <w:szCs w:val="22"/>
        </w:rPr>
        <w:t>F</w:t>
      </w:r>
      <w:r w:rsidR="003F40AE" w:rsidRPr="00AF3D1A">
        <w:rPr>
          <w:sz w:val="22"/>
          <w:szCs w:val="22"/>
        </w:rPr>
        <w:t>acendo</w:t>
      </w:r>
      <w:r w:rsidR="003F40AE" w:rsidRPr="007F7EBF">
        <w:rPr>
          <w:sz w:val="22"/>
          <w:szCs w:val="22"/>
        </w:rPr>
        <w:t xml:space="preserve"> </w:t>
      </w:r>
      <w:r w:rsidR="00AF3D1A">
        <w:rPr>
          <w:sz w:val="22"/>
          <w:szCs w:val="22"/>
        </w:rPr>
        <w:t>però</w:t>
      </w:r>
      <w:r w:rsidR="00A75998">
        <w:rPr>
          <w:sz w:val="22"/>
          <w:szCs w:val="22"/>
        </w:rPr>
        <w:t xml:space="preserve"> </w:t>
      </w:r>
      <w:r w:rsidR="003F40AE" w:rsidRPr="007F7EBF">
        <w:rPr>
          <w:sz w:val="22"/>
          <w:szCs w:val="22"/>
        </w:rPr>
        <w:t>riferimento all'imposta dovuta</w:t>
      </w:r>
      <w:r w:rsidR="00AF3D1A">
        <w:rPr>
          <w:sz w:val="22"/>
          <w:szCs w:val="22"/>
        </w:rPr>
        <w:t xml:space="preserve">, il reato di infedele dichiarazione è astrattamente applicabile </w:t>
      </w:r>
      <w:r w:rsidR="003F40AE" w:rsidRPr="007F7EBF">
        <w:rPr>
          <w:sz w:val="22"/>
          <w:szCs w:val="22"/>
        </w:rPr>
        <w:t xml:space="preserve">anche per le </w:t>
      </w:r>
      <w:r w:rsidR="00553F6A" w:rsidRPr="007F7EBF">
        <w:rPr>
          <w:sz w:val="22"/>
          <w:szCs w:val="22"/>
        </w:rPr>
        <w:t xml:space="preserve"> contestazioni interpretative, </w:t>
      </w:r>
      <w:r w:rsidR="000C78BF" w:rsidRPr="007F7EBF">
        <w:rPr>
          <w:sz w:val="22"/>
          <w:szCs w:val="22"/>
        </w:rPr>
        <w:t>su ricchezz</w:t>
      </w:r>
      <w:r w:rsidR="00D85690" w:rsidRPr="007F7EBF">
        <w:rPr>
          <w:sz w:val="22"/>
          <w:szCs w:val="22"/>
        </w:rPr>
        <w:t xml:space="preserve">a palese o persino dichiarata, </w:t>
      </w:r>
      <w:r w:rsidR="00553F6A" w:rsidRPr="007F7EBF">
        <w:rPr>
          <w:sz w:val="22"/>
          <w:szCs w:val="22"/>
        </w:rPr>
        <w:t>spaventa</w:t>
      </w:r>
      <w:r w:rsidR="00D85690" w:rsidRPr="007F7EBF">
        <w:rPr>
          <w:sz w:val="22"/>
          <w:szCs w:val="22"/>
        </w:rPr>
        <w:t xml:space="preserve">ndo </w:t>
      </w:r>
      <w:r w:rsidR="00553F6A" w:rsidRPr="007F7EBF">
        <w:rPr>
          <w:sz w:val="22"/>
          <w:szCs w:val="22"/>
        </w:rPr>
        <w:t xml:space="preserve"> inutilmente chi non ha nascosto nulla (</w:t>
      </w:r>
      <w:r w:rsidR="00553F6A" w:rsidRPr="007F7EBF">
        <w:rPr>
          <w:rStyle w:val="Rimandonotaapidipagina"/>
          <w:sz w:val="22"/>
          <w:szCs w:val="22"/>
        </w:rPr>
        <w:footnoteReference w:id="966"/>
      </w:r>
      <w:r w:rsidR="00553F6A" w:rsidRPr="007F7EBF">
        <w:rPr>
          <w:sz w:val="22"/>
          <w:szCs w:val="22"/>
        </w:rPr>
        <w:t xml:space="preserve">). </w:t>
      </w:r>
      <w:r w:rsidR="00D85690" w:rsidRPr="007F7EBF">
        <w:rPr>
          <w:sz w:val="22"/>
          <w:szCs w:val="22"/>
        </w:rPr>
        <w:t xml:space="preserve"> </w:t>
      </w:r>
      <w:r w:rsidR="00AF3D1A" w:rsidRPr="007F7EBF">
        <w:rPr>
          <w:sz w:val="22"/>
          <w:szCs w:val="22"/>
        </w:rPr>
        <w:t xml:space="preserve">Se il concetto di evasione come ricchezza non registrata fosse stato chiaro, sarebbe bastata la necessità del </w:t>
      </w:r>
      <w:r w:rsidR="00AF3D1A" w:rsidRPr="007F7EBF">
        <w:rPr>
          <w:bCs/>
          <w:sz w:val="22"/>
          <w:szCs w:val="22"/>
        </w:rPr>
        <w:t xml:space="preserve">dolo specifico per escludere sanzioni penali </w:t>
      </w:r>
      <w:r w:rsidR="00AF3D1A" w:rsidRPr="007F7EBF">
        <w:rPr>
          <w:sz w:val="22"/>
          <w:szCs w:val="22"/>
        </w:rPr>
        <w:t>sulle contestazioni interpretative in genere. I</w:t>
      </w:r>
      <w:r w:rsidR="00AF3D1A">
        <w:rPr>
          <w:sz w:val="22"/>
          <w:szCs w:val="22"/>
        </w:rPr>
        <w:t xml:space="preserve">n assenza di spiegazioni scientifico sociali della funzione tributaria e dell’evasione, </w:t>
      </w:r>
      <w:r w:rsidR="00AF3D1A" w:rsidRPr="007F7EBF">
        <w:rPr>
          <w:sz w:val="22"/>
          <w:szCs w:val="22"/>
        </w:rPr>
        <w:t>la magistratura procede in ordine sparso, in genere disorientata da temi complessi, estranei al proprio bagaglio culturale, qualche volta solleticata da ipotetiche supplenze antievasione, con qualche risonanza mediatica (</w:t>
      </w:r>
      <w:r w:rsidR="00AF3D1A" w:rsidRPr="007F7EBF">
        <w:rPr>
          <w:rStyle w:val="Rimandonotaapidipagina"/>
          <w:sz w:val="22"/>
          <w:szCs w:val="22"/>
        </w:rPr>
        <w:footnoteReference w:id="967"/>
      </w:r>
      <w:r w:rsidR="00AF3D1A" w:rsidRPr="007F7EBF">
        <w:rPr>
          <w:sz w:val="22"/>
          <w:szCs w:val="22"/>
        </w:rPr>
        <w:t xml:space="preserve">).  </w:t>
      </w:r>
      <w:r w:rsidR="00AF3D1A">
        <w:rPr>
          <w:sz w:val="22"/>
          <w:szCs w:val="22"/>
        </w:rPr>
        <w:t xml:space="preserve">Molte </w:t>
      </w:r>
      <w:r w:rsidR="00AF3D1A" w:rsidRPr="007F7EBF">
        <w:rPr>
          <w:sz w:val="22"/>
          <w:szCs w:val="22"/>
        </w:rPr>
        <w:t>procure della repubblica</w:t>
      </w:r>
      <w:r w:rsidR="00AF3D1A">
        <w:rPr>
          <w:sz w:val="22"/>
          <w:szCs w:val="22"/>
        </w:rPr>
        <w:t xml:space="preserve"> hanno dimostrato buonsenso, tanto più che </w:t>
      </w:r>
      <w:r w:rsidR="00AF3D1A" w:rsidRPr="007F7EBF">
        <w:rPr>
          <w:sz w:val="22"/>
          <w:szCs w:val="22"/>
        </w:rPr>
        <w:t xml:space="preserve">i magistrati </w:t>
      </w:r>
      <w:r w:rsidR="00AF3D1A">
        <w:rPr>
          <w:sz w:val="22"/>
          <w:szCs w:val="22"/>
        </w:rPr>
        <w:t xml:space="preserve">sono </w:t>
      </w:r>
      <w:r w:rsidR="00AF3D1A" w:rsidRPr="007F7EBF">
        <w:rPr>
          <w:sz w:val="22"/>
          <w:szCs w:val="22"/>
        </w:rPr>
        <w:t xml:space="preserve">privi di condizionamenti gerarchici e quindi in grado </w:t>
      </w:r>
      <w:r w:rsidR="00AF3D1A">
        <w:rPr>
          <w:sz w:val="22"/>
          <w:szCs w:val="22"/>
        </w:rPr>
        <w:t xml:space="preserve">di </w:t>
      </w:r>
      <w:r w:rsidR="00AF3D1A" w:rsidRPr="007F7EBF">
        <w:rPr>
          <w:sz w:val="22"/>
          <w:szCs w:val="22"/>
        </w:rPr>
        <w:t>assumersi l</w:t>
      </w:r>
      <w:r w:rsidR="00AF3D1A">
        <w:rPr>
          <w:sz w:val="22"/>
          <w:szCs w:val="22"/>
        </w:rPr>
        <w:t xml:space="preserve">a </w:t>
      </w:r>
      <w:r w:rsidR="00AF3D1A" w:rsidRPr="007F7EBF">
        <w:rPr>
          <w:sz w:val="22"/>
          <w:szCs w:val="22"/>
        </w:rPr>
        <w:t xml:space="preserve">responsabilità </w:t>
      </w:r>
      <w:r w:rsidR="00AF3D1A">
        <w:rPr>
          <w:sz w:val="22"/>
          <w:szCs w:val="22"/>
        </w:rPr>
        <w:t xml:space="preserve">di essere ragionevoli, </w:t>
      </w:r>
      <w:r w:rsidR="00AF3D1A" w:rsidRPr="007F7EBF">
        <w:rPr>
          <w:sz w:val="22"/>
          <w:szCs w:val="22"/>
        </w:rPr>
        <w:t xml:space="preserve">davanti a rapporti penali presentati per mero scrupolo da autorità amministrative timorose </w:t>
      </w:r>
      <w:r w:rsidR="00AF3D1A">
        <w:rPr>
          <w:sz w:val="22"/>
          <w:szCs w:val="22"/>
        </w:rPr>
        <w:t>di assumersi rischi</w:t>
      </w:r>
      <w:r w:rsidR="00AF3D1A" w:rsidRPr="007F7EBF">
        <w:rPr>
          <w:sz w:val="22"/>
          <w:szCs w:val="22"/>
        </w:rPr>
        <w:t xml:space="preserve">. </w:t>
      </w:r>
      <w:r w:rsidR="00AF3D1A">
        <w:rPr>
          <w:sz w:val="22"/>
          <w:szCs w:val="22"/>
        </w:rPr>
        <w:t>Più grave è stat</w:t>
      </w:r>
      <w:r w:rsidR="00960BDC">
        <w:rPr>
          <w:sz w:val="22"/>
          <w:szCs w:val="22"/>
        </w:rPr>
        <w:t>a la drammatizzazione</w:t>
      </w:r>
      <w:r w:rsidR="00AF3D1A">
        <w:rPr>
          <w:sz w:val="22"/>
          <w:szCs w:val="22"/>
        </w:rPr>
        <w:t>,</w:t>
      </w:r>
      <w:r w:rsidR="00AF3D1A" w:rsidRPr="007F7EBF">
        <w:rPr>
          <w:sz w:val="22"/>
          <w:szCs w:val="22"/>
        </w:rPr>
        <w:t xml:space="preserve"> proprio nei confronti delle organizzazioni aziendali </w:t>
      </w:r>
      <w:r w:rsidR="00AF3D1A">
        <w:rPr>
          <w:sz w:val="22"/>
          <w:szCs w:val="22"/>
        </w:rPr>
        <w:t>(</w:t>
      </w:r>
      <w:r w:rsidR="00AF3D1A" w:rsidRPr="007F7EBF">
        <w:rPr>
          <w:rStyle w:val="Rimandonotaapidipagina"/>
          <w:sz w:val="22"/>
          <w:szCs w:val="22"/>
        </w:rPr>
        <w:footnoteReference w:id="968"/>
      </w:r>
      <w:r w:rsidR="00AF3D1A">
        <w:rPr>
          <w:sz w:val="22"/>
          <w:szCs w:val="22"/>
        </w:rPr>
        <w:t>),</w:t>
      </w:r>
      <w:r w:rsidR="00AF3D1A" w:rsidRPr="007F7EBF">
        <w:rPr>
          <w:sz w:val="22"/>
          <w:szCs w:val="22"/>
        </w:rPr>
        <w:t xml:space="preserve"> di molti professionisti, sia penalisti che tributaristi</w:t>
      </w:r>
      <w:r w:rsidR="00960BDC">
        <w:rPr>
          <w:sz w:val="22"/>
          <w:szCs w:val="22"/>
        </w:rPr>
        <w:t xml:space="preserve"> (</w:t>
      </w:r>
      <w:r w:rsidR="00960BDC">
        <w:rPr>
          <w:rStyle w:val="Rimandonotaapidipagina"/>
          <w:sz w:val="22"/>
          <w:szCs w:val="22"/>
        </w:rPr>
        <w:footnoteReference w:id="969"/>
      </w:r>
      <w:r w:rsidR="00960BDC">
        <w:rPr>
          <w:sz w:val="22"/>
          <w:szCs w:val="22"/>
        </w:rPr>
        <w:t>)</w:t>
      </w:r>
      <w:r w:rsidR="00AF3D1A">
        <w:rPr>
          <w:sz w:val="22"/>
          <w:szCs w:val="22"/>
        </w:rPr>
        <w:t>.</w:t>
      </w:r>
      <w:r w:rsidR="00CC2A22">
        <w:rPr>
          <w:sz w:val="22"/>
          <w:szCs w:val="22"/>
        </w:rPr>
        <w:t xml:space="preserve"> </w:t>
      </w:r>
      <w:r w:rsidR="002A1C23">
        <w:t xml:space="preserve">Le </w:t>
      </w:r>
      <w:r w:rsidR="002A1C23">
        <w:lastRenderedPageBreak/>
        <w:t xml:space="preserve">sanzioni penali tributarie sono state insomma una variazione sul tema </w:t>
      </w:r>
      <w:r w:rsidR="0003446E" w:rsidRPr="007F7EBF">
        <w:rPr>
          <w:sz w:val="22"/>
          <w:szCs w:val="22"/>
        </w:rPr>
        <w:t>dei "grandi evasori"</w:t>
      </w:r>
      <w:r w:rsidR="002A1C23">
        <w:rPr>
          <w:sz w:val="22"/>
          <w:szCs w:val="22"/>
        </w:rPr>
        <w:t xml:space="preserve">, mitologia che </w:t>
      </w:r>
      <w:r w:rsidR="0003446E" w:rsidRPr="007F7EBF">
        <w:rPr>
          <w:sz w:val="22"/>
          <w:szCs w:val="22"/>
        </w:rPr>
        <w:t>ha danneggiato solo</w:t>
      </w:r>
      <w:r w:rsidR="00CC2A22">
        <w:rPr>
          <w:sz w:val="22"/>
          <w:szCs w:val="22"/>
        </w:rPr>
        <w:t xml:space="preserve"> la funzione tributaria,</w:t>
      </w:r>
      <w:r w:rsidR="0003446E" w:rsidRPr="007F7EBF">
        <w:rPr>
          <w:sz w:val="22"/>
          <w:szCs w:val="22"/>
        </w:rPr>
        <w:t xml:space="preserve"> le persone perbene</w:t>
      </w:r>
      <w:r w:rsidR="002A1C23">
        <w:rPr>
          <w:sz w:val="22"/>
          <w:szCs w:val="22"/>
        </w:rPr>
        <w:t xml:space="preserve"> </w:t>
      </w:r>
      <w:r w:rsidR="0003446E">
        <w:rPr>
          <w:sz w:val="22"/>
          <w:szCs w:val="22"/>
        </w:rPr>
        <w:t>(</w:t>
      </w:r>
      <w:r w:rsidR="0003446E" w:rsidRPr="007F7EBF">
        <w:rPr>
          <w:rStyle w:val="Rimandonotaapidipagina"/>
          <w:sz w:val="22"/>
          <w:szCs w:val="22"/>
        </w:rPr>
        <w:footnoteReference w:id="970"/>
      </w:r>
      <w:r w:rsidR="0003446E">
        <w:rPr>
          <w:sz w:val="22"/>
          <w:szCs w:val="22"/>
        </w:rPr>
        <w:t>)</w:t>
      </w:r>
      <w:r w:rsidR="0003446E" w:rsidRPr="007F7EBF">
        <w:rPr>
          <w:sz w:val="22"/>
          <w:szCs w:val="22"/>
        </w:rPr>
        <w:t>,</w:t>
      </w:r>
      <w:r w:rsidR="00CC2A22">
        <w:rPr>
          <w:sz w:val="22"/>
          <w:szCs w:val="22"/>
        </w:rPr>
        <w:t xml:space="preserve"> nonché </w:t>
      </w:r>
      <w:r w:rsidR="0003446E" w:rsidRPr="007F7EBF">
        <w:rPr>
          <w:sz w:val="22"/>
          <w:szCs w:val="22"/>
        </w:rPr>
        <w:t xml:space="preserve">le capacità organizzative dell'intero paese </w:t>
      </w:r>
      <w:r w:rsidR="0003446E">
        <w:rPr>
          <w:sz w:val="22"/>
          <w:szCs w:val="22"/>
        </w:rPr>
        <w:t>(</w:t>
      </w:r>
      <w:r w:rsidR="0003446E" w:rsidRPr="007F7EBF">
        <w:rPr>
          <w:rStyle w:val="Rimandonotaapidipagina"/>
          <w:sz w:val="22"/>
          <w:szCs w:val="22"/>
        </w:rPr>
        <w:footnoteReference w:id="971"/>
      </w:r>
      <w:r w:rsidR="0003446E">
        <w:rPr>
          <w:sz w:val="22"/>
          <w:szCs w:val="22"/>
        </w:rPr>
        <w:t>)</w:t>
      </w:r>
      <w:r w:rsidR="002A1C23">
        <w:rPr>
          <w:sz w:val="22"/>
          <w:szCs w:val="22"/>
        </w:rPr>
        <w:t>; a</w:t>
      </w:r>
      <w:r w:rsidR="0003446E" w:rsidRPr="007F7EBF">
        <w:rPr>
          <w:bCs/>
          <w:sz w:val="22"/>
          <w:szCs w:val="22"/>
        </w:rPr>
        <w:t xml:space="preserve">ttoniti amministratori delegati di società multinazionali </w:t>
      </w:r>
      <w:r w:rsidR="0003446E" w:rsidRPr="007F7EBF">
        <w:rPr>
          <w:sz w:val="22"/>
          <w:szCs w:val="22"/>
        </w:rPr>
        <w:t xml:space="preserve">si sono trovati </w:t>
      </w:r>
      <w:r w:rsidR="0003446E" w:rsidRPr="007F7EBF">
        <w:rPr>
          <w:bCs/>
          <w:sz w:val="22"/>
          <w:szCs w:val="22"/>
        </w:rPr>
        <w:t>sotto inchiesta penale per questioni di puro diritto</w:t>
      </w:r>
      <w:r w:rsidR="0003446E" w:rsidRPr="007F7EBF">
        <w:rPr>
          <w:sz w:val="22"/>
          <w:szCs w:val="22"/>
        </w:rPr>
        <w:t xml:space="preserve">, di cui </w:t>
      </w:r>
      <w:r w:rsidR="0003446E" w:rsidRPr="007F7EBF">
        <w:rPr>
          <w:bCs/>
          <w:sz w:val="22"/>
          <w:szCs w:val="22"/>
        </w:rPr>
        <w:t xml:space="preserve">era stata loro assicurata la totale legittimità dai più </w:t>
      </w:r>
      <w:r w:rsidR="002A1C23">
        <w:rPr>
          <w:bCs/>
          <w:sz w:val="22"/>
          <w:szCs w:val="22"/>
        </w:rPr>
        <w:t>accreditati</w:t>
      </w:r>
      <w:r w:rsidR="0003446E" w:rsidRPr="007F7EBF">
        <w:rPr>
          <w:bCs/>
          <w:sz w:val="22"/>
          <w:szCs w:val="22"/>
        </w:rPr>
        <w:t xml:space="preserve"> professionisti</w:t>
      </w:r>
      <w:r w:rsidR="002A1C23">
        <w:rPr>
          <w:bCs/>
          <w:sz w:val="22"/>
          <w:szCs w:val="22"/>
        </w:rPr>
        <w:t xml:space="preserve"> </w:t>
      </w:r>
      <w:r w:rsidR="002A1C23">
        <w:rPr>
          <w:sz w:val="22"/>
          <w:szCs w:val="22"/>
        </w:rPr>
        <w:t>(</w:t>
      </w:r>
      <w:r w:rsidR="002A1C23" w:rsidRPr="007F7EBF">
        <w:rPr>
          <w:rStyle w:val="Rimandonotaapidipagina"/>
          <w:sz w:val="22"/>
          <w:szCs w:val="22"/>
        </w:rPr>
        <w:footnoteReference w:id="972"/>
      </w:r>
      <w:r w:rsidR="002A1C23">
        <w:rPr>
          <w:sz w:val="22"/>
          <w:szCs w:val="22"/>
        </w:rPr>
        <w:t>)</w:t>
      </w:r>
      <w:r w:rsidR="0003446E" w:rsidRPr="007F7EBF">
        <w:rPr>
          <w:sz w:val="22"/>
          <w:szCs w:val="22"/>
        </w:rPr>
        <w:t>.</w:t>
      </w:r>
      <w:r w:rsidR="0003446E">
        <w:rPr>
          <w:sz w:val="22"/>
          <w:szCs w:val="22"/>
        </w:rPr>
        <w:t xml:space="preserve"> </w:t>
      </w:r>
      <w:r w:rsidR="002A1C23">
        <w:rPr>
          <w:sz w:val="22"/>
          <w:szCs w:val="22"/>
        </w:rPr>
        <w:t xml:space="preserve">Le </w:t>
      </w:r>
      <w:r w:rsidR="006342C5" w:rsidRPr="007F7EBF">
        <w:rPr>
          <w:sz w:val="22"/>
          <w:szCs w:val="22"/>
        </w:rPr>
        <w:t xml:space="preserve">drammatizzazioni e tensioni </w:t>
      </w:r>
      <w:r w:rsidR="002A1C23">
        <w:rPr>
          <w:sz w:val="22"/>
          <w:szCs w:val="22"/>
        </w:rPr>
        <w:t>sono state fronteggiate escludendo</w:t>
      </w:r>
      <w:r w:rsidR="00A23EA7" w:rsidRPr="007F7EBF">
        <w:rPr>
          <w:sz w:val="22"/>
          <w:szCs w:val="22"/>
        </w:rPr>
        <w:t xml:space="preserve"> </w:t>
      </w:r>
      <w:r w:rsidR="002A1C23">
        <w:rPr>
          <w:sz w:val="22"/>
          <w:szCs w:val="22"/>
        </w:rPr>
        <w:t>con la delega fiscale del 2015, anche se non ce n’era bisogno,</w:t>
      </w:r>
      <w:r w:rsidR="00A23EA7" w:rsidRPr="007F7EBF">
        <w:rPr>
          <w:sz w:val="22"/>
          <w:szCs w:val="22"/>
        </w:rPr>
        <w:t xml:space="preserve"> la rilevanza penale dell'elusione</w:t>
      </w:r>
      <w:r w:rsidR="0003446E">
        <w:rPr>
          <w:sz w:val="22"/>
          <w:szCs w:val="22"/>
        </w:rPr>
        <w:t xml:space="preserve"> e depotenzia</w:t>
      </w:r>
      <w:r w:rsidR="002A1C23">
        <w:rPr>
          <w:sz w:val="22"/>
          <w:szCs w:val="22"/>
        </w:rPr>
        <w:t xml:space="preserve">ndo quella di </w:t>
      </w:r>
      <w:r w:rsidR="0003446E">
        <w:rPr>
          <w:sz w:val="22"/>
          <w:szCs w:val="22"/>
        </w:rPr>
        <w:t>altre contestazioni</w:t>
      </w:r>
      <w:r w:rsidR="002A1C23">
        <w:rPr>
          <w:sz w:val="22"/>
          <w:szCs w:val="22"/>
        </w:rPr>
        <w:t xml:space="preserve"> interpretative, con </w:t>
      </w:r>
      <w:r w:rsidR="0003446E">
        <w:rPr>
          <w:sz w:val="22"/>
          <w:szCs w:val="22"/>
        </w:rPr>
        <w:t xml:space="preserve">polemiche che </w:t>
      </w:r>
      <w:r w:rsidR="00402179" w:rsidRPr="007F7EBF">
        <w:rPr>
          <w:sz w:val="22"/>
          <w:szCs w:val="22"/>
        </w:rPr>
        <w:t>confermano</w:t>
      </w:r>
      <w:r w:rsidR="006006F8" w:rsidRPr="007F7EBF">
        <w:rPr>
          <w:sz w:val="22"/>
          <w:szCs w:val="22"/>
        </w:rPr>
        <w:t xml:space="preserve"> </w:t>
      </w:r>
      <w:r w:rsidR="00CC2A22">
        <w:rPr>
          <w:sz w:val="22"/>
          <w:szCs w:val="22"/>
        </w:rPr>
        <w:t xml:space="preserve">la confusione sociale </w:t>
      </w:r>
      <w:r w:rsidR="00B563D6" w:rsidRPr="007F7EBF">
        <w:rPr>
          <w:sz w:val="22"/>
          <w:szCs w:val="22"/>
        </w:rPr>
        <w:t>de</w:t>
      </w:r>
      <w:r w:rsidR="006006F8" w:rsidRPr="007F7EBF">
        <w:rPr>
          <w:sz w:val="22"/>
          <w:szCs w:val="22"/>
        </w:rPr>
        <w:t xml:space="preserve">l </w:t>
      </w:r>
      <w:r w:rsidR="00200D17">
        <w:rPr>
          <w:sz w:val="22"/>
          <w:szCs w:val="22"/>
        </w:rPr>
        <w:t>settore.</w:t>
      </w:r>
      <w:r w:rsidR="00D83427" w:rsidRPr="007F7EBF">
        <w:rPr>
          <w:sz w:val="22"/>
          <w:szCs w:val="22"/>
        </w:rPr>
        <w:t xml:space="preserve"> </w:t>
      </w:r>
    </w:p>
    <w:p w14:paraId="2257FA04" w14:textId="77777777" w:rsidR="00D70C03" w:rsidRPr="007F7EBF" w:rsidRDefault="00D70C03" w:rsidP="00D70C03">
      <w:pPr>
        <w:pStyle w:val="tit23"/>
        <w:ind w:left="6464" w:right="-1361" w:firstLine="0"/>
        <w:jc w:val="left"/>
        <w:rPr>
          <w:bCs/>
          <w:i/>
          <w:iCs/>
          <w:color w:val="0000FF"/>
          <w:lang w:val="it-IT"/>
        </w:rPr>
      </w:pPr>
      <w:r w:rsidRPr="007F7EBF">
        <w:rPr>
          <w:bCs/>
          <w:i/>
          <w:iCs/>
          <w:color w:val="0000FF"/>
          <w:lang w:val="it-IT"/>
        </w:rPr>
        <w:t>Evasione da riscossione e reati</w:t>
      </w:r>
    </w:p>
    <w:p w14:paraId="5CEED438" w14:textId="79B33B9D" w:rsidR="00FE0BC0" w:rsidRPr="007F7EBF" w:rsidRDefault="00085AA4" w:rsidP="00FE0BC0">
      <w:pPr>
        <w:autoSpaceDE w:val="0"/>
        <w:autoSpaceDN w:val="0"/>
        <w:adjustRightInd w:val="0"/>
        <w:rPr>
          <w:sz w:val="22"/>
          <w:szCs w:val="22"/>
        </w:rPr>
      </w:pPr>
      <w:r>
        <w:rPr>
          <w:sz w:val="22"/>
          <w:szCs w:val="22"/>
        </w:rPr>
        <w:t>Il disorientamento emerge anche sulla rilevanza penale de</w:t>
      </w:r>
      <w:r w:rsidR="006006F8" w:rsidRPr="007F7EBF">
        <w:rPr>
          <w:sz w:val="22"/>
          <w:szCs w:val="22"/>
        </w:rPr>
        <w:t>ll</w:t>
      </w:r>
      <w:r w:rsidR="008B7A77" w:rsidRPr="007F7EBF">
        <w:rPr>
          <w:sz w:val="22"/>
          <w:szCs w:val="22"/>
        </w:rPr>
        <w:t>’</w:t>
      </w:r>
      <w:r w:rsidR="008B7A77" w:rsidRPr="007F7EBF">
        <w:rPr>
          <w:bCs/>
          <w:sz w:val="22"/>
          <w:szCs w:val="22"/>
        </w:rPr>
        <w:t xml:space="preserve">evasione da riscossione </w:t>
      </w:r>
      <w:r w:rsidR="008B7A77" w:rsidRPr="007F7EBF">
        <w:rPr>
          <w:sz w:val="22"/>
          <w:szCs w:val="22"/>
        </w:rPr>
        <w:t>(</w:t>
      </w:r>
      <w:r>
        <w:rPr>
          <w:sz w:val="22"/>
          <w:szCs w:val="22"/>
        </w:rPr>
        <w:t>par.6.11)</w:t>
      </w:r>
      <w:r w:rsidR="00B20A5D" w:rsidRPr="007F7EBF">
        <w:rPr>
          <w:sz w:val="22"/>
          <w:szCs w:val="22"/>
        </w:rPr>
        <w:t>, dove</w:t>
      </w:r>
      <w:r w:rsidR="008B7A77" w:rsidRPr="007F7EBF">
        <w:rPr>
          <w:sz w:val="22"/>
          <w:szCs w:val="22"/>
        </w:rPr>
        <w:t xml:space="preserve"> il decreto legislativo 74 puniva originariamente solo chi “occultava” il patrimonio per </w:t>
      </w:r>
      <w:r w:rsidR="008B7A77" w:rsidRPr="007F7EBF">
        <w:rPr>
          <w:b/>
          <w:sz w:val="22"/>
          <w:szCs w:val="22"/>
        </w:rPr>
        <w:t>sottrarlo</w:t>
      </w:r>
      <w:r w:rsidR="008B7A77" w:rsidRPr="007F7EBF">
        <w:rPr>
          <w:sz w:val="22"/>
          <w:szCs w:val="22"/>
        </w:rPr>
        <w:t xml:space="preserve"> all’e</w:t>
      </w:r>
      <w:r w:rsidR="008B7A77" w:rsidRPr="007F7EBF">
        <w:rPr>
          <w:b/>
          <w:sz w:val="22"/>
          <w:szCs w:val="22"/>
        </w:rPr>
        <w:t>secuzione</w:t>
      </w:r>
      <w:r>
        <w:rPr>
          <w:b/>
          <w:sz w:val="22"/>
          <w:szCs w:val="22"/>
        </w:rPr>
        <w:t xml:space="preserve"> </w:t>
      </w:r>
      <w:r w:rsidR="008B7A77" w:rsidRPr="007F7EBF">
        <w:rPr>
          <w:sz w:val="22"/>
          <w:szCs w:val="22"/>
        </w:rPr>
        <w:t xml:space="preserve">forzata, posteriore ai controlli; </w:t>
      </w:r>
      <w:r>
        <w:rPr>
          <w:sz w:val="22"/>
          <w:szCs w:val="22"/>
        </w:rPr>
        <w:t xml:space="preserve">le </w:t>
      </w:r>
      <w:r w:rsidR="008B7A77" w:rsidRPr="007F7EBF">
        <w:rPr>
          <w:sz w:val="22"/>
          <w:szCs w:val="22"/>
        </w:rPr>
        <w:t>sanzioni penali per chi dichiarava e non versava</w:t>
      </w:r>
      <w:r>
        <w:rPr>
          <w:sz w:val="22"/>
          <w:szCs w:val="22"/>
        </w:rPr>
        <w:t xml:space="preserve">, inizialmente escluse </w:t>
      </w:r>
      <w:r w:rsidR="00A75998">
        <w:rPr>
          <w:sz w:val="22"/>
          <w:szCs w:val="22"/>
        </w:rPr>
        <w:t>(</w:t>
      </w:r>
      <w:r w:rsidR="00D70C03" w:rsidRPr="007F7EBF">
        <w:rPr>
          <w:rStyle w:val="Rimandonotaapidipagina"/>
          <w:sz w:val="22"/>
          <w:szCs w:val="22"/>
        </w:rPr>
        <w:footnoteReference w:id="973"/>
      </w:r>
      <w:r w:rsidR="00A75998">
        <w:rPr>
          <w:sz w:val="22"/>
          <w:szCs w:val="22"/>
        </w:rPr>
        <w:t>)</w:t>
      </w:r>
      <w:r>
        <w:rPr>
          <w:sz w:val="22"/>
          <w:szCs w:val="22"/>
        </w:rPr>
        <w:t>, furono reintrodotte nel 2005 s</w:t>
      </w:r>
      <w:r w:rsidR="00D70C03" w:rsidRPr="007F7EBF">
        <w:rPr>
          <w:sz w:val="22"/>
          <w:szCs w:val="22"/>
        </w:rPr>
        <w:t>ull'onda delle frodi carosello, e degli omessi versamenti di ritenute</w:t>
      </w:r>
      <w:r w:rsidR="00A75998">
        <w:rPr>
          <w:sz w:val="22"/>
          <w:szCs w:val="22"/>
        </w:rPr>
        <w:t>(</w:t>
      </w:r>
      <w:r w:rsidR="00E6565C" w:rsidRPr="007F7EBF">
        <w:rPr>
          <w:rStyle w:val="Rimandonotaapidipagina"/>
          <w:sz w:val="22"/>
          <w:szCs w:val="22"/>
        </w:rPr>
        <w:footnoteReference w:id="974"/>
      </w:r>
      <w:r w:rsidR="00A75998">
        <w:rPr>
          <w:sz w:val="22"/>
          <w:szCs w:val="22"/>
        </w:rPr>
        <w:t>)</w:t>
      </w:r>
      <w:r>
        <w:rPr>
          <w:sz w:val="22"/>
          <w:szCs w:val="22"/>
        </w:rPr>
        <w:t>; non si tratta i</w:t>
      </w:r>
      <w:r w:rsidRPr="007F7EBF">
        <w:t xml:space="preserve">nfatti </w:t>
      </w:r>
      <w:r>
        <w:t>di</w:t>
      </w:r>
      <w:r w:rsidRPr="007F7EBF">
        <w:t xml:space="preserve"> “tributi propri”, ma </w:t>
      </w:r>
      <w:r>
        <w:t xml:space="preserve">di </w:t>
      </w:r>
      <w:r w:rsidR="00D70C03" w:rsidRPr="007F7EBF">
        <w:rPr>
          <w:sz w:val="22"/>
          <w:szCs w:val="22"/>
        </w:rPr>
        <w:t>"contribuenti di diritto"</w:t>
      </w:r>
      <w:r w:rsidR="00A75998">
        <w:rPr>
          <w:sz w:val="22"/>
          <w:szCs w:val="22"/>
        </w:rPr>
        <w:t>(</w:t>
      </w:r>
      <w:r>
        <w:rPr>
          <w:sz w:val="22"/>
          <w:szCs w:val="22"/>
        </w:rPr>
        <w:t>par.3.5)</w:t>
      </w:r>
      <w:r w:rsidR="00D70C03" w:rsidRPr="007F7EBF">
        <w:rPr>
          <w:sz w:val="22"/>
          <w:szCs w:val="22"/>
        </w:rPr>
        <w:t xml:space="preserve">, tenuti a tassare </w:t>
      </w:r>
      <w:r>
        <w:rPr>
          <w:sz w:val="22"/>
          <w:szCs w:val="22"/>
        </w:rPr>
        <w:t xml:space="preserve">ricchezza </w:t>
      </w:r>
      <w:r w:rsidR="00D70C03" w:rsidRPr="007F7EBF">
        <w:rPr>
          <w:sz w:val="22"/>
          <w:szCs w:val="22"/>
        </w:rPr>
        <w:t>relativ</w:t>
      </w:r>
      <w:r>
        <w:rPr>
          <w:sz w:val="22"/>
          <w:szCs w:val="22"/>
        </w:rPr>
        <w:t xml:space="preserve">a </w:t>
      </w:r>
      <w:r w:rsidR="00D70C03" w:rsidRPr="007F7EBF">
        <w:rPr>
          <w:sz w:val="22"/>
          <w:szCs w:val="22"/>
        </w:rPr>
        <w:t xml:space="preserve">a </w:t>
      </w:r>
      <w:r w:rsidR="00D70C03" w:rsidRPr="007F7EBF">
        <w:rPr>
          <w:sz w:val="22"/>
          <w:szCs w:val="22"/>
        </w:rPr>
        <w:lastRenderedPageBreak/>
        <w:t xml:space="preserve">terzi, senza poi versare le relative somme al fisco.  </w:t>
      </w:r>
      <w:r w:rsidR="006006F8" w:rsidRPr="007F7EBF">
        <w:rPr>
          <w:sz w:val="22"/>
          <w:szCs w:val="22"/>
        </w:rPr>
        <w:t>In questo modo sono stati i</w:t>
      </w:r>
      <w:r w:rsidR="006006F8" w:rsidRPr="007F7EBF">
        <w:rPr>
          <w:bCs/>
          <w:sz w:val="22"/>
          <w:szCs w:val="22"/>
        </w:rPr>
        <w:t>nconsapevolmente criminalizzati</w:t>
      </w:r>
      <w:r w:rsidR="008B7A77" w:rsidRPr="007F7EBF">
        <w:rPr>
          <w:bCs/>
          <w:sz w:val="22"/>
          <w:szCs w:val="22"/>
        </w:rPr>
        <w:t xml:space="preserve"> tutti i tardivi versamenti, </w:t>
      </w:r>
      <w:r w:rsidR="008B7A77" w:rsidRPr="007F7EBF">
        <w:rPr>
          <w:sz w:val="22"/>
          <w:szCs w:val="22"/>
        </w:rPr>
        <w:t xml:space="preserve">compresi quelli svolti da aziende con sostanza economica, </w:t>
      </w:r>
      <w:r w:rsidR="008B7A77" w:rsidRPr="007F7EBF">
        <w:rPr>
          <w:bCs/>
          <w:sz w:val="22"/>
          <w:szCs w:val="22"/>
        </w:rPr>
        <w:t>in semplice difficoltà finanziaria</w:t>
      </w:r>
      <w:r w:rsidR="008B7A77" w:rsidRPr="007F7EBF">
        <w:rPr>
          <w:sz w:val="22"/>
          <w:szCs w:val="22"/>
        </w:rPr>
        <w:t xml:space="preserve">, </w:t>
      </w:r>
      <w:r>
        <w:rPr>
          <w:sz w:val="22"/>
          <w:szCs w:val="22"/>
        </w:rPr>
        <w:t xml:space="preserve">che si </w:t>
      </w:r>
      <w:r w:rsidR="008B7A77" w:rsidRPr="007F7EBF">
        <w:rPr>
          <w:sz w:val="22"/>
          <w:szCs w:val="22"/>
        </w:rPr>
        <w:t>finanzia</w:t>
      </w:r>
      <w:r>
        <w:rPr>
          <w:sz w:val="22"/>
          <w:szCs w:val="22"/>
        </w:rPr>
        <w:t xml:space="preserve">vano </w:t>
      </w:r>
      <w:r w:rsidR="008B7A77" w:rsidRPr="007F7EBF">
        <w:rPr>
          <w:sz w:val="22"/>
          <w:szCs w:val="22"/>
        </w:rPr>
        <w:t>momentaneamente a carico del fisco, come indicato al par.6.11</w:t>
      </w:r>
      <w:r>
        <w:rPr>
          <w:sz w:val="22"/>
          <w:szCs w:val="22"/>
        </w:rPr>
        <w:t>, non versando le somme in esame</w:t>
      </w:r>
      <w:r w:rsidR="008B7A77" w:rsidRPr="007F7EBF">
        <w:rPr>
          <w:sz w:val="22"/>
          <w:szCs w:val="22"/>
        </w:rPr>
        <w:t>. S</w:t>
      </w:r>
      <w:r>
        <w:rPr>
          <w:sz w:val="22"/>
          <w:szCs w:val="22"/>
        </w:rPr>
        <w:t>i sono consolidat</w:t>
      </w:r>
      <w:r w:rsidR="00AC1668">
        <w:rPr>
          <w:sz w:val="22"/>
          <w:szCs w:val="22"/>
        </w:rPr>
        <w:t>e</w:t>
      </w:r>
      <w:r>
        <w:rPr>
          <w:sz w:val="22"/>
          <w:szCs w:val="22"/>
        </w:rPr>
        <w:t xml:space="preserve"> qu</w:t>
      </w:r>
      <w:r w:rsidR="008B7A77" w:rsidRPr="007F7EBF">
        <w:rPr>
          <w:sz w:val="22"/>
          <w:szCs w:val="22"/>
        </w:rPr>
        <w:t xml:space="preserve">indi </w:t>
      </w:r>
      <w:r w:rsidR="00AC1668">
        <w:rPr>
          <w:sz w:val="22"/>
          <w:szCs w:val="22"/>
        </w:rPr>
        <w:t>tendenze</w:t>
      </w:r>
      <w:r w:rsidR="008B7A77" w:rsidRPr="007F7EBF">
        <w:rPr>
          <w:sz w:val="22"/>
          <w:szCs w:val="22"/>
        </w:rPr>
        <w:t xml:space="preserve"> giurisprudenziali </w:t>
      </w:r>
      <w:r w:rsidR="00AC1668">
        <w:rPr>
          <w:sz w:val="22"/>
          <w:szCs w:val="22"/>
        </w:rPr>
        <w:t xml:space="preserve">che </w:t>
      </w:r>
      <w:r w:rsidR="008B7A77" w:rsidRPr="007F7EBF">
        <w:rPr>
          <w:sz w:val="22"/>
          <w:szCs w:val="22"/>
        </w:rPr>
        <w:t>esclud</w:t>
      </w:r>
      <w:r w:rsidR="00AC1668">
        <w:rPr>
          <w:sz w:val="22"/>
          <w:szCs w:val="22"/>
        </w:rPr>
        <w:t>ono</w:t>
      </w:r>
      <w:r w:rsidR="008B7A77" w:rsidRPr="007F7EBF">
        <w:rPr>
          <w:sz w:val="22"/>
          <w:szCs w:val="22"/>
        </w:rPr>
        <w:t xml:space="preserve"> sanzioni penali per </w:t>
      </w:r>
      <w:r>
        <w:rPr>
          <w:sz w:val="22"/>
          <w:szCs w:val="22"/>
        </w:rPr>
        <w:t>quest’ipotesi</w:t>
      </w:r>
      <w:r w:rsidR="00E44222">
        <w:rPr>
          <w:sz w:val="22"/>
          <w:szCs w:val="22"/>
        </w:rPr>
        <w:t xml:space="preserve"> </w:t>
      </w:r>
      <w:r w:rsidR="00A75998">
        <w:rPr>
          <w:sz w:val="22"/>
          <w:szCs w:val="22"/>
        </w:rPr>
        <w:t>(</w:t>
      </w:r>
      <w:r w:rsidR="006006F8" w:rsidRPr="007F7EBF">
        <w:rPr>
          <w:rStyle w:val="Rimandonotaapidipagina"/>
          <w:sz w:val="22"/>
          <w:szCs w:val="22"/>
        </w:rPr>
        <w:footnoteReference w:id="975"/>
      </w:r>
      <w:r w:rsidR="00A75998">
        <w:rPr>
          <w:sz w:val="22"/>
          <w:szCs w:val="22"/>
        </w:rPr>
        <w:t>)</w:t>
      </w:r>
      <w:r w:rsidR="008B7A77" w:rsidRPr="007F7EBF">
        <w:rPr>
          <w:sz w:val="22"/>
          <w:szCs w:val="22"/>
        </w:rPr>
        <w:t>.</w:t>
      </w:r>
      <w:r w:rsidR="00451118">
        <w:rPr>
          <w:sz w:val="22"/>
          <w:szCs w:val="22"/>
        </w:rPr>
        <w:t xml:space="preserve"> </w:t>
      </w:r>
    </w:p>
    <w:p w14:paraId="515062ED" w14:textId="77777777" w:rsidR="00FE0BC0" w:rsidRPr="007F7EBF" w:rsidRDefault="00FE0BC0" w:rsidP="00FE0BC0">
      <w:pPr>
        <w:pStyle w:val="tit23"/>
        <w:ind w:left="6464" w:right="-1361" w:firstLine="0"/>
        <w:jc w:val="left"/>
        <w:rPr>
          <w:bCs/>
          <w:i/>
          <w:iCs/>
          <w:color w:val="0000FF"/>
          <w:lang w:val="it-IT"/>
        </w:rPr>
      </w:pPr>
      <w:r w:rsidRPr="007F7EBF">
        <w:rPr>
          <w:bCs/>
          <w:i/>
          <w:iCs/>
          <w:color w:val="0000FF"/>
          <w:lang w:val="it-IT"/>
        </w:rPr>
        <w:t>Richiami penalistici</w:t>
      </w:r>
    </w:p>
    <w:p w14:paraId="13EFFE3C" w14:textId="4E419CE0" w:rsidR="006342C5" w:rsidRPr="007F7EBF" w:rsidRDefault="006342C5" w:rsidP="00D83427">
      <w:pPr>
        <w:autoSpaceDE w:val="0"/>
        <w:autoSpaceDN w:val="0"/>
        <w:adjustRightInd w:val="0"/>
        <w:rPr>
          <w:bCs/>
          <w:sz w:val="22"/>
          <w:szCs w:val="22"/>
        </w:rPr>
      </w:pPr>
      <w:r w:rsidRPr="007F7EBF">
        <w:rPr>
          <w:sz w:val="22"/>
          <w:szCs w:val="22"/>
        </w:rPr>
        <w:t xml:space="preserve">La disciplina </w:t>
      </w:r>
      <w:proofErr w:type="spellStart"/>
      <w:r w:rsidRPr="007F7EBF">
        <w:rPr>
          <w:sz w:val="22"/>
          <w:szCs w:val="22"/>
        </w:rPr>
        <w:t>penaltributaria</w:t>
      </w:r>
      <w:proofErr w:type="spellEnd"/>
      <w:r w:rsidRPr="007F7EBF">
        <w:rPr>
          <w:sz w:val="22"/>
          <w:szCs w:val="22"/>
        </w:rPr>
        <w:t xml:space="preserve"> sopra descritta segue ovviamente i criteri generali del</w:t>
      </w:r>
      <w:r w:rsidR="005F2BFC" w:rsidRPr="007F7EBF">
        <w:rPr>
          <w:sz w:val="22"/>
          <w:szCs w:val="22"/>
        </w:rPr>
        <w:t xml:space="preserve"> </w:t>
      </w:r>
      <w:r w:rsidRPr="007F7EBF">
        <w:rPr>
          <w:sz w:val="22"/>
          <w:szCs w:val="22"/>
        </w:rPr>
        <w:t xml:space="preserve">diritto penale, quanto a </w:t>
      </w:r>
      <w:r w:rsidRPr="007F7EBF">
        <w:rPr>
          <w:bCs/>
          <w:sz w:val="22"/>
          <w:szCs w:val="22"/>
        </w:rPr>
        <w:t xml:space="preserve">identificazione del reato </w:t>
      </w:r>
      <w:r w:rsidRPr="007F7EBF">
        <w:rPr>
          <w:sz w:val="22"/>
          <w:szCs w:val="22"/>
        </w:rPr>
        <w:t>in base alla pena, alla dialettica</w:t>
      </w:r>
      <w:r w:rsidR="0046465B" w:rsidRPr="007F7EBF">
        <w:rPr>
          <w:sz w:val="22"/>
          <w:szCs w:val="22"/>
        </w:rPr>
        <w:t xml:space="preserve"> </w:t>
      </w:r>
      <w:r w:rsidRPr="007F7EBF">
        <w:rPr>
          <w:sz w:val="22"/>
          <w:szCs w:val="22"/>
        </w:rPr>
        <w:t xml:space="preserve">tra pubblico ministero e giudice, </w:t>
      </w:r>
      <w:r w:rsidR="00E44222">
        <w:rPr>
          <w:sz w:val="22"/>
          <w:szCs w:val="22"/>
        </w:rPr>
        <w:t xml:space="preserve">alla </w:t>
      </w:r>
      <w:r w:rsidR="0046465B" w:rsidRPr="007F7EBF">
        <w:rPr>
          <w:sz w:val="22"/>
          <w:szCs w:val="22"/>
        </w:rPr>
        <w:t xml:space="preserve">perseguibilità d'ufficio, </w:t>
      </w:r>
      <w:r w:rsidR="00E44222">
        <w:rPr>
          <w:sz w:val="22"/>
          <w:szCs w:val="22"/>
        </w:rPr>
        <w:t>all’</w:t>
      </w:r>
      <w:r w:rsidR="00231B1B" w:rsidRPr="007F7EBF">
        <w:rPr>
          <w:sz w:val="22"/>
          <w:szCs w:val="22"/>
        </w:rPr>
        <w:t xml:space="preserve">obbligo di rapporto per i pubblici uffici, </w:t>
      </w:r>
      <w:r w:rsidR="00E44222">
        <w:rPr>
          <w:sz w:val="22"/>
          <w:szCs w:val="22"/>
        </w:rPr>
        <w:t>all’</w:t>
      </w:r>
      <w:r w:rsidRPr="007F7EBF">
        <w:rPr>
          <w:bCs/>
          <w:sz w:val="22"/>
          <w:szCs w:val="22"/>
        </w:rPr>
        <w:t>irretroattività</w:t>
      </w:r>
      <w:r w:rsidR="0046465B" w:rsidRPr="007F7EBF">
        <w:rPr>
          <w:bCs/>
          <w:sz w:val="22"/>
          <w:szCs w:val="22"/>
        </w:rPr>
        <w:t xml:space="preserve">, </w:t>
      </w:r>
      <w:r w:rsidR="00E44222">
        <w:rPr>
          <w:bCs/>
          <w:sz w:val="22"/>
          <w:szCs w:val="22"/>
        </w:rPr>
        <w:t>all’</w:t>
      </w:r>
      <w:r w:rsidRPr="007F7EBF">
        <w:rPr>
          <w:bCs/>
          <w:sz w:val="22"/>
          <w:szCs w:val="22"/>
        </w:rPr>
        <w:t>applicazione della legge</w:t>
      </w:r>
      <w:r w:rsidR="005F2BFC" w:rsidRPr="007F7EBF">
        <w:rPr>
          <w:bCs/>
          <w:sz w:val="22"/>
          <w:szCs w:val="22"/>
        </w:rPr>
        <w:t xml:space="preserve"> </w:t>
      </w:r>
      <w:r w:rsidRPr="007F7EBF">
        <w:rPr>
          <w:bCs/>
          <w:sz w:val="22"/>
          <w:szCs w:val="22"/>
        </w:rPr>
        <w:t>successiva più favorevole al reo</w:t>
      </w:r>
      <w:r w:rsidRPr="007F7EBF">
        <w:rPr>
          <w:sz w:val="22"/>
          <w:szCs w:val="22"/>
        </w:rPr>
        <w:t xml:space="preserve">, </w:t>
      </w:r>
      <w:r w:rsidR="00E44222">
        <w:rPr>
          <w:sz w:val="22"/>
          <w:szCs w:val="22"/>
        </w:rPr>
        <w:t xml:space="preserve">al </w:t>
      </w:r>
      <w:r w:rsidRPr="007F7EBF">
        <w:rPr>
          <w:bCs/>
          <w:sz w:val="22"/>
          <w:szCs w:val="22"/>
        </w:rPr>
        <w:t>concorso di reati</w:t>
      </w:r>
      <w:r w:rsidR="0046465B" w:rsidRPr="007F7EBF">
        <w:rPr>
          <w:bCs/>
          <w:sz w:val="22"/>
          <w:szCs w:val="22"/>
        </w:rPr>
        <w:t xml:space="preserve">, </w:t>
      </w:r>
      <w:r w:rsidRPr="007F7EBF">
        <w:rPr>
          <w:sz w:val="22"/>
          <w:szCs w:val="22"/>
        </w:rPr>
        <w:t xml:space="preserve">punibilità del </w:t>
      </w:r>
      <w:r w:rsidR="005F2BFC" w:rsidRPr="007F7EBF">
        <w:rPr>
          <w:sz w:val="22"/>
          <w:szCs w:val="22"/>
        </w:rPr>
        <w:t>r</w:t>
      </w:r>
      <w:r w:rsidRPr="007F7EBF">
        <w:rPr>
          <w:sz w:val="22"/>
          <w:szCs w:val="22"/>
        </w:rPr>
        <w:t>appresentante</w:t>
      </w:r>
      <w:r w:rsidR="005F2BFC" w:rsidRPr="007F7EBF">
        <w:rPr>
          <w:sz w:val="22"/>
          <w:szCs w:val="22"/>
        </w:rPr>
        <w:t xml:space="preserve"> </w:t>
      </w:r>
      <w:r w:rsidRPr="007F7EBF">
        <w:rPr>
          <w:sz w:val="22"/>
          <w:szCs w:val="22"/>
        </w:rPr>
        <w:t xml:space="preserve">delle persone giuridiche, </w:t>
      </w:r>
      <w:r w:rsidR="00E44222">
        <w:rPr>
          <w:sz w:val="22"/>
          <w:szCs w:val="22"/>
        </w:rPr>
        <w:t xml:space="preserve">alla </w:t>
      </w:r>
      <w:r w:rsidR="00202EE5" w:rsidRPr="007F7EBF">
        <w:rPr>
          <w:sz w:val="22"/>
          <w:szCs w:val="22"/>
        </w:rPr>
        <w:t>prescrizione</w:t>
      </w:r>
      <w:r w:rsidR="00762E2A">
        <w:rPr>
          <w:sz w:val="22"/>
          <w:szCs w:val="22"/>
        </w:rPr>
        <w:t xml:space="preserve"> </w:t>
      </w:r>
      <w:r w:rsidR="00A75998">
        <w:rPr>
          <w:sz w:val="22"/>
          <w:szCs w:val="22"/>
        </w:rPr>
        <w:t>(</w:t>
      </w:r>
      <w:r w:rsidR="00F33FFC" w:rsidRPr="007F7EBF">
        <w:rPr>
          <w:rStyle w:val="Rimandonotaapidipagina"/>
          <w:sz w:val="22"/>
          <w:szCs w:val="22"/>
        </w:rPr>
        <w:footnoteReference w:id="976"/>
      </w:r>
      <w:r w:rsidR="00A75998">
        <w:rPr>
          <w:sz w:val="22"/>
          <w:szCs w:val="22"/>
        </w:rPr>
        <w:t>)</w:t>
      </w:r>
      <w:r w:rsidR="00231B1B" w:rsidRPr="007F7EBF">
        <w:rPr>
          <w:sz w:val="22"/>
          <w:szCs w:val="22"/>
        </w:rPr>
        <w:t>. Manca anche u</w:t>
      </w:r>
      <w:r w:rsidRPr="007F7EBF">
        <w:rPr>
          <w:sz w:val="22"/>
          <w:szCs w:val="22"/>
        </w:rPr>
        <w:t>na automatica va</w:t>
      </w:r>
      <w:r w:rsidR="00E27391" w:rsidRPr="007F7EBF">
        <w:rPr>
          <w:sz w:val="22"/>
          <w:szCs w:val="22"/>
        </w:rPr>
        <w:t>lenza</w:t>
      </w:r>
      <w:r w:rsidR="0046465B" w:rsidRPr="007F7EBF">
        <w:rPr>
          <w:sz w:val="22"/>
          <w:szCs w:val="22"/>
        </w:rPr>
        <w:t>, in sede tributaria,</w:t>
      </w:r>
      <w:r w:rsidR="00E27391" w:rsidRPr="007F7EBF">
        <w:rPr>
          <w:sz w:val="22"/>
          <w:szCs w:val="22"/>
        </w:rPr>
        <w:t xml:space="preserve"> </w:t>
      </w:r>
      <w:r w:rsidRPr="007F7EBF">
        <w:rPr>
          <w:sz w:val="22"/>
          <w:szCs w:val="22"/>
        </w:rPr>
        <w:t>di quanto</w:t>
      </w:r>
      <w:r w:rsidR="00EC5C67" w:rsidRPr="007F7EBF">
        <w:rPr>
          <w:sz w:val="22"/>
          <w:szCs w:val="22"/>
        </w:rPr>
        <w:t xml:space="preserve"> </w:t>
      </w:r>
      <w:r w:rsidR="00E27391" w:rsidRPr="007F7EBF">
        <w:rPr>
          <w:sz w:val="22"/>
          <w:szCs w:val="22"/>
        </w:rPr>
        <w:t>accertato in sede penale</w:t>
      </w:r>
      <w:r w:rsidR="00231B1B" w:rsidRPr="007F7EBF">
        <w:rPr>
          <w:sz w:val="22"/>
          <w:szCs w:val="22"/>
        </w:rPr>
        <w:t xml:space="preserve">, e viceversa </w:t>
      </w:r>
      <w:r w:rsidR="00A75998">
        <w:rPr>
          <w:sz w:val="22"/>
          <w:szCs w:val="22"/>
        </w:rPr>
        <w:t>(</w:t>
      </w:r>
      <w:r w:rsidR="00E27391" w:rsidRPr="007F7EBF">
        <w:rPr>
          <w:rStyle w:val="Rimandonotaapidipagina"/>
          <w:sz w:val="22"/>
          <w:szCs w:val="22"/>
        </w:rPr>
        <w:footnoteReference w:id="977"/>
      </w:r>
      <w:r w:rsidR="00A75998">
        <w:rPr>
          <w:sz w:val="22"/>
          <w:szCs w:val="22"/>
        </w:rPr>
        <w:t>)</w:t>
      </w:r>
      <w:r w:rsidR="00E27391" w:rsidRPr="007F7EBF">
        <w:rPr>
          <w:sz w:val="22"/>
          <w:szCs w:val="22"/>
        </w:rPr>
        <w:t xml:space="preserve">. </w:t>
      </w:r>
    </w:p>
    <w:p w14:paraId="78F8F8FE" w14:textId="77777777" w:rsidR="00471E9C" w:rsidRPr="007F7EBF" w:rsidRDefault="00471E9C" w:rsidP="006342C5">
      <w:pPr>
        <w:autoSpaceDE w:val="0"/>
        <w:autoSpaceDN w:val="0"/>
        <w:adjustRightInd w:val="0"/>
        <w:rPr>
          <w:b/>
          <w:bCs/>
          <w:sz w:val="22"/>
          <w:szCs w:val="22"/>
        </w:rPr>
      </w:pPr>
    </w:p>
    <w:p w14:paraId="02752722" w14:textId="13FEFE15" w:rsidR="006342C5" w:rsidRPr="007F7EBF" w:rsidRDefault="008B7A77" w:rsidP="00A17957">
      <w:pPr>
        <w:pStyle w:val="Titolo3"/>
        <w:rPr>
          <w:rFonts w:ascii="Times New Roman" w:hAnsi="Times New Roman"/>
          <w:sz w:val="22"/>
          <w:szCs w:val="22"/>
          <w:lang w:val="it-IT"/>
        </w:rPr>
      </w:pPr>
      <w:bookmarkStart w:id="97" w:name="_Toc63365008"/>
      <w:r w:rsidRPr="007F7EBF">
        <w:rPr>
          <w:rFonts w:ascii="Times New Roman" w:hAnsi="Times New Roman"/>
          <w:sz w:val="22"/>
          <w:szCs w:val="22"/>
        </w:rPr>
        <w:t>PA</w:t>
      </w:r>
      <w:r w:rsidR="006342C5" w:rsidRPr="007F7EBF">
        <w:rPr>
          <w:rFonts w:ascii="Times New Roman" w:hAnsi="Times New Roman"/>
          <w:sz w:val="22"/>
          <w:szCs w:val="22"/>
        </w:rPr>
        <w:t>RTE SECONDA</w:t>
      </w:r>
      <w:r w:rsidR="00C051C2" w:rsidRPr="007F7EBF">
        <w:rPr>
          <w:rFonts w:ascii="Times New Roman" w:hAnsi="Times New Roman"/>
          <w:sz w:val="22"/>
          <w:szCs w:val="22"/>
          <w:lang w:val="it-IT"/>
        </w:rPr>
        <w:t xml:space="preserve"> . </w:t>
      </w:r>
      <w:r w:rsidR="002B61FF">
        <w:rPr>
          <w:rFonts w:ascii="Times New Roman" w:hAnsi="Times New Roman"/>
          <w:b w:val="0"/>
          <w:i/>
          <w:sz w:val="22"/>
          <w:szCs w:val="22"/>
          <w:lang w:val="it-IT"/>
        </w:rPr>
        <w:t xml:space="preserve">DAI PRESUPPOSTI ECONOMICI ALLE IMPOSTE </w:t>
      </w:r>
      <w:r w:rsidR="007A7CFA" w:rsidRPr="007F7EBF">
        <w:rPr>
          <w:rFonts w:ascii="Times New Roman" w:hAnsi="Times New Roman"/>
          <w:b w:val="0"/>
          <w:i/>
          <w:sz w:val="22"/>
          <w:szCs w:val="22"/>
          <w:lang w:val="it-IT"/>
        </w:rPr>
        <w:t>.</w:t>
      </w:r>
      <w:bookmarkEnd w:id="97"/>
    </w:p>
    <w:p w14:paraId="636AE465" w14:textId="77777777" w:rsidR="006342C5" w:rsidRPr="007F7EBF" w:rsidRDefault="006342C5" w:rsidP="006342C5">
      <w:pPr>
        <w:autoSpaceDE w:val="0"/>
        <w:autoSpaceDN w:val="0"/>
        <w:adjustRightInd w:val="0"/>
        <w:rPr>
          <w:i/>
          <w:iCs/>
          <w:sz w:val="22"/>
          <w:szCs w:val="22"/>
        </w:rPr>
      </w:pPr>
    </w:p>
    <w:p w14:paraId="16C8D482" w14:textId="77777777" w:rsidR="006342C5" w:rsidRPr="007F7EBF" w:rsidRDefault="000D0F0D" w:rsidP="000D0F0D">
      <w:pPr>
        <w:pStyle w:val="Titolo3"/>
        <w:rPr>
          <w:rFonts w:ascii="Times New Roman" w:hAnsi="Times New Roman"/>
          <w:sz w:val="22"/>
          <w:szCs w:val="22"/>
          <w:lang w:val="it-IT"/>
        </w:rPr>
      </w:pPr>
      <w:bookmarkStart w:id="98" w:name="_Toc63365009"/>
      <w:r w:rsidRPr="007F7EBF">
        <w:rPr>
          <w:rFonts w:ascii="Times New Roman" w:hAnsi="Times New Roman"/>
          <w:sz w:val="22"/>
          <w:szCs w:val="22"/>
        </w:rPr>
        <w:t>C</w:t>
      </w:r>
      <w:r w:rsidR="00F8026B" w:rsidRPr="007F7EBF">
        <w:rPr>
          <w:rFonts w:ascii="Times New Roman" w:hAnsi="Times New Roman"/>
          <w:sz w:val="22"/>
          <w:szCs w:val="22"/>
        </w:rPr>
        <w:t xml:space="preserve">APITOLO 7 </w:t>
      </w:r>
      <w:r w:rsidRPr="007F7EBF">
        <w:rPr>
          <w:rFonts w:ascii="Times New Roman" w:hAnsi="Times New Roman"/>
          <w:sz w:val="22"/>
          <w:szCs w:val="22"/>
        </w:rPr>
        <w:t>DETERMINA</w:t>
      </w:r>
      <w:r w:rsidR="00F8026B" w:rsidRPr="007F7EBF">
        <w:rPr>
          <w:rFonts w:ascii="Times New Roman" w:hAnsi="Times New Roman"/>
          <w:sz w:val="22"/>
          <w:szCs w:val="22"/>
        </w:rPr>
        <w:t>ZIONE SIMUL</w:t>
      </w:r>
      <w:r w:rsidR="007A7CFA" w:rsidRPr="007F7EBF">
        <w:rPr>
          <w:rFonts w:ascii="Times New Roman" w:hAnsi="Times New Roman"/>
          <w:sz w:val="22"/>
          <w:szCs w:val="22"/>
          <w:lang w:val="it-IT"/>
        </w:rPr>
        <w:t>T</w:t>
      </w:r>
      <w:r w:rsidR="00F8026B" w:rsidRPr="007F7EBF">
        <w:rPr>
          <w:rFonts w:ascii="Times New Roman" w:hAnsi="Times New Roman"/>
          <w:sz w:val="22"/>
          <w:szCs w:val="22"/>
        </w:rPr>
        <w:t xml:space="preserve">ANEA DI CONSUMI E REDDITI </w:t>
      </w:r>
      <w:r w:rsidR="006342C5" w:rsidRPr="007F7EBF">
        <w:rPr>
          <w:rFonts w:ascii="Times New Roman" w:hAnsi="Times New Roman"/>
          <w:sz w:val="22"/>
          <w:szCs w:val="22"/>
        </w:rPr>
        <w:t xml:space="preserve">ATTRAVERSO </w:t>
      </w:r>
      <w:r w:rsidR="002238D6" w:rsidRPr="007F7EBF">
        <w:rPr>
          <w:rFonts w:ascii="Times New Roman" w:hAnsi="Times New Roman"/>
          <w:sz w:val="22"/>
          <w:szCs w:val="22"/>
          <w:lang w:val="it-IT"/>
        </w:rPr>
        <w:t>GLI OPERATORI ECONOMICI</w:t>
      </w:r>
      <w:bookmarkEnd w:id="98"/>
    </w:p>
    <w:p w14:paraId="318D333A" w14:textId="5676D797" w:rsidR="00BD209D" w:rsidRPr="007F7EBF" w:rsidRDefault="00BD209D" w:rsidP="00BD209D">
      <w:pPr>
        <w:rPr>
          <w:sz w:val="22"/>
          <w:szCs w:val="22"/>
        </w:rPr>
      </w:pPr>
      <w:r w:rsidRPr="007F7EBF">
        <w:rPr>
          <w:sz w:val="22"/>
          <w:szCs w:val="22"/>
        </w:rPr>
        <w:t xml:space="preserve">Sintesi: La </w:t>
      </w:r>
      <w:r w:rsidR="00390989">
        <w:rPr>
          <w:sz w:val="22"/>
          <w:szCs w:val="22"/>
        </w:rPr>
        <w:t>seconda</w:t>
      </w:r>
      <w:r w:rsidR="00D1127F" w:rsidRPr="007F7EBF">
        <w:rPr>
          <w:sz w:val="22"/>
          <w:szCs w:val="22"/>
        </w:rPr>
        <w:t xml:space="preserve"> parte del testo guarda </w:t>
      </w:r>
      <w:r w:rsidR="00390989">
        <w:rPr>
          <w:sz w:val="22"/>
          <w:szCs w:val="22"/>
        </w:rPr>
        <w:t xml:space="preserve">alla </w:t>
      </w:r>
      <w:r w:rsidR="008D7484" w:rsidRPr="007F7EBF">
        <w:rPr>
          <w:sz w:val="22"/>
          <w:szCs w:val="22"/>
        </w:rPr>
        <w:t xml:space="preserve">specificazione </w:t>
      </w:r>
      <w:r w:rsidR="00390989">
        <w:rPr>
          <w:sz w:val="22"/>
          <w:szCs w:val="22"/>
        </w:rPr>
        <w:t xml:space="preserve">giuridica </w:t>
      </w:r>
      <w:r w:rsidR="008D7484" w:rsidRPr="007F7EBF">
        <w:rPr>
          <w:sz w:val="22"/>
          <w:szCs w:val="22"/>
        </w:rPr>
        <w:t>de</w:t>
      </w:r>
      <w:r w:rsidR="00390989">
        <w:rPr>
          <w:sz w:val="22"/>
          <w:szCs w:val="22"/>
        </w:rPr>
        <w:t xml:space="preserve">lle astrazioni </w:t>
      </w:r>
      <w:r w:rsidR="008D7484" w:rsidRPr="007F7EBF">
        <w:rPr>
          <w:sz w:val="22"/>
          <w:szCs w:val="22"/>
        </w:rPr>
        <w:t>economic</w:t>
      </w:r>
      <w:r w:rsidR="00390989">
        <w:rPr>
          <w:sz w:val="22"/>
          <w:szCs w:val="22"/>
        </w:rPr>
        <w:t>he</w:t>
      </w:r>
      <w:r w:rsidR="008D7484" w:rsidRPr="007F7EBF">
        <w:rPr>
          <w:sz w:val="22"/>
          <w:szCs w:val="22"/>
        </w:rPr>
        <w:t xml:space="preserve"> di cui al par.1.8 (</w:t>
      </w:r>
      <w:r w:rsidRPr="007F7EBF">
        <w:rPr>
          <w:sz w:val="22"/>
          <w:szCs w:val="22"/>
        </w:rPr>
        <w:t>reddito, consumo, patrimonio</w:t>
      </w:r>
      <w:r w:rsidR="008D7484" w:rsidRPr="007F7EBF">
        <w:rPr>
          <w:sz w:val="22"/>
          <w:szCs w:val="22"/>
        </w:rPr>
        <w:t>)</w:t>
      </w:r>
      <w:r w:rsidRPr="007F7EBF">
        <w:rPr>
          <w:sz w:val="22"/>
          <w:szCs w:val="22"/>
        </w:rPr>
        <w:t xml:space="preserve">. Questa puntualizzazione normativa </w:t>
      </w:r>
      <w:r w:rsidR="00390989">
        <w:rPr>
          <w:sz w:val="22"/>
          <w:szCs w:val="22"/>
        </w:rPr>
        <w:t>av</w:t>
      </w:r>
      <w:r w:rsidRPr="007F7EBF">
        <w:rPr>
          <w:sz w:val="22"/>
          <w:szCs w:val="22"/>
        </w:rPr>
        <w:t xml:space="preserve">viene anche in </w:t>
      </w:r>
      <w:r w:rsidRPr="007F7EBF">
        <w:rPr>
          <w:sz w:val="22"/>
          <w:szCs w:val="22"/>
        </w:rPr>
        <w:lastRenderedPageBreak/>
        <w:t>relazione a esigenze di semplicità di rilevazione, controllabilità amministrativa, cautela fiscale diretta ad evitare stratagemmi. E’ un insieme di profili riguardanti soprattutto le aziende, in cui la ricchezza si produce e da cui partiremo, tenendo presente che l’attività economica rileva al tempo stesso, saltando i passaggi intermedi e guarda</w:t>
      </w:r>
      <w:r w:rsidR="00231B1B" w:rsidRPr="007F7EBF">
        <w:rPr>
          <w:sz w:val="22"/>
          <w:szCs w:val="22"/>
        </w:rPr>
        <w:t xml:space="preserve">ndo le prestazioni al consumo, </w:t>
      </w:r>
      <w:r w:rsidRPr="007F7EBF">
        <w:rPr>
          <w:sz w:val="22"/>
          <w:szCs w:val="22"/>
        </w:rPr>
        <w:t>come reddito per il fornitore e cons</w:t>
      </w:r>
      <w:r w:rsidR="00A10368" w:rsidRPr="007F7EBF">
        <w:rPr>
          <w:sz w:val="22"/>
          <w:szCs w:val="22"/>
        </w:rPr>
        <w:t>umo per il cliente. T</w:t>
      </w:r>
      <w:r w:rsidRPr="007F7EBF">
        <w:rPr>
          <w:sz w:val="22"/>
          <w:szCs w:val="22"/>
        </w:rPr>
        <w:t xml:space="preserve">ratteremo </w:t>
      </w:r>
      <w:r w:rsidR="00A10368" w:rsidRPr="007F7EBF">
        <w:rPr>
          <w:sz w:val="22"/>
          <w:szCs w:val="22"/>
        </w:rPr>
        <w:t xml:space="preserve">quindi </w:t>
      </w:r>
      <w:r w:rsidRPr="007F7EBF">
        <w:rPr>
          <w:sz w:val="22"/>
          <w:szCs w:val="22"/>
        </w:rPr>
        <w:t xml:space="preserve">in parallelo le imposte sui redditi e l’IVA, entrambe “differenziali” in quanto, nei passaggi intermedi tra operatori economici, la ricchezza è ancora allo stato latente, </w:t>
      </w:r>
      <w:proofErr w:type="spellStart"/>
      <w:r w:rsidRPr="007F7EBF">
        <w:rPr>
          <w:sz w:val="22"/>
          <w:szCs w:val="22"/>
        </w:rPr>
        <w:t>finchè</w:t>
      </w:r>
      <w:proofErr w:type="spellEnd"/>
      <w:r w:rsidRPr="007F7EBF">
        <w:rPr>
          <w:sz w:val="22"/>
          <w:szCs w:val="22"/>
        </w:rPr>
        <w:t xml:space="preserve"> non arriva  al consumo, pubblico o privato, di beni durevoli,  merci immediatamente consumabili o servizi, oppure all’esportazione. Questa depurazione dei passaggi intermedi  è più complessa e raffinata nell’IVA , in cui bisogna sterilizzare (neutralizzare) i passaggi tra operatori economici, il che può avvenire con le tecniche della detrazio</w:t>
      </w:r>
      <w:r w:rsidR="00A10368" w:rsidRPr="007F7EBF">
        <w:rPr>
          <w:sz w:val="22"/>
          <w:szCs w:val="22"/>
        </w:rPr>
        <w:t>ne o della non imponibilità (par. 7.2-7.4).</w:t>
      </w:r>
      <w:r w:rsidRPr="007F7EBF">
        <w:rPr>
          <w:sz w:val="22"/>
          <w:szCs w:val="22"/>
        </w:rPr>
        <w:t xml:space="preserve"> Dal paragrafo 7.5 torn</w:t>
      </w:r>
      <w:r w:rsidR="009C0C40">
        <w:rPr>
          <w:sz w:val="22"/>
          <w:szCs w:val="22"/>
        </w:rPr>
        <w:t>eremo</w:t>
      </w:r>
      <w:r w:rsidRPr="007F7EBF">
        <w:rPr>
          <w:sz w:val="22"/>
          <w:szCs w:val="22"/>
        </w:rPr>
        <w:t xml:space="preserve"> a trattare in parallelo i due tributi a proposito dell’amplissima definizione di “impresa tributaria”, dove si mescolano aziende pluripersonali  e </w:t>
      </w:r>
      <w:r w:rsidR="00390989">
        <w:rPr>
          <w:sz w:val="22"/>
          <w:szCs w:val="22"/>
        </w:rPr>
        <w:t>artigiani</w:t>
      </w:r>
      <w:r w:rsidRPr="007F7EBF">
        <w:rPr>
          <w:sz w:val="22"/>
          <w:szCs w:val="22"/>
        </w:rPr>
        <w:t>, già anti</w:t>
      </w:r>
      <w:r w:rsidR="00A10368" w:rsidRPr="007F7EBF">
        <w:rPr>
          <w:sz w:val="22"/>
          <w:szCs w:val="22"/>
        </w:rPr>
        <w:t xml:space="preserve">cipata  ai paragrafi  3.1 e 3.13, </w:t>
      </w:r>
      <w:r w:rsidRPr="007F7EBF">
        <w:rPr>
          <w:sz w:val="22"/>
          <w:szCs w:val="22"/>
        </w:rPr>
        <w:t>sulla superflua “contabilità fiscale”. Seguono altri  punti di contatto concettuali (riferimento ai corrispettivi par. 7.6), documentali (fatture e registrazioni degli incassi al dettaglio par. 7.7 e 7.8)  tra imposte sui redditi ed IVA, accomunate anche dalla necessità di distinguere “costi e c</w:t>
      </w:r>
      <w:r w:rsidR="00A10368" w:rsidRPr="007F7EBF">
        <w:rPr>
          <w:sz w:val="22"/>
          <w:szCs w:val="22"/>
        </w:rPr>
        <w:t xml:space="preserve">onsumi”(par.7.9 sull’inerenza), individuare il momento impositivo (par.7.11), confrontare gli elementi positivi e negativi dei due tributi (par.7.12), anche con riferimento alle “simmetrie fiscali” di cui al par.3.12 , riprese al </w:t>
      </w:r>
      <w:r w:rsidRPr="007F7EBF">
        <w:rPr>
          <w:sz w:val="22"/>
          <w:szCs w:val="22"/>
        </w:rPr>
        <w:t>par. 7.10</w:t>
      </w:r>
      <w:r w:rsidR="00A10368" w:rsidRPr="007F7EBF">
        <w:rPr>
          <w:sz w:val="22"/>
          <w:szCs w:val="22"/>
        </w:rPr>
        <w:t xml:space="preserve">. I successivi paragrafi sui valori fiscalmente riconosciuti (7.13), il bilancio e la determinazione del reddito fiscale (parr.7.14-7.16), il </w:t>
      </w:r>
      <w:r w:rsidRPr="007F7EBF">
        <w:rPr>
          <w:sz w:val="22"/>
          <w:szCs w:val="22"/>
        </w:rPr>
        <w:t xml:space="preserve">coordinamento </w:t>
      </w:r>
      <w:r w:rsidR="00A10368" w:rsidRPr="007F7EBF">
        <w:rPr>
          <w:sz w:val="22"/>
          <w:szCs w:val="22"/>
        </w:rPr>
        <w:t xml:space="preserve">impositivo </w:t>
      </w:r>
      <w:r w:rsidRPr="007F7EBF">
        <w:rPr>
          <w:sz w:val="22"/>
          <w:szCs w:val="22"/>
        </w:rPr>
        <w:t>“società – soci”</w:t>
      </w:r>
      <w:r w:rsidR="00A10368" w:rsidRPr="007F7EBF">
        <w:rPr>
          <w:sz w:val="22"/>
          <w:szCs w:val="22"/>
        </w:rPr>
        <w:t>(parr.7.17), la</w:t>
      </w:r>
      <w:r w:rsidRPr="007F7EBF">
        <w:rPr>
          <w:sz w:val="22"/>
          <w:szCs w:val="22"/>
        </w:rPr>
        <w:t xml:space="preserve"> tassazione internazionale</w:t>
      </w:r>
      <w:r w:rsidR="00A10368" w:rsidRPr="007F7EBF">
        <w:rPr>
          <w:sz w:val="22"/>
          <w:szCs w:val="22"/>
        </w:rPr>
        <w:t xml:space="preserve">  (parr.7.18-7.19)</w:t>
      </w:r>
      <w:r w:rsidRPr="007F7EBF">
        <w:rPr>
          <w:sz w:val="22"/>
          <w:szCs w:val="22"/>
        </w:rPr>
        <w:t xml:space="preserve">, </w:t>
      </w:r>
      <w:r w:rsidR="00A10368" w:rsidRPr="007F7EBF">
        <w:rPr>
          <w:sz w:val="22"/>
          <w:szCs w:val="22"/>
        </w:rPr>
        <w:t xml:space="preserve">le </w:t>
      </w:r>
      <w:r w:rsidRPr="007F7EBF">
        <w:rPr>
          <w:sz w:val="22"/>
          <w:szCs w:val="22"/>
        </w:rPr>
        <w:t>operazioni straordinarie  “</w:t>
      </w:r>
      <w:proofErr w:type="spellStart"/>
      <w:r w:rsidRPr="007F7EBF">
        <w:rPr>
          <w:sz w:val="22"/>
          <w:szCs w:val="22"/>
        </w:rPr>
        <w:t>aziendal</w:t>
      </w:r>
      <w:proofErr w:type="spellEnd"/>
      <w:r w:rsidRPr="007F7EBF">
        <w:rPr>
          <w:sz w:val="22"/>
          <w:szCs w:val="22"/>
        </w:rPr>
        <w:t>-societarie”(</w:t>
      </w:r>
      <w:r w:rsidR="00A10368" w:rsidRPr="007F7EBF">
        <w:rPr>
          <w:sz w:val="22"/>
          <w:szCs w:val="22"/>
        </w:rPr>
        <w:t>par.7.20</w:t>
      </w:r>
      <w:r w:rsidRPr="007F7EBF">
        <w:rPr>
          <w:sz w:val="22"/>
          <w:szCs w:val="22"/>
        </w:rPr>
        <w:t>) e</w:t>
      </w:r>
      <w:r w:rsidR="00A10368" w:rsidRPr="007F7EBF">
        <w:rPr>
          <w:sz w:val="22"/>
          <w:szCs w:val="22"/>
        </w:rPr>
        <w:t xml:space="preserve"> di liquidazione </w:t>
      </w:r>
      <w:r w:rsidRPr="007F7EBF">
        <w:rPr>
          <w:sz w:val="22"/>
          <w:szCs w:val="22"/>
        </w:rPr>
        <w:t>ordinaria o concorsuale</w:t>
      </w:r>
      <w:r w:rsidR="00A10368" w:rsidRPr="007F7EBF">
        <w:rPr>
          <w:sz w:val="22"/>
          <w:szCs w:val="22"/>
        </w:rPr>
        <w:t xml:space="preserve"> (par.7.21</w:t>
      </w:r>
      <w:r w:rsidRPr="007F7EBF">
        <w:rPr>
          <w:sz w:val="22"/>
          <w:szCs w:val="22"/>
        </w:rPr>
        <w:t xml:space="preserve">) </w:t>
      </w:r>
      <w:r w:rsidR="00A10368" w:rsidRPr="007F7EBF">
        <w:rPr>
          <w:sz w:val="22"/>
          <w:szCs w:val="22"/>
        </w:rPr>
        <w:t>si riferiscono in prevalenza alle imposte sui redditi</w:t>
      </w:r>
      <w:r w:rsidRPr="007F7EBF">
        <w:rPr>
          <w:sz w:val="22"/>
          <w:szCs w:val="22"/>
        </w:rPr>
        <w:t xml:space="preserve">.  </w:t>
      </w:r>
    </w:p>
    <w:p w14:paraId="10F31429" w14:textId="721E4038" w:rsidR="00327742" w:rsidRPr="007F7EBF" w:rsidRDefault="00327742" w:rsidP="00327742">
      <w:pPr>
        <w:pStyle w:val="Titolo3"/>
        <w:rPr>
          <w:rFonts w:ascii="Times New Roman" w:hAnsi="Times New Roman"/>
          <w:sz w:val="22"/>
          <w:szCs w:val="22"/>
        </w:rPr>
      </w:pPr>
      <w:bookmarkStart w:id="99" w:name="_Toc63365010"/>
      <w:r w:rsidRPr="007F7EBF">
        <w:rPr>
          <w:rFonts w:ascii="Times New Roman" w:hAnsi="Times New Roman"/>
          <w:sz w:val="22"/>
          <w:szCs w:val="22"/>
        </w:rPr>
        <w:t xml:space="preserve">7.1. </w:t>
      </w:r>
      <w:r w:rsidR="00F21F26">
        <w:rPr>
          <w:rFonts w:ascii="Times New Roman" w:hAnsi="Times New Roman"/>
          <w:sz w:val="22"/>
          <w:szCs w:val="22"/>
          <w:lang w:val="it-IT"/>
        </w:rPr>
        <w:t>D</w:t>
      </w:r>
      <w:proofErr w:type="spellStart"/>
      <w:r w:rsidRPr="007F7EBF">
        <w:rPr>
          <w:rFonts w:ascii="Times New Roman" w:hAnsi="Times New Roman"/>
          <w:sz w:val="22"/>
          <w:szCs w:val="22"/>
        </w:rPr>
        <w:t>iritto</w:t>
      </w:r>
      <w:proofErr w:type="spellEnd"/>
      <w:r w:rsidRPr="007F7EBF">
        <w:rPr>
          <w:rFonts w:ascii="Times New Roman" w:hAnsi="Times New Roman"/>
          <w:sz w:val="22"/>
          <w:szCs w:val="22"/>
        </w:rPr>
        <w:t xml:space="preserve"> tributario sostanziale e </w:t>
      </w:r>
      <w:r w:rsidR="006342C5" w:rsidRPr="007F7EBF">
        <w:rPr>
          <w:rFonts w:ascii="Times New Roman" w:hAnsi="Times New Roman"/>
          <w:sz w:val="22"/>
          <w:szCs w:val="22"/>
        </w:rPr>
        <w:t>determinazione unitaria di consumi e redditi attraverso le aziende: Iva e imposte dirette</w:t>
      </w:r>
      <w:bookmarkEnd w:id="99"/>
    </w:p>
    <w:p w14:paraId="5859256F" w14:textId="77777777" w:rsidR="00D73F2F" w:rsidRPr="007F7EBF" w:rsidRDefault="00D73F2F" w:rsidP="00D73F2F">
      <w:pPr>
        <w:pStyle w:val="tit23"/>
        <w:ind w:left="6464" w:right="-1361" w:firstLine="0"/>
        <w:jc w:val="left"/>
        <w:rPr>
          <w:b/>
          <w:bCs/>
          <w:i/>
          <w:iCs/>
          <w:color w:val="0000FF"/>
          <w:lang w:val="it-IT"/>
        </w:rPr>
      </w:pPr>
      <w:r w:rsidRPr="007F7EBF">
        <w:rPr>
          <w:b/>
          <w:bCs/>
          <w:i/>
          <w:iCs/>
          <w:color w:val="0000FF"/>
          <w:lang w:val="it-IT"/>
        </w:rPr>
        <w:t>Richiami al diritto tributario sostanziale</w:t>
      </w:r>
    </w:p>
    <w:p w14:paraId="6EFE0A88" w14:textId="4F702FA1" w:rsidR="00B2637B" w:rsidRPr="007F7EBF" w:rsidRDefault="00A71DDD" w:rsidP="00B2637B">
      <w:pPr>
        <w:autoSpaceDE w:val="0"/>
        <w:autoSpaceDN w:val="0"/>
        <w:adjustRightInd w:val="0"/>
        <w:rPr>
          <w:sz w:val="22"/>
          <w:szCs w:val="22"/>
        </w:rPr>
      </w:pPr>
      <w:r>
        <w:rPr>
          <w:sz w:val="22"/>
          <w:szCs w:val="22"/>
        </w:rPr>
        <w:t>In q</w:t>
      </w:r>
      <w:r w:rsidR="009D6B9C" w:rsidRPr="007F7EBF">
        <w:rPr>
          <w:sz w:val="22"/>
          <w:szCs w:val="22"/>
        </w:rPr>
        <w:t>uesta seconda parte</w:t>
      </w:r>
      <w:r>
        <w:rPr>
          <w:sz w:val="22"/>
          <w:szCs w:val="22"/>
        </w:rPr>
        <w:t xml:space="preserve"> ci occuperemo della funzione tributaria nella prospettiva della specificazione giuridica del</w:t>
      </w:r>
      <w:r w:rsidR="00373521">
        <w:rPr>
          <w:sz w:val="22"/>
          <w:szCs w:val="22"/>
        </w:rPr>
        <w:t>le astrazioni economiche di cui al par.1.8, cioè redditi, consumi, etc.</w:t>
      </w:r>
      <w:r>
        <w:rPr>
          <w:sz w:val="22"/>
          <w:szCs w:val="22"/>
        </w:rPr>
        <w:t xml:space="preserve"> Sulle informazioni sottostanti, </w:t>
      </w:r>
      <w:r>
        <w:rPr>
          <w:sz w:val="22"/>
          <w:szCs w:val="22"/>
        </w:rPr>
        <w:lastRenderedPageBreak/>
        <w:t xml:space="preserve">contabili o valutative, ci siamo già soffermati nella prima parte (parr.1.10, 5.8 etc.) e quindi questa seconda parte riguarderà </w:t>
      </w:r>
      <w:r w:rsidR="006A4286">
        <w:rPr>
          <w:sz w:val="22"/>
          <w:szCs w:val="22"/>
        </w:rPr>
        <w:t xml:space="preserve">tipiche questioni di diritto, </w:t>
      </w:r>
      <w:r w:rsidR="00373521">
        <w:rPr>
          <w:sz w:val="22"/>
          <w:szCs w:val="22"/>
        </w:rPr>
        <w:t xml:space="preserve">cioè interpretative nel senso di cui ai </w:t>
      </w:r>
      <w:proofErr w:type="spellStart"/>
      <w:r w:rsidR="00373521">
        <w:rPr>
          <w:sz w:val="22"/>
          <w:szCs w:val="22"/>
        </w:rPr>
        <w:t>parr</w:t>
      </w:r>
      <w:proofErr w:type="spellEnd"/>
      <w:r w:rsidR="00373521">
        <w:rPr>
          <w:sz w:val="22"/>
          <w:szCs w:val="22"/>
        </w:rPr>
        <w:t xml:space="preserve">. </w:t>
      </w:r>
      <w:r w:rsidR="00373521" w:rsidRPr="007F7EBF">
        <w:rPr>
          <w:sz w:val="22"/>
          <w:szCs w:val="22"/>
        </w:rPr>
        <w:t>3.9-3.11, 5.4, 5.17 ss.</w:t>
      </w:r>
      <w:r w:rsidR="00373521">
        <w:rPr>
          <w:sz w:val="22"/>
          <w:szCs w:val="22"/>
        </w:rPr>
        <w:t xml:space="preserve"> </w:t>
      </w:r>
      <w:r w:rsidR="006347AF" w:rsidRPr="007F7EBF">
        <w:rPr>
          <w:sz w:val="22"/>
          <w:szCs w:val="22"/>
        </w:rPr>
        <w:t>(</w:t>
      </w:r>
      <w:r w:rsidR="00B2637B" w:rsidRPr="007F7EBF">
        <w:rPr>
          <w:rStyle w:val="Rimandonotaapidipagina"/>
          <w:sz w:val="22"/>
          <w:szCs w:val="22"/>
        </w:rPr>
        <w:footnoteReference w:id="978"/>
      </w:r>
      <w:r w:rsidR="006347AF" w:rsidRPr="007F7EBF">
        <w:rPr>
          <w:sz w:val="22"/>
          <w:szCs w:val="22"/>
        </w:rPr>
        <w:t>)</w:t>
      </w:r>
      <w:r w:rsidR="006A4286">
        <w:rPr>
          <w:sz w:val="22"/>
          <w:szCs w:val="22"/>
        </w:rPr>
        <w:t xml:space="preserve">. </w:t>
      </w:r>
      <w:r w:rsidR="00803350">
        <w:rPr>
          <w:sz w:val="22"/>
          <w:szCs w:val="22"/>
        </w:rPr>
        <w:t>Così come il diritto privato sostanziale specifica diritti e doveri delle parti, il diritto tributario sostanziale specifica i presupposti economici delle imposte (par.1.8), per agevolarne la determinazione; esso coincide</w:t>
      </w:r>
      <w:r w:rsidR="00373521" w:rsidRPr="007F7EBF">
        <w:rPr>
          <w:bCs/>
          <w:sz w:val="22"/>
          <w:szCs w:val="22"/>
        </w:rPr>
        <w:t xml:space="preserve"> con la c.d. "parte speciale" di molti manuali</w:t>
      </w:r>
      <w:r w:rsidR="00373521">
        <w:rPr>
          <w:bCs/>
          <w:sz w:val="22"/>
          <w:szCs w:val="22"/>
        </w:rPr>
        <w:t xml:space="preserve"> di diritto tributario,</w:t>
      </w:r>
      <w:r w:rsidR="00803350">
        <w:rPr>
          <w:bCs/>
          <w:sz w:val="22"/>
          <w:szCs w:val="22"/>
        </w:rPr>
        <w:t xml:space="preserve"> che</w:t>
      </w:r>
      <w:r w:rsidR="00373521">
        <w:rPr>
          <w:bCs/>
          <w:sz w:val="22"/>
          <w:szCs w:val="22"/>
        </w:rPr>
        <w:t xml:space="preserve"> diventa rapidamente “</w:t>
      </w:r>
      <w:r w:rsidR="004359D9">
        <w:rPr>
          <w:bCs/>
          <w:sz w:val="22"/>
          <w:szCs w:val="22"/>
        </w:rPr>
        <w:t>studio</w:t>
      </w:r>
      <w:r w:rsidR="00373521">
        <w:rPr>
          <w:bCs/>
          <w:sz w:val="22"/>
          <w:szCs w:val="22"/>
        </w:rPr>
        <w:t xml:space="preserve"> per tecnici” (par.1.3) se non proprio “tecnica”.</w:t>
      </w:r>
    </w:p>
    <w:p w14:paraId="22E7033C" w14:textId="77777777" w:rsidR="00B2637B" w:rsidRPr="007F7EBF" w:rsidRDefault="00B2637B" w:rsidP="00B2637B">
      <w:pPr>
        <w:pStyle w:val="tit23"/>
        <w:ind w:left="6464" w:right="-1361" w:firstLine="0"/>
        <w:jc w:val="left"/>
        <w:rPr>
          <w:bCs/>
          <w:i/>
          <w:iCs/>
          <w:color w:val="0000FF"/>
          <w:lang w:val="it-IT"/>
        </w:rPr>
      </w:pPr>
      <w:r w:rsidRPr="007F7EBF">
        <w:rPr>
          <w:bCs/>
          <w:i/>
          <w:iCs/>
          <w:color w:val="0000FF"/>
          <w:lang w:val="it-IT"/>
        </w:rPr>
        <w:t>La sua importanza tecnico professionale, più che sociale</w:t>
      </w:r>
    </w:p>
    <w:p w14:paraId="1373EA25" w14:textId="49F5F447" w:rsidR="00B2637B" w:rsidRPr="007F7EBF" w:rsidRDefault="00373521" w:rsidP="00B2637B">
      <w:pPr>
        <w:autoSpaceDE w:val="0"/>
        <w:autoSpaceDN w:val="0"/>
        <w:adjustRightInd w:val="0"/>
        <w:rPr>
          <w:sz w:val="22"/>
          <w:szCs w:val="22"/>
        </w:rPr>
      </w:pPr>
      <w:r>
        <w:rPr>
          <w:bCs/>
          <w:sz w:val="22"/>
          <w:szCs w:val="22"/>
        </w:rPr>
        <w:t>N</w:t>
      </w:r>
      <w:r w:rsidR="006A4286">
        <w:rPr>
          <w:bCs/>
          <w:sz w:val="22"/>
          <w:szCs w:val="22"/>
        </w:rPr>
        <w:t>ei capitoli seguenti (7-10) collegheremo questi temi con la parte più “</w:t>
      </w:r>
      <w:r w:rsidR="00F75C68">
        <w:rPr>
          <w:bCs/>
          <w:sz w:val="22"/>
          <w:szCs w:val="22"/>
        </w:rPr>
        <w:t>giuridico</w:t>
      </w:r>
      <w:r>
        <w:rPr>
          <w:bCs/>
          <w:sz w:val="22"/>
          <w:szCs w:val="22"/>
        </w:rPr>
        <w:t>-sociale</w:t>
      </w:r>
      <w:r w:rsidR="006A4286">
        <w:rPr>
          <w:bCs/>
          <w:sz w:val="22"/>
          <w:szCs w:val="22"/>
        </w:rPr>
        <w:t xml:space="preserve">” </w:t>
      </w:r>
      <w:r w:rsidR="00A71DDD">
        <w:rPr>
          <w:bCs/>
          <w:sz w:val="22"/>
          <w:szCs w:val="22"/>
        </w:rPr>
        <w:t>del</w:t>
      </w:r>
      <w:r w:rsidR="007C6C9D">
        <w:rPr>
          <w:bCs/>
          <w:sz w:val="22"/>
          <w:szCs w:val="22"/>
        </w:rPr>
        <w:t xml:space="preserve"> diritto </w:t>
      </w:r>
      <w:r>
        <w:rPr>
          <w:bCs/>
          <w:sz w:val="22"/>
          <w:szCs w:val="22"/>
        </w:rPr>
        <w:t xml:space="preserve">tributario, </w:t>
      </w:r>
      <w:r w:rsidR="007C6C9D">
        <w:rPr>
          <w:bCs/>
          <w:sz w:val="22"/>
          <w:szCs w:val="22"/>
        </w:rPr>
        <w:t xml:space="preserve">come funzione pubblica </w:t>
      </w:r>
      <w:r w:rsidR="00A71DDD">
        <w:rPr>
          <w:bCs/>
          <w:sz w:val="22"/>
          <w:szCs w:val="22"/>
        </w:rPr>
        <w:t xml:space="preserve">oggi soprattutto </w:t>
      </w:r>
      <w:r w:rsidR="007C6C9D">
        <w:rPr>
          <w:bCs/>
          <w:sz w:val="22"/>
          <w:szCs w:val="22"/>
        </w:rPr>
        <w:t>diretta a “perequare” l</w:t>
      </w:r>
      <w:r w:rsidR="006A4286">
        <w:rPr>
          <w:bCs/>
          <w:sz w:val="22"/>
          <w:szCs w:val="22"/>
        </w:rPr>
        <w:t>a diversa determinabilità d</w:t>
      </w:r>
      <w:r w:rsidR="007C6C9D">
        <w:rPr>
          <w:bCs/>
          <w:sz w:val="22"/>
          <w:szCs w:val="22"/>
        </w:rPr>
        <w:t>egli imponibili</w:t>
      </w:r>
      <w:r w:rsidR="007C6C9D">
        <w:rPr>
          <w:sz w:val="22"/>
          <w:szCs w:val="22"/>
        </w:rPr>
        <w:t>. P</w:t>
      </w:r>
      <w:r w:rsidR="00F64C0A" w:rsidRPr="007F7EBF">
        <w:rPr>
          <w:sz w:val="22"/>
          <w:szCs w:val="22"/>
        </w:rPr>
        <w:t xml:space="preserve">er </w:t>
      </w:r>
      <w:r w:rsidR="00A71DDD">
        <w:rPr>
          <w:sz w:val="22"/>
          <w:szCs w:val="22"/>
        </w:rPr>
        <w:t xml:space="preserve">le </w:t>
      </w:r>
      <w:r w:rsidR="00F64C0A" w:rsidRPr="007F7EBF">
        <w:rPr>
          <w:sz w:val="22"/>
          <w:szCs w:val="22"/>
        </w:rPr>
        <w:t xml:space="preserve">ragioni metodologiche precise, </w:t>
      </w:r>
      <w:r w:rsidR="00937ED1" w:rsidRPr="007F7EBF">
        <w:rPr>
          <w:sz w:val="22"/>
          <w:szCs w:val="22"/>
        </w:rPr>
        <w:t xml:space="preserve">indicate </w:t>
      </w:r>
      <w:r>
        <w:rPr>
          <w:sz w:val="22"/>
          <w:szCs w:val="22"/>
        </w:rPr>
        <w:t>in</w:t>
      </w:r>
      <w:r w:rsidR="00937ED1" w:rsidRPr="007F7EBF">
        <w:rPr>
          <w:sz w:val="22"/>
          <w:szCs w:val="22"/>
        </w:rPr>
        <w:t xml:space="preserve"> premessa</w:t>
      </w:r>
      <w:r w:rsidR="007C6C9D">
        <w:rPr>
          <w:sz w:val="22"/>
          <w:szCs w:val="22"/>
        </w:rPr>
        <w:t>, l</w:t>
      </w:r>
      <w:r w:rsidR="00E61D39">
        <w:rPr>
          <w:sz w:val="22"/>
          <w:szCs w:val="22"/>
        </w:rPr>
        <w:t xml:space="preserve">a funzione tributaria </w:t>
      </w:r>
      <w:r w:rsidR="007C6C9D">
        <w:rPr>
          <w:sz w:val="22"/>
          <w:szCs w:val="22"/>
        </w:rPr>
        <w:t xml:space="preserve">viene qui spiegata più in termini </w:t>
      </w:r>
      <w:r w:rsidR="00E61D39">
        <w:rPr>
          <w:sz w:val="22"/>
          <w:szCs w:val="22"/>
        </w:rPr>
        <w:t>“scientifico social</w:t>
      </w:r>
      <w:r w:rsidR="007C6C9D">
        <w:rPr>
          <w:sz w:val="22"/>
          <w:szCs w:val="22"/>
        </w:rPr>
        <w:t>i</w:t>
      </w:r>
      <w:r w:rsidR="00E61D39">
        <w:rPr>
          <w:sz w:val="22"/>
          <w:szCs w:val="22"/>
        </w:rPr>
        <w:t>” che “tecnico-professional</w:t>
      </w:r>
      <w:r w:rsidR="007C6C9D">
        <w:rPr>
          <w:sz w:val="22"/>
          <w:szCs w:val="22"/>
        </w:rPr>
        <w:t>i</w:t>
      </w:r>
      <w:r w:rsidR="00E61D39">
        <w:rPr>
          <w:sz w:val="22"/>
          <w:szCs w:val="22"/>
        </w:rPr>
        <w:t xml:space="preserve">”, </w:t>
      </w:r>
      <w:r w:rsidR="00116956">
        <w:rPr>
          <w:sz w:val="22"/>
          <w:szCs w:val="22"/>
        </w:rPr>
        <w:t xml:space="preserve">nelle cui particolarità </w:t>
      </w:r>
      <w:r w:rsidR="007C6C9D">
        <w:rPr>
          <w:sz w:val="22"/>
          <w:szCs w:val="22"/>
        </w:rPr>
        <w:t>evit</w:t>
      </w:r>
      <w:r w:rsidR="00116956">
        <w:rPr>
          <w:sz w:val="22"/>
          <w:szCs w:val="22"/>
        </w:rPr>
        <w:t xml:space="preserve">eremo </w:t>
      </w:r>
      <w:r w:rsidR="007C6C9D">
        <w:rPr>
          <w:sz w:val="22"/>
          <w:szCs w:val="22"/>
        </w:rPr>
        <w:t>di disperderci</w:t>
      </w:r>
      <w:r w:rsidR="00915756">
        <w:rPr>
          <w:sz w:val="22"/>
          <w:szCs w:val="22"/>
        </w:rPr>
        <w:t>. Ciò a</w:t>
      </w:r>
      <w:r w:rsidR="007C6C9D">
        <w:rPr>
          <w:sz w:val="22"/>
          <w:szCs w:val="22"/>
        </w:rPr>
        <w:t>nche per evitare lo svuotamento di senso in cui, come indicato al par.3.16, è precipitata la tecnica professionale tributaria</w:t>
      </w:r>
      <w:r w:rsidR="00915756">
        <w:rPr>
          <w:sz w:val="22"/>
          <w:szCs w:val="22"/>
        </w:rPr>
        <w:t xml:space="preserve">, </w:t>
      </w:r>
      <w:r w:rsidR="007C6C9D">
        <w:rPr>
          <w:sz w:val="22"/>
          <w:szCs w:val="22"/>
        </w:rPr>
        <w:t xml:space="preserve">senza di una cornice </w:t>
      </w:r>
      <w:r w:rsidR="00915756">
        <w:rPr>
          <w:sz w:val="22"/>
          <w:szCs w:val="22"/>
        </w:rPr>
        <w:t>sociale in cui inquadrarsi</w:t>
      </w:r>
      <w:r w:rsidR="0090073F">
        <w:rPr>
          <w:sz w:val="22"/>
          <w:szCs w:val="22"/>
        </w:rPr>
        <w:t xml:space="preserve"> </w:t>
      </w:r>
      <w:r w:rsidR="00915756">
        <w:rPr>
          <w:sz w:val="22"/>
          <w:szCs w:val="22"/>
        </w:rPr>
        <w:t>(</w:t>
      </w:r>
      <w:r w:rsidR="00915756">
        <w:rPr>
          <w:rStyle w:val="Rimandonotaapidipagina"/>
          <w:sz w:val="22"/>
          <w:szCs w:val="22"/>
        </w:rPr>
        <w:footnoteReference w:id="979"/>
      </w:r>
      <w:r w:rsidR="00915756">
        <w:rPr>
          <w:sz w:val="22"/>
          <w:szCs w:val="22"/>
        </w:rPr>
        <w:t>)</w:t>
      </w:r>
      <w:r w:rsidR="007C6C9D">
        <w:rPr>
          <w:sz w:val="22"/>
          <w:szCs w:val="22"/>
        </w:rPr>
        <w:t xml:space="preserve">. </w:t>
      </w:r>
    </w:p>
    <w:p w14:paraId="60EA3CA5" w14:textId="77777777" w:rsidR="00B2637B" w:rsidRPr="007F7EBF" w:rsidRDefault="00B2637B" w:rsidP="00B2637B">
      <w:pPr>
        <w:pStyle w:val="tit23"/>
        <w:ind w:left="6464" w:right="-1361" w:firstLine="0"/>
        <w:jc w:val="left"/>
        <w:rPr>
          <w:bCs/>
          <w:i/>
          <w:iCs/>
          <w:color w:val="0000FF"/>
          <w:lang w:val="it-IT"/>
        </w:rPr>
      </w:pPr>
      <w:r w:rsidRPr="007F7EBF">
        <w:rPr>
          <w:bCs/>
          <w:i/>
          <w:iCs/>
          <w:color w:val="0000FF"/>
          <w:lang w:val="it-IT"/>
        </w:rPr>
        <w:t>Intreccio tra interlocuzione sociale e professionale</w:t>
      </w:r>
    </w:p>
    <w:p w14:paraId="072B3CA3" w14:textId="3DB57BC9" w:rsidR="00C32EDE" w:rsidRPr="007F7EBF" w:rsidRDefault="00373521" w:rsidP="00C32EDE">
      <w:pPr>
        <w:autoSpaceDE w:val="0"/>
        <w:autoSpaceDN w:val="0"/>
        <w:adjustRightInd w:val="0"/>
        <w:rPr>
          <w:sz w:val="22"/>
          <w:szCs w:val="22"/>
        </w:rPr>
      </w:pPr>
      <w:r>
        <w:rPr>
          <w:sz w:val="22"/>
          <w:szCs w:val="22"/>
        </w:rPr>
        <w:t xml:space="preserve">Nella </w:t>
      </w:r>
      <w:r w:rsidR="008B552C">
        <w:rPr>
          <w:sz w:val="22"/>
          <w:szCs w:val="22"/>
        </w:rPr>
        <w:t xml:space="preserve">specificazione giuridica dei concetti di reddito, consumo, valore aggiunto etc. </w:t>
      </w:r>
      <w:r>
        <w:rPr>
          <w:sz w:val="22"/>
          <w:szCs w:val="22"/>
        </w:rPr>
        <w:t>(par.1.8) cercheremo di mantenerci sull’</w:t>
      </w:r>
      <w:r w:rsidR="008B552C">
        <w:rPr>
          <w:sz w:val="22"/>
          <w:szCs w:val="22"/>
        </w:rPr>
        <w:t>interlocuzione scientifico sociale</w:t>
      </w:r>
      <w:r>
        <w:rPr>
          <w:sz w:val="22"/>
          <w:szCs w:val="22"/>
        </w:rPr>
        <w:t>, senza addentrarci troppo negli aspetti tecnici</w:t>
      </w:r>
      <w:r w:rsidR="008B552C">
        <w:rPr>
          <w:sz w:val="22"/>
          <w:szCs w:val="22"/>
        </w:rPr>
        <w:t xml:space="preserve">. </w:t>
      </w:r>
      <w:r>
        <w:rPr>
          <w:sz w:val="22"/>
          <w:szCs w:val="22"/>
        </w:rPr>
        <w:t xml:space="preserve">Di questi ultimi cercheremo </w:t>
      </w:r>
      <w:r w:rsidR="00116956">
        <w:rPr>
          <w:sz w:val="22"/>
          <w:szCs w:val="22"/>
        </w:rPr>
        <w:t>alcuni</w:t>
      </w:r>
      <w:r>
        <w:rPr>
          <w:sz w:val="22"/>
          <w:szCs w:val="22"/>
        </w:rPr>
        <w:t xml:space="preserve"> denominator</w:t>
      </w:r>
      <w:r w:rsidR="00116956">
        <w:rPr>
          <w:sz w:val="22"/>
          <w:szCs w:val="22"/>
        </w:rPr>
        <w:t>i</w:t>
      </w:r>
      <w:r>
        <w:rPr>
          <w:sz w:val="22"/>
          <w:szCs w:val="22"/>
        </w:rPr>
        <w:t xml:space="preserve"> comun</w:t>
      </w:r>
      <w:r w:rsidR="00116956">
        <w:rPr>
          <w:sz w:val="22"/>
          <w:szCs w:val="22"/>
        </w:rPr>
        <w:t>i</w:t>
      </w:r>
      <w:r>
        <w:rPr>
          <w:sz w:val="22"/>
          <w:szCs w:val="22"/>
        </w:rPr>
        <w:t xml:space="preserve">, </w:t>
      </w:r>
      <w:r w:rsidR="004D5CB3">
        <w:rPr>
          <w:sz w:val="22"/>
          <w:szCs w:val="22"/>
        </w:rPr>
        <w:t xml:space="preserve">con </w:t>
      </w:r>
      <w:r w:rsidR="008B552C">
        <w:rPr>
          <w:sz w:val="22"/>
          <w:szCs w:val="22"/>
        </w:rPr>
        <w:t xml:space="preserve">prospettive </w:t>
      </w:r>
      <w:r w:rsidR="00ED11DF">
        <w:rPr>
          <w:sz w:val="22"/>
          <w:szCs w:val="22"/>
        </w:rPr>
        <w:t xml:space="preserve">che i pratici hanno di volta in volta incontrato, ma su cui neppure loro, travolti dall’operatività, hanno </w:t>
      </w:r>
      <w:r w:rsidR="008B552C">
        <w:rPr>
          <w:sz w:val="22"/>
          <w:szCs w:val="22"/>
        </w:rPr>
        <w:t>riflettuto(</w:t>
      </w:r>
      <w:r w:rsidR="00B2637B" w:rsidRPr="007F7EBF">
        <w:rPr>
          <w:rStyle w:val="Rimandonotaapidipagina"/>
          <w:sz w:val="22"/>
          <w:szCs w:val="22"/>
        </w:rPr>
        <w:footnoteReference w:id="980"/>
      </w:r>
      <w:r w:rsidR="008B552C">
        <w:rPr>
          <w:sz w:val="22"/>
          <w:szCs w:val="22"/>
        </w:rPr>
        <w:t>)</w:t>
      </w:r>
      <w:r w:rsidR="00ED11DF">
        <w:rPr>
          <w:sz w:val="22"/>
          <w:szCs w:val="22"/>
        </w:rPr>
        <w:t xml:space="preserve">. Ulteriori raffinatezze sulla </w:t>
      </w:r>
      <w:r w:rsidR="00ED11DF">
        <w:rPr>
          <w:sz w:val="22"/>
          <w:szCs w:val="22"/>
        </w:rPr>
        <w:lastRenderedPageBreak/>
        <w:t>tecnica, sempre in chiave sistematica, saranno trattate nell’ult</w:t>
      </w:r>
      <w:r w:rsidR="001053B7" w:rsidRPr="007F7EBF">
        <w:rPr>
          <w:sz w:val="22"/>
          <w:szCs w:val="22"/>
        </w:rPr>
        <w:t>erior</w:t>
      </w:r>
      <w:r w:rsidR="00B60A70">
        <w:rPr>
          <w:sz w:val="22"/>
          <w:szCs w:val="22"/>
        </w:rPr>
        <w:t>e</w:t>
      </w:r>
      <w:r w:rsidR="001053B7" w:rsidRPr="007F7EBF">
        <w:rPr>
          <w:sz w:val="22"/>
          <w:szCs w:val="22"/>
        </w:rPr>
        <w:t xml:space="preserve"> volum</w:t>
      </w:r>
      <w:r w:rsidR="00B60A70">
        <w:rPr>
          <w:sz w:val="22"/>
          <w:szCs w:val="22"/>
        </w:rPr>
        <w:t>e</w:t>
      </w:r>
      <w:r w:rsidR="001053B7" w:rsidRPr="007F7EBF">
        <w:rPr>
          <w:sz w:val="22"/>
          <w:szCs w:val="22"/>
        </w:rPr>
        <w:t xml:space="preserve"> </w:t>
      </w:r>
      <w:r w:rsidR="00B60A70">
        <w:rPr>
          <w:sz w:val="22"/>
          <w:szCs w:val="22"/>
        </w:rPr>
        <w:t xml:space="preserve">di cui </w:t>
      </w:r>
      <w:r w:rsidR="00ED11DF">
        <w:rPr>
          <w:sz w:val="22"/>
          <w:szCs w:val="22"/>
        </w:rPr>
        <w:t xml:space="preserve">in </w:t>
      </w:r>
      <w:r w:rsidR="00B60A70">
        <w:rPr>
          <w:sz w:val="22"/>
          <w:szCs w:val="22"/>
        </w:rPr>
        <w:t>premessa</w:t>
      </w:r>
      <w:r w:rsidR="00B75D66" w:rsidRPr="007F7EBF">
        <w:rPr>
          <w:sz w:val="22"/>
          <w:szCs w:val="22"/>
        </w:rPr>
        <w:t xml:space="preserve">. </w:t>
      </w:r>
    </w:p>
    <w:p w14:paraId="20C1E786" w14:textId="5D918C2E" w:rsidR="00C32EDE" w:rsidRPr="007F7EBF" w:rsidRDefault="00275175" w:rsidP="00C32EDE">
      <w:pPr>
        <w:pStyle w:val="tit23"/>
        <w:ind w:left="6464" w:right="-1361" w:firstLine="0"/>
        <w:jc w:val="left"/>
        <w:rPr>
          <w:bCs/>
          <w:i/>
          <w:iCs/>
          <w:color w:val="0000FF"/>
          <w:lang w:val="it-IT"/>
        </w:rPr>
      </w:pPr>
      <w:r>
        <w:rPr>
          <w:bCs/>
          <w:i/>
          <w:iCs/>
          <w:color w:val="0000FF"/>
          <w:lang w:val="it-IT"/>
        </w:rPr>
        <w:t>Astrazioni economiche come</w:t>
      </w:r>
      <w:r w:rsidR="00C32EDE" w:rsidRPr="007F7EBF">
        <w:rPr>
          <w:bCs/>
          <w:i/>
          <w:iCs/>
          <w:color w:val="0000FF"/>
          <w:lang w:val="it-IT"/>
        </w:rPr>
        <w:t xml:space="preserve"> punto di osservazione della </w:t>
      </w:r>
      <w:r>
        <w:rPr>
          <w:bCs/>
          <w:i/>
          <w:iCs/>
          <w:color w:val="0000FF"/>
          <w:lang w:val="it-IT"/>
        </w:rPr>
        <w:t>funzione tributaria</w:t>
      </w:r>
    </w:p>
    <w:p w14:paraId="68740879" w14:textId="13C762E6" w:rsidR="00C32EDE" w:rsidRPr="007F7EBF" w:rsidRDefault="00FE190A" w:rsidP="00275175">
      <w:pPr>
        <w:autoSpaceDE w:val="0"/>
        <w:autoSpaceDN w:val="0"/>
        <w:adjustRightInd w:val="0"/>
        <w:rPr>
          <w:sz w:val="22"/>
          <w:szCs w:val="22"/>
        </w:rPr>
      </w:pPr>
      <w:r>
        <w:rPr>
          <w:bCs/>
          <w:sz w:val="22"/>
          <w:szCs w:val="22"/>
        </w:rPr>
        <w:t>Nell’attività</w:t>
      </w:r>
      <w:r w:rsidR="00116956">
        <w:rPr>
          <w:bCs/>
          <w:sz w:val="22"/>
          <w:szCs w:val="22"/>
        </w:rPr>
        <w:t xml:space="preserve"> produttiva in senso ampio, reddito e consumo si presentano come </w:t>
      </w:r>
      <w:r w:rsidR="007A0A49" w:rsidRPr="007F7EBF">
        <w:rPr>
          <w:bCs/>
          <w:sz w:val="22"/>
          <w:szCs w:val="22"/>
        </w:rPr>
        <w:t>due facce della stessa medaglia</w:t>
      </w:r>
      <w:r w:rsidR="00B75D66" w:rsidRPr="007F7EBF">
        <w:rPr>
          <w:bCs/>
          <w:sz w:val="22"/>
          <w:szCs w:val="22"/>
        </w:rPr>
        <w:t xml:space="preserve"> </w:t>
      </w:r>
      <w:r w:rsidR="006342C5" w:rsidRPr="007F7EBF">
        <w:rPr>
          <w:sz w:val="22"/>
          <w:szCs w:val="22"/>
        </w:rPr>
        <w:t xml:space="preserve">  Il </w:t>
      </w:r>
      <w:r w:rsidR="00C32EDE" w:rsidRPr="007F7EBF">
        <w:rPr>
          <w:bCs/>
          <w:sz w:val="22"/>
          <w:szCs w:val="22"/>
        </w:rPr>
        <w:t>corrispettivo</w:t>
      </w:r>
      <w:r w:rsidR="006342C5" w:rsidRPr="007F7EBF">
        <w:rPr>
          <w:bCs/>
          <w:sz w:val="22"/>
          <w:szCs w:val="22"/>
        </w:rPr>
        <w:t xml:space="preserve"> </w:t>
      </w:r>
      <w:r w:rsidR="006342C5" w:rsidRPr="007F7EBF">
        <w:rPr>
          <w:sz w:val="22"/>
          <w:szCs w:val="22"/>
        </w:rPr>
        <w:t xml:space="preserve">del fornitore al </w:t>
      </w:r>
      <w:r w:rsidR="006342C5" w:rsidRPr="007F7EBF">
        <w:rPr>
          <w:bCs/>
          <w:sz w:val="22"/>
          <w:szCs w:val="22"/>
        </w:rPr>
        <w:t>consum</w:t>
      </w:r>
      <w:r w:rsidR="00C32EDE" w:rsidRPr="007F7EBF">
        <w:rPr>
          <w:bCs/>
          <w:sz w:val="22"/>
          <w:szCs w:val="22"/>
        </w:rPr>
        <w:t>at</w:t>
      </w:r>
      <w:r w:rsidR="006342C5" w:rsidRPr="007F7EBF">
        <w:rPr>
          <w:bCs/>
          <w:sz w:val="22"/>
          <w:szCs w:val="22"/>
        </w:rPr>
        <w:t>o</w:t>
      </w:r>
      <w:r w:rsidR="00C32EDE" w:rsidRPr="007F7EBF">
        <w:rPr>
          <w:bCs/>
          <w:sz w:val="22"/>
          <w:szCs w:val="22"/>
        </w:rPr>
        <w:t>re</w:t>
      </w:r>
      <w:r w:rsidR="006342C5" w:rsidRPr="007F7EBF">
        <w:rPr>
          <w:bCs/>
          <w:sz w:val="22"/>
          <w:szCs w:val="22"/>
        </w:rPr>
        <w:t xml:space="preserve"> finale</w:t>
      </w:r>
      <w:r w:rsidR="00B75D66" w:rsidRPr="007F7EBF">
        <w:rPr>
          <w:bCs/>
          <w:sz w:val="22"/>
          <w:szCs w:val="22"/>
        </w:rPr>
        <w:t xml:space="preserve"> </w:t>
      </w:r>
      <w:r w:rsidR="00C32EDE" w:rsidRPr="007F7EBF">
        <w:rPr>
          <w:bCs/>
          <w:sz w:val="22"/>
          <w:szCs w:val="22"/>
        </w:rPr>
        <w:t xml:space="preserve">(ricavo) </w:t>
      </w:r>
      <w:r w:rsidR="00275175">
        <w:rPr>
          <w:sz w:val="22"/>
          <w:szCs w:val="22"/>
        </w:rPr>
        <w:t xml:space="preserve">serve </w:t>
      </w:r>
      <w:r w:rsidR="006342C5" w:rsidRPr="007F7EBF">
        <w:rPr>
          <w:sz w:val="22"/>
          <w:szCs w:val="22"/>
        </w:rPr>
        <w:t xml:space="preserve">sia </w:t>
      </w:r>
      <w:r w:rsidR="00275175">
        <w:rPr>
          <w:sz w:val="22"/>
          <w:szCs w:val="22"/>
        </w:rPr>
        <w:t>a</w:t>
      </w:r>
      <w:r w:rsidR="006342C5" w:rsidRPr="007F7EBF">
        <w:rPr>
          <w:sz w:val="22"/>
          <w:szCs w:val="22"/>
        </w:rPr>
        <w:t xml:space="preserve"> tassar</w:t>
      </w:r>
      <w:r w:rsidR="00116956">
        <w:rPr>
          <w:sz w:val="22"/>
          <w:szCs w:val="22"/>
        </w:rPr>
        <w:t>n</w:t>
      </w:r>
      <w:r w:rsidR="006342C5" w:rsidRPr="007F7EBF">
        <w:rPr>
          <w:sz w:val="22"/>
          <w:szCs w:val="22"/>
        </w:rPr>
        <w:t xml:space="preserve">e </w:t>
      </w:r>
      <w:r w:rsidR="00275175">
        <w:rPr>
          <w:sz w:val="22"/>
          <w:szCs w:val="22"/>
        </w:rPr>
        <w:t>i</w:t>
      </w:r>
      <w:r w:rsidR="00C32EDE" w:rsidRPr="007F7EBF">
        <w:rPr>
          <w:bCs/>
          <w:sz w:val="22"/>
          <w:szCs w:val="22"/>
        </w:rPr>
        <w:t>l consumo</w:t>
      </w:r>
      <w:r w:rsidR="006342C5" w:rsidRPr="007F7EBF">
        <w:rPr>
          <w:sz w:val="22"/>
          <w:szCs w:val="22"/>
        </w:rPr>
        <w:t xml:space="preserve">, sia </w:t>
      </w:r>
      <w:r w:rsidR="00116956">
        <w:rPr>
          <w:sz w:val="22"/>
          <w:szCs w:val="22"/>
        </w:rPr>
        <w:t>come ricavo dell’operatore economico fornitore, rilevante per calcolarne il</w:t>
      </w:r>
      <w:r w:rsidR="006342C5" w:rsidRPr="007F7EBF">
        <w:rPr>
          <w:bCs/>
          <w:sz w:val="22"/>
          <w:szCs w:val="22"/>
        </w:rPr>
        <w:t xml:space="preserve"> reddit</w:t>
      </w:r>
      <w:r w:rsidR="00116956">
        <w:rPr>
          <w:bCs/>
          <w:sz w:val="22"/>
          <w:szCs w:val="22"/>
        </w:rPr>
        <w:t xml:space="preserve">o dedotti </w:t>
      </w:r>
      <w:r w:rsidR="006342C5" w:rsidRPr="007F7EBF">
        <w:rPr>
          <w:bCs/>
          <w:sz w:val="22"/>
          <w:szCs w:val="22"/>
        </w:rPr>
        <w:t xml:space="preserve">i </w:t>
      </w:r>
      <w:r w:rsidR="00116956">
        <w:rPr>
          <w:bCs/>
          <w:sz w:val="22"/>
          <w:szCs w:val="22"/>
        </w:rPr>
        <w:t>costi</w:t>
      </w:r>
      <w:r w:rsidR="00C32EDE" w:rsidRPr="007F7EBF">
        <w:rPr>
          <w:bCs/>
          <w:sz w:val="22"/>
          <w:szCs w:val="22"/>
        </w:rPr>
        <w:t xml:space="preserve"> (par.7.9)</w:t>
      </w:r>
      <w:r w:rsidR="006342C5" w:rsidRPr="007F7EBF">
        <w:rPr>
          <w:bCs/>
          <w:sz w:val="22"/>
          <w:szCs w:val="22"/>
        </w:rPr>
        <w:t xml:space="preserve">. </w:t>
      </w:r>
      <w:r w:rsidR="00275175">
        <w:rPr>
          <w:bCs/>
          <w:sz w:val="22"/>
          <w:szCs w:val="22"/>
        </w:rPr>
        <w:t xml:space="preserve"> </w:t>
      </w:r>
      <w:r w:rsidR="00116956">
        <w:rPr>
          <w:bCs/>
          <w:sz w:val="22"/>
          <w:szCs w:val="22"/>
        </w:rPr>
        <w:t xml:space="preserve">Nelle operazioni tra operatori economici, c.d. “business to business” il cliente, invece di manifestare un consumo, sostiene un costo di produzione. </w:t>
      </w:r>
      <w:r w:rsidR="00275175" w:rsidRPr="007F7EBF">
        <w:rPr>
          <w:sz w:val="22"/>
          <w:szCs w:val="22"/>
        </w:rPr>
        <w:t>Ricordiamo infatti che l’insieme degli operatori economici (</w:t>
      </w:r>
      <w:r w:rsidR="00275175" w:rsidRPr="007F7EBF">
        <w:rPr>
          <w:rStyle w:val="Rimandonotaapidipagina"/>
          <w:sz w:val="22"/>
          <w:szCs w:val="22"/>
        </w:rPr>
        <w:footnoteReference w:id="981"/>
      </w:r>
      <w:r w:rsidR="00275175" w:rsidRPr="007F7EBF">
        <w:rPr>
          <w:sz w:val="22"/>
          <w:szCs w:val="22"/>
        </w:rPr>
        <w:t>) tolti i passaggi intermedi tra loro (</w:t>
      </w:r>
      <w:r w:rsidR="00116956">
        <w:rPr>
          <w:sz w:val="22"/>
          <w:szCs w:val="22"/>
        </w:rPr>
        <w:t>il già rilevato</w:t>
      </w:r>
      <w:r w:rsidR="00275175" w:rsidRPr="007F7EBF">
        <w:rPr>
          <w:sz w:val="22"/>
          <w:szCs w:val="22"/>
        </w:rPr>
        <w:t xml:space="preserve"> “business to business”), p</w:t>
      </w:r>
      <w:r w:rsidR="00275175" w:rsidRPr="007F7EBF">
        <w:rPr>
          <w:bCs/>
          <w:sz w:val="22"/>
          <w:szCs w:val="22"/>
        </w:rPr>
        <w:t xml:space="preserve">ercepiscono consumi </w:t>
      </w:r>
      <w:r w:rsidR="00275175" w:rsidRPr="007F7EBF">
        <w:rPr>
          <w:sz w:val="22"/>
          <w:szCs w:val="22"/>
        </w:rPr>
        <w:t xml:space="preserve">ed erogano </w:t>
      </w:r>
      <w:r w:rsidR="00275175" w:rsidRPr="007F7EBF">
        <w:rPr>
          <w:bCs/>
          <w:sz w:val="22"/>
          <w:szCs w:val="22"/>
        </w:rPr>
        <w:t>redditi</w:t>
      </w:r>
      <w:r w:rsidR="00275175" w:rsidRPr="007F7EBF">
        <w:rPr>
          <w:sz w:val="22"/>
          <w:szCs w:val="22"/>
        </w:rPr>
        <w:t>, nel circuito unitario</w:t>
      </w:r>
      <w:r w:rsidR="00275175">
        <w:rPr>
          <w:sz w:val="22"/>
          <w:szCs w:val="22"/>
        </w:rPr>
        <w:t xml:space="preserve"> spesso</w:t>
      </w:r>
      <w:r w:rsidR="00275175" w:rsidRPr="007F7EBF">
        <w:rPr>
          <w:sz w:val="22"/>
          <w:szCs w:val="22"/>
        </w:rPr>
        <w:t xml:space="preserve"> indicato</w:t>
      </w:r>
      <w:r>
        <w:rPr>
          <w:sz w:val="22"/>
          <w:szCs w:val="22"/>
        </w:rPr>
        <w:t xml:space="preserve"> </w:t>
      </w:r>
      <w:r w:rsidR="00275175">
        <w:rPr>
          <w:sz w:val="22"/>
          <w:szCs w:val="22"/>
        </w:rPr>
        <w:t>(parr.1.4, 1.8, 3.1 etc.).</w:t>
      </w:r>
    </w:p>
    <w:p w14:paraId="4675EA9D" w14:textId="77777777" w:rsidR="00C32EDE" w:rsidRPr="007F7EBF" w:rsidRDefault="00C32EDE" w:rsidP="00C32EDE">
      <w:pPr>
        <w:pStyle w:val="tit23"/>
        <w:ind w:left="6464" w:right="-1361" w:firstLine="0"/>
        <w:jc w:val="left"/>
        <w:rPr>
          <w:bCs/>
          <w:i/>
          <w:iCs/>
          <w:color w:val="0000FF"/>
          <w:lang w:val="it-IT"/>
        </w:rPr>
      </w:pPr>
      <w:r w:rsidRPr="007F7EBF">
        <w:rPr>
          <w:bCs/>
          <w:i/>
          <w:iCs/>
          <w:color w:val="0000FF"/>
          <w:lang w:val="it-IT"/>
        </w:rPr>
        <w:t>Colpita in modo coordinato da IVA e imposte sui redditi</w:t>
      </w:r>
    </w:p>
    <w:p w14:paraId="34B66F03" w14:textId="6A0DC8F5" w:rsidR="00A628A0" w:rsidRPr="007F7EBF" w:rsidRDefault="00275175" w:rsidP="006342C5">
      <w:pPr>
        <w:autoSpaceDE w:val="0"/>
        <w:autoSpaceDN w:val="0"/>
        <w:adjustRightInd w:val="0"/>
        <w:rPr>
          <w:sz w:val="22"/>
          <w:szCs w:val="22"/>
        </w:rPr>
      </w:pPr>
      <w:r>
        <w:rPr>
          <w:sz w:val="22"/>
          <w:szCs w:val="22"/>
        </w:rPr>
        <w:t>Le imposte sul consumo e sul reddito, specie in una determinazione ragionieristica tramite la documentazione aziendale, sono quindi</w:t>
      </w:r>
      <w:r w:rsidR="00C32EDE" w:rsidRPr="007F7EBF">
        <w:rPr>
          <w:sz w:val="22"/>
          <w:szCs w:val="22"/>
        </w:rPr>
        <w:t xml:space="preserve"> due aspetti di un sistema unitario di determinazione della ricchezza</w:t>
      </w:r>
      <w:r w:rsidR="000B2CFA">
        <w:rPr>
          <w:sz w:val="22"/>
          <w:szCs w:val="22"/>
        </w:rPr>
        <w:t>, riferito al consumo e al reddito</w:t>
      </w:r>
      <w:r w:rsidR="00C32EDE" w:rsidRPr="007F7EBF">
        <w:rPr>
          <w:sz w:val="22"/>
          <w:szCs w:val="22"/>
        </w:rPr>
        <w:t xml:space="preserve">. </w:t>
      </w:r>
      <w:r w:rsidR="006342C5" w:rsidRPr="007F7EBF">
        <w:rPr>
          <w:sz w:val="22"/>
          <w:szCs w:val="22"/>
        </w:rPr>
        <w:t xml:space="preserve">Pur disciplinate da testi </w:t>
      </w:r>
      <w:r>
        <w:rPr>
          <w:sz w:val="22"/>
          <w:szCs w:val="22"/>
        </w:rPr>
        <w:t>legislativi</w:t>
      </w:r>
      <w:r w:rsidR="006342C5" w:rsidRPr="007F7EBF">
        <w:rPr>
          <w:sz w:val="22"/>
          <w:szCs w:val="22"/>
        </w:rPr>
        <w:t xml:space="preserve"> diversi, IVA e imposte</w:t>
      </w:r>
      <w:r w:rsidR="00C32EDE" w:rsidRPr="007F7EBF">
        <w:rPr>
          <w:sz w:val="22"/>
          <w:szCs w:val="22"/>
        </w:rPr>
        <w:t xml:space="preserve"> </w:t>
      </w:r>
      <w:r w:rsidR="006342C5" w:rsidRPr="007F7EBF">
        <w:rPr>
          <w:sz w:val="22"/>
          <w:szCs w:val="22"/>
        </w:rPr>
        <w:t xml:space="preserve">dirette </w:t>
      </w:r>
      <w:r w:rsidR="00B75D66" w:rsidRPr="007F7EBF">
        <w:rPr>
          <w:sz w:val="22"/>
          <w:szCs w:val="22"/>
        </w:rPr>
        <w:t xml:space="preserve">compongono </w:t>
      </w:r>
      <w:r w:rsidR="006342C5" w:rsidRPr="007F7EBF">
        <w:rPr>
          <w:sz w:val="22"/>
          <w:szCs w:val="22"/>
        </w:rPr>
        <w:t xml:space="preserve"> infatti</w:t>
      </w:r>
      <w:r w:rsidR="00B75D66" w:rsidRPr="007F7EBF">
        <w:rPr>
          <w:sz w:val="22"/>
          <w:szCs w:val="22"/>
        </w:rPr>
        <w:t xml:space="preserve"> </w:t>
      </w:r>
      <w:r w:rsidR="006342C5" w:rsidRPr="007F7EBF">
        <w:rPr>
          <w:bCs/>
          <w:sz w:val="22"/>
          <w:szCs w:val="22"/>
        </w:rPr>
        <w:t xml:space="preserve">un unico </w:t>
      </w:r>
      <w:r w:rsidR="00B75D66" w:rsidRPr="007F7EBF">
        <w:rPr>
          <w:bCs/>
          <w:sz w:val="22"/>
          <w:szCs w:val="22"/>
        </w:rPr>
        <w:t>apparato</w:t>
      </w:r>
      <w:r w:rsidR="006342C5" w:rsidRPr="007F7EBF">
        <w:rPr>
          <w:bCs/>
          <w:sz w:val="22"/>
          <w:szCs w:val="22"/>
        </w:rPr>
        <w:t xml:space="preserve"> “analitico documentale”</w:t>
      </w:r>
      <w:r w:rsidR="000B2CFA">
        <w:rPr>
          <w:bCs/>
          <w:sz w:val="22"/>
          <w:szCs w:val="22"/>
        </w:rPr>
        <w:t>,</w:t>
      </w:r>
      <w:r w:rsidR="006342C5" w:rsidRPr="007F7EBF">
        <w:rPr>
          <w:bCs/>
          <w:sz w:val="22"/>
          <w:szCs w:val="22"/>
        </w:rPr>
        <w:t xml:space="preserve"> </w:t>
      </w:r>
      <w:r w:rsidR="006342C5" w:rsidRPr="007F7EBF">
        <w:rPr>
          <w:sz w:val="22"/>
          <w:szCs w:val="22"/>
        </w:rPr>
        <w:t>con cui le</w:t>
      </w:r>
      <w:r w:rsidR="00F04636" w:rsidRPr="007F7EBF">
        <w:rPr>
          <w:sz w:val="22"/>
          <w:szCs w:val="22"/>
        </w:rPr>
        <w:t xml:space="preserve"> </w:t>
      </w:r>
      <w:r w:rsidR="006342C5" w:rsidRPr="007F7EBF">
        <w:rPr>
          <w:sz w:val="22"/>
          <w:szCs w:val="22"/>
        </w:rPr>
        <w:t>aziende</w:t>
      </w:r>
      <w:r w:rsidR="000B2CFA">
        <w:rPr>
          <w:sz w:val="22"/>
          <w:szCs w:val="22"/>
        </w:rPr>
        <w:t xml:space="preserve"> </w:t>
      </w:r>
      <w:r w:rsidR="006342C5" w:rsidRPr="007F7EBF">
        <w:rPr>
          <w:sz w:val="22"/>
          <w:szCs w:val="22"/>
        </w:rPr>
        <w:t xml:space="preserve">determinano </w:t>
      </w:r>
      <w:r w:rsidR="00F04636" w:rsidRPr="007F7EBF">
        <w:rPr>
          <w:sz w:val="22"/>
          <w:szCs w:val="22"/>
        </w:rPr>
        <w:t>c</w:t>
      </w:r>
      <w:r w:rsidR="006342C5" w:rsidRPr="007F7EBF">
        <w:rPr>
          <w:sz w:val="22"/>
          <w:szCs w:val="22"/>
        </w:rPr>
        <w:t xml:space="preserve">ontabilmente </w:t>
      </w:r>
      <w:r w:rsidR="00B75D66" w:rsidRPr="007F7EBF">
        <w:rPr>
          <w:sz w:val="22"/>
          <w:szCs w:val="22"/>
        </w:rPr>
        <w:t>reddit</w:t>
      </w:r>
      <w:r w:rsidR="000B2CFA">
        <w:rPr>
          <w:sz w:val="22"/>
          <w:szCs w:val="22"/>
        </w:rPr>
        <w:t>i</w:t>
      </w:r>
      <w:r w:rsidR="00B75D66" w:rsidRPr="007F7EBF">
        <w:rPr>
          <w:sz w:val="22"/>
          <w:szCs w:val="22"/>
        </w:rPr>
        <w:t xml:space="preserve"> </w:t>
      </w:r>
      <w:r w:rsidR="00116956">
        <w:rPr>
          <w:sz w:val="22"/>
          <w:szCs w:val="22"/>
        </w:rPr>
        <w:t xml:space="preserve">(nelle loro componenti di ricavi e costi) </w:t>
      </w:r>
      <w:r w:rsidR="00B75D66" w:rsidRPr="007F7EBF">
        <w:rPr>
          <w:sz w:val="22"/>
          <w:szCs w:val="22"/>
        </w:rPr>
        <w:t xml:space="preserve">e </w:t>
      </w:r>
      <w:r w:rsidR="00DC1F2A" w:rsidRPr="007F7EBF">
        <w:rPr>
          <w:sz w:val="22"/>
          <w:szCs w:val="22"/>
        </w:rPr>
        <w:t>consum</w:t>
      </w:r>
      <w:r w:rsidR="000B2CFA">
        <w:rPr>
          <w:sz w:val="22"/>
          <w:szCs w:val="22"/>
        </w:rPr>
        <w:t>i</w:t>
      </w:r>
      <w:r>
        <w:rPr>
          <w:sz w:val="22"/>
          <w:szCs w:val="22"/>
        </w:rPr>
        <w:t xml:space="preserve">. </w:t>
      </w:r>
      <w:r w:rsidR="00F04636" w:rsidRPr="007F7EBF">
        <w:rPr>
          <w:sz w:val="22"/>
          <w:szCs w:val="22"/>
        </w:rPr>
        <w:t xml:space="preserve"> </w:t>
      </w:r>
    </w:p>
    <w:p w14:paraId="4DB69109" w14:textId="77777777" w:rsidR="00154C49" w:rsidRPr="007F7EBF" w:rsidRDefault="00154C49" w:rsidP="00154C49">
      <w:pPr>
        <w:pStyle w:val="tit23"/>
        <w:ind w:left="6464" w:right="-1361" w:firstLine="0"/>
        <w:jc w:val="left"/>
        <w:rPr>
          <w:bCs/>
          <w:i/>
          <w:iCs/>
          <w:color w:val="0000FF"/>
          <w:lang w:val="it-IT"/>
        </w:rPr>
      </w:pPr>
      <w:r w:rsidRPr="007F7EBF">
        <w:rPr>
          <w:bCs/>
          <w:i/>
          <w:iCs/>
          <w:color w:val="0000FF"/>
          <w:lang w:val="it-IT"/>
        </w:rPr>
        <w:t>Ragioni di una trattazione unitaria IVA-imposte sui redditi</w:t>
      </w:r>
    </w:p>
    <w:p w14:paraId="1F953FF6" w14:textId="06441043" w:rsidR="00E75B1D" w:rsidRPr="007F7EBF" w:rsidRDefault="00275175" w:rsidP="00E75B1D">
      <w:pPr>
        <w:autoSpaceDE w:val="0"/>
        <w:autoSpaceDN w:val="0"/>
        <w:adjustRightInd w:val="0"/>
        <w:rPr>
          <w:bCs/>
          <w:i/>
          <w:iCs/>
          <w:color w:val="0000FF"/>
          <w:sz w:val="22"/>
          <w:szCs w:val="22"/>
        </w:rPr>
      </w:pPr>
      <w:r w:rsidRPr="007F7EBF">
        <w:rPr>
          <w:sz w:val="22"/>
          <w:szCs w:val="22"/>
        </w:rPr>
        <w:lastRenderedPageBreak/>
        <w:t xml:space="preserve">La </w:t>
      </w:r>
      <w:r w:rsidR="00116956">
        <w:rPr>
          <w:bCs/>
          <w:sz w:val="22"/>
          <w:szCs w:val="22"/>
        </w:rPr>
        <w:t>gestione</w:t>
      </w:r>
      <w:r w:rsidRPr="007F7EBF">
        <w:rPr>
          <w:bCs/>
          <w:sz w:val="22"/>
          <w:szCs w:val="22"/>
        </w:rPr>
        <w:t xml:space="preserve"> </w:t>
      </w:r>
      <w:r w:rsidR="00116956">
        <w:rPr>
          <w:bCs/>
          <w:sz w:val="22"/>
          <w:szCs w:val="22"/>
        </w:rPr>
        <w:t xml:space="preserve">da parte </w:t>
      </w:r>
      <w:r w:rsidRPr="007F7EBF">
        <w:rPr>
          <w:bCs/>
          <w:sz w:val="22"/>
          <w:szCs w:val="22"/>
        </w:rPr>
        <w:t xml:space="preserve"> </w:t>
      </w:r>
      <w:r w:rsidR="00116956">
        <w:rPr>
          <w:bCs/>
          <w:sz w:val="22"/>
          <w:szCs w:val="22"/>
        </w:rPr>
        <w:t xml:space="preserve">degli uffici tributari </w:t>
      </w:r>
      <w:r w:rsidRPr="007F7EBF">
        <w:rPr>
          <w:sz w:val="22"/>
          <w:szCs w:val="22"/>
        </w:rPr>
        <w:t xml:space="preserve">di </w:t>
      </w:r>
      <w:r w:rsidRPr="007F7EBF">
        <w:rPr>
          <w:bCs/>
          <w:sz w:val="22"/>
          <w:szCs w:val="22"/>
        </w:rPr>
        <w:t xml:space="preserve">tutti </w:t>
      </w:r>
      <w:r w:rsidRPr="007F7EBF">
        <w:rPr>
          <w:sz w:val="22"/>
          <w:szCs w:val="22"/>
        </w:rPr>
        <w:t xml:space="preserve">gli </w:t>
      </w:r>
      <w:r w:rsidRPr="007F7EBF">
        <w:rPr>
          <w:bCs/>
          <w:sz w:val="22"/>
          <w:szCs w:val="22"/>
        </w:rPr>
        <w:t>operatori economic</w:t>
      </w:r>
      <w:r w:rsidRPr="007F7EBF">
        <w:rPr>
          <w:sz w:val="22"/>
          <w:szCs w:val="22"/>
        </w:rPr>
        <w:t>i “non agricoli” è infatti unitaria, con un criterio  uguale per IVA e imposte sui redditi</w:t>
      </w:r>
      <w:r>
        <w:rPr>
          <w:sz w:val="22"/>
          <w:szCs w:val="22"/>
        </w:rPr>
        <w:t>, come rilevato a</w:t>
      </w:r>
      <w:r w:rsidR="00116956">
        <w:rPr>
          <w:sz w:val="22"/>
          <w:szCs w:val="22"/>
        </w:rPr>
        <w:t xml:space="preserve">l </w:t>
      </w:r>
      <w:r>
        <w:rPr>
          <w:sz w:val="22"/>
          <w:szCs w:val="22"/>
        </w:rPr>
        <w:t>par.5.2</w:t>
      </w:r>
      <w:r w:rsidR="00116956">
        <w:rPr>
          <w:sz w:val="22"/>
          <w:szCs w:val="22"/>
        </w:rPr>
        <w:t xml:space="preserve">. </w:t>
      </w:r>
      <w:proofErr w:type="spellStart"/>
      <w:r w:rsidR="00E75B1D" w:rsidRPr="007F7EBF">
        <w:rPr>
          <w:sz w:val="22"/>
          <w:szCs w:val="22"/>
        </w:rPr>
        <w:t>Quest'unitarieta'</w:t>
      </w:r>
      <w:proofErr w:type="spellEnd"/>
      <w:r w:rsidR="00E75B1D" w:rsidRPr="007F7EBF">
        <w:rPr>
          <w:sz w:val="22"/>
          <w:szCs w:val="22"/>
        </w:rPr>
        <w:t xml:space="preserve"> </w:t>
      </w:r>
      <w:r w:rsidR="00116956">
        <w:rPr>
          <w:sz w:val="22"/>
          <w:szCs w:val="22"/>
        </w:rPr>
        <w:t xml:space="preserve">nella </w:t>
      </w:r>
      <w:r w:rsidR="00116956" w:rsidRPr="007F7EBF">
        <w:rPr>
          <w:bCs/>
          <w:sz w:val="22"/>
          <w:szCs w:val="22"/>
        </w:rPr>
        <w:t>gestione anagrafico-amministrativa dei contribuenti</w:t>
      </w:r>
      <w:r w:rsidR="00116956" w:rsidRPr="007F7EBF">
        <w:rPr>
          <w:sz w:val="22"/>
          <w:szCs w:val="22"/>
        </w:rPr>
        <w:t xml:space="preserve">, da parte dell’autorità fiscale, è </w:t>
      </w:r>
      <w:r w:rsidR="00116956" w:rsidRPr="007F7EBF">
        <w:rPr>
          <w:bCs/>
          <w:sz w:val="22"/>
          <w:szCs w:val="22"/>
        </w:rPr>
        <w:t>unica</w:t>
      </w:r>
      <w:r w:rsidR="00116956">
        <w:rPr>
          <w:bCs/>
          <w:sz w:val="22"/>
          <w:szCs w:val="22"/>
        </w:rPr>
        <w:t xml:space="preserve"> </w:t>
      </w:r>
      <w:r w:rsidR="00116956" w:rsidRPr="007F7EBF">
        <w:rPr>
          <w:sz w:val="22"/>
          <w:szCs w:val="22"/>
        </w:rPr>
        <w:t>ai fini dell’IVA e delle imposte sui redditi</w:t>
      </w:r>
      <w:r w:rsidR="00116956">
        <w:rPr>
          <w:sz w:val="22"/>
          <w:szCs w:val="22"/>
        </w:rPr>
        <w:t xml:space="preserve">; essa </w:t>
      </w:r>
      <w:r w:rsidR="00E75B1D" w:rsidRPr="007F7EBF">
        <w:rPr>
          <w:sz w:val="22"/>
          <w:szCs w:val="22"/>
        </w:rPr>
        <w:t xml:space="preserve">rileva </w:t>
      </w:r>
      <w:r w:rsidR="00116956">
        <w:rPr>
          <w:sz w:val="22"/>
          <w:szCs w:val="22"/>
        </w:rPr>
        <w:t xml:space="preserve">per </w:t>
      </w:r>
      <w:r w:rsidR="00E75B1D" w:rsidRPr="007F7EBF">
        <w:rPr>
          <w:sz w:val="22"/>
          <w:szCs w:val="22"/>
        </w:rPr>
        <w:t>individua</w:t>
      </w:r>
      <w:r w:rsidR="00116956">
        <w:rPr>
          <w:sz w:val="22"/>
          <w:szCs w:val="22"/>
        </w:rPr>
        <w:t xml:space="preserve">re </w:t>
      </w:r>
      <w:r w:rsidR="00E75B1D" w:rsidRPr="007F7EBF">
        <w:rPr>
          <w:sz w:val="22"/>
          <w:szCs w:val="22"/>
        </w:rPr>
        <w:t>l’ufficio tributario competente per territorio</w:t>
      </w:r>
      <w:r w:rsidR="00E75B1D" w:rsidRPr="007F7EBF">
        <w:rPr>
          <w:rStyle w:val="Rimandonotaapidipagina"/>
          <w:sz w:val="22"/>
          <w:szCs w:val="22"/>
        </w:rPr>
        <w:footnoteReference w:id="982"/>
      </w:r>
      <w:r w:rsidR="00E75B1D" w:rsidRPr="007F7EBF">
        <w:rPr>
          <w:sz w:val="22"/>
          <w:szCs w:val="22"/>
        </w:rPr>
        <w:t>, la tipologia di contribuente, la classificazione in un “codice di attività economica”, anche ai fini degli studi di settore (par. 5.13)</w:t>
      </w:r>
      <w:r w:rsidR="00E75B1D">
        <w:rPr>
          <w:sz w:val="22"/>
          <w:szCs w:val="22"/>
        </w:rPr>
        <w:t>; è</w:t>
      </w:r>
      <w:r w:rsidR="00E75B1D" w:rsidRPr="007F7EBF">
        <w:rPr>
          <w:sz w:val="22"/>
          <w:szCs w:val="22"/>
        </w:rPr>
        <w:t xml:space="preserve"> unitaria anche la </w:t>
      </w:r>
      <w:r w:rsidR="00E75B1D" w:rsidRPr="007F7EBF">
        <w:rPr>
          <w:bCs/>
          <w:sz w:val="22"/>
          <w:szCs w:val="22"/>
        </w:rPr>
        <w:t xml:space="preserve">comunicazione </w:t>
      </w:r>
      <w:r w:rsidR="00E75B1D" w:rsidRPr="007F7EBF">
        <w:rPr>
          <w:sz w:val="22"/>
          <w:szCs w:val="22"/>
        </w:rPr>
        <w:t xml:space="preserve">del contribuente al fisco sull'inizio </w:t>
      </w:r>
      <w:r w:rsidR="00E75B1D" w:rsidRPr="007F7EBF">
        <w:rPr>
          <w:bCs/>
          <w:sz w:val="22"/>
          <w:szCs w:val="22"/>
        </w:rPr>
        <w:t xml:space="preserve">di un’attività </w:t>
      </w:r>
      <w:r w:rsidR="00E75B1D" w:rsidRPr="007F7EBF">
        <w:rPr>
          <w:sz w:val="22"/>
          <w:szCs w:val="22"/>
        </w:rPr>
        <w:t>d’impresa o professionale.</w:t>
      </w:r>
    </w:p>
    <w:p w14:paraId="4F9E6489" w14:textId="76EBB161" w:rsidR="00E75B1D" w:rsidRDefault="00E75B1D" w:rsidP="0033405B">
      <w:pPr>
        <w:autoSpaceDE w:val="0"/>
        <w:autoSpaceDN w:val="0"/>
        <w:adjustRightInd w:val="0"/>
        <w:rPr>
          <w:sz w:val="22"/>
          <w:szCs w:val="22"/>
        </w:rPr>
      </w:pPr>
      <w:r>
        <w:rPr>
          <w:sz w:val="22"/>
          <w:szCs w:val="22"/>
        </w:rPr>
        <w:t>T</w:t>
      </w:r>
      <w:r w:rsidR="00154C49" w:rsidRPr="007F7EBF">
        <w:rPr>
          <w:sz w:val="22"/>
          <w:szCs w:val="22"/>
        </w:rPr>
        <w:t>ratta</w:t>
      </w:r>
      <w:r>
        <w:rPr>
          <w:sz w:val="22"/>
          <w:szCs w:val="22"/>
        </w:rPr>
        <w:t>r</w:t>
      </w:r>
      <w:r w:rsidR="00154C49" w:rsidRPr="007F7EBF">
        <w:rPr>
          <w:sz w:val="22"/>
          <w:szCs w:val="22"/>
        </w:rPr>
        <w:t xml:space="preserve">e </w:t>
      </w:r>
      <w:r>
        <w:rPr>
          <w:sz w:val="22"/>
          <w:szCs w:val="22"/>
        </w:rPr>
        <w:t>parallelamente</w:t>
      </w:r>
      <w:r w:rsidR="00154C49" w:rsidRPr="007F7EBF">
        <w:rPr>
          <w:sz w:val="22"/>
          <w:szCs w:val="22"/>
        </w:rPr>
        <w:t xml:space="preserve"> IVA e imposte sui redditi</w:t>
      </w:r>
      <w:r w:rsidR="000B2CFA">
        <w:rPr>
          <w:sz w:val="22"/>
          <w:szCs w:val="22"/>
        </w:rPr>
        <w:t xml:space="preserve"> è più efficiente per le a</w:t>
      </w:r>
      <w:r w:rsidR="006342C5" w:rsidRPr="007F7EBF">
        <w:rPr>
          <w:bCs/>
          <w:sz w:val="22"/>
          <w:szCs w:val="22"/>
        </w:rPr>
        <w:t>nalog</w:t>
      </w:r>
      <w:r w:rsidR="000B2CFA">
        <w:rPr>
          <w:bCs/>
          <w:sz w:val="22"/>
          <w:szCs w:val="22"/>
        </w:rPr>
        <w:t>ie sul</w:t>
      </w:r>
      <w:r w:rsidR="000B2CFA">
        <w:rPr>
          <w:sz w:val="22"/>
          <w:szCs w:val="22"/>
        </w:rPr>
        <w:t>l’</w:t>
      </w:r>
      <w:r w:rsidR="006342C5" w:rsidRPr="007F7EBF">
        <w:rPr>
          <w:sz w:val="22"/>
          <w:szCs w:val="22"/>
        </w:rPr>
        <w:t>identifica</w:t>
      </w:r>
      <w:r w:rsidR="000B2CFA">
        <w:rPr>
          <w:sz w:val="22"/>
          <w:szCs w:val="22"/>
        </w:rPr>
        <w:t>zione</w:t>
      </w:r>
      <w:r w:rsidR="006342C5" w:rsidRPr="007F7EBF">
        <w:rPr>
          <w:sz w:val="22"/>
          <w:szCs w:val="22"/>
        </w:rPr>
        <w:t xml:space="preserve"> </w:t>
      </w:r>
      <w:r w:rsidR="00154C49" w:rsidRPr="007F7EBF">
        <w:rPr>
          <w:sz w:val="22"/>
          <w:szCs w:val="22"/>
        </w:rPr>
        <w:t>degli operatori economici</w:t>
      </w:r>
      <w:r w:rsidR="006342C5" w:rsidRPr="007F7EBF">
        <w:rPr>
          <w:sz w:val="22"/>
          <w:szCs w:val="22"/>
        </w:rPr>
        <w:t xml:space="preserve"> (par. 7.5), i </w:t>
      </w:r>
      <w:r w:rsidR="006342C5" w:rsidRPr="007F7EBF">
        <w:rPr>
          <w:bCs/>
          <w:sz w:val="22"/>
          <w:szCs w:val="22"/>
        </w:rPr>
        <w:t xml:space="preserve">presupposti oggettivi </w:t>
      </w:r>
      <w:r w:rsidR="006342C5" w:rsidRPr="007F7EBF">
        <w:rPr>
          <w:sz w:val="22"/>
          <w:szCs w:val="22"/>
        </w:rPr>
        <w:t>(cessioni di beni e prestazioni di serviz</w:t>
      </w:r>
      <w:r w:rsidR="009C0C40">
        <w:rPr>
          <w:sz w:val="22"/>
          <w:szCs w:val="22"/>
        </w:rPr>
        <w:t xml:space="preserve">i), </w:t>
      </w:r>
      <w:r w:rsidR="00A628A0" w:rsidRPr="007F7EBF">
        <w:rPr>
          <w:sz w:val="22"/>
          <w:szCs w:val="22"/>
        </w:rPr>
        <w:t xml:space="preserve"> </w:t>
      </w:r>
      <w:r w:rsidR="006342C5" w:rsidRPr="007F7EBF">
        <w:rPr>
          <w:sz w:val="22"/>
          <w:szCs w:val="22"/>
        </w:rPr>
        <w:t xml:space="preserve">il </w:t>
      </w:r>
      <w:r w:rsidR="006342C5" w:rsidRPr="007F7EBF">
        <w:rPr>
          <w:bCs/>
          <w:sz w:val="22"/>
          <w:szCs w:val="22"/>
        </w:rPr>
        <w:t xml:space="preserve">volume dei ricavi </w:t>
      </w:r>
      <w:r w:rsidR="006342C5" w:rsidRPr="007F7EBF">
        <w:rPr>
          <w:sz w:val="22"/>
          <w:szCs w:val="22"/>
        </w:rPr>
        <w:t xml:space="preserve">(volume d’affari, par. 7.6), il </w:t>
      </w:r>
      <w:r w:rsidR="006342C5" w:rsidRPr="007F7EBF">
        <w:rPr>
          <w:bCs/>
          <w:sz w:val="22"/>
          <w:szCs w:val="22"/>
        </w:rPr>
        <w:t>momento impositivo</w:t>
      </w:r>
      <w:r w:rsidR="00DC1F2A" w:rsidRPr="007F7EBF">
        <w:rPr>
          <w:bCs/>
          <w:sz w:val="22"/>
          <w:szCs w:val="22"/>
        </w:rPr>
        <w:t xml:space="preserve"> </w:t>
      </w:r>
      <w:r w:rsidR="00566FA1" w:rsidRPr="007F7EBF">
        <w:rPr>
          <w:sz w:val="22"/>
          <w:szCs w:val="22"/>
        </w:rPr>
        <w:t>(par. 7.11</w:t>
      </w:r>
      <w:r w:rsidR="006342C5" w:rsidRPr="007F7EBF">
        <w:rPr>
          <w:sz w:val="22"/>
          <w:szCs w:val="22"/>
        </w:rPr>
        <w:t xml:space="preserve">), l’inerenza (par. 7.9) e le scritture contabili (par. 7.7-7.8). </w:t>
      </w:r>
    </w:p>
    <w:p w14:paraId="7FC8554B" w14:textId="7863937D" w:rsidR="00154C49" w:rsidRPr="007F7EBF" w:rsidRDefault="00BB4071" w:rsidP="0033405B">
      <w:pPr>
        <w:autoSpaceDE w:val="0"/>
        <w:autoSpaceDN w:val="0"/>
        <w:adjustRightInd w:val="0"/>
        <w:rPr>
          <w:sz w:val="22"/>
          <w:szCs w:val="22"/>
        </w:rPr>
      </w:pPr>
      <w:r w:rsidRPr="007F7EBF">
        <w:rPr>
          <w:sz w:val="22"/>
          <w:szCs w:val="22"/>
        </w:rPr>
        <w:t xml:space="preserve">Anche l'alternativa tra registrare e non registrare </w:t>
      </w:r>
      <w:r w:rsidR="00E75B1D">
        <w:rPr>
          <w:sz w:val="22"/>
          <w:szCs w:val="22"/>
        </w:rPr>
        <w:t xml:space="preserve">gli imponibili (quindi evaderli in senso materiale) </w:t>
      </w:r>
      <w:r w:rsidRPr="007F7EBF">
        <w:rPr>
          <w:sz w:val="22"/>
          <w:szCs w:val="22"/>
        </w:rPr>
        <w:t xml:space="preserve">si pone analogamente tra i due tributi: </w:t>
      </w:r>
      <w:proofErr w:type="spellStart"/>
      <w:r w:rsidRPr="007F7EBF">
        <w:rPr>
          <w:sz w:val="22"/>
          <w:szCs w:val="22"/>
        </w:rPr>
        <w:t>e'</w:t>
      </w:r>
      <w:proofErr w:type="spellEnd"/>
      <w:r w:rsidRPr="007F7EBF">
        <w:rPr>
          <w:sz w:val="22"/>
          <w:szCs w:val="22"/>
        </w:rPr>
        <w:t xml:space="preserve"> </w:t>
      </w:r>
      <w:r w:rsidR="006342C5" w:rsidRPr="007F7EBF">
        <w:rPr>
          <w:sz w:val="22"/>
          <w:szCs w:val="22"/>
        </w:rPr>
        <w:t xml:space="preserve">infatti </w:t>
      </w:r>
      <w:r w:rsidR="006342C5" w:rsidRPr="007F7EBF">
        <w:rPr>
          <w:bCs/>
          <w:sz w:val="22"/>
          <w:szCs w:val="22"/>
        </w:rPr>
        <w:t>inconcepibile</w:t>
      </w:r>
      <w:r w:rsidR="00A628A0" w:rsidRPr="007F7EBF">
        <w:rPr>
          <w:bCs/>
          <w:sz w:val="22"/>
          <w:szCs w:val="22"/>
        </w:rPr>
        <w:t xml:space="preserve"> </w:t>
      </w:r>
      <w:r w:rsidR="006342C5" w:rsidRPr="007F7EBF">
        <w:rPr>
          <w:sz w:val="22"/>
          <w:szCs w:val="22"/>
        </w:rPr>
        <w:t xml:space="preserve">che un corrispettivo sia </w:t>
      </w:r>
      <w:r w:rsidRPr="007F7EBF">
        <w:rPr>
          <w:bCs/>
          <w:sz w:val="22"/>
          <w:szCs w:val="22"/>
        </w:rPr>
        <w:t>occultato</w:t>
      </w:r>
      <w:r w:rsidR="006342C5" w:rsidRPr="007F7EBF">
        <w:rPr>
          <w:bCs/>
          <w:sz w:val="22"/>
          <w:szCs w:val="22"/>
        </w:rPr>
        <w:t xml:space="preserve"> per le imposte sui redditi e </w:t>
      </w:r>
      <w:r w:rsidRPr="007F7EBF">
        <w:rPr>
          <w:bCs/>
          <w:sz w:val="22"/>
          <w:szCs w:val="22"/>
        </w:rPr>
        <w:t>registrato</w:t>
      </w:r>
      <w:r w:rsidR="00DC1F2A" w:rsidRPr="007F7EBF">
        <w:rPr>
          <w:bCs/>
          <w:sz w:val="22"/>
          <w:szCs w:val="22"/>
        </w:rPr>
        <w:t xml:space="preserve"> </w:t>
      </w:r>
      <w:r w:rsidR="006342C5" w:rsidRPr="007F7EBF">
        <w:rPr>
          <w:bCs/>
          <w:sz w:val="22"/>
          <w:szCs w:val="22"/>
        </w:rPr>
        <w:t xml:space="preserve">per l’IVA, </w:t>
      </w:r>
      <w:r w:rsidR="006342C5" w:rsidRPr="007F7EBF">
        <w:rPr>
          <w:sz w:val="22"/>
          <w:szCs w:val="22"/>
        </w:rPr>
        <w:t>o viceversa</w:t>
      </w:r>
      <w:r w:rsidR="009C0C40">
        <w:rPr>
          <w:sz w:val="22"/>
          <w:szCs w:val="22"/>
        </w:rPr>
        <w:t>(</w:t>
      </w:r>
      <w:r w:rsidR="002A4269" w:rsidRPr="007F7EBF">
        <w:rPr>
          <w:rStyle w:val="Rimandonotaapidipagina"/>
          <w:sz w:val="22"/>
          <w:szCs w:val="22"/>
        </w:rPr>
        <w:footnoteReference w:id="983"/>
      </w:r>
      <w:r w:rsidR="009C0C40">
        <w:rPr>
          <w:sz w:val="22"/>
          <w:szCs w:val="22"/>
        </w:rPr>
        <w:t>)</w:t>
      </w:r>
      <w:r w:rsidR="006342C5" w:rsidRPr="007F7EBF">
        <w:rPr>
          <w:sz w:val="22"/>
          <w:szCs w:val="22"/>
        </w:rPr>
        <w:t xml:space="preserve">. </w:t>
      </w:r>
    </w:p>
    <w:p w14:paraId="3539D870" w14:textId="1E5C7C57" w:rsidR="00154C49" w:rsidRPr="007F7EBF" w:rsidRDefault="00E75B1D" w:rsidP="00154C49">
      <w:pPr>
        <w:pStyle w:val="tit23"/>
        <w:ind w:left="6464" w:right="-1361" w:firstLine="0"/>
        <w:jc w:val="left"/>
        <w:rPr>
          <w:bCs/>
          <w:i/>
          <w:iCs/>
          <w:color w:val="0000FF"/>
          <w:lang w:val="it-IT"/>
        </w:rPr>
      </w:pPr>
      <w:r>
        <w:rPr>
          <w:bCs/>
          <w:i/>
          <w:iCs/>
          <w:color w:val="0000FF"/>
          <w:lang w:val="it-IT"/>
        </w:rPr>
        <w:t>Unicità documentale e diversità di astrazioni imponibili(</w:t>
      </w:r>
      <w:r w:rsidR="00154C49" w:rsidRPr="007F7EBF">
        <w:rPr>
          <w:bCs/>
          <w:i/>
          <w:iCs/>
          <w:color w:val="0000FF"/>
          <w:lang w:val="it-IT"/>
        </w:rPr>
        <w:t>reddito e consumo</w:t>
      </w:r>
      <w:r>
        <w:rPr>
          <w:bCs/>
          <w:i/>
          <w:iCs/>
          <w:color w:val="0000FF"/>
          <w:lang w:val="it-IT"/>
        </w:rPr>
        <w:t>)</w:t>
      </w:r>
    </w:p>
    <w:p w14:paraId="07310E9E" w14:textId="47F20CE2" w:rsidR="006342C5" w:rsidRPr="007F7EBF" w:rsidRDefault="00E75B1D" w:rsidP="00DC1F2A">
      <w:pPr>
        <w:autoSpaceDE w:val="0"/>
        <w:autoSpaceDN w:val="0"/>
        <w:adjustRightInd w:val="0"/>
        <w:rPr>
          <w:sz w:val="22"/>
          <w:szCs w:val="22"/>
        </w:rPr>
      </w:pPr>
      <w:r>
        <w:rPr>
          <w:sz w:val="22"/>
          <w:szCs w:val="22"/>
        </w:rPr>
        <w:t xml:space="preserve">Ai prossimi paragrafi vedremo la tendenziale unicità dei </w:t>
      </w:r>
      <w:r w:rsidR="002F3C0E" w:rsidRPr="007F7EBF">
        <w:rPr>
          <w:sz w:val="22"/>
          <w:szCs w:val="22"/>
        </w:rPr>
        <w:t xml:space="preserve"> </w:t>
      </w:r>
      <w:r w:rsidR="002F3C0E" w:rsidRPr="007F7EBF">
        <w:rPr>
          <w:bCs/>
          <w:sz w:val="22"/>
          <w:szCs w:val="22"/>
        </w:rPr>
        <w:t>document</w:t>
      </w:r>
      <w:r>
        <w:rPr>
          <w:bCs/>
          <w:sz w:val="22"/>
          <w:szCs w:val="22"/>
        </w:rPr>
        <w:t>i elementari</w:t>
      </w:r>
      <w:r w:rsidR="002F3C0E" w:rsidRPr="007F7EBF">
        <w:rPr>
          <w:bCs/>
          <w:sz w:val="22"/>
          <w:szCs w:val="22"/>
        </w:rPr>
        <w:t xml:space="preserve">, </w:t>
      </w:r>
      <w:r w:rsidR="002F3C0E" w:rsidRPr="007F7EBF">
        <w:rPr>
          <w:sz w:val="22"/>
          <w:szCs w:val="22"/>
        </w:rPr>
        <w:t>cui fanno riferimento</w:t>
      </w:r>
      <w:r w:rsidR="009C0C40">
        <w:rPr>
          <w:sz w:val="22"/>
          <w:szCs w:val="22"/>
        </w:rPr>
        <w:t xml:space="preserve"> l’</w:t>
      </w:r>
      <w:r w:rsidR="002F3C0E" w:rsidRPr="007F7EBF">
        <w:rPr>
          <w:sz w:val="22"/>
          <w:szCs w:val="22"/>
        </w:rPr>
        <w:t>IVA e</w:t>
      </w:r>
      <w:r w:rsidR="009C0C40">
        <w:rPr>
          <w:sz w:val="22"/>
          <w:szCs w:val="22"/>
        </w:rPr>
        <w:t xml:space="preserve"> le</w:t>
      </w:r>
      <w:r w:rsidR="002F3C0E" w:rsidRPr="007F7EBF">
        <w:rPr>
          <w:sz w:val="22"/>
          <w:szCs w:val="22"/>
        </w:rPr>
        <w:t xml:space="preserve"> imposte sui redditi</w:t>
      </w:r>
      <w:r>
        <w:rPr>
          <w:sz w:val="22"/>
          <w:szCs w:val="22"/>
        </w:rPr>
        <w:t xml:space="preserve">; tuttavia la diversità delle astrazioni economiche di riferimento </w:t>
      </w:r>
      <w:r w:rsidR="002F3C0E" w:rsidRPr="007F7EBF">
        <w:rPr>
          <w:sz w:val="22"/>
          <w:szCs w:val="22"/>
        </w:rPr>
        <w:t>(</w:t>
      </w:r>
      <w:r>
        <w:rPr>
          <w:sz w:val="22"/>
          <w:szCs w:val="22"/>
        </w:rPr>
        <w:t>reddito rispetto a consumo</w:t>
      </w:r>
      <w:r w:rsidR="002F3C0E" w:rsidRPr="007F7EBF">
        <w:rPr>
          <w:sz w:val="22"/>
          <w:szCs w:val="22"/>
        </w:rPr>
        <w:t xml:space="preserve">) </w:t>
      </w:r>
      <w:r w:rsidR="002C0E16">
        <w:rPr>
          <w:sz w:val="22"/>
          <w:szCs w:val="22"/>
        </w:rPr>
        <w:t xml:space="preserve">si riflettono sulla </w:t>
      </w:r>
      <w:r w:rsidR="002F3C0E" w:rsidRPr="007F7EBF">
        <w:rPr>
          <w:sz w:val="22"/>
          <w:szCs w:val="22"/>
        </w:rPr>
        <w:t>determinazione</w:t>
      </w:r>
      <w:r w:rsidR="009C0C40">
        <w:rPr>
          <w:sz w:val="22"/>
          <w:szCs w:val="22"/>
        </w:rPr>
        <w:t xml:space="preserve"> degli imponibili</w:t>
      </w:r>
      <w:r w:rsidR="002F3C0E" w:rsidRPr="007F7EBF">
        <w:rPr>
          <w:sz w:val="22"/>
          <w:szCs w:val="22"/>
        </w:rPr>
        <w:t xml:space="preserve">. </w:t>
      </w:r>
      <w:r w:rsidR="009C0C40">
        <w:rPr>
          <w:sz w:val="22"/>
          <w:szCs w:val="22"/>
        </w:rPr>
        <w:t>Aggiungiamo ulteriori riflessioni a quelle espresse al par.1.8 s</w:t>
      </w:r>
      <w:r w:rsidR="002C0E16">
        <w:rPr>
          <w:sz w:val="22"/>
          <w:szCs w:val="22"/>
        </w:rPr>
        <w:t>ul concetto di reddito, sulle differenze rispetto al patrimonio, sui suoi elementi (ricavi e costi) e aggregazioni (valore aggiunto); tendenzialmente, soprattutto per gli operatori economici, il reddito è un concetto di periodo</w:t>
      </w:r>
      <w:r w:rsidR="009C0C40">
        <w:rPr>
          <w:sz w:val="22"/>
          <w:szCs w:val="22"/>
        </w:rPr>
        <w:t xml:space="preserve"> (ad es. anno solare)</w:t>
      </w:r>
      <w:r w:rsidR="002C0E16">
        <w:rPr>
          <w:sz w:val="22"/>
          <w:szCs w:val="22"/>
        </w:rPr>
        <w:t xml:space="preserve">, </w:t>
      </w:r>
      <w:r w:rsidR="002C0E16" w:rsidRPr="007F7EBF">
        <w:rPr>
          <w:sz w:val="22"/>
          <w:szCs w:val="22"/>
        </w:rPr>
        <w:t>incerto fino al termine d</w:t>
      </w:r>
      <w:r w:rsidR="002C0E16">
        <w:rPr>
          <w:sz w:val="22"/>
          <w:szCs w:val="22"/>
        </w:rPr>
        <w:t>i esso</w:t>
      </w:r>
      <w:r w:rsidR="002C0E16" w:rsidRPr="007F7EBF">
        <w:rPr>
          <w:sz w:val="22"/>
          <w:szCs w:val="22"/>
        </w:rPr>
        <w:t xml:space="preserve">, anche perché influenzato dalle valutazioni di fine </w:t>
      </w:r>
      <w:r w:rsidR="002C0E16">
        <w:rPr>
          <w:sz w:val="22"/>
          <w:szCs w:val="22"/>
        </w:rPr>
        <w:t xml:space="preserve">anno di cui diremo ai </w:t>
      </w:r>
      <w:r w:rsidR="002C0E16">
        <w:rPr>
          <w:sz w:val="22"/>
          <w:szCs w:val="22"/>
        </w:rPr>
        <w:lastRenderedPageBreak/>
        <w:t xml:space="preserve">par.7.14 </w:t>
      </w:r>
      <w:proofErr w:type="spellStart"/>
      <w:r w:rsidR="002C0E16">
        <w:rPr>
          <w:sz w:val="22"/>
          <w:szCs w:val="22"/>
        </w:rPr>
        <w:t>ss</w:t>
      </w:r>
      <w:proofErr w:type="spellEnd"/>
      <w:r w:rsidR="002C0E16" w:rsidRPr="007F7EBF">
        <w:rPr>
          <w:sz w:val="22"/>
          <w:szCs w:val="22"/>
        </w:rPr>
        <w:t xml:space="preserve"> (</w:t>
      </w:r>
      <w:r w:rsidR="002C0E16" w:rsidRPr="007F7EBF">
        <w:rPr>
          <w:rStyle w:val="Rimandonotaapidipagina"/>
          <w:sz w:val="22"/>
          <w:szCs w:val="22"/>
        </w:rPr>
        <w:footnoteReference w:id="984"/>
      </w:r>
      <w:r w:rsidR="002C0E16" w:rsidRPr="007F7EBF">
        <w:rPr>
          <w:sz w:val="22"/>
          <w:szCs w:val="22"/>
        </w:rPr>
        <w:t>).</w:t>
      </w:r>
      <w:r w:rsidR="002C0E16">
        <w:rPr>
          <w:sz w:val="22"/>
          <w:szCs w:val="22"/>
        </w:rPr>
        <w:t xml:space="preserve">  </w:t>
      </w:r>
      <w:r w:rsidR="009439FA">
        <w:rPr>
          <w:sz w:val="22"/>
          <w:szCs w:val="22"/>
        </w:rPr>
        <w:t>R</w:t>
      </w:r>
      <w:r w:rsidR="006342C5" w:rsidRPr="007F7EBF">
        <w:rPr>
          <w:bCs/>
          <w:sz w:val="22"/>
          <w:szCs w:val="22"/>
        </w:rPr>
        <w:t xml:space="preserve">eddito </w:t>
      </w:r>
      <w:r w:rsidR="002C0E16">
        <w:rPr>
          <w:bCs/>
          <w:sz w:val="22"/>
          <w:szCs w:val="22"/>
        </w:rPr>
        <w:t xml:space="preserve">e consumo presentano difficoltà diverse, </w:t>
      </w:r>
      <w:r w:rsidR="009439FA">
        <w:rPr>
          <w:bCs/>
          <w:sz w:val="22"/>
          <w:szCs w:val="22"/>
        </w:rPr>
        <w:t xml:space="preserve">e il reddito </w:t>
      </w:r>
      <w:r w:rsidR="006342C5" w:rsidRPr="007F7EBF">
        <w:rPr>
          <w:sz w:val="22"/>
          <w:szCs w:val="22"/>
        </w:rPr>
        <w:t xml:space="preserve">è il concetto </w:t>
      </w:r>
      <w:r w:rsidR="006342C5" w:rsidRPr="007F7EBF">
        <w:rPr>
          <w:bCs/>
          <w:sz w:val="22"/>
          <w:szCs w:val="22"/>
        </w:rPr>
        <w:t>più semplice</w:t>
      </w:r>
      <w:r w:rsidR="006342C5" w:rsidRPr="007F7EBF">
        <w:rPr>
          <w:sz w:val="22"/>
          <w:szCs w:val="22"/>
        </w:rPr>
        <w:t xml:space="preserve">, </w:t>
      </w:r>
      <w:r w:rsidR="009A09D4" w:rsidRPr="007F7EBF">
        <w:rPr>
          <w:sz w:val="22"/>
          <w:szCs w:val="22"/>
        </w:rPr>
        <w:t>in quanto</w:t>
      </w:r>
      <w:r w:rsidR="006342C5" w:rsidRPr="007F7EBF">
        <w:rPr>
          <w:sz w:val="22"/>
          <w:szCs w:val="22"/>
        </w:rPr>
        <w:t xml:space="preserve"> differenza tra componenti</w:t>
      </w:r>
      <w:r w:rsidR="000B5855" w:rsidRPr="007F7EBF">
        <w:rPr>
          <w:sz w:val="22"/>
          <w:szCs w:val="22"/>
        </w:rPr>
        <w:t xml:space="preserve"> </w:t>
      </w:r>
      <w:r w:rsidR="006342C5" w:rsidRPr="007F7EBF">
        <w:rPr>
          <w:sz w:val="22"/>
          <w:szCs w:val="22"/>
        </w:rPr>
        <w:t>positive (ricavi) e negative (costi) dell’attività economica</w:t>
      </w:r>
      <w:r w:rsidR="009439FA">
        <w:rPr>
          <w:sz w:val="22"/>
          <w:szCs w:val="22"/>
        </w:rPr>
        <w:t>(</w:t>
      </w:r>
      <w:r w:rsidR="00154C49" w:rsidRPr="007F7EBF">
        <w:rPr>
          <w:rStyle w:val="Rimandonotaapidipagina"/>
          <w:sz w:val="22"/>
          <w:szCs w:val="22"/>
        </w:rPr>
        <w:footnoteReference w:id="985"/>
      </w:r>
      <w:r w:rsidR="009439FA">
        <w:rPr>
          <w:sz w:val="22"/>
          <w:szCs w:val="22"/>
        </w:rPr>
        <w:t>)</w:t>
      </w:r>
      <w:r w:rsidR="009A09D4" w:rsidRPr="007F7EBF">
        <w:rPr>
          <w:sz w:val="22"/>
          <w:szCs w:val="22"/>
        </w:rPr>
        <w:t xml:space="preserve">. </w:t>
      </w:r>
      <w:r w:rsidR="009C0C40">
        <w:rPr>
          <w:sz w:val="22"/>
          <w:szCs w:val="22"/>
        </w:rPr>
        <w:t>Il costo è una spesa diretta alla produzione, mentre il consumo esprime una spesa diretta al sostentamento personale o familiare</w:t>
      </w:r>
      <w:r w:rsidR="009439FA">
        <w:rPr>
          <w:sz w:val="22"/>
          <w:szCs w:val="22"/>
        </w:rPr>
        <w:t>(</w:t>
      </w:r>
      <w:r w:rsidR="003B686A" w:rsidRPr="007F7EBF">
        <w:rPr>
          <w:rStyle w:val="Rimandonotaapidipagina"/>
          <w:sz w:val="22"/>
          <w:szCs w:val="22"/>
        </w:rPr>
        <w:footnoteReference w:id="986"/>
      </w:r>
      <w:r w:rsidR="009439FA">
        <w:rPr>
          <w:sz w:val="22"/>
          <w:szCs w:val="22"/>
        </w:rPr>
        <w:t>)</w:t>
      </w:r>
      <w:r w:rsidR="00E7184D">
        <w:rPr>
          <w:sz w:val="22"/>
          <w:szCs w:val="22"/>
        </w:rPr>
        <w:t xml:space="preserve">. Ai prossimi </w:t>
      </w:r>
      <w:r w:rsidR="00154C49" w:rsidRPr="007F7EBF">
        <w:rPr>
          <w:sz w:val="22"/>
          <w:szCs w:val="22"/>
        </w:rPr>
        <w:t>3 paragrafi</w:t>
      </w:r>
      <w:r w:rsidR="00F1521A">
        <w:rPr>
          <w:sz w:val="22"/>
          <w:szCs w:val="22"/>
        </w:rPr>
        <w:t>(</w:t>
      </w:r>
      <w:r w:rsidR="00A66954" w:rsidRPr="007F7EBF">
        <w:rPr>
          <w:rStyle w:val="Rimandonotaapidipagina"/>
          <w:sz w:val="22"/>
          <w:szCs w:val="22"/>
        </w:rPr>
        <w:footnoteReference w:id="987"/>
      </w:r>
      <w:r w:rsidR="00F1521A">
        <w:rPr>
          <w:sz w:val="22"/>
          <w:szCs w:val="22"/>
        </w:rPr>
        <w:t>)</w:t>
      </w:r>
      <w:r w:rsidR="00E7184D">
        <w:rPr>
          <w:sz w:val="22"/>
          <w:szCs w:val="22"/>
        </w:rPr>
        <w:t xml:space="preserve"> ci dedicheremo ai problemi specifici del solo consumo, mentre l</w:t>
      </w:r>
      <w:r w:rsidR="00154C49" w:rsidRPr="007F7EBF">
        <w:rPr>
          <w:sz w:val="22"/>
          <w:szCs w:val="22"/>
        </w:rPr>
        <w:t xml:space="preserve">a trattazione unitaria di redditi e consumi riprenderà al par.7.5. </w:t>
      </w:r>
    </w:p>
    <w:p w14:paraId="2BF54742" w14:textId="2391A392" w:rsidR="00A5682E" w:rsidRPr="007F7EBF" w:rsidRDefault="006342C5" w:rsidP="00BE23B7">
      <w:pPr>
        <w:pStyle w:val="Titolo3"/>
        <w:rPr>
          <w:sz w:val="22"/>
          <w:szCs w:val="22"/>
        </w:rPr>
      </w:pPr>
      <w:bookmarkStart w:id="100" w:name="_Toc63365011"/>
      <w:r w:rsidRPr="007F7EBF">
        <w:rPr>
          <w:rFonts w:ascii="Times New Roman" w:hAnsi="Times New Roman"/>
          <w:sz w:val="22"/>
          <w:szCs w:val="22"/>
        </w:rPr>
        <w:t>7.2. Imposte sui consumi: dalla visibilità materiale delle merci a quella</w:t>
      </w:r>
      <w:r w:rsidR="009F7854" w:rsidRPr="007F7EBF">
        <w:rPr>
          <w:rFonts w:ascii="Times New Roman" w:hAnsi="Times New Roman"/>
          <w:sz w:val="22"/>
          <w:szCs w:val="22"/>
        </w:rPr>
        <w:t xml:space="preserve"> </w:t>
      </w:r>
      <w:r w:rsidRPr="007F7EBF">
        <w:rPr>
          <w:rFonts w:ascii="Times New Roman" w:hAnsi="Times New Roman"/>
          <w:sz w:val="22"/>
          <w:szCs w:val="22"/>
        </w:rPr>
        <w:t>contabile del “valore aggiunto” (l’IVA)</w:t>
      </w:r>
      <w:bookmarkEnd w:id="100"/>
    </w:p>
    <w:p w14:paraId="7BBB67FF" w14:textId="26425648" w:rsidR="00A5682E" w:rsidRPr="007F7EBF" w:rsidRDefault="00A5682E" w:rsidP="00A5682E">
      <w:pPr>
        <w:pStyle w:val="tit23"/>
        <w:ind w:left="6464" w:right="-1361" w:firstLine="0"/>
        <w:jc w:val="left"/>
        <w:rPr>
          <w:bCs/>
          <w:i/>
          <w:iCs/>
          <w:color w:val="0000FF"/>
          <w:lang w:val="it-IT"/>
        </w:rPr>
      </w:pPr>
      <w:r w:rsidRPr="007F7EBF">
        <w:rPr>
          <w:bCs/>
          <w:i/>
          <w:iCs/>
          <w:color w:val="0000FF"/>
          <w:lang w:val="it-IT"/>
        </w:rPr>
        <w:t xml:space="preserve">Tradizione </w:t>
      </w:r>
      <w:r w:rsidR="006D4FAE">
        <w:rPr>
          <w:bCs/>
          <w:i/>
          <w:iCs/>
          <w:color w:val="0000FF"/>
          <w:lang w:val="it-IT"/>
        </w:rPr>
        <w:t>e incon</w:t>
      </w:r>
      <w:r w:rsidR="005823E7">
        <w:rPr>
          <w:bCs/>
          <w:i/>
          <w:iCs/>
          <w:color w:val="0000FF"/>
          <w:lang w:val="it-IT"/>
        </w:rPr>
        <w:t>v</w:t>
      </w:r>
      <w:r w:rsidR="006D4FAE">
        <w:rPr>
          <w:bCs/>
          <w:i/>
          <w:iCs/>
          <w:color w:val="0000FF"/>
          <w:lang w:val="it-IT"/>
        </w:rPr>
        <w:t xml:space="preserve">enienti degli antichi </w:t>
      </w:r>
      <w:r w:rsidRPr="007F7EBF">
        <w:rPr>
          <w:bCs/>
          <w:i/>
          <w:iCs/>
          <w:color w:val="0000FF"/>
          <w:lang w:val="it-IT"/>
        </w:rPr>
        <w:t>dei tributi sui consumi</w:t>
      </w:r>
    </w:p>
    <w:p w14:paraId="6E964279" w14:textId="1957900D" w:rsidR="009720D0" w:rsidRPr="007F7EBF" w:rsidRDefault="00803289" w:rsidP="005823E7">
      <w:pPr>
        <w:autoSpaceDE w:val="0"/>
        <w:autoSpaceDN w:val="0"/>
        <w:adjustRightInd w:val="0"/>
        <w:rPr>
          <w:bCs/>
          <w:i/>
          <w:iCs/>
          <w:color w:val="0000FF"/>
        </w:rPr>
      </w:pPr>
      <w:r>
        <w:rPr>
          <w:sz w:val="22"/>
          <w:szCs w:val="22"/>
        </w:rPr>
        <w:t>L</w:t>
      </w:r>
      <w:r w:rsidR="006D4FAE">
        <w:rPr>
          <w:sz w:val="22"/>
          <w:szCs w:val="22"/>
        </w:rPr>
        <w:t>’astrazione economica rappresentata da</w:t>
      </w:r>
      <w:r w:rsidR="00A5682E" w:rsidRPr="007F7EBF">
        <w:rPr>
          <w:sz w:val="22"/>
          <w:szCs w:val="22"/>
        </w:rPr>
        <w:t xml:space="preserve">l consumo (par.1.8) </w:t>
      </w:r>
      <w:r>
        <w:rPr>
          <w:sz w:val="22"/>
          <w:szCs w:val="22"/>
        </w:rPr>
        <w:t xml:space="preserve">era fiscalmente visibile, nella </w:t>
      </w:r>
      <w:r w:rsidR="006D4FAE">
        <w:rPr>
          <w:sz w:val="22"/>
          <w:szCs w:val="22"/>
        </w:rPr>
        <w:t xml:space="preserve">fiscalità preindustriale </w:t>
      </w:r>
      <w:r w:rsidR="00A5682E" w:rsidRPr="007F7EBF">
        <w:rPr>
          <w:sz w:val="22"/>
          <w:szCs w:val="22"/>
        </w:rPr>
        <w:t>(</w:t>
      </w:r>
      <w:r w:rsidR="003B686A" w:rsidRPr="007F7EBF">
        <w:rPr>
          <w:rStyle w:val="Rimandonotaapidipagina"/>
          <w:sz w:val="22"/>
          <w:szCs w:val="22"/>
        </w:rPr>
        <w:footnoteReference w:id="988"/>
      </w:r>
      <w:r w:rsidR="00A5682E" w:rsidRPr="007F7EBF">
        <w:rPr>
          <w:sz w:val="22"/>
          <w:szCs w:val="22"/>
        </w:rPr>
        <w:t>)</w:t>
      </w:r>
      <w:r w:rsidR="003B686A" w:rsidRPr="007F7EBF">
        <w:rPr>
          <w:sz w:val="22"/>
          <w:szCs w:val="22"/>
        </w:rPr>
        <w:t xml:space="preserve">, </w:t>
      </w:r>
      <w:r>
        <w:rPr>
          <w:sz w:val="22"/>
          <w:szCs w:val="22"/>
        </w:rPr>
        <w:t xml:space="preserve">osservando </w:t>
      </w:r>
      <w:r w:rsidR="000010AD">
        <w:rPr>
          <w:sz w:val="22"/>
          <w:szCs w:val="22"/>
        </w:rPr>
        <w:t xml:space="preserve">i transiti delle </w:t>
      </w:r>
      <w:r>
        <w:rPr>
          <w:sz w:val="22"/>
          <w:szCs w:val="22"/>
        </w:rPr>
        <w:t>merci</w:t>
      </w:r>
      <w:r w:rsidR="000010AD">
        <w:rPr>
          <w:sz w:val="22"/>
          <w:szCs w:val="22"/>
        </w:rPr>
        <w:t xml:space="preserve">, dove esse per necessità si concentravano, come nodi stradali, </w:t>
      </w:r>
      <w:r>
        <w:rPr>
          <w:sz w:val="22"/>
          <w:szCs w:val="22"/>
        </w:rPr>
        <w:t xml:space="preserve">valichi, </w:t>
      </w:r>
      <w:r w:rsidR="000010AD">
        <w:rPr>
          <w:sz w:val="22"/>
          <w:szCs w:val="22"/>
        </w:rPr>
        <w:t xml:space="preserve">porti, </w:t>
      </w:r>
      <w:r>
        <w:rPr>
          <w:sz w:val="22"/>
          <w:szCs w:val="22"/>
        </w:rPr>
        <w:t xml:space="preserve">ingressi dei mercati; </w:t>
      </w:r>
      <w:r w:rsidR="000010AD">
        <w:rPr>
          <w:sz w:val="22"/>
          <w:szCs w:val="22"/>
        </w:rPr>
        <w:t xml:space="preserve">Inizialmente </w:t>
      </w:r>
      <w:r>
        <w:rPr>
          <w:sz w:val="22"/>
          <w:szCs w:val="22"/>
        </w:rPr>
        <w:t xml:space="preserve">l’imposta </w:t>
      </w:r>
      <w:r w:rsidR="000010AD">
        <w:rPr>
          <w:sz w:val="22"/>
          <w:szCs w:val="22"/>
        </w:rPr>
        <w:t xml:space="preserve">colpiva le merci secondo qualità e quantità, nella loro visibilità materiale di cui al par.1.10, senza </w:t>
      </w:r>
      <w:r w:rsidR="003B686A" w:rsidRPr="007F7EBF">
        <w:rPr>
          <w:sz w:val="22"/>
          <w:szCs w:val="22"/>
        </w:rPr>
        <w:t xml:space="preserve">complicati </w:t>
      </w:r>
      <w:r w:rsidR="006342C5" w:rsidRPr="007F7EBF">
        <w:rPr>
          <w:sz w:val="22"/>
          <w:szCs w:val="22"/>
        </w:rPr>
        <w:t xml:space="preserve">calcoli </w:t>
      </w:r>
      <w:r>
        <w:rPr>
          <w:sz w:val="22"/>
          <w:szCs w:val="22"/>
        </w:rPr>
        <w:t>del</w:t>
      </w:r>
      <w:r w:rsidR="006342C5" w:rsidRPr="007F7EBF">
        <w:rPr>
          <w:sz w:val="22"/>
          <w:szCs w:val="22"/>
        </w:rPr>
        <w:t xml:space="preserve"> loro </w:t>
      </w:r>
      <w:r w:rsidR="006D4FAE">
        <w:rPr>
          <w:sz w:val="22"/>
          <w:szCs w:val="22"/>
        </w:rPr>
        <w:t xml:space="preserve">diverso </w:t>
      </w:r>
      <w:r w:rsidR="006342C5" w:rsidRPr="007F7EBF">
        <w:rPr>
          <w:sz w:val="22"/>
          <w:szCs w:val="22"/>
        </w:rPr>
        <w:t>valore</w:t>
      </w:r>
      <w:r>
        <w:rPr>
          <w:sz w:val="22"/>
          <w:szCs w:val="22"/>
        </w:rPr>
        <w:t xml:space="preserve"> economico,</w:t>
      </w:r>
      <w:r w:rsidR="006342C5" w:rsidRPr="007F7EBF">
        <w:rPr>
          <w:sz w:val="22"/>
          <w:szCs w:val="22"/>
        </w:rPr>
        <w:t xml:space="preserve"> o sui c</w:t>
      </w:r>
      <w:r w:rsidR="00DC1F2A" w:rsidRPr="007F7EBF">
        <w:rPr>
          <w:sz w:val="22"/>
          <w:szCs w:val="22"/>
        </w:rPr>
        <w:t>o</w:t>
      </w:r>
      <w:r w:rsidR="003B686A" w:rsidRPr="007F7EBF">
        <w:rPr>
          <w:sz w:val="22"/>
          <w:szCs w:val="22"/>
        </w:rPr>
        <w:t>rrispettivi della loro</w:t>
      </w:r>
      <w:r w:rsidR="000010AD">
        <w:rPr>
          <w:sz w:val="22"/>
          <w:szCs w:val="22"/>
        </w:rPr>
        <w:t xml:space="preserve"> futura</w:t>
      </w:r>
      <w:r w:rsidR="003B686A" w:rsidRPr="007F7EBF">
        <w:rPr>
          <w:sz w:val="22"/>
          <w:szCs w:val="22"/>
        </w:rPr>
        <w:t xml:space="preserve"> vendita</w:t>
      </w:r>
      <w:r w:rsidR="006D4FAE">
        <w:rPr>
          <w:sz w:val="22"/>
          <w:szCs w:val="22"/>
        </w:rPr>
        <w:t xml:space="preserve"> (</w:t>
      </w:r>
      <w:r w:rsidR="006D4FAE">
        <w:rPr>
          <w:rStyle w:val="Rimandonotaapidipagina"/>
          <w:sz w:val="22"/>
          <w:szCs w:val="22"/>
        </w:rPr>
        <w:footnoteReference w:id="989"/>
      </w:r>
      <w:r w:rsidR="006D4FAE">
        <w:rPr>
          <w:sz w:val="22"/>
          <w:szCs w:val="22"/>
        </w:rPr>
        <w:t>)</w:t>
      </w:r>
      <w:r w:rsidR="003B686A" w:rsidRPr="007F7EBF">
        <w:rPr>
          <w:sz w:val="22"/>
          <w:szCs w:val="22"/>
        </w:rPr>
        <w:t xml:space="preserve">. </w:t>
      </w:r>
    </w:p>
    <w:p w14:paraId="1580FEB7" w14:textId="09C5036F" w:rsidR="00D876D1" w:rsidRPr="007F7EBF" w:rsidRDefault="009439FA" w:rsidP="00A66954">
      <w:pPr>
        <w:autoSpaceDE w:val="0"/>
        <w:autoSpaceDN w:val="0"/>
        <w:adjustRightInd w:val="0"/>
        <w:rPr>
          <w:sz w:val="22"/>
          <w:szCs w:val="22"/>
        </w:rPr>
      </w:pPr>
      <w:r>
        <w:rPr>
          <w:sz w:val="22"/>
          <w:szCs w:val="22"/>
        </w:rPr>
        <w:t xml:space="preserve">L’inconveniente era una tassazione molto limitata dei </w:t>
      </w:r>
      <w:r w:rsidR="006342C5" w:rsidRPr="007F7EBF">
        <w:rPr>
          <w:bCs/>
          <w:sz w:val="22"/>
          <w:szCs w:val="22"/>
        </w:rPr>
        <w:t>consumi di servizi</w:t>
      </w:r>
      <w:r>
        <w:rPr>
          <w:bCs/>
          <w:sz w:val="22"/>
          <w:szCs w:val="22"/>
        </w:rPr>
        <w:t xml:space="preserve">, colpiti </w:t>
      </w:r>
      <w:r w:rsidR="006342C5" w:rsidRPr="007F7EBF">
        <w:rPr>
          <w:sz w:val="22"/>
          <w:szCs w:val="22"/>
        </w:rPr>
        <w:t xml:space="preserve">solo limitatamente alle </w:t>
      </w:r>
      <w:r w:rsidR="006342C5" w:rsidRPr="007F7EBF">
        <w:rPr>
          <w:bCs/>
          <w:sz w:val="22"/>
          <w:szCs w:val="22"/>
        </w:rPr>
        <w:t>merci consumate per effettuarli</w:t>
      </w:r>
      <w:r w:rsidR="00DC1F2A" w:rsidRPr="007F7EBF">
        <w:rPr>
          <w:sz w:val="22"/>
          <w:szCs w:val="22"/>
        </w:rPr>
        <w:t xml:space="preserve"> </w:t>
      </w:r>
      <w:r w:rsidR="00DC1F2A" w:rsidRPr="007F7EBF">
        <w:rPr>
          <w:sz w:val="22"/>
          <w:szCs w:val="22"/>
        </w:rPr>
        <w:lastRenderedPageBreak/>
        <w:t>(</w:t>
      </w:r>
      <w:r w:rsidR="003B686A" w:rsidRPr="007F7EBF">
        <w:rPr>
          <w:rStyle w:val="Rimandonotaapidipagina"/>
          <w:sz w:val="22"/>
          <w:szCs w:val="22"/>
        </w:rPr>
        <w:footnoteReference w:id="990"/>
      </w:r>
      <w:r w:rsidR="0083698F" w:rsidRPr="007F7EBF">
        <w:rPr>
          <w:sz w:val="22"/>
          <w:szCs w:val="22"/>
        </w:rPr>
        <w:t>)</w:t>
      </w:r>
      <w:r w:rsidR="006342C5" w:rsidRPr="007F7EBF">
        <w:rPr>
          <w:sz w:val="22"/>
          <w:szCs w:val="22"/>
        </w:rPr>
        <w:t>.</w:t>
      </w:r>
      <w:r w:rsidR="00C36F8B" w:rsidRPr="007F7EBF">
        <w:rPr>
          <w:sz w:val="22"/>
          <w:szCs w:val="22"/>
        </w:rPr>
        <w:t xml:space="preserve"> </w:t>
      </w:r>
      <w:r>
        <w:rPr>
          <w:sz w:val="22"/>
          <w:szCs w:val="22"/>
        </w:rPr>
        <w:t>Altrettanto difficile era considerare la diversa qualità d</w:t>
      </w:r>
      <w:r w:rsidR="006342C5" w:rsidRPr="007F7EBF">
        <w:rPr>
          <w:bCs/>
          <w:sz w:val="22"/>
          <w:szCs w:val="22"/>
        </w:rPr>
        <w:t>i merci</w:t>
      </w:r>
      <w:r w:rsidR="00C36F8B" w:rsidRPr="007F7EBF">
        <w:rPr>
          <w:bCs/>
          <w:sz w:val="22"/>
          <w:szCs w:val="22"/>
        </w:rPr>
        <w:t xml:space="preserve"> </w:t>
      </w:r>
      <w:r w:rsidR="006342C5" w:rsidRPr="007F7EBF">
        <w:rPr>
          <w:bCs/>
          <w:sz w:val="22"/>
          <w:szCs w:val="22"/>
        </w:rPr>
        <w:t xml:space="preserve">tipologicamente </w:t>
      </w:r>
      <w:r w:rsidR="00A66954" w:rsidRPr="007F7EBF">
        <w:rPr>
          <w:bCs/>
          <w:sz w:val="22"/>
          <w:szCs w:val="22"/>
        </w:rPr>
        <w:t xml:space="preserve">identiche, </w:t>
      </w:r>
      <w:r>
        <w:rPr>
          <w:bCs/>
          <w:sz w:val="22"/>
          <w:szCs w:val="22"/>
        </w:rPr>
        <w:t xml:space="preserve">e di </w:t>
      </w:r>
      <w:r w:rsidR="005823E7">
        <w:rPr>
          <w:sz w:val="22"/>
          <w:szCs w:val="22"/>
        </w:rPr>
        <w:t>distingue</w:t>
      </w:r>
      <w:r>
        <w:rPr>
          <w:sz w:val="22"/>
          <w:szCs w:val="22"/>
        </w:rPr>
        <w:t>re</w:t>
      </w:r>
      <w:r w:rsidR="005823E7">
        <w:rPr>
          <w:sz w:val="22"/>
          <w:szCs w:val="22"/>
        </w:rPr>
        <w:t xml:space="preserve"> </w:t>
      </w:r>
      <w:r w:rsidR="005823E7" w:rsidRPr="007F7EBF">
        <w:rPr>
          <w:sz w:val="22"/>
          <w:szCs w:val="22"/>
        </w:rPr>
        <w:t>tra merci destinate al consumo o alla produzione</w:t>
      </w:r>
      <w:r w:rsidR="00803289">
        <w:rPr>
          <w:sz w:val="22"/>
          <w:szCs w:val="22"/>
        </w:rPr>
        <w:t xml:space="preserve"> di altre merci, poi a loro volta tassate </w:t>
      </w:r>
      <w:r>
        <w:rPr>
          <w:sz w:val="22"/>
          <w:szCs w:val="22"/>
        </w:rPr>
        <w:t>(</w:t>
      </w:r>
      <w:r w:rsidR="005823E7" w:rsidRPr="007F7EBF">
        <w:rPr>
          <w:rStyle w:val="Rimandonotaapidipagina"/>
          <w:sz w:val="22"/>
          <w:szCs w:val="22"/>
        </w:rPr>
        <w:footnoteReference w:id="991"/>
      </w:r>
      <w:r>
        <w:rPr>
          <w:sz w:val="22"/>
          <w:szCs w:val="22"/>
        </w:rPr>
        <w:t>)</w:t>
      </w:r>
      <w:r w:rsidR="005823E7" w:rsidRPr="007F7EBF">
        <w:rPr>
          <w:sz w:val="22"/>
          <w:szCs w:val="22"/>
        </w:rPr>
        <w:t xml:space="preserve">. </w:t>
      </w:r>
      <w:r w:rsidR="00803289">
        <w:rPr>
          <w:sz w:val="22"/>
          <w:szCs w:val="22"/>
        </w:rPr>
        <w:t>Questo criterio</w:t>
      </w:r>
      <w:r w:rsidR="006B53BA">
        <w:rPr>
          <w:sz w:val="22"/>
          <w:szCs w:val="22"/>
        </w:rPr>
        <w:t xml:space="preserve"> di</w:t>
      </w:r>
      <w:r w:rsidR="0083698F" w:rsidRPr="007F7EBF">
        <w:rPr>
          <w:sz w:val="22"/>
          <w:szCs w:val="22"/>
        </w:rPr>
        <w:t>venne</w:t>
      </w:r>
      <w:r>
        <w:rPr>
          <w:sz w:val="22"/>
          <w:szCs w:val="22"/>
        </w:rPr>
        <w:t xml:space="preserve"> troppo</w:t>
      </w:r>
      <w:r w:rsidR="0083698F" w:rsidRPr="007F7EBF">
        <w:rPr>
          <w:sz w:val="22"/>
          <w:szCs w:val="22"/>
        </w:rPr>
        <w:t xml:space="preserve"> </w:t>
      </w:r>
      <w:r w:rsidR="006B53BA">
        <w:rPr>
          <w:sz w:val="22"/>
          <w:szCs w:val="22"/>
        </w:rPr>
        <w:t>semplicistico</w:t>
      </w:r>
      <w:r w:rsidR="0083698F" w:rsidRPr="007F7EBF">
        <w:rPr>
          <w:sz w:val="22"/>
          <w:szCs w:val="22"/>
        </w:rPr>
        <w:t xml:space="preserve"> con la produzione industriale, dove diventava macroscopica la duplicazione di prelievo sui passaggi di beni e servizi destinati al</w:t>
      </w:r>
      <w:r w:rsidR="009720D0" w:rsidRPr="007F7EBF">
        <w:rPr>
          <w:sz w:val="22"/>
          <w:szCs w:val="22"/>
        </w:rPr>
        <w:t>la produzione, e non al consumo</w:t>
      </w:r>
      <w:r w:rsidR="00F1521A">
        <w:rPr>
          <w:sz w:val="22"/>
          <w:szCs w:val="22"/>
        </w:rPr>
        <w:t>(</w:t>
      </w:r>
      <w:r w:rsidR="009720D0" w:rsidRPr="007F7EBF">
        <w:rPr>
          <w:rStyle w:val="Rimandonotaapidipagina"/>
          <w:sz w:val="22"/>
          <w:szCs w:val="22"/>
        </w:rPr>
        <w:footnoteReference w:id="992"/>
      </w:r>
      <w:r w:rsidR="00F1521A">
        <w:rPr>
          <w:sz w:val="22"/>
          <w:szCs w:val="22"/>
        </w:rPr>
        <w:t>)</w:t>
      </w:r>
      <w:r w:rsidR="0083698F" w:rsidRPr="007F7EBF">
        <w:rPr>
          <w:sz w:val="22"/>
          <w:szCs w:val="22"/>
        </w:rPr>
        <w:t xml:space="preserve">. </w:t>
      </w:r>
    </w:p>
    <w:p w14:paraId="10B8758B" w14:textId="77777777" w:rsidR="00D876D1" w:rsidRPr="007F7EBF" w:rsidRDefault="00D876D1" w:rsidP="00D876D1">
      <w:pPr>
        <w:pStyle w:val="tit23"/>
        <w:ind w:left="6464" w:right="-1361" w:firstLine="0"/>
        <w:jc w:val="left"/>
        <w:rPr>
          <w:bCs/>
          <w:i/>
          <w:iCs/>
          <w:color w:val="0000FF"/>
          <w:lang w:val="it-IT"/>
        </w:rPr>
      </w:pPr>
      <w:r w:rsidRPr="007F7EBF">
        <w:rPr>
          <w:bCs/>
          <w:i/>
          <w:iCs/>
          <w:color w:val="0000FF"/>
          <w:lang w:val="it-IT"/>
        </w:rPr>
        <w:t>Dalle merci ai documenti commerciali come visibilità dei consumi</w:t>
      </w:r>
    </w:p>
    <w:p w14:paraId="55ECFF86" w14:textId="77C20C3B" w:rsidR="005823E7" w:rsidRPr="007F7EBF" w:rsidRDefault="0083698F" w:rsidP="005823E7">
      <w:pPr>
        <w:autoSpaceDE w:val="0"/>
        <w:autoSpaceDN w:val="0"/>
        <w:adjustRightInd w:val="0"/>
        <w:rPr>
          <w:sz w:val="22"/>
          <w:szCs w:val="22"/>
        </w:rPr>
      </w:pPr>
      <w:r w:rsidRPr="007F7EBF">
        <w:rPr>
          <w:sz w:val="22"/>
          <w:szCs w:val="22"/>
        </w:rPr>
        <w:t>La</w:t>
      </w:r>
      <w:r w:rsidR="006342C5" w:rsidRPr="007F7EBF">
        <w:rPr>
          <w:sz w:val="22"/>
          <w:szCs w:val="22"/>
        </w:rPr>
        <w:t xml:space="preserve"> diffusione delle </w:t>
      </w:r>
      <w:r w:rsidRPr="007F7EBF">
        <w:rPr>
          <w:sz w:val="22"/>
          <w:szCs w:val="22"/>
        </w:rPr>
        <w:t>organizzazioni aziendali</w:t>
      </w:r>
      <w:r w:rsidR="006342C5" w:rsidRPr="007F7EBF">
        <w:rPr>
          <w:sz w:val="22"/>
          <w:szCs w:val="22"/>
        </w:rPr>
        <w:t xml:space="preserve">, </w:t>
      </w:r>
      <w:r w:rsidRPr="007F7EBF">
        <w:rPr>
          <w:sz w:val="22"/>
          <w:szCs w:val="22"/>
        </w:rPr>
        <w:t>e dei loro uffici amministrativi, spinse</w:t>
      </w:r>
      <w:r w:rsidR="00A66954" w:rsidRPr="007F7EBF">
        <w:rPr>
          <w:sz w:val="22"/>
          <w:szCs w:val="22"/>
        </w:rPr>
        <w:t xml:space="preserve"> quindi</w:t>
      </w:r>
      <w:r w:rsidRPr="007F7EBF">
        <w:rPr>
          <w:sz w:val="22"/>
          <w:szCs w:val="22"/>
        </w:rPr>
        <w:t xml:space="preserve"> a </w:t>
      </w:r>
      <w:r w:rsidR="006342C5" w:rsidRPr="007F7EBF">
        <w:rPr>
          <w:bCs/>
          <w:sz w:val="22"/>
          <w:szCs w:val="22"/>
        </w:rPr>
        <w:t>tassa</w:t>
      </w:r>
      <w:r w:rsidR="00854FEA" w:rsidRPr="007F7EBF">
        <w:rPr>
          <w:bCs/>
          <w:sz w:val="22"/>
          <w:szCs w:val="22"/>
        </w:rPr>
        <w:t xml:space="preserve">re </w:t>
      </w:r>
      <w:r w:rsidRPr="007F7EBF">
        <w:rPr>
          <w:bCs/>
          <w:sz w:val="22"/>
          <w:szCs w:val="22"/>
        </w:rPr>
        <w:t xml:space="preserve">i consumi </w:t>
      </w:r>
      <w:r w:rsidR="006342C5" w:rsidRPr="007F7EBF">
        <w:rPr>
          <w:sz w:val="22"/>
          <w:szCs w:val="22"/>
        </w:rPr>
        <w:t xml:space="preserve">non più </w:t>
      </w:r>
      <w:r w:rsidR="00854FEA" w:rsidRPr="007F7EBF">
        <w:rPr>
          <w:bCs/>
          <w:sz w:val="22"/>
          <w:szCs w:val="22"/>
        </w:rPr>
        <w:t>attraverso</w:t>
      </w:r>
      <w:r w:rsidR="006342C5" w:rsidRPr="007F7EBF">
        <w:rPr>
          <w:bCs/>
          <w:sz w:val="22"/>
          <w:szCs w:val="22"/>
        </w:rPr>
        <w:t xml:space="preserve"> </w:t>
      </w:r>
      <w:r w:rsidR="00854FEA" w:rsidRPr="007F7EBF">
        <w:rPr>
          <w:bCs/>
          <w:sz w:val="22"/>
          <w:szCs w:val="22"/>
        </w:rPr>
        <w:t>l</w:t>
      </w:r>
      <w:r w:rsidR="006342C5" w:rsidRPr="007F7EBF">
        <w:rPr>
          <w:sz w:val="22"/>
          <w:szCs w:val="22"/>
        </w:rPr>
        <w:t>a visibilità fisica</w:t>
      </w:r>
      <w:r w:rsidRPr="007F7EBF">
        <w:rPr>
          <w:sz w:val="22"/>
          <w:szCs w:val="22"/>
        </w:rPr>
        <w:t xml:space="preserve"> delle merci</w:t>
      </w:r>
      <w:r w:rsidR="006342C5" w:rsidRPr="007F7EBF">
        <w:rPr>
          <w:sz w:val="22"/>
          <w:szCs w:val="22"/>
        </w:rPr>
        <w:t xml:space="preserve">, ma </w:t>
      </w:r>
      <w:r w:rsidR="00854FEA" w:rsidRPr="007F7EBF">
        <w:rPr>
          <w:sz w:val="22"/>
          <w:szCs w:val="22"/>
        </w:rPr>
        <w:t xml:space="preserve">attraverso </w:t>
      </w:r>
      <w:r w:rsidR="006342C5" w:rsidRPr="007F7EBF">
        <w:rPr>
          <w:bCs/>
          <w:sz w:val="22"/>
          <w:szCs w:val="22"/>
        </w:rPr>
        <w:t xml:space="preserve">la </w:t>
      </w:r>
      <w:r w:rsidR="00854FEA" w:rsidRPr="007F7EBF">
        <w:rPr>
          <w:bCs/>
          <w:sz w:val="22"/>
          <w:szCs w:val="22"/>
        </w:rPr>
        <w:t>d</w:t>
      </w:r>
      <w:r w:rsidR="006342C5" w:rsidRPr="007F7EBF">
        <w:rPr>
          <w:bCs/>
          <w:sz w:val="22"/>
          <w:szCs w:val="22"/>
        </w:rPr>
        <w:t>ocumentazione</w:t>
      </w:r>
      <w:r w:rsidR="00C36F8B" w:rsidRPr="007F7EBF">
        <w:rPr>
          <w:bCs/>
          <w:sz w:val="22"/>
          <w:szCs w:val="22"/>
        </w:rPr>
        <w:t xml:space="preserve"> </w:t>
      </w:r>
      <w:r w:rsidR="006342C5" w:rsidRPr="007F7EBF">
        <w:rPr>
          <w:bCs/>
          <w:sz w:val="22"/>
          <w:szCs w:val="22"/>
        </w:rPr>
        <w:t>contabile</w:t>
      </w:r>
      <w:r w:rsidR="00854FEA" w:rsidRPr="007F7EBF">
        <w:rPr>
          <w:bCs/>
          <w:sz w:val="22"/>
          <w:szCs w:val="22"/>
        </w:rPr>
        <w:t xml:space="preserve"> </w:t>
      </w:r>
      <w:r w:rsidR="00854FEA" w:rsidRPr="007F7EBF">
        <w:rPr>
          <w:sz w:val="22"/>
          <w:szCs w:val="22"/>
        </w:rPr>
        <w:t>dei</w:t>
      </w:r>
      <w:r w:rsidR="006342C5" w:rsidRPr="007F7EBF">
        <w:rPr>
          <w:sz w:val="22"/>
          <w:szCs w:val="22"/>
        </w:rPr>
        <w:t xml:space="preserve"> corrispettivi contrattuali tra fornitore e</w:t>
      </w:r>
      <w:r w:rsidR="009F7854" w:rsidRPr="007F7EBF">
        <w:rPr>
          <w:sz w:val="22"/>
          <w:szCs w:val="22"/>
        </w:rPr>
        <w:t xml:space="preserve"> </w:t>
      </w:r>
      <w:r w:rsidR="006342C5" w:rsidRPr="007F7EBF">
        <w:rPr>
          <w:sz w:val="22"/>
          <w:szCs w:val="22"/>
        </w:rPr>
        <w:t xml:space="preserve">cliente. </w:t>
      </w:r>
      <w:r w:rsidR="005823E7" w:rsidRPr="007F7EBF">
        <w:rPr>
          <w:sz w:val="22"/>
          <w:szCs w:val="22"/>
        </w:rPr>
        <w:t xml:space="preserve">Un primo esperimento di questa “tassazione ragionieristica dei consumi” fu l’imposta generale sull’entrata (IGE), riferita ai corrispettivi contrattuali e non più alle merci, diversificando la tassazione in base al diverso corrispettivo. Questo tributo era stabilito con aliquota  modesta (4%) proprio per </w:t>
      </w:r>
      <w:r w:rsidR="006B53BA">
        <w:rPr>
          <w:sz w:val="22"/>
          <w:szCs w:val="22"/>
        </w:rPr>
        <w:t xml:space="preserve">ridurre l’impatto dei </w:t>
      </w:r>
      <w:r w:rsidR="005823E7" w:rsidRPr="007F7EBF">
        <w:rPr>
          <w:sz w:val="22"/>
          <w:szCs w:val="22"/>
        </w:rPr>
        <w:t>suddetti problemi di "cumulo", che veniva mantenuto</w:t>
      </w:r>
      <w:r w:rsidR="006B53BA">
        <w:rPr>
          <w:sz w:val="22"/>
          <w:szCs w:val="22"/>
        </w:rPr>
        <w:t xml:space="preserve"> (</w:t>
      </w:r>
      <w:r w:rsidR="005823E7" w:rsidRPr="007F7EBF">
        <w:rPr>
          <w:rStyle w:val="Rimandonotaapidipagina"/>
          <w:sz w:val="22"/>
          <w:szCs w:val="22"/>
        </w:rPr>
        <w:footnoteReference w:id="993"/>
      </w:r>
      <w:r w:rsidR="006B53BA">
        <w:rPr>
          <w:sz w:val="22"/>
          <w:szCs w:val="22"/>
        </w:rPr>
        <w:t>)</w:t>
      </w:r>
      <w:r w:rsidR="005823E7" w:rsidRPr="007F7EBF">
        <w:rPr>
          <w:sz w:val="22"/>
          <w:szCs w:val="22"/>
        </w:rPr>
        <w:t xml:space="preserve">. </w:t>
      </w:r>
    </w:p>
    <w:p w14:paraId="0BB41B79" w14:textId="6BC60219" w:rsidR="007A46EF" w:rsidRPr="007F7EBF" w:rsidRDefault="006342C5" w:rsidP="005823E7">
      <w:pPr>
        <w:autoSpaceDE w:val="0"/>
        <w:autoSpaceDN w:val="0"/>
        <w:adjustRightInd w:val="0"/>
        <w:rPr>
          <w:bCs/>
          <w:i/>
          <w:iCs/>
          <w:color w:val="0000FF"/>
        </w:rPr>
      </w:pPr>
      <w:r w:rsidRPr="007F7EBF">
        <w:rPr>
          <w:sz w:val="22"/>
          <w:szCs w:val="22"/>
        </w:rPr>
        <w:t>La tassazione attraverso le aziende</w:t>
      </w:r>
      <w:r w:rsidR="005823E7">
        <w:rPr>
          <w:sz w:val="22"/>
          <w:szCs w:val="22"/>
        </w:rPr>
        <w:t xml:space="preserve"> (par.1.4 , 3.1 etc.) </w:t>
      </w:r>
      <w:r w:rsidRPr="007F7EBF">
        <w:rPr>
          <w:sz w:val="22"/>
          <w:szCs w:val="22"/>
        </w:rPr>
        <w:t>arrivava così al</w:t>
      </w:r>
      <w:r w:rsidR="005823E7">
        <w:rPr>
          <w:sz w:val="22"/>
          <w:szCs w:val="22"/>
        </w:rPr>
        <w:t xml:space="preserve"> </w:t>
      </w:r>
      <w:r w:rsidRPr="007F7EBF">
        <w:rPr>
          <w:sz w:val="22"/>
          <w:szCs w:val="22"/>
        </w:rPr>
        <w:t>consum</w:t>
      </w:r>
      <w:r w:rsidR="005823E7">
        <w:rPr>
          <w:sz w:val="22"/>
          <w:szCs w:val="22"/>
        </w:rPr>
        <w:t>o, sostituendo la visibilità documentale alla visibilità</w:t>
      </w:r>
      <w:r w:rsidRPr="007F7EBF">
        <w:rPr>
          <w:sz w:val="22"/>
          <w:szCs w:val="22"/>
        </w:rPr>
        <w:t xml:space="preserve"> fisica delle merci </w:t>
      </w:r>
      <w:r w:rsidR="005823E7">
        <w:rPr>
          <w:sz w:val="22"/>
          <w:szCs w:val="22"/>
        </w:rPr>
        <w:t xml:space="preserve">come indicato </w:t>
      </w:r>
      <w:r w:rsidR="007122B4" w:rsidRPr="007F7EBF">
        <w:rPr>
          <w:sz w:val="22"/>
          <w:szCs w:val="22"/>
        </w:rPr>
        <w:t>al par.1.11.</w:t>
      </w:r>
      <w:r w:rsidR="005823E7">
        <w:rPr>
          <w:sz w:val="22"/>
          <w:szCs w:val="22"/>
        </w:rPr>
        <w:t xml:space="preserve"> In questo modo lo spettro applicativo </w:t>
      </w:r>
      <w:r w:rsidR="005823E7">
        <w:rPr>
          <w:sz w:val="22"/>
          <w:szCs w:val="22"/>
        </w:rPr>
        <w:lastRenderedPageBreak/>
        <w:t xml:space="preserve">della tassazione dei consumi si diversificava enormemente estendendosi </w:t>
      </w:r>
      <w:r w:rsidR="007122B4" w:rsidRPr="007F7EBF">
        <w:rPr>
          <w:sz w:val="22"/>
          <w:szCs w:val="22"/>
        </w:rPr>
        <w:t xml:space="preserve">anche </w:t>
      </w:r>
      <w:r w:rsidR="005823E7">
        <w:rPr>
          <w:sz w:val="22"/>
          <w:szCs w:val="22"/>
        </w:rPr>
        <w:t>a</w:t>
      </w:r>
      <w:r w:rsidR="007122B4" w:rsidRPr="007F7EBF">
        <w:rPr>
          <w:sz w:val="22"/>
          <w:szCs w:val="22"/>
        </w:rPr>
        <w:t>i consumi di servizi</w:t>
      </w:r>
      <w:r w:rsidR="005823E7">
        <w:rPr>
          <w:sz w:val="22"/>
          <w:szCs w:val="22"/>
        </w:rPr>
        <w:t xml:space="preserve"> </w:t>
      </w:r>
      <w:r w:rsidR="006B53BA">
        <w:rPr>
          <w:sz w:val="22"/>
          <w:szCs w:val="22"/>
        </w:rPr>
        <w:t>(</w:t>
      </w:r>
      <w:r w:rsidR="00C76E17" w:rsidRPr="007F7EBF">
        <w:rPr>
          <w:rStyle w:val="Rimandonotaapidipagina"/>
          <w:sz w:val="22"/>
          <w:szCs w:val="22"/>
        </w:rPr>
        <w:footnoteReference w:id="994"/>
      </w:r>
      <w:r w:rsidR="006B53BA">
        <w:rPr>
          <w:sz w:val="22"/>
          <w:szCs w:val="22"/>
        </w:rPr>
        <w:t>)</w:t>
      </w:r>
      <w:r w:rsidR="00C76E17" w:rsidRPr="007F7EBF">
        <w:rPr>
          <w:sz w:val="22"/>
          <w:szCs w:val="22"/>
        </w:rPr>
        <w:t>.</w:t>
      </w:r>
    </w:p>
    <w:p w14:paraId="55D40D2B" w14:textId="440F13FB" w:rsidR="00854FEA" w:rsidRPr="007F7EBF" w:rsidRDefault="00854FEA" w:rsidP="00854FEA">
      <w:pPr>
        <w:pStyle w:val="tit23"/>
        <w:ind w:left="6464" w:right="-1361" w:firstLine="0"/>
        <w:jc w:val="left"/>
        <w:rPr>
          <w:bCs/>
          <w:i/>
          <w:iCs/>
          <w:color w:val="0000FF"/>
          <w:lang w:val="it-IT"/>
        </w:rPr>
      </w:pPr>
      <w:r w:rsidRPr="007F7EBF">
        <w:rPr>
          <w:bCs/>
          <w:i/>
          <w:iCs/>
          <w:color w:val="0000FF"/>
          <w:lang w:val="it-IT"/>
        </w:rPr>
        <w:t xml:space="preserve">Iva come imposta armonizzata europea e </w:t>
      </w:r>
      <w:r w:rsidR="00C76E17" w:rsidRPr="007F7EBF">
        <w:rPr>
          <w:bCs/>
          <w:i/>
          <w:iCs/>
          <w:color w:val="0000FF"/>
          <w:lang w:val="it-IT"/>
        </w:rPr>
        <w:t xml:space="preserve">margini nazionali </w:t>
      </w:r>
    </w:p>
    <w:p w14:paraId="3FB31594" w14:textId="7E731855" w:rsidR="00ED3EF3" w:rsidRDefault="00854FEA" w:rsidP="00ED3EF3">
      <w:pPr>
        <w:rPr>
          <w:i/>
          <w:iCs/>
          <w:color w:val="0000FF"/>
          <w:sz w:val="22"/>
          <w:szCs w:val="22"/>
        </w:rPr>
      </w:pPr>
      <w:r w:rsidRPr="007F7EBF">
        <w:rPr>
          <w:sz w:val="22"/>
          <w:szCs w:val="22"/>
        </w:rPr>
        <w:t xml:space="preserve">Era un criterio </w:t>
      </w:r>
      <w:r w:rsidR="00F65E32" w:rsidRPr="007F7EBF">
        <w:rPr>
          <w:sz w:val="22"/>
          <w:szCs w:val="22"/>
        </w:rPr>
        <w:t>ancora</w:t>
      </w:r>
      <w:r w:rsidRPr="007F7EBF">
        <w:rPr>
          <w:sz w:val="22"/>
          <w:szCs w:val="22"/>
        </w:rPr>
        <w:t xml:space="preserve"> grossolano </w:t>
      </w:r>
      <w:r w:rsidR="00F65E32" w:rsidRPr="007F7EBF">
        <w:rPr>
          <w:sz w:val="22"/>
          <w:szCs w:val="22"/>
        </w:rPr>
        <w:t xml:space="preserve">rispetto agli obiettivi </w:t>
      </w:r>
      <w:r w:rsidRPr="007F7EBF">
        <w:rPr>
          <w:sz w:val="22"/>
          <w:szCs w:val="22"/>
        </w:rPr>
        <w:t>europe</w:t>
      </w:r>
      <w:r w:rsidR="00F65E32" w:rsidRPr="007F7EBF">
        <w:rPr>
          <w:sz w:val="22"/>
          <w:szCs w:val="22"/>
        </w:rPr>
        <w:t xml:space="preserve">i di individuazione precisa del consumo, cui guardarono le direttive comunitarie </w:t>
      </w:r>
      <w:r w:rsidR="000010AD">
        <w:rPr>
          <w:sz w:val="22"/>
          <w:szCs w:val="22"/>
        </w:rPr>
        <w:t>(</w:t>
      </w:r>
      <w:r w:rsidR="00F65E32" w:rsidRPr="007F7EBF">
        <w:rPr>
          <w:rStyle w:val="Rimandonotaapidipagina"/>
          <w:bCs/>
          <w:sz w:val="22"/>
          <w:szCs w:val="22"/>
        </w:rPr>
        <w:footnoteReference w:id="995"/>
      </w:r>
      <w:r w:rsidR="000010AD">
        <w:rPr>
          <w:sz w:val="22"/>
          <w:szCs w:val="22"/>
        </w:rPr>
        <w:t>) alla base dell’</w:t>
      </w:r>
      <w:r w:rsidRPr="007F7EBF">
        <w:rPr>
          <w:sz w:val="22"/>
          <w:szCs w:val="22"/>
        </w:rPr>
        <w:t>attuale imposta sul valore aggiunto</w:t>
      </w:r>
      <w:r w:rsidR="000010AD">
        <w:rPr>
          <w:sz w:val="22"/>
          <w:szCs w:val="22"/>
        </w:rPr>
        <w:t xml:space="preserve">, e che </w:t>
      </w:r>
      <w:r w:rsidRPr="007F7EBF">
        <w:rPr>
          <w:sz w:val="22"/>
          <w:szCs w:val="22"/>
        </w:rPr>
        <w:t>aiutano ad interpretare la norma</w:t>
      </w:r>
      <w:r w:rsidR="000010AD">
        <w:rPr>
          <w:sz w:val="22"/>
          <w:szCs w:val="22"/>
        </w:rPr>
        <w:t>tiva</w:t>
      </w:r>
      <w:r w:rsidRPr="007F7EBF">
        <w:rPr>
          <w:sz w:val="22"/>
          <w:szCs w:val="22"/>
        </w:rPr>
        <w:t xml:space="preserve"> nazionale</w:t>
      </w:r>
      <w:r w:rsidR="000010AD">
        <w:rPr>
          <w:sz w:val="22"/>
          <w:szCs w:val="22"/>
        </w:rPr>
        <w:t>, di cui al decreto 633 del 1972(</w:t>
      </w:r>
      <w:r w:rsidRPr="007F7EBF">
        <w:rPr>
          <w:rStyle w:val="Rimandonotaapidipagina"/>
          <w:sz w:val="22"/>
          <w:szCs w:val="22"/>
        </w:rPr>
        <w:footnoteReference w:id="996"/>
      </w:r>
      <w:r w:rsidR="000010AD">
        <w:rPr>
          <w:sz w:val="22"/>
          <w:szCs w:val="22"/>
        </w:rPr>
        <w:t>)</w:t>
      </w:r>
      <w:r w:rsidR="00F65E32" w:rsidRPr="007F7EBF">
        <w:rPr>
          <w:sz w:val="22"/>
          <w:szCs w:val="22"/>
        </w:rPr>
        <w:t xml:space="preserve">; questi schemi base comunitari lasciano agli stati membri </w:t>
      </w:r>
      <w:r w:rsidR="000010AD">
        <w:rPr>
          <w:sz w:val="22"/>
          <w:szCs w:val="22"/>
        </w:rPr>
        <w:t>(</w:t>
      </w:r>
      <w:r w:rsidRPr="007F7EBF">
        <w:rPr>
          <w:rStyle w:val="Rimandonotaapidipagina"/>
          <w:bCs/>
          <w:sz w:val="22"/>
          <w:szCs w:val="22"/>
        </w:rPr>
        <w:footnoteReference w:id="997"/>
      </w:r>
      <w:r w:rsidR="000010AD">
        <w:rPr>
          <w:sz w:val="22"/>
          <w:szCs w:val="22"/>
        </w:rPr>
        <w:t>)</w:t>
      </w:r>
      <w:r w:rsidRPr="007F7EBF">
        <w:rPr>
          <w:sz w:val="22"/>
          <w:szCs w:val="22"/>
        </w:rPr>
        <w:t xml:space="preserve">, </w:t>
      </w:r>
      <w:r w:rsidR="00F65E32" w:rsidRPr="007F7EBF">
        <w:rPr>
          <w:sz w:val="22"/>
          <w:szCs w:val="22"/>
        </w:rPr>
        <w:t>margini di scelta</w:t>
      </w:r>
      <w:r w:rsidRPr="007F7EBF">
        <w:rPr>
          <w:bCs/>
          <w:sz w:val="22"/>
          <w:szCs w:val="22"/>
        </w:rPr>
        <w:t xml:space="preserve"> </w:t>
      </w:r>
      <w:r w:rsidRPr="007F7EBF">
        <w:rPr>
          <w:sz w:val="22"/>
          <w:szCs w:val="22"/>
        </w:rPr>
        <w:t>per determinati settori</w:t>
      </w:r>
      <w:r w:rsidR="000010AD">
        <w:rPr>
          <w:sz w:val="22"/>
          <w:szCs w:val="22"/>
        </w:rPr>
        <w:t>(</w:t>
      </w:r>
      <w:r w:rsidRPr="007F7EBF">
        <w:rPr>
          <w:rStyle w:val="Rimandonotaapidipagina"/>
          <w:sz w:val="22"/>
          <w:szCs w:val="22"/>
        </w:rPr>
        <w:footnoteReference w:id="998"/>
      </w:r>
      <w:r w:rsidR="000010AD">
        <w:rPr>
          <w:sz w:val="22"/>
          <w:szCs w:val="22"/>
        </w:rPr>
        <w:t>)</w:t>
      </w:r>
      <w:r w:rsidRPr="007F7EBF">
        <w:rPr>
          <w:sz w:val="22"/>
          <w:szCs w:val="22"/>
        </w:rPr>
        <w:t>, tipologie di operazioni</w:t>
      </w:r>
      <w:r w:rsidR="000010AD">
        <w:rPr>
          <w:sz w:val="22"/>
          <w:szCs w:val="22"/>
        </w:rPr>
        <w:t>(</w:t>
      </w:r>
      <w:r w:rsidRPr="007F7EBF">
        <w:rPr>
          <w:rStyle w:val="Rimandonotaapidipagina"/>
          <w:sz w:val="22"/>
          <w:szCs w:val="22"/>
        </w:rPr>
        <w:footnoteReference w:id="999"/>
      </w:r>
      <w:r w:rsidR="000010AD">
        <w:rPr>
          <w:sz w:val="22"/>
          <w:szCs w:val="22"/>
        </w:rPr>
        <w:t>)</w:t>
      </w:r>
      <w:r w:rsidRPr="007F7EBF">
        <w:rPr>
          <w:sz w:val="22"/>
          <w:szCs w:val="22"/>
        </w:rPr>
        <w:t>, categorie di contribuenti (</w:t>
      </w:r>
      <w:r w:rsidRPr="007F7EBF">
        <w:rPr>
          <w:rStyle w:val="Rimandonotaapidipagina"/>
          <w:sz w:val="22"/>
          <w:szCs w:val="22"/>
        </w:rPr>
        <w:footnoteReference w:id="1000"/>
      </w:r>
      <w:r w:rsidRPr="007F7EBF">
        <w:rPr>
          <w:sz w:val="22"/>
          <w:szCs w:val="22"/>
        </w:rPr>
        <w:t>)</w:t>
      </w:r>
      <w:r w:rsidR="009732E2">
        <w:rPr>
          <w:sz w:val="22"/>
          <w:szCs w:val="22"/>
        </w:rPr>
        <w:t xml:space="preserve">. </w:t>
      </w:r>
    </w:p>
    <w:p w14:paraId="544FA203" w14:textId="7282E567" w:rsidR="00ED3EF3" w:rsidRDefault="00ED3EF3" w:rsidP="00ED3EF3">
      <w:pPr>
        <w:pStyle w:val="tit23"/>
        <w:ind w:left="6464" w:right="-1361" w:firstLine="0"/>
        <w:jc w:val="left"/>
        <w:rPr>
          <w:bCs/>
          <w:i/>
          <w:iCs/>
          <w:color w:val="0000FF"/>
          <w:lang w:val="it-IT"/>
        </w:rPr>
      </w:pPr>
      <w:r>
        <w:rPr>
          <w:bCs/>
          <w:i/>
          <w:iCs/>
          <w:color w:val="0000FF"/>
          <w:lang w:val="it-IT"/>
        </w:rPr>
        <w:t>aliquote e tabelle</w:t>
      </w:r>
    </w:p>
    <w:p w14:paraId="6D5E130D" w14:textId="10C7682C" w:rsidR="00ED3EF3" w:rsidRPr="007F7EBF" w:rsidRDefault="00ED3EF3" w:rsidP="003866F1">
      <w:pPr>
        <w:rPr>
          <w:sz w:val="22"/>
          <w:szCs w:val="22"/>
        </w:rPr>
      </w:pPr>
      <w:r>
        <w:rPr>
          <w:sz w:val="22"/>
          <w:szCs w:val="22"/>
        </w:rPr>
        <w:t>Come tutte le imposte sul consumo l’IVA presenta una pluralità di aliquote</w:t>
      </w:r>
      <w:r w:rsidR="00A646F8">
        <w:rPr>
          <w:sz w:val="22"/>
          <w:szCs w:val="22"/>
        </w:rPr>
        <w:t xml:space="preserve"> (oggi 4%, 11% e 22%)</w:t>
      </w:r>
      <w:r>
        <w:rPr>
          <w:sz w:val="22"/>
          <w:szCs w:val="22"/>
        </w:rPr>
        <w:t>,</w:t>
      </w:r>
      <w:r w:rsidR="00487581">
        <w:rPr>
          <w:sz w:val="22"/>
          <w:szCs w:val="22"/>
        </w:rPr>
        <w:t xml:space="preserve"> riferite a beni e servizi diversi tra loro, indicate nelle tabelle allegate al </w:t>
      </w:r>
      <w:r w:rsidR="00151AF7">
        <w:rPr>
          <w:sz w:val="22"/>
          <w:szCs w:val="22"/>
        </w:rPr>
        <w:t xml:space="preserve">citato </w:t>
      </w:r>
      <w:r w:rsidR="00487581">
        <w:rPr>
          <w:sz w:val="22"/>
          <w:szCs w:val="22"/>
        </w:rPr>
        <w:t>decreto istitutivo, articolate in oltre cento complesse voci</w:t>
      </w:r>
      <w:r w:rsidR="00151AF7">
        <w:rPr>
          <w:sz w:val="22"/>
          <w:szCs w:val="22"/>
        </w:rPr>
        <w:t xml:space="preserve"> (</w:t>
      </w:r>
      <w:r w:rsidR="00151AF7">
        <w:rPr>
          <w:rStyle w:val="Rimandonotaapidipagina"/>
          <w:sz w:val="22"/>
          <w:szCs w:val="22"/>
        </w:rPr>
        <w:footnoteReference w:id="1001"/>
      </w:r>
      <w:r w:rsidR="00151AF7">
        <w:rPr>
          <w:sz w:val="22"/>
          <w:szCs w:val="22"/>
        </w:rPr>
        <w:t>)</w:t>
      </w:r>
      <w:r w:rsidR="00487581">
        <w:rPr>
          <w:sz w:val="22"/>
          <w:szCs w:val="22"/>
        </w:rPr>
        <w:t xml:space="preserve">, anche divertenti da leggere nella loro esasperata casistica, riferibile a merci stravaganti o di cui neppure si sospettava l’esistenza. </w:t>
      </w:r>
      <w:r w:rsidR="009732E2">
        <w:rPr>
          <w:sz w:val="22"/>
          <w:szCs w:val="22"/>
        </w:rPr>
        <w:t>I</w:t>
      </w:r>
      <w:r w:rsidR="009732E2" w:rsidRPr="007F7EBF">
        <w:rPr>
          <w:sz w:val="22"/>
          <w:szCs w:val="22"/>
        </w:rPr>
        <w:t xml:space="preserve">l tributo ha infatti uno spettro applicativo </w:t>
      </w:r>
      <w:r w:rsidR="009732E2">
        <w:rPr>
          <w:sz w:val="22"/>
          <w:szCs w:val="22"/>
        </w:rPr>
        <w:t xml:space="preserve">molto </w:t>
      </w:r>
      <w:r w:rsidR="009732E2" w:rsidRPr="007F7EBF">
        <w:rPr>
          <w:sz w:val="22"/>
          <w:szCs w:val="22"/>
        </w:rPr>
        <w:t xml:space="preserve"> ampio, basandosi sul concetto di "corrispettivo", da richiedere </w:t>
      </w:r>
      <w:r w:rsidR="009732E2" w:rsidRPr="007F7EBF">
        <w:rPr>
          <w:sz w:val="22"/>
          <w:szCs w:val="22"/>
        </w:rPr>
        <w:lastRenderedPageBreak/>
        <w:t>adattamenti  ai modi in cui la ricchezza si forma nei vari settori, ed all'effettiva presenza, in essi di  "consum</w:t>
      </w:r>
      <w:r w:rsidR="009732E2">
        <w:rPr>
          <w:sz w:val="22"/>
          <w:szCs w:val="22"/>
        </w:rPr>
        <w:t>o</w:t>
      </w:r>
      <w:r w:rsidR="009732E2" w:rsidRPr="007F7EBF">
        <w:rPr>
          <w:sz w:val="22"/>
          <w:szCs w:val="22"/>
        </w:rPr>
        <w:t xml:space="preserve"> final</w:t>
      </w:r>
      <w:r w:rsidR="009732E2">
        <w:rPr>
          <w:sz w:val="22"/>
          <w:szCs w:val="22"/>
        </w:rPr>
        <w:t>e</w:t>
      </w:r>
      <w:r w:rsidR="009732E2" w:rsidRPr="007F7EBF">
        <w:rPr>
          <w:sz w:val="22"/>
          <w:szCs w:val="22"/>
        </w:rPr>
        <w:t>"</w:t>
      </w:r>
      <w:r w:rsidR="009732E2">
        <w:rPr>
          <w:sz w:val="22"/>
          <w:szCs w:val="22"/>
        </w:rPr>
        <w:t>(</w:t>
      </w:r>
      <w:r w:rsidR="009732E2" w:rsidRPr="007F7EBF">
        <w:rPr>
          <w:rStyle w:val="Rimandonotaapidipagina"/>
          <w:sz w:val="22"/>
          <w:szCs w:val="22"/>
        </w:rPr>
        <w:footnoteReference w:id="1002"/>
      </w:r>
      <w:r w:rsidR="009732E2">
        <w:rPr>
          <w:sz w:val="22"/>
          <w:szCs w:val="22"/>
        </w:rPr>
        <w:t>)</w:t>
      </w:r>
      <w:r w:rsidR="009732E2" w:rsidRPr="007F7EBF">
        <w:rPr>
          <w:sz w:val="22"/>
          <w:szCs w:val="22"/>
        </w:rPr>
        <w:t>.</w:t>
      </w:r>
    </w:p>
    <w:p w14:paraId="73FDA1A8" w14:textId="4D1CA2E9" w:rsidR="003866F1" w:rsidRPr="007F7EBF" w:rsidRDefault="00854FEA" w:rsidP="003866F1">
      <w:pPr>
        <w:pStyle w:val="tit23"/>
        <w:ind w:left="6464" w:right="-1361" w:firstLine="0"/>
        <w:jc w:val="left"/>
        <w:rPr>
          <w:bCs/>
          <w:i/>
          <w:iCs/>
          <w:color w:val="0000FF"/>
          <w:lang w:val="it-IT"/>
        </w:rPr>
      </w:pPr>
      <w:r w:rsidRPr="007F7EBF">
        <w:rPr>
          <w:bCs/>
          <w:i/>
          <w:iCs/>
          <w:color w:val="0000FF"/>
          <w:lang w:val="it-IT"/>
        </w:rPr>
        <w:t>Neutralità del tributo</w:t>
      </w:r>
      <w:r w:rsidR="003866F1" w:rsidRPr="007F7EBF">
        <w:rPr>
          <w:bCs/>
          <w:i/>
          <w:iCs/>
          <w:color w:val="0000FF"/>
          <w:lang w:val="it-IT"/>
        </w:rPr>
        <w:t xml:space="preserve"> e </w:t>
      </w:r>
      <w:r w:rsidR="00071899">
        <w:rPr>
          <w:bCs/>
          <w:i/>
          <w:iCs/>
          <w:color w:val="0000FF"/>
          <w:lang w:val="it-IT"/>
        </w:rPr>
        <w:t>improprietà del riferimento al valore</w:t>
      </w:r>
      <w:r w:rsidR="003866F1" w:rsidRPr="007F7EBF">
        <w:rPr>
          <w:bCs/>
          <w:i/>
          <w:iCs/>
          <w:color w:val="0000FF"/>
          <w:lang w:val="it-IT"/>
        </w:rPr>
        <w:t xml:space="preserve"> aggiunto</w:t>
      </w:r>
    </w:p>
    <w:p w14:paraId="642F8F8F" w14:textId="77777777" w:rsidR="00854FEA" w:rsidRPr="007F7EBF" w:rsidRDefault="00854FEA" w:rsidP="00854FEA">
      <w:pPr>
        <w:pStyle w:val="tit23"/>
        <w:ind w:left="6464" w:right="-1361" w:firstLine="0"/>
        <w:jc w:val="left"/>
        <w:rPr>
          <w:bCs/>
          <w:i/>
          <w:iCs/>
          <w:color w:val="0000FF"/>
          <w:lang w:val="it-IT"/>
        </w:rPr>
      </w:pPr>
    </w:p>
    <w:p w14:paraId="1AA9EFDC" w14:textId="2D649FE2" w:rsidR="0059327F" w:rsidRPr="007F7EBF" w:rsidRDefault="00854FEA" w:rsidP="006C3B23">
      <w:pPr>
        <w:autoSpaceDE w:val="0"/>
        <w:autoSpaceDN w:val="0"/>
        <w:adjustRightInd w:val="0"/>
        <w:rPr>
          <w:sz w:val="22"/>
          <w:szCs w:val="22"/>
        </w:rPr>
      </w:pPr>
      <w:r w:rsidRPr="007F7EBF">
        <w:rPr>
          <w:sz w:val="22"/>
          <w:szCs w:val="22"/>
        </w:rPr>
        <w:t>L'obiettivo del tributo è colpire il solo consumo</w:t>
      </w:r>
      <w:r w:rsidR="009732E2">
        <w:rPr>
          <w:sz w:val="22"/>
          <w:szCs w:val="22"/>
        </w:rPr>
        <w:t xml:space="preserve"> nel senso di cui al par.1.8 (</w:t>
      </w:r>
      <w:r w:rsidRPr="007F7EBF">
        <w:rPr>
          <w:rStyle w:val="Rimandonotaapidipagina"/>
          <w:sz w:val="22"/>
          <w:szCs w:val="22"/>
        </w:rPr>
        <w:footnoteReference w:id="1003"/>
      </w:r>
      <w:r w:rsidR="009732E2">
        <w:rPr>
          <w:sz w:val="22"/>
          <w:szCs w:val="22"/>
        </w:rPr>
        <w:t>)</w:t>
      </w:r>
      <w:r w:rsidR="00C76E17" w:rsidRPr="007F7EBF">
        <w:rPr>
          <w:sz w:val="22"/>
          <w:szCs w:val="22"/>
        </w:rPr>
        <w:t>,</w:t>
      </w:r>
      <w:r w:rsidR="00166190">
        <w:rPr>
          <w:sz w:val="22"/>
          <w:szCs w:val="22"/>
        </w:rPr>
        <w:t xml:space="preserve"> intes</w:t>
      </w:r>
      <w:r w:rsidR="00166190" w:rsidRPr="007F7EBF">
        <w:rPr>
          <w:sz w:val="22"/>
          <w:szCs w:val="22"/>
        </w:rPr>
        <w:t>o in senso ampio</w:t>
      </w:r>
      <w:r w:rsidR="00166190">
        <w:rPr>
          <w:sz w:val="22"/>
          <w:szCs w:val="22"/>
        </w:rPr>
        <w:t xml:space="preserve"> e </w:t>
      </w:r>
      <w:r w:rsidR="00166190" w:rsidRPr="007F7EBF">
        <w:rPr>
          <w:sz w:val="22"/>
          <w:szCs w:val="22"/>
        </w:rPr>
        <w:t>inclu</w:t>
      </w:r>
      <w:r w:rsidR="00166190">
        <w:rPr>
          <w:sz w:val="22"/>
          <w:szCs w:val="22"/>
        </w:rPr>
        <w:t>sivo de</w:t>
      </w:r>
      <w:r w:rsidR="00166190" w:rsidRPr="007F7EBF">
        <w:rPr>
          <w:sz w:val="22"/>
          <w:szCs w:val="22"/>
        </w:rPr>
        <w:t xml:space="preserve">i </w:t>
      </w:r>
      <w:r w:rsidR="00166190" w:rsidRPr="007F7EBF">
        <w:rPr>
          <w:i/>
          <w:sz w:val="22"/>
          <w:szCs w:val="22"/>
        </w:rPr>
        <w:t>consumi durevoli</w:t>
      </w:r>
      <w:r w:rsidR="00166190" w:rsidRPr="007F7EBF">
        <w:rPr>
          <w:sz w:val="22"/>
          <w:szCs w:val="22"/>
        </w:rPr>
        <w:t xml:space="preserve"> </w:t>
      </w:r>
      <w:r w:rsidR="00166190" w:rsidRPr="007F7EBF">
        <w:rPr>
          <w:rStyle w:val="Rimandonotaapidipagina"/>
          <w:sz w:val="22"/>
          <w:szCs w:val="22"/>
        </w:rPr>
        <w:footnoteReference w:id="1004"/>
      </w:r>
      <w:r w:rsidR="00166190" w:rsidRPr="007F7EBF">
        <w:rPr>
          <w:sz w:val="22"/>
          <w:szCs w:val="22"/>
        </w:rPr>
        <w:t>, cioè</w:t>
      </w:r>
      <w:r w:rsidR="00166190">
        <w:rPr>
          <w:sz w:val="22"/>
          <w:szCs w:val="22"/>
        </w:rPr>
        <w:t xml:space="preserve"> di</w:t>
      </w:r>
      <w:r w:rsidR="00166190" w:rsidRPr="007F7EBF">
        <w:rPr>
          <w:sz w:val="22"/>
          <w:szCs w:val="22"/>
        </w:rPr>
        <w:t xml:space="preserve"> tutti gli acquisti dei consumatori presso gli operatori economici. </w:t>
      </w:r>
      <w:r w:rsidR="00C307A0">
        <w:rPr>
          <w:sz w:val="22"/>
          <w:szCs w:val="22"/>
        </w:rPr>
        <w:t>Per rendere quest’idea è stata però usata un</w:t>
      </w:r>
      <w:r w:rsidR="00166190">
        <w:rPr>
          <w:sz w:val="22"/>
          <w:szCs w:val="22"/>
        </w:rPr>
        <w:t>’</w:t>
      </w:r>
      <w:r w:rsidR="00C307A0">
        <w:rPr>
          <w:sz w:val="22"/>
          <w:szCs w:val="22"/>
        </w:rPr>
        <w:t xml:space="preserve">espressione impropria, cioè il “valore aggiunto” concetto economico definito al par.1.8, </w:t>
      </w:r>
      <w:r w:rsidR="009732E2">
        <w:rPr>
          <w:sz w:val="22"/>
          <w:szCs w:val="22"/>
        </w:rPr>
        <w:t xml:space="preserve">e cui si riferisce il diverso tributo IRAP di cui al par.9.5. L’espressione “valore aggiunto” vuole solo enfatizzare </w:t>
      </w:r>
      <w:r w:rsidR="00C307A0">
        <w:rPr>
          <w:sz w:val="22"/>
          <w:szCs w:val="22"/>
        </w:rPr>
        <w:t xml:space="preserve">l’obiettivo di evitare </w:t>
      </w:r>
      <w:r w:rsidR="00C76E17" w:rsidRPr="007F7EBF">
        <w:rPr>
          <w:sz w:val="22"/>
          <w:szCs w:val="22"/>
        </w:rPr>
        <w:t xml:space="preserve">le </w:t>
      </w:r>
      <w:r w:rsidR="00EA4FAE" w:rsidRPr="007F7EBF">
        <w:rPr>
          <w:bCs/>
          <w:sz w:val="22"/>
          <w:szCs w:val="22"/>
        </w:rPr>
        <w:t xml:space="preserve">duplicazioni </w:t>
      </w:r>
      <w:r w:rsidR="00C76E17" w:rsidRPr="007F7EBF">
        <w:rPr>
          <w:bCs/>
          <w:sz w:val="22"/>
          <w:szCs w:val="22"/>
        </w:rPr>
        <w:t xml:space="preserve">già indicate a proposito dell'IGE; </w:t>
      </w:r>
      <w:r w:rsidR="009732E2">
        <w:rPr>
          <w:bCs/>
          <w:sz w:val="22"/>
          <w:szCs w:val="22"/>
        </w:rPr>
        <w:t>le</w:t>
      </w:r>
      <w:r w:rsidR="00FD04D6" w:rsidRPr="007F7EBF">
        <w:rPr>
          <w:sz w:val="22"/>
          <w:szCs w:val="22"/>
        </w:rPr>
        <w:t xml:space="preserve"> duplicazioni </w:t>
      </w:r>
      <w:r w:rsidR="004019F9" w:rsidRPr="007F7EBF">
        <w:rPr>
          <w:sz w:val="22"/>
          <w:szCs w:val="22"/>
        </w:rPr>
        <w:t xml:space="preserve">da eliminare riguardano solo gli acquisti </w:t>
      </w:r>
      <w:r w:rsidR="005823E7">
        <w:rPr>
          <w:sz w:val="22"/>
          <w:szCs w:val="22"/>
        </w:rPr>
        <w:t>da parte di operatori economici,</w:t>
      </w:r>
      <w:r w:rsidR="004019F9" w:rsidRPr="007F7EBF">
        <w:rPr>
          <w:sz w:val="22"/>
          <w:szCs w:val="22"/>
        </w:rPr>
        <w:t xml:space="preserve"> </w:t>
      </w:r>
      <w:r w:rsidR="00FD04D6" w:rsidRPr="007F7EBF">
        <w:rPr>
          <w:sz w:val="22"/>
          <w:szCs w:val="22"/>
        </w:rPr>
        <w:t xml:space="preserve">gravati da IVA, </w:t>
      </w:r>
      <w:r w:rsidR="005823E7">
        <w:rPr>
          <w:sz w:val="22"/>
          <w:szCs w:val="22"/>
        </w:rPr>
        <w:t>provenienti</w:t>
      </w:r>
      <w:r w:rsidR="00FD04D6" w:rsidRPr="007F7EBF">
        <w:rPr>
          <w:sz w:val="22"/>
          <w:szCs w:val="22"/>
        </w:rPr>
        <w:t xml:space="preserve"> da altri operatori economici</w:t>
      </w:r>
      <w:r w:rsidR="00567024">
        <w:rPr>
          <w:sz w:val="22"/>
          <w:szCs w:val="22"/>
        </w:rPr>
        <w:t xml:space="preserve"> (</w:t>
      </w:r>
      <w:r w:rsidR="00567024">
        <w:rPr>
          <w:rStyle w:val="Rimandonotaapidipagina"/>
          <w:sz w:val="22"/>
          <w:szCs w:val="22"/>
        </w:rPr>
        <w:footnoteReference w:id="1005"/>
      </w:r>
      <w:r w:rsidR="00567024">
        <w:rPr>
          <w:sz w:val="22"/>
          <w:szCs w:val="22"/>
        </w:rPr>
        <w:t>)</w:t>
      </w:r>
      <w:r w:rsidR="009732E2">
        <w:rPr>
          <w:sz w:val="22"/>
          <w:szCs w:val="22"/>
        </w:rPr>
        <w:t>; n</w:t>
      </w:r>
      <w:r w:rsidR="000A0104">
        <w:rPr>
          <w:sz w:val="22"/>
          <w:szCs w:val="22"/>
        </w:rPr>
        <w:t xml:space="preserve">umerosi elementi positivi e negativi del </w:t>
      </w:r>
      <w:r w:rsidR="000A0104" w:rsidRPr="007F7EBF">
        <w:rPr>
          <w:sz w:val="22"/>
          <w:szCs w:val="22"/>
        </w:rPr>
        <w:t>“valore aggiunto”</w:t>
      </w:r>
      <w:r w:rsidR="000A0104">
        <w:rPr>
          <w:sz w:val="22"/>
          <w:szCs w:val="22"/>
        </w:rPr>
        <w:t xml:space="preserve"> economico sono infatti irrilevanti ai fini </w:t>
      </w:r>
      <w:r w:rsidR="00FC3ACD">
        <w:rPr>
          <w:sz w:val="22"/>
          <w:szCs w:val="22"/>
        </w:rPr>
        <w:t xml:space="preserve">del consumo, e quindi dell’IVA, </w:t>
      </w:r>
      <w:r w:rsidR="000A0104">
        <w:rPr>
          <w:sz w:val="22"/>
          <w:szCs w:val="22"/>
        </w:rPr>
        <w:t xml:space="preserve"> come le esportazioni, i canoni immobiliari</w:t>
      </w:r>
      <w:r w:rsidR="00FC3ACD">
        <w:rPr>
          <w:sz w:val="22"/>
          <w:szCs w:val="22"/>
        </w:rPr>
        <w:t xml:space="preserve"> verso non imprenditori</w:t>
      </w:r>
      <w:r w:rsidR="000A0104">
        <w:rPr>
          <w:sz w:val="22"/>
          <w:szCs w:val="22"/>
        </w:rPr>
        <w:t xml:space="preserve">, i beni usati, i diritti </w:t>
      </w:r>
      <w:r w:rsidR="000A0104">
        <w:rPr>
          <w:sz w:val="22"/>
          <w:szCs w:val="22"/>
        </w:rPr>
        <w:lastRenderedPageBreak/>
        <w:t>d’autore, i compensi occasionali, gli acquisti di terreni e fabbricati, le imposte sugli affari, ad esempio di bollo o di fabbricazione (</w:t>
      </w:r>
      <w:r w:rsidR="000A0104">
        <w:rPr>
          <w:rStyle w:val="Rimandonotaapidipagina"/>
          <w:sz w:val="22"/>
          <w:szCs w:val="22"/>
        </w:rPr>
        <w:footnoteReference w:id="1006"/>
      </w:r>
      <w:r w:rsidR="000A0104">
        <w:rPr>
          <w:sz w:val="22"/>
          <w:szCs w:val="22"/>
        </w:rPr>
        <w:t>). Le importazioni e le rivendite di beni importati</w:t>
      </w:r>
      <w:r w:rsidR="009732E2">
        <w:rPr>
          <w:sz w:val="22"/>
          <w:szCs w:val="22"/>
        </w:rPr>
        <w:t xml:space="preserve"> </w:t>
      </w:r>
      <w:r w:rsidR="000A0104">
        <w:rPr>
          <w:sz w:val="22"/>
          <w:szCs w:val="22"/>
        </w:rPr>
        <w:t>riducono il valore aggiunto</w:t>
      </w:r>
      <w:r w:rsidR="009732E2">
        <w:rPr>
          <w:sz w:val="22"/>
          <w:szCs w:val="22"/>
        </w:rPr>
        <w:t xml:space="preserve"> economico</w:t>
      </w:r>
      <w:r w:rsidR="000A0104">
        <w:rPr>
          <w:sz w:val="22"/>
          <w:szCs w:val="22"/>
        </w:rPr>
        <w:t xml:space="preserve">, </w:t>
      </w:r>
      <w:r w:rsidR="009732E2">
        <w:rPr>
          <w:sz w:val="22"/>
          <w:szCs w:val="22"/>
        </w:rPr>
        <w:t xml:space="preserve">ma </w:t>
      </w:r>
      <w:r w:rsidR="000A0104">
        <w:rPr>
          <w:sz w:val="22"/>
          <w:szCs w:val="22"/>
        </w:rPr>
        <w:t xml:space="preserve">sono imponibili ai fini IVA, </w:t>
      </w:r>
      <w:r w:rsidR="00A62C5F">
        <w:rPr>
          <w:sz w:val="22"/>
          <w:szCs w:val="22"/>
        </w:rPr>
        <w:t>in quanto imposta su</w:t>
      </w:r>
      <w:r w:rsidR="000A0104">
        <w:rPr>
          <w:sz w:val="22"/>
          <w:szCs w:val="22"/>
        </w:rPr>
        <w:t xml:space="preserve">l consumo. </w:t>
      </w:r>
      <w:r w:rsidR="00A62C5F">
        <w:rPr>
          <w:sz w:val="22"/>
          <w:szCs w:val="22"/>
        </w:rPr>
        <w:t>Le u</w:t>
      </w:r>
      <w:r w:rsidR="000A0104">
        <w:rPr>
          <w:sz w:val="22"/>
          <w:szCs w:val="22"/>
        </w:rPr>
        <w:t xml:space="preserve">niche coincidenze tra </w:t>
      </w:r>
      <w:r w:rsidR="00A62C5F">
        <w:rPr>
          <w:sz w:val="22"/>
          <w:szCs w:val="22"/>
        </w:rPr>
        <w:t>l’</w:t>
      </w:r>
      <w:r w:rsidR="000A0104">
        <w:rPr>
          <w:sz w:val="22"/>
          <w:szCs w:val="22"/>
        </w:rPr>
        <w:t xml:space="preserve">IVA e </w:t>
      </w:r>
      <w:r w:rsidR="00A62C5F">
        <w:rPr>
          <w:sz w:val="22"/>
          <w:szCs w:val="22"/>
        </w:rPr>
        <w:t>i</w:t>
      </w:r>
      <w:r w:rsidR="000A0104">
        <w:rPr>
          <w:sz w:val="22"/>
          <w:szCs w:val="22"/>
        </w:rPr>
        <w:t xml:space="preserve">l valore aggiunto </w:t>
      </w:r>
      <w:r w:rsidR="00BC0A62">
        <w:rPr>
          <w:sz w:val="22"/>
          <w:szCs w:val="22"/>
        </w:rPr>
        <w:t>economico, colpito dall’</w:t>
      </w:r>
      <w:r w:rsidR="000A0104">
        <w:rPr>
          <w:sz w:val="22"/>
          <w:szCs w:val="22"/>
        </w:rPr>
        <w:t xml:space="preserve">IRAP </w:t>
      </w:r>
      <w:r w:rsidR="00BC0A62">
        <w:rPr>
          <w:sz w:val="22"/>
          <w:szCs w:val="22"/>
        </w:rPr>
        <w:t xml:space="preserve">riguardano </w:t>
      </w:r>
      <w:r w:rsidR="000A0104">
        <w:rPr>
          <w:sz w:val="22"/>
          <w:szCs w:val="22"/>
        </w:rPr>
        <w:t>l’i</w:t>
      </w:r>
      <w:r w:rsidR="00A62C5F">
        <w:rPr>
          <w:sz w:val="22"/>
          <w:szCs w:val="22"/>
        </w:rPr>
        <w:t>mponibilità, nei limiti del valore aggiunto “domestico” d</w:t>
      </w:r>
      <w:r w:rsidR="000A0104">
        <w:rPr>
          <w:sz w:val="22"/>
          <w:szCs w:val="22"/>
        </w:rPr>
        <w:t>ei co</w:t>
      </w:r>
      <w:r w:rsidR="0085389D" w:rsidRPr="007F7EBF">
        <w:rPr>
          <w:sz w:val="22"/>
          <w:szCs w:val="22"/>
        </w:rPr>
        <w:t>sti di lavoro dipendente</w:t>
      </w:r>
      <w:r w:rsidR="00A62C5F">
        <w:rPr>
          <w:sz w:val="22"/>
          <w:szCs w:val="22"/>
        </w:rPr>
        <w:t xml:space="preserve"> e </w:t>
      </w:r>
      <w:r w:rsidR="000A0104">
        <w:rPr>
          <w:sz w:val="22"/>
          <w:szCs w:val="22"/>
        </w:rPr>
        <w:t>de</w:t>
      </w:r>
      <w:r w:rsidR="0085389D" w:rsidRPr="007F7EBF">
        <w:rPr>
          <w:sz w:val="22"/>
          <w:szCs w:val="22"/>
        </w:rPr>
        <w:t>gli interessi passivi</w:t>
      </w:r>
      <w:r w:rsidR="00A62C5F">
        <w:rPr>
          <w:sz w:val="22"/>
          <w:szCs w:val="22"/>
        </w:rPr>
        <w:t xml:space="preserve"> </w:t>
      </w:r>
      <w:r w:rsidR="0085389D" w:rsidRPr="007F7EBF">
        <w:rPr>
          <w:sz w:val="22"/>
          <w:szCs w:val="22"/>
        </w:rPr>
        <w:t>(</w:t>
      </w:r>
      <w:r w:rsidR="0085389D" w:rsidRPr="007F7EBF">
        <w:rPr>
          <w:rStyle w:val="Rimandonotaapidipagina"/>
          <w:sz w:val="22"/>
          <w:szCs w:val="22"/>
        </w:rPr>
        <w:footnoteReference w:id="1007"/>
      </w:r>
      <w:r w:rsidR="003866F1" w:rsidRPr="007F7EBF">
        <w:rPr>
          <w:sz w:val="22"/>
          <w:szCs w:val="22"/>
        </w:rPr>
        <w:t>)</w:t>
      </w:r>
      <w:r w:rsidR="00C307A0">
        <w:rPr>
          <w:bCs/>
          <w:sz w:val="22"/>
          <w:szCs w:val="22"/>
        </w:rPr>
        <w:t xml:space="preserve">. </w:t>
      </w:r>
    </w:p>
    <w:p w14:paraId="0463910F" w14:textId="2580260D" w:rsidR="0059327F" w:rsidRPr="007F7EBF" w:rsidRDefault="0059327F" w:rsidP="0059327F">
      <w:pPr>
        <w:pStyle w:val="tit23"/>
        <w:ind w:left="6464" w:right="-1361" w:firstLine="0"/>
        <w:jc w:val="left"/>
        <w:rPr>
          <w:b/>
          <w:bCs/>
          <w:i/>
          <w:iCs/>
          <w:color w:val="0000FF"/>
          <w:lang w:val="it-IT"/>
        </w:rPr>
      </w:pPr>
      <w:r w:rsidRPr="007F7EBF">
        <w:rPr>
          <w:b/>
          <w:bCs/>
          <w:i/>
          <w:iCs/>
          <w:color w:val="0000FF"/>
          <w:lang w:val="it-IT"/>
        </w:rPr>
        <w:t>debit</w:t>
      </w:r>
      <w:r w:rsidR="00A62C5F">
        <w:rPr>
          <w:b/>
          <w:bCs/>
          <w:i/>
          <w:iCs/>
          <w:color w:val="0000FF"/>
          <w:lang w:val="it-IT"/>
        </w:rPr>
        <w:t>i</w:t>
      </w:r>
      <w:r w:rsidRPr="007F7EBF">
        <w:rPr>
          <w:b/>
          <w:bCs/>
          <w:i/>
          <w:iCs/>
          <w:color w:val="0000FF"/>
          <w:lang w:val="it-IT"/>
        </w:rPr>
        <w:t xml:space="preserve"> IVA</w:t>
      </w:r>
      <w:r w:rsidR="00A62C5F">
        <w:rPr>
          <w:b/>
          <w:bCs/>
          <w:i/>
          <w:iCs/>
          <w:color w:val="0000FF"/>
          <w:lang w:val="it-IT"/>
        </w:rPr>
        <w:t xml:space="preserve"> senza reddito</w:t>
      </w:r>
      <w:r w:rsidR="00AB0889">
        <w:rPr>
          <w:b/>
          <w:bCs/>
          <w:i/>
          <w:iCs/>
          <w:color w:val="0000FF"/>
          <w:lang w:val="it-IT"/>
        </w:rPr>
        <w:t xml:space="preserve"> e crediti IVA con reddito</w:t>
      </w:r>
    </w:p>
    <w:p w14:paraId="522A663B" w14:textId="0D5E64E6" w:rsidR="002F3072" w:rsidRPr="007F7EBF" w:rsidRDefault="0059327F" w:rsidP="0059327F">
      <w:pPr>
        <w:autoSpaceDE w:val="0"/>
        <w:autoSpaceDN w:val="0"/>
        <w:adjustRightInd w:val="0"/>
        <w:rPr>
          <w:sz w:val="22"/>
          <w:szCs w:val="22"/>
        </w:rPr>
      </w:pPr>
      <w:r w:rsidRPr="007F7EBF">
        <w:rPr>
          <w:sz w:val="22"/>
          <w:szCs w:val="22"/>
        </w:rPr>
        <w:t xml:space="preserve">Per questo motivo un </w:t>
      </w:r>
      <w:r w:rsidRPr="007F7EBF">
        <w:rPr>
          <w:bCs/>
          <w:sz w:val="22"/>
          <w:szCs w:val="22"/>
        </w:rPr>
        <w:t>pareggio tra costi e ricavi</w:t>
      </w:r>
      <w:r w:rsidRPr="007F7EBF">
        <w:rPr>
          <w:sz w:val="22"/>
          <w:szCs w:val="22"/>
        </w:rPr>
        <w:t xml:space="preserve"> ai fini delle imposte sui redditi, o persino una perdita, comportano q</w:t>
      </w:r>
      <w:r w:rsidR="00F056CB" w:rsidRPr="007F7EBF">
        <w:rPr>
          <w:sz w:val="22"/>
          <w:szCs w:val="22"/>
        </w:rPr>
        <w:t xml:space="preserve">uindi normalmente un debito di </w:t>
      </w:r>
      <w:r w:rsidRPr="007F7EBF">
        <w:rPr>
          <w:sz w:val="22"/>
          <w:szCs w:val="22"/>
        </w:rPr>
        <w:t>IVA</w:t>
      </w:r>
      <w:r w:rsidR="00BF373C">
        <w:rPr>
          <w:sz w:val="22"/>
          <w:szCs w:val="22"/>
        </w:rPr>
        <w:t>, come rilevato al par.3.12</w:t>
      </w:r>
      <w:r w:rsidR="00BF373C" w:rsidRPr="007F7EBF">
        <w:rPr>
          <w:rStyle w:val="Rimandonotaapidipagina"/>
          <w:sz w:val="22"/>
          <w:szCs w:val="22"/>
        </w:rPr>
        <w:footnoteReference w:id="1008"/>
      </w:r>
      <w:r w:rsidR="00BD00BD" w:rsidRPr="007F7EBF">
        <w:rPr>
          <w:sz w:val="22"/>
          <w:szCs w:val="22"/>
        </w:rPr>
        <w:t>; i costi del lavoro e gli interessi passivi, deducibili ai fini delle imposte sui redditi, non sono infatti accompagnati da IVA, come del resto</w:t>
      </w:r>
      <w:r w:rsidR="00FC3ACD">
        <w:rPr>
          <w:sz w:val="22"/>
          <w:szCs w:val="22"/>
        </w:rPr>
        <w:t xml:space="preserve"> i</w:t>
      </w:r>
      <w:r w:rsidR="00BD00BD" w:rsidRPr="007F7EBF">
        <w:rPr>
          <w:sz w:val="22"/>
          <w:szCs w:val="22"/>
        </w:rPr>
        <w:t xml:space="preserve"> canoni di locazione verso privati. </w:t>
      </w:r>
      <w:r w:rsidRPr="007F7EBF">
        <w:rPr>
          <w:sz w:val="22"/>
          <w:szCs w:val="22"/>
        </w:rPr>
        <w:t xml:space="preserve">Un </w:t>
      </w:r>
      <w:r w:rsidRPr="007F7EBF">
        <w:rPr>
          <w:bCs/>
          <w:sz w:val="22"/>
          <w:szCs w:val="22"/>
        </w:rPr>
        <w:t xml:space="preserve">sistematico credito IVA </w:t>
      </w:r>
      <w:r w:rsidRPr="007F7EBF">
        <w:rPr>
          <w:sz w:val="22"/>
          <w:szCs w:val="22"/>
        </w:rPr>
        <w:t xml:space="preserve">è </w:t>
      </w:r>
      <w:r w:rsidR="00AB0889">
        <w:rPr>
          <w:sz w:val="22"/>
          <w:szCs w:val="22"/>
        </w:rPr>
        <w:t>tuttavia</w:t>
      </w:r>
      <w:r w:rsidRPr="007F7EBF">
        <w:rPr>
          <w:sz w:val="22"/>
          <w:szCs w:val="22"/>
        </w:rPr>
        <w:t xml:space="preserve"> spiegabile con esportazioni, su cui l'IVA non è dovuta, (vedi </w:t>
      </w:r>
      <w:r w:rsidRPr="007F7EBF">
        <w:rPr>
          <w:i/>
          <w:iCs/>
          <w:sz w:val="22"/>
          <w:szCs w:val="22"/>
        </w:rPr>
        <w:t xml:space="preserve">infra </w:t>
      </w:r>
      <w:r w:rsidRPr="007F7EBF">
        <w:rPr>
          <w:sz w:val="22"/>
          <w:szCs w:val="22"/>
        </w:rPr>
        <w:t>paragrafo 7.4)</w:t>
      </w:r>
      <w:r w:rsidR="00AB0889">
        <w:rPr>
          <w:sz w:val="22"/>
          <w:szCs w:val="22"/>
        </w:rPr>
        <w:t xml:space="preserve">, </w:t>
      </w:r>
      <w:r w:rsidRPr="007F7EBF">
        <w:rPr>
          <w:sz w:val="22"/>
          <w:szCs w:val="22"/>
        </w:rPr>
        <w:t>aliquot</w:t>
      </w:r>
      <w:r w:rsidR="00AB0889">
        <w:rPr>
          <w:sz w:val="22"/>
          <w:szCs w:val="22"/>
        </w:rPr>
        <w:t>e</w:t>
      </w:r>
      <w:r w:rsidRPr="007F7EBF">
        <w:rPr>
          <w:sz w:val="22"/>
          <w:szCs w:val="22"/>
        </w:rPr>
        <w:t xml:space="preserve"> sulle vendite molto inferior</w:t>
      </w:r>
      <w:r w:rsidR="00AB0889">
        <w:rPr>
          <w:sz w:val="22"/>
          <w:szCs w:val="22"/>
        </w:rPr>
        <w:t xml:space="preserve">i </w:t>
      </w:r>
      <w:r w:rsidRPr="007F7EBF">
        <w:rPr>
          <w:sz w:val="22"/>
          <w:szCs w:val="22"/>
        </w:rPr>
        <w:t>a quell</w:t>
      </w:r>
      <w:r w:rsidR="00AB0889">
        <w:rPr>
          <w:sz w:val="22"/>
          <w:szCs w:val="22"/>
        </w:rPr>
        <w:t>e</w:t>
      </w:r>
      <w:r w:rsidRPr="007F7EBF">
        <w:rPr>
          <w:sz w:val="22"/>
          <w:szCs w:val="22"/>
        </w:rPr>
        <w:t xml:space="preserve"> applicabil</w:t>
      </w:r>
      <w:r w:rsidR="00AB0889">
        <w:rPr>
          <w:sz w:val="22"/>
          <w:szCs w:val="22"/>
        </w:rPr>
        <w:t>i</w:t>
      </w:r>
      <w:r w:rsidRPr="007F7EBF">
        <w:rPr>
          <w:sz w:val="22"/>
          <w:szCs w:val="22"/>
        </w:rPr>
        <w:t xml:space="preserve"> sugli acquisti, oppure (occasionalmente) a ri</w:t>
      </w:r>
      <w:r w:rsidR="00BD00BD" w:rsidRPr="007F7EBF">
        <w:rPr>
          <w:sz w:val="22"/>
          <w:szCs w:val="22"/>
        </w:rPr>
        <w:t>manenze ed</w:t>
      </w:r>
      <w:r w:rsidRPr="007F7EBF">
        <w:rPr>
          <w:sz w:val="22"/>
          <w:szCs w:val="22"/>
        </w:rPr>
        <w:t xml:space="preserve"> investimenti, dove l’I</w:t>
      </w:r>
      <w:r w:rsidRPr="007F7EBF">
        <w:rPr>
          <w:bCs/>
          <w:sz w:val="22"/>
          <w:szCs w:val="22"/>
        </w:rPr>
        <w:t xml:space="preserve">VA </w:t>
      </w:r>
      <w:r w:rsidRPr="007F7EBF">
        <w:rPr>
          <w:sz w:val="22"/>
          <w:szCs w:val="22"/>
        </w:rPr>
        <w:t xml:space="preserve">viene </w:t>
      </w:r>
      <w:r w:rsidRPr="007F7EBF">
        <w:rPr>
          <w:bCs/>
          <w:sz w:val="22"/>
          <w:szCs w:val="22"/>
        </w:rPr>
        <w:t>detratta immediatament</w:t>
      </w:r>
      <w:r w:rsidRPr="007F7EBF">
        <w:rPr>
          <w:sz w:val="22"/>
          <w:szCs w:val="22"/>
        </w:rPr>
        <w:t xml:space="preserve">e, </w:t>
      </w:r>
      <w:r w:rsidR="00F056CB" w:rsidRPr="007F7EBF">
        <w:rPr>
          <w:sz w:val="22"/>
          <w:szCs w:val="22"/>
        </w:rPr>
        <w:t>anche su beni durevoli</w:t>
      </w:r>
      <w:r w:rsidR="00FC3ACD">
        <w:rPr>
          <w:sz w:val="22"/>
          <w:szCs w:val="22"/>
        </w:rPr>
        <w:t>(</w:t>
      </w:r>
      <w:r w:rsidR="00F056CB" w:rsidRPr="007F7EBF">
        <w:rPr>
          <w:rStyle w:val="Rimandonotaapidipagina"/>
          <w:sz w:val="22"/>
          <w:szCs w:val="22"/>
        </w:rPr>
        <w:footnoteReference w:id="1009"/>
      </w:r>
      <w:r w:rsidR="00FC3ACD">
        <w:rPr>
          <w:sz w:val="22"/>
          <w:szCs w:val="22"/>
        </w:rPr>
        <w:t>)</w:t>
      </w:r>
      <w:r w:rsidRPr="007F7EBF">
        <w:rPr>
          <w:sz w:val="22"/>
          <w:szCs w:val="22"/>
        </w:rPr>
        <w:t>.</w:t>
      </w:r>
    </w:p>
    <w:p w14:paraId="3FA0C498" w14:textId="77777777" w:rsidR="007E446B" w:rsidRPr="007F7EBF" w:rsidRDefault="006342C5" w:rsidP="00B61A1E">
      <w:pPr>
        <w:pStyle w:val="Titolo3"/>
        <w:rPr>
          <w:rFonts w:ascii="Times New Roman" w:hAnsi="Times New Roman"/>
          <w:sz w:val="22"/>
          <w:szCs w:val="22"/>
        </w:rPr>
      </w:pPr>
      <w:bookmarkStart w:id="101" w:name="_Toc63365012"/>
      <w:r w:rsidRPr="007F7EBF">
        <w:rPr>
          <w:rFonts w:ascii="Times New Roman" w:hAnsi="Times New Roman"/>
          <w:sz w:val="22"/>
          <w:szCs w:val="22"/>
        </w:rPr>
        <w:t xml:space="preserve">7.3. </w:t>
      </w:r>
      <w:r w:rsidRPr="007F7EBF">
        <w:rPr>
          <w:rFonts w:ascii="Times New Roman" w:hAnsi="Times New Roman"/>
          <w:i/>
          <w:iCs/>
          <w:sz w:val="22"/>
          <w:szCs w:val="22"/>
        </w:rPr>
        <w:t>Segue</w:t>
      </w:r>
      <w:r w:rsidR="002059CA" w:rsidRPr="007F7EBF">
        <w:rPr>
          <w:rFonts w:ascii="Times New Roman" w:hAnsi="Times New Roman"/>
          <w:sz w:val="22"/>
          <w:szCs w:val="22"/>
        </w:rPr>
        <w:t>: T</w:t>
      </w:r>
      <w:r w:rsidRPr="007F7EBF">
        <w:rPr>
          <w:rFonts w:ascii="Times New Roman" w:hAnsi="Times New Roman"/>
          <w:sz w:val="22"/>
          <w:szCs w:val="22"/>
        </w:rPr>
        <w:t xml:space="preserve">ecniche </w:t>
      </w:r>
      <w:r w:rsidR="009F7854" w:rsidRPr="007F7EBF">
        <w:rPr>
          <w:rFonts w:ascii="Times New Roman" w:hAnsi="Times New Roman"/>
          <w:sz w:val="22"/>
          <w:szCs w:val="22"/>
        </w:rPr>
        <w:t xml:space="preserve">IVA </w:t>
      </w:r>
      <w:r w:rsidRPr="007F7EBF">
        <w:rPr>
          <w:rFonts w:ascii="Times New Roman" w:hAnsi="Times New Roman"/>
          <w:sz w:val="22"/>
          <w:szCs w:val="22"/>
        </w:rPr>
        <w:t>per raggiun</w:t>
      </w:r>
      <w:r w:rsidR="002059CA" w:rsidRPr="007F7EBF">
        <w:rPr>
          <w:rFonts w:ascii="Times New Roman" w:hAnsi="Times New Roman"/>
          <w:sz w:val="22"/>
          <w:szCs w:val="22"/>
        </w:rPr>
        <w:t>gere il consumo tra detrazione,</w:t>
      </w:r>
      <w:r w:rsidRPr="007F7EBF">
        <w:rPr>
          <w:rFonts w:ascii="Times New Roman" w:hAnsi="Times New Roman"/>
          <w:sz w:val="22"/>
          <w:szCs w:val="22"/>
        </w:rPr>
        <w:t xml:space="preserve"> “non</w:t>
      </w:r>
      <w:r w:rsidR="009F7854" w:rsidRPr="007F7EBF">
        <w:rPr>
          <w:rFonts w:ascii="Times New Roman" w:hAnsi="Times New Roman"/>
          <w:sz w:val="22"/>
          <w:szCs w:val="22"/>
        </w:rPr>
        <w:t xml:space="preserve"> </w:t>
      </w:r>
      <w:r w:rsidRPr="007F7EBF">
        <w:rPr>
          <w:rFonts w:ascii="Times New Roman" w:hAnsi="Times New Roman"/>
          <w:sz w:val="22"/>
          <w:szCs w:val="22"/>
        </w:rPr>
        <w:t>imponibilità”</w:t>
      </w:r>
      <w:r w:rsidR="002059CA" w:rsidRPr="007F7EBF">
        <w:rPr>
          <w:rFonts w:ascii="Times New Roman" w:hAnsi="Times New Roman"/>
          <w:sz w:val="22"/>
          <w:szCs w:val="22"/>
        </w:rPr>
        <w:t xml:space="preserve"> aliquote ed esenzioni</w:t>
      </w:r>
      <w:bookmarkEnd w:id="101"/>
      <w:r w:rsidR="007E446B" w:rsidRPr="007F7EBF">
        <w:rPr>
          <w:rFonts w:ascii="Times New Roman" w:hAnsi="Times New Roman"/>
          <w:sz w:val="22"/>
          <w:szCs w:val="22"/>
        </w:rPr>
        <w:t xml:space="preserve"> </w:t>
      </w:r>
    </w:p>
    <w:p w14:paraId="15A2C8EC" w14:textId="77777777" w:rsidR="007E446B" w:rsidRPr="007F7EBF" w:rsidRDefault="007E446B" w:rsidP="007E446B">
      <w:pPr>
        <w:pStyle w:val="tit23"/>
        <w:ind w:left="6464" w:right="-1361" w:firstLine="0"/>
        <w:jc w:val="left"/>
        <w:rPr>
          <w:bCs/>
          <w:i/>
          <w:iCs/>
          <w:color w:val="0000FF"/>
          <w:lang w:val="it-IT"/>
        </w:rPr>
      </w:pPr>
      <w:r w:rsidRPr="007F7EBF">
        <w:rPr>
          <w:bCs/>
          <w:i/>
          <w:iCs/>
          <w:color w:val="0000FF"/>
          <w:lang w:val="it-IT"/>
        </w:rPr>
        <w:t xml:space="preserve">tecniche per evitare </w:t>
      </w:r>
      <w:proofErr w:type="spellStart"/>
      <w:r w:rsidRPr="007F7EBF">
        <w:rPr>
          <w:bCs/>
          <w:i/>
          <w:iCs/>
          <w:color w:val="0000FF"/>
          <w:lang w:val="it-IT"/>
        </w:rPr>
        <w:lastRenderedPageBreak/>
        <w:t>duplicazioni:non</w:t>
      </w:r>
      <w:proofErr w:type="spellEnd"/>
      <w:r w:rsidRPr="007F7EBF">
        <w:rPr>
          <w:bCs/>
          <w:i/>
          <w:iCs/>
          <w:color w:val="0000FF"/>
          <w:lang w:val="it-IT"/>
        </w:rPr>
        <w:t xml:space="preserve"> imponibilità e detrazione</w:t>
      </w:r>
    </w:p>
    <w:p w14:paraId="2102C713" w14:textId="4D9AFE81" w:rsidR="004A5282" w:rsidRPr="007F7EBF" w:rsidRDefault="0029556D" w:rsidP="004A5282">
      <w:pPr>
        <w:autoSpaceDE w:val="0"/>
        <w:autoSpaceDN w:val="0"/>
        <w:adjustRightInd w:val="0"/>
        <w:rPr>
          <w:sz w:val="22"/>
          <w:szCs w:val="22"/>
        </w:rPr>
      </w:pPr>
      <w:r>
        <w:rPr>
          <w:sz w:val="22"/>
          <w:szCs w:val="22"/>
        </w:rPr>
        <w:t xml:space="preserve">Le modalità per </w:t>
      </w:r>
      <w:r w:rsidR="00E070E3">
        <w:rPr>
          <w:sz w:val="22"/>
          <w:szCs w:val="22"/>
        </w:rPr>
        <w:t xml:space="preserve">assicurare l’applicazione dell’imposta alla sola fase del consumo finale (b2c), detassando le “operazioni intermedie” (b2b), possono essere diverse; tra esse </w:t>
      </w:r>
      <w:r w:rsidR="007E446B" w:rsidRPr="007F7EBF">
        <w:rPr>
          <w:sz w:val="22"/>
          <w:szCs w:val="22"/>
        </w:rPr>
        <w:t xml:space="preserve">la normativa comunitaria, obbligatoria sul punto per </w:t>
      </w:r>
      <w:r w:rsidR="00BF373C">
        <w:rPr>
          <w:sz w:val="22"/>
          <w:szCs w:val="22"/>
        </w:rPr>
        <w:t>il l</w:t>
      </w:r>
      <w:r w:rsidR="0056027E">
        <w:rPr>
          <w:sz w:val="22"/>
          <w:szCs w:val="22"/>
        </w:rPr>
        <w:t>e</w:t>
      </w:r>
      <w:r w:rsidR="00BF373C">
        <w:rPr>
          <w:sz w:val="22"/>
          <w:szCs w:val="22"/>
        </w:rPr>
        <w:t>gislatore nazionale</w:t>
      </w:r>
      <w:r w:rsidR="007E446B" w:rsidRPr="007F7EBF">
        <w:rPr>
          <w:sz w:val="22"/>
          <w:szCs w:val="22"/>
        </w:rPr>
        <w:t xml:space="preserve">, ha </w:t>
      </w:r>
      <w:r w:rsidR="00E070E3">
        <w:rPr>
          <w:sz w:val="22"/>
          <w:szCs w:val="22"/>
        </w:rPr>
        <w:t xml:space="preserve">mediato pragmaticamente  tra le esigenze di semplicità, precisione, cautela fiscale </w:t>
      </w:r>
      <w:r w:rsidR="007E446B" w:rsidRPr="007F7EBF">
        <w:rPr>
          <w:sz w:val="22"/>
          <w:szCs w:val="22"/>
        </w:rPr>
        <w:t xml:space="preserve"> </w:t>
      </w:r>
      <w:r w:rsidR="00E070E3">
        <w:rPr>
          <w:sz w:val="22"/>
          <w:szCs w:val="22"/>
        </w:rPr>
        <w:t>(par.1.8) per specificare nel modo più efficiente l’astrazione economica rappresentata dal consumo</w:t>
      </w:r>
      <w:r w:rsidR="007E446B" w:rsidRPr="007F7EBF">
        <w:rPr>
          <w:sz w:val="22"/>
          <w:szCs w:val="22"/>
        </w:rPr>
        <w:t xml:space="preserve">. </w:t>
      </w:r>
      <w:r w:rsidR="00E070E3">
        <w:rPr>
          <w:sz w:val="22"/>
          <w:szCs w:val="22"/>
        </w:rPr>
        <w:t xml:space="preserve">Ancor oggi si combinano variamente, per rendere irrilevanti le operazioni “a monte” del consumo, le tecniche della </w:t>
      </w:r>
      <w:r w:rsidR="00DC1DEF" w:rsidRPr="007F7EBF">
        <w:rPr>
          <w:sz w:val="22"/>
          <w:szCs w:val="22"/>
        </w:rPr>
        <w:t xml:space="preserve"> detrazione </w:t>
      </w:r>
      <w:r w:rsidR="00E070E3">
        <w:rPr>
          <w:sz w:val="22"/>
          <w:szCs w:val="22"/>
        </w:rPr>
        <w:t xml:space="preserve">d’imposta </w:t>
      </w:r>
      <w:r w:rsidR="00DC1DEF" w:rsidRPr="007F7EBF">
        <w:rPr>
          <w:sz w:val="22"/>
          <w:szCs w:val="22"/>
        </w:rPr>
        <w:t>e della n</w:t>
      </w:r>
      <w:r w:rsidR="004A5282" w:rsidRPr="007F7EBF">
        <w:rPr>
          <w:sz w:val="22"/>
          <w:szCs w:val="22"/>
        </w:rPr>
        <w:t xml:space="preserve">on imponibilità. </w:t>
      </w:r>
      <w:r w:rsidR="00F35DCC">
        <w:rPr>
          <w:sz w:val="22"/>
          <w:szCs w:val="22"/>
        </w:rPr>
        <w:t xml:space="preserve"> </w:t>
      </w:r>
    </w:p>
    <w:p w14:paraId="029BE65E" w14:textId="77777777" w:rsidR="004A5282" w:rsidRPr="007F7EBF" w:rsidRDefault="004A5282" w:rsidP="004A5282">
      <w:pPr>
        <w:pStyle w:val="tit23"/>
        <w:ind w:left="6464" w:right="-1361" w:firstLine="0"/>
        <w:jc w:val="left"/>
        <w:rPr>
          <w:bCs/>
          <w:i/>
          <w:iCs/>
          <w:color w:val="0000FF"/>
          <w:lang w:val="it-IT"/>
        </w:rPr>
      </w:pPr>
      <w:r w:rsidRPr="007F7EBF">
        <w:rPr>
          <w:bCs/>
          <w:i/>
          <w:iCs/>
          <w:color w:val="0000FF"/>
          <w:lang w:val="it-IT"/>
        </w:rPr>
        <w:t>Iniziale prevalenza della detrazione</w:t>
      </w:r>
    </w:p>
    <w:p w14:paraId="31E15C0C" w14:textId="015A880D" w:rsidR="004A5282" w:rsidRPr="007F7EBF" w:rsidRDefault="004A5282" w:rsidP="004A5282">
      <w:pPr>
        <w:autoSpaceDE w:val="0"/>
        <w:autoSpaceDN w:val="0"/>
        <w:adjustRightInd w:val="0"/>
        <w:rPr>
          <w:sz w:val="22"/>
          <w:szCs w:val="22"/>
        </w:rPr>
      </w:pPr>
      <w:r w:rsidRPr="007F7EBF">
        <w:rPr>
          <w:sz w:val="22"/>
          <w:szCs w:val="22"/>
        </w:rPr>
        <w:t>La</w:t>
      </w:r>
      <w:r w:rsidR="0097799D">
        <w:rPr>
          <w:sz w:val="22"/>
          <w:szCs w:val="22"/>
        </w:rPr>
        <w:t xml:space="preserve"> detrazione fu la</w:t>
      </w:r>
      <w:r w:rsidR="00F74F0A" w:rsidRPr="007F7EBF">
        <w:rPr>
          <w:sz w:val="22"/>
          <w:szCs w:val="22"/>
        </w:rPr>
        <w:t xml:space="preserve"> </w:t>
      </w:r>
      <w:r w:rsidR="006342C5" w:rsidRPr="007F7EBF">
        <w:rPr>
          <w:bCs/>
          <w:sz w:val="22"/>
          <w:szCs w:val="22"/>
        </w:rPr>
        <w:t>tecnica originaria</w:t>
      </w:r>
      <w:r w:rsidR="0097799D">
        <w:rPr>
          <w:bCs/>
          <w:sz w:val="22"/>
          <w:szCs w:val="22"/>
        </w:rPr>
        <w:t xml:space="preserve">, </w:t>
      </w:r>
      <w:r w:rsidR="006342C5" w:rsidRPr="007F7EBF">
        <w:rPr>
          <w:sz w:val="22"/>
          <w:szCs w:val="22"/>
        </w:rPr>
        <w:t xml:space="preserve">più </w:t>
      </w:r>
      <w:r w:rsidR="0097799D">
        <w:rPr>
          <w:sz w:val="22"/>
          <w:szCs w:val="22"/>
        </w:rPr>
        <w:t xml:space="preserve">conforme alla mentalità amministrativa aziendale, </w:t>
      </w:r>
      <w:proofErr w:type="spellStart"/>
      <w:r w:rsidR="0097799D">
        <w:rPr>
          <w:sz w:val="22"/>
          <w:szCs w:val="22"/>
        </w:rPr>
        <w:t>perchè</w:t>
      </w:r>
      <w:proofErr w:type="spellEnd"/>
      <w:r w:rsidR="0097799D">
        <w:rPr>
          <w:sz w:val="22"/>
          <w:szCs w:val="22"/>
        </w:rPr>
        <w:t xml:space="preserve"> basata su una procedura contabile omogenea, applicabile dal fornitore chiunque fosse il cliente, senza effettuare le distinzioni, ed assumersi le responsabilità, connesse al criterio della “non imponibilità”. Tuttavia il criterio della detrazione </w:t>
      </w:r>
      <w:r w:rsidR="00B70FD3">
        <w:rPr>
          <w:sz w:val="22"/>
          <w:szCs w:val="22"/>
        </w:rPr>
        <w:t xml:space="preserve">ha un funzionamento </w:t>
      </w:r>
      <w:r w:rsidR="0097799D">
        <w:rPr>
          <w:sz w:val="22"/>
          <w:szCs w:val="22"/>
        </w:rPr>
        <w:t xml:space="preserve">meno immediato da intuire, perché comporta articolati rapporti </w:t>
      </w:r>
      <w:r w:rsidRPr="007F7EBF">
        <w:rPr>
          <w:sz w:val="22"/>
          <w:szCs w:val="22"/>
        </w:rPr>
        <w:t xml:space="preserve">"fornitore-cliente-stato", </w:t>
      </w:r>
      <w:r w:rsidR="0097799D">
        <w:rPr>
          <w:sz w:val="22"/>
          <w:szCs w:val="22"/>
        </w:rPr>
        <w:t xml:space="preserve">che quindi è bene mettere a fuoco concettualmente prima di proseguire. </w:t>
      </w:r>
    </w:p>
    <w:p w14:paraId="2D94FF2C" w14:textId="3840AD09" w:rsidR="004A5282" w:rsidRPr="007F7EBF" w:rsidRDefault="00E070E3" w:rsidP="004A5282">
      <w:pPr>
        <w:pStyle w:val="tit23"/>
        <w:ind w:left="6464" w:right="-1361" w:firstLine="0"/>
        <w:jc w:val="left"/>
        <w:rPr>
          <w:bCs/>
          <w:i/>
          <w:iCs/>
          <w:color w:val="0000FF"/>
          <w:lang w:val="it-IT"/>
        </w:rPr>
      </w:pPr>
      <w:r>
        <w:rPr>
          <w:bCs/>
          <w:i/>
          <w:iCs/>
          <w:color w:val="0000FF"/>
          <w:lang w:val="it-IT"/>
        </w:rPr>
        <w:t>Suo meccanismo</w:t>
      </w:r>
    </w:p>
    <w:p w14:paraId="48DB609E" w14:textId="7A4CBDCE" w:rsidR="00DB763F" w:rsidRDefault="00B70FD3" w:rsidP="00DB763F">
      <w:pPr>
        <w:autoSpaceDE w:val="0"/>
        <w:autoSpaceDN w:val="0"/>
        <w:adjustRightInd w:val="0"/>
        <w:rPr>
          <w:sz w:val="22"/>
          <w:szCs w:val="22"/>
        </w:rPr>
      </w:pPr>
      <w:r>
        <w:rPr>
          <w:sz w:val="22"/>
          <w:szCs w:val="22"/>
        </w:rPr>
        <w:t>I</w:t>
      </w:r>
      <w:r w:rsidR="0097799D">
        <w:rPr>
          <w:sz w:val="22"/>
          <w:szCs w:val="22"/>
        </w:rPr>
        <w:t xml:space="preserve">l </w:t>
      </w:r>
      <w:r w:rsidR="004A5282" w:rsidRPr="007F7EBF">
        <w:rPr>
          <w:bCs/>
          <w:sz w:val="22"/>
          <w:szCs w:val="22"/>
        </w:rPr>
        <w:t xml:space="preserve">fornitore </w:t>
      </w:r>
      <w:r w:rsidR="004A5282" w:rsidRPr="007F7EBF">
        <w:rPr>
          <w:sz w:val="22"/>
          <w:szCs w:val="22"/>
        </w:rPr>
        <w:t xml:space="preserve">addebita l’IVA al cliente, </w:t>
      </w:r>
      <w:r>
        <w:rPr>
          <w:sz w:val="22"/>
          <w:szCs w:val="22"/>
        </w:rPr>
        <w:t xml:space="preserve">considerandola anche un </w:t>
      </w:r>
      <w:r w:rsidR="0097799D">
        <w:rPr>
          <w:bCs/>
          <w:sz w:val="22"/>
          <w:szCs w:val="22"/>
        </w:rPr>
        <w:t xml:space="preserve">debito verso il fisco nella propria contabilità IVA, ma se il cliente è un operatore economico fa anche lui la stessa cosa all’inverso; </w:t>
      </w:r>
      <w:r>
        <w:rPr>
          <w:bCs/>
          <w:sz w:val="22"/>
          <w:szCs w:val="22"/>
        </w:rPr>
        <w:t>c</w:t>
      </w:r>
      <w:r w:rsidR="0097799D">
        <w:rPr>
          <w:bCs/>
          <w:sz w:val="22"/>
          <w:szCs w:val="22"/>
        </w:rPr>
        <w:t xml:space="preserve">ioè </w:t>
      </w:r>
      <w:r>
        <w:rPr>
          <w:bCs/>
          <w:sz w:val="22"/>
          <w:szCs w:val="22"/>
        </w:rPr>
        <w:t>si riconosce debitore del</w:t>
      </w:r>
      <w:r w:rsidR="0097799D">
        <w:rPr>
          <w:bCs/>
          <w:sz w:val="22"/>
          <w:szCs w:val="22"/>
        </w:rPr>
        <w:t>l’IVA al fornitore</w:t>
      </w:r>
      <w:r>
        <w:rPr>
          <w:bCs/>
          <w:sz w:val="22"/>
          <w:szCs w:val="22"/>
        </w:rPr>
        <w:t xml:space="preserve">, </w:t>
      </w:r>
      <w:r w:rsidR="00C120C9">
        <w:rPr>
          <w:bCs/>
          <w:sz w:val="22"/>
          <w:szCs w:val="22"/>
        </w:rPr>
        <w:t>e</w:t>
      </w:r>
      <w:r>
        <w:rPr>
          <w:bCs/>
          <w:sz w:val="22"/>
          <w:szCs w:val="22"/>
        </w:rPr>
        <w:t xml:space="preserve"> </w:t>
      </w:r>
      <w:r w:rsidR="0097799D">
        <w:rPr>
          <w:bCs/>
          <w:sz w:val="22"/>
          <w:szCs w:val="22"/>
        </w:rPr>
        <w:t xml:space="preserve">la inserisce come </w:t>
      </w:r>
      <w:r w:rsidR="00E070E3">
        <w:rPr>
          <w:bCs/>
          <w:sz w:val="22"/>
          <w:szCs w:val="22"/>
        </w:rPr>
        <w:t>detrazione d’imposta</w:t>
      </w:r>
      <w:r w:rsidR="0097799D">
        <w:rPr>
          <w:bCs/>
          <w:sz w:val="22"/>
          <w:szCs w:val="22"/>
        </w:rPr>
        <w:t xml:space="preserve"> nella propria contabilità IVA</w:t>
      </w:r>
      <w:r>
        <w:rPr>
          <w:bCs/>
          <w:sz w:val="22"/>
          <w:szCs w:val="22"/>
        </w:rPr>
        <w:t xml:space="preserve">. </w:t>
      </w:r>
      <w:r w:rsidRPr="007F7EBF">
        <w:rPr>
          <w:sz w:val="22"/>
          <w:szCs w:val="22"/>
        </w:rPr>
        <w:t xml:space="preserve">La </w:t>
      </w:r>
      <w:r>
        <w:rPr>
          <w:sz w:val="22"/>
          <w:szCs w:val="22"/>
        </w:rPr>
        <w:t xml:space="preserve">contabilità IVA di ciascun operatore economico registra i debiti iva sulle vendite e i crediti iva sugli acquisti, calcolando e versando la differenza </w:t>
      </w:r>
      <w:r w:rsidRPr="007F7EBF">
        <w:rPr>
          <w:sz w:val="22"/>
          <w:szCs w:val="22"/>
        </w:rPr>
        <w:t xml:space="preserve">a </w:t>
      </w:r>
      <w:r w:rsidRPr="007F7EBF">
        <w:rPr>
          <w:bCs/>
          <w:sz w:val="22"/>
          <w:szCs w:val="22"/>
        </w:rPr>
        <w:t xml:space="preserve">scadenze </w:t>
      </w:r>
      <w:r>
        <w:rPr>
          <w:bCs/>
          <w:sz w:val="22"/>
          <w:szCs w:val="22"/>
        </w:rPr>
        <w:t>mensili</w:t>
      </w:r>
      <w:r w:rsidRPr="007F7EBF">
        <w:rPr>
          <w:bCs/>
          <w:sz w:val="22"/>
          <w:szCs w:val="22"/>
        </w:rPr>
        <w:t xml:space="preserve"> (</w:t>
      </w:r>
      <w:r w:rsidRPr="007F7EBF">
        <w:rPr>
          <w:rStyle w:val="Rimandonotaapidipagina"/>
          <w:bCs/>
          <w:sz w:val="22"/>
          <w:szCs w:val="22"/>
        </w:rPr>
        <w:footnoteReference w:id="1010"/>
      </w:r>
      <w:r w:rsidRPr="007F7EBF">
        <w:rPr>
          <w:sz w:val="22"/>
          <w:szCs w:val="22"/>
        </w:rPr>
        <w:t>)</w:t>
      </w:r>
      <w:r>
        <w:rPr>
          <w:sz w:val="22"/>
          <w:szCs w:val="22"/>
        </w:rPr>
        <w:t>, in una specie di “conto corrente” col fisco</w:t>
      </w:r>
      <w:r w:rsidR="00E070E3">
        <w:rPr>
          <w:sz w:val="22"/>
          <w:szCs w:val="22"/>
        </w:rPr>
        <w:t xml:space="preserve">. </w:t>
      </w:r>
      <w:r w:rsidR="00E070E3" w:rsidRPr="007F7EBF">
        <w:t>S</w:t>
      </w:r>
      <w:r w:rsidR="00E070E3">
        <w:t xml:space="preserve">e fosse acquistato e venduto un solo bene, questa procedura ne ripercorrerebbe le vicende, e quindi l’IVA riguarderebbe specificamente </w:t>
      </w:r>
      <w:r w:rsidR="00532DDB">
        <w:t xml:space="preserve">solo lui </w:t>
      </w:r>
      <w:r w:rsidR="00532DDB">
        <w:lastRenderedPageBreak/>
        <w:t>(</w:t>
      </w:r>
      <w:r w:rsidR="00532DDB">
        <w:rPr>
          <w:rStyle w:val="Rimandonotaapidipagina"/>
        </w:rPr>
        <w:footnoteReference w:id="1011"/>
      </w:r>
      <w:r w:rsidR="00532DDB">
        <w:t>)</w:t>
      </w:r>
      <w:r w:rsidR="00E070E3">
        <w:t>.</w:t>
      </w:r>
      <w:r w:rsidR="00532DDB">
        <w:t xml:space="preserve"> Di solito però i beni e servizi comprati e venduti sono innumerevoli, con le loro imposte a debito e in detrazione, tutte inserite nella contabilità IVA</w:t>
      </w:r>
      <w:r w:rsidR="00DB763F">
        <w:t xml:space="preserve">. L’imposta è quindi </w:t>
      </w:r>
      <w:r w:rsidR="00532DDB">
        <w:t xml:space="preserve">liquidata </w:t>
      </w:r>
      <w:r w:rsidR="00E070E3">
        <w:t>“per masse”</w:t>
      </w:r>
      <w:r w:rsidR="00DB763F">
        <w:rPr>
          <w:sz w:val="22"/>
          <w:szCs w:val="22"/>
        </w:rPr>
        <w:t xml:space="preserve"> di registrazioni a debito sulle vendite e a credito sugli acquisti, di beni e servizi (par.7.6).</w:t>
      </w:r>
    </w:p>
    <w:p w14:paraId="23165628" w14:textId="7D2BF7ED" w:rsidR="00DB763F" w:rsidRDefault="00DB763F" w:rsidP="00DB763F">
      <w:pPr>
        <w:pStyle w:val="tit23"/>
        <w:ind w:left="6464" w:right="-1361" w:firstLine="0"/>
        <w:jc w:val="left"/>
        <w:rPr>
          <w:bCs/>
          <w:i/>
          <w:iCs/>
          <w:color w:val="0000FF"/>
          <w:lang w:val="it-IT"/>
        </w:rPr>
      </w:pPr>
      <w:r>
        <w:rPr>
          <w:bCs/>
          <w:i/>
          <w:iCs/>
          <w:color w:val="0000FF"/>
          <w:lang w:val="it-IT"/>
        </w:rPr>
        <w:t>Addebito e detrazione</w:t>
      </w:r>
    </w:p>
    <w:p w14:paraId="493B6EFC" w14:textId="77777777" w:rsidR="00C9524E" w:rsidRPr="007F7EBF" w:rsidRDefault="00532DDB" w:rsidP="00C9524E">
      <w:pPr>
        <w:autoSpaceDE w:val="0"/>
        <w:autoSpaceDN w:val="0"/>
        <w:adjustRightInd w:val="0"/>
        <w:rPr>
          <w:sz w:val="22"/>
          <w:szCs w:val="22"/>
        </w:rPr>
      </w:pPr>
      <w:r>
        <w:rPr>
          <w:sz w:val="22"/>
          <w:szCs w:val="22"/>
        </w:rPr>
        <w:t xml:space="preserve">Per permettere la detrazione, nelle </w:t>
      </w:r>
      <w:r w:rsidR="00C032A2">
        <w:rPr>
          <w:sz w:val="22"/>
          <w:szCs w:val="22"/>
        </w:rPr>
        <w:t>operazioni b2b o equiparate</w:t>
      </w:r>
      <w:r w:rsidR="00DB763F">
        <w:rPr>
          <w:sz w:val="22"/>
          <w:szCs w:val="22"/>
        </w:rPr>
        <w:t>, il fornitore deve emettere i</w:t>
      </w:r>
      <w:r w:rsidR="00C032A2">
        <w:rPr>
          <w:sz w:val="22"/>
          <w:szCs w:val="22"/>
        </w:rPr>
        <w:t>n automatico fattura</w:t>
      </w:r>
      <w:r w:rsidR="00203783">
        <w:rPr>
          <w:sz w:val="22"/>
          <w:szCs w:val="22"/>
        </w:rPr>
        <w:t xml:space="preserve"> (par.7.7)</w:t>
      </w:r>
      <w:r w:rsidR="00C032A2">
        <w:rPr>
          <w:sz w:val="22"/>
          <w:szCs w:val="22"/>
        </w:rPr>
        <w:t>,</w:t>
      </w:r>
      <w:r w:rsidR="00DB763F">
        <w:rPr>
          <w:sz w:val="22"/>
          <w:szCs w:val="22"/>
        </w:rPr>
        <w:t xml:space="preserve"> applicando l’aliquota a</w:t>
      </w:r>
      <w:r w:rsidR="004A5282" w:rsidRPr="007F7EBF">
        <w:rPr>
          <w:sz w:val="22"/>
          <w:szCs w:val="22"/>
        </w:rPr>
        <w:t xml:space="preserve">l corrispettivo </w:t>
      </w:r>
      <w:r w:rsidR="00DB763F">
        <w:rPr>
          <w:sz w:val="22"/>
          <w:szCs w:val="22"/>
        </w:rPr>
        <w:t>contrattuale</w:t>
      </w:r>
      <w:r w:rsidR="00203783">
        <w:rPr>
          <w:sz w:val="22"/>
          <w:szCs w:val="22"/>
        </w:rPr>
        <w:t>, e richiedendo il pagamento dell’imposta al cliente</w:t>
      </w:r>
      <w:r w:rsidR="004A5282" w:rsidRPr="007F7EBF">
        <w:rPr>
          <w:sz w:val="22"/>
          <w:szCs w:val="22"/>
        </w:rPr>
        <w:t>.</w:t>
      </w:r>
      <w:r w:rsidRPr="00532DDB">
        <w:t xml:space="preserve"> </w:t>
      </w:r>
      <w:r w:rsidR="009C55A8">
        <w:t xml:space="preserve">Nelle operazioni </w:t>
      </w:r>
      <w:r w:rsidR="00203783">
        <w:t xml:space="preserve">“al dettaglio”, </w:t>
      </w:r>
      <w:r w:rsidR="009C55A8">
        <w:t xml:space="preserve">di cui </w:t>
      </w:r>
      <w:r w:rsidR="00203783">
        <w:t>al par.7.7, il</w:t>
      </w:r>
      <w:r w:rsidRPr="007F7EBF">
        <w:t xml:space="preserve"> cliente consumatore finale invece paga,</w:t>
      </w:r>
      <w:r>
        <w:t xml:space="preserve"> </w:t>
      </w:r>
      <w:r w:rsidRPr="007F7EBF">
        <w:t>senza effettuare detrazioni</w:t>
      </w:r>
      <w:r w:rsidR="00203783">
        <w:t>, un prezzo comprensivo di IVA</w:t>
      </w:r>
      <w:r>
        <w:t xml:space="preserve"> (</w:t>
      </w:r>
      <w:r>
        <w:rPr>
          <w:rStyle w:val="Rimandonotaapidipagina"/>
        </w:rPr>
        <w:footnoteReference w:id="1012"/>
      </w:r>
      <w:r>
        <w:t>).</w:t>
      </w:r>
      <w:r w:rsidR="004C6552">
        <w:t xml:space="preserve"> N</w:t>
      </w:r>
      <w:r w:rsidR="00203783">
        <w:rPr>
          <w:sz w:val="22"/>
          <w:szCs w:val="22"/>
        </w:rPr>
        <w:t xml:space="preserve">ei casi di fatturazione la rivalsa (par.3.5) è </w:t>
      </w:r>
      <w:r w:rsidR="004C6552">
        <w:rPr>
          <w:sz w:val="22"/>
          <w:szCs w:val="22"/>
        </w:rPr>
        <w:t xml:space="preserve">quindi </w:t>
      </w:r>
      <w:r w:rsidR="00203783">
        <w:rPr>
          <w:sz w:val="22"/>
          <w:szCs w:val="22"/>
        </w:rPr>
        <w:t xml:space="preserve">“esplicita”, </w:t>
      </w:r>
      <w:r w:rsidR="004C6552">
        <w:rPr>
          <w:sz w:val="22"/>
          <w:szCs w:val="22"/>
        </w:rPr>
        <w:t xml:space="preserve">mentre </w:t>
      </w:r>
      <w:r w:rsidR="00203783">
        <w:rPr>
          <w:sz w:val="22"/>
          <w:szCs w:val="22"/>
        </w:rPr>
        <w:t xml:space="preserve">nei corrispettivi al dettaglio l’imposta </w:t>
      </w:r>
      <w:r>
        <w:rPr>
          <w:sz w:val="22"/>
          <w:szCs w:val="22"/>
        </w:rPr>
        <w:t xml:space="preserve"> è </w:t>
      </w:r>
      <w:r w:rsidR="00C9524E">
        <w:rPr>
          <w:sz w:val="22"/>
          <w:szCs w:val="22"/>
        </w:rPr>
        <w:t>compresa</w:t>
      </w:r>
      <w:r>
        <w:rPr>
          <w:sz w:val="22"/>
          <w:szCs w:val="22"/>
        </w:rPr>
        <w:t xml:space="preserve"> nel prezzo (</w:t>
      </w:r>
      <w:r>
        <w:rPr>
          <w:rStyle w:val="Rimandonotaapidipagina"/>
          <w:sz w:val="22"/>
          <w:szCs w:val="22"/>
        </w:rPr>
        <w:footnoteReference w:id="1013"/>
      </w:r>
      <w:r>
        <w:rPr>
          <w:sz w:val="22"/>
          <w:szCs w:val="22"/>
        </w:rPr>
        <w:t>)</w:t>
      </w:r>
      <w:r w:rsidR="00203783">
        <w:rPr>
          <w:sz w:val="22"/>
          <w:szCs w:val="22"/>
        </w:rPr>
        <w:t xml:space="preserve">. </w:t>
      </w:r>
    </w:p>
    <w:p w14:paraId="081D8E85" w14:textId="0CDB3809" w:rsidR="00C9524E" w:rsidRPr="007F7EBF" w:rsidRDefault="00C9524E" w:rsidP="00C9524E">
      <w:pPr>
        <w:pStyle w:val="tit23"/>
        <w:ind w:left="6464" w:right="-1361" w:firstLine="0"/>
        <w:jc w:val="left"/>
        <w:rPr>
          <w:bCs/>
          <w:i/>
          <w:iCs/>
          <w:color w:val="0000FF"/>
          <w:lang w:val="it-IT"/>
        </w:rPr>
      </w:pPr>
      <w:r>
        <w:rPr>
          <w:bCs/>
          <w:i/>
          <w:iCs/>
          <w:color w:val="0000FF"/>
          <w:lang w:val="it-IT"/>
        </w:rPr>
        <w:t>Il criterio della “non imponibilità”</w:t>
      </w:r>
    </w:p>
    <w:p w14:paraId="70F1370A" w14:textId="78C3A720" w:rsidR="00C9524E" w:rsidRPr="007F7EBF" w:rsidRDefault="00C9524E" w:rsidP="00C9524E">
      <w:pPr>
        <w:autoSpaceDE w:val="0"/>
        <w:autoSpaceDN w:val="0"/>
        <w:adjustRightInd w:val="0"/>
        <w:rPr>
          <w:bCs/>
          <w:i/>
          <w:iCs/>
          <w:color w:val="0000FF"/>
        </w:rPr>
      </w:pPr>
      <w:r>
        <w:rPr>
          <w:sz w:val="22"/>
          <w:szCs w:val="22"/>
        </w:rPr>
        <w:t xml:space="preserve">Il criterio della “non imponibilità” prevede invece la non applicazione dell’IVA nelle operazioni b2b, e la sua applicazione si è molto estesa da quando sono state abolite le dogane interne ai paesi UE. In esse, in precedenza veniva applicata l’imposta, successivamente detratta dall’acquirente, </w:t>
      </w:r>
      <w:r w:rsidR="00783C44">
        <w:rPr>
          <w:sz w:val="22"/>
          <w:szCs w:val="22"/>
        </w:rPr>
        <w:t xml:space="preserve">garantendo le suddette simmetrie. Con </w:t>
      </w:r>
      <w:r w:rsidR="00783C44" w:rsidRPr="007F7EBF">
        <w:rPr>
          <w:sz w:val="22"/>
          <w:szCs w:val="22"/>
        </w:rPr>
        <w:t xml:space="preserve">l'abolizione delle dogane, nel 1993, </w:t>
      </w:r>
      <w:r w:rsidR="00E964EC">
        <w:rPr>
          <w:sz w:val="22"/>
          <w:szCs w:val="22"/>
        </w:rPr>
        <w:t xml:space="preserve">si è dimostrato impossibile </w:t>
      </w:r>
      <w:r w:rsidR="00783C44">
        <w:rPr>
          <w:sz w:val="22"/>
          <w:szCs w:val="22"/>
        </w:rPr>
        <w:t>gestire tra diversi stati il suddetto meccanismo della detrazione</w:t>
      </w:r>
      <w:r w:rsidR="00E964EC">
        <w:rPr>
          <w:sz w:val="22"/>
          <w:szCs w:val="22"/>
        </w:rPr>
        <w:t>. F</w:t>
      </w:r>
      <w:r w:rsidR="00783C44" w:rsidRPr="007F7EBF">
        <w:rPr>
          <w:sz w:val="22"/>
          <w:szCs w:val="22"/>
        </w:rPr>
        <w:t xml:space="preserve">u </w:t>
      </w:r>
      <w:r w:rsidR="00E964EC">
        <w:rPr>
          <w:sz w:val="22"/>
          <w:szCs w:val="22"/>
        </w:rPr>
        <w:t xml:space="preserve">quindi </w:t>
      </w:r>
      <w:r w:rsidR="00783C44">
        <w:rPr>
          <w:sz w:val="22"/>
          <w:szCs w:val="22"/>
        </w:rPr>
        <w:t>adottato il criterio della “</w:t>
      </w:r>
      <w:r w:rsidR="00783C44" w:rsidRPr="007F7EBF">
        <w:rPr>
          <w:sz w:val="22"/>
          <w:szCs w:val="22"/>
        </w:rPr>
        <w:t xml:space="preserve">non imponibilità </w:t>
      </w:r>
      <w:r w:rsidR="00783C44">
        <w:rPr>
          <w:sz w:val="22"/>
          <w:szCs w:val="22"/>
        </w:rPr>
        <w:t xml:space="preserve">iva” delle operazioni </w:t>
      </w:r>
      <w:r w:rsidR="00783C44" w:rsidRPr="007F7EBF">
        <w:rPr>
          <w:sz w:val="22"/>
          <w:szCs w:val="22"/>
        </w:rPr>
        <w:t>tra operatori economici residenti in paesi comunitari diversi (</w:t>
      </w:r>
      <w:r w:rsidR="00783C44" w:rsidRPr="007F7EBF">
        <w:rPr>
          <w:rStyle w:val="Rimandonotaapidipagina"/>
          <w:sz w:val="22"/>
          <w:szCs w:val="22"/>
        </w:rPr>
        <w:footnoteReference w:id="1014"/>
      </w:r>
      <w:r w:rsidR="00783C44" w:rsidRPr="007F7EBF">
        <w:rPr>
          <w:sz w:val="22"/>
          <w:szCs w:val="22"/>
        </w:rPr>
        <w:t>)</w:t>
      </w:r>
      <w:r w:rsidR="00783C44">
        <w:rPr>
          <w:sz w:val="22"/>
          <w:szCs w:val="22"/>
        </w:rPr>
        <w:t xml:space="preserve">, come indicato al par.7.4; esso è  </w:t>
      </w:r>
      <w:r>
        <w:rPr>
          <w:sz w:val="22"/>
          <w:szCs w:val="22"/>
        </w:rPr>
        <w:t xml:space="preserve">affidabile nella misura in cui lo è anche l’ultimo stadio della catena distributiva, cioè </w:t>
      </w:r>
      <w:r w:rsidR="00783C44">
        <w:rPr>
          <w:sz w:val="22"/>
          <w:szCs w:val="22"/>
        </w:rPr>
        <w:t xml:space="preserve">l’operatore </w:t>
      </w:r>
      <w:r>
        <w:rPr>
          <w:sz w:val="22"/>
          <w:szCs w:val="22"/>
        </w:rPr>
        <w:t>al dettaglio</w:t>
      </w:r>
      <w:r w:rsidR="00783C44">
        <w:rPr>
          <w:sz w:val="22"/>
          <w:szCs w:val="22"/>
        </w:rPr>
        <w:t xml:space="preserve">, come nel caso della grande </w:t>
      </w:r>
      <w:r w:rsidR="00783C44">
        <w:rPr>
          <w:sz w:val="22"/>
          <w:szCs w:val="22"/>
        </w:rPr>
        <w:lastRenderedPageBreak/>
        <w:t>distribuzione</w:t>
      </w:r>
      <w:r>
        <w:rPr>
          <w:sz w:val="22"/>
          <w:szCs w:val="22"/>
        </w:rPr>
        <w:t xml:space="preserve">. Nella misura in cui la vendita al dettaglio è frammentata tra piccoli commercianti, o peggio ancora venditori ambulanti, che nascondono gran parte dei ricavi, come indicato al par. 3.13, la non imponibilità impedisce l’acquisizione dell’IVA sul valore aggiunto proveniente da imprese strutturate “a monte”, i cui prodotti però arrivano ai consumatori tramite la suddetta inaffidabile rete di dettaglianti. Se </w:t>
      </w:r>
      <w:r w:rsidR="00783C44">
        <w:rPr>
          <w:sz w:val="22"/>
          <w:szCs w:val="22"/>
        </w:rPr>
        <w:t xml:space="preserve">infatti le grandi aziende di produzione </w:t>
      </w:r>
      <w:r>
        <w:rPr>
          <w:sz w:val="22"/>
          <w:szCs w:val="22"/>
        </w:rPr>
        <w:t>vendono “senza IVA” a un dettagliante che a sua volta nasconde i propri ricavi, l’intero gettito su quanto è stato evaso al consumo finale svanisce (</w:t>
      </w:r>
      <w:r>
        <w:rPr>
          <w:rStyle w:val="Rimandonotaapidipagina"/>
          <w:sz w:val="22"/>
          <w:szCs w:val="22"/>
        </w:rPr>
        <w:footnoteReference w:id="1015"/>
      </w:r>
      <w:r>
        <w:rPr>
          <w:sz w:val="22"/>
          <w:szCs w:val="22"/>
        </w:rPr>
        <w:t>)</w:t>
      </w:r>
      <w:r w:rsidR="00783C44">
        <w:rPr>
          <w:sz w:val="22"/>
          <w:szCs w:val="22"/>
        </w:rPr>
        <w:t>.</w:t>
      </w:r>
    </w:p>
    <w:p w14:paraId="5A292DDC" w14:textId="4A8DD68F" w:rsidR="004A5282" w:rsidRPr="007F7EBF" w:rsidRDefault="004A5282" w:rsidP="00532DDB">
      <w:pPr>
        <w:autoSpaceDE w:val="0"/>
        <w:autoSpaceDN w:val="0"/>
        <w:adjustRightInd w:val="0"/>
        <w:rPr>
          <w:sz w:val="22"/>
          <w:szCs w:val="22"/>
        </w:rPr>
      </w:pPr>
    </w:p>
    <w:p w14:paraId="38875CFC" w14:textId="0FE9306A" w:rsidR="00A11AB5" w:rsidRPr="007F7EBF" w:rsidRDefault="005E6A71" w:rsidP="00A11AB5">
      <w:pPr>
        <w:pStyle w:val="tit23"/>
        <w:ind w:left="6464" w:right="-1361" w:firstLine="0"/>
        <w:jc w:val="left"/>
        <w:rPr>
          <w:bCs/>
          <w:i/>
          <w:iCs/>
          <w:color w:val="0000FF"/>
          <w:lang w:val="it-IT"/>
        </w:rPr>
      </w:pPr>
      <w:r>
        <w:rPr>
          <w:bCs/>
          <w:i/>
          <w:iCs/>
          <w:color w:val="0000FF"/>
          <w:lang w:val="it-IT"/>
        </w:rPr>
        <w:t>Frodi carosello come rottura delle s</w:t>
      </w:r>
      <w:r w:rsidR="00C120C9">
        <w:rPr>
          <w:bCs/>
          <w:i/>
          <w:iCs/>
          <w:color w:val="0000FF"/>
          <w:lang w:val="it-IT"/>
        </w:rPr>
        <w:t xml:space="preserve">immetrie </w:t>
      </w:r>
    </w:p>
    <w:p w14:paraId="07204914" w14:textId="3887BA0F" w:rsidR="006F3307" w:rsidRPr="007F7EBF" w:rsidRDefault="005E6A71" w:rsidP="005E6A71">
      <w:pPr>
        <w:autoSpaceDE w:val="0"/>
        <w:autoSpaceDN w:val="0"/>
        <w:adjustRightInd w:val="0"/>
        <w:rPr>
          <w:bCs/>
          <w:i/>
          <w:iCs/>
          <w:color w:val="0000FF"/>
        </w:rPr>
      </w:pPr>
      <w:r>
        <w:rPr>
          <w:sz w:val="22"/>
          <w:szCs w:val="22"/>
        </w:rPr>
        <w:t>Attraverso la “non imponibilità” delle  operazioni intracomunitarie , operatori “non strutturati” possono acquisire grandi quantità di merci non gravate di IVA, rivendendole poi con IVA ad operatori strutturati (ad esempio grande distribuzione) consentendo loro la detrazione, ma senza versare l’imposta; si riduce così fortemente l’incidenza economica dell’IVA, con un danno alla concorrenza (par.3.8), che ha per molto tempo turbato mercati importanti, come quello delle apparecchiature elettroniche (</w:t>
      </w:r>
      <w:r>
        <w:rPr>
          <w:rStyle w:val="Rimandonotaapidipagina"/>
          <w:sz w:val="22"/>
          <w:szCs w:val="22"/>
        </w:rPr>
        <w:footnoteReference w:id="1016"/>
      </w:r>
      <w:r>
        <w:rPr>
          <w:sz w:val="22"/>
          <w:szCs w:val="22"/>
        </w:rPr>
        <w:t>).</w:t>
      </w:r>
      <w:r w:rsidRPr="007F7EBF">
        <w:rPr>
          <w:sz w:val="22"/>
          <w:szCs w:val="22"/>
        </w:rPr>
        <w:t xml:space="preserve"> </w:t>
      </w:r>
      <w:r w:rsidR="00C9524E">
        <w:rPr>
          <w:sz w:val="22"/>
          <w:szCs w:val="22"/>
        </w:rPr>
        <w:t>L’</w:t>
      </w:r>
      <w:r w:rsidR="008B0483">
        <w:rPr>
          <w:sz w:val="22"/>
          <w:szCs w:val="22"/>
        </w:rPr>
        <w:t xml:space="preserve">acquirente non è </w:t>
      </w:r>
      <w:r>
        <w:rPr>
          <w:sz w:val="22"/>
          <w:szCs w:val="22"/>
        </w:rPr>
        <w:t xml:space="preserve">infatti </w:t>
      </w:r>
      <w:r w:rsidR="008B0483">
        <w:rPr>
          <w:sz w:val="22"/>
          <w:szCs w:val="22"/>
        </w:rPr>
        <w:t>in grado di controllare, anche volendo</w:t>
      </w:r>
      <w:r w:rsidR="00C9524E">
        <w:rPr>
          <w:sz w:val="22"/>
          <w:szCs w:val="22"/>
        </w:rPr>
        <w:t>, il versamento dell’IVA da parte del proprio fornitore</w:t>
      </w:r>
      <w:r w:rsidR="008B0483">
        <w:rPr>
          <w:sz w:val="22"/>
          <w:szCs w:val="22"/>
        </w:rPr>
        <w:t xml:space="preserve"> (</w:t>
      </w:r>
      <w:r w:rsidR="008B0483">
        <w:rPr>
          <w:rStyle w:val="Rimandonotaapidipagina"/>
          <w:sz w:val="22"/>
          <w:szCs w:val="22"/>
        </w:rPr>
        <w:footnoteReference w:id="1017"/>
      </w:r>
      <w:r w:rsidR="008B0483">
        <w:rPr>
          <w:sz w:val="22"/>
          <w:szCs w:val="22"/>
        </w:rPr>
        <w:t xml:space="preserve">). </w:t>
      </w:r>
      <w:r>
        <w:rPr>
          <w:sz w:val="22"/>
          <w:szCs w:val="22"/>
        </w:rPr>
        <w:t>U</w:t>
      </w:r>
      <w:r w:rsidR="006F3307" w:rsidRPr="007F7EBF">
        <w:rPr>
          <w:sz w:val="22"/>
          <w:szCs w:val="22"/>
        </w:rPr>
        <w:t>na sua connivenza</w:t>
      </w:r>
      <w:r>
        <w:rPr>
          <w:sz w:val="22"/>
          <w:szCs w:val="22"/>
        </w:rPr>
        <w:t xml:space="preserve"> </w:t>
      </w:r>
      <w:r w:rsidR="00C9524E">
        <w:rPr>
          <w:sz w:val="22"/>
          <w:szCs w:val="22"/>
        </w:rPr>
        <w:t>è</w:t>
      </w:r>
      <w:r w:rsidR="008B0483">
        <w:rPr>
          <w:sz w:val="22"/>
          <w:szCs w:val="22"/>
        </w:rPr>
        <w:t xml:space="preserve"> </w:t>
      </w:r>
      <w:r w:rsidR="006F3307" w:rsidRPr="007F7EBF">
        <w:rPr>
          <w:bCs/>
          <w:sz w:val="22"/>
          <w:szCs w:val="22"/>
        </w:rPr>
        <w:t xml:space="preserve">presumibile </w:t>
      </w:r>
      <w:r w:rsidR="006F3307" w:rsidRPr="007F7EBF">
        <w:rPr>
          <w:sz w:val="22"/>
          <w:szCs w:val="22"/>
        </w:rPr>
        <w:t xml:space="preserve">quando l’acquisto avviene a un prezzo </w:t>
      </w:r>
      <w:r w:rsidR="006F3307" w:rsidRPr="007F7EBF">
        <w:rPr>
          <w:bCs/>
          <w:sz w:val="22"/>
          <w:szCs w:val="22"/>
        </w:rPr>
        <w:t xml:space="preserve">inferiore </w:t>
      </w:r>
      <w:r w:rsidR="006F3307" w:rsidRPr="007F7EBF">
        <w:rPr>
          <w:sz w:val="22"/>
          <w:szCs w:val="22"/>
        </w:rPr>
        <w:t>a quello corrente, nel qual caso l’unica spiegazione del comportamento del venditore è l’intenzione di intascare l’IVA</w:t>
      </w:r>
      <w:r w:rsidR="00C9524E">
        <w:rPr>
          <w:sz w:val="22"/>
          <w:szCs w:val="22"/>
        </w:rPr>
        <w:t>(</w:t>
      </w:r>
      <w:r w:rsidR="006F3307" w:rsidRPr="007F7EBF">
        <w:rPr>
          <w:rStyle w:val="Rimandonotaapidipagina"/>
          <w:sz w:val="22"/>
          <w:szCs w:val="22"/>
        </w:rPr>
        <w:footnoteReference w:id="1018"/>
      </w:r>
      <w:r w:rsidR="00C9524E">
        <w:rPr>
          <w:sz w:val="22"/>
          <w:szCs w:val="22"/>
        </w:rPr>
        <w:t>)</w:t>
      </w:r>
      <w:r w:rsidR="006F3307" w:rsidRPr="007F7EBF">
        <w:rPr>
          <w:sz w:val="22"/>
          <w:szCs w:val="22"/>
        </w:rPr>
        <w:t xml:space="preserve">. </w:t>
      </w:r>
    </w:p>
    <w:p w14:paraId="1D38E2A4" w14:textId="53889313" w:rsidR="009C1A61" w:rsidRPr="007F7EBF" w:rsidRDefault="00FF4171" w:rsidP="009C1A61">
      <w:pPr>
        <w:autoSpaceDE w:val="0"/>
        <w:autoSpaceDN w:val="0"/>
        <w:adjustRightInd w:val="0"/>
        <w:rPr>
          <w:sz w:val="22"/>
          <w:szCs w:val="22"/>
        </w:rPr>
      </w:pPr>
      <w:r>
        <w:rPr>
          <w:sz w:val="22"/>
          <w:szCs w:val="22"/>
        </w:rPr>
        <w:lastRenderedPageBreak/>
        <w:t xml:space="preserve">Per contrastare queste frodi </w:t>
      </w:r>
      <w:r w:rsidR="00602A47">
        <w:rPr>
          <w:sz w:val="22"/>
          <w:szCs w:val="22"/>
        </w:rPr>
        <w:t>(</w:t>
      </w:r>
      <w:r w:rsidR="00602A47">
        <w:rPr>
          <w:rStyle w:val="Rimandonotaapidipagina"/>
          <w:sz w:val="22"/>
          <w:szCs w:val="22"/>
        </w:rPr>
        <w:footnoteReference w:id="1019"/>
      </w:r>
      <w:r w:rsidR="00602A47">
        <w:rPr>
          <w:sz w:val="22"/>
          <w:szCs w:val="22"/>
        </w:rPr>
        <w:t xml:space="preserve">) </w:t>
      </w:r>
      <w:r>
        <w:rPr>
          <w:sz w:val="22"/>
          <w:szCs w:val="22"/>
        </w:rPr>
        <w:t xml:space="preserve">si è esteso il criterio della “non imponibilità” ai rapporti interni di molti settori economici, come appunto le apparecchiature elettroniche, ed altri dove era frequente il mancato versamento dell’IVA da parte dei fornitori di aziende strutturate, come ad esempio molti subappalti in edilizia. </w:t>
      </w:r>
      <w:r w:rsidR="00602A47">
        <w:rPr>
          <w:sz w:val="22"/>
          <w:szCs w:val="22"/>
        </w:rPr>
        <w:t xml:space="preserve">La detrazione resta, anche in questi settori, per le operazioni </w:t>
      </w:r>
      <w:r w:rsidR="00602A47" w:rsidRPr="007F7EBF">
        <w:rPr>
          <w:sz w:val="22"/>
          <w:szCs w:val="22"/>
        </w:rPr>
        <w:t xml:space="preserve">“al dettaglio”, dove l’IVA </w:t>
      </w:r>
      <w:r w:rsidR="00602A47">
        <w:rPr>
          <w:sz w:val="22"/>
          <w:szCs w:val="22"/>
        </w:rPr>
        <w:t>è</w:t>
      </w:r>
      <w:r w:rsidR="00602A47" w:rsidRPr="007F7EBF">
        <w:rPr>
          <w:sz w:val="22"/>
          <w:szCs w:val="22"/>
        </w:rPr>
        <w:t xml:space="preserve"> applicata “in automatico” </w:t>
      </w:r>
      <w:r w:rsidR="00602A47">
        <w:rPr>
          <w:sz w:val="22"/>
          <w:szCs w:val="22"/>
        </w:rPr>
        <w:t>a</w:t>
      </w:r>
      <w:r w:rsidR="00602A47" w:rsidRPr="007F7EBF">
        <w:rPr>
          <w:sz w:val="22"/>
          <w:szCs w:val="22"/>
        </w:rPr>
        <w:t xml:space="preserve">gli acquisti di piccolo importo, </w:t>
      </w:r>
      <w:r w:rsidR="00602A47">
        <w:rPr>
          <w:sz w:val="22"/>
          <w:szCs w:val="22"/>
        </w:rPr>
        <w:t xml:space="preserve">come quelli di un computer o di una stampante. </w:t>
      </w:r>
      <w:r w:rsidR="005E6A71">
        <w:rPr>
          <w:sz w:val="22"/>
          <w:szCs w:val="22"/>
        </w:rPr>
        <w:t xml:space="preserve">L’esito dell’estensione della “non imponibilità” è la messa in sicurezza del gettito quando gli operatori al consumo finale sono affidabili. Quando essi però non lo sono, il sistema della non imponibilità impedisce </w:t>
      </w:r>
      <w:r w:rsidR="00D364D4">
        <w:rPr>
          <w:sz w:val="22"/>
          <w:szCs w:val="22"/>
        </w:rPr>
        <w:t xml:space="preserve">di valorizzare il contributo di operatori affidabili nelle fasi precedenti a quella del rapporto col consumo. </w:t>
      </w:r>
      <w:r w:rsidR="005E6A71">
        <w:rPr>
          <w:sz w:val="22"/>
          <w:szCs w:val="22"/>
        </w:rPr>
        <w:t xml:space="preserve"> </w:t>
      </w:r>
    </w:p>
    <w:p w14:paraId="2A5B67F3" w14:textId="77777777" w:rsidR="009C1A61" w:rsidRPr="007F7EBF" w:rsidRDefault="009C1A61" w:rsidP="009C1A61">
      <w:pPr>
        <w:pStyle w:val="tit23"/>
        <w:ind w:left="6464" w:right="-1361" w:firstLine="0"/>
        <w:jc w:val="left"/>
        <w:rPr>
          <w:bCs/>
          <w:i/>
          <w:iCs/>
          <w:color w:val="0000FF"/>
          <w:lang w:val="it-IT"/>
        </w:rPr>
      </w:pPr>
      <w:r>
        <w:rPr>
          <w:bCs/>
          <w:i/>
          <w:iCs/>
          <w:color w:val="0000FF"/>
          <w:lang w:val="it-IT"/>
        </w:rPr>
        <w:t>Interrogativi sull’efficienza dell’IVA per tassare i consumi</w:t>
      </w:r>
    </w:p>
    <w:p w14:paraId="12F6B2DF" w14:textId="397F225C" w:rsidR="009C1A61" w:rsidRPr="007F7EBF" w:rsidRDefault="009C1A61" w:rsidP="00C9524E">
      <w:pPr>
        <w:autoSpaceDE w:val="0"/>
        <w:autoSpaceDN w:val="0"/>
        <w:adjustRightInd w:val="0"/>
        <w:rPr>
          <w:bCs/>
          <w:i/>
          <w:iCs/>
          <w:color w:val="0000FF"/>
        </w:rPr>
      </w:pPr>
      <w:r>
        <w:rPr>
          <w:sz w:val="22"/>
          <w:szCs w:val="22"/>
        </w:rPr>
        <w:t xml:space="preserve">Visto il radicamento dell’IVA, come modello, nonostante queste inefficienze, accenniamo appena a modelli alternativi di specificazione contabile del consumo, come la “sales tax”; essa, invece di seguire tutti i passaggi di beni nella filiera “produttiva-distributiva” parte dal controllo del commercio e dei servizi “al dettaglio”, cioè i luoghi di consumo finale, come supermercati, ristoranti, alberghi, linee di trasporto, luoghi di intrattenimento etc.. Essa colpisce quindi solo prestazioni “al dettaglio”, tendenzialmente i “consumi privati”, mentre la tassazione dei consumi pubblici viene eliminata in quanto inutile “partita di giro”, dove lo stato tassa se stesso. Insomma, si tratterebbe di una “imposta sui consumi” che parte dai consumi, e di cui è concepibile la detrazione, come oggi avviene per l’IVA, quando questi piccoli acquisti sono svolti in attività a loro volta produttive. Le forniture su “larga scala”, in quando “business to business” per definizione sarebbero escluse da Sales tax; quest’ultima, in ultima analisi, prende atto pragmaticamente che un’imposta sui consumi è gestibile solo a patto di avere luoghi di </w:t>
      </w:r>
      <w:r>
        <w:rPr>
          <w:sz w:val="22"/>
          <w:szCs w:val="22"/>
        </w:rPr>
        <w:lastRenderedPageBreak/>
        <w:t>consumo fiscalmente affidabili o controllabili, senza accanirsi dove queste condizioni mancano.</w:t>
      </w:r>
    </w:p>
    <w:p w14:paraId="4C5C215C" w14:textId="77777777" w:rsidR="00C120C9" w:rsidRPr="007F7EBF" w:rsidRDefault="00C120C9" w:rsidP="00FF4171">
      <w:pPr>
        <w:autoSpaceDE w:val="0"/>
        <w:autoSpaceDN w:val="0"/>
        <w:adjustRightInd w:val="0"/>
        <w:rPr>
          <w:bCs/>
          <w:i/>
          <w:iCs/>
          <w:color w:val="0000FF"/>
        </w:rPr>
      </w:pPr>
    </w:p>
    <w:p w14:paraId="4ADE0BE1" w14:textId="18087107" w:rsidR="005E3401" w:rsidRPr="007F7EBF" w:rsidRDefault="006342C5" w:rsidP="00A57D66">
      <w:pPr>
        <w:pStyle w:val="Titolo3"/>
        <w:rPr>
          <w:sz w:val="22"/>
          <w:szCs w:val="22"/>
        </w:rPr>
      </w:pPr>
      <w:bookmarkStart w:id="102" w:name="_Toc63365013"/>
      <w:r w:rsidRPr="007F7EBF">
        <w:rPr>
          <w:rFonts w:ascii="Times New Roman" w:hAnsi="Times New Roman"/>
          <w:sz w:val="22"/>
          <w:szCs w:val="22"/>
        </w:rPr>
        <w:t>7.4. L’IVA nei rapporti internazionali e intracomunitari</w:t>
      </w:r>
      <w:bookmarkEnd w:id="102"/>
      <w:r w:rsidRPr="007F7EBF">
        <w:rPr>
          <w:rFonts w:ascii="Times New Roman" w:hAnsi="Times New Roman"/>
          <w:sz w:val="22"/>
          <w:szCs w:val="22"/>
        </w:rPr>
        <w:t xml:space="preserve"> </w:t>
      </w:r>
    </w:p>
    <w:p w14:paraId="437AA40F" w14:textId="77777777" w:rsidR="005E3401" w:rsidRPr="007F7EBF" w:rsidRDefault="005E3401" w:rsidP="005E3401">
      <w:pPr>
        <w:pStyle w:val="tit23"/>
        <w:ind w:left="6464" w:right="-1361" w:firstLine="0"/>
        <w:jc w:val="left"/>
        <w:rPr>
          <w:bCs/>
          <w:i/>
          <w:iCs/>
          <w:color w:val="0000FF"/>
          <w:lang w:val="it-IT"/>
        </w:rPr>
      </w:pPr>
      <w:r w:rsidRPr="007F7EBF">
        <w:rPr>
          <w:bCs/>
          <w:i/>
          <w:iCs/>
          <w:color w:val="0000FF"/>
          <w:lang w:val="it-IT"/>
        </w:rPr>
        <w:t>Sistema delle dogane e iva nei rapporti extra UE</w:t>
      </w:r>
    </w:p>
    <w:p w14:paraId="52F4ADD0" w14:textId="5ADEFD57" w:rsidR="00EE009C" w:rsidRPr="007F7EBF" w:rsidRDefault="005E3401" w:rsidP="002A2884">
      <w:pPr>
        <w:rPr>
          <w:sz w:val="22"/>
          <w:szCs w:val="22"/>
        </w:rPr>
      </w:pPr>
      <w:r w:rsidRPr="007F7EBF">
        <w:rPr>
          <w:sz w:val="22"/>
          <w:szCs w:val="22"/>
        </w:rPr>
        <w:t>I rapporti con clienti e fornitori estranei all'unione europea  sono facilmente inseribili nel meccanismo dell'IVA grazie al sistema delle dogane (</w:t>
      </w:r>
      <w:r w:rsidR="00D364D4">
        <w:rPr>
          <w:sz w:val="22"/>
          <w:szCs w:val="22"/>
        </w:rPr>
        <w:t>par.10.7</w:t>
      </w:r>
      <w:r w:rsidRPr="007F7EBF">
        <w:rPr>
          <w:sz w:val="22"/>
          <w:szCs w:val="22"/>
        </w:rPr>
        <w:t>)</w:t>
      </w:r>
      <w:r w:rsidR="00D97700">
        <w:rPr>
          <w:sz w:val="22"/>
          <w:szCs w:val="22"/>
        </w:rPr>
        <w:t>; e</w:t>
      </w:r>
      <w:r w:rsidR="00D97700" w:rsidRPr="007F7EBF">
        <w:t>ss</w:t>
      </w:r>
      <w:r w:rsidR="00D97700">
        <w:t>e</w:t>
      </w:r>
      <w:r w:rsidR="00D97700" w:rsidRPr="007F7EBF">
        <w:t xml:space="preserve"> consent</w:t>
      </w:r>
      <w:r w:rsidR="00D97700">
        <w:t>ono</w:t>
      </w:r>
      <w:r w:rsidR="00D97700" w:rsidRPr="007F7EBF">
        <w:t xml:space="preserve"> di certificare le esportazioni e di tassare con IVA le importazioni</w:t>
      </w:r>
      <w:r w:rsidR="00D97700">
        <w:t>,</w:t>
      </w:r>
      <w:r w:rsidR="00D97700" w:rsidRPr="007F7EBF">
        <w:t xml:space="preserve"> avviando il meccanismo di detrazione/addebito indicato al paragrafo precedente. </w:t>
      </w:r>
      <w:r w:rsidRPr="007F7EBF">
        <w:rPr>
          <w:sz w:val="22"/>
          <w:szCs w:val="22"/>
        </w:rPr>
        <w:t xml:space="preserve">L'esportazione dei beni verso paesi extracomunitari è certificata dalla dogana  italiana di uscita  ed ovviamente non sconta alcun tributo. </w:t>
      </w:r>
      <w:r w:rsidR="00EC1E28" w:rsidRPr="007F7EBF">
        <w:rPr>
          <w:sz w:val="22"/>
          <w:szCs w:val="22"/>
        </w:rPr>
        <w:t>Al contrario le importazioni sono tassate con IVA in dogana, e l'imposta in questo modo pagata sostituisce quella mancante, per ovvi motivi, nella fattura dal fornitore estero</w:t>
      </w:r>
      <w:r w:rsidR="0006016D">
        <w:rPr>
          <w:sz w:val="22"/>
          <w:szCs w:val="22"/>
        </w:rPr>
        <w:t xml:space="preserve"> </w:t>
      </w:r>
      <w:r w:rsidR="00D364D4">
        <w:rPr>
          <w:sz w:val="22"/>
          <w:szCs w:val="22"/>
        </w:rPr>
        <w:t>(</w:t>
      </w:r>
      <w:r w:rsidR="00EC1E28" w:rsidRPr="007F7EBF">
        <w:rPr>
          <w:rStyle w:val="Rimandonotaapidipagina"/>
          <w:sz w:val="22"/>
          <w:szCs w:val="22"/>
        </w:rPr>
        <w:footnoteReference w:id="1020"/>
      </w:r>
      <w:r w:rsidR="00D364D4">
        <w:rPr>
          <w:sz w:val="22"/>
          <w:szCs w:val="22"/>
        </w:rPr>
        <w:t>)</w:t>
      </w:r>
      <w:r w:rsidR="00EC1E28" w:rsidRPr="007F7EBF">
        <w:rPr>
          <w:sz w:val="22"/>
          <w:szCs w:val="22"/>
        </w:rPr>
        <w:t>.</w:t>
      </w:r>
    </w:p>
    <w:p w14:paraId="0FBCE0A7" w14:textId="77777777" w:rsidR="00EE009C" w:rsidRPr="007F7EBF" w:rsidRDefault="005E3401" w:rsidP="00EE009C">
      <w:pPr>
        <w:pStyle w:val="tit23"/>
        <w:ind w:left="6464" w:right="-1361" w:firstLine="0"/>
        <w:jc w:val="left"/>
        <w:rPr>
          <w:bCs/>
          <w:i/>
          <w:iCs/>
          <w:color w:val="0000FF"/>
          <w:lang w:val="it-IT"/>
        </w:rPr>
      </w:pPr>
      <w:r w:rsidRPr="007F7EBF">
        <w:rPr>
          <w:bCs/>
          <w:i/>
          <w:iCs/>
          <w:color w:val="0000FF"/>
          <w:lang w:val="it-IT"/>
        </w:rPr>
        <w:t>Estraneità delle esportazioni al valore aggiunto tipo consumo</w:t>
      </w:r>
    </w:p>
    <w:p w14:paraId="5C032335" w14:textId="3DF42790" w:rsidR="00EC1E28" w:rsidRPr="007F7EBF" w:rsidRDefault="005E3401" w:rsidP="00EC1E28">
      <w:pPr>
        <w:rPr>
          <w:sz w:val="22"/>
          <w:szCs w:val="22"/>
        </w:rPr>
      </w:pPr>
      <w:r w:rsidRPr="007F7EBF">
        <w:rPr>
          <w:sz w:val="22"/>
          <w:szCs w:val="22"/>
        </w:rPr>
        <w:t xml:space="preserve">Le esportazioni verso paesi extracomunitari </w:t>
      </w:r>
      <w:r w:rsidR="00EC1E28" w:rsidRPr="007F7EBF">
        <w:rPr>
          <w:sz w:val="22"/>
          <w:szCs w:val="22"/>
        </w:rPr>
        <w:t>sono</w:t>
      </w:r>
      <w:r w:rsidR="006342C5" w:rsidRPr="007F7EBF">
        <w:rPr>
          <w:sz w:val="22"/>
          <w:szCs w:val="22"/>
        </w:rPr>
        <w:t xml:space="preserve"> </w:t>
      </w:r>
      <w:r w:rsidR="00EC1E28" w:rsidRPr="007F7EBF">
        <w:rPr>
          <w:sz w:val="22"/>
          <w:szCs w:val="22"/>
        </w:rPr>
        <w:t>«non imponibili</w:t>
      </w:r>
      <w:r w:rsidR="006342C5" w:rsidRPr="007F7EBF">
        <w:rPr>
          <w:sz w:val="22"/>
          <w:szCs w:val="22"/>
        </w:rPr>
        <w:t xml:space="preserve">» IVA, </w:t>
      </w:r>
      <w:r w:rsidR="008E2BAD" w:rsidRPr="007F7EBF">
        <w:rPr>
          <w:sz w:val="22"/>
          <w:szCs w:val="22"/>
        </w:rPr>
        <w:t xml:space="preserve">con </w:t>
      </w:r>
      <w:r w:rsidR="006342C5" w:rsidRPr="007F7EBF">
        <w:rPr>
          <w:sz w:val="22"/>
          <w:szCs w:val="22"/>
        </w:rPr>
        <w:t>detrazione dell’imposta sui correlativi acquisti,</w:t>
      </w:r>
      <w:r w:rsidR="000B3BBC" w:rsidRPr="007F7EBF">
        <w:rPr>
          <w:sz w:val="22"/>
          <w:szCs w:val="22"/>
        </w:rPr>
        <w:t xml:space="preserve"> </w:t>
      </w:r>
      <w:r w:rsidR="008E2BAD" w:rsidRPr="007F7EBF">
        <w:rPr>
          <w:sz w:val="22"/>
          <w:szCs w:val="22"/>
        </w:rPr>
        <w:t xml:space="preserve">ed </w:t>
      </w:r>
      <w:r w:rsidR="006342C5" w:rsidRPr="007F7EBF">
        <w:rPr>
          <w:sz w:val="22"/>
          <w:szCs w:val="22"/>
        </w:rPr>
        <w:t xml:space="preserve"> eventuale rimborso delle eccedenze, </w:t>
      </w:r>
      <w:r w:rsidR="00EC1E28" w:rsidRPr="007F7EBF">
        <w:rPr>
          <w:sz w:val="22"/>
          <w:szCs w:val="22"/>
        </w:rPr>
        <w:t xml:space="preserve">per via dei </w:t>
      </w:r>
      <w:r w:rsidR="006342C5" w:rsidRPr="007F7EBF">
        <w:rPr>
          <w:sz w:val="22"/>
          <w:szCs w:val="22"/>
        </w:rPr>
        <w:t>principi generali</w:t>
      </w:r>
      <w:r w:rsidR="008E2BAD" w:rsidRPr="007F7EBF">
        <w:rPr>
          <w:sz w:val="22"/>
          <w:szCs w:val="22"/>
        </w:rPr>
        <w:t xml:space="preserve"> delle imposte sui consumi</w:t>
      </w:r>
      <w:r w:rsidR="00EC1E28" w:rsidRPr="007F7EBF">
        <w:rPr>
          <w:sz w:val="22"/>
          <w:szCs w:val="22"/>
        </w:rPr>
        <w:t xml:space="preserve">. Queste ultime </w:t>
      </w:r>
      <w:r w:rsidR="008E2BAD" w:rsidRPr="007F7EBF">
        <w:rPr>
          <w:sz w:val="22"/>
          <w:szCs w:val="22"/>
        </w:rPr>
        <w:t xml:space="preserve">seguono infatti l’elementare </w:t>
      </w:r>
      <w:r w:rsidR="008E2BAD" w:rsidRPr="007F7EBF">
        <w:rPr>
          <w:bCs/>
          <w:sz w:val="22"/>
          <w:szCs w:val="22"/>
        </w:rPr>
        <w:t xml:space="preserve">criterio di territorialità </w:t>
      </w:r>
      <w:r w:rsidR="008E2BAD" w:rsidRPr="007F7EBF">
        <w:rPr>
          <w:sz w:val="22"/>
          <w:szCs w:val="22"/>
        </w:rPr>
        <w:t xml:space="preserve">del paese del </w:t>
      </w:r>
      <w:r w:rsidR="008E2BAD" w:rsidRPr="007F7EBF">
        <w:rPr>
          <w:bCs/>
          <w:sz w:val="22"/>
          <w:szCs w:val="22"/>
        </w:rPr>
        <w:t xml:space="preserve">compratore-consumatore </w:t>
      </w:r>
      <w:r w:rsidR="008E2BAD" w:rsidRPr="007F7EBF">
        <w:rPr>
          <w:sz w:val="22"/>
          <w:szCs w:val="22"/>
        </w:rPr>
        <w:t xml:space="preserve">finale. Se il consumo avviene all'estero un'imposta sui consumi  in Italia non è dovuta , a prescindere </w:t>
      </w:r>
      <w:r w:rsidR="000B3BBC" w:rsidRPr="007F7EBF">
        <w:rPr>
          <w:sz w:val="22"/>
          <w:szCs w:val="22"/>
        </w:rPr>
        <w:t xml:space="preserve"> </w:t>
      </w:r>
      <w:r w:rsidR="008E2BAD" w:rsidRPr="007F7EBF">
        <w:rPr>
          <w:sz w:val="22"/>
          <w:szCs w:val="22"/>
        </w:rPr>
        <w:t xml:space="preserve">dall'esistenza o meno di un'imposta sui consumi nel paese in cui i beni sono destinati, che riguarda solo lo stato estero ed i suoi contribuenti, e non interessa al paese del fornitore. </w:t>
      </w:r>
    </w:p>
    <w:p w14:paraId="7F6A9F76" w14:textId="77777777" w:rsidR="00EC1E28" w:rsidRPr="007F7EBF" w:rsidRDefault="00EC1E28" w:rsidP="00EC1E28">
      <w:pPr>
        <w:pStyle w:val="tit23"/>
        <w:ind w:left="6464" w:right="-1361" w:firstLine="0"/>
        <w:jc w:val="left"/>
        <w:rPr>
          <w:bCs/>
          <w:i/>
          <w:iCs/>
          <w:color w:val="0000FF"/>
          <w:lang w:val="it-IT"/>
        </w:rPr>
      </w:pPr>
      <w:r w:rsidRPr="007F7EBF">
        <w:rPr>
          <w:bCs/>
          <w:i/>
          <w:iCs/>
          <w:color w:val="0000FF"/>
          <w:lang w:val="it-IT"/>
        </w:rPr>
        <w:t>Possibilità di acquistare senza IVA</w:t>
      </w:r>
    </w:p>
    <w:p w14:paraId="387471B2" w14:textId="72B22519" w:rsidR="00EC1E28" w:rsidRPr="007F7EBF" w:rsidRDefault="00BD72A3" w:rsidP="00EC1E28">
      <w:pPr>
        <w:autoSpaceDE w:val="0"/>
        <w:autoSpaceDN w:val="0"/>
        <w:adjustRightInd w:val="0"/>
        <w:rPr>
          <w:sz w:val="22"/>
          <w:szCs w:val="22"/>
        </w:rPr>
      </w:pPr>
      <w:r>
        <w:rPr>
          <w:sz w:val="22"/>
          <w:szCs w:val="22"/>
        </w:rPr>
        <w:lastRenderedPageBreak/>
        <w:t>E’ quindi del tutto conforme alla logica della tassazione sui consumi che, nella misura in cui un operatore economico acquista “con IVA detraibile” e vende all’estero “senza IVA” le detrazioni eccedano l’IVA a debito sulle vendite</w:t>
      </w:r>
      <w:r w:rsidR="0096623E">
        <w:rPr>
          <w:sz w:val="22"/>
          <w:szCs w:val="22"/>
        </w:rPr>
        <w:t>. E</w:t>
      </w:r>
      <w:r>
        <w:rPr>
          <w:sz w:val="22"/>
          <w:szCs w:val="22"/>
        </w:rPr>
        <w:t>merg</w:t>
      </w:r>
      <w:r w:rsidR="0096623E">
        <w:rPr>
          <w:sz w:val="22"/>
          <w:szCs w:val="22"/>
        </w:rPr>
        <w:t xml:space="preserve">ono così </w:t>
      </w:r>
      <w:r>
        <w:rPr>
          <w:sz w:val="22"/>
          <w:szCs w:val="22"/>
        </w:rPr>
        <w:t>credit</w:t>
      </w:r>
      <w:r w:rsidR="0096623E">
        <w:rPr>
          <w:sz w:val="22"/>
          <w:szCs w:val="22"/>
        </w:rPr>
        <w:t>i</w:t>
      </w:r>
      <w:r>
        <w:rPr>
          <w:sz w:val="22"/>
          <w:szCs w:val="22"/>
        </w:rPr>
        <w:t xml:space="preserve"> IVA</w:t>
      </w:r>
      <w:r w:rsidR="0096623E">
        <w:rPr>
          <w:sz w:val="22"/>
          <w:szCs w:val="22"/>
        </w:rPr>
        <w:t xml:space="preserve">, da richiedere a rimborso o usare in compensazione (par.3.4). </w:t>
      </w:r>
      <w:r w:rsidR="006342C5" w:rsidRPr="007F7EBF">
        <w:rPr>
          <w:sz w:val="22"/>
          <w:szCs w:val="22"/>
        </w:rPr>
        <w:t xml:space="preserve">Per evitare </w:t>
      </w:r>
      <w:r w:rsidR="0096623E">
        <w:rPr>
          <w:sz w:val="22"/>
          <w:szCs w:val="22"/>
        </w:rPr>
        <w:t>tali crediti</w:t>
      </w:r>
      <w:r w:rsidR="006342C5" w:rsidRPr="007F7EBF">
        <w:rPr>
          <w:sz w:val="22"/>
          <w:szCs w:val="22"/>
        </w:rPr>
        <w:t xml:space="preserve"> è consentito</w:t>
      </w:r>
      <w:r>
        <w:rPr>
          <w:sz w:val="22"/>
          <w:szCs w:val="22"/>
        </w:rPr>
        <w:t>, dichiarandolo al fornitore, di</w:t>
      </w:r>
      <w:r w:rsidR="006342C5" w:rsidRPr="007F7EBF">
        <w:rPr>
          <w:sz w:val="22"/>
          <w:szCs w:val="22"/>
        </w:rPr>
        <w:t xml:space="preserve"> acquistare beni e servizi «senza applicazione dell’imposta»</w:t>
      </w:r>
      <w:r w:rsidR="000B3BBC" w:rsidRPr="007F7EBF">
        <w:rPr>
          <w:sz w:val="22"/>
          <w:szCs w:val="22"/>
        </w:rPr>
        <w:t xml:space="preserve"> </w:t>
      </w:r>
      <w:r w:rsidR="006342C5" w:rsidRPr="007F7EBF">
        <w:rPr>
          <w:sz w:val="22"/>
          <w:szCs w:val="22"/>
        </w:rPr>
        <w:t>fino a concorrenza delle esportazioni dirette dell’anno precedente.</w:t>
      </w:r>
      <w:r w:rsidR="00EC1E28" w:rsidRPr="007F7EBF">
        <w:rPr>
          <w:sz w:val="22"/>
          <w:szCs w:val="22"/>
        </w:rPr>
        <w:t xml:space="preserve"> </w:t>
      </w:r>
      <w:r>
        <w:rPr>
          <w:sz w:val="22"/>
          <w:szCs w:val="22"/>
        </w:rPr>
        <w:t>N</w:t>
      </w:r>
      <w:r w:rsidR="00D97700" w:rsidRPr="007F7EBF">
        <w:rPr>
          <w:sz w:val="22"/>
          <w:szCs w:val="22"/>
        </w:rPr>
        <w:t>on essendo</w:t>
      </w:r>
      <w:r>
        <w:rPr>
          <w:sz w:val="22"/>
          <w:szCs w:val="22"/>
        </w:rPr>
        <w:t xml:space="preserve"> </w:t>
      </w:r>
      <w:r w:rsidR="00D97700" w:rsidRPr="007F7EBF">
        <w:rPr>
          <w:sz w:val="22"/>
          <w:szCs w:val="22"/>
        </w:rPr>
        <w:t>possibil</w:t>
      </w:r>
      <w:r>
        <w:rPr>
          <w:sz w:val="22"/>
          <w:szCs w:val="22"/>
        </w:rPr>
        <w:t>e</w:t>
      </w:r>
      <w:r w:rsidR="00D97700" w:rsidRPr="007F7EBF">
        <w:rPr>
          <w:sz w:val="22"/>
          <w:szCs w:val="22"/>
        </w:rPr>
        <w:t xml:space="preserve"> trasformare il fornitore in investigatore sulla correttezza della posizione globale IVA del proprio cliente, </w:t>
      </w:r>
      <w:r>
        <w:rPr>
          <w:sz w:val="22"/>
          <w:szCs w:val="22"/>
        </w:rPr>
        <w:t>questi acquisti servono</w:t>
      </w:r>
      <w:r w:rsidR="0096623E">
        <w:rPr>
          <w:sz w:val="22"/>
          <w:szCs w:val="22"/>
        </w:rPr>
        <w:t xml:space="preserve"> spesso</w:t>
      </w:r>
      <w:r>
        <w:rPr>
          <w:sz w:val="22"/>
          <w:szCs w:val="22"/>
        </w:rPr>
        <w:t xml:space="preserve"> ad </w:t>
      </w:r>
      <w:r w:rsidRPr="007F7EBF">
        <w:rPr>
          <w:sz w:val="22"/>
          <w:szCs w:val="22"/>
        </w:rPr>
        <w:t>acquistare i beni senza IVA per rivenderli “in nero” sul mercato nazionale, come indicato al termine del precedente paragrafo 7.3</w:t>
      </w:r>
      <w:r w:rsidR="0096623E">
        <w:rPr>
          <w:sz w:val="22"/>
          <w:szCs w:val="22"/>
        </w:rPr>
        <w:t xml:space="preserve"> (</w:t>
      </w:r>
      <w:r w:rsidR="0096623E">
        <w:rPr>
          <w:rStyle w:val="Rimandonotaapidipagina"/>
          <w:sz w:val="22"/>
          <w:szCs w:val="22"/>
        </w:rPr>
        <w:footnoteReference w:id="1021"/>
      </w:r>
      <w:r w:rsidR="0096623E">
        <w:rPr>
          <w:sz w:val="22"/>
          <w:szCs w:val="22"/>
        </w:rPr>
        <w:t>)</w:t>
      </w:r>
      <w:r>
        <w:rPr>
          <w:sz w:val="22"/>
          <w:szCs w:val="22"/>
        </w:rPr>
        <w:t xml:space="preserve">. </w:t>
      </w:r>
    </w:p>
    <w:p w14:paraId="663A8F01" w14:textId="0380C51F" w:rsidR="00EC1E28" w:rsidRPr="007F7EBF" w:rsidRDefault="00EC1E28" w:rsidP="00EC1E28">
      <w:pPr>
        <w:pStyle w:val="tit23"/>
        <w:ind w:left="6464" w:right="-1361" w:firstLine="0"/>
        <w:jc w:val="left"/>
        <w:rPr>
          <w:bCs/>
          <w:i/>
          <w:iCs/>
          <w:color w:val="0000FF"/>
          <w:lang w:val="it-IT"/>
        </w:rPr>
      </w:pPr>
      <w:r w:rsidRPr="007F7EBF">
        <w:rPr>
          <w:bCs/>
          <w:i/>
          <w:iCs/>
          <w:color w:val="0000FF"/>
          <w:lang w:val="it-IT"/>
        </w:rPr>
        <w:t xml:space="preserve">Problemi connessi alla </w:t>
      </w:r>
      <w:r w:rsidR="0074086F">
        <w:rPr>
          <w:bCs/>
          <w:i/>
          <w:iCs/>
          <w:color w:val="0000FF"/>
          <w:lang w:val="it-IT"/>
        </w:rPr>
        <w:t xml:space="preserve">abolizione delle </w:t>
      </w:r>
      <w:r w:rsidRPr="007F7EBF">
        <w:rPr>
          <w:bCs/>
          <w:i/>
          <w:iCs/>
          <w:color w:val="0000FF"/>
          <w:lang w:val="it-IT"/>
        </w:rPr>
        <w:t>dogane interne</w:t>
      </w:r>
    </w:p>
    <w:p w14:paraId="6F8D154B" w14:textId="76520341" w:rsidR="00EC1E28" w:rsidRPr="007F7EBF" w:rsidRDefault="00D97700" w:rsidP="00EC1E28">
      <w:pPr>
        <w:autoSpaceDE w:val="0"/>
        <w:autoSpaceDN w:val="0"/>
        <w:adjustRightInd w:val="0"/>
        <w:rPr>
          <w:sz w:val="22"/>
          <w:szCs w:val="22"/>
        </w:rPr>
      </w:pPr>
      <w:r>
        <w:rPr>
          <w:sz w:val="22"/>
          <w:szCs w:val="22"/>
        </w:rPr>
        <w:t xml:space="preserve">Fino al 1993 quanto precede funzionava efficacemente anche all’interno dell’unione europea, fino a che, inseguendo le </w:t>
      </w:r>
      <w:r w:rsidR="0096623E">
        <w:rPr>
          <w:sz w:val="22"/>
          <w:szCs w:val="22"/>
        </w:rPr>
        <w:t>aspirazioni</w:t>
      </w:r>
      <w:r>
        <w:rPr>
          <w:sz w:val="22"/>
          <w:szCs w:val="22"/>
        </w:rPr>
        <w:t xml:space="preserve"> politiche di cui al par.2.6, le dogane interne all’unione furono abolite, eliminando la possibilità di applicare l’IVA in dogana e quindi di detrarla. E’ stato un passo indietro, rispetto al controllo amministrativo del territorio, che ha confermato il semplicismo “liberista” e “mercatista” dell’Unione già rilevato al par.1.1 per la moneta unica </w:t>
      </w:r>
      <w:r w:rsidR="004B004D">
        <w:rPr>
          <w:sz w:val="22"/>
          <w:szCs w:val="22"/>
        </w:rPr>
        <w:t xml:space="preserve">e al par.2.6 sui servizi pubblici essenziali. </w:t>
      </w:r>
    </w:p>
    <w:p w14:paraId="1276C8B9" w14:textId="7E8A67FD" w:rsidR="00EC1E28" w:rsidRPr="007F7EBF" w:rsidRDefault="00913BA9" w:rsidP="00EC1E28">
      <w:pPr>
        <w:pStyle w:val="tit23"/>
        <w:ind w:left="6464" w:right="-1361" w:firstLine="0"/>
        <w:jc w:val="left"/>
        <w:rPr>
          <w:bCs/>
          <w:i/>
          <w:iCs/>
          <w:color w:val="0000FF"/>
          <w:lang w:val="it-IT"/>
        </w:rPr>
      </w:pPr>
      <w:r>
        <w:rPr>
          <w:bCs/>
          <w:i/>
          <w:iCs/>
          <w:color w:val="0000FF"/>
          <w:lang w:val="it-IT"/>
        </w:rPr>
        <w:t>pagamento</w:t>
      </w:r>
      <w:r w:rsidR="00FE3FC4" w:rsidRPr="007F7EBF">
        <w:rPr>
          <w:bCs/>
          <w:i/>
          <w:iCs/>
          <w:color w:val="0000FF"/>
          <w:lang w:val="it-IT"/>
        </w:rPr>
        <w:t xml:space="preserve"> </w:t>
      </w:r>
      <w:r w:rsidR="00032674" w:rsidRPr="007F7EBF">
        <w:rPr>
          <w:bCs/>
          <w:i/>
          <w:iCs/>
          <w:color w:val="0000FF"/>
          <w:lang w:val="it-IT"/>
        </w:rPr>
        <w:t>da parte del fornitore estero</w:t>
      </w:r>
    </w:p>
    <w:p w14:paraId="71FF1907" w14:textId="23FE353E" w:rsidR="00032674" w:rsidRPr="007F7EBF" w:rsidRDefault="004B004D" w:rsidP="00032674">
      <w:pPr>
        <w:autoSpaceDE w:val="0"/>
        <w:autoSpaceDN w:val="0"/>
        <w:adjustRightInd w:val="0"/>
        <w:rPr>
          <w:sz w:val="22"/>
          <w:szCs w:val="22"/>
        </w:rPr>
      </w:pPr>
      <w:r>
        <w:rPr>
          <w:sz w:val="22"/>
          <w:szCs w:val="22"/>
        </w:rPr>
        <w:t xml:space="preserve">Questo ha reso necessari una serie di aggiustamenti, a partire dall’obbligo dei fornitori esteri di registrarsi nel paese dei consumatori per versare l’IVA sulle vendite dirette dall’estero, </w:t>
      </w:r>
      <w:r w:rsidR="00FE3FC4" w:rsidRPr="007F7EBF">
        <w:rPr>
          <w:sz w:val="22"/>
          <w:szCs w:val="22"/>
        </w:rPr>
        <w:t>al</w:t>
      </w:r>
      <w:r w:rsidR="006342C5" w:rsidRPr="007F7EBF">
        <w:rPr>
          <w:sz w:val="22"/>
          <w:szCs w:val="22"/>
        </w:rPr>
        <w:t xml:space="preserve"> di là di una modesta franchigia (</w:t>
      </w:r>
      <w:r w:rsidR="00FE3FC4" w:rsidRPr="007F7EBF">
        <w:rPr>
          <w:rStyle w:val="Rimandonotaapidipagina"/>
          <w:sz w:val="22"/>
          <w:szCs w:val="22"/>
        </w:rPr>
        <w:footnoteReference w:id="1022"/>
      </w:r>
      <w:r w:rsidR="006342C5" w:rsidRPr="007F7EBF">
        <w:rPr>
          <w:sz w:val="22"/>
          <w:szCs w:val="22"/>
        </w:rPr>
        <w:t>)</w:t>
      </w:r>
      <w:r>
        <w:rPr>
          <w:sz w:val="22"/>
          <w:szCs w:val="22"/>
        </w:rPr>
        <w:t xml:space="preserve">; </w:t>
      </w:r>
      <w:r w:rsidR="006342C5" w:rsidRPr="007F7EBF">
        <w:rPr>
          <w:sz w:val="22"/>
          <w:szCs w:val="22"/>
        </w:rPr>
        <w:t>il fornitore comunitario a consumatori finali di un altro</w:t>
      </w:r>
      <w:r w:rsidR="000B3BBC" w:rsidRPr="007F7EBF">
        <w:rPr>
          <w:sz w:val="22"/>
          <w:szCs w:val="22"/>
        </w:rPr>
        <w:t xml:space="preserve"> </w:t>
      </w:r>
      <w:r w:rsidR="006342C5" w:rsidRPr="007F7EBF">
        <w:rPr>
          <w:sz w:val="22"/>
          <w:szCs w:val="22"/>
        </w:rPr>
        <w:t xml:space="preserve">paese comunitario, è </w:t>
      </w:r>
      <w:r>
        <w:rPr>
          <w:sz w:val="22"/>
          <w:szCs w:val="22"/>
        </w:rPr>
        <w:t xml:space="preserve">insomma </w:t>
      </w:r>
      <w:r w:rsidR="006342C5" w:rsidRPr="007F7EBF">
        <w:rPr>
          <w:sz w:val="22"/>
          <w:szCs w:val="22"/>
        </w:rPr>
        <w:t xml:space="preserve">tenuto a </w:t>
      </w:r>
      <w:r>
        <w:rPr>
          <w:bCs/>
          <w:sz w:val="22"/>
          <w:szCs w:val="22"/>
        </w:rPr>
        <w:t xml:space="preserve">registrarsi e </w:t>
      </w:r>
      <w:r w:rsidR="006342C5" w:rsidRPr="007F7EBF">
        <w:rPr>
          <w:bCs/>
          <w:sz w:val="22"/>
          <w:szCs w:val="22"/>
        </w:rPr>
        <w:t>versare l’imposta</w:t>
      </w:r>
      <w:r w:rsidR="000B3BBC" w:rsidRPr="007F7EBF">
        <w:rPr>
          <w:bCs/>
          <w:sz w:val="22"/>
          <w:szCs w:val="22"/>
        </w:rPr>
        <w:t xml:space="preserve"> </w:t>
      </w:r>
      <w:r w:rsidR="006342C5" w:rsidRPr="007F7EBF">
        <w:rPr>
          <w:bCs/>
          <w:sz w:val="22"/>
          <w:szCs w:val="22"/>
        </w:rPr>
        <w:t>allo stato dove risiedono i consumatori</w:t>
      </w:r>
      <w:r>
        <w:rPr>
          <w:sz w:val="22"/>
          <w:szCs w:val="22"/>
        </w:rPr>
        <w:t>, tenendo giustamente ferma,</w:t>
      </w:r>
      <w:r w:rsidR="003E35DC" w:rsidRPr="007F7EBF">
        <w:rPr>
          <w:sz w:val="22"/>
          <w:szCs w:val="22"/>
        </w:rPr>
        <w:t xml:space="preserve"> nonostante l'abolizione delle dogane, la tassazione IVA nel paese </w:t>
      </w:r>
      <w:r w:rsidR="003E35DC" w:rsidRPr="007F7EBF">
        <w:rPr>
          <w:sz w:val="22"/>
          <w:szCs w:val="22"/>
        </w:rPr>
        <w:lastRenderedPageBreak/>
        <w:t>dove avviene il consumo</w:t>
      </w:r>
      <w:r>
        <w:t xml:space="preserve">. </w:t>
      </w:r>
      <w:r w:rsidR="0096623E">
        <w:t xml:space="preserve">Questo vale anche per le vendite via web, dove le famigerate </w:t>
      </w:r>
      <w:r w:rsidRPr="0096623E">
        <w:rPr>
          <w:i/>
        </w:rPr>
        <w:t>multinazionali del web</w:t>
      </w:r>
      <w:r w:rsidRPr="007F7EBF">
        <w:t xml:space="preserve"> </w:t>
      </w:r>
      <w:r w:rsidR="009E4BAE">
        <w:t>applicano r</w:t>
      </w:r>
      <w:r>
        <w:t>egolarmente</w:t>
      </w:r>
      <w:r w:rsidR="009E4BAE">
        <w:t xml:space="preserve"> l’IVA del paese di destinazione</w:t>
      </w:r>
      <w:r>
        <w:t xml:space="preserve"> (</w:t>
      </w:r>
      <w:r>
        <w:rPr>
          <w:rStyle w:val="Rimandonotaapidipagina"/>
        </w:rPr>
        <w:footnoteReference w:id="1023"/>
      </w:r>
      <w:r>
        <w:t>)</w:t>
      </w:r>
      <w:r w:rsidR="009E4BAE">
        <w:t xml:space="preserve">, mentre </w:t>
      </w:r>
      <w:r w:rsidR="00206D5E">
        <w:t xml:space="preserve">sarebbe da chiedersi </w:t>
      </w:r>
      <w:r w:rsidRPr="007F7EBF">
        <w:t xml:space="preserve">chi controlla entità più piccole e </w:t>
      </w:r>
      <w:r w:rsidR="00206D5E">
        <w:t xml:space="preserve">potenzialmente </w:t>
      </w:r>
      <w:r w:rsidRPr="007F7EBF">
        <w:t xml:space="preserve"> spregiudicate</w:t>
      </w:r>
      <w:r w:rsidR="00073EBC">
        <w:t xml:space="preserve"> (</w:t>
      </w:r>
      <w:r w:rsidR="003E35DC" w:rsidRPr="007F7EBF">
        <w:rPr>
          <w:rStyle w:val="Rimandonotaapidipagina"/>
          <w:sz w:val="22"/>
          <w:szCs w:val="22"/>
        </w:rPr>
        <w:footnoteReference w:id="1024"/>
      </w:r>
      <w:r w:rsidR="00073EBC">
        <w:t>)</w:t>
      </w:r>
      <w:r w:rsidR="003E35DC" w:rsidRPr="007F7EBF">
        <w:rPr>
          <w:sz w:val="22"/>
          <w:szCs w:val="22"/>
        </w:rPr>
        <w:t xml:space="preserve">. </w:t>
      </w:r>
    </w:p>
    <w:p w14:paraId="627007BE" w14:textId="12566DBE" w:rsidR="00032674" w:rsidRPr="007F7EBF" w:rsidRDefault="00032674" w:rsidP="00032674">
      <w:pPr>
        <w:pStyle w:val="tit23"/>
        <w:ind w:left="6464" w:right="-1361" w:firstLine="0"/>
        <w:jc w:val="left"/>
        <w:rPr>
          <w:bCs/>
          <w:i/>
          <w:iCs/>
          <w:color w:val="0000FF"/>
          <w:lang w:val="it-IT"/>
        </w:rPr>
      </w:pPr>
      <w:r w:rsidRPr="007F7EBF">
        <w:rPr>
          <w:bCs/>
          <w:i/>
          <w:iCs/>
          <w:color w:val="0000FF"/>
          <w:lang w:val="it-IT"/>
        </w:rPr>
        <w:t xml:space="preserve">rapporti </w:t>
      </w:r>
      <w:r w:rsidR="0074086F">
        <w:rPr>
          <w:bCs/>
          <w:i/>
          <w:iCs/>
          <w:color w:val="0000FF"/>
          <w:lang w:val="it-IT"/>
        </w:rPr>
        <w:t xml:space="preserve">tra </w:t>
      </w:r>
      <w:r w:rsidRPr="007F7EBF">
        <w:rPr>
          <w:bCs/>
          <w:i/>
          <w:iCs/>
          <w:color w:val="0000FF"/>
          <w:lang w:val="it-IT"/>
        </w:rPr>
        <w:t>operatori economici</w:t>
      </w:r>
      <w:r w:rsidR="0074086F">
        <w:rPr>
          <w:bCs/>
          <w:i/>
          <w:iCs/>
          <w:color w:val="0000FF"/>
          <w:lang w:val="it-IT"/>
        </w:rPr>
        <w:t xml:space="preserve"> e possibili frodi</w:t>
      </w:r>
    </w:p>
    <w:p w14:paraId="7EE5FAEE" w14:textId="7A9B3403" w:rsidR="006402C1" w:rsidRPr="007F7EBF" w:rsidRDefault="00D5312B" w:rsidP="006402C1">
      <w:pPr>
        <w:autoSpaceDE w:val="0"/>
        <w:autoSpaceDN w:val="0"/>
        <w:adjustRightInd w:val="0"/>
        <w:rPr>
          <w:sz w:val="22"/>
          <w:szCs w:val="22"/>
        </w:rPr>
      </w:pPr>
      <w:r w:rsidRPr="007F7EBF">
        <w:rPr>
          <w:sz w:val="22"/>
          <w:szCs w:val="22"/>
        </w:rPr>
        <w:t>Il</w:t>
      </w:r>
      <w:r w:rsidR="00CF1F32">
        <w:rPr>
          <w:sz w:val="22"/>
          <w:szCs w:val="22"/>
        </w:rPr>
        <w:t xml:space="preserve"> già menzionato regime della “non imponibilità”, reso necessario dal </w:t>
      </w:r>
      <w:r w:rsidRPr="007F7EBF">
        <w:rPr>
          <w:sz w:val="22"/>
          <w:szCs w:val="22"/>
        </w:rPr>
        <w:t>venir meno</w:t>
      </w:r>
      <w:r w:rsidR="005B01A1" w:rsidRPr="007F7EBF">
        <w:rPr>
          <w:sz w:val="22"/>
          <w:szCs w:val="22"/>
        </w:rPr>
        <w:t xml:space="preserve"> delle dogane interne</w:t>
      </w:r>
      <w:r w:rsidR="00CF1F32">
        <w:rPr>
          <w:sz w:val="22"/>
          <w:szCs w:val="22"/>
        </w:rPr>
        <w:t xml:space="preserve"> </w:t>
      </w:r>
      <w:r w:rsidR="00E26789">
        <w:rPr>
          <w:sz w:val="22"/>
          <w:szCs w:val="22"/>
        </w:rPr>
        <w:t>prevede che</w:t>
      </w:r>
      <w:r w:rsidR="006342C5" w:rsidRPr="007F7EBF">
        <w:rPr>
          <w:sz w:val="22"/>
          <w:szCs w:val="22"/>
        </w:rPr>
        <w:t xml:space="preserve"> il cliente comunichi al fornitore dell’altro stato U.E. la</w:t>
      </w:r>
      <w:r w:rsidR="00592738" w:rsidRPr="007F7EBF">
        <w:rPr>
          <w:sz w:val="22"/>
          <w:szCs w:val="22"/>
        </w:rPr>
        <w:t xml:space="preserve"> </w:t>
      </w:r>
      <w:r w:rsidR="006342C5" w:rsidRPr="007F7EBF">
        <w:rPr>
          <w:sz w:val="22"/>
          <w:szCs w:val="22"/>
        </w:rPr>
        <w:t>propria partita IVA (che funge da “codice di identificazione”), acquistando senza applicazione</w:t>
      </w:r>
      <w:r w:rsidR="00592738" w:rsidRPr="007F7EBF">
        <w:rPr>
          <w:sz w:val="22"/>
          <w:szCs w:val="22"/>
        </w:rPr>
        <w:t xml:space="preserve"> </w:t>
      </w:r>
      <w:r w:rsidR="006342C5" w:rsidRPr="007F7EBF">
        <w:rPr>
          <w:sz w:val="22"/>
          <w:szCs w:val="22"/>
        </w:rPr>
        <w:t>dell’imposta</w:t>
      </w:r>
      <w:r w:rsidR="00CF1F32">
        <w:rPr>
          <w:sz w:val="22"/>
          <w:szCs w:val="22"/>
        </w:rPr>
        <w:t xml:space="preserve"> (</w:t>
      </w:r>
      <w:r w:rsidR="00F71238" w:rsidRPr="007F7EBF">
        <w:rPr>
          <w:rStyle w:val="Rimandonotaapidipagina"/>
          <w:sz w:val="22"/>
          <w:szCs w:val="22"/>
        </w:rPr>
        <w:footnoteReference w:id="1025"/>
      </w:r>
      <w:r w:rsidR="00CF1F32">
        <w:rPr>
          <w:sz w:val="22"/>
          <w:szCs w:val="22"/>
        </w:rPr>
        <w:t>)</w:t>
      </w:r>
      <w:r w:rsidR="006342C5" w:rsidRPr="007F7EBF">
        <w:rPr>
          <w:sz w:val="22"/>
          <w:szCs w:val="22"/>
        </w:rPr>
        <w:t>.</w:t>
      </w:r>
      <w:r w:rsidR="00592738" w:rsidRPr="007F7EBF">
        <w:rPr>
          <w:sz w:val="22"/>
          <w:szCs w:val="22"/>
        </w:rPr>
        <w:t xml:space="preserve"> </w:t>
      </w:r>
      <w:r w:rsidR="00CF1F32">
        <w:rPr>
          <w:sz w:val="22"/>
          <w:szCs w:val="22"/>
        </w:rPr>
        <w:t xml:space="preserve">La dogana è stata sostituita dalle “comunicazioni” del cliente e del fornitore (c.d. “modelli </w:t>
      </w:r>
      <w:proofErr w:type="spellStart"/>
      <w:r w:rsidR="00CF1F32">
        <w:rPr>
          <w:sz w:val="22"/>
          <w:szCs w:val="22"/>
        </w:rPr>
        <w:t>intrastat</w:t>
      </w:r>
      <w:proofErr w:type="spellEnd"/>
      <w:r w:rsidR="00CF1F32">
        <w:rPr>
          <w:sz w:val="22"/>
          <w:szCs w:val="22"/>
        </w:rPr>
        <w:t>”) per cercare di mantenere il controllo tributario del territorio (</w:t>
      </w:r>
      <w:r w:rsidR="00CF1F32" w:rsidRPr="007F7EBF">
        <w:rPr>
          <w:rStyle w:val="Rimandonotaapidipagina"/>
          <w:bCs/>
          <w:sz w:val="22"/>
          <w:szCs w:val="22"/>
        </w:rPr>
        <w:footnoteReference w:id="1026"/>
      </w:r>
      <w:r w:rsidR="00CF1F32">
        <w:rPr>
          <w:sz w:val="22"/>
          <w:szCs w:val="22"/>
        </w:rPr>
        <w:t xml:space="preserve">) </w:t>
      </w:r>
      <w:r w:rsidR="0074086F" w:rsidRPr="007F7EBF">
        <w:rPr>
          <w:sz w:val="22"/>
          <w:szCs w:val="22"/>
        </w:rPr>
        <w:t>Anche qui c’è il rischio, già rilevato al termine del par.7.3 che partite IVA estere, formalmente "attive"</w:t>
      </w:r>
      <w:r w:rsidR="00212EEF">
        <w:rPr>
          <w:sz w:val="22"/>
          <w:szCs w:val="22"/>
        </w:rPr>
        <w:t>(</w:t>
      </w:r>
      <w:r w:rsidR="0074086F" w:rsidRPr="007F7EBF">
        <w:rPr>
          <w:rStyle w:val="Rimandonotaapidipagina"/>
          <w:sz w:val="22"/>
          <w:szCs w:val="22"/>
        </w:rPr>
        <w:footnoteReference w:id="1027"/>
      </w:r>
      <w:r w:rsidR="00212EEF">
        <w:rPr>
          <w:sz w:val="22"/>
          <w:szCs w:val="22"/>
        </w:rPr>
        <w:t>)</w:t>
      </w:r>
      <w:r w:rsidR="0074086F" w:rsidRPr="007F7EBF">
        <w:rPr>
          <w:sz w:val="22"/>
          <w:szCs w:val="22"/>
        </w:rPr>
        <w:t xml:space="preserve">, siano usate </w:t>
      </w:r>
      <w:r w:rsidR="0074086F">
        <w:rPr>
          <w:sz w:val="22"/>
          <w:szCs w:val="22"/>
        </w:rPr>
        <w:t xml:space="preserve">a loro insaputa </w:t>
      </w:r>
      <w:r w:rsidR="0074086F" w:rsidRPr="007F7EBF">
        <w:rPr>
          <w:sz w:val="22"/>
          <w:szCs w:val="22"/>
        </w:rPr>
        <w:t xml:space="preserve">per “mascherare” </w:t>
      </w:r>
      <w:r w:rsidR="0074086F" w:rsidRPr="007F7EBF">
        <w:rPr>
          <w:sz w:val="22"/>
          <w:szCs w:val="22"/>
        </w:rPr>
        <w:lastRenderedPageBreak/>
        <w:t xml:space="preserve">cessioni senza IVA a chi </w:t>
      </w:r>
      <w:r w:rsidR="00212EEF">
        <w:rPr>
          <w:sz w:val="22"/>
          <w:szCs w:val="22"/>
        </w:rPr>
        <w:t xml:space="preserve">invece </w:t>
      </w:r>
      <w:r w:rsidR="0074086F" w:rsidRPr="007F7EBF">
        <w:rPr>
          <w:sz w:val="22"/>
          <w:szCs w:val="22"/>
        </w:rPr>
        <w:t>smisterà la merce a dettaglianti che sistematicamente nascondono gli incassi</w:t>
      </w:r>
      <w:r w:rsidR="00212EEF">
        <w:rPr>
          <w:sz w:val="22"/>
          <w:szCs w:val="22"/>
        </w:rPr>
        <w:t>(</w:t>
      </w:r>
      <w:r w:rsidR="0074086F" w:rsidRPr="007F7EBF">
        <w:rPr>
          <w:rStyle w:val="Rimandonotaapidipagina"/>
          <w:sz w:val="22"/>
          <w:szCs w:val="22"/>
        </w:rPr>
        <w:footnoteReference w:id="1028"/>
      </w:r>
      <w:r w:rsidR="00212EEF">
        <w:rPr>
          <w:sz w:val="22"/>
          <w:szCs w:val="22"/>
        </w:rPr>
        <w:t>)</w:t>
      </w:r>
      <w:r w:rsidR="0074086F" w:rsidRPr="007F7EBF">
        <w:rPr>
          <w:sz w:val="22"/>
          <w:szCs w:val="22"/>
        </w:rPr>
        <w:t>.</w:t>
      </w:r>
    </w:p>
    <w:p w14:paraId="57D886C7" w14:textId="7B971AEF" w:rsidR="006402C1" w:rsidRPr="007F7EBF" w:rsidRDefault="00F71238" w:rsidP="006402C1">
      <w:pPr>
        <w:pStyle w:val="tit23"/>
        <w:ind w:left="6464" w:right="-1361" w:firstLine="0"/>
        <w:jc w:val="left"/>
        <w:rPr>
          <w:bCs/>
          <w:i/>
          <w:iCs/>
          <w:color w:val="0000FF"/>
          <w:lang w:val="it-IT"/>
        </w:rPr>
      </w:pPr>
      <w:r w:rsidRPr="007F7EBF">
        <w:rPr>
          <w:bCs/>
          <w:i/>
          <w:iCs/>
          <w:color w:val="0000FF"/>
          <w:lang w:val="it-IT"/>
        </w:rPr>
        <w:t xml:space="preserve">possibili </w:t>
      </w:r>
      <w:proofErr w:type="spellStart"/>
      <w:r w:rsidRPr="007F7EBF">
        <w:rPr>
          <w:bCs/>
          <w:i/>
          <w:iCs/>
          <w:color w:val="0000FF"/>
          <w:lang w:val="it-IT"/>
        </w:rPr>
        <w:t>rimedi</w:t>
      </w:r>
      <w:r w:rsidR="0074086F">
        <w:rPr>
          <w:bCs/>
          <w:i/>
          <w:iCs/>
          <w:color w:val="0000FF"/>
          <w:lang w:val="it-IT"/>
        </w:rPr>
        <w:t>:la</w:t>
      </w:r>
      <w:proofErr w:type="spellEnd"/>
      <w:r w:rsidR="0074086F">
        <w:rPr>
          <w:bCs/>
          <w:i/>
          <w:iCs/>
          <w:color w:val="0000FF"/>
          <w:lang w:val="it-IT"/>
        </w:rPr>
        <w:t xml:space="preserve"> detrazione intracomunitaria</w:t>
      </w:r>
    </w:p>
    <w:p w14:paraId="23A4199F" w14:textId="31F49DD5" w:rsidR="00025EE4" w:rsidRPr="007F7EBF" w:rsidRDefault="00F71238" w:rsidP="009C1A61">
      <w:pPr>
        <w:autoSpaceDE w:val="0"/>
        <w:autoSpaceDN w:val="0"/>
        <w:adjustRightInd w:val="0"/>
        <w:rPr>
          <w:sz w:val="22"/>
          <w:szCs w:val="22"/>
        </w:rPr>
      </w:pPr>
      <w:r w:rsidRPr="007F7EBF">
        <w:rPr>
          <w:bCs/>
          <w:sz w:val="22"/>
          <w:szCs w:val="22"/>
        </w:rPr>
        <w:t>L'unico modo per rimediare "a monte" all'omessa ap</w:t>
      </w:r>
      <w:r w:rsidR="002F0C7D" w:rsidRPr="007F7EBF">
        <w:rPr>
          <w:bCs/>
          <w:sz w:val="22"/>
          <w:szCs w:val="22"/>
        </w:rPr>
        <w:t xml:space="preserve">plicazione dell'IVA "a valle", senza dogane interne all'Unione, è lo sforzo amministrativo di estendere il criterio della </w:t>
      </w:r>
      <w:r w:rsidRPr="007F7EBF">
        <w:rPr>
          <w:bCs/>
          <w:i/>
          <w:sz w:val="22"/>
          <w:szCs w:val="22"/>
        </w:rPr>
        <w:t xml:space="preserve">detrazione IVA </w:t>
      </w:r>
      <w:r w:rsidR="002F0C7D" w:rsidRPr="007F7EBF">
        <w:rPr>
          <w:bCs/>
          <w:sz w:val="22"/>
          <w:szCs w:val="22"/>
        </w:rPr>
        <w:t>anche negli scambi di merce</w:t>
      </w:r>
      <w:r w:rsidR="002F0C7D" w:rsidRPr="007F7EBF">
        <w:rPr>
          <w:bCs/>
          <w:i/>
          <w:sz w:val="22"/>
          <w:szCs w:val="22"/>
        </w:rPr>
        <w:t xml:space="preserve"> intracomunitari</w:t>
      </w:r>
      <w:r w:rsidR="009D29BC">
        <w:rPr>
          <w:bCs/>
          <w:i/>
          <w:sz w:val="22"/>
          <w:szCs w:val="22"/>
        </w:rPr>
        <w:t xml:space="preserve">. </w:t>
      </w:r>
      <w:r w:rsidR="002F0C7D" w:rsidRPr="007F7EBF">
        <w:rPr>
          <w:bCs/>
          <w:sz w:val="22"/>
          <w:szCs w:val="22"/>
        </w:rPr>
        <w:t>Il fornitore comunitario dovrebbe versare l'IVA , o garantirne il pagamento, al proprio paese di residenza che la trasmetterebbe al paese dell'acquirente</w:t>
      </w:r>
      <w:r w:rsidR="009D29BC">
        <w:rPr>
          <w:bCs/>
          <w:sz w:val="22"/>
          <w:szCs w:val="22"/>
        </w:rPr>
        <w:t>(</w:t>
      </w:r>
      <w:r w:rsidR="001833A5" w:rsidRPr="007F7EBF">
        <w:rPr>
          <w:rStyle w:val="Rimandonotaapidipagina"/>
          <w:sz w:val="22"/>
          <w:szCs w:val="22"/>
        </w:rPr>
        <w:footnoteReference w:id="1029"/>
      </w:r>
      <w:r w:rsidR="009D29BC">
        <w:rPr>
          <w:bCs/>
          <w:sz w:val="22"/>
          <w:szCs w:val="22"/>
        </w:rPr>
        <w:t>)</w:t>
      </w:r>
      <w:r w:rsidR="002F0C7D" w:rsidRPr="007F7EBF">
        <w:rPr>
          <w:bCs/>
          <w:sz w:val="22"/>
          <w:szCs w:val="22"/>
        </w:rPr>
        <w:t xml:space="preserve">. Con questa sorta di cauzione l'acquisto intracomunitario non sarebbe più un modo per detassare di fatto le operazioni </w:t>
      </w:r>
      <w:r w:rsidR="002F0C7D" w:rsidRPr="007F7EBF">
        <w:rPr>
          <w:bCs/>
          <w:i/>
          <w:sz w:val="22"/>
          <w:szCs w:val="22"/>
        </w:rPr>
        <w:t>business to business.</w:t>
      </w:r>
      <w:r w:rsidR="002F0C7D" w:rsidRPr="007F7EBF">
        <w:rPr>
          <w:bCs/>
          <w:sz w:val="22"/>
          <w:szCs w:val="22"/>
        </w:rPr>
        <w:t xml:space="preserve"> A questo punto l'applicazione dell'IVA "a monte" potrebbe "tappare i buchi" delle vendite non registrate "a valle"</w:t>
      </w:r>
      <w:r w:rsidR="00E04031">
        <w:rPr>
          <w:bCs/>
          <w:sz w:val="22"/>
          <w:szCs w:val="22"/>
        </w:rPr>
        <w:t xml:space="preserve">, riducendo </w:t>
      </w:r>
      <w:r w:rsidR="002F0C7D" w:rsidRPr="007F7EBF">
        <w:rPr>
          <w:bCs/>
          <w:sz w:val="22"/>
          <w:szCs w:val="22"/>
        </w:rPr>
        <w:t>il problema dell'evasione IVA al valore aggiunto creato dai fornitori all</w:t>
      </w:r>
      <w:r w:rsidR="00E04031">
        <w:rPr>
          <w:bCs/>
          <w:sz w:val="22"/>
          <w:szCs w:val="22"/>
        </w:rPr>
        <w:t xml:space="preserve">o </w:t>
      </w:r>
      <w:r w:rsidR="002F0C7D" w:rsidRPr="007F7EBF">
        <w:rPr>
          <w:bCs/>
          <w:sz w:val="22"/>
          <w:szCs w:val="22"/>
        </w:rPr>
        <w:t>stadio</w:t>
      </w:r>
      <w:r w:rsidR="00E04031">
        <w:rPr>
          <w:bCs/>
          <w:sz w:val="22"/>
          <w:szCs w:val="22"/>
        </w:rPr>
        <w:t xml:space="preserve"> de</w:t>
      </w:r>
      <w:r w:rsidR="002F0C7D" w:rsidRPr="007F7EBF">
        <w:rPr>
          <w:bCs/>
          <w:sz w:val="22"/>
          <w:szCs w:val="22"/>
        </w:rPr>
        <w:t xml:space="preserve">l consumo finale, </w:t>
      </w:r>
      <w:r w:rsidR="00E04031">
        <w:rPr>
          <w:bCs/>
          <w:sz w:val="22"/>
          <w:szCs w:val="22"/>
        </w:rPr>
        <w:t xml:space="preserve">salvaguardando quello creato dai produttori, distributori e trasportatori </w:t>
      </w:r>
      <w:r w:rsidR="002F0C7D" w:rsidRPr="007F7EBF">
        <w:rPr>
          <w:bCs/>
          <w:sz w:val="22"/>
          <w:szCs w:val="22"/>
        </w:rPr>
        <w:t>"a monte"</w:t>
      </w:r>
      <w:r w:rsidRPr="007F7EBF">
        <w:rPr>
          <w:sz w:val="22"/>
          <w:szCs w:val="22"/>
        </w:rPr>
        <w:t>.</w:t>
      </w:r>
      <w:r w:rsidR="00025EE4">
        <w:rPr>
          <w:sz w:val="22"/>
          <w:szCs w:val="22"/>
        </w:rPr>
        <w:t xml:space="preserve"> </w:t>
      </w:r>
    </w:p>
    <w:p w14:paraId="51E4AEB5" w14:textId="77777777" w:rsidR="00CD1580" w:rsidRPr="007F7EBF" w:rsidRDefault="0006011C" w:rsidP="00FC705A">
      <w:pPr>
        <w:pStyle w:val="Titolo3"/>
        <w:rPr>
          <w:rFonts w:ascii="Times New Roman" w:hAnsi="Times New Roman"/>
          <w:sz w:val="22"/>
          <w:szCs w:val="22"/>
          <w:lang w:val="it-IT"/>
        </w:rPr>
      </w:pPr>
      <w:r w:rsidRPr="007F7EBF">
        <w:rPr>
          <w:rFonts w:ascii="Times New Roman" w:hAnsi="Times New Roman"/>
          <w:sz w:val="22"/>
          <w:szCs w:val="22"/>
          <w:lang w:val="it-IT"/>
        </w:rPr>
        <w:t xml:space="preserve"> </w:t>
      </w:r>
      <w:bookmarkStart w:id="103" w:name="_Toc63365014"/>
      <w:r w:rsidR="006342C5" w:rsidRPr="007F7EBF">
        <w:rPr>
          <w:rFonts w:ascii="Times New Roman" w:hAnsi="Times New Roman"/>
          <w:sz w:val="22"/>
          <w:szCs w:val="22"/>
        </w:rPr>
        <w:t xml:space="preserve">7.5. </w:t>
      </w:r>
      <w:r w:rsidR="002C0F5D" w:rsidRPr="007F7EBF">
        <w:rPr>
          <w:rFonts w:ascii="Times New Roman" w:hAnsi="Times New Roman"/>
          <w:sz w:val="22"/>
          <w:szCs w:val="22"/>
          <w:lang w:val="it-IT"/>
        </w:rPr>
        <w:t>G</w:t>
      </w:r>
      <w:r w:rsidR="009F7854" w:rsidRPr="007F7EBF">
        <w:rPr>
          <w:rFonts w:ascii="Times New Roman" w:hAnsi="Times New Roman"/>
          <w:sz w:val="22"/>
          <w:szCs w:val="22"/>
        </w:rPr>
        <w:t xml:space="preserve">li operatori economici </w:t>
      </w:r>
      <w:r w:rsidR="002C0F5D" w:rsidRPr="007F7EBF">
        <w:rPr>
          <w:rFonts w:ascii="Times New Roman" w:hAnsi="Times New Roman"/>
          <w:sz w:val="22"/>
          <w:szCs w:val="22"/>
          <w:lang w:val="it-IT"/>
        </w:rPr>
        <w:t>(“soggetti IVA”) nella determinazione dei consumi e dei redditi attraverso le aziende</w:t>
      </w:r>
      <w:bookmarkEnd w:id="103"/>
    </w:p>
    <w:p w14:paraId="4D0F2D7F" w14:textId="6BE37C7A" w:rsidR="00CD1580" w:rsidRPr="007F7EBF" w:rsidRDefault="00DD5376" w:rsidP="00CD1580">
      <w:pPr>
        <w:pStyle w:val="tit23"/>
        <w:ind w:left="6464" w:right="-1361" w:firstLine="0"/>
        <w:jc w:val="left"/>
        <w:rPr>
          <w:b/>
          <w:bCs/>
          <w:i/>
          <w:iCs/>
          <w:color w:val="0000FF"/>
          <w:lang w:val="it-IT"/>
        </w:rPr>
      </w:pPr>
      <w:r>
        <w:rPr>
          <w:b/>
          <w:bCs/>
          <w:i/>
          <w:iCs/>
          <w:color w:val="0000FF"/>
          <w:lang w:val="it-IT"/>
        </w:rPr>
        <w:t>Inutile moltiplicazione degli “imprenditori fiscali”</w:t>
      </w:r>
    </w:p>
    <w:p w14:paraId="07448654" w14:textId="77777777" w:rsidR="003B5BA3" w:rsidRDefault="005B01A1" w:rsidP="006342C5">
      <w:pPr>
        <w:autoSpaceDE w:val="0"/>
        <w:autoSpaceDN w:val="0"/>
        <w:adjustRightInd w:val="0"/>
        <w:rPr>
          <w:bCs/>
          <w:sz w:val="22"/>
          <w:szCs w:val="22"/>
        </w:rPr>
      </w:pPr>
      <w:r w:rsidRPr="007F7EBF">
        <w:rPr>
          <w:sz w:val="22"/>
          <w:szCs w:val="22"/>
        </w:rPr>
        <w:lastRenderedPageBreak/>
        <w:t xml:space="preserve">Dopo </w:t>
      </w:r>
      <w:r w:rsidR="00025EE4">
        <w:rPr>
          <w:sz w:val="22"/>
          <w:szCs w:val="22"/>
        </w:rPr>
        <w:t xml:space="preserve">le difficoltà che l’IVA incontra nella specificazione contabile del concetto di consumo, tra “detrazione” e “non imponibilità” </w:t>
      </w:r>
      <w:r w:rsidR="0086414E">
        <w:rPr>
          <w:sz w:val="22"/>
          <w:szCs w:val="22"/>
        </w:rPr>
        <w:t xml:space="preserve"> </w:t>
      </w:r>
      <w:r w:rsidR="0064786F">
        <w:rPr>
          <w:sz w:val="22"/>
          <w:szCs w:val="22"/>
        </w:rPr>
        <w:t>può iniziare la tratta</w:t>
      </w:r>
      <w:r w:rsidR="0036524A">
        <w:rPr>
          <w:sz w:val="22"/>
          <w:szCs w:val="22"/>
        </w:rPr>
        <w:t xml:space="preserve">zione congiunta della determinazione dei consumi e dei redditi </w:t>
      </w:r>
      <w:r w:rsidR="0066138A">
        <w:rPr>
          <w:sz w:val="22"/>
          <w:szCs w:val="22"/>
        </w:rPr>
        <w:t>(</w:t>
      </w:r>
      <w:r w:rsidR="00CD1580" w:rsidRPr="007F7EBF">
        <w:rPr>
          <w:rStyle w:val="Rimandonotaapidipagina"/>
          <w:sz w:val="22"/>
          <w:szCs w:val="22"/>
        </w:rPr>
        <w:footnoteReference w:id="1030"/>
      </w:r>
      <w:r w:rsidR="0066138A">
        <w:rPr>
          <w:sz w:val="22"/>
          <w:szCs w:val="22"/>
        </w:rPr>
        <w:t>)</w:t>
      </w:r>
      <w:r w:rsidR="00700290">
        <w:rPr>
          <w:sz w:val="22"/>
          <w:szCs w:val="22"/>
        </w:rPr>
        <w:t>. La determinazione di entrambi</w:t>
      </w:r>
      <w:r w:rsidRPr="007F7EBF">
        <w:rPr>
          <w:sz w:val="22"/>
          <w:szCs w:val="22"/>
        </w:rPr>
        <w:t xml:space="preserve">, </w:t>
      </w:r>
      <w:r w:rsidR="00700290">
        <w:rPr>
          <w:sz w:val="22"/>
          <w:szCs w:val="22"/>
        </w:rPr>
        <w:t>ai fini delle rispettive imposte (IVA sui consumi e Irpef-</w:t>
      </w:r>
      <w:proofErr w:type="spellStart"/>
      <w:r w:rsidR="003B5BA3">
        <w:rPr>
          <w:sz w:val="22"/>
          <w:szCs w:val="22"/>
        </w:rPr>
        <w:t>Ires</w:t>
      </w:r>
      <w:proofErr w:type="spellEnd"/>
      <w:r w:rsidR="003B5BA3">
        <w:rPr>
          <w:sz w:val="22"/>
          <w:szCs w:val="22"/>
        </w:rPr>
        <w:t xml:space="preserve">-Irap sui redditi) prende le mosse da un </w:t>
      </w:r>
      <w:r w:rsidR="0086414E">
        <w:rPr>
          <w:bCs/>
          <w:sz w:val="22"/>
          <w:szCs w:val="22"/>
        </w:rPr>
        <w:t xml:space="preserve">unico </w:t>
      </w:r>
      <w:r w:rsidR="003B5BA3">
        <w:rPr>
          <w:bCs/>
          <w:sz w:val="22"/>
          <w:szCs w:val="22"/>
        </w:rPr>
        <w:t>insieme</w:t>
      </w:r>
      <w:r w:rsidR="0086414E">
        <w:rPr>
          <w:bCs/>
          <w:sz w:val="22"/>
          <w:szCs w:val="22"/>
        </w:rPr>
        <w:t xml:space="preserve"> </w:t>
      </w:r>
      <w:r w:rsidR="00D64C83">
        <w:rPr>
          <w:bCs/>
          <w:sz w:val="22"/>
          <w:szCs w:val="22"/>
        </w:rPr>
        <w:t>documentale, rilevante per entrambi</w:t>
      </w:r>
      <w:r w:rsidR="003B5BA3">
        <w:rPr>
          <w:bCs/>
          <w:sz w:val="22"/>
          <w:szCs w:val="22"/>
        </w:rPr>
        <w:t xml:space="preserve">, come detto al par.7.1. </w:t>
      </w:r>
      <w:r w:rsidR="006342C5" w:rsidRPr="007F7EBF">
        <w:rPr>
          <w:bCs/>
          <w:sz w:val="22"/>
          <w:szCs w:val="22"/>
        </w:rPr>
        <w:t xml:space="preserve"> </w:t>
      </w:r>
    </w:p>
    <w:p w14:paraId="31D402F9" w14:textId="77777777" w:rsidR="003B5BA3" w:rsidRDefault="003F5BC9" w:rsidP="006342C5">
      <w:pPr>
        <w:autoSpaceDE w:val="0"/>
        <w:autoSpaceDN w:val="0"/>
        <w:adjustRightInd w:val="0"/>
      </w:pPr>
      <w:r>
        <w:rPr>
          <w:bCs/>
          <w:sz w:val="22"/>
          <w:szCs w:val="22"/>
        </w:rPr>
        <w:t xml:space="preserve">Per entrambi </w:t>
      </w:r>
      <w:r w:rsidR="003B5BA3">
        <w:rPr>
          <w:bCs/>
          <w:sz w:val="22"/>
          <w:szCs w:val="22"/>
        </w:rPr>
        <w:t xml:space="preserve">i tributi ritroviamo </w:t>
      </w:r>
      <w:r w:rsidR="003E1734" w:rsidRPr="007F7EBF">
        <w:rPr>
          <w:sz w:val="22"/>
          <w:szCs w:val="22"/>
        </w:rPr>
        <w:t>l'esagerato ampliamento de</w:t>
      </w:r>
      <w:r>
        <w:rPr>
          <w:sz w:val="22"/>
          <w:szCs w:val="22"/>
        </w:rPr>
        <w:t xml:space="preserve">lle posizioni imprenditoriali o professionali, avvenuto dal 1973, considerando “soggetti IVA”, e imprenditori o professionisti ai fini delle imposte sui redditi, anche piccoli commerciali, artigiani e altri esercenti di attività “non dipendenti”, </w:t>
      </w:r>
      <w:r w:rsidR="003B5BA3">
        <w:rPr>
          <w:sz w:val="22"/>
          <w:szCs w:val="22"/>
        </w:rPr>
        <w:t xml:space="preserve">quand’anche </w:t>
      </w:r>
      <w:r>
        <w:rPr>
          <w:sz w:val="22"/>
          <w:szCs w:val="22"/>
        </w:rPr>
        <w:t xml:space="preserve">basate sul solo lavoro personale </w:t>
      </w:r>
      <w:r w:rsidR="003B5BA3">
        <w:rPr>
          <w:sz w:val="22"/>
          <w:szCs w:val="22"/>
        </w:rPr>
        <w:t xml:space="preserve">del titolare </w:t>
      </w:r>
      <w:r w:rsidR="003E1734" w:rsidRPr="007F7EBF">
        <w:rPr>
          <w:sz w:val="22"/>
          <w:szCs w:val="22"/>
        </w:rPr>
        <w:t>"</w:t>
      </w:r>
      <w:proofErr w:type="spellStart"/>
      <w:r w:rsidR="003E1734" w:rsidRPr="007F7EBF">
        <w:rPr>
          <w:sz w:val="22"/>
          <w:szCs w:val="22"/>
        </w:rPr>
        <w:t>monoaddetto</w:t>
      </w:r>
      <w:proofErr w:type="spellEnd"/>
      <w:r w:rsidR="003E1734" w:rsidRPr="007F7EBF">
        <w:rPr>
          <w:sz w:val="22"/>
          <w:szCs w:val="22"/>
        </w:rPr>
        <w:t>"</w:t>
      </w:r>
      <w:r w:rsidR="004846FB">
        <w:rPr>
          <w:sz w:val="22"/>
          <w:szCs w:val="22"/>
        </w:rPr>
        <w:t>(</w:t>
      </w:r>
      <w:r w:rsidR="00EE70AB" w:rsidRPr="007F7EBF">
        <w:rPr>
          <w:rStyle w:val="Rimandonotaapidipagina"/>
          <w:sz w:val="22"/>
          <w:szCs w:val="22"/>
        </w:rPr>
        <w:footnoteReference w:id="1031"/>
      </w:r>
      <w:r w:rsidR="004846FB">
        <w:rPr>
          <w:sz w:val="22"/>
          <w:szCs w:val="22"/>
        </w:rPr>
        <w:t>)</w:t>
      </w:r>
      <w:r w:rsidR="003E1734" w:rsidRPr="007F7EBF">
        <w:rPr>
          <w:sz w:val="22"/>
          <w:szCs w:val="22"/>
        </w:rPr>
        <w:t xml:space="preserve">. </w:t>
      </w:r>
      <w:r w:rsidR="003B5BA3">
        <w:rPr>
          <w:sz w:val="22"/>
          <w:szCs w:val="22"/>
        </w:rPr>
        <w:t xml:space="preserve"> L’unico requisito è quello dell’abitualità, cioè della </w:t>
      </w:r>
      <w:proofErr w:type="spellStart"/>
      <w:r w:rsidR="003B5BA3">
        <w:rPr>
          <w:sz w:val="22"/>
          <w:szCs w:val="22"/>
        </w:rPr>
        <w:t>continuatività</w:t>
      </w:r>
      <w:proofErr w:type="spellEnd"/>
      <w:r w:rsidR="003B5BA3">
        <w:rPr>
          <w:sz w:val="22"/>
          <w:szCs w:val="22"/>
        </w:rPr>
        <w:t xml:space="preserve">, mentre </w:t>
      </w:r>
      <w:r w:rsidR="003B5BA3" w:rsidRPr="007F7EBF">
        <w:t xml:space="preserve">gli atti  occasionali, </w:t>
      </w:r>
      <w:r w:rsidR="003B5BA3">
        <w:t xml:space="preserve">senza stabilità </w:t>
      </w:r>
      <w:r w:rsidR="003B5BA3" w:rsidRPr="007F7EBF">
        <w:t xml:space="preserve"> temporale, </w:t>
      </w:r>
      <w:r w:rsidR="003B5BA3">
        <w:t xml:space="preserve">sono </w:t>
      </w:r>
      <w:r w:rsidR="003B5BA3" w:rsidRPr="007F7EBF">
        <w:t>irrilevanti ai fini IVA , e inquadrati nelle imposte sui redditi nella categoria residuale dei “redditi diversi” (paragrafo 8.6).</w:t>
      </w:r>
      <w:r w:rsidR="003B5BA3">
        <w:t xml:space="preserve"> </w:t>
      </w:r>
    </w:p>
    <w:p w14:paraId="5D8026CB" w14:textId="60AE87E3" w:rsidR="003B5BA3" w:rsidRDefault="003B5BA3" w:rsidP="003B5BA3">
      <w:pPr>
        <w:autoSpaceDE w:val="0"/>
        <w:autoSpaceDN w:val="0"/>
        <w:adjustRightInd w:val="0"/>
        <w:rPr>
          <w:sz w:val="22"/>
          <w:szCs w:val="22"/>
        </w:rPr>
      </w:pPr>
      <w:r>
        <w:t xml:space="preserve">Le attività a contenuto </w:t>
      </w:r>
      <w:r w:rsidR="00EE70AB" w:rsidRPr="007F7EBF">
        <w:rPr>
          <w:sz w:val="22"/>
          <w:szCs w:val="22"/>
        </w:rPr>
        <w:t>"materiale"</w:t>
      </w:r>
      <w:r w:rsidR="003B4AC5" w:rsidRPr="007F7EBF">
        <w:rPr>
          <w:rStyle w:val="Rimandonotaapidipagina"/>
          <w:sz w:val="22"/>
          <w:szCs w:val="22"/>
        </w:rPr>
        <w:footnoteReference w:id="1032"/>
      </w:r>
      <w:r w:rsidR="00EE70AB" w:rsidRPr="007F7EBF">
        <w:rPr>
          <w:sz w:val="22"/>
          <w:szCs w:val="22"/>
        </w:rPr>
        <w:t xml:space="preserve">, </w:t>
      </w:r>
      <w:r>
        <w:rPr>
          <w:sz w:val="22"/>
          <w:szCs w:val="22"/>
        </w:rPr>
        <w:t>comprese quelle di servizi (</w:t>
      </w:r>
      <w:r w:rsidR="00EE70AB" w:rsidRPr="007F7EBF">
        <w:rPr>
          <w:sz w:val="22"/>
          <w:szCs w:val="22"/>
        </w:rPr>
        <w:t>taxista, parrucchiere o agente di commercio</w:t>
      </w:r>
      <w:r>
        <w:rPr>
          <w:sz w:val="22"/>
          <w:szCs w:val="22"/>
        </w:rPr>
        <w:t xml:space="preserve">) sono considerate d’impresa, mentre </w:t>
      </w:r>
      <w:r>
        <w:t xml:space="preserve">dove </w:t>
      </w:r>
      <w:r w:rsidRPr="007F7EBF">
        <w:t>la componente “</w:t>
      </w:r>
      <w:r w:rsidRPr="007F7EBF">
        <w:rPr>
          <w:bCs/>
        </w:rPr>
        <w:t>intellettuale" prevale rispetto a quella "materiale"</w:t>
      </w:r>
      <w:r>
        <w:rPr>
          <w:bCs/>
        </w:rPr>
        <w:t xml:space="preserve"> (avvocati, medici, architetti etc.), </w:t>
      </w:r>
      <w:r>
        <w:rPr>
          <w:bCs/>
        </w:rPr>
        <w:lastRenderedPageBreak/>
        <w:t>abbiamo “lavoro autonomo” di cui al par.8.1; in tale sede vedremo tuttavia che le differenze sono solo tecnicismi, scientificamente secondari</w:t>
      </w:r>
      <w:r w:rsidRPr="007F7EBF">
        <w:rPr>
          <w:bCs/>
        </w:rPr>
        <w:t>.</w:t>
      </w:r>
    </w:p>
    <w:p w14:paraId="185D1D54" w14:textId="70214F1E" w:rsidR="003B5BA3" w:rsidRDefault="003B5BA3" w:rsidP="003B5BA3">
      <w:pPr>
        <w:pStyle w:val="tit23"/>
        <w:ind w:left="6464" w:right="-1361" w:firstLine="0"/>
        <w:jc w:val="left"/>
        <w:rPr>
          <w:bCs/>
          <w:i/>
          <w:iCs/>
          <w:color w:val="0000FF"/>
          <w:lang w:val="it-IT"/>
        </w:rPr>
      </w:pPr>
      <w:r>
        <w:rPr>
          <w:bCs/>
          <w:i/>
          <w:iCs/>
          <w:color w:val="0000FF"/>
          <w:lang w:val="it-IT"/>
        </w:rPr>
        <w:t>Una definizione confusionaria</w:t>
      </w:r>
    </w:p>
    <w:p w14:paraId="79505A7D" w14:textId="2D3C469A" w:rsidR="003B4AC5" w:rsidRPr="007F7EBF" w:rsidRDefault="006601E3" w:rsidP="003B4AC5">
      <w:pPr>
        <w:autoSpaceDE w:val="0"/>
        <w:autoSpaceDN w:val="0"/>
        <w:adjustRightInd w:val="0"/>
        <w:rPr>
          <w:sz w:val="22"/>
          <w:szCs w:val="22"/>
        </w:rPr>
      </w:pPr>
      <w:r>
        <w:rPr>
          <w:sz w:val="22"/>
          <w:szCs w:val="22"/>
        </w:rPr>
        <w:t>In questo modo, p</w:t>
      </w:r>
      <w:r w:rsidR="006342C5" w:rsidRPr="007F7EBF">
        <w:rPr>
          <w:sz w:val="22"/>
          <w:szCs w:val="22"/>
        </w:rPr>
        <w:t>oche</w:t>
      </w:r>
      <w:r w:rsidR="008925E7" w:rsidRPr="007F7EBF">
        <w:rPr>
          <w:sz w:val="22"/>
          <w:szCs w:val="22"/>
        </w:rPr>
        <w:t xml:space="preserve"> migliaia</w:t>
      </w:r>
      <w:r w:rsidR="006342C5" w:rsidRPr="007F7EBF">
        <w:rPr>
          <w:sz w:val="22"/>
          <w:szCs w:val="22"/>
        </w:rPr>
        <w:t xml:space="preserve"> </w:t>
      </w:r>
      <w:r w:rsidR="008925E7" w:rsidRPr="007F7EBF">
        <w:rPr>
          <w:sz w:val="22"/>
          <w:szCs w:val="22"/>
        </w:rPr>
        <w:t xml:space="preserve">di </w:t>
      </w:r>
      <w:r w:rsidR="006342C5" w:rsidRPr="007F7EBF">
        <w:rPr>
          <w:sz w:val="22"/>
          <w:szCs w:val="22"/>
        </w:rPr>
        <w:t>aziende pluripersonali</w:t>
      </w:r>
      <w:r w:rsidR="005D040C" w:rsidRPr="007F7EBF">
        <w:rPr>
          <w:sz w:val="22"/>
          <w:szCs w:val="22"/>
        </w:rPr>
        <w:t xml:space="preserve"> </w:t>
      </w:r>
      <w:r>
        <w:rPr>
          <w:sz w:val="22"/>
          <w:szCs w:val="22"/>
        </w:rPr>
        <w:t xml:space="preserve">sono state formalmente equiparate a </w:t>
      </w:r>
      <w:r w:rsidR="006342C5" w:rsidRPr="007F7EBF">
        <w:rPr>
          <w:sz w:val="22"/>
          <w:szCs w:val="22"/>
        </w:rPr>
        <w:t xml:space="preserve">milioni di </w:t>
      </w:r>
      <w:r w:rsidR="008925E7" w:rsidRPr="007F7EBF">
        <w:rPr>
          <w:sz w:val="22"/>
          <w:szCs w:val="22"/>
        </w:rPr>
        <w:t xml:space="preserve">operatori economici individuali, </w:t>
      </w:r>
      <w:r>
        <w:rPr>
          <w:sz w:val="22"/>
          <w:szCs w:val="22"/>
        </w:rPr>
        <w:t xml:space="preserve">costringendo, come rilevato al par.3.1, a precisare di volta in </w:t>
      </w:r>
      <w:r w:rsidR="003D4D30" w:rsidRPr="007F7EBF">
        <w:rPr>
          <w:sz w:val="22"/>
          <w:szCs w:val="22"/>
        </w:rPr>
        <w:t>volta</w:t>
      </w:r>
      <w:r>
        <w:rPr>
          <w:sz w:val="22"/>
          <w:szCs w:val="22"/>
        </w:rPr>
        <w:t xml:space="preserve">, quando si usa la parola “impresa”, </w:t>
      </w:r>
      <w:r w:rsidR="003D4D30" w:rsidRPr="007F7EBF">
        <w:rPr>
          <w:sz w:val="22"/>
          <w:szCs w:val="22"/>
        </w:rPr>
        <w:t>se si sta parlando del bottegaio o dell’industriale</w:t>
      </w:r>
      <w:r w:rsidR="00FC3060" w:rsidRPr="007F7EBF">
        <w:rPr>
          <w:sz w:val="22"/>
          <w:szCs w:val="22"/>
        </w:rPr>
        <w:t xml:space="preserve"> </w:t>
      </w:r>
      <w:r w:rsidR="003D4D30" w:rsidRPr="007F7EBF">
        <w:rPr>
          <w:rStyle w:val="Rimandonotaapidipagina"/>
          <w:sz w:val="22"/>
          <w:szCs w:val="22"/>
        </w:rPr>
        <w:footnoteReference w:id="1033"/>
      </w:r>
      <w:r w:rsidR="003D4D30" w:rsidRPr="007F7EBF">
        <w:rPr>
          <w:sz w:val="22"/>
          <w:szCs w:val="22"/>
        </w:rPr>
        <w:t xml:space="preserve">. </w:t>
      </w:r>
      <w:r w:rsidR="002C0F5D" w:rsidRPr="007F7EBF">
        <w:rPr>
          <w:sz w:val="22"/>
          <w:szCs w:val="22"/>
        </w:rPr>
        <w:t xml:space="preserve">Mettere in </w:t>
      </w:r>
      <w:r w:rsidR="003D4D30" w:rsidRPr="007F7EBF">
        <w:rPr>
          <w:bCs/>
          <w:sz w:val="22"/>
          <w:szCs w:val="22"/>
        </w:rPr>
        <w:t>secondo piano l’organizzazione</w:t>
      </w:r>
      <w:r w:rsidR="003D4D30" w:rsidRPr="007F7EBF">
        <w:rPr>
          <w:sz w:val="22"/>
          <w:szCs w:val="22"/>
        </w:rPr>
        <w:t>, accomunando prestatori di lavoro proprio e organizzatori di lavoro altrui</w:t>
      </w:r>
      <w:r w:rsidR="002C0F5D" w:rsidRPr="007F7EBF">
        <w:rPr>
          <w:sz w:val="22"/>
          <w:szCs w:val="22"/>
        </w:rPr>
        <w:t>, ha confuso i</w:t>
      </w:r>
      <w:r w:rsidR="00F86183" w:rsidRPr="007F7EBF">
        <w:rPr>
          <w:sz w:val="22"/>
          <w:szCs w:val="22"/>
        </w:rPr>
        <w:t xml:space="preserve">l concetto di "imprenditore" ai fin fiscali, </w:t>
      </w:r>
      <w:r w:rsidR="002C0F5D" w:rsidRPr="007F7EBF">
        <w:rPr>
          <w:sz w:val="22"/>
          <w:szCs w:val="22"/>
        </w:rPr>
        <w:t xml:space="preserve">costringendo a precisare costantemente se parliamo </w:t>
      </w:r>
      <w:r w:rsidR="00F86183" w:rsidRPr="007F7EBF">
        <w:rPr>
          <w:sz w:val="22"/>
          <w:szCs w:val="22"/>
        </w:rPr>
        <w:t>di un individuo o di un</w:t>
      </w:r>
      <w:r w:rsidR="002C0F5D" w:rsidRPr="007F7EBF">
        <w:rPr>
          <w:sz w:val="22"/>
          <w:szCs w:val="22"/>
        </w:rPr>
        <w:t xml:space="preserve">’azienda </w:t>
      </w:r>
      <w:r w:rsidR="00F86183" w:rsidRPr="007F7EBF">
        <w:rPr>
          <w:sz w:val="22"/>
          <w:szCs w:val="22"/>
        </w:rPr>
        <w:t xml:space="preserve">pluripersonale. </w:t>
      </w:r>
    </w:p>
    <w:p w14:paraId="1AAC6D2A" w14:textId="77777777" w:rsidR="003B4AC5" w:rsidRPr="007F7EBF" w:rsidRDefault="003B4AC5" w:rsidP="003B4AC5">
      <w:pPr>
        <w:pStyle w:val="tit23"/>
        <w:ind w:left="6464" w:right="-1361" w:firstLine="0"/>
        <w:jc w:val="left"/>
        <w:rPr>
          <w:bCs/>
          <w:i/>
          <w:iCs/>
          <w:color w:val="0000FF"/>
          <w:lang w:val="it-IT"/>
        </w:rPr>
      </w:pPr>
      <w:r w:rsidRPr="007F7EBF">
        <w:rPr>
          <w:bCs/>
          <w:i/>
          <w:iCs/>
          <w:color w:val="0000FF"/>
          <w:lang w:val="it-IT"/>
        </w:rPr>
        <w:t>confini dell’impresa fiscale</w:t>
      </w:r>
    </w:p>
    <w:p w14:paraId="63E4B28E" w14:textId="355A2AAC" w:rsidR="00362E0C" w:rsidRPr="007F7EBF" w:rsidRDefault="002C0F5D" w:rsidP="003E1734">
      <w:pPr>
        <w:autoSpaceDE w:val="0"/>
        <w:autoSpaceDN w:val="0"/>
        <w:adjustRightInd w:val="0"/>
        <w:rPr>
          <w:bCs/>
          <w:i/>
          <w:iCs/>
          <w:color w:val="0000FF"/>
          <w:sz w:val="22"/>
          <w:szCs w:val="22"/>
        </w:rPr>
      </w:pPr>
      <w:r w:rsidRPr="007F7EBF">
        <w:rPr>
          <w:sz w:val="22"/>
          <w:szCs w:val="22"/>
        </w:rPr>
        <w:t>Da quest’</w:t>
      </w:r>
      <w:r w:rsidR="003B4AC5" w:rsidRPr="007F7EBF">
        <w:rPr>
          <w:sz w:val="22"/>
          <w:szCs w:val="22"/>
        </w:rPr>
        <w:t>amplissimo e variegato</w:t>
      </w:r>
      <w:r w:rsidRPr="007F7EBF">
        <w:rPr>
          <w:sz w:val="22"/>
          <w:szCs w:val="22"/>
        </w:rPr>
        <w:t xml:space="preserve"> concetto di “impresa fiscale” restano fuori </w:t>
      </w:r>
      <w:r w:rsidR="003B4AC5" w:rsidRPr="007F7EBF">
        <w:rPr>
          <w:sz w:val="22"/>
          <w:szCs w:val="22"/>
        </w:rPr>
        <w:t xml:space="preserve">solo le </w:t>
      </w:r>
      <w:r w:rsidR="00A231BC">
        <w:rPr>
          <w:sz w:val="22"/>
          <w:szCs w:val="22"/>
        </w:rPr>
        <w:t>già indicate attività occasionali (</w:t>
      </w:r>
      <w:r w:rsidR="00A231BC">
        <w:rPr>
          <w:rStyle w:val="Rimandonotaapidipagina"/>
          <w:sz w:val="22"/>
          <w:szCs w:val="22"/>
        </w:rPr>
        <w:footnoteReference w:id="1034"/>
      </w:r>
      <w:r w:rsidR="00A231BC">
        <w:rPr>
          <w:sz w:val="22"/>
          <w:szCs w:val="22"/>
        </w:rPr>
        <w:t xml:space="preserve">), le </w:t>
      </w:r>
      <w:r w:rsidR="003B4AC5" w:rsidRPr="007F7EBF">
        <w:rPr>
          <w:bCs/>
          <w:sz w:val="22"/>
          <w:szCs w:val="22"/>
        </w:rPr>
        <w:t>imprese agricole (</w:t>
      </w:r>
      <w:r w:rsidR="003B4AC5" w:rsidRPr="007F7EBF">
        <w:rPr>
          <w:sz w:val="22"/>
          <w:szCs w:val="22"/>
        </w:rPr>
        <w:t xml:space="preserve">paragrafo 8.2), gli </w:t>
      </w:r>
      <w:r w:rsidR="003B4AC5" w:rsidRPr="007F7EBF">
        <w:rPr>
          <w:bCs/>
          <w:sz w:val="22"/>
          <w:szCs w:val="22"/>
        </w:rPr>
        <w:t xml:space="preserve">investimenti di capitale </w:t>
      </w:r>
      <w:r w:rsidR="003B4AC5" w:rsidRPr="007F7EBF">
        <w:rPr>
          <w:sz w:val="22"/>
          <w:szCs w:val="22"/>
        </w:rPr>
        <w:t>finanziario a titolo di partecipazione o prestito (paragrafo 8.5), le già indicate attività libero professionali e assimilate, determinate, come già anticipato, con criteri molto simili a quelli d’impresa</w:t>
      </w:r>
      <w:r w:rsidR="00A231BC">
        <w:rPr>
          <w:sz w:val="22"/>
          <w:szCs w:val="22"/>
        </w:rPr>
        <w:t xml:space="preserve"> (par.8.1)</w:t>
      </w:r>
      <w:r w:rsidR="003B4AC5" w:rsidRPr="007F7EBF">
        <w:rPr>
          <w:sz w:val="22"/>
          <w:szCs w:val="22"/>
        </w:rPr>
        <w:t>.</w:t>
      </w:r>
    </w:p>
    <w:p w14:paraId="57A2EAAB" w14:textId="77777777" w:rsidR="002223AF" w:rsidRPr="007F7EBF" w:rsidRDefault="002223AF" w:rsidP="002223AF">
      <w:pPr>
        <w:pStyle w:val="tit23"/>
        <w:ind w:left="6464" w:right="-1361" w:firstLine="0"/>
        <w:jc w:val="left"/>
        <w:rPr>
          <w:bCs/>
          <w:i/>
          <w:iCs/>
          <w:color w:val="0000FF"/>
          <w:lang w:val="it-IT"/>
        </w:rPr>
      </w:pPr>
      <w:r w:rsidRPr="007F7EBF">
        <w:rPr>
          <w:bCs/>
          <w:i/>
          <w:iCs/>
          <w:color w:val="0000FF"/>
          <w:lang w:val="it-IT"/>
        </w:rPr>
        <w:t>Società come “imprese fiscali”</w:t>
      </w:r>
    </w:p>
    <w:p w14:paraId="616E0148" w14:textId="429F3E22" w:rsidR="0006374D" w:rsidRPr="007F7EBF" w:rsidRDefault="006342C5" w:rsidP="00A231BC">
      <w:pPr>
        <w:autoSpaceDE w:val="0"/>
        <w:autoSpaceDN w:val="0"/>
        <w:adjustRightInd w:val="0"/>
        <w:rPr>
          <w:b/>
          <w:bCs/>
          <w:i/>
          <w:iCs/>
          <w:color w:val="0000FF"/>
        </w:rPr>
      </w:pPr>
      <w:r w:rsidRPr="007F7EBF">
        <w:rPr>
          <w:sz w:val="22"/>
          <w:szCs w:val="22"/>
        </w:rPr>
        <w:t>La proliferazione formale degli “imprenditori fiscali”, in assenza di aziende, dipende</w:t>
      </w:r>
      <w:r w:rsidR="00B46D53" w:rsidRPr="007F7EBF">
        <w:rPr>
          <w:sz w:val="22"/>
          <w:szCs w:val="22"/>
        </w:rPr>
        <w:t xml:space="preserve"> </w:t>
      </w:r>
      <w:r w:rsidRPr="007F7EBF">
        <w:rPr>
          <w:sz w:val="22"/>
          <w:szCs w:val="22"/>
        </w:rPr>
        <w:t>anche dall’</w:t>
      </w:r>
      <w:r w:rsidRPr="007F7EBF">
        <w:rPr>
          <w:bCs/>
          <w:sz w:val="22"/>
          <w:szCs w:val="22"/>
        </w:rPr>
        <w:t xml:space="preserve">inserimento </w:t>
      </w:r>
      <w:r w:rsidRPr="007F7EBF">
        <w:rPr>
          <w:sz w:val="22"/>
          <w:szCs w:val="22"/>
        </w:rPr>
        <w:t xml:space="preserve">in tale categoria </w:t>
      </w:r>
      <w:r w:rsidRPr="007F7EBF">
        <w:rPr>
          <w:bCs/>
          <w:sz w:val="22"/>
          <w:szCs w:val="22"/>
        </w:rPr>
        <w:t>di tutte le società commerciali</w:t>
      </w:r>
      <w:r w:rsidRPr="007F7EBF">
        <w:rPr>
          <w:sz w:val="22"/>
          <w:szCs w:val="22"/>
        </w:rPr>
        <w:t>”, di capitali</w:t>
      </w:r>
      <w:r w:rsidR="00A231BC">
        <w:rPr>
          <w:sz w:val="22"/>
          <w:szCs w:val="22"/>
        </w:rPr>
        <w:t xml:space="preserve"> </w:t>
      </w:r>
      <w:r w:rsidRPr="007F7EBF">
        <w:rPr>
          <w:sz w:val="22"/>
          <w:szCs w:val="22"/>
        </w:rPr>
        <w:t>e di persone, a prescindere dall’attività in concreto svolta</w:t>
      </w:r>
      <w:r w:rsidR="00A231BC">
        <w:rPr>
          <w:sz w:val="22"/>
          <w:szCs w:val="22"/>
        </w:rPr>
        <w:t>, e dall’esistenza stessa di un contenuto patrimoniale</w:t>
      </w:r>
      <w:r w:rsidR="00C36F96">
        <w:rPr>
          <w:sz w:val="22"/>
          <w:szCs w:val="22"/>
        </w:rPr>
        <w:t xml:space="preserve"> (</w:t>
      </w:r>
      <w:r w:rsidR="00C36F96">
        <w:rPr>
          <w:rStyle w:val="Rimandonotaapidipagina"/>
          <w:sz w:val="22"/>
          <w:szCs w:val="22"/>
        </w:rPr>
        <w:footnoteReference w:id="1035"/>
      </w:r>
      <w:r w:rsidR="00C36F96">
        <w:rPr>
          <w:sz w:val="22"/>
          <w:szCs w:val="22"/>
        </w:rPr>
        <w:t>)</w:t>
      </w:r>
      <w:r w:rsidRPr="007F7EBF">
        <w:rPr>
          <w:sz w:val="22"/>
          <w:szCs w:val="22"/>
        </w:rPr>
        <w:t xml:space="preserve">. </w:t>
      </w:r>
    </w:p>
    <w:p w14:paraId="54340E8E" w14:textId="5DCFA860" w:rsidR="002223AF" w:rsidRPr="007F7EBF" w:rsidRDefault="006342C5" w:rsidP="002223AF">
      <w:pPr>
        <w:autoSpaceDE w:val="0"/>
        <w:autoSpaceDN w:val="0"/>
        <w:adjustRightInd w:val="0"/>
        <w:rPr>
          <w:sz w:val="22"/>
          <w:szCs w:val="22"/>
        </w:rPr>
      </w:pPr>
      <w:r w:rsidRPr="007F7EBF">
        <w:rPr>
          <w:sz w:val="22"/>
          <w:szCs w:val="22"/>
        </w:rPr>
        <w:lastRenderedPageBreak/>
        <w:t>Quest’inserimento delle</w:t>
      </w:r>
      <w:r w:rsidR="00B46D53" w:rsidRPr="007F7EBF">
        <w:rPr>
          <w:sz w:val="22"/>
          <w:szCs w:val="22"/>
        </w:rPr>
        <w:t xml:space="preserve"> </w:t>
      </w:r>
      <w:r w:rsidRPr="007F7EBF">
        <w:rPr>
          <w:sz w:val="22"/>
          <w:szCs w:val="22"/>
        </w:rPr>
        <w:t>società tra le “imprese fiscali”, in virtù della</w:t>
      </w:r>
      <w:r w:rsidR="00B46D53" w:rsidRPr="007F7EBF">
        <w:rPr>
          <w:sz w:val="22"/>
          <w:szCs w:val="22"/>
        </w:rPr>
        <w:t xml:space="preserve">  l</w:t>
      </w:r>
      <w:r w:rsidRPr="007F7EBF">
        <w:rPr>
          <w:sz w:val="22"/>
          <w:szCs w:val="22"/>
        </w:rPr>
        <w:t xml:space="preserve">oro mera forma giuridica, ha </w:t>
      </w:r>
      <w:r w:rsidRPr="007F7EBF">
        <w:rPr>
          <w:bCs/>
          <w:sz w:val="22"/>
          <w:szCs w:val="22"/>
        </w:rPr>
        <w:t xml:space="preserve">ulteriormente moltiplicato i </w:t>
      </w:r>
      <w:r w:rsidR="00A231BC">
        <w:rPr>
          <w:bCs/>
          <w:sz w:val="22"/>
          <w:szCs w:val="22"/>
        </w:rPr>
        <w:t>“</w:t>
      </w:r>
      <w:r w:rsidRPr="007F7EBF">
        <w:rPr>
          <w:bCs/>
          <w:sz w:val="22"/>
          <w:szCs w:val="22"/>
        </w:rPr>
        <w:t xml:space="preserve">soggetti </w:t>
      </w:r>
      <w:r w:rsidR="00A231BC">
        <w:rPr>
          <w:bCs/>
          <w:sz w:val="22"/>
          <w:szCs w:val="22"/>
        </w:rPr>
        <w:t xml:space="preserve">IVA”; </w:t>
      </w:r>
      <w:proofErr w:type="spellStart"/>
      <w:r w:rsidR="00A231BC">
        <w:rPr>
          <w:bCs/>
          <w:sz w:val="22"/>
          <w:szCs w:val="22"/>
        </w:rPr>
        <w:t>benchè</w:t>
      </w:r>
      <w:proofErr w:type="spellEnd"/>
      <w:r w:rsidR="00A231BC">
        <w:rPr>
          <w:bCs/>
          <w:sz w:val="22"/>
          <w:szCs w:val="22"/>
        </w:rPr>
        <w:t xml:space="preserve"> </w:t>
      </w:r>
      <w:r w:rsidR="009E111C" w:rsidRPr="007F7EBF">
        <w:rPr>
          <w:bCs/>
          <w:sz w:val="22"/>
          <w:szCs w:val="22"/>
        </w:rPr>
        <w:t>l</w:t>
      </w:r>
      <w:r w:rsidR="009E111C" w:rsidRPr="007F7EBF">
        <w:rPr>
          <w:sz w:val="22"/>
          <w:szCs w:val="22"/>
        </w:rPr>
        <w:t xml:space="preserve">e poche decine di migliaia di aziende pluripersonali </w:t>
      </w:r>
      <w:r w:rsidR="002223AF" w:rsidRPr="007F7EBF">
        <w:rPr>
          <w:sz w:val="22"/>
          <w:szCs w:val="22"/>
        </w:rPr>
        <w:t>operative</w:t>
      </w:r>
      <w:r w:rsidR="009E111C" w:rsidRPr="007F7EBF">
        <w:rPr>
          <w:sz w:val="22"/>
          <w:szCs w:val="22"/>
        </w:rPr>
        <w:t xml:space="preserve"> </w:t>
      </w:r>
      <w:r w:rsidR="00A231BC">
        <w:rPr>
          <w:sz w:val="22"/>
          <w:szCs w:val="22"/>
        </w:rPr>
        <w:t xml:space="preserve">siano giuridicamente costituite in forma di società, esse sono </w:t>
      </w:r>
      <w:r w:rsidR="009E111C" w:rsidRPr="007F7EBF">
        <w:rPr>
          <w:sz w:val="22"/>
          <w:szCs w:val="22"/>
        </w:rPr>
        <w:t xml:space="preserve"> numericamente irrilevanti rispetto a circa un milione di società </w:t>
      </w:r>
      <w:r w:rsidR="003B4AC5" w:rsidRPr="007F7EBF">
        <w:rPr>
          <w:sz w:val="22"/>
          <w:szCs w:val="22"/>
        </w:rPr>
        <w:t>senza impresa</w:t>
      </w:r>
      <w:r w:rsidR="002223AF" w:rsidRPr="007F7EBF">
        <w:rPr>
          <w:sz w:val="22"/>
          <w:szCs w:val="22"/>
        </w:rPr>
        <w:t>. S</w:t>
      </w:r>
      <w:r w:rsidR="009E111C" w:rsidRPr="007F7EBF">
        <w:rPr>
          <w:bCs/>
          <w:sz w:val="22"/>
          <w:szCs w:val="22"/>
        </w:rPr>
        <w:t xml:space="preserve">pesso si tratta di società </w:t>
      </w:r>
      <w:r w:rsidR="003B4AC5" w:rsidRPr="007F7EBF">
        <w:rPr>
          <w:sz w:val="22"/>
          <w:szCs w:val="22"/>
        </w:rPr>
        <w:t xml:space="preserve">prive di </w:t>
      </w:r>
      <w:r w:rsidR="009E111C" w:rsidRPr="007F7EBF">
        <w:rPr>
          <w:sz w:val="22"/>
          <w:szCs w:val="22"/>
        </w:rPr>
        <w:t xml:space="preserve">contenuto, in attesa di un possibile futuro utilizzo. Altre volte si tratta di società intestatarie di beni immobili, partecipazioni </w:t>
      </w:r>
      <w:r w:rsidR="002223AF" w:rsidRPr="007F7EBF">
        <w:rPr>
          <w:sz w:val="22"/>
          <w:szCs w:val="22"/>
        </w:rPr>
        <w:t xml:space="preserve">, imbarcazioni, </w:t>
      </w:r>
      <w:proofErr w:type="spellStart"/>
      <w:r w:rsidR="009E111C" w:rsidRPr="007F7EBF">
        <w:rPr>
          <w:sz w:val="22"/>
          <w:szCs w:val="22"/>
        </w:rPr>
        <w:t>etc</w:t>
      </w:r>
      <w:proofErr w:type="spellEnd"/>
      <w:r w:rsidR="009E111C" w:rsidRPr="007F7EBF">
        <w:rPr>
          <w:sz w:val="22"/>
          <w:szCs w:val="22"/>
        </w:rPr>
        <w:t>, in modo da spersonalizzare la ricchezza rispetto alla diretta detenzione personale</w:t>
      </w:r>
      <w:r w:rsidR="002223AF" w:rsidRPr="007F7EBF">
        <w:rPr>
          <w:sz w:val="22"/>
          <w:szCs w:val="22"/>
        </w:rPr>
        <w:t>, sostituendo istituti come la fondazione di famiglia o il trust</w:t>
      </w:r>
      <w:r w:rsidR="002223AF" w:rsidRPr="007F7EBF">
        <w:rPr>
          <w:rStyle w:val="Rimandonotaapidipagina"/>
          <w:sz w:val="22"/>
          <w:szCs w:val="22"/>
        </w:rPr>
        <w:footnoteReference w:id="1036"/>
      </w:r>
      <w:r w:rsidR="002223AF" w:rsidRPr="007F7EBF">
        <w:rPr>
          <w:sz w:val="22"/>
          <w:szCs w:val="22"/>
        </w:rPr>
        <w:t xml:space="preserve">. </w:t>
      </w:r>
    </w:p>
    <w:p w14:paraId="6C1F50E6" w14:textId="77777777" w:rsidR="002223AF" w:rsidRPr="007F7EBF" w:rsidRDefault="002223AF" w:rsidP="002223AF">
      <w:pPr>
        <w:pStyle w:val="tit23"/>
        <w:ind w:left="6464" w:right="-1361" w:firstLine="0"/>
        <w:jc w:val="left"/>
        <w:rPr>
          <w:bCs/>
          <w:i/>
          <w:iCs/>
          <w:color w:val="0000FF"/>
          <w:lang w:val="it-IT"/>
        </w:rPr>
      </w:pPr>
      <w:r w:rsidRPr="007F7EBF">
        <w:rPr>
          <w:bCs/>
          <w:i/>
          <w:iCs/>
          <w:color w:val="0000FF"/>
          <w:lang w:val="it-IT"/>
        </w:rPr>
        <w:t>società non operative: una normativa mediatica</w:t>
      </w:r>
    </w:p>
    <w:p w14:paraId="086F764D" w14:textId="77777777" w:rsidR="003B4AC5" w:rsidRPr="007F7EBF" w:rsidRDefault="009E111C" w:rsidP="003B4AC5">
      <w:pPr>
        <w:autoSpaceDE w:val="0"/>
        <w:autoSpaceDN w:val="0"/>
        <w:adjustRightInd w:val="0"/>
        <w:rPr>
          <w:sz w:val="22"/>
          <w:szCs w:val="22"/>
        </w:rPr>
      </w:pPr>
      <w:r w:rsidRPr="007F7EBF">
        <w:rPr>
          <w:sz w:val="22"/>
          <w:szCs w:val="22"/>
        </w:rPr>
        <w:t xml:space="preserve">Da queste finalità, tutto sommato extrafiscali, </w:t>
      </w:r>
      <w:r w:rsidR="002223AF" w:rsidRPr="007F7EBF">
        <w:rPr>
          <w:sz w:val="22"/>
          <w:szCs w:val="22"/>
        </w:rPr>
        <w:t>o fiscalmente innocue</w:t>
      </w:r>
      <w:r w:rsidR="002223AF" w:rsidRPr="007F7EBF">
        <w:rPr>
          <w:rStyle w:val="Rimandonotaapidipagina"/>
          <w:sz w:val="22"/>
          <w:szCs w:val="22"/>
        </w:rPr>
        <w:footnoteReference w:id="1037"/>
      </w:r>
      <w:r w:rsidR="002223AF" w:rsidRPr="007F7EBF">
        <w:rPr>
          <w:sz w:val="22"/>
          <w:szCs w:val="22"/>
        </w:rPr>
        <w:t xml:space="preserve">, </w:t>
      </w:r>
      <w:r w:rsidRPr="007F7EBF">
        <w:rPr>
          <w:sz w:val="22"/>
          <w:szCs w:val="22"/>
        </w:rPr>
        <w:t>sono nati equivoci di ogni tipo</w:t>
      </w:r>
      <w:r w:rsidR="005A755E" w:rsidRPr="007F7EBF">
        <w:rPr>
          <w:sz w:val="22"/>
          <w:szCs w:val="22"/>
        </w:rPr>
        <w:t>, tra cui l'ormai pluridecennale regime delle</w:t>
      </w:r>
      <w:r w:rsidR="006342C5" w:rsidRPr="007F7EBF">
        <w:rPr>
          <w:sz w:val="22"/>
          <w:szCs w:val="22"/>
        </w:rPr>
        <w:t xml:space="preserve"> società c.d. “di comodo”</w:t>
      </w:r>
      <w:r w:rsidR="00B46D53" w:rsidRPr="007F7EBF">
        <w:rPr>
          <w:sz w:val="22"/>
          <w:szCs w:val="22"/>
        </w:rPr>
        <w:t xml:space="preserve"> </w:t>
      </w:r>
      <w:r w:rsidR="005A755E" w:rsidRPr="007F7EBF">
        <w:rPr>
          <w:sz w:val="22"/>
          <w:szCs w:val="22"/>
        </w:rPr>
        <w:t>(</w:t>
      </w:r>
      <w:r w:rsidR="005A755E" w:rsidRPr="007F7EBF">
        <w:rPr>
          <w:rStyle w:val="Rimandonotaapidipagina"/>
          <w:sz w:val="22"/>
          <w:szCs w:val="22"/>
        </w:rPr>
        <w:footnoteReference w:id="1038"/>
      </w:r>
      <w:r w:rsidR="006342C5" w:rsidRPr="007F7EBF">
        <w:rPr>
          <w:sz w:val="22"/>
          <w:szCs w:val="22"/>
        </w:rPr>
        <w:t>)</w:t>
      </w:r>
      <w:r w:rsidR="005A755E" w:rsidRPr="007F7EBF">
        <w:rPr>
          <w:sz w:val="22"/>
          <w:szCs w:val="22"/>
        </w:rPr>
        <w:t>, nei cui confronti è presunto un reddito percentuale al patrimonio; è un assurdo s</w:t>
      </w:r>
      <w:r w:rsidR="002223AF" w:rsidRPr="007F7EBF">
        <w:rPr>
          <w:sz w:val="22"/>
          <w:szCs w:val="22"/>
        </w:rPr>
        <w:t xml:space="preserve">ul piano </w:t>
      </w:r>
      <w:r w:rsidR="005A755E" w:rsidRPr="007F7EBF">
        <w:rPr>
          <w:sz w:val="22"/>
          <w:szCs w:val="22"/>
        </w:rPr>
        <w:t xml:space="preserve">logico </w:t>
      </w:r>
      <w:r w:rsidR="002223AF" w:rsidRPr="007F7EBF">
        <w:rPr>
          <w:sz w:val="22"/>
          <w:szCs w:val="22"/>
        </w:rPr>
        <w:t>della determinazione della ricchezza</w:t>
      </w:r>
      <w:r w:rsidR="005A755E" w:rsidRPr="007F7EBF">
        <w:rPr>
          <w:sz w:val="22"/>
          <w:szCs w:val="22"/>
        </w:rPr>
        <w:t xml:space="preserve"> introdotto per finalità mediatiche (</w:t>
      </w:r>
      <w:r w:rsidR="005A755E" w:rsidRPr="007F7EBF">
        <w:rPr>
          <w:rStyle w:val="Rimandonotaapidipagina"/>
          <w:sz w:val="22"/>
          <w:szCs w:val="22"/>
        </w:rPr>
        <w:footnoteReference w:id="1039"/>
      </w:r>
      <w:r w:rsidR="002223AF" w:rsidRPr="007F7EBF">
        <w:rPr>
          <w:sz w:val="22"/>
          <w:szCs w:val="22"/>
        </w:rPr>
        <w:t xml:space="preserve">), </w:t>
      </w:r>
      <w:r w:rsidR="003B4AC5" w:rsidRPr="007F7EBF">
        <w:rPr>
          <w:sz w:val="22"/>
          <w:szCs w:val="22"/>
        </w:rPr>
        <w:t>rispetto alle</w:t>
      </w:r>
      <w:r w:rsidR="006342C5" w:rsidRPr="007F7EBF">
        <w:rPr>
          <w:sz w:val="22"/>
          <w:szCs w:val="22"/>
        </w:rPr>
        <w:t xml:space="preserve"> qual</w:t>
      </w:r>
      <w:r w:rsidR="003B4AC5" w:rsidRPr="007F7EBF">
        <w:rPr>
          <w:sz w:val="22"/>
          <w:szCs w:val="22"/>
        </w:rPr>
        <w:t>i</w:t>
      </w:r>
      <w:r w:rsidR="002223AF" w:rsidRPr="007F7EBF">
        <w:rPr>
          <w:sz w:val="22"/>
          <w:szCs w:val="22"/>
        </w:rPr>
        <w:t xml:space="preserve"> </w:t>
      </w:r>
      <w:r w:rsidR="006342C5" w:rsidRPr="007F7EBF">
        <w:rPr>
          <w:sz w:val="22"/>
          <w:szCs w:val="22"/>
        </w:rPr>
        <w:t>nessuno osa alzare la voce, in quanto “le società di comodo” non sono organizzate sindacalmente (</w:t>
      </w:r>
      <w:r w:rsidR="003B4AC5" w:rsidRPr="007F7EBF">
        <w:rPr>
          <w:rStyle w:val="Rimandonotaapidipagina"/>
          <w:sz w:val="22"/>
          <w:szCs w:val="22"/>
        </w:rPr>
        <w:footnoteReference w:id="1040"/>
      </w:r>
      <w:r w:rsidR="006342C5" w:rsidRPr="007F7EBF">
        <w:rPr>
          <w:sz w:val="22"/>
          <w:szCs w:val="22"/>
        </w:rPr>
        <w:t>).</w:t>
      </w:r>
      <w:r w:rsidR="00B46D53" w:rsidRPr="007F7EBF">
        <w:rPr>
          <w:bCs/>
          <w:i/>
          <w:iCs/>
          <w:color w:val="0000FF"/>
          <w:sz w:val="22"/>
          <w:szCs w:val="22"/>
        </w:rPr>
        <w:t xml:space="preserve"> </w:t>
      </w:r>
    </w:p>
    <w:p w14:paraId="371A2D6F" w14:textId="4776BD40" w:rsidR="003B4AC5" w:rsidRPr="007F7EBF" w:rsidRDefault="003B4AC5" w:rsidP="003B4AC5">
      <w:pPr>
        <w:pStyle w:val="tit23"/>
        <w:ind w:left="6464" w:right="-1361" w:firstLine="0"/>
        <w:jc w:val="left"/>
        <w:rPr>
          <w:bCs/>
          <w:i/>
          <w:iCs/>
          <w:color w:val="0000FF"/>
          <w:lang w:val="it-IT"/>
        </w:rPr>
      </w:pPr>
      <w:r w:rsidRPr="007F7EBF">
        <w:rPr>
          <w:bCs/>
          <w:i/>
          <w:iCs/>
          <w:color w:val="0000FF"/>
          <w:lang w:val="it-IT"/>
        </w:rPr>
        <w:t xml:space="preserve">enti </w:t>
      </w:r>
      <w:r w:rsidR="0006374D" w:rsidRPr="007F7EBF">
        <w:rPr>
          <w:bCs/>
          <w:i/>
          <w:iCs/>
          <w:color w:val="0000FF"/>
          <w:lang w:val="it-IT"/>
        </w:rPr>
        <w:t>non societari</w:t>
      </w:r>
      <w:r w:rsidR="00002BCC">
        <w:rPr>
          <w:bCs/>
          <w:i/>
          <w:iCs/>
          <w:color w:val="0000FF"/>
          <w:lang w:val="it-IT"/>
        </w:rPr>
        <w:t xml:space="preserve"> e no profit</w:t>
      </w:r>
    </w:p>
    <w:p w14:paraId="49EB6C87" w14:textId="50FA84D9" w:rsidR="007A33AF" w:rsidRDefault="006342C5" w:rsidP="00002BCC">
      <w:pPr>
        <w:autoSpaceDE w:val="0"/>
        <w:autoSpaceDN w:val="0"/>
        <w:adjustRightInd w:val="0"/>
        <w:rPr>
          <w:sz w:val="22"/>
          <w:szCs w:val="22"/>
        </w:rPr>
      </w:pPr>
      <w:r w:rsidRPr="007F7EBF">
        <w:rPr>
          <w:sz w:val="22"/>
          <w:szCs w:val="22"/>
        </w:rPr>
        <w:lastRenderedPageBreak/>
        <w:t xml:space="preserve">Anche </w:t>
      </w:r>
      <w:r w:rsidRPr="007F7EBF">
        <w:rPr>
          <w:bCs/>
          <w:sz w:val="22"/>
          <w:szCs w:val="22"/>
        </w:rPr>
        <w:t>enti non societari</w:t>
      </w:r>
      <w:r w:rsidR="00FC3885">
        <w:rPr>
          <w:bCs/>
          <w:sz w:val="22"/>
          <w:szCs w:val="22"/>
        </w:rPr>
        <w:t>, associazioni, fondazioni, enti religiosi, enti pubblici di varia natura</w:t>
      </w:r>
      <w:r w:rsidRPr="007F7EBF">
        <w:rPr>
          <w:bCs/>
          <w:sz w:val="22"/>
          <w:szCs w:val="22"/>
        </w:rPr>
        <w:t xml:space="preserve"> </w:t>
      </w:r>
      <w:r w:rsidRPr="007F7EBF">
        <w:rPr>
          <w:sz w:val="22"/>
          <w:szCs w:val="22"/>
        </w:rPr>
        <w:t xml:space="preserve">possono </w:t>
      </w:r>
      <w:r w:rsidR="00FC3885">
        <w:rPr>
          <w:sz w:val="22"/>
          <w:szCs w:val="22"/>
        </w:rPr>
        <w:t xml:space="preserve">svolgere attività </w:t>
      </w:r>
      <w:r w:rsidRPr="007F7EBF">
        <w:rPr>
          <w:sz w:val="22"/>
          <w:szCs w:val="22"/>
        </w:rPr>
        <w:t xml:space="preserve">commerciali “collaterali” a quella istituzionale, </w:t>
      </w:r>
      <w:r w:rsidR="00FC3885">
        <w:rPr>
          <w:sz w:val="22"/>
          <w:szCs w:val="22"/>
        </w:rPr>
        <w:t xml:space="preserve">didattiche, culturali, assistenziali, ricreative sportive etc.; si pensi alle </w:t>
      </w:r>
      <w:r w:rsidRPr="007F7EBF">
        <w:rPr>
          <w:sz w:val="22"/>
          <w:szCs w:val="22"/>
        </w:rPr>
        <w:t>scuole private</w:t>
      </w:r>
      <w:r w:rsidR="00FC3885">
        <w:rPr>
          <w:sz w:val="22"/>
          <w:szCs w:val="22"/>
        </w:rPr>
        <w:t xml:space="preserve"> o all’ospitalità alberghiera da parte degli enti religiosi</w:t>
      </w:r>
      <w:r w:rsidRPr="007F7EBF">
        <w:rPr>
          <w:sz w:val="22"/>
          <w:szCs w:val="22"/>
        </w:rPr>
        <w:t>. Sono prestazioni che assumono rilevanza</w:t>
      </w:r>
      <w:r w:rsidR="00FC3885">
        <w:rPr>
          <w:sz w:val="22"/>
          <w:szCs w:val="22"/>
        </w:rPr>
        <w:t xml:space="preserve"> </w:t>
      </w:r>
      <w:r w:rsidRPr="007F7EBF">
        <w:rPr>
          <w:sz w:val="22"/>
          <w:szCs w:val="22"/>
        </w:rPr>
        <w:t>IVA ,se “abituali”, a prescindere dal “fine di lucro”, in quanto l’IVA colpisce i consumi,</w:t>
      </w:r>
      <w:r w:rsidR="00B46D53" w:rsidRPr="007F7EBF">
        <w:rPr>
          <w:sz w:val="22"/>
          <w:szCs w:val="22"/>
        </w:rPr>
        <w:t xml:space="preserve"> </w:t>
      </w:r>
      <w:r w:rsidRPr="007F7EBF">
        <w:rPr>
          <w:sz w:val="22"/>
          <w:szCs w:val="22"/>
        </w:rPr>
        <w:t xml:space="preserve">e non i redditi. </w:t>
      </w:r>
      <w:r w:rsidR="007A33AF">
        <w:rPr>
          <w:sz w:val="22"/>
          <w:szCs w:val="22"/>
        </w:rPr>
        <w:t xml:space="preserve">Per determinare i redditi degli enti non societari valgono i </w:t>
      </w:r>
      <w:r w:rsidR="007A33AF" w:rsidRPr="007F7EBF">
        <w:t xml:space="preserve">criteri generali delle persone fisiche, </w:t>
      </w:r>
      <w:r w:rsidR="007A33AF">
        <w:t xml:space="preserve">senza alcuna semplicistica generale trasformazione in redditi d’impresa come detto sopra per le società. Gli enti non commerciali avranno quindi le varie tipologie di reddito di cui sussistono i presupposti economici, indicate ai par.8.1 ss. </w:t>
      </w:r>
    </w:p>
    <w:p w14:paraId="688F86D6" w14:textId="6DE3B801" w:rsidR="0006374D" w:rsidRPr="007F7EBF" w:rsidRDefault="002C0F5D" w:rsidP="00002BCC">
      <w:pPr>
        <w:autoSpaceDE w:val="0"/>
        <w:autoSpaceDN w:val="0"/>
        <w:adjustRightInd w:val="0"/>
        <w:rPr>
          <w:bCs/>
          <w:i/>
          <w:iCs/>
          <w:color w:val="0000FF"/>
        </w:rPr>
      </w:pPr>
      <w:r w:rsidRPr="007F7EBF">
        <w:rPr>
          <w:sz w:val="22"/>
          <w:szCs w:val="22"/>
        </w:rPr>
        <w:t xml:space="preserve">In questa categoria rientra </w:t>
      </w:r>
      <w:r w:rsidR="00FC3885">
        <w:rPr>
          <w:sz w:val="22"/>
          <w:szCs w:val="22"/>
        </w:rPr>
        <w:t xml:space="preserve">anche </w:t>
      </w:r>
      <w:r w:rsidRPr="007F7EBF">
        <w:rPr>
          <w:sz w:val="22"/>
          <w:szCs w:val="22"/>
        </w:rPr>
        <w:t>il c.d. “no profit”, o “terzo settore”</w:t>
      </w:r>
      <w:r w:rsidR="00FC3885">
        <w:rPr>
          <w:sz w:val="22"/>
          <w:szCs w:val="22"/>
        </w:rPr>
        <w:t>(</w:t>
      </w:r>
      <w:r w:rsidR="008B30BE" w:rsidRPr="007F7EBF">
        <w:rPr>
          <w:rStyle w:val="Rimandonotaapidipagina"/>
          <w:sz w:val="22"/>
          <w:szCs w:val="22"/>
        </w:rPr>
        <w:footnoteReference w:id="1041"/>
      </w:r>
      <w:r w:rsidR="00FC3885">
        <w:rPr>
          <w:sz w:val="22"/>
          <w:szCs w:val="22"/>
        </w:rPr>
        <w:t>)</w:t>
      </w:r>
      <w:r w:rsidR="007A33AF">
        <w:rPr>
          <w:sz w:val="22"/>
          <w:szCs w:val="22"/>
        </w:rPr>
        <w:t xml:space="preserve"> nonché </w:t>
      </w:r>
      <w:r w:rsidR="00002BCC">
        <w:rPr>
          <w:sz w:val="22"/>
          <w:szCs w:val="22"/>
        </w:rPr>
        <w:t>le</w:t>
      </w:r>
      <w:r w:rsidR="006342C5" w:rsidRPr="007F7EBF">
        <w:rPr>
          <w:sz w:val="22"/>
          <w:szCs w:val="22"/>
        </w:rPr>
        <w:t xml:space="preserve"> </w:t>
      </w:r>
      <w:r w:rsidR="006342C5" w:rsidRPr="007F7EBF">
        <w:rPr>
          <w:bCs/>
          <w:sz w:val="22"/>
          <w:szCs w:val="22"/>
        </w:rPr>
        <w:t xml:space="preserve">associazioni </w:t>
      </w:r>
      <w:r w:rsidR="008D124F" w:rsidRPr="007F7EBF">
        <w:rPr>
          <w:sz w:val="22"/>
          <w:szCs w:val="22"/>
        </w:rPr>
        <w:t>politico, sindacali</w:t>
      </w:r>
      <w:r w:rsidR="006342C5" w:rsidRPr="007F7EBF">
        <w:rPr>
          <w:sz w:val="22"/>
          <w:szCs w:val="22"/>
        </w:rPr>
        <w:t xml:space="preserve">, </w:t>
      </w:r>
      <w:r w:rsidR="008D124F" w:rsidRPr="007F7EBF">
        <w:rPr>
          <w:sz w:val="22"/>
          <w:szCs w:val="22"/>
        </w:rPr>
        <w:t>che perseguono finalità generali, anche ambientali, culturali o "di promozione sociale"</w:t>
      </w:r>
      <w:r w:rsidR="00C06EEA" w:rsidRPr="007F7EBF">
        <w:rPr>
          <w:sz w:val="22"/>
          <w:szCs w:val="22"/>
        </w:rPr>
        <w:t xml:space="preserve">, si reggono con contributi degli associati, privi di carattere di corrispettività, e quindi estranei al concetto di consumo o di reddito. </w:t>
      </w:r>
      <w:r w:rsidR="008D124F" w:rsidRPr="007F7EBF">
        <w:rPr>
          <w:sz w:val="22"/>
          <w:szCs w:val="22"/>
        </w:rPr>
        <w:t xml:space="preserve"> Qu</w:t>
      </w:r>
      <w:r w:rsidR="00C06EEA" w:rsidRPr="007F7EBF">
        <w:rPr>
          <w:sz w:val="22"/>
          <w:szCs w:val="22"/>
        </w:rPr>
        <w:t xml:space="preserve">esto </w:t>
      </w:r>
      <w:r w:rsidR="009C780F" w:rsidRPr="007F7EBF">
        <w:rPr>
          <w:sz w:val="22"/>
          <w:szCs w:val="22"/>
        </w:rPr>
        <w:t xml:space="preserve">vale </w:t>
      </w:r>
      <w:r w:rsidR="00C06EEA" w:rsidRPr="007F7EBF">
        <w:rPr>
          <w:sz w:val="22"/>
          <w:szCs w:val="22"/>
        </w:rPr>
        <w:t xml:space="preserve">anche quando </w:t>
      </w:r>
      <w:r w:rsidR="008D124F" w:rsidRPr="007F7EBF">
        <w:rPr>
          <w:sz w:val="22"/>
          <w:szCs w:val="22"/>
        </w:rPr>
        <w:t xml:space="preserve">la partecipazione comporta una </w:t>
      </w:r>
      <w:r w:rsidR="00C06EEA" w:rsidRPr="007F7EBF">
        <w:rPr>
          <w:sz w:val="22"/>
          <w:szCs w:val="22"/>
        </w:rPr>
        <w:t xml:space="preserve">qualche </w:t>
      </w:r>
      <w:r w:rsidR="008D124F" w:rsidRPr="007F7EBF">
        <w:rPr>
          <w:sz w:val="22"/>
          <w:szCs w:val="22"/>
        </w:rPr>
        <w:t>utilità del</w:t>
      </w:r>
      <w:r w:rsidR="00002BCC">
        <w:rPr>
          <w:sz w:val="22"/>
          <w:szCs w:val="22"/>
        </w:rPr>
        <w:t xml:space="preserve">la controparte </w:t>
      </w:r>
      <w:r w:rsidR="00C06EEA" w:rsidRPr="007F7EBF">
        <w:rPr>
          <w:rStyle w:val="Rimandonotaapidipagina"/>
          <w:sz w:val="22"/>
          <w:szCs w:val="22"/>
        </w:rPr>
        <w:footnoteReference w:id="1042"/>
      </w:r>
      <w:r w:rsidR="009C780F" w:rsidRPr="007F7EBF">
        <w:rPr>
          <w:sz w:val="22"/>
          <w:szCs w:val="22"/>
        </w:rPr>
        <w:t xml:space="preserve">, ed anche quando c'è un mero </w:t>
      </w:r>
      <w:r w:rsidR="006342C5" w:rsidRPr="007F7EBF">
        <w:rPr>
          <w:sz w:val="22"/>
          <w:szCs w:val="22"/>
        </w:rPr>
        <w:t>“</w:t>
      </w:r>
      <w:r w:rsidR="006342C5" w:rsidRPr="007F7EBF">
        <w:rPr>
          <w:i/>
          <w:iCs/>
          <w:sz w:val="22"/>
          <w:szCs w:val="22"/>
        </w:rPr>
        <w:t>consumo collettivo</w:t>
      </w:r>
      <w:r w:rsidR="008D124F" w:rsidRPr="007F7EBF">
        <w:rPr>
          <w:i/>
          <w:iCs/>
          <w:sz w:val="22"/>
          <w:szCs w:val="22"/>
        </w:rPr>
        <w:t xml:space="preserve"> privato</w:t>
      </w:r>
      <w:r w:rsidR="006342C5" w:rsidRPr="007F7EBF">
        <w:rPr>
          <w:sz w:val="22"/>
          <w:szCs w:val="22"/>
        </w:rPr>
        <w:t xml:space="preserve">”, </w:t>
      </w:r>
      <w:r w:rsidR="009C780F" w:rsidRPr="007F7EBF">
        <w:rPr>
          <w:sz w:val="22"/>
          <w:szCs w:val="22"/>
        </w:rPr>
        <w:t>come nelle associazioni sportive o ricreative</w:t>
      </w:r>
      <w:r w:rsidR="00D244A0" w:rsidRPr="007F7EBF">
        <w:rPr>
          <w:sz w:val="22"/>
          <w:szCs w:val="22"/>
        </w:rPr>
        <w:t xml:space="preserve">; </w:t>
      </w:r>
      <w:r w:rsidR="009C780F" w:rsidRPr="007F7EBF">
        <w:rPr>
          <w:sz w:val="22"/>
          <w:szCs w:val="22"/>
        </w:rPr>
        <w:t>le quote associative</w:t>
      </w:r>
      <w:r w:rsidR="00D244A0" w:rsidRPr="007F7EBF">
        <w:rPr>
          <w:sz w:val="22"/>
          <w:szCs w:val="22"/>
        </w:rPr>
        <w:t>, secondo le regole generali,</w:t>
      </w:r>
      <w:r w:rsidR="009C780F" w:rsidRPr="007F7EBF">
        <w:rPr>
          <w:sz w:val="22"/>
          <w:szCs w:val="22"/>
        </w:rPr>
        <w:t xml:space="preserve"> non sono quindi gravate da IVA, </w:t>
      </w:r>
      <w:r w:rsidR="00D244A0" w:rsidRPr="007F7EBF">
        <w:rPr>
          <w:sz w:val="22"/>
          <w:szCs w:val="22"/>
        </w:rPr>
        <w:t xml:space="preserve">in quanto non rappresentano corrispettivi, e l'associazione al tempo stesso non detrae </w:t>
      </w:r>
      <w:r w:rsidR="009C780F" w:rsidRPr="007F7EBF">
        <w:rPr>
          <w:sz w:val="22"/>
          <w:szCs w:val="22"/>
        </w:rPr>
        <w:t>l'IVA sugli acquisti</w:t>
      </w:r>
      <w:r w:rsidR="00F91CAB" w:rsidRPr="007F7EBF">
        <w:rPr>
          <w:sz w:val="22"/>
          <w:szCs w:val="22"/>
        </w:rPr>
        <w:t xml:space="preserve">; </w:t>
      </w:r>
      <w:r w:rsidR="00D244A0" w:rsidRPr="007F7EBF">
        <w:rPr>
          <w:sz w:val="22"/>
          <w:szCs w:val="22"/>
        </w:rPr>
        <w:t xml:space="preserve">occorre verificare di volta in volta quando questo </w:t>
      </w:r>
      <w:r w:rsidR="00F91CAB" w:rsidRPr="007F7EBF">
        <w:rPr>
          <w:sz w:val="22"/>
          <w:szCs w:val="22"/>
        </w:rPr>
        <w:t xml:space="preserve">consumo collettivo </w:t>
      </w:r>
      <w:r w:rsidR="00D244A0" w:rsidRPr="007F7EBF">
        <w:rPr>
          <w:sz w:val="22"/>
          <w:szCs w:val="22"/>
        </w:rPr>
        <w:t>dà invece luogo a una impresa</w:t>
      </w:r>
      <w:r w:rsidR="009C780F" w:rsidRPr="007F7EBF">
        <w:rPr>
          <w:sz w:val="22"/>
          <w:szCs w:val="22"/>
        </w:rPr>
        <w:t xml:space="preserve"> </w:t>
      </w:r>
      <w:r w:rsidR="0022050C" w:rsidRPr="007F7EBF">
        <w:rPr>
          <w:rStyle w:val="Rimandonotaapidipagina"/>
          <w:sz w:val="22"/>
          <w:szCs w:val="22"/>
        </w:rPr>
        <w:footnoteReference w:id="1043"/>
      </w:r>
      <w:r w:rsidR="0022050C" w:rsidRPr="007F7EBF">
        <w:rPr>
          <w:sz w:val="22"/>
          <w:szCs w:val="22"/>
        </w:rPr>
        <w:t>.</w:t>
      </w:r>
      <w:r w:rsidR="006342C5" w:rsidRPr="007F7EBF">
        <w:rPr>
          <w:sz w:val="22"/>
          <w:szCs w:val="22"/>
        </w:rPr>
        <w:t xml:space="preserve"> </w:t>
      </w:r>
    </w:p>
    <w:p w14:paraId="65349CE0" w14:textId="35BCA9CF" w:rsidR="006342C5" w:rsidRDefault="006342C5" w:rsidP="006342C5">
      <w:pPr>
        <w:autoSpaceDE w:val="0"/>
        <w:autoSpaceDN w:val="0"/>
        <w:adjustRightInd w:val="0"/>
        <w:rPr>
          <w:sz w:val="22"/>
          <w:szCs w:val="22"/>
        </w:rPr>
      </w:pPr>
      <w:r w:rsidRPr="007F7EBF">
        <w:rPr>
          <w:sz w:val="22"/>
          <w:szCs w:val="22"/>
        </w:rPr>
        <w:lastRenderedPageBreak/>
        <w:t>Le attività rivolte al mercato, invece, devono scontare l’IVA sui corrispettivi, anche</w:t>
      </w:r>
      <w:r w:rsidR="007D6841" w:rsidRPr="007F7EBF">
        <w:rPr>
          <w:sz w:val="22"/>
          <w:szCs w:val="22"/>
        </w:rPr>
        <w:t xml:space="preserve"> </w:t>
      </w:r>
      <w:r w:rsidRPr="007F7EBF">
        <w:rPr>
          <w:sz w:val="22"/>
          <w:szCs w:val="22"/>
        </w:rPr>
        <w:t>se sono rese per finalità benefiche e socio assistenziali, altrimenti verrebbe falsata la concorrenza</w:t>
      </w:r>
      <w:r w:rsidR="007D6841" w:rsidRPr="007F7EBF">
        <w:rPr>
          <w:sz w:val="22"/>
          <w:szCs w:val="22"/>
        </w:rPr>
        <w:t xml:space="preserve"> </w:t>
      </w:r>
      <w:r w:rsidRPr="007F7EBF">
        <w:rPr>
          <w:sz w:val="22"/>
          <w:szCs w:val="22"/>
        </w:rPr>
        <w:t xml:space="preserve">rispetto alla generalità degli operatori economici. </w:t>
      </w:r>
      <w:r w:rsidR="00F84130" w:rsidRPr="007F7EBF">
        <w:rPr>
          <w:sz w:val="22"/>
          <w:szCs w:val="22"/>
        </w:rPr>
        <w:t>Questo può creare debiti IVA, come indicato al par.3.12 perché</w:t>
      </w:r>
      <w:r w:rsidR="00C456C7">
        <w:rPr>
          <w:sz w:val="22"/>
          <w:szCs w:val="22"/>
        </w:rPr>
        <w:t xml:space="preserve">, </w:t>
      </w:r>
      <w:r w:rsidR="00F84130" w:rsidRPr="007F7EBF">
        <w:rPr>
          <w:sz w:val="22"/>
          <w:szCs w:val="22"/>
        </w:rPr>
        <w:t>pur in assenza di utile o in perdita</w:t>
      </w:r>
      <w:r w:rsidR="00C456C7">
        <w:rPr>
          <w:sz w:val="22"/>
          <w:szCs w:val="22"/>
        </w:rPr>
        <w:t>(</w:t>
      </w:r>
      <w:r w:rsidR="00F84130" w:rsidRPr="007F7EBF">
        <w:rPr>
          <w:rStyle w:val="Rimandonotaapidipagina"/>
          <w:sz w:val="22"/>
          <w:szCs w:val="22"/>
        </w:rPr>
        <w:footnoteReference w:id="1044"/>
      </w:r>
      <w:r w:rsidR="00C456C7">
        <w:rPr>
          <w:sz w:val="22"/>
          <w:szCs w:val="22"/>
        </w:rPr>
        <w:t>), imponibile IVA</w:t>
      </w:r>
      <w:r w:rsidR="00F84130" w:rsidRPr="007F7EBF">
        <w:rPr>
          <w:sz w:val="22"/>
          <w:szCs w:val="22"/>
        </w:rPr>
        <w:t xml:space="preserve"> emerge per via dei costi di lavoro, spesso provenienti dagli stessi </w:t>
      </w:r>
      <w:r w:rsidR="00D72C79" w:rsidRPr="007F7EBF">
        <w:rPr>
          <w:sz w:val="22"/>
          <w:szCs w:val="22"/>
        </w:rPr>
        <w:t>associati</w:t>
      </w:r>
      <w:r w:rsidR="002C0F5D" w:rsidRPr="007F7EBF">
        <w:rPr>
          <w:sz w:val="22"/>
          <w:szCs w:val="22"/>
        </w:rPr>
        <w:t>,</w:t>
      </w:r>
      <w:r w:rsidR="00D72C79" w:rsidRPr="007F7EBF">
        <w:rPr>
          <w:sz w:val="22"/>
          <w:szCs w:val="22"/>
        </w:rPr>
        <w:t xml:space="preserve"> o al limite </w:t>
      </w:r>
      <w:r w:rsidR="002C0F5D" w:rsidRPr="007F7EBF">
        <w:rPr>
          <w:sz w:val="22"/>
          <w:szCs w:val="22"/>
        </w:rPr>
        <w:t xml:space="preserve">da </w:t>
      </w:r>
      <w:r w:rsidR="00F84130" w:rsidRPr="007F7EBF">
        <w:rPr>
          <w:sz w:val="22"/>
          <w:szCs w:val="22"/>
        </w:rPr>
        <w:t xml:space="preserve">volontari. </w:t>
      </w:r>
    </w:p>
    <w:p w14:paraId="3531403F" w14:textId="6403D580" w:rsidR="009E70F5" w:rsidRPr="007F7EBF" w:rsidRDefault="006342C5" w:rsidP="00282D63">
      <w:pPr>
        <w:pStyle w:val="Titolo3"/>
        <w:rPr>
          <w:sz w:val="22"/>
          <w:szCs w:val="22"/>
        </w:rPr>
      </w:pPr>
      <w:bookmarkStart w:id="104" w:name="_Toc63365015"/>
      <w:r w:rsidRPr="007F7EBF">
        <w:rPr>
          <w:rFonts w:ascii="Times New Roman" w:hAnsi="Times New Roman"/>
          <w:sz w:val="22"/>
          <w:szCs w:val="22"/>
        </w:rPr>
        <w:t xml:space="preserve">7.6. </w:t>
      </w:r>
      <w:r w:rsidR="00DD5376">
        <w:rPr>
          <w:rFonts w:ascii="Times New Roman" w:hAnsi="Times New Roman"/>
          <w:sz w:val="22"/>
          <w:szCs w:val="22"/>
          <w:lang w:val="it-IT"/>
        </w:rPr>
        <w:t>Ricavi e costi come c</w:t>
      </w:r>
      <w:r w:rsidR="00297DF1" w:rsidRPr="007F7EBF">
        <w:rPr>
          <w:rFonts w:ascii="Times New Roman" w:hAnsi="Times New Roman"/>
          <w:sz w:val="22"/>
          <w:szCs w:val="22"/>
          <w:lang w:val="it-IT"/>
        </w:rPr>
        <w:t>orrispettivi di</w:t>
      </w:r>
      <w:r w:rsidR="00CC555D" w:rsidRPr="007F7EBF">
        <w:rPr>
          <w:rFonts w:ascii="Times New Roman" w:hAnsi="Times New Roman"/>
          <w:sz w:val="22"/>
          <w:szCs w:val="22"/>
          <w:lang w:val="it-IT"/>
        </w:rPr>
        <w:t xml:space="preserve"> </w:t>
      </w:r>
      <w:r w:rsidRPr="007F7EBF">
        <w:rPr>
          <w:rFonts w:ascii="Times New Roman" w:hAnsi="Times New Roman"/>
          <w:sz w:val="22"/>
          <w:szCs w:val="22"/>
        </w:rPr>
        <w:t>“cessioni di beni” e “prestazioni di servizi”</w:t>
      </w:r>
      <w:r w:rsidR="00DD5376">
        <w:rPr>
          <w:rFonts w:ascii="Times New Roman" w:hAnsi="Times New Roman"/>
          <w:sz w:val="22"/>
          <w:szCs w:val="22"/>
          <w:lang w:val="it-IT"/>
        </w:rPr>
        <w:t>.</w:t>
      </w:r>
      <w:bookmarkEnd w:id="104"/>
    </w:p>
    <w:p w14:paraId="3D7A8B1A" w14:textId="77777777" w:rsidR="009E70F5" w:rsidRPr="007F7EBF" w:rsidRDefault="009E70F5" w:rsidP="009E70F5">
      <w:pPr>
        <w:pStyle w:val="tit23"/>
        <w:ind w:left="6464" w:right="-1361" w:firstLine="0"/>
        <w:jc w:val="left"/>
        <w:rPr>
          <w:bCs/>
          <w:i/>
          <w:iCs/>
          <w:color w:val="0000FF"/>
          <w:lang w:val="it-IT"/>
        </w:rPr>
      </w:pPr>
      <w:r w:rsidRPr="007F7EBF">
        <w:rPr>
          <w:bCs/>
          <w:i/>
          <w:iCs/>
          <w:color w:val="0000FF"/>
          <w:lang w:val="it-IT"/>
        </w:rPr>
        <w:t>Cessioni di beni e prestazioni di servizi</w:t>
      </w:r>
    </w:p>
    <w:p w14:paraId="5761F917" w14:textId="77777777" w:rsidR="00754439" w:rsidRDefault="009E70F5" w:rsidP="00754439">
      <w:pPr>
        <w:autoSpaceDE w:val="0"/>
        <w:autoSpaceDN w:val="0"/>
        <w:adjustRightInd w:val="0"/>
        <w:rPr>
          <w:sz w:val="22"/>
          <w:szCs w:val="22"/>
        </w:rPr>
      </w:pPr>
      <w:r>
        <w:rPr>
          <w:sz w:val="22"/>
          <w:szCs w:val="22"/>
        </w:rPr>
        <w:t xml:space="preserve">Sia ai fini dell’IVA che delle imposte sui redditi, entrambe del resto basate sulla medesima documentazione contabile, le operazioni economiche, </w:t>
      </w:r>
      <w:r w:rsidRPr="007F7EBF">
        <w:rPr>
          <w:sz w:val="22"/>
          <w:szCs w:val="22"/>
        </w:rPr>
        <w:t xml:space="preserve">superando le ben più articolate qualificazioni contrattuali del diritto civile, </w:t>
      </w:r>
      <w:r>
        <w:rPr>
          <w:sz w:val="22"/>
          <w:szCs w:val="22"/>
        </w:rPr>
        <w:t>sono riportabili alle</w:t>
      </w:r>
      <w:r w:rsidRPr="007F7EBF">
        <w:rPr>
          <w:sz w:val="22"/>
          <w:szCs w:val="22"/>
        </w:rPr>
        <w:t xml:space="preserve"> due categorie elementari</w:t>
      </w:r>
      <w:r>
        <w:rPr>
          <w:sz w:val="22"/>
          <w:szCs w:val="22"/>
        </w:rPr>
        <w:t xml:space="preserve"> delle “cessioni di beni” e delle “prestazioni di servizi”; per le cessioni di beni prevale l’</w:t>
      </w:r>
      <w:r w:rsidRPr="007F7EBF">
        <w:rPr>
          <w:sz w:val="22"/>
          <w:szCs w:val="22"/>
        </w:rPr>
        <w:t>obbligazion</w:t>
      </w:r>
      <w:r>
        <w:rPr>
          <w:sz w:val="22"/>
          <w:szCs w:val="22"/>
        </w:rPr>
        <w:t>e</w:t>
      </w:r>
      <w:r w:rsidRPr="007F7EBF">
        <w:rPr>
          <w:sz w:val="22"/>
          <w:szCs w:val="22"/>
        </w:rPr>
        <w:t xml:space="preserve"> di “dare”, ad esempio di trasferire la titolarità giuridica di proprietà o altr</w:t>
      </w:r>
      <w:r>
        <w:rPr>
          <w:sz w:val="22"/>
          <w:szCs w:val="22"/>
        </w:rPr>
        <w:t>i</w:t>
      </w:r>
      <w:r w:rsidRPr="007F7EBF">
        <w:rPr>
          <w:sz w:val="22"/>
          <w:szCs w:val="22"/>
        </w:rPr>
        <w:t xml:space="preserve"> diritt</w:t>
      </w:r>
      <w:r>
        <w:rPr>
          <w:sz w:val="22"/>
          <w:szCs w:val="22"/>
        </w:rPr>
        <w:t>i</w:t>
      </w:r>
      <w:r w:rsidRPr="007F7EBF">
        <w:rPr>
          <w:sz w:val="22"/>
          <w:szCs w:val="22"/>
        </w:rPr>
        <w:t xml:space="preserve"> real</w:t>
      </w:r>
      <w:r>
        <w:rPr>
          <w:sz w:val="22"/>
          <w:szCs w:val="22"/>
        </w:rPr>
        <w:t>i</w:t>
      </w:r>
      <w:r w:rsidR="00C64034">
        <w:rPr>
          <w:sz w:val="22"/>
          <w:szCs w:val="22"/>
        </w:rPr>
        <w:t>(</w:t>
      </w:r>
      <w:r w:rsidR="00C64034" w:rsidRPr="007F7EBF">
        <w:rPr>
          <w:rStyle w:val="Rimandonotaapidipagina"/>
          <w:sz w:val="22"/>
          <w:szCs w:val="22"/>
        </w:rPr>
        <w:footnoteReference w:id="1045"/>
      </w:r>
      <w:r w:rsidR="00C64034">
        <w:rPr>
          <w:sz w:val="22"/>
          <w:szCs w:val="22"/>
        </w:rPr>
        <w:t>)</w:t>
      </w:r>
      <w:r>
        <w:rPr>
          <w:sz w:val="22"/>
          <w:szCs w:val="22"/>
        </w:rPr>
        <w:t xml:space="preserve">. Le </w:t>
      </w:r>
      <w:r w:rsidRPr="007F7EBF">
        <w:rPr>
          <w:bCs/>
          <w:sz w:val="22"/>
          <w:szCs w:val="22"/>
        </w:rPr>
        <w:t>prestazioni di serviz</w:t>
      </w:r>
      <w:r w:rsidRPr="007F7EBF">
        <w:rPr>
          <w:sz w:val="22"/>
          <w:szCs w:val="22"/>
        </w:rPr>
        <w:t xml:space="preserve">i </w:t>
      </w:r>
      <w:r>
        <w:rPr>
          <w:sz w:val="22"/>
          <w:szCs w:val="22"/>
        </w:rPr>
        <w:t xml:space="preserve">sono invece caratterizzate da </w:t>
      </w:r>
      <w:r w:rsidRPr="007F7EBF">
        <w:rPr>
          <w:sz w:val="22"/>
          <w:szCs w:val="22"/>
        </w:rPr>
        <w:t>un obbligo di fare</w:t>
      </w:r>
      <w:r>
        <w:rPr>
          <w:sz w:val="22"/>
          <w:szCs w:val="22"/>
        </w:rPr>
        <w:t xml:space="preserve">, che può avere diverso </w:t>
      </w:r>
      <w:r>
        <w:rPr>
          <w:sz w:val="22"/>
          <w:szCs w:val="22"/>
        </w:rPr>
        <w:lastRenderedPageBreak/>
        <w:t xml:space="preserve">contenuto materiale, dal trasporto, alla manutenzione, </w:t>
      </w:r>
      <w:r w:rsidR="00C64034">
        <w:rPr>
          <w:sz w:val="22"/>
          <w:szCs w:val="22"/>
        </w:rPr>
        <w:t xml:space="preserve">alla locazione, </w:t>
      </w:r>
      <w:r>
        <w:rPr>
          <w:sz w:val="22"/>
          <w:szCs w:val="22"/>
        </w:rPr>
        <w:t>all’appalto, alla ristorazione (</w:t>
      </w:r>
      <w:r>
        <w:rPr>
          <w:rStyle w:val="Rimandonotaapidipagina"/>
          <w:sz w:val="22"/>
          <w:szCs w:val="22"/>
        </w:rPr>
        <w:footnoteReference w:id="1046"/>
      </w:r>
      <w:r>
        <w:rPr>
          <w:sz w:val="22"/>
          <w:szCs w:val="22"/>
        </w:rPr>
        <w:t>) etc..</w:t>
      </w:r>
      <w:r w:rsidR="002206A1">
        <w:rPr>
          <w:sz w:val="22"/>
          <w:szCs w:val="22"/>
        </w:rPr>
        <w:t xml:space="preserve"> </w:t>
      </w:r>
    </w:p>
    <w:p w14:paraId="649DCE88" w14:textId="4F6E9347" w:rsidR="00754439" w:rsidRDefault="00B76F6C" w:rsidP="00754439">
      <w:pPr>
        <w:pStyle w:val="tit23"/>
        <w:ind w:left="6464" w:right="-1361" w:firstLine="0"/>
        <w:jc w:val="left"/>
        <w:rPr>
          <w:bCs/>
          <w:i/>
          <w:iCs/>
          <w:color w:val="0000FF"/>
          <w:lang w:val="it-IT"/>
        </w:rPr>
      </w:pPr>
      <w:r>
        <w:rPr>
          <w:bCs/>
          <w:i/>
          <w:iCs/>
          <w:color w:val="0000FF"/>
          <w:lang w:val="it-IT"/>
        </w:rPr>
        <w:t>Zone grigie</w:t>
      </w:r>
      <w:r w:rsidR="00754439">
        <w:rPr>
          <w:bCs/>
          <w:i/>
          <w:iCs/>
          <w:color w:val="0000FF"/>
          <w:lang w:val="it-IT"/>
        </w:rPr>
        <w:t xml:space="preserve"> e operazioni accessorie</w:t>
      </w:r>
    </w:p>
    <w:p w14:paraId="150915D2" w14:textId="1339542D" w:rsidR="00754439" w:rsidRPr="007F7EBF" w:rsidRDefault="00754439" w:rsidP="00754439">
      <w:pPr>
        <w:autoSpaceDE w:val="0"/>
        <w:autoSpaceDN w:val="0"/>
        <w:adjustRightInd w:val="0"/>
        <w:rPr>
          <w:sz w:val="22"/>
          <w:szCs w:val="22"/>
        </w:rPr>
      </w:pPr>
      <w:r>
        <w:rPr>
          <w:sz w:val="22"/>
          <w:szCs w:val="22"/>
        </w:rPr>
        <w:t xml:space="preserve">Come sempre nel sapere umanistico sociale (par.3.9 sull’ambiguità del linguaggio) possono esserci zone grigie tra le due categorie, e talvolta si può discutere se ci si trovi davanti a un bene o a un servizio.  </w:t>
      </w:r>
    </w:p>
    <w:p w14:paraId="64949B64" w14:textId="5E76FDA0" w:rsidR="009E70F5" w:rsidRPr="007F7EBF" w:rsidRDefault="00CB73FB" w:rsidP="009E70F5">
      <w:pPr>
        <w:autoSpaceDE w:val="0"/>
        <w:autoSpaceDN w:val="0"/>
        <w:adjustRightInd w:val="0"/>
        <w:rPr>
          <w:sz w:val="22"/>
          <w:szCs w:val="22"/>
        </w:rPr>
      </w:pPr>
      <w:r>
        <w:rPr>
          <w:sz w:val="22"/>
          <w:szCs w:val="22"/>
        </w:rPr>
        <w:t xml:space="preserve">La rilevanza della </w:t>
      </w:r>
      <w:r w:rsidR="009E70F5" w:rsidRPr="007F7EBF">
        <w:rPr>
          <w:sz w:val="22"/>
          <w:szCs w:val="22"/>
        </w:rPr>
        <w:t xml:space="preserve">distinzione </w:t>
      </w:r>
      <w:r>
        <w:rPr>
          <w:sz w:val="22"/>
          <w:szCs w:val="22"/>
        </w:rPr>
        <w:t xml:space="preserve">riguarda alcuni </w:t>
      </w:r>
      <w:r w:rsidR="009E70F5" w:rsidRPr="007F7EBF">
        <w:rPr>
          <w:sz w:val="22"/>
          <w:szCs w:val="22"/>
        </w:rPr>
        <w:t>profili</w:t>
      </w:r>
      <w:r>
        <w:rPr>
          <w:sz w:val="22"/>
          <w:szCs w:val="22"/>
        </w:rPr>
        <w:t xml:space="preserve"> tecnici d’inquadramento tributario</w:t>
      </w:r>
      <w:r w:rsidR="009E70F5" w:rsidRPr="007F7EBF">
        <w:rPr>
          <w:sz w:val="22"/>
          <w:szCs w:val="22"/>
        </w:rPr>
        <w:t>, soprattutto</w:t>
      </w:r>
      <w:r w:rsidR="009E70F5">
        <w:rPr>
          <w:sz w:val="22"/>
          <w:szCs w:val="22"/>
        </w:rPr>
        <w:t xml:space="preserve"> l</w:t>
      </w:r>
      <w:r>
        <w:rPr>
          <w:sz w:val="22"/>
          <w:szCs w:val="22"/>
        </w:rPr>
        <w:t>e aliquote IVA applicabili,</w:t>
      </w:r>
      <w:r w:rsidR="009E70F5" w:rsidRPr="007F7EBF">
        <w:rPr>
          <w:sz w:val="22"/>
          <w:szCs w:val="22"/>
        </w:rPr>
        <w:t xml:space="preserve"> il momento impositivo</w:t>
      </w:r>
      <w:r w:rsidR="00C64034">
        <w:rPr>
          <w:sz w:val="22"/>
          <w:szCs w:val="22"/>
        </w:rPr>
        <w:t>(</w:t>
      </w:r>
      <w:r w:rsidR="009E70F5" w:rsidRPr="007F7EBF">
        <w:rPr>
          <w:rStyle w:val="Rimandonotaapidipagina"/>
          <w:sz w:val="22"/>
          <w:szCs w:val="22"/>
        </w:rPr>
        <w:footnoteReference w:id="1047"/>
      </w:r>
      <w:r w:rsidR="00C64034">
        <w:rPr>
          <w:sz w:val="22"/>
          <w:szCs w:val="22"/>
        </w:rPr>
        <w:t>)</w:t>
      </w:r>
      <w:r w:rsidR="009E70F5" w:rsidRPr="007F7EBF">
        <w:rPr>
          <w:sz w:val="22"/>
          <w:szCs w:val="22"/>
        </w:rPr>
        <w:t xml:space="preserve">, la </w:t>
      </w:r>
      <w:r>
        <w:rPr>
          <w:sz w:val="22"/>
          <w:szCs w:val="22"/>
        </w:rPr>
        <w:t xml:space="preserve"> formalizzazione documentale, la </w:t>
      </w:r>
      <w:r w:rsidR="009E70F5" w:rsidRPr="007F7EBF">
        <w:rPr>
          <w:sz w:val="22"/>
          <w:szCs w:val="22"/>
        </w:rPr>
        <w:t>territorialità</w:t>
      </w:r>
      <w:r w:rsidR="00C64034">
        <w:rPr>
          <w:sz w:val="22"/>
          <w:szCs w:val="22"/>
        </w:rPr>
        <w:t xml:space="preserve"> (par.7.18)</w:t>
      </w:r>
      <w:r w:rsidR="009E70F5" w:rsidRPr="007F7EBF">
        <w:rPr>
          <w:sz w:val="22"/>
          <w:szCs w:val="22"/>
        </w:rPr>
        <w:t>,</w:t>
      </w:r>
      <w:r w:rsidR="006B7D78">
        <w:rPr>
          <w:sz w:val="22"/>
          <w:szCs w:val="22"/>
        </w:rPr>
        <w:t xml:space="preserve"> la classificazione dimensionale delle </w:t>
      </w:r>
      <w:r>
        <w:rPr>
          <w:sz w:val="22"/>
          <w:szCs w:val="22"/>
        </w:rPr>
        <w:t>attività</w:t>
      </w:r>
      <w:r w:rsidR="006B7D78">
        <w:rPr>
          <w:sz w:val="22"/>
          <w:szCs w:val="22"/>
        </w:rPr>
        <w:t xml:space="preserve"> (</w:t>
      </w:r>
      <w:r w:rsidR="006B7D78">
        <w:rPr>
          <w:rStyle w:val="Rimandonotaapidipagina"/>
          <w:sz w:val="22"/>
          <w:szCs w:val="22"/>
        </w:rPr>
        <w:footnoteReference w:id="1048"/>
      </w:r>
      <w:r w:rsidR="006B7D78">
        <w:rPr>
          <w:sz w:val="22"/>
          <w:szCs w:val="22"/>
        </w:rPr>
        <w:t>)</w:t>
      </w:r>
      <w:r w:rsidR="00C64034">
        <w:rPr>
          <w:sz w:val="22"/>
          <w:szCs w:val="22"/>
        </w:rPr>
        <w:t>, la valorizzazione delle operazioni in corso a fine anno e le rimanenze (par.7.16),</w:t>
      </w:r>
      <w:r>
        <w:rPr>
          <w:sz w:val="22"/>
          <w:szCs w:val="22"/>
        </w:rPr>
        <w:t xml:space="preserve"> la diversa imponibilità come “redditi diversi” (par.8.6)</w:t>
      </w:r>
      <w:r w:rsidR="00C64034">
        <w:rPr>
          <w:sz w:val="22"/>
          <w:szCs w:val="22"/>
        </w:rPr>
        <w:t xml:space="preserve"> </w:t>
      </w:r>
      <w:r w:rsidR="009E70F5" w:rsidRPr="007F7EBF">
        <w:rPr>
          <w:sz w:val="22"/>
          <w:szCs w:val="22"/>
        </w:rPr>
        <w:t>etc.</w:t>
      </w:r>
      <w:r w:rsidR="00C64034">
        <w:rPr>
          <w:sz w:val="22"/>
          <w:szCs w:val="22"/>
        </w:rPr>
        <w:t>.</w:t>
      </w:r>
      <w:r w:rsidR="00754439" w:rsidRPr="00754439">
        <w:rPr>
          <w:sz w:val="22"/>
          <w:szCs w:val="22"/>
        </w:rPr>
        <w:t xml:space="preserve"> </w:t>
      </w:r>
      <w:r w:rsidR="00B76F6C">
        <w:rPr>
          <w:sz w:val="22"/>
          <w:szCs w:val="22"/>
        </w:rPr>
        <w:t>E’ questa la sede per precisare che alcune prestazioni possono non essere considerate isolatamente quando accessorie a una prestazione principale,</w:t>
      </w:r>
      <w:r w:rsidR="00754439">
        <w:rPr>
          <w:sz w:val="22"/>
          <w:szCs w:val="22"/>
        </w:rPr>
        <w:t xml:space="preserve"> come trasporto, posa in opera, montaggio, rilevate ad esempio assieme alla cessione di beni cui si riferiscono, senza autonomia. Le operazioni </w:t>
      </w:r>
      <w:r w:rsidR="00B76F6C">
        <w:rPr>
          <w:sz w:val="22"/>
          <w:szCs w:val="22"/>
        </w:rPr>
        <w:t xml:space="preserve">effettuate in nome proprio, ma </w:t>
      </w:r>
      <w:r w:rsidR="00754439">
        <w:rPr>
          <w:sz w:val="22"/>
          <w:szCs w:val="22"/>
        </w:rPr>
        <w:t>per conto terzi, da un intermediario, ad esempio in base a contratti di commissione o mandato, s</w:t>
      </w:r>
      <w:r w:rsidR="00B76F6C">
        <w:rPr>
          <w:sz w:val="22"/>
          <w:szCs w:val="22"/>
        </w:rPr>
        <w:t>eguono la regole del “doppio passaggio”, cioè s</w:t>
      </w:r>
      <w:r w:rsidR="00754439">
        <w:rPr>
          <w:sz w:val="22"/>
          <w:szCs w:val="22"/>
        </w:rPr>
        <w:t>ono rilevate “al lordo”, cioè come operazioni distinte</w:t>
      </w:r>
      <w:r w:rsidR="00B76F6C">
        <w:rPr>
          <w:sz w:val="22"/>
          <w:szCs w:val="22"/>
        </w:rPr>
        <w:t xml:space="preserve"> di acquisto e di vendita, non nell’ammontare netto dei due </w:t>
      </w:r>
      <w:r w:rsidR="00754439">
        <w:rPr>
          <w:sz w:val="22"/>
          <w:szCs w:val="22"/>
        </w:rPr>
        <w:t>(art.2 e 3 decreto IVA).</w:t>
      </w:r>
    </w:p>
    <w:p w14:paraId="14C9570E" w14:textId="085018AD" w:rsidR="004161A4" w:rsidRPr="007F7EBF" w:rsidRDefault="009E70F5" w:rsidP="004161A4">
      <w:pPr>
        <w:pStyle w:val="tit23"/>
        <w:ind w:left="6464" w:right="-1361" w:firstLine="0"/>
        <w:jc w:val="left"/>
        <w:rPr>
          <w:b/>
          <w:bCs/>
          <w:i/>
          <w:iCs/>
          <w:color w:val="0000FF"/>
          <w:lang w:val="it-IT"/>
        </w:rPr>
      </w:pPr>
      <w:r>
        <w:rPr>
          <w:b/>
          <w:bCs/>
          <w:i/>
          <w:iCs/>
          <w:color w:val="0000FF"/>
          <w:lang w:val="it-IT"/>
        </w:rPr>
        <w:t xml:space="preserve">Determinazione in base ai </w:t>
      </w:r>
      <w:r w:rsidR="00CA1D42" w:rsidRPr="007F7EBF">
        <w:rPr>
          <w:b/>
          <w:bCs/>
          <w:i/>
          <w:iCs/>
          <w:color w:val="0000FF"/>
          <w:lang w:val="it-IT"/>
        </w:rPr>
        <w:t xml:space="preserve">corrispettivi </w:t>
      </w:r>
      <w:r>
        <w:rPr>
          <w:b/>
          <w:bCs/>
          <w:i/>
          <w:iCs/>
          <w:color w:val="0000FF"/>
          <w:lang w:val="it-IT"/>
        </w:rPr>
        <w:t>e “valore normale”</w:t>
      </w:r>
    </w:p>
    <w:p w14:paraId="7CDEA264" w14:textId="66FAA7B5" w:rsidR="00C456C7" w:rsidRDefault="00CB73FB" w:rsidP="00E7513C">
      <w:pPr>
        <w:autoSpaceDE w:val="0"/>
        <w:autoSpaceDN w:val="0"/>
        <w:adjustRightInd w:val="0"/>
        <w:rPr>
          <w:sz w:val="22"/>
          <w:szCs w:val="22"/>
        </w:rPr>
      </w:pPr>
      <w:r>
        <w:rPr>
          <w:sz w:val="22"/>
          <w:szCs w:val="22"/>
        </w:rPr>
        <w:t xml:space="preserve">Il riferimento normativo ai “corrispettivi” conferma la specificazione delle </w:t>
      </w:r>
      <w:r>
        <w:rPr>
          <w:bCs/>
        </w:rPr>
        <w:t>astrazioni economiche di “ricavo” e di “costo” (</w:t>
      </w:r>
      <w:r>
        <w:rPr>
          <w:rStyle w:val="Rimandonotaapidipagina"/>
          <w:bCs/>
        </w:rPr>
        <w:footnoteReference w:id="1049"/>
      </w:r>
      <w:r>
        <w:rPr>
          <w:bCs/>
        </w:rPr>
        <w:t>) in base ai corrispettivi contrattuali</w:t>
      </w:r>
      <w:r w:rsidR="0031267C">
        <w:rPr>
          <w:bCs/>
          <w:sz w:val="22"/>
          <w:szCs w:val="22"/>
        </w:rPr>
        <w:t xml:space="preserve"> </w:t>
      </w:r>
      <w:r w:rsidR="0031267C">
        <w:rPr>
          <w:sz w:val="22"/>
          <w:szCs w:val="22"/>
        </w:rPr>
        <w:t>risultanti dai</w:t>
      </w:r>
      <w:r w:rsidR="00C753F1" w:rsidRPr="007F7EBF">
        <w:rPr>
          <w:sz w:val="22"/>
          <w:szCs w:val="22"/>
        </w:rPr>
        <w:t xml:space="preserve"> </w:t>
      </w:r>
      <w:r w:rsidR="00B07C4C" w:rsidRPr="007F7EBF">
        <w:rPr>
          <w:sz w:val="22"/>
          <w:szCs w:val="22"/>
        </w:rPr>
        <w:t xml:space="preserve">documenti già esposti al par.3.3 e approfonditi al successivo par.7.7. </w:t>
      </w:r>
      <w:r w:rsidR="00E30089" w:rsidRPr="007F7EBF">
        <w:rPr>
          <w:bCs/>
          <w:sz w:val="22"/>
          <w:szCs w:val="22"/>
        </w:rPr>
        <w:t>Il medesimo corrispettivo</w:t>
      </w:r>
      <w:r w:rsidR="0031267C">
        <w:rPr>
          <w:bCs/>
          <w:sz w:val="22"/>
          <w:szCs w:val="22"/>
        </w:rPr>
        <w:t xml:space="preserve"> rileva</w:t>
      </w:r>
      <w:r w:rsidR="00E30089" w:rsidRPr="007F7EBF">
        <w:rPr>
          <w:bCs/>
          <w:sz w:val="22"/>
          <w:szCs w:val="22"/>
        </w:rPr>
        <w:t>, simmetricamente</w:t>
      </w:r>
      <w:r w:rsidR="0031267C">
        <w:rPr>
          <w:bCs/>
          <w:sz w:val="22"/>
          <w:szCs w:val="22"/>
        </w:rPr>
        <w:t>,</w:t>
      </w:r>
      <w:r w:rsidR="004409A0">
        <w:rPr>
          <w:bCs/>
          <w:sz w:val="22"/>
          <w:szCs w:val="22"/>
        </w:rPr>
        <w:t xml:space="preserve"> ai fini delle imposte sui redditi e dell’IVA</w:t>
      </w:r>
      <w:r w:rsidR="00E30089" w:rsidRPr="007F7EBF">
        <w:rPr>
          <w:bCs/>
          <w:sz w:val="22"/>
          <w:szCs w:val="22"/>
        </w:rPr>
        <w:t xml:space="preserve">, </w:t>
      </w:r>
      <w:r w:rsidR="0031267C">
        <w:rPr>
          <w:bCs/>
          <w:sz w:val="22"/>
          <w:szCs w:val="22"/>
        </w:rPr>
        <w:lastRenderedPageBreak/>
        <w:t xml:space="preserve">come </w:t>
      </w:r>
      <w:r w:rsidR="00E30089" w:rsidRPr="007F7EBF">
        <w:rPr>
          <w:bCs/>
          <w:sz w:val="22"/>
          <w:szCs w:val="22"/>
        </w:rPr>
        <w:t xml:space="preserve">ricavo per il fornitore, </w:t>
      </w:r>
      <w:r w:rsidR="0031267C">
        <w:rPr>
          <w:bCs/>
          <w:sz w:val="22"/>
          <w:szCs w:val="22"/>
        </w:rPr>
        <w:t xml:space="preserve">e come </w:t>
      </w:r>
      <w:r w:rsidR="00E30089" w:rsidRPr="007F7EBF">
        <w:rPr>
          <w:bCs/>
          <w:sz w:val="22"/>
          <w:szCs w:val="22"/>
        </w:rPr>
        <w:t xml:space="preserve">costo </w:t>
      </w:r>
      <w:r w:rsidR="00C456C7">
        <w:rPr>
          <w:bCs/>
          <w:sz w:val="22"/>
          <w:szCs w:val="22"/>
        </w:rPr>
        <w:t xml:space="preserve">o consumo </w:t>
      </w:r>
      <w:r w:rsidR="00E30089" w:rsidRPr="007F7EBF">
        <w:rPr>
          <w:bCs/>
          <w:sz w:val="22"/>
          <w:szCs w:val="22"/>
        </w:rPr>
        <w:t>per l'acquirente</w:t>
      </w:r>
      <w:r w:rsidR="006B7D78">
        <w:rPr>
          <w:bCs/>
          <w:sz w:val="22"/>
          <w:szCs w:val="22"/>
        </w:rPr>
        <w:t xml:space="preserve">. </w:t>
      </w:r>
      <w:r w:rsidR="00106A14">
        <w:rPr>
          <w:sz w:val="22"/>
          <w:szCs w:val="22"/>
        </w:rPr>
        <w:t>In assenza di corrispettivo monetario, il valore normale serve a determinare l’imponibile, come nei</w:t>
      </w:r>
      <w:r w:rsidR="00106A14" w:rsidRPr="007F7EBF">
        <w:rPr>
          <w:sz w:val="22"/>
          <w:szCs w:val="22"/>
        </w:rPr>
        <w:t xml:space="preserve"> casi di corrispettivo in natura</w:t>
      </w:r>
      <w:r w:rsidR="00106A14">
        <w:rPr>
          <w:sz w:val="22"/>
          <w:szCs w:val="22"/>
        </w:rPr>
        <w:t xml:space="preserve"> (art.9 </w:t>
      </w:r>
      <w:proofErr w:type="spellStart"/>
      <w:r w:rsidR="00106A14">
        <w:rPr>
          <w:sz w:val="22"/>
          <w:szCs w:val="22"/>
        </w:rPr>
        <w:t>tuir</w:t>
      </w:r>
      <w:proofErr w:type="spellEnd"/>
      <w:r w:rsidR="00106A14">
        <w:rPr>
          <w:sz w:val="22"/>
          <w:szCs w:val="22"/>
        </w:rPr>
        <w:t xml:space="preserve"> e art.11 decreto IVA). </w:t>
      </w:r>
    </w:p>
    <w:p w14:paraId="6AEFC9DD" w14:textId="77777777" w:rsidR="00106A14" w:rsidRDefault="006B7D78" w:rsidP="009E70F5">
      <w:pPr>
        <w:autoSpaceDE w:val="0"/>
        <w:autoSpaceDN w:val="0"/>
        <w:adjustRightInd w:val="0"/>
        <w:rPr>
          <w:sz w:val="22"/>
          <w:szCs w:val="22"/>
        </w:rPr>
      </w:pPr>
      <w:r>
        <w:rPr>
          <w:sz w:val="22"/>
          <w:szCs w:val="22"/>
        </w:rPr>
        <w:t>Rispetto ai corrispettivi, i</w:t>
      </w:r>
      <w:r w:rsidR="00F94BA7" w:rsidRPr="007F7EBF">
        <w:rPr>
          <w:sz w:val="22"/>
          <w:szCs w:val="22"/>
        </w:rPr>
        <w:t>l</w:t>
      </w:r>
      <w:r w:rsidR="00F56FA8" w:rsidRPr="007F7EBF">
        <w:rPr>
          <w:bCs/>
          <w:sz w:val="22"/>
          <w:szCs w:val="22"/>
        </w:rPr>
        <w:t xml:space="preserve"> valore normale</w:t>
      </w:r>
      <w:r w:rsidR="00F56FA8" w:rsidRPr="007F7EBF">
        <w:rPr>
          <w:sz w:val="22"/>
          <w:szCs w:val="22"/>
        </w:rPr>
        <w:t xml:space="preserve"> del</w:t>
      </w:r>
      <w:r w:rsidR="00D16E68" w:rsidRPr="007F7EBF">
        <w:rPr>
          <w:sz w:val="22"/>
          <w:szCs w:val="22"/>
        </w:rPr>
        <w:t>le</w:t>
      </w:r>
      <w:r w:rsidR="00F94BA7" w:rsidRPr="007F7EBF">
        <w:rPr>
          <w:sz w:val="22"/>
          <w:szCs w:val="22"/>
        </w:rPr>
        <w:t xml:space="preserve"> prestazioni </w:t>
      </w:r>
      <w:r>
        <w:rPr>
          <w:sz w:val="22"/>
          <w:szCs w:val="22"/>
        </w:rPr>
        <w:t xml:space="preserve">sottostanti ha una rilevanza </w:t>
      </w:r>
      <w:r w:rsidR="0031267C">
        <w:rPr>
          <w:sz w:val="22"/>
          <w:szCs w:val="22"/>
        </w:rPr>
        <w:t>“di controllo”</w:t>
      </w:r>
      <w:r>
        <w:rPr>
          <w:sz w:val="22"/>
          <w:szCs w:val="22"/>
        </w:rPr>
        <w:t>, prima di tutto antievasione</w:t>
      </w:r>
      <w:r w:rsidR="0031267C">
        <w:rPr>
          <w:sz w:val="22"/>
          <w:szCs w:val="22"/>
        </w:rPr>
        <w:t xml:space="preserve">; </w:t>
      </w:r>
      <w:r w:rsidR="005D5B44">
        <w:rPr>
          <w:sz w:val="22"/>
          <w:szCs w:val="22"/>
        </w:rPr>
        <w:t>discrepanze ingiustificate t</w:t>
      </w:r>
      <w:r w:rsidR="0031267C">
        <w:rPr>
          <w:sz w:val="22"/>
          <w:szCs w:val="22"/>
        </w:rPr>
        <w:t xml:space="preserve">ra </w:t>
      </w:r>
      <w:r w:rsidR="00D16E68" w:rsidRPr="007F7EBF">
        <w:rPr>
          <w:sz w:val="22"/>
          <w:szCs w:val="22"/>
        </w:rPr>
        <w:t xml:space="preserve">corrispettivo </w:t>
      </w:r>
      <w:r w:rsidR="0031267C">
        <w:rPr>
          <w:sz w:val="22"/>
          <w:szCs w:val="22"/>
        </w:rPr>
        <w:t>documentale e valore effettivo della prestazione</w:t>
      </w:r>
      <w:r>
        <w:rPr>
          <w:sz w:val="22"/>
          <w:szCs w:val="22"/>
        </w:rPr>
        <w:t xml:space="preserve"> </w:t>
      </w:r>
      <w:r w:rsidR="00A2494C">
        <w:rPr>
          <w:sz w:val="22"/>
          <w:szCs w:val="22"/>
        </w:rPr>
        <w:t>potrebbe</w:t>
      </w:r>
      <w:r w:rsidR="0031267C">
        <w:rPr>
          <w:sz w:val="22"/>
          <w:szCs w:val="22"/>
        </w:rPr>
        <w:t xml:space="preserve">ro essere indizi di parziale </w:t>
      </w:r>
      <w:r w:rsidR="00A2494C">
        <w:rPr>
          <w:sz w:val="22"/>
          <w:szCs w:val="22"/>
        </w:rPr>
        <w:t>occulta</w:t>
      </w:r>
      <w:r w:rsidR="0031267C">
        <w:rPr>
          <w:sz w:val="22"/>
          <w:szCs w:val="22"/>
        </w:rPr>
        <w:t>men</w:t>
      </w:r>
      <w:r w:rsidR="00A2494C">
        <w:rPr>
          <w:sz w:val="22"/>
          <w:szCs w:val="22"/>
        </w:rPr>
        <w:t xml:space="preserve">to </w:t>
      </w:r>
      <w:r w:rsidR="0031267C">
        <w:rPr>
          <w:sz w:val="22"/>
          <w:szCs w:val="22"/>
        </w:rPr>
        <w:t xml:space="preserve">del corrispettivo </w:t>
      </w:r>
      <w:r w:rsidR="00A2494C">
        <w:rPr>
          <w:sz w:val="22"/>
          <w:szCs w:val="22"/>
        </w:rPr>
        <w:t xml:space="preserve">o </w:t>
      </w:r>
      <w:r w:rsidR="0031267C">
        <w:rPr>
          <w:sz w:val="22"/>
          <w:szCs w:val="22"/>
        </w:rPr>
        <w:t xml:space="preserve">di sua parziale </w:t>
      </w:r>
      <w:proofErr w:type="spellStart"/>
      <w:r w:rsidR="00A2494C">
        <w:rPr>
          <w:sz w:val="22"/>
          <w:szCs w:val="22"/>
        </w:rPr>
        <w:t>fittizi</w:t>
      </w:r>
      <w:r w:rsidR="0031267C">
        <w:rPr>
          <w:sz w:val="22"/>
          <w:szCs w:val="22"/>
        </w:rPr>
        <w:t>età</w:t>
      </w:r>
      <w:proofErr w:type="spellEnd"/>
      <w:r w:rsidR="00A2494C">
        <w:rPr>
          <w:sz w:val="22"/>
          <w:szCs w:val="22"/>
        </w:rPr>
        <w:t xml:space="preserve">, </w:t>
      </w:r>
      <w:r w:rsidR="00106A14">
        <w:rPr>
          <w:sz w:val="22"/>
          <w:szCs w:val="22"/>
        </w:rPr>
        <w:t xml:space="preserve">come indicato al par.3.7 sull’evasione </w:t>
      </w:r>
      <w:r w:rsidR="00D16E68" w:rsidRPr="007F7EBF">
        <w:rPr>
          <w:sz w:val="22"/>
          <w:szCs w:val="22"/>
        </w:rPr>
        <w:t>(</w:t>
      </w:r>
      <w:r w:rsidR="00D16E68" w:rsidRPr="007F7EBF">
        <w:rPr>
          <w:rStyle w:val="Rimandonotaapidipagina"/>
          <w:sz w:val="22"/>
          <w:szCs w:val="22"/>
        </w:rPr>
        <w:footnoteReference w:id="1050"/>
      </w:r>
      <w:r w:rsidR="00D16E68" w:rsidRPr="007F7EBF">
        <w:rPr>
          <w:sz w:val="22"/>
          <w:szCs w:val="22"/>
        </w:rPr>
        <w:t>)</w:t>
      </w:r>
      <w:r w:rsidR="00A2494C">
        <w:rPr>
          <w:sz w:val="22"/>
          <w:szCs w:val="22"/>
        </w:rPr>
        <w:t xml:space="preserve">. </w:t>
      </w:r>
    </w:p>
    <w:p w14:paraId="5955D027" w14:textId="2C87A5C9" w:rsidR="006B7D78" w:rsidRDefault="0031267C" w:rsidP="009E70F5">
      <w:pPr>
        <w:autoSpaceDE w:val="0"/>
        <w:autoSpaceDN w:val="0"/>
        <w:adjustRightInd w:val="0"/>
        <w:rPr>
          <w:sz w:val="22"/>
          <w:szCs w:val="22"/>
        </w:rPr>
      </w:pPr>
      <w:r>
        <w:rPr>
          <w:sz w:val="22"/>
          <w:szCs w:val="22"/>
        </w:rPr>
        <w:t>Sulla rilevanza del valore normale nei rapporti tra società collegate, dove il corrispettivo -</w:t>
      </w:r>
      <w:proofErr w:type="spellStart"/>
      <w:r>
        <w:rPr>
          <w:sz w:val="22"/>
          <w:szCs w:val="22"/>
        </w:rPr>
        <w:t>benchè</w:t>
      </w:r>
      <w:proofErr w:type="spellEnd"/>
      <w:r>
        <w:rPr>
          <w:sz w:val="22"/>
          <w:szCs w:val="22"/>
        </w:rPr>
        <w:t xml:space="preserve"> veritiero- potrebbe essere determinato in funzione di convenienza fiscale cfr. par.7.19 sul c.d. </w:t>
      </w:r>
      <w:r w:rsidRPr="00C456C7">
        <w:rPr>
          <w:i/>
          <w:sz w:val="22"/>
          <w:szCs w:val="22"/>
        </w:rPr>
        <w:t>transfer pricing</w:t>
      </w:r>
      <w:r w:rsidRPr="007F7EBF">
        <w:rPr>
          <w:sz w:val="22"/>
          <w:szCs w:val="22"/>
        </w:rPr>
        <w:t>.</w:t>
      </w:r>
    </w:p>
    <w:p w14:paraId="20177C3C" w14:textId="1667D24D" w:rsidR="003D05E7" w:rsidRPr="007F7EBF" w:rsidRDefault="00DD7F73" w:rsidP="003D05E7">
      <w:pPr>
        <w:pStyle w:val="tit23"/>
        <w:ind w:left="6464" w:right="-1361" w:firstLine="0"/>
        <w:jc w:val="left"/>
        <w:rPr>
          <w:bCs/>
          <w:i/>
          <w:iCs/>
          <w:color w:val="0000FF"/>
          <w:lang w:val="it-IT"/>
        </w:rPr>
      </w:pPr>
      <w:r>
        <w:rPr>
          <w:bCs/>
          <w:i/>
          <w:iCs/>
          <w:color w:val="0000FF"/>
          <w:lang w:val="it-IT"/>
        </w:rPr>
        <w:t>Operazioni “tipiche” e classificazione dell’attività</w:t>
      </w:r>
    </w:p>
    <w:p w14:paraId="1F7397FF" w14:textId="068E3464" w:rsidR="004161A4" w:rsidRPr="007F7EBF" w:rsidRDefault="00CD0B40" w:rsidP="00C044E3">
      <w:pPr>
        <w:autoSpaceDE w:val="0"/>
        <w:autoSpaceDN w:val="0"/>
        <w:adjustRightInd w:val="0"/>
        <w:rPr>
          <w:bCs/>
          <w:i/>
          <w:iCs/>
          <w:color w:val="0000FF"/>
          <w:sz w:val="22"/>
          <w:szCs w:val="22"/>
        </w:rPr>
      </w:pPr>
      <w:r w:rsidRPr="007F7EBF">
        <w:rPr>
          <w:sz w:val="22"/>
          <w:szCs w:val="22"/>
        </w:rPr>
        <w:t xml:space="preserve">I </w:t>
      </w:r>
      <w:r w:rsidR="00B07C4C" w:rsidRPr="007F7EBF">
        <w:rPr>
          <w:sz w:val="22"/>
          <w:szCs w:val="22"/>
        </w:rPr>
        <w:t xml:space="preserve">corrispettivi </w:t>
      </w:r>
      <w:r w:rsidR="006B7D78">
        <w:rPr>
          <w:sz w:val="22"/>
          <w:szCs w:val="22"/>
        </w:rPr>
        <w:t>delle operazioni attive</w:t>
      </w:r>
      <w:r w:rsidR="00B07C4C" w:rsidRPr="007F7EBF">
        <w:rPr>
          <w:sz w:val="22"/>
          <w:szCs w:val="22"/>
        </w:rPr>
        <w:t xml:space="preserve"> </w:t>
      </w:r>
      <w:r w:rsidRPr="007F7EBF">
        <w:rPr>
          <w:sz w:val="22"/>
          <w:szCs w:val="22"/>
        </w:rPr>
        <w:t>sono ulteriormente distinti tra quelli r</w:t>
      </w:r>
      <w:r w:rsidR="006342C5" w:rsidRPr="007F7EBF">
        <w:rPr>
          <w:sz w:val="22"/>
          <w:szCs w:val="22"/>
        </w:rPr>
        <w:t xml:space="preserve">elativi alle </w:t>
      </w:r>
      <w:r w:rsidR="008F6792" w:rsidRPr="007F7EBF">
        <w:rPr>
          <w:sz w:val="22"/>
          <w:szCs w:val="22"/>
        </w:rPr>
        <w:t>operazioni</w:t>
      </w:r>
      <w:r w:rsidR="006342C5" w:rsidRPr="007F7EBF">
        <w:rPr>
          <w:sz w:val="22"/>
          <w:szCs w:val="22"/>
        </w:rPr>
        <w:t xml:space="preserve"> tipiche</w:t>
      </w:r>
      <w:r w:rsidR="003D05E7" w:rsidRPr="007F7EBF">
        <w:rPr>
          <w:sz w:val="22"/>
          <w:szCs w:val="22"/>
        </w:rPr>
        <w:t>, oggetto della normale attività dell'impresa</w:t>
      </w:r>
      <w:r w:rsidR="00E427A8">
        <w:rPr>
          <w:sz w:val="22"/>
          <w:szCs w:val="22"/>
        </w:rPr>
        <w:t xml:space="preserve"> (</w:t>
      </w:r>
      <w:r w:rsidR="00E427A8">
        <w:rPr>
          <w:rStyle w:val="Rimandonotaapidipagina"/>
          <w:sz w:val="22"/>
          <w:szCs w:val="22"/>
        </w:rPr>
        <w:footnoteReference w:id="1051"/>
      </w:r>
      <w:r w:rsidR="00E427A8">
        <w:rPr>
          <w:sz w:val="22"/>
          <w:szCs w:val="22"/>
        </w:rPr>
        <w:t>)</w:t>
      </w:r>
      <w:r w:rsidR="00DD7F73">
        <w:rPr>
          <w:sz w:val="22"/>
          <w:szCs w:val="22"/>
        </w:rPr>
        <w:t xml:space="preserve">; essi </w:t>
      </w:r>
      <w:r w:rsidR="003D05E7" w:rsidRPr="007F7EBF">
        <w:rPr>
          <w:sz w:val="22"/>
          <w:szCs w:val="22"/>
        </w:rPr>
        <w:t xml:space="preserve">costituiscono </w:t>
      </w:r>
      <w:r w:rsidR="006342C5" w:rsidRPr="007F7EBF">
        <w:rPr>
          <w:bCs/>
          <w:sz w:val="22"/>
          <w:szCs w:val="22"/>
        </w:rPr>
        <w:t xml:space="preserve">ricavi </w:t>
      </w:r>
      <w:r w:rsidR="008F6792" w:rsidRPr="007F7EBF">
        <w:rPr>
          <w:sz w:val="22"/>
          <w:szCs w:val="22"/>
        </w:rPr>
        <w:t>ai fini delle imposte sui redditi e "volume d'affari" ai fini IVA</w:t>
      </w:r>
      <w:r w:rsidR="005D5B44">
        <w:rPr>
          <w:sz w:val="22"/>
          <w:szCs w:val="22"/>
        </w:rPr>
        <w:t xml:space="preserve"> </w:t>
      </w:r>
      <w:r w:rsidR="00B76F6C">
        <w:rPr>
          <w:sz w:val="22"/>
          <w:szCs w:val="22"/>
        </w:rPr>
        <w:t>(</w:t>
      </w:r>
      <w:r w:rsidR="00F56FA8" w:rsidRPr="007F7EBF">
        <w:rPr>
          <w:rStyle w:val="Rimandonotaapidipagina"/>
          <w:sz w:val="22"/>
          <w:szCs w:val="22"/>
        </w:rPr>
        <w:footnoteReference w:id="1052"/>
      </w:r>
      <w:r w:rsidR="00B76F6C">
        <w:rPr>
          <w:sz w:val="22"/>
          <w:szCs w:val="22"/>
        </w:rPr>
        <w:t>)</w:t>
      </w:r>
      <w:r w:rsidR="00DD7F73">
        <w:rPr>
          <w:sz w:val="22"/>
          <w:szCs w:val="22"/>
        </w:rPr>
        <w:t xml:space="preserve">, rilevanti come indice dimensionale dell’attività, anche per l’individuazione (par.5.2) dell’ufficio tributario competente; si tratta della </w:t>
      </w:r>
      <w:r w:rsidR="008B0A6D" w:rsidRPr="007F7EBF">
        <w:rPr>
          <w:bCs/>
          <w:sz w:val="22"/>
          <w:szCs w:val="22"/>
        </w:rPr>
        <w:t>classificazione tributaria delle imprese</w:t>
      </w:r>
      <w:r w:rsidR="008B0A6D" w:rsidRPr="007F7EBF">
        <w:rPr>
          <w:sz w:val="22"/>
          <w:szCs w:val="22"/>
        </w:rPr>
        <w:t xml:space="preserve"> tra grandi contribuenti, medie e infine piccole, soggette agli studi di settore (</w:t>
      </w:r>
      <w:r w:rsidR="008B0A6D" w:rsidRPr="007F7EBF">
        <w:rPr>
          <w:rStyle w:val="Rimandonotaapidipagina"/>
          <w:sz w:val="22"/>
          <w:szCs w:val="22"/>
        </w:rPr>
        <w:footnoteReference w:id="1053"/>
      </w:r>
      <w:r w:rsidR="008B0A6D" w:rsidRPr="007F7EBF">
        <w:rPr>
          <w:sz w:val="22"/>
          <w:szCs w:val="22"/>
        </w:rPr>
        <w:t xml:space="preserve">).  </w:t>
      </w:r>
      <w:r w:rsidR="008B0A6D">
        <w:rPr>
          <w:sz w:val="22"/>
          <w:szCs w:val="22"/>
        </w:rPr>
        <w:t xml:space="preserve">Si </w:t>
      </w:r>
      <w:r w:rsidR="003942F4">
        <w:rPr>
          <w:sz w:val="22"/>
          <w:szCs w:val="22"/>
        </w:rPr>
        <w:t xml:space="preserve">utilizza </w:t>
      </w:r>
      <w:r w:rsidR="00DD7F73">
        <w:rPr>
          <w:sz w:val="22"/>
          <w:szCs w:val="22"/>
        </w:rPr>
        <w:t xml:space="preserve">questo dato in quanto </w:t>
      </w:r>
      <w:r w:rsidR="003942F4">
        <w:rPr>
          <w:sz w:val="22"/>
          <w:szCs w:val="22"/>
        </w:rPr>
        <w:t>più semplice da calcolar</w:t>
      </w:r>
      <w:r w:rsidR="00DD7F73">
        <w:rPr>
          <w:sz w:val="22"/>
          <w:szCs w:val="22"/>
        </w:rPr>
        <w:t xml:space="preserve">e, anche se il </w:t>
      </w:r>
      <w:r w:rsidR="008B0A6D" w:rsidRPr="007F7EBF">
        <w:rPr>
          <w:sz w:val="22"/>
          <w:szCs w:val="22"/>
        </w:rPr>
        <w:t xml:space="preserve">valore aggiunto </w:t>
      </w:r>
      <w:r w:rsidR="008B0A6D">
        <w:rPr>
          <w:sz w:val="22"/>
          <w:szCs w:val="22"/>
        </w:rPr>
        <w:t>(par.1.8</w:t>
      </w:r>
      <w:r w:rsidR="008B0A6D" w:rsidRPr="007F7EBF">
        <w:rPr>
          <w:sz w:val="22"/>
          <w:szCs w:val="22"/>
        </w:rPr>
        <w:t>)</w:t>
      </w:r>
      <w:r w:rsidR="00DD7F73">
        <w:rPr>
          <w:sz w:val="22"/>
          <w:szCs w:val="22"/>
        </w:rPr>
        <w:t xml:space="preserve"> è</w:t>
      </w:r>
      <w:r w:rsidR="00256554">
        <w:rPr>
          <w:sz w:val="22"/>
          <w:szCs w:val="22"/>
        </w:rPr>
        <w:t xml:space="preserve"> </w:t>
      </w:r>
      <w:r w:rsidR="003942F4">
        <w:rPr>
          <w:sz w:val="22"/>
          <w:szCs w:val="22"/>
        </w:rPr>
        <w:t>più preciso nell’indicare la</w:t>
      </w:r>
      <w:r w:rsidR="008B0A6D" w:rsidRPr="007F7EBF">
        <w:rPr>
          <w:sz w:val="22"/>
          <w:szCs w:val="22"/>
        </w:rPr>
        <w:t xml:space="preserve"> ricchezza </w:t>
      </w:r>
      <w:r w:rsidR="003942F4">
        <w:rPr>
          <w:sz w:val="22"/>
          <w:szCs w:val="22"/>
        </w:rPr>
        <w:t xml:space="preserve">creata </w:t>
      </w:r>
      <w:r w:rsidR="008B0A6D" w:rsidRPr="007F7EBF">
        <w:rPr>
          <w:sz w:val="22"/>
          <w:szCs w:val="22"/>
        </w:rPr>
        <w:t>per lavoratori, risparmiatori</w:t>
      </w:r>
      <w:r w:rsidR="008B0A6D">
        <w:rPr>
          <w:sz w:val="22"/>
          <w:szCs w:val="22"/>
        </w:rPr>
        <w:t xml:space="preserve"> e </w:t>
      </w:r>
      <w:r w:rsidR="008B0A6D" w:rsidRPr="007F7EBF">
        <w:rPr>
          <w:sz w:val="22"/>
          <w:szCs w:val="22"/>
        </w:rPr>
        <w:t>soci</w:t>
      </w:r>
      <w:r w:rsidR="00E427A8">
        <w:rPr>
          <w:sz w:val="22"/>
          <w:szCs w:val="22"/>
        </w:rPr>
        <w:t xml:space="preserve"> (</w:t>
      </w:r>
      <w:r w:rsidR="00E427A8">
        <w:rPr>
          <w:rStyle w:val="Rimandonotaapidipagina"/>
          <w:sz w:val="22"/>
          <w:szCs w:val="22"/>
        </w:rPr>
        <w:footnoteReference w:id="1054"/>
      </w:r>
      <w:r w:rsidR="00E427A8">
        <w:rPr>
          <w:sz w:val="22"/>
          <w:szCs w:val="22"/>
        </w:rPr>
        <w:t xml:space="preserve">). </w:t>
      </w:r>
    </w:p>
    <w:p w14:paraId="309AC33E" w14:textId="6AE90512" w:rsidR="00144892" w:rsidRPr="007F7EBF" w:rsidRDefault="00593443" w:rsidP="00144892">
      <w:pPr>
        <w:pStyle w:val="tit23"/>
        <w:ind w:left="6464" w:right="-1361" w:firstLine="0"/>
        <w:jc w:val="left"/>
        <w:rPr>
          <w:bCs/>
          <w:i/>
          <w:iCs/>
          <w:color w:val="0000FF"/>
          <w:lang w:val="it-IT"/>
        </w:rPr>
      </w:pPr>
      <w:r>
        <w:rPr>
          <w:bCs/>
          <w:i/>
          <w:iCs/>
          <w:color w:val="0000FF"/>
          <w:lang w:val="it-IT"/>
        </w:rPr>
        <w:lastRenderedPageBreak/>
        <w:t xml:space="preserve">Componenti </w:t>
      </w:r>
      <w:r w:rsidR="00106A14">
        <w:rPr>
          <w:bCs/>
          <w:i/>
          <w:iCs/>
          <w:color w:val="0000FF"/>
          <w:lang w:val="it-IT"/>
        </w:rPr>
        <w:t xml:space="preserve">atipici corrispettivi </w:t>
      </w:r>
    </w:p>
    <w:p w14:paraId="20D778F3" w14:textId="6A90828F" w:rsidR="00106A14" w:rsidRPr="007F7EBF" w:rsidRDefault="00E427A8" w:rsidP="00106A14">
      <w:pPr>
        <w:autoSpaceDE w:val="0"/>
        <w:autoSpaceDN w:val="0"/>
        <w:adjustRightInd w:val="0"/>
        <w:rPr>
          <w:bCs/>
          <w:i/>
          <w:iCs/>
          <w:color w:val="0000FF"/>
          <w:sz w:val="22"/>
          <w:szCs w:val="22"/>
        </w:rPr>
      </w:pPr>
      <w:r>
        <w:rPr>
          <w:sz w:val="22"/>
          <w:szCs w:val="22"/>
        </w:rPr>
        <w:t xml:space="preserve">I corrispettivi collaterali rispetto a questi “ricavi tipici” </w:t>
      </w:r>
      <w:r w:rsidR="00106A14" w:rsidRPr="007F7EBF">
        <w:rPr>
          <w:sz w:val="22"/>
          <w:szCs w:val="22"/>
        </w:rPr>
        <w:t xml:space="preserve">Non </w:t>
      </w:r>
      <w:r w:rsidR="00106A14">
        <w:rPr>
          <w:sz w:val="22"/>
          <w:szCs w:val="22"/>
        </w:rPr>
        <w:t xml:space="preserve">ne </w:t>
      </w:r>
      <w:r w:rsidR="00106A14" w:rsidRPr="007F7EBF">
        <w:rPr>
          <w:sz w:val="22"/>
          <w:szCs w:val="22"/>
        </w:rPr>
        <w:t>fanno parte</w:t>
      </w:r>
      <w:r w:rsidR="00106A14">
        <w:rPr>
          <w:sz w:val="22"/>
          <w:szCs w:val="22"/>
        </w:rPr>
        <w:t>, pur restando se del caso soggetti a IVA e con</w:t>
      </w:r>
      <w:r>
        <w:rPr>
          <w:sz w:val="22"/>
          <w:szCs w:val="22"/>
        </w:rPr>
        <w:t xml:space="preserve">tribuendo </w:t>
      </w:r>
      <w:r w:rsidR="00106A14">
        <w:rPr>
          <w:sz w:val="22"/>
          <w:szCs w:val="22"/>
        </w:rPr>
        <w:t>a formare il reddito,</w:t>
      </w:r>
      <w:r w:rsidR="00106A14" w:rsidRPr="007F7EBF">
        <w:rPr>
          <w:sz w:val="22"/>
          <w:szCs w:val="22"/>
        </w:rPr>
        <w:t xml:space="preserve"> i corrispettivi occasionali</w:t>
      </w:r>
      <w:r w:rsidR="00106A14">
        <w:rPr>
          <w:sz w:val="22"/>
          <w:szCs w:val="22"/>
        </w:rPr>
        <w:t xml:space="preserve"> rispetto ai suddetti ricavi “tipici”; si tratta ad esempio dei corrispettivi per </w:t>
      </w:r>
      <w:r w:rsidR="00106A14" w:rsidRPr="007F7EBF">
        <w:rPr>
          <w:sz w:val="22"/>
          <w:szCs w:val="22"/>
        </w:rPr>
        <w:t>la vendita di un bene strumentale, di un terreno, di un'azienda, di un brevetto</w:t>
      </w:r>
      <w:r w:rsidR="00106A14">
        <w:rPr>
          <w:sz w:val="22"/>
          <w:szCs w:val="22"/>
        </w:rPr>
        <w:t xml:space="preserve">, di un credito etc.. </w:t>
      </w:r>
      <w:r w:rsidR="00106A14" w:rsidRPr="007F7EBF">
        <w:rPr>
          <w:sz w:val="22"/>
          <w:szCs w:val="22"/>
        </w:rPr>
        <w:t xml:space="preserve">Si tratta normalmente di corrispettivi per cessione di beni registrati con criterio patrimoniale, con un loro valore di riferimento fiscalmente riconosciuto (par.7.13) e rispetto al quale la cessione comporta componenti reddituali denominate </w:t>
      </w:r>
      <w:r w:rsidR="00106A14" w:rsidRPr="00E427A8">
        <w:rPr>
          <w:i/>
          <w:sz w:val="22"/>
          <w:szCs w:val="22"/>
        </w:rPr>
        <w:t>plusvalenze</w:t>
      </w:r>
      <w:r w:rsidR="00106A14" w:rsidRPr="007F7EBF">
        <w:rPr>
          <w:sz w:val="22"/>
          <w:szCs w:val="22"/>
        </w:rPr>
        <w:t xml:space="preserve"> o </w:t>
      </w:r>
      <w:r w:rsidR="00106A14" w:rsidRPr="00E427A8">
        <w:rPr>
          <w:i/>
          <w:sz w:val="22"/>
          <w:szCs w:val="22"/>
        </w:rPr>
        <w:t>minusvalenze</w:t>
      </w:r>
      <w:r w:rsidR="00106A14">
        <w:rPr>
          <w:sz w:val="22"/>
          <w:szCs w:val="22"/>
        </w:rPr>
        <w:t>; la denominazione cambia a s</w:t>
      </w:r>
      <w:r w:rsidR="00106A14" w:rsidRPr="007F7EBF">
        <w:rPr>
          <w:sz w:val="22"/>
          <w:szCs w:val="22"/>
        </w:rPr>
        <w:t>econda che il corrispettivo ecceda il suddetto valore fiscalmente riconosciuto</w:t>
      </w:r>
      <w:r w:rsidR="00106A14">
        <w:rPr>
          <w:sz w:val="22"/>
          <w:szCs w:val="22"/>
        </w:rPr>
        <w:t xml:space="preserve"> (</w:t>
      </w:r>
      <w:r w:rsidR="00106A14" w:rsidRPr="007F7EBF">
        <w:rPr>
          <w:rStyle w:val="Rimandonotaapidipagina"/>
          <w:sz w:val="22"/>
          <w:szCs w:val="22"/>
        </w:rPr>
        <w:footnoteReference w:id="1055"/>
      </w:r>
      <w:r w:rsidR="00106A14">
        <w:rPr>
          <w:sz w:val="22"/>
          <w:szCs w:val="22"/>
        </w:rPr>
        <w:t>)</w:t>
      </w:r>
      <w:r w:rsidR="00106A14" w:rsidRPr="007F7EBF">
        <w:rPr>
          <w:sz w:val="22"/>
          <w:szCs w:val="22"/>
        </w:rPr>
        <w:t>.</w:t>
      </w:r>
    </w:p>
    <w:p w14:paraId="0547B54F" w14:textId="56A234C8" w:rsidR="00106A14" w:rsidRPr="007F7EBF" w:rsidRDefault="00106A14" w:rsidP="00106A14">
      <w:pPr>
        <w:pStyle w:val="tit23"/>
        <w:ind w:left="6464" w:right="-1361" w:firstLine="0"/>
        <w:jc w:val="left"/>
        <w:rPr>
          <w:bCs/>
          <w:i/>
          <w:iCs/>
          <w:color w:val="0000FF"/>
          <w:lang w:val="it-IT"/>
        </w:rPr>
      </w:pPr>
      <w:r>
        <w:rPr>
          <w:bCs/>
          <w:i/>
          <w:iCs/>
          <w:color w:val="0000FF"/>
          <w:lang w:val="it-IT"/>
        </w:rPr>
        <w:t>Componenti atipici “non corrispettivi”</w:t>
      </w:r>
    </w:p>
    <w:p w14:paraId="54483731" w14:textId="5F3472EB" w:rsidR="003942F4" w:rsidRPr="007F7EBF" w:rsidRDefault="00E427A8" w:rsidP="003942F4">
      <w:pPr>
        <w:autoSpaceDE w:val="0"/>
        <w:autoSpaceDN w:val="0"/>
        <w:adjustRightInd w:val="0"/>
        <w:rPr>
          <w:sz w:val="22"/>
          <w:szCs w:val="22"/>
        </w:rPr>
      </w:pPr>
      <w:r>
        <w:rPr>
          <w:sz w:val="22"/>
          <w:szCs w:val="22"/>
        </w:rPr>
        <w:t>Ci sono anche elementi</w:t>
      </w:r>
      <w:r w:rsidR="00256554">
        <w:rPr>
          <w:sz w:val="22"/>
          <w:szCs w:val="22"/>
        </w:rPr>
        <w:t>, positivi e negativi, rilevanti ai fini del reddito</w:t>
      </w:r>
      <w:r>
        <w:rPr>
          <w:sz w:val="22"/>
          <w:szCs w:val="22"/>
        </w:rPr>
        <w:t>, ma non corrispettivi, e quindi ir</w:t>
      </w:r>
      <w:r w:rsidR="00256554">
        <w:rPr>
          <w:sz w:val="22"/>
          <w:szCs w:val="22"/>
        </w:rPr>
        <w:t xml:space="preserve">rilevanti ai fini IVA; </w:t>
      </w:r>
      <w:r>
        <w:rPr>
          <w:sz w:val="22"/>
          <w:szCs w:val="22"/>
        </w:rPr>
        <w:t xml:space="preserve">si pensi a </w:t>
      </w:r>
      <w:r w:rsidR="003942F4">
        <w:rPr>
          <w:sz w:val="22"/>
          <w:szCs w:val="22"/>
        </w:rPr>
        <w:t>contributi non corrispettivi, ad esempio</w:t>
      </w:r>
      <w:r w:rsidR="00CC555D" w:rsidRPr="007F7EBF">
        <w:rPr>
          <w:sz w:val="22"/>
          <w:szCs w:val="22"/>
        </w:rPr>
        <w:t xml:space="preserve"> pubblic</w:t>
      </w:r>
      <w:r w:rsidR="003942F4">
        <w:rPr>
          <w:sz w:val="22"/>
          <w:szCs w:val="22"/>
        </w:rPr>
        <w:t>i</w:t>
      </w:r>
      <w:r w:rsidR="00297DF1" w:rsidRPr="007F7EBF">
        <w:rPr>
          <w:sz w:val="22"/>
          <w:szCs w:val="22"/>
        </w:rPr>
        <w:t>, incentivi, risarcimenti di danni</w:t>
      </w:r>
      <w:r>
        <w:rPr>
          <w:sz w:val="22"/>
          <w:szCs w:val="22"/>
        </w:rPr>
        <w:t xml:space="preserve"> versati o ricevuti,</w:t>
      </w:r>
      <w:r w:rsidR="00297DF1" w:rsidRPr="007F7EBF">
        <w:rPr>
          <w:sz w:val="22"/>
          <w:szCs w:val="22"/>
        </w:rPr>
        <w:t xml:space="preserve">, </w:t>
      </w:r>
      <w:r w:rsidR="00593443">
        <w:rPr>
          <w:sz w:val="22"/>
          <w:szCs w:val="22"/>
        </w:rPr>
        <w:t xml:space="preserve">interessi moratori </w:t>
      </w:r>
      <w:r w:rsidR="00CC555D" w:rsidRPr="007F7EBF">
        <w:rPr>
          <w:sz w:val="22"/>
          <w:szCs w:val="22"/>
        </w:rPr>
        <w:t>attivi e passivi</w:t>
      </w:r>
      <w:r w:rsidR="00593443">
        <w:rPr>
          <w:sz w:val="22"/>
          <w:szCs w:val="22"/>
        </w:rPr>
        <w:t>(</w:t>
      </w:r>
      <w:r w:rsidR="00593443">
        <w:rPr>
          <w:rStyle w:val="Rimandonotaapidipagina"/>
          <w:sz w:val="22"/>
          <w:szCs w:val="22"/>
        </w:rPr>
        <w:footnoteReference w:id="1056"/>
      </w:r>
      <w:r w:rsidR="00593443">
        <w:rPr>
          <w:sz w:val="22"/>
          <w:szCs w:val="22"/>
        </w:rPr>
        <w:t>)</w:t>
      </w:r>
      <w:r w:rsidR="00CC555D" w:rsidRPr="007F7EBF">
        <w:rPr>
          <w:sz w:val="22"/>
          <w:szCs w:val="22"/>
        </w:rPr>
        <w:t>, perdite</w:t>
      </w:r>
      <w:r w:rsidR="003942F4">
        <w:rPr>
          <w:sz w:val="22"/>
          <w:szCs w:val="22"/>
        </w:rPr>
        <w:t xml:space="preserve"> per incidenti</w:t>
      </w:r>
      <w:r w:rsidR="009E7020">
        <w:rPr>
          <w:sz w:val="22"/>
          <w:szCs w:val="22"/>
        </w:rPr>
        <w:t xml:space="preserve"> </w:t>
      </w:r>
      <w:r w:rsidR="003942F4">
        <w:rPr>
          <w:sz w:val="22"/>
          <w:szCs w:val="22"/>
        </w:rPr>
        <w:t>o insolvenza di debitori</w:t>
      </w:r>
      <w:r w:rsidR="009E7020">
        <w:rPr>
          <w:sz w:val="22"/>
          <w:szCs w:val="22"/>
        </w:rPr>
        <w:t>, rilevano ai fini della determinazione del reddito</w:t>
      </w:r>
      <w:r w:rsidR="0055605F">
        <w:rPr>
          <w:sz w:val="22"/>
          <w:szCs w:val="22"/>
        </w:rPr>
        <w:t xml:space="preserve">: Si tratta spesso di elementi reddituali riconducibili alla categoria residuale delle sopravvenienze attive o passive.  </w:t>
      </w:r>
      <w:r w:rsidR="00593CC0">
        <w:rPr>
          <w:sz w:val="22"/>
          <w:szCs w:val="22"/>
        </w:rPr>
        <w:t>Inoltre tutte le componenti reddituali societarie, finanziarie, bancarie, assicurative non rilevano ai fini del consumo</w:t>
      </w:r>
      <w:r w:rsidR="00D80734">
        <w:rPr>
          <w:sz w:val="22"/>
          <w:szCs w:val="22"/>
        </w:rPr>
        <w:t xml:space="preserve"> e quindi dell’IVA</w:t>
      </w:r>
      <w:r w:rsidR="00593CC0">
        <w:rPr>
          <w:sz w:val="22"/>
          <w:szCs w:val="22"/>
        </w:rPr>
        <w:t xml:space="preserve"> (</w:t>
      </w:r>
      <w:r w:rsidR="00593CC0">
        <w:rPr>
          <w:rStyle w:val="Rimandonotaapidipagina"/>
          <w:sz w:val="22"/>
          <w:szCs w:val="22"/>
        </w:rPr>
        <w:footnoteReference w:id="1057"/>
      </w:r>
      <w:r w:rsidR="00593CC0">
        <w:rPr>
          <w:sz w:val="22"/>
          <w:szCs w:val="22"/>
        </w:rPr>
        <w:t>)</w:t>
      </w:r>
      <w:r w:rsidR="00CD535B">
        <w:rPr>
          <w:sz w:val="22"/>
          <w:szCs w:val="22"/>
        </w:rPr>
        <w:t xml:space="preserve">. </w:t>
      </w:r>
      <w:r w:rsidR="006C73BF">
        <w:rPr>
          <w:sz w:val="22"/>
          <w:szCs w:val="22"/>
        </w:rPr>
        <w:t xml:space="preserve">Come si vede, </w:t>
      </w:r>
      <w:r w:rsidR="00D80734">
        <w:rPr>
          <w:sz w:val="22"/>
          <w:szCs w:val="22"/>
        </w:rPr>
        <w:t xml:space="preserve">in </w:t>
      </w:r>
      <w:r w:rsidR="00D80734">
        <w:rPr>
          <w:sz w:val="22"/>
          <w:szCs w:val="22"/>
        </w:rPr>
        <w:lastRenderedPageBreak/>
        <w:t xml:space="preserve">una determinazione documentale, </w:t>
      </w:r>
      <w:r w:rsidR="00593CC0">
        <w:rPr>
          <w:sz w:val="22"/>
          <w:szCs w:val="22"/>
        </w:rPr>
        <w:t xml:space="preserve">il reddito è un’astrazione economica </w:t>
      </w:r>
      <w:r w:rsidR="004C2906">
        <w:rPr>
          <w:sz w:val="22"/>
          <w:szCs w:val="22"/>
        </w:rPr>
        <w:t>influ</w:t>
      </w:r>
      <w:r w:rsidR="00D80734">
        <w:rPr>
          <w:sz w:val="22"/>
          <w:szCs w:val="22"/>
        </w:rPr>
        <w:t>enzata da molti più</w:t>
      </w:r>
      <w:r w:rsidR="004C2906">
        <w:rPr>
          <w:sz w:val="22"/>
          <w:szCs w:val="22"/>
        </w:rPr>
        <w:t xml:space="preserve"> </w:t>
      </w:r>
      <w:r w:rsidR="00593CC0">
        <w:rPr>
          <w:sz w:val="22"/>
          <w:szCs w:val="22"/>
        </w:rPr>
        <w:t xml:space="preserve">elementi </w:t>
      </w:r>
      <w:r w:rsidR="00D80734">
        <w:rPr>
          <w:sz w:val="22"/>
          <w:szCs w:val="22"/>
        </w:rPr>
        <w:t>di</w:t>
      </w:r>
      <w:r w:rsidR="004C2906">
        <w:rPr>
          <w:sz w:val="22"/>
          <w:szCs w:val="22"/>
        </w:rPr>
        <w:t xml:space="preserve"> quelli che influiscono sul </w:t>
      </w:r>
      <w:r w:rsidR="00593CC0">
        <w:rPr>
          <w:sz w:val="22"/>
          <w:szCs w:val="22"/>
        </w:rPr>
        <w:t xml:space="preserve">consumo.  </w:t>
      </w:r>
    </w:p>
    <w:p w14:paraId="717A3315" w14:textId="204BAB7A" w:rsidR="003942F4" w:rsidRPr="007F7EBF" w:rsidRDefault="003942F4" w:rsidP="003942F4">
      <w:pPr>
        <w:pStyle w:val="tit23"/>
        <w:ind w:left="6464" w:right="-1361" w:firstLine="0"/>
        <w:jc w:val="left"/>
        <w:rPr>
          <w:bCs/>
          <w:i/>
          <w:iCs/>
          <w:color w:val="0000FF"/>
          <w:lang w:val="it-IT"/>
        </w:rPr>
      </w:pPr>
      <w:r>
        <w:rPr>
          <w:bCs/>
          <w:i/>
          <w:iCs/>
          <w:color w:val="0000FF"/>
          <w:lang w:val="it-IT"/>
        </w:rPr>
        <w:t>Principio di attrazione all’attività</w:t>
      </w:r>
    </w:p>
    <w:p w14:paraId="1FA26261" w14:textId="3BA162D3" w:rsidR="0033405B" w:rsidRPr="007F7EBF" w:rsidRDefault="00144892" w:rsidP="00144892">
      <w:pPr>
        <w:autoSpaceDE w:val="0"/>
        <w:autoSpaceDN w:val="0"/>
        <w:adjustRightInd w:val="0"/>
        <w:rPr>
          <w:sz w:val="22"/>
          <w:szCs w:val="22"/>
        </w:rPr>
      </w:pPr>
      <w:r w:rsidRPr="007F7EBF">
        <w:rPr>
          <w:sz w:val="22"/>
          <w:szCs w:val="22"/>
        </w:rPr>
        <w:t xml:space="preserve">Anche </w:t>
      </w:r>
      <w:r w:rsidR="00EA534A">
        <w:rPr>
          <w:sz w:val="22"/>
          <w:szCs w:val="22"/>
        </w:rPr>
        <w:t>redditi che, per la loro natura oggettiva, sarebbero imponibili in altre categorie, ad esempio</w:t>
      </w:r>
      <w:r w:rsidR="00CC555D" w:rsidRPr="007F7EBF">
        <w:rPr>
          <w:sz w:val="22"/>
          <w:szCs w:val="22"/>
        </w:rPr>
        <w:t xml:space="preserve"> di capitale (par.8.5) di </w:t>
      </w:r>
      <w:r w:rsidRPr="007F7EBF">
        <w:rPr>
          <w:sz w:val="22"/>
          <w:szCs w:val="22"/>
        </w:rPr>
        <w:t>fabbricati (par.8.4)</w:t>
      </w:r>
      <w:r w:rsidR="00752691">
        <w:rPr>
          <w:sz w:val="22"/>
          <w:szCs w:val="22"/>
        </w:rPr>
        <w:t xml:space="preserve"> o diversi (par.8.6)</w:t>
      </w:r>
      <w:r w:rsidR="0055605F">
        <w:rPr>
          <w:sz w:val="22"/>
          <w:szCs w:val="22"/>
        </w:rPr>
        <w:t xml:space="preserve">, o non sarebbero rilevanti, </w:t>
      </w:r>
      <w:r w:rsidR="00290FF1">
        <w:rPr>
          <w:sz w:val="22"/>
          <w:szCs w:val="22"/>
        </w:rPr>
        <w:t xml:space="preserve">vengono attratti nel reddito di impresa. </w:t>
      </w:r>
      <w:r w:rsidR="005744AD">
        <w:rPr>
          <w:sz w:val="22"/>
          <w:szCs w:val="22"/>
        </w:rPr>
        <w:t xml:space="preserve"> </w:t>
      </w:r>
      <w:r w:rsidR="00290FF1" w:rsidRPr="007F7EBF">
        <w:t xml:space="preserve">Si tratta del c.d. </w:t>
      </w:r>
      <w:r w:rsidR="00290FF1" w:rsidRPr="007F7EBF">
        <w:rPr>
          <w:i/>
        </w:rPr>
        <w:t>principio di attrazione del reddito d'impresa</w:t>
      </w:r>
      <w:r w:rsidR="00290FF1" w:rsidRPr="007F7EBF">
        <w:t xml:space="preserve"> rispetto ad altre tipologie di reddito</w:t>
      </w:r>
      <w:r w:rsidR="00040BFE">
        <w:t xml:space="preserve"> </w:t>
      </w:r>
      <w:r w:rsidR="0055605F" w:rsidRPr="007F7EBF">
        <w:rPr>
          <w:sz w:val="22"/>
          <w:szCs w:val="22"/>
        </w:rPr>
        <w:t>(</w:t>
      </w:r>
      <w:r w:rsidR="0055605F" w:rsidRPr="007F7EBF">
        <w:rPr>
          <w:rStyle w:val="Rimandonotaapidipagina"/>
          <w:sz w:val="22"/>
          <w:szCs w:val="22"/>
        </w:rPr>
        <w:footnoteReference w:id="1058"/>
      </w:r>
      <w:r w:rsidR="0055605F" w:rsidRPr="007F7EBF">
        <w:rPr>
          <w:sz w:val="22"/>
          <w:szCs w:val="22"/>
        </w:rPr>
        <w:t>)</w:t>
      </w:r>
      <w:r w:rsidR="00040BFE">
        <w:rPr>
          <w:sz w:val="22"/>
          <w:szCs w:val="22"/>
        </w:rPr>
        <w:t xml:space="preserve">; tale principio riguarda le società come tali, mentre per le persone fisiche bisogna distinguere tra “sfera imprenditoriale” e “sfera personale”. Per i corrispettivi riferibili all’impresa in base al suddetto principio di attrazione può rendersi applicabile anche l’IVA, qualora ne </w:t>
      </w:r>
      <w:r w:rsidR="00D12DB4">
        <w:rPr>
          <w:sz w:val="22"/>
          <w:szCs w:val="22"/>
        </w:rPr>
        <w:t>sussist</w:t>
      </w:r>
      <w:r w:rsidR="00040BFE">
        <w:rPr>
          <w:sz w:val="22"/>
          <w:szCs w:val="22"/>
        </w:rPr>
        <w:t>a</w:t>
      </w:r>
      <w:r w:rsidR="00D12DB4">
        <w:rPr>
          <w:sz w:val="22"/>
          <w:szCs w:val="22"/>
        </w:rPr>
        <w:t>no gli altri presupposti</w:t>
      </w:r>
      <w:r w:rsidR="00040BFE">
        <w:rPr>
          <w:sz w:val="22"/>
          <w:szCs w:val="22"/>
        </w:rPr>
        <w:t xml:space="preserve">. </w:t>
      </w:r>
      <w:r w:rsidR="00D12DB4">
        <w:rPr>
          <w:sz w:val="22"/>
          <w:szCs w:val="22"/>
        </w:rPr>
        <w:t xml:space="preserve"> </w:t>
      </w:r>
    </w:p>
    <w:p w14:paraId="33A4E819" w14:textId="29DF41EF" w:rsidR="00781C23" w:rsidRPr="007F7EBF" w:rsidRDefault="006342C5" w:rsidP="006465B3">
      <w:pPr>
        <w:pStyle w:val="Titolo3"/>
        <w:rPr>
          <w:rFonts w:ascii="Times New Roman" w:hAnsi="Times New Roman"/>
          <w:sz w:val="22"/>
          <w:szCs w:val="22"/>
        </w:rPr>
      </w:pPr>
      <w:bookmarkStart w:id="105" w:name="_Toc63365016"/>
      <w:r w:rsidRPr="007F7EBF">
        <w:rPr>
          <w:rFonts w:ascii="Times New Roman" w:hAnsi="Times New Roman"/>
          <w:sz w:val="22"/>
          <w:szCs w:val="22"/>
        </w:rPr>
        <w:t xml:space="preserve">7.7. </w:t>
      </w:r>
      <w:r w:rsidR="00DD5376">
        <w:rPr>
          <w:rFonts w:ascii="Times New Roman" w:hAnsi="Times New Roman"/>
          <w:sz w:val="22"/>
          <w:szCs w:val="22"/>
          <w:lang w:val="it-IT"/>
        </w:rPr>
        <w:t>Rilevazioni</w:t>
      </w:r>
      <w:r w:rsidRPr="007F7EBF">
        <w:rPr>
          <w:rFonts w:ascii="Times New Roman" w:hAnsi="Times New Roman"/>
          <w:sz w:val="22"/>
          <w:szCs w:val="22"/>
        </w:rPr>
        <w:t xml:space="preserve"> documentali </w:t>
      </w:r>
      <w:r w:rsidR="00DD5376">
        <w:rPr>
          <w:rFonts w:ascii="Times New Roman" w:hAnsi="Times New Roman"/>
          <w:sz w:val="22"/>
          <w:szCs w:val="22"/>
          <w:lang w:val="it-IT"/>
        </w:rPr>
        <w:t xml:space="preserve">delle operazioni </w:t>
      </w:r>
      <w:r w:rsidR="001571F2" w:rsidRPr="007F7EBF">
        <w:rPr>
          <w:rFonts w:ascii="Times New Roman" w:hAnsi="Times New Roman"/>
          <w:sz w:val="22"/>
          <w:szCs w:val="22"/>
        </w:rPr>
        <w:t xml:space="preserve">(richiamo e integrazione del par. 3.3 su </w:t>
      </w:r>
      <w:r w:rsidRPr="007F7EBF">
        <w:rPr>
          <w:rFonts w:ascii="Times New Roman" w:hAnsi="Times New Roman"/>
          <w:sz w:val="22"/>
          <w:szCs w:val="22"/>
        </w:rPr>
        <w:t>registrazioni, fatture, scontrini, note di credito)</w:t>
      </w:r>
      <w:bookmarkEnd w:id="105"/>
      <w:r w:rsidR="007D6841" w:rsidRPr="007F7EBF">
        <w:rPr>
          <w:rFonts w:ascii="Times New Roman" w:hAnsi="Times New Roman"/>
          <w:bCs w:val="0"/>
          <w:i/>
          <w:iCs/>
          <w:color w:val="0000FF"/>
          <w:sz w:val="22"/>
          <w:szCs w:val="22"/>
          <w:lang w:val="it-IT"/>
        </w:rPr>
        <w:t xml:space="preserve"> </w:t>
      </w:r>
    </w:p>
    <w:p w14:paraId="5868DE26" w14:textId="273FB08C" w:rsidR="00781C23" w:rsidRPr="007F7EBF" w:rsidRDefault="00626F31" w:rsidP="00781C23">
      <w:pPr>
        <w:pStyle w:val="tit23"/>
        <w:ind w:left="6464" w:right="-1361" w:firstLine="0"/>
        <w:jc w:val="left"/>
        <w:rPr>
          <w:bCs/>
          <w:i/>
          <w:iCs/>
          <w:color w:val="0000FF"/>
          <w:lang w:val="it-IT"/>
        </w:rPr>
      </w:pPr>
      <w:r>
        <w:rPr>
          <w:bCs/>
          <w:i/>
          <w:iCs/>
          <w:color w:val="0000FF"/>
          <w:lang w:val="it-IT"/>
        </w:rPr>
        <w:t>Rilevazione anonima dei corrispettivi al dettaglio</w:t>
      </w:r>
    </w:p>
    <w:p w14:paraId="091FD223" w14:textId="6CB84863" w:rsidR="007365A7" w:rsidRDefault="007365A7" w:rsidP="00626F31">
      <w:pPr>
        <w:autoSpaceDE w:val="0"/>
        <w:autoSpaceDN w:val="0"/>
        <w:adjustRightInd w:val="0"/>
        <w:rPr>
          <w:sz w:val="22"/>
          <w:szCs w:val="22"/>
        </w:rPr>
      </w:pPr>
      <w:r>
        <w:rPr>
          <w:sz w:val="22"/>
          <w:szCs w:val="22"/>
        </w:rPr>
        <w:t xml:space="preserve">Approfondiremo in questo paragrafo le modalità, </w:t>
      </w:r>
      <w:r w:rsidR="00424D52">
        <w:rPr>
          <w:sz w:val="22"/>
          <w:szCs w:val="22"/>
        </w:rPr>
        <w:t>già accennat</w:t>
      </w:r>
      <w:r>
        <w:rPr>
          <w:sz w:val="22"/>
          <w:szCs w:val="22"/>
        </w:rPr>
        <w:t>e</w:t>
      </w:r>
      <w:r w:rsidR="00424D52">
        <w:rPr>
          <w:sz w:val="22"/>
          <w:szCs w:val="22"/>
        </w:rPr>
        <w:t xml:space="preserve"> al par.3.3 sull</w:t>
      </w:r>
      <w:r w:rsidR="00BF5D0B">
        <w:rPr>
          <w:sz w:val="22"/>
          <w:szCs w:val="22"/>
        </w:rPr>
        <w:t xml:space="preserve">a documentazione aziendale su cui si inserisce la determinazione tributaria dei presupposti economici d’imposta, come reddito e consumo di cui al par.1.8. </w:t>
      </w:r>
    </w:p>
    <w:p w14:paraId="4CFEC2BB" w14:textId="2185FF1C" w:rsidR="00E83097" w:rsidRPr="007F7EBF" w:rsidRDefault="007365A7" w:rsidP="002605B5">
      <w:pPr>
        <w:autoSpaceDE w:val="0"/>
        <w:autoSpaceDN w:val="0"/>
        <w:adjustRightInd w:val="0"/>
        <w:rPr>
          <w:sz w:val="22"/>
          <w:szCs w:val="22"/>
        </w:rPr>
      </w:pPr>
      <w:r>
        <w:rPr>
          <w:sz w:val="22"/>
          <w:szCs w:val="22"/>
        </w:rPr>
        <w:t xml:space="preserve">Partiamo dall’entità più rappresentativa del consumo, cioè dalle singole vendite al dettaglio; di ciascuna di esse viene </w:t>
      </w:r>
      <w:r w:rsidR="00424D52">
        <w:rPr>
          <w:sz w:val="22"/>
          <w:szCs w:val="22"/>
        </w:rPr>
        <w:t xml:space="preserve">registrato </w:t>
      </w:r>
      <w:r>
        <w:rPr>
          <w:sz w:val="22"/>
          <w:szCs w:val="22"/>
        </w:rPr>
        <w:t xml:space="preserve">solo </w:t>
      </w:r>
      <w:r w:rsidR="00424D52">
        <w:rPr>
          <w:sz w:val="22"/>
          <w:szCs w:val="22"/>
        </w:rPr>
        <w:t xml:space="preserve">l’importo, cui corrisponde uno </w:t>
      </w:r>
      <w:r w:rsidR="006342C5" w:rsidRPr="007F7EBF">
        <w:rPr>
          <w:sz w:val="22"/>
          <w:szCs w:val="22"/>
        </w:rPr>
        <w:t>“scontrino</w:t>
      </w:r>
      <w:r w:rsidR="00DA241B" w:rsidRPr="007F7EBF">
        <w:rPr>
          <w:sz w:val="22"/>
          <w:szCs w:val="22"/>
        </w:rPr>
        <w:t>”</w:t>
      </w:r>
      <w:r w:rsidR="00424D52">
        <w:rPr>
          <w:sz w:val="22"/>
          <w:szCs w:val="22"/>
        </w:rPr>
        <w:t>, emesso per esigenze organizzative e non necessariamente fiscali</w:t>
      </w:r>
      <w:r w:rsidR="00AC42BD" w:rsidRPr="00AC42BD">
        <w:rPr>
          <w:sz w:val="22"/>
          <w:szCs w:val="22"/>
        </w:rPr>
        <w:t xml:space="preserve"> </w:t>
      </w:r>
      <w:r w:rsidR="00AC42BD">
        <w:rPr>
          <w:sz w:val="22"/>
          <w:szCs w:val="22"/>
        </w:rPr>
        <w:t>(</w:t>
      </w:r>
      <w:r w:rsidR="00AC42BD" w:rsidRPr="007F7EBF">
        <w:rPr>
          <w:rStyle w:val="Rimandonotaapidipagina"/>
          <w:sz w:val="22"/>
          <w:szCs w:val="22"/>
        </w:rPr>
        <w:footnoteReference w:id="1059"/>
      </w:r>
      <w:r w:rsidR="00AC42BD">
        <w:rPr>
          <w:sz w:val="22"/>
          <w:szCs w:val="22"/>
        </w:rPr>
        <w:t>)</w:t>
      </w:r>
      <w:r w:rsidR="00DA241B" w:rsidRPr="007F7EBF">
        <w:rPr>
          <w:sz w:val="22"/>
          <w:szCs w:val="22"/>
        </w:rPr>
        <w:t xml:space="preserve">. </w:t>
      </w:r>
      <w:r w:rsidR="00424D52">
        <w:rPr>
          <w:sz w:val="22"/>
          <w:szCs w:val="22"/>
        </w:rPr>
        <w:t xml:space="preserve">Come indicato al par.3.2, l’azienda </w:t>
      </w:r>
      <w:r w:rsidR="00424D52">
        <w:rPr>
          <w:sz w:val="22"/>
          <w:szCs w:val="22"/>
        </w:rPr>
        <w:lastRenderedPageBreak/>
        <w:t xml:space="preserve">non ha </w:t>
      </w:r>
      <w:r>
        <w:rPr>
          <w:sz w:val="22"/>
          <w:szCs w:val="22"/>
        </w:rPr>
        <w:t xml:space="preserve">infatti </w:t>
      </w:r>
      <w:r w:rsidR="00424D52">
        <w:rPr>
          <w:sz w:val="22"/>
          <w:szCs w:val="22"/>
        </w:rPr>
        <w:t xml:space="preserve">bisogno di conoscere le generalità del cliente al dettaglio, a meno che non debba garantirsi della sua solvibilità ai fini </w:t>
      </w:r>
      <w:r w:rsidR="00424D52" w:rsidRPr="007F7EBF">
        <w:rPr>
          <w:sz w:val="22"/>
          <w:szCs w:val="22"/>
        </w:rPr>
        <w:t>del pagamento</w:t>
      </w:r>
      <w:r w:rsidR="00424D52">
        <w:rPr>
          <w:sz w:val="22"/>
          <w:szCs w:val="22"/>
        </w:rPr>
        <w:t xml:space="preserve"> (</w:t>
      </w:r>
      <w:r w:rsidR="00424D52">
        <w:rPr>
          <w:rStyle w:val="Rimandonotaapidipagina"/>
          <w:sz w:val="22"/>
          <w:szCs w:val="22"/>
        </w:rPr>
        <w:footnoteReference w:id="1060"/>
      </w:r>
      <w:r w:rsidR="00424D52">
        <w:rPr>
          <w:sz w:val="22"/>
          <w:szCs w:val="22"/>
        </w:rPr>
        <w:t>).</w:t>
      </w:r>
      <w:r w:rsidR="002605B5">
        <w:rPr>
          <w:sz w:val="22"/>
          <w:szCs w:val="22"/>
        </w:rPr>
        <w:t xml:space="preserve"> Oltre all’annotazione dell’operazione specifica, alcuni settori </w:t>
      </w:r>
      <w:r w:rsidR="002605B5" w:rsidRPr="007F7EBF">
        <w:rPr>
          <w:sz w:val="22"/>
          <w:szCs w:val="22"/>
        </w:rPr>
        <w:t xml:space="preserve">economici specifici </w:t>
      </w:r>
      <w:r w:rsidR="002605B5">
        <w:rPr>
          <w:sz w:val="22"/>
          <w:szCs w:val="22"/>
        </w:rPr>
        <w:t xml:space="preserve">emettono altri documenti, anch’essi spesso anonimi, </w:t>
      </w:r>
      <w:r w:rsidR="002605B5" w:rsidRPr="007F7EBF">
        <w:rPr>
          <w:sz w:val="22"/>
          <w:szCs w:val="22"/>
        </w:rPr>
        <w:t xml:space="preserve"> </w:t>
      </w:r>
      <w:r w:rsidR="002605B5">
        <w:rPr>
          <w:sz w:val="22"/>
          <w:szCs w:val="22"/>
        </w:rPr>
        <w:t>come i biglietti delle so</w:t>
      </w:r>
      <w:r w:rsidR="002605B5" w:rsidRPr="007F7EBF">
        <w:rPr>
          <w:sz w:val="22"/>
          <w:szCs w:val="22"/>
        </w:rPr>
        <w:t xml:space="preserve">cietà di trasporti, le </w:t>
      </w:r>
      <w:r w:rsidR="002605B5">
        <w:rPr>
          <w:sz w:val="22"/>
          <w:szCs w:val="22"/>
        </w:rPr>
        <w:t>polizze d’</w:t>
      </w:r>
      <w:r w:rsidR="002605B5" w:rsidRPr="007F7EBF">
        <w:rPr>
          <w:sz w:val="22"/>
          <w:szCs w:val="22"/>
        </w:rPr>
        <w:t xml:space="preserve">assicurazioni, </w:t>
      </w:r>
      <w:r w:rsidR="002605B5">
        <w:rPr>
          <w:sz w:val="22"/>
          <w:szCs w:val="22"/>
        </w:rPr>
        <w:t>gli ingressi del locali</w:t>
      </w:r>
      <w:r w:rsidR="002605B5" w:rsidRPr="007F7EBF">
        <w:rPr>
          <w:sz w:val="22"/>
          <w:szCs w:val="22"/>
        </w:rPr>
        <w:t>.</w:t>
      </w:r>
      <w:r w:rsidR="00710522">
        <w:rPr>
          <w:sz w:val="22"/>
          <w:szCs w:val="22"/>
        </w:rPr>
        <w:t xml:space="preserve"> </w:t>
      </w:r>
    </w:p>
    <w:p w14:paraId="6481690E" w14:textId="77777777" w:rsidR="00E83097" w:rsidRPr="007F7EBF" w:rsidRDefault="00E83097" w:rsidP="00E83097">
      <w:pPr>
        <w:pStyle w:val="tit23"/>
        <w:ind w:left="6464" w:right="-1361" w:firstLine="0"/>
        <w:jc w:val="left"/>
        <w:rPr>
          <w:bCs/>
          <w:i/>
          <w:iCs/>
          <w:color w:val="0000FF"/>
          <w:lang w:val="it-IT"/>
        </w:rPr>
      </w:pPr>
      <w:r w:rsidRPr="007F7EBF">
        <w:rPr>
          <w:bCs/>
          <w:i/>
          <w:iCs/>
          <w:color w:val="0000FF"/>
          <w:lang w:val="it-IT"/>
        </w:rPr>
        <w:t>Scontrini e ricevute fiscali</w:t>
      </w:r>
    </w:p>
    <w:p w14:paraId="2C9892FE" w14:textId="770618D1" w:rsidR="002605B5" w:rsidRPr="007F7EBF" w:rsidRDefault="00710522" w:rsidP="002605B5">
      <w:pPr>
        <w:autoSpaceDE w:val="0"/>
        <w:autoSpaceDN w:val="0"/>
        <w:adjustRightInd w:val="0"/>
        <w:rPr>
          <w:sz w:val="22"/>
          <w:szCs w:val="22"/>
        </w:rPr>
      </w:pPr>
      <w:r>
        <w:rPr>
          <w:sz w:val="22"/>
          <w:szCs w:val="22"/>
        </w:rPr>
        <w:t xml:space="preserve">Questa tracciabilità delle vendite fu rafforzata ai fini tributari con </w:t>
      </w:r>
      <w:r w:rsidR="006342C5" w:rsidRPr="007F7EBF">
        <w:rPr>
          <w:sz w:val="22"/>
          <w:szCs w:val="22"/>
        </w:rPr>
        <w:t>le c.d. «</w:t>
      </w:r>
      <w:r w:rsidR="006342C5" w:rsidRPr="007F7EBF">
        <w:rPr>
          <w:bCs/>
          <w:sz w:val="22"/>
          <w:szCs w:val="22"/>
        </w:rPr>
        <w:t>ricevute fiscali» e gli</w:t>
      </w:r>
      <w:r w:rsidR="002C1431">
        <w:rPr>
          <w:bCs/>
          <w:sz w:val="22"/>
          <w:szCs w:val="22"/>
        </w:rPr>
        <w:t xml:space="preserve"> </w:t>
      </w:r>
      <w:r w:rsidR="006342C5" w:rsidRPr="007F7EBF">
        <w:rPr>
          <w:bCs/>
          <w:sz w:val="22"/>
          <w:szCs w:val="22"/>
        </w:rPr>
        <w:t>«scontrini fiscali»</w:t>
      </w:r>
      <w:r>
        <w:rPr>
          <w:sz w:val="22"/>
          <w:szCs w:val="22"/>
        </w:rPr>
        <w:t>,</w:t>
      </w:r>
      <w:r w:rsidR="006342C5" w:rsidRPr="007F7EBF">
        <w:rPr>
          <w:sz w:val="22"/>
          <w:szCs w:val="22"/>
        </w:rPr>
        <w:t xml:space="preserve"> </w:t>
      </w:r>
      <w:r w:rsidR="00D4578A" w:rsidRPr="007F7EBF">
        <w:rPr>
          <w:sz w:val="22"/>
          <w:szCs w:val="22"/>
        </w:rPr>
        <w:t>circondati da cautele amministrative</w:t>
      </w:r>
      <w:r>
        <w:rPr>
          <w:sz w:val="22"/>
          <w:szCs w:val="22"/>
        </w:rPr>
        <w:t xml:space="preserve"> </w:t>
      </w:r>
      <w:r w:rsidR="00D4578A" w:rsidRPr="007F7EBF">
        <w:rPr>
          <w:sz w:val="22"/>
          <w:szCs w:val="22"/>
        </w:rPr>
        <w:t>su</w:t>
      </w:r>
      <w:r>
        <w:rPr>
          <w:sz w:val="22"/>
          <w:szCs w:val="22"/>
        </w:rPr>
        <w:t xml:space="preserve">gli acquisti dei blocchetti di </w:t>
      </w:r>
      <w:r w:rsidR="00D4578A" w:rsidRPr="007F7EBF">
        <w:rPr>
          <w:sz w:val="22"/>
          <w:szCs w:val="22"/>
        </w:rPr>
        <w:t>ricevute</w:t>
      </w:r>
      <w:r>
        <w:rPr>
          <w:sz w:val="22"/>
          <w:szCs w:val="22"/>
        </w:rPr>
        <w:t>,</w:t>
      </w:r>
      <w:r w:rsidR="00D4578A" w:rsidRPr="007F7EBF">
        <w:rPr>
          <w:sz w:val="22"/>
          <w:szCs w:val="22"/>
        </w:rPr>
        <w:t xml:space="preserve"> o da </w:t>
      </w:r>
      <w:r>
        <w:rPr>
          <w:sz w:val="22"/>
          <w:szCs w:val="22"/>
        </w:rPr>
        <w:t>inalterabilità della memoria</w:t>
      </w:r>
      <w:r w:rsidR="00D4578A" w:rsidRPr="007F7EBF">
        <w:rPr>
          <w:sz w:val="22"/>
          <w:szCs w:val="22"/>
        </w:rPr>
        <w:t xml:space="preserve"> dei registratori di cassa</w:t>
      </w:r>
      <w:r w:rsidR="008C15F0">
        <w:rPr>
          <w:sz w:val="22"/>
          <w:szCs w:val="22"/>
        </w:rPr>
        <w:t xml:space="preserve"> (</w:t>
      </w:r>
      <w:r w:rsidR="008C15F0" w:rsidRPr="007F7EBF">
        <w:rPr>
          <w:rStyle w:val="Rimandonotaapidipagina"/>
          <w:sz w:val="22"/>
          <w:szCs w:val="22"/>
        </w:rPr>
        <w:footnoteReference w:id="1061"/>
      </w:r>
      <w:r w:rsidR="008C15F0" w:rsidRPr="007F7EBF">
        <w:rPr>
          <w:sz w:val="22"/>
          <w:szCs w:val="22"/>
        </w:rPr>
        <w:t>)</w:t>
      </w:r>
      <w:r w:rsidR="00D4578A" w:rsidRPr="007F7EBF">
        <w:rPr>
          <w:sz w:val="22"/>
          <w:szCs w:val="22"/>
        </w:rPr>
        <w:t xml:space="preserve">. </w:t>
      </w:r>
      <w:r>
        <w:rPr>
          <w:sz w:val="22"/>
          <w:szCs w:val="22"/>
        </w:rPr>
        <w:t xml:space="preserve">Lo scopo è far rimanere </w:t>
      </w:r>
      <w:r w:rsidR="00D4578A" w:rsidRPr="007F7EBF">
        <w:rPr>
          <w:sz w:val="22"/>
          <w:szCs w:val="22"/>
        </w:rPr>
        <w:t>traccia indelebile delle relative operazioni, permettendo così il riscontro con le dichiarazioni</w:t>
      </w:r>
      <w:r>
        <w:rPr>
          <w:sz w:val="22"/>
          <w:szCs w:val="22"/>
        </w:rPr>
        <w:t xml:space="preserve"> fiscali, in un tentativo di “esportazione della contabilità” (par.4.5)</w:t>
      </w:r>
      <w:r w:rsidR="00A13908">
        <w:rPr>
          <w:sz w:val="22"/>
          <w:szCs w:val="22"/>
        </w:rPr>
        <w:t xml:space="preserve"> escluso dopo qualche tempo per la gr</w:t>
      </w:r>
      <w:r w:rsidR="00A13908" w:rsidRPr="007F7EBF">
        <w:rPr>
          <w:bCs/>
          <w:sz w:val="22"/>
          <w:szCs w:val="22"/>
        </w:rPr>
        <w:t>ande distribuzione</w:t>
      </w:r>
      <w:r w:rsidR="00A13908">
        <w:rPr>
          <w:bCs/>
          <w:sz w:val="22"/>
          <w:szCs w:val="22"/>
        </w:rPr>
        <w:t>, della cui tendenziale affidabilità si è preso atto (</w:t>
      </w:r>
      <w:r w:rsidR="00A13908">
        <w:rPr>
          <w:rStyle w:val="Rimandonotaapidipagina"/>
          <w:bCs/>
          <w:sz w:val="22"/>
          <w:szCs w:val="22"/>
        </w:rPr>
        <w:footnoteReference w:id="1062"/>
      </w:r>
      <w:r w:rsidR="00A13908">
        <w:rPr>
          <w:bCs/>
          <w:sz w:val="22"/>
          <w:szCs w:val="22"/>
        </w:rPr>
        <w:t xml:space="preserve">). Scontrini e ricevute fiscali avrebbero </w:t>
      </w:r>
      <w:r w:rsidR="00A13908" w:rsidRPr="00865BB8">
        <w:rPr>
          <w:bCs/>
          <w:sz w:val="22"/>
          <w:szCs w:val="22"/>
        </w:rPr>
        <w:t>potuto avere una certa efficienza come fonte di “indizi contabili” (par.5.9) contro l’evasione da occultamento dei corrispettivi. In</w:t>
      </w:r>
      <w:r w:rsidR="00865BB8">
        <w:rPr>
          <w:bCs/>
          <w:sz w:val="22"/>
          <w:szCs w:val="22"/>
        </w:rPr>
        <w:t xml:space="preserve">tesi in modo formalistico, </w:t>
      </w:r>
      <w:r w:rsidR="00A13908" w:rsidRPr="00865BB8">
        <w:rPr>
          <w:bCs/>
          <w:sz w:val="22"/>
          <w:szCs w:val="22"/>
        </w:rPr>
        <w:t xml:space="preserve">senza accessi valutativi sul campo, come il </w:t>
      </w:r>
      <w:r w:rsidR="00A13908" w:rsidRPr="00865BB8">
        <w:rPr>
          <w:sz w:val="22"/>
          <w:szCs w:val="22"/>
        </w:rPr>
        <w:t>c.d. “piantonamento di cassa”</w:t>
      </w:r>
      <w:r w:rsidR="00865BB8">
        <w:rPr>
          <w:sz w:val="22"/>
          <w:szCs w:val="22"/>
        </w:rPr>
        <w:t xml:space="preserve">, questi istituti hanno dato di sé, e del fisco, solo </w:t>
      </w:r>
      <w:r w:rsidR="00A13908">
        <w:t xml:space="preserve">un’immagine </w:t>
      </w:r>
      <w:r w:rsidR="00865BB8">
        <w:t>vessatoria</w:t>
      </w:r>
      <w:r w:rsidR="00A13908">
        <w:t xml:space="preserve">, </w:t>
      </w:r>
      <w:r w:rsidR="002605B5">
        <w:t>rilanciata da episodi mediatici di</w:t>
      </w:r>
      <w:r w:rsidR="00A13908" w:rsidRPr="007F7EBF">
        <w:rPr>
          <w:sz w:val="22"/>
          <w:szCs w:val="22"/>
        </w:rPr>
        <w:t xml:space="preserve"> sanzioni </w:t>
      </w:r>
      <w:r w:rsidR="00865BB8">
        <w:rPr>
          <w:sz w:val="22"/>
          <w:szCs w:val="22"/>
        </w:rPr>
        <w:t xml:space="preserve">sproporzionate </w:t>
      </w:r>
      <w:r w:rsidR="00A13908">
        <w:rPr>
          <w:sz w:val="22"/>
          <w:szCs w:val="22"/>
        </w:rPr>
        <w:t xml:space="preserve">per </w:t>
      </w:r>
      <w:r w:rsidR="00865BB8">
        <w:rPr>
          <w:sz w:val="22"/>
          <w:szCs w:val="22"/>
        </w:rPr>
        <w:t>omissioni</w:t>
      </w:r>
      <w:r w:rsidR="00A13908">
        <w:rPr>
          <w:sz w:val="22"/>
          <w:szCs w:val="22"/>
        </w:rPr>
        <w:t xml:space="preserve"> insignificanti (</w:t>
      </w:r>
      <w:r w:rsidR="00A13908">
        <w:rPr>
          <w:rStyle w:val="Rimandonotaapidipagina"/>
          <w:sz w:val="22"/>
          <w:szCs w:val="22"/>
        </w:rPr>
        <w:footnoteReference w:id="1063"/>
      </w:r>
      <w:r w:rsidR="00A13908">
        <w:rPr>
          <w:sz w:val="22"/>
          <w:szCs w:val="22"/>
        </w:rPr>
        <w:t>)</w:t>
      </w:r>
      <w:r w:rsidR="009F5961">
        <w:rPr>
          <w:sz w:val="22"/>
          <w:szCs w:val="22"/>
        </w:rPr>
        <w:t xml:space="preserve">. </w:t>
      </w:r>
    </w:p>
    <w:p w14:paraId="744BD3A1" w14:textId="7FC4E275" w:rsidR="002605B5" w:rsidRPr="007F7EBF" w:rsidRDefault="002605B5" w:rsidP="002605B5">
      <w:pPr>
        <w:pStyle w:val="tit23"/>
        <w:ind w:left="6464" w:right="-1361" w:firstLine="0"/>
        <w:jc w:val="left"/>
        <w:rPr>
          <w:bCs/>
          <w:i/>
          <w:iCs/>
          <w:color w:val="0000FF"/>
          <w:lang w:val="it-IT"/>
        </w:rPr>
      </w:pPr>
      <w:r w:rsidRPr="007F7EBF">
        <w:rPr>
          <w:bCs/>
          <w:i/>
          <w:iCs/>
          <w:color w:val="0000FF"/>
          <w:lang w:val="it-IT"/>
        </w:rPr>
        <w:lastRenderedPageBreak/>
        <w:t>Registrazione globale corrispettivi giornalieri</w:t>
      </w:r>
      <w:r>
        <w:rPr>
          <w:bCs/>
          <w:i/>
          <w:iCs/>
          <w:color w:val="0000FF"/>
          <w:lang w:val="it-IT"/>
        </w:rPr>
        <w:t xml:space="preserve"> </w:t>
      </w:r>
      <w:r w:rsidR="001133C9">
        <w:rPr>
          <w:bCs/>
          <w:i/>
          <w:iCs/>
          <w:color w:val="0000FF"/>
          <w:lang w:val="it-IT"/>
        </w:rPr>
        <w:t>e fatture a privati</w:t>
      </w:r>
    </w:p>
    <w:p w14:paraId="1C02B646" w14:textId="15EDA609" w:rsidR="002605B5" w:rsidRDefault="002605B5" w:rsidP="002605B5">
      <w:pPr>
        <w:autoSpaceDE w:val="0"/>
        <w:autoSpaceDN w:val="0"/>
        <w:adjustRightInd w:val="0"/>
        <w:rPr>
          <w:sz w:val="22"/>
          <w:szCs w:val="22"/>
        </w:rPr>
      </w:pPr>
      <w:r>
        <w:rPr>
          <w:sz w:val="22"/>
          <w:szCs w:val="22"/>
        </w:rPr>
        <w:t xml:space="preserve">Il totale giornaliero delle vendite, in questo modo documentato, viene registrato sui libri contabili (par.7.8), </w:t>
      </w:r>
      <w:r w:rsidRPr="007F7EBF">
        <w:rPr>
          <w:sz w:val="22"/>
          <w:szCs w:val="22"/>
        </w:rPr>
        <w:t>in genere distinto per punto vendita</w:t>
      </w:r>
      <w:r>
        <w:rPr>
          <w:sz w:val="22"/>
          <w:szCs w:val="22"/>
        </w:rPr>
        <w:t xml:space="preserve"> (</w:t>
      </w:r>
      <w:r w:rsidRPr="007F7EBF">
        <w:rPr>
          <w:rStyle w:val="Rimandonotaapidipagina"/>
          <w:sz w:val="22"/>
          <w:szCs w:val="22"/>
        </w:rPr>
        <w:footnoteReference w:id="1064"/>
      </w:r>
      <w:r>
        <w:rPr>
          <w:sz w:val="22"/>
          <w:szCs w:val="22"/>
        </w:rPr>
        <w:t xml:space="preserve">). </w:t>
      </w:r>
    </w:p>
    <w:p w14:paraId="4ECDDC8A" w14:textId="77777777" w:rsidR="00247144" w:rsidRDefault="002605B5" w:rsidP="002605B5">
      <w:pPr>
        <w:autoSpaceDE w:val="0"/>
        <w:autoSpaceDN w:val="0"/>
        <w:adjustRightInd w:val="0"/>
        <w:rPr>
          <w:sz w:val="22"/>
          <w:szCs w:val="22"/>
        </w:rPr>
      </w:pPr>
      <w:r>
        <w:rPr>
          <w:sz w:val="22"/>
          <w:szCs w:val="22"/>
        </w:rPr>
        <w:t xml:space="preserve">Di questo totale fanno parte anche le operazioni effettuate con emissione di fattura verso clienti “non imprenditori”, che </w:t>
      </w:r>
      <w:r w:rsidR="00870F6A">
        <w:rPr>
          <w:sz w:val="22"/>
          <w:szCs w:val="22"/>
        </w:rPr>
        <w:t xml:space="preserve">desiderano </w:t>
      </w:r>
      <w:r w:rsidRPr="007F7EBF">
        <w:rPr>
          <w:sz w:val="22"/>
          <w:szCs w:val="22"/>
        </w:rPr>
        <w:t xml:space="preserve">un giustificativo </w:t>
      </w:r>
      <w:r>
        <w:rPr>
          <w:sz w:val="22"/>
          <w:szCs w:val="22"/>
        </w:rPr>
        <w:t xml:space="preserve">personalizzato </w:t>
      </w:r>
      <w:r w:rsidRPr="007F7EBF">
        <w:rPr>
          <w:sz w:val="22"/>
          <w:szCs w:val="22"/>
        </w:rPr>
        <w:t>per documentare la spesa</w:t>
      </w:r>
      <w:r>
        <w:rPr>
          <w:sz w:val="22"/>
          <w:szCs w:val="22"/>
        </w:rPr>
        <w:t xml:space="preserve"> a </w:t>
      </w:r>
      <w:r w:rsidRPr="007F7EBF">
        <w:rPr>
          <w:sz w:val="22"/>
          <w:szCs w:val="22"/>
        </w:rPr>
        <w:t xml:space="preserve">terzi </w:t>
      </w:r>
      <w:r>
        <w:rPr>
          <w:sz w:val="22"/>
          <w:szCs w:val="22"/>
        </w:rPr>
        <w:t>(</w:t>
      </w:r>
      <w:r w:rsidRPr="007F7EBF">
        <w:rPr>
          <w:rStyle w:val="Rimandonotaapidipagina"/>
          <w:sz w:val="22"/>
          <w:szCs w:val="22"/>
        </w:rPr>
        <w:footnoteReference w:id="1065"/>
      </w:r>
      <w:r>
        <w:rPr>
          <w:sz w:val="22"/>
          <w:szCs w:val="22"/>
        </w:rPr>
        <w:t>)</w:t>
      </w:r>
      <w:r w:rsidRPr="007F7EBF">
        <w:rPr>
          <w:sz w:val="22"/>
          <w:szCs w:val="22"/>
        </w:rPr>
        <w:t>,</w:t>
      </w:r>
      <w:r>
        <w:rPr>
          <w:sz w:val="22"/>
          <w:szCs w:val="22"/>
        </w:rPr>
        <w:t xml:space="preserve"> </w:t>
      </w:r>
      <w:r w:rsidR="00247144">
        <w:rPr>
          <w:sz w:val="22"/>
          <w:szCs w:val="22"/>
        </w:rPr>
        <w:t xml:space="preserve">spesso a fini non tributari, o per le </w:t>
      </w:r>
      <w:r>
        <w:rPr>
          <w:sz w:val="22"/>
          <w:szCs w:val="22"/>
        </w:rPr>
        <w:t xml:space="preserve">detrazioni fiscali </w:t>
      </w:r>
      <w:r w:rsidR="001133C9">
        <w:rPr>
          <w:sz w:val="22"/>
          <w:szCs w:val="22"/>
        </w:rPr>
        <w:t>personal</w:t>
      </w:r>
      <w:r w:rsidR="00247144">
        <w:rPr>
          <w:sz w:val="22"/>
          <w:szCs w:val="22"/>
        </w:rPr>
        <w:t>i IRPEF</w:t>
      </w:r>
      <w:r w:rsidR="001133C9">
        <w:rPr>
          <w:sz w:val="22"/>
          <w:szCs w:val="22"/>
        </w:rPr>
        <w:t xml:space="preserve"> </w:t>
      </w:r>
      <w:r>
        <w:rPr>
          <w:sz w:val="22"/>
          <w:szCs w:val="22"/>
        </w:rPr>
        <w:t xml:space="preserve">di cui al par.9.3.   </w:t>
      </w:r>
    </w:p>
    <w:p w14:paraId="2CF8E29F" w14:textId="6F5B2A6B" w:rsidR="00E83097" w:rsidRDefault="00C16EBA" w:rsidP="00E83097">
      <w:pPr>
        <w:autoSpaceDE w:val="0"/>
        <w:autoSpaceDN w:val="0"/>
        <w:adjustRightInd w:val="0"/>
        <w:rPr>
          <w:sz w:val="22"/>
          <w:szCs w:val="22"/>
        </w:rPr>
      </w:pPr>
      <w:r>
        <w:rPr>
          <w:sz w:val="22"/>
          <w:szCs w:val="22"/>
        </w:rPr>
        <w:t xml:space="preserve">Questa fattura </w:t>
      </w:r>
      <w:r w:rsidR="007C394B">
        <w:rPr>
          <w:sz w:val="22"/>
          <w:szCs w:val="22"/>
        </w:rPr>
        <w:t xml:space="preserve">(par.3.3) è </w:t>
      </w:r>
      <w:r>
        <w:rPr>
          <w:sz w:val="22"/>
          <w:szCs w:val="22"/>
        </w:rPr>
        <w:t xml:space="preserve">“emessa </w:t>
      </w:r>
      <w:r w:rsidR="002605B5">
        <w:rPr>
          <w:sz w:val="22"/>
          <w:szCs w:val="22"/>
        </w:rPr>
        <w:t>su richiesta</w:t>
      </w:r>
      <w:r>
        <w:rPr>
          <w:sz w:val="22"/>
          <w:szCs w:val="22"/>
        </w:rPr>
        <w:t xml:space="preserve"> del consumatore”</w:t>
      </w:r>
      <w:r w:rsidR="002605B5">
        <w:rPr>
          <w:sz w:val="22"/>
          <w:szCs w:val="22"/>
        </w:rPr>
        <w:t xml:space="preserve"> (art.24 decreto IVA),</w:t>
      </w:r>
      <w:r>
        <w:rPr>
          <w:sz w:val="22"/>
          <w:szCs w:val="22"/>
        </w:rPr>
        <w:t xml:space="preserve"> </w:t>
      </w:r>
      <w:r w:rsidR="007C394B">
        <w:rPr>
          <w:sz w:val="22"/>
          <w:szCs w:val="22"/>
        </w:rPr>
        <w:t xml:space="preserve">ed </w:t>
      </w:r>
      <w:r w:rsidR="001133C9">
        <w:rPr>
          <w:sz w:val="22"/>
          <w:szCs w:val="22"/>
        </w:rPr>
        <w:t xml:space="preserve">è riconoscibile </w:t>
      </w:r>
      <w:r>
        <w:rPr>
          <w:sz w:val="22"/>
          <w:szCs w:val="22"/>
        </w:rPr>
        <w:t xml:space="preserve">perché v’è </w:t>
      </w:r>
      <w:r w:rsidR="002605B5">
        <w:rPr>
          <w:sz w:val="22"/>
          <w:szCs w:val="22"/>
        </w:rPr>
        <w:t xml:space="preserve">indicato solo il codice fiscale del cliente, </w:t>
      </w:r>
      <w:r>
        <w:rPr>
          <w:sz w:val="22"/>
          <w:szCs w:val="22"/>
        </w:rPr>
        <w:t xml:space="preserve">non la partita IVA, tipica degli </w:t>
      </w:r>
      <w:r w:rsidR="002605B5">
        <w:rPr>
          <w:sz w:val="22"/>
          <w:szCs w:val="22"/>
        </w:rPr>
        <w:t>operator</w:t>
      </w:r>
      <w:r>
        <w:rPr>
          <w:sz w:val="22"/>
          <w:szCs w:val="22"/>
        </w:rPr>
        <w:t>i</w:t>
      </w:r>
      <w:r w:rsidR="002605B5">
        <w:rPr>
          <w:sz w:val="22"/>
          <w:szCs w:val="22"/>
        </w:rPr>
        <w:t xml:space="preserve"> economic</w:t>
      </w:r>
      <w:r>
        <w:rPr>
          <w:sz w:val="22"/>
          <w:szCs w:val="22"/>
        </w:rPr>
        <w:t>i. Quest</w:t>
      </w:r>
      <w:r w:rsidR="002605B5">
        <w:rPr>
          <w:sz w:val="22"/>
          <w:szCs w:val="22"/>
        </w:rPr>
        <w:t>a fattura</w:t>
      </w:r>
      <w:r w:rsidR="007C394B">
        <w:rPr>
          <w:sz w:val="22"/>
          <w:szCs w:val="22"/>
        </w:rPr>
        <w:t xml:space="preserve"> è per il resto analoga a quelle</w:t>
      </w:r>
      <w:r w:rsidR="002605B5">
        <w:rPr>
          <w:sz w:val="22"/>
          <w:szCs w:val="22"/>
        </w:rPr>
        <w:t xml:space="preserve"> </w:t>
      </w:r>
      <w:r w:rsidR="007C394B">
        <w:rPr>
          <w:sz w:val="22"/>
          <w:szCs w:val="22"/>
        </w:rPr>
        <w:t>per i clienti operatori economici, di cui diremo tra un attimo (</w:t>
      </w:r>
      <w:r w:rsidR="007C394B">
        <w:rPr>
          <w:rStyle w:val="Rimandonotaapidipagina"/>
          <w:sz w:val="22"/>
          <w:szCs w:val="22"/>
        </w:rPr>
        <w:footnoteReference w:id="1066"/>
      </w:r>
      <w:r w:rsidR="007C394B">
        <w:rPr>
          <w:sz w:val="22"/>
          <w:szCs w:val="22"/>
        </w:rPr>
        <w:t>)</w:t>
      </w:r>
      <w:r w:rsidR="002605B5">
        <w:rPr>
          <w:sz w:val="22"/>
          <w:szCs w:val="22"/>
        </w:rPr>
        <w:t xml:space="preserve">. </w:t>
      </w:r>
    </w:p>
    <w:p w14:paraId="631ACA39" w14:textId="483EDF96" w:rsidR="00E83097" w:rsidRPr="007F7EBF" w:rsidRDefault="00E83097" w:rsidP="00E83097">
      <w:pPr>
        <w:pStyle w:val="tit23"/>
        <w:ind w:left="6464" w:right="-1361" w:firstLine="0"/>
        <w:jc w:val="left"/>
        <w:rPr>
          <w:bCs/>
          <w:i/>
          <w:iCs/>
          <w:color w:val="0000FF"/>
          <w:lang w:val="it-IT"/>
        </w:rPr>
      </w:pPr>
      <w:r w:rsidRPr="007F7EBF">
        <w:rPr>
          <w:bCs/>
          <w:i/>
          <w:iCs/>
          <w:color w:val="0000FF"/>
          <w:lang w:val="it-IT"/>
        </w:rPr>
        <w:t>Fattura</w:t>
      </w:r>
      <w:r w:rsidR="008551CA">
        <w:rPr>
          <w:bCs/>
          <w:i/>
          <w:iCs/>
          <w:color w:val="0000FF"/>
          <w:lang w:val="it-IT"/>
        </w:rPr>
        <w:t>: destinatari informalità e coerenze</w:t>
      </w:r>
      <w:r w:rsidRPr="007F7EBF">
        <w:rPr>
          <w:bCs/>
          <w:i/>
          <w:iCs/>
          <w:color w:val="0000FF"/>
          <w:lang w:val="it-IT"/>
        </w:rPr>
        <w:t xml:space="preserve"> </w:t>
      </w:r>
    </w:p>
    <w:p w14:paraId="6B619A8A" w14:textId="29B4D32B" w:rsidR="001E6EF4" w:rsidRDefault="007C394B" w:rsidP="001E6EF4">
      <w:pPr>
        <w:autoSpaceDE w:val="0"/>
        <w:autoSpaceDN w:val="0"/>
        <w:adjustRightInd w:val="0"/>
        <w:rPr>
          <w:sz w:val="22"/>
          <w:szCs w:val="22"/>
        </w:rPr>
      </w:pPr>
      <w:r>
        <w:rPr>
          <w:sz w:val="22"/>
          <w:szCs w:val="22"/>
        </w:rPr>
        <w:t>Tra operatori economici, l</w:t>
      </w:r>
      <w:r w:rsidR="00E83097" w:rsidRPr="007F7EBF">
        <w:rPr>
          <w:sz w:val="22"/>
          <w:szCs w:val="22"/>
        </w:rPr>
        <w:t xml:space="preserve">a fattura è un documento </w:t>
      </w:r>
      <w:r w:rsidR="00FC0A64" w:rsidRPr="007F7EBF">
        <w:rPr>
          <w:sz w:val="22"/>
          <w:szCs w:val="22"/>
        </w:rPr>
        <w:t>commerciale</w:t>
      </w:r>
      <w:r w:rsidR="001133C9">
        <w:rPr>
          <w:sz w:val="22"/>
          <w:szCs w:val="22"/>
        </w:rPr>
        <w:t>, spesso emesso per richiedere il pagamento di prestazioni già rese (</w:t>
      </w:r>
      <w:r w:rsidR="001133C9" w:rsidRPr="007F7EBF">
        <w:rPr>
          <w:rStyle w:val="Rimandonotaapidipagina"/>
          <w:sz w:val="22"/>
          <w:szCs w:val="22"/>
        </w:rPr>
        <w:footnoteReference w:id="1067"/>
      </w:r>
      <w:r w:rsidR="001133C9">
        <w:rPr>
          <w:sz w:val="22"/>
          <w:szCs w:val="22"/>
        </w:rPr>
        <w:t>)</w:t>
      </w:r>
      <w:r w:rsidR="001133C9">
        <w:rPr>
          <w:bCs/>
          <w:sz w:val="22"/>
          <w:szCs w:val="22"/>
        </w:rPr>
        <w:t xml:space="preserve">. </w:t>
      </w:r>
      <w:r w:rsidR="002E7C35">
        <w:rPr>
          <w:bCs/>
          <w:sz w:val="22"/>
          <w:szCs w:val="22"/>
        </w:rPr>
        <w:t>Chi non l’abbia presente può pensare ad e</w:t>
      </w:r>
      <w:r>
        <w:rPr>
          <w:sz w:val="22"/>
          <w:szCs w:val="22"/>
        </w:rPr>
        <w:t>sempi nella vita quotidiana</w:t>
      </w:r>
      <w:r w:rsidRPr="007F7EBF">
        <w:rPr>
          <w:sz w:val="22"/>
          <w:szCs w:val="22"/>
        </w:rPr>
        <w:t xml:space="preserve">, </w:t>
      </w:r>
      <w:r w:rsidR="002E7C35">
        <w:rPr>
          <w:sz w:val="22"/>
          <w:szCs w:val="22"/>
        </w:rPr>
        <w:t xml:space="preserve">come le </w:t>
      </w:r>
      <w:r w:rsidR="002E7C35">
        <w:rPr>
          <w:sz w:val="22"/>
          <w:szCs w:val="22"/>
        </w:rPr>
        <w:lastRenderedPageBreak/>
        <w:t xml:space="preserve">fatture per </w:t>
      </w:r>
      <w:r w:rsidRPr="007F7EBF">
        <w:rPr>
          <w:bCs/>
          <w:sz w:val="22"/>
          <w:szCs w:val="22"/>
        </w:rPr>
        <w:t>utenze elettriche</w:t>
      </w:r>
      <w:r w:rsidR="002E7C35">
        <w:rPr>
          <w:bCs/>
          <w:sz w:val="22"/>
          <w:szCs w:val="22"/>
        </w:rPr>
        <w:t>, telefoniche</w:t>
      </w:r>
      <w:r>
        <w:rPr>
          <w:bCs/>
          <w:sz w:val="22"/>
          <w:szCs w:val="22"/>
        </w:rPr>
        <w:t xml:space="preserve"> o del gas</w:t>
      </w:r>
      <w:r w:rsidR="002E7C35">
        <w:rPr>
          <w:sz w:val="22"/>
          <w:szCs w:val="22"/>
        </w:rPr>
        <w:t xml:space="preserve">; la fattura riporta </w:t>
      </w:r>
      <w:r w:rsidRPr="007F7EBF">
        <w:rPr>
          <w:sz w:val="22"/>
          <w:szCs w:val="22"/>
        </w:rPr>
        <w:t xml:space="preserve">le generalità dell’emittente, del destinatario, la descrizione della prestazione, le indicazioni sul pagamento e le modalità per effettuarlo, se ancora dovuto, nonché alcuni dati tributari, come </w:t>
      </w:r>
      <w:r w:rsidR="002E7C35">
        <w:rPr>
          <w:sz w:val="22"/>
          <w:szCs w:val="22"/>
        </w:rPr>
        <w:t xml:space="preserve">partita IVA o </w:t>
      </w:r>
      <w:r w:rsidRPr="007F7EBF">
        <w:rPr>
          <w:sz w:val="22"/>
          <w:szCs w:val="22"/>
        </w:rPr>
        <w:t>codice fiscale</w:t>
      </w:r>
      <w:r w:rsidR="002E7C35">
        <w:rPr>
          <w:sz w:val="22"/>
          <w:szCs w:val="22"/>
        </w:rPr>
        <w:t>, a seconda se si tratti di un operatore economico o meno</w:t>
      </w:r>
      <w:r w:rsidRPr="007F7EBF">
        <w:rPr>
          <w:sz w:val="22"/>
          <w:szCs w:val="22"/>
        </w:rPr>
        <w:t>.</w:t>
      </w:r>
      <w:r>
        <w:rPr>
          <w:sz w:val="22"/>
          <w:szCs w:val="22"/>
        </w:rPr>
        <w:t xml:space="preserve"> </w:t>
      </w:r>
      <w:r w:rsidR="001E6EF4">
        <w:rPr>
          <w:sz w:val="22"/>
          <w:szCs w:val="22"/>
        </w:rPr>
        <w:t xml:space="preserve">Con la fattura il fornitore quantifica al cliente la prestazione e il suo corrispettivo; essa </w:t>
      </w:r>
      <w:r w:rsidR="001E6EF4">
        <w:rPr>
          <w:bCs/>
          <w:sz w:val="22"/>
          <w:szCs w:val="22"/>
        </w:rPr>
        <w:t>è spesso il primo documento scritto tra le due parti, in quanto il resto dei contatti sono stati solamente verbali</w:t>
      </w:r>
      <w:r w:rsidR="001E6EF4">
        <w:rPr>
          <w:sz w:val="22"/>
          <w:szCs w:val="22"/>
        </w:rPr>
        <w:t xml:space="preserve">. Questa cornice commerciale, che preesiste nei rapporti tra le parti, spiega perché la fattura neppure sia </w:t>
      </w:r>
      <w:r w:rsidR="001E6EF4">
        <w:rPr>
          <w:bCs/>
          <w:sz w:val="22"/>
          <w:szCs w:val="22"/>
        </w:rPr>
        <w:t>sottoscritta dall’emittente</w:t>
      </w:r>
      <w:r w:rsidR="001E6EF4">
        <w:rPr>
          <w:sz w:val="22"/>
          <w:szCs w:val="22"/>
        </w:rPr>
        <w:t>, ma semplicemente redatta su sua carta intestata (</w:t>
      </w:r>
      <w:r w:rsidR="001E6EF4">
        <w:rPr>
          <w:rStyle w:val="Rimandonotaapidipagina"/>
          <w:sz w:val="22"/>
          <w:szCs w:val="22"/>
        </w:rPr>
        <w:footnoteReference w:id="1068"/>
      </w:r>
      <w:r w:rsidR="001E6EF4">
        <w:rPr>
          <w:sz w:val="22"/>
          <w:szCs w:val="22"/>
        </w:rPr>
        <w:t xml:space="preserve">). </w:t>
      </w:r>
    </w:p>
    <w:p w14:paraId="1A7290D4" w14:textId="77777777" w:rsidR="001E6EF4" w:rsidRDefault="001E6EF4" w:rsidP="001E6EF4">
      <w:pPr>
        <w:autoSpaceDE w:val="0"/>
        <w:autoSpaceDN w:val="0"/>
        <w:adjustRightInd w:val="0"/>
        <w:rPr>
          <w:bCs/>
          <w:i/>
          <w:iCs/>
          <w:color w:val="0000FF"/>
        </w:rPr>
      </w:pPr>
      <w:r>
        <w:rPr>
          <w:sz w:val="22"/>
          <w:szCs w:val="22"/>
        </w:rPr>
        <w:t xml:space="preserve">L'idoneità probatoria di questo documento, nei confronti del fisco, non deriva quindi da un suo </w:t>
      </w:r>
      <w:r>
        <w:rPr>
          <w:bCs/>
          <w:sz w:val="22"/>
          <w:szCs w:val="22"/>
        </w:rPr>
        <w:t>formalismo intrinseco</w:t>
      </w:r>
      <w:r>
        <w:rPr>
          <w:sz w:val="22"/>
          <w:szCs w:val="22"/>
        </w:rPr>
        <w:t xml:space="preserve">, ma dalla sua </w:t>
      </w:r>
      <w:r>
        <w:rPr>
          <w:bCs/>
          <w:sz w:val="22"/>
          <w:szCs w:val="22"/>
        </w:rPr>
        <w:t xml:space="preserve">verosimiglianza </w:t>
      </w:r>
      <w:r>
        <w:rPr>
          <w:sz w:val="22"/>
          <w:szCs w:val="22"/>
        </w:rPr>
        <w:t>economica rispetto al contesto in cui si inserisce e da</w:t>
      </w:r>
      <w:r>
        <w:rPr>
          <w:bCs/>
          <w:sz w:val="22"/>
          <w:szCs w:val="22"/>
        </w:rPr>
        <w:t>l già indicato inserimento nella serialità procedurale aziendale.</w:t>
      </w:r>
      <w:r>
        <w:rPr>
          <w:sz w:val="22"/>
          <w:szCs w:val="22"/>
        </w:rPr>
        <w:t xml:space="preserve"> </w:t>
      </w:r>
    </w:p>
    <w:p w14:paraId="382ACFAF" w14:textId="77777777" w:rsidR="001E6EF4" w:rsidRDefault="001E6EF4" w:rsidP="001E6EF4">
      <w:pPr>
        <w:autoSpaceDE w:val="0"/>
        <w:autoSpaceDN w:val="0"/>
        <w:adjustRightInd w:val="0"/>
        <w:rPr>
          <w:sz w:val="22"/>
          <w:szCs w:val="22"/>
        </w:rPr>
      </w:pPr>
      <w:r>
        <w:rPr>
          <w:sz w:val="22"/>
          <w:szCs w:val="22"/>
        </w:rPr>
        <w:t xml:space="preserve">Si addicono quindi alla fattura le riflessioni sopra formulate sulla tradizionale informalità delle prassi aziendali, rispetto alle diffidenze formalistiche (bollature, vidimazioni, futuribili marchiature elettroniche) di cui diremo, al par.7.8. La credibilità della fattura, come prova dei costi, è riscontrabile con gli elementi di fatto che, secondo l'esperienza comune , accompagnano la prestazione ivi indicata. </w:t>
      </w:r>
    </w:p>
    <w:p w14:paraId="5D6E4F07" w14:textId="77777777" w:rsidR="001E6EF4" w:rsidRDefault="001E6EF4" w:rsidP="001E6EF4">
      <w:pPr>
        <w:pStyle w:val="tit23"/>
        <w:ind w:left="6464" w:right="-1361" w:firstLine="0"/>
        <w:jc w:val="left"/>
        <w:rPr>
          <w:bCs/>
          <w:i/>
          <w:iCs/>
          <w:color w:val="0000FF"/>
          <w:lang w:val="it-IT"/>
        </w:rPr>
      </w:pPr>
      <w:r>
        <w:rPr>
          <w:bCs/>
          <w:i/>
          <w:iCs/>
          <w:color w:val="0000FF"/>
          <w:lang w:val="it-IT"/>
        </w:rPr>
        <w:t>Documenti minuti e assenza di documenti</w:t>
      </w:r>
    </w:p>
    <w:p w14:paraId="04C2B3FE" w14:textId="04BF926D" w:rsidR="005E6CCA" w:rsidRDefault="002E7C35" w:rsidP="005E6CCA">
      <w:pPr>
        <w:autoSpaceDE w:val="0"/>
        <w:autoSpaceDN w:val="0"/>
        <w:adjustRightInd w:val="0"/>
        <w:rPr>
          <w:bCs/>
          <w:sz w:val="22"/>
          <w:szCs w:val="22"/>
        </w:rPr>
      </w:pPr>
      <w:r>
        <w:rPr>
          <w:bCs/>
          <w:sz w:val="22"/>
          <w:szCs w:val="22"/>
        </w:rPr>
        <w:t>La</w:t>
      </w:r>
      <w:r w:rsidRPr="007F7EBF">
        <w:rPr>
          <w:bCs/>
          <w:sz w:val="22"/>
          <w:szCs w:val="22"/>
        </w:rPr>
        <w:t xml:space="preserve"> fattur</w:t>
      </w:r>
      <w:r>
        <w:rPr>
          <w:bCs/>
          <w:sz w:val="22"/>
          <w:szCs w:val="22"/>
        </w:rPr>
        <w:t>a è informale, in quanto intestata, ma non sottoscritta (par.3.3), anche se da inizio 2019 deve essere emessa in formato elettronico</w:t>
      </w:r>
      <w:r w:rsidR="0038311E">
        <w:rPr>
          <w:bCs/>
          <w:sz w:val="22"/>
          <w:szCs w:val="22"/>
        </w:rPr>
        <w:t xml:space="preserve">; ciò è utile per </w:t>
      </w:r>
      <w:r w:rsidR="003372B2">
        <w:rPr>
          <w:sz w:val="22"/>
          <w:szCs w:val="22"/>
        </w:rPr>
        <w:t xml:space="preserve">le frodi IVA (par.7.3), ma </w:t>
      </w:r>
      <w:r w:rsidR="0038311E">
        <w:rPr>
          <w:sz w:val="22"/>
          <w:szCs w:val="22"/>
        </w:rPr>
        <w:t xml:space="preserve">sproporzionato rispetto alle lungaggini che comporta per </w:t>
      </w:r>
      <w:r w:rsidR="003372B2">
        <w:rPr>
          <w:sz w:val="22"/>
          <w:szCs w:val="22"/>
        </w:rPr>
        <w:t>le fatturazioni di tipo seriale</w:t>
      </w:r>
      <w:r w:rsidR="0038311E">
        <w:rPr>
          <w:sz w:val="22"/>
          <w:szCs w:val="22"/>
        </w:rPr>
        <w:t xml:space="preserve"> e </w:t>
      </w:r>
      <w:r w:rsidR="003372B2">
        <w:rPr>
          <w:sz w:val="22"/>
          <w:szCs w:val="22"/>
        </w:rPr>
        <w:t>per importi modesti (</w:t>
      </w:r>
      <w:r w:rsidR="003372B2">
        <w:rPr>
          <w:rStyle w:val="Rimandonotaapidipagina"/>
          <w:sz w:val="22"/>
          <w:szCs w:val="22"/>
        </w:rPr>
        <w:footnoteReference w:id="1069"/>
      </w:r>
      <w:r w:rsidR="003372B2">
        <w:rPr>
          <w:sz w:val="22"/>
          <w:szCs w:val="22"/>
        </w:rPr>
        <w:t>)</w:t>
      </w:r>
      <w:r>
        <w:rPr>
          <w:bCs/>
          <w:sz w:val="22"/>
          <w:szCs w:val="22"/>
        </w:rPr>
        <w:t xml:space="preserve">. </w:t>
      </w:r>
    </w:p>
    <w:p w14:paraId="0F8D4451" w14:textId="38E1B584" w:rsidR="005E6CCA" w:rsidRDefault="005E6CCA" w:rsidP="005E6CCA">
      <w:pPr>
        <w:autoSpaceDE w:val="0"/>
        <w:autoSpaceDN w:val="0"/>
        <w:adjustRightInd w:val="0"/>
        <w:rPr>
          <w:sz w:val="22"/>
          <w:szCs w:val="22"/>
        </w:rPr>
      </w:pPr>
      <w:r>
        <w:rPr>
          <w:bCs/>
          <w:sz w:val="22"/>
          <w:szCs w:val="22"/>
        </w:rPr>
        <w:t xml:space="preserve">Il documento rileva </w:t>
      </w:r>
      <w:r w:rsidRPr="007F7EBF">
        <w:rPr>
          <w:sz w:val="22"/>
          <w:szCs w:val="22"/>
        </w:rPr>
        <w:t>ai fini tributari</w:t>
      </w:r>
      <w:r>
        <w:rPr>
          <w:sz w:val="22"/>
          <w:szCs w:val="22"/>
        </w:rPr>
        <w:t xml:space="preserve"> più per giustificare il costo e la detrazione IVA per il destinatario operatore economico, che per d</w:t>
      </w:r>
      <w:r w:rsidRPr="007F7EBF">
        <w:rPr>
          <w:sz w:val="22"/>
          <w:szCs w:val="22"/>
        </w:rPr>
        <w:t>ocumenta</w:t>
      </w:r>
      <w:r>
        <w:rPr>
          <w:sz w:val="22"/>
          <w:szCs w:val="22"/>
        </w:rPr>
        <w:t>r</w:t>
      </w:r>
      <w:r w:rsidRPr="007F7EBF">
        <w:rPr>
          <w:sz w:val="22"/>
          <w:szCs w:val="22"/>
        </w:rPr>
        <w:t xml:space="preserve">e </w:t>
      </w:r>
      <w:r>
        <w:rPr>
          <w:sz w:val="22"/>
          <w:szCs w:val="22"/>
        </w:rPr>
        <w:t>i</w:t>
      </w:r>
      <w:r w:rsidRPr="007F7EBF">
        <w:rPr>
          <w:sz w:val="22"/>
          <w:szCs w:val="22"/>
        </w:rPr>
        <w:t>l ricavo del fornitore</w:t>
      </w:r>
      <w:r>
        <w:rPr>
          <w:sz w:val="22"/>
          <w:szCs w:val="22"/>
        </w:rPr>
        <w:t xml:space="preserve"> emittente</w:t>
      </w:r>
      <w:r w:rsidRPr="007F7EBF">
        <w:rPr>
          <w:sz w:val="22"/>
          <w:szCs w:val="22"/>
        </w:rPr>
        <w:t xml:space="preserve">.  </w:t>
      </w:r>
      <w:r>
        <w:rPr>
          <w:sz w:val="22"/>
          <w:szCs w:val="22"/>
        </w:rPr>
        <w:t xml:space="preserve">La fattura deve essere emessa “in automatico”, anche senza richiesta della controparte, salve le  </w:t>
      </w:r>
      <w:r>
        <w:rPr>
          <w:sz w:val="22"/>
          <w:szCs w:val="22"/>
        </w:rPr>
        <w:lastRenderedPageBreak/>
        <w:t xml:space="preserve">suddette </w:t>
      </w:r>
      <w:r w:rsidRPr="007F7EBF">
        <w:rPr>
          <w:sz w:val="22"/>
          <w:szCs w:val="22"/>
        </w:rPr>
        <w:t>"operazioni al dettaglio" (</w:t>
      </w:r>
      <w:r w:rsidRPr="007F7EBF">
        <w:rPr>
          <w:rStyle w:val="Rimandonotaapidipagina"/>
          <w:sz w:val="22"/>
          <w:szCs w:val="22"/>
        </w:rPr>
        <w:footnoteReference w:id="1070"/>
      </w:r>
      <w:r w:rsidRPr="007F7EBF">
        <w:rPr>
          <w:sz w:val="22"/>
          <w:szCs w:val="22"/>
        </w:rPr>
        <w:t>)</w:t>
      </w:r>
      <w:r>
        <w:rPr>
          <w:sz w:val="22"/>
          <w:szCs w:val="22"/>
        </w:rPr>
        <w:t xml:space="preserve">; in queste ultime l’acquirente imprenditore è obbligato a richiederla, in modo da non poter giustificare le proprie giacenze di materie prime o merci dicendo di aver comprato “presso commercianti al minuto”. </w:t>
      </w:r>
    </w:p>
    <w:p w14:paraId="16520A17" w14:textId="4A7A2C11" w:rsidR="00504D0B" w:rsidRDefault="002E7C35" w:rsidP="00504D0B">
      <w:r>
        <w:rPr>
          <w:sz w:val="22"/>
          <w:szCs w:val="22"/>
        </w:rPr>
        <w:t>Chi materialmente effettua l’acquisto indica a chi deve essere emessa la fattura, senza possibilità di controllo da parte di chi la emette, cui non incombono oneri investigativi sull’identità effettiva del cliente, conformemente a</w:t>
      </w:r>
      <w:r w:rsidRPr="007F7EBF">
        <w:rPr>
          <w:sz w:val="22"/>
          <w:szCs w:val="22"/>
        </w:rPr>
        <w:t>lla finalità commerciale e non “notarile” delle aziende</w:t>
      </w:r>
      <w:r>
        <w:rPr>
          <w:sz w:val="22"/>
          <w:szCs w:val="22"/>
        </w:rPr>
        <w:t xml:space="preserve"> di cui al termine del par.3.2</w:t>
      </w:r>
      <w:r w:rsidR="005E6CCA">
        <w:rPr>
          <w:sz w:val="22"/>
          <w:szCs w:val="22"/>
        </w:rPr>
        <w:t>; l</w:t>
      </w:r>
      <w:r w:rsidR="005E6CCA">
        <w:rPr>
          <w:bCs/>
          <w:sz w:val="22"/>
          <w:szCs w:val="22"/>
        </w:rPr>
        <w:t xml:space="preserve">a fattura </w:t>
      </w:r>
      <w:r w:rsidR="005E6CCA">
        <w:rPr>
          <w:sz w:val="22"/>
          <w:szCs w:val="22"/>
        </w:rPr>
        <w:t xml:space="preserve">dev’essere tuttavia coerente col resto dell’operazione, vista la natura, l’importo, la </w:t>
      </w:r>
      <w:r w:rsidR="005E6CCA" w:rsidRPr="007F7EBF">
        <w:rPr>
          <w:sz w:val="22"/>
          <w:szCs w:val="22"/>
        </w:rPr>
        <w:t>prassi di settore</w:t>
      </w:r>
      <w:r w:rsidR="005E6CCA">
        <w:rPr>
          <w:sz w:val="22"/>
          <w:szCs w:val="22"/>
        </w:rPr>
        <w:t xml:space="preserve">, </w:t>
      </w:r>
      <w:r w:rsidR="005E6CCA" w:rsidRPr="007F7EBF">
        <w:rPr>
          <w:sz w:val="22"/>
          <w:szCs w:val="22"/>
        </w:rPr>
        <w:t>le circostanze</w:t>
      </w:r>
      <w:r w:rsidR="005E6CCA">
        <w:rPr>
          <w:sz w:val="22"/>
          <w:szCs w:val="22"/>
        </w:rPr>
        <w:t xml:space="preserve">, come  l’eventuale corrispondenza col </w:t>
      </w:r>
      <w:r w:rsidR="005E6CCA" w:rsidRPr="007F7EBF">
        <w:rPr>
          <w:sz w:val="22"/>
          <w:szCs w:val="22"/>
        </w:rPr>
        <w:t xml:space="preserve">fornitore (ordine di acquisto, </w:t>
      </w:r>
      <w:r w:rsidR="005E6CCA">
        <w:rPr>
          <w:sz w:val="22"/>
          <w:szCs w:val="22"/>
        </w:rPr>
        <w:t xml:space="preserve">lettere di </w:t>
      </w:r>
      <w:r w:rsidR="005E6CCA" w:rsidRPr="007F7EBF">
        <w:rPr>
          <w:sz w:val="22"/>
          <w:szCs w:val="22"/>
        </w:rPr>
        <w:t xml:space="preserve">trattative, listini), </w:t>
      </w:r>
      <w:r w:rsidR="005E6CCA">
        <w:rPr>
          <w:sz w:val="22"/>
          <w:szCs w:val="22"/>
        </w:rPr>
        <w:t xml:space="preserve">i </w:t>
      </w:r>
      <w:r w:rsidR="005E6CCA" w:rsidRPr="007F7EBF">
        <w:rPr>
          <w:sz w:val="22"/>
          <w:szCs w:val="22"/>
        </w:rPr>
        <w:t>documenti di trasporto, la bolla di entrata in magazzino dell'eventuale merce, i mezzi di pagamento</w:t>
      </w:r>
      <w:r w:rsidR="005E6CCA">
        <w:rPr>
          <w:sz w:val="22"/>
          <w:szCs w:val="22"/>
        </w:rPr>
        <w:t xml:space="preserve">. </w:t>
      </w:r>
      <w:r w:rsidR="00504D0B">
        <w:rPr>
          <w:sz w:val="22"/>
          <w:szCs w:val="22"/>
        </w:rPr>
        <w:t>Alcune spese di piccolo importo, o sostenute in circostanze particolari, dovrebbero poter essere deducibili anche senza le lungaggini e i formalismi dell’emissione della fattura, come piccole consumazioni, trasporti pubblici e pedaggi autostradali. Lo stesso per le spese sostenute in contesti ambientali (paesi esteri) dove la documentazione è anche meno formale che da noi(</w:t>
      </w:r>
      <w:r w:rsidR="00504D0B">
        <w:rPr>
          <w:rStyle w:val="Rimandonotaapidipagina"/>
          <w:sz w:val="22"/>
          <w:szCs w:val="22"/>
        </w:rPr>
        <w:footnoteReference w:id="1071"/>
      </w:r>
      <w:r w:rsidR="00504D0B">
        <w:rPr>
          <w:sz w:val="22"/>
          <w:szCs w:val="22"/>
        </w:rPr>
        <w:t>). E’ un riflesso della determinazione dei presupposti economici d’imposta secondo la documentazione redatta ai fini privatistici dei rapporti tra le parti e dei controlli interni dell’azienda</w:t>
      </w:r>
      <w:r w:rsidR="00097B8A">
        <w:rPr>
          <w:sz w:val="22"/>
          <w:szCs w:val="22"/>
        </w:rPr>
        <w:t>, come indicato al par.3.3</w:t>
      </w:r>
      <w:r w:rsidR="00504D0B">
        <w:rPr>
          <w:sz w:val="22"/>
          <w:szCs w:val="22"/>
        </w:rPr>
        <w:t xml:space="preserve">.  Ai relativi sostanzialistici e di ragionevolezza gestionale dovrebbe far riferimento </w:t>
      </w:r>
      <w:r w:rsidR="00097B8A">
        <w:rPr>
          <w:sz w:val="22"/>
          <w:szCs w:val="22"/>
        </w:rPr>
        <w:t xml:space="preserve">quindi </w:t>
      </w:r>
      <w:r w:rsidR="00504D0B">
        <w:rPr>
          <w:sz w:val="22"/>
          <w:szCs w:val="22"/>
        </w:rPr>
        <w:t>anche il fisco</w:t>
      </w:r>
      <w:r w:rsidR="00097B8A">
        <w:rPr>
          <w:sz w:val="22"/>
          <w:szCs w:val="22"/>
        </w:rPr>
        <w:t>, evitando formalismi e concentrandosi sulle anomalie gestionali spiegabili con un’evasione, secondo i criteri empirico-probabilistici di cui al par.3.8.</w:t>
      </w:r>
      <w:r w:rsidR="00504D0B">
        <w:rPr>
          <w:sz w:val="22"/>
          <w:szCs w:val="22"/>
        </w:rPr>
        <w:t xml:space="preserve">.  </w:t>
      </w:r>
    </w:p>
    <w:p w14:paraId="7B332C0D" w14:textId="6459C129" w:rsidR="002E7C35" w:rsidRDefault="002E7C35" w:rsidP="002E7C35">
      <w:pPr>
        <w:autoSpaceDE w:val="0"/>
        <w:autoSpaceDN w:val="0"/>
        <w:adjustRightInd w:val="0"/>
        <w:rPr>
          <w:sz w:val="22"/>
          <w:szCs w:val="22"/>
        </w:rPr>
      </w:pPr>
    </w:p>
    <w:p w14:paraId="6CBE70F5" w14:textId="77777777" w:rsidR="00E83097" w:rsidRPr="007F7EBF" w:rsidRDefault="00E83097" w:rsidP="00E83097">
      <w:pPr>
        <w:pStyle w:val="tit23"/>
        <w:ind w:left="6464" w:right="-1361" w:firstLine="0"/>
        <w:jc w:val="left"/>
        <w:rPr>
          <w:bCs/>
          <w:i/>
          <w:iCs/>
          <w:color w:val="0000FF"/>
          <w:lang w:val="it-IT"/>
        </w:rPr>
      </w:pPr>
      <w:r w:rsidRPr="007F7EBF">
        <w:rPr>
          <w:bCs/>
          <w:i/>
          <w:iCs/>
          <w:color w:val="0000FF"/>
          <w:lang w:val="it-IT"/>
        </w:rPr>
        <w:t>Registrazioni e versamenti</w:t>
      </w:r>
    </w:p>
    <w:p w14:paraId="67BDAB69" w14:textId="2F1C6DB7" w:rsidR="00E83097" w:rsidRPr="007F7EBF" w:rsidRDefault="00644C61" w:rsidP="00E83097">
      <w:pPr>
        <w:autoSpaceDE w:val="0"/>
        <w:autoSpaceDN w:val="0"/>
        <w:adjustRightInd w:val="0"/>
        <w:rPr>
          <w:sz w:val="22"/>
          <w:szCs w:val="22"/>
        </w:rPr>
      </w:pPr>
      <w:r w:rsidRPr="007F7EBF">
        <w:rPr>
          <w:sz w:val="22"/>
          <w:szCs w:val="22"/>
        </w:rPr>
        <w:lastRenderedPageBreak/>
        <w:t>L</w:t>
      </w:r>
      <w:r>
        <w:rPr>
          <w:sz w:val="22"/>
          <w:szCs w:val="22"/>
        </w:rPr>
        <w:t xml:space="preserve">’emissione dei documenti non </w:t>
      </w:r>
      <w:r w:rsidR="008C15F0">
        <w:rPr>
          <w:sz w:val="22"/>
          <w:szCs w:val="22"/>
        </w:rPr>
        <w:t xml:space="preserve">è contestuale alle </w:t>
      </w:r>
      <w:r w:rsidR="00273B28">
        <w:rPr>
          <w:sz w:val="22"/>
          <w:szCs w:val="22"/>
        </w:rPr>
        <w:t>operazioni</w:t>
      </w:r>
      <w:r w:rsidRPr="007F7EBF">
        <w:rPr>
          <w:sz w:val="22"/>
          <w:szCs w:val="22"/>
        </w:rPr>
        <w:t xml:space="preserve"> </w:t>
      </w:r>
      <w:r>
        <w:rPr>
          <w:sz w:val="22"/>
          <w:szCs w:val="22"/>
        </w:rPr>
        <w:t xml:space="preserve">materiali </w:t>
      </w:r>
      <w:r w:rsidRPr="007F7EBF">
        <w:rPr>
          <w:sz w:val="22"/>
          <w:szCs w:val="22"/>
        </w:rPr>
        <w:t>da registrare</w:t>
      </w:r>
      <w:r w:rsidR="008C15F0">
        <w:rPr>
          <w:sz w:val="22"/>
          <w:szCs w:val="22"/>
        </w:rPr>
        <w:t xml:space="preserve">, e </w:t>
      </w:r>
      <w:r w:rsidR="00064501">
        <w:rPr>
          <w:sz w:val="22"/>
          <w:szCs w:val="22"/>
        </w:rPr>
        <w:t>può passare un po' di temp</w:t>
      </w:r>
      <w:r w:rsidR="008C15F0">
        <w:rPr>
          <w:sz w:val="22"/>
          <w:szCs w:val="22"/>
        </w:rPr>
        <w:t xml:space="preserve">o </w:t>
      </w:r>
      <w:r w:rsidR="005E6CCA">
        <w:rPr>
          <w:sz w:val="22"/>
          <w:szCs w:val="22"/>
        </w:rPr>
        <w:t>(</w:t>
      </w:r>
      <w:r w:rsidRPr="007F7EBF">
        <w:rPr>
          <w:rStyle w:val="Rimandonotaapidipagina"/>
          <w:sz w:val="22"/>
          <w:szCs w:val="22"/>
        </w:rPr>
        <w:footnoteReference w:id="1072"/>
      </w:r>
      <w:r w:rsidR="005E6CCA">
        <w:rPr>
          <w:sz w:val="22"/>
          <w:szCs w:val="22"/>
        </w:rPr>
        <w:t>)</w:t>
      </w:r>
      <w:r w:rsidR="008C15F0">
        <w:rPr>
          <w:sz w:val="22"/>
          <w:szCs w:val="22"/>
        </w:rPr>
        <w:t xml:space="preserve"> </w:t>
      </w:r>
      <w:r w:rsidR="00D4578A" w:rsidRPr="007F7EBF">
        <w:rPr>
          <w:sz w:val="22"/>
          <w:szCs w:val="22"/>
        </w:rPr>
        <w:t xml:space="preserve">sia </w:t>
      </w:r>
      <w:r w:rsidR="00D0391C" w:rsidRPr="007F7EBF">
        <w:rPr>
          <w:sz w:val="22"/>
          <w:szCs w:val="22"/>
        </w:rPr>
        <w:t xml:space="preserve">per l'emissione delle fatture attive e la registrazione dei corrispettivi, in genere collegati ai momenti </w:t>
      </w:r>
      <w:r w:rsidR="00566FA1" w:rsidRPr="007F7EBF">
        <w:rPr>
          <w:sz w:val="22"/>
          <w:szCs w:val="22"/>
        </w:rPr>
        <w:t>impositivi di cui al par. 7.11</w:t>
      </w:r>
      <w:r w:rsidR="00D0391C" w:rsidRPr="007F7EBF">
        <w:rPr>
          <w:sz w:val="22"/>
          <w:szCs w:val="22"/>
        </w:rPr>
        <w:t xml:space="preserve">; sono eventi che in genere devono essere considerati con riferimento alle liquidazioni IVA </w:t>
      </w:r>
      <w:r w:rsidR="008C15F0">
        <w:rPr>
          <w:sz w:val="22"/>
          <w:szCs w:val="22"/>
        </w:rPr>
        <w:t>(par.</w:t>
      </w:r>
      <w:r w:rsidR="005E6CCA">
        <w:rPr>
          <w:sz w:val="22"/>
          <w:szCs w:val="22"/>
        </w:rPr>
        <w:t xml:space="preserve">3.4 e </w:t>
      </w:r>
      <w:r w:rsidR="008C15F0">
        <w:rPr>
          <w:sz w:val="22"/>
          <w:szCs w:val="22"/>
        </w:rPr>
        <w:t xml:space="preserve">7.8) </w:t>
      </w:r>
      <w:r w:rsidR="00D0391C" w:rsidRPr="007F7EBF">
        <w:rPr>
          <w:sz w:val="22"/>
          <w:szCs w:val="22"/>
        </w:rPr>
        <w:t xml:space="preserve">del mese in cui si verificano. Lo stesso accade per le ritenute alla fonte, con riferimento al mese di pagamento, come indicato al par.3.6. </w:t>
      </w:r>
      <w:r w:rsidR="002C5BC8" w:rsidRPr="007F7EBF">
        <w:rPr>
          <w:sz w:val="22"/>
          <w:szCs w:val="22"/>
        </w:rPr>
        <w:t xml:space="preserve"> La detrazione dell'IVA sugli acquisti segue invece il ricevimento delle fatture passive, ma -trattandosi di una riduzione della somma da versare- può essere anche rinviata dal contribuente fino a un biennio. </w:t>
      </w:r>
    </w:p>
    <w:p w14:paraId="7265DC2B" w14:textId="2C3F3267" w:rsidR="00E83097" w:rsidRPr="007F7EBF" w:rsidRDefault="00234CA0" w:rsidP="00E83097">
      <w:pPr>
        <w:pStyle w:val="tit23"/>
        <w:ind w:left="6464" w:right="-1361" w:firstLine="0"/>
        <w:jc w:val="left"/>
        <w:rPr>
          <w:bCs/>
          <w:i/>
          <w:iCs/>
          <w:color w:val="0000FF"/>
          <w:lang w:val="it-IT"/>
        </w:rPr>
      </w:pPr>
      <w:r w:rsidRPr="007F7EBF">
        <w:rPr>
          <w:bCs/>
          <w:i/>
          <w:iCs/>
          <w:color w:val="0000FF"/>
          <w:lang w:val="it-IT"/>
        </w:rPr>
        <w:t>Retti</w:t>
      </w:r>
      <w:r w:rsidR="00902073">
        <w:rPr>
          <w:bCs/>
          <w:i/>
          <w:iCs/>
          <w:color w:val="0000FF"/>
          <w:lang w:val="it-IT"/>
        </w:rPr>
        <w:t>fi</w:t>
      </w:r>
      <w:r w:rsidRPr="007F7EBF">
        <w:rPr>
          <w:bCs/>
          <w:i/>
          <w:iCs/>
          <w:color w:val="0000FF"/>
          <w:lang w:val="it-IT"/>
        </w:rPr>
        <w:t xml:space="preserve">che </w:t>
      </w:r>
      <w:r w:rsidR="00206397">
        <w:rPr>
          <w:bCs/>
          <w:i/>
          <w:iCs/>
          <w:color w:val="0000FF"/>
          <w:lang w:val="it-IT"/>
        </w:rPr>
        <w:t>in aumento e i</w:t>
      </w:r>
      <w:r w:rsidR="00E83097" w:rsidRPr="007F7EBF">
        <w:rPr>
          <w:bCs/>
          <w:i/>
          <w:iCs/>
          <w:color w:val="0000FF"/>
          <w:lang w:val="it-IT"/>
        </w:rPr>
        <w:t>n diminuzione</w:t>
      </w:r>
    </w:p>
    <w:p w14:paraId="7C2C079F" w14:textId="7DA1CA14" w:rsidR="00E83097" w:rsidRDefault="0095563C" w:rsidP="004E53FE">
      <w:pPr>
        <w:autoSpaceDE w:val="0"/>
        <w:autoSpaceDN w:val="0"/>
        <w:adjustRightInd w:val="0"/>
        <w:rPr>
          <w:sz w:val="22"/>
          <w:szCs w:val="22"/>
        </w:rPr>
      </w:pPr>
      <w:r>
        <w:rPr>
          <w:sz w:val="22"/>
          <w:szCs w:val="22"/>
        </w:rPr>
        <w:t xml:space="preserve">La </w:t>
      </w:r>
      <w:r w:rsidR="00A977AB">
        <w:rPr>
          <w:sz w:val="22"/>
          <w:szCs w:val="22"/>
        </w:rPr>
        <w:t>visibilità documentale, anziché fisica</w:t>
      </w:r>
      <w:r w:rsidR="005E0E95">
        <w:rPr>
          <w:sz w:val="22"/>
          <w:szCs w:val="22"/>
        </w:rPr>
        <w:t xml:space="preserve"> (</w:t>
      </w:r>
      <w:r w:rsidR="005E0E95">
        <w:rPr>
          <w:rStyle w:val="Rimandonotaapidipagina"/>
          <w:sz w:val="22"/>
          <w:szCs w:val="22"/>
        </w:rPr>
        <w:footnoteReference w:id="1073"/>
      </w:r>
      <w:r w:rsidR="005E0E95">
        <w:rPr>
          <w:sz w:val="22"/>
          <w:szCs w:val="22"/>
        </w:rPr>
        <w:t>)</w:t>
      </w:r>
      <w:r w:rsidR="00A977AB">
        <w:rPr>
          <w:sz w:val="22"/>
          <w:szCs w:val="22"/>
        </w:rPr>
        <w:t xml:space="preserve">, dei consumi (par.7.2) </w:t>
      </w:r>
      <w:r w:rsidR="004E53FE">
        <w:rPr>
          <w:sz w:val="22"/>
          <w:szCs w:val="22"/>
        </w:rPr>
        <w:t>consente di dare rilevanza IVA anche ai successivi aumenti di corrispettivo, o alle sue diminuzioni, perché il contratto viene</w:t>
      </w:r>
      <w:r w:rsidR="005E0E95">
        <w:rPr>
          <w:sz w:val="22"/>
          <w:szCs w:val="22"/>
        </w:rPr>
        <w:t xml:space="preserve"> in tutto o in parte</w:t>
      </w:r>
      <w:r w:rsidR="004E53FE">
        <w:rPr>
          <w:sz w:val="22"/>
          <w:szCs w:val="22"/>
        </w:rPr>
        <w:t xml:space="preserve"> </w:t>
      </w:r>
      <w:r w:rsidR="005E6CCA">
        <w:rPr>
          <w:sz w:val="22"/>
          <w:szCs w:val="22"/>
        </w:rPr>
        <w:t>ris</w:t>
      </w:r>
      <w:r w:rsidR="004E53FE">
        <w:rPr>
          <w:sz w:val="22"/>
          <w:szCs w:val="22"/>
        </w:rPr>
        <w:t xml:space="preserve">olto; è quindi ammesso, in quest’ultimo caso, rettificare la precedente fatturazione, </w:t>
      </w:r>
      <w:r w:rsidR="005E6CCA">
        <w:rPr>
          <w:sz w:val="22"/>
          <w:szCs w:val="22"/>
        </w:rPr>
        <w:t>come pure per rettificare errori di fatturazione o registrazione, entro un anno dall’</w:t>
      </w:r>
      <w:r w:rsidR="005E6CCA" w:rsidRPr="007F7EBF">
        <w:rPr>
          <w:bCs/>
          <w:sz w:val="22"/>
          <w:szCs w:val="22"/>
        </w:rPr>
        <w:t>operazione</w:t>
      </w:r>
      <w:r w:rsidR="005E6CCA">
        <w:rPr>
          <w:sz w:val="22"/>
          <w:szCs w:val="22"/>
        </w:rPr>
        <w:t xml:space="preserve"> (art.26 decreto IVA). Le rettifiche in diminuzione, </w:t>
      </w:r>
      <w:r w:rsidR="004E53FE">
        <w:rPr>
          <w:sz w:val="22"/>
          <w:szCs w:val="22"/>
        </w:rPr>
        <w:t>chiamate nella prassi aziendale “note di credito</w:t>
      </w:r>
      <w:r w:rsidR="00234CA0" w:rsidRPr="007F7EBF">
        <w:rPr>
          <w:sz w:val="22"/>
          <w:szCs w:val="22"/>
        </w:rPr>
        <w:t>” (</w:t>
      </w:r>
      <w:r w:rsidR="00234CA0" w:rsidRPr="007F7EBF">
        <w:rPr>
          <w:rStyle w:val="Rimandonotaapidipagina"/>
          <w:sz w:val="22"/>
          <w:szCs w:val="22"/>
        </w:rPr>
        <w:footnoteReference w:id="1074"/>
      </w:r>
      <w:r w:rsidR="005E6CCA">
        <w:rPr>
          <w:sz w:val="22"/>
          <w:szCs w:val="22"/>
        </w:rPr>
        <w:t>) e la loro emanazione “con IVA” è fiscalmente facoltativa</w:t>
      </w:r>
      <w:r w:rsidR="00C75A91">
        <w:rPr>
          <w:sz w:val="22"/>
          <w:szCs w:val="22"/>
        </w:rPr>
        <w:t>; esse infatti sono</w:t>
      </w:r>
      <w:r w:rsidR="005E6CCA">
        <w:rPr>
          <w:sz w:val="22"/>
          <w:szCs w:val="22"/>
        </w:rPr>
        <w:t xml:space="preserve"> infatti</w:t>
      </w:r>
      <w:r w:rsidR="00C75A91">
        <w:rPr>
          <w:sz w:val="22"/>
          <w:szCs w:val="22"/>
        </w:rPr>
        <w:t xml:space="preserve"> neutre, come le operazioni rettificate, quando avvengono tra operatori economici, e vantaggiose per i contribuenti, quando l’acquirente è un consumatore finale; a quest’ultimo i</w:t>
      </w:r>
      <w:r w:rsidR="00C75A91" w:rsidRPr="007F7EBF">
        <w:rPr>
          <w:sz w:val="22"/>
          <w:szCs w:val="22"/>
        </w:rPr>
        <w:t xml:space="preserve">l </w:t>
      </w:r>
      <w:r w:rsidR="00C75A91">
        <w:rPr>
          <w:sz w:val="22"/>
          <w:szCs w:val="22"/>
        </w:rPr>
        <w:t>fornitore</w:t>
      </w:r>
      <w:r w:rsidR="00C75A91" w:rsidRPr="007F7EBF">
        <w:rPr>
          <w:sz w:val="22"/>
          <w:szCs w:val="22"/>
        </w:rPr>
        <w:t xml:space="preserve"> restituisce infatti l’IVA, recuperandola dallo Stato </w:t>
      </w:r>
      <w:r w:rsidR="00C75A91">
        <w:rPr>
          <w:sz w:val="22"/>
          <w:szCs w:val="22"/>
        </w:rPr>
        <w:t xml:space="preserve">riducendo </w:t>
      </w:r>
      <w:r w:rsidR="00C75A91" w:rsidRPr="007F7EBF">
        <w:rPr>
          <w:sz w:val="22"/>
          <w:szCs w:val="22"/>
        </w:rPr>
        <w:t>l’IVA a debito</w:t>
      </w:r>
      <w:r w:rsidR="005E0E95">
        <w:rPr>
          <w:sz w:val="22"/>
          <w:szCs w:val="22"/>
        </w:rPr>
        <w:t xml:space="preserve"> </w:t>
      </w:r>
      <w:r w:rsidR="00C75A91">
        <w:rPr>
          <w:sz w:val="22"/>
          <w:szCs w:val="22"/>
        </w:rPr>
        <w:t>(</w:t>
      </w:r>
      <w:r w:rsidR="00C75A91" w:rsidRPr="007F7EBF">
        <w:rPr>
          <w:rStyle w:val="Rimandonotaapidipagina"/>
          <w:sz w:val="22"/>
          <w:szCs w:val="22"/>
        </w:rPr>
        <w:footnoteReference w:id="1075"/>
      </w:r>
      <w:r w:rsidR="00C75A91">
        <w:rPr>
          <w:sz w:val="22"/>
          <w:szCs w:val="22"/>
        </w:rPr>
        <w:t>)</w:t>
      </w:r>
      <w:r w:rsidR="00C75A91" w:rsidRPr="007F7EBF">
        <w:rPr>
          <w:sz w:val="22"/>
          <w:szCs w:val="22"/>
        </w:rPr>
        <w:t xml:space="preserve">. </w:t>
      </w:r>
    </w:p>
    <w:p w14:paraId="402D5E71" w14:textId="29759141" w:rsidR="00E83097" w:rsidRPr="007F7EBF" w:rsidRDefault="00E84968" w:rsidP="00E83097">
      <w:pPr>
        <w:pStyle w:val="tit23"/>
        <w:ind w:left="6464" w:right="-1361" w:firstLine="0"/>
        <w:jc w:val="left"/>
        <w:rPr>
          <w:bCs/>
          <w:i/>
          <w:iCs/>
          <w:color w:val="0000FF"/>
          <w:lang w:val="it-IT"/>
        </w:rPr>
      </w:pPr>
      <w:r>
        <w:rPr>
          <w:bCs/>
          <w:i/>
          <w:iCs/>
          <w:color w:val="0000FF"/>
          <w:lang w:val="it-IT"/>
        </w:rPr>
        <w:t>man</w:t>
      </w:r>
      <w:r w:rsidR="00E83097" w:rsidRPr="007F7EBF">
        <w:rPr>
          <w:bCs/>
          <w:i/>
          <w:iCs/>
          <w:color w:val="0000FF"/>
          <w:lang w:val="it-IT"/>
        </w:rPr>
        <w:t>cato ricevimento della fattura</w:t>
      </w:r>
    </w:p>
    <w:p w14:paraId="278CDC4F" w14:textId="40877435" w:rsidR="00E87466" w:rsidRPr="007F7EBF" w:rsidRDefault="00E84968" w:rsidP="00E87466">
      <w:pPr>
        <w:autoSpaceDE w:val="0"/>
        <w:autoSpaceDN w:val="0"/>
        <w:adjustRightInd w:val="0"/>
        <w:rPr>
          <w:sz w:val="22"/>
          <w:szCs w:val="22"/>
        </w:rPr>
      </w:pPr>
      <w:r>
        <w:rPr>
          <w:sz w:val="22"/>
          <w:szCs w:val="22"/>
        </w:rPr>
        <w:lastRenderedPageBreak/>
        <w:t>Se l’</w:t>
      </w:r>
      <w:r w:rsidR="00E87466" w:rsidRPr="007F7EBF">
        <w:rPr>
          <w:sz w:val="22"/>
          <w:szCs w:val="22"/>
        </w:rPr>
        <w:t>acquirente operatore economico</w:t>
      </w:r>
      <w:r>
        <w:rPr>
          <w:sz w:val="22"/>
          <w:szCs w:val="22"/>
        </w:rPr>
        <w:t xml:space="preserve"> non </w:t>
      </w:r>
      <w:r w:rsidR="00E87466" w:rsidRPr="007F7EBF">
        <w:rPr>
          <w:sz w:val="22"/>
          <w:szCs w:val="22"/>
        </w:rPr>
        <w:t>riceve</w:t>
      </w:r>
      <w:r>
        <w:rPr>
          <w:sz w:val="22"/>
          <w:szCs w:val="22"/>
        </w:rPr>
        <w:t xml:space="preserve"> la</w:t>
      </w:r>
      <w:r w:rsidR="00E87466" w:rsidRPr="007F7EBF">
        <w:rPr>
          <w:sz w:val="22"/>
          <w:szCs w:val="22"/>
        </w:rPr>
        <w:t xml:space="preserve"> fattura entro un determinato periodo di tempo (quattro mesi) è obbligato a </w:t>
      </w:r>
      <w:r w:rsidR="0059736A">
        <w:rPr>
          <w:sz w:val="22"/>
          <w:szCs w:val="22"/>
        </w:rPr>
        <w:t xml:space="preserve">emettere un </w:t>
      </w:r>
      <w:r>
        <w:rPr>
          <w:sz w:val="22"/>
          <w:szCs w:val="22"/>
        </w:rPr>
        <w:t xml:space="preserve">documento (c.d. “autofattura”) in cui liquida l’IVA a debito, la detrae e </w:t>
      </w:r>
      <w:r w:rsidR="0059736A">
        <w:rPr>
          <w:sz w:val="22"/>
          <w:szCs w:val="22"/>
        </w:rPr>
        <w:t>comunica</w:t>
      </w:r>
      <w:r>
        <w:rPr>
          <w:sz w:val="22"/>
          <w:szCs w:val="22"/>
        </w:rPr>
        <w:t xml:space="preserve"> </w:t>
      </w:r>
      <w:r w:rsidR="00E87466" w:rsidRPr="007F7EBF">
        <w:rPr>
          <w:sz w:val="22"/>
          <w:szCs w:val="22"/>
        </w:rPr>
        <w:t>all’ufficio tributario</w:t>
      </w:r>
      <w:r w:rsidR="0059736A">
        <w:rPr>
          <w:sz w:val="22"/>
          <w:szCs w:val="22"/>
        </w:rPr>
        <w:t xml:space="preserve">, sotto pena di sanzioni, </w:t>
      </w:r>
      <w:r w:rsidR="00E87466" w:rsidRPr="007F7EBF">
        <w:rPr>
          <w:sz w:val="22"/>
          <w:szCs w:val="22"/>
        </w:rPr>
        <w:t xml:space="preserve">il fornitore </w:t>
      </w:r>
      <w:r w:rsidR="0059736A">
        <w:rPr>
          <w:sz w:val="22"/>
          <w:szCs w:val="22"/>
        </w:rPr>
        <w:t>“</w:t>
      </w:r>
      <w:r>
        <w:rPr>
          <w:sz w:val="22"/>
          <w:szCs w:val="22"/>
        </w:rPr>
        <w:t>inadempiente</w:t>
      </w:r>
      <w:r w:rsidR="0059736A">
        <w:rPr>
          <w:sz w:val="22"/>
          <w:szCs w:val="22"/>
        </w:rPr>
        <w:t>”</w:t>
      </w:r>
      <w:r w:rsidR="00E87466" w:rsidRPr="007F7EBF">
        <w:rPr>
          <w:sz w:val="22"/>
          <w:szCs w:val="22"/>
        </w:rPr>
        <w:t>. Non è un "obbligo di delazione", ma un tentativo di salvaguardare</w:t>
      </w:r>
      <w:r>
        <w:rPr>
          <w:sz w:val="22"/>
          <w:szCs w:val="22"/>
        </w:rPr>
        <w:t>, con la suddetta “autofattura”</w:t>
      </w:r>
      <w:r w:rsidR="00E87466" w:rsidRPr="007F7EBF">
        <w:rPr>
          <w:sz w:val="22"/>
          <w:szCs w:val="22"/>
        </w:rPr>
        <w:t xml:space="preserve"> il meccanismo di "imponibilità-detrazione</w:t>
      </w:r>
      <w:r>
        <w:rPr>
          <w:sz w:val="22"/>
          <w:szCs w:val="22"/>
        </w:rPr>
        <w:t>”</w:t>
      </w:r>
      <w:r w:rsidR="00E87466" w:rsidRPr="007F7EBF">
        <w:rPr>
          <w:sz w:val="22"/>
          <w:szCs w:val="22"/>
        </w:rPr>
        <w:t xml:space="preserve">. </w:t>
      </w:r>
    </w:p>
    <w:p w14:paraId="61EC9292" w14:textId="77777777" w:rsidR="00E83097" w:rsidRPr="007F7EBF" w:rsidRDefault="006342C5" w:rsidP="006465B3">
      <w:pPr>
        <w:pStyle w:val="Titolo3"/>
        <w:rPr>
          <w:rFonts w:ascii="Times New Roman" w:hAnsi="Times New Roman"/>
          <w:sz w:val="22"/>
          <w:szCs w:val="22"/>
        </w:rPr>
      </w:pPr>
      <w:bookmarkStart w:id="106" w:name="_Toc63365017"/>
      <w:r w:rsidRPr="007F7EBF">
        <w:rPr>
          <w:rFonts w:ascii="Times New Roman" w:hAnsi="Times New Roman"/>
          <w:sz w:val="22"/>
          <w:szCs w:val="22"/>
        </w:rPr>
        <w:t xml:space="preserve">7.8. </w:t>
      </w:r>
      <w:r w:rsidRPr="007F7EBF">
        <w:rPr>
          <w:rFonts w:ascii="Times New Roman" w:hAnsi="Times New Roman"/>
          <w:i/>
          <w:iCs/>
          <w:sz w:val="22"/>
          <w:szCs w:val="22"/>
        </w:rPr>
        <w:t>Segue</w:t>
      </w:r>
      <w:r w:rsidRPr="007F7EBF">
        <w:rPr>
          <w:rFonts w:ascii="Times New Roman" w:hAnsi="Times New Roman"/>
          <w:sz w:val="22"/>
          <w:szCs w:val="22"/>
        </w:rPr>
        <w:t>: dai documenti ai libri contabili (richiami e integrazioni rispetto</w:t>
      </w:r>
      <w:r w:rsidR="00D352B0" w:rsidRPr="007F7EBF">
        <w:rPr>
          <w:rFonts w:ascii="Times New Roman" w:hAnsi="Times New Roman"/>
          <w:sz w:val="22"/>
          <w:szCs w:val="22"/>
        </w:rPr>
        <w:t xml:space="preserve"> </w:t>
      </w:r>
      <w:r w:rsidRPr="007F7EBF">
        <w:rPr>
          <w:rFonts w:ascii="Times New Roman" w:hAnsi="Times New Roman"/>
          <w:sz w:val="22"/>
          <w:szCs w:val="22"/>
        </w:rPr>
        <w:t>ai paragrafi 3.3-3.4)</w:t>
      </w:r>
      <w:bookmarkEnd w:id="106"/>
    </w:p>
    <w:p w14:paraId="4BBFDD01" w14:textId="58D2EA4D" w:rsidR="00E83097" w:rsidRPr="007F7EBF" w:rsidRDefault="0041606A" w:rsidP="00E83097">
      <w:pPr>
        <w:pStyle w:val="tit23"/>
        <w:ind w:left="6464" w:right="-1361" w:firstLine="0"/>
        <w:jc w:val="left"/>
        <w:rPr>
          <w:bCs/>
          <w:i/>
          <w:iCs/>
          <w:color w:val="0000FF"/>
          <w:lang w:val="it-IT"/>
        </w:rPr>
      </w:pPr>
      <w:r>
        <w:rPr>
          <w:bCs/>
          <w:i/>
          <w:iCs/>
          <w:color w:val="0000FF"/>
          <w:lang w:val="it-IT"/>
        </w:rPr>
        <w:t>Dai documenti ai libri contabili</w:t>
      </w:r>
    </w:p>
    <w:p w14:paraId="32FB8415" w14:textId="63E3EB94" w:rsidR="002D619F" w:rsidRDefault="000C04D2" w:rsidP="002D619F">
      <w:pPr>
        <w:autoSpaceDE w:val="0"/>
        <w:autoSpaceDN w:val="0"/>
        <w:adjustRightInd w:val="0"/>
        <w:rPr>
          <w:sz w:val="22"/>
          <w:szCs w:val="22"/>
        </w:rPr>
      </w:pPr>
      <w:r w:rsidRPr="006D2A78">
        <w:rPr>
          <w:sz w:val="22"/>
          <w:szCs w:val="22"/>
        </w:rPr>
        <w:t xml:space="preserve">La documentazione aziendale </w:t>
      </w:r>
      <w:r w:rsidR="005E6CCA">
        <w:rPr>
          <w:sz w:val="22"/>
          <w:szCs w:val="22"/>
        </w:rPr>
        <w:t>di cui</w:t>
      </w:r>
      <w:r w:rsidRPr="006D2A78">
        <w:rPr>
          <w:sz w:val="22"/>
          <w:szCs w:val="22"/>
        </w:rPr>
        <w:t xml:space="preserve"> al </w:t>
      </w:r>
      <w:r w:rsidR="005E6CCA">
        <w:rPr>
          <w:sz w:val="22"/>
          <w:szCs w:val="22"/>
        </w:rPr>
        <w:t>p</w:t>
      </w:r>
      <w:r w:rsidR="00972A39">
        <w:rPr>
          <w:sz w:val="22"/>
          <w:szCs w:val="22"/>
        </w:rPr>
        <w:t>aragraf</w:t>
      </w:r>
      <w:r w:rsidR="005E6CCA">
        <w:rPr>
          <w:sz w:val="22"/>
          <w:szCs w:val="22"/>
        </w:rPr>
        <w:t>o</w:t>
      </w:r>
      <w:r w:rsidRPr="006D2A78">
        <w:rPr>
          <w:sz w:val="22"/>
          <w:szCs w:val="22"/>
        </w:rPr>
        <w:t xml:space="preserve"> precedente</w:t>
      </w:r>
      <w:r w:rsidR="005E6CCA">
        <w:rPr>
          <w:sz w:val="22"/>
          <w:szCs w:val="22"/>
        </w:rPr>
        <w:t xml:space="preserve"> </w:t>
      </w:r>
      <w:r w:rsidRPr="006D2A78">
        <w:rPr>
          <w:sz w:val="22"/>
          <w:szCs w:val="22"/>
        </w:rPr>
        <w:t xml:space="preserve">è unica </w:t>
      </w:r>
      <w:r w:rsidR="00140595">
        <w:rPr>
          <w:sz w:val="22"/>
          <w:szCs w:val="22"/>
        </w:rPr>
        <w:t>a</w:t>
      </w:r>
      <w:r w:rsidRPr="006D2A78">
        <w:rPr>
          <w:sz w:val="22"/>
          <w:szCs w:val="22"/>
        </w:rPr>
        <w:t>i fini gestion</w:t>
      </w:r>
      <w:r w:rsidR="00140595">
        <w:rPr>
          <w:sz w:val="22"/>
          <w:szCs w:val="22"/>
        </w:rPr>
        <w:t>ali e tributari</w:t>
      </w:r>
      <w:r w:rsidRPr="006D2A78">
        <w:rPr>
          <w:sz w:val="22"/>
          <w:szCs w:val="22"/>
        </w:rPr>
        <w:t xml:space="preserve">, </w:t>
      </w:r>
      <w:r w:rsidR="00972A39">
        <w:rPr>
          <w:sz w:val="22"/>
          <w:szCs w:val="22"/>
        </w:rPr>
        <w:t>usata sia</w:t>
      </w:r>
      <w:r w:rsidR="00140595">
        <w:rPr>
          <w:sz w:val="22"/>
          <w:szCs w:val="22"/>
        </w:rPr>
        <w:t xml:space="preserve"> per</w:t>
      </w:r>
      <w:r w:rsidRPr="006D2A78">
        <w:rPr>
          <w:sz w:val="22"/>
          <w:szCs w:val="22"/>
        </w:rPr>
        <w:t xml:space="preserve"> </w:t>
      </w:r>
      <w:r w:rsidR="00972A39">
        <w:rPr>
          <w:sz w:val="22"/>
          <w:szCs w:val="22"/>
        </w:rPr>
        <w:t xml:space="preserve">le </w:t>
      </w:r>
      <w:r w:rsidRPr="006D2A78">
        <w:rPr>
          <w:sz w:val="22"/>
          <w:szCs w:val="22"/>
        </w:rPr>
        <w:t xml:space="preserve">imposte dirette </w:t>
      </w:r>
      <w:r w:rsidR="00972A39">
        <w:rPr>
          <w:sz w:val="22"/>
          <w:szCs w:val="22"/>
        </w:rPr>
        <w:t>sia p</w:t>
      </w:r>
      <w:r w:rsidRPr="006D2A78">
        <w:rPr>
          <w:sz w:val="22"/>
          <w:szCs w:val="22"/>
        </w:rPr>
        <w:t>e</w:t>
      </w:r>
      <w:r w:rsidR="00972A39">
        <w:rPr>
          <w:sz w:val="22"/>
          <w:szCs w:val="22"/>
        </w:rPr>
        <w:t>r l’</w:t>
      </w:r>
      <w:r w:rsidRPr="006D2A78">
        <w:rPr>
          <w:sz w:val="22"/>
          <w:szCs w:val="22"/>
        </w:rPr>
        <w:t xml:space="preserve"> IVA. Essa viene tenuta assieme archiviandola </w:t>
      </w:r>
      <w:r w:rsidR="003372B2">
        <w:rPr>
          <w:sz w:val="22"/>
          <w:szCs w:val="22"/>
        </w:rPr>
        <w:t xml:space="preserve">per materia </w:t>
      </w:r>
      <w:r w:rsidRPr="006D2A78">
        <w:rPr>
          <w:sz w:val="22"/>
          <w:szCs w:val="22"/>
        </w:rPr>
        <w:t>e</w:t>
      </w:r>
      <w:r w:rsidR="003372B2">
        <w:rPr>
          <w:sz w:val="22"/>
          <w:szCs w:val="22"/>
        </w:rPr>
        <w:t xml:space="preserve"> per cronologia, </w:t>
      </w:r>
      <w:r w:rsidR="00140595">
        <w:rPr>
          <w:sz w:val="22"/>
          <w:szCs w:val="22"/>
        </w:rPr>
        <w:t xml:space="preserve">e </w:t>
      </w:r>
      <w:r w:rsidR="003372B2">
        <w:rPr>
          <w:sz w:val="22"/>
          <w:szCs w:val="22"/>
        </w:rPr>
        <w:t>annotando</w:t>
      </w:r>
      <w:r w:rsidRPr="006D2A78">
        <w:rPr>
          <w:sz w:val="22"/>
          <w:szCs w:val="22"/>
        </w:rPr>
        <w:t xml:space="preserve"> nei libri contabili</w:t>
      </w:r>
      <w:r w:rsidR="00972A39">
        <w:rPr>
          <w:sz w:val="22"/>
          <w:szCs w:val="22"/>
        </w:rPr>
        <w:t xml:space="preserve"> le caratteristiche salienti di ciascun documento, come le fatture ricevute ed emesse </w:t>
      </w:r>
      <w:r w:rsidRPr="006D2A78">
        <w:rPr>
          <w:sz w:val="22"/>
          <w:szCs w:val="22"/>
        </w:rPr>
        <w:t xml:space="preserve"> </w:t>
      </w:r>
      <w:r w:rsidR="0042497B" w:rsidRPr="006D2A78">
        <w:rPr>
          <w:sz w:val="22"/>
          <w:szCs w:val="22"/>
        </w:rPr>
        <w:t>(</w:t>
      </w:r>
      <w:r w:rsidR="0042497B" w:rsidRPr="006D2A78">
        <w:rPr>
          <w:rStyle w:val="Rimandonotaapidipagina"/>
          <w:sz w:val="22"/>
          <w:szCs w:val="22"/>
        </w:rPr>
        <w:footnoteReference w:id="1076"/>
      </w:r>
      <w:r w:rsidR="0042497B" w:rsidRPr="006D2A78">
        <w:rPr>
          <w:sz w:val="22"/>
          <w:szCs w:val="22"/>
        </w:rPr>
        <w:t>)</w:t>
      </w:r>
      <w:r w:rsidR="00972A39">
        <w:rPr>
          <w:sz w:val="22"/>
          <w:szCs w:val="22"/>
        </w:rPr>
        <w:t xml:space="preserve">, </w:t>
      </w:r>
      <w:r w:rsidR="0042497B">
        <w:rPr>
          <w:sz w:val="22"/>
          <w:szCs w:val="22"/>
        </w:rPr>
        <w:t xml:space="preserve"> </w:t>
      </w:r>
      <w:r w:rsidR="00E84968">
        <w:rPr>
          <w:sz w:val="22"/>
          <w:szCs w:val="22"/>
        </w:rPr>
        <w:t>le</w:t>
      </w:r>
      <w:r w:rsidR="00630788">
        <w:rPr>
          <w:sz w:val="22"/>
          <w:szCs w:val="22"/>
        </w:rPr>
        <w:t xml:space="preserve"> </w:t>
      </w:r>
      <w:r w:rsidR="00630788" w:rsidRPr="007F7EBF">
        <w:rPr>
          <w:sz w:val="22"/>
          <w:szCs w:val="22"/>
        </w:rPr>
        <w:t>suddette distinte giornaliere di incasso</w:t>
      </w:r>
      <w:r w:rsidR="00972A39">
        <w:rPr>
          <w:sz w:val="22"/>
          <w:szCs w:val="22"/>
        </w:rPr>
        <w:t xml:space="preserve"> dei corrispettivi giornalieri </w:t>
      </w:r>
      <w:r w:rsidR="003372B2">
        <w:rPr>
          <w:sz w:val="22"/>
          <w:szCs w:val="22"/>
        </w:rPr>
        <w:t>(</w:t>
      </w:r>
      <w:r w:rsidR="00630788" w:rsidRPr="007F7EBF">
        <w:rPr>
          <w:rStyle w:val="Rimandonotaapidipagina"/>
          <w:sz w:val="22"/>
          <w:szCs w:val="22"/>
        </w:rPr>
        <w:footnoteReference w:id="1077"/>
      </w:r>
      <w:r w:rsidR="003372B2">
        <w:rPr>
          <w:sz w:val="22"/>
          <w:szCs w:val="22"/>
        </w:rPr>
        <w:t>)</w:t>
      </w:r>
      <w:r w:rsidR="00630788" w:rsidRPr="007F7EBF">
        <w:rPr>
          <w:sz w:val="22"/>
          <w:szCs w:val="22"/>
        </w:rPr>
        <w:t>,</w:t>
      </w:r>
      <w:r w:rsidR="00E84968">
        <w:rPr>
          <w:sz w:val="22"/>
          <w:szCs w:val="22"/>
        </w:rPr>
        <w:t xml:space="preserve"> le </w:t>
      </w:r>
      <w:r w:rsidR="00630788" w:rsidRPr="007F7EBF">
        <w:rPr>
          <w:sz w:val="22"/>
          <w:szCs w:val="22"/>
        </w:rPr>
        <w:t>documentazioni dei costi</w:t>
      </w:r>
      <w:r w:rsidR="00630788">
        <w:rPr>
          <w:sz w:val="22"/>
          <w:szCs w:val="22"/>
        </w:rPr>
        <w:t xml:space="preserve"> “fuori IVA”, le paghe ai dipendenti</w:t>
      </w:r>
      <w:r w:rsidR="00E84968">
        <w:rPr>
          <w:sz w:val="22"/>
          <w:szCs w:val="22"/>
        </w:rPr>
        <w:t xml:space="preserve">, i bonifici bancari, i modelli di versamento delle imposte e le altre tracce </w:t>
      </w:r>
      <w:r w:rsidR="002D619F">
        <w:rPr>
          <w:sz w:val="22"/>
          <w:szCs w:val="22"/>
        </w:rPr>
        <w:t>documentali della vita aziendale</w:t>
      </w:r>
      <w:r w:rsidR="000B6C6E">
        <w:rPr>
          <w:sz w:val="22"/>
          <w:szCs w:val="22"/>
        </w:rPr>
        <w:t xml:space="preserve">. </w:t>
      </w:r>
    </w:p>
    <w:p w14:paraId="5745447F" w14:textId="77777777" w:rsidR="002D619F" w:rsidRPr="007F7EBF" w:rsidRDefault="002D619F" w:rsidP="002D619F">
      <w:pPr>
        <w:pStyle w:val="tit23"/>
        <w:ind w:left="6464" w:right="-1361" w:firstLine="0"/>
        <w:jc w:val="left"/>
        <w:rPr>
          <w:bCs/>
          <w:i/>
          <w:iCs/>
          <w:color w:val="0000FF"/>
          <w:lang w:val="it-IT"/>
        </w:rPr>
      </w:pPr>
      <w:r>
        <w:rPr>
          <w:bCs/>
          <w:i/>
          <w:iCs/>
          <w:color w:val="0000FF"/>
          <w:lang w:val="it-IT"/>
        </w:rPr>
        <w:t>Contabilità in partita doppia</w:t>
      </w:r>
    </w:p>
    <w:p w14:paraId="39D1694E" w14:textId="745D40E1" w:rsidR="002D619F" w:rsidRPr="007F7EBF" w:rsidRDefault="002D619F" w:rsidP="002D619F">
      <w:pPr>
        <w:autoSpaceDE w:val="0"/>
        <w:autoSpaceDN w:val="0"/>
        <w:adjustRightInd w:val="0"/>
        <w:rPr>
          <w:sz w:val="22"/>
          <w:szCs w:val="22"/>
        </w:rPr>
      </w:pPr>
      <w:r>
        <w:rPr>
          <w:sz w:val="22"/>
          <w:szCs w:val="22"/>
        </w:rPr>
        <w:t xml:space="preserve">Questi documenti costituiscono il più dettagliato livello di analisi della vita aziendale, ed attraverso di essi è possibile risalire alla documentazione delle varie operazioni, come contratti con le controparti, ordini effettuati e ricevuti, documenti di entrata e uscita dal magazzino, etc.. L’annotazione degli estremi dei documenti nei libri contabili non aggiunge nulla, in sé, alla loro affidabilità e genuinità, ma ne consente il più facile reperimento, per le informazioni necessarie ai rapporti con le controparti private e gli uffici pubblici, compresi quelli tributari. rispetto alle sintesi del bilancio e della dichiarazione dei redditi. </w:t>
      </w:r>
    </w:p>
    <w:p w14:paraId="7606DA70" w14:textId="77777777" w:rsidR="002D619F" w:rsidRDefault="002D619F" w:rsidP="002D619F">
      <w:pPr>
        <w:pStyle w:val="tit23"/>
        <w:ind w:left="6464" w:right="-1361" w:firstLine="0"/>
        <w:jc w:val="left"/>
        <w:rPr>
          <w:bCs/>
          <w:i/>
          <w:iCs/>
          <w:color w:val="0000FF"/>
          <w:lang w:val="it-IT"/>
        </w:rPr>
      </w:pPr>
      <w:r>
        <w:rPr>
          <w:bCs/>
          <w:i/>
          <w:iCs/>
          <w:color w:val="0000FF"/>
          <w:lang w:val="it-IT"/>
        </w:rPr>
        <w:t xml:space="preserve">Sua libertà di forme e di </w:t>
      </w:r>
      <w:r>
        <w:rPr>
          <w:bCs/>
          <w:i/>
          <w:iCs/>
          <w:color w:val="0000FF"/>
          <w:lang w:val="it-IT"/>
        </w:rPr>
        <w:lastRenderedPageBreak/>
        <w:t>organizzazione</w:t>
      </w:r>
    </w:p>
    <w:p w14:paraId="0971483A" w14:textId="02B56B90" w:rsidR="002D619F" w:rsidRDefault="00910838" w:rsidP="00E84968">
      <w:pPr>
        <w:autoSpaceDE w:val="0"/>
        <w:autoSpaceDN w:val="0"/>
        <w:adjustRightInd w:val="0"/>
        <w:rPr>
          <w:sz w:val="22"/>
          <w:szCs w:val="22"/>
        </w:rPr>
      </w:pPr>
      <w:r>
        <w:rPr>
          <w:sz w:val="22"/>
          <w:szCs w:val="22"/>
        </w:rPr>
        <w:t>La</w:t>
      </w:r>
      <w:r w:rsidR="002D619F">
        <w:rPr>
          <w:sz w:val="22"/>
          <w:szCs w:val="22"/>
        </w:rPr>
        <w:t xml:space="preserve"> </w:t>
      </w:r>
      <w:r w:rsidR="002D619F" w:rsidRPr="004947E3">
        <w:t xml:space="preserve">registrazione non offre garanzie </w:t>
      </w:r>
      <w:r>
        <w:t>formali aggiuntive rispetto al documento</w:t>
      </w:r>
      <w:r w:rsidR="002D619F" w:rsidRPr="004947E3">
        <w:t xml:space="preserve">, in quanto i </w:t>
      </w:r>
      <w:r>
        <w:t>libri contabili</w:t>
      </w:r>
      <w:r w:rsidR="002D619F" w:rsidRPr="004947E3">
        <w:t xml:space="preserve"> sono tenuti su </w:t>
      </w:r>
      <w:r w:rsidR="002D619F" w:rsidRPr="004947E3">
        <w:rPr>
          <w:bCs/>
        </w:rPr>
        <w:t>carta libera</w:t>
      </w:r>
      <w:r w:rsidR="002D619F" w:rsidRPr="004E7B2D">
        <w:rPr>
          <w:sz w:val="22"/>
          <w:szCs w:val="22"/>
        </w:rPr>
        <w:t xml:space="preserve"> </w:t>
      </w:r>
      <w:r w:rsidR="002D619F">
        <w:rPr>
          <w:sz w:val="22"/>
          <w:szCs w:val="22"/>
        </w:rPr>
        <w:t>(</w:t>
      </w:r>
      <w:r w:rsidR="002D619F">
        <w:rPr>
          <w:rStyle w:val="Rimandonotaapidipagina"/>
          <w:sz w:val="22"/>
          <w:szCs w:val="22"/>
        </w:rPr>
        <w:footnoteReference w:id="1078"/>
      </w:r>
      <w:r>
        <w:rPr>
          <w:sz w:val="22"/>
          <w:szCs w:val="22"/>
        </w:rPr>
        <w:t xml:space="preserve">). Sono infatti </w:t>
      </w:r>
      <w:r w:rsidR="002D619F" w:rsidRPr="004947E3">
        <w:t>stati giustamente aboliti da alcuni anni i residui e anacronistici obblighi di vidimazione e bollatura iniziale, fino al 2001 previsti per alcune di esse</w:t>
      </w:r>
      <w:r>
        <w:t>; i</w:t>
      </w:r>
      <w:r w:rsidR="002D619F">
        <w:t>l lunghissimo mantenimento di questi formalismi anacronistici conferma la mancata comprensione della determinazione degli imponibili attraverso la sistematicità della documentazione gestionale delle aziende in quanto gruppi sociali (</w:t>
      </w:r>
      <w:r w:rsidR="002D619F" w:rsidRPr="004947E3">
        <w:t>par. 3.</w:t>
      </w:r>
      <w:r w:rsidR="002D619F">
        <w:t>3)</w:t>
      </w:r>
      <w:r w:rsidR="002D619F" w:rsidRPr="004947E3">
        <w:t>.</w:t>
      </w:r>
      <w:r w:rsidR="002D619F">
        <w:t xml:space="preserve"> </w:t>
      </w:r>
    </w:p>
    <w:p w14:paraId="61CB247E" w14:textId="74DCC07D" w:rsidR="00E84968" w:rsidRPr="007F7EBF" w:rsidRDefault="009679A9" w:rsidP="00E84968">
      <w:pPr>
        <w:pStyle w:val="tit23"/>
        <w:ind w:left="6464" w:right="-1361" w:firstLine="0"/>
        <w:jc w:val="left"/>
        <w:rPr>
          <w:bCs/>
          <w:i/>
          <w:iCs/>
          <w:color w:val="0000FF"/>
          <w:lang w:val="it-IT"/>
        </w:rPr>
      </w:pPr>
      <w:r>
        <w:rPr>
          <w:bCs/>
          <w:i/>
          <w:iCs/>
          <w:color w:val="0000FF"/>
          <w:lang w:val="it-IT"/>
        </w:rPr>
        <w:t>Libri c</w:t>
      </w:r>
      <w:r w:rsidR="00E84968">
        <w:rPr>
          <w:bCs/>
          <w:i/>
          <w:iCs/>
          <w:color w:val="0000FF"/>
          <w:lang w:val="it-IT"/>
        </w:rPr>
        <w:t>ontabili</w:t>
      </w:r>
      <w:r>
        <w:rPr>
          <w:bCs/>
          <w:i/>
          <w:iCs/>
          <w:color w:val="0000FF"/>
          <w:lang w:val="it-IT"/>
        </w:rPr>
        <w:t xml:space="preserve"> e </w:t>
      </w:r>
      <w:r w:rsidR="00E84968">
        <w:rPr>
          <w:bCs/>
          <w:i/>
          <w:iCs/>
          <w:color w:val="0000FF"/>
          <w:lang w:val="it-IT"/>
        </w:rPr>
        <w:t xml:space="preserve"> partita doppia</w:t>
      </w:r>
    </w:p>
    <w:p w14:paraId="003E9349" w14:textId="77777777" w:rsidR="0072170F" w:rsidRDefault="00E84968" w:rsidP="00E84968">
      <w:pPr>
        <w:autoSpaceDE w:val="0"/>
        <w:autoSpaceDN w:val="0"/>
        <w:adjustRightInd w:val="0"/>
        <w:rPr>
          <w:sz w:val="22"/>
          <w:szCs w:val="22"/>
        </w:rPr>
      </w:pPr>
      <w:r>
        <w:rPr>
          <w:sz w:val="22"/>
          <w:szCs w:val="22"/>
        </w:rPr>
        <w:t xml:space="preserve">La </w:t>
      </w:r>
      <w:r w:rsidR="00910838">
        <w:rPr>
          <w:sz w:val="22"/>
          <w:szCs w:val="22"/>
        </w:rPr>
        <w:t xml:space="preserve">registrazione contabile avviene ordinariamente </w:t>
      </w:r>
      <w:r w:rsidR="009679A9">
        <w:rPr>
          <w:sz w:val="22"/>
          <w:szCs w:val="22"/>
        </w:rPr>
        <w:t xml:space="preserve"> i</w:t>
      </w:r>
      <w:r>
        <w:rPr>
          <w:sz w:val="22"/>
          <w:szCs w:val="22"/>
        </w:rPr>
        <w:t xml:space="preserve">n “partita doppia”, </w:t>
      </w:r>
      <w:r w:rsidR="009679A9">
        <w:rPr>
          <w:sz w:val="22"/>
          <w:szCs w:val="22"/>
        </w:rPr>
        <w:t>cioè riflettendo gli aspetti economici e quelli finanziari, o i due aspetti finanziari di segno opposto, dell’operazione registrata. Ogni libro contabile si distingue p</w:t>
      </w:r>
      <w:r w:rsidR="00071899">
        <w:rPr>
          <w:sz w:val="22"/>
          <w:szCs w:val="22"/>
        </w:rPr>
        <w:t xml:space="preserve">er natura e funzione, </w:t>
      </w:r>
      <w:r w:rsidR="00071899" w:rsidRPr="007F7EBF">
        <w:rPr>
          <w:sz w:val="22"/>
          <w:szCs w:val="22"/>
        </w:rPr>
        <w:t xml:space="preserve">ricavo, costo, debito, credito, </w:t>
      </w:r>
      <w:r w:rsidR="00071899">
        <w:rPr>
          <w:sz w:val="22"/>
          <w:szCs w:val="22"/>
        </w:rPr>
        <w:t xml:space="preserve">cassa, cespiti, capitale sociale, riserve, </w:t>
      </w:r>
      <w:r w:rsidR="00071899" w:rsidRPr="007F7EBF">
        <w:rPr>
          <w:sz w:val="22"/>
          <w:szCs w:val="22"/>
        </w:rPr>
        <w:t>etc</w:t>
      </w:r>
      <w:r w:rsidR="00071899">
        <w:rPr>
          <w:sz w:val="22"/>
          <w:szCs w:val="22"/>
        </w:rPr>
        <w:t xml:space="preserve">. </w:t>
      </w:r>
      <w:r>
        <w:rPr>
          <w:sz w:val="22"/>
          <w:szCs w:val="22"/>
        </w:rPr>
        <w:t>come indicato al par.3.3</w:t>
      </w:r>
      <w:r w:rsidR="00071899">
        <w:rPr>
          <w:sz w:val="22"/>
          <w:szCs w:val="22"/>
        </w:rPr>
        <w:t xml:space="preserve">. </w:t>
      </w:r>
      <w:r w:rsidR="009679A9">
        <w:rPr>
          <w:sz w:val="22"/>
          <w:szCs w:val="22"/>
        </w:rPr>
        <w:t xml:space="preserve">Anticamente, quando i conti erano </w:t>
      </w:r>
      <w:r>
        <w:rPr>
          <w:sz w:val="22"/>
          <w:szCs w:val="22"/>
        </w:rPr>
        <w:t>tenut</w:t>
      </w:r>
      <w:r w:rsidR="009679A9">
        <w:rPr>
          <w:sz w:val="22"/>
          <w:szCs w:val="22"/>
        </w:rPr>
        <w:t>i</w:t>
      </w:r>
      <w:r>
        <w:rPr>
          <w:sz w:val="22"/>
          <w:szCs w:val="22"/>
        </w:rPr>
        <w:t xml:space="preserve"> </w:t>
      </w:r>
      <w:r w:rsidR="009679A9">
        <w:rPr>
          <w:sz w:val="22"/>
          <w:szCs w:val="22"/>
        </w:rPr>
        <w:t>“</w:t>
      </w:r>
      <w:r>
        <w:rPr>
          <w:sz w:val="22"/>
          <w:szCs w:val="22"/>
        </w:rPr>
        <w:t>a mano</w:t>
      </w:r>
      <w:r w:rsidR="009679A9">
        <w:rPr>
          <w:sz w:val="22"/>
          <w:szCs w:val="22"/>
        </w:rPr>
        <w:t>”</w:t>
      </w:r>
      <w:r>
        <w:rPr>
          <w:sz w:val="22"/>
          <w:szCs w:val="22"/>
        </w:rPr>
        <w:t xml:space="preserve">, </w:t>
      </w:r>
      <w:r w:rsidR="009679A9">
        <w:rPr>
          <w:sz w:val="22"/>
          <w:szCs w:val="22"/>
        </w:rPr>
        <w:t xml:space="preserve">la partita doppia era anche uno strumento di controllo contro l’esistenza di errori numerici; </w:t>
      </w:r>
      <w:r>
        <w:rPr>
          <w:sz w:val="22"/>
          <w:szCs w:val="22"/>
        </w:rPr>
        <w:t>oggi la contabilità elettronica non sbaglia certo le somme</w:t>
      </w:r>
      <w:r w:rsidR="009679A9">
        <w:rPr>
          <w:sz w:val="22"/>
          <w:szCs w:val="22"/>
        </w:rPr>
        <w:t>, e la partita doppia serve solo a cogliere due prospettive della stessa operazione; vedremo al par.7.13 le convenzioni con cui si privilegiano gli aspetti patrimoniali, o quelli economici, di alcuni acquisti con utilità intrinseca, ad esempio materie prime o impianti (</w:t>
      </w:r>
      <w:r w:rsidR="009679A9">
        <w:rPr>
          <w:rStyle w:val="Rimandonotaapidipagina"/>
          <w:sz w:val="22"/>
          <w:szCs w:val="22"/>
        </w:rPr>
        <w:footnoteReference w:id="1079"/>
      </w:r>
      <w:r w:rsidR="009679A9">
        <w:rPr>
          <w:sz w:val="22"/>
          <w:szCs w:val="22"/>
        </w:rPr>
        <w:t xml:space="preserve">). </w:t>
      </w:r>
    </w:p>
    <w:p w14:paraId="4943D60E" w14:textId="4FD29EAD" w:rsidR="00E84968" w:rsidRDefault="00E84968" w:rsidP="00E84968">
      <w:pPr>
        <w:autoSpaceDE w:val="0"/>
        <w:autoSpaceDN w:val="0"/>
        <w:adjustRightInd w:val="0"/>
        <w:rPr>
          <w:sz w:val="22"/>
          <w:szCs w:val="22"/>
        </w:rPr>
      </w:pPr>
      <w:r>
        <w:rPr>
          <w:sz w:val="22"/>
          <w:szCs w:val="22"/>
        </w:rPr>
        <w:t xml:space="preserve">Oggi </w:t>
      </w:r>
      <w:r w:rsidR="0072170F">
        <w:rPr>
          <w:sz w:val="22"/>
          <w:szCs w:val="22"/>
        </w:rPr>
        <w:t>gli addetti amministrativi dell’azienda</w:t>
      </w:r>
      <w:r>
        <w:rPr>
          <w:sz w:val="22"/>
          <w:szCs w:val="22"/>
        </w:rPr>
        <w:t xml:space="preserve"> non servono più </w:t>
      </w:r>
      <w:r w:rsidRPr="007F7EBF">
        <w:rPr>
          <w:sz w:val="22"/>
          <w:szCs w:val="22"/>
        </w:rPr>
        <w:t>a "fare i conti"</w:t>
      </w:r>
      <w:r>
        <w:rPr>
          <w:sz w:val="22"/>
          <w:szCs w:val="22"/>
        </w:rPr>
        <w:t>, ma ad occuparsi della acquisizione-emissione dei documenti, della loro</w:t>
      </w:r>
      <w:r w:rsidRPr="007F7EBF">
        <w:rPr>
          <w:sz w:val="22"/>
          <w:szCs w:val="22"/>
        </w:rPr>
        <w:t xml:space="preserve"> classificazione</w:t>
      </w:r>
      <w:r>
        <w:rPr>
          <w:sz w:val="22"/>
          <w:szCs w:val="22"/>
        </w:rPr>
        <w:t xml:space="preserve">, </w:t>
      </w:r>
      <w:r w:rsidRPr="007F7EBF">
        <w:rPr>
          <w:sz w:val="22"/>
          <w:szCs w:val="22"/>
        </w:rPr>
        <w:t>raggruppamento</w:t>
      </w:r>
      <w:r>
        <w:rPr>
          <w:sz w:val="22"/>
          <w:szCs w:val="22"/>
        </w:rPr>
        <w:t xml:space="preserve"> e conservazione-archiviazione; </w:t>
      </w:r>
    </w:p>
    <w:p w14:paraId="4A77C096" w14:textId="77E89A96" w:rsidR="00E84968" w:rsidRPr="007F7EBF" w:rsidRDefault="00E84968" w:rsidP="00E84968">
      <w:pPr>
        <w:autoSpaceDE w:val="0"/>
        <w:autoSpaceDN w:val="0"/>
        <w:adjustRightInd w:val="0"/>
        <w:rPr>
          <w:bCs/>
          <w:i/>
          <w:iCs/>
          <w:color w:val="0000FF"/>
        </w:rPr>
      </w:pPr>
      <w:r>
        <w:rPr>
          <w:sz w:val="22"/>
          <w:szCs w:val="22"/>
        </w:rPr>
        <w:t xml:space="preserve">Non è un lavoro entusiasmante, come indicato al par.3.2, ma qualcuno lo deve pur fare, prima di tutto per le esigenze gestionali delle </w:t>
      </w:r>
      <w:r>
        <w:rPr>
          <w:sz w:val="22"/>
          <w:szCs w:val="22"/>
        </w:rPr>
        <w:lastRenderedPageBreak/>
        <w:t xml:space="preserve">organizzazioni pluripersonali, cui segue la riutilizzazione dei documenti per determinare gli imponibili fiscali.  </w:t>
      </w:r>
      <w:r w:rsidRPr="007F7EBF">
        <w:rPr>
          <w:sz w:val="22"/>
          <w:szCs w:val="22"/>
        </w:rPr>
        <w:t xml:space="preserve"> </w:t>
      </w:r>
      <w:r w:rsidR="0072170F">
        <w:rPr>
          <w:sz w:val="22"/>
          <w:szCs w:val="22"/>
        </w:rPr>
        <w:t xml:space="preserve">Seguono gli obblighi fiscali, come quello di </w:t>
      </w:r>
      <w:r w:rsidR="0072170F">
        <w:rPr>
          <w:bCs/>
          <w:sz w:val="22"/>
          <w:szCs w:val="22"/>
        </w:rPr>
        <w:t>conservare tutta la documentazione, anche facoltativa, posta</w:t>
      </w:r>
      <w:r w:rsidR="0072170F">
        <w:rPr>
          <w:sz w:val="22"/>
          <w:szCs w:val="22"/>
        </w:rPr>
        <w:t xml:space="preserve"> in essere, fino al termine per l’accertamento della relativa annualità d’imposta (</w:t>
      </w:r>
      <w:r w:rsidR="0072170F">
        <w:rPr>
          <w:rStyle w:val="Rimandonotaapidipagina"/>
          <w:bCs/>
          <w:sz w:val="22"/>
          <w:szCs w:val="22"/>
        </w:rPr>
        <w:footnoteReference w:id="1080"/>
      </w:r>
      <w:r w:rsidR="0072170F">
        <w:rPr>
          <w:sz w:val="22"/>
          <w:szCs w:val="22"/>
        </w:rPr>
        <w:t>).</w:t>
      </w:r>
    </w:p>
    <w:p w14:paraId="4292D3B5" w14:textId="73E75343" w:rsidR="005129C8" w:rsidRDefault="00E84968" w:rsidP="002D619F">
      <w:pPr>
        <w:autoSpaceDE w:val="0"/>
        <w:autoSpaceDN w:val="0"/>
        <w:adjustRightInd w:val="0"/>
      </w:pPr>
      <w:r>
        <w:rPr>
          <w:sz w:val="22"/>
          <w:szCs w:val="22"/>
        </w:rPr>
        <w:t xml:space="preserve">A questi conti si </w:t>
      </w:r>
      <w:r w:rsidRPr="007F7EBF">
        <w:rPr>
          <w:sz w:val="22"/>
          <w:szCs w:val="22"/>
        </w:rPr>
        <w:t>aggiung</w:t>
      </w:r>
      <w:r w:rsidR="0072170F">
        <w:rPr>
          <w:sz w:val="22"/>
          <w:szCs w:val="22"/>
        </w:rPr>
        <w:t>ono i</w:t>
      </w:r>
      <w:r w:rsidRPr="007F7EBF">
        <w:rPr>
          <w:sz w:val="22"/>
          <w:szCs w:val="22"/>
        </w:rPr>
        <w:t xml:space="preserve"> registri IVA </w:t>
      </w:r>
      <w:r>
        <w:rPr>
          <w:sz w:val="22"/>
          <w:szCs w:val="22"/>
        </w:rPr>
        <w:t>e l</w:t>
      </w:r>
      <w:r w:rsidRPr="007F7EBF">
        <w:rPr>
          <w:sz w:val="22"/>
          <w:szCs w:val="22"/>
        </w:rPr>
        <w:t xml:space="preserve">e scritture </w:t>
      </w:r>
      <w:r w:rsidR="0072170F">
        <w:rPr>
          <w:sz w:val="22"/>
          <w:szCs w:val="22"/>
        </w:rPr>
        <w:t xml:space="preserve">di magazzino (par.7.16), nonché le scritture </w:t>
      </w:r>
      <w:r w:rsidRPr="007F7EBF">
        <w:rPr>
          <w:sz w:val="22"/>
          <w:szCs w:val="22"/>
        </w:rPr>
        <w:t>previste dal codice civile, comunque operativamente secondarie</w:t>
      </w:r>
      <w:r>
        <w:rPr>
          <w:sz w:val="22"/>
          <w:szCs w:val="22"/>
        </w:rPr>
        <w:t>, come i</w:t>
      </w:r>
      <w:r w:rsidRPr="007F7EBF">
        <w:t>l libro giornale</w:t>
      </w:r>
      <w:r w:rsidR="005129C8">
        <w:t xml:space="preserve">, scrittura da sempre </w:t>
      </w:r>
      <w:r w:rsidR="005129C8" w:rsidRPr="007F7EBF">
        <w:rPr>
          <w:bCs/>
        </w:rPr>
        <w:t xml:space="preserve"> inutile</w:t>
      </w:r>
      <w:r w:rsidR="005129C8">
        <w:rPr>
          <w:bCs/>
        </w:rPr>
        <w:t xml:space="preserve"> </w:t>
      </w:r>
      <w:r w:rsidR="005129C8">
        <w:t>per l’</w:t>
      </w:r>
      <w:r w:rsidR="005129C8" w:rsidRPr="007F7EBF">
        <w:t>ordinaria pratica aziendale</w:t>
      </w:r>
      <w:r w:rsidR="005129C8">
        <w:t xml:space="preserve">. Esso era però soggetto a formalità velleitariamente dirette a prevenire alterazioni, ma del tutto scoordinate, inidonee da sempre a raggiungere l’obiettivo, e quindi giustamente abolite nel 2001. A questo punto si potrebbe abolire anche il libro giornale, privo ormai di ogni senso.  </w:t>
      </w:r>
    </w:p>
    <w:p w14:paraId="44F65C4E" w14:textId="695A48E1" w:rsidR="002D0042" w:rsidRDefault="005129C8" w:rsidP="002D0042">
      <w:pPr>
        <w:autoSpaceDE w:val="0"/>
        <w:autoSpaceDN w:val="0"/>
        <w:adjustRightInd w:val="0"/>
        <w:rPr>
          <w:sz w:val="22"/>
          <w:szCs w:val="22"/>
        </w:rPr>
      </w:pPr>
      <w:r>
        <w:t>Anche i</w:t>
      </w:r>
      <w:r w:rsidRPr="007F7EBF">
        <w:t xml:space="preserve">l </w:t>
      </w:r>
      <w:r>
        <w:t>libro degli inventari è addirittura incomprensibile, prima di tutto come senso, visto che duplica la contabilità generale.</w:t>
      </w:r>
      <w:r w:rsidR="00C164C0">
        <w:t xml:space="preserve"> </w:t>
      </w:r>
      <w:r w:rsidRPr="007F7EBF">
        <w:t xml:space="preserve">Eppure </w:t>
      </w:r>
      <w:r>
        <w:t>nelle</w:t>
      </w:r>
      <w:r w:rsidRPr="007F7EBF">
        <w:t xml:space="preserve"> aziend</w:t>
      </w:r>
      <w:r>
        <w:t xml:space="preserve">e </w:t>
      </w:r>
      <w:r w:rsidR="00C164C0">
        <w:t xml:space="preserve">questi inutili registri vengono tenuti, senza chiedersene la ragione, per </w:t>
      </w:r>
      <w:r w:rsidRPr="007F7EBF">
        <w:t>la burocratica tendenza ad "essere a posto</w:t>
      </w:r>
      <w:r w:rsidR="00C164C0">
        <w:t>”</w:t>
      </w:r>
      <w:r w:rsidRPr="007F7EBF">
        <w:t>.</w:t>
      </w:r>
      <w:r w:rsidR="00E84968">
        <w:rPr>
          <w:sz w:val="22"/>
          <w:szCs w:val="22"/>
        </w:rPr>
        <w:t xml:space="preserve"> </w:t>
      </w:r>
    </w:p>
    <w:p w14:paraId="65DA3EEC" w14:textId="0DC71BA6" w:rsidR="002D0042" w:rsidRDefault="00C164C0" w:rsidP="002D0042">
      <w:pPr>
        <w:autoSpaceDE w:val="0"/>
        <w:autoSpaceDN w:val="0"/>
        <w:adjustRightInd w:val="0"/>
        <w:rPr>
          <w:sz w:val="22"/>
          <w:szCs w:val="22"/>
        </w:rPr>
      </w:pPr>
      <w:r>
        <w:rPr>
          <w:sz w:val="22"/>
          <w:szCs w:val="22"/>
        </w:rPr>
        <w:t xml:space="preserve">La garanzia per il fisco, rispetto all’informalità di molti documenti, è data dalla molteplicità dei riscontri di ciascuna operazione, accompagnata sia da </w:t>
      </w:r>
      <w:r w:rsidR="002D0042">
        <w:rPr>
          <w:sz w:val="22"/>
          <w:szCs w:val="22"/>
        </w:rPr>
        <w:t xml:space="preserve">entrate e uscite bancarie, </w:t>
      </w:r>
      <w:r>
        <w:rPr>
          <w:sz w:val="22"/>
          <w:szCs w:val="22"/>
        </w:rPr>
        <w:t xml:space="preserve">sia da segnalazioni delle controparti (il c.d. spesometro di cui al par.3.6), il carico e lo scarico dal </w:t>
      </w:r>
      <w:r w:rsidR="002D0042">
        <w:rPr>
          <w:sz w:val="22"/>
          <w:szCs w:val="22"/>
        </w:rPr>
        <w:t xml:space="preserve"> magazzino (par.7.16), </w:t>
      </w:r>
      <w:r>
        <w:rPr>
          <w:sz w:val="22"/>
          <w:szCs w:val="22"/>
        </w:rPr>
        <w:t>i</w:t>
      </w:r>
      <w:r w:rsidR="002D0042">
        <w:rPr>
          <w:sz w:val="22"/>
          <w:szCs w:val="22"/>
        </w:rPr>
        <w:t xml:space="preserve"> versamenti mensili all’erario e agli enti previdenziali (par.3.4), </w:t>
      </w:r>
      <w:r>
        <w:rPr>
          <w:sz w:val="22"/>
          <w:szCs w:val="22"/>
        </w:rPr>
        <w:t xml:space="preserve">la </w:t>
      </w:r>
      <w:r w:rsidR="002D0042">
        <w:rPr>
          <w:sz w:val="22"/>
          <w:szCs w:val="22"/>
        </w:rPr>
        <w:t>visibilità “fisica” di attrezzature e merci e conseguente richiesta di riscontri contabili</w:t>
      </w:r>
      <w:r>
        <w:rPr>
          <w:sz w:val="22"/>
          <w:szCs w:val="22"/>
        </w:rPr>
        <w:t xml:space="preserve">. </w:t>
      </w:r>
      <w:r w:rsidR="002D0042">
        <w:rPr>
          <w:bCs/>
          <w:sz w:val="22"/>
          <w:szCs w:val="22"/>
        </w:rPr>
        <w:t xml:space="preserve"> </w:t>
      </w:r>
    </w:p>
    <w:p w14:paraId="6D6152C1" w14:textId="00ACDE19" w:rsidR="00E84968" w:rsidRPr="00DA180E" w:rsidRDefault="00E84968" w:rsidP="002D619F">
      <w:pPr>
        <w:autoSpaceDE w:val="0"/>
        <w:autoSpaceDN w:val="0"/>
        <w:adjustRightInd w:val="0"/>
        <w:rPr>
          <w:bCs/>
          <w:i/>
          <w:iCs/>
          <w:color w:val="0000FF"/>
        </w:rPr>
      </w:pPr>
    </w:p>
    <w:p w14:paraId="1B097635" w14:textId="7E3424CA" w:rsidR="00FB41B1" w:rsidRPr="007F7EBF" w:rsidRDefault="00630788" w:rsidP="00FB41B1">
      <w:pPr>
        <w:pStyle w:val="tit23"/>
        <w:ind w:left="6464" w:right="-1361" w:firstLine="0"/>
        <w:jc w:val="left"/>
        <w:rPr>
          <w:bCs/>
          <w:i/>
          <w:iCs/>
          <w:color w:val="0000FF"/>
          <w:lang w:val="it-IT"/>
        </w:rPr>
      </w:pPr>
      <w:r>
        <w:rPr>
          <w:bCs/>
          <w:i/>
          <w:iCs/>
          <w:color w:val="0000FF"/>
          <w:lang w:val="it-IT"/>
        </w:rPr>
        <w:t>Esoneri e semplificazioni per piccoli operatori</w:t>
      </w:r>
    </w:p>
    <w:p w14:paraId="0DD41E52" w14:textId="48A67DCE" w:rsidR="00871A0E" w:rsidRDefault="00871A0E" w:rsidP="003A66FE">
      <w:pPr>
        <w:autoSpaceDE w:val="0"/>
        <w:autoSpaceDN w:val="0"/>
        <w:adjustRightInd w:val="0"/>
        <w:rPr>
          <w:sz w:val="22"/>
          <w:szCs w:val="22"/>
        </w:rPr>
      </w:pPr>
      <w:r w:rsidRPr="00871A0E">
        <w:rPr>
          <w:sz w:val="22"/>
          <w:szCs w:val="22"/>
        </w:rPr>
        <w:t xml:space="preserve">Quando i documenti sono pochi, la determinazione degli imponibili in base ad essi è agevole anche senza </w:t>
      </w:r>
      <w:r w:rsidR="0072170F" w:rsidRPr="00871A0E">
        <w:rPr>
          <w:sz w:val="22"/>
          <w:szCs w:val="22"/>
        </w:rPr>
        <w:t>registra</w:t>
      </w:r>
      <w:r w:rsidRPr="00871A0E">
        <w:rPr>
          <w:sz w:val="22"/>
          <w:szCs w:val="22"/>
        </w:rPr>
        <w:t xml:space="preserve">rli </w:t>
      </w:r>
      <w:r w:rsidR="0072170F" w:rsidRPr="00871A0E">
        <w:rPr>
          <w:sz w:val="22"/>
          <w:szCs w:val="22"/>
        </w:rPr>
        <w:t>sui libri contabili</w:t>
      </w:r>
      <w:r>
        <w:rPr>
          <w:sz w:val="22"/>
          <w:szCs w:val="22"/>
        </w:rPr>
        <w:t xml:space="preserve">. </w:t>
      </w:r>
      <w:r w:rsidR="0072170F">
        <w:rPr>
          <w:sz w:val="22"/>
          <w:szCs w:val="22"/>
        </w:rPr>
        <w:t>P</w:t>
      </w:r>
      <w:r w:rsidR="0041606A">
        <w:rPr>
          <w:sz w:val="22"/>
          <w:szCs w:val="22"/>
        </w:rPr>
        <w:t xml:space="preserve">er </w:t>
      </w:r>
      <w:r>
        <w:rPr>
          <w:sz w:val="22"/>
          <w:szCs w:val="22"/>
        </w:rPr>
        <w:t xml:space="preserve">questo a piccoli commercianti e artigiani di piccole dimensioni sono stati concessi esoneri dalla registrazione contabile dei documenti. Sui </w:t>
      </w:r>
      <w:r>
        <w:rPr>
          <w:sz w:val="22"/>
          <w:szCs w:val="22"/>
        </w:rPr>
        <w:lastRenderedPageBreak/>
        <w:t xml:space="preserve">mutevoli tecnicismi di questi regimi non è il caso di soffermarci in un volume </w:t>
      </w:r>
      <w:r w:rsidR="00F75C68">
        <w:rPr>
          <w:sz w:val="22"/>
          <w:szCs w:val="22"/>
        </w:rPr>
        <w:t xml:space="preserve">di studio </w:t>
      </w:r>
      <w:r>
        <w:rPr>
          <w:sz w:val="22"/>
          <w:szCs w:val="22"/>
        </w:rPr>
        <w:t>sociale</w:t>
      </w:r>
      <w:r w:rsidR="00F75C68">
        <w:rPr>
          <w:sz w:val="22"/>
          <w:szCs w:val="22"/>
        </w:rPr>
        <w:t xml:space="preserve"> sia pure giuridico; esso</w:t>
      </w:r>
      <w:r>
        <w:rPr>
          <w:sz w:val="22"/>
          <w:szCs w:val="22"/>
        </w:rPr>
        <w:t xml:space="preserve"> deve individuarne solo il punto comune, cioè la </w:t>
      </w:r>
      <w:r w:rsidR="0041606A">
        <w:rPr>
          <w:sz w:val="22"/>
          <w:szCs w:val="22"/>
        </w:rPr>
        <w:t>determinazione documentale degli impo</w:t>
      </w:r>
      <w:r w:rsidR="00A34578" w:rsidRPr="007F7EBF">
        <w:rPr>
          <w:sz w:val="22"/>
          <w:szCs w:val="22"/>
        </w:rPr>
        <w:t>nibili</w:t>
      </w:r>
      <w:r w:rsidR="0041606A">
        <w:rPr>
          <w:sz w:val="22"/>
          <w:szCs w:val="22"/>
        </w:rPr>
        <w:t xml:space="preserve"> </w:t>
      </w:r>
      <w:r w:rsidR="00A34578" w:rsidRPr="007F7EBF">
        <w:rPr>
          <w:sz w:val="22"/>
          <w:szCs w:val="22"/>
        </w:rPr>
        <w:t xml:space="preserve"> </w:t>
      </w:r>
      <w:r w:rsidR="0041606A">
        <w:rPr>
          <w:sz w:val="22"/>
          <w:szCs w:val="22"/>
        </w:rPr>
        <w:t>passando direttamente dai documenti alle dichiarazioni fiscali di cui al par.3.4</w:t>
      </w:r>
      <w:r>
        <w:rPr>
          <w:sz w:val="22"/>
          <w:szCs w:val="22"/>
        </w:rPr>
        <w:t xml:space="preserve"> (</w:t>
      </w:r>
      <w:r>
        <w:rPr>
          <w:rStyle w:val="Rimandonotaapidipagina"/>
          <w:sz w:val="22"/>
          <w:szCs w:val="22"/>
        </w:rPr>
        <w:footnoteReference w:id="1081"/>
      </w:r>
      <w:r>
        <w:rPr>
          <w:sz w:val="22"/>
          <w:szCs w:val="22"/>
        </w:rPr>
        <w:t>)</w:t>
      </w:r>
      <w:r w:rsidR="0041606A">
        <w:rPr>
          <w:sz w:val="22"/>
          <w:szCs w:val="22"/>
        </w:rPr>
        <w:t xml:space="preserve">; </w:t>
      </w:r>
      <w:r>
        <w:rPr>
          <w:sz w:val="22"/>
          <w:szCs w:val="22"/>
        </w:rPr>
        <w:t>su queste agevolazioni si inseriscono anche le determinazioni forfettarie del reddito, soggetto a imposta sostitutiva (c.f. “</w:t>
      </w:r>
      <w:proofErr w:type="spellStart"/>
      <w:r>
        <w:rPr>
          <w:sz w:val="22"/>
          <w:szCs w:val="22"/>
        </w:rPr>
        <w:t>flat</w:t>
      </w:r>
      <w:proofErr w:type="spellEnd"/>
      <w:r>
        <w:rPr>
          <w:sz w:val="22"/>
          <w:szCs w:val="22"/>
        </w:rPr>
        <w:t xml:space="preserve"> tax degli autonomi, messi anche fuori campo IVA) fino a 65 mila euro di operazioni attive</w:t>
      </w:r>
      <w:r w:rsidR="0041606A">
        <w:rPr>
          <w:sz w:val="22"/>
          <w:szCs w:val="22"/>
        </w:rPr>
        <w:t>.</w:t>
      </w:r>
      <w:r w:rsidR="00630788">
        <w:rPr>
          <w:sz w:val="22"/>
          <w:szCs w:val="22"/>
        </w:rPr>
        <w:t xml:space="preserve"> </w:t>
      </w:r>
    </w:p>
    <w:p w14:paraId="1FC36EB2" w14:textId="7D2353E8" w:rsidR="003A66FE" w:rsidRDefault="00630788" w:rsidP="003A66FE">
      <w:pPr>
        <w:autoSpaceDE w:val="0"/>
        <w:autoSpaceDN w:val="0"/>
        <w:adjustRightInd w:val="0"/>
      </w:pPr>
      <w:r>
        <w:rPr>
          <w:sz w:val="22"/>
          <w:szCs w:val="22"/>
        </w:rPr>
        <w:t>Inoltre, a</w:t>
      </w:r>
      <w:r w:rsidRPr="007F7EBF">
        <w:rPr>
          <w:sz w:val="22"/>
          <w:szCs w:val="22"/>
        </w:rPr>
        <w:t xml:space="preserve">lle imprese </w:t>
      </w:r>
      <w:r>
        <w:rPr>
          <w:sz w:val="22"/>
          <w:szCs w:val="22"/>
        </w:rPr>
        <w:t xml:space="preserve">individuali di dimensioni un po' superiori </w:t>
      </w:r>
      <w:r w:rsidR="00871A0E">
        <w:rPr>
          <w:sz w:val="22"/>
          <w:szCs w:val="22"/>
        </w:rPr>
        <w:t>(</w:t>
      </w:r>
      <w:r w:rsidRPr="007F7EBF">
        <w:rPr>
          <w:rStyle w:val="Rimandonotaapidipagina"/>
          <w:sz w:val="22"/>
          <w:szCs w:val="22"/>
        </w:rPr>
        <w:footnoteReference w:id="1082"/>
      </w:r>
      <w:r w:rsidR="00871A0E">
        <w:rPr>
          <w:sz w:val="22"/>
          <w:szCs w:val="22"/>
        </w:rPr>
        <w:t xml:space="preserve">) </w:t>
      </w:r>
      <w:r>
        <w:rPr>
          <w:sz w:val="22"/>
          <w:szCs w:val="22"/>
        </w:rPr>
        <w:t>e ai professionisti</w:t>
      </w:r>
      <w:r w:rsidRPr="007F7EBF">
        <w:rPr>
          <w:sz w:val="22"/>
          <w:szCs w:val="22"/>
        </w:rPr>
        <w:t xml:space="preserve"> è concesso di usare come libri contabili, anche ai fini delle imposte sui redditi  i registri IVA, integrandoli con </w:t>
      </w:r>
      <w:r w:rsidRPr="007F7EBF">
        <w:rPr>
          <w:bCs/>
          <w:sz w:val="22"/>
          <w:szCs w:val="22"/>
        </w:rPr>
        <w:t>le entrate e le spese non soggette a IVA (</w:t>
      </w:r>
      <w:r w:rsidRPr="007F7EBF">
        <w:rPr>
          <w:rStyle w:val="Rimandonotaapidipagina"/>
          <w:bCs/>
          <w:sz w:val="22"/>
          <w:szCs w:val="22"/>
        </w:rPr>
        <w:footnoteReference w:id="1083"/>
      </w:r>
      <w:r w:rsidRPr="007F7EBF">
        <w:rPr>
          <w:bCs/>
          <w:sz w:val="22"/>
          <w:szCs w:val="22"/>
        </w:rPr>
        <w:t>)</w:t>
      </w:r>
      <w:r>
        <w:rPr>
          <w:bCs/>
          <w:sz w:val="22"/>
          <w:szCs w:val="22"/>
        </w:rPr>
        <w:t xml:space="preserve">, con la </w:t>
      </w:r>
      <w:r w:rsidRPr="007F7EBF">
        <w:rPr>
          <w:bCs/>
          <w:sz w:val="22"/>
          <w:szCs w:val="22"/>
        </w:rPr>
        <w:t>c.d.</w:t>
      </w:r>
      <w:r w:rsidRPr="007F7EBF">
        <w:rPr>
          <w:sz w:val="22"/>
          <w:szCs w:val="22"/>
        </w:rPr>
        <w:t xml:space="preserve"> contabilità semplificata</w:t>
      </w:r>
      <w:r>
        <w:rPr>
          <w:sz w:val="22"/>
          <w:szCs w:val="22"/>
        </w:rPr>
        <w:t xml:space="preserve">. </w:t>
      </w:r>
      <w:r w:rsidR="0072170F">
        <w:rPr>
          <w:sz w:val="22"/>
          <w:szCs w:val="22"/>
        </w:rPr>
        <w:t>Il suo punto debole è di</w:t>
      </w:r>
      <w:r w:rsidRPr="007F7EBF">
        <w:rPr>
          <w:sz w:val="22"/>
          <w:szCs w:val="22"/>
        </w:rPr>
        <w:t xml:space="preserve"> non rileva</w:t>
      </w:r>
      <w:r w:rsidR="0072170F">
        <w:rPr>
          <w:sz w:val="22"/>
          <w:szCs w:val="22"/>
        </w:rPr>
        <w:t>re</w:t>
      </w:r>
      <w:r>
        <w:rPr>
          <w:sz w:val="22"/>
          <w:szCs w:val="22"/>
        </w:rPr>
        <w:t xml:space="preserve"> </w:t>
      </w:r>
      <w:r w:rsidRPr="007F7EBF">
        <w:rPr>
          <w:sz w:val="22"/>
          <w:szCs w:val="22"/>
        </w:rPr>
        <w:t xml:space="preserve">gli </w:t>
      </w:r>
      <w:r w:rsidRPr="007F7EBF">
        <w:rPr>
          <w:bCs/>
          <w:sz w:val="22"/>
          <w:szCs w:val="22"/>
        </w:rPr>
        <w:t xml:space="preserve">aspetti patrimoniali </w:t>
      </w:r>
      <w:r w:rsidRPr="007F7EBF">
        <w:rPr>
          <w:sz w:val="22"/>
          <w:szCs w:val="22"/>
        </w:rPr>
        <w:t xml:space="preserve">dell’attività, cioè </w:t>
      </w:r>
      <w:r w:rsidR="0072170F">
        <w:rPr>
          <w:sz w:val="22"/>
          <w:szCs w:val="22"/>
        </w:rPr>
        <w:t xml:space="preserve">impianti, </w:t>
      </w:r>
      <w:r w:rsidRPr="007F7EBF">
        <w:rPr>
          <w:sz w:val="22"/>
          <w:szCs w:val="22"/>
        </w:rPr>
        <w:t xml:space="preserve">crediti, </w:t>
      </w:r>
      <w:r w:rsidR="0072170F">
        <w:rPr>
          <w:sz w:val="22"/>
          <w:szCs w:val="22"/>
        </w:rPr>
        <w:t xml:space="preserve">debiti, patrimonio </w:t>
      </w:r>
      <w:r w:rsidRPr="007F7EBF">
        <w:rPr>
          <w:sz w:val="22"/>
          <w:szCs w:val="22"/>
        </w:rPr>
        <w:t>netto, i fondi di ammortamento</w:t>
      </w:r>
      <w:r>
        <w:rPr>
          <w:sz w:val="22"/>
          <w:szCs w:val="22"/>
        </w:rPr>
        <w:t>, prelievi dell’imprenditore,</w:t>
      </w:r>
      <w:r w:rsidRPr="007F7EBF">
        <w:rPr>
          <w:sz w:val="22"/>
          <w:szCs w:val="22"/>
        </w:rPr>
        <w:t xml:space="preserve"> etc.. </w:t>
      </w:r>
    </w:p>
    <w:p w14:paraId="1ECE0C25" w14:textId="2EEB0090" w:rsidR="003A66FE" w:rsidRPr="0026278D" w:rsidRDefault="003A66FE" w:rsidP="003A66FE">
      <w:pPr>
        <w:pStyle w:val="tit23"/>
        <w:ind w:left="6464" w:right="-1361" w:firstLine="0"/>
        <w:jc w:val="left"/>
        <w:rPr>
          <w:b/>
          <w:bCs/>
          <w:i/>
          <w:iCs/>
          <w:color w:val="0000FF"/>
          <w:lang w:val="it-IT"/>
        </w:rPr>
      </w:pPr>
      <w:r>
        <w:rPr>
          <w:bCs/>
          <w:i/>
          <w:iCs/>
          <w:color w:val="0000FF"/>
          <w:lang w:val="it-IT"/>
        </w:rPr>
        <w:t xml:space="preserve">Dai libri contabili al </w:t>
      </w:r>
      <w:r w:rsidRPr="0026278D">
        <w:rPr>
          <w:bCs/>
          <w:i/>
          <w:iCs/>
          <w:color w:val="0000FF"/>
          <w:lang w:val="it-IT"/>
        </w:rPr>
        <w:t>bilancio: rinvii</w:t>
      </w:r>
    </w:p>
    <w:p w14:paraId="72179808" w14:textId="0A7D5FEE" w:rsidR="00FF1458" w:rsidRPr="000236A2" w:rsidRDefault="00871A0E" w:rsidP="00E84968">
      <w:pPr>
        <w:autoSpaceDE w:val="0"/>
        <w:autoSpaceDN w:val="0"/>
        <w:adjustRightInd w:val="0"/>
        <w:rPr>
          <w:bCs/>
          <w:i/>
          <w:iCs/>
          <w:color w:val="0000FF"/>
          <w:sz w:val="22"/>
          <w:szCs w:val="22"/>
        </w:rPr>
      </w:pPr>
      <w:r w:rsidRPr="0026278D">
        <w:rPr>
          <w:sz w:val="22"/>
          <w:szCs w:val="22"/>
        </w:rPr>
        <w:t>I libri contabili hanno infatti un senso quando i documenti sono molti, ed attraverso i registri è più facile conservarli e individuarli.</w:t>
      </w:r>
      <w:r w:rsidR="0026278D" w:rsidRPr="0026278D">
        <w:rPr>
          <w:sz w:val="22"/>
          <w:szCs w:val="22"/>
        </w:rPr>
        <w:t xml:space="preserve"> Gli attuali programmi di contabilità </w:t>
      </w:r>
      <w:r w:rsidR="00B05743" w:rsidRPr="0026278D">
        <w:rPr>
          <w:sz w:val="22"/>
          <w:szCs w:val="22"/>
        </w:rPr>
        <w:t>informatic</w:t>
      </w:r>
      <w:r w:rsidR="0026278D" w:rsidRPr="0026278D">
        <w:rPr>
          <w:sz w:val="22"/>
          <w:szCs w:val="22"/>
        </w:rPr>
        <w:t xml:space="preserve">a, oltre ad evitare errori, forniscono </w:t>
      </w:r>
      <w:r w:rsidR="00B05743" w:rsidRPr="0026278D">
        <w:rPr>
          <w:sz w:val="22"/>
          <w:szCs w:val="22"/>
        </w:rPr>
        <w:t>in qualsiasi momento un c.d. “</w:t>
      </w:r>
      <w:r w:rsidR="00FF1458" w:rsidRPr="0026278D">
        <w:rPr>
          <w:sz w:val="22"/>
          <w:szCs w:val="22"/>
        </w:rPr>
        <w:t>bilancio di verifica</w:t>
      </w:r>
      <w:r w:rsidR="00B05743" w:rsidRPr="0026278D">
        <w:rPr>
          <w:sz w:val="22"/>
          <w:szCs w:val="22"/>
        </w:rPr>
        <w:t>”, che fornisce una prima idea dell’andamento della gestione. Per precisare il risultato economico patrimoniale occorrono</w:t>
      </w:r>
      <w:r w:rsidR="00B05743">
        <w:rPr>
          <w:sz w:val="22"/>
          <w:szCs w:val="22"/>
        </w:rPr>
        <w:t xml:space="preserve"> però alcune precisazioni</w:t>
      </w:r>
      <w:r w:rsidR="003A66FE">
        <w:rPr>
          <w:sz w:val="22"/>
          <w:szCs w:val="22"/>
        </w:rPr>
        <w:t xml:space="preserve">, relative agli aspetti valutativi, esistenti per alcuni aspetti anche all’interno di una determinazione contabile. Si tratta delle distinzioni tra costi e consumi, dei criteri espositivi delle operazioni, del momento in cui esse devono essere rilevate, prima del bilancio e delle relative valutazioni </w:t>
      </w:r>
      <w:r w:rsidR="00D35B48">
        <w:rPr>
          <w:sz w:val="22"/>
          <w:szCs w:val="22"/>
        </w:rPr>
        <w:t>(ammortamenti , accantonamenti, individuazione e valutazione rimanenze</w:t>
      </w:r>
      <w:r w:rsidR="003A66FE">
        <w:rPr>
          <w:sz w:val="22"/>
          <w:szCs w:val="22"/>
        </w:rPr>
        <w:t>, su cui parr.7.14 ss.</w:t>
      </w:r>
      <w:r w:rsidR="00D35B48">
        <w:rPr>
          <w:sz w:val="22"/>
          <w:szCs w:val="22"/>
        </w:rPr>
        <w:t>)</w:t>
      </w:r>
    </w:p>
    <w:p w14:paraId="6E40C3FB" w14:textId="0D8BDE0B" w:rsidR="006F62ED" w:rsidRPr="007F7EBF" w:rsidRDefault="006342C5" w:rsidP="00823E7D">
      <w:pPr>
        <w:pStyle w:val="Titolo3"/>
        <w:rPr>
          <w:sz w:val="22"/>
          <w:szCs w:val="22"/>
        </w:rPr>
      </w:pPr>
      <w:bookmarkStart w:id="107" w:name="_Toc63365018"/>
      <w:r w:rsidRPr="007F7EBF">
        <w:rPr>
          <w:rFonts w:ascii="Times New Roman" w:hAnsi="Times New Roman"/>
          <w:sz w:val="22"/>
          <w:szCs w:val="22"/>
        </w:rPr>
        <w:lastRenderedPageBreak/>
        <w:t>7.9. L’inerenza nelle imposte sui redditi e nell’IVA: 1) la distinzione tra</w:t>
      </w:r>
      <w:r w:rsidR="009F7854" w:rsidRPr="007F7EBF">
        <w:rPr>
          <w:rFonts w:ascii="Times New Roman" w:hAnsi="Times New Roman"/>
          <w:sz w:val="22"/>
          <w:szCs w:val="22"/>
        </w:rPr>
        <w:t xml:space="preserve"> </w:t>
      </w:r>
      <w:r w:rsidRPr="007F7EBF">
        <w:rPr>
          <w:rFonts w:ascii="Times New Roman" w:hAnsi="Times New Roman"/>
          <w:sz w:val="22"/>
          <w:szCs w:val="22"/>
        </w:rPr>
        <w:t>costi e consumi</w:t>
      </w:r>
      <w:bookmarkEnd w:id="107"/>
    </w:p>
    <w:p w14:paraId="45AB6C25" w14:textId="118C1EF7" w:rsidR="006F62ED" w:rsidRPr="007F7EBF" w:rsidRDefault="00F60CEB" w:rsidP="006F62ED">
      <w:pPr>
        <w:pStyle w:val="tit23"/>
        <w:ind w:left="6464" w:right="-1361" w:firstLine="0"/>
        <w:jc w:val="left"/>
        <w:rPr>
          <w:bCs/>
          <w:i/>
          <w:iCs/>
          <w:color w:val="0000FF"/>
          <w:lang w:val="it-IT"/>
        </w:rPr>
      </w:pPr>
      <w:r>
        <w:rPr>
          <w:bCs/>
          <w:i/>
          <w:iCs/>
          <w:color w:val="0000FF"/>
          <w:lang w:val="it-IT"/>
        </w:rPr>
        <w:t>Costi e  determinazione differenziale</w:t>
      </w:r>
    </w:p>
    <w:p w14:paraId="5C6099F0" w14:textId="1673B51B" w:rsidR="00E16277" w:rsidRPr="007F7EBF" w:rsidRDefault="00687FF3" w:rsidP="0022247A">
      <w:pPr>
        <w:autoSpaceDE w:val="0"/>
        <w:autoSpaceDN w:val="0"/>
        <w:adjustRightInd w:val="0"/>
        <w:rPr>
          <w:sz w:val="22"/>
          <w:szCs w:val="22"/>
        </w:rPr>
      </w:pPr>
      <w:r>
        <w:rPr>
          <w:sz w:val="22"/>
          <w:szCs w:val="22"/>
        </w:rPr>
        <w:t>L</w:t>
      </w:r>
      <w:r w:rsidR="006342C5" w:rsidRPr="007F7EBF">
        <w:rPr>
          <w:sz w:val="22"/>
          <w:szCs w:val="22"/>
        </w:rPr>
        <w:t xml:space="preserve">e </w:t>
      </w:r>
      <w:r w:rsidR="006342C5" w:rsidRPr="007F7EBF">
        <w:rPr>
          <w:bCs/>
          <w:sz w:val="22"/>
          <w:szCs w:val="22"/>
        </w:rPr>
        <w:t>distinzioni</w:t>
      </w:r>
      <w:r w:rsidR="004C5046">
        <w:rPr>
          <w:bCs/>
          <w:sz w:val="22"/>
          <w:szCs w:val="22"/>
        </w:rPr>
        <w:t>,</w:t>
      </w:r>
      <w:r w:rsidR="006342C5" w:rsidRPr="007F7EBF">
        <w:rPr>
          <w:bCs/>
          <w:sz w:val="22"/>
          <w:szCs w:val="22"/>
        </w:rPr>
        <w:t xml:space="preserve"> </w:t>
      </w:r>
      <w:r>
        <w:rPr>
          <w:bCs/>
          <w:sz w:val="22"/>
          <w:szCs w:val="22"/>
        </w:rPr>
        <w:t>immanenti</w:t>
      </w:r>
      <w:r w:rsidR="004C5046">
        <w:rPr>
          <w:bCs/>
          <w:sz w:val="22"/>
          <w:szCs w:val="22"/>
        </w:rPr>
        <w:t xml:space="preserve"> nell’”oggetto economico” del diritto tributario,</w:t>
      </w:r>
      <w:r w:rsidR="006342C5" w:rsidRPr="007F7EBF">
        <w:rPr>
          <w:sz w:val="22"/>
          <w:szCs w:val="22"/>
        </w:rPr>
        <w:t xml:space="preserve"> tra “</w:t>
      </w:r>
      <w:r w:rsidR="006342C5" w:rsidRPr="007F7EBF">
        <w:rPr>
          <w:bCs/>
          <w:sz w:val="22"/>
          <w:szCs w:val="22"/>
        </w:rPr>
        <w:t>consum</w:t>
      </w:r>
      <w:r>
        <w:rPr>
          <w:bCs/>
          <w:sz w:val="22"/>
          <w:szCs w:val="22"/>
        </w:rPr>
        <w:t>i</w:t>
      </w:r>
      <w:r w:rsidR="006342C5" w:rsidRPr="007F7EBF">
        <w:rPr>
          <w:sz w:val="22"/>
          <w:szCs w:val="22"/>
        </w:rPr>
        <w:t>”</w:t>
      </w:r>
      <w:r w:rsidR="004C5046">
        <w:rPr>
          <w:sz w:val="22"/>
          <w:szCs w:val="22"/>
        </w:rPr>
        <w:t xml:space="preserve"> e “cost</w:t>
      </w:r>
      <w:r>
        <w:rPr>
          <w:sz w:val="22"/>
          <w:szCs w:val="22"/>
        </w:rPr>
        <w:t>i”</w:t>
      </w:r>
      <w:r w:rsidR="004C5046">
        <w:rPr>
          <w:sz w:val="22"/>
          <w:szCs w:val="22"/>
        </w:rPr>
        <w:t xml:space="preserve"> (par.1.8)</w:t>
      </w:r>
      <w:r>
        <w:rPr>
          <w:sz w:val="22"/>
          <w:szCs w:val="22"/>
        </w:rPr>
        <w:t xml:space="preserve">, si ritrovano nella deduzione dei secondi per determinare il concetto </w:t>
      </w:r>
      <w:r w:rsidR="00FF71DD">
        <w:rPr>
          <w:sz w:val="22"/>
          <w:szCs w:val="22"/>
        </w:rPr>
        <w:t xml:space="preserve">(differenziale) di reddito; </w:t>
      </w:r>
      <w:r>
        <w:rPr>
          <w:sz w:val="22"/>
          <w:szCs w:val="22"/>
        </w:rPr>
        <w:t>secondo quanto rilevato al par.</w:t>
      </w:r>
      <w:r w:rsidR="00FF71DD">
        <w:rPr>
          <w:sz w:val="22"/>
          <w:szCs w:val="22"/>
        </w:rPr>
        <w:t>7.3 è</w:t>
      </w:r>
      <w:r>
        <w:rPr>
          <w:sz w:val="22"/>
          <w:szCs w:val="22"/>
        </w:rPr>
        <w:t xml:space="preserve"> anche</w:t>
      </w:r>
      <w:r w:rsidR="00FF71DD">
        <w:rPr>
          <w:sz w:val="22"/>
          <w:szCs w:val="22"/>
        </w:rPr>
        <w:t xml:space="preserve"> immanente nel concetto di “consumo”</w:t>
      </w:r>
      <w:r>
        <w:rPr>
          <w:sz w:val="22"/>
          <w:szCs w:val="22"/>
        </w:rPr>
        <w:t xml:space="preserve"> l’eliminazione, attraverso la detrazione, di </w:t>
      </w:r>
      <w:r w:rsidR="0022247A" w:rsidRPr="007F7EBF">
        <w:rPr>
          <w:bCs/>
          <w:sz w:val="20"/>
          <w:szCs w:val="20"/>
        </w:rPr>
        <w:t>eventuali applicazioni de</w:t>
      </w:r>
      <w:r>
        <w:rPr>
          <w:bCs/>
          <w:sz w:val="20"/>
          <w:szCs w:val="20"/>
        </w:rPr>
        <w:t xml:space="preserve">ll’IVA in fasi anteriori al consumo finale. </w:t>
      </w:r>
      <w:r w:rsidR="00443543">
        <w:rPr>
          <w:bCs/>
          <w:sz w:val="20"/>
          <w:szCs w:val="20"/>
        </w:rPr>
        <w:t>Le attività d’impresa, professionali</w:t>
      </w:r>
      <w:r w:rsidR="0081648D">
        <w:rPr>
          <w:bCs/>
          <w:sz w:val="20"/>
          <w:szCs w:val="20"/>
        </w:rPr>
        <w:t xml:space="preserve"> (par.8.1) </w:t>
      </w:r>
      <w:r w:rsidR="00443543">
        <w:rPr>
          <w:bCs/>
          <w:sz w:val="20"/>
          <w:szCs w:val="20"/>
        </w:rPr>
        <w:t xml:space="preserve">e </w:t>
      </w:r>
      <w:r w:rsidR="0081648D">
        <w:rPr>
          <w:bCs/>
          <w:sz w:val="20"/>
          <w:szCs w:val="20"/>
        </w:rPr>
        <w:t>occasionali (par.8.6) hanno un</w:t>
      </w:r>
      <w:r w:rsidR="00443543">
        <w:rPr>
          <w:bCs/>
          <w:sz w:val="20"/>
          <w:szCs w:val="20"/>
        </w:rPr>
        <w:t>a determinazione “analitica”</w:t>
      </w:r>
      <w:r w:rsidR="0081648D">
        <w:rPr>
          <w:bCs/>
          <w:sz w:val="20"/>
          <w:szCs w:val="20"/>
        </w:rPr>
        <w:t xml:space="preserve"> di questa differenza, altrimenti </w:t>
      </w:r>
      <w:r w:rsidR="00443543">
        <w:rPr>
          <w:bCs/>
          <w:sz w:val="20"/>
          <w:szCs w:val="20"/>
        </w:rPr>
        <w:t>“forfettizzata” (come per l’agricoltura o le locazioni</w:t>
      </w:r>
      <w:r w:rsidR="0081648D">
        <w:rPr>
          <w:bCs/>
          <w:sz w:val="20"/>
          <w:szCs w:val="20"/>
        </w:rPr>
        <w:t>, parr.8.2-8.4</w:t>
      </w:r>
      <w:r w:rsidR="00443543">
        <w:rPr>
          <w:bCs/>
          <w:sz w:val="20"/>
          <w:szCs w:val="20"/>
        </w:rPr>
        <w:t xml:space="preserve">) o considerata irrilevante, come per i redditi di capitale </w:t>
      </w:r>
      <w:r w:rsidR="0081648D">
        <w:rPr>
          <w:bCs/>
          <w:sz w:val="20"/>
          <w:szCs w:val="20"/>
        </w:rPr>
        <w:t xml:space="preserve">(par.8.5) </w:t>
      </w:r>
      <w:r w:rsidR="00443543">
        <w:rPr>
          <w:bCs/>
          <w:sz w:val="20"/>
          <w:szCs w:val="20"/>
        </w:rPr>
        <w:t xml:space="preserve">o </w:t>
      </w:r>
      <w:r w:rsidR="0081648D">
        <w:rPr>
          <w:bCs/>
          <w:sz w:val="20"/>
          <w:szCs w:val="20"/>
        </w:rPr>
        <w:t xml:space="preserve">risolta da altri, come nel </w:t>
      </w:r>
      <w:r w:rsidR="00443543">
        <w:rPr>
          <w:bCs/>
          <w:sz w:val="20"/>
          <w:szCs w:val="20"/>
        </w:rPr>
        <w:t>lavoro dipendente (</w:t>
      </w:r>
      <w:r w:rsidR="0081648D">
        <w:rPr>
          <w:bCs/>
          <w:sz w:val="20"/>
          <w:szCs w:val="20"/>
        </w:rPr>
        <w:t xml:space="preserve">par.8.3), </w:t>
      </w:r>
      <w:r w:rsidR="00443543">
        <w:rPr>
          <w:bCs/>
          <w:sz w:val="20"/>
          <w:szCs w:val="20"/>
        </w:rPr>
        <w:t xml:space="preserve">dove si presuppone che i costi siano sostenuti dal datore di lavoro. </w:t>
      </w:r>
    </w:p>
    <w:p w14:paraId="00FE6582" w14:textId="02D55B62" w:rsidR="00E16277" w:rsidRPr="007F7EBF" w:rsidRDefault="0051386F" w:rsidP="00E16277">
      <w:pPr>
        <w:pStyle w:val="tit23"/>
        <w:ind w:left="6464" w:right="-1361" w:firstLine="0"/>
        <w:jc w:val="left"/>
        <w:rPr>
          <w:bCs/>
          <w:i/>
          <w:iCs/>
          <w:color w:val="0000FF"/>
          <w:lang w:val="it-IT"/>
        </w:rPr>
      </w:pPr>
      <w:r w:rsidRPr="007F7EBF">
        <w:rPr>
          <w:bCs/>
          <w:i/>
          <w:iCs/>
          <w:color w:val="0000FF"/>
          <w:lang w:val="it-IT"/>
        </w:rPr>
        <w:t>“</w:t>
      </w:r>
      <w:proofErr w:type="spellStart"/>
      <w:r w:rsidRPr="007F7EBF">
        <w:rPr>
          <w:bCs/>
          <w:i/>
          <w:iCs/>
          <w:color w:val="0000FF"/>
          <w:lang w:val="it-IT"/>
        </w:rPr>
        <w:t>Ineren</w:t>
      </w:r>
      <w:r w:rsidR="00F60CEB">
        <w:rPr>
          <w:bCs/>
          <w:i/>
          <w:iCs/>
          <w:color w:val="0000FF"/>
          <w:lang w:val="it-IT"/>
        </w:rPr>
        <w:t>za</w:t>
      </w:r>
      <w:r w:rsidRPr="007F7EBF">
        <w:rPr>
          <w:bCs/>
          <w:i/>
          <w:iCs/>
          <w:color w:val="0000FF"/>
          <w:lang w:val="it-IT"/>
        </w:rPr>
        <w:t>”</w:t>
      </w:r>
      <w:r w:rsidR="004526FF">
        <w:rPr>
          <w:bCs/>
          <w:i/>
          <w:iCs/>
          <w:color w:val="0000FF"/>
          <w:lang w:val="it-IT"/>
        </w:rPr>
        <w:t>nell’iva</w:t>
      </w:r>
      <w:proofErr w:type="spellEnd"/>
      <w:r w:rsidR="004526FF">
        <w:rPr>
          <w:bCs/>
          <w:i/>
          <w:iCs/>
          <w:color w:val="0000FF"/>
          <w:lang w:val="it-IT"/>
        </w:rPr>
        <w:t xml:space="preserve"> e nel reddito</w:t>
      </w:r>
    </w:p>
    <w:p w14:paraId="3A88CD1F" w14:textId="5EFC3603" w:rsidR="00BB5D72" w:rsidRPr="007F7EBF" w:rsidRDefault="00F60CEB" w:rsidP="00B865DC">
      <w:pPr>
        <w:autoSpaceDE w:val="0"/>
        <w:autoSpaceDN w:val="0"/>
        <w:adjustRightInd w:val="0"/>
        <w:rPr>
          <w:bCs/>
          <w:i/>
          <w:iCs/>
          <w:color w:val="0000FF"/>
          <w:sz w:val="22"/>
          <w:szCs w:val="22"/>
        </w:rPr>
      </w:pPr>
      <w:r>
        <w:rPr>
          <w:sz w:val="22"/>
          <w:szCs w:val="22"/>
        </w:rPr>
        <w:t xml:space="preserve">Nelle suddette attività in cui </w:t>
      </w:r>
      <w:r w:rsidR="00443543">
        <w:rPr>
          <w:sz w:val="22"/>
          <w:szCs w:val="22"/>
        </w:rPr>
        <w:t xml:space="preserve">questa differenza </w:t>
      </w:r>
      <w:r w:rsidR="002848E4">
        <w:rPr>
          <w:sz w:val="22"/>
          <w:szCs w:val="22"/>
        </w:rPr>
        <w:t xml:space="preserve">“ricavi-costi” </w:t>
      </w:r>
      <w:r w:rsidR="00443543">
        <w:rPr>
          <w:sz w:val="22"/>
          <w:szCs w:val="22"/>
        </w:rPr>
        <w:t xml:space="preserve">è </w:t>
      </w:r>
      <w:r w:rsidR="002848E4">
        <w:rPr>
          <w:sz w:val="22"/>
          <w:szCs w:val="22"/>
        </w:rPr>
        <w:t xml:space="preserve">misurata </w:t>
      </w:r>
      <w:r w:rsidR="00443543">
        <w:rPr>
          <w:sz w:val="22"/>
          <w:szCs w:val="22"/>
        </w:rPr>
        <w:t>analitica</w:t>
      </w:r>
      <w:r w:rsidR="002848E4">
        <w:rPr>
          <w:sz w:val="22"/>
          <w:szCs w:val="22"/>
        </w:rPr>
        <w:t>mente (impresa, professioni etc.)</w:t>
      </w:r>
      <w:r w:rsidR="00443543">
        <w:rPr>
          <w:sz w:val="22"/>
          <w:szCs w:val="22"/>
        </w:rPr>
        <w:t xml:space="preserve">, occorre </w:t>
      </w:r>
      <w:r w:rsidR="00FF71DD">
        <w:rPr>
          <w:sz w:val="22"/>
          <w:szCs w:val="22"/>
        </w:rPr>
        <w:t xml:space="preserve">evitare </w:t>
      </w:r>
      <w:r w:rsidR="002848E4">
        <w:rPr>
          <w:sz w:val="22"/>
          <w:szCs w:val="22"/>
        </w:rPr>
        <w:t xml:space="preserve">che vengano fatti passare per costi </w:t>
      </w:r>
      <w:r w:rsidR="00FF71DD">
        <w:rPr>
          <w:sz w:val="22"/>
          <w:szCs w:val="22"/>
        </w:rPr>
        <w:t xml:space="preserve">consumi personali, </w:t>
      </w:r>
      <w:r w:rsidR="002848E4">
        <w:rPr>
          <w:sz w:val="22"/>
          <w:szCs w:val="22"/>
        </w:rPr>
        <w:t xml:space="preserve">detraendo anche l’eventuale </w:t>
      </w:r>
      <w:r w:rsidR="00FF71DD">
        <w:rPr>
          <w:sz w:val="22"/>
          <w:szCs w:val="22"/>
        </w:rPr>
        <w:t xml:space="preserve">IVA sui medesimi. </w:t>
      </w:r>
      <w:r w:rsidR="002848E4">
        <w:rPr>
          <w:sz w:val="22"/>
          <w:szCs w:val="22"/>
        </w:rPr>
        <w:t xml:space="preserve">E’ questa la finalità dei controllo tecnico </w:t>
      </w:r>
      <w:r w:rsidR="00443543">
        <w:rPr>
          <w:sz w:val="22"/>
          <w:szCs w:val="22"/>
        </w:rPr>
        <w:t xml:space="preserve"> c.d. “di inerenza”</w:t>
      </w:r>
      <w:r w:rsidR="002848E4">
        <w:rPr>
          <w:sz w:val="22"/>
          <w:szCs w:val="22"/>
        </w:rPr>
        <w:t xml:space="preserve">; esso si riferisce al rapporto tra costo e attività d’impresa, non solo tra costo e ottenimento di specifici ricavi; l’inerenza è cioè all’attività, non ai ricavi, e sussiste anche quando essi sono modesti o addirittura mancano, </w:t>
      </w:r>
      <w:proofErr w:type="spellStart"/>
      <w:r w:rsidR="002848E4">
        <w:rPr>
          <w:sz w:val="22"/>
          <w:szCs w:val="22"/>
        </w:rPr>
        <w:t>purchè</w:t>
      </w:r>
      <w:proofErr w:type="spellEnd"/>
      <w:r w:rsidR="002848E4">
        <w:rPr>
          <w:sz w:val="22"/>
          <w:szCs w:val="22"/>
        </w:rPr>
        <w:t xml:space="preserve"> ce ne fosse la concreta possibilità, in una prospettiva imprenditoriale, in una valutazione prospettica di “economicità”. </w:t>
      </w:r>
    </w:p>
    <w:p w14:paraId="2D31EE23" w14:textId="120C2A01" w:rsidR="00412149" w:rsidRPr="007F7EBF" w:rsidRDefault="00E15F8F" w:rsidP="00412149">
      <w:pPr>
        <w:pStyle w:val="tit23"/>
        <w:ind w:left="6464" w:right="-1361" w:firstLine="0"/>
        <w:jc w:val="left"/>
        <w:rPr>
          <w:bCs/>
          <w:i/>
          <w:iCs/>
          <w:color w:val="0000FF"/>
          <w:lang w:val="it-IT"/>
        </w:rPr>
      </w:pPr>
      <w:r w:rsidRPr="007F7EBF">
        <w:rPr>
          <w:bCs/>
          <w:i/>
          <w:iCs/>
          <w:color w:val="0000FF"/>
          <w:lang w:val="it-IT"/>
        </w:rPr>
        <w:t>relativismo del concetto</w:t>
      </w:r>
      <w:r w:rsidR="00E735E0">
        <w:rPr>
          <w:bCs/>
          <w:i/>
          <w:iCs/>
          <w:color w:val="0000FF"/>
          <w:lang w:val="it-IT"/>
        </w:rPr>
        <w:t xml:space="preserve"> d’inerenza</w:t>
      </w:r>
    </w:p>
    <w:p w14:paraId="4F53CC67" w14:textId="4F75AA49" w:rsidR="00AB7D69" w:rsidRDefault="00A523D6" w:rsidP="00E15F8F">
      <w:pPr>
        <w:autoSpaceDE w:val="0"/>
        <w:autoSpaceDN w:val="0"/>
        <w:adjustRightInd w:val="0"/>
        <w:rPr>
          <w:sz w:val="22"/>
          <w:szCs w:val="22"/>
        </w:rPr>
      </w:pPr>
      <w:r>
        <w:rPr>
          <w:sz w:val="22"/>
          <w:szCs w:val="22"/>
        </w:rPr>
        <w:t>Su questo concetto generale, appartenente ai “presupposti dell’imposta” (come il reddito, par.1.8) n</w:t>
      </w:r>
      <w:r w:rsidR="00412149" w:rsidRPr="007F7EBF">
        <w:rPr>
          <w:sz w:val="22"/>
          <w:szCs w:val="22"/>
        </w:rPr>
        <w:t xml:space="preserve">on </w:t>
      </w:r>
      <w:r>
        <w:rPr>
          <w:bCs/>
          <w:sz w:val="22"/>
          <w:szCs w:val="22"/>
        </w:rPr>
        <w:t xml:space="preserve">esistono, né servono, </w:t>
      </w:r>
      <w:r w:rsidR="00412149" w:rsidRPr="007F7EBF">
        <w:rPr>
          <w:bCs/>
          <w:sz w:val="22"/>
          <w:szCs w:val="22"/>
        </w:rPr>
        <w:t xml:space="preserve">indicazioni legislative </w:t>
      </w:r>
      <w:r w:rsidR="00A73E77">
        <w:rPr>
          <w:bCs/>
          <w:sz w:val="22"/>
          <w:szCs w:val="22"/>
        </w:rPr>
        <w:t xml:space="preserve"> generali </w:t>
      </w:r>
      <w:r w:rsidR="00947105">
        <w:rPr>
          <w:bCs/>
          <w:sz w:val="22"/>
          <w:szCs w:val="22"/>
        </w:rPr>
        <w:t>(</w:t>
      </w:r>
      <w:r w:rsidR="00B865DC" w:rsidRPr="007F7EBF">
        <w:rPr>
          <w:rStyle w:val="Rimandonotaapidipagina"/>
          <w:bCs/>
          <w:sz w:val="22"/>
          <w:szCs w:val="22"/>
        </w:rPr>
        <w:footnoteReference w:id="1084"/>
      </w:r>
      <w:r w:rsidR="00947105">
        <w:rPr>
          <w:bCs/>
          <w:sz w:val="22"/>
          <w:szCs w:val="22"/>
        </w:rPr>
        <w:t>)</w:t>
      </w:r>
      <w:r w:rsidR="00A73E77">
        <w:rPr>
          <w:bCs/>
          <w:sz w:val="22"/>
          <w:szCs w:val="22"/>
        </w:rPr>
        <w:t xml:space="preserve">; nelle imposte sui redditi la norma (art.109 Tuir) spesso scambiata per una definizione generale di inerenza </w:t>
      </w:r>
      <w:r w:rsidR="00A73E77" w:rsidRPr="007F7EBF">
        <w:rPr>
          <w:sz w:val="20"/>
          <w:szCs w:val="20"/>
        </w:rPr>
        <w:t>si riferisce al diverso problema dei costi relativi a elementi positivi di reddito esclusi da tassazione su cui paragrafo successivo. Anche le disposizioni in materia di IVA</w:t>
      </w:r>
      <w:r w:rsidR="00A73E77">
        <w:rPr>
          <w:sz w:val="20"/>
          <w:szCs w:val="20"/>
        </w:rPr>
        <w:t>, giustamente, presuppongono l’inerenza, anziché definirla</w:t>
      </w:r>
      <w:r w:rsidR="00474614" w:rsidRPr="007F7EBF">
        <w:rPr>
          <w:sz w:val="22"/>
          <w:szCs w:val="22"/>
        </w:rPr>
        <w:t xml:space="preserve">. </w:t>
      </w:r>
      <w:r w:rsidR="00947105">
        <w:rPr>
          <w:bCs/>
          <w:sz w:val="22"/>
          <w:szCs w:val="22"/>
        </w:rPr>
        <w:lastRenderedPageBreak/>
        <w:t>D</w:t>
      </w:r>
      <w:r w:rsidR="00947105" w:rsidRPr="007F7EBF">
        <w:rPr>
          <w:bCs/>
          <w:sz w:val="22"/>
          <w:szCs w:val="22"/>
        </w:rPr>
        <w:t xml:space="preserve">istinguere </w:t>
      </w:r>
      <w:r w:rsidR="00947105">
        <w:rPr>
          <w:bCs/>
          <w:sz w:val="22"/>
          <w:szCs w:val="22"/>
        </w:rPr>
        <w:t>tra consumi e costi è spesso molto facile</w:t>
      </w:r>
      <w:r w:rsidR="006D737F">
        <w:rPr>
          <w:bCs/>
          <w:sz w:val="22"/>
          <w:szCs w:val="22"/>
        </w:rPr>
        <w:t>, ma p</w:t>
      </w:r>
      <w:r w:rsidR="00947105" w:rsidRPr="007F7EBF">
        <w:rPr>
          <w:sz w:val="22"/>
          <w:szCs w:val="22"/>
        </w:rPr>
        <w:t>ossono esserci zone grigie composte da spese che astrattamente potrebbero anche avere una utilità per l’impresa, come spese di vitto e alloggio (di cui il contribuente afferma la necessità in relazione a viaggi d’affari), di trasporto e per autoveicoli, di rappresentanza</w:t>
      </w:r>
      <w:r w:rsidR="00A73E77">
        <w:rPr>
          <w:sz w:val="22"/>
          <w:szCs w:val="22"/>
        </w:rPr>
        <w:t>, di accessori (computers, valigie), persino di abbigliamento.</w:t>
      </w:r>
      <w:r w:rsidR="00947105">
        <w:rPr>
          <w:sz w:val="22"/>
          <w:szCs w:val="22"/>
        </w:rPr>
        <w:t xml:space="preserve"> In questi </w:t>
      </w:r>
      <w:r w:rsidR="00947105">
        <w:rPr>
          <w:bCs/>
          <w:sz w:val="22"/>
          <w:szCs w:val="22"/>
        </w:rPr>
        <w:t xml:space="preserve">casi intermedi </w:t>
      </w:r>
      <w:r w:rsidR="00947105" w:rsidRPr="007F7EBF">
        <w:rPr>
          <w:bCs/>
          <w:sz w:val="22"/>
          <w:szCs w:val="22"/>
        </w:rPr>
        <w:t>occorre considerare</w:t>
      </w:r>
      <w:r w:rsidR="00A73E77">
        <w:rPr>
          <w:bCs/>
          <w:sz w:val="22"/>
          <w:szCs w:val="22"/>
        </w:rPr>
        <w:t xml:space="preserve"> caso per caso</w:t>
      </w:r>
      <w:r w:rsidR="00947105" w:rsidRPr="007F7EBF">
        <w:rPr>
          <w:bCs/>
          <w:sz w:val="22"/>
          <w:szCs w:val="22"/>
        </w:rPr>
        <w:t xml:space="preserve"> la</w:t>
      </w:r>
      <w:r w:rsidR="00947105" w:rsidRPr="007F7EBF">
        <w:rPr>
          <w:sz w:val="22"/>
          <w:szCs w:val="22"/>
        </w:rPr>
        <w:t xml:space="preserve"> specifica attività svolta, le sue dimensioni, la sua organizzazione, le sue esigenze promozionali, etc.</w:t>
      </w:r>
      <w:r w:rsidR="00947105">
        <w:rPr>
          <w:sz w:val="22"/>
          <w:szCs w:val="22"/>
        </w:rPr>
        <w:t xml:space="preserve"> </w:t>
      </w:r>
    </w:p>
    <w:p w14:paraId="236DDB22" w14:textId="368796BA" w:rsidR="000A3249" w:rsidRPr="007F7EBF" w:rsidRDefault="0022247A" w:rsidP="000A3249">
      <w:pPr>
        <w:pStyle w:val="tit23"/>
        <w:ind w:left="6464" w:right="-1361" w:firstLine="0"/>
        <w:jc w:val="left"/>
        <w:rPr>
          <w:bCs/>
          <w:i/>
          <w:iCs/>
          <w:color w:val="0000FF"/>
          <w:lang w:val="it-IT"/>
        </w:rPr>
      </w:pPr>
      <w:r>
        <w:rPr>
          <w:bCs/>
          <w:i/>
          <w:iCs/>
          <w:color w:val="0000FF"/>
          <w:lang w:val="it-IT"/>
        </w:rPr>
        <w:t>Inerenza tra fatto e diritto</w:t>
      </w:r>
    </w:p>
    <w:p w14:paraId="1A866739" w14:textId="2EC7CCF5" w:rsidR="0022247A" w:rsidRDefault="00A73E77" w:rsidP="0022247A">
      <w:pPr>
        <w:autoSpaceDE w:val="0"/>
        <w:autoSpaceDN w:val="0"/>
        <w:adjustRightInd w:val="0"/>
        <w:rPr>
          <w:sz w:val="22"/>
          <w:szCs w:val="22"/>
        </w:rPr>
      </w:pPr>
      <w:r>
        <w:rPr>
          <w:sz w:val="22"/>
          <w:szCs w:val="22"/>
        </w:rPr>
        <w:t>Un punto fermo è che i</w:t>
      </w:r>
      <w:r w:rsidR="006D737F" w:rsidRPr="007F7EBF">
        <w:rPr>
          <w:sz w:val="22"/>
          <w:szCs w:val="22"/>
        </w:rPr>
        <w:t xml:space="preserve">l controllo dell’inerenza da parte del fisco non può </w:t>
      </w:r>
      <w:r w:rsidR="006D737F" w:rsidRPr="007F7EBF">
        <w:rPr>
          <w:bCs/>
          <w:sz w:val="22"/>
          <w:szCs w:val="22"/>
        </w:rPr>
        <w:t xml:space="preserve">interferire </w:t>
      </w:r>
      <w:r w:rsidR="006D737F" w:rsidRPr="007F7EBF">
        <w:rPr>
          <w:sz w:val="22"/>
          <w:szCs w:val="22"/>
        </w:rPr>
        <w:t xml:space="preserve">nel </w:t>
      </w:r>
      <w:r w:rsidR="006D737F" w:rsidRPr="007F7EBF">
        <w:rPr>
          <w:bCs/>
          <w:sz w:val="22"/>
          <w:szCs w:val="22"/>
        </w:rPr>
        <w:t xml:space="preserve">merito </w:t>
      </w:r>
      <w:r w:rsidR="006D737F" w:rsidRPr="007F7EBF">
        <w:rPr>
          <w:sz w:val="22"/>
          <w:szCs w:val="22"/>
        </w:rPr>
        <w:t>delle scelte imprenditoriali</w:t>
      </w:r>
      <w:r>
        <w:rPr>
          <w:sz w:val="22"/>
          <w:szCs w:val="22"/>
        </w:rPr>
        <w:t xml:space="preserve">, </w:t>
      </w:r>
      <w:proofErr w:type="spellStart"/>
      <w:r>
        <w:rPr>
          <w:sz w:val="22"/>
          <w:szCs w:val="22"/>
        </w:rPr>
        <w:t>purchè</w:t>
      </w:r>
      <w:proofErr w:type="spellEnd"/>
      <w:r>
        <w:rPr>
          <w:sz w:val="22"/>
          <w:szCs w:val="22"/>
        </w:rPr>
        <w:t xml:space="preserve"> genuine </w:t>
      </w:r>
      <w:r w:rsidR="006D737F">
        <w:rPr>
          <w:sz w:val="22"/>
          <w:szCs w:val="22"/>
        </w:rPr>
        <w:t>(</w:t>
      </w:r>
      <w:r w:rsidR="006D737F" w:rsidRPr="007F7EBF">
        <w:rPr>
          <w:rStyle w:val="Rimandonotaapidipagina"/>
          <w:sz w:val="22"/>
          <w:szCs w:val="22"/>
        </w:rPr>
        <w:footnoteReference w:id="1085"/>
      </w:r>
      <w:r w:rsidR="006D737F">
        <w:rPr>
          <w:sz w:val="22"/>
          <w:szCs w:val="22"/>
        </w:rPr>
        <w:t>)</w:t>
      </w:r>
      <w:r w:rsidR="0022247A">
        <w:rPr>
          <w:sz w:val="22"/>
          <w:szCs w:val="22"/>
        </w:rPr>
        <w:t>; p</w:t>
      </w:r>
      <w:r w:rsidR="006D737F" w:rsidRPr="007F7EBF">
        <w:rPr>
          <w:sz w:val="22"/>
          <w:szCs w:val="22"/>
        </w:rPr>
        <w:t>er negare l’inerenza di un costo non basta insomma che l’impresa potesse farne a meno, ma deve risultare – in positivo – che esso rispondeva a finalità personal</w:t>
      </w:r>
      <w:r w:rsidR="006D737F">
        <w:rPr>
          <w:sz w:val="22"/>
          <w:szCs w:val="22"/>
        </w:rPr>
        <w:t>i</w:t>
      </w:r>
      <w:r w:rsidR="006D737F" w:rsidRPr="007F7EBF">
        <w:rPr>
          <w:sz w:val="22"/>
          <w:szCs w:val="22"/>
        </w:rPr>
        <w:t xml:space="preserve"> o comunque </w:t>
      </w:r>
      <w:proofErr w:type="spellStart"/>
      <w:r w:rsidR="006D737F" w:rsidRPr="007F7EBF">
        <w:rPr>
          <w:sz w:val="22"/>
          <w:szCs w:val="22"/>
        </w:rPr>
        <w:t>extraimprenditorial</w:t>
      </w:r>
      <w:r w:rsidR="006D737F">
        <w:rPr>
          <w:sz w:val="22"/>
          <w:szCs w:val="22"/>
        </w:rPr>
        <w:t>i</w:t>
      </w:r>
      <w:proofErr w:type="spellEnd"/>
      <w:r w:rsidR="006D737F">
        <w:rPr>
          <w:sz w:val="22"/>
          <w:szCs w:val="22"/>
        </w:rPr>
        <w:t xml:space="preserve"> (</w:t>
      </w:r>
      <w:r w:rsidR="006D737F" w:rsidRPr="007F7EBF">
        <w:rPr>
          <w:rStyle w:val="Rimandonotaapidipagina"/>
          <w:sz w:val="22"/>
          <w:szCs w:val="22"/>
        </w:rPr>
        <w:footnoteReference w:id="1086"/>
      </w:r>
      <w:r w:rsidR="006D737F">
        <w:rPr>
          <w:sz w:val="22"/>
          <w:szCs w:val="22"/>
        </w:rPr>
        <w:t>)</w:t>
      </w:r>
      <w:r w:rsidR="006D737F" w:rsidRPr="007F7EBF">
        <w:rPr>
          <w:sz w:val="22"/>
          <w:szCs w:val="22"/>
        </w:rPr>
        <w:t xml:space="preserve">. </w:t>
      </w:r>
      <w:r w:rsidR="0030049A" w:rsidRPr="007F7EBF">
        <w:rPr>
          <w:sz w:val="22"/>
          <w:szCs w:val="22"/>
        </w:rPr>
        <w:t xml:space="preserve">L'inerenza </w:t>
      </w:r>
      <w:r>
        <w:rPr>
          <w:sz w:val="22"/>
          <w:szCs w:val="22"/>
        </w:rPr>
        <w:t xml:space="preserve">comporta talvolta aspetti “di fatto”, riguardanti l’uso effettivo di determinate prestazioni, come i suddetti beni promiscui alla sfera personale e a quella aziendale, ovvero viaggi, pernottamenti, consumazioni, </w:t>
      </w:r>
      <w:r w:rsidR="00B43BA4">
        <w:rPr>
          <w:sz w:val="22"/>
          <w:szCs w:val="22"/>
        </w:rPr>
        <w:t xml:space="preserve">pubblicazioni, </w:t>
      </w:r>
      <w:r>
        <w:rPr>
          <w:sz w:val="22"/>
          <w:szCs w:val="22"/>
        </w:rPr>
        <w:t>etc.</w:t>
      </w:r>
      <w:r w:rsidR="00CA65D7">
        <w:rPr>
          <w:sz w:val="22"/>
          <w:szCs w:val="22"/>
        </w:rPr>
        <w:t xml:space="preserve">; qui </w:t>
      </w:r>
      <w:r w:rsidR="00CA65D7" w:rsidRPr="007F7EBF">
        <w:rPr>
          <w:sz w:val="22"/>
          <w:szCs w:val="22"/>
        </w:rPr>
        <w:t>la riferibilità all'impresa, piuttosto che al consumo personale, va valutata con congetture sulle date e sui luoghi di sostenimento di certe spese, dal carattere fortemente probabilistico</w:t>
      </w:r>
      <w:r w:rsidR="00B43BA4">
        <w:rPr>
          <w:sz w:val="22"/>
          <w:szCs w:val="22"/>
        </w:rPr>
        <w:t xml:space="preserve">. </w:t>
      </w:r>
      <w:r w:rsidR="00CA65D7">
        <w:rPr>
          <w:sz w:val="22"/>
          <w:szCs w:val="22"/>
        </w:rPr>
        <w:t xml:space="preserve">Una volta chiariti questi aspetti, nella misura in cui è possibile, </w:t>
      </w:r>
      <w:r w:rsidR="006F6F00">
        <w:rPr>
          <w:sz w:val="22"/>
          <w:szCs w:val="22"/>
        </w:rPr>
        <w:t xml:space="preserve">essi vanno prospetticamente </w:t>
      </w:r>
      <w:r w:rsidR="000473DB">
        <w:rPr>
          <w:sz w:val="22"/>
          <w:szCs w:val="22"/>
        </w:rPr>
        <w:t xml:space="preserve">riferiti </w:t>
      </w:r>
      <w:r w:rsidR="00CA65D7">
        <w:rPr>
          <w:sz w:val="22"/>
          <w:szCs w:val="22"/>
        </w:rPr>
        <w:t>all’economicità della conduzione dell’azienda</w:t>
      </w:r>
      <w:r w:rsidR="00B43BA4">
        <w:rPr>
          <w:sz w:val="22"/>
          <w:szCs w:val="22"/>
        </w:rPr>
        <w:t xml:space="preserve"> (</w:t>
      </w:r>
      <w:r w:rsidR="00B43BA4">
        <w:rPr>
          <w:rStyle w:val="Rimandonotaapidipagina"/>
          <w:sz w:val="22"/>
          <w:szCs w:val="22"/>
        </w:rPr>
        <w:footnoteReference w:id="1087"/>
      </w:r>
      <w:r w:rsidR="00B43BA4">
        <w:rPr>
          <w:sz w:val="22"/>
          <w:szCs w:val="22"/>
        </w:rPr>
        <w:t>)</w:t>
      </w:r>
      <w:r w:rsidR="00CA65D7">
        <w:rPr>
          <w:sz w:val="22"/>
          <w:szCs w:val="22"/>
        </w:rPr>
        <w:t xml:space="preserve">, e </w:t>
      </w:r>
      <w:r w:rsidR="000473DB">
        <w:rPr>
          <w:sz w:val="22"/>
          <w:szCs w:val="22"/>
        </w:rPr>
        <w:t>a</w:t>
      </w:r>
      <w:r w:rsidR="00CA65D7">
        <w:rPr>
          <w:sz w:val="22"/>
          <w:szCs w:val="22"/>
        </w:rPr>
        <w:t xml:space="preserve">lla già menzionata diligenza imprenditoriale </w:t>
      </w:r>
      <w:r w:rsidR="000473DB">
        <w:rPr>
          <w:sz w:val="22"/>
          <w:szCs w:val="22"/>
        </w:rPr>
        <w:t>(</w:t>
      </w:r>
      <w:r w:rsidR="00B43BA4" w:rsidRPr="007F7EBF">
        <w:rPr>
          <w:rStyle w:val="Rimandonotaapidipagina"/>
          <w:sz w:val="22"/>
          <w:szCs w:val="22"/>
        </w:rPr>
        <w:footnoteReference w:id="1088"/>
      </w:r>
      <w:r w:rsidR="000473DB">
        <w:rPr>
          <w:sz w:val="22"/>
          <w:szCs w:val="22"/>
        </w:rPr>
        <w:t>)</w:t>
      </w:r>
      <w:r w:rsidR="00B43BA4" w:rsidRPr="007F7EBF">
        <w:rPr>
          <w:sz w:val="22"/>
          <w:szCs w:val="22"/>
        </w:rPr>
        <w:t>.</w:t>
      </w:r>
      <w:r w:rsidR="008A67D7" w:rsidRPr="007F7EBF">
        <w:rPr>
          <w:sz w:val="22"/>
          <w:szCs w:val="22"/>
        </w:rPr>
        <w:t xml:space="preserve"> </w:t>
      </w:r>
    </w:p>
    <w:p w14:paraId="3132C4FB" w14:textId="6B6F237B" w:rsidR="0022247A" w:rsidRDefault="0022247A" w:rsidP="0022247A">
      <w:pPr>
        <w:pStyle w:val="tit23"/>
        <w:ind w:left="6464" w:right="-1361" w:firstLine="0"/>
        <w:jc w:val="left"/>
        <w:rPr>
          <w:bCs/>
          <w:i/>
          <w:iCs/>
          <w:color w:val="0000FF"/>
          <w:lang w:val="it-IT"/>
        </w:rPr>
      </w:pPr>
      <w:r>
        <w:rPr>
          <w:bCs/>
          <w:i/>
          <w:iCs/>
          <w:color w:val="0000FF"/>
          <w:lang w:val="it-IT"/>
        </w:rPr>
        <w:lastRenderedPageBreak/>
        <w:t>Predeterminazioni forfettarie</w:t>
      </w:r>
    </w:p>
    <w:p w14:paraId="28923628" w14:textId="4B0BF130" w:rsidR="00DB6DE7" w:rsidRPr="007F7EBF" w:rsidRDefault="00C558C0" w:rsidP="001F1369">
      <w:pPr>
        <w:autoSpaceDE w:val="0"/>
        <w:autoSpaceDN w:val="0"/>
        <w:adjustRightInd w:val="0"/>
        <w:rPr>
          <w:sz w:val="22"/>
          <w:szCs w:val="22"/>
        </w:rPr>
      </w:pPr>
      <w:r>
        <w:rPr>
          <w:sz w:val="22"/>
          <w:szCs w:val="22"/>
        </w:rPr>
        <w:t xml:space="preserve">Queste valutazioni si accompagnano a talune </w:t>
      </w:r>
      <w:r w:rsidR="00B02F49" w:rsidRPr="007F7EBF">
        <w:rPr>
          <w:sz w:val="22"/>
          <w:szCs w:val="22"/>
        </w:rPr>
        <w:t>incertezze</w:t>
      </w:r>
      <w:r>
        <w:rPr>
          <w:sz w:val="22"/>
          <w:szCs w:val="22"/>
        </w:rPr>
        <w:t xml:space="preserve">, davanti alle quali sono stati spesso introdotti, per alcune spese, </w:t>
      </w:r>
      <w:r w:rsidR="006342C5" w:rsidRPr="007F7EBF">
        <w:rPr>
          <w:sz w:val="22"/>
          <w:szCs w:val="22"/>
        </w:rPr>
        <w:t xml:space="preserve">criteri </w:t>
      </w:r>
      <w:r w:rsidR="00B02F49" w:rsidRPr="007F7EBF">
        <w:rPr>
          <w:sz w:val="22"/>
          <w:szCs w:val="22"/>
        </w:rPr>
        <w:t>legislativi</w:t>
      </w:r>
      <w:r w:rsidR="0007734F" w:rsidRPr="007F7EBF">
        <w:rPr>
          <w:sz w:val="22"/>
          <w:szCs w:val="22"/>
        </w:rPr>
        <w:t xml:space="preserve"> predeterminati</w:t>
      </w:r>
      <w:r>
        <w:rPr>
          <w:sz w:val="22"/>
          <w:szCs w:val="22"/>
        </w:rPr>
        <w:t xml:space="preserve">. Oltre al desiderio di certezza, sia pure forfettaria, queste </w:t>
      </w:r>
      <w:r w:rsidR="008315CF" w:rsidRPr="007F7EBF">
        <w:rPr>
          <w:sz w:val="22"/>
          <w:szCs w:val="22"/>
        </w:rPr>
        <w:t xml:space="preserve"> </w:t>
      </w:r>
      <w:r>
        <w:rPr>
          <w:sz w:val="22"/>
          <w:szCs w:val="22"/>
        </w:rPr>
        <w:t xml:space="preserve">limitazioni alla </w:t>
      </w:r>
      <w:r w:rsidR="006342C5" w:rsidRPr="007F7EBF">
        <w:rPr>
          <w:sz w:val="22"/>
          <w:szCs w:val="22"/>
        </w:rPr>
        <w:t>deduzione</w:t>
      </w:r>
      <w:r>
        <w:rPr>
          <w:sz w:val="22"/>
          <w:szCs w:val="22"/>
        </w:rPr>
        <w:t xml:space="preserve">-detrazione </w:t>
      </w:r>
      <w:r w:rsidR="006342C5" w:rsidRPr="007F7EBF">
        <w:rPr>
          <w:sz w:val="22"/>
          <w:szCs w:val="22"/>
        </w:rPr>
        <w:t>IVA di alcune spese</w:t>
      </w:r>
      <w:r w:rsidR="00B02F49" w:rsidRPr="007F7EBF">
        <w:rPr>
          <w:sz w:val="22"/>
          <w:szCs w:val="22"/>
        </w:rPr>
        <w:t xml:space="preserve"> </w:t>
      </w:r>
      <w:r w:rsidR="006342C5" w:rsidRPr="007F7EBF">
        <w:rPr>
          <w:sz w:val="22"/>
          <w:szCs w:val="22"/>
        </w:rPr>
        <w:t xml:space="preserve">sospettate di uso </w:t>
      </w:r>
      <w:proofErr w:type="spellStart"/>
      <w:r w:rsidR="006342C5" w:rsidRPr="007F7EBF">
        <w:rPr>
          <w:sz w:val="22"/>
          <w:szCs w:val="22"/>
        </w:rPr>
        <w:t>personale</w:t>
      </w:r>
      <w:r>
        <w:rPr>
          <w:sz w:val="22"/>
          <w:szCs w:val="22"/>
        </w:rPr>
        <w:t>furono</w:t>
      </w:r>
      <w:proofErr w:type="spellEnd"/>
      <w:r>
        <w:rPr>
          <w:sz w:val="22"/>
          <w:szCs w:val="22"/>
        </w:rPr>
        <w:t xml:space="preserve"> anche considerate </w:t>
      </w:r>
      <w:r w:rsidRPr="007F7EBF">
        <w:rPr>
          <w:sz w:val="22"/>
          <w:szCs w:val="22"/>
        </w:rPr>
        <w:t>strumento di gettito</w:t>
      </w:r>
      <w:r>
        <w:rPr>
          <w:sz w:val="22"/>
          <w:szCs w:val="22"/>
        </w:rPr>
        <w:t xml:space="preserve"> (par.1.9). </w:t>
      </w:r>
      <w:r w:rsidRPr="007F7EBF">
        <w:t>Gli esempi più diffusi di limiti di legge alla deduzione riguardano le spese per autovetture, telefonia, ristorazione, alberghi, biglietti di viaggio</w:t>
      </w:r>
      <w:r>
        <w:t xml:space="preserve"> </w:t>
      </w:r>
      <w:r>
        <w:rPr>
          <w:sz w:val="22"/>
          <w:szCs w:val="22"/>
        </w:rPr>
        <w:t>(</w:t>
      </w:r>
      <w:r w:rsidRPr="007F7EBF">
        <w:rPr>
          <w:rStyle w:val="Rimandonotaapidipagina"/>
          <w:sz w:val="22"/>
          <w:szCs w:val="22"/>
        </w:rPr>
        <w:footnoteReference w:id="1089"/>
      </w:r>
      <w:r>
        <w:rPr>
          <w:sz w:val="22"/>
          <w:szCs w:val="22"/>
        </w:rPr>
        <w:t xml:space="preserve">). </w:t>
      </w:r>
    </w:p>
    <w:p w14:paraId="31C1E469" w14:textId="61A0FFDD" w:rsidR="0022247A" w:rsidRPr="007F7EBF" w:rsidRDefault="0022247A" w:rsidP="0022247A">
      <w:pPr>
        <w:pStyle w:val="tit23"/>
        <w:ind w:left="6464" w:right="-1361" w:firstLine="0"/>
        <w:jc w:val="left"/>
        <w:rPr>
          <w:bCs/>
          <w:i/>
          <w:iCs/>
          <w:color w:val="0000FF"/>
          <w:lang w:val="it-IT"/>
        </w:rPr>
      </w:pPr>
      <w:r w:rsidRPr="007F7EBF">
        <w:rPr>
          <w:bCs/>
          <w:i/>
          <w:iCs/>
          <w:color w:val="0000FF"/>
          <w:lang w:val="it-IT"/>
        </w:rPr>
        <w:t xml:space="preserve"> Imposte</w:t>
      </w:r>
      <w:r>
        <w:rPr>
          <w:bCs/>
          <w:i/>
          <w:iCs/>
          <w:color w:val="0000FF"/>
          <w:lang w:val="it-IT"/>
        </w:rPr>
        <w:t xml:space="preserve"> deducibili</w:t>
      </w:r>
      <w:r w:rsidRPr="007F7EBF">
        <w:rPr>
          <w:bCs/>
          <w:i/>
          <w:iCs/>
          <w:color w:val="0000FF"/>
          <w:lang w:val="it-IT"/>
        </w:rPr>
        <w:t xml:space="preserve"> </w:t>
      </w:r>
    </w:p>
    <w:p w14:paraId="76646DCD" w14:textId="77777777" w:rsidR="0022247A" w:rsidRPr="007F7EBF" w:rsidRDefault="0022247A" w:rsidP="0022247A">
      <w:pPr>
        <w:autoSpaceDE w:val="0"/>
        <w:autoSpaceDN w:val="0"/>
        <w:adjustRightInd w:val="0"/>
        <w:rPr>
          <w:bCs/>
          <w:i/>
          <w:iCs/>
          <w:color w:val="0000FF"/>
          <w:sz w:val="22"/>
          <w:szCs w:val="22"/>
        </w:rPr>
      </w:pPr>
      <w:r w:rsidRPr="007F7EBF">
        <w:rPr>
          <w:sz w:val="22"/>
          <w:szCs w:val="22"/>
        </w:rPr>
        <w:t xml:space="preserve">Le </w:t>
      </w:r>
      <w:r w:rsidRPr="007F7EBF">
        <w:rPr>
          <w:bCs/>
          <w:sz w:val="22"/>
          <w:szCs w:val="22"/>
        </w:rPr>
        <w:t xml:space="preserve">imposte sui redditi, </w:t>
      </w:r>
      <w:proofErr w:type="spellStart"/>
      <w:r w:rsidRPr="007F7EBF">
        <w:rPr>
          <w:bCs/>
          <w:sz w:val="22"/>
          <w:szCs w:val="22"/>
        </w:rPr>
        <w:t>benchè</w:t>
      </w:r>
      <w:proofErr w:type="spellEnd"/>
      <w:r w:rsidRPr="007F7EBF">
        <w:rPr>
          <w:bCs/>
          <w:sz w:val="22"/>
          <w:szCs w:val="22"/>
        </w:rPr>
        <w:t xml:space="preserve"> contabilmente siano un elemento negativo del reddito</w:t>
      </w:r>
      <w:r w:rsidRPr="007F7EBF">
        <w:rPr>
          <w:rStyle w:val="Rimandonotaapidipagina"/>
          <w:bCs/>
          <w:sz w:val="22"/>
          <w:szCs w:val="22"/>
        </w:rPr>
        <w:footnoteReference w:id="1090"/>
      </w:r>
      <w:r w:rsidRPr="007F7EBF">
        <w:rPr>
          <w:bCs/>
          <w:sz w:val="22"/>
          <w:szCs w:val="22"/>
        </w:rPr>
        <w:t xml:space="preserve"> sono indeducibili </w:t>
      </w:r>
      <w:r w:rsidRPr="007F7EBF">
        <w:rPr>
          <w:sz w:val="22"/>
          <w:szCs w:val="22"/>
        </w:rPr>
        <w:t xml:space="preserve">per motivi concettuali, in quanto economicamente </w:t>
      </w:r>
      <w:r w:rsidRPr="007F7EBF">
        <w:rPr>
          <w:i/>
          <w:sz w:val="22"/>
          <w:szCs w:val="22"/>
        </w:rPr>
        <w:t xml:space="preserve">quote di profitto </w:t>
      </w:r>
      <w:r w:rsidRPr="007F7EBF">
        <w:rPr>
          <w:sz w:val="22"/>
          <w:szCs w:val="22"/>
        </w:rPr>
        <w:t xml:space="preserve">logicamente </w:t>
      </w:r>
      <w:r w:rsidRPr="007F7EBF">
        <w:rPr>
          <w:bCs/>
          <w:sz w:val="22"/>
          <w:szCs w:val="22"/>
        </w:rPr>
        <w:t>successive alla determinazione dell’imponibile</w:t>
      </w:r>
      <w:r w:rsidRPr="007F7EBF">
        <w:rPr>
          <w:rStyle w:val="Rimandonotaapidipagina"/>
          <w:bCs/>
          <w:sz w:val="22"/>
          <w:szCs w:val="22"/>
        </w:rPr>
        <w:footnoteReference w:id="1091"/>
      </w:r>
      <w:r w:rsidRPr="007F7EBF">
        <w:rPr>
          <w:bCs/>
          <w:sz w:val="22"/>
          <w:szCs w:val="22"/>
        </w:rPr>
        <w:t xml:space="preserve">. </w:t>
      </w:r>
      <w:r w:rsidRPr="007F7EBF">
        <w:rPr>
          <w:sz w:val="22"/>
          <w:szCs w:val="22"/>
        </w:rPr>
        <w:t xml:space="preserve"> Altre imposte, ad esempio di bollo, registro, doganali, concessioni governative, etc., sono costi deducibili come tutti gli altri</w:t>
      </w:r>
      <w:r>
        <w:rPr>
          <w:sz w:val="22"/>
          <w:szCs w:val="22"/>
        </w:rPr>
        <w:t>(</w:t>
      </w:r>
      <w:r w:rsidRPr="007F7EBF">
        <w:rPr>
          <w:rStyle w:val="Rimandonotaapidipagina"/>
          <w:sz w:val="22"/>
          <w:szCs w:val="22"/>
        </w:rPr>
        <w:footnoteReference w:id="1092"/>
      </w:r>
      <w:r>
        <w:rPr>
          <w:sz w:val="22"/>
          <w:szCs w:val="22"/>
        </w:rPr>
        <w:t>)</w:t>
      </w:r>
      <w:r w:rsidRPr="007F7EBF">
        <w:rPr>
          <w:sz w:val="22"/>
          <w:szCs w:val="22"/>
        </w:rPr>
        <w:t>.</w:t>
      </w:r>
    </w:p>
    <w:p w14:paraId="2599E39D" w14:textId="77777777" w:rsidR="00E15F8F" w:rsidRPr="007F7EBF" w:rsidRDefault="00E15F8F" w:rsidP="00E15F8F">
      <w:pPr>
        <w:autoSpaceDE w:val="0"/>
        <w:autoSpaceDN w:val="0"/>
        <w:adjustRightInd w:val="0"/>
        <w:rPr>
          <w:bCs/>
          <w:i/>
          <w:iCs/>
          <w:color w:val="0000FF"/>
          <w:sz w:val="22"/>
          <w:szCs w:val="22"/>
        </w:rPr>
      </w:pPr>
    </w:p>
    <w:p w14:paraId="1BBDBD81" w14:textId="77777777" w:rsidR="00EC4396" w:rsidRPr="007F7EBF" w:rsidRDefault="00EC4396" w:rsidP="00EC4396">
      <w:pPr>
        <w:pStyle w:val="tit23"/>
        <w:ind w:left="6464" w:right="-1361" w:firstLine="0"/>
        <w:jc w:val="left"/>
        <w:rPr>
          <w:bCs/>
          <w:i/>
          <w:iCs/>
          <w:color w:val="0000FF"/>
          <w:lang w:val="it-IT"/>
        </w:rPr>
      </w:pPr>
      <w:r w:rsidRPr="007F7EBF">
        <w:rPr>
          <w:bCs/>
          <w:i/>
          <w:iCs/>
          <w:color w:val="0000FF"/>
          <w:lang w:val="it-IT"/>
        </w:rPr>
        <w:t>Indeducibilità sanzioni</w:t>
      </w:r>
    </w:p>
    <w:p w14:paraId="2C2B9D92" w14:textId="77777777" w:rsidR="001F1369" w:rsidRPr="007F7EBF" w:rsidRDefault="00113378" w:rsidP="001F1369">
      <w:pPr>
        <w:autoSpaceDE w:val="0"/>
        <w:autoSpaceDN w:val="0"/>
        <w:adjustRightInd w:val="0"/>
        <w:rPr>
          <w:bCs/>
          <w:i/>
          <w:iCs/>
          <w:color w:val="0000FF"/>
          <w:sz w:val="22"/>
          <w:szCs w:val="22"/>
        </w:rPr>
      </w:pPr>
      <w:r w:rsidRPr="007F7EBF">
        <w:rPr>
          <w:sz w:val="22"/>
          <w:szCs w:val="22"/>
        </w:rPr>
        <w:t xml:space="preserve">Non ci sono invece ragioni logiche, ma generiche tendenze </w:t>
      </w:r>
      <w:r w:rsidR="006342C5" w:rsidRPr="007F7EBF">
        <w:rPr>
          <w:sz w:val="22"/>
          <w:szCs w:val="22"/>
        </w:rPr>
        <w:t xml:space="preserve">repressivo-moralizzatrici, </w:t>
      </w:r>
      <w:r w:rsidRPr="007F7EBF">
        <w:rPr>
          <w:sz w:val="22"/>
          <w:szCs w:val="22"/>
        </w:rPr>
        <w:t>dietro</w:t>
      </w:r>
      <w:r w:rsidR="00B02F49" w:rsidRPr="007F7EBF">
        <w:rPr>
          <w:sz w:val="22"/>
          <w:szCs w:val="22"/>
        </w:rPr>
        <w:t xml:space="preserve"> </w:t>
      </w:r>
      <w:r w:rsidR="00EC4396" w:rsidRPr="007F7EBF">
        <w:rPr>
          <w:sz w:val="22"/>
          <w:szCs w:val="22"/>
        </w:rPr>
        <w:t xml:space="preserve">la tendenza amministrativa e giurisprudenziale </w:t>
      </w:r>
      <w:r w:rsidRPr="007F7EBF">
        <w:rPr>
          <w:sz w:val="22"/>
          <w:szCs w:val="22"/>
        </w:rPr>
        <w:t>a</w:t>
      </w:r>
      <w:r w:rsidR="00EC4396" w:rsidRPr="007F7EBF">
        <w:rPr>
          <w:sz w:val="22"/>
          <w:szCs w:val="22"/>
        </w:rPr>
        <w:t>ll</w:t>
      </w:r>
      <w:r w:rsidR="006342C5" w:rsidRPr="007F7EBF">
        <w:rPr>
          <w:bCs/>
          <w:sz w:val="22"/>
          <w:szCs w:val="22"/>
        </w:rPr>
        <w:t xml:space="preserve">’indeducibilità </w:t>
      </w:r>
      <w:r w:rsidRPr="007F7EBF">
        <w:rPr>
          <w:sz w:val="22"/>
          <w:szCs w:val="22"/>
        </w:rPr>
        <w:t xml:space="preserve">delle sanzioni amministrative; sul piano della determinazione della ricchezza le somme risparmiate o i ricavi conseguiti grazie alle violazioni sono imponibili, e le ragioni del </w:t>
      </w:r>
      <w:r w:rsidRPr="007F7EBF">
        <w:rPr>
          <w:sz w:val="22"/>
          <w:szCs w:val="22"/>
        </w:rPr>
        <w:lastRenderedPageBreak/>
        <w:t xml:space="preserve">presunto divieto di deduzione sono istintive e illogiche, vagamente di </w:t>
      </w:r>
      <w:r w:rsidR="00B02F49" w:rsidRPr="007F7EBF">
        <w:rPr>
          <w:sz w:val="22"/>
          <w:szCs w:val="22"/>
        </w:rPr>
        <w:t xml:space="preserve">ordine pubblico e </w:t>
      </w:r>
      <w:r w:rsidR="00192978">
        <w:rPr>
          <w:sz w:val="22"/>
          <w:szCs w:val="22"/>
        </w:rPr>
        <w:t xml:space="preserve">generica moralizzazione </w:t>
      </w:r>
      <w:r w:rsidR="0022247A">
        <w:rPr>
          <w:sz w:val="22"/>
          <w:szCs w:val="22"/>
        </w:rPr>
        <w:t>(</w:t>
      </w:r>
      <w:r w:rsidRPr="007F7EBF">
        <w:rPr>
          <w:rStyle w:val="Rimandonotaapidipagina"/>
          <w:sz w:val="22"/>
          <w:szCs w:val="22"/>
        </w:rPr>
        <w:footnoteReference w:id="1093"/>
      </w:r>
      <w:r w:rsidR="0022247A">
        <w:rPr>
          <w:sz w:val="22"/>
          <w:szCs w:val="22"/>
        </w:rPr>
        <w:t>)</w:t>
      </w:r>
      <w:r w:rsidR="00EC4396" w:rsidRPr="007F7EBF">
        <w:rPr>
          <w:sz w:val="22"/>
          <w:szCs w:val="22"/>
        </w:rPr>
        <w:t xml:space="preserve">. </w:t>
      </w:r>
    </w:p>
    <w:p w14:paraId="2048BF89" w14:textId="77777777" w:rsidR="001F1369" w:rsidRPr="007F7EBF" w:rsidRDefault="001F1369" w:rsidP="001F1369">
      <w:pPr>
        <w:pStyle w:val="tit23"/>
        <w:ind w:left="6464" w:right="-1361" w:firstLine="0"/>
        <w:jc w:val="left"/>
        <w:rPr>
          <w:bCs/>
          <w:i/>
          <w:iCs/>
          <w:color w:val="0000FF"/>
          <w:lang w:val="it-IT"/>
        </w:rPr>
      </w:pPr>
      <w:r w:rsidRPr="007F7EBF">
        <w:rPr>
          <w:bCs/>
          <w:i/>
          <w:iCs/>
          <w:color w:val="0000FF"/>
          <w:lang w:val="it-IT"/>
        </w:rPr>
        <w:t>Remunerazioni dell’imprenditore e degli amministratori</w:t>
      </w:r>
    </w:p>
    <w:p w14:paraId="7D05C0D9" w14:textId="0B91201D" w:rsidR="00DB6DE7" w:rsidRDefault="001F1369" w:rsidP="00DB6DE7">
      <w:pPr>
        <w:autoSpaceDE w:val="0"/>
        <w:autoSpaceDN w:val="0"/>
        <w:adjustRightInd w:val="0"/>
      </w:pPr>
      <w:r w:rsidRPr="007F7EBF">
        <w:rPr>
          <w:sz w:val="22"/>
          <w:szCs w:val="22"/>
        </w:rPr>
        <w:t>Per motivi logici è anche indeducibile la “remunerazione” dell’imprenditore individuale, come pure dei suoi familiari,  ferma restandone l'</w:t>
      </w:r>
      <w:proofErr w:type="spellStart"/>
      <w:r w:rsidRPr="007F7EBF">
        <w:rPr>
          <w:sz w:val="22"/>
          <w:szCs w:val="22"/>
        </w:rPr>
        <w:t>intassabilità</w:t>
      </w:r>
      <w:proofErr w:type="spellEnd"/>
      <w:r w:rsidRPr="007F7EBF">
        <w:rPr>
          <w:sz w:val="22"/>
          <w:szCs w:val="22"/>
        </w:rPr>
        <w:t xml:space="preserve">, per ovvie ragioni di simmetria (par.3.12) in capo ai percettori. La ragione è la mancanza di dualismo tra imprenditore e impresa, che invece riemerge per le società, dove i compensi agli amministratori sono deducibili, e simmetricamente accompagnati dalla </w:t>
      </w:r>
      <w:r w:rsidRPr="007F7EBF">
        <w:rPr>
          <w:bCs/>
          <w:sz w:val="22"/>
          <w:szCs w:val="22"/>
        </w:rPr>
        <w:t xml:space="preserve">tassazione </w:t>
      </w:r>
      <w:r w:rsidRPr="007F7EBF">
        <w:rPr>
          <w:sz w:val="22"/>
          <w:szCs w:val="22"/>
        </w:rPr>
        <w:t>in capo al percipiente, anche qui per le suddette simmetrie.</w:t>
      </w:r>
      <w:r w:rsidRPr="0022247A">
        <w:rPr>
          <w:sz w:val="22"/>
          <w:szCs w:val="22"/>
        </w:rPr>
        <w:t xml:space="preserve"> </w:t>
      </w:r>
    </w:p>
    <w:p w14:paraId="63ECC3C6" w14:textId="07119578" w:rsidR="00DB6DE7" w:rsidRDefault="00EE01B7" w:rsidP="00DB6DE7">
      <w:pPr>
        <w:pStyle w:val="tit23"/>
        <w:ind w:left="6464" w:right="-1361" w:firstLine="0"/>
        <w:jc w:val="left"/>
        <w:rPr>
          <w:b/>
          <w:bCs/>
          <w:i/>
          <w:iCs/>
          <w:color w:val="0000FF"/>
          <w:lang w:val="it-IT"/>
        </w:rPr>
      </w:pPr>
      <w:r>
        <w:rPr>
          <w:bCs/>
          <w:i/>
          <w:iCs/>
          <w:color w:val="0000FF"/>
          <w:lang w:val="it-IT"/>
        </w:rPr>
        <w:t>Effetti ulteriori sui beneficiari (rinvio)</w:t>
      </w:r>
    </w:p>
    <w:p w14:paraId="7914D907" w14:textId="31AA6E40" w:rsidR="00DB6DE7" w:rsidRPr="007F7EBF" w:rsidRDefault="00EE01B7" w:rsidP="00B02F49">
      <w:pPr>
        <w:autoSpaceDE w:val="0"/>
        <w:autoSpaceDN w:val="0"/>
        <w:adjustRightInd w:val="0"/>
        <w:rPr>
          <w:sz w:val="22"/>
          <w:szCs w:val="22"/>
        </w:rPr>
      </w:pPr>
      <w:r>
        <w:rPr>
          <w:sz w:val="22"/>
          <w:szCs w:val="22"/>
        </w:rPr>
        <w:t xml:space="preserve">Il sostenimento di spese per il consumo di terzi, non è solo indeducibile per l’erogante, ma può comportare un reddito in natura per i beneficiari (spesso soci dell’azienda), che potrebbe essere talvolta accertato in capo a costoro, con i problemi di coordinamento e di doppia imposizione indicati al paragrafo 7.17. </w:t>
      </w:r>
    </w:p>
    <w:p w14:paraId="77048AAF" w14:textId="37CA6D37" w:rsidR="00A910BE" w:rsidRPr="007F7EBF" w:rsidRDefault="006342C5" w:rsidP="002C1431">
      <w:pPr>
        <w:pStyle w:val="Titolo3"/>
        <w:rPr>
          <w:sz w:val="22"/>
          <w:szCs w:val="22"/>
        </w:rPr>
      </w:pPr>
      <w:bookmarkStart w:id="108" w:name="_Toc63365019"/>
      <w:r w:rsidRPr="007F7EBF">
        <w:rPr>
          <w:rFonts w:ascii="Times New Roman" w:hAnsi="Times New Roman"/>
          <w:sz w:val="22"/>
          <w:szCs w:val="22"/>
        </w:rPr>
        <w:t xml:space="preserve">7.10. </w:t>
      </w:r>
      <w:r w:rsidRPr="007F7EBF">
        <w:rPr>
          <w:rFonts w:ascii="Times New Roman" w:hAnsi="Times New Roman"/>
          <w:i/>
          <w:iCs/>
          <w:sz w:val="22"/>
          <w:szCs w:val="22"/>
        </w:rPr>
        <w:t>Segue</w:t>
      </w:r>
      <w:r w:rsidRPr="007F7EBF">
        <w:rPr>
          <w:rFonts w:ascii="Times New Roman" w:hAnsi="Times New Roman"/>
          <w:sz w:val="22"/>
          <w:szCs w:val="22"/>
        </w:rPr>
        <w:t xml:space="preserve">: 2) Inerenza e </w:t>
      </w:r>
      <w:r w:rsidR="00DF3DB4" w:rsidRPr="007F7EBF">
        <w:rPr>
          <w:rFonts w:ascii="Times New Roman" w:hAnsi="Times New Roman"/>
          <w:sz w:val="22"/>
          <w:szCs w:val="22"/>
        </w:rPr>
        <w:t xml:space="preserve">simmetria rispetto ad </w:t>
      </w:r>
      <w:r w:rsidRPr="007F7EBF">
        <w:rPr>
          <w:rFonts w:ascii="Times New Roman" w:hAnsi="Times New Roman"/>
          <w:sz w:val="22"/>
          <w:szCs w:val="22"/>
        </w:rPr>
        <w:t xml:space="preserve">operazioni attive non soggette </w:t>
      </w:r>
      <w:r w:rsidR="0056547F" w:rsidRPr="007F7EBF">
        <w:rPr>
          <w:rFonts w:ascii="Times New Roman" w:hAnsi="Times New Roman"/>
          <w:sz w:val="22"/>
          <w:szCs w:val="22"/>
        </w:rPr>
        <w:t xml:space="preserve">tributo (esenzioni IVA </w:t>
      </w:r>
      <w:r w:rsidR="00DF3DB4" w:rsidRPr="007F7EBF">
        <w:rPr>
          <w:rFonts w:ascii="Times New Roman" w:hAnsi="Times New Roman"/>
          <w:sz w:val="22"/>
          <w:szCs w:val="22"/>
        </w:rPr>
        <w:t xml:space="preserve">e </w:t>
      </w:r>
      <w:r w:rsidRPr="007F7EBF">
        <w:rPr>
          <w:rFonts w:ascii="Times New Roman" w:hAnsi="Times New Roman"/>
          <w:sz w:val="22"/>
          <w:szCs w:val="22"/>
        </w:rPr>
        <w:t xml:space="preserve"> deduzione</w:t>
      </w:r>
      <w:r w:rsidR="009F7854" w:rsidRPr="007F7EBF">
        <w:rPr>
          <w:rFonts w:ascii="Times New Roman" w:hAnsi="Times New Roman"/>
          <w:sz w:val="22"/>
          <w:szCs w:val="22"/>
        </w:rPr>
        <w:t xml:space="preserve"> </w:t>
      </w:r>
      <w:r w:rsidRPr="007F7EBF">
        <w:rPr>
          <w:rFonts w:ascii="Times New Roman" w:hAnsi="Times New Roman"/>
          <w:sz w:val="22"/>
          <w:szCs w:val="22"/>
        </w:rPr>
        <w:t>interessi passivi</w:t>
      </w:r>
      <w:r w:rsidR="00DF3DB4" w:rsidRPr="007F7EBF">
        <w:rPr>
          <w:rFonts w:ascii="Times New Roman" w:hAnsi="Times New Roman"/>
          <w:sz w:val="22"/>
          <w:szCs w:val="22"/>
        </w:rPr>
        <w:t xml:space="preserve"> nelle imposte sui redditi)</w:t>
      </w:r>
      <w:bookmarkEnd w:id="108"/>
    </w:p>
    <w:p w14:paraId="04495051" w14:textId="77777777" w:rsidR="00A910BE" w:rsidRPr="007F7EBF" w:rsidRDefault="00A910BE" w:rsidP="00A910BE">
      <w:pPr>
        <w:pStyle w:val="tit23"/>
        <w:ind w:left="6464" w:right="-1361" w:firstLine="0"/>
        <w:jc w:val="left"/>
        <w:rPr>
          <w:bCs/>
          <w:i/>
          <w:iCs/>
          <w:color w:val="0000FF"/>
          <w:lang w:val="it-IT"/>
        </w:rPr>
      </w:pPr>
      <w:r w:rsidRPr="007F7EBF">
        <w:rPr>
          <w:bCs/>
          <w:i/>
          <w:iCs/>
          <w:color w:val="0000FF"/>
          <w:lang w:val="it-IT"/>
        </w:rPr>
        <w:t xml:space="preserve">Simmetrie deduzioni e detrazioni </w:t>
      </w:r>
    </w:p>
    <w:p w14:paraId="1845633F" w14:textId="616B75C5" w:rsidR="004E5DD2" w:rsidRPr="007F7EBF" w:rsidRDefault="006342C5" w:rsidP="004E5DD2">
      <w:pPr>
        <w:autoSpaceDE w:val="0"/>
        <w:autoSpaceDN w:val="0"/>
        <w:adjustRightInd w:val="0"/>
        <w:rPr>
          <w:sz w:val="22"/>
          <w:szCs w:val="22"/>
        </w:rPr>
      </w:pPr>
      <w:r w:rsidRPr="007F7EBF">
        <w:rPr>
          <w:sz w:val="22"/>
          <w:szCs w:val="22"/>
        </w:rPr>
        <w:t>Un diverso tipo di limitazioni alla deducibilità</w:t>
      </w:r>
      <w:r w:rsidR="004A6CAF" w:rsidRPr="007F7EBF">
        <w:rPr>
          <w:sz w:val="22"/>
          <w:szCs w:val="22"/>
        </w:rPr>
        <w:t xml:space="preserve"> dei costi</w:t>
      </w:r>
      <w:r w:rsidR="00A910BE" w:rsidRPr="007F7EBF">
        <w:rPr>
          <w:sz w:val="22"/>
          <w:szCs w:val="22"/>
        </w:rPr>
        <w:t>, e alla detrazione IVA,</w:t>
      </w:r>
      <w:r w:rsidR="004A6CAF" w:rsidRPr="007F7EBF">
        <w:rPr>
          <w:sz w:val="22"/>
          <w:szCs w:val="22"/>
        </w:rPr>
        <w:t xml:space="preserve"> discende invece da</w:t>
      </w:r>
      <w:r w:rsidR="008F20F0">
        <w:rPr>
          <w:sz w:val="22"/>
          <w:szCs w:val="22"/>
        </w:rPr>
        <w:t xml:space="preserve"> “simmetrie impositive” (par.3.12) rispetto a </w:t>
      </w:r>
      <w:r w:rsidR="004A6CAF" w:rsidRPr="007F7EBF">
        <w:rPr>
          <w:sz w:val="22"/>
          <w:szCs w:val="22"/>
        </w:rPr>
        <w:t xml:space="preserve"> operazioni attive irrilevanti ai fini dei rispettivi tributi</w:t>
      </w:r>
      <w:r w:rsidR="00797443">
        <w:rPr>
          <w:sz w:val="22"/>
          <w:szCs w:val="22"/>
        </w:rPr>
        <w:t>, in quanto esenti o escluse (sulla differenza, qui non rilevante, paragrafo 1.9)</w:t>
      </w:r>
      <w:r w:rsidR="00F27DF8">
        <w:rPr>
          <w:sz w:val="22"/>
          <w:szCs w:val="22"/>
        </w:rPr>
        <w:t>. A</w:t>
      </w:r>
      <w:r w:rsidR="004A6CAF" w:rsidRPr="007F7EBF">
        <w:rPr>
          <w:sz w:val="22"/>
          <w:szCs w:val="22"/>
        </w:rPr>
        <w:t xml:space="preserve">lcuni </w:t>
      </w:r>
      <w:r w:rsidR="00611B99" w:rsidRPr="007F7EBF">
        <w:rPr>
          <w:sz w:val="22"/>
          <w:szCs w:val="22"/>
        </w:rPr>
        <w:t xml:space="preserve">elementi attivi </w:t>
      </w:r>
      <w:r w:rsidR="004A6CAF" w:rsidRPr="007F7EBF">
        <w:rPr>
          <w:sz w:val="22"/>
          <w:szCs w:val="22"/>
        </w:rPr>
        <w:t>possono</w:t>
      </w:r>
      <w:r w:rsidR="00611B99" w:rsidRPr="007F7EBF">
        <w:rPr>
          <w:sz w:val="22"/>
          <w:szCs w:val="22"/>
        </w:rPr>
        <w:t xml:space="preserve"> </w:t>
      </w:r>
      <w:r w:rsidR="004A6CAF" w:rsidRPr="007F7EBF">
        <w:rPr>
          <w:bCs/>
          <w:sz w:val="22"/>
          <w:szCs w:val="22"/>
        </w:rPr>
        <w:t xml:space="preserve">non </w:t>
      </w:r>
      <w:r w:rsidR="00F27DF8">
        <w:rPr>
          <w:bCs/>
          <w:sz w:val="22"/>
          <w:szCs w:val="22"/>
        </w:rPr>
        <w:t>essere imponibili coi criteri ordinari</w:t>
      </w:r>
      <w:r w:rsidRPr="007F7EBF">
        <w:rPr>
          <w:bCs/>
          <w:sz w:val="22"/>
          <w:szCs w:val="22"/>
        </w:rPr>
        <w:t xml:space="preserve">, </w:t>
      </w:r>
      <w:r w:rsidR="00F27DF8" w:rsidRPr="007F7EBF">
        <w:rPr>
          <w:bCs/>
          <w:sz w:val="22"/>
          <w:szCs w:val="22"/>
        </w:rPr>
        <w:lastRenderedPageBreak/>
        <w:t>venendo invece esentati</w:t>
      </w:r>
      <w:r w:rsidR="00F27DF8">
        <w:rPr>
          <w:bCs/>
          <w:sz w:val="22"/>
          <w:szCs w:val="22"/>
        </w:rPr>
        <w:t xml:space="preserve">, forfettizzati </w:t>
      </w:r>
      <w:r w:rsidR="00F27DF8" w:rsidRPr="007F7EBF">
        <w:rPr>
          <w:bCs/>
          <w:sz w:val="22"/>
          <w:szCs w:val="22"/>
        </w:rPr>
        <w:t xml:space="preserve">o </w:t>
      </w:r>
      <w:r w:rsidR="00F27DF8">
        <w:rPr>
          <w:bCs/>
          <w:sz w:val="22"/>
          <w:szCs w:val="22"/>
        </w:rPr>
        <w:t>as</w:t>
      </w:r>
      <w:r w:rsidR="00F27DF8" w:rsidRPr="007F7EBF">
        <w:rPr>
          <w:bCs/>
          <w:sz w:val="22"/>
          <w:szCs w:val="22"/>
        </w:rPr>
        <w:t>soggett</w:t>
      </w:r>
      <w:r w:rsidR="00F27DF8">
        <w:rPr>
          <w:bCs/>
          <w:sz w:val="22"/>
          <w:szCs w:val="22"/>
        </w:rPr>
        <w:t>ati</w:t>
      </w:r>
      <w:r w:rsidR="00F27DF8" w:rsidRPr="007F7EBF">
        <w:rPr>
          <w:bCs/>
          <w:sz w:val="22"/>
          <w:szCs w:val="22"/>
        </w:rPr>
        <w:t xml:space="preserve"> ad aliquota agevolata </w:t>
      </w:r>
      <w:r w:rsidRPr="007F7EBF">
        <w:rPr>
          <w:bCs/>
          <w:sz w:val="22"/>
          <w:szCs w:val="22"/>
        </w:rPr>
        <w:t>per ragioni</w:t>
      </w:r>
      <w:r w:rsidR="004A6CAF" w:rsidRPr="007F7EBF">
        <w:rPr>
          <w:bCs/>
          <w:sz w:val="22"/>
          <w:szCs w:val="22"/>
        </w:rPr>
        <w:t xml:space="preserve"> tecniche, agevolative</w:t>
      </w:r>
      <w:r w:rsidR="00F27DF8">
        <w:rPr>
          <w:bCs/>
          <w:sz w:val="22"/>
          <w:szCs w:val="22"/>
        </w:rPr>
        <w:t>,</w:t>
      </w:r>
      <w:r w:rsidR="004A6CAF" w:rsidRPr="007F7EBF">
        <w:rPr>
          <w:bCs/>
          <w:sz w:val="22"/>
          <w:szCs w:val="22"/>
        </w:rPr>
        <w:t xml:space="preserve"> o un misto delle due</w:t>
      </w:r>
      <w:r w:rsidR="004A6CAF" w:rsidRPr="007F7EBF">
        <w:rPr>
          <w:rStyle w:val="Rimandonotaapidipagina"/>
          <w:bCs/>
          <w:sz w:val="22"/>
          <w:szCs w:val="22"/>
        </w:rPr>
        <w:footnoteReference w:id="1094"/>
      </w:r>
      <w:r w:rsidR="00F27DF8">
        <w:rPr>
          <w:bCs/>
          <w:sz w:val="22"/>
          <w:szCs w:val="22"/>
        </w:rPr>
        <w:t>; corrispondentemente viene quindi spesso proporzionalmente limitata la deduzione dei correlati elementi negativi</w:t>
      </w:r>
      <w:r w:rsidR="004E5DD2" w:rsidRPr="007F7EBF">
        <w:rPr>
          <w:sz w:val="22"/>
          <w:szCs w:val="22"/>
        </w:rPr>
        <w:t>.</w:t>
      </w:r>
    </w:p>
    <w:p w14:paraId="50FD44C7" w14:textId="167C6A30" w:rsidR="00F27DF8" w:rsidRDefault="00F27DF8" w:rsidP="00F27DF8">
      <w:pPr>
        <w:pStyle w:val="tit23"/>
        <w:ind w:left="6464" w:right="-1361" w:firstLine="0"/>
        <w:jc w:val="left"/>
        <w:rPr>
          <w:bCs/>
          <w:i/>
          <w:iCs/>
          <w:color w:val="0000FF"/>
          <w:lang w:val="it-IT"/>
        </w:rPr>
      </w:pPr>
      <w:r>
        <w:rPr>
          <w:bCs/>
          <w:i/>
          <w:iCs/>
          <w:color w:val="0000FF"/>
          <w:lang w:val="it-IT"/>
        </w:rPr>
        <w:t xml:space="preserve">Le operazioni esenti IVA </w:t>
      </w:r>
    </w:p>
    <w:p w14:paraId="339244CE" w14:textId="0576DD9F" w:rsidR="00AA4433" w:rsidRPr="007F7EBF" w:rsidRDefault="00797443" w:rsidP="004A6CAF">
      <w:pPr>
        <w:autoSpaceDE w:val="0"/>
        <w:autoSpaceDN w:val="0"/>
        <w:adjustRightInd w:val="0"/>
        <w:rPr>
          <w:sz w:val="22"/>
          <w:szCs w:val="22"/>
        </w:rPr>
      </w:pPr>
      <w:r>
        <w:rPr>
          <w:sz w:val="22"/>
          <w:szCs w:val="22"/>
        </w:rPr>
        <w:t xml:space="preserve">Questo fenomeno è innescato dalle </w:t>
      </w:r>
      <w:r w:rsidR="004E5DD2" w:rsidRPr="007F7EBF">
        <w:rPr>
          <w:sz w:val="22"/>
          <w:szCs w:val="22"/>
        </w:rPr>
        <w:t>operazioni "esenti da IVA"</w:t>
      </w:r>
      <w:r>
        <w:rPr>
          <w:sz w:val="22"/>
          <w:szCs w:val="22"/>
        </w:rPr>
        <w:t>, rese necessarie dall’ampiezza della sfera applicativa di un tributo sui consumi basato sui corrispettivi contrattuali (par.7.2); alcune</w:t>
      </w:r>
      <w:r w:rsidR="004E5DD2" w:rsidRPr="007F7EBF">
        <w:rPr>
          <w:sz w:val="22"/>
          <w:szCs w:val="22"/>
        </w:rPr>
        <w:t xml:space="preserve"> operazioni eterogenee (</w:t>
      </w:r>
      <w:r w:rsidR="004E5DD2" w:rsidRPr="007F7EBF">
        <w:rPr>
          <w:rStyle w:val="Rimandonotaapidipagina"/>
          <w:sz w:val="22"/>
          <w:szCs w:val="22"/>
        </w:rPr>
        <w:footnoteReference w:id="1095"/>
      </w:r>
      <w:r w:rsidR="004E5DD2" w:rsidRPr="007F7EBF">
        <w:rPr>
          <w:sz w:val="22"/>
          <w:szCs w:val="22"/>
        </w:rPr>
        <w:t>)</w:t>
      </w:r>
      <w:r>
        <w:rPr>
          <w:sz w:val="22"/>
          <w:szCs w:val="22"/>
        </w:rPr>
        <w:t xml:space="preserve">, ma importanti, esprimono </w:t>
      </w:r>
      <w:r w:rsidR="004E5DD2" w:rsidRPr="007F7EBF">
        <w:rPr>
          <w:sz w:val="22"/>
          <w:szCs w:val="22"/>
        </w:rPr>
        <w:t>un consumo socialmente meritevole, come per la sanità, la scuola, le locazioni abitative</w:t>
      </w:r>
      <w:r>
        <w:rPr>
          <w:sz w:val="22"/>
          <w:szCs w:val="22"/>
        </w:rPr>
        <w:t xml:space="preserve">, oppure sono prive di un consumo in senso proprio, </w:t>
      </w:r>
      <w:r w:rsidRPr="007F7EBF">
        <w:rPr>
          <w:sz w:val="22"/>
          <w:szCs w:val="22"/>
        </w:rPr>
        <w:t xml:space="preserve">come per le banche </w:t>
      </w:r>
      <w:r>
        <w:rPr>
          <w:sz w:val="22"/>
          <w:szCs w:val="22"/>
        </w:rPr>
        <w:t xml:space="preserve">o gestioni assicurativo finanziarie </w:t>
      </w:r>
      <w:r w:rsidRPr="007F7EBF">
        <w:rPr>
          <w:sz w:val="22"/>
          <w:szCs w:val="22"/>
        </w:rPr>
        <w:t>(</w:t>
      </w:r>
      <w:r w:rsidRPr="007F7EBF">
        <w:rPr>
          <w:rStyle w:val="Rimandonotaapidipagina"/>
          <w:sz w:val="22"/>
          <w:szCs w:val="22"/>
        </w:rPr>
        <w:footnoteReference w:id="1096"/>
      </w:r>
      <w:r w:rsidRPr="007F7EBF">
        <w:rPr>
          <w:sz w:val="22"/>
          <w:szCs w:val="22"/>
        </w:rPr>
        <w:t>)</w:t>
      </w:r>
      <w:r>
        <w:rPr>
          <w:sz w:val="22"/>
          <w:szCs w:val="22"/>
        </w:rPr>
        <w:t xml:space="preserve">. Per entrambe queste </w:t>
      </w:r>
      <w:r w:rsidR="00EB57F0">
        <w:rPr>
          <w:sz w:val="22"/>
          <w:szCs w:val="22"/>
        </w:rPr>
        <w:t xml:space="preserve">tipologie di </w:t>
      </w:r>
      <w:r>
        <w:rPr>
          <w:sz w:val="22"/>
          <w:szCs w:val="22"/>
        </w:rPr>
        <w:t>attività sarebbe stata un</w:t>
      </w:r>
      <w:r w:rsidR="004E5DD2" w:rsidRPr="007F7EBF">
        <w:rPr>
          <w:sz w:val="22"/>
          <w:szCs w:val="22"/>
        </w:rPr>
        <w:t xml:space="preserve">'agevolazione </w:t>
      </w:r>
      <w:r>
        <w:rPr>
          <w:sz w:val="22"/>
          <w:szCs w:val="22"/>
        </w:rPr>
        <w:t>eccessiva</w:t>
      </w:r>
      <w:r w:rsidR="004E5DD2" w:rsidRPr="007F7EBF">
        <w:rPr>
          <w:sz w:val="22"/>
          <w:szCs w:val="22"/>
        </w:rPr>
        <w:t xml:space="preserve"> la piena detraibilità dell'IVA sugli acquisti(</w:t>
      </w:r>
      <w:r w:rsidR="004E5DD2" w:rsidRPr="007F7EBF">
        <w:rPr>
          <w:rStyle w:val="Rimandonotaapidipagina"/>
          <w:sz w:val="22"/>
          <w:szCs w:val="22"/>
        </w:rPr>
        <w:footnoteReference w:id="1097"/>
      </w:r>
      <w:r w:rsidR="004E5DD2" w:rsidRPr="007F7EBF">
        <w:rPr>
          <w:sz w:val="22"/>
          <w:szCs w:val="22"/>
        </w:rPr>
        <w:t>)</w:t>
      </w:r>
      <w:r w:rsidR="00F27DF8">
        <w:rPr>
          <w:sz w:val="22"/>
          <w:szCs w:val="22"/>
        </w:rPr>
        <w:t>,</w:t>
      </w:r>
      <w:r>
        <w:rPr>
          <w:sz w:val="22"/>
          <w:szCs w:val="22"/>
        </w:rPr>
        <w:t xml:space="preserve"> </w:t>
      </w:r>
      <w:r w:rsidR="00EB57F0">
        <w:rPr>
          <w:sz w:val="22"/>
          <w:szCs w:val="22"/>
        </w:rPr>
        <w:t xml:space="preserve">pur </w:t>
      </w:r>
      <w:r>
        <w:rPr>
          <w:sz w:val="22"/>
          <w:szCs w:val="22"/>
        </w:rPr>
        <w:t>in assenza di IVA sulle vendite</w:t>
      </w:r>
      <w:r w:rsidR="00EB57F0">
        <w:rPr>
          <w:sz w:val="22"/>
          <w:szCs w:val="22"/>
        </w:rPr>
        <w:t>. E’ stato quindi elaborato un meccanismo comunitario, tecnicamente complesso, ma concettualmente intuitivo, secondo cui è indetraibile l’IVA su acquisti utilizzati per svolgere operazioni attive esenti, e soprattutto la detrazione generale è proporzionalmente limitata ad una percentuale data dal rapporto tra operazioni esenti e operazioni totali; visto che le prime sono una parte delle seconde, il rapporto percentuale che ne deriva, c.d. “pro rata generale” di cui all’art.19 bis del decreto IVA, applicato all’IVA</w:t>
      </w:r>
      <w:r w:rsidR="004E5DD2" w:rsidRPr="007F7EBF">
        <w:rPr>
          <w:sz w:val="22"/>
          <w:szCs w:val="22"/>
        </w:rPr>
        <w:t xml:space="preserve"> </w:t>
      </w:r>
      <w:r w:rsidR="00EB57F0">
        <w:rPr>
          <w:sz w:val="22"/>
          <w:szCs w:val="22"/>
        </w:rPr>
        <w:t xml:space="preserve">totale </w:t>
      </w:r>
      <w:r w:rsidR="004E5DD2" w:rsidRPr="007F7EBF">
        <w:rPr>
          <w:sz w:val="22"/>
          <w:szCs w:val="22"/>
        </w:rPr>
        <w:t>sugli acquisti</w:t>
      </w:r>
      <w:r w:rsidR="00EB57F0">
        <w:rPr>
          <w:sz w:val="22"/>
          <w:szCs w:val="22"/>
        </w:rPr>
        <w:t xml:space="preserve"> dell’anno</w:t>
      </w:r>
      <w:r w:rsidR="004E5DD2" w:rsidRPr="007F7EBF">
        <w:rPr>
          <w:sz w:val="22"/>
          <w:szCs w:val="22"/>
        </w:rPr>
        <w:t>,</w:t>
      </w:r>
      <w:r w:rsidR="00EB57F0">
        <w:rPr>
          <w:sz w:val="22"/>
          <w:szCs w:val="22"/>
        </w:rPr>
        <w:t xml:space="preserve"> ne fornisce la percentuale d</w:t>
      </w:r>
      <w:r w:rsidR="004E5DD2" w:rsidRPr="007F7EBF">
        <w:rPr>
          <w:sz w:val="22"/>
          <w:szCs w:val="22"/>
        </w:rPr>
        <w:t xml:space="preserve">etraibile. </w:t>
      </w:r>
    </w:p>
    <w:p w14:paraId="0D66676F" w14:textId="77777777" w:rsidR="00AA4433" w:rsidRPr="007F7EBF" w:rsidRDefault="00AA4433" w:rsidP="00AA4433">
      <w:pPr>
        <w:pStyle w:val="tit23"/>
        <w:ind w:left="6464" w:right="-1361" w:firstLine="0"/>
        <w:jc w:val="left"/>
        <w:rPr>
          <w:bCs/>
          <w:i/>
          <w:iCs/>
          <w:color w:val="0000FF"/>
          <w:lang w:val="it-IT"/>
        </w:rPr>
      </w:pPr>
      <w:r w:rsidRPr="007F7EBF">
        <w:rPr>
          <w:bCs/>
          <w:i/>
          <w:iCs/>
          <w:color w:val="0000FF"/>
          <w:lang w:val="it-IT"/>
        </w:rPr>
        <w:t>Rischio di arbitraggi nelle imposte sui redditi</w:t>
      </w:r>
    </w:p>
    <w:p w14:paraId="2C9AC393" w14:textId="6581A4D2" w:rsidR="00024076" w:rsidRPr="007F7EBF" w:rsidRDefault="008D42F0" w:rsidP="003F6520">
      <w:pPr>
        <w:autoSpaceDE w:val="0"/>
        <w:autoSpaceDN w:val="0"/>
        <w:adjustRightInd w:val="0"/>
        <w:rPr>
          <w:sz w:val="22"/>
          <w:szCs w:val="22"/>
        </w:rPr>
      </w:pPr>
      <w:r>
        <w:rPr>
          <w:sz w:val="22"/>
          <w:szCs w:val="22"/>
        </w:rPr>
        <w:t xml:space="preserve">Nelle imposte sui redditi </w:t>
      </w:r>
      <w:r w:rsidR="00EB57F0">
        <w:rPr>
          <w:sz w:val="22"/>
          <w:szCs w:val="22"/>
        </w:rPr>
        <w:t>il fenomeno è più raro, perché le c.d. “agevolazioni di ricavi</w:t>
      </w:r>
      <w:r w:rsidR="006F1CEC">
        <w:rPr>
          <w:sz w:val="22"/>
          <w:szCs w:val="22"/>
        </w:rPr>
        <w:t xml:space="preserve"> lordi</w:t>
      </w:r>
      <w:r w:rsidR="00EB57F0">
        <w:rPr>
          <w:sz w:val="22"/>
          <w:szCs w:val="22"/>
        </w:rPr>
        <w:t xml:space="preserve">” </w:t>
      </w:r>
      <w:r w:rsidR="006F1CEC">
        <w:rPr>
          <w:sz w:val="22"/>
          <w:szCs w:val="22"/>
        </w:rPr>
        <w:t xml:space="preserve">sono ormai rare, anche se nei decenni </w:t>
      </w:r>
      <w:r w:rsidR="006F1CEC">
        <w:rPr>
          <w:sz w:val="22"/>
          <w:szCs w:val="22"/>
        </w:rPr>
        <w:lastRenderedPageBreak/>
        <w:t xml:space="preserve">passati ricordiamo la rilevante esenzione degli interessi su titoli di stato. Proprio quest’esenzione ispirò </w:t>
      </w:r>
      <w:r w:rsidR="00594CD1">
        <w:rPr>
          <w:sz w:val="22"/>
          <w:szCs w:val="22"/>
        </w:rPr>
        <w:t>le disposizioni generali sull’indeducibilità dei costi relativi a ricavi che non concorrono a formare il reddito d’impresa, scambiata erroneamente, come indicato al paragrafo precedente, per una definizione generale di inerenza</w:t>
      </w:r>
      <w:r>
        <w:rPr>
          <w:sz w:val="22"/>
          <w:szCs w:val="22"/>
        </w:rPr>
        <w:t xml:space="preserve">. </w:t>
      </w:r>
      <w:r w:rsidR="00611B99" w:rsidRPr="007F7EBF">
        <w:rPr>
          <w:sz w:val="22"/>
          <w:szCs w:val="22"/>
        </w:rPr>
        <w:t>Il caso limite è quello in cui un costo e un ricavo simmetricamente si equivalgono, ma il ricavo è esente, e quindi, se il costo fosse deducibile, si avrebbe un rispa</w:t>
      </w:r>
      <w:r w:rsidR="004938F0" w:rsidRPr="007F7EBF">
        <w:rPr>
          <w:sz w:val="22"/>
          <w:szCs w:val="22"/>
        </w:rPr>
        <w:t xml:space="preserve">rmio fiscale netto </w:t>
      </w:r>
      <w:r w:rsidR="004A6CAF" w:rsidRPr="007F7EBF">
        <w:rPr>
          <w:sz w:val="22"/>
          <w:szCs w:val="22"/>
        </w:rPr>
        <w:t>in</w:t>
      </w:r>
      <w:r w:rsidR="004938F0" w:rsidRPr="007F7EBF">
        <w:rPr>
          <w:sz w:val="22"/>
          <w:szCs w:val="22"/>
        </w:rPr>
        <w:t>giustificato</w:t>
      </w:r>
      <w:r w:rsidR="006F1CEC">
        <w:rPr>
          <w:sz w:val="22"/>
          <w:szCs w:val="22"/>
        </w:rPr>
        <w:t>(</w:t>
      </w:r>
      <w:r w:rsidR="004A6CAF" w:rsidRPr="007F7EBF">
        <w:rPr>
          <w:rStyle w:val="Rimandonotaapidipagina"/>
          <w:sz w:val="22"/>
          <w:szCs w:val="22"/>
        </w:rPr>
        <w:footnoteReference w:id="1098"/>
      </w:r>
      <w:r w:rsidR="006F1CEC">
        <w:rPr>
          <w:sz w:val="22"/>
          <w:szCs w:val="22"/>
        </w:rPr>
        <w:t>)</w:t>
      </w:r>
      <w:r w:rsidR="00611B99" w:rsidRPr="007F7EBF">
        <w:rPr>
          <w:sz w:val="22"/>
          <w:szCs w:val="22"/>
        </w:rPr>
        <w:t xml:space="preserve">; </w:t>
      </w:r>
      <w:r w:rsidR="00594CD1">
        <w:rPr>
          <w:sz w:val="22"/>
          <w:szCs w:val="22"/>
        </w:rPr>
        <w:t xml:space="preserve">Se </w:t>
      </w:r>
      <w:r w:rsidR="00594CD1" w:rsidRPr="007F7EBF">
        <w:rPr>
          <w:sz w:val="22"/>
          <w:szCs w:val="22"/>
        </w:rPr>
        <w:t>due operazioni, positive o negative,</w:t>
      </w:r>
      <w:r w:rsidR="00594CD1">
        <w:rPr>
          <w:sz w:val="22"/>
          <w:szCs w:val="22"/>
        </w:rPr>
        <w:t xml:space="preserve"> </w:t>
      </w:r>
      <w:r w:rsidR="00594CD1" w:rsidRPr="007F7EBF">
        <w:rPr>
          <w:sz w:val="22"/>
          <w:szCs w:val="22"/>
        </w:rPr>
        <w:t xml:space="preserve">economicamente si giustificano a vicenda, e l'una rappresenta la contropartita dell'altra, una asimmetria di regime tributario può provocare "arbitraggi fiscali" </w:t>
      </w:r>
      <w:r w:rsidR="00594CD1">
        <w:rPr>
          <w:sz w:val="22"/>
          <w:szCs w:val="22"/>
        </w:rPr>
        <w:t xml:space="preserve">di cui </w:t>
      </w:r>
      <w:r w:rsidR="00594CD1" w:rsidRPr="007F7EBF">
        <w:rPr>
          <w:sz w:val="22"/>
          <w:szCs w:val="22"/>
        </w:rPr>
        <w:t xml:space="preserve">al par.3.12. </w:t>
      </w:r>
      <w:r w:rsidR="00611B99" w:rsidRPr="007F7EBF">
        <w:rPr>
          <w:sz w:val="22"/>
          <w:szCs w:val="22"/>
        </w:rPr>
        <w:t xml:space="preserve">nella fattispecie,  </w:t>
      </w:r>
      <w:r w:rsidR="006342C5" w:rsidRPr="007F7EBF">
        <w:rPr>
          <w:sz w:val="22"/>
          <w:szCs w:val="22"/>
        </w:rPr>
        <w:t xml:space="preserve">i costi relativi a un ricavo escluso da tassazione, </w:t>
      </w:r>
      <w:r w:rsidR="00611B99" w:rsidRPr="007F7EBF">
        <w:rPr>
          <w:sz w:val="22"/>
          <w:szCs w:val="22"/>
        </w:rPr>
        <w:t xml:space="preserve">graverebbero </w:t>
      </w:r>
      <w:r w:rsidR="006342C5" w:rsidRPr="007F7EBF">
        <w:rPr>
          <w:sz w:val="22"/>
          <w:szCs w:val="22"/>
        </w:rPr>
        <w:t>sul resto dei ricavi</w:t>
      </w:r>
      <w:r w:rsidR="004A6CAF" w:rsidRPr="007F7EBF">
        <w:rPr>
          <w:sz w:val="22"/>
          <w:szCs w:val="22"/>
        </w:rPr>
        <w:t xml:space="preserve"> imponibili, riducendoli i</w:t>
      </w:r>
      <w:r w:rsidR="006342C5" w:rsidRPr="007F7EBF">
        <w:rPr>
          <w:sz w:val="22"/>
          <w:szCs w:val="22"/>
        </w:rPr>
        <w:t>ngiustificatamente</w:t>
      </w:r>
      <w:r w:rsidR="00AA4433" w:rsidRPr="007F7EBF">
        <w:rPr>
          <w:rStyle w:val="Rimandonotaapidipagina"/>
          <w:sz w:val="22"/>
          <w:szCs w:val="22"/>
        </w:rPr>
        <w:footnoteReference w:id="1099"/>
      </w:r>
      <w:r w:rsidR="006342C5" w:rsidRPr="007F7EBF">
        <w:rPr>
          <w:sz w:val="22"/>
          <w:szCs w:val="22"/>
        </w:rPr>
        <w:t xml:space="preserve">. </w:t>
      </w:r>
    </w:p>
    <w:p w14:paraId="65CD94C9" w14:textId="2D741822" w:rsidR="003F6520" w:rsidRPr="007F7EBF" w:rsidRDefault="00A11F99" w:rsidP="003F6520">
      <w:pPr>
        <w:autoSpaceDE w:val="0"/>
        <w:autoSpaceDN w:val="0"/>
        <w:adjustRightInd w:val="0"/>
        <w:rPr>
          <w:sz w:val="22"/>
          <w:szCs w:val="22"/>
        </w:rPr>
      </w:pPr>
      <w:r w:rsidRPr="007F7EBF">
        <w:rPr>
          <w:sz w:val="22"/>
          <w:szCs w:val="22"/>
        </w:rPr>
        <w:t xml:space="preserve">Questi </w:t>
      </w:r>
      <w:r w:rsidR="008D42F0">
        <w:rPr>
          <w:sz w:val="22"/>
          <w:szCs w:val="22"/>
        </w:rPr>
        <w:t>limiti alla deduzione non si giustificano invece</w:t>
      </w:r>
      <w:r w:rsidR="00325069" w:rsidRPr="007F7EBF">
        <w:rPr>
          <w:sz w:val="22"/>
          <w:szCs w:val="22"/>
        </w:rPr>
        <w:t xml:space="preserve"> quando la non imponibilità del ricavo non dipende da agevolazioni, ma è conforme alla logica del tributo, </w:t>
      </w:r>
      <w:r w:rsidR="00024076" w:rsidRPr="007F7EBF">
        <w:rPr>
          <w:sz w:val="22"/>
          <w:szCs w:val="22"/>
        </w:rPr>
        <w:t xml:space="preserve">sul piano della determinazione della ricchezza è quello che </w:t>
      </w:r>
      <w:r w:rsidR="00325069" w:rsidRPr="007F7EBF">
        <w:rPr>
          <w:sz w:val="22"/>
          <w:szCs w:val="22"/>
        </w:rPr>
        <w:t xml:space="preserve">accade per i </w:t>
      </w:r>
      <w:r w:rsidRPr="007F7EBF">
        <w:rPr>
          <w:sz w:val="22"/>
          <w:szCs w:val="22"/>
        </w:rPr>
        <w:t xml:space="preserve">dividendi </w:t>
      </w:r>
      <w:proofErr w:type="spellStart"/>
      <w:r w:rsidR="00325069" w:rsidRPr="007F7EBF">
        <w:rPr>
          <w:sz w:val="22"/>
          <w:szCs w:val="22"/>
        </w:rPr>
        <w:t>i</w:t>
      </w:r>
      <w:r w:rsidRPr="007F7EBF">
        <w:rPr>
          <w:sz w:val="22"/>
          <w:szCs w:val="22"/>
        </w:rPr>
        <w:t>ntersocietari</w:t>
      </w:r>
      <w:proofErr w:type="spellEnd"/>
      <w:r w:rsidRPr="007F7EBF">
        <w:rPr>
          <w:sz w:val="22"/>
          <w:szCs w:val="22"/>
        </w:rPr>
        <w:t xml:space="preserve"> e le plusvalenze su partecipazioni</w:t>
      </w:r>
      <w:r w:rsidR="008D42F0">
        <w:rPr>
          <w:sz w:val="22"/>
          <w:szCs w:val="22"/>
        </w:rPr>
        <w:t xml:space="preserve"> </w:t>
      </w:r>
      <w:r w:rsidRPr="007F7EBF">
        <w:rPr>
          <w:sz w:val="22"/>
          <w:szCs w:val="22"/>
        </w:rPr>
        <w:t xml:space="preserve">sociali, la cui mancata tassazione non ha finalità </w:t>
      </w:r>
      <w:r w:rsidR="00325069" w:rsidRPr="007F7EBF">
        <w:rPr>
          <w:sz w:val="22"/>
          <w:szCs w:val="22"/>
        </w:rPr>
        <w:t>a</w:t>
      </w:r>
      <w:r w:rsidRPr="007F7EBF">
        <w:rPr>
          <w:sz w:val="22"/>
          <w:szCs w:val="22"/>
        </w:rPr>
        <w:t>gevolative, ma dipende da</w:t>
      </w:r>
      <w:r w:rsidR="00325069" w:rsidRPr="007F7EBF">
        <w:rPr>
          <w:sz w:val="22"/>
          <w:szCs w:val="22"/>
        </w:rPr>
        <w:t xml:space="preserve"> </w:t>
      </w:r>
      <w:r w:rsidRPr="007F7EBF">
        <w:rPr>
          <w:sz w:val="22"/>
          <w:szCs w:val="22"/>
        </w:rPr>
        <w:t xml:space="preserve">tassazioni in capo ad altri </w:t>
      </w:r>
      <w:r w:rsidR="00325069" w:rsidRPr="007F7EBF">
        <w:rPr>
          <w:sz w:val="22"/>
          <w:szCs w:val="22"/>
        </w:rPr>
        <w:t>s</w:t>
      </w:r>
      <w:r w:rsidRPr="007F7EBF">
        <w:rPr>
          <w:sz w:val="22"/>
          <w:szCs w:val="22"/>
        </w:rPr>
        <w:t>oggetti</w:t>
      </w:r>
      <w:r w:rsidR="003F6520" w:rsidRPr="007F7EBF">
        <w:rPr>
          <w:sz w:val="22"/>
          <w:szCs w:val="22"/>
        </w:rPr>
        <w:t>, come indicato al par.7.17</w:t>
      </w:r>
      <w:r w:rsidR="002C1431">
        <w:rPr>
          <w:sz w:val="22"/>
          <w:szCs w:val="22"/>
        </w:rPr>
        <w:t xml:space="preserve"> (</w:t>
      </w:r>
      <w:r w:rsidR="003F6520" w:rsidRPr="007F7EBF">
        <w:rPr>
          <w:rStyle w:val="Rimandonotaapidipagina"/>
          <w:sz w:val="22"/>
          <w:szCs w:val="22"/>
        </w:rPr>
        <w:footnoteReference w:id="1100"/>
      </w:r>
      <w:r w:rsidR="002C1431">
        <w:rPr>
          <w:sz w:val="22"/>
          <w:szCs w:val="22"/>
        </w:rPr>
        <w:t>)</w:t>
      </w:r>
      <w:r w:rsidR="003F6520" w:rsidRPr="007F7EBF">
        <w:rPr>
          <w:sz w:val="22"/>
          <w:szCs w:val="22"/>
        </w:rPr>
        <w:t>.</w:t>
      </w:r>
    </w:p>
    <w:p w14:paraId="1AD1BF1C" w14:textId="77777777" w:rsidR="003F6520" w:rsidRPr="007F7EBF" w:rsidRDefault="003F6520" w:rsidP="003F6520">
      <w:pPr>
        <w:pStyle w:val="tit23"/>
        <w:ind w:left="6464" w:right="-1361" w:firstLine="0"/>
        <w:jc w:val="left"/>
        <w:rPr>
          <w:bCs/>
          <w:i/>
          <w:iCs/>
          <w:color w:val="0000FF"/>
          <w:lang w:val="it-IT"/>
        </w:rPr>
      </w:pPr>
      <w:r w:rsidRPr="007F7EBF">
        <w:rPr>
          <w:bCs/>
          <w:i/>
          <w:iCs/>
          <w:color w:val="0000FF"/>
          <w:lang w:val="it-IT"/>
        </w:rPr>
        <w:t>esenzioni redditi netti o forfettari</w:t>
      </w:r>
    </w:p>
    <w:p w14:paraId="7B9D51B6" w14:textId="5FBF7F1A" w:rsidR="003F6520" w:rsidRPr="007F7EBF" w:rsidRDefault="007C7CE6" w:rsidP="003F6520">
      <w:pPr>
        <w:autoSpaceDE w:val="0"/>
        <w:autoSpaceDN w:val="0"/>
        <w:adjustRightInd w:val="0"/>
        <w:rPr>
          <w:sz w:val="22"/>
          <w:szCs w:val="22"/>
        </w:rPr>
      </w:pPr>
      <w:r w:rsidRPr="007F7EBF">
        <w:rPr>
          <w:sz w:val="22"/>
          <w:szCs w:val="22"/>
        </w:rPr>
        <w:t xml:space="preserve">Le suddette </w:t>
      </w:r>
      <w:r w:rsidR="003F6520" w:rsidRPr="007F7EBF">
        <w:rPr>
          <w:sz w:val="22"/>
          <w:szCs w:val="22"/>
        </w:rPr>
        <w:t xml:space="preserve">asimmetrie non si </w:t>
      </w:r>
      <w:r w:rsidRPr="007F7EBF">
        <w:rPr>
          <w:sz w:val="22"/>
          <w:szCs w:val="22"/>
        </w:rPr>
        <w:t>creano</w:t>
      </w:r>
      <w:r w:rsidR="003F6520" w:rsidRPr="007F7EBF">
        <w:rPr>
          <w:sz w:val="22"/>
          <w:szCs w:val="22"/>
        </w:rPr>
        <w:t xml:space="preserve"> invece per le “esenzioni </w:t>
      </w:r>
      <w:r w:rsidR="008D42F0">
        <w:rPr>
          <w:sz w:val="22"/>
          <w:szCs w:val="22"/>
        </w:rPr>
        <w:t xml:space="preserve">o forfettizzazioni </w:t>
      </w:r>
      <w:r w:rsidR="003F6520" w:rsidRPr="007F7EBF">
        <w:rPr>
          <w:sz w:val="22"/>
          <w:szCs w:val="22"/>
        </w:rPr>
        <w:t xml:space="preserve">di redditi”, </w:t>
      </w:r>
      <w:r w:rsidR="004A3B90" w:rsidRPr="007F7EBF">
        <w:rPr>
          <w:sz w:val="22"/>
          <w:szCs w:val="22"/>
        </w:rPr>
        <w:t xml:space="preserve">dove </w:t>
      </w:r>
      <w:r w:rsidRPr="007F7EBF">
        <w:rPr>
          <w:sz w:val="22"/>
          <w:szCs w:val="22"/>
        </w:rPr>
        <w:t>elementi positivi e negativi di reddito rientrano nel medesimo regime</w:t>
      </w:r>
      <w:r w:rsidRPr="007F7EBF">
        <w:rPr>
          <w:rStyle w:val="Rimandonotaapidipagina"/>
          <w:sz w:val="22"/>
          <w:szCs w:val="22"/>
        </w:rPr>
        <w:footnoteReference w:id="1101"/>
      </w:r>
      <w:r w:rsidR="004A3B90" w:rsidRPr="007F7EBF">
        <w:rPr>
          <w:sz w:val="22"/>
          <w:szCs w:val="22"/>
        </w:rPr>
        <w:t xml:space="preserve">; costi e ricavi sono analogamente </w:t>
      </w:r>
      <w:r w:rsidR="008D42F0">
        <w:rPr>
          <w:sz w:val="22"/>
          <w:szCs w:val="22"/>
        </w:rPr>
        <w:t xml:space="preserve">e </w:t>
      </w:r>
      <w:r w:rsidR="004A3B90" w:rsidRPr="007F7EBF">
        <w:rPr>
          <w:sz w:val="22"/>
          <w:szCs w:val="22"/>
        </w:rPr>
        <w:t xml:space="preserve">simmetricamente assorbiti </w:t>
      </w:r>
      <w:r w:rsidR="008D42F0">
        <w:rPr>
          <w:sz w:val="22"/>
          <w:szCs w:val="22"/>
        </w:rPr>
        <w:t xml:space="preserve">da esenzione o forfettizzazione </w:t>
      </w:r>
      <w:r w:rsidR="003F6520" w:rsidRPr="007F7EBF">
        <w:rPr>
          <w:sz w:val="22"/>
          <w:szCs w:val="22"/>
        </w:rPr>
        <w:t>(</w:t>
      </w:r>
      <w:r w:rsidR="004A3B90" w:rsidRPr="007F7EBF">
        <w:rPr>
          <w:rStyle w:val="Rimandonotaapidipagina"/>
          <w:sz w:val="22"/>
          <w:szCs w:val="22"/>
        </w:rPr>
        <w:footnoteReference w:id="1102"/>
      </w:r>
      <w:r w:rsidR="003F6520" w:rsidRPr="007F7EBF">
        <w:rPr>
          <w:sz w:val="22"/>
          <w:szCs w:val="22"/>
        </w:rPr>
        <w:t>)</w:t>
      </w:r>
      <w:r w:rsidR="004A3B90" w:rsidRPr="007F7EBF">
        <w:rPr>
          <w:sz w:val="22"/>
          <w:szCs w:val="22"/>
        </w:rPr>
        <w:t xml:space="preserve"> o per </w:t>
      </w:r>
      <w:r w:rsidR="004A3B90" w:rsidRPr="007F7EBF">
        <w:rPr>
          <w:sz w:val="22"/>
          <w:szCs w:val="22"/>
        </w:rPr>
        <w:lastRenderedPageBreak/>
        <w:t>regimi soggetti ad aliquota particolare</w:t>
      </w:r>
      <w:r w:rsidR="004A3B90" w:rsidRPr="007F7EBF">
        <w:rPr>
          <w:rStyle w:val="Rimandonotaapidipagina"/>
          <w:sz w:val="22"/>
          <w:szCs w:val="22"/>
        </w:rPr>
        <w:footnoteReference w:id="1103"/>
      </w:r>
      <w:r w:rsidR="003F6520" w:rsidRPr="007F7EBF">
        <w:rPr>
          <w:sz w:val="22"/>
          <w:szCs w:val="22"/>
        </w:rPr>
        <w:t xml:space="preserve">; in entrambi i casi infatti sia i costi sia i ricavi rientrano nello stesso regime, </w:t>
      </w:r>
      <w:r w:rsidR="008D42F0">
        <w:rPr>
          <w:sz w:val="22"/>
          <w:szCs w:val="22"/>
        </w:rPr>
        <w:t>senza</w:t>
      </w:r>
      <w:r w:rsidR="003F6520" w:rsidRPr="007F7EBF">
        <w:rPr>
          <w:sz w:val="22"/>
          <w:szCs w:val="22"/>
        </w:rPr>
        <w:t xml:space="preserve"> quindi crea</w:t>
      </w:r>
      <w:r w:rsidR="008D42F0">
        <w:rPr>
          <w:sz w:val="22"/>
          <w:szCs w:val="22"/>
        </w:rPr>
        <w:t>re</w:t>
      </w:r>
      <w:r w:rsidR="003F6520" w:rsidRPr="007F7EBF">
        <w:rPr>
          <w:sz w:val="22"/>
          <w:szCs w:val="22"/>
        </w:rPr>
        <w:t xml:space="preserve"> squilibri da correggere. </w:t>
      </w:r>
    </w:p>
    <w:p w14:paraId="5D54AA54" w14:textId="77777777" w:rsidR="003F6520" w:rsidRPr="007F7EBF" w:rsidRDefault="003D2A30" w:rsidP="003F6520">
      <w:pPr>
        <w:pStyle w:val="tit23"/>
        <w:ind w:left="6464" w:right="-1361" w:firstLine="0"/>
        <w:jc w:val="left"/>
        <w:rPr>
          <w:bCs/>
          <w:i/>
          <w:iCs/>
          <w:color w:val="0000FF"/>
          <w:lang w:val="it-IT"/>
        </w:rPr>
      </w:pPr>
      <w:r w:rsidRPr="007F7EBF">
        <w:rPr>
          <w:bCs/>
          <w:i/>
          <w:iCs/>
          <w:color w:val="0000FF"/>
          <w:lang w:val="it-IT"/>
        </w:rPr>
        <w:t xml:space="preserve">Correttezza della piena deduzione degli interessi passivi </w:t>
      </w:r>
    </w:p>
    <w:p w14:paraId="1417320F" w14:textId="5D78AAD5" w:rsidR="0070526C" w:rsidRPr="007F7EBF" w:rsidRDefault="00035582" w:rsidP="0070526C">
      <w:pPr>
        <w:autoSpaceDE w:val="0"/>
        <w:autoSpaceDN w:val="0"/>
        <w:adjustRightInd w:val="0"/>
        <w:rPr>
          <w:sz w:val="22"/>
          <w:szCs w:val="22"/>
        </w:rPr>
      </w:pPr>
      <w:r w:rsidRPr="007F7EBF">
        <w:rPr>
          <w:sz w:val="22"/>
          <w:szCs w:val="22"/>
        </w:rPr>
        <w:t xml:space="preserve">Nella tassazione ragionieristica attraverso le aziende </w:t>
      </w:r>
      <w:r w:rsidR="006342C5" w:rsidRPr="007F7EBF">
        <w:rPr>
          <w:sz w:val="22"/>
          <w:szCs w:val="22"/>
        </w:rPr>
        <w:t xml:space="preserve">la </w:t>
      </w:r>
      <w:r w:rsidR="00281FE1" w:rsidRPr="007F7EBF">
        <w:rPr>
          <w:sz w:val="22"/>
          <w:szCs w:val="22"/>
        </w:rPr>
        <w:t>scelta di tassare gli interessi attivi in capo al percettore</w:t>
      </w:r>
      <w:r w:rsidR="00247DED">
        <w:rPr>
          <w:sz w:val="22"/>
          <w:szCs w:val="22"/>
        </w:rPr>
        <w:t xml:space="preserve"> ne implica logicamente la deduzione in capo all’impresa erogante (</w:t>
      </w:r>
      <w:r w:rsidR="00281FE1" w:rsidRPr="007F7EBF">
        <w:rPr>
          <w:rStyle w:val="Rimandonotaapidipagina"/>
          <w:sz w:val="22"/>
          <w:szCs w:val="22"/>
        </w:rPr>
        <w:footnoteReference w:id="1104"/>
      </w:r>
      <w:r w:rsidR="00247DED">
        <w:rPr>
          <w:sz w:val="22"/>
          <w:szCs w:val="22"/>
        </w:rPr>
        <w:t>)</w:t>
      </w:r>
      <w:r w:rsidR="006342C5" w:rsidRPr="007F7EBF">
        <w:rPr>
          <w:sz w:val="22"/>
          <w:szCs w:val="22"/>
        </w:rPr>
        <w:t xml:space="preserve">. </w:t>
      </w:r>
      <w:r w:rsidR="008E4A43">
        <w:rPr>
          <w:sz w:val="22"/>
          <w:szCs w:val="22"/>
        </w:rPr>
        <w:t xml:space="preserve">Gli economisti che rilevano una </w:t>
      </w:r>
      <w:r w:rsidR="00307452" w:rsidRPr="007F7EBF">
        <w:rPr>
          <w:sz w:val="22"/>
          <w:szCs w:val="22"/>
        </w:rPr>
        <w:t xml:space="preserve">pretesa discriminazione tra deducibilità fiscale degli interessi e l'indeducibilità dei dividendi, </w:t>
      </w:r>
      <w:r w:rsidR="008E4A43">
        <w:rPr>
          <w:sz w:val="22"/>
          <w:szCs w:val="22"/>
        </w:rPr>
        <w:t xml:space="preserve">trascurano l’imponibilità degli </w:t>
      </w:r>
      <w:r w:rsidR="00307452" w:rsidRPr="007F7EBF">
        <w:rPr>
          <w:sz w:val="22"/>
          <w:szCs w:val="22"/>
        </w:rPr>
        <w:t xml:space="preserve"> interessi</w:t>
      </w:r>
      <w:r w:rsidR="008E4A43">
        <w:rPr>
          <w:sz w:val="22"/>
          <w:szCs w:val="22"/>
        </w:rPr>
        <w:t xml:space="preserve"> </w:t>
      </w:r>
      <w:r w:rsidR="00307452" w:rsidRPr="007F7EBF">
        <w:rPr>
          <w:sz w:val="22"/>
          <w:szCs w:val="22"/>
        </w:rPr>
        <w:t>in capo a chi li percepisce</w:t>
      </w:r>
      <w:r w:rsidR="00B00F9F" w:rsidRPr="007F7EBF">
        <w:rPr>
          <w:sz w:val="22"/>
          <w:szCs w:val="22"/>
        </w:rPr>
        <w:t xml:space="preserve">; il </w:t>
      </w:r>
      <w:r w:rsidR="004938F0" w:rsidRPr="007F7EBF">
        <w:rPr>
          <w:sz w:val="22"/>
          <w:szCs w:val="22"/>
        </w:rPr>
        <w:t xml:space="preserve">carico fiscale </w:t>
      </w:r>
      <w:r w:rsidR="00B00F9F" w:rsidRPr="007F7EBF">
        <w:rPr>
          <w:sz w:val="22"/>
          <w:szCs w:val="22"/>
        </w:rPr>
        <w:t>è</w:t>
      </w:r>
      <w:r w:rsidR="00307452" w:rsidRPr="007F7EBF">
        <w:rPr>
          <w:sz w:val="22"/>
          <w:szCs w:val="22"/>
        </w:rPr>
        <w:t xml:space="preserve"> analogo</w:t>
      </w:r>
      <w:r w:rsidR="00307452" w:rsidRPr="007F7EBF">
        <w:rPr>
          <w:rStyle w:val="Rimandonotaapidipagina"/>
          <w:sz w:val="22"/>
          <w:szCs w:val="22"/>
        </w:rPr>
        <w:footnoteReference w:id="1105"/>
      </w:r>
      <w:r w:rsidR="00B00F9F" w:rsidRPr="007F7EBF">
        <w:rPr>
          <w:sz w:val="22"/>
          <w:szCs w:val="22"/>
        </w:rPr>
        <w:t>, salva l'eventuale imposta sostit</w:t>
      </w:r>
      <w:r w:rsidR="003D2A30" w:rsidRPr="007F7EBF">
        <w:rPr>
          <w:sz w:val="22"/>
          <w:szCs w:val="22"/>
        </w:rPr>
        <w:t xml:space="preserve">utiva sulle rendite finanziarie, indicata al par.8.5, </w:t>
      </w:r>
      <w:r w:rsidR="00B00F9F" w:rsidRPr="007F7EBF">
        <w:rPr>
          <w:sz w:val="22"/>
          <w:szCs w:val="22"/>
        </w:rPr>
        <w:t>per i finanziatori persone fisiche</w:t>
      </w:r>
      <w:r w:rsidR="003D2A30" w:rsidRPr="007F7EBF">
        <w:rPr>
          <w:rStyle w:val="Rimandonotaapidipagina"/>
          <w:sz w:val="22"/>
          <w:szCs w:val="22"/>
        </w:rPr>
        <w:footnoteReference w:id="1106"/>
      </w:r>
      <w:r w:rsidR="003D2A30" w:rsidRPr="007F7EBF">
        <w:rPr>
          <w:sz w:val="22"/>
          <w:szCs w:val="22"/>
        </w:rPr>
        <w:t xml:space="preserve">. </w:t>
      </w:r>
      <w:r w:rsidR="00B00F9F" w:rsidRPr="007F7EBF">
        <w:rPr>
          <w:sz w:val="22"/>
          <w:szCs w:val="22"/>
        </w:rPr>
        <w:t xml:space="preserve"> </w:t>
      </w:r>
    </w:p>
    <w:p w14:paraId="58E81F3F" w14:textId="77777777" w:rsidR="0070526C" w:rsidRPr="007F7EBF" w:rsidRDefault="003D2A30" w:rsidP="0070526C">
      <w:pPr>
        <w:pStyle w:val="tit23"/>
        <w:ind w:left="6464" w:right="-1361" w:firstLine="0"/>
        <w:jc w:val="left"/>
        <w:rPr>
          <w:bCs/>
          <w:i/>
          <w:iCs/>
          <w:color w:val="0000FF"/>
          <w:lang w:val="it-IT"/>
        </w:rPr>
      </w:pPr>
      <w:r w:rsidRPr="007F7EBF">
        <w:rPr>
          <w:bCs/>
          <w:i/>
          <w:iCs/>
          <w:color w:val="0000FF"/>
          <w:lang w:val="it-IT"/>
        </w:rPr>
        <w:t xml:space="preserve">Sospetti </w:t>
      </w:r>
      <w:r w:rsidR="00AC3BA3" w:rsidRPr="007F7EBF">
        <w:rPr>
          <w:bCs/>
          <w:i/>
          <w:iCs/>
          <w:color w:val="0000FF"/>
          <w:lang w:val="it-IT"/>
        </w:rPr>
        <w:t>e limiti</w:t>
      </w:r>
    </w:p>
    <w:p w14:paraId="11C80E92" w14:textId="41C05886" w:rsidR="004A6CAF" w:rsidRPr="007F7EBF" w:rsidRDefault="00AC3BA3" w:rsidP="006342C5">
      <w:pPr>
        <w:autoSpaceDE w:val="0"/>
        <w:autoSpaceDN w:val="0"/>
        <w:adjustRightInd w:val="0"/>
        <w:rPr>
          <w:sz w:val="22"/>
          <w:szCs w:val="22"/>
        </w:rPr>
      </w:pPr>
      <w:r w:rsidRPr="007F7EBF">
        <w:rPr>
          <w:sz w:val="22"/>
          <w:szCs w:val="22"/>
        </w:rPr>
        <w:t>Tuttavia c'è il sospetto che, tramite l'interesse passivo, il flusso reddituale venga distolto dalla tassazione societaria italiana e dirottato in paesi a bassa fiscalità, attraverso una catena di creditori e debitori</w:t>
      </w:r>
      <w:r w:rsidR="008D4A9D">
        <w:rPr>
          <w:sz w:val="22"/>
          <w:szCs w:val="22"/>
        </w:rPr>
        <w:t>(</w:t>
      </w:r>
      <w:r w:rsidRPr="007F7EBF">
        <w:rPr>
          <w:rStyle w:val="Rimandonotaapidipagina"/>
          <w:sz w:val="22"/>
          <w:szCs w:val="22"/>
        </w:rPr>
        <w:footnoteReference w:id="1107"/>
      </w:r>
      <w:r w:rsidR="008D4A9D">
        <w:rPr>
          <w:sz w:val="22"/>
          <w:szCs w:val="22"/>
        </w:rPr>
        <w:t>)</w:t>
      </w:r>
      <w:r w:rsidRPr="007F7EBF">
        <w:rPr>
          <w:sz w:val="22"/>
          <w:szCs w:val="22"/>
        </w:rPr>
        <w:t xml:space="preserve">; non è un sospetto talmente verosimile e generalizzato da giustificare </w:t>
      </w:r>
      <w:r w:rsidRPr="007F7EBF">
        <w:rPr>
          <w:sz w:val="22"/>
          <w:szCs w:val="22"/>
        </w:rPr>
        <w:lastRenderedPageBreak/>
        <w:t>limitazioni indiscriminate della deduzione degli interessi passiv</w:t>
      </w:r>
      <w:r w:rsidR="00B00F9F" w:rsidRPr="007F7EBF">
        <w:rPr>
          <w:sz w:val="22"/>
          <w:szCs w:val="22"/>
        </w:rPr>
        <w:t>i</w:t>
      </w:r>
      <w:r w:rsidR="00017212">
        <w:rPr>
          <w:sz w:val="22"/>
          <w:szCs w:val="22"/>
        </w:rPr>
        <w:t>(</w:t>
      </w:r>
      <w:r w:rsidR="00821D0E" w:rsidRPr="007F7EBF">
        <w:rPr>
          <w:rStyle w:val="Rimandonotaapidipagina"/>
          <w:sz w:val="22"/>
          <w:szCs w:val="22"/>
        </w:rPr>
        <w:footnoteReference w:id="1108"/>
      </w:r>
      <w:r w:rsidR="00017212">
        <w:rPr>
          <w:sz w:val="22"/>
          <w:szCs w:val="22"/>
        </w:rPr>
        <w:t>)</w:t>
      </w:r>
      <w:r w:rsidR="00821D0E" w:rsidRPr="007F7EBF">
        <w:rPr>
          <w:sz w:val="22"/>
          <w:szCs w:val="22"/>
        </w:rPr>
        <w:t xml:space="preserve">. </w:t>
      </w:r>
      <w:r w:rsidR="006342C5" w:rsidRPr="007F7EBF">
        <w:rPr>
          <w:sz w:val="22"/>
          <w:szCs w:val="22"/>
        </w:rPr>
        <w:t xml:space="preserve"> </w:t>
      </w:r>
      <w:r w:rsidR="00821D0E" w:rsidRPr="007F7EBF">
        <w:rPr>
          <w:sz w:val="22"/>
          <w:szCs w:val="22"/>
        </w:rPr>
        <w:t xml:space="preserve">Oggi </w:t>
      </w:r>
      <w:r w:rsidR="006342C5" w:rsidRPr="007F7EBF">
        <w:rPr>
          <w:sz w:val="22"/>
          <w:szCs w:val="22"/>
        </w:rPr>
        <w:t xml:space="preserve">la </w:t>
      </w:r>
      <w:r w:rsidR="006342C5" w:rsidRPr="007F7EBF">
        <w:rPr>
          <w:bCs/>
          <w:sz w:val="22"/>
          <w:szCs w:val="22"/>
        </w:rPr>
        <w:t>deduzione degli interessi passivi</w:t>
      </w:r>
      <w:r w:rsidR="00C70E13" w:rsidRPr="007F7EBF">
        <w:rPr>
          <w:bCs/>
          <w:sz w:val="22"/>
          <w:szCs w:val="22"/>
        </w:rPr>
        <w:t xml:space="preserve"> </w:t>
      </w:r>
      <w:r w:rsidR="006342C5" w:rsidRPr="007F7EBF">
        <w:rPr>
          <w:bCs/>
          <w:sz w:val="22"/>
          <w:szCs w:val="22"/>
        </w:rPr>
        <w:t>per le società di capitali e assimilate è limitata a una quota percentuale</w:t>
      </w:r>
      <w:r w:rsidR="002A5818" w:rsidRPr="007F7EBF">
        <w:rPr>
          <w:bCs/>
          <w:sz w:val="22"/>
          <w:szCs w:val="22"/>
        </w:rPr>
        <w:t xml:space="preserve"> </w:t>
      </w:r>
      <w:r w:rsidR="006342C5" w:rsidRPr="007F7EBF">
        <w:rPr>
          <w:sz w:val="22"/>
          <w:szCs w:val="22"/>
        </w:rPr>
        <w:t>della differenza tra costi e ricavi (Margine operativo lordo)</w:t>
      </w:r>
      <w:r w:rsidR="00821D0E" w:rsidRPr="007F7EBF">
        <w:rPr>
          <w:sz w:val="22"/>
          <w:szCs w:val="22"/>
        </w:rPr>
        <w:t>; il resto non viene "perduto", ma deve essere riportato agli anni successivi</w:t>
      </w:r>
      <w:r w:rsidR="006342C5" w:rsidRPr="007F7EBF">
        <w:rPr>
          <w:sz w:val="22"/>
          <w:szCs w:val="22"/>
        </w:rPr>
        <w:t>. È una limitazione che non</w:t>
      </w:r>
      <w:r w:rsidR="00C70E13" w:rsidRPr="007F7EBF">
        <w:rPr>
          <w:sz w:val="22"/>
          <w:szCs w:val="22"/>
        </w:rPr>
        <w:t xml:space="preserve"> </w:t>
      </w:r>
      <w:r w:rsidR="006342C5" w:rsidRPr="007F7EBF">
        <w:rPr>
          <w:sz w:val="22"/>
          <w:szCs w:val="22"/>
        </w:rPr>
        <w:t>scatta, già per legge, quando l’indebitamento deriva da una capacità di credito propria</w:t>
      </w:r>
      <w:r w:rsidR="002A5818" w:rsidRPr="007F7EBF">
        <w:rPr>
          <w:sz w:val="22"/>
          <w:szCs w:val="22"/>
        </w:rPr>
        <w:t xml:space="preserve"> </w:t>
      </w:r>
      <w:r w:rsidR="006342C5" w:rsidRPr="007F7EBF">
        <w:rPr>
          <w:sz w:val="22"/>
          <w:szCs w:val="22"/>
        </w:rPr>
        <w:t>della società debitrice, come nel caso di fabbricati destinati alla locazione. Tuttavia non</w:t>
      </w:r>
      <w:r w:rsidR="00C70E13" w:rsidRPr="007F7EBF">
        <w:rPr>
          <w:sz w:val="22"/>
          <w:szCs w:val="22"/>
        </w:rPr>
        <w:t xml:space="preserve"> </w:t>
      </w:r>
      <w:r w:rsidR="006342C5" w:rsidRPr="007F7EBF">
        <w:rPr>
          <w:sz w:val="22"/>
          <w:szCs w:val="22"/>
        </w:rPr>
        <w:t>è una sistemazione concettuale soddisfacente, e verosimilmente non rimarrà stabile nel</w:t>
      </w:r>
      <w:r w:rsidR="002A5818" w:rsidRPr="007F7EBF">
        <w:rPr>
          <w:sz w:val="22"/>
          <w:szCs w:val="22"/>
        </w:rPr>
        <w:t xml:space="preserve"> </w:t>
      </w:r>
      <w:r w:rsidR="006342C5" w:rsidRPr="007F7EBF">
        <w:rPr>
          <w:sz w:val="22"/>
          <w:szCs w:val="22"/>
        </w:rPr>
        <w:t>lungo periodo</w:t>
      </w:r>
      <w:r w:rsidR="00803A70">
        <w:rPr>
          <w:sz w:val="22"/>
          <w:szCs w:val="22"/>
        </w:rPr>
        <w:t xml:space="preserve"> </w:t>
      </w:r>
      <w:r w:rsidR="008D4A9D">
        <w:rPr>
          <w:sz w:val="22"/>
          <w:szCs w:val="22"/>
        </w:rPr>
        <w:t>(</w:t>
      </w:r>
      <w:r w:rsidR="00295DEC" w:rsidRPr="007F7EBF">
        <w:rPr>
          <w:rStyle w:val="Rimandonotaapidipagina"/>
          <w:sz w:val="22"/>
          <w:szCs w:val="22"/>
        </w:rPr>
        <w:footnoteReference w:id="1109"/>
      </w:r>
      <w:r w:rsidR="008D4A9D">
        <w:rPr>
          <w:sz w:val="22"/>
          <w:szCs w:val="22"/>
        </w:rPr>
        <w:t>)</w:t>
      </w:r>
      <w:r w:rsidR="006342C5" w:rsidRPr="007F7EBF">
        <w:rPr>
          <w:sz w:val="22"/>
          <w:szCs w:val="22"/>
        </w:rPr>
        <w:t>.</w:t>
      </w:r>
      <w:r w:rsidR="00DF3DB4" w:rsidRPr="007F7EBF">
        <w:rPr>
          <w:sz w:val="22"/>
          <w:szCs w:val="22"/>
        </w:rPr>
        <w:t xml:space="preserve"> </w:t>
      </w:r>
    </w:p>
    <w:p w14:paraId="42E3AA84" w14:textId="477FF11A" w:rsidR="006342C5" w:rsidRPr="007F7EBF" w:rsidRDefault="003015A9" w:rsidP="009F7854">
      <w:pPr>
        <w:pStyle w:val="Titolo3"/>
        <w:rPr>
          <w:rFonts w:ascii="Times New Roman" w:hAnsi="Times New Roman"/>
          <w:sz w:val="22"/>
          <w:szCs w:val="22"/>
        </w:rPr>
      </w:pPr>
      <w:bookmarkStart w:id="109" w:name="_Toc63365020"/>
      <w:r w:rsidRPr="007F7EBF">
        <w:rPr>
          <w:rFonts w:ascii="Times New Roman" w:hAnsi="Times New Roman"/>
          <w:sz w:val="22"/>
          <w:szCs w:val="22"/>
        </w:rPr>
        <w:t>7.11</w:t>
      </w:r>
      <w:r w:rsidR="006342C5" w:rsidRPr="007F7EBF">
        <w:rPr>
          <w:rFonts w:ascii="Times New Roman" w:hAnsi="Times New Roman"/>
          <w:sz w:val="22"/>
          <w:szCs w:val="22"/>
        </w:rPr>
        <w:t>. Il momento impositivo nella tassazione attraverso le aziende (cassa,</w:t>
      </w:r>
      <w:r w:rsidR="009F7854" w:rsidRPr="007F7EBF">
        <w:rPr>
          <w:rFonts w:ascii="Times New Roman" w:hAnsi="Times New Roman"/>
          <w:sz w:val="22"/>
          <w:szCs w:val="22"/>
        </w:rPr>
        <w:t xml:space="preserve"> </w:t>
      </w:r>
      <w:r w:rsidR="006342C5" w:rsidRPr="007F7EBF">
        <w:rPr>
          <w:rFonts w:ascii="Times New Roman" w:hAnsi="Times New Roman"/>
          <w:sz w:val="22"/>
          <w:szCs w:val="22"/>
        </w:rPr>
        <w:t>competenza, irrilevanza delle mere valutazioni</w:t>
      </w:r>
      <w:r w:rsidR="00DD5376">
        <w:rPr>
          <w:rFonts w:ascii="Times New Roman" w:hAnsi="Times New Roman"/>
          <w:sz w:val="22"/>
          <w:szCs w:val="22"/>
          <w:lang w:val="it-IT"/>
        </w:rPr>
        <w:t xml:space="preserve"> </w:t>
      </w:r>
      <w:r w:rsidR="006342C5" w:rsidRPr="007F7EBF">
        <w:rPr>
          <w:rFonts w:ascii="Times New Roman" w:hAnsi="Times New Roman"/>
          <w:sz w:val="22"/>
          <w:szCs w:val="22"/>
        </w:rPr>
        <w:t>e</w:t>
      </w:r>
      <w:r w:rsidR="00DD5376">
        <w:rPr>
          <w:rFonts w:ascii="Times New Roman" w:hAnsi="Times New Roman"/>
          <w:sz w:val="22"/>
          <w:szCs w:val="22"/>
          <w:lang w:val="it-IT"/>
        </w:rPr>
        <w:t xml:space="preserve"> “neutralità”</w:t>
      </w:r>
      <w:r w:rsidR="006342C5" w:rsidRPr="007F7EBF">
        <w:rPr>
          <w:rFonts w:ascii="Times New Roman" w:hAnsi="Times New Roman"/>
          <w:sz w:val="22"/>
          <w:szCs w:val="22"/>
        </w:rPr>
        <w:t>)</w:t>
      </w:r>
      <w:bookmarkEnd w:id="109"/>
    </w:p>
    <w:p w14:paraId="33115BA0" w14:textId="65F24C78" w:rsidR="0047269A" w:rsidRPr="007F7EBF" w:rsidRDefault="0085549A" w:rsidP="0047269A">
      <w:pPr>
        <w:pStyle w:val="tit23"/>
        <w:ind w:left="6464" w:right="-1361" w:firstLine="0"/>
        <w:jc w:val="left"/>
        <w:rPr>
          <w:bCs/>
          <w:i/>
          <w:iCs/>
          <w:color w:val="0000FF"/>
          <w:lang w:val="it-IT"/>
        </w:rPr>
      </w:pPr>
      <w:r>
        <w:rPr>
          <w:bCs/>
          <w:i/>
          <w:iCs/>
          <w:color w:val="0000FF"/>
          <w:lang w:val="it-IT"/>
        </w:rPr>
        <w:t>Imposte, liquidità e principio di cassa</w:t>
      </w:r>
    </w:p>
    <w:p w14:paraId="3CA2B02E" w14:textId="42977FF1" w:rsidR="0047269A" w:rsidRPr="007F7EBF" w:rsidRDefault="0047269A" w:rsidP="0085549A">
      <w:pPr>
        <w:autoSpaceDE w:val="0"/>
        <w:autoSpaceDN w:val="0"/>
        <w:adjustRightInd w:val="0"/>
        <w:rPr>
          <w:bCs/>
          <w:i/>
          <w:iCs/>
          <w:color w:val="0000FF"/>
        </w:rPr>
      </w:pPr>
      <w:r w:rsidRPr="007F7EBF">
        <w:rPr>
          <w:sz w:val="22"/>
          <w:szCs w:val="22"/>
        </w:rPr>
        <w:t>L</w:t>
      </w:r>
      <w:r w:rsidR="0085549A">
        <w:rPr>
          <w:sz w:val="22"/>
          <w:szCs w:val="22"/>
        </w:rPr>
        <w:t xml:space="preserve">e </w:t>
      </w:r>
      <w:r w:rsidR="00B7618E">
        <w:rPr>
          <w:sz w:val="22"/>
          <w:szCs w:val="22"/>
        </w:rPr>
        <w:t xml:space="preserve">astrazioni economiche di cui al par.1.8 (redditi, consumi, etc.) possono essere espresse anche da attività “non liquide”, come </w:t>
      </w:r>
      <w:r w:rsidR="0085549A">
        <w:rPr>
          <w:sz w:val="22"/>
          <w:szCs w:val="22"/>
        </w:rPr>
        <w:t>immobili o crediti d</w:t>
      </w:r>
      <w:r w:rsidR="00B7618E">
        <w:rPr>
          <w:sz w:val="22"/>
          <w:szCs w:val="22"/>
        </w:rPr>
        <w:t>i</w:t>
      </w:r>
      <w:r w:rsidR="0085549A">
        <w:rPr>
          <w:sz w:val="22"/>
          <w:szCs w:val="22"/>
        </w:rPr>
        <w:t xml:space="preserve"> cui è </w:t>
      </w:r>
      <w:r w:rsidR="00D05F7F" w:rsidRPr="007F7EBF">
        <w:rPr>
          <w:sz w:val="22"/>
          <w:szCs w:val="22"/>
        </w:rPr>
        <w:t>impossibil</w:t>
      </w:r>
      <w:r w:rsidR="0085549A">
        <w:rPr>
          <w:sz w:val="22"/>
          <w:szCs w:val="22"/>
        </w:rPr>
        <w:t xml:space="preserve">e </w:t>
      </w:r>
      <w:r w:rsidR="007A7CFA" w:rsidRPr="007F7EBF">
        <w:rPr>
          <w:sz w:val="22"/>
          <w:szCs w:val="22"/>
        </w:rPr>
        <w:t xml:space="preserve">prelevare </w:t>
      </w:r>
      <w:r w:rsidR="00B7618E">
        <w:rPr>
          <w:sz w:val="22"/>
          <w:szCs w:val="22"/>
        </w:rPr>
        <w:t xml:space="preserve">quote </w:t>
      </w:r>
      <w:r w:rsidR="0085549A">
        <w:rPr>
          <w:sz w:val="22"/>
          <w:szCs w:val="22"/>
        </w:rPr>
        <w:t>per</w:t>
      </w:r>
      <w:r w:rsidR="007A7CFA" w:rsidRPr="007F7EBF">
        <w:rPr>
          <w:sz w:val="22"/>
          <w:szCs w:val="22"/>
        </w:rPr>
        <w:t xml:space="preserve"> pa</w:t>
      </w:r>
      <w:r w:rsidR="009A60F7" w:rsidRPr="007F7EBF">
        <w:rPr>
          <w:sz w:val="22"/>
          <w:szCs w:val="22"/>
        </w:rPr>
        <w:t xml:space="preserve">gare </w:t>
      </w:r>
      <w:r w:rsidR="00B7618E">
        <w:rPr>
          <w:sz w:val="22"/>
          <w:szCs w:val="22"/>
        </w:rPr>
        <w:t xml:space="preserve">l’imposta </w:t>
      </w:r>
      <w:r w:rsidR="0085549A">
        <w:rPr>
          <w:sz w:val="22"/>
          <w:szCs w:val="22"/>
        </w:rPr>
        <w:t>(</w:t>
      </w:r>
      <w:r w:rsidRPr="007F7EBF">
        <w:rPr>
          <w:rStyle w:val="Rimandonotaapidipagina"/>
          <w:bCs/>
          <w:sz w:val="22"/>
          <w:szCs w:val="22"/>
        </w:rPr>
        <w:footnoteReference w:id="1110"/>
      </w:r>
      <w:r w:rsidR="0085549A">
        <w:rPr>
          <w:sz w:val="22"/>
          <w:szCs w:val="22"/>
        </w:rPr>
        <w:t>)</w:t>
      </w:r>
      <w:r w:rsidRPr="007F7EBF">
        <w:rPr>
          <w:sz w:val="22"/>
          <w:szCs w:val="22"/>
        </w:rPr>
        <w:t xml:space="preserve">. </w:t>
      </w:r>
    </w:p>
    <w:p w14:paraId="6511C135" w14:textId="526B0EE8" w:rsidR="001803FC" w:rsidRPr="007F7EBF" w:rsidRDefault="002B63EA" w:rsidP="001803FC">
      <w:pPr>
        <w:autoSpaceDE w:val="0"/>
        <w:autoSpaceDN w:val="0"/>
        <w:adjustRightInd w:val="0"/>
        <w:rPr>
          <w:sz w:val="22"/>
          <w:szCs w:val="22"/>
        </w:rPr>
      </w:pPr>
      <w:r>
        <w:rPr>
          <w:sz w:val="22"/>
          <w:szCs w:val="22"/>
        </w:rPr>
        <w:t xml:space="preserve">Si </w:t>
      </w:r>
      <w:r w:rsidR="000143CE">
        <w:rPr>
          <w:sz w:val="22"/>
          <w:szCs w:val="22"/>
        </w:rPr>
        <w:t>cerca</w:t>
      </w:r>
      <w:r w:rsidR="00554183">
        <w:rPr>
          <w:sz w:val="22"/>
          <w:szCs w:val="22"/>
        </w:rPr>
        <w:t xml:space="preserve"> quindi</w:t>
      </w:r>
      <w:r w:rsidR="000143CE">
        <w:rPr>
          <w:sz w:val="22"/>
          <w:szCs w:val="22"/>
        </w:rPr>
        <w:t xml:space="preserve"> di </w:t>
      </w:r>
      <w:r w:rsidR="006342C5" w:rsidRPr="007F7EBF">
        <w:rPr>
          <w:bCs/>
          <w:sz w:val="22"/>
          <w:szCs w:val="22"/>
        </w:rPr>
        <w:t>non costringere il</w:t>
      </w:r>
      <w:r w:rsidR="001922D2" w:rsidRPr="007F7EBF">
        <w:rPr>
          <w:bCs/>
          <w:sz w:val="22"/>
          <w:szCs w:val="22"/>
        </w:rPr>
        <w:t xml:space="preserve"> </w:t>
      </w:r>
      <w:r w:rsidR="006342C5" w:rsidRPr="007F7EBF">
        <w:rPr>
          <w:bCs/>
          <w:sz w:val="22"/>
          <w:szCs w:val="22"/>
        </w:rPr>
        <w:t>contribuente ad indebitarsi</w:t>
      </w:r>
      <w:r w:rsidR="00B7158B" w:rsidRPr="007F7EBF">
        <w:rPr>
          <w:bCs/>
          <w:sz w:val="22"/>
          <w:szCs w:val="22"/>
        </w:rPr>
        <w:t xml:space="preserve">, o impegnare il resto del suo patrimonio, </w:t>
      </w:r>
      <w:r w:rsidR="0047269A" w:rsidRPr="007F7EBF">
        <w:rPr>
          <w:sz w:val="22"/>
          <w:szCs w:val="22"/>
        </w:rPr>
        <w:t>per pagar</w:t>
      </w:r>
      <w:r w:rsidR="000143CE">
        <w:rPr>
          <w:sz w:val="22"/>
          <w:szCs w:val="22"/>
        </w:rPr>
        <w:t>e</w:t>
      </w:r>
      <w:r>
        <w:rPr>
          <w:sz w:val="22"/>
          <w:szCs w:val="22"/>
        </w:rPr>
        <w:t xml:space="preserve"> le imposte, adottando tendenzialmente </w:t>
      </w:r>
      <w:r w:rsidR="000143CE">
        <w:rPr>
          <w:sz w:val="22"/>
          <w:szCs w:val="22"/>
        </w:rPr>
        <w:t xml:space="preserve">il c.d. “principio di cassa”, che </w:t>
      </w:r>
      <w:r w:rsidR="000143CE">
        <w:rPr>
          <w:bCs/>
          <w:sz w:val="22"/>
          <w:szCs w:val="22"/>
        </w:rPr>
        <w:t xml:space="preserve">considera rilevanti gli elementi dell’imponibile quando vengono pagati o incassati. </w:t>
      </w:r>
    </w:p>
    <w:p w14:paraId="5AFC6170" w14:textId="52CFE167" w:rsidR="001803FC" w:rsidRPr="007F7EBF" w:rsidRDefault="000143CE" w:rsidP="001803FC">
      <w:pPr>
        <w:pStyle w:val="tit23"/>
        <w:ind w:left="6464" w:right="-1361" w:firstLine="0"/>
        <w:jc w:val="left"/>
        <w:rPr>
          <w:bCs/>
          <w:i/>
          <w:iCs/>
          <w:color w:val="0000FF"/>
          <w:lang w:val="it-IT"/>
        </w:rPr>
      </w:pPr>
      <w:r>
        <w:rPr>
          <w:bCs/>
          <w:i/>
          <w:iCs/>
          <w:color w:val="0000FF"/>
          <w:lang w:val="it-IT"/>
        </w:rPr>
        <w:t>Sua imprecisione per le attività imprenditoriali complesse</w:t>
      </w:r>
    </w:p>
    <w:p w14:paraId="1F32F735" w14:textId="1282E618" w:rsidR="00F928F3" w:rsidRPr="007F7EBF" w:rsidRDefault="001803FC" w:rsidP="00F928F3">
      <w:pPr>
        <w:autoSpaceDE w:val="0"/>
        <w:autoSpaceDN w:val="0"/>
        <w:adjustRightInd w:val="0"/>
        <w:rPr>
          <w:sz w:val="22"/>
          <w:szCs w:val="22"/>
        </w:rPr>
      </w:pPr>
      <w:r w:rsidRPr="007F7EBF">
        <w:rPr>
          <w:bCs/>
          <w:sz w:val="22"/>
          <w:szCs w:val="22"/>
        </w:rPr>
        <w:lastRenderedPageBreak/>
        <w:t xml:space="preserve">Per le attività complesse, soprattutto per le grandi aziende, </w:t>
      </w:r>
      <w:r w:rsidR="002B63EA">
        <w:rPr>
          <w:bCs/>
          <w:sz w:val="22"/>
          <w:szCs w:val="22"/>
        </w:rPr>
        <w:t>il</w:t>
      </w:r>
      <w:r w:rsidR="000143CE">
        <w:rPr>
          <w:bCs/>
          <w:sz w:val="22"/>
          <w:szCs w:val="22"/>
        </w:rPr>
        <w:t xml:space="preserve"> principio</w:t>
      </w:r>
      <w:r w:rsidR="002B63EA">
        <w:rPr>
          <w:bCs/>
          <w:sz w:val="22"/>
          <w:szCs w:val="22"/>
        </w:rPr>
        <w:t xml:space="preserve"> di cassa</w:t>
      </w:r>
      <w:r w:rsidR="000143CE">
        <w:rPr>
          <w:bCs/>
          <w:sz w:val="22"/>
          <w:szCs w:val="22"/>
        </w:rPr>
        <w:t>, in sé semplice, è</w:t>
      </w:r>
      <w:r w:rsidR="002B63EA">
        <w:rPr>
          <w:bCs/>
          <w:sz w:val="22"/>
          <w:szCs w:val="22"/>
        </w:rPr>
        <w:t xml:space="preserve"> troppo grossolano </w:t>
      </w:r>
      <w:r w:rsidR="000143CE">
        <w:rPr>
          <w:bCs/>
          <w:sz w:val="22"/>
          <w:szCs w:val="22"/>
        </w:rPr>
        <w:t>(</w:t>
      </w:r>
      <w:r w:rsidR="000143CE">
        <w:rPr>
          <w:rStyle w:val="Rimandonotaapidipagina"/>
          <w:bCs/>
          <w:sz w:val="22"/>
          <w:szCs w:val="22"/>
        </w:rPr>
        <w:footnoteReference w:id="1111"/>
      </w:r>
      <w:r w:rsidR="000143CE">
        <w:rPr>
          <w:bCs/>
          <w:sz w:val="22"/>
          <w:szCs w:val="22"/>
        </w:rPr>
        <w:t xml:space="preserve">); </w:t>
      </w:r>
      <w:r w:rsidRPr="007F7EBF">
        <w:rPr>
          <w:bCs/>
          <w:sz w:val="22"/>
          <w:szCs w:val="22"/>
        </w:rPr>
        <w:t xml:space="preserve">le </w:t>
      </w:r>
      <w:r w:rsidR="002B63EA">
        <w:rPr>
          <w:bCs/>
          <w:sz w:val="22"/>
          <w:szCs w:val="22"/>
        </w:rPr>
        <w:t xml:space="preserve">loro </w:t>
      </w:r>
      <w:r w:rsidRPr="007F7EBF">
        <w:rPr>
          <w:bCs/>
          <w:sz w:val="22"/>
          <w:szCs w:val="22"/>
        </w:rPr>
        <w:t xml:space="preserve">entrate e le </w:t>
      </w:r>
      <w:r w:rsidR="002B63EA">
        <w:rPr>
          <w:bCs/>
          <w:sz w:val="22"/>
          <w:szCs w:val="22"/>
        </w:rPr>
        <w:t xml:space="preserve">loro sono infatti </w:t>
      </w:r>
      <w:r w:rsidR="00F928F3" w:rsidRPr="007F7EBF">
        <w:rPr>
          <w:bCs/>
          <w:sz w:val="22"/>
          <w:szCs w:val="22"/>
        </w:rPr>
        <w:t xml:space="preserve">spesso </w:t>
      </w:r>
      <w:r w:rsidRPr="007F7EBF">
        <w:rPr>
          <w:bCs/>
          <w:sz w:val="22"/>
          <w:szCs w:val="22"/>
        </w:rPr>
        <w:t>sfasat</w:t>
      </w:r>
      <w:r w:rsidR="002B63EA">
        <w:rPr>
          <w:bCs/>
          <w:sz w:val="22"/>
          <w:szCs w:val="22"/>
        </w:rPr>
        <w:t>e</w:t>
      </w:r>
      <w:r w:rsidR="00DD28CB">
        <w:rPr>
          <w:bCs/>
          <w:sz w:val="22"/>
          <w:szCs w:val="22"/>
        </w:rPr>
        <w:t xml:space="preserve"> nel tempo, con </w:t>
      </w:r>
      <w:r w:rsidR="000143CE">
        <w:rPr>
          <w:bCs/>
          <w:sz w:val="22"/>
          <w:szCs w:val="22"/>
        </w:rPr>
        <w:t>una lunga fase di investimento</w:t>
      </w:r>
      <w:r w:rsidR="0041230A">
        <w:rPr>
          <w:bCs/>
          <w:sz w:val="22"/>
          <w:szCs w:val="22"/>
        </w:rPr>
        <w:t xml:space="preserve"> e di avvio, con spese </w:t>
      </w:r>
      <w:r w:rsidR="00F928F3" w:rsidRPr="007F7EBF">
        <w:rPr>
          <w:bCs/>
          <w:sz w:val="22"/>
          <w:szCs w:val="22"/>
        </w:rPr>
        <w:t xml:space="preserve">in impianti, merci , ricerca , marketing, o crediti alla clientela. </w:t>
      </w:r>
      <w:r w:rsidR="0041230A">
        <w:rPr>
          <w:bCs/>
          <w:sz w:val="22"/>
          <w:szCs w:val="22"/>
        </w:rPr>
        <w:t xml:space="preserve">In questo periodo il principio di cassa porterebbe a perdite, anziché a utili, che invece non sarebbero controbilanciati da elementi negativi sufficienti quando l’attività è avviata e giungono proporzionali ricavi. </w:t>
      </w:r>
      <w:r w:rsidR="00F928F3" w:rsidRPr="007F7EBF">
        <w:rPr>
          <w:bCs/>
          <w:sz w:val="22"/>
          <w:szCs w:val="22"/>
        </w:rPr>
        <w:t xml:space="preserve"> </w:t>
      </w:r>
    </w:p>
    <w:p w14:paraId="014266DA" w14:textId="1CF62892" w:rsidR="00F928F3" w:rsidRPr="007F7EBF" w:rsidRDefault="0041230A" w:rsidP="00F928F3">
      <w:pPr>
        <w:pStyle w:val="tit23"/>
        <w:ind w:left="6464" w:right="-1361" w:firstLine="0"/>
        <w:jc w:val="left"/>
        <w:rPr>
          <w:bCs/>
          <w:i/>
          <w:iCs/>
          <w:color w:val="0000FF"/>
          <w:lang w:val="it-IT"/>
        </w:rPr>
      </w:pPr>
      <w:r>
        <w:rPr>
          <w:bCs/>
          <w:i/>
          <w:iCs/>
          <w:color w:val="0000FF"/>
          <w:lang w:val="it-IT"/>
        </w:rPr>
        <w:t>Il</w:t>
      </w:r>
      <w:r w:rsidR="00C4788B" w:rsidRPr="007F7EBF">
        <w:rPr>
          <w:bCs/>
          <w:i/>
          <w:iCs/>
          <w:color w:val="0000FF"/>
          <w:lang w:val="it-IT"/>
        </w:rPr>
        <w:t xml:space="preserve">  principio di competenza per le </w:t>
      </w:r>
      <w:r>
        <w:rPr>
          <w:bCs/>
          <w:i/>
          <w:iCs/>
          <w:color w:val="0000FF"/>
          <w:lang w:val="it-IT"/>
        </w:rPr>
        <w:t>imprese</w:t>
      </w:r>
      <w:r w:rsidR="00C4788B" w:rsidRPr="007F7EBF">
        <w:rPr>
          <w:bCs/>
          <w:i/>
          <w:iCs/>
          <w:color w:val="0000FF"/>
          <w:lang w:val="it-IT"/>
        </w:rPr>
        <w:t xml:space="preserve"> </w:t>
      </w:r>
    </w:p>
    <w:p w14:paraId="1BB6010F" w14:textId="17796646" w:rsidR="00926962" w:rsidRPr="007F7EBF" w:rsidRDefault="00246407" w:rsidP="00AA7391">
      <w:pPr>
        <w:autoSpaceDE w:val="0"/>
        <w:autoSpaceDN w:val="0"/>
        <w:adjustRightInd w:val="0"/>
        <w:rPr>
          <w:bCs/>
          <w:i/>
          <w:iCs/>
          <w:color w:val="0000FF"/>
        </w:rPr>
      </w:pPr>
      <w:r>
        <w:rPr>
          <w:bCs/>
          <w:sz w:val="22"/>
          <w:szCs w:val="22"/>
        </w:rPr>
        <w:t xml:space="preserve">Questo spinge a considerare anche la maturazione giuridica </w:t>
      </w:r>
      <w:r w:rsidR="00A135E3">
        <w:rPr>
          <w:bCs/>
          <w:sz w:val="22"/>
          <w:szCs w:val="22"/>
        </w:rPr>
        <w:t>degli elementi imponibili, a prescindere dall’incasso, uniformandosi a quello che fanno le organizzazioni aziendali nei propri bilanci, come vedremo ai parr.7.14 ss</w:t>
      </w:r>
      <w:r w:rsidR="00665A1A">
        <w:rPr>
          <w:bCs/>
          <w:sz w:val="22"/>
          <w:szCs w:val="22"/>
        </w:rPr>
        <w:t>. (</w:t>
      </w:r>
      <w:r w:rsidR="00665A1A" w:rsidRPr="007F7EBF">
        <w:rPr>
          <w:rStyle w:val="Rimandonotaapidipagina"/>
          <w:bCs/>
          <w:sz w:val="22"/>
          <w:szCs w:val="22"/>
        </w:rPr>
        <w:footnoteReference w:id="1112"/>
      </w:r>
      <w:r w:rsidR="00665A1A">
        <w:rPr>
          <w:bCs/>
          <w:sz w:val="22"/>
          <w:szCs w:val="22"/>
        </w:rPr>
        <w:t>)</w:t>
      </w:r>
      <w:r w:rsidR="00A135E3">
        <w:rPr>
          <w:bCs/>
          <w:sz w:val="22"/>
          <w:szCs w:val="22"/>
        </w:rPr>
        <w:t xml:space="preserve">. Si tratta del c.d. “principio di competenza”, da intendersi in senso giuridico, basato sulla maturazione </w:t>
      </w:r>
      <w:r w:rsidR="00803A70">
        <w:rPr>
          <w:bCs/>
          <w:sz w:val="22"/>
          <w:szCs w:val="22"/>
        </w:rPr>
        <w:t xml:space="preserve">giuridica </w:t>
      </w:r>
      <w:r w:rsidR="00A135E3">
        <w:rPr>
          <w:bCs/>
          <w:sz w:val="22"/>
          <w:szCs w:val="22"/>
        </w:rPr>
        <w:t>dei diritti verso le controparti</w:t>
      </w:r>
      <w:r w:rsidR="00AA7391">
        <w:rPr>
          <w:bCs/>
          <w:sz w:val="22"/>
          <w:szCs w:val="22"/>
        </w:rPr>
        <w:t>(</w:t>
      </w:r>
      <w:r w:rsidR="00AA7391" w:rsidRPr="007F7EBF">
        <w:rPr>
          <w:rStyle w:val="Rimandonotaapidipagina"/>
          <w:sz w:val="22"/>
          <w:szCs w:val="22"/>
        </w:rPr>
        <w:footnoteReference w:id="1113"/>
      </w:r>
      <w:r w:rsidR="00AA7391">
        <w:rPr>
          <w:bCs/>
          <w:sz w:val="22"/>
          <w:szCs w:val="22"/>
        </w:rPr>
        <w:t>)</w:t>
      </w:r>
      <w:r w:rsidR="00803A70">
        <w:rPr>
          <w:bCs/>
          <w:sz w:val="22"/>
          <w:szCs w:val="22"/>
        </w:rPr>
        <w:t xml:space="preserve">, senza </w:t>
      </w:r>
      <w:r w:rsidR="00A135E3">
        <w:rPr>
          <w:bCs/>
          <w:sz w:val="22"/>
          <w:szCs w:val="22"/>
        </w:rPr>
        <w:t>stime economiche d</w:t>
      </w:r>
      <w:r w:rsidR="00803A70">
        <w:rPr>
          <w:bCs/>
          <w:sz w:val="22"/>
          <w:szCs w:val="22"/>
        </w:rPr>
        <w:t>i operazioni probabili e plusvalori latenti</w:t>
      </w:r>
      <w:r w:rsidR="00A135E3">
        <w:rPr>
          <w:bCs/>
          <w:sz w:val="22"/>
          <w:szCs w:val="22"/>
        </w:rPr>
        <w:t xml:space="preserve"> (</w:t>
      </w:r>
      <w:r w:rsidR="00A135E3">
        <w:rPr>
          <w:rStyle w:val="Rimandonotaapidipagina"/>
          <w:bCs/>
          <w:sz w:val="22"/>
          <w:szCs w:val="22"/>
        </w:rPr>
        <w:footnoteReference w:id="1114"/>
      </w:r>
      <w:r w:rsidR="00A135E3">
        <w:rPr>
          <w:bCs/>
          <w:sz w:val="22"/>
          <w:szCs w:val="22"/>
        </w:rPr>
        <w:t xml:space="preserve">). </w:t>
      </w:r>
    </w:p>
    <w:p w14:paraId="30534B81" w14:textId="71798EE4" w:rsidR="00F4426D" w:rsidRPr="007F7EBF" w:rsidRDefault="00F12AFC" w:rsidP="00F4426D">
      <w:pPr>
        <w:autoSpaceDE w:val="0"/>
        <w:autoSpaceDN w:val="0"/>
        <w:adjustRightInd w:val="0"/>
        <w:rPr>
          <w:sz w:val="22"/>
          <w:szCs w:val="22"/>
        </w:rPr>
      </w:pPr>
      <w:r w:rsidRPr="007F7EBF">
        <w:rPr>
          <w:sz w:val="22"/>
          <w:szCs w:val="22"/>
        </w:rPr>
        <w:t>I lati negativi d</w:t>
      </w:r>
      <w:r w:rsidR="00C4788B" w:rsidRPr="007F7EBF">
        <w:rPr>
          <w:sz w:val="22"/>
          <w:szCs w:val="22"/>
        </w:rPr>
        <w:t xml:space="preserve">i questa rilevanza di crediti e debiti </w:t>
      </w:r>
      <w:r w:rsidRPr="007F7EBF">
        <w:rPr>
          <w:sz w:val="22"/>
          <w:szCs w:val="22"/>
        </w:rPr>
        <w:t xml:space="preserve">sono il rischio di </w:t>
      </w:r>
      <w:r w:rsidR="00024076" w:rsidRPr="007F7EBF">
        <w:rPr>
          <w:sz w:val="22"/>
          <w:szCs w:val="22"/>
        </w:rPr>
        <w:t>crisi di liquidit</w:t>
      </w:r>
      <w:r w:rsidRPr="007F7EBF">
        <w:rPr>
          <w:sz w:val="22"/>
          <w:szCs w:val="22"/>
        </w:rPr>
        <w:t xml:space="preserve">à </w:t>
      </w:r>
      <w:r w:rsidR="00C4788B" w:rsidRPr="007F7EBF">
        <w:rPr>
          <w:sz w:val="22"/>
          <w:szCs w:val="22"/>
        </w:rPr>
        <w:t>per ricavi a fronte di crediti non incassati</w:t>
      </w:r>
      <w:r w:rsidR="00F07EFC">
        <w:rPr>
          <w:sz w:val="22"/>
          <w:szCs w:val="22"/>
        </w:rPr>
        <w:t>(</w:t>
      </w:r>
      <w:r w:rsidR="00B8280D" w:rsidRPr="007F7EBF">
        <w:rPr>
          <w:rStyle w:val="Rimandonotaapidipagina"/>
          <w:sz w:val="22"/>
          <w:szCs w:val="22"/>
        </w:rPr>
        <w:footnoteReference w:id="1115"/>
      </w:r>
      <w:r w:rsidR="00F07EFC">
        <w:rPr>
          <w:sz w:val="22"/>
          <w:szCs w:val="22"/>
        </w:rPr>
        <w:t>)</w:t>
      </w:r>
      <w:r w:rsidRPr="007F7EBF">
        <w:rPr>
          <w:sz w:val="22"/>
          <w:szCs w:val="22"/>
        </w:rPr>
        <w:t xml:space="preserve">, perché </w:t>
      </w:r>
      <w:r w:rsidR="00024076" w:rsidRPr="007F7EBF">
        <w:rPr>
          <w:sz w:val="22"/>
          <w:szCs w:val="22"/>
        </w:rPr>
        <w:t xml:space="preserve">i </w:t>
      </w:r>
      <w:r w:rsidR="00024076" w:rsidRPr="007F7EBF">
        <w:rPr>
          <w:sz w:val="22"/>
          <w:szCs w:val="22"/>
        </w:rPr>
        <w:lastRenderedPageBreak/>
        <w:t xml:space="preserve">debitori </w:t>
      </w:r>
      <w:r w:rsidRPr="007F7EBF">
        <w:rPr>
          <w:sz w:val="22"/>
          <w:szCs w:val="22"/>
        </w:rPr>
        <w:t xml:space="preserve">sono </w:t>
      </w:r>
      <w:r w:rsidR="00024076" w:rsidRPr="007F7EBF">
        <w:rPr>
          <w:sz w:val="22"/>
          <w:szCs w:val="22"/>
        </w:rPr>
        <w:t>molto lenti nella tempistica di pagamento (</w:t>
      </w:r>
      <w:r w:rsidR="00C4788B" w:rsidRPr="007F7EBF">
        <w:rPr>
          <w:rStyle w:val="Rimandonotaapidipagina"/>
          <w:sz w:val="22"/>
          <w:szCs w:val="22"/>
        </w:rPr>
        <w:footnoteReference w:id="1116"/>
      </w:r>
      <w:r w:rsidR="00024076" w:rsidRPr="007F7EBF">
        <w:rPr>
          <w:sz w:val="22"/>
          <w:szCs w:val="22"/>
        </w:rPr>
        <w:t xml:space="preserve">) o </w:t>
      </w:r>
      <w:r w:rsidRPr="007F7EBF">
        <w:rPr>
          <w:sz w:val="22"/>
          <w:szCs w:val="22"/>
        </w:rPr>
        <w:t xml:space="preserve">inadempienti; quest'ultima eventualità richiede </w:t>
      </w:r>
      <w:r w:rsidR="00C4788B" w:rsidRPr="007F7EBF">
        <w:rPr>
          <w:sz w:val="22"/>
          <w:szCs w:val="22"/>
        </w:rPr>
        <w:t xml:space="preserve">la registrazione di </w:t>
      </w:r>
      <w:r w:rsidRPr="007F7EBF">
        <w:rPr>
          <w:sz w:val="22"/>
          <w:szCs w:val="22"/>
        </w:rPr>
        <w:t xml:space="preserve">perdite su crediti </w:t>
      </w:r>
      <w:r w:rsidR="00C4788B" w:rsidRPr="007F7EBF">
        <w:rPr>
          <w:sz w:val="22"/>
          <w:szCs w:val="22"/>
        </w:rPr>
        <w:t>(</w:t>
      </w:r>
      <w:r w:rsidR="00C4788B" w:rsidRPr="007F7EBF">
        <w:rPr>
          <w:rStyle w:val="Rimandonotaapidipagina"/>
          <w:sz w:val="22"/>
          <w:szCs w:val="22"/>
        </w:rPr>
        <w:footnoteReference w:id="1117"/>
      </w:r>
      <w:r w:rsidR="00C4788B" w:rsidRPr="007F7EBF">
        <w:rPr>
          <w:sz w:val="22"/>
          <w:szCs w:val="22"/>
        </w:rPr>
        <w:t xml:space="preserve">) e discussioni sul </w:t>
      </w:r>
      <w:r w:rsidR="00AA7391">
        <w:rPr>
          <w:sz w:val="22"/>
          <w:szCs w:val="22"/>
        </w:rPr>
        <w:t xml:space="preserve">loro </w:t>
      </w:r>
      <w:r w:rsidR="00C4788B" w:rsidRPr="007F7EBF">
        <w:rPr>
          <w:sz w:val="22"/>
          <w:szCs w:val="22"/>
        </w:rPr>
        <w:t>momento di rilevanza</w:t>
      </w:r>
      <w:r w:rsidR="00AA7391">
        <w:rPr>
          <w:sz w:val="22"/>
          <w:szCs w:val="22"/>
        </w:rPr>
        <w:t>. Per questo, anche nell’ambito del principio di competenza, per molti elementi “secondari” dell’imponibile si fa comunque riferimento al più semplice principio di cassa.</w:t>
      </w:r>
    </w:p>
    <w:p w14:paraId="06847067" w14:textId="77777777" w:rsidR="00F4426D" w:rsidRPr="007F7EBF" w:rsidRDefault="00F4426D" w:rsidP="00F4426D">
      <w:pPr>
        <w:pStyle w:val="tit23"/>
        <w:ind w:left="6464" w:right="-1361" w:firstLine="0"/>
        <w:jc w:val="left"/>
        <w:rPr>
          <w:bCs/>
          <w:i/>
          <w:iCs/>
          <w:color w:val="0000FF"/>
          <w:lang w:val="it-IT"/>
        </w:rPr>
      </w:pPr>
      <w:r w:rsidRPr="007F7EBF">
        <w:rPr>
          <w:bCs/>
          <w:i/>
          <w:iCs/>
          <w:color w:val="0000FF"/>
          <w:lang w:val="it-IT"/>
        </w:rPr>
        <w:t>Correttivi IVA</w:t>
      </w:r>
    </w:p>
    <w:p w14:paraId="21D8DF69" w14:textId="412D0BF9" w:rsidR="00F4426D" w:rsidRPr="007F7EBF" w:rsidRDefault="00F4426D" w:rsidP="00F4426D">
      <w:pPr>
        <w:autoSpaceDE w:val="0"/>
        <w:autoSpaceDN w:val="0"/>
        <w:adjustRightInd w:val="0"/>
        <w:rPr>
          <w:bCs/>
          <w:i/>
          <w:iCs/>
          <w:color w:val="0000FF"/>
          <w:sz w:val="22"/>
          <w:szCs w:val="22"/>
        </w:rPr>
      </w:pPr>
      <w:r w:rsidRPr="007F7EBF">
        <w:rPr>
          <w:sz w:val="22"/>
          <w:szCs w:val="22"/>
        </w:rPr>
        <w:t xml:space="preserve">Questi problemi di liquidità trovano un correttivo solo per l'IVA, che è dovuta solo al momento dell'incasso del corrispettivo, non alla consegna del bene, quando il cliente è un ente pubblico, notoriamente tardivo pagatore </w:t>
      </w:r>
      <w:r w:rsidRPr="007F7EBF">
        <w:rPr>
          <w:rStyle w:val="Rimandonotaapidipagina"/>
          <w:sz w:val="22"/>
          <w:szCs w:val="22"/>
        </w:rPr>
        <w:footnoteReference w:id="1118"/>
      </w:r>
      <w:r w:rsidR="00B8280D" w:rsidRPr="007F7EBF">
        <w:rPr>
          <w:sz w:val="22"/>
          <w:szCs w:val="22"/>
        </w:rPr>
        <w:t>.  Negli ultimi anni (2012) sono stati introdotti correttivi tendenti alla cosiddetta “IVA per cassa”, di applicazione generalizzata</w:t>
      </w:r>
      <w:r w:rsidR="00F07EFC">
        <w:rPr>
          <w:sz w:val="22"/>
          <w:szCs w:val="22"/>
        </w:rPr>
        <w:t>(</w:t>
      </w:r>
      <w:r w:rsidR="00B8280D" w:rsidRPr="007F7EBF">
        <w:rPr>
          <w:rStyle w:val="Rimandonotaapidipagina"/>
          <w:sz w:val="22"/>
          <w:szCs w:val="22"/>
        </w:rPr>
        <w:footnoteReference w:id="1119"/>
      </w:r>
      <w:r w:rsidR="00F07EFC">
        <w:rPr>
          <w:sz w:val="22"/>
          <w:szCs w:val="22"/>
        </w:rPr>
        <w:t>)</w:t>
      </w:r>
      <w:r w:rsidR="00B8280D" w:rsidRPr="007F7EBF">
        <w:rPr>
          <w:sz w:val="22"/>
          <w:szCs w:val="22"/>
        </w:rPr>
        <w:t xml:space="preserve">. </w:t>
      </w:r>
    </w:p>
    <w:p w14:paraId="17FF7745" w14:textId="77777777" w:rsidR="00926962" w:rsidRPr="007F7EBF" w:rsidRDefault="00F4426D" w:rsidP="00926962">
      <w:pPr>
        <w:autoSpaceDE w:val="0"/>
        <w:autoSpaceDN w:val="0"/>
        <w:adjustRightInd w:val="0"/>
        <w:rPr>
          <w:sz w:val="22"/>
          <w:szCs w:val="22"/>
        </w:rPr>
      </w:pPr>
      <w:r w:rsidRPr="007F7EBF">
        <w:rPr>
          <w:sz w:val="22"/>
          <w:szCs w:val="22"/>
        </w:rPr>
        <w:t>Il mancato pagamento da parte dell'acquirente, accertato giudizialmente, anche a seguito di procedure fallimentari, consente comunque al fornitore il recupero dell'IVA a suo tempo pagata all'erario</w:t>
      </w:r>
      <w:r w:rsidRPr="007F7EBF">
        <w:rPr>
          <w:rStyle w:val="Rimandonotaapidipagina"/>
          <w:sz w:val="22"/>
          <w:szCs w:val="22"/>
        </w:rPr>
        <w:footnoteReference w:id="1120"/>
      </w:r>
      <w:r w:rsidRPr="007F7EBF">
        <w:rPr>
          <w:sz w:val="22"/>
          <w:szCs w:val="22"/>
        </w:rPr>
        <w:t xml:space="preserve">.  </w:t>
      </w:r>
    </w:p>
    <w:p w14:paraId="3E8F476A" w14:textId="77777777" w:rsidR="00926962" w:rsidRPr="007F7EBF" w:rsidRDefault="00926962" w:rsidP="00926962">
      <w:pPr>
        <w:pStyle w:val="tit23"/>
        <w:ind w:left="6464" w:right="-1361" w:firstLine="0"/>
        <w:jc w:val="left"/>
        <w:rPr>
          <w:bCs/>
          <w:i/>
          <w:iCs/>
          <w:color w:val="0000FF"/>
          <w:lang w:val="it-IT"/>
        </w:rPr>
      </w:pPr>
      <w:r w:rsidRPr="007F7EBF">
        <w:rPr>
          <w:bCs/>
          <w:i/>
          <w:iCs/>
          <w:color w:val="0000FF"/>
          <w:lang w:val="it-IT"/>
        </w:rPr>
        <w:t xml:space="preserve">Momento impositivo per le cessioni di beni </w:t>
      </w:r>
    </w:p>
    <w:p w14:paraId="19B393F0" w14:textId="11F62CE8" w:rsidR="00926962" w:rsidRPr="007F7EBF" w:rsidRDefault="00C4788B" w:rsidP="00926962">
      <w:pPr>
        <w:autoSpaceDE w:val="0"/>
        <w:autoSpaceDN w:val="0"/>
        <w:adjustRightInd w:val="0"/>
        <w:rPr>
          <w:sz w:val="22"/>
          <w:szCs w:val="22"/>
        </w:rPr>
      </w:pPr>
      <w:r w:rsidRPr="007F7EBF">
        <w:rPr>
          <w:sz w:val="22"/>
          <w:szCs w:val="22"/>
        </w:rPr>
        <w:t>I criteri di competenza ai fini delle imposte sui redditi in buona parte coincidono coi momenti di effettuazione delle operazioni ai fini IVA</w:t>
      </w:r>
      <w:r w:rsidR="004E5DD2" w:rsidRPr="007F7EBF">
        <w:rPr>
          <w:sz w:val="22"/>
          <w:szCs w:val="22"/>
        </w:rPr>
        <w:t>, oppure seguono -per le aziende costituite in forma societaria- i criteri  dei principi contabili, come indicato al par.7.14</w:t>
      </w:r>
      <w:r w:rsidR="0031252D">
        <w:rPr>
          <w:sz w:val="22"/>
          <w:szCs w:val="22"/>
        </w:rPr>
        <w:t xml:space="preserve">. </w:t>
      </w:r>
      <w:r w:rsidR="004E5DD2" w:rsidRPr="007F7EBF">
        <w:rPr>
          <w:sz w:val="22"/>
          <w:szCs w:val="22"/>
        </w:rPr>
        <w:t xml:space="preserve">Le regole fiscali guardano, per </w:t>
      </w:r>
      <w:r w:rsidRPr="007F7EBF">
        <w:rPr>
          <w:sz w:val="22"/>
          <w:szCs w:val="22"/>
        </w:rPr>
        <w:t xml:space="preserve"> le cessioni di beni  alla </w:t>
      </w:r>
      <w:r w:rsidR="004E5DD2" w:rsidRPr="007F7EBF">
        <w:rPr>
          <w:sz w:val="22"/>
          <w:szCs w:val="22"/>
        </w:rPr>
        <w:t xml:space="preserve">loro </w:t>
      </w:r>
      <w:r w:rsidR="006342C5" w:rsidRPr="007F7EBF">
        <w:rPr>
          <w:bCs/>
          <w:sz w:val="22"/>
          <w:szCs w:val="22"/>
        </w:rPr>
        <w:t xml:space="preserve">consegna </w:t>
      </w:r>
      <w:r w:rsidRPr="007F7EBF">
        <w:rPr>
          <w:bCs/>
          <w:sz w:val="22"/>
          <w:szCs w:val="22"/>
        </w:rPr>
        <w:t xml:space="preserve">o spedizione </w:t>
      </w:r>
      <w:r w:rsidR="00EA10EB">
        <w:rPr>
          <w:bCs/>
          <w:sz w:val="22"/>
          <w:szCs w:val="22"/>
        </w:rPr>
        <w:lastRenderedPageBreak/>
        <w:t>(</w:t>
      </w:r>
      <w:r w:rsidR="00EA10EB">
        <w:rPr>
          <w:rStyle w:val="Rimandonotaapidipagina"/>
          <w:bCs/>
          <w:sz w:val="22"/>
          <w:szCs w:val="22"/>
        </w:rPr>
        <w:footnoteReference w:id="1121"/>
      </w:r>
      <w:r w:rsidR="00EA10EB">
        <w:rPr>
          <w:bCs/>
          <w:sz w:val="22"/>
          <w:szCs w:val="22"/>
        </w:rPr>
        <w:t>)</w:t>
      </w:r>
      <w:r w:rsidR="00EA10EB" w:rsidRPr="007F7EBF">
        <w:t>Per i servizi la fattura è dovuta solo al pagamento del corrispettivo.</w:t>
      </w:r>
      <w:r w:rsidRPr="007F7EBF">
        <w:rPr>
          <w:bCs/>
          <w:sz w:val="22"/>
          <w:szCs w:val="22"/>
        </w:rPr>
        <w:t xml:space="preserve">, ovvero all’atto pubblico per i </w:t>
      </w:r>
      <w:r w:rsidRPr="007F7EBF">
        <w:rPr>
          <w:sz w:val="22"/>
          <w:szCs w:val="22"/>
        </w:rPr>
        <w:t>beni immobili; il momento impositivo è differito al successivo passaggio di proprietà quando esso è ancora incerto al momento della consegna</w:t>
      </w:r>
      <w:r w:rsidR="00EA10EB">
        <w:rPr>
          <w:sz w:val="22"/>
          <w:szCs w:val="22"/>
        </w:rPr>
        <w:t>(</w:t>
      </w:r>
      <w:r w:rsidRPr="007F7EBF">
        <w:rPr>
          <w:rStyle w:val="Rimandonotaapidipagina"/>
          <w:sz w:val="22"/>
          <w:szCs w:val="22"/>
        </w:rPr>
        <w:footnoteReference w:id="1122"/>
      </w:r>
      <w:r w:rsidR="00EA10EB">
        <w:rPr>
          <w:sz w:val="22"/>
          <w:szCs w:val="22"/>
        </w:rPr>
        <w:t>)</w:t>
      </w:r>
      <w:r w:rsidRPr="007F7EBF">
        <w:rPr>
          <w:sz w:val="22"/>
          <w:szCs w:val="22"/>
        </w:rPr>
        <w:t xml:space="preserve">. </w:t>
      </w:r>
    </w:p>
    <w:p w14:paraId="193F1D48" w14:textId="77777777" w:rsidR="00926962" w:rsidRPr="007F7EBF" w:rsidRDefault="00926962" w:rsidP="00926962">
      <w:pPr>
        <w:pStyle w:val="tit23"/>
        <w:ind w:left="6464" w:right="-1361" w:firstLine="0"/>
        <w:jc w:val="left"/>
        <w:rPr>
          <w:bCs/>
          <w:i/>
          <w:iCs/>
          <w:color w:val="0000FF"/>
          <w:lang w:val="it-IT"/>
        </w:rPr>
      </w:pPr>
      <w:r w:rsidRPr="007F7EBF">
        <w:rPr>
          <w:bCs/>
          <w:i/>
          <w:iCs/>
          <w:color w:val="0000FF"/>
          <w:lang w:val="it-IT"/>
        </w:rPr>
        <w:t xml:space="preserve">e le prestazioni di servizi </w:t>
      </w:r>
    </w:p>
    <w:p w14:paraId="2087F35A" w14:textId="31D6072E" w:rsidR="00926962" w:rsidRPr="007F7EBF" w:rsidRDefault="00F07EFC" w:rsidP="004F7BEB">
      <w:pPr>
        <w:autoSpaceDE w:val="0"/>
        <w:autoSpaceDN w:val="0"/>
        <w:adjustRightInd w:val="0"/>
        <w:rPr>
          <w:sz w:val="22"/>
          <w:szCs w:val="22"/>
        </w:rPr>
      </w:pPr>
      <w:r>
        <w:rPr>
          <w:sz w:val="22"/>
          <w:szCs w:val="22"/>
        </w:rPr>
        <w:t>Il momento impositivo dell</w:t>
      </w:r>
      <w:r w:rsidR="006342C5" w:rsidRPr="007F7EBF">
        <w:rPr>
          <w:sz w:val="22"/>
          <w:szCs w:val="22"/>
        </w:rPr>
        <w:t xml:space="preserve">e prestazioni di servizi </w:t>
      </w:r>
      <w:r>
        <w:rPr>
          <w:sz w:val="22"/>
          <w:szCs w:val="22"/>
        </w:rPr>
        <w:t xml:space="preserve">è </w:t>
      </w:r>
      <w:r w:rsidR="006342C5" w:rsidRPr="007F7EBF">
        <w:rPr>
          <w:bCs/>
          <w:sz w:val="22"/>
          <w:szCs w:val="22"/>
        </w:rPr>
        <w:t>l’ultimazione nelle imposte sui redditi</w:t>
      </w:r>
      <w:r w:rsidR="004E5DD2" w:rsidRPr="007F7EBF">
        <w:rPr>
          <w:rStyle w:val="Rimandonotaapidipagina"/>
          <w:bCs/>
          <w:sz w:val="22"/>
          <w:szCs w:val="22"/>
        </w:rPr>
        <w:footnoteReference w:id="1123"/>
      </w:r>
      <w:r>
        <w:rPr>
          <w:bCs/>
          <w:sz w:val="22"/>
          <w:szCs w:val="22"/>
        </w:rPr>
        <w:t>, mentre n</w:t>
      </w:r>
      <w:r w:rsidR="00677939" w:rsidRPr="007F7EBF">
        <w:rPr>
          <w:sz w:val="22"/>
          <w:szCs w:val="22"/>
        </w:rPr>
        <w:t>ell’IVA</w:t>
      </w:r>
      <w:r w:rsidR="00DD28CB">
        <w:rPr>
          <w:sz w:val="22"/>
          <w:szCs w:val="22"/>
        </w:rPr>
        <w:t xml:space="preserve"> </w:t>
      </w:r>
      <w:r>
        <w:rPr>
          <w:sz w:val="22"/>
          <w:szCs w:val="22"/>
        </w:rPr>
        <w:t>vige i</w:t>
      </w:r>
      <w:r w:rsidR="00377189" w:rsidRPr="007F7EBF">
        <w:rPr>
          <w:sz w:val="22"/>
          <w:szCs w:val="22"/>
        </w:rPr>
        <w:t>l principio di cassa,</w:t>
      </w:r>
      <w:r w:rsidR="006C3ED9" w:rsidRPr="007F7EBF">
        <w:rPr>
          <w:sz w:val="22"/>
          <w:szCs w:val="22"/>
        </w:rPr>
        <w:t xml:space="preserve"> </w:t>
      </w:r>
      <w:r w:rsidR="00CC555D" w:rsidRPr="007F7EBF">
        <w:rPr>
          <w:sz w:val="22"/>
          <w:szCs w:val="22"/>
        </w:rPr>
        <w:t>per evidenti ragioni di semplicità amministrativa</w:t>
      </w:r>
      <w:r w:rsidR="00DD28CB">
        <w:rPr>
          <w:sz w:val="22"/>
          <w:szCs w:val="22"/>
        </w:rPr>
        <w:t>(</w:t>
      </w:r>
      <w:r w:rsidR="00CC555D" w:rsidRPr="007F7EBF">
        <w:rPr>
          <w:rStyle w:val="Rimandonotaapidipagina"/>
          <w:sz w:val="22"/>
          <w:szCs w:val="22"/>
        </w:rPr>
        <w:footnoteReference w:id="1124"/>
      </w:r>
      <w:r w:rsidR="007C3E86">
        <w:rPr>
          <w:sz w:val="22"/>
          <w:szCs w:val="22"/>
        </w:rPr>
        <w:t xml:space="preserve">); </w:t>
      </w:r>
      <w:r w:rsidR="007C3E86">
        <w:t xml:space="preserve">se l’emissione della fattura per il servizio viene anticipata rispetto al pagamento, la relativa IVA dev’essere anticipata. </w:t>
      </w:r>
      <w:r w:rsidR="007C3E86" w:rsidRPr="007F7EBF">
        <w:t xml:space="preserve"> </w:t>
      </w:r>
      <w:r w:rsidR="007C3E86">
        <w:t xml:space="preserve">Nelle imposte sui redditi, dov’è rilevante il periodo </w:t>
      </w:r>
      <w:r w:rsidR="007C3E86" w:rsidRPr="007F7EBF">
        <w:t xml:space="preserve"> </w:t>
      </w:r>
      <w:r w:rsidR="007C3E86">
        <w:t xml:space="preserve">d’imposta, gli vanno imputati “pro quota” i corrispettivi </w:t>
      </w:r>
      <w:r w:rsidR="008A0A14">
        <w:t xml:space="preserve">che maturano in proporzione diretta al decorso del tempo, per </w:t>
      </w:r>
      <w:r w:rsidRPr="007F7EBF">
        <w:rPr>
          <w:sz w:val="22"/>
          <w:szCs w:val="22"/>
        </w:rPr>
        <w:t>interessi, canoni di locazione</w:t>
      </w:r>
      <w:r w:rsidR="008A0A14">
        <w:rPr>
          <w:sz w:val="22"/>
          <w:szCs w:val="22"/>
        </w:rPr>
        <w:t xml:space="preserve">, </w:t>
      </w:r>
      <w:r w:rsidRPr="007F7EBF">
        <w:rPr>
          <w:sz w:val="22"/>
          <w:szCs w:val="22"/>
        </w:rPr>
        <w:t>premi assicurativi</w:t>
      </w:r>
      <w:r w:rsidR="008A0A14">
        <w:rPr>
          <w:sz w:val="22"/>
          <w:szCs w:val="22"/>
        </w:rPr>
        <w:t xml:space="preserve">; viene così data rilevanza tributaria alle categorie aziendalistiche dei </w:t>
      </w:r>
      <w:r w:rsidRPr="007F7EBF">
        <w:rPr>
          <w:sz w:val="22"/>
          <w:szCs w:val="22"/>
        </w:rPr>
        <w:t xml:space="preserve">ratei e </w:t>
      </w:r>
      <w:r w:rsidR="008A0A14">
        <w:rPr>
          <w:sz w:val="22"/>
          <w:szCs w:val="22"/>
        </w:rPr>
        <w:t xml:space="preserve">dei </w:t>
      </w:r>
      <w:r w:rsidRPr="007F7EBF">
        <w:rPr>
          <w:sz w:val="22"/>
          <w:szCs w:val="22"/>
        </w:rPr>
        <w:t>risconti.</w:t>
      </w:r>
    </w:p>
    <w:p w14:paraId="1A8F86C2" w14:textId="77777777" w:rsidR="00926962" w:rsidRPr="007F7EBF" w:rsidRDefault="00C6376F" w:rsidP="00926962">
      <w:pPr>
        <w:pStyle w:val="tit23"/>
        <w:ind w:left="6464" w:right="-1361" w:firstLine="0"/>
        <w:jc w:val="left"/>
        <w:rPr>
          <w:bCs/>
          <w:i/>
          <w:iCs/>
          <w:color w:val="0000FF"/>
          <w:lang w:val="it-IT"/>
        </w:rPr>
      </w:pPr>
      <w:r w:rsidRPr="007F7EBF">
        <w:rPr>
          <w:bCs/>
          <w:i/>
          <w:iCs/>
          <w:color w:val="0000FF"/>
          <w:lang w:val="it-IT"/>
        </w:rPr>
        <w:t>Elementi reddituali</w:t>
      </w:r>
      <w:r w:rsidR="00926962" w:rsidRPr="007F7EBF">
        <w:rPr>
          <w:bCs/>
          <w:i/>
          <w:iCs/>
          <w:color w:val="0000FF"/>
          <w:lang w:val="it-IT"/>
        </w:rPr>
        <w:t xml:space="preserve"> </w:t>
      </w:r>
      <w:r w:rsidRPr="007F7EBF">
        <w:rPr>
          <w:bCs/>
          <w:i/>
          <w:iCs/>
          <w:color w:val="0000FF"/>
          <w:lang w:val="it-IT"/>
        </w:rPr>
        <w:t>senza</w:t>
      </w:r>
      <w:r w:rsidR="00926962" w:rsidRPr="007F7EBF">
        <w:rPr>
          <w:bCs/>
          <w:i/>
          <w:iCs/>
          <w:color w:val="0000FF"/>
          <w:lang w:val="it-IT"/>
        </w:rPr>
        <w:t xml:space="preserve"> momenti impositivi</w:t>
      </w:r>
    </w:p>
    <w:p w14:paraId="45BC4087" w14:textId="7DCFE8F9" w:rsidR="004F7BEB" w:rsidRPr="007F7EBF" w:rsidRDefault="006342C5" w:rsidP="004F7BEB">
      <w:pPr>
        <w:autoSpaceDE w:val="0"/>
        <w:autoSpaceDN w:val="0"/>
        <w:adjustRightInd w:val="0"/>
        <w:rPr>
          <w:sz w:val="22"/>
          <w:szCs w:val="22"/>
        </w:rPr>
      </w:pPr>
      <w:r w:rsidRPr="007F7EBF">
        <w:rPr>
          <w:sz w:val="22"/>
          <w:szCs w:val="22"/>
        </w:rPr>
        <w:t xml:space="preserve">I suddetti momenti </w:t>
      </w:r>
      <w:r w:rsidR="004D1E08" w:rsidRPr="007F7EBF">
        <w:rPr>
          <w:sz w:val="22"/>
          <w:szCs w:val="22"/>
        </w:rPr>
        <w:t xml:space="preserve">impositivi </w:t>
      </w:r>
      <w:r w:rsidRPr="007F7EBF">
        <w:rPr>
          <w:sz w:val="22"/>
          <w:szCs w:val="22"/>
        </w:rPr>
        <w:t>sono dettati solo per le cessioni di beni</w:t>
      </w:r>
      <w:r w:rsidR="00677939" w:rsidRPr="007F7EBF">
        <w:rPr>
          <w:sz w:val="22"/>
          <w:szCs w:val="22"/>
        </w:rPr>
        <w:t xml:space="preserve"> </w:t>
      </w:r>
      <w:r w:rsidRPr="007F7EBF">
        <w:rPr>
          <w:sz w:val="22"/>
          <w:szCs w:val="22"/>
        </w:rPr>
        <w:t xml:space="preserve">o le prestazioni di servizi, coprendo </w:t>
      </w:r>
      <w:r w:rsidR="00FA0D96" w:rsidRPr="007F7EBF">
        <w:rPr>
          <w:sz w:val="22"/>
          <w:szCs w:val="22"/>
        </w:rPr>
        <w:t>completamente l’area dell’IVA (</w:t>
      </w:r>
      <w:r w:rsidR="00FA0D96" w:rsidRPr="007F7EBF">
        <w:rPr>
          <w:rStyle w:val="Rimandonotaapidipagina"/>
          <w:sz w:val="22"/>
          <w:szCs w:val="22"/>
        </w:rPr>
        <w:footnoteReference w:id="1125"/>
      </w:r>
      <w:r w:rsidRPr="007F7EBF">
        <w:rPr>
          <w:sz w:val="22"/>
          <w:szCs w:val="22"/>
        </w:rPr>
        <w:t>). Nel reddito d’impresa restano invece senza</w:t>
      </w:r>
      <w:r w:rsidR="00677939" w:rsidRPr="007F7EBF">
        <w:rPr>
          <w:sz w:val="22"/>
          <w:szCs w:val="22"/>
        </w:rPr>
        <w:t xml:space="preserve"> </w:t>
      </w:r>
      <w:r w:rsidRPr="007F7EBF">
        <w:rPr>
          <w:sz w:val="22"/>
          <w:szCs w:val="22"/>
        </w:rPr>
        <w:t>regole precise gli altri elementi reddituali</w:t>
      </w:r>
      <w:r w:rsidR="00EA10EB">
        <w:rPr>
          <w:sz w:val="22"/>
          <w:szCs w:val="22"/>
        </w:rPr>
        <w:t xml:space="preserve"> di cui al par.7.6 (</w:t>
      </w:r>
      <w:r w:rsidR="004D1E08" w:rsidRPr="007F7EBF">
        <w:rPr>
          <w:rStyle w:val="Rimandonotaapidipagina"/>
          <w:sz w:val="22"/>
          <w:szCs w:val="22"/>
        </w:rPr>
        <w:footnoteReference w:id="1126"/>
      </w:r>
      <w:r w:rsidR="00EA10EB">
        <w:rPr>
          <w:sz w:val="22"/>
          <w:szCs w:val="22"/>
        </w:rPr>
        <w:t>)</w:t>
      </w:r>
      <w:r w:rsidRPr="007F7EBF">
        <w:rPr>
          <w:sz w:val="22"/>
          <w:szCs w:val="22"/>
        </w:rPr>
        <w:t>. Il criterio</w:t>
      </w:r>
      <w:r w:rsidR="00677939" w:rsidRPr="007F7EBF">
        <w:rPr>
          <w:sz w:val="22"/>
          <w:szCs w:val="22"/>
        </w:rPr>
        <w:t xml:space="preserve"> </w:t>
      </w:r>
      <w:r w:rsidRPr="007F7EBF">
        <w:rPr>
          <w:sz w:val="22"/>
          <w:szCs w:val="22"/>
        </w:rPr>
        <w:t>tendenziale è quello della “maturazione” e della certezza giuridica, anche se spesso per</w:t>
      </w:r>
      <w:r w:rsidR="00677939" w:rsidRPr="007F7EBF">
        <w:rPr>
          <w:sz w:val="22"/>
          <w:szCs w:val="22"/>
        </w:rPr>
        <w:t xml:space="preserve"> </w:t>
      </w:r>
      <w:r w:rsidRPr="007F7EBF">
        <w:rPr>
          <w:sz w:val="22"/>
          <w:szCs w:val="22"/>
        </w:rPr>
        <w:t xml:space="preserve">esigenze di sicurezza operativa la normativa fa riferimento al buon </w:t>
      </w:r>
      <w:r w:rsidRPr="007F7EBF">
        <w:rPr>
          <w:sz w:val="22"/>
          <w:szCs w:val="22"/>
        </w:rPr>
        <w:lastRenderedPageBreak/>
        <w:t>vecchio “principio</w:t>
      </w:r>
      <w:r w:rsidR="00677939" w:rsidRPr="007F7EBF">
        <w:rPr>
          <w:sz w:val="22"/>
          <w:szCs w:val="22"/>
        </w:rPr>
        <w:t xml:space="preserve"> </w:t>
      </w:r>
      <w:r w:rsidRPr="007F7EBF">
        <w:rPr>
          <w:sz w:val="22"/>
          <w:szCs w:val="22"/>
        </w:rPr>
        <w:t>di cassa”</w:t>
      </w:r>
      <w:r w:rsidR="00F4426D" w:rsidRPr="007F7EBF">
        <w:rPr>
          <w:sz w:val="22"/>
          <w:szCs w:val="22"/>
        </w:rPr>
        <w:t xml:space="preserve">, </w:t>
      </w:r>
      <w:r w:rsidR="00316070" w:rsidRPr="007F7EBF">
        <w:rPr>
          <w:sz w:val="22"/>
          <w:szCs w:val="22"/>
        </w:rPr>
        <w:t>come per i dividendi</w:t>
      </w:r>
      <w:r w:rsidR="00EA10EB">
        <w:rPr>
          <w:sz w:val="22"/>
          <w:szCs w:val="22"/>
        </w:rPr>
        <w:t xml:space="preserve"> e le imposte deducibili</w:t>
      </w:r>
      <w:r w:rsidRPr="007F7EBF">
        <w:rPr>
          <w:sz w:val="22"/>
          <w:szCs w:val="22"/>
        </w:rPr>
        <w:t>.</w:t>
      </w:r>
      <w:r w:rsidR="006C3ED9" w:rsidRPr="007F7EBF">
        <w:rPr>
          <w:sz w:val="22"/>
          <w:szCs w:val="22"/>
        </w:rPr>
        <w:t xml:space="preserve"> </w:t>
      </w:r>
    </w:p>
    <w:p w14:paraId="6204455F" w14:textId="329A1E0A" w:rsidR="004F7BEB" w:rsidRPr="00DD28CB" w:rsidRDefault="004F7BEB" w:rsidP="004F7BEB">
      <w:pPr>
        <w:pStyle w:val="tit23"/>
        <w:ind w:left="6464" w:right="-1361" w:firstLine="0"/>
        <w:jc w:val="left"/>
        <w:rPr>
          <w:bCs/>
          <w:i/>
          <w:iCs/>
          <w:color w:val="0000FF"/>
          <w:lang w:val="it-IT"/>
        </w:rPr>
      </w:pPr>
      <w:r>
        <w:rPr>
          <w:bCs/>
          <w:i/>
          <w:iCs/>
          <w:color w:val="0000FF"/>
          <w:lang w:val="it-IT"/>
        </w:rPr>
        <w:t xml:space="preserve">Tempistica delle registrazioni </w:t>
      </w:r>
    </w:p>
    <w:p w14:paraId="675A19A2" w14:textId="1811FA6B" w:rsidR="00E67ACC" w:rsidRPr="00DD28CB" w:rsidRDefault="00DD28CB" w:rsidP="00DD28CB">
      <w:r w:rsidRPr="00DD28CB">
        <w:rPr>
          <w:sz w:val="22"/>
          <w:szCs w:val="22"/>
        </w:rPr>
        <w:t>I</w:t>
      </w:r>
      <w:r w:rsidR="004F7BEB" w:rsidRPr="00DD28CB">
        <w:rPr>
          <w:sz w:val="22"/>
          <w:szCs w:val="22"/>
        </w:rPr>
        <w:t xml:space="preserve">n corso d'anno le registrazioni contabili seguono l'emissione e il ricevimento dei documenti sottostanti, </w:t>
      </w:r>
      <w:r w:rsidRPr="00DD28CB">
        <w:rPr>
          <w:sz w:val="22"/>
          <w:szCs w:val="22"/>
        </w:rPr>
        <w:t xml:space="preserve">non il </w:t>
      </w:r>
      <w:r w:rsidRPr="00DD28CB">
        <w:t>materiale verificarsi delle operazioni cui essi si riferiscono o i suddetti momenti di competenza (</w:t>
      </w:r>
      <w:r w:rsidRPr="00DD28CB">
        <w:rPr>
          <w:rStyle w:val="Rimandonotaapidipagina"/>
        </w:rPr>
        <w:footnoteReference w:id="1127"/>
      </w:r>
      <w:r w:rsidRPr="00DD28CB">
        <w:t>)</w:t>
      </w:r>
      <w:r w:rsidRPr="00DD28CB">
        <w:rPr>
          <w:sz w:val="22"/>
          <w:szCs w:val="22"/>
        </w:rPr>
        <w:t>. L'imputazione a periodo per le imposte sui redditi rileva solo una volta l'anno, per determinare il reddito fiscale, come indicato al par.7.14; a fine anno bisogna cioè registrare le operazioni in corso, per le quali il documento non è ancora redatto o pervenuto, ma si è verificato il suddetto momento impositivo</w:t>
      </w:r>
      <w:r w:rsidR="00EA10EB">
        <w:rPr>
          <w:sz w:val="22"/>
          <w:szCs w:val="22"/>
        </w:rPr>
        <w:t>, come indicato al par.7.15</w:t>
      </w:r>
      <w:r w:rsidRPr="00DD28CB">
        <w:rPr>
          <w:sz w:val="22"/>
          <w:szCs w:val="22"/>
        </w:rPr>
        <w:t>.</w:t>
      </w:r>
      <w:r w:rsidR="004F7BEB" w:rsidRPr="007F7EBF">
        <w:rPr>
          <w:sz w:val="22"/>
          <w:szCs w:val="22"/>
        </w:rPr>
        <w:t xml:space="preserve"> </w:t>
      </w:r>
    </w:p>
    <w:p w14:paraId="06964A60" w14:textId="77777777" w:rsidR="00E67ACC" w:rsidRPr="007F7EBF" w:rsidRDefault="00E67ACC" w:rsidP="00E67ACC">
      <w:pPr>
        <w:pStyle w:val="tit23"/>
        <w:ind w:left="6464" w:right="-1361" w:firstLine="0"/>
        <w:jc w:val="left"/>
        <w:rPr>
          <w:bCs/>
          <w:i/>
          <w:iCs/>
          <w:color w:val="0000FF"/>
          <w:lang w:val="it-IT"/>
        </w:rPr>
      </w:pPr>
      <w:r w:rsidRPr="007F7EBF">
        <w:rPr>
          <w:bCs/>
          <w:i/>
          <w:iCs/>
          <w:color w:val="0000FF"/>
          <w:lang w:val="it-IT"/>
        </w:rPr>
        <w:t>correzioni di errori</w:t>
      </w:r>
      <w:r w:rsidR="00F4426D" w:rsidRPr="007F7EBF">
        <w:rPr>
          <w:bCs/>
          <w:i/>
          <w:iCs/>
          <w:color w:val="0000FF"/>
          <w:lang w:val="it-IT"/>
        </w:rPr>
        <w:t xml:space="preserve"> sulla competenza</w:t>
      </w:r>
    </w:p>
    <w:p w14:paraId="4EAFF547" w14:textId="694747D5" w:rsidR="006342C5" w:rsidRPr="007F7EBF" w:rsidRDefault="00E67ACC" w:rsidP="006342C5">
      <w:pPr>
        <w:autoSpaceDE w:val="0"/>
        <w:autoSpaceDN w:val="0"/>
        <w:adjustRightInd w:val="0"/>
        <w:rPr>
          <w:sz w:val="22"/>
          <w:szCs w:val="22"/>
        </w:rPr>
      </w:pPr>
      <w:r w:rsidRPr="007F7EBF">
        <w:rPr>
          <w:sz w:val="22"/>
          <w:szCs w:val="22"/>
        </w:rPr>
        <w:t xml:space="preserve">Può accadere che, per </w:t>
      </w:r>
      <w:r w:rsidR="00642D48" w:rsidRPr="007F7EBF">
        <w:rPr>
          <w:sz w:val="22"/>
          <w:szCs w:val="22"/>
        </w:rPr>
        <w:t>vari motivi</w:t>
      </w:r>
      <w:r w:rsidR="00DD28CB">
        <w:rPr>
          <w:sz w:val="22"/>
          <w:szCs w:val="22"/>
        </w:rPr>
        <w:t>(</w:t>
      </w:r>
      <w:r w:rsidR="00642D48" w:rsidRPr="007F7EBF">
        <w:rPr>
          <w:rStyle w:val="Rimandonotaapidipagina"/>
          <w:sz w:val="22"/>
          <w:szCs w:val="22"/>
        </w:rPr>
        <w:footnoteReference w:id="1128"/>
      </w:r>
      <w:r w:rsidR="00DD28CB">
        <w:rPr>
          <w:sz w:val="22"/>
          <w:szCs w:val="22"/>
        </w:rPr>
        <w:t>)</w:t>
      </w:r>
      <w:r w:rsidR="00642D48" w:rsidRPr="007F7EBF">
        <w:rPr>
          <w:sz w:val="22"/>
          <w:szCs w:val="22"/>
        </w:rPr>
        <w:t>,</w:t>
      </w:r>
      <w:r w:rsidRPr="007F7EBF">
        <w:rPr>
          <w:sz w:val="22"/>
          <w:szCs w:val="22"/>
        </w:rPr>
        <w:t xml:space="preserve"> o altre sviste, il contribuente dimentichi la rilevazione di un elemento p</w:t>
      </w:r>
      <w:r w:rsidR="00A10507" w:rsidRPr="007F7EBF">
        <w:rPr>
          <w:sz w:val="22"/>
          <w:szCs w:val="22"/>
        </w:rPr>
        <w:t>ositivo o negativo di reddito, oppure effettui erroneamente le valutazioni di fine esercizio di cui ai parr.7.15-7.16; in t</w:t>
      </w:r>
      <w:r w:rsidRPr="007F7EBF">
        <w:rPr>
          <w:sz w:val="22"/>
          <w:szCs w:val="22"/>
        </w:rPr>
        <w:t>al caso si potrebbe astrattamente correggere l'errore quando viene rilevato</w:t>
      </w:r>
      <w:r w:rsidR="00DD28CB">
        <w:rPr>
          <w:sz w:val="22"/>
          <w:szCs w:val="22"/>
        </w:rPr>
        <w:t>(</w:t>
      </w:r>
      <w:r w:rsidR="001276F7" w:rsidRPr="007F7EBF">
        <w:rPr>
          <w:rStyle w:val="Rimandonotaapidipagina"/>
          <w:sz w:val="22"/>
          <w:szCs w:val="22"/>
        </w:rPr>
        <w:footnoteReference w:id="1129"/>
      </w:r>
      <w:r w:rsidR="00DD28CB">
        <w:rPr>
          <w:sz w:val="22"/>
          <w:szCs w:val="22"/>
        </w:rPr>
        <w:t>)</w:t>
      </w:r>
      <w:r w:rsidRPr="007F7EBF">
        <w:rPr>
          <w:sz w:val="22"/>
          <w:szCs w:val="22"/>
        </w:rPr>
        <w:t>, oppure modificare la dichiarazione originaria, effettuando una integrazione o chiedendo un rimborso. La procedura interpretativamente indicata dall'Agenzia delle Entrate è la seconda</w:t>
      </w:r>
      <w:r w:rsidR="00EA10EB">
        <w:rPr>
          <w:sz w:val="22"/>
          <w:szCs w:val="22"/>
        </w:rPr>
        <w:t>(</w:t>
      </w:r>
      <w:r w:rsidR="00A10507" w:rsidRPr="007F7EBF">
        <w:rPr>
          <w:rStyle w:val="Rimandonotaapidipagina"/>
          <w:sz w:val="22"/>
          <w:szCs w:val="22"/>
        </w:rPr>
        <w:footnoteReference w:id="1130"/>
      </w:r>
      <w:r w:rsidR="00EA10EB">
        <w:rPr>
          <w:sz w:val="22"/>
          <w:szCs w:val="22"/>
        </w:rPr>
        <w:t>)</w:t>
      </w:r>
      <w:r w:rsidRPr="007F7EBF">
        <w:rPr>
          <w:sz w:val="22"/>
          <w:szCs w:val="22"/>
        </w:rPr>
        <w:t xml:space="preserve">, accompagnata però da una serie di dichiarazioni rettificative che consentono </w:t>
      </w:r>
      <w:r w:rsidR="00DD28CB">
        <w:rPr>
          <w:sz w:val="22"/>
          <w:szCs w:val="22"/>
        </w:rPr>
        <w:t>a</w:t>
      </w:r>
      <w:r w:rsidRPr="007F7EBF">
        <w:rPr>
          <w:sz w:val="22"/>
          <w:szCs w:val="22"/>
        </w:rPr>
        <w:t>l</w:t>
      </w:r>
      <w:r w:rsidR="00DD28CB">
        <w:rPr>
          <w:sz w:val="22"/>
          <w:szCs w:val="22"/>
        </w:rPr>
        <w:t xml:space="preserve"> contribuente di </w:t>
      </w:r>
      <w:r w:rsidRPr="007F7EBF">
        <w:rPr>
          <w:sz w:val="22"/>
          <w:szCs w:val="22"/>
        </w:rPr>
        <w:t>"autoliquida</w:t>
      </w:r>
      <w:r w:rsidR="00DD28CB">
        <w:rPr>
          <w:sz w:val="22"/>
          <w:szCs w:val="22"/>
        </w:rPr>
        <w:t>re</w:t>
      </w:r>
      <w:r w:rsidRPr="007F7EBF">
        <w:rPr>
          <w:sz w:val="22"/>
          <w:szCs w:val="22"/>
        </w:rPr>
        <w:t xml:space="preserve"> l'errore</w:t>
      </w:r>
      <w:r w:rsidR="00DD28CB">
        <w:rPr>
          <w:sz w:val="22"/>
          <w:szCs w:val="22"/>
        </w:rPr>
        <w:t>” (</w:t>
      </w:r>
      <w:r w:rsidR="00266B85" w:rsidRPr="007F7EBF">
        <w:rPr>
          <w:rStyle w:val="Rimandonotaapidipagina"/>
          <w:sz w:val="22"/>
          <w:szCs w:val="22"/>
        </w:rPr>
        <w:footnoteReference w:id="1131"/>
      </w:r>
      <w:r w:rsidR="00DD28CB">
        <w:rPr>
          <w:sz w:val="22"/>
          <w:szCs w:val="22"/>
        </w:rPr>
        <w:t>)</w:t>
      </w:r>
      <w:r w:rsidR="00266B85" w:rsidRPr="007F7EBF">
        <w:rPr>
          <w:sz w:val="22"/>
          <w:szCs w:val="22"/>
        </w:rPr>
        <w:t xml:space="preserve">. </w:t>
      </w:r>
    </w:p>
    <w:p w14:paraId="4F618BAB" w14:textId="66CBD704" w:rsidR="003015A9" w:rsidRPr="007F7EBF" w:rsidRDefault="007D5DE7" w:rsidP="003F1B8F">
      <w:pPr>
        <w:pStyle w:val="Titolo3"/>
        <w:rPr>
          <w:rFonts w:ascii="Times New Roman" w:hAnsi="Times New Roman"/>
          <w:sz w:val="22"/>
          <w:szCs w:val="22"/>
        </w:rPr>
      </w:pPr>
      <w:bookmarkStart w:id="110" w:name="_Toc63365021"/>
      <w:r w:rsidRPr="007F7EBF">
        <w:rPr>
          <w:rFonts w:ascii="Times New Roman" w:hAnsi="Times New Roman"/>
          <w:sz w:val="22"/>
          <w:szCs w:val="22"/>
        </w:rPr>
        <w:lastRenderedPageBreak/>
        <w:t>7.12</w:t>
      </w:r>
      <w:r w:rsidR="003015A9" w:rsidRPr="007F7EBF">
        <w:rPr>
          <w:rFonts w:ascii="Times New Roman" w:hAnsi="Times New Roman"/>
          <w:sz w:val="22"/>
          <w:szCs w:val="22"/>
        </w:rPr>
        <w:t xml:space="preserve">. </w:t>
      </w:r>
      <w:r w:rsidR="00511EC1">
        <w:rPr>
          <w:rFonts w:ascii="Times New Roman" w:hAnsi="Times New Roman"/>
          <w:sz w:val="22"/>
          <w:szCs w:val="22"/>
          <w:lang w:val="it-IT"/>
        </w:rPr>
        <w:t>Sopravvenienze e competenza (interna ed esterna) nelle imposte sui redditi</w:t>
      </w:r>
      <w:bookmarkEnd w:id="110"/>
      <w:r w:rsidR="00511EC1">
        <w:rPr>
          <w:rFonts w:ascii="Times New Roman" w:hAnsi="Times New Roman"/>
          <w:sz w:val="22"/>
          <w:szCs w:val="22"/>
          <w:lang w:val="it-IT"/>
        </w:rPr>
        <w:t xml:space="preserve"> </w:t>
      </w:r>
    </w:p>
    <w:p w14:paraId="6C380805" w14:textId="77777777" w:rsidR="003015A9" w:rsidRPr="007F7EBF" w:rsidRDefault="003015A9" w:rsidP="003015A9">
      <w:pPr>
        <w:pStyle w:val="tit23"/>
        <w:ind w:left="6464" w:right="-1361" w:firstLine="0"/>
        <w:jc w:val="left"/>
        <w:rPr>
          <w:bCs/>
          <w:i/>
          <w:iCs/>
          <w:color w:val="0000FF"/>
          <w:lang w:val="it-IT"/>
        </w:rPr>
      </w:pPr>
      <w:r w:rsidRPr="007F7EBF">
        <w:rPr>
          <w:bCs/>
          <w:i/>
          <w:iCs/>
          <w:color w:val="0000FF"/>
          <w:lang w:val="it-IT"/>
        </w:rPr>
        <w:t>Rilevanza simultanea IVA-redditi di cessioni e prestazioni</w:t>
      </w:r>
    </w:p>
    <w:p w14:paraId="3C988D0C" w14:textId="4FDAD964" w:rsidR="003015A9" w:rsidRPr="007F7EBF" w:rsidRDefault="00511EC1" w:rsidP="003015A9">
      <w:pPr>
        <w:autoSpaceDE w:val="0"/>
        <w:autoSpaceDN w:val="0"/>
        <w:adjustRightInd w:val="0"/>
        <w:rPr>
          <w:sz w:val="22"/>
          <w:szCs w:val="22"/>
        </w:rPr>
      </w:pPr>
      <w:r>
        <w:rPr>
          <w:sz w:val="22"/>
          <w:szCs w:val="22"/>
        </w:rPr>
        <w:t xml:space="preserve">Abbiamo già visto al par.7.6 il generale parallelismo tra rilevanza ai fini IVA e delle imposte sui redditi delle </w:t>
      </w:r>
      <w:r w:rsidR="007D5DE7" w:rsidRPr="007F7EBF">
        <w:rPr>
          <w:sz w:val="22"/>
          <w:szCs w:val="22"/>
        </w:rPr>
        <w:t>operazioni dietro corrispettivo, rese da operatori economici</w:t>
      </w:r>
      <w:r>
        <w:rPr>
          <w:sz w:val="22"/>
          <w:szCs w:val="22"/>
        </w:rPr>
        <w:t>, tali nel senso di cui al par.7.5.</w:t>
      </w:r>
      <w:r w:rsidR="007D5DE7" w:rsidRPr="007F7EBF">
        <w:rPr>
          <w:sz w:val="22"/>
          <w:szCs w:val="22"/>
        </w:rPr>
        <w:t xml:space="preserve">, rilevano </w:t>
      </w:r>
      <w:r w:rsidR="000D16CA" w:rsidRPr="007F7EBF">
        <w:rPr>
          <w:sz w:val="22"/>
          <w:szCs w:val="22"/>
        </w:rPr>
        <w:t>sotto profili diversi</w:t>
      </w:r>
      <w:r w:rsidR="007D5DE7" w:rsidRPr="007F7EBF">
        <w:rPr>
          <w:sz w:val="22"/>
          <w:szCs w:val="22"/>
        </w:rPr>
        <w:t xml:space="preserve"> sia</w:t>
      </w:r>
      <w:r w:rsidR="003015A9" w:rsidRPr="007F7EBF">
        <w:rPr>
          <w:sz w:val="22"/>
          <w:szCs w:val="22"/>
        </w:rPr>
        <w:t xml:space="preserve"> ai </w:t>
      </w:r>
      <w:r w:rsidR="007D5DE7" w:rsidRPr="007F7EBF">
        <w:rPr>
          <w:sz w:val="22"/>
          <w:szCs w:val="22"/>
        </w:rPr>
        <w:t>fini</w:t>
      </w:r>
      <w:r w:rsidR="000D16CA" w:rsidRPr="007F7EBF">
        <w:rPr>
          <w:sz w:val="22"/>
          <w:szCs w:val="22"/>
        </w:rPr>
        <w:t xml:space="preserve"> delle imposte sui redditi sia ai fini </w:t>
      </w:r>
      <w:r w:rsidR="007D5DE7" w:rsidRPr="007F7EBF">
        <w:rPr>
          <w:sz w:val="22"/>
          <w:szCs w:val="22"/>
        </w:rPr>
        <w:t>dell'IVA</w:t>
      </w:r>
      <w:r>
        <w:rPr>
          <w:sz w:val="22"/>
          <w:szCs w:val="22"/>
        </w:rPr>
        <w:t xml:space="preserve">; esse riguardano dalla parte del venditore ricavi e redditi, e da parte dell’acquirente </w:t>
      </w:r>
      <w:r w:rsidR="00B4209D" w:rsidRPr="007F7EBF">
        <w:rPr>
          <w:sz w:val="22"/>
          <w:szCs w:val="22"/>
        </w:rPr>
        <w:t>consumi o costi (</w:t>
      </w:r>
      <w:r w:rsidR="00B4209D" w:rsidRPr="007F7EBF">
        <w:rPr>
          <w:rStyle w:val="Rimandonotaapidipagina"/>
          <w:sz w:val="22"/>
          <w:szCs w:val="22"/>
        </w:rPr>
        <w:footnoteReference w:id="1132"/>
      </w:r>
      <w:r w:rsidR="00B4209D" w:rsidRPr="007F7EBF">
        <w:rPr>
          <w:sz w:val="22"/>
          <w:szCs w:val="22"/>
        </w:rPr>
        <w:t>)</w:t>
      </w:r>
      <w:r w:rsidR="007D5DE7" w:rsidRPr="007F7EBF">
        <w:rPr>
          <w:sz w:val="22"/>
          <w:szCs w:val="22"/>
        </w:rPr>
        <w:t>.</w:t>
      </w:r>
    </w:p>
    <w:p w14:paraId="7F752107" w14:textId="07A4C831" w:rsidR="003015A9" w:rsidRPr="007F7EBF" w:rsidRDefault="00511EC1" w:rsidP="003015A9">
      <w:pPr>
        <w:pStyle w:val="tit23"/>
        <w:ind w:left="6464" w:right="-1361" w:firstLine="0"/>
        <w:jc w:val="left"/>
        <w:rPr>
          <w:bCs/>
          <w:i/>
          <w:iCs/>
          <w:color w:val="0000FF"/>
          <w:lang w:val="it-IT"/>
        </w:rPr>
      </w:pPr>
      <w:r>
        <w:rPr>
          <w:bCs/>
          <w:i/>
          <w:iCs/>
          <w:color w:val="0000FF"/>
          <w:lang w:val="it-IT"/>
        </w:rPr>
        <w:t xml:space="preserve">Sopravvenienze </w:t>
      </w:r>
    </w:p>
    <w:p w14:paraId="0756F5EE" w14:textId="75D7FD23" w:rsidR="00D13678" w:rsidRPr="007F7EBF" w:rsidRDefault="00DC2001" w:rsidP="00D13678">
      <w:pPr>
        <w:autoSpaceDE w:val="0"/>
        <w:autoSpaceDN w:val="0"/>
        <w:adjustRightInd w:val="0"/>
        <w:rPr>
          <w:sz w:val="22"/>
          <w:szCs w:val="22"/>
        </w:rPr>
      </w:pPr>
      <w:r w:rsidRPr="007F7EBF">
        <w:rPr>
          <w:sz w:val="22"/>
          <w:szCs w:val="22"/>
        </w:rPr>
        <w:t xml:space="preserve">Le operazioni dove non è presente questa corrispettività sono invece irrilevanti ai fini dell'IVA, mentre possono concorrere a formare il reddito, </w:t>
      </w:r>
      <w:r w:rsidR="003015A9" w:rsidRPr="007F7EBF">
        <w:rPr>
          <w:sz w:val="22"/>
          <w:szCs w:val="22"/>
        </w:rPr>
        <w:t>come risarcimenti danni</w:t>
      </w:r>
      <w:r w:rsidR="00511EC1">
        <w:rPr>
          <w:sz w:val="22"/>
          <w:szCs w:val="22"/>
        </w:rPr>
        <w:t xml:space="preserve"> (</w:t>
      </w:r>
      <w:r w:rsidR="003015A9" w:rsidRPr="007F7EBF">
        <w:rPr>
          <w:rStyle w:val="Rimandonotaapidipagina"/>
          <w:sz w:val="22"/>
          <w:szCs w:val="22"/>
        </w:rPr>
        <w:footnoteReference w:id="1133"/>
      </w:r>
      <w:r w:rsidR="00511EC1">
        <w:rPr>
          <w:sz w:val="22"/>
          <w:szCs w:val="22"/>
        </w:rPr>
        <w:t>)</w:t>
      </w:r>
      <w:r w:rsidR="003015A9" w:rsidRPr="007F7EBF">
        <w:rPr>
          <w:sz w:val="22"/>
          <w:szCs w:val="22"/>
        </w:rPr>
        <w:t>, contributi pubblici e privati, perdite da furto o dan</w:t>
      </w:r>
      <w:r w:rsidRPr="007F7EBF">
        <w:rPr>
          <w:sz w:val="22"/>
          <w:szCs w:val="22"/>
        </w:rPr>
        <w:t>neggiamento, indennizzi, differenze positive o negative realizzate su crediti e vari altri eventi fortuiti</w:t>
      </w:r>
      <w:r w:rsidR="003015A9" w:rsidRPr="007F7EBF">
        <w:rPr>
          <w:sz w:val="22"/>
          <w:szCs w:val="22"/>
        </w:rPr>
        <w:t xml:space="preserve">. </w:t>
      </w:r>
      <w:r w:rsidR="00511EC1">
        <w:rPr>
          <w:sz w:val="22"/>
          <w:szCs w:val="22"/>
        </w:rPr>
        <w:t>Questi eventi sono riportati alle categorie dell</w:t>
      </w:r>
      <w:r w:rsidR="003015A9" w:rsidRPr="007F7EBF">
        <w:rPr>
          <w:sz w:val="22"/>
          <w:szCs w:val="22"/>
        </w:rPr>
        <w:t>e «</w:t>
      </w:r>
      <w:r w:rsidR="003015A9" w:rsidRPr="007F7EBF">
        <w:rPr>
          <w:bCs/>
          <w:sz w:val="22"/>
          <w:szCs w:val="22"/>
        </w:rPr>
        <w:t>sopravvenienze</w:t>
      </w:r>
      <w:r w:rsidR="003015A9" w:rsidRPr="007F7EBF">
        <w:rPr>
          <w:sz w:val="22"/>
          <w:szCs w:val="22"/>
        </w:rPr>
        <w:t>», modificando operazioni già contabilizzate in precedenti periodi d’imposta; sono sopravvenienze “attive”</w:t>
      </w:r>
      <w:r w:rsidR="00511EC1">
        <w:rPr>
          <w:sz w:val="22"/>
          <w:szCs w:val="22"/>
        </w:rPr>
        <w:t xml:space="preserve"> </w:t>
      </w:r>
      <w:r w:rsidR="003015A9" w:rsidRPr="007F7EBF">
        <w:rPr>
          <w:sz w:val="22"/>
          <w:szCs w:val="22"/>
        </w:rPr>
        <w:t>se la modifica è «in meglio e «passive» in caso contrario. E' una categoria concettuale importante, in cui si inseriscono le perdite su crediti, o i proventi per remissioni di debiti, e tutti gli aggiustamenti necessari a riportare simmetria rispetto ai valori fiscalmente riconosciuti, come vedremo al par. 7.13</w:t>
      </w:r>
      <w:r w:rsidR="00FE5877">
        <w:rPr>
          <w:sz w:val="22"/>
          <w:szCs w:val="22"/>
        </w:rPr>
        <w:t xml:space="preserve"> (</w:t>
      </w:r>
      <w:r w:rsidR="00FE5877">
        <w:rPr>
          <w:rStyle w:val="Rimandonotaapidipagina"/>
          <w:sz w:val="22"/>
          <w:szCs w:val="22"/>
        </w:rPr>
        <w:footnoteReference w:id="1134"/>
      </w:r>
      <w:r w:rsidR="00FE5877">
        <w:rPr>
          <w:sz w:val="22"/>
          <w:szCs w:val="22"/>
        </w:rPr>
        <w:t>)</w:t>
      </w:r>
      <w:r w:rsidR="003015A9" w:rsidRPr="007F7EBF">
        <w:rPr>
          <w:sz w:val="22"/>
          <w:szCs w:val="22"/>
        </w:rPr>
        <w:t xml:space="preserve">. </w:t>
      </w:r>
    </w:p>
    <w:p w14:paraId="13EE1AA9" w14:textId="77777777" w:rsidR="00294AA0" w:rsidRPr="007F7EBF" w:rsidRDefault="00294AA0" w:rsidP="00294AA0">
      <w:pPr>
        <w:pStyle w:val="tit23"/>
        <w:ind w:left="6464" w:right="-1361" w:firstLine="0"/>
        <w:jc w:val="left"/>
        <w:rPr>
          <w:bCs/>
          <w:i/>
          <w:iCs/>
          <w:color w:val="0000FF"/>
          <w:lang w:val="it-IT"/>
        </w:rPr>
      </w:pPr>
      <w:r>
        <w:rPr>
          <w:bCs/>
          <w:i/>
          <w:iCs/>
          <w:color w:val="0000FF"/>
          <w:lang w:val="it-IT"/>
        </w:rPr>
        <w:lastRenderedPageBreak/>
        <w:t xml:space="preserve">Competenza interna tra imposte sui redditi </w:t>
      </w:r>
      <w:r w:rsidRPr="007F7EBF">
        <w:rPr>
          <w:bCs/>
          <w:i/>
          <w:iCs/>
          <w:color w:val="0000FF"/>
          <w:lang w:val="it-IT"/>
        </w:rPr>
        <w:t>e IVA</w:t>
      </w:r>
    </w:p>
    <w:p w14:paraId="3081713B" w14:textId="3FFD7446" w:rsidR="00294AA0" w:rsidRPr="007F7EBF" w:rsidRDefault="00294AA0" w:rsidP="00294AA0">
      <w:pPr>
        <w:autoSpaceDE w:val="0"/>
        <w:autoSpaceDN w:val="0"/>
        <w:adjustRightInd w:val="0"/>
        <w:rPr>
          <w:sz w:val="22"/>
          <w:szCs w:val="22"/>
        </w:rPr>
      </w:pPr>
      <w:r>
        <w:rPr>
          <w:sz w:val="22"/>
          <w:szCs w:val="22"/>
        </w:rPr>
        <w:t xml:space="preserve">La competenza non riguarda solo </w:t>
      </w:r>
      <w:r w:rsidRPr="007F7EBF">
        <w:rPr>
          <w:sz w:val="22"/>
          <w:szCs w:val="22"/>
        </w:rPr>
        <w:t xml:space="preserve">i suddetti rapporti con  controparti esterne, </w:t>
      </w:r>
      <w:r>
        <w:rPr>
          <w:sz w:val="22"/>
          <w:szCs w:val="22"/>
        </w:rPr>
        <w:t xml:space="preserve">soprattutto fornitori o </w:t>
      </w:r>
      <w:r w:rsidRPr="007F7EBF">
        <w:rPr>
          <w:sz w:val="22"/>
          <w:szCs w:val="22"/>
        </w:rPr>
        <w:t xml:space="preserve">acquirenti di beni o servizi, </w:t>
      </w:r>
      <w:r>
        <w:rPr>
          <w:sz w:val="22"/>
          <w:szCs w:val="22"/>
        </w:rPr>
        <w:t xml:space="preserve">ma anche la distribuzione degli elementi reddituali tra i bilanci annuali dell’azienda; in quest’ultimo senso </w:t>
      </w:r>
      <w:r w:rsidRPr="007F7EBF">
        <w:rPr>
          <w:sz w:val="22"/>
          <w:szCs w:val="22"/>
        </w:rPr>
        <w:t xml:space="preserve">si parla di </w:t>
      </w:r>
      <w:r>
        <w:rPr>
          <w:sz w:val="22"/>
          <w:szCs w:val="22"/>
        </w:rPr>
        <w:t xml:space="preserve">“competenza interna” (par.7.15), che vedremo per </w:t>
      </w:r>
      <w:r w:rsidRPr="007F7EBF">
        <w:rPr>
          <w:sz w:val="22"/>
          <w:szCs w:val="22"/>
        </w:rPr>
        <w:t xml:space="preserve">le valutazioni di bilancio relative ad accantonamenti, ammortamenti, perdite presunte, etc.. </w:t>
      </w:r>
      <w:r>
        <w:rPr>
          <w:sz w:val="22"/>
          <w:szCs w:val="22"/>
        </w:rPr>
        <w:t xml:space="preserve">E’ un concetto </w:t>
      </w:r>
      <w:proofErr w:type="spellStart"/>
      <w:r>
        <w:rPr>
          <w:sz w:val="22"/>
          <w:szCs w:val="22"/>
        </w:rPr>
        <w:t>pressochè</w:t>
      </w:r>
      <w:proofErr w:type="spellEnd"/>
      <w:r>
        <w:rPr>
          <w:sz w:val="22"/>
          <w:szCs w:val="22"/>
        </w:rPr>
        <w:t xml:space="preserve"> assente nell’</w:t>
      </w:r>
      <w:r w:rsidRPr="007F7EBF">
        <w:rPr>
          <w:sz w:val="22"/>
          <w:szCs w:val="22"/>
        </w:rPr>
        <w:t xml:space="preserve">IVA, </w:t>
      </w:r>
      <w:r>
        <w:rPr>
          <w:sz w:val="22"/>
          <w:szCs w:val="22"/>
        </w:rPr>
        <w:t xml:space="preserve">dove l’obiettivo </w:t>
      </w:r>
      <w:r w:rsidR="00E90595">
        <w:rPr>
          <w:sz w:val="22"/>
          <w:szCs w:val="22"/>
        </w:rPr>
        <w:t>della detrazione, cioè</w:t>
      </w:r>
      <w:r>
        <w:rPr>
          <w:sz w:val="22"/>
          <w:szCs w:val="22"/>
        </w:rPr>
        <w:t xml:space="preserve"> detassare le operazioni intermedie </w:t>
      </w:r>
      <w:r w:rsidR="00006A88">
        <w:rPr>
          <w:sz w:val="22"/>
          <w:szCs w:val="22"/>
        </w:rPr>
        <w:t xml:space="preserve">b2b, </w:t>
      </w:r>
      <w:r>
        <w:rPr>
          <w:sz w:val="22"/>
          <w:szCs w:val="22"/>
        </w:rPr>
        <w:t xml:space="preserve">è raggiunto anche </w:t>
      </w:r>
      <w:r w:rsidR="00006A88">
        <w:rPr>
          <w:sz w:val="22"/>
          <w:szCs w:val="22"/>
        </w:rPr>
        <w:t xml:space="preserve">effettuando integralmente la detrazione al momento dell’acquisto, anche per i </w:t>
      </w:r>
      <w:r>
        <w:rPr>
          <w:sz w:val="22"/>
          <w:szCs w:val="22"/>
        </w:rPr>
        <w:t xml:space="preserve">beni ammortizzabili (par.7.15) e </w:t>
      </w:r>
      <w:r w:rsidR="00006A88">
        <w:rPr>
          <w:sz w:val="22"/>
          <w:szCs w:val="22"/>
        </w:rPr>
        <w:t xml:space="preserve">per </w:t>
      </w:r>
      <w:r>
        <w:rPr>
          <w:sz w:val="22"/>
          <w:szCs w:val="22"/>
        </w:rPr>
        <w:t>quelli in rimanenza a fine esercizio, di cui al par.7.16 (</w:t>
      </w:r>
      <w:r>
        <w:rPr>
          <w:rStyle w:val="Rimandonotaapidipagina"/>
          <w:sz w:val="22"/>
          <w:szCs w:val="22"/>
        </w:rPr>
        <w:footnoteReference w:id="1135"/>
      </w:r>
      <w:r>
        <w:rPr>
          <w:sz w:val="22"/>
          <w:szCs w:val="22"/>
        </w:rPr>
        <w:t xml:space="preserve">). </w:t>
      </w:r>
    </w:p>
    <w:p w14:paraId="6B9B04A4" w14:textId="77777777" w:rsidR="00D13678" w:rsidRPr="007F7EBF" w:rsidRDefault="00D13678" w:rsidP="003015A9">
      <w:pPr>
        <w:autoSpaceDE w:val="0"/>
        <w:autoSpaceDN w:val="0"/>
        <w:adjustRightInd w:val="0"/>
        <w:rPr>
          <w:sz w:val="22"/>
          <w:szCs w:val="22"/>
        </w:rPr>
      </w:pPr>
    </w:p>
    <w:p w14:paraId="7370564E" w14:textId="7BAE30A6" w:rsidR="00C93136" w:rsidRPr="007F7EBF" w:rsidRDefault="006342C5" w:rsidP="008F4DE4">
      <w:pPr>
        <w:pStyle w:val="Titolo3"/>
        <w:rPr>
          <w:sz w:val="22"/>
          <w:szCs w:val="22"/>
        </w:rPr>
      </w:pPr>
      <w:bookmarkStart w:id="111" w:name="_Toc63365022"/>
      <w:r w:rsidRPr="007F7EBF">
        <w:rPr>
          <w:rFonts w:ascii="Times New Roman" w:hAnsi="Times New Roman"/>
          <w:sz w:val="22"/>
          <w:szCs w:val="22"/>
        </w:rPr>
        <w:t>7.13. Il valore fiscalmente riconosciuto e l’esposizione in bilancio dei beni</w:t>
      </w:r>
      <w:r w:rsidR="009F7854" w:rsidRPr="007F7EBF">
        <w:rPr>
          <w:rFonts w:ascii="Times New Roman" w:hAnsi="Times New Roman"/>
          <w:sz w:val="22"/>
          <w:szCs w:val="22"/>
        </w:rPr>
        <w:t xml:space="preserve"> </w:t>
      </w:r>
      <w:r w:rsidRPr="007F7EBF">
        <w:rPr>
          <w:rFonts w:ascii="Times New Roman" w:hAnsi="Times New Roman"/>
          <w:sz w:val="22"/>
          <w:szCs w:val="22"/>
        </w:rPr>
        <w:t>di impresa, tra criteri patrimoniali e reddituali</w:t>
      </w:r>
      <w:bookmarkEnd w:id="111"/>
      <w:r w:rsidR="006042AD" w:rsidRPr="007F7EBF">
        <w:rPr>
          <w:rFonts w:ascii="Times New Roman" w:hAnsi="Times New Roman"/>
          <w:sz w:val="22"/>
          <w:szCs w:val="22"/>
          <w:lang w:val="it-IT"/>
        </w:rPr>
        <w:t xml:space="preserve">  </w:t>
      </w:r>
    </w:p>
    <w:p w14:paraId="37ABD6C9" w14:textId="77777777" w:rsidR="00C93136" w:rsidRPr="007F7EBF" w:rsidRDefault="00C93136" w:rsidP="00C93136">
      <w:pPr>
        <w:pStyle w:val="tit23"/>
        <w:ind w:left="6464" w:right="-1361" w:firstLine="0"/>
        <w:jc w:val="left"/>
        <w:rPr>
          <w:bCs/>
          <w:i/>
          <w:iCs/>
          <w:color w:val="0000FF"/>
          <w:lang w:val="it-IT"/>
        </w:rPr>
      </w:pPr>
      <w:r w:rsidRPr="007F7EBF">
        <w:rPr>
          <w:bCs/>
          <w:i/>
          <w:iCs/>
          <w:color w:val="0000FF"/>
          <w:lang w:val="it-IT"/>
        </w:rPr>
        <w:t>Determinazione differenziale del reddito</w:t>
      </w:r>
    </w:p>
    <w:p w14:paraId="565BBEF3" w14:textId="46F879AA" w:rsidR="00C93136" w:rsidRPr="007F7EBF" w:rsidRDefault="000C5F7F" w:rsidP="00C93136">
      <w:pPr>
        <w:autoSpaceDE w:val="0"/>
        <w:autoSpaceDN w:val="0"/>
        <w:adjustRightInd w:val="0"/>
        <w:rPr>
          <w:sz w:val="22"/>
          <w:szCs w:val="22"/>
        </w:rPr>
      </w:pPr>
      <w:r>
        <w:rPr>
          <w:sz w:val="22"/>
          <w:szCs w:val="22"/>
        </w:rPr>
        <w:t>L</w:t>
      </w:r>
      <w:r w:rsidR="001F2CA7">
        <w:rPr>
          <w:sz w:val="22"/>
          <w:szCs w:val="22"/>
        </w:rPr>
        <w:t xml:space="preserve">e complessità che l’IVA presenta </w:t>
      </w:r>
      <w:r w:rsidR="00F1521A">
        <w:rPr>
          <w:sz w:val="22"/>
          <w:szCs w:val="22"/>
        </w:rPr>
        <w:t xml:space="preserve">nel neutralizzare le “operazioni intermedie” </w:t>
      </w:r>
      <w:r w:rsidR="001F2CA7">
        <w:rPr>
          <w:sz w:val="22"/>
          <w:szCs w:val="22"/>
        </w:rPr>
        <w:t xml:space="preserve">(par.7.2-7.4), emergono -nelle imposte sui redditi </w:t>
      </w:r>
      <w:r w:rsidR="00EA2F52">
        <w:rPr>
          <w:sz w:val="22"/>
          <w:szCs w:val="22"/>
        </w:rPr>
        <w:t xml:space="preserve">con la </w:t>
      </w:r>
      <w:r w:rsidR="00006A88">
        <w:rPr>
          <w:sz w:val="22"/>
          <w:szCs w:val="22"/>
        </w:rPr>
        <w:t xml:space="preserve"> distribuzione nel tempo</w:t>
      </w:r>
      <w:r w:rsidR="00EA2F52">
        <w:rPr>
          <w:sz w:val="22"/>
          <w:szCs w:val="22"/>
        </w:rPr>
        <w:t xml:space="preserve"> degli elementi reddituali di cui ai par.7.11./7.16</w:t>
      </w:r>
      <w:r w:rsidR="00006A88">
        <w:rPr>
          <w:sz w:val="22"/>
          <w:szCs w:val="22"/>
        </w:rPr>
        <w:t xml:space="preserve">. </w:t>
      </w:r>
      <w:r w:rsidR="00597BD8">
        <w:rPr>
          <w:sz w:val="22"/>
          <w:szCs w:val="22"/>
        </w:rPr>
        <w:t xml:space="preserve">Si tratta delle c.d. “valutazioni di bilancio”, cui è propedeutica la tecnica di esposizione contabile degli acquisti e delle vendite, a seconda della natura del bene; come anticipato al par.7.8., viene sempre esposto in partita doppia l’aspetto finanziario dell’operazione con la controparte, e l’altro aspetto può riguardare la natura economica dell’operazione, cioè costo o ricavo, ovvero la sua componente patrimoniale, rilevando cioè l’entrata o l’uscita dall’azienda del bene acquistato o ceduto. </w:t>
      </w:r>
    </w:p>
    <w:p w14:paraId="6EC1CAF6" w14:textId="77777777" w:rsidR="006F2965" w:rsidRPr="007F7EBF" w:rsidRDefault="006F2965" w:rsidP="006F2965">
      <w:pPr>
        <w:autoSpaceDE w:val="0"/>
        <w:autoSpaceDN w:val="0"/>
        <w:adjustRightInd w:val="0"/>
        <w:rPr>
          <w:bCs/>
          <w:i/>
          <w:iCs/>
          <w:color w:val="0000FF"/>
          <w:sz w:val="22"/>
          <w:szCs w:val="22"/>
        </w:rPr>
      </w:pPr>
    </w:p>
    <w:p w14:paraId="1B94359B" w14:textId="77777777" w:rsidR="006F2965" w:rsidRPr="007F7EBF" w:rsidRDefault="006F2965" w:rsidP="006F2965">
      <w:pPr>
        <w:pStyle w:val="tit23"/>
        <w:ind w:left="6464" w:right="-1361" w:firstLine="0"/>
        <w:jc w:val="left"/>
        <w:rPr>
          <w:bCs/>
          <w:i/>
          <w:iCs/>
          <w:color w:val="0000FF"/>
          <w:lang w:val="it-IT"/>
        </w:rPr>
      </w:pPr>
      <w:r w:rsidRPr="007F7EBF">
        <w:rPr>
          <w:bCs/>
          <w:i/>
          <w:iCs/>
          <w:color w:val="0000FF"/>
          <w:lang w:val="it-IT"/>
        </w:rPr>
        <w:t>Esposizione a patrimonio e a costi-ricavi -rimanenze</w:t>
      </w:r>
    </w:p>
    <w:p w14:paraId="19A4C081" w14:textId="64121DF3" w:rsidR="00597BD8" w:rsidRPr="007F7EBF" w:rsidRDefault="005103AF" w:rsidP="00597BD8">
      <w:pPr>
        <w:autoSpaceDE w:val="0"/>
        <w:autoSpaceDN w:val="0"/>
        <w:adjustRightInd w:val="0"/>
        <w:rPr>
          <w:sz w:val="22"/>
          <w:szCs w:val="22"/>
        </w:rPr>
      </w:pPr>
      <w:r w:rsidRPr="007F7EBF">
        <w:rPr>
          <w:sz w:val="22"/>
          <w:szCs w:val="22"/>
        </w:rPr>
        <w:lastRenderedPageBreak/>
        <w:t xml:space="preserve">Il </w:t>
      </w:r>
      <w:r w:rsidR="00597BD8">
        <w:rPr>
          <w:sz w:val="22"/>
          <w:szCs w:val="22"/>
        </w:rPr>
        <w:t xml:space="preserve">primo metodo si chiama rilevazione “a costi, ricavi e rimanenze” e il secondo si chiama rilevazione di tipo “patrimoniale”. Quest’ultima, concettualmente più intuitiva, è utilizzata per gli acquisti e le vendite di </w:t>
      </w:r>
      <w:r w:rsidR="00B770AB" w:rsidRPr="007F7EBF">
        <w:rPr>
          <w:sz w:val="22"/>
          <w:szCs w:val="22"/>
        </w:rPr>
        <w:t xml:space="preserve"> impianti</w:t>
      </w:r>
      <w:r w:rsidR="00597BD8">
        <w:rPr>
          <w:sz w:val="22"/>
          <w:szCs w:val="22"/>
        </w:rPr>
        <w:t>, attrezzature</w:t>
      </w:r>
      <w:r w:rsidR="006F2965">
        <w:rPr>
          <w:sz w:val="22"/>
          <w:szCs w:val="22"/>
        </w:rPr>
        <w:t>, automezzi</w:t>
      </w:r>
      <w:r w:rsidR="00597BD8">
        <w:rPr>
          <w:sz w:val="22"/>
          <w:szCs w:val="22"/>
        </w:rPr>
        <w:t xml:space="preserve"> e beni </w:t>
      </w:r>
      <w:r w:rsidR="00B770AB" w:rsidRPr="007F7EBF">
        <w:rPr>
          <w:sz w:val="22"/>
          <w:szCs w:val="22"/>
        </w:rPr>
        <w:t xml:space="preserve">immobili, </w:t>
      </w:r>
      <w:r w:rsidR="00597BD8">
        <w:rPr>
          <w:sz w:val="22"/>
          <w:szCs w:val="22"/>
        </w:rPr>
        <w:t xml:space="preserve">che concorrono a ridurre il reddito con le quote di ammortamento di cui al par.7.15 </w:t>
      </w:r>
      <w:r w:rsidR="00EA534A">
        <w:rPr>
          <w:sz w:val="22"/>
          <w:szCs w:val="22"/>
        </w:rPr>
        <w:t>(</w:t>
      </w:r>
      <w:r w:rsidR="00B770AB" w:rsidRPr="007F7EBF">
        <w:rPr>
          <w:rStyle w:val="Rimandonotaapidipagina"/>
          <w:sz w:val="22"/>
          <w:szCs w:val="22"/>
        </w:rPr>
        <w:footnoteReference w:id="1136"/>
      </w:r>
      <w:r w:rsidR="00EA534A">
        <w:rPr>
          <w:sz w:val="22"/>
          <w:szCs w:val="22"/>
        </w:rPr>
        <w:t>)</w:t>
      </w:r>
      <w:r w:rsidR="006F2965">
        <w:rPr>
          <w:sz w:val="22"/>
          <w:szCs w:val="22"/>
        </w:rPr>
        <w:t>,minusvalenze o plusvalenze rispetto al valore fiscal</w:t>
      </w:r>
      <w:r w:rsidR="00597BD8" w:rsidRPr="007F7EBF">
        <w:rPr>
          <w:bCs/>
          <w:sz w:val="22"/>
          <w:szCs w:val="22"/>
        </w:rPr>
        <w:t>mente riconosciuto</w:t>
      </w:r>
      <w:r w:rsidR="006F2965">
        <w:rPr>
          <w:bCs/>
          <w:sz w:val="22"/>
          <w:szCs w:val="22"/>
        </w:rPr>
        <w:t>, di cui diremo tra un attim</w:t>
      </w:r>
      <w:r w:rsidR="00A63CD2">
        <w:rPr>
          <w:bCs/>
          <w:sz w:val="22"/>
          <w:szCs w:val="22"/>
        </w:rPr>
        <w:t>o, dopo aver rilevato il diverso criterio usato p</w:t>
      </w:r>
      <w:r w:rsidR="00597BD8" w:rsidRPr="007F7EBF">
        <w:rPr>
          <w:sz w:val="22"/>
          <w:szCs w:val="22"/>
        </w:rPr>
        <w:t>er materie prime</w:t>
      </w:r>
      <w:r w:rsidR="00A63CD2">
        <w:rPr>
          <w:sz w:val="22"/>
          <w:szCs w:val="22"/>
        </w:rPr>
        <w:t xml:space="preserve">, prodotti e </w:t>
      </w:r>
      <w:r w:rsidR="00597BD8" w:rsidRPr="007F7EBF">
        <w:rPr>
          <w:sz w:val="22"/>
          <w:szCs w:val="22"/>
        </w:rPr>
        <w:t>merci</w:t>
      </w:r>
      <w:r w:rsidR="00A63CD2">
        <w:rPr>
          <w:sz w:val="22"/>
          <w:szCs w:val="22"/>
        </w:rPr>
        <w:t xml:space="preserve">. Questi beni, proprio per la loro importanza e la ripetitività dei relativi acquisti e vendite, non sono registrati col suddetto criterio espositivo “patrimoniale”, ma con quello economico denominato </w:t>
      </w:r>
      <w:r w:rsidR="00597BD8" w:rsidRPr="007F7EBF">
        <w:rPr>
          <w:sz w:val="22"/>
          <w:szCs w:val="22"/>
        </w:rPr>
        <w:t>"a costi ricavi e rimanenze", come vedremo al par.7.16</w:t>
      </w:r>
      <w:r w:rsidR="00A63CD2">
        <w:rPr>
          <w:sz w:val="22"/>
          <w:szCs w:val="22"/>
        </w:rPr>
        <w:t>(</w:t>
      </w:r>
      <w:r w:rsidR="00597BD8" w:rsidRPr="007F7EBF">
        <w:rPr>
          <w:rStyle w:val="Rimandonotaapidipagina"/>
          <w:sz w:val="22"/>
          <w:szCs w:val="22"/>
        </w:rPr>
        <w:footnoteReference w:id="1137"/>
      </w:r>
      <w:r w:rsidR="00A63CD2">
        <w:rPr>
          <w:sz w:val="22"/>
          <w:szCs w:val="22"/>
        </w:rPr>
        <w:t>)</w:t>
      </w:r>
      <w:r w:rsidR="00597BD8" w:rsidRPr="007F7EBF">
        <w:rPr>
          <w:sz w:val="22"/>
          <w:szCs w:val="22"/>
        </w:rPr>
        <w:t xml:space="preserve">. </w:t>
      </w:r>
    </w:p>
    <w:p w14:paraId="185983CC" w14:textId="77777777" w:rsidR="003D43DA" w:rsidRPr="007F7EBF" w:rsidRDefault="003D43DA" w:rsidP="003D43DA">
      <w:pPr>
        <w:pStyle w:val="tit23"/>
        <w:ind w:left="6464" w:right="-1361" w:firstLine="0"/>
        <w:jc w:val="left"/>
        <w:rPr>
          <w:bCs/>
          <w:i/>
          <w:iCs/>
          <w:color w:val="0000FF"/>
          <w:lang w:val="it-IT"/>
        </w:rPr>
      </w:pPr>
      <w:r w:rsidRPr="007F7EBF">
        <w:rPr>
          <w:bCs/>
          <w:i/>
          <w:iCs/>
          <w:color w:val="0000FF"/>
          <w:lang w:val="it-IT"/>
        </w:rPr>
        <w:t>Il costo come base di partenza</w:t>
      </w:r>
    </w:p>
    <w:p w14:paraId="3D21F829" w14:textId="774923CA" w:rsidR="00346A6D" w:rsidRPr="007F7EBF" w:rsidRDefault="00E52966" w:rsidP="003D43DA">
      <w:pPr>
        <w:autoSpaceDE w:val="0"/>
        <w:autoSpaceDN w:val="0"/>
        <w:adjustRightInd w:val="0"/>
        <w:rPr>
          <w:sz w:val="22"/>
          <w:szCs w:val="22"/>
        </w:rPr>
      </w:pPr>
      <w:r>
        <w:rPr>
          <w:sz w:val="22"/>
          <w:szCs w:val="22"/>
        </w:rPr>
        <w:t>Entrambe queste modalità di esposizione comportano, sia pure in modo diverso l’esposizione di un v</w:t>
      </w:r>
      <w:r w:rsidRPr="007F7EBF">
        <w:rPr>
          <w:sz w:val="22"/>
          <w:szCs w:val="22"/>
        </w:rPr>
        <w:t>alore  di riferimento delle attività e passività patrimoniali dell'azienda, denominato “</w:t>
      </w:r>
      <w:r w:rsidRPr="007F7EBF">
        <w:rPr>
          <w:bCs/>
          <w:sz w:val="22"/>
          <w:szCs w:val="22"/>
        </w:rPr>
        <w:t>valore fiscalmente riconosciuto”</w:t>
      </w:r>
      <w:r>
        <w:rPr>
          <w:bCs/>
          <w:sz w:val="22"/>
          <w:szCs w:val="22"/>
        </w:rPr>
        <w:t>(</w:t>
      </w:r>
      <w:r w:rsidRPr="007F7EBF">
        <w:rPr>
          <w:rStyle w:val="Rimandonotaapidipagina"/>
          <w:bCs/>
          <w:sz w:val="22"/>
          <w:szCs w:val="22"/>
        </w:rPr>
        <w:footnoteReference w:id="1138"/>
      </w:r>
      <w:r>
        <w:rPr>
          <w:bCs/>
          <w:sz w:val="22"/>
          <w:szCs w:val="22"/>
        </w:rPr>
        <w:t>)</w:t>
      </w:r>
      <w:r w:rsidRPr="007F7EBF">
        <w:rPr>
          <w:sz w:val="22"/>
          <w:szCs w:val="22"/>
        </w:rPr>
        <w:t xml:space="preserve">. </w:t>
      </w:r>
      <w:r w:rsidRPr="007F7EBF">
        <w:rPr>
          <w:bCs/>
          <w:sz w:val="22"/>
          <w:szCs w:val="22"/>
        </w:rPr>
        <w:t xml:space="preserve"> </w:t>
      </w:r>
      <w:r w:rsidR="003D43DA" w:rsidRPr="007F7EBF">
        <w:rPr>
          <w:sz w:val="22"/>
          <w:szCs w:val="22"/>
        </w:rPr>
        <w:t>Esso è determinato in linea di principio in base al costo di acquisto (</w:t>
      </w:r>
      <w:r w:rsidR="003D43DA" w:rsidRPr="007F7EBF">
        <w:rPr>
          <w:rStyle w:val="Rimandonotaapidipagina"/>
          <w:sz w:val="22"/>
          <w:szCs w:val="22"/>
        </w:rPr>
        <w:footnoteReference w:id="1139"/>
      </w:r>
      <w:r w:rsidR="003D43DA" w:rsidRPr="007F7EBF">
        <w:rPr>
          <w:sz w:val="22"/>
          <w:szCs w:val="22"/>
        </w:rPr>
        <w:t>), maggiorato di eventuali costi incrementativi, come il trasporto, l'installazione le provvigioni passive, e altri di diretta imputazione. Lo diminuiscono, secondo le note simmetrie di cui al par.3.12, gli ammortamenti e le svalutazioni fiscalmente deducibili (par.7.15)</w:t>
      </w:r>
      <w:r w:rsidR="00745EB0">
        <w:rPr>
          <w:sz w:val="22"/>
          <w:szCs w:val="22"/>
        </w:rPr>
        <w:t>, mentre cresce con rivalutazione imponibili o spese incrementative (</w:t>
      </w:r>
      <w:r>
        <w:rPr>
          <w:sz w:val="22"/>
          <w:szCs w:val="22"/>
        </w:rPr>
        <w:t xml:space="preserve">ad esempio la suddetta </w:t>
      </w:r>
      <w:r w:rsidR="00745EB0">
        <w:rPr>
          <w:sz w:val="22"/>
          <w:szCs w:val="22"/>
        </w:rPr>
        <w:t>” manutenzione straordinaria)</w:t>
      </w:r>
      <w:r w:rsidR="003D43DA" w:rsidRPr="007F7EBF">
        <w:rPr>
          <w:sz w:val="22"/>
          <w:szCs w:val="22"/>
        </w:rPr>
        <w:t xml:space="preserve">. </w:t>
      </w:r>
      <w:r w:rsidR="00745EB0">
        <w:rPr>
          <w:sz w:val="22"/>
          <w:szCs w:val="22"/>
        </w:rPr>
        <w:t xml:space="preserve">La valorizzazione in base al costo </w:t>
      </w:r>
      <w:r w:rsidR="00E57BF1" w:rsidRPr="007F7EBF">
        <w:rPr>
          <w:sz w:val="22"/>
          <w:szCs w:val="22"/>
        </w:rPr>
        <w:t xml:space="preserve">è una convenzione </w:t>
      </w:r>
      <w:r w:rsidR="00745EB0">
        <w:rPr>
          <w:sz w:val="22"/>
          <w:szCs w:val="22"/>
        </w:rPr>
        <w:t>ispirata a un misto di continuità aziendale e di prudenza</w:t>
      </w:r>
      <w:r w:rsidR="00E57BF1" w:rsidRPr="007F7EBF">
        <w:rPr>
          <w:sz w:val="22"/>
          <w:szCs w:val="22"/>
        </w:rPr>
        <w:t xml:space="preserve">, formalizzata nei principi contabili; </w:t>
      </w:r>
      <w:r w:rsidR="00745EB0">
        <w:rPr>
          <w:sz w:val="22"/>
          <w:szCs w:val="22"/>
        </w:rPr>
        <w:t xml:space="preserve">la legislazione tributaria fa da pochi anni un forte riferimento a </w:t>
      </w:r>
      <w:r w:rsidR="00E57BF1" w:rsidRPr="007F7EBF">
        <w:rPr>
          <w:sz w:val="22"/>
          <w:szCs w:val="22"/>
        </w:rPr>
        <w:t xml:space="preserve">questi </w:t>
      </w:r>
      <w:r w:rsidR="00E57BF1" w:rsidRPr="007F7EBF">
        <w:rPr>
          <w:sz w:val="22"/>
          <w:szCs w:val="22"/>
        </w:rPr>
        <w:lastRenderedPageBreak/>
        <w:t>ultimi</w:t>
      </w:r>
      <w:r w:rsidR="00745EB0">
        <w:rPr>
          <w:sz w:val="22"/>
          <w:szCs w:val="22"/>
        </w:rPr>
        <w:t xml:space="preserve">, </w:t>
      </w:r>
      <w:r w:rsidR="00E57BF1" w:rsidRPr="007F7EBF">
        <w:rPr>
          <w:sz w:val="22"/>
          <w:szCs w:val="22"/>
        </w:rPr>
        <w:t xml:space="preserve">anche </w:t>
      </w:r>
      <w:r w:rsidR="00745EB0">
        <w:rPr>
          <w:sz w:val="22"/>
          <w:szCs w:val="22"/>
        </w:rPr>
        <w:t>nel</w:t>
      </w:r>
      <w:r w:rsidR="00E57BF1" w:rsidRPr="007F7EBF">
        <w:rPr>
          <w:sz w:val="22"/>
          <w:szCs w:val="22"/>
        </w:rPr>
        <w:t xml:space="preserve">la formazione del  valore fiscalmente riconosciuto, </w:t>
      </w:r>
      <w:r w:rsidR="00745EB0">
        <w:rPr>
          <w:sz w:val="22"/>
          <w:szCs w:val="22"/>
        </w:rPr>
        <w:t>come vedremo al</w:t>
      </w:r>
      <w:r w:rsidR="00E57BF1" w:rsidRPr="007F7EBF">
        <w:rPr>
          <w:sz w:val="22"/>
          <w:szCs w:val="22"/>
        </w:rPr>
        <w:t xml:space="preserve"> par.7.14</w:t>
      </w:r>
      <w:r w:rsidR="00745EB0">
        <w:rPr>
          <w:sz w:val="22"/>
          <w:szCs w:val="22"/>
        </w:rPr>
        <w:t xml:space="preserve">. </w:t>
      </w:r>
    </w:p>
    <w:p w14:paraId="5B3A0892" w14:textId="77777777" w:rsidR="00346A6D" w:rsidRPr="007F7EBF" w:rsidRDefault="00346A6D" w:rsidP="00346A6D">
      <w:pPr>
        <w:pStyle w:val="tit23"/>
        <w:ind w:left="6464" w:right="-1361" w:firstLine="0"/>
        <w:jc w:val="left"/>
        <w:rPr>
          <w:bCs/>
          <w:i/>
          <w:iCs/>
          <w:color w:val="0000FF"/>
          <w:lang w:val="it-IT"/>
        </w:rPr>
      </w:pPr>
      <w:r w:rsidRPr="007F7EBF">
        <w:rPr>
          <w:bCs/>
          <w:i/>
          <w:iCs/>
          <w:color w:val="0000FF"/>
          <w:lang w:val="it-IT"/>
        </w:rPr>
        <w:t>Giustificazione logica e concetto di avviamento</w:t>
      </w:r>
    </w:p>
    <w:p w14:paraId="0B67CC6A" w14:textId="15E95561" w:rsidR="003371E6" w:rsidRPr="007F7EBF" w:rsidRDefault="00745EB0" w:rsidP="00E52966">
      <w:pPr>
        <w:autoSpaceDE w:val="0"/>
        <w:autoSpaceDN w:val="0"/>
        <w:adjustRightInd w:val="0"/>
        <w:rPr>
          <w:sz w:val="22"/>
          <w:szCs w:val="22"/>
        </w:rPr>
      </w:pPr>
      <w:r>
        <w:rPr>
          <w:sz w:val="22"/>
          <w:szCs w:val="22"/>
        </w:rPr>
        <w:t xml:space="preserve">Questa convenzione del “costo storico” si </w:t>
      </w:r>
      <w:r w:rsidR="003371E6">
        <w:rPr>
          <w:sz w:val="22"/>
          <w:szCs w:val="22"/>
        </w:rPr>
        <w:t xml:space="preserve">giustifica </w:t>
      </w:r>
      <w:r>
        <w:rPr>
          <w:sz w:val="22"/>
          <w:szCs w:val="22"/>
        </w:rPr>
        <w:t>nell</w:t>
      </w:r>
      <w:r w:rsidR="003371E6">
        <w:rPr>
          <w:sz w:val="22"/>
          <w:szCs w:val="22"/>
        </w:rPr>
        <w:t>’appena i</w:t>
      </w:r>
      <w:r>
        <w:rPr>
          <w:sz w:val="22"/>
          <w:szCs w:val="22"/>
        </w:rPr>
        <w:t>ndicata prospettiva della</w:t>
      </w:r>
      <w:r w:rsidR="003371E6">
        <w:rPr>
          <w:sz w:val="22"/>
          <w:szCs w:val="22"/>
        </w:rPr>
        <w:t xml:space="preserve"> </w:t>
      </w:r>
      <w:r>
        <w:rPr>
          <w:sz w:val="22"/>
          <w:szCs w:val="22"/>
        </w:rPr>
        <w:t>“continuità aziendale”</w:t>
      </w:r>
      <w:r w:rsidR="00FE3630">
        <w:rPr>
          <w:sz w:val="22"/>
          <w:szCs w:val="22"/>
        </w:rPr>
        <w:t>, perché un’eventuale rivendita di impianti o macchinari non ne ripagherebbe certo il costo</w:t>
      </w:r>
      <w:r w:rsidR="00FE3630">
        <w:rPr>
          <w:bCs/>
          <w:sz w:val="22"/>
          <w:szCs w:val="22"/>
        </w:rPr>
        <w:t>(</w:t>
      </w:r>
      <w:r w:rsidR="00346A6D" w:rsidRPr="007F7EBF">
        <w:rPr>
          <w:rStyle w:val="Rimandonotaapidipagina"/>
          <w:sz w:val="22"/>
          <w:szCs w:val="22"/>
        </w:rPr>
        <w:footnoteReference w:id="1140"/>
      </w:r>
      <w:r w:rsidR="00FE3630">
        <w:rPr>
          <w:bCs/>
          <w:sz w:val="22"/>
          <w:szCs w:val="22"/>
        </w:rPr>
        <w:t>), che però si presuppone convenzionalmente di recuperare attraverso il contributo di questi cespiti all’</w:t>
      </w:r>
      <w:r w:rsidR="00346A6D" w:rsidRPr="007F7EBF">
        <w:rPr>
          <w:bCs/>
          <w:sz w:val="22"/>
          <w:szCs w:val="22"/>
        </w:rPr>
        <w:t>attività</w:t>
      </w:r>
      <w:r w:rsidR="00FE3630">
        <w:rPr>
          <w:bCs/>
          <w:sz w:val="22"/>
          <w:szCs w:val="22"/>
        </w:rPr>
        <w:t xml:space="preserve"> aziendale</w:t>
      </w:r>
      <w:r w:rsidR="00346A6D" w:rsidRPr="007F7EBF">
        <w:rPr>
          <w:bCs/>
          <w:sz w:val="22"/>
          <w:szCs w:val="22"/>
        </w:rPr>
        <w:t xml:space="preserve"> </w:t>
      </w:r>
      <w:r w:rsidR="00FE3630">
        <w:rPr>
          <w:bCs/>
          <w:sz w:val="22"/>
          <w:szCs w:val="22"/>
        </w:rPr>
        <w:t>(</w:t>
      </w:r>
      <w:r w:rsidR="00346A6D" w:rsidRPr="007F7EBF">
        <w:rPr>
          <w:rStyle w:val="Rimandonotaapidipagina"/>
          <w:bCs/>
          <w:sz w:val="22"/>
          <w:szCs w:val="22"/>
        </w:rPr>
        <w:footnoteReference w:id="1141"/>
      </w:r>
      <w:r w:rsidR="00FE3630">
        <w:rPr>
          <w:bCs/>
          <w:sz w:val="22"/>
          <w:szCs w:val="22"/>
        </w:rPr>
        <w:t>)</w:t>
      </w:r>
      <w:r w:rsidR="00346A6D" w:rsidRPr="007F7EBF">
        <w:rPr>
          <w:sz w:val="22"/>
          <w:szCs w:val="22"/>
        </w:rPr>
        <w:t xml:space="preserve">. L'esposizione al costo sottintende quindi </w:t>
      </w:r>
      <w:r w:rsidR="00FE3630">
        <w:rPr>
          <w:sz w:val="22"/>
          <w:szCs w:val="22"/>
        </w:rPr>
        <w:t>una continuità dell’attività, mentre in sede di liquidazione i beni dovrebbero essere esposti al più modesto “prezzo di realizzo”; l’esposizione al costo presuppone quindi, anche nei valori dei singoli beni, una componente di “avviamento aziendale”; oltre</w:t>
      </w:r>
      <w:r w:rsidR="00FE3630" w:rsidRPr="007F7EBF">
        <w:rPr>
          <w:sz w:val="22"/>
          <w:szCs w:val="22"/>
        </w:rPr>
        <w:t xml:space="preserve"> che prospettive di redditività futura, </w:t>
      </w:r>
      <w:r w:rsidR="00FE3630">
        <w:rPr>
          <w:sz w:val="22"/>
          <w:szCs w:val="22"/>
        </w:rPr>
        <w:t xml:space="preserve">esso </w:t>
      </w:r>
      <w:r w:rsidR="00FE3630" w:rsidRPr="007F7EBF">
        <w:rPr>
          <w:sz w:val="22"/>
          <w:szCs w:val="22"/>
        </w:rPr>
        <w:t xml:space="preserve">esprime la </w:t>
      </w:r>
      <w:r w:rsidR="00FE3630" w:rsidRPr="007F7EBF">
        <w:rPr>
          <w:bCs/>
          <w:sz w:val="22"/>
          <w:szCs w:val="22"/>
        </w:rPr>
        <w:t xml:space="preserve">vitalità dell’azienda, </w:t>
      </w:r>
      <w:r w:rsidR="00FE3630" w:rsidRPr="007F7EBF">
        <w:rPr>
          <w:sz w:val="22"/>
          <w:szCs w:val="22"/>
        </w:rPr>
        <w:t xml:space="preserve">la </w:t>
      </w:r>
      <w:r w:rsidR="00FE3630">
        <w:rPr>
          <w:sz w:val="22"/>
          <w:szCs w:val="22"/>
        </w:rPr>
        <w:t xml:space="preserve">sua </w:t>
      </w:r>
      <w:r w:rsidR="00FE3630" w:rsidRPr="007F7EBF">
        <w:rPr>
          <w:sz w:val="22"/>
          <w:szCs w:val="22"/>
        </w:rPr>
        <w:t xml:space="preserve">“possibilità di stare sul mercato”, e di essere acquisita da qualche operatore del settore, anche se permanentemente in pareggio o perdita. </w:t>
      </w:r>
      <w:r w:rsidR="00FE3630">
        <w:rPr>
          <w:sz w:val="22"/>
          <w:szCs w:val="22"/>
        </w:rPr>
        <w:t xml:space="preserve">L’esposizione contabile e di bilancio dell’avviamento diventa autonoma quando </w:t>
      </w:r>
      <w:r w:rsidR="00346A6D" w:rsidRPr="007F7EBF">
        <w:rPr>
          <w:sz w:val="22"/>
          <w:szCs w:val="22"/>
        </w:rPr>
        <w:t xml:space="preserve">l’azienda viene acquistata nel suo complesso </w:t>
      </w:r>
      <w:r w:rsidR="00FE3630">
        <w:rPr>
          <w:sz w:val="22"/>
          <w:szCs w:val="22"/>
        </w:rPr>
        <w:t xml:space="preserve">(par.7.20) </w:t>
      </w:r>
      <w:r w:rsidR="00346A6D" w:rsidRPr="007F7EBF">
        <w:rPr>
          <w:sz w:val="22"/>
          <w:szCs w:val="22"/>
        </w:rPr>
        <w:t xml:space="preserve">per un prezzo superiore all’insieme dei costi storici </w:t>
      </w:r>
      <w:r w:rsidR="00BB37C0" w:rsidRPr="007F7EBF">
        <w:rPr>
          <w:sz w:val="22"/>
          <w:szCs w:val="22"/>
        </w:rPr>
        <w:t xml:space="preserve">dei beni aziendali; </w:t>
      </w:r>
      <w:r w:rsidR="00FE3630">
        <w:rPr>
          <w:sz w:val="22"/>
          <w:szCs w:val="22"/>
        </w:rPr>
        <w:t xml:space="preserve">in questo caso l’unica giustificazione economica e contropartita contabile del prezzo pagato </w:t>
      </w:r>
      <w:r w:rsidR="00D974D3">
        <w:rPr>
          <w:sz w:val="22"/>
          <w:szCs w:val="22"/>
        </w:rPr>
        <w:t xml:space="preserve">è la sua iscrizione come </w:t>
      </w:r>
      <w:r w:rsidR="00346A6D" w:rsidRPr="007F7EBF">
        <w:rPr>
          <w:sz w:val="22"/>
          <w:szCs w:val="22"/>
        </w:rPr>
        <w:t xml:space="preserve">«avviamento», </w:t>
      </w:r>
      <w:r w:rsidR="00D974D3">
        <w:rPr>
          <w:sz w:val="22"/>
          <w:szCs w:val="22"/>
        </w:rPr>
        <w:t>in quanto</w:t>
      </w:r>
      <w:r w:rsidR="00346A6D" w:rsidRPr="007F7EBF">
        <w:rPr>
          <w:sz w:val="22"/>
          <w:szCs w:val="22"/>
        </w:rPr>
        <w:t xml:space="preserve"> non ha riscontro nei singoli valori dei beni</w:t>
      </w:r>
      <w:r w:rsidR="00D974D3">
        <w:rPr>
          <w:sz w:val="22"/>
          <w:szCs w:val="22"/>
        </w:rPr>
        <w:t xml:space="preserve"> (</w:t>
      </w:r>
      <w:r w:rsidR="00D974D3">
        <w:rPr>
          <w:rStyle w:val="Rimandonotaapidipagina"/>
          <w:sz w:val="22"/>
          <w:szCs w:val="22"/>
        </w:rPr>
        <w:footnoteReference w:id="1142"/>
      </w:r>
      <w:r w:rsidR="00D974D3">
        <w:rPr>
          <w:sz w:val="22"/>
          <w:szCs w:val="22"/>
        </w:rPr>
        <w:t>)</w:t>
      </w:r>
      <w:r w:rsidR="00E52966">
        <w:rPr>
          <w:sz w:val="22"/>
          <w:szCs w:val="22"/>
        </w:rPr>
        <w:t xml:space="preserve">. </w:t>
      </w:r>
    </w:p>
    <w:p w14:paraId="2819B069" w14:textId="77777777" w:rsidR="003371E6" w:rsidRPr="007F7EBF" w:rsidRDefault="003371E6" w:rsidP="003371E6">
      <w:pPr>
        <w:pStyle w:val="tit23"/>
        <w:ind w:left="6464" w:right="-1361" w:firstLine="0"/>
        <w:jc w:val="left"/>
        <w:rPr>
          <w:bCs/>
          <w:i/>
          <w:iCs/>
          <w:color w:val="0000FF"/>
          <w:lang w:val="it-IT"/>
        </w:rPr>
      </w:pPr>
      <w:r w:rsidRPr="007F7EBF">
        <w:rPr>
          <w:bCs/>
          <w:i/>
          <w:iCs/>
          <w:color w:val="0000FF"/>
          <w:lang w:val="it-IT"/>
        </w:rPr>
        <w:t xml:space="preserve">Continuità dei valori fiscali </w:t>
      </w:r>
    </w:p>
    <w:p w14:paraId="775A0A18" w14:textId="77777777" w:rsidR="00D974D3" w:rsidRPr="007F7EBF" w:rsidRDefault="003371E6" w:rsidP="00D974D3">
      <w:pPr>
        <w:autoSpaceDE w:val="0"/>
        <w:autoSpaceDN w:val="0"/>
        <w:adjustRightInd w:val="0"/>
        <w:rPr>
          <w:sz w:val="22"/>
          <w:szCs w:val="22"/>
        </w:rPr>
      </w:pPr>
      <w:r w:rsidRPr="007F7EBF">
        <w:rPr>
          <w:sz w:val="22"/>
          <w:szCs w:val="22"/>
        </w:rPr>
        <w:t>I valor</w:t>
      </w:r>
      <w:r>
        <w:rPr>
          <w:sz w:val="22"/>
          <w:szCs w:val="22"/>
        </w:rPr>
        <w:t>i</w:t>
      </w:r>
      <w:r w:rsidRPr="007F7EBF">
        <w:rPr>
          <w:sz w:val="22"/>
          <w:szCs w:val="22"/>
        </w:rPr>
        <w:t xml:space="preserve"> fiscal</w:t>
      </w:r>
      <w:r>
        <w:rPr>
          <w:sz w:val="22"/>
          <w:szCs w:val="22"/>
        </w:rPr>
        <w:t>i suddetti</w:t>
      </w:r>
      <w:r w:rsidRPr="007F7EBF">
        <w:rPr>
          <w:sz w:val="22"/>
          <w:szCs w:val="22"/>
        </w:rPr>
        <w:t xml:space="preserve"> delle attività e delle passività si </w:t>
      </w:r>
      <w:r w:rsidRPr="007F7EBF">
        <w:rPr>
          <w:bCs/>
          <w:sz w:val="22"/>
          <w:szCs w:val="22"/>
        </w:rPr>
        <w:t>trasmett</w:t>
      </w:r>
      <w:r>
        <w:rPr>
          <w:bCs/>
          <w:sz w:val="22"/>
          <w:szCs w:val="22"/>
        </w:rPr>
        <w:t>ono</w:t>
      </w:r>
      <w:r w:rsidRPr="007F7EBF">
        <w:rPr>
          <w:bCs/>
          <w:sz w:val="22"/>
          <w:szCs w:val="22"/>
        </w:rPr>
        <w:t xml:space="preserve"> e si modifica da un periodo d’imposta all’altro, con i meccanismi delle </w:t>
      </w:r>
      <w:r w:rsidRPr="007F7EBF">
        <w:rPr>
          <w:bCs/>
          <w:sz w:val="22"/>
          <w:szCs w:val="22"/>
        </w:rPr>
        <w:lastRenderedPageBreak/>
        <w:t>“valutazioni di bilancio</w:t>
      </w:r>
      <w:r w:rsidRPr="007F7EBF">
        <w:rPr>
          <w:sz w:val="22"/>
          <w:szCs w:val="22"/>
        </w:rPr>
        <w:t xml:space="preserve">” (7.14 ss.); valori fiscali, </w:t>
      </w:r>
      <w:r w:rsidRPr="007F7EBF">
        <w:rPr>
          <w:bCs/>
          <w:sz w:val="22"/>
          <w:szCs w:val="22"/>
        </w:rPr>
        <w:t>rimanenze</w:t>
      </w:r>
      <w:r w:rsidRPr="007F7EBF">
        <w:rPr>
          <w:sz w:val="22"/>
          <w:szCs w:val="22"/>
        </w:rPr>
        <w:t xml:space="preserve">, </w:t>
      </w:r>
      <w:r w:rsidRPr="007F7EBF">
        <w:rPr>
          <w:bCs/>
          <w:sz w:val="22"/>
          <w:szCs w:val="22"/>
        </w:rPr>
        <w:t>ammortamenti e accantonamenti</w:t>
      </w:r>
      <w:r w:rsidRPr="007F7EBF">
        <w:rPr>
          <w:sz w:val="22"/>
          <w:szCs w:val="22"/>
        </w:rPr>
        <w:t>, seguono l’intuitiva continuità temporale della tassazione attraverso le aziende ed i collegamenti tra i diversi periodi di imposta, secondo le simmetrie temporali di cui al già citato paragrafo 3.12.</w:t>
      </w:r>
      <w:r w:rsidRPr="007F7EBF">
        <w:rPr>
          <w:bCs/>
          <w:i/>
          <w:iCs/>
          <w:color w:val="0000FF"/>
          <w:sz w:val="22"/>
          <w:szCs w:val="22"/>
        </w:rPr>
        <w:t xml:space="preserve">  </w:t>
      </w:r>
      <w:r w:rsidRPr="007F7EBF">
        <w:rPr>
          <w:sz w:val="22"/>
          <w:szCs w:val="22"/>
        </w:rPr>
        <w:t xml:space="preserve">Lo scopo di questa </w:t>
      </w:r>
      <w:r w:rsidRPr="007F7EBF">
        <w:rPr>
          <w:bCs/>
          <w:sz w:val="22"/>
          <w:szCs w:val="22"/>
        </w:rPr>
        <w:t xml:space="preserve">continuità di valori , </w:t>
      </w:r>
      <w:r w:rsidRPr="007F7EBF">
        <w:rPr>
          <w:sz w:val="22"/>
          <w:szCs w:val="22"/>
        </w:rPr>
        <w:t>secondo quanto indicato al par.3.12 e al par.7.20 sulle operazioni straordinarie, è di evitare sia doppie imposizioni sia «i salti d’imposta», cioè l’acquisizione “in franchigia fiscale” di maggiori valori senza realizzare componenti positive di reddito</w:t>
      </w:r>
      <w:r w:rsidRPr="007F7EBF">
        <w:rPr>
          <w:bCs/>
          <w:i/>
          <w:iCs/>
          <w:color w:val="0000FF"/>
          <w:sz w:val="22"/>
          <w:szCs w:val="22"/>
        </w:rPr>
        <w:t xml:space="preserve">. </w:t>
      </w:r>
      <w:r w:rsidRPr="007F7EBF">
        <w:rPr>
          <w:sz w:val="22"/>
          <w:szCs w:val="22"/>
        </w:rPr>
        <w:t xml:space="preserve"> </w:t>
      </w:r>
    </w:p>
    <w:p w14:paraId="544236B9" w14:textId="77777777" w:rsidR="00D974D3" w:rsidRPr="007F7EBF" w:rsidRDefault="00D974D3" w:rsidP="00D974D3">
      <w:pPr>
        <w:pStyle w:val="tit23"/>
        <w:ind w:left="6464" w:right="-1361" w:firstLine="0"/>
        <w:jc w:val="left"/>
        <w:rPr>
          <w:bCs/>
          <w:i/>
          <w:iCs/>
          <w:color w:val="0000FF"/>
          <w:lang w:val="it-IT"/>
        </w:rPr>
      </w:pPr>
      <w:r w:rsidRPr="007F7EBF">
        <w:rPr>
          <w:bCs/>
          <w:i/>
          <w:iCs/>
          <w:color w:val="0000FF"/>
          <w:lang w:val="it-IT"/>
        </w:rPr>
        <w:t xml:space="preserve">Momenti possibili di rilevanza fiscale </w:t>
      </w:r>
    </w:p>
    <w:p w14:paraId="337D2BBA" w14:textId="77777777" w:rsidR="00E52966" w:rsidRPr="007F7EBF" w:rsidRDefault="00D974D3" w:rsidP="00E52966">
      <w:pPr>
        <w:autoSpaceDE w:val="0"/>
        <w:autoSpaceDN w:val="0"/>
        <w:adjustRightInd w:val="0"/>
        <w:rPr>
          <w:sz w:val="22"/>
          <w:szCs w:val="22"/>
        </w:rPr>
      </w:pPr>
      <w:r w:rsidRPr="007F7EBF">
        <w:rPr>
          <w:sz w:val="22"/>
          <w:szCs w:val="22"/>
        </w:rPr>
        <w:t xml:space="preserve">Questo “valore fiscale” </w:t>
      </w:r>
      <w:r>
        <w:rPr>
          <w:sz w:val="22"/>
          <w:szCs w:val="22"/>
        </w:rPr>
        <w:t>dell’attivo e del passivo</w:t>
      </w:r>
      <w:r w:rsidRPr="007F7EBF">
        <w:rPr>
          <w:sz w:val="22"/>
          <w:szCs w:val="22"/>
        </w:rPr>
        <w:t xml:space="preserve"> può avere varie forme di </w:t>
      </w:r>
      <w:r>
        <w:rPr>
          <w:sz w:val="22"/>
          <w:szCs w:val="22"/>
        </w:rPr>
        <w:t xml:space="preserve">rilevanza. Per il valore fiscale dell’attivo, la prospettiva è quella di ridurre </w:t>
      </w:r>
      <w:r w:rsidRPr="007F7EBF">
        <w:rPr>
          <w:sz w:val="22"/>
          <w:szCs w:val="22"/>
        </w:rPr>
        <w:t>l'imponibile</w:t>
      </w:r>
      <w:r>
        <w:rPr>
          <w:sz w:val="22"/>
          <w:szCs w:val="22"/>
        </w:rPr>
        <w:t xml:space="preserve"> futuro, ad esempio attraverso ammortamenti(</w:t>
      </w:r>
      <w:r w:rsidRPr="007F7EBF">
        <w:rPr>
          <w:rStyle w:val="Rimandonotaapidipagina"/>
          <w:sz w:val="22"/>
          <w:szCs w:val="22"/>
        </w:rPr>
        <w:footnoteReference w:id="1143"/>
      </w:r>
      <w:r>
        <w:rPr>
          <w:sz w:val="22"/>
          <w:szCs w:val="22"/>
        </w:rPr>
        <w:t>), minori plusvalenze o maggiori minusvalenze</w:t>
      </w:r>
      <w:r w:rsidRPr="007F7EBF">
        <w:rPr>
          <w:rStyle w:val="Rimandonotaapidipagina"/>
          <w:sz w:val="22"/>
          <w:szCs w:val="22"/>
        </w:rPr>
        <w:footnoteReference w:id="1144"/>
      </w:r>
      <w:r>
        <w:rPr>
          <w:sz w:val="22"/>
          <w:szCs w:val="22"/>
        </w:rPr>
        <w:t xml:space="preserve">, perdite etc. </w:t>
      </w:r>
      <w:r w:rsidRPr="007F7EBF">
        <w:rPr>
          <w:sz w:val="22"/>
          <w:szCs w:val="22"/>
        </w:rPr>
        <w:t xml:space="preserve">; </w:t>
      </w:r>
      <w:r>
        <w:rPr>
          <w:sz w:val="22"/>
          <w:szCs w:val="22"/>
        </w:rPr>
        <w:t>le rimanenze sono semplicemente dedotte c</w:t>
      </w:r>
      <w:r w:rsidRPr="007F7EBF">
        <w:rPr>
          <w:sz w:val="22"/>
          <w:szCs w:val="22"/>
        </w:rPr>
        <w:t>onsuma</w:t>
      </w:r>
      <w:r>
        <w:rPr>
          <w:sz w:val="22"/>
          <w:szCs w:val="22"/>
        </w:rPr>
        <w:t>ndole</w:t>
      </w:r>
      <w:r w:rsidRPr="007F7EBF">
        <w:rPr>
          <w:sz w:val="22"/>
          <w:szCs w:val="22"/>
        </w:rPr>
        <w:t xml:space="preserve"> per la produzione</w:t>
      </w:r>
      <w:r>
        <w:rPr>
          <w:sz w:val="22"/>
          <w:szCs w:val="22"/>
        </w:rPr>
        <w:t xml:space="preserve"> (par.7.16) oppure eliminandole dal bilancio in quanto deteriorate o obsolete</w:t>
      </w:r>
      <w:r w:rsidRPr="007F7EBF">
        <w:rPr>
          <w:sz w:val="22"/>
          <w:szCs w:val="22"/>
        </w:rPr>
        <w:t xml:space="preserve">. </w:t>
      </w:r>
      <w:r>
        <w:rPr>
          <w:sz w:val="22"/>
          <w:szCs w:val="22"/>
        </w:rPr>
        <w:t>I</w:t>
      </w:r>
      <w:r w:rsidR="005E7971">
        <w:rPr>
          <w:sz w:val="22"/>
          <w:szCs w:val="22"/>
        </w:rPr>
        <w:t>l valore fiscale del passivo (</w:t>
      </w:r>
      <w:r>
        <w:rPr>
          <w:sz w:val="22"/>
          <w:szCs w:val="22"/>
        </w:rPr>
        <w:t>debiti</w:t>
      </w:r>
      <w:r w:rsidR="005E7971">
        <w:rPr>
          <w:sz w:val="22"/>
          <w:szCs w:val="22"/>
        </w:rPr>
        <w:t xml:space="preserve"> e fondi dedotti)</w:t>
      </w:r>
      <w:r>
        <w:rPr>
          <w:sz w:val="22"/>
          <w:szCs w:val="22"/>
        </w:rPr>
        <w:t xml:space="preserve">, al contrario, </w:t>
      </w:r>
      <w:r w:rsidR="005E7971">
        <w:rPr>
          <w:sz w:val="22"/>
          <w:szCs w:val="22"/>
        </w:rPr>
        <w:t>può</w:t>
      </w:r>
      <w:r>
        <w:rPr>
          <w:sz w:val="22"/>
          <w:szCs w:val="22"/>
        </w:rPr>
        <w:t xml:space="preserve"> dare luogo a sopravvenienze attive imponibili (par.7.6) qualora venga</w:t>
      </w:r>
      <w:r w:rsidR="005E7971">
        <w:rPr>
          <w:sz w:val="22"/>
          <w:szCs w:val="22"/>
        </w:rPr>
        <w:t xml:space="preserve"> </w:t>
      </w:r>
      <w:r>
        <w:rPr>
          <w:sz w:val="22"/>
          <w:szCs w:val="22"/>
        </w:rPr>
        <w:t>meno in tutto o in parte</w:t>
      </w:r>
      <w:r w:rsidR="005E7971">
        <w:rPr>
          <w:sz w:val="22"/>
          <w:szCs w:val="22"/>
        </w:rPr>
        <w:t>, ad esempio perché estinto con una somma inferiore al valore nominale</w:t>
      </w:r>
      <w:r>
        <w:rPr>
          <w:sz w:val="22"/>
          <w:szCs w:val="22"/>
        </w:rPr>
        <w:t xml:space="preserve">. </w:t>
      </w:r>
    </w:p>
    <w:p w14:paraId="64034EF7" w14:textId="7F584F9F" w:rsidR="00E52966" w:rsidRPr="007F7EBF" w:rsidRDefault="00E52966" w:rsidP="00E52966">
      <w:pPr>
        <w:pStyle w:val="tit23"/>
        <w:ind w:left="6464" w:right="-1361" w:firstLine="0"/>
        <w:jc w:val="left"/>
        <w:rPr>
          <w:bCs/>
          <w:i/>
          <w:iCs/>
          <w:color w:val="0000FF"/>
          <w:lang w:val="it-IT"/>
        </w:rPr>
      </w:pPr>
      <w:r w:rsidRPr="007F7EBF">
        <w:rPr>
          <w:bCs/>
          <w:i/>
          <w:iCs/>
          <w:color w:val="0000FF"/>
          <w:lang w:val="it-IT"/>
        </w:rPr>
        <w:t xml:space="preserve">Valore fiscale di debiti </w:t>
      </w:r>
      <w:r>
        <w:rPr>
          <w:bCs/>
          <w:i/>
          <w:iCs/>
          <w:color w:val="0000FF"/>
          <w:lang w:val="it-IT"/>
        </w:rPr>
        <w:t xml:space="preserve">e fondi </w:t>
      </w:r>
    </w:p>
    <w:p w14:paraId="7F8808DE" w14:textId="79F37C3F" w:rsidR="000B3846" w:rsidRPr="007F7EBF" w:rsidRDefault="00E52966" w:rsidP="00E52966">
      <w:pPr>
        <w:autoSpaceDE w:val="0"/>
        <w:autoSpaceDN w:val="0"/>
        <w:adjustRightInd w:val="0"/>
        <w:rPr>
          <w:bCs/>
          <w:i/>
          <w:iCs/>
          <w:color w:val="0000FF"/>
        </w:rPr>
      </w:pPr>
      <w:r w:rsidRPr="007F7EBF">
        <w:rPr>
          <w:sz w:val="22"/>
          <w:szCs w:val="22"/>
        </w:rPr>
        <w:t xml:space="preserve">Anche le </w:t>
      </w:r>
      <w:r w:rsidRPr="007F7EBF">
        <w:rPr>
          <w:bCs/>
          <w:sz w:val="22"/>
          <w:szCs w:val="22"/>
        </w:rPr>
        <w:t>passività (debiti) hanno un “valore fiscalmente</w:t>
      </w:r>
      <w:r w:rsidRPr="007F7EBF">
        <w:rPr>
          <w:sz w:val="22"/>
          <w:szCs w:val="22"/>
        </w:rPr>
        <w:t>” riconosciuto, rispetto al quale misurare le successive vicende di pagamento, estinzione, ; ad esempio se un debito viene meno, in tutto ad esempio perché ritenuto insussistente in sede giudiziaria o transattiva, il relativo valore fiscale costituisce elemento positivo di reddito come sopravvenienza attiva</w:t>
      </w:r>
      <w:r w:rsidRPr="007F7EBF">
        <w:rPr>
          <w:rStyle w:val="Rimandonotaapidipagina"/>
          <w:sz w:val="22"/>
          <w:szCs w:val="22"/>
        </w:rPr>
        <w:footnoteReference w:id="1145"/>
      </w:r>
      <w:r w:rsidRPr="007F7EBF">
        <w:rPr>
          <w:sz w:val="22"/>
          <w:szCs w:val="22"/>
        </w:rPr>
        <w:t xml:space="preserve">. </w:t>
      </w:r>
    </w:p>
    <w:p w14:paraId="54FB8D76" w14:textId="77777777" w:rsidR="00E52966" w:rsidRDefault="00A674A1" w:rsidP="000B3846">
      <w:pPr>
        <w:autoSpaceDE w:val="0"/>
        <w:autoSpaceDN w:val="0"/>
        <w:adjustRightInd w:val="0"/>
        <w:rPr>
          <w:sz w:val="22"/>
          <w:szCs w:val="22"/>
        </w:rPr>
      </w:pPr>
      <w:r w:rsidRPr="007F7EBF">
        <w:rPr>
          <w:sz w:val="22"/>
          <w:szCs w:val="22"/>
        </w:rPr>
        <w:lastRenderedPageBreak/>
        <w:t>Anche i fondi di bilancio</w:t>
      </w:r>
      <w:r w:rsidR="000720EB">
        <w:rPr>
          <w:sz w:val="22"/>
          <w:szCs w:val="22"/>
        </w:rPr>
        <w:t xml:space="preserve"> hanno un valore fiscalmente riconosciuto, che dipende dal regime fiscale degli accantonamenti o degli ammortamenti con cui furono </w:t>
      </w:r>
      <w:r w:rsidRPr="007F7EBF">
        <w:rPr>
          <w:sz w:val="22"/>
          <w:szCs w:val="22"/>
        </w:rPr>
        <w:t>costituiti</w:t>
      </w:r>
      <w:r w:rsidR="00E52966">
        <w:rPr>
          <w:sz w:val="22"/>
          <w:szCs w:val="22"/>
        </w:rPr>
        <w:t xml:space="preserve">. </w:t>
      </w:r>
    </w:p>
    <w:p w14:paraId="699130B7" w14:textId="77777777" w:rsidR="00E52966" w:rsidRDefault="00E52966" w:rsidP="00E52966">
      <w:pPr>
        <w:autoSpaceDE w:val="0"/>
        <w:autoSpaceDN w:val="0"/>
        <w:adjustRightInd w:val="0"/>
      </w:pPr>
    </w:p>
    <w:p w14:paraId="596198DF" w14:textId="4AC32E05" w:rsidR="00E52966" w:rsidRDefault="00E52966" w:rsidP="00E52966">
      <w:pPr>
        <w:pStyle w:val="tit23"/>
        <w:ind w:left="6464" w:right="-1361" w:firstLine="0"/>
        <w:jc w:val="left"/>
        <w:rPr>
          <w:b/>
          <w:bCs/>
          <w:i/>
          <w:iCs/>
          <w:color w:val="0000FF"/>
          <w:lang w:val="it-IT"/>
        </w:rPr>
      </w:pPr>
      <w:r>
        <w:rPr>
          <w:bCs/>
          <w:i/>
          <w:iCs/>
          <w:color w:val="0000FF"/>
          <w:lang w:val="it-IT"/>
        </w:rPr>
        <w:t>Segue: fondi tassati e dedotti</w:t>
      </w:r>
    </w:p>
    <w:p w14:paraId="20C9189F" w14:textId="516EC108" w:rsidR="000B3846" w:rsidRPr="007F7EBF" w:rsidRDefault="00E52966" w:rsidP="000B3846">
      <w:pPr>
        <w:autoSpaceDE w:val="0"/>
        <w:autoSpaceDN w:val="0"/>
        <w:adjustRightInd w:val="0"/>
        <w:rPr>
          <w:sz w:val="22"/>
          <w:szCs w:val="22"/>
        </w:rPr>
      </w:pPr>
      <w:r>
        <w:rPr>
          <w:sz w:val="22"/>
          <w:szCs w:val="22"/>
        </w:rPr>
        <w:t>S</w:t>
      </w:r>
      <w:r w:rsidR="000720EB">
        <w:rPr>
          <w:sz w:val="22"/>
          <w:szCs w:val="22"/>
        </w:rPr>
        <w:t>e l’</w:t>
      </w:r>
      <w:r w:rsidR="00A674A1" w:rsidRPr="007F7EBF">
        <w:rPr>
          <w:sz w:val="22"/>
          <w:szCs w:val="22"/>
        </w:rPr>
        <w:t>accantonament</w:t>
      </w:r>
      <w:r w:rsidR="000720EB">
        <w:rPr>
          <w:sz w:val="22"/>
          <w:szCs w:val="22"/>
        </w:rPr>
        <w:t>o o l’</w:t>
      </w:r>
      <w:r w:rsidR="000B3846" w:rsidRPr="007F7EBF">
        <w:rPr>
          <w:sz w:val="22"/>
          <w:szCs w:val="22"/>
        </w:rPr>
        <w:t>ammortament</w:t>
      </w:r>
      <w:r w:rsidR="000720EB">
        <w:rPr>
          <w:sz w:val="22"/>
          <w:szCs w:val="22"/>
        </w:rPr>
        <w:t xml:space="preserve">o fu </w:t>
      </w:r>
      <w:r w:rsidR="00A674A1" w:rsidRPr="007F7EBF">
        <w:rPr>
          <w:sz w:val="22"/>
          <w:szCs w:val="22"/>
        </w:rPr>
        <w:t xml:space="preserve"> fiscalmente dedott</w:t>
      </w:r>
      <w:r w:rsidR="000720EB">
        <w:rPr>
          <w:sz w:val="22"/>
          <w:szCs w:val="22"/>
        </w:rPr>
        <w:t>o</w:t>
      </w:r>
      <w:r w:rsidR="00A674A1" w:rsidRPr="007F7EBF">
        <w:rPr>
          <w:sz w:val="22"/>
          <w:szCs w:val="22"/>
        </w:rPr>
        <w:t xml:space="preserve"> (</w:t>
      </w:r>
      <w:r w:rsidR="00A674A1" w:rsidRPr="007F7EBF">
        <w:rPr>
          <w:rStyle w:val="Rimandonotaapidipagina"/>
          <w:sz w:val="22"/>
          <w:szCs w:val="22"/>
        </w:rPr>
        <w:footnoteReference w:id="1146"/>
      </w:r>
      <w:r w:rsidR="00A674A1" w:rsidRPr="007F7EBF">
        <w:rPr>
          <w:sz w:val="22"/>
          <w:szCs w:val="22"/>
        </w:rPr>
        <w:t>)</w:t>
      </w:r>
      <w:r w:rsidR="000720EB">
        <w:rPr>
          <w:sz w:val="22"/>
          <w:szCs w:val="22"/>
        </w:rPr>
        <w:t>, le utilizzazioni del fondo per altre finalità, anche solo contabili, sono tendenzialmente imponibili</w:t>
      </w:r>
      <w:r w:rsidR="000B3846" w:rsidRPr="007F7EBF">
        <w:rPr>
          <w:sz w:val="22"/>
          <w:szCs w:val="22"/>
        </w:rPr>
        <w:t xml:space="preserve">.  </w:t>
      </w:r>
    </w:p>
    <w:p w14:paraId="5DC25BDC" w14:textId="409853C0" w:rsidR="000B3846" w:rsidRPr="007F7EBF" w:rsidRDefault="000B3846" w:rsidP="000B3846">
      <w:pPr>
        <w:autoSpaceDE w:val="0"/>
        <w:autoSpaceDN w:val="0"/>
        <w:adjustRightInd w:val="0"/>
        <w:rPr>
          <w:sz w:val="22"/>
          <w:szCs w:val="22"/>
        </w:rPr>
      </w:pPr>
      <w:r w:rsidRPr="007F7EBF">
        <w:rPr>
          <w:sz w:val="22"/>
          <w:szCs w:val="22"/>
        </w:rPr>
        <w:t xml:space="preserve">Se invece il fondo nasce con accantonamenti </w:t>
      </w:r>
      <w:r w:rsidR="000720EB">
        <w:rPr>
          <w:sz w:val="22"/>
          <w:szCs w:val="22"/>
        </w:rPr>
        <w:t xml:space="preserve">fiscalmente </w:t>
      </w:r>
      <w:r w:rsidRPr="007F7EBF">
        <w:rPr>
          <w:sz w:val="22"/>
          <w:szCs w:val="22"/>
        </w:rPr>
        <w:t>non dedotti, è liberamente disponibile ai fini fiscali e viene chiamato “fondo tassato</w:t>
      </w:r>
      <w:r w:rsidR="005E7971">
        <w:t xml:space="preserve">”, la cui </w:t>
      </w:r>
      <w:r w:rsidR="005E7971" w:rsidRPr="007F7EBF">
        <w:t>sua natura giuridica, dal punto di vista tributario, è ormai quella di una riserva, avendo scontato imposte sui redditi</w:t>
      </w:r>
      <w:r w:rsidR="005E7971">
        <w:t xml:space="preserve"> (</w:t>
      </w:r>
      <w:r w:rsidR="00091B8C" w:rsidRPr="007F7EBF">
        <w:rPr>
          <w:rStyle w:val="Rimandonotaapidipagina"/>
          <w:sz w:val="22"/>
          <w:szCs w:val="22"/>
        </w:rPr>
        <w:footnoteReference w:id="1147"/>
      </w:r>
      <w:r w:rsidR="005E7971">
        <w:t>)</w:t>
      </w:r>
      <w:r w:rsidRPr="007F7EBF">
        <w:rPr>
          <w:sz w:val="22"/>
          <w:szCs w:val="22"/>
        </w:rPr>
        <w:t xml:space="preserve">. </w:t>
      </w:r>
    </w:p>
    <w:p w14:paraId="044AE76F" w14:textId="127868F3" w:rsidR="000B3846" w:rsidRPr="007F7EBF" w:rsidRDefault="000B3846" w:rsidP="000B3846">
      <w:pPr>
        <w:pStyle w:val="tit23"/>
        <w:ind w:left="6464" w:right="-1361" w:firstLine="0"/>
        <w:jc w:val="left"/>
        <w:rPr>
          <w:bCs/>
          <w:i/>
          <w:iCs/>
          <w:color w:val="0000FF"/>
          <w:lang w:val="it-IT"/>
        </w:rPr>
      </w:pPr>
      <w:r w:rsidRPr="007F7EBF">
        <w:rPr>
          <w:bCs/>
          <w:i/>
          <w:iCs/>
          <w:color w:val="0000FF"/>
          <w:lang w:val="it-IT"/>
        </w:rPr>
        <w:t xml:space="preserve"> fondi in sospensione di imposta </w:t>
      </w:r>
      <w:r w:rsidR="00E52966">
        <w:rPr>
          <w:bCs/>
          <w:i/>
          <w:iCs/>
          <w:color w:val="0000FF"/>
          <w:lang w:val="it-IT"/>
        </w:rPr>
        <w:t>e patrimonio netto</w:t>
      </w:r>
    </w:p>
    <w:p w14:paraId="757CD974" w14:textId="6FF3E8F7" w:rsidR="006E204A" w:rsidRPr="00BB1695" w:rsidRDefault="000B3846" w:rsidP="003371E6">
      <w:pPr>
        <w:autoSpaceDE w:val="0"/>
        <w:autoSpaceDN w:val="0"/>
        <w:adjustRightInd w:val="0"/>
        <w:rPr>
          <w:sz w:val="22"/>
          <w:szCs w:val="22"/>
        </w:rPr>
      </w:pPr>
      <w:r w:rsidRPr="007F7EBF">
        <w:rPr>
          <w:sz w:val="22"/>
          <w:szCs w:val="22"/>
        </w:rPr>
        <w:t>L</w:t>
      </w:r>
      <w:r w:rsidR="005E7971">
        <w:rPr>
          <w:sz w:val="22"/>
          <w:szCs w:val="22"/>
        </w:rPr>
        <w:t>’inverso di questi “fondi tassati” è invece rappresentato dai c.d. fondi in sospensione d’imposta</w:t>
      </w:r>
      <w:r w:rsidR="00BB1695">
        <w:rPr>
          <w:sz w:val="22"/>
          <w:szCs w:val="22"/>
        </w:rPr>
        <w:t>, che sono</w:t>
      </w:r>
      <w:r w:rsidR="00091B8C" w:rsidRPr="007F7EBF">
        <w:rPr>
          <w:sz w:val="22"/>
          <w:szCs w:val="22"/>
        </w:rPr>
        <w:t xml:space="preserve"> </w:t>
      </w:r>
      <w:r w:rsidR="00702EBD" w:rsidRPr="007F7EBF">
        <w:rPr>
          <w:sz w:val="22"/>
          <w:szCs w:val="22"/>
        </w:rPr>
        <w:t>parte del patrimonio netto di bilancio</w:t>
      </w:r>
      <w:r w:rsidR="00BB1695">
        <w:rPr>
          <w:sz w:val="22"/>
          <w:szCs w:val="22"/>
        </w:rPr>
        <w:t>, ma non hanno scontato imposte per scelte legislative di vario tipo, riguardanti elementi straordinari del reddito, come plusvalenze sulla</w:t>
      </w:r>
      <w:r w:rsidR="00BB1695" w:rsidRPr="007F7EBF">
        <w:rPr>
          <w:sz w:val="22"/>
          <w:szCs w:val="22"/>
        </w:rPr>
        <w:t xml:space="preserve"> vendita di alcuni cespiti, la loro rivalutazione contabile etc.</w:t>
      </w:r>
      <w:r w:rsidR="00BB1695">
        <w:rPr>
          <w:sz w:val="22"/>
          <w:szCs w:val="22"/>
        </w:rPr>
        <w:t xml:space="preserve"> Il fondo è solitamente in sospensione d’imposta a tempo indeterminato (</w:t>
      </w:r>
      <w:r w:rsidR="00712DDA" w:rsidRPr="007F7EBF">
        <w:rPr>
          <w:rStyle w:val="Rimandonotaapidipagina"/>
          <w:sz w:val="22"/>
          <w:szCs w:val="22"/>
        </w:rPr>
        <w:footnoteReference w:id="1148"/>
      </w:r>
      <w:r w:rsidR="00BB1695">
        <w:rPr>
          <w:sz w:val="22"/>
          <w:szCs w:val="22"/>
        </w:rPr>
        <w:t xml:space="preserve">); solo alcune </w:t>
      </w:r>
      <w:r w:rsidR="002D5776" w:rsidRPr="007F7EBF">
        <w:rPr>
          <w:sz w:val="22"/>
          <w:szCs w:val="22"/>
        </w:rPr>
        <w:t>utilizzazion</w:t>
      </w:r>
      <w:r w:rsidR="00BB1695">
        <w:rPr>
          <w:sz w:val="22"/>
          <w:szCs w:val="22"/>
        </w:rPr>
        <w:t>i</w:t>
      </w:r>
      <w:r w:rsidR="002D5776" w:rsidRPr="007F7EBF">
        <w:rPr>
          <w:sz w:val="22"/>
          <w:szCs w:val="22"/>
        </w:rPr>
        <w:t xml:space="preserve"> del fondo, ad esempio per la distribuzione ai soci, costituisc</w:t>
      </w:r>
      <w:r w:rsidR="00BB1695">
        <w:rPr>
          <w:sz w:val="22"/>
          <w:szCs w:val="22"/>
        </w:rPr>
        <w:t>ono</w:t>
      </w:r>
      <w:r w:rsidR="002D5776" w:rsidRPr="007F7EBF">
        <w:rPr>
          <w:sz w:val="22"/>
          <w:szCs w:val="22"/>
        </w:rPr>
        <w:t xml:space="preserve"> elemento positivo del reddito imponibile della società</w:t>
      </w:r>
      <w:r w:rsidR="00BB1695">
        <w:rPr>
          <w:sz w:val="22"/>
          <w:szCs w:val="22"/>
        </w:rPr>
        <w:t>. A fronte del fondo vengono acquisiti, nell’attivo, valori fiscalmente riconosciuti, che hanno le loro vicende indipendentemente dal fondo. L</w:t>
      </w:r>
      <w:r w:rsidR="005E7971" w:rsidRPr="007F7EBF">
        <w:rPr>
          <w:sz w:val="22"/>
          <w:szCs w:val="22"/>
        </w:rPr>
        <w:t xml:space="preserve">e </w:t>
      </w:r>
      <w:r w:rsidR="00BB1695">
        <w:rPr>
          <w:sz w:val="22"/>
          <w:szCs w:val="22"/>
        </w:rPr>
        <w:t xml:space="preserve">altre </w:t>
      </w:r>
      <w:r w:rsidR="005E7971" w:rsidRPr="007F7EBF">
        <w:rPr>
          <w:sz w:val="22"/>
          <w:szCs w:val="22"/>
        </w:rPr>
        <w:t xml:space="preserve">voci di patrimonio netto sono </w:t>
      </w:r>
      <w:r w:rsidR="00E52966">
        <w:rPr>
          <w:bCs/>
          <w:sz w:val="22"/>
          <w:szCs w:val="22"/>
        </w:rPr>
        <w:lastRenderedPageBreak/>
        <w:t>ormai prive di rilevanza fiscale per l’azienda</w:t>
      </w:r>
      <w:r w:rsidR="005E7971" w:rsidRPr="007F7EBF">
        <w:rPr>
          <w:sz w:val="22"/>
          <w:szCs w:val="22"/>
        </w:rPr>
        <w:t>, in quanto derivano da apporti di capitale, oppure da utili tassati</w:t>
      </w:r>
      <w:r w:rsidR="00E52966">
        <w:rPr>
          <w:sz w:val="22"/>
          <w:szCs w:val="22"/>
        </w:rPr>
        <w:t xml:space="preserve">, </w:t>
      </w:r>
      <w:r w:rsidR="005E7971" w:rsidRPr="007F7EBF">
        <w:rPr>
          <w:sz w:val="22"/>
          <w:szCs w:val="22"/>
        </w:rPr>
        <w:t>o non tassabili</w:t>
      </w:r>
      <w:r w:rsidR="00BB1695">
        <w:rPr>
          <w:sz w:val="22"/>
          <w:szCs w:val="22"/>
        </w:rPr>
        <w:t xml:space="preserve"> (</w:t>
      </w:r>
      <w:r w:rsidR="005E7971" w:rsidRPr="007F7EBF">
        <w:rPr>
          <w:rStyle w:val="Rimandonotaapidipagina"/>
          <w:sz w:val="22"/>
          <w:szCs w:val="22"/>
        </w:rPr>
        <w:footnoteReference w:id="1149"/>
      </w:r>
      <w:r w:rsidR="00BB1695">
        <w:rPr>
          <w:sz w:val="22"/>
          <w:szCs w:val="22"/>
        </w:rPr>
        <w:t>)</w:t>
      </w:r>
      <w:r w:rsidR="005E7971" w:rsidRPr="007F7EBF">
        <w:rPr>
          <w:sz w:val="22"/>
          <w:szCs w:val="22"/>
        </w:rPr>
        <w:t>.</w:t>
      </w:r>
    </w:p>
    <w:p w14:paraId="51AF22BD" w14:textId="2EC09536" w:rsidR="004A729B" w:rsidRPr="007F7EBF" w:rsidRDefault="006342C5" w:rsidP="00BB37C0">
      <w:pPr>
        <w:pStyle w:val="Titolo3"/>
        <w:rPr>
          <w:rFonts w:ascii="Times New Roman" w:hAnsi="Times New Roman"/>
          <w:sz w:val="22"/>
          <w:szCs w:val="22"/>
        </w:rPr>
      </w:pPr>
      <w:bookmarkStart w:id="112" w:name="_Toc63365023"/>
      <w:r w:rsidRPr="007F7EBF">
        <w:rPr>
          <w:rFonts w:ascii="Times New Roman" w:hAnsi="Times New Roman"/>
          <w:sz w:val="22"/>
          <w:szCs w:val="22"/>
        </w:rPr>
        <w:t xml:space="preserve">7.14. </w:t>
      </w:r>
      <w:r w:rsidR="0061199F">
        <w:rPr>
          <w:rFonts w:ascii="Times New Roman" w:hAnsi="Times New Roman"/>
          <w:sz w:val="22"/>
          <w:szCs w:val="22"/>
          <w:lang w:val="it-IT"/>
        </w:rPr>
        <w:t xml:space="preserve">Determinazione dell’imponibile e valutazioni di fine esercizio, tra bilancio e regole </w:t>
      </w:r>
      <w:r w:rsidRPr="007F7EBF">
        <w:rPr>
          <w:rFonts w:ascii="Times New Roman" w:hAnsi="Times New Roman"/>
          <w:sz w:val="22"/>
          <w:szCs w:val="22"/>
        </w:rPr>
        <w:t>fiscali</w:t>
      </w:r>
      <w:bookmarkEnd w:id="112"/>
    </w:p>
    <w:p w14:paraId="46D48035" w14:textId="57E7C6F9" w:rsidR="004A729B" w:rsidRPr="007F7EBF" w:rsidRDefault="006601D0" w:rsidP="004A729B">
      <w:pPr>
        <w:pStyle w:val="tit23"/>
        <w:ind w:left="6464" w:right="-1361" w:firstLine="0"/>
        <w:jc w:val="left"/>
        <w:rPr>
          <w:bCs/>
          <w:i/>
          <w:iCs/>
          <w:color w:val="0000FF"/>
          <w:lang w:val="it-IT"/>
        </w:rPr>
      </w:pPr>
      <w:r>
        <w:rPr>
          <w:bCs/>
          <w:i/>
          <w:iCs/>
          <w:color w:val="0000FF"/>
          <w:lang w:val="it-IT"/>
        </w:rPr>
        <w:t xml:space="preserve">Indicazioni di sintesi degli elementi reddituali </w:t>
      </w:r>
    </w:p>
    <w:p w14:paraId="65757AE8" w14:textId="2372721B" w:rsidR="006601D0" w:rsidRPr="007F7EBF" w:rsidRDefault="00245B4D" w:rsidP="006601D0">
      <w:pPr>
        <w:autoSpaceDE w:val="0"/>
        <w:autoSpaceDN w:val="0"/>
        <w:adjustRightInd w:val="0"/>
        <w:rPr>
          <w:sz w:val="22"/>
          <w:szCs w:val="22"/>
        </w:rPr>
      </w:pPr>
      <w:r>
        <w:rPr>
          <w:sz w:val="22"/>
          <w:szCs w:val="22"/>
        </w:rPr>
        <w:t>L’esposizione completa</w:t>
      </w:r>
      <w:r w:rsidR="00AF791A">
        <w:rPr>
          <w:sz w:val="22"/>
          <w:szCs w:val="22"/>
        </w:rPr>
        <w:t>,</w:t>
      </w:r>
      <w:r>
        <w:rPr>
          <w:sz w:val="22"/>
          <w:szCs w:val="22"/>
        </w:rPr>
        <w:t xml:space="preserve"> nella dichiarazione </w:t>
      </w:r>
      <w:r w:rsidR="00AF791A">
        <w:rPr>
          <w:sz w:val="22"/>
          <w:szCs w:val="22"/>
        </w:rPr>
        <w:t xml:space="preserve">tributaria </w:t>
      </w:r>
      <w:r>
        <w:rPr>
          <w:sz w:val="22"/>
          <w:szCs w:val="22"/>
        </w:rPr>
        <w:t>(</w:t>
      </w:r>
      <w:r>
        <w:rPr>
          <w:rStyle w:val="Rimandonotaapidipagina"/>
          <w:sz w:val="22"/>
          <w:szCs w:val="22"/>
        </w:rPr>
        <w:footnoteReference w:id="1150"/>
      </w:r>
      <w:r>
        <w:rPr>
          <w:sz w:val="22"/>
          <w:szCs w:val="22"/>
        </w:rPr>
        <w:t>)</w:t>
      </w:r>
      <w:r w:rsidR="00AF791A">
        <w:rPr>
          <w:sz w:val="22"/>
          <w:szCs w:val="22"/>
        </w:rPr>
        <w:t>,</w:t>
      </w:r>
      <w:r w:rsidR="00E52966">
        <w:rPr>
          <w:sz w:val="22"/>
          <w:szCs w:val="22"/>
        </w:rPr>
        <w:t xml:space="preserve"> </w:t>
      </w:r>
      <w:r>
        <w:rPr>
          <w:sz w:val="22"/>
          <w:szCs w:val="22"/>
        </w:rPr>
        <w:t>degli elementi positivi e negativi del</w:t>
      </w:r>
      <w:r w:rsidR="00AF791A">
        <w:rPr>
          <w:sz w:val="22"/>
          <w:szCs w:val="22"/>
        </w:rPr>
        <w:t xml:space="preserve"> reddito, è presente per le </w:t>
      </w:r>
      <w:r>
        <w:rPr>
          <w:sz w:val="22"/>
          <w:szCs w:val="22"/>
        </w:rPr>
        <w:t>sol</w:t>
      </w:r>
      <w:r w:rsidR="00AF791A">
        <w:rPr>
          <w:sz w:val="22"/>
          <w:szCs w:val="22"/>
        </w:rPr>
        <w:t>e</w:t>
      </w:r>
      <w:r>
        <w:rPr>
          <w:sz w:val="22"/>
          <w:szCs w:val="22"/>
        </w:rPr>
        <w:t xml:space="preserve"> </w:t>
      </w:r>
      <w:r w:rsidR="00FC3D6E" w:rsidRPr="007F7EBF">
        <w:rPr>
          <w:sz w:val="22"/>
          <w:szCs w:val="22"/>
        </w:rPr>
        <w:t xml:space="preserve">imprese in contabilità </w:t>
      </w:r>
      <w:r w:rsidR="00B74E16" w:rsidRPr="007F7EBF">
        <w:rPr>
          <w:sz w:val="22"/>
          <w:szCs w:val="22"/>
        </w:rPr>
        <w:t>semplificata</w:t>
      </w:r>
      <w:r w:rsidR="003575AF">
        <w:rPr>
          <w:sz w:val="22"/>
          <w:szCs w:val="22"/>
        </w:rPr>
        <w:t xml:space="preserve"> (par.7.8</w:t>
      </w:r>
      <w:r w:rsidR="00AF791A">
        <w:rPr>
          <w:sz w:val="22"/>
          <w:szCs w:val="22"/>
        </w:rPr>
        <w:t xml:space="preserve">); per chi si trova in contabilità ordinaria, comprese le grandi aziende pluripersonali di cui al par.3.1, la dichiarazione tributaria prende invece le mosse dal risultato del bilancio redatto ai fini civilistici.  </w:t>
      </w:r>
    </w:p>
    <w:p w14:paraId="66F8FE21" w14:textId="36C8FEE7" w:rsidR="006601D0" w:rsidRPr="007F7EBF" w:rsidRDefault="006601D0" w:rsidP="006601D0">
      <w:pPr>
        <w:pStyle w:val="tit23"/>
        <w:ind w:left="6464" w:right="-1361" w:firstLine="0"/>
        <w:jc w:val="left"/>
        <w:rPr>
          <w:bCs/>
          <w:i/>
          <w:iCs/>
          <w:color w:val="0000FF"/>
          <w:lang w:val="it-IT"/>
        </w:rPr>
      </w:pPr>
      <w:r>
        <w:rPr>
          <w:bCs/>
          <w:i/>
          <w:iCs/>
          <w:color w:val="0000FF"/>
          <w:lang w:val="it-IT"/>
        </w:rPr>
        <w:t>Derivazione dell’imponibile dal bilancio</w:t>
      </w:r>
    </w:p>
    <w:p w14:paraId="731BAEE7" w14:textId="77777777" w:rsidR="00AF791A" w:rsidRPr="00AF791A" w:rsidRDefault="00AF791A" w:rsidP="00AF791A">
      <w:r w:rsidRPr="00AF791A">
        <w:t xml:space="preserve">In questi casi, l’apposito quadro </w:t>
      </w:r>
      <w:r w:rsidRPr="00AF791A">
        <w:rPr>
          <w:rStyle w:val="Rimandonotaapidipagina"/>
          <w:b/>
          <w:bCs/>
          <w:sz w:val="22"/>
          <w:szCs w:val="22"/>
        </w:rPr>
        <w:footnoteReference w:id="1151"/>
      </w:r>
      <w:r w:rsidRPr="00AF791A">
        <w:t xml:space="preserve"> della </w:t>
      </w:r>
      <w:r w:rsidR="00E77E1E" w:rsidRPr="00AF791A">
        <w:t xml:space="preserve">dichiarazione </w:t>
      </w:r>
      <w:r w:rsidR="0097059B" w:rsidRPr="00AF791A">
        <w:t>tributaria</w:t>
      </w:r>
      <w:r w:rsidR="003575AF" w:rsidRPr="00AF791A">
        <w:t xml:space="preserve"> </w:t>
      </w:r>
      <w:r w:rsidR="00245B4D" w:rsidRPr="00AF791A">
        <w:t xml:space="preserve">parte dal risultato di bilancio (utile o perdita) e quindi espone </w:t>
      </w:r>
      <w:r w:rsidRPr="00AF791A">
        <w:t xml:space="preserve">solo </w:t>
      </w:r>
      <w:r w:rsidR="00245B4D" w:rsidRPr="00AF791A">
        <w:t xml:space="preserve">le </w:t>
      </w:r>
      <w:r w:rsidR="0097059B" w:rsidRPr="00AF791A">
        <w:t xml:space="preserve"> variazioni</w:t>
      </w:r>
      <w:r w:rsidR="00245B4D" w:rsidRPr="00AF791A">
        <w:t xml:space="preserve"> fiscali</w:t>
      </w:r>
      <w:r w:rsidRPr="00AF791A">
        <w:t>,</w:t>
      </w:r>
      <w:r w:rsidR="00245B4D" w:rsidRPr="00AF791A">
        <w:t xml:space="preserve"> necessarie </w:t>
      </w:r>
      <w:r w:rsidRPr="00AF791A">
        <w:t xml:space="preserve">per passare dal risultato civilistico a quello tributario, cioè reddito imponibile, o perdita </w:t>
      </w:r>
      <w:r w:rsidRPr="00AF791A">
        <w:rPr>
          <w:rStyle w:val="Rimandonotaapidipagina"/>
          <w:b/>
          <w:bCs/>
          <w:sz w:val="22"/>
          <w:szCs w:val="22"/>
        </w:rPr>
        <w:footnoteReference w:id="1152"/>
      </w:r>
      <w:r w:rsidR="00245B4D" w:rsidRPr="00AF791A">
        <w:t xml:space="preserve">. L’indicazione di sintesi dei singoli elementi positivi e negativi del reddito non </w:t>
      </w:r>
      <w:r w:rsidR="003575AF" w:rsidRPr="00AF791A">
        <w:t>emerg</w:t>
      </w:r>
      <w:r w:rsidR="00245B4D" w:rsidRPr="00AF791A">
        <w:t>e quindi</w:t>
      </w:r>
      <w:r w:rsidR="003575AF" w:rsidRPr="00AF791A">
        <w:t xml:space="preserve"> </w:t>
      </w:r>
      <w:r w:rsidR="00E77E1E" w:rsidRPr="00AF791A">
        <w:t>da</w:t>
      </w:r>
      <w:r w:rsidR="0097059B" w:rsidRPr="00AF791A">
        <w:t xml:space="preserve">lla </w:t>
      </w:r>
      <w:r w:rsidR="00300D4D" w:rsidRPr="00AF791A">
        <w:t xml:space="preserve">dichiarazione dei redditi, ma si trova nella parte </w:t>
      </w:r>
      <w:r w:rsidR="0097059B" w:rsidRPr="00AF791A">
        <w:t>del bilancio denominata "conto economico"</w:t>
      </w:r>
      <w:r w:rsidR="006B3390" w:rsidRPr="00AF791A">
        <w:t xml:space="preserve"> o “dei profitti e delle perdite”</w:t>
      </w:r>
      <w:r w:rsidR="00300D4D" w:rsidRPr="00AF791A">
        <w:t xml:space="preserve">. L’altro prospetto di bilancio, che </w:t>
      </w:r>
      <w:r w:rsidR="00300D4D" w:rsidRPr="00AF791A">
        <w:lastRenderedPageBreak/>
        <w:t xml:space="preserve">riassume </w:t>
      </w:r>
      <w:r w:rsidR="003575AF" w:rsidRPr="00AF791A">
        <w:t>beni reali</w:t>
      </w:r>
      <w:r w:rsidR="00300D4D" w:rsidRPr="00AF791A">
        <w:t xml:space="preserve">, </w:t>
      </w:r>
      <w:r w:rsidR="003575AF" w:rsidRPr="00AF791A">
        <w:t>debiti</w:t>
      </w:r>
      <w:r w:rsidR="00226BAB" w:rsidRPr="00AF791A">
        <w:t xml:space="preserve"> </w:t>
      </w:r>
      <w:r w:rsidR="00300D4D" w:rsidRPr="00AF791A">
        <w:t xml:space="preserve">e patrimonio contabile, si definisce invece </w:t>
      </w:r>
      <w:r w:rsidR="009041DD" w:rsidRPr="00AF791A">
        <w:t>“</w:t>
      </w:r>
      <w:r w:rsidR="00226BAB" w:rsidRPr="00AF791A">
        <w:t>stato patrimoniale”</w:t>
      </w:r>
      <w:r w:rsidR="00F10175" w:rsidRPr="00AF791A">
        <w:t xml:space="preserve"> (</w:t>
      </w:r>
      <w:r w:rsidR="00F10175" w:rsidRPr="00AF791A">
        <w:rPr>
          <w:rStyle w:val="Rimandonotaapidipagina"/>
          <w:b/>
          <w:bCs/>
          <w:sz w:val="22"/>
          <w:szCs w:val="22"/>
        </w:rPr>
        <w:footnoteReference w:id="1153"/>
      </w:r>
      <w:r w:rsidR="00F10175" w:rsidRPr="00AF791A">
        <w:t xml:space="preserve">). </w:t>
      </w:r>
      <w:r w:rsidR="006B3390" w:rsidRPr="00AF791A">
        <w:t>Ognuno di questi due prospetti</w:t>
      </w:r>
      <w:r w:rsidR="001A69C2" w:rsidRPr="00AF791A">
        <w:t>, riepilogativi dei conti di contabilità generale in partita doppia, quindi “</w:t>
      </w:r>
      <w:r w:rsidR="006B3390" w:rsidRPr="00AF791A">
        <w:t>bilancianti”</w:t>
      </w:r>
      <w:r w:rsidR="001A69C2" w:rsidRPr="00AF791A">
        <w:t>(par.7.8)</w:t>
      </w:r>
      <w:r w:rsidR="006B3390" w:rsidRPr="00AF791A">
        <w:t>, esprime lo stesso risultato dell’esercizio (utile o perdita) a</w:t>
      </w:r>
      <w:r w:rsidR="00E52966" w:rsidRPr="00AF791A">
        <w:t xml:space="preserve">lla </w:t>
      </w:r>
      <w:r w:rsidR="006B3390" w:rsidRPr="00AF791A">
        <w:t>data</w:t>
      </w:r>
      <w:r w:rsidR="00E52966" w:rsidRPr="00AF791A">
        <w:t xml:space="preserve"> di riferimento del bilancio</w:t>
      </w:r>
      <w:r w:rsidR="006B3390" w:rsidRPr="00AF791A">
        <w:t>.</w:t>
      </w:r>
      <w:r w:rsidR="00F10175" w:rsidRPr="00AF791A">
        <w:t xml:space="preserve">  </w:t>
      </w:r>
    </w:p>
    <w:p w14:paraId="0811D70C" w14:textId="5075626F" w:rsidR="00AF791A" w:rsidRDefault="00AF791A" w:rsidP="00AF791A">
      <w:pPr>
        <w:pStyle w:val="tit23"/>
        <w:ind w:left="6464" w:right="-1361" w:firstLine="0"/>
        <w:jc w:val="left"/>
        <w:rPr>
          <w:bCs/>
          <w:i/>
          <w:iCs/>
          <w:color w:val="0000FF"/>
          <w:lang w:val="it-IT"/>
        </w:rPr>
      </w:pPr>
      <w:r>
        <w:rPr>
          <w:bCs/>
          <w:i/>
          <w:iCs/>
          <w:color w:val="0000FF"/>
          <w:lang w:val="it-IT"/>
        </w:rPr>
        <w:t>Rilevanza civilistica del bilancio</w:t>
      </w:r>
    </w:p>
    <w:p w14:paraId="0463E890" w14:textId="2F73960B" w:rsidR="00FC3D6E" w:rsidRPr="006B3390" w:rsidRDefault="00E52966" w:rsidP="006B3390">
      <w:pPr>
        <w:autoSpaceDE w:val="0"/>
        <w:autoSpaceDN w:val="0"/>
        <w:adjustRightInd w:val="0"/>
        <w:rPr>
          <w:sz w:val="22"/>
          <w:szCs w:val="22"/>
        </w:rPr>
      </w:pPr>
      <w:r>
        <w:rPr>
          <w:sz w:val="22"/>
          <w:szCs w:val="22"/>
        </w:rPr>
        <w:t xml:space="preserve">Quest’ultimo </w:t>
      </w:r>
      <w:r w:rsidR="00300D4D">
        <w:rPr>
          <w:sz w:val="22"/>
          <w:szCs w:val="22"/>
        </w:rPr>
        <w:t xml:space="preserve">è un documento </w:t>
      </w:r>
      <w:r w:rsidR="001A69C2" w:rsidRPr="007F7EBF">
        <w:rPr>
          <w:sz w:val="22"/>
          <w:szCs w:val="22"/>
        </w:rPr>
        <w:t>rileva</w:t>
      </w:r>
      <w:r w:rsidR="00300D4D">
        <w:rPr>
          <w:sz w:val="22"/>
          <w:szCs w:val="22"/>
        </w:rPr>
        <w:t xml:space="preserve">nte </w:t>
      </w:r>
      <w:r w:rsidR="001A69C2" w:rsidRPr="007F7EBF">
        <w:rPr>
          <w:sz w:val="22"/>
          <w:szCs w:val="22"/>
        </w:rPr>
        <w:t>sul piano del diritto dei privati</w:t>
      </w:r>
      <w:r w:rsidR="001A69C2">
        <w:rPr>
          <w:sz w:val="22"/>
          <w:szCs w:val="22"/>
        </w:rPr>
        <w:t xml:space="preserve"> (</w:t>
      </w:r>
      <w:r w:rsidR="001A69C2">
        <w:rPr>
          <w:rStyle w:val="Rimandonotaapidipagina"/>
          <w:sz w:val="22"/>
          <w:szCs w:val="22"/>
        </w:rPr>
        <w:footnoteReference w:id="1154"/>
      </w:r>
      <w:r w:rsidR="001A69C2">
        <w:rPr>
          <w:sz w:val="22"/>
          <w:szCs w:val="22"/>
        </w:rPr>
        <w:t>)</w:t>
      </w:r>
      <w:r w:rsidR="001A69C2" w:rsidRPr="007F7EBF">
        <w:rPr>
          <w:sz w:val="22"/>
          <w:szCs w:val="22"/>
        </w:rPr>
        <w:t>, cioè nei rapporti tra</w:t>
      </w:r>
      <w:r w:rsidR="00300D4D">
        <w:rPr>
          <w:sz w:val="22"/>
          <w:szCs w:val="22"/>
        </w:rPr>
        <w:t xml:space="preserve"> i</w:t>
      </w:r>
      <w:r w:rsidR="001A69C2" w:rsidRPr="007F7EBF">
        <w:rPr>
          <w:sz w:val="22"/>
          <w:szCs w:val="22"/>
        </w:rPr>
        <w:t xml:space="preserve"> soci</w:t>
      </w:r>
      <w:r w:rsidR="001A69C2">
        <w:rPr>
          <w:sz w:val="22"/>
          <w:szCs w:val="22"/>
        </w:rPr>
        <w:t xml:space="preserve">, i </w:t>
      </w:r>
      <w:r w:rsidR="001A69C2" w:rsidRPr="007F7EBF">
        <w:rPr>
          <w:sz w:val="22"/>
          <w:szCs w:val="22"/>
        </w:rPr>
        <w:t>creditori</w:t>
      </w:r>
      <w:r w:rsidR="001A69C2">
        <w:rPr>
          <w:sz w:val="22"/>
          <w:szCs w:val="22"/>
        </w:rPr>
        <w:t xml:space="preserve"> e gli altri soggetti </w:t>
      </w:r>
      <w:r w:rsidR="00300D4D">
        <w:rPr>
          <w:sz w:val="22"/>
          <w:szCs w:val="22"/>
        </w:rPr>
        <w:t>interessati all’azienda</w:t>
      </w:r>
      <w:r w:rsidR="002B7757">
        <w:rPr>
          <w:sz w:val="22"/>
          <w:szCs w:val="22"/>
        </w:rPr>
        <w:t xml:space="preserve"> (</w:t>
      </w:r>
      <w:r w:rsidR="002B7757">
        <w:rPr>
          <w:rStyle w:val="Rimandonotaapidipagina"/>
          <w:sz w:val="22"/>
          <w:szCs w:val="22"/>
        </w:rPr>
        <w:footnoteReference w:id="1155"/>
      </w:r>
      <w:r w:rsidR="002B7757">
        <w:rPr>
          <w:sz w:val="22"/>
          <w:szCs w:val="22"/>
        </w:rPr>
        <w:t>)</w:t>
      </w:r>
      <w:r w:rsidR="00300D4D">
        <w:rPr>
          <w:sz w:val="22"/>
          <w:szCs w:val="22"/>
        </w:rPr>
        <w:t xml:space="preserve">; </w:t>
      </w:r>
      <w:r w:rsidR="001A69C2" w:rsidRPr="007F7EBF">
        <w:rPr>
          <w:sz w:val="22"/>
          <w:szCs w:val="22"/>
        </w:rPr>
        <w:t>l</w:t>
      </w:r>
      <w:r w:rsidR="001A69C2">
        <w:rPr>
          <w:sz w:val="22"/>
          <w:szCs w:val="22"/>
        </w:rPr>
        <w:t>o conferma il fatto che l’</w:t>
      </w:r>
      <w:r w:rsidR="001A69C2" w:rsidRPr="007F7EBF">
        <w:rPr>
          <w:sz w:val="22"/>
          <w:szCs w:val="22"/>
        </w:rPr>
        <w:t xml:space="preserve">omissione </w:t>
      </w:r>
      <w:r w:rsidR="001A69C2">
        <w:rPr>
          <w:sz w:val="22"/>
          <w:szCs w:val="22"/>
        </w:rPr>
        <w:t>del bilancio sia</w:t>
      </w:r>
      <w:r w:rsidR="001A69C2" w:rsidRPr="007F7EBF">
        <w:rPr>
          <w:sz w:val="22"/>
          <w:szCs w:val="22"/>
        </w:rPr>
        <w:t xml:space="preserve"> infatti </w:t>
      </w:r>
      <w:proofErr w:type="spellStart"/>
      <w:r w:rsidR="001A69C2" w:rsidRPr="007F7EBF">
        <w:rPr>
          <w:sz w:val="22"/>
          <w:szCs w:val="22"/>
        </w:rPr>
        <w:t>civilisticamente</w:t>
      </w:r>
      <w:proofErr w:type="spellEnd"/>
      <w:r w:rsidR="001A69C2" w:rsidRPr="007F7EBF">
        <w:rPr>
          <w:sz w:val="22"/>
          <w:szCs w:val="22"/>
        </w:rPr>
        <w:t>, e penalmente, sanzionata solo in caso di fallimento</w:t>
      </w:r>
      <w:r w:rsidR="001A69C2">
        <w:rPr>
          <w:sz w:val="22"/>
          <w:szCs w:val="22"/>
        </w:rPr>
        <w:t xml:space="preserve"> (</w:t>
      </w:r>
      <w:r w:rsidR="001A69C2" w:rsidRPr="007F7EBF">
        <w:rPr>
          <w:rStyle w:val="Rimandonotaapidipagina"/>
          <w:sz w:val="22"/>
          <w:szCs w:val="22"/>
        </w:rPr>
        <w:footnoteReference w:id="1156"/>
      </w:r>
      <w:r w:rsidR="001A69C2">
        <w:rPr>
          <w:sz w:val="22"/>
          <w:szCs w:val="22"/>
        </w:rPr>
        <w:t>)</w:t>
      </w:r>
      <w:r w:rsidR="00E7649A">
        <w:rPr>
          <w:sz w:val="22"/>
          <w:szCs w:val="22"/>
        </w:rPr>
        <w:t xml:space="preserve">. </w:t>
      </w:r>
    </w:p>
    <w:p w14:paraId="592CF233" w14:textId="3C2C0787" w:rsidR="004A729B" w:rsidRPr="007F7EBF" w:rsidRDefault="00CB625C" w:rsidP="004A729B">
      <w:pPr>
        <w:pStyle w:val="tit23"/>
        <w:ind w:left="6464" w:right="-1361" w:firstLine="0"/>
        <w:jc w:val="left"/>
        <w:rPr>
          <w:bCs/>
          <w:i/>
          <w:iCs/>
          <w:color w:val="0000FF"/>
          <w:lang w:val="it-IT"/>
        </w:rPr>
      </w:pPr>
      <w:r w:rsidRPr="007F7EBF">
        <w:rPr>
          <w:bCs/>
          <w:i/>
          <w:iCs/>
          <w:color w:val="0000FF"/>
          <w:lang w:val="it-IT"/>
        </w:rPr>
        <w:t xml:space="preserve">bilancio </w:t>
      </w:r>
      <w:r w:rsidR="006B3390">
        <w:rPr>
          <w:bCs/>
          <w:i/>
          <w:iCs/>
          <w:color w:val="0000FF"/>
          <w:lang w:val="it-IT"/>
        </w:rPr>
        <w:t xml:space="preserve"> e variazioni fiscali</w:t>
      </w:r>
    </w:p>
    <w:p w14:paraId="3D44090B" w14:textId="27CF39D6" w:rsidR="00BE05F7" w:rsidRDefault="00BE05F7" w:rsidP="0066340F">
      <w:pPr>
        <w:autoSpaceDE w:val="0"/>
        <w:autoSpaceDN w:val="0"/>
        <w:adjustRightInd w:val="0"/>
        <w:rPr>
          <w:sz w:val="20"/>
          <w:szCs w:val="20"/>
        </w:rPr>
      </w:pPr>
      <w:r>
        <w:t xml:space="preserve">Il bilancio non è un “libro contabile”, ma un prospetto che riepiloga i saldi della contabilità “In partita doppia” dove </w:t>
      </w:r>
      <w:r w:rsidRPr="00BE05F7">
        <w:t>ogni registrazione riguarda un uguale importo in “dare” ed in “avere”</w:t>
      </w:r>
      <w:r>
        <w:t xml:space="preserve"> </w:t>
      </w:r>
      <w:r>
        <w:lastRenderedPageBreak/>
        <w:t>(</w:t>
      </w:r>
      <w:r>
        <w:rPr>
          <w:rStyle w:val="Rimandonotaapidipagina"/>
        </w:rPr>
        <w:footnoteReference w:id="1157"/>
      </w:r>
      <w:r>
        <w:t>)</w:t>
      </w:r>
      <w:r w:rsidRPr="00BE05F7">
        <w:t xml:space="preserve">. </w:t>
      </w:r>
      <w:r>
        <w:t>Il conto dei profitti e delle perdite espone l’utile o la perdita di bilancio come differenza tra elementi positivi e negativi del reddito (le astrazioni economiche dei costi e dei ricavi di cui al par.1.8) e lo stato patrimoniale espone lo stesso importo come aumento (se c’è un reddito) e diminuzione (se c’è una perdita) del patrimonio aziendale</w:t>
      </w:r>
      <w:r w:rsidR="002B7757">
        <w:t xml:space="preserve"> all’inizio dell’anno</w:t>
      </w:r>
      <w:r>
        <w:t xml:space="preserve">. </w:t>
      </w:r>
    </w:p>
    <w:p w14:paraId="24A0C0D3" w14:textId="21EBD865" w:rsidR="004F7AB1" w:rsidRPr="0066340F" w:rsidRDefault="00BE05F7" w:rsidP="0066340F">
      <w:pPr>
        <w:autoSpaceDE w:val="0"/>
        <w:autoSpaceDN w:val="0"/>
        <w:adjustRightInd w:val="0"/>
        <w:rPr>
          <w:sz w:val="22"/>
          <w:szCs w:val="22"/>
        </w:rPr>
      </w:pPr>
      <w:r>
        <w:rPr>
          <w:sz w:val="22"/>
          <w:szCs w:val="22"/>
        </w:rPr>
        <w:t>L’analisi dei costi e dei ricavi si trova quindi nel conto dei profitti e delle perdite, dal cui risultato (ripetiamo u</w:t>
      </w:r>
      <w:r w:rsidR="00F10175">
        <w:rPr>
          <w:sz w:val="22"/>
          <w:szCs w:val="22"/>
        </w:rPr>
        <w:t>tile o perdita</w:t>
      </w:r>
      <w:r>
        <w:rPr>
          <w:sz w:val="22"/>
          <w:szCs w:val="22"/>
        </w:rPr>
        <w:t xml:space="preserve">) si prendono le mosse </w:t>
      </w:r>
      <w:r w:rsidR="006B3390" w:rsidRPr="007F7EBF">
        <w:rPr>
          <w:sz w:val="22"/>
          <w:szCs w:val="22"/>
        </w:rPr>
        <w:t>per determinar</w:t>
      </w:r>
      <w:r w:rsidR="00F10175">
        <w:rPr>
          <w:sz w:val="22"/>
          <w:szCs w:val="22"/>
        </w:rPr>
        <w:t xml:space="preserve">e </w:t>
      </w:r>
      <w:r w:rsidR="001A69C2">
        <w:rPr>
          <w:sz w:val="22"/>
          <w:szCs w:val="22"/>
        </w:rPr>
        <w:t xml:space="preserve">il reddito </w:t>
      </w:r>
      <w:r w:rsidR="00F10175">
        <w:rPr>
          <w:sz w:val="22"/>
          <w:szCs w:val="22"/>
        </w:rPr>
        <w:t>imponibile</w:t>
      </w:r>
      <w:r w:rsidR="006B3390" w:rsidRPr="007F7EBF">
        <w:rPr>
          <w:sz w:val="22"/>
          <w:szCs w:val="22"/>
        </w:rPr>
        <w:t xml:space="preserve"> nella dichiarazione tributaria (par.3.4)</w:t>
      </w:r>
      <w:r w:rsidR="00F10175">
        <w:rPr>
          <w:sz w:val="22"/>
          <w:szCs w:val="22"/>
        </w:rPr>
        <w:t xml:space="preserve">. In essa </w:t>
      </w:r>
      <w:r w:rsidR="00C92C6D" w:rsidRPr="007F7EBF">
        <w:rPr>
          <w:bCs/>
          <w:sz w:val="22"/>
          <w:szCs w:val="22"/>
        </w:rPr>
        <w:t>devono essere in genere apportate al risultato di bilancio (utile o perdita), alcune variazioni</w:t>
      </w:r>
      <w:r w:rsidR="002B7757">
        <w:rPr>
          <w:bCs/>
          <w:sz w:val="22"/>
          <w:szCs w:val="22"/>
        </w:rPr>
        <w:t>(</w:t>
      </w:r>
      <w:r w:rsidR="00C92C6D" w:rsidRPr="007F7EBF">
        <w:rPr>
          <w:rStyle w:val="Rimandonotaapidipagina"/>
          <w:sz w:val="22"/>
          <w:szCs w:val="22"/>
        </w:rPr>
        <w:footnoteReference w:id="1158"/>
      </w:r>
      <w:r w:rsidR="002B7757">
        <w:rPr>
          <w:bCs/>
          <w:sz w:val="22"/>
          <w:szCs w:val="22"/>
        </w:rPr>
        <w:t>)</w:t>
      </w:r>
      <w:r w:rsidR="00C92C6D" w:rsidRPr="007F7EBF">
        <w:rPr>
          <w:bCs/>
          <w:sz w:val="22"/>
          <w:szCs w:val="22"/>
        </w:rPr>
        <w:t xml:space="preserve"> per giungere all’imponibile fiscale. Tali variazioni possono </w:t>
      </w:r>
      <w:r w:rsidR="00C92C6D" w:rsidRPr="007F7EBF">
        <w:rPr>
          <w:sz w:val="22"/>
          <w:szCs w:val="22"/>
        </w:rPr>
        <w:t>aumentare il reddito fiscale rispetto al risultato civilistico, nel qual caso si definiscono «</w:t>
      </w:r>
      <w:r w:rsidR="00C92C6D" w:rsidRPr="007F7EBF">
        <w:rPr>
          <w:bCs/>
          <w:sz w:val="22"/>
          <w:szCs w:val="22"/>
        </w:rPr>
        <w:t>variazioni in aumento</w:t>
      </w:r>
      <w:r w:rsidR="00C92C6D" w:rsidRPr="007F7EBF">
        <w:rPr>
          <w:sz w:val="22"/>
          <w:szCs w:val="22"/>
        </w:rPr>
        <w:t xml:space="preserve">», ovvero inversamente diminuirlo, nel qual caso si definiscono </w:t>
      </w:r>
      <w:r w:rsidR="00C92C6D" w:rsidRPr="007F7EBF">
        <w:rPr>
          <w:bCs/>
          <w:sz w:val="22"/>
          <w:szCs w:val="22"/>
        </w:rPr>
        <w:t>variazioni in diminuzione</w:t>
      </w:r>
      <w:r w:rsidR="00F10175">
        <w:rPr>
          <w:bCs/>
          <w:sz w:val="22"/>
          <w:szCs w:val="22"/>
        </w:rPr>
        <w:t xml:space="preserve">; classiche </w:t>
      </w:r>
      <w:r w:rsidR="00F10175" w:rsidRPr="007F7EBF">
        <w:t>“variazion</w:t>
      </w:r>
      <w:r w:rsidR="00F10175">
        <w:t>i in aum</w:t>
      </w:r>
      <w:r w:rsidR="00F10175" w:rsidRPr="007F7EBF">
        <w:t>e</w:t>
      </w:r>
      <w:r w:rsidR="00F10175">
        <w:t>nto</w:t>
      </w:r>
      <w:r w:rsidR="00F10175" w:rsidRPr="007F7EBF">
        <w:t xml:space="preserve">” </w:t>
      </w:r>
      <w:r w:rsidR="00F10175">
        <w:t xml:space="preserve">derivano </w:t>
      </w:r>
      <w:r w:rsidR="00F10175" w:rsidRPr="007F7EBF">
        <w:t>dall’indeducibilità delle imposte sui redditi imputate al contro economico</w:t>
      </w:r>
      <w:r w:rsidR="00F10175">
        <w:t xml:space="preserve"> o </w:t>
      </w:r>
      <w:r w:rsidR="002B7757">
        <w:t>d</w:t>
      </w:r>
      <w:r w:rsidR="00F10175">
        <w:t xml:space="preserve">a costi non inerenti (par.7.9), mentre variazioni in diminuzione possono derivare da </w:t>
      </w:r>
      <w:r w:rsidR="00F10175" w:rsidRPr="007F7EBF">
        <w:t xml:space="preserve">ricavi esenti, dividendi o plusvalenze non imponibili per il coordinamento impositivo tra società e soci </w:t>
      </w:r>
      <w:r w:rsidR="00F10175">
        <w:t>(</w:t>
      </w:r>
      <w:r w:rsidR="00F10175" w:rsidRPr="007F7EBF">
        <w:t>par.7.17</w:t>
      </w:r>
      <w:r w:rsidR="00F10175">
        <w:t>)</w:t>
      </w:r>
      <w:r w:rsidR="00F10175" w:rsidRPr="007F7EBF">
        <w:t xml:space="preserve">, </w:t>
      </w:r>
      <w:r w:rsidR="00F10175">
        <w:t xml:space="preserve">o </w:t>
      </w:r>
      <w:r w:rsidR="00F10175" w:rsidRPr="007F7EBF">
        <w:t>perché la tassazione è già avvenuta in precedenza, e varie altre simmetrie di cui al par.3.12</w:t>
      </w:r>
      <w:r w:rsidR="00F10175">
        <w:t>.</w:t>
      </w:r>
    </w:p>
    <w:p w14:paraId="064D1B4E" w14:textId="3C1B0B96" w:rsidR="0000770C" w:rsidRPr="007F7EBF" w:rsidRDefault="00E7649A" w:rsidP="0000770C">
      <w:pPr>
        <w:pStyle w:val="tit23"/>
        <w:ind w:left="6464" w:right="-1361" w:firstLine="0"/>
        <w:jc w:val="left"/>
        <w:rPr>
          <w:bCs/>
          <w:i/>
          <w:iCs/>
          <w:color w:val="0000FF"/>
          <w:lang w:val="it-IT"/>
        </w:rPr>
      </w:pPr>
      <w:r>
        <w:rPr>
          <w:bCs/>
          <w:i/>
          <w:iCs/>
          <w:color w:val="0000FF"/>
          <w:lang w:val="it-IT"/>
        </w:rPr>
        <w:t>Le valutazioni di bilancio</w:t>
      </w:r>
    </w:p>
    <w:p w14:paraId="228C5587" w14:textId="7E01BEE7" w:rsidR="00640805" w:rsidRPr="007F7EBF" w:rsidRDefault="00E7649A" w:rsidP="00640805">
      <w:pPr>
        <w:autoSpaceDE w:val="0"/>
        <w:autoSpaceDN w:val="0"/>
        <w:adjustRightInd w:val="0"/>
        <w:rPr>
          <w:sz w:val="22"/>
          <w:szCs w:val="22"/>
        </w:rPr>
      </w:pPr>
      <w:r>
        <w:rPr>
          <w:sz w:val="22"/>
          <w:szCs w:val="22"/>
        </w:rPr>
        <w:t>Anche ai fini tributari si pone quindi il problema delle valutazioni di bilancio</w:t>
      </w:r>
      <w:r w:rsidR="00640805">
        <w:rPr>
          <w:sz w:val="22"/>
          <w:szCs w:val="22"/>
        </w:rPr>
        <w:t>, per l’</w:t>
      </w:r>
      <w:r>
        <w:rPr>
          <w:sz w:val="22"/>
          <w:szCs w:val="22"/>
        </w:rPr>
        <w:t>imputa</w:t>
      </w:r>
      <w:r w:rsidR="00640805">
        <w:rPr>
          <w:sz w:val="22"/>
          <w:szCs w:val="22"/>
        </w:rPr>
        <w:t>zion</w:t>
      </w:r>
      <w:r>
        <w:rPr>
          <w:sz w:val="22"/>
          <w:szCs w:val="22"/>
        </w:rPr>
        <w:t xml:space="preserve">e all’esercizio </w:t>
      </w:r>
      <w:r w:rsidR="00640805">
        <w:rPr>
          <w:sz w:val="22"/>
          <w:szCs w:val="22"/>
        </w:rPr>
        <w:t xml:space="preserve">di </w:t>
      </w:r>
      <w:r>
        <w:rPr>
          <w:sz w:val="22"/>
          <w:szCs w:val="22"/>
        </w:rPr>
        <w:t xml:space="preserve">una quota delle operazioni in </w:t>
      </w:r>
      <w:r>
        <w:rPr>
          <w:sz w:val="22"/>
          <w:szCs w:val="22"/>
        </w:rPr>
        <w:lastRenderedPageBreak/>
        <w:t xml:space="preserve">corso, come già visto per l’imputazione a periodo e vedremo per ammortamenti, rimanenze, etc. </w:t>
      </w:r>
      <w:r w:rsidR="00A217E8">
        <w:rPr>
          <w:sz w:val="22"/>
          <w:szCs w:val="22"/>
        </w:rPr>
        <w:t>Si è cioè capito che tali valutazioni sono convenzionali, e possono ispira</w:t>
      </w:r>
      <w:r w:rsidR="002B7757">
        <w:rPr>
          <w:sz w:val="22"/>
          <w:szCs w:val="22"/>
        </w:rPr>
        <w:t>rs</w:t>
      </w:r>
      <w:r w:rsidR="00A217E8" w:rsidRPr="007F7EBF">
        <w:rPr>
          <w:sz w:val="22"/>
          <w:szCs w:val="22"/>
        </w:rPr>
        <w:t xml:space="preserve">i </w:t>
      </w:r>
      <w:r w:rsidR="00A217E8">
        <w:rPr>
          <w:sz w:val="22"/>
          <w:szCs w:val="22"/>
        </w:rPr>
        <w:t xml:space="preserve">a </w:t>
      </w:r>
      <w:r w:rsidR="00A217E8" w:rsidRPr="007F7EBF">
        <w:rPr>
          <w:sz w:val="22"/>
          <w:szCs w:val="22"/>
        </w:rPr>
        <w:t>criteri valutativi diversi a seconda de</w:t>
      </w:r>
      <w:r w:rsidR="00A217E8">
        <w:rPr>
          <w:sz w:val="22"/>
          <w:szCs w:val="22"/>
        </w:rPr>
        <w:t>i</w:t>
      </w:r>
      <w:r w:rsidR="00A217E8" w:rsidRPr="007F7EBF">
        <w:rPr>
          <w:sz w:val="22"/>
          <w:szCs w:val="22"/>
        </w:rPr>
        <w:t xml:space="preserve"> divers</w:t>
      </w:r>
      <w:r w:rsidR="00A217E8">
        <w:rPr>
          <w:sz w:val="22"/>
          <w:szCs w:val="22"/>
        </w:rPr>
        <w:t>i destinatari</w:t>
      </w:r>
      <w:r w:rsidR="00A217E8" w:rsidRPr="007F7EBF">
        <w:rPr>
          <w:sz w:val="22"/>
          <w:szCs w:val="22"/>
        </w:rPr>
        <w:t xml:space="preserve"> cui s</w:t>
      </w:r>
      <w:r w:rsidR="002B7757">
        <w:rPr>
          <w:sz w:val="22"/>
          <w:szCs w:val="22"/>
        </w:rPr>
        <w:t>i indirizzano</w:t>
      </w:r>
      <w:r w:rsidR="00A217E8" w:rsidRPr="007F7EBF">
        <w:rPr>
          <w:sz w:val="22"/>
          <w:szCs w:val="22"/>
        </w:rPr>
        <w:t>, ad esempio la casa madre del gruppo straniero cui la società appartiene, gli organi amministrativi di vigilanza settoriale</w:t>
      </w:r>
      <w:r w:rsidR="002B7757">
        <w:rPr>
          <w:sz w:val="22"/>
          <w:szCs w:val="22"/>
        </w:rPr>
        <w:t>(</w:t>
      </w:r>
      <w:r w:rsidR="00A217E8" w:rsidRPr="007F7EBF">
        <w:rPr>
          <w:rStyle w:val="Rimandonotaapidipagina"/>
          <w:sz w:val="22"/>
          <w:szCs w:val="22"/>
        </w:rPr>
        <w:footnoteReference w:id="1159"/>
      </w:r>
      <w:r w:rsidR="002B7757">
        <w:rPr>
          <w:sz w:val="22"/>
          <w:szCs w:val="22"/>
        </w:rPr>
        <w:t>)</w:t>
      </w:r>
      <w:r w:rsidR="00A217E8" w:rsidRPr="007F7EBF">
        <w:rPr>
          <w:sz w:val="22"/>
          <w:szCs w:val="22"/>
        </w:rPr>
        <w:t>, le istituzioni finanziarie, il fisco, i soci.</w:t>
      </w:r>
      <w:r w:rsidR="00A217E8" w:rsidRPr="007F7EBF">
        <w:rPr>
          <w:bCs/>
          <w:i/>
          <w:iCs/>
          <w:color w:val="0000FF"/>
          <w:sz w:val="22"/>
          <w:szCs w:val="22"/>
        </w:rPr>
        <w:t xml:space="preserve"> </w:t>
      </w:r>
      <w:r w:rsidR="004B1649" w:rsidRPr="007F7EBF">
        <w:rPr>
          <w:sz w:val="22"/>
          <w:szCs w:val="22"/>
        </w:rPr>
        <w:t>P</w:t>
      </w:r>
      <w:r w:rsidR="00FD7AA9" w:rsidRPr="007F7EBF">
        <w:rPr>
          <w:sz w:val="22"/>
          <w:szCs w:val="22"/>
        </w:rPr>
        <w:t>er decenni</w:t>
      </w:r>
      <w:r>
        <w:rPr>
          <w:sz w:val="22"/>
          <w:szCs w:val="22"/>
        </w:rPr>
        <w:t xml:space="preserve"> la legislazione tributaria ha regolato con propri criteri la maggior parte di queste valutazioni, in omaggio a </w:t>
      </w:r>
      <w:r w:rsidR="003D327D" w:rsidRPr="007F7EBF">
        <w:rPr>
          <w:sz w:val="22"/>
          <w:szCs w:val="22"/>
        </w:rPr>
        <w:t xml:space="preserve">esigenze </w:t>
      </w:r>
      <w:r w:rsidR="0066340F">
        <w:rPr>
          <w:sz w:val="22"/>
          <w:szCs w:val="22"/>
        </w:rPr>
        <w:t xml:space="preserve">tributarie </w:t>
      </w:r>
      <w:r w:rsidR="003D327D" w:rsidRPr="007F7EBF">
        <w:rPr>
          <w:sz w:val="22"/>
          <w:szCs w:val="22"/>
        </w:rPr>
        <w:t xml:space="preserve">di </w:t>
      </w:r>
      <w:r w:rsidR="006342C5" w:rsidRPr="007F7EBF">
        <w:rPr>
          <w:sz w:val="22"/>
          <w:szCs w:val="22"/>
        </w:rPr>
        <w:t>precisione, semplicità, certezza dei</w:t>
      </w:r>
      <w:r>
        <w:rPr>
          <w:sz w:val="22"/>
          <w:szCs w:val="22"/>
        </w:rPr>
        <w:t xml:space="preserve"> </w:t>
      </w:r>
      <w:r w:rsidR="00D81339">
        <w:rPr>
          <w:sz w:val="22"/>
          <w:szCs w:val="22"/>
        </w:rPr>
        <w:t>r</w:t>
      </w:r>
      <w:r w:rsidR="006342C5" w:rsidRPr="007F7EBF">
        <w:rPr>
          <w:sz w:val="22"/>
          <w:szCs w:val="22"/>
        </w:rPr>
        <w:t>appo</w:t>
      </w:r>
      <w:r w:rsidR="00217136" w:rsidRPr="007F7EBF">
        <w:rPr>
          <w:sz w:val="22"/>
          <w:szCs w:val="22"/>
        </w:rPr>
        <w:t>rti</w:t>
      </w:r>
      <w:r w:rsidR="0066340F">
        <w:rPr>
          <w:sz w:val="22"/>
          <w:szCs w:val="22"/>
        </w:rPr>
        <w:t>, indicate al par.1.8 (</w:t>
      </w:r>
      <w:r w:rsidR="003D327D" w:rsidRPr="007F7EBF">
        <w:rPr>
          <w:rStyle w:val="Rimandonotaapidipagina"/>
          <w:sz w:val="22"/>
          <w:szCs w:val="22"/>
        </w:rPr>
        <w:footnoteReference w:id="1160"/>
      </w:r>
      <w:r w:rsidR="00640805">
        <w:rPr>
          <w:sz w:val="22"/>
          <w:szCs w:val="22"/>
        </w:rPr>
        <w:t>)</w:t>
      </w:r>
      <w:r w:rsidR="003D327D" w:rsidRPr="007F7EBF">
        <w:rPr>
          <w:sz w:val="22"/>
          <w:szCs w:val="22"/>
        </w:rPr>
        <w:t xml:space="preserve">. </w:t>
      </w:r>
      <w:r>
        <w:rPr>
          <w:sz w:val="22"/>
          <w:szCs w:val="22"/>
        </w:rPr>
        <w:t>Ove questi criteri non fossero stati adottati nel bilancio civilistico, il suo risultato avrebbe dovuto essere adattato nella dichiarazione fiscale col suddetto criterio delle variazioni in aumento e in diminuzione.</w:t>
      </w:r>
      <w:r w:rsidR="00640805" w:rsidRPr="00640805">
        <w:rPr>
          <w:sz w:val="22"/>
          <w:szCs w:val="22"/>
        </w:rPr>
        <w:t xml:space="preserve"> </w:t>
      </w:r>
    </w:p>
    <w:p w14:paraId="7CB9E219" w14:textId="77777777" w:rsidR="00640805" w:rsidRPr="007F7EBF" w:rsidRDefault="00640805" w:rsidP="00640805">
      <w:pPr>
        <w:pStyle w:val="tit23"/>
        <w:ind w:left="6464" w:right="-1361" w:firstLine="0"/>
        <w:jc w:val="left"/>
        <w:rPr>
          <w:bCs/>
          <w:i/>
          <w:iCs/>
          <w:color w:val="0000FF"/>
          <w:lang w:val="it-IT"/>
        </w:rPr>
      </w:pPr>
      <w:r w:rsidRPr="007F7EBF">
        <w:rPr>
          <w:bCs/>
          <w:i/>
          <w:iCs/>
          <w:color w:val="0000FF"/>
          <w:lang w:val="it-IT"/>
        </w:rPr>
        <w:t xml:space="preserve">Il diversivo di utilizzarle per le rettifiche </w:t>
      </w:r>
    </w:p>
    <w:p w14:paraId="4246F32F" w14:textId="77B46E71" w:rsidR="0066340F" w:rsidRPr="007F7EBF" w:rsidRDefault="00640805" w:rsidP="0066340F">
      <w:pPr>
        <w:autoSpaceDE w:val="0"/>
        <w:autoSpaceDN w:val="0"/>
        <w:adjustRightInd w:val="0"/>
        <w:rPr>
          <w:bCs/>
          <w:i/>
          <w:iCs/>
          <w:color w:val="0000FF"/>
          <w:sz w:val="22"/>
          <w:szCs w:val="22"/>
        </w:rPr>
      </w:pPr>
      <w:r>
        <w:rPr>
          <w:sz w:val="22"/>
          <w:szCs w:val="22"/>
        </w:rPr>
        <w:t xml:space="preserve">Per decenni </w:t>
      </w:r>
      <w:r w:rsidRPr="007F7EBF">
        <w:rPr>
          <w:sz w:val="22"/>
          <w:szCs w:val="22"/>
        </w:rPr>
        <w:t xml:space="preserve">le valutazioni di bilancio </w:t>
      </w:r>
      <w:r>
        <w:rPr>
          <w:sz w:val="22"/>
          <w:szCs w:val="22"/>
        </w:rPr>
        <w:t>sono state una delle più utilizzate  contestazioni interpretative sul dichiarato (par.3.10, 5.18 ss.), anche per una certa tendenza aziendale a utilizzarle per differire l’emersione degli imponibili con valutazioni talvolta</w:t>
      </w:r>
      <w:r w:rsidRPr="007F7EBF">
        <w:rPr>
          <w:sz w:val="22"/>
          <w:szCs w:val="22"/>
        </w:rPr>
        <w:t xml:space="preserve"> </w:t>
      </w:r>
      <w:r>
        <w:rPr>
          <w:sz w:val="22"/>
          <w:szCs w:val="22"/>
        </w:rPr>
        <w:t xml:space="preserve">troppo </w:t>
      </w:r>
      <w:r w:rsidRPr="007F7EBF">
        <w:rPr>
          <w:sz w:val="22"/>
          <w:szCs w:val="22"/>
        </w:rPr>
        <w:t>prudenzial</w:t>
      </w:r>
      <w:r>
        <w:rPr>
          <w:sz w:val="22"/>
          <w:szCs w:val="22"/>
        </w:rPr>
        <w:t>i.</w:t>
      </w:r>
      <w:r w:rsidR="002B7757">
        <w:rPr>
          <w:sz w:val="22"/>
          <w:szCs w:val="22"/>
        </w:rPr>
        <w:t xml:space="preserve"> </w:t>
      </w:r>
      <w:r>
        <w:rPr>
          <w:sz w:val="22"/>
          <w:szCs w:val="22"/>
        </w:rPr>
        <w:t>N</w:t>
      </w:r>
      <w:r w:rsidRPr="007F7EBF">
        <w:rPr>
          <w:sz w:val="22"/>
          <w:szCs w:val="22"/>
        </w:rPr>
        <w:t xml:space="preserve">on solo </w:t>
      </w:r>
      <w:r>
        <w:rPr>
          <w:sz w:val="22"/>
          <w:szCs w:val="22"/>
        </w:rPr>
        <w:t xml:space="preserve">si tratta </w:t>
      </w:r>
      <w:r w:rsidRPr="007F7EBF">
        <w:rPr>
          <w:sz w:val="22"/>
          <w:szCs w:val="22"/>
        </w:rPr>
        <w:t>di contestazioni interpretative</w:t>
      </w:r>
      <w:r>
        <w:rPr>
          <w:sz w:val="22"/>
          <w:szCs w:val="22"/>
        </w:rPr>
        <w:t xml:space="preserve"> (</w:t>
      </w:r>
      <w:r w:rsidRPr="007F7EBF">
        <w:rPr>
          <w:rStyle w:val="Rimandonotaapidipagina"/>
          <w:sz w:val="22"/>
          <w:szCs w:val="22"/>
        </w:rPr>
        <w:footnoteReference w:id="1161"/>
      </w:r>
      <w:r>
        <w:rPr>
          <w:sz w:val="22"/>
          <w:szCs w:val="22"/>
        </w:rPr>
        <w:t xml:space="preserve">), </w:t>
      </w:r>
      <w:r w:rsidRPr="007F7EBF">
        <w:rPr>
          <w:sz w:val="22"/>
          <w:szCs w:val="22"/>
        </w:rPr>
        <w:t xml:space="preserve">ma </w:t>
      </w:r>
      <w:r>
        <w:rPr>
          <w:sz w:val="22"/>
          <w:szCs w:val="22"/>
        </w:rPr>
        <w:t xml:space="preserve">anche </w:t>
      </w:r>
      <w:r w:rsidRPr="007F7EBF">
        <w:rPr>
          <w:sz w:val="22"/>
          <w:szCs w:val="22"/>
        </w:rPr>
        <w:t xml:space="preserve">destinate a riassorbirsi nel tempo, </w:t>
      </w:r>
      <w:r>
        <w:rPr>
          <w:sz w:val="22"/>
          <w:szCs w:val="22"/>
        </w:rPr>
        <w:t>perché inci</w:t>
      </w:r>
      <w:r w:rsidRPr="007F7EBF">
        <w:rPr>
          <w:sz w:val="22"/>
          <w:szCs w:val="22"/>
        </w:rPr>
        <w:t xml:space="preserve">dono infatti solo sul momento impositivo di elementi </w:t>
      </w:r>
      <w:r w:rsidRPr="007F7EBF">
        <w:rPr>
          <w:sz w:val="22"/>
          <w:szCs w:val="22"/>
        </w:rPr>
        <w:lastRenderedPageBreak/>
        <w:t xml:space="preserve">reddituali che prima o poi emergeranno </w:t>
      </w:r>
      <w:r>
        <w:rPr>
          <w:sz w:val="22"/>
          <w:szCs w:val="22"/>
        </w:rPr>
        <w:t>(</w:t>
      </w:r>
      <w:r w:rsidRPr="007F7EBF">
        <w:rPr>
          <w:rStyle w:val="Rimandonotaapidipagina"/>
          <w:sz w:val="22"/>
          <w:szCs w:val="22"/>
        </w:rPr>
        <w:footnoteReference w:id="1162"/>
      </w:r>
      <w:r>
        <w:rPr>
          <w:sz w:val="22"/>
          <w:szCs w:val="22"/>
        </w:rPr>
        <w:t>)</w:t>
      </w:r>
      <w:r w:rsidRPr="007F7EBF">
        <w:rPr>
          <w:sz w:val="22"/>
          <w:szCs w:val="22"/>
        </w:rPr>
        <w:t>, anticipando</w:t>
      </w:r>
      <w:r>
        <w:rPr>
          <w:sz w:val="22"/>
          <w:szCs w:val="22"/>
        </w:rPr>
        <w:t>ne</w:t>
      </w:r>
      <w:r w:rsidRPr="007F7EBF">
        <w:rPr>
          <w:sz w:val="22"/>
          <w:szCs w:val="22"/>
        </w:rPr>
        <w:t xml:space="preserve"> o differendo</w:t>
      </w:r>
      <w:r>
        <w:rPr>
          <w:sz w:val="22"/>
          <w:szCs w:val="22"/>
        </w:rPr>
        <w:t xml:space="preserve">ne la collocazione </w:t>
      </w:r>
      <w:r w:rsidRPr="007F7EBF">
        <w:rPr>
          <w:sz w:val="22"/>
          <w:szCs w:val="22"/>
        </w:rPr>
        <w:t>tra un periodo di imposta e l'altro</w:t>
      </w:r>
      <w:r>
        <w:rPr>
          <w:sz w:val="22"/>
          <w:szCs w:val="22"/>
        </w:rPr>
        <w:t xml:space="preserve">. </w:t>
      </w:r>
    </w:p>
    <w:p w14:paraId="36EC2A7E" w14:textId="34264E8E" w:rsidR="0066340F" w:rsidRPr="007F7EBF" w:rsidRDefault="0066340F" w:rsidP="0066340F">
      <w:pPr>
        <w:pStyle w:val="tit23"/>
        <w:ind w:left="6464" w:right="-1361" w:firstLine="0"/>
        <w:jc w:val="left"/>
        <w:rPr>
          <w:bCs/>
          <w:i/>
          <w:iCs/>
          <w:color w:val="0000FF"/>
          <w:lang w:val="it-IT"/>
        </w:rPr>
      </w:pPr>
      <w:r w:rsidRPr="007F7EBF">
        <w:rPr>
          <w:bCs/>
          <w:i/>
          <w:iCs/>
          <w:color w:val="0000FF"/>
          <w:lang w:val="it-IT"/>
        </w:rPr>
        <w:t>Il rinvio parziale a</w:t>
      </w:r>
      <w:r w:rsidR="0077444B">
        <w:rPr>
          <w:bCs/>
          <w:i/>
          <w:iCs/>
          <w:color w:val="0000FF"/>
          <w:lang w:val="it-IT"/>
        </w:rPr>
        <w:t>lle</w:t>
      </w:r>
      <w:r w:rsidRPr="007F7EBF">
        <w:rPr>
          <w:bCs/>
          <w:i/>
          <w:iCs/>
          <w:color w:val="0000FF"/>
          <w:lang w:val="it-IT"/>
        </w:rPr>
        <w:t xml:space="preserve"> </w:t>
      </w:r>
      <w:r w:rsidR="0077444B">
        <w:rPr>
          <w:bCs/>
          <w:i/>
          <w:iCs/>
          <w:color w:val="0000FF"/>
          <w:lang w:val="it-IT"/>
        </w:rPr>
        <w:t>valutazioni</w:t>
      </w:r>
      <w:r w:rsidRPr="007F7EBF">
        <w:rPr>
          <w:bCs/>
          <w:i/>
          <w:iCs/>
          <w:color w:val="0000FF"/>
          <w:lang w:val="it-IT"/>
        </w:rPr>
        <w:t xml:space="preserve"> civilistic</w:t>
      </w:r>
      <w:r w:rsidR="0077444B">
        <w:rPr>
          <w:bCs/>
          <w:i/>
          <w:iCs/>
          <w:color w:val="0000FF"/>
          <w:lang w:val="it-IT"/>
        </w:rPr>
        <w:t>he</w:t>
      </w:r>
    </w:p>
    <w:p w14:paraId="5B897710" w14:textId="4D5977D3" w:rsidR="00E732CC" w:rsidRDefault="00B21FA6" w:rsidP="00640805">
      <w:pPr>
        <w:autoSpaceDE w:val="0"/>
        <w:autoSpaceDN w:val="0"/>
        <w:adjustRightInd w:val="0"/>
        <w:rPr>
          <w:sz w:val="22"/>
          <w:szCs w:val="22"/>
        </w:rPr>
      </w:pPr>
      <w:r w:rsidRPr="007F7EBF">
        <w:rPr>
          <w:sz w:val="22"/>
          <w:szCs w:val="22"/>
        </w:rPr>
        <w:t>Da</w:t>
      </w:r>
      <w:r w:rsidR="0084407A">
        <w:rPr>
          <w:sz w:val="22"/>
          <w:szCs w:val="22"/>
        </w:rPr>
        <w:t xml:space="preserve"> alcuni anni </w:t>
      </w:r>
      <w:r w:rsidR="007C7415">
        <w:rPr>
          <w:sz w:val="22"/>
          <w:szCs w:val="22"/>
        </w:rPr>
        <w:t>il</w:t>
      </w:r>
      <w:r w:rsidRPr="007F7EBF">
        <w:rPr>
          <w:sz w:val="22"/>
          <w:szCs w:val="22"/>
        </w:rPr>
        <w:t xml:space="preserve"> </w:t>
      </w:r>
      <w:r w:rsidR="007C7415">
        <w:rPr>
          <w:sz w:val="22"/>
          <w:szCs w:val="22"/>
        </w:rPr>
        <w:t>diritto</w:t>
      </w:r>
      <w:r w:rsidRPr="007F7EBF">
        <w:rPr>
          <w:sz w:val="22"/>
          <w:szCs w:val="22"/>
        </w:rPr>
        <w:t xml:space="preserve"> </w:t>
      </w:r>
      <w:r w:rsidR="0084407A">
        <w:rPr>
          <w:sz w:val="22"/>
          <w:szCs w:val="22"/>
        </w:rPr>
        <w:t xml:space="preserve">tributario </w:t>
      </w:r>
      <w:r w:rsidR="007C7415">
        <w:rPr>
          <w:sz w:val="22"/>
          <w:szCs w:val="22"/>
        </w:rPr>
        <w:t xml:space="preserve">rinvia sempre più </w:t>
      </w:r>
      <w:r w:rsidRPr="007F7EBF">
        <w:rPr>
          <w:sz w:val="22"/>
          <w:szCs w:val="22"/>
        </w:rPr>
        <w:t>ai criteri civilistici</w:t>
      </w:r>
      <w:r w:rsidR="007C7415">
        <w:rPr>
          <w:sz w:val="22"/>
          <w:szCs w:val="22"/>
        </w:rPr>
        <w:t xml:space="preserve"> e ai principi contabili sulle valutazioni di bilancio</w:t>
      </w:r>
      <w:r w:rsidR="00640805">
        <w:rPr>
          <w:sz w:val="22"/>
          <w:szCs w:val="22"/>
        </w:rPr>
        <w:t xml:space="preserve">, </w:t>
      </w:r>
      <w:r w:rsidR="007C7415">
        <w:rPr>
          <w:sz w:val="22"/>
          <w:szCs w:val="22"/>
        </w:rPr>
        <w:t xml:space="preserve">Dopo un avvio riservato alle grandi aziende che utilizzavano i principi contabili internazionali (c.d. IAS), oggi per tutte le società, salvo quelle “minori”,  </w:t>
      </w:r>
      <w:r w:rsidR="007C7415" w:rsidRPr="007F7EBF">
        <w:rPr>
          <w:sz w:val="22"/>
          <w:szCs w:val="22"/>
        </w:rPr>
        <w:t>la qualificazione delle operazioni,</w:t>
      </w:r>
      <w:r w:rsidR="00640805">
        <w:rPr>
          <w:sz w:val="22"/>
          <w:szCs w:val="22"/>
        </w:rPr>
        <w:t xml:space="preserve"> </w:t>
      </w:r>
      <w:r w:rsidR="007C7415" w:rsidRPr="007F7EBF">
        <w:rPr>
          <w:sz w:val="22"/>
          <w:szCs w:val="22"/>
        </w:rPr>
        <w:t>la loro imputazione temporale e classificazione in bilancio</w:t>
      </w:r>
      <w:r w:rsidR="007C7415">
        <w:rPr>
          <w:sz w:val="22"/>
          <w:szCs w:val="22"/>
        </w:rPr>
        <w:t xml:space="preserve"> seguono anche </w:t>
      </w:r>
      <w:proofErr w:type="spellStart"/>
      <w:r w:rsidR="007C7415">
        <w:rPr>
          <w:sz w:val="22"/>
          <w:szCs w:val="22"/>
        </w:rPr>
        <w:t>tributariamente</w:t>
      </w:r>
      <w:proofErr w:type="spellEnd"/>
      <w:r w:rsidR="007C7415">
        <w:rPr>
          <w:sz w:val="22"/>
          <w:szCs w:val="22"/>
        </w:rPr>
        <w:t xml:space="preserve"> i principi contabili</w:t>
      </w:r>
      <w:r w:rsidR="00E732CC">
        <w:rPr>
          <w:sz w:val="22"/>
          <w:szCs w:val="22"/>
        </w:rPr>
        <w:t>(</w:t>
      </w:r>
      <w:r w:rsidR="007C7415" w:rsidRPr="007F7EBF">
        <w:rPr>
          <w:rStyle w:val="Rimandonotaapidipagina"/>
          <w:sz w:val="22"/>
          <w:szCs w:val="22"/>
        </w:rPr>
        <w:footnoteReference w:id="1163"/>
      </w:r>
      <w:r w:rsidR="00E732CC">
        <w:rPr>
          <w:sz w:val="22"/>
          <w:szCs w:val="22"/>
        </w:rPr>
        <w:t xml:space="preserve">). Sarà quindi in base ai principi contabili che bisognerà inserire nella contabilità, ordinariamente basata sui flussi documentali (par.7.8 e 7.11) anche le operazioni avvenute nell’anno, ma per le quali i documenti saranno emessi, secondo la consueta tempistica, con data successiva. </w:t>
      </w:r>
    </w:p>
    <w:p w14:paraId="1880CA96" w14:textId="092E8F4C" w:rsidR="00E732CC" w:rsidRDefault="00E732CC" w:rsidP="00640805">
      <w:pPr>
        <w:autoSpaceDE w:val="0"/>
        <w:autoSpaceDN w:val="0"/>
        <w:adjustRightInd w:val="0"/>
        <w:rPr>
          <w:sz w:val="22"/>
          <w:szCs w:val="22"/>
        </w:rPr>
      </w:pPr>
      <w:r>
        <w:rPr>
          <w:sz w:val="22"/>
          <w:szCs w:val="22"/>
        </w:rPr>
        <w:t xml:space="preserve">Il rinvio ai principi contabili non opera per </w:t>
      </w:r>
      <w:r w:rsidR="007C7415" w:rsidRPr="007F7EBF">
        <w:rPr>
          <w:sz w:val="22"/>
          <w:szCs w:val="22"/>
        </w:rPr>
        <w:t>la c.d. competenza “interna”</w:t>
      </w:r>
      <w:r>
        <w:rPr>
          <w:sz w:val="22"/>
          <w:szCs w:val="22"/>
        </w:rPr>
        <w:t>(par.7.12)</w:t>
      </w:r>
      <w:r w:rsidR="007C7415" w:rsidRPr="007F7EBF">
        <w:rPr>
          <w:sz w:val="22"/>
          <w:szCs w:val="22"/>
        </w:rPr>
        <w:t>, cioè soprattutto ammortamenti, accantonamenti e rimanenze</w:t>
      </w:r>
      <w:r w:rsidR="007C7415">
        <w:rPr>
          <w:sz w:val="22"/>
          <w:szCs w:val="22"/>
        </w:rPr>
        <w:t xml:space="preserve">, tutte valutazioni da effettuare </w:t>
      </w:r>
      <w:r w:rsidR="007C7415" w:rsidRPr="007F7EBF">
        <w:rPr>
          <w:sz w:val="22"/>
          <w:szCs w:val="22"/>
        </w:rPr>
        <w:t xml:space="preserve">in base ai criteri tributari, </w:t>
      </w:r>
      <w:r w:rsidR="00AF791A">
        <w:rPr>
          <w:sz w:val="22"/>
          <w:szCs w:val="22"/>
        </w:rPr>
        <w:t xml:space="preserve">ancora fortemente basati sul costo, inteso come </w:t>
      </w:r>
      <w:r w:rsidR="00AF791A">
        <w:rPr>
          <w:i/>
          <w:iCs/>
          <w:sz w:val="22"/>
          <w:szCs w:val="22"/>
        </w:rPr>
        <w:t xml:space="preserve">valore fiscalmente riconosciuto </w:t>
      </w:r>
      <w:r w:rsidR="00AF791A">
        <w:rPr>
          <w:sz w:val="22"/>
          <w:szCs w:val="22"/>
        </w:rPr>
        <w:t>nei termini di cui al par.</w:t>
      </w:r>
      <w:r w:rsidR="008F3C3D">
        <w:rPr>
          <w:sz w:val="22"/>
          <w:szCs w:val="22"/>
        </w:rPr>
        <w:t xml:space="preserve"> 7.13. I principi contabili sono invece maggiormente ispirati a una logica valutativa, tipica del capitalismo finanziario successivo alla caduta del comunismo, più attento alle quotazioni borsistiche che all’azienda come istituzione e gruppo sociale </w:t>
      </w:r>
      <w:r w:rsidR="008F3C3D">
        <w:rPr>
          <w:rStyle w:val="Rimandonotaapidipagina"/>
          <w:sz w:val="22"/>
          <w:szCs w:val="22"/>
        </w:rPr>
        <w:footnoteReference w:id="1164"/>
      </w:r>
      <w:r w:rsidR="008F3C3D">
        <w:rPr>
          <w:sz w:val="22"/>
          <w:szCs w:val="22"/>
        </w:rPr>
        <w:t xml:space="preserve">. </w:t>
      </w:r>
    </w:p>
    <w:p w14:paraId="04960CEF" w14:textId="10E03709" w:rsidR="00C357D5" w:rsidRPr="007F7EBF" w:rsidRDefault="00C357D5" w:rsidP="00C357D5">
      <w:pPr>
        <w:pStyle w:val="tit23"/>
        <w:ind w:left="6464" w:right="-1361" w:firstLine="0"/>
        <w:jc w:val="left"/>
        <w:rPr>
          <w:bCs/>
          <w:i/>
          <w:iCs/>
          <w:color w:val="0000FF"/>
          <w:lang w:val="it-IT"/>
        </w:rPr>
      </w:pPr>
      <w:r>
        <w:rPr>
          <w:bCs/>
          <w:i/>
          <w:iCs/>
          <w:color w:val="0000FF"/>
          <w:lang w:val="it-IT"/>
        </w:rPr>
        <w:lastRenderedPageBreak/>
        <w:t>Verso una sdrammatizzazione</w:t>
      </w:r>
    </w:p>
    <w:p w14:paraId="7E57F7EF" w14:textId="77777777" w:rsidR="00E732CC" w:rsidRPr="007F7EBF" w:rsidRDefault="00E732CC" w:rsidP="00E732CC">
      <w:pPr>
        <w:autoSpaceDE w:val="0"/>
        <w:autoSpaceDN w:val="0"/>
        <w:adjustRightInd w:val="0"/>
        <w:rPr>
          <w:sz w:val="22"/>
          <w:szCs w:val="22"/>
        </w:rPr>
      </w:pPr>
      <w:r>
        <w:rPr>
          <w:sz w:val="22"/>
          <w:szCs w:val="22"/>
        </w:rPr>
        <w:t xml:space="preserve">Questo </w:t>
      </w:r>
      <w:r w:rsidRPr="007F7EBF">
        <w:rPr>
          <w:sz w:val="22"/>
          <w:szCs w:val="22"/>
        </w:rPr>
        <w:t>rinvio ai criteri civilistici</w:t>
      </w:r>
      <w:r>
        <w:rPr>
          <w:sz w:val="22"/>
          <w:szCs w:val="22"/>
        </w:rPr>
        <w:t xml:space="preserve"> </w:t>
      </w:r>
      <w:r w:rsidRPr="007F7EBF">
        <w:rPr>
          <w:sz w:val="22"/>
          <w:szCs w:val="22"/>
        </w:rPr>
        <w:t>super</w:t>
      </w:r>
      <w:r>
        <w:rPr>
          <w:sz w:val="22"/>
          <w:szCs w:val="22"/>
        </w:rPr>
        <w:t>a</w:t>
      </w:r>
      <w:r w:rsidRPr="007F7EBF">
        <w:rPr>
          <w:sz w:val="22"/>
          <w:szCs w:val="22"/>
        </w:rPr>
        <w:t xml:space="preserve"> l’imbarazzo delle società che</w:t>
      </w:r>
      <w:r>
        <w:rPr>
          <w:sz w:val="22"/>
          <w:szCs w:val="22"/>
        </w:rPr>
        <w:t>, ne</w:t>
      </w:r>
      <w:r w:rsidRPr="007F7EBF">
        <w:rPr>
          <w:sz w:val="22"/>
          <w:szCs w:val="22"/>
        </w:rPr>
        <w:t>ll</w:t>
      </w:r>
      <w:r>
        <w:rPr>
          <w:sz w:val="22"/>
          <w:szCs w:val="22"/>
        </w:rPr>
        <w:t>a</w:t>
      </w:r>
      <w:r w:rsidRPr="007F7EBF">
        <w:rPr>
          <w:sz w:val="22"/>
          <w:szCs w:val="22"/>
        </w:rPr>
        <w:t xml:space="preserve"> diversità di criteri valutativi</w:t>
      </w:r>
      <w:r>
        <w:rPr>
          <w:sz w:val="22"/>
          <w:szCs w:val="22"/>
        </w:rPr>
        <w:t>, cercavano di avere al tempo stesso u</w:t>
      </w:r>
      <w:r w:rsidRPr="007F7EBF">
        <w:rPr>
          <w:sz w:val="22"/>
          <w:szCs w:val="22"/>
        </w:rPr>
        <w:t>n bilancio “florido” e un imponibile fiscale modesto</w:t>
      </w:r>
      <w:r>
        <w:rPr>
          <w:sz w:val="22"/>
          <w:szCs w:val="22"/>
        </w:rPr>
        <w:t xml:space="preserve"> (</w:t>
      </w:r>
      <w:r w:rsidRPr="007F7EBF">
        <w:rPr>
          <w:rStyle w:val="Rimandonotaapidipagina"/>
          <w:sz w:val="22"/>
          <w:szCs w:val="22"/>
        </w:rPr>
        <w:footnoteReference w:id="1165"/>
      </w:r>
      <w:r>
        <w:rPr>
          <w:sz w:val="22"/>
          <w:szCs w:val="22"/>
        </w:rPr>
        <w:t>)</w:t>
      </w:r>
      <w:r w:rsidRPr="007F7EBF">
        <w:rPr>
          <w:sz w:val="22"/>
          <w:szCs w:val="22"/>
        </w:rPr>
        <w:t xml:space="preserve">. </w:t>
      </w:r>
      <w:r>
        <w:rPr>
          <w:sz w:val="22"/>
          <w:szCs w:val="22"/>
        </w:rPr>
        <w:t>Si sta</w:t>
      </w:r>
      <w:r w:rsidRPr="007F7EBF">
        <w:rPr>
          <w:sz w:val="22"/>
          <w:szCs w:val="22"/>
        </w:rPr>
        <w:t xml:space="preserve"> comprendendo la natura sostanzialmente "formale" d</w:t>
      </w:r>
      <w:r>
        <w:rPr>
          <w:sz w:val="22"/>
          <w:szCs w:val="22"/>
        </w:rPr>
        <w:t xml:space="preserve">elle contestazioni interpretative sui criteri di imputazione a periodo, riguardanti solo una diversa collocazione nel tempo degli elementi reddituali, col rischio provocare </w:t>
      </w:r>
      <w:r w:rsidRPr="007F7EBF">
        <w:rPr>
          <w:sz w:val="22"/>
          <w:szCs w:val="22"/>
        </w:rPr>
        <w:t xml:space="preserve">doppie imposizioni </w:t>
      </w:r>
      <w:r w:rsidRPr="007F7EBF">
        <w:rPr>
          <w:rStyle w:val="Rimandonotaapidipagina"/>
          <w:sz w:val="22"/>
          <w:szCs w:val="22"/>
        </w:rPr>
        <w:footnoteReference w:id="1166"/>
      </w:r>
      <w:r w:rsidRPr="007F7EBF">
        <w:rPr>
          <w:sz w:val="22"/>
          <w:szCs w:val="22"/>
        </w:rPr>
        <w:t xml:space="preserve">. </w:t>
      </w:r>
    </w:p>
    <w:p w14:paraId="17AFFDE7" w14:textId="797E475A" w:rsidR="00FB0750" w:rsidRPr="007F7EBF" w:rsidRDefault="00A217E8" w:rsidP="00CF431A">
      <w:pPr>
        <w:autoSpaceDE w:val="0"/>
        <w:autoSpaceDN w:val="0"/>
        <w:adjustRightInd w:val="0"/>
        <w:rPr>
          <w:sz w:val="22"/>
          <w:szCs w:val="22"/>
        </w:rPr>
      </w:pPr>
      <w:r>
        <w:rPr>
          <w:sz w:val="22"/>
          <w:szCs w:val="22"/>
        </w:rPr>
        <w:t xml:space="preserve">Oggi </w:t>
      </w:r>
      <w:r w:rsidR="00543170">
        <w:rPr>
          <w:sz w:val="22"/>
          <w:szCs w:val="22"/>
        </w:rPr>
        <w:t>questi rilievi</w:t>
      </w:r>
      <w:r>
        <w:rPr>
          <w:sz w:val="22"/>
          <w:szCs w:val="22"/>
        </w:rPr>
        <w:t xml:space="preserve"> si sdrammatizzando e </w:t>
      </w:r>
      <w:r w:rsidR="00543170">
        <w:rPr>
          <w:sz w:val="22"/>
          <w:szCs w:val="22"/>
        </w:rPr>
        <w:t>stanno diminuendo di numero</w:t>
      </w:r>
      <w:r w:rsidR="00640805">
        <w:rPr>
          <w:sz w:val="22"/>
          <w:szCs w:val="22"/>
        </w:rPr>
        <w:t>,</w:t>
      </w:r>
      <w:r w:rsidR="00640805" w:rsidRPr="00640805">
        <w:rPr>
          <w:sz w:val="22"/>
          <w:szCs w:val="22"/>
        </w:rPr>
        <w:t xml:space="preserve"> </w:t>
      </w:r>
      <w:r w:rsidR="00640805">
        <w:rPr>
          <w:sz w:val="22"/>
          <w:szCs w:val="22"/>
        </w:rPr>
        <w:t>anche perché ci si sta rendendo conto della loro diversità dalle manipolazioni dei conti di cui al par.3.7, che poi si riflettono sul bilancio</w:t>
      </w:r>
      <w:r w:rsidR="0034763E">
        <w:rPr>
          <w:sz w:val="22"/>
          <w:szCs w:val="22"/>
        </w:rPr>
        <w:t xml:space="preserve">; </w:t>
      </w:r>
      <w:r>
        <w:rPr>
          <w:sz w:val="22"/>
          <w:szCs w:val="22"/>
        </w:rPr>
        <w:t xml:space="preserve">non risulta </w:t>
      </w:r>
      <w:r w:rsidR="00640805">
        <w:rPr>
          <w:sz w:val="22"/>
          <w:szCs w:val="22"/>
        </w:rPr>
        <w:t xml:space="preserve">inoltre </w:t>
      </w:r>
      <w:r w:rsidR="00E6385A">
        <w:rPr>
          <w:sz w:val="22"/>
          <w:szCs w:val="22"/>
        </w:rPr>
        <w:t xml:space="preserve"> </w:t>
      </w:r>
      <w:r>
        <w:rPr>
          <w:sz w:val="22"/>
          <w:szCs w:val="22"/>
        </w:rPr>
        <w:t xml:space="preserve"> che gli uffici tributari stiano reinterpretando i principi contabili in chiave tributaria, per formulare contestazioni, come pure si era temuto.  </w:t>
      </w:r>
    </w:p>
    <w:p w14:paraId="55AC44BC" w14:textId="77777777" w:rsidR="0095690E" w:rsidRPr="007F7EBF" w:rsidRDefault="00785A39" w:rsidP="00A10507">
      <w:pPr>
        <w:pStyle w:val="Titolo3"/>
        <w:rPr>
          <w:rFonts w:ascii="Times New Roman" w:hAnsi="Times New Roman"/>
          <w:sz w:val="22"/>
          <w:szCs w:val="22"/>
        </w:rPr>
      </w:pPr>
      <w:bookmarkStart w:id="113" w:name="_Toc63365024"/>
      <w:r w:rsidRPr="007F7EBF">
        <w:rPr>
          <w:rFonts w:ascii="Times New Roman" w:hAnsi="Times New Roman"/>
          <w:sz w:val="22"/>
          <w:szCs w:val="22"/>
        </w:rPr>
        <w:t>7.15. Le valutazioni del</w:t>
      </w:r>
      <w:r w:rsidR="006342C5" w:rsidRPr="007F7EBF">
        <w:rPr>
          <w:rFonts w:ascii="Times New Roman" w:hAnsi="Times New Roman"/>
          <w:sz w:val="22"/>
          <w:szCs w:val="22"/>
        </w:rPr>
        <w:t xml:space="preserve"> patrimonio </w:t>
      </w:r>
      <w:r w:rsidRPr="007F7EBF">
        <w:rPr>
          <w:rFonts w:ascii="Times New Roman" w:hAnsi="Times New Roman"/>
          <w:sz w:val="22"/>
          <w:szCs w:val="22"/>
        </w:rPr>
        <w:t>a</w:t>
      </w:r>
      <w:r w:rsidR="006342C5" w:rsidRPr="007F7EBF">
        <w:rPr>
          <w:rFonts w:ascii="Times New Roman" w:hAnsi="Times New Roman"/>
          <w:sz w:val="22"/>
          <w:szCs w:val="22"/>
        </w:rPr>
        <w:t>i fin</w:t>
      </w:r>
      <w:r w:rsidRPr="007F7EBF">
        <w:rPr>
          <w:rFonts w:ascii="Times New Roman" w:hAnsi="Times New Roman"/>
          <w:sz w:val="22"/>
          <w:szCs w:val="22"/>
        </w:rPr>
        <w:t>i del bilanc</w:t>
      </w:r>
      <w:r w:rsidR="006342C5" w:rsidRPr="007F7EBF">
        <w:rPr>
          <w:rFonts w:ascii="Times New Roman" w:hAnsi="Times New Roman"/>
          <w:sz w:val="22"/>
          <w:szCs w:val="22"/>
        </w:rPr>
        <w:t>io 1) ammortamenti e</w:t>
      </w:r>
      <w:r w:rsidR="009F7854" w:rsidRPr="007F7EBF">
        <w:rPr>
          <w:rFonts w:ascii="Times New Roman" w:hAnsi="Times New Roman"/>
          <w:sz w:val="22"/>
          <w:szCs w:val="22"/>
        </w:rPr>
        <w:t xml:space="preserve"> </w:t>
      </w:r>
      <w:r w:rsidR="006342C5" w:rsidRPr="007F7EBF">
        <w:rPr>
          <w:rFonts w:ascii="Times New Roman" w:hAnsi="Times New Roman"/>
          <w:sz w:val="22"/>
          <w:szCs w:val="22"/>
        </w:rPr>
        <w:t>accantonamenti</w:t>
      </w:r>
      <w:bookmarkEnd w:id="113"/>
    </w:p>
    <w:p w14:paraId="4CD5B484" w14:textId="31F87212" w:rsidR="0095690E" w:rsidRPr="007F7EBF" w:rsidRDefault="0034763E" w:rsidP="0095690E">
      <w:pPr>
        <w:pStyle w:val="tit23"/>
        <w:ind w:left="6464" w:right="-1361" w:firstLine="0"/>
        <w:jc w:val="left"/>
        <w:rPr>
          <w:bCs/>
          <w:i/>
          <w:iCs/>
          <w:color w:val="0000FF"/>
          <w:lang w:val="it-IT"/>
        </w:rPr>
      </w:pPr>
      <w:r>
        <w:rPr>
          <w:bCs/>
          <w:i/>
          <w:iCs/>
          <w:color w:val="0000FF"/>
          <w:lang w:val="it-IT"/>
        </w:rPr>
        <w:t>Ammortamento e “competenza interna”</w:t>
      </w:r>
    </w:p>
    <w:p w14:paraId="348B838E" w14:textId="19727C24" w:rsidR="0095690E" w:rsidRPr="007F7EBF" w:rsidRDefault="0034763E" w:rsidP="0034763E">
      <w:pPr>
        <w:autoSpaceDE w:val="0"/>
        <w:autoSpaceDN w:val="0"/>
        <w:adjustRightInd w:val="0"/>
        <w:rPr>
          <w:bCs/>
          <w:i/>
          <w:iCs/>
          <w:color w:val="0000FF"/>
        </w:rPr>
      </w:pPr>
      <w:r>
        <w:rPr>
          <w:sz w:val="22"/>
          <w:szCs w:val="22"/>
        </w:rPr>
        <w:t>Gli ammortamenti di impianti, macchinari, etc., sono uno dei più classici esempi di “competenza interna” (par.</w:t>
      </w:r>
      <w:r w:rsidR="00566FA1" w:rsidRPr="007F7EBF">
        <w:rPr>
          <w:sz w:val="22"/>
          <w:szCs w:val="22"/>
        </w:rPr>
        <w:t xml:space="preserve"> 7.11</w:t>
      </w:r>
      <w:r>
        <w:rPr>
          <w:sz w:val="22"/>
          <w:szCs w:val="22"/>
        </w:rPr>
        <w:t xml:space="preserve">) , dove elementi reddituali emergono per la “valutazione del patrimonio aziendale”; a differenza </w:t>
      </w:r>
      <w:r w:rsidR="006342C5" w:rsidRPr="007F7EBF">
        <w:rPr>
          <w:sz w:val="22"/>
          <w:szCs w:val="22"/>
        </w:rPr>
        <w:t>della “competenza esterna”, cioè dell’</w:t>
      </w:r>
      <w:r w:rsidR="006342C5" w:rsidRPr="007F7EBF">
        <w:rPr>
          <w:bCs/>
          <w:sz w:val="22"/>
          <w:szCs w:val="22"/>
        </w:rPr>
        <w:t>imputazione</w:t>
      </w:r>
      <w:r w:rsidR="00030E91" w:rsidRPr="007F7EBF">
        <w:rPr>
          <w:bCs/>
          <w:sz w:val="22"/>
          <w:szCs w:val="22"/>
        </w:rPr>
        <w:t xml:space="preserve"> </w:t>
      </w:r>
      <w:r w:rsidR="006342C5" w:rsidRPr="007F7EBF">
        <w:rPr>
          <w:bCs/>
          <w:sz w:val="22"/>
          <w:szCs w:val="22"/>
        </w:rPr>
        <w:t>a periodo di</w:t>
      </w:r>
      <w:r>
        <w:rPr>
          <w:bCs/>
          <w:sz w:val="22"/>
          <w:szCs w:val="22"/>
        </w:rPr>
        <w:t xml:space="preserve"> </w:t>
      </w:r>
      <w:r w:rsidR="006342C5" w:rsidRPr="007F7EBF">
        <w:rPr>
          <w:sz w:val="22"/>
          <w:szCs w:val="22"/>
        </w:rPr>
        <w:t>rapporti giuridici con terzi,</w:t>
      </w:r>
      <w:r w:rsidR="00030E91" w:rsidRPr="007F7EBF">
        <w:rPr>
          <w:sz w:val="22"/>
          <w:szCs w:val="22"/>
        </w:rPr>
        <w:t xml:space="preserve"> </w:t>
      </w:r>
      <w:r>
        <w:rPr>
          <w:sz w:val="22"/>
          <w:szCs w:val="22"/>
        </w:rPr>
        <w:t xml:space="preserve">l’ammortamento è un caso classico in cui si valutano </w:t>
      </w:r>
      <w:r>
        <w:rPr>
          <w:sz w:val="22"/>
          <w:szCs w:val="22"/>
        </w:rPr>
        <w:lastRenderedPageBreak/>
        <w:t>elementi ormai presenti nel patrimonio aziendale, in modo da ripartirne i</w:t>
      </w:r>
      <w:r w:rsidR="0095690E" w:rsidRPr="007F7EBF">
        <w:rPr>
          <w:sz w:val="22"/>
          <w:szCs w:val="22"/>
        </w:rPr>
        <w:t xml:space="preserve"> valori fiscalmente riconosciuti</w:t>
      </w:r>
      <w:r>
        <w:rPr>
          <w:sz w:val="22"/>
          <w:szCs w:val="22"/>
        </w:rPr>
        <w:t xml:space="preserve"> tra i periodi di imposta </w:t>
      </w:r>
      <w:r w:rsidR="00FB0750" w:rsidRPr="007F7EBF">
        <w:rPr>
          <w:sz w:val="22"/>
          <w:szCs w:val="22"/>
        </w:rPr>
        <w:t>(</w:t>
      </w:r>
      <w:r w:rsidR="00955376" w:rsidRPr="007F7EBF">
        <w:rPr>
          <w:rStyle w:val="Rimandonotaapidipagina"/>
          <w:sz w:val="22"/>
          <w:szCs w:val="22"/>
        </w:rPr>
        <w:footnoteReference w:id="1167"/>
      </w:r>
      <w:r w:rsidR="00FB0750" w:rsidRPr="007F7EBF">
        <w:rPr>
          <w:sz w:val="22"/>
          <w:szCs w:val="22"/>
        </w:rPr>
        <w:t xml:space="preserve">). </w:t>
      </w:r>
    </w:p>
    <w:p w14:paraId="0576419A" w14:textId="2549A689" w:rsidR="00B7133F" w:rsidRPr="007F7EBF" w:rsidRDefault="0095690E" w:rsidP="00B7133F">
      <w:pPr>
        <w:autoSpaceDE w:val="0"/>
        <w:autoSpaceDN w:val="0"/>
        <w:adjustRightInd w:val="0"/>
        <w:rPr>
          <w:sz w:val="22"/>
          <w:szCs w:val="22"/>
        </w:rPr>
      </w:pPr>
      <w:r w:rsidRPr="007F7EBF">
        <w:rPr>
          <w:sz w:val="22"/>
          <w:szCs w:val="22"/>
        </w:rPr>
        <w:t xml:space="preserve">Il costo dei beni patrimoniali “strumentali”, come gli impianti e i macchinari, aumentato dei costi accessori </w:t>
      </w:r>
      <w:r w:rsidR="00A61B71" w:rsidRPr="007F7EBF">
        <w:rPr>
          <w:sz w:val="22"/>
          <w:szCs w:val="22"/>
        </w:rPr>
        <w:t xml:space="preserve">e al netto dell'IVA </w:t>
      </w:r>
      <w:r w:rsidR="00955376" w:rsidRPr="007F7EBF">
        <w:rPr>
          <w:rStyle w:val="Rimandonotaapidipagina"/>
          <w:sz w:val="22"/>
          <w:szCs w:val="22"/>
        </w:rPr>
        <w:footnoteReference w:id="1168"/>
      </w:r>
      <w:r w:rsidR="00A61B71" w:rsidRPr="007F7EBF">
        <w:rPr>
          <w:sz w:val="22"/>
          <w:szCs w:val="22"/>
        </w:rPr>
        <w:t xml:space="preserve">, </w:t>
      </w:r>
      <w:r w:rsidRPr="007F7EBF">
        <w:rPr>
          <w:sz w:val="22"/>
          <w:szCs w:val="22"/>
        </w:rPr>
        <w:t>costit</w:t>
      </w:r>
      <w:r w:rsidR="00A61B71" w:rsidRPr="007F7EBF">
        <w:rPr>
          <w:sz w:val="22"/>
          <w:szCs w:val="22"/>
        </w:rPr>
        <w:t>uisce la "base ammortizzabile"</w:t>
      </w:r>
      <w:r w:rsidR="0034763E">
        <w:rPr>
          <w:sz w:val="22"/>
          <w:szCs w:val="22"/>
        </w:rPr>
        <w:t xml:space="preserve">, da </w:t>
      </w:r>
      <w:r w:rsidR="00031CEE" w:rsidRPr="007F7EBF">
        <w:rPr>
          <w:sz w:val="22"/>
          <w:szCs w:val="22"/>
        </w:rPr>
        <w:t>stabili</w:t>
      </w:r>
      <w:r w:rsidR="0034763E">
        <w:rPr>
          <w:sz w:val="22"/>
          <w:szCs w:val="22"/>
        </w:rPr>
        <w:t>re anche</w:t>
      </w:r>
      <w:r w:rsidR="00031CEE" w:rsidRPr="007F7EBF">
        <w:rPr>
          <w:sz w:val="22"/>
          <w:szCs w:val="22"/>
        </w:rPr>
        <w:t xml:space="preserve"> in relazione ai </w:t>
      </w:r>
      <w:r w:rsidR="00D64E09" w:rsidRPr="007F7EBF">
        <w:rPr>
          <w:sz w:val="22"/>
          <w:szCs w:val="22"/>
        </w:rPr>
        <w:t>principi contabili</w:t>
      </w:r>
      <w:r w:rsidR="00C75B81" w:rsidRPr="007F7EBF">
        <w:rPr>
          <w:sz w:val="22"/>
          <w:szCs w:val="22"/>
        </w:rPr>
        <w:t xml:space="preserve">, come </w:t>
      </w:r>
      <w:r w:rsidR="00C33A80" w:rsidRPr="007F7EBF">
        <w:rPr>
          <w:sz w:val="22"/>
          <w:szCs w:val="22"/>
        </w:rPr>
        <w:t>anticipato  sia al par.7.13 sul valore fiscalmente riconosciuto sia al par.7.14 sulla rilevanza di tali principi</w:t>
      </w:r>
      <w:r w:rsidR="00C75B81" w:rsidRPr="007F7EBF">
        <w:rPr>
          <w:sz w:val="22"/>
          <w:szCs w:val="22"/>
        </w:rPr>
        <w:t>.</w:t>
      </w:r>
    </w:p>
    <w:p w14:paraId="24BF616D" w14:textId="158698AF" w:rsidR="00B7133F" w:rsidRPr="007F7EBF" w:rsidRDefault="00B7133F" w:rsidP="00B7133F">
      <w:pPr>
        <w:pStyle w:val="tit23"/>
        <w:ind w:left="6464" w:right="-1361" w:firstLine="0"/>
        <w:jc w:val="left"/>
        <w:rPr>
          <w:bCs/>
          <w:i/>
          <w:iCs/>
          <w:color w:val="0000FF"/>
          <w:lang w:val="it-IT"/>
        </w:rPr>
      </w:pPr>
      <w:r w:rsidRPr="007F7EBF">
        <w:rPr>
          <w:bCs/>
          <w:i/>
          <w:iCs/>
          <w:color w:val="0000FF"/>
          <w:lang w:val="it-IT"/>
        </w:rPr>
        <w:t>Raggruppamento cespiti e “de</w:t>
      </w:r>
      <w:r w:rsidR="0034763E">
        <w:rPr>
          <w:bCs/>
          <w:i/>
          <w:iCs/>
          <w:color w:val="0000FF"/>
          <w:lang w:val="it-IT"/>
        </w:rPr>
        <w:t xml:space="preserve"> </w:t>
      </w:r>
      <w:proofErr w:type="spellStart"/>
      <w:r w:rsidRPr="007F7EBF">
        <w:rPr>
          <w:bCs/>
          <w:i/>
          <w:iCs/>
          <w:color w:val="0000FF"/>
          <w:lang w:val="it-IT"/>
        </w:rPr>
        <w:t>minimis</w:t>
      </w:r>
      <w:proofErr w:type="spellEnd"/>
      <w:r w:rsidRPr="007F7EBF">
        <w:rPr>
          <w:bCs/>
          <w:i/>
          <w:iCs/>
          <w:color w:val="0000FF"/>
          <w:lang w:val="it-IT"/>
        </w:rPr>
        <w:t xml:space="preserve">” </w:t>
      </w:r>
    </w:p>
    <w:p w14:paraId="5D095A14" w14:textId="36D25E9D" w:rsidR="00C33A80" w:rsidRPr="007F7EBF" w:rsidRDefault="00C75B81" w:rsidP="00D64E09">
      <w:pPr>
        <w:autoSpaceDE w:val="0"/>
        <w:autoSpaceDN w:val="0"/>
        <w:adjustRightInd w:val="0"/>
        <w:rPr>
          <w:sz w:val="22"/>
          <w:szCs w:val="22"/>
        </w:rPr>
      </w:pPr>
      <w:r w:rsidRPr="007F7EBF">
        <w:rPr>
          <w:sz w:val="22"/>
          <w:szCs w:val="22"/>
        </w:rPr>
        <w:t xml:space="preserve">I principi contabili, servendo a qualificare e a classificare gli acquisti, vanno utilizzati anche per </w:t>
      </w:r>
      <w:r w:rsidR="00D64E09" w:rsidRPr="007F7EBF">
        <w:rPr>
          <w:sz w:val="22"/>
          <w:szCs w:val="22"/>
        </w:rPr>
        <w:t>raggruppa</w:t>
      </w:r>
      <w:r w:rsidRPr="007F7EBF">
        <w:rPr>
          <w:sz w:val="22"/>
          <w:szCs w:val="22"/>
        </w:rPr>
        <w:t>re</w:t>
      </w:r>
      <w:r w:rsidR="00D64E09" w:rsidRPr="007F7EBF">
        <w:rPr>
          <w:sz w:val="22"/>
          <w:szCs w:val="22"/>
        </w:rPr>
        <w:t xml:space="preserve"> i beni ammortizzabili</w:t>
      </w:r>
      <w:r w:rsidRPr="007F7EBF">
        <w:rPr>
          <w:sz w:val="22"/>
          <w:szCs w:val="22"/>
        </w:rPr>
        <w:t xml:space="preserve">, decidendo ad esempio quali servizi (trasporto, </w:t>
      </w:r>
      <w:proofErr w:type="spellStart"/>
      <w:r w:rsidRPr="007F7EBF">
        <w:rPr>
          <w:sz w:val="22"/>
          <w:szCs w:val="22"/>
        </w:rPr>
        <w:t>installazione,etc</w:t>
      </w:r>
      <w:proofErr w:type="spellEnd"/>
      <w:r w:rsidRPr="007F7EBF">
        <w:rPr>
          <w:sz w:val="22"/>
          <w:szCs w:val="22"/>
        </w:rPr>
        <w:t>.) inserire nel costo, come “base ammortizzabile”</w:t>
      </w:r>
      <w:r w:rsidR="00C33A80" w:rsidRPr="007F7EBF">
        <w:rPr>
          <w:sz w:val="22"/>
          <w:szCs w:val="22"/>
        </w:rPr>
        <w:t>.</w:t>
      </w:r>
      <w:r w:rsidRPr="007F7EBF">
        <w:rPr>
          <w:sz w:val="22"/>
          <w:szCs w:val="22"/>
        </w:rPr>
        <w:t xml:space="preserve"> Anche l’individuazione dei  </w:t>
      </w:r>
      <w:r w:rsidR="00D64E09" w:rsidRPr="007F7EBF">
        <w:rPr>
          <w:sz w:val="22"/>
          <w:szCs w:val="22"/>
        </w:rPr>
        <w:t xml:space="preserve">beni strumentali “minimi” </w:t>
      </w:r>
      <w:r w:rsidR="0034763E">
        <w:rPr>
          <w:sz w:val="22"/>
          <w:szCs w:val="22"/>
        </w:rPr>
        <w:t>il</w:t>
      </w:r>
      <w:r w:rsidR="00D64E09" w:rsidRPr="007F7EBF">
        <w:rPr>
          <w:sz w:val="22"/>
          <w:szCs w:val="22"/>
        </w:rPr>
        <w:t xml:space="preserve"> cui</w:t>
      </w:r>
      <w:r w:rsidR="0034763E">
        <w:rPr>
          <w:sz w:val="22"/>
          <w:szCs w:val="22"/>
        </w:rPr>
        <w:t xml:space="preserve"> costo</w:t>
      </w:r>
      <w:r w:rsidR="00D64E09" w:rsidRPr="007F7EBF">
        <w:rPr>
          <w:sz w:val="22"/>
          <w:szCs w:val="22"/>
        </w:rPr>
        <w:t xml:space="preserve">, per esigenze di semplicità, </w:t>
      </w:r>
      <w:r w:rsidR="0034763E">
        <w:rPr>
          <w:sz w:val="22"/>
          <w:szCs w:val="22"/>
        </w:rPr>
        <w:t xml:space="preserve">è </w:t>
      </w:r>
      <w:r w:rsidR="00D64E09" w:rsidRPr="007F7EBF">
        <w:rPr>
          <w:sz w:val="22"/>
          <w:szCs w:val="22"/>
        </w:rPr>
        <w:t xml:space="preserve"> immediatamente</w:t>
      </w:r>
      <w:r w:rsidR="0034763E">
        <w:rPr>
          <w:sz w:val="22"/>
          <w:szCs w:val="22"/>
        </w:rPr>
        <w:t xml:space="preserve"> deducibile per intero</w:t>
      </w:r>
      <w:r w:rsidRPr="007F7EBF">
        <w:rPr>
          <w:sz w:val="22"/>
          <w:szCs w:val="22"/>
        </w:rPr>
        <w:t xml:space="preserve">, avviene attraverso i principi contabili. </w:t>
      </w:r>
      <w:r w:rsidR="00C33A80" w:rsidRPr="007F7EBF">
        <w:rPr>
          <w:sz w:val="22"/>
          <w:szCs w:val="22"/>
        </w:rPr>
        <w:t xml:space="preserve">Quest’ ultimi servono anche a qualificare il bene, stabilendo se sia un fabbricato, un impianto o un terreno, con rilevanze evidenti ai fini tributari </w:t>
      </w:r>
      <w:r w:rsidR="00D64E09" w:rsidRPr="007F7EBF">
        <w:rPr>
          <w:sz w:val="22"/>
          <w:szCs w:val="22"/>
        </w:rPr>
        <w:t xml:space="preserve"> </w:t>
      </w:r>
      <w:r w:rsidR="00D64E09" w:rsidRPr="007F7EBF">
        <w:rPr>
          <w:rStyle w:val="Rimandonotaapidipagina"/>
          <w:sz w:val="22"/>
          <w:szCs w:val="22"/>
        </w:rPr>
        <w:footnoteReference w:id="1169"/>
      </w:r>
      <w:r w:rsidR="00817C86">
        <w:rPr>
          <w:sz w:val="22"/>
          <w:szCs w:val="22"/>
        </w:rPr>
        <w:t xml:space="preserve">. </w:t>
      </w:r>
    </w:p>
    <w:p w14:paraId="4AD1960B" w14:textId="791B9FB4" w:rsidR="00B7133F" w:rsidRPr="007F7EBF" w:rsidRDefault="00C33A80" w:rsidP="00D64E09">
      <w:pPr>
        <w:autoSpaceDE w:val="0"/>
        <w:autoSpaceDN w:val="0"/>
        <w:adjustRightInd w:val="0"/>
        <w:rPr>
          <w:sz w:val="22"/>
          <w:szCs w:val="22"/>
        </w:rPr>
      </w:pPr>
      <w:r w:rsidRPr="007F7EBF">
        <w:rPr>
          <w:sz w:val="22"/>
          <w:szCs w:val="22"/>
        </w:rPr>
        <w:t>Alla base ammortizzabile, calcolata secondo i principi contabili,  saranno poi applicate le aliquote percentuali di ammortamento fiscale</w:t>
      </w:r>
      <w:r w:rsidR="00817C86">
        <w:rPr>
          <w:sz w:val="22"/>
          <w:szCs w:val="22"/>
        </w:rPr>
        <w:t xml:space="preserve">, </w:t>
      </w:r>
      <w:r w:rsidRPr="007F7EBF">
        <w:rPr>
          <w:sz w:val="22"/>
          <w:szCs w:val="22"/>
        </w:rPr>
        <w:t>stabilite con regolamento (par.2.1) per settore economico e tipo di bene</w:t>
      </w:r>
      <w:r w:rsidR="00817C86">
        <w:rPr>
          <w:sz w:val="22"/>
          <w:szCs w:val="22"/>
        </w:rPr>
        <w:t xml:space="preserve"> (</w:t>
      </w:r>
      <w:r w:rsidRPr="007F7EBF">
        <w:rPr>
          <w:rStyle w:val="Rimandonotaapidipagina"/>
          <w:sz w:val="22"/>
          <w:szCs w:val="22"/>
        </w:rPr>
        <w:footnoteReference w:id="1170"/>
      </w:r>
      <w:r w:rsidR="00817C86">
        <w:rPr>
          <w:sz w:val="22"/>
          <w:szCs w:val="22"/>
        </w:rPr>
        <w:t>)</w:t>
      </w:r>
      <w:r w:rsidRPr="007F7EBF">
        <w:rPr>
          <w:sz w:val="22"/>
          <w:szCs w:val="22"/>
        </w:rPr>
        <w:t>.</w:t>
      </w:r>
    </w:p>
    <w:p w14:paraId="65760999" w14:textId="77777777" w:rsidR="00B7133F" w:rsidRPr="007F7EBF" w:rsidRDefault="00B7133F" w:rsidP="00B7133F">
      <w:pPr>
        <w:pStyle w:val="tit23"/>
        <w:ind w:left="6464" w:right="-1361" w:firstLine="0"/>
        <w:jc w:val="left"/>
        <w:rPr>
          <w:bCs/>
          <w:i/>
          <w:iCs/>
          <w:color w:val="0000FF"/>
          <w:lang w:val="it-IT"/>
        </w:rPr>
      </w:pPr>
      <w:r w:rsidRPr="007F7EBF">
        <w:rPr>
          <w:bCs/>
          <w:i/>
          <w:iCs/>
          <w:color w:val="0000FF"/>
          <w:lang w:val="it-IT"/>
        </w:rPr>
        <w:lastRenderedPageBreak/>
        <w:t>beni immateriali e costi pluriennali</w:t>
      </w:r>
    </w:p>
    <w:p w14:paraId="7C5B181B" w14:textId="246A55D4" w:rsidR="006342C5" w:rsidRPr="007F7EBF" w:rsidRDefault="00CC598D" w:rsidP="006342C5">
      <w:pPr>
        <w:autoSpaceDE w:val="0"/>
        <w:autoSpaceDN w:val="0"/>
        <w:adjustRightInd w:val="0"/>
        <w:rPr>
          <w:sz w:val="22"/>
          <w:szCs w:val="22"/>
        </w:rPr>
      </w:pPr>
      <w:r w:rsidRPr="007F7EBF">
        <w:rPr>
          <w:sz w:val="22"/>
          <w:szCs w:val="22"/>
        </w:rPr>
        <w:t>Questo riferimento ai principi contabili sussiste anche per i</w:t>
      </w:r>
      <w:r w:rsidR="006342C5" w:rsidRPr="007F7EBF">
        <w:rPr>
          <w:sz w:val="22"/>
          <w:szCs w:val="22"/>
        </w:rPr>
        <w:t xml:space="preserve"> </w:t>
      </w:r>
      <w:r w:rsidR="006342C5" w:rsidRPr="007F7EBF">
        <w:rPr>
          <w:bCs/>
          <w:sz w:val="22"/>
          <w:szCs w:val="22"/>
        </w:rPr>
        <w:t>beni immaterial</w:t>
      </w:r>
      <w:r w:rsidR="006342C5" w:rsidRPr="007F7EBF">
        <w:rPr>
          <w:sz w:val="22"/>
          <w:szCs w:val="22"/>
        </w:rPr>
        <w:t xml:space="preserve">i, come i diritti di brevetto, di marchio, </w:t>
      </w:r>
      <w:r w:rsidR="00C75B81" w:rsidRPr="007F7EBF">
        <w:rPr>
          <w:sz w:val="22"/>
          <w:szCs w:val="22"/>
        </w:rPr>
        <w:t xml:space="preserve">etc.; il periodo di ammortamento resta invece quello previsto </w:t>
      </w:r>
      <w:r w:rsidRPr="007F7EBF">
        <w:rPr>
          <w:sz w:val="22"/>
          <w:szCs w:val="22"/>
        </w:rPr>
        <w:t>fiscalmente</w:t>
      </w:r>
      <w:r w:rsidR="00C75B81" w:rsidRPr="007F7EBF">
        <w:rPr>
          <w:sz w:val="22"/>
          <w:szCs w:val="22"/>
        </w:rPr>
        <w:t>,</w:t>
      </w:r>
      <w:r w:rsidR="0064162B" w:rsidRPr="007F7EBF">
        <w:rPr>
          <w:sz w:val="22"/>
          <w:szCs w:val="22"/>
        </w:rPr>
        <w:t xml:space="preserve"> </w:t>
      </w:r>
      <w:r w:rsidR="006342C5" w:rsidRPr="007F7EBF">
        <w:rPr>
          <w:sz w:val="22"/>
          <w:szCs w:val="22"/>
        </w:rPr>
        <w:t>in base alla durata di utilizzazione prevista dalla legge (brevetti) o dal contratto</w:t>
      </w:r>
      <w:r w:rsidR="00AC4411" w:rsidRPr="007F7EBF">
        <w:rPr>
          <w:sz w:val="22"/>
          <w:szCs w:val="22"/>
        </w:rPr>
        <w:t xml:space="preserve"> </w:t>
      </w:r>
      <w:r w:rsidR="006342C5" w:rsidRPr="007F7EBF">
        <w:rPr>
          <w:sz w:val="22"/>
          <w:szCs w:val="22"/>
        </w:rPr>
        <w:t>(art. 103 TUIR).</w:t>
      </w:r>
    </w:p>
    <w:p w14:paraId="4DB8C8BB" w14:textId="77777777" w:rsidR="004F09F2" w:rsidRPr="007F7EBF" w:rsidRDefault="006342C5" w:rsidP="004F09F2">
      <w:pPr>
        <w:autoSpaceDE w:val="0"/>
        <w:autoSpaceDN w:val="0"/>
        <w:adjustRightInd w:val="0"/>
        <w:rPr>
          <w:sz w:val="22"/>
          <w:szCs w:val="22"/>
        </w:rPr>
      </w:pPr>
      <w:r w:rsidRPr="007F7EBF">
        <w:rPr>
          <w:sz w:val="22"/>
          <w:szCs w:val="22"/>
        </w:rPr>
        <w:t xml:space="preserve">I </w:t>
      </w:r>
      <w:r w:rsidRPr="007F7EBF">
        <w:rPr>
          <w:bCs/>
          <w:sz w:val="22"/>
          <w:szCs w:val="22"/>
        </w:rPr>
        <w:t xml:space="preserve">costi pluriennali </w:t>
      </w:r>
      <w:r w:rsidRPr="007F7EBF">
        <w:rPr>
          <w:sz w:val="22"/>
          <w:szCs w:val="22"/>
        </w:rPr>
        <w:t>si distinguono dai beni immateriali perché a fronte di essi non</w:t>
      </w:r>
      <w:r w:rsidR="0064162B" w:rsidRPr="007F7EBF">
        <w:rPr>
          <w:sz w:val="22"/>
          <w:szCs w:val="22"/>
        </w:rPr>
        <w:t xml:space="preserve"> </w:t>
      </w:r>
      <w:r w:rsidRPr="007F7EBF">
        <w:rPr>
          <w:sz w:val="22"/>
          <w:szCs w:val="22"/>
        </w:rPr>
        <w:t>esiste alcun bene o diritto provvisto di un proprio valore di mercato e quindi suscettibile</w:t>
      </w:r>
      <w:r w:rsidR="0064162B" w:rsidRPr="007F7EBF">
        <w:rPr>
          <w:sz w:val="22"/>
          <w:szCs w:val="22"/>
        </w:rPr>
        <w:t xml:space="preserve"> </w:t>
      </w:r>
      <w:r w:rsidR="00FB0750" w:rsidRPr="007F7EBF">
        <w:rPr>
          <w:sz w:val="22"/>
          <w:szCs w:val="22"/>
        </w:rPr>
        <w:t>di essere alienato a terzi</w:t>
      </w:r>
      <w:r w:rsidR="004F09F2" w:rsidRPr="007F7EBF">
        <w:rPr>
          <w:rStyle w:val="Rimandonotaapidipagina"/>
          <w:sz w:val="22"/>
          <w:szCs w:val="22"/>
        </w:rPr>
        <w:footnoteReference w:id="1171"/>
      </w:r>
      <w:r w:rsidR="004F09F2" w:rsidRPr="007F7EBF">
        <w:rPr>
          <w:sz w:val="22"/>
          <w:szCs w:val="22"/>
        </w:rPr>
        <w:t>.</w:t>
      </w:r>
    </w:p>
    <w:p w14:paraId="44F990C4" w14:textId="77777777" w:rsidR="004F09F2" w:rsidRPr="007F7EBF" w:rsidRDefault="004F09F2" w:rsidP="004F09F2">
      <w:pPr>
        <w:pStyle w:val="tit23"/>
        <w:ind w:left="6464" w:right="-1361" w:firstLine="0"/>
        <w:jc w:val="left"/>
        <w:rPr>
          <w:bCs/>
          <w:i/>
          <w:iCs/>
          <w:color w:val="0000FF"/>
          <w:lang w:val="it-IT"/>
        </w:rPr>
      </w:pPr>
      <w:r w:rsidRPr="007F7EBF">
        <w:rPr>
          <w:bCs/>
          <w:i/>
          <w:iCs/>
          <w:color w:val="0000FF"/>
          <w:lang w:val="it-IT"/>
        </w:rPr>
        <w:t>Spese di manutenzione</w:t>
      </w:r>
    </w:p>
    <w:p w14:paraId="35337915" w14:textId="293BC55E" w:rsidR="004F09F2" w:rsidRPr="007F7EBF" w:rsidRDefault="00CC598D" w:rsidP="004F09F2">
      <w:pPr>
        <w:autoSpaceDE w:val="0"/>
        <w:autoSpaceDN w:val="0"/>
        <w:adjustRightInd w:val="0"/>
        <w:rPr>
          <w:sz w:val="22"/>
          <w:szCs w:val="22"/>
        </w:rPr>
      </w:pPr>
      <w:r w:rsidRPr="007F7EBF">
        <w:rPr>
          <w:sz w:val="22"/>
          <w:szCs w:val="22"/>
        </w:rPr>
        <w:t xml:space="preserve">Anche la gestione tributaria delle </w:t>
      </w:r>
      <w:r w:rsidR="0064162B" w:rsidRPr="007F7EBF">
        <w:rPr>
          <w:sz w:val="22"/>
          <w:szCs w:val="22"/>
        </w:rPr>
        <w:t xml:space="preserve">spese </w:t>
      </w:r>
      <w:r w:rsidR="006838AC" w:rsidRPr="007F7EBF">
        <w:rPr>
          <w:sz w:val="22"/>
          <w:szCs w:val="22"/>
        </w:rPr>
        <w:t xml:space="preserve">di manutenzione </w:t>
      </w:r>
      <w:r w:rsidRPr="007F7EBF">
        <w:rPr>
          <w:sz w:val="22"/>
          <w:szCs w:val="22"/>
        </w:rPr>
        <w:t>è rimessa ai principi contabili</w:t>
      </w:r>
      <w:r w:rsidR="00C75B81" w:rsidRPr="007F7EBF">
        <w:rPr>
          <w:sz w:val="22"/>
          <w:szCs w:val="22"/>
        </w:rPr>
        <w:t>, trattandosi di una questione di qualificazione e classificazione</w:t>
      </w:r>
      <w:r w:rsidRPr="007F7EBF">
        <w:rPr>
          <w:sz w:val="22"/>
          <w:szCs w:val="22"/>
        </w:rPr>
        <w:t xml:space="preserve">; in base ad essi dovranno essere distinte le spese </w:t>
      </w:r>
      <w:r w:rsidR="004F09F2" w:rsidRPr="007F7EBF">
        <w:rPr>
          <w:sz w:val="22"/>
          <w:szCs w:val="22"/>
        </w:rPr>
        <w:t xml:space="preserve"> "incrementative" della vita utile del bene cui si riferiscono</w:t>
      </w:r>
      <w:r w:rsidR="004F09F2" w:rsidRPr="007F7EBF">
        <w:rPr>
          <w:rStyle w:val="Rimandonotaapidipagina"/>
          <w:sz w:val="22"/>
          <w:szCs w:val="22"/>
        </w:rPr>
        <w:footnoteReference w:id="1172"/>
      </w:r>
      <w:r w:rsidR="004F09F2" w:rsidRPr="007F7EBF">
        <w:rPr>
          <w:sz w:val="22"/>
          <w:szCs w:val="22"/>
        </w:rPr>
        <w:t xml:space="preserve"> e quelle ordinarie</w:t>
      </w:r>
      <w:r w:rsidRPr="007F7EBF">
        <w:rPr>
          <w:rStyle w:val="Rimandonotaapidipagina"/>
          <w:sz w:val="22"/>
          <w:szCs w:val="22"/>
        </w:rPr>
        <w:footnoteReference w:id="1173"/>
      </w:r>
      <w:r w:rsidR="004F09F2" w:rsidRPr="007F7EBF">
        <w:rPr>
          <w:sz w:val="22"/>
          <w:szCs w:val="22"/>
        </w:rPr>
        <w:t xml:space="preserve">. </w:t>
      </w:r>
      <w:r w:rsidRPr="007F7EBF">
        <w:rPr>
          <w:sz w:val="22"/>
          <w:szCs w:val="22"/>
        </w:rPr>
        <w:t xml:space="preserve">Anche  </w:t>
      </w:r>
      <w:r w:rsidR="004F09F2" w:rsidRPr="007F7EBF">
        <w:rPr>
          <w:sz w:val="22"/>
          <w:szCs w:val="22"/>
        </w:rPr>
        <w:t xml:space="preserve"> la possibilità </w:t>
      </w:r>
      <w:r w:rsidR="006838AC" w:rsidRPr="007F7EBF">
        <w:rPr>
          <w:sz w:val="22"/>
          <w:szCs w:val="22"/>
        </w:rPr>
        <w:t xml:space="preserve">di aggiungere </w:t>
      </w:r>
      <w:r w:rsidRPr="007F7EBF">
        <w:rPr>
          <w:sz w:val="22"/>
          <w:szCs w:val="22"/>
        </w:rPr>
        <w:t xml:space="preserve">le spese di manutenzione </w:t>
      </w:r>
      <w:r w:rsidR="006838AC" w:rsidRPr="007F7EBF">
        <w:rPr>
          <w:sz w:val="22"/>
          <w:szCs w:val="22"/>
        </w:rPr>
        <w:t xml:space="preserve">al </w:t>
      </w:r>
      <w:r w:rsidR="0064162B" w:rsidRPr="007F7EBF">
        <w:rPr>
          <w:sz w:val="22"/>
          <w:szCs w:val="22"/>
        </w:rPr>
        <w:t>costo del bene cui si riferiscono</w:t>
      </w:r>
      <w:r w:rsidR="006838AC" w:rsidRPr="007F7EBF">
        <w:rPr>
          <w:sz w:val="22"/>
          <w:szCs w:val="22"/>
        </w:rPr>
        <w:t xml:space="preserve"> (c.d. patrimonializzazione)</w:t>
      </w:r>
      <w:r w:rsidR="0064162B" w:rsidRPr="007F7EBF">
        <w:rPr>
          <w:sz w:val="22"/>
          <w:szCs w:val="22"/>
        </w:rPr>
        <w:t xml:space="preserve">, </w:t>
      </w:r>
      <w:r w:rsidRPr="007F7EBF">
        <w:rPr>
          <w:sz w:val="22"/>
          <w:szCs w:val="22"/>
        </w:rPr>
        <w:t xml:space="preserve">passa attraverso i principi contabili; in questo modo si </w:t>
      </w:r>
      <w:r w:rsidR="0064162B" w:rsidRPr="007F7EBF">
        <w:rPr>
          <w:sz w:val="22"/>
          <w:szCs w:val="22"/>
        </w:rPr>
        <w:t xml:space="preserve">aumenta il valore fiscalmente riconosciuto </w:t>
      </w:r>
      <w:r w:rsidRPr="007F7EBF">
        <w:rPr>
          <w:sz w:val="22"/>
          <w:szCs w:val="22"/>
        </w:rPr>
        <w:t xml:space="preserve">del bene </w:t>
      </w:r>
      <w:r w:rsidR="0064162B" w:rsidRPr="007F7EBF">
        <w:rPr>
          <w:sz w:val="22"/>
          <w:szCs w:val="22"/>
        </w:rPr>
        <w:t>(par.7.13)</w:t>
      </w:r>
      <w:r w:rsidR="004F09F2" w:rsidRPr="007F7EBF">
        <w:rPr>
          <w:sz w:val="22"/>
          <w:szCs w:val="22"/>
        </w:rPr>
        <w:t>, anche ai fini de</w:t>
      </w:r>
      <w:r w:rsidRPr="007F7EBF">
        <w:rPr>
          <w:sz w:val="22"/>
          <w:szCs w:val="22"/>
        </w:rPr>
        <w:t xml:space="preserve">i successivi </w:t>
      </w:r>
      <w:r w:rsidR="004F09F2" w:rsidRPr="007F7EBF">
        <w:rPr>
          <w:sz w:val="22"/>
          <w:szCs w:val="22"/>
        </w:rPr>
        <w:t>ammortamenti</w:t>
      </w:r>
      <w:r w:rsidR="0064162B" w:rsidRPr="007F7EBF">
        <w:rPr>
          <w:sz w:val="22"/>
          <w:szCs w:val="22"/>
        </w:rPr>
        <w:t xml:space="preserve">.  </w:t>
      </w:r>
    </w:p>
    <w:p w14:paraId="12B8F838" w14:textId="77777777" w:rsidR="004F09F2" w:rsidRPr="007F7EBF" w:rsidRDefault="004F09F2" w:rsidP="004F09F2">
      <w:pPr>
        <w:pStyle w:val="tit23"/>
        <w:ind w:left="6464" w:right="-1361" w:firstLine="0"/>
        <w:jc w:val="left"/>
        <w:rPr>
          <w:bCs/>
          <w:i/>
          <w:iCs/>
          <w:color w:val="0000FF"/>
          <w:lang w:val="it-IT"/>
        </w:rPr>
      </w:pPr>
      <w:r w:rsidRPr="007F7EBF">
        <w:rPr>
          <w:bCs/>
          <w:i/>
          <w:iCs/>
          <w:color w:val="0000FF"/>
          <w:lang w:val="it-IT"/>
        </w:rPr>
        <w:t>accantonamenti</w:t>
      </w:r>
    </w:p>
    <w:p w14:paraId="5CD1C5A0" w14:textId="5EF4701E" w:rsidR="006342C5" w:rsidRPr="007F7EBF" w:rsidRDefault="006342C5" w:rsidP="006342C5">
      <w:pPr>
        <w:autoSpaceDE w:val="0"/>
        <w:autoSpaceDN w:val="0"/>
        <w:adjustRightInd w:val="0"/>
        <w:rPr>
          <w:sz w:val="22"/>
          <w:szCs w:val="22"/>
        </w:rPr>
      </w:pPr>
      <w:r w:rsidRPr="007F7EBF">
        <w:rPr>
          <w:sz w:val="22"/>
          <w:szCs w:val="22"/>
        </w:rPr>
        <w:t xml:space="preserve">Gli </w:t>
      </w:r>
      <w:r w:rsidRPr="007F7EBF">
        <w:rPr>
          <w:bCs/>
          <w:sz w:val="22"/>
          <w:szCs w:val="22"/>
        </w:rPr>
        <w:t xml:space="preserve">accantonamenti </w:t>
      </w:r>
      <w:r w:rsidRPr="007F7EBF">
        <w:rPr>
          <w:sz w:val="22"/>
          <w:szCs w:val="22"/>
        </w:rPr>
        <w:t>riguardano l’anticipazione al periodo di imposta di costi destinati</w:t>
      </w:r>
      <w:r w:rsidR="0064162B" w:rsidRPr="007F7EBF">
        <w:rPr>
          <w:sz w:val="22"/>
          <w:szCs w:val="22"/>
        </w:rPr>
        <w:t xml:space="preserve"> </w:t>
      </w:r>
      <w:r w:rsidRPr="007F7EBF">
        <w:rPr>
          <w:sz w:val="22"/>
          <w:szCs w:val="22"/>
        </w:rPr>
        <w:t>a manifestarsi in futuro</w:t>
      </w:r>
      <w:r w:rsidR="0064162B" w:rsidRPr="007F7EBF">
        <w:rPr>
          <w:sz w:val="22"/>
          <w:szCs w:val="22"/>
        </w:rPr>
        <w:t xml:space="preserve">, </w:t>
      </w:r>
      <w:r w:rsidR="00817C86">
        <w:rPr>
          <w:sz w:val="22"/>
          <w:szCs w:val="22"/>
        </w:rPr>
        <w:t xml:space="preserve">e </w:t>
      </w:r>
      <w:r w:rsidR="0064162B" w:rsidRPr="007F7EBF">
        <w:rPr>
          <w:sz w:val="22"/>
          <w:szCs w:val="22"/>
        </w:rPr>
        <w:t>dan</w:t>
      </w:r>
      <w:r w:rsidR="00817C86">
        <w:rPr>
          <w:sz w:val="22"/>
          <w:szCs w:val="22"/>
        </w:rPr>
        <w:t>n</w:t>
      </w:r>
      <w:r w:rsidR="0064162B" w:rsidRPr="007F7EBF">
        <w:rPr>
          <w:sz w:val="22"/>
          <w:szCs w:val="22"/>
        </w:rPr>
        <w:t>o luogo a</w:t>
      </w:r>
      <w:r w:rsidR="00817C86">
        <w:rPr>
          <w:sz w:val="22"/>
          <w:szCs w:val="22"/>
        </w:rPr>
        <w:t>i</w:t>
      </w:r>
      <w:r w:rsidR="0064162B" w:rsidRPr="007F7EBF">
        <w:rPr>
          <w:sz w:val="22"/>
          <w:szCs w:val="22"/>
        </w:rPr>
        <w:t xml:space="preserve"> "fondi dedotti" di cui al par.7.13</w:t>
      </w:r>
      <w:r w:rsidRPr="007F7EBF">
        <w:rPr>
          <w:sz w:val="22"/>
          <w:szCs w:val="22"/>
        </w:rPr>
        <w:t xml:space="preserve">. Il funzionamento contabile degli </w:t>
      </w:r>
      <w:r w:rsidRPr="007F7EBF">
        <w:rPr>
          <w:bCs/>
          <w:sz w:val="22"/>
          <w:szCs w:val="22"/>
        </w:rPr>
        <w:t xml:space="preserve">accantonamenti </w:t>
      </w:r>
      <w:r w:rsidRPr="007F7EBF">
        <w:rPr>
          <w:sz w:val="22"/>
          <w:szCs w:val="22"/>
        </w:rPr>
        <w:t>è il</w:t>
      </w:r>
      <w:r w:rsidR="0064162B" w:rsidRPr="007F7EBF">
        <w:rPr>
          <w:sz w:val="22"/>
          <w:szCs w:val="22"/>
        </w:rPr>
        <w:t xml:space="preserve"> </w:t>
      </w:r>
      <w:r w:rsidRPr="007F7EBF">
        <w:rPr>
          <w:sz w:val="22"/>
          <w:szCs w:val="22"/>
        </w:rPr>
        <w:t>medesimo già mostrato a proposito dell’ammortamento: la quota di accantonamento</w:t>
      </w:r>
      <w:r w:rsidR="00C357D5">
        <w:rPr>
          <w:sz w:val="22"/>
          <w:szCs w:val="22"/>
        </w:rPr>
        <w:t xml:space="preserve"> </w:t>
      </w:r>
      <w:r w:rsidRPr="007F7EBF">
        <w:rPr>
          <w:sz w:val="22"/>
          <w:szCs w:val="22"/>
        </w:rPr>
        <w:t>costituisce una componente negativa del reddito e il fondo di accantonamento viene</w:t>
      </w:r>
      <w:r w:rsidR="0064162B" w:rsidRPr="007F7EBF">
        <w:rPr>
          <w:sz w:val="22"/>
          <w:szCs w:val="22"/>
        </w:rPr>
        <w:t xml:space="preserve"> </w:t>
      </w:r>
      <w:r w:rsidR="006838AC" w:rsidRPr="007F7EBF">
        <w:rPr>
          <w:sz w:val="22"/>
          <w:szCs w:val="22"/>
        </w:rPr>
        <w:t>costituito tra i conti del patrimonio</w:t>
      </w:r>
      <w:r w:rsidRPr="007F7EBF">
        <w:rPr>
          <w:sz w:val="22"/>
          <w:szCs w:val="22"/>
        </w:rPr>
        <w:t>. Alla base dell’a</w:t>
      </w:r>
      <w:r w:rsidRPr="007F7EBF">
        <w:rPr>
          <w:bCs/>
          <w:sz w:val="22"/>
          <w:szCs w:val="22"/>
        </w:rPr>
        <w:t xml:space="preserve">ccantonamento </w:t>
      </w:r>
      <w:r w:rsidRPr="007F7EBF">
        <w:rPr>
          <w:sz w:val="22"/>
          <w:szCs w:val="22"/>
        </w:rPr>
        <w:t>c’è un elemento previsionale</w:t>
      </w:r>
      <w:r w:rsidR="006838AC" w:rsidRPr="007F7EBF">
        <w:rPr>
          <w:sz w:val="22"/>
          <w:szCs w:val="22"/>
        </w:rPr>
        <w:t xml:space="preserve"> </w:t>
      </w:r>
      <w:r w:rsidRPr="007F7EBF">
        <w:rPr>
          <w:sz w:val="22"/>
          <w:szCs w:val="22"/>
        </w:rPr>
        <w:t xml:space="preserve">e fortemente </w:t>
      </w:r>
      <w:r w:rsidRPr="007F7EBF">
        <w:rPr>
          <w:sz w:val="22"/>
          <w:szCs w:val="22"/>
        </w:rPr>
        <w:lastRenderedPageBreak/>
        <w:t xml:space="preserve">opinabile, perché si riferisce a </w:t>
      </w:r>
      <w:r w:rsidRPr="007F7EBF">
        <w:rPr>
          <w:bCs/>
          <w:sz w:val="22"/>
          <w:szCs w:val="22"/>
        </w:rPr>
        <w:t>costi ancora da sostenere</w:t>
      </w:r>
      <w:r w:rsidRPr="007F7EBF">
        <w:rPr>
          <w:sz w:val="22"/>
          <w:szCs w:val="22"/>
        </w:rPr>
        <w:t>, a differenza</w:t>
      </w:r>
      <w:r w:rsidR="0064162B" w:rsidRPr="007F7EBF">
        <w:rPr>
          <w:sz w:val="22"/>
          <w:szCs w:val="22"/>
        </w:rPr>
        <w:t xml:space="preserve"> </w:t>
      </w:r>
      <w:r w:rsidRPr="007F7EBF">
        <w:rPr>
          <w:sz w:val="22"/>
          <w:szCs w:val="22"/>
        </w:rPr>
        <w:t xml:space="preserve">dell’ammortamento, riferito invece </w:t>
      </w:r>
      <w:r w:rsidRPr="007F7EBF">
        <w:rPr>
          <w:bCs/>
          <w:sz w:val="22"/>
          <w:szCs w:val="22"/>
        </w:rPr>
        <w:t>a costi già sostenuti.</w:t>
      </w:r>
      <w:r w:rsidRPr="007F7EBF">
        <w:rPr>
          <w:sz w:val="22"/>
          <w:szCs w:val="22"/>
        </w:rPr>
        <w:t>; c’è quindi una certa</w:t>
      </w:r>
      <w:r w:rsidR="0064162B" w:rsidRPr="007F7EBF">
        <w:rPr>
          <w:sz w:val="22"/>
          <w:szCs w:val="22"/>
        </w:rPr>
        <w:t xml:space="preserve"> </w:t>
      </w:r>
      <w:r w:rsidRPr="007F7EBF">
        <w:rPr>
          <w:bCs/>
          <w:sz w:val="22"/>
          <w:szCs w:val="22"/>
        </w:rPr>
        <w:t xml:space="preserve">diffidenza </w:t>
      </w:r>
      <w:r w:rsidRPr="007F7EBF">
        <w:rPr>
          <w:sz w:val="22"/>
          <w:szCs w:val="22"/>
        </w:rPr>
        <w:t>del fisco verso gli accantonamenti, fiscalmente deducibili solo in casi tassativi</w:t>
      </w:r>
      <w:r w:rsidR="0064162B" w:rsidRPr="007F7EBF">
        <w:rPr>
          <w:sz w:val="22"/>
          <w:szCs w:val="22"/>
        </w:rPr>
        <w:t xml:space="preserve"> </w:t>
      </w:r>
      <w:r w:rsidRPr="007F7EBF">
        <w:rPr>
          <w:sz w:val="22"/>
          <w:szCs w:val="22"/>
        </w:rPr>
        <w:t>ed in percentuali limitate, come per le perdite su crediti (art. 106)</w:t>
      </w:r>
      <w:r w:rsidR="00B644C4" w:rsidRPr="007F7EBF">
        <w:rPr>
          <w:sz w:val="22"/>
          <w:szCs w:val="22"/>
        </w:rPr>
        <w:t>; queste ultime possono essere poi valutate tenendo presenti gravi presunzioni dell’</w:t>
      </w:r>
      <w:proofErr w:type="spellStart"/>
      <w:r w:rsidR="00B644C4" w:rsidRPr="007F7EBF">
        <w:rPr>
          <w:sz w:val="22"/>
          <w:szCs w:val="22"/>
        </w:rPr>
        <w:t>inesibigilità</w:t>
      </w:r>
      <w:proofErr w:type="spellEnd"/>
      <w:r w:rsidR="00B644C4" w:rsidRPr="007F7EBF">
        <w:rPr>
          <w:sz w:val="22"/>
          <w:szCs w:val="22"/>
        </w:rPr>
        <w:t xml:space="preserve"> del credito per inadempimento del debitore. Costituiscono “accantonamenti” solo in senso contabile quelli cui corrisponde un debito preciso, come </w:t>
      </w:r>
      <w:r w:rsidRPr="007F7EBF">
        <w:rPr>
          <w:sz w:val="22"/>
          <w:szCs w:val="22"/>
        </w:rPr>
        <w:t xml:space="preserve"> il TFR dei dipendenti (</w:t>
      </w:r>
      <w:r w:rsidR="00287F45" w:rsidRPr="007F7EBF">
        <w:rPr>
          <w:rStyle w:val="Rimandonotaapidipagina"/>
          <w:sz w:val="22"/>
          <w:szCs w:val="22"/>
        </w:rPr>
        <w:footnoteReference w:id="1174"/>
      </w:r>
      <w:r w:rsidRPr="007F7EBF">
        <w:rPr>
          <w:sz w:val="22"/>
          <w:szCs w:val="22"/>
        </w:rPr>
        <w:t xml:space="preserve">), </w:t>
      </w:r>
      <w:r w:rsidR="00287F45" w:rsidRPr="007F7EBF">
        <w:rPr>
          <w:sz w:val="22"/>
          <w:szCs w:val="22"/>
        </w:rPr>
        <w:t xml:space="preserve">le fatture da ricevere </w:t>
      </w:r>
      <w:r w:rsidR="00287F45" w:rsidRPr="007F7EBF">
        <w:rPr>
          <w:rStyle w:val="Rimandonotaapidipagina"/>
          <w:sz w:val="22"/>
          <w:szCs w:val="22"/>
        </w:rPr>
        <w:footnoteReference w:id="1175"/>
      </w:r>
      <w:r w:rsidR="00287F45" w:rsidRPr="007F7EBF">
        <w:rPr>
          <w:sz w:val="22"/>
          <w:szCs w:val="22"/>
        </w:rPr>
        <w:t xml:space="preserve">, </w:t>
      </w:r>
      <w:r w:rsidRPr="007F7EBF">
        <w:rPr>
          <w:sz w:val="22"/>
          <w:szCs w:val="22"/>
        </w:rPr>
        <w:t>o una prestazione da svolgere in</w:t>
      </w:r>
      <w:r w:rsidR="0064162B" w:rsidRPr="007F7EBF">
        <w:rPr>
          <w:sz w:val="22"/>
          <w:szCs w:val="22"/>
        </w:rPr>
        <w:t xml:space="preserve"> </w:t>
      </w:r>
      <w:r w:rsidRPr="007F7EBF">
        <w:rPr>
          <w:sz w:val="22"/>
          <w:szCs w:val="22"/>
        </w:rPr>
        <w:t>futuro, come per le “riserve tecniche” delle imprese di assicurazioni.</w:t>
      </w:r>
    </w:p>
    <w:p w14:paraId="2A1A3D1E" w14:textId="0C653C38" w:rsidR="004110FB" w:rsidRPr="007F7EBF" w:rsidRDefault="00785A39" w:rsidP="00C357D5">
      <w:pPr>
        <w:pStyle w:val="Titolo3"/>
        <w:rPr>
          <w:sz w:val="22"/>
          <w:szCs w:val="22"/>
        </w:rPr>
      </w:pPr>
      <w:bookmarkStart w:id="114" w:name="_Toc63365025"/>
      <w:r w:rsidRPr="007F7EBF">
        <w:rPr>
          <w:rFonts w:ascii="Times New Roman" w:hAnsi="Times New Roman"/>
          <w:sz w:val="22"/>
          <w:szCs w:val="22"/>
        </w:rPr>
        <w:t xml:space="preserve">7.16. Le valutazioni del patrimonio </w:t>
      </w:r>
      <w:r w:rsidR="006342C5" w:rsidRPr="007F7EBF">
        <w:rPr>
          <w:rFonts w:ascii="Times New Roman" w:hAnsi="Times New Roman"/>
          <w:sz w:val="22"/>
          <w:szCs w:val="22"/>
        </w:rPr>
        <w:t xml:space="preserve"> </w:t>
      </w:r>
      <w:r w:rsidRPr="007F7EBF">
        <w:rPr>
          <w:rFonts w:ascii="Times New Roman" w:hAnsi="Times New Roman"/>
          <w:sz w:val="22"/>
          <w:szCs w:val="22"/>
        </w:rPr>
        <w:t xml:space="preserve">ai </w:t>
      </w:r>
      <w:r w:rsidR="006342C5" w:rsidRPr="007F7EBF">
        <w:rPr>
          <w:rFonts w:ascii="Times New Roman" w:hAnsi="Times New Roman"/>
          <w:sz w:val="22"/>
          <w:szCs w:val="22"/>
        </w:rPr>
        <w:t>fin</w:t>
      </w:r>
      <w:r w:rsidRPr="007F7EBF">
        <w:rPr>
          <w:rFonts w:ascii="Times New Roman" w:hAnsi="Times New Roman"/>
          <w:sz w:val="22"/>
          <w:szCs w:val="22"/>
        </w:rPr>
        <w:t>i del bilancio:</w:t>
      </w:r>
      <w:r w:rsidR="006342C5" w:rsidRPr="007F7EBF">
        <w:rPr>
          <w:rFonts w:ascii="Times New Roman" w:hAnsi="Times New Roman"/>
          <w:sz w:val="22"/>
          <w:szCs w:val="22"/>
        </w:rPr>
        <w:t xml:space="preserve"> 2) rimanenze di beni e servizi</w:t>
      </w:r>
      <w:bookmarkEnd w:id="114"/>
    </w:p>
    <w:p w14:paraId="4BA7797F" w14:textId="77777777" w:rsidR="004110FB" w:rsidRPr="007F7EBF" w:rsidRDefault="004110FB" w:rsidP="004110FB">
      <w:pPr>
        <w:pStyle w:val="tit23"/>
        <w:ind w:left="6464" w:right="-1361" w:firstLine="0"/>
        <w:jc w:val="left"/>
        <w:rPr>
          <w:bCs/>
          <w:i/>
          <w:iCs/>
          <w:color w:val="0000FF"/>
          <w:lang w:val="it-IT"/>
        </w:rPr>
      </w:pPr>
      <w:r w:rsidRPr="007F7EBF">
        <w:rPr>
          <w:bCs/>
          <w:i/>
          <w:iCs/>
          <w:color w:val="0000FF"/>
          <w:lang w:val="it-IT"/>
        </w:rPr>
        <w:t>Beni merce: esposizione contabile e di bilancio.</w:t>
      </w:r>
    </w:p>
    <w:p w14:paraId="72ECCF8E" w14:textId="41285B95" w:rsidR="00570D25" w:rsidRPr="007F7EBF" w:rsidRDefault="004110FB" w:rsidP="00570D25">
      <w:pPr>
        <w:autoSpaceDE w:val="0"/>
        <w:autoSpaceDN w:val="0"/>
        <w:adjustRightInd w:val="0"/>
        <w:rPr>
          <w:sz w:val="22"/>
          <w:szCs w:val="22"/>
        </w:rPr>
      </w:pPr>
      <w:r w:rsidRPr="007F7EBF">
        <w:rPr>
          <w:sz w:val="22"/>
          <w:szCs w:val="22"/>
        </w:rPr>
        <w:t>Abbiamo già rilevato al paragrafo 7.13</w:t>
      </w:r>
      <w:r w:rsidR="00DE4918" w:rsidRPr="007F7EBF">
        <w:rPr>
          <w:sz w:val="22"/>
          <w:szCs w:val="22"/>
        </w:rPr>
        <w:t xml:space="preserve"> che beni ad elevato tasso di sostituzione, acquistati e consumati </w:t>
      </w:r>
      <w:r w:rsidRPr="007F7EBF">
        <w:rPr>
          <w:sz w:val="22"/>
          <w:szCs w:val="22"/>
        </w:rPr>
        <w:t xml:space="preserve"> </w:t>
      </w:r>
      <w:r w:rsidR="00DE4918" w:rsidRPr="007F7EBF">
        <w:rPr>
          <w:sz w:val="22"/>
          <w:szCs w:val="22"/>
        </w:rPr>
        <w:t>in modo ripetitivo(</w:t>
      </w:r>
      <w:r w:rsidR="00DE4918" w:rsidRPr="007F7EBF">
        <w:rPr>
          <w:rStyle w:val="Rimandonotaapidipagina"/>
          <w:sz w:val="22"/>
          <w:szCs w:val="22"/>
        </w:rPr>
        <w:footnoteReference w:id="1176"/>
      </w:r>
      <w:r w:rsidR="00DE4918" w:rsidRPr="007F7EBF">
        <w:rPr>
          <w:sz w:val="22"/>
          <w:szCs w:val="22"/>
        </w:rPr>
        <w:t xml:space="preserve">), non </w:t>
      </w:r>
      <w:r w:rsidR="008338B8">
        <w:rPr>
          <w:sz w:val="22"/>
          <w:szCs w:val="22"/>
        </w:rPr>
        <w:t xml:space="preserve">vengono </w:t>
      </w:r>
      <w:r w:rsidR="00DE4918" w:rsidRPr="007F7EBF">
        <w:rPr>
          <w:sz w:val="22"/>
          <w:szCs w:val="22"/>
        </w:rPr>
        <w:t>esposti secondo il criterio patrimoniale</w:t>
      </w:r>
      <w:r w:rsidR="00817C86">
        <w:rPr>
          <w:sz w:val="22"/>
          <w:szCs w:val="22"/>
        </w:rPr>
        <w:t>,</w:t>
      </w:r>
      <w:r w:rsidR="00DE4918" w:rsidRPr="007F7EBF">
        <w:rPr>
          <w:sz w:val="22"/>
          <w:szCs w:val="22"/>
        </w:rPr>
        <w:t xml:space="preserve"> tipico degli impianti e degli immobili</w:t>
      </w:r>
      <w:r w:rsidR="008338B8">
        <w:rPr>
          <w:sz w:val="22"/>
          <w:szCs w:val="22"/>
        </w:rPr>
        <w:t xml:space="preserve">, ma secondo quello denominato “a costi ricavi e rimanenze”; si tratta, ripetiamo, di </w:t>
      </w:r>
      <w:r w:rsidR="00570D25" w:rsidRPr="007F7EBF">
        <w:rPr>
          <w:sz w:val="22"/>
          <w:szCs w:val="22"/>
        </w:rPr>
        <w:t>materie prime</w:t>
      </w:r>
      <w:r w:rsidR="008338B8">
        <w:rPr>
          <w:sz w:val="22"/>
          <w:szCs w:val="22"/>
        </w:rPr>
        <w:t xml:space="preserve">, </w:t>
      </w:r>
      <w:r w:rsidR="00570D25" w:rsidRPr="007F7EBF">
        <w:rPr>
          <w:sz w:val="22"/>
          <w:szCs w:val="22"/>
        </w:rPr>
        <w:t>merci</w:t>
      </w:r>
      <w:r w:rsidR="008338B8">
        <w:rPr>
          <w:sz w:val="22"/>
          <w:szCs w:val="22"/>
        </w:rPr>
        <w:t xml:space="preserve"> e prodotti finiti, </w:t>
      </w:r>
      <w:r w:rsidR="00570D25" w:rsidRPr="007F7EBF">
        <w:rPr>
          <w:sz w:val="22"/>
          <w:szCs w:val="22"/>
        </w:rPr>
        <w:t>destinat</w:t>
      </w:r>
      <w:r w:rsidR="008338B8">
        <w:rPr>
          <w:sz w:val="22"/>
          <w:szCs w:val="22"/>
        </w:rPr>
        <w:t xml:space="preserve">i </w:t>
      </w:r>
      <w:r w:rsidR="00570D25" w:rsidRPr="007F7EBF">
        <w:rPr>
          <w:sz w:val="22"/>
          <w:szCs w:val="22"/>
        </w:rPr>
        <w:t>ad essere vendut</w:t>
      </w:r>
      <w:r w:rsidR="008338B8">
        <w:rPr>
          <w:sz w:val="22"/>
          <w:szCs w:val="22"/>
        </w:rPr>
        <w:t>i</w:t>
      </w:r>
      <w:r w:rsidR="00570D25" w:rsidRPr="007F7EBF">
        <w:rPr>
          <w:sz w:val="22"/>
          <w:szCs w:val="22"/>
        </w:rPr>
        <w:t xml:space="preserve"> o consumat</w:t>
      </w:r>
      <w:r w:rsidR="008338B8">
        <w:rPr>
          <w:sz w:val="22"/>
          <w:szCs w:val="22"/>
        </w:rPr>
        <w:t>i</w:t>
      </w:r>
      <w:r w:rsidR="00570D25" w:rsidRPr="007F7EBF">
        <w:rPr>
          <w:sz w:val="22"/>
          <w:szCs w:val="22"/>
        </w:rPr>
        <w:t xml:space="preserve"> nella produzione</w:t>
      </w:r>
      <w:r w:rsidR="008338B8">
        <w:rPr>
          <w:sz w:val="22"/>
          <w:szCs w:val="22"/>
        </w:rPr>
        <w:t xml:space="preserve">. Acquisti e vendite di tali beni sono </w:t>
      </w:r>
      <w:r w:rsidR="00570D25" w:rsidRPr="007F7EBF">
        <w:rPr>
          <w:sz w:val="22"/>
          <w:szCs w:val="22"/>
        </w:rPr>
        <w:t>quindi espost</w:t>
      </w:r>
      <w:r w:rsidR="008338B8">
        <w:rPr>
          <w:sz w:val="22"/>
          <w:szCs w:val="22"/>
        </w:rPr>
        <w:t xml:space="preserve">i, </w:t>
      </w:r>
      <w:r w:rsidR="00570D25" w:rsidRPr="007F7EBF">
        <w:rPr>
          <w:sz w:val="22"/>
          <w:szCs w:val="22"/>
        </w:rPr>
        <w:t xml:space="preserve">in un primo momento,  trascurando l'entrata nel </w:t>
      </w:r>
      <w:r w:rsidRPr="007F7EBF">
        <w:rPr>
          <w:sz w:val="22"/>
          <w:szCs w:val="22"/>
        </w:rPr>
        <w:t>patrimonio</w:t>
      </w:r>
      <w:r w:rsidR="00570D25" w:rsidRPr="007F7EBF">
        <w:rPr>
          <w:sz w:val="22"/>
          <w:szCs w:val="22"/>
        </w:rPr>
        <w:t xml:space="preserve"> di quanto è stato acquistato, o l'uscita di quanto è stato ceduto</w:t>
      </w:r>
      <w:r w:rsidR="008338B8">
        <w:rPr>
          <w:sz w:val="22"/>
          <w:szCs w:val="22"/>
        </w:rPr>
        <w:t xml:space="preserve"> (</w:t>
      </w:r>
      <w:r w:rsidR="00570D25" w:rsidRPr="007F7EBF">
        <w:rPr>
          <w:rStyle w:val="Rimandonotaapidipagina"/>
          <w:sz w:val="22"/>
          <w:szCs w:val="22"/>
        </w:rPr>
        <w:footnoteReference w:id="1177"/>
      </w:r>
      <w:r w:rsidR="008338B8">
        <w:rPr>
          <w:sz w:val="22"/>
          <w:szCs w:val="22"/>
        </w:rPr>
        <w:t>)</w:t>
      </w:r>
      <w:r w:rsidR="00570D25" w:rsidRPr="007F7EBF">
        <w:rPr>
          <w:sz w:val="22"/>
          <w:szCs w:val="22"/>
        </w:rPr>
        <w:t xml:space="preserve">. </w:t>
      </w:r>
      <w:r w:rsidRPr="007F7EBF">
        <w:rPr>
          <w:sz w:val="22"/>
          <w:szCs w:val="22"/>
        </w:rPr>
        <w:t xml:space="preserve"> </w:t>
      </w:r>
    </w:p>
    <w:p w14:paraId="01E3734D" w14:textId="77777777" w:rsidR="00570D25" w:rsidRPr="007F7EBF" w:rsidRDefault="0090598A" w:rsidP="00570D25">
      <w:pPr>
        <w:pStyle w:val="tit23"/>
        <w:ind w:left="6464" w:right="-1361" w:firstLine="0"/>
        <w:jc w:val="left"/>
        <w:rPr>
          <w:bCs/>
          <w:i/>
          <w:iCs/>
          <w:color w:val="0000FF"/>
          <w:lang w:val="it-IT"/>
        </w:rPr>
      </w:pPr>
      <w:r w:rsidRPr="007F7EBF">
        <w:rPr>
          <w:bCs/>
          <w:i/>
          <w:iCs/>
          <w:color w:val="0000FF"/>
          <w:lang w:val="it-IT"/>
        </w:rPr>
        <w:lastRenderedPageBreak/>
        <w:t xml:space="preserve">La contabilità di magazzino </w:t>
      </w:r>
    </w:p>
    <w:p w14:paraId="0DCAF611" w14:textId="6B96208F" w:rsidR="001B1616" w:rsidRPr="007F7EBF" w:rsidRDefault="00570D25" w:rsidP="001B1616">
      <w:pPr>
        <w:autoSpaceDE w:val="0"/>
        <w:autoSpaceDN w:val="0"/>
        <w:adjustRightInd w:val="0"/>
        <w:rPr>
          <w:sz w:val="22"/>
          <w:szCs w:val="22"/>
        </w:rPr>
      </w:pPr>
      <w:r w:rsidRPr="007F7EBF">
        <w:rPr>
          <w:sz w:val="22"/>
          <w:szCs w:val="22"/>
        </w:rPr>
        <w:t>L</w:t>
      </w:r>
      <w:r w:rsidR="004110FB" w:rsidRPr="007F7EBF">
        <w:rPr>
          <w:sz w:val="22"/>
          <w:szCs w:val="22"/>
        </w:rPr>
        <w:t>a quantità di tali beni</w:t>
      </w:r>
      <w:r w:rsidR="001B1616" w:rsidRPr="007F7EBF">
        <w:rPr>
          <w:sz w:val="22"/>
          <w:szCs w:val="22"/>
        </w:rPr>
        <w:t>, molto importanti ai fini gestionali</w:t>
      </w:r>
      <w:r w:rsidR="008338B8">
        <w:rPr>
          <w:sz w:val="22"/>
          <w:szCs w:val="22"/>
        </w:rPr>
        <w:t xml:space="preserve"> (</w:t>
      </w:r>
      <w:r w:rsidR="001B1616" w:rsidRPr="007F7EBF">
        <w:rPr>
          <w:rStyle w:val="Rimandonotaapidipagina"/>
          <w:sz w:val="22"/>
          <w:szCs w:val="22"/>
        </w:rPr>
        <w:footnoteReference w:id="1178"/>
      </w:r>
      <w:r w:rsidR="008338B8">
        <w:rPr>
          <w:sz w:val="22"/>
          <w:szCs w:val="22"/>
        </w:rPr>
        <w:t>)</w:t>
      </w:r>
      <w:r w:rsidR="001B1616" w:rsidRPr="007F7EBF">
        <w:rPr>
          <w:sz w:val="22"/>
          <w:szCs w:val="22"/>
        </w:rPr>
        <w:t xml:space="preserve">, </w:t>
      </w:r>
      <w:r w:rsidR="004110FB" w:rsidRPr="007F7EBF">
        <w:rPr>
          <w:sz w:val="22"/>
          <w:szCs w:val="22"/>
        </w:rPr>
        <w:t>è seguita attravers</w:t>
      </w:r>
      <w:r w:rsidR="0090598A" w:rsidRPr="007F7EBF">
        <w:rPr>
          <w:sz w:val="22"/>
          <w:szCs w:val="22"/>
        </w:rPr>
        <w:t xml:space="preserve">o la contabilità “di magazzino”, una registrazione cronologica, tenuta a quantità (non a valore), </w:t>
      </w:r>
      <w:r w:rsidR="001B1616" w:rsidRPr="007F7EBF">
        <w:rPr>
          <w:sz w:val="22"/>
          <w:szCs w:val="22"/>
        </w:rPr>
        <w:t>fiscalmente obbligatoria</w:t>
      </w:r>
      <w:r w:rsidR="0090598A" w:rsidRPr="007F7EBF">
        <w:rPr>
          <w:sz w:val="22"/>
          <w:szCs w:val="22"/>
        </w:rPr>
        <w:t xml:space="preserve"> per tutte le imprese di una certa dimensione </w:t>
      </w:r>
      <w:r w:rsidR="0090598A" w:rsidRPr="007F7EBF">
        <w:rPr>
          <w:rStyle w:val="Rimandonotaapidipagina"/>
          <w:sz w:val="22"/>
          <w:szCs w:val="22"/>
        </w:rPr>
        <w:footnoteReference w:id="1179"/>
      </w:r>
      <w:r w:rsidR="001B1616" w:rsidRPr="007F7EBF">
        <w:rPr>
          <w:sz w:val="22"/>
          <w:szCs w:val="22"/>
        </w:rPr>
        <w:t xml:space="preserve"> ;</w:t>
      </w:r>
      <w:r w:rsidR="00610619" w:rsidRPr="007F7EBF">
        <w:rPr>
          <w:sz w:val="22"/>
          <w:szCs w:val="22"/>
        </w:rPr>
        <w:t xml:space="preserve"> </w:t>
      </w:r>
      <w:r w:rsidR="0090598A" w:rsidRPr="007F7EBF">
        <w:rPr>
          <w:sz w:val="22"/>
          <w:szCs w:val="22"/>
        </w:rPr>
        <w:t>questa contabilità registra i “carichi” e gli “scarichi” di merce, ad esempio per vendite o prelievi destinati alla produzion</w:t>
      </w:r>
      <w:r w:rsidR="001B1616" w:rsidRPr="007F7EBF">
        <w:rPr>
          <w:sz w:val="22"/>
          <w:szCs w:val="22"/>
        </w:rPr>
        <w:t xml:space="preserve">e. </w:t>
      </w:r>
    </w:p>
    <w:p w14:paraId="3E4E9A48" w14:textId="77777777" w:rsidR="001B1616" w:rsidRPr="007F7EBF" w:rsidRDefault="001B1616" w:rsidP="001B1616">
      <w:pPr>
        <w:pStyle w:val="tit23"/>
        <w:ind w:left="6464" w:right="-1361" w:firstLine="0"/>
        <w:jc w:val="left"/>
        <w:rPr>
          <w:bCs/>
          <w:i/>
          <w:iCs/>
          <w:color w:val="0000FF"/>
          <w:lang w:val="it-IT"/>
        </w:rPr>
      </w:pPr>
      <w:r w:rsidRPr="007F7EBF">
        <w:rPr>
          <w:bCs/>
          <w:i/>
          <w:iCs/>
          <w:color w:val="0000FF"/>
          <w:lang w:val="it-IT"/>
        </w:rPr>
        <w:t xml:space="preserve">Inventario contabile e inventario fisico </w:t>
      </w:r>
    </w:p>
    <w:p w14:paraId="68819E29" w14:textId="730BEFDC" w:rsidR="00574AAA" w:rsidRPr="007F7EBF" w:rsidRDefault="001B1616" w:rsidP="00574AAA">
      <w:pPr>
        <w:autoSpaceDE w:val="0"/>
        <w:autoSpaceDN w:val="0"/>
        <w:adjustRightInd w:val="0"/>
        <w:rPr>
          <w:sz w:val="22"/>
          <w:szCs w:val="22"/>
        </w:rPr>
      </w:pPr>
      <w:r w:rsidRPr="007F7EBF">
        <w:rPr>
          <w:sz w:val="22"/>
          <w:szCs w:val="22"/>
        </w:rPr>
        <w:t>Tale contabilità esprime</w:t>
      </w:r>
      <w:r w:rsidR="0090598A" w:rsidRPr="007F7EBF">
        <w:rPr>
          <w:sz w:val="22"/>
          <w:szCs w:val="22"/>
        </w:rPr>
        <w:t xml:space="preserve">, durante tutto il corso dell’anno, </w:t>
      </w:r>
      <w:r w:rsidR="00304FAD" w:rsidRPr="007F7EBF">
        <w:rPr>
          <w:sz w:val="22"/>
          <w:szCs w:val="22"/>
        </w:rPr>
        <w:t>una</w:t>
      </w:r>
      <w:r w:rsidR="0090598A" w:rsidRPr="007F7EBF">
        <w:rPr>
          <w:sz w:val="22"/>
          <w:szCs w:val="22"/>
        </w:rPr>
        <w:t xml:space="preserve"> “</w:t>
      </w:r>
      <w:r w:rsidR="00304FAD" w:rsidRPr="007F7EBF">
        <w:rPr>
          <w:bCs/>
          <w:sz w:val="22"/>
          <w:szCs w:val="22"/>
        </w:rPr>
        <w:t xml:space="preserve">giacenza teorica </w:t>
      </w:r>
      <w:r w:rsidR="0090598A" w:rsidRPr="007F7EBF">
        <w:rPr>
          <w:bCs/>
          <w:sz w:val="22"/>
          <w:szCs w:val="22"/>
        </w:rPr>
        <w:t>di magazzino</w:t>
      </w:r>
      <w:r w:rsidR="0090598A" w:rsidRPr="007F7EBF">
        <w:rPr>
          <w:sz w:val="22"/>
          <w:szCs w:val="22"/>
        </w:rPr>
        <w:t>“, chiamat</w:t>
      </w:r>
      <w:r w:rsidR="00304FAD" w:rsidRPr="007F7EBF">
        <w:rPr>
          <w:sz w:val="22"/>
          <w:szCs w:val="22"/>
        </w:rPr>
        <w:t>a</w:t>
      </w:r>
      <w:r w:rsidR="0090598A" w:rsidRPr="007F7EBF">
        <w:rPr>
          <w:sz w:val="22"/>
          <w:szCs w:val="22"/>
        </w:rPr>
        <w:t xml:space="preserve"> anche </w:t>
      </w:r>
      <w:r w:rsidR="0090598A" w:rsidRPr="007F7EBF">
        <w:rPr>
          <w:bCs/>
          <w:sz w:val="22"/>
          <w:szCs w:val="22"/>
        </w:rPr>
        <w:t>“inventario contabile</w:t>
      </w:r>
      <w:r w:rsidR="0090598A" w:rsidRPr="007F7EBF">
        <w:rPr>
          <w:sz w:val="22"/>
          <w:szCs w:val="22"/>
        </w:rPr>
        <w:t>”;</w:t>
      </w:r>
      <w:r w:rsidR="00304FAD" w:rsidRPr="007F7EBF">
        <w:rPr>
          <w:sz w:val="22"/>
          <w:szCs w:val="22"/>
        </w:rPr>
        <w:t xml:space="preserve"> consultando la contabilità di magazzino si rinviene cioè la disponibilità teorica delle relative merci; a tali rilevazioni potrebbero però essere sfuggite distruzioni, dimenticanze</w:t>
      </w:r>
      <w:r w:rsidR="009E6A61">
        <w:rPr>
          <w:sz w:val="22"/>
          <w:szCs w:val="22"/>
        </w:rPr>
        <w:t>(</w:t>
      </w:r>
      <w:r w:rsidR="00304FAD" w:rsidRPr="007F7EBF">
        <w:rPr>
          <w:rStyle w:val="Rimandonotaapidipagina"/>
          <w:sz w:val="22"/>
          <w:szCs w:val="22"/>
        </w:rPr>
        <w:footnoteReference w:id="1180"/>
      </w:r>
      <w:r w:rsidR="009E6A61">
        <w:rPr>
          <w:sz w:val="22"/>
          <w:szCs w:val="22"/>
        </w:rPr>
        <w:t>)</w:t>
      </w:r>
      <w:r w:rsidR="00304FAD" w:rsidRPr="007F7EBF">
        <w:rPr>
          <w:sz w:val="22"/>
          <w:szCs w:val="22"/>
        </w:rPr>
        <w:t xml:space="preserve"> o persino furti, Per questo le  risultanze dell'inventario contabile sono oggetto di verifiche aziendali a campione attraverso «inventari fisici», cioè materiali conteggi di tipologie di merci in giacenza, e confront</w:t>
      </w:r>
      <w:r w:rsidR="009E6A61">
        <w:rPr>
          <w:sz w:val="22"/>
          <w:szCs w:val="22"/>
        </w:rPr>
        <w:t>i</w:t>
      </w:r>
      <w:r w:rsidR="00304FAD" w:rsidRPr="007F7EBF">
        <w:rPr>
          <w:sz w:val="22"/>
          <w:szCs w:val="22"/>
        </w:rPr>
        <w:t xml:space="preserve"> con quanto risulta dalla contabilità di magazzino.  È un monitoraggio che si può svolgere in corso d’anno, anche se concentrarlo verso la fine esercizio, per la </w:t>
      </w:r>
      <w:r w:rsidR="00304FAD" w:rsidRPr="007F7EBF">
        <w:rPr>
          <w:sz w:val="22"/>
          <w:szCs w:val="22"/>
        </w:rPr>
        <w:lastRenderedPageBreak/>
        <w:t xml:space="preserve">valorizzazione in bilancio delle rimanenze, rende meno probabile l'accumulazione di successivi errori nelle registrazioni di magazzino </w:t>
      </w:r>
      <w:r w:rsidR="00304FAD" w:rsidRPr="007F7EBF">
        <w:rPr>
          <w:rStyle w:val="Rimandonotaapidipagina"/>
          <w:sz w:val="22"/>
          <w:szCs w:val="22"/>
        </w:rPr>
        <w:footnoteReference w:id="1181"/>
      </w:r>
      <w:r w:rsidR="00304FAD" w:rsidRPr="007F7EBF">
        <w:rPr>
          <w:sz w:val="22"/>
          <w:szCs w:val="22"/>
        </w:rPr>
        <w:t xml:space="preserve">. </w:t>
      </w:r>
    </w:p>
    <w:p w14:paraId="4F9D7B36" w14:textId="77777777" w:rsidR="00574AAA" w:rsidRPr="007F7EBF" w:rsidRDefault="00574AAA" w:rsidP="00574AAA">
      <w:pPr>
        <w:pStyle w:val="tit23"/>
        <w:ind w:left="6464" w:right="-1361" w:firstLine="0"/>
        <w:jc w:val="left"/>
        <w:rPr>
          <w:bCs/>
          <w:i/>
          <w:iCs/>
          <w:color w:val="0000FF"/>
          <w:lang w:val="it-IT"/>
        </w:rPr>
      </w:pPr>
      <w:r w:rsidRPr="007F7EBF">
        <w:rPr>
          <w:bCs/>
          <w:i/>
          <w:iCs/>
          <w:color w:val="0000FF"/>
          <w:lang w:val="it-IT"/>
        </w:rPr>
        <w:t>Rilevanza delle rimanenze ai fini del reddito</w:t>
      </w:r>
    </w:p>
    <w:p w14:paraId="1A8F87AF" w14:textId="6CC02B97" w:rsidR="000E68C5" w:rsidRPr="007F7EBF" w:rsidRDefault="00574AAA" w:rsidP="000E68C5">
      <w:pPr>
        <w:autoSpaceDE w:val="0"/>
        <w:autoSpaceDN w:val="0"/>
        <w:adjustRightInd w:val="0"/>
        <w:rPr>
          <w:sz w:val="22"/>
          <w:szCs w:val="22"/>
        </w:rPr>
      </w:pPr>
      <w:r w:rsidRPr="007F7EBF">
        <w:rPr>
          <w:sz w:val="22"/>
          <w:szCs w:val="22"/>
        </w:rPr>
        <w:t>A fine esercizio occorre valorizzare le quantità di beni in rimanenza ed esprimerle in bilancio</w:t>
      </w:r>
      <w:r w:rsidR="009E6A61">
        <w:rPr>
          <w:sz w:val="22"/>
          <w:szCs w:val="22"/>
        </w:rPr>
        <w:t>.</w:t>
      </w:r>
      <w:r w:rsidRPr="007F7EBF">
        <w:rPr>
          <w:sz w:val="22"/>
          <w:szCs w:val="22"/>
        </w:rPr>
        <w:t xml:space="preserve"> </w:t>
      </w:r>
      <w:r w:rsidR="006342C5" w:rsidRPr="007F7EBF">
        <w:rPr>
          <w:sz w:val="22"/>
          <w:szCs w:val="22"/>
        </w:rPr>
        <w:t xml:space="preserve">Le </w:t>
      </w:r>
      <w:r w:rsidR="006342C5" w:rsidRPr="007F7EBF">
        <w:rPr>
          <w:bCs/>
          <w:sz w:val="22"/>
          <w:szCs w:val="22"/>
        </w:rPr>
        <w:t>rimanenze rettifica</w:t>
      </w:r>
      <w:r w:rsidR="00D90484" w:rsidRPr="007F7EBF">
        <w:rPr>
          <w:bCs/>
          <w:sz w:val="22"/>
          <w:szCs w:val="22"/>
        </w:rPr>
        <w:t>no</w:t>
      </w:r>
      <w:r w:rsidR="006342C5" w:rsidRPr="007F7EBF">
        <w:rPr>
          <w:sz w:val="22"/>
          <w:szCs w:val="22"/>
        </w:rPr>
        <w:t>, a fine esercizio, le registrazioni dei ricavi e dei</w:t>
      </w:r>
      <w:r w:rsidR="00817C86">
        <w:rPr>
          <w:sz w:val="22"/>
          <w:szCs w:val="22"/>
        </w:rPr>
        <w:t xml:space="preserve"> </w:t>
      </w:r>
      <w:r w:rsidR="006342C5" w:rsidRPr="007F7EBF">
        <w:rPr>
          <w:sz w:val="22"/>
          <w:szCs w:val="22"/>
        </w:rPr>
        <w:t>costi relativi a</w:t>
      </w:r>
      <w:r w:rsidR="000E68C5" w:rsidRPr="007F7EBF">
        <w:rPr>
          <w:sz w:val="22"/>
          <w:szCs w:val="22"/>
        </w:rPr>
        <w:t>i beni in esame, chiudendo il ciclo della registrazione</w:t>
      </w:r>
      <w:r w:rsidR="009E6A61">
        <w:rPr>
          <w:sz w:val="22"/>
          <w:szCs w:val="22"/>
        </w:rPr>
        <w:t xml:space="preserve">, </w:t>
      </w:r>
      <w:r w:rsidR="000E68C5" w:rsidRPr="007F7EBF">
        <w:rPr>
          <w:sz w:val="22"/>
          <w:szCs w:val="22"/>
        </w:rPr>
        <w:t xml:space="preserve">secondo la già indicata formula "a costi ricavi e rimanenze". </w:t>
      </w:r>
      <w:r w:rsidR="006342C5" w:rsidRPr="007F7EBF">
        <w:rPr>
          <w:sz w:val="22"/>
          <w:szCs w:val="22"/>
        </w:rPr>
        <w:t>Senza questo aggiustamento, il reddito dei periodi</w:t>
      </w:r>
      <w:r w:rsidR="00624B45" w:rsidRPr="007F7EBF">
        <w:rPr>
          <w:sz w:val="22"/>
          <w:szCs w:val="22"/>
        </w:rPr>
        <w:t xml:space="preserve"> </w:t>
      </w:r>
      <w:r w:rsidR="006342C5" w:rsidRPr="007F7EBF">
        <w:rPr>
          <w:sz w:val="22"/>
          <w:szCs w:val="22"/>
        </w:rPr>
        <w:t>in cui si accumulano le rimanenze verrebbe depresso a favore del reddito dei periodi in</w:t>
      </w:r>
      <w:r w:rsidR="00624B45" w:rsidRPr="007F7EBF">
        <w:rPr>
          <w:sz w:val="22"/>
          <w:szCs w:val="22"/>
        </w:rPr>
        <w:t xml:space="preserve"> cui i beni vengono vendut</w:t>
      </w:r>
      <w:r w:rsidR="006838AC" w:rsidRPr="007F7EBF">
        <w:rPr>
          <w:sz w:val="22"/>
          <w:szCs w:val="22"/>
        </w:rPr>
        <w:t>i</w:t>
      </w:r>
      <w:r w:rsidR="009E6A61">
        <w:rPr>
          <w:sz w:val="22"/>
          <w:szCs w:val="22"/>
        </w:rPr>
        <w:t>(</w:t>
      </w:r>
      <w:r w:rsidR="000E68C5" w:rsidRPr="007F7EBF">
        <w:rPr>
          <w:rStyle w:val="Rimandonotaapidipagina"/>
          <w:sz w:val="22"/>
          <w:szCs w:val="22"/>
        </w:rPr>
        <w:footnoteReference w:id="1182"/>
      </w:r>
      <w:r w:rsidR="009E6A61">
        <w:rPr>
          <w:sz w:val="22"/>
          <w:szCs w:val="22"/>
        </w:rPr>
        <w:t>)</w:t>
      </w:r>
      <w:r w:rsidR="000E68C5" w:rsidRPr="007F7EBF">
        <w:rPr>
          <w:sz w:val="22"/>
          <w:szCs w:val="22"/>
        </w:rPr>
        <w:t xml:space="preserve">. </w:t>
      </w:r>
    </w:p>
    <w:p w14:paraId="0F55101B" w14:textId="77777777" w:rsidR="000E68C5" w:rsidRPr="007F7EBF" w:rsidRDefault="00991C48" w:rsidP="000E68C5">
      <w:pPr>
        <w:pStyle w:val="tit23"/>
        <w:ind w:left="6464" w:right="-1361" w:firstLine="0"/>
        <w:jc w:val="left"/>
        <w:rPr>
          <w:bCs/>
          <w:i/>
          <w:iCs/>
          <w:color w:val="0000FF"/>
          <w:lang w:val="it-IT"/>
        </w:rPr>
      </w:pPr>
      <w:r w:rsidRPr="007F7EBF">
        <w:rPr>
          <w:bCs/>
          <w:i/>
          <w:iCs/>
          <w:color w:val="0000FF"/>
          <w:lang w:val="it-IT"/>
        </w:rPr>
        <w:t xml:space="preserve">raggruppamento e valorizzazione dei beni in rimanenza </w:t>
      </w:r>
    </w:p>
    <w:p w14:paraId="4D5792E1" w14:textId="7E89FCE3" w:rsidR="00991C48" w:rsidRPr="007F7EBF" w:rsidRDefault="00991C48" w:rsidP="00991C48">
      <w:pPr>
        <w:autoSpaceDE w:val="0"/>
        <w:autoSpaceDN w:val="0"/>
        <w:adjustRightInd w:val="0"/>
        <w:rPr>
          <w:sz w:val="22"/>
          <w:szCs w:val="22"/>
        </w:rPr>
      </w:pPr>
      <w:r w:rsidRPr="007F7EBF">
        <w:rPr>
          <w:sz w:val="22"/>
          <w:szCs w:val="22"/>
        </w:rPr>
        <w:t xml:space="preserve">Visto che le rimanenze sono gestite in modo ripetitivo, in serie e per masse, </w:t>
      </w:r>
      <w:r w:rsidR="006838AC" w:rsidRPr="007F7EBF">
        <w:rPr>
          <w:sz w:val="22"/>
          <w:szCs w:val="22"/>
        </w:rPr>
        <w:t xml:space="preserve">vanno </w:t>
      </w:r>
      <w:r w:rsidRPr="007F7EBF">
        <w:rPr>
          <w:sz w:val="22"/>
          <w:szCs w:val="22"/>
        </w:rPr>
        <w:t>di solito raggruppate</w:t>
      </w:r>
      <w:r w:rsidR="006838AC" w:rsidRPr="007F7EBF">
        <w:rPr>
          <w:sz w:val="22"/>
          <w:szCs w:val="22"/>
        </w:rPr>
        <w:t xml:space="preserve"> concettualmente in </w:t>
      </w:r>
      <w:r w:rsidR="006342C5" w:rsidRPr="007F7EBF">
        <w:rPr>
          <w:sz w:val="22"/>
          <w:szCs w:val="22"/>
        </w:rPr>
        <w:t>“categorie</w:t>
      </w:r>
      <w:r w:rsidR="00F02A07" w:rsidRPr="007F7EBF">
        <w:rPr>
          <w:sz w:val="22"/>
          <w:szCs w:val="22"/>
        </w:rPr>
        <w:t xml:space="preserve"> </w:t>
      </w:r>
      <w:r w:rsidR="006342C5" w:rsidRPr="007F7EBF">
        <w:rPr>
          <w:sz w:val="22"/>
          <w:szCs w:val="22"/>
        </w:rPr>
        <w:t xml:space="preserve">omogenee”, </w:t>
      </w:r>
      <w:r w:rsidRPr="007F7EBF">
        <w:rPr>
          <w:sz w:val="22"/>
          <w:szCs w:val="22"/>
        </w:rPr>
        <w:t xml:space="preserve">cioè formate da beni con caratteristiche e valori comparabili </w:t>
      </w:r>
      <w:r w:rsidR="009E6A61">
        <w:rPr>
          <w:sz w:val="22"/>
          <w:szCs w:val="22"/>
        </w:rPr>
        <w:t>(</w:t>
      </w:r>
      <w:r w:rsidRPr="007F7EBF">
        <w:rPr>
          <w:rStyle w:val="Rimandonotaapidipagina"/>
          <w:sz w:val="22"/>
          <w:szCs w:val="22"/>
        </w:rPr>
        <w:footnoteReference w:id="1183"/>
      </w:r>
      <w:r w:rsidR="009E6A61">
        <w:rPr>
          <w:sz w:val="22"/>
          <w:szCs w:val="22"/>
        </w:rPr>
        <w:t>)</w:t>
      </w:r>
      <w:r w:rsidRPr="007F7EBF">
        <w:rPr>
          <w:sz w:val="22"/>
          <w:szCs w:val="22"/>
        </w:rPr>
        <w:t>. Ad ogni unità di prodotto deve essere poi attribuito un valore, il che in genere avviene secondo medie statistiche, dividendo il costo complessivo, determinato nella "</w:t>
      </w:r>
      <w:r w:rsidR="009E6A61">
        <w:rPr>
          <w:sz w:val="22"/>
          <w:szCs w:val="22"/>
        </w:rPr>
        <w:t>contabilità industriale</w:t>
      </w:r>
      <w:r w:rsidR="005433B9">
        <w:rPr>
          <w:sz w:val="22"/>
          <w:szCs w:val="22"/>
        </w:rPr>
        <w:t xml:space="preserve"> </w:t>
      </w:r>
      <w:r w:rsidRPr="007F7EBF">
        <w:rPr>
          <w:sz w:val="22"/>
          <w:szCs w:val="22"/>
        </w:rPr>
        <w:t>" per la quantità acquistata o prodotta</w:t>
      </w:r>
      <w:r w:rsidR="009E6A61">
        <w:rPr>
          <w:sz w:val="22"/>
          <w:szCs w:val="22"/>
        </w:rPr>
        <w:t xml:space="preserve"> (</w:t>
      </w:r>
      <w:r w:rsidRPr="007F7EBF">
        <w:rPr>
          <w:rStyle w:val="Rimandonotaapidipagina"/>
          <w:sz w:val="22"/>
          <w:szCs w:val="22"/>
        </w:rPr>
        <w:footnoteReference w:id="1184"/>
      </w:r>
      <w:r w:rsidR="009E6A61">
        <w:rPr>
          <w:sz w:val="22"/>
          <w:szCs w:val="22"/>
        </w:rPr>
        <w:t>)</w:t>
      </w:r>
      <w:r w:rsidRPr="007F7EBF">
        <w:rPr>
          <w:sz w:val="22"/>
          <w:szCs w:val="22"/>
        </w:rPr>
        <w:t xml:space="preserve">. </w:t>
      </w:r>
      <w:r w:rsidR="00242A0E" w:rsidRPr="007F7EBF">
        <w:rPr>
          <w:sz w:val="22"/>
          <w:szCs w:val="22"/>
        </w:rPr>
        <w:t xml:space="preserve">Trattandosi di qualificazione e </w:t>
      </w:r>
      <w:r w:rsidR="00242A0E" w:rsidRPr="007F7EBF">
        <w:rPr>
          <w:sz w:val="22"/>
          <w:szCs w:val="22"/>
        </w:rPr>
        <w:lastRenderedPageBreak/>
        <w:t xml:space="preserve">classificazione, è normale che anch’essa segua, come indicato ai paragrafi  precedenti, i principi contabili, anziché le norme tributarie.  </w:t>
      </w:r>
    </w:p>
    <w:p w14:paraId="33AAAEFC" w14:textId="77777777" w:rsidR="00991C48" w:rsidRPr="007F7EBF" w:rsidRDefault="00991C48" w:rsidP="00991C48">
      <w:pPr>
        <w:pStyle w:val="tit23"/>
        <w:ind w:left="6464" w:right="-1361" w:firstLine="0"/>
        <w:jc w:val="left"/>
        <w:rPr>
          <w:bCs/>
          <w:i/>
          <w:iCs/>
          <w:color w:val="0000FF"/>
          <w:lang w:val="it-IT"/>
        </w:rPr>
      </w:pPr>
      <w:r w:rsidRPr="007F7EBF">
        <w:rPr>
          <w:bCs/>
          <w:i/>
          <w:iCs/>
          <w:color w:val="0000FF"/>
          <w:lang w:val="it-IT"/>
        </w:rPr>
        <w:t xml:space="preserve">Gli elementi del costo </w:t>
      </w:r>
    </w:p>
    <w:p w14:paraId="3607CCF1" w14:textId="498C1517" w:rsidR="00125347" w:rsidRPr="007F7EBF" w:rsidRDefault="00991C48" w:rsidP="00125347">
      <w:pPr>
        <w:autoSpaceDE w:val="0"/>
        <w:autoSpaceDN w:val="0"/>
        <w:adjustRightInd w:val="0"/>
        <w:rPr>
          <w:sz w:val="22"/>
          <w:szCs w:val="22"/>
        </w:rPr>
      </w:pPr>
      <w:r w:rsidRPr="007F7EBF">
        <w:rPr>
          <w:sz w:val="22"/>
          <w:szCs w:val="22"/>
        </w:rPr>
        <w:t>Il calcolo del costo di prodotto tiene conto dei costi diretti</w:t>
      </w:r>
      <w:r w:rsidR="00125347" w:rsidRPr="007F7EBF">
        <w:rPr>
          <w:sz w:val="22"/>
          <w:szCs w:val="22"/>
        </w:rPr>
        <w:t>, come materie prime consumate e tempi di lavoro tecnico, energia, ammortamento dei macchinari industriali e altri elementi tenuti in considerazione dalla suddetta "contabilità industriale", detta anche "contabilità dei costi", e che ogni azienda personalizza a seconda dei beni o servizi che produce</w:t>
      </w:r>
      <w:r w:rsidR="00125347" w:rsidRPr="007F7EBF">
        <w:rPr>
          <w:rStyle w:val="Rimandonotaapidipagina"/>
          <w:sz w:val="22"/>
          <w:szCs w:val="22"/>
        </w:rPr>
        <w:footnoteReference w:id="1185"/>
      </w:r>
      <w:r w:rsidR="00125347" w:rsidRPr="007F7EBF">
        <w:rPr>
          <w:sz w:val="22"/>
          <w:szCs w:val="22"/>
        </w:rPr>
        <w:t xml:space="preserve">.  </w:t>
      </w:r>
      <w:r w:rsidR="006E5487" w:rsidRPr="007F7EBF">
        <w:rPr>
          <w:sz w:val="22"/>
          <w:szCs w:val="22"/>
        </w:rPr>
        <w:t xml:space="preserve">Questa divisione e la determinazione di un costo medio viene effettuata per ogni periodo di imposta, dando un "costo medio per </w:t>
      </w:r>
      <w:r w:rsidR="00817C86">
        <w:rPr>
          <w:sz w:val="22"/>
          <w:szCs w:val="22"/>
        </w:rPr>
        <w:t xml:space="preserve">ogni </w:t>
      </w:r>
      <w:r w:rsidR="006E5487" w:rsidRPr="007F7EBF">
        <w:rPr>
          <w:sz w:val="22"/>
          <w:szCs w:val="22"/>
        </w:rPr>
        <w:t>anno di acquisizione dei beni.</w:t>
      </w:r>
    </w:p>
    <w:p w14:paraId="644E19C2" w14:textId="77777777" w:rsidR="00125347" w:rsidRPr="007F7EBF" w:rsidRDefault="00125347" w:rsidP="00125347">
      <w:pPr>
        <w:pStyle w:val="tit23"/>
        <w:ind w:left="6464" w:right="-1361" w:firstLine="0"/>
        <w:jc w:val="left"/>
        <w:rPr>
          <w:bCs/>
          <w:i/>
          <w:iCs/>
          <w:color w:val="0000FF"/>
          <w:lang w:val="it-IT"/>
        </w:rPr>
      </w:pPr>
      <w:r w:rsidRPr="007F7EBF">
        <w:rPr>
          <w:bCs/>
          <w:i/>
          <w:iCs/>
          <w:color w:val="0000FF"/>
          <w:lang w:val="it-IT"/>
        </w:rPr>
        <w:t>Riferimenti temporali delle giacenze</w:t>
      </w:r>
      <w:r w:rsidR="00A93191" w:rsidRPr="007F7EBF">
        <w:rPr>
          <w:bCs/>
          <w:i/>
          <w:iCs/>
          <w:color w:val="0000FF"/>
          <w:lang w:val="it-IT"/>
        </w:rPr>
        <w:t xml:space="preserve"> </w:t>
      </w:r>
    </w:p>
    <w:p w14:paraId="233F0A02" w14:textId="2FF39247" w:rsidR="00844961" w:rsidRPr="007F7EBF" w:rsidRDefault="00A93191" w:rsidP="00844961">
      <w:pPr>
        <w:autoSpaceDE w:val="0"/>
        <w:autoSpaceDN w:val="0"/>
        <w:adjustRightInd w:val="0"/>
        <w:rPr>
          <w:sz w:val="22"/>
          <w:szCs w:val="22"/>
        </w:rPr>
      </w:pPr>
      <w:r w:rsidRPr="007F7EBF">
        <w:rPr>
          <w:sz w:val="22"/>
          <w:szCs w:val="22"/>
        </w:rPr>
        <w:t>Manca in questo modo una valorizzazione degli specifici beni fisicamente in rimanenza</w:t>
      </w:r>
      <w:r w:rsidR="00817C86">
        <w:rPr>
          <w:sz w:val="22"/>
          <w:szCs w:val="22"/>
        </w:rPr>
        <w:t>,</w:t>
      </w:r>
      <w:r w:rsidRPr="007F7EBF">
        <w:rPr>
          <w:sz w:val="22"/>
          <w:szCs w:val="22"/>
        </w:rPr>
        <w:t xml:space="preserve"> e a questo fine la </w:t>
      </w:r>
      <w:r w:rsidR="006342C5" w:rsidRPr="007F7EBF">
        <w:rPr>
          <w:sz w:val="22"/>
          <w:szCs w:val="22"/>
        </w:rPr>
        <w:t xml:space="preserve">convenzione più precisa </w:t>
      </w:r>
      <w:r w:rsidRPr="007F7EBF">
        <w:rPr>
          <w:sz w:val="22"/>
          <w:szCs w:val="22"/>
        </w:rPr>
        <w:t xml:space="preserve">sarebbe </w:t>
      </w:r>
      <w:r w:rsidR="006342C5" w:rsidRPr="007F7EBF">
        <w:rPr>
          <w:sz w:val="22"/>
          <w:szCs w:val="22"/>
        </w:rPr>
        <w:t xml:space="preserve">valorizzare le merci in rimanenza secondo i </w:t>
      </w:r>
      <w:r w:rsidR="006342C5" w:rsidRPr="007F7EBF">
        <w:rPr>
          <w:bCs/>
          <w:sz w:val="22"/>
          <w:szCs w:val="22"/>
        </w:rPr>
        <w:t xml:space="preserve">costi </w:t>
      </w:r>
      <w:r w:rsidRPr="007F7EBF">
        <w:rPr>
          <w:bCs/>
          <w:sz w:val="22"/>
          <w:szCs w:val="22"/>
        </w:rPr>
        <w:t>medi dell'ultimo anno (</w:t>
      </w:r>
      <w:r w:rsidR="006342C5" w:rsidRPr="007F7EBF">
        <w:rPr>
          <w:sz w:val="22"/>
          <w:szCs w:val="22"/>
        </w:rPr>
        <w:t>metodo c.d. FIFO</w:t>
      </w:r>
      <w:r w:rsidRPr="007F7EBF">
        <w:rPr>
          <w:sz w:val="22"/>
          <w:szCs w:val="22"/>
        </w:rPr>
        <w:t>)</w:t>
      </w:r>
      <w:r w:rsidR="006342C5" w:rsidRPr="007F7EBF">
        <w:rPr>
          <w:sz w:val="22"/>
          <w:szCs w:val="22"/>
        </w:rPr>
        <w:t>.</w:t>
      </w:r>
      <w:r w:rsidR="00F02A07" w:rsidRPr="007F7EBF">
        <w:rPr>
          <w:sz w:val="22"/>
          <w:szCs w:val="22"/>
        </w:rPr>
        <w:t xml:space="preserve"> </w:t>
      </w:r>
      <w:r w:rsidR="006342C5" w:rsidRPr="007F7EBF">
        <w:rPr>
          <w:sz w:val="22"/>
          <w:szCs w:val="22"/>
        </w:rPr>
        <w:t>Un diverso criterio, più prudenziale in periodi di inflazione, è invece quello di valorizzare</w:t>
      </w:r>
      <w:r w:rsidR="00F02A07" w:rsidRPr="007F7EBF">
        <w:rPr>
          <w:sz w:val="22"/>
          <w:szCs w:val="22"/>
        </w:rPr>
        <w:t xml:space="preserve"> </w:t>
      </w:r>
      <w:r w:rsidR="006342C5" w:rsidRPr="007F7EBF">
        <w:rPr>
          <w:sz w:val="22"/>
          <w:szCs w:val="22"/>
        </w:rPr>
        <w:t xml:space="preserve">le merci </w:t>
      </w:r>
      <w:r w:rsidR="006342C5" w:rsidRPr="007F7EBF">
        <w:rPr>
          <w:bCs/>
          <w:sz w:val="22"/>
          <w:szCs w:val="22"/>
        </w:rPr>
        <w:t xml:space="preserve">ai costi più vecchi </w:t>
      </w:r>
      <w:r w:rsidR="006342C5" w:rsidRPr="007F7EBF">
        <w:rPr>
          <w:sz w:val="22"/>
          <w:szCs w:val="22"/>
        </w:rPr>
        <w:t>(c.d. “LIFO”</w:t>
      </w:r>
      <w:r w:rsidR="00A75AE1" w:rsidRPr="007F7EBF">
        <w:rPr>
          <w:rStyle w:val="Rimandonotaapidipagina"/>
          <w:sz w:val="22"/>
          <w:szCs w:val="22"/>
        </w:rPr>
        <w:footnoteReference w:id="1186"/>
      </w:r>
      <w:r w:rsidR="00CA13D7" w:rsidRPr="007F7EBF">
        <w:rPr>
          <w:sz w:val="22"/>
          <w:szCs w:val="22"/>
        </w:rPr>
        <w:t xml:space="preserve">). </w:t>
      </w:r>
      <w:r w:rsidRPr="007F7EBF">
        <w:rPr>
          <w:sz w:val="22"/>
          <w:szCs w:val="22"/>
        </w:rPr>
        <w:t>C'è insomma la convenzione di mantenere la valorizzazione delle rimanenze, anche se fisicamente i beni sono cambiati, secondo i costi medi ricevuti all'inizio dell'esercizio, valorizzando solo eventuali eccedenze ai costi medi dell'anno</w:t>
      </w:r>
      <w:r w:rsidR="00661C08" w:rsidRPr="007F7EBF">
        <w:rPr>
          <w:rStyle w:val="Rimandonotaapidipagina"/>
          <w:sz w:val="22"/>
          <w:szCs w:val="22"/>
        </w:rPr>
        <w:footnoteReference w:id="1187"/>
      </w:r>
      <w:r w:rsidRPr="007F7EBF">
        <w:rPr>
          <w:sz w:val="22"/>
          <w:szCs w:val="22"/>
        </w:rPr>
        <w:t xml:space="preserve">. Si formano così </w:t>
      </w:r>
      <w:r w:rsidR="006342C5" w:rsidRPr="007F7EBF">
        <w:rPr>
          <w:sz w:val="22"/>
          <w:szCs w:val="22"/>
        </w:rPr>
        <w:t>stratificazioni di valori</w:t>
      </w:r>
      <w:r w:rsidR="00F02A07" w:rsidRPr="007F7EBF">
        <w:rPr>
          <w:sz w:val="22"/>
          <w:szCs w:val="22"/>
        </w:rPr>
        <w:t xml:space="preserve"> </w:t>
      </w:r>
      <w:r w:rsidR="006342C5" w:rsidRPr="007F7EBF">
        <w:rPr>
          <w:sz w:val="22"/>
          <w:szCs w:val="22"/>
        </w:rPr>
        <w:t xml:space="preserve">per anni di formazione, </w:t>
      </w:r>
      <w:r w:rsidRPr="007F7EBF">
        <w:rPr>
          <w:sz w:val="22"/>
          <w:szCs w:val="22"/>
        </w:rPr>
        <w:t xml:space="preserve">cui -in </w:t>
      </w:r>
      <w:r w:rsidRPr="007F7EBF">
        <w:rPr>
          <w:sz w:val="22"/>
          <w:szCs w:val="22"/>
        </w:rPr>
        <w:lastRenderedPageBreak/>
        <w:t>perio</w:t>
      </w:r>
      <w:r w:rsidR="00844961" w:rsidRPr="007F7EBF">
        <w:rPr>
          <w:sz w:val="22"/>
          <w:szCs w:val="22"/>
        </w:rPr>
        <w:t>di di inflazione- corrisponde una inferiorità del valore contabile delle rimanenze rispetto al valore di acquisto in quello stesso periodo</w:t>
      </w:r>
      <w:r w:rsidR="00844961" w:rsidRPr="007F7EBF">
        <w:rPr>
          <w:rStyle w:val="Rimandonotaapidipagina"/>
          <w:sz w:val="22"/>
          <w:szCs w:val="22"/>
        </w:rPr>
        <w:footnoteReference w:id="1188"/>
      </w:r>
      <w:r w:rsidR="006342C5" w:rsidRPr="007F7EBF">
        <w:rPr>
          <w:sz w:val="22"/>
          <w:szCs w:val="22"/>
        </w:rPr>
        <w:t>.</w:t>
      </w:r>
    </w:p>
    <w:p w14:paraId="446FC319" w14:textId="77777777" w:rsidR="00844961" w:rsidRPr="007F7EBF" w:rsidRDefault="00844961" w:rsidP="00844961">
      <w:pPr>
        <w:pStyle w:val="tit23"/>
        <w:ind w:left="6464" w:right="-1361" w:firstLine="0"/>
        <w:jc w:val="left"/>
        <w:rPr>
          <w:bCs/>
          <w:i/>
          <w:iCs/>
          <w:color w:val="0000FF"/>
          <w:lang w:val="it-IT"/>
        </w:rPr>
      </w:pPr>
      <w:r w:rsidRPr="007F7EBF">
        <w:rPr>
          <w:bCs/>
          <w:i/>
          <w:iCs/>
          <w:color w:val="0000FF"/>
          <w:lang w:val="it-IT"/>
        </w:rPr>
        <w:t>Svalutazioni delle rimanenze</w:t>
      </w:r>
    </w:p>
    <w:p w14:paraId="0E9C5DCB" w14:textId="77777777" w:rsidR="00CA13D7" w:rsidRPr="007F7EBF" w:rsidRDefault="006342C5" w:rsidP="006342C5">
      <w:pPr>
        <w:autoSpaceDE w:val="0"/>
        <w:autoSpaceDN w:val="0"/>
        <w:adjustRightInd w:val="0"/>
        <w:rPr>
          <w:sz w:val="22"/>
          <w:szCs w:val="22"/>
        </w:rPr>
      </w:pPr>
      <w:r w:rsidRPr="007F7EBF">
        <w:rPr>
          <w:sz w:val="22"/>
          <w:szCs w:val="22"/>
        </w:rPr>
        <w:t xml:space="preserve">La </w:t>
      </w:r>
      <w:r w:rsidRPr="007F7EBF">
        <w:rPr>
          <w:bCs/>
          <w:sz w:val="22"/>
          <w:szCs w:val="22"/>
        </w:rPr>
        <w:t xml:space="preserve">svalutazione </w:t>
      </w:r>
      <w:r w:rsidRPr="007F7EBF">
        <w:rPr>
          <w:sz w:val="22"/>
          <w:szCs w:val="22"/>
        </w:rPr>
        <w:t>d</w:t>
      </w:r>
      <w:r w:rsidRPr="007F7EBF">
        <w:rPr>
          <w:bCs/>
          <w:sz w:val="22"/>
          <w:szCs w:val="22"/>
        </w:rPr>
        <w:t xml:space="preserve">elle rimanenze </w:t>
      </w:r>
      <w:r w:rsidRPr="007F7EBF">
        <w:rPr>
          <w:sz w:val="22"/>
          <w:szCs w:val="22"/>
        </w:rPr>
        <w:t xml:space="preserve">è </w:t>
      </w:r>
      <w:r w:rsidR="006E5487" w:rsidRPr="007F7EBF">
        <w:rPr>
          <w:sz w:val="22"/>
          <w:szCs w:val="22"/>
        </w:rPr>
        <w:t xml:space="preserve">invece ancora ispirata dai criteri  tributari, non trattandosi più di qualificazione o classificazione, ma di “valutazione”; essa è </w:t>
      </w:r>
      <w:r w:rsidRPr="007F7EBF">
        <w:rPr>
          <w:bCs/>
          <w:sz w:val="22"/>
          <w:szCs w:val="22"/>
        </w:rPr>
        <w:t xml:space="preserve">ammessa </w:t>
      </w:r>
      <w:r w:rsidRPr="007F7EBF">
        <w:rPr>
          <w:sz w:val="22"/>
          <w:szCs w:val="22"/>
        </w:rPr>
        <w:t>quando il prezzo di mercato scende</w:t>
      </w:r>
      <w:r w:rsidR="00F02A07" w:rsidRPr="007F7EBF">
        <w:rPr>
          <w:sz w:val="22"/>
          <w:szCs w:val="22"/>
        </w:rPr>
        <w:t xml:space="preserve"> </w:t>
      </w:r>
      <w:r w:rsidRPr="007F7EBF">
        <w:rPr>
          <w:sz w:val="22"/>
          <w:szCs w:val="22"/>
        </w:rPr>
        <w:t>al di sotto del costo; in questo caso l’i</w:t>
      </w:r>
      <w:r w:rsidRPr="007F7EBF">
        <w:rPr>
          <w:bCs/>
          <w:sz w:val="22"/>
          <w:szCs w:val="22"/>
        </w:rPr>
        <w:t xml:space="preserve">ntera </w:t>
      </w:r>
      <w:r w:rsidRPr="007F7EBF">
        <w:rPr>
          <w:sz w:val="22"/>
          <w:szCs w:val="22"/>
        </w:rPr>
        <w:t xml:space="preserve">categoria omogenea </w:t>
      </w:r>
      <w:r w:rsidRPr="007F7EBF">
        <w:rPr>
          <w:bCs/>
          <w:sz w:val="22"/>
          <w:szCs w:val="22"/>
        </w:rPr>
        <w:t xml:space="preserve">può </w:t>
      </w:r>
      <w:r w:rsidRPr="007F7EBF">
        <w:rPr>
          <w:sz w:val="22"/>
          <w:szCs w:val="22"/>
        </w:rPr>
        <w:t>essere valutata in</w:t>
      </w:r>
      <w:r w:rsidR="006E5487" w:rsidRPr="007F7EBF">
        <w:rPr>
          <w:sz w:val="22"/>
          <w:szCs w:val="22"/>
        </w:rPr>
        <w:t xml:space="preserve"> </w:t>
      </w:r>
      <w:r w:rsidRPr="007F7EBF">
        <w:rPr>
          <w:sz w:val="22"/>
          <w:szCs w:val="22"/>
        </w:rPr>
        <w:t>base al prezzo di mercato, comprese le stratificazioni annuali per cui ciò dovesse comportare</w:t>
      </w:r>
      <w:r w:rsidR="00F02A07" w:rsidRPr="007F7EBF">
        <w:rPr>
          <w:sz w:val="22"/>
          <w:szCs w:val="22"/>
        </w:rPr>
        <w:t xml:space="preserve"> </w:t>
      </w:r>
      <w:r w:rsidRPr="007F7EBF">
        <w:rPr>
          <w:sz w:val="22"/>
          <w:szCs w:val="22"/>
        </w:rPr>
        <w:t>una rivalutazione, anziché una svalutazione.</w:t>
      </w:r>
      <w:r w:rsidR="00F02A07" w:rsidRPr="007F7EBF">
        <w:rPr>
          <w:sz w:val="22"/>
          <w:szCs w:val="22"/>
        </w:rPr>
        <w:t xml:space="preserve"> </w:t>
      </w:r>
    </w:p>
    <w:p w14:paraId="1FC6E1B5" w14:textId="77777777" w:rsidR="00844961" w:rsidRPr="007F7EBF" w:rsidRDefault="00844961" w:rsidP="00844961">
      <w:pPr>
        <w:pStyle w:val="tit23"/>
        <w:ind w:left="6464" w:right="-1361" w:firstLine="0"/>
        <w:jc w:val="left"/>
        <w:rPr>
          <w:bCs/>
          <w:i/>
          <w:iCs/>
          <w:color w:val="0000FF"/>
          <w:lang w:val="it-IT"/>
        </w:rPr>
      </w:pPr>
      <w:r w:rsidRPr="007F7EBF">
        <w:rPr>
          <w:bCs/>
          <w:i/>
          <w:iCs/>
          <w:color w:val="0000FF"/>
          <w:lang w:val="it-IT"/>
        </w:rPr>
        <w:t xml:space="preserve">rimanenze di servizi </w:t>
      </w:r>
    </w:p>
    <w:p w14:paraId="4E880B12" w14:textId="656D587B" w:rsidR="006342C5" w:rsidRPr="007F7EBF" w:rsidRDefault="00CA13D7" w:rsidP="006342C5">
      <w:pPr>
        <w:autoSpaceDE w:val="0"/>
        <w:autoSpaceDN w:val="0"/>
        <w:adjustRightInd w:val="0"/>
        <w:rPr>
          <w:sz w:val="22"/>
          <w:szCs w:val="22"/>
        </w:rPr>
      </w:pPr>
      <w:r w:rsidRPr="007F7EBF">
        <w:rPr>
          <w:sz w:val="22"/>
          <w:szCs w:val="22"/>
        </w:rPr>
        <w:t>S</w:t>
      </w:r>
      <w:r w:rsidR="006342C5" w:rsidRPr="007F7EBF">
        <w:rPr>
          <w:sz w:val="22"/>
          <w:szCs w:val="22"/>
        </w:rPr>
        <w:t xml:space="preserve">i valutano </w:t>
      </w:r>
      <w:r w:rsidRPr="007F7EBF">
        <w:rPr>
          <w:sz w:val="22"/>
          <w:szCs w:val="22"/>
        </w:rPr>
        <w:t xml:space="preserve">in base al costo </w:t>
      </w:r>
      <w:r w:rsidR="006342C5" w:rsidRPr="007F7EBF">
        <w:rPr>
          <w:sz w:val="22"/>
          <w:szCs w:val="22"/>
        </w:rPr>
        <w:t xml:space="preserve">anche i servizi </w:t>
      </w:r>
      <w:r w:rsidR="006342C5" w:rsidRPr="007F7EBF">
        <w:rPr>
          <w:bCs/>
          <w:sz w:val="22"/>
          <w:szCs w:val="22"/>
        </w:rPr>
        <w:t xml:space="preserve">in corso di esecuzione </w:t>
      </w:r>
      <w:r w:rsidR="006342C5" w:rsidRPr="007F7EBF">
        <w:rPr>
          <w:sz w:val="22"/>
          <w:szCs w:val="22"/>
        </w:rPr>
        <w:t>al</w:t>
      </w:r>
      <w:r w:rsidR="00F02A07" w:rsidRPr="007F7EBF">
        <w:rPr>
          <w:sz w:val="22"/>
          <w:szCs w:val="22"/>
        </w:rPr>
        <w:t xml:space="preserve"> </w:t>
      </w:r>
      <w:r w:rsidR="006342C5" w:rsidRPr="007F7EBF">
        <w:rPr>
          <w:sz w:val="22"/>
          <w:szCs w:val="22"/>
        </w:rPr>
        <w:t>termine dell’esercizio)</w:t>
      </w:r>
      <w:r w:rsidR="00817C86">
        <w:rPr>
          <w:sz w:val="22"/>
          <w:szCs w:val="22"/>
        </w:rPr>
        <w:t xml:space="preserve"> </w:t>
      </w:r>
      <w:r w:rsidR="00F02A07" w:rsidRPr="007F7EBF">
        <w:rPr>
          <w:bCs/>
          <w:sz w:val="22"/>
          <w:szCs w:val="22"/>
        </w:rPr>
        <w:t xml:space="preserve"> </w:t>
      </w:r>
      <w:r w:rsidR="006342C5" w:rsidRPr="007F7EBF">
        <w:rPr>
          <w:sz w:val="22"/>
          <w:szCs w:val="22"/>
        </w:rPr>
        <w:t>(</w:t>
      </w:r>
      <w:r w:rsidR="00844961" w:rsidRPr="007F7EBF">
        <w:rPr>
          <w:rStyle w:val="Rimandonotaapidipagina"/>
          <w:sz w:val="22"/>
          <w:szCs w:val="22"/>
        </w:rPr>
        <w:footnoteReference w:id="1189"/>
      </w:r>
      <w:r w:rsidR="00F36E6F">
        <w:rPr>
          <w:sz w:val="22"/>
          <w:szCs w:val="22"/>
        </w:rPr>
        <w:t>); s</w:t>
      </w:r>
      <w:r w:rsidR="006342C5" w:rsidRPr="007F7EBF">
        <w:rPr>
          <w:sz w:val="22"/>
          <w:szCs w:val="22"/>
        </w:rPr>
        <w:t>e invece la prestazione ha un tempo di esecuzione ultrannuale</w:t>
      </w:r>
      <w:r w:rsidR="00F02A07" w:rsidRPr="007F7EBF">
        <w:rPr>
          <w:sz w:val="22"/>
          <w:szCs w:val="22"/>
        </w:rPr>
        <w:t xml:space="preserve"> </w:t>
      </w:r>
      <w:r w:rsidRPr="007F7EBF">
        <w:rPr>
          <w:sz w:val="22"/>
          <w:szCs w:val="22"/>
        </w:rPr>
        <w:t xml:space="preserve">(grandi appalti) la valutazione avviene al </w:t>
      </w:r>
      <w:r w:rsidR="006342C5" w:rsidRPr="007F7EBF">
        <w:rPr>
          <w:bCs/>
          <w:sz w:val="22"/>
          <w:szCs w:val="22"/>
        </w:rPr>
        <w:t xml:space="preserve"> prezzo contrattuale</w:t>
      </w:r>
      <w:r w:rsidR="006342C5" w:rsidRPr="007F7EBF">
        <w:rPr>
          <w:sz w:val="22"/>
          <w:szCs w:val="22"/>
        </w:rPr>
        <w:t xml:space="preserve">, e deve essere </w:t>
      </w:r>
      <w:r w:rsidRPr="007F7EBF">
        <w:rPr>
          <w:sz w:val="22"/>
          <w:szCs w:val="22"/>
        </w:rPr>
        <w:t>effettuata</w:t>
      </w:r>
      <w:r w:rsidR="006342C5" w:rsidRPr="007F7EBF">
        <w:rPr>
          <w:sz w:val="22"/>
          <w:szCs w:val="22"/>
        </w:rPr>
        <w:t xml:space="preserve"> (art. 93 TUIR) in base</w:t>
      </w:r>
      <w:r w:rsidR="00F02A07" w:rsidRPr="007F7EBF">
        <w:rPr>
          <w:sz w:val="22"/>
          <w:szCs w:val="22"/>
        </w:rPr>
        <w:t xml:space="preserve"> </w:t>
      </w:r>
      <w:r w:rsidR="006342C5" w:rsidRPr="007F7EBF">
        <w:rPr>
          <w:sz w:val="22"/>
          <w:szCs w:val="22"/>
        </w:rPr>
        <w:t xml:space="preserve">alla </w:t>
      </w:r>
      <w:r w:rsidR="006342C5" w:rsidRPr="007F7EBF">
        <w:rPr>
          <w:bCs/>
          <w:sz w:val="22"/>
          <w:szCs w:val="22"/>
        </w:rPr>
        <w:t xml:space="preserve">quota parte </w:t>
      </w:r>
      <w:r w:rsidR="006342C5" w:rsidRPr="007F7EBF">
        <w:rPr>
          <w:sz w:val="22"/>
          <w:szCs w:val="22"/>
        </w:rPr>
        <w:t xml:space="preserve">di corrispettivi pattuiti </w:t>
      </w:r>
      <w:r w:rsidR="006342C5" w:rsidRPr="007F7EBF">
        <w:rPr>
          <w:bCs/>
          <w:sz w:val="22"/>
          <w:szCs w:val="22"/>
        </w:rPr>
        <w:t>proporzionale ai lavori già svolti</w:t>
      </w:r>
      <w:r w:rsidR="006342C5" w:rsidRPr="007F7EBF">
        <w:rPr>
          <w:sz w:val="22"/>
          <w:szCs w:val="22"/>
        </w:rPr>
        <w:t>.</w:t>
      </w:r>
      <w:r w:rsidR="00844961" w:rsidRPr="007F7EBF">
        <w:rPr>
          <w:sz w:val="22"/>
          <w:szCs w:val="22"/>
        </w:rPr>
        <w:t xml:space="preserve"> Per questi servizi ultrannuali, quindi, la quota di profitto connessa al servizio stesso viene imputata, pro quota, a ciascun esercizio in proporzione della quota di lavori in esso svolta, senza attendere l'ultimazione dell'opera. </w:t>
      </w:r>
    </w:p>
    <w:p w14:paraId="541DA321" w14:textId="65B2D12B" w:rsidR="0013482F" w:rsidRPr="00C357D5" w:rsidRDefault="006342C5" w:rsidP="005E1AEB">
      <w:pPr>
        <w:pStyle w:val="Titolo3"/>
        <w:rPr>
          <w:rFonts w:ascii="Times New Roman" w:hAnsi="Times New Roman"/>
          <w:sz w:val="22"/>
          <w:szCs w:val="22"/>
          <w:lang w:val="it-IT"/>
        </w:rPr>
      </w:pPr>
      <w:bookmarkStart w:id="115" w:name="_Toc63365026"/>
      <w:r w:rsidRPr="007F7EBF">
        <w:rPr>
          <w:rFonts w:ascii="Times New Roman" w:hAnsi="Times New Roman"/>
          <w:sz w:val="22"/>
          <w:szCs w:val="22"/>
        </w:rPr>
        <w:t>7.17. Coordinamento tra tassazione delle società e dei soci</w:t>
      </w:r>
      <w:bookmarkEnd w:id="115"/>
    </w:p>
    <w:p w14:paraId="100810EB" w14:textId="77777777" w:rsidR="0013482F" w:rsidRPr="007F7EBF" w:rsidRDefault="0013482F" w:rsidP="0013482F">
      <w:pPr>
        <w:pStyle w:val="tit23"/>
        <w:ind w:left="6464" w:right="-1361" w:firstLine="0"/>
        <w:jc w:val="left"/>
        <w:rPr>
          <w:b/>
          <w:bCs/>
          <w:i/>
          <w:iCs/>
          <w:color w:val="0000FF"/>
          <w:lang w:val="it-IT"/>
        </w:rPr>
      </w:pPr>
      <w:r w:rsidRPr="007F7EBF">
        <w:rPr>
          <w:b/>
          <w:bCs/>
          <w:i/>
          <w:iCs/>
          <w:color w:val="0000FF"/>
          <w:lang w:val="it-IT"/>
        </w:rPr>
        <w:t xml:space="preserve">Tassazione immediata del reddito per le imprese individuali </w:t>
      </w:r>
    </w:p>
    <w:p w14:paraId="207DB860" w14:textId="03BFE971" w:rsidR="00FD1E16" w:rsidRPr="007F7EBF" w:rsidRDefault="007E1FD8" w:rsidP="00034C54">
      <w:pPr>
        <w:autoSpaceDE w:val="0"/>
        <w:autoSpaceDN w:val="0"/>
        <w:adjustRightInd w:val="0"/>
        <w:rPr>
          <w:sz w:val="22"/>
          <w:szCs w:val="22"/>
        </w:rPr>
      </w:pPr>
      <w:r>
        <w:rPr>
          <w:sz w:val="22"/>
          <w:szCs w:val="22"/>
        </w:rPr>
        <w:t>Gli imponibili possono scontare regimi in parte diversi anche in relazione alla forma giuridica dei soggetti in cui si collocano</w:t>
      </w:r>
      <w:r w:rsidR="004816E7">
        <w:rPr>
          <w:sz w:val="22"/>
          <w:szCs w:val="22"/>
        </w:rPr>
        <w:t>(</w:t>
      </w:r>
      <w:r w:rsidR="005D59D5" w:rsidRPr="007F7EBF">
        <w:rPr>
          <w:rStyle w:val="Rimandonotaapidipagina"/>
          <w:sz w:val="22"/>
          <w:szCs w:val="22"/>
        </w:rPr>
        <w:footnoteReference w:id="1190"/>
      </w:r>
      <w:r w:rsidR="004816E7">
        <w:rPr>
          <w:sz w:val="22"/>
          <w:szCs w:val="22"/>
        </w:rPr>
        <w:t>)</w:t>
      </w:r>
      <w:r>
        <w:rPr>
          <w:sz w:val="22"/>
          <w:szCs w:val="22"/>
        </w:rPr>
        <w:t xml:space="preserve">, come visto al </w:t>
      </w:r>
      <w:r w:rsidR="005D59D5" w:rsidRPr="007F7EBF">
        <w:rPr>
          <w:sz w:val="22"/>
          <w:szCs w:val="22"/>
        </w:rPr>
        <w:t xml:space="preserve">par.7.5 </w:t>
      </w:r>
      <w:r>
        <w:rPr>
          <w:sz w:val="22"/>
          <w:szCs w:val="22"/>
        </w:rPr>
        <w:t xml:space="preserve">dove </w:t>
      </w:r>
      <w:r w:rsidR="005D59D5" w:rsidRPr="007F7EBF">
        <w:rPr>
          <w:sz w:val="22"/>
          <w:szCs w:val="22"/>
        </w:rPr>
        <w:t xml:space="preserve">la </w:t>
      </w:r>
      <w:r w:rsidR="00FD1E16" w:rsidRPr="007F7EBF">
        <w:rPr>
          <w:sz w:val="22"/>
          <w:szCs w:val="22"/>
        </w:rPr>
        <w:t xml:space="preserve">forma giuridica </w:t>
      </w:r>
      <w:r w:rsidR="005D59D5" w:rsidRPr="007F7EBF">
        <w:rPr>
          <w:sz w:val="22"/>
          <w:szCs w:val="22"/>
        </w:rPr>
        <w:t xml:space="preserve">"società di capitali" </w:t>
      </w:r>
      <w:r>
        <w:rPr>
          <w:sz w:val="22"/>
          <w:szCs w:val="22"/>
        </w:rPr>
        <w:t xml:space="preserve">attrae nel </w:t>
      </w:r>
      <w:r>
        <w:rPr>
          <w:sz w:val="22"/>
          <w:szCs w:val="22"/>
        </w:rPr>
        <w:lastRenderedPageBreak/>
        <w:t xml:space="preserve">regime IVA atti che, se effettuati da altri soggetti, non lo sarebbero. I redditi sono attribuiti direttamente al titolare se realizzati da un’impresa individuale </w:t>
      </w:r>
      <w:r w:rsidR="0080017C" w:rsidRPr="007F7EBF">
        <w:rPr>
          <w:sz w:val="22"/>
          <w:szCs w:val="22"/>
        </w:rPr>
        <w:t>(par.7.5)</w:t>
      </w:r>
      <w:r w:rsidR="00FD1E16" w:rsidRPr="007F7EBF">
        <w:rPr>
          <w:sz w:val="22"/>
          <w:szCs w:val="22"/>
        </w:rPr>
        <w:t xml:space="preserve">, </w:t>
      </w:r>
      <w:r w:rsidR="002C3CF7" w:rsidRPr="007F7EBF">
        <w:rPr>
          <w:sz w:val="22"/>
          <w:szCs w:val="22"/>
        </w:rPr>
        <w:t xml:space="preserve">anche per la parte </w:t>
      </w:r>
      <w:r>
        <w:rPr>
          <w:sz w:val="22"/>
          <w:szCs w:val="22"/>
        </w:rPr>
        <w:t xml:space="preserve">rimasta presso l’azienda e </w:t>
      </w:r>
      <w:r w:rsidR="00FD1E16" w:rsidRPr="007F7EBF">
        <w:rPr>
          <w:sz w:val="22"/>
          <w:szCs w:val="22"/>
        </w:rPr>
        <w:t>non affluita alla sua sfera di consumo personale</w:t>
      </w:r>
      <w:r>
        <w:rPr>
          <w:sz w:val="22"/>
          <w:szCs w:val="22"/>
        </w:rPr>
        <w:t xml:space="preserve"> </w:t>
      </w:r>
      <w:r w:rsidR="00C42D65">
        <w:rPr>
          <w:sz w:val="22"/>
          <w:szCs w:val="22"/>
        </w:rPr>
        <w:t>(</w:t>
      </w:r>
      <w:r w:rsidR="00FD1E16" w:rsidRPr="007F7EBF">
        <w:rPr>
          <w:rStyle w:val="Rimandonotaapidipagina"/>
          <w:sz w:val="22"/>
          <w:szCs w:val="22"/>
        </w:rPr>
        <w:footnoteReference w:id="1191"/>
      </w:r>
      <w:r w:rsidR="00C42D65">
        <w:rPr>
          <w:sz w:val="22"/>
          <w:szCs w:val="22"/>
        </w:rPr>
        <w:t>)</w:t>
      </w:r>
      <w:r w:rsidR="00FD1E16" w:rsidRPr="007F7EBF">
        <w:rPr>
          <w:sz w:val="22"/>
          <w:szCs w:val="22"/>
        </w:rPr>
        <w:t xml:space="preserve">. </w:t>
      </w:r>
      <w:r w:rsidR="0025149B" w:rsidRPr="007F7EBF">
        <w:rPr>
          <w:sz w:val="22"/>
          <w:szCs w:val="22"/>
        </w:rPr>
        <w:t>Si</w:t>
      </w:r>
      <w:r w:rsidR="00590FA1" w:rsidRPr="007F7EBF">
        <w:rPr>
          <w:sz w:val="22"/>
          <w:szCs w:val="22"/>
        </w:rPr>
        <w:t xml:space="preserve"> tratta infatti di una eventualità remota, e comunque di importo limitato, che non giustifica la complessità di allestire coordinamenti impositivi come quelli che vedremo tra un attimo tra società e soci</w:t>
      </w:r>
      <w:r w:rsidR="00C42D65">
        <w:rPr>
          <w:sz w:val="22"/>
          <w:szCs w:val="22"/>
        </w:rPr>
        <w:t>(</w:t>
      </w:r>
      <w:r w:rsidR="00590FA1" w:rsidRPr="007F7EBF">
        <w:rPr>
          <w:rStyle w:val="Rimandonotaapidipagina"/>
          <w:sz w:val="22"/>
          <w:szCs w:val="22"/>
        </w:rPr>
        <w:footnoteReference w:id="1192"/>
      </w:r>
      <w:r w:rsidR="00C42D65">
        <w:rPr>
          <w:sz w:val="22"/>
          <w:szCs w:val="22"/>
        </w:rPr>
        <w:t>)</w:t>
      </w:r>
      <w:r w:rsidR="00590FA1" w:rsidRPr="007F7EBF">
        <w:rPr>
          <w:sz w:val="22"/>
          <w:szCs w:val="22"/>
        </w:rPr>
        <w:t xml:space="preserve">. </w:t>
      </w:r>
    </w:p>
    <w:p w14:paraId="12170CC6" w14:textId="77777777" w:rsidR="0080017C" w:rsidRPr="007F7EBF" w:rsidRDefault="00FD1E16" w:rsidP="0080017C">
      <w:pPr>
        <w:autoSpaceDE w:val="0"/>
        <w:autoSpaceDN w:val="0"/>
        <w:adjustRightInd w:val="0"/>
        <w:rPr>
          <w:sz w:val="22"/>
          <w:szCs w:val="22"/>
        </w:rPr>
      </w:pPr>
      <w:r w:rsidRPr="007F7EBF">
        <w:rPr>
          <w:sz w:val="22"/>
          <w:szCs w:val="22"/>
        </w:rPr>
        <w:t>S</w:t>
      </w:r>
      <w:r w:rsidR="00076BEB" w:rsidRPr="007F7EBF">
        <w:rPr>
          <w:sz w:val="22"/>
          <w:szCs w:val="22"/>
        </w:rPr>
        <w:t xml:space="preserve">arebbe </w:t>
      </w:r>
      <w:r w:rsidRPr="007F7EBF">
        <w:rPr>
          <w:sz w:val="22"/>
          <w:szCs w:val="22"/>
        </w:rPr>
        <w:t>quindi</w:t>
      </w:r>
      <w:r w:rsidR="00076BEB" w:rsidRPr="007F7EBF">
        <w:rPr>
          <w:sz w:val="22"/>
          <w:szCs w:val="22"/>
        </w:rPr>
        <w:t xml:space="preserve"> troppo complesso, ed antieconomico sui presupposti in precedenza indicati, considerare</w:t>
      </w:r>
      <w:r w:rsidRPr="007F7EBF">
        <w:rPr>
          <w:sz w:val="22"/>
          <w:szCs w:val="22"/>
        </w:rPr>
        <w:t xml:space="preserve"> normativamente</w:t>
      </w:r>
      <w:r w:rsidR="00076BEB" w:rsidRPr="007F7EBF">
        <w:rPr>
          <w:sz w:val="22"/>
          <w:szCs w:val="22"/>
        </w:rPr>
        <w:t xml:space="preserve"> la possibilità di "mancata distribuzione del reddito" per attività di piccolo commercio al dettaglio e artigianali, dove prevale la figura del titolare. </w:t>
      </w:r>
    </w:p>
    <w:p w14:paraId="1951CFDD" w14:textId="104B198B" w:rsidR="0080017C" w:rsidRPr="007F7EBF" w:rsidRDefault="0080017C" w:rsidP="0080017C">
      <w:pPr>
        <w:pStyle w:val="tit23"/>
        <w:ind w:left="6464" w:right="-1361" w:firstLine="0"/>
        <w:jc w:val="left"/>
        <w:rPr>
          <w:bCs/>
          <w:i/>
          <w:iCs/>
          <w:color w:val="0000FF"/>
          <w:lang w:val="it-IT"/>
        </w:rPr>
      </w:pPr>
      <w:r w:rsidRPr="007F7EBF">
        <w:rPr>
          <w:bCs/>
          <w:i/>
          <w:iCs/>
          <w:color w:val="0000FF"/>
          <w:lang w:val="it-IT"/>
        </w:rPr>
        <w:t xml:space="preserve"> imprese familiari e </w:t>
      </w:r>
      <w:r w:rsidR="003C507F">
        <w:rPr>
          <w:bCs/>
          <w:i/>
          <w:iCs/>
          <w:color w:val="0000FF"/>
          <w:lang w:val="it-IT"/>
        </w:rPr>
        <w:t>società di persone</w:t>
      </w:r>
    </w:p>
    <w:p w14:paraId="32848E49" w14:textId="77777777" w:rsidR="003C507F" w:rsidRPr="007F7EBF" w:rsidRDefault="005053E5" w:rsidP="003C507F">
      <w:pPr>
        <w:autoSpaceDE w:val="0"/>
        <w:autoSpaceDN w:val="0"/>
        <w:adjustRightInd w:val="0"/>
        <w:rPr>
          <w:sz w:val="22"/>
          <w:szCs w:val="22"/>
        </w:rPr>
      </w:pPr>
      <w:r w:rsidRPr="007F7EBF">
        <w:rPr>
          <w:sz w:val="22"/>
          <w:szCs w:val="22"/>
        </w:rPr>
        <w:t>Anche e</w:t>
      </w:r>
      <w:r w:rsidR="0080017C" w:rsidRPr="007F7EBF">
        <w:rPr>
          <w:sz w:val="22"/>
          <w:szCs w:val="22"/>
        </w:rPr>
        <w:t>ventuali redditi attribuiti ai collaboratori familiari di imprese individuali sono imputati direttamente ai collaboratori; la tassazione di tali redditi è quindi trasferita dall’imprenditore al “parente collaboratore”</w:t>
      </w:r>
      <w:r w:rsidR="00C42D65">
        <w:rPr>
          <w:sz w:val="22"/>
          <w:szCs w:val="22"/>
        </w:rPr>
        <w:t xml:space="preserve"> (</w:t>
      </w:r>
      <w:r w:rsidR="0080017C" w:rsidRPr="007F7EBF">
        <w:rPr>
          <w:rStyle w:val="Rimandonotaapidipagina"/>
          <w:sz w:val="22"/>
          <w:szCs w:val="22"/>
        </w:rPr>
        <w:footnoteReference w:id="1193"/>
      </w:r>
      <w:r w:rsidR="00C42D65">
        <w:rPr>
          <w:sz w:val="22"/>
          <w:szCs w:val="22"/>
        </w:rPr>
        <w:t>)</w:t>
      </w:r>
      <w:r w:rsidR="0080017C" w:rsidRPr="007F7EBF">
        <w:rPr>
          <w:sz w:val="22"/>
          <w:szCs w:val="22"/>
        </w:rPr>
        <w:t xml:space="preserve">. </w:t>
      </w:r>
    </w:p>
    <w:p w14:paraId="72A01325" w14:textId="7278C9A2" w:rsidR="0080017C" w:rsidRPr="007F7EBF" w:rsidRDefault="003C507F" w:rsidP="0080017C">
      <w:pPr>
        <w:autoSpaceDE w:val="0"/>
        <w:autoSpaceDN w:val="0"/>
        <w:adjustRightInd w:val="0"/>
        <w:rPr>
          <w:sz w:val="22"/>
          <w:szCs w:val="22"/>
        </w:rPr>
      </w:pPr>
      <w:r>
        <w:rPr>
          <w:sz w:val="22"/>
          <w:szCs w:val="22"/>
        </w:rPr>
        <w:t xml:space="preserve">Il criterio è simile per le </w:t>
      </w:r>
      <w:r w:rsidRPr="007F7EBF">
        <w:rPr>
          <w:bCs/>
          <w:sz w:val="22"/>
          <w:szCs w:val="22"/>
        </w:rPr>
        <w:t>società di persone</w:t>
      </w:r>
      <w:r w:rsidRPr="007F7EBF">
        <w:rPr>
          <w:sz w:val="22"/>
          <w:szCs w:val="22"/>
        </w:rPr>
        <w:t xml:space="preserve">, </w:t>
      </w:r>
      <w:r>
        <w:rPr>
          <w:sz w:val="22"/>
          <w:szCs w:val="22"/>
        </w:rPr>
        <w:t xml:space="preserve">dove esiste un </w:t>
      </w:r>
      <w:r w:rsidRPr="007F7EBF">
        <w:rPr>
          <w:sz w:val="22"/>
          <w:szCs w:val="22"/>
        </w:rPr>
        <w:t xml:space="preserve">dualismo società-soci, </w:t>
      </w:r>
      <w:r>
        <w:rPr>
          <w:sz w:val="22"/>
          <w:szCs w:val="22"/>
        </w:rPr>
        <w:t xml:space="preserve">disatteso però per l’imposizione sui redditi; questi ultimi sono infatti imputati ai soci, con un </w:t>
      </w:r>
      <w:r w:rsidRPr="007F7EBF">
        <w:rPr>
          <w:sz w:val="22"/>
          <w:szCs w:val="22"/>
        </w:rPr>
        <w:t xml:space="preserve">criterio </w:t>
      </w:r>
      <w:r>
        <w:rPr>
          <w:sz w:val="22"/>
          <w:szCs w:val="22"/>
        </w:rPr>
        <w:t>molto simile a quello indicato</w:t>
      </w:r>
      <w:r w:rsidRPr="007F7EBF">
        <w:rPr>
          <w:sz w:val="22"/>
          <w:szCs w:val="22"/>
        </w:rPr>
        <w:t xml:space="preserve"> sopra per le imprese individuali, indipendentemente dalla sua </w:t>
      </w:r>
      <w:r w:rsidRPr="007F7EBF">
        <w:rPr>
          <w:sz w:val="22"/>
          <w:szCs w:val="22"/>
        </w:rPr>
        <w:lastRenderedPageBreak/>
        <w:t>effettiva distribuzione</w:t>
      </w:r>
      <w:r>
        <w:rPr>
          <w:sz w:val="22"/>
          <w:szCs w:val="22"/>
        </w:rPr>
        <w:t>, nelle percentuali di partecipazione (</w:t>
      </w:r>
      <w:r w:rsidRPr="007F7EBF">
        <w:rPr>
          <w:rStyle w:val="Rimandonotaapidipagina"/>
          <w:sz w:val="22"/>
          <w:szCs w:val="22"/>
        </w:rPr>
        <w:footnoteReference w:id="1194"/>
      </w:r>
      <w:r>
        <w:rPr>
          <w:sz w:val="22"/>
          <w:szCs w:val="22"/>
        </w:rPr>
        <w:t xml:space="preserve">). Anche in questo caso </w:t>
      </w:r>
      <w:r w:rsidRPr="007F7EBF">
        <w:rPr>
          <w:sz w:val="22"/>
          <w:szCs w:val="22"/>
        </w:rPr>
        <w:t>l</w:t>
      </w:r>
      <w:r>
        <w:rPr>
          <w:sz w:val="22"/>
          <w:szCs w:val="22"/>
        </w:rPr>
        <w:t xml:space="preserve">a successiva </w:t>
      </w:r>
      <w:r w:rsidRPr="007F7EBF">
        <w:rPr>
          <w:sz w:val="22"/>
          <w:szCs w:val="22"/>
        </w:rPr>
        <w:t>percezione de</w:t>
      </w:r>
      <w:r>
        <w:rPr>
          <w:sz w:val="22"/>
          <w:szCs w:val="22"/>
        </w:rPr>
        <w:t xml:space="preserve">gli utili </w:t>
      </w:r>
      <w:r w:rsidRPr="007F7EBF">
        <w:rPr>
          <w:sz w:val="22"/>
          <w:szCs w:val="22"/>
        </w:rPr>
        <w:t xml:space="preserve">è fiscalmente irrilevante in quanto la tassazione era già stata anticipata nel modo suddetto. </w:t>
      </w:r>
      <w:r>
        <w:rPr>
          <w:sz w:val="22"/>
          <w:szCs w:val="22"/>
        </w:rPr>
        <w:t>N</w:t>
      </w:r>
      <w:r w:rsidRPr="007F7EBF">
        <w:rPr>
          <w:sz w:val="22"/>
          <w:szCs w:val="22"/>
        </w:rPr>
        <w:t xml:space="preserve">ella stessa proporzione si imputano le perdite della società, le ritenute d’acconto, etc. (art. 5 TUIR). </w:t>
      </w:r>
    </w:p>
    <w:p w14:paraId="2DF11885" w14:textId="4CFED1BB" w:rsidR="008B6364" w:rsidRPr="007F7EBF" w:rsidRDefault="008B6364" w:rsidP="00C42D65">
      <w:pPr>
        <w:pStyle w:val="tit23"/>
        <w:ind w:left="6464" w:right="-1361" w:firstLine="0"/>
        <w:jc w:val="left"/>
        <w:rPr>
          <w:bCs/>
          <w:i/>
          <w:iCs/>
          <w:color w:val="0000FF"/>
          <w:lang w:val="it-IT"/>
        </w:rPr>
      </w:pPr>
      <w:r w:rsidRPr="007F7EBF">
        <w:rPr>
          <w:bCs/>
          <w:i/>
          <w:iCs/>
          <w:color w:val="0000FF"/>
          <w:lang w:val="it-IT"/>
        </w:rPr>
        <w:t>Necessità di coordinamento</w:t>
      </w:r>
      <w:r w:rsidR="00EC3AEC" w:rsidRPr="007F7EBF">
        <w:rPr>
          <w:bCs/>
          <w:i/>
          <w:iCs/>
          <w:color w:val="0000FF"/>
          <w:lang w:val="it-IT"/>
        </w:rPr>
        <w:t xml:space="preserve"> </w:t>
      </w:r>
      <w:r w:rsidR="0088799E">
        <w:rPr>
          <w:bCs/>
          <w:i/>
          <w:iCs/>
          <w:color w:val="0000FF"/>
          <w:lang w:val="it-IT"/>
        </w:rPr>
        <w:t xml:space="preserve">più generali </w:t>
      </w:r>
    </w:p>
    <w:p w14:paraId="4D7A66E9" w14:textId="51914C13" w:rsidR="00BC400E" w:rsidRPr="007F7EBF" w:rsidRDefault="00A45306" w:rsidP="003C507F">
      <w:pPr>
        <w:autoSpaceDE w:val="0"/>
        <w:autoSpaceDN w:val="0"/>
        <w:adjustRightInd w:val="0"/>
        <w:rPr>
          <w:sz w:val="22"/>
          <w:szCs w:val="22"/>
        </w:rPr>
      </w:pPr>
      <w:r>
        <w:rPr>
          <w:sz w:val="22"/>
          <w:szCs w:val="22"/>
        </w:rPr>
        <w:t xml:space="preserve">Quando però si tratta di società di capitali, disattendere la società, imputando i redditi ai soci, è molto meno accettabile, ed è una facoltà lasciata ai contribuenti, a condizioni molto ristrette, </w:t>
      </w:r>
      <w:r w:rsidRPr="007F7EBF">
        <w:rPr>
          <w:sz w:val="22"/>
          <w:szCs w:val="22"/>
        </w:rPr>
        <w:t>qualora i soci siano pochi</w:t>
      </w:r>
      <w:r>
        <w:rPr>
          <w:sz w:val="22"/>
          <w:szCs w:val="22"/>
        </w:rPr>
        <w:t xml:space="preserve"> (</w:t>
      </w:r>
      <w:r w:rsidRPr="007F7EBF">
        <w:rPr>
          <w:rStyle w:val="Rimandonotaapidipagina"/>
          <w:sz w:val="22"/>
          <w:szCs w:val="22"/>
        </w:rPr>
        <w:footnoteReference w:id="1195"/>
      </w:r>
      <w:r>
        <w:rPr>
          <w:sz w:val="22"/>
          <w:szCs w:val="22"/>
        </w:rPr>
        <w:t>)</w:t>
      </w:r>
      <w:r w:rsidRPr="007F7EBF">
        <w:rPr>
          <w:sz w:val="22"/>
          <w:szCs w:val="22"/>
        </w:rPr>
        <w:t xml:space="preserve">. </w:t>
      </w:r>
      <w:r>
        <w:rPr>
          <w:sz w:val="22"/>
          <w:szCs w:val="22"/>
        </w:rPr>
        <w:t xml:space="preserve"> Qui non c’è infatti adeguata </w:t>
      </w:r>
      <w:r w:rsidR="003C507F">
        <w:rPr>
          <w:sz w:val="22"/>
          <w:szCs w:val="22"/>
        </w:rPr>
        <w:t>i</w:t>
      </w:r>
      <w:r w:rsidR="003C507F" w:rsidRPr="007F7EBF">
        <w:rPr>
          <w:sz w:val="22"/>
          <w:szCs w:val="22"/>
        </w:rPr>
        <w:t>mmedesimazione</w:t>
      </w:r>
      <w:r>
        <w:rPr>
          <w:sz w:val="22"/>
          <w:szCs w:val="22"/>
        </w:rPr>
        <w:t>, neppure “economico-sostanziale”</w:t>
      </w:r>
      <w:r w:rsidR="003C507F" w:rsidRPr="007F7EBF">
        <w:rPr>
          <w:sz w:val="22"/>
          <w:szCs w:val="22"/>
        </w:rPr>
        <w:t xml:space="preserve"> tra soci e società</w:t>
      </w:r>
      <w:r>
        <w:rPr>
          <w:sz w:val="22"/>
          <w:szCs w:val="22"/>
        </w:rPr>
        <w:t>, ed o</w:t>
      </w:r>
      <w:r w:rsidR="00BF382B" w:rsidRPr="007F7EBF">
        <w:rPr>
          <w:sz w:val="22"/>
          <w:szCs w:val="22"/>
        </w:rPr>
        <w:t>ccorre quindi decidere in quale momento tassare i</w:t>
      </w:r>
      <w:r w:rsidR="008B6364" w:rsidRPr="007F7EBF">
        <w:rPr>
          <w:sz w:val="22"/>
          <w:szCs w:val="22"/>
        </w:rPr>
        <w:t xml:space="preserve"> relativi </w:t>
      </w:r>
      <w:r w:rsidR="00BF382B" w:rsidRPr="007F7EBF">
        <w:rPr>
          <w:sz w:val="22"/>
          <w:szCs w:val="22"/>
        </w:rPr>
        <w:t>flussi reddituali</w:t>
      </w:r>
      <w:r>
        <w:rPr>
          <w:sz w:val="22"/>
          <w:szCs w:val="22"/>
        </w:rPr>
        <w:t xml:space="preserve">. Un punto </w:t>
      </w:r>
      <w:r w:rsidR="008B6364" w:rsidRPr="007F7EBF">
        <w:rPr>
          <w:sz w:val="22"/>
          <w:szCs w:val="22"/>
        </w:rPr>
        <w:t>ferm</w:t>
      </w:r>
      <w:r>
        <w:rPr>
          <w:sz w:val="22"/>
          <w:szCs w:val="22"/>
        </w:rPr>
        <w:t>o è</w:t>
      </w:r>
      <w:r w:rsidR="008B6364" w:rsidRPr="007F7EBF">
        <w:rPr>
          <w:sz w:val="22"/>
          <w:szCs w:val="22"/>
        </w:rPr>
        <w:t xml:space="preserve"> l'assurdità economica, e anche giuridica</w:t>
      </w:r>
      <w:r>
        <w:rPr>
          <w:sz w:val="22"/>
          <w:szCs w:val="22"/>
        </w:rPr>
        <w:t xml:space="preserve"> (</w:t>
      </w:r>
      <w:r w:rsidR="008B6364" w:rsidRPr="007F7EBF">
        <w:rPr>
          <w:rStyle w:val="Rimandonotaapidipagina"/>
          <w:sz w:val="22"/>
          <w:szCs w:val="22"/>
        </w:rPr>
        <w:footnoteReference w:id="1196"/>
      </w:r>
      <w:r>
        <w:rPr>
          <w:sz w:val="22"/>
          <w:szCs w:val="22"/>
        </w:rPr>
        <w:t>)</w:t>
      </w:r>
      <w:r w:rsidR="008B6364" w:rsidRPr="007F7EBF">
        <w:rPr>
          <w:sz w:val="22"/>
          <w:szCs w:val="22"/>
        </w:rPr>
        <w:t xml:space="preserve">, di un aggravio fiscale per il solo fatto che </w:t>
      </w:r>
      <w:r>
        <w:rPr>
          <w:sz w:val="22"/>
          <w:szCs w:val="22"/>
        </w:rPr>
        <w:t xml:space="preserve">i redditi </w:t>
      </w:r>
      <w:r w:rsidR="008B6364" w:rsidRPr="007F7EBF">
        <w:rPr>
          <w:sz w:val="22"/>
          <w:szCs w:val="22"/>
        </w:rPr>
        <w:t xml:space="preserve"> sono prodotti in forma societaria anziché personal</w:t>
      </w:r>
      <w:r w:rsidR="00F64DC3">
        <w:rPr>
          <w:sz w:val="22"/>
          <w:szCs w:val="22"/>
        </w:rPr>
        <w:t>ment</w:t>
      </w:r>
      <w:r w:rsidR="008B6364" w:rsidRPr="007F7EBF">
        <w:rPr>
          <w:sz w:val="22"/>
          <w:szCs w:val="22"/>
        </w:rPr>
        <w:t xml:space="preserve">e. </w:t>
      </w:r>
      <w:r w:rsidR="00DC660A" w:rsidRPr="007F7EBF">
        <w:rPr>
          <w:sz w:val="22"/>
          <w:szCs w:val="22"/>
        </w:rPr>
        <w:t xml:space="preserve">E' </w:t>
      </w:r>
      <w:r>
        <w:rPr>
          <w:sz w:val="22"/>
          <w:szCs w:val="22"/>
        </w:rPr>
        <w:t xml:space="preserve"> </w:t>
      </w:r>
      <w:r w:rsidR="00DC660A" w:rsidRPr="007F7EBF">
        <w:rPr>
          <w:sz w:val="22"/>
          <w:szCs w:val="22"/>
        </w:rPr>
        <w:t>un'applicazione del tendenziale</w:t>
      </w:r>
      <w:r w:rsidR="007066EC" w:rsidRPr="007F7EBF">
        <w:rPr>
          <w:sz w:val="22"/>
          <w:szCs w:val="22"/>
        </w:rPr>
        <w:t xml:space="preserve"> </w:t>
      </w:r>
      <w:r w:rsidR="008B6364" w:rsidRPr="007F7EBF">
        <w:rPr>
          <w:sz w:val="22"/>
          <w:szCs w:val="22"/>
        </w:rPr>
        <w:t>principio di neutralità della tassazione rispetto alle forme giuridiche</w:t>
      </w:r>
      <w:r w:rsidR="00DC660A" w:rsidRPr="007F7EBF">
        <w:rPr>
          <w:sz w:val="22"/>
          <w:szCs w:val="22"/>
        </w:rPr>
        <w:t xml:space="preserve"> in cui </w:t>
      </w:r>
      <w:r>
        <w:rPr>
          <w:sz w:val="22"/>
          <w:szCs w:val="22"/>
        </w:rPr>
        <w:t>sono</w:t>
      </w:r>
      <w:r w:rsidR="00DC660A" w:rsidRPr="007F7EBF">
        <w:rPr>
          <w:sz w:val="22"/>
          <w:szCs w:val="22"/>
        </w:rPr>
        <w:t xml:space="preserve"> incanalat</w:t>
      </w:r>
      <w:r>
        <w:rPr>
          <w:sz w:val="22"/>
          <w:szCs w:val="22"/>
        </w:rPr>
        <w:t>e</w:t>
      </w:r>
      <w:r w:rsidR="00DC660A" w:rsidRPr="007F7EBF">
        <w:rPr>
          <w:sz w:val="22"/>
          <w:szCs w:val="22"/>
        </w:rPr>
        <w:t xml:space="preserve"> l</w:t>
      </w:r>
      <w:r>
        <w:rPr>
          <w:sz w:val="22"/>
          <w:szCs w:val="22"/>
        </w:rPr>
        <w:t>e astrazioni economiche di cui al par.1.8. (</w:t>
      </w:r>
      <w:r w:rsidR="005053E5" w:rsidRPr="007F7EBF">
        <w:rPr>
          <w:rStyle w:val="Rimandonotaapidipagina"/>
          <w:sz w:val="22"/>
          <w:szCs w:val="22"/>
        </w:rPr>
        <w:footnoteReference w:id="1197"/>
      </w:r>
      <w:r>
        <w:rPr>
          <w:sz w:val="22"/>
          <w:szCs w:val="22"/>
        </w:rPr>
        <w:t>)</w:t>
      </w:r>
      <w:r w:rsidR="00D1615A">
        <w:rPr>
          <w:bCs/>
          <w:sz w:val="22"/>
          <w:szCs w:val="22"/>
        </w:rPr>
        <w:t xml:space="preserve">. </w:t>
      </w:r>
    </w:p>
    <w:p w14:paraId="6BCAD9E6" w14:textId="77777777" w:rsidR="00BC400E" w:rsidRPr="007F7EBF" w:rsidRDefault="00BC400E" w:rsidP="00BC400E">
      <w:pPr>
        <w:pStyle w:val="tit23"/>
        <w:ind w:left="6464" w:right="-1361" w:firstLine="0"/>
        <w:jc w:val="left"/>
        <w:rPr>
          <w:bCs/>
          <w:i/>
          <w:iCs/>
          <w:color w:val="0000FF"/>
          <w:lang w:val="it-IT"/>
        </w:rPr>
      </w:pPr>
      <w:r w:rsidRPr="007F7EBF">
        <w:rPr>
          <w:bCs/>
          <w:i/>
          <w:iCs/>
          <w:color w:val="0000FF"/>
          <w:lang w:val="it-IT"/>
        </w:rPr>
        <w:lastRenderedPageBreak/>
        <w:t>Tassazione in due tempi dei redditi di società di capitali</w:t>
      </w:r>
    </w:p>
    <w:p w14:paraId="3029B4D7" w14:textId="53D37DE7" w:rsidR="00C4299A" w:rsidRDefault="006342C5" w:rsidP="00252905">
      <w:pPr>
        <w:autoSpaceDE w:val="0"/>
        <w:autoSpaceDN w:val="0"/>
        <w:adjustRightInd w:val="0"/>
        <w:rPr>
          <w:sz w:val="22"/>
          <w:szCs w:val="22"/>
        </w:rPr>
      </w:pPr>
      <w:r w:rsidRPr="007F7EBF">
        <w:rPr>
          <w:sz w:val="22"/>
          <w:szCs w:val="22"/>
        </w:rPr>
        <w:t xml:space="preserve">Il </w:t>
      </w:r>
      <w:r w:rsidRPr="007F7EBF">
        <w:rPr>
          <w:bCs/>
          <w:sz w:val="22"/>
          <w:szCs w:val="22"/>
        </w:rPr>
        <w:t>coordinamento</w:t>
      </w:r>
      <w:r w:rsidR="007C164C" w:rsidRPr="007F7EBF">
        <w:rPr>
          <w:bCs/>
          <w:sz w:val="22"/>
          <w:szCs w:val="22"/>
        </w:rPr>
        <w:t xml:space="preserve"> </w:t>
      </w:r>
      <w:r w:rsidR="00A45306">
        <w:rPr>
          <w:bCs/>
          <w:sz w:val="22"/>
          <w:szCs w:val="22"/>
        </w:rPr>
        <w:t xml:space="preserve">italiano, e della maggior parte dei paesi sviluppati, </w:t>
      </w:r>
      <w:r w:rsidRPr="007F7EBF">
        <w:rPr>
          <w:sz w:val="22"/>
          <w:szCs w:val="22"/>
        </w:rPr>
        <w:t xml:space="preserve">si basa su </w:t>
      </w:r>
      <w:r w:rsidRPr="007F7EBF">
        <w:rPr>
          <w:bCs/>
          <w:sz w:val="22"/>
          <w:szCs w:val="22"/>
        </w:rPr>
        <w:t>due livelli di tassazione</w:t>
      </w:r>
      <w:r w:rsidRPr="007F7EBF">
        <w:rPr>
          <w:sz w:val="22"/>
          <w:szCs w:val="22"/>
        </w:rPr>
        <w:t xml:space="preserve">, </w:t>
      </w:r>
      <w:r w:rsidR="001431B6" w:rsidRPr="007F7EBF">
        <w:rPr>
          <w:sz w:val="22"/>
          <w:szCs w:val="22"/>
        </w:rPr>
        <w:t xml:space="preserve">uno sulla società al momento della produzione del reddito </w:t>
      </w:r>
      <w:r w:rsidR="00A45306">
        <w:rPr>
          <w:sz w:val="22"/>
          <w:szCs w:val="22"/>
        </w:rPr>
        <w:t>(</w:t>
      </w:r>
      <w:r w:rsidR="001431B6" w:rsidRPr="007F7EBF">
        <w:rPr>
          <w:rStyle w:val="Rimandonotaapidipagina"/>
          <w:sz w:val="22"/>
          <w:szCs w:val="22"/>
        </w:rPr>
        <w:footnoteReference w:id="1198"/>
      </w:r>
      <w:r w:rsidR="00A45306">
        <w:rPr>
          <w:sz w:val="22"/>
          <w:szCs w:val="22"/>
        </w:rPr>
        <w:t>)</w:t>
      </w:r>
      <w:r w:rsidR="00EE4082">
        <w:rPr>
          <w:sz w:val="22"/>
          <w:szCs w:val="22"/>
        </w:rPr>
        <w:t xml:space="preserve"> </w:t>
      </w:r>
      <w:r w:rsidR="001431B6" w:rsidRPr="007F7EBF">
        <w:rPr>
          <w:sz w:val="22"/>
          <w:szCs w:val="22"/>
        </w:rPr>
        <w:t>e uno sul socio al momento della percezione dell'utile</w:t>
      </w:r>
      <w:r w:rsidR="00EE4082">
        <w:rPr>
          <w:sz w:val="22"/>
          <w:szCs w:val="22"/>
        </w:rPr>
        <w:t xml:space="preserve"> da parte del socio persona fisica; i</w:t>
      </w:r>
      <w:r w:rsidR="00EE4082" w:rsidRPr="007F7EBF">
        <w:rPr>
          <w:sz w:val="22"/>
          <w:szCs w:val="22"/>
        </w:rPr>
        <w:t xml:space="preserve"> dividendi tra società sono </w:t>
      </w:r>
      <w:r w:rsidR="00EE4082">
        <w:rPr>
          <w:sz w:val="22"/>
          <w:szCs w:val="22"/>
        </w:rPr>
        <w:t xml:space="preserve">invece </w:t>
      </w:r>
      <w:r w:rsidR="00EE4082" w:rsidRPr="007F7EBF">
        <w:rPr>
          <w:sz w:val="22"/>
          <w:szCs w:val="22"/>
        </w:rPr>
        <w:t>sostanzialmente neutri (</w:t>
      </w:r>
      <w:r w:rsidR="00EE4082" w:rsidRPr="007F7EBF">
        <w:rPr>
          <w:rStyle w:val="Rimandonotaapidipagina"/>
          <w:sz w:val="22"/>
          <w:szCs w:val="22"/>
        </w:rPr>
        <w:footnoteReference w:id="1199"/>
      </w:r>
      <w:r w:rsidR="00EE4082" w:rsidRPr="007F7EBF">
        <w:rPr>
          <w:sz w:val="22"/>
          <w:szCs w:val="22"/>
        </w:rPr>
        <w:t>), in quanto si tratta di un passaggio intermedio verso il percettore finale</w:t>
      </w:r>
      <w:r w:rsidR="00EE4082">
        <w:rPr>
          <w:sz w:val="22"/>
          <w:szCs w:val="22"/>
        </w:rPr>
        <w:t>. L’</w:t>
      </w:r>
      <w:r w:rsidR="001431B6" w:rsidRPr="007F7EBF">
        <w:rPr>
          <w:sz w:val="22"/>
          <w:szCs w:val="22"/>
        </w:rPr>
        <w:t>imponibile d</w:t>
      </w:r>
      <w:r w:rsidR="00EE4082">
        <w:rPr>
          <w:sz w:val="22"/>
          <w:szCs w:val="22"/>
        </w:rPr>
        <w:t xml:space="preserve">i quest’ultimo </w:t>
      </w:r>
      <w:r w:rsidR="001431B6" w:rsidRPr="007F7EBF">
        <w:rPr>
          <w:sz w:val="22"/>
          <w:szCs w:val="22"/>
        </w:rPr>
        <w:t>viene però ridotto per tener conto della tassazione già avvenuta sulla società</w:t>
      </w:r>
      <w:r w:rsidR="00054614" w:rsidRPr="007F7EBF">
        <w:rPr>
          <w:sz w:val="22"/>
          <w:szCs w:val="22"/>
        </w:rPr>
        <w:t>(</w:t>
      </w:r>
      <w:r w:rsidR="00054614" w:rsidRPr="007F7EBF">
        <w:rPr>
          <w:rStyle w:val="Rimandonotaapidipagina"/>
          <w:sz w:val="22"/>
          <w:szCs w:val="22"/>
        </w:rPr>
        <w:footnoteReference w:id="1200"/>
      </w:r>
      <w:r w:rsidR="00054614" w:rsidRPr="007F7EBF">
        <w:rPr>
          <w:sz w:val="22"/>
          <w:szCs w:val="22"/>
        </w:rPr>
        <w:t>)</w:t>
      </w:r>
      <w:r w:rsidR="001431B6" w:rsidRPr="007F7EBF">
        <w:rPr>
          <w:sz w:val="22"/>
          <w:szCs w:val="22"/>
        </w:rPr>
        <w:t>; ne risulta un carico tributario complessivo corrispondente grossomodo a quello applicabile se il reddito fosse conseguito direttamente, senza l'interposizione della società</w:t>
      </w:r>
      <w:r w:rsidR="00EE4082">
        <w:rPr>
          <w:sz w:val="22"/>
          <w:szCs w:val="22"/>
        </w:rPr>
        <w:t xml:space="preserve"> (</w:t>
      </w:r>
      <w:r w:rsidR="00054614" w:rsidRPr="007F7EBF">
        <w:rPr>
          <w:rStyle w:val="Rimandonotaapidipagina"/>
          <w:sz w:val="22"/>
          <w:szCs w:val="22"/>
        </w:rPr>
        <w:footnoteReference w:id="1201"/>
      </w:r>
      <w:r w:rsidR="00EE4082">
        <w:rPr>
          <w:sz w:val="22"/>
          <w:szCs w:val="22"/>
        </w:rPr>
        <w:t>)</w:t>
      </w:r>
      <w:r w:rsidR="001431B6" w:rsidRPr="007F7EBF">
        <w:rPr>
          <w:sz w:val="22"/>
          <w:szCs w:val="22"/>
        </w:rPr>
        <w:t xml:space="preserve">. </w:t>
      </w:r>
    </w:p>
    <w:p w14:paraId="784E1BF7" w14:textId="10CBB640" w:rsidR="00EC374D" w:rsidRPr="007F7EBF" w:rsidRDefault="00EC374D" w:rsidP="00252905">
      <w:pPr>
        <w:autoSpaceDE w:val="0"/>
        <w:autoSpaceDN w:val="0"/>
        <w:adjustRightInd w:val="0"/>
        <w:rPr>
          <w:sz w:val="22"/>
          <w:szCs w:val="22"/>
        </w:rPr>
      </w:pPr>
    </w:p>
    <w:p w14:paraId="6793BD5A" w14:textId="72250CAE" w:rsidR="00EC374D" w:rsidRPr="007F7EBF" w:rsidRDefault="00EC374D" w:rsidP="00EC374D">
      <w:pPr>
        <w:pStyle w:val="tit23"/>
        <w:ind w:left="6464" w:right="-1361" w:firstLine="0"/>
        <w:jc w:val="left"/>
        <w:rPr>
          <w:bCs/>
          <w:i/>
          <w:iCs/>
          <w:color w:val="0000FF"/>
          <w:lang w:val="it-IT"/>
        </w:rPr>
      </w:pPr>
      <w:r w:rsidRPr="007F7EBF">
        <w:rPr>
          <w:bCs/>
          <w:i/>
          <w:iCs/>
          <w:color w:val="0000FF"/>
          <w:lang w:val="it-IT"/>
        </w:rPr>
        <w:t>Plus-</w:t>
      </w:r>
      <w:proofErr w:type="spellStart"/>
      <w:r w:rsidRPr="007F7EBF">
        <w:rPr>
          <w:bCs/>
          <w:i/>
          <w:iCs/>
          <w:color w:val="0000FF"/>
          <w:lang w:val="it-IT"/>
        </w:rPr>
        <w:t>minus</w:t>
      </w:r>
      <w:proofErr w:type="spellEnd"/>
      <w:r w:rsidRPr="007F7EBF">
        <w:rPr>
          <w:bCs/>
          <w:i/>
          <w:iCs/>
          <w:color w:val="0000FF"/>
          <w:lang w:val="it-IT"/>
        </w:rPr>
        <w:t xml:space="preserve"> valenze su partecipazioni</w:t>
      </w:r>
    </w:p>
    <w:p w14:paraId="29D411D2" w14:textId="09EDC99E" w:rsidR="00EC374D" w:rsidRPr="007F7EBF" w:rsidRDefault="007B5B5E" w:rsidP="00EC374D">
      <w:pPr>
        <w:autoSpaceDE w:val="0"/>
        <w:autoSpaceDN w:val="0"/>
        <w:adjustRightInd w:val="0"/>
        <w:rPr>
          <w:sz w:val="22"/>
          <w:szCs w:val="22"/>
        </w:rPr>
      </w:pPr>
      <w:r>
        <w:rPr>
          <w:sz w:val="22"/>
          <w:szCs w:val="22"/>
        </w:rPr>
        <w:t>Il socio può però realizzare redditi o perdite dalla partecipazione nella società non solo tramite dividendi, ma anche cedendo in tutto o in parte le quote social</w:t>
      </w:r>
      <w:r w:rsidR="00EE4082">
        <w:rPr>
          <w:sz w:val="22"/>
          <w:szCs w:val="22"/>
        </w:rPr>
        <w:t>i</w:t>
      </w:r>
      <w:r>
        <w:rPr>
          <w:sz w:val="22"/>
          <w:szCs w:val="22"/>
        </w:rPr>
        <w:t xml:space="preserve">, e realizzando </w:t>
      </w:r>
      <w:r w:rsidR="00BC400E" w:rsidRPr="007F7EBF">
        <w:rPr>
          <w:sz w:val="22"/>
          <w:szCs w:val="22"/>
        </w:rPr>
        <w:t xml:space="preserve">plusvalenze o minusvalenze. </w:t>
      </w:r>
      <w:r>
        <w:rPr>
          <w:sz w:val="22"/>
          <w:szCs w:val="22"/>
        </w:rPr>
        <w:t>L’attuale coordinamento impositivo tra società e soci, concentrando l’imposizione sulla società, considera in linea di principio</w:t>
      </w:r>
      <w:r w:rsidR="00EC374D" w:rsidRPr="007F7EBF">
        <w:rPr>
          <w:bCs/>
          <w:sz w:val="22"/>
          <w:szCs w:val="22"/>
        </w:rPr>
        <w:t xml:space="preserve"> </w:t>
      </w:r>
      <w:r w:rsidR="006342C5" w:rsidRPr="007F7EBF">
        <w:rPr>
          <w:bCs/>
          <w:sz w:val="22"/>
          <w:szCs w:val="22"/>
        </w:rPr>
        <w:t>fiscalmente irrilevanti</w:t>
      </w:r>
      <w:r>
        <w:rPr>
          <w:bCs/>
          <w:sz w:val="22"/>
          <w:szCs w:val="22"/>
        </w:rPr>
        <w:t>, cioè rispettivamente non imponibili o indeducibili, le plusvalenze e le minusvalenze realizzate sulle quote sociali da un socio operatore economico</w:t>
      </w:r>
      <w:r w:rsidR="006342C5" w:rsidRPr="007F7EBF">
        <w:rPr>
          <w:sz w:val="22"/>
          <w:szCs w:val="22"/>
        </w:rPr>
        <w:t xml:space="preserve"> (art. 87 TUIR). </w:t>
      </w:r>
      <w:r w:rsidR="00CE6B68">
        <w:rPr>
          <w:sz w:val="22"/>
          <w:szCs w:val="22"/>
        </w:rPr>
        <w:t>Viene quindi impedita l’</w:t>
      </w:r>
      <w:r w:rsidR="00EE4082">
        <w:rPr>
          <w:sz w:val="22"/>
          <w:szCs w:val="22"/>
        </w:rPr>
        <w:t xml:space="preserve">attribuzione a </w:t>
      </w:r>
      <w:r w:rsidR="00EE4082">
        <w:rPr>
          <w:sz w:val="22"/>
          <w:szCs w:val="22"/>
        </w:rPr>
        <w:lastRenderedPageBreak/>
        <w:t>società di</w:t>
      </w:r>
      <w:r w:rsidR="00CE6B68">
        <w:rPr>
          <w:sz w:val="22"/>
          <w:szCs w:val="22"/>
        </w:rPr>
        <w:t xml:space="preserve"> valori fiscalmente riconosciuti (par.7.13) </w:t>
      </w:r>
      <w:r w:rsidR="00EE4082">
        <w:rPr>
          <w:sz w:val="22"/>
          <w:szCs w:val="22"/>
        </w:rPr>
        <w:t xml:space="preserve">provenienti dai soci, </w:t>
      </w:r>
      <w:r w:rsidR="00CE6B68">
        <w:rPr>
          <w:sz w:val="22"/>
          <w:szCs w:val="22"/>
        </w:rPr>
        <w:t>con un carico</w:t>
      </w:r>
      <w:r w:rsidR="009735FC">
        <w:rPr>
          <w:sz w:val="22"/>
          <w:szCs w:val="22"/>
        </w:rPr>
        <w:t xml:space="preserve"> </w:t>
      </w:r>
      <w:r w:rsidR="00CE6B68">
        <w:rPr>
          <w:sz w:val="22"/>
          <w:szCs w:val="22"/>
        </w:rPr>
        <w:t>fiscale inferiore, ad esempio perché “non residenti” (</w:t>
      </w:r>
      <w:r w:rsidR="007D652F">
        <w:rPr>
          <w:sz w:val="22"/>
          <w:szCs w:val="22"/>
        </w:rPr>
        <w:t>“</w:t>
      </w:r>
      <w:r w:rsidR="00CE6B68">
        <w:rPr>
          <w:sz w:val="22"/>
          <w:szCs w:val="22"/>
        </w:rPr>
        <w:t>gruppi multinazionali”) oppure persone fisiche</w:t>
      </w:r>
      <w:r w:rsidR="006342C5" w:rsidRPr="007F7EBF">
        <w:rPr>
          <w:sz w:val="22"/>
          <w:szCs w:val="22"/>
        </w:rPr>
        <w:t xml:space="preserve"> (</w:t>
      </w:r>
      <w:r w:rsidR="00746F9F" w:rsidRPr="007F7EBF">
        <w:rPr>
          <w:rStyle w:val="Rimandonotaapidipagina"/>
          <w:sz w:val="22"/>
          <w:szCs w:val="22"/>
        </w:rPr>
        <w:footnoteReference w:id="1202"/>
      </w:r>
      <w:r w:rsidR="006342C5" w:rsidRPr="007F7EBF">
        <w:rPr>
          <w:sz w:val="22"/>
          <w:szCs w:val="22"/>
        </w:rPr>
        <w:t>)</w:t>
      </w:r>
      <w:r w:rsidR="006D4FAE">
        <w:rPr>
          <w:sz w:val="22"/>
          <w:szCs w:val="22"/>
        </w:rPr>
        <w:t>.</w:t>
      </w:r>
    </w:p>
    <w:p w14:paraId="47BC5CE3" w14:textId="77777777" w:rsidR="00EC374D" w:rsidRPr="007F7EBF" w:rsidRDefault="00EC374D" w:rsidP="00EC374D">
      <w:pPr>
        <w:pStyle w:val="tit23"/>
        <w:ind w:left="6464" w:right="-1361" w:firstLine="0"/>
        <w:jc w:val="left"/>
        <w:rPr>
          <w:bCs/>
          <w:i/>
          <w:iCs/>
          <w:color w:val="0000FF"/>
          <w:lang w:val="it-IT"/>
        </w:rPr>
      </w:pPr>
      <w:r w:rsidRPr="007F7EBF">
        <w:rPr>
          <w:bCs/>
          <w:i/>
          <w:iCs/>
          <w:color w:val="0000FF"/>
          <w:lang w:val="it-IT"/>
        </w:rPr>
        <w:t>Partecipazioni speculative e altre eccezioni</w:t>
      </w:r>
    </w:p>
    <w:p w14:paraId="204441C4" w14:textId="733A772B" w:rsidR="00901C50" w:rsidRPr="007F7EBF" w:rsidRDefault="00CE6B68" w:rsidP="00901C50">
      <w:pPr>
        <w:autoSpaceDE w:val="0"/>
        <w:autoSpaceDN w:val="0"/>
        <w:adjustRightInd w:val="0"/>
        <w:rPr>
          <w:sz w:val="22"/>
          <w:szCs w:val="22"/>
        </w:rPr>
      </w:pPr>
      <w:r>
        <w:rPr>
          <w:sz w:val="22"/>
          <w:szCs w:val="22"/>
        </w:rPr>
        <w:t xml:space="preserve">A questo criterio generale derogano alcune ipotesi, come le </w:t>
      </w:r>
      <w:r w:rsidR="00054614" w:rsidRPr="007F7EBF">
        <w:rPr>
          <w:sz w:val="22"/>
          <w:szCs w:val="22"/>
        </w:rPr>
        <w:t>partecipazioni</w:t>
      </w:r>
      <w:r>
        <w:rPr>
          <w:sz w:val="22"/>
          <w:szCs w:val="22"/>
        </w:rPr>
        <w:t>-merci (</w:t>
      </w:r>
      <w:r w:rsidRPr="007F7EBF">
        <w:rPr>
          <w:rStyle w:val="Rimandonotaapidipagina"/>
          <w:sz w:val="22"/>
          <w:szCs w:val="22"/>
        </w:rPr>
        <w:footnoteReference w:id="1203"/>
      </w:r>
      <w:r>
        <w:rPr>
          <w:sz w:val="22"/>
          <w:szCs w:val="22"/>
        </w:rPr>
        <w:t>), di cui l’esempio classico è il “trading” in borsa di azioni quotate, che</w:t>
      </w:r>
      <w:r w:rsidR="00054614" w:rsidRPr="007F7EBF">
        <w:rPr>
          <w:sz w:val="22"/>
          <w:szCs w:val="22"/>
        </w:rPr>
        <w:t xml:space="preserve"> danno luogo a plusvalenze o minusvalenze imponibili o deducibili nei modi ordinari</w:t>
      </w:r>
      <w:r w:rsidR="00E23AE2" w:rsidRPr="007F7EBF">
        <w:rPr>
          <w:sz w:val="22"/>
          <w:szCs w:val="22"/>
        </w:rPr>
        <w:t xml:space="preserve">. </w:t>
      </w:r>
      <w:r>
        <w:rPr>
          <w:sz w:val="22"/>
          <w:szCs w:val="22"/>
        </w:rPr>
        <w:t xml:space="preserve">Analoghe deroghe, di cui </w:t>
      </w:r>
      <w:r w:rsidR="00F75C68">
        <w:rPr>
          <w:sz w:val="22"/>
          <w:szCs w:val="22"/>
        </w:rPr>
        <w:t>uno studio giuridico s</w:t>
      </w:r>
      <w:r>
        <w:rPr>
          <w:sz w:val="22"/>
          <w:szCs w:val="22"/>
        </w:rPr>
        <w:t xml:space="preserve">ociale </w:t>
      </w:r>
      <w:r w:rsidR="00F75C68">
        <w:rPr>
          <w:sz w:val="22"/>
          <w:szCs w:val="22"/>
        </w:rPr>
        <w:t>può non</w:t>
      </w:r>
      <w:r>
        <w:rPr>
          <w:sz w:val="22"/>
          <w:szCs w:val="22"/>
        </w:rPr>
        <w:t xml:space="preserve"> approfondire le</w:t>
      </w:r>
      <w:r w:rsidR="00EE4082">
        <w:rPr>
          <w:sz w:val="22"/>
          <w:szCs w:val="22"/>
        </w:rPr>
        <w:t xml:space="preserve"> (deboli)</w:t>
      </w:r>
      <w:r>
        <w:rPr>
          <w:sz w:val="22"/>
          <w:szCs w:val="22"/>
        </w:rPr>
        <w:t xml:space="preserve"> ragioni riguardano </w:t>
      </w:r>
      <w:r w:rsidR="00E23AE2" w:rsidRPr="007F7EBF">
        <w:rPr>
          <w:sz w:val="22"/>
          <w:szCs w:val="22"/>
        </w:rPr>
        <w:t xml:space="preserve">le partecipazioni </w:t>
      </w:r>
      <w:r w:rsidR="006342C5" w:rsidRPr="007F7EBF">
        <w:rPr>
          <w:sz w:val="22"/>
          <w:szCs w:val="22"/>
        </w:rPr>
        <w:t>detenute per</w:t>
      </w:r>
      <w:r w:rsidR="007C164C" w:rsidRPr="007F7EBF">
        <w:rPr>
          <w:sz w:val="22"/>
          <w:szCs w:val="22"/>
        </w:rPr>
        <w:t xml:space="preserve"> </w:t>
      </w:r>
      <w:r w:rsidR="006342C5" w:rsidRPr="007F7EBF">
        <w:rPr>
          <w:sz w:val="22"/>
          <w:szCs w:val="22"/>
        </w:rPr>
        <w:t>breve periodo</w:t>
      </w:r>
      <w:r w:rsidR="00541FCE" w:rsidRPr="007F7EBF">
        <w:rPr>
          <w:sz w:val="22"/>
          <w:szCs w:val="22"/>
        </w:rPr>
        <w:t xml:space="preserve"> (meno di un anno),</w:t>
      </w:r>
      <w:r w:rsidR="00E23AE2" w:rsidRPr="007F7EBF">
        <w:rPr>
          <w:sz w:val="22"/>
          <w:szCs w:val="22"/>
        </w:rPr>
        <w:t xml:space="preserve"> in società senza impresa</w:t>
      </w:r>
      <w:r w:rsidR="00541FCE" w:rsidRPr="007F7EBF">
        <w:rPr>
          <w:sz w:val="22"/>
          <w:szCs w:val="22"/>
        </w:rPr>
        <w:t xml:space="preserve"> o in società immobiliari</w:t>
      </w:r>
      <w:r w:rsidR="00EE4082">
        <w:rPr>
          <w:sz w:val="22"/>
          <w:szCs w:val="22"/>
        </w:rPr>
        <w:t>(</w:t>
      </w:r>
      <w:r w:rsidR="00416536" w:rsidRPr="007F7EBF">
        <w:rPr>
          <w:rStyle w:val="Rimandonotaapidipagina"/>
          <w:sz w:val="22"/>
          <w:szCs w:val="22"/>
        </w:rPr>
        <w:footnoteReference w:id="1204"/>
      </w:r>
      <w:r w:rsidR="00EE4082">
        <w:rPr>
          <w:sz w:val="22"/>
          <w:szCs w:val="22"/>
        </w:rPr>
        <w:t>)</w:t>
      </w:r>
      <w:r>
        <w:rPr>
          <w:sz w:val="22"/>
          <w:szCs w:val="22"/>
        </w:rPr>
        <w:t>. Q</w:t>
      </w:r>
      <w:r w:rsidR="00E23AE2" w:rsidRPr="007F7EBF">
        <w:rPr>
          <w:sz w:val="22"/>
          <w:szCs w:val="22"/>
        </w:rPr>
        <w:t xml:space="preserve">uesta </w:t>
      </w:r>
      <w:r w:rsidR="006342C5" w:rsidRPr="007F7EBF">
        <w:rPr>
          <w:sz w:val="22"/>
          <w:szCs w:val="22"/>
        </w:rPr>
        <w:t>sorta di doppio regime di</w:t>
      </w:r>
      <w:r w:rsidR="00541FCE" w:rsidRPr="007F7EBF">
        <w:rPr>
          <w:sz w:val="22"/>
          <w:szCs w:val="22"/>
        </w:rPr>
        <w:t xml:space="preserve"> </w:t>
      </w:r>
      <w:r w:rsidR="006342C5" w:rsidRPr="007F7EBF">
        <w:rPr>
          <w:sz w:val="22"/>
          <w:szCs w:val="22"/>
        </w:rPr>
        <w:t>circolazione delle partecipazioni, concettualmente ambizioso,</w:t>
      </w:r>
      <w:r w:rsidR="00E23AE2" w:rsidRPr="007F7EBF">
        <w:rPr>
          <w:sz w:val="22"/>
          <w:szCs w:val="22"/>
        </w:rPr>
        <w:t xml:space="preserve"> </w:t>
      </w:r>
      <w:r w:rsidR="004A12DC">
        <w:rPr>
          <w:sz w:val="22"/>
          <w:szCs w:val="22"/>
        </w:rPr>
        <w:t xml:space="preserve">intralcia talvolta le correlazioni della determinazione degli imponibili, indicate ai parr.3.11 /3.12, ma </w:t>
      </w:r>
      <w:r>
        <w:rPr>
          <w:sz w:val="22"/>
          <w:szCs w:val="22"/>
        </w:rPr>
        <w:t>ripetiamo che sono contingenze tecnicistich</w:t>
      </w:r>
      <w:r w:rsidR="00EE4082">
        <w:rPr>
          <w:sz w:val="22"/>
          <w:szCs w:val="22"/>
        </w:rPr>
        <w:t>e</w:t>
      </w:r>
      <w:r>
        <w:rPr>
          <w:sz w:val="22"/>
          <w:szCs w:val="22"/>
        </w:rPr>
        <w:t xml:space="preserve">. </w:t>
      </w:r>
      <w:r w:rsidR="004A12DC">
        <w:rPr>
          <w:sz w:val="22"/>
          <w:szCs w:val="22"/>
        </w:rPr>
        <w:t xml:space="preserve"> </w:t>
      </w:r>
    </w:p>
    <w:p w14:paraId="759BB2BF" w14:textId="77777777" w:rsidR="00901C50" w:rsidRPr="007F7EBF" w:rsidRDefault="00054614" w:rsidP="00901C50">
      <w:pPr>
        <w:pStyle w:val="tit23"/>
        <w:ind w:left="6464" w:right="-1361" w:firstLine="0"/>
        <w:jc w:val="left"/>
        <w:rPr>
          <w:bCs/>
          <w:i/>
          <w:iCs/>
          <w:color w:val="0000FF"/>
          <w:lang w:val="it-IT"/>
        </w:rPr>
      </w:pPr>
      <w:r w:rsidRPr="007F7EBF">
        <w:rPr>
          <w:bCs/>
          <w:i/>
          <w:iCs/>
          <w:color w:val="0000FF"/>
          <w:lang w:val="it-IT"/>
        </w:rPr>
        <w:t xml:space="preserve">trasmissione delle perdite </w:t>
      </w:r>
      <w:proofErr w:type="spellStart"/>
      <w:r w:rsidRPr="007F7EBF">
        <w:rPr>
          <w:bCs/>
          <w:i/>
          <w:iCs/>
          <w:color w:val="0000FF"/>
          <w:lang w:val="it-IT"/>
        </w:rPr>
        <w:t>intra</w:t>
      </w:r>
      <w:r w:rsidR="00901C50" w:rsidRPr="007F7EBF">
        <w:rPr>
          <w:bCs/>
          <w:i/>
          <w:iCs/>
          <w:color w:val="0000FF"/>
          <w:lang w:val="it-IT"/>
        </w:rPr>
        <w:t>gruppo</w:t>
      </w:r>
      <w:proofErr w:type="spellEnd"/>
    </w:p>
    <w:p w14:paraId="25C50840" w14:textId="32332898" w:rsidR="00252905" w:rsidRPr="007F7EBF" w:rsidRDefault="00901C50" w:rsidP="00252905">
      <w:pPr>
        <w:autoSpaceDE w:val="0"/>
        <w:autoSpaceDN w:val="0"/>
        <w:adjustRightInd w:val="0"/>
        <w:rPr>
          <w:sz w:val="22"/>
          <w:szCs w:val="22"/>
        </w:rPr>
      </w:pPr>
      <w:r w:rsidRPr="007F7EBF">
        <w:rPr>
          <w:sz w:val="22"/>
          <w:szCs w:val="22"/>
        </w:rPr>
        <w:t>L</w:t>
      </w:r>
      <w:r w:rsidR="00DE077F" w:rsidRPr="007F7EBF">
        <w:rPr>
          <w:sz w:val="22"/>
          <w:szCs w:val="22"/>
        </w:rPr>
        <w:t xml:space="preserve">'indeducibilità delle </w:t>
      </w:r>
      <w:r w:rsidRPr="007F7EBF">
        <w:rPr>
          <w:sz w:val="22"/>
          <w:szCs w:val="22"/>
        </w:rPr>
        <w:t>minusvalenze su partecipazioni</w:t>
      </w:r>
      <w:r w:rsidR="00DE077F" w:rsidRPr="007F7EBF">
        <w:rPr>
          <w:sz w:val="22"/>
          <w:szCs w:val="22"/>
        </w:rPr>
        <w:t xml:space="preserve"> </w:t>
      </w:r>
      <w:r w:rsidR="00BD0B73">
        <w:rPr>
          <w:sz w:val="22"/>
          <w:szCs w:val="22"/>
        </w:rPr>
        <w:t xml:space="preserve">rende necessari altri strumenti </w:t>
      </w:r>
      <w:r w:rsidR="00DE077F" w:rsidRPr="007F7EBF">
        <w:rPr>
          <w:sz w:val="22"/>
          <w:szCs w:val="22"/>
        </w:rPr>
        <w:t>per tener conto delle perdite d</w:t>
      </w:r>
      <w:r w:rsidR="00BD0B73">
        <w:rPr>
          <w:sz w:val="22"/>
          <w:szCs w:val="22"/>
        </w:rPr>
        <w:t>i</w:t>
      </w:r>
      <w:r w:rsidR="00DE077F" w:rsidRPr="007F7EBF">
        <w:rPr>
          <w:sz w:val="22"/>
          <w:szCs w:val="22"/>
        </w:rPr>
        <w:t xml:space="preserve"> singole società </w:t>
      </w:r>
      <w:r w:rsidR="00BD0B73">
        <w:rPr>
          <w:sz w:val="22"/>
          <w:szCs w:val="22"/>
        </w:rPr>
        <w:t xml:space="preserve">che fanno parte di </w:t>
      </w:r>
      <w:r w:rsidR="00DE077F" w:rsidRPr="007F7EBF">
        <w:rPr>
          <w:sz w:val="22"/>
          <w:szCs w:val="22"/>
        </w:rPr>
        <w:t xml:space="preserve">gruppi </w:t>
      </w:r>
      <w:r w:rsidR="00BD0B73">
        <w:rPr>
          <w:sz w:val="22"/>
          <w:szCs w:val="22"/>
        </w:rPr>
        <w:t xml:space="preserve">societari </w:t>
      </w:r>
      <w:r w:rsidR="00DE077F" w:rsidRPr="007F7EBF">
        <w:rPr>
          <w:sz w:val="22"/>
          <w:szCs w:val="22"/>
        </w:rPr>
        <w:t>(</w:t>
      </w:r>
      <w:r w:rsidR="00DE077F" w:rsidRPr="007F7EBF">
        <w:rPr>
          <w:rStyle w:val="Rimandonotaapidipagina"/>
          <w:sz w:val="22"/>
          <w:szCs w:val="22"/>
        </w:rPr>
        <w:footnoteReference w:id="1205"/>
      </w:r>
      <w:r w:rsidR="00DE077F" w:rsidRPr="007F7EBF">
        <w:rPr>
          <w:sz w:val="22"/>
          <w:szCs w:val="22"/>
        </w:rPr>
        <w:t>)</w:t>
      </w:r>
      <w:r w:rsidRPr="007F7EBF">
        <w:rPr>
          <w:sz w:val="22"/>
          <w:szCs w:val="22"/>
        </w:rPr>
        <w:t xml:space="preserve">. </w:t>
      </w:r>
      <w:r w:rsidR="00DE077F" w:rsidRPr="007F7EBF">
        <w:rPr>
          <w:sz w:val="22"/>
          <w:szCs w:val="22"/>
        </w:rPr>
        <w:t>Per evitare di spingere i gruppi a trasformarsi in società uniche "</w:t>
      </w:r>
      <w:proofErr w:type="spellStart"/>
      <w:r w:rsidR="00DE077F" w:rsidRPr="007F7EBF">
        <w:rPr>
          <w:sz w:val="22"/>
          <w:szCs w:val="22"/>
        </w:rPr>
        <w:t>multidivisionali</w:t>
      </w:r>
      <w:proofErr w:type="spellEnd"/>
      <w:r w:rsidR="00DE077F" w:rsidRPr="007F7EBF">
        <w:rPr>
          <w:sz w:val="22"/>
          <w:szCs w:val="22"/>
        </w:rPr>
        <w:t xml:space="preserve">" </w:t>
      </w:r>
      <w:r w:rsidR="00EE4082">
        <w:rPr>
          <w:sz w:val="22"/>
          <w:szCs w:val="22"/>
        </w:rPr>
        <w:t>(</w:t>
      </w:r>
      <w:r w:rsidRPr="007F7EBF">
        <w:rPr>
          <w:rStyle w:val="Rimandonotaapidipagina"/>
          <w:sz w:val="22"/>
          <w:szCs w:val="22"/>
        </w:rPr>
        <w:footnoteReference w:id="1206"/>
      </w:r>
      <w:r w:rsidR="00EE4082">
        <w:rPr>
          <w:sz w:val="22"/>
          <w:szCs w:val="22"/>
        </w:rPr>
        <w:t>)</w:t>
      </w:r>
      <w:r w:rsidRPr="007F7EBF">
        <w:rPr>
          <w:sz w:val="22"/>
          <w:szCs w:val="22"/>
        </w:rPr>
        <w:t xml:space="preserve">, </w:t>
      </w:r>
      <w:r w:rsidR="00DE077F" w:rsidRPr="007F7EBF">
        <w:rPr>
          <w:sz w:val="22"/>
          <w:szCs w:val="22"/>
        </w:rPr>
        <w:t>è stata prevista</w:t>
      </w:r>
      <w:r w:rsidR="00D96F4F" w:rsidRPr="007F7EBF">
        <w:rPr>
          <w:sz w:val="22"/>
          <w:szCs w:val="22"/>
        </w:rPr>
        <w:t xml:space="preserve"> </w:t>
      </w:r>
      <w:r w:rsidR="00D96F4F" w:rsidRPr="007F7EBF">
        <w:rPr>
          <w:sz w:val="22"/>
          <w:szCs w:val="22"/>
        </w:rPr>
        <w:lastRenderedPageBreak/>
        <w:t>l'opzione per</w:t>
      </w:r>
      <w:r w:rsidR="00DE077F" w:rsidRPr="007F7EBF">
        <w:rPr>
          <w:sz w:val="22"/>
          <w:szCs w:val="22"/>
        </w:rPr>
        <w:t xml:space="preserve"> una diversa rilevanza </w:t>
      </w:r>
      <w:r w:rsidR="00D96F4F" w:rsidRPr="007F7EBF">
        <w:rPr>
          <w:sz w:val="22"/>
          <w:szCs w:val="22"/>
        </w:rPr>
        <w:t>di tali</w:t>
      </w:r>
      <w:r w:rsidR="00DE077F" w:rsidRPr="007F7EBF">
        <w:rPr>
          <w:sz w:val="22"/>
          <w:szCs w:val="22"/>
        </w:rPr>
        <w:t xml:space="preserve"> perdite</w:t>
      </w:r>
      <w:r w:rsidR="00D96F4F" w:rsidRPr="007F7EBF">
        <w:rPr>
          <w:sz w:val="22"/>
          <w:szCs w:val="22"/>
        </w:rPr>
        <w:t>,</w:t>
      </w:r>
      <w:r w:rsidR="00DE077F" w:rsidRPr="007F7EBF">
        <w:rPr>
          <w:sz w:val="22"/>
          <w:szCs w:val="22"/>
        </w:rPr>
        <w:t xml:space="preserve"> mediante</w:t>
      </w:r>
      <w:r w:rsidR="004A729B" w:rsidRPr="007F7EBF">
        <w:rPr>
          <w:sz w:val="22"/>
          <w:szCs w:val="22"/>
        </w:rPr>
        <w:t xml:space="preserve"> il </w:t>
      </w:r>
      <w:r w:rsidR="006342C5" w:rsidRPr="007F7EBF">
        <w:rPr>
          <w:sz w:val="22"/>
          <w:szCs w:val="22"/>
        </w:rPr>
        <w:t>c.d. “</w:t>
      </w:r>
      <w:r w:rsidR="006342C5" w:rsidRPr="007F7EBF">
        <w:rPr>
          <w:bCs/>
          <w:sz w:val="22"/>
          <w:szCs w:val="22"/>
        </w:rPr>
        <w:t>consolidato fiscale</w:t>
      </w:r>
      <w:r w:rsidR="006342C5" w:rsidRPr="007F7EBF">
        <w:rPr>
          <w:sz w:val="22"/>
          <w:szCs w:val="22"/>
        </w:rPr>
        <w:t>”</w:t>
      </w:r>
      <w:r w:rsidR="00EE4082">
        <w:rPr>
          <w:sz w:val="22"/>
          <w:szCs w:val="22"/>
        </w:rPr>
        <w:t>(</w:t>
      </w:r>
      <w:r w:rsidR="00DE077F" w:rsidRPr="007F7EBF">
        <w:rPr>
          <w:rStyle w:val="Rimandonotaapidipagina"/>
          <w:sz w:val="22"/>
          <w:szCs w:val="22"/>
        </w:rPr>
        <w:footnoteReference w:id="1207"/>
      </w:r>
      <w:r w:rsidR="00EE4082">
        <w:rPr>
          <w:sz w:val="22"/>
          <w:szCs w:val="22"/>
        </w:rPr>
        <w:t>)</w:t>
      </w:r>
      <w:r w:rsidR="00DE077F" w:rsidRPr="007F7EBF">
        <w:rPr>
          <w:sz w:val="22"/>
          <w:szCs w:val="22"/>
        </w:rPr>
        <w:t xml:space="preserve">; </w:t>
      </w:r>
      <w:r w:rsidR="00D96F4F" w:rsidRPr="007F7EBF">
        <w:rPr>
          <w:sz w:val="22"/>
          <w:szCs w:val="22"/>
        </w:rPr>
        <w:t xml:space="preserve">la società capogruppo può cioè   presentare una dichiarazione dei redditi in cui gli utili e le perdite delle società controllate si sommano algebricamente, compensandosi tra di loro </w:t>
      </w:r>
      <w:r w:rsidR="004A729B" w:rsidRPr="007F7EBF">
        <w:rPr>
          <w:rStyle w:val="Rimandonotaapidipagina"/>
          <w:sz w:val="22"/>
          <w:szCs w:val="22"/>
        </w:rPr>
        <w:footnoteReference w:id="1208"/>
      </w:r>
      <w:r w:rsidR="004A729B" w:rsidRPr="007F7EBF">
        <w:rPr>
          <w:sz w:val="22"/>
          <w:szCs w:val="22"/>
        </w:rPr>
        <w:t xml:space="preserve">. </w:t>
      </w:r>
      <w:r w:rsidR="006342C5" w:rsidRPr="007F7EBF">
        <w:rPr>
          <w:sz w:val="22"/>
          <w:szCs w:val="22"/>
        </w:rPr>
        <w:t xml:space="preserve">Dove manca il controllo, </w:t>
      </w:r>
      <w:r w:rsidR="006342C5" w:rsidRPr="007F7EBF">
        <w:rPr>
          <w:bCs/>
          <w:sz w:val="22"/>
          <w:szCs w:val="22"/>
        </w:rPr>
        <w:t xml:space="preserve">analogo trasferimento delle perdite </w:t>
      </w:r>
      <w:r w:rsidR="006342C5" w:rsidRPr="007F7EBF">
        <w:rPr>
          <w:sz w:val="22"/>
          <w:szCs w:val="22"/>
        </w:rPr>
        <w:t xml:space="preserve">è possibile </w:t>
      </w:r>
      <w:r w:rsidR="00D96F4F" w:rsidRPr="007F7EBF">
        <w:rPr>
          <w:sz w:val="22"/>
          <w:szCs w:val="22"/>
        </w:rPr>
        <w:t>optando per</w:t>
      </w:r>
      <w:r w:rsidR="004A729B" w:rsidRPr="007F7EBF">
        <w:rPr>
          <w:sz w:val="22"/>
          <w:szCs w:val="22"/>
        </w:rPr>
        <w:t xml:space="preserve"> </w:t>
      </w:r>
      <w:r w:rsidR="006342C5" w:rsidRPr="007F7EBF">
        <w:rPr>
          <w:sz w:val="22"/>
          <w:szCs w:val="22"/>
        </w:rPr>
        <w:t>la c.d. “</w:t>
      </w:r>
      <w:r w:rsidR="006342C5" w:rsidRPr="007F7EBF">
        <w:rPr>
          <w:bCs/>
          <w:sz w:val="22"/>
          <w:szCs w:val="22"/>
        </w:rPr>
        <w:t>trasparenza fiscale</w:t>
      </w:r>
      <w:r w:rsidR="007C164C" w:rsidRPr="007F7EBF">
        <w:rPr>
          <w:sz w:val="22"/>
          <w:szCs w:val="22"/>
        </w:rPr>
        <w:t>” delle società di capitali, a</w:t>
      </w:r>
      <w:r w:rsidR="006342C5" w:rsidRPr="007F7EBF">
        <w:rPr>
          <w:sz w:val="22"/>
          <w:szCs w:val="22"/>
        </w:rPr>
        <w:t>naloga a quella descritta</w:t>
      </w:r>
      <w:r w:rsidR="00550F8A" w:rsidRPr="007F7EBF">
        <w:rPr>
          <w:sz w:val="22"/>
          <w:szCs w:val="22"/>
        </w:rPr>
        <w:t xml:space="preserve"> </w:t>
      </w:r>
      <w:r w:rsidR="006342C5" w:rsidRPr="007F7EBF">
        <w:rPr>
          <w:sz w:val="22"/>
          <w:szCs w:val="22"/>
        </w:rPr>
        <w:t>sopra per le società di persone.</w:t>
      </w:r>
      <w:r w:rsidR="007C164C" w:rsidRPr="007F7EBF">
        <w:rPr>
          <w:bCs/>
          <w:i/>
          <w:iCs/>
          <w:color w:val="0000FF"/>
          <w:sz w:val="22"/>
          <w:szCs w:val="22"/>
        </w:rPr>
        <w:t xml:space="preserve"> </w:t>
      </w:r>
    </w:p>
    <w:p w14:paraId="12DA48D5" w14:textId="77777777" w:rsidR="00252905" w:rsidRPr="007F7EBF" w:rsidRDefault="00252905" w:rsidP="00252905">
      <w:pPr>
        <w:pStyle w:val="tit23"/>
        <w:ind w:left="6464" w:right="-1361" w:firstLine="0"/>
        <w:jc w:val="left"/>
        <w:rPr>
          <w:bCs/>
          <w:i/>
          <w:iCs/>
          <w:color w:val="0000FF"/>
          <w:lang w:val="it-IT"/>
        </w:rPr>
      </w:pPr>
      <w:r w:rsidRPr="007F7EBF">
        <w:rPr>
          <w:bCs/>
          <w:i/>
          <w:iCs/>
          <w:color w:val="0000FF"/>
          <w:lang w:val="it-IT"/>
        </w:rPr>
        <w:t xml:space="preserve">utili extra bilancio        </w:t>
      </w:r>
    </w:p>
    <w:p w14:paraId="08D5E84A" w14:textId="7081634F" w:rsidR="00EE4082" w:rsidRPr="007F7EBF" w:rsidRDefault="00252905" w:rsidP="00EE4082">
      <w:pPr>
        <w:autoSpaceDE w:val="0"/>
        <w:autoSpaceDN w:val="0"/>
        <w:adjustRightInd w:val="0"/>
        <w:rPr>
          <w:sz w:val="22"/>
          <w:szCs w:val="22"/>
        </w:rPr>
      </w:pPr>
      <w:r w:rsidRPr="007F7EBF">
        <w:rPr>
          <w:sz w:val="22"/>
          <w:szCs w:val="22"/>
        </w:rPr>
        <w:t xml:space="preserve">Le </w:t>
      </w:r>
      <w:r>
        <w:rPr>
          <w:sz w:val="22"/>
          <w:szCs w:val="22"/>
        </w:rPr>
        <w:t xml:space="preserve">suddette </w:t>
      </w:r>
      <w:r w:rsidRPr="007F7EBF">
        <w:rPr>
          <w:sz w:val="22"/>
          <w:szCs w:val="22"/>
        </w:rPr>
        <w:t>necessità di coordinamento tra società e soci  si pongono anche per l'</w:t>
      </w:r>
      <w:r w:rsidRPr="007F7EBF">
        <w:rPr>
          <w:bCs/>
          <w:sz w:val="22"/>
          <w:szCs w:val="22"/>
        </w:rPr>
        <w:t>accertament</w:t>
      </w:r>
      <w:r w:rsidRPr="007F7EBF">
        <w:rPr>
          <w:sz w:val="22"/>
          <w:szCs w:val="22"/>
        </w:rPr>
        <w:t xml:space="preserve">o di ricchezza non registrata, da parte di società di capitali, acquisita direttamente dai soci a titolo di utili extra bilancio (par.3.7 </w:t>
      </w:r>
      <w:r w:rsidR="00EE4082">
        <w:rPr>
          <w:sz w:val="22"/>
          <w:szCs w:val="22"/>
        </w:rPr>
        <w:t>sull’</w:t>
      </w:r>
      <w:r w:rsidRPr="007F7EBF">
        <w:rPr>
          <w:sz w:val="22"/>
          <w:szCs w:val="22"/>
        </w:rPr>
        <w:t xml:space="preserve">e 6.13 sulle sanzioni). </w:t>
      </w:r>
      <w:bookmarkStart w:id="116" w:name="_Hlk2927907"/>
      <w:r w:rsidRPr="007F7EBF">
        <w:rPr>
          <w:sz w:val="22"/>
          <w:szCs w:val="22"/>
        </w:rPr>
        <w:t>In questo caso però il criterio di coordinamento "società soci" è diverso, e si basa sullo scomputo dell’imposta accertata e pagata dalla società dal reddito accertato in capo ai soci (</w:t>
      </w:r>
      <w:r w:rsidRPr="007F7EBF">
        <w:rPr>
          <w:rStyle w:val="Rimandonotaapidipagina"/>
          <w:sz w:val="22"/>
          <w:szCs w:val="22"/>
        </w:rPr>
        <w:footnoteReference w:id="1209"/>
      </w:r>
      <w:r w:rsidRPr="007F7EBF">
        <w:rPr>
          <w:sz w:val="22"/>
          <w:szCs w:val="22"/>
        </w:rPr>
        <w:t>).</w:t>
      </w:r>
      <w:bookmarkEnd w:id="116"/>
      <w:r w:rsidRPr="007F7EBF">
        <w:rPr>
          <w:sz w:val="22"/>
          <w:szCs w:val="22"/>
        </w:rPr>
        <w:t xml:space="preserve"> </w:t>
      </w:r>
      <w:r w:rsidR="0081174B">
        <w:rPr>
          <w:sz w:val="22"/>
          <w:szCs w:val="22"/>
        </w:rPr>
        <w:t xml:space="preserve"> </w:t>
      </w:r>
    </w:p>
    <w:p w14:paraId="113D1CAA" w14:textId="649CCCA7" w:rsidR="00EE4082" w:rsidRPr="007F7EBF" w:rsidRDefault="00EE4082" w:rsidP="00EE4082">
      <w:pPr>
        <w:pStyle w:val="tit23"/>
        <w:ind w:left="6464" w:right="-1361" w:firstLine="0"/>
        <w:jc w:val="left"/>
        <w:rPr>
          <w:bCs/>
          <w:i/>
          <w:iCs/>
          <w:color w:val="0000FF"/>
          <w:lang w:val="it-IT"/>
        </w:rPr>
      </w:pPr>
      <w:r>
        <w:rPr>
          <w:bCs/>
          <w:i/>
          <w:iCs/>
          <w:color w:val="0000FF"/>
          <w:lang w:val="it-IT"/>
        </w:rPr>
        <w:t>Rapporti con l’inerenza ed enti non societari</w:t>
      </w:r>
      <w:r w:rsidRPr="007F7EBF">
        <w:rPr>
          <w:bCs/>
          <w:i/>
          <w:iCs/>
          <w:color w:val="0000FF"/>
          <w:lang w:val="it-IT"/>
        </w:rPr>
        <w:t xml:space="preserve">        </w:t>
      </w:r>
    </w:p>
    <w:p w14:paraId="44905117" w14:textId="77777777" w:rsidR="00761DF8" w:rsidRDefault="00EE4082" w:rsidP="006342C5">
      <w:pPr>
        <w:autoSpaceDE w:val="0"/>
        <w:autoSpaceDN w:val="0"/>
        <w:adjustRightInd w:val="0"/>
        <w:rPr>
          <w:bCs/>
          <w:sz w:val="22"/>
          <w:szCs w:val="22"/>
        </w:rPr>
      </w:pPr>
      <w:r>
        <w:rPr>
          <w:bCs/>
          <w:sz w:val="22"/>
          <w:szCs w:val="22"/>
        </w:rPr>
        <w:t xml:space="preserve">La necessità dei coordinamenti in questione riguarda concettualmente tutti i redditi erogati tramite società. Quando queste ultime pagano spese di consumo di terzi, non inerenti (par.7.9) erogano in realtà redditi ai percettori, da tassare anche nei loro confronti. La stessa doppia </w:t>
      </w:r>
      <w:r>
        <w:rPr>
          <w:bCs/>
          <w:sz w:val="22"/>
          <w:szCs w:val="22"/>
        </w:rPr>
        <w:lastRenderedPageBreak/>
        <w:t xml:space="preserve">imposizione avviene ogni volta che viene negata </w:t>
      </w:r>
      <w:r w:rsidR="00F37B22">
        <w:rPr>
          <w:bCs/>
          <w:sz w:val="22"/>
          <w:szCs w:val="22"/>
        </w:rPr>
        <w:t xml:space="preserve">alla società </w:t>
      </w:r>
      <w:r w:rsidR="000A0DD2">
        <w:rPr>
          <w:bCs/>
          <w:sz w:val="22"/>
          <w:szCs w:val="22"/>
        </w:rPr>
        <w:t xml:space="preserve">la deduzione </w:t>
      </w:r>
      <w:r w:rsidR="00F37B22">
        <w:rPr>
          <w:bCs/>
          <w:sz w:val="22"/>
          <w:szCs w:val="22"/>
        </w:rPr>
        <w:t>fiscale di compensi tassati in capo ai percettori</w:t>
      </w:r>
      <w:r w:rsidR="00761DF8">
        <w:rPr>
          <w:bCs/>
          <w:sz w:val="22"/>
          <w:szCs w:val="22"/>
        </w:rPr>
        <w:t xml:space="preserve"> </w:t>
      </w:r>
      <w:r w:rsidR="00E25877">
        <w:rPr>
          <w:bCs/>
          <w:sz w:val="22"/>
          <w:szCs w:val="22"/>
        </w:rPr>
        <w:t>(</w:t>
      </w:r>
      <w:r w:rsidR="00E25877">
        <w:rPr>
          <w:rStyle w:val="Rimandonotaapidipagina"/>
          <w:bCs/>
          <w:sz w:val="22"/>
          <w:szCs w:val="22"/>
        </w:rPr>
        <w:footnoteReference w:id="1210"/>
      </w:r>
      <w:r w:rsidR="00E25877">
        <w:rPr>
          <w:bCs/>
          <w:sz w:val="22"/>
          <w:szCs w:val="22"/>
        </w:rPr>
        <w:t>)</w:t>
      </w:r>
      <w:r w:rsidR="00F37B22">
        <w:rPr>
          <w:bCs/>
          <w:sz w:val="22"/>
          <w:szCs w:val="22"/>
        </w:rPr>
        <w:t xml:space="preserve">. </w:t>
      </w:r>
      <w:r w:rsidR="00A45306">
        <w:rPr>
          <w:bCs/>
          <w:sz w:val="22"/>
          <w:szCs w:val="22"/>
        </w:rPr>
        <w:t xml:space="preserve"> </w:t>
      </w:r>
    </w:p>
    <w:p w14:paraId="3FDDE815" w14:textId="6CE38AFA" w:rsidR="00A10B33" w:rsidRPr="00A45306" w:rsidRDefault="00761DF8" w:rsidP="006342C5">
      <w:pPr>
        <w:autoSpaceDE w:val="0"/>
        <w:autoSpaceDN w:val="0"/>
        <w:adjustRightInd w:val="0"/>
        <w:rPr>
          <w:sz w:val="22"/>
          <w:szCs w:val="22"/>
        </w:rPr>
      </w:pPr>
      <w:r>
        <w:rPr>
          <w:bCs/>
          <w:sz w:val="22"/>
          <w:szCs w:val="22"/>
        </w:rPr>
        <w:t xml:space="preserve">Un’altra questione logica generale riguarda gli enti diversi dalle società, per i quali può porsi, in termini identici, il problema del coordinamento impositivo trattato in questo paragrafo. Mi riferisco ad esempio a </w:t>
      </w:r>
      <w:r w:rsidR="00A45306">
        <w:rPr>
          <w:bCs/>
          <w:sz w:val="22"/>
          <w:szCs w:val="22"/>
        </w:rPr>
        <w:t xml:space="preserve">redditi percepiti per il tramite di fondazioni o </w:t>
      </w:r>
      <w:r w:rsidR="00A45306" w:rsidRPr="007F7EBF">
        <w:t>trusts</w:t>
      </w:r>
      <w:r w:rsidR="00A45306">
        <w:t xml:space="preserve">, </w:t>
      </w:r>
      <w:r>
        <w:t>che oscillano tra una doppia imposizione oppure un’imposizione solo sull’ente erogante</w:t>
      </w:r>
      <w:r w:rsidR="00270689">
        <w:t xml:space="preserve">, </w:t>
      </w:r>
      <w:r>
        <w:t xml:space="preserve"> non </w:t>
      </w:r>
      <w:r w:rsidR="00270689">
        <w:t xml:space="preserve">accompagnata da quella </w:t>
      </w:r>
      <w:r>
        <w:t>sul beneficiario</w:t>
      </w:r>
      <w:r w:rsidR="00270689">
        <w:t>, con un salto di imposta, per fortuna non molto diffuso, vista la modesta utilizzazione del trust</w:t>
      </w:r>
      <w:r w:rsidR="00D55B0C">
        <w:t xml:space="preserve"> </w:t>
      </w:r>
      <w:r w:rsidR="00A45306">
        <w:t>(</w:t>
      </w:r>
      <w:r w:rsidR="00A45306" w:rsidRPr="007F7EBF">
        <w:rPr>
          <w:rStyle w:val="Rimandonotaapidipagina"/>
          <w:sz w:val="22"/>
          <w:szCs w:val="22"/>
        </w:rPr>
        <w:footnoteReference w:id="1211"/>
      </w:r>
      <w:r w:rsidR="00A45306">
        <w:t>)</w:t>
      </w:r>
      <w:r w:rsidR="00A45306" w:rsidRPr="007F7EBF">
        <w:t>.</w:t>
      </w:r>
    </w:p>
    <w:p w14:paraId="62E985A4" w14:textId="31C7490D" w:rsidR="00DB4642" w:rsidRPr="007F7EBF" w:rsidRDefault="00901C50" w:rsidP="007B5B5E">
      <w:pPr>
        <w:pStyle w:val="Titolo3"/>
        <w:rPr>
          <w:sz w:val="22"/>
          <w:szCs w:val="22"/>
        </w:rPr>
      </w:pPr>
      <w:bookmarkStart w:id="117" w:name="_Toc63365027"/>
      <w:r w:rsidRPr="007F7EBF">
        <w:rPr>
          <w:rFonts w:ascii="Times New Roman" w:hAnsi="Times New Roman"/>
          <w:sz w:val="22"/>
          <w:szCs w:val="22"/>
        </w:rPr>
        <w:t xml:space="preserve">7.18. </w:t>
      </w:r>
      <w:r w:rsidRPr="007F7EBF">
        <w:rPr>
          <w:rFonts w:ascii="Times New Roman" w:hAnsi="Times New Roman"/>
          <w:sz w:val="22"/>
          <w:szCs w:val="22"/>
          <w:lang w:val="it-IT"/>
        </w:rPr>
        <w:t>C</w:t>
      </w:r>
      <w:proofErr w:type="spellStart"/>
      <w:r w:rsidR="006342C5" w:rsidRPr="007F7EBF">
        <w:rPr>
          <w:rFonts w:ascii="Times New Roman" w:hAnsi="Times New Roman"/>
          <w:sz w:val="22"/>
          <w:szCs w:val="22"/>
        </w:rPr>
        <w:t>ollegamento</w:t>
      </w:r>
      <w:proofErr w:type="spellEnd"/>
      <w:r w:rsidR="006342C5" w:rsidRPr="007F7EBF">
        <w:rPr>
          <w:rFonts w:ascii="Times New Roman" w:hAnsi="Times New Roman"/>
          <w:sz w:val="22"/>
          <w:szCs w:val="22"/>
        </w:rPr>
        <w:t xml:space="preserve"> de</w:t>
      </w:r>
      <w:r w:rsidRPr="007F7EBF">
        <w:rPr>
          <w:rFonts w:ascii="Times New Roman" w:hAnsi="Times New Roman"/>
          <w:sz w:val="22"/>
          <w:szCs w:val="22"/>
          <w:lang w:val="it-IT"/>
        </w:rPr>
        <w:t xml:space="preserve">i redditi </w:t>
      </w:r>
      <w:r w:rsidR="006342C5" w:rsidRPr="007F7EBF">
        <w:rPr>
          <w:rFonts w:ascii="Times New Roman" w:hAnsi="Times New Roman"/>
          <w:sz w:val="22"/>
          <w:szCs w:val="22"/>
        </w:rPr>
        <w:t>al territorio nazionale</w:t>
      </w:r>
      <w:r w:rsidRPr="007F7EBF">
        <w:rPr>
          <w:rFonts w:ascii="Times New Roman" w:hAnsi="Times New Roman"/>
          <w:sz w:val="22"/>
          <w:szCs w:val="22"/>
          <w:lang w:val="it-IT"/>
        </w:rPr>
        <w:t>:</w:t>
      </w:r>
      <w:r w:rsidR="004A729B" w:rsidRPr="007F7EBF">
        <w:rPr>
          <w:rFonts w:ascii="Times New Roman" w:hAnsi="Times New Roman"/>
          <w:sz w:val="22"/>
          <w:szCs w:val="22"/>
          <w:lang w:val="it-IT"/>
        </w:rPr>
        <w:t xml:space="preserve"> criterio della produzione, della residenza e relativo coordinamento contro doppie imposizioni</w:t>
      </w:r>
      <w:bookmarkEnd w:id="117"/>
    </w:p>
    <w:p w14:paraId="33B8D259" w14:textId="22DF8911" w:rsidR="00DB4642" w:rsidRPr="007F7EBF" w:rsidRDefault="00E96094" w:rsidP="00DB4642">
      <w:pPr>
        <w:pStyle w:val="tit23"/>
        <w:ind w:left="6464" w:right="-1361" w:firstLine="0"/>
        <w:jc w:val="left"/>
        <w:rPr>
          <w:bCs/>
          <w:i/>
          <w:iCs/>
          <w:color w:val="0000FF"/>
          <w:lang w:val="it-IT"/>
        </w:rPr>
      </w:pPr>
      <w:r w:rsidRPr="007F7EBF">
        <w:rPr>
          <w:bCs/>
          <w:i/>
          <w:iCs/>
          <w:color w:val="0000FF"/>
          <w:lang w:val="it-IT"/>
        </w:rPr>
        <w:t xml:space="preserve">Collegamento </w:t>
      </w:r>
      <w:r w:rsidR="00393BD8">
        <w:rPr>
          <w:bCs/>
          <w:i/>
          <w:iCs/>
          <w:color w:val="0000FF"/>
          <w:lang w:val="it-IT"/>
        </w:rPr>
        <w:t xml:space="preserve">territoriale delle imposte </w:t>
      </w:r>
    </w:p>
    <w:p w14:paraId="2A913BAD" w14:textId="4B7BB39F" w:rsidR="003164D9" w:rsidRDefault="00DB4642" w:rsidP="00E96094">
      <w:pPr>
        <w:autoSpaceDE w:val="0"/>
        <w:autoSpaceDN w:val="0"/>
        <w:adjustRightInd w:val="0"/>
        <w:rPr>
          <w:sz w:val="22"/>
          <w:szCs w:val="22"/>
        </w:rPr>
      </w:pPr>
      <w:r w:rsidRPr="007F7EBF">
        <w:rPr>
          <w:sz w:val="22"/>
          <w:szCs w:val="22"/>
        </w:rPr>
        <w:t>Abbiamo già visto che le imposte sono una manifestazione di sovranità, di un pubblico potere, normalmente collegato a un territorio</w:t>
      </w:r>
      <w:r w:rsidR="00270689">
        <w:rPr>
          <w:sz w:val="22"/>
          <w:szCs w:val="22"/>
        </w:rPr>
        <w:t>(</w:t>
      </w:r>
      <w:r w:rsidRPr="007F7EBF">
        <w:rPr>
          <w:rStyle w:val="Rimandonotaapidipagina"/>
          <w:sz w:val="22"/>
          <w:szCs w:val="22"/>
        </w:rPr>
        <w:footnoteReference w:id="1212"/>
      </w:r>
      <w:r w:rsidR="00270689">
        <w:rPr>
          <w:sz w:val="22"/>
          <w:szCs w:val="22"/>
        </w:rPr>
        <w:t>)</w:t>
      </w:r>
      <w:r w:rsidR="00393BD8">
        <w:rPr>
          <w:sz w:val="22"/>
          <w:szCs w:val="22"/>
        </w:rPr>
        <w:t>; serve quindi, a</w:t>
      </w:r>
      <w:r w:rsidR="00E96094" w:rsidRPr="007F7EBF">
        <w:rPr>
          <w:sz w:val="22"/>
          <w:szCs w:val="22"/>
        </w:rPr>
        <w:t xml:space="preserve">i fini di qualsiasi </w:t>
      </w:r>
      <w:r w:rsidR="006342C5" w:rsidRPr="007F7EBF">
        <w:rPr>
          <w:sz w:val="22"/>
          <w:szCs w:val="22"/>
        </w:rPr>
        <w:t>impost</w:t>
      </w:r>
      <w:r w:rsidR="00E96094" w:rsidRPr="007F7EBF">
        <w:rPr>
          <w:sz w:val="22"/>
          <w:szCs w:val="22"/>
        </w:rPr>
        <w:t>a</w:t>
      </w:r>
      <w:r w:rsidR="00393BD8">
        <w:rPr>
          <w:sz w:val="22"/>
          <w:szCs w:val="22"/>
        </w:rPr>
        <w:t xml:space="preserve">, </w:t>
      </w:r>
      <w:r w:rsidR="00E96094" w:rsidRPr="007F7EBF">
        <w:rPr>
          <w:sz w:val="22"/>
          <w:szCs w:val="22"/>
        </w:rPr>
        <w:t>un</w:t>
      </w:r>
      <w:r w:rsidR="006342C5" w:rsidRPr="007F7EBF">
        <w:rPr>
          <w:sz w:val="22"/>
          <w:szCs w:val="22"/>
        </w:rPr>
        <w:t xml:space="preserve"> </w:t>
      </w:r>
      <w:r w:rsidR="006342C5" w:rsidRPr="007F7EBF">
        <w:rPr>
          <w:bCs/>
          <w:sz w:val="22"/>
          <w:szCs w:val="22"/>
        </w:rPr>
        <w:t xml:space="preserve">collegamento </w:t>
      </w:r>
      <w:r w:rsidR="00E96094" w:rsidRPr="007F7EBF">
        <w:rPr>
          <w:sz w:val="22"/>
          <w:szCs w:val="22"/>
        </w:rPr>
        <w:t xml:space="preserve">tra </w:t>
      </w:r>
      <w:r w:rsidR="00FB6A99">
        <w:rPr>
          <w:sz w:val="22"/>
          <w:szCs w:val="22"/>
        </w:rPr>
        <w:t>astrazioni economiche</w:t>
      </w:r>
      <w:r w:rsidR="00E96094" w:rsidRPr="007F7EBF">
        <w:rPr>
          <w:sz w:val="22"/>
          <w:szCs w:val="22"/>
        </w:rPr>
        <w:t xml:space="preserve"> e </w:t>
      </w:r>
      <w:r w:rsidR="006342C5" w:rsidRPr="007F7EBF">
        <w:rPr>
          <w:bCs/>
          <w:sz w:val="22"/>
          <w:szCs w:val="22"/>
        </w:rPr>
        <w:t>territorio statale</w:t>
      </w:r>
      <w:r w:rsidR="00E96094" w:rsidRPr="007F7EBF">
        <w:rPr>
          <w:bCs/>
          <w:sz w:val="22"/>
          <w:szCs w:val="22"/>
        </w:rPr>
        <w:t xml:space="preserve">, secondo criteri previsti dalla relativa legislazione, denominati </w:t>
      </w:r>
      <w:r w:rsidR="003164D9">
        <w:rPr>
          <w:bCs/>
          <w:sz w:val="22"/>
          <w:szCs w:val="22"/>
        </w:rPr>
        <w:t>in senso ampio</w:t>
      </w:r>
      <w:r w:rsidR="00E96094" w:rsidRPr="007F7EBF">
        <w:rPr>
          <w:bCs/>
          <w:sz w:val="22"/>
          <w:szCs w:val="22"/>
        </w:rPr>
        <w:t xml:space="preserve"> "criteri di collegamento</w:t>
      </w:r>
      <w:r w:rsidR="00393BD8">
        <w:rPr>
          <w:bCs/>
          <w:sz w:val="22"/>
          <w:szCs w:val="22"/>
        </w:rPr>
        <w:t>”</w:t>
      </w:r>
      <w:r w:rsidR="00393BD8" w:rsidRPr="00393BD8">
        <w:rPr>
          <w:rStyle w:val="Rimandonotaapidipagina"/>
          <w:bCs/>
          <w:sz w:val="22"/>
          <w:szCs w:val="22"/>
        </w:rPr>
        <w:t xml:space="preserve"> </w:t>
      </w:r>
      <w:r w:rsidR="00FB6A99">
        <w:rPr>
          <w:bCs/>
          <w:sz w:val="22"/>
          <w:szCs w:val="22"/>
        </w:rPr>
        <w:t>(</w:t>
      </w:r>
      <w:r w:rsidR="00393BD8" w:rsidRPr="007F7EBF">
        <w:rPr>
          <w:rStyle w:val="Rimandonotaapidipagina"/>
          <w:bCs/>
          <w:sz w:val="22"/>
          <w:szCs w:val="22"/>
        </w:rPr>
        <w:footnoteReference w:id="1213"/>
      </w:r>
      <w:r w:rsidR="00FB6A99">
        <w:rPr>
          <w:bCs/>
          <w:sz w:val="22"/>
          <w:szCs w:val="22"/>
        </w:rPr>
        <w:t>)</w:t>
      </w:r>
      <w:r w:rsidR="003164D9">
        <w:rPr>
          <w:sz w:val="22"/>
          <w:szCs w:val="22"/>
        </w:rPr>
        <w:t xml:space="preserve">; essi </w:t>
      </w:r>
      <w:r w:rsidR="00FB6A99">
        <w:rPr>
          <w:sz w:val="22"/>
          <w:szCs w:val="22"/>
        </w:rPr>
        <w:t>delimitano</w:t>
      </w:r>
      <w:r w:rsidR="003164D9">
        <w:rPr>
          <w:sz w:val="22"/>
          <w:szCs w:val="22"/>
        </w:rPr>
        <w:t xml:space="preserve">, per qualsiasi tributo, la sfera territoriale di sovranità fiscale (c.d. “tax </w:t>
      </w:r>
      <w:proofErr w:type="spellStart"/>
      <w:r w:rsidR="003164D9">
        <w:rPr>
          <w:sz w:val="22"/>
          <w:szCs w:val="22"/>
        </w:rPr>
        <w:t>jurisdiction</w:t>
      </w:r>
      <w:proofErr w:type="spellEnd"/>
      <w:r w:rsidR="003164D9">
        <w:rPr>
          <w:sz w:val="22"/>
          <w:szCs w:val="22"/>
        </w:rPr>
        <w:t>”), da coordinare eventualmente con quella di altri paesi</w:t>
      </w:r>
      <w:r w:rsidR="00FB6A99">
        <w:rPr>
          <w:sz w:val="22"/>
          <w:szCs w:val="22"/>
        </w:rPr>
        <w:t xml:space="preserve">, attraverso le </w:t>
      </w:r>
      <w:r w:rsidR="003164D9">
        <w:rPr>
          <w:sz w:val="22"/>
          <w:szCs w:val="22"/>
        </w:rPr>
        <w:t xml:space="preserve">convenzioni internazionali </w:t>
      </w:r>
      <w:r w:rsidR="00FB6A99">
        <w:rPr>
          <w:sz w:val="22"/>
          <w:szCs w:val="22"/>
        </w:rPr>
        <w:t>sul tema, di cui si dirà oltre</w:t>
      </w:r>
      <w:r w:rsidR="003164D9">
        <w:rPr>
          <w:sz w:val="22"/>
          <w:szCs w:val="22"/>
        </w:rPr>
        <w:t xml:space="preserve">. </w:t>
      </w:r>
    </w:p>
    <w:p w14:paraId="147614CE" w14:textId="0D35305B" w:rsidR="00E96094" w:rsidRPr="007F7EBF" w:rsidRDefault="00FB6A99" w:rsidP="00E96094">
      <w:pPr>
        <w:pStyle w:val="tit23"/>
        <w:ind w:left="6464" w:right="-1361" w:firstLine="0"/>
        <w:jc w:val="left"/>
        <w:rPr>
          <w:bCs/>
          <w:i/>
          <w:iCs/>
          <w:color w:val="0000FF"/>
          <w:lang w:val="it-IT"/>
        </w:rPr>
      </w:pPr>
      <w:r>
        <w:rPr>
          <w:bCs/>
          <w:i/>
          <w:iCs/>
          <w:color w:val="0000FF"/>
          <w:lang w:val="it-IT"/>
        </w:rPr>
        <w:lastRenderedPageBreak/>
        <w:t xml:space="preserve">Luogo di </w:t>
      </w:r>
      <w:proofErr w:type="spellStart"/>
      <w:r>
        <w:rPr>
          <w:bCs/>
          <w:i/>
          <w:iCs/>
          <w:color w:val="0000FF"/>
          <w:lang w:val="it-IT"/>
        </w:rPr>
        <w:t>consuno</w:t>
      </w:r>
      <w:proofErr w:type="spellEnd"/>
      <w:r>
        <w:rPr>
          <w:bCs/>
          <w:i/>
          <w:iCs/>
          <w:color w:val="0000FF"/>
          <w:lang w:val="it-IT"/>
        </w:rPr>
        <w:t xml:space="preserve"> e di produzione </w:t>
      </w:r>
    </w:p>
    <w:p w14:paraId="340DEAE2" w14:textId="77777777" w:rsidR="00355F13" w:rsidRPr="007F7EBF" w:rsidRDefault="003164D9" w:rsidP="00355F13">
      <w:pPr>
        <w:autoSpaceDE w:val="0"/>
        <w:autoSpaceDN w:val="0"/>
        <w:adjustRightInd w:val="0"/>
        <w:rPr>
          <w:sz w:val="22"/>
          <w:szCs w:val="22"/>
        </w:rPr>
      </w:pPr>
      <w:r>
        <w:rPr>
          <w:sz w:val="22"/>
          <w:szCs w:val="22"/>
        </w:rPr>
        <w:t xml:space="preserve">Abbiamo già visto ai </w:t>
      </w:r>
      <w:proofErr w:type="spellStart"/>
      <w:r>
        <w:rPr>
          <w:sz w:val="22"/>
          <w:szCs w:val="22"/>
        </w:rPr>
        <w:t>parr</w:t>
      </w:r>
      <w:proofErr w:type="spellEnd"/>
      <w:r>
        <w:rPr>
          <w:sz w:val="22"/>
          <w:szCs w:val="22"/>
        </w:rPr>
        <w:t>. 7.3-7.4</w:t>
      </w:r>
      <w:r w:rsidR="00FB6A99">
        <w:rPr>
          <w:sz w:val="22"/>
          <w:szCs w:val="22"/>
        </w:rPr>
        <w:t xml:space="preserve">, in materia di IVA, </w:t>
      </w:r>
      <w:r>
        <w:rPr>
          <w:sz w:val="22"/>
          <w:szCs w:val="22"/>
        </w:rPr>
        <w:t>che la sovranità fiscale in materia di imposte sul consumo spetta al paese dell’acquirente  (</w:t>
      </w:r>
      <w:r>
        <w:rPr>
          <w:rStyle w:val="Rimandonotaapidipagina"/>
          <w:sz w:val="22"/>
          <w:szCs w:val="22"/>
        </w:rPr>
        <w:footnoteReference w:id="1214"/>
      </w:r>
      <w:r w:rsidR="00FB6A99">
        <w:rPr>
          <w:sz w:val="22"/>
          <w:szCs w:val="22"/>
        </w:rPr>
        <w:t xml:space="preserve">); </w:t>
      </w:r>
      <w:r>
        <w:rPr>
          <w:sz w:val="22"/>
          <w:szCs w:val="22"/>
        </w:rPr>
        <w:t xml:space="preserve">il reddito </w:t>
      </w:r>
      <w:r w:rsidR="008473CF">
        <w:rPr>
          <w:sz w:val="22"/>
          <w:szCs w:val="22"/>
        </w:rPr>
        <w:t xml:space="preserve">da attività di produzione o commercio di beni </w:t>
      </w:r>
      <w:r>
        <w:rPr>
          <w:sz w:val="22"/>
          <w:szCs w:val="22"/>
        </w:rPr>
        <w:t xml:space="preserve">guarda </w:t>
      </w:r>
      <w:r w:rsidR="00FB6A99">
        <w:rPr>
          <w:sz w:val="22"/>
          <w:szCs w:val="22"/>
        </w:rPr>
        <w:t xml:space="preserve">invece </w:t>
      </w:r>
      <w:r>
        <w:rPr>
          <w:sz w:val="22"/>
          <w:szCs w:val="22"/>
        </w:rPr>
        <w:t>al paese in cui</w:t>
      </w:r>
      <w:r w:rsidR="00FB6A99">
        <w:rPr>
          <w:sz w:val="22"/>
          <w:szCs w:val="22"/>
        </w:rPr>
        <w:t xml:space="preserve"> è svolta la relativa attività, cioè quello in cui</w:t>
      </w:r>
      <w:r>
        <w:rPr>
          <w:sz w:val="22"/>
          <w:szCs w:val="22"/>
        </w:rPr>
        <w:t xml:space="preserve"> il medesimo è prodotto</w:t>
      </w:r>
      <w:r w:rsidR="00FB6A99">
        <w:rPr>
          <w:sz w:val="22"/>
          <w:szCs w:val="22"/>
        </w:rPr>
        <w:t xml:space="preserve">, tendenzialmente </w:t>
      </w:r>
      <w:r>
        <w:rPr>
          <w:sz w:val="22"/>
          <w:szCs w:val="22"/>
        </w:rPr>
        <w:t>quello del fornitore</w:t>
      </w:r>
      <w:r w:rsidR="00FB6A99">
        <w:rPr>
          <w:sz w:val="22"/>
          <w:szCs w:val="22"/>
        </w:rPr>
        <w:t xml:space="preserve"> (</w:t>
      </w:r>
      <w:r w:rsidR="00FB6A99">
        <w:rPr>
          <w:rStyle w:val="Rimandonotaapidipagina"/>
          <w:sz w:val="22"/>
          <w:szCs w:val="22"/>
        </w:rPr>
        <w:footnoteReference w:id="1215"/>
      </w:r>
      <w:r w:rsidR="00FB6A99">
        <w:rPr>
          <w:sz w:val="22"/>
          <w:szCs w:val="22"/>
        </w:rPr>
        <w:t>)</w:t>
      </w:r>
      <w:r>
        <w:rPr>
          <w:sz w:val="22"/>
          <w:szCs w:val="22"/>
        </w:rPr>
        <w:t xml:space="preserve">. </w:t>
      </w:r>
      <w:r w:rsidR="00CC536F">
        <w:rPr>
          <w:sz w:val="22"/>
          <w:szCs w:val="22"/>
        </w:rPr>
        <w:t xml:space="preserve"> Ciò comporta che la mera esportazione di merci in un paese non radica in esso </w:t>
      </w:r>
      <w:r w:rsidR="00B17B99">
        <w:rPr>
          <w:sz w:val="22"/>
          <w:szCs w:val="22"/>
        </w:rPr>
        <w:t>redditi imponibili,</w:t>
      </w:r>
      <w:r w:rsidR="00CC536F">
        <w:rPr>
          <w:sz w:val="22"/>
          <w:szCs w:val="22"/>
        </w:rPr>
        <w:t xml:space="preserve"> salva l’esistenza in esso di una qualche struttura del fornitore, denominata “stabile organizzazione”</w:t>
      </w:r>
      <w:r w:rsidR="00B17B99">
        <w:rPr>
          <w:sz w:val="22"/>
          <w:szCs w:val="22"/>
        </w:rPr>
        <w:t xml:space="preserve">. </w:t>
      </w:r>
      <w:r w:rsidR="00355F13">
        <w:t xml:space="preserve">. </w:t>
      </w:r>
    </w:p>
    <w:p w14:paraId="14F8A796" w14:textId="3D31FBDC" w:rsidR="00355F13" w:rsidRPr="007F7EBF" w:rsidRDefault="00355F13" w:rsidP="00355F13">
      <w:pPr>
        <w:pStyle w:val="tit23"/>
        <w:ind w:left="6464" w:right="-1361" w:firstLine="0"/>
        <w:jc w:val="left"/>
        <w:rPr>
          <w:bCs/>
          <w:i/>
          <w:iCs/>
          <w:color w:val="0000FF"/>
          <w:lang w:val="it-IT"/>
        </w:rPr>
      </w:pPr>
      <w:r>
        <w:rPr>
          <w:bCs/>
          <w:i/>
          <w:iCs/>
          <w:color w:val="0000FF"/>
          <w:lang w:val="it-IT"/>
        </w:rPr>
        <w:t xml:space="preserve"> Stabile organizzazione  </w:t>
      </w:r>
      <w:proofErr w:type="spellStart"/>
      <w:r>
        <w:rPr>
          <w:bCs/>
          <w:i/>
          <w:iCs/>
          <w:color w:val="0000FF"/>
          <w:lang w:val="it-IT"/>
        </w:rPr>
        <w:t>aziendemultinazionali</w:t>
      </w:r>
      <w:proofErr w:type="spellEnd"/>
    </w:p>
    <w:p w14:paraId="71A47EBA" w14:textId="44FFA7E4" w:rsidR="00F43053" w:rsidRPr="007F7EBF" w:rsidRDefault="00A82E75" w:rsidP="00355F13">
      <w:pPr>
        <w:autoSpaceDE w:val="0"/>
        <w:autoSpaceDN w:val="0"/>
        <w:adjustRightInd w:val="0"/>
        <w:rPr>
          <w:bCs/>
          <w:i/>
          <w:iCs/>
          <w:color w:val="0000FF"/>
        </w:rPr>
      </w:pPr>
      <w:r>
        <w:t>Q</w:t>
      </w:r>
      <w:r w:rsidR="003A2236">
        <w:t xml:space="preserve">uest’ultima </w:t>
      </w:r>
      <w:r>
        <w:rPr>
          <w:sz w:val="22"/>
          <w:szCs w:val="22"/>
        </w:rPr>
        <w:t xml:space="preserve">è una struttura materiale o personale, senza autonoma soggettività giuridica, </w:t>
      </w:r>
      <w:r w:rsidRPr="007F7EBF">
        <w:rPr>
          <w:sz w:val="22"/>
          <w:szCs w:val="22"/>
        </w:rPr>
        <w:t>appartenent</w:t>
      </w:r>
      <w:r>
        <w:rPr>
          <w:sz w:val="22"/>
          <w:szCs w:val="22"/>
        </w:rPr>
        <w:t xml:space="preserve">e direttamente </w:t>
      </w:r>
      <w:r w:rsidRPr="007F7EBF">
        <w:rPr>
          <w:sz w:val="22"/>
          <w:szCs w:val="22"/>
        </w:rPr>
        <w:t xml:space="preserve">allo stesso soggetto estero, </w:t>
      </w:r>
      <w:r>
        <w:rPr>
          <w:sz w:val="22"/>
          <w:szCs w:val="22"/>
        </w:rPr>
        <w:t xml:space="preserve">ma fisicamente ubicata in un diverso stato; esso assoggetta a imposte sui redditi quelli prodotti dalla stabile organizzazione, </w:t>
      </w:r>
      <w:r w:rsidRPr="007F7EBF">
        <w:rPr>
          <w:sz w:val="22"/>
          <w:szCs w:val="22"/>
        </w:rPr>
        <w:t xml:space="preserve">come se fosse </w:t>
      </w:r>
      <w:r>
        <w:rPr>
          <w:sz w:val="22"/>
          <w:szCs w:val="22"/>
        </w:rPr>
        <w:t>un’articolazione fiscalmente indipendente (“</w:t>
      </w:r>
      <w:r w:rsidRPr="007F7EBF">
        <w:rPr>
          <w:sz w:val="22"/>
          <w:szCs w:val="22"/>
        </w:rPr>
        <w:t>terz</w:t>
      </w:r>
      <w:r>
        <w:rPr>
          <w:sz w:val="22"/>
          <w:szCs w:val="22"/>
        </w:rPr>
        <w:t xml:space="preserve">a”) </w:t>
      </w:r>
      <w:r w:rsidRPr="007F7EBF">
        <w:rPr>
          <w:sz w:val="22"/>
          <w:szCs w:val="22"/>
        </w:rPr>
        <w:t xml:space="preserve">rispetto al resto </w:t>
      </w:r>
      <w:r>
        <w:rPr>
          <w:sz w:val="22"/>
          <w:szCs w:val="22"/>
        </w:rPr>
        <w:t>del soggetto di cui fa parte (</w:t>
      </w:r>
      <w:r>
        <w:rPr>
          <w:rStyle w:val="Rimandonotaapidipagina"/>
          <w:sz w:val="22"/>
          <w:szCs w:val="22"/>
        </w:rPr>
        <w:footnoteReference w:id="1216"/>
      </w:r>
      <w:r>
        <w:rPr>
          <w:sz w:val="22"/>
          <w:szCs w:val="22"/>
        </w:rPr>
        <w:t xml:space="preserve">). Se ne </w:t>
      </w:r>
      <w:r w:rsidR="003A2236">
        <w:t xml:space="preserve"> parla molto da quando internet ha reso possibile la vendita a distanza, con una vetrina info</w:t>
      </w:r>
      <w:r w:rsidR="003A2236" w:rsidRPr="007F7EBF">
        <w:t xml:space="preserve">rmatica e un contatto diretto via web coi consumatori. </w:t>
      </w:r>
      <w:r w:rsidR="003A2236">
        <w:t>Questi “giganti del web”</w:t>
      </w:r>
      <w:r w:rsidR="003A2236" w:rsidRPr="007F7EBF">
        <w:t xml:space="preserve"> </w:t>
      </w:r>
      <w:r w:rsidR="003A2236">
        <w:t xml:space="preserve">vendono dall’estero,  applicando regolarmente l’IVA nel paese dei clienti, ma gli stati di questi ultimi sostengono che anche il reddito del fornitore informatico è in parte prodotto nel loro territorio. Invece di fantomatiche “web tax” si tratterebbe di adattare all’economia digitale il concetto di “stabile organizzazione”; una parte del reddito commerciale viene infatti </w:t>
      </w:r>
      <w:r w:rsidR="003A2236">
        <w:lastRenderedPageBreak/>
        <w:t>dall’interazione diretta, in rete, di cliente e fornitore, che era inconcepibile quando furono redatte le convenzioni contro le doppie imposizioni</w:t>
      </w:r>
      <w:r>
        <w:t xml:space="preserve">. </w:t>
      </w:r>
    </w:p>
    <w:p w14:paraId="479E3682" w14:textId="16B916E2" w:rsidR="00A82E75" w:rsidRDefault="00A82E75" w:rsidP="00A82E75">
      <w:pPr>
        <w:autoSpaceDE w:val="0"/>
        <w:autoSpaceDN w:val="0"/>
        <w:adjustRightInd w:val="0"/>
        <w:rPr>
          <w:sz w:val="22"/>
          <w:szCs w:val="22"/>
        </w:rPr>
      </w:pPr>
      <w:r>
        <w:rPr>
          <w:sz w:val="22"/>
          <w:szCs w:val="22"/>
        </w:rPr>
        <w:t xml:space="preserve">A parte questi temi contingenti, </w:t>
      </w:r>
      <w:r w:rsidR="00F43053" w:rsidRPr="007F7EBF">
        <w:rPr>
          <w:sz w:val="22"/>
          <w:szCs w:val="22"/>
        </w:rPr>
        <w:t xml:space="preserve">la </w:t>
      </w:r>
      <w:r w:rsidR="009F6914" w:rsidRPr="007F7EBF">
        <w:rPr>
          <w:sz w:val="22"/>
          <w:szCs w:val="22"/>
        </w:rPr>
        <w:t xml:space="preserve">configurabilità </w:t>
      </w:r>
      <w:r w:rsidR="00F025C7">
        <w:rPr>
          <w:sz w:val="22"/>
          <w:szCs w:val="22"/>
        </w:rPr>
        <w:t xml:space="preserve">di una stabile organizzazione </w:t>
      </w:r>
      <w:r w:rsidR="009F6914" w:rsidRPr="007F7EBF">
        <w:rPr>
          <w:sz w:val="22"/>
          <w:szCs w:val="22"/>
        </w:rPr>
        <w:t xml:space="preserve">va esaminata </w:t>
      </w:r>
      <w:r w:rsidR="00F43053" w:rsidRPr="007F7EBF">
        <w:rPr>
          <w:sz w:val="22"/>
          <w:szCs w:val="22"/>
        </w:rPr>
        <w:t>caso per caso</w:t>
      </w:r>
      <w:r w:rsidR="00CC536F">
        <w:rPr>
          <w:sz w:val="22"/>
          <w:szCs w:val="22"/>
        </w:rPr>
        <w:t>,</w:t>
      </w:r>
      <w:r w:rsidR="00F43053" w:rsidRPr="007F7EBF">
        <w:rPr>
          <w:sz w:val="22"/>
          <w:szCs w:val="22"/>
        </w:rPr>
        <w:t xml:space="preserve"> in base ai beni materiali, al personale e ai rapporti giuridici con cui l’impresa non residente esercita l’attività in Italia. Senza </w:t>
      </w:r>
      <w:r w:rsidR="00D05C7A" w:rsidRPr="007F7EBF">
        <w:rPr>
          <w:sz w:val="22"/>
          <w:szCs w:val="22"/>
        </w:rPr>
        <w:t>dilungarsi su tecnicismi casistici</w:t>
      </w:r>
      <w:r w:rsidR="00F43053" w:rsidRPr="007F7EBF">
        <w:rPr>
          <w:sz w:val="22"/>
          <w:szCs w:val="22"/>
        </w:rPr>
        <w:t xml:space="preserve"> non configura stabile organizzazione</w:t>
      </w:r>
      <w:r w:rsidR="00F025C7">
        <w:rPr>
          <w:sz w:val="22"/>
          <w:szCs w:val="22"/>
        </w:rPr>
        <w:t>, oltre che</w:t>
      </w:r>
      <w:r w:rsidR="00F43053" w:rsidRPr="007F7EBF">
        <w:rPr>
          <w:sz w:val="22"/>
          <w:szCs w:val="22"/>
        </w:rPr>
        <w:t xml:space="preserve"> la mera vendita di beni </w:t>
      </w:r>
      <w:r w:rsidR="00D710D7">
        <w:rPr>
          <w:sz w:val="22"/>
          <w:szCs w:val="22"/>
        </w:rPr>
        <w:t>dall’estero</w:t>
      </w:r>
      <w:r>
        <w:rPr>
          <w:sz w:val="22"/>
          <w:szCs w:val="22"/>
        </w:rPr>
        <w:t xml:space="preserve"> (salvo il suddetto discusso caso del web) </w:t>
      </w:r>
      <w:r w:rsidR="00F025C7">
        <w:rPr>
          <w:sz w:val="22"/>
          <w:szCs w:val="22"/>
        </w:rPr>
        <w:t xml:space="preserve">, anche </w:t>
      </w:r>
      <w:r w:rsidR="00F43053" w:rsidRPr="007F7EBF">
        <w:rPr>
          <w:sz w:val="22"/>
          <w:szCs w:val="22"/>
        </w:rPr>
        <w:t>la prestazione di servizi</w:t>
      </w:r>
      <w:r w:rsidR="00D710D7">
        <w:rPr>
          <w:sz w:val="22"/>
          <w:szCs w:val="22"/>
        </w:rPr>
        <w:t xml:space="preserve"> senza </w:t>
      </w:r>
      <w:r w:rsidR="00F43053" w:rsidRPr="007F7EBF">
        <w:rPr>
          <w:sz w:val="22"/>
          <w:szCs w:val="22"/>
        </w:rPr>
        <w:t>installazioni durevoli</w:t>
      </w:r>
      <w:r w:rsidR="00F43053" w:rsidRPr="007F7EBF">
        <w:rPr>
          <w:rStyle w:val="Rimandonotaapidipagina"/>
          <w:sz w:val="22"/>
          <w:szCs w:val="22"/>
        </w:rPr>
        <w:footnoteReference w:id="1217"/>
      </w:r>
      <w:r w:rsidR="009F6914" w:rsidRPr="007F7EBF">
        <w:rPr>
          <w:sz w:val="22"/>
          <w:szCs w:val="22"/>
        </w:rPr>
        <w:t xml:space="preserve">. </w:t>
      </w:r>
      <w:r w:rsidR="00D05C7A" w:rsidRPr="007F7EBF">
        <w:rPr>
          <w:sz w:val="22"/>
          <w:szCs w:val="22"/>
        </w:rPr>
        <w:t xml:space="preserve">Possono invece darvi luogo depositi, agenti di vendita, </w:t>
      </w:r>
      <w:r w:rsidR="00F16AD6">
        <w:rPr>
          <w:sz w:val="22"/>
          <w:szCs w:val="22"/>
        </w:rPr>
        <w:t xml:space="preserve">cantieri di lunga durata, </w:t>
      </w:r>
      <w:r w:rsidR="00D05C7A" w:rsidRPr="007F7EBF">
        <w:rPr>
          <w:sz w:val="22"/>
          <w:szCs w:val="22"/>
        </w:rPr>
        <w:t xml:space="preserve">etc. </w:t>
      </w:r>
    </w:p>
    <w:p w14:paraId="1B9DFB29" w14:textId="5093FC88" w:rsidR="00A82E75" w:rsidRPr="007F7EBF" w:rsidRDefault="00A82E75" w:rsidP="00A82E75">
      <w:pPr>
        <w:pStyle w:val="tit23"/>
        <w:ind w:left="6464" w:right="-1361" w:firstLine="0"/>
        <w:jc w:val="left"/>
        <w:rPr>
          <w:bCs/>
          <w:i/>
          <w:iCs/>
          <w:color w:val="0000FF"/>
          <w:lang w:val="it-IT"/>
        </w:rPr>
      </w:pPr>
      <w:r>
        <w:rPr>
          <w:bCs/>
          <w:i/>
          <w:iCs/>
          <w:color w:val="0000FF"/>
          <w:lang w:val="it-IT"/>
        </w:rPr>
        <w:t xml:space="preserve">Le società indipendenti dei gruppi multinazionali </w:t>
      </w:r>
    </w:p>
    <w:p w14:paraId="4740276A" w14:textId="3F1E7EBA" w:rsidR="00F025C7" w:rsidRDefault="00A82E75" w:rsidP="00F025C7">
      <w:pPr>
        <w:autoSpaceDE w:val="0"/>
        <w:autoSpaceDN w:val="0"/>
        <w:adjustRightInd w:val="0"/>
        <w:rPr>
          <w:sz w:val="22"/>
          <w:szCs w:val="22"/>
        </w:rPr>
      </w:pPr>
      <w:r>
        <w:rPr>
          <w:sz w:val="22"/>
          <w:szCs w:val="22"/>
        </w:rPr>
        <w:t>Anche p</w:t>
      </w:r>
      <w:r w:rsidR="00F16AD6">
        <w:rPr>
          <w:sz w:val="22"/>
          <w:szCs w:val="22"/>
        </w:rPr>
        <w:t xml:space="preserve">er evitare queste incertezze, </w:t>
      </w:r>
      <w:r>
        <w:rPr>
          <w:sz w:val="22"/>
          <w:szCs w:val="22"/>
        </w:rPr>
        <w:t xml:space="preserve">segmentare i ruoli paese per paese, evitare responsabilità sovranazionali in caso di gravi incidenti in un paese, i gruppi multinazionali, pur considerando se stessi come un’unica grande azienda unica a livello mondiale, si frammentano generalmente in società giuridicamente autonome, ai sensi della legislazione dei singoli paesi in cui operano; le stabili organizzazioni vengono adottate solo, come modello organizzativo, solo quando l’attività è molto integrata, come nel trasporto aereo o nel credito bancario. Le </w:t>
      </w:r>
      <w:r w:rsidR="002E2BE9">
        <w:rPr>
          <w:sz w:val="22"/>
          <w:szCs w:val="22"/>
        </w:rPr>
        <w:t xml:space="preserve">multinazionali  manifatturiere </w:t>
      </w:r>
      <w:r>
        <w:rPr>
          <w:sz w:val="22"/>
          <w:szCs w:val="22"/>
        </w:rPr>
        <w:t xml:space="preserve">o commerciali </w:t>
      </w:r>
      <w:r w:rsidR="00F16AD6">
        <w:rPr>
          <w:sz w:val="22"/>
          <w:szCs w:val="22"/>
        </w:rPr>
        <w:t>si articolano in</w:t>
      </w:r>
      <w:r w:rsidR="002E2BE9">
        <w:rPr>
          <w:sz w:val="22"/>
          <w:szCs w:val="22"/>
        </w:rPr>
        <w:t xml:space="preserve">vece in </w:t>
      </w:r>
      <w:r w:rsidR="00F16AD6">
        <w:rPr>
          <w:sz w:val="22"/>
          <w:szCs w:val="22"/>
        </w:rPr>
        <w:t>società controllate giuridicamente autonome (c.d. “</w:t>
      </w:r>
      <w:proofErr w:type="spellStart"/>
      <w:r w:rsidR="00F16AD6">
        <w:rPr>
          <w:sz w:val="22"/>
          <w:szCs w:val="22"/>
        </w:rPr>
        <w:t>subsidiaries</w:t>
      </w:r>
      <w:proofErr w:type="spellEnd"/>
      <w:r w:rsidR="00F16AD6">
        <w:rPr>
          <w:sz w:val="22"/>
          <w:szCs w:val="22"/>
        </w:rPr>
        <w:t xml:space="preserve">”), che </w:t>
      </w:r>
      <w:r w:rsidR="00F43053" w:rsidRPr="007F7EBF">
        <w:rPr>
          <w:sz w:val="22"/>
          <w:szCs w:val="22"/>
        </w:rPr>
        <w:t>determina</w:t>
      </w:r>
      <w:r w:rsidR="00F16AD6">
        <w:rPr>
          <w:sz w:val="22"/>
          <w:szCs w:val="22"/>
        </w:rPr>
        <w:t>no</w:t>
      </w:r>
      <w:r w:rsidR="00F43053" w:rsidRPr="007F7EBF">
        <w:rPr>
          <w:sz w:val="22"/>
          <w:szCs w:val="22"/>
        </w:rPr>
        <w:t xml:space="preserve"> il proprio </w:t>
      </w:r>
      <w:r w:rsidR="00132FCD" w:rsidRPr="007F7EBF">
        <w:rPr>
          <w:sz w:val="22"/>
          <w:szCs w:val="22"/>
        </w:rPr>
        <w:t xml:space="preserve">distinto </w:t>
      </w:r>
      <w:r w:rsidR="00F43053" w:rsidRPr="007F7EBF">
        <w:rPr>
          <w:sz w:val="22"/>
          <w:szCs w:val="22"/>
        </w:rPr>
        <w:t xml:space="preserve">reddito nel paese dove </w:t>
      </w:r>
      <w:r w:rsidR="00F16AD6">
        <w:rPr>
          <w:sz w:val="22"/>
          <w:szCs w:val="22"/>
        </w:rPr>
        <w:t>sono</w:t>
      </w:r>
      <w:r w:rsidR="00F43053" w:rsidRPr="007F7EBF">
        <w:rPr>
          <w:sz w:val="22"/>
          <w:szCs w:val="22"/>
        </w:rPr>
        <w:t xml:space="preserve"> ubicat</w:t>
      </w:r>
      <w:r w:rsidR="00F16AD6">
        <w:rPr>
          <w:sz w:val="22"/>
          <w:szCs w:val="22"/>
        </w:rPr>
        <w:t xml:space="preserve">e, </w:t>
      </w:r>
      <w:r w:rsidR="00F43053" w:rsidRPr="007F7EBF">
        <w:rPr>
          <w:sz w:val="22"/>
          <w:szCs w:val="22"/>
        </w:rPr>
        <w:t>distribu</w:t>
      </w:r>
      <w:r w:rsidR="00F16AD6">
        <w:rPr>
          <w:sz w:val="22"/>
          <w:szCs w:val="22"/>
        </w:rPr>
        <w:t xml:space="preserve">endo </w:t>
      </w:r>
      <w:r w:rsidR="00F43053" w:rsidRPr="007F7EBF">
        <w:rPr>
          <w:sz w:val="22"/>
          <w:szCs w:val="22"/>
        </w:rPr>
        <w:t xml:space="preserve">poi dividendi ai soci </w:t>
      </w:r>
      <w:r w:rsidR="00F16AD6">
        <w:rPr>
          <w:sz w:val="22"/>
          <w:szCs w:val="22"/>
        </w:rPr>
        <w:t>(</w:t>
      </w:r>
      <w:r w:rsidR="00F16AD6">
        <w:rPr>
          <w:rStyle w:val="Rimandonotaapidipagina"/>
          <w:sz w:val="22"/>
          <w:szCs w:val="22"/>
        </w:rPr>
        <w:footnoteReference w:id="1218"/>
      </w:r>
      <w:r w:rsidR="00F16AD6">
        <w:rPr>
          <w:sz w:val="22"/>
          <w:szCs w:val="22"/>
        </w:rPr>
        <w:t>).</w:t>
      </w:r>
    </w:p>
    <w:p w14:paraId="0334EEB2" w14:textId="6FF690AC" w:rsidR="00F025C7" w:rsidRPr="007F7EBF" w:rsidRDefault="00F025C7" w:rsidP="00F025C7">
      <w:pPr>
        <w:pStyle w:val="tit23"/>
        <w:ind w:left="6464" w:right="-1361" w:firstLine="0"/>
        <w:jc w:val="left"/>
        <w:rPr>
          <w:bCs/>
          <w:i/>
          <w:iCs/>
          <w:color w:val="0000FF"/>
          <w:lang w:val="it-IT"/>
        </w:rPr>
      </w:pPr>
      <w:r>
        <w:rPr>
          <w:bCs/>
          <w:i/>
          <w:iCs/>
          <w:color w:val="0000FF"/>
          <w:lang w:val="it-IT"/>
        </w:rPr>
        <w:t>Altri criteri di collegamento reddituali-rinvio</w:t>
      </w:r>
    </w:p>
    <w:p w14:paraId="4E9E93F0" w14:textId="3DCC4B21" w:rsidR="00F43053" w:rsidRPr="007F7EBF" w:rsidRDefault="00F025C7" w:rsidP="00F43053">
      <w:pPr>
        <w:autoSpaceDE w:val="0"/>
        <w:autoSpaceDN w:val="0"/>
        <w:adjustRightInd w:val="0"/>
        <w:rPr>
          <w:bCs/>
          <w:i/>
          <w:iCs/>
          <w:color w:val="0000FF"/>
          <w:sz w:val="22"/>
          <w:szCs w:val="22"/>
        </w:rPr>
      </w:pPr>
      <w:r>
        <w:rPr>
          <w:sz w:val="22"/>
          <w:szCs w:val="22"/>
        </w:rPr>
        <w:t>Gli altri</w:t>
      </w:r>
      <w:r w:rsidR="00CC536F">
        <w:rPr>
          <w:sz w:val="22"/>
          <w:szCs w:val="22"/>
        </w:rPr>
        <w:t xml:space="preserve"> </w:t>
      </w:r>
      <w:r w:rsidR="00CC536F" w:rsidRPr="007F7EBF">
        <w:rPr>
          <w:bCs/>
          <w:sz w:val="22"/>
          <w:szCs w:val="22"/>
        </w:rPr>
        <w:t xml:space="preserve">criteri di collegamento territoriale </w:t>
      </w:r>
      <w:r w:rsidR="00CC536F">
        <w:rPr>
          <w:sz w:val="22"/>
          <w:szCs w:val="22"/>
        </w:rPr>
        <w:t>per le imposte sui redditi, dipend</w:t>
      </w:r>
      <w:r>
        <w:rPr>
          <w:sz w:val="22"/>
          <w:szCs w:val="22"/>
        </w:rPr>
        <w:t xml:space="preserve">ono </w:t>
      </w:r>
      <w:r w:rsidR="00CC536F">
        <w:rPr>
          <w:sz w:val="22"/>
          <w:szCs w:val="22"/>
        </w:rPr>
        <w:t xml:space="preserve">in genere </w:t>
      </w:r>
      <w:r w:rsidR="00CC536F" w:rsidRPr="007F7EBF">
        <w:rPr>
          <w:sz w:val="22"/>
          <w:szCs w:val="22"/>
        </w:rPr>
        <w:t xml:space="preserve">dal tipo di </w:t>
      </w:r>
      <w:r>
        <w:rPr>
          <w:sz w:val="22"/>
          <w:szCs w:val="22"/>
        </w:rPr>
        <w:t xml:space="preserve">attività o </w:t>
      </w:r>
      <w:r w:rsidR="00CC536F" w:rsidRPr="007F7EBF">
        <w:rPr>
          <w:sz w:val="22"/>
          <w:szCs w:val="22"/>
        </w:rPr>
        <w:t>cespite</w:t>
      </w:r>
      <w:r w:rsidR="002E2BE9">
        <w:rPr>
          <w:sz w:val="22"/>
          <w:szCs w:val="22"/>
        </w:rPr>
        <w:t xml:space="preserve">, e quindi è meglio parlarne quando esamineremo le attività sottostanti. </w:t>
      </w:r>
      <w:r w:rsidR="00CC536F">
        <w:rPr>
          <w:sz w:val="22"/>
          <w:szCs w:val="22"/>
        </w:rPr>
        <w:t xml:space="preserve">si pensi </w:t>
      </w:r>
      <w:r w:rsidR="00CC536F" w:rsidRPr="007F7EBF">
        <w:rPr>
          <w:sz w:val="22"/>
          <w:szCs w:val="22"/>
        </w:rPr>
        <w:t xml:space="preserve">ad esempio </w:t>
      </w:r>
      <w:r w:rsidR="00CC536F">
        <w:rPr>
          <w:sz w:val="22"/>
          <w:szCs w:val="22"/>
        </w:rPr>
        <w:t>al</w:t>
      </w:r>
      <w:r w:rsidR="00CC536F" w:rsidRPr="007F7EBF">
        <w:rPr>
          <w:sz w:val="22"/>
          <w:szCs w:val="22"/>
        </w:rPr>
        <w:t xml:space="preserve">l’ubicazione di un immobile affittato, </w:t>
      </w:r>
      <w:r w:rsidR="00CC536F">
        <w:rPr>
          <w:sz w:val="22"/>
          <w:szCs w:val="22"/>
        </w:rPr>
        <w:t>a</w:t>
      </w:r>
      <w:r w:rsidR="00CC536F" w:rsidRPr="007F7EBF">
        <w:rPr>
          <w:sz w:val="22"/>
          <w:szCs w:val="22"/>
        </w:rPr>
        <w:t xml:space="preserve">l luogo di svolgimento di una </w:t>
      </w:r>
      <w:r w:rsidR="00CC536F" w:rsidRPr="007F7EBF">
        <w:rPr>
          <w:sz w:val="22"/>
          <w:szCs w:val="22"/>
        </w:rPr>
        <w:lastRenderedPageBreak/>
        <w:t xml:space="preserve">prestazione lavorativa, </w:t>
      </w:r>
      <w:r w:rsidR="00CC536F">
        <w:rPr>
          <w:sz w:val="22"/>
          <w:szCs w:val="22"/>
        </w:rPr>
        <w:t>a</w:t>
      </w:r>
      <w:r w:rsidR="00CC536F" w:rsidRPr="007F7EBF">
        <w:rPr>
          <w:sz w:val="22"/>
          <w:szCs w:val="22"/>
        </w:rPr>
        <w:t xml:space="preserve">l soggetto che eroga un </w:t>
      </w:r>
      <w:r w:rsidR="00CC536F">
        <w:rPr>
          <w:sz w:val="22"/>
          <w:szCs w:val="22"/>
        </w:rPr>
        <w:t>reddito finanziario (un interesse</w:t>
      </w:r>
      <w:r w:rsidR="00CC536F" w:rsidRPr="007F7EBF">
        <w:rPr>
          <w:sz w:val="22"/>
          <w:szCs w:val="22"/>
        </w:rPr>
        <w:t xml:space="preserve"> attivo</w:t>
      </w:r>
      <w:r w:rsidR="00CC536F">
        <w:rPr>
          <w:sz w:val="22"/>
          <w:szCs w:val="22"/>
        </w:rPr>
        <w:t>)</w:t>
      </w:r>
      <w:r w:rsidR="00CC536F" w:rsidRPr="007F7EBF">
        <w:rPr>
          <w:sz w:val="22"/>
          <w:szCs w:val="22"/>
        </w:rPr>
        <w:t>, etc.</w:t>
      </w:r>
      <w:r>
        <w:rPr>
          <w:sz w:val="22"/>
          <w:szCs w:val="22"/>
        </w:rPr>
        <w:t xml:space="preserve"> </w:t>
      </w:r>
    </w:p>
    <w:p w14:paraId="380E513A" w14:textId="17D4E9AC" w:rsidR="00610619" w:rsidRPr="007F7EBF" w:rsidRDefault="00F16AD6" w:rsidP="00610619">
      <w:pPr>
        <w:pStyle w:val="tit23"/>
        <w:ind w:left="6464" w:right="-1361" w:firstLine="0"/>
        <w:jc w:val="left"/>
        <w:rPr>
          <w:bCs/>
          <w:i/>
          <w:iCs/>
          <w:color w:val="0000FF"/>
          <w:lang w:val="it-IT"/>
        </w:rPr>
      </w:pPr>
      <w:r w:rsidRPr="007F7EBF">
        <w:rPr>
          <w:bCs/>
          <w:i/>
          <w:iCs/>
          <w:color w:val="0000FF"/>
          <w:lang w:val="it-IT"/>
        </w:rPr>
        <w:t>R</w:t>
      </w:r>
      <w:r w:rsidR="00610619" w:rsidRPr="007F7EBF">
        <w:rPr>
          <w:bCs/>
          <w:i/>
          <w:iCs/>
          <w:color w:val="0000FF"/>
          <w:lang w:val="it-IT"/>
        </w:rPr>
        <w:t>esidenza</w:t>
      </w:r>
      <w:r w:rsidR="006D4FAE">
        <w:rPr>
          <w:bCs/>
          <w:i/>
          <w:iCs/>
          <w:color w:val="0000FF"/>
          <w:lang w:val="it-IT"/>
        </w:rPr>
        <w:t>,</w:t>
      </w:r>
      <w:r>
        <w:rPr>
          <w:bCs/>
          <w:i/>
          <w:iCs/>
          <w:color w:val="0000FF"/>
          <w:lang w:val="it-IT"/>
        </w:rPr>
        <w:t xml:space="preserve"> </w:t>
      </w:r>
      <w:r w:rsidR="00B17B99">
        <w:rPr>
          <w:bCs/>
          <w:i/>
          <w:iCs/>
          <w:color w:val="0000FF"/>
          <w:lang w:val="it-IT"/>
        </w:rPr>
        <w:t xml:space="preserve">possibile </w:t>
      </w:r>
      <w:r>
        <w:rPr>
          <w:bCs/>
          <w:i/>
          <w:iCs/>
          <w:color w:val="0000FF"/>
          <w:lang w:val="it-IT"/>
        </w:rPr>
        <w:t>doppia imposizione  e rimedi</w:t>
      </w:r>
    </w:p>
    <w:p w14:paraId="54CFDE82" w14:textId="6EC7C7EF" w:rsidR="000176D2" w:rsidRPr="007F7EBF" w:rsidRDefault="00F025C7" w:rsidP="000176D2">
      <w:pPr>
        <w:autoSpaceDE w:val="0"/>
        <w:autoSpaceDN w:val="0"/>
        <w:adjustRightInd w:val="0"/>
        <w:rPr>
          <w:sz w:val="22"/>
          <w:szCs w:val="22"/>
        </w:rPr>
      </w:pPr>
      <w:r>
        <w:rPr>
          <w:sz w:val="22"/>
          <w:szCs w:val="22"/>
        </w:rPr>
        <w:t>Qui è meglio generalizzare invece il concetto generale di possibili doppi</w:t>
      </w:r>
      <w:r w:rsidR="002E2BE9">
        <w:rPr>
          <w:sz w:val="22"/>
          <w:szCs w:val="22"/>
        </w:rPr>
        <w:t xml:space="preserve">e </w:t>
      </w:r>
      <w:r>
        <w:rPr>
          <w:sz w:val="22"/>
          <w:szCs w:val="22"/>
        </w:rPr>
        <w:t>imposizioni internazionali sui redditi, che dipendono dall’adozione -</w:t>
      </w:r>
      <w:proofErr w:type="spellStart"/>
      <w:r>
        <w:rPr>
          <w:sz w:val="22"/>
          <w:szCs w:val="22"/>
        </w:rPr>
        <w:t>pressochè</w:t>
      </w:r>
      <w:proofErr w:type="spellEnd"/>
      <w:r>
        <w:rPr>
          <w:sz w:val="22"/>
          <w:szCs w:val="22"/>
        </w:rPr>
        <w:t xml:space="preserve"> generalizzata- anche del criterio dell’imposizione in base alla residenza del titolare; a</w:t>
      </w:r>
      <w:r w:rsidR="00B17B99" w:rsidRPr="007F7EBF">
        <w:rPr>
          <w:sz w:val="22"/>
          <w:szCs w:val="22"/>
        </w:rPr>
        <w:t>l criterio "reale" del luogo di produzione del reddito</w:t>
      </w:r>
      <w:r w:rsidR="00B17B99">
        <w:rPr>
          <w:sz w:val="22"/>
          <w:szCs w:val="22"/>
        </w:rPr>
        <w:t xml:space="preserve">, </w:t>
      </w:r>
      <w:r w:rsidR="000176D2">
        <w:rPr>
          <w:sz w:val="22"/>
          <w:szCs w:val="22"/>
        </w:rPr>
        <w:t xml:space="preserve">si affianca infatti un criterio </w:t>
      </w:r>
      <w:r w:rsidR="00B17B99" w:rsidRPr="007F7EBF">
        <w:rPr>
          <w:sz w:val="22"/>
          <w:szCs w:val="22"/>
        </w:rPr>
        <w:t>personale</w:t>
      </w:r>
      <w:r w:rsidR="000176D2">
        <w:rPr>
          <w:sz w:val="22"/>
          <w:szCs w:val="22"/>
        </w:rPr>
        <w:t xml:space="preserve"> secondo cui i residenti di un determinato stato sono tassati sui redditi ovunque prodotti (c.d. </w:t>
      </w:r>
      <w:r w:rsidR="00B17B99" w:rsidRPr="007F7EBF">
        <w:rPr>
          <w:sz w:val="22"/>
          <w:szCs w:val="22"/>
        </w:rPr>
        <w:t xml:space="preserve">Worldwide </w:t>
      </w:r>
      <w:proofErr w:type="spellStart"/>
      <w:r w:rsidR="00B17B99" w:rsidRPr="007F7EBF">
        <w:rPr>
          <w:sz w:val="22"/>
          <w:szCs w:val="22"/>
        </w:rPr>
        <w:t>income</w:t>
      </w:r>
      <w:proofErr w:type="spellEnd"/>
      <w:r w:rsidR="00B17B99" w:rsidRPr="007F7EBF">
        <w:rPr>
          <w:sz w:val="22"/>
          <w:szCs w:val="22"/>
        </w:rPr>
        <w:t xml:space="preserve"> </w:t>
      </w:r>
      <w:proofErr w:type="spellStart"/>
      <w:r w:rsidR="00B17B99" w:rsidRPr="007F7EBF">
        <w:rPr>
          <w:sz w:val="22"/>
          <w:szCs w:val="22"/>
        </w:rPr>
        <w:t>taxation</w:t>
      </w:r>
      <w:proofErr w:type="spellEnd"/>
      <w:r w:rsidR="00B17B99" w:rsidRPr="007F7EBF">
        <w:rPr>
          <w:sz w:val="22"/>
          <w:szCs w:val="22"/>
        </w:rPr>
        <w:t>»</w:t>
      </w:r>
      <w:r w:rsidR="00B17B99">
        <w:rPr>
          <w:sz w:val="22"/>
          <w:szCs w:val="22"/>
        </w:rPr>
        <w:t>)</w:t>
      </w:r>
      <w:r w:rsidR="00B17B99" w:rsidRPr="007F7EBF">
        <w:rPr>
          <w:sz w:val="22"/>
          <w:szCs w:val="22"/>
        </w:rPr>
        <w:t xml:space="preserve">. </w:t>
      </w:r>
      <w:r w:rsidR="00B17B99">
        <w:rPr>
          <w:sz w:val="22"/>
          <w:szCs w:val="22"/>
        </w:rPr>
        <w:t>Quest</w:t>
      </w:r>
      <w:r w:rsidR="000176D2">
        <w:rPr>
          <w:sz w:val="22"/>
          <w:szCs w:val="22"/>
        </w:rPr>
        <w:t>o</w:t>
      </w:r>
      <w:r w:rsidR="00B17B99">
        <w:rPr>
          <w:sz w:val="22"/>
          <w:szCs w:val="22"/>
        </w:rPr>
        <w:t xml:space="preserve"> </w:t>
      </w:r>
      <w:r w:rsidR="000176D2">
        <w:rPr>
          <w:sz w:val="22"/>
          <w:szCs w:val="22"/>
        </w:rPr>
        <w:t>parallelismo comporta</w:t>
      </w:r>
      <w:r w:rsidR="002E2BE9">
        <w:rPr>
          <w:sz w:val="22"/>
          <w:szCs w:val="22"/>
        </w:rPr>
        <w:t xml:space="preserve"> in automatico un problema di coordinamento quando il reddito è</w:t>
      </w:r>
      <w:r w:rsidR="000176D2">
        <w:rPr>
          <w:sz w:val="22"/>
          <w:szCs w:val="22"/>
        </w:rPr>
        <w:t xml:space="preserve"> prodott</w:t>
      </w:r>
      <w:r w:rsidR="002E2BE9">
        <w:rPr>
          <w:sz w:val="22"/>
          <w:szCs w:val="22"/>
        </w:rPr>
        <w:t>o</w:t>
      </w:r>
      <w:r w:rsidR="000176D2">
        <w:rPr>
          <w:sz w:val="22"/>
          <w:szCs w:val="22"/>
        </w:rPr>
        <w:t xml:space="preserve"> in un paese diverso da quello di residenza del titolare</w:t>
      </w:r>
      <w:r w:rsidR="00F16AD6" w:rsidRPr="007F7EBF">
        <w:rPr>
          <w:sz w:val="22"/>
          <w:szCs w:val="22"/>
        </w:rPr>
        <w:t>. Le n</w:t>
      </w:r>
      <w:r w:rsidR="00F16AD6" w:rsidRPr="007F7EBF">
        <w:rPr>
          <w:bCs/>
          <w:sz w:val="22"/>
          <w:szCs w:val="22"/>
        </w:rPr>
        <w:t xml:space="preserve">orme interne e i trattati internazionali </w:t>
      </w:r>
      <w:r w:rsidR="00F16AD6" w:rsidRPr="007F7EBF">
        <w:rPr>
          <w:sz w:val="22"/>
          <w:szCs w:val="22"/>
        </w:rPr>
        <w:t>cercano di evitar</w:t>
      </w:r>
      <w:r w:rsidR="00B17B99">
        <w:rPr>
          <w:sz w:val="22"/>
          <w:szCs w:val="22"/>
        </w:rPr>
        <w:t>e quest</w:t>
      </w:r>
      <w:r w:rsidR="000176D2">
        <w:rPr>
          <w:sz w:val="22"/>
          <w:szCs w:val="22"/>
        </w:rPr>
        <w:t xml:space="preserve">’effetto in linea di principio </w:t>
      </w:r>
      <w:r w:rsidR="00F16AD6">
        <w:rPr>
          <w:sz w:val="22"/>
          <w:szCs w:val="22"/>
        </w:rPr>
        <w:t>detraendo dalle imposte d</w:t>
      </w:r>
      <w:r w:rsidR="00F16AD6" w:rsidRPr="007F7EBF">
        <w:rPr>
          <w:sz w:val="22"/>
          <w:szCs w:val="22"/>
        </w:rPr>
        <w:t>ello stato della residenza</w:t>
      </w:r>
      <w:r w:rsidR="00F16AD6">
        <w:rPr>
          <w:sz w:val="22"/>
          <w:szCs w:val="22"/>
        </w:rPr>
        <w:t xml:space="preserve"> </w:t>
      </w:r>
      <w:r w:rsidR="00F16AD6" w:rsidRPr="007F7EBF">
        <w:rPr>
          <w:sz w:val="22"/>
          <w:szCs w:val="22"/>
        </w:rPr>
        <w:t>le imposte estere pagate nel paese di produzione del reddito</w:t>
      </w:r>
      <w:r w:rsidR="00F16AD6">
        <w:rPr>
          <w:sz w:val="22"/>
          <w:szCs w:val="22"/>
        </w:rPr>
        <w:t xml:space="preserve">; </w:t>
      </w:r>
      <w:proofErr w:type="spellStart"/>
      <w:r w:rsidR="00F16AD6" w:rsidRPr="007F7EBF">
        <w:rPr>
          <w:sz w:val="22"/>
          <w:szCs w:val="22"/>
        </w:rPr>
        <w:t>benchè</w:t>
      </w:r>
      <w:proofErr w:type="spellEnd"/>
      <w:r w:rsidR="00F16AD6" w:rsidRPr="007F7EBF">
        <w:rPr>
          <w:sz w:val="22"/>
          <w:szCs w:val="22"/>
        </w:rPr>
        <w:t xml:space="preserve"> chiamata "credito di imposta"</w:t>
      </w:r>
      <w:r w:rsidR="000176D2">
        <w:rPr>
          <w:sz w:val="22"/>
          <w:szCs w:val="22"/>
        </w:rPr>
        <w:t>(</w:t>
      </w:r>
      <w:r w:rsidR="000176D2">
        <w:rPr>
          <w:rStyle w:val="Rimandonotaapidipagina"/>
          <w:sz w:val="22"/>
          <w:szCs w:val="22"/>
        </w:rPr>
        <w:footnoteReference w:id="1219"/>
      </w:r>
      <w:r w:rsidR="000176D2">
        <w:rPr>
          <w:sz w:val="22"/>
          <w:szCs w:val="22"/>
        </w:rPr>
        <w:t>)</w:t>
      </w:r>
      <w:r w:rsidR="00F16AD6" w:rsidRPr="007F7EBF">
        <w:rPr>
          <w:sz w:val="22"/>
          <w:szCs w:val="22"/>
        </w:rPr>
        <w:t xml:space="preserve">, </w:t>
      </w:r>
      <w:r w:rsidR="00F16AD6">
        <w:rPr>
          <w:sz w:val="22"/>
          <w:szCs w:val="22"/>
        </w:rPr>
        <w:t xml:space="preserve">questa tecnica si risolve in una detrazione, </w:t>
      </w:r>
      <w:r w:rsidR="00F16AD6" w:rsidRPr="007F7EBF">
        <w:rPr>
          <w:sz w:val="22"/>
          <w:szCs w:val="22"/>
        </w:rPr>
        <w:t>in quanto al massimo azzera la tassazione del paese della residenza</w:t>
      </w:r>
      <w:r w:rsidR="001935C0">
        <w:rPr>
          <w:sz w:val="22"/>
          <w:szCs w:val="22"/>
        </w:rPr>
        <w:t xml:space="preserve"> (</w:t>
      </w:r>
      <w:r w:rsidR="001935C0">
        <w:rPr>
          <w:rStyle w:val="Rimandonotaapidipagina"/>
          <w:sz w:val="22"/>
          <w:szCs w:val="22"/>
        </w:rPr>
        <w:footnoteReference w:id="1220"/>
      </w:r>
      <w:r w:rsidR="001935C0">
        <w:rPr>
          <w:sz w:val="22"/>
          <w:szCs w:val="22"/>
        </w:rPr>
        <w:t>)</w:t>
      </w:r>
      <w:r w:rsidR="002E2BE9">
        <w:rPr>
          <w:sz w:val="22"/>
          <w:szCs w:val="22"/>
        </w:rPr>
        <w:t xml:space="preserve">, provocando una tassazione con l’aliquota più elevata tra quelle </w:t>
      </w:r>
      <w:r w:rsidR="001935C0">
        <w:rPr>
          <w:sz w:val="22"/>
          <w:szCs w:val="22"/>
        </w:rPr>
        <w:t>dei due</w:t>
      </w:r>
      <w:r w:rsidR="00F16AD6" w:rsidRPr="007F7EBF">
        <w:rPr>
          <w:sz w:val="22"/>
          <w:szCs w:val="22"/>
        </w:rPr>
        <w:t xml:space="preserve"> paesi coinvolti</w:t>
      </w:r>
      <w:r w:rsidR="001935C0">
        <w:rPr>
          <w:sz w:val="22"/>
          <w:szCs w:val="22"/>
        </w:rPr>
        <w:t xml:space="preserve">. </w:t>
      </w:r>
    </w:p>
    <w:p w14:paraId="45980721" w14:textId="726C7DFE" w:rsidR="000176D2" w:rsidRPr="007F7EBF" w:rsidRDefault="000176D2" w:rsidP="000176D2">
      <w:pPr>
        <w:pStyle w:val="tit23"/>
        <w:ind w:left="6464" w:right="-1361" w:firstLine="0"/>
        <w:jc w:val="left"/>
        <w:rPr>
          <w:bCs/>
          <w:i/>
          <w:iCs/>
          <w:color w:val="0000FF"/>
          <w:lang w:val="it-IT"/>
        </w:rPr>
      </w:pPr>
      <w:proofErr w:type="spellStart"/>
      <w:r>
        <w:rPr>
          <w:bCs/>
          <w:i/>
          <w:iCs/>
          <w:color w:val="0000FF"/>
          <w:lang w:val="it-IT"/>
        </w:rPr>
        <w:t>Segue:l’esenzione</w:t>
      </w:r>
      <w:proofErr w:type="spellEnd"/>
      <w:r>
        <w:rPr>
          <w:bCs/>
          <w:i/>
          <w:iCs/>
          <w:color w:val="0000FF"/>
          <w:lang w:val="it-IT"/>
        </w:rPr>
        <w:t xml:space="preserve"> e i possibili abusi</w:t>
      </w:r>
    </w:p>
    <w:p w14:paraId="1F121EB9" w14:textId="29C56F3B" w:rsidR="00B17B99" w:rsidRPr="007F7EBF" w:rsidRDefault="00AC4D6D" w:rsidP="00B17B99">
      <w:pPr>
        <w:autoSpaceDE w:val="0"/>
        <w:autoSpaceDN w:val="0"/>
        <w:adjustRightInd w:val="0"/>
        <w:rPr>
          <w:sz w:val="22"/>
          <w:szCs w:val="22"/>
        </w:rPr>
      </w:pPr>
      <w:r>
        <w:rPr>
          <w:sz w:val="22"/>
          <w:szCs w:val="22"/>
        </w:rPr>
        <w:t>Le complessità connesse al</w:t>
      </w:r>
      <w:r w:rsidR="002E2BE9">
        <w:rPr>
          <w:sz w:val="22"/>
          <w:szCs w:val="22"/>
        </w:rPr>
        <w:t xml:space="preserve"> credito di imposta </w:t>
      </w:r>
      <w:r>
        <w:rPr>
          <w:sz w:val="22"/>
          <w:szCs w:val="22"/>
        </w:rPr>
        <w:t xml:space="preserve">spingono </w:t>
      </w:r>
      <w:r w:rsidR="00095655">
        <w:rPr>
          <w:sz w:val="22"/>
          <w:szCs w:val="22"/>
        </w:rPr>
        <w:t>molti</w:t>
      </w:r>
      <w:r>
        <w:rPr>
          <w:sz w:val="22"/>
          <w:szCs w:val="22"/>
        </w:rPr>
        <w:t xml:space="preserve"> </w:t>
      </w:r>
      <w:r w:rsidR="001935C0">
        <w:rPr>
          <w:sz w:val="22"/>
          <w:szCs w:val="22"/>
        </w:rPr>
        <w:t xml:space="preserve">trattati </w:t>
      </w:r>
      <w:r w:rsidR="00F16AD6" w:rsidRPr="007F7EBF">
        <w:rPr>
          <w:sz w:val="22"/>
          <w:szCs w:val="22"/>
        </w:rPr>
        <w:t>bilaterali</w:t>
      </w:r>
      <w:r w:rsidR="001935C0">
        <w:rPr>
          <w:sz w:val="22"/>
          <w:szCs w:val="22"/>
        </w:rPr>
        <w:t xml:space="preserve"> contro </w:t>
      </w:r>
      <w:r w:rsidR="00F16AD6" w:rsidRPr="007F7EBF">
        <w:rPr>
          <w:sz w:val="22"/>
          <w:szCs w:val="22"/>
        </w:rPr>
        <w:t>le doppie imposizioni</w:t>
      </w:r>
      <w:r w:rsidR="001935C0">
        <w:rPr>
          <w:sz w:val="22"/>
          <w:szCs w:val="22"/>
        </w:rPr>
        <w:t xml:space="preserve">, </w:t>
      </w:r>
      <w:r w:rsidR="00095655">
        <w:rPr>
          <w:sz w:val="22"/>
          <w:szCs w:val="22"/>
        </w:rPr>
        <w:t>a utilizzare i</w:t>
      </w:r>
      <w:r w:rsidR="001935C0">
        <w:rPr>
          <w:sz w:val="22"/>
          <w:szCs w:val="22"/>
        </w:rPr>
        <w:t>l diverso</w:t>
      </w:r>
      <w:r w:rsidR="00F16AD6" w:rsidRPr="007F7EBF">
        <w:rPr>
          <w:sz w:val="22"/>
          <w:szCs w:val="22"/>
        </w:rPr>
        <w:t xml:space="preserve"> criterio dell’esenzione</w:t>
      </w:r>
      <w:r w:rsidR="001935C0">
        <w:rPr>
          <w:sz w:val="22"/>
          <w:szCs w:val="22"/>
        </w:rPr>
        <w:t xml:space="preserve">, dove </w:t>
      </w:r>
      <w:r w:rsidR="00095655">
        <w:rPr>
          <w:sz w:val="22"/>
          <w:szCs w:val="22"/>
        </w:rPr>
        <w:t>uno</w:t>
      </w:r>
      <w:r w:rsidR="00F16AD6" w:rsidRPr="007F7EBF">
        <w:rPr>
          <w:sz w:val="22"/>
          <w:szCs w:val="22"/>
        </w:rPr>
        <w:t xml:space="preserve"> dei due stati esenta il reddito, sul presupposto che l'abbia tassato l'altro</w:t>
      </w:r>
      <w:r w:rsidR="002E2BE9">
        <w:rPr>
          <w:sz w:val="22"/>
          <w:szCs w:val="22"/>
        </w:rPr>
        <w:t>; questo accade quando il paese della fonte (quello in cui viene prodotto il reddito) si astiene dalla tassazione nel presupposto che esso venga tassato nello stato della residenza; altre volte, più raramente, è lo stato della residenza che lascia l’imposizione a quello della fonte</w:t>
      </w:r>
      <w:r w:rsidR="00F16AD6" w:rsidRPr="007F7EBF">
        <w:rPr>
          <w:sz w:val="22"/>
          <w:szCs w:val="22"/>
        </w:rPr>
        <w:t xml:space="preserve">. </w:t>
      </w:r>
      <w:r w:rsidR="002E2BE9">
        <w:rPr>
          <w:sz w:val="22"/>
          <w:szCs w:val="22"/>
        </w:rPr>
        <w:t xml:space="preserve">La tassazione nell’altro stato può però in concreto </w:t>
      </w:r>
      <w:r w:rsidR="00095655">
        <w:rPr>
          <w:sz w:val="22"/>
          <w:szCs w:val="22"/>
        </w:rPr>
        <w:t xml:space="preserve"> </w:t>
      </w:r>
      <w:r w:rsidR="00252905">
        <w:rPr>
          <w:sz w:val="22"/>
          <w:szCs w:val="22"/>
        </w:rPr>
        <w:t xml:space="preserve">non </w:t>
      </w:r>
      <w:r w:rsidR="00095655">
        <w:rPr>
          <w:sz w:val="22"/>
          <w:szCs w:val="22"/>
        </w:rPr>
        <w:t>avvenire</w:t>
      </w:r>
      <w:r w:rsidR="00F16AD6" w:rsidRPr="007F7EBF">
        <w:rPr>
          <w:sz w:val="22"/>
          <w:szCs w:val="22"/>
        </w:rPr>
        <w:t>, per altr</w:t>
      </w:r>
      <w:r w:rsidR="00252905">
        <w:rPr>
          <w:sz w:val="22"/>
          <w:szCs w:val="22"/>
        </w:rPr>
        <w:t>e</w:t>
      </w:r>
      <w:r w:rsidR="00F16AD6" w:rsidRPr="007F7EBF">
        <w:rPr>
          <w:sz w:val="22"/>
          <w:szCs w:val="22"/>
        </w:rPr>
        <w:t xml:space="preserve"> motivazioni interne </w:t>
      </w:r>
      <w:r w:rsidR="00095655">
        <w:rPr>
          <w:sz w:val="22"/>
          <w:szCs w:val="22"/>
        </w:rPr>
        <w:t>a</w:t>
      </w:r>
      <w:r w:rsidR="00F16AD6" w:rsidRPr="007F7EBF">
        <w:rPr>
          <w:sz w:val="22"/>
          <w:szCs w:val="22"/>
        </w:rPr>
        <w:t>llo stato che dovrebbe tassare</w:t>
      </w:r>
      <w:r w:rsidR="00095655">
        <w:rPr>
          <w:sz w:val="22"/>
          <w:szCs w:val="22"/>
        </w:rPr>
        <w:t>. Può nascere così</w:t>
      </w:r>
      <w:r w:rsidR="00F16AD6" w:rsidRPr="007F7EBF">
        <w:rPr>
          <w:sz w:val="22"/>
          <w:szCs w:val="22"/>
        </w:rPr>
        <w:t xml:space="preserve"> l'effetto contrario</w:t>
      </w:r>
      <w:r w:rsidR="00095655">
        <w:rPr>
          <w:sz w:val="22"/>
          <w:szCs w:val="22"/>
        </w:rPr>
        <w:t xml:space="preserve"> alla doppia imposizione,</w:t>
      </w:r>
      <w:r w:rsidR="001935C0">
        <w:rPr>
          <w:sz w:val="22"/>
          <w:szCs w:val="22"/>
        </w:rPr>
        <w:t xml:space="preserve"> cioè </w:t>
      </w:r>
      <w:r w:rsidR="00095655">
        <w:rPr>
          <w:bCs/>
          <w:sz w:val="22"/>
          <w:szCs w:val="22"/>
        </w:rPr>
        <w:lastRenderedPageBreak/>
        <w:t>l’</w:t>
      </w:r>
      <w:r w:rsidR="00F16AD6" w:rsidRPr="007F7EBF">
        <w:rPr>
          <w:bCs/>
          <w:sz w:val="22"/>
          <w:szCs w:val="22"/>
        </w:rPr>
        <w:t>oggettiva "doppia esenzione"</w:t>
      </w:r>
      <w:r w:rsidR="00095655">
        <w:rPr>
          <w:bCs/>
          <w:sz w:val="22"/>
          <w:szCs w:val="22"/>
        </w:rPr>
        <w:t xml:space="preserve">, con </w:t>
      </w:r>
      <w:r w:rsidR="00252905">
        <w:rPr>
          <w:bCs/>
          <w:sz w:val="22"/>
          <w:szCs w:val="22"/>
        </w:rPr>
        <w:t xml:space="preserve">asimmetria </w:t>
      </w:r>
      <w:r w:rsidR="00F16AD6" w:rsidRPr="007F7EBF">
        <w:rPr>
          <w:bCs/>
          <w:sz w:val="22"/>
          <w:szCs w:val="22"/>
        </w:rPr>
        <w:t>spesso dovuta alla diversa definizione dei flussi di reddito nei due paesi; ad esempio il paese della fonte del reddito lo considera "interesse", e non lo tassa, mentre il paese dov'è residente il percettore non lo tassa neppure lui, considerandolo "dividendo"</w:t>
      </w:r>
      <w:r w:rsidR="001935C0">
        <w:rPr>
          <w:bCs/>
          <w:sz w:val="22"/>
          <w:szCs w:val="22"/>
        </w:rPr>
        <w:t>(</w:t>
      </w:r>
      <w:r w:rsidR="001935C0" w:rsidRPr="007F7EBF">
        <w:rPr>
          <w:rStyle w:val="Rimandonotaapidipagina"/>
          <w:bCs/>
          <w:sz w:val="22"/>
          <w:szCs w:val="22"/>
        </w:rPr>
        <w:footnoteReference w:id="1221"/>
      </w:r>
      <w:r w:rsidR="001935C0">
        <w:rPr>
          <w:bCs/>
          <w:sz w:val="22"/>
          <w:szCs w:val="22"/>
        </w:rPr>
        <w:t>)</w:t>
      </w:r>
      <w:r w:rsidR="00F16AD6" w:rsidRPr="007F7EBF">
        <w:rPr>
          <w:sz w:val="22"/>
          <w:szCs w:val="22"/>
        </w:rPr>
        <w:t>.</w:t>
      </w:r>
    </w:p>
    <w:p w14:paraId="1531560F" w14:textId="6DF9B1EC" w:rsidR="00B17B99" w:rsidRPr="007F7EBF" w:rsidRDefault="0031044B" w:rsidP="00B17B99">
      <w:pPr>
        <w:pStyle w:val="tit23"/>
        <w:ind w:left="6464" w:right="-1361" w:firstLine="0"/>
        <w:jc w:val="left"/>
        <w:rPr>
          <w:bCs/>
          <w:i/>
          <w:iCs/>
          <w:color w:val="0000FF"/>
          <w:lang w:val="it-IT"/>
        </w:rPr>
      </w:pPr>
      <w:r>
        <w:rPr>
          <w:bCs/>
          <w:i/>
          <w:iCs/>
          <w:color w:val="0000FF"/>
          <w:lang w:val="it-IT"/>
        </w:rPr>
        <w:t>Residenze di comodo ed esterovestizioni</w:t>
      </w:r>
    </w:p>
    <w:p w14:paraId="609C0CF4" w14:textId="77777777" w:rsidR="0024492F" w:rsidRDefault="00E40896" w:rsidP="00B17B99">
      <w:pPr>
        <w:autoSpaceDE w:val="0"/>
        <w:autoSpaceDN w:val="0"/>
        <w:adjustRightInd w:val="0"/>
        <w:rPr>
          <w:sz w:val="22"/>
          <w:szCs w:val="22"/>
        </w:rPr>
      </w:pPr>
      <w:r>
        <w:rPr>
          <w:sz w:val="22"/>
          <w:szCs w:val="22"/>
        </w:rPr>
        <w:t>I conflitti tributari tra stati non riguardano solo lo sfasamento tra imposizione in base alla produzione del reddito ovvero alla residenza. Possono esserci infatti anche conflitti di residenza, dove entrambi i paesi considerano loro residente un determinato soggetto; in proposito le convenzioni contro le doppie imposizioni contengono regole per risolvere i conflitti, provocati dalla globalizzazione, dai flussi migratori, dal lavoro all’estero etc. Accanto ai problemi seriali, “di massa”, di attribuzione della residenza (</w:t>
      </w:r>
      <w:r w:rsidRPr="007F7EBF">
        <w:rPr>
          <w:rStyle w:val="Rimandonotaapidipagina"/>
          <w:sz w:val="22"/>
          <w:szCs w:val="22"/>
        </w:rPr>
        <w:footnoteReference w:id="1222"/>
      </w:r>
      <w:r>
        <w:rPr>
          <w:sz w:val="22"/>
          <w:szCs w:val="22"/>
        </w:rPr>
        <w:t xml:space="preserve">), ci sono anche tentativi di elusione fiscale, per non dire di simulazione. Qualcuno ricorderà </w:t>
      </w:r>
      <w:r w:rsidR="0031044B">
        <w:rPr>
          <w:sz w:val="22"/>
          <w:szCs w:val="22"/>
        </w:rPr>
        <w:t xml:space="preserve"> personaggi famosi (</w:t>
      </w:r>
      <w:r w:rsidR="009F6914" w:rsidRPr="007F7EBF">
        <w:rPr>
          <w:sz w:val="22"/>
          <w:szCs w:val="22"/>
        </w:rPr>
        <w:t>sportivi, attori, cantanti, scrittori e altri percettori di redditi di fonte estera</w:t>
      </w:r>
      <w:r w:rsidR="0031044B">
        <w:rPr>
          <w:sz w:val="22"/>
          <w:szCs w:val="22"/>
        </w:rPr>
        <w:t xml:space="preserve">) che </w:t>
      </w:r>
      <w:r>
        <w:rPr>
          <w:sz w:val="22"/>
          <w:szCs w:val="22"/>
        </w:rPr>
        <w:t>riuscivano a farsi riconoscere</w:t>
      </w:r>
      <w:r w:rsidR="00570C4E" w:rsidRPr="007F7EBF">
        <w:rPr>
          <w:sz w:val="22"/>
          <w:szCs w:val="22"/>
        </w:rPr>
        <w:t xml:space="preserve"> </w:t>
      </w:r>
      <w:r w:rsidR="00570C4E" w:rsidRPr="007F7EBF">
        <w:rPr>
          <w:bCs/>
          <w:sz w:val="22"/>
          <w:szCs w:val="22"/>
        </w:rPr>
        <w:t>residenze f</w:t>
      </w:r>
      <w:r>
        <w:rPr>
          <w:bCs/>
          <w:sz w:val="22"/>
          <w:szCs w:val="22"/>
        </w:rPr>
        <w:t xml:space="preserve">ormali da </w:t>
      </w:r>
      <w:r w:rsidR="009F6914" w:rsidRPr="007F7EBF">
        <w:rPr>
          <w:bCs/>
          <w:sz w:val="22"/>
          <w:szCs w:val="22"/>
        </w:rPr>
        <w:t xml:space="preserve">stati a bassa fiscalità, </w:t>
      </w:r>
      <w:r w:rsidR="009F6914" w:rsidRPr="007F7EBF">
        <w:rPr>
          <w:sz w:val="22"/>
          <w:szCs w:val="22"/>
        </w:rPr>
        <w:t>in modo da evitare la forte tassazione</w:t>
      </w:r>
      <w:r w:rsidR="00791DF8">
        <w:rPr>
          <w:sz w:val="22"/>
          <w:szCs w:val="22"/>
        </w:rPr>
        <w:t xml:space="preserve"> in Italia</w:t>
      </w:r>
      <w:r w:rsidR="0031044B">
        <w:rPr>
          <w:sz w:val="22"/>
          <w:szCs w:val="22"/>
        </w:rPr>
        <w:t>,</w:t>
      </w:r>
      <w:r w:rsidR="009F6914" w:rsidRPr="007F7EBF">
        <w:rPr>
          <w:sz w:val="22"/>
          <w:szCs w:val="22"/>
        </w:rPr>
        <w:t xml:space="preserve"> paese di residenza</w:t>
      </w:r>
      <w:r w:rsidR="0031044B">
        <w:rPr>
          <w:sz w:val="22"/>
          <w:szCs w:val="22"/>
        </w:rPr>
        <w:t xml:space="preserve"> effettiva,</w:t>
      </w:r>
      <w:r w:rsidR="009F6914" w:rsidRPr="007F7EBF">
        <w:rPr>
          <w:sz w:val="22"/>
          <w:szCs w:val="22"/>
        </w:rPr>
        <w:t xml:space="preserve"> dei redditi di fonte estera.</w:t>
      </w:r>
      <w:r w:rsidR="001C6134">
        <w:rPr>
          <w:sz w:val="22"/>
          <w:szCs w:val="22"/>
        </w:rPr>
        <w:t xml:space="preserve">, ma </w:t>
      </w:r>
      <w:r w:rsidR="0024492F">
        <w:rPr>
          <w:sz w:val="22"/>
          <w:szCs w:val="22"/>
        </w:rPr>
        <w:t xml:space="preserve">restavano di fatto per </w:t>
      </w:r>
      <w:r w:rsidR="0024492F">
        <w:rPr>
          <w:sz w:val="22"/>
          <w:szCs w:val="22"/>
        </w:rPr>
        <w:lastRenderedPageBreak/>
        <w:t>la maggior parte del tempo e delle relazioni personali sul nostro territorio</w:t>
      </w:r>
      <w:r w:rsidR="002146DF" w:rsidRPr="007F7EBF">
        <w:rPr>
          <w:sz w:val="22"/>
          <w:szCs w:val="22"/>
        </w:rPr>
        <w:t xml:space="preserve">. </w:t>
      </w:r>
    </w:p>
    <w:p w14:paraId="02FBB6BB" w14:textId="536901C7" w:rsidR="00610619" w:rsidRPr="007F7EBF" w:rsidRDefault="002146DF" w:rsidP="00B17B99">
      <w:pPr>
        <w:autoSpaceDE w:val="0"/>
        <w:autoSpaceDN w:val="0"/>
        <w:adjustRightInd w:val="0"/>
        <w:rPr>
          <w:bCs/>
          <w:i/>
          <w:iCs/>
          <w:color w:val="0000FF"/>
        </w:rPr>
      </w:pPr>
      <w:r w:rsidRPr="007F7EBF">
        <w:rPr>
          <w:sz w:val="22"/>
          <w:szCs w:val="22"/>
        </w:rPr>
        <w:t>P</w:t>
      </w:r>
      <w:r w:rsidR="009F6914" w:rsidRPr="007F7EBF">
        <w:rPr>
          <w:sz w:val="22"/>
          <w:szCs w:val="22"/>
        </w:rPr>
        <w:t>er le società, “entità legali”</w:t>
      </w:r>
      <w:r w:rsidR="005B5795" w:rsidRPr="007F7EBF">
        <w:rPr>
          <w:sz w:val="22"/>
          <w:szCs w:val="22"/>
        </w:rPr>
        <w:t>,</w:t>
      </w:r>
      <w:r w:rsidR="00660BCE">
        <w:rPr>
          <w:sz w:val="22"/>
          <w:szCs w:val="22"/>
        </w:rPr>
        <w:t xml:space="preserve"> </w:t>
      </w:r>
      <w:r w:rsidR="00BA265B">
        <w:rPr>
          <w:sz w:val="22"/>
          <w:szCs w:val="22"/>
        </w:rPr>
        <w:t xml:space="preserve">senza una sfera affettiva e personale </w:t>
      </w:r>
      <w:r w:rsidR="005B5795" w:rsidRPr="007F7EBF">
        <w:rPr>
          <w:rStyle w:val="Rimandonotaapidipagina"/>
          <w:sz w:val="22"/>
          <w:szCs w:val="22"/>
        </w:rPr>
        <w:footnoteReference w:id="1223"/>
      </w:r>
      <w:r w:rsidR="005B5795" w:rsidRPr="007F7EBF">
        <w:rPr>
          <w:sz w:val="22"/>
          <w:szCs w:val="22"/>
        </w:rPr>
        <w:t xml:space="preserve">, </w:t>
      </w:r>
      <w:r w:rsidR="00BA265B">
        <w:rPr>
          <w:sz w:val="22"/>
          <w:szCs w:val="22"/>
        </w:rPr>
        <w:t>si pone il diverso problema della c.d. “esterovestizione”</w:t>
      </w:r>
      <w:r w:rsidR="00791DF8">
        <w:rPr>
          <w:sz w:val="22"/>
          <w:szCs w:val="22"/>
        </w:rPr>
        <w:t>, concetto di origini valutarie (</w:t>
      </w:r>
      <w:r w:rsidR="00791DF8">
        <w:rPr>
          <w:rStyle w:val="Rimandonotaapidipagina"/>
          <w:sz w:val="22"/>
          <w:szCs w:val="22"/>
        </w:rPr>
        <w:footnoteReference w:id="1224"/>
      </w:r>
      <w:r w:rsidR="00791DF8">
        <w:rPr>
          <w:sz w:val="22"/>
          <w:szCs w:val="22"/>
        </w:rPr>
        <w:t>); n</w:t>
      </w:r>
      <w:r w:rsidR="00BA265B">
        <w:rPr>
          <w:sz w:val="22"/>
          <w:szCs w:val="22"/>
        </w:rPr>
        <w:t xml:space="preserve">ell’era della globalizzazione e della mobilità finanziaria questo concetto di “esterovestizione” è stato usato </w:t>
      </w:r>
      <w:r w:rsidR="00791DF8">
        <w:rPr>
          <w:sz w:val="22"/>
          <w:szCs w:val="22"/>
        </w:rPr>
        <w:t xml:space="preserve">dal fisco </w:t>
      </w:r>
      <w:r w:rsidR="00BA265B">
        <w:rPr>
          <w:sz w:val="22"/>
          <w:szCs w:val="22"/>
        </w:rPr>
        <w:t xml:space="preserve">per attrarre in Italia la </w:t>
      </w:r>
      <w:r w:rsidR="005B5795" w:rsidRPr="007F7EBF">
        <w:rPr>
          <w:sz w:val="22"/>
          <w:szCs w:val="22"/>
        </w:rPr>
        <w:t xml:space="preserve">residenza </w:t>
      </w:r>
      <w:r w:rsidR="00BA265B">
        <w:rPr>
          <w:sz w:val="22"/>
          <w:szCs w:val="22"/>
        </w:rPr>
        <w:t xml:space="preserve">di società estere </w:t>
      </w:r>
      <w:r w:rsidR="005B5795" w:rsidRPr="007F7EBF">
        <w:rPr>
          <w:sz w:val="22"/>
          <w:szCs w:val="22"/>
        </w:rPr>
        <w:t xml:space="preserve"> </w:t>
      </w:r>
      <w:r w:rsidR="00BA265B">
        <w:rPr>
          <w:sz w:val="22"/>
          <w:szCs w:val="22"/>
        </w:rPr>
        <w:t xml:space="preserve">quando il socio è italiano, attribuendogli </w:t>
      </w:r>
      <w:r w:rsidR="00A148F6" w:rsidRPr="007F7EBF">
        <w:rPr>
          <w:sz w:val="22"/>
          <w:szCs w:val="22"/>
        </w:rPr>
        <w:t>un ruolo economicistico di direzione effettiva.</w:t>
      </w:r>
      <w:r w:rsidR="005B5795" w:rsidRPr="007F7EBF">
        <w:rPr>
          <w:sz w:val="22"/>
          <w:szCs w:val="22"/>
        </w:rPr>
        <w:t xml:space="preserve"> </w:t>
      </w:r>
      <w:r w:rsidR="00BA265B">
        <w:rPr>
          <w:sz w:val="22"/>
          <w:szCs w:val="22"/>
        </w:rPr>
        <w:t xml:space="preserve">E’ una contestazione </w:t>
      </w:r>
      <w:r w:rsidR="00791DF8">
        <w:rPr>
          <w:sz w:val="22"/>
          <w:szCs w:val="22"/>
        </w:rPr>
        <w:t>sensata</w:t>
      </w:r>
      <w:r w:rsidR="00BA265B">
        <w:rPr>
          <w:sz w:val="22"/>
          <w:szCs w:val="22"/>
        </w:rPr>
        <w:t xml:space="preserve"> </w:t>
      </w:r>
      <w:r w:rsidR="00BA265B" w:rsidRPr="007F7EBF">
        <w:rPr>
          <w:sz w:val="22"/>
          <w:szCs w:val="22"/>
        </w:rPr>
        <w:t>quando la società è solo un interposto fittizio, come accade per tante società di paradisi fiscali praticamente acquista</w:t>
      </w:r>
      <w:r w:rsidR="00BA265B">
        <w:rPr>
          <w:sz w:val="22"/>
          <w:szCs w:val="22"/>
        </w:rPr>
        <w:t>bili</w:t>
      </w:r>
      <w:r w:rsidR="00BA265B" w:rsidRPr="007F7EBF">
        <w:rPr>
          <w:sz w:val="22"/>
          <w:szCs w:val="22"/>
        </w:rPr>
        <w:t xml:space="preserve"> su internet</w:t>
      </w:r>
      <w:r w:rsidR="00BA265B">
        <w:rPr>
          <w:sz w:val="22"/>
          <w:szCs w:val="22"/>
        </w:rPr>
        <w:t>. Negli altri casi, appiattire la società sul socio appare discriminatorio</w:t>
      </w:r>
      <w:r w:rsidR="00791DF8">
        <w:rPr>
          <w:sz w:val="22"/>
          <w:szCs w:val="22"/>
        </w:rPr>
        <w:t>, anch</w:t>
      </w:r>
      <w:r w:rsidR="00BA265B">
        <w:rPr>
          <w:sz w:val="22"/>
          <w:szCs w:val="22"/>
        </w:rPr>
        <w:t xml:space="preserve">e lesivo delle libertà europee, dovendosi casomai </w:t>
      </w:r>
      <w:r w:rsidR="00BA265B" w:rsidRPr="007F7EBF">
        <w:rPr>
          <w:sz w:val="22"/>
          <w:szCs w:val="22"/>
        </w:rPr>
        <w:t>discono</w:t>
      </w:r>
      <w:r w:rsidR="00BA265B" w:rsidRPr="006D4FAE">
        <w:rPr>
          <w:sz w:val="22"/>
          <w:szCs w:val="22"/>
        </w:rPr>
        <w:t xml:space="preserve">scere eventuali </w:t>
      </w:r>
      <w:r w:rsidR="00BA265B" w:rsidRPr="006D4FAE">
        <w:rPr>
          <w:bCs/>
          <w:sz w:val="22"/>
          <w:szCs w:val="22"/>
        </w:rPr>
        <w:t>vantaggi fiscali indebiti</w:t>
      </w:r>
      <w:r w:rsidR="00BD53F7" w:rsidRPr="006D4FAE">
        <w:rPr>
          <w:bCs/>
          <w:sz w:val="22"/>
          <w:szCs w:val="22"/>
        </w:rPr>
        <w:t xml:space="preserve"> attraverso </w:t>
      </w:r>
      <w:r w:rsidR="0024492F">
        <w:rPr>
          <w:sz w:val="22"/>
          <w:szCs w:val="22"/>
        </w:rPr>
        <w:t>accertamenti antielusivi</w:t>
      </w:r>
      <w:r w:rsidR="00BA265B" w:rsidRPr="006D4FAE">
        <w:rPr>
          <w:sz w:val="22"/>
          <w:szCs w:val="22"/>
        </w:rPr>
        <w:t xml:space="preserve"> </w:t>
      </w:r>
      <w:r w:rsidR="0031044B" w:rsidRPr="006D4FAE">
        <w:rPr>
          <w:sz w:val="22"/>
          <w:szCs w:val="22"/>
        </w:rPr>
        <w:t>(</w:t>
      </w:r>
      <w:r w:rsidR="0031044B" w:rsidRPr="006D4FAE">
        <w:rPr>
          <w:rStyle w:val="Rimandonotaapidipagina"/>
          <w:sz w:val="22"/>
          <w:szCs w:val="22"/>
        </w:rPr>
        <w:footnoteReference w:id="1225"/>
      </w:r>
      <w:r w:rsidR="0031044B" w:rsidRPr="006D4FAE">
        <w:rPr>
          <w:sz w:val="22"/>
          <w:szCs w:val="22"/>
        </w:rPr>
        <w:t>).</w:t>
      </w:r>
      <w:r w:rsidR="0031044B" w:rsidRPr="007F7EBF">
        <w:rPr>
          <w:sz w:val="22"/>
          <w:szCs w:val="22"/>
        </w:rPr>
        <w:t xml:space="preserve"> </w:t>
      </w:r>
    </w:p>
    <w:p w14:paraId="51DAB398" w14:textId="1DAF1831" w:rsidR="006D74EA" w:rsidRPr="007F7EBF" w:rsidRDefault="006342C5" w:rsidP="005E5A92">
      <w:pPr>
        <w:pStyle w:val="Titolo3"/>
        <w:rPr>
          <w:sz w:val="22"/>
          <w:szCs w:val="22"/>
        </w:rPr>
      </w:pPr>
      <w:bookmarkStart w:id="118" w:name="_Toc63365028"/>
      <w:r w:rsidRPr="007F7EBF">
        <w:rPr>
          <w:rFonts w:ascii="Times New Roman" w:hAnsi="Times New Roman"/>
          <w:sz w:val="22"/>
          <w:szCs w:val="22"/>
        </w:rPr>
        <w:t xml:space="preserve">7.19. </w:t>
      </w:r>
      <w:r w:rsidRPr="007F7EBF">
        <w:rPr>
          <w:rFonts w:ascii="Times New Roman" w:hAnsi="Times New Roman"/>
          <w:i/>
          <w:iCs/>
          <w:sz w:val="22"/>
          <w:szCs w:val="22"/>
        </w:rPr>
        <w:t>Segue</w:t>
      </w:r>
      <w:r w:rsidRPr="007F7EBF">
        <w:rPr>
          <w:rFonts w:ascii="Times New Roman" w:hAnsi="Times New Roman"/>
          <w:sz w:val="22"/>
          <w:szCs w:val="22"/>
        </w:rPr>
        <w:t>: simmetrie fiscali e rapporti internazionali, concorrenza fiscale</w:t>
      </w:r>
      <w:r w:rsidR="009F7854" w:rsidRPr="007F7EBF">
        <w:rPr>
          <w:rFonts w:ascii="Times New Roman" w:hAnsi="Times New Roman"/>
          <w:sz w:val="22"/>
          <w:szCs w:val="22"/>
        </w:rPr>
        <w:t xml:space="preserve"> </w:t>
      </w:r>
      <w:r w:rsidR="00364297" w:rsidRPr="007F7EBF">
        <w:rPr>
          <w:rFonts w:ascii="Times New Roman" w:hAnsi="Times New Roman"/>
          <w:sz w:val="22"/>
          <w:szCs w:val="22"/>
        </w:rPr>
        <w:t xml:space="preserve">dannosa, transfer price, </w:t>
      </w:r>
      <w:proofErr w:type="spellStart"/>
      <w:r w:rsidR="00364297" w:rsidRPr="007F7EBF">
        <w:rPr>
          <w:rFonts w:ascii="Times New Roman" w:hAnsi="Times New Roman"/>
          <w:i/>
          <w:sz w:val="22"/>
          <w:szCs w:val="22"/>
        </w:rPr>
        <w:t>cfc</w:t>
      </w:r>
      <w:proofErr w:type="spellEnd"/>
      <w:r w:rsidRPr="007F7EBF">
        <w:rPr>
          <w:rFonts w:ascii="Times New Roman" w:hAnsi="Times New Roman"/>
          <w:sz w:val="22"/>
          <w:szCs w:val="22"/>
        </w:rPr>
        <w:t>.</w:t>
      </w:r>
      <w:bookmarkEnd w:id="118"/>
    </w:p>
    <w:p w14:paraId="4E28B253" w14:textId="77777777" w:rsidR="006D74EA" w:rsidRPr="007F7EBF" w:rsidRDefault="006D74EA" w:rsidP="006D74EA">
      <w:pPr>
        <w:pStyle w:val="tit23"/>
        <w:ind w:left="6464" w:right="-1361" w:firstLine="0"/>
        <w:jc w:val="left"/>
        <w:rPr>
          <w:bCs/>
          <w:i/>
          <w:iCs/>
          <w:color w:val="0000FF"/>
          <w:lang w:val="it-IT"/>
        </w:rPr>
      </w:pPr>
      <w:r w:rsidRPr="007F7EBF">
        <w:rPr>
          <w:bCs/>
          <w:i/>
          <w:iCs/>
          <w:color w:val="0000FF"/>
          <w:lang w:val="it-IT"/>
        </w:rPr>
        <w:t>Operazioni intermedie, simmetrie e controparti estere</w:t>
      </w:r>
    </w:p>
    <w:p w14:paraId="0A4DE768" w14:textId="5380EFDF" w:rsidR="006D74EA" w:rsidRPr="007F7EBF" w:rsidRDefault="008F7846" w:rsidP="006D74EA">
      <w:pPr>
        <w:autoSpaceDE w:val="0"/>
        <w:autoSpaceDN w:val="0"/>
        <w:adjustRightInd w:val="0"/>
        <w:rPr>
          <w:sz w:val="22"/>
          <w:szCs w:val="22"/>
        </w:rPr>
      </w:pPr>
      <w:r>
        <w:rPr>
          <w:sz w:val="22"/>
          <w:szCs w:val="22"/>
        </w:rPr>
        <w:lastRenderedPageBreak/>
        <w:t xml:space="preserve">La determinazione contabile degli imponibili e le sue “simmetrie” </w:t>
      </w:r>
      <w:r w:rsidR="006D74EA" w:rsidRPr="007F7EBF">
        <w:rPr>
          <w:sz w:val="22"/>
          <w:szCs w:val="22"/>
        </w:rPr>
        <w:t>valgono anche quando la controparte del soggetto italiano è un operatore economico estero</w:t>
      </w:r>
      <w:r>
        <w:rPr>
          <w:sz w:val="22"/>
          <w:szCs w:val="22"/>
        </w:rPr>
        <w:t>. Le controparti estere</w:t>
      </w:r>
      <w:r w:rsidR="006342C5" w:rsidRPr="007F7EBF">
        <w:rPr>
          <w:sz w:val="22"/>
          <w:szCs w:val="22"/>
        </w:rPr>
        <w:t xml:space="preserve"> sarebbero </w:t>
      </w:r>
      <w:r w:rsidRPr="007F7EBF">
        <w:rPr>
          <w:sz w:val="22"/>
          <w:szCs w:val="22"/>
        </w:rPr>
        <w:t xml:space="preserve">altrimenti </w:t>
      </w:r>
      <w:r w:rsidR="00656941" w:rsidRPr="007F7EBF">
        <w:rPr>
          <w:sz w:val="22"/>
          <w:szCs w:val="22"/>
        </w:rPr>
        <w:t xml:space="preserve">irragionevolmente </w:t>
      </w:r>
      <w:r w:rsidR="006342C5" w:rsidRPr="007F7EBF">
        <w:rPr>
          <w:sz w:val="22"/>
          <w:szCs w:val="22"/>
        </w:rPr>
        <w:t>discriminate</w:t>
      </w:r>
      <w:r w:rsidR="00D90484" w:rsidRPr="007F7EBF">
        <w:rPr>
          <w:sz w:val="22"/>
          <w:szCs w:val="22"/>
        </w:rPr>
        <w:t xml:space="preserve">, </w:t>
      </w:r>
      <w:r w:rsidR="005F3FCB" w:rsidRPr="007F7EBF">
        <w:rPr>
          <w:sz w:val="22"/>
          <w:szCs w:val="22"/>
        </w:rPr>
        <w:t>anche in relazione ai principi comunitari di cui al</w:t>
      </w:r>
      <w:r w:rsidR="00D90484" w:rsidRPr="007F7EBF">
        <w:rPr>
          <w:sz w:val="22"/>
          <w:szCs w:val="22"/>
        </w:rPr>
        <w:t xml:space="preserve"> par.2.6</w:t>
      </w:r>
      <w:r w:rsidR="006342C5" w:rsidRPr="007F7EBF">
        <w:rPr>
          <w:sz w:val="22"/>
          <w:szCs w:val="22"/>
        </w:rPr>
        <w:t>.</w:t>
      </w:r>
      <w:r w:rsidR="00C84D60" w:rsidRPr="007F7EBF">
        <w:rPr>
          <w:sz w:val="22"/>
          <w:szCs w:val="22"/>
        </w:rPr>
        <w:t xml:space="preserve"> </w:t>
      </w:r>
      <w:r w:rsidR="006342C5" w:rsidRPr="007F7EBF">
        <w:rPr>
          <w:sz w:val="22"/>
          <w:szCs w:val="22"/>
        </w:rPr>
        <w:t>Quindi</w:t>
      </w:r>
      <w:r w:rsidR="006D74EA" w:rsidRPr="007F7EBF">
        <w:rPr>
          <w:sz w:val="22"/>
          <w:szCs w:val="22"/>
        </w:rPr>
        <w:t>, ad esempio,</w:t>
      </w:r>
      <w:r w:rsidR="006342C5" w:rsidRPr="007F7EBF">
        <w:rPr>
          <w:sz w:val="22"/>
          <w:szCs w:val="22"/>
        </w:rPr>
        <w:t xml:space="preserve"> i </w:t>
      </w:r>
      <w:r w:rsidR="006342C5" w:rsidRPr="007F7EBF">
        <w:rPr>
          <w:bCs/>
          <w:sz w:val="22"/>
          <w:szCs w:val="22"/>
        </w:rPr>
        <w:t xml:space="preserve">costi </w:t>
      </w:r>
      <w:r w:rsidR="006D74EA" w:rsidRPr="007F7EBF">
        <w:rPr>
          <w:bCs/>
          <w:sz w:val="22"/>
          <w:szCs w:val="22"/>
        </w:rPr>
        <w:t xml:space="preserve">ed i valori fiscali di cui al par.7.13 </w:t>
      </w:r>
      <w:r w:rsidR="006342C5" w:rsidRPr="007F7EBF">
        <w:rPr>
          <w:bCs/>
          <w:sz w:val="22"/>
          <w:szCs w:val="22"/>
        </w:rPr>
        <w:t>devono essere riconosciuti</w:t>
      </w:r>
      <w:r w:rsidR="00656941" w:rsidRPr="007F7EBF">
        <w:rPr>
          <w:bCs/>
          <w:sz w:val="22"/>
          <w:szCs w:val="22"/>
        </w:rPr>
        <w:t xml:space="preserve">, per l'azienda </w:t>
      </w:r>
      <w:r w:rsidR="0024492F">
        <w:rPr>
          <w:bCs/>
          <w:sz w:val="22"/>
          <w:szCs w:val="22"/>
        </w:rPr>
        <w:t xml:space="preserve">italiana </w:t>
      </w:r>
      <w:r w:rsidR="00656941" w:rsidRPr="007F7EBF">
        <w:rPr>
          <w:bCs/>
          <w:sz w:val="22"/>
          <w:szCs w:val="22"/>
        </w:rPr>
        <w:t xml:space="preserve">acquirente, </w:t>
      </w:r>
      <w:r w:rsidR="006342C5" w:rsidRPr="007F7EBF">
        <w:rPr>
          <w:sz w:val="22"/>
          <w:szCs w:val="22"/>
        </w:rPr>
        <w:t>anche</w:t>
      </w:r>
      <w:r w:rsidR="00C84D60" w:rsidRPr="007F7EBF">
        <w:rPr>
          <w:sz w:val="22"/>
          <w:szCs w:val="22"/>
        </w:rPr>
        <w:t xml:space="preserve"> </w:t>
      </w:r>
      <w:r w:rsidR="006342C5" w:rsidRPr="007F7EBF">
        <w:rPr>
          <w:sz w:val="22"/>
          <w:szCs w:val="22"/>
        </w:rPr>
        <w:t>se</w:t>
      </w:r>
      <w:r w:rsidR="00D90484" w:rsidRPr="007F7EBF">
        <w:rPr>
          <w:sz w:val="22"/>
          <w:szCs w:val="22"/>
        </w:rPr>
        <w:t xml:space="preserve"> ad essi corrisponde un</w:t>
      </w:r>
      <w:r w:rsidR="006342C5" w:rsidRPr="007F7EBF">
        <w:rPr>
          <w:sz w:val="22"/>
          <w:szCs w:val="22"/>
        </w:rPr>
        <w:t xml:space="preserve"> ricavo di </w:t>
      </w:r>
      <w:r w:rsidR="00656941" w:rsidRPr="007F7EBF">
        <w:rPr>
          <w:sz w:val="22"/>
          <w:szCs w:val="22"/>
        </w:rPr>
        <w:t>fornitore</w:t>
      </w:r>
      <w:r w:rsidR="006342C5" w:rsidRPr="007F7EBF">
        <w:rPr>
          <w:sz w:val="22"/>
          <w:szCs w:val="22"/>
        </w:rPr>
        <w:t xml:space="preserve"> estero</w:t>
      </w:r>
      <w:r w:rsidR="0039711F" w:rsidRPr="007F7EBF">
        <w:rPr>
          <w:sz w:val="22"/>
          <w:szCs w:val="22"/>
        </w:rPr>
        <w:t xml:space="preserve">. </w:t>
      </w:r>
    </w:p>
    <w:p w14:paraId="69B33EAB" w14:textId="77777777" w:rsidR="006D74EA" w:rsidRPr="007F7EBF" w:rsidRDefault="006D74EA" w:rsidP="006D74EA">
      <w:pPr>
        <w:pStyle w:val="tit23"/>
        <w:ind w:left="6464" w:right="-1361" w:firstLine="0"/>
        <w:jc w:val="left"/>
        <w:rPr>
          <w:bCs/>
          <w:i/>
          <w:iCs/>
          <w:color w:val="0000FF"/>
          <w:lang w:val="it-IT"/>
        </w:rPr>
      </w:pPr>
      <w:r w:rsidRPr="007F7EBF">
        <w:rPr>
          <w:bCs/>
          <w:i/>
          <w:iCs/>
          <w:color w:val="0000FF"/>
          <w:lang w:val="it-IT"/>
        </w:rPr>
        <w:t>Cautele contro abusi</w:t>
      </w:r>
    </w:p>
    <w:p w14:paraId="1C7827AD" w14:textId="2ECDC121" w:rsidR="0086075D" w:rsidRPr="007F7EBF" w:rsidRDefault="006342C5" w:rsidP="0086075D">
      <w:pPr>
        <w:autoSpaceDE w:val="0"/>
        <w:autoSpaceDN w:val="0"/>
        <w:adjustRightInd w:val="0"/>
        <w:rPr>
          <w:sz w:val="22"/>
          <w:szCs w:val="22"/>
        </w:rPr>
      </w:pPr>
      <w:r w:rsidRPr="007F7EBF">
        <w:rPr>
          <w:sz w:val="22"/>
          <w:szCs w:val="22"/>
        </w:rPr>
        <w:t xml:space="preserve">Tutti i paesi contengono però </w:t>
      </w:r>
      <w:r w:rsidRPr="007F7EBF">
        <w:rPr>
          <w:bCs/>
          <w:sz w:val="22"/>
          <w:szCs w:val="22"/>
        </w:rPr>
        <w:t xml:space="preserve">cautele contro l’abuso </w:t>
      </w:r>
      <w:r w:rsidR="008F7846">
        <w:rPr>
          <w:bCs/>
          <w:sz w:val="22"/>
          <w:szCs w:val="22"/>
        </w:rPr>
        <w:t xml:space="preserve">“elusivo” (par.3.10) </w:t>
      </w:r>
      <w:r w:rsidRPr="007F7EBF">
        <w:rPr>
          <w:sz w:val="22"/>
          <w:szCs w:val="22"/>
        </w:rPr>
        <w:t>di queste differenze di</w:t>
      </w:r>
      <w:r w:rsidR="00656941" w:rsidRPr="007F7EBF">
        <w:rPr>
          <w:sz w:val="22"/>
          <w:szCs w:val="22"/>
        </w:rPr>
        <w:t xml:space="preserve"> </w:t>
      </w:r>
      <w:r w:rsidRPr="007F7EBF">
        <w:rPr>
          <w:sz w:val="22"/>
          <w:szCs w:val="22"/>
        </w:rPr>
        <w:t>regime fiscal</w:t>
      </w:r>
      <w:r w:rsidR="00D90484" w:rsidRPr="007F7EBF">
        <w:rPr>
          <w:sz w:val="22"/>
          <w:szCs w:val="22"/>
        </w:rPr>
        <w:t xml:space="preserve">e </w:t>
      </w:r>
      <w:r w:rsidRPr="007F7EBF">
        <w:rPr>
          <w:sz w:val="22"/>
          <w:szCs w:val="22"/>
        </w:rPr>
        <w:t xml:space="preserve">per </w:t>
      </w:r>
      <w:r w:rsidRPr="007F7EBF">
        <w:rPr>
          <w:bCs/>
          <w:sz w:val="22"/>
          <w:szCs w:val="22"/>
        </w:rPr>
        <w:t xml:space="preserve">delocalizzare </w:t>
      </w:r>
      <w:r w:rsidRPr="007F7EBF">
        <w:rPr>
          <w:sz w:val="22"/>
          <w:szCs w:val="22"/>
        </w:rPr>
        <w:t xml:space="preserve">gli imponibili </w:t>
      </w:r>
      <w:r w:rsidR="0024492F">
        <w:rPr>
          <w:sz w:val="22"/>
          <w:szCs w:val="22"/>
        </w:rPr>
        <w:t xml:space="preserve">ridurre la </w:t>
      </w:r>
      <w:r w:rsidRPr="007F7EBF">
        <w:rPr>
          <w:sz w:val="22"/>
          <w:szCs w:val="22"/>
        </w:rPr>
        <w:t xml:space="preserve">tassazione. </w:t>
      </w:r>
      <w:r w:rsidR="008F7846">
        <w:rPr>
          <w:sz w:val="22"/>
          <w:szCs w:val="22"/>
        </w:rPr>
        <w:t>L’uso “elusivo” sussiste quando le relazioni societarie con le controparti sono palesate, mentre rinviamo al par.3.7 sull’uso evasivo, basato sull’utilizzo di prestanome e teste di legno (</w:t>
      </w:r>
      <w:r w:rsidR="008F7846">
        <w:rPr>
          <w:rStyle w:val="Rimandonotaapidipagina"/>
          <w:sz w:val="22"/>
          <w:szCs w:val="22"/>
        </w:rPr>
        <w:footnoteReference w:id="1226"/>
      </w:r>
      <w:r w:rsidR="008F7846">
        <w:rPr>
          <w:sz w:val="22"/>
          <w:szCs w:val="22"/>
        </w:rPr>
        <w:t xml:space="preserve">). </w:t>
      </w:r>
      <w:r w:rsidR="0004021F">
        <w:rPr>
          <w:sz w:val="22"/>
          <w:szCs w:val="22"/>
        </w:rPr>
        <w:t>Anche nel già indicato schema “trasparente” dei gruppi multinazionali, articolati in tante società giuridicamente indipendenti</w:t>
      </w:r>
      <w:r w:rsidR="00B93AFA" w:rsidRPr="007F7EBF">
        <w:rPr>
          <w:sz w:val="22"/>
          <w:szCs w:val="22"/>
        </w:rPr>
        <w:t>(</w:t>
      </w:r>
      <w:r w:rsidR="00B93AFA" w:rsidRPr="007F7EBF">
        <w:rPr>
          <w:rStyle w:val="Rimandonotaapidipagina"/>
          <w:sz w:val="22"/>
          <w:szCs w:val="22"/>
        </w:rPr>
        <w:footnoteReference w:id="1227"/>
      </w:r>
      <w:r w:rsidR="00B93AFA" w:rsidRPr="007F7EBF">
        <w:rPr>
          <w:sz w:val="22"/>
          <w:szCs w:val="22"/>
        </w:rPr>
        <w:t>)</w:t>
      </w:r>
      <w:r w:rsidR="0004021F">
        <w:rPr>
          <w:sz w:val="22"/>
          <w:szCs w:val="22"/>
        </w:rPr>
        <w:t xml:space="preserve">, c’è infatti la tendenza ad allocare costi </w:t>
      </w:r>
      <w:r w:rsidR="0039711F" w:rsidRPr="007F7EBF">
        <w:rPr>
          <w:sz w:val="22"/>
          <w:szCs w:val="22"/>
        </w:rPr>
        <w:t xml:space="preserve">a società di </w:t>
      </w:r>
      <w:r w:rsidR="00656941" w:rsidRPr="007F7EBF">
        <w:rPr>
          <w:sz w:val="22"/>
          <w:szCs w:val="22"/>
        </w:rPr>
        <w:t xml:space="preserve">paesi </w:t>
      </w:r>
      <w:r w:rsidR="0039711F" w:rsidRPr="007F7EBF">
        <w:rPr>
          <w:sz w:val="22"/>
          <w:szCs w:val="22"/>
        </w:rPr>
        <w:t xml:space="preserve">con aliquota </w:t>
      </w:r>
      <w:r w:rsidR="00656941" w:rsidRPr="007F7EBF">
        <w:rPr>
          <w:sz w:val="22"/>
          <w:szCs w:val="22"/>
        </w:rPr>
        <w:t xml:space="preserve"> </w:t>
      </w:r>
      <w:r w:rsidR="0039711F" w:rsidRPr="007F7EBF">
        <w:rPr>
          <w:sz w:val="22"/>
          <w:szCs w:val="22"/>
        </w:rPr>
        <w:t>fiscale</w:t>
      </w:r>
      <w:r w:rsidR="00656941" w:rsidRPr="007F7EBF">
        <w:rPr>
          <w:sz w:val="22"/>
          <w:szCs w:val="22"/>
        </w:rPr>
        <w:t xml:space="preserve"> maggiore</w:t>
      </w:r>
      <w:r w:rsidR="0039711F" w:rsidRPr="007F7EBF">
        <w:rPr>
          <w:sz w:val="22"/>
          <w:szCs w:val="22"/>
        </w:rPr>
        <w:t xml:space="preserve">, da parte di società del gruppo </w:t>
      </w:r>
      <w:r w:rsidR="00656941" w:rsidRPr="007F7EBF">
        <w:rPr>
          <w:sz w:val="22"/>
          <w:szCs w:val="22"/>
        </w:rPr>
        <w:t xml:space="preserve">ubicate in paesi </w:t>
      </w:r>
      <w:r w:rsidR="0039711F" w:rsidRPr="007F7EBF">
        <w:rPr>
          <w:sz w:val="22"/>
          <w:szCs w:val="22"/>
        </w:rPr>
        <w:t xml:space="preserve">con aliquota fiscale </w:t>
      </w:r>
      <w:r w:rsidR="00656941" w:rsidRPr="007F7EBF">
        <w:rPr>
          <w:sz w:val="22"/>
          <w:szCs w:val="22"/>
        </w:rPr>
        <w:t>minore</w:t>
      </w:r>
      <w:r w:rsidR="0039711F" w:rsidRPr="007F7EBF">
        <w:rPr>
          <w:sz w:val="22"/>
          <w:szCs w:val="22"/>
        </w:rPr>
        <w:t xml:space="preserve"> (</w:t>
      </w:r>
      <w:r w:rsidR="006D74EA" w:rsidRPr="007F7EBF">
        <w:rPr>
          <w:rStyle w:val="Rimandonotaapidipagina"/>
          <w:sz w:val="22"/>
          <w:szCs w:val="22"/>
        </w:rPr>
        <w:footnoteReference w:id="1228"/>
      </w:r>
      <w:r w:rsidR="0039711F" w:rsidRPr="007F7EBF">
        <w:rPr>
          <w:sz w:val="22"/>
          <w:szCs w:val="22"/>
        </w:rPr>
        <w:t>)</w:t>
      </w:r>
      <w:r w:rsidR="00656941" w:rsidRPr="007F7EBF">
        <w:rPr>
          <w:sz w:val="22"/>
          <w:szCs w:val="22"/>
        </w:rPr>
        <w:t>.</w:t>
      </w:r>
      <w:r w:rsidR="00381B1B" w:rsidRPr="007F7EBF">
        <w:rPr>
          <w:sz w:val="22"/>
          <w:szCs w:val="22"/>
        </w:rPr>
        <w:t xml:space="preserve"> </w:t>
      </w:r>
      <w:r w:rsidR="00B93AFA">
        <w:rPr>
          <w:sz w:val="22"/>
          <w:szCs w:val="22"/>
        </w:rPr>
        <w:t xml:space="preserve">La circolazione delle attività economiche è infatti molto più agevole, come indicato ai parr.2.6, 3.11 e 5.6, che </w:t>
      </w:r>
      <w:r w:rsidR="0004021F" w:rsidRPr="007F7EBF">
        <w:rPr>
          <w:sz w:val="22"/>
          <w:szCs w:val="22"/>
        </w:rPr>
        <w:t xml:space="preserve">quella </w:t>
      </w:r>
      <w:r w:rsidR="00B93AFA">
        <w:rPr>
          <w:sz w:val="22"/>
          <w:szCs w:val="22"/>
        </w:rPr>
        <w:t xml:space="preserve">dei </w:t>
      </w:r>
      <w:r w:rsidR="0004021F" w:rsidRPr="007F7EBF">
        <w:rPr>
          <w:sz w:val="22"/>
          <w:szCs w:val="22"/>
        </w:rPr>
        <w:t>controlli (par.5.6)</w:t>
      </w:r>
      <w:r w:rsidR="00B93AFA">
        <w:rPr>
          <w:sz w:val="22"/>
          <w:szCs w:val="22"/>
        </w:rPr>
        <w:t xml:space="preserve">. </w:t>
      </w:r>
    </w:p>
    <w:p w14:paraId="4896CD7F" w14:textId="24CD9DF4" w:rsidR="0086075D" w:rsidRPr="007F7EBF" w:rsidRDefault="0086075D" w:rsidP="0086075D">
      <w:pPr>
        <w:pStyle w:val="tit23"/>
        <w:ind w:left="6464" w:right="-1361" w:firstLine="0"/>
        <w:jc w:val="left"/>
        <w:rPr>
          <w:bCs/>
          <w:i/>
          <w:iCs/>
          <w:color w:val="0000FF"/>
          <w:lang w:val="it-IT"/>
        </w:rPr>
      </w:pPr>
      <w:r w:rsidRPr="007F7EBF">
        <w:rPr>
          <w:bCs/>
          <w:i/>
          <w:iCs/>
          <w:color w:val="0000FF"/>
          <w:lang w:val="it-IT"/>
        </w:rPr>
        <w:t>Prezzi di trasferimento</w:t>
      </w:r>
      <w:r w:rsidR="00B93AFA">
        <w:rPr>
          <w:bCs/>
          <w:i/>
          <w:iCs/>
          <w:color w:val="0000FF"/>
          <w:lang w:val="it-IT"/>
        </w:rPr>
        <w:t xml:space="preserve"> e valore normale</w:t>
      </w:r>
    </w:p>
    <w:p w14:paraId="47499900" w14:textId="54D50DB9" w:rsidR="0086075D" w:rsidRPr="007F7EBF" w:rsidRDefault="0024492F" w:rsidP="0086075D">
      <w:pPr>
        <w:autoSpaceDE w:val="0"/>
        <w:autoSpaceDN w:val="0"/>
        <w:adjustRightInd w:val="0"/>
        <w:rPr>
          <w:sz w:val="22"/>
          <w:szCs w:val="22"/>
        </w:rPr>
      </w:pPr>
      <w:r>
        <w:rPr>
          <w:sz w:val="22"/>
          <w:szCs w:val="22"/>
        </w:rPr>
        <w:t xml:space="preserve">E’ inoltre del tutto normale che </w:t>
      </w:r>
      <w:r w:rsidR="0086075D" w:rsidRPr="007F7EBF">
        <w:rPr>
          <w:sz w:val="22"/>
          <w:szCs w:val="22"/>
        </w:rPr>
        <w:t xml:space="preserve">i corrispettivi per beni e servizi tra società del gruppo </w:t>
      </w:r>
      <w:r>
        <w:rPr>
          <w:sz w:val="22"/>
          <w:szCs w:val="22"/>
        </w:rPr>
        <w:t>siano</w:t>
      </w:r>
      <w:r w:rsidR="0086075D" w:rsidRPr="007F7EBF">
        <w:rPr>
          <w:sz w:val="22"/>
          <w:szCs w:val="22"/>
        </w:rPr>
        <w:t xml:space="preserve"> essere </w:t>
      </w:r>
      <w:r w:rsidR="0086075D" w:rsidRPr="007F7EBF">
        <w:rPr>
          <w:bCs/>
          <w:sz w:val="22"/>
          <w:szCs w:val="22"/>
        </w:rPr>
        <w:t xml:space="preserve">determinati anche in funzione di una logica </w:t>
      </w:r>
      <w:r>
        <w:rPr>
          <w:bCs/>
          <w:sz w:val="22"/>
          <w:szCs w:val="22"/>
        </w:rPr>
        <w:t xml:space="preserve">“perequativa”,  </w:t>
      </w:r>
      <w:r w:rsidR="0086075D" w:rsidRPr="007F7EBF">
        <w:rPr>
          <w:bCs/>
          <w:sz w:val="22"/>
          <w:szCs w:val="22"/>
        </w:rPr>
        <w:t xml:space="preserve">di </w:t>
      </w:r>
      <w:r>
        <w:rPr>
          <w:bCs/>
          <w:sz w:val="22"/>
          <w:szCs w:val="22"/>
        </w:rPr>
        <w:t xml:space="preserve">“solidarietà di </w:t>
      </w:r>
      <w:r w:rsidR="0086075D" w:rsidRPr="007F7EBF">
        <w:rPr>
          <w:bCs/>
          <w:sz w:val="22"/>
          <w:szCs w:val="22"/>
        </w:rPr>
        <w:t>gruppo</w:t>
      </w:r>
      <w:r>
        <w:rPr>
          <w:bCs/>
          <w:sz w:val="22"/>
          <w:szCs w:val="22"/>
        </w:rPr>
        <w:t>”</w:t>
      </w:r>
      <w:r w:rsidR="0086075D" w:rsidRPr="007F7EBF">
        <w:rPr>
          <w:sz w:val="22"/>
          <w:szCs w:val="22"/>
        </w:rPr>
        <w:t xml:space="preserve">, </w:t>
      </w:r>
      <w:r>
        <w:rPr>
          <w:sz w:val="22"/>
          <w:szCs w:val="22"/>
        </w:rPr>
        <w:t xml:space="preserve">sostenendo le società bisognose di aiuto a carico di quelle più floride, </w:t>
      </w:r>
      <w:r w:rsidR="0086075D" w:rsidRPr="007F7EBF">
        <w:rPr>
          <w:sz w:val="22"/>
          <w:szCs w:val="22"/>
        </w:rPr>
        <w:t xml:space="preserve">diversamente da quanto </w:t>
      </w:r>
      <w:r w:rsidR="0086075D" w:rsidRPr="007F7EBF">
        <w:rPr>
          <w:sz w:val="22"/>
          <w:szCs w:val="22"/>
        </w:rPr>
        <w:lastRenderedPageBreak/>
        <w:t xml:space="preserve">accadrebbe tra </w:t>
      </w:r>
      <w:r w:rsidR="0086075D" w:rsidRPr="007F7EBF">
        <w:rPr>
          <w:bCs/>
          <w:sz w:val="22"/>
          <w:szCs w:val="22"/>
        </w:rPr>
        <w:t>imprese indipendenti</w:t>
      </w:r>
      <w:r>
        <w:rPr>
          <w:bCs/>
          <w:sz w:val="22"/>
          <w:szCs w:val="22"/>
        </w:rPr>
        <w:t>(</w:t>
      </w:r>
      <w:r w:rsidR="0086075D" w:rsidRPr="007F7EBF">
        <w:rPr>
          <w:rStyle w:val="Rimandonotaapidipagina"/>
          <w:sz w:val="22"/>
          <w:szCs w:val="22"/>
        </w:rPr>
        <w:footnoteReference w:id="1229"/>
      </w:r>
      <w:r>
        <w:rPr>
          <w:bCs/>
          <w:sz w:val="22"/>
          <w:szCs w:val="22"/>
        </w:rPr>
        <w:t>)</w:t>
      </w:r>
      <w:r w:rsidR="0086075D" w:rsidRPr="007F7EBF">
        <w:rPr>
          <w:bCs/>
          <w:sz w:val="22"/>
          <w:szCs w:val="22"/>
        </w:rPr>
        <w:t xml:space="preserve">. </w:t>
      </w:r>
      <w:r>
        <w:rPr>
          <w:bCs/>
          <w:sz w:val="22"/>
          <w:szCs w:val="22"/>
        </w:rPr>
        <w:t xml:space="preserve">Tra queste società del resto non esiste </w:t>
      </w:r>
      <w:r w:rsidR="0086075D" w:rsidRPr="007F7EBF">
        <w:rPr>
          <w:sz w:val="22"/>
          <w:szCs w:val="22"/>
        </w:rPr>
        <w:t xml:space="preserve">un </w:t>
      </w:r>
      <w:r w:rsidR="0086075D" w:rsidRPr="007F7EBF">
        <w:rPr>
          <w:bCs/>
          <w:sz w:val="22"/>
          <w:szCs w:val="22"/>
        </w:rPr>
        <w:t>genuino contrasto di interessi</w:t>
      </w:r>
      <w:r w:rsidR="0086075D" w:rsidRPr="007F7EBF">
        <w:rPr>
          <w:sz w:val="22"/>
          <w:szCs w:val="22"/>
        </w:rPr>
        <w:t xml:space="preserve">, e tutti i paesi sviluppati </w:t>
      </w:r>
      <w:r>
        <w:rPr>
          <w:sz w:val="22"/>
          <w:szCs w:val="22"/>
        </w:rPr>
        <w:t xml:space="preserve">si cautelano </w:t>
      </w:r>
      <w:r w:rsidR="0086075D" w:rsidRPr="007F7EBF">
        <w:rPr>
          <w:sz w:val="22"/>
          <w:szCs w:val="22"/>
        </w:rPr>
        <w:t>prevede</w:t>
      </w:r>
      <w:r>
        <w:rPr>
          <w:sz w:val="22"/>
          <w:szCs w:val="22"/>
        </w:rPr>
        <w:t xml:space="preserve">ndo che ai fini delle imposte sui redditi </w:t>
      </w:r>
      <w:r w:rsidR="0086075D" w:rsidRPr="007F7EBF">
        <w:rPr>
          <w:sz w:val="22"/>
          <w:szCs w:val="22"/>
        </w:rPr>
        <w:t xml:space="preserve">i </w:t>
      </w:r>
      <w:r w:rsidR="0086075D" w:rsidRPr="007F7EBF">
        <w:rPr>
          <w:bCs/>
          <w:sz w:val="22"/>
          <w:szCs w:val="22"/>
        </w:rPr>
        <w:t xml:space="preserve">rapporti </w:t>
      </w:r>
      <w:proofErr w:type="spellStart"/>
      <w:r>
        <w:rPr>
          <w:bCs/>
          <w:sz w:val="22"/>
          <w:szCs w:val="22"/>
        </w:rPr>
        <w:t>intragruppo</w:t>
      </w:r>
      <w:proofErr w:type="spellEnd"/>
      <w:r>
        <w:rPr>
          <w:bCs/>
          <w:sz w:val="22"/>
          <w:szCs w:val="22"/>
        </w:rPr>
        <w:t xml:space="preserve"> </w:t>
      </w:r>
      <w:r w:rsidR="0086075D" w:rsidRPr="007F7EBF">
        <w:rPr>
          <w:bCs/>
          <w:sz w:val="22"/>
          <w:szCs w:val="22"/>
        </w:rPr>
        <w:t>con  società estere</w:t>
      </w:r>
      <w:r>
        <w:rPr>
          <w:bCs/>
          <w:sz w:val="22"/>
          <w:szCs w:val="22"/>
        </w:rPr>
        <w:t xml:space="preserve"> </w:t>
      </w:r>
      <w:r w:rsidR="0086075D" w:rsidRPr="007F7EBF">
        <w:rPr>
          <w:sz w:val="22"/>
          <w:szCs w:val="22"/>
        </w:rPr>
        <w:t xml:space="preserve">siano </w:t>
      </w:r>
      <w:r w:rsidR="0086075D" w:rsidRPr="007F7EBF">
        <w:rPr>
          <w:bCs/>
          <w:sz w:val="22"/>
          <w:szCs w:val="22"/>
        </w:rPr>
        <w:t xml:space="preserve">valorizzati </w:t>
      </w:r>
      <w:r w:rsidR="0086075D" w:rsidRPr="007F7EBF">
        <w:rPr>
          <w:sz w:val="22"/>
          <w:szCs w:val="22"/>
        </w:rPr>
        <w:t xml:space="preserve">non già in base a tale corrispettivo, ma al </w:t>
      </w:r>
      <w:r w:rsidR="0086075D" w:rsidRPr="007F7EBF">
        <w:rPr>
          <w:bCs/>
          <w:sz w:val="22"/>
          <w:szCs w:val="22"/>
        </w:rPr>
        <w:t xml:space="preserve">valore normale </w:t>
      </w:r>
      <w:r w:rsidR="0086075D" w:rsidRPr="007F7EBF">
        <w:rPr>
          <w:sz w:val="22"/>
          <w:szCs w:val="22"/>
        </w:rPr>
        <w:t>della prestazione sottostante. È una disposizione di cautela fiscale, che scatta anche quando l’adozione di un corrispettivo diverso dal valore normale è dettata da ragioni</w:t>
      </w:r>
      <w:r w:rsidR="00B93AFA">
        <w:rPr>
          <w:sz w:val="22"/>
          <w:szCs w:val="22"/>
        </w:rPr>
        <w:t xml:space="preserve"> </w:t>
      </w:r>
      <w:r w:rsidR="0086075D" w:rsidRPr="007F7EBF">
        <w:rPr>
          <w:sz w:val="22"/>
          <w:szCs w:val="22"/>
        </w:rPr>
        <w:t>finanziarie, commerciali o comunque extrafiscali, ed anche quando la controparte risiede in un paese con aliquote fiscali maggiori delle nostre (</w:t>
      </w:r>
      <w:r w:rsidR="0086075D" w:rsidRPr="007F7EBF">
        <w:rPr>
          <w:rStyle w:val="Rimandonotaapidipagina"/>
          <w:sz w:val="22"/>
          <w:szCs w:val="22"/>
        </w:rPr>
        <w:footnoteReference w:id="1230"/>
      </w:r>
      <w:r w:rsidR="0086075D" w:rsidRPr="007F7EBF">
        <w:rPr>
          <w:sz w:val="22"/>
          <w:szCs w:val="22"/>
        </w:rPr>
        <w:t>); il corrispettivo potrebbe essere così determinato non per vantaggi tributari,  ma per indirizzare gli utili o le perdite dove conviene all'azienda multinazionale nel suo complesso.</w:t>
      </w:r>
    </w:p>
    <w:p w14:paraId="6D7F81B8" w14:textId="77777777" w:rsidR="0086075D" w:rsidRPr="007F7EBF" w:rsidRDefault="0086075D" w:rsidP="0086075D">
      <w:pPr>
        <w:pStyle w:val="tit23"/>
        <w:ind w:left="6464" w:right="-1361" w:firstLine="0"/>
        <w:jc w:val="left"/>
        <w:rPr>
          <w:bCs/>
          <w:i/>
          <w:iCs/>
          <w:color w:val="0000FF"/>
          <w:lang w:val="it-IT"/>
        </w:rPr>
      </w:pPr>
      <w:r w:rsidRPr="007F7EBF">
        <w:rPr>
          <w:bCs/>
          <w:i/>
          <w:iCs/>
          <w:color w:val="0000FF"/>
          <w:lang w:val="it-IT"/>
        </w:rPr>
        <w:t>segue. Dissensi ed accordi tra stati</w:t>
      </w:r>
    </w:p>
    <w:p w14:paraId="06B560E8" w14:textId="506FB2AB" w:rsidR="00A13957" w:rsidRPr="007F7EBF" w:rsidRDefault="0086075D" w:rsidP="00B93AFA">
      <w:pPr>
        <w:autoSpaceDE w:val="0"/>
        <w:autoSpaceDN w:val="0"/>
        <w:adjustRightInd w:val="0"/>
        <w:rPr>
          <w:sz w:val="22"/>
          <w:szCs w:val="22"/>
        </w:rPr>
      </w:pPr>
      <w:r w:rsidRPr="007F7EBF">
        <w:rPr>
          <w:sz w:val="22"/>
          <w:szCs w:val="22"/>
        </w:rPr>
        <w:t>Queste correzioni innescano anche conflitti tra uffici tributari di stati diversi, competenti per società diverse della stessa multinazionale: il calcolo del valore normale da parte dell’ufficio tributario di una nazione, può risultare eccessivo per l’ufficio tributario dello stato dove ha sede la controparte. In questi casi il contribuente può presentare istanza perché gli stati concordino un prezzo che escluda tassazioni dell</w:t>
      </w:r>
      <w:r w:rsidR="0024492F">
        <w:rPr>
          <w:sz w:val="22"/>
          <w:szCs w:val="22"/>
        </w:rPr>
        <w:t>o</w:t>
      </w:r>
      <w:r w:rsidRPr="007F7EBF">
        <w:rPr>
          <w:sz w:val="22"/>
          <w:szCs w:val="22"/>
        </w:rPr>
        <w:t xml:space="preserve"> stess</w:t>
      </w:r>
      <w:r w:rsidR="0024492F">
        <w:rPr>
          <w:sz w:val="22"/>
          <w:szCs w:val="22"/>
        </w:rPr>
        <w:t>o</w:t>
      </w:r>
      <w:r w:rsidRPr="007F7EBF">
        <w:rPr>
          <w:sz w:val="22"/>
          <w:szCs w:val="22"/>
        </w:rPr>
        <w:t xml:space="preserve"> </w:t>
      </w:r>
      <w:r w:rsidR="0024492F">
        <w:rPr>
          <w:sz w:val="22"/>
          <w:szCs w:val="22"/>
        </w:rPr>
        <w:t>imponibile</w:t>
      </w:r>
      <w:r w:rsidRPr="007F7EBF">
        <w:rPr>
          <w:sz w:val="22"/>
          <w:szCs w:val="22"/>
        </w:rPr>
        <w:t xml:space="preserve"> in paesi diversi. </w:t>
      </w:r>
      <w:r w:rsidR="0024492F">
        <w:rPr>
          <w:sz w:val="22"/>
          <w:szCs w:val="22"/>
        </w:rPr>
        <w:t xml:space="preserve">Le modalità più usate per creare flussi di reddito verso paesi a fiscalità agevolata riguardano </w:t>
      </w:r>
      <w:r w:rsidRPr="00B93AFA">
        <w:rPr>
          <w:sz w:val="22"/>
          <w:szCs w:val="22"/>
        </w:rPr>
        <w:t>elementi patrimoniali meno legati al territorio, come liquidità, brevetti, marchi e altra proprietà intellettuale, come accade per le società ad alta tecnologia (</w:t>
      </w:r>
      <w:r w:rsidRPr="007F7EBF">
        <w:rPr>
          <w:rStyle w:val="Rimandonotaapidipagina"/>
          <w:sz w:val="22"/>
          <w:szCs w:val="22"/>
        </w:rPr>
        <w:footnoteReference w:id="1231"/>
      </w:r>
      <w:r w:rsidRPr="00B93AFA">
        <w:rPr>
          <w:sz w:val="22"/>
          <w:szCs w:val="22"/>
        </w:rPr>
        <w:t>)</w:t>
      </w:r>
      <w:r w:rsidR="00B93AFA">
        <w:rPr>
          <w:sz w:val="22"/>
          <w:szCs w:val="22"/>
        </w:rPr>
        <w:t xml:space="preserve">. </w:t>
      </w:r>
    </w:p>
    <w:p w14:paraId="77535C79" w14:textId="77777777" w:rsidR="00A13957" w:rsidRPr="007F7EBF" w:rsidRDefault="004E2CA7" w:rsidP="00A13957">
      <w:pPr>
        <w:pStyle w:val="tit23"/>
        <w:ind w:left="6464" w:right="-1361" w:firstLine="0"/>
        <w:jc w:val="left"/>
        <w:rPr>
          <w:bCs/>
          <w:i/>
          <w:iCs/>
          <w:color w:val="0000FF"/>
          <w:lang w:val="it-IT"/>
        </w:rPr>
      </w:pPr>
      <w:r w:rsidRPr="007F7EBF">
        <w:rPr>
          <w:bCs/>
          <w:i/>
          <w:iCs/>
          <w:color w:val="0000FF"/>
          <w:lang w:val="it-IT"/>
        </w:rPr>
        <w:t>c</w:t>
      </w:r>
      <w:r w:rsidR="00A13957" w:rsidRPr="007F7EBF">
        <w:rPr>
          <w:bCs/>
          <w:i/>
          <w:iCs/>
          <w:color w:val="0000FF"/>
          <w:lang w:val="it-IT"/>
        </w:rPr>
        <w:t xml:space="preserve">oncorrenza </w:t>
      </w:r>
      <w:r w:rsidRPr="007F7EBF">
        <w:rPr>
          <w:bCs/>
          <w:i/>
          <w:iCs/>
          <w:color w:val="0000FF"/>
          <w:lang w:val="it-IT"/>
        </w:rPr>
        <w:t xml:space="preserve"> e lealtà </w:t>
      </w:r>
      <w:r w:rsidR="00A13957" w:rsidRPr="007F7EBF">
        <w:rPr>
          <w:bCs/>
          <w:i/>
          <w:iCs/>
          <w:color w:val="0000FF"/>
          <w:lang w:val="it-IT"/>
        </w:rPr>
        <w:t>fiscale</w:t>
      </w:r>
      <w:r w:rsidRPr="007F7EBF">
        <w:rPr>
          <w:bCs/>
          <w:i/>
          <w:iCs/>
          <w:color w:val="0000FF"/>
          <w:lang w:val="it-IT"/>
        </w:rPr>
        <w:t xml:space="preserve"> tra stati </w:t>
      </w:r>
      <w:r w:rsidR="003C755C" w:rsidRPr="007F7EBF">
        <w:rPr>
          <w:bCs/>
          <w:i/>
          <w:iCs/>
          <w:color w:val="0000FF"/>
          <w:lang w:val="it-IT"/>
        </w:rPr>
        <w:t xml:space="preserve"> manovre generali </w:t>
      </w:r>
      <w:r w:rsidR="003D59F5" w:rsidRPr="007F7EBF">
        <w:rPr>
          <w:bCs/>
          <w:i/>
          <w:iCs/>
          <w:color w:val="0000FF"/>
          <w:lang w:val="it-IT"/>
        </w:rPr>
        <w:t xml:space="preserve">sulle </w:t>
      </w:r>
      <w:proofErr w:type="spellStart"/>
      <w:r w:rsidR="003D59F5" w:rsidRPr="007F7EBF">
        <w:rPr>
          <w:bCs/>
          <w:i/>
          <w:iCs/>
          <w:color w:val="0000FF"/>
          <w:lang w:val="it-IT"/>
        </w:rPr>
        <w:t>aliquote</w:t>
      </w:r>
      <w:r w:rsidRPr="007F7EBF">
        <w:rPr>
          <w:bCs/>
          <w:i/>
          <w:iCs/>
          <w:color w:val="0000FF"/>
          <w:lang w:val="it-IT"/>
        </w:rPr>
        <w:t>i</w:t>
      </w:r>
      <w:proofErr w:type="spellEnd"/>
    </w:p>
    <w:p w14:paraId="2B935DFC" w14:textId="02441D97" w:rsidR="00684E19" w:rsidRPr="007F7EBF" w:rsidRDefault="00B93AFA" w:rsidP="00684E19">
      <w:pPr>
        <w:autoSpaceDE w:val="0"/>
        <w:autoSpaceDN w:val="0"/>
        <w:adjustRightInd w:val="0"/>
        <w:rPr>
          <w:sz w:val="22"/>
          <w:szCs w:val="22"/>
        </w:rPr>
      </w:pPr>
      <w:r>
        <w:rPr>
          <w:sz w:val="22"/>
          <w:szCs w:val="22"/>
        </w:rPr>
        <w:t xml:space="preserve">Il problema non riguarda però solo “paradisi fiscali”, ma anche paesi di grandi dimensioni, interessati alla </w:t>
      </w:r>
      <w:r w:rsidR="00A13957" w:rsidRPr="007F7EBF">
        <w:rPr>
          <w:sz w:val="22"/>
          <w:szCs w:val="22"/>
        </w:rPr>
        <w:t>“</w:t>
      </w:r>
      <w:r w:rsidR="00A13957" w:rsidRPr="007F7EBF">
        <w:rPr>
          <w:bCs/>
          <w:sz w:val="22"/>
          <w:szCs w:val="22"/>
        </w:rPr>
        <w:t>concorrenza fiscale</w:t>
      </w:r>
      <w:r w:rsidR="00A13957" w:rsidRPr="007F7EBF">
        <w:rPr>
          <w:sz w:val="22"/>
          <w:szCs w:val="22"/>
        </w:rPr>
        <w:t>”</w:t>
      </w:r>
      <w:r>
        <w:rPr>
          <w:sz w:val="22"/>
          <w:szCs w:val="22"/>
        </w:rPr>
        <w:t xml:space="preserve"> già indicata al par.2.6 sull’Europa. Essa è </w:t>
      </w:r>
      <w:r w:rsidR="00A13957" w:rsidRPr="007F7EBF">
        <w:rPr>
          <w:sz w:val="22"/>
          <w:szCs w:val="22"/>
        </w:rPr>
        <w:t xml:space="preserve">del tutto legittima se basata su riduzioni generalizzate di imposte, che riducano la combinazione generale tra </w:t>
      </w:r>
      <w:r w:rsidR="00A13957" w:rsidRPr="007F7EBF">
        <w:rPr>
          <w:sz w:val="22"/>
          <w:szCs w:val="22"/>
        </w:rPr>
        <w:lastRenderedPageBreak/>
        <w:t>"stato" e "mercato"</w:t>
      </w:r>
      <w:r w:rsidR="003C755C" w:rsidRPr="007F7EBF">
        <w:rPr>
          <w:sz w:val="22"/>
          <w:szCs w:val="22"/>
        </w:rPr>
        <w:t xml:space="preserve">. </w:t>
      </w:r>
      <w:r w:rsidR="00684E19">
        <w:rPr>
          <w:sz w:val="22"/>
          <w:szCs w:val="22"/>
        </w:rPr>
        <w:t>E’ quindi del tutto legittima la tendenza di tutti gli stati d</w:t>
      </w:r>
      <w:r w:rsidR="00684E19" w:rsidRPr="007F7EBF">
        <w:rPr>
          <w:sz w:val="22"/>
          <w:szCs w:val="22"/>
        </w:rPr>
        <w:t>e</w:t>
      </w:r>
      <w:r w:rsidR="00684E19">
        <w:rPr>
          <w:sz w:val="22"/>
          <w:szCs w:val="22"/>
        </w:rPr>
        <w:t xml:space="preserve">ll’unione europea, come di tutti i paesi occidentali, </w:t>
      </w:r>
      <w:r w:rsidR="00684E19" w:rsidRPr="007F7EBF">
        <w:rPr>
          <w:sz w:val="22"/>
          <w:szCs w:val="22"/>
        </w:rPr>
        <w:t>ad abbassare l'aliquota dell'imposta societaria (</w:t>
      </w:r>
      <w:r w:rsidR="00684E19" w:rsidRPr="007F7EBF">
        <w:rPr>
          <w:rStyle w:val="Rimandonotaapidipagina"/>
          <w:sz w:val="22"/>
          <w:szCs w:val="22"/>
        </w:rPr>
        <w:footnoteReference w:id="1232"/>
      </w:r>
      <w:r w:rsidR="00684E19" w:rsidRPr="007F7EBF">
        <w:rPr>
          <w:sz w:val="22"/>
          <w:szCs w:val="22"/>
        </w:rPr>
        <w:t xml:space="preserve">), </w:t>
      </w:r>
      <w:r w:rsidR="00684E19" w:rsidRPr="007F7EBF">
        <w:rPr>
          <w:bCs/>
          <w:sz w:val="22"/>
          <w:szCs w:val="22"/>
        </w:rPr>
        <w:t>spostando la tassazione dalla società ai soci</w:t>
      </w:r>
      <w:r w:rsidR="00684E19" w:rsidRPr="007F7EBF">
        <w:rPr>
          <w:sz w:val="22"/>
          <w:szCs w:val="22"/>
        </w:rPr>
        <w:t>, al momento della percezione del dividendo</w:t>
      </w:r>
      <w:r w:rsidR="00684E19">
        <w:rPr>
          <w:sz w:val="22"/>
          <w:szCs w:val="22"/>
        </w:rPr>
        <w:t xml:space="preserve">, secondo lo schema di cui al par.7.17; lo scopo è </w:t>
      </w:r>
      <w:r w:rsidR="00684E19" w:rsidRPr="007F7EBF">
        <w:rPr>
          <w:sz w:val="22"/>
          <w:szCs w:val="22"/>
        </w:rPr>
        <w:t>attra</w:t>
      </w:r>
      <w:r w:rsidR="00684E19">
        <w:rPr>
          <w:sz w:val="22"/>
          <w:szCs w:val="22"/>
        </w:rPr>
        <w:t>rr</w:t>
      </w:r>
      <w:r w:rsidR="00684E19" w:rsidRPr="007F7EBF">
        <w:rPr>
          <w:sz w:val="22"/>
          <w:szCs w:val="22"/>
        </w:rPr>
        <w:t>e investitori esteri (</w:t>
      </w:r>
      <w:r w:rsidR="00684E19" w:rsidRPr="007F7EBF">
        <w:rPr>
          <w:rStyle w:val="Rimandonotaapidipagina"/>
          <w:sz w:val="22"/>
          <w:szCs w:val="22"/>
        </w:rPr>
        <w:footnoteReference w:id="1233"/>
      </w:r>
      <w:r w:rsidR="00684E19" w:rsidRPr="007F7EBF">
        <w:rPr>
          <w:sz w:val="22"/>
          <w:szCs w:val="22"/>
        </w:rPr>
        <w:t>) a costo zero, come perdita di gettito sui propri operatori economici</w:t>
      </w:r>
      <w:r w:rsidR="00684E19" w:rsidRPr="007F7EBF">
        <w:rPr>
          <w:rStyle w:val="Rimandonotaapidipagina"/>
          <w:sz w:val="22"/>
          <w:szCs w:val="22"/>
        </w:rPr>
        <w:footnoteReference w:id="1234"/>
      </w:r>
      <w:r w:rsidR="00684E19" w:rsidRPr="007F7EBF">
        <w:rPr>
          <w:sz w:val="22"/>
          <w:szCs w:val="22"/>
        </w:rPr>
        <w:t xml:space="preserve">. </w:t>
      </w:r>
    </w:p>
    <w:p w14:paraId="464972EA" w14:textId="77777777" w:rsidR="00A13957" w:rsidRPr="007F7EBF" w:rsidRDefault="002713AA" w:rsidP="00A13957">
      <w:pPr>
        <w:autoSpaceDE w:val="0"/>
        <w:autoSpaceDN w:val="0"/>
        <w:adjustRightInd w:val="0"/>
        <w:rPr>
          <w:sz w:val="22"/>
          <w:szCs w:val="22"/>
        </w:rPr>
      </w:pPr>
      <w:r w:rsidRPr="007F7EBF">
        <w:rPr>
          <w:sz w:val="22"/>
          <w:szCs w:val="22"/>
        </w:rPr>
        <w:t xml:space="preserve">Qualche volta </w:t>
      </w:r>
      <w:r w:rsidR="00D5182F" w:rsidRPr="007F7EBF">
        <w:rPr>
          <w:sz w:val="22"/>
          <w:szCs w:val="22"/>
        </w:rPr>
        <w:t xml:space="preserve">regimi </w:t>
      </w:r>
      <w:r w:rsidRPr="007F7EBF">
        <w:rPr>
          <w:sz w:val="22"/>
          <w:szCs w:val="22"/>
        </w:rPr>
        <w:t xml:space="preserve">in teoria </w:t>
      </w:r>
      <w:r w:rsidR="00D5182F" w:rsidRPr="007F7EBF">
        <w:rPr>
          <w:bCs/>
          <w:sz w:val="22"/>
          <w:szCs w:val="22"/>
        </w:rPr>
        <w:t>generali</w:t>
      </w:r>
      <w:r w:rsidR="00D5182F" w:rsidRPr="007F7EBF">
        <w:rPr>
          <w:sz w:val="22"/>
          <w:szCs w:val="22"/>
        </w:rPr>
        <w:t xml:space="preserve">, cioè applicabili anche all’interno del paese, </w:t>
      </w:r>
      <w:r w:rsidRPr="007F7EBF">
        <w:rPr>
          <w:sz w:val="22"/>
          <w:szCs w:val="22"/>
        </w:rPr>
        <w:t xml:space="preserve">si rivolgono di fatto a investitori esteri, in quanto le aziende residenti sono poche per ragioni geografiche e dimensionali, come per Lussemburgo, Malta o Cipro; per </w:t>
      </w:r>
      <w:r w:rsidR="000B108F" w:rsidRPr="007F7EBF">
        <w:rPr>
          <w:sz w:val="22"/>
          <w:szCs w:val="22"/>
        </w:rPr>
        <w:t>questi paesi</w:t>
      </w:r>
      <w:r w:rsidRPr="007F7EBF">
        <w:rPr>
          <w:sz w:val="22"/>
          <w:szCs w:val="22"/>
        </w:rPr>
        <w:t xml:space="preserve">, </w:t>
      </w:r>
      <w:r w:rsidR="00D5182F" w:rsidRPr="007F7EBF">
        <w:rPr>
          <w:sz w:val="22"/>
          <w:szCs w:val="22"/>
        </w:rPr>
        <w:t>la perdita di gettito di una mitigazione generale dell’imposta sulle società è ben poca cosa rispetto all’attrazione di investimenti esteri, anche se diversi dagli stabilimenti industriali.</w:t>
      </w:r>
    </w:p>
    <w:p w14:paraId="0ACA5B4B" w14:textId="6E4224A7" w:rsidR="00A13957" w:rsidRPr="007F7EBF" w:rsidRDefault="00B93AFA" w:rsidP="00A13957">
      <w:pPr>
        <w:pStyle w:val="tit23"/>
        <w:ind w:left="6464" w:right="-1361" w:firstLine="0"/>
        <w:jc w:val="left"/>
        <w:rPr>
          <w:bCs/>
          <w:i/>
          <w:iCs/>
          <w:color w:val="0000FF"/>
          <w:lang w:val="it-IT"/>
        </w:rPr>
      </w:pPr>
      <w:r>
        <w:rPr>
          <w:bCs/>
          <w:i/>
          <w:iCs/>
          <w:color w:val="0000FF"/>
          <w:lang w:val="it-IT"/>
        </w:rPr>
        <w:t>Le alterazioni della determinazione dell’imposta</w:t>
      </w:r>
    </w:p>
    <w:p w14:paraId="101D0F63" w14:textId="181CF31B" w:rsidR="0086075D" w:rsidRPr="007F7EBF" w:rsidRDefault="00A13957" w:rsidP="0086075D">
      <w:pPr>
        <w:autoSpaceDE w:val="0"/>
        <w:autoSpaceDN w:val="0"/>
        <w:adjustRightInd w:val="0"/>
        <w:rPr>
          <w:sz w:val="22"/>
          <w:szCs w:val="22"/>
        </w:rPr>
      </w:pPr>
      <w:r w:rsidRPr="007F7EBF">
        <w:rPr>
          <w:sz w:val="22"/>
          <w:szCs w:val="22"/>
        </w:rPr>
        <w:t xml:space="preserve">L’obiettivo di </w:t>
      </w:r>
      <w:r w:rsidRPr="007F7EBF">
        <w:rPr>
          <w:bCs/>
          <w:sz w:val="22"/>
          <w:szCs w:val="22"/>
        </w:rPr>
        <w:t xml:space="preserve">attrarre </w:t>
      </w:r>
      <w:r w:rsidRPr="007F7EBF">
        <w:rPr>
          <w:sz w:val="22"/>
          <w:szCs w:val="22"/>
        </w:rPr>
        <w:t xml:space="preserve">i </w:t>
      </w:r>
      <w:r w:rsidRPr="007F7EBF">
        <w:rPr>
          <w:bCs/>
          <w:sz w:val="22"/>
          <w:szCs w:val="22"/>
        </w:rPr>
        <w:t xml:space="preserve">contribuenti </w:t>
      </w:r>
      <w:r w:rsidRPr="007F7EBF">
        <w:rPr>
          <w:sz w:val="22"/>
          <w:szCs w:val="22"/>
        </w:rPr>
        <w:t>“</w:t>
      </w:r>
      <w:r w:rsidRPr="007F7EBF">
        <w:rPr>
          <w:bCs/>
          <w:sz w:val="22"/>
          <w:szCs w:val="22"/>
        </w:rPr>
        <w:t>mobili</w:t>
      </w:r>
      <w:r w:rsidRPr="007F7EBF">
        <w:rPr>
          <w:sz w:val="22"/>
          <w:szCs w:val="22"/>
        </w:rPr>
        <w:t>”, senza perdere gettito da quelli “</w:t>
      </w:r>
      <w:r w:rsidRPr="007F7EBF">
        <w:rPr>
          <w:bCs/>
          <w:sz w:val="22"/>
          <w:szCs w:val="22"/>
        </w:rPr>
        <w:t>stanziali</w:t>
      </w:r>
      <w:r w:rsidRPr="007F7EBF">
        <w:rPr>
          <w:sz w:val="22"/>
          <w:szCs w:val="22"/>
        </w:rPr>
        <w:t>”, può anche essere perseguito in modo sleale</w:t>
      </w:r>
      <w:r w:rsidR="000C4E48" w:rsidRPr="007F7EBF">
        <w:rPr>
          <w:sz w:val="22"/>
          <w:szCs w:val="22"/>
        </w:rPr>
        <w:t xml:space="preserve">, o meglio un po’ ipocrita; </w:t>
      </w:r>
      <w:r w:rsidR="005548A3">
        <w:rPr>
          <w:sz w:val="22"/>
          <w:szCs w:val="22"/>
        </w:rPr>
        <w:t xml:space="preserve">tenendo ferme </w:t>
      </w:r>
      <w:r w:rsidR="000C4E48" w:rsidRPr="007F7EBF">
        <w:rPr>
          <w:sz w:val="22"/>
          <w:szCs w:val="22"/>
        </w:rPr>
        <w:t>le aliquote</w:t>
      </w:r>
      <w:r w:rsidR="005548A3">
        <w:rPr>
          <w:sz w:val="22"/>
          <w:szCs w:val="22"/>
        </w:rPr>
        <w:t xml:space="preserve"> </w:t>
      </w:r>
      <w:r w:rsidR="000C4E48" w:rsidRPr="007F7EBF">
        <w:rPr>
          <w:rStyle w:val="Rimandonotaapidipagina"/>
          <w:sz w:val="22"/>
          <w:szCs w:val="22"/>
        </w:rPr>
        <w:footnoteReference w:id="1235"/>
      </w:r>
      <w:r w:rsidR="005548A3">
        <w:rPr>
          <w:sz w:val="22"/>
          <w:szCs w:val="22"/>
        </w:rPr>
        <w:t xml:space="preserve"> si agisce come indicato al par.1.9 sulla determinazione dei presupposti economici delle imposte, strumentalizzando esigenze concettuali, come </w:t>
      </w:r>
      <w:r w:rsidR="003E5819" w:rsidRPr="007F7EBF">
        <w:rPr>
          <w:sz w:val="22"/>
          <w:szCs w:val="22"/>
        </w:rPr>
        <w:t xml:space="preserve">evitare la doppia </w:t>
      </w:r>
      <w:r w:rsidR="000C4E48" w:rsidRPr="007F7EBF">
        <w:rPr>
          <w:sz w:val="22"/>
          <w:szCs w:val="22"/>
        </w:rPr>
        <w:t xml:space="preserve"> </w:t>
      </w:r>
      <w:r w:rsidR="003E5819" w:rsidRPr="007F7EBF">
        <w:rPr>
          <w:sz w:val="22"/>
          <w:szCs w:val="22"/>
        </w:rPr>
        <w:t>imposizione internazionale</w:t>
      </w:r>
      <w:r w:rsidR="005548A3">
        <w:rPr>
          <w:sz w:val="22"/>
          <w:szCs w:val="22"/>
        </w:rPr>
        <w:t>. Esenzioni giustificate con questo obiettivo possono ipocritamente creare</w:t>
      </w:r>
      <w:r w:rsidR="003E5819" w:rsidRPr="007F7EBF">
        <w:rPr>
          <w:sz w:val="22"/>
          <w:szCs w:val="22"/>
        </w:rPr>
        <w:t xml:space="preserve"> un</w:t>
      </w:r>
      <w:r w:rsidR="005548A3">
        <w:rPr>
          <w:sz w:val="22"/>
          <w:szCs w:val="22"/>
        </w:rPr>
        <w:t>’</w:t>
      </w:r>
      <w:r w:rsidR="003E5819" w:rsidRPr="007F7EBF">
        <w:rPr>
          <w:sz w:val="22"/>
          <w:szCs w:val="22"/>
        </w:rPr>
        <w:t>assenza di imposizione</w:t>
      </w:r>
      <w:r w:rsidR="005548A3">
        <w:rPr>
          <w:sz w:val="22"/>
          <w:szCs w:val="22"/>
        </w:rPr>
        <w:t xml:space="preserve"> (</w:t>
      </w:r>
      <w:proofErr w:type="spellStart"/>
      <w:r w:rsidR="005548A3">
        <w:rPr>
          <w:sz w:val="22"/>
          <w:szCs w:val="22"/>
        </w:rPr>
        <w:t>c.d</w:t>
      </w:r>
      <w:proofErr w:type="spellEnd"/>
      <w:r w:rsidR="005548A3">
        <w:rPr>
          <w:sz w:val="22"/>
          <w:szCs w:val="22"/>
        </w:rPr>
        <w:t xml:space="preserve"> </w:t>
      </w:r>
      <w:r w:rsidR="005548A3">
        <w:rPr>
          <w:i/>
          <w:iCs/>
          <w:sz w:val="22"/>
          <w:szCs w:val="22"/>
        </w:rPr>
        <w:t xml:space="preserve">doppia esenzione </w:t>
      </w:r>
      <w:r w:rsidR="005548A3">
        <w:rPr>
          <w:sz w:val="22"/>
          <w:szCs w:val="22"/>
        </w:rPr>
        <w:t>)</w:t>
      </w:r>
      <w:r w:rsidR="003E5819" w:rsidRPr="007F7EBF">
        <w:rPr>
          <w:sz w:val="22"/>
          <w:szCs w:val="22"/>
        </w:rPr>
        <w:t xml:space="preserve">, o una imposizione molto limitata. </w:t>
      </w:r>
      <w:r w:rsidR="00E57E64" w:rsidRPr="007F7EBF">
        <w:rPr>
          <w:sz w:val="22"/>
          <w:szCs w:val="22"/>
        </w:rPr>
        <w:t xml:space="preserve">E' un esempio </w:t>
      </w:r>
      <w:r w:rsidR="003E5819" w:rsidRPr="007F7EBF">
        <w:rPr>
          <w:sz w:val="22"/>
          <w:szCs w:val="22"/>
        </w:rPr>
        <w:lastRenderedPageBreak/>
        <w:t>emblematico</w:t>
      </w:r>
      <w:r w:rsidR="00E57E64" w:rsidRPr="007F7EBF">
        <w:rPr>
          <w:sz w:val="22"/>
          <w:szCs w:val="22"/>
        </w:rPr>
        <w:t xml:space="preserve"> dell'intreccio</w:t>
      </w:r>
      <w:r w:rsidR="003E5819" w:rsidRPr="007F7EBF">
        <w:rPr>
          <w:sz w:val="22"/>
          <w:szCs w:val="22"/>
        </w:rPr>
        <w:t xml:space="preserve"> tra determinazione dell'imponibile e gettito, teorizzato in generale al </w:t>
      </w:r>
      <w:r w:rsidRPr="007F7EBF">
        <w:rPr>
          <w:sz w:val="22"/>
          <w:szCs w:val="22"/>
        </w:rPr>
        <w:t>par.1.9</w:t>
      </w:r>
      <w:r w:rsidR="00153086" w:rsidRPr="007F7EBF">
        <w:rPr>
          <w:rStyle w:val="Rimandonotaapidipagina"/>
          <w:sz w:val="22"/>
          <w:szCs w:val="22"/>
        </w:rPr>
        <w:footnoteReference w:id="1236"/>
      </w:r>
      <w:r w:rsidRPr="007F7EBF">
        <w:rPr>
          <w:sz w:val="22"/>
          <w:szCs w:val="22"/>
        </w:rPr>
        <w:t xml:space="preserve">. </w:t>
      </w:r>
    </w:p>
    <w:p w14:paraId="45E3F2DA" w14:textId="69413B15" w:rsidR="0086075D" w:rsidRPr="007F7EBF" w:rsidRDefault="0086075D" w:rsidP="0086075D">
      <w:pPr>
        <w:pStyle w:val="tit23"/>
        <w:ind w:left="6464" w:right="-1361" w:firstLine="0"/>
        <w:jc w:val="left"/>
        <w:rPr>
          <w:bCs/>
          <w:i/>
          <w:iCs/>
          <w:color w:val="0000FF"/>
          <w:lang w:val="it-IT"/>
        </w:rPr>
      </w:pPr>
      <w:r w:rsidRPr="007F7EBF">
        <w:rPr>
          <w:bCs/>
          <w:i/>
          <w:iCs/>
          <w:color w:val="0000FF"/>
          <w:lang w:val="it-IT"/>
        </w:rPr>
        <w:t>L</w:t>
      </w:r>
      <w:r w:rsidR="00B93AFA">
        <w:rPr>
          <w:bCs/>
          <w:i/>
          <w:iCs/>
          <w:color w:val="0000FF"/>
          <w:lang w:val="it-IT"/>
        </w:rPr>
        <w:t>’</w:t>
      </w:r>
      <w:r w:rsidRPr="007F7EBF">
        <w:rPr>
          <w:bCs/>
          <w:i/>
          <w:iCs/>
          <w:color w:val="0000FF"/>
          <w:lang w:val="it-IT"/>
        </w:rPr>
        <w:t xml:space="preserve">ipocrisia di alcuni accordi personalizzati sulla determinazione dell’imponibile </w:t>
      </w:r>
    </w:p>
    <w:p w14:paraId="54E85D46" w14:textId="04FDACB5" w:rsidR="00FB05AC" w:rsidRPr="007F7EBF" w:rsidRDefault="00A13957" w:rsidP="0086075D">
      <w:pPr>
        <w:autoSpaceDE w:val="0"/>
        <w:autoSpaceDN w:val="0"/>
        <w:adjustRightInd w:val="0"/>
        <w:rPr>
          <w:bCs/>
          <w:i/>
          <w:iCs/>
          <w:color w:val="0000FF"/>
          <w:sz w:val="22"/>
          <w:szCs w:val="22"/>
        </w:rPr>
      </w:pPr>
      <w:r w:rsidRPr="007F7EBF">
        <w:rPr>
          <w:sz w:val="22"/>
          <w:szCs w:val="22"/>
        </w:rPr>
        <w:t>Lo strumento tecnico</w:t>
      </w:r>
      <w:r w:rsidR="00E57E64" w:rsidRPr="007F7EBF">
        <w:rPr>
          <w:sz w:val="22"/>
          <w:szCs w:val="22"/>
        </w:rPr>
        <w:t xml:space="preserve"> di molti paesi non è la modifica legislativa </w:t>
      </w:r>
      <w:r w:rsidR="00E57E64" w:rsidRPr="007F7EBF">
        <w:rPr>
          <w:rStyle w:val="Rimandonotaapidipagina"/>
          <w:sz w:val="22"/>
          <w:szCs w:val="22"/>
        </w:rPr>
        <w:footnoteReference w:id="1237"/>
      </w:r>
      <w:r w:rsidRPr="007F7EBF">
        <w:rPr>
          <w:sz w:val="22"/>
          <w:szCs w:val="22"/>
        </w:rPr>
        <w:t>, ma l'accordo personalizzato su elementi sfuggenti , marcatamente valutativi</w:t>
      </w:r>
      <w:r w:rsidR="00E57E64" w:rsidRPr="007F7EBF">
        <w:rPr>
          <w:sz w:val="22"/>
          <w:szCs w:val="22"/>
        </w:rPr>
        <w:t xml:space="preserve">; </w:t>
      </w:r>
      <w:r w:rsidRPr="007F7EBF">
        <w:rPr>
          <w:sz w:val="22"/>
          <w:szCs w:val="22"/>
        </w:rPr>
        <w:t>era quanto avveniva coi c.d. “ruling” olandesi</w:t>
      </w:r>
      <w:r w:rsidR="0086075D" w:rsidRPr="007F7EBF">
        <w:rPr>
          <w:sz w:val="22"/>
          <w:szCs w:val="22"/>
        </w:rPr>
        <w:t xml:space="preserve"> </w:t>
      </w:r>
      <w:r w:rsidRPr="007F7EBF">
        <w:rPr>
          <w:sz w:val="22"/>
          <w:szCs w:val="22"/>
        </w:rPr>
        <w:t>o lussemburghesi (</w:t>
      </w:r>
      <w:r w:rsidR="00E57E64" w:rsidRPr="007F7EBF">
        <w:rPr>
          <w:rStyle w:val="Rimandonotaapidipagina"/>
          <w:sz w:val="22"/>
          <w:szCs w:val="22"/>
        </w:rPr>
        <w:footnoteReference w:id="1238"/>
      </w:r>
      <w:r w:rsidR="003C755C" w:rsidRPr="007F7EBF">
        <w:rPr>
          <w:sz w:val="22"/>
          <w:szCs w:val="22"/>
        </w:rPr>
        <w:t>)</w:t>
      </w:r>
      <w:r w:rsidR="00E57E64" w:rsidRPr="007F7EBF">
        <w:rPr>
          <w:sz w:val="22"/>
          <w:szCs w:val="22"/>
        </w:rPr>
        <w:t xml:space="preserve"> secondo cui un certo reddito estero veniva determinato forfettariamente o esentato</w:t>
      </w:r>
      <w:r w:rsidR="00152BCD" w:rsidRPr="007F7EBF">
        <w:rPr>
          <w:sz w:val="22"/>
          <w:szCs w:val="22"/>
        </w:rPr>
        <w:t>, sul presupposto meramente ipotetico, di una sua tassazione da parte di un altro paese</w:t>
      </w:r>
      <w:r w:rsidR="003C755C" w:rsidRPr="007F7EBF">
        <w:rPr>
          <w:sz w:val="22"/>
          <w:szCs w:val="22"/>
        </w:rPr>
        <w:t xml:space="preserve">; spesso è lo stesso fisco del paese </w:t>
      </w:r>
      <w:r w:rsidR="00152BCD" w:rsidRPr="007F7EBF">
        <w:rPr>
          <w:sz w:val="22"/>
          <w:szCs w:val="22"/>
        </w:rPr>
        <w:t>danneggiato</w:t>
      </w:r>
      <w:r w:rsidR="003C755C" w:rsidRPr="007F7EBF">
        <w:rPr>
          <w:sz w:val="22"/>
          <w:szCs w:val="22"/>
        </w:rPr>
        <w:t xml:space="preserve"> (</w:t>
      </w:r>
      <w:r w:rsidR="003C755C" w:rsidRPr="007F7EBF">
        <w:rPr>
          <w:rStyle w:val="Rimandonotaapidipagina"/>
          <w:sz w:val="22"/>
          <w:szCs w:val="22"/>
        </w:rPr>
        <w:footnoteReference w:id="1239"/>
      </w:r>
      <w:r w:rsidR="003C755C" w:rsidRPr="007F7EBF">
        <w:rPr>
          <w:sz w:val="22"/>
          <w:szCs w:val="22"/>
        </w:rPr>
        <w:t xml:space="preserve">) a tollerare questo </w:t>
      </w:r>
      <w:r w:rsidR="00152BCD" w:rsidRPr="007F7EBF">
        <w:rPr>
          <w:sz w:val="22"/>
          <w:szCs w:val="22"/>
        </w:rPr>
        <w:t>gioco delle parti</w:t>
      </w:r>
      <w:r w:rsidR="00152BCD" w:rsidRPr="007F7EBF">
        <w:rPr>
          <w:rStyle w:val="Rimandonotaapidipagina"/>
          <w:sz w:val="22"/>
          <w:szCs w:val="22"/>
        </w:rPr>
        <w:footnoteReference w:id="1240"/>
      </w:r>
      <w:r w:rsidR="00152BCD" w:rsidRPr="007F7EBF">
        <w:rPr>
          <w:sz w:val="22"/>
          <w:szCs w:val="22"/>
        </w:rPr>
        <w:t>,</w:t>
      </w:r>
      <w:r w:rsidR="003C755C" w:rsidRPr="007F7EBF">
        <w:rPr>
          <w:sz w:val="22"/>
          <w:szCs w:val="22"/>
        </w:rPr>
        <w:t xml:space="preserve"> per aziende ritenute meritevoli di una agevolazione, permanente o temporanea</w:t>
      </w:r>
      <w:r w:rsidR="003C755C" w:rsidRPr="007F7EBF">
        <w:rPr>
          <w:rStyle w:val="Rimandonotaapidipagina"/>
          <w:sz w:val="22"/>
          <w:szCs w:val="22"/>
        </w:rPr>
        <w:footnoteReference w:id="1241"/>
      </w:r>
      <w:r w:rsidR="00152BCD" w:rsidRPr="007F7EBF">
        <w:rPr>
          <w:sz w:val="22"/>
          <w:szCs w:val="22"/>
        </w:rPr>
        <w:t xml:space="preserve">. </w:t>
      </w:r>
      <w:r w:rsidR="00684E19" w:rsidRPr="007F7EBF">
        <w:rPr>
          <w:sz w:val="22"/>
          <w:szCs w:val="22"/>
        </w:rPr>
        <w:t xml:space="preserve">E' </w:t>
      </w:r>
      <w:r w:rsidR="00684E19">
        <w:rPr>
          <w:sz w:val="22"/>
          <w:szCs w:val="22"/>
        </w:rPr>
        <w:t xml:space="preserve">invece </w:t>
      </w:r>
      <w:r w:rsidR="00684E19" w:rsidRPr="007F7EBF">
        <w:rPr>
          <w:bCs/>
          <w:sz w:val="22"/>
          <w:szCs w:val="22"/>
        </w:rPr>
        <w:t xml:space="preserve">vietato </w:t>
      </w:r>
      <w:r w:rsidR="00684E19" w:rsidRPr="007F7EBF">
        <w:rPr>
          <w:sz w:val="22"/>
          <w:szCs w:val="22"/>
        </w:rPr>
        <w:t xml:space="preserve">agli stati membri, in un opposto dovere di lealtà fiscale, </w:t>
      </w:r>
      <w:r w:rsidR="00684E19" w:rsidRPr="007F7EBF">
        <w:rPr>
          <w:bCs/>
          <w:sz w:val="22"/>
          <w:szCs w:val="22"/>
        </w:rPr>
        <w:t xml:space="preserve">vanificare </w:t>
      </w:r>
      <w:r w:rsidR="00684E19" w:rsidRPr="007F7EBF">
        <w:rPr>
          <w:sz w:val="22"/>
          <w:szCs w:val="22"/>
        </w:rPr>
        <w:t xml:space="preserve">le </w:t>
      </w:r>
      <w:r w:rsidR="00684E19" w:rsidRPr="007F7EBF">
        <w:rPr>
          <w:bCs/>
          <w:sz w:val="22"/>
          <w:szCs w:val="22"/>
        </w:rPr>
        <w:t xml:space="preserve">aliquote </w:t>
      </w:r>
      <w:r w:rsidR="00684E19" w:rsidRPr="007F7EBF">
        <w:rPr>
          <w:sz w:val="22"/>
          <w:szCs w:val="22"/>
        </w:rPr>
        <w:t xml:space="preserve">generali </w:t>
      </w:r>
      <w:r w:rsidR="00684E19" w:rsidRPr="007F7EBF">
        <w:rPr>
          <w:bCs/>
          <w:sz w:val="22"/>
          <w:szCs w:val="22"/>
        </w:rPr>
        <w:t>miti</w:t>
      </w:r>
      <w:r w:rsidR="00684E19" w:rsidRPr="007F7EBF">
        <w:rPr>
          <w:sz w:val="22"/>
          <w:szCs w:val="22"/>
        </w:rPr>
        <w:t>, presenti in un paese, imponendo la tassazione degli stessi redditi nel paese della capogruppo (</w:t>
      </w:r>
      <w:r w:rsidR="00684E19" w:rsidRPr="007F7EBF">
        <w:rPr>
          <w:rStyle w:val="Rimandonotaapidipagina"/>
          <w:sz w:val="22"/>
          <w:szCs w:val="22"/>
        </w:rPr>
        <w:footnoteReference w:id="1242"/>
      </w:r>
      <w:r w:rsidR="00684E19" w:rsidRPr="007F7EBF">
        <w:rPr>
          <w:sz w:val="22"/>
          <w:szCs w:val="22"/>
        </w:rPr>
        <w:t xml:space="preserve">). </w:t>
      </w:r>
    </w:p>
    <w:p w14:paraId="714F3C97" w14:textId="77777777" w:rsidR="00A41DBE" w:rsidRPr="007F7EBF" w:rsidRDefault="00A41DBE" w:rsidP="00A41DBE">
      <w:pPr>
        <w:pStyle w:val="tit23"/>
        <w:ind w:left="6464" w:right="-1361" w:firstLine="0"/>
        <w:jc w:val="left"/>
        <w:rPr>
          <w:bCs/>
          <w:i/>
          <w:iCs/>
          <w:color w:val="0000FF"/>
          <w:lang w:val="it-IT"/>
        </w:rPr>
      </w:pPr>
      <w:r w:rsidRPr="007F7EBF">
        <w:rPr>
          <w:bCs/>
          <w:i/>
          <w:iCs/>
          <w:color w:val="0000FF"/>
          <w:lang w:val="it-IT"/>
        </w:rPr>
        <w:lastRenderedPageBreak/>
        <w:t>Società controllate non residenti</w:t>
      </w:r>
    </w:p>
    <w:p w14:paraId="07D457DB" w14:textId="6D1255F2" w:rsidR="00FB05AC" w:rsidRDefault="00877F38" w:rsidP="003D59F5">
      <w:pPr>
        <w:autoSpaceDE w:val="0"/>
        <w:autoSpaceDN w:val="0"/>
        <w:adjustRightInd w:val="0"/>
        <w:rPr>
          <w:sz w:val="22"/>
          <w:szCs w:val="22"/>
        </w:rPr>
      </w:pPr>
      <w:r>
        <w:rPr>
          <w:sz w:val="22"/>
          <w:szCs w:val="22"/>
        </w:rPr>
        <w:t>Molti stati reagiscono a</w:t>
      </w:r>
      <w:r w:rsidR="00684E19">
        <w:rPr>
          <w:sz w:val="22"/>
          <w:szCs w:val="22"/>
        </w:rPr>
        <w:t>ll’attribuzione di redditi a società</w:t>
      </w:r>
      <w:r>
        <w:rPr>
          <w:sz w:val="22"/>
          <w:szCs w:val="22"/>
        </w:rPr>
        <w:t xml:space="preserve"> (di persone o di capitali)</w:t>
      </w:r>
      <w:r w:rsidR="00684E19">
        <w:rPr>
          <w:sz w:val="22"/>
          <w:szCs w:val="22"/>
        </w:rPr>
        <w:t xml:space="preserve"> ubicate in paesi con basso prelievo fiscale </w:t>
      </w:r>
      <w:r>
        <w:rPr>
          <w:sz w:val="22"/>
          <w:szCs w:val="22"/>
        </w:rPr>
        <w:t>con</w:t>
      </w:r>
      <w:r w:rsidR="00684E19">
        <w:rPr>
          <w:sz w:val="22"/>
          <w:szCs w:val="22"/>
        </w:rPr>
        <w:t xml:space="preserve"> </w:t>
      </w:r>
      <w:r w:rsidR="006342C5" w:rsidRPr="007F7EBF">
        <w:rPr>
          <w:bCs/>
          <w:sz w:val="22"/>
          <w:szCs w:val="22"/>
        </w:rPr>
        <w:t>l’imputazione “per trasparenza”</w:t>
      </w:r>
      <w:r w:rsidR="00FB05AC" w:rsidRPr="007F7EBF">
        <w:rPr>
          <w:bCs/>
          <w:sz w:val="22"/>
          <w:szCs w:val="22"/>
        </w:rPr>
        <w:t xml:space="preserve"> </w:t>
      </w:r>
      <w:r w:rsidR="006342C5" w:rsidRPr="007F7EBF">
        <w:rPr>
          <w:sz w:val="22"/>
          <w:szCs w:val="22"/>
        </w:rPr>
        <w:t>al socio dei redditi di società</w:t>
      </w:r>
      <w:r>
        <w:rPr>
          <w:sz w:val="22"/>
          <w:szCs w:val="22"/>
        </w:rPr>
        <w:t xml:space="preserve"> </w:t>
      </w:r>
      <w:r w:rsidR="006342C5" w:rsidRPr="007F7EBF">
        <w:rPr>
          <w:sz w:val="22"/>
          <w:szCs w:val="22"/>
        </w:rPr>
        <w:t>da lui controllate</w:t>
      </w:r>
      <w:r>
        <w:rPr>
          <w:sz w:val="22"/>
          <w:szCs w:val="22"/>
        </w:rPr>
        <w:t>; ciò avviene superando</w:t>
      </w:r>
      <w:r w:rsidR="006342C5" w:rsidRPr="007F7EBF">
        <w:rPr>
          <w:sz w:val="22"/>
          <w:szCs w:val="22"/>
        </w:rPr>
        <w:t xml:space="preserve"> lo schermo societario</w:t>
      </w:r>
      <w:r>
        <w:rPr>
          <w:sz w:val="22"/>
          <w:szCs w:val="22"/>
        </w:rPr>
        <w:t xml:space="preserve">, che ordinariamente attende, per l’imputazione ai soci, la distribuzione dei dividendi; da noi il regime </w:t>
      </w:r>
      <w:proofErr w:type="spellStart"/>
      <w:r>
        <w:rPr>
          <w:sz w:val="22"/>
          <w:szCs w:val="22"/>
        </w:rPr>
        <w:t>cfc</w:t>
      </w:r>
      <w:proofErr w:type="spellEnd"/>
      <w:r>
        <w:rPr>
          <w:sz w:val="22"/>
          <w:szCs w:val="22"/>
        </w:rPr>
        <w:t xml:space="preserve"> (acronimo per “</w:t>
      </w:r>
      <w:proofErr w:type="spellStart"/>
      <w:r>
        <w:rPr>
          <w:sz w:val="22"/>
          <w:szCs w:val="22"/>
        </w:rPr>
        <w:t>controlled</w:t>
      </w:r>
      <w:proofErr w:type="spellEnd"/>
      <w:r>
        <w:rPr>
          <w:sz w:val="22"/>
          <w:szCs w:val="22"/>
        </w:rPr>
        <w:t xml:space="preserve"> </w:t>
      </w:r>
      <w:proofErr w:type="spellStart"/>
      <w:r>
        <w:rPr>
          <w:sz w:val="22"/>
          <w:szCs w:val="22"/>
        </w:rPr>
        <w:t>foreign</w:t>
      </w:r>
      <w:proofErr w:type="spellEnd"/>
      <w:r>
        <w:rPr>
          <w:sz w:val="22"/>
          <w:szCs w:val="22"/>
        </w:rPr>
        <w:t xml:space="preserve"> companies”) è previsto dagli </w:t>
      </w:r>
      <w:r w:rsidR="006342C5" w:rsidRPr="007F7EBF">
        <w:rPr>
          <w:sz w:val="22"/>
          <w:szCs w:val="22"/>
        </w:rPr>
        <w:t>articoli 167 e</w:t>
      </w:r>
      <w:r w:rsidR="00FB05AC" w:rsidRPr="007F7EBF">
        <w:rPr>
          <w:sz w:val="22"/>
          <w:szCs w:val="22"/>
        </w:rPr>
        <w:t xml:space="preserve"> </w:t>
      </w:r>
      <w:r w:rsidR="006342C5" w:rsidRPr="007F7EBF">
        <w:rPr>
          <w:sz w:val="22"/>
          <w:szCs w:val="22"/>
        </w:rPr>
        <w:t>168 del TUIR</w:t>
      </w:r>
      <w:r>
        <w:rPr>
          <w:sz w:val="22"/>
          <w:szCs w:val="22"/>
        </w:rPr>
        <w:t xml:space="preserve"> e riguarda le società controllate in paesi a fiscalità privilegiata; il regime non scatta per i redditi da attività commerciale effettiva, ad esempio manifatturiera, ma per redditi “passivi”, </w:t>
      </w:r>
      <w:r w:rsidR="006342C5" w:rsidRPr="007F7EBF">
        <w:rPr>
          <w:sz w:val="22"/>
          <w:szCs w:val="22"/>
        </w:rPr>
        <w:t xml:space="preserve">facilmente </w:t>
      </w:r>
      <w:r w:rsidR="006342C5" w:rsidRPr="007F7EBF">
        <w:rPr>
          <w:bCs/>
          <w:sz w:val="22"/>
          <w:szCs w:val="22"/>
        </w:rPr>
        <w:t>delocalizzabili</w:t>
      </w:r>
      <w:r w:rsidR="003D59F5" w:rsidRPr="007F7EBF">
        <w:rPr>
          <w:sz w:val="22"/>
          <w:szCs w:val="22"/>
        </w:rPr>
        <w:t xml:space="preserve">, </w:t>
      </w:r>
      <w:r w:rsidR="006342C5" w:rsidRPr="007F7EBF">
        <w:rPr>
          <w:sz w:val="22"/>
          <w:szCs w:val="22"/>
        </w:rPr>
        <w:t>ad esempio interessi, dividendi, canoni di licenza commerciale, ed altri</w:t>
      </w:r>
      <w:r>
        <w:rPr>
          <w:sz w:val="22"/>
          <w:szCs w:val="22"/>
        </w:rPr>
        <w:t>: tali redditi sono immediatamente imputati</w:t>
      </w:r>
      <w:r w:rsidR="003D59F5" w:rsidRPr="007F7EBF">
        <w:rPr>
          <w:sz w:val="22"/>
          <w:szCs w:val="22"/>
        </w:rPr>
        <w:t xml:space="preserve"> alla capo gruppo</w:t>
      </w:r>
      <w:r>
        <w:rPr>
          <w:sz w:val="22"/>
          <w:szCs w:val="22"/>
        </w:rPr>
        <w:t>, detraendo dall’imposta quella eventualmente prelevata dallo stato estero</w:t>
      </w:r>
      <w:r w:rsidR="003D59F5" w:rsidRPr="007F7EBF">
        <w:rPr>
          <w:sz w:val="22"/>
          <w:szCs w:val="22"/>
        </w:rPr>
        <w:t xml:space="preserve">. </w:t>
      </w:r>
    </w:p>
    <w:p w14:paraId="322218D1" w14:textId="77777777" w:rsidR="00842D22" w:rsidRPr="007F7EBF" w:rsidRDefault="00842D22" w:rsidP="003D59F5">
      <w:pPr>
        <w:autoSpaceDE w:val="0"/>
        <w:autoSpaceDN w:val="0"/>
        <w:adjustRightInd w:val="0"/>
        <w:rPr>
          <w:bCs/>
          <w:i/>
          <w:iCs/>
          <w:color w:val="0000FF"/>
          <w:sz w:val="22"/>
          <w:szCs w:val="22"/>
        </w:rPr>
      </w:pPr>
    </w:p>
    <w:p w14:paraId="783B2EB8" w14:textId="77777777" w:rsidR="00E41B02" w:rsidRPr="007F7EBF" w:rsidRDefault="006342C5" w:rsidP="003D59F5">
      <w:pPr>
        <w:pStyle w:val="Titolo3"/>
        <w:rPr>
          <w:rFonts w:ascii="Times New Roman" w:hAnsi="Times New Roman"/>
          <w:sz w:val="22"/>
          <w:szCs w:val="22"/>
        </w:rPr>
      </w:pPr>
      <w:bookmarkStart w:id="119" w:name="_Toc63365029"/>
      <w:r w:rsidRPr="007F7EBF">
        <w:rPr>
          <w:rFonts w:ascii="Times New Roman" w:hAnsi="Times New Roman"/>
          <w:sz w:val="22"/>
          <w:szCs w:val="22"/>
        </w:rPr>
        <w:t>7.20. Realizzo e neutralità nelle operazioni straordinarie d’impresa</w:t>
      </w:r>
      <w:r w:rsidR="003D59F5" w:rsidRPr="007F7EBF">
        <w:rPr>
          <w:rFonts w:ascii="Times New Roman" w:hAnsi="Times New Roman"/>
          <w:sz w:val="22"/>
          <w:szCs w:val="22"/>
          <w:lang w:val="it-IT"/>
        </w:rPr>
        <w:t>.</w:t>
      </w:r>
      <w:bookmarkEnd w:id="119"/>
    </w:p>
    <w:p w14:paraId="117C3199" w14:textId="77777777" w:rsidR="00E41B02" w:rsidRPr="007F7EBF" w:rsidRDefault="00E41B02" w:rsidP="00E41B02">
      <w:pPr>
        <w:pStyle w:val="tit23"/>
        <w:ind w:left="6464" w:right="-1361" w:firstLine="0"/>
        <w:jc w:val="left"/>
        <w:rPr>
          <w:bCs/>
          <w:i/>
          <w:iCs/>
          <w:color w:val="0000FF"/>
          <w:lang w:val="it-IT"/>
        </w:rPr>
      </w:pPr>
      <w:r w:rsidRPr="007F7EBF">
        <w:rPr>
          <w:bCs/>
          <w:i/>
          <w:iCs/>
          <w:color w:val="0000FF"/>
          <w:lang w:val="it-IT"/>
        </w:rPr>
        <w:t>Operazioni straordinarie tra realizzo e consumo</w:t>
      </w:r>
    </w:p>
    <w:p w14:paraId="21495C45" w14:textId="77777777" w:rsidR="00145297" w:rsidRDefault="00E7130D" w:rsidP="00E41B02">
      <w:pPr>
        <w:autoSpaceDE w:val="0"/>
        <w:autoSpaceDN w:val="0"/>
        <w:adjustRightInd w:val="0"/>
        <w:rPr>
          <w:sz w:val="22"/>
          <w:szCs w:val="22"/>
        </w:rPr>
      </w:pPr>
      <w:r w:rsidRPr="007F7EBF">
        <w:rPr>
          <w:sz w:val="22"/>
          <w:szCs w:val="22"/>
        </w:rPr>
        <w:t xml:space="preserve">Le </w:t>
      </w:r>
      <w:r w:rsidR="006342C5" w:rsidRPr="007F7EBF">
        <w:rPr>
          <w:sz w:val="22"/>
          <w:szCs w:val="22"/>
        </w:rPr>
        <w:t>cessioni e i conferimenti d’azienda, di partecipazioni di controllo, le fusioni,</w:t>
      </w:r>
      <w:r w:rsidR="00D53703" w:rsidRPr="007F7EBF">
        <w:rPr>
          <w:sz w:val="22"/>
          <w:szCs w:val="22"/>
        </w:rPr>
        <w:t xml:space="preserve"> </w:t>
      </w:r>
      <w:r w:rsidR="006342C5" w:rsidRPr="007F7EBF">
        <w:rPr>
          <w:sz w:val="22"/>
          <w:szCs w:val="22"/>
        </w:rPr>
        <w:t>le scissioni</w:t>
      </w:r>
      <w:r w:rsidRPr="007F7EBF">
        <w:rPr>
          <w:sz w:val="22"/>
          <w:szCs w:val="22"/>
        </w:rPr>
        <w:t xml:space="preserve"> etc.</w:t>
      </w:r>
      <w:r w:rsidR="006342C5" w:rsidRPr="007F7EBF">
        <w:rPr>
          <w:sz w:val="22"/>
          <w:szCs w:val="22"/>
        </w:rPr>
        <w:t xml:space="preserve">, </w:t>
      </w:r>
      <w:r w:rsidR="00145297">
        <w:rPr>
          <w:sz w:val="22"/>
          <w:szCs w:val="22"/>
        </w:rPr>
        <w:t xml:space="preserve">sono accomunate dalla </w:t>
      </w:r>
      <w:r w:rsidR="00FB44C6">
        <w:rPr>
          <w:sz w:val="22"/>
          <w:szCs w:val="22"/>
        </w:rPr>
        <w:t>“straordinari</w:t>
      </w:r>
      <w:r w:rsidR="00145297">
        <w:rPr>
          <w:sz w:val="22"/>
          <w:szCs w:val="22"/>
        </w:rPr>
        <w:t>età</w:t>
      </w:r>
      <w:r w:rsidR="00FB44C6">
        <w:rPr>
          <w:sz w:val="22"/>
          <w:szCs w:val="22"/>
        </w:rPr>
        <w:t>”, rispetto a</w:t>
      </w:r>
      <w:r w:rsidR="00145297">
        <w:rPr>
          <w:sz w:val="22"/>
          <w:szCs w:val="22"/>
        </w:rPr>
        <w:t xml:space="preserve">ll’ordinaria </w:t>
      </w:r>
      <w:r w:rsidR="00FB44C6">
        <w:rPr>
          <w:sz w:val="22"/>
          <w:szCs w:val="22"/>
        </w:rPr>
        <w:t>attività d’impresa</w:t>
      </w:r>
      <w:r w:rsidR="00145297">
        <w:rPr>
          <w:sz w:val="22"/>
          <w:szCs w:val="22"/>
        </w:rPr>
        <w:t xml:space="preserve"> di cui al par.7.6; esse pertanto non esprimono per definizione </w:t>
      </w:r>
      <w:r w:rsidR="00FB44C6" w:rsidRPr="007F7EBF">
        <w:rPr>
          <w:sz w:val="22"/>
          <w:szCs w:val="22"/>
        </w:rPr>
        <w:t>"un consumo"</w:t>
      </w:r>
      <w:r w:rsidR="00145297">
        <w:rPr>
          <w:sz w:val="22"/>
          <w:szCs w:val="22"/>
        </w:rPr>
        <w:t xml:space="preserve"> e sono quindi irrilevanti</w:t>
      </w:r>
      <w:r w:rsidR="00FB44C6">
        <w:rPr>
          <w:sz w:val="22"/>
          <w:szCs w:val="22"/>
        </w:rPr>
        <w:t xml:space="preserve"> a</w:t>
      </w:r>
      <w:r w:rsidR="00FB44C6" w:rsidRPr="007F7EBF">
        <w:rPr>
          <w:sz w:val="22"/>
          <w:szCs w:val="22"/>
        </w:rPr>
        <w:t>i fini dell'</w:t>
      </w:r>
      <w:r w:rsidR="00FB44C6">
        <w:rPr>
          <w:sz w:val="22"/>
          <w:szCs w:val="22"/>
        </w:rPr>
        <w:t>IVA</w:t>
      </w:r>
      <w:r w:rsidR="00145297">
        <w:rPr>
          <w:sz w:val="22"/>
          <w:szCs w:val="22"/>
        </w:rPr>
        <w:t xml:space="preserve">, anche quando sinallagmatiche, come la cessione di azienda </w:t>
      </w:r>
      <w:r w:rsidR="00FB44C6">
        <w:rPr>
          <w:sz w:val="22"/>
          <w:szCs w:val="22"/>
        </w:rPr>
        <w:t>(</w:t>
      </w:r>
      <w:r w:rsidR="00FB44C6" w:rsidRPr="007F7EBF">
        <w:rPr>
          <w:rStyle w:val="Rimandonotaapidipagina"/>
          <w:sz w:val="22"/>
          <w:szCs w:val="22"/>
        </w:rPr>
        <w:footnoteReference w:id="1243"/>
      </w:r>
      <w:r w:rsidR="00FB44C6">
        <w:rPr>
          <w:sz w:val="22"/>
          <w:szCs w:val="22"/>
        </w:rPr>
        <w:t>)</w:t>
      </w:r>
      <w:r w:rsidR="00FB44C6" w:rsidRPr="007F7EBF">
        <w:rPr>
          <w:sz w:val="22"/>
          <w:szCs w:val="22"/>
        </w:rPr>
        <w:t xml:space="preserve">. </w:t>
      </w:r>
    </w:p>
    <w:p w14:paraId="64876BA8" w14:textId="63ADBAAF" w:rsidR="00E41B02" w:rsidRPr="007F7EBF" w:rsidRDefault="00145297" w:rsidP="00E41B02">
      <w:pPr>
        <w:autoSpaceDE w:val="0"/>
        <w:autoSpaceDN w:val="0"/>
        <w:adjustRightInd w:val="0"/>
        <w:rPr>
          <w:sz w:val="22"/>
          <w:szCs w:val="22"/>
        </w:rPr>
      </w:pPr>
      <w:r>
        <w:rPr>
          <w:sz w:val="22"/>
          <w:szCs w:val="22"/>
        </w:rPr>
        <w:t xml:space="preserve">Escluso il consumo, queste operazioni possono avere effetti diversissimi sul piano della precisazione delle astrazioni economiche di cui al par.1.8. Hanno strutturalmente natura reddituale la già menzionata cessione di azienda e la cessione di partecipazioni di controllo </w:t>
      </w:r>
      <w:r w:rsidR="00FB44C6">
        <w:rPr>
          <w:sz w:val="22"/>
          <w:szCs w:val="22"/>
        </w:rPr>
        <w:t>di una società</w:t>
      </w:r>
      <w:r>
        <w:rPr>
          <w:sz w:val="22"/>
          <w:szCs w:val="22"/>
        </w:rPr>
        <w:t xml:space="preserve">; si tratta di </w:t>
      </w:r>
      <w:r w:rsidR="00FB44C6">
        <w:rPr>
          <w:sz w:val="22"/>
          <w:szCs w:val="22"/>
        </w:rPr>
        <w:t>operazioni c.d. “realizzative”</w:t>
      </w:r>
      <w:r>
        <w:rPr>
          <w:sz w:val="22"/>
          <w:szCs w:val="22"/>
        </w:rPr>
        <w:t>, che misurano buoni o cattivi affari, utili o perdite, mentre</w:t>
      </w:r>
      <w:r w:rsidR="00FB44C6">
        <w:rPr>
          <w:sz w:val="22"/>
          <w:szCs w:val="22"/>
        </w:rPr>
        <w:t xml:space="preserve"> altre operazioni sono invece strutturalmente associative</w:t>
      </w:r>
      <w:r w:rsidR="00E41B02" w:rsidRPr="007F7EBF">
        <w:rPr>
          <w:sz w:val="22"/>
          <w:szCs w:val="22"/>
        </w:rPr>
        <w:t xml:space="preserve">, </w:t>
      </w:r>
      <w:r w:rsidR="00FB44C6">
        <w:rPr>
          <w:sz w:val="22"/>
          <w:szCs w:val="22"/>
        </w:rPr>
        <w:t xml:space="preserve">senza neppure </w:t>
      </w:r>
      <w:r w:rsidR="00E7130D" w:rsidRPr="007F7EBF">
        <w:rPr>
          <w:sz w:val="22"/>
          <w:szCs w:val="22"/>
        </w:rPr>
        <w:t xml:space="preserve">un acquirente in senso </w:t>
      </w:r>
      <w:r w:rsidR="00E7130D" w:rsidRPr="007F7EBF">
        <w:rPr>
          <w:sz w:val="22"/>
          <w:szCs w:val="22"/>
        </w:rPr>
        <w:lastRenderedPageBreak/>
        <w:t xml:space="preserve">tecnico, come per </w:t>
      </w:r>
      <w:r w:rsidR="00FB44C6">
        <w:rPr>
          <w:sz w:val="22"/>
          <w:szCs w:val="22"/>
        </w:rPr>
        <w:t xml:space="preserve">trasformazioni, </w:t>
      </w:r>
      <w:r w:rsidR="00E7130D" w:rsidRPr="007F7EBF">
        <w:rPr>
          <w:sz w:val="22"/>
          <w:szCs w:val="22"/>
        </w:rPr>
        <w:t>fusioni, scissioni e conferimenti in società.</w:t>
      </w:r>
      <w:r w:rsidR="0045609C" w:rsidRPr="007F7EBF">
        <w:rPr>
          <w:sz w:val="22"/>
          <w:szCs w:val="22"/>
        </w:rPr>
        <w:t xml:space="preserve"> </w:t>
      </w:r>
    </w:p>
    <w:p w14:paraId="3A3A0B43" w14:textId="43A54D37" w:rsidR="00E41B02" w:rsidRPr="007F7EBF" w:rsidRDefault="00E41B02" w:rsidP="00E41B02">
      <w:pPr>
        <w:pStyle w:val="tit23"/>
        <w:ind w:left="6464" w:right="-1361" w:firstLine="0"/>
        <w:jc w:val="left"/>
        <w:rPr>
          <w:bCs/>
          <w:i/>
          <w:iCs/>
          <w:color w:val="0000FF"/>
          <w:lang w:val="it-IT"/>
        </w:rPr>
      </w:pPr>
      <w:r w:rsidRPr="007F7EBF">
        <w:rPr>
          <w:bCs/>
          <w:i/>
          <w:iCs/>
          <w:color w:val="0000FF"/>
          <w:lang w:val="it-IT"/>
        </w:rPr>
        <w:t xml:space="preserve">Realizzo reddituale senza </w:t>
      </w:r>
      <w:proofErr w:type="spellStart"/>
      <w:r w:rsidRPr="007F7EBF">
        <w:rPr>
          <w:bCs/>
          <w:i/>
          <w:iCs/>
          <w:color w:val="0000FF"/>
          <w:lang w:val="it-IT"/>
        </w:rPr>
        <w:t>consumo:cessione</w:t>
      </w:r>
      <w:proofErr w:type="spellEnd"/>
      <w:r w:rsidRPr="007F7EBF">
        <w:rPr>
          <w:bCs/>
          <w:i/>
          <w:iCs/>
          <w:color w:val="0000FF"/>
          <w:lang w:val="it-IT"/>
        </w:rPr>
        <w:t xml:space="preserve"> d’azienda</w:t>
      </w:r>
      <w:r w:rsidR="00145297">
        <w:rPr>
          <w:bCs/>
          <w:i/>
          <w:iCs/>
          <w:color w:val="0000FF"/>
          <w:lang w:val="it-IT"/>
        </w:rPr>
        <w:t xml:space="preserve"> o partecipazioni</w:t>
      </w:r>
    </w:p>
    <w:p w14:paraId="0D724624" w14:textId="379002BC" w:rsidR="00095677" w:rsidRPr="007F7EBF" w:rsidRDefault="00145297" w:rsidP="00145297">
      <w:pPr>
        <w:autoSpaceDE w:val="0"/>
        <w:autoSpaceDN w:val="0"/>
        <w:adjustRightInd w:val="0"/>
        <w:rPr>
          <w:bCs/>
          <w:i/>
          <w:iCs/>
          <w:color w:val="0000FF"/>
        </w:rPr>
      </w:pPr>
      <w:r>
        <w:rPr>
          <w:sz w:val="22"/>
          <w:szCs w:val="22"/>
        </w:rPr>
        <w:t xml:space="preserve">Nella cessione di azienda o di partecipazioni, </w:t>
      </w:r>
      <w:r w:rsidR="00E7130D" w:rsidRPr="007F7EBF">
        <w:rPr>
          <w:sz w:val="22"/>
          <w:szCs w:val="22"/>
        </w:rPr>
        <w:t xml:space="preserve">corrispettivo </w:t>
      </w:r>
      <w:r w:rsidR="00723A84">
        <w:rPr>
          <w:sz w:val="22"/>
          <w:szCs w:val="22"/>
        </w:rPr>
        <w:t xml:space="preserve">è </w:t>
      </w:r>
      <w:r w:rsidR="00095677" w:rsidRPr="007F7EBF">
        <w:rPr>
          <w:sz w:val="22"/>
          <w:szCs w:val="22"/>
        </w:rPr>
        <w:t>il punto di partenza per calcolare</w:t>
      </w:r>
      <w:r w:rsidR="00723A84">
        <w:rPr>
          <w:sz w:val="22"/>
          <w:szCs w:val="22"/>
        </w:rPr>
        <w:t xml:space="preserve">, in base anche al </w:t>
      </w:r>
      <w:r w:rsidR="00E7130D" w:rsidRPr="007F7EBF">
        <w:rPr>
          <w:sz w:val="22"/>
          <w:szCs w:val="22"/>
        </w:rPr>
        <w:t>valore fiscal</w:t>
      </w:r>
      <w:r w:rsidR="002A0B0B" w:rsidRPr="007F7EBF">
        <w:rPr>
          <w:sz w:val="22"/>
          <w:szCs w:val="22"/>
        </w:rPr>
        <w:t xml:space="preserve">mente riconosciuto </w:t>
      </w:r>
      <w:r w:rsidR="00E7130D" w:rsidRPr="007F7EBF">
        <w:rPr>
          <w:sz w:val="22"/>
          <w:szCs w:val="22"/>
        </w:rPr>
        <w:t>dei vari beni costituenti l’azienda</w:t>
      </w:r>
      <w:r w:rsidR="00723A84">
        <w:rPr>
          <w:sz w:val="22"/>
          <w:szCs w:val="22"/>
        </w:rPr>
        <w:t xml:space="preserve"> </w:t>
      </w:r>
      <w:r w:rsidR="00723A84" w:rsidRPr="007F7EBF">
        <w:rPr>
          <w:sz w:val="22"/>
          <w:szCs w:val="22"/>
        </w:rPr>
        <w:t>(par.7.13) la plusvalenza o la minusvalenza in capo al venditore</w:t>
      </w:r>
      <w:r>
        <w:rPr>
          <w:sz w:val="22"/>
          <w:szCs w:val="22"/>
        </w:rPr>
        <w:t>(</w:t>
      </w:r>
      <w:r>
        <w:rPr>
          <w:rStyle w:val="Rimandonotaapidipagina"/>
          <w:sz w:val="22"/>
          <w:szCs w:val="22"/>
        </w:rPr>
        <w:footnoteReference w:id="1244"/>
      </w:r>
      <w:r>
        <w:rPr>
          <w:sz w:val="22"/>
          <w:szCs w:val="22"/>
        </w:rPr>
        <w:t>)</w:t>
      </w:r>
      <w:r w:rsidRPr="007F7EBF">
        <w:rPr>
          <w:sz w:val="22"/>
          <w:szCs w:val="22"/>
        </w:rPr>
        <w:t>.</w:t>
      </w:r>
      <w:r>
        <w:rPr>
          <w:sz w:val="22"/>
          <w:szCs w:val="22"/>
        </w:rPr>
        <w:t xml:space="preserve"> </w:t>
      </w:r>
      <w:r w:rsidR="00723A84">
        <w:rPr>
          <w:sz w:val="22"/>
          <w:szCs w:val="22"/>
        </w:rPr>
        <w:t xml:space="preserve">Lo stesso corrispettivo sarà usato dall’acquirente </w:t>
      </w:r>
      <w:r w:rsidR="00723A84" w:rsidRPr="007F7EBF">
        <w:rPr>
          <w:sz w:val="22"/>
          <w:szCs w:val="22"/>
        </w:rPr>
        <w:t>per valorizzare i beni</w:t>
      </w:r>
      <w:r>
        <w:rPr>
          <w:sz w:val="22"/>
          <w:szCs w:val="22"/>
        </w:rPr>
        <w:t xml:space="preserve"> </w:t>
      </w:r>
      <w:r w:rsidR="00723A84" w:rsidRPr="007F7EBF">
        <w:rPr>
          <w:sz w:val="22"/>
          <w:szCs w:val="22"/>
        </w:rPr>
        <w:t>dell’azienda acquisita, attribuendo loro un valore fiscalmente riconosciuto</w:t>
      </w:r>
      <w:r w:rsidR="00723A84">
        <w:rPr>
          <w:sz w:val="22"/>
          <w:szCs w:val="22"/>
        </w:rPr>
        <w:t>(</w:t>
      </w:r>
      <w:r w:rsidR="00723A84" w:rsidRPr="007F7EBF">
        <w:rPr>
          <w:rStyle w:val="Rimandonotaapidipagina"/>
          <w:sz w:val="22"/>
          <w:szCs w:val="22"/>
        </w:rPr>
        <w:footnoteReference w:id="1245"/>
      </w:r>
      <w:r w:rsidR="00723A84" w:rsidRPr="007F7EBF">
        <w:rPr>
          <w:sz w:val="22"/>
          <w:szCs w:val="22"/>
        </w:rPr>
        <w:t>).</w:t>
      </w:r>
      <w:r>
        <w:rPr>
          <w:sz w:val="22"/>
          <w:szCs w:val="22"/>
        </w:rPr>
        <w:t xml:space="preserve"> </w:t>
      </w:r>
    </w:p>
    <w:p w14:paraId="73F97FE2" w14:textId="65256589" w:rsidR="00095677" w:rsidRPr="007F7EBF" w:rsidRDefault="00E7130D" w:rsidP="00095677">
      <w:pPr>
        <w:autoSpaceDE w:val="0"/>
        <w:autoSpaceDN w:val="0"/>
        <w:adjustRightInd w:val="0"/>
        <w:rPr>
          <w:sz w:val="22"/>
          <w:szCs w:val="22"/>
        </w:rPr>
      </w:pPr>
      <w:r w:rsidRPr="007F7EBF">
        <w:rPr>
          <w:sz w:val="22"/>
          <w:szCs w:val="22"/>
        </w:rPr>
        <w:t xml:space="preserve">Una azienda può essere ceduta anche </w:t>
      </w:r>
      <w:r w:rsidRPr="007F7EBF">
        <w:rPr>
          <w:bCs/>
          <w:sz w:val="22"/>
          <w:szCs w:val="22"/>
        </w:rPr>
        <w:t>trasferendo la società che la possiede, r</w:t>
      </w:r>
      <w:r w:rsidRPr="007F7EBF">
        <w:rPr>
          <w:sz w:val="22"/>
          <w:szCs w:val="22"/>
        </w:rPr>
        <w:t xml:space="preserve">ealizzando anche qui un arricchimento, una monetizzazione, </w:t>
      </w:r>
      <w:r w:rsidR="00F3174D" w:rsidRPr="007F7EBF">
        <w:rPr>
          <w:sz w:val="22"/>
          <w:szCs w:val="22"/>
        </w:rPr>
        <w:t xml:space="preserve">soggetta ai criteri descritti al paragrafo 7.17 sul </w:t>
      </w:r>
      <w:r w:rsidRPr="007F7EBF">
        <w:rPr>
          <w:sz w:val="22"/>
          <w:szCs w:val="22"/>
        </w:rPr>
        <w:t>coordinamento tra tassazione dei soci e delle società</w:t>
      </w:r>
      <w:r w:rsidR="00F3174D" w:rsidRPr="007F7EBF">
        <w:rPr>
          <w:sz w:val="22"/>
          <w:szCs w:val="22"/>
        </w:rPr>
        <w:t xml:space="preserve"> (</w:t>
      </w:r>
      <w:r w:rsidR="00095677" w:rsidRPr="007F7EBF">
        <w:rPr>
          <w:rStyle w:val="Rimandonotaapidipagina"/>
          <w:sz w:val="22"/>
          <w:szCs w:val="22"/>
        </w:rPr>
        <w:footnoteReference w:id="1246"/>
      </w:r>
      <w:r w:rsidR="00F3174D" w:rsidRPr="007F7EBF">
        <w:rPr>
          <w:sz w:val="22"/>
          <w:szCs w:val="22"/>
        </w:rPr>
        <w:t>)</w:t>
      </w:r>
      <w:r w:rsidR="00723A84">
        <w:rPr>
          <w:sz w:val="22"/>
          <w:szCs w:val="22"/>
        </w:rPr>
        <w:t>; proprio per questi motivi il compratore non acquisisce valori fiscalmente  riconosciuti</w:t>
      </w:r>
      <w:r w:rsidR="0030639D">
        <w:rPr>
          <w:sz w:val="22"/>
          <w:szCs w:val="22"/>
        </w:rPr>
        <w:t xml:space="preserve"> </w:t>
      </w:r>
      <w:r w:rsidR="00DF723F">
        <w:rPr>
          <w:sz w:val="22"/>
          <w:szCs w:val="22"/>
        </w:rPr>
        <w:t xml:space="preserve"> </w:t>
      </w:r>
      <w:r w:rsidR="00446301">
        <w:rPr>
          <w:sz w:val="22"/>
          <w:szCs w:val="22"/>
        </w:rPr>
        <w:t xml:space="preserve"> </w:t>
      </w:r>
      <w:r w:rsidR="00723A84">
        <w:rPr>
          <w:sz w:val="22"/>
          <w:szCs w:val="22"/>
        </w:rPr>
        <w:t xml:space="preserve">“spendibili” per ridurre il reddito della società acquisita (cosa che invece avviene per la cessione di azienda, rendendo più conveniente quest’ultima, per l’acquirente, a parità di corrispettivo). </w:t>
      </w:r>
    </w:p>
    <w:p w14:paraId="45ABF2C5" w14:textId="77777777" w:rsidR="00095677" w:rsidRPr="007F7EBF" w:rsidRDefault="00095677" w:rsidP="00095677">
      <w:pPr>
        <w:pStyle w:val="tit23"/>
        <w:ind w:left="6464" w:right="-1361" w:firstLine="0"/>
        <w:jc w:val="left"/>
        <w:rPr>
          <w:bCs/>
          <w:i/>
          <w:iCs/>
          <w:color w:val="0000FF"/>
          <w:lang w:val="it-IT"/>
        </w:rPr>
      </w:pPr>
      <w:r w:rsidRPr="007F7EBF">
        <w:rPr>
          <w:bCs/>
          <w:i/>
          <w:iCs/>
          <w:color w:val="0000FF"/>
          <w:lang w:val="it-IT"/>
        </w:rPr>
        <w:t xml:space="preserve">Assenza di realizzo e </w:t>
      </w:r>
      <w:proofErr w:type="spellStart"/>
      <w:r w:rsidRPr="007F7EBF">
        <w:rPr>
          <w:bCs/>
          <w:i/>
          <w:iCs/>
          <w:color w:val="0000FF"/>
          <w:lang w:val="it-IT"/>
        </w:rPr>
        <w:t>consumo:la</w:t>
      </w:r>
      <w:proofErr w:type="spellEnd"/>
      <w:r w:rsidRPr="007F7EBF">
        <w:rPr>
          <w:bCs/>
          <w:i/>
          <w:iCs/>
          <w:color w:val="0000FF"/>
          <w:lang w:val="it-IT"/>
        </w:rPr>
        <w:t xml:space="preserve"> continuità di fusioni, scissioni </w:t>
      </w:r>
      <w:proofErr w:type="spellStart"/>
      <w:r w:rsidRPr="007F7EBF">
        <w:rPr>
          <w:bCs/>
          <w:i/>
          <w:iCs/>
          <w:color w:val="0000FF"/>
          <w:lang w:val="it-IT"/>
        </w:rPr>
        <w:t>etc</w:t>
      </w:r>
      <w:proofErr w:type="spellEnd"/>
    </w:p>
    <w:p w14:paraId="708D382B" w14:textId="31CB8ECD" w:rsidR="00095677" w:rsidRPr="007F7EBF" w:rsidRDefault="0008113B" w:rsidP="00095677">
      <w:pPr>
        <w:autoSpaceDE w:val="0"/>
        <w:autoSpaceDN w:val="0"/>
        <w:adjustRightInd w:val="0"/>
        <w:rPr>
          <w:sz w:val="22"/>
          <w:szCs w:val="22"/>
        </w:rPr>
      </w:pPr>
      <w:r>
        <w:rPr>
          <w:bCs/>
          <w:sz w:val="22"/>
          <w:szCs w:val="22"/>
        </w:rPr>
        <w:lastRenderedPageBreak/>
        <w:t xml:space="preserve">A differenza di cessioni di aziende e partecipazioni, </w:t>
      </w:r>
      <w:r w:rsidR="006342C5" w:rsidRPr="007F7EBF">
        <w:rPr>
          <w:bCs/>
          <w:sz w:val="22"/>
          <w:szCs w:val="22"/>
        </w:rPr>
        <w:t>fusion</w:t>
      </w:r>
      <w:r w:rsidR="00F0291B">
        <w:rPr>
          <w:bCs/>
          <w:sz w:val="22"/>
          <w:szCs w:val="22"/>
        </w:rPr>
        <w:t>i</w:t>
      </w:r>
      <w:r>
        <w:rPr>
          <w:bCs/>
          <w:sz w:val="22"/>
          <w:szCs w:val="22"/>
        </w:rPr>
        <w:t>, trasformazioni</w:t>
      </w:r>
      <w:r w:rsidR="00F0291B">
        <w:rPr>
          <w:bCs/>
          <w:sz w:val="22"/>
          <w:szCs w:val="22"/>
        </w:rPr>
        <w:t xml:space="preserve"> e</w:t>
      </w:r>
      <w:r w:rsidR="00F64843" w:rsidRPr="007F7EBF">
        <w:rPr>
          <w:bCs/>
          <w:sz w:val="22"/>
          <w:szCs w:val="22"/>
        </w:rPr>
        <w:t xml:space="preserve"> </w:t>
      </w:r>
      <w:r w:rsidR="006342C5" w:rsidRPr="007F7EBF">
        <w:rPr>
          <w:bCs/>
          <w:sz w:val="22"/>
          <w:szCs w:val="22"/>
        </w:rPr>
        <w:t>scission</w:t>
      </w:r>
      <w:r w:rsidR="00F0291B">
        <w:rPr>
          <w:bCs/>
          <w:sz w:val="22"/>
          <w:szCs w:val="22"/>
        </w:rPr>
        <w:t xml:space="preserve">i sono prive di </w:t>
      </w:r>
      <w:r w:rsidR="00F3174D" w:rsidRPr="007F7EBF">
        <w:rPr>
          <w:sz w:val="22"/>
          <w:szCs w:val="22"/>
        </w:rPr>
        <w:t>alienant</w:t>
      </w:r>
      <w:r w:rsidR="00F0291B">
        <w:rPr>
          <w:sz w:val="22"/>
          <w:szCs w:val="22"/>
        </w:rPr>
        <w:t>i</w:t>
      </w:r>
      <w:r w:rsidR="00F3174D" w:rsidRPr="007F7EBF">
        <w:rPr>
          <w:sz w:val="22"/>
          <w:szCs w:val="22"/>
        </w:rPr>
        <w:t xml:space="preserve"> ed acquirent</w:t>
      </w:r>
      <w:r w:rsidR="00F0291B">
        <w:rPr>
          <w:sz w:val="22"/>
          <w:szCs w:val="22"/>
        </w:rPr>
        <w:t>i</w:t>
      </w:r>
      <w:r>
        <w:rPr>
          <w:sz w:val="22"/>
          <w:szCs w:val="22"/>
        </w:rPr>
        <w:t xml:space="preserve"> in senso giuridico; </w:t>
      </w:r>
      <w:r w:rsidR="00F0291B">
        <w:rPr>
          <w:sz w:val="22"/>
          <w:szCs w:val="22"/>
        </w:rPr>
        <w:t xml:space="preserve">tali </w:t>
      </w:r>
      <w:r w:rsidR="00603AAC" w:rsidRPr="007F7EBF">
        <w:rPr>
          <w:sz w:val="22"/>
          <w:szCs w:val="22"/>
        </w:rPr>
        <w:t>operazion</w:t>
      </w:r>
      <w:r w:rsidR="00F0291B">
        <w:rPr>
          <w:sz w:val="22"/>
          <w:szCs w:val="22"/>
        </w:rPr>
        <w:t>i</w:t>
      </w:r>
      <w:r w:rsidR="00603AAC" w:rsidRPr="007F7EBF">
        <w:rPr>
          <w:sz w:val="22"/>
          <w:szCs w:val="22"/>
        </w:rPr>
        <w:t xml:space="preserve"> riguarda</w:t>
      </w:r>
      <w:r w:rsidR="00F0291B">
        <w:rPr>
          <w:sz w:val="22"/>
          <w:szCs w:val="22"/>
        </w:rPr>
        <w:t>no</w:t>
      </w:r>
      <w:r w:rsidR="00603AAC" w:rsidRPr="007F7EBF">
        <w:rPr>
          <w:sz w:val="22"/>
          <w:szCs w:val="22"/>
        </w:rPr>
        <w:t xml:space="preserve"> </w:t>
      </w:r>
      <w:r>
        <w:rPr>
          <w:sz w:val="22"/>
          <w:szCs w:val="22"/>
        </w:rPr>
        <w:t xml:space="preserve">l’assetto societario delle entità societarie coinvolte, e sono operazioni “sui </w:t>
      </w:r>
      <w:r w:rsidR="00603AAC" w:rsidRPr="007F7EBF">
        <w:rPr>
          <w:sz w:val="22"/>
          <w:szCs w:val="22"/>
        </w:rPr>
        <w:t>soggetti</w:t>
      </w:r>
      <w:r>
        <w:rPr>
          <w:sz w:val="22"/>
          <w:szCs w:val="22"/>
        </w:rPr>
        <w:t>”</w:t>
      </w:r>
      <w:r w:rsidR="00603AAC" w:rsidRPr="007F7EBF">
        <w:rPr>
          <w:sz w:val="22"/>
          <w:szCs w:val="22"/>
        </w:rPr>
        <w:t xml:space="preserve">, solo indirettamente </w:t>
      </w:r>
      <w:r>
        <w:rPr>
          <w:sz w:val="22"/>
          <w:szCs w:val="22"/>
        </w:rPr>
        <w:t>su</w:t>
      </w:r>
      <w:r w:rsidR="00603AAC" w:rsidRPr="007F7EBF">
        <w:rPr>
          <w:sz w:val="22"/>
          <w:szCs w:val="22"/>
        </w:rPr>
        <w:t>i beni</w:t>
      </w:r>
      <w:r>
        <w:rPr>
          <w:sz w:val="22"/>
          <w:szCs w:val="22"/>
        </w:rPr>
        <w:t xml:space="preserve">; questi ultimi vengono talvolta valorizzati per stabilire i c.d. “rapporti di cambio” tra eventuali soci diversi delle </w:t>
      </w:r>
      <w:r w:rsidR="00603AAC" w:rsidRPr="007F7EBF">
        <w:rPr>
          <w:sz w:val="22"/>
          <w:szCs w:val="22"/>
        </w:rPr>
        <w:t xml:space="preserve"> </w:t>
      </w:r>
      <w:r>
        <w:rPr>
          <w:sz w:val="22"/>
          <w:szCs w:val="22"/>
        </w:rPr>
        <w:t>società coinvolte; restano però irrilevanti le differenze tra questi valori di stima e i valori fiscalmente riconosciuti delle partecipazioni sostituite, che si trasferiscono su quelle ricevute in cambio. Questa</w:t>
      </w:r>
      <w:r w:rsidR="006342C5" w:rsidRPr="007F7EBF">
        <w:rPr>
          <w:sz w:val="22"/>
          <w:szCs w:val="22"/>
        </w:rPr>
        <w:t xml:space="preserve"> c.d.</w:t>
      </w:r>
      <w:r w:rsidR="00F64843" w:rsidRPr="007F7EBF">
        <w:rPr>
          <w:sz w:val="22"/>
          <w:szCs w:val="22"/>
        </w:rPr>
        <w:t xml:space="preserve"> </w:t>
      </w:r>
      <w:r w:rsidR="006342C5" w:rsidRPr="007F7EBF">
        <w:rPr>
          <w:bCs/>
          <w:sz w:val="22"/>
          <w:szCs w:val="22"/>
        </w:rPr>
        <w:t xml:space="preserve">neutralità di fusioni e scissioni </w:t>
      </w:r>
      <w:r w:rsidR="006342C5" w:rsidRPr="007F7EBF">
        <w:rPr>
          <w:sz w:val="22"/>
          <w:szCs w:val="22"/>
        </w:rPr>
        <w:t>è un normalissimo riflesso delle esigenze concettuali</w:t>
      </w:r>
      <w:r w:rsidR="00603AAC" w:rsidRPr="007F7EBF">
        <w:rPr>
          <w:sz w:val="22"/>
          <w:szCs w:val="22"/>
        </w:rPr>
        <w:t xml:space="preserve"> sul c.d. "momento impositivo"</w:t>
      </w:r>
      <w:r w:rsidR="006342C5" w:rsidRPr="007F7EBF">
        <w:rPr>
          <w:sz w:val="22"/>
          <w:szCs w:val="22"/>
        </w:rPr>
        <w:t>,</w:t>
      </w:r>
      <w:r w:rsidR="00F64843" w:rsidRPr="007F7EBF">
        <w:rPr>
          <w:sz w:val="22"/>
          <w:szCs w:val="22"/>
        </w:rPr>
        <w:t xml:space="preserve"> </w:t>
      </w:r>
      <w:r w:rsidR="006342C5" w:rsidRPr="007F7EBF">
        <w:rPr>
          <w:sz w:val="22"/>
          <w:szCs w:val="22"/>
        </w:rPr>
        <w:t xml:space="preserve">indicate al </w:t>
      </w:r>
      <w:r w:rsidR="00566FA1" w:rsidRPr="007F7EBF">
        <w:rPr>
          <w:sz w:val="22"/>
          <w:szCs w:val="22"/>
        </w:rPr>
        <w:t>par. 7.11</w:t>
      </w:r>
      <w:r w:rsidR="006342C5" w:rsidRPr="007F7EBF">
        <w:rPr>
          <w:sz w:val="22"/>
          <w:szCs w:val="22"/>
        </w:rPr>
        <w:t xml:space="preserve">, che spingono ad attendere </w:t>
      </w:r>
      <w:proofErr w:type="spellStart"/>
      <w:r w:rsidR="006342C5" w:rsidRPr="007F7EBF">
        <w:rPr>
          <w:sz w:val="22"/>
          <w:szCs w:val="22"/>
        </w:rPr>
        <w:t>tributariamente</w:t>
      </w:r>
      <w:proofErr w:type="spellEnd"/>
      <w:r w:rsidR="00603AAC" w:rsidRPr="007F7EBF">
        <w:rPr>
          <w:sz w:val="22"/>
          <w:szCs w:val="22"/>
        </w:rPr>
        <w:t xml:space="preserve">  </w:t>
      </w:r>
      <w:r w:rsidR="006342C5" w:rsidRPr="007F7EBF">
        <w:rPr>
          <w:sz w:val="22"/>
          <w:szCs w:val="22"/>
        </w:rPr>
        <w:t xml:space="preserve"> il “realizzo” dei</w:t>
      </w:r>
      <w:r w:rsidR="00F64843" w:rsidRPr="007F7EBF">
        <w:rPr>
          <w:sz w:val="22"/>
          <w:szCs w:val="22"/>
        </w:rPr>
        <w:t xml:space="preserve"> </w:t>
      </w:r>
      <w:r w:rsidR="006342C5" w:rsidRPr="007F7EBF">
        <w:rPr>
          <w:sz w:val="22"/>
          <w:szCs w:val="22"/>
        </w:rPr>
        <w:t>redditi, trascurando la loro mera potenzialità, connessa alla “maturazione economica”</w:t>
      </w:r>
      <w:r w:rsidR="00F64843" w:rsidRPr="007F7EBF">
        <w:rPr>
          <w:sz w:val="22"/>
          <w:szCs w:val="22"/>
        </w:rPr>
        <w:t xml:space="preserve"> </w:t>
      </w:r>
      <w:r w:rsidR="006342C5" w:rsidRPr="007F7EBF">
        <w:rPr>
          <w:sz w:val="22"/>
          <w:szCs w:val="22"/>
        </w:rPr>
        <w:t>degli avviamenti e dei plusvalori</w:t>
      </w:r>
      <w:r w:rsidR="00095677" w:rsidRPr="007F7EBF">
        <w:rPr>
          <w:rStyle w:val="Rimandonotaapidipagina"/>
          <w:sz w:val="22"/>
          <w:szCs w:val="22"/>
        </w:rPr>
        <w:footnoteReference w:id="1247"/>
      </w:r>
      <w:r w:rsidR="006342C5" w:rsidRPr="007F7EBF">
        <w:rPr>
          <w:sz w:val="22"/>
          <w:szCs w:val="22"/>
        </w:rPr>
        <w:t xml:space="preserve">. </w:t>
      </w:r>
    </w:p>
    <w:p w14:paraId="74B0CA32" w14:textId="77777777" w:rsidR="00095677" w:rsidRPr="007F7EBF" w:rsidRDefault="00095677" w:rsidP="00095677">
      <w:pPr>
        <w:pStyle w:val="tit23"/>
        <w:ind w:left="6464" w:right="-1361" w:firstLine="0"/>
        <w:jc w:val="left"/>
        <w:rPr>
          <w:bCs/>
          <w:i/>
          <w:iCs/>
          <w:color w:val="0000FF"/>
          <w:lang w:val="it-IT"/>
        </w:rPr>
      </w:pPr>
      <w:r w:rsidRPr="007F7EBF">
        <w:rPr>
          <w:bCs/>
          <w:i/>
          <w:iCs/>
          <w:color w:val="0000FF"/>
          <w:lang w:val="it-IT"/>
        </w:rPr>
        <w:t>Segue continuità dei valori fiscali</w:t>
      </w:r>
    </w:p>
    <w:p w14:paraId="3D49D4AE" w14:textId="69E8CE98" w:rsidR="00552F88" w:rsidRPr="007F7EBF" w:rsidRDefault="006342C5" w:rsidP="006342C5">
      <w:pPr>
        <w:autoSpaceDE w:val="0"/>
        <w:autoSpaceDN w:val="0"/>
        <w:adjustRightInd w:val="0"/>
        <w:rPr>
          <w:sz w:val="22"/>
          <w:szCs w:val="22"/>
        </w:rPr>
      </w:pPr>
      <w:r w:rsidRPr="007F7EBF">
        <w:rPr>
          <w:sz w:val="22"/>
          <w:szCs w:val="22"/>
        </w:rPr>
        <w:t>Le varie società si uniscono, nella fusione, o si dividono, nella scissione, in base</w:t>
      </w:r>
      <w:r w:rsidR="00552F88" w:rsidRPr="007F7EBF">
        <w:rPr>
          <w:sz w:val="22"/>
          <w:szCs w:val="22"/>
        </w:rPr>
        <w:t xml:space="preserve"> </w:t>
      </w:r>
      <w:r w:rsidRPr="007F7EBF">
        <w:rPr>
          <w:sz w:val="22"/>
          <w:szCs w:val="22"/>
        </w:rPr>
        <w:t>ai vecchi valori fiscali dei relativi patrimoni</w:t>
      </w:r>
      <w:r w:rsidR="00726D79" w:rsidRPr="007F7EBF">
        <w:rPr>
          <w:sz w:val="22"/>
          <w:szCs w:val="22"/>
        </w:rPr>
        <w:t>, che rimangono i medesimi dopo l'operazione</w:t>
      </w:r>
      <w:r w:rsidRPr="007F7EBF">
        <w:rPr>
          <w:sz w:val="22"/>
          <w:szCs w:val="22"/>
        </w:rPr>
        <w:t xml:space="preserve">: </w:t>
      </w:r>
      <w:r w:rsidR="00726D79" w:rsidRPr="007F7EBF">
        <w:rPr>
          <w:sz w:val="22"/>
          <w:szCs w:val="22"/>
        </w:rPr>
        <w:t xml:space="preserve">che avviene appunto </w:t>
      </w:r>
      <w:r w:rsidRPr="007F7EBF">
        <w:rPr>
          <w:sz w:val="22"/>
          <w:szCs w:val="22"/>
        </w:rPr>
        <w:t>“in neutralità”</w:t>
      </w:r>
      <w:r w:rsidR="00850DBD">
        <w:rPr>
          <w:sz w:val="22"/>
          <w:szCs w:val="22"/>
        </w:rPr>
        <w:t>(</w:t>
      </w:r>
      <w:r w:rsidR="00850DBD">
        <w:rPr>
          <w:rStyle w:val="Rimandonotaapidipagina"/>
          <w:sz w:val="22"/>
          <w:szCs w:val="22"/>
        </w:rPr>
        <w:footnoteReference w:id="1248"/>
      </w:r>
      <w:r w:rsidR="00850DBD">
        <w:rPr>
          <w:sz w:val="22"/>
          <w:szCs w:val="22"/>
        </w:rPr>
        <w:t>)</w:t>
      </w:r>
      <w:r w:rsidRPr="007F7EBF">
        <w:rPr>
          <w:sz w:val="22"/>
          <w:szCs w:val="22"/>
        </w:rPr>
        <w:t xml:space="preserve">, come </w:t>
      </w:r>
      <w:r w:rsidR="00552F88" w:rsidRPr="007F7EBF">
        <w:rPr>
          <w:sz w:val="22"/>
          <w:szCs w:val="22"/>
        </w:rPr>
        <w:t xml:space="preserve">è ancora più ovvio </w:t>
      </w:r>
      <w:r w:rsidRPr="007F7EBF">
        <w:rPr>
          <w:sz w:val="22"/>
          <w:szCs w:val="22"/>
        </w:rPr>
        <w:t>nelle trasformazioni (</w:t>
      </w:r>
      <w:r w:rsidR="00726D79" w:rsidRPr="007F7EBF">
        <w:rPr>
          <w:rStyle w:val="Rimandonotaapidipagina"/>
          <w:sz w:val="22"/>
          <w:szCs w:val="22"/>
        </w:rPr>
        <w:footnoteReference w:id="1249"/>
      </w:r>
      <w:r w:rsidRPr="007F7EBF">
        <w:rPr>
          <w:sz w:val="22"/>
          <w:szCs w:val="22"/>
        </w:rPr>
        <w:t xml:space="preserve">). </w:t>
      </w:r>
    </w:p>
    <w:p w14:paraId="08B7759C" w14:textId="73ED1A25" w:rsidR="00095677" w:rsidRPr="007F7EBF" w:rsidRDefault="006342C5" w:rsidP="00095677">
      <w:pPr>
        <w:autoSpaceDE w:val="0"/>
        <w:autoSpaceDN w:val="0"/>
        <w:adjustRightInd w:val="0"/>
        <w:rPr>
          <w:sz w:val="22"/>
          <w:szCs w:val="22"/>
        </w:rPr>
      </w:pPr>
      <w:r w:rsidRPr="007F7EBF">
        <w:rPr>
          <w:sz w:val="22"/>
          <w:szCs w:val="22"/>
        </w:rPr>
        <w:t>È un riflesso della possibilità degli enti diversi dalle persone fisiche di unirsi o sdoppiarsi,</w:t>
      </w:r>
      <w:r w:rsidR="00012D22" w:rsidRPr="007F7EBF">
        <w:rPr>
          <w:sz w:val="22"/>
          <w:szCs w:val="22"/>
        </w:rPr>
        <w:t xml:space="preserve"> </w:t>
      </w:r>
      <w:r w:rsidRPr="007F7EBF">
        <w:rPr>
          <w:sz w:val="22"/>
          <w:szCs w:val="22"/>
        </w:rPr>
        <w:t>a differenza delle persone fisiche, c</w:t>
      </w:r>
      <w:r w:rsidR="00EB75B3">
        <w:rPr>
          <w:sz w:val="22"/>
          <w:szCs w:val="22"/>
        </w:rPr>
        <w:t xml:space="preserve">he non possono farlo </w:t>
      </w:r>
      <w:r w:rsidRPr="007F7EBF">
        <w:rPr>
          <w:sz w:val="22"/>
          <w:szCs w:val="22"/>
        </w:rPr>
        <w:t>per ovvi</w:t>
      </w:r>
      <w:r w:rsidR="0008113B">
        <w:rPr>
          <w:sz w:val="22"/>
          <w:szCs w:val="22"/>
        </w:rPr>
        <w:t xml:space="preserve"> </w:t>
      </w:r>
      <w:r w:rsidRPr="007F7EBF">
        <w:rPr>
          <w:sz w:val="22"/>
          <w:szCs w:val="22"/>
        </w:rPr>
        <w:t>motivi biologici (</w:t>
      </w:r>
      <w:r w:rsidR="00EB75B3">
        <w:rPr>
          <w:sz w:val="22"/>
          <w:szCs w:val="22"/>
        </w:rPr>
        <w:t>sono i</w:t>
      </w:r>
      <w:r w:rsidRPr="007F7EBF">
        <w:rPr>
          <w:sz w:val="22"/>
          <w:szCs w:val="22"/>
        </w:rPr>
        <w:t xml:space="preserve"> soliti equivoci </w:t>
      </w:r>
      <w:r w:rsidR="00EB75B3">
        <w:rPr>
          <w:sz w:val="22"/>
          <w:szCs w:val="22"/>
        </w:rPr>
        <w:t xml:space="preserve">della concezione personalistica di </w:t>
      </w:r>
      <w:r w:rsidRPr="007F7EBF">
        <w:rPr>
          <w:sz w:val="22"/>
          <w:szCs w:val="22"/>
        </w:rPr>
        <w:t xml:space="preserve">aziende </w:t>
      </w:r>
      <w:r w:rsidR="00EB75B3">
        <w:rPr>
          <w:sz w:val="22"/>
          <w:szCs w:val="22"/>
        </w:rPr>
        <w:t>e</w:t>
      </w:r>
      <w:r w:rsidRPr="007F7EBF">
        <w:rPr>
          <w:sz w:val="22"/>
          <w:szCs w:val="22"/>
        </w:rPr>
        <w:t xml:space="preserve"> società</w:t>
      </w:r>
      <w:r w:rsidR="00EB75B3">
        <w:rPr>
          <w:sz w:val="22"/>
          <w:szCs w:val="22"/>
        </w:rPr>
        <w:t>, di cui al</w:t>
      </w:r>
      <w:r w:rsidRPr="007F7EBF">
        <w:rPr>
          <w:sz w:val="22"/>
          <w:szCs w:val="22"/>
        </w:rPr>
        <w:t xml:space="preserve"> par.3.1 ss.).</w:t>
      </w:r>
    </w:p>
    <w:p w14:paraId="012797B3" w14:textId="77777777" w:rsidR="00095677" w:rsidRPr="007F7EBF" w:rsidRDefault="00095677" w:rsidP="00095677">
      <w:pPr>
        <w:pStyle w:val="tit23"/>
        <w:ind w:left="6464" w:right="-1361" w:firstLine="0"/>
        <w:jc w:val="left"/>
        <w:rPr>
          <w:bCs/>
          <w:i/>
          <w:iCs/>
          <w:color w:val="0000FF"/>
          <w:lang w:val="it-IT"/>
        </w:rPr>
      </w:pPr>
      <w:r w:rsidRPr="007F7EBF">
        <w:rPr>
          <w:bCs/>
          <w:i/>
          <w:iCs/>
          <w:color w:val="0000FF"/>
          <w:lang w:val="it-IT"/>
        </w:rPr>
        <w:t>l’ibrido del conferimento</w:t>
      </w:r>
    </w:p>
    <w:p w14:paraId="66F36014" w14:textId="02421C6B" w:rsidR="006342C5" w:rsidRPr="007F7EBF" w:rsidRDefault="00552F88" w:rsidP="00BE7B3D">
      <w:pPr>
        <w:autoSpaceDE w:val="0"/>
        <w:autoSpaceDN w:val="0"/>
        <w:adjustRightInd w:val="0"/>
        <w:rPr>
          <w:sz w:val="22"/>
          <w:szCs w:val="22"/>
        </w:rPr>
      </w:pPr>
      <w:r w:rsidRPr="007F7EBF">
        <w:rPr>
          <w:sz w:val="22"/>
          <w:szCs w:val="22"/>
        </w:rPr>
        <w:t>II</w:t>
      </w:r>
      <w:r w:rsidR="006342C5" w:rsidRPr="007F7EBF">
        <w:rPr>
          <w:sz w:val="22"/>
          <w:szCs w:val="22"/>
        </w:rPr>
        <w:t xml:space="preserve"> </w:t>
      </w:r>
      <w:r w:rsidR="006342C5" w:rsidRPr="007F7EBF">
        <w:rPr>
          <w:bCs/>
          <w:sz w:val="22"/>
          <w:szCs w:val="22"/>
        </w:rPr>
        <w:t>conferimento in natura</w:t>
      </w:r>
      <w:r w:rsidRPr="007F7EBF">
        <w:rPr>
          <w:sz w:val="22"/>
          <w:szCs w:val="22"/>
        </w:rPr>
        <w:t xml:space="preserve"> è a prima vista "a mezza strada"</w:t>
      </w:r>
      <w:r w:rsidR="00603AAC" w:rsidRPr="007F7EBF">
        <w:rPr>
          <w:sz w:val="22"/>
          <w:szCs w:val="22"/>
        </w:rPr>
        <w:t xml:space="preserve"> </w:t>
      </w:r>
      <w:r w:rsidR="00726D79" w:rsidRPr="007F7EBF">
        <w:rPr>
          <w:sz w:val="22"/>
          <w:szCs w:val="22"/>
        </w:rPr>
        <w:t xml:space="preserve">tra operazioni sui beni, come la cessione di azienda o di partecipazioni, e operazioni sui soggetti, come le fusioni e  scissioni; </w:t>
      </w:r>
      <w:r w:rsidR="00EB75B3">
        <w:rPr>
          <w:sz w:val="22"/>
          <w:szCs w:val="22"/>
        </w:rPr>
        <w:t xml:space="preserve">il conferimento riguarda infatti “beni”, come la cessione di azienda, ma ha natura “associativa”; </w:t>
      </w:r>
      <w:r w:rsidR="00603AAC" w:rsidRPr="007F7EBF">
        <w:rPr>
          <w:sz w:val="22"/>
          <w:szCs w:val="22"/>
        </w:rPr>
        <w:t>ch</w:t>
      </w:r>
      <w:r w:rsidR="00EB75B3">
        <w:rPr>
          <w:sz w:val="22"/>
          <w:szCs w:val="22"/>
        </w:rPr>
        <w:t xml:space="preserve">i </w:t>
      </w:r>
      <w:r w:rsidR="00603AAC" w:rsidRPr="007F7EBF">
        <w:rPr>
          <w:sz w:val="22"/>
          <w:szCs w:val="22"/>
        </w:rPr>
        <w:lastRenderedPageBreak/>
        <w:t xml:space="preserve">apporta beni in società </w:t>
      </w:r>
      <w:r w:rsidR="00BE7B3D" w:rsidRPr="007F7EBF">
        <w:rPr>
          <w:sz w:val="22"/>
          <w:szCs w:val="22"/>
        </w:rPr>
        <w:t xml:space="preserve">ne diviene socio, senza una </w:t>
      </w:r>
      <w:r w:rsidR="006342C5" w:rsidRPr="007F7EBF">
        <w:rPr>
          <w:sz w:val="22"/>
          <w:szCs w:val="22"/>
        </w:rPr>
        <w:t xml:space="preserve">contropartita </w:t>
      </w:r>
      <w:r w:rsidR="00603AAC" w:rsidRPr="007F7EBF">
        <w:rPr>
          <w:sz w:val="22"/>
          <w:szCs w:val="22"/>
        </w:rPr>
        <w:t xml:space="preserve">autonoma, </w:t>
      </w:r>
      <w:r w:rsidR="006342C5" w:rsidRPr="007F7EBF">
        <w:rPr>
          <w:sz w:val="22"/>
          <w:szCs w:val="22"/>
        </w:rPr>
        <w:t>in denaro o altro bene avente valore intrinseco</w:t>
      </w:r>
      <w:r w:rsidR="00EB75B3">
        <w:rPr>
          <w:sz w:val="22"/>
          <w:szCs w:val="22"/>
        </w:rPr>
        <w:t xml:space="preserve">, ma riceve </w:t>
      </w:r>
      <w:r w:rsidR="006342C5" w:rsidRPr="007F7EBF">
        <w:rPr>
          <w:sz w:val="22"/>
          <w:szCs w:val="22"/>
        </w:rPr>
        <w:t xml:space="preserve"> quote della società </w:t>
      </w:r>
      <w:r w:rsidR="00726D79" w:rsidRPr="007F7EBF">
        <w:rPr>
          <w:sz w:val="22"/>
          <w:szCs w:val="22"/>
        </w:rPr>
        <w:t>beneficiaria (c.d. "</w:t>
      </w:r>
      <w:r w:rsidR="006342C5" w:rsidRPr="007F7EBF">
        <w:rPr>
          <w:sz w:val="22"/>
          <w:szCs w:val="22"/>
        </w:rPr>
        <w:t>conferitaria</w:t>
      </w:r>
      <w:r w:rsidR="00726D79" w:rsidRPr="007F7EBF">
        <w:rPr>
          <w:sz w:val="22"/>
          <w:szCs w:val="22"/>
        </w:rPr>
        <w:t>"</w:t>
      </w:r>
      <w:r w:rsidR="00EB75B3">
        <w:rPr>
          <w:sz w:val="22"/>
          <w:szCs w:val="22"/>
        </w:rPr>
        <w:t xml:space="preserve">); tali quote </w:t>
      </w:r>
      <w:r w:rsidR="006342C5" w:rsidRPr="007F7EBF">
        <w:rPr>
          <w:sz w:val="22"/>
          <w:szCs w:val="22"/>
        </w:rPr>
        <w:t>esprimono sotto altra forma gli stessi beni conferiti</w:t>
      </w:r>
      <w:r w:rsidR="00A272AA" w:rsidRPr="007F7EBF">
        <w:rPr>
          <w:sz w:val="22"/>
          <w:szCs w:val="22"/>
        </w:rPr>
        <w:t xml:space="preserve"> e sono illiquide, né hanno altro valore intrinseco</w:t>
      </w:r>
      <w:r w:rsidR="00BE7B3D" w:rsidRPr="007F7EBF">
        <w:rPr>
          <w:sz w:val="22"/>
          <w:szCs w:val="22"/>
        </w:rPr>
        <w:t xml:space="preserve"> (</w:t>
      </w:r>
      <w:r w:rsidR="00726D79" w:rsidRPr="007F7EBF">
        <w:rPr>
          <w:rStyle w:val="Rimandonotaapidipagina"/>
          <w:sz w:val="22"/>
          <w:szCs w:val="22"/>
        </w:rPr>
        <w:footnoteReference w:id="1250"/>
      </w:r>
      <w:r w:rsidR="00BE7B3D" w:rsidRPr="007F7EBF">
        <w:rPr>
          <w:sz w:val="22"/>
          <w:szCs w:val="22"/>
        </w:rPr>
        <w:t xml:space="preserve">). </w:t>
      </w:r>
      <w:r w:rsidR="006342C5" w:rsidRPr="007F7EBF">
        <w:rPr>
          <w:sz w:val="22"/>
          <w:szCs w:val="22"/>
        </w:rPr>
        <w:t xml:space="preserve">Attualmente, per i </w:t>
      </w:r>
      <w:r w:rsidR="006342C5" w:rsidRPr="007F7EBF">
        <w:rPr>
          <w:bCs/>
          <w:sz w:val="22"/>
          <w:szCs w:val="22"/>
        </w:rPr>
        <w:t xml:space="preserve">conferimenti di azienda </w:t>
      </w:r>
      <w:r w:rsidR="006342C5" w:rsidRPr="007F7EBF">
        <w:rPr>
          <w:sz w:val="22"/>
          <w:szCs w:val="22"/>
        </w:rPr>
        <w:t xml:space="preserve">è </w:t>
      </w:r>
      <w:r w:rsidR="00BE7B3D" w:rsidRPr="007F7EBF">
        <w:rPr>
          <w:sz w:val="22"/>
          <w:szCs w:val="22"/>
        </w:rPr>
        <w:t xml:space="preserve">consentita </w:t>
      </w:r>
      <w:r w:rsidR="006342C5" w:rsidRPr="007F7EBF">
        <w:rPr>
          <w:sz w:val="22"/>
          <w:szCs w:val="22"/>
        </w:rPr>
        <w:t xml:space="preserve"> una “</w:t>
      </w:r>
      <w:r w:rsidR="006342C5" w:rsidRPr="007F7EBF">
        <w:rPr>
          <w:bCs/>
          <w:sz w:val="22"/>
          <w:szCs w:val="22"/>
        </w:rPr>
        <w:t>neutralità</w:t>
      </w:r>
      <w:r w:rsidR="006342C5" w:rsidRPr="007F7EBF">
        <w:rPr>
          <w:sz w:val="22"/>
          <w:szCs w:val="22"/>
        </w:rPr>
        <w:t xml:space="preserve">”, </w:t>
      </w:r>
      <w:r w:rsidR="00BE7B3D" w:rsidRPr="007F7EBF">
        <w:rPr>
          <w:sz w:val="22"/>
          <w:szCs w:val="22"/>
        </w:rPr>
        <w:t xml:space="preserve">come fossero "fusioni", </w:t>
      </w:r>
      <w:r w:rsidR="006342C5" w:rsidRPr="007F7EBF">
        <w:rPr>
          <w:sz w:val="22"/>
          <w:szCs w:val="22"/>
        </w:rPr>
        <w:t>mentre</w:t>
      </w:r>
      <w:r w:rsidRPr="007F7EBF">
        <w:rPr>
          <w:sz w:val="22"/>
          <w:szCs w:val="22"/>
        </w:rPr>
        <w:t xml:space="preserve"> </w:t>
      </w:r>
      <w:r w:rsidR="006342C5" w:rsidRPr="007F7EBF">
        <w:rPr>
          <w:sz w:val="22"/>
          <w:szCs w:val="22"/>
        </w:rPr>
        <w:t xml:space="preserve">i conferimenti di beni singoli danno luogo a </w:t>
      </w:r>
      <w:r w:rsidR="00E76234">
        <w:rPr>
          <w:sz w:val="22"/>
          <w:szCs w:val="22"/>
        </w:rPr>
        <w:t xml:space="preserve">plusvalenze o minusvalenze da </w:t>
      </w:r>
      <w:r w:rsidR="006342C5" w:rsidRPr="007F7EBF">
        <w:rPr>
          <w:sz w:val="22"/>
          <w:szCs w:val="22"/>
        </w:rPr>
        <w:t>realizzo</w:t>
      </w:r>
      <w:r w:rsidR="00E76234">
        <w:rPr>
          <w:sz w:val="22"/>
          <w:szCs w:val="22"/>
        </w:rPr>
        <w:t>, determinate in base alla differenza tra valore normale dei beni conferiti</w:t>
      </w:r>
      <w:r w:rsidR="006342C5" w:rsidRPr="007F7EBF">
        <w:rPr>
          <w:sz w:val="22"/>
          <w:szCs w:val="22"/>
        </w:rPr>
        <w:t xml:space="preserve"> </w:t>
      </w:r>
      <w:r w:rsidR="00E76234">
        <w:rPr>
          <w:sz w:val="22"/>
          <w:szCs w:val="22"/>
        </w:rPr>
        <w:t>e loro valore fiscalmente riconosciuto (</w:t>
      </w:r>
      <w:r w:rsidR="00726D79" w:rsidRPr="007F7EBF">
        <w:rPr>
          <w:rStyle w:val="Rimandonotaapidipagina"/>
          <w:sz w:val="22"/>
          <w:szCs w:val="22"/>
        </w:rPr>
        <w:footnoteReference w:id="1251"/>
      </w:r>
      <w:r w:rsidR="006342C5" w:rsidRPr="007F7EBF">
        <w:rPr>
          <w:sz w:val="22"/>
          <w:szCs w:val="22"/>
        </w:rPr>
        <w:t>).</w:t>
      </w:r>
    </w:p>
    <w:p w14:paraId="6EED87B3" w14:textId="79B6B684" w:rsidR="001E607D" w:rsidRPr="007F7EBF" w:rsidRDefault="006342C5" w:rsidP="00FB0877">
      <w:pPr>
        <w:pStyle w:val="Titolo3"/>
        <w:rPr>
          <w:sz w:val="22"/>
          <w:szCs w:val="22"/>
        </w:rPr>
      </w:pPr>
      <w:bookmarkStart w:id="120" w:name="_Toc63365030"/>
      <w:r w:rsidRPr="007F7EBF">
        <w:rPr>
          <w:rFonts w:ascii="Times New Roman" w:hAnsi="Times New Roman"/>
          <w:sz w:val="22"/>
          <w:szCs w:val="22"/>
        </w:rPr>
        <w:t xml:space="preserve">7.21. Determinazione </w:t>
      </w:r>
      <w:r w:rsidR="000C7DF3" w:rsidRPr="007F7EBF">
        <w:rPr>
          <w:rFonts w:ascii="Times New Roman" w:hAnsi="Times New Roman"/>
          <w:sz w:val="22"/>
          <w:szCs w:val="22"/>
          <w:lang w:val="it-IT"/>
        </w:rPr>
        <w:t>dei tributi</w:t>
      </w:r>
      <w:r w:rsidRPr="007F7EBF">
        <w:rPr>
          <w:rFonts w:ascii="Times New Roman" w:hAnsi="Times New Roman"/>
          <w:sz w:val="22"/>
          <w:szCs w:val="22"/>
        </w:rPr>
        <w:t xml:space="preserve"> e procedure concorsuali</w:t>
      </w:r>
      <w:bookmarkEnd w:id="120"/>
    </w:p>
    <w:p w14:paraId="297BC37B" w14:textId="77777777" w:rsidR="001E607D" w:rsidRPr="007F7EBF" w:rsidRDefault="001E607D" w:rsidP="001E607D">
      <w:pPr>
        <w:pStyle w:val="tit23"/>
        <w:ind w:left="6464" w:right="-1361" w:firstLine="0"/>
        <w:jc w:val="left"/>
        <w:rPr>
          <w:bCs/>
          <w:i/>
          <w:iCs/>
          <w:color w:val="0000FF"/>
          <w:lang w:val="it-IT"/>
        </w:rPr>
      </w:pPr>
      <w:r w:rsidRPr="007F7EBF">
        <w:rPr>
          <w:bCs/>
          <w:i/>
          <w:iCs/>
          <w:color w:val="0000FF"/>
          <w:lang w:val="it-IT"/>
        </w:rPr>
        <w:t>contraddizione apparente tra fallimento e tassazione</w:t>
      </w:r>
    </w:p>
    <w:p w14:paraId="59FC66C3" w14:textId="3FAD819F" w:rsidR="001E607D" w:rsidRPr="007F7EBF" w:rsidRDefault="00D11BA2" w:rsidP="00850DBD">
      <w:pPr>
        <w:autoSpaceDE w:val="0"/>
        <w:autoSpaceDN w:val="0"/>
        <w:adjustRightInd w:val="0"/>
        <w:rPr>
          <w:sz w:val="22"/>
          <w:szCs w:val="22"/>
        </w:rPr>
      </w:pPr>
      <w:r>
        <w:rPr>
          <w:sz w:val="22"/>
          <w:szCs w:val="22"/>
        </w:rPr>
        <w:t>Parlare di regimi fiscali del</w:t>
      </w:r>
      <w:r w:rsidR="00B052DF" w:rsidRPr="007F7EBF">
        <w:rPr>
          <w:sz w:val="22"/>
          <w:szCs w:val="22"/>
        </w:rPr>
        <w:t xml:space="preserve"> fallimento e </w:t>
      </w:r>
      <w:r>
        <w:rPr>
          <w:sz w:val="22"/>
          <w:szCs w:val="22"/>
        </w:rPr>
        <w:t>del</w:t>
      </w:r>
      <w:r w:rsidR="00B052DF" w:rsidRPr="007F7EBF">
        <w:rPr>
          <w:sz w:val="22"/>
          <w:szCs w:val="22"/>
        </w:rPr>
        <w:t>le a</w:t>
      </w:r>
      <w:r w:rsidR="00A835CE" w:rsidRPr="007F7EBF">
        <w:rPr>
          <w:sz w:val="22"/>
          <w:szCs w:val="22"/>
        </w:rPr>
        <w:t xml:space="preserve">ltre procedure concorsuali </w:t>
      </w:r>
      <w:r w:rsidR="001D24E3">
        <w:rPr>
          <w:sz w:val="22"/>
          <w:szCs w:val="22"/>
        </w:rPr>
        <w:t xml:space="preserve">sembra fuori luogo perché vi si associano impoverimenti, non certo le manifestazioni di forza economica cui commisurare le imposte. Invece, anche presso l’azienda in procedura concorsuale possono emergere </w:t>
      </w:r>
      <w:r w:rsidR="00B8046F">
        <w:rPr>
          <w:sz w:val="22"/>
          <w:szCs w:val="22"/>
        </w:rPr>
        <w:t xml:space="preserve">consumi o </w:t>
      </w:r>
      <w:r w:rsidR="001D24E3">
        <w:rPr>
          <w:sz w:val="22"/>
          <w:szCs w:val="22"/>
        </w:rPr>
        <w:t xml:space="preserve">redditi di terzi </w:t>
      </w:r>
      <w:r w:rsidR="00E109F2">
        <w:rPr>
          <w:bCs/>
          <w:sz w:val="22"/>
          <w:szCs w:val="22"/>
        </w:rPr>
        <w:t>(</w:t>
      </w:r>
      <w:r w:rsidR="00CB6473" w:rsidRPr="007F7EBF">
        <w:rPr>
          <w:rStyle w:val="Rimandonotaapidipagina"/>
          <w:sz w:val="22"/>
          <w:szCs w:val="22"/>
        </w:rPr>
        <w:footnoteReference w:id="1252"/>
      </w:r>
      <w:r w:rsidR="00E109F2">
        <w:rPr>
          <w:bCs/>
          <w:sz w:val="22"/>
          <w:szCs w:val="22"/>
        </w:rPr>
        <w:t>)</w:t>
      </w:r>
      <w:r w:rsidR="00A835CE" w:rsidRPr="007F7EBF">
        <w:rPr>
          <w:sz w:val="22"/>
          <w:szCs w:val="22"/>
        </w:rPr>
        <w:t xml:space="preserve">, come dipendenti, professionisti, </w:t>
      </w:r>
      <w:r w:rsidR="00084365">
        <w:rPr>
          <w:sz w:val="22"/>
          <w:szCs w:val="22"/>
        </w:rPr>
        <w:t>etc.</w:t>
      </w:r>
      <w:r w:rsidR="001D24E3">
        <w:rPr>
          <w:sz w:val="22"/>
          <w:szCs w:val="22"/>
        </w:rPr>
        <w:t xml:space="preserve">; su </w:t>
      </w:r>
      <w:r w:rsidR="00084365">
        <w:rPr>
          <w:sz w:val="22"/>
          <w:szCs w:val="22"/>
        </w:rPr>
        <w:t xml:space="preserve">entrambi, </w:t>
      </w:r>
      <w:r w:rsidR="001D24E3">
        <w:rPr>
          <w:sz w:val="22"/>
          <w:szCs w:val="22"/>
        </w:rPr>
        <w:t xml:space="preserve">gli organi della procedura dovranno </w:t>
      </w:r>
      <w:r w:rsidR="00FB0877">
        <w:rPr>
          <w:sz w:val="22"/>
          <w:szCs w:val="22"/>
        </w:rPr>
        <w:t>applica</w:t>
      </w:r>
      <w:r w:rsidR="001D24E3">
        <w:rPr>
          <w:sz w:val="22"/>
          <w:szCs w:val="22"/>
        </w:rPr>
        <w:t>re</w:t>
      </w:r>
      <w:r w:rsidR="00084365">
        <w:rPr>
          <w:sz w:val="22"/>
          <w:szCs w:val="22"/>
        </w:rPr>
        <w:t xml:space="preserve"> tributi,</w:t>
      </w:r>
      <w:r w:rsidR="00FB0877">
        <w:rPr>
          <w:sz w:val="22"/>
          <w:szCs w:val="22"/>
        </w:rPr>
        <w:t xml:space="preserve"> l’</w:t>
      </w:r>
      <w:r w:rsidR="00A835CE" w:rsidRPr="007F7EBF">
        <w:rPr>
          <w:sz w:val="22"/>
          <w:szCs w:val="22"/>
        </w:rPr>
        <w:t xml:space="preserve">IVA </w:t>
      </w:r>
      <w:r w:rsidR="00084365">
        <w:rPr>
          <w:sz w:val="22"/>
          <w:szCs w:val="22"/>
        </w:rPr>
        <w:t xml:space="preserve">sui consumi </w:t>
      </w:r>
      <w:r w:rsidR="00FB0877">
        <w:rPr>
          <w:sz w:val="22"/>
          <w:szCs w:val="22"/>
        </w:rPr>
        <w:t xml:space="preserve">e </w:t>
      </w:r>
      <w:r w:rsidR="00A835CE" w:rsidRPr="007F7EBF">
        <w:rPr>
          <w:sz w:val="22"/>
          <w:szCs w:val="22"/>
        </w:rPr>
        <w:t xml:space="preserve">le ritenute </w:t>
      </w:r>
      <w:r w:rsidR="00FB0877">
        <w:rPr>
          <w:sz w:val="22"/>
          <w:szCs w:val="22"/>
        </w:rPr>
        <w:t>alla fonte</w:t>
      </w:r>
      <w:r w:rsidR="00084365">
        <w:rPr>
          <w:sz w:val="22"/>
          <w:szCs w:val="22"/>
        </w:rPr>
        <w:t xml:space="preserve"> sui redditi</w:t>
      </w:r>
      <w:r w:rsidR="00A835CE" w:rsidRPr="007F7EBF">
        <w:rPr>
          <w:sz w:val="22"/>
          <w:szCs w:val="22"/>
        </w:rPr>
        <w:t xml:space="preserve">. </w:t>
      </w:r>
      <w:r w:rsidR="00084365">
        <w:rPr>
          <w:sz w:val="22"/>
          <w:szCs w:val="22"/>
        </w:rPr>
        <w:t>S</w:t>
      </w:r>
      <w:r w:rsidR="00CF069D">
        <w:rPr>
          <w:sz w:val="22"/>
          <w:szCs w:val="22"/>
        </w:rPr>
        <w:t xml:space="preserve">ulle manifestazioni reddituali </w:t>
      </w:r>
      <w:r w:rsidR="00084365">
        <w:rPr>
          <w:sz w:val="22"/>
          <w:szCs w:val="22"/>
        </w:rPr>
        <w:t xml:space="preserve">proprie, invece, l’azienda fallita, proprio in quanto tali, dovrebbe disporre di perdite riportabili sufficienti ad assorbire eventuali redditi emersi nel periodo fallimentare, ad esempio per la cessione di beni fortemente </w:t>
      </w:r>
      <w:proofErr w:type="spellStart"/>
      <w:r w:rsidR="00084365">
        <w:rPr>
          <w:sz w:val="22"/>
          <w:szCs w:val="22"/>
        </w:rPr>
        <w:t>plusvalenti</w:t>
      </w:r>
      <w:proofErr w:type="spellEnd"/>
      <w:r w:rsidR="00084365">
        <w:rPr>
          <w:sz w:val="22"/>
          <w:szCs w:val="22"/>
        </w:rPr>
        <w:t xml:space="preserve"> rispetto al valore fiscalmente riconosciuto, di cui al par.7.13.  </w:t>
      </w:r>
    </w:p>
    <w:p w14:paraId="42FF3AAE" w14:textId="6F27BE5D" w:rsidR="001E607D" w:rsidRPr="007F7EBF" w:rsidRDefault="007E369F" w:rsidP="001E607D">
      <w:pPr>
        <w:pStyle w:val="tit23"/>
        <w:ind w:left="6464" w:right="-1361" w:firstLine="0"/>
        <w:jc w:val="left"/>
        <w:rPr>
          <w:bCs/>
          <w:i/>
          <w:iCs/>
          <w:color w:val="0000FF"/>
          <w:lang w:val="it-IT"/>
        </w:rPr>
      </w:pPr>
      <w:r>
        <w:rPr>
          <w:bCs/>
          <w:i/>
          <w:iCs/>
          <w:color w:val="0000FF"/>
          <w:lang w:val="it-IT"/>
        </w:rPr>
        <w:t xml:space="preserve">fallimento </w:t>
      </w:r>
      <w:r w:rsidR="002A141C">
        <w:rPr>
          <w:bCs/>
          <w:i/>
          <w:iCs/>
          <w:color w:val="0000FF"/>
          <w:lang w:val="it-IT"/>
        </w:rPr>
        <w:t xml:space="preserve">perdite e ammanchi </w:t>
      </w:r>
      <w:r w:rsidR="00010109" w:rsidRPr="007F7EBF">
        <w:rPr>
          <w:bCs/>
          <w:i/>
          <w:iCs/>
          <w:color w:val="0000FF"/>
          <w:lang w:val="it-IT"/>
        </w:rPr>
        <w:t xml:space="preserve"> </w:t>
      </w:r>
    </w:p>
    <w:p w14:paraId="69A6D3C6" w14:textId="12A124FC" w:rsidR="002A141C" w:rsidRDefault="00FB0877" w:rsidP="002A141C">
      <w:pPr>
        <w:autoSpaceDE w:val="0"/>
        <w:autoSpaceDN w:val="0"/>
        <w:adjustRightInd w:val="0"/>
        <w:rPr>
          <w:sz w:val="22"/>
          <w:szCs w:val="22"/>
        </w:rPr>
      </w:pPr>
      <w:r>
        <w:rPr>
          <w:sz w:val="22"/>
          <w:szCs w:val="22"/>
        </w:rPr>
        <w:t>I</w:t>
      </w:r>
      <w:r w:rsidR="007E369F">
        <w:rPr>
          <w:sz w:val="22"/>
          <w:szCs w:val="22"/>
        </w:rPr>
        <w:t xml:space="preserve">l fallimento </w:t>
      </w:r>
      <w:r>
        <w:rPr>
          <w:sz w:val="22"/>
          <w:szCs w:val="22"/>
        </w:rPr>
        <w:t>non</w:t>
      </w:r>
      <w:r w:rsidR="002A141C">
        <w:rPr>
          <w:sz w:val="22"/>
          <w:szCs w:val="22"/>
        </w:rPr>
        <w:t xml:space="preserve"> deriva</w:t>
      </w:r>
      <w:r>
        <w:rPr>
          <w:sz w:val="22"/>
          <w:szCs w:val="22"/>
        </w:rPr>
        <w:t xml:space="preserve"> però solo</w:t>
      </w:r>
      <w:r w:rsidR="002A141C">
        <w:rPr>
          <w:sz w:val="22"/>
          <w:szCs w:val="22"/>
        </w:rPr>
        <w:t xml:space="preserve"> da re</w:t>
      </w:r>
      <w:r w:rsidR="007E369F">
        <w:rPr>
          <w:sz w:val="22"/>
          <w:szCs w:val="22"/>
        </w:rPr>
        <w:t xml:space="preserve">dditi negativi, cioè </w:t>
      </w:r>
      <w:r w:rsidR="00E17987">
        <w:rPr>
          <w:sz w:val="22"/>
          <w:szCs w:val="22"/>
        </w:rPr>
        <w:t>perdite</w:t>
      </w:r>
      <w:r w:rsidR="007E369F">
        <w:rPr>
          <w:sz w:val="22"/>
          <w:szCs w:val="22"/>
        </w:rPr>
        <w:t xml:space="preserve">, </w:t>
      </w:r>
      <w:r w:rsidR="002A141C">
        <w:rPr>
          <w:sz w:val="22"/>
          <w:szCs w:val="22"/>
        </w:rPr>
        <w:t>combinate a crisi di liquidità</w:t>
      </w:r>
      <w:r w:rsidR="00084365">
        <w:rPr>
          <w:sz w:val="22"/>
          <w:szCs w:val="22"/>
        </w:rPr>
        <w:t xml:space="preserve"> (carenza di cassa o di prestiti bancari); il fallimento può derivare anche da costi non deducibili, come le minusvalenze su partecipazioni azionarie (par.7.17)</w:t>
      </w:r>
      <w:r w:rsidR="007E369F">
        <w:rPr>
          <w:sz w:val="22"/>
          <w:szCs w:val="22"/>
        </w:rPr>
        <w:t xml:space="preserve"> </w:t>
      </w:r>
      <w:r w:rsidR="00084365">
        <w:rPr>
          <w:sz w:val="22"/>
          <w:szCs w:val="22"/>
        </w:rPr>
        <w:t>op</w:t>
      </w:r>
      <w:r>
        <w:rPr>
          <w:sz w:val="22"/>
          <w:szCs w:val="22"/>
        </w:rPr>
        <w:t>pure</w:t>
      </w:r>
      <w:r w:rsidR="007E369F">
        <w:rPr>
          <w:sz w:val="22"/>
          <w:szCs w:val="22"/>
        </w:rPr>
        <w:t xml:space="preserve"> </w:t>
      </w:r>
      <w:r w:rsidR="00264952" w:rsidRPr="007F7EBF">
        <w:rPr>
          <w:sz w:val="22"/>
          <w:szCs w:val="22"/>
        </w:rPr>
        <w:t xml:space="preserve">da </w:t>
      </w:r>
      <w:r w:rsidR="00084365">
        <w:rPr>
          <w:sz w:val="22"/>
          <w:szCs w:val="22"/>
        </w:rPr>
        <w:t xml:space="preserve">spese </w:t>
      </w:r>
      <w:r w:rsidR="00084365">
        <w:rPr>
          <w:sz w:val="22"/>
          <w:szCs w:val="22"/>
        </w:rPr>
        <w:lastRenderedPageBreak/>
        <w:t xml:space="preserve">personali dei soci, </w:t>
      </w:r>
      <w:r w:rsidR="00264952" w:rsidRPr="007F7EBF">
        <w:rPr>
          <w:sz w:val="22"/>
          <w:szCs w:val="22"/>
        </w:rPr>
        <w:t xml:space="preserve">ammanchi e distrazioni di attivo, </w:t>
      </w:r>
      <w:r w:rsidR="00F520C9" w:rsidRPr="007F7EBF">
        <w:rPr>
          <w:sz w:val="22"/>
          <w:szCs w:val="22"/>
        </w:rPr>
        <w:t xml:space="preserve">non </w:t>
      </w:r>
      <w:r w:rsidR="00F54F82" w:rsidRPr="007F7EBF">
        <w:rPr>
          <w:sz w:val="22"/>
          <w:szCs w:val="22"/>
        </w:rPr>
        <w:t>deducibili</w:t>
      </w:r>
      <w:r w:rsidR="00F520C9" w:rsidRPr="007F7EBF">
        <w:rPr>
          <w:sz w:val="22"/>
          <w:szCs w:val="22"/>
        </w:rPr>
        <w:t xml:space="preserve"> ai fini fiscali</w:t>
      </w:r>
      <w:r w:rsidR="003070C6">
        <w:rPr>
          <w:sz w:val="22"/>
          <w:szCs w:val="22"/>
        </w:rPr>
        <w:t xml:space="preserve">. </w:t>
      </w:r>
      <w:r w:rsidR="002A141C">
        <w:rPr>
          <w:sz w:val="22"/>
          <w:szCs w:val="22"/>
        </w:rPr>
        <w:t>Sarebbe opportuno, in tesi di laurea o dottorato, analizzare in quale misura fallimenti e liquidazioni siano l’epilogo di tante iniziative spontaneistiche, più o meno avventurose, del capitalismo familiare italiano,</w:t>
      </w:r>
      <w:r w:rsidR="002A1997">
        <w:rPr>
          <w:sz w:val="22"/>
          <w:szCs w:val="22"/>
        </w:rPr>
        <w:t xml:space="preserve"> non solo piccolo. La mancata istituzionalizzazione delle aziende </w:t>
      </w:r>
      <w:r w:rsidR="002A141C">
        <w:rPr>
          <w:sz w:val="22"/>
          <w:szCs w:val="22"/>
        </w:rPr>
        <w:t xml:space="preserve">si intreccia </w:t>
      </w:r>
      <w:r w:rsidR="00084365">
        <w:rPr>
          <w:sz w:val="22"/>
          <w:szCs w:val="22"/>
        </w:rPr>
        <w:t xml:space="preserve">infatti </w:t>
      </w:r>
      <w:r w:rsidR="002A1997">
        <w:rPr>
          <w:sz w:val="22"/>
          <w:szCs w:val="22"/>
        </w:rPr>
        <w:t xml:space="preserve">con </w:t>
      </w:r>
      <w:r w:rsidR="002A141C">
        <w:rPr>
          <w:sz w:val="22"/>
          <w:szCs w:val="22"/>
        </w:rPr>
        <w:t>la frequente megalomania</w:t>
      </w:r>
      <w:r w:rsidR="00084365">
        <w:rPr>
          <w:sz w:val="22"/>
          <w:szCs w:val="22"/>
        </w:rPr>
        <w:t xml:space="preserve"> dei titolari</w:t>
      </w:r>
      <w:r w:rsidR="002A1997">
        <w:rPr>
          <w:sz w:val="22"/>
          <w:szCs w:val="22"/>
        </w:rPr>
        <w:t>, nel tenore di vita personale e nell</w:t>
      </w:r>
      <w:r w:rsidR="00084365">
        <w:rPr>
          <w:sz w:val="22"/>
          <w:szCs w:val="22"/>
        </w:rPr>
        <w:t xml:space="preserve">e avventure </w:t>
      </w:r>
      <w:r w:rsidR="002A1997">
        <w:rPr>
          <w:sz w:val="22"/>
          <w:szCs w:val="22"/>
        </w:rPr>
        <w:t>imprenditorial</w:t>
      </w:r>
      <w:r w:rsidR="00084365">
        <w:rPr>
          <w:sz w:val="22"/>
          <w:szCs w:val="22"/>
        </w:rPr>
        <w:t>i</w:t>
      </w:r>
      <w:r w:rsidR="002A141C">
        <w:rPr>
          <w:sz w:val="22"/>
          <w:szCs w:val="22"/>
        </w:rPr>
        <w:t xml:space="preserve"> </w:t>
      </w:r>
      <w:r w:rsidR="002A1997">
        <w:rPr>
          <w:sz w:val="22"/>
          <w:szCs w:val="22"/>
        </w:rPr>
        <w:t>(</w:t>
      </w:r>
      <w:r w:rsidR="002A1997">
        <w:rPr>
          <w:rStyle w:val="Rimandonotaapidipagina"/>
          <w:sz w:val="22"/>
          <w:szCs w:val="22"/>
        </w:rPr>
        <w:footnoteReference w:id="1253"/>
      </w:r>
      <w:r w:rsidR="002A1997">
        <w:rPr>
          <w:sz w:val="22"/>
          <w:szCs w:val="22"/>
        </w:rPr>
        <w:t xml:space="preserve">). </w:t>
      </w:r>
    </w:p>
    <w:p w14:paraId="401733BD" w14:textId="27C0AB42" w:rsidR="002A141C" w:rsidRDefault="002A141C" w:rsidP="002A141C">
      <w:pPr>
        <w:pStyle w:val="tit23"/>
        <w:ind w:left="6464" w:right="-1361" w:firstLine="0"/>
        <w:jc w:val="left"/>
        <w:rPr>
          <w:bCs/>
          <w:i/>
          <w:iCs/>
          <w:color w:val="0000FF"/>
          <w:lang w:val="it-IT"/>
        </w:rPr>
      </w:pPr>
      <w:r>
        <w:rPr>
          <w:bCs/>
          <w:i/>
          <w:iCs/>
          <w:color w:val="0000FF"/>
          <w:lang w:val="it-IT"/>
        </w:rPr>
        <w:t>Fallimento come “</w:t>
      </w:r>
      <w:r w:rsidR="00FB0877">
        <w:rPr>
          <w:bCs/>
          <w:i/>
          <w:iCs/>
          <w:color w:val="0000FF"/>
          <w:lang w:val="it-IT"/>
        </w:rPr>
        <w:t>via d’uscita</w:t>
      </w:r>
      <w:r>
        <w:rPr>
          <w:bCs/>
          <w:i/>
          <w:iCs/>
          <w:color w:val="0000FF"/>
          <w:lang w:val="it-IT"/>
        </w:rPr>
        <w:t>”</w:t>
      </w:r>
    </w:p>
    <w:p w14:paraId="617727EB" w14:textId="77777777" w:rsidR="003558C0" w:rsidRDefault="00FB0877" w:rsidP="00BF0006">
      <w:pPr>
        <w:autoSpaceDE w:val="0"/>
        <w:autoSpaceDN w:val="0"/>
        <w:adjustRightInd w:val="0"/>
        <w:rPr>
          <w:sz w:val="22"/>
          <w:szCs w:val="22"/>
        </w:rPr>
      </w:pPr>
      <w:r>
        <w:rPr>
          <w:sz w:val="22"/>
          <w:szCs w:val="22"/>
        </w:rPr>
        <w:t xml:space="preserve">Quando </w:t>
      </w:r>
      <w:r w:rsidR="002A1997">
        <w:rPr>
          <w:sz w:val="22"/>
          <w:szCs w:val="22"/>
        </w:rPr>
        <w:t xml:space="preserve">il fallimento o altre procedure concorsuali, non sono troppo </w:t>
      </w:r>
      <w:r w:rsidR="00E21934">
        <w:rPr>
          <w:sz w:val="22"/>
          <w:szCs w:val="22"/>
        </w:rPr>
        <w:t xml:space="preserve">mediaticamente </w:t>
      </w:r>
      <w:r w:rsidR="002A1997">
        <w:rPr>
          <w:sz w:val="22"/>
          <w:szCs w:val="22"/>
        </w:rPr>
        <w:t>clamorose (</w:t>
      </w:r>
      <w:r w:rsidR="002A1997">
        <w:rPr>
          <w:rStyle w:val="Rimandonotaapidipagina"/>
          <w:sz w:val="22"/>
          <w:szCs w:val="22"/>
        </w:rPr>
        <w:footnoteReference w:id="1254"/>
      </w:r>
      <w:r w:rsidR="002A1997">
        <w:rPr>
          <w:sz w:val="22"/>
          <w:szCs w:val="22"/>
        </w:rPr>
        <w:t>),</w:t>
      </w:r>
      <w:r w:rsidR="00912E53">
        <w:rPr>
          <w:sz w:val="22"/>
          <w:szCs w:val="22"/>
        </w:rPr>
        <w:t xml:space="preserve"> </w:t>
      </w:r>
      <w:r w:rsidR="00F2698C">
        <w:rPr>
          <w:sz w:val="22"/>
          <w:szCs w:val="22"/>
        </w:rPr>
        <w:t xml:space="preserve">non </w:t>
      </w:r>
      <w:r>
        <w:rPr>
          <w:sz w:val="22"/>
          <w:szCs w:val="22"/>
        </w:rPr>
        <w:t>si accompagnano a</w:t>
      </w:r>
      <w:r w:rsidR="00F2698C">
        <w:rPr>
          <w:sz w:val="22"/>
          <w:szCs w:val="22"/>
        </w:rPr>
        <w:t xml:space="preserve"> un’a</w:t>
      </w:r>
      <w:r w:rsidR="00912E53">
        <w:rPr>
          <w:sz w:val="22"/>
          <w:szCs w:val="22"/>
        </w:rPr>
        <w:t xml:space="preserve">pprofondita analisi retrospettiva della gestione che ha portato alla crisi. </w:t>
      </w:r>
      <w:r w:rsidR="00370E3B">
        <w:rPr>
          <w:sz w:val="22"/>
          <w:szCs w:val="22"/>
        </w:rPr>
        <w:t xml:space="preserve">Insomma, se </w:t>
      </w:r>
      <w:r w:rsidR="00F2698C">
        <w:rPr>
          <w:sz w:val="22"/>
          <w:szCs w:val="22"/>
        </w:rPr>
        <w:t>un</w:t>
      </w:r>
      <w:r w:rsidR="00370E3B">
        <w:rPr>
          <w:sz w:val="22"/>
          <w:szCs w:val="22"/>
        </w:rPr>
        <w:t xml:space="preserve">a gestione </w:t>
      </w:r>
      <w:r>
        <w:rPr>
          <w:sz w:val="22"/>
          <w:szCs w:val="22"/>
        </w:rPr>
        <w:t xml:space="preserve">minimamente seria </w:t>
      </w:r>
      <w:r w:rsidR="00370E3B">
        <w:rPr>
          <w:sz w:val="22"/>
          <w:szCs w:val="22"/>
        </w:rPr>
        <w:t>c’è stata</w:t>
      </w:r>
      <w:r w:rsidR="00F2698C">
        <w:rPr>
          <w:sz w:val="22"/>
          <w:szCs w:val="22"/>
        </w:rPr>
        <w:t xml:space="preserve">, la crisi viene addebitata a difficoltà gestionali, senza </w:t>
      </w:r>
      <w:r w:rsidR="00B03F87">
        <w:rPr>
          <w:sz w:val="22"/>
          <w:szCs w:val="22"/>
        </w:rPr>
        <w:t>approfondite analisi</w:t>
      </w:r>
      <w:r w:rsidR="00F2698C">
        <w:rPr>
          <w:sz w:val="22"/>
          <w:szCs w:val="22"/>
        </w:rPr>
        <w:t xml:space="preserve"> </w:t>
      </w:r>
      <w:r w:rsidR="003234BC">
        <w:rPr>
          <w:sz w:val="22"/>
          <w:szCs w:val="22"/>
        </w:rPr>
        <w:t xml:space="preserve">documentali </w:t>
      </w:r>
      <w:r w:rsidR="00B03F87">
        <w:rPr>
          <w:sz w:val="22"/>
          <w:szCs w:val="22"/>
        </w:rPr>
        <w:t xml:space="preserve">sulla documentazione </w:t>
      </w:r>
      <w:r w:rsidR="005501E7">
        <w:rPr>
          <w:sz w:val="22"/>
          <w:szCs w:val="22"/>
        </w:rPr>
        <w:t xml:space="preserve"> degli anni precedenti, </w:t>
      </w:r>
      <w:r w:rsidR="00B03F87">
        <w:rPr>
          <w:sz w:val="22"/>
          <w:szCs w:val="22"/>
        </w:rPr>
        <w:t xml:space="preserve"> da cui potrebbero scaturire le omissioni di ricavi e i costi gonfiati descritti al par.3.7 (</w:t>
      </w:r>
      <w:r w:rsidR="00B03F87">
        <w:rPr>
          <w:rStyle w:val="Rimandonotaapidipagina"/>
          <w:sz w:val="22"/>
          <w:szCs w:val="22"/>
        </w:rPr>
        <w:footnoteReference w:id="1255"/>
      </w:r>
      <w:r w:rsidR="00B03F87">
        <w:rPr>
          <w:sz w:val="22"/>
          <w:szCs w:val="22"/>
        </w:rPr>
        <w:t>).  I</w:t>
      </w:r>
      <w:r w:rsidR="00F2698C">
        <w:rPr>
          <w:sz w:val="22"/>
          <w:szCs w:val="22"/>
        </w:rPr>
        <w:t xml:space="preserve">l fallimento diventa </w:t>
      </w:r>
      <w:r w:rsidR="00B03F87">
        <w:rPr>
          <w:sz w:val="22"/>
          <w:szCs w:val="22"/>
        </w:rPr>
        <w:t xml:space="preserve">così </w:t>
      </w:r>
      <w:r w:rsidR="00F2698C">
        <w:rPr>
          <w:sz w:val="22"/>
          <w:szCs w:val="22"/>
        </w:rPr>
        <w:t xml:space="preserve">una specie di </w:t>
      </w:r>
      <w:r w:rsidR="00F2698C" w:rsidRPr="00F2698C">
        <w:rPr>
          <w:i/>
          <w:sz w:val="22"/>
          <w:szCs w:val="22"/>
        </w:rPr>
        <w:t>“porto delle nebbie”</w:t>
      </w:r>
      <w:r w:rsidR="00F2698C">
        <w:rPr>
          <w:sz w:val="22"/>
          <w:szCs w:val="22"/>
        </w:rPr>
        <w:t xml:space="preserve"> </w:t>
      </w:r>
      <w:r>
        <w:rPr>
          <w:sz w:val="22"/>
          <w:szCs w:val="22"/>
        </w:rPr>
        <w:t xml:space="preserve">, un “sudario imprenditoriale” </w:t>
      </w:r>
      <w:r w:rsidR="003558C0">
        <w:rPr>
          <w:sz w:val="22"/>
          <w:szCs w:val="22"/>
        </w:rPr>
        <w:t>che oggettivamente</w:t>
      </w:r>
      <w:r>
        <w:rPr>
          <w:sz w:val="22"/>
          <w:szCs w:val="22"/>
        </w:rPr>
        <w:t xml:space="preserve"> chiude attività d’impresa senza danni, coi protagonisti che eventualmente “ripartono da zero”(</w:t>
      </w:r>
      <w:r>
        <w:rPr>
          <w:rStyle w:val="Rimandonotaapidipagina"/>
          <w:sz w:val="22"/>
          <w:szCs w:val="22"/>
        </w:rPr>
        <w:footnoteReference w:id="1256"/>
      </w:r>
      <w:r>
        <w:rPr>
          <w:sz w:val="22"/>
          <w:szCs w:val="22"/>
        </w:rPr>
        <w:t>). S</w:t>
      </w:r>
      <w:r w:rsidR="00912E53">
        <w:rPr>
          <w:sz w:val="22"/>
          <w:szCs w:val="22"/>
        </w:rPr>
        <w:t xml:space="preserve">pesso </w:t>
      </w:r>
      <w:r w:rsidR="00F2698C">
        <w:rPr>
          <w:sz w:val="22"/>
          <w:szCs w:val="22"/>
        </w:rPr>
        <w:t xml:space="preserve">viene </w:t>
      </w:r>
      <w:r w:rsidR="00912E53">
        <w:rPr>
          <w:sz w:val="22"/>
          <w:szCs w:val="22"/>
        </w:rPr>
        <w:t>proposto ai creditori un “concordato in continuità” per liberarsi in parte dei debiti</w:t>
      </w:r>
      <w:r w:rsidR="00B03F87">
        <w:rPr>
          <w:sz w:val="22"/>
          <w:szCs w:val="22"/>
        </w:rPr>
        <w:t>, guardando al futuro e dimenticandosi del passato</w:t>
      </w:r>
      <w:r w:rsidR="003345BA">
        <w:rPr>
          <w:sz w:val="22"/>
          <w:szCs w:val="22"/>
        </w:rPr>
        <w:t xml:space="preserve"> </w:t>
      </w:r>
      <w:r w:rsidR="00B03F87">
        <w:rPr>
          <w:sz w:val="22"/>
          <w:szCs w:val="22"/>
        </w:rPr>
        <w:t>(</w:t>
      </w:r>
      <w:r w:rsidR="00B03F87">
        <w:rPr>
          <w:rStyle w:val="Rimandonotaapidipagina"/>
          <w:sz w:val="22"/>
          <w:szCs w:val="22"/>
        </w:rPr>
        <w:footnoteReference w:id="1257"/>
      </w:r>
      <w:r w:rsidR="00B03F87">
        <w:rPr>
          <w:sz w:val="22"/>
          <w:szCs w:val="22"/>
        </w:rPr>
        <w:t>)</w:t>
      </w:r>
      <w:r w:rsidR="00F2698C">
        <w:rPr>
          <w:sz w:val="22"/>
          <w:szCs w:val="22"/>
        </w:rPr>
        <w:t xml:space="preserve">. </w:t>
      </w:r>
    </w:p>
    <w:p w14:paraId="5DB76EA3" w14:textId="77777777" w:rsidR="007D3E11" w:rsidRPr="007F7EBF" w:rsidRDefault="007D3E11" w:rsidP="007D3E11">
      <w:pPr>
        <w:autoSpaceDE w:val="0"/>
        <w:autoSpaceDN w:val="0"/>
        <w:adjustRightInd w:val="0"/>
        <w:rPr>
          <w:sz w:val="22"/>
          <w:szCs w:val="22"/>
        </w:rPr>
      </w:pPr>
    </w:p>
    <w:p w14:paraId="611C564E" w14:textId="1A861572" w:rsidR="007D3E11" w:rsidRPr="007F7EBF" w:rsidRDefault="007D3E11" w:rsidP="007D3E11">
      <w:pPr>
        <w:pStyle w:val="tit23"/>
        <w:ind w:left="6464" w:right="-1361" w:firstLine="0"/>
        <w:jc w:val="left"/>
        <w:rPr>
          <w:bCs/>
          <w:i/>
          <w:iCs/>
          <w:color w:val="0000FF"/>
          <w:lang w:val="it-IT"/>
        </w:rPr>
      </w:pPr>
      <w:r>
        <w:rPr>
          <w:bCs/>
          <w:i/>
          <w:iCs/>
          <w:color w:val="0000FF"/>
          <w:lang w:val="it-IT"/>
        </w:rPr>
        <w:t xml:space="preserve">La strana tassazione sul residuo attivo </w:t>
      </w:r>
      <w:r w:rsidRPr="007F7EBF">
        <w:rPr>
          <w:bCs/>
          <w:i/>
          <w:iCs/>
          <w:color w:val="0000FF"/>
          <w:lang w:val="it-IT"/>
        </w:rPr>
        <w:t xml:space="preserve"> </w:t>
      </w:r>
    </w:p>
    <w:p w14:paraId="4F24B96A" w14:textId="7F097CDB" w:rsidR="007D3E11" w:rsidRPr="007F7EBF" w:rsidRDefault="00757AC4" w:rsidP="007D3E11">
      <w:pPr>
        <w:autoSpaceDE w:val="0"/>
        <w:autoSpaceDN w:val="0"/>
        <w:adjustRightInd w:val="0"/>
        <w:rPr>
          <w:sz w:val="22"/>
          <w:szCs w:val="22"/>
        </w:rPr>
      </w:pPr>
      <w:r>
        <w:rPr>
          <w:sz w:val="22"/>
          <w:szCs w:val="22"/>
        </w:rPr>
        <w:t>Q</w:t>
      </w:r>
      <w:r w:rsidR="003345BA">
        <w:rPr>
          <w:sz w:val="22"/>
          <w:szCs w:val="22"/>
        </w:rPr>
        <w:t>uest</w:t>
      </w:r>
      <w:r>
        <w:rPr>
          <w:sz w:val="22"/>
          <w:szCs w:val="22"/>
        </w:rPr>
        <w:t>’ultim</w:t>
      </w:r>
      <w:r w:rsidR="003345BA">
        <w:rPr>
          <w:sz w:val="22"/>
          <w:szCs w:val="22"/>
        </w:rPr>
        <w:t xml:space="preserve">o, come si </w:t>
      </w:r>
      <w:proofErr w:type="spellStart"/>
      <w:r w:rsidR="003345BA">
        <w:rPr>
          <w:sz w:val="22"/>
          <w:szCs w:val="22"/>
        </w:rPr>
        <w:t>suol</w:t>
      </w:r>
      <w:proofErr w:type="spellEnd"/>
      <w:r w:rsidR="003345BA">
        <w:rPr>
          <w:sz w:val="22"/>
          <w:szCs w:val="22"/>
        </w:rPr>
        <w:t xml:space="preserve"> dire, cade nel dimenticatoio</w:t>
      </w:r>
      <w:r w:rsidR="003558C0">
        <w:rPr>
          <w:sz w:val="22"/>
          <w:szCs w:val="22"/>
        </w:rPr>
        <w:t>,</w:t>
      </w:r>
      <w:r w:rsidR="003345BA">
        <w:rPr>
          <w:sz w:val="22"/>
          <w:szCs w:val="22"/>
        </w:rPr>
        <w:t xml:space="preserve"> anche ai fini tributari, in quanto l’eventuale ed estremamente improbabile reddito </w:t>
      </w:r>
      <w:r w:rsidR="003345BA">
        <w:rPr>
          <w:sz w:val="22"/>
          <w:szCs w:val="22"/>
        </w:rPr>
        <w:lastRenderedPageBreak/>
        <w:t xml:space="preserve">imponibile </w:t>
      </w:r>
      <w:r w:rsidR="00912E53" w:rsidRPr="007F7EBF">
        <w:rPr>
          <w:sz w:val="22"/>
          <w:szCs w:val="22"/>
        </w:rPr>
        <w:t xml:space="preserve">è dato </w:t>
      </w:r>
      <w:r w:rsidR="003345BA">
        <w:rPr>
          <w:sz w:val="22"/>
          <w:szCs w:val="22"/>
        </w:rPr>
        <w:t xml:space="preserve">(art. </w:t>
      </w:r>
      <w:r w:rsidR="00EC4BD5">
        <w:rPr>
          <w:sz w:val="22"/>
          <w:szCs w:val="22"/>
        </w:rPr>
        <w:t xml:space="preserve">183 Tuir) </w:t>
      </w:r>
      <w:r w:rsidR="00912E53" w:rsidRPr="007F7EBF">
        <w:rPr>
          <w:sz w:val="22"/>
          <w:szCs w:val="22"/>
        </w:rPr>
        <w:t>dalla differenza tr</w:t>
      </w:r>
      <w:r w:rsidR="00EC4BD5">
        <w:rPr>
          <w:sz w:val="22"/>
          <w:szCs w:val="22"/>
        </w:rPr>
        <w:t>a</w:t>
      </w:r>
      <w:r w:rsidR="00912E53" w:rsidRPr="007F7EBF">
        <w:rPr>
          <w:sz w:val="22"/>
          <w:szCs w:val="22"/>
        </w:rPr>
        <w:t xml:space="preserve"> il patrimonio netto risultante dal «bilancio di apertura»</w:t>
      </w:r>
      <w:r w:rsidR="00EC4BD5">
        <w:rPr>
          <w:sz w:val="22"/>
          <w:szCs w:val="22"/>
        </w:rPr>
        <w:t xml:space="preserve"> e l’eventuale residuo attivo.</w:t>
      </w:r>
      <w:r>
        <w:rPr>
          <w:sz w:val="22"/>
          <w:szCs w:val="22"/>
        </w:rPr>
        <w:t xml:space="preserve"> S</w:t>
      </w:r>
      <w:r w:rsidR="00EC4BD5">
        <w:rPr>
          <w:sz w:val="22"/>
          <w:szCs w:val="22"/>
        </w:rPr>
        <w:t>e quindi il bilancio di apertura è, come sempre avviene, “in deficit”</w:t>
      </w:r>
      <w:r w:rsidR="006F4CD3">
        <w:rPr>
          <w:rStyle w:val="Rimandonotaapidipagina"/>
          <w:sz w:val="22"/>
          <w:szCs w:val="22"/>
        </w:rPr>
        <w:footnoteReference w:id="1258"/>
      </w:r>
      <w:r w:rsidR="00EC4BD5">
        <w:rPr>
          <w:sz w:val="22"/>
          <w:szCs w:val="22"/>
        </w:rPr>
        <w:t>, nel senso che i debiti eccedono le attività, nessun imponibile emerge</w:t>
      </w:r>
      <w:r w:rsidR="00BF0006">
        <w:rPr>
          <w:sz w:val="22"/>
          <w:szCs w:val="22"/>
        </w:rPr>
        <w:t xml:space="preserve">; l’unica eccezione possono essere </w:t>
      </w:r>
      <w:r w:rsidR="00BF0006" w:rsidRPr="007F7EBF">
        <w:rPr>
          <w:sz w:val="22"/>
          <w:szCs w:val="22"/>
        </w:rPr>
        <w:t xml:space="preserve">fallimenti fortunatissimi, o pronunciati per illiquidità, anziché per eccedenza di debiti. </w:t>
      </w:r>
      <w:r w:rsidR="006F4CD3">
        <w:rPr>
          <w:sz w:val="22"/>
          <w:szCs w:val="22"/>
        </w:rPr>
        <w:t>A rigore gli uffici tributari potrebbero indagare sugli anni precedenti per “utili extra bilancio”</w:t>
      </w:r>
      <w:r>
        <w:rPr>
          <w:sz w:val="22"/>
          <w:szCs w:val="22"/>
        </w:rPr>
        <w:t>, attribuiti all’imprenditore, ma le prove sono difficili da trovare, ed</w:t>
      </w:r>
      <w:r w:rsidR="006F4CD3">
        <w:rPr>
          <w:sz w:val="22"/>
          <w:szCs w:val="22"/>
        </w:rPr>
        <w:t xml:space="preserve"> essendo l’azienda fallita</w:t>
      </w:r>
      <w:r>
        <w:rPr>
          <w:sz w:val="22"/>
          <w:szCs w:val="22"/>
        </w:rPr>
        <w:t xml:space="preserve"> </w:t>
      </w:r>
      <w:r w:rsidR="007D3E11">
        <w:rPr>
          <w:sz w:val="22"/>
          <w:szCs w:val="22"/>
        </w:rPr>
        <w:t>quest</w:t>
      </w:r>
      <w:r>
        <w:rPr>
          <w:sz w:val="22"/>
          <w:szCs w:val="22"/>
        </w:rPr>
        <w:t xml:space="preserve">e indagini </w:t>
      </w:r>
      <w:r w:rsidR="007D3E11">
        <w:rPr>
          <w:sz w:val="22"/>
          <w:szCs w:val="22"/>
        </w:rPr>
        <w:t>per di più</w:t>
      </w:r>
      <w:r>
        <w:rPr>
          <w:sz w:val="22"/>
          <w:szCs w:val="22"/>
        </w:rPr>
        <w:t xml:space="preserve"> appaiono “antieconomiche”. </w:t>
      </w:r>
      <w:r w:rsidR="006F4CD3">
        <w:rPr>
          <w:sz w:val="22"/>
          <w:szCs w:val="22"/>
        </w:rPr>
        <w:t xml:space="preserve"> </w:t>
      </w:r>
    </w:p>
    <w:p w14:paraId="4EE9EBD7" w14:textId="0CA83023" w:rsidR="007D3E11" w:rsidRPr="007F7EBF" w:rsidRDefault="007D3E11" w:rsidP="007D3E11">
      <w:pPr>
        <w:pStyle w:val="tit23"/>
        <w:ind w:left="6464" w:right="-1361" w:firstLine="0"/>
        <w:jc w:val="left"/>
        <w:rPr>
          <w:bCs/>
          <w:i/>
          <w:iCs/>
          <w:color w:val="0000FF"/>
          <w:lang w:val="it-IT"/>
        </w:rPr>
      </w:pPr>
      <w:r>
        <w:rPr>
          <w:bCs/>
          <w:i/>
          <w:iCs/>
          <w:color w:val="0000FF"/>
          <w:lang w:val="it-IT"/>
        </w:rPr>
        <w:t xml:space="preserve">Asimmetria creditori debitore </w:t>
      </w:r>
      <w:r w:rsidRPr="007F7EBF">
        <w:rPr>
          <w:bCs/>
          <w:i/>
          <w:iCs/>
          <w:color w:val="0000FF"/>
          <w:lang w:val="it-IT"/>
        </w:rPr>
        <w:t xml:space="preserve"> </w:t>
      </w:r>
    </w:p>
    <w:p w14:paraId="2B4B60C5" w14:textId="03D7F66E" w:rsidR="007D3E11" w:rsidRPr="007F7EBF" w:rsidRDefault="006F4CD3" w:rsidP="007D3E11">
      <w:pPr>
        <w:autoSpaceDE w:val="0"/>
        <w:autoSpaceDN w:val="0"/>
        <w:adjustRightInd w:val="0"/>
        <w:rPr>
          <w:sz w:val="22"/>
          <w:szCs w:val="22"/>
        </w:rPr>
      </w:pPr>
      <w:r>
        <w:rPr>
          <w:sz w:val="22"/>
          <w:szCs w:val="22"/>
        </w:rPr>
        <w:t xml:space="preserve">Neppure le diminuzioni di debito da concordato preventivo costituiscono sopravvenienze attive, con </w:t>
      </w:r>
      <w:r w:rsidR="00BF0006" w:rsidRPr="007F7EBF">
        <w:rPr>
          <w:sz w:val="22"/>
          <w:szCs w:val="22"/>
        </w:rPr>
        <w:t>asimmetria rispetto alla piena deduzione fiscale delle corrispondenti perdite in capo ai creditor</w:t>
      </w:r>
      <w:r>
        <w:rPr>
          <w:sz w:val="22"/>
          <w:szCs w:val="22"/>
        </w:rPr>
        <w:t xml:space="preserve">i </w:t>
      </w:r>
      <w:r w:rsidR="00BF0006" w:rsidRPr="007F7EBF">
        <w:rPr>
          <w:rStyle w:val="Rimandonotaapidipagina"/>
          <w:sz w:val="22"/>
          <w:szCs w:val="22"/>
        </w:rPr>
        <w:footnoteReference w:id="1259"/>
      </w:r>
      <w:r w:rsidR="00BF0006" w:rsidRPr="007F7EBF">
        <w:rPr>
          <w:sz w:val="22"/>
          <w:szCs w:val="22"/>
        </w:rPr>
        <w:t xml:space="preserve">. </w:t>
      </w:r>
      <w:r w:rsidR="00174079">
        <w:rPr>
          <w:sz w:val="22"/>
          <w:szCs w:val="22"/>
        </w:rPr>
        <w:t xml:space="preserve">L’annullamento dell’operazione, recuperando il tributo, è possibile anche in caso di insolvenza del cliente, sia esso consumatore finale o operatore economico, nel qual caso è però necessaria una procedura fallimentare (par.7.21). </w:t>
      </w:r>
    </w:p>
    <w:p w14:paraId="05CC25EF" w14:textId="1D57AE97" w:rsidR="007D3E11" w:rsidRPr="007F7EBF" w:rsidRDefault="007D3E11" w:rsidP="007D3E11">
      <w:pPr>
        <w:pStyle w:val="tit23"/>
        <w:ind w:left="6464" w:right="-1361" w:firstLine="0"/>
        <w:jc w:val="left"/>
        <w:rPr>
          <w:bCs/>
          <w:i/>
          <w:iCs/>
          <w:color w:val="0000FF"/>
          <w:lang w:val="it-IT"/>
        </w:rPr>
      </w:pPr>
      <w:r>
        <w:rPr>
          <w:bCs/>
          <w:i/>
          <w:iCs/>
          <w:color w:val="0000FF"/>
          <w:lang w:val="it-IT"/>
        </w:rPr>
        <w:t>profili IVA</w:t>
      </w:r>
      <w:r w:rsidRPr="007F7EBF">
        <w:rPr>
          <w:bCs/>
          <w:i/>
          <w:iCs/>
          <w:color w:val="0000FF"/>
          <w:lang w:val="it-IT"/>
        </w:rPr>
        <w:t xml:space="preserve"> </w:t>
      </w:r>
    </w:p>
    <w:p w14:paraId="7F835859" w14:textId="37615EEC" w:rsidR="00BF0006" w:rsidRPr="00174079" w:rsidRDefault="00174079" w:rsidP="00BF0006">
      <w:pPr>
        <w:autoSpaceDE w:val="0"/>
        <w:autoSpaceDN w:val="0"/>
        <w:adjustRightInd w:val="0"/>
        <w:rPr>
          <w:sz w:val="22"/>
          <w:szCs w:val="22"/>
        </w:rPr>
      </w:pPr>
      <w:r>
        <w:rPr>
          <w:sz w:val="22"/>
          <w:szCs w:val="22"/>
        </w:rPr>
        <w:t xml:space="preserve">Anche l’insolvenza del cliente IVA consente di annullare l’operazione, recuperando il tributo, è possibile anche in caso di insolvenza del cliente, sia esso consumatore finale o operatore economico, nel qual caso è però necessaria una procedura fallimentare (par.7.21). </w:t>
      </w:r>
    </w:p>
    <w:p w14:paraId="6DE6269D" w14:textId="38AC3164" w:rsidR="006F4CD3" w:rsidRPr="007F7EBF" w:rsidRDefault="00757AC4" w:rsidP="006F4CD3">
      <w:pPr>
        <w:autoSpaceDE w:val="0"/>
        <w:autoSpaceDN w:val="0"/>
        <w:adjustRightInd w:val="0"/>
        <w:rPr>
          <w:sz w:val="22"/>
          <w:szCs w:val="22"/>
        </w:rPr>
      </w:pPr>
      <w:r>
        <w:rPr>
          <w:sz w:val="22"/>
          <w:szCs w:val="22"/>
        </w:rPr>
        <w:t xml:space="preserve">E’ un riflesso dell’assenza di una cornice </w:t>
      </w:r>
      <w:r w:rsidR="00EC4BD5">
        <w:rPr>
          <w:sz w:val="22"/>
          <w:szCs w:val="22"/>
        </w:rPr>
        <w:t>“scientifico-sociale</w:t>
      </w:r>
      <w:r>
        <w:rPr>
          <w:sz w:val="22"/>
          <w:szCs w:val="22"/>
        </w:rPr>
        <w:t>” su fallimento e procedure concorsuali</w:t>
      </w:r>
      <w:r w:rsidR="00EC4BD5">
        <w:rPr>
          <w:sz w:val="22"/>
          <w:szCs w:val="22"/>
        </w:rPr>
        <w:t xml:space="preserve">, </w:t>
      </w:r>
      <w:r>
        <w:rPr>
          <w:sz w:val="22"/>
          <w:szCs w:val="22"/>
        </w:rPr>
        <w:t xml:space="preserve">per cui non esiste neppure la premessa di una autonoma </w:t>
      </w:r>
      <w:r>
        <w:t xml:space="preserve">comunità scientifica (par.4.7), ma solo </w:t>
      </w:r>
      <w:r>
        <w:lastRenderedPageBreak/>
        <w:t>tecnici, senza visione di insieme, e dove si parla “per norme”, non per concetti (</w:t>
      </w:r>
      <w:r>
        <w:rPr>
          <w:rStyle w:val="Rimandonotaapidipagina"/>
        </w:rPr>
        <w:footnoteReference w:id="1260"/>
      </w:r>
      <w:r>
        <w:t>).</w:t>
      </w:r>
    </w:p>
    <w:p w14:paraId="31643DA3" w14:textId="4567186B" w:rsidR="006F4CD3" w:rsidRPr="007F7EBF" w:rsidRDefault="006F4CD3" w:rsidP="006F4CD3">
      <w:pPr>
        <w:pStyle w:val="tit23"/>
        <w:ind w:left="6464" w:right="-1361" w:firstLine="0"/>
        <w:jc w:val="left"/>
        <w:rPr>
          <w:bCs/>
          <w:i/>
          <w:iCs/>
          <w:color w:val="0000FF"/>
          <w:lang w:val="it-IT"/>
        </w:rPr>
      </w:pPr>
      <w:r w:rsidRPr="007F7EBF">
        <w:rPr>
          <w:bCs/>
          <w:i/>
          <w:iCs/>
          <w:color w:val="0000FF"/>
          <w:lang w:val="it-IT"/>
        </w:rPr>
        <w:t xml:space="preserve">Crediti tributari e transazione </w:t>
      </w:r>
      <w:r w:rsidR="00D5519D">
        <w:rPr>
          <w:bCs/>
          <w:i/>
          <w:iCs/>
          <w:color w:val="0000FF"/>
          <w:lang w:val="it-IT"/>
        </w:rPr>
        <w:t>+</w:t>
      </w:r>
      <w:r w:rsidRPr="007F7EBF">
        <w:rPr>
          <w:bCs/>
          <w:i/>
          <w:iCs/>
          <w:color w:val="0000FF"/>
          <w:lang w:val="it-IT"/>
        </w:rPr>
        <w:t>fiscale</w:t>
      </w:r>
    </w:p>
    <w:p w14:paraId="4B1845EA" w14:textId="77EA2640" w:rsidR="002A141C" w:rsidRPr="007F7EBF" w:rsidRDefault="004E5713" w:rsidP="002A141C">
      <w:pPr>
        <w:autoSpaceDE w:val="0"/>
        <w:autoSpaceDN w:val="0"/>
        <w:adjustRightInd w:val="0"/>
        <w:rPr>
          <w:sz w:val="22"/>
          <w:szCs w:val="22"/>
        </w:rPr>
      </w:pPr>
      <w:r>
        <w:rPr>
          <w:sz w:val="22"/>
          <w:szCs w:val="22"/>
        </w:rPr>
        <w:t xml:space="preserve">La via d’uscita “fallimentare” </w:t>
      </w:r>
      <w:r w:rsidR="006F4CD3">
        <w:rPr>
          <w:sz w:val="22"/>
          <w:szCs w:val="22"/>
        </w:rPr>
        <w:t>si sta estendendo negli ultimi anni anche ai “debiti tributari”</w:t>
      </w:r>
      <w:r w:rsidR="006F4CD3" w:rsidRPr="007F7EBF">
        <w:rPr>
          <w:sz w:val="22"/>
          <w:szCs w:val="22"/>
        </w:rPr>
        <w:t>, dichiarati dal contribuente o accertati dagli uffici, come indicato al par.6.11, sull'evasione da riscossione</w:t>
      </w:r>
      <w:r w:rsidR="007D3E11">
        <w:rPr>
          <w:sz w:val="22"/>
          <w:szCs w:val="22"/>
        </w:rPr>
        <w:t>(</w:t>
      </w:r>
      <w:r w:rsidR="006F4CD3" w:rsidRPr="007F7EBF">
        <w:rPr>
          <w:rStyle w:val="Rimandonotaapidipagina"/>
          <w:sz w:val="22"/>
          <w:szCs w:val="22"/>
        </w:rPr>
        <w:footnoteReference w:id="1261"/>
      </w:r>
      <w:r w:rsidR="007D3E11">
        <w:rPr>
          <w:sz w:val="22"/>
          <w:szCs w:val="22"/>
        </w:rPr>
        <w:t>)</w:t>
      </w:r>
      <w:r w:rsidR="006F4CD3" w:rsidRPr="007F7EBF">
        <w:rPr>
          <w:sz w:val="22"/>
          <w:szCs w:val="22"/>
        </w:rPr>
        <w:t>.</w:t>
      </w:r>
      <w:r w:rsidR="006F4CD3">
        <w:rPr>
          <w:sz w:val="22"/>
          <w:szCs w:val="22"/>
        </w:rPr>
        <w:t xml:space="preserve"> </w:t>
      </w:r>
      <w:r w:rsidR="007D3E11">
        <w:rPr>
          <w:sz w:val="22"/>
          <w:szCs w:val="22"/>
        </w:rPr>
        <w:t>Attraverso g</w:t>
      </w:r>
      <w:r w:rsidR="006F4CD3">
        <w:rPr>
          <w:sz w:val="22"/>
          <w:szCs w:val="22"/>
        </w:rPr>
        <w:t xml:space="preserve">li istituti </w:t>
      </w:r>
      <w:r w:rsidR="006F4CD3" w:rsidRPr="007F7EBF">
        <w:rPr>
          <w:sz w:val="22"/>
          <w:szCs w:val="22"/>
        </w:rPr>
        <w:t>fallimentar</w:t>
      </w:r>
      <w:r w:rsidR="006F4CD3">
        <w:rPr>
          <w:sz w:val="22"/>
          <w:szCs w:val="22"/>
        </w:rPr>
        <w:t xml:space="preserve">i </w:t>
      </w:r>
      <w:r w:rsidR="007D3E11">
        <w:rPr>
          <w:sz w:val="22"/>
          <w:szCs w:val="22"/>
        </w:rPr>
        <w:t>è infatti possibile</w:t>
      </w:r>
      <w:r w:rsidR="006F4CD3">
        <w:rPr>
          <w:sz w:val="22"/>
          <w:szCs w:val="22"/>
        </w:rPr>
        <w:t xml:space="preserve"> </w:t>
      </w:r>
      <w:r w:rsidR="006F4CD3" w:rsidRPr="007F7EBF">
        <w:rPr>
          <w:sz w:val="22"/>
          <w:szCs w:val="22"/>
        </w:rPr>
        <w:t>stabilire decurtazioni o rateazioni dei debiti tributari</w:t>
      </w:r>
      <w:r w:rsidR="006F4CD3">
        <w:rPr>
          <w:sz w:val="22"/>
          <w:szCs w:val="22"/>
        </w:rPr>
        <w:t>, con l’age</w:t>
      </w:r>
      <w:r w:rsidR="006F4CD3" w:rsidRPr="007F7EBF">
        <w:rPr>
          <w:sz w:val="22"/>
          <w:szCs w:val="22"/>
        </w:rPr>
        <w:t>nzia delle entrate</w:t>
      </w:r>
      <w:r w:rsidR="006F4CD3">
        <w:rPr>
          <w:sz w:val="22"/>
          <w:szCs w:val="22"/>
        </w:rPr>
        <w:t xml:space="preserve"> nel ruolo di creditore</w:t>
      </w:r>
      <w:r w:rsidR="006F4CD3" w:rsidRPr="007F7EBF">
        <w:rPr>
          <w:sz w:val="22"/>
          <w:szCs w:val="22"/>
        </w:rPr>
        <w:t xml:space="preserve">. </w:t>
      </w:r>
      <w:r w:rsidR="006F4CD3">
        <w:rPr>
          <w:sz w:val="22"/>
          <w:szCs w:val="22"/>
        </w:rPr>
        <w:t>L</w:t>
      </w:r>
      <w:r w:rsidR="006F4CD3" w:rsidRPr="007F7EBF">
        <w:rPr>
          <w:sz w:val="22"/>
          <w:szCs w:val="22"/>
        </w:rPr>
        <w:t xml:space="preserve">’incapacità economica di pagare i debiti tributari </w:t>
      </w:r>
      <w:r w:rsidR="006F4CD3">
        <w:rPr>
          <w:sz w:val="22"/>
          <w:szCs w:val="22"/>
        </w:rPr>
        <w:t>assorbe,</w:t>
      </w:r>
      <w:r w:rsidR="006F4CD3" w:rsidRPr="007F7EBF">
        <w:rPr>
          <w:sz w:val="22"/>
          <w:szCs w:val="22"/>
        </w:rPr>
        <w:t xml:space="preserve"> </w:t>
      </w:r>
      <w:r w:rsidR="00C22482">
        <w:rPr>
          <w:sz w:val="22"/>
          <w:szCs w:val="22"/>
        </w:rPr>
        <w:t>rendendole superflue</w:t>
      </w:r>
      <w:r w:rsidR="006F4CD3">
        <w:rPr>
          <w:sz w:val="22"/>
          <w:szCs w:val="22"/>
        </w:rPr>
        <w:t xml:space="preserve">, </w:t>
      </w:r>
      <w:r w:rsidR="006F4CD3" w:rsidRPr="007F7EBF">
        <w:rPr>
          <w:sz w:val="22"/>
          <w:szCs w:val="22"/>
        </w:rPr>
        <w:t>le incertezze</w:t>
      </w:r>
      <w:r w:rsidR="006F4CD3">
        <w:rPr>
          <w:sz w:val="22"/>
          <w:szCs w:val="22"/>
        </w:rPr>
        <w:t>, in fatto e in diritto,</w:t>
      </w:r>
      <w:r w:rsidR="006F4CD3" w:rsidRPr="007F7EBF">
        <w:rPr>
          <w:sz w:val="22"/>
          <w:szCs w:val="22"/>
        </w:rPr>
        <w:t xml:space="preserve"> sul calcolo de</w:t>
      </w:r>
      <w:r w:rsidR="006F4CD3">
        <w:rPr>
          <w:sz w:val="22"/>
          <w:szCs w:val="22"/>
        </w:rPr>
        <w:t>gli imponibili, come anticipato ai parr.6.4 e 6.11</w:t>
      </w:r>
      <w:r w:rsidR="006F4CD3" w:rsidRPr="007F7EBF">
        <w:rPr>
          <w:sz w:val="22"/>
          <w:szCs w:val="22"/>
        </w:rPr>
        <w:t xml:space="preserve">; resta da comprendere quanto siano approfondite le indagini sull’effettivo stato di dissesto del contribuente, e sulla </w:t>
      </w:r>
      <w:r w:rsidR="0069446B">
        <w:rPr>
          <w:sz w:val="22"/>
          <w:szCs w:val="22"/>
        </w:rPr>
        <w:t>credibilità</w:t>
      </w:r>
      <w:r w:rsidR="006F4CD3" w:rsidRPr="007F7EBF">
        <w:rPr>
          <w:sz w:val="22"/>
          <w:szCs w:val="22"/>
        </w:rPr>
        <w:t xml:space="preserve"> dei “piani di rientro”</w:t>
      </w:r>
      <w:r w:rsidR="0069446B">
        <w:rPr>
          <w:sz w:val="22"/>
          <w:szCs w:val="22"/>
        </w:rPr>
        <w:t xml:space="preserve"> (</w:t>
      </w:r>
      <w:r w:rsidR="006F4CD3" w:rsidRPr="007F7EBF">
        <w:rPr>
          <w:rStyle w:val="Rimandonotaapidipagina"/>
          <w:sz w:val="22"/>
          <w:szCs w:val="22"/>
        </w:rPr>
        <w:footnoteReference w:id="1262"/>
      </w:r>
      <w:r w:rsidR="0069446B">
        <w:rPr>
          <w:sz w:val="22"/>
          <w:szCs w:val="22"/>
        </w:rPr>
        <w:t>)</w:t>
      </w:r>
      <w:r w:rsidR="006F4CD3">
        <w:rPr>
          <w:sz w:val="22"/>
          <w:szCs w:val="22"/>
        </w:rPr>
        <w:t xml:space="preserve">. </w:t>
      </w:r>
      <w:r w:rsidR="006F4CD3" w:rsidRPr="007F7EBF">
        <w:rPr>
          <w:sz w:val="22"/>
          <w:szCs w:val="22"/>
        </w:rPr>
        <w:t xml:space="preserve"> </w:t>
      </w:r>
    </w:p>
    <w:p w14:paraId="466DAEA0" w14:textId="46274BC8" w:rsidR="00744A6B" w:rsidRPr="007F7EBF" w:rsidRDefault="00744A6B" w:rsidP="00744A6B">
      <w:pPr>
        <w:pStyle w:val="tit23"/>
        <w:ind w:left="6464" w:right="-1361" w:firstLine="0"/>
        <w:jc w:val="left"/>
        <w:rPr>
          <w:bCs/>
          <w:i/>
          <w:iCs/>
          <w:color w:val="0000FF"/>
          <w:lang w:val="it-IT"/>
        </w:rPr>
      </w:pPr>
      <w:r w:rsidRPr="007F7EBF">
        <w:rPr>
          <w:bCs/>
          <w:i/>
          <w:iCs/>
          <w:color w:val="0000FF"/>
          <w:lang w:val="it-IT"/>
        </w:rPr>
        <w:t>Aspetti procedurali</w:t>
      </w:r>
      <w:r w:rsidR="00B80197">
        <w:rPr>
          <w:bCs/>
          <w:i/>
          <w:iCs/>
          <w:color w:val="0000FF"/>
          <w:lang w:val="it-IT"/>
        </w:rPr>
        <w:t xml:space="preserve"> e liquidazione volontaria</w:t>
      </w:r>
    </w:p>
    <w:p w14:paraId="5D7CEB39" w14:textId="0170FF6E" w:rsidR="00966B3A" w:rsidRPr="007F7EBF" w:rsidRDefault="006342C5" w:rsidP="006F4CD3">
      <w:pPr>
        <w:autoSpaceDE w:val="0"/>
        <w:autoSpaceDN w:val="0"/>
        <w:adjustRightInd w:val="0"/>
        <w:rPr>
          <w:sz w:val="22"/>
          <w:szCs w:val="22"/>
        </w:rPr>
      </w:pPr>
      <w:r w:rsidRPr="007F7EBF">
        <w:rPr>
          <w:sz w:val="22"/>
          <w:szCs w:val="22"/>
        </w:rPr>
        <w:t>Sul piano procedurale</w:t>
      </w:r>
      <w:r w:rsidR="00672751" w:rsidRPr="007F7EBF">
        <w:rPr>
          <w:sz w:val="22"/>
          <w:szCs w:val="22"/>
        </w:rPr>
        <w:t>, oltre al passaggio dell'amministrazione dei beni del falli</w:t>
      </w:r>
      <w:r w:rsidR="00695609" w:rsidRPr="007F7EBF">
        <w:rPr>
          <w:sz w:val="22"/>
          <w:szCs w:val="22"/>
        </w:rPr>
        <w:t>to agli organi della procedura,</w:t>
      </w:r>
      <w:r w:rsidRPr="007F7EBF">
        <w:rPr>
          <w:sz w:val="22"/>
          <w:szCs w:val="22"/>
        </w:rPr>
        <w:t xml:space="preserve"> viene meno, a partire dalla </w:t>
      </w:r>
      <w:r w:rsidRPr="007F7EBF">
        <w:rPr>
          <w:bCs/>
          <w:sz w:val="22"/>
          <w:szCs w:val="22"/>
        </w:rPr>
        <w:t>dichiarazione di fallimento</w:t>
      </w:r>
      <w:r w:rsidRPr="007F7EBF">
        <w:rPr>
          <w:sz w:val="22"/>
          <w:szCs w:val="22"/>
        </w:rPr>
        <w:t>,</w:t>
      </w:r>
      <w:r w:rsidR="00B80197">
        <w:rPr>
          <w:sz w:val="22"/>
          <w:szCs w:val="22"/>
        </w:rPr>
        <w:t xml:space="preserve"> l</w:t>
      </w:r>
      <w:r w:rsidRPr="007F7EBF">
        <w:rPr>
          <w:sz w:val="22"/>
          <w:szCs w:val="22"/>
        </w:rPr>
        <w:t>’autonomia degli ordi</w:t>
      </w:r>
      <w:r w:rsidR="00672751" w:rsidRPr="007F7EBF">
        <w:rPr>
          <w:sz w:val="22"/>
          <w:szCs w:val="22"/>
        </w:rPr>
        <w:t>nari periodi d’imposta annuali</w:t>
      </w:r>
      <w:r w:rsidR="007D3E11">
        <w:rPr>
          <w:sz w:val="22"/>
          <w:szCs w:val="22"/>
        </w:rPr>
        <w:t>;</w:t>
      </w:r>
      <w:r w:rsidR="00B80197">
        <w:rPr>
          <w:sz w:val="22"/>
          <w:szCs w:val="22"/>
        </w:rPr>
        <w:t xml:space="preserve"> </w:t>
      </w:r>
      <w:r w:rsidRPr="007F7EBF">
        <w:rPr>
          <w:sz w:val="22"/>
          <w:szCs w:val="22"/>
        </w:rPr>
        <w:t>tutta la fase</w:t>
      </w:r>
      <w:r w:rsidR="00672751" w:rsidRPr="007F7EBF">
        <w:rPr>
          <w:sz w:val="22"/>
          <w:szCs w:val="22"/>
        </w:rPr>
        <w:t xml:space="preserve"> concorsuale, per lunga che sia, costituisce un unico periodo di imposta, col sudd</w:t>
      </w:r>
      <w:r w:rsidR="0032124A" w:rsidRPr="007F7EBF">
        <w:rPr>
          <w:sz w:val="22"/>
          <w:szCs w:val="22"/>
        </w:rPr>
        <w:t>etto</w:t>
      </w:r>
      <w:r w:rsidR="00672751" w:rsidRPr="007F7EBF">
        <w:rPr>
          <w:sz w:val="22"/>
          <w:szCs w:val="22"/>
        </w:rPr>
        <w:t xml:space="preserve"> reddito autonomo</w:t>
      </w:r>
      <w:r w:rsidRPr="007F7EBF">
        <w:rPr>
          <w:sz w:val="22"/>
          <w:szCs w:val="22"/>
        </w:rPr>
        <w:t>.</w:t>
      </w:r>
      <w:r w:rsidR="005E6134" w:rsidRPr="007F7EBF">
        <w:rPr>
          <w:sz w:val="22"/>
          <w:szCs w:val="22"/>
        </w:rPr>
        <w:t xml:space="preserve"> </w:t>
      </w:r>
      <w:r w:rsidR="00B80197">
        <w:rPr>
          <w:sz w:val="22"/>
          <w:szCs w:val="22"/>
        </w:rPr>
        <w:t xml:space="preserve">Lo stesso accade per la liquidazione volontaria, anch’essa professionalmente importante per </w:t>
      </w:r>
      <w:r w:rsidR="00B80197">
        <w:rPr>
          <w:sz w:val="22"/>
          <w:szCs w:val="22"/>
        </w:rPr>
        <w:lastRenderedPageBreak/>
        <w:t>“chiudere e riaprire” società al cui interno si sono verificati ammanchi e</w:t>
      </w:r>
      <w:r w:rsidR="00D97D93">
        <w:rPr>
          <w:sz w:val="22"/>
          <w:szCs w:val="22"/>
        </w:rPr>
        <w:t xml:space="preserve">d evasioni </w:t>
      </w:r>
      <w:r w:rsidR="00FB7196">
        <w:rPr>
          <w:sz w:val="22"/>
          <w:szCs w:val="22"/>
        </w:rPr>
        <w:t>(</w:t>
      </w:r>
      <w:r w:rsidR="00FB7196">
        <w:rPr>
          <w:rStyle w:val="Rimandonotaapidipagina"/>
          <w:sz w:val="22"/>
          <w:szCs w:val="22"/>
        </w:rPr>
        <w:footnoteReference w:id="1263"/>
      </w:r>
      <w:r w:rsidR="00FB7196">
        <w:rPr>
          <w:sz w:val="22"/>
          <w:szCs w:val="22"/>
        </w:rPr>
        <w:t>)</w:t>
      </w:r>
      <w:r w:rsidR="00B80197">
        <w:rPr>
          <w:sz w:val="22"/>
          <w:szCs w:val="22"/>
        </w:rPr>
        <w:t xml:space="preserve">. </w:t>
      </w:r>
    </w:p>
    <w:p w14:paraId="1C58DFCC" w14:textId="77777777" w:rsidR="006342C5" w:rsidRPr="007F7EBF" w:rsidRDefault="00F8026B" w:rsidP="00775319">
      <w:pPr>
        <w:pStyle w:val="Titolo3"/>
        <w:rPr>
          <w:rFonts w:ascii="Times New Roman" w:hAnsi="Times New Roman"/>
          <w:sz w:val="22"/>
          <w:szCs w:val="22"/>
        </w:rPr>
      </w:pPr>
      <w:bookmarkStart w:id="121" w:name="_Toc63365031"/>
      <w:r w:rsidRPr="007F7EBF">
        <w:rPr>
          <w:rFonts w:ascii="Times New Roman" w:hAnsi="Times New Roman"/>
          <w:sz w:val="22"/>
          <w:szCs w:val="22"/>
        </w:rPr>
        <w:t xml:space="preserve">CAPITOLO 8 OPERATORI ECONOMICI </w:t>
      </w:r>
      <w:r w:rsidR="006342C5" w:rsidRPr="007F7EBF">
        <w:rPr>
          <w:rFonts w:ascii="Times New Roman" w:hAnsi="Times New Roman"/>
          <w:sz w:val="22"/>
          <w:szCs w:val="22"/>
        </w:rPr>
        <w:t xml:space="preserve">“NON </w:t>
      </w:r>
      <w:r w:rsidR="00591418" w:rsidRPr="007F7EBF">
        <w:rPr>
          <w:rFonts w:ascii="Times New Roman" w:hAnsi="Times New Roman"/>
          <w:sz w:val="22"/>
          <w:szCs w:val="22"/>
        </w:rPr>
        <w:t>D’IMPRESA</w:t>
      </w:r>
      <w:r w:rsidRPr="007F7EBF">
        <w:rPr>
          <w:rFonts w:ascii="Times New Roman" w:hAnsi="Times New Roman"/>
          <w:sz w:val="22"/>
          <w:szCs w:val="22"/>
        </w:rPr>
        <w:t>” E ALTRI REDDITIERI (PROFESSIONI LIBERALI, AGRICOLTURA, IMMOBILI E RISPARMIO)</w:t>
      </w:r>
      <w:bookmarkEnd w:id="121"/>
    </w:p>
    <w:p w14:paraId="188E52C7" w14:textId="517A9362" w:rsidR="00306179" w:rsidRPr="007F7EBF" w:rsidRDefault="00306179" w:rsidP="00306179">
      <w:pPr>
        <w:rPr>
          <w:sz w:val="22"/>
          <w:szCs w:val="22"/>
        </w:rPr>
      </w:pPr>
      <w:r w:rsidRPr="007F7EBF">
        <w:rPr>
          <w:sz w:val="22"/>
          <w:szCs w:val="22"/>
        </w:rPr>
        <w:t xml:space="preserve">Sintesi. </w:t>
      </w:r>
      <w:r w:rsidR="00CC11E8" w:rsidRPr="007F7EBF">
        <w:rPr>
          <w:sz w:val="22"/>
          <w:szCs w:val="22"/>
        </w:rPr>
        <w:t>Si ripropone in questo capitolo la determinazione de</w:t>
      </w:r>
      <w:r w:rsidR="002336C9">
        <w:rPr>
          <w:sz w:val="22"/>
          <w:szCs w:val="22"/>
        </w:rPr>
        <w:t xml:space="preserve">gli imponibili </w:t>
      </w:r>
      <w:r w:rsidR="00CC11E8" w:rsidRPr="007F7EBF">
        <w:rPr>
          <w:sz w:val="22"/>
          <w:szCs w:val="22"/>
        </w:rPr>
        <w:t xml:space="preserve">verso chi non è “operatore economico”, cominciare dal </w:t>
      </w:r>
      <w:r w:rsidRPr="007F7EBF">
        <w:rPr>
          <w:sz w:val="22"/>
          <w:szCs w:val="22"/>
        </w:rPr>
        <w:t xml:space="preserve"> lavoro </w:t>
      </w:r>
      <w:r w:rsidR="00CC11E8" w:rsidRPr="007F7EBF">
        <w:rPr>
          <w:sz w:val="22"/>
          <w:szCs w:val="22"/>
        </w:rPr>
        <w:t>intellettuale indipendente (par.8.1) sostanzialmente trattato come gli operatori economici,</w:t>
      </w:r>
      <w:r w:rsidRPr="007F7EBF">
        <w:rPr>
          <w:sz w:val="22"/>
          <w:szCs w:val="22"/>
        </w:rPr>
        <w:t xml:space="preserve"> essendo peraltro segnalato dai clienti tramite la rit</w:t>
      </w:r>
      <w:r w:rsidR="00CC11E8" w:rsidRPr="007F7EBF">
        <w:rPr>
          <w:sz w:val="22"/>
          <w:szCs w:val="22"/>
        </w:rPr>
        <w:t>enuta  d’acconto (par. 3.6)</w:t>
      </w:r>
      <w:r w:rsidRPr="007F7EBF">
        <w:rPr>
          <w:sz w:val="22"/>
          <w:szCs w:val="22"/>
        </w:rPr>
        <w:t xml:space="preserve">. </w:t>
      </w:r>
    </w:p>
    <w:p w14:paraId="547489C7" w14:textId="15FB6EFB" w:rsidR="001717EC" w:rsidRPr="007F7EBF" w:rsidRDefault="00306179" w:rsidP="001717EC">
      <w:pPr>
        <w:rPr>
          <w:sz w:val="22"/>
          <w:szCs w:val="22"/>
        </w:rPr>
      </w:pPr>
      <w:r w:rsidRPr="007F7EBF">
        <w:rPr>
          <w:sz w:val="22"/>
          <w:szCs w:val="22"/>
        </w:rPr>
        <w:t xml:space="preserve">L’agricoltura  invece ha sempre fatto storia a sé, dai tempi remoti in cui i redditi agricoli erano gli unici ad essere tassati dagli uffici, secondo modalità valutative , cristallizzate nel catasto; ne </w:t>
      </w:r>
      <w:r w:rsidR="00CC11E8" w:rsidRPr="007F7EBF">
        <w:rPr>
          <w:sz w:val="22"/>
          <w:szCs w:val="22"/>
        </w:rPr>
        <w:t>indichiamo</w:t>
      </w:r>
      <w:r w:rsidRPr="007F7EBF">
        <w:rPr>
          <w:sz w:val="22"/>
          <w:szCs w:val="22"/>
        </w:rPr>
        <w:t xml:space="preserve"> al par. 8.2 l’inserimento nella tassazione attraverso le aziende, in gran parte caratterizzato da determinazion</w:t>
      </w:r>
      <w:r w:rsidR="002336C9">
        <w:rPr>
          <w:sz w:val="22"/>
          <w:szCs w:val="22"/>
        </w:rPr>
        <w:t xml:space="preserve">i </w:t>
      </w:r>
      <w:r w:rsidRPr="007F7EBF">
        <w:rPr>
          <w:sz w:val="22"/>
          <w:szCs w:val="22"/>
        </w:rPr>
        <w:t xml:space="preserve">in chiave </w:t>
      </w:r>
      <w:r w:rsidR="00CC11E8" w:rsidRPr="007F7EBF">
        <w:rPr>
          <w:sz w:val="22"/>
          <w:szCs w:val="22"/>
        </w:rPr>
        <w:t xml:space="preserve">forfettario </w:t>
      </w:r>
      <w:r w:rsidRPr="007F7EBF">
        <w:rPr>
          <w:sz w:val="22"/>
          <w:szCs w:val="22"/>
        </w:rPr>
        <w:t>agevolativa</w:t>
      </w:r>
      <w:r w:rsidR="00CC11E8" w:rsidRPr="007F7EBF">
        <w:rPr>
          <w:sz w:val="22"/>
          <w:szCs w:val="22"/>
        </w:rPr>
        <w:t xml:space="preserve"> (par.1.9)</w:t>
      </w:r>
      <w:r w:rsidRPr="007F7EBF">
        <w:rPr>
          <w:sz w:val="22"/>
          <w:szCs w:val="22"/>
        </w:rPr>
        <w:t>. La tassazione del lavoro dipendente è invece esternalizzata in gran parte sul datore di lavoro (par.8.3), quella dei fabbricati su un insieme di catasto e segnalazioni degli inquilini (par.8.4) e quella dei redditi finanziari totalmente su banche e assimilati</w:t>
      </w:r>
      <w:r w:rsidR="00AD4213" w:rsidRPr="007F7EBF">
        <w:rPr>
          <w:sz w:val="22"/>
          <w:szCs w:val="22"/>
        </w:rPr>
        <w:t xml:space="preserve"> (par.8.5)</w:t>
      </w:r>
      <w:r w:rsidRPr="007F7EBF">
        <w:rPr>
          <w:sz w:val="22"/>
          <w:szCs w:val="22"/>
        </w:rPr>
        <w:t xml:space="preserve">, senza  che il percettore debba svolgere alcun adempimento ulteriore.  Terminiamo </w:t>
      </w:r>
      <w:r w:rsidR="00AD4213" w:rsidRPr="007F7EBF">
        <w:rPr>
          <w:sz w:val="22"/>
          <w:szCs w:val="22"/>
        </w:rPr>
        <w:t xml:space="preserve">al par.8.6, con l’eterogeneo microcosmo </w:t>
      </w:r>
      <w:r w:rsidRPr="007F7EBF">
        <w:rPr>
          <w:sz w:val="22"/>
          <w:szCs w:val="22"/>
        </w:rPr>
        <w:t>de</w:t>
      </w:r>
      <w:r w:rsidR="002336C9">
        <w:rPr>
          <w:sz w:val="22"/>
          <w:szCs w:val="22"/>
        </w:rPr>
        <w:t xml:space="preserve">i redditi diversi, come </w:t>
      </w:r>
      <w:r w:rsidRPr="007F7EBF">
        <w:rPr>
          <w:sz w:val="22"/>
          <w:szCs w:val="22"/>
        </w:rPr>
        <w:t>gli eventi occasionali di produzione di ricchezza, anch’essi per definizione rilevanti solo ai fini delle imposte sui redditi e non di quelle su</w:t>
      </w:r>
      <w:r w:rsidR="00AD4213" w:rsidRPr="007F7EBF">
        <w:rPr>
          <w:sz w:val="22"/>
          <w:szCs w:val="22"/>
        </w:rPr>
        <w:t>i consumi</w:t>
      </w:r>
      <w:r w:rsidRPr="007F7EBF">
        <w:rPr>
          <w:sz w:val="22"/>
          <w:szCs w:val="22"/>
        </w:rPr>
        <w:t xml:space="preserve">. </w:t>
      </w:r>
    </w:p>
    <w:p w14:paraId="5EE45557" w14:textId="3FD005F0" w:rsidR="00F04630" w:rsidRPr="007F7EBF" w:rsidRDefault="006342C5" w:rsidP="00C35693">
      <w:pPr>
        <w:pStyle w:val="Titolo3"/>
        <w:rPr>
          <w:sz w:val="22"/>
          <w:szCs w:val="22"/>
        </w:rPr>
      </w:pPr>
      <w:bookmarkStart w:id="122" w:name="_Toc63365032"/>
      <w:r w:rsidRPr="007F7EBF">
        <w:rPr>
          <w:rFonts w:ascii="Times New Roman" w:hAnsi="Times New Roman"/>
          <w:sz w:val="22"/>
          <w:szCs w:val="22"/>
        </w:rPr>
        <w:t>8.1. Le modeste specificità rispetto all’impresa del lavoro autonomo “professionale”</w:t>
      </w:r>
      <w:bookmarkEnd w:id="122"/>
    </w:p>
    <w:p w14:paraId="78AADB25" w14:textId="77777777" w:rsidR="00F04630" w:rsidRPr="007F7EBF" w:rsidRDefault="00F04630" w:rsidP="00F04630">
      <w:pPr>
        <w:pStyle w:val="tit23"/>
        <w:ind w:left="6464" w:right="-1361" w:firstLine="0"/>
        <w:jc w:val="left"/>
        <w:rPr>
          <w:bCs/>
          <w:i/>
          <w:iCs/>
          <w:color w:val="0000FF"/>
          <w:lang w:val="it-IT"/>
        </w:rPr>
      </w:pPr>
      <w:r w:rsidRPr="007F7EBF">
        <w:rPr>
          <w:bCs/>
          <w:i/>
          <w:iCs/>
          <w:color w:val="0000FF"/>
          <w:lang w:val="it-IT"/>
        </w:rPr>
        <w:t>Lavoro indipendente a contenuto intellettuale</w:t>
      </w:r>
    </w:p>
    <w:p w14:paraId="4DA613E6" w14:textId="5DFFC025" w:rsidR="00F04630" w:rsidRPr="007F7EBF" w:rsidRDefault="006342C5" w:rsidP="00F04630">
      <w:pPr>
        <w:autoSpaceDE w:val="0"/>
        <w:autoSpaceDN w:val="0"/>
        <w:adjustRightInd w:val="0"/>
        <w:rPr>
          <w:sz w:val="22"/>
          <w:szCs w:val="22"/>
        </w:rPr>
      </w:pPr>
      <w:r w:rsidRPr="007F7EBF">
        <w:rPr>
          <w:sz w:val="22"/>
          <w:szCs w:val="22"/>
        </w:rPr>
        <w:t xml:space="preserve">Il lavoro </w:t>
      </w:r>
      <w:r w:rsidR="005A2988">
        <w:rPr>
          <w:sz w:val="22"/>
          <w:szCs w:val="22"/>
        </w:rPr>
        <w:t xml:space="preserve">indipendente </w:t>
      </w:r>
      <w:r w:rsidRPr="007F7EBF">
        <w:rPr>
          <w:bCs/>
          <w:sz w:val="22"/>
          <w:szCs w:val="22"/>
        </w:rPr>
        <w:t>intellettual</w:t>
      </w:r>
      <w:r w:rsidR="00DB6DC0" w:rsidRPr="007F7EBF">
        <w:rPr>
          <w:bCs/>
          <w:sz w:val="22"/>
          <w:szCs w:val="22"/>
        </w:rPr>
        <w:t>e o artistico</w:t>
      </w:r>
      <w:r w:rsidR="00A73A5D" w:rsidRPr="00A73A5D">
        <w:rPr>
          <w:sz w:val="22"/>
          <w:szCs w:val="22"/>
        </w:rPr>
        <w:t xml:space="preserve"> </w:t>
      </w:r>
      <w:r w:rsidR="005A2988">
        <w:rPr>
          <w:sz w:val="22"/>
          <w:szCs w:val="22"/>
        </w:rPr>
        <w:t xml:space="preserve">non è </w:t>
      </w:r>
      <w:r w:rsidR="00A73A5D" w:rsidRPr="007F7EBF">
        <w:rPr>
          <w:sz w:val="22"/>
          <w:szCs w:val="22"/>
        </w:rPr>
        <w:t xml:space="preserve">considerato </w:t>
      </w:r>
      <w:proofErr w:type="spellStart"/>
      <w:r w:rsidR="00A73A5D" w:rsidRPr="007F7EBF">
        <w:rPr>
          <w:sz w:val="22"/>
          <w:szCs w:val="22"/>
        </w:rPr>
        <w:t>tributariamente</w:t>
      </w:r>
      <w:proofErr w:type="spellEnd"/>
      <w:r w:rsidR="00A73A5D" w:rsidRPr="007F7EBF">
        <w:rPr>
          <w:sz w:val="22"/>
          <w:szCs w:val="22"/>
        </w:rPr>
        <w:t xml:space="preserve"> d'“impresa”, </w:t>
      </w:r>
      <w:r w:rsidR="005A2988">
        <w:rPr>
          <w:sz w:val="22"/>
          <w:szCs w:val="22"/>
        </w:rPr>
        <w:t>quando</w:t>
      </w:r>
      <w:r w:rsidR="00A73A5D" w:rsidRPr="007F7EBF">
        <w:rPr>
          <w:sz w:val="22"/>
          <w:szCs w:val="22"/>
        </w:rPr>
        <w:t xml:space="preserve"> effettua prestazioni a contenuto </w:t>
      </w:r>
      <w:r w:rsidR="007D3E11">
        <w:rPr>
          <w:sz w:val="22"/>
          <w:szCs w:val="22"/>
        </w:rPr>
        <w:t>intellettuale</w:t>
      </w:r>
      <w:r w:rsidR="00A73A5D" w:rsidRPr="007F7EBF">
        <w:rPr>
          <w:sz w:val="22"/>
          <w:szCs w:val="22"/>
        </w:rPr>
        <w:t xml:space="preserve">, </w:t>
      </w:r>
      <w:r w:rsidR="005A2988">
        <w:rPr>
          <w:sz w:val="22"/>
          <w:szCs w:val="22"/>
        </w:rPr>
        <w:t>ma</w:t>
      </w:r>
      <w:r w:rsidR="00A73A5D" w:rsidRPr="007F7EBF">
        <w:rPr>
          <w:sz w:val="22"/>
          <w:szCs w:val="22"/>
        </w:rPr>
        <w:t xml:space="preserve">  "di lavoro autonomo"</w:t>
      </w:r>
      <w:r w:rsidR="00DB6DC0" w:rsidRPr="007F7EBF">
        <w:rPr>
          <w:bCs/>
          <w:sz w:val="22"/>
          <w:szCs w:val="22"/>
        </w:rPr>
        <w:t xml:space="preserve">. </w:t>
      </w:r>
      <w:r w:rsidR="005A2988">
        <w:rPr>
          <w:bCs/>
          <w:sz w:val="22"/>
          <w:szCs w:val="22"/>
        </w:rPr>
        <w:t xml:space="preserve">Ai fini tributari si hanno quindi </w:t>
      </w:r>
      <w:r w:rsidRPr="007F7EBF">
        <w:rPr>
          <w:sz w:val="22"/>
          <w:szCs w:val="22"/>
        </w:rPr>
        <w:t>“liberi professionisti” anche</w:t>
      </w:r>
      <w:r w:rsidR="00C11388" w:rsidRPr="007F7EBF">
        <w:rPr>
          <w:sz w:val="22"/>
          <w:szCs w:val="22"/>
        </w:rPr>
        <w:t xml:space="preserve"> </w:t>
      </w:r>
      <w:r w:rsidR="005A2988">
        <w:rPr>
          <w:sz w:val="22"/>
          <w:szCs w:val="22"/>
        </w:rPr>
        <w:t xml:space="preserve">per le </w:t>
      </w:r>
      <w:r w:rsidRPr="007F7EBF">
        <w:rPr>
          <w:sz w:val="22"/>
          <w:szCs w:val="22"/>
        </w:rPr>
        <w:t>attività intellettual</w:t>
      </w:r>
      <w:r w:rsidR="005A2988">
        <w:rPr>
          <w:sz w:val="22"/>
          <w:szCs w:val="22"/>
        </w:rPr>
        <w:t xml:space="preserve">i esercitabili </w:t>
      </w:r>
      <w:r w:rsidRPr="007F7EBF">
        <w:rPr>
          <w:sz w:val="22"/>
          <w:szCs w:val="22"/>
        </w:rPr>
        <w:t xml:space="preserve">senza </w:t>
      </w:r>
      <w:r w:rsidRPr="007F7EBF">
        <w:rPr>
          <w:sz w:val="22"/>
          <w:szCs w:val="22"/>
        </w:rPr>
        <w:lastRenderedPageBreak/>
        <w:t>iscrizione in albi, elenchi</w:t>
      </w:r>
      <w:r w:rsidR="007D3E11">
        <w:rPr>
          <w:sz w:val="22"/>
          <w:szCs w:val="22"/>
        </w:rPr>
        <w:t xml:space="preserve">, </w:t>
      </w:r>
      <w:proofErr w:type="spellStart"/>
      <w:r w:rsidR="007D3E11">
        <w:rPr>
          <w:sz w:val="22"/>
          <w:szCs w:val="22"/>
        </w:rPr>
        <w:t>purchè</w:t>
      </w:r>
      <w:proofErr w:type="spellEnd"/>
      <w:r w:rsidR="007D3E11">
        <w:rPr>
          <w:sz w:val="22"/>
          <w:szCs w:val="22"/>
        </w:rPr>
        <w:t xml:space="preserve"> di carattere intellettuale, come fotografo, gestore di uffici stampa o relazioni pubbliche</w:t>
      </w:r>
      <w:r w:rsidR="00D5519D">
        <w:rPr>
          <w:sz w:val="22"/>
          <w:szCs w:val="22"/>
        </w:rPr>
        <w:t>, direi anche web designer e “influencer”, per passare ai lavori della “società fluida” di cui al par.3.13.</w:t>
      </w:r>
    </w:p>
    <w:p w14:paraId="77564953" w14:textId="69F85E40" w:rsidR="00F04630" w:rsidRPr="007F7EBF" w:rsidRDefault="005A2988" w:rsidP="00F04630">
      <w:pPr>
        <w:pStyle w:val="tit23"/>
        <w:ind w:left="6464" w:right="-1361" w:firstLine="0"/>
        <w:jc w:val="left"/>
        <w:rPr>
          <w:bCs/>
          <w:i/>
          <w:iCs/>
          <w:color w:val="0000FF"/>
          <w:lang w:val="it-IT"/>
        </w:rPr>
      </w:pPr>
      <w:proofErr w:type="spellStart"/>
      <w:r>
        <w:rPr>
          <w:bCs/>
          <w:i/>
          <w:iCs/>
          <w:color w:val="0000FF"/>
          <w:lang w:val="it-IT"/>
        </w:rPr>
        <w:t>Intuitus</w:t>
      </w:r>
      <w:proofErr w:type="spellEnd"/>
      <w:r>
        <w:rPr>
          <w:bCs/>
          <w:i/>
          <w:iCs/>
          <w:color w:val="0000FF"/>
          <w:lang w:val="it-IT"/>
        </w:rPr>
        <w:t xml:space="preserve"> personae e dimensioni</w:t>
      </w:r>
    </w:p>
    <w:p w14:paraId="4447EF23" w14:textId="41EDBD44" w:rsidR="00C11388" w:rsidRPr="007F7EBF" w:rsidRDefault="005A2988" w:rsidP="00C11388">
      <w:pPr>
        <w:autoSpaceDE w:val="0"/>
        <w:autoSpaceDN w:val="0"/>
        <w:adjustRightInd w:val="0"/>
        <w:rPr>
          <w:sz w:val="22"/>
          <w:szCs w:val="22"/>
        </w:rPr>
      </w:pPr>
      <w:r>
        <w:rPr>
          <w:sz w:val="22"/>
          <w:szCs w:val="22"/>
        </w:rPr>
        <w:t>Resta</w:t>
      </w:r>
      <w:r w:rsidR="00D5519D">
        <w:rPr>
          <w:sz w:val="22"/>
          <w:szCs w:val="22"/>
        </w:rPr>
        <w:t xml:space="preserve">no </w:t>
      </w:r>
      <w:r>
        <w:rPr>
          <w:sz w:val="22"/>
          <w:szCs w:val="22"/>
        </w:rPr>
        <w:t>di lavoro autonomo</w:t>
      </w:r>
      <w:r w:rsidR="00D5519D">
        <w:rPr>
          <w:sz w:val="22"/>
          <w:szCs w:val="22"/>
        </w:rPr>
        <w:t xml:space="preserve"> le classiche professioni liberali, come notaio, commercialista, architetto, etc., compresi i </w:t>
      </w:r>
      <w:r w:rsidR="006342C5" w:rsidRPr="007F7EBF">
        <w:rPr>
          <w:sz w:val="22"/>
          <w:szCs w:val="22"/>
        </w:rPr>
        <w:t xml:space="preserve">grandi studi </w:t>
      </w:r>
      <w:r>
        <w:rPr>
          <w:sz w:val="22"/>
          <w:szCs w:val="22"/>
        </w:rPr>
        <w:t xml:space="preserve">professionali, ad esempio </w:t>
      </w:r>
      <w:r w:rsidR="006342C5" w:rsidRPr="007F7EBF">
        <w:rPr>
          <w:sz w:val="22"/>
          <w:szCs w:val="22"/>
        </w:rPr>
        <w:t>legali, d’</w:t>
      </w:r>
      <w:r>
        <w:rPr>
          <w:sz w:val="22"/>
          <w:szCs w:val="22"/>
        </w:rPr>
        <w:t xml:space="preserve">architettura o </w:t>
      </w:r>
      <w:r w:rsidR="006342C5" w:rsidRPr="007F7EBF">
        <w:rPr>
          <w:sz w:val="22"/>
          <w:szCs w:val="22"/>
        </w:rPr>
        <w:t>ingegneria</w:t>
      </w:r>
      <w:r>
        <w:rPr>
          <w:sz w:val="22"/>
          <w:szCs w:val="22"/>
        </w:rPr>
        <w:t>, medici o</w:t>
      </w:r>
      <w:r w:rsidR="006342C5" w:rsidRPr="007F7EBF">
        <w:rPr>
          <w:sz w:val="22"/>
          <w:szCs w:val="22"/>
        </w:rPr>
        <w:t xml:space="preserve"> notarili</w:t>
      </w:r>
      <w:r w:rsidR="00D5519D">
        <w:rPr>
          <w:sz w:val="22"/>
          <w:szCs w:val="22"/>
        </w:rPr>
        <w:t xml:space="preserve">; questo anche quando essi hanno </w:t>
      </w:r>
      <w:r w:rsidR="006342C5" w:rsidRPr="007F7EBF">
        <w:rPr>
          <w:sz w:val="22"/>
          <w:szCs w:val="22"/>
        </w:rPr>
        <w:t>milioni di euro di fatturato</w:t>
      </w:r>
      <w:r w:rsidR="00C11388" w:rsidRPr="007F7EBF">
        <w:rPr>
          <w:sz w:val="22"/>
          <w:szCs w:val="22"/>
        </w:rPr>
        <w:t xml:space="preserve"> </w:t>
      </w:r>
      <w:r w:rsidR="006342C5" w:rsidRPr="007F7EBF">
        <w:rPr>
          <w:sz w:val="22"/>
          <w:szCs w:val="22"/>
        </w:rPr>
        <w:t xml:space="preserve">e numeroso </w:t>
      </w:r>
      <w:r w:rsidR="006342C5" w:rsidRPr="007F7EBF">
        <w:rPr>
          <w:bCs/>
          <w:sz w:val="22"/>
          <w:szCs w:val="22"/>
        </w:rPr>
        <w:t>personale dipendente</w:t>
      </w:r>
      <w:r>
        <w:rPr>
          <w:sz w:val="22"/>
          <w:szCs w:val="22"/>
        </w:rPr>
        <w:t xml:space="preserve"> </w:t>
      </w:r>
      <w:r w:rsidR="00C11388" w:rsidRPr="007F7EBF">
        <w:rPr>
          <w:sz w:val="22"/>
          <w:szCs w:val="22"/>
        </w:rPr>
        <w:t>di supporto</w:t>
      </w:r>
      <w:r>
        <w:rPr>
          <w:sz w:val="22"/>
          <w:szCs w:val="22"/>
        </w:rPr>
        <w:t xml:space="preserve">; anche i </w:t>
      </w:r>
      <w:r w:rsidR="00C30B4D">
        <w:rPr>
          <w:sz w:val="22"/>
          <w:szCs w:val="22"/>
        </w:rPr>
        <w:t xml:space="preserve">maggiori sono comunque più piccoli </w:t>
      </w:r>
      <w:r w:rsidR="00C400A8">
        <w:rPr>
          <w:sz w:val="22"/>
          <w:szCs w:val="22"/>
        </w:rPr>
        <w:t>delle g</w:t>
      </w:r>
      <w:r w:rsidR="006342C5" w:rsidRPr="007F7EBF">
        <w:rPr>
          <w:sz w:val="22"/>
          <w:szCs w:val="22"/>
        </w:rPr>
        <w:t>randi</w:t>
      </w:r>
      <w:r w:rsidR="00C11388" w:rsidRPr="007F7EBF">
        <w:rPr>
          <w:sz w:val="22"/>
          <w:szCs w:val="22"/>
        </w:rPr>
        <w:t xml:space="preserve"> </w:t>
      </w:r>
      <w:r w:rsidR="006342C5" w:rsidRPr="007F7EBF">
        <w:rPr>
          <w:sz w:val="22"/>
          <w:szCs w:val="22"/>
        </w:rPr>
        <w:t>aziende</w:t>
      </w:r>
      <w:r>
        <w:rPr>
          <w:sz w:val="22"/>
          <w:szCs w:val="22"/>
        </w:rPr>
        <w:t>, perché</w:t>
      </w:r>
      <w:r w:rsidR="009415E4">
        <w:rPr>
          <w:sz w:val="22"/>
          <w:szCs w:val="22"/>
        </w:rPr>
        <w:t xml:space="preserve"> </w:t>
      </w:r>
      <w:r w:rsidR="00C400A8">
        <w:rPr>
          <w:sz w:val="22"/>
          <w:szCs w:val="22"/>
        </w:rPr>
        <w:t xml:space="preserve">anche la loro interno la professione ha </w:t>
      </w:r>
      <w:r w:rsidR="009415E4">
        <w:rPr>
          <w:sz w:val="22"/>
          <w:szCs w:val="22"/>
        </w:rPr>
        <w:t xml:space="preserve">in genere </w:t>
      </w:r>
      <w:r w:rsidRPr="007F7EBF">
        <w:rPr>
          <w:sz w:val="22"/>
          <w:szCs w:val="22"/>
        </w:rPr>
        <w:t>un "</w:t>
      </w:r>
      <w:proofErr w:type="spellStart"/>
      <w:r w:rsidRPr="007F7EBF">
        <w:rPr>
          <w:sz w:val="22"/>
          <w:szCs w:val="22"/>
        </w:rPr>
        <w:t>intuitus</w:t>
      </w:r>
      <w:proofErr w:type="spellEnd"/>
      <w:r w:rsidRPr="007F7EBF">
        <w:rPr>
          <w:sz w:val="22"/>
          <w:szCs w:val="22"/>
        </w:rPr>
        <w:t xml:space="preserve"> personae"</w:t>
      </w:r>
      <w:r w:rsidR="009415E4">
        <w:rPr>
          <w:sz w:val="22"/>
          <w:szCs w:val="22"/>
        </w:rPr>
        <w:t>, un rapporto fiduciario col cliente, che ne diminuisc</w:t>
      </w:r>
      <w:r w:rsidR="00D5519D">
        <w:rPr>
          <w:sz w:val="22"/>
          <w:szCs w:val="22"/>
        </w:rPr>
        <w:t>ono</w:t>
      </w:r>
      <w:r w:rsidR="009415E4">
        <w:rPr>
          <w:sz w:val="22"/>
          <w:szCs w:val="22"/>
        </w:rPr>
        <w:t xml:space="preserve"> la spersonalizzazione</w:t>
      </w:r>
      <w:r w:rsidR="00D5519D">
        <w:rPr>
          <w:sz w:val="22"/>
          <w:szCs w:val="22"/>
        </w:rPr>
        <w:t>, e il lavoro in serie</w:t>
      </w:r>
      <w:r w:rsidR="00C400A8">
        <w:rPr>
          <w:sz w:val="22"/>
          <w:szCs w:val="22"/>
        </w:rPr>
        <w:t xml:space="preserve"> </w:t>
      </w:r>
      <w:r w:rsidR="00C400A8" w:rsidRPr="007F7EBF">
        <w:rPr>
          <w:sz w:val="22"/>
          <w:szCs w:val="22"/>
        </w:rPr>
        <w:t>(</w:t>
      </w:r>
      <w:r w:rsidR="00C400A8" w:rsidRPr="007F7EBF">
        <w:rPr>
          <w:rStyle w:val="Rimandonotaapidipagina"/>
          <w:sz w:val="22"/>
          <w:szCs w:val="22"/>
        </w:rPr>
        <w:footnoteReference w:id="1264"/>
      </w:r>
      <w:r w:rsidR="00C400A8" w:rsidRPr="007F7EBF">
        <w:rPr>
          <w:sz w:val="22"/>
          <w:szCs w:val="22"/>
        </w:rPr>
        <w:t>)</w:t>
      </w:r>
      <w:r w:rsidR="009415E4">
        <w:rPr>
          <w:sz w:val="22"/>
          <w:szCs w:val="22"/>
        </w:rPr>
        <w:t xml:space="preserve">. </w:t>
      </w:r>
    </w:p>
    <w:p w14:paraId="16ADE078" w14:textId="10643F3B" w:rsidR="00F04630" w:rsidRPr="007F7EBF" w:rsidRDefault="00F04630" w:rsidP="00F04630">
      <w:pPr>
        <w:pStyle w:val="tit23"/>
        <w:ind w:left="6464" w:right="-1361" w:firstLine="0"/>
        <w:jc w:val="left"/>
        <w:rPr>
          <w:bCs/>
          <w:i/>
          <w:iCs/>
          <w:color w:val="0000FF"/>
          <w:lang w:val="it-IT"/>
        </w:rPr>
      </w:pPr>
      <w:r w:rsidRPr="007F7EBF">
        <w:rPr>
          <w:bCs/>
          <w:i/>
          <w:iCs/>
          <w:color w:val="0000FF"/>
          <w:lang w:val="it-IT"/>
        </w:rPr>
        <w:t>differenze rispetto all’impresa</w:t>
      </w:r>
      <w:r w:rsidR="00DC5C3A">
        <w:rPr>
          <w:bCs/>
          <w:i/>
          <w:iCs/>
          <w:color w:val="0000FF"/>
          <w:lang w:val="it-IT"/>
        </w:rPr>
        <w:t>: ritenute</w:t>
      </w:r>
    </w:p>
    <w:p w14:paraId="4F871D8C" w14:textId="4A63890A" w:rsidR="00F04630" w:rsidRPr="007F7EBF" w:rsidRDefault="009415E4" w:rsidP="00F04630">
      <w:pPr>
        <w:autoSpaceDE w:val="0"/>
        <w:autoSpaceDN w:val="0"/>
        <w:adjustRightInd w:val="0"/>
        <w:rPr>
          <w:sz w:val="22"/>
          <w:szCs w:val="22"/>
        </w:rPr>
      </w:pPr>
      <w:r>
        <w:rPr>
          <w:sz w:val="22"/>
          <w:szCs w:val="22"/>
        </w:rPr>
        <w:t xml:space="preserve">La </w:t>
      </w:r>
      <w:r w:rsidR="00C400A8">
        <w:rPr>
          <w:sz w:val="22"/>
          <w:szCs w:val="22"/>
        </w:rPr>
        <w:t xml:space="preserve">relativa determinazione </w:t>
      </w:r>
      <w:r w:rsidR="00D5519D">
        <w:rPr>
          <w:sz w:val="22"/>
          <w:szCs w:val="22"/>
        </w:rPr>
        <w:t xml:space="preserve">degli imponibili </w:t>
      </w:r>
      <w:r>
        <w:rPr>
          <w:sz w:val="22"/>
          <w:szCs w:val="22"/>
        </w:rPr>
        <w:t xml:space="preserve">è molto simile a quella </w:t>
      </w:r>
      <w:r w:rsidR="00C400A8">
        <w:rPr>
          <w:sz w:val="22"/>
          <w:szCs w:val="22"/>
        </w:rPr>
        <w:t xml:space="preserve">degli </w:t>
      </w:r>
      <w:r>
        <w:rPr>
          <w:sz w:val="22"/>
          <w:szCs w:val="22"/>
        </w:rPr>
        <w:t xml:space="preserve"> “imprenditor</w:t>
      </w:r>
      <w:r w:rsidR="00C400A8">
        <w:rPr>
          <w:sz w:val="22"/>
          <w:szCs w:val="22"/>
        </w:rPr>
        <w:t>i</w:t>
      </w:r>
      <w:r>
        <w:rPr>
          <w:sz w:val="22"/>
          <w:szCs w:val="22"/>
        </w:rPr>
        <w:t>”, descritta al precedente capitolo 7, con applicazione di IVA e determinazione differenziale</w:t>
      </w:r>
      <w:r w:rsidR="00C400A8">
        <w:rPr>
          <w:sz w:val="22"/>
          <w:szCs w:val="22"/>
        </w:rPr>
        <w:t xml:space="preserve"> dei redditi</w:t>
      </w:r>
      <w:r w:rsidR="00153420">
        <w:rPr>
          <w:sz w:val="22"/>
          <w:szCs w:val="22"/>
        </w:rPr>
        <w:t xml:space="preserve"> (</w:t>
      </w:r>
      <w:r w:rsidR="00153420" w:rsidRPr="007F7EBF">
        <w:rPr>
          <w:rStyle w:val="Rimandonotaapidipagina"/>
          <w:sz w:val="22"/>
          <w:szCs w:val="22"/>
        </w:rPr>
        <w:footnoteReference w:id="1265"/>
      </w:r>
      <w:r w:rsidR="00153420">
        <w:rPr>
          <w:sz w:val="22"/>
          <w:szCs w:val="22"/>
        </w:rPr>
        <w:t xml:space="preserve">),  </w:t>
      </w:r>
      <w:r>
        <w:rPr>
          <w:sz w:val="22"/>
          <w:szCs w:val="22"/>
        </w:rPr>
        <w:t xml:space="preserve">. Tra le </w:t>
      </w:r>
      <w:r w:rsidR="00C400A8">
        <w:rPr>
          <w:sz w:val="22"/>
          <w:szCs w:val="22"/>
        </w:rPr>
        <w:t xml:space="preserve">maggiori </w:t>
      </w:r>
      <w:r>
        <w:rPr>
          <w:sz w:val="22"/>
          <w:szCs w:val="22"/>
        </w:rPr>
        <w:t>differenze segnal</w:t>
      </w:r>
      <w:r w:rsidR="00C400A8">
        <w:rPr>
          <w:sz w:val="22"/>
          <w:szCs w:val="22"/>
        </w:rPr>
        <w:t xml:space="preserve">o </w:t>
      </w:r>
      <w:r w:rsidR="00DB6DC0" w:rsidRPr="007F7EBF">
        <w:rPr>
          <w:sz w:val="22"/>
          <w:szCs w:val="22"/>
        </w:rPr>
        <w:t xml:space="preserve">l'assoggettamento degli incassi a </w:t>
      </w:r>
      <w:r w:rsidR="00C11388" w:rsidRPr="007F7EBF">
        <w:rPr>
          <w:bCs/>
          <w:sz w:val="22"/>
          <w:szCs w:val="22"/>
        </w:rPr>
        <w:t>ritenuta alla fonte a titolo di a</w:t>
      </w:r>
      <w:r w:rsidR="006342C5" w:rsidRPr="007F7EBF">
        <w:rPr>
          <w:bCs/>
          <w:sz w:val="22"/>
          <w:szCs w:val="22"/>
        </w:rPr>
        <w:t>cconto</w:t>
      </w:r>
      <w:r w:rsidR="00C400A8">
        <w:rPr>
          <w:bCs/>
          <w:sz w:val="22"/>
          <w:szCs w:val="22"/>
        </w:rPr>
        <w:t>,</w:t>
      </w:r>
      <w:r w:rsidR="00C400A8">
        <w:rPr>
          <w:sz w:val="22"/>
          <w:szCs w:val="22"/>
        </w:rPr>
        <w:t xml:space="preserve"> giustificata dall’elevato valore aggiunto di questi soggetti </w:t>
      </w:r>
      <w:r w:rsidRPr="007F7EBF">
        <w:rPr>
          <w:sz w:val="22"/>
          <w:szCs w:val="22"/>
        </w:rPr>
        <w:t>(pa</w:t>
      </w:r>
      <w:r w:rsidR="00C400A8">
        <w:rPr>
          <w:sz w:val="22"/>
          <w:szCs w:val="22"/>
        </w:rPr>
        <w:t>r</w:t>
      </w:r>
      <w:r w:rsidRPr="007F7EBF">
        <w:rPr>
          <w:sz w:val="22"/>
          <w:szCs w:val="22"/>
        </w:rPr>
        <w:t>r.</w:t>
      </w:r>
      <w:r w:rsidR="00C400A8">
        <w:rPr>
          <w:sz w:val="22"/>
          <w:szCs w:val="22"/>
        </w:rPr>
        <w:t xml:space="preserve">1.8 e </w:t>
      </w:r>
      <w:r w:rsidRPr="007F7EBF">
        <w:rPr>
          <w:sz w:val="22"/>
          <w:szCs w:val="22"/>
        </w:rPr>
        <w:t xml:space="preserve">3.6). </w:t>
      </w:r>
      <w:r w:rsidR="00DC5C3A">
        <w:rPr>
          <w:sz w:val="22"/>
          <w:szCs w:val="22"/>
        </w:rPr>
        <w:t>Ciò comporta la segnalazione personalizzata di questi compensi al fisco, se erogati da sostituti di imposta, mentre l’evasione è più facile quando</w:t>
      </w:r>
      <w:r w:rsidR="00D5519D">
        <w:rPr>
          <w:sz w:val="22"/>
          <w:szCs w:val="22"/>
        </w:rPr>
        <w:t xml:space="preserve"> sono</w:t>
      </w:r>
      <w:r w:rsidR="00DC5C3A">
        <w:rPr>
          <w:sz w:val="22"/>
          <w:szCs w:val="22"/>
        </w:rPr>
        <w:t xml:space="preserve"> erogati da persone fisiche</w:t>
      </w:r>
      <w:r w:rsidR="00153420">
        <w:rPr>
          <w:sz w:val="22"/>
          <w:szCs w:val="22"/>
        </w:rPr>
        <w:t>; s</w:t>
      </w:r>
      <w:r w:rsidR="00DC5C3A">
        <w:rPr>
          <w:sz w:val="22"/>
          <w:szCs w:val="22"/>
        </w:rPr>
        <w:t>i pensi alle visite mediche specialistiche o dentistiche</w:t>
      </w:r>
      <w:r w:rsidR="00B322AE">
        <w:rPr>
          <w:sz w:val="22"/>
          <w:szCs w:val="22"/>
        </w:rPr>
        <w:t>, considerando che a</w:t>
      </w:r>
      <w:r w:rsidR="00153420" w:rsidRPr="007F7EBF">
        <w:rPr>
          <w:sz w:val="22"/>
          <w:szCs w:val="22"/>
        </w:rPr>
        <w:t xml:space="preserve">i fini IVA </w:t>
      </w:r>
      <w:r w:rsidR="00153420" w:rsidRPr="007F7EBF">
        <w:t xml:space="preserve">non operano gli  esoneri dall’emissione della fattura per </w:t>
      </w:r>
      <w:r w:rsidR="00B322AE">
        <w:t xml:space="preserve">gli </w:t>
      </w:r>
      <w:r w:rsidR="00B322AE">
        <w:lastRenderedPageBreak/>
        <w:t>operatori al dettaglio (par.7.7)</w:t>
      </w:r>
      <w:r w:rsidR="00153420" w:rsidRPr="007F7EBF">
        <w:t xml:space="preserve">, con conseguente necessità di emettere comunque </w:t>
      </w:r>
      <w:r w:rsidR="00B322AE">
        <w:t>il documento</w:t>
      </w:r>
      <w:r w:rsidR="00153420">
        <w:rPr>
          <w:sz w:val="22"/>
          <w:szCs w:val="22"/>
        </w:rPr>
        <w:t xml:space="preserve"> (</w:t>
      </w:r>
      <w:r w:rsidR="00153420" w:rsidRPr="007F7EBF">
        <w:rPr>
          <w:rStyle w:val="Rimandonotaapidipagina"/>
          <w:sz w:val="22"/>
          <w:szCs w:val="22"/>
        </w:rPr>
        <w:footnoteReference w:id="1266"/>
      </w:r>
      <w:r w:rsidR="00153420">
        <w:rPr>
          <w:sz w:val="22"/>
          <w:szCs w:val="22"/>
        </w:rPr>
        <w:t>)</w:t>
      </w:r>
      <w:r w:rsidR="00153420" w:rsidRPr="007F7EBF">
        <w:rPr>
          <w:sz w:val="22"/>
          <w:szCs w:val="22"/>
        </w:rPr>
        <w:t>.</w:t>
      </w:r>
    </w:p>
    <w:p w14:paraId="0D85675E" w14:textId="3D4C1B10" w:rsidR="00F04630" w:rsidRPr="007F7EBF" w:rsidRDefault="00DC5C3A" w:rsidP="00F04630">
      <w:pPr>
        <w:pStyle w:val="tit23"/>
        <w:ind w:left="6464" w:right="-1361" w:firstLine="0"/>
        <w:jc w:val="left"/>
        <w:rPr>
          <w:bCs/>
          <w:i/>
          <w:iCs/>
          <w:color w:val="0000FF"/>
          <w:lang w:val="it-IT"/>
        </w:rPr>
      </w:pPr>
      <w:r>
        <w:rPr>
          <w:bCs/>
          <w:i/>
          <w:iCs/>
          <w:color w:val="0000FF"/>
          <w:lang w:val="it-IT"/>
        </w:rPr>
        <w:t xml:space="preserve">Segue </w:t>
      </w:r>
      <w:r w:rsidR="00F04630" w:rsidRPr="007F7EBF">
        <w:rPr>
          <w:bCs/>
          <w:i/>
          <w:iCs/>
          <w:color w:val="0000FF"/>
          <w:lang w:val="it-IT"/>
        </w:rPr>
        <w:t>Determinazione differenziale per cassa</w:t>
      </w:r>
      <w:r w:rsidR="00B322AE">
        <w:rPr>
          <w:bCs/>
          <w:i/>
          <w:iCs/>
          <w:color w:val="0000FF"/>
          <w:lang w:val="it-IT"/>
        </w:rPr>
        <w:t xml:space="preserve"> e altri aspetti</w:t>
      </w:r>
    </w:p>
    <w:p w14:paraId="7212A152" w14:textId="77777777" w:rsidR="00B322AE" w:rsidRDefault="00153420" w:rsidP="00DB6DC0">
      <w:pPr>
        <w:autoSpaceDE w:val="0"/>
        <w:autoSpaceDN w:val="0"/>
        <w:adjustRightInd w:val="0"/>
        <w:rPr>
          <w:sz w:val="22"/>
          <w:szCs w:val="22"/>
        </w:rPr>
      </w:pPr>
      <w:r>
        <w:rPr>
          <w:sz w:val="22"/>
          <w:szCs w:val="22"/>
        </w:rPr>
        <w:t xml:space="preserve">All’assoggettamento a ritenuta si accompagna la </w:t>
      </w:r>
      <w:r w:rsidR="006342C5" w:rsidRPr="007F7EBF">
        <w:rPr>
          <w:sz w:val="22"/>
          <w:szCs w:val="22"/>
        </w:rPr>
        <w:t xml:space="preserve">determinazione </w:t>
      </w:r>
      <w:r w:rsidR="00DC5C3A">
        <w:rPr>
          <w:sz w:val="22"/>
          <w:szCs w:val="22"/>
        </w:rPr>
        <w:t xml:space="preserve">dei redditi </w:t>
      </w:r>
      <w:r>
        <w:rPr>
          <w:sz w:val="22"/>
          <w:szCs w:val="22"/>
        </w:rPr>
        <w:t xml:space="preserve">in esame </w:t>
      </w:r>
      <w:r w:rsidR="00CE35C2">
        <w:rPr>
          <w:sz w:val="22"/>
          <w:szCs w:val="22"/>
        </w:rPr>
        <w:t>secondo il criterio di cassa, indicato al par.7.11</w:t>
      </w:r>
      <w:r>
        <w:rPr>
          <w:sz w:val="22"/>
          <w:szCs w:val="22"/>
        </w:rPr>
        <w:t>, in materia di imputazione a periodo</w:t>
      </w:r>
      <w:r w:rsidR="00D17B4F" w:rsidRPr="007F7EBF">
        <w:rPr>
          <w:sz w:val="22"/>
          <w:szCs w:val="22"/>
        </w:rPr>
        <w:t xml:space="preserve"> </w:t>
      </w:r>
      <w:r w:rsidR="00CE35C2">
        <w:rPr>
          <w:sz w:val="22"/>
          <w:szCs w:val="22"/>
        </w:rPr>
        <w:t>(</w:t>
      </w:r>
      <w:r w:rsidR="00D17B4F" w:rsidRPr="007F7EBF">
        <w:rPr>
          <w:rStyle w:val="Rimandonotaapidipagina"/>
          <w:sz w:val="22"/>
          <w:szCs w:val="22"/>
        </w:rPr>
        <w:footnoteReference w:id="1267"/>
      </w:r>
      <w:r w:rsidR="00CE35C2">
        <w:rPr>
          <w:sz w:val="22"/>
          <w:szCs w:val="22"/>
        </w:rPr>
        <w:t>)</w:t>
      </w:r>
      <w:r w:rsidR="00D17B4F" w:rsidRPr="007F7EBF">
        <w:rPr>
          <w:sz w:val="22"/>
          <w:szCs w:val="22"/>
        </w:rPr>
        <w:t xml:space="preserve">. </w:t>
      </w:r>
      <w:r w:rsidR="00CE35C2">
        <w:rPr>
          <w:sz w:val="22"/>
          <w:szCs w:val="22"/>
        </w:rPr>
        <w:t xml:space="preserve">Sono rilevanti anche alcune </w:t>
      </w:r>
      <w:r w:rsidR="00CE35C2" w:rsidRPr="007F7EBF">
        <w:rPr>
          <w:sz w:val="22"/>
          <w:szCs w:val="22"/>
        </w:rPr>
        <w:t>plusvalenze e minusvalenze su beni immobili strumentali</w:t>
      </w:r>
      <w:r w:rsidR="00D5519D">
        <w:rPr>
          <w:sz w:val="22"/>
          <w:szCs w:val="22"/>
        </w:rPr>
        <w:t xml:space="preserve"> +</w:t>
      </w:r>
      <w:r w:rsidR="00CE35C2">
        <w:rPr>
          <w:sz w:val="22"/>
          <w:szCs w:val="22"/>
        </w:rPr>
        <w:t>(</w:t>
      </w:r>
      <w:r w:rsidR="00CE35C2" w:rsidRPr="007F7EBF">
        <w:rPr>
          <w:rStyle w:val="Rimandonotaapidipagina"/>
          <w:sz w:val="22"/>
          <w:szCs w:val="22"/>
        </w:rPr>
        <w:footnoteReference w:id="1268"/>
      </w:r>
      <w:r w:rsidR="00CE35C2">
        <w:rPr>
          <w:sz w:val="22"/>
          <w:szCs w:val="22"/>
        </w:rPr>
        <w:t>)</w:t>
      </w:r>
      <w:r w:rsidR="00CE35C2" w:rsidRPr="007F7EBF">
        <w:rPr>
          <w:sz w:val="22"/>
          <w:szCs w:val="22"/>
        </w:rPr>
        <w:t xml:space="preserve">. </w:t>
      </w:r>
    </w:p>
    <w:p w14:paraId="70D4DEA6" w14:textId="29064F08" w:rsidR="001071B2" w:rsidRPr="007F7EBF" w:rsidRDefault="006342C5" w:rsidP="00DB6DC0">
      <w:pPr>
        <w:autoSpaceDE w:val="0"/>
        <w:autoSpaceDN w:val="0"/>
        <w:adjustRightInd w:val="0"/>
        <w:rPr>
          <w:bCs/>
          <w:i/>
          <w:iCs/>
          <w:color w:val="0000FF"/>
          <w:sz w:val="22"/>
          <w:szCs w:val="22"/>
        </w:rPr>
      </w:pPr>
      <w:r w:rsidRPr="007F7EBF">
        <w:rPr>
          <w:sz w:val="22"/>
          <w:szCs w:val="22"/>
        </w:rPr>
        <w:t>Anche questi soggetti sono tenuti alle scritture contabili (in genere inutili, par.</w:t>
      </w:r>
      <w:r w:rsidR="001071B2" w:rsidRPr="007F7EBF">
        <w:rPr>
          <w:sz w:val="22"/>
          <w:szCs w:val="22"/>
        </w:rPr>
        <w:t xml:space="preserve"> </w:t>
      </w:r>
      <w:r w:rsidRPr="007F7EBF">
        <w:rPr>
          <w:sz w:val="22"/>
          <w:szCs w:val="22"/>
        </w:rPr>
        <w:t xml:space="preserve">3.13), e all’effettuazione di ritenute alla fonte, come </w:t>
      </w:r>
      <w:r w:rsidRPr="007F7EBF">
        <w:rPr>
          <w:bCs/>
          <w:sz w:val="22"/>
          <w:szCs w:val="22"/>
        </w:rPr>
        <w:t>sostituti di imposta</w:t>
      </w:r>
      <w:r w:rsidR="00834828">
        <w:rPr>
          <w:bCs/>
          <w:sz w:val="22"/>
          <w:szCs w:val="22"/>
        </w:rPr>
        <w:t>, ad esempio verso dipendenti o altri lavoratori autonomi, loro fornitori</w:t>
      </w:r>
      <w:r w:rsidRPr="007F7EBF">
        <w:rPr>
          <w:sz w:val="22"/>
          <w:szCs w:val="22"/>
        </w:rPr>
        <w:t xml:space="preserve">. </w:t>
      </w:r>
    </w:p>
    <w:p w14:paraId="316E72A8" w14:textId="4E85543F" w:rsidR="006342C5" w:rsidRPr="007F7EBF" w:rsidRDefault="006342C5" w:rsidP="006342C5">
      <w:pPr>
        <w:autoSpaceDE w:val="0"/>
        <w:autoSpaceDN w:val="0"/>
        <w:adjustRightInd w:val="0"/>
        <w:rPr>
          <w:sz w:val="22"/>
          <w:szCs w:val="22"/>
        </w:rPr>
      </w:pPr>
      <w:r w:rsidRPr="007F7EBF">
        <w:rPr>
          <w:sz w:val="22"/>
          <w:szCs w:val="22"/>
        </w:rPr>
        <w:t xml:space="preserve">Sul piano della </w:t>
      </w:r>
      <w:r w:rsidRPr="007F7EBF">
        <w:rPr>
          <w:bCs/>
          <w:sz w:val="22"/>
          <w:szCs w:val="22"/>
        </w:rPr>
        <w:t xml:space="preserve">territorialità </w:t>
      </w:r>
      <w:r w:rsidRPr="007F7EBF">
        <w:rPr>
          <w:sz w:val="22"/>
          <w:szCs w:val="22"/>
        </w:rPr>
        <w:t>(par. 7.18) sono imponibili in Italia i redditi professionali</w:t>
      </w:r>
      <w:r w:rsidR="001071B2" w:rsidRPr="007F7EBF">
        <w:rPr>
          <w:sz w:val="22"/>
          <w:szCs w:val="22"/>
        </w:rPr>
        <w:t xml:space="preserve"> </w:t>
      </w:r>
      <w:r w:rsidRPr="007F7EBF">
        <w:rPr>
          <w:sz w:val="22"/>
          <w:szCs w:val="22"/>
        </w:rPr>
        <w:t xml:space="preserve">derivanti da </w:t>
      </w:r>
      <w:r w:rsidRPr="007F7EBF">
        <w:rPr>
          <w:bCs/>
          <w:sz w:val="22"/>
          <w:szCs w:val="22"/>
        </w:rPr>
        <w:t>attività ivi esercitate</w:t>
      </w:r>
      <w:r w:rsidR="001F73A1" w:rsidRPr="007F7EBF">
        <w:rPr>
          <w:bCs/>
          <w:sz w:val="22"/>
          <w:szCs w:val="22"/>
        </w:rPr>
        <w:t xml:space="preserve">, anche in via occasionale, </w:t>
      </w:r>
      <w:r w:rsidR="00C82A6A" w:rsidRPr="007F7EBF">
        <w:rPr>
          <w:bCs/>
          <w:sz w:val="22"/>
          <w:szCs w:val="22"/>
        </w:rPr>
        <w:t>come il concerto di un cantante</w:t>
      </w:r>
      <w:r w:rsidR="00834828">
        <w:rPr>
          <w:bCs/>
          <w:sz w:val="22"/>
          <w:szCs w:val="22"/>
        </w:rPr>
        <w:t>; tuttavia spesso le convenzioni internazionali richiedono, per la tassazione nel paese della produzione, una “base fissa” , analoga alla “stabile organizzazione” delle imprese, di cui al par.7.18</w:t>
      </w:r>
      <w:r w:rsidR="00C82A6A" w:rsidRPr="007F7EBF">
        <w:rPr>
          <w:bCs/>
          <w:sz w:val="22"/>
          <w:szCs w:val="22"/>
        </w:rPr>
        <w:t xml:space="preserve">. </w:t>
      </w:r>
      <w:r w:rsidR="001F73A1" w:rsidRPr="007F7EBF">
        <w:rPr>
          <w:bCs/>
          <w:sz w:val="22"/>
          <w:szCs w:val="22"/>
        </w:rPr>
        <w:t xml:space="preserve"> </w:t>
      </w:r>
    </w:p>
    <w:p w14:paraId="5E49CCBB" w14:textId="6FC3E606" w:rsidR="009E0AD9" w:rsidRPr="007F7EBF" w:rsidRDefault="006342C5" w:rsidP="00363F0E">
      <w:pPr>
        <w:pStyle w:val="Titolo3"/>
        <w:rPr>
          <w:sz w:val="22"/>
          <w:szCs w:val="22"/>
        </w:rPr>
      </w:pPr>
      <w:bookmarkStart w:id="123" w:name="_Toc63365033"/>
      <w:r w:rsidRPr="007F7EBF">
        <w:rPr>
          <w:rFonts w:ascii="Times New Roman" w:hAnsi="Times New Roman"/>
          <w:sz w:val="22"/>
          <w:szCs w:val="22"/>
        </w:rPr>
        <w:t>8.2. Ricchezza agricola tra catasto e IVA (tracce di forfettizzazione nella</w:t>
      </w:r>
      <w:r w:rsidR="00775319" w:rsidRPr="007F7EBF">
        <w:rPr>
          <w:rFonts w:ascii="Times New Roman" w:hAnsi="Times New Roman"/>
          <w:sz w:val="22"/>
          <w:szCs w:val="22"/>
        </w:rPr>
        <w:t xml:space="preserve"> </w:t>
      </w:r>
      <w:r w:rsidRPr="007F7EBF">
        <w:rPr>
          <w:rFonts w:ascii="Times New Roman" w:hAnsi="Times New Roman"/>
          <w:sz w:val="22"/>
          <w:szCs w:val="22"/>
        </w:rPr>
        <w:t>tassazione attraverso le aziende?)</w:t>
      </w:r>
      <w:bookmarkEnd w:id="123"/>
    </w:p>
    <w:p w14:paraId="503FFA80" w14:textId="77777777" w:rsidR="009E0AD9" w:rsidRPr="007F7EBF" w:rsidRDefault="009E0AD9" w:rsidP="009E0AD9">
      <w:pPr>
        <w:pStyle w:val="tit23"/>
        <w:ind w:left="6464" w:right="-1361" w:firstLine="0"/>
        <w:jc w:val="left"/>
        <w:rPr>
          <w:bCs/>
          <w:i/>
          <w:iCs/>
          <w:color w:val="0000FF"/>
          <w:lang w:val="it-IT"/>
        </w:rPr>
      </w:pPr>
      <w:r w:rsidRPr="007F7EBF">
        <w:rPr>
          <w:bCs/>
          <w:i/>
          <w:iCs/>
          <w:color w:val="0000FF"/>
          <w:lang w:val="it-IT"/>
        </w:rPr>
        <w:t xml:space="preserve">vecchia centralità </w:t>
      </w:r>
      <w:r w:rsidRPr="007F7EBF">
        <w:rPr>
          <w:bCs/>
          <w:i/>
          <w:iCs/>
          <w:color w:val="0000FF"/>
          <w:lang w:val="it-IT"/>
        </w:rPr>
        <w:lastRenderedPageBreak/>
        <w:t>agricola e tributi</w:t>
      </w:r>
    </w:p>
    <w:p w14:paraId="4179DA44" w14:textId="26BE60BB" w:rsidR="008F5B0C" w:rsidRPr="007F7EBF" w:rsidRDefault="00510A13" w:rsidP="00644708">
      <w:pPr>
        <w:autoSpaceDE w:val="0"/>
        <w:autoSpaceDN w:val="0"/>
        <w:adjustRightInd w:val="0"/>
        <w:rPr>
          <w:sz w:val="22"/>
          <w:szCs w:val="22"/>
        </w:rPr>
      </w:pPr>
      <w:r w:rsidRPr="007F7EBF">
        <w:rPr>
          <w:sz w:val="22"/>
          <w:szCs w:val="22"/>
        </w:rPr>
        <w:t xml:space="preserve">Fino alle </w:t>
      </w:r>
      <w:r w:rsidR="006342C5" w:rsidRPr="007F7EBF">
        <w:rPr>
          <w:sz w:val="22"/>
          <w:szCs w:val="22"/>
        </w:rPr>
        <w:t>aziende tecnologiche (par. 1.4</w:t>
      </w:r>
      <w:r w:rsidR="00566E73" w:rsidRPr="007F7EBF">
        <w:rPr>
          <w:sz w:val="22"/>
          <w:szCs w:val="22"/>
        </w:rPr>
        <w:t xml:space="preserve"> </w:t>
      </w:r>
      <w:r w:rsidR="006342C5" w:rsidRPr="007F7EBF">
        <w:rPr>
          <w:sz w:val="22"/>
          <w:szCs w:val="22"/>
        </w:rPr>
        <w:t xml:space="preserve">e 3.1) l’agricoltura era l’attività produttiva </w:t>
      </w:r>
      <w:r w:rsidR="00F72317">
        <w:rPr>
          <w:sz w:val="22"/>
          <w:szCs w:val="22"/>
        </w:rPr>
        <w:t>più diffusa</w:t>
      </w:r>
      <w:r w:rsidR="00EC30A5">
        <w:rPr>
          <w:sz w:val="22"/>
          <w:szCs w:val="22"/>
        </w:rPr>
        <w:t xml:space="preserve"> </w:t>
      </w:r>
      <w:r w:rsidRPr="007F7EBF">
        <w:rPr>
          <w:sz w:val="22"/>
          <w:szCs w:val="22"/>
        </w:rPr>
        <w:t xml:space="preserve">e anche “più </w:t>
      </w:r>
      <w:r w:rsidR="00F72317">
        <w:rPr>
          <w:sz w:val="22"/>
          <w:szCs w:val="22"/>
        </w:rPr>
        <w:t>facilmente stimabile</w:t>
      </w:r>
      <w:r w:rsidRPr="007F7EBF">
        <w:rPr>
          <w:sz w:val="22"/>
          <w:szCs w:val="22"/>
        </w:rPr>
        <w:t>”</w:t>
      </w:r>
      <w:r w:rsidR="00363F0E">
        <w:rPr>
          <w:sz w:val="22"/>
          <w:szCs w:val="22"/>
        </w:rPr>
        <w:t xml:space="preserve"> per </w:t>
      </w:r>
      <w:r w:rsidR="00F72317">
        <w:rPr>
          <w:sz w:val="22"/>
          <w:szCs w:val="22"/>
        </w:rPr>
        <w:t>la visibilità delle coltivazioni</w:t>
      </w:r>
      <w:r w:rsidR="00363F0E">
        <w:rPr>
          <w:sz w:val="22"/>
          <w:szCs w:val="22"/>
        </w:rPr>
        <w:t xml:space="preserve"> e </w:t>
      </w:r>
      <w:r w:rsidR="00BD0913">
        <w:rPr>
          <w:sz w:val="22"/>
          <w:szCs w:val="22"/>
        </w:rPr>
        <w:t xml:space="preserve">le diffuse </w:t>
      </w:r>
      <w:r w:rsidR="00363F0E" w:rsidRPr="007F7EBF">
        <w:rPr>
          <w:sz w:val="22"/>
          <w:szCs w:val="22"/>
        </w:rPr>
        <w:t xml:space="preserve">nozioni di esperienza comune sull’andamento dei raccolti ( </w:t>
      </w:r>
      <w:r w:rsidR="00363F0E" w:rsidRPr="007F7EBF">
        <w:rPr>
          <w:rStyle w:val="Rimandonotaapidipagina"/>
          <w:sz w:val="22"/>
          <w:szCs w:val="22"/>
        </w:rPr>
        <w:footnoteReference w:id="1269"/>
      </w:r>
      <w:r w:rsidR="00363F0E" w:rsidRPr="007F7EBF">
        <w:rPr>
          <w:sz w:val="22"/>
          <w:szCs w:val="22"/>
        </w:rPr>
        <w:t>)</w:t>
      </w:r>
      <w:r w:rsidR="00363F0E">
        <w:rPr>
          <w:sz w:val="22"/>
          <w:szCs w:val="22"/>
        </w:rPr>
        <w:t xml:space="preserve">, che rendevano irrilevanti anche eventuali registri contabili tenuti </w:t>
      </w:r>
      <w:r w:rsidR="00363F0E" w:rsidRPr="007F7EBF">
        <w:rPr>
          <w:sz w:val="22"/>
          <w:szCs w:val="22"/>
        </w:rPr>
        <w:t>d</w:t>
      </w:r>
      <w:r w:rsidR="00363F0E">
        <w:rPr>
          <w:sz w:val="22"/>
          <w:szCs w:val="22"/>
        </w:rPr>
        <w:t>a</w:t>
      </w:r>
      <w:r w:rsidR="00363F0E" w:rsidRPr="007F7EBF">
        <w:rPr>
          <w:sz w:val="22"/>
          <w:szCs w:val="22"/>
        </w:rPr>
        <w:t xml:space="preserve">lle grandi proprietà agricole </w:t>
      </w:r>
      <w:r w:rsidR="00363F0E">
        <w:rPr>
          <w:sz w:val="22"/>
          <w:szCs w:val="22"/>
        </w:rPr>
        <w:t>(</w:t>
      </w:r>
      <w:r w:rsidR="00363F0E" w:rsidRPr="007F7EBF">
        <w:rPr>
          <w:rStyle w:val="Rimandonotaapidipagina"/>
          <w:sz w:val="22"/>
          <w:szCs w:val="22"/>
        </w:rPr>
        <w:footnoteReference w:id="1270"/>
      </w:r>
      <w:r w:rsidR="00363F0E">
        <w:rPr>
          <w:sz w:val="22"/>
          <w:szCs w:val="22"/>
        </w:rPr>
        <w:t xml:space="preserve">). </w:t>
      </w:r>
    </w:p>
    <w:p w14:paraId="7AB72D67" w14:textId="77777777" w:rsidR="008F5B0C" w:rsidRPr="007F7EBF" w:rsidRDefault="008F5B0C" w:rsidP="008F5B0C">
      <w:pPr>
        <w:pStyle w:val="tit23"/>
        <w:ind w:left="6464" w:right="-1361" w:firstLine="0"/>
        <w:jc w:val="left"/>
        <w:rPr>
          <w:bCs/>
          <w:i/>
          <w:iCs/>
          <w:color w:val="0000FF"/>
          <w:lang w:val="it-IT"/>
        </w:rPr>
      </w:pPr>
      <w:r w:rsidRPr="007F7EBF">
        <w:rPr>
          <w:bCs/>
          <w:i/>
          <w:iCs/>
          <w:color w:val="0000FF"/>
          <w:lang w:val="it-IT"/>
        </w:rPr>
        <w:t xml:space="preserve">Necessità di una funzione </w:t>
      </w:r>
      <w:r w:rsidR="005472FF" w:rsidRPr="007F7EBF">
        <w:rPr>
          <w:bCs/>
          <w:i/>
          <w:iCs/>
          <w:color w:val="0000FF"/>
          <w:lang w:val="it-IT"/>
        </w:rPr>
        <w:t xml:space="preserve">pubblica </w:t>
      </w:r>
      <w:r w:rsidRPr="007F7EBF">
        <w:rPr>
          <w:bCs/>
          <w:i/>
          <w:iCs/>
          <w:color w:val="0000FF"/>
          <w:lang w:val="it-IT"/>
        </w:rPr>
        <w:t>impositiva</w:t>
      </w:r>
    </w:p>
    <w:p w14:paraId="6055CC4A" w14:textId="3F4479E8" w:rsidR="008F5B0C" w:rsidRPr="007F7EBF" w:rsidRDefault="00BD0913" w:rsidP="008F5B0C">
      <w:pPr>
        <w:autoSpaceDE w:val="0"/>
        <w:autoSpaceDN w:val="0"/>
        <w:adjustRightInd w:val="0"/>
        <w:rPr>
          <w:sz w:val="22"/>
          <w:szCs w:val="22"/>
        </w:rPr>
      </w:pPr>
      <w:r>
        <w:rPr>
          <w:sz w:val="22"/>
          <w:szCs w:val="22"/>
        </w:rPr>
        <w:t>Il pubblico potere, ovvero de</w:t>
      </w:r>
      <w:r w:rsidR="00065546">
        <w:rPr>
          <w:sz w:val="22"/>
          <w:szCs w:val="22"/>
        </w:rPr>
        <w:t xml:space="preserve">legati della politica, </w:t>
      </w:r>
      <w:r w:rsidR="008F5B0C" w:rsidRPr="007F7EBF">
        <w:rPr>
          <w:sz w:val="22"/>
          <w:szCs w:val="22"/>
        </w:rPr>
        <w:t xml:space="preserve"> </w:t>
      </w:r>
      <w:r w:rsidR="00644708" w:rsidRPr="007F7EBF">
        <w:rPr>
          <w:sz w:val="22"/>
          <w:szCs w:val="22"/>
        </w:rPr>
        <w:t>funzionari pubblici</w:t>
      </w:r>
      <w:r w:rsidR="00065546">
        <w:rPr>
          <w:sz w:val="22"/>
          <w:szCs w:val="22"/>
        </w:rPr>
        <w:t xml:space="preserve"> o concessionari privati (</w:t>
      </w:r>
      <w:r w:rsidR="00945BA2">
        <w:rPr>
          <w:rStyle w:val="Rimandonotaapidipagina"/>
          <w:sz w:val="22"/>
          <w:szCs w:val="22"/>
        </w:rPr>
        <w:footnoteReference w:id="1271"/>
      </w:r>
      <w:r w:rsidR="00065546">
        <w:rPr>
          <w:sz w:val="22"/>
          <w:szCs w:val="22"/>
        </w:rPr>
        <w:t>)</w:t>
      </w:r>
      <w:r w:rsidR="008F5B0C" w:rsidRPr="007F7EBF">
        <w:rPr>
          <w:sz w:val="22"/>
          <w:szCs w:val="22"/>
        </w:rPr>
        <w:t xml:space="preserve"> doveva </w:t>
      </w:r>
      <w:r w:rsidR="00065546">
        <w:rPr>
          <w:sz w:val="22"/>
          <w:szCs w:val="22"/>
        </w:rPr>
        <w:t xml:space="preserve">stimare le condizioni economiche di una </w:t>
      </w:r>
      <w:r w:rsidR="008F5B0C" w:rsidRPr="007F7EBF">
        <w:rPr>
          <w:sz w:val="22"/>
          <w:szCs w:val="22"/>
        </w:rPr>
        <w:t xml:space="preserve">massa di agricoltori, proprietari, mezzadri, enfiteuti, </w:t>
      </w:r>
      <w:proofErr w:type="spellStart"/>
      <w:r w:rsidR="008F5B0C" w:rsidRPr="007F7EBF">
        <w:rPr>
          <w:sz w:val="22"/>
          <w:szCs w:val="22"/>
        </w:rPr>
        <w:t>etc</w:t>
      </w:r>
      <w:proofErr w:type="spellEnd"/>
      <w:r>
        <w:rPr>
          <w:sz w:val="22"/>
          <w:szCs w:val="22"/>
        </w:rPr>
        <w:t xml:space="preserve">, richiedendo loro le imposte </w:t>
      </w:r>
      <w:r w:rsidR="00363F0E">
        <w:rPr>
          <w:sz w:val="22"/>
          <w:szCs w:val="22"/>
        </w:rPr>
        <w:t>(</w:t>
      </w:r>
      <w:r w:rsidR="00363F0E">
        <w:rPr>
          <w:rStyle w:val="Rimandonotaapidipagina"/>
          <w:sz w:val="22"/>
          <w:szCs w:val="22"/>
        </w:rPr>
        <w:footnoteReference w:id="1272"/>
      </w:r>
      <w:r w:rsidR="00363F0E">
        <w:rPr>
          <w:sz w:val="22"/>
          <w:szCs w:val="22"/>
        </w:rPr>
        <w:t>)</w:t>
      </w:r>
      <w:r>
        <w:rPr>
          <w:sz w:val="22"/>
          <w:szCs w:val="22"/>
        </w:rPr>
        <w:t xml:space="preserve"> </w:t>
      </w:r>
      <w:r w:rsidR="00945BA2">
        <w:rPr>
          <w:sz w:val="22"/>
          <w:szCs w:val="22"/>
        </w:rPr>
        <w:t>Quest</w:t>
      </w:r>
      <w:r w:rsidR="00AB0A6A">
        <w:rPr>
          <w:sz w:val="22"/>
          <w:szCs w:val="22"/>
        </w:rPr>
        <w:t>’</w:t>
      </w:r>
      <w:r w:rsidR="00945BA2">
        <w:rPr>
          <w:sz w:val="22"/>
          <w:szCs w:val="22"/>
        </w:rPr>
        <w:t>attività v</w:t>
      </w:r>
      <w:r w:rsidR="008F5B0C" w:rsidRPr="007F7EBF">
        <w:rPr>
          <w:sz w:val="22"/>
          <w:szCs w:val="22"/>
        </w:rPr>
        <w:t>alutativa</w:t>
      </w:r>
      <w:r w:rsidR="00945BA2">
        <w:rPr>
          <w:sz w:val="22"/>
          <w:szCs w:val="22"/>
        </w:rPr>
        <w:t xml:space="preserve">, </w:t>
      </w:r>
      <w:r w:rsidR="00AB0A6A">
        <w:rPr>
          <w:sz w:val="22"/>
          <w:szCs w:val="22"/>
        </w:rPr>
        <w:t xml:space="preserve">da svolgere caso per caso </w:t>
      </w:r>
      <w:r w:rsidR="008F5B0C" w:rsidRPr="007F7EBF">
        <w:rPr>
          <w:sz w:val="22"/>
          <w:szCs w:val="22"/>
        </w:rPr>
        <w:t xml:space="preserve">in contesti </w:t>
      </w:r>
      <w:r w:rsidR="00644708" w:rsidRPr="007F7EBF">
        <w:rPr>
          <w:sz w:val="22"/>
          <w:szCs w:val="22"/>
        </w:rPr>
        <w:t xml:space="preserve">dove si produceva poco più del necessario al </w:t>
      </w:r>
      <w:r w:rsidR="008F5B0C" w:rsidRPr="007F7EBF">
        <w:rPr>
          <w:sz w:val="22"/>
          <w:szCs w:val="22"/>
        </w:rPr>
        <w:t>sostentamento</w:t>
      </w:r>
      <w:r w:rsidR="00945BA2">
        <w:rPr>
          <w:sz w:val="22"/>
          <w:szCs w:val="22"/>
        </w:rPr>
        <w:t xml:space="preserve">, </w:t>
      </w:r>
      <w:r w:rsidR="00AB0A6A">
        <w:rPr>
          <w:sz w:val="22"/>
          <w:szCs w:val="22"/>
        </w:rPr>
        <w:t>dava</w:t>
      </w:r>
      <w:r w:rsidR="00945BA2">
        <w:rPr>
          <w:sz w:val="22"/>
          <w:szCs w:val="22"/>
        </w:rPr>
        <w:t xml:space="preserve"> luog</w:t>
      </w:r>
      <w:r w:rsidR="00AB0A6A">
        <w:rPr>
          <w:sz w:val="22"/>
          <w:szCs w:val="22"/>
        </w:rPr>
        <w:t xml:space="preserve">o inevitabilmente, con tutta la buona volontà </w:t>
      </w:r>
      <w:r w:rsidR="00AB0A6A">
        <w:rPr>
          <w:sz w:val="22"/>
          <w:szCs w:val="22"/>
        </w:rPr>
        <w:lastRenderedPageBreak/>
        <w:t>degli esattori, a</w:t>
      </w:r>
      <w:r w:rsidR="00945BA2">
        <w:rPr>
          <w:sz w:val="22"/>
          <w:szCs w:val="22"/>
        </w:rPr>
        <w:t xml:space="preserve"> lamentele anticamente </w:t>
      </w:r>
      <w:r w:rsidR="00C03D7A">
        <w:rPr>
          <w:sz w:val="22"/>
          <w:szCs w:val="22"/>
        </w:rPr>
        <w:t xml:space="preserve">svolte in </w:t>
      </w:r>
      <w:r w:rsidR="00945BA2">
        <w:rPr>
          <w:sz w:val="22"/>
          <w:szCs w:val="22"/>
        </w:rPr>
        <w:t xml:space="preserve">via gerarchico-politica di cui al par.6.7. </w:t>
      </w:r>
    </w:p>
    <w:p w14:paraId="568B2718" w14:textId="77777777" w:rsidR="008F5B0C" w:rsidRPr="007F7EBF" w:rsidRDefault="008F5B0C" w:rsidP="008F5B0C">
      <w:pPr>
        <w:pStyle w:val="tit23"/>
        <w:ind w:left="6464" w:right="-1361" w:firstLine="0"/>
        <w:jc w:val="left"/>
        <w:rPr>
          <w:bCs/>
          <w:i/>
          <w:iCs/>
          <w:color w:val="0000FF"/>
          <w:lang w:val="it-IT"/>
        </w:rPr>
      </w:pPr>
      <w:r w:rsidRPr="007F7EBF">
        <w:rPr>
          <w:bCs/>
          <w:i/>
          <w:iCs/>
          <w:color w:val="0000FF"/>
          <w:lang w:val="it-IT"/>
        </w:rPr>
        <w:t>I catasti</w:t>
      </w:r>
    </w:p>
    <w:p w14:paraId="2D3EB8A5" w14:textId="12172554" w:rsidR="00644708" w:rsidRPr="007F7EBF" w:rsidRDefault="00945BA2" w:rsidP="00644708">
      <w:pPr>
        <w:autoSpaceDE w:val="0"/>
        <w:autoSpaceDN w:val="0"/>
        <w:adjustRightInd w:val="0"/>
        <w:rPr>
          <w:sz w:val="22"/>
          <w:szCs w:val="22"/>
        </w:rPr>
      </w:pPr>
      <w:r>
        <w:rPr>
          <w:sz w:val="22"/>
          <w:szCs w:val="22"/>
        </w:rPr>
        <w:t>Ne derivava un’esigenza di perequazione</w:t>
      </w:r>
      <w:r w:rsidR="00AB0A6A">
        <w:rPr>
          <w:sz w:val="22"/>
          <w:szCs w:val="22"/>
        </w:rPr>
        <w:t xml:space="preserve"> delle stime</w:t>
      </w:r>
      <w:r w:rsidR="00E6034D">
        <w:rPr>
          <w:sz w:val="22"/>
          <w:szCs w:val="22"/>
        </w:rPr>
        <w:t>, ch</w:t>
      </w:r>
      <w:r w:rsidR="00AB0A6A">
        <w:rPr>
          <w:sz w:val="22"/>
          <w:szCs w:val="22"/>
        </w:rPr>
        <w:t xml:space="preserve">e </w:t>
      </w:r>
      <w:r w:rsidR="00E6034D">
        <w:rPr>
          <w:sz w:val="22"/>
          <w:szCs w:val="22"/>
        </w:rPr>
        <w:t>sp</w:t>
      </w:r>
      <w:r w:rsidR="00AB0A6A">
        <w:rPr>
          <w:sz w:val="22"/>
          <w:szCs w:val="22"/>
        </w:rPr>
        <w:t xml:space="preserve">inse a redigere </w:t>
      </w:r>
      <w:r w:rsidR="00C03D7A">
        <w:rPr>
          <w:sz w:val="22"/>
          <w:szCs w:val="22"/>
        </w:rPr>
        <w:t xml:space="preserve">predeterminazioni della redditività delle terre, con </w:t>
      </w:r>
      <w:r w:rsidR="006342C5" w:rsidRPr="007F7EBF">
        <w:rPr>
          <w:bCs/>
          <w:sz w:val="22"/>
          <w:szCs w:val="22"/>
        </w:rPr>
        <w:t>elenchi</w:t>
      </w:r>
      <w:r w:rsidR="00566E73" w:rsidRPr="007F7EBF">
        <w:rPr>
          <w:bCs/>
          <w:sz w:val="22"/>
          <w:szCs w:val="22"/>
        </w:rPr>
        <w:t xml:space="preserve"> </w:t>
      </w:r>
      <w:r w:rsidR="006342C5" w:rsidRPr="007F7EBF">
        <w:rPr>
          <w:bCs/>
          <w:sz w:val="22"/>
          <w:szCs w:val="22"/>
        </w:rPr>
        <w:t>di proprietà</w:t>
      </w:r>
      <w:r w:rsidR="006342C5" w:rsidRPr="007F7EBF">
        <w:rPr>
          <w:sz w:val="22"/>
          <w:szCs w:val="22"/>
        </w:rPr>
        <w:t>, espressione di attività amministrativa</w:t>
      </w:r>
      <w:r w:rsidR="008F5B0C" w:rsidRPr="007F7EBF">
        <w:rPr>
          <w:sz w:val="22"/>
          <w:szCs w:val="22"/>
        </w:rPr>
        <w:t xml:space="preserve"> </w:t>
      </w:r>
      <w:r w:rsidR="006342C5" w:rsidRPr="007F7EBF">
        <w:rPr>
          <w:sz w:val="22"/>
          <w:szCs w:val="22"/>
        </w:rPr>
        <w:t>denominata “</w:t>
      </w:r>
      <w:r w:rsidR="006342C5" w:rsidRPr="007F7EBF">
        <w:rPr>
          <w:bCs/>
          <w:sz w:val="22"/>
          <w:szCs w:val="22"/>
        </w:rPr>
        <w:t>accatastamento” o “catasto”</w:t>
      </w:r>
      <w:r w:rsidR="006342C5" w:rsidRPr="007F7EBF">
        <w:rPr>
          <w:sz w:val="22"/>
          <w:szCs w:val="22"/>
        </w:rPr>
        <w:t>, diretta a</w:t>
      </w:r>
      <w:r w:rsidR="00C03D7A">
        <w:rPr>
          <w:sz w:val="22"/>
          <w:szCs w:val="22"/>
        </w:rPr>
        <w:t xml:space="preserve">l controllo del territorio agricolo di </w:t>
      </w:r>
      <w:r w:rsidR="006342C5" w:rsidRPr="007F7EBF">
        <w:rPr>
          <w:sz w:val="22"/>
          <w:szCs w:val="22"/>
        </w:rPr>
        <w:t>un determinato Stato.</w:t>
      </w:r>
      <w:r w:rsidR="00566E73" w:rsidRPr="007F7EBF">
        <w:rPr>
          <w:sz w:val="22"/>
          <w:szCs w:val="22"/>
        </w:rPr>
        <w:t xml:space="preserve"> </w:t>
      </w:r>
      <w:r w:rsidR="006342C5" w:rsidRPr="007F7EBF">
        <w:rPr>
          <w:sz w:val="22"/>
          <w:szCs w:val="22"/>
        </w:rPr>
        <w:t xml:space="preserve">Il </w:t>
      </w:r>
      <w:r w:rsidR="006342C5" w:rsidRPr="007F7EBF">
        <w:rPr>
          <w:bCs/>
          <w:sz w:val="22"/>
          <w:szCs w:val="22"/>
        </w:rPr>
        <w:t>catasto dei terreni</w:t>
      </w:r>
      <w:r w:rsidR="00C03D7A">
        <w:rPr>
          <w:bCs/>
          <w:sz w:val="22"/>
          <w:szCs w:val="22"/>
        </w:rPr>
        <w:t xml:space="preserve"> </w:t>
      </w:r>
      <w:r w:rsidR="008F5B0C" w:rsidRPr="007F7EBF">
        <w:rPr>
          <w:bCs/>
          <w:sz w:val="22"/>
          <w:szCs w:val="22"/>
        </w:rPr>
        <w:t>divenne</w:t>
      </w:r>
      <w:r w:rsidR="00644708" w:rsidRPr="007F7EBF">
        <w:rPr>
          <w:bCs/>
          <w:sz w:val="22"/>
          <w:szCs w:val="22"/>
        </w:rPr>
        <w:t xml:space="preserve"> </w:t>
      </w:r>
      <w:r w:rsidR="00C03D7A">
        <w:rPr>
          <w:bCs/>
          <w:sz w:val="22"/>
          <w:szCs w:val="22"/>
        </w:rPr>
        <w:t xml:space="preserve">così </w:t>
      </w:r>
      <w:r w:rsidR="00644708" w:rsidRPr="007F7EBF">
        <w:rPr>
          <w:bCs/>
          <w:sz w:val="22"/>
          <w:szCs w:val="22"/>
        </w:rPr>
        <w:t>"scientifico" e metodico a partire dall'illuminismo</w:t>
      </w:r>
      <w:r w:rsidR="00644708" w:rsidRPr="007F7EBF">
        <w:rPr>
          <w:sz w:val="22"/>
          <w:szCs w:val="22"/>
        </w:rPr>
        <w:t xml:space="preserve">. In un certo senso il catasto </w:t>
      </w:r>
      <w:r w:rsidR="00C03D7A">
        <w:rPr>
          <w:sz w:val="22"/>
          <w:szCs w:val="22"/>
        </w:rPr>
        <w:t xml:space="preserve">agricolo </w:t>
      </w:r>
      <w:r w:rsidR="00644708" w:rsidRPr="007F7EBF">
        <w:rPr>
          <w:sz w:val="22"/>
          <w:szCs w:val="22"/>
        </w:rPr>
        <w:t xml:space="preserve">rappresentava una di quelle formalizzazioni con cui da sempre </w:t>
      </w:r>
      <w:r w:rsidR="00DA5CCD">
        <w:rPr>
          <w:sz w:val="22"/>
          <w:szCs w:val="22"/>
        </w:rPr>
        <w:t xml:space="preserve">si fronteggiano </w:t>
      </w:r>
      <w:r w:rsidR="00644708" w:rsidRPr="007F7EBF">
        <w:rPr>
          <w:sz w:val="22"/>
          <w:szCs w:val="22"/>
        </w:rPr>
        <w:t xml:space="preserve">le incertezze di una sistematica e valutativa stima della ricchezza. </w:t>
      </w:r>
    </w:p>
    <w:p w14:paraId="22C0429F" w14:textId="4284C219" w:rsidR="008F5B0C" w:rsidRPr="007F7EBF" w:rsidRDefault="008834E7" w:rsidP="008F5B0C">
      <w:pPr>
        <w:pStyle w:val="tit23"/>
        <w:ind w:left="6464" w:right="-1361" w:firstLine="0"/>
        <w:jc w:val="left"/>
        <w:rPr>
          <w:bCs/>
          <w:i/>
          <w:iCs/>
          <w:color w:val="0000FF"/>
          <w:lang w:val="it-IT"/>
        </w:rPr>
      </w:pPr>
      <w:r>
        <w:rPr>
          <w:bCs/>
          <w:i/>
          <w:iCs/>
          <w:color w:val="0000FF"/>
          <w:lang w:val="it-IT"/>
        </w:rPr>
        <w:t>Loro c</w:t>
      </w:r>
      <w:r w:rsidR="008F5B0C" w:rsidRPr="007F7EBF">
        <w:rPr>
          <w:bCs/>
          <w:i/>
          <w:iCs/>
          <w:color w:val="0000FF"/>
          <w:lang w:val="it-IT"/>
        </w:rPr>
        <w:t xml:space="preserve">ontenuto </w:t>
      </w:r>
    </w:p>
    <w:p w14:paraId="44C89757" w14:textId="300F7277" w:rsidR="008F5B0C" w:rsidRPr="007F7EBF" w:rsidRDefault="00C03D7A" w:rsidP="008F5B0C">
      <w:pPr>
        <w:autoSpaceDE w:val="0"/>
        <w:autoSpaceDN w:val="0"/>
        <w:adjustRightInd w:val="0"/>
        <w:rPr>
          <w:sz w:val="22"/>
          <w:szCs w:val="22"/>
        </w:rPr>
      </w:pPr>
      <w:r>
        <w:rPr>
          <w:sz w:val="22"/>
          <w:szCs w:val="22"/>
        </w:rPr>
        <w:t>Ancora oggi la determinazione degli imponibili agricoli avviene mediante i</w:t>
      </w:r>
      <w:r w:rsidR="00644708" w:rsidRPr="007F7EBF">
        <w:rPr>
          <w:sz w:val="22"/>
          <w:szCs w:val="22"/>
        </w:rPr>
        <w:t>l catasto</w:t>
      </w:r>
      <w:r>
        <w:rPr>
          <w:sz w:val="22"/>
          <w:szCs w:val="22"/>
        </w:rPr>
        <w:t>, che</w:t>
      </w:r>
      <w:r w:rsidR="00644708" w:rsidRPr="007F7EBF">
        <w:rPr>
          <w:sz w:val="22"/>
          <w:szCs w:val="22"/>
        </w:rPr>
        <w:t xml:space="preserve"> </w:t>
      </w:r>
      <w:r w:rsidR="006342C5" w:rsidRPr="007F7EBF">
        <w:rPr>
          <w:sz w:val="22"/>
          <w:szCs w:val="22"/>
        </w:rPr>
        <w:t>contiene la descrizione topografica</w:t>
      </w:r>
      <w:r w:rsidR="00644708" w:rsidRPr="007F7EBF">
        <w:rPr>
          <w:sz w:val="22"/>
          <w:szCs w:val="22"/>
        </w:rPr>
        <w:t xml:space="preserve"> dei terreni</w:t>
      </w:r>
      <w:r>
        <w:rPr>
          <w:sz w:val="22"/>
          <w:szCs w:val="22"/>
        </w:rPr>
        <w:t>,</w:t>
      </w:r>
      <w:r w:rsidR="006342C5" w:rsidRPr="007F7EBF">
        <w:rPr>
          <w:sz w:val="22"/>
          <w:szCs w:val="22"/>
        </w:rPr>
        <w:t xml:space="preserve"> con l’indicazione</w:t>
      </w:r>
      <w:r w:rsidR="00566E73" w:rsidRPr="007F7EBF">
        <w:rPr>
          <w:sz w:val="22"/>
          <w:szCs w:val="22"/>
        </w:rPr>
        <w:t xml:space="preserve"> </w:t>
      </w:r>
      <w:r w:rsidR="006342C5" w:rsidRPr="007F7EBF">
        <w:rPr>
          <w:sz w:val="22"/>
          <w:szCs w:val="22"/>
        </w:rPr>
        <w:t>della loro appartenenza, del tipo di coltivazione e del reddito medio annuo da essa ritraibile</w:t>
      </w:r>
      <w:r w:rsidR="00644708" w:rsidRPr="007F7EBF">
        <w:rPr>
          <w:sz w:val="22"/>
          <w:szCs w:val="22"/>
        </w:rPr>
        <w:t xml:space="preserve">. Tale reddito è </w:t>
      </w:r>
      <w:r w:rsidR="006342C5" w:rsidRPr="007F7EBF">
        <w:rPr>
          <w:sz w:val="22"/>
          <w:szCs w:val="22"/>
        </w:rPr>
        <w:t>forfettariamente stimato “una</w:t>
      </w:r>
      <w:r w:rsidR="00644708" w:rsidRPr="007F7EBF">
        <w:rPr>
          <w:sz w:val="22"/>
          <w:szCs w:val="22"/>
        </w:rPr>
        <w:t xml:space="preserve"> tantum” dagli uffici catastali  e si </w:t>
      </w:r>
      <w:r w:rsidR="006342C5" w:rsidRPr="007F7EBF">
        <w:rPr>
          <w:sz w:val="22"/>
          <w:szCs w:val="22"/>
        </w:rPr>
        <w:t>sostituisce al reddito effettivo</w:t>
      </w:r>
      <w:r w:rsidR="00644708" w:rsidRPr="007F7EBF">
        <w:rPr>
          <w:sz w:val="22"/>
          <w:szCs w:val="22"/>
        </w:rPr>
        <w:t xml:space="preserve">, </w:t>
      </w:r>
      <w:r w:rsidR="006342C5" w:rsidRPr="007F7EBF">
        <w:rPr>
          <w:sz w:val="22"/>
          <w:szCs w:val="22"/>
        </w:rPr>
        <w:t>rende</w:t>
      </w:r>
      <w:r w:rsidR="00644708" w:rsidRPr="007F7EBF">
        <w:rPr>
          <w:sz w:val="22"/>
          <w:szCs w:val="22"/>
        </w:rPr>
        <w:t>ndo</w:t>
      </w:r>
      <w:r w:rsidR="006342C5" w:rsidRPr="007F7EBF">
        <w:rPr>
          <w:sz w:val="22"/>
          <w:szCs w:val="22"/>
        </w:rPr>
        <w:t xml:space="preserve"> irrilevanti i reali ricavi della coltivazione</w:t>
      </w:r>
      <w:r w:rsidR="008834E7">
        <w:rPr>
          <w:sz w:val="22"/>
          <w:szCs w:val="22"/>
        </w:rPr>
        <w:t xml:space="preserve"> (</w:t>
      </w:r>
      <w:r w:rsidR="008834E7" w:rsidRPr="007F7EBF">
        <w:rPr>
          <w:rStyle w:val="Rimandonotaapidipagina"/>
          <w:sz w:val="22"/>
          <w:szCs w:val="22"/>
        </w:rPr>
        <w:footnoteReference w:id="1273"/>
      </w:r>
      <w:r w:rsidR="008834E7">
        <w:rPr>
          <w:sz w:val="22"/>
          <w:szCs w:val="22"/>
        </w:rPr>
        <w:t>)</w:t>
      </w:r>
      <w:r w:rsidR="006342C5" w:rsidRPr="007F7EBF">
        <w:rPr>
          <w:sz w:val="22"/>
          <w:szCs w:val="22"/>
        </w:rPr>
        <w:t>, come pure le altre componenti</w:t>
      </w:r>
      <w:r w:rsidR="00566E73" w:rsidRPr="007F7EBF">
        <w:rPr>
          <w:sz w:val="22"/>
          <w:szCs w:val="22"/>
        </w:rPr>
        <w:t xml:space="preserve"> </w:t>
      </w:r>
      <w:r w:rsidR="006342C5" w:rsidRPr="007F7EBF">
        <w:rPr>
          <w:sz w:val="22"/>
          <w:szCs w:val="22"/>
        </w:rPr>
        <w:t>positive del reddito comunque connesse all’attività agricola</w:t>
      </w:r>
      <w:r w:rsidR="008834E7">
        <w:rPr>
          <w:sz w:val="22"/>
          <w:szCs w:val="22"/>
        </w:rPr>
        <w:t>(</w:t>
      </w:r>
      <w:r w:rsidR="008834E7">
        <w:rPr>
          <w:rStyle w:val="Rimandonotaapidipagina"/>
          <w:sz w:val="22"/>
          <w:szCs w:val="22"/>
        </w:rPr>
        <w:footnoteReference w:id="1274"/>
      </w:r>
      <w:r w:rsidR="008834E7">
        <w:rPr>
          <w:sz w:val="22"/>
          <w:szCs w:val="22"/>
        </w:rPr>
        <w:t>)</w:t>
      </w:r>
      <w:r w:rsidR="006342C5" w:rsidRPr="007F7EBF">
        <w:rPr>
          <w:sz w:val="22"/>
          <w:szCs w:val="22"/>
        </w:rPr>
        <w:t>.</w:t>
      </w:r>
    </w:p>
    <w:p w14:paraId="5E62CCAE" w14:textId="77777777" w:rsidR="008F5B0C" w:rsidRPr="007F7EBF" w:rsidRDefault="008F5B0C" w:rsidP="008F5B0C">
      <w:pPr>
        <w:pStyle w:val="tit23"/>
        <w:ind w:left="6464" w:right="-1361" w:firstLine="0"/>
        <w:jc w:val="left"/>
        <w:rPr>
          <w:bCs/>
          <w:i/>
          <w:iCs/>
          <w:color w:val="0000FF"/>
          <w:lang w:val="it-IT"/>
        </w:rPr>
      </w:pPr>
      <w:r w:rsidRPr="007F7EBF">
        <w:rPr>
          <w:bCs/>
          <w:i/>
          <w:iCs/>
          <w:color w:val="0000FF"/>
          <w:lang w:val="it-IT"/>
        </w:rPr>
        <w:t>Limiti reddito agricolo</w:t>
      </w:r>
    </w:p>
    <w:p w14:paraId="0F531484" w14:textId="725F460B" w:rsidR="000C3B00" w:rsidRPr="007F7EBF" w:rsidRDefault="006342C5" w:rsidP="000C3B00">
      <w:pPr>
        <w:autoSpaceDE w:val="0"/>
        <w:autoSpaceDN w:val="0"/>
        <w:adjustRightInd w:val="0"/>
        <w:rPr>
          <w:sz w:val="22"/>
          <w:szCs w:val="22"/>
        </w:rPr>
      </w:pPr>
      <w:r w:rsidRPr="007F7EBF">
        <w:rPr>
          <w:sz w:val="22"/>
          <w:szCs w:val="22"/>
        </w:rPr>
        <w:t xml:space="preserve">La </w:t>
      </w:r>
      <w:r w:rsidRPr="007F7EBF">
        <w:rPr>
          <w:bCs/>
          <w:sz w:val="22"/>
          <w:szCs w:val="22"/>
        </w:rPr>
        <w:t>pura coltivazione</w:t>
      </w:r>
      <w:r w:rsidRPr="007F7EBF">
        <w:rPr>
          <w:sz w:val="22"/>
          <w:szCs w:val="22"/>
        </w:rPr>
        <w:t>, in rapporto diretto con il terreno, dà luogo comunque</w:t>
      </w:r>
      <w:r w:rsidR="00566E73" w:rsidRPr="007F7EBF">
        <w:rPr>
          <w:sz w:val="22"/>
          <w:szCs w:val="22"/>
        </w:rPr>
        <w:t xml:space="preserve"> </w:t>
      </w:r>
      <w:r w:rsidRPr="007F7EBF">
        <w:rPr>
          <w:sz w:val="22"/>
          <w:szCs w:val="22"/>
        </w:rPr>
        <w:t xml:space="preserve">a reddito </w:t>
      </w:r>
      <w:r w:rsidR="00644708" w:rsidRPr="007F7EBF">
        <w:rPr>
          <w:sz w:val="22"/>
          <w:szCs w:val="22"/>
        </w:rPr>
        <w:t>catastale (</w:t>
      </w:r>
      <w:r w:rsidRPr="007F7EBF">
        <w:rPr>
          <w:sz w:val="22"/>
          <w:szCs w:val="22"/>
        </w:rPr>
        <w:t>agrario</w:t>
      </w:r>
      <w:r w:rsidR="00644708" w:rsidRPr="007F7EBF">
        <w:rPr>
          <w:sz w:val="22"/>
          <w:szCs w:val="22"/>
        </w:rPr>
        <w:t>)</w:t>
      </w:r>
      <w:r w:rsidRPr="007F7EBF">
        <w:rPr>
          <w:sz w:val="22"/>
          <w:szCs w:val="22"/>
        </w:rPr>
        <w:t>, anche se effettuata con tecniche moderne o sofisticate</w:t>
      </w:r>
      <w:r w:rsidR="00355474">
        <w:rPr>
          <w:sz w:val="22"/>
          <w:szCs w:val="22"/>
        </w:rPr>
        <w:t>,</w:t>
      </w:r>
      <w:r w:rsidRPr="007F7EBF">
        <w:rPr>
          <w:sz w:val="22"/>
          <w:szCs w:val="22"/>
        </w:rPr>
        <w:t xml:space="preserve"> come</w:t>
      </w:r>
      <w:r w:rsidR="00566E73" w:rsidRPr="007F7EBF">
        <w:rPr>
          <w:sz w:val="22"/>
          <w:szCs w:val="22"/>
        </w:rPr>
        <w:t xml:space="preserve"> </w:t>
      </w:r>
      <w:r w:rsidR="000C3B00" w:rsidRPr="007F7EBF">
        <w:rPr>
          <w:sz w:val="22"/>
          <w:szCs w:val="22"/>
        </w:rPr>
        <w:t>la coltivazione in serra. P</w:t>
      </w:r>
      <w:r w:rsidRPr="007F7EBF">
        <w:rPr>
          <w:sz w:val="22"/>
          <w:szCs w:val="22"/>
        </w:rPr>
        <w:t>er le attività accessorie</w:t>
      </w:r>
      <w:r w:rsidR="00372406" w:rsidRPr="007F7EBF">
        <w:rPr>
          <w:sz w:val="22"/>
          <w:szCs w:val="22"/>
        </w:rPr>
        <w:t xml:space="preserve">, come il confezionamento o la trasformazione dei prodotti (ad es. vino, marmellata, conserve) e di allevamento esistono soglie </w:t>
      </w:r>
      <w:r w:rsidR="00566E73" w:rsidRPr="007F7EBF">
        <w:rPr>
          <w:sz w:val="22"/>
          <w:szCs w:val="22"/>
        </w:rPr>
        <w:t xml:space="preserve"> </w:t>
      </w:r>
      <w:r w:rsidR="00372406" w:rsidRPr="007F7EBF">
        <w:rPr>
          <w:sz w:val="22"/>
          <w:szCs w:val="22"/>
        </w:rPr>
        <w:t xml:space="preserve">quantitative rispetto alla </w:t>
      </w:r>
      <w:r w:rsidR="00355474">
        <w:rPr>
          <w:sz w:val="22"/>
          <w:szCs w:val="22"/>
        </w:rPr>
        <w:t>produttività</w:t>
      </w:r>
      <w:r w:rsidR="00372406" w:rsidRPr="007F7EBF">
        <w:rPr>
          <w:sz w:val="22"/>
          <w:szCs w:val="22"/>
        </w:rPr>
        <w:t xml:space="preserve"> del terreno (</w:t>
      </w:r>
      <w:r w:rsidR="000C3B00" w:rsidRPr="007F7EBF">
        <w:rPr>
          <w:sz w:val="22"/>
          <w:szCs w:val="22"/>
        </w:rPr>
        <w:t xml:space="preserve"> </w:t>
      </w:r>
      <w:r w:rsidR="000C3B00" w:rsidRPr="007F7EBF">
        <w:rPr>
          <w:rStyle w:val="Rimandonotaapidipagina"/>
          <w:sz w:val="22"/>
          <w:szCs w:val="22"/>
        </w:rPr>
        <w:footnoteReference w:id="1275"/>
      </w:r>
      <w:r w:rsidR="00400BEF" w:rsidRPr="007F7EBF">
        <w:rPr>
          <w:sz w:val="22"/>
          <w:szCs w:val="22"/>
        </w:rPr>
        <w:t xml:space="preserve">) . C'è </w:t>
      </w:r>
      <w:r w:rsidR="000C3B00" w:rsidRPr="007F7EBF">
        <w:rPr>
          <w:sz w:val="22"/>
          <w:szCs w:val="22"/>
        </w:rPr>
        <w:t>anche</w:t>
      </w:r>
      <w:r w:rsidR="00400BEF" w:rsidRPr="007F7EBF">
        <w:rPr>
          <w:sz w:val="22"/>
          <w:szCs w:val="22"/>
        </w:rPr>
        <w:t xml:space="preserve"> una soglia qualitativa , collegata al concetto di normalità</w:t>
      </w:r>
      <w:r w:rsidR="00553A82">
        <w:rPr>
          <w:sz w:val="22"/>
          <w:szCs w:val="22"/>
        </w:rPr>
        <w:t xml:space="preserve"> dell’attività </w:t>
      </w:r>
      <w:r w:rsidR="00400BEF" w:rsidRPr="007F7EBF">
        <w:rPr>
          <w:sz w:val="22"/>
          <w:szCs w:val="22"/>
        </w:rPr>
        <w:t xml:space="preserve"> agricola</w:t>
      </w:r>
      <w:r w:rsidR="00553A82">
        <w:rPr>
          <w:sz w:val="22"/>
          <w:szCs w:val="22"/>
        </w:rPr>
        <w:t xml:space="preserve">; ad esempio </w:t>
      </w:r>
      <w:r w:rsidR="00400BEF" w:rsidRPr="007F7EBF">
        <w:rPr>
          <w:sz w:val="22"/>
          <w:szCs w:val="22"/>
        </w:rPr>
        <w:t>rientra nel reddito catastale</w:t>
      </w:r>
      <w:r w:rsidR="00553A82">
        <w:rPr>
          <w:sz w:val="22"/>
          <w:szCs w:val="22"/>
        </w:rPr>
        <w:t xml:space="preserve"> di un allevatore di </w:t>
      </w:r>
      <w:r w:rsidR="00553A82">
        <w:rPr>
          <w:sz w:val="22"/>
          <w:szCs w:val="22"/>
        </w:rPr>
        <w:lastRenderedPageBreak/>
        <w:t>vitelli</w:t>
      </w:r>
      <w:r w:rsidR="00400BEF" w:rsidRPr="007F7EBF">
        <w:rPr>
          <w:sz w:val="22"/>
          <w:szCs w:val="22"/>
        </w:rPr>
        <w:t xml:space="preserve"> la </w:t>
      </w:r>
      <w:r w:rsidR="00553A82">
        <w:rPr>
          <w:sz w:val="22"/>
          <w:szCs w:val="22"/>
        </w:rPr>
        <w:t xml:space="preserve">vendita delle pelli degli animali, ma non la </w:t>
      </w:r>
      <w:r w:rsidR="00400BEF" w:rsidRPr="007F7EBF">
        <w:rPr>
          <w:sz w:val="22"/>
          <w:szCs w:val="22"/>
        </w:rPr>
        <w:t xml:space="preserve">produzione di </w:t>
      </w:r>
      <w:r w:rsidR="00553A82">
        <w:rPr>
          <w:sz w:val="22"/>
          <w:szCs w:val="22"/>
        </w:rPr>
        <w:t>abbigliamento</w:t>
      </w:r>
      <w:r w:rsidR="00400BEF" w:rsidRPr="007F7EBF">
        <w:rPr>
          <w:sz w:val="22"/>
          <w:szCs w:val="22"/>
        </w:rPr>
        <w:t xml:space="preserve"> con </w:t>
      </w:r>
      <w:r w:rsidR="00553A82">
        <w:rPr>
          <w:sz w:val="22"/>
          <w:szCs w:val="22"/>
        </w:rPr>
        <w:t>esse</w:t>
      </w:r>
      <w:r w:rsidR="00400BEF" w:rsidRPr="007F7EBF">
        <w:rPr>
          <w:sz w:val="22"/>
          <w:szCs w:val="22"/>
        </w:rPr>
        <w:t xml:space="preserve">. </w:t>
      </w:r>
    </w:p>
    <w:p w14:paraId="0146D59D" w14:textId="2E65003F" w:rsidR="000C3B00" w:rsidRPr="007F7EBF" w:rsidRDefault="000C3B00" w:rsidP="000C3B00">
      <w:pPr>
        <w:pStyle w:val="tit23"/>
        <w:ind w:left="6464" w:right="-1361" w:firstLine="0"/>
        <w:jc w:val="left"/>
        <w:rPr>
          <w:bCs/>
          <w:i/>
          <w:iCs/>
          <w:color w:val="0000FF"/>
          <w:lang w:val="it-IT"/>
        </w:rPr>
      </w:pPr>
      <w:r w:rsidRPr="007F7EBF">
        <w:rPr>
          <w:bCs/>
          <w:i/>
          <w:iCs/>
          <w:color w:val="0000FF"/>
          <w:lang w:val="it-IT"/>
        </w:rPr>
        <w:t>Cambiamenti di coltivazione</w:t>
      </w:r>
      <w:r w:rsidR="00553A82">
        <w:rPr>
          <w:bCs/>
          <w:i/>
          <w:iCs/>
          <w:color w:val="0000FF"/>
          <w:lang w:val="it-IT"/>
        </w:rPr>
        <w:t xml:space="preserve"> e inattività</w:t>
      </w:r>
    </w:p>
    <w:p w14:paraId="157D8A5B" w14:textId="2EFD15B4" w:rsidR="000C3B00" w:rsidRPr="007F7EBF" w:rsidRDefault="000C3B00" w:rsidP="000C3B00">
      <w:pPr>
        <w:autoSpaceDE w:val="0"/>
        <w:autoSpaceDN w:val="0"/>
        <w:adjustRightInd w:val="0"/>
        <w:rPr>
          <w:sz w:val="22"/>
          <w:szCs w:val="22"/>
        </w:rPr>
      </w:pPr>
      <w:r w:rsidRPr="007F7EBF">
        <w:rPr>
          <w:sz w:val="22"/>
          <w:szCs w:val="22"/>
        </w:rPr>
        <w:t>Al catasto vanno anche comunicate eventuali variazioni della coltivazione praticata, ad es. da seminativo a frutteto</w:t>
      </w:r>
      <w:r w:rsidR="00553A82">
        <w:rPr>
          <w:sz w:val="22"/>
          <w:szCs w:val="22"/>
        </w:rPr>
        <w:t xml:space="preserve">; </w:t>
      </w:r>
      <w:r w:rsidRPr="007F7EBF">
        <w:rPr>
          <w:sz w:val="22"/>
          <w:szCs w:val="22"/>
        </w:rPr>
        <w:t>lo stesso accade</w:t>
      </w:r>
      <w:r w:rsidR="00355474">
        <w:rPr>
          <w:sz w:val="22"/>
          <w:szCs w:val="22"/>
        </w:rPr>
        <w:t>va</w:t>
      </w:r>
      <w:r w:rsidRPr="007F7EBF">
        <w:rPr>
          <w:sz w:val="22"/>
          <w:szCs w:val="22"/>
        </w:rPr>
        <w:t xml:space="preserve"> per eventuali perdite per mancata coltivazione ed eventi naturali(come siccità, inondazioni, incendi, grandinate, etc.), nel qual caso – a seconda del tipo di evento – il reddito fondiario viene eliminato o ridotto</w:t>
      </w:r>
      <w:r w:rsidR="00355474">
        <w:rPr>
          <w:sz w:val="22"/>
          <w:szCs w:val="22"/>
        </w:rPr>
        <w:t xml:space="preserve"> (la norma è stata eliminata recentemente, con ulteriore danno alla razionalità nella determinazione degli imponibili)</w:t>
      </w:r>
      <w:r w:rsidRPr="007F7EBF">
        <w:rPr>
          <w:sz w:val="22"/>
          <w:szCs w:val="22"/>
        </w:rPr>
        <w:t>.</w:t>
      </w:r>
    </w:p>
    <w:p w14:paraId="0C317FE2" w14:textId="77777777" w:rsidR="000C3B00" w:rsidRPr="007F7EBF" w:rsidRDefault="000C3B00" w:rsidP="000C3B00">
      <w:pPr>
        <w:pStyle w:val="tit23"/>
        <w:ind w:left="6464" w:right="-1361" w:firstLine="0"/>
        <w:jc w:val="left"/>
        <w:rPr>
          <w:bCs/>
          <w:i/>
          <w:iCs/>
          <w:color w:val="0000FF"/>
          <w:lang w:val="it-IT"/>
        </w:rPr>
      </w:pPr>
      <w:r w:rsidRPr="007F7EBF">
        <w:rPr>
          <w:bCs/>
          <w:i/>
          <w:iCs/>
          <w:color w:val="0000FF"/>
          <w:lang w:val="it-IT"/>
        </w:rPr>
        <w:t>Portata agevolativa</w:t>
      </w:r>
    </w:p>
    <w:p w14:paraId="6203B044" w14:textId="1CFAB6CE" w:rsidR="008F5B0C" w:rsidRPr="007F7EBF" w:rsidRDefault="00400BEF" w:rsidP="008F5B0C">
      <w:pPr>
        <w:autoSpaceDE w:val="0"/>
        <w:autoSpaceDN w:val="0"/>
        <w:adjustRightInd w:val="0"/>
        <w:rPr>
          <w:sz w:val="22"/>
          <w:szCs w:val="22"/>
        </w:rPr>
      </w:pPr>
      <w:r w:rsidRPr="007F7EBF">
        <w:rPr>
          <w:sz w:val="22"/>
          <w:szCs w:val="22"/>
        </w:rPr>
        <w:t xml:space="preserve">Le imprese sono ammesse al regime catastale senza limiti dimensionali , </w:t>
      </w:r>
      <w:r w:rsidR="006342C5" w:rsidRPr="007F7EBF">
        <w:rPr>
          <w:sz w:val="22"/>
          <w:szCs w:val="22"/>
        </w:rPr>
        <w:t>comprese aziende efficienti e di apprezzabili dimensioni</w:t>
      </w:r>
      <w:r w:rsidR="00355474">
        <w:rPr>
          <w:sz w:val="22"/>
          <w:szCs w:val="22"/>
        </w:rPr>
        <w:t>,</w:t>
      </w:r>
      <w:r w:rsidR="006342C5" w:rsidRPr="007F7EBF">
        <w:rPr>
          <w:sz w:val="22"/>
          <w:szCs w:val="22"/>
        </w:rPr>
        <w:t xml:space="preserve"> che magari utilizzano sistemi contabili</w:t>
      </w:r>
      <w:r w:rsidR="00566E73" w:rsidRPr="007F7EBF">
        <w:rPr>
          <w:sz w:val="22"/>
          <w:szCs w:val="22"/>
        </w:rPr>
        <w:t xml:space="preserve"> </w:t>
      </w:r>
      <w:r w:rsidR="006342C5" w:rsidRPr="007F7EBF">
        <w:rPr>
          <w:sz w:val="22"/>
          <w:szCs w:val="22"/>
        </w:rPr>
        <w:t>per propri fini gestionali</w:t>
      </w:r>
      <w:r w:rsidR="00355474">
        <w:rPr>
          <w:sz w:val="22"/>
          <w:szCs w:val="22"/>
        </w:rPr>
        <w:t>,</w:t>
      </w:r>
      <w:r w:rsidR="006342C5" w:rsidRPr="007F7EBF">
        <w:rPr>
          <w:sz w:val="22"/>
          <w:szCs w:val="22"/>
        </w:rPr>
        <w:t xml:space="preserve"> pagan</w:t>
      </w:r>
      <w:r w:rsidR="00355474">
        <w:rPr>
          <w:sz w:val="22"/>
          <w:szCs w:val="22"/>
        </w:rPr>
        <w:t>d</w:t>
      </w:r>
      <w:r w:rsidR="006342C5" w:rsidRPr="007F7EBF">
        <w:rPr>
          <w:sz w:val="22"/>
          <w:szCs w:val="22"/>
        </w:rPr>
        <w:t>o poi le imposte su redditi catastali irrisori.</w:t>
      </w:r>
      <w:r w:rsidR="00566E73" w:rsidRPr="007F7EBF">
        <w:rPr>
          <w:bCs/>
          <w:i/>
          <w:iCs/>
          <w:color w:val="0000FF"/>
          <w:sz w:val="22"/>
          <w:szCs w:val="22"/>
        </w:rPr>
        <w:t xml:space="preserve"> </w:t>
      </w:r>
      <w:r w:rsidR="000C3B00" w:rsidRPr="007F7EBF">
        <w:rPr>
          <w:sz w:val="22"/>
          <w:szCs w:val="22"/>
        </w:rPr>
        <w:t>La difficoltà di gestire la distinzione tra imprese ammesse e non ha provocato una ammissione indiscriminata al regime in esame, persino di società di capitali</w:t>
      </w:r>
      <w:r w:rsidR="000C3B00" w:rsidRPr="007F7EBF">
        <w:rPr>
          <w:rStyle w:val="Rimandonotaapidipagina"/>
          <w:sz w:val="22"/>
          <w:szCs w:val="22"/>
        </w:rPr>
        <w:footnoteReference w:id="1276"/>
      </w:r>
      <w:r w:rsidR="000C3B00" w:rsidRPr="007F7EBF">
        <w:rPr>
          <w:sz w:val="22"/>
          <w:szCs w:val="22"/>
        </w:rPr>
        <w:t xml:space="preserve">. </w:t>
      </w:r>
    </w:p>
    <w:p w14:paraId="428E1AE0" w14:textId="77777777" w:rsidR="008F5B0C" w:rsidRPr="007F7EBF" w:rsidRDefault="008F5B0C" w:rsidP="008F5B0C">
      <w:pPr>
        <w:pStyle w:val="tit23"/>
        <w:ind w:left="6464" w:right="-1361" w:firstLine="0"/>
        <w:jc w:val="left"/>
        <w:rPr>
          <w:bCs/>
          <w:i/>
          <w:iCs/>
          <w:color w:val="0000FF"/>
          <w:lang w:val="it-IT"/>
        </w:rPr>
      </w:pPr>
      <w:r w:rsidRPr="007F7EBF">
        <w:rPr>
          <w:bCs/>
          <w:i/>
          <w:iCs/>
          <w:color w:val="0000FF"/>
          <w:lang w:val="it-IT"/>
        </w:rPr>
        <w:t>Forfettizzazione agevolativa IVA</w:t>
      </w:r>
    </w:p>
    <w:p w14:paraId="60A9D066" w14:textId="032C461E" w:rsidR="009F137F" w:rsidRPr="007F7EBF" w:rsidRDefault="006342C5" w:rsidP="009F137F">
      <w:pPr>
        <w:autoSpaceDE w:val="0"/>
        <w:autoSpaceDN w:val="0"/>
        <w:adjustRightInd w:val="0"/>
        <w:rPr>
          <w:sz w:val="22"/>
          <w:szCs w:val="22"/>
        </w:rPr>
      </w:pPr>
      <w:r w:rsidRPr="007F7EBF">
        <w:rPr>
          <w:sz w:val="22"/>
          <w:szCs w:val="22"/>
        </w:rPr>
        <w:t xml:space="preserve">A questa </w:t>
      </w:r>
      <w:r w:rsidRPr="007F7EBF">
        <w:rPr>
          <w:bCs/>
          <w:sz w:val="22"/>
          <w:szCs w:val="22"/>
        </w:rPr>
        <w:t xml:space="preserve">forfetizzazione del reddito </w:t>
      </w:r>
      <w:r w:rsidRPr="007F7EBF">
        <w:rPr>
          <w:sz w:val="22"/>
          <w:szCs w:val="22"/>
        </w:rPr>
        <w:t xml:space="preserve">si accompagna una </w:t>
      </w:r>
      <w:r w:rsidRPr="007F7EBF">
        <w:rPr>
          <w:bCs/>
          <w:sz w:val="22"/>
          <w:szCs w:val="22"/>
        </w:rPr>
        <w:t>forfetizzazione della</w:t>
      </w:r>
      <w:r w:rsidR="00566E73" w:rsidRPr="007F7EBF">
        <w:rPr>
          <w:bCs/>
          <w:sz w:val="22"/>
          <w:szCs w:val="22"/>
        </w:rPr>
        <w:t xml:space="preserve"> </w:t>
      </w:r>
      <w:r w:rsidRPr="007F7EBF">
        <w:rPr>
          <w:bCs/>
          <w:sz w:val="22"/>
          <w:szCs w:val="22"/>
        </w:rPr>
        <w:t xml:space="preserve">detrazione dell’IVA </w:t>
      </w:r>
      <w:r w:rsidRPr="007F7EBF">
        <w:rPr>
          <w:sz w:val="22"/>
          <w:szCs w:val="22"/>
        </w:rPr>
        <w:t>sugli acquisti, stabilita in misura pari all’imposta applicata sulle</w:t>
      </w:r>
      <w:r w:rsidR="00566E73" w:rsidRPr="007F7EBF">
        <w:rPr>
          <w:sz w:val="22"/>
          <w:szCs w:val="22"/>
        </w:rPr>
        <w:t xml:space="preserve"> </w:t>
      </w:r>
      <w:r w:rsidRPr="007F7EBF">
        <w:rPr>
          <w:sz w:val="22"/>
          <w:szCs w:val="22"/>
        </w:rPr>
        <w:t xml:space="preserve">vendite (art. 34 d.P.R. 633). Si consente quindi all’agricoltore una </w:t>
      </w:r>
      <w:r w:rsidR="00355474">
        <w:rPr>
          <w:sz w:val="22"/>
          <w:szCs w:val="22"/>
        </w:rPr>
        <w:t>“</w:t>
      </w:r>
      <w:r w:rsidRPr="007F7EBF">
        <w:rPr>
          <w:sz w:val="22"/>
          <w:szCs w:val="22"/>
        </w:rPr>
        <w:t>rendita IVA</w:t>
      </w:r>
      <w:r w:rsidR="00355474">
        <w:rPr>
          <w:sz w:val="22"/>
          <w:szCs w:val="22"/>
        </w:rPr>
        <w:t>”</w:t>
      </w:r>
      <w:r w:rsidRPr="007F7EBF">
        <w:rPr>
          <w:sz w:val="22"/>
          <w:szCs w:val="22"/>
        </w:rPr>
        <w:t xml:space="preserve"> qualora</w:t>
      </w:r>
      <w:r w:rsidR="00566E73" w:rsidRPr="007F7EBF">
        <w:rPr>
          <w:sz w:val="22"/>
          <w:szCs w:val="22"/>
        </w:rPr>
        <w:t xml:space="preserve"> </w:t>
      </w:r>
      <w:r w:rsidRPr="007F7EBF">
        <w:rPr>
          <w:sz w:val="22"/>
          <w:szCs w:val="22"/>
        </w:rPr>
        <w:t>– come in genere accade – l’imposta pagata sugli acquisti effettivi sia inferiore a quella</w:t>
      </w:r>
      <w:r w:rsidR="00566E73" w:rsidRPr="007F7EBF">
        <w:rPr>
          <w:sz w:val="22"/>
          <w:szCs w:val="22"/>
        </w:rPr>
        <w:t xml:space="preserve"> </w:t>
      </w:r>
      <w:r w:rsidRPr="007F7EBF">
        <w:rPr>
          <w:sz w:val="22"/>
          <w:szCs w:val="22"/>
        </w:rPr>
        <w:t>determinata forfettariamente</w:t>
      </w:r>
      <w:r w:rsidR="00355474">
        <w:rPr>
          <w:sz w:val="22"/>
          <w:szCs w:val="22"/>
        </w:rPr>
        <w:t xml:space="preserve"> nel modo suddetto</w:t>
      </w:r>
      <w:r w:rsidRPr="007F7EBF">
        <w:rPr>
          <w:sz w:val="22"/>
          <w:szCs w:val="22"/>
        </w:rPr>
        <w:t>.</w:t>
      </w:r>
    </w:p>
    <w:p w14:paraId="6DACCEC4" w14:textId="363AB235" w:rsidR="006342C5" w:rsidRPr="007F7EBF" w:rsidRDefault="009F137F" w:rsidP="009F137F">
      <w:pPr>
        <w:autoSpaceDE w:val="0"/>
        <w:autoSpaceDN w:val="0"/>
        <w:adjustRightInd w:val="0"/>
        <w:rPr>
          <w:sz w:val="22"/>
          <w:szCs w:val="22"/>
        </w:rPr>
      </w:pPr>
      <w:r w:rsidRPr="007F7EBF">
        <w:rPr>
          <w:sz w:val="22"/>
          <w:szCs w:val="22"/>
        </w:rPr>
        <w:t>Sono</w:t>
      </w:r>
      <w:r w:rsidR="00400BEF" w:rsidRPr="007F7EBF">
        <w:rPr>
          <w:sz w:val="22"/>
          <w:szCs w:val="22"/>
        </w:rPr>
        <w:t xml:space="preserve"> </w:t>
      </w:r>
      <w:r w:rsidR="006342C5" w:rsidRPr="007F7EBF">
        <w:rPr>
          <w:sz w:val="22"/>
          <w:szCs w:val="22"/>
        </w:rPr>
        <w:t>“sostegn</w:t>
      </w:r>
      <w:r w:rsidRPr="007F7EBF">
        <w:rPr>
          <w:sz w:val="22"/>
          <w:szCs w:val="22"/>
        </w:rPr>
        <w:t>i</w:t>
      </w:r>
      <w:r w:rsidR="006342C5" w:rsidRPr="007F7EBF">
        <w:rPr>
          <w:sz w:val="22"/>
          <w:szCs w:val="22"/>
        </w:rPr>
        <w:t xml:space="preserve">” all’agricoltura, attraverso forfetizzazioni </w:t>
      </w:r>
      <w:r w:rsidRPr="007F7EBF">
        <w:rPr>
          <w:sz w:val="22"/>
          <w:szCs w:val="22"/>
        </w:rPr>
        <w:t>generose</w:t>
      </w:r>
      <w:r w:rsidR="006342C5" w:rsidRPr="007F7EBF">
        <w:rPr>
          <w:sz w:val="22"/>
          <w:szCs w:val="22"/>
        </w:rPr>
        <w:t xml:space="preserve">, </w:t>
      </w:r>
      <w:r w:rsidRPr="007F7EBF">
        <w:rPr>
          <w:sz w:val="22"/>
          <w:szCs w:val="22"/>
        </w:rPr>
        <w:t xml:space="preserve">erogate anche a chi non </w:t>
      </w:r>
      <w:r w:rsidR="00355474">
        <w:rPr>
          <w:sz w:val="22"/>
          <w:szCs w:val="22"/>
        </w:rPr>
        <w:t xml:space="preserve">ne </w:t>
      </w:r>
      <w:r w:rsidRPr="007F7EBF">
        <w:rPr>
          <w:sz w:val="22"/>
          <w:szCs w:val="22"/>
        </w:rPr>
        <w:t>avrebbe bisogno</w:t>
      </w:r>
      <w:r w:rsidR="00355474">
        <w:rPr>
          <w:sz w:val="22"/>
          <w:szCs w:val="22"/>
        </w:rPr>
        <w:t xml:space="preserve">; sono </w:t>
      </w:r>
      <w:r w:rsidR="00400BEF" w:rsidRPr="007F7EBF">
        <w:rPr>
          <w:sz w:val="22"/>
          <w:szCs w:val="22"/>
        </w:rPr>
        <w:t>esempi classic</w:t>
      </w:r>
      <w:r w:rsidR="00355474">
        <w:rPr>
          <w:sz w:val="22"/>
          <w:szCs w:val="22"/>
        </w:rPr>
        <w:t>i</w:t>
      </w:r>
      <w:r w:rsidR="00400BEF" w:rsidRPr="007F7EBF">
        <w:rPr>
          <w:sz w:val="22"/>
          <w:szCs w:val="22"/>
        </w:rPr>
        <w:t xml:space="preserve"> </w:t>
      </w:r>
      <w:r w:rsidR="00355474">
        <w:rPr>
          <w:sz w:val="22"/>
          <w:szCs w:val="22"/>
        </w:rPr>
        <w:t xml:space="preserve">dell’utilizzazione strumentale della </w:t>
      </w:r>
      <w:r w:rsidRPr="007F7EBF">
        <w:rPr>
          <w:sz w:val="22"/>
          <w:szCs w:val="22"/>
        </w:rPr>
        <w:t>determinazione de</w:t>
      </w:r>
      <w:r w:rsidR="00355474">
        <w:rPr>
          <w:sz w:val="22"/>
          <w:szCs w:val="22"/>
        </w:rPr>
        <w:t xml:space="preserve">gli imponibili, in funzione agevolativa, come rilevato al </w:t>
      </w:r>
      <w:r w:rsidR="006342C5" w:rsidRPr="007F7EBF">
        <w:rPr>
          <w:sz w:val="22"/>
          <w:szCs w:val="22"/>
        </w:rPr>
        <w:t>par. 1.9.</w:t>
      </w:r>
    </w:p>
    <w:p w14:paraId="22ACF327" w14:textId="04D37DCA" w:rsidR="000C3B00" w:rsidRPr="007F7EBF" w:rsidRDefault="006342C5" w:rsidP="00355474">
      <w:pPr>
        <w:pStyle w:val="Titolo3"/>
        <w:rPr>
          <w:sz w:val="22"/>
          <w:szCs w:val="22"/>
        </w:rPr>
      </w:pPr>
      <w:bookmarkStart w:id="124" w:name="_Toc63365034"/>
      <w:r w:rsidRPr="007F7EBF">
        <w:rPr>
          <w:rFonts w:ascii="Times New Roman" w:hAnsi="Times New Roman"/>
          <w:sz w:val="22"/>
          <w:szCs w:val="22"/>
        </w:rPr>
        <w:lastRenderedPageBreak/>
        <w:t>8.3. Tassazione ragionieristico-documentale del lavoro dipendente</w:t>
      </w:r>
      <w:bookmarkEnd w:id="124"/>
    </w:p>
    <w:p w14:paraId="5FF8ED3E" w14:textId="77777777" w:rsidR="000C3B00" w:rsidRPr="007F7EBF" w:rsidRDefault="000C3B00" w:rsidP="000C3B00">
      <w:pPr>
        <w:pStyle w:val="tit23"/>
        <w:ind w:left="6464" w:right="-1361" w:firstLine="0"/>
        <w:jc w:val="left"/>
        <w:rPr>
          <w:b/>
          <w:bCs/>
          <w:i/>
          <w:iCs/>
          <w:color w:val="0000FF"/>
          <w:lang w:val="it-IT"/>
        </w:rPr>
      </w:pPr>
      <w:r w:rsidRPr="007F7EBF">
        <w:rPr>
          <w:b/>
          <w:bCs/>
          <w:i/>
          <w:iCs/>
          <w:color w:val="0000FF"/>
          <w:lang w:val="it-IT"/>
        </w:rPr>
        <w:t>Prevalenza numerica dei dipendenti</w:t>
      </w:r>
    </w:p>
    <w:p w14:paraId="3175989C" w14:textId="2E85B19B" w:rsidR="000C3B00" w:rsidRPr="007F7EBF" w:rsidRDefault="00AB381B" w:rsidP="000C3B00">
      <w:pPr>
        <w:autoSpaceDE w:val="0"/>
        <w:autoSpaceDN w:val="0"/>
        <w:adjustRightInd w:val="0"/>
        <w:rPr>
          <w:sz w:val="22"/>
          <w:szCs w:val="22"/>
        </w:rPr>
      </w:pPr>
      <w:r>
        <w:rPr>
          <w:sz w:val="22"/>
          <w:szCs w:val="22"/>
        </w:rPr>
        <w:t>N</w:t>
      </w:r>
      <w:r w:rsidR="000C3B00" w:rsidRPr="007F7EBF">
        <w:rPr>
          <w:sz w:val="22"/>
          <w:szCs w:val="22"/>
        </w:rPr>
        <w:t xml:space="preserve">ell’era </w:t>
      </w:r>
      <w:r w:rsidR="00355474">
        <w:rPr>
          <w:sz w:val="22"/>
          <w:szCs w:val="22"/>
        </w:rPr>
        <w:t xml:space="preserve">della produzione </w:t>
      </w:r>
      <w:r w:rsidR="000C3B00" w:rsidRPr="007F7EBF">
        <w:rPr>
          <w:sz w:val="22"/>
          <w:szCs w:val="22"/>
        </w:rPr>
        <w:t>tecnologic</w:t>
      </w:r>
      <w:r w:rsidR="00355474">
        <w:rPr>
          <w:sz w:val="22"/>
          <w:szCs w:val="22"/>
        </w:rPr>
        <w:t xml:space="preserve">a di serie </w:t>
      </w:r>
      <w:r>
        <w:rPr>
          <w:sz w:val="22"/>
          <w:szCs w:val="22"/>
        </w:rPr>
        <w:t xml:space="preserve">i titolari di reddito di lavoro dipendente sono </w:t>
      </w:r>
      <w:r w:rsidR="000C3B00" w:rsidRPr="007F7EBF">
        <w:rPr>
          <w:sz w:val="22"/>
          <w:szCs w:val="22"/>
        </w:rPr>
        <w:t xml:space="preserve">la categoria </w:t>
      </w:r>
      <w:r w:rsidR="00D00C14" w:rsidRPr="007F7EBF">
        <w:rPr>
          <w:sz w:val="22"/>
          <w:szCs w:val="22"/>
        </w:rPr>
        <w:t>più numerosa</w:t>
      </w:r>
      <w:r>
        <w:rPr>
          <w:sz w:val="22"/>
          <w:szCs w:val="22"/>
        </w:rPr>
        <w:t xml:space="preserve">, cui </w:t>
      </w:r>
      <w:r w:rsidR="000C3B00" w:rsidRPr="007F7EBF">
        <w:rPr>
          <w:sz w:val="22"/>
          <w:szCs w:val="22"/>
        </w:rPr>
        <w:t>per questo corrisponde</w:t>
      </w:r>
      <w:r>
        <w:rPr>
          <w:sz w:val="22"/>
          <w:szCs w:val="22"/>
        </w:rPr>
        <w:t xml:space="preserve"> </w:t>
      </w:r>
      <w:r w:rsidR="000C3B00" w:rsidRPr="007F7EBF">
        <w:rPr>
          <w:sz w:val="22"/>
          <w:szCs w:val="22"/>
        </w:rPr>
        <w:t>l’ammontare maggiore di imponibile dichiarato</w:t>
      </w:r>
      <w:r>
        <w:rPr>
          <w:sz w:val="22"/>
          <w:szCs w:val="22"/>
        </w:rPr>
        <w:t xml:space="preserve">. </w:t>
      </w:r>
      <w:r w:rsidRPr="007F7EBF">
        <w:t>Appaiono perciò strumentali alle polemiche di cui al par.4.6 le affermazioni secondo cui sono in prevalenza i lavoratori dipendenti a pagare l’IRPEF</w:t>
      </w:r>
      <w:r>
        <w:t>, sottintendendo regimi di favore o possibilità di evasione per gli altri (</w:t>
      </w:r>
      <w:r w:rsidR="000C3B00" w:rsidRPr="007F7EBF">
        <w:rPr>
          <w:rStyle w:val="Rimandonotaapidipagina"/>
          <w:sz w:val="22"/>
          <w:szCs w:val="22"/>
        </w:rPr>
        <w:footnoteReference w:id="1277"/>
      </w:r>
      <w:r>
        <w:t>)</w:t>
      </w:r>
      <w:r>
        <w:rPr>
          <w:sz w:val="22"/>
          <w:szCs w:val="22"/>
        </w:rPr>
        <w:t>.</w:t>
      </w:r>
    </w:p>
    <w:p w14:paraId="076C78CF" w14:textId="5A6CB553" w:rsidR="000C3B00" w:rsidRPr="007F7EBF" w:rsidRDefault="000C3B00" w:rsidP="000C3B00">
      <w:pPr>
        <w:pStyle w:val="tit23"/>
        <w:ind w:left="6464" w:right="-1361" w:firstLine="0"/>
        <w:jc w:val="left"/>
        <w:rPr>
          <w:bCs/>
          <w:i/>
          <w:iCs/>
          <w:color w:val="0000FF"/>
          <w:lang w:val="it-IT"/>
        </w:rPr>
      </w:pPr>
      <w:r w:rsidRPr="007F7EBF">
        <w:rPr>
          <w:bCs/>
          <w:i/>
          <w:iCs/>
          <w:color w:val="0000FF"/>
          <w:lang w:val="it-IT"/>
        </w:rPr>
        <w:t xml:space="preserve">rilevanza dell’inquadramento formale  </w:t>
      </w:r>
      <w:r w:rsidR="00E707DF">
        <w:rPr>
          <w:bCs/>
          <w:i/>
          <w:iCs/>
          <w:color w:val="0000FF"/>
          <w:lang w:val="it-IT"/>
        </w:rPr>
        <w:t>e “lavoro nero”</w:t>
      </w:r>
    </w:p>
    <w:p w14:paraId="685CEB8B" w14:textId="182EABB5" w:rsidR="00FE5C0A" w:rsidRPr="007F7EBF" w:rsidRDefault="009F5610" w:rsidP="00E707DF">
      <w:pPr>
        <w:autoSpaceDE w:val="0"/>
        <w:autoSpaceDN w:val="0"/>
        <w:adjustRightInd w:val="0"/>
        <w:rPr>
          <w:bCs/>
          <w:i/>
          <w:iCs/>
          <w:color w:val="0000FF"/>
        </w:rPr>
      </w:pPr>
      <w:r w:rsidRPr="007F7EBF">
        <w:rPr>
          <w:sz w:val="22"/>
          <w:szCs w:val="22"/>
        </w:rPr>
        <w:t>L</w:t>
      </w:r>
      <w:r w:rsidR="006342C5" w:rsidRPr="007F7EBF">
        <w:rPr>
          <w:sz w:val="22"/>
          <w:szCs w:val="22"/>
        </w:rPr>
        <w:t xml:space="preserve">’inquadramento </w:t>
      </w:r>
      <w:r w:rsidR="009F137F" w:rsidRPr="007F7EBF">
        <w:rPr>
          <w:sz w:val="22"/>
          <w:szCs w:val="22"/>
        </w:rPr>
        <w:t>del reddito come "di lavoro dipendente"</w:t>
      </w:r>
      <w:r w:rsidR="006342C5" w:rsidRPr="007F7EBF">
        <w:rPr>
          <w:sz w:val="22"/>
          <w:szCs w:val="22"/>
        </w:rPr>
        <w:t xml:space="preserve"> dipende dalla </w:t>
      </w:r>
      <w:r w:rsidR="006342C5" w:rsidRPr="007F7EBF">
        <w:rPr>
          <w:bCs/>
          <w:sz w:val="22"/>
          <w:szCs w:val="22"/>
        </w:rPr>
        <w:t xml:space="preserve">qualificazione formale </w:t>
      </w:r>
      <w:r w:rsidR="006342C5" w:rsidRPr="007F7EBF">
        <w:rPr>
          <w:sz w:val="22"/>
          <w:szCs w:val="22"/>
        </w:rPr>
        <w:t>del lavoro,</w:t>
      </w:r>
      <w:r w:rsidRPr="007F7EBF">
        <w:rPr>
          <w:sz w:val="22"/>
          <w:szCs w:val="22"/>
        </w:rPr>
        <w:t xml:space="preserve"> </w:t>
      </w:r>
      <w:r w:rsidR="006342C5" w:rsidRPr="007F7EBF">
        <w:rPr>
          <w:sz w:val="22"/>
          <w:szCs w:val="22"/>
        </w:rPr>
        <w:t xml:space="preserve">anche se </w:t>
      </w:r>
      <w:r w:rsidR="00AC2A57">
        <w:rPr>
          <w:sz w:val="22"/>
          <w:szCs w:val="22"/>
        </w:rPr>
        <w:t>il dipendente ha</w:t>
      </w:r>
      <w:r w:rsidR="006342C5" w:rsidRPr="007F7EBF">
        <w:rPr>
          <w:sz w:val="22"/>
          <w:szCs w:val="22"/>
        </w:rPr>
        <w:t xml:space="preserve"> mansioni di grande complessi</w:t>
      </w:r>
      <w:r w:rsidR="009F137F" w:rsidRPr="007F7EBF">
        <w:rPr>
          <w:sz w:val="22"/>
          <w:szCs w:val="22"/>
        </w:rPr>
        <w:t>tà</w:t>
      </w:r>
      <w:r w:rsidR="00AC2A57">
        <w:rPr>
          <w:sz w:val="22"/>
          <w:szCs w:val="22"/>
        </w:rPr>
        <w:t>, s</w:t>
      </w:r>
      <w:r w:rsidR="009F137F" w:rsidRPr="007F7EBF">
        <w:rPr>
          <w:sz w:val="22"/>
          <w:szCs w:val="22"/>
        </w:rPr>
        <w:t xml:space="preserve">volte </w:t>
      </w:r>
      <w:r w:rsidR="00AC2A57">
        <w:rPr>
          <w:sz w:val="22"/>
          <w:szCs w:val="22"/>
        </w:rPr>
        <w:t>co</w:t>
      </w:r>
      <w:r w:rsidR="009F137F" w:rsidRPr="007F7EBF">
        <w:rPr>
          <w:sz w:val="22"/>
          <w:szCs w:val="22"/>
        </w:rPr>
        <w:t xml:space="preserve">n grande autonomia, </w:t>
      </w:r>
      <w:r w:rsidR="003004A2">
        <w:rPr>
          <w:sz w:val="22"/>
          <w:szCs w:val="22"/>
        </w:rPr>
        <w:t>come</w:t>
      </w:r>
      <w:r w:rsidR="009F137F" w:rsidRPr="007F7EBF">
        <w:rPr>
          <w:sz w:val="22"/>
          <w:szCs w:val="22"/>
        </w:rPr>
        <w:t xml:space="preserve"> un </w:t>
      </w:r>
      <w:r w:rsidR="006342C5" w:rsidRPr="007F7EBF">
        <w:rPr>
          <w:sz w:val="22"/>
          <w:szCs w:val="22"/>
        </w:rPr>
        <w:t xml:space="preserve">direttore generale </w:t>
      </w:r>
      <w:r w:rsidR="009F137F" w:rsidRPr="007F7EBF">
        <w:rPr>
          <w:sz w:val="22"/>
          <w:szCs w:val="22"/>
        </w:rPr>
        <w:t>con</w:t>
      </w:r>
      <w:r w:rsidR="006342C5" w:rsidRPr="007F7EBF">
        <w:rPr>
          <w:sz w:val="22"/>
          <w:szCs w:val="22"/>
        </w:rPr>
        <w:t xml:space="preserve"> </w:t>
      </w:r>
      <w:r w:rsidR="00553A82">
        <w:rPr>
          <w:sz w:val="22"/>
          <w:szCs w:val="22"/>
        </w:rPr>
        <w:t>compiti</w:t>
      </w:r>
      <w:r w:rsidRPr="007F7EBF">
        <w:rPr>
          <w:sz w:val="22"/>
          <w:szCs w:val="22"/>
        </w:rPr>
        <w:t xml:space="preserve"> </w:t>
      </w:r>
      <w:r w:rsidR="009F137F" w:rsidRPr="007F7EBF">
        <w:rPr>
          <w:sz w:val="22"/>
          <w:szCs w:val="22"/>
        </w:rPr>
        <w:t>simili a quell</w:t>
      </w:r>
      <w:r w:rsidR="00553A82">
        <w:rPr>
          <w:sz w:val="22"/>
          <w:szCs w:val="22"/>
        </w:rPr>
        <w:t>i</w:t>
      </w:r>
      <w:r w:rsidR="009F137F" w:rsidRPr="007F7EBF">
        <w:rPr>
          <w:sz w:val="22"/>
          <w:szCs w:val="22"/>
        </w:rPr>
        <w:t xml:space="preserve"> </w:t>
      </w:r>
      <w:r w:rsidR="006342C5" w:rsidRPr="007F7EBF">
        <w:rPr>
          <w:sz w:val="22"/>
          <w:szCs w:val="22"/>
        </w:rPr>
        <w:t>di un amministratore delegato</w:t>
      </w:r>
      <w:r w:rsidR="00AB381B">
        <w:rPr>
          <w:sz w:val="22"/>
          <w:szCs w:val="22"/>
        </w:rPr>
        <w:t xml:space="preserve">; persino </w:t>
      </w:r>
      <w:r w:rsidR="00EB500A" w:rsidRPr="007F7EBF">
        <w:rPr>
          <w:sz w:val="22"/>
          <w:szCs w:val="22"/>
        </w:rPr>
        <w:t>gli esponenti del capit</w:t>
      </w:r>
      <w:r w:rsidR="00C44D5C" w:rsidRPr="007F7EBF">
        <w:rPr>
          <w:sz w:val="22"/>
          <w:szCs w:val="22"/>
        </w:rPr>
        <w:t xml:space="preserve">alismo familiare, in quanto </w:t>
      </w:r>
      <w:r w:rsidR="00EB500A" w:rsidRPr="007F7EBF">
        <w:rPr>
          <w:sz w:val="22"/>
          <w:szCs w:val="22"/>
        </w:rPr>
        <w:t>amministratori delle loro società</w:t>
      </w:r>
      <w:r w:rsidR="00C44D5C" w:rsidRPr="007F7EBF">
        <w:rPr>
          <w:sz w:val="22"/>
          <w:szCs w:val="22"/>
        </w:rPr>
        <w:t>, sono</w:t>
      </w:r>
      <w:r w:rsidR="00AB381B">
        <w:rPr>
          <w:sz w:val="22"/>
          <w:szCs w:val="22"/>
        </w:rPr>
        <w:t xml:space="preserve"> remunerati con</w:t>
      </w:r>
      <w:r w:rsidR="00C44D5C" w:rsidRPr="007F7EBF">
        <w:rPr>
          <w:sz w:val="22"/>
          <w:szCs w:val="22"/>
        </w:rPr>
        <w:t xml:space="preserve"> redditi di lavoro dipendente, sia pure "assimilato"</w:t>
      </w:r>
      <w:r w:rsidR="00FE5C0A" w:rsidRPr="007F7EBF">
        <w:rPr>
          <w:rStyle w:val="Rimandonotaapidipagina"/>
          <w:sz w:val="22"/>
          <w:szCs w:val="22"/>
        </w:rPr>
        <w:footnoteReference w:id="1278"/>
      </w:r>
      <w:r w:rsidR="00C33C35" w:rsidRPr="007F7EBF">
        <w:rPr>
          <w:sz w:val="22"/>
          <w:szCs w:val="22"/>
        </w:rPr>
        <w:t xml:space="preserve"> </w:t>
      </w:r>
      <w:r w:rsidR="006342C5" w:rsidRPr="007F7EBF">
        <w:rPr>
          <w:sz w:val="22"/>
          <w:szCs w:val="22"/>
        </w:rPr>
        <w:t xml:space="preserve">. </w:t>
      </w:r>
    </w:p>
    <w:p w14:paraId="3A72206C" w14:textId="72D1CC55" w:rsidR="00FE5C0A" w:rsidRPr="007F7EBF" w:rsidRDefault="006342C5" w:rsidP="00AB381B">
      <w:pPr>
        <w:autoSpaceDE w:val="0"/>
        <w:autoSpaceDN w:val="0"/>
        <w:adjustRightInd w:val="0"/>
        <w:rPr>
          <w:bCs/>
          <w:i/>
          <w:iCs/>
          <w:color w:val="0000FF"/>
        </w:rPr>
      </w:pPr>
      <w:r w:rsidRPr="007F7EBF">
        <w:rPr>
          <w:sz w:val="22"/>
          <w:szCs w:val="22"/>
        </w:rPr>
        <w:t>Anche i lavoratori “</w:t>
      </w:r>
      <w:r w:rsidRPr="007F7EBF">
        <w:rPr>
          <w:bCs/>
          <w:sz w:val="22"/>
          <w:szCs w:val="22"/>
        </w:rPr>
        <w:t>non</w:t>
      </w:r>
      <w:r w:rsidR="009F5610" w:rsidRPr="007F7EBF">
        <w:rPr>
          <w:bCs/>
          <w:sz w:val="22"/>
          <w:szCs w:val="22"/>
        </w:rPr>
        <w:t xml:space="preserve"> </w:t>
      </w:r>
      <w:r w:rsidRPr="007F7EBF">
        <w:rPr>
          <w:bCs/>
          <w:sz w:val="22"/>
          <w:szCs w:val="22"/>
        </w:rPr>
        <w:t>regolarizzat</w:t>
      </w:r>
      <w:r w:rsidRPr="007F7EBF">
        <w:rPr>
          <w:sz w:val="22"/>
          <w:szCs w:val="22"/>
        </w:rPr>
        <w:t xml:space="preserve">i”, c.d. </w:t>
      </w:r>
      <w:r w:rsidRPr="007F7EBF">
        <w:rPr>
          <w:bCs/>
          <w:sz w:val="22"/>
          <w:szCs w:val="22"/>
        </w:rPr>
        <w:t>in nero</w:t>
      </w:r>
      <w:r w:rsidRPr="007F7EBF">
        <w:rPr>
          <w:sz w:val="22"/>
          <w:szCs w:val="22"/>
        </w:rPr>
        <w:t>, sono perciò titolari di reddito di lavoro dipendente ed il</w:t>
      </w:r>
      <w:r w:rsidR="00AB381B">
        <w:rPr>
          <w:sz w:val="22"/>
          <w:szCs w:val="22"/>
        </w:rPr>
        <w:t xml:space="preserve"> </w:t>
      </w:r>
      <w:r w:rsidRPr="007F7EBF">
        <w:rPr>
          <w:sz w:val="22"/>
          <w:szCs w:val="22"/>
        </w:rPr>
        <w:t>datore di lavoro rischia, in caso di controllo, le sanzioni per omissione delle ritenute alla</w:t>
      </w:r>
      <w:r w:rsidR="009F5610" w:rsidRPr="007F7EBF">
        <w:rPr>
          <w:sz w:val="22"/>
          <w:szCs w:val="22"/>
        </w:rPr>
        <w:t xml:space="preserve"> </w:t>
      </w:r>
      <w:r w:rsidRPr="007F7EBF">
        <w:rPr>
          <w:sz w:val="22"/>
          <w:szCs w:val="22"/>
        </w:rPr>
        <w:t xml:space="preserve">fonte (e dei contributi previdenziali).  </w:t>
      </w:r>
    </w:p>
    <w:p w14:paraId="4752B403" w14:textId="77777777" w:rsidR="00053E71" w:rsidRPr="007F7EBF" w:rsidRDefault="00FE5C0A" w:rsidP="004A4C19">
      <w:pPr>
        <w:autoSpaceDE w:val="0"/>
        <w:autoSpaceDN w:val="0"/>
        <w:adjustRightInd w:val="0"/>
        <w:rPr>
          <w:sz w:val="22"/>
          <w:szCs w:val="22"/>
        </w:rPr>
      </w:pPr>
      <w:r w:rsidRPr="007F7EBF">
        <w:rPr>
          <w:sz w:val="22"/>
          <w:szCs w:val="22"/>
        </w:rPr>
        <w:t>S</w:t>
      </w:r>
      <w:r w:rsidR="00C33C35" w:rsidRPr="007F7EBF">
        <w:rPr>
          <w:sz w:val="22"/>
          <w:szCs w:val="22"/>
        </w:rPr>
        <w:t xml:space="preserve">e </w:t>
      </w:r>
      <w:r w:rsidR="006342C5" w:rsidRPr="007F7EBF">
        <w:rPr>
          <w:sz w:val="22"/>
          <w:szCs w:val="22"/>
        </w:rPr>
        <w:t xml:space="preserve">rapporti </w:t>
      </w:r>
      <w:r w:rsidR="00C82A6A" w:rsidRPr="007F7EBF">
        <w:rPr>
          <w:sz w:val="22"/>
          <w:szCs w:val="22"/>
        </w:rPr>
        <w:t>sostanzialmente</w:t>
      </w:r>
      <w:r w:rsidR="006342C5" w:rsidRPr="007F7EBF">
        <w:rPr>
          <w:sz w:val="22"/>
          <w:szCs w:val="22"/>
        </w:rPr>
        <w:t xml:space="preserve"> di lavoro dipendente </w:t>
      </w:r>
      <w:r w:rsidR="00C33C35" w:rsidRPr="007F7EBF">
        <w:rPr>
          <w:sz w:val="22"/>
          <w:szCs w:val="22"/>
        </w:rPr>
        <w:t xml:space="preserve">sono </w:t>
      </w:r>
      <w:r w:rsidR="006342C5" w:rsidRPr="007F7EBF">
        <w:rPr>
          <w:sz w:val="22"/>
          <w:szCs w:val="22"/>
        </w:rPr>
        <w:t>formalmente inquadrati come lavoro</w:t>
      </w:r>
      <w:r w:rsidR="009F5610" w:rsidRPr="007F7EBF">
        <w:rPr>
          <w:sz w:val="22"/>
          <w:szCs w:val="22"/>
        </w:rPr>
        <w:t xml:space="preserve"> </w:t>
      </w:r>
      <w:r w:rsidR="006342C5" w:rsidRPr="007F7EBF">
        <w:rPr>
          <w:sz w:val="22"/>
          <w:szCs w:val="22"/>
        </w:rPr>
        <w:t>autonomo, o impresa</w:t>
      </w:r>
      <w:r w:rsidR="00C33C35" w:rsidRPr="007F7EBF">
        <w:rPr>
          <w:sz w:val="22"/>
          <w:szCs w:val="22"/>
        </w:rPr>
        <w:t xml:space="preserve"> (</w:t>
      </w:r>
      <w:r w:rsidR="00C82A6A" w:rsidRPr="007F7EBF">
        <w:rPr>
          <w:rStyle w:val="Rimandonotaapidipagina"/>
          <w:sz w:val="22"/>
          <w:szCs w:val="22"/>
        </w:rPr>
        <w:footnoteReference w:id="1279"/>
      </w:r>
      <w:r w:rsidR="00C33C35" w:rsidRPr="007F7EBF">
        <w:rPr>
          <w:sz w:val="22"/>
          <w:szCs w:val="22"/>
        </w:rPr>
        <w:t xml:space="preserve">), </w:t>
      </w:r>
      <w:r w:rsidR="007572BB" w:rsidRPr="007F7EBF">
        <w:rPr>
          <w:sz w:val="22"/>
          <w:szCs w:val="22"/>
        </w:rPr>
        <w:t xml:space="preserve">gli uffici tributari tendono a non muovere contestazioni, attenendosi al dato formale; </w:t>
      </w:r>
      <w:r w:rsidR="006342C5" w:rsidRPr="007F7EBF">
        <w:rPr>
          <w:sz w:val="22"/>
          <w:szCs w:val="22"/>
        </w:rPr>
        <w:t xml:space="preserve">si tratta </w:t>
      </w:r>
      <w:r w:rsidR="007572BB" w:rsidRPr="007F7EBF">
        <w:rPr>
          <w:sz w:val="22"/>
          <w:szCs w:val="22"/>
        </w:rPr>
        <w:t xml:space="preserve">infatti </w:t>
      </w:r>
      <w:r w:rsidR="00C33C35" w:rsidRPr="007F7EBF">
        <w:rPr>
          <w:sz w:val="22"/>
          <w:szCs w:val="22"/>
        </w:rPr>
        <w:t xml:space="preserve">pur sempre </w:t>
      </w:r>
      <w:r w:rsidR="006342C5" w:rsidRPr="007F7EBF">
        <w:rPr>
          <w:sz w:val="22"/>
          <w:szCs w:val="22"/>
        </w:rPr>
        <w:t>di pr</w:t>
      </w:r>
      <w:r w:rsidR="00C33C35" w:rsidRPr="007F7EBF">
        <w:rPr>
          <w:sz w:val="22"/>
          <w:szCs w:val="22"/>
        </w:rPr>
        <w:t>estazioni fiscalmente “palesi”, che modificano</w:t>
      </w:r>
      <w:r w:rsidR="007572BB" w:rsidRPr="007F7EBF">
        <w:rPr>
          <w:sz w:val="22"/>
          <w:szCs w:val="22"/>
        </w:rPr>
        <w:t xml:space="preserve"> soltanto</w:t>
      </w:r>
      <w:r w:rsidR="00C33C35" w:rsidRPr="007F7EBF">
        <w:rPr>
          <w:sz w:val="22"/>
          <w:szCs w:val="22"/>
        </w:rPr>
        <w:t xml:space="preserve"> i criteri di effettuazione della ri</w:t>
      </w:r>
      <w:r w:rsidR="007572BB" w:rsidRPr="007F7EBF">
        <w:rPr>
          <w:sz w:val="22"/>
          <w:szCs w:val="22"/>
        </w:rPr>
        <w:t>tenuta alla fonte</w:t>
      </w:r>
      <w:r w:rsidR="007572BB" w:rsidRPr="007F7EBF">
        <w:rPr>
          <w:rStyle w:val="Rimandonotaapidipagina"/>
          <w:sz w:val="22"/>
          <w:szCs w:val="22"/>
        </w:rPr>
        <w:footnoteReference w:id="1280"/>
      </w:r>
      <w:r w:rsidR="006342C5" w:rsidRPr="007F7EBF">
        <w:rPr>
          <w:sz w:val="22"/>
          <w:szCs w:val="22"/>
        </w:rPr>
        <w:t>.</w:t>
      </w:r>
      <w:r w:rsidR="00570F9E" w:rsidRPr="007F7EBF">
        <w:rPr>
          <w:sz w:val="22"/>
          <w:szCs w:val="22"/>
        </w:rPr>
        <w:t xml:space="preserve"> </w:t>
      </w:r>
    </w:p>
    <w:p w14:paraId="4AD0BCB1" w14:textId="77777777" w:rsidR="00053E71" w:rsidRPr="007F7EBF" w:rsidRDefault="004A4C19" w:rsidP="00053E71">
      <w:pPr>
        <w:pStyle w:val="tit23"/>
        <w:ind w:left="6464" w:right="-1361" w:firstLine="0"/>
        <w:jc w:val="left"/>
        <w:rPr>
          <w:bCs/>
          <w:i/>
          <w:iCs/>
          <w:color w:val="0000FF"/>
          <w:lang w:val="it-IT"/>
        </w:rPr>
      </w:pPr>
      <w:r w:rsidRPr="007F7EBF">
        <w:rPr>
          <w:bCs/>
          <w:i/>
          <w:iCs/>
          <w:color w:val="0000FF"/>
          <w:lang w:val="it-IT"/>
        </w:rPr>
        <w:lastRenderedPageBreak/>
        <w:t>Emersione del l</w:t>
      </w:r>
      <w:r w:rsidR="00053E71" w:rsidRPr="007F7EBF">
        <w:rPr>
          <w:bCs/>
          <w:i/>
          <w:iCs/>
          <w:color w:val="0000FF"/>
          <w:lang w:val="it-IT"/>
        </w:rPr>
        <w:t>avoro e rigidità aziendali</w:t>
      </w:r>
    </w:p>
    <w:p w14:paraId="6F101E93" w14:textId="51E65B4F" w:rsidR="004A4C19" w:rsidRPr="007F7EBF" w:rsidRDefault="004A4C19" w:rsidP="004A4C19">
      <w:pPr>
        <w:autoSpaceDE w:val="0"/>
        <w:autoSpaceDN w:val="0"/>
        <w:adjustRightInd w:val="0"/>
        <w:rPr>
          <w:sz w:val="22"/>
          <w:szCs w:val="22"/>
        </w:rPr>
      </w:pPr>
      <w:r w:rsidRPr="007F7EBF">
        <w:rPr>
          <w:sz w:val="22"/>
          <w:szCs w:val="22"/>
        </w:rPr>
        <w:t>Al paragrafo 3.2 e soprattutto 3.8 sulle retribuzioni “in nero” come forma di “evasione aziendale”, abbiamo visto che il lavoro dipendente è il primo ad essere regolarizzato, sia pure parzialmente , per mettersi al riparo da pressioni, non appena le dimensioni organizzative aziendali crescono.</w:t>
      </w:r>
      <w:r w:rsidR="00493F2E" w:rsidRPr="007F7EBF">
        <w:rPr>
          <w:sz w:val="22"/>
          <w:szCs w:val="22"/>
        </w:rPr>
        <w:t xml:space="preserve"> </w:t>
      </w:r>
      <w:r w:rsidR="00053E71" w:rsidRPr="007F7EBF">
        <w:rPr>
          <w:sz w:val="22"/>
          <w:szCs w:val="22"/>
        </w:rPr>
        <w:t>Quando i dipendenti aumentano è infatti più difficile mantenere quei rapporti paternalistici, informali, e “in nero”, di quando titolare e pochi dipendenti</w:t>
      </w:r>
      <w:r w:rsidR="00AB381B">
        <w:rPr>
          <w:sz w:val="22"/>
          <w:szCs w:val="22"/>
        </w:rPr>
        <w:t xml:space="preserve"> </w:t>
      </w:r>
      <w:r w:rsidR="00053E71" w:rsidRPr="007F7EBF">
        <w:rPr>
          <w:sz w:val="22"/>
          <w:szCs w:val="22"/>
        </w:rPr>
        <w:t xml:space="preserve">lavorano fianco a fianco.  A questo punto l'azienda come organizzazione comincia a “lavorare per il fisco”, applicando le ritenute, i contributi etc. </w:t>
      </w:r>
    </w:p>
    <w:p w14:paraId="5871D015" w14:textId="0B1733AF" w:rsidR="004A4C19" w:rsidRPr="007F7EBF" w:rsidRDefault="004A4C19" w:rsidP="004A4C19">
      <w:pPr>
        <w:pStyle w:val="tit23"/>
        <w:ind w:left="6464" w:right="-1361" w:firstLine="0"/>
        <w:jc w:val="left"/>
        <w:rPr>
          <w:bCs/>
          <w:i/>
          <w:iCs/>
          <w:color w:val="0000FF"/>
          <w:lang w:val="it-IT"/>
        </w:rPr>
      </w:pPr>
      <w:r w:rsidRPr="007F7EBF">
        <w:rPr>
          <w:bCs/>
          <w:i/>
          <w:iCs/>
          <w:color w:val="0000FF"/>
          <w:lang w:val="it-IT"/>
        </w:rPr>
        <w:t>scarsità di controlli</w:t>
      </w:r>
      <w:r w:rsidR="00AB381B">
        <w:rPr>
          <w:bCs/>
          <w:i/>
          <w:iCs/>
          <w:color w:val="0000FF"/>
          <w:lang w:val="it-IT"/>
        </w:rPr>
        <w:t xml:space="preserve"> e lavoro nero </w:t>
      </w:r>
    </w:p>
    <w:p w14:paraId="78FC7185" w14:textId="345227E9" w:rsidR="004A4C19" w:rsidRPr="007F7EBF" w:rsidRDefault="00D91DF2" w:rsidP="00AB381B">
      <w:pPr>
        <w:autoSpaceDE w:val="0"/>
        <w:autoSpaceDN w:val="0"/>
        <w:adjustRightInd w:val="0"/>
        <w:rPr>
          <w:bCs/>
          <w:i/>
          <w:iCs/>
          <w:color w:val="0000FF"/>
        </w:rPr>
      </w:pPr>
      <w:r w:rsidRPr="007F7EBF">
        <w:rPr>
          <w:sz w:val="22"/>
          <w:szCs w:val="22"/>
        </w:rPr>
        <w:t xml:space="preserve">La scoperta di lavoro nero rendicontata nelle statistiche degli organi di controllo appare molto bassa in relazione all’esperienza comune, ma riflette la tendenza delle istituzioni a non imbarcarsi in controlli </w:t>
      </w:r>
      <w:r w:rsidR="00CF0C63">
        <w:rPr>
          <w:sz w:val="22"/>
          <w:szCs w:val="22"/>
        </w:rPr>
        <w:t xml:space="preserve">valutativi </w:t>
      </w:r>
      <w:r w:rsidRPr="007F7EBF">
        <w:rPr>
          <w:sz w:val="22"/>
          <w:szCs w:val="22"/>
        </w:rPr>
        <w:t xml:space="preserve">“scomodi”, in quanto riferiti a operatori non collaborativi, e con ben poco da perdere. </w:t>
      </w:r>
    </w:p>
    <w:p w14:paraId="079BF1A2" w14:textId="6464D62B" w:rsidR="00053E71" w:rsidRPr="007F7EBF" w:rsidRDefault="004A4C19" w:rsidP="00053E71">
      <w:pPr>
        <w:autoSpaceDE w:val="0"/>
        <w:autoSpaceDN w:val="0"/>
        <w:adjustRightInd w:val="0"/>
        <w:rPr>
          <w:sz w:val="22"/>
          <w:szCs w:val="22"/>
        </w:rPr>
      </w:pPr>
      <w:r w:rsidRPr="007F7EBF">
        <w:rPr>
          <w:sz w:val="22"/>
          <w:szCs w:val="22"/>
        </w:rPr>
        <w:t>Anche per questo il lavoro è frequentemente irregolare, non appena viene meno l'organizzazione aziendale. Si pensi a piccoli commercianti e artigiani, in ambienti fortemente paternalistici, ad esempio nel piccolo commercio, nei ristoranti per i camerieri, etc.. Lo stesso accade quando il lavoro riguarda periodi stagionali, come in agricoltura, soprattutto per il raccolto, e per l’edilizia</w:t>
      </w:r>
      <w:r w:rsidR="00CF0C63">
        <w:rPr>
          <w:sz w:val="22"/>
          <w:szCs w:val="22"/>
        </w:rPr>
        <w:t>(</w:t>
      </w:r>
      <w:r w:rsidRPr="007F7EBF">
        <w:rPr>
          <w:rStyle w:val="Rimandonotaapidipagina"/>
          <w:sz w:val="22"/>
          <w:szCs w:val="22"/>
        </w:rPr>
        <w:footnoteReference w:id="1281"/>
      </w:r>
      <w:r w:rsidR="00CF0C63">
        <w:rPr>
          <w:sz w:val="22"/>
          <w:szCs w:val="22"/>
        </w:rPr>
        <w:t>)</w:t>
      </w:r>
      <w:r w:rsidRPr="007F7EBF">
        <w:rPr>
          <w:sz w:val="22"/>
          <w:szCs w:val="22"/>
        </w:rPr>
        <w:t>.</w:t>
      </w:r>
    </w:p>
    <w:p w14:paraId="04918023" w14:textId="77777777" w:rsidR="00053E71" w:rsidRPr="007F7EBF" w:rsidRDefault="00AA636E" w:rsidP="00053E71">
      <w:pPr>
        <w:pStyle w:val="tit23"/>
        <w:ind w:left="6464" w:right="-1361" w:firstLine="0"/>
        <w:jc w:val="left"/>
        <w:rPr>
          <w:bCs/>
          <w:i/>
          <w:iCs/>
          <w:color w:val="0000FF"/>
          <w:lang w:val="it-IT"/>
        </w:rPr>
      </w:pPr>
      <w:r w:rsidRPr="007F7EBF">
        <w:rPr>
          <w:bCs/>
          <w:i/>
          <w:iCs/>
          <w:color w:val="0000FF"/>
          <w:lang w:val="it-IT"/>
        </w:rPr>
        <w:t>Lavoro fuori dall’aziend</w:t>
      </w:r>
      <w:r w:rsidR="00053E71" w:rsidRPr="007F7EBF">
        <w:rPr>
          <w:bCs/>
          <w:i/>
          <w:iCs/>
          <w:color w:val="0000FF"/>
          <w:lang w:val="it-IT"/>
        </w:rPr>
        <w:t>a (domestico e a domicilio)</w:t>
      </w:r>
    </w:p>
    <w:p w14:paraId="5CED7F9A" w14:textId="1C382B22" w:rsidR="004A4C19" w:rsidRPr="007F7EBF" w:rsidRDefault="00053E71" w:rsidP="004A4C19">
      <w:pPr>
        <w:autoSpaceDE w:val="0"/>
        <w:autoSpaceDN w:val="0"/>
        <w:adjustRightInd w:val="0"/>
        <w:rPr>
          <w:sz w:val="22"/>
          <w:szCs w:val="22"/>
        </w:rPr>
      </w:pPr>
      <w:r w:rsidRPr="007F7EBF">
        <w:rPr>
          <w:sz w:val="22"/>
          <w:szCs w:val="22"/>
        </w:rPr>
        <w:lastRenderedPageBreak/>
        <w:t xml:space="preserve">Forti aree di </w:t>
      </w:r>
      <w:r w:rsidRPr="007F7EBF">
        <w:rPr>
          <w:bCs/>
          <w:sz w:val="22"/>
          <w:szCs w:val="22"/>
        </w:rPr>
        <w:t xml:space="preserve">evasione </w:t>
      </w:r>
      <w:r w:rsidRPr="007F7EBF">
        <w:rPr>
          <w:sz w:val="22"/>
          <w:szCs w:val="22"/>
        </w:rPr>
        <w:t xml:space="preserve">si trovano nel </w:t>
      </w:r>
      <w:r w:rsidRPr="007F7EBF">
        <w:rPr>
          <w:bCs/>
          <w:sz w:val="22"/>
          <w:szCs w:val="22"/>
        </w:rPr>
        <w:t xml:space="preserve">lavoro dipendente domestico, </w:t>
      </w:r>
      <w:r w:rsidRPr="007F7EBF">
        <w:rPr>
          <w:sz w:val="22"/>
          <w:szCs w:val="22"/>
        </w:rPr>
        <w:t xml:space="preserve">dove riemerge l'informalità, e il rapporto paternalistico </w:t>
      </w:r>
      <w:r w:rsidR="00CF0C63">
        <w:rPr>
          <w:sz w:val="22"/>
          <w:szCs w:val="22"/>
        </w:rPr>
        <w:t>(</w:t>
      </w:r>
      <w:r w:rsidRPr="007F7EBF">
        <w:rPr>
          <w:rStyle w:val="Rimandonotaapidipagina"/>
          <w:sz w:val="22"/>
          <w:szCs w:val="22"/>
        </w:rPr>
        <w:footnoteReference w:id="1282"/>
      </w:r>
      <w:r w:rsidR="00CF0C63">
        <w:rPr>
          <w:sz w:val="22"/>
          <w:szCs w:val="22"/>
        </w:rPr>
        <w:t>)</w:t>
      </w:r>
      <w:r w:rsidRPr="007F7EBF">
        <w:rPr>
          <w:sz w:val="22"/>
          <w:szCs w:val="22"/>
        </w:rPr>
        <w:t xml:space="preserve"> . Col lavoro domestico non bisogna confondere quello a domicilio, senza vincoli di recarsi nel luogo di lavoro del committente, di solito una azienda, e che tenderà quindi </w:t>
      </w:r>
      <w:r w:rsidRPr="007F7EBF">
        <w:rPr>
          <w:rStyle w:val="Rimandonotaapidipagina"/>
          <w:sz w:val="22"/>
          <w:szCs w:val="22"/>
        </w:rPr>
        <w:footnoteReference w:id="1283"/>
      </w:r>
      <w:r w:rsidRPr="007F7EBF">
        <w:rPr>
          <w:sz w:val="22"/>
          <w:szCs w:val="22"/>
        </w:rPr>
        <w:t xml:space="preserve"> a documentare il rapporto per le consuete esigenze amministrative; in questo caso il rinvio </w:t>
      </w:r>
      <w:r w:rsidR="00CF0C63">
        <w:rPr>
          <w:sz w:val="22"/>
          <w:szCs w:val="22"/>
        </w:rPr>
        <w:t xml:space="preserve">tributario </w:t>
      </w:r>
      <w:r w:rsidRPr="007F7EBF">
        <w:rPr>
          <w:sz w:val="22"/>
          <w:szCs w:val="22"/>
        </w:rPr>
        <w:t>al diritto del lavoro serve ad aiutare l'azienda cliente a</w:t>
      </w:r>
      <w:r w:rsidR="00CF0C63">
        <w:rPr>
          <w:sz w:val="22"/>
          <w:szCs w:val="22"/>
        </w:rPr>
        <w:t xml:space="preserve"> distinguere il lavoratore a domicilio dal contoterzista “artigiano” (</w:t>
      </w:r>
      <w:r w:rsidRPr="007F7EBF">
        <w:rPr>
          <w:rStyle w:val="Rimandonotaapidipagina"/>
          <w:sz w:val="22"/>
          <w:szCs w:val="22"/>
        </w:rPr>
        <w:footnoteReference w:id="1284"/>
      </w:r>
      <w:r w:rsidR="00CF0C63">
        <w:rPr>
          <w:sz w:val="22"/>
          <w:szCs w:val="22"/>
        </w:rPr>
        <w:t>)</w:t>
      </w:r>
      <w:r w:rsidRPr="007F7EBF">
        <w:rPr>
          <w:sz w:val="22"/>
          <w:szCs w:val="22"/>
        </w:rPr>
        <w:t xml:space="preserve">.  </w:t>
      </w:r>
    </w:p>
    <w:p w14:paraId="1E451C53" w14:textId="77777777" w:rsidR="004A4C19" w:rsidRPr="007F7EBF" w:rsidRDefault="004A4C19" w:rsidP="004A4C19">
      <w:pPr>
        <w:pStyle w:val="tit23"/>
        <w:ind w:left="6464" w:right="-1361" w:firstLine="0"/>
        <w:jc w:val="left"/>
        <w:rPr>
          <w:bCs/>
          <w:i/>
          <w:iCs/>
          <w:color w:val="0000FF"/>
          <w:lang w:val="it-IT"/>
        </w:rPr>
      </w:pPr>
      <w:r w:rsidRPr="007F7EBF">
        <w:rPr>
          <w:bCs/>
          <w:i/>
          <w:iCs/>
          <w:color w:val="0000FF"/>
          <w:lang w:val="it-IT"/>
        </w:rPr>
        <w:t xml:space="preserve">Pensioni </w:t>
      </w:r>
    </w:p>
    <w:p w14:paraId="5C5C6CC6" w14:textId="3EC82CFA" w:rsidR="004A4C19" w:rsidRPr="007F7EBF" w:rsidRDefault="006342C5" w:rsidP="004A4C19">
      <w:pPr>
        <w:autoSpaceDE w:val="0"/>
        <w:autoSpaceDN w:val="0"/>
        <w:adjustRightInd w:val="0"/>
        <w:rPr>
          <w:sz w:val="22"/>
          <w:szCs w:val="22"/>
        </w:rPr>
      </w:pPr>
      <w:r w:rsidRPr="007F7EBF">
        <w:rPr>
          <w:sz w:val="22"/>
          <w:szCs w:val="22"/>
        </w:rPr>
        <w:t xml:space="preserve">Costituiscono reddito di lavoro dipendente tutte le </w:t>
      </w:r>
      <w:r w:rsidRPr="007F7EBF">
        <w:rPr>
          <w:bCs/>
          <w:sz w:val="22"/>
          <w:szCs w:val="22"/>
        </w:rPr>
        <w:t>pensioni</w:t>
      </w:r>
      <w:r w:rsidRPr="007F7EBF">
        <w:rPr>
          <w:sz w:val="22"/>
          <w:szCs w:val="22"/>
        </w:rPr>
        <w:t>, anche se derivanti da</w:t>
      </w:r>
      <w:r w:rsidR="00C852FB" w:rsidRPr="007F7EBF">
        <w:rPr>
          <w:sz w:val="22"/>
          <w:szCs w:val="22"/>
        </w:rPr>
        <w:t xml:space="preserve"> </w:t>
      </w:r>
      <w:r w:rsidRPr="007F7EBF">
        <w:rPr>
          <w:sz w:val="22"/>
          <w:szCs w:val="22"/>
        </w:rPr>
        <w:t>precedenti attività diverse dal lavoro dipendente</w:t>
      </w:r>
      <w:r w:rsidR="004A4C19" w:rsidRPr="007F7EBF">
        <w:rPr>
          <w:sz w:val="22"/>
          <w:szCs w:val="22"/>
        </w:rPr>
        <w:t>, ad esempio di commercio, artigianato o professioni</w:t>
      </w:r>
      <w:r w:rsidRPr="007F7EBF">
        <w:rPr>
          <w:sz w:val="22"/>
          <w:szCs w:val="22"/>
        </w:rPr>
        <w:t>; la loro tassazione si giustifica perché</w:t>
      </w:r>
      <w:r w:rsidR="00C852FB" w:rsidRPr="007F7EBF">
        <w:rPr>
          <w:sz w:val="22"/>
          <w:szCs w:val="22"/>
        </w:rPr>
        <w:t xml:space="preserve"> </w:t>
      </w:r>
      <w:r w:rsidRPr="007F7EBF">
        <w:rPr>
          <w:sz w:val="22"/>
          <w:szCs w:val="22"/>
        </w:rPr>
        <w:t xml:space="preserve">i contributi previdenziali a carico del dipendente e del datore di lavoro, </w:t>
      </w:r>
      <w:r w:rsidR="004A4C19" w:rsidRPr="007F7EBF">
        <w:rPr>
          <w:sz w:val="22"/>
          <w:szCs w:val="22"/>
        </w:rPr>
        <w:t xml:space="preserve">che finanziano il sistema pensionistico come indicato al par.1.12, </w:t>
      </w:r>
      <w:r w:rsidRPr="007F7EBF">
        <w:rPr>
          <w:sz w:val="22"/>
          <w:szCs w:val="22"/>
        </w:rPr>
        <w:t>sono esclusi</w:t>
      </w:r>
      <w:r w:rsidR="00C852FB" w:rsidRPr="007F7EBF">
        <w:rPr>
          <w:sz w:val="22"/>
          <w:szCs w:val="22"/>
        </w:rPr>
        <w:t xml:space="preserve"> </w:t>
      </w:r>
      <w:r w:rsidRPr="007F7EBF">
        <w:rPr>
          <w:sz w:val="22"/>
          <w:szCs w:val="22"/>
        </w:rPr>
        <w:t>dal reddito</w:t>
      </w:r>
      <w:r w:rsidR="001B02A9">
        <w:rPr>
          <w:sz w:val="22"/>
          <w:szCs w:val="22"/>
        </w:rPr>
        <w:t xml:space="preserve">, rinviando l’imposizione a quando saranno pagate le pensioni </w:t>
      </w:r>
      <w:r w:rsidR="00CF0C63">
        <w:rPr>
          <w:sz w:val="22"/>
          <w:szCs w:val="22"/>
        </w:rPr>
        <w:t>(</w:t>
      </w:r>
      <w:r w:rsidR="004A4C19" w:rsidRPr="007F7EBF">
        <w:rPr>
          <w:rStyle w:val="Rimandonotaapidipagina"/>
          <w:sz w:val="22"/>
          <w:szCs w:val="22"/>
        </w:rPr>
        <w:footnoteReference w:id="1285"/>
      </w:r>
      <w:r w:rsidR="00CF0C63">
        <w:rPr>
          <w:sz w:val="22"/>
          <w:szCs w:val="22"/>
        </w:rPr>
        <w:t>)</w:t>
      </w:r>
      <w:r w:rsidR="004A4C19" w:rsidRPr="007F7EBF">
        <w:rPr>
          <w:sz w:val="22"/>
          <w:szCs w:val="22"/>
        </w:rPr>
        <w:t xml:space="preserve">. </w:t>
      </w:r>
    </w:p>
    <w:p w14:paraId="60C5D2DA" w14:textId="5D2C56E8" w:rsidR="004A4C19" w:rsidRPr="007F7EBF" w:rsidRDefault="004A4C19" w:rsidP="004A4C19">
      <w:pPr>
        <w:pStyle w:val="tit23"/>
        <w:ind w:left="6464" w:right="-1361" w:firstLine="0"/>
        <w:jc w:val="left"/>
        <w:rPr>
          <w:bCs/>
          <w:i/>
          <w:iCs/>
          <w:color w:val="0000FF"/>
          <w:lang w:val="it-IT"/>
        </w:rPr>
      </w:pPr>
      <w:r w:rsidRPr="007F7EBF">
        <w:rPr>
          <w:bCs/>
          <w:i/>
          <w:iCs/>
          <w:color w:val="0000FF"/>
          <w:lang w:val="it-IT"/>
        </w:rPr>
        <w:t xml:space="preserve">Onnicomprensività </w:t>
      </w:r>
      <w:r w:rsidR="00646172">
        <w:rPr>
          <w:bCs/>
          <w:i/>
          <w:iCs/>
          <w:color w:val="0000FF"/>
          <w:lang w:val="it-IT"/>
        </w:rPr>
        <w:t xml:space="preserve">risarcimenti e </w:t>
      </w:r>
      <w:r w:rsidR="001C4398">
        <w:rPr>
          <w:bCs/>
          <w:i/>
          <w:iCs/>
          <w:color w:val="0000FF"/>
          <w:lang w:val="it-IT"/>
        </w:rPr>
        <w:t>spese di produzione</w:t>
      </w:r>
      <w:r w:rsidR="00646172">
        <w:rPr>
          <w:bCs/>
          <w:i/>
          <w:iCs/>
          <w:color w:val="0000FF"/>
          <w:lang w:val="it-IT"/>
        </w:rPr>
        <w:t xml:space="preserve"> </w:t>
      </w:r>
    </w:p>
    <w:p w14:paraId="298EB8AD" w14:textId="0F3B10E0" w:rsidR="00646172" w:rsidRPr="007F7EBF" w:rsidRDefault="006342C5" w:rsidP="00646172">
      <w:pPr>
        <w:autoSpaceDE w:val="0"/>
        <w:autoSpaceDN w:val="0"/>
        <w:adjustRightInd w:val="0"/>
        <w:rPr>
          <w:sz w:val="22"/>
          <w:szCs w:val="22"/>
        </w:rPr>
      </w:pPr>
      <w:r w:rsidRPr="007F7EBF">
        <w:rPr>
          <w:sz w:val="22"/>
          <w:szCs w:val="22"/>
        </w:rPr>
        <w:t xml:space="preserve">In via di principio, </w:t>
      </w:r>
      <w:r w:rsidR="006A3AC8" w:rsidRPr="007F7EBF">
        <w:rPr>
          <w:sz w:val="22"/>
          <w:szCs w:val="22"/>
        </w:rPr>
        <w:t>nel</w:t>
      </w:r>
      <w:r w:rsidRPr="007F7EBF">
        <w:rPr>
          <w:sz w:val="22"/>
          <w:szCs w:val="22"/>
        </w:rPr>
        <w:t xml:space="preserve"> reddito di lavoro dipendente </w:t>
      </w:r>
      <w:r w:rsidR="00BF5513" w:rsidRPr="007F7EBF">
        <w:rPr>
          <w:sz w:val="22"/>
          <w:szCs w:val="22"/>
        </w:rPr>
        <w:t xml:space="preserve"> </w:t>
      </w:r>
      <w:r w:rsidR="006A3AC8" w:rsidRPr="007F7EBF">
        <w:rPr>
          <w:sz w:val="22"/>
          <w:szCs w:val="22"/>
        </w:rPr>
        <w:t xml:space="preserve">sono inclusi </w:t>
      </w:r>
      <w:r w:rsidRPr="007F7EBF">
        <w:rPr>
          <w:sz w:val="22"/>
          <w:szCs w:val="22"/>
        </w:rPr>
        <w:t xml:space="preserve"> </w:t>
      </w:r>
      <w:r w:rsidRPr="007F7EBF">
        <w:rPr>
          <w:bCs/>
          <w:sz w:val="22"/>
          <w:szCs w:val="22"/>
        </w:rPr>
        <w:t>tutti i compensi</w:t>
      </w:r>
      <w:r w:rsidRPr="007F7EBF">
        <w:rPr>
          <w:sz w:val="22"/>
          <w:szCs w:val="22"/>
        </w:rPr>
        <w:t>,</w:t>
      </w:r>
      <w:r w:rsidR="00BF5513" w:rsidRPr="007F7EBF">
        <w:rPr>
          <w:sz w:val="22"/>
          <w:szCs w:val="22"/>
        </w:rPr>
        <w:t xml:space="preserve"> </w:t>
      </w:r>
      <w:r w:rsidRPr="007F7EBF">
        <w:rPr>
          <w:sz w:val="22"/>
          <w:szCs w:val="22"/>
        </w:rPr>
        <w:t>anche accessori e a titolo di liberalità.</w:t>
      </w:r>
      <w:r w:rsidR="006A3AC8" w:rsidRPr="007F7EBF">
        <w:rPr>
          <w:sz w:val="22"/>
          <w:szCs w:val="22"/>
        </w:rPr>
        <w:t xml:space="preserve">  </w:t>
      </w:r>
      <w:r w:rsidR="00646172" w:rsidRPr="007F7EBF">
        <w:rPr>
          <w:sz w:val="22"/>
          <w:szCs w:val="22"/>
        </w:rPr>
        <w:t xml:space="preserve">Restano fuori dal reddito le erogazioni destinate a una reintegrazione patrimoniale, come </w:t>
      </w:r>
      <w:r w:rsidR="00646172" w:rsidRPr="007F7EBF">
        <w:rPr>
          <w:sz w:val="22"/>
          <w:szCs w:val="22"/>
        </w:rPr>
        <w:lastRenderedPageBreak/>
        <w:t>il risarcimento di un danno emergente subito dal l</w:t>
      </w:r>
      <w:r w:rsidR="00CF0C63">
        <w:rPr>
          <w:sz w:val="22"/>
          <w:szCs w:val="22"/>
        </w:rPr>
        <w:t>avora</w:t>
      </w:r>
      <w:r w:rsidR="00646172" w:rsidRPr="007F7EBF">
        <w:rPr>
          <w:sz w:val="22"/>
          <w:szCs w:val="22"/>
        </w:rPr>
        <w:t>tore per un infortunio</w:t>
      </w:r>
      <w:r w:rsidR="004F686B">
        <w:rPr>
          <w:sz w:val="22"/>
          <w:szCs w:val="22"/>
        </w:rPr>
        <w:t xml:space="preserve"> </w:t>
      </w:r>
      <w:r w:rsidR="00646172">
        <w:rPr>
          <w:sz w:val="22"/>
          <w:szCs w:val="22"/>
        </w:rPr>
        <w:t>(</w:t>
      </w:r>
      <w:r w:rsidR="00646172" w:rsidRPr="007F7EBF">
        <w:rPr>
          <w:rStyle w:val="Rimandonotaapidipagina"/>
          <w:sz w:val="22"/>
          <w:szCs w:val="22"/>
        </w:rPr>
        <w:footnoteReference w:id="1286"/>
      </w:r>
      <w:r w:rsidR="00646172">
        <w:rPr>
          <w:sz w:val="22"/>
          <w:szCs w:val="22"/>
        </w:rPr>
        <w:t>)</w:t>
      </w:r>
      <w:r w:rsidR="001C4398">
        <w:rPr>
          <w:sz w:val="22"/>
          <w:szCs w:val="22"/>
        </w:rPr>
        <w:t xml:space="preserve">. </w:t>
      </w:r>
      <w:r w:rsidR="00646172">
        <w:rPr>
          <w:sz w:val="22"/>
          <w:szCs w:val="22"/>
        </w:rPr>
        <w:t xml:space="preserve"> </w:t>
      </w:r>
      <w:r w:rsidR="001C4398" w:rsidRPr="007F7EBF">
        <w:rPr>
          <w:sz w:val="22"/>
          <w:szCs w:val="22"/>
        </w:rPr>
        <w:t>I redditi in esame rilevano al lordo dei costi, presupponendo</w:t>
      </w:r>
      <w:r w:rsidR="001C4398">
        <w:rPr>
          <w:sz w:val="22"/>
          <w:szCs w:val="22"/>
        </w:rPr>
        <w:t xml:space="preserve">ne il sostenimento da parte del </w:t>
      </w:r>
      <w:r w:rsidR="001C4398" w:rsidRPr="007F7EBF">
        <w:rPr>
          <w:sz w:val="22"/>
          <w:szCs w:val="22"/>
        </w:rPr>
        <w:t xml:space="preserve">datore di lavoro. La </w:t>
      </w:r>
      <w:r w:rsidR="001C4398">
        <w:rPr>
          <w:sz w:val="22"/>
          <w:szCs w:val="22"/>
        </w:rPr>
        <w:t xml:space="preserve">vecchia </w:t>
      </w:r>
      <w:r w:rsidR="001C4398" w:rsidRPr="007F7EBF">
        <w:rPr>
          <w:sz w:val="22"/>
          <w:szCs w:val="22"/>
        </w:rPr>
        <w:t xml:space="preserve">detrazione per spese di produzione del reddito di lavoro dipendente è stata </w:t>
      </w:r>
      <w:r w:rsidR="001C4398">
        <w:rPr>
          <w:sz w:val="22"/>
          <w:szCs w:val="22"/>
        </w:rPr>
        <w:t xml:space="preserve">distorta per attenuare </w:t>
      </w:r>
      <w:r w:rsidR="001C4398" w:rsidRPr="007F7EBF">
        <w:rPr>
          <w:sz w:val="22"/>
          <w:szCs w:val="22"/>
        </w:rPr>
        <w:t>la progressività (</w:t>
      </w:r>
      <w:r w:rsidR="001C4398" w:rsidRPr="007F7EBF">
        <w:rPr>
          <w:rStyle w:val="Rimandonotaapidipagina"/>
          <w:sz w:val="22"/>
          <w:szCs w:val="22"/>
        </w:rPr>
        <w:footnoteReference w:id="1287"/>
      </w:r>
      <w:r w:rsidR="001C4398" w:rsidRPr="007F7EBF">
        <w:rPr>
          <w:sz w:val="22"/>
          <w:szCs w:val="22"/>
        </w:rPr>
        <w:t xml:space="preserve">). </w:t>
      </w:r>
      <w:r w:rsidR="001C4398">
        <w:rPr>
          <w:sz w:val="22"/>
          <w:szCs w:val="22"/>
        </w:rPr>
        <w:t xml:space="preserve">L’unico riconoscimento delle relative spese di produzione è la possibilità del datore di lavoro di pagare alcuni servizi collettivi e controllabili, a favore dei dipendenti, ad esempio </w:t>
      </w:r>
      <w:r w:rsidR="001C4398" w:rsidRPr="007F7EBF">
        <w:rPr>
          <w:sz w:val="22"/>
          <w:szCs w:val="22"/>
        </w:rPr>
        <w:t>la mensa, il trasporto collettivo “casa lavoro”, ed alcuni “fringe benefits”</w:t>
      </w:r>
      <w:r w:rsidR="001C4398">
        <w:rPr>
          <w:sz w:val="22"/>
          <w:szCs w:val="22"/>
        </w:rPr>
        <w:t xml:space="preserve"> individuali (</w:t>
      </w:r>
      <w:r w:rsidR="001C4398">
        <w:rPr>
          <w:rStyle w:val="Rimandonotaapidipagina"/>
          <w:sz w:val="22"/>
          <w:szCs w:val="22"/>
        </w:rPr>
        <w:footnoteReference w:id="1288"/>
      </w:r>
      <w:r w:rsidR="001C4398">
        <w:rPr>
          <w:sz w:val="22"/>
          <w:szCs w:val="22"/>
        </w:rPr>
        <w:t xml:space="preserve">). </w:t>
      </w:r>
      <w:r w:rsidR="001C4398" w:rsidRPr="007F7EBF">
        <w:rPr>
          <w:sz w:val="22"/>
          <w:szCs w:val="22"/>
        </w:rPr>
        <w:t>Quest’e</w:t>
      </w:r>
      <w:r w:rsidR="001C4398" w:rsidRPr="007F7EBF">
        <w:rPr>
          <w:bCs/>
          <w:sz w:val="22"/>
          <w:szCs w:val="22"/>
        </w:rPr>
        <w:t xml:space="preserve">sternalizzazione, </w:t>
      </w:r>
      <w:r w:rsidR="001C4398" w:rsidRPr="007F7EBF">
        <w:rPr>
          <w:sz w:val="22"/>
          <w:szCs w:val="22"/>
        </w:rPr>
        <w:t xml:space="preserve">sui datori di lavoro, della </w:t>
      </w:r>
      <w:r w:rsidR="001C4398" w:rsidRPr="007F7EBF">
        <w:rPr>
          <w:bCs/>
          <w:sz w:val="22"/>
          <w:szCs w:val="22"/>
        </w:rPr>
        <w:t xml:space="preserve">gestione tributaria </w:t>
      </w:r>
      <w:r w:rsidR="001C4398" w:rsidRPr="007F7EBF">
        <w:rPr>
          <w:sz w:val="22"/>
          <w:szCs w:val="22"/>
        </w:rPr>
        <w:t>dei dipendenti, conferma la determinazione della ricchezza attraverso le aziende, filo conduttore di questo testo.</w:t>
      </w:r>
    </w:p>
    <w:p w14:paraId="634F8D3A" w14:textId="2AFCF780" w:rsidR="00646172" w:rsidRPr="007F7EBF" w:rsidRDefault="001C4398" w:rsidP="00646172">
      <w:pPr>
        <w:pStyle w:val="tit23"/>
        <w:ind w:left="6464" w:right="-1361" w:firstLine="0"/>
        <w:jc w:val="left"/>
        <w:rPr>
          <w:bCs/>
          <w:i/>
          <w:iCs/>
          <w:color w:val="0000FF"/>
          <w:lang w:val="it-IT"/>
        </w:rPr>
      </w:pPr>
      <w:r>
        <w:rPr>
          <w:bCs/>
          <w:i/>
          <w:iCs/>
          <w:color w:val="0000FF"/>
          <w:lang w:val="it-IT"/>
        </w:rPr>
        <w:t>Spese di trasferta</w:t>
      </w:r>
      <w:r w:rsidR="003A1A10">
        <w:rPr>
          <w:bCs/>
          <w:i/>
          <w:iCs/>
          <w:color w:val="0000FF"/>
          <w:lang w:val="it-IT"/>
        </w:rPr>
        <w:t xml:space="preserve"> e territorialità</w:t>
      </w:r>
    </w:p>
    <w:p w14:paraId="25C4C9F1" w14:textId="77777777" w:rsidR="003A1A10" w:rsidRDefault="001C4398" w:rsidP="00646172">
      <w:pPr>
        <w:autoSpaceDE w:val="0"/>
        <w:autoSpaceDN w:val="0"/>
        <w:adjustRightInd w:val="0"/>
        <w:rPr>
          <w:bCs/>
          <w:sz w:val="22"/>
          <w:szCs w:val="22"/>
        </w:rPr>
      </w:pPr>
      <w:r>
        <w:rPr>
          <w:sz w:val="22"/>
          <w:szCs w:val="22"/>
        </w:rPr>
        <w:t xml:space="preserve">Sono irrilevanti le </w:t>
      </w:r>
      <w:r w:rsidRPr="007F7EBF">
        <w:rPr>
          <w:sz w:val="22"/>
          <w:szCs w:val="22"/>
        </w:rPr>
        <w:t>spese di trasfert</w:t>
      </w:r>
      <w:r>
        <w:rPr>
          <w:sz w:val="22"/>
          <w:szCs w:val="22"/>
        </w:rPr>
        <w:t>a</w:t>
      </w:r>
      <w:r w:rsidRPr="007F7EBF">
        <w:rPr>
          <w:sz w:val="22"/>
          <w:szCs w:val="22"/>
        </w:rPr>
        <w:t xml:space="preserve"> fuori dall’abituale sede di lavoro</w:t>
      </w:r>
      <w:r>
        <w:rPr>
          <w:sz w:val="22"/>
          <w:szCs w:val="22"/>
        </w:rPr>
        <w:t xml:space="preserve">, in quanto esse non riguardano il dipendente, come </w:t>
      </w:r>
      <w:r w:rsidRPr="007F7EBF">
        <w:rPr>
          <w:sz w:val="22"/>
          <w:szCs w:val="22"/>
        </w:rPr>
        <w:t>i costi per recarsi in fabbrica o in ufficio,  ma il datore di lavoro; tali costi, quindi, in base a documentazione specifica o secondo parametri forfettari</w:t>
      </w:r>
      <w:r>
        <w:rPr>
          <w:sz w:val="22"/>
          <w:szCs w:val="22"/>
        </w:rPr>
        <w:t>(</w:t>
      </w:r>
      <w:r w:rsidRPr="007F7EBF">
        <w:rPr>
          <w:rStyle w:val="Rimandonotaapidipagina"/>
          <w:sz w:val="22"/>
          <w:szCs w:val="22"/>
        </w:rPr>
        <w:footnoteReference w:id="1289"/>
      </w:r>
      <w:r>
        <w:rPr>
          <w:sz w:val="22"/>
          <w:szCs w:val="22"/>
        </w:rPr>
        <w:t>)</w:t>
      </w:r>
      <w:r w:rsidRPr="007F7EBF">
        <w:rPr>
          <w:sz w:val="22"/>
          <w:szCs w:val="22"/>
        </w:rPr>
        <w:t xml:space="preserve">, </w:t>
      </w:r>
      <w:r w:rsidRPr="007F7EBF">
        <w:rPr>
          <w:bCs/>
          <w:sz w:val="22"/>
          <w:szCs w:val="22"/>
        </w:rPr>
        <w:t xml:space="preserve">non </w:t>
      </w:r>
      <w:r>
        <w:rPr>
          <w:bCs/>
          <w:sz w:val="22"/>
          <w:szCs w:val="22"/>
        </w:rPr>
        <w:t xml:space="preserve">sono imponibili; in questo la legislazione specifica correttamente l’astrazione economica rappresentata dal reddito (par.1.8). </w:t>
      </w:r>
    </w:p>
    <w:p w14:paraId="7DD4B19A" w14:textId="1BB97849" w:rsidR="00646172" w:rsidRPr="007F7EBF" w:rsidRDefault="003A1A10" w:rsidP="00646172">
      <w:pPr>
        <w:autoSpaceDE w:val="0"/>
        <w:autoSpaceDN w:val="0"/>
        <w:adjustRightInd w:val="0"/>
        <w:rPr>
          <w:sz w:val="22"/>
          <w:szCs w:val="22"/>
        </w:rPr>
      </w:pPr>
      <w:r>
        <w:rPr>
          <w:bCs/>
          <w:sz w:val="22"/>
          <w:szCs w:val="22"/>
        </w:rPr>
        <w:t>La territorialità del lavoro dipendente segue il luogo di svolgimento della prestazione, che -a parte alcuni tecnicismi dei lavoratori “frontalieri” o “trasfertisti”, coinciderà con la residenza del lavoratore, di cui al par.7.1</w:t>
      </w:r>
      <w:r w:rsidR="00B2048D">
        <w:rPr>
          <w:bCs/>
          <w:sz w:val="22"/>
          <w:szCs w:val="22"/>
        </w:rPr>
        <w:t>8</w:t>
      </w:r>
      <w:r>
        <w:rPr>
          <w:bCs/>
          <w:sz w:val="22"/>
          <w:szCs w:val="22"/>
        </w:rPr>
        <w:t xml:space="preserve">. </w:t>
      </w:r>
    </w:p>
    <w:p w14:paraId="63AE64F8" w14:textId="7142A900" w:rsidR="00646172" w:rsidRPr="007F7EBF" w:rsidRDefault="00646172" w:rsidP="00646172">
      <w:pPr>
        <w:pStyle w:val="tit23"/>
        <w:ind w:left="6464" w:right="-1361" w:firstLine="0"/>
        <w:jc w:val="left"/>
        <w:rPr>
          <w:bCs/>
          <w:i/>
          <w:iCs/>
          <w:color w:val="0000FF"/>
          <w:lang w:val="it-IT"/>
        </w:rPr>
      </w:pPr>
      <w:r>
        <w:rPr>
          <w:bCs/>
          <w:i/>
          <w:iCs/>
          <w:color w:val="0000FF"/>
          <w:lang w:val="it-IT"/>
        </w:rPr>
        <w:t>Discriminazione qualitativa “a favore”</w:t>
      </w:r>
    </w:p>
    <w:p w14:paraId="5A3BC718" w14:textId="3E387E19" w:rsidR="00646172" w:rsidRPr="00646172" w:rsidRDefault="003C0A64" w:rsidP="00646172">
      <w:pPr>
        <w:autoSpaceDE w:val="0"/>
        <w:autoSpaceDN w:val="0"/>
        <w:adjustRightInd w:val="0"/>
        <w:rPr>
          <w:sz w:val="22"/>
          <w:szCs w:val="22"/>
        </w:rPr>
      </w:pPr>
      <w:r>
        <w:rPr>
          <w:sz w:val="22"/>
          <w:szCs w:val="22"/>
        </w:rPr>
        <w:lastRenderedPageBreak/>
        <w:t>I redditi di lavoro dipendente sono spesso</w:t>
      </w:r>
      <w:r w:rsidR="00646172">
        <w:rPr>
          <w:sz w:val="22"/>
          <w:szCs w:val="22"/>
        </w:rPr>
        <w:t xml:space="preserve"> guadagnati con fatica e comunque con impegno, </w:t>
      </w:r>
      <w:r>
        <w:rPr>
          <w:sz w:val="22"/>
          <w:szCs w:val="22"/>
        </w:rPr>
        <w:t>per di più con ridotte possibilità di evadere, in quanto determinati tramite il datore di lavoro (</w:t>
      </w:r>
      <w:r>
        <w:rPr>
          <w:rStyle w:val="Rimandonotaapidipagina"/>
          <w:sz w:val="22"/>
          <w:szCs w:val="22"/>
        </w:rPr>
        <w:footnoteReference w:id="1290"/>
      </w:r>
      <w:r>
        <w:rPr>
          <w:sz w:val="22"/>
          <w:szCs w:val="22"/>
        </w:rPr>
        <w:t>). Ad essi sono destinate quindi misure di attenuazione della progressività, già anticipate sopra, e che si sostanziano dal 2014 nell’”ulteriore detrazione” per questi redditi, comunemente definita col termine “ottanta euro” (mensili); anche questa detrazione sfuma al crescere del reddito complessivo</w:t>
      </w:r>
      <w:r w:rsidR="00700E5F">
        <w:rPr>
          <w:sz w:val="22"/>
          <w:szCs w:val="22"/>
        </w:rPr>
        <w:t xml:space="preserve">; .si tratta </w:t>
      </w:r>
      <w:r>
        <w:rPr>
          <w:sz w:val="22"/>
          <w:szCs w:val="22"/>
        </w:rPr>
        <w:t xml:space="preserve"> </w:t>
      </w:r>
      <w:r w:rsidR="00700E5F">
        <w:rPr>
          <w:sz w:val="22"/>
          <w:szCs w:val="22"/>
        </w:rPr>
        <w:t>di una detrazione, non di un sussidio, perché segue la regola generale delle detrazioni, spettando nei limiti dell’imposta lorda (è la regola generale della “capienza” delle detrazioni su cui par.9.4</w:t>
      </w:r>
      <w:r w:rsidR="001C4398">
        <w:rPr>
          <w:sz w:val="22"/>
          <w:szCs w:val="22"/>
        </w:rPr>
        <w:t>)</w:t>
      </w:r>
      <w:r w:rsidR="00700E5F">
        <w:rPr>
          <w:sz w:val="22"/>
          <w:szCs w:val="22"/>
        </w:rPr>
        <w:t xml:space="preserve">. </w:t>
      </w:r>
    </w:p>
    <w:p w14:paraId="1A6AE009" w14:textId="4ADDF547" w:rsidR="00463BF9" w:rsidRPr="007F7EBF" w:rsidRDefault="006342C5" w:rsidP="001A11ED">
      <w:pPr>
        <w:pStyle w:val="Titolo3"/>
        <w:rPr>
          <w:sz w:val="22"/>
          <w:szCs w:val="22"/>
        </w:rPr>
      </w:pPr>
      <w:bookmarkStart w:id="125" w:name="_Toc63365035"/>
      <w:r w:rsidRPr="007F7EBF">
        <w:rPr>
          <w:rFonts w:ascii="Times New Roman" w:hAnsi="Times New Roman"/>
          <w:sz w:val="22"/>
          <w:szCs w:val="22"/>
        </w:rPr>
        <w:t>8.4. Redditi dei fabbricati e fiscalità immobiliare: l’importanza delle segnalazioni</w:t>
      </w:r>
      <w:r w:rsidR="00D9063E" w:rsidRPr="007F7EBF">
        <w:rPr>
          <w:rFonts w:ascii="Times New Roman" w:hAnsi="Times New Roman"/>
          <w:sz w:val="22"/>
          <w:szCs w:val="22"/>
        </w:rPr>
        <w:t xml:space="preserve"> </w:t>
      </w:r>
      <w:r w:rsidRPr="007F7EBF">
        <w:rPr>
          <w:rFonts w:ascii="Times New Roman" w:hAnsi="Times New Roman"/>
          <w:sz w:val="22"/>
          <w:szCs w:val="22"/>
        </w:rPr>
        <w:t>dell’inquilino</w:t>
      </w:r>
      <w:bookmarkEnd w:id="125"/>
    </w:p>
    <w:p w14:paraId="1121833A" w14:textId="29790EAE" w:rsidR="00463BF9" w:rsidRPr="007F7EBF" w:rsidRDefault="00C218C7" w:rsidP="00463BF9">
      <w:pPr>
        <w:pStyle w:val="tit23"/>
        <w:ind w:left="6464" w:right="-1361" w:firstLine="0"/>
        <w:jc w:val="left"/>
        <w:rPr>
          <w:bCs/>
          <w:i/>
          <w:iCs/>
          <w:color w:val="0000FF"/>
          <w:lang w:val="it-IT"/>
        </w:rPr>
      </w:pPr>
      <w:r>
        <w:rPr>
          <w:bCs/>
          <w:i/>
          <w:iCs/>
          <w:color w:val="0000FF"/>
          <w:lang w:val="it-IT"/>
        </w:rPr>
        <w:t>f</w:t>
      </w:r>
      <w:r w:rsidR="009174E7">
        <w:rPr>
          <w:bCs/>
          <w:i/>
          <w:iCs/>
          <w:color w:val="0000FF"/>
          <w:lang w:val="it-IT"/>
        </w:rPr>
        <w:t>onte patrimoniale dei redditi da fabbricati</w:t>
      </w:r>
      <w:r>
        <w:rPr>
          <w:bCs/>
          <w:i/>
          <w:iCs/>
          <w:color w:val="0000FF"/>
          <w:lang w:val="it-IT"/>
        </w:rPr>
        <w:t xml:space="preserve"> e catasto</w:t>
      </w:r>
    </w:p>
    <w:p w14:paraId="6FFA23BC" w14:textId="18E09AFD" w:rsidR="00673AA4" w:rsidRDefault="0079010B" w:rsidP="0036448F">
      <w:pPr>
        <w:autoSpaceDE w:val="0"/>
        <w:autoSpaceDN w:val="0"/>
        <w:adjustRightInd w:val="0"/>
        <w:rPr>
          <w:sz w:val="22"/>
          <w:szCs w:val="22"/>
        </w:rPr>
      </w:pPr>
      <w:r>
        <w:rPr>
          <w:sz w:val="22"/>
          <w:szCs w:val="22"/>
        </w:rPr>
        <w:t>Nonostante le affinità “catastali” coi redditi dei terreni, che però sono da attività agricola, i redditi dei fabbricati hanno maggiormente il carattere di una “rendita”</w:t>
      </w:r>
      <w:r w:rsidR="00673AA4">
        <w:rPr>
          <w:sz w:val="22"/>
          <w:szCs w:val="22"/>
        </w:rPr>
        <w:t xml:space="preserve">. </w:t>
      </w:r>
      <w:r w:rsidR="001C4398">
        <w:rPr>
          <w:sz w:val="22"/>
          <w:szCs w:val="22"/>
        </w:rPr>
        <w:t xml:space="preserve">Essi </w:t>
      </w:r>
      <w:r w:rsidR="003A3A0D">
        <w:rPr>
          <w:sz w:val="22"/>
          <w:szCs w:val="22"/>
        </w:rPr>
        <w:t>s</w:t>
      </w:r>
      <w:r w:rsidR="00673AA4">
        <w:rPr>
          <w:sz w:val="22"/>
          <w:szCs w:val="22"/>
        </w:rPr>
        <w:t xml:space="preserve">ono </w:t>
      </w:r>
      <w:r w:rsidR="003A3A0D">
        <w:rPr>
          <w:sz w:val="22"/>
          <w:szCs w:val="22"/>
        </w:rPr>
        <w:t xml:space="preserve">il primo esempio di </w:t>
      </w:r>
      <w:r w:rsidR="00673AA4">
        <w:rPr>
          <w:sz w:val="22"/>
          <w:szCs w:val="22"/>
        </w:rPr>
        <w:t xml:space="preserve">redditi </w:t>
      </w:r>
      <w:r w:rsidR="003A3A0D">
        <w:rPr>
          <w:sz w:val="22"/>
          <w:szCs w:val="22"/>
        </w:rPr>
        <w:t xml:space="preserve">in prevalenza di fonte patrimoniale, cioè </w:t>
      </w:r>
      <w:r w:rsidR="00673AA4">
        <w:rPr>
          <w:sz w:val="22"/>
          <w:szCs w:val="22"/>
        </w:rPr>
        <w:t>d</w:t>
      </w:r>
      <w:r w:rsidR="003A3A0D">
        <w:rPr>
          <w:sz w:val="22"/>
          <w:szCs w:val="22"/>
        </w:rPr>
        <w:t xml:space="preserve">i </w:t>
      </w:r>
      <w:r w:rsidR="00673AA4">
        <w:rPr>
          <w:sz w:val="22"/>
          <w:szCs w:val="22"/>
        </w:rPr>
        <w:t xml:space="preserve">puro </w:t>
      </w:r>
      <w:r w:rsidR="003A3A0D">
        <w:rPr>
          <w:sz w:val="22"/>
          <w:szCs w:val="22"/>
        </w:rPr>
        <w:t xml:space="preserve">compenso per la concessione in uso di cespiti </w:t>
      </w:r>
      <w:r>
        <w:rPr>
          <w:sz w:val="22"/>
          <w:szCs w:val="22"/>
        </w:rPr>
        <w:t>(</w:t>
      </w:r>
      <w:r>
        <w:rPr>
          <w:rStyle w:val="Rimandonotaapidipagina"/>
          <w:sz w:val="22"/>
          <w:szCs w:val="22"/>
        </w:rPr>
        <w:footnoteReference w:id="1291"/>
      </w:r>
      <w:r>
        <w:rPr>
          <w:sz w:val="22"/>
          <w:szCs w:val="22"/>
        </w:rPr>
        <w:t>)</w:t>
      </w:r>
      <w:r w:rsidR="001A11ED">
        <w:rPr>
          <w:sz w:val="22"/>
          <w:szCs w:val="22"/>
        </w:rPr>
        <w:t xml:space="preserve">, </w:t>
      </w:r>
      <w:r w:rsidR="00673AA4">
        <w:rPr>
          <w:sz w:val="22"/>
          <w:szCs w:val="22"/>
        </w:rPr>
        <w:t>c</w:t>
      </w:r>
      <w:r w:rsidR="001A11ED">
        <w:rPr>
          <w:sz w:val="22"/>
          <w:szCs w:val="22"/>
        </w:rPr>
        <w:t>ome anticipato al par.1.8</w:t>
      </w:r>
      <w:r w:rsidR="00052F3D">
        <w:rPr>
          <w:sz w:val="22"/>
          <w:szCs w:val="22"/>
        </w:rPr>
        <w:t>.</w:t>
      </w:r>
      <w:r w:rsidR="003A3A0D">
        <w:rPr>
          <w:sz w:val="22"/>
          <w:szCs w:val="22"/>
        </w:rPr>
        <w:t xml:space="preserve"> I fabbricati, come i terreni, sono però beni immobili, e per questo sono censiti nell’apposito “catasto fabbricati”</w:t>
      </w:r>
      <w:r w:rsidR="00C218C7">
        <w:rPr>
          <w:sz w:val="22"/>
          <w:szCs w:val="22"/>
        </w:rPr>
        <w:t xml:space="preserve">. Ad esso resta però ormai un </w:t>
      </w:r>
      <w:r w:rsidR="00C218C7" w:rsidRPr="007F7EBF">
        <w:rPr>
          <w:sz w:val="22"/>
          <w:szCs w:val="22"/>
        </w:rPr>
        <w:t xml:space="preserve">ruolo di identificazione e "mappatura" della proprietà immobiliare, </w:t>
      </w:r>
      <w:r w:rsidR="00C218C7">
        <w:rPr>
          <w:sz w:val="22"/>
          <w:szCs w:val="22"/>
        </w:rPr>
        <w:t xml:space="preserve">nonché di punto di partenza per </w:t>
      </w:r>
      <w:r w:rsidR="001C4398">
        <w:rPr>
          <w:sz w:val="22"/>
          <w:szCs w:val="22"/>
        </w:rPr>
        <w:t xml:space="preserve">determinare </w:t>
      </w:r>
      <w:r w:rsidR="00C218C7">
        <w:rPr>
          <w:sz w:val="22"/>
          <w:szCs w:val="22"/>
        </w:rPr>
        <w:t>gli imponibili delle imposte patrimoniali immobiliari di cui al par.10.9.</w:t>
      </w:r>
    </w:p>
    <w:p w14:paraId="26F5FB1A" w14:textId="430E8E48" w:rsidR="00673AA4" w:rsidRDefault="00C218C7" w:rsidP="00673AA4">
      <w:pPr>
        <w:pStyle w:val="tit23"/>
        <w:ind w:left="6464" w:right="-1361" w:firstLine="0"/>
        <w:jc w:val="left"/>
        <w:rPr>
          <w:bCs/>
          <w:i/>
          <w:iCs/>
          <w:color w:val="0000FF"/>
          <w:lang w:val="it-IT"/>
        </w:rPr>
      </w:pPr>
      <w:r>
        <w:rPr>
          <w:bCs/>
          <w:i/>
          <w:iCs/>
          <w:color w:val="0000FF"/>
          <w:lang w:val="it-IT"/>
        </w:rPr>
        <w:t xml:space="preserve">Visibilità </w:t>
      </w:r>
      <w:proofErr w:type="spellStart"/>
      <w:r>
        <w:rPr>
          <w:bCs/>
          <w:i/>
          <w:iCs/>
          <w:color w:val="0000FF"/>
          <w:lang w:val="it-IT"/>
        </w:rPr>
        <w:t>material</w:t>
      </w:r>
      <w:proofErr w:type="spellEnd"/>
      <w:r>
        <w:rPr>
          <w:bCs/>
          <w:i/>
          <w:iCs/>
          <w:color w:val="0000FF"/>
          <w:lang w:val="it-IT"/>
        </w:rPr>
        <w:t xml:space="preserve"> documentale </w:t>
      </w:r>
      <w:r>
        <w:rPr>
          <w:bCs/>
          <w:i/>
          <w:iCs/>
          <w:color w:val="0000FF"/>
          <w:lang w:val="it-IT"/>
        </w:rPr>
        <w:lastRenderedPageBreak/>
        <w:t>dei redditi dei fabbricati</w:t>
      </w:r>
    </w:p>
    <w:p w14:paraId="05D24DC4" w14:textId="2C98806D" w:rsidR="0072214A" w:rsidRPr="007F7EBF" w:rsidRDefault="00C218C7" w:rsidP="007479B1">
      <w:pPr>
        <w:autoSpaceDE w:val="0"/>
        <w:autoSpaceDN w:val="0"/>
        <w:adjustRightInd w:val="0"/>
        <w:rPr>
          <w:sz w:val="22"/>
          <w:szCs w:val="22"/>
        </w:rPr>
      </w:pPr>
      <w:r>
        <w:rPr>
          <w:sz w:val="22"/>
          <w:szCs w:val="22"/>
        </w:rPr>
        <w:t>L</w:t>
      </w:r>
      <w:r w:rsidR="003A3A0D">
        <w:rPr>
          <w:sz w:val="22"/>
          <w:szCs w:val="22"/>
        </w:rPr>
        <w:t>’utilizzazione del catasto</w:t>
      </w:r>
      <w:r>
        <w:rPr>
          <w:sz w:val="22"/>
          <w:szCs w:val="22"/>
        </w:rPr>
        <w:t xml:space="preserve"> per l’imposizione sui redditi</w:t>
      </w:r>
      <w:r w:rsidR="003A3A0D">
        <w:rPr>
          <w:sz w:val="22"/>
          <w:szCs w:val="22"/>
        </w:rPr>
        <w:t xml:space="preserve"> è </w:t>
      </w:r>
      <w:r>
        <w:rPr>
          <w:sz w:val="22"/>
          <w:szCs w:val="22"/>
        </w:rPr>
        <w:t>divenuta secondaria</w:t>
      </w:r>
      <w:r w:rsidR="003A3A0D">
        <w:rPr>
          <w:sz w:val="22"/>
          <w:szCs w:val="22"/>
        </w:rPr>
        <w:t xml:space="preserve"> da quando è stata eliminata l’imposizione sui redditi delle abitazioni utilizzate dagli stessi </w:t>
      </w:r>
      <w:r w:rsidR="00F31BDC" w:rsidRPr="007F7EBF">
        <w:rPr>
          <w:sz w:val="22"/>
          <w:szCs w:val="22"/>
        </w:rPr>
        <w:t xml:space="preserve">proprietari, </w:t>
      </w:r>
      <w:r w:rsidR="003A3A0D">
        <w:rPr>
          <w:sz w:val="22"/>
          <w:szCs w:val="22"/>
        </w:rPr>
        <w:t>in buona parte sostituita dalle imposte patrimoniali di cui al par.10.9</w:t>
      </w:r>
      <w:r>
        <w:rPr>
          <w:sz w:val="22"/>
          <w:szCs w:val="22"/>
        </w:rPr>
        <w:t>.</w:t>
      </w:r>
      <w:r w:rsidR="00F31BDC" w:rsidRPr="007F7EBF">
        <w:rPr>
          <w:sz w:val="22"/>
          <w:szCs w:val="22"/>
        </w:rPr>
        <w:t xml:space="preserve"> </w:t>
      </w:r>
      <w:r w:rsidR="007A6859">
        <w:rPr>
          <w:sz w:val="22"/>
          <w:szCs w:val="22"/>
        </w:rPr>
        <w:t xml:space="preserve">Anche gli </w:t>
      </w:r>
      <w:r w:rsidR="007A6859" w:rsidRPr="007F7EBF">
        <w:rPr>
          <w:sz w:val="22"/>
          <w:szCs w:val="22"/>
        </w:rPr>
        <w:t>immobili</w:t>
      </w:r>
      <w:r w:rsidR="007A6859">
        <w:rPr>
          <w:sz w:val="22"/>
          <w:szCs w:val="22"/>
        </w:rPr>
        <w:t xml:space="preserve"> </w:t>
      </w:r>
      <w:r w:rsidR="007A6859" w:rsidRPr="007F7EBF">
        <w:rPr>
          <w:sz w:val="22"/>
          <w:szCs w:val="22"/>
        </w:rPr>
        <w:t xml:space="preserve">ad uso commerciale (negozi, laboratori, etc.) </w:t>
      </w:r>
      <w:r w:rsidR="007A6859">
        <w:rPr>
          <w:sz w:val="22"/>
          <w:szCs w:val="22"/>
        </w:rPr>
        <w:t xml:space="preserve">non sono produttivi di reddito autonomo quando </w:t>
      </w:r>
      <w:r w:rsidR="007A6859" w:rsidRPr="007F7EBF">
        <w:rPr>
          <w:sz w:val="22"/>
          <w:szCs w:val="22"/>
        </w:rPr>
        <w:t>direttamente utilizzat</w:t>
      </w:r>
      <w:r w:rsidR="007A6859">
        <w:rPr>
          <w:sz w:val="22"/>
          <w:szCs w:val="22"/>
        </w:rPr>
        <w:t>i</w:t>
      </w:r>
      <w:r w:rsidR="007A6859" w:rsidRPr="007F7EBF">
        <w:rPr>
          <w:sz w:val="22"/>
          <w:szCs w:val="22"/>
        </w:rPr>
        <w:t xml:space="preserve"> da</w:t>
      </w:r>
      <w:r w:rsidR="007A6859">
        <w:rPr>
          <w:sz w:val="22"/>
          <w:szCs w:val="22"/>
        </w:rPr>
        <w:t xml:space="preserve">ll’artigiano o commerciante </w:t>
      </w:r>
      <w:r w:rsidR="007A6859" w:rsidRPr="007F7EBF">
        <w:rPr>
          <w:sz w:val="22"/>
          <w:szCs w:val="22"/>
        </w:rPr>
        <w:t>che ne è titolare</w:t>
      </w:r>
      <w:r w:rsidR="007A6859">
        <w:rPr>
          <w:sz w:val="22"/>
          <w:szCs w:val="22"/>
        </w:rPr>
        <w:t xml:space="preserve">. Restano i </w:t>
      </w:r>
      <w:r w:rsidR="003A3A0D">
        <w:rPr>
          <w:sz w:val="22"/>
          <w:szCs w:val="22"/>
        </w:rPr>
        <w:t>fabbricati dati in locazione</w:t>
      </w:r>
      <w:r w:rsidR="007A6859">
        <w:rPr>
          <w:sz w:val="22"/>
          <w:szCs w:val="22"/>
        </w:rPr>
        <w:t xml:space="preserve">, per cui </w:t>
      </w:r>
      <w:r w:rsidR="007479B1">
        <w:rPr>
          <w:sz w:val="22"/>
          <w:szCs w:val="22"/>
        </w:rPr>
        <w:t>manca la necessità di una stima di medietà, tipica del reddito agrario</w:t>
      </w:r>
      <w:r w:rsidR="007A6859">
        <w:rPr>
          <w:sz w:val="22"/>
          <w:szCs w:val="22"/>
        </w:rPr>
        <w:t>; il rapporto locatizio è infatti facilmente visibile, ed esiste una c</w:t>
      </w:r>
      <w:r w:rsidR="007479B1">
        <w:rPr>
          <w:sz w:val="22"/>
          <w:szCs w:val="22"/>
        </w:rPr>
        <w:t>onflittualità potenziale inquilino-proprietario</w:t>
      </w:r>
      <w:r w:rsidR="007A6859">
        <w:rPr>
          <w:sz w:val="22"/>
          <w:szCs w:val="22"/>
        </w:rPr>
        <w:t xml:space="preserve"> (</w:t>
      </w:r>
      <w:r w:rsidR="007A6859">
        <w:rPr>
          <w:rStyle w:val="Rimandonotaapidipagina"/>
          <w:sz w:val="22"/>
          <w:szCs w:val="22"/>
        </w:rPr>
        <w:footnoteReference w:id="1292"/>
      </w:r>
      <w:r w:rsidR="007A6859">
        <w:rPr>
          <w:sz w:val="22"/>
          <w:szCs w:val="22"/>
        </w:rPr>
        <w:t>)</w:t>
      </w:r>
      <w:r w:rsidR="0015228A">
        <w:rPr>
          <w:sz w:val="22"/>
          <w:szCs w:val="22"/>
        </w:rPr>
        <w:t>.</w:t>
      </w:r>
      <w:r w:rsidR="007A6859">
        <w:rPr>
          <w:sz w:val="22"/>
          <w:szCs w:val="22"/>
        </w:rPr>
        <w:t xml:space="preserve"> Inoltre q</w:t>
      </w:r>
      <w:r w:rsidR="007479B1">
        <w:rPr>
          <w:sz w:val="22"/>
          <w:szCs w:val="22"/>
        </w:rPr>
        <w:t>uando un</w:t>
      </w:r>
      <w:r w:rsidR="007A6859">
        <w:rPr>
          <w:sz w:val="22"/>
          <w:szCs w:val="22"/>
        </w:rPr>
        <w:t>a</w:t>
      </w:r>
      <w:r w:rsidR="007479B1">
        <w:rPr>
          <w:sz w:val="22"/>
          <w:szCs w:val="22"/>
        </w:rPr>
        <w:t xml:space="preserve"> de</w:t>
      </w:r>
      <w:r w:rsidR="007A6859">
        <w:rPr>
          <w:sz w:val="22"/>
          <w:szCs w:val="22"/>
        </w:rPr>
        <w:t xml:space="preserve">lle </w:t>
      </w:r>
      <w:r w:rsidR="007479B1">
        <w:rPr>
          <w:sz w:val="22"/>
          <w:szCs w:val="22"/>
        </w:rPr>
        <w:t xml:space="preserve">due </w:t>
      </w:r>
      <w:r w:rsidR="007A6859">
        <w:rPr>
          <w:sz w:val="22"/>
          <w:szCs w:val="22"/>
        </w:rPr>
        <w:t xml:space="preserve">parti </w:t>
      </w:r>
      <w:r w:rsidR="0015228A">
        <w:rPr>
          <w:sz w:val="22"/>
          <w:szCs w:val="22"/>
        </w:rPr>
        <w:t xml:space="preserve">della locazione </w:t>
      </w:r>
      <w:r w:rsidR="007479B1">
        <w:rPr>
          <w:sz w:val="22"/>
          <w:szCs w:val="22"/>
        </w:rPr>
        <w:t>è un’impresa (</w:t>
      </w:r>
      <w:r w:rsidR="007479B1">
        <w:rPr>
          <w:rStyle w:val="Rimandonotaapidipagina"/>
          <w:sz w:val="22"/>
          <w:szCs w:val="22"/>
        </w:rPr>
        <w:footnoteReference w:id="1293"/>
      </w:r>
      <w:r w:rsidR="007479B1">
        <w:rPr>
          <w:sz w:val="22"/>
          <w:szCs w:val="22"/>
        </w:rPr>
        <w:t>) o un ente pubblico</w:t>
      </w:r>
      <w:r w:rsidR="007A6859">
        <w:rPr>
          <w:sz w:val="22"/>
          <w:szCs w:val="22"/>
        </w:rPr>
        <w:t>,</w:t>
      </w:r>
      <w:r w:rsidR="007479B1">
        <w:rPr>
          <w:sz w:val="22"/>
          <w:szCs w:val="22"/>
        </w:rPr>
        <w:t xml:space="preserve"> l’interesse alla documentazione del rapporto rende facilmente applicabili i principi della tassazione documentale attraverso le aziende.</w:t>
      </w:r>
      <w:r w:rsidRPr="00C218C7">
        <w:rPr>
          <w:sz w:val="22"/>
          <w:szCs w:val="22"/>
        </w:rPr>
        <w:t xml:space="preserve"> </w:t>
      </w:r>
    </w:p>
    <w:p w14:paraId="7F1BAF00" w14:textId="1B377B7C" w:rsidR="0072214A" w:rsidRPr="007F7EBF" w:rsidRDefault="007479B1" w:rsidP="0072214A">
      <w:pPr>
        <w:pStyle w:val="tit23"/>
        <w:ind w:left="6464" w:right="-1361" w:firstLine="0"/>
        <w:jc w:val="left"/>
        <w:rPr>
          <w:bCs/>
          <w:i/>
          <w:iCs/>
          <w:color w:val="0000FF"/>
          <w:lang w:val="it-IT"/>
        </w:rPr>
      </w:pPr>
      <w:r>
        <w:rPr>
          <w:bCs/>
          <w:i/>
          <w:iCs/>
          <w:color w:val="0000FF"/>
          <w:lang w:val="it-IT"/>
        </w:rPr>
        <w:t>Equivoci dell’intreccio con l’imposta di registro</w:t>
      </w:r>
    </w:p>
    <w:p w14:paraId="1870D1E7" w14:textId="74C082F2" w:rsidR="00313F0D" w:rsidRDefault="00313F0D" w:rsidP="00313F0D">
      <w:pPr>
        <w:autoSpaceDE w:val="0"/>
        <w:autoSpaceDN w:val="0"/>
        <w:adjustRightInd w:val="0"/>
        <w:rPr>
          <w:sz w:val="22"/>
          <w:szCs w:val="22"/>
        </w:rPr>
      </w:pPr>
      <w:r w:rsidRPr="00313F0D">
        <w:rPr>
          <w:sz w:val="22"/>
          <w:szCs w:val="22"/>
        </w:rPr>
        <w:t xml:space="preserve">Solo </w:t>
      </w:r>
      <w:r w:rsidR="0015228A">
        <w:rPr>
          <w:sz w:val="22"/>
          <w:szCs w:val="22"/>
        </w:rPr>
        <w:t>quando la</w:t>
      </w:r>
      <w:r w:rsidRPr="00313F0D">
        <w:rPr>
          <w:sz w:val="22"/>
          <w:szCs w:val="22"/>
        </w:rPr>
        <w:t xml:space="preserve"> locazione</w:t>
      </w:r>
      <w:r w:rsidR="0015228A">
        <w:rPr>
          <w:sz w:val="22"/>
          <w:szCs w:val="22"/>
        </w:rPr>
        <w:t xml:space="preserve"> avviene</w:t>
      </w:r>
      <w:r w:rsidRPr="00313F0D">
        <w:rPr>
          <w:sz w:val="22"/>
          <w:szCs w:val="22"/>
        </w:rPr>
        <w:t xml:space="preserve"> </w:t>
      </w:r>
      <w:r w:rsidRPr="00313F0D">
        <w:rPr>
          <w:bCs/>
          <w:sz w:val="22"/>
          <w:szCs w:val="22"/>
        </w:rPr>
        <w:t>tra persone fisiche c’è un interesse all’oc</w:t>
      </w:r>
      <w:r w:rsidRPr="00313F0D">
        <w:rPr>
          <w:sz w:val="22"/>
          <w:szCs w:val="22"/>
        </w:rPr>
        <w:t xml:space="preserve">cultamento al fisco dei canoni di locazione, coi c.d. "affitti in nero".  </w:t>
      </w:r>
      <w:r>
        <w:rPr>
          <w:sz w:val="22"/>
          <w:szCs w:val="22"/>
        </w:rPr>
        <w:t xml:space="preserve">L’eccessiva rilevanza data alla </w:t>
      </w:r>
      <w:r w:rsidR="0072214A" w:rsidRPr="007F7EBF">
        <w:rPr>
          <w:sz w:val="22"/>
          <w:szCs w:val="22"/>
        </w:rPr>
        <w:t>registrazione del contratto di locazione ai fini dell'imposta di registro</w:t>
      </w:r>
      <w:r w:rsidR="00F07D1B" w:rsidRPr="007F7EBF">
        <w:rPr>
          <w:sz w:val="22"/>
          <w:szCs w:val="22"/>
        </w:rPr>
        <w:t xml:space="preserve"> (par.10.2)</w:t>
      </w:r>
      <w:r>
        <w:rPr>
          <w:sz w:val="22"/>
          <w:szCs w:val="22"/>
        </w:rPr>
        <w:t xml:space="preserve">, cui le parti non hanno particolare interesse nei rapporti reciproci </w:t>
      </w:r>
    </w:p>
    <w:p w14:paraId="6015958D" w14:textId="2709B3F6" w:rsidR="001F28B0" w:rsidRPr="007F7EBF" w:rsidRDefault="00797F0D" w:rsidP="001F28B0">
      <w:pPr>
        <w:autoSpaceDE w:val="0"/>
        <w:autoSpaceDN w:val="0"/>
        <w:adjustRightInd w:val="0"/>
        <w:rPr>
          <w:sz w:val="22"/>
          <w:szCs w:val="22"/>
        </w:rPr>
      </w:pPr>
      <w:r>
        <w:rPr>
          <w:sz w:val="22"/>
          <w:szCs w:val="22"/>
        </w:rPr>
        <w:lastRenderedPageBreak/>
        <w:t>(</w:t>
      </w:r>
      <w:r w:rsidR="00F07D1B" w:rsidRPr="007F7EBF">
        <w:rPr>
          <w:rStyle w:val="Rimandonotaapidipagina"/>
          <w:sz w:val="22"/>
          <w:szCs w:val="22"/>
        </w:rPr>
        <w:footnoteReference w:id="1294"/>
      </w:r>
      <w:r>
        <w:rPr>
          <w:sz w:val="22"/>
          <w:szCs w:val="22"/>
        </w:rPr>
        <w:t>)</w:t>
      </w:r>
      <w:r w:rsidR="00313F0D">
        <w:rPr>
          <w:sz w:val="22"/>
          <w:szCs w:val="22"/>
        </w:rPr>
        <w:t xml:space="preserve"> è </w:t>
      </w:r>
      <w:r w:rsidR="0015228A">
        <w:rPr>
          <w:sz w:val="22"/>
          <w:szCs w:val="22"/>
        </w:rPr>
        <w:t xml:space="preserve">fonte di </w:t>
      </w:r>
      <w:r w:rsidR="00313F0D">
        <w:rPr>
          <w:sz w:val="22"/>
          <w:szCs w:val="22"/>
        </w:rPr>
        <w:t xml:space="preserve">rigidità come </w:t>
      </w:r>
      <w:r w:rsidR="0072214A" w:rsidRPr="007F7EBF">
        <w:rPr>
          <w:sz w:val="22"/>
          <w:szCs w:val="22"/>
        </w:rPr>
        <w:t xml:space="preserve"> </w:t>
      </w:r>
      <w:r w:rsidR="003B7D14">
        <w:rPr>
          <w:sz w:val="22"/>
          <w:szCs w:val="22"/>
        </w:rPr>
        <w:t>l’imponibilità</w:t>
      </w:r>
      <w:r w:rsidR="00313F0D">
        <w:rPr>
          <w:sz w:val="22"/>
          <w:szCs w:val="22"/>
        </w:rPr>
        <w:t xml:space="preserve"> IRPEF</w:t>
      </w:r>
      <w:r w:rsidR="003B7D14">
        <w:rPr>
          <w:sz w:val="22"/>
          <w:szCs w:val="22"/>
        </w:rPr>
        <w:t xml:space="preserve"> de</w:t>
      </w:r>
      <w:r w:rsidR="0072214A" w:rsidRPr="007F7EBF">
        <w:rPr>
          <w:sz w:val="22"/>
          <w:szCs w:val="22"/>
        </w:rPr>
        <w:t xml:space="preserve">l canone di locazione anche se </w:t>
      </w:r>
      <w:r w:rsidR="006D4B14" w:rsidRPr="007F7EBF">
        <w:rPr>
          <w:sz w:val="22"/>
          <w:szCs w:val="22"/>
        </w:rPr>
        <w:t xml:space="preserve">l'inquilino è </w:t>
      </w:r>
      <w:r w:rsidR="00F07D1B" w:rsidRPr="007F7EBF">
        <w:rPr>
          <w:sz w:val="22"/>
          <w:szCs w:val="22"/>
        </w:rPr>
        <w:t xml:space="preserve">inadempiente </w:t>
      </w:r>
      <w:r w:rsidR="00F07D1B" w:rsidRPr="007F7EBF">
        <w:rPr>
          <w:rStyle w:val="Rimandonotaapidipagina"/>
          <w:sz w:val="22"/>
          <w:szCs w:val="22"/>
        </w:rPr>
        <w:footnoteReference w:id="1295"/>
      </w:r>
      <w:r w:rsidR="00313F0D">
        <w:rPr>
          <w:sz w:val="22"/>
          <w:szCs w:val="22"/>
        </w:rPr>
        <w:t xml:space="preserve"> </w:t>
      </w:r>
      <w:r w:rsidR="0015228A">
        <w:rPr>
          <w:sz w:val="22"/>
          <w:szCs w:val="22"/>
        </w:rPr>
        <w:t xml:space="preserve">; si aggiunga </w:t>
      </w:r>
      <w:r w:rsidR="00313F0D">
        <w:rPr>
          <w:sz w:val="22"/>
          <w:szCs w:val="22"/>
        </w:rPr>
        <w:t>i</w:t>
      </w:r>
      <w:r w:rsidR="0072214A" w:rsidRPr="007F7EBF">
        <w:rPr>
          <w:sz w:val="22"/>
          <w:szCs w:val="22"/>
        </w:rPr>
        <w:t>l fastid</w:t>
      </w:r>
      <w:r w:rsidR="00313F0D">
        <w:rPr>
          <w:sz w:val="22"/>
          <w:szCs w:val="22"/>
        </w:rPr>
        <w:t>i</w:t>
      </w:r>
      <w:r w:rsidR="0072214A" w:rsidRPr="007F7EBF">
        <w:rPr>
          <w:sz w:val="22"/>
          <w:szCs w:val="22"/>
        </w:rPr>
        <w:t xml:space="preserve">oso, anche se non particolarmente oneroso, pagamento dell'imposta annua di registro del </w:t>
      </w:r>
      <w:r w:rsidR="0015228A">
        <w:rPr>
          <w:sz w:val="22"/>
          <w:szCs w:val="22"/>
        </w:rPr>
        <w:t>2</w:t>
      </w:r>
      <w:r w:rsidR="0072214A" w:rsidRPr="007F7EBF">
        <w:rPr>
          <w:sz w:val="22"/>
          <w:szCs w:val="22"/>
        </w:rPr>
        <w:t xml:space="preserve"> percento del canone. </w:t>
      </w:r>
    </w:p>
    <w:p w14:paraId="64159BE4" w14:textId="40AEE45F" w:rsidR="00E50F42" w:rsidRPr="007F7EBF" w:rsidRDefault="00E50F42" w:rsidP="00313F0D">
      <w:pPr>
        <w:autoSpaceDE w:val="0"/>
        <w:autoSpaceDN w:val="0"/>
        <w:adjustRightInd w:val="0"/>
        <w:rPr>
          <w:sz w:val="22"/>
          <w:szCs w:val="22"/>
        </w:rPr>
      </w:pPr>
      <w:r w:rsidRPr="007F7EBF">
        <w:rPr>
          <w:sz w:val="22"/>
          <w:szCs w:val="22"/>
        </w:rPr>
        <w:t>La convergenza di interessi verso l’evasione si rafforza poi in tutti i casi in cui dall’affitto di immobili si passa all’affitto di stanze (ad es. a studenti), al bed and breakfast, alle case vacanza, e ad altre forme di rapporto transitorio, occasionale, flessibile, etc., che ha basse probabilità di dar luogo a controversie tra le parti o di essere individuato dal fisco, vista la breve durata.</w:t>
      </w:r>
    </w:p>
    <w:p w14:paraId="2C0A74A3" w14:textId="77777777" w:rsidR="00E50F42" w:rsidRPr="007F7EBF" w:rsidRDefault="00E50F42" w:rsidP="00E50F42">
      <w:pPr>
        <w:pStyle w:val="tit23"/>
        <w:ind w:left="6464" w:right="-1361" w:firstLine="0"/>
        <w:jc w:val="left"/>
        <w:rPr>
          <w:bCs/>
          <w:i/>
          <w:iCs/>
          <w:color w:val="0000FF"/>
          <w:lang w:val="it-IT"/>
        </w:rPr>
      </w:pPr>
      <w:r w:rsidRPr="007F7EBF">
        <w:rPr>
          <w:bCs/>
          <w:i/>
          <w:iCs/>
          <w:color w:val="0000FF"/>
          <w:lang w:val="it-IT"/>
        </w:rPr>
        <w:t>Scarsità di controllo del territorio</w:t>
      </w:r>
    </w:p>
    <w:p w14:paraId="28295FE4" w14:textId="77777777" w:rsidR="00E50F42" w:rsidRPr="007F7EBF" w:rsidRDefault="00E50F42" w:rsidP="00E50F42">
      <w:pPr>
        <w:autoSpaceDE w:val="0"/>
        <w:autoSpaceDN w:val="0"/>
        <w:adjustRightInd w:val="0"/>
        <w:rPr>
          <w:sz w:val="22"/>
          <w:szCs w:val="22"/>
        </w:rPr>
      </w:pPr>
      <w:r w:rsidRPr="007F7EBF">
        <w:rPr>
          <w:sz w:val="22"/>
          <w:szCs w:val="22"/>
        </w:rPr>
        <w:t xml:space="preserve">Le </w:t>
      </w:r>
      <w:r w:rsidR="006342C5" w:rsidRPr="007F7EBF">
        <w:rPr>
          <w:sz w:val="22"/>
          <w:szCs w:val="22"/>
        </w:rPr>
        <w:t xml:space="preserve">locazioni “in nero” </w:t>
      </w:r>
      <w:r w:rsidRPr="007F7EBF">
        <w:rPr>
          <w:sz w:val="22"/>
          <w:szCs w:val="22"/>
        </w:rPr>
        <w:t xml:space="preserve">restano quindi </w:t>
      </w:r>
      <w:r w:rsidR="006342C5" w:rsidRPr="007F7EBF">
        <w:rPr>
          <w:sz w:val="22"/>
          <w:szCs w:val="22"/>
        </w:rPr>
        <w:t>molto diffuse, anche per la</w:t>
      </w:r>
      <w:r w:rsidR="0036448F" w:rsidRPr="007F7EBF">
        <w:rPr>
          <w:sz w:val="22"/>
          <w:szCs w:val="22"/>
        </w:rPr>
        <w:t xml:space="preserve"> </w:t>
      </w:r>
      <w:r w:rsidR="006342C5" w:rsidRPr="007F7EBF">
        <w:rPr>
          <w:sz w:val="22"/>
          <w:szCs w:val="22"/>
        </w:rPr>
        <w:t>percezione dello scarso “controllo del territorio” da parte del fisco di fronte all’estrema</w:t>
      </w:r>
      <w:r w:rsidR="0036448F" w:rsidRPr="007F7EBF">
        <w:rPr>
          <w:sz w:val="22"/>
          <w:szCs w:val="22"/>
        </w:rPr>
        <w:t xml:space="preserve"> </w:t>
      </w:r>
      <w:r w:rsidR="006342C5" w:rsidRPr="007F7EBF">
        <w:rPr>
          <w:sz w:val="22"/>
          <w:szCs w:val="22"/>
        </w:rPr>
        <w:t>diffusione e frammentazione della proprietà immobiliare; quando si tratta di piccoli</w:t>
      </w:r>
      <w:r w:rsidR="0036448F" w:rsidRPr="007F7EBF">
        <w:rPr>
          <w:sz w:val="22"/>
          <w:szCs w:val="22"/>
        </w:rPr>
        <w:t xml:space="preserve"> </w:t>
      </w:r>
      <w:r w:rsidR="006342C5" w:rsidRPr="007F7EBF">
        <w:rPr>
          <w:sz w:val="22"/>
          <w:szCs w:val="22"/>
        </w:rPr>
        <w:t>proprietari di uno/due immobili, spesso a basso reddito e per i quali l’evasione ha</w:t>
      </w:r>
      <w:r w:rsidR="0036448F" w:rsidRPr="007F7EBF">
        <w:rPr>
          <w:sz w:val="22"/>
          <w:szCs w:val="22"/>
        </w:rPr>
        <w:t xml:space="preserve"> </w:t>
      </w:r>
      <w:r w:rsidR="006342C5" w:rsidRPr="007F7EBF">
        <w:rPr>
          <w:sz w:val="22"/>
          <w:szCs w:val="22"/>
        </w:rPr>
        <w:t>una notevole utilità marginale, la propensione al rischio è molto alta</w:t>
      </w:r>
      <w:r w:rsidRPr="007F7EBF">
        <w:rPr>
          <w:sz w:val="22"/>
          <w:szCs w:val="22"/>
        </w:rPr>
        <w:t xml:space="preserve">, anche per le pastoie provocate dalla suddetta utilizzazione del contratto registrato. </w:t>
      </w:r>
    </w:p>
    <w:p w14:paraId="56507D07" w14:textId="77777777" w:rsidR="00E50F42" w:rsidRPr="007F7EBF" w:rsidRDefault="00E50F42" w:rsidP="00E50F42">
      <w:pPr>
        <w:pStyle w:val="tit23"/>
        <w:ind w:left="6464" w:right="-1361" w:firstLine="0"/>
        <w:jc w:val="left"/>
        <w:rPr>
          <w:bCs/>
          <w:i/>
          <w:iCs/>
          <w:color w:val="0000FF"/>
          <w:lang w:val="it-IT"/>
        </w:rPr>
      </w:pPr>
      <w:r w:rsidRPr="007F7EBF">
        <w:rPr>
          <w:bCs/>
          <w:i/>
          <w:iCs/>
          <w:color w:val="0000FF"/>
          <w:lang w:val="it-IT"/>
        </w:rPr>
        <w:lastRenderedPageBreak/>
        <w:t>Pasticciate contrapposizioni tra inquilini e proprietari</w:t>
      </w:r>
    </w:p>
    <w:p w14:paraId="68D94F28" w14:textId="77777777" w:rsidR="00C56F27" w:rsidRPr="007F7EBF" w:rsidRDefault="001B1A56" w:rsidP="009F1DD8">
      <w:pPr>
        <w:autoSpaceDE w:val="0"/>
        <w:autoSpaceDN w:val="0"/>
        <w:adjustRightInd w:val="0"/>
        <w:rPr>
          <w:sz w:val="22"/>
          <w:szCs w:val="22"/>
        </w:rPr>
      </w:pPr>
      <w:r w:rsidRPr="007F7EBF">
        <w:rPr>
          <w:sz w:val="22"/>
          <w:szCs w:val="22"/>
        </w:rPr>
        <w:t xml:space="preserve">Il </w:t>
      </w:r>
      <w:r w:rsidR="006342C5" w:rsidRPr="007F7EBF">
        <w:rPr>
          <w:sz w:val="22"/>
          <w:szCs w:val="22"/>
        </w:rPr>
        <w:t xml:space="preserve"> “contrasto di interessi” tra inquilino e proprietario</w:t>
      </w:r>
      <w:r w:rsidRPr="007F7EBF">
        <w:rPr>
          <w:sz w:val="22"/>
          <w:szCs w:val="22"/>
        </w:rPr>
        <w:t xml:space="preserve"> contro </w:t>
      </w:r>
      <w:r w:rsidR="006342C5" w:rsidRPr="007F7EBF">
        <w:rPr>
          <w:sz w:val="22"/>
          <w:szCs w:val="22"/>
        </w:rPr>
        <w:t xml:space="preserve">le locazioni “in nero”, </w:t>
      </w:r>
      <w:r w:rsidR="006D4B14" w:rsidRPr="007F7EBF">
        <w:rPr>
          <w:sz w:val="22"/>
          <w:szCs w:val="22"/>
        </w:rPr>
        <w:t>attribuiva al</w:t>
      </w:r>
      <w:r w:rsidR="006342C5" w:rsidRPr="007F7EBF">
        <w:rPr>
          <w:sz w:val="22"/>
          <w:szCs w:val="22"/>
        </w:rPr>
        <w:t>l’inquilino un</w:t>
      </w:r>
      <w:r w:rsidR="00C56F27" w:rsidRPr="007F7EBF">
        <w:rPr>
          <w:sz w:val="22"/>
          <w:szCs w:val="22"/>
        </w:rPr>
        <w:t xml:space="preserve"> </w:t>
      </w:r>
      <w:r w:rsidR="006342C5" w:rsidRPr="007F7EBF">
        <w:rPr>
          <w:sz w:val="22"/>
          <w:szCs w:val="22"/>
        </w:rPr>
        <w:t xml:space="preserve">rapporto locatizio a corrispettivo di favore, pari a tre volte la </w:t>
      </w:r>
      <w:r w:rsidR="00BC2757" w:rsidRPr="007F7EBF">
        <w:rPr>
          <w:sz w:val="22"/>
          <w:szCs w:val="22"/>
        </w:rPr>
        <w:t>rendita catastale dell’immobile</w:t>
      </w:r>
      <w:r w:rsidR="006D4B14" w:rsidRPr="007F7EBF">
        <w:rPr>
          <w:sz w:val="22"/>
          <w:szCs w:val="22"/>
        </w:rPr>
        <w:t xml:space="preserve">; questa sanzione indiretta </w:t>
      </w:r>
      <w:r w:rsidR="00BC2757" w:rsidRPr="007F7EBF">
        <w:rPr>
          <w:sz w:val="22"/>
          <w:szCs w:val="22"/>
        </w:rPr>
        <w:t xml:space="preserve"> </w:t>
      </w:r>
      <w:r w:rsidR="009F1DD8" w:rsidRPr="007F7EBF">
        <w:rPr>
          <w:sz w:val="22"/>
          <w:szCs w:val="22"/>
        </w:rPr>
        <w:t xml:space="preserve">è </w:t>
      </w:r>
      <w:r w:rsidR="00D32F91" w:rsidRPr="007F7EBF">
        <w:rPr>
          <w:sz w:val="22"/>
          <w:szCs w:val="22"/>
        </w:rPr>
        <w:t>stat</w:t>
      </w:r>
      <w:r w:rsidR="006D4B14" w:rsidRPr="007F7EBF">
        <w:rPr>
          <w:sz w:val="22"/>
          <w:szCs w:val="22"/>
        </w:rPr>
        <w:t>a</w:t>
      </w:r>
      <w:r w:rsidR="00D32F91" w:rsidRPr="007F7EBF">
        <w:rPr>
          <w:sz w:val="22"/>
          <w:szCs w:val="22"/>
        </w:rPr>
        <w:t xml:space="preserve"> </w:t>
      </w:r>
      <w:r w:rsidR="006342C5" w:rsidRPr="007F7EBF">
        <w:rPr>
          <w:sz w:val="22"/>
          <w:szCs w:val="22"/>
        </w:rPr>
        <w:t>dichiarat</w:t>
      </w:r>
      <w:r w:rsidR="006D4B14" w:rsidRPr="007F7EBF">
        <w:rPr>
          <w:sz w:val="22"/>
          <w:szCs w:val="22"/>
        </w:rPr>
        <w:t>a</w:t>
      </w:r>
      <w:r w:rsidR="006342C5" w:rsidRPr="007F7EBF">
        <w:rPr>
          <w:sz w:val="22"/>
          <w:szCs w:val="22"/>
        </w:rPr>
        <w:t xml:space="preserve"> illeg</w:t>
      </w:r>
      <w:r w:rsidR="00D32F91" w:rsidRPr="007F7EBF">
        <w:rPr>
          <w:sz w:val="22"/>
          <w:szCs w:val="22"/>
        </w:rPr>
        <w:t>ittim</w:t>
      </w:r>
      <w:r w:rsidR="006D4B14" w:rsidRPr="007F7EBF">
        <w:rPr>
          <w:sz w:val="22"/>
          <w:szCs w:val="22"/>
        </w:rPr>
        <w:t>a</w:t>
      </w:r>
      <w:r w:rsidR="006342C5" w:rsidRPr="007F7EBF">
        <w:rPr>
          <w:sz w:val="22"/>
          <w:szCs w:val="22"/>
        </w:rPr>
        <w:t xml:space="preserve"> dall</w:t>
      </w:r>
      <w:r w:rsidR="00D32F91" w:rsidRPr="007F7EBF">
        <w:rPr>
          <w:sz w:val="22"/>
          <w:szCs w:val="22"/>
        </w:rPr>
        <w:t>a</w:t>
      </w:r>
      <w:r w:rsidR="009F1DD8" w:rsidRPr="007F7EBF">
        <w:rPr>
          <w:sz w:val="22"/>
          <w:szCs w:val="22"/>
        </w:rPr>
        <w:t xml:space="preserve"> corte costituzionale nel 2014, </w:t>
      </w:r>
      <w:r w:rsidR="006D4B14" w:rsidRPr="007F7EBF">
        <w:rPr>
          <w:sz w:val="22"/>
          <w:szCs w:val="22"/>
        </w:rPr>
        <w:t xml:space="preserve">in questo interferiva troppo sui rapporti tra le parti. </w:t>
      </w:r>
    </w:p>
    <w:p w14:paraId="73BE94A9" w14:textId="77777777" w:rsidR="00E50F42" w:rsidRPr="007F7EBF" w:rsidRDefault="00E50F42" w:rsidP="00E50F42">
      <w:pPr>
        <w:pStyle w:val="tit23"/>
        <w:ind w:left="6464" w:right="-1361" w:firstLine="0"/>
        <w:jc w:val="left"/>
        <w:rPr>
          <w:bCs/>
          <w:i/>
          <w:iCs/>
          <w:color w:val="0000FF"/>
          <w:lang w:val="it-IT"/>
        </w:rPr>
      </w:pPr>
      <w:r w:rsidRPr="007F7EBF">
        <w:rPr>
          <w:bCs/>
          <w:i/>
          <w:iCs/>
          <w:color w:val="0000FF"/>
          <w:lang w:val="it-IT"/>
        </w:rPr>
        <w:t>Spese e territorialità</w:t>
      </w:r>
    </w:p>
    <w:p w14:paraId="7159FD25" w14:textId="77777777" w:rsidR="006D4B14" w:rsidRPr="007F7EBF" w:rsidRDefault="006D4B14" w:rsidP="006D4B14">
      <w:pPr>
        <w:autoSpaceDE w:val="0"/>
        <w:autoSpaceDN w:val="0"/>
        <w:adjustRightInd w:val="0"/>
        <w:rPr>
          <w:sz w:val="22"/>
          <w:szCs w:val="22"/>
        </w:rPr>
      </w:pPr>
      <w:r w:rsidRPr="007F7EBF">
        <w:rPr>
          <w:sz w:val="22"/>
          <w:szCs w:val="22"/>
        </w:rPr>
        <w:t xml:space="preserve">La deduzione forfettaria, in percentuale del canone di locazione, delle spese di manutenzione per gli immobili affittati è stata ridotta a una misura simbolica del 5 percento del canone </w:t>
      </w:r>
      <w:r w:rsidR="00E50F42" w:rsidRPr="007F7EBF">
        <w:rPr>
          <w:sz w:val="22"/>
          <w:szCs w:val="22"/>
        </w:rPr>
        <w:t xml:space="preserve"> (</w:t>
      </w:r>
      <w:r w:rsidR="00E50F42" w:rsidRPr="007F7EBF">
        <w:rPr>
          <w:rStyle w:val="Rimandonotaapidipagina"/>
          <w:sz w:val="22"/>
          <w:szCs w:val="22"/>
        </w:rPr>
        <w:footnoteReference w:id="1296"/>
      </w:r>
      <w:r w:rsidRPr="007F7EBF">
        <w:rPr>
          <w:sz w:val="22"/>
          <w:szCs w:val="22"/>
        </w:rPr>
        <w:t>).</w:t>
      </w:r>
    </w:p>
    <w:p w14:paraId="2451680F" w14:textId="77777777" w:rsidR="009F1DD8" w:rsidRPr="007F7EBF" w:rsidRDefault="009F1DD8" w:rsidP="009F1DD8">
      <w:pPr>
        <w:autoSpaceDE w:val="0"/>
        <w:autoSpaceDN w:val="0"/>
        <w:adjustRightInd w:val="0"/>
        <w:rPr>
          <w:bCs/>
          <w:i/>
          <w:iCs/>
          <w:color w:val="0000FF"/>
          <w:sz w:val="22"/>
          <w:szCs w:val="22"/>
        </w:rPr>
      </w:pPr>
      <w:r w:rsidRPr="007F7EBF">
        <w:rPr>
          <w:sz w:val="22"/>
          <w:szCs w:val="22"/>
        </w:rPr>
        <w:t xml:space="preserve">Il criterio di collegamento territoriale, per i redditi  immobiliari, è intuitivamente la relativa ubicazione. </w:t>
      </w:r>
    </w:p>
    <w:p w14:paraId="5ECF55AA" w14:textId="70DD06A2" w:rsidR="00E50F42" w:rsidRPr="007F7EBF" w:rsidRDefault="006342C5" w:rsidP="00C9531D">
      <w:pPr>
        <w:pStyle w:val="Titolo3"/>
        <w:rPr>
          <w:sz w:val="22"/>
          <w:szCs w:val="22"/>
        </w:rPr>
      </w:pPr>
      <w:bookmarkStart w:id="126" w:name="_Toc63365036"/>
      <w:r w:rsidRPr="007F7EBF">
        <w:rPr>
          <w:rFonts w:ascii="Times New Roman" w:hAnsi="Times New Roman"/>
          <w:sz w:val="22"/>
          <w:szCs w:val="22"/>
        </w:rPr>
        <w:t>8.5. Tassazione attraverso le aziende di redditi di capitale e plusvalenze</w:t>
      </w:r>
      <w:r w:rsidR="00775319" w:rsidRPr="007F7EBF">
        <w:rPr>
          <w:rFonts w:ascii="Times New Roman" w:hAnsi="Times New Roman"/>
          <w:sz w:val="22"/>
          <w:szCs w:val="22"/>
        </w:rPr>
        <w:t xml:space="preserve"> </w:t>
      </w:r>
      <w:r w:rsidRPr="007F7EBF">
        <w:rPr>
          <w:rFonts w:ascii="Times New Roman" w:hAnsi="Times New Roman"/>
          <w:sz w:val="22"/>
          <w:szCs w:val="22"/>
        </w:rPr>
        <w:t>finanziarie</w:t>
      </w:r>
      <w:bookmarkEnd w:id="126"/>
    </w:p>
    <w:p w14:paraId="531632A6" w14:textId="77777777" w:rsidR="00E50F42" w:rsidRPr="007F7EBF" w:rsidRDefault="00E50F42" w:rsidP="00E50F42">
      <w:pPr>
        <w:pStyle w:val="tit23"/>
        <w:ind w:left="6464" w:right="-1361" w:firstLine="0"/>
        <w:jc w:val="left"/>
        <w:rPr>
          <w:bCs/>
          <w:i/>
          <w:iCs/>
          <w:color w:val="0000FF"/>
          <w:lang w:val="it-IT"/>
        </w:rPr>
      </w:pPr>
      <w:r w:rsidRPr="007F7EBF">
        <w:rPr>
          <w:bCs/>
          <w:i/>
          <w:iCs/>
          <w:color w:val="0000FF"/>
          <w:lang w:val="it-IT"/>
        </w:rPr>
        <w:t>Redditi “da risparmio”</w:t>
      </w:r>
    </w:p>
    <w:p w14:paraId="79DBF074" w14:textId="24DB051E" w:rsidR="00215441" w:rsidRDefault="000F2E1A" w:rsidP="00E50F42">
      <w:pPr>
        <w:autoSpaceDE w:val="0"/>
        <w:autoSpaceDN w:val="0"/>
        <w:adjustRightInd w:val="0"/>
        <w:rPr>
          <w:sz w:val="22"/>
          <w:szCs w:val="22"/>
        </w:rPr>
      </w:pPr>
      <w:r w:rsidRPr="007F7EBF">
        <w:rPr>
          <w:sz w:val="22"/>
          <w:szCs w:val="22"/>
        </w:rPr>
        <w:t xml:space="preserve">L'altro investimento </w:t>
      </w:r>
      <w:r w:rsidR="006F18D1">
        <w:rPr>
          <w:sz w:val="22"/>
          <w:szCs w:val="22"/>
        </w:rPr>
        <w:t>patrimoniale</w:t>
      </w:r>
      <w:r w:rsidR="00B2048D">
        <w:rPr>
          <w:sz w:val="22"/>
          <w:szCs w:val="22"/>
        </w:rPr>
        <w:t xml:space="preserve"> “di massa”</w:t>
      </w:r>
      <w:r w:rsidR="006F18D1">
        <w:rPr>
          <w:sz w:val="22"/>
          <w:szCs w:val="22"/>
        </w:rPr>
        <w:t>, oltre a quello immobiliare</w:t>
      </w:r>
      <w:r w:rsidR="00B2048D">
        <w:rPr>
          <w:sz w:val="22"/>
          <w:szCs w:val="22"/>
        </w:rPr>
        <w:t xml:space="preserve"> sopra descritto</w:t>
      </w:r>
      <w:r w:rsidR="006F18D1">
        <w:rPr>
          <w:sz w:val="22"/>
          <w:szCs w:val="22"/>
        </w:rPr>
        <w:t>, è quello finanziario</w:t>
      </w:r>
      <w:r w:rsidR="00B2048D">
        <w:rPr>
          <w:sz w:val="22"/>
          <w:szCs w:val="22"/>
        </w:rPr>
        <w:t xml:space="preserve">. Da esso </w:t>
      </w:r>
      <w:r w:rsidR="00CD180F">
        <w:rPr>
          <w:sz w:val="22"/>
          <w:szCs w:val="22"/>
        </w:rPr>
        <w:t>derivano</w:t>
      </w:r>
      <w:r w:rsidR="006F18D1">
        <w:rPr>
          <w:sz w:val="22"/>
          <w:szCs w:val="22"/>
        </w:rPr>
        <w:t xml:space="preserve"> interessi su depositi o obbligazioni, dividendi su azioni</w:t>
      </w:r>
      <w:r w:rsidR="00CD180F">
        <w:rPr>
          <w:sz w:val="22"/>
          <w:szCs w:val="22"/>
        </w:rPr>
        <w:t xml:space="preserve">, nonché plusvalenze e minusvalenze su entrambe. E’ </w:t>
      </w:r>
      <w:r w:rsidR="009227D9" w:rsidRPr="007F7EBF">
        <w:rPr>
          <w:sz w:val="22"/>
          <w:szCs w:val="22"/>
        </w:rPr>
        <w:t>del tutto ragionevole tassare</w:t>
      </w:r>
      <w:r w:rsidR="00CD180F">
        <w:rPr>
          <w:sz w:val="22"/>
          <w:szCs w:val="22"/>
        </w:rPr>
        <w:t xml:space="preserve"> questi “redditi finanziari”</w:t>
      </w:r>
      <w:r w:rsidR="009227D9" w:rsidRPr="007F7EBF">
        <w:rPr>
          <w:sz w:val="22"/>
          <w:szCs w:val="22"/>
        </w:rPr>
        <w:t>, anche quando il capitale</w:t>
      </w:r>
      <w:r w:rsidR="00CD180F">
        <w:rPr>
          <w:sz w:val="22"/>
          <w:szCs w:val="22"/>
        </w:rPr>
        <w:t xml:space="preserve"> investito</w:t>
      </w:r>
      <w:r w:rsidR="009227D9" w:rsidRPr="007F7EBF">
        <w:rPr>
          <w:sz w:val="22"/>
          <w:szCs w:val="22"/>
        </w:rPr>
        <w:t xml:space="preserve"> è formato con redditi già tassati</w:t>
      </w:r>
      <w:r w:rsidR="00CD180F">
        <w:rPr>
          <w:sz w:val="22"/>
          <w:szCs w:val="22"/>
        </w:rPr>
        <w:t xml:space="preserve"> </w:t>
      </w:r>
      <w:r w:rsidR="002E2447" w:rsidRPr="007F7EBF">
        <w:rPr>
          <w:sz w:val="22"/>
          <w:szCs w:val="22"/>
        </w:rPr>
        <w:t>(</w:t>
      </w:r>
      <w:r w:rsidR="00E50F42" w:rsidRPr="007F7EBF">
        <w:rPr>
          <w:rStyle w:val="Rimandonotaapidipagina"/>
          <w:sz w:val="22"/>
          <w:szCs w:val="22"/>
        </w:rPr>
        <w:footnoteReference w:id="1297"/>
      </w:r>
      <w:r w:rsidR="002E2447" w:rsidRPr="007F7EBF">
        <w:rPr>
          <w:sz w:val="22"/>
          <w:szCs w:val="22"/>
        </w:rPr>
        <w:t xml:space="preserve">). </w:t>
      </w:r>
    </w:p>
    <w:p w14:paraId="7F0EA550" w14:textId="77777777" w:rsidR="00E50F42" w:rsidRPr="007F7EBF" w:rsidRDefault="00E50F42" w:rsidP="00E50F42">
      <w:pPr>
        <w:pStyle w:val="tit23"/>
        <w:ind w:left="6464" w:right="-1361" w:firstLine="0"/>
        <w:jc w:val="left"/>
        <w:rPr>
          <w:bCs/>
          <w:i/>
          <w:iCs/>
          <w:color w:val="0000FF"/>
          <w:lang w:val="it-IT"/>
        </w:rPr>
      </w:pPr>
      <w:r w:rsidRPr="007F7EBF">
        <w:rPr>
          <w:bCs/>
          <w:i/>
          <w:iCs/>
          <w:color w:val="0000FF"/>
          <w:lang w:val="it-IT"/>
        </w:rPr>
        <w:lastRenderedPageBreak/>
        <w:t>Interessi e plusvalenze finanziarie</w:t>
      </w:r>
    </w:p>
    <w:p w14:paraId="6FE8EF29" w14:textId="14790515" w:rsidR="007E3F57" w:rsidRPr="007F7EBF" w:rsidRDefault="006342C5" w:rsidP="00CB596A">
      <w:pPr>
        <w:autoSpaceDE w:val="0"/>
        <w:autoSpaceDN w:val="0"/>
        <w:adjustRightInd w:val="0"/>
        <w:rPr>
          <w:sz w:val="22"/>
          <w:szCs w:val="22"/>
        </w:rPr>
      </w:pPr>
      <w:r w:rsidRPr="007F7EBF">
        <w:rPr>
          <w:sz w:val="22"/>
          <w:szCs w:val="22"/>
        </w:rPr>
        <w:t xml:space="preserve">Danno luogo a redditi di capitale (art. 44 Tuir) </w:t>
      </w:r>
      <w:r w:rsidR="002E2447" w:rsidRPr="007F7EBF">
        <w:rPr>
          <w:sz w:val="22"/>
          <w:szCs w:val="22"/>
        </w:rPr>
        <w:t xml:space="preserve">i "frutti dei </w:t>
      </w:r>
      <w:r w:rsidRPr="007F7EBF">
        <w:rPr>
          <w:bCs/>
          <w:sz w:val="22"/>
          <w:szCs w:val="22"/>
        </w:rPr>
        <w:t>prestiti”,</w:t>
      </w:r>
      <w:r w:rsidR="002E2447" w:rsidRPr="007F7EBF">
        <w:rPr>
          <w:bCs/>
          <w:sz w:val="22"/>
          <w:szCs w:val="22"/>
        </w:rPr>
        <w:t xml:space="preserve"> ovvero gli interessi su </w:t>
      </w:r>
      <w:r w:rsidRPr="007F7EBF">
        <w:rPr>
          <w:sz w:val="22"/>
          <w:szCs w:val="22"/>
        </w:rPr>
        <w:t xml:space="preserve">conti correnti e depositi bancari, oppure </w:t>
      </w:r>
      <w:r w:rsidR="00586FC8" w:rsidRPr="007F7EBF">
        <w:rPr>
          <w:sz w:val="22"/>
          <w:szCs w:val="22"/>
        </w:rPr>
        <w:t xml:space="preserve">su </w:t>
      </w:r>
      <w:r w:rsidRPr="007F7EBF">
        <w:rPr>
          <w:bCs/>
          <w:sz w:val="22"/>
          <w:szCs w:val="22"/>
        </w:rPr>
        <w:t>titoli obbligazionari</w:t>
      </w:r>
      <w:r w:rsidRPr="007F7EBF">
        <w:rPr>
          <w:sz w:val="22"/>
          <w:szCs w:val="22"/>
        </w:rPr>
        <w:t xml:space="preserve">, </w:t>
      </w:r>
      <w:r w:rsidR="00586FC8" w:rsidRPr="007F7EBF">
        <w:rPr>
          <w:sz w:val="22"/>
          <w:szCs w:val="22"/>
        </w:rPr>
        <w:t xml:space="preserve">anche </w:t>
      </w:r>
      <w:r w:rsidRPr="007F7EBF">
        <w:rPr>
          <w:sz w:val="22"/>
          <w:szCs w:val="22"/>
        </w:rPr>
        <w:t>quotati sui mercati</w:t>
      </w:r>
      <w:r w:rsidR="00186C26" w:rsidRPr="007F7EBF">
        <w:rPr>
          <w:sz w:val="22"/>
          <w:szCs w:val="22"/>
        </w:rPr>
        <w:t xml:space="preserve"> </w:t>
      </w:r>
      <w:r w:rsidRPr="007F7EBF">
        <w:rPr>
          <w:sz w:val="22"/>
          <w:szCs w:val="22"/>
        </w:rPr>
        <w:t>finanziari</w:t>
      </w:r>
      <w:r w:rsidR="00586FC8" w:rsidRPr="007F7EBF">
        <w:rPr>
          <w:sz w:val="22"/>
          <w:szCs w:val="22"/>
        </w:rPr>
        <w:t xml:space="preserve">, come pure </w:t>
      </w:r>
      <w:r w:rsidR="002E2447" w:rsidRPr="007F7EBF">
        <w:rPr>
          <w:sz w:val="22"/>
          <w:szCs w:val="22"/>
        </w:rPr>
        <w:t>dividendi</w:t>
      </w:r>
      <w:r w:rsidR="00B2048D">
        <w:rPr>
          <w:sz w:val="22"/>
          <w:szCs w:val="22"/>
        </w:rPr>
        <w:t>(</w:t>
      </w:r>
      <w:r w:rsidR="00D24FB7" w:rsidRPr="007F7EBF">
        <w:rPr>
          <w:rStyle w:val="Rimandonotaapidipagina"/>
          <w:sz w:val="22"/>
          <w:szCs w:val="22"/>
        </w:rPr>
        <w:footnoteReference w:id="1298"/>
      </w:r>
      <w:r w:rsidR="00B2048D">
        <w:rPr>
          <w:sz w:val="22"/>
          <w:szCs w:val="22"/>
        </w:rPr>
        <w:t>)</w:t>
      </w:r>
      <w:r w:rsidR="002E2447" w:rsidRPr="007F7EBF">
        <w:rPr>
          <w:sz w:val="22"/>
          <w:szCs w:val="22"/>
        </w:rPr>
        <w:t>.</w:t>
      </w:r>
      <w:r w:rsidR="00E50F42" w:rsidRPr="007F7EBF">
        <w:rPr>
          <w:sz w:val="22"/>
          <w:szCs w:val="22"/>
        </w:rPr>
        <w:t xml:space="preserve"> </w:t>
      </w:r>
    </w:p>
    <w:p w14:paraId="562BF6E6" w14:textId="71095C1E" w:rsidR="00CB596A" w:rsidRPr="007F7EBF" w:rsidRDefault="00E50F42" w:rsidP="00CB596A">
      <w:pPr>
        <w:autoSpaceDE w:val="0"/>
        <w:autoSpaceDN w:val="0"/>
        <w:adjustRightInd w:val="0"/>
        <w:rPr>
          <w:sz w:val="22"/>
          <w:szCs w:val="22"/>
        </w:rPr>
      </w:pPr>
      <w:r w:rsidRPr="007F7EBF">
        <w:rPr>
          <w:sz w:val="22"/>
          <w:szCs w:val="22"/>
        </w:rPr>
        <w:t xml:space="preserve">L'imposizione sostitutiva </w:t>
      </w:r>
      <w:r w:rsidR="007E3F57" w:rsidRPr="007F7EBF">
        <w:rPr>
          <w:sz w:val="22"/>
          <w:szCs w:val="22"/>
        </w:rPr>
        <w:t xml:space="preserve">attraverso gli intermediari finanziari, di cui diremo subito, </w:t>
      </w:r>
      <w:r w:rsidRPr="007F7EBF">
        <w:rPr>
          <w:sz w:val="22"/>
          <w:szCs w:val="22"/>
        </w:rPr>
        <w:t xml:space="preserve">riguarda </w:t>
      </w:r>
      <w:r w:rsidR="007E3F57" w:rsidRPr="007F7EBF">
        <w:rPr>
          <w:sz w:val="22"/>
          <w:szCs w:val="22"/>
        </w:rPr>
        <w:t>le</w:t>
      </w:r>
      <w:r w:rsidRPr="007F7EBF">
        <w:rPr>
          <w:sz w:val="22"/>
          <w:szCs w:val="22"/>
        </w:rPr>
        <w:t xml:space="preserve"> plusvalenze da acquisto e rivendita di azioni, obbligazioni etc., </w:t>
      </w:r>
      <w:r w:rsidR="007E3F57" w:rsidRPr="007F7EBF">
        <w:rPr>
          <w:sz w:val="22"/>
          <w:szCs w:val="22"/>
        </w:rPr>
        <w:t>appartenenti alla categoria reddituale dei "</w:t>
      </w:r>
      <w:r w:rsidRPr="007F7EBF">
        <w:rPr>
          <w:sz w:val="22"/>
          <w:szCs w:val="22"/>
        </w:rPr>
        <w:t>redditi diversi"</w:t>
      </w:r>
      <w:r w:rsidR="00B2048D">
        <w:rPr>
          <w:sz w:val="22"/>
          <w:szCs w:val="22"/>
        </w:rPr>
        <w:t>(</w:t>
      </w:r>
      <w:r w:rsidRPr="007F7EBF">
        <w:rPr>
          <w:rStyle w:val="Rimandonotaapidipagina"/>
          <w:sz w:val="22"/>
          <w:szCs w:val="22"/>
        </w:rPr>
        <w:footnoteReference w:id="1299"/>
      </w:r>
      <w:r w:rsidR="00B2048D">
        <w:rPr>
          <w:sz w:val="22"/>
          <w:szCs w:val="22"/>
        </w:rPr>
        <w:t>)</w:t>
      </w:r>
      <w:r w:rsidRPr="007F7EBF">
        <w:rPr>
          <w:sz w:val="22"/>
          <w:szCs w:val="22"/>
        </w:rPr>
        <w:t xml:space="preserve">.  </w:t>
      </w:r>
      <w:r w:rsidR="00CD180F">
        <w:rPr>
          <w:sz w:val="22"/>
          <w:szCs w:val="22"/>
        </w:rPr>
        <w:t xml:space="preserve">Per i redditi finanziari di imprese vale il principio di onnicomprensività di cui al par.7.6, e di attrazione di questi redditi a quello d’impresa. </w:t>
      </w:r>
    </w:p>
    <w:p w14:paraId="6FABAAE5" w14:textId="5F73B4DB" w:rsidR="00CB596A" w:rsidRPr="007F7EBF" w:rsidRDefault="00CB596A" w:rsidP="00CB596A">
      <w:pPr>
        <w:pStyle w:val="tit23"/>
        <w:ind w:left="6464" w:right="-1361" w:firstLine="0"/>
        <w:jc w:val="left"/>
        <w:rPr>
          <w:bCs/>
          <w:i/>
          <w:iCs/>
          <w:color w:val="0000FF"/>
          <w:lang w:val="it-IT"/>
        </w:rPr>
      </w:pPr>
      <w:r w:rsidRPr="007F7EBF">
        <w:rPr>
          <w:bCs/>
          <w:i/>
          <w:iCs/>
          <w:color w:val="0000FF"/>
          <w:lang w:val="it-IT"/>
        </w:rPr>
        <w:t>imposta sostitutiva tramite banche</w:t>
      </w:r>
      <w:r w:rsidR="00124C55">
        <w:rPr>
          <w:bCs/>
          <w:i/>
          <w:iCs/>
          <w:color w:val="0000FF"/>
          <w:lang w:val="it-IT"/>
        </w:rPr>
        <w:t xml:space="preserve"> e territorialità</w:t>
      </w:r>
    </w:p>
    <w:p w14:paraId="07259448" w14:textId="3F02BA95" w:rsidR="00CD180F" w:rsidRPr="007F7EBF" w:rsidRDefault="00CD180F" w:rsidP="00CD180F">
      <w:pPr>
        <w:autoSpaceDE w:val="0"/>
        <w:autoSpaceDN w:val="0"/>
        <w:adjustRightInd w:val="0"/>
        <w:rPr>
          <w:sz w:val="22"/>
          <w:szCs w:val="22"/>
        </w:rPr>
      </w:pPr>
      <w:r>
        <w:rPr>
          <w:bCs/>
          <w:sz w:val="22"/>
          <w:szCs w:val="22"/>
        </w:rPr>
        <w:t>L’</w:t>
      </w:r>
      <w:r w:rsidR="006342C5" w:rsidRPr="007F7EBF">
        <w:rPr>
          <w:bCs/>
          <w:sz w:val="22"/>
          <w:szCs w:val="22"/>
        </w:rPr>
        <w:t>impos</w:t>
      </w:r>
      <w:r w:rsidR="00586FC8" w:rsidRPr="007F7EBF">
        <w:rPr>
          <w:bCs/>
          <w:sz w:val="22"/>
          <w:szCs w:val="22"/>
        </w:rPr>
        <w:t xml:space="preserve">izione </w:t>
      </w:r>
      <w:r w:rsidR="006342C5" w:rsidRPr="007F7EBF">
        <w:rPr>
          <w:bCs/>
          <w:sz w:val="22"/>
          <w:szCs w:val="22"/>
        </w:rPr>
        <w:t>sostitutiva</w:t>
      </w:r>
      <w:r>
        <w:rPr>
          <w:bCs/>
          <w:sz w:val="22"/>
          <w:szCs w:val="22"/>
        </w:rPr>
        <w:t xml:space="preserve"> sui redditi finanziari avviene</w:t>
      </w:r>
      <w:r w:rsidR="006342C5" w:rsidRPr="007F7EBF">
        <w:rPr>
          <w:sz w:val="22"/>
          <w:szCs w:val="22"/>
        </w:rPr>
        <w:t xml:space="preserve"> </w:t>
      </w:r>
      <w:r w:rsidR="00586FC8" w:rsidRPr="007F7EBF">
        <w:rPr>
          <w:sz w:val="22"/>
          <w:szCs w:val="22"/>
        </w:rPr>
        <w:t xml:space="preserve">in forma di ritenuta definitiva a titolo di imposta (come avevamo anticipato al par.3.6, dedicato appunto alle ritenute) ovvero di autonoma imposta sostitutiva dagli intermediari finanziari (banche e simili); è un caso </w:t>
      </w:r>
      <w:r>
        <w:rPr>
          <w:sz w:val="22"/>
          <w:szCs w:val="22"/>
        </w:rPr>
        <w:t>plateale</w:t>
      </w:r>
      <w:r w:rsidR="00586FC8" w:rsidRPr="007F7EBF">
        <w:rPr>
          <w:sz w:val="22"/>
          <w:szCs w:val="22"/>
        </w:rPr>
        <w:t xml:space="preserve"> di </w:t>
      </w:r>
      <w:r w:rsidR="006342C5" w:rsidRPr="007F7EBF">
        <w:rPr>
          <w:sz w:val="22"/>
          <w:szCs w:val="22"/>
        </w:rPr>
        <w:t>“</w:t>
      </w:r>
      <w:r w:rsidR="00586FC8" w:rsidRPr="007F7EBF">
        <w:rPr>
          <w:sz w:val="22"/>
          <w:szCs w:val="22"/>
        </w:rPr>
        <w:t xml:space="preserve">tassazione </w:t>
      </w:r>
      <w:r w:rsidR="006342C5" w:rsidRPr="007F7EBF">
        <w:rPr>
          <w:sz w:val="22"/>
          <w:szCs w:val="22"/>
        </w:rPr>
        <w:t>attraverso le aziende”</w:t>
      </w:r>
      <w:r w:rsidR="00B2048D">
        <w:rPr>
          <w:sz w:val="22"/>
          <w:szCs w:val="22"/>
        </w:rPr>
        <w:t xml:space="preserve">, secondo un </w:t>
      </w:r>
      <w:r w:rsidR="006342C5" w:rsidRPr="007F7EBF">
        <w:rPr>
          <w:sz w:val="22"/>
          <w:szCs w:val="22"/>
        </w:rPr>
        <w:t>filo conduttore di</w:t>
      </w:r>
      <w:r w:rsidR="00186C26" w:rsidRPr="007F7EBF">
        <w:rPr>
          <w:sz w:val="22"/>
          <w:szCs w:val="22"/>
        </w:rPr>
        <w:t xml:space="preserve"> </w:t>
      </w:r>
      <w:r w:rsidR="00586FC8" w:rsidRPr="007F7EBF">
        <w:rPr>
          <w:sz w:val="22"/>
          <w:szCs w:val="22"/>
        </w:rPr>
        <w:t>questo libro</w:t>
      </w:r>
      <w:r w:rsidR="00B2048D">
        <w:rPr>
          <w:sz w:val="22"/>
          <w:szCs w:val="22"/>
        </w:rPr>
        <w:t xml:space="preserve">; </w:t>
      </w:r>
      <w:r w:rsidR="002E2447" w:rsidRPr="007F7EBF">
        <w:rPr>
          <w:sz w:val="22"/>
          <w:szCs w:val="22"/>
        </w:rPr>
        <w:t>questi proventi</w:t>
      </w:r>
      <w:r>
        <w:rPr>
          <w:sz w:val="22"/>
          <w:szCs w:val="22"/>
        </w:rPr>
        <w:t xml:space="preserve"> </w:t>
      </w:r>
      <w:r w:rsidR="002E2447" w:rsidRPr="007F7EBF">
        <w:rPr>
          <w:sz w:val="22"/>
          <w:szCs w:val="22"/>
        </w:rPr>
        <w:t xml:space="preserve">non sarebbero </w:t>
      </w:r>
      <w:r w:rsidR="00B2048D">
        <w:rPr>
          <w:sz w:val="22"/>
          <w:szCs w:val="22"/>
        </w:rPr>
        <w:t xml:space="preserve">infatti </w:t>
      </w:r>
      <w:r w:rsidR="002E2447" w:rsidRPr="007F7EBF">
        <w:rPr>
          <w:sz w:val="22"/>
          <w:szCs w:val="22"/>
        </w:rPr>
        <w:t xml:space="preserve">gestibili in massa nella base imponibile ordinaria dell’imposta personale (Irpef). In genere, infatti, il risparmiatore non può investire da solo, ma ha necessità di rivolgersi ad un intermediario qualificato che </w:t>
      </w:r>
      <w:r w:rsidR="002E2447" w:rsidRPr="007F7EBF">
        <w:rPr>
          <w:bCs/>
          <w:sz w:val="22"/>
          <w:szCs w:val="22"/>
        </w:rPr>
        <w:t xml:space="preserve">svolge </w:t>
      </w:r>
      <w:r w:rsidR="002E2447" w:rsidRPr="007F7EBF">
        <w:rPr>
          <w:sz w:val="22"/>
          <w:szCs w:val="22"/>
        </w:rPr>
        <w:t>il</w:t>
      </w:r>
      <w:r w:rsidR="007E3F57" w:rsidRPr="007F7EBF">
        <w:rPr>
          <w:sz w:val="22"/>
          <w:szCs w:val="22"/>
        </w:rPr>
        <w:t xml:space="preserve"> </w:t>
      </w:r>
      <w:r w:rsidR="002E2447" w:rsidRPr="007F7EBF">
        <w:rPr>
          <w:sz w:val="22"/>
          <w:szCs w:val="22"/>
        </w:rPr>
        <w:t>solito compito di “</w:t>
      </w:r>
      <w:r w:rsidR="002E2447" w:rsidRPr="007F7EBF">
        <w:rPr>
          <w:bCs/>
          <w:sz w:val="22"/>
          <w:szCs w:val="22"/>
        </w:rPr>
        <w:t>ausiliario del fisc</w:t>
      </w:r>
      <w:r w:rsidR="002E2447" w:rsidRPr="007F7EBF">
        <w:rPr>
          <w:sz w:val="22"/>
          <w:szCs w:val="22"/>
        </w:rPr>
        <w:t>o</w:t>
      </w:r>
      <w:r w:rsidR="00586FC8" w:rsidRPr="007F7EBF">
        <w:rPr>
          <w:sz w:val="22"/>
          <w:szCs w:val="22"/>
        </w:rPr>
        <w:t>"</w:t>
      </w:r>
      <w:r>
        <w:rPr>
          <w:sz w:val="22"/>
          <w:szCs w:val="22"/>
        </w:rPr>
        <w:t>; nei casi limite di sua assenza, o d</w:t>
      </w:r>
      <w:r w:rsidRPr="007F7EBF">
        <w:rPr>
          <w:sz w:val="22"/>
          <w:szCs w:val="22"/>
        </w:rPr>
        <w:t xml:space="preserve">i utilizzo </w:t>
      </w:r>
      <w:r>
        <w:rPr>
          <w:sz w:val="22"/>
          <w:szCs w:val="22"/>
        </w:rPr>
        <w:t>di</w:t>
      </w:r>
      <w:r w:rsidRPr="007F7EBF">
        <w:rPr>
          <w:sz w:val="22"/>
          <w:szCs w:val="22"/>
        </w:rPr>
        <w:t xml:space="preserve"> </w:t>
      </w:r>
      <w:r w:rsidRPr="007F7EBF">
        <w:rPr>
          <w:sz w:val="22"/>
          <w:szCs w:val="22"/>
        </w:rPr>
        <w:lastRenderedPageBreak/>
        <w:t xml:space="preserve">intermediari esteri </w:t>
      </w:r>
      <w:r>
        <w:rPr>
          <w:sz w:val="22"/>
          <w:szCs w:val="22"/>
        </w:rPr>
        <w:t xml:space="preserve">o </w:t>
      </w:r>
      <w:r w:rsidRPr="007F7EBF">
        <w:rPr>
          <w:sz w:val="22"/>
          <w:szCs w:val="22"/>
        </w:rPr>
        <w:t>"online"</w:t>
      </w:r>
      <w:r w:rsidRPr="007F7EBF">
        <w:rPr>
          <w:rStyle w:val="Rimandonotaapidipagina"/>
          <w:sz w:val="22"/>
          <w:szCs w:val="22"/>
        </w:rPr>
        <w:footnoteReference w:id="1300"/>
      </w:r>
      <w:r w:rsidRPr="007F7EBF">
        <w:rPr>
          <w:sz w:val="22"/>
          <w:szCs w:val="22"/>
        </w:rPr>
        <w:t xml:space="preserve"> è prevista l’autodeterminazione dell’imposta sostitutiva nella dichiarazione del contribuente.</w:t>
      </w:r>
    </w:p>
    <w:p w14:paraId="27C80F20" w14:textId="658EC938" w:rsidR="002E2447" w:rsidRPr="007F7EBF" w:rsidRDefault="00DC43A6" w:rsidP="00586FC8">
      <w:pPr>
        <w:autoSpaceDE w:val="0"/>
        <w:autoSpaceDN w:val="0"/>
        <w:adjustRightInd w:val="0"/>
        <w:rPr>
          <w:sz w:val="22"/>
          <w:szCs w:val="22"/>
        </w:rPr>
      </w:pPr>
      <w:r w:rsidRPr="007F7EBF">
        <w:rPr>
          <w:sz w:val="22"/>
          <w:szCs w:val="22"/>
        </w:rPr>
        <w:t xml:space="preserve">La banca o la società finanziaria è insomma un mandatario del risparmiatore, e ne amministra gli investimenti: trattandosi di una organizzazione amministrativa complessa e “vigilata”, </w:t>
      </w:r>
      <w:r w:rsidRPr="007F7EBF">
        <w:rPr>
          <w:bCs/>
          <w:sz w:val="22"/>
          <w:szCs w:val="22"/>
        </w:rPr>
        <w:t xml:space="preserve">il fisco si inserisce facilmente in questo rapporto </w:t>
      </w:r>
      <w:r w:rsidRPr="007F7EBF">
        <w:rPr>
          <w:sz w:val="22"/>
          <w:szCs w:val="22"/>
        </w:rPr>
        <w:t xml:space="preserve">e impone all’intermediario </w:t>
      </w:r>
      <w:r w:rsidR="00586FC8" w:rsidRPr="007F7EBF">
        <w:rPr>
          <w:sz w:val="22"/>
          <w:szCs w:val="22"/>
        </w:rPr>
        <w:t xml:space="preserve">di applicare </w:t>
      </w:r>
      <w:r w:rsidRPr="007F7EBF">
        <w:rPr>
          <w:sz w:val="22"/>
          <w:szCs w:val="22"/>
        </w:rPr>
        <w:t xml:space="preserve">le imposte sostitutive in esame. </w:t>
      </w:r>
    </w:p>
    <w:p w14:paraId="2BF08426" w14:textId="350105C0" w:rsidR="00EC5BD4" w:rsidRPr="007F7EBF" w:rsidRDefault="00DC43A6" w:rsidP="00CD180F">
      <w:pPr>
        <w:autoSpaceDE w:val="0"/>
        <w:autoSpaceDN w:val="0"/>
        <w:adjustRightInd w:val="0"/>
        <w:rPr>
          <w:bCs/>
          <w:i/>
          <w:iCs/>
          <w:color w:val="0000FF"/>
        </w:rPr>
      </w:pPr>
      <w:r w:rsidRPr="007F7EBF">
        <w:rPr>
          <w:sz w:val="22"/>
          <w:szCs w:val="22"/>
        </w:rPr>
        <w:t xml:space="preserve">Mentre i redditi di capitale “da interessi” sono sempre per definizione positivi, </w:t>
      </w:r>
      <w:r w:rsidR="00CD180F">
        <w:rPr>
          <w:sz w:val="22"/>
          <w:szCs w:val="22"/>
        </w:rPr>
        <w:t>al</w:t>
      </w:r>
      <w:r w:rsidRPr="007F7EBF">
        <w:rPr>
          <w:sz w:val="22"/>
          <w:szCs w:val="22"/>
        </w:rPr>
        <w:t xml:space="preserve">le </w:t>
      </w:r>
      <w:r w:rsidR="00CB596A" w:rsidRPr="007F7EBF">
        <w:rPr>
          <w:sz w:val="22"/>
          <w:szCs w:val="22"/>
        </w:rPr>
        <w:t>"plusvalenze finanziarie" indicate sopra</w:t>
      </w:r>
      <w:r w:rsidR="00CD180F">
        <w:rPr>
          <w:sz w:val="22"/>
          <w:szCs w:val="22"/>
        </w:rPr>
        <w:t xml:space="preserve"> possono accompagnarsi “</w:t>
      </w:r>
      <w:r w:rsidR="00CB596A" w:rsidRPr="007F7EBF">
        <w:rPr>
          <w:sz w:val="22"/>
          <w:szCs w:val="22"/>
        </w:rPr>
        <w:t xml:space="preserve">minusvalenze </w:t>
      </w:r>
      <w:r w:rsidR="00CD180F">
        <w:rPr>
          <w:sz w:val="22"/>
          <w:szCs w:val="22"/>
        </w:rPr>
        <w:t>deducibili”, cioè riportabili in avanti a scomputo delle successive plusvalenze</w:t>
      </w:r>
      <w:r w:rsidR="00124C55">
        <w:rPr>
          <w:sz w:val="22"/>
          <w:szCs w:val="22"/>
        </w:rPr>
        <w:t>, realizzate presso lo stesso intermediario</w:t>
      </w:r>
      <w:r w:rsidR="00CB596A" w:rsidRPr="007F7EBF">
        <w:rPr>
          <w:sz w:val="22"/>
          <w:szCs w:val="22"/>
        </w:rPr>
        <w:t>.</w:t>
      </w:r>
      <w:r w:rsidR="00795344">
        <w:rPr>
          <w:sz w:val="22"/>
          <w:szCs w:val="22"/>
        </w:rPr>
        <w:t xml:space="preserve"> Non sono invece deducibili eventuali interessi passivi o altri costi di gestione, ad esempio consulenze(</w:t>
      </w:r>
      <w:r w:rsidR="00795344">
        <w:rPr>
          <w:rStyle w:val="Rimandonotaapidipagina"/>
          <w:sz w:val="22"/>
          <w:szCs w:val="22"/>
        </w:rPr>
        <w:footnoteReference w:id="1301"/>
      </w:r>
      <w:r w:rsidR="00795344">
        <w:rPr>
          <w:sz w:val="22"/>
          <w:szCs w:val="22"/>
        </w:rPr>
        <w:t xml:space="preserve">). </w:t>
      </w:r>
    </w:p>
    <w:p w14:paraId="3E627387" w14:textId="77777777" w:rsidR="00CB596A" w:rsidRPr="007F7EBF" w:rsidRDefault="00CB596A" w:rsidP="00CB596A">
      <w:pPr>
        <w:pStyle w:val="tit23"/>
        <w:ind w:left="6464" w:right="-1361" w:firstLine="0"/>
        <w:jc w:val="left"/>
        <w:rPr>
          <w:bCs/>
          <w:i/>
          <w:iCs/>
          <w:color w:val="0000FF"/>
          <w:lang w:val="it-IT"/>
        </w:rPr>
      </w:pPr>
      <w:r w:rsidRPr="007F7EBF">
        <w:rPr>
          <w:bCs/>
          <w:i/>
          <w:iCs/>
          <w:color w:val="0000FF"/>
          <w:lang w:val="it-IT"/>
        </w:rPr>
        <w:t>Rapporto delle aliquote con quelle ordinarie</w:t>
      </w:r>
    </w:p>
    <w:p w14:paraId="61F6DE94" w14:textId="77777777" w:rsidR="006342C5" w:rsidRPr="007F7EBF" w:rsidRDefault="006342C5" w:rsidP="006342C5">
      <w:pPr>
        <w:autoSpaceDE w:val="0"/>
        <w:autoSpaceDN w:val="0"/>
        <w:adjustRightInd w:val="0"/>
        <w:rPr>
          <w:sz w:val="22"/>
          <w:szCs w:val="22"/>
        </w:rPr>
      </w:pPr>
      <w:r w:rsidRPr="007F7EBF">
        <w:rPr>
          <w:sz w:val="22"/>
          <w:szCs w:val="22"/>
        </w:rPr>
        <w:t>Le aliquote di queste imposte</w:t>
      </w:r>
      <w:r w:rsidR="00607682" w:rsidRPr="007F7EBF">
        <w:rPr>
          <w:sz w:val="22"/>
          <w:szCs w:val="22"/>
        </w:rPr>
        <w:t xml:space="preserve"> furono originariamente molto basse, fissate per anni al 12,5 percento. </w:t>
      </w:r>
      <w:r w:rsidRPr="007F7EBF">
        <w:rPr>
          <w:sz w:val="22"/>
          <w:szCs w:val="22"/>
        </w:rPr>
        <w:t xml:space="preserve"> Questa originaria </w:t>
      </w:r>
      <w:r w:rsidRPr="007F7EBF">
        <w:rPr>
          <w:bCs/>
          <w:sz w:val="22"/>
          <w:szCs w:val="22"/>
        </w:rPr>
        <w:t xml:space="preserve">mitezza dell’aliquota </w:t>
      </w:r>
      <w:r w:rsidRPr="007F7EBF">
        <w:rPr>
          <w:sz w:val="22"/>
          <w:szCs w:val="22"/>
        </w:rPr>
        <w:t>non si</w:t>
      </w:r>
      <w:r w:rsidR="00186C26" w:rsidRPr="007F7EBF">
        <w:rPr>
          <w:sz w:val="22"/>
          <w:szCs w:val="22"/>
        </w:rPr>
        <w:t xml:space="preserve"> </w:t>
      </w:r>
      <w:r w:rsidRPr="007F7EBF">
        <w:rPr>
          <w:sz w:val="22"/>
          <w:szCs w:val="22"/>
        </w:rPr>
        <w:t>spiega né con un “favor” verso i redditi finanziari rispetto ai redditi da lavoro, né con</w:t>
      </w:r>
      <w:r w:rsidR="00607682" w:rsidRPr="007F7EBF">
        <w:rPr>
          <w:sz w:val="22"/>
          <w:szCs w:val="22"/>
        </w:rPr>
        <w:t xml:space="preserve"> </w:t>
      </w:r>
      <w:r w:rsidRPr="007F7EBF">
        <w:rPr>
          <w:sz w:val="22"/>
          <w:szCs w:val="22"/>
        </w:rPr>
        <w:t>la preoccupazione di prevenire le tentazioni di evadere “saltando gli intermediari” e</w:t>
      </w:r>
      <w:r w:rsidR="00607682" w:rsidRPr="007F7EBF">
        <w:rPr>
          <w:sz w:val="22"/>
          <w:szCs w:val="22"/>
        </w:rPr>
        <w:t xml:space="preserve"> </w:t>
      </w:r>
      <w:r w:rsidRPr="007F7EBF">
        <w:rPr>
          <w:sz w:val="22"/>
          <w:szCs w:val="22"/>
        </w:rPr>
        <w:t>rivolgendosi a intermediari non residenti, grazie alla mobilità dei capitali finanziari.</w:t>
      </w:r>
    </w:p>
    <w:p w14:paraId="56C5BA1E" w14:textId="50622AEB" w:rsidR="00664EFE" w:rsidRPr="007F7EBF" w:rsidRDefault="006342C5" w:rsidP="00664EFE">
      <w:pPr>
        <w:autoSpaceDE w:val="0"/>
        <w:autoSpaceDN w:val="0"/>
        <w:adjustRightInd w:val="0"/>
        <w:rPr>
          <w:sz w:val="22"/>
          <w:szCs w:val="22"/>
        </w:rPr>
      </w:pPr>
      <w:r w:rsidRPr="007F7EBF">
        <w:rPr>
          <w:sz w:val="22"/>
          <w:szCs w:val="22"/>
        </w:rPr>
        <w:t xml:space="preserve">La mitezza delle aliquote </w:t>
      </w:r>
      <w:r w:rsidR="00607682" w:rsidRPr="007F7EBF">
        <w:rPr>
          <w:sz w:val="22"/>
          <w:szCs w:val="22"/>
        </w:rPr>
        <w:t xml:space="preserve">era un modo impreciso per tener conto </w:t>
      </w:r>
      <w:r w:rsidR="00586FC8" w:rsidRPr="007F7EBF">
        <w:rPr>
          <w:sz w:val="22"/>
          <w:szCs w:val="22"/>
        </w:rPr>
        <w:t>dell'inflazione, cui sono esposti gli "investimenti  bancari ed obbligazionari</w:t>
      </w:r>
      <w:r w:rsidR="00D76BF6">
        <w:rPr>
          <w:sz w:val="22"/>
          <w:szCs w:val="22"/>
        </w:rPr>
        <w:t>”</w:t>
      </w:r>
      <w:r w:rsidR="00586FC8" w:rsidRPr="007F7EBF">
        <w:rPr>
          <w:sz w:val="22"/>
          <w:szCs w:val="22"/>
        </w:rPr>
        <w:t xml:space="preserve">; essendo troppo complesso tenere conto </w:t>
      </w:r>
      <w:proofErr w:type="spellStart"/>
      <w:r w:rsidR="00586FC8" w:rsidRPr="007F7EBF">
        <w:rPr>
          <w:sz w:val="22"/>
          <w:szCs w:val="22"/>
        </w:rPr>
        <w:t>tributariamente</w:t>
      </w:r>
      <w:proofErr w:type="spellEnd"/>
      <w:r w:rsidR="00586FC8" w:rsidRPr="007F7EBF">
        <w:rPr>
          <w:sz w:val="22"/>
          <w:szCs w:val="22"/>
        </w:rPr>
        <w:t xml:space="preserve"> dell'inflazione in</w:t>
      </w:r>
      <w:r w:rsidR="003A1CDD" w:rsidRPr="007F7EBF">
        <w:rPr>
          <w:sz w:val="22"/>
          <w:szCs w:val="22"/>
        </w:rPr>
        <w:t xml:space="preserve"> modo diretto, come visto ai parr.1.8 e</w:t>
      </w:r>
      <w:r w:rsidR="00586FC8" w:rsidRPr="007F7EBF">
        <w:rPr>
          <w:sz w:val="22"/>
          <w:szCs w:val="22"/>
        </w:rPr>
        <w:t>.7.13, si è cercato di compensarlo forfettaria</w:t>
      </w:r>
      <w:r w:rsidR="003A1CDD" w:rsidRPr="007F7EBF">
        <w:rPr>
          <w:sz w:val="22"/>
          <w:szCs w:val="22"/>
        </w:rPr>
        <w:t xml:space="preserve">mente con una aliquota modesta. Per </w:t>
      </w:r>
      <w:r w:rsidR="00607682" w:rsidRPr="007F7EBF">
        <w:rPr>
          <w:sz w:val="22"/>
          <w:szCs w:val="22"/>
        </w:rPr>
        <w:t>arricchi</w:t>
      </w:r>
      <w:r w:rsidR="003A1CDD" w:rsidRPr="007F7EBF">
        <w:rPr>
          <w:sz w:val="22"/>
          <w:szCs w:val="22"/>
        </w:rPr>
        <w:t>rs</w:t>
      </w:r>
      <w:r w:rsidR="00607682" w:rsidRPr="007F7EBF">
        <w:rPr>
          <w:sz w:val="22"/>
          <w:szCs w:val="22"/>
        </w:rPr>
        <w:t xml:space="preserve">i con gli investimenti </w:t>
      </w:r>
      <w:r w:rsidR="003A1CDD" w:rsidRPr="007F7EBF">
        <w:rPr>
          <w:sz w:val="22"/>
          <w:szCs w:val="22"/>
        </w:rPr>
        <w:t xml:space="preserve">in esame bisognerebbe </w:t>
      </w:r>
      <w:r w:rsidR="00B82A74" w:rsidRPr="007F7EBF">
        <w:rPr>
          <w:sz w:val="22"/>
          <w:szCs w:val="22"/>
        </w:rPr>
        <w:t>rischiare molto</w:t>
      </w:r>
      <w:r w:rsidR="00607682" w:rsidRPr="007F7EBF">
        <w:rPr>
          <w:sz w:val="22"/>
          <w:szCs w:val="22"/>
        </w:rPr>
        <w:t xml:space="preserve">, cavalcando al meglio le onde dei ribassi e dei rialzi </w:t>
      </w:r>
      <w:r w:rsidR="00B82A74" w:rsidRPr="007F7EBF">
        <w:rPr>
          <w:sz w:val="22"/>
          <w:szCs w:val="22"/>
        </w:rPr>
        <w:t>, mentre l</w:t>
      </w:r>
      <w:r w:rsidR="00607682" w:rsidRPr="007F7EBF">
        <w:rPr>
          <w:sz w:val="22"/>
          <w:szCs w:val="22"/>
        </w:rPr>
        <w:t>a m</w:t>
      </w:r>
      <w:r w:rsidR="00B82A74" w:rsidRPr="007F7EBF">
        <w:rPr>
          <w:sz w:val="22"/>
          <w:szCs w:val="22"/>
        </w:rPr>
        <w:t>assa de</w:t>
      </w:r>
      <w:r w:rsidR="00607682" w:rsidRPr="007F7EBF">
        <w:rPr>
          <w:sz w:val="22"/>
          <w:szCs w:val="22"/>
        </w:rPr>
        <w:t xml:space="preserve">i </w:t>
      </w:r>
      <w:r w:rsidR="00B82A74" w:rsidRPr="007F7EBF">
        <w:rPr>
          <w:sz w:val="22"/>
          <w:szCs w:val="22"/>
        </w:rPr>
        <w:t>risparmiatori</w:t>
      </w:r>
      <w:r w:rsidR="00DC43A6" w:rsidRPr="007F7EBF">
        <w:rPr>
          <w:sz w:val="22"/>
          <w:szCs w:val="22"/>
        </w:rPr>
        <w:t xml:space="preserve"> </w:t>
      </w:r>
      <w:r w:rsidR="00B82A74" w:rsidRPr="007F7EBF">
        <w:rPr>
          <w:sz w:val="22"/>
          <w:szCs w:val="22"/>
        </w:rPr>
        <w:t xml:space="preserve">cerca prima di tutto di salvaguardare il </w:t>
      </w:r>
      <w:r w:rsidRPr="007F7EBF">
        <w:rPr>
          <w:sz w:val="22"/>
          <w:szCs w:val="22"/>
        </w:rPr>
        <w:t>capitale</w:t>
      </w:r>
      <w:r w:rsidR="004615CD" w:rsidRPr="007F7EBF">
        <w:rPr>
          <w:sz w:val="22"/>
          <w:szCs w:val="22"/>
        </w:rPr>
        <w:t xml:space="preserve"> </w:t>
      </w:r>
      <w:r w:rsidRPr="007F7EBF">
        <w:rPr>
          <w:sz w:val="22"/>
          <w:szCs w:val="22"/>
        </w:rPr>
        <w:t>investito</w:t>
      </w:r>
      <w:r w:rsidR="003A1CDD" w:rsidRPr="007F7EBF">
        <w:rPr>
          <w:sz w:val="22"/>
          <w:szCs w:val="22"/>
        </w:rPr>
        <w:t xml:space="preserve">, ed è esposta all'inflazione. Non a caso </w:t>
      </w:r>
      <w:r w:rsidR="00ED68B0" w:rsidRPr="007F7EBF">
        <w:rPr>
          <w:sz w:val="22"/>
          <w:szCs w:val="22"/>
        </w:rPr>
        <w:t>l'iniziale aliquota del 12,5 percento è stata incrementata</w:t>
      </w:r>
      <w:r w:rsidR="003F080B" w:rsidRPr="007F7EBF">
        <w:rPr>
          <w:sz w:val="22"/>
          <w:szCs w:val="22"/>
        </w:rPr>
        <w:t xml:space="preserve"> quando l'inflazione è diminuita</w:t>
      </w:r>
      <w:r w:rsidR="00ED68B0" w:rsidRPr="007F7EBF">
        <w:rPr>
          <w:sz w:val="22"/>
          <w:szCs w:val="22"/>
        </w:rPr>
        <w:t xml:space="preserve">, </w:t>
      </w:r>
      <w:r w:rsidR="003F080B" w:rsidRPr="007F7EBF">
        <w:rPr>
          <w:sz w:val="22"/>
          <w:szCs w:val="22"/>
        </w:rPr>
        <w:t xml:space="preserve">venendo portata </w:t>
      </w:r>
      <w:r w:rsidR="00607682" w:rsidRPr="007F7EBF">
        <w:rPr>
          <w:sz w:val="22"/>
          <w:szCs w:val="22"/>
        </w:rPr>
        <w:t xml:space="preserve">al 20 percento nel 2011, e poi ulteriormente </w:t>
      </w:r>
      <w:r w:rsidR="00ED68B0" w:rsidRPr="007F7EBF">
        <w:rPr>
          <w:sz w:val="22"/>
          <w:szCs w:val="22"/>
        </w:rPr>
        <w:t>a</w:t>
      </w:r>
      <w:r w:rsidR="00607682" w:rsidRPr="007F7EBF">
        <w:rPr>
          <w:sz w:val="22"/>
          <w:szCs w:val="22"/>
        </w:rPr>
        <w:t>l 26 percento a</w:t>
      </w:r>
      <w:r w:rsidR="00ED68B0" w:rsidRPr="007F7EBF">
        <w:rPr>
          <w:sz w:val="22"/>
          <w:szCs w:val="22"/>
        </w:rPr>
        <w:t xml:space="preserve"> </w:t>
      </w:r>
      <w:r w:rsidR="00ED68B0" w:rsidRPr="007F7EBF">
        <w:rPr>
          <w:sz w:val="22"/>
          <w:szCs w:val="22"/>
        </w:rPr>
        <w:lastRenderedPageBreak/>
        <w:t xml:space="preserve">inizio 2014; sostanzialmente, per la parte in cui </w:t>
      </w:r>
      <w:r w:rsidR="003F080B" w:rsidRPr="007F7EBF">
        <w:rPr>
          <w:sz w:val="22"/>
          <w:szCs w:val="22"/>
        </w:rPr>
        <w:t xml:space="preserve">l'imposta </w:t>
      </w:r>
      <w:r w:rsidR="00ED68B0" w:rsidRPr="007F7EBF">
        <w:rPr>
          <w:sz w:val="22"/>
          <w:szCs w:val="22"/>
        </w:rPr>
        <w:t>incide su redditi da inflazione,</w:t>
      </w:r>
      <w:r w:rsidR="003F080B" w:rsidRPr="007F7EBF">
        <w:rPr>
          <w:sz w:val="22"/>
          <w:szCs w:val="22"/>
        </w:rPr>
        <w:t xml:space="preserve"> cioè soltanto monetari, essa consiste in un'imposta patrimoniale, anziché sul reddito</w:t>
      </w:r>
      <w:r w:rsidR="00CB596A" w:rsidRPr="007F7EBF">
        <w:rPr>
          <w:rStyle w:val="Rimandonotaapidipagina"/>
          <w:sz w:val="22"/>
          <w:szCs w:val="22"/>
        </w:rPr>
        <w:footnoteReference w:id="1302"/>
      </w:r>
      <w:r w:rsidR="003F080B" w:rsidRPr="007F7EBF">
        <w:rPr>
          <w:sz w:val="22"/>
          <w:szCs w:val="22"/>
        </w:rPr>
        <w:t xml:space="preserve">. </w:t>
      </w:r>
    </w:p>
    <w:p w14:paraId="7A81EF61" w14:textId="77777777" w:rsidR="00664EFE" w:rsidRPr="007F7EBF" w:rsidRDefault="00664EFE" w:rsidP="00664EFE">
      <w:pPr>
        <w:pStyle w:val="tit23"/>
        <w:ind w:left="6464" w:right="-1361" w:firstLine="0"/>
        <w:jc w:val="left"/>
        <w:rPr>
          <w:bCs/>
          <w:i/>
          <w:iCs/>
          <w:color w:val="0000FF"/>
          <w:lang w:val="it-IT"/>
        </w:rPr>
      </w:pPr>
      <w:r w:rsidRPr="007F7EBF">
        <w:rPr>
          <w:bCs/>
          <w:i/>
          <w:iCs/>
          <w:color w:val="0000FF"/>
          <w:lang w:val="it-IT"/>
        </w:rPr>
        <w:t xml:space="preserve">Interessi “in nero” </w:t>
      </w:r>
    </w:p>
    <w:p w14:paraId="65C95E50" w14:textId="77777777" w:rsidR="00664EFE" w:rsidRPr="007F7EBF" w:rsidRDefault="00CB596A" w:rsidP="00664EFE">
      <w:pPr>
        <w:autoSpaceDE w:val="0"/>
        <w:autoSpaceDN w:val="0"/>
        <w:adjustRightInd w:val="0"/>
        <w:rPr>
          <w:sz w:val="22"/>
          <w:szCs w:val="22"/>
        </w:rPr>
      </w:pPr>
      <w:r w:rsidRPr="007F7EBF">
        <w:rPr>
          <w:sz w:val="22"/>
          <w:szCs w:val="22"/>
        </w:rPr>
        <w:t xml:space="preserve">Altri interessi verso privati non tenuti a segnalazioni al fisco non sono </w:t>
      </w:r>
      <w:r w:rsidRPr="007F7EBF">
        <w:rPr>
          <w:bCs/>
          <w:sz w:val="22"/>
          <w:szCs w:val="22"/>
        </w:rPr>
        <w:t xml:space="preserve">praticamente mai dichiarati </w:t>
      </w:r>
      <w:r w:rsidRPr="007F7EBF">
        <w:rPr>
          <w:sz w:val="22"/>
          <w:szCs w:val="22"/>
        </w:rPr>
        <w:t>ai f</w:t>
      </w:r>
      <w:r w:rsidR="006B1F99" w:rsidRPr="007F7EBF">
        <w:rPr>
          <w:sz w:val="22"/>
          <w:szCs w:val="22"/>
        </w:rPr>
        <w:t>ini della tassazione ordinaria I</w:t>
      </w:r>
      <w:r w:rsidRPr="007F7EBF">
        <w:rPr>
          <w:sz w:val="22"/>
          <w:szCs w:val="22"/>
        </w:rPr>
        <w:t xml:space="preserve">rpef, stando alle </w:t>
      </w:r>
      <w:r w:rsidRPr="007F7EBF">
        <w:rPr>
          <w:bCs/>
          <w:sz w:val="22"/>
          <w:szCs w:val="22"/>
        </w:rPr>
        <w:t xml:space="preserve">statistiche </w:t>
      </w:r>
      <w:r w:rsidRPr="007F7EBF">
        <w:rPr>
          <w:sz w:val="22"/>
          <w:szCs w:val="22"/>
        </w:rPr>
        <w:t xml:space="preserve">dei redditi dichiarati; quando il debitore è un privato, un piccolo commerciante o un artigiano, il prestito è gestito del tutto “in nero”. </w:t>
      </w:r>
    </w:p>
    <w:p w14:paraId="7934097C" w14:textId="4FC763F6" w:rsidR="00664EFE" w:rsidRPr="007F7EBF" w:rsidRDefault="00664EFE" w:rsidP="00664EFE">
      <w:pPr>
        <w:pStyle w:val="tit23"/>
        <w:ind w:left="6464" w:right="-1361" w:firstLine="0"/>
        <w:jc w:val="left"/>
        <w:rPr>
          <w:bCs/>
          <w:i/>
          <w:iCs/>
          <w:color w:val="0000FF"/>
          <w:lang w:val="it-IT"/>
        </w:rPr>
      </w:pPr>
      <w:r w:rsidRPr="007F7EBF">
        <w:rPr>
          <w:bCs/>
          <w:i/>
          <w:iCs/>
          <w:color w:val="0000FF"/>
          <w:lang w:val="it-IT"/>
        </w:rPr>
        <w:t xml:space="preserve">Interessi su crediti </w:t>
      </w:r>
      <w:r w:rsidR="00B76BDB" w:rsidRPr="007F7EBF">
        <w:rPr>
          <w:bCs/>
          <w:i/>
          <w:iCs/>
          <w:color w:val="0000FF"/>
          <w:lang w:val="it-IT"/>
        </w:rPr>
        <w:t>non da prestito</w:t>
      </w:r>
      <w:r w:rsidR="00124C55">
        <w:rPr>
          <w:bCs/>
          <w:i/>
          <w:iCs/>
          <w:color w:val="0000FF"/>
          <w:lang w:val="it-IT"/>
        </w:rPr>
        <w:t xml:space="preserve"> </w:t>
      </w:r>
    </w:p>
    <w:p w14:paraId="5C5CE5DD" w14:textId="7E303264" w:rsidR="00F6127F" w:rsidRPr="007F7EBF" w:rsidRDefault="00BE19C1" w:rsidP="003F080B">
      <w:pPr>
        <w:autoSpaceDE w:val="0"/>
        <w:autoSpaceDN w:val="0"/>
        <w:adjustRightInd w:val="0"/>
        <w:rPr>
          <w:sz w:val="22"/>
          <w:szCs w:val="22"/>
        </w:rPr>
      </w:pPr>
      <w:r w:rsidRPr="007F7EBF">
        <w:rPr>
          <w:sz w:val="22"/>
          <w:szCs w:val="22"/>
        </w:rPr>
        <w:t>Esistono poi interessi su crediti sorti accidentalmente, anche contro l'interesse del creditore, che magari non ha ricevuto il pagamento di un credito sorto per la cessione di un bene, una prestazione professionale, il risarcimento di un danno, stipendi arretrati, maturati e non pagati, rimborsi di imposte, etc.. Si tratta di incrementi patrimoniali "involontari"</w:t>
      </w:r>
      <w:r w:rsidR="00795344">
        <w:rPr>
          <w:sz w:val="22"/>
          <w:szCs w:val="22"/>
        </w:rPr>
        <w:t>,</w:t>
      </w:r>
      <w:r w:rsidRPr="007F7EBF">
        <w:rPr>
          <w:sz w:val="22"/>
          <w:szCs w:val="22"/>
        </w:rPr>
        <w:t xml:space="preserve"> che dopo varie vicissitudini  normative</w:t>
      </w:r>
      <w:r w:rsidRPr="007F7EBF">
        <w:rPr>
          <w:rStyle w:val="Rimandonotaapidipagina"/>
          <w:sz w:val="22"/>
          <w:szCs w:val="22"/>
        </w:rPr>
        <w:footnoteReference w:id="1303"/>
      </w:r>
      <w:r w:rsidRPr="007F7EBF">
        <w:rPr>
          <w:sz w:val="22"/>
          <w:szCs w:val="22"/>
        </w:rPr>
        <w:t xml:space="preserve"> non sono imponibili, salvo </w:t>
      </w:r>
      <w:r w:rsidR="0033405B" w:rsidRPr="007F7EBF">
        <w:rPr>
          <w:sz w:val="22"/>
          <w:szCs w:val="22"/>
        </w:rPr>
        <w:t>che maturino su un credito a sua</w:t>
      </w:r>
      <w:r w:rsidRPr="007F7EBF">
        <w:rPr>
          <w:sz w:val="22"/>
          <w:szCs w:val="22"/>
        </w:rPr>
        <w:t xml:space="preserve"> </w:t>
      </w:r>
      <w:r w:rsidR="0033405B" w:rsidRPr="007F7EBF">
        <w:rPr>
          <w:sz w:val="22"/>
          <w:szCs w:val="22"/>
        </w:rPr>
        <w:t>volta costituente reddito</w:t>
      </w:r>
      <w:r w:rsidR="00124C55">
        <w:rPr>
          <w:sz w:val="22"/>
          <w:szCs w:val="22"/>
        </w:rPr>
        <w:t>(</w:t>
      </w:r>
      <w:r w:rsidR="0033405B" w:rsidRPr="007F7EBF">
        <w:rPr>
          <w:rStyle w:val="Rimandonotaapidipagina"/>
          <w:sz w:val="22"/>
          <w:szCs w:val="22"/>
        </w:rPr>
        <w:footnoteReference w:id="1304"/>
      </w:r>
      <w:r w:rsidR="00124C55">
        <w:rPr>
          <w:sz w:val="22"/>
          <w:szCs w:val="22"/>
        </w:rPr>
        <w:t>)</w:t>
      </w:r>
      <w:r w:rsidR="0033405B" w:rsidRPr="007F7EBF">
        <w:rPr>
          <w:sz w:val="22"/>
          <w:szCs w:val="22"/>
        </w:rPr>
        <w:t xml:space="preserve">. </w:t>
      </w:r>
    </w:p>
    <w:p w14:paraId="72EB2706" w14:textId="77777777" w:rsidR="009F303B" w:rsidRPr="007F7EBF" w:rsidRDefault="006342C5" w:rsidP="00266B85">
      <w:pPr>
        <w:pStyle w:val="Titolo3"/>
        <w:rPr>
          <w:rFonts w:ascii="Times New Roman" w:hAnsi="Times New Roman"/>
          <w:sz w:val="22"/>
          <w:szCs w:val="22"/>
        </w:rPr>
      </w:pPr>
      <w:bookmarkStart w:id="127" w:name="_Toc63365037"/>
      <w:r w:rsidRPr="007F7EBF">
        <w:rPr>
          <w:rFonts w:ascii="Times New Roman" w:hAnsi="Times New Roman"/>
          <w:sz w:val="22"/>
          <w:szCs w:val="22"/>
        </w:rPr>
        <w:t>8.6. Le principali ipotesi residuali (“redditi diversi”)</w:t>
      </w:r>
      <w:bookmarkEnd w:id="127"/>
    </w:p>
    <w:p w14:paraId="424505EB" w14:textId="77777777" w:rsidR="009F303B" w:rsidRPr="007F7EBF" w:rsidRDefault="009F303B" w:rsidP="009F303B">
      <w:pPr>
        <w:pStyle w:val="tit23"/>
        <w:ind w:left="6464" w:right="-1361" w:firstLine="0"/>
        <w:jc w:val="left"/>
        <w:rPr>
          <w:bCs/>
          <w:i/>
          <w:iCs/>
          <w:color w:val="0000FF"/>
          <w:lang w:val="it-IT"/>
        </w:rPr>
      </w:pPr>
      <w:r w:rsidRPr="007F7EBF">
        <w:rPr>
          <w:bCs/>
          <w:i/>
          <w:iCs/>
          <w:color w:val="0000FF"/>
          <w:lang w:val="it-IT"/>
        </w:rPr>
        <w:t xml:space="preserve">Il ruolo delle categorie di reddito </w:t>
      </w:r>
    </w:p>
    <w:p w14:paraId="6D00E235" w14:textId="6ED69719" w:rsidR="009F303B" w:rsidRPr="007F7EBF" w:rsidRDefault="009F303B" w:rsidP="00697D01">
      <w:pPr>
        <w:autoSpaceDE w:val="0"/>
        <w:autoSpaceDN w:val="0"/>
        <w:adjustRightInd w:val="0"/>
        <w:rPr>
          <w:sz w:val="22"/>
          <w:szCs w:val="22"/>
        </w:rPr>
      </w:pPr>
      <w:r w:rsidRPr="007F7EBF">
        <w:rPr>
          <w:sz w:val="22"/>
          <w:szCs w:val="22"/>
        </w:rPr>
        <w:lastRenderedPageBreak/>
        <w:t xml:space="preserve">La categoria dei “redditi  diversi” è utile per comprendere il senso delle sei “categorie di reddito” previste dal TUIR , esaminate ai paragrafi precedenti e costruite attorno ad attività o cespiti </w:t>
      </w:r>
      <w:r w:rsidR="00124C55">
        <w:rPr>
          <w:sz w:val="22"/>
          <w:szCs w:val="22"/>
        </w:rPr>
        <w:t>fruttiferi</w:t>
      </w:r>
      <w:r w:rsidRPr="007F7EBF">
        <w:rPr>
          <w:sz w:val="22"/>
          <w:szCs w:val="22"/>
        </w:rPr>
        <w:t xml:space="preserve">. Anche se </w:t>
      </w:r>
      <w:r w:rsidR="00DD702D" w:rsidRPr="007F7EBF">
        <w:rPr>
          <w:sz w:val="22"/>
          <w:szCs w:val="22"/>
        </w:rPr>
        <w:t xml:space="preserve">il concetto di reddito, come è normale per i motivi indicati al par.1.8, non è definito legislativamente, le suddette </w:t>
      </w:r>
      <w:r w:rsidRPr="007F7EBF">
        <w:rPr>
          <w:sz w:val="22"/>
          <w:szCs w:val="22"/>
        </w:rPr>
        <w:t xml:space="preserve">categorie di reddito contengono previsioni </w:t>
      </w:r>
      <w:r w:rsidR="00DD702D" w:rsidRPr="007F7EBF">
        <w:rPr>
          <w:sz w:val="22"/>
          <w:szCs w:val="22"/>
        </w:rPr>
        <w:t xml:space="preserve">assai ampie, che rendono immotivata la critica secondo cui il reddito sarebbe individuato “in modo casistico”; </w:t>
      </w:r>
      <w:r w:rsidRPr="007F7EBF">
        <w:rPr>
          <w:sz w:val="22"/>
          <w:szCs w:val="22"/>
        </w:rPr>
        <w:t xml:space="preserve">sono </w:t>
      </w:r>
      <w:r w:rsidR="00DD702D" w:rsidRPr="007F7EBF">
        <w:rPr>
          <w:sz w:val="22"/>
          <w:szCs w:val="22"/>
        </w:rPr>
        <w:t xml:space="preserve">quindi </w:t>
      </w:r>
      <w:r w:rsidRPr="007F7EBF">
        <w:rPr>
          <w:sz w:val="22"/>
          <w:szCs w:val="22"/>
        </w:rPr>
        <w:t xml:space="preserve">relativamente pochi gli incrementi patrimoniali in grado di sfuggire all'imposizione </w:t>
      </w:r>
      <w:r w:rsidR="00DD702D" w:rsidRPr="007F7EBF">
        <w:rPr>
          <w:sz w:val="22"/>
          <w:szCs w:val="22"/>
        </w:rPr>
        <w:t>già in base alle previsioni delle singole “categorie di reddito”</w:t>
      </w:r>
      <w:r w:rsidRPr="007F7EBF">
        <w:rPr>
          <w:sz w:val="22"/>
          <w:szCs w:val="22"/>
        </w:rPr>
        <w:t xml:space="preserve"> (</w:t>
      </w:r>
      <w:r w:rsidRPr="007F7EBF">
        <w:rPr>
          <w:sz w:val="22"/>
          <w:szCs w:val="22"/>
          <w:vertAlign w:val="superscript"/>
        </w:rPr>
        <w:footnoteReference w:id="1305"/>
      </w:r>
      <w:r w:rsidRPr="007F7EBF">
        <w:rPr>
          <w:sz w:val="22"/>
          <w:szCs w:val="22"/>
        </w:rPr>
        <w:t>).</w:t>
      </w:r>
    </w:p>
    <w:p w14:paraId="55F3034A" w14:textId="77777777" w:rsidR="00B76BDB" w:rsidRPr="007F7EBF" w:rsidRDefault="009D3A0C" w:rsidP="00B76BDB">
      <w:pPr>
        <w:pStyle w:val="tit23"/>
        <w:ind w:left="6464" w:right="-1361" w:firstLine="0"/>
        <w:jc w:val="left"/>
        <w:rPr>
          <w:bCs/>
          <w:i/>
          <w:iCs/>
          <w:color w:val="0000FF"/>
          <w:lang w:val="it-IT"/>
        </w:rPr>
      </w:pPr>
      <w:r w:rsidRPr="007F7EBF">
        <w:rPr>
          <w:bCs/>
          <w:i/>
          <w:iCs/>
          <w:color w:val="0000FF"/>
          <w:lang w:val="it-IT"/>
        </w:rPr>
        <w:t xml:space="preserve">Redditi diversi come chiusura </w:t>
      </w:r>
    </w:p>
    <w:p w14:paraId="66D2076C" w14:textId="57D6244A" w:rsidR="009D3A0C" w:rsidRPr="007F7EBF" w:rsidRDefault="009D3A0C" w:rsidP="00782C7F">
      <w:pPr>
        <w:autoSpaceDE w:val="0"/>
        <w:autoSpaceDN w:val="0"/>
        <w:adjustRightInd w:val="0"/>
        <w:rPr>
          <w:sz w:val="22"/>
          <w:szCs w:val="22"/>
        </w:rPr>
      </w:pPr>
      <w:r w:rsidRPr="007F7EBF">
        <w:rPr>
          <w:sz w:val="22"/>
          <w:szCs w:val="22"/>
        </w:rPr>
        <w:t>L</w:t>
      </w:r>
      <w:r w:rsidR="006342C5" w:rsidRPr="007F7EBF">
        <w:rPr>
          <w:sz w:val="22"/>
          <w:szCs w:val="22"/>
        </w:rPr>
        <w:t xml:space="preserve">a </w:t>
      </w:r>
      <w:r w:rsidR="006342C5" w:rsidRPr="007F7EBF">
        <w:rPr>
          <w:bCs/>
          <w:sz w:val="22"/>
          <w:szCs w:val="22"/>
        </w:rPr>
        <w:t xml:space="preserve">categoria residuale </w:t>
      </w:r>
      <w:r w:rsidR="006342C5" w:rsidRPr="007F7EBF">
        <w:rPr>
          <w:sz w:val="22"/>
          <w:szCs w:val="22"/>
        </w:rPr>
        <w:t xml:space="preserve">dei redditi diversi </w:t>
      </w:r>
      <w:r w:rsidRPr="007F7EBF">
        <w:rPr>
          <w:sz w:val="22"/>
          <w:szCs w:val="22"/>
        </w:rPr>
        <w:t xml:space="preserve">ha funzione di chiusura per una serie di eterogenei casi limite. Il loro elemento comune non riguarda le tipologie della ricchezza, ma la mancanza di alcune condizioni per essere inclusi nella categoria di reddito cui apparterrebbero </w:t>
      </w:r>
      <w:r w:rsidR="00DC4B94">
        <w:rPr>
          <w:sz w:val="22"/>
          <w:szCs w:val="22"/>
        </w:rPr>
        <w:t>in base al</w:t>
      </w:r>
      <w:r w:rsidRPr="007F7EBF">
        <w:rPr>
          <w:sz w:val="22"/>
          <w:szCs w:val="22"/>
        </w:rPr>
        <w:t>la loro natura economica.</w:t>
      </w:r>
    </w:p>
    <w:p w14:paraId="22739666" w14:textId="77777777" w:rsidR="009D3A0C" w:rsidRPr="007F7EBF" w:rsidRDefault="009D3A0C" w:rsidP="009D3A0C">
      <w:pPr>
        <w:pStyle w:val="tit23"/>
        <w:ind w:left="6464" w:right="-1361" w:firstLine="0"/>
        <w:jc w:val="left"/>
        <w:rPr>
          <w:bCs/>
          <w:i/>
          <w:iCs/>
          <w:color w:val="0000FF"/>
          <w:lang w:val="it-IT"/>
        </w:rPr>
      </w:pPr>
      <w:r w:rsidRPr="007F7EBF">
        <w:rPr>
          <w:bCs/>
          <w:i/>
          <w:iCs/>
          <w:color w:val="0000FF"/>
          <w:lang w:val="it-IT"/>
        </w:rPr>
        <w:t>Redditi occasionali di chi non è operatore economico</w:t>
      </w:r>
    </w:p>
    <w:p w14:paraId="475D8A91" w14:textId="4D520F19" w:rsidR="009D3A0C" w:rsidRPr="00A231BC" w:rsidRDefault="009D3A0C" w:rsidP="009D3A0C">
      <w:pPr>
        <w:autoSpaceDE w:val="0"/>
        <w:autoSpaceDN w:val="0"/>
        <w:adjustRightInd w:val="0"/>
        <w:rPr>
          <w:sz w:val="22"/>
          <w:szCs w:val="22"/>
        </w:rPr>
      </w:pPr>
      <w:r w:rsidRPr="007F7EBF">
        <w:rPr>
          <w:sz w:val="22"/>
          <w:szCs w:val="22"/>
        </w:rPr>
        <w:t>Sono tutti</w:t>
      </w:r>
      <w:r w:rsidR="00782C7F" w:rsidRPr="007F7EBF">
        <w:rPr>
          <w:sz w:val="22"/>
          <w:szCs w:val="22"/>
        </w:rPr>
        <w:t xml:space="preserve"> redditi non riferiti ad operatori economic</w:t>
      </w:r>
      <w:r w:rsidRPr="007F7EBF">
        <w:rPr>
          <w:sz w:val="22"/>
          <w:szCs w:val="22"/>
        </w:rPr>
        <w:t xml:space="preserve">i </w:t>
      </w:r>
      <w:r w:rsidR="00782C7F" w:rsidRPr="007F7EBF">
        <w:rPr>
          <w:sz w:val="22"/>
          <w:szCs w:val="22"/>
        </w:rPr>
        <w:t xml:space="preserve">e quindi esclusi dal campo applicativo dell'IVA. Si pensi alle attività </w:t>
      </w:r>
      <w:r w:rsidR="006342C5" w:rsidRPr="007F7EBF">
        <w:rPr>
          <w:sz w:val="22"/>
          <w:szCs w:val="22"/>
        </w:rPr>
        <w:t>“non</w:t>
      </w:r>
      <w:r w:rsidR="00697D01" w:rsidRPr="007F7EBF">
        <w:rPr>
          <w:sz w:val="22"/>
          <w:szCs w:val="22"/>
        </w:rPr>
        <w:t xml:space="preserve"> </w:t>
      </w:r>
      <w:r w:rsidR="006342C5" w:rsidRPr="007F7EBF">
        <w:rPr>
          <w:sz w:val="22"/>
          <w:szCs w:val="22"/>
        </w:rPr>
        <w:t>abituali</w:t>
      </w:r>
      <w:r w:rsidRPr="007F7EBF">
        <w:rPr>
          <w:sz w:val="22"/>
          <w:szCs w:val="22"/>
        </w:rPr>
        <w:t xml:space="preserve">”, </w:t>
      </w:r>
      <w:r w:rsidR="006342C5" w:rsidRPr="007F7EBF">
        <w:rPr>
          <w:sz w:val="22"/>
          <w:szCs w:val="22"/>
        </w:rPr>
        <w:t>cioè definibili –inversamente – “occasionali</w:t>
      </w:r>
      <w:r w:rsidRPr="007F7EBF">
        <w:rPr>
          <w:sz w:val="22"/>
          <w:szCs w:val="22"/>
        </w:rPr>
        <w:t>”; si ricorderà infatti dal par.7.5 ch</w:t>
      </w:r>
      <w:r w:rsidR="006342C5" w:rsidRPr="007F7EBF">
        <w:rPr>
          <w:sz w:val="22"/>
          <w:szCs w:val="22"/>
        </w:rPr>
        <w:t xml:space="preserve">e </w:t>
      </w:r>
      <w:r w:rsidRPr="007F7EBF">
        <w:rPr>
          <w:sz w:val="22"/>
          <w:szCs w:val="22"/>
        </w:rPr>
        <w:t xml:space="preserve">le </w:t>
      </w:r>
      <w:r w:rsidR="006342C5" w:rsidRPr="007F7EBF">
        <w:rPr>
          <w:bCs/>
          <w:sz w:val="22"/>
          <w:szCs w:val="22"/>
        </w:rPr>
        <w:t>prestazioni isolate</w:t>
      </w:r>
      <w:r w:rsidRPr="007F7EBF">
        <w:rPr>
          <w:bCs/>
          <w:sz w:val="22"/>
          <w:szCs w:val="22"/>
        </w:rPr>
        <w:t xml:space="preserve"> non qualificano chi le svolge come soggetto </w:t>
      </w:r>
      <w:r w:rsidRPr="007F7EBF">
        <w:rPr>
          <w:bCs/>
          <w:sz w:val="22"/>
          <w:szCs w:val="22"/>
        </w:rPr>
        <w:lastRenderedPageBreak/>
        <w:t xml:space="preserve">IVA. </w:t>
      </w:r>
      <w:r w:rsidR="00782C7F" w:rsidRPr="007F7EBF">
        <w:rPr>
          <w:bCs/>
          <w:sz w:val="22"/>
          <w:szCs w:val="22"/>
        </w:rPr>
        <w:t xml:space="preserve"> </w:t>
      </w:r>
      <w:r w:rsidR="00782C7F" w:rsidRPr="007F7EBF">
        <w:rPr>
          <w:sz w:val="22"/>
          <w:szCs w:val="22"/>
        </w:rPr>
        <w:t xml:space="preserve">Il </w:t>
      </w:r>
      <w:r w:rsidR="006342C5" w:rsidRPr="007F7EBF">
        <w:rPr>
          <w:bCs/>
          <w:sz w:val="22"/>
          <w:szCs w:val="22"/>
        </w:rPr>
        <w:t xml:space="preserve">lavoro autonomo occasionale </w:t>
      </w:r>
      <w:r w:rsidR="006342C5" w:rsidRPr="007F7EBF">
        <w:rPr>
          <w:sz w:val="22"/>
          <w:szCs w:val="22"/>
        </w:rPr>
        <w:t>rappresenta il grosso dei redditi diversi,</w:t>
      </w:r>
      <w:r w:rsidR="00697D01" w:rsidRPr="007F7EBF">
        <w:rPr>
          <w:sz w:val="22"/>
          <w:szCs w:val="22"/>
        </w:rPr>
        <w:t xml:space="preserve"> </w:t>
      </w:r>
      <w:r w:rsidR="006342C5" w:rsidRPr="007F7EBF">
        <w:rPr>
          <w:sz w:val="22"/>
          <w:szCs w:val="22"/>
        </w:rPr>
        <w:t>confermando il fondamentale ruolo segnaletico delle ritenute operate dal cliente (</w:t>
      </w:r>
      <w:r w:rsidRPr="007F7EBF">
        <w:rPr>
          <w:rStyle w:val="Rimandonotaapidipagina"/>
          <w:sz w:val="22"/>
          <w:szCs w:val="22"/>
        </w:rPr>
        <w:footnoteReference w:id="1306"/>
      </w:r>
      <w:r w:rsidR="006342C5" w:rsidRPr="007F7EBF">
        <w:rPr>
          <w:sz w:val="22"/>
          <w:szCs w:val="22"/>
        </w:rPr>
        <w:t>)</w:t>
      </w:r>
      <w:r w:rsidR="00A231BC">
        <w:rPr>
          <w:sz w:val="22"/>
          <w:szCs w:val="22"/>
        </w:rPr>
        <w:t xml:space="preserve">. Sono molto meno numerose le attività dichiarate come “impresa occasionale”, perché non soggette a ritenuta d’acconto; esse non sono quindi segnalate al fisco dal cliente, che magari le deduce come costo, e probabilmente evase da chi le effettua. </w:t>
      </w:r>
    </w:p>
    <w:p w14:paraId="6A99A966" w14:textId="77777777" w:rsidR="009D3A0C" w:rsidRPr="007F7EBF" w:rsidRDefault="009D3A0C" w:rsidP="009D3A0C">
      <w:pPr>
        <w:pStyle w:val="tit23"/>
        <w:ind w:left="6464" w:right="-1361" w:firstLine="0"/>
        <w:jc w:val="left"/>
        <w:rPr>
          <w:bCs/>
          <w:i/>
          <w:iCs/>
          <w:color w:val="0000FF"/>
          <w:lang w:val="it-IT"/>
        </w:rPr>
      </w:pPr>
      <w:r w:rsidRPr="007F7EBF">
        <w:rPr>
          <w:bCs/>
          <w:i/>
          <w:iCs/>
          <w:color w:val="0000FF"/>
          <w:lang w:val="it-IT"/>
        </w:rPr>
        <w:t>Clausola generale su redditi da obblighi di fare</w:t>
      </w:r>
    </w:p>
    <w:p w14:paraId="2404AE42" w14:textId="34D736B9" w:rsidR="000D7970" w:rsidRPr="007F7EBF" w:rsidRDefault="000C4978" w:rsidP="007B04B9">
      <w:pPr>
        <w:autoSpaceDE w:val="0"/>
        <w:autoSpaceDN w:val="0"/>
        <w:adjustRightInd w:val="0"/>
        <w:rPr>
          <w:sz w:val="22"/>
          <w:szCs w:val="22"/>
        </w:rPr>
      </w:pPr>
      <w:r w:rsidRPr="007F7EBF">
        <w:rPr>
          <w:sz w:val="22"/>
          <w:szCs w:val="22"/>
        </w:rPr>
        <w:t xml:space="preserve">Sono inclusi nei redditi diversi </w:t>
      </w:r>
      <w:r w:rsidR="006342C5" w:rsidRPr="007F7EBF">
        <w:rPr>
          <w:sz w:val="22"/>
          <w:szCs w:val="22"/>
        </w:rPr>
        <w:t>tutti i proventi</w:t>
      </w:r>
      <w:r w:rsidR="00697D01" w:rsidRPr="007F7EBF">
        <w:rPr>
          <w:sz w:val="22"/>
          <w:szCs w:val="22"/>
        </w:rPr>
        <w:t xml:space="preserve"> </w:t>
      </w:r>
      <w:r w:rsidR="006342C5" w:rsidRPr="007F7EBF">
        <w:rPr>
          <w:sz w:val="22"/>
          <w:szCs w:val="22"/>
        </w:rPr>
        <w:t>ricollegabili ad obblighi di «fare» o «tollerare» (art. 67</w:t>
      </w:r>
      <w:r w:rsidRPr="007F7EBF">
        <w:rPr>
          <w:sz w:val="22"/>
          <w:szCs w:val="22"/>
        </w:rPr>
        <w:t xml:space="preserve"> lett. l) , con ampia </w:t>
      </w:r>
      <w:r w:rsidR="006342C5" w:rsidRPr="007F7EBF">
        <w:rPr>
          <w:sz w:val="22"/>
          <w:szCs w:val="22"/>
        </w:rPr>
        <w:t>disposizione, che smentisce</w:t>
      </w:r>
      <w:r w:rsidR="00DC4B94">
        <w:rPr>
          <w:sz w:val="22"/>
          <w:szCs w:val="22"/>
        </w:rPr>
        <w:t xml:space="preserve"> ulteriormente</w:t>
      </w:r>
      <w:r w:rsidR="006342C5" w:rsidRPr="007F7EBF">
        <w:rPr>
          <w:sz w:val="22"/>
          <w:szCs w:val="22"/>
        </w:rPr>
        <w:t xml:space="preserve"> le</w:t>
      </w:r>
      <w:r w:rsidR="00DC4B94">
        <w:rPr>
          <w:sz w:val="22"/>
          <w:szCs w:val="22"/>
        </w:rPr>
        <w:t xml:space="preserve"> suddette</w:t>
      </w:r>
      <w:r w:rsidR="006342C5" w:rsidRPr="007F7EBF">
        <w:rPr>
          <w:sz w:val="22"/>
          <w:szCs w:val="22"/>
        </w:rPr>
        <w:t xml:space="preserve"> </w:t>
      </w:r>
      <w:r w:rsidRPr="007F7EBF">
        <w:rPr>
          <w:sz w:val="22"/>
          <w:szCs w:val="22"/>
        </w:rPr>
        <w:t xml:space="preserve">accuse </w:t>
      </w:r>
      <w:r w:rsidR="007B04B9" w:rsidRPr="007F7EBF">
        <w:rPr>
          <w:sz w:val="22"/>
          <w:szCs w:val="22"/>
        </w:rPr>
        <w:t>secondo cui la ricchezza sarebbe definita in modo "casistico"; ad essere casistica, casomai, è solo l'imponibilità dei redditi da "plusvalenze" (</w:t>
      </w:r>
      <w:r w:rsidR="007B04B9" w:rsidRPr="007F7EBF">
        <w:rPr>
          <w:rStyle w:val="Rimandonotaapidipagina"/>
          <w:sz w:val="22"/>
          <w:szCs w:val="22"/>
        </w:rPr>
        <w:footnoteReference w:id="1307"/>
      </w:r>
      <w:r w:rsidR="007B04B9" w:rsidRPr="007F7EBF">
        <w:rPr>
          <w:sz w:val="22"/>
          <w:szCs w:val="22"/>
        </w:rPr>
        <w:t>), realizzati da chi non è operatore economico. S</w:t>
      </w:r>
      <w:r w:rsidR="00866839" w:rsidRPr="007F7EBF">
        <w:rPr>
          <w:sz w:val="22"/>
          <w:szCs w:val="22"/>
        </w:rPr>
        <w:t xml:space="preserve">ono imponibili come redditi diversi, per espressa disposizione, </w:t>
      </w:r>
      <w:r w:rsidR="007B04B9" w:rsidRPr="007F7EBF">
        <w:rPr>
          <w:sz w:val="22"/>
          <w:szCs w:val="22"/>
        </w:rPr>
        <w:t>solo le plusvalenze</w:t>
      </w:r>
      <w:r w:rsidR="00866839" w:rsidRPr="007F7EBF">
        <w:rPr>
          <w:sz w:val="22"/>
          <w:szCs w:val="22"/>
        </w:rPr>
        <w:t xml:space="preserve"> su immobili non destinati ad abitazione principale, ceduti prima di 5 anni dall’acquisto</w:t>
      </w:r>
      <w:r w:rsidR="007F56F0" w:rsidRPr="007F7EBF">
        <w:rPr>
          <w:sz w:val="22"/>
          <w:szCs w:val="22"/>
        </w:rPr>
        <w:t xml:space="preserve"> (</w:t>
      </w:r>
      <w:r w:rsidR="000D7970" w:rsidRPr="007F7EBF">
        <w:rPr>
          <w:rStyle w:val="Rimandonotaapidipagina"/>
          <w:sz w:val="22"/>
          <w:szCs w:val="22"/>
        </w:rPr>
        <w:footnoteReference w:id="1308"/>
      </w:r>
      <w:r w:rsidR="007F56F0" w:rsidRPr="007F7EBF">
        <w:rPr>
          <w:sz w:val="22"/>
          <w:szCs w:val="22"/>
        </w:rPr>
        <w:t>)</w:t>
      </w:r>
      <w:r w:rsidR="00866839" w:rsidRPr="007F7EBF">
        <w:rPr>
          <w:sz w:val="22"/>
          <w:szCs w:val="22"/>
        </w:rPr>
        <w:t>, quelle su</w:t>
      </w:r>
      <w:r w:rsidR="007F56F0" w:rsidRPr="007F7EBF">
        <w:rPr>
          <w:sz w:val="22"/>
          <w:szCs w:val="22"/>
        </w:rPr>
        <w:t xml:space="preserve"> </w:t>
      </w:r>
      <w:r w:rsidR="00866839" w:rsidRPr="007F7EBF">
        <w:rPr>
          <w:sz w:val="22"/>
          <w:szCs w:val="22"/>
        </w:rPr>
        <w:t>titoli finanziari (</w:t>
      </w:r>
      <w:r w:rsidR="000D7970" w:rsidRPr="007F7EBF">
        <w:rPr>
          <w:rStyle w:val="Rimandonotaapidipagina"/>
          <w:sz w:val="22"/>
          <w:szCs w:val="22"/>
        </w:rPr>
        <w:footnoteReference w:id="1309"/>
      </w:r>
      <w:r w:rsidR="00866839" w:rsidRPr="007F7EBF">
        <w:rPr>
          <w:sz w:val="22"/>
          <w:szCs w:val="22"/>
        </w:rPr>
        <w:t>), quelle su terreni edificabili</w:t>
      </w:r>
      <w:r w:rsidR="007F56F0" w:rsidRPr="007F7EBF">
        <w:rPr>
          <w:sz w:val="22"/>
          <w:szCs w:val="22"/>
        </w:rPr>
        <w:t>, indipendentemente da</w:t>
      </w:r>
      <w:r w:rsidR="00866839" w:rsidRPr="007F7EBF">
        <w:rPr>
          <w:sz w:val="22"/>
          <w:szCs w:val="22"/>
        </w:rPr>
        <w:t xml:space="preserve">l </w:t>
      </w:r>
      <w:r w:rsidR="007F56F0" w:rsidRPr="007F7EBF">
        <w:rPr>
          <w:sz w:val="22"/>
          <w:szCs w:val="22"/>
        </w:rPr>
        <w:t xml:space="preserve">suddetto </w:t>
      </w:r>
      <w:r w:rsidR="00866839" w:rsidRPr="007F7EBF">
        <w:rPr>
          <w:sz w:val="22"/>
          <w:szCs w:val="22"/>
        </w:rPr>
        <w:t xml:space="preserve"> possesso </w:t>
      </w:r>
      <w:r w:rsidR="007F56F0" w:rsidRPr="007F7EBF">
        <w:rPr>
          <w:sz w:val="22"/>
          <w:szCs w:val="22"/>
        </w:rPr>
        <w:t xml:space="preserve"> </w:t>
      </w:r>
      <w:proofErr w:type="spellStart"/>
      <w:r w:rsidR="007F56F0" w:rsidRPr="007F7EBF">
        <w:rPr>
          <w:sz w:val="22"/>
          <w:szCs w:val="22"/>
        </w:rPr>
        <w:t>ultraquinquennale</w:t>
      </w:r>
      <w:proofErr w:type="spellEnd"/>
      <w:r w:rsidR="007F56F0" w:rsidRPr="007F7EBF">
        <w:rPr>
          <w:sz w:val="22"/>
          <w:szCs w:val="22"/>
        </w:rPr>
        <w:t xml:space="preserve">, </w:t>
      </w:r>
      <w:r w:rsidR="00866839" w:rsidRPr="007F7EBF">
        <w:rPr>
          <w:sz w:val="22"/>
          <w:szCs w:val="22"/>
        </w:rPr>
        <w:t>in quanto ad e</w:t>
      </w:r>
      <w:r w:rsidR="007F56F0" w:rsidRPr="007F7EBF">
        <w:rPr>
          <w:sz w:val="22"/>
          <w:szCs w:val="22"/>
        </w:rPr>
        <w:t xml:space="preserve">levato sospetto di lottizzazione speculativa. </w:t>
      </w:r>
      <w:r w:rsidR="00866839" w:rsidRPr="007F7EBF">
        <w:rPr>
          <w:sz w:val="22"/>
          <w:szCs w:val="22"/>
        </w:rPr>
        <w:t xml:space="preserve"> </w:t>
      </w:r>
    </w:p>
    <w:p w14:paraId="629DEBA6" w14:textId="5186AFC2" w:rsidR="000D7970" w:rsidRPr="007F7EBF" w:rsidRDefault="000D7970" w:rsidP="000D7970">
      <w:pPr>
        <w:autoSpaceDE w:val="0"/>
        <w:autoSpaceDN w:val="0"/>
        <w:adjustRightInd w:val="0"/>
        <w:rPr>
          <w:sz w:val="22"/>
          <w:szCs w:val="22"/>
        </w:rPr>
      </w:pPr>
      <w:r w:rsidRPr="007F7EBF">
        <w:rPr>
          <w:sz w:val="22"/>
          <w:szCs w:val="22"/>
        </w:rPr>
        <w:t>L</w:t>
      </w:r>
      <w:r w:rsidR="00866839" w:rsidRPr="007F7EBF">
        <w:rPr>
          <w:sz w:val="22"/>
          <w:szCs w:val="22"/>
        </w:rPr>
        <w:t xml:space="preserve">a </w:t>
      </w:r>
      <w:r w:rsidR="007F56F0" w:rsidRPr="007F7EBF">
        <w:rPr>
          <w:sz w:val="22"/>
          <w:szCs w:val="22"/>
        </w:rPr>
        <w:t>mancata</w:t>
      </w:r>
      <w:r w:rsidR="00866839" w:rsidRPr="007F7EBF">
        <w:rPr>
          <w:sz w:val="22"/>
          <w:szCs w:val="22"/>
        </w:rPr>
        <w:t xml:space="preserve"> tassazione </w:t>
      </w:r>
      <w:r w:rsidR="00DC4B94">
        <w:rPr>
          <w:sz w:val="22"/>
          <w:szCs w:val="22"/>
        </w:rPr>
        <w:t>delle plusvalenze</w:t>
      </w:r>
      <w:r w:rsidR="00866839" w:rsidRPr="007F7EBF">
        <w:rPr>
          <w:sz w:val="22"/>
          <w:szCs w:val="22"/>
        </w:rPr>
        <w:t xml:space="preserve"> su “beni mobili” (come gli oggetti d’arte o i metalli preziosi) si spiega anche perché nel secondo caso la cessione è “informale” senza la visibilità degli “atti solenni” di acquisto e cessione, rilevante ai fini dell’imposta di registro di cui al par. 10.2, che fornisce informazioni anche per la tassazione sui redditi. </w:t>
      </w:r>
    </w:p>
    <w:p w14:paraId="5F6618B1" w14:textId="77777777" w:rsidR="000D7970" w:rsidRPr="007F7EBF" w:rsidRDefault="000D7970" w:rsidP="000D7970">
      <w:pPr>
        <w:pStyle w:val="tit23"/>
        <w:ind w:left="6464" w:right="-1361" w:firstLine="0"/>
        <w:jc w:val="left"/>
        <w:rPr>
          <w:bCs/>
          <w:i/>
          <w:iCs/>
          <w:color w:val="0000FF"/>
          <w:lang w:val="it-IT"/>
        </w:rPr>
      </w:pPr>
      <w:r w:rsidRPr="007F7EBF">
        <w:rPr>
          <w:bCs/>
          <w:i/>
          <w:iCs/>
          <w:color w:val="0000FF"/>
          <w:lang w:val="it-IT"/>
        </w:rPr>
        <w:t>Altre ipotesi di chiusura</w:t>
      </w:r>
    </w:p>
    <w:p w14:paraId="6ACE32E3" w14:textId="77777777" w:rsidR="000C4978" w:rsidRPr="007F7EBF" w:rsidRDefault="007F56F0" w:rsidP="000C4978">
      <w:pPr>
        <w:autoSpaceDE w:val="0"/>
        <w:autoSpaceDN w:val="0"/>
        <w:adjustRightInd w:val="0"/>
        <w:rPr>
          <w:bCs/>
          <w:i/>
          <w:iCs/>
          <w:color w:val="0000FF"/>
          <w:sz w:val="22"/>
          <w:szCs w:val="22"/>
        </w:rPr>
      </w:pPr>
      <w:r w:rsidRPr="007F7EBF">
        <w:rPr>
          <w:sz w:val="22"/>
          <w:szCs w:val="22"/>
        </w:rPr>
        <w:lastRenderedPageBreak/>
        <w:t>A</w:t>
      </w:r>
      <w:r w:rsidR="000C4978" w:rsidRPr="007F7EBF">
        <w:rPr>
          <w:sz w:val="22"/>
          <w:szCs w:val="22"/>
        </w:rPr>
        <w:t>ltri redditi diversi hanno il già indicato ruolo “di chiusura”, ma non sono frequenti, come i redditi dei beni immobili situati all’estero, inseriti nei redditi diversi in</w:t>
      </w:r>
      <w:r w:rsidRPr="007F7EBF">
        <w:rPr>
          <w:sz w:val="22"/>
          <w:szCs w:val="22"/>
        </w:rPr>
        <w:t xml:space="preserve"> </w:t>
      </w:r>
      <w:r w:rsidR="000C4978" w:rsidRPr="007F7EBF">
        <w:rPr>
          <w:sz w:val="22"/>
          <w:szCs w:val="22"/>
        </w:rPr>
        <w:t xml:space="preserve">quanto non iscritti in catasto, per via della loro collocazione territoriale. </w:t>
      </w:r>
    </w:p>
    <w:p w14:paraId="03832096" w14:textId="1522B81B" w:rsidR="000C4978" w:rsidRPr="007F7EBF" w:rsidRDefault="000C4978" w:rsidP="007F56F0">
      <w:pPr>
        <w:autoSpaceDE w:val="0"/>
        <w:autoSpaceDN w:val="0"/>
        <w:adjustRightInd w:val="0"/>
        <w:rPr>
          <w:bCs/>
          <w:i/>
          <w:iCs/>
          <w:color w:val="0000FF"/>
          <w:sz w:val="22"/>
          <w:szCs w:val="22"/>
        </w:rPr>
      </w:pPr>
      <w:r w:rsidRPr="007F7EBF">
        <w:rPr>
          <w:sz w:val="22"/>
          <w:szCs w:val="22"/>
        </w:rPr>
        <w:t xml:space="preserve">Residuali sono anche i proventi conseguiti fuori dall’esercizio d’impresa, per l’affitto o locazione di veicoli, macchine e altri beni mobili e più in generale per le c.d. “sublocazioni”. </w:t>
      </w:r>
      <w:r w:rsidR="000D7970" w:rsidRPr="007F7EBF">
        <w:rPr>
          <w:sz w:val="22"/>
          <w:szCs w:val="22"/>
        </w:rPr>
        <w:t>Sarebbero anche ipotesi interessanti da approfondire, ma si disperdono nel</w:t>
      </w:r>
      <w:r w:rsidR="00DC4B94">
        <w:rPr>
          <w:sz w:val="22"/>
          <w:szCs w:val="22"/>
        </w:rPr>
        <w:t xml:space="preserve"> tecnicismo </w:t>
      </w:r>
      <w:r w:rsidR="000D7970" w:rsidRPr="007F7EBF">
        <w:rPr>
          <w:sz w:val="22"/>
          <w:szCs w:val="22"/>
        </w:rPr>
        <w:t xml:space="preserve">di casi sottili con interesse prevalentemente "professionale", </w:t>
      </w:r>
      <w:r w:rsidR="00DC4B94">
        <w:rPr>
          <w:sz w:val="22"/>
          <w:szCs w:val="22"/>
        </w:rPr>
        <w:t xml:space="preserve">oltretutto su rari casi limite </w:t>
      </w:r>
      <w:r w:rsidR="000D7970" w:rsidRPr="007F7EBF">
        <w:rPr>
          <w:sz w:val="22"/>
          <w:szCs w:val="22"/>
        </w:rPr>
        <w:t xml:space="preserve"> </w:t>
      </w:r>
      <w:r w:rsidR="00DC4B94">
        <w:rPr>
          <w:sz w:val="22"/>
          <w:szCs w:val="22"/>
        </w:rPr>
        <w:t>dov’è meglio non disperdersi (</w:t>
      </w:r>
      <w:r w:rsidR="000D7970" w:rsidRPr="007F7EBF">
        <w:rPr>
          <w:rStyle w:val="Rimandonotaapidipagina"/>
          <w:sz w:val="22"/>
          <w:szCs w:val="22"/>
        </w:rPr>
        <w:footnoteReference w:id="1310"/>
      </w:r>
      <w:r w:rsidR="00DC4B94">
        <w:rPr>
          <w:sz w:val="22"/>
          <w:szCs w:val="22"/>
        </w:rPr>
        <w:t>)</w:t>
      </w:r>
      <w:r w:rsidR="000D7970" w:rsidRPr="007F7EBF">
        <w:rPr>
          <w:sz w:val="22"/>
          <w:szCs w:val="22"/>
        </w:rPr>
        <w:t xml:space="preserve">.  </w:t>
      </w:r>
    </w:p>
    <w:p w14:paraId="5885C02E" w14:textId="77777777" w:rsidR="006342C5" w:rsidRPr="007F7EBF" w:rsidRDefault="006342C5" w:rsidP="006342C5">
      <w:pPr>
        <w:autoSpaceDE w:val="0"/>
        <w:autoSpaceDN w:val="0"/>
        <w:adjustRightInd w:val="0"/>
        <w:rPr>
          <w:sz w:val="22"/>
          <w:szCs w:val="22"/>
        </w:rPr>
      </w:pPr>
    </w:p>
    <w:p w14:paraId="1E2A8C90" w14:textId="77777777" w:rsidR="001717EC" w:rsidRPr="007F7EBF" w:rsidRDefault="001717EC" w:rsidP="006342C5">
      <w:pPr>
        <w:autoSpaceDE w:val="0"/>
        <w:autoSpaceDN w:val="0"/>
        <w:adjustRightInd w:val="0"/>
        <w:rPr>
          <w:b/>
          <w:bCs/>
          <w:sz w:val="22"/>
          <w:szCs w:val="22"/>
        </w:rPr>
      </w:pPr>
    </w:p>
    <w:p w14:paraId="615F40B5" w14:textId="77777777" w:rsidR="006342C5" w:rsidRPr="007F7EBF" w:rsidRDefault="00DB7638" w:rsidP="00775319">
      <w:pPr>
        <w:pStyle w:val="Titolo3"/>
        <w:rPr>
          <w:rFonts w:ascii="Times New Roman" w:hAnsi="Times New Roman"/>
          <w:sz w:val="22"/>
          <w:szCs w:val="22"/>
        </w:rPr>
      </w:pPr>
      <w:bookmarkStart w:id="128" w:name="_Toc63365038"/>
      <w:r w:rsidRPr="007F7EBF">
        <w:rPr>
          <w:rFonts w:ascii="Times New Roman" w:hAnsi="Times New Roman"/>
          <w:sz w:val="22"/>
          <w:szCs w:val="22"/>
        </w:rPr>
        <w:t>CAP 9 D</w:t>
      </w:r>
      <w:r w:rsidR="006342C5" w:rsidRPr="007F7EBF">
        <w:rPr>
          <w:rFonts w:ascii="Times New Roman" w:hAnsi="Times New Roman"/>
          <w:sz w:val="22"/>
          <w:szCs w:val="22"/>
        </w:rPr>
        <w:t>AL RISULTATO DELL</w:t>
      </w:r>
      <w:r w:rsidR="00C633FD" w:rsidRPr="007F7EBF">
        <w:rPr>
          <w:rFonts w:ascii="Times New Roman" w:hAnsi="Times New Roman"/>
          <w:sz w:val="22"/>
          <w:szCs w:val="22"/>
        </w:rPr>
        <w:t>’</w:t>
      </w:r>
      <w:r w:rsidR="006342C5" w:rsidRPr="007F7EBF">
        <w:rPr>
          <w:rFonts w:ascii="Times New Roman" w:hAnsi="Times New Roman"/>
          <w:sz w:val="22"/>
          <w:szCs w:val="22"/>
        </w:rPr>
        <w:t>ATTIVITÀ</w:t>
      </w:r>
      <w:r w:rsidR="00775319" w:rsidRPr="007F7EBF">
        <w:rPr>
          <w:rFonts w:ascii="Times New Roman" w:hAnsi="Times New Roman"/>
          <w:sz w:val="22"/>
          <w:szCs w:val="22"/>
        </w:rPr>
        <w:t xml:space="preserve"> </w:t>
      </w:r>
      <w:r w:rsidR="00C633FD" w:rsidRPr="007F7EBF">
        <w:rPr>
          <w:rFonts w:ascii="Times New Roman" w:hAnsi="Times New Roman"/>
          <w:sz w:val="22"/>
          <w:szCs w:val="22"/>
        </w:rPr>
        <w:t>ALLE IMPOSTE, REALI E PERSONALI</w:t>
      </w:r>
      <w:bookmarkEnd w:id="128"/>
      <w:r w:rsidR="00C633FD" w:rsidRPr="007F7EBF">
        <w:rPr>
          <w:rFonts w:ascii="Times New Roman" w:hAnsi="Times New Roman"/>
          <w:sz w:val="22"/>
          <w:szCs w:val="22"/>
        </w:rPr>
        <w:t xml:space="preserve"> </w:t>
      </w:r>
    </w:p>
    <w:p w14:paraId="1E425C23" w14:textId="00E953D6" w:rsidR="00306179" w:rsidRPr="007F7EBF" w:rsidRDefault="000240E2" w:rsidP="00306179">
      <w:pPr>
        <w:pStyle w:val="som1"/>
        <w:rPr>
          <w:sz w:val="22"/>
          <w:szCs w:val="22"/>
          <w:lang w:val="it-IT"/>
        </w:rPr>
      </w:pPr>
      <w:r w:rsidRPr="007F7EBF">
        <w:rPr>
          <w:sz w:val="22"/>
          <w:szCs w:val="22"/>
          <w:lang w:val="it-IT"/>
        </w:rPr>
        <w:t>S</w:t>
      </w:r>
      <w:r w:rsidR="00306179" w:rsidRPr="007F7EBF">
        <w:rPr>
          <w:sz w:val="22"/>
          <w:szCs w:val="22"/>
          <w:lang w:val="it-IT"/>
        </w:rPr>
        <w:t>intesi</w:t>
      </w:r>
      <w:r w:rsidRPr="007F7EBF">
        <w:rPr>
          <w:sz w:val="22"/>
          <w:szCs w:val="22"/>
          <w:lang w:val="it-IT"/>
        </w:rPr>
        <w:t>.</w:t>
      </w:r>
      <w:r w:rsidR="00306179" w:rsidRPr="007F7EBF">
        <w:rPr>
          <w:sz w:val="22"/>
          <w:szCs w:val="22"/>
          <w:lang w:val="it-IT"/>
        </w:rPr>
        <w:t xml:space="preserve"> Questo capitolo presuppone la determinazione della ricchezza, ed il suo inquadramento giuridico, passando  sostanzialmente “dagli imponibili ai tributi</w:t>
      </w:r>
      <w:r w:rsidRPr="007F7EBF">
        <w:rPr>
          <w:sz w:val="22"/>
          <w:szCs w:val="22"/>
          <w:lang w:val="it-IT"/>
        </w:rPr>
        <w:t xml:space="preserve"> dovuti</w:t>
      </w:r>
      <w:r w:rsidR="00306179" w:rsidRPr="007F7EBF">
        <w:rPr>
          <w:sz w:val="22"/>
          <w:szCs w:val="22"/>
          <w:lang w:val="it-IT"/>
        </w:rPr>
        <w:t>”. Ormai la ricchezza, “a monte”, è stata determinata, ed i passaggi successivi servono a calcolare le imposte</w:t>
      </w:r>
      <w:r w:rsidRPr="007F7EBF">
        <w:rPr>
          <w:sz w:val="22"/>
          <w:szCs w:val="22"/>
          <w:lang w:val="it-IT"/>
        </w:rPr>
        <w:t>, applicando le aliquote (par.9.1)</w:t>
      </w:r>
      <w:r w:rsidR="00306179" w:rsidRPr="007F7EBF">
        <w:rPr>
          <w:sz w:val="22"/>
          <w:szCs w:val="22"/>
          <w:lang w:val="it-IT"/>
        </w:rPr>
        <w:t xml:space="preserve">. Per l’IVA, questi passaggi praticamente non si avvertono, in quanto imponibili e imposte nascono assieme, per ogni operazione rilevante ai fini del tributo, </w:t>
      </w:r>
      <w:r w:rsidRPr="007F7EBF">
        <w:rPr>
          <w:sz w:val="22"/>
          <w:szCs w:val="22"/>
          <w:lang w:val="it-IT"/>
        </w:rPr>
        <w:t>come indicato al par.3.4 e 7.8. L’applicazione più semplice dell’aliquota all’imponibile si ha per l’IRES (par.9.2), e per l’IRAP, dove ritroviamo al par.9.</w:t>
      </w:r>
      <w:r w:rsidR="005315AE">
        <w:rPr>
          <w:sz w:val="22"/>
          <w:szCs w:val="22"/>
          <w:lang w:val="it-IT"/>
        </w:rPr>
        <w:t>5</w:t>
      </w:r>
      <w:r w:rsidRPr="007F7EBF">
        <w:rPr>
          <w:sz w:val="22"/>
          <w:szCs w:val="22"/>
          <w:lang w:val="it-IT"/>
        </w:rPr>
        <w:t xml:space="preserve"> l’importante concetto di valore aggiunto, fondamentale per capire le organizzazioni aziendali (par.3.1). I paragrafi 9.3-9.</w:t>
      </w:r>
      <w:r w:rsidR="00273357">
        <w:rPr>
          <w:sz w:val="22"/>
          <w:szCs w:val="22"/>
          <w:lang w:val="it-IT"/>
        </w:rPr>
        <w:t>4</w:t>
      </w:r>
      <w:r w:rsidRPr="007F7EBF">
        <w:rPr>
          <w:sz w:val="22"/>
          <w:szCs w:val="22"/>
          <w:lang w:val="it-IT"/>
        </w:rPr>
        <w:t xml:space="preserve"> servono invece all’esame della “personalità del tributo”, che costituisce un passaggio successivo rispetto alla determinazione della ricchezza, soprattutto </w:t>
      </w:r>
      <w:r w:rsidR="00306179" w:rsidRPr="007F7EBF">
        <w:rPr>
          <w:sz w:val="22"/>
          <w:szCs w:val="22"/>
          <w:lang w:val="it-IT"/>
        </w:rPr>
        <w:t>per l’imposta su</w:t>
      </w:r>
      <w:r w:rsidRPr="007F7EBF">
        <w:rPr>
          <w:sz w:val="22"/>
          <w:szCs w:val="22"/>
          <w:lang w:val="it-IT"/>
        </w:rPr>
        <w:t xml:space="preserve">l reddito delle persone fisiche, dove rilevano alcuni aspetti della situazione personale e familiare del contribuente, con </w:t>
      </w:r>
      <w:r w:rsidR="00306179" w:rsidRPr="007F7EBF">
        <w:rPr>
          <w:sz w:val="22"/>
          <w:szCs w:val="22"/>
          <w:lang w:val="it-IT"/>
        </w:rPr>
        <w:t>deduzioni e detrazioni ispirate a scelte prevalentemente politiche, ma pur tuttavia razionalizzabili sul piano della determinazione della ricchezza</w:t>
      </w:r>
      <w:r w:rsidRPr="007F7EBF">
        <w:rPr>
          <w:sz w:val="22"/>
          <w:szCs w:val="22"/>
          <w:lang w:val="it-IT"/>
        </w:rPr>
        <w:t xml:space="preserve">. Alla </w:t>
      </w:r>
      <w:r w:rsidR="00306179" w:rsidRPr="007F7EBF">
        <w:rPr>
          <w:sz w:val="22"/>
          <w:szCs w:val="22"/>
          <w:lang w:val="it-IT"/>
        </w:rPr>
        <w:t xml:space="preserve">progressività, è dedicato il cap.9.4, unitamente ai correttivi per i redditi pluriennali. </w:t>
      </w:r>
    </w:p>
    <w:p w14:paraId="72D57245" w14:textId="77777777" w:rsidR="00775319" w:rsidRPr="007F7EBF" w:rsidRDefault="00775319" w:rsidP="006342C5">
      <w:pPr>
        <w:autoSpaceDE w:val="0"/>
        <w:autoSpaceDN w:val="0"/>
        <w:adjustRightInd w:val="0"/>
        <w:rPr>
          <w:sz w:val="22"/>
          <w:szCs w:val="22"/>
        </w:rPr>
      </w:pPr>
    </w:p>
    <w:p w14:paraId="018DACD1" w14:textId="77777777" w:rsidR="001C3896" w:rsidRPr="007F7EBF" w:rsidRDefault="006342C5" w:rsidP="001C3896">
      <w:pPr>
        <w:pStyle w:val="Titolo3"/>
        <w:rPr>
          <w:rFonts w:ascii="Times New Roman" w:hAnsi="Times New Roman"/>
          <w:sz w:val="22"/>
          <w:szCs w:val="22"/>
        </w:rPr>
      </w:pPr>
      <w:bookmarkStart w:id="129" w:name="_Toc63365039"/>
      <w:r w:rsidRPr="007F7EBF">
        <w:rPr>
          <w:rFonts w:ascii="Times New Roman" w:hAnsi="Times New Roman"/>
          <w:sz w:val="22"/>
          <w:szCs w:val="22"/>
        </w:rPr>
        <w:t xml:space="preserve">9.1. </w:t>
      </w:r>
      <w:r w:rsidR="00D57868" w:rsidRPr="007F7EBF">
        <w:rPr>
          <w:rFonts w:ascii="Times New Roman" w:hAnsi="Times New Roman"/>
          <w:sz w:val="22"/>
          <w:szCs w:val="22"/>
          <w:lang w:val="it-IT"/>
        </w:rPr>
        <w:t xml:space="preserve">Dalla determinazione della ricchezza a quella delle imposte: </w:t>
      </w:r>
      <w:r w:rsidRPr="007F7EBF">
        <w:rPr>
          <w:rFonts w:ascii="Times New Roman" w:hAnsi="Times New Roman"/>
          <w:sz w:val="22"/>
          <w:szCs w:val="22"/>
        </w:rPr>
        <w:t>IRES, IRPEF e IRAP</w:t>
      </w:r>
      <w:bookmarkEnd w:id="129"/>
    </w:p>
    <w:p w14:paraId="332B8932" w14:textId="77777777" w:rsidR="001C3896" w:rsidRPr="007F7EBF" w:rsidRDefault="001C3896" w:rsidP="001C3896">
      <w:pPr>
        <w:pStyle w:val="tit23"/>
        <w:ind w:left="6464" w:right="-1361" w:firstLine="0"/>
        <w:jc w:val="left"/>
        <w:rPr>
          <w:bCs/>
          <w:i/>
          <w:iCs/>
          <w:color w:val="0000FF"/>
          <w:lang w:val="it-IT"/>
        </w:rPr>
      </w:pPr>
      <w:r w:rsidRPr="007F7EBF">
        <w:rPr>
          <w:bCs/>
          <w:i/>
          <w:iCs/>
          <w:color w:val="0000FF"/>
          <w:lang w:val="it-IT"/>
        </w:rPr>
        <w:t>Dal reddito ai tributi dovuti su di esso</w:t>
      </w:r>
    </w:p>
    <w:p w14:paraId="7CFA41DF" w14:textId="737056FE" w:rsidR="001C3896" w:rsidRPr="007F7EBF" w:rsidRDefault="002C66C6" w:rsidP="001C3896">
      <w:pPr>
        <w:autoSpaceDE w:val="0"/>
        <w:autoSpaceDN w:val="0"/>
        <w:adjustRightInd w:val="0"/>
        <w:rPr>
          <w:sz w:val="22"/>
          <w:szCs w:val="22"/>
        </w:rPr>
      </w:pPr>
      <w:r>
        <w:rPr>
          <w:sz w:val="22"/>
          <w:szCs w:val="22"/>
        </w:rPr>
        <w:t>Passare</w:t>
      </w:r>
      <w:r w:rsidR="00EF6799" w:rsidRPr="007F7EBF">
        <w:rPr>
          <w:sz w:val="22"/>
          <w:szCs w:val="22"/>
        </w:rPr>
        <w:t xml:space="preserve"> da</w:t>
      </w:r>
      <w:r>
        <w:rPr>
          <w:sz w:val="22"/>
          <w:szCs w:val="22"/>
        </w:rPr>
        <w:t xml:space="preserve">gli </w:t>
      </w:r>
      <w:r w:rsidR="007633E0">
        <w:rPr>
          <w:sz w:val="22"/>
          <w:szCs w:val="22"/>
        </w:rPr>
        <w:t xml:space="preserve">imponibili, </w:t>
      </w:r>
      <w:r>
        <w:rPr>
          <w:sz w:val="22"/>
          <w:szCs w:val="22"/>
        </w:rPr>
        <w:t xml:space="preserve">che specificano </w:t>
      </w:r>
      <w:r w:rsidR="00002BCC">
        <w:rPr>
          <w:sz w:val="22"/>
          <w:szCs w:val="22"/>
        </w:rPr>
        <w:t xml:space="preserve">le astrazioni economiche </w:t>
      </w:r>
      <w:r>
        <w:rPr>
          <w:sz w:val="22"/>
          <w:szCs w:val="22"/>
        </w:rPr>
        <w:t>di cui al par.1.8 (ricavi, costi, consumi), alle relative imposte</w:t>
      </w:r>
      <w:r w:rsidR="00002BCC">
        <w:rPr>
          <w:sz w:val="22"/>
          <w:szCs w:val="22"/>
        </w:rPr>
        <w:t>,</w:t>
      </w:r>
      <w:r>
        <w:rPr>
          <w:sz w:val="22"/>
          <w:szCs w:val="22"/>
        </w:rPr>
        <w:t xml:space="preserve"> è </w:t>
      </w:r>
      <w:r w:rsidR="00EF6799" w:rsidRPr="007F7EBF">
        <w:rPr>
          <w:sz w:val="22"/>
          <w:szCs w:val="22"/>
        </w:rPr>
        <w:t>relativamente semplic</w:t>
      </w:r>
      <w:r>
        <w:rPr>
          <w:sz w:val="22"/>
          <w:szCs w:val="22"/>
        </w:rPr>
        <w:t>e</w:t>
      </w:r>
      <w:r w:rsidR="001A45F4">
        <w:rPr>
          <w:sz w:val="22"/>
          <w:szCs w:val="22"/>
        </w:rPr>
        <w:t>, e per l’IVA ne abbiamo già parlato al par</w:t>
      </w:r>
      <w:r w:rsidR="00002BCC">
        <w:rPr>
          <w:sz w:val="22"/>
          <w:szCs w:val="22"/>
        </w:rPr>
        <w:t>.</w:t>
      </w:r>
      <w:r w:rsidR="001A45F4">
        <w:rPr>
          <w:sz w:val="22"/>
          <w:szCs w:val="22"/>
        </w:rPr>
        <w:t xml:space="preserve">7.3. </w:t>
      </w:r>
      <w:r w:rsidR="00DC4B94">
        <w:rPr>
          <w:sz w:val="22"/>
          <w:szCs w:val="22"/>
        </w:rPr>
        <w:t xml:space="preserve">Le tipologie di </w:t>
      </w:r>
      <w:r w:rsidR="001A45F4">
        <w:rPr>
          <w:sz w:val="22"/>
          <w:szCs w:val="22"/>
        </w:rPr>
        <w:t xml:space="preserve"> imponibil</w:t>
      </w:r>
      <w:r w:rsidR="00DC4B94">
        <w:rPr>
          <w:sz w:val="22"/>
          <w:szCs w:val="22"/>
        </w:rPr>
        <w:t>i, calcolat</w:t>
      </w:r>
      <w:r w:rsidR="006B6BA9">
        <w:rPr>
          <w:sz w:val="22"/>
          <w:szCs w:val="22"/>
        </w:rPr>
        <w:t xml:space="preserve">e </w:t>
      </w:r>
      <w:r w:rsidR="00DC4B94">
        <w:rPr>
          <w:sz w:val="22"/>
          <w:szCs w:val="22"/>
        </w:rPr>
        <w:t xml:space="preserve"> nei modi indicati finora, </w:t>
      </w:r>
      <w:r w:rsidR="006B6BA9">
        <w:rPr>
          <w:sz w:val="22"/>
          <w:szCs w:val="22"/>
        </w:rPr>
        <w:t>possono</w:t>
      </w:r>
      <w:r w:rsidR="00DC4B94">
        <w:rPr>
          <w:sz w:val="22"/>
          <w:szCs w:val="22"/>
        </w:rPr>
        <w:t xml:space="preserve"> essere aggregat</w:t>
      </w:r>
      <w:r w:rsidR="006B6BA9">
        <w:rPr>
          <w:sz w:val="22"/>
          <w:szCs w:val="22"/>
        </w:rPr>
        <w:t>e</w:t>
      </w:r>
      <w:r w:rsidR="00DC4B94">
        <w:rPr>
          <w:sz w:val="22"/>
          <w:szCs w:val="22"/>
        </w:rPr>
        <w:t xml:space="preserve"> in modo diverso, e</w:t>
      </w:r>
      <w:r w:rsidR="006B6BA9">
        <w:rPr>
          <w:sz w:val="22"/>
          <w:szCs w:val="22"/>
        </w:rPr>
        <w:t>d essere</w:t>
      </w:r>
      <w:r w:rsidR="00DC4B94">
        <w:rPr>
          <w:sz w:val="22"/>
          <w:szCs w:val="22"/>
        </w:rPr>
        <w:t xml:space="preserve"> soggett</w:t>
      </w:r>
      <w:r w:rsidR="006B6BA9">
        <w:rPr>
          <w:sz w:val="22"/>
          <w:szCs w:val="22"/>
        </w:rPr>
        <w:t>e</w:t>
      </w:r>
      <w:r w:rsidR="00DC4B94">
        <w:rPr>
          <w:sz w:val="22"/>
          <w:szCs w:val="22"/>
        </w:rPr>
        <w:t xml:space="preserve"> a </w:t>
      </w:r>
      <w:r w:rsidR="001A45F4">
        <w:rPr>
          <w:sz w:val="22"/>
          <w:szCs w:val="22"/>
        </w:rPr>
        <w:t xml:space="preserve">imposte </w:t>
      </w:r>
      <w:r w:rsidR="001C3896" w:rsidRPr="007F7EBF">
        <w:rPr>
          <w:sz w:val="22"/>
          <w:szCs w:val="22"/>
        </w:rPr>
        <w:t>divers</w:t>
      </w:r>
      <w:r w:rsidR="001A45F4">
        <w:rPr>
          <w:sz w:val="22"/>
          <w:szCs w:val="22"/>
        </w:rPr>
        <w:t>e</w:t>
      </w:r>
      <w:r w:rsidR="006B6BA9">
        <w:rPr>
          <w:sz w:val="22"/>
          <w:szCs w:val="22"/>
        </w:rPr>
        <w:t xml:space="preserve">. Possono essere </w:t>
      </w:r>
      <w:r w:rsidR="001A45F4">
        <w:rPr>
          <w:sz w:val="22"/>
          <w:szCs w:val="22"/>
        </w:rPr>
        <w:t xml:space="preserve"> quelle relative a redditi isolati, come le ritenute a titolo d’imposta (par.3.6) o alcune imposte sostitutive, ad esempio sui redditi finanziari (par.8.5)</w:t>
      </w:r>
      <w:r w:rsidR="006B6BA9">
        <w:rPr>
          <w:sz w:val="22"/>
          <w:szCs w:val="22"/>
        </w:rPr>
        <w:t xml:space="preserve">, oppure </w:t>
      </w:r>
      <w:r w:rsidR="007A33AF">
        <w:rPr>
          <w:sz w:val="22"/>
          <w:szCs w:val="22"/>
        </w:rPr>
        <w:t xml:space="preserve">l’imposta sui redditi delle società (IRES), applicabile a tutte le persone </w:t>
      </w:r>
      <w:r w:rsidR="001A45F4">
        <w:rPr>
          <w:sz w:val="22"/>
          <w:szCs w:val="22"/>
        </w:rPr>
        <w:t xml:space="preserve"> giuridic</w:t>
      </w:r>
      <w:r w:rsidR="007A33AF">
        <w:rPr>
          <w:sz w:val="22"/>
          <w:szCs w:val="22"/>
        </w:rPr>
        <w:t>he</w:t>
      </w:r>
      <w:r w:rsidR="006B6BA9">
        <w:rPr>
          <w:sz w:val="22"/>
          <w:szCs w:val="22"/>
        </w:rPr>
        <w:t xml:space="preserve"> e di cui diremo ora</w:t>
      </w:r>
      <w:r w:rsidR="007A33AF">
        <w:rPr>
          <w:sz w:val="22"/>
          <w:szCs w:val="22"/>
        </w:rPr>
        <w:t xml:space="preserve">, </w:t>
      </w:r>
      <w:r w:rsidR="006B6BA9">
        <w:rPr>
          <w:sz w:val="22"/>
          <w:szCs w:val="22"/>
        </w:rPr>
        <w:t>fino all’</w:t>
      </w:r>
      <w:r w:rsidR="001A45F4">
        <w:rPr>
          <w:sz w:val="22"/>
          <w:szCs w:val="22"/>
        </w:rPr>
        <w:t>Irpef</w:t>
      </w:r>
      <w:r w:rsidR="006B6BA9">
        <w:rPr>
          <w:sz w:val="22"/>
          <w:szCs w:val="22"/>
        </w:rPr>
        <w:t xml:space="preserve">, su cui parr.9.2 e seguenti. </w:t>
      </w:r>
    </w:p>
    <w:p w14:paraId="27BE0BDA" w14:textId="77777777" w:rsidR="001C3896" w:rsidRPr="007F7EBF" w:rsidRDefault="00A33C37" w:rsidP="001C3896">
      <w:pPr>
        <w:pStyle w:val="tit23"/>
        <w:ind w:left="6464" w:right="-1361" w:firstLine="0"/>
        <w:jc w:val="left"/>
        <w:rPr>
          <w:bCs/>
          <w:i/>
          <w:iCs/>
          <w:color w:val="0000FF"/>
          <w:lang w:val="it-IT"/>
        </w:rPr>
      </w:pPr>
      <w:proofErr w:type="spellStart"/>
      <w:r w:rsidRPr="007F7EBF">
        <w:rPr>
          <w:bCs/>
          <w:i/>
          <w:iCs/>
          <w:color w:val="0000FF"/>
          <w:lang w:val="it-IT"/>
        </w:rPr>
        <w:t>Ires:</w:t>
      </w:r>
      <w:r w:rsidR="007556E0" w:rsidRPr="007F7EBF">
        <w:rPr>
          <w:bCs/>
          <w:i/>
          <w:iCs/>
          <w:color w:val="0000FF"/>
          <w:lang w:val="it-IT"/>
        </w:rPr>
        <w:t>sfera</w:t>
      </w:r>
      <w:proofErr w:type="spellEnd"/>
      <w:r w:rsidR="007556E0" w:rsidRPr="007F7EBF">
        <w:rPr>
          <w:bCs/>
          <w:i/>
          <w:iCs/>
          <w:color w:val="0000FF"/>
          <w:lang w:val="it-IT"/>
        </w:rPr>
        <w:t xml:space="preserve"> applicativa di una imposta bifronte</w:t>
      </w:r>
      <w:r w:rsidR="00A54B86" w:rsidRPr="007F7EBF">
        <w:rPr>
          <w:bCs/>
          <w:i/>
          <w:iCs/>
          <w:color w:val="0000FF"/>
          <w:lang w:val="it-IT"/>
        </w:rPr>
        <w:t xml:space="preserve"> </w:t>
      </w:r>
    </w:p>
    <w:p w14:paraId="55461A2C" w14:textId="606846E3" w:rsidR="0018295F" w:rsidRPr="007F7EBF" w:rsidRDefault="001A45F4" w:rsidP="0018295F">
      <w:pPr>
        <w:autoSpaceDE w:val="0"/>
        <w:autoSpaceDN w:val="0"/>
        <w:adjustRightInd w:val="0"/>
        <w:rPr>
          <w:sz w:val="22"/>
          <w:szCs w:val="22"/>
        </w:rPr>
      </w:pPr>
      <w:r>
        <w:rPr>
          <w:sz w:val="22"/>
          <w:szCs w:val="22"/>
        </w:rPr>
        <w:t>L’IRES</w:t>
      </w:r>
      <w:r w:rsidR="00FF3480">
        <w:rPr>
          <w:sz w:val="22"/>
          <w:szCs w:val="22"/>
        </w:rPr>
        <w:t>, con l’aliquota del 24%</w:t>
      </w:r>
      <w:r w:rsidR="00C94F66" w:rsidRPr="007F7EBF">
        <w:rPr>
          <w:sz w:val="22"/>
          <w:szCs w:val="22"/>
        </w:rPr>
        <w:t>(</w:t>
      </w:r>
      <w:r w:rsidR="00C94F66" w:rsidRPr="007F7EBF">
        <w:rPr>
          <w:rStyle w:val="Rimandonotaapidipagina"/>
          <w:sz w:val="22"/>
          <w:szCs w:val="22"/>
        </w:rPr>
        <w:footnoteReference w:id="1311"/>
      </w:r>
      <w:r w:rsidR="00C94F66" w:rsidRPr="007F7EBF">
        <w:rPr>
          <w:sz w:val="22"/>
          <w:szCs w:val="22"/>
        </w:rPr>
        <w:t>)</w:t>
      </w:r>
      <w:r w:rsidR="00FF3480">
        <w:rPr>
          <w:sz w:val="22"/>
          <w:szCs w:val="22"/>
        </w:rPr>
        <w:t xml:space="preserve">, </w:t>
      </w:r>
      <w:r w:rsidR="001C3896" w:rsidRPr="007F7EBF">
        <w:rPr>
          <w:sz w:val="22"/>
          <w:szCs w:val="22"/>
        </w:rPr>
        <w:t xml:space="preserve">colpisce </w:t>
      </w:r>
      <w:r w:rsidR="00FF3480">
        <w:rPr>
          <w:sz w:val="22"/>
          <w:szCs w:val="22"/>
        </w:rPr>
        <w:t xml:space="preserve">non </w:t>
      </w:r>
      <w:r w:rsidR="00A13C6B" w:rsidRPr="007F7EBF">
        <w:rPr>
          <w:sz w:val="22"/>
          <w:szCs w:val="22"/>
        </w:rPr>
        <w:t>solo l</w:t>
      </w:r>
      <w:r w:rsidR="007F57EC" w:rsidRPr="007F7EBF">
        <w:rPr>
          <w:sz w:val="22"/>
          <w:szCs w:val="22"/>
        </w:rPr>
        <w:t>e società di capitali</w:t>
      </w:r>
      <w:r>
        <w:rPr>
          <w:sz w:val="22"/>
          <w:szCs w:val="22"/>
        </w:rPr>
        <w:t xml:space="preserve">, ma </w:t>
      </w:r>
      <w:r w:rsidR="00A13C6B" w:rsidRPr="007F7EBF">
        <w:rPr>
          <w:sz w:val="22"/>
          <w:szCs w:val="22"/>
        </w:rPr>
        <w:t>anche</w:t>
      </w:r>
      <w:r w:rsidR="007F57EC" w:rsidRPr="007F7EBF">
        <w:rPr>
          <w:sz w:val="22"/>
          <w:szCs w:val="22"/>
        </w:rPr>
        <w:t xml:space="preserve"> </w:t>
      </w:r>
      <w:r w:rsidR="001C3896" w:rsidRPr="007F7EBF">
        <w:rPr>
          <w:sz w:val="22"/>
          <w:szCs w:val="22"/>
        </w:rPr>
        <w:t xml:space="preserve">tutti gli enti diversi dalle persone fisiche, compresi gli </w:t>
      </w:r>
      <w:r w:rsidR="00621039" w:rsidRPr="007F7EBF">
        <w:rPr>
          <w:sz w:val="22"/>
          <w:szCs w:val="22"/>
        </w:rPr>
        <w:t xml:space="preserve">enti non societari </w:t>
      </w:r>
      <w:r w:rsidR="007915B4" w:rsidRPr="007F7EBF">
        <w:rPr>
          <w:sz w:val="22"/>
          <w:szCs w:val="22"/>
        </w:rPr>
        <w:t>(</w:t>
      </w:r>
      <w:r w:rsidR="001C3896" w:rsidRPr="007F7EBF">
        <w:rPr>
          <w:rStyle w:val="Rimandonotaapidipagina"/>
          <w:sz w:val="22"/>
          <w:szCs w:val="22"/>
        </w:rPr>
        <w:footnoteReference w:id="1312"/>
      </w:r>
      <w:r w:rsidR="00A13C6B" w:rsidRPr="007F7EBF">
        <w:rPr>
          <w:sz w:val="22"/>
          <w:szCs w:val="22"/>
        </w:rPr>
        <w:t>)</w:t>
      </w:r>
      <w:r w:rsidR="007915B4" w:rsidRPr="007F7EBF">
        <w:rPr>
          <w:sz w:val="22"/>
          <w:szCs w:val="22"/>
        </w:rPr>
        <w:t xml:space="preserve">. </w:t>
      </w:r>
      <w:r w:rsidR="00621039" w:rsidRPr="007F7EBF">
        <w:rPr>
          <w:sz w:val="22"/>
          <w:szCs w:val="22"/>
        </w:rPr>
        <w:t xml:space="preserve"> </w:t>
      </w:r>
      <w:r>
        <w:rPr>
          <w:sz w:val="22"/>
          <w:szCs w:val="22"/>
        </w:rPr>
        <w:t xml:space="preserve">Nel caso </w:t>
      </w:r>
      <w:r w:rsidR="007A33AF">
        <w:rPr>
          <w:sz w:val="22"/>
          <w:szCs w:val="22"/>
        </w:rPr>
        <w:t>delle società</w:t>
      </w:r>
      <w:r w:rsidR="006B6BA9">
        <w:rPr>
          <w:sz w:val="22"/>
          <w:szCs w:val="22"/>
        </w:rPr>
        <w:t>, come indicato al par.7.17,</w:t>
      </w:r>
      <w:r w:rsidR="007A33AF">
        <w:rPr>
          <w:sz w:val="22"/>
          <w:szCs w:val="22"/>
        </w:rPr>
        <w:t xml:space="preserve"> </w:t>
      </w:r>
      <w:r w:rsidR="007556E0" w:rsidRPr="007F7EBF">
        <w:rPr>
          <w:sz w:val="22"/>
          <w:szCs w:val="22"/>
        </w:rPr>
        <w:t>l’IRES “anticipa” un</w:t>
      </w:r>
      <w:r w:rsidR="007A33AF">
        <w:rPr>
          <w:sz w:val="22"/>
          <w:szCs w:val="22"/>
        </w:rPr>
        <w:t>’i</w:t>
      </w:r>
      <w:r w:rsidR="007556E0" w:rsidRPr="007F7EBF">
        <w:rPr>
          <w:sz w:val="22"/>
          <w:szCs w:val="22"/>
        </w:rPr>
        <w:t xml:space="preserve">mposizione successiva sui </w:t>
      </w:r>
      <w:r>
        <w:rPr>
          <w:sz w:val="22"/>
          <w:szCs w:val="22"/>
        </w:rPr>
        <w:t xml:space="preserve">soci, </w:t>
      </w:r>
      <w:r w:rsidR="007A33AF">
        <w:rPr>
          <w:sz w:val="22"/>
          <w:szCs w:val="22"/>
        </w:rPr>
        <w:t xml:space="preserve">quando percepiranno </w:t>
      </w:r>
      <w:r>
        <w:rPr>
          <w:sz w:val="22"/>
          <w:szCs w:val="22"/>
        </w:rPr>
        <w:t>gli utili</w:t>
      </w:r>
      <w:r w:rsidR="00101939">
        <w:rPr>
          <w:sz w:val="22"/>
          <w:szCs w:val="22"/>
        </w:rPr>
        <w:t>. P</w:t>
      </w:r>
      <w:r w:rsidR="007F57EC" w:rsidRPr="007F7EBF">
        <w:rPr>
          <w:sz w:val="22"/>
          <w:szCs w:val="22"/>
        </w:rPr>
        <w:t xml:space="preserve">er </w:t>
      </w:r>
      <w:r w:rsidR="007A33AF">
        <w:rPr>
          <w:sz w:val="22"/>
          <w:szCs w:val="22"/>
        </w:rPr>
        <w:t xml:space="preserve">gli </w:t>
      </w:r>
      <w:r w:rsidR="007F57EC" w:rsidRPr="007F7EBF">
        <w:rPr>
          <w:sz w:val="22"/>
          <w:szCs w:val="22"/>
        </w:rPr>
        <w:t>“enti non societari”</w:t>
      </w:r>
      <w:r w:rsidR="00101939">
        <w:rPr>
          <w:sz w:val="22"/>
          <w:szCs w:val="22"/>
        </w:rPr>
        <w:t>,</w:t>
      </w:r>
      <w:r w:rsidR="007A33AF">
        <w:rPr>
          <w:sz w:val="22"/>
          <w:szCs w:val="22"/>
        </w:rPr>
        <w:t xml:space="preserve"> </w:t>
      </w:r>
      <w:proofErr w:type="spellStart"/>
      <w:r w:rsidR="00101939">
        <w:rPr>
          <w:sz w:val="22"/>
          <w:szCs w:val="22"/>
        </w:rPr>
        <w:t>l’ires</w:t>
      </w:r>
      <w:proofErr w:type="spellEnd"/>
      <w:r w:rsidR="00101939">
        <w:rPr>
          <w:sz w:val="22"/>
          <w:szCs w:val="22"/>
        </w:rPr>
        <w:t xml:space="preserve"> invece</w:t>
      </w:r>
      <w:r w:rsidR="007F57EC" w:rsidRPr="007F7EBF">
        <w:rPr>
          <w:sz w:val="22"/>
          <w:szCs w:val="22"/>
        </w:rPr>
        <w:t xml:space="preserve"> </w:t>
      </w:r>
      <w:r w:rsidR="007556E0" w:rsidRPr="007F7EBF">
        <w:rPr>
          <w:sz w:val="22"/>
          <w:szCs w:val="22"/>
        </w:rPr>
        <w:t>esaurisce l’imposizione redditual</w:t>
      </w:r>
      <w:r w:rsidR="00FF3480">
        <w:rPr>
          <w:sz w:val="22"/>
          <w:szCs w:val="22"/>
        </w:rPr>
        <w:t>e</w:t>
      </w:r>
      <w:r w:rsidR="00101939">
        <w:rPr>
          <w:sz w:val="22"/>
          <w:szCs w:val="22"/>
        </w:rPr>
        <w:t xml:space="preserve">, con </w:t>
      </w:r>
      <w:r w:rsidR="00FF3480">
        <w:rPr>
          <w:sz w:val="22"/>
          <w:szCs w:val="22"/>
        </w:rPr>
        <w:t>soluzione distorsiva nei rari casi</w:t>
      </w:r>
      <w:r w:rsidR="00101939">
        <w:rPr>
          <w:sz w:val="22"/>
          <w:szCs w:val="22"/>
        </w:rPr>
        <w:t xml:space="preserve"> </w:t>
      </w:r>
      <w:r w:rsidR="00FF3480">
        <w:rPr>
          <w:sz w:val="22"/>
          <w:szCs w:val="22"/>
        </w:rPr>
        <w:t xml:space="preserve">in cui, </w:t>
      </w:r>
      <w:r w:rsidR="00FF3480" w:rsidRPr="007F7EBF">
        <w:t>attraverso l’ente</w:t>
      </w:r>
      <w:r w:rsidR="00FF3480">
        <w:t>,</w:t>
      </w:r>
      <w:r w:rsidR="00FF3480" w:rsidRPr="007F7EBF">
        <w:t xml:space="preserve"> il reddito affluisce a beneficiari ben individuati</w:t>
      </w:r>
      <w:r w:rsidR="00101939">
        <w:t xml:space="preserve">; aggiungiamo ai beneficiari esterni all’ente, come  quelli di alcuni </w:t>
      </w:r>
      <w:r w:rsidR="00FF3480" w:rsidRPr="007F7EBF">
        <w:t xml:space="preserve">trusts e </w:t>
      </w:r>
      <w:r w:rsidR="00101939">
        <w:t xml:space="preserve">assimilati, anche </w:t>
      </w:r>
      <w:r w:rsidR="007466ED">
        <w:t>enti</w:t>
      </w:r>
      <w:r w:rsidR="00101939">
        <w:t xml:space="preserve"> che sostengono direttamente i consumi dei loro membri, pagandone alloggio, vitto e altr</w:t>
      </w:r>
      <w:r w:rsidR="006B6BA9">
        <w:t>e spese personal</w:t>
      </w:r>
      <w:r w:rsidR="00101939">
        <w:t xml:space="preserve">i </w:t>
      </w:r>
      <w:r w:rsidR="006B6BA9">
        <w:t>(</w:t>
      </w:r>
      <w:r w:rsidR="00101939" w:rsidRPr="007F7EBF">
        <w:rPr>
          <w:rStyle w:val="Rimandonotaapidipagina"/>
          <w:sz w:val="22"/>
          <w:szCs w:val="22"/>
        </w:rPr>
        <w:footnoteReference w:id="1313"/>
      </w:r>
      <w:r w:rsidR="00101939" w:rsidRPr="007F7EBF">
        <w:rPr>
          <w:sz w:val="22"/>
          <w:szCs w:val="22"/>
        </w:rPr>
        <w:t>)</w:t>
      </w:r>
      <w:r w:rsidR="00FF3480" w:rsidRPr="007F7EBF">
        <w:t>.</w:t>
      </w:r>
      <w:r w:rsidR="00FF3480">
        <w:t xml:space="preserve"> In quest</w:t>
      </w:r>
      <w:r w:rsidR="007466ED">
        <w:t xml:space="preserve">i </w:t>
      </w:r>
      <w:r w:rsidR="00FF3480">
        <w:t>cas</w:t>
      </w:r>
      <w:r w:rsidR="007466ED">
        <w:t>i</w:t>
      </w:r>
      <w:r w:rsidR="00FF3480">
        <w:t xml:space="preserve"> infatti </w:t>
      </w:r>
      <w:r w:rsidR="00FF3480" w:rsidRPr="007F7EBF">
        <w:t xml:space="preserve">il </w:t>
      </w:r>
      <w:r w:rsidR="00FF3480">
        <w:t xml:space="preserve">relativo </w:t>
      </w:r>
      <w:r w:rsidR="00FF3480" w:rsidRPr="007F7EBF">
        <w:t xml:space="preserve">flusso economico </w:t>
      </w:r>
      <w:r w:rsidR="00FF3480" w:rsidRPr="007F7EBF">
        <w:lastRenderedPageBreak/>
        <w:t>sconta solo l’IRES e non l’IRPE</w:t>
      </w:r>
      <w:r w:rsidR="00FF3480">
        <w:t>F, in genere più onerosa, almeno per redditi elevati</w:t>
      </w:r>
      <w:r w:rsidR="00B664EB" w:rsidRPr="007F7EBF">
        <w:rPr>
          <w:sz w:val="22"/>
          <w:szCs w:val="22"/>
        </w:rPr>
        <w:t xml:space="preserve">. </w:t>
      </w:r>
      <w:r w:rsidR="0018295F" w:rsidRPr="007F7EBF">
        <w:rPr>
          <w:sz w:val="22"/>
          <w:szCs w:val="22"/>
        </w:rPr>
        <w:t xml:space="preserve"> </w:t>
      </w:r>
    </w:p>
    <w:p w14:paraId="7D66EC70" w14:textId="004F89A8" w:rsidR="0018295F" w:rsidRPr="007F7EBF" w:rsidRDefault="006B6BA9" w:rsidP="0018295F">
      <w:pPr>
        <w:pStyle w:val="tit23"/>
        <w:ind w:left="6464" w:right="-1361" w:firstLine="0"/>
        <w:jc w:val="left"/>
        <w:rPr>
          <w:bCs/>
          <w:i/>
          <w:iCs/>
          <w:color w:val="0000FF"/>
          <w:lang w:val="it-IT"/>
        </w:rPr>
      </w:pPr>
      <w:r>
        <w:rPr>
          <w:bCs/>
          <w:i/>
          <w:iCs/>
          <w:color w:val="0000FF"/>
          <w:lang w:val="it-IT"/>
        </w:rPr>
        <w:t xml:space="preserve">Rarità di </w:t>
      </w:r>
      <w:r w:rsidR="00F72DD0">
        <w:rPr>
          <w:bCs/>
          <w:i/>
          <w:iCs/>
          <w:color w:val="0000FF"/>
          <w:lang w:val="it-IT"/>
        </w:rPr>
        <w:t xml:space="preserve"> oneri personali e detrazioni</w:t>
      </w:r>
    </w:p>
    <w:p w14:paraId="51606DFC" w14:textId="0D72BA03" w:rsidR="00B00481" w:rsidRPr="00C94F66" w:rsidRDefault="0018295F" w:rsidP="00C94F66">
      <w:pPr>
        <w:autoSpaceDE w:val="0"/>
        <w:autoSpaceDN w:val="0"/>
        <w:adjustRightInd w:val="0"/>
        <w:rPr>
          <w:sz w:val="22"/>
          <w:szCs w:val="22"/>
        </w:rPr>
      </w:pPr>
      <w:r w:rsidRPr="007F7EBF">
        <w:rPr>
          <w:sz w:val="22"/>
          <w:szCs w:val="22"/>
        </w:rPr>
        <w:t xml:space="preserve">L' </w:t>
      </w:r>
      <w:r w:rsidR="00C94F66">
        <w:rPr>
          <w:sz w:val="22"/>
          <w:szCs w:val="22"/>
        </w:rPr>
        <w:t xml:space="preserve">IRES non ha </w:t>
      </w:r>
      <w:r w:rsidRPr="007F7EBF">
        <w:rPr>
          <w:sz w:val="22"/>
          <w:szCs w:val="22"/>
        </w:rPr>
        <w:t>rilevanti deduzioni o detrazioni per spese "personali"</w:t>
      </w:r>
      <w:r w:rsidR="00853908">
        <w:rPr>
          <w:sz w:val="22"/>
          <w:szCs w:val="22"/>
        </w:rPr>
        <w:t xml:space="preserve"> di cui al par.9.3</w:t>
      </w:r>
      <w:r w:rsidRPr="007F7EBF">
        <w:rPr>
          <w:sz w:val="22"/>
          <w:szCs w:val="22"/>
        </w:rPr>
        <w:t xml:space="preserve">, </w:t>
      </w:r>
      <w:r w:rsidR="00853908">
        <w:rPr>
          <w:sz w:val="22"/>
          <w:szCs w:val="22"/>
        </w:rPr>
        <w:t>molto rar</w:t>
      </w:r>
      <w:r w:rsidR="00EB79EB">
        <w:rPr>
          <w:sz w:val="22"/>
          <w:szCs w:val="22"/>
        </w:rPr>
        <w:t xml:space="preserve">e </w:t>
      </w:r>
      <w:r w:rsidR="00853908">
        <w:rPr>
          <w:sz w:val="22"/>
          <w:szCs w:val="22"/>
        </w:rPr>
        <w:t>p</w:t>
      </w:r>
      <w:r w:rsidRPr="007F7EBF">
        <w:rPr>
          <w:sz w:val="22"/>
          <w:szCs w:val="22"/>
        </w:rPr>
        <w:t>er enti diversi dalle persone fisiche</w:t>
      </w:r>
      <w:r w:rsidRPr="007F7EBF">
        <w:rPr>
          <w:rStyle w:val="Rimandonotaapidipagina"/>
          <w:sz w:val="22"/>
          <w:szCs w:val="22"/>
        </w:rPr>
        <w:footnoteReference w:id="1314"/>
      </w:r>
      <w:r w:rsidRPr="007F7EBF">
        <w:rPr>
          <w:sz w:val="22"/>
          <w:szCs w:val="22"/>
        </w:rPr>
        <w:t>. L'unico elemento significativo, prima del calcolo dell'imposta di periodo, è il riporto delle perdite d'impresa di anni precedenti</w:t>
      </w:r>
      <w:r w:rsidR="00F72DD0">
        <w:rPr>
          <w:sz w:val="22"/>
          <w:szCs w:val="22"/>
        </w:rPr>
        <w:t xml:space="preserve">, </w:t>
      </w:r>
      <w:r w:rsidR="0057329C">
        <w:rPr>
          <w:sz w:val="22"/>
          <w:szCs w:val="22"/>
        </w:rPr>
        <w:t>scomputabili in diminuzione dai redditi imponibili degli anni successivi</w:t>
      </w:r>
      <w:r w:rsidRPr="007F7EBF">
        <w:rPr>
          <w:sz w:val="22"/>
          <w:szCs w:val="22"/>
        </w:rPr>
        <w:t>.</w:t>
      </w:r>
      <w:r w:rsidR="001E0A23">
        <w:rPr>
          <w:sz w:val="22"/>
          <w:szCs w:val="22"/>
        </w:rPr>
        <w:t xml:space="preserve"> Le considerazioni sulla “personalità dei tributi” riguardano invece soprattutto le persone fisiche, come vedremo al prossimo paragrafo. </w:t>
      </w:r>
    </w:p>
    <w:p w14:paraId="7B683C27" w14:textId="00F6C3C2" w:rsidR="00D32BAD" w:rsidRPr="007F7EBF" w:rsidRDefault="006342C5" w:rsidP="00664197">
      <w:pPr>
        <w:pStyle w:val="Titolo3"/>
        <w:rPr>
          <w:rFonts w:ascii="Times New Roman" w:hAnsi="Times New Roman"/>
          <w:sz w:val="22"/>
          <w:szCs w:val="22"/>
        </w:rPr>
      </w:pPr>
      <w:bookmarkStart w:id="130" w:name="_Toc63365040"/>
      <w:r w:rsidRPr="007F7EBF">
        <w:rPr>
          <w:rFonts w:ascii="Times New Roman" w:hAnsi="Times New Roman"/>
          <w:sz w:val="22"/>
          <w:szCs w:val="22"/>
        </w:rPr>
        <w:t xml:space="preserve">9.2. </w:t>
      </w:r>
      <w:r w:rsidR="005E40CD" w:rsidRPr="007F7EBF">
        <w:rPr>
          <w:rFonts w:ascii="Times New Roman" w:hAnsi="Times New Roman"/>
          <w:sz w:val="22"/>
          <w:szCs w:val="22"/>
          <w:lang w:val="it-IT"/>
        </w:rPr>
        <w:t xml:space="preserve">Segue. </w:t>
      </w:r>
      <w:r w:rsidR="00664197" w:rsidRPr="007F7EBF">
        <w:rPr>
          <w:rFonts w:ascii="Times New Roman" w:hAnsi="Times New Roman"/>
          <w:sz w:val="22"/>
          <w:szCs w:val="22"/>
          <w:lang w:val="it-IT"/>
        </w:rPr>
        <w:t>P</w:t>
      </w:r>
      <w:r w:rsidR="00D32BAD" w:rsidRPr="007F7EBF">
        <w:rPr>
          <w:rFonts w:ascii="Times New Roman" w:hAnsi="Times New Roman"/>
          <w:sz w:val="22"/>
          <w:szCs w:val="22"/>
          <w:lang w:val="it-IT"/>
        </w:rPr>
        <w:t>recisazioni su</w:t>
      </w:r>
      <w:r w:rsidR="001E0A23">
        <w:rPr>
          <w:rFonts w:ascii="Times New Roman" w:hAnsi="Times New Roman"/>
          <w:sz w:val="22"/>
          <w:szCs w:val="22"/>
          <w:lang w:val="it-IT"/>
        </w:rPr>
        <w:t xml:space="preserve"> </w:t>
      </w:r>
      <w:r w:rsidR="00664197" w:rsidRPr="007F7EBF">
        <w:rPr>
          <w:rFonts w:ascii="Times New Roman" w:hAnsi="Times New Roman"/>
          <w:sz w:val="22"/>
          <w:szCs w:val="22"/>
          <w:lang w:val="it-IT"/>
        </w:rPr>
        <w:t>“personalità/realità” dei tributi</w:t>
      </w:r>
      <w:r w:rsidR="00CE4B1D">
        <w:rPr>
          <w:rFonts w:ascii="Times New Roman" w:hAnsi="Times New Roman"/>
          <w:sz w:val="22"/>
          <w:szCs w:val="22"/>
          <w:lang w:val="it-IT"/>
        </w:rPr>
        <w:t xml:space="preserve"> e aspetti comuni alla determinazione dei redditi (valore normale, inflazione etc.).</w:t>
      </w:r>
      <w:bookmarkEnd w:id="130"/>
      <w:r w:rsidR="00CE4B1D">
        <w:rPr>
          <w:rFonts w:ascii="Times New Roman" w:hAnsi="Times New Roman"/>
          <w:sz w:val="22"/>
          <w:szCs w:val="22"/>
          <w:lang w:val="it-IT"/>
        </w:rPr>
        <w:t xml:space="preserve"> </w:t>
      </w:r>
    </w:p>
    <w:p w14:paraId="2EA29B6C" w14:textId="0D847FA2" w:rsidR="00664197" w:rsidRPr="007F7EBF" w:rsidRDefault="004D79D8" w:rsidP="00664197">
      <w:pPr>
        <w:pStyle w:val="tit23"/>
        <w:ind w:left="6464" w:right="-1361" w:firstLine="0"/>
        <w:jc w:val="left"/>
        <w:rPr>
          <w:bCs/>
          <w:i/>
          <w:iCs/>
          <w:color w:val="0000FF"/>
          <w:lang w:val="it-IT"/>
        </w:rPr>
      </w:pPr>
      <w:r>
        <w:rPr>
          <w:bCs/>
          <w:i/>
          <w:iCs/>
          <w:color w:val="0000FF"/>
          <w:lang w:val="it-IT"/>
        </w:rPr>
        <w:t>Innesto della personalità sulla b</w:t>
      </w:r>
      <w:r w:rsidR="009D6DE9" w:rsidRPr="007F7EBF">
        <w:rPr>
          <w:bCs/>
          <w:i/>
          <w:iCs/>
          <w:color w:val="0000FF"/>
          <w:lang w:val="it-IT"/>
        </w:rPr>
        <w:t>ase “reale</w:t>
      </w:r>
      <w:r w:rsidR="00664197" w:rsidRPr="007F7EBF">
        <w:rPr>
          <w:bCs/>
          <w:i/>
          <w:iCs/>
          <w:color w:val="0000FF"/>
          <w:lang w:val="it-IT"/>
        </w:rPr>
        <w:t xml:space="preserve">” delle imposte </w:t>
      </w:r>
    </w:p>
    <w:p w14:paraId="12DA54D7" w14:textId="192B9DFE" w:rsidR="00664197" w:rsidRPr="007F7EBF" w:rsidRDefault="004D79D8" w:rsidP="00664197">
      <w:pPr>
        <w:autoSpaceDE w:val="0"/>
        <w:autoSpaceDN w:val="0"/>
        <w:adjustRightInd w:val="0"/>
        <w:rPr>
          <w:sz w:val="22"/>
          <w:szCs w:val="22"/>
        </w:rPr>
      </w:pPr>
      <w:r>
        <w:rPr>
          <w:sz w:val="22"/>
          <w:szCs w:val="22"/>
        </w:rPr>
        <w:t xml:space="preserve">Nel tempo e nello spazio, le imposte sono quasi tutte </w:t>
      </w:r>
      <w:r w:rsidRPr="004D79D8">
        <w:rPr>
          <w:i/>
          <w:sz w:val="22"/>
          <w:szCs w:val="22"/>
        </w:rPr>
        <w:t>reali</w:t>
      </w:r>
      <w:r>
        <w:rPr>
          <w:sz w:val="22"/>
          <w:szCs w:val="22"/>
        </w:rPr>
        <w:t xml:space="preserve">, da </w:t>
      </w:r>
      <w:r w:rsidRPr="004D79D8">
        <w:rPr>
          <w:i/>
          <w:sz w:val="22"/>
          <w:szCs w:val="22"/>
        </w:rPr>
        <w:t>res</w:t>
      </w:r>
      <w:r>
        <w:rPr>
          <w:sz w:val="22"/>
          <w:szCs w:val="22"/>
        </w:rPr>
        <w:t xml:space="preserve"> intesa come manifestazione economicamente rilevante (</w:t>
      </w:r>
      <w:r w:rsidRPr="007F7EBF">
        <w:rPr>
          <w:rStyle w:val="Rimandonotaapidipagina"/>
          <w:sz w:val="22"/>
          <w:szCs w:val="22"/>
        </w:rPr>
        <w:footnoteReference w:id="1315"/>
      </w:r>
      <w:r>
        <w:rPr>
          <w:sz w:val="22"/>
          <w:szCs w:val="22"/>
        </w:rPr>
        <w:t>), t</w:t>
      </w:r>
      <w:r w:rsidR="00765C44" w:rsidRPr="007F7EBF">
        <w:rPr>
          <w:sz w:val="22"/>
          <w:szCs w:val="22"/>
        </w:rPr>
        <w:t xml:space="preserve">rascurando ulteriori </w:t>
      </w:r>
      <w:r w:rsidR="00664197" w:rsidRPr="007F7EBF">
        <w:rPr>
          <w:sz w:val="22"/>
          <w:szCs w:val="22"/>
        </w:rPr>
        <w:t xml:space="preserve">circostanze personali o familiari del contribuente. </w:t>
      </w:r>
      <w:r>
        <w:rPr>
          <w:sz w:val="22"/>
          <w:szCs w:val="22"/>
        </w:rPr>
        <w:t>S</w:t>
      </w:r>
      <w:r w:rsidR="00765C44" w:rsidRPr="007F7EBF">
        <w:rPr>
          <w:sz w:val="22"/>
          <w:szCs w:val="22"/>
        </w:rPr>
        <w:t xml:space="preserve">olo </w:t>
      </w:r>
      <w:r w:rsidR="00664197" w:rsidRPr="007F7EBF">
        <w:rPr>
          <w:sz w:val="22"/>
          <w:szCs w:val="22"/>
        </w:rPr>
        <w:t xml:space="preserve"> </w:t>
      </w:r>
      <w:r w:rsidR="00664197" w:rsidRPr="007F7EBF">
        <w:rPr>
          <w:bCs/>
          <w:sz w:val="22"/>
          <w:szCs w:val="22"/>
        </w:rPr>
        <w:t>pochissime imposte</w:t>
      </w:r>
      <w:r w:rsidR="00765C44" w:rsidRPr="007F7EBF">
        <w:rPr>
          <w:bCs/>
          <w:sz w:val="22"/>
          <w:szCs w:val="22"/>
        </w:rPr>
        <w:t xml:space="preserve"> si dicono personali in quanto</w:t>
      </w:r>
      <w:r>
        <w:rPr>
          <w:bCs/>
          <w:sz w:val="22"/>
          <w:szCs w:val="22"/>
        </w:rPr>
        <w:t xml:space="preserve"> non considerano solo la </w:t>
      </w:r>
      <w:r w:rsidR="00664197" w:rsidRPr="007F7EBF">
        <w:rPr>
          <w:sz w:val="22"/>
          <w:szCs w:val="22"/>
        </w:rPr>
        <w:t>ricchezza</w:t>
      </w:r>
      <w:r>
        <w:rPr>
          <w:sz w:val="22"/>
          <w:szCs w:val="22"/>
        </w:rPr>
        <w:t>, ma anche</w:t>
      </w:r>
      <w:r w:rsidR="00664197" w:rsidRPr="007F7EBF">
        <w:rPr>
          <w:sz w:val="22"/>
          <w:szCs w:val="22"/>
        </w:rPr>
        <w:t xml:space="preserve"> </w:t>
      </w:r>
      <w:r w:rsidR="00664197" w:rsidRPr="007F7EBF">
        <w:rPr>
          <w:bCs/>
          <w:sz w:val="22"/>
          <w:szCs w:val="22"/>
        </w:rPr>
        <w:t xml:space="preserve">alcuni elementi ulteriori, </w:t>
      </w:r>
      <w:r w:rsidR="00664197" w:rsidRPr="007F7EBF">
        <w:rPr>
          <w:sz w:val="22"/>
          <w:szCs w:val="22"/>
        </w:rPr>
        <w:t>“personali”, del soggetto</w:t>
      </w:r>
      <w:r w:rsidR="00765C44" w:rsidRPr="007F7EBF">
        <w:rPr>
          <w:sz w:val="22"/>
          <w:szCs w:val="22"/>
        </w:rPr>
        <w:t xml:space="preserve">, </w:t>
      </w:r>
      <w:r>
        <w:rPr>
          <w:sz w:val="22"/>
          <w:szCs w:val="22"/>
        </w:rPr>
        <w:t>indicati più avanti, come spese mediche e altr</w:t>
      </w:r>
      <w:r w:rsidR="006B6BA9">
        <w:rPr>
          <w:sz w:val="22"/>
          <w:szCs w:val="22"/>
        </w:rPr>
        <w:t>i aspetti</w:t>
      </w:r>
      <w:r>
        <w:rPr>
          <w:sz w:val="22"/>
          <w:szCs w:val="22"/>
        </w:rPr>
        <w:t xml:space="preserve"> socialmente rilevanti,</w:t>
      </w:r>
      <w:r w:rsidR="006B6BA9">
        <w:rPr>
          <w:sz w:val="22"/>
          <w:szCs w:val="22"/>
        </w:rPr>
        <w:t xml:space="preserve"> come</w:t>
      </w:r>
      <w:r w:rsidR="00664197" w:rsidRPr="007F7EBF">
        <w:rPr>
          <w:sz w:val="22"/>
          <w:szCs w:val="22"/>
        </w:rPr>
        <w:t xml:space="preserve"> familiari a carico</w:t>
      </w:r>
      <w:r>
        <w:rPr>
          <w:sz w:val="22"/>
          <w:szCs w:val="22"/>
        </w:rPr>
        <w:t>. Si tratta di</w:t>
      </w:r>
      <w:r w:rsidR="00765C44" w:rsidRPr="007F7EBF">
        <w:rPr>
          <w:sz w:val="22"/>
          <w:szCs w:val="22"/>
        </w:rPr>
        <w:t xml:space="preserve"> consumi</w:t>
      </w:r>
      <w:r>
        <w:rPr>
          <w:sz w:val="22"/>
          <w:szCs w:val="22"/>
        </w:rPr>
        <w:t xml:space="preserve">, </w:t>
      </w:r>
      <w:r w:rsidR="00765C44" w:rsidRPr="007F7EBF">
        <w:rPr>
          <w:sz w:val="22"/>
          <w:szCs w:val="22"/>
        </w:rPr>
        <w:t>es</w:t>
      </w:r>
      <w:r w:rsidR="00664197" w:rsidRPr="007F7EBF">
        <w:rPr>
          <w:bCs/>
          <w:sz w:val="22"/>
          <w:szCs w:val="22"/>
        </w:rPr>
        <w:t xml:space="preserve">tranei alla produzione </w:t>
      </w:r>
      <w:r w:rsidR="00664197" w:rsidRPr="007F7EBF">
        <w:rPr>
          <w:sz w:val="22"/>
          <w:szCs w:val="22"/>
        </w:rPr>
        <w:t>del</w:t>
      </w:r>
      <w:r w:rsidR="008D3EFC" w:rsidRPr="007F7EBF">
        <w:rPr>
          <w:sz w:val="22"/>
          <w:szCs w:val="22"/>
        </w:rPr>
        <w:t xml:space="preserve"> </w:t>
      </w:r>
      <w:r w:rsidR="00664197" w:rsidRPr="007F7EBF">
        <w:rPr>
          <w:sz w:val="22"/>
          <w:szCs w:val="22"/>
        </w:rPr>
        <w:t>reddit</w:t>
      </w:r>
      <w:r w:rsidR="008D3EFC" w:rsidRPr="007F7EBF">
        <w:rPr>
          <w:sz w:val="22"/>
          <w:szCs w:val="22"/>
        </w:rPr>
        <w:t xml:space="preserve">o, non </w:t>
      </w:r>
      <w:r>
        <w:rPr>
          <w:sz w:val="22"/>
          <w:szCs w:val="22"/>
        </w:rPr>
        <w:t xml:space="preserve">di </w:t>
      </w:r>
      <w:r w:rsidR="008D3EFC" w:rsidRPr="007F7EBF">
        <w:rPr>
          <w:sz w:val="22"/>
          <w:szCs w:val="22"/>
        </w:rPr>
        <w:t>costi "inerenti", secondo le distinzioni di cui ai parr.1.8 e 7.9</w:t>
      </w:r>
      <w:r w:rsidR="00664197" w:rsidRPr="007F7EBF">
        <w:rPr>
          <w:sz w:val="22"/>
          <w:szCs w:val="22"/>
        </w:rPr>
        <w:t xml:space="preserve">. </w:t>
      </w:r>
    </w:p>
    <w:p w14:paraId="5CF57DB4" w14:textId="77777777" w:rsidR="00664197" w:rsidRPr="007F7EBF" w:rsidRDefault="00664197" w:rsidP="00664197">
      <w:pPr>
        <w:pStyle w:val="tit23"/>
        <w:ind w:left="6464" w:right="-1361" w:firstLine="0"/>
        <w:jc w:val="left"/>
        <w:rPr>
          <w:bCs/>
          <w:i/>
          <w:iCs/>
          <w:color w:val="0000FF"/>
          <w:lang w:val="it-IT"/>
        </w:rPr>
      </w:pPr>
      <w:r w:rsidRPr="007F7EBF">
        <w:rPr>
          <w:bCs/>
          <w:i/>
          <w:iCs/>
          <w:color w:val="0000FF"/>
          <w:lang w:val="it-IT"/>
        </w:rPr>
        <w:t xml:space="preserve">Tendenziale “realità” delle </w:t>
      </w:r>
      <w:r w:rsidRPr="007F7EBF">
        <w:rPr>
          <w:bCs/>
          <w:i/>
          <w:iCs/>
          <w:color w:val="0000FF"/>
          <w:lang w:val="it-IT"/>
        </w:rPr>
        <w:lastRenderedPageBreak/>
        <w:t>imposte sui consumi</w:t>
      </w:r>
    </w:p>
    <w:p w14:paraId="07A64FAC" w14:textId="5D7C1C35" w:rsidR="00C13E05" w:rsidRPr="007F7EBF" w:rsidRDefault="00DB5DD3" w:rsidP="004D79D8">
      <w:pPr>
        <w:autoSpaceDE w:val="0"/>
        <w:autoSpaceDN w:val="0"/>
        <w:adjustRightInd w:val="0"/>
        <w:rPr>
          <w:sz w:val="22"/>
          <w:szCs w:val="22"/>
        </w:rPr>
      </w:pPr>
      <w:r>
        <w:rPr>
          <w:sz w:val="22"/>
          <w:szCs w:val="22"/>
        </w:rPr>
        <w:t xml:space="preserve">La personalità, come del resto la progressività, che ne costituisce un aspetto, si riferisce tendenzialmente solo alle imposte sui redditi. </w:t>
      </w:r>
      <w:r w:rsidR="00664197" w:rsidRPr="007F7EBF">
        <w:rPr>
          <w:sz w:val="22"/>
          <w:szCs w:val="22"/>
        </w:rPr>
        <w:t>Le imposte sui consumi e le altre imposte indirette (cap.10) si prestano meno alla personalità proprio perché applicabili solo per tipologia di consumo senza poter distinguere, ad esempio, tra merci di diverso pregio</w:t>
      </w:r>
      <w:r>
        <w:rPr>
          <w:sz w:val="22"/>
          <w:szCs w:val="22"/>
        </w:rPr>
        <w:t xml:space="preserve"> </w:t>
      </w:r>
      <w:r w:rsidR="006B6BA9">
        <w:rPr>
          <w:sz w:val="22"/>
          <w:szCs w:val="22"/>
        </w:rPr>
        <w:t>(</w:t>
      </w:r>
      <w:r w:rsidR="00664197" w:rsidRPr="007F7EBF">
        <w:rPr>
          <w:rStyle w:val="Rimandonotaapidipagina"/>
          <w:sz w:val="22"/>
          <w:szCs w:val="22"/>
        </w:rPr>
        <w:footnoteReference w:id="1316"/>
      </w:r>
      <w:r w:rsidR="006B6BA9">
        <w:rPr>
          <w:sz w:val="22"/>
          <w:szCs w:val="22"/>
        </w:rPr>
        <w:t>)</w:t>
      </w:r>
      <w:r w:rsidR="00664197" w:rsidRPr="007F7EBF">
        <w:rPr>
          <w:sz w:val="22"/>
          <w:szCs w:val="22"/>
        </w:rPr>
        <w:t>. Inoltre, secondo quanto indicato al par.3.2 è impraticabile utilizzare il fornitore per applicare regimi differenziati in relazione alle condizioni economiche degli acquirenti</w:t>
      </w:r>
      <w:r w:rsidR="00664197" w:rsidRPr="007F7EBF">
        <w:rPr>
          <w:rStyle w:val="Rimandonotaapidipagina"/>
          <w:sz w:val="22"/>
          <w:szCs w:val="22"/>
        </w:rPr>
        <w:footnoteReference w:id="1317"/>
      </w:r>
      <w:r w:rsidR="00664197" w:rsidRPr="007F7EBF">
        <w:rPr>
          <w:sz w:val="22"/>
          <w:szCs w:val="22"/>
        </w:rPr>
        <w:t xml:space="preserve">. </w:t>
      </w:r>
    </w:p>
    <w:p w14:paraId="124B2459" w14:textId="77777777" w:rsidR="00664197" w:rsidRPr="007F7EBF" w:rsidRDefault="00664197" w:rsidP="00664197">
      <w:pPr>
        <w:pStyle w:val="tit23"/>
        <w:ind w:left="6464" w:right="-1361" w:firstLine="0"/>
        <w:jc w:val="left"/>
        <w:rPr>
          <w:bCs/>
          <w:i/>
          <w:iCs/>
          <w:color w:val="0000FF"/>
          <w:lang w:val="it-IT"/>
        </w:rPr>
      </w:pPr>
      <w:r w:rsidRPr="007F7EBF">
        <w:rPr>
          <w:bCs/>
          <w:i/>
          <w:iCs/>
          <w:color w:val="0000FF"/>
          <w:lang w:val="it-IT"/>
        </w:rPr>
        <w:t>Scarsa gestibilità delle mitigazioni tributarie come sussidi</w:t>
      </w:r>
    </w:p>
    <w:p w14:paraId="67BE19E9" w14:textId="4A0CCC9A" w:rsidR="00664197" w:rsidRPr="007F7EBF" w:rsidRDefault="008D3EFC" w:rsidP="00664197">
      <w:pPr>
        <w:autoSpaceDE w:val="0"/>
        <w:autoSpaceDN w:val="0"/>
        <w:adjustRightInd w:val="0"/>
        <w:rPr>
          <w:sz w:val="22"/>
          <w:szCs w:val="22"/>
        </w:rPr>
      </w:pPr>
      <w:r w:rsidRPr="007F7EBF">
        <w:rPr>
          <w:sz w:val="22"/>
          <w:szCs w:val="22"/>
        </w:rPr>
        <w:t xml:space="preserve">La personalità dell'imposta è un tentativo di utilizzare mitigazioni tributarie per assistenza e sostegno sociale; si aggiunge in questo modo una funzione ulteriore a quella, </w:t>
      </w:r>
      <w:r w:rsidR="00664197" w:rsidRPr="007F7EBF">
        <w:rPr>
          <w:sz w:val="22"/>
          <w:szCs w:val="22"/>
        </w:rPr>
        <w:t xml:space="preserve">già abbastanza difficoltosa, </w:t>
      </w:r>
      <w:r w:rsidRPr="007F7EBF">
        <w:rPr>
          <w:sz w:val="22"/>
          <w:szCs w:val="22"/>
        </w:rPr>
        <w:t>di determinazione de</w:t>
      </w:r>
      <w:r w:rsidR="006B6BA9">
        <w:rPr>
          <w:sz w:val="22"/>
          <w:szCs w:val="22"/>
        </w:rPr>
        <w:t>gli imponibili, specificando le astrazioni economiche di cui al par.1.8(</w:t>
      </w:r>
      <w:r w:rsidR="00664197" w:rsidRPr="007F7EBF">
        <w:rPr>
          <w:rStyle w:val="Rimandonotaapidipagina"/>
          <w:sz w:val="22"/>
          <w:szCs w:val="22"/>
        </w:rPr>
        <w:footnoteReference w:id="1318"/>
      </w:r>
      <w:r w:rsidR="006B6BA9">
        <w:rPr>
          <w:sz w:val="22"/>
          <w:szCs w:val="22"/>
        </w:rPr>
        <w:t>9</w:t>
      </w:r>
      <w:r w:rsidR="00664197" w:rsidRPr="007F7EBF">
        <w:rPr>
          <w:sz w:val="22"/>
          <w:szCs w:val="22"/>
        </w:rPr>
        <w:t>. Erogare deduzioni tributarie a chi è "capiente", cioè ha redditi adeguati per farvi fronte è un modo per evitare, in questi casi, l'intermediazione pubblica di cui al par.</w:t>
      </w:r>
      <w:r w:rsidR="00361BCC">
        <w:rPr>
          <w:sz w:val="22"/>
          <w:szCs w:val="22"/>
        </w:rPr>
        <w:t>4.2</w:t>
      </w:r>
      <w:r w:rsidR="00664197" w:rsidRPr="007F7EBF">
        <w:rPr>
          <w:sz w:val="22"/>
          <w:szCs w:val="22"/>
        </w:rPr>
        <w:t xml:space="preserve">, ma il </w:t>
      </w:r>
      <w:r w:rsidRPr="007F7EBF">
        <w:rPr>
          <w:sz w:val="22"/>
          <w:szCs w:val="22"/>
        </w:rPr>
        <w:t xml:space="preserve">difficile </w:t>
      </w:r>
      <w:r w:rsidR="00664197" w:rsidRPr="007F7EBF">
        <w:rPr>
          <w:sz w:val="22"/>
          <w:szCs w:val="22"/>
        </w:rPr>
        <w:t>co</w:t>
      </w:r>
      <w:r w:rsidRPr="007F7EBF">
        <w:rPr>
          <w:sz w:val="22"/>
          <w:szCs w:val="22"/>
        </w:rPr>
        <w:t>ordin</w:t>
      </w:r>
      <w:r w:rsidR="00664197" w:rsidRPr="007F7EBF">
        <w:rPr>
          <w:sz w:val="22"/>
          <w:szCs w:val="22"/>
        </w:rPr>
        <w:t xml:space="preserve">amento tra funzione tributaria e assistenziale </w:t>
      </w:r>
      <w:r w:rsidR="000806BA" w:rsidRPr="007F7EBF">
        <w:rPr>
          <w:sz w:val="22"/>
          <w:szCs w:val="22"/>
        </w:rPr>
        <w:t>andrebbe</w:t>
      </w:r>
      <w:r w:rsidR="00664197" w:rsidRPr="007F7EBF">
        <w:rPr>
          <w:sz w:val="22"/>
          <w:szCs w:val="22"/>
        </w:rPr>
        <w:t xml:space="preserve"> approfondito in ulteriori riflessioni</w:t>
      </w:r>
      <w:r w:rsidR="006B6BA9">
        <w:rPr>
          <w:sz w:val="22"/>
          <w:szCs w:val="22"/>
        </w:rPr>
        <w:t xml:space="preserve"> (</w:t>
      </w:r>
      <w:r w:rsidR="00664197" w:rsidRPr="007F7EBF">
        <w:rPr>
          <w:rStyle w:val="Rimandonotaapidipagina"/>
          <w:sz w:val="22"/>
          <w:szCs w:val="22"/>
        </w:rPr>
        <w:footnoteReference w:id="1319"/>
      </w:r>
      <w:r w:rsidR="006B6BA9">
        <w:rPr>
          <w:sz w:val="22"/>
          <w:szCs w:val="22"/>
        </w:rPr>
        <w:t>)</w:t>
      </w:r>
      <w:r w:rsidR="000806BA" w:rsidRPr="007F7EBF">
        <w:rPr>
          <w:sz w:val="22"/>
          <w:szCs w:val="22"/>
        </w:rPr>
        <w:t>, mentre qui rileva la personalità dell'Irpef, di cui al prossimo paragrafo.</w:t>
      </w:r>
    </w:p>
    <w:p w14:paraId="2BD95E68" w14:textId="77777777" w:rsidR="001E0A23" w:rsidRPr="007F7EBF" w:rsidRDefault="001E0A23" w:rsidP="001E0A23">
      <w:pPr>
        <w:pStyle w:val="tit23"/>
        <w:ind w:left="6464" w:right="-1361" w:firstLine="0"/>
        <w:jc w:val="left"/>
        <w:rPr>
          <w:bCs/>
          <w:i/>
          <w:iCs/>
          <w:color w:val="0000FF"/>
          <w:lang w:val="it-IT"/>
        </w:rPr>
      </w:pPr>
      <w:r>
        <w:rPr>
          <w:bCs/>
          <w:i/>
          <w:iCs/>
          <w:color w:val="0000FF"/>
          <w:lang w:val="it-IT"/>
        </w:rPr>
        <w:t>Specificazioni del concetto di reddito</w:t>
      </w:r>
    </w:p>
    <w:p w14:paraId="4A163802" w14:textId="77777777" w:rsidR="00C84D76" w:rsidRPr="007F7EBF" w:rsidRDefault="001E0A23" w:rsidP="00C84D76">
      <w:pPr>
        <w:autoSpaceDE w:val="0"/>
        <w:autoSpaceDN w:val="0"/>
        <w:adjustRightInd w:val="0"/>
        <w:rPr>
          <w:sz w:val="22"/>
          <w:szCs w:val="22"/>
        </w:rPr>
      </w:pPr>
      <w:r>
        <w:rPr>
          <w:sz w:val="22"/>
          <w:szCs w:val="22"/>
        </w:rPr>
        <w:lastRenderedPageBreak/>
        <w:t>Il reddito</w:t>
      </w:r>
      <w:r w:rsidR="00C84D76">
        <w:rPr>
          <w:sz w:val="22"/>
          <w:szCs w:val="22"/>
        </w:rPr>
        <w:t xml:space="preserve"> </w:t>
      </w:r>
      <w:r>
        <w:rPr>
          <w:sz w:val="22"/>
          <w:szCs w:val="22"/>
        </w:rPr>
        <w:t xml:space="preserve">è poi precisato </w:t>
      </w:r>
      <w:r w:rsidR="00775055">
        <w:rPr>
          <w:sz w:val="22"/>
          <w:szCs w:val="22"/>
        </w:rPr>
        <w:t xml:space="preserve">legislativamente, </w:t>
      </w:r>
      <w:r>
        <w:rPr>
          <w:sz w:val="22"/>
          <w:szCs w:val="22"/>
        </w:rPr>
        <w:t xml:space="preserve">sotto alcuni profili </w:t>
      </w:r>
      <w:r w:rsidR="00775055">
        <w:rPr>
          <w:sz w:val="22"/>
          <w:szCs w:val="22"/>
        </w:rPr>
        <w:t xml:space="preserve">generali, </w:t>
      </w:r>
      <w:r w:rsidR="00C84D76">
        <w:rPr>
          <w:sz w:val="22"/>
          <w:szCs w:val="22"/>
        </w:rPr>
        <w:t xml:space="preserve">ma relativamente più tecnici di quelli già indicati al par.1.8, </w:t>
      </w:r>
      <w:r>
        <w:rPr>
          <w:sz w:val="22"/>
          <w:szCs w:val="22"/>
        </w:rPr>
        <w:t xml:space="preserve">dal </w:t>
      </w:r>
      <w:r w:rsidR="00775055">
        <w:rPr>
          <w:sz w:val="22"/>
          <w:szCs w:val="22"/>
        </w:rPr>
        <w:t>testo unico delle imposte sui redditi (TUIR)</w:t>
      </w:r>
      <w:r w:rsidR="00C84D76">
        <w:rPr>
          <w:sz w:val="22"/>
          <w:szCs w:val="22"/>
        </w:rPr>
        <w:t>. Quest’ultimo</w:t>
      </w:r>
      <w:r w:rsidR="00775055">
        <w:rPr>
          <w:sz w:val="22"/>
          <w:szCs w:val="22"/>
        </w:rPr>
        <w:t xml:space="preserve"> </w:t>
      </w:r>
      <w:r>
        <w:rPr>
          <w:sz w:val="22"/>
          <w:szCs w:val="22"/>
        </w:rPr>
        <w:t>conferma</w:t>
      </w:r>
      <w:r w:rsidR="00C84D76">
        <w:rPr>
          <w:sz w:val="22"/>
          <w:szCs w:val="22"/>
        </w:rPr>
        <w:t xml:space="preserve"> l’imponibilità di eventuali </w:t>
      </w:r>
      <w:r w:rsidR="00C84D76" w:rsidRPr="007F7EBF">
        <w:rPr>
          <w:bCs/>
          <w:sz w:val="22"/>
          <w:szCs w:val="22"/>
        </w:rPr>
        <w:t>redditi in natura</w:t>
      </w:r>
      <w:r w:rsidR="00C84D76">
        <w:rPr>
          <w:bCs/>
          <w:sz w:val="22"/>
          <w:szCs w:val="22"/>
        </w:rPr>
        <w:t>, quantificandoli tendenzialmente secondo il criterio del valore normale (</w:t>
      </w:r>
      <w:r w:rsidR="00C84D76" w:rsidRPr="007F7EBF">
        <w:rPr>
          <w:rStyle w:val="Rimandonotaapidipagina"/>
          <w:bCs/>
          <w:sz w:val="22"/>
          <w:szCs w:val="22"/>
        </w:rPr>
        <w:t xml:space="preserve"> </w:t>
      </w:r>
      <w:r w:rsidR="00C84D76" w:rsidRPr="007F7EBF">
        <w:rPr>
          <w:rStyle w:val="Rimandonotaapidipagina"/>
          <w:bCs/>
          <w:sz w:val="22"/>
          <w:szCs w:val="22"/>
        </w:rPr>
        <w:footnoteReference w:id="1320"/>
      </w:r>
      <w:r w:rsidR="00C84D76">
        <w:rPr>
          <w:sz w:val="22"/>
          <w:szCs w:val="22"/>
        </w:rPr>
        <w:t>). Viene sancita anche l</w:t>
      </w:r>
      <w:r>
        <w:rPr>
          <w:sz w:val="22"/>
          <w:szCs w:val="22"/>
        </w:rPr>
        <w:t xml:space="preserve">’imponibilità dei </w:t>
      </w:r>
      <w:r w:rsidRPr="007F7EBF">
        <w:rPr>
          <w:sz w:val="22"/>
          <w:szCs w:val="22"/>
        </w:rPr>
        <w:t xml:space="preserve">risarcimenti di danni per </w:t>
      </w:r>
      <w:r w:rsidRPr="007F7EBF">
        <w:rPr>
          <w:i/>
          <w:sz w:val="22"/>
          <w:szCs w:val="22"/>
        </w:rPr>
        <w:t>lucro cessante</w:t>
      </w:r>
      <w:r>
        <w:rPr>
          <w:i/>
          <w:sz w:val="22"/>
          <w:szCs w:val="22"/>
        </w:rPr>
        <w:t xml:space="preserve"> </w:t>
      </w:r>
      <w:r>
        <w:rPr>
          <w:sz w:val="22"/>
          <w:szCs w:val="22"/>
        </w:rPr>
        <w:t>(</w:t>
      </w:r>
      <w:r>
        <w:rPr>
          <w:rStyle w:val="Rimandonotaapidipagina"/>
          <w:sz w:val="22"/>
          <w:szCs w:val="22"/>
        </w:rPr>
        <w:footnoteReference w:id="1321"/>
      </w:r>
      <w:r w:rsidR="00C84D76">
        <w:rPr>
          <w:sz w:val="22"/>
          <w:szCs w:val="22"/>
        </w:rPr>
        <w:t xml:space="preserve">), distinguendoli dalle </w:t>
      </w:r>
      <w:r>
        <w:rPr>
          <w:sz w:val="22"/>
          <w:szCs w:val="22"/>
        </w:rPr>
        <w:t>p</w:t>
      </w:r>
      <w:r w:rsidRPr="007F7EBF">
        <w:rPr>
          <w:sz w:val="22"/>
          <w:szCs w:val="22"/>
        </w:rPr>
        <w:t>erdite patrimoniali, non costituenti reddito (</w:t>
      </w:r>
      <w:r w:rsidRPr="007F7EBF">
        <w:rPr>
          <w:i/>
          <w:sz w:val="22"/>
          <w:szCs w:val="22"/>
        </w:rPr>
        <w:t>danno emergente</w:t>
      </w:r>
      <w:r w:rsidRPr="007F7EBF">
        <w:rPr>
          <w:sz w:val="22"/>
          <w:szCs w:val="22"/>
        </w:rPr>
        <w:t>)</w:t>
      </w:r>
      <w:r>
        <w:rPr>
          <w:sz w:val="22"/>
          <w:szCs w:val="22"/>
        </w:rPr>
        <w:t xml:space="preserve">. </w:t>
      </w:r>
    </w:p>
    <w:p w14:paraId="516F8203" w14:textId="77777777" w:rsidR="00C84D76" w:rsidRPr="007F7EBF" w:rsidRDefault="00C84D76" w:rsidP="00C84D76">
      <w:pPr>
        <w:pStyle w:val="tit23"/>
        <w:ind w:left="6464" w:right="-1361" w:firstLine="0"/>
        <w:jc w:val="left"/>
        <w:rPr>
          <w:bCs/>
          <w:i/>
          <w:iCs/>
          <w:color w:val="0000FF"/>
          <w:lang w:val="it-IT"/>
        </w:rPr>
      </w:pPr>
      <w:r>
        <w:rPr>
          <w:bCs/>
          <w:i/>
          <w:iCs/>
          <w:color w:val="0000FF"/>
          <w:lang w:val="it-IT"/>
        </w:rPr>
        <w:t xml:space="preserve"> Redditi </w:t>
      </w:r>
      <w:proofErr w:type="spellStart"/>
      <w:r>
        <w:rPr>
          <w:bCs/>
          <w:i/>
          <w:iCs/>
          <w:color w:val="0000FF"/>
          <w:lang w:val="it-IT"/>
        </w:rPr>
        <w:t>illeciti:rilevanza</w:t>
      </w:r>
      <w:proofErr w:type="spellEnd"/>
      <w:r>
        <w:rPr>
          <w:bCs/>
          <w:i/>
          <w:iCs/>
          <w:color w:val="0000FF"/>
          <w:lang w:val="it-IT"/>
        </w:rPr>
        <w:t xml:space="preserve"> della confisca</w:t>
      </w:r>
    </w:p>
    <w:p w14:paraId="4D079073" w14:textId="6CA6CEB3" w:rsidR="001E0A23" w:rsidRPr="00C84D76" w:rsidRDefault="005F7C08" w:rsidP="001E0A23">
      <w:pPr>
        <w:autoSpaceDE w:val="0"/>
        <w:autoSpaceDN w:val="0"/>
        <w:adjustRightInd w:val="0"/>
        <w:rPr>
          <w:bCs/>
          <w:i/>
          <w:iCs/>
          <w:color w:val="0000FF"/>
          <w:sz w:val="22"/>
          <w:szCs w:val="22"/>
        </w:rPr>
      </w:pPr>
      <w:r>
        <w:rPr>
          <w:bCs/>
          <w:sz w:val="22"/>
          <w:szCs w:val="22"/>
        </w:rPr>
        <w:t xml:space="preserve">E’ anche </w:t>
      </w:r>
      <w:r w:rsidR="00C84D76">
        <w:rPr>
          <w:bCs/>
          <w:sz w:val="22"/>
          <w:szCs w:val="22"/>
        </w:rPr>
        <w:t xml:space="preserve">precisata </w:t>
      </w:r>
      <w:r>
        <w:rPr>
          <w:bCs/>
          <w:sz w:val="22"/>
          <w:szCs w:val="22"/>
        </w:rPr>
        <w:t xml:space="preserve">legislativamente </w:t>
      </w:r>
      <w:r w:rsidR="00C84D76">
        <w:rPr>
          <w:bCs/>
          <w:sz w:val="22"/>
          <w:szCs w:val="22"/>
        </w:rPr>
        <w:t xml:space="preserve">l’imponibilità di </w:t>
      </w:r>
      <w:r w:rsidR="00C84D76" w:rsidRPr="007F7EBF">
        <w:rPr>
          <w:bCs/>
          <w:sz w:val="22"/>
          <w:szCs w:val="22"/>
        </w:rPr>
        <w:t>redditi da attività illecita</w:t>
      </w:r>
      <w:r w:rsidR="00C84D76">
        <w:rPr>
          <w:bCs/>
          <w:sz w:val="22"/>
          <w:szCs w:val="22"/>
        </w:rPr>
        <w:t>, consistenti dopotutto in prestazioni</w:t>
      </w:r>
      <w:r w:rsidR="00C84D76" w:rsidRPr="007F7EBF">
        <w:rPr>
          <w:bCs/>
          <w:sz w:val="22"/>
          <w:szCs w:val="22"/>
        </w:rPr>
        <w:t xml:space="preserve"> </w:t>
      </w:r>
      <w:r w:rsidR="00C84D76">
        <w:rPr>
          <w:bCs/>
          <w:sz w:val="22"/>
          <w:szCs w:val="22"/>
        </w:rPr>
        <w:t>simili</w:t>
      </w:r>
      <w:r w:rsidR="00C84D76" w:rsidRPr="007F7EBF">
        <w:rPr>
          <w:bCs/>
          <w:sz w:val="22"/>
          <w:szCs w:val="22"/>
        </w:rPr>
        <w:t xml:space="preserve"> a quelle lecite</w:t>
      </w:r>
      <w:r w:rsidR="00C84D76">
        <w:rPr>
          <w:bCs/>
          <w:sz w:val="22"/>
          <w:szCs w:val="22"/>
        </w:rPr>
        <w:t xml:space="preserve">, quanto a controprestazione </w:t>
      </w:r>
      <w:r w:rsidR="00C84D76" w:rsidRPr="007F7EBF">
        <w:rPr>
          <w:bCs/>
          <w:sz w:val="22"/>
          <w:szCs w:val="22"/>
        </w:rPr>
        <w:t>(</w:t>
      </w:r>
      <w:r w:rsidR="00C84D76" w:rsidRPr="007F7EBF">
        <w:rPr>
          <w:rStyle w:val="Rimandonotaapidipagina"/>
          <w:bCs/>
          <w:sz w:val="22"/>
          <w:szCs w:val="22"/>
        </w:rPr>
        <w:footnoteReference w:id="1322"/>
      </w:r>
      <w:r w:rsidR="00C84D76" w:rsidRPr="007F7EBF">
        <w:rPr>
          <w:bCs/>
          <w:sz w:val="22"/>
          <w:szCs w:val="22"/>
        </w:rPr>
        <w:t>)</w:t>
      </w:r>
      <w:r>
        <w:rPr>
          <w:bCs/>
          <w:sz w:val="22"/>
          <w:szCs w:val="22"/>
        </w:rPr>
        <w:t xml:space="preserve">; quest’ultima </w:t>
      </w:r>
      <w:r w:rsidR="00C84D76">
        <w:rPr>
          <w:bCs/>
          <w:sz w:val="22"/>
          <w:szCs w:val="22"/>
        </w:rPr>
        <w:t xml:space="preserve">manca </w:t>
      </w:r>
      <w:r>
        <w:rPr>
          <w:bCs/>
          <w:sz w:val="22"/>
          <w:szCs w:val="22"/>
        </w:rPr>
        <w:t xml:space="preserve">invece per i proventi di </w:t>
      </w:r>
      <w:r w:rsidR="00C84D76" w:rsidRPr="007F7EBF">
        <w:rPr>
          <w:bCs/>
          <w:sz w:val="22"/>
          <w:szCs w:val="22"/>
        </w:rPr>
        <w:t>furti e rapine</w:t>
      </w:r>
      <w:r>
        <w:rPr>
          <w:bCs/>
          <w:sz w:val="22"/>
          <w:szCs w:val="22"/>
        </w:rPr>
        <w:t xml:space="preserve"> (</w:t>
      </w:r>
      <w:r>
        <w:rPr>
          <w:rStyle w:val="Rimandonotaapidipagina"/>
          <w:bCs/>
          <w:sz w:val="22"/>
          <w:szCs w:val="22"/>
        </w:rPr>
        <w:footnoteReference w:id="1323"/>
      </w:r>
      <w:r>
        <w:rPr>
          <w:bCs/>
          <w:sz w:val="22"/>
          <w:szCs w:val="22"/>
        </w:rPr>
        <w:t>)</w:t>
      </w:r>
      <w:r w:rsidR="00C84D76" w:rsidRPr="007F7EBF">
        <w:rPr>
          <w:bCs/>
          <w:sz w:val="22"/>
          <w:szCs w:val="22"/>
        </w:rPr>
        <w:t>,</w:t>
      </w:r>
      <w:r>
        <w:rPr>
          <w:bCs/>
          <w:sz w:val="22"/>
          <w:szCs w:val="22"/>
        </w:rPr>
        <w:t xml:space="preserve"> che non vanno tassati, ma restituiti o confiscati. La confisca può verificarsi anche per i suddetti illeciti costituenti in astratto redditi, con problemi di coordinamento rispetto alla loro astratta tassabilità</w:t>
      </w:r>
      <w:r w:rsidR="00C84D76">
        <w:rPr>
          <w:bCs/>
          <w:sz w:val="22"/>
          <w:szCs w:val="22"/>
        </w:rPr>
        <w:t>(</w:t>
      </w:r>
      <w:r w:rsidR="00C84D76" w:rsidRPr="007F7EBF">
        <w:rPr>
          <w:rStyle w:val="Rimandonotaapidipagina"/>
          <w:bCs/>
          <w:sz w:val="22"/>
          <w:szCs w:val="22"/>
        </w:rPr>
        <w:footnoteReference w:id="1324"/>
      </w:r>
      <w:r w:rsidR="00C84D76">
        <w:rPr>
          <w:bCs/>
          <w:sz w:val="22"/>
          <w:szCs w:val="22"/>
        </w:rPr>
        <w:t xml:space="preserve">).    </w:t>
      </w:r>
    </w:p>
    <w:p w14:paraId="6DE5DF41" w14:textId="77777777" w:rsidR="001E0A23" w:rsidRPr="007F7EBF" w:rsidRDefault="001E0A23" w:rsidP="001E0A23">
      <w:pPr>
        <w:pStyle w:val="tit23"/>
        <w:ind w:left="6464" w:right="-1361" w:firstLine="0"/>
        <w:jc w:val="left"/>
        <w:rPr>
          <w:bCs/>
          <w:i/>
          <w:iCs/>
          <w:color w:val="0000FF"/>
          <w:lang w:val="it-IT"/>
        </w:rPr>
      </w:pPr>
      <w:r w:rsidRPr="007F7EBF">
        <w:rPr>
          <w:bCs/>
          <w:i/>
          <w:iCs/>
          <w:color w:val="0000FF"/>
          <w:lang w:val="it-IT"/>
        </w:rPr>
        <w:t>Reddito monetario e inflazione</w:t>
      </w:r>
    </w:p>
    <w:p w14:paraId="083F4517" w14:textId="081577CF" w:rsidR="00D32BAD" w:rsidRPr="007F7EBF" w:rsidRDefault="005F7C08" w:rsidP="00CE4B1D">
      <w:pPr>
        <w:autoSpaceDE w:val="0"/>
        <w:autoSpaceDN w:val="0"/>
        <w:adjustRightInd w:val="0"/>
        <w:rPr>
          <w:sz w:val="22"/>
          <w:szCs w:val="22"/>
        </w:rPr>
      </w:pPr>
      <w:r>
        <w:rPr>
          <w:sz w:val="22"/>
          <w:szCs w:val="22"/>
        </w:rPr>
        <w:t>Un tema generale e strutturale è quello de</w:t>
      </w:r>
      <w:r w:rsidR="001E0A23" w:rsidRPr="007F7EBF">
        <w:rPr>
          <w:sz w:val="22"/>
          <w:szCs w:val="22"/>
        </w:rPr>
        <w:t>ll’</w:t>
      </w:r>
      <w:r w:rsidR="001E0A23" w:rsidRPr="007F7EBF">
        <w:rPr>
          <w:bCs/>
          <w:sz w:val="22"/>
          <w:szCs w:val="22"/>
        </w:rPr>
        <w:t>eventuale inflazione</w:t>
      </w:r>
      <w:r>
        <w:rPr>
          <w:sz w:val="22"/>
          <w:szCs w:val="22"/>
        </w:rPr>
        <w:t xml:space="preserve">, che </w:t>
      </w:r>
      <w:r w:rsidR="00CE4B1D">
        <w:rPr>
          <w:sz w:val="22"/>
          <w:szCs w:val="22"/>
        </w:rPr>
        <w:t xml:space="preserve">può </w:t>
      </w:r>
      <w:r>
        <w:rPr>
          <w:sz w:val="22"/>
          <w:szCs w:val="22"/>
        </w:rPr>
        <w:t>gonfia</w:t>
      </w:r>
      <w:r w:rsidR="00CE4B1D">
        <w:rPr>
          <w:sz w:val="22"/>
          <w:szCs w:val="22"/>
        </w:rPr>
        <w:t>re</w:t>
      </w:r>
      <w:r>
        <w:rPr>
          <w:sz w:val="22"/>
          <w:szCs w:val="22"/>
        </w:rPr>
        <w:t xml:space="preserve"> </w:t>
      </w:r>
      <w:r w:rsidR="001E0A23" w:rsidRPr="007F7EBF">
        <w:rPr>
          <w:sz w:val="22"/>
          <w:szCs w:val="22"/>
        </w:rPr>
        <w:t>gli imponibili</w:t>
      </w:r>
      <w:r w:rsidR="00CE4B1D">
        <w:rPr>
          <w:sz w:val="22"/>
          <w:szCs w:val="22"/>
        </w:rPr>
        <w:t xml:space="preserve">, in modo puramente monetario; servirebbero quindi correttivi soprattutto per i redditi di fonte patrimoniale </w:t>
      </w:r>
      <w:r w:rsidR="00CE4B1D">
        <w:rPr>
          <w:sz w:val="22"/>
          <w:szCs w:val="22"/>
        </w:rPr>
        <w:lastRenderedPageBreak/>
        <w:t xml:space="preserve">“monetaria”, soprattutto quelli finanziari (par.8.5), che si svalutano con la perdita di valore della moneta, per l’aumento dei prezzi </w:t>
      </w:r>
      <w:r w:rsidR="006B6BA9">
        <w:rPr>
          <w:sz w:val="22"/>
          <w:szCs w:val="22"/>
        </w:rPr>
        <w:t>(</w:t>
      </w:r>
      <w:r w:rsidR="001E0A23" w:rsidRPr="007F7EBF">
        <w:rPr>
          <w:rStyle w:val="Rimandonotaapidipagina"/>
          <w:sz w:val="22"/>
          <w:szCs w:val="22"/>
        </w:rPr>
        <w:footnoteReference w:id="1325"/>
      </w:r>
      <w:r w:rsidR="006B6BA9">
        <w:rPr>
          <w:sz w:val="22"/>
          <w:szCs w:val="22"/>
        </w:rPr>
        <w:t>)</w:t>
      </w:r>
      <w:r w:rsidR="00CE4B1D">
        <w:rPr>
          <w:sz w:val="22"/>
          <w:szCs w:val="22"/>
        </w:rPr>
        <w:t>. Tuttavia l’inflazione</w:t>
      </w:r>
      <w:r w:rsidR="001E0A23" w:rsidRPr="007F7EBF">
        <w:rPr>
          <w:sz w:val="22"/>
          <w:szCs w:val="22"/>
        </w:rPr>
        <w:t xml:space="preserve">, </w:t>
      </w:r>
      <w:r w:rsidR="00CE4B1D">
        <w:rPr>
          <w:sz w:val="22"/>
          <w:szCs w:val="22"/>
        </w:rPr>
        <w:t>nel passato</w:t>
      </w:r>
      <w:r w:rsidR="001E0A23" w:rsidRPr="007F7EBF">
        <w:rPr>
          <w:sz w:val="22"/>
          <w:szCs w:val="22"/>
        </w:rPr>
        <w:t xml:space="preserve"> molto intens</w:t>
      </w:r>
      <w:r w:rsidR="00CE4B1D">
        <w:rPr>
          <w:sz w:val="22"/>
          <w:szCs w:val="22"/>
        </w:rPr>
        <w:t>a</w:t>
      </w:r>
      <w:r w:rsidR="001E0A23" w:rsidRPr="007F7EBF">
        <w:rPr>
          <w:sz w:val="22"/>
          <w:szCs w:val="22"/>
        </w:rPr>
        <w:t>, è oggetto di correttiv</w:t>
      </w:r>
      <w:r w:rsidR="00CE4B1D">
        <w:rPr>
          <w:sz w:val="22"/>
          <w:szCs w:val="22"/>
        </w:rPr>
        <w:t>i, ai fini della determinazione dell’imponibile,</w:t>
      </w:r>
      <w:r w:rsidR="001E0A23" w:rsidRPr="007F7EBF">
        <w:rPr>
          <w:sz w:val="22"/>
          <w:szCs w:val="22"/>
        </w:rPr>
        <w:t xml:space="preserve"> solo </w:t>
      </w:r>
      <w:r w:rsidR="00CE4B1D">
        <w:rPr>
          <w:sz w:val="22"/>
          <w:szCs w:val="22"/>
        </w:rPr>
        <w:t xml:space="preserve">se </w:t>
      </w:r>
      <w:r w:rsidR="001E0A23" w:rsidRPr="007F7EBF">
        <w:rPr>
          <w:sz w:val="22"/>
          <w:szCs w:val="22"/>
        </w:rPr>
        <w:t>molto alt</w:t>
      </w:r>
      <w:r w:rsidR="00CE4B1D">
        <w:rPr>
          <w:sz w:val="22"/>
          <w:szCs w:val="22"/>
        </w:rPr>
        <w:t>a</w:t>
      </w:r>
      <w:r w:rsidR="001E0A23" w:rsidRPr="007F7EBF">
        <w:rPr>
          <w:sz w:val="22"/>
          <w:szCs w:val="22"/>
        </w:rPr>
        <w:t xml:space="preserve"> (</w:t>
      </w:r>
      <w:r w:rsidR="001E0A23" w:rsidRPr="007F7EBF">
        <w:rPr>
          <w:rStyle w:val="Rimandonotaapidipagina"/>
          <w:sz w:val="22"/>
          <w:szCs w:val="22"/>
        </w:rPr>
        <w:footnoteReference w:id="1326"/>
      </w:r>
      <w:r w:rsidR="001E0A23" w:rsidRPr="007F7EBF">
        <w:rPr>
          <w:sz w:val="22"/>
          <w:szCs w:val="22"/>
        </w:rPr>
        <w:t>).</w:t>
      </w:r>
    </w:p>
    <w:p w14:paraId="013D4581" w14:textId="600B2425" w:rsidR="00E943D9" w:rsidRPr="007F7EBF" w:rsidRDefault="006342C5" w:rsidP="005E5A92">
      <w:pPr>
        <w:pStyle w:val="Titolo3"/>
        <w:rPr>
          <w:sz w:val="22"/>
          <w:szCs w:val="22"/>
        </w:rPr>
      </w:pPr>
      <w:bookmarkStart w:id="131" w:name="_Toc63365041"/>
      <w:r w:rsidRPr="007F7EBF">
        <w:rPr>
          <w:rFonts w:ascii="Times New Roman" w:hAnsi="Times New Roman"/>
          <w:sz w:val="22"/>
          <w:szCs w:val="22"/>
        </w:rPr>
        <w:t>9.3</w:t>
      </w:r>
      <w:r w:rsidR="00702EBD" w:rsidRPr="007F7EBF">
        <w:rPr>
          <w:rFonts w:ascii="Times New Roman" w:hAnsi="Times New Roman"/>
          <w:sz w:val="22"/>
          <w:szCs w:val="22"/>
        </w:rPr>
        <w:t xml:space="preserve">. </w:t>
      </w:r>
      <w:r w:rsidR="002862FB">
        <w:rPr>
          <w:rFonts w:ascii="Times New Roman" w:hAnsi="Times New Roman"/>
          <w:sz w:val="22"/>
          <w:szCs w:val="22"/>
          <w:lang w:val="it-IT"/>
        </w:rPr>
        <w:t>P</w:t>
      </w:r>
      <w:proofErr w:type="spellStart"/>
      <w:r w:rsidR="00702EBD" w:rsidRPr="007F7EBF">
        <w:rPr>
          <w:rFonts w:ascii="Times New Roman" w:hAnsi="Times New Roman"/>
          <w:sz w:val="22"/>
          <w:szCs w:val="22"/>
        </w:rPr>
        <w:t>ersonalità</w:t>
      </w:r>
      <w:proofErr w:type="spellEnd"/>
      <w:r w:rsidR="00702EBD" w:rsidRPr="007F7EBF">
        <w:rPr>
          <w:rFonts w:ascii="Times New Roman" w:hAnsi="Times New Roman"/>
          <w:sz w:val="22"/>
          <w:szCs w:val="22"/>
        </w:rPr>
        <w:t xml:space="preserve"> dell’IRPEF:</w:t>
      </w:r>
      <w:r w:rsidR="00285851" w:rsidRPr="007F7EBF">
        <w:rPr>
          <w:rFonts w:ascii="Times New Roman" w:hAnsi="Times New Roman"/>
          <w:sz w:val="22"/>
          <w:szCs w:val="22"/>
        </w:rPr>
        <w:t xml:space="preserve"> oneri deducibili</w:t>
      </w:r>
      <w:r w:rsidR="00285851" w:rsidRPr="007F7EBF">
        <w:rPr>
          <w:rFonts w:ascii="Times New Roman" w:hAnsi="Times New Roman"/>
          <w:sz w:val="22"/>
          <w:szCs w:val="22"/>
          <w:lang w:val="it-IT"/>
        </w:rPr>
        <w:t xml:space="preserve">, </w:t>
      </w:r>
      <w:r w:rsidR="00285851" w:rsidRPr="007F7EBF">
        <w:rPr>
          <w:rFonts w:ascii="Times New Roman" w:hAnsi="Times New Roman"/>
          <w:sz w:val="22"/>
          <w:szCs w:val="22"/>
        </w:rPr>
        <w:t>detrazion</w:t>
      </w:r>
      <w:r w:rsidR="002862FB">
        <w:rPr>
          <w:rFonts w:ascii="Times New Roman" w:hAnsi="Times New Roman"/>
          <w:sz w:val="22"/>
          <w:szCs w:val="22"/>
          <w:lang w:val="it-IT"/>
        </w:rPr>
        <w:t>i</w:t>
      </w:r>
      <w:r w:rsidR="002523F1" w:rsidRPr="007F7EBF">
        <w:rPr>
          <w:rFonts w:ascii="Times New Roman" w:hAnsi="Times New Roman"/>
          <w:sz w:val="22"/>
          <w:szCs w:val="22"/>
        </w:rPr>
        <w:t xml:space="preserve"> </w:t>
      </w:r>
      <w:r w:rsidRPr="007F7EBF">
        <w:rPr>
          <w:rFonts w:ascii="Times New Roman" w:hAnsi="Times New Roman"/>
          <w:sz w:val="22"/>
          <w:szCs w:val="22"/>
        </w:rPr>
        <w:t>e “contrasto di interessi”</w:t>
      </w:r>
      <w:bookmarkEnd w:id="131"/>
    </w:p>
    <w:p w14:paraId="26A016F1" w14:textId="77777777" w:rsidR="00E943D9" w:rsidRPr="007F7EBF" w:rsidRDefault="00E943D9" w:rsidP="00E943D9">
      <w:pPr>
        <w:pStyle w:val="tit23"/>
        <w:ind w:left="6464" w:right="-1361" w:firstLine="0"/>
        <w:jc w:val="left"/>
        <w:rPr>
          <w:bCs/>
          <w:i/>
          <w:iCs/>
          <w:color w:val="0000FF"/>
          <w:lang w:val="it-IT"/>
        </w:rPr>
      </w:pPr>
      <w:r w:rsidRPr="007F7EBF">
        <w:rPr>
          <w:bCs/>
          <w:i/>
          <w:iCs/>
          <w:color w:val="0000FF"/>
          <w:lang w:val="it-IT"/>
        </w:rPr>
        <w:t>Dalla realità alla personalità dell’Irpef</w:t>
      </w:r>
    </w:p>
    <w:p w14:paraId="669CF46A" w14:textId="13B3A243" w:rsidR="001B21B2" w:rsidRPr="007F7EBF" w:rsidRDefault="000806BA" w:rsidP="001B21B2">
      <w:pPr>
        <w:autoSpaceDE w:val="0"/>
        <w:autoSpaceDN w:val="0"/>
        <w:adjustRightInd w:val="0"/>
        <w:rPr>
          <w:sz w:val="22"/>
          <w:szCs w:val="22"/>
        </w:rPr>
      </w:pPr>
      <w:r w:rsidRPr="007F7EBF">
        <w:rPr>
          <w:sz w:val="22"/>
          <w:szCs w:val="22"/>
        </w:rPr>
        <w:t xml:space="preserve">Come tutte le imposte </w:t>
      </w:r>
      <w:r w:rsidRPr="007F7EBF">
        <w:rPr>
          <w:i/>
          <w:sz w:val="22"/>
          <w:szCs w:val="22"/>
        </w:rPr>
        <w:t>personali</w:t>
      </w:r>
      <w:r w:rsidRPr="007F7EBF">
        <w:rPr>
          <w:sz w:val="22"/>
          <w:szCs w:val="22"/>
        </w:rPr>
        <w:t xml:space="preserve"> secondo quanto indicato al paragrafo precedente, anche l</w:t>
      </w:r>
      <w:r w:rsidR="006342C5" w:rsidRPr="007F7EBF">
        <w:rPr>
          <w:sz w:val="22"/>
          <w:szCs w:val="22"/>
        </w:rPr>
        <w:t>’</w:t>
      </w:r>
      <w:r w:rsidR="0086765B" w:rsidRPr="007F7EBF">
        <w:rPr>
          <w:sz w:val="22"/>
          <w:szCs w:val="22"/>
        </w:rPr>
        <w:t xml:space="preserve"> </w:t>
      </w:r>
      <w:r w:rsidR="006342C5" w:rsidRPr="007F7EBF">
        <w:rPr>
          <w:sz w:val="22"/>
          <w:szCs w:val="22"/>
        </w:rPr>
        <w:t>IRPEF</w:t>
      </w:r>
      <w:r w:rsidRPr="007F7EBF">
        <w:rPr>
          <w:sz w:val="22"/>
          <w:szCs w:val="22"/>
        </w:rPr>
        <w:t xml:space="preserve"> </w:t>
      </w:r>
      <w:r w:rsidR="006342C5" w:rsidRPr="007F7EBF">
        <w:rPr>
          <w:bCs/>
          <w:sz w:val="22"/>
          <w:szCs w:val="22"/>
        </w:rPr>
        <w:t xml:space="preserve">parte </w:t>
      </w:r>
      <w:r w:rsidR="006342C5" w:rsidRPr="007F7EBF">
        <w:rPr>
          <w:sz w:val="22"/>
          <w:szCs w:val="22"/>
        </w:rPr>
        <w:t>dalla ricche</w:t>
      </w:r>
      <w:r w:rsidRPr="007F7EBF">
        <w:rPr>
          <w:sz w:val="22"/>
          <w:szCs w:val="22"/>
        </w:rPr>
        <w:t xml:space="preserve">zza oggettivamente considerata; </w:t>
      </w:r>
      <w:r w:rsidR="006B6BA9">
        <w:rPr>
          <w:sz w:val="22"/>
          <w:szCs w:val="22"/>
        </w:rPr>
        <w:t xml:space="preserve">il punto di partenza sono </w:t>
      </w:r>
      <w:r w:rsidR="002523F1" w:rsidRPr="007F7EBF">
        <w:rPr>
          <w:sz w:val="22"/>
          <w:szCs w:val="22"/>
        </w:rPr>
        <w:t>i va</w:t>
      </w:r>
      <w:r w:rsidR="006342C5" w:rsidRPr="007F7EBF">
        <w:rPr>
          <w:sz w:val="22"/>
          <w:szCs w:val="22"/>
        </w:rPr>
        <w:t xml:space="preserve">ri </w:t>
      </w:r>
      <w:r w:rsidR="006342C5" w:rsidRPr="007F7EBF">
        <w:rPr>
          <w:bCs/>
          <w:sz w:val="22"/>
          <w:szCs w:val="22"/>
        </w:rPr>
        <w:t>redditi di categoria</w:t>
      </w:r>
      <w:r w:rsidR="00E943D9" w:rsidRPr="007F7EBF">
        <w:rPr>
          <w:bCs/>
          <w:sz w:val="22"/>
          <w:szCs w:val="22"/>
        </w:rPr>
        <w:t xml:space="preserve"> (</w:t>
      </w:r>
      <w:r w:rsidR="00E943D9" w:rsidRPr="007F7EBF">
        <w:rPr>
          <w:rStyle w:val="Rimandonotaapidipagina"/>
          <w:bCs/>
          <w:sz w:val="22"/>
          <w:szCs w:val="22"/>
        </w:rPr>
        <w:footnoteReference w:id="1327"/>
      </w:r>
      <w:r w:rsidR="00E943D9" w:rsidRPr="007F7EBF">
        <w:rPr>
          <w:bCs/>
          <w:sz w:val="22"/>
          <w:szCs w:val="22"/>
        </w:rPr>
        <w:t>)</w:t>
      </w:r>
      <w:r w:rsidR="0086765B" w:rsidRPr="007F7EBF">
        <w:rPr>
          <w:bCs/>
          <w:sz w:val="22"/>
          <w:szCs w:val="22"/>
        </w:rPr>
        <w:t>, cumula</w:t>
      </w:r>
      <w:r w:rsidR="006B6BA9">
        <w:rPr>
          <w:bCs/>
          <w:sz w:val="22"/>
          <w:szCs w:val="22"/>
        </w:rPr>
        <w:t>t</w:t>
      </w:r>
      <w:r w:rsidR="0086765B" w:rsidRPr="007F7EBF">
        <w:rPr>
          <w:bCs/>
          <w:sz w:val="22"/>
          <w:szCs w:val="22"/>
        </w:rPr>
        <w:t xml:space="preserve">i </w:t>
      </w:r>
      <w:r w:rsidR="002523F1" w:rsidRPr="007F7EBF">
        <w:rPr>
          <w:sz w:val="22"/>
          <w:szCs w:val="22"/>
        </w:rPr>
        <w:t>in un</w:t>
      </w:r>
      <w:r w:rsidR="006B6BA9">
        <w:rPr>
          <w:sz w:val="22"/>
          <w:szCs w:val="22"/>
        </w:rPr>
        <w:t>’</w:t>
      </w:r>
      <w:r w:rsidR="002523F1" w:rsidRPr="007F7EBF">
        <w:rPr>
          <w:sz w:val="22"/>
          <w:szCs w:val="22"/>
        </w:rPr>
        <w:t>unica b</w:t>
      </w:r>
      <w:r w:rsidRPr="007F7EBF">
        <w:rPr>
          <w:sz w:val="22"/>
          <w:szCs w:val="22"/>
        </w:rPr>
        <w:t>ase imponibile</w:t>
      </w:r>
      <w:r w:rsidR="00D45FE7" w:rsidRPr="007F7EBF">
        <w:rPr>
          <w:sz w:val="22"/>
          <w:szCs w:val="22"/>
        </w:rPr>
        <w:t>(</w:t>
      </w:r>
      <w:r w:rsidR="00D45FE7" w:rsidRPr="007F7EBF">
        <w:rPr>
          <w:rStyle w:val="Rimandonotaapidipagina"/>
          <w:sz w:val="22"/>
          <w:szCs w:val="22"/>
        </w:rPr>
        <w:footnoteReference w:id="1328"/>
      </w:r>
      <w:r w:rsidR="00D45FE7" w:rsidRPr="007F7EBF">
        <w:rPr>
          <w:sz w:val="22"/>
          <w:szCs w:val="22"/>
        </w:rPr>
        <w:t>)</w:t>
      </w:r>
      <w:r w:rsidRPr="007F7EBF">
        <w:rPr>
          <w:sz w:val="22"/>
          <w:szCs w:val="22"/>
        </w:rPr>
        <w:t>, influenzata da</w:t>
      </w:r>
      <w:r w:rsidR="002523F1" w:rsidRPr="007F7EBF">
        <w:rPr>
          <w:sz w:val="22"/>
          <w:szCs w:val="22"/>
        </w:rPr>
        <w:t xml:space="preserve">i </w:t>
      </w:r>
      <w:r w:rsidRPr="007F7EBF">
        <w:rPr>
          <w:sz w:val="22"/>
          <w:szCs w:val="22"/>
        </w:rPr>
        <w:t xml:space="preserve">già anticipati </w:t>
      </w:r>
      <w:r w:rsidR="002523F1" w:rsidRPr="007F7EBF">
        <w:rPr>
          <w:sz w:val="22"/>
          <w:szCs w:val="22"/>
        </w:rPr>
        <w:t xml:space="preserve">elementi ulteriori </w:t>
      </w:r>
      <w:r w:rsidRPr="007F7EBF">
        <w:rPr>
          <w:sz w:val="22"/>
          <w:szCs w:val="22"/>
        </w:rPr>
        <w:t xml:space="preserve">di "personalità", </w:t>
      </w:r>
      <w:r w:rsidR="002523F1" w:rsidRPr="007F7EBF">
        <w:rPr>
          <w:sz w:val="22"/>
          <w:szCs w:val="22"/>
        </w:rPr>
        <w:t xml:space="preserve">estranei alla determinazione della ricchezza e relativi alla sfera </w:t>
      </w:r>
      <w:r w:rsidRPr="007F7EBF">
        <w:rPr>
          <w:sz w:val="22"/>
          <w:szCs w:val="22"/>
        </w:rPr>
        <w:t>individuale</w:t>
      </w:r>
      <w:r w:rsidR="002523F1" w:rsidRPr="007F7EBF">
        <w:rPr>
          <w:sz w:val="22"/>
          <w:szCs w:val="22"/>
        </w:rPr>
        <w:t xml:space="preserve"> e familiare del contribuente. </w:t>
      </w:r>
    </w:p>
    <w:p w14:paraId="2E597C2F" w14:textId="77777777" w:rsidR="0094791C" w:rsidRPr="007F7EBF" w:rsidRDefault="0094791C" w:rsidP="0094791C">
      <w:pPr>
        <w:pStyle w:val="tit23"/>
        <w:ind w:left="6464" w:right="-1361" w:firstLine="0"/>
        <w:jc w:val="left"/>
        <w:rPr>
          <w:bCs/>
          <w:i/>
          <w:iCs/>
          <w:color w:val="0000FF"/>
          <w:lang w:val="it-IT"/>
        </w:rPr>
      </w:pPr>
      <w:r w:rsidRPr="007F7EBF">
        <w:rPr>
          <w:bCs/>
          <w:i/>
          <w:iCs/>
          <w:color w:val="0000FF"/>
          <w:lang w:val="it-IT"/>
        </w:rPr>
        <w:t>Oneri deducibili per ragioni di simmetria</w:t>
      </w:r>
    </w:p>
    <w:p w14:paraId="39FDE7FF" w14:textId="0E7B65CB" w:rsidR="001D6277" w:rsidRPr="007F7EBF" w:rsidRDefault="003162E5" w:rsidP="001D6277">
      <w:pPr>
        <w:autoSpaceDE w:val="0"/>
        <w:autoSpaceDN w:val="0"/>
        <w:adjustRightInd w:val="0"/>
        <w:rPr>
          <w:sz w:val="22"/>
          <w:szCs w:val="22"/>
        </w:rPr>
      </w:pPr>
      <w:r w:rsidRPr="007F7EBF">
        <w:rPr>
          <w:sz w:val="22"/>
          <w:szCs w:val="22"/>
        </w:rPr>
        <w:lastRenderedPageBreak/>
        <w:t xml:space="preserve">Alcuni oneri deducibili sono tali per ragioni di simmetria (par.3.12) di determinazione dei tributi, come i </w:t>
      </w:r>
      <w:r w:rsidRPr="007F7EBF">
        <w:rPr>
          <w:bCs/>
          <w:sz w:val="22"/>
          <w:szCs w:val="22"/>
        </w:rPr>
        <w:t>contributi previdenziali obbligatori per legge e assimilati</w:t>
      </w:r>
      <w:r w:rsidR="000D708F">
        <w:rPr>
          <w:bCs/>
          <w:sz w:val="22"/>
          <w:szCs w:val="22"/>
        </w:rPr>
        <w:t>(</w:t>
      </w:r>
      <w:r w:rsidR="0094791C" w:rsidRPr="007F7EBF">
        <w:rPr>
          <w:rStyle w:val="Rimandonotaapidipagina"/>
          <w:bCs/>
          <w:sz w:val="22"/>
          <w:szCs w:val="22"/>
        </w:rPr>
        <w:footnoteReference w:id="1329"/>
      </w:r>
      <w:r w:rsidR="000D708F">
        <w:rPr>
          <w:bCs/>
          <w:sz w:val="22"/>
          <w:szCs w:val="22"/>
        </w:rPr>
        <w:t>)</w:t>
      </w:r>
      <w:r w:rsidRPr="007F7EBF">
        <w:rPr>
          <w:sz w:val="22"/>
          <w:szCs w:val="22"/>
        </w:rPr>
        <w:t xml:space="preserve">, gli </w:t>
      </w:r>
      <w:r w:rsidRPr="007F7EBF">
        <w:rPr>
          <w:bCs/>
          <w:sz w:val="22"/>
          <w:szCs w:val="22"/>
        </w:rPr>
        <w:t xml:space="preserve">assegni di mantenimento </w:t>
      </w:r>
      <w:r w:rsidRPr="007F7EBF">
        <w:rPr>
          <w:sz w:val="22"/>
          <w:szCs w:val="22"/>
        </w:rPr>
        <w:t>al coniuge, i redditi restituiti all'erogante dopo esser stati tassati</w:t>
      </w:r>
      <w:r w:rsidR="000D708F" w:rsidRPr="007F7EBF">
        <w:rPr>
          <w:sz w:val="22"/>
          <w:szCs w:val="22"/>
        </w:rPr>
        <w:t>(</w:t>
      </w:r>
      <w:r w:rsidR="000D708F" w:rsidRPr="007F7EBF">
        <w:rPr>
          <w:rStyle w:val="Rimandonotaapidipagina"/>
          <w:sz w:val="22"/>
          <w:szCs w:val="22"/>
        </w:rPr>
        <w:footnoteReference w:id="1330"/>
      </w:r>
      <w:r w:rsidR="000D708F" w:rsidRPr="007F7EBF">
        <w:rPr>
          <w:sz w:val="22"/>
          <w:szCs w:val="22"/>
        </w:rPr>
        <w:t>)</w:t>
      </w:r>
      <w:r w:rsidRPr="007F7EBF">
        <w:rPr>
          <w:sz w:val="22"/>
          <w:szCs w:val="22"/>
        </w:rPr>
        <w:t xml:space="preserve">, etc., in quanto vi corrispondono redditi tassati su altri contribuenti (coniuge), in futuro (pensioni) o in passato. Tutte queste </w:t>
      </w:r>
      <w:r w:rsidR="00D45FE7" w:rsidRPr="007F7EBF">
        <w:rPr>
          <w:sz w:val="22"/>
          <w:szCs w:val="22"/>
        </w:rPr>
        <w:t xml:space="preserve">deduzioni, giustificate dalla logica di determinazione della ricchezza, continuano ad avvenire dall'imponibile, senza </w:t>
      </w:r>
      <w:r w:rsidR="00BC2178">
        <w:rPr>
          <w:sz w:val="22"/>
          <w:szCs w:val="22"/>
        </w:rPr>
        <w:t>la trasformazione in detrazioni di imposta, di cui diremo ora</w:t>
      </w:r>
      <w:r w:rsidR="00D45FE7" w:rsidRPr="007F7EBF">
        <w:rPr>
          <w:sz w:val="22"/>
          <w:szCs w:val="22"/>
        </w:rPr>
        <w:t xml:space="preserve">. </w:t>
      </w:r>
      <w:r w:rsidRPr="007F7EBF">
        <w:rPr>
          <w:sz w:val="22"/>
          <w:szCs w:val="22"/>
        </w:rPr>
        <w:t xml:space="preserve"> </w:t>
      </w:r>
    </w:p>
    <w:p w14:paraId="5CBA0211" w14:textId="26F81057" w:rsidR="001D6277" w:rsidRPr="007F7EBF" w:rsidRDefault="00BC2178" w:rsidP="001D6277">
      <w:pPr>
        <w:pStyle w:val="tit23"/>
        <w:ind w:left="6464" w:right="-1361" w:firstLine="0"/>
        <w:jc w:val="left"/>
        <w:rPr>
          <w:bCs/>
          <w:i/>
          <w:iCs/>
          <w:color w:val="0000FF"/>
          <w:lang w:val="it-IT"/>
        </w:rPr>
      </w:pPr>
      <w:r>
        <w:rPr>
          <w:bCs/>
          <w:i/>
          <w:iCs/>
          <w:color w:val="0000FF"/>
          <w:lang w:val="it-IT"/>
        </w:rPr>
        <w:t>Detrazioni per o</w:t>
      </w:r>
      <w:r w:rsidR="001D6277" w:rsidRPr="007F7EBF">
        <w:rPr>
          <w:bCs/>
          <w:i/>
          <w:iCs/>
          <w:color w:val="0000FF"/>
          <w:lang w:val="it-IT"/>
        </w:rPr>
        <w:t xml:space="preserve">neri deducibili </w:t>
      </w:r>
    </w:p>
    <w:p w14:paraId="121006D4" w14:textId="6DA49DA2" w:rsidR="003162E5" w:rsidRPr="007F7EBF" w:rsidRDefault="00D45FE7" w:rsidP="003162E5">
      <w:pPr>
        <w:autoSpaceDE w:val="0"/>
        <w:autoSpaceDN w:val="0"/>
        <w:adjustRightInd w:val="0"/>
        <w:rPr>
          <w:bCs/>
          <w:i/>
          <w:iCs/>
          <w:color w:val="0000FF"/>
          <w:sz w:val="22"/>
          <w:szCs w:val="22"/>
        </w:rPr>
      </w:pPr>
      <w:r w:rsidRPr="007F7EBF">
        <w:rPr>
          <w:sz w:val="22"/>
          <w:szCs w:val="22"/>
        </w:rPr>
        <w:t>Gli altri oneri deducibili</w:t>
      </w:r>
      <w:r w:rsidR="00BC2178">
        <w:rPr>
          <w:sz w:val="22"/>
          <w:szCs w:val="22"/>
        </w:rPr>
        <w:t xml:space="preserve"> sono </w:t>
      </w:r>
      <w:r w:rsidRPr="007F7EBF">
        <w:rPr>
          <w:sz w:val="22"/>
          <w:szCs w:val="22"/>
        </w:rPr>
        <w:t>giustificati da ragioni "politico-sociali"</w:t>
      </w:r>
      <w:r w:rsidR="00BC2178">
        <w:rPr>
          <w:sz w:val="22"/>
          <w:szCs w:val="22"/>
        </w:rPr>
        <w:t xml:space="preserve">, </w:t>
      </w:r>
      <w:r w:rsidRPr="007F7EBF">
        <w:rPr>
          <w:sz w:val="22"/>
          <w:szCs w:val="22"/>
        </w:rPr>
        <w:t xml:space="preserve"> </w:t>
      </w:r>
      <w:r w:rsidR="00BC2178">
        <w:rPr>
          <w:sz w:val="22"/>
          <w:szCs w:val="22"/>
        </w:rPr>
        <w:t xml:space="preserve">estranee alla specificazione, secondo le note simmetrie di cui al par.3.12, dei concetti economici di cui al par.1.8. Si tratta infatti di consumi “meritevoli”, ma pur sempre di </w:t>
      </w:r>
      <w:r w:rsidRPr="007F7EBF">
        <w:rPr>
          <w:sz w:val="22"/>
          <w:szCs w:val="22"/>
        </w:rPr>
        <w:t xml:space="preserve">"consumi" , favoriti per </w:t>
      </w:r>
      <w:r w:rsidR="00DB2955" w:rsidRPr="007F7EBF">
        <w:rPr>
          <w:sz w:val="22"/>
          <w:szCs w:val="22"/>
        </w:rPr>
        <w:t xml:space="preserve">ragioni contingenti di politica sociale; </w:t>
      </w:r>
      <w:r w:rsidR="00BC2178">
        <w:rPr>
          <w:sz w:val="22"/>
          <w:szCs w:val="22"/>
        </w:rPr>
        <w:t xml:space="preserve">si tratta di spese mediche o educative, </w:t>
      </w:r>
      <w:r w:rsidR="003162E5" w:rsidRPr="007F7EBF">
        <w:rPr>
          <w:sz w:val="22"/>
          <w:szCs w:val="22"/>
        </w:rPr>
        <w:t>interessi passivi su mutui per l’acquisto della prima casa, elargizioni volontarie meritevoli, come quelle ad enti caritatevoli, politic</w:t>
      </w:r>
      <w:r w:rsidR="001D6277" w:rsidRPr="007F7EBF">
        <w:rPr>
          <w:sz w:val="22"/>
          <w:szCs w:val="22"/>
        </w:rPr>
        <w:t>o culturali, assistenziali etc.</w:t>
      </w:r>
      <w:r w:rsidR="000D708F">
        <w:rPr>
          <w:sz w:val="22"/>
          <w:szCs w:val="22"/>
        </w:rPr>
        <w:t>(</w:t>
      </w:r>
      <w:r w:rsidR="009C45C5" w:rsidRPr="007F7EBF">
        <w:rPr>
          <w:rStyle w:val="Rimandonotaapidipagina"/>
          <w:sz w:val="22"/>
          <w:szCs w:val="22"/>
        </w:rPr>
        <w:footnoteReference w:id="1331"/>
      </w:r>
      <w:r w:rsidR="000D708F">
        <w:rPr>
          <w:sz w:val="22"/>
          <w:szCs w:val="22"/>
        </w:rPr>
        <w:t>)</w:t>
      </w:r>
      <w:r w:rsidR="003162E5" w:rsidRPr="007F7EBF">
        <w:rPr>
          <w:sz w:val="22"/>
          <w:szCs w:val="22"/>
        </w:rPr>
        <w:t xml:space="preserve">.  </w:t>
      </w:r>
      <w:r w:rsidR="00BC2178">
        <w:rPr>
          <w:sz w:val="22"/>
          <w:szCs w:val="22"/>
        </w:rPr>
        <w:t xml:space="preserve">La scelta legislativa è stata quella di calcolare il vantaggio fiscale correlato a queste spese in modo uguale per tutti, convertendo le somme spese </w:t>
      </w:r>
      <w:r w:rsidR="00DB2955" w:rsidRPr="007F7EBF">
        <w:rPr>
          <w:sz w:val="22"/>
          <w:szCs w:val="22"/>
        </w:rPr>
        <w:t xml:space="preserve">in </w:t>
      </w:r>
      <w:r w:rsidR="003162E5" w:rsidRPr="007F7EBF">
        <w:rPr>
          <w:sz w:val="22"/>
          <w:szCs w:val="22"/>
        </w:rPr>
        <w:t>detrazioni d’imposta</w:t>
      </w:r>
      <w:r w:rsidR="00DB2955" w:rsidRPr="007F7EBF">
        <w:rPr>
          <w:sz w:val="22"/>
          <w:szCs w:val="22"/>
        </w:rPr>
        <w:t>,</w:t>
      </w:r>
      <w:r w:rsidR="003162E5" w:rsidRPr="007F7EBF">
        <w:rPr>
          <w:sz w:val="22"/>
          <w:szCs w:val="22"/>
        </w:rPr>
        <w:t xml:space="preserve"> calcolate applicando (art. 15 TUIR) al</w:t>
      </w:r>
      <w:r w:rsidR="000D708F">
        <w:rPr>
          <w:sz w:val="22"/>
          <w:szCs w:val="22"/>
        </w:rPr>
        <w:t xml:space="preserve"> loro ammontare </w:t>
      </w:r>
      <w:r w:rsidR="003162E5" w:rsidRPr="007F7EBF">
        <w:rPr>
          <w:sz w:val="22"/>
          <w:szCs w:val="22"/>
        </w:rPr>
        <w:t xml:space="preserve"> un’aliquota attualmente al 19%.</w:t>
      </w:r>
      <w:r w:rsidR="00DB2955" w:rsidRPr="007F7EBF">
        <w:rPr>
          <w:sz w:val="22"/>
          <w:szCs w:val="22"/>
        </w:rPr>
        <w:t xml:space="preserve"> E' una </w:t>
      </w:r>
      <w:r w:rsidR="00BC2178">
        <w:rPr>
          <w:sz w:val="22"/>
          <w:szCs w:val="22"/>
        </w:rPr>
        <w:t>soluzione ispirata a</w:t>
      </w:r>
      <w:r w:rsidR="00DB2955" w:rsidRPr="007F7EBF">
        <w:rPr>
          <w:sz w:val="22"/>
          <w:szCs w:val="22"/>
        </w:rPr>
        <w:t>lla logica (</w:t>
      </w:r>
      <w:r w:rsidR="00DB2955" w:rsidRPr="007F7EBF">
        <w:rPr>
          <w:rStyle w:val="Rimandonotaapidipagina"/>
          <w:sz w:val="22"/>
          <w:szCs w:val="22"/>
        </w:rPr>
        <w:footnoteReference w:id="1332"/>
      </w:r>
      <w:r w:rsidR="00DB2955" w:rsidRPr="007F7EBF">
        <w:rPr>
          <w:sz w:val="22"/>
          <w:szCs w:val="22"/>
        </w:rPr>
        <w:t>) della partecipazione statale a spese socialmente rilevanti</w:t>
      </w:r>
      <w:r w:rsidR="00BC2178">
        <w:rPr>
          <w:sz w:val="22"/>
          <w:szCs w:val="22"/>
        </w:rPr>
        <w:t xml:space="preserve">, </w:t>
      </w:r>
      <w:r w:rsidR="00DB2955" w:rsidRPr="007F7EBF">
        <w:rPr>
          <w:sz w:val="22"/>
          <w:szCs w:val="22"/>
        </w:rPr>
        <w:t xml:space="preserve">scelte dai privati. </w:t>
      </w:r>
    </w:p>
    <w:p w14:paraId="3D4F9C02" w14:textId="77777777" w:rsidR="002862FB" w:rsidRPr="007F7EBF" w:rsidRDefault="002862FB" w:rsidP="002862FB">
      <w:pPr>
        <w:pStyle w:val="tit23"/>
        <w:ind w:left="6464" w:right="-1361" w:firstLine="0"/>
        <w:jc w:val="left"/>
        <w:rPr>
          <w:bCs/>
          <w:i/>
          <w:iCs/>
          <w:color w:val="0000FF"/>
          <w:lang w:val="it-IT"/>
        </w:rPr>
      </w:pPr>
      <w:r w:rsidRPr="007F7EBF">
        <w:rPr>
          <w:bCs/>
          <w:i/>
          <w:iCs/>
          <w:color w:val="0000FF"/>
          <w:lang w:val="it-IT"/>
        </w:rPr>
        <w:t xml:space="preserve">Detrazioni per familiari a carico, ed altre. </w:t>
      </w:r>
    </w:p>
    <w:p w14:paraId="0BE2BBC6" w14:textId="6DF1DC2C" w:rsidR="001D6277" w:rsidRPr="007F7EBF" w:rsidRDefault="002862FB" w:rsidP="001D6277">
      <w:pPr>
        <w:autoSpaceDE w:val="0"/>
        <w:autoSpaceDN w:val="0"/>
        <w:adjustRightInd w:val="0"/>
        <w:rPr>
          <w:sz w:val="22"/>
          <w:szCs w:val="22"/>
        </w:rPr>
      </w:pPr>
      <w:r w:rsidRPr="007F7EBF">
        <w:rPr>
          <w:sz w:val="22"/>
          <w:szCs w:val="22"/>
        </w:rPr>
        <w:t xml:space="preserve">La personalità </w:t>
      </w:r>
      <w:proofErr w:type="spellStart"/>
      <w:r w:rsidRPr="007F7EBF">
        <w:rPr>
          <w:sz w:val="22"/>
          <w:szCs w:val="22"/>
        </w:rPr>
        <w:t>dell'irpef</w:t>
      </w:r>
      <w:proofErr w:type="spellEnd"/>
      <w:r w:rsidRPr="007F7EBF">
        <w:rPr>
          <w:sz w:val="22"/>
          <w:szCs w:val="22"/>
        </w:rPr>
        <w:t xml:space="preserve"> si vede anche nella rilevanza dei carichi familiari, per coniuge, figli, genitori, etc.. Tali detrazioni costituiscono un sussidio erogato in forma di riduzione del tributo a chi ha modesti redditi, in quanto le detrazioni diminuiscono, fino ad azzerarsi, al </w:t>
      </w:r>
      <w:r w:rsidRPr="007F7EBF">
        <w:rPr>
          <w:sz w:val="22"/>
          <w:szCs w:val="22"/>
        </w:rPr>
        <w:lastRenderedPageBreak/>
        <w:t xml:space="preserve">crescere del reddito. Ricordiamo le già menzionate detrazioni per </w:t>
      </w:r>
      <w:r>
        <w:rPr>
          <w:sz w:val="22"/>
          <w:szCs w:val="22"/>
        </w:rPr>
        <w:t>attenuare la progressività sui redditi di lavoro dipendente (</w:t>
      </w:r>
      <w:r>
        <w:rPr>
          <w:rStyle w:val="Rimandonotaapidipagina"/>
          <w:sz w:val="22"/>
          <w:szCs w:val="22"/>
        </w:rPr>
        <w:footnoteReference w:id="1333"/>
      </w:r>
      <w:r>
        <w:rPr>
          <w:sz w:val="22"/>
          <w:szCs w:val="22"/>
        </w:rPr>
        <w:t xml:space="preserve">), quelle per </w:t>
      </w:r>
      <w:r w:rsidRPr="007F7EBF">
        <w:rPr>
          <w:sz w:val="22"/>
          <w:szCs w:val="22"/>
        </w:rPr>
        <w:t>imposte su redditi prodotti all'estero (par.7.18)</w:t>
      </w:r>
      <w:r>
        <w:rPr>
          <w:sz w:val="22"/>
          <w:szCs w:val="22"/>
        </w:rPr>
        <w:t xml:space="preserve">, </w:t>
      </w:r>
      <w:r w:rsidRPr="007F7EBF">
        <w:rPr>
          <w:sz w:val="22"/>
          <w:szCs w:val="22"/>
        </w:rPr>
        <w:t>quelle per oneri deducibili trasformati in detrazi</w:t>
      </w:r>
      <w:r w:rsidR="009E6928">
        <w:rPr>
          <w:sz w:val="22"/>
          <w:szCs w:val="22"/>
        </w:rPr>
        <w:t>o</w:t>
      </w:r>
      <w:r w:rsidRPr="007F7EBF">
        <w:rPr>
          <w:sz w:val="22"/>
          <w:szCs w:val="22"/>
        </w:rPr>
        <w:t xml:space="preserve">ni, di cui </w:t>
      </w:r>
      <w:r w:rsidR="009E6928">
        <w:rPr>
          <w:sz w:val="22"/>
          <w:szCs w:val="22"/>
        </w:rPr>
        <w:t>appena detto sopra</w:t>
      </w:r>
      <w:r w:rsidRPr="007F7EBF">
        <w:rPr>
          <w:sz w:val="22"/>
          <w:szCs w:val="22"/>
        </w:rPr>
        <w:t xml:space="preserve">. </w:t>
      </w:r>
      <w:r>
        <w:rPr>
          <w:sz w:val="22"/>
          <w:szCs w:val="22"/>
        </w:rPr>
        <w:t>Qualora la somma dell</w:t>
      </w:r>
      <w:r w:rsidRPr="007F7EBF">
        <w:rPr>
          <w:sz w:val="22"/>
          <w:szCs w:val="22"/>
        </w:rPr>
        <w:t xml:space="preserve">e detrazioni </w:t>
      </w:r>
      <w:r>
        <w:rPr>
          <w:sz w:val="22"/>
          <w:szCs w:val="22"/>
        </w:rPr>
        <w:t>ecceda l</w:t>
      </w:r>
      <w:r w:rsidRPr="007F7EBF">
        <w:rPr>
          <w:sz w:val="22"/>
          <w:szCs w:val="22"/>
        </w:rPr>
        <w:t>'imposta lorda</w:t>
      </w:r>
      <w:r>
        <w:rPr>
          <w:sz w:val="22"/>
          <w:szCs w:val="22"/>
        </w:rPr>
        <w:t xml:space="preserve">, la differenza non è rimborsabile, e viene perduta, come nel caso dei c.d. “incapienti” (par.2.2); se lo stato rimborsasse la differenza, la detrazione diventerebbe un sussidio pubblico, cui avrebbe diritto anche chi non </w:t>
      </w:r>
      <w:r w:rsidR="009E6928">
        <w:rPr>
          <w:sz w:val="22"/>
          <w:szCs w:val="22"/>
        </w:rPr>
        <w:t xml:space="preserve">produce </w:t>
      </w:r>
      <w:r>
        <w:rPr>
          <w:sz w:val="22"/>
          <w:szCs w:val="22"/>
        </w:rPr>
        <w:t>alcun reddito (</w:t>
      </w:r>
      <w:r>
        <w:rPr>
          <w:rStyle w:val="Rimandonotaapidipagina"/>
          <w:sz w:val="22"/>
          <w:szCs w:val="22"/>
        </w:rPr>
        <w:footnoteReference w:id="1334"/>
      </w:r>
      <w:r>
        <w:rPr>
          <w:sz w:val="22"/>
          <w:szCs w:val="22"/>
        </w:rPr>
        <w:t xml:space="preserve">). </w:t>
      </w:r>
    </w:p>
    <w:p w14:paraId="144A5CB8" w14:textId="77777777" w:rsidR="001D6277" w:rsidRPr="007F7EBF" w:rsidRDefault="001D6277" w:rsidP="001D6277">
      <w:pPr>
        <w:pStyle w:val="tit23"/>
        <w:ind w:left="6464" w:right="-1361" w:firstLine="0"/>
        <w:jc w:val="left"/>
        <w:rPr>
          <w:bCs/>
          <w:i/>
          <w:iCs/>
          <w:color w:val="0000FF"/>
          <w:lang w:val="it-IT"/>
        </w:rPr>
      </w:pPr>
      <w:r w:rsidRPr="007F7EBF">
        <w:rPr>
          <w:bCs/>
          <w:i/>
          <w:iCs/>
          <w:color w:val="0000FF"/>
          <w:lang w:val="it-IT"/>
        </w:rPr>
        <w:t xml:space="preserve">Oneri deducibili </w:t>
      </w:r>
      <w:proofErr w:type="spellStart"/>
      <w:r w:rsidRPr="007F7EBF">
        <w:rPr>
          <w:bCs/>
          <w:i/>
          <w:iCs/>
          <w:color w:val="0000FF"/>
          <w:lang w:val="it-IT"/>
        </w:rPr>
        <w:t>antievasione:contrasto</w:t>
      </w:r>
      <w:proofErr w:type="spellEnd"/>
      <w:r w:rsidRPr="007F7EBF">
        <w:rPr>
          <w:bCs/>
          <w:i/>
          <w:iCs/>
          <w:color w:val="0000FF"/>
          <w:lang w:val="it-IT"/>
        </w:rPr>
        <w:t xml:space="preserve"> di interessi</w:t>
      </w:r>
    </w:p>
    <w:p w14:paraId="6C81C230" w14:textId="4B6A7150" w:rsidR="00BC2178" w:rsidRPr="007F7EBF" w:rsidRDefault="00BC2178" w:rsidP="00BC2178">
      <w:pPr>
        <w:autoSpaceDE w:val="0"/>
        <w:autoSpaceDN w:val="0"/>
        <w:adjustRightInd w:val="0"/>
        <w:rPr>
          <w:sz w:val="22"/>
          <w:szCs w:val="22"/>
        </w:rPr>
      </w:pPr>
      <w:r>
        <w:rPr>
          <w:sz w:val="22"/>
          <w:szCs w:val="22"/>
        </w:rPr>
        <w:t xml:space="preserve">Gli oneri deducibili suddetti </w:t>
      </w:r>
      <w:r w:rsidR="00D54F38">
        <w:rPr>
          <w:sz w:val="22"/>
          <w:szCs w:val="22"/>
        </w:rPr>
        <w:t xml:space="preserve">non hanno finalità “segnaletiche” dei percettori, ed anzi il flusso informativo per la dichiarazione “precompilata” (par.3.4) obbliga addirittura i percettori a segnalare i soggetti eroganti al fine di </w:t>
      </w:r>
      <w:r w:rsidR="009E6928">
        <w:rPr>
          <w:sz w:val="22"/>
          <w:szCs w:val="22"/>
        </w:rPr>
        <w:t xml:space="preserve">consentire al fisco di </w:t>
      </w:r>
      <w:r w:rsidR="00D54F38">
        <w:rPr>
          <w:sz w:val="22"/>
          <w:szCs w:val="22"/>
        </w:rPr>
        <w:t>predisporre le loro dichiarazioni “online”. Qualora i percettori non lo facciano, gli eroganti potranno essere invitati a documentare tali oneri nei controlli “selettivi” di cui al par.5.5; l’erogante qui non informa il fisco sulle generalità dei percettori (</w:t>
      </w:r>
      <w:r w:rsidR="00D54F38" w:rsidRPr="007F7EBF">
        <w:rPr>
          <w:rStyle w:val="Rimandonotaapidipagina"/>
          <w:sz w:val="22"/>
          <w:szCs w:val="22"/>
        </w:rPr>
        <w:footnoteReference w:id="1335"/>
      </w:r>
      <w:r w:rsidR="00D54F38">
        <w:rPr>
          <w:sz w:val="22"/>
          <w:szCs w:val="22"/>
        </w:rPr>
        <w:t xml:space="preserve">), </w:t>
      </w:r>
      <w:r w:rsidR="009E6928">
        <w:rPr>
          <w:sz w:val="22"/>
          <w:szCs w:val="22"/>
        </w:rPr>
        <w:t>in quanto t</w:t>
      </w:r>
      <w:r w:rsidRPr="007F7EBF">
        <w:rPr>
          <w:sz w:val="22"/>
          <w:szCs w:val="22"/>
        </w:rPr>
        <w:t xml:space="preserve">ali oneri devono essere indicati nella dichiarazione nel loro importo complessivo, senza indicare le generalità dei percettori, </w:t>
      </w:r>
      <w:r w:rsidR="009E6928">
        <w:rPr>
          <w:sz w:val="22"/>
          <w:szCs w:val="22"/>
        </w:rPr>
        <w:t>per i</w:t>
      </w:r>
      <w:r w:rsidRPr="007F7EBF">
        <w:rPr>
          <w:sz w:val="22"/>
          <w:szCs w:val="22"/>
        </w:rPr>
        <w:t xml:space="preserve"> controlli a campione di cui al par.5.5</w:t>
      </w:r>
      <w:r>
        <w:rPr>
          <w:sz w:val="22"/>
          <w:szCs w:val="22"/>
        </w:rPr>
        <w:t xml:space="preserve"> (</w:t>
      </w:r>
      <w:r w:rsidRPr="007F7EBF">
        <w:rPr>
          <w:rStyle w:val="Rimandonotaapidipagina"/>
          <w:sz w:val="22"/>
          <w:szCs w:val="22"/>
        </w:rPr>
        <w:footnoteReference w:id="1336"/>
      </w:r>
      <w:r>
        <w:rPr>
          <w:sz w:val="22"/>
          <w:szCs w:val="22"/>
        </w:rPr>
        <w:t>)</w:t>
      </w:r>
      <w:r w:rsidRPr="007F7EBF">
        <w:rPr>
          <w:sz w:val="22"/>
          <w:szCs w:val="22"/>
        </w:rPr>
        <w:t xml:space="preserve">. </w:t>
      </w:r>
    </w:p>
    <w:p w14:paraId="03D3C4C1" w14:textId="66360744" w:rsidR="003162E5" w:rsidRPr="007F7EBF" w:rsidRDefault="00D54F38" w:rsidP="005128DF">
      <w:pPr>
        <w:autoSpaceDE w:val="0"/>
        <w:autoSpaceDN w:val="0"/>
        <w:adjustRightInd w:val="0"/>
        <w:rPr>
          <w:sz w:val="22"/>
          <w:szCs w:val="22"/>
        </w:rPr>
      </w:pPr>
      <w:r>
        <w:rPr>
          <w:sz w:val="22"/>
          <w:szCs w:val="22"/>
        </w:rPr>
        <w:t xml:space="preserve">L’erogante deve fornire le generalità del percettore solo per </w:t>
      </w:r>
      <w:r w:rsidR="001E5403" w:rsidRPr="007F7EBF">
        <w:rPr>
          <w:sz w:val="22"/>
          <w:szCs w:val="22"/>
        </w:rPr>
        <w:t>le detrazioni per i lavori edilizi</w:t>
      </w:r>
      <w:r w:rsidR="00D00385">
        <w:rPr>
          <w:sz w:val="22"/>
          <w:szCs w:val="22"/>
        </w:rPr>
        <w:t>, ipotesi di</w:t>
      </w:r>
      <w:r w:rsidR="00E92D88" w:rsidRPr="007F7EBF">
        <w:rPr>
          <w:sz w:val="22"/>
          <w:szCs w:val="22"/>
        </w:rPr>
        <w:t xml:space="preserve"> </w:t>
      </w:r>
      <w:r w:rsidR="00D00385">
        <w:rPr>
          <w:sz w:val="22"/>
          <w:szCs w:val="22"/>
        </w:rPr>
        <w:t>“</w:t>
      </w:r>
      <w:r w:rsidR="003162E5" w:rsidRPr="007F7EBF">
        <w:rPr>
          <w:sz w:val="22"/>
          <w:szCs w:val="22"/>
        </w:rPr>
        <w:t>contrasto di interessi</w:t>
      </w:r>
      <w:r w:rsidR="00DC2DB9">
        <w:rPr>
          <w:sz w:val="22"/>
          <w:szCs w:val="22"/>
        </w:rPr>
        <w:t>”</w:t>
      </w:r>
      <w:r w:rsidR="003162E5" w:rsidRPr="007F7EBF">
        <w:rPr>
          <w:sz w:val="22"/>
          <w:szCs w:val="22"/>
        </w:rPr>
        <w:t xml:space="preserve"> </w:t>
      </w:r>
      <w:r w:rsidR="00E92D88" w:rsidRPr="007F7EBF">
        <w:rPr>
          <w:sz w:val="22"/>
          <w:szCs w:val="22"/>
        </w:rPr>
        <w:t>in funzione antievasione</w:t>
      </w:r>
      <w:r>
        <w:rPr>
          <w:sz w:val="22"/>
          <w:szCs w:val="22"/>
        </w:rPr>
        <w:t xml:space="preserve">, sulla cui </w:t>
      </w:r>
      <w:r w:rsidR="00DC2DB9">
        <w:rPr>
          <w:sz w:val="22"/>
          <w:szCs w:val="22"/>
        </w:rPr>
        <w:t>fortuna</w:t>
      </w:r>
      <w:r>
        <w:rPr>
          <w:sz w:val="22"/>
          <w:szCs w:val="22"/>
        </w:rPr>
        <w:t xml:space="preserve"> mediatica </w:t>
      </w:r>
      <w:r w:rsidR="00E92D88" w:rsidRPr="007F7EBF">
        <w:rPr>
          <w:sz w:val="22"/>
          <w:szCs w:val="22"/>
        </w:rPr>
        <w:t>par.4.5</w:t>
      </w:r>
      <w:r>
        <w:rPr>
          <w:sz w:val="22"/>
          <w:szCs w:val="22"/>
        </w:rPr>
        <w:t xml:space="preserve"> (</w:t>
      </w:r>
      <w:r w:rsidR="004E56C3" w:rsidRPr="007F7EBF">
        <w:rPr>
          <w:rStyle w:val="Rimandonotaapidipagina"/>
          <w:sz w:val="22"/>
          <w:szCs w:val="22"/>
        </w:rPr>
        <w:footnoteReference w:id="1337"/>
      </w:r>
      <w:r>
        <w:rPr>
          <w:sz w:val="22"/>
          <w:szCs w:val="22"/>
        </w:rPr>
        <w:t>)</w:t>
      </w:r>
      <w:r w:rsidR="009E6928">
        <w:rPr>
          <w:sz w:val="22"/>
          <w:szCs w:val="22"/>
        </w:rPr>
        <w:t xml:space="preserve">; l’istituto </w:t>
      </w:r>
      <w:r w:rsidR="00DC2DB9" w:rsidRPr="007F7EBF">
        <w:rPr>
          <w:sz w:val="22"/>
          <w:szCs w:val="22"/>
        </w:rPr>
        <w:t xml:space="preserve">mescola </w:t>
      </w:r>
      <w:r w:rsidR="00DC2DB9" w:rsidRPr="007F7EBF">
        <w:rPr>
          <w:sz w:val="22"/>
          <w:szCs w:val="22"/>
        </w:rPr>
        <w:lastRenderedPageBreak/>
        <w:t>il contrasto all'evasione con lo stimolo all'edilizia, e alle riqualificazioni energetiche.</w:t>
      </w:r>
      <w:r w:rsidR="00DC2DB9">
        <w:rPr>
          <w:sz w:val="22"/>
          <w:szCs w:val="22"/>
        </w:rPr>
        <w:t xml:space="preserve"> Questa </w:t>
      </w:r>
      <w:r w:rsidR="00E92D88" w:rsidRPr="007F7EBF">
        <w:rPr>
          <w:sz w:val="22"/>
          <w:szCs w:val="22"/>
        </w:rPr>
        <w:t>detrazione è segnalata tramite uno speciale bonifico bancario, subordinata a una determinata natura dell</w:t>
      </w:r>
      <w:r w:rsidR="00DC2DB9">
        <w:rPr>
          <w:sz w:val="22"/>
          <w:szCs w:val="22"/>
        </w:rPr>
        <w:t>a</w:t>
      </w:r>
      <w:r w:rsidR="00E92D88" w:rsidRPr="007F7EBF">
        <w:rPr>
          <w:sz w:val="22"/>
          <w:szCs w:val="22"/>
        </w:rPr>
        <w:t xml:space="preserve"> spes</w:t>
      </w:r>
      <w:r w:rsidR="00DC2DB9">
        <w:rPr>
          <w:sz w:val="22"/>
          <w:szCs w:val="22"/>
        </w:rPr>
        <w:t>a</w:t>
      </w:r>
      <w:r w:rsidR="00E92D88" w:rsidRPr="007F7EBF">
        <w:rPr>
          <w:sz w:val="22"/>
          <w:szCs w:val="22"/>
        </w:rPr>
        <w:t xml:space="preserve">, divisa in dieci anni, </w:t>
      </w:r>
      <w:proofErr w:type="spellStart"/>
      <w:r w:rsidR="00E92D88" w:rsidRPr="007F7EBF">
        <w:rPr>
          <w:sz w:val="22"/>
          <w:szCs w:val="22"/>
        </w:rPr>
        <w:t>benchè</w:t>
      </w:r>
      <w:proofErr w:type="spellEnd"/>
      <w:r w:rsidR="00E92D88" w:rsidRPr="007F7EBF">
        <w:rPr>
          <w:sz w:val="22"/>
          <w:szCs w:val="22"/>
        </w:rPr>
        <w:t xml:space="preserve"> arrivi anche al 50 percento </w:t>
      </w:r>
      <w:r w:rsidR="000D708F">
        <w:rPr>
          <w:sz w:val="22"/>
          <w:szCs w:val="22"/>
        </w:rPr>
        <w:t>(</w:t>
      </w:r>
      <w:r w:rsidR="00E92D88" w:rsidRPr="007F7EBF">
        <w:rPr>
          <w:rStyle w:val="Rimandonotaapidipagina"/>
          <w:sz w:val="22"/>
          <w:szCs w:val="22"/>
        </w:rPr>
        <w:footnoteReference w:id="1338"/>
      </w:r>
      <w:r w:rsidR="000D708F">
        <w:rPr>
          <w:sz w:val="22"/>
          <w:szCs w:val="22"/>
        </w:rPr>
        <w:t>)</w:t>
      </w:r>
      <w:r w:rsidR="009E6928">
        <w:rPr>
          <w:sz w:val="22"/>
          <w:szCs w:val="22"/>
        </w:rPr>
        <w:t>. G</w:t>
      </w:r>
      <w:r w:rsidR="0008713B">
        <w:rPr>
          <w:sz w:val="22"/>
          <w:szCs w:val="22"/>
        </w:rPr>
        <w:t>e</w:t>
      </w:r>
      <w:r w:rsidR="009E6928">
        <w:rPr>
          <w:sz w:val="22"/>
          <w:szCs w:val="22"/>
        </w:rPr>
        <w:t xml:space="preserve">neralizzare </w:t>
      </w:r>
      <w:r w:rsidR="00787118" w:rsidRPr="007F7EBF">
        <w:rPr>
          <w:sz w:val="22"/>
          <w:szCs w:val="22"/>
        </w:rPr>
        <w:t xml:space="preserve"> il contrasto di interessi</w:t>
      </w:r>
      <w:r w:rsidR="0008713B">
        <w:rPr>
          <w:sz w:val="22"/>
          <w:szCs w:val="22"/>
        </w:rPr>
        <w:t xml:space="preserve">, come rilevato al par.4.5, non è però l’arma finale contro l’evasione; esso </w:t>
      </w:r>
      <w:r w:rsidR="00787118" w:rsidRPr="007F7EBF">
        <w:rPr>
          <w:sz w:val="22"/>
          <w:szCs w:val="22"/>
        </w:rPr>
        <w:t xml:space="preserve">non solo </w:t>
      </w:r>
      <w:r w:rsidR="00097A59" w:rsidRPr="007F7EBF">
        <w:rPr>
          <w:sz w:val="22"/>
          <w:szCs w:val="22"/>
        </w:rPr>
        <w:t xml:space="preserve">renderebbe deducibili "consumi", ma anche somme </w:t>
      </w:r>
      <w:r w:rsidR="005128DF" w:rsidRPr="007F7EBF">
        <w:rPr>
          <w:sz w:val="22"/>
          <w:szCs w:val="22"/>
        </w:rPr>
        <w:t xml:space="preserve">che il fornitore dichiarerebbe in ogni caso </w:t>
      </w:r>
      <w:r w:rsidR="000D708F">
        <w:rPr>
          <w:sz w:val="22"/>
          <w:szCs w:val="22"/>
        </w:rPr>
        <w:t>(</w:t>
      </w:r>
      <w:r w:rsidR="004E22E1" w:rsidRPr="007F7EBF">
        <w:rPr>
          <w:rStyle w:val="Rimandonotaapidipagina"/>
          <w:sz w:val="22"/>
          <w:szCs w:val="22"/>
        </w:rPr>
        <w:footnoteReference w:id="1339"/>
      </w:r>
      <w:r w:rsidR="000D708F">
        <w:rPr>
          <w:sz w:val="22"/>
          <w:szCs w:val="22"/>
        </w:rPr>
        <w:t>)</w:t>
      </w:r>
      <w:r w:rsidR="005128DF" w:rsidRPr="007F7EBF">
        <w:rPr>
          <w:sz w:val="22"/>
          <w:szCs w:val="22"/>
        </w:rPr>
        <w:t>.</w:t>
      </w:r>
    </w:p>
    <w:p w14:paraId="6E2FE5A5" w14:textId="01E66BA1" w:rsidR="006342C5" w:rsidRPr="007F7EBF" w:rsidRDefault="006342C5" w:rsidP="00775319">
      <w:pPr>
        <w:pStyle w:val="Titolo3"/>
        <w:rPr>
          <w:rFonts w:ascii="Times New Roman" w:hAnsi="Times New Roman"/>
          <w:sz w:val="22"/>
          <w:szCs w:val="22"/>
          <w:lang w:val="it-IT"/>
        </w:rPr>
      </w:pPr>
      <w:bookmarkStart w:id="132" w:name="_Toc63365042"/>
      <w:r w:rsidRPr="007F7EBF">
        <w:rPr>
          <w:rFonts w:ascii="Times New Roman" w:hAnsi="Times New Roman"/>
          <w:sz w:val="22"/>
          <w:szCs w:val="22"/>
        </w:rPr>
        <w:t>9.4.</w:t>
      </w:r>
      <w:r w:rsidR="005315AE">
        <w:rPr>
          <w:rFonts w:ascii="Times New Roman" w:hAnsi="Times New Roman"/>
          <w:sz w:val="22"/>
          <w:szCs w:val="22"/>
          <w:lang w:val="it-IT"/>
        </w:rPr>
        <w:t>) A</w:t>
      </w:r>
      <w:r w:rsidR="005128DF" w:rsidRPr="007F7EBF">
        <w:rPr>
          <w:rFonts w:ascii="Times New Roman" w:hAnsi="Times New Roman"/>
          <w:sz w:val="22"/>
          <w:szCs w:val="22"/>
          <w:lang w:val="it-IT"/>
        </w:rPr>
        <w:t xml:space="preserve">liquote </w:t>
      </w:r>
      <w:r w:rsidRPr="007F7EBF">
        <w:rPr>
          <w:rFonts w:ascii="Times New Roman" w:hAnsi="Times New Roman"/>
          <w:sz w:val="22"/>
          <w:szCs w:val="22"/>
        </w:rPr>
        <w:t>progressiv</w:t>
      </w:r>
      <w:r w:rsidR="005128DF" w:rsidRPr="007F7EBF">
        <w:rPr>
          <w:rFonts w:ascii="Times New Roman" w:hAnsi="Times New Roman"/>
          <w:sz w:val="22"/>
          <w:szCs w:val="22"/>
          <w:lang w:val="it-IT"/>
        </w:rPr>
        <w:t>e</w:t>
      </w:r>
      <w:r w:rsidR="005315AE">
        <w:rPr>
          <w:rFonts w:ascii="Times New Roman" w:hAnsi="Times New Roman"/>
          <w:sz w:val="22"/>
          <w:szCs w:val="22"/>
          <w:lang w:val="it-IT"/>
        </w:rPr>
        <w:t>, imposte sostitutive e distribuzione dei redditi nel tempo</w:t>
      </w:r>
      <w:bookmarkEnd w:id="132"/>
      <w:r w:rsidR="005315AE">
        <w:rPr>
          <w:rFonts w:ascii="Times New Roman" w:hAnsi="Times New Roman"/>
          <w:sz w:val="22"/>
          <w:szCs w:val="22"/>
          <w:lang w:val="it-IT"/>
        </w:rPr>
        <w:t xml:space="preserve"> </w:t>
      </w:r>
    </w:p>
    <w:p w14:paraId="6592F7CB" w14:textId="0FBA6C36" w:rsidR="004E22E1" w:rsidRPr="007F7EBF" w:rsidRDefault="004E22E1" w:rsidP="004E22E1">
      <w:pPr>
        <w:pStyle w:val="tit23"/>
        <w:ind w:left="6464" w:right="-1361" w:firstLine="0"/>
        <w:jc w:val="left"/>
        <w:rPr>
          <w:bCs/>
          <w:i/>
          <w:iCs/>
          <w:color w:val="0000FF"/>
          <w:lang w:val="it-IT"/>
        </w:rPr>
      </w:pPr>
      <w:r w:rsidRPr="007F7EBF">
        <w:rPr>
          <w:bCs/>
          <w:i/>
          <w:iCs/>
          <w:color w:val="0000FF"/>
          <w:lang w:val="it-IT"/>
        </w:rPr>
        <w:t xml:space="preserve">le aliquote progressive </w:t>
      </w:r>
      <w:r w:rsidR="007E03FA">
        <w:rPr>
          <w:bCs/>
          <w:i/>
          <w:iCs/>
          <w:color w:val="0000FF"/>
          <w:lang w:val="it-IT"/>
        </w:rPr>
        <w:t xml:space="preserve">per scaglioni </w:t>
      </w:r>
    </w:p>
    <w:p w14:paraId="285BACF0" w14:textId="41C1B41D" w:rsidR="007E03FA" w:rsidRPr="007F7EBF" w:rsidRDefault="00E844F4" w:rsidP="007E03FA">
      <w:pPr>
        <w:autoSpaceDE w:val="0"/>
        <w:autoSpaceDN w:val="0"/>
        <w:adjustRightInd w:val="0"/>
        <w:rPr>
          <w:bCs/>
          <w:i/>
          <w:iCs/>
          <w:color w:val="0000FF"/>
          <w:sz w:val="22"/>
          <w:szCs w:val="22"/>
        </w:rPr>
      </w:pPr>
      <w:r>
        <w:rPr>
          <w:sz w:val="22"/>
          <w:szCs w:val="22"/>
        </w:rPr>
        <w:t xml:space="preserve">L’imposta lorda è </w:t>
      </w:r>
      <w:r w:rsidR="004E22E1" w:rsidRPr="007F7EBF">
        <w:rPr>
          <w:sz w:val="22"/>
          <w:szCs w:val="22"/>
        </w:rPr>
        <w:t>applicata commisurando a</w:t>
      </w:r>
      <w:r w:rsidR="007E03FA">
        <w:rPr>
          <w:sz w:val="22"/>
          <w:szCs w:val="22"/>
        </w:rPr>
        <w:t>ll’imponibile</w:t>
      </w:r>
      <w:r w:rsidR="004E22E1" w:rsidRPr="007F7EBF">
        <w:rPr>
          <w:sz w:val="22"/>
          <w:szCs w:val="22"/>
        </w:rPr>
        <w:t>, al netto dei già indicati oneri deducibili dall'imponibile</w:t>
      </w:r>
      <w:r w:rsidR="0008713B">
        <w:rPr>
          <w:sz w:val="22"/>
          <w:szCs w:val="22"/>
        </w:rPr>
        <w:t xml:space="preserve"> </w:t>
      </w:r>
      <w:r w:rsidR="004E22E1" w:rsidRPr="007F7EBF">
        <w:rPr>
          <w:sz w:val="22"/>
          <w:szCs w:val="22"/>
        </w:rPr>
        <w:t>(par. precedente), le</w:t>
      </w:r>
      <w:r w:rsidR="006F1B7C" w:rsidRPr="007F7EBF">
        <w:rPr>
          <w:sz w:val="22"/>
          <w:szCs w:val="22"/>
        </w:rPr>
        <w:t xml:space="preserve"> aliquote progressive</w:t>
      </w:r>
      <w:r w:rsidR="007E03FA">
        <w:rPr>
          <w:sz w:val="22"/>
          <w:szCs w:val="22"/>
        </w:rPr>
        <w:t xml:space="preserve">, cioè </w:t>
      </w:r>
      <w:r w:rsidR="007E03FA" w:rsidRPr="007F7EBF">
        <w:rPr>
          <w:bCs/>
          <w:sz w:val="22"/>
          <w:szCs w:val="22"/>
        </w:rPr>
        <w:t xml:space="preserve">crescenti più che proporzionalmente all’aumentare dell’imponibile. </w:t>
      </w:r>
      <w:r w:rsidR="007E03FA">
        <w:rPr>
          <w:bCs/>
          <w:sz w:val="22"/>
          <w:szCs w:val="22"/>
        </w:rPr>
        <w:t xml:space="preserve">Anche in Italia, come praticamente ovunque, la </w:t>
      </w:r>
      <w:r w:rsidR="007E03FA" w:rsidRPr="007F7EBF">
        <w:rPr>
          <w:sz w:val="22"/>
          <w:szCs w:val="22"/>
        </w:rPr>
        <w:t>progressività</w:t>
      </w:r>
      <w:r w:rsidR="007E03FA">
        <w:rPr>
          <w:sz w:val="22"/>
          <w:szCs w:val="22"/>
        </w:rPr>
        <w:t xml:space="preserve"> viene realizzata dividendo l’imponibile </w:t>
      </w:r>
      <w:r w:rsidR="007E03FA" w:rsidRPr="007F7EBF">
        <w:rPr>
          <w:sz w:val="22"/>
          <w:szCs w:val="22"/>
        </w:rPr>
        <w:t xml:space="preserve">per </w:t>
      </w:r>
      <w:r w:rsidR="007E03FA" w:rsidRPr="007F7EBF">
        <w:rPr>
          <w:bCs/>
          <w:sz w:val="22"/>
          <w:szCs w:val="22"/>
        </w:rPr>
        <w:t>scaglioni</w:t>
      </w:r>
      <w:r w:rsidR="007E03FA">
        <w:rPr>
          <w:bCs/>
          <w:sz w:val="22"/>
          <w:szCs w:val="22"/>
        </w:rPr>
        <w:t>; su quello più basso l’aliquota è del 23% fino ad arrivare a poco più del 40%</w:t>
      </w:r>
      <w:r w:rsidR="007E03FA" w:rsidRPr="007F7EBF">
        <w:rPr>
          <w:sz w:val="22"/>
          <w:szCs w:val="22"/>
        </w:rPr>
        <w:t xml:space="preserve">, ferme restando le aliquote applicate sugli scaglioni precedenti. Alla </w:t>
      </w:r>
      <w:r w:rsidR="007E03FA" w:rsidRPr="007F7EBF">
        <w:rPr>
          <w:bCs/>
          <w:sz w:val="22"/>
          <w:szCs w:val="22"/>
        </w:rPr>
        <w:t xml:space="preserve">progressività si contribuisce anche dando </w:t>
      </w:r>
      <w:r w:rsidR="007E03FA" w:rsidRPr="007F7EBF">
        <w:rPr>
          <w:sz w:val="22"/>
          <w:szCs w:val="22"/>
        </w:rPr>
        <w:t>agli imponibili più modesti una “detrazione” decrescente al crescere del reddito (</w:t>
      </w:r>
      <w:r w:rsidR="007E03FA" w:rsidRPr="007F7EBF">
        <w:rPr>
          <w:rStyle w:val="Rimandonotaapidipagina"/>
          <w:sz w:val="22"/>
          <w:szCs w:val="22"/>
        </w:rPr>
        <w:footnoteReference w:id="1340"/>
      </w:r>
      <w:r w:rsidR="007E03FA" w:rsidRPr="007F7EBF">
        <w:rPr>
          <w:sz w:val="22"/>
          <w:szCs w:val="22"/>
        </w:rPr>
        <w:t>).</w:t>
      </w:r>
      <w:r w:rsidR="007E03FA" w:rsidRPr="007F7EBF">
        <w:rPr>
          <w:bCs/>
          <w:i/>
          <w:iCs/>
          <w:color w:val="0000FF"/>
          <w:sz w:val="22"/>
          <w:szCs w:val="22"/>
        </w:rPr>
        <w:t xml:space="preserve"> </w:t>
      </w:r>
    </w:p>
    <w:p w14:paraId="7108FE74" w14:textId="77777777" w:rsidR="004E22E1" w:rsidRPr="007F7EBF" w:rsidRDefault="004E22E1" w:rsidP="004E22E1">
      <w:pPr>
        <w:autoSpaceDE w:val="0"/>
        <w:autoSpaceDN w:val="0"/>
        <w:adjustRightInd w:val="0"/>
        <w:rPr>
          <w:sz w:val="22"/>
          <w:szCs w:val="22"/>
        </w:rPr>
      </w:pPr>
    </w:p>
    <w:p w14:paraId="01169910" w14:textId="6F7EF063" w:rsidR="004E22E1" w:rsidRPr="007F7EBF" w:rsidRDefault="007E03FA" w:rsidP="004E22E1">
      <w:pPr>
        <w:pStyle w:val="tit23"/>
        <w:ind w:left="6464" w:right="-1361" w:firstLine="0"/>
        <w:jc w:val="left"/>
        <w:rPr>
          <w:bCs/>
          <w:i/>
          <w:iCs/>
          <w:color w:val="0000FF"/>
          <w:lang w:val="it-IT"/>
        </w:rPr>
      </w:pPr>
      <w:r>
        <w:rPr>
          <w:bCs/>
          <w:i/>
          <w:iCs/>
          <w:color w:val="0000FF"/>
          <w:lang w:val="it-IT"/>
        </w:rPr>
        <w:lastRenderedPageBreak/>
        <w:t>Giustificazione della progressività</w:t>
      </w:r>
    </w:p>
    <w:p w14:paraId="03D8EF6D" w14:textId="6FFE5347" w:rsidR="007E03FA" w:rsidRPr="007F7EBF" w:rsidRDefault="007E03FA" w:rsidP="007E03FA">
      <w:pPr>
        <w:autoSpaceDE w:val="0"/>
        <w:autoSpaceDN w:val="0"/>
        <w:adjustRightInd w:val="0"/>
        <w:rPr>
          <w:bCs/>
          <w:i/>
          <w:iCs/>
          <w:color w:val="0000FF"/>
          <w:sz w:val="22"/>
          <w:szCs w:val="22"/>
        </w:rPr>
      </w:pPr>
      <w:r w:rsidRPr="007F7EBF">
        <w:rPr>
          <w:sz w:val="22"/>
          <w:szCs w:val="22"/>
        </w:rPr>
        <w:t xml:space="preserve">La progressività  è ispirata al </w:t>
      </w:r>
      <w:r w:rsidRPr="007F7EBF">
        <w:rPr>
          <w:bCs/>
          <w:sz w:val="22"/>
          <w:szCs w:val="22"/>
        </w:rPr>
        <w:t>principio</w:t>
      </w:r>
      <w:r w:rsidRPr="007F7EBF">
        <w:rPr>
          <w:sz w:val="22"/>
          <w:szCs w:val="22"/>
        </w:rPr>
        <w:t>, già anticipato a proposito dell’art. 53 della costituzione (par. 2.2), secondo cui, all’</w:t>
      </w:r>
      <w:r w:rsidRPr="007F7EBF">
        <w:rPr>
          <w:bCs/>
          <w:sz w:val="22"/>
          <w:szCs w:val="22"/>
        </w:rPr>
        <w:t xml:space="preserve">aumentare della ricchezza il contribuente può privarsi con eguale sacrificio di una quota proporzionalmente maggiore </w:t>
      </w:r>
      <w:r w:rsidRPr="007F7EBF">
        <w:rPr>
          <w:sz w:val="22"/>
          <w:szCs w:val="22"/>
        </w:rPr>
        <w:t>della medesima</w:t>
      </w:r>
      <w:r>
        <w:rPr>
          <w:sz w:val="22"/>
          <w:szCs w:val="22"/>
        </w:rPr>
        <w:t xml:space="preserve"> (</w:t>
      </w:r>
      <w:r>
        <w:rPr>
          <w:rStyle w:val="Rimandonotaapidipagina"/>
          <w:sz w:val="22"/>
          <w:szCs w:val="22"/>
        </w:rPr>
        <w:footnoteReference w:id="1341"/>
      </w:r>
      <w:r>
        <w:rPr>
          <w:sz w:val="22"/>
          <w:szCs w:val="22"/>
        </w:rPr>
        <w:t>)</w:t>
      </w:r>
      <w:r w:rsidRPr="007F7EBF">
        <w:rPr>
          <w:sz w:val="22"/>
          <w:szCs w:val="22"/>
        </w:rPr>
        <w:t xml:space="preserve">.  </w:t>
      </w:r>
    </w:p>
    <w:p w14:paraId="5C763025" w14:textId="1D0FC2BC" w:rsidR="001270F3" w:rsidRPr="007F7EBF" w:rsidRDefault="006342C5" w:rsidP="001270F3">
      <w:pPr>
        <w:autoSpaceDE w:val="0"/>
        <w:autoSpaceDN w:val="0"/>
        <w:adjustRightInd w:val="0"/>
        <w:rPr>
          <w:sz w:val="22"/>
          <w:szCs w:val="22"/>
        </w:rPr>
      </w:pPr>
      <w:r w:rsidRPr="007F7EBF">
        <w:rPr>
          <w:sz w:val="22"/>
          <w:szCs w:val="22"/>
        </w:rPr>
        <w:t>Una progressività esasperata rischia di diventare, tenendo conto delle aree di ricchezza</w:t>
      </w:r>
      <w:r w:rsidR="006F1B7C" w:rsidRPr="007F7EBF">
        <w:rPr>
          <w:sz w:val="22"/>
          <w:szCs w:val="22"/>
        </w:rPr>
        <w:t xml:space="preserve"> </w:t>
      </w:r>
      <w:r w:rsidRPr="007F7EBF">
        <w:rPr>
          <w:sz w:val="22"/>
          <w:szCs w:val="22"/>
        </w:rPr>
        <w:t>non raggiunte dalle aziende</w:t>
      </w:r>
      <w:r w:rsidR="00014EDE" w:rsidRPr="007F7EBF">
        <w:rPr>
          <w:sz w:val="22"/>
          <w:szCs w:val="22"/>
        </w:rPr>
        <w:t xml:space="preserve">, una </w:t>
      </w:r>
      <w:r w:rsidRPr="007F7EBF">
        <w:rPr>
          <w:sz w:val="22"/>
          <w:szCs w:val="22"/>
        </w:rPr>
        <w:t>progressività «di</w:t>
      </w:r>
      <w:r w:rsidR="006F1B7C" w:rsidRPr="007F7EBF">
        <w:rPr>
          <w:sz w:val="22"/>
          <w:szCs w:val="22"/>
        </w:rPr>
        <w:t xml:space="preserve"> </w:t>
      </w:r>
      <w:r w:rsidRPr="007F7EBF">
        <w:rPr>
          <w:sz w:val="22"/>
          <w:szCs w:val="22"/>
        </w:rPr>
        <w:t>bandiera»</w:t>
      </w:r>
      <w:r w:rsidR="00A128D2" w:rsidRPr="007F7EBF">
        <w:rPr>
          <w:sz w:val="22"/>
          <w:szCs w:val="22"/>
        </w:rPr>
        <w:t xml:space="preserve">, che </w:t>
      </w:r>
      <w:r w:rsidRPr="007F7EBF">
        <w:rPr>
          <w:bCs/>
          <w:sz w:val="22"/>
          <w:szCs w:val="22"/>
        </w:rPr>
        <w:t xml:space="preserve">tartassa i ricchi </w:t>
      </w:r>
      <w:r w:rsidRPr="007F7EBF">
        <w:rPr>
          <w:sz w:val="22"/>
          <w:szCs w:val="22"/>
        </w:rPr>
        <w:t xml:space="preserve">salvo poi </w:t>
      </w:r>
      <w:r w:rsidRPr="007F7EBF">
        <w:rPr>
          <w:bCs/>
          <w:sz w:val="22"/>
          <w:szCs w:val="22"/>
        </w:rPr>
        <w:t xml:space="preserve">accorgersi che i </w:t>
      </w:r>
      <w:r w:rsidR="00014EDE" w:rsidRPr="007F7EBF">
        <w:rPr>
          <w:bCs/>
          <w:sz w:val="22"/>
          <w:szCs w:val="22"/>
        </w:rPr>
        <w:t>redditi elevati</w:t>
      </w:r>
      <w:r w:rsidRPr="007F7EBF">
        <w:rPr>
          <w:bCs/>
          <w:sz w:val="22"/>
          <w:szCs w:val="22"/>
        </w:rPr>
        <w:t xml:space="preserve"> </w:t>
      </w:r>
      <w:r w:rsidRPr="007F7EBF">
        <w:rPr>
          <w:sz w:val="22"/>
          <w:szCs w:val="22"/>
        </w:rPr>
        <w:t>– stando alle dichiarazioni</w:t>
      </w:r>
      <w:r w:rsidR="006F1B7C" w:rsidRPr="007F7EBF">
        <w:rPr>
          <w:sz w:val="22"/>
          <w:szCs w:val="22"/>
        </w:rPr>
        <w:t xml:space="preserve"> </w:t>
      </w:r>
      <w:r w:rsidRPr="007F7EBF">
        <w:rPr>
          <w:sz w:val="22"/>
          <w:szCs w:val="22"/>
        </w:rPr>
        <w:t xml:space="preserve">– </w:t>
      </w:r>
      <w:r w:rsidRPr="007F7EBF">
        <w:rPr>
          <w:bCs/>
          <w:sz w:val="22"/>
          <w:szCs w:val="22"/>
        </w:rPr>
        <w:t>sono pochissimi</w:t>
      </w:r>
      <w:r w:rsidR="00B94B23">
        <w:rPr>
          <w:bCs/>
          <w:sz w:val="22"/>
          <w:szCs w:val="22"/>
        </w:rPr>
        <w:t>; si tratta</w:t>
      </w:r>
      <w:r w:rsidR="007E03FA">
        <w:rPr>
          <w:bCs/>
          <w:sz w:val="22"/>
          <w:szCs w:val="22"/>
        </w:rPr>
        <w:t xml:space="preserve"> in genere </w:t>
      </w:r>
      <w:r w:rsidR="00B94B23">
        <w:rPr>
          <w:bCs/>
          <w:sz w:val="22"/>
          <w:szCs w:val="22"/>
        </w:rPr>
        <w:t xml:space="preserve">di dirigenti, artisti, professionisti, o esponenti del capitalismo familiare, amministratori delle loro aziende </w:t>
      </w:r>
      <w:r w:rsidR="007E03FA">
        <w:rPr>
          <w:bCs/>
          <w:sz w:val="22"/>
          <w:szCs w:val="22"/>
        </w:rPr>
        <w:t>(</w:t>
      </w:r>
      <w:r w:rsidR="001270F3" w:rsidRPr="007F7EBF">
        <w:rPr>
          <w:rStyle w:val="Rimandonotaapidipagina"/>
          <w:bCs/>
          <w:sz w:val="22"/>
          <w:szCs w:val="22"/>
        </w:rPr>
        <w:footnoteReference w:id="1342"/>
      </w:r>
      <w:r w:rsidR="007E03FA">
        <w:rPr>
          <w:bCs/>
          <w:sz w:val="22"/>
          <w:szCs w:val="22"/>
        </w:rPr>
        <w:t>)</w:t>
      </w:r>
      <w:r w:rsidRPr="007F7EBF">
        <w:rPr>
          <w:bCs/>
          <w:sz w:val="22"/>
          <w:szCs w:val="22"/>
        </w:rPr>
        <w:t>.</w:t>
      </w:r>
    </w:p>
    <w:p w14:paraId="3D21D14F" w14:textId="77777777" w:rsidR="001270F3" w:rsidRPr="007F7EBF" w:rsidRDefault="001270F3" w:rsidP="001270F3">
      <w:pPr>
        <w:pStyle w:val="tit23"/>
        <w:ind w:left="6464" w:right="-1361" w:firstLine="0"/>
        <w:jc w:val="left"/>
        <w:rPr>
          <w:bCs/>
          <w:i/>
          <w:iCs/>
          <w:color w:val="0000FF"/>
          <w:lang w:val="it-IT"/>
        </w:rPr>
      </w:pPr>
      <w:r w:rsidRPr="007F7EBF">
        <w:rPr>
          <w:bCs/>
          <w:i/>
          <w:iCs/>
          <w:color w:val="0000FF"/>
          <w:lang w:val="it-IT"/>
        </w:rPr>
        <w:t>Rapida salita delle aliquote</w:t>
      </w:r>
    </w:p>
    <w:p w14:paraId="548D53D5" w14:textId="530AC356" w:rsidR="00540525" w:rsidRPr="00D73718" w:rsidRDefault="00B94B23" w:rsidP="005315AE">
      <w:pPr>
        <w:autoSpaceDE w:val="0"/>
        <w:autoSpaceDN w:val="0"/>
        <w:adjustRightInd w:val="0"/>
        <w:rPr>
          <w:sz w:val="22"/>
          <w:szCs w:val="22"/>
        </w:rPr>
      </w:pPr>
      <w:r>
        <w:rPr>
          <w:sz w:val="22"/>
          <w:szCs w:val="22"/>
        </w:rPr>
        <w:t>L</w:t>
      </w:r>
      <w:r w:rsidR="00014EDE" w:rsidRPr="007F7EBF">
        <w:rPr>
          <w:sz w:val="22"/>
          <w:szCs w:val="22"/>
        </w:rPr>
        <w:t xml:space="preserve">'attuale struttura delle aliquote </w:t>
      </w:r>
      <w:r w:rsidR="00A128D2" w:rsidRPr="007F7EBF">
        <w:rPr>
          <w:sz w:val="22"/>
          <w:szCs w:val="22"/>
        </w:rPr>
        <w:t>è per molti versi irrazionale</w:t>
      </w:r>
      <w:r w:rsidR="00014EDE" w:rsidRPr="007F7EBF">
        <w:rPr>
          <w:sz w:val="22"/>
          <w:szCs w:val="22"/>
        </w:rPr>
        <w:t xml:space="preserve">, in quanto sale rapidamente , </w:t>
      </w:r>
      <w:r w:rsidR="00A128D2" w:rsidRPr="007F7EBF">
        <w:rPr>
          <w:sz w:val="22"/>
          <w:szCs w:val="22"/>
        </w:rPr>
        <w:t>arrivando</w:t>
      </w:r>
      <w:r w:rsidR="00014EDE" w:rsidRPr="007F7EBF">
        <w:rPr>
          <w:sz w:val="22"/>
          <w:szCs w:val="22"/>
        </w:rPr>
        <w:t xml:space="preserve"> al 38 percento oltre 28 mila euro, per poi fermarsi al 43 percento fino all'infinito. </w:t>
      </w:r>
      <w:r>
        <w:rPr>
          <w:sz w:val="22"/>
          <w:szCs w:val="22"/>
        </w:rPr>
        <w:t>L’aliquota media, cioè il rapporto</w:t>
      </w:r>
      <w:r w:rsidR="00D45683">
        <w:rPr>
          <w:sz w:val="22"/>
          <w:szCs w:val="22"/>
        </w:rPr>
        <w:t xml:space="preserve"> algebrico</w:t>
      </w:r>
      <w:r>
        <w:rPr>
          <w:sz w:val="22"/>
          <w:szCs w:val="22"/>
        </w:rPr>
        <w:t xml:space="preserve"> tra imposta </w:t>
      </w:r>
      <w:r w:rsidR="00D45683">
        <w:rPr>
          <w:sz w:val="22"/>
          <w:szCs w:val="22"/>
        </w:rPr>
        <w:t xml:space="preserve"> complessiva e imponibile, molto diversa </w:t>
      </w:r>
      <w:r w:rsidR="00014EDE" w:rsidRPr="007F7EBF">
        <w:rPr>
          <w:sz w:val="22"/>
          <w:szCs w:val="22"/>
        </w:rPr>
        <w:t xml:space="preserve"> tra </w:t>
      </w:r>
      <w:r w:rsidR="00D45683">
        <w:rPr>
          <w:sz w:val="22"/>
          <w:szCs w:val="22"/>
        </w:rPr>
        <w:t xml:space="preserve">un imponibile di </w:t>
      </w:r>
      <w:r w:rsidR="00014EDE" w:rsidRPr="007F7EBF">
        <w:rPr>
          <w:sz w:val="22"/>
          <w:szCs w:val="22"/>
        </w:rPr>
        <w:t xml:space="preserve">40 mila euro e </w:t>
      </w:r>
      <w:r w:rsidR="00D45683">
        <w:rPr>
          <w:sz w:val="22"/>
          <w:szCs w:val="22"/>
        </w:rPr>
        <w:t xml:space="preserve">di </w:t>
      </w:r>
      <w:r w:rsidR="00014EDE" w:rsidRPr="007F7EBF">
        <w:rPr>
          <w:sz w:val="22"/>
          <w:szCs w:val="22"/>
        </w:rPr>
        <w:t xml:space="preserve">100 mila, </w:t>
      </w:r>
      <w:r w:rsidR="00D45683">
        <w:rPr>
          <w:sz w:val="22"/>
          <w:szCs w:val="22"/>
        </w:rPr>
        <w:t>lo è</w:t>
      </w:r>
      <w:r w:rsidR="00014EDE" w:rsidRPr="007F7EBF">
        <w:rPr>
          <w:sz w:val="22"/>
          <w:szCs w:val="22"/>
        </w:rPr>
        <w:t xml:space="preserve"> molto meno tra quest'ultimo e </w:t>
      </w:r>
      <w:r w:rsidR="00D45683">
        <w:rPr>
          <w:sz w:val="22"/>
          <w:szCs w:val="22"/>
        </w:rPr>
        <w:t>un imponibile di</w:t>
      </w:r>
      <w:r w:rsidR="00014EDE" w:rsidRPr="007F7EBF">
        <w:rPr>
          <w:sz w:val="22"/>
          <w:szCs w:val="22"/>
        </w:rPr>
        <w:t xml:space="preserve"> 500 mila. Oltre il livello di sopravvivenza dei 28 mila euro</w:t>
      </w:r>
      <w:r w:rsidR="00D45683">
        <w:rPr>
          <w:sz w:val="22"/>
          <w:szCs w:val="22"/>
        </w:rPr>
        <w:t xml:space="preserve">, l’eccedenza sconta </w:t>
      </w:r>
      <w:r w:rsidR="001270F3" w:rsidRPr="007F7EBF">
        <w:rPr>
          <w:sz w:val="22"/>
          <w:szCs w:val="22"/>
        </w:rPr>
        <w:t>insomma</w:t>
      </w:r>
      <w:r w:rsidR="00014EDE" w:rsidRPr="007F7EBF">
        <w:rPr>
          <w:sz w:val="22"/>
          <w:szCs w:val="22"/>
        </w:rPr>
        <w:t xml:space="preserve"> </w:t>
      </w:r>
      <w:r w:rsidR="00D45683">
        <w:rPr>
          <w:sz w:val="22"/>
          <w:szCs w:val="22"/>
        </w:rPr>
        <w:t xml:space="preserve">aliquote sostanzialmente proporzionali </w:t>
      </w:r>
      <w:r w:rsidR="00014EDE" w:rsidRPr="007F7EBF">
        <w:rPr>
          <w:sz w:val="22"/>
          <w:szCs w:val="22"/>
        </w:rPr>
        <w:t>attorno al 40 percento (dal 38 al 43</w:t>
      </w:r>
      <w:r w:rsidR="00D45683">
        <w:rPr>
          <w:sz w:val="22"/>
          <w:szCs w:val="22"/>
        </w:rPr>
        <w:t xml:space="preserve"> </w:t>
      </w:r>
      <w:r w:rsidR="000618E0">
        <w:rPr>
          <w:sz w:val="22"/>
          <w:szCs w:val="22"/>
        </w:rPr>
        <w:t xml:space="preserve">percento </w:t>
      </w:r>
      <w:r w:rsidR="00D45683">
        <w:rPr>
          <w:sz w:val="22"/>
          <w:szCs w:val="22"/>
        </w:rPr>
        <w:t>non c’è molta differenza</w:t>
      </w:r>
      <w:r w:rsidR="00014EDE" w:rsidRPr="007F7EBF">
        <w:rPr>
          <w:sz w:val="22"/>
          <w:szCs w:val="22"/>
        </w:rPr>
        <w:t xml:space="preserve">). Sarebbe quindi </w:t>
      </w:r>
      <w:r w:rsidR="00DA6B7A" w:rsidRPr="007F7EBF">
        <w:rPr>
          <w:sz w:val="22"/>
          <w:szCs w:val="22"/>
        </w:rPr>
        <w:t>razionale</w:t>
      </w:r>
      <w:r w:rsidR="00014EDE" w:rsidRPr="007F7EBF">
        <w:rPr>
          <w:sz w:val="22"/>
          <w:szCs w:val="22"/>
        </w:rPr>
        <w:t xml:space="preserve">, </w:t>
      </w:r>
      <w:r w:rsidR="00D45683">
        <w:rPr>
          <w:sz w:val="22"/>
          <w:szCs w:val="22"/>
        </w:rPr>
        <w:t>invece di invocare il simbolo politico dell’imposizione proporzionale (c.d. “</w:t>
      </w:r>
      <w:proofErr w:type="spellStart"/>
      <w:r w:rsidR="00D45683">
        <w:rPr>
          <w:sz w:val="22"/>
          <w:szCs w:val="22"/>
        </w:rPr>
        <w:t>flat</w:t>
      </w:r>
      <w:proofErr w:type="spellEnd"/>
      <w:r w:rsidR="00D45683">
        <w:rPr>
          <w:sz w:val="22"/>
          <w:szCs w:val="22"/>
        </w:rPr>
        <w:t xml:space="preserve"> tax”), diminuire le aliquote </w:t>
      </w:r>
      <w:r w:rsidR="00014EDE" w:rsidRPr="007F7EBF">
        <w:rPr>
          <w:sz w:val="22"/>
          <w:szCs w:val="22"/>
        </w:rPr>
        <w:t>sui redditi intermedi</w:t>
      </w:r>
      <w:r w:rsidR="0008713B">
        <w:rPr>
          <w:sz w:val="22"/>
          <w:szCs w:val="22"/>
        </w:rPr>
        <w:t xml:space="preserve">, abbandonando anacronistici pregiudizi antievasione </w:t>
      </w:r>
      <w:r w:rsidR="000618E0">
        <w:rPr>
          <w:sz w:val="22"/>
          <w:szCs w:val="22"/>
        </w:rPr>
        <w:t>(</w:t>
      </w:r>
      <w:r w:rsidR="00712FC5" w:rsidRPr="007F7EBF">
        <w:rPr>
          <w:rStyle w:val="Rimandonotaapidipagina"/>
          <w:sz w:val="22"/>
          <w:szCs w:val="22"/>
        </w:rPr>
        <w:footnoteReference w:id="1343"/>
      </w:r>
      <w:r w:rsidR="000618E0">
        <w:rPr>
          <w:sz w:val="22"/>
          <w:szCs w:val="22"/>
        </w:rPr>
        <w:t>)</w:t>
      </w:r>
      <w:r w:rsidR="001270F3" w:rsidRPr="007F7EBF">
        <w:rPr>
          <w:sz w:val="22"/>
          <w:szCs w:val="22"/>
        </w:rPr>
        <w:t>. A</w:t>
      </w:r>
      <w:r w:rsidR="00D07347" w:rsidRPr="007F7EBF">
        <w:rPr>
          <w:sz w:val="22"/>
          <w:szCs w:val="22"/>
        </w:rPr>
        <w:t xml:space="preserve">nche la curva delle aliquote </w:t>
      </w:r>
      <w:r w:rsidR="00D07347" w:rsidRPr="007F7EBF">
        <w:rPr>
          <w:sz w:val="22"/>
          <w:szCs w:val="22"/>
        </w:rPr>
        <w:lastRenderedPageBreak/>
        <w:t xml:space="preserve">è </w:t>
      </w:r>
      <w:r w:rsidR="00FB154F" w:rsidRPr="007F7EBF">
        <w:rPr>
          <w:sz w:val="22"/>
          <w:szCs w:val="22"/>
        </w:rPr>
        <w:t>quindi</w:t>
      </w:r>
      <w:r w:rsidR="00D07347" w:rsidRPr="007F7EBF">
        <w:rPr>
          <w:sz w:val="22"/>
          <w:szCs w:val="22"/>
        </w:rPr>
        <w:t xml:space="preserve"> condizionata</w:t>
      </w:r>
      <w:r w:rsidR="00FB154F" w:rsidRPr="007F7EBF">
        <w:rPr>
          <w:sz w:val="22"/>
          <w:szCs w:val="22"/>
        </w:rPr>
        <w:t xml:space="preserve"> dal retropensiero </w:t>
      </w:r>
      <w:r w:rsidR="00D07347" w:rsidRPr="007F7EBF">
        <w:rPr>
          <w:sz w:val="22"/>
          <w:szCs w:val="22"/>
        </w:rPr>
        <w:t xml:space="preserve">della ricchezza non registrata e dal timore di </w:t>
      </w:r>
      <w:r w:rsidR="00FB154F" w:rsidRPr="007F7EBF">
        <w:rPr>
          <w:sz w:val="22"/>
          <w:szCs w:val="22"/>
        </w:rPr>
        <w:t>concedere</w:t>
      </w:r>
      <w:r w:rsidR="00D07347" w:rsidRPr="007F7EBF">
        <w:rPr>
          <w:sz w:val="22"/>
          <w:szCs w:val="22"/>
        </w:rPr>
        <w:t xml:space="preserve"> sgravi per redditi bassi a </w:t>
      </w:r>
      <w:r w:rsidR="00FB154F" w:rsidRPr="007F7EBF">
        <w:rPr>
          <w:sz w:val="22"/>
          <w:szCs w:val="22"/>
        </w:rPr>
        <w:t xml:space="preserve">finti poveri, con </w:t>
      </w:r>
      <w:r w:rsidR="00D07347" w:rsidRPr="007F7EBF">
        <w:rPr>
          <w:sz w:val="22"/>
          <w:szCs w:val="22"/>
        </w:rPr>
        <w:t xml:space="preserve">reddito maggiore </w:t>
      </w:r>
      <w:r w:rsidR="00FB154F" w:rsidRPr="007F7EBF">
        <w:rPr>
          <w:sz w:val="22"/>
          <w:szCs w:val="22"/>
        </w:rPr>
        <w:t>in parte evaso</w:t>
      </w:r>
      <w:r w:rsidR="007D37D6">
        <w:rPr>
          <w:sz w:val="22"/>
          <w:szCs w:val="22"/>
        </w:rPr>
        <w:t>, confermando la centralità della determinazione degli imponibili per la funzione tributaria</w:t>
      </w:r>
      <w:r w:rsidR="00D73718">
        <w:rPr>
          <w:sz w:val="22"/>
          <w:szCs w:val="22"/>
        </w:rPr>
        <w:t xml:space="preserve">. </w:t>
      </w:r>
    </w:p>
    <w:p w14:paraId="4CD5EB2B" w14:textId="160A74F1" w:rsidR="00540525" w:rsidRPr="007F7EBF" w:rsidRDefault="00D36BAF" w:rsidP="00540525">
      <w:pPr>
        <w:pStyle w:val="tit23"/>
        <w:ind w:left="6464" w:right="-1361" w:firstLine="0"/>
        <w:jc w:val="left"/>
        <w:rPr>
          <w:bCs/>
          <w:i/>
          <w:iCs/>
          <w:color w:val="0000FF"/>
          <w:lang w:val="it-IT"/>
        </w:rPr>
      </w:pPr>
      <w:r>
        <w:rPr>
          <w:bCs/>
          <w:i/>
          <w:iCs/>
          <w:color w:val="0000FF"/>
          <w:lang w:val="it-IT"/>
        </w:rPr>
        <w:t xml:space="preserve">Progressività e </w:t>
      </w:r>
      <w:r w:rsidR="00540525" w:rsidRPr="007F7EBF">
        <w:rPr>
          <w:bCs/>
          <w:i/>
          <w:iCs/>
          <w:color w:val="0000FF"/>
          <w:lang w:val="it-IT"/>
        </w:rPr>
        <w:t>tempo libero</w:t>
      </w:r>
    </w:p>
    <w:p w14:paraId="45ABB3D3" w14:textId="5282DD77" w:rsidR="009310EE" w:rsidRPr="007F7EBF" w:rsidRDefault="00D36BAF" w:rsidP="009310EE">
      <w:pPr>
        <w:autoSpaceDE w:val="0"/>
        <w:autoSpaceDN w:val="0"/>
        <w:adjustRightInd w:val="0"/>
        <w:rPr>
          <w:sz w:val="22"/>
          <w:szCs w:val="22"/>
        </w:rPr>
      </w:pPr>
      <w:r>
        <w:rPr>
          <w:sz w:val="22"/>
          <w:szCs w:val="22"/>
        </w:rPr>
        <w:t>Un profilo che l’imposizione progressiva non riesce a considerare, sui redditi da lavoro, e che potrebbe rilevare sui redditi di fonte patrimoniale è</w:t>
      </w:r>
      <w:r w:rsidR="0008713B">
        <w:rPr>
          <w:sz w:val="22"/>
          <w:szCs w:val="22"/>
        </w:rPr>
        <w:t xml:space="preserve"> i</w:t>
      </w:r>
      <w:r>
        <w:rPr>
          <w:sz w:val="22"/>
          <w:szCs w:val="22"/>
        </w:rPr>
        <w:t xml:space="preserve">l diverso sforzo necessario </w:t>
      </w:r>
      <w:r w:rsidR="006342C5" w:rsidRPr="007F7EBF">
        <w:rPr>
          <w:sz w:val="22"/>
          <w:szCs w:val="22"/>
        </w:rPr>
        <w:t xml:space="preserve">a produrre </w:t>
      </w:r>
      <w:r w:rsidR="005D60AA">
        <w:rPr>
          <w:sz w:val="22"/>
          <w:szCs w:val="22"/>
        </w:rPr>
        <w:t>l’imponibile</w:t>
      </w:r>
      <w:r w:rsidR="009310EE" w:rsidRPr="007F7EBF">
        <w:rPr>
          <w:sz w:val="22"/>
          <w:szCs w:val="22"/>
        </w:rPr>
        <w:t xml:space="preserve">; </w:t>
      </w:r>
      <w:r>
        <w:rPr>
          <w:sz w:val="22"/>
          <w:szCs w:val="22"/>
        </w:rPr>
        <w:t xml:space="preserve">sono invece possibili </w:t>
      </w:r>
      <w:r w:rsidR="009310EE" w:rsidRPr="007F7EBF">
        <w:rPr>
          <w:sz w:val="22"/>
          <w:szCs w:val="22"/>
        </w:rPr>
        <w:t>inasprimenti sui redditi di fonte patrimoniale</w:t>
      </w:r>
      <w:r w:rsidRPr="00D36BAF">
        <w:rPr>
          <w:sz w:val="22"/>
          <w:szCs w:val="22"/>
        </w:rPr>
        <w:t xml:space="preserve"> </w:t>
      </w:r>
      <w:r>
        <w:rPr>
          <w:sz w:val="22"/>
          <w:szCs w:val="22"/>
        </w:rPr>
        <w:t xml:space="preserve">o le già indicate detrazioni selettive per i redditi di lavoro dipendente </w:t>
      </w:r>
      <w:r w:rsidR="005D60AA">
        <w:rPr>
          <w:sz w:val="22"/>
          <w:szCs w:val="22"/>
        </w:rPr>
        <w:t>(</w:t>
      </w:r>
      <w:r w:rsidR="009310EE" w:rsidRPr="007F7EBF">
        <w:rPr>
          <w:rStyle w:val="Rimandonotaapidipagina"/>
          <w:sz w:val="22"/>
          <w:szCs w:val="22"/>
        </w:rPr>
        <w:footnoteReference w:id="1344"/>
      </w:r>
      <w:r w:rsidR="005D60AA">
        <w:rPr>
          <w:sz w:val="22"/>
          <w:szCs w:val="22"/>
        </w:rPr>
        <w:t xml:space="preserve">). </w:t>
      </w:r>
      <w:r>
        <w:t xml:space="preserve">Quando però il reddito deriva da lavoro è difficile calibrare l’imposizione rispetto all’impegno necessario a produrlo; </w:t>
      </w:r>
      <w:r w:rsidRPr="007F7EBF">
        <w:t>ad esempio</w:t>
      </w:r>
      <w:r>
        <w:t xml:space="preserve"> è difficile distinguere tra </w:t>
      </w:r>
      <w:r w:rsidRPr="007F7EBF">
        <w:t xml:space="preserve">un </w:t>
      </w:r>
      <w:r>
        <w:rPr>
          <w:bCs/>
        </w:rPr>
        <w:t>attore</w:t>
      </w:r>
      <w:r w:rsidRPr="007F7EBF">
        <w:rPr>
          <w:bCs/>
        </w:rPr>
        <w:t xml:space="preserve"> </w:t>
      </w:r>
      <w:r>
        <w:rPr>
          <w:bCs/>
        </w:rPr>
        <w:t>famoso che guadagna</w:t>
      </w:r>
      <w:r w:rsidRPr="007F7EBF">
        <w:t xml:space="preserve">, </w:t>
      </w:r>
      <w:r>
        <w:t xml:space="preserve">facendo due </w:t>
      </w:r>
      <w:proofErr w:type="spellStart"/>
      <w:r>
        <w:t>films</w:t>
      </w:r>
      <w:proofErr w:type="spellEnd"/>
      <w:r w:rsidRPr="007F7EBF">
        <w:t xml:space="preserve"> l’anno, come un dirigente </w:t>
      </w:r>
      <w:r>
        <w:t xml:space="preserve">d’azienda, </w:t>
      </w:r>
      <w:r w:rsidRPr="007F7EBF">
        <w:t>che lavora tutti i giorni</w:t>
      </w:r>
      <w:r>
        <w:t xml:space="preserve">, ma sconta le stesse aliquote a parità di imponibile. </w:t>
      </w:r>
    </w:p>
    <w:p w14:paraId="671E925F" w14:textId="77777777" w:rsidR="009310EE" w:rsidRPr="007F7EBF" w:rsidRDefault="009310EE" w:rsidP="009310EE">
      <w:pPr>
        <w:pStyle w:val="tit23"/>
        <w:ind w:left="6464" w:right="-1361" w:firstLine="0"/>
        <w:jc w:val="left"/>
        <w:rPr>
          <w:bCs/>
          <w:i/>
          <w:iCs/>
          <w:color w:val="0000FF"/>
          <w:lang w:val="it-IT"/>
        </w:rPr>
      </w:pPr>
      <w:r w:rsidRPr="007F7EBF">
        <w:rPr>
          <w:bCs/>
          <w:i/>
          <w:iCs/>
          <w:color w:val="0000FF"/>
          <w:lang w:val="it-IT"/>
        </w:rPr>
        <w:t>Irrilevanza tributaria dell’instabilità del lavoro</w:t>
      </w:r>
    </w:p>
    <w:p w14:paraId="1AE235DC" w14:textId="5BC9D32E" w:rsidR="004650D4" w:rsidRPr="007F7EBF" w:rsidRDefault="00D36BAF" w:rsidP="004650D4">
      <w:pPr>
        <w:autoSpaceDE w:val="0"/>
        <w:autoSpaceDN w:val="0"/>
        <w:adjustRightInd w:val="0"/>
        <w:rPr>
          <w:sz w:val="22"/>
          <w:szCs w:val="22"/>
        </w:rPr>
      </w:pPr>
      <w:r>
        <w:rPr>
          <w:sz w:val="22"/>
          <w:szCs w:val="22"/>
        </w:rPr>
        <w:t xml:space="preserve">Il </w:t>
      </w:r>
      <w:r w:rsidR="00242F41">
        <w:rPr>
          <w:sz w:val="22"/>
          <w:szCs w:val="22"/>
        </w:rPr>
        <w:t>reddito</w:t>
      </w:r>
      <w:r>
        <w:rPr>
          <w:sz w:val="22"/>
          <w:szCs w:val="22"/>
        </w:rPr>
        <w:t xml:space="preserve"> è</w:t>
      </w:r>
      <w:r w:rsidR="00242F41">
        <w:rPr>
          <w:sz w:val="22"/>
          <w:szCs w:val="22"/>
        </w:rPr>
        <w:t xml:space="preserve"> tassato per periodi di imposta (par.7.11), senza </w:t>
      </w:r>
      <w:r>
        <w:rPr>
          <w:sz w:val="22"/>
          <w:szCs w:val="22"/>
        </w:rPr>
        <w:t>proiettarlo sul</w:t>
      </w:r>
      <w:r w:rsidR="00242F41">
        <w:rPr>
          <w:sz w:val="22"/>
          <w:szCs w:val="22"/>
        </w:rPr>
        <w:t>l</w:t>
      </w:r>
      <w:r>
        <w:rPr>
          <w:sz w:val="22"/>
          <w:szCs w:val="22"/>
        </w:rPr>
        <w:t>’inter</w:t>
      </w:r>
      <w:r w:rsidR="00242F41">
        <w:rPr>
          <w:sz w:val="22"/>
          <w:szCs w:val="22"/>
        </w:rPr>
        <w:t>a vita del contribuente</w:t>
      </w:r>
      <w:r>
        <w:rPr>
          <w:sz w:val="22"/>
          <w:szCs w:val="22"/>
        </w:rPr>
        <w:t xml:space="preserve"> (</w:t>
      </w:r>
      <w:r>
        <w:rPr>
          <w:rStyle w:val="Rimandonotaapidipagina"/>
          <w:sz w:val="22"/>
          <w:szCs w:val="22"/>
        </w:rPr>
        <w:footnoteReference w:id="1345"/>
      </w:r>
      <w:r>
        <w:rPr>
          <w:sz w:val="22"/>
          <w:szCs w:val="22"/>
        </w:rPr>
        <w:t xml:space="preserve">), trascurando che alcuni </w:t>
      </w:r>
      <w:r w:rsidR="00242F41">
        <w:rPr>
          <w:sz w:val="22"/>
          <w:szCs w:val="22"/>
        </w:rPr>
        <w:t>redditi hanno per definizione una limitata durata nel tempo, come quelli di</w:t>
      </w:r>
      <w:r w:rsidR="00273357">
        <w:rPr>
          <w:sz w:val="22"/>
          <w:szCs w:val="22"/>
        </w:rPr>
        <w:t xml:space="preserve"> artisti e sportivi</w:t>
      </w:r>
      <w:r w:rsidR="00242F41">
        <w:rPr>
          <w:sz w:val="22"/>
          <w:szCs w:val="22"/>
        </w:rPr>
        <w:t xml:space="preserve"> (</w:t>
      </w:r>
      <w:r w:rsidR="0094383E">
        <w:rPr>
          <w:rStyle w:val="Rimandonotaapidipagina"/>
          <w:sz w:val="22"/>
          <w:szCs w:val="22"/>
        </w:rPr>
        <w:footnoteReference w:id="1346"/>
      </w:r>
      <w:r w:rsidR="00242F41">
        <w:rPr>
          <w:sz w:val="22"/>
          <w:szCs w:val="22"/>
        </w:rPr>
        <w:t>)</w:t>
      </w:r>
      <w:r w:rsidR="00273357">
        <w:rPr>
          <w:sz w:val="22"/>
          <w:szCs w:val="22"/>
        </w:rPr>
        <w:t>. No</w:t>
      </w:r>
      <w:r w:rsidR="00273357" w:rsidRPr="007F7EBF">
        <w:rPr>
          <w:sz w:val="22"/>
          <w:szCs w:val="22"/>
        </w:rPr>
        <w:t xml:space="preserve">n </w:t>
      </w:r>
      <w:r w:rsidR="00273357">
        <w:rPr>
          <w:sz w:val="22"/>
          <w:szCs w:val="22"/>
        </w:rPr>
        <w:t xml:space="preserve">è insomma gestibile l’eventualità </w:t>
      </w:r>
      <w:r w:rsidR="00273357" w:rsidRPr="007F7EBF">
        <w:rPr>
          <w:sz w:val="22"/>
          <w:szCs w:val="22"/>
        </w:rPr>
        <w:t>che il reddito di oggi non si riproduca domani</w:t>
      </w:r>
      <w:r w:rsidR="00273357">
        <w:rPr>
          <w:sz w:val="22"/>
          <w:szCs w:val="22"/>
        </w:rPr>
        <w:t xml:space="preserve">; l’unico esercizio possibile </w:t>
      </w:r>
      <w:r w:rsidR="00273357">
        <w:rPr>
          <w:sz w:val="22"/>
          <w:szCs w:val="22"/>
        </w:rPr>
        <w:lastRenderedPageBreak/>
        <w:t>sarebbe un sussidio, negli anni successivi, senza reddito, influenzato dal ricalcolo delle imposte pagate in precedenti annualità “redditizie”.</w:t>
      </w:r>
      <w:r w:rsidR="009310EE" w:rsidRPr="007F7EBF">
        <w:rPr>
          <w:sz w:val="22"/>
          <w:szCs w:val="22"/>
        </w:rPr>
        <w:t xml:space="preserve"> </w:t>
      </w:r>
    </w:p>
    <w:p w14:paraId="7338E93F" w14:textId="77777777" w:rsidR="004650D4" w:rsidRPr="007F7EBF" w:rsidRDefault="004650D4" w:rsidP="004650D4">
      <w:pPr>
        <w:pStyle w:val="tit23"/>
        <w:ind w:left="6464" w:right="-1361" w:firstLine="0"/>
        <w:jc w:val="left"/>
        <w:rPr>
          <w:bCs/>
          <w:i/>
          <w:iCs/>
          <w:color w:val="0000FF"/>
          <w:lang w:val="it-IT"/>
        </w:rPr>
      </w:pPr>
      <w:r w:rsidRPr="007F7EBF">
        <w:rPr>
          <w:bCs/>
          <w:i/>
          <w:iCs/>
          <w:color w:val="0000FF"/>
          <w:lang w:val="it-IT"/>
        </w:rPr>
        <w:t>Convenienza di un reddito ben distribuito negli anni</w:t>
      </w:r>
    </w:p>
    <w:p w14:paraId="24866114" w14:textId="37F7B0B0" w:rsidR="008A419E" w:rsidRPr="007F7EBF" w:rsidRDefault="00D713D9" w:rsidP="004650D4">
      <w:pPr>
        <w:autoSpaceDE w:val="0"/>
        <w:autoSpaceDN w:val="0"/>
        <w:adjustRightInd w:val="0"/>
        <w:rPr>
          <w:sz w:val="22"/>
          <w:szCs w:val="22"/>
        </w:rPr>
      </w:pPr>
      <w:r>
        <w:rPr>
          <w:sz w:val="22"/>
          <w:szCs w:val="22"/>
        </w:rPr>
        <w:t xml:space="preserve">E’ quindi oggettivamente conveniente dal punto di vista tributario </w:t>
      </w:r>
      <w:r w:rsidR="004650D4" w:rsidRPr="007F7EBF">
        <w:rPr>
          <w:sz w:val="22"/>
          <w:szCs w:val="22"/>
        </w:rPr>
        <w:t>un reddito</w:t>
      </w:r>
      <w:r>
        <w:rPr>
          <w:sz w:val="22"/>
          <w:szCs w:val="22"/>
        </w:rPr>
        <w:t xml:space="preserve"> costante e</w:t>
      </w:r>
      <w:r w:rsidR="004650D4" w:rsidRPr="007F7EBF">
        <w:rPr>
          <w:sz w:val="22"/>
          <w:szCs w:val="22"/>
        </w:rPr>
        <w:t xml:space="preserve"> distribuito </w:t>
      </w:r>
      <w:r>
        <w:rPr>
          <w:sz w:val="22"/>
          <w:szCs w:val="22"/>
        </w:rPr>
        <w:t xml:space="preserve">in modo equilibrato </w:t>
      </w:r>
      <w:r w:rsidR="004650D4" w:rsidRPr="007F7EBF">
        <w:rPr>
          <w:sz w:val="22"/>
          <w:szCs w:val="22"/>
        </w:rPr>
        <w:t>negli anni</w:t>
      </w:r>
      <w:r>
        <w:rPr>
          <w:sz w:val="22"/>
          <w:szCs w:val="22"/>
        </w:rPr>
        <w:t>, senza picchi e senza vuoti</w:t>
      </w:r>
      <w:r w:rsidR="004650D4" w:rsidRPr="007F7EBF">
        <w:rPr>
          <w:sz w:val="22"/>
          <w:szCs w:val="22"/>
        </w:rPr>
        <w:t>; ciò  non incentiva l’assunzione di rischio</w:t>
      </w:r>
      <w:r>
        <w:rPr>
          <w:sz w:val="22"/>
          <w:szCs w:val="22"/>
        </w:rPr>
        <w:t xml:space="preserve"> ed i redditi “straordinari”. </w:t>
      </w:r>
      <w:r w:rsidRPr="007F7EBF">
        <w:rPr>
          <w:sz w:val="22"/>
          <w:szCs w:val="22"/>
        </w:rPr>
        <w:t xml:space="preserve">Anche sotto questo profilo </w:t>
      </w:r>
      <w:r>
        <w:rPr>
          <w:sz w:val="22"/>
          <w:szCs w:val="22"/>
        </w:rPr>
        <w:t xml:space="preserve">la fantomatica idea </w:t>
      </w:r>
      <w:r w:rsidRPr="007F7EBF">
        <w:rPr>
          <w:sz w:val="22"/>
          <w:szCs w:val="22"/>
        </w:rPr>
        <w:t xml:space="preserve">di "capacità contributiva globale", </w:t>
      </w:r>
      <w:r>
        <w:rPr>
          <w:sz w:val="22"/>
          <w:szCs w:val="22"/>
        </w:rPr>
        <w:t>riferita a tutta la vita del contribuente, latente</w:t>
      </w:r>
      <w:r w:rsidRPr="007F7EBF">
        <w:rPr>
          <w:sz w:val="22"/>
          <w:szCs w:val="22"/>
        </w:rPr>
        <w:t xml:space="preserve"> dietro l'art.53 della costituzione</w:t>
      </w:r>
      <w:r w:rsidR="00273357">
        <w:rPr>
          <w:sz w:val="22"/>
          <w:szCs w:val="22"/>
        </w:rPr>
        <w:t xml:space="preserve">, dimostra tutta la sua difficile praticabilità, come già visto al </w:t>
      </w:r>
      <w:r w:rsidRPr="007F7EBF">
        <w:rPr>
          <w:sz w:val="22"/>
          <w:szCs w:val="22"/>
        </w:rPr>
        <w:t>par.2.</w:t>
      </w:r>
      <w:r>
        <w:rPr>
          <w:sz w:val="22"/>
          <w:szCs w:val="22"/>
        </w:rPr>
        <w:t>2.</w:t>
      </w:r>
    </w:p>
    <w:p w14:paraId="52470279" w14:textId="77777777" w:rsidR="008A419E" w:rsidRPr="007F7EBF" w:rsidRDefault="008A419E" w:rsidP="008A419E">
      <w:pPr>
        <w:pStyle w:val="tit23"/>
        <w:ind w:left="6464" w:right="-1361" w:firstLine="0"/>
        <w:jc w:val="left"/>
        <w:rPr>
          <w:bCs/>
          <w:i/>
          <w:iCs/>
          <w:color w:val="0000FF"/>
          <w:lang w:val="it-IT"/>
        </w:rPr>
      </w:pPr>
      <w:r w:rsidRPr="007F7EBF">
        <w:rPr>
          <w:bCs/>
          <w:i/>
          <w:iCs/>
          <w:color w:val="0000FF"/>
          <w:lang w:val="it-IT"/>
        </w:rPr>
        <w:t>Redditi pluriennali e progressività</w:t>
      </w:r>
    </w:p>
    <w:p w14:paraId="7F847869" w14:textId="6AFCE577" w:rsidR="006342C5" w:rsidRPr="007F7EBF" w:rsidRDefault="00273357" w:rsidP="006342C5">
      <w:pPr>
        <w:autoSpaceDE w:val="0"/>
        <w:autoSpaceDN w:val="0"/>
        <w:adjustRightInd w:val="0"/>
        <w:rPr>
          <w:sz w:val="22"/>
          <w:szCs w:val="22"/>
        </w:rPr>
      </w:pPr>
      <w:r>
        <w:rPr>
          <w:sz w:val="22"/>
          <w:szCs w:val="22"/>
        </w:rPr>
        <w:t xml:space="preserve">E’ praticamente gestibile soltanto </w:t>
      </w:r>
      <w:r w:rsidR="00D713D9">
        <w:rPr>
          <w:sz w:val="22"/>
          <w:szCs w:val="22"/>
        </w:rPr>
        <w:t>la percezione successiva di un reddito maturato in precedenza</w:t>
      </w:r>
      <w:r w:rsidR="00D91091">
        <w:rPr>
          <w:sz w:val="22"/>
          <w:szCs w:val="22"/>
        </w:rPr>
        <w:t xml:space="preserve">; </w:t>
      </w:r>
      <w:r>
        <w:rPr>
          <w:sz w:val="22"/>
          <w:szCs w:val="22"/>
        </w:rPr>
        <w:t xml:space="preserve">evitando la penalizzazione delle </w:t>
      </w:r>
      <w:r w:rsidR="008147DC" w:rsidRPr="007F7EBF">
        <w:rPr>
          <w:bCs/>
          <w:sz w:val="22"/>
          <w:szCs w:val="22"/>
        </w:rPr>
        <w:t>aliquote progressive</w:t>
      </w:r>
      <w:r w:rsidR="006342C5" w:rsidRPr="007F7EBF">
        <w:rPr>
          <w:bCs/>
          <w:sz w:val="22"/>
          <w:szCs w:val="22"/>
        </w:rPr>
        <w:t xml:space="preserve"> </w:t>
      </w:r>
      <w:r w:rsidR="006342C5" w:rsidRPr="007F7EBF">
        <w:rPr>
          <w:sz w:val="22"/>
          <w:szCs w:val="22"/>
        </w:rPr>
        <w:t xml:space="preserve">IRPEF </w:t>
      </w:r>
      <w:r w:rsidR="00565A25">
        <w:rPr>
          <w:sz w:val="22"/>
          <w:szCs w:val="22"/>
        </w:rPr>
        <w:t xml:space="preserve">su </w:t>
      </w:r>
      <w:r w:rsidR="006342C5" w:rsidRPr="007F7EBF">
        <w:rPr>
          <w:bCs/>
          <w:sz w:val="22"/>
          <w:szCs w:val="22"/>
        </w:rPr>
        <w:t xml:space="preserve">redditi </w:t>
      </w:r>
      <w:r w:rsidR="004650D4" w:rsidRPr="007F7EBF">
        <w:rPr>
          <w:bCs/>
          <w:sz w:val="22"/>
          <w:szCs w:val="22"/>
        </w:rPr>
        <w:t>maturati in un arco pluriennale, ma percepiti successivamente, in un unico periodo di imposta</w:t>
      </w:r>
      <w:r w:rsidR="00D91091">
        <w:rPr>
          <w:bCs/>
          <w:sz w:val="22"/>
          <w:szCs w:val="22"/>
        </w:rPr>
        <w:t xml:space="preserve"> (</w:t>
      </w:r>
      <w:r w:rsidR="00D91091">
        <w:rPr>
          <w:rStyle w:val="Rimandonotaapidipagina"/>
          <w:bCs/>
          <w:sz w:val="22"/>
          <w:szCs w:val="22"/>
        </w:rPr>
        <w:footnoteReference w:id="1347"/>
      </w:r>
      <w:r w:rsidR="00D91091">
        <w:rPr>
          <w:bCs/>
          <w:sz w:val="22"/>
          <w:szCs w:val="22"/>
        </w:rPr>
        <w:t>)</w:t>
      </w:r>
      <w:r w:rsidR="004650D4" w:rsidRPr="007F7EBF">
        <w:rPr>
          <w:bCs/>
          <w:sz w:val="22"/>
          <w:szCs w:val="22"/>
        </w:rPr>
        <w:t>.</w:t>
      </w:r>
      <w:r w:rsidR="00565A25">
        <w:rPr>
          <w:bCs/>
          <w:sz w:val="22"/>
          <w:szCs w:val="22"/>
        </w:rPr>
        <w:t xml:space="preserve"> </w:t>
      </w:r>
      <w:r w:rsidR="00565A25">
        <w:rPr>
          <w:sz w:val="22"/>
          <w:szCs w:val="22"/>
        </w:rPr>
        <w:t>L</w:t>
      </w:r>
      <w:r w:rsidR="00565A25" w:rsidRPr="007F7EBF">
        <w:rPr>
          <w:sz w:val="22"/>
          <w:szCs w:val="22"/>
        </w:rPr>
        <w:t>a consueta imputazione a periodo col principio di cassa (par.7.11) concentrando tutta la tassazione in un solo anno, farebbe scattare aliquote progressive troppo elevate, su un reddito destinato per definizione a essere realizzato una sola volta.</w:t>
      </w:r>
      <w:r w:rsidR="00565A25">
        <w:rPr>
          <w:sz w:val="22"/>
          <w:szCs w:val="22"/>
        </w:rPr>
        <w:t xml:space="preserve"> Questo giustifica la facoltà di sottrarre a</w:t>
      </w:r>
      <w:r w:rsidR="006342C5" w:rsidRPr="007F7EBF">
        <w:rPr>
          <w:bCs/>
          <w:sz w:val="22"/>
          <w:szCs w:val="22"/>
        </w:rPr>
        <w:t>lcuni redditi pluriennal</w:t>
      </w:r>
      <w:r w:rsidR="00565A25">
        <w:rPr>
          <w:bCs/>
          <w:sz w:val="22"/>
          <w:szCs w:val="22"/>
        </w:rPr>
        <w:t xml:space="preserve">i </w:t>
      </w:r>
      <w:r w:rsidR="006342C5" w:rsidRPr="007F7EBF">
        <w:rPr>
          <w:bCs/>
          <w:sz w:val="22"/>
          <w:szCs w:val="22"/>
        </w:rPr>
        <w:t>all’ordinaria</w:t>
      </w:r>
      <w:r w:rsidR="006F1B7C" w:rsidRPr="007F7EBF">
        <w:rPr>
          <w:bCs/>
          <w:sz w:val="22"/>
          <w:szCs w:val="22"/>
        </w:rPr>
        <w:t xml:space="preserve"> </w:t>
      </w:r>
      <w:r w:rsidR="006342C5" w:rsidRPr="007F7EBF">
        <w:rPr>
          <w:bCs/>
          <w:sz w:val="22"/>
          <w:szCs w:val="22"/>
        </w:rPr>
        <w:t xml:space="preserve">imposizione progressiva IRPEF, </w:t>
      </w:r>
      <w:r w:rsidR="006342C5" w:rsidRPr="007F7EBF">
        <w:rPr>
          <w:sz w:val="22"/>
          <w:szCs w:val="22"/>
        </w:rPr>
        <w:t>tassa</w:t>
      </w:r>
      <w:r w:rsidR="00565A25">
        <w:rPr>
          <w:sz w:val="22"/>
          <w:szCs w:val="22"/>
        </w:rPr>
        <w:t>ndoli co</w:t>
      </w:r>
      <w:r w:rsidR="006342C5" w:rsidRPr="007F7EBF">
        <w:rPr>
          <w:sz w:val="22"/>
          <w:szCs w:val="22"/>
        </w:rPr>
        <w:t>n una aliquota media</w:t>
      </w:r>
      <w:r w:rsidR="00565A25">
        <w:rPr>
          <w:sz w:val="22"/>
          <w:szCs w:val="22"/>
        </w:rPr>
        <w:t xml:space="preserve">; questa </w:t>
      </w:r>
      <w:proofErr w:type="spellStart"/>
      <w:r w:rsidR="006342C5" w:rsidRPr="007F7EBF">
        <w:rPr>
          <w:sz w:val="22"/>
          <w:szCs w:val="22"/>
        </w:rPr>
        <w:t>c.d.“tassazione</w:t>
      </w:r>
      <w:proofErr w:type="spellEnd"/>
      <w:r w:rsidR="006342C5" w:rsidRPr="007F7EBF">
        <w:rPr>
          <w:sz w:val="22"/>
          <w:szCs w:val="22"/>
        </w:rPr>
        <w:t xml:space="preserve"> separata”</w:t>
      </w:r>
      <w:r w:rsidR="00565A25">
        <w:rPr>
          <w:sz w:val="22"/>
          <w:szCs w:val="22"/>
        </w:rPr>
        <w:t xml:space="preserve"> avviene </w:t>
      </w:r>
      <w:r w:rsidR="00565A25" w:rsidRPr="007F7EBF">
        <w:rPr>
          <w:sz w:val="22"/>
          <w:szCs w:val="22"/>
        </w:rPr>
        <w:t>con una aliquota particolare</w:t>
      </w:r>
      <w:r w:rsidR="00565A25">
        <w:rPr>
          <w:sz w:val="22"/>
          <w:szCs w:val="22"/>
        </w:rPr>
        <w:t xml:space="preserve">, </w:t>
      </w:r>
      <w:r w:rsidR="00565A25" w:rsidRPr="007F7EBF">
        <w:rPr>
          <w:sz w:val="22"/>
          <w:szCs w:val="22"/>
        </w:rPr>
        <w:t>pari alla media delle aliquote marginali IRPEF applicabili nel periodo di maturazione, o per semplicità, in un arco pluriennale più breve, anteriore alla percezione del reddito.</w:t>
      </w:r>
      <w:r w:rsidR="00565A25">
        <w:rPr>
          <w:sz w:val="22"/>
          <w:szCs w:val="22"/>
        </w:rPr>
        <w:t xml:space="preserve"> </w:t>
      </w:r>
      <w:r w:rsidR="004650D4" w:rsidRPr="007F7EBF">
        <w:rPr>
          <w:sz w:val="22"/>
          <w:szCs w:val="22"/>
        </w:rPr>
        <w:t xml:space="preserve">Ne sono esempi </w:t>
      </w:r>
      <w:r w:rsidR="006342C5" w:rsidRPr="007F7EBF">
        <w:rPr>
          <w:sz w:val="22"/>
          <w:szCs w:val="22"/>
        </w:rPr>
        <w:t>molto frequenti</w:t>
      </w:r>
      <w:r w:rsidR="00B961DE" w:rsidRPr="007F7EBF">
        <w:rPr>
          <w:sz w:val="22"/>
          <w:szCs w:val="22"/>
        </w:rPr>
        <w:t xml:space="preserve"> </w:t>
      </w:r>
      <w:r w:rsidR="004650D4" w:rsidRPr="007F7EBF">
        <w:rPr>
          <w:sz w:val="22"/>
          <w:szCs w:val="22"/>
        </w:rPr>
        <w:t>i</w:t>
      </w:r>
      <w:r w:rsidR="006342C5" w:rsidRPr="007F7EBF">
        <w:rPr>
          <w:sz w:val="22"/>
          <w:szCs w:val="22"/>
        </w:rPr>
        <w:t>l trattamento</w:t>
      </w:r>
      <w:r w:rsidR="006F1B7C" w:rsidRPr="007F7EBF">
        <w:rPr>
          <w:sz w:val="22"/>
          <w:szCs w:val="22"/>
        </w:rPr>
        <w:t xml:space="preserve"> </w:t>
      </w:r>
      <w:r w:rsidR="006342C5" w:rsidRPr="007F7EBF">
        <w:rPr>
          <w:sz w:val="22"/>
          <w:szCs w:val="22"/>
        </w:rPr>
        <w:t>di fine rapporto di lavoro dipendente e le plusvalenze per la cessione e liquidazione di</w:t>
      </w:r>
      <w:r w:rsidR="004650D4" w:rsidRPr="007F7EBF">
        <w:rPr>
          <w:sz w:val="22"/>
          <w:szCs w:val="22"/>
        </w:rPr>
        <w:t xml:space="preserve"> </w:t>
      </w:r>
      <w:r w:rsidR="006342C5" w:rsidRPr="007F7EBF">
        <w:rPr>
          <w:sz w:val="22"/>
          <w:szCs w:val="22"/>
        </w:rPr>
        <w:t xml:space="preserve">aziende </w:t>
      </w:r>
      <w:r w:rsidR="00B961DE" w:rsidRPr="007F7EBF">
        <w:rPr>
          <w:sz w:val="22"/>
          <w:szCs w:val="22"/>
        </w:rPr>
        <w:t xml:space="preserve">di imprenditori individuali </w:t>
      </w:r>
      <w:r w:rsidR="006342C5" w:rsidRPr="007F7EBF">
        <w:rPr>
          <w:sz w:val="22"/>
          <w:szCs w:val="22"/>
        </w:rPr>
        <w:t>(art. 17 lett. G TUIR).</w:t>
      </w:r>
      <w:r w:rsidR="004650D4" w:rsidRPr="007F7EBF">
        <w:rPr>
          <w:sz w:val="22"/>
          <w:szCs w:val="22"/>
        </w:rPr>
        <w:t xml:space="preserve"> </w:t>
      </w:r>
    </w:p>
    <w:p w14:paraId="2CB64486" w14:textId="6F1A3A7D" w:rsidR="00E25B1C" w:rsidRPr="007F7EBF" w:rsidRDefault="006342C5" w:rsidP="00D91091">
      <w:pPr>
        <w:pStyle w:val="Titolo3"/>
        <w:rPr>
          <w:sz w:val="22"/>
          <w:szCs w:val="22"/>
        </w:rPr>
      </w:pPr>
      <w:bookmarkStart w:id="133" w:name="_Toc63365043"/>
      <w:r w:rsidRPr="007F7EBF">
        <w:rPr>
          <w:rFonts w:ascii="Times New Roman" w:hAnsi="Times New Roman"/>
          <w:sz w:val="22"/>
          <w:szCs w:val="22"/>
        </w:rPr>
        <w:t>9.</w:t>
      </w:r>
      <w:r w:rsidR="005315AE">
        <w:rPr>
          <w:rFonts w:ascii="Times New Roman" w:hAnsi="Times New Roman"/>
          <w:sz w:val="22"/>
          <w:szCs w:val="22"/>
          <w:lang w:val="it-IT"/>
        </w:rPr>
        <w:t>5</w:t>
      </w:r>
      <w:r w:rsidRPr="007F7EBF">
        <w:rPr>
          <w:rFonts w:ascii="Times New Roman" w:hAnsi="Times New Roman"/>
          <w:sz w:val="22"/>
          <w:szCs w:val="22"/>
        </w:rPr>
        <w:t xml:space="preserve">. L’IRAP </w:t>
      </w:r>
      <w:r w:rsidR="00EF2298" w:rsidRPr="007F7EBF">
        <w:rPr>
          <w:rFonts w:ascii="Times New Roman" w:hAnsi="Times New Roman"/>
          <w:sz w:val="22"/>
          <w:szCs w:val="22"/>
          <w:lang w:val="it-IT"/>
        </w:rPr>
        <w:t>e la</w:t>
      </w:r>
      <w:r w:rsidRPr="007F7EBF">
        <w:rPr>
          <w:rFonts w:ascii="Times New Roman" w:hAnsi="Times New Roman"/>
          <w:sz w:val="22"/>
          <w:szCs w:val="22"/>
        </w:rPr>
        <w:t xml:space="preserve"> tassazione attraverso le aziende</w:t>
      </w:r>
      <w:r w:rsidR="00EF2298" w:rsidRPr="007F7EBF">
        <w:rPr>
          <w:rFonts w:ascii="Times New Roman" w:hAnsi="Times New Roman"/>
          <w:sz w:val="22"/>
          <w:szCs w:val="22"/>
          <w:lang w:val="it-IT"/>
        </w:rPr>
        <w:t xml:space="preserve"> del valore aggiunto “tipo reddito”</w:t>
      </w:r>
      <w:bookmarkEnd w:id="133"/>
    </w:p>
    <w:p w14:paraId="676FA30B" w14:textId="610F5781" w:rsidR="00E25B1C" w:rsidRPr="007F7EBF" w:rsidRDefault="00E25B1C" w:rsidP="00E25B1C">
      <w:pPr>
        <w:pStyle w:val="tit23"/>
        <w:ind w:left="6464" w:right="-1361" w:firstLine="0"/>
        <w:jc w:val="left"/>
        <w:rPr>
          <w:bCs/>
          <w:i/>
          <w:iCs/>
          <w:color w:val="0000FF"/>
          <w:lang w:val="it-IT"/>
        </w:rPr>
      </w:pPr>
      <w:r w:rsidRPr="007F7EBF">
        <w:rPr>
          <w:bCs/>
          <w:i/>
          <w:iCs/>
          <w:color w:val="0000FF"/>
          <w:lang w:val="it-IT"/>
        </w:rPr>
        <w:t xml:space="preserve">valore aggiunto </w:t>
      </w:r>
      <w:r w:rsidRPr="007F7EBF">
        <w:rPr>
          <w:bCs/>
          <w:i/>
          <w:iCs/>
          <w:color w:val="0000FF"/>
          <w:lang w:val="it-IT"/>
        </w:rPr>
        <w:lastRenderedPageBreak/>
        <w:t>economico come presupposto d</w:t>
      </w:r>
      <w:r w:rsidR="00BC076C">
        <w:rPr>
          <w:bCs/>
          <w:i/>
          <w:iCs/>
          <w:color w:val="0000FF"/>
          <w:lang w:val="it-IT"/>
        </w:rPr>
        <w:t>’imposta</w:t>
      </w:r>
    </w:p>
    <w:p w14:paraId="3896E424" w14:textId="72D4C6F9" w:rsidR="00255DCA" w:rsidRDefault="006342C5" w:rsidP="00255DCA">
      <w:pPr>
        <w:autoSpaceDE w:val="0"/>
        <w:autoSpaceDN w:val="0"/>
        <w:adjustRightInd w:val="0"/>
        <w:rPr>
          <w:sz w:val="22"/>
          <w:szCs w:val="22"/>
        </w:rPr>
      </w:pPr>
      <w:r w:rsidRPr="007F7EBF">
        <w:rPr>
          <w:sz w:val="22"/>
          <w:szCs w:val="22"/>
        </w:rPr>
        <w:t>I</w:t>
      </w:r>
      <w:r w:rsidR="006D39DB" w:rsidRPr="007F7EBF">
        <w:rPr>
          <w:sz w:val="22"/>
          <w:szCs w:val="22"/>
        </w:rPr>
        <w:t>l “valore aggiunto”</w:t>
      </w:r>
      <w:r w:rsidR="00CB2DF2">
        <w:rPr>
          <w:sz w:val="22"/>
          <w:szCs w:val="22"/>
        </w:rPr>
        <w:t xml:space="preserve"> </w:t>
      </w:r>
      <w:r w:rsidR="00AA6B0E">
        <w:rPr>
          <w:sz w:val="22"/>
          <w:szCs w:val="22"/>
        </w:rPr>
        <w:t>di cui al par.1.8, ripreso poi sotto altri profili al par.</w:t>
      </w:r>
      <w:r w:rsidR="008F21C9">
        <w:rPr>
          <w:sz w:val="22"/>
          <w:szCs w:val="22"/>
        </w:rPr>
        <w:t xml:space="preserve">3.1 e 7.3, spiega anche </w:t>
      </w:r>
      <w:r w:rsidR="00DD6B4A" w:rsidRPr="007F7EBF">
        <w:rPr>
          <w:sz w:val="22"/>
          <w:szCs w:val="22"/>
        </w:rPr>
        <w:t>L'IRAP</w:t>
      </w:r>
      <w:r w:rsidR="008F21C9">
        <w:rPr>
          <w:sz w:val="22"/>
          <w:szCs w:val="22"/>
        </w:rPr>
        <w:t xml:space="preserve">, che </w:t>
      </w:r>
      <w:r w:rsidR="00CB2DF2">
        <w:rPr>
          <w:sz w:val="22"/>
          <w:szCs w:val="22"/>
        </w:rPr>
        <w:t xml:space="preserve">lo </w:t>
      </w:r>
      <w:r w:rsidR="00DD6B4A" w:rsidRPr="007F7EBF">
        <w:rPr>
          <w:sz w:val="22"/>
          <w:szCs w:val="22"/>
        </w:rPr>
        <w:t>colpisce</w:t>
      </w:r>
      <w:r w:rsidR="0011053A">
        <w:rPr>
          <w:sz w:val="22"/>
          <w:szCs w:val="22"/>
        </w:rPr>
        <w:t xml:space="preserve"> con </w:t>
      </w:r>
      <w:r w:rsidR="00CB2DF2">
        <w:rPr>
          <w:sz w:val="22"/>
          <w:szCs w:val="22"/>
        </w:rPr>
        <w:t>un’</w:t>
      </w:r>
      <w:r w:rsidR="0011053A">
        <w:rPr>
          <w:sz w:val="22"/>
          <w:szCs w:val="22"/>
        </w:rPr>
        <w:t>aliquota attorno al 5%</w:t>
      </w:r>
      <w:r w:rsidR="00557951">
        <w:rPr>
          <w:sz w:val="22"/>
          <w:szCs w:val="22"/>
        </w:rPr>
        <w:t xml:space="preserve">; </w:t>
      </w:r>
      <w:r w:rsidR="00CB2DF2">
        <w:rPr>
          <w:sz w:val="22"/>
          <w:szCs w:val="22"/>
        </w:rPr>
        <w:t xml:space="preserve">il valore aggiunto, per precisare quanto detto a suo tempo al par.1.8, è il reddito creato dall’organizzazione per tutti quelli che vi lavorano o la finanziano; esso tiene conto anche delle </w:t>
      </w:r>
      <w:r w:rsidR="008F21C9">
        <w:rPr>
          <w:sz w:val="22"/>
          <w:szCs w:val="22"/>
        </w:rPr>
        <w:t xml:space="preserve">esportazioni, </w:t>
      </w:r>
      <w:r w:rsidR="00CB2DF2">
        <w:rPr>
          <w:sz w:val="22"/>
          <w:szCs w:val="22"/>
        </w:rPr>
        <w:t xml:space="preserve">mentre è ridotto delle importazioni, </w:t>
      </w:r>
      <w:r w:rsidR="00557951">
        <w:rPr>
          <w:sz w:val="22"/>
          <w:szCs w:val="22"/>
        </w:rPr>
        <w:t>di</w:t>
      </w:r>
      <w:r w:rsidR="008F21C9">
        <w:rPr>
          <w:sz w:val="22"/>
          <w:szCs w:val="22"/>
        </w:rPr>
        <w:t xml:space="preserve"> canoni immobiliari, diritti d’autore, acquisti di</w:t>
      </w:r>
      <w:r w:rsidR="00CB2DF2">
        <w:rPr>
          <w:sz w:val="22"/>
          <w:szCs w:val="22"/>
        </w:rPr>
        <w:t xml:space="preserve"> beni usati o</w:t>
      </w:r>
      <w:r w:rsidR="008F21C9">
        <w:rPr>
          <w:sz w:val="22"/>
          <w:szCs w:val="22"/>
        </w:rPr>
        <w:t xml:space="preserve"> terreni e fabbricati</w:t>
      </w:r>
      <w:r w:rsidR="00CB2DF2">
        <w:rPr>
          <w:sz w:val="22"/>
          <w:szCs w:val="22"/>
        </w:rPr>
        <w:t xml:space="preserve"> da privati</w:t>
      </w:r>
      <w:r w:rsidR="0011053A">
        <w:rPr>
          <w:sz w:val="22"/>
          <w:szCs w:val="22"/>
        </w:rPr>
        <w:t xml:space="preserve">, imposte sugli affari, ad esempio di bollo o di fabbricazione </w:t>
      </w:r>
      <w:r w:rsidR="003C7F09">
        <w:rPr>
          <w:sz w:val="22"/>
          <w:szCs w:val="22"/>
        </w:rPr>
        <w:t>(</w:t>
      </w:r>
      <w:r w:rsidR="003C7F09">
        <w:rPr>
          <w:rStyle w:val="Rimandonotaapidipagina"/>
          <w:sz w:val="22"/>
          <w:szCs w:val="22"/>
        </w:rPr>
        <w:footnoteReference w:id="1348"/>
      </w:r>
      <w:r w:rsidR="003C7F09">
        <w:rPr>
          <w:sz w:val="22"/>
          <w:szCs w:val="22"/>
        </w:rPr>
        <w:t>)</w:t>
      </w:r>
      <w:r w:rsidR="008F21C9">
        <w:rPr>
          <w:sz w:val="22"/>
          <w:szCs w:val="22"/>
        </w:rPr>
        <w:t>.</w:t>
      </w:r>
      <w:r w:rsidR="00767D65">
        <w:rPr>
          <w:sz w:val="22"/>
          <w:szCs w:val="22"/>
        </w:rPr>
        <w:t xml:space="preserve"> </w:t>
      </w:r>
    </w:p>
    <w:p w14:paraId="5908819E" w14:textId="10EA3647" w:rsidR="003C3B7B" w:rsidRPr="007F7EBF" w:rsidRDefault="008F21C9" w:rsidP="003C3B7B">
      <w:pPr>
        <w:autoSpaceDE w:val="0"/>
        <w:autoSpaceDN w:val="0"/>
        <w:adjustRightInd w:val="0"/>
        <w:rPr>
          <w:sz w:val="22"/>
          <w:szCs w:val="22"/>
        </w:rPr>
      </w:pPr>
      <w:r>
        <w:rPr>
          <w:sz w:val="22"/>
          <w:szCs w:val="22"/>
        </w:rPr>
        <w:t xml:space="preserve">Il calcolo dell’IRAP </w:t>
      </w:r>
      <w:r w:rsidR="003C7F09">
        <w:rPr>
          <w:sz w:val="22"/>
          <w:szCs w:val="22"/>
        </w:rPr>
        <w:t>deriva da un confronto di imponibili</w:t>
      </w:r>
      <w:r w:rsidR="00255DCA">
        <w:rPr>
          <w:sz w:val="22"/>
          <w:szCs w:val="22"/>
        </w:rPr>
        <w:t>, in buona misura analogo a quello dell’IRES</w:t>
      </w:r>
      <w:r w:rsidR="00BC076C">
        <w:rPr>
          <w:sz w:val="22"/>
          <w:szCs w:val="22"/>
        </w:rPr>
        <w:t xml:space="preserve"> (</w:t>
      </w:r>
      <w:r w:rsidR="00BC076C">
        <w:rPr>
          <w:rStyle w:val="Rimandonotaapidipagina"/>
          <w:sz w:val="22"/>
          <w:szCs w:val="22"/>
        </w:rPr>
        <w:footnoteReference w:id="1349"/>
      </w:r>
      <w:r w:rsidR="00BC076C">
        <w:rPr>
          <w:sz w:val="22"/>
          <w:szCs w:val="22"/>
        </w:rPr>
        <w:t>)</w:t>
      </w:r>
      <w:r w:rsidR="0011053A">
        <w:rPr>
          <w:sz w:val="22"/>
          <w:szCs w:val="22"/>
        </w:rPr>
        <w:t xml:space="preserve">, </w:t>
      </w:r>
      <w:r w:rsidR="0011053A" w:rsidRPr="007F7EBF">
        <w:rPr>
          <w:sz w:val="22"/>
          <w:szCs w:val="22"/>
        </w:rPr>
        <w:t xml:space="preserve">incerto fino al termine del periodo di imposta. </w:t>
      </w:r>
      <w:r w:rsidR="008178A3">
        <w:rPr>
          <w:sz w:val="22"/>
          <w:szCs w:val="22"/>
        </w:rPr>
        <w:t xml:space="preserve"> </w:t>
      </w:r>
      <w:r w:rsidR="00056457">
        <w:rPr>
          <w:sz w:val="22"/>
          <w:szCs w:val="22"/>
        </w:rPr>
        <w:t xml:space="preserve">Solo a consuntivo, quindi, </w:t>
      </w:r>
      <w:r w:rsidR="00BB68B3">
        <w:rPr>
          <w:sz w:val="22"/>
          <w:szCs w:val="22"/>
        </w:rPr>
        <w:t xml:space="preserve">è incerto se </w:t>
      </w:r>
      <w:r w:rsidR="00056457">
        <w:rPr>
          <w:sz w:val="22"/>
          <w:szCs w:val="22"/>
        </w:rPr>
        <w:t xml:space="preserve">i compensi spettanti giuridicamente a lavoratori e finanziatori trovano </w:t>
      </w:r>
      <w:r w:rsidR="00BB68B3">
        <w:rPr>
          <w:sz w:val="22"/>
          <w:szCs w:val="22"/>
        </w:rPr>
        <w:t xml:space="preserve">economicamente </w:t>
      </w:r>
      <w:r w:rsidR="00056457">
        <w:rPr>
          <w:sz w:val="22"/>
          <w:szCs w:val="22"/>
        </w:rPr>
        <w:t>corrispondenza nel valore aggiunto</w:t>
      </w:r>
      <w:r w:rsidR="00BB68B3">
        <w:rPr>
          <w:sz w:val="22"/>
          <w:szCs w:val="22"/>
        </w:rPr>
        <w:t xml:space="preserve">, il che rende impraticabili </w:t>
      </w:r>
      <w:r w:rsidR="00056457">
        <w:rPr>
          <w:sz w:val="22"/>
          <w:szCs w:val="22"/>
        </w:rPr>
        <w:t>r</w:t>
      </w:r>
      <w:r w:rsidR="0011053A">
        <w:rPr>
          <w:sz w:val="22"/>
          <w:szCs w:val="22"/>
        </w:rPr>
        <w:t xml:space="preserve">ivalse sui </w:t>
      </w:r>
      <w:r w:rsidR="00BB68B3">
        <w:rPr>
          <w:sz w:val="22"/>
          <w:szCs w:val="22"/>
        </w:rPr>
        <w:t>soggetti sopra indicati (</w:t>
      </w:r>
      <w:r w:rsidR="00DC4DB5" w:rsidRPr="007F7EBF">
        <w:rPr>
          <w:rStyle w:val="Rimandonotaapidipagina"/>
          <w:bCs/>
          <w:sz w:val="22"/>
          <w:szCs w:val="22"/>
        </w:rPr>
        <w:footnoteReference w:id="1350"/>
      </w:r>
      <w:r w:rsidR="00BB68B3">
        <w:rPr>
          <w:sz w:val="22"/>
          <w:szCs w:val="22"/>
        </w:rPr>
        <w:t>)</w:t>
      </w:r>
      <w:r w:rsidR="00DC4DB5" w:rsidRPr="007F7EBF">
        <w:rPr>
          <w:bCs/>
          <w:sz w:val="22"/>
          <w:szCs w:val="22"/>
        </w:rPr>
        <w:t>.</w:t>
      </w:r>
      <w:r w:rsidR="00BC6D12">
        <w:rPr>
          <w:bCs/>
          <w:sz w:val="22"/>
          <w:szCs w:val="22"/>
        </w:rPr>
        <w:t xml:space="preserve"> N</w:t>
      </w:r>
      <w:r w:rsidR="00255DCA">
        <w:rPr>
          <w:sz w:val="22"/>
          <w:szCs w:val="22"/>
        </w:rPr>
        <w:t>ell’IRAP l’</w:t>
      </w:r>
      <w:r w:rsidR="00E96039" w:rsidRPr="007F7EBF">
        <w:rPr>
          <w:sz w:val="22"/>
          <w:szCs w:val="22"/>
        </w:rPr>
        <w:t>azienda</w:t>
      </w:r>
      <w:r w:rsidR="00255DCA">
        <w:rPr>
          <w:sz w:val="22"/>
          <w:szCs w:val="22"/>
        </w:rPr>
        <w:t xml:space="preserve"> come gruppo sociale </w:t>
      </w:r>
      <w:r w:rsidR="00BC6D12">
        <w:rPr>
          <w:sz w:val="22"/>
          <w:szCs w:val="22"/>
        </w:rPr>
        <w:t xml:space="preserve">(par.3.1) </w:t>
      </w:r>
      <w:r w:rsidR="00255DCA">
        <w:rPr>
          <w:sz w:val="22"/>
          <w:szCs w:val="22"/>
        </w:rPr>
        <w:t xml:space="preserve">colpisce </w:t>
      </w:r>
      <w:r w:rsidR="00BC6D12">
        <w:rPr>
          <w:sz w:val="22"/>
          <w:szCs w:val="22"/>
        </w:rPr>
        <w:t xml:space="preserve">quindi </w:t>
      </w:r>
      <w:r w:rsidR="00255DCA">
        <w:rPr>
          <w:sz w:val="22"/>
          <w:szCs w:val="22"/>
        </w:rPr>
        <w:t xml:space="preserve">un valore aggiunto comune, solo idealmente diviso </w:t>
      </w:r>
      <w:r w:rsidR="00255DCA" w:rsidRPr="007F7EBF">
        <w:rPr>
          <w:bCs/>
          <w:sz w:val="22"/>
          <w:szCs w:val="22"/>
        </w:rPr>
        <w:t>tra salari, interessi e profitti</w:t>
      </w:r>
      <w:r w:rsidR="00255DCA">
        <w:rPr>
          <w:bCs/>
          <w:sz w:val="22"/>
          <w:szCs w:val="22"/>
        </w:rPr>
        <w:t xml:space="preserve"> (</w:t>
      </w:r>
      <w:r w:rsidR="00255DCA">
        <w:rPr>
          <w:rStyle w:val="Rimandonotaapidipagina"/>
          <w:bCs/>
          <w:sz w:val="22"/>
          <w:szCs w:val="22"/>
        </w:rPr>
        <w:footnoteReference w:id="1351"/>
      </w:r>
      <w:r w:rsidR="00255DCA">
        <w:rPr>
          <w:bCs/>
          <w:sz w:val="22"/>
          <w:szCs w:val="22"/>
        </w:rPr>
        <w:t>)</w:t>
      </w:r>
      <w:r w:rsidR="00BC6D12">
        <w:rPr>
          <w:sz w:val="22"/>
          <w:szCs w:val="22"/>
        </w:rPr>
        <w:t xml:space="preserve">. </w:t>
      </w:r>
    </w:p>
    <w:p w14:paraId="366163DD" w14:textId="58BD001A" w:rsidR="003C3B7B" w:rsidRPr="007F7EBF" w:rsidRDefault="003C7F09" w:rsidP="003C3B7B">
      <w:pPr>
        <w:pStyle w:val="tit23"/>
        <w:ind w:left="6464" w:right="-1361" w:firstLine="0"/>
        <w:jc w:val="left"/>
        <w:rPr>
          <w:bCs/>
          <w:i/>
          <w:iCs/>
          <w:color w:val="0000FF"/>
          <w:lang w:val="it-IT"/>
        </w:rPr>
      </w:pPr>
      <w:r>
        <w:rPr>
          <w:bCs/>
          <w:i/>
          <w:iCs/>
          <w:color w:val="0000FF"/>
          <w:lang w:val="it-IT"/>
        </w:rPr>
        <w:lastRenderedPageBreak/>
        <w:t>deficit formativi e inquadramento dell’imposta</w:t>
      </w:r>
    </w:p>
    <w:p w14:paraId="42703851" w14:textId="1A287AFA" w:rsidR="003C3B7B" w:rsidRPr="007F7EBF" w:rsidRDefault="002C3D6A" w:rsidP="003C3B7B">
      <w:pPr>
        <w:autoSpaceDE w:val="0"/>
        <w:autoSpaceDN w:val="0"/>
        <w:adjustRightInd w:val="0"/>
        <w:rPr>
          <w:sz w:val="22"/>
          <w:szCs w:val="22"/>
        </w:rPr>
      </w:pPr>
      <w:r w:rsidRPr="007F7EBF">
        <w:rPr>
          <w:sz w:val="22"/>
          <w:szCs w:val="22"/>
        </w:rPr>
        <w:t>Quest'impossibilità di spiegare il tributo co</w:t>
      </w:r>
      <w:r>
        <w:rPr>
          <w:sz w:val="22"/>
          <w:szCs w:val="22"/>
        </w:rPr>
        <w:t xml:space="preserve">i rapporti tra contribuenti di fatto e di diritto (par.3.5) ha provocato incertezze e polemiche, mentre </w:t>
      </w:r>
      <w:r w:rsidRPr="007F7EBF">
        <w:rPr>
          <w:sz w:val="22"/>
          <w:szCs w:val="22"/>
        </w:rPr>
        <w:t xml:space="preserve">gli </w:t>
      </w:r>
      <w:r w:rsidRPr="007F7EBF">
        <w:rPr>
          <w:bCs/>
          <w:sz w:val="22"/>
          <w:szCs w:val="22"/>
        </w:rPr>
        <w:t xml:space="preserve">economisti </w:t>
      </w:r>
      <w:r>
        <w:rPr>
          <w:bCs/>
          <w:sz w:val="22"/>
          <w:szCs w:val="22"/>
        </w:rPr>
        <w:t>considerano l’IRAP un</w:t>
      </w:r>
      <w:r w:rsidR="00BC076C">
        <w:rPr>
          <w:bCs/>
          <w:sz w:val="22"/>
          <w:szCs w:val="22"/>
        </w:rPr>
        <w:t>’</w:t>
      </w:r>
      <w:r w:rsidRPr="007F7EBF">
        <w:rPr>
          <w:bCs/>
          <w:sz w:val="22"/>
          <w:szCs w:val="22"/>
        </w:rPr>
        <w:t>imposta sul reddito</w:t>
      </w:r>
      <w:r>
        <w:rPr>
          <w:bCs/>
          <w:sz w:val="22"/>
          <w:szCs w:val="22"/>
        </w:rPr>
        <w:t xml:space="preserve"> di una pluralità di soggetti</w:t>
      </w:r>
      <w:r w:rsidRPr="007F7EBF">
        <w:rPr>
          <w:sz w:val="22"/>
          <w:szCs w:val="22"/>
        </w:rPr>
        <w:t xml:space="preserve">, </w:t>
      </w:r>
      <w:r>
        <w:rPr>
          <w:sz w:val="22"/>
          <w:szCs w:val="22"/>
        </w:rPr>
        <w:t xml:space="preserve">perché tale è -dopotutto- il valore aggiunto. </w:t>
      </w:r>
      <w:r w:rsidR="00BB68B3" w:rsidRPr="007F7EBF">
        <w:rPr>
          <w:sz w:val="22"/>
          <w:szCs w:val="22"/>
        </w:rPr>
        <w:t xml:space="preserve">La </w:t>
      </w:r>
      <w:r>
        <w:rPr>
          <w:sz w:val="22"/>
          <w:szCs w:val="22"/>
        </w:rPr>
        <w:t>natura</w:t>
      </w:r>
      <w:r w:rsidR="00BB68B3" w:rsidRPr="007F7EBF">
        <w:rPr>
          <w:sz w:val="22"/>
          <w:szCs w:val="22"/>
        </w:rPr>
        <w:t xml:space="preserve"> dell'IRAP </w:t>
      </w:r>
      <w:r>
        <w:rPr>
          <w:sz w:val="22"/>
          <w:szCs w:val="22"/>
        </w:rPr>
        <w:t xml:space="preserve">resta oscura nonostante </w:t>
      </w:r>
      <w:r w:rsidR="00BB68B3">
        <w:rPr>
          <w:sz w:val="22"/>
          <w:szCs w:val="22"/>
        </w:rPr>
        <w:t xml:space="preserve">la sua </w:t>
      </w:r>
      <w:r w:rsidR="00BB68B3" w:rsidRPr="007F7EBF">
        <w:rPr>
          <w:sz w:val="22"/>
          <w:szCs w:val="22"/>
        </w:rPr>
        <w:t>attribuzione a</w:t>
      </w:r>
      <w:r w:rsidR="00BB68B3">
        <w:rPr>
          <w:sz w:val="22"/>
          <w:szCs w:val="22"/>
        </w:rPr>
        <w:t xml:space="preserve">lle regioni, derivante dalle </w:t>
      </w:r>
      <w:r w:rsidR="00BB68B3" w:rsidRPr="007F7EBF">
        <w:rPr>
          <w:sz w:val="22"/>
          <w:szCs w:val="22"/>
        </w:rPr>
        <w:t>contingenze politiche descritte al par.10.8</w:t>
      </w:r>
      <w:r w:rsidR="00BB68B3">
        <w:rPr>
          <w:sz w:val="22"/>
          <w:szCs w:val="22"/>
        </w:rPr>
        <w:t xml:space="preserve">. </w:t>
      </w:r>
      <w:r w:rsidR="00726198">
        <w:rPr>
          <w:sz w:val="22"/>
          <w:szCs w:val="22"/>
        </w:rPr>
        <w:t xml:space="preserve">Si è arrivati quindi a </w:t>
      </w:r>
      <w:r w:rsidR="00726198" w:rsidRPr="007F7EBF">
        <w:rPr>
          <w:sz w:val="22"/>
          <w:szCs w:val="22"/>
        </w:rPr>
        <w:t xml:space="preserve">critiche traballanti o a </w:t>
      </w:r>
      <w:r w:rsidR="00726198">
        <w:rPr>
          <w:sz w:val="22"/>
          <w:szCs w:val="22"/>
        </w:rPr>
        <w:t>generici</w:t>
      </w:r>
      <w:r w:rsidR="00726198" w:rsidRPr="007F7EBF">
        <w:rPr>
          <w:sz w:val="22"/>
          <w:szCs w:val="22"/>
        </w:rPr>
        <w:t xml:space="preserve"> riferimenti all’organizzazione produttiva (</w:t>
      </w:r>
      <w:r w:rsidR="00726198" w:rsidRPr="007F7EBF">
        <w:rPr>
          <w:rStyle w:val="Rimandonotaapidipagina"/>
          <w:sz w:val="22"/>
          <w:szCs w:val="22"/>
        </w:rPr>
        <w:footnoteReference w:id="1352"/>
      </w:r>
      <w:r w:rsidR="00726198" w:rsidRPr="007F7EBF">
        <w:rPr>
          <w:sz w:val="22"/>
          <w:szCs w:val="22"/>
        </w:rPr>
        <w:t xml:space="preserve">). </w:t>
      </w:r>
    </w:p>
    <w:p w14:paraId="662D47C7" w14:textId="285B7B92" w:rsidR="003C3B7B" w:rsidRPr="007F7EBF" w:rsidRDefault="00EA7DA6" w:rsidP="003C3B7B">
      <w:pPr>
        <w:pStyle w:val="tit23"/>
        <w:ind w:left="6464" w:right="-1361" w:firstLine="0"/>
        <w:jc w:val="left"/>
        <w:rPr>
          <w:bCs/>
          <w:i/>
          <w:iCs/>
          <w:color w:val="0000FF"/>
          <w:lang w:val="it-IT"/>
        </w:rPr>
      </w:pPr>
      <w:r w:rsidRPr="007F7EBF">
        <w:rPr>
          <w:bCs/>
          <w:i/>
          <w:iCs/>
          <w:color w:val="0000FF"/>
          <w:lang w:val="it-IT"/>
        </w:rPr>
        <w:t>n</w:t>
      </w:r>
      <w:r w:rsidR="003C3B7B" w:rsidRPr="007F7EBF">
        <w:rPr>
          <w:bCs/>
          <w:i/>
          <w:iCs/>
          <w:color w:val="0000FF"/>
          <w:lang w:val="it-IT"/>
        </w:rPr>
        <w:t xml:space="preserve">ecessità di un’organizzazione </w:t>
      </w:r>
      <w:r w:rsidR="00681BDB" w:rsidRPr="007F7EBF">
        <w:rPr>
          <w:bCs/>
          <w:i/>
          <w:iCs/>
          <w:color w:val="0000FF"/>
          <w:lang w:val="it-IT"/>
        </w:rPr>
        <w:t>e salti di imposta</w:t>
      </w:r>
    </w:p>
    <w:p w14:paraId="70CA4DBA" w14:textId="77777777" w:rsidR="00F23263" w:rsidRDefault="00BC076C" w:rsidP="0011053A">
      <w:pPr>
        <w:autoSpaceDE w:val="0"/>
        <w:autoSpaceDN w:val="0"/>
        <w:adjustRightInd w:val="0"/>
        <w:rPr>
          <w:sz w:val="22"/>
          <w:szCs w:val="22"/>
        </w:rPr>
      </w:pPr>
      <w:r>
        <w:rPr>
          <w:sz w:val="22"/>
          <w:szCs w:val="22"/>
        </w:rPr>
        <w:t>La sintesi della confusione che precede è un</w:t>
      </w:r>
      <w:r w:rsidR="007A6243">
        <w:rPr>
          <w:sz w:val="22"/>
          <w:szCs w:val="22"/>
        </w:rPr>
        <w:t xml:space="preserve">’esclusione da Irap, </w:t>
      </w:r>
      <w:r>
        <w:rPr>
          <w:sz w:val="22"/>
          <w:szCs w:val="22"/>
        </w:rPr>
        <w:t xml:space="preserve">ormai consolidata </w:t>
      </w:r>
      <w:r w:rsidR="007A6243">
        <w:rPr>
          <w:sz w:val="22"/>
          <w:szCs w:val="22"/>
        </w:rPr>
        <w:t xml:space="preserve">nella prassi, </w:t>
      </w:r>
      <w:r w:rsidR="006342C5" w:rsidRPr="007F7EBF">
        <w:rPr>
          <w:sz w:val="22"/>
          <w:szCs w:val="22"/>
        </w:rPr>
        <w:t xml:space="preserve">delle piccole attività di lavoro </w:t>
      </w:r>
      <w:r w:rsidR="00017E57" w:rsidRPr="007F7EBF">
        <w:rPr>
          <w:sz w:val="22"/>
          <w:szCs w:val="22"/>
        </w:rPr>
        <w:t>indipendente</w:t>
      </w:r>
      <w:r w:rsidR="006342C5" w:rsidRPr="007F7EBF">
        <w:rPr>
          <w:sz w:val="22"/>
          <w:szCs w:val="22"/>
        </w:rPr>
        <w:t xml:space="preserve"> “non organizzate in forma di impresa”,</w:t>
      </w:r>
      <w:r w:rsidR="008E0F16" w:rsidRPr="007F7EBF">
        <w:rPr>
          <w:sz w:val="22"/>
          <w:szCs w:val="22"/>
        </w:rPr>
        <w:t xml:space="preserve"> </w:t>
      </w:r>
      <w:r w:rsidR="00017E57" w:rsidRPr="007F7EBF">
        <w:rPr>
          <w:sz w:val="22"/>
          <w:szCs w:val="22"/>
        </w:rPr>
        <w:t>basate sul lavoro personale</w:t>
      </w:r>
      <w:r w:rsidR="006342C5" w:rsidRPr="007F7EBF">
        <w:rPr>
          <w:sz w:val="22"/>
          <w:szCs w:val="22"/>
        </w:rPr>
        <w:t xml:space="preserve">. </w:t>
      </w:r>
      <w:r w:rsidR="007A6243">
        <w:rPr>
          <w:sz w:val="22"/>
          <w:szCs w:val="22"/>
        </w:rPr>
        <w:t xml:space="preserve">La soluzione riflette </w:t>
      </w:r>
      <w:r w:rsidR="006342C5" w:rsidRPr="007F7EBF">
        <w:rPr>
          <w:sz w:val="22"/>
          <w:szCs w:val="22"/>
        </w:rPr>
        <w:t>l’assurdità di</w:t>
      </w:r>
      <w:r w:rsidR="008E0F16" w:rsidRPr="007F7EBF">
        <w:rPr>
          <w:sz w:val="22"/>
          <w:szCs w:val="22"/>
        </w:rPr>
        <w:t xml:space="preserve"> </w:t>
      </w:r>
      <w:r w:rsidR="006342C5" w:rsidRPr="007F7EBF">
        <w:rPr>
          <w:sz w:val="22"/>
          <w:szCs w:val="22"/>
        </w:rPr>
        <w:t xml:space="preserve">applicare l’IRAP agli operatori </w:t>
      </w:r>
      <w:r w:rsidR="0036443D">
        <w:rPr>
          <w:sz w:val="22"/>
          <w:szCs w:val="22"/>
        </w:rPr>
        <w:t>economici “</w:t>
      </w:r>
      <w:proofErr w:type="spellStart"/>
      <w:r w:rsidR="0036443D">
        <w:rPr>
          <w:sz w:val="22"/>
          <w:szCs w:val="22"/>
        </w:rPr>
        <w:t>monoaddetto</w:t>
      </w:r>
      <w:proofErr w:type="spellEnd"/>
      <w:r w:rsidR="0036443D">
        <w:rPr>
          <w:sz w:val="22"/>
          <w:szCs w:val="22"/>
        </w:rPr>
        <w:t>”</w:t>
      </w:r>
      <w:r w:rsidR="006342C5" w:rsidRPr="007F7EBF">
        <w:rPr>
          <w:sz w:val="22"/>
          <w:szCs w:val="22"/>
        </w:rPr>
        <w:t>, piccoli commercianti e artigiani</w:t>
      </w:r>
      <w:r w:rsidR="007A6243">
        <w:rPr>
          <w:sz w:val="22"/>
          <w:szCs w:val="22"/>
        </w:rPr>
        <w:t>,</w:t>
      </w:r>
      <w:r w:rsidR="003F080B" w:rsidRPr="007F7EBF">
        <w:rPr>
          <w:sz w:val="22"/>
          <w:szCs w:val="22"/>
        </w:rPr>
        <w:t xml:space="preserve"> </w:t>
      </w:r>
      <w:r w:rsidR="00410930">
        <w:rPr>
          <w:sz w:val="22"/>
          <w:szCs w:val="22"/>
        </w:rPr>
        <w:t xml:space="preserve">dove </w:t>
      </w:r>
      <w:r w:rsidR="006342C5" w:rsidRPr="007F7EBF">
        <w:rPr>
          <w:bCs/>
          <w:sz w:val="22"/>
          <w:szCs w:val="22"/>
        </w:rPr>
        <w:t>valore aggiu</w:t>
      </w:r>
      <w:r w:rsidR="003F080B" w:rsidRPr="007F7EBF">
        <w:rPr>
          <w:bCs/>
          <w:sz w:val="22"/>
          <w:szCs w:val="22"/>
        </w:rPr>
        <w:t xml:space="preserve">nto </w:t>
      </w:r>
      <w:r w:rsidR="00410930">
        <w:rPr>
          <w:bCs/>
          <w:sz w:val="22"/>
          <w:szCs w:val="22"/>
        </w:rPr>
        <w:t>e reddito p</w:t>
      </w:r>
      <w:r w:rsidR="00017E57" w:rsidRPr="007F7EBF">
        <w:rPr>
          <w:bCs/>
          <w:sz w:val="22"/>
          <w:szCs w:val="22"/>
        </w:rPr>
        <w:t xml:space="preserve">ersonale </w:t>
      </w:r>
      <w:r w:rsidR="00410930">
        <w:rPr>
          <w:bCs/>
          <w:sz w:val="22"/>
          <w:szCs w:val="22"/>
        </w:rPr>
        <w:t xml:space="preserve">coincidono </w:t>
      </w:r>
      <w:r w:rsidR="00017E57" w:rsidRPr="007F7EBF">
        <w:rPr>
          <w:rStyle w:val="Rimandonotaapidipagina"/>
          <w:bCs/>
          <w:sz w:val="22"/>
          <w:szCs w:val="22"/>
        </w:rPr>
        <w:footnoteReference w:id="1353"/>
      </w:r>
      <w:r w:rsidR="00017E57" w:rsidRPr="007F7EBF">
        <w:rPr>
          <w:bCs/>
          <w:sz w:val="22"/>
          <w:szCs w:val="22"/>
        </w:rPr>
        <w:t>.</w:t>
      </w:r>
      <w:r w:rsidR="0036443D">
        <w:rPr>
          <w:bCs/>
          <w:sz w:val="22"/>
          <w:szCs w:val="22"/>
        </w:rPr>
        <w:t xml:space="preserve"> La deduzione ai fini IRAP dei loro compensi</w:t>
      </w:r>
      <w:r w:rsidR="007A6243">
        <w:rPr>
          <w:bCs/>
          <w:sz w:val="22"/>
          <w:szCs w:val="22"/>
        </w:rPr>
        <w:t>, in capo alle eventuali imprese clienti,</w:t>
      </w:r>
      <w:r w:rsidR="0036443D">
        <w:rPr>
          <w:bCs/>
          <w:sz w:val="22"/>
          <w:szCs w:val="22"/>
        </w:rPr>
        <w:t xml:space="preserve"> crea però un asimmetrico salto di imposta</w:t>
      </w:r>
      <w:r w:rsidR="007A6243">
        <w:rPr>
          <w:bCs/>
          <w:sz w:val="22"/>
          <w:szCs w:val="22"/>
        </w:rPr>
        <w:t>, con</w:t>
      </w:r>
      <w:r w:rsidR="006342C5" w:rsidRPr="007F7EBF">
        <w:rPr>
          <w:sz w:val="22"/>
          <w:szCs w:val="22"/>
        </w:rPr>
        <w:t xml:space="preserve"> un</w:t>
      </w:r>
      <w:r w:rsidR="00017E57" w:rsidRPr="007F7EBF">
        <w:rPr>
          <w:sz w:val="22"/>
          <w:szCs w:val="22"/>
        </w:rPr>
        <w:t>a asimmetria</w:t>
      </w:r>
      <w:r w:rsidR="007A6243">
        <w:rPr>
          <w:sz w:val="22"/>
          <w:szCs w:val="22"/>
        </w:rPr>
        <w:t xml:space="preserve"> che </w:t>
      </w:r>
      <w:r w:rsidR="007A6243" w:rsidRPr="007A6243">
        <w:rPr>
          <w:i/>
          <w:sz w:val="22"/>
          <w:szCs w:val="22"/>
        </w:rPr>
        <w:t>de iure condendo</w:t>
      </w:r>
      <w:r w:rsidR="007A6243">
        <w:rPr>
          <w:sz w:val="22"/>
          <w:szCs w:val="22"/>
        </w:rPr>
        <w:t xml:space="preserve"> andrebbe eliminata (</w:t>
      </w:r>
      <w:r w:rsidR="00EF2298" w:rsidRPr="007F7EBF">
        <w:rPr>
          <w:rStyle w:val="Rimandonotaapidipagina"/>
          <w:sz w:val="22"/>
          <w:szCs w:val="22"/>
        </w:rPr>
        <w:footnoteReference w:id="1354"/>
      </w:r>
      <w:r w:rsidR="007A6243">
        <w:rPr>
          <w:sz w:val="22"/>
          <w:szCs w:val="22"/>
        </w:rPr>
        <w:t>)</w:t>
      </w:r>
      <w:r w:rsidR="00017E57" w:rsidRPr="007F7EBF">
        <w:rPr>
          <w:sz w:val="22"/>
          <w:szCs w:val="22"/>
        </w:rPr>
        <w:t>.</w:t>
      </w:r>
      <w:r w:rsidR="00D32CC7">
        <w:rPr>
          <w:sz w:val="22"/>
          <w:szCs w:val="22"/>
        </w:rPr>
        <w:t xml:space="preserve"> </w:t>
      </w:r>
    </w:p>
    <w:p w14:paraId="6510A181" w14:textId="2191A4D7" w:rsidR="00EF2298" w:rsidRPr="007F7EBF" w:rsidRDefault="00F23263" w:rsidP="0011053A">
      <w:pPr>
        <w:autoSpaceDE w:val="0"/>
        <w:autoSpaceDN w:val="0"/>
        <w:adjustRightInd w:val="0"/>
        <w:rPr>
          <w:bCs/>
          <w:i/>
          <w:iCs/>
          <w:color w:val="0000FF"/>
        </w:rPr>
      </w:pPr>
      <w:r>
        <w:rPr>
          <w:sz w:val="22"/>
          <w:szCs w:val="22"/>
        </w:rPr>
        <w:t xml:space="preserve">La già anticipata eliminazione dal valore aggiunto imponibile dei redditi di lavoro dipendente ha svuotato di senso l’imposta. Le  principali componenti dell’imponibile, in aggiunta al profitto, restano dunque solo gli oneri finanziari, a parte alcuni tecnicismi sull’imponibilità residua dei redditi  “diversi” (par.8.6). </w:t>
      </w:r>
    </w:p>
    <w:p w14:paraId="7E8C138E" w14:textId="77777777" w:rsidR="005916C9" w:rsidRPr="007F7EBF" w:rsidRDefault="005916C9" w:rsidP="006342C5">
      <w:pPr>
        <w:autoSpaceDE w:val="0"/>
        <w:autoSpaceDN w:val="0"/>
        <w:adjustRightInd w:val="0"/>
        <w:rPr>
          <w:b/>
          <w:bCs/>
          <w:sz w:val="22"/>
          <w:szCs w:val="22"/>
        </w:rPr>
      </w:pPr>
    </w:p>
    <w:p w14:paraId="5ED73A2D" w14:textId="77777777" w:rsidR="006342C5" w:rsidRPr="007F7EBF" w:rsidRDefault="00DB7638" w:rsidP="00775319">
      <w:pPr>
        <w:pStyle w:val="Titolo3"/>
        <w:rPr>
          <w:rFonts w:ascii="Times New Roman" w:hAnsi="Times New Roman"/>
          <w:sz w:val="22"/>
          <w:szCs w:val="22"/>
        </w:rPr>
      </w:pPr>
      <w:bookmarkStart w:id="134" w:name="_Toc63365044"/>
      <w:r w:rsidRPr="007F7EBF">
        <w:rPr>
          <w:rFonts w:ascii="Times New Roman" w:hAnsi="Times New Roman"/>
          <w:sz w:val="22"/>
          <w:szCs w:val="22"/>
        </w:rPr>
        <w:lastRenderedPageBreak/>
        <w:t>CAP 10 A</w:t>
      </w:r>
      <w:r w:rsidR="00252107" w:rsidRPr="007F7EBF">
        <w:rPr>
          <w:rFonts w:ascii="Times New Roman" w:hAnsi="Times New Roman"/>
          <w:sz w:val="22"/>
          <w:szCs w:val="22"/>
        </w:rPr>
        <w:t xml:space="preserve">DATTAMENTO DEI </w:t>
      </w:r>
      <w:r w:rsidR="001717EC" w:rsidRPr="007F7EBF">
        <w:rPr>
          <w:rFonts w:ascii="Times New Roman" w:hAnsi="Times New Roman"/>
          <w:sz w:val="22"/>
          <w:szCs w:val="22"/>
        </w:rPr>
        <w:t xml:space="preserve">“TRIBUTI MINORI” </w:t>
      </w:r>
      <w:r w:rsidR="00252107" w:rsidRPr="007F7EBF">
        <w:rPr>
          <w:rFonts w:ascii="Times New Roman" w:hAnsi="Times New Roman"/>
          <w:sz w:val="22"/>
          <w:szCs w:val="22"/>
        </w:rPr>
        <w:t xml:space="preserve">ALLA </w:t>
      </w:r>
      <w:r w:rsidR="001717EC" w:rsidRPr="007F7EBF">
        <w:rPr>
          <w:rFonts w:ascii="Times New Roman" w:hAnsi="Times New Roman"/>
          <w:sz w:val="22"/>
          <w:szCs w:val="22"/>
        </w:rPr>
        <w:t>TASSA</w:t>
      </w:r>
      <w:r w:rsidR="006342C5" w:rsidRPr="007F7EBF">
        <w:rPr>
          <w:rFonts w:ascii="Times New Roman" w:hAnsi="Times New Roman"/>
          <w:sz w:val="22"/>
          <w:szCs w:val="22"/>
        </w:rPr>
        <w:t>ZIONE</w:t>
      </w:r>
      <w:r w:rsidR="00775319" w:rsidRPr="007F7EBF">
        <w:rPr>
          <w:rFonts w:ascii="Times New Roman" w:hAnsi="Times New Roman"/>
          <w:sz w:val="22"/>
          <w:szCs w:val="22"/>
        </w:rPr>
        <w:t xml:space="preserve"> </w:t>
      </w:r>
      <w:r w:rsidR="00252107" w:rsidRPr="007F7EBF">
        <w:rPr>
          <w:rFonts w:ascii="Times New Roman" w:hAnsi="Times New Roman"/>
          <w:sz w:val="22"/>
          <w:szCs w:val="22"/>
        </w:rPr>
        <w:t>ATTRA</w:t>
      </w:r>
      <w:r w:rsidR="006342C5" w:rsidRPr="007F7EBF">
        <w:rPr>
          <w:rFonts w:ascii="Times New Roman" w:hAnsi="Times New Roman"/>
          <w:sz w:val="22"/>
          <w:szCs w:val="22"/>
        </w:rPr>
        <w:t>VERS</w:t>
      </w:r>
      <w:r w:rsidR="00252107" w:rsidRPr="007F7EBF">
        <w:rPr>
          <w:rFonts w:ascii="Times New Roman" w:hAnsi="Times New Roman"/>
          <w:sz w:val="22"/>
          <w:szCs w:val="22"/>
        </w:rPr>
        <w:t xml:space="preserve">O </w:t>
      </w:r>
      <w:r w:rsidR="006342C5" w:rsidRPr="007F7EBF">
        <w:rPr>
          <w:rFonts w:ascii="Times New Roman" w:hAnsi="Times New Roman"/>
          <w:sz w:val="22"/>
          <w:szCs w:val="22"/>
        </w:rPr>
        <w:t>LE AZIENDE</w:t>
      </w:r>
      <w:bookmarkEnd w:id="134"/>
    </w:p>
    <w:p w14:paraId="01DFB97A" w14:textId="77777777" w:rsidR="001717EC" w:rsidRPr="007F7EBF" w:rsidRDefault="001717EC" w:rsidP="001717EC">
      <w:pPr>
        <w:rPr>
          <w:sz w:val="22"/>
          <w:szCs w:val="22"/>
        </w:rPr>
      </w:pPr>
    </w:p>
    <w:p w14:paraId="7EDB2AB9" w14:textId="30575F28" w:rsidR="0023419D" w:rsidRPr="007F7EBF" w:rsidRDefault="003F2C0F" w:rsidP="001717EC">
      <w:pPr>
        <w:rPr>
          <w:sz w:val="22"/>
          <w:szCs w:val="22"/>
        </w:rPr>
      </w:pPr>
      <w:r w:rsidRPr="007F7EBF">
        <w:rPr>
          <w:sz w:val="22"/>
          <w:szCs w:val="22"/>
        </w:rPr>
        <w:t>S</w:t>
      </w:r>
      <w:r w:rsidR="0023419D" w:rsidRPr="007F7EBF">
        <w:rPr>
          <w:sz w:val="22"/>
          <w:szCs w:val="22"/>
        </w:rPr>
        <w:t>intesi.</w:t>
      </w:r>
      <w:r w:rsidRPr="007F7EBF">
        <w:rPr>
          <w:sz w:val="22"/>
          <w:szCs w:val="22"/>
        </w:rPr>
        <w:t xml:space="preserve"> </w:t>
      </w:r>
      <w:r w:rsidR="000D7306" w:rsidRPr="007F7EBF">
        <w:rPr>
          <w:sz w:val="22"/>
          <w:szCs w:val="22"/>
        </w:rPr>
        <w:t>In questo paragrafo ci occupiamo dei numerosissimi ed elementari tributi, di antica origine, su ricchezza non intercettata dalle aziende, ma visibile attraverso sue caratteristiche esteriori, materialmente percepibili, oppure attraverso gli atti giuridici (in genere solenni) che la accompagnano</w:t>
      </w:r>
      <w:r w:rsidR="0023419D" w:rsidRPr="007F7EBF">
        <w:rPr>
          <w:sz w:val="22"/>
          <w:szCs w:val="22"/>
        </w:rPr>
        <w:t xml:space="preserve"> (par.10.2 sull’imposta di registro, legata alla visibilità giuridica, collegata ai contratti solenni, annotati in pubblici registri</w:t>
      </w:r>
      <w:r w:rsidR="007078D7">
        <w:rPr>
          <w:sz w:val="22"/>
          <w:szCs w:val="22"/>
        </w:rPr>
        <w:t>)</w:t>
      </w:r>
      <w:r w:rsidR="000D7306" w:rsidRPr="007F7EBF">
        <w:rPr>
          <w:sz w:val="22"/>
          <w:szCs w:val="22"/>
        </w:rPr>
        <w:t xml:space="preserve">. </w:t>
      </w:r>
      <w:r w:rsidR="0023419D" w:rsidRPr="007F7EBF">
        <w:rPr>
          <w:sz w:val="22"/>
          <w:szCs w:val="22"/>
        </w:rPr>
        <w:t>Alcuni</w:t>
      </w:r>
      <w:r w:rsidR="000D7306" w:rsidRPr="007F7EBF">
        <w:rPr>
          <w:sz w:val="22"/>
          <w:szCs w:val="22"/>
        </w:rPr>
        <w:t xml:space="preserve"> di questi antichi tributi si sono adattati ad una applicazione massiva, seriale, gestita attraverso le organizzazioni </w:t>
      </w:r>
      <w:r w:rsidR="0023419D" w:rsidRPr="007F7EBF">
        <w:rPr>
          <w:sz w:val="22"/>
          <w:szCs w:val="22"/>
        </w:rPr>
        <w:t>amministrative (par.10.3 sul bollo e le concessioni governative)</w:t>
      </w:r>
      <w:r w:rsidR="000D7306" w:rsidRPr="007F7EBF">
        <w:rPr>
          <w:sz w:val="22"/>
          <w:szCs w:val="22"/>
        </w:rPr>
        <w:t xml:space="preserve">. </w:t>
      </w:r>
      <w:r w:rsidR="0023419D" w:rsidRPr="007F7EBF">
        <w:rPr>
          <w:sz w:val="22"/>
          <w:szCs w:val="22"/>
        </w:rPr>
        <w:t>Sugli immobili, o i mobili registrati, queste forme di visibilità della ricchezza ricorrono entrambe , congiuntamente e sotto profili diversi, che dovranno essere coordinati per quanto riguarda la forma di tassazione più difficile da realizzare attraverso le aziende, cioè quella sui patrimoni degli individui , che raramente hanno a che fare, come tali , col circuito amministrativo aziendale di acquisizione dei consumi e di erogazione dei redditi (</w:t>
      </w:r>
      <w:proofErr w:type="spellStart"/>
      <w:r w:rsidR="0023419D" w:rsidRPr="007F7EBF">
        <w:rPr>
          <w:sz w:val="22"/>
          <w:szCs w:val="22"/>
        </w:rPr>
        <w:t>parr</w:t>
      </w:r>
      <w:proofErr w:type="spellEnd"/>
      <w:r w:rsidR="0023419D" w:rsidRPr="007F7EBF">
        <w:rPr>
          <w:sz w:val="22"/>
          <w:szCs w:val="22"/>
        </w:rPr>
        <w:t xml:space="preserve"> 10.4-10.5 sulle imposte patrimoniali e di successione). </w:t>
      </w:r>
    </w:p>
    <w:p w14:paraId="78EDC703" w14:textId="77777777" w:rsidR="007078D7" w:rsidRDefault="000D7306" w:rsidP="001717EC">
      <w:pPr>
        <w:rPr>
          <w:sz w:val="22"/>
          <w:szCs w:val="22"/>
        </w:rPr>
      </w:pPr>
      <w:r w:rsidRPr="007F7EBF">
        <w:rPr>
          <w:sz w:val="22"/>
          <w:szCs w:val="22"/>
        </w:rPr>
        <w:t>Anche l’antica visibilità materiale della ricchezza, tipica delle imposte doganali e delle cosiddette accise, si è parzialmente scollegata dalla sorveglianza fisica delle merci, collegandosi ai relativi documenti di accompagnamento , ormai fisiologici nell’organizzazione aziendale e nel commercio internazionale</w:t>
      </w:r>
      <w:r w:rsidR="0023419D" w:rsidRPr="007F7EBF">
        <w:rPr>
          <w:sz w:val="22"/>
          <w:szCs w:val="22"/>
        </w:rPr>
        <w:t xml:space="preserve"> (par.10.6-10.7)</w:t>
      </w:r>
      <w:r w:rsidRPr="007F7EBF">
        <w:rPr>
          <w:sz w:val="22"/>
          <w:szCs w:val="22"/>
        </w:rPr>
        <w:t xml:space="preserve">. </w:t>
      </w:r>
    </w:p>
    <w:p w14:paraId="42E10EE8" w14:textId="2A54C1DE" w:rsidR="000D7306" w:rsidRPr="007F7EBF" w:rsidRDefault="000D7306" w:rsidP="001717EC">
      <w:pPr>
        <w:rPr>
          <w:sz w:val="22"/>
          <w:szCs w:val="22"/>
        </w:rPr>
      </w:pPr>
      <w:r w:rsidRPr="007F7EBF">
        <w:rPr>
          <w:sz w:val="22"/>
          <w:szCs w:val="22"/>
        </w:rPr>
        <w:t>Questi</w:t>
      </w:r>
      <w:r w:rsidR="007078D7">
        <w:rPr>
          <w:sz w:val="22"/>
          <w:szCs w:val="22"/>
        </w:rPr>
        <w:t xml:space="preserve"> </w:t>
      </w:r>
      <w:r w:rsidRPr="007F7EBF">
        <w:rPr>
          <w:sz w:val="22"/>
          <w:szCs w:val="22"/>
        </w:rPr>
        <w:t xml:space="preserve">problemi di determinazione della ricchezza si moltiplicano poi per le imposte amministrate da enti territoriali , comuni, province e regioni, spiazzati dalla  tassazione attraverso le aziende, come vedremo </w:t>
      </w:r>
      <w:r w:rsidR="0023419D" w:rsidRPr="007F7EBF">
        <w:rPr>
          <w:sz w:val="22"/>
          <w:szCs w:val="22"/>
        </w:rPr>
        <w:t>ai paragrafi 10.8-10.10, dedicati anche</w:t>
      </w:r>
      <w:r w:rsidRPr="007F7EBF">
        <w:rPr>
          <w:sz w:val="22"/>
          <w:szCs w:val="22"/>
        </w:rPr>
        <w:t xml:space="preserve"> al federalismo fiscale.</w:t>
      </w:r>
    </w:p>
    <w:p w14:paraId="4F05A775" w14:textId="77777777" w:rsidR="00941B38" w:rsidRPr="007F7EBF" w:rsidRDefault="006342C5" w:rsidP="00941B38">
      <w:pPr>
        <w:pStyle w:val="Titolo3"/>
        <w:rPr>
          <w:rFonts w:ascii="Times New Roman" w:hAnsi="Times New Roman"/>
          <w:sz w:val="22"/>
          <w:szCs w:val="22"/>
        </w:rPr>
      </w:pPr>
      <w:bookmarkStart w:id="135" w:name="_Toc63365045"/>
      <w:r w:rsidRPr="007F7EBF">
        <w:rPr>
          <w:rFonts w:ascii="Times New Roman" w:hAnsi="Times New Roman"/>
          <w:sz w:val="22"/>
          <w:szCs w:val="22"/>
        </w:rPr>
        <w:t>10.1. Una geografia dei “tributi minori”</w:t>
      </w:r>
      <w:bookmarkEnd w:id="135"/>
    </w:p>
    <w:p w14:paraId="26F610CB" w14:textId="77777777" w:rsidR="00941B38" w:rsidRPr="007F7EBF" w:rsidRDefault="00941B38" w:rsidP="00941B38">
      <w:pPr>
        <w:pStyle w:val="tit23"/>
        <w:ind w:left="6464" w:right="-1361" w:firstLine="0"/>
        <w:jc w:val="left"/>
        <w:rPr>
          <w:bCs/>
          <w:i/>
          <w:iCs/>
          <w:color w:val="0000FF"/>
          <w:lang w:val="it-IT"/>
        </w:rPr>
      </w:pPr>
      <w:r w:rsidRPr="007F7EBF">
        <w:rPr>
          <w:bCs/>
          <w:i/>
          <w:iCs/>
          <w:color w:val="0000FF"/>
          <w:lang w:val="it-IT"/>
        </w:rPr>
        <w:t>Il retaggio dei tributi preindustriali</w:t>
      </w:r>
    </w:p>
    <w:p w14:paraId="48EEF4B1" w14:textId="147A9A2B" w:rsidR="00941B38" w:rsidRPr="007F7EBF" w:rsidRDefault="006342C5" w:rsidP="00941B38">
      <w:pPr>
        <w:autoSpaceDE w:val="0"/>
        <w:autoSpaceDN w:val="0"/>
        <w:adjustRightInd w:val="0"/>
        <w:rPr>
          <w:sz w:val="22"/>
          <w:szCs w:val="22"/>
        </w:rPr>
      </w:pPr>
      <w:r w:rsidRPr="007F7EBF">
        <w:rPr>
          <w:sz w:val="22"/>
          <w:szCs w:val="22"/>
        </w:rPr>
        <w:t xml:space="preserve">In questo paragrafo esamineremo i </w:t>
      </w:r>
      <w:r w:rsidRPr="007F7EBF">
        <w:rPr>
          <w:bCs/>
          <w:sz w:val="22"/>
          <w:szCs w:val="22"/>
        </w:rPr>
        <w:t xml:space="preserve">numerosissimi tributi </w:t>
      </w:r>
      <w:r w:rsidRPr="007F7EBF">
        <w:rPr>
          <w:sz w:val="22"/>
          <w:szCs w:val="22"/>
        </w:rPr>
        <w:t xml:space="preserve">che, </w:t>
      </w:r>
      <w:r w:rsidRPr="007F7EBF">
        <w:rPr>
          <w:bCs/>
          <w:sz w:val="22"/>
          <w:szCs w:val="22"/>
        </w:rPr>
        <w:t>accanto alle poche</w:t>
      </w:r>
      <w:r w:rsidR="00EA50C4" w:rsidRPr="007F7EBF">
        <w:rPr>
          <w:bCs/>
          <w:sz w:val="22"/>
          <w:szCs w:val="22"/>
        </w:rPr>
        <w:t xml:space="preserve"> </w:t>
      </w:r>
      <w:r w:rsidRPr="007F7EBF">
        <w:rPr>
          <w:bCs/>
          <w:sz w:val="22"/>
          <w:szCs w:val="22"/>
        </w:rPr>
        <w:t>grandi imposte gestite attraverso le aziend</w:t>
      </w:r>
      <w:r w:rsidRPr="007F7EBF">
        <w:rPr>
          <w:sz w:val="22"/>
          <w:szCs w:val="22"/>
        </w:rPr>
        <w:t xml:space="preserve">e, restano </w:t>
      </w:r>
      <w:r w:rsidR="002B7833" w:rsidRPr="007F7EBF">
        <w:rPr>
          <w:sz w:val="22"/>
          <w:szCs w:val="22"/>
        </w:rPr>
        <w:t>collegati</w:t>
      </w:r>
      <w:r w:rsidRPr="007F7EBF">
        <w:rPr>
          <w:sz w:val="22"/>
          <w:szCs w:val="22"/>
        </w:rPr>
        <w:t xml:space="preserve"> all</w:t>
      </w:r>
      <w:r w:rsidR="00AC433A">
        <w:rPr>
          <w:sz w:val="22"/>
          <w:szCs w:val="22"/>
        </w:rPr>
        <w:t>a</w:t>
      </w:r>
      <w:r w:rsidRPr="007F7EBF">
        <w:rPr>
          <w:sz w:val="22"/>
          <w:szCs w:val="22"/>
        </w:rPr>
        <w:t xml:space="preserve"> precedent</w:t>
      </w:r>
      <w:r w:rsidR="00AC433A">
        <w:rPr>
          <w:sz w:val="22"/>
          <w:szCs w:val="22"/>
        </w:rPr>
        <w:t>e</w:t>
      </w:r>
      <w:r w:rsidR="00570ABA" w:rsidRPr="007F7EBF">
        <w:rPr>
          <w:sz w:val="22"/>
          <w:szCs w:val="22"/>
        </w:rPr>
        <w:t xml:space="preserve"> </w:t>
      </w:r>
      <w:r w:rsidR="00AC433A">
        <w:rPr>
          <w:sz w:val="22"/>
          <w:szCs w:val="22"/>
        </w:rPr>
        <w:t>visibilità</w:t>
      </w:r>
      <w:r w:rsidR="006F19C1">
        <w:rPr>
          <w:sz w:val="22"/>
          <w:szCs w:val="22"/>
        </w:rPr>
        <w:t xml:space="preserve">, </w:t>
      </w:r>
      <w:r w:rsidR="00AC433A">
        <w:rPr>
          <w:sz w:val="22"/>
          <w:szCs w:val="22"/>
        </w:rPr>
        <w:t xml:space="preserve">fisica </w:t>
      </w:r>
      <w:r w:rsidR="00570ABA" w:rsidRPr="007F7EBF">
        <w:rPr>
          <w:sz w:val="22"/>
          <w:szCs w:val="22"/>
        </w:rPr>
        <w:t>o giuridic</w:t>
      </w:r>
      <w:r w:rsidR="00AC433A">
        <w:rPr>
          <w:sz w:val="22"/>
          <w:szCs w:val="22"/>
        </w:rPr>
        <w:t xml:space="preserve">a </w:t>
      </w:r>
      <w:r w:rsidR="006F19C1">
        <w:rPr>
          <w:sz w:val="22"/>
          <w:szCs w:val="22"/>
        </w:rPr>
        <w:t xml:space="preserve">(par.1.11) </w:t>
      </w:r>
      <w:r w:rsidR="00AC433A">
        <w:rPr>
          <w:sz w:val="22"/>
          <w:szCs w:val="22"/>
        </w:rPr>
        <w:t xml:space="preserve">di segmenti </w:t>
      </w:r>
      <w:r w:rsidR="006F19C1">
        <w:rPr>
          <w:sz w:val="22"/>
          <w:szCs w:val="22"/>
        </w:rPr>
        <w:t xml:space="preserve">isolati </w:t>
      </w:r>
      <w:r w:rsidR="00AC433A">
        <w:rPr>
          <w:sz w:val="22"/>
          <w:szCs w:val="22"/>
        </w:rPr>
        <w:t xml:space="preserve">di </w:t>
      </w:r>
      <w:r w:rsidR="00570ABA" w:rsidRPr="007F7EBF">
        <w:rPr>
          <w:sz w:val="22"/>
          <w:szCs w:val="22"/>
        </w:rPr>
        <w:t>ricchezza</w:t>
      </w:r>
      <w:r w:rsidR="006241A6">
        <w:rPr>
          <w:sz w:val="22"/>
          <w:szCs w:val="22"/>
        </w:rPr>
        <w:t xml:space="preserve">. Si tratta </w:t>
      </w:r>
      <w:r w:rsidR="006F19C1">
        <w:rPr>
          <w:sz w:val="22"/>
          <w:szCs w:val="22"/>
        </w:rPr>
        <w:t xml:space="preserve">talvolta di tributi spiegabili </w:t>
      </w:r>
      <w:r w:rsidR="006241A6">
        <w:t xml:space="preserve">anche col principio del beneficio (par.1.2), in termini di </w:t>
      </w:r>
      <w:r w:rsidR="006241A6" w:rsidRPr="007F7EBF">
        <w:t xml:space="preserve">tassa </w:t>
      </w:r>
      <w:r w:rsidR="006241A6">
        <w:t>in senso stretto</w:t>
      </w:r>
      <w:r w:rsidR="006F19C1">
        <w:t>,</w:t>
      </w:r>
      <w:r w:rsidR="006241A6">
        <w:t xml:space="preserve"> o </w:t>
      </w:r>
      <w:r w:rsidR="006F19C1">
        <w:t xml:space="preserve">di </w:t>
      </w:r>
      <w:r w:rsidR="006241A6" w:rsidRPr="007F7EBF">
        <w:t>“tariff</w:t>
      </w:r>
      <w:r w:rsidR="006F19C1">
        <w:t>e</w:t>
      </w:r>
      <w:r w:rsidR="006241A6" w:rsidRPr="007F7EBF">
        <w:t>”</w:t>
      </w:r>
      <w:r w:rsidR="006F19C1">
        <w:t xml:space="preserve">, senza natura tributaria </w:t>
      </w:r>
      <w:r w:rsidR="006241A6">
        <w:t>(par.5.1)</w:t>
      </w:r>
      <w:r w:rsidR="006241A6" w:rsidRPr="007F7EBF">
        <w:t xml:space="preserve">. </w:t>
      </w:r>
      <w:r w:rsidR="006F19C1">
        <w:t xml:space="preserve">Spesso si tratta di </w:t>
      </w:r>
      <w:r w:rsidR="006241A6">
        <w:t xml:space="preserve">antichi tributi </w:t>
      </w:r>
      <w:r w:rsidR="006F19C1">
        <w:t>ri</w:t>
      </w:r>
      <w:r w:rsidR="006241A6">
        <w:t>adatta</w:t>
      </w:r>
      <w:r w:rsidR="006F19C1">
        <w:t xml:space="preserve">ti </w:t>
      </w:r>
      <w:r w:rsidR="006241A6">
        <w:t xml:space="preserve">a </w:t>
      </w:r>
      <w:r w:rsidRPr="007F7EBF">
        <w:rPr>
          <w:sz w:val="22"/>
          <w:szCs w:val="22"/>
        </w:rPr>
        <w:t>una società moderna</w:t>
      </w:r>
      <w:r w:rsidR="006241A6">
        <w:rPr>
          <w:sz w:val="22"/>
          <w:szCs w:val="22"/>
        </w:rPr>
        <w:t xml:space="preserve">, </w:t>
      </w:r>
      <w:r w:rsidR="00570ABA" w:rsidRPr="007F7EBF">
        <w:rPr>
          <w:sz w:val="22"/>
          <w:szCs w:val="22"/>
        </w:rPr>
        <w:t xml:space="preserve">spesso </w:t>
      </w:r>
      <w:r w:rsidRPr="007F7EBF">
        <w:rPr>
          <w:sz w:val="22"/>
          <w:szCs w:val="22"/>
        </w:rPr>
        <w:t>“esternalizza</w:t>
      </w:r>
      <w:r w:rsidR="006F19C1">
        <w:rPr>
          <w:sz w:val="22"/>
          <w:szCs w:val="22"/>
        </w:rPr>
        <w:t>ti</w:t>
      </w:r>
      <w:r w:rsidRPr="007F7EBF">
        <w:rPr>
          <w:sz w:val="22"/>
          <w:szCs w:val="22"/>
        </w:rPr>
        <w:t>”</w:t>
      </w:r>
      <w:r w:rsidR="00570ABA" w:rsidRPr="007F7EBF">
        <w:rPr>
          <w:sz w:val="22"/>
          <w:szCs w:val="22"/>
        </w:rPr>
        <w:t xml:space="preserve"> </w:t>
      </w:r>
      <w:r w:rsidRPr="007F7EBF">
        <w:rPr>
          <w:sz w:val="22"/>
          <w:szCs w:val="22"/>
        </w:rPr>
        <w:t xml:space="preserve">su particolari categorie di </w:t>
      </w:r>
      <w:r w:rsidR="00570ABA" w:rsidRPr="007F7EBF">
        <w:rPr>
          <w:sz w:val="22"/>
          <w:szCs w:val="22"/>
        </w:rPr>
        <w:t>organizzazioni</w:t>
      </w:r>
      <w:r w:rsidR="006241A6">
        <w:rPr>
          <w:sz w:val="22"/>
          <w:szCs w:val="22"/>
        </w:rPr>
        <w:t xml:space="preserve">, in un processo </w:t>
      </w:r>
      <w:r w:rsidR="006F19C1">
        <w:rPr>
          <w:sz w:val="22"/>
          <w:szCs w:val="22"/>
        </w:rPr>
        <w:t xml:space="preserve">simile a quello </w:t>
      </w:r>
      <w:r w:rsidR="006F19C1">
        <w:rPr>
          <w:sz w:val="22"/>
          <w:szCs w:val="22"/>
        </w:rPr>
        <w:lastRenderedPageBreak/>
        <w:t xml:space="preserve">che, per le grandi astrazioni economiche (redditi e consumi) ha portato alla determinazione delle imposte </w:t>
      </w:r>
      <w:r w:rsidR="006241A6">
        <w:rPr>
          <w:sz w:val="22"/>
          <w:szCs w:val="22"/>
        </w:rPr>
        <w:t>attraverso le aziende</w:t>
      </w:r>
      <w:r w:rsidRPr="007F7EBF">
        <w:rPr>
          <w:sz w:val="22"/>
          <w:szCs w:val="22"/>
        </w:rPr>
        <w:t xml:space="preserve"> (</w:t>
      </w:r>
      <w:r w:rsidR="00941B38" w:rsidRPr="007F7EBF">
        <w:rPr>
          <w:rStyle w:val="Rimandonotaapidipagina"/>
          <w:sz w:val="22"/>
          <w:szCs w:val="22"/>
        </w:rPr>
        <w:footnoteReference w:id="1355"/>
      </w:r>
      <w:r w:rsidRPr="007F7EBF">
        <w:rPr>
          <w:sz w:val="22"/>
          <w:szCs w:val="22"/>
        </w:rPr>
        <w:t>).</w:t>
      </w:r>
    </w:p>
    <w:p w14:paraId="122E05F1" w14:textId="77777777" w:rsidR="00941B38" w:rsidRPr="007F7EBF" w:rsidRDefault="00682ABB" w:rsidP="00941B38">
      <w:pPr>
        <w:pStyle w:val="tit23"/>
        <w:ind w:left="6464" w:right="-1361" w:firstLine="0"/>
        <w:jc w:val="left"/>
        <w:rPr>
          <w:bCs/>
          <w:i/>
          <w:iCs/>
          <w:color w:val="0000FF"/>
          <w:lang w:val="it-IT"/>
        </w:rPr>
      </w:pPr>
      <w:r w:rsidRPr="007F7EBF">
        <w:rPr>
          <w:bCs/>
          <w:i/>
          <w:iCs/>
          <w:color w:val="0000FF"/>
          <w:lang w:val="it-IT"/>
        </w:rPr>
        <w:t>Facilità di comprensione d’insieme</w:t>
      </w:r>
    </w:p>
    <w:p w14:paraId="0AA6A7A6" w14:textId="6985A48C" w:rsidR="00682ABB" w:rsidRPr="007F7EBF" w:rsidRDefault="00A816C0" w:rsidP="00682ABB">
      <w:pPr>
        <w:autoSpaceDE w:val="0"/>
        <w:autoSpaceDN w:val="0"/>
        <w:adjustRightInd w:val="0"/>
        <w:rPr>
          <w:sz w:val="22"/>
          <w:szCs w:val="22"/>
        </w:rPr>
      </w:pPr>
      <w:r w:rsidRPr="007F7EBF">
        <w:rPr>
          <w:sz w:val="22"/>
          <w:szCs w:val="22"/>
        </w:rPr>
        <w:t xml:space="preserve">I </w:t>
      </w:r>
      <w:r w:rsidR="00682ABB" w:rsidRPr="007F7EBF">
        <w:rPr>
          <w:sz w:val="22"/>
          <w:szCs w:val="22"/>
        </w:rPr>
        <w:t xml:space="preserve">meccanismi dei </w:t>
      </w:r>
      <w:r w:rsidR="006342C5" w:rsidRPr="007F7EBF">
        <w:rPr>
          <w:sz w:val="22"/>
          <w:szCs w:val="22"/>
        </w:rPr>
        <w:t>tributi tradizionali</w:t>
      </w:r>
      <w:r w:rsidR="00682ABB" w:rsidRPr="007F7EBF">
        <w:rPr>
          <w:sz w:val="22"/>
          <w:szCs w:val="22"/>
        </w:rPr>
        <w:t xml:space="preserve">, puntuali e circoscritti, sono una delle ragioni per cui li si definiscono, </w:t>
      </w:r>
      <w:r w:rsidRPr="007F7EBF">
        <w:rPr>
          <w:sz w:val="22"/>
          <w:szCs w:val="22"/>
        </w:rPr>
        <w:t xml:space="preserve">nella </w:t>
      </w:r>
      <w:r w:rsidR="006F19C1">
        <w:rPr>
          <w:sz w:val="22"/>
          <w:szCs w:val="22"/>
        </w:rPr>
        <w:t>manualistica</w:t>
      </w:r>
      <w:r w:rsidR="00682ABB" w:rsidRPr="007F7EBF">
        <w:rPr>
          <w:sz w:val="22"/>
          <w:szCs w:val="22"/>
        </w:rPr>
        <w:t xml:space="preserve"> accademica, “tributi minori”. </w:t>
      </w:r>
      <w:r w:rsidR="006241A6" w:rsidRPr="007F7EBF">
        <w:rPr>
          <w:sz w:val="22"/>
          <w:szCs w:val="22"/>
        </w:rPr>
        <w:t>La lo</w:t>
      </w:r>
      <w:r w:rsidR="006241A6">
        <w:rPr>
          <w:sz w:val="22"/>
          <w:szCs w:val="22"/>
        </w:rPr>
        <w:t>ro lo</w:t>
      </w:r>
      <w:r w:rsidR="006241A6" w:rsidRPr="007F7EBF">
        <w:rPr>
          <w:sz w:val="22"/>
          <w:szCs w:val="22"/>
        </w:rPr>
        <w:t xml:space="preserve">gica giuridico-economica è </w:t>
      </w:r>
      <w:r w:rsidR="006241A6">
        <w:rPr>
          <w:sz w:val="22"/>
          <w:szCs w:val="22"/>
        </w:rPr>
        <w:t xml:space="preserve">da una parte </w:t>
      </w:r>
      <w:r w:rsidR="006241A6" w:rsidRPr="007F7EBF">
        <w:rPr>
          <w:sz w:val="22"/>
          <w:szCs w:val="22"/>
        </w:rPr>
        <w:t xml:space="preserve">abbastanza </w:t>
      </w:r>
      <w:r w:rsidR="006241A6">
        <w:rPr>
          <w:sz w:val="22"/>
          <w:szCs w:val="22"/>
        </w:rPr>
        <w:t xml:space="preserve">accessibile </w:t>
      </w:r>
      <w:r w:rsidR="006241A6" w:rsidRPr="007F7EBF">
        <w:rPr>
          <w:sz w:val="22"/>
          <w:szCs w:val="22"/>
        </w:rPr>
        <w:t>al bagaglio culturale della pubblica opinione (par.</w:t>
      </w:r>
      <w:r w:rsidR="00FE3595" w:rsidRPr="00FE3595">
        <w:t xml:space="preserve"> </w:t>
      </w:r>
      <w:r w:rsidR="00FE3595">
        <w:t>4.1</w:t>
      </w:r>
      <w:r w:rsidR="006241A6" w:rsidRPr="007F7EBF">
        <w:rPr>
          <w:sz w:val="22"/>
          <w:szCs w:val="22"/>
        </w:rPr>
        <w:t>)</w:t>
      </w:r>
      <w:r w:rsidR="006241A6">
        <w:rPr>
          <w:sz w:val="22"/>
          <w:szCs w:val="22"/>
        </w:rPr>
        <w:t xml:space="preserve">, ma al di là di questa vernice superficiale, pone interrogativi teorici molto maggiori di quelli esaminati per le imposte trattate finora. </w:t>
      </w:r>
    </w:p>
    <w:p w14:paraId="367A4E84" w14:textId="659071EA" w:rsidR="00682ABB" w:rsidRPr="007F7EBF" w:rsidRDefault="00E21842" w:rsidP="00682ABB">
      <w:pPr>
        <w:pStyle w:val="tit23"/>
        <w:ind w:left="6464" w:right="-1361" w:firstLine="0"/>
        <w:jc w:val="left"/>
        <w:rPr>
          <w:bCs/>
          <w:i/>
          <w:iCs/>
          <w:color w:val="0000FF"/>
          <w:lang w:val="it-IT"/>
        </w:rPr>
      </w:pPr>
      <w:r>
        <w:rPr>
          <w:bCs/>
          <w:i/>
          <w:iCs/>
          <w:color w:val="0000FF"/>
          <w:lang w:val="it-IT"/>
        </w:rPr>
        <w:t>Ridotto bisogno di spiegazione scientifico sociale</w:t>
      </w:r>
    </w:p>
    <w:p w14:paraId="0D22F52C" w14:textId="149DBDE2" w:rsidR="00682ABB" w:rsidRPr="007F7EBF" w:rsidRDefault="00682ABB" w:rsidP="00682ABB">
      <w:pPr>
        <w:autoSpaceDE w:val="0"/>
        <w:autoSpaceDN w:val="0"/>
        <w:adjustRightInd w:val="0"/>
        <w:rPr>
          <w:sz w:val="22"/>
          <w:szCs w:val="22"/>
        </w:rPr>
      </w:pPr>
      <w:r w:rsidRPr="007F7EBF">
        <w:rPr>
          <w:sz w:val="22"/>
          <w:szCs w:val="22"/>
        </w:rPr>
        <w:t>E' un po’ come se -per quest</w:t>
      </w:r>
      <w:r w:rsidR="00A816C0" w:rsidRPr="007F7EBF">
        <w:rPr>
          <w:sz w:val="22"/>
          <w:szCs w:val="22"/>
        </w:rPr>
        <w:t>i</w:t>
      </w:r>
      <w:r w:rsidRPr="007F7EBF">
        <w:rPr>
          <w:sz w:val="22"/>
          <w:szCs w:val="22"/>
        </w:rPr>
        <w:t xml:space="preserve"> tributi</w:t>
      </w:r>
      <w:r w:rsidR="00A816C0" w:rsidRPr="007F7EBF">
        <w:rPr>
          <w:sz w:val="22"/>
          <w:szCs w:val="22"/>
        </w:rPr>
        <w:t xml:space="preserve">- si </w:t>
      </w:r>
      <w:r w:rsidRPr="007F7EBF">
        <w:rPr>
          <w:sz w:val="22"/>
          <w:szCs w:val="22"/>
        </w:rPr>
        <w:t xml:space="preserve">ripetesse il tradizionale meccanismo </w:t>
      </w:r>
      <w:proofErr w:type="spellStart"/>
      <w:r w:rsidR="006F19C1">
        <w:rPr>
          <w:sz w:val="22"/>
          <w:szCs w:val="22"/>
        </w:rPr>
        <w:t>provatistico</w:t>
      </w:r>
      <w:proofErr w:type="spellEnd"/>
      <w:r w:rsidR="006F19C1">
        <w:rPr>
          <w:sz w:val="22"/>
          <w:szCs w:val="22"/>
        </w:rPr>
        <w:t>-giurisdizionale</w:t>
      </w:r>
      <w:r w:rsidRPr="007F7EBF">
        <w:rPr>
          <w:sz w:val="22"/>
          <w:szCs w:val="22"/>
        </w:rPr>
        <w:t xml:space="preserve">, che passa subito </w:t>
      </w:r>
      <w:r w:rsidR="006241A6">
        <w:rPr>
          <w:sz w:val="22"/>
          <w:szCs w:val="22"/>
        </w:rPr>
        <w:t>da una cornice</w:t>
      </w:r>
      <w:r w:rsidR="006F19C1">
        <w:rPr>
          <w:sz w:val="22"/>
          <w:szCs w:val="22"/>
        </w:rPr>
        <w:t xml:space="preserve"> sociale</w:t>
      </w:r>
      <w:r w:rsidR="006241A6">
        <w:rPr>
          <w:sz w:val="22"/>
          <w:szCs w:val="22"/>
        </w:rPr>
        <w:t xml:space="preserve"> facilmente intuibile </w:t>
      </w:r>
      <w:r w:rsidRPr="007F7EBF">
        <w:rPr>
          <w:sz w:val="22"/>
          <w:szCs w:val="22"/>
        </w:rPr>
        <w:t>a tecnicismi specialistici</w:t>
      </w:r>
      <w:r w:rsidR="006241A6">
        <w:rPr>
          <w:sz w:val="22"/>
          <w:szCs w:val="22"/>
        </w:rPr>
        <w:t>; questi ultimi diventano tali proprio per interrogativi di fondo, sulla natura dei tributi in esame, fondamentalmente non risolti, anche perché di scarso interesse per il pubblico dibattito, vista l’importanza, appunto, “minore” di queste entrate, a parte occasionali polemiche politiche (</w:t>
      </w:r>
      <w:r w:rsidRPr="007F7EBF">
        <w:rPr>
          <w:rStyle w:val="Rimandonotaapidipagina"/>
          <w:sz w:val="22"/>
          <w:szCs w:val="22"/>
        </w:rPr>
        <w:footnoteReference w:id="1356"/>
      </w:r>
      <w:r w:rsidR="006241A6">
        <w:rPr>
          <w:sz w:val="22"/>
          <w:szCs w:val="22"/>
        </w:rPr>
        <w:t>)</w:t>
      </w:r>
      <w:r w:rsidRPr="007F7EBF">
        <w:rPr>
          <w:sz w:val="22"/>
          <w:szCs w:val="22"/>
        </w:rPr>
        <w:t xml:space="preserve">. </w:t>
      </w:r>
      <w:r w:rsidR="00E21842">
        <w:rPr>
          <w:sz w:val="22"/>
          <w:szCs w:val="22"/>
        </w:rPr>
        <w:t>La</w:t>
      </w:r>
      <w:r w:rsidR="00E21842" w:rsidRPr="007F7EBF">
        <w:rPr>
          <w:sz w:val="22"/>
          <w:szCs w:val="22"/>
        </w:rPr>
        <w:t xml:space="preserve"> discussione </w:t>
      </w:r>
      <w:r w:rsidR="00E21842">
        <w:rPr>
          <w:sz w:val="22"/>
          <w:szCs w:val="22"/>
        </w:rPr>
        <w:t>generale sulla funzione tributaria, l’adempimento o l’evasione, magari si innesca su questi tributi, ma poi torna sulle imposte esaminate ai capitoli precedenti</w:t>
      </w:r>
      <w:r w:rsidR="00E21842" w:rsidRPr="007F7EBF">
        <w:rPr>
          <w:sz w:val="22"/>
          <w:szCs w:val="22"/>
        </w:rPr>
        <w:t xml:space="preserve">. Anche per questo </w:t>
      </w:r>
      <w:r w:rsidR="00E21842">
        <w:rPr>
          <w:sz w:val="22"/>
          <w:szCs w:val="22"/>
        </w:rPr>
        <w:t xml:space="preserve">sopravvivono per forza d’inerzia tributi </w:t>
      </w:r>
      <w:r w:rsidR="00E21842" w:rsidRPr="007F7EBF">
        <w:rPr>
          <w:sz w:val="22"/>
          <w:szCs w:val="22"/>
        </w:rPr>
        <w:t xml:space="preserve"> anacronistici</w:t>
      </w:r>
      <w:r w:rsidR="00E21842">
        <w:rPr>
          <w:sz w:val="22"/>
          <w:szCs w:val="22"/>
        </w:rPr>
        <w:t xml:space="preserve">, cui la politica non presta attenzione </w:t>
      </w:r>
      <w:proofErr w:type="spellStart"/>
      <w:r w:rsidR="00E21842">
        <w:rPr>
          <w:sz w:val="22"/>
          <w:szCs w:val="22"/>
        </w:rPr>
        <w:t>finchè</w:t>
      </w:r>
      <w:proofErr w:type="spellEnd"/>
      <w:r w:rsidR="00E21842">
        <w:rPr>
          <w:sz w:val="22"/>
          <w:szCs w:val="22"/>
        </w:rPr>
        <w:t xml:space="preserve"> non trova occasioni, magari fortuite, per usarli in termini di </w:t>
      </w:r>
      <w:r w:rsidR="006F19C1">
        <w:rPr>
          <w:sz w:val="22"/>
          <w:szCs w:val="22"/>
        </w:rPr>
        <w:t xml:space="preserve">gettito o di </w:t>
      </w:r>
      <w:r w:rsidR="00E21842">
        <w:rPr>
          <w:sz w:val="22"/>
          <w:szCs w:val="22"/>
        </w:rPr>
        <w:t>consenso, suo</w:t>
      </w:r>
      <w:r w:rsidR="006F19C1">
        <w:rPr>
          <w:sz w:val="22"/>
          <w:szCs w:val="22"/>
        </w:rPr>
        <w:t>i</w:t>
      </w:r>
      <w:r w:rsidR="00E21842">
        <w:rPr>
          <w:sz w:val="22"/>
          <w:szCs w:val="22"/>
        </w:rPr>
        <w:t xml:space="preserve"> obiettiv</w:t>
      </w:r>
      <w:r w:rsidR="006F19C1">
        <w:rPr>
          <w:sz w:val="22"/>
          <w:szCs w:val="22"/>
        </w:rPr>
        <w:t>i</w:t>
      </w:r>
      <w:r w:rsidR="00E21842">
        <w:rPr>
          <w:sz w:val="22"/>
          <w:szCs w:val="22"/>
        </w:rPr>
        <w:t xml:space="preserve"> secondo quanto precisato al par.2.4. </w:t>
      </w:r>
      <w:r w:rsidR="006F19C1">
        <w:rPr>
          <w:sz w:val="22"/>
          <w:szCs w:val="22"/>
        </w:rPr>
        <w:t xml:space="preserve">Solo </w:t>
      </w:r>
      <w:r w:rsidR="00E21842">
        <w:rPr>
          <w:sz w:val="22"/>
          <w:szCs w:val="22"/>
        </w:rPr>
        <w:t>col miglioramento dell</w:t>
      </w:r>
      <w:r w:rsidR="006F19C1">
        <w:rPr>
          <w:sz w:val="22"/>
          <w:szCs w:val="22"/>
        </w:rPr>
        <w:t xml:space="preserve">e spiegazioni scientifico sociali della funzione tributaria </w:t>
      </w:r>
      <w:r w:rsidR="00E21842">
        <w:rPr>
          <w:sz w:val="22"/>
          <w:szCs w:val="22"/>
        </w:rPr>
        <w:t xml:space="preserve">(par.4.7), </w:t>
      </w:r>
      <w:r w:rsidR="006F19C1">
        <w:rPr>
          <w:sz w:val="22"/>
          <w:szCs w:val="22"/>
        </w:rPr>
        <w:t>potranno essere</w:t>
      </w:r>
      <w:r w:rsidR="00E21842">
        <w:rPr>
          <w:sz w:val="22"/>
          <w:szCs w:val="22"/>
        </w:rPr>
        <w:t xml:space="preserve"> messi a fuoco anche alcuni di questi profili.</w:t>
      </w:r>
      <w:r w:rsidR="00E21842" w:rsidRPr="007F7EBF">
        <w:rPr>
          <w:sz w:val="22"/>
          <w:szCs w:val="22"/>
        </w:rPr>
        <w:t xml:space="preserve"> </w:t>
      </w:r>
    </w:p>
    <w:p w14:paraId="11245CF3" w14:textId="77777777" w:rsidR="00682ABB" w:rsidRPr="007F7EBF" w:rsidRDefault="00682ABB" w:rsidP="00682ABB">
      <w:pPr>
        <w:pStyle w:val="tit23"/>
        <w:ind w:left="6464" w:right="-1361" w:firstLine="0"/>
        <w:jc w:val="left"/>
        <w:rPr>
          <w:bCs/>
          <w:i/>
          <w:iCs/>
          <w:color w:val="0000FF"/>
          <w:lang w:val="it-IT"/>
        </w:rPr>
      </w:pPr>
      <w:r w:rsidRPr="007F7EBF">
        <w:rPr>
          <w:bCs/>
          <w:i/>
          <w:iCs/>
          <w:color w:val="0000FF"/>
          <w:lang w:val="it-IT"/>
        </w:rPr>
        <w:t xml:space="preserve">Campo di applicazione limitato, </w:t>
      </w:r>
      <w:r w:rsidRPr="007F7EBF">
        <w:rPr>
          <w:bCs/>
          <w:i/>
          <w:iCs/>
          <w:color w:val="0000FF"/>
          <w:lang w:val="it-IT"/>
        </w:rPr>
        <w:lastRenderedPageBreak/>
        <w:t>anche professionale</w:t>
      </w:r>
    </w:p>
    <w:p w14:paraId="3B0E8017" w14:textId="4261F2A3" w:rsidR="00682ABB" w:rsidRPr="007F7EBF" w:rsidRDefault="00A816C0" w:rsidP="00682ABB">
      <w:pPr>
        <w:autoSpaceDE w:val="0"/>
        <w:autoSpaceDN w:val="0"/>
        <w:adjustRightInd w:val="0"/>
        <w:rPr>
          <w:sz w:val="22"/>
          <w:szCs w:val="22"/>
        </w:rPr>
      </w:pPr>
      <w:r w:rsidRPr="007F7EBF">
        <w:rPr>
          <w:bCs/>
          <w:sz w:val="22"/>
          <w:szCs w:val="22"/>
        </w:rPr>
        <w:t xml:space="preserve">Inoltre </w:t>
      </w:r>
      <w:r w:rsidR="006342C5" w:rsidRPr="007F7EBF">
        <w:rPr>
          <w:sz w:val="22"/>
          <w:szCs w:val="22"/>
        </w:rPr>
        <w:t>tali tributi</w:t>
      </w:r>
      <w:r w:rsidR="002B7833" w:rsidRPr="007F7EBF">
        <w:rPr>
          <w:sz w:val="22"/>
          <w:szCs w:val="22"/>
        </w:rPr>
        <w:t xml:space="preserve"> </w:t>
      </w:r>
      <w:r w:rsidR="006342C5" w:rsidRPr="007F7EBF">
        <w:rPr>
          <w:sz w:val="22"/>
          <w:szCs w:val="22"/>
        </w:rPr>
        <w:t>non riguardano, in modo necessario e sistematico, la generalità</w:t>
      </w:r>
      <w:r w:rsidR="002B7833" w:rsidRPr="007F7EBF">
        <w:rPr>
          <w:sz w:val="22"/>
          <w:szCs w:val="22"/>
        </w:rPr>
        <w:t xml:space="preserve"> </w:t>
      </w:r>
      <w:r w:rsidR="006342C5" w:rsidRPr="007F7EBF">
        <w:rPr>
          <w:sz w:val="22"/>
          <w:szCs w:val="22"/>
        </w:rPr>
        <w:t>degli operator</w:t>
      </w:r>
      <w:r w:rsidRPr="007F7EBF">
        <w:rPr>
          <w:sz w:val="22"/>
          <w:szCs w:val="22"/>
        </w:rPr>
        <w:t>i economici (</w:t>
      </w:r>
      <w:r w:rsidR="006342C5" w:rsidRPr="007F7EBF">
        <w:rPr>
          <w:sz w:val="22"/>
          <w:szCs w:val="22"/>
        </w:rPr>
        <w:t>come avviene per il sistema dell’IVA e delle imposte</w:t>
      </w:r>
      <w:r w:rsidR="002B7833" w:rsidRPr="007F7EBF">
        <w:rPr>
          <w:sz w:val="22"/>
          <w:szCs w:val="22"/>
        </w:rPr>
        <w:t xml:space="preserve"> </w:t>
      </w:r>
      <w:r w:rsidRPr="007F7EBF">
        <w:rPr>
          <w:sz w:val="22"/>
          <w:szCs w:val="22"/>
        </w:rPr>
        <w:t xml:space="preserve">sui redditi), oppure riguardano tutti occasionalmente (imposta di registro o di successione) oppure per importi trascurabili (IMU, tasse auto, canone Rai). Un altro profilo per cui un tributo viene considerato "minore" è la sua </w:t>
      </w:r>
      <w:r w:rsidRPr="007F7EBF">
        <w:rPr>
          <w:bCs/>
          <w:sz w:val="22"/>
          <w:szCs w:val="22"/>
        </w:rPr>
        <w:t>modesta rilevanza professionale</w:t>
      </w:r>
      <w:r w:rsidR="00624A6C" w:rsidRPr="007F7EBF">
        <w:rPr>
          <w:sz w:val="22"/>
          <w:szCs w:val="22"/>
        </w:rPr>
        <w:t>, nella cornice del</w:t>
      </w:r>
      <w:r w:rsidR="00E21842">
        <w:rPr>
          <w:sz w:val="22"/>
          <w:szCs w:val="22"/>
        </w:rPr>
        <w:t xml:space="preserve"> fuorviante praticismo esteriore di cui</w:t>
      </w:r>
      <w:r w:rsidRPr="007F7EBF">
        <w:rPr>
          <w:sz w:val="22"/>
          <w:szCs w:val="22"/>
        </w:rPr>
        <w:t xml:space="preserve"> al par. 4.4</w:t>
      </w:r>
      <w:r w:rsidR="00624A6C" w:rsidRPr="007F7EBF">
        <w:rPr>
          <w:sz w:val="22"/>
          <w:szCs w:val="22"/>
        </w:rPr>
        <w:t xml:space="preserve">; </w:t>
      </w:r>
      <w:r w:rsidR="00E46215">
        <w:rPr>
          <w:sz w:val="22"/>
          <w:szCs w:val="22"/>
        </w:rPr>
        <w:t xml:space="preserve">inoltre </w:t>
      </w:r>
      <w:r w:rsidR="00624A6C" w:rsidRPr="007F7EBF">
        <w:rPr>
          <w:sz w:val="22"/>
          <w:szCs w:val="22"/>
        </w:rPr>
        <w:t>l</w:t>
      </w:r>
      <w:r w:rsidR="00E21842">
        <w:rPr>
          <w:sz w:val="22"/>
          <w:szCs w:val="22"/>
        </w:rPr>
        <w:t>’</w:t>
      </w:r>
      <w:r w:rsidR="00624A6C" w:rsidRPr="007F7EBF">
        <w:rPr>
          <w:sz w:val="22"/>
          <w:szCs w:val="22"/>
        </w:rPr>
        <w:t xml:space="preserve">applicazione </w:t>
      </w:r>
      <w:r w:rsidR="00E21842">
        <w:rPr>
          <w:sz w:val="22"/>
          <w:szCs w:val="22"/>
        </w:rPr>
        <w:t xml:space="preserve">di questi tributi </w:t>
      </w:r>
      <w:r w:rsidR="00624A6C" w:rsidRPr="007F7EBF">
        <w:rPr>
          <w:sz w:val="22"/>
          <w:szCs w:val="22"/>
        </w:rPr>
        <w:t xml:space="preserve">è pressoché </w:t>
      </w:r>
      <w:proofErr w:type="spellStart"/>
      <w:r w:rsidR="00624A6C" w:rsidRPr="007F7EBF">
        <w:rPr>
          <w:sz w:val="22"/>
          <w:szCs w:val="22"/>
        </w:rPr>
        <w:t>proceduralizzata</w:t>
      </w:r>
      <w:proofErr w:type="spellEnd"/>
      <w:r w:rsidR="00624A6C" w:rsidRPr="007F7EBF">
        <w:rPr>
          <w:sz w:val="22"/>
          <w:szCs w:val="22"/>
        </w:rPr>
        <w:t xml:space="preserve"> e</w:t>
      </w:r>
      <w:r w:rsidR="00610CAF">
        <w:rPr>
          <w:sz w:val="22"/>
          <w:szCs w:val="22"/>
        </w:rPr>
        <w:t xml:space="preserve">d essi </w:t>
      </w:r>
      <w:r w:rsidR="00624A6C" w:rsidRPr="007F7EBF">
        <w:rPr>
          <w:sz w:val="22"/>
          <w:szCs w:val="22"/>
        </w:rPr>
        <w:t>provocano raramente questioni che giustifichino le spese di un parere professionale o di una controversia giudiziaria</w:t>
      </w:r>
      <w:r w:rsidR="00610CAF">
        <w:rPr>
          <w:sz w:val="22"/>
          <w:szCs w:val="22"/>
        </w:rPr>
        <w:t xml:space="preserve"> (</w:t>
      </w:r>
      <w:r w:rsidR="00610CAF">
        <w:rPr>
          <w:rStyle w:val="Rimandonotaapidipagina"/>
          <w:sz w:val="22"/>
          <w:szCs w:val="22"/>
        </w:rPr>
        <w:footnoteReference w:id="1357"/>
      </w:r>
      <w:r w:rsidR="00610CAF">
        <w:rPr>
          <w:sz w:val="22"/>
          <w:szCs w:val="22"/>
        </w:rPr>
        <w:t>)</w:t>
      </w:r>
      <w:r w:rsidR="00624A6C" w:rsidRPr="007F7EBF">
        <w:rPr>
          <w:sz w:val="22"/>
          <w:szCs w:val="22"/>
        </w:rPr>
        <w:t>.</w:t>
      </w:r>
    </w:p>
    <w:p w14:paraId="3654B378" w14:textId="77777777" w:rsidR="00682ABB" w:rsidRPr="007F7EBF" w:rsidRDefault="00682ABB" w:rsidP="00682ABB">
      <w:pPr>
        <w:pStyle w:val="tit23"/>
        <w:ind w:left="6464" w:right="-1361" w:firstLine="0"/>
        <w:jc w:val="left"/>
        <w:rPr>
          <w:bCs/>
          <w:i/>
          <w:iCs/>
          <w:color w:val="0000FF"/>
          <w:lang w:val="it-IT"/>
        </w:rPr>
      </w:pPr>
      <w:r w:rsidRPr="007F7EBF">
        <w:rPr>
          <w:bCs/>
          <w:i/>
          <w:iCs/>
          <w:color w:val="0000FF"/>
          <w:lang w:val="it-IT"/>
        </w:rPr>
        <w:t>Importanza concettuale</w:t>
      </w:r>
    </w:p>
    <w:p w14:paraId="6A75D683" w14:textId="11BFE4DF" w:rsidR="002B7833" w:rsidRPr="007F7EBF" w:rsidRDefault="00624A6C" w:rsidP="00624A6C">
      <w:pPr>
        <w:autoSpaceDE w:val="0"/>
        <w:autoSpaceDN w:val="0"/>
        <w:adjustRightInd w:val="0"/>
        <w:rPr>
          <w:bCs/>
          <w:i/>
          <w:iCs/>
          <w:color w:val="0000FF"/>
          <w:sz w:val="22"/>
          <w:szCs w:val="22"/>
        </w:rPr>
      </w:pPr>
      <w:proofErr w:type="spellStart"/>
      <w:r w:rsidRPr="007F7EBF">
        <w:rPr>
          <w:sz w:val="22"/>
          <w:szCs w:val="22"/>
        </w:rPr>
        <w:t>Benchè</w:t>
      </w:r>
      <w:proofErr w:type="spellEnd"/>
      <w:r w:rsidRPr="007F7EBF">
        <w:rPr>
          <w:sz w:val="22"/>
          <w:szCs w:val="22"/>
        </w:rPr>
        <w:t xml:space="preserve"> siano  tributi trascurati dai manuali, dai corsi di formazione, dagli articoli della pubblicistica, la loro </w:t>
      </w:r>
      <w:r w:rsidR="00A816C0" w:rsidRPr="007F7EBF">
        <w:rPr>
          <w:bCs/>
          <w:sz w:val="22"/>
          <w:szCs w:val="22"/>
        </w:rPr>
        <w:t xml:space="preserve">importanza economico-sociale </w:t>
      </w:r>
      <w:r w:rsidR="00A816C0" w:rsidRPr="007F7EBF">
        <w:rPr>
          <w:sz w:val="22"/>
          <w:szCs w:val="22"/>
        </w:rPr>
        <w:t xml:space="preserve">è </w:t>
      </w:r>
      <w:r w:rsidRPr="007F7EBF">
        <w:rPr>
          <w:sz w:val="22"/>
          <w:szCs w:val="22"/>
        </w:rPr>
        <w:t>spesso</w:t>
      </w:r>
      <w:r w:rsidR="00A816C0" w:rsidRPr="007F7EBF">
        <w:rPr>
          <w:sz w:val="22"/>
          <w:szCs w:val="22"/>
        </w:rPr>
        <w:t xml:space="preserve"> notevolissima, </w:t>
      </w:r>
      <w:r w:rsidRPr="007F7EBF">
        <w:rPr>
          <w:sz w:val="22"/>
          <w:szCs w:val="22"/>
        </w:rPr>
        <w:t xml:space="preserve">anche sul piano del gettito assoluto, </w:t>
      </w:r>
      <w:r w:rsidR="00A816C0" w:rsidRPr="007F7EBF">
        <w:rPr>
          <w:sz w:val="22"/>
          <w:szCs w:val="22"/>
        </w:rPr>
        <w:t>come</w:t>
      </w:r>
      <w:r w:rsidRPr="007F7EBF">
        <w:rPr>
          <w:sz w:val="22"/>
          <w:szCs w:val="22"/>
        </w:rPr>
        <w:t xml:space="preserve"> per</w:t>
      </w:r>
      <w:r w:rsidR="00A816C0" w:rsidRPr="007F7EBF">
        <w:rPr>
          <w:sz w:val="22"/>
          <w:szCs w:val="22"/>
        </w:rPr>
        <w:t xml:space="preserve"> le imposte di fabbricazione, o l'I</w:t>
      </w:r>
      <w:r w:rsidRPr="007F7EBF">
        <w:rPr>
          <w:sz w:val="22"/>
          <w:szCs w:val="22"/>
        </w:rPr>
        <w:t>MU</w:t>
      </w:r>
      <w:r w:rsidR="00A816C0" w:rsidRPr="007F7EBF">
        <w:rPr>
          <w:bCs/>
          <w:sz w:val="22"/>
          <w:szCs w:val="22"/>
        </w:rPr>
        <w:t>.</w:t>
      </w:r>
      <w:r w:rsidRPr="007F7EBF">
        <w:rPr>
          <w:bCs/>
          <w:sz w:val="22"/>
          <w:szCs w:val="22"/>
        </w:rPr>
        <w:t xml:space="preserve"> </w:t>
      </w:r>
      <w:r w:rsidR="006342C5" w:rsidRPr="007F7EBF">
        <w:rPr>
          <w:sz w:val="22"/>
          <w:szCs w:val="22"/>
        </w:rPr>
        <w:t xml:space="preserve">Sono </w:t>
      </w:r>
      <w:r w:rsidRPr="007F7EBF">
        <w:rPr>
          <w:bCs/>
          <w:sz w:val="22"/>
          <w:szCs w:val="22"/>
        </w:rPr>
        <w:t xml:space="preserve">inoltre </w:t>
      </w:r>
      <w:r w:rsidR="006342C5" w:rsidRPr="007F7EBF">
        <w:rPr>
          <w:bCs/>
          <w:sz w:val="22"/>
          <w:szCs w:val="22"/>
        </w:rPr>
        <w:t xml:space="preserve">tributi </w:t>
      </w:r>
      <w:r w:rsidRPr="007F7EBF">
        <w:rPr>
          <w:bCs/>
          <w:sz w:val="22"/>
          <w:szCs w:val="22"/>
        </w:rPr>
        <w:t xml:space="preserve">spesso </w:t>
      </w:r>
      <w:r w:rsidR="006342C5" w:rsidRPr="007F7EBF">
        <w:rPr>
          <w:bCs/>
          <w:sz w:val="22"/>
          <w:szCs w:val="22"/>
        </w:rPr>
        <w:t xml:space="preserve">frequenti nella vita di tutti i giorni </w:t>
      </w:r>
      <w:r w:rsidR="006342C5" w:rsidRPr="007F7EBF">
        <w:rPr>
          <w:sz w:val="22"/>
          <w:szCs w:val="22"/>
        </w:rPr>
        <w:t xml:space="preserve">e </w:t>
      </w:r>
      <w:r w:rsidR="006342C5" w:rsidRPr="007F7EBF">
        <w:rPr>
          <w:bCs/>
          <w:sz w:val="22"/>
          <w:szCs w:val="22"/>
        </w:rPr>
        <w:t>nel dibattito</w:t>
      </w:r>
      <w:r w:rsidR="002B7833" w:rsidRPr="007F7EBF">
        <w:rPr>
          <w:bCs/>
          <w:sz w:val="22"/>
          <w:szCs w:val="22"/>
        </w:rPr>
        <w:t xml:space="preserve"> </w:t>
      </w:r>
      <w:r w:rsidR="006342C5" w:rsidRPr="007F7EBF">
        <w:rPr>
          <w:bCs/>
          <w:sz w:val="22"/>
          <w:szCs w:val="22"/>
        </w:rPr>
        <w:t>politico-economic</w:t>
      </w:r>
      <w:r w:rsidR="006342C5" w:rsidRPr="007F7EBF">
        <w:rPr>
          <w:sz w:val="22"/>
          <w:szCs w:val="22"/>
        </w:rPr>
        <w:t xml:space="preserve">o, </w:t>
      </w:r>
      <w:r w:rsidRPr="007F7EBF">
        <w:rPr>
          <w:sz w:val="22"/>
          <w:szCs w:val="22"/>
        </w:rPr>
        <w:t>anche con solida tradizione</w:t>
      </w:r>
      <w:r w:rsidR="006342C5" w:rsidRPr="007F7EBF">
        <w:rPr>
          <w:sz w:val="22"/>
          <w:szCs w:val="22"/>
        </w:rPr>
        <w:t xml:space="preserve">, di cui sono prive </w:t>
      </w:r>
      <w:r w:rsidR="00063AE9">
        <w:rPr>
          <w:sz w:val="22"/>
          <w:szCs w:val="22"/>
        </w:rPr>
        <w:t>alcune grandi</w:t>
      </w:r>
      <w:r w:rsidR="006342C5" w:rsidRPr="007F7EBF">
        <w:rPr>
          <w:sz w:val="22"/>
          <w:szCs w:val="22"/>
        </w:rPr>
        <w:t xml:space="preserve"> imposte della “tassazione attraverso le aziende”</w:t>
      </w:r>
      <w:r w:rsidR="00063AE9">
        <w:rPr>
          <w:sz w:val="22"/>
          <w:szCs w:val="22"/>
        </w:rPr>
        <w:t>, si pensi ad esempio all’IVA o alle stesse imposte sui redditi “non agricoli”, introdotte in tempi relativamente recenti (par.1.8)</w:t>
      </w:r>
      <w:r w:rsidR="006342C5" w:rsidRPr="007F7EBF">
        <w:rPr>
          <w:sz w:val="22"/>
          <w:szCs w:val="22"/>
        </w:rPr>
        <w:t>.</w:t>
      </w:r>
    </w:p>
    <w:p w14:paraId="5DA181C0" w14:textId="1F6C8F30" w:rsidR="00C363E1" w:rsidRPr="007F7EBF" w:rsidRDefault="00EC7B85" w:rsidP="00C363E1">
      <w:pPr>
        <w:pStyle w:val="tit23"/>
        <w:ind w:left="6464" w:right="-1361" w:firstLine="0"/>
        <w:jc w:val="left"/>
        <w:rPr>
          <w:bCs/>
          <w:i/>
          <w:iCs/>
          <w:color w:val="0000FF"/>
          <w:lang w:val="it-IT"/>
        </w:rPr>
      </w:pPr>
      <w:r>
        <w:rPr>
          <w:bCs/>
          <w:i/>
          <w:iCs/>
          <w:color w:val="0000FF"/>
          <w:lang w:val="it-IT"/>
        </w:rPr>
        <w:t>Banchi di prova interessanti</w:t>
      </w:r>
    </w:p>
    <w:p w14:paraId="17FB782C" w14:textId="6922450A" w:rsidR="00FC2D8C" w:rsidRPr="007F7EBF" w:rsidRDefault="00293EAA" w:rsidP="00FC2D8C">
      <w:pPr>
        <w:autoSpaceDE w:val="0"/>
        <w:autoSpaceDN w:val="0"/>
        <w:adjustRightInd w:val="0"/>
        <w:rPr>
          <w:sz w:val="22"/>
          <w:szCs w:val="22"/>
        </w:rPr>
      </w:pPr>
      <w:r w:rsidRPr="007F7EBF">
        <w:rPr>
          <w:sz w:val="22"/>
          <w:szCs w:val="22"/>
        </w:rPr>
        <w:t>Alcuni aspetti dei</w:t>
      </w:r>
      <w:r w:rsidR="00272986" w:rsidRPr="007F7EBF">
        <w:rPr>
          <w:sz w:val="22"/>
          <w:szCs w:val="22"/>
        </w:rPr>
        <w:t xml:space="preserve"> </w:t>
      </w:r>
      <w:r w:rsidRPr="007F7EBF">
        <w:rPr>
          <w:sz w:val="22"/>
          <w:szCs w:val="22"/>
        </w:rPr>
        <w:t>"</w:t>
      </w:r>
      <w:r w:rsidR="00272986" w:rsidRPr="007F7EBF">
        <w:rPr>
          <w:sz w:val="22"/>
          <w:szCs w:val="22"/>
        </w:rPr>
        <w:t>tributi minori</w:t>
      </w:r>
      <w:r w:rsidRPr="007F7EBF">
        <w:rPr>
          <w:sz w:val="22"/>
          <w:szCs w:val="22"/>
        </w:rPr>
        <w:t>"</w:t>
      </w:r>
      <w:r w:rsidR="00272986" w:rsidRPr="007F7EBF">
        <w:rPr>
          <w:sz w:val="22"/>
          <w:szCs w:val="22"/>
        </w:rPr>
        <w:t xml:space="preserve"> sono</w:t>
      </w:r>
      <w:r w:rsidRPr="007F7EBF">
        <w:rPr>
          <w:sz w:val="22"/>
          <w:szCs w:val="22"/>
        </w:rPr>
        <w:t xml:space="preserve"> invece ottimi punti di osservazione per la spiegazione </w:t>
      </w:r>
      <w:r w:rsidR="00063AE9">
        <w:rPr>
          <w:sz w:val="22"/>
          <w:szCs w:val="22"/>
        </w:rPr>
        <w:t>scientifico sociale</w:t>
      </w:r>
      <w:r w:rsidRPr="007F7EBF">
        <w:rPr>
          <w:sz w:val="22"/>
          <w:szCs w:val="22"/>
        </w:rPr>
        <w:t xml:space="preserve"> della funzione tribut</w:t>
      </w:r>
      <w:r w:rsidR="005472FF" w:rsidRPr="007F7EBF">
        <w:rPr>
          <w:sz w:val="22"/>
          <w:szCs w:val="22"/>
        </w:rPr>
        <w:t>ar</w:t>
      </w:r>
      <w:r w:rsidRPr="007F7EBF">
        <w:rPr>
          <w:sz w:val="22"/>
          <w:szCs w:val="22"/>
        </w:rPr>
        <w:t>i</w:t>
      </w:r>
      <w:r w:rsidR="005472FF" w:rsidRPr="007F7EBF">
        <w:rPr>
          <w:sz w:val="22"/>
          <w:szCs w:val="22"/>
        </w:rPr>
        <w:t>a</w:t>
      </w:r>
      <w:r w:rsidRPr="007F7EBF">
        <w:rPr>
          <w:sz w:val="22"/>
          <w:szCs w:val="22"/>
        </w:rPr>
        <w:t>.</w:t>
      </w:r>
      <w:r w:rsidR="005472FF" w:rsidRPr="007F7EBF">
        <w:rPr>
          <w:sz w:val="22"/>
          <w:szCs w:val="22"/>
        </w:rPr>
        <w:t xml:space="preserve"> </w:t>
      </w:r>
      <w:r w:rsidR="00FC2D8C" w:rsidRPr="007F7EBF">
        <w:rPr>
          <w:sz w:val="22"/>
          <w:szCs w:val="22"/>
        </w:rPr>
        <w:t>I</w:t>
      </w:r>
      <w:r w:rsidRPr="007F7EBF">
        <w:rPr>
          <w:sz w:val="22"/>
          <w:szCs w:val="22"/>
        </w:rPr>
        <w:t xml:space="preserve"> </w:t>
      </w:r>
      <w:r w:rsidR="00FC2D8C" w:rsidRPr="007F7EBF">
        <w:rPr>
          <w:bCs/>
          <w:sz w:val="22"/>
          <w:szCs w:val="22"/>
        </w:rPr>
        <w:t xml:space="preserve">tributi minori </w:t>
      </w:r>
      <w:r w:rsidRPr="007F7EBF">
        <w:rPr>
          <w:bCs/>
          <w:sz w:val="22"/>
          <w:szCs w:val="22"/>
        </w:rPr>
        <w:t xml:space="preserve">ci fanno </w:t>
      </w:r>
      <w:r w:rsidR="00272986" w:rsidRPr="007F7EBF">
        <w:rPr>
          <w:bCs/>
          <w:sz w:val="22"/>
          <w:szCs w:val="22"/>
        </w:rPr>
        <w:t>comprendere</w:t>
      </w:r>
      <w:r w:rsidRPr="007F7EBF">
        <w:rPr>
          <w:bCs/>
          <w:sz w:val="22"/>
          <w:szCs w:val="22"/>
        </w:rPr>
        <w:t xml:space="preserve"> l'uso</w:t>
      </w:r>
      <w:r w:rsidR="00FC2D8C" w:rsidRPr="007F7EBF">
        <w:rPr>
          <w:bCs/>
          <w:sz w:val="22"/>
          <w:szCs w:val="22"/>
        </w:rPr>
        <w:t>, da parte de</w:t>
      </w:r>
      <w:r w:rsidR="005472FF" w:rsidRPr="007F7EBF">
        <w:rPr>
          <w:bCs/>
          <w:sz w:val="22"/>
          <w:szCs w:val="22"/>
        </w:rPr>
        <w:t>gli uffici</w:t>
      </w:r>
      <w:r w:rsidR="00FC2D8C" w:rsidRPr="007F7EBF">
        <w:rPr>
          <w:bCs/>
          <w:sz w:val="22"/>
          <w:szCs w:val="22"/>
        </w:rPr>
        <w:t xml:space="preserve"> tributari,</w:t>
      </w:r>
      <w:r w:rsidRPr="007F7EBF">
        <w:rPr>
          <w:bCs/>
          <w:sz w:val="22"/>
          <w:szCs w:val="22"/>
        </w:rPr>
        <w:t xml:space="preserve"> </w:t>
      </w:r>
      <w:r w:rsidR="00FC2D8C" w:rsidRPr="007F7EBF">
        <w:rPr>
          <w:bCs/>
          <w:sz w:val="22"/>
          <w:szCs w:val="22"/>
        </w:rPr>
        <w:t>di indizi limitati di ricchezza</w:t>
      </w:r>
      <w:r w:rsidR="00063AE9">
        <w:rPr>
          <w:bCs/>
          <w:sz w:val="22"/>
          <w:szCs w:val="22"/>
        </w:rPr>
        <w:t xml:space="preserve"> (par.1.11)</w:t>
      </w:r>
      <w:r w:rsidR="00FC2D8C" w:rsidRPr="007F7EBF">
        <w:rPr>
          <w:bCs/>
          <w:sz w:val="22"/>
          <w:szCs w:val="22"/>
        </w:rPr>
        <w:t xml:space="preserve">, </w:t>
      </w:r>
      <w:r w:rsidRPr="007F7EBF">
        <w:rPr>
          <w:bCs/>
          <w:sz w:val="22"/>
          <w:szCs w:val="22"/>
        </w:rPr>
        <w:t xml:space="preserve">per una tassazione basata sull'iniziativa di poteri pubblici. </w:t>
      </w:r>
      <w:r w:rsidR="00FC2D8C" w:rsidRPr="007F7EBF">
        <w:rPr>
          <w:bCs/>
          <w:sz w:val="22"/>
          <w:szCs w:val="22"/>
        </w:rPr>
        <w:t xml:space="preserve">I tributi minori sono quindi un ottimo </w:t>
      </w:r>
      <w:r w:rsidR="00EC7B85">
        <w:rPr>
          <w:bCs/>
          <w:sz w:val="22"/>
          <w:szCs w:val="22"/>
        </w:rPr>
        <w:t xml:space="preserve">banco di prova </w:t>
      </w:r>
      <w:r w:rsidR="00FC2D8C" w:rsidRPr="007F7EBF">
        <w:rPr>
          <w:bCs/>
          <w:sz w:val="22"/>
          <w:szCs w:val="22"/>
        </w:rPr>
        <w:t xml:space="preserve">per capire come si assestano, nel diritto come studio delle funzioni </w:t>
      </w:r>
      <w:r w:rsidR="00E4089E" w:rsidRPr="007F7EBF">
        <w:rPr>
          <w:bCs/>
          <w:sz w:val="22"/>
          <w:szCs w:val="22"/>
        </w:rPr>
        <w:t>pubbliche</w:t>
      </w:r>
      <w:r w:rsidR="00FC2D8C" w:rsidRPr="007F7EBF">
        <w:rPr>
          <w:bCs/>
          <w:sz w:val="22"/>
          <w:szCs w:val="22"/>
        </w:rPr>
        <w:t xml:space="preserve">, le varie concause dei fenomeni sociali, </w:t>
      </w:r>
      <w:r w:rsidR="00272986" w:rsidRPr="007F7EBF">
        <w:rPr>
          <w:bCs/>
          <w:sz w:val="22"/>
          <w:szCs w:val="22"/>
        </w:rPr>
        <w:t>con zone grigie e sfumature</w:t>
      </w:r>
      <w:r w:rsidR="00EC7B85">
        <w:rPr>
          <w:bCs/>
          <w:sz w:val="22"/>
          <w:szCs w:val="22"/>
        </w:rPr>
        <w:t xml:space="preserve">, spesso fortuite. </w:t>
      </w:r>
    </w:p>
    <w:p w14:paraId="253DE629" w14:textId="77777777" w:rsidR="00FC2D8C" w:rsidRPr="007F7EBF" w:rsidRDefault="00FC2D8C" w:rsidP="00FC2D8C">
      <w:pPr>
        <w:pStyle w:val="tit23"/>
        <w:ind w:left="6464" w:right="-1361" w:firstLine="0"/>
        <w:jc w:val="left"/>
        <w:rPr>
          <w:bCs/>
          <w:i/>
          <w:iCs/>
          <w:color w:val="0000FF"/>
          <w:lang w:val="it-IT"/>
        </w:rPr>
      </w:pPr>
      <w:r w:rsidRPr="007F7EBF">
        <w:rPr>
          <w:bCs/>
          <w:i/>
          <w:iCs/>
          <w:color w:val="0000FF"/>
          <w:lang w:val="it-IT"/>
        </w:rPr>
        <w:t xml:space="preserve">Collegamento con i concetti </w:t>
      </w:r>
      <w:r w:rsidRPr="007F7EBF">
        <w:rPr>
          <w:bCs/>
          <w:i/>
          <w:iCs/>
          <w:color w:val="0000FF"/>
          <w:lang w:val="it-IT"/>
        </w:rPr>
        <w:lastRenderedPageBreak/>
        <w:t>generali dell’attività aziendale, istituzionale e professionale</w:t>
      </w:r>
    </w:p>
    <w:p w14:paraId="52B372E2" w14:textId="0C73BBB7" w:rsidR="00A57A85" w:rsidRPr="007F7EBF" w:rsidRDefault="00FC2D8C" w:rsidP="00A57A85">
      <w:pPr>
        <w:autoSpaceDE w:val="0"/>
        <w:autoSpaceDN w:val="0"/>
        <w:adjustRightInd w:val="0"/>
        <w:rPr>
          <w:sz w:val="22"/>
          <w:szCs w:val="22"/>
        </w:rPr>
      </w:pPr>
      <w:r w:rsidRPr="007F7EBF">
        <w:rPr>
          <w:sz w:val="22"/>
          <w:szCs w:val="22"/>
        </w:rPr>
        <w:t xml:space="preserve">Privilegeremo quindi i collegamenti tra "tributi minori" ed aspetti strutturali della funzione tributaria, </w:t>
      </w:r>
      <w:r w:rsidR="00604FFE" w:rsidRPr="007F7EBF">
        <w:rPr>
          <w:sz w:val="22"/>
          <w:szCs w:val="22"/>
        </w:rPr>
        <w:t xml:space="preserve">riferita a varie combinazioni tra </w:t>
      </w:r>
      <w:r w:rsidR="00063AE9">
        <w:rPr>
          <w:sz w:val="22"/>
          <w:szCs w:val="22"/>
        </w:rPr>
        <w:t xml:space="preserve">manifestazioni di ricchezza </w:t>
      </w:r>
      <w:r w:rsidR="00604FFE" w:rsidRPr="007F7EBF">
        <w:rPr>
          <w:sz w:val="22"/>
          <w:szCs w:val="22"/>
        </w:rPr>
        <w:t>ed esercizio di altre funzioni pubbliche</w:t>
      </w:r>
      <w:r w:rsidR="00063AE9">
        <w:rPr>
          <w:sz w:val="22"/>
          <w:szCs w:val="22"/>
        </w:rPr>
        <w:t>, cui il tributo si collega</w:t>
      </w:r>
      <w:r w:rsidR="00604FFE" w:rsidRPr="007F7EBF">
        <w:rPr>
          <w:sz w:val="22"/>
          <w:szCs w:val="22"/>
        </w:rPr>
        <w:t xml:space="preserve">. Eviteremo invece, come è doveroso a questo livello di interlocuzione, di disperderci in casistiche </w:t>
      </w:r>
      <w:r w:rsidR="00EC7B85">
        <w:rPr>
          <w:sz w:val="22"/>
          <w:szCs w:val="22"/>
        </w:rPr>
        <w:t>tecnico-</w:t>
      </w:r>
      <w:r w:rsidR="00604FFE" w:rsidRPr="007F7EBF">
        <w:rPr>
          <w:sz w:val="22"/>
          <w:szCs w:val="22"/>
        </w:rPr>
        <w:t>professionali</w:t>
      </w:r>
      <w:r w:rsidR="00063AE9">
        <w:rPr>
          <w:sz w:val="22"/>
          <w:szCs w:val="22"/>
        </w:rPr>
        <w:t>, inevitabilmente contingenti senza lo sfondo “scientifico sociale”, che qui cerchiamo di costruire</w:t>
      </w:r>
      <w:r w:rsidR="00604FFE" w:rsidRPr="007F7EBF">
        <w:rPr>
          <w:sz w:val="22"/>
          <w:szCs w:val="22"/>
        </w:rPr>
        <w:t xml:space="preserve">. </w:t>
      </w:r>
      <w:r w:rsidRPr="007F7EBF">
        <w:rPr>
          <w:sz w:val="22"/>
          <w:szCs w:val="22"/>
        </w:rPr>
        <w:t xml:space="preserve"> </w:t>
      </w:r>
    </w:p>
    <w:p w14:paraId="494B2696" w14:textId="77777777" w:rsidR="00A57A85" w:rsidRPr="007F7EBF" w:rsidRDefault="00A57A85" w:rsidP="00A57A85">
      <w:pPr>
        <w:pStyle w:val="tit23"/>
        <w:ind w:left="6464" w:right="-1361" w:firstLine="0"/>
        <w:jc w:val="left"/>
        <w:rPr>
          <w:bCs/>
          <w:i/>
          <w:iCs/>
          <w:color w:val="0000FF"/>
          <w:lang w:val="it-IT"/>
        </w:rPr>
      </w:pPr>
      <w:r w:rsidRPr="007F7EBF">
        <w:rPr>
          <w:bCs/>
          <w:i/>
          <w:iCs/>
          <w:color w:val="0000FF"/>
          <w:lang w:val="it-IT"/>
        </w:rPr>
        <w:t>Metodologia espositiva</w:t>
      </w:r>
    </w:p>
    <w:p w14:paraId="63142434" w14:textId="29460A72" w:rsidR="006342C5" w:rsidRPr="007F7EBF" w:rsidRDefault="006342C5" w:rsidP="00A57A85">
      <w:pPr>
        <w:autoSpaceDE w:val="0"/>
        <w:autoSpaceDN w:val="0"/>
        <w:adjustRightInd w:val="0"/>
        <w:rPr>
          <w:sz w:val="22"/>
          <w:szCs w:val="22"/>
        </w:rPr>
      </w:pPr>
      <w:r w:rsidRPr="007F7EBF">
        <w:rPr>
          <w:sz w:val="22"/>
          <w:szCs w:val="22"/>
        </w:rPr>
        <w:t>Nei paragrafi successivi collegheremo quindi le caratteristiche di tali tributi con</w:t>
      </w:r>
      <w:r w:rsidR="002B7833" w:rsidRPr="007F7EBF">
        <w:rPr>
          <w:sz w:val="22"/>
          <w:szCs w:val="22"/>
        </w:rPr>
        <w:t xml:space="preserve"> </w:t>
      </w:r>
      <w:r w:rsidRPr="007F7EBF">
        <w:rPr>
          <w:sz w:val="22"/>
          <w:szCs w:val="22"/>
        </w:rPr>
        <w:t>alcune questio</w:t>
      </w:r>
      <w:r w:rsidR="00624A6C" w:rsidRPr="007F7EBF">
        <w:rPr>
          <w:sz w:val="22"/>
          <w:szCs w:val="22"/>
        </w:rPr>
        <w:t xml:space="preserve">ni trattate nella prima parte, </w:t>
      </w:r>
      <w:r w:rsidR="00A57A85" w:rsidRPr="007F7EBF">
        <w:rPr>
          <w:sz w:val="22"/>
          <w:szCs w:val="22"/>
        </w:rPr>
        <w:t xml:space="preserve">che ritroveremo spesso intrecciate su un singolo "tributo minore", che magari si giustifica un po’ con la ricchezza, un po’ col principio del beneficio, e un po’ </w:t>
      </w:r>
      <w:r w:rsidR="00B11B82" w:rsidRPr="007F7EBF">
        <w:rPr>
          <w:sz w:val="22"/>
          <w:szCs w:val="22"/>
        </w:rPr>
        <w:t xml:space="preserve">come </w:t>
      </w:r>
      <w:r w:rsidR="009F6847">
        <w:rPr>
          <w:sz w:val="22"/>
          <w:szCs w:val="22"/>
        </w:rPr>
        <w:t xml:space="preserve">stratificazione autoprodotta di vischiosità contingenti </w:t>
      </w:r>
      <w:r w:rsidR="00063AE9">
        <w:rPr>
          <w:sz w:val="22"/>
          <w:szCs w:val="22"/>
        </w:rPr>
        <w:t>(</w:t>
      </w:r>
      <w:r w:rsidR="00B11B82" w:rsidRPr="007F7EBF">
        <w:rPr>
          <w:rStyle w:val="Rimandonotaapidipagina"/>
          <w:sz w:val="22"/>
          <w:szCs w:val="22"/>
        </w:rPr>
        <w:footnoteReference w:id="1358"/>
      </w:r>
      <w:r w:rsidR="00063AE9">
        <w:rPr>
          <w:sz w:val="22"/>
          <w:szCs w:val="22"/>
        </w:rPr>
        <w:t>)</w:t>
      </w:r>
      <w:r w:rsidR="00B11B82" w:rsidRPr="007F7EBF">
        <w:rPr>
          <w:sz w:val="22"/>
          <w:szCs w:val="22"/>
        </w:rPr>
        <w:t xml:space="preserve">. </w:t>
      </w:r>
    </w:p>
    <w:p w14:paraId="16BDC552" w14:textId="77777777" w:rsidR="00275036" w:rsidRPr="007F7EBF" w:rsidRDefault="006342C5" w:rsidP="00275036">
      <w:pPr>
        <w:pStyle w:val="Titolo3"/>
        <w:rPr>
          <w:rFonts w:ascii="Times New Roman" w:hAnsi="Times New Roman"/>
          <w:sz w:val="22"/>
          <w:szCs w:val="22"/>
        </w:rPr>
      </w:pPr>
      <w:bookmarkStart w:id="136" w:name="_Toc63365046"/>
      <w:r w:rsidRPr="007F7EBF">
        <w:rPr>
          <w:rFonts w:ascii="Times New Roman" w:hAnsi="Times New Roman"/>
          <w:sz w:val="22"/>
          <w:szCs w:val="22"/>
        </w:rPr>
        <w:t>10.2. I tributi sugli atti giuridici solenni o visibili</w:t>
      </w:r>
      <w:r w:rsidR="00D9063E" w:rsidRPr="007F7EBF">
        <w:rPr>
          <w:rFonts w:ascii="Times New Roman" w:hAnsi="Times New Roman"/>
          <w:sz w:val="22"/>
          <w:szCs w:val="22"/>
        </w:rPr>
        <w:t xml:space="preserve"> (imposta di registro).</w:t>
      </w:r>
      <w:bookmarkEnd w:id="136"/>
      <w:r w:rsidR="00D9063E" w:rsidRPr="007F7EBF">
        <w:rPr>
          <w:rFonts w:ascii="Times New Roman" w:hAnsi="Times New Roman"/>
          <w:sz w:val="22"/>
          <w:szCs w:val="22"/>
        </w:rPr>
        <w:t xml:space="preserve"> </w:t>
      </w:r>
    </w:p>
    <w:p w14:paraId="094799E2" w14:textId="77777777" w:rsidR="00275036" w:rsidRPr="007F7EBF" w:rsidRDefault="00275036" w:rsidP="00275036">
      <w:pPr>
        <w:pStyle w:val="tit23"/>
        <w:ind w:left="6464" w:right="-1361" w:firstLine="0"/>
        <w:jc w:val="left"/>
        <w:rPr>
          <w:bCs/>
          <w:i/>
          <w:iCs/>
          <w:color w:val="0000FF"/>
          <w:lang w:val="it-IT"/>
        </w:rPr>
      </w:pPr>
      <w:r w:rsidRPr="007F7EBF">
        <w:rPr>
          <w:bCs/>
          <w:i/>
          <w:iCs/>
          <w:color w:val="0000FF"/>
          <w:lang w:val="it-IT"/>
        </w:rPr>
        <w:t>Visibilità tributaria della ricchezza attraverso atti giuridici</w:t>
      </w:r>
    </w:p>
    <w:p w14:paraId="1AE72455" w14:textId="7874AE2E" w:rsidR="00275036" w:rsidRPr="007F7EBF" w:rsidRDefault="00275036" w:rsidP="00275036">
      <w:pPr>
        <w:autoSpaceDE w:val="0"/>
        <w:autoSpaceDN w:val="0"/>
        <w:adjustRightInd w:val="0"/>
        <w:rPr>
          <w:sz w:val="22"/>
          <w:szCs w:val="22"/>
        </w:rPr>
      </w:pPr>
      <w:r w:rsidRPr="007F7EBF">
        <w:rPr>
          <w:sz w:val="22"/>
          <w:szCs w:val="22"/>
        </w:rPr>
        <w:t>A</w:t>
      </w:r>
      <w:r w:rsidR="00063AE9">
        <w:rPr>
          <w:sz w:val="22"/>
          <w:szCs w:val="22"/>
        </w:rPr>
        <w:t xml:space="preserve">i </w:t>
      </w:r>
      <w:r w:rsidRPr="007F7EBF">
        <w:rPr>
          <w:sz w:val="22"/>
          <w:szCs w:val="22"/>
        </w:rPr>
        <w:t>pa</w:t>
      </w:r>
      <w:r w:rsidR="00063AE9">
        <w:rPr>
          <w:sz w:val="22"/>
          <w:szCs w:val="22"/>
        </w:rPr>
        <w:t>r</w:t>
      </w:r>
      <w:r w:rsidRPr="007F7EBF">
        <w:rPr>
          <w:sz w:val="22"/>
          <w:szCs w:val="22"/>
        </w:rPr>
        <w:t>r</w:t>
      </w:r>
      <w:r w:rsidR="00AD5736" w:rsidRPr="007F7EBF">
        <w:rPr>
          <w:sz w:val="22"/>
          <w:szCs w:val="22"/>
        </w:rPr>
        <w:t>.1.4</w:t>
      </w:r>
      <w:r w:rsidR="00063AE9">
        <w:rPr>
          <w:sz w:val="22"/>
          <w:szCs w:val="22"/>
        </w:rPr>
        <w:t>-1-11</w:t>
      </w:r>
      <w:r w:rsidRPr="007F7EBF">
        <w:rPr>
          <w:sz w:val="22"/>
          <w:szCs w:val="22"/>
        </w:rPr>
        <w:t xml:space="preserve"> abbiamo già ricordato, dal punto di vista storico, che l</w:t>
      </w:r>
      <w:r w:rsidR="006342C5" w:rsidRPr="007F7EBF">
        <w:rPr>
          <w:sz w:val="22"/>
          <w:szCs w:val="22"/>
        </w:rPr>
        <w:t xml:space="preserve">a ricchezza può essere manifestata anche da </w:t>
      </w:r>
      <w:r w:rsidR="006342C5" w:rsidRPr="007F7EBF">
        <w:rPr>
          <w:bCs/>
          <w:sz w:val="22"/>
          <w:szCs w:val="22"/>
        </w:rPr>
        <w:t>atti giuridici “solenni”</w:t>
      </w:r>
      <w:r w:rsidR="00BC0A4D">
        <w:rPr>
          <w:sz w:val="22"/>
          <w:szCs w:val="22"/>
        </w:rPr>
        <w:t xml:space="preserve">; essi </w:t>
      </w:r>
      <w:r w:rsidR="006342C5" w:rsidRPr="007F7EBF">
        <w:rPr>
          <w:sz w:val="22"/>
          <w:szCs w:val="22"/>
        </w:rPr>
        <w:t>costituiscono</w:t>
      </w:r>
      <w:r w:rsidR="00274E25" w:rsidRPr="007F7EBF">
        <w:rPr>
          <w:sz w:val="22"/>
          <w:szCs w:val="22"/>
        </w:rPr>
        <w:t xml:space="preserve"> </w:t>
      </w:r>
      <w:r w:rsidR="006342C5" w:rsidRPr="007F7EBF">
        <w:rPr>
          <w:sz w:val="22"/>
          <w:szCs w:val="22"/>
        </w:rPr>
        <w:t>una facile occasione di tassazione</w:t>
      </w:r>
      <w:r w:rsidR="00BC0A4D">
        <w:rPr>
          <w:sz w:val="22"/>
          <w:szCs w:val="22"/>
        </w:rPr>
        <w:t xml:space="preserve"> in quanto i privati desiderano </w:t>
      </w:r>
      <w:r w:rsidRPr="007F7EBF">
        <w:rPr>
          <w:bCs/>
          <w:sz w:val="22"/>
          <w:szCs w:val="22"/>
        </w:rPr>
        <w:t>vedersi socialmente riconosciuto</w:t>
      </w:r>
      <w:r w:rsidR="00BC0A4D">
        <w:rPr>
          <w:bCs/>
          <w:sz w:val="22"/>
          <w:szCs w:val="22"/>
        </w:rPr>
        <w:t>,</w:t>
      </w:r>
      <w:r w:rsidRPr="007F7EBF">
        <w:rPr>
          <w:bCs/>
          <w:sz w:val="22"/>
          <w:szCs w:val="22"/>
        </w:rPr>
        <w:t xml:space="preserve"> </w:t>
      </w:r>
      <w:r w:rsidR="006342C5" w:rsidRPr="007F7EBF">
        <w:rPr>
          <w:bCs/>
          <w:sz w:val="22"/>
          <w:szCs w:val="22"/>
        </w:rPr>
        <w:t>dal pubblico potere</w:t>
      </w:r>
      <w:r w:rsidR="00BC0A4D">
        <w:rPr>
          <w:bCs/>
          <w:sz w:val="22"/>
          <w:szCs w:val="22"/>
        </w:rPr>
        <w:t>,</w:t>
      </w:r>
      <w:r w:rsidR="006342C5" w:rsidRPr="007F7EBF">
        <w:rPr>
          <w:bCs/>
          <w:sz w:val="22"/>
          <w:szCs w:val="22"/>
        </w:rPr>
        <w:t xml:space="preserve"> il loro diritt</w:t>
      </w:r>
      <w:r w:rsidR="006342C5" w:rsidRPr="007F7EBF">
        <w:rPr>
          <w:sz w:val="22"/>
          <w:szCs w:val="22"/>
        </w:rPr>
        <w:t>o</w:t>
      </w:r>
      <w:r w:rsidR="0043465C">
        <w:rPr>
          <w:sz w:val="22"/>
          <w:szCs w:val="22"/>
        </w:rPr>
        <w:t>(</w:t>
      </w:r>
      <w:r w:rsidRPr="007F7EBF">
        <w:rPr>
          <w:rStyle w:val="Rimandonotaapidipagina"/>
          <w:sz w:val="22"/>
          <w:szCs w:val="22"/>
        </w:rPr>
        <w:footnoteReference w:id="1359"/>
      </w:r>
      <w:r w:rsidR="0043465C">
        <w:rPr>
          <w:sz w:val="22"/>
          <w:szCs w:val="22"/>
        </w:rPr>
        <w:t>)</w:t>
      </w:r>
      <w:r w:rsidR="00BC0A4D">
        <w:rPr>
          <w:sz w:val="22"/>
          <w:szCs w:val="22"/>
        </w:rPr>
        <w:t>; ciò c</w:t>
      </w:r>
      <w:r w:rsidRPr="007F7EBF">
        <w:rPr>
          <w:sz w:val="22"/>
          <w:szCs w:val="22"/>
        </w:rPr>
        <w:t xml:space="preserve">omporta una visibilità formale degli atti giuridici su cui </w:t>
      </w:r>
      <w:r w:rsidR="00BC0A4D">
        <w:rPr>
          <w:sz w:val="22"/>
          <w:szCs w:val="22"/>
        </w:rPr>
        <w:t xml:space="preserve">si fondano i diritti proprietari, che rende facile l’applicazione di un’imposta, sostanzialmente riferita all’astrazione economica </w:t>
      </w:r>
      <w:r w:rsidR="00BC0A4D">
        <w:rPr>
          <w:sz w:val="22"/>
          <w:szCs w:val="22"/>
        </w:rPr>
        <w:lastRenderedPageBreak/>
        <w:t>denominata “patrimonio”</w:t>
      </w:r>
      <w:r w:rsidR="00864663">
        <w:rPr>
          <w:sz w:val="22"/>
          <w:szCs w:val="22"/>
        </w:rPr>
        <w:t xml:space="preserve">; non si tratta del complessivo patrimonio di un soggetto, ma del segmento di patrimonio </w:t>
      </w:r>
      <w:r w:rsidR="0043465C">
        <w:rPr>
          <w:sz w:val="22"/>
          <w:szCs w:val="22"/>
        </w:rPr>
        <w:t>visibile</w:t>
      </w:r>
      <w:r w:rsidR="00864663">
        <w:rPr>
          <w:sz w:val="22"/>
          <w:szCs w:val="22"/>
        </w:rPr>
        <w:t xml:space="preserve"> appunto </w:t>
      </w:r>
      <w:r w:rsidR="0043465C">
        <w:rPr>
          <w:sz w:val="22"/>
          <w:szCs w:val="22"/>
        </w:rPr>
        <w:t xml:space="preserve">tramite </w:t>
      </w:r>
      <w:r w:rsidR="00864663">
        <w:rPr>
          <w:sz w:val="22"/>
          <w:szCs w:val="22"/>
        </w:rPr>
        <w:t>l’atto giuridico solenne di volta in volta redatto (</w:t>
      </w:r>
      <w:r w:rsidR="00864663" w:rsidRPr="007F7EBF">
        <w:rPr>
          <w:rStyle w:val="Rimandonotaapidipagina"/>
          <w:sz w:val="22"/>
          <w:szCs w:val="22"/>
        </w:rPr>
        <w:footnoteReference w:id="1360"/>
      </w:r>
      <w:r w:rsidR="00864663">
        <w:rPr>
          <w:sz w:val="22"/>
          <w:szCs w:val="22"/>
        </w:rPr>
        <w:t>)</w:t>
      </w:r>
      <w:r w:rsidRPr="007F7EBF">
        <w:rPr>
          <w:sz w:val="22"/>
          <w:szCs w:val="22"/>
        </w:rPr>
        <w:t xml:space="preserve">. </w:t>
      </w:r>
      <w:r w:rsidR="006342C5" w:rsidRPr="007F7EBF">
        <w:rPr>
          <w:sz w:val="22"/>
          <w:szCs w:val="22"/>
        </w:rPr>
        <w:t xml:space="preserve"> </w:t>
      </w:r>
    </w:p>
    <w:p w14:paraId="30699152" w14:textId="524F17D6" w:rsidR="00275036" w:rsidRPr="007F7EBF" w:rsidRDefault="00864663" w:rsidP="00275036">
      <w:pPr>
        <w:pStyle w:val="tit23"/>
        <w:ind w:left="6464" w:right="-1361" w:firstLine="0"/>
        <w:jc w:val="left"/>
        <w:rPr>
          <w:bCs/>
          <w:i/>
          <w:iCs/>
          <w:color w:val="0000FF"/>
          <w:lang w:val="it-IT"/>
        </w:rPr>
      </w:pPr>
      <w:r>
        <w:rPr>
          <w:bCs/>
          <w:i/>
          <w:iCs/>
          <w:color w:val="0000FF"/>
          <w:lang w:val="it-IT"/>
        </w:rPr>
        <w:t>Importanza teorica dell</w:t>
      </w:r>
      <w:r w:rsidR="00275036" w:rsidRPr="007F7EBF">
        <w:rPr>
          <w:bCs/>
          <w:i/>
          <w:iCs/>
          <w:color w:val="0000FF"/>
          <w:lang w:val="it-IT"/>
        </w:rPr>
        <w:t xml:space="preserve">’imposta di registro </w:t>
      </w:r>
    </w:p>
    <w:p w14:paraId="5CF8B25B" w14:textId="025E1FA4" w:rsidR="00217EAF" w:rsidRPr="007F7EBF" w:rsidRDefault="00864663" w:rsidP="00217EAF">
      <w:pPr>
        <w:autoSpaceDE w:val="0"/>
        <w:autoSpaceDN w:val="0"/>
        <w:adjustRightInd w:val="0"/>
        <w:rPr>
          <w:sz w:val="22"/>
          <w:szCs w:val="22"/>
        </w:rPr>
      </w:pPr>
      <w:r>
        <w:rPr>
          <w:sz w:val="22"/>
          <w:szCs w:val="22"/>
        </w:rPr>
        <w:t xml:space="preserve">Questa </w:t>
      </w:r>
      <w:r w:rsidR="00275036" w:rsidRPr="007F7EBF">
        <w:rPr>
          <w:sz w:val="22"/>
          <w:szCs w:val="22"/>
        </w:rPr>
        <w:t xml:space="preserve">"famiglia" di tributi </w:t>
      </w:r>
      <w:r>
        <w:rPr>
          <w:sz w:val="22"/>
          <w:szCs w:val="22"/>
        </w:rPr>
        <w:t xml:space="preserve">è </w:t>
      </w:r>
      <w:r w:rsidR="00275036" w:rsidRPr="007F7EBF">
        <w:rPr>
          <w:sz w:val="22"/>
          <w:szCs w:val="22"/>
        </w:rPr>
        <w:t xml:space="preserve">molto antica, e gravita </w:t>
      </w:r>
      <w:r>
        <w:rPr>
          <w:sz w:val="22"/>
          <w:szCs w:val="22"/>
        </w:rPr>
        <w:t xml:space="preserve">in Italia </w:t>
      </w:r>
      <w:r w:rsidR="00275036" w:rsidRPr="007F7EBF">
        <w:rPr>
          <w:sz w:val="22"/>
          <w:szCs w:val="22"/>
        </w:rPr>
        <w:t>attorno al</w:t>
      </w:r>
      <w:r w:rsidR="00274E25" w:rsidRPr="007F7EBF">
        <w:rPr>
          <w:sz w:val="22"/>
          <w:szCs w:val="22"/>
        </w:rPr>
        <w:t>l’</w:t>
      </w:r>
      <w:r w:rsidR="00624A6C" w:rsidRPr="007F7EBF">
        <w:rPr>
          <w:sz w:val="22"/>
          <w:szCs w:val="22"/>
        </w:rPr>
        <w:t xml:space="preserve"> </w:t>
      </w:r>
      <w:r w:rsidR="00274E25" w:rsidRPr="007F7EBF">
        <w:rPr>
          <w:bCs/>
          <w:sz w:val="22"/>
          <w:szCs w:val="22"/>
        </w:rPr>
        <w:t>imposta di registro</w:t>
      </w:r>
      <w:r>
        <w:t xml:space="preserve">, cui sono riconducibili </w:t>
      </w:r>
      <w:r w:rsidRPr="007F7EBF">
        <w:t>anche le imposte ipotecarie e catastali (immobiliari) e l’imposta sulle successioni, tanto da far parlare anche di “imposte notarili”.</w:t>
      </w:r>
      <w:r>
        <w:t xml:space="preserve"> Queste imposte, pur poco rilevanti in termini di gettito, hanno una notevole importanza storico-teorica</w:t>
      </w:r>
      <w:r w:rsidR="0043465C">
        <w:t>; a proposito di tali imposte sono infatti emerse per la prima volta l</w:t>
      </w:r>
      <w:r w:rsidR="00364AF6" w:rsidRPr="007F7EBF">
        <w:rPr>
          <w:sz w:val="22"/>
          <w:szCs w:val="22"/>
        </w:rPr>
        <w:t xml:space="preserve">e discussioni </w:t>
      </w:r>
      <w:r w:rsidR="0043465C">
        <w:rPr>
          <w:sz w:val="22"/>
          <w:szCs w:val="22"/>
        </w:rPr>
        <w:t xml:space="preserve">di cui al par.3.9 </w:t>
      </w:r>
      <w:r w:rsidR="00364AF6" w:rsidRPr="007F7EBF">
        <w:rPr>
          <w:sz w:val="22"/>
          <w:szCs w:val="22"/>
        </w:rPr>
        <w:t>sull'interpretazione</w:t>
      </w:r>
      <w:r w:rsidR="0043465C">
        <w:rPr>
          <w:sz w:val="22"/>
          <w:szCs w:val="22"/>
        </w:rPr>
        <w:t xml:space="preserve"> funzionale nel diritto tributario, tra </w:t>
      </w:r>
      <w:r w:rsidR="00364AF6" w:rsidRPr="007F7EBF">
        <w:rPr>
          <w:sz w:val="22"/>
          <w:szCs w:val="22"/>
        </w:rPr>
        <w:t>senso economico</w:t>
      </w:r>
      <w:r w:rsidR="0043465C">
        <w:rPr>
          <w:sz w:val="22"/>
          <w:szCs w:val="22"/>
        </w:rPr>
        <w:t xml:space="preserve"> e </w:t>
      </w:r>
      <w:r w:rsidR="00364AF6" w:rsidRPr="007F7EBF">
        <w:rPr>
          <w:sz w:val="22"/>
          <w:szCs w:val="22"/>
        </w:rPr>
        <w:t>senso civilistico</w:t>
      </w:r>
      <w:r w:rsidR="0043465C">
        <w:rPr>
          <w:sz w:val="22"/>
          <w:szCs w:val="22"/>
        </w:rPr>
        <w:t xml:space="preserve">. La visibilità degli imponibili </w:t>
      </w:r>
      <w:r w:rsidR="0043465C" w:rsidRPr="007F7EBF">
        <w:t xml:space="preserve">attraverso gli atti solenni ha anticipato, </w:t>
      </w:r>
      <w:r w:rsidR="0043465C">
        <w:t>più in generale</w:t>
      </w:r>
      <w:r w:rsidR="0043465C" w:rsidRPr="007F7EBF">
        <w:t xml:space="preserve">, la sua attuale determinabilità attraverso la </w:t>
      </w:r>
      <w:r w:rsidR="0043465C">
        <w:t>documentazione</w:t>
      </w:r>
      <w:r w:rsidR="0043465C" w:rsidRPr="007F7EBF">
        <w:t xml:space="preserve"> aziendale; </w:t>
      </w:r>
      <w:r w:rsidR="0043465C">
        <w:t>q</w:t>
      </w:r>
      <w:r w:rsidR="0043465C" w:rsidRPr="007F7EBF">
        <w:t>uest'ultima in definitiva consiste di una documentazione continuativa  di rapporti giuridici come gli atti soggetti a imposta di registro.</w:t>
      </w:r>
      <w:r w:rsidR="0043465C" w:rsidRPr="00864663">
        <w:t xml:space="preserve"> </w:t>
      </w:r>
      <w:r>
        <w:rPr>
          <w:sz w:val="22"/>
          <w:szCs w:val="22"/>
        </w:rPr>
        <w:t>(</w:t>
      </w:r>
      <w:r w:rsidRPr="007F7EBF">
        <w:rPr>
          <w:rStyle w:val="Rimandonotaapidipagina"/>
          <w:bCs/>
          <w:sz w:val="22"/>
          <w:szCs w:val="22"/>
        </w:rPr>
        <w:footnoteReference w:id="1361"/>
      </w:r>
      <w:r>
        <w:rPr>
          <w:sz w:val="22"/>
          <w:szCs w:val="22"/>
        </w:rPr>
        <w:t>).</w:t>
      </w:r>
    </w:p>
    <w:p w14:paraId="4BDF3668" w14:textId="77777777" w:rsidR="00217EAF" w:rsidRPr="007F7EBF" w:rsidRDefault="00217EAF" w:rsidP="00217EAF">
      <w:pPr>
        <w:pStyle w:val="tit23"/>
        <w:ind w:left="6464" w:right="-1361" w:firstLine="0"/>
        <w:jc w:val="left"/>
        <w:rPr>
          <w:bCs/>
          <w:i/>
          <w:iCs/>
          <w:color w:val="0000FF"/>
          <w:lang w:val="it-IT"/>
        </w:rPr>
      </w:pPr>
      <w:r w:rsidRPr="007F7EBF">
        <w:rPr>
          <w:bCs/>
          <w:i/>
          <w:iCs/>
          <w:color w:val="0000FF"/>
          <w:lang w:val="it-IT"/>
        </w:rPr>
        <w:t>Formalità giuridica come condizione di imponibilità</w:t>
      </w:r>
    </w:p>
    <w:p w14:paraId="4D371C75" w14:textId="2207289D" w:rsidR="00217EAF" w:rsidRPr="007F7EBF" w:rsidRDefault="00217EAF" w:rsidP="00B1660C">
      <w:pPr>
        <w:autoSpaceDE w:val="0"/>
        <w:autoSpaceDN w:val="0"/>
        <w:adjustRightInd w:val="0"/>
        <w:rPr>
          <w:bCs/>
          <w:i/>
          <w:iCs/>
          <w:color w:val="0000FF"/>
          <w:sz w:val="22"/>
          <w:szCs w:val="22"/>
        </w:rPr>
      </w:pPr>
      <w:r w:rsidRPr="007F7EBF">
        <w:rPr>
          <w:sz w:val="22"/>
          <w:szCs w:val="22"/>
        </w:rPr>
        <w:t>I</w:t>
      </w:r>
      <w:r w:rsidR="006342C5" w:rsidRPr="007F7EBF">
        <w:rPr>
          <w:sz w:val="22"/>
          <w:szCs w:val="22"/>
        </w:rPr>
        <w:t xml:space="preserve">l tributo </w:t>
      </w:r>
      <w:r w:rsidRPr="007F7EBF">
        <w:rPr>
          <w:sz w:val="22"/>
          <w:szCs w:val="22"/>
        </w:rPr>
        <w:t xml:space="preserve">non si applica agli "atti informali", </w:t>
      </w:r>
      <w:r w:rsidR="0043465C">
        <w:rPr>
          <w:sz w:val="22"/>
          <w:szCs w:val="22"/>
        </w:rPr>
        <w:t xml:space="preserve">come i contratti verbali o quelli per scambio di dichiarazioni; essa si applica </w:t>
      </w:r>
      <w:r w:rsidRPr="007F7EBF">
        <w:rPr>
          <w:sz w:val="22"/>
          <w:szCs w:val="22"/>
        </w:rPr>
        <w:t>solo a</w:t>
      </w:r>
      <w:r w:rsidR="0043465C">
        <w:rPr>
          <w:sz w:val="22"/>
          <w:szCs w:val="22"/>
        </w:rPr>
        <w:t xml:space="preserve">gli </w:t>
      </w:r>
      <w:r w:rsidR="00405313" w:rsidRPr="007F7EBF">
        <w:rPr>
          <w:sz w:val="22"/>
          <w:szCs w:val="22"/>
        </w:rPr>
        <w:t xml:space="preserve">atti </w:t>
      </w:r>
      <w:r w:rsidR="006342C5" w:rsidRPr="007F7EBF">
        <w:rPr>
          <w:sz w:val="22"/>
          <w:szCs w:val="22"/>
        </w:rPr>
        <w:t xml:space="preserve">che – per motivi di certezza giuridica – si decida di </w:t>
      </w:r>
      <w:r w:rsidR="0043465C">
        <w:rPr>
          <w:sz w:val="22"/>
          <w:szCs w:val="22"/>
        </w:rPr>
        <w:t xml:space="preserve">formalizzare in modo </w:t>
      </w:r>
      <w:r w:rsidR="006342C5" w:rsidRPr="007F7EBF">
        <w:rPr>
          <w:sz w:val="22"/>
          <w:szCs w:val="22"/>
        </w:rPr>
        <w:t>“solenn</w:t>
      </w:r>
      <w:r w:rsidR="0043465C">
        <w:rPr>
          <w:sz w:val="22"/>
          <w:szCs w:val="22"/>
        </w:rPr>
        <w:t>e</w:t>
      </w:r>
      <w:r w:rsidR="006342C5" w:rsidRPr="007F7EBF">
        <w:rPr>
          <w:sz w:val="22"/>
          <w:szCs w:val="22"/>
        </w:rPr>
        <w:t xml:space="preserve">”, in genere </w:t>
      </w:r>
      <w:r w:rsidR="0043465C">
        <w:rPr>
          <w:sz w:val="22"/>
          <w:szCs w:val="22"/>
        </w:rPr>
        <w:t xml:space="preserve">mediante </w:t>
      </w:r>
      <w:r w:rsidR="006342C5" w:rsidRPr="007F7EBF">
        <w:rPr>
          <w:sz w:val="22"/>
          <w:szCs w:val="22"/>
        </w:rPr>
        <w:t>pubblico ufficiale</w:t>
      </w:r>
      <w:r w:rsidR="00405313" w:rsidRPr="007F7EBF">
        <w:rPr>
          <w:sz w:val="22"/>
          <w:szCs w:val="22"/>
        </w:rPr>
        <w:t xml:space="preserve"> (notaio)</w:t>
      </w:r>
      <w:r w:rsidR="0043465C">
        <w:rPr>
          <w:sz w:val="22"/>
          <w:szCs w:val="22"/>
        </w:rPr>
        <w:t>, o in veste di  scrittura privata con sottoscrizione di entrambi i contraenti</w:t>
      </w:r>
      <w:r w:rsidR="00B1660C" w:rsidRPr="007F7EBF">
        <w:rPr>
          <w:sz w:val="22"/>
          <w:szCs w:val="22"/>
        </w:rPr>
        <w:t xml:space="preserve">. </w:t>
      </w:r>
    </w:p>
    <w:p w14:paraId="564B84D3" w14:textId="1166D43F" w:rsidR="00A857A4" w:rsidRPr="007F7EBF" w:rsidRDefault="00B1660C" w:rsidP="00A857A4">
      <w:pPr>
        <w:autoSpaceDE w:val="0"/>
        <w:autoSpaceDN w:val="0"/>
        <w:adjustRightInd w:val="0"/>
        <w:rPr>
          <w:sz w:val="22"/>
          <w:szCs w:val="22"/>
        </w:rPr>
      </w:pPr>
      <w:r w:rsidRPr="007F7EBF">
        <w:rPr>
          <w:sz w:val="22"/>
          <w:szCs w:val="22"/>
        </w:rPr>
        <w:t xml:space="preserve">Gli </w:t>
      </w:r>
      <w:r w:rsidRPr="007F7EBF">
        <w:rPr>
          <w:bCs/>
          <w:sz w:val="22"/>
          <w:szCs w:val="22"/>
        </w:rPr>
        <w:t>atti formali</w:t>
      </w:r>
      <w:r w:rsidRPr="007F7EBF">
        <w:rPr>
          <w:sz w:val="22"/>
          <w:szCs w:val="22"/>
        </w:rPr>
        <w:t xml:space="preserve">, per cui una simile imposta è “efficiente” sono </w:t>
      </w:r>
      <w:r w:rsidRPr="007F7EBF">
        <w:rPr>
          <w:bCs/>
          <w:sz w:val="22"/>
          <w:szCs w:val="22"/>
        </w:rPr>
        <w:t>in prevalenza quelli aventi ad oggetto la ricchezza immobiliare</w:t>
      </w:r>
      <w:r w:rsidRPr="007F7EBF">
        <w:rPr>
          <w:sz w:val="22"/>
          <w:szCs w:val="22"/>
        </w:rPr>
        <w:t xml:space="preserve">. </w:t>
      </w:r>
      <w:r w:rsidR="00A857A4" w:rsidRPr="007F7EBF">
        <w:rPr>
          <w:sz w:val="22"/>
          <w:szCs w:val="22"/>
        </w:rPr>
        <w:t>S</w:t>
      </w:r>
      <w:r w:rsidR="006342C5" w:rsidRPr="007F7EBF">
        <w:rPr>
          <w:sz w:val="22"/>
          <w:szCs w:val="22"/>
        </w:rPr>
        <w:t>olo per alcuni atti, come le</w:t>
      </w:r>
      <w:r w:rsidR="00274E25" w:rsidRPr="007F7EBF">
        <w:rPr>
          <w:sz w:val="22"/>
          <w:szCs w:val="22"/>
        </w:rPr>
        <w:t xml:space="preserve"> </w:t>
      </w:r>
      <w:r w:rsidR="006342C5" w:rsidRPr="007F7EBF">
        <w:rPr>
          <w:sz w:val="22"/>
          <w:szCs w:val="22"/>
        </w:rPr>
        <w:t xml:space="preserve">cessioni di </w:t>
      </w:r>
      <w:r w:rsidR="00405313" w:rsidRPr="007F7EBF">
        <w:rPr>
          <w:sz w:val="22"/>
          <w:szCs w:val="22"/>
        </w:rPr>
        <w:t>aziende</w:t>
      </w:r>
      <w:r w:rsidR="006342C5" w:rsidRPr="007F7EBF">
        <w:rPr>
          <w:sz w:val="22"/>
          <w:szCs w:val="22"/>
        </w:rPr>
        <w:t xml:space="preserve"> o le </w:t>
      </w:r>
      <w:r w:rsidR="00405313" w:rsidRPr="007F7EBF">
        <w:rPr>
          <w:sz w:val="22"/>
          <w:szCs w:val="22"/>
        </w:rPr>
        <w:t>l</w:t>
      </w:r>
      <w:r w:rsidR="006342C5" w:rsidRPr="007F7EBF">
        <w:rPr>
          <w:sz w:val="22"/>
          <w:szCs w:val="22"/>
        </w:rPr>
        <w:t xml:space="preserve">ocazioni immobiliari, è </w:t>
      </w:r>
      <w:r w:rsidR="00C02F57" w:rsidRPr="007F7EBF">
        <w:rPr>
          <w:sz w:val="22"/>
          <w:szCs w:val="22"/>
        </w:rPr>
        <w:t>applicata in via eccezionale</w:t>
      </w:r>
      <w:r w:rsidR="006342C5" w:rsidRPr="007F7EBF">
        <w:rPr>
          <w:sz w:val="22"/>
          <w:szCs w:val="22"/>
        </w:rPr>
        <w:t xml:space="preserve"> l’imposta</w:t>
      </w:r>
      <w:r w:rsidR="00405313" w:rsidRPr="007F7EBF">
        <w:rPr>
          <w:sz w:val="22"/>
          <w:szCs w:val="22"/>
        </w:rPr>
        <w:t xml:space="preserve"> </w:t>
      </w:r>
      <w:r w:rsidR="00C02F57" w:rsidRPr="007F7EBF">
        <w:rPr>
          <w:sz w:val="22"/>
          <w:szCs w:val="22"/>
        </w:rPr>
        <w:t xml:space="preserve">anche senza requisiti formali, </w:t>
      </w:r>
      <w:r w:rsidR="00C02F57" w:rsidRPr="007F7EBF">
        <w:rPr>
          <w:sz w:val="22"/>
          <w:szCs w:val="22"/>
        </w:rPr>
        <w:lastRenderedPageBreak/>
        <w:t xml:space="preserve">perché </w:t>
      </w:r>
      <w:r w:rsidR="006342C5" w:rsidRPr="007F7EBF">
        <w:rPr>
          <w:sz w:val="22"/>
          <w:szCs w:val="22"/>
        </w:rPr>
        <w:t>il rapporto è visibile in altro modo, per la sua</w:t>
      </w:r>
      <w:r w:rsidR="00274E25" w:rsidRPr="007F7EBF">
        <w:rPr>
          <w:sz w:val="22"/>
          <w:szCs w:val="22"/>
        </w:rPr>
        <w:t xml:space="preserve"> </w:t>
      </w:r>
      <w:r w:rsidR="006342C5" w:rsidRPr="007F7EBF">
        <w:rPr>
          <w:sz w:val="22"/>
          <w:szCs w:val="22"/>
        </w:rPr>
        <w:t>durata nel tempo (locazioni) o visibilità esteriore (cessione di aziende).</w:t>
      </w:r>
    </w:p>
    <w:p w14:paraId="2A338811" w14:textId="77777777" w:rsidR="00A857A4" w:rsidRPr="007F7EBF" w:rsidRDefault="00A857A4" w:rsidP="00A857A4">
      <w:pPr>
        <w:pStyle w:val="tit23"/>
        <w:ind w:left="6464" w:right="-1361" w:firstLine="0"/>
        <w:jc w:val="left"/>
        <w:rPr>
          <w:bCs/>
          <w:i/>
          <w:iCs/>
          <w:color w:val="0000FF"/>
          <w:lang w:val="it-IT"/>
        </w:rPr>
      </w:pPr>
      <w:r w:rsidRPr="007F7EBF">
        <w:rPr>
          <w:bCs/>
          <w:i/>
          <w:iCs/>
          <w:color w:val="0000FF"/>
          <w:lang w:val="it-IT"/>
        </w:rPr>
        <w:t>Atti scritti: limiti della “solennità”</w:t>
      </w:r>
    </w:p>
    <w:p w14:paraId="15F7BFDB" w14:textId="1336D7D2" w:rsidR="00274E25" w:rsidRPr="007F7EBF" w:rsidRDefault="00C02F57" w:rsidP="00A857A4">
      <w:pPr>
        <w:autoSpaceDE w:val="0"/>
        <w:autoSpaceDN w:val="0"/>
        <w:adjustRightInd w:val="0"/>
        <w:rPr>
          <w:bCs/>
          <w:i/>
          <w:iCs/>
          <w:color w:val="0000FF"/>
          <w:sz w:val="22"/>
          <w:szCs w:val="22"/>
        </w:rPr>
      </w:pPr>
      <w:r w:rsidRPr="007F7EBF">
        <w:rPr>
          <w:sz w:val="22"/>
          <w:szCs w:val="22"/>
        </w:rPr>
        <w:t xml:space="preserve">Per questo </w:t>
      </w:r>
      <w:r w:rsidR="006342C5" w:rsidRPr="007F7EBF">
        <w:rPr>
          <w:sz w:val="22"/>
          <w:szCs w:val="22"/>
        </w:rPr>
        <w:t xml:space="preserve">la solenne enunciazione </w:t>
      </w:r>
      <w:r w:rsidRPr="007F7EBF">
        <w:rPr>
          <w:sz w:val="22"/>
          <w:szCs w:val="22"/>
        </w:rPr>
        <w:t xml:space="preserve">di principio </w:t>
      </w:r>
      <w:r w:rsidR="006342C5" w:rsidRPr="007F7EBF">
        <w:rPr>
          <w:sz w:val="22"/>
          <w:szCs w:val="22"/>
        </w:rPr>
        <w:t>secondo cui l’imposta colpirebbe tutti gli atti scritti a</w:t>
      </w:r>
      <w:r w:rsidR="00274E25" w:rsidRPr="007F7EBF">
        <w:rPr>
          <w:sz w:val="22"/>
          <w:szCs w:val="22"/>
        </w:rPr>
        <w:t xml:space="preserve"> </w:t>
      </w:r>
      <w:r w:rsidR="006342C5" w:rsidRPr="007F7EBF">
        <w:rPr>
          <w:sz w:val="22"/>
          <w:szCs w:val="22"/>
        </w:rPr>
        <w:t>contenuto patrimoniale formati nel territorio dello Stato,</w:t>
      </w:r>
      <w:r w:rsidRPr="007F7EBF">
        <w:rPr>
          <w:sz w:val="22"/>
          <w:szCs w:val="22"/>
        </w:rPr>
        <w:t xml:space="preserve"> si ridimensiona subito </w:t>
      </w:r>
      <w:r w:rsidR="006342C5" w:rsidRPr="007F7EBF">
        <w:rPr>
          <w:sz w:val="22"/>
          <w:szCs w:val="22"/>
        </w:rPr>
        <w:t xml:space="preserve">per </w:t>
      </w:r>
      <w:r w:rsidR="00A26C59">
        <w:rPr>
          <w:sz w:val="22"/>
          <w:szCs w:val="22"/>
        </w:rPr>
        <w:t>la suddetta</w:t>
      </w:r>
      <w:r w:rsidR="006342C5" w:rsidRPr="007F7EBF">
        <w:rPr>
          <w:sz w:val="22"/>
          <w:szCs w:val="22"/>
        </w:rPr>
        <w:t xml:space="preserve"> </w:t>
      </w:r>
      <w:r w:rsidR="006342C5" w:rsidRPr="007F7EBF">
        <w:rPr>
          <w:bCs/>
          <w:sz w:val="22"/>
          <w:szCs w:val="22"/>
        </w:rPr>
        <w:t xml:space="preserve">esclusione degli atti formati per </w:t>
      </w:r>
      <w:r w:rsidR="006342C5" w:rsidRPr="007F7EBF">
        <w:rPr>
          <w:bCs/>
          <w:i/>
          <w:sz w:val="22"/>
          <w:szCs w:val="22"/>
        </w:rPr>
        <w:t>corrispondenza</w:t>
      </w:r>
      <w:r w:rsidR="006342C5" w:rsidRPr="007F7EBF">
        <w:rPr>
          <w:bCs/>
          <w:sz w:val="22"/>
          <w:szCs w:val="22"/>
        </w:rPr>
        <w:t xml:space="preserve">, </w:t>
      </w:r>
      <w:r w:rsidR="006342C5" w:rsidRPr="007F7EBF">
        <w:rPr>
          <w:sz w:val="22"/>
          <w:szCs w:val="22"/>
        </w:rPr>
        <w:t>nel senso</w:t>
      </w:r>
      <w:r w:rsidR="00274E25" w:rsidRPr="007F7EBF">
        <w:rPr>
          <w:sz w:val="22"/>
          <w:szCs w:val="22"/>
        </w:rPr>
        <w:t xml:space="preserve"> </w:t>
      </w:r>
      <w:r w:rsidR="006342C5" w:rsidRPr="007F7EBF">
        <w:rPr>
          <w:sz w:val="22"/>
          <w:szCs w:val="22"/>
        </w:rPr>
        <w:t>di “scambio di dichiarazio</w:t>
      </w:r>
      <w:r w:rsidR="00274E25" w:rsidRPr="007F7EBF">
        <w:rPr>
          <w:sz w:val="22"/>
          <w:szCs w:val="22"/>
        </w:rPr>
        <w:t>ni”</w:t>
      </w:r>
      <w:r w:rsidR="00A26C59">
        <w:rPr>
          <w:sz w:val="22"/>
          <w:szCs w:val="22"/>
        </w:rPr>
        <w:t>(</w:t>
      </w:r>
      <w:r w:rsidR="00364AF6" w:rsidRPr="007F7EBF">
        <w:rPr>
          <w:rStyle w:val="Rimandonotaapidipagina"/>
          <w:sz w:val="22"/>
          <w:szCs w:val="22"/>
        </w:rPr>
        <w:footnoteReference w:id="1362"/>
      </w:r>
      <w:r w:rsidR="00A26C59">
        <w:rPr>
          <w:sz w:val="22"/>
          <w:szCs w:val="22"/>
        </w:rPr>
        <w:t>)</w:t>
      </w:r>
      <w:r w:rsidRPr="007F7EBF">
        <w:rPr>
          <w:sz w:val="22"/>
          <w:szCs w:val="22"/>
        </w:rPr>
        <w:t>; tali atti</w:t>
      </w:r>
      <w:r w:rsidR="00274E25" w:rsidRPr="007F7EBF">
        <w:rPr>
          <w:sz w:val="22"/>
          <w:szCs w:val="22"/>
        </w:rPr>
        <w:t xml:space="preserve"> </w:t>
      </w:r>
      <w:r w:rsidR="00783483">
        <w:rPr>
          <w:sz w:val="22"/>
          <w:szCs w:val="22"/>
        </w:rPr>
        <w:t xml:space="preserve">informali </w:t>
      </w:r>
      <w:r w:rsidR="00274E25" w:rsidRPr="007F7EBF">
        <w:rPr>
          <w:sz w:val="22"/>
          <w:szCs w:val="22"/>
        </w:rPr>
        <w:t xml:space="preserve">non </w:t>
      </w:r>
      <w:r w:rsidRPr="007F7EBF">
        <w:rPr>
          <w:sz w:val="22"/>
          <w:szCs w:val="22"/>
        </w:rPr>
        <w:t>sono del resto altrimenti “visibili”, come indicato al par.1.10</w:t>
      </w:r>
      <w:r w:rsidR="00783483">
        <w:rPr>
          <w:sz w:val="22"/>
          <w:szCs w:val="22"/>
        </w:rPr>
        <w:t>, e ne m</w:t>
      </w:r>
      <w:r w:rsidR="00274E25" w:rsidRPr="007F7EBF">
        <w:rPr>
          <w:sz w:val="22"/>
          <w:szCs w:val="22"/>
        </w:rPr>
        <w:t xml:space="preserve">anca la "solennità minima" che consente una gestibile </w:t>
      </w:r>
      <w:r w:rsidR="00A857A4" w:rsidRPr="007F7EBF">
        <w:rPr>
          <w:sz w:val="22"/>
          <w:szCs w:val="22"/>
        </w:rPr>
        <w:t>effettività</w:t>
      </w:r>
      <w:r w:rsidR="00274E25" w:rsidRPr="007F7EBF">
        <w:rPr>
          <w:sz w:val="22"/>
          <w:szCs w:val="22"/>
        </w:rPr>
        <w:t xml:space="preserve"> del tributo. </w:t>
      </w:r>
    </w:p>
    <w:p w14:paraId="5C87F991" w14:textId="77777777" w:rsidR="00A857A4" w:rsidRPr="007F7EBF" w:rsidRDefault="00A857A4" w:rsidP="00A857A4">
      <w:pPr>
        <w:pStyle w:val="tit23"/>
        <w:ind w:left="6464" w:right="-1361" w:firstLine="0"/>
        <w:jc w:val="left"/>
        <w:rPr>
          <w:bCs/>
          <w:i/>
          <w:iCs/>
          <w:color w:val="0000FF"/>
          <w:lang w:val="it-IT"/>
        </w:rPr>
      </w:pPr>
      <w:r w:rsidRPr="007F7EBF">
        <w:rPr>
          <w:bCs/>
          <w:i/>
          <w:iCs/>
          <w:color w:val="0000FF"/>
          <w:lang w:val="it-IT"/>
        </w:rPr>
        <w:t>alternatività con l’IVA</w:t>
      </w:r>
    </w:p>
    <w:p w14:paraId="677E14AD" w14:textId="0085B946" w:rsidR="001253FC" w:rsidRPr="007F7EBF" w:rsidRDefault="00A26C59" w:rsidP="001253FC">
      <w:pPr>
        <w:autoSpaceDE w:val="0"/>
        <w:autoSpaceDN w:val="0"/>
        <w:adjustRightInd w:val="0"/>
        <w:rPr>
          <w:sz w:val="22"/>
          <w:szCs w:val="22"/>
        </w:rPr>
      </w:pPr>
      <w:r>
        <w:rPr>
          <w:sz w:val="22"/>
          <w:szCs w:val="22"/>
        </w:rPr>
        <w:t xml:space="preserve">L’alfabetizzazione di massa, la capacità diffusa di redigere contratti anche in forma “non notarile”, la diffusione della ricchezza mobiliare rispetto a quella immobiliare, hanno reso meno importante quest’imposta. Essa si è inoltre allontanata dal mondo degli operatori economici anche per </w:t>
      </w:r>
      <w:r w:rsidR="00783483">
        <w:rPr>
          <w:sz w:val="22"/>
          <w:szCs w:val="22"/>
        </w:rPr>
        <w:t xml:space="preserve">la presenza dell’IVA. </w:t>
      </w:r>
      <w:r>
        <w:rPr>
          <w:sz w:val="22"/>
          <w:szCs w:val="22"/>
        </w:rPr>
        <w:t xml:space="preserve">L’imposta di registro </w:t>
      </w:r>
      <w:r w:rsidR="00274E25" w:rsidRPr="007F7EBF">
        <w:rPr>
          <w:sz w:val="22"/>
          <w:szCs w:val="22"/>
        </w:rPr>
        <w:t xml:space="preserve">è </w:t>
      </w:r>
      <w:r w:rsidR="00783483">
        <w:rPr>
          <w:sz w:val="22"/>
          <w:szCs w:val="22"/>
        </w:rPr>
        <w:t xml:space="preserve">infatti </w:t>
      </w:r>
      <w:r w:rsidR="00405313" w:rsidRPr="007F7EBF">
        <w:rPr>
          <w:sz w:val="22"/>
          <w:szCs w:val="22"/>
        </w:rPr>
        <w:t xml:space="preserve">comunque </w:t>
      </w:r>
      <w:r w:rsidR="00274E25" w:rsidRPr="007F7EBF">
        <w:rPr>
          <w:sz w:val="22"/>
          <w:szCs w:val="22"/>
        </w:rPr>
        <w:t>esclus</w:t>
      </w:r>
      <w:r>
        <w:rPr>
          <w:sz w:val="22"/>
          <w:szCs w:val="22"/>
        </w:rPr>
        <w:t xml:space="preserve">a </w:t>
      </w:r>
      <w:r w:rsidR="00274E25" w:rsidRPr="007F7EBF">
        <w:rPr>
          <w:sz w:val="22"/>
          <w:szCs w:val="22"/>
        </w:rPr>
        <w:t xml:space="preserve">per </w:t>
      </w:r>
      <w:r w:rsidR="006342C5" w:rsidRPr="007F7EBF">
        <w:rPr>
          <w:bCs/>
          <w:sz w:val="22"/>
          <w:szCs w:val="22"/>
        </w:rPr>
        <w:t>operazioni soggette all’IVA</w:t>
      </w:r>
      <w:r w:rsidR="00783483">
        <w:rPr>
          <w:bCs/>
          <w:sz w:val="22"/>
          <w:szCs w:val="22"/>
        </w:rPr>
        <w:t xml:space="preserve"> (principio di alternatività “iva-registro”)</w:t>
      </w:r>
      <w:r w:rsidR="00405313" w:rsidRPr="007F7EBF">
        <w:rPr>
          <w:sz w:val="22"/>
          <w:szCs w:val="22"/>
        </w:rPr>
        <w:t xml:space="preserve">, il che </w:t>
      </w:r>
      <w:r w:rsidR="006342C5" w:rsidRPr="007F7EBF">
        <w:rPr>
          <w:sz w:val="22"/>
          <w:szCs w:val="22"/>
        </w:rPr>
        <w:t xml:space="preserve">sottrae alla </w:t>
      </w:r>
      <w:r w:rsidR="00405313" w:rsidRPr="007F7EBF">
        <w:rPr>
          <w:sz w:val="22"/>
          <w:szCs w:val="22"/>
        </w:rPr>
        <w:t xml:space="preserve">sua sfera applicativa </w:t>
      </w:r>
      <w:r w:rsidR="006342C5" w:rsidRPr="007F7EBF">
        <w:rPr>
          <w:sz w:val="22"/>
          <w:szCs w:val="22"/>
        </w:rPr>
        <w:t>anche</w:t>
      </w:r>
      <w:r w:rsidR="00274E25" w:rsidRPr="007F7EBF">
        <w:rPr>
          <w:sz w:val="22"/>
          <w:szCs w:val="22"/>
        </w:rPr>
        <w:t xml:space="preserve"> </w:t>
      </w:r>
      <w:r w:rsidR="006342C5" w:rsidRPr="007F7EBF">
        <w:rPr>
          <w:sz w:val="22"/>
          <w:szCs w:val="22"/>
        </w:rPr>
        <w:t>atti per i quali sussiste</w:t>
      </w:r>
      <w:r w:rsidR="00405313" w:rsidRPr="007F7EBF">
        <w:rPr>
          <w:sz w:val="22"/>
          <w:szCs w:val="22"/>
        </w:rPr>
        <w:t xml:space="preserve"> una forma giuridica “solenne”; in tal caso </w:t>
      </w:r>
      <w:r w:rsidR="006342C5" w:rsidRPr="007F7EBF">
        <w:rPr>
          <w:sz w:val="22"/>
          <w:szCs w:val="22"/>
        </w:rPr>
        <w:t xml:space="preserve">l’imposta di registro </w:t>
      </w:r>
      <w:r w:rsidR="00405313" w:rsidRPr="007F7EBF">
        <w:rPr>
          <w:sz w:val="22"/>
          <w:szCs w:val="22"/>
        </w:rPr>
        <w:t xml:space="preserve">è dovuta </w:t>
      </w:r>
      <w:r w:rsidR="006342C5" w:rsidRPr="007F7EBF">
        <w:rPr>
          <w:sz w:val="22"/>
          <w:szCs w:val="22"/>
        </w:rPr>
        <w:t>in misura fissa (</w:t>
      </w:r>
      <w:r>
        <w:rPr>
          <w:sz w:val="22"/>
          <w:szCs w:val="22"/>
        </w:rPr>
        <w:t>attorno ai 200</w:t>
      </w:r>
      <w:r w:rsidR="006342C5" w:rsidRPr="007F7EBF">
        <w:rPr>
          <w:sz w:val="22"/>
          <w:szCs w:val="22"/>
        </w:rPr>
        <w:t xml:space="preserve"> euro), non nella misura proporzionale</w:t>
      </w:r>
      <w:r w:rsidR="00274E25" w:rsidRPr="007F7EBF">
        <w:rPr>
          <w:sz w:val="22"/>
          <w:szCs w:val="22"/>
        </w:rPr>
        <w:t xml:space="preserve"> </w:t>
      </w:r>
      <w:r w:rsidR="006342C5" w:rsidRPr="007F7EBF">
        <w:rPr>
          <w:sz w:val="22"/>
          <w:szCs w:val="22"/>
        </w:rPr>
        <w:t>di cui diremo subito.</w:t>
      </w:r>
    </w:p>
    <w:p w14:paraId="6AEC2B5A" w14:textId="77777777" w:rsidR="001253FC" w:rsidRPr="007F7EBF" w:rsidRDefault="001253FC" w:rsidP="001253FC">
      <w:pPr>
        <w:pStyle w:val="tit22"/>
        <w:spacing w:before="0"/>
        <w:ind w:left="6577" w:right="-1361" w:firstLine="0"/>
        <w:jc w:val="left"/>
        <w:rPr>
          <w:bCs/>
          <w:i/>
          <w:iCs/>
          <w:color w:val="0000FF"/>
          <w:lang w:val="it-IT"/>
        </w:rPr>
      </w:pPr>
      <w:r w:rsidRPr="007F7EBF">
        <w:rPr>
          <w:bCs/>
          <w:i/>
          <w:iCs/>
          <w:color w:val="0000FF"/>
          <w:lang w:val="it-IT"/>
        </w:rPr>
        <w:t>struttura del tributo: la tariffa</w:t>
      </w:r>
    </w:p>
    <w:p w14:paraId="01481B3A" w14:textId="7557ED2D" w:rsidR="001253FC" w:rsidRPr="007F7EBF" w:rsidRDefault="001253FC" w:rsidP="00ED3EF3">
      <w:pPr>
        <w:pStyle w:val="tit23"/>
        <w:ind w:firstLine="0"/>
        <w:rPr>
          <w:lang w:val="it-IT"/>
        </w:rPr>
      </w:pPr>
      <w:r w:rsidRPr="007F7EBF">
        <w:rPr>
          <w:lang w:val="it-IT"/>
        </w:rPr>
        <w:t>L’imposta di registro ha una struttura legislativa analoga ad altr</w:t>
      </w:r>
      <w:r w:rsidR="00724C49">
        <w:rPr>
          <w:lang w:val="it-IT"/>
        </w:rPr>
        <w:t>e imposte indirette (</w:t>
      </w:r>
      <w:r w:rsidRPr="007F7EBF">
        <w:rPr>
          <w:rStyle w:val="Rimandonotaapidipagina"/>
          <w:lang w:val="it-IT"/>
        </w:rPr>
        <w:footnoteReference w:id="1363"/>
      </w:r>
      <w:r w:rsidR="00724C49">
        <w:rPr>
          <w:lang w:val="it-IT"/>
        </w:rPr>
        <w:t>)</w:t>
      </w:r>
      <w:r w:rsidRPr="007F7EBF">
        <w:rPr>
          <w:lang w:val="it-IT"/>
        </w:rPr>
        <w:t>, con una parte comune e poi una “tariffa”, composta di vari articoli riferiti a tipologie omogenee di atti giuridic</w:t>
      </w:r>
      <w:r w:rsidR="00C06A68" w:rsidRPr="007F7EBF">
        <w:rPr>
          <w:lang w:val="it-IT"/>
        </w:rPr>
        <w:t>i</w:t>
      </w:r>
      <w:r w:rsidR="00783483">
        <w:rPr>
          <w:lang w:val="it-IT"/>
        </w:rPr>
        <w:t>; tali atti sono</w:t>
      </w:r>
      <w:r w:rsidR="00C06A68" w:rsidRPr="007F7EBF">
        <w:rPr>
          <w:lang w:val="it-IT"/>
        </w:rPr>
        <w:t xml:space="preserve"> raggruppati dal riferimento </w:t>
      </w:r>
      <w:r w:rsidR="00520CC3" w:rsidRPr="007F7EBF">
        <w:rPr>
          <w:lang w:val="it-IT"/>
        </w:rPr>
        <w:t xml:space="preserve">ad </w:t>
      </w:r>
      <w:r w:rsidRPr="007F7EBF">
        <w:rPr>
          <w:lang w:val="it-IT"/>
        </w:rPr>
        <w:t>immobili, ad operazioni societarie, a sentenze, ad atti automobilistici, etc.. Ciascun articolo della tariffa si articola a sua volta, di solito, in numerose previsioni</w:t>
      </w:r>
      <w:r w:rsidR="00520CC3" w:rsidRPr="007F7EBF">
        <w:rPr>
          <w:lang w:val="it-IT"/>
        </w:rPr>
        <w:t xml:space="preserve">, anche molto </w:t>
      </w:r>
      <w:r w:rsidR="00783483">
        <w:rPr>
          <w:lang w:val="it-IT"/>
        </w:rPr>
        <w:t>dettagliate e circostanziate</w:t>
      </w:r>
      <w:r w:rsidR="00A26C59">
        <w:rPr>
          <w:lang w:val="it-IT"/>
        </w:rPr>
        <w:t>, come ad esempio quelle per la “prima casa”</w:t>
      </w:r>
      <w:r w:rsidRPr="007F7EBF">
        <w:rPr>
          <w:lang w:val="it-IT"/>
        </w:rPr>
        <w:t xml:space="preserve">. </w:t>
      </w:r>
    </w:p>
    <w:p w14:paraId="4649398A" w14:textId="77777777" w:rsidR="001253FC" w:rsidRPr="007F7EBF" w:rsidRDefault="00520CC3" w:rsidP="001253FC">
      <w:pPr>
        <w:pStyle w:val="tit23"/>
        <w:ind w:left="6464" w:right="-1361" w:firstLine="0"/>
        <w:jc w:val="left"/>
        <w:rPr>
          <w:bCs/>
          <w:i/>
          <w:iCs/>
          <w:color w:val="0000FF"/>
          <w:lang w:val="it-IT"/>
        </w:rPr>
      </w:pPr>
      <w:r w:rsidRPr="007F7EBF">
        <w:rPr>
          <w:bCs/>
          <w:i/>
          <w:iCs/>
          <w:color w:val="0000FF"/>
          <w:lang w:val="it-IT"/>
        </w:rPr>
        <w:lastRenderedPageBreak/>
        <w:t xml:space="preserve">Panorama delle aliquote </w:t>
      </w:r>
      <w:r w:rsidR="001253FC" w:rsidRPr="007F7EBF">
        <w:rPr>
          <w:bCs/>
          <w:i/>
          <w:iCs/>
          <w:color w:val="0000FF"/>
          <w:lang w:val="it-IT"/>
        </w:rPr>
        <w:t xml:space="preserve"> </w:t>
      </w:r>
    </w:p>
    <w:p w14:paraId="02314931" w14:textId="77777777" w:rsidR="001253FC" w:rsidRPr="007F7EBF" w:rsidRDefault="006342C5" w:rsidP="00520CC3">
      <w:pPr>
        <w:autoSpaceDE w:val="0"/>
        <w:autoSpaceDN w:val="0"/>
        <w:adjustRightInd w:val="0"/>
        <w:rPr>
          <w:bCs/>
          <w:i/>
          <w:iCs/>
          <w:color w:val="0000FF"/>
          <w:sz w:val="22"/>
          <w:szCs w:val="22"/>
        </w:rPr>
      </w:pPr>
      <w:r w:rsidRPr="007F7EBF">
        <w:rPr>
          <w:sz w:val="22"/>
          <w:szCs w:val="22"/>
        </w:rPr>
        <w:t xml:space="preserve">I </w:t>
      </w:r>
      <w:r w:rsidRPr="007F7EBF">
        <w:rPr>
          <w:bCs/>
          <w:sz w:val="22"/>
          <w:szCs w:val="22"/>
        </w:rPr>
        <w:t xml:space="preserve">trasferimenti di </w:t>
      </w:r>
      <w:r w:rsidR="00A857A4" w:rsidRPr="007F7EBF">
        <w:rPr>
          <w:bCs/>
          <w:sz w:val="22"/>
          <w:szCs w:val="22"/>
        </w:rPr>
        <w:t xml:space="preserve">diritti reali su </w:t>
      </w:r>
      <w:r w:rsidRPr="007F7EBF">
        <w:rPr>
          <w:bCs/>
          <w:sz w:val="22"/>
          <w:szCs w:val="22"/>
        </w:rPr>
        <w:t xml:space="preserve">beni immobili </w:t>
      </w:r>
      <w:r w:rsidRPr="007F7EBF">
        <w:rPr>
          <w:sz w:val="22"/>
          <w:szCs w:val="22"/>
        </w:rPr>
        <w:t>sono soggetti ad aliquote elevate (7% per i fabbricati</w:t>
      </w:r>
      <w:r w:rsidR="00274E25" w:rsidRPr="007F7EBF">
        <w:rPr>
          <w:sz w:val="22"/>
          <w:szCs w:val="22"/>
        </w:rPr>
        <w:t xml:space="preserve"> </w:t>
      </w:r>
      <w:r w:rsidRPr="007F7EBF">
        <w:rPr>
          <w:sz w:val="22"/>
          <w:szCs w:val="22"/>
        </w:rPr>
        <w:t>e 15% per i terreni), più le imposte ipotecarie e catastali</w:t>
      </w:r>
      <w:r w:rsidR="0073119A" w:rsidRPr="007F7EBF">
        <w:rPr>
          <w:rStyle w:val="Rimandonotaapidipagina"/>
          <w:sz w:val="22"/>
          <w:szCs w:val="22"/>
        </w:rPr>
        <w:footnoteReference w:id="1364"/>
      </w:r>
      <w:r w:rsidRPr="007F7EBF">
        <w:rPr>
          <w:sz w:val="22"/>
          <w:szCs w:val="22"/>
        </w:rPr>
        <w:t>, applicate nella misura</w:t>
      </w:r>
      <w:r w:rsidR="0073119A" w:rsidRPr="007F7EBF">
        <w:rPr>
          <w:sz w:val="22"/>
          <w:szCs w:val="22"/>
        </w:rPr>
        <w:t xml:space="preserve"> </w:t>
      </w:r>
      <w:r w:rsidRPr="007F7EBF">
        <w:rPr>
          <w:sz w:val="22"/>
          <w:szCs w:val="22"/>
        </w:rPr>
        <w:t>complessiva del 3%</w:t>
      </w:r>
      <w:r w:rsidR="00405313" w:rsidRPr="007F7EBF">
        <w:rPr>
          <w:sz w:val="22"/>
          <w:szCs w:val="22"/>
        </w:rPr>
        <w:t xml:space="preserve"> (</w:t>
      </w:r>
      <w:r w:rsidR="00520CC3" w:rsidRPr="007F7EBF">
        <w:rPr>
          <w:rStyle w:val="Rimandonotaapidipagina"/>
          <w:sz w:val="22"/>
          <w:szCs w:val="22"/>
        </w:rPr>
        <w:footnoteReference w:id="1365"/>
      </w:r>
      <w:r w:rsidR="00520CC3" w:rsidRPr="007F7EBF">
        <w:rPr>
          <w:sz w:val="22"/>
          <w:szCs w:val="22"/>
        </w:rPr>
        <w:t>)</w:t>
      </w:r>
      <w:r w:rsidRPr="007F7EBF">
        <w:rPr>
          <w:sz w:val="22"/>
          <w:szCs w:val="22"/>
        </w:rPr>
        <w:t>.</w:t>
      </w:r>
      <w:r w:rsidR="00D52A76" w:rsidRPr="007F7EBF">
        <w:rPr>
          <w:sz w:val="22"/>
          <w:szCs w:val="22"/>
        </w:rPr>
        <w:t xml:space="preserve"> </w:t>
      </w:r>
    </w:p>
    <w:p w14:paraId="37D18483" w14:textId="3A555AC9" w:rsidR="001253FC" w:rsidRPr="007F7EBF" w:rsidRDefault="00724C49" w:rsidP="001253FC">
      <w:pPr>
        <w:autoSpaceDE w:val="0"/>
        <w:autoSpaceDN w:val="0"/>
        <w:adjustRightInd w:val="0"/>
        <w:rPr>
          <w:sz w:val="22"/>
          <w:szCs w:val="22"/>
        </w:rPr>
      </w:pPr>
      <w:r w:rsidRPr="007F7EBF">
        <w:rPr>
          <w:sz w:val="22"/>
          <w:szCs w:val="22"/>
        </w:rPr>
        <w:t xml:space="preserve">Sono soggette ad imposta, in quanto atti solenni, anche le </w:t>
      </w:r>
      <w:r w:rsidRPr="007F7EBF">
        <w:rPr>
          <w:bCs/>
          <w:sz w:val="22"/>
          <w:szCs w:val="22"/>
        </w:rPr>
        <w:t>sentenze</w:t>
      </w:r>
      <w:r w:rsidRPr="007F7EBF">
        <w:rPr>
          <w:sz w:val="22"/>
          <w:szCs w:val="22"/>
        </w:rPr>
        <w:t>, cercando di riprodurre il regime applicabile ove una manifestazione economica analoga fosse invece realizzata contrattualmente</w:t>
      </w:r>
      <w:r w:rsidR="00A26C59">
        <w:rPr>
          <w:sz w:val="22"/>
          <w:szCs w:val="22"/>
        </w:rPr>
        <w:t xml:space="preserve"> (</w:t>
      </w:r>
      <w:r w:rsidRPr="007F7EBF">
        <w:rPr>
          <w:rStyle w:val="Rimandonotaapidipagina"/>
          <w:sz w:val="22"/>
          <w:szCs w:val="22"/>
        </w:rPr>
        <w:footnoteReference w:id="1366"/>
      </w:r>
      <w:r w:rsidR="00A26C59">
        <w:rPr>
          <w:sz w:val="22"/>
          <w:szCs w:val="22"/>
        </w:rPr>
        <w:t>)</w:t>
      </w:r>
      <w:r w:rsidRPr="007F7EBF">
        <w:rPr>
          <w:sz w:val="22"/>
          <w:szCs w:val="22"/>
        </w:rPr>
        <w:t xml:space="preserve">. </w:t>
      </w:r>
      <w:r w:rsidR="001253FC" w:rsidRPr="007F7EBF">
        <w:rPr>
          <w:sz w:val="22"/>
          <w:szCs w:val="22"/>
        </w:rPr>
        <w:t>La voce prevista per gli "atti societari" si è praticamente svuotata a seguito della detassazione comunitaria delle operazioni di conferimento, fu</w:t>
      </w:r>
      <w:r w:rsidR="00520CC3" w:rsidRPr="007F7EBF">
        <w:rPr>
          <w:sz w:val="22"/>
          <w:szCs w:val="22"/>
        </w:rPr>
        <w:t>s</w:t>
      </w:r>
      <w:r w:rsidR="001253FC" w:rsidRPr="007F7EBF">
        <w:rPr>
          <w:sz w:val="22"/>
          <w:szCs w:val="22"/>
        </w:rPr>
        <w:t xml:space="preserve">ione, scissione etc. </w:t>
      </w:r>
      <w:r w:rsidR="00ED44CF" w:rsidRPr="007F7EBF">
        <w:rPr>
          <w:sz w:val="22"/>
          <w:szCs w:val="22"/>
        </w:rPr>
        <w:t xml:space="preserve">Frequente è l'applicazione delle </w:t>
      </w:r>
      <w:r w:rsidR="001253FC" w:rsidRPr="007F7EBF">
        <w:rPr>
          <w:sz w:val="22"/>
          <w:szCs w:val="22"/>
        </w:rPr>
        <w:t>aliquote speciali per le cessioni di autovetture (</w:t>
      </w:r>
      <w:r w:rsidR="00ED44CF" w:rsidRPr="007F7EBF">
        <w:rPr>
          <w:rStyle w:val="Rimandonotaapidipagina"/>
          <w:sz w:val="22"/>
          <w:szCs w:val="22"/>
        </w:rPr>
        <w:footnoteReference w:id="1367"/>
      </w:r>
      <w:r w:rsidR="001253FC" w:rsidRPr="007F7EBF">
        <w:rPr>
          <w:sz w:val="22"/>
          <w:szCs w:val="22"/>
        </w:rPr>
        <w:t xml:space="preserve">); </w:t>
      </w:r>
      <w:r w:rsidR="00B1660C" w:rsidRPr="007F7EBF">
        <w:rPr>
          <w:sz w:val="22"/>
          <w:szCs w:val="22"/>
        </w:rPr>
        <w:t>l'a</w:t>
      </w:r>
      <w:r w:rsidR="001253FC" w:rsidRPr="007F7EBF">
        <w:rPr>
          <w:sz w:val="22"/>
          <w:szCs w:val="22"/>
        </w:rPr>
        <w:t xml:space="preserve">liquota generale </w:t>
      </w:r>
      <w:r w:rsidR="00B1660C" w:rsidRPr="007F7EBF">
        <w:rPr>
          <w:sz w:val="22"/>
          <w:szCs w:val="22"/>
        </w:rPr>
        <w:t xml:space="preserve">residuale, </w:t>
      </w:r>
      <w:r w:rsidR="001253FC" w:rsidRPr="007F7EBF">
        <w:rPr>
          <w:sz w:val="22"/>
          <w:szCs w:val="22"/>
        </w:rPr>
        <w:t>per ogni altro atto "formale" da registrare</w:t>
      </w:r>
      <w:r w:rsidR="00B1660C" w:rsidRPr="007F7EBF">
        <w:rPr>
          <w:sz w:val="22"/>
          <w:szCs w:val="22"/>
        </w:rPr>
        <w:t xml:space="preserve">, è del 3 percento </w:t>
      </w:r>
      <w:r>
        <w:rPr>
          <w:sz w:val="22"/>
          <w:szCs w:val="22"/>
        </w:rPr>
        <w:t>(</w:t>
      </w:r>
      <w:r w:rsidR="001253FC" w:rsidRPr="007F7EBF">
        <w:rPr>
          <w:rStyle w:val="Rimandonotaapidipagina"/>
          <w:sz w:val="22"/>
          <w:szCs w:val="22"/>
        </w:rPr>
        <w:footnoteReference w:id="1368"/>
      </w:r>
      <w:r>
        <w:rPr>
          <w:sz w:val="22"/>
          <w:szCs w:val="22"/>
        </w:rPr>
        <w:t>)</w:t>
      </w:r>
      <w:r w:rsidR="001253FC" w:rsidRPr="007F7EBF">
        <w:rPr>
          <w:sz w:val="22"/>
          <w:szCs w:val="22"/>
        </w:rPr>
        <w:t xml:space="preserve">. </w:t>
      </w:r>
    </w:p>
    <w:p w14:paraId="7BD579C5" w14:textId="77777777" w:rsidR="001253FC" w:rsidRPr="007F7EBF" w:rsidRDefault="001253FC" w:rsidP="001253FC">
      <w:pPr>
        <w:pStyle w:val="tit23"/>
        <w:ind w:left="6464" w:right="-1361" w:firstLine="0"/>
        <w:jc w:val="left"/>
        <w:rPr>
          <w:bCs/>
          <w:i/>
          <w:iCs/>
          <w:color w:val="0000FF"/>
          <w:lang w:val="it-IT"/>
        </w:rPr>
      </w:pPr>
      <w:r w:rsidRPr="007F7EBF">
        <w:rPr>
          <w:bCs/>
          <w:i/>
          <w:iCs/>
          <w:color w:val="0000FF"/>
          <w:lang w:val="it-IT"/>
        </w:rPr>
        <w:t>Ruolo dei pubblici ufficiali e punti di forza</w:t>
      </w:r>
    </w:p>
    <w:p w14:paraId="47AD65CA" w14:textId="0F56010D" w:rsidR="00B1660C" w:rsidRPr="007F7EBF" w:rsidRDefault="006342C5" w:rsidP="00B1660C">
      <w:pPr>
        <w:autoSpaceDE w:val="0"/>
        <w:autoSpaceDN w:val="0"/>
        <w:adjustRightInd w:val="0"/>
        <w:rPr>
          <w:sz w:val="22"/>
          <w:szCs w:val="22"/>
        </w:rPr>
      </w:pPr>
      <w:r w:rsidRPr="007F7EBF">
        <w:rPr>
          <w:sz w:val="22"/>
          <w:szCs w:val="22"/>
        </w:rPr>
        <w:t xml:space="preserve">L’imposta </w:t>
      </w:r>
      <w:r w:rsidRPr="007F7EBF">
        <w:rPr>
          <w:bCs/>
          <w:sz w:val="22"/>
          <w:szCs w:val="22"/>
        </w:rPr>
        <w:t xml:space="preserve">fa perno sui pubblici ufficiali </w:t>
      </w:r>
      <w:r w:rsidRPr="007F7EBF">
        <w:rPr>
          <w:sz w:val="22"/>
          <w:szCs w:val="22"/>
        </w:rPr>
        <w:t>(ad es. notai), che devono chiedere la</w:t>
      </w:r>
      <w:r w:rsidR="00D52A76" w:rsidRPr="007F7EBF">
        <w:rPr>
          <w:sz w:val="22"/>
          <w:szCs w:val="22"/>
        </w:rPr>
        <w:t xml:space="preserve"> </w:t>
      </w:r>
      <w:r w:rsidRPr="007F7EBF">
        <w:rPr>
          <w:sz w:val="22"/>
          <w:szCs w:val="22"/>
        </w:rPr>
        <w:t>registrazione per gli atti che redigono, ferma restando la responsabilità delle</w:t>
      </w:r>
      <w:r w:rsidR="00F14C1B" w:rsidRPr="007F7EBF">
        <w:rPr>
          <w:sz w:val="22"/>
          <w:szCs w:val="22"/>
        </w:rPr>
        <w:t xml:space="preserve"> </w:t>
      </w:r>
      <w:r w:rsidRPr="007F7EBF">
        <w:rPr>
          <w:sz w:val="22"/>
          <w:szCs w:val="22"/>
        </w:rPr>
        <w:t>parti, cui si riferisce la ricchezza</w:t>
      </w:r>
      <w:r w:rsidR="00A26C59">
        <w:rPr>
          <w:sz w:val="22"/>
          <w:szCs w:val="22"/>
        </w:rPr>
        <w:t xml:space="preserve"> (</w:t>
      </w:r>
      <w:r w:rsidR="00A26C59">
        <w:rPr>
          <w:rStyle w:val="Rimandonotaapidipagina"/>
          <w:sz w:val="22"/>
          <w:szCs w:val="22"/>
        </w:rPr>
        <w:footnoteReference w:id="1369"/>
      </w:r>
      <w:r w:rsidR="00A26C59">
        <w:rPr>
          <w:sz w:val="22"/>
          <w:szCs w:val="22"/>
        </w:rPr>
        <w:t>)</w:t>
      </w:r>
      <w:r w:rsidRPr="007F7EBF">
        <w:rPr>
          <w:sz w:val="22"/>
          <w:szCs w:val="22"/>
        </w:rPr>
        <w:t>.</w:t>
      </w:r>
      <w:r w:rsidR="00F14C1B" w:rsidRPr="007F7EBF">
        <w:rPr>
          <w:sz w:val="22"/>
          <w:szCs w:val="22"/>
        </w:rPr>
        <w:t xml:space="preserve"> </w:t>
      </w:r>
      <w:r w:rsidR="00B1660C" w:rsidRPr="007F7EBF">
        <w:rPr>
          <w:sz w:val="22"/>
          <w:szCs w:val="22"/>
        </w:rPr>
        <w:t>L'imposta colpisce il patrimonio quando cambia titolare, in genere a fronte di corrispettivi in danaro, da cui è possibile attingere per il pagamento, senza i problemi di liquidità degli altri tributi sul patrimonio</w:t>
      </w:r>
      <w:r w:rsidR="00724C49">
        <w:rPr>
          <w:sz w:val="22"/>
          <w:szCs w:val="22"/>
        </w:rPr>
        <w:t>(</w:t>
      </w:r>
      <w:r w:rsidR="00B1660C" w:rsidRPr="007F7EBF">
        <w:rPr>
          <w:rStyle w:val="Rimandonotaapidipagina"/>
          <w:sz w:val="22"/>
          <w:szCs w:val="22"/>
        </w:rPr>
        <w:footnoteReference w:id="1370"/>
      </w:r>
      <w:r w:rsidR="00724C49">
        <w:rPr>
          <w:sz w:val="22"/>
          <w:szCs w:val="22"/>
        </w:rPr>
        <w:t>)</w:t>
      </w:r>
      <w:r w:rsidR="00B1660C" w:rsidRPr="007F7EBF">
        <w:rPr>
          <w:sz w:val="22"/>
          <w:szCs w:val="22"/>
        </w:rPr>
        <w:t>.</w:t>
      </w:r>
    </w:p>
    <w:p w14:paraId="05A7710A" w14:textId="77777777" w:rsidR="00ED44CF" w:rsidRPr="007F7EBF" w:rsidRDefault="00ED44CF" w:rsidP="00ED44CF">
      <w:pPr>
        <w:pStyle w:val="tit23"/>
        <w:ind w:left="6464" w:right="-1361" w:firstLine="0"/>
        <w:jc w:val="left"/>
        <w:rPr>
          <w:bCs/>
          <w:i/>
          <w:iCs/>
          <w:color w:val="0000FF"/>
          <w:lang w:val="it-IT"/>
        </w:rPr>
      </w:pPr>
      <w:r w:rsidRPr="007F7EBF">
        <w:rPr>
          <w:bCs/>
          <w:i/>
          <w:iCs/>
          <w:color w:val="0000FF"/>
          <w:lang w:val="it-IT"/>
        </w:rPr>
        <w:t xml:space="preserve">Corrispettivo e </w:t>
      </w:r>
      <w:r w:rsidR="00B1660C" w:rsidRPr="007F7EBF">
        <w:rPr>
          <w:bCs/>
          <w:i/>
          <w:iCs/>
          <w:color w:val="0000FF"/>
          <w:lang w:val="it-IT"/>
        </w:rPr>
        <w:t xml:space="preserve">controversie sul </w:t>
      </w:r>
      <w:r w:rsidRPr="007F7EBF">
        <w:rPr>
          <w:bCs/>
          <w:i/>
          <w:iCs/>
          <w:color w:val="0000FF"/>
          <w:lang w:val="it-IT"/>
        </w:rPr>
        <w:t>valore normale immobili</w:t>
      </w:r>
    </w:p>
    <w:p w14:paraId="67DB8D69" w14:textId="73180EBB" w:rsidR="00675A51" w:rsidRPr="007F7EBF" w:rsidRDefault="00A26C59" w:rsidP="00405313">
      <w:pPr>
        <w:autoSpaceDE w:val="0"/>
        <w:autoSpaceDN w:val="0"/>
        <w:adjustRightInd w:val="0"/>
        <w:rPr>
          <w:bCs/>
          <w:i/>
          <w:iCs/>
          <w:color w:val="0000FF"/>
          <w:sz w:val="22"/>
          <w:szCs w:val="22"/>
        </w:rPr>
      </w:pPr>
      <w:r w:rsidRPr="007F7EBF">
        <w:rPr>
          <w:sz w:val="22"/>
          <w:szCs w:val="22"/>
        </w:rPr>
        <w:lastRenderedPageBreak/>
        <w:t xml:space="preserve">Il punto di forza del tributo è l'interesse delle parti alla </w:t>
      </w:r>
      <w:r w:rsidRPr="007F7EBF">
        <w:rPr>
          <w:bCs/>
          <w:sz w:val="22"/>
          <w:szCs w:val="22"/>
        </w:rPr>
        <w:t>trascrizione dell’atto immobiliare</w:t>
      </w:r>
      <w:r w:rsidRPr="007F7EBF">
        <w:rPr>
          <w:sz w:val="22"/>
          <w:szCs w:val="22"/>
        </w:rPr>
        <w:t xml:space="preserve">, mentre non c'è un analogo interesse all’emersione del prezzo effettivo. </w:t>
      </w:r>
      <w:r w:rsidR="00ED44CF" w:rsidRPr="007F7EBF">
        <w:rPr>
          <w:sz w:val="22"/>
          <w:szCs w:val="22"/>
        </w:rPr>
        <w:t xml:space="preserve">Per questo, a differenza di quanto avviene nella tassazione attraverso le aziende, </w:t>
      </w:r>
      <w:r w:rsidR="006342C5" w:rsidRPr="007F7EBF">
        <w:rPr>
          <w:sz w:val="22"/>
          <w:szCs w:val="22"/>
        </w:rPr>
        <w:t>sarebbe</w:t>
      </w:r>
      <w:r w:rsidR="00ED44CF" w:rsidRPr="007F7EBF">
        <w:rPr>
          <w:sz w:val="22"/>
          <w:szCs w:val="22"/>
        </w:rPr>
        <w:t xml:space="preserve"> </w:t>
      </w:r>
      <w:r w:rsidR="006342C5" w:rsidRPr="007F7EBF">
        <w:rPr>
          <w:sz w:val="22"/>
          <w:szCs w:val="22"/>
        </w:rPr>
        <w:t>quindi troppo pericoloso, sul piano della cautela fiscale, prevedere la tassazione solo in</w:t>
      </w:r>
      <w:r w:rsidR="00F14C1B" w:rsidRPr="007F7EBF">
        <w:rPr>
          <w:sz w:val="22"/>
          <w:szCs w:val="22"/>
        </w:rPr>
        <w:t xml:space="preserve"> </w:t>
      </w:r>
      <w:r w:rsidR="006342C5" w:rsidRPr="007F7EBF">
        <w:rPr>
          <w:sz w:val="22"/>
          <w:szCs w:val="22"/>
        </w:rPr>
        <w:t xml:space="preserve">base ai corrispettivi dichiarati. I valori immobiliari dichiarati in atto sono quindi </w:t>
      </w:r>
      <w:r w:rsidR="00F14C1B" w:rsidRPr="007F7EBF">
        <w:rPr>
          <w:sz w:val="22"/>
          <w:szCs w:val="22"/>
        </w:rPr>
        <w:t xml:space="preserve">stati per anni </w:t>
      </w:r>
      <w:r w:rsidR="006342C5" w:rsidRPr="007F7EBF">
        <w:rPr>
          <w:sz w:val="22"/>
          <w:szCs w:val="22"/>
        </w:rPr>
        <w:t>soggetti</w:t>
      </w:r>
      <w:r w:rsidR="00F14C1B" w:rsidRPr="007F7EBF">
        <w:rPr>
          <w:sz w:val="22"/>
          <w:szCs w:val="22"/>
        </w:rPr>
        <w:t xml:space="preserve"> </w:t>
      </w:r>
      <w:r w:rsidR="006342C5" w:rsidRPr="007F7EBF">
        <w:rPr>
          <w:sz w:val="22"/>
          <w:szCs w:val="22"/>
        </w:rPr>
        <w:t>ad accertamento da parte degli uffici, in base al valore venale in comune commercio.</w:t>
      </w:r>
      <w:r w:rsidR="00ED44CF" w:rsidRPr="007F7EBF">
        <w:rPr>
          <w:sz w:val="22"/>
          <w:szCs w:val="22"/>
        </w:rPr>
        <w:t xml:space="preserve"> </w:t>
      </w:r>
      <w:r w:rsidR="00370212">
        <w:rPr>
          <w:sz w:val="22"/>
          <w:szCs w:val="22"/>
        </w:rPr>
        <w:t>Ne derivarono, visto il</w:t>
      </w:r>
      <w:r w:rsidR="006342C5" w:rsidRPr="007F7EBF">
        <w:rPr>
          <w:sz w:val="22"/>
          <w:szCs w:val="22"/>
        </w:rPr>
        <w:t xml:space="preserve"> gran numero di atti riguardanti beni immobili e l’onerosità dell’aliquota applicabile</w:t>
      </w:r>
      <w:r w:rsidR="00370212">
        <w:rPr>
          <w:sz w:val="22"/>
          <w:szCs w:val="22"/>
        </w:rPr>
        <w:t xml:space="preserve">, </w:t>
      </w:r>
      <w:r w:rsidR="006342C5" w:rsidRPr="007F7EBF">
        <w:rPr>
          <w:sz w:val="22"/>
          <w:szCs w:val="22"/>
        </w:rPr>
        <w:t>frequentissime controversie sul</w:t>
      </w:r>
      <w:r>
        <w:rPr>
          <w:sz w:val="22"/>
          <w:szCs w:val="22"/>
        </w:rPr>
        <w:t xml:space="preserve"> </w:t>
      </w:r>
      <w:r w:rsidR="006342C5" w:rsidRPr="007F7EBF">
        <w:rPr>
          <w:sz w:val="22"/>
          <w:szCs w:val="22"/>
        </w:rPr>
        <w:t>valore di</w:t>
      </w:r>
      <w:r w:rsidR="00F14C1B" w:rsidRPr="007F7EBF">
        <w:rPr>
          <w:sz w:val="22"/>
          <w:szCs w:val="22"/>
        </w:rPr>
        <w:t xml:space="preserve"> </w:t>
      </w:r>
      <w:r w:rsidR="006342C5" w:rsidRPr="007F7EBF">
        <w:rPr>
          <w:sz w:val="22"/>
          <w:szCs w:val="22"/>
        </w:rPr>
        <w:t>tali beni, stante anche l’opinabilità della relativa valutazione</w:t>
      </w:r>
      <w:r w:rsidR="00370212">
        <w:rPr>
          <w:sz w:val="22"/>
          <w:szCs w:val="22"/>
        </w:rPr>
        <w:t xml:space="preserve">. Fu quindi introdotto </w:t>
      </w:r>
      <w:r w:rsidR="006342C5" w:rsidRPr="007F7EBF">
        <w:rPr>
          <w:sz w:val="22"/>
          <w:szCs w:val="22"/>
        </w:rPr>
        <w:t>un</w:t>
      </w:r>
      <w:r w:rsidR="00F14C1B" w:rsidRPr="007F7EBF">
        <w:rPr>
          <w:sz w:val="22"/>
          <w:szCs w:val="22"/>
        </w:rPr>
        <w:t xml:space="preserve"> </w:t>
      </w:r>
      <w:r w:rsidR="006342C5" w:rsidRPr="007F7EBF">
        <w:rPr>
          <w:sz w:val="22"/>
          <w:szCs w:val="22"/>
        </w:rPr>
        <w:t>criterio automatico (art. 52) basato sul valore catastale del bene</w:t>
      </w:r>
      <w:r w:rsidR="00405313" w:rsidRPr="007F7EBF">
        <w:rPr>
          <w:sz w:val="22"/>
          <w:szCs w:val="22"/>
        </w:rPr>
        <w:t xml:space="preserve"> (par.8.2 e 8.4)</w:t>
      </w:r>
      <w:r w:rsidR="006342C5" w:rsidRPr="007F7EBF">
        <w:rPr>
          <w:sz w:val="22"/>
          <w:szCs w:val="22"/>
        </w:rPr>
        <w:t>, nonostante le frequenti</w:t>
      </w:r>
      <w:r w:rsidR="00F14C1B" w:rsidRPr="007F7EBF">
        <w:rPr>
          <w:sz w:val="22"/>
          <w:szCs w:val="22"/>
        </w:rPr>
        <w:t xml:space="preserve"> </w:t>
      </w:r>
      <w:r w:rsidR="006342C5" w:rsidRPr="007F7EBF">
        <w:rPr>
          <w:sz w:val="22"/>
          <w:szCs w:val="22"/>
        </w:rPr>
        <w:t>sperequazioni rispetto al valore effettivo; nelle compravendite immobiliari tra privati</w:t>
      </w:r>
      <w:r w:rsidR="006A422A">
        <w:rPr>
          <w:sz w:val="22"/>
          <w:szCs w:val="22"/>
        </w:rPr>
        <w:t xml:space="preserve">, relative </w:t>
      </w:r>
      <w:r w:rsidR="006342C5" w:rsidRPr="007F7EBF">
        <w:rPr>
          <w:sz w:val="22"/>
          <w:szCs w:val="22"/>
        </w:rPr>
        <w:t xml:space="preserve">ad </w:t>
      </w:r>
      <w:r w:rsidR="006A422A">
        <w:rPr>
          <w:sz w:val="22"/>
          <w:szCs w:val="22"/>
        </w:rPr>
        <w:t xml:space="preserve">abitazioni, </w:t>
      </w:r>
      <w:r w:rsidR="006342C5" w:rsidRPr="007F7EBF">
        <w:rPr>
          <w:sz w:val="22"/>
          <w:szCs w:val="22"/>
        </w:rPr>
        <w:t xml:space="preserve">è </w:t>
      </w:r>
      <w:r w:rsidR="00370212">
        <w:rPr>
          <w:sz w:val="22"/>
          <w:szCs w:val="22"/>
        </w:rPr>
        <w:t>stato poi anche</w:t>
      </w:r>
      <w:r w:rsidR="006342C5" w:rsidRPr="007F7EBF">
        <w:rPr>
          <w:sz w:val="22"/>
          <w:szCs w:val="22"/>
        </w:rPr>
        <w:t xml:space="preserve"> consentito pagare il tributo di registro</w:t>
      </w:r>
      <w:r w:rsidR="00F14C1B" w:rsidRPr="007F7EBF">
        <w:rPr>
          <w:sz w:val="22"/>
          <w:szCs w:val="22"/>
        </w:rPr>
        <w:t xml:space="preserve"> </w:t>
      </w:r>
      <w:r w:rsidR="006342C5" w:rsidRPr="007F7EBF">
        <w:rPr>
          <w:sz w:val="22"/>
          <w:szCs w:val="22"/>
        </w:rPr>
        <w:t>sul suddetto valore catastale, pur evidenziando in atto il maggior prezzo effettivo.</w:t>
      </w:r>
      <w:r w:rsidR="00F14C1B" w:rsidRPr="007F7EBF">
        <w:rPr>
          <w:sz w:val="22"/>
          <w:szCs w:val="22"/>
        </w:rPr>
        <w:t xml:space="preserve"> </w:t>
      </w:r>
    </w:p>
    <w:p w14:paraId="157DA867" w14:textId="75747C7F" w:rsidR="0073119A" w:rsidRPr="007F7EBF" w:rsidRDefault="006342C5" w:rsidP="00370212">
      <w:pPr>
        <w:pStyle w:val="Titolo3"/>
        <w:rPr>
          <w:sz w:val="22"/>
          <w:szCs w:val="22"/>
        </w:rPr>
      </w:pPr>
      <w:bookmarkStart w:id="137" w:name="_Toc63365047"/>
      <w:r w:rsidRPr="007F7EBF">
        <w:rPr>
          <w:rFonts w:ascii="Times New Roman" w:hAnsi="Times New Roman"/>
          <w:sz w:val="22"/>
          <w:szCs w:val="22"/>
        </w:rPr>
        <w:t xml:space="preserve">10.3. </w:t>
      </w:r>
      <w:r w:rsidR="005B2E15">
        <w:rPr>
          <w:rFonts w:ascii="Times New Roman" w:hAnsi="Times New Roman"/>
          <w:sz w:val="22"/>
          <w:szCs w:val="22"/>
          <w:lang w:val="it-IT"/>
        </w:rPr>
        <w:t>Uffici tributari</w:t>
      </w:r>
      <w:r w:rsidRPr="007F7EBF">
        <w:rPr>
          <w:rFonts w:ascii="Times New Roman" w:hAnsi="Times New Roman"/>
          <w:sz w:val="22"/>
          <w:szCs w:val="22"/>
        </w:rPr>
        <w:t xml:space="preserve"> e </w:t>
      </w:r>
      <w:r w:rsidR="005B2E15">
        <w:rPr>
          <w:rFonts w:ascii="Times New Roman" w:hAnsi="Times New Roman"/>
          <w:sz w:val="22"/>
          <w:szCs w:val="22"/>
          <w:lang w:val="it-IT"/>
        </w:rPr>
        <w:t>aziende</w:t>
      </w:r>
      <w:r w:rsidRPr="007F7EBF">
        <w:rPr>
          <w:rFonts w:ascii="Times New Roman" w:hAnsi="Times New Roman"/>
          <w:sz w:val="22"/>
          <w:szCs w:val="22"/>
        </w:rPr>
        <w:t xml:space="preserve"> nella tassazione dei documenti giuridici</w:t>
      </w:r>
      <w:r w:rsidR="00D9063E" w:rsidRPr="007F7EBF">
        <w:rPr>
          <w:rFonts w:ascii="Times New Roman" w:hAnsi="Times New Roman"/>
          <w:sz w:val="22"/>
          <w:szCs w:val="22"/>
        </w:rPr>
        <w:t xml:space="preserve"> </w:t>
      </w:r>
      <w:r w:rsidRPr="007F7EBF">
        <w:rPr>
          <w:rFonts w:ascii="Times New Roman" w:hAnsi="Times New Roman"/>
          <w:sz w:val="22"/>
          <w:szCs w:val="22"/>
        </w:rPr>
        <w:t>(bollo e concessioni pubbliche)</w:t>
      </w:r>
      <w:bookmarkEnd w:id="137"/>
    </w:p>
    <w:p w14:paraId="10B24798" w14:textId="5FF685CF" w:rsidR="0073119A" w:rsidRPr="007F7EBF" w:rsidRDefault="00345F01" w:rsidP="0073119A">
      <w:pPr>
        <w:pStyle w:val="tit23"/>
        <w:ind w:left="6464" w:right="-1361" w:firstLine="0"/>
        <w:jc w:val="left"/>
        <w:rPr>
          <w:bCs/>
          <w:i/>
          <w:iCs/>
          <w:color w:val="0000FF"/>
          <w:lang w:val="it-IT"/>
        </w:rPr>
      </w:pPr>
      <w:r>
        <w:rPr>
          <w:bCs/>
          <w:i/>
          <w:iCs/>
          <w:color w:val="0000FF"/>
          <w:lang w:val="it-IT"/>
        </w:rPr>
        <w:t>struttura</w:t>
      </w:r>
      <w:r w:rsidR="0073119A" w:rsidRPr="007F7EBF">
        <w:rPr>
          <w:bCs/>
          <w:i/>
          <w:iCs/>
          <w:color w:val="0000FF"/>
          <w:lang w:val="it-IT"/>
        </w:rPr>
        <w:t xml:space="preserve"> dell’imposta</w:t>
      </w:r>
    </w:p>
    <w:p w14:paraId="2290B47F" w14:textId="31743275" w:rsidR="00345F01" w:rsidRDefault="006342C5" w:rsidP="00D60A87">
      <w:pPr>
        <w:autoSpaceDE w:val="0"/>
        <w:autoSpaceDN w:val="0"/>
        <w:adjustRightInd w:val="0"/>
        <w:rPr>
          <w:sz w:val="22"/>
          <w:szCs w:val="22"/>
        </w:rPr>
      </w:pPr>
      <w:r w:rsidRPr="007F7EBF">
        <w:rPr>
          <w:sz w:val="22"/>
          <w:szCs w:val="22"/>
        </w:rPr>
        <w:t xml:space="preserve">L’imposta di bollo </w:t>
      </w:r>
      <w:r w:rsidR="00345F01">
        <w:rPr>
          <w:sz w:val="22"/>
          <w:szCs w:val="22"/>
        </w:rPr>
        <w:t xml:space="preserve">ha struttura simile a quella dell’imposta di </w:t>
      </w:r>
      <w:r w:rsidR="00D60A87" w:rsidRPr="007F7EBF">
        <w:rPr>
          <w:sz w:val="22"/>
          <w:szCs w:val="22"/>
        </w:rPr>
        <w:t xml:space="preserve">registro </w:t>
      </w:r>
      <w:r w:rsidR="00345F01">
        <w:rPr>
          <w:sz w:val="22"/>
          <w:szCs w:val="22"/>
        </w:rPr>
        <w:t>(</w:t>
      </w:r>
      <w:r w:rsidR="00D60A87" w:rsidRPr="007F7EBF">
        <w:rPr>
          <w:rStyle w:val="Rimandonotaapidipagina"/>
          <w:sz w:val="22"/>
          <w:szCs w:val="22"/>
        </w:rPr>
        <w:footnoteReference w:id="1371"/>
      </w:r>
      <w:r w:rsidR="00345F01">
        <w:rPr>
          <w:sz w:val="22"/>
          <w:szCs w:val="22"/>
        </w:rPr>
        <w:t>)</w:t>
      </w:r>
      <w:r w:rsidR="00D60A87" w:rsidRPr="007F7EBF">
        <w:rPr>
          <w:sz w:val="22"/>
          <w:szCs w:val="22"/>
        </w:rPr>
        <w:t>, da</w:t>
      </w:r>
      <w:r w:rsidR="00345F01">
        <w:rPr>
          <w:sz w:val="22"/>
          <w:szCs w:val="22"/>
        </w:rPr>
        <w:t xml:space="preserve"> cui </w:t>
      </w:r>
      <w:r w:rsidR="00D60A87" w:rsidRPr="007F7EBF">
        <w:rPr>
          <w:sz w:val="22"/>
          <w:szCs w:val="22"/>
        </w:rPr>
        <w:t>si distingue in quanto colpisce non tanto il contenuto patrimoniale dell'atto giuridico, ma il documento che ne costituisce il supporto materiale</w:t>
      </w:r>
      <w:r w:rsidR="006A422A">
        <w:rPr>
          <w:sz w:val="22"/>
          <w:szCs w:val="22"/>
        </w:rPr>
        <w:t>(</w:t>
      </w:r>
      <w:r w:rsidR="00D60A87" w:rsidRPr="007F7EBF">
        <w:rPr>
          <w:rStyle w:val="Rimandonotaapidipagina"/>
          <w:sz w:val="22"/>
          <w:szCs w:val="22"/>
        </w:rPr>
        <w:footnoteReference w:id="1372"/>
      </w:r>
      <w:r w:rsidR="006A422A">
        <w:rPr>
          <w:sz w:val="22"/>
          <w:szCs w:val="22"/>
        </w:rPr>
        <w:t>)</w:t>
      </w:r>
      <w:r w:rsidR="00D60A87" w:rsidRPr="007F7EBF">
        <w:rPr>
          <w:sz w:val="22"/>
          <w:szCs w:val="22"/>
        </w:rPr>
        <w:t xml:space="preserve">. </w:t>
      </w:r>
      <w:r w:rsidR="00345F01" w:rsidRPr="007F7EBF">
        <w:rPr>
          <w:sz w:val="22"/>
          <w:szCs w:val="22"/>
        </w:rPr>
        <w:t xml:space="preserve">Il tributo è in genere </w:t>
      </w:r>
      <w:r w:rsidR="006A422A">
        <w:rPr>
          <w:sz w:val="22"/>
          <w:szCs w:val="22"/>
        </w:rPr>
        <w:t xml:space="preserve">per tipologia di documento, indipendentemente dal valore sottostante, </w:t>
      </w:r>
      <w:r w:rsidR="00345F01" w:rsidRPr="007F7EBF">
        <w:rPr>
          <w:sz w:val="22"/>
          <w:szCs w:val="22"/>
        </w:rPr>
        <w:t>salv</w:t>
      </w:r>
      <w:r w:rsidR="006A422A">
        <w:rPr>
          <w:sz w:val="22"/>
          <w:szCs w:val="22"/>
        </w:rPr>
        <w:t xml:space="preserve">e </w:t>
      </w:r>
      <w:r w:rsidR="00345F01" w:rsidRPr="007F7EBF">
        <w:rPr>
          <w:sz w:val="22"/>
          <w:szCs w:val="22"/>
        </w:rPr>
        <w:t>le cambiali, dove è proporzionale al</w:t>
      </w:r>
      <w:r w:rsidR="006A422A">
        <w:rPr>
          <w:sz w:val="22"/>
          <w:szCs w:val="22"/>
        </w:rPr>
        <w:t xml:space="preserve"> relativo </w:t>
      </w:r>
      <w:r w:rsidR="00345F01" w:rsidRPr="007F7EBF">
        <w:rPr>
          <w:sz w:val="22"/>
          <w:szCs w:val="22"/>
        </w:rPr>
        <w:t>importo.</w:t>
      </w:r>
      <w:r w:rsidR="00345F01">
        <w:rPr>
          <w:sz w:val="22"/>
          <w:szCs w:val="22"/>
        </w:rPr>
        <w:t xml:space="preserve"> </w:t>
      </w:r>
    </w:p>
    <w:p w14:paraId="7096B7CC" w14:textId="3A212AB1" w:rsidR="00D60A87" w:rsidRPr="007F7EBF" w:rsidRDefault="00D60A87" w:rsidP="00D60A87">
      <w:pPr>
        <w:pStyle w:val="tit23"/>
        <w:ind w:left="6464" w:right="-1361" w:firstLine="0"/>
        <w:jc w:val="left"/>
        <w:rPr>
          <w:bCs/>
          <w:i/>
          <w:iCs/>
          <w:color w:val="0000FF"/>
          <w:lang w:val="it-IT"/>
        </w:rPr>
      </w:pPr>
      <w:r w:rsidRPr="007F7EBF">
        <w:rPr>
          <w:bCs/>
          <w:i/>
          <w:iCs/>
          <w:color w:val="0000FF"/>
          <w:lang w:val="it-IT"/>
        </w:rPr>
        <w:t>Punti forti:</w:t>
      </w:r>
      <w:r w:rsidR="0075722F">
        <w:rPr>
          <w:bCs/>
          <w:i/>
          <w:iCs/>
          <w:color w:val="0000FF"/>
          <w:lang w:val="it-IT"/>
        </w:rPr>
        <w:t xml:space="preserve"> </w:t>
      </w:r>
      <w:r w:rsidRPr="007F7EBF">
        <w:rPr>
          <w:bCs/>
          <w:i/>
          <w:iCs/>
          <w:color w:val="0000FF"/>
          <w:lang w:val="it-IT"/>
        </w:rPr>
        <w:t>l’applicazione “seriale”</w:t>
      </w:r>
    </w:p>
    <w:p w14:paraId="6115F7BB" w14:textId="5EBE8CB7" w:rsidR="00675A51" w:rsidRPr="007F7EBF" w:rsidRDefault="006A422A" w:rsidP="00735235">
      <w:pPr>
        <w:autoSpaceDE w:val="0"/>
        <w:autoSpaceDN w:val="0"/>
        <w:adjustRightInd w:val="0"/>
        <w:rPr>
          <w:bCs/>
          <w:i/>
          <w:iCs/>
          <w:color w:val="0000FF"/>
          <w:sz w:val="22"/>
          <w:szCs w:val="22"/>
        </w:rPr>
      </w:pPr>
      <w:r>
        <w:rPr>
          <w:sz w:val="22"/>
          <w:szCs w:val="22"/>
        </w:rPr>
        <w:t xml:space="preserve">Sul </w:t>
      </w:r>
      <w:r w:rsidRPr="007F7EBF">
        <w:rPr>
          <w:sz w:val="22"/>
          <w:szCs w:val="22"/>
        </w:rPr>
        <w:t xml:space="preserve">piano della tradizione </w:t>
      </w:r>
      <w:r>
        <w:rPr>
          <w:sz w:val="22"/>
          <w:szCs w:val="22"/>
        </w:rPr>
        <w:t>e</w:t>
      </w:r>
      <w:r w:rsidRPr="007F7EBF">
        <w:rPr>
          <w:sz w:val="22"/>
          <w:szCs w:val="22"/>
        </w:rPr>
        <w:t xml:space="preserve"> del gettito</w:t>
      </w:r>
      <w:r w:rsidRPr="00345F01">
        <w:rPr>
          <w:sz w:val="22"/>
          <w:szCs w:val="22"/>
        </w:rPr>
        <w:t xml:space="preserve"> </w:t>
      </w:r>
      <w:r>
        <w:rPr>
          <w:sz w:val="22"/>
          <w:szCs w:val="22"/>
        </w:rPr>
        <w:t>è un’imposta</w:t>
      </w:r>
      <w:r w:rsidRPr="007F7EBF">
        <w:rPr>
          <w:sz w:val="22"/>
          <w:szCs w:val="22"/>
        </w:rPr>
        <w:t xml:space="preserve"> tutt’altro che «minore»</w:t>
      </w:r>
      <w:r>
        <w:rPr>
          <w:sz w:val="22"/>
          <w:szCs w:val="22"/>
        </w:rPr>
        <w:t xml:space="preserve">, ed in essa si riflette l’importanza di strutture amministrative e pubbliche di vario tipo, estranee agli uffici tributari. </w:t>
      </w:r>
      <w:r w:rsidR="00345F01">
        <w:rPr>
          <w:sz w:val="22"/>
          <w:szCs w:val="22"/>
        </w:rPr>
        <w:t xml:space="preserve">Il cardine dell’imposta sono infatti le </w:t>
      </w:r>
      <w:r w:rsidR="006342C5" w:rsidRPr="007F7EBF">
        <w:rPr>
          <w:sz w:val="22"/>
          <w:szCs w:val="22"/>
        </w:rPr>
        <w:t>strutture amministrative organizzate</w:t>
      </w:r>
      <w:r w:rsidR="00345F01">
        <w:rPr>
          <w:sz w:val="22"/>
          <w:szCs w:val="22"/>
        </w:rPr>
        <w:t xml:space="preserve"> </w:t>
      </w:r>
      <w:r w:rsidR="006342C5" w:rsidRPr="007F7EBF">
        <w:rPr>
          <w:bCs/>
          <w:sz w:val="22"/>
          <w:szCs w:val="22"/>
        </w:rPr>
        <w:t xml:space="preserve">che ricevono </w:t>
      </w:r>
      <w:r w:rsidR="00345F01">
        <w:rPr>
          <w:bCs/>
          <w:sz w:val="22"/>
          <w:szCs w:val="22"/>
        </w:rPr>
        <w:t>ed emettono i suddetti documenti</w:t>
      </w:r>
      <w:r w:rsidR="006342C5" w:rsidRPr="007F7EBF">
        <w:rPr>
          <w:sz w:val="22"/>
          <w:szCs w:val="22"/>
        </w:rPr>
        <w:t>, controllando anche il pagamento dell’imposta</w:t>
      </w:r>
      <w:r w:rsidR="00345F01">
        <w:rPr>
          <w:sz w:val="22"/>
          <w:szCs w:val="22"/>
        </w:rPr>
        <w:t xml:space="preserve"> </w:t>
      </w:r>
      <w:r w:rsidR="00345F01" w:rsidRPr="007F7EBF">
        <w:rPr>
          <w:sz w:val="22"/>
          <w:szCs w:val="22"/>
        </w:rPr>
        <w:t>(</w:t>
      </w:r>
      <w:r w:rsidR="00345F01" w:rsidRPr="007F7EBF">
        <w:rPr>
          <w:rStyle w:val="Rimandonotaapidipagina"/>
          <w:sz w:val="22"/>
          <w:szCs w:val="22"/>
        </w:rPr>
        <w:footnoteReference w:id="1373"/>
      </w:r>
      <w:r w:rsidR="00345F01" w:rsidRPr="007F7EBF">
        <w:rPr>
          <w:sz w:val="22"/>
          <w:szCs w:val="22"/>
        </w:rPr>
        <w:t>)</w:t>
      </w:r>
      <w:r w:rsidR="006342C5" w:rsidRPr="007F7EBF">
        <w:rPr>
          <w:sz w:val="22"/>
          <w:szCs w:val="22"/>
        </w:rPr>
        <w:t xml:space="preserve">; </w:t>
      </w:r>
      <w:r w:rsidR="006342C5" w:rsidRPr="007F7EBF">
        <w:rPr>
          <w:bCs/>
          <w:sz w:val="22"/>
          <w:szCs w:val="22"/>
        </w:rPr>
        <w:t>analoga affidabilità</w:t>
      </w:r>
      <w:r w:rsidR="00675A51" w:rsidRPr="007F7EBF">
        <w:rPr>
          <w:bCs/>
          <w:sz w:val="22"/>
          <w:szCs w:val="22"/>
        </w:rPr>
        <w:t xml:space="preserve"> </w:t>
      </w:r>
      <w:r w:rsidR="006342C5" w:rsidRPr="007F7EBF">
        <w:rPr>
          <w:bCs/>
          <w:sz w:val="22"/>
          <w:szCs w:val="22"/>
        </w:rPr>
        <w:t xml:space="preserve">hanno le grandi </w:t>
      </w:r>
      <w:r w:rsidR="006342C5" w:rsidRPr="007F7EBF">
        <w:rPr>
          <w:bCs/>
          <w:sz w:val="22"/>
          <w:szCs w:val="22"/>
        </w:rPr>
        <w:lastRenderedPageBreak/>
        <w:t xml:space="preserve">strutture aziendali </w:t>
      </w:r>
      <w:r w:rsidR="006342C5" w:rsidRPr="007F7EBF">
        <w:rPr>
          <w:sz w:val="22"/>
          <w:szCs w:val="22"/>
        </w:rPr>
        <w:t>(</w:t>
      </w:r>
      <w:r w:rsidR="00D60A87" w:rsidRPr="007F7EBF">
        <w:rPr>
          <w:rStyle w:val="Rimandonotaapidipagina"/>
          <w:sz w:val="22"/>
          <w:szCs w:val="22"/>
        </w:rPr>
        <w:footnoteReference w:id="1374"/>
      </w:r>
      <w:r w:rsidR="006342C5" w:rsidRPr="007F7EBF">
        <w:rPr>
          <w:sz w:val="22"/>
          <w:szCs w:val="22"/>
        </w:rPr>
        <w:t xml:space="preserve">), che non possono permettersi, per i noti motivi gestionali, di sottrarsi al pagamento. </w:t>
      </w:r>
      <w:r w:rsidR="0075722F" w:rsidRPr="007F7EBF">
        <w:rPr>
          <w:sz w:val="22"/>
          <w:szCs w:val="22"/>
        </w:rPr>
        <w:t xml:space="preserve">L’acquisto e l’annullamento delle </w:t>
      </w:r>
      <w:r w:rsidR="0075722F" w:rsidRPr="007F7EBF">
        <w:rPr>
          <w:bCs/>
          <w:sz w:val="22"/>
          <w:szCs w:val="22"/>
        </w:rPr>
        <w:t xml:space="preserve">marche </w:t>
      </w:r>
      <w:r w:rsidR="0075722F" w:rsidRPr="007F7EBF">
        <w:rPr>
          <w:sz w:val="22"/>
          <w:szCs w:val="22"/>
        </w:rPr>
        <w:t xml:space="preserve">da bollo è la modalità di pagamento per le applicazioni occasionali del tributo, </w:t>
      </w:r>
      <w:r w:rsidR="0075722F">
        <w:rPr>
          <w:sz w:val="22"/>
          <w:szCs w:val="22"/>
        </w:rPr>
        <w:t xml:space="preserve">su documenti da presentare presso i suddetti pubblici uffici; invece i suddetti </w:t>
      </w:r>
      <w:r w:rsidR="0075722F" w:rsidRPr="007F7EBF">
        <w:rPr>
          <w:sz w:val="22"/>
          <w:szCs w:val="22"/>
        </w:rPr>
        <w:t xml:space="preserve">“grandi </w:t>
      </w:r>
      <w:r w:rsidR="0075722F">
        <w:rPr>
          <w:sz w:val="22"/>
          <w:szCs w:val="22"/>
        </w:rPr>
        <w:t>emittenti privati</w:t>
      </w:r>
      <w:r w:rsidR="0075722F" w:rsidRPr="007F7EBF">
        <w:rPr>
          <w:sz w:val="22"/>
          <w:szCs w:val="22"/>
        </w:rPr>
        <w:t xml:space="preserve">” </w:t>
      </w:r>
      <w:r w:rsidR="0075722F">
        <w:rPr>
          <w:sz w:val="22"/>
          <w:szCs w:val="22"/>
        </w:rPr>
        <w:t>(banche, assicurazioni etc.) l</w:t>
      </w:r>
      <w:r w:rsidR="0075722F" w:rsidRPr="007F7EBF">
        <w:rPr>
          <w:sz w:val="22"/>
          <w:szCs w:val="22"/>
        </w:rPr>
        <w:t>o corrispondono in modo c.d. «virtuale», cioè su dichiarazione periodica che indica il numero complessivo dei documenti emessi.</w:t>
      </w:r>
    </w:p>
    <w:p w14:paraId="4774D00C" w14:textId="77777777" w:rsidR="00D60A87" w:rsidRPr="007F7EBF" w:rsidRDefault="00D60A87" w:rsidP="00D60A87">
      <w:pPr>
        <w:pStyle w:val="tit23"/>
        <w:ind w:left="6464" w:right="-1361" w:firstLine="0"/>
        <w:jc w:val="left"/>
        <w:rPr>
          <w:bCs/>
          <w:i/>
          <w:iCs/>
          <w:color w:val="0000FF"/>
          <w:lang w:val="it-IT"/>
        </w:rPr>
      </w:pPr>
      <w:r w:rsidRPr="007F7EBF">
        <w:rPr>
          <w:bCs/>
          <w:i/>
          <w:iCs/>
          <w:color w:val="0000FF"/>
          <w:lang w:val="it-IT"/>
        </w:rPr>
        <w:t>Antieconomicità controlli</w:t>
      </w:r>
    </w:p>
    <w:p w14:paraId="675E2DA8" w14:textId="49F95AEC" w:rsidR="00D60A87" w:rsidRPr="007F7EBF" w:rsidRDefault="0075722F" w:rsidP="00D60A87">
      <w:pPr>
        <w:autoSpaceDE w:val="0"/>
        <w:autoSpaceDN w:val="0"/>
        <w:adjustRightInd w:val="0"/>
        <w:rPr>
          <w:sz w:val="22"/>
          <w:szCs w:val="22"/>
        </w:rPr>
      </w:pPr>
      <w:r w:rsidRPr="007F7EBF">
        <w:rPr>
          <w:sz w:val="22"/>
          <w:szCs w:val="22"/>
        </w:rPr>
        <w:t xml:space="preserve">Quando questi uffici non sono coinvolti, l’imposta viene di solito evasa, come accade nei rapporti tra privati e piccole realtà organizzative come un condominio, una associazione privata, una piccola azienda, un medico. </w:t>
      </w:r>
      <w:r w:rsidR="006342C5" w:rsidRPr="007F7EBF">
        <w:rPr>
          <w:sz w:val="22"/>
          <w:szCs w:val="22"/>
        </w:rPr>
        <w:t>Del resto,</w:t>
      </w:r>
      <w:r w:rsidR="00675A51" w:rsidRPr="007F7EBF">
        <w:rPr>
          <w:sz w:val="22"/>
          <w:szCs w:val="22"/>
        </w:rPr>
        <w:t xml:space="preserve"> </w:t>
      </w:r>
      <w:r w:rsidR="006342C5" w:rsidRPr="007F7EBF">
        <w:rPr>
          <w:sz w:val="22"/>
          <w:szCs w:val="22"/>
        </w:rPr>
        <w:t xml:space="preserve">quando non si tratta di grandi organizzazioni che emettono </w:t>
      </w:r>
      <w:r w:rsidR="00735235" w:rsidRPr="007F7EBF">
        <w:rPr>
          <w:sz w:val="22"/>
          <w:szCs w:val="22"/>
        </w:rPr>
        <w:t xml:space="preserve">o ricevono </w:t>
      </w:r>
      <w:r w:rsidR="006342C5" w:rsidRPr="007F7EBF">
        <w:rPr>
          <w:sz w:val="22"/>
          <w:szCs w:val="22"/>
        </w:rPr>
        <w:t>documenti in serie, ma</w:t>
      </w:r>
      <w:r w:rsidR="00675A51" w:rsidRPr="007F7EBF">
        <w:rPr>
          <w:sz w:val="22"/>
          <w:szCs w:val="22"/>
        </w:rPr>
        <w:t xml:space="preserve"> </w:t>
      </w:r>
      <w:r w:rsidR="006342C5" w:rsidRPr="007F7EBF">
        <w:rPr>
          <w:sz w:val="22"/>
          <w:szCs w:val="22"/>
        </w:rPr>
        <w:t xml:space="preserve">di </w:t>
      </w:r>
      <w:r w:rsidR="00735235" w:rsidRPr="007F7EBF">
        <w:rPr>
          <w:sz w:val="22"/>
          <w:szCs w:val="22"/>
        </w:rPr>
        <w:t>singoli documenti polverizzati</w:t>
      </w:r>
      <w:r w:rsidR="006342C5" w:rsidRPr="007F7EBF">
        <w:rPr>
          <w:sz w:val="22"/>
          <w:szCs w:val="22"/>
        </w:rPr>
        <w:t xml:space="preserve"> nel tempo e nello spazio, anche il controllo fiscale si rivela</w:t>
      </w:r>
      <w:r w:rsidR="00675A51" w:rsidRPr="007F7EBF">
        <w:rPr>
          <w:sz w:val="22"/>
          <w:szCs w:val="22"/>
        </w:rPr>
        <w:t xml:space="preserve"> </w:t>
      </w:r>
      <w:r w:rsidR="006342C5" w:rsidRPr="007F7EBF">
        <w:rPr>
          <w:sz w:val="22"/>
          <w:szCs w:val="22"/>
        </w:rPr>
        <w:t>antieconomico, visto il modesto importo unitario del tributo. Anche qui, insomma, è</w:t>
      </w:r>
      <w:r w:rsidR="00675A51" w:rsidRPr="007F7EBF">
        <w:rPr>
          <w:sz w:val="22"/>
          <w:szCs w:val="22"/>
        </w:rPr>
        <w:t xml:space="preserve"> </w:t>
      </w:r>
      <w:r w:rsidR="006342C5" w:rsidRPr="007F7EBF">
        <w:rPr>
          <w:sz w:val="22"/>
          <w:szCs w:val="22"/>
        </w:rPr>
        <w:t>importante la ripetitività, la serialità dell’emissione di documenti soggetti al tributo.</w:t>
      </w:r>
      <w:r w:rsidR="00675A51" w:rsidRPr="007F7EBF">
        <w:rPr>
          <w:sz w:val="22"/>
          <w:szCs w:val="22"/>
        </w:rPr>
        <w:t xml:space="preserve"> </w:t>
      </w:r>
    </w:p>
    <w:p w14:paraId="230A62F2" w14:textId="612AEAAB" w:rsidR="00D60A87" w:rsidRPr="007F7EBF" w:rsidRDefault="0075722F" w:rsidP="00D60A87">
      <w:pPr>
        <w:pStyle w:val="tit23"/>
        <w:ind w:left="6464" w:right="-1361" w:firstLine="0"/>
        <w:jc w:val="left"/>
        <w:rPr>
          <w:bCs/>
          <w:i/>
          <w:iCs/>
          <w:color w:val="0000FF"/>
          <w:lang w:val="it-IT"/>
        </w:rPr>
      </w:pPr>
      <w:r>
        <w:rPr>
          <w:bCs/>
          <w:i/>
          <w:iCs/>
          <w:color w:val="0000FF"/>
          <w:lang w:val="it-IT"/>
        </w:rPr>
        <w:t>Giustificazione economica</w:t>
      </w:r>
    </w:p>
    <w:p w14:paraId="57BDC077" w14:textId="43F74DE9" w:rsidR="00345F01" w:rsidRDefault="00345F01" w:rsidP="00345F01">
      <w:pPr>
        <w:autoSpaceDE w:val="0"/>
        <w:autoSpaceDN w:val="0"/>
        <w:adjustRightInd w:val="0"/>
        <w:rPr>
          <w:sz w:val="22"/>
          <w:szCs w:val="22"/>
        </w:rPr>
      </w:pPr>
    </w:p>
    <w:p w14:paraId="258D69FA" w14:textId="5EF0C8B6" w:rsidR="00345F01" w:rsidRPr="007F7EBF" w:rsidRDefault="00345F01" w:rsidP="00345F01">
      <w:pPr>
        <w:autoSpaceDE w:val="0"/>
        <w:autoSpaceDN w:val="0"/>
        <w:adjustRightInd w:val="0"/>
        <w:rPr>
          <w:sz w:val="22"/>
          <w:szCs w:val="22"/>
        </w:rPr>
      </w:pPr>
      <w:r>
        <w:rPr>
          <w:sz w:val="22"/>
          <w:szCs w:val="22"/>
        </w:rPr>
        <w:t xml:space="preserve">La </w:t>
      </w:r>
      <w:r w:rsidRPr="007F7EBF">
        <w:rPr>
          <w:bCs/>
          <w:sz w:val="22"/>
          <w:szCs w:val="22"/>
        </w:rPr>
        <w:t xml:space="preserve">giustificazione </w:t>
      </w:r>
      <w:r w:rsidR="0075722F">
        <w:rPr>
          <w:bCs/>
          <w:sz w:val="22"/>
          <w:szCs w:val="22"/>
        </w:rPr>
        <w:t xml:space="preserve">dell’imposta </w:t>
      </w:r>
      <w:r w:rsidRPr="007F7EBF">
        <w:rPr>
          <w:sz w:val="22"/>
          <w:szCs w:val="22"/>
        </w:rPr>
        <w:t xml:space="preserve">in </w:t>
      </w:r>
      <w:r w:rsidRPr="007F7EBF">
        <w:rPr>
          <w:bCs/>
          <w:sz w:val="22"/>
          <w:szCs w:val="22"/>
        </w:rPr>
        <w:t xml:space="preserve">termini di ricchezza </w:t>
      </w:r>
      <w:r w:rsidRPr="007F7EBF">
        <w:rPr>
          <w:sz w:val="22"/>
          <w:szCs w:val="22"/>
        </w:rPr>
        <w:t xml:space="preserve">è </w:t>
      </w:r>
      <w:r w:rsidRPr="007F7EBF">
        <w:rPr>
          <w:bCs/>
          <w:sz w:val="22"/>
          <w:szCs w:val="22"/>
        </w:rPr>
        <w:t>più labile rispetto al</w:t>
      </w:r>
      <w:r>
        <w:rPr>
          <w:bCs/>
          <w:sz w:val="22"/>
          <w:szCs w:val="22"/>
        </w:rPr>
        <w:t xml:space="preserve">l’imposta </w:t>
      </w:r>
      <w:r w:rsidRPr="007F7EBF">
        <w:rPr>
          <w:bCs/>
          <w:sz w:val="22"/>
          <w:szCs w:val="22"/>
        </w:rPr>
        <w:t xml:space="preserve">di registro; </w:t>
      </w:r>
      <w:r w:rsidRPr="007F7EBF">
        <w:rPr>
          <w:sz w:val="22"/>
          <w:szCs w:val="22"/>
        </w:rPr>
        <w:t xml:space="preserve">non sempre </w:t>
      </w:r>
      <w:r>
        <w:rPr>
          <w:sz w:val="22"/>
          <w:szCs w:val="22"/>
        </w:rPr>
        <w:t>il documento cui si riferisce l’imposta di bollo</w:t>
      </w:r>
      <w:r w:rsidRPr="007F7EBF">
        <w:rPr>
          <w:sz w:val="22"/>
          <w:szCs w:val="22"/>
        </w:rPr>
        <w:t xml:space="preserve"> esprime </w:t>
      </w:r>
      <w:r>
        <w:rPr>
          <w:sz w:val="22"/>
          <w:szCs w:val="22"/>
        </w:rPr>
        <w:t xml:space="preserve">infatti </w:t>
      </w:r>
      <w:r w:rsidRPr="007F7EBF">
        <w:rPr>
          <w:sz w:val="22"/>
          <w:szCs w:val="22"/>
        </w:rPr>
        <w:t>un contenuto patrimoniale</w:t>
      </w:r>
      <w:r>
        <w:rPr>
          <w:sz w:val="22"/>
          <w:szCs w:val="22"/>
        </w:rPr>
        <w:t xml:space="preserve"> </w:t>
      </w:r>
      <w:r w:rsidRPr="007F7EBF">
        <w:rPr>
          <w:sz w:val="22"/>
          <w:szCs w:val="22"/>
        </w:rPr>
        <w:t>e talvolta c’è solo un collegamento generico con una pubblica funzione</w:t>
      </w:r>
      <w:r>
        <w:rPr>
          <w:sz w:val="22"/>
          <w:szCs w:val="22"/>
        </w:rPr>
        <w:t xml:space="preserve"> </w:t>
      </w:r>
      <w:r w:rsidRPr="007F7EBF">
        <w:rPr>
          <w:sz w:val="22"/>
          <w:szCs w:val="22"/>
        </w:rPr>
        <w:t>(</w:t>
      </w:r>
      <w:r w:rsidRPr="007F7EBF">
        <w:rPr>
          <w:rStyle w:val="Rimandonotaapidipagina"/>
          <w:sz w:val="22"/>
          <w:szCs w:val="22"/>
        </w:rPr>
        <w:footnoteReference w:id="1375"/>
      </w:r>
      <w:r w:rsidRPr="007F7EBF">
        <w:rPr>
          <w:sz w:val="22"/>
          <w:szCs w:val="22"/>
        </w:rPr>
        <w:t>);</w:t>
      </w:r>
      <w:r>
        <w:rPr>
          <w:sz w:val="22"/>
          <w:szCs w:val="22"/>
        </w:rPr>
        <w:t xml:space="preserve"> sotto questo profilo</w:t>
      </w:r>
      <w:r w:rsidRPr="007F7EBF">
        <w:rPr>
          <w:sz w:val="22"/>
          <w:szCs w:val="22"/>
        </w:rPr>
        <w:t xml:space="preserve"> il tributo potrebbe giustificarsi in termini di “</w:t>
      </w:r>
      <w:r w:rsidRPr="007F7EBF">
        <w:rPr>
          <w:bCs/>
          <w:sz w:val="22"/>
          <w:szCs w:val="22"/>
        </w:rPr>
        <w:t>tassa</w:t>
      </w:r>
      <w:r w:rsidRPr="007F7EBF">
        <w:rPr>
          <w:sz w:val="22"/>
          <w:szCs w:val="22"/>
        </w:rPr>
        <w:t>”</w:t>
      </w:r>
      <w:r w:rsidR="002978B2">
        <w:rPr>
          <w:sz w:val="22"/>
          <w:szCs w:val="22"/>
        </w:rPr>
        <w:t xml:space="preserve"> in senso stretto</w:t>
      </w:r>
      <w:r w:rsidR="006A422A">
        <w:rPr>
          <w:sz w:val="22"/>
          <w:szCs w:val="22"/>
        </w:rPr>
        <w:t>, per il contatto (effettivo o virtuale) con una qualche funzione pubblica</w:t>
      </w:r>
      <w:r w:rsidRPr="007F7EBF">
        <w:rPr>
          <w:sz w:val="22"/>
          <w:szCs w:val="22"/>
        </w:rPr>
        <w:t xml:space="preserve">. </w:t>
      </w:r>
      <w:r w:rsidR="002978B2">
        <w:rPr>
          <w:sz w:val="22"/>
          <w:szCs w:val="22"/>
        </w:rPr>
        <w:t xml:space="preserve">Questo difficile inquadramento nelle categorie </w:t>
      </w:r>
      <w:r w:rsidR="00DA0DD8">
        <w:rPr>
          <w:sz w:val="22"/>
          <w:szCs w:val="22"/>
        </w:rPr>
        <w:t xml:space="preserve">delle entrate pubbliche </w:t>
      </w:r>
      <w:r w:rsidR="002978B2">
        <w:rPr>
          <w:sz w:val="22"/>
          <w:szCs w:val="22"/>
        </w:rPr>
        <w:t xml:space="preserve">di cui al par.5.1 </w:t>
      </w:r>
      <w:r w:rsidR="006A422A">
        <w:rPr>
          <w:sz w:val="22"/>
          <w:szCs w:val="22"/>
        </w:rPr>
        <w:t>riguarda</w:t>
      </w:r>
      <w:r w:rsidR="002978B2">
        <w:rPr>
          <w:sz w:val="22"/>
          <w:szCs w:val="22"/>
        </w:rPr>
        <w:t xml:space="preserve"> molti “tributi minori” e l</w:t>
      </w:r>
      <w:r w:rsidR="00DA0DD8">
        <w:rPr>
          <w:sz w:val="22"/>
          <w:szCs w:val="22"/>
        </w:rPr>
        <w:t>o</w:t>
      </w:r>
      <w:r w:rsidR="002978B2">
        <w:rPr>
          <w:sz w:val="22"/>
          <w:szCs w:val="22"/>
        </w:rPr>
        <w:t xml:space="preserve"> ritroveremo spesso più avanti.</w:t>
      </w:r>
    </w:p>
    <w:p w14:paraId="204D2B45" w14:textId="77777777" w:rsidR="00D60A87" w:rsidRPr="007F7EBF" w:rsidRDefault="00D60A87" w:rsidP="00D60A87">
      <w:pPr>
        <w:pStyle w:val="tit23"/>
        <w:ind w:left="6464" w:right="-1361" w:firstLine="0"/>
        <w:jc w:val="left"/>
        <w:rPr>
          <w:bCs/>
          <w:i/>
          <w:iCs/>
          <w:color w:val="0000FF"/>
          <w:lang w:val="it-IT"/>
        </w:rPr>
      </w:pPr>
      <w:r w:rsidRPr="007F7EBF">
        <w:rPr>
          <w:bCs/>
          <w:i/>
          <w:iCs/>
          <w:color w:val="0000FF"/>
          <w:lang w:val="it-IT"/>
        </w:rPr>
        <w:t>Tributi sulle concessioni pubbliche</w:t>
      </w:r>
    </w:p>
    <w:p w14:paraId="4D51319E" w14:textId="71815265" w:rsidR="006342C5" w:rsidRPr="007F7EBF" w:rsidRDefault="006342C5" w:rsidP="006342C5">
      <w:pPr>
        <w:autoSpaceDE w:val="0"/>
        <w:autoSpaceDN w:val="0"/>
        <w:adjustRightInd w:val="0"/>
        <w:rPr>
          <w:sz w:val="22"/>
          <w:szCs w:val="22"/>
        </w:rPr>
      </w:pPr>
      <w:r w:rsidRPr="007F7EBF">
        <w:rPr>
          <w:sz w:val="22"/>
          <w:szCs w:val="22"/>
        </w:rPr>
        <w:t>Lo stesso riferimento a pubbliche funzioni, documenti amministrativi, autorizzazioni,</w:t>
      </w:r>
      <w:r w:rsidR="00675A51" w:rsidRPr="007F7EBF">
        <w:rPr>
          <w:sz w:val="22"/>
          <w:szCs w:val="22"/>
        </w:rPr>
        <w:t xml:space="preserve"> </w:t>
      </w:r>
      <w:r w:rsidRPr="007F7EBF">
        <w:rPr>
          <w:sz w:val="22"/>
          <w:szCs w:val="22"/>
        </w:rPr>
        <w:t xml:space="preserve">certificati etc., si ritrova nel tributo sulle </w:t>
      </w:r>
      <w:r w:rsidRPr="007F7EBF">
        <w:rPr>
          <w:bCs/>
          <w:sz w:val="22"/>
          <w:szCs w:val="22"/>
        </w:rPr>
        <w:t xml:space="preserve">concessioni </w:t>
      </w:r>
      <w:r w:rsidRPr="007F7EBF">
        <w:rPr>
          <w:bCs/>
          <w:sz w:val="22"/>
          <w:szCs w:val="22"/>
        </w:rPr>
        <w:lastRenderedPageBreak/>
        <w:t xml:space="preserve">governative </w:t>
      </w:r>
      <w:r w:rsidRPr="007F7EBF">
        <w:rPr>
          <w:sz w:val="22"/>
          <w:szCs w:val="22"/>
        </w:rPr>
        <w:t xml:space="preserve">o di </w:t>
      </w:r>
      <w:r w:rsidRPr="007F7EBF">
        <w:rPr>
          <w:bCs/>
          <w:sz w:val="22"/>
          <w:szCs w:val="22"/>
        </w:rPr>
        <w:t>enti locali</w:t>
      </w:r>
      <w:r w:rsidRPr="007F7EBF">
        <w:rPr>
          <w:sz w:val="22"/>
          <w:szCs w:val="22"/>
        </w:rPr>
        <w:t>,</w:t>
      </w:r>
      <w:r w:rsidR="0075722F">
        <w:rPr>
          <w:sz w:val="22"/>
          <w:szCs w:val="22"/>
        </w:rPr>
        <w:t xml:space="preserve"> </w:t>
      </w:r>
      <w:r w:rsidRPr="007F7EBF">
        <w:rPr>
          <w:sz w:val="22"/>
          <w:szCs w:val="22"/>
        </w:rPr>
        <w:t>anch’esso più “tassa” che “imposta” (</w:t>
      </w:r>
      <w:r w:rsidR="00D60A87" w:rsidRPr="007F7EBF">
        <w:rPr>
          <w:rStyle w:val="Rimandonotaapidipagina"/>
          <w:sz w:val="22"/>
          <w:szCs w:val="22"/>
        </w:rPr>
        <w:footnoteReference w:id="1376"/>
      </w:r>
      <w:r w:rsidRPr="007F7EBF">
        <w:rPr>
          <w:sz w:val="22"/>
          <w:szCs w:val="22"/>
        </w:rPr>
        <w:t>). Anche qui sono gli uffici amministrativi che si occupano di queste</w:t>
      </w:r>
    </w:p>
    <w:p w14:paraId="3EE95B5B" w14:textId="77777777" w:rsidR="006342C5" w:rsidRPr="007F7EBF" w:rsidRDefault="006342C5" w:rsidP="006342C5">
      <w:pPr>
        <w:autoSpaceDE w:val="0"/>
        <w:autoSpaceDN w:val="0"/>
        <w:adjustRightInd w:val="0"/>
        <w:rPr>
          <w:sz w:val="22"/>
          <w:szCs w:val="22"/>
        </w:rPr>
      </w:pPr>
      <w:r w:rsidRPr="007F7EBF">
        <w:rPr>
          <w:sz w:val="22"/>
          <w:szCs w:val="22"/>
        </w:rPr>
        <w:t>materie ad assicurare, indirettamente, il gettito del tributo.</w:t>
      </w:r>
    </w:p>
    <w:p w14:paraId="74DD0561" w14:textId="195F6B21" w:rsidR="00D12D2F" w:rsidRPr="007F7EBF" w:rsidRDefault="006342C5" w:rsidP="002847DD">
      <w:pPr>
        <w:pStyle w:val="Titolo3"/>
        <w:rPr>
          <w:sz w:val="22"/>
          <w:szCs w:val="22"/>
        </w:rPr>
      </w:pPr>
      <w:bookmarkStart w:id="138" w:name="_Toc63365048"/>
      <w:r w:rsidRPr="007F7EBF">
        <w:rPr>
          <w:rFonts w:ascii="Times New Roman" w:hAnsi="Times New Roman"/>
          <w:sz w:val="22"/>
          <w:szCs w:val="22"/>
        </w:rPr>
        <w:t>10.4. “</w:t>
      </w:r>
      <w:r w:rsidR="001147F6" w:rsidRPr="007F7EBF">
        <w:rPr>
          <w:rFonts w:ascii="Times New Roman" w:hAnsi="Times New Roman"/>
          <w:sz w:val="22"/>
          <w:szCs w:val="22"/>
          <w:lang w:val="it-IT"/>
        </w:rPr>
        <w:t>Tassazione sul</w:t>
      </w:r>
      <w:r w:rsidR="001147F6" w:rsidRPr="007F7EBF">
        <w:rPr>
          <w:rFonts w:ascii="Times New Roman" w:hAnsi="Times New Roman"/>
          <w:sz w:val="22"/>
          <w:szCs w:val="22"/>
        </w:rPr>
        <w:t xml:space="preserve"> patrimoni</w:t>
      </w:r>
      <w:r w:rsidR="001147F6" w:rsidRPr="007F7EBF">
        <w:rPr>
          <w:rFonts w:ascii="Times New Roman" w:hAnsi="Times New Roman"/>
          <w:sz w:val="22"/>
          <w:szCs w:val="22"/>
          <w:lang w:val="it-IT"/>
        </w:rPr>
        <w:t>o</w:t>
      </w:r>
      <w:r w:rsidR="001147F6" w:rsidRPr="007F7EBF">
        <w:rPr>
          <w:rFonts w:ascii="Times New Roman" w:hAnsi="Times New Roman"/>
          <w:sz w:val="22"/>
          <w:szCs w:val="22"/>
        </w:rPr>
        <w:t>”</w:t>
      </w:r>
      <w:r w:rsidR="001147F6" w:rsidRPr="007F7EBF">
        <w:rPr>
          <w:rFonts w:ascii="Times New Roman" w:hAnsi="Times New Roman"/>
          <w:sz w:val="22"/>
          <w:szCs w:val="22"/>
          <w:lang w:val="it-IT"/>
        </w:rPr>
        <w:t xml:space="preserve"> come soluzione di ripiego (di difficile gestione)</w:t>
      </w:r>
      <w:bookmarkEnd w:id="138"/>
    </w:p>
    <w:p w14:paraId="5E244C0E" w14:textId="77777777" w:rsidR="00D12D2F" w:rsidRPr="007F7EBF" w:rsidRDefault="00D12D2F" w:rsidP="00D12D2F">
      <w:pPr>
        <w:pStyle w:val="tit23"/>
        <w:ind w:left="6464" w:right="-1361" w:firstLine="0"/>
        <w:jc w:val="left"/>
        <w:rPr>
          <w:bCs/>
          <w:i/>
          <w:iCs/>
          <w:color w:val="0000FF"/>
          <w:lang w:val="it-IT"/>
        </w:rPr>
      </w:pPr>
      <w:r w:rsidRPr="007F7EBF">
        <w:rPr>
          <w:bCs/>
          <w:i/>
          <w:iCs/>
          <w:color w:val="0000FF"/>
          <w:lang w:val="it-IT"/>
        </w:rPr>
        <w:t xml:space="preserve">Composizione del patrimonio </w:t>
      </w:r>
    </w:p>
    <w:p w14:paraId="0D5E4509" w14:textId="4384FA48" w:rsidR="00704B6B" w:rsidRPr="007F7EBF" w:rsidRDefault="00D12D2F" w:rsidP="00704B6B">
      <w:pPr>
        <w:autoSpaceDE w:val="0"/>
        <w:autoSpaceDN w:val="0"/>
        <w:adjustRightInd w:val="0"/>
        <w:rPr>
          <w:bCs/>
          <w:i/>
          <w:iCs/>
          <w:color w:val="0000FF"/>
          <w:sz w:val="22"/>
          <w:szCs w:val="22"/>
        </w:rPr>
      </w:pPr>
      <w:r w:rsidRPr="007F7EBF">
        <w:rPr>
          <w:sz w:val="22"/>
          <w:szCs w:val="22"/>
        </w:rPr>
        <w:t xml:space="preserve">La </w:t>
      </w:r>
      <w:r w:rsidR="00DA0DD8">
        <w:rPr>
          <w:bCs/>
          <w:sz w:val="22"/>
          <w:szCs w:val="22"/>
        </w:rPr>
        <w:t>maggior parte del</w:t>
      </w:r>
      <w:r w:rsidRPr="007F7EBF">
        <w:rPr>
          <w:bCs/>
          <w:sz w:val="22"/>
          <w:szCs w:val="22"/>
        </w:rPr>
        <w:t xml:space="preserve"> patrimoni</w:t>
      </w:r>
      <w:r w:rsidR="00DA0DD8">
        <w:rPr>
          <w:bCs/>
          <w:sz w:val="22"/>
          <w:szCs w:val="22"/>
        </w:rPr>
        <w:t>o</w:t>
      </w:r>
      <w:r w:rsidRPr="007F7EBF">
        <w:rPr>
          <w:bCs/>
          <w:sz w:val="22"/>
          <w:szCs w:val="22"/>
        </w:rPr>
        <w:t xml:space="preserve">, come indicato ai par. </w:t>
      </w:r>
      <w:r w:rsidR="00DA0DD8">
        <w:rPr>
          <w:bCs/>
          <w:sz w:val="22"/>
          <w:szCs w:val="22"/>
        </w:rPr>
        <w:t xml:space="preserve">1.8, </w:t>
      </w:r>
      <w:r w:rsidRPr="007F7EBF">
        <w:rPr>
          <w:bCs/>
          <w:sz w:val="22"/>
          <w:szCs w:val="22"/>
        </w:rPr>
        <w:t xml:space="preserve">8.4 e 8.5, </w:t>
      </w:r>
      <w:r w:rsidR="00704B6B">
        <w:rPr>
          <w:bCs/>
          <w:sz w:val="22"/>
          <w:szCs w:val="22"/>
        </w:rPr>
        <w:t xml:space="preserve">consiste </w:t>
      </w:r>
      <w:r w:rsidRPr="007F7EBF">
        <w:rPr>
          <w:bCs/>
          <w:sz w:val="22"/>
          <w:szCs w:val="22"/>
        </w:rPr>
        <w:t>di immobili e risparmio</w:t>
      </w:r>
      <w:r w:rsidR="00704B6B" w:rsidRPr="007F7EBF">
        <w:rPr>
          <w:bCs/>
          <w:sz w:val="22"/>
          <w:szCs w:val="22"/>
        </w:rPr>
        <w:t>; l</w:t>
      </w:r>
      <w:r w:rsidR="00704B6B" w:rsidRPr="007F7EBF">
        <w:rPr>
          <w:sz w:val="22"/>
          <w:szCs w:val="22"/>
        </w:rPr>
        <w:t xml:space="preserve">a ricchezza si produce </w:t>
      </w:r>
      <w:r w:rsidR="00704B6B">
        <w:rPr>
          <w:sz w:val="22"/>
          <w:szCs w:val="22"/>
        </w:rPr>
        <w:t xml:space="preserve">cioè nelle attività economiche, per essere poi accantonata </w:t>
      </w:r>
      <w:r w:rsidR="00704B6B" w:rsidRPr="007F7EBF">
        <w:rPr>
          <w:sz w:val="22"/>
          <w:szCs w:val="22"/>
        </w:rPr>
        <w:t xml:space="preserve">negli immobili o in </w:t>
      </w:r>
      <w:r w:rsidR="00704B6B">
        <w:rPr>
          <w:sz w:val="22"/>
          <w:szCs w:val="22"/>
        </w:rPr>
        <w:t xml:space="preserve">investimenti finanziari. </w:t>
      </w:r>
      <w:r w:rsidR="00704B6B" w:rsidRPr="007F7EBF">
        <w:rPr>
          <w:bCs/>
          <w:sz w:val="22"/>
          <w:szCs w:val="22"/>
        </w:rPr>
        <w:t>Poca cosa, in termini economici, esprimono  invece i segmenti patrimoniali costituiti da oggetti d'arte, gioielli e altri beni rifugio</w:t>
      </w:r>
      <w:r w:rsidR="00704B6B">
        <w:rPr>
          <w:bCs/>
          <w:sz w:val="22"/>
          <w:szCs w:val="22"/>
        </w:rPr>
        <w:t xml:space="preserve"> </w:t>
      </w:r>
      <w:r w:rsidR="00704B6B">
        <w:rPr>
          <w:sz w:val="22"/>
          <w:szCs w:val="22"/>
        </w:rPr>
        <w:t>(</w:t>
      </w:r>
      <w:r w:rsidR="00704B6B" w:rsidRPr="007F7EBF">
        <w:rPr>
          <w:rStyle w:val="Rimandonotaapidipagina"/>
          <w:sz w:val="22"/>
          <w:szCs w:val="22"/>
        </w:rPr>
        <w:footnoteReference w:id="1377"/>
      </w:r>
      <w:r w:rsidR="00704B6B">
        <w:rPr>
          <w:sz w:val="22"/>
          <w:szCs w:val="22"/>
        </w:rPr>
        <w:t>)</w:t>
      </w:r>
      <w:r w:rsidR="00704B6B" w:rsidRPr="007F7EBF">
        <w:rPr>
          <w:sz w:val="22"/>
          <w:szCs w:val="22"/>
        </w:rPr>
        <w:t xml:space="preserve">. </w:t>
      </w:r>
    </w:p>
    <w:p w14:paraId="5FB88AC4" w14:textId="15CF240D" w:rsidR="00C873E2" w:rsidRPr="007F7EBF" w:rsidRDefault="00704B6B" w:rsidP="00C873E2">
      <w:pPr>
        <w:autoSpaceDE w:val="0"/>
        <w:autoSpaceDN w:val="0"/>
        <w:adjustRightInd w:val="0"/>
        <w:rPr>
          <w:sz w:val="22"/>
          <w:szCs w:val="22"/>
        </w:rPr>
      </w:pPr>
      <w:r>
        <w:rPr>
          <w:bCs/>
          <w:sz w:val="22"/>
          <w:szCs w:val="22"/>
        </w:rPr>
        <w:t>Anche i</w:t>
      </w:r>
      <w:r w:rsidR="00D12D2F" w:rsidRPr="007F7EBF">
        <w:rPr>
          <w:bCs/>
          <w:sz w:val="22"/>
          <w:szCs w:val="22"/>
        </w:rPr>
        <w:t>l valore delle aziende</w:t>
      </w:r>
      <w:r>
        <w:rPr>
          <w:bCs/>
          <w:sz w:val="22"/>
          <w:szCs w:val="22"/>
        </w:rPr>
        <w:t xml:space="preserve">, </w:t>
      </w:r>
      <w:r w:rsidRPr="007F7EBF">
        <w:rPr>
          <w:sz w:val="22"/>
          <w:szCs w:val="22"/>
        </w:rPr>
        <w:t>in capo ai rispettivi titolari</w:t>
      </w:r>
      <w:r>
        <w:rPr>
          <w:sz w:val="22"/>
          <w:szCs w:val="22"/>
        </w:rPr>
        <w:t xml:space="preserve">, è patrimonio, ma è illiquido e generatore di valore aggiunto (par.1.8) per una pluralità di soggetti </w:t>
      </w:r>
      <w:r w:rsidRPr="007F7EBF">
        <w:rPr>
          <w:sz w:val="22"/>
          <w:szCs w:val="22"/>
        </w:rPr>
        <w:t>(par.</w:t>
      </w:r>
      <w:r w:rsidR="00361BCC">
        <w:rPr>
          <w:sz w:val="22"/>
          <w:szCs w:val="22"/>
        </w:rPr>
        <w:t>4.2</w:t>
      </w:r>
      <w:r w:rsidRPr="007F7EBF">
        <w:rPr>
          <w:sz w:val="22"/>
          <w:szCs w:val="22"/>
        </w:rPr>
        <w:t xml:space="preserve"> sulla "redistribuzione")</w:t>
      </w:r>
      <w:r>
        <w:rPr>
          <w:sz w:val="22"/>
          <w:szCs w:val="22"/>
        </w:rPr>
        <w:t>; oltre a questa “</w:t>
      </w:r>
      <w:proofErr w:type="spellStart"/>
      <w:r>
        <w:rPr>
          <w:sz w:val="22"/>
          <w:szCs w:val="22"/>
        </w:rPr>
        <w:t>meritevolezza</w:t>
      </w:r>
      <w:proofErr w:type="spellEnd"/>
      <w:r>
        <w:rPr>
          <w:sz w:val="22"/>
          <w:szCs w:val="22"/>
        </w:rPr>
        <w:t xml:space="preserve"> sociale”, questo patrimonio è </w:t>
      </w:r>
      <w:r w:rsidRPr="007F7EBF">
        <w:rPr>
          <w:sz w:val="22"/>
          <w:szCs w:val="22"/>
        </w:rPr>
        <w:t xml:space="preserve">destinato a scontare imposte </w:t>
      </w:r>
      <w:r w:rsidR="00DD7732">
        <w:rPr>
          <w:sz w:val="22"/>
          <w:szCs w:val="22"/>
        </w:rPr>
        <w:t xml:space="preserve">sui redditi man mano che gli </w:t>
      </w:r>
      <w:r w:rsidRPr="007F7EBF">
        <w:rPr>
          <w:sz w:val="22"/>
          <w:szCs w:val="22"/>
        </w:rPr>
        <w:t>"avviamenti</w:t>
      </w:r>
      <w:r w:rsidR="00DD7732">
        <w:rPr>
          <w:sz w:val="22"/>
          <w:szCs w:val="22"/>
        </w:rPr>
        <w:t xml:space="preserve"> aziendali</w:t>
      </w:r>
      <w:r w:rsidRPr="007F7EBF">
        <w:rPr>
          <w:sz w:val="22"/>
          <w:szCs w:val="22"/>
        </w:rPr>
        <w:t>" (par.7.13),</w:t>
      </w:r>
      <w:r w:rsidR="00DD7732">
        <w:rPr>
          <w:sz w:val="22"/>
          <w:szCs w:val="22"/>
        </w:rPr>
        <w:t xml:space="preserve"> generano imponibili, </w:t>
      </w:r>
      <w:r w:rsidRPr="007F7EBF">
        <w:rPr>
          <w:sz w:val="22"/>
          <w:szCs w:val="22"/>
        </w:rPr>
        <w:t>appare</w:t>
      </w:r>
      <w:r w:rsidR="00DD7732">
        <w:rPr>
          <w:sz w:val="22"/>
          <w:szCs w:val="22"/>
        </w:rPr>
        <w:t>ndo anche sotto questo profilo</w:t>
      </w:r>
      <w:r w:rsidRPr="007F7EBF">
        <w:rPr>
          <w:sz w:val="22"/>
          <w:szCs w:val="22"/>
        </w:rPr>
        <w:t xml:space="preserve"> poco opportun</w:t>
      </w:r>
      <w:r>
        <w:rPr>
          <w:sz w:val="22"/>
          <w:szCs w:val="22"/>
        </w:rPr>
        <w:t xml:space="preserve">o </w:t>
      </w:r>
      <w:r w:rsidRPr="007F7EBF">
        <w:rPr>
          <w:sz w:val="22"/>
          <w:szCs w:val="22"/>
        </w:rPr>
        <w:t>anticipa</w:t>
      </w:r>
      <w:r>
        <w:rPr>
          <w:sz w:val="22"/>
          <w:szCs w:val="22"/>
        </w:rPr>
        <w:t xml:space="preserve">re </w:t>
      </w:r>
      <w:r w:rsidRPr="007F7EBF">
        <w:rPr>
          <w:sz w:val="22"/>
          <w:szCs w:val="22"/>
        </w:rPr>
        <w:t xml:space="preserve">la tassazione </w:t>
      </w:r>
      <w:r>
        <w:rPr>
          <w:sz w:val="22"/>
          <w:szCs w:val="22"/>
        </w:rPr>
        <w:t>(</w:t>
      </w:r>
      <w:r w:rsidRPr="007F7EBF">
        <w:rPr>
          <w:rStyle w:val="Rimandonotaapidipagina"/>
          <w:sz w:val="22"/>
          <w:szCs w:val="22"/>
        </w:rPr>
        <w:footnoteReference w:id="1378"/>
      </w:r>
      <w:r>
        <w:rPr>
          <w:sz w:val="22"/>
          <w:szCs w:val="22"/>
        </w:rPr>
        <w:t>)</w:t>
      </w:r>
      <w:r w:rsidRPr="007F7EBF">
        <w:rPr>
          <w:sz w:val="22"/>
          <w:szCs w:val="22"/>
        </w:rPr>
        <w:t xml:space="preserve">. </w:t>
      </w:r>
    </w:p>
    <w:p w14:paraId="45B0654F" w14:textId="77777777" w:rsidR="00C873E2" w:rsidRPr="007F7EBF" w:rsidRDefault="00C873E2" w:rsidP="00C873E2">
      <w:pPr>
        <w:pStyle w:val="tit23"/>
        <w:ind w:left="6464" w:right="-1361" w:firstLine="0"/>
        <w:jc w:val="left"/>
        <w:rPr>
          <w:bCs/>
          <w:i/>
          <w:iCs/>
          <w:color w:val="0000FF"/>
          <w:lang w:val="it-IT"/>
        </w:rPr>
      </w:pPr>
      <w:r w:rsidRPr="007F7EBF">
        <w:rPr>
          <w:bCs/>
          <w:i/>
          <w:iCs/>
          <w:color w:val="0000FF"/>
          <w:lang w:val="it-IT"/>
        </w:rPr>
        <w:t>Imposte patrimoniali e simbologie  sociali</w:t>
      </w:r>
    </w:p>
    <w:p w14:paraId="4BA78698" w14:textId="224C7987" w:rsidR="00D12D2F" w:rsidRPr="007F7EBF" w:rsidRDefault="00C873E2" w:rsidP="00D12D2F">
      <w:pPr>
        <w:autoSpaceDE w:val="0"/>
        <w:autoSpaceDN w:val="0"/>
        <w:adjustRightInd w:val="0"/>
        <w:rPr>
          <w:sz w:val="22"/>
          <w:szCs w:val="22"/>
        </w:rPr>
      </w:pPr>
      <w:r w:rsidRPr="007F7EBF">
        <w:rPr>
          <w:bCs/>
          <w:sz w:val="22"/>
          <w:szCs w:val="22"/>
        </w:rPr>
        <w:t xml:space="preserve">A ben guardare, come precisato in altra sede, il valore del patrimonio </w:t>
      </w:r>
      <w:r w:rsidR="00DD7732">
        <w:rPr>
          <w:bCs/>
          <w:sz w:val="22"/>
          <w:szCs w:val="22"/>
        </w:rPr>
        <w:t xml:space="preserve">è collegato col livello di reddito dell’ambiente sociale </w:t>
      </w:r>
      <w:r w:rsidR="00704B6B">
        <w:rPr>
          <w:bCs/>
          <w:sz w:val="22"/>
          <w:szCs w:val="22"/>
        </w:rPr>
        <w:t>(</w:t>
      </w:r>
      <w:r w:rsidRPr="007F7EBF">
        <w:rPr>
          <w:rStyle w:val="Rimandonotaapidipagina"/>
          <w:bCs/>
          <w:sz w:val="22"/>
          <w:szCs w:val="22"/>
        </w:rPr>
        <w:footnoteReference w:id="1379"/>
      </w:r>
      <w:r w:rsidR="00704B6B">
        <w:rPr>
          <w:bCs/>
          <w:sz w:val="22"/>
          <w:szCs w:val="22"/>
        </w:rPr>
        <w:t>)</w:t>
      </w:r>
      <w:r w:rsidRPr="007F7EBF">
        <w:rPr>
          <w:bCs/>
          <w:sz w:val="22"/>
          <w:szCs w:val="22"/>
        </w:rPr>
        <w:t>.</w:t>
      </w:r>
      <w:r w:rsidR="006A422A">
        <w:rPr>
          <w:bCs/>
          <w:sz w:val="22"/>
          <w:szCs w:val="22"/>
        </w:rPr>
        <w:t xml:space="preserve"> </w:t>
      </w:r>
      <w:r w:rsidRPr="007F7EBF">
        <w:rPr>
          <w:sz w:val="22"/>
          <w:szCs w:val="22"/>
        </w:rPr>
        <w:t xml:space="preserve">Spesso nella pubblica opinione si affaccia l'idea della  tassazione dei </w:t>
      </w:r>
      <w:r w:rsidRPr="007F7EBF">
        <w:rPr>
          <w:bCs/>
          <w:sz w:val="22"/>
          <w:szCs w:val="22"/>
        </w:rPr>
        <w:t>patrimoni di lusso</w:t>
      </w:r>
      <w:r w:rsidRPr="007F7EBF">
        <w:rPr>
          <w:sz w:val="22"/>
          <w:szCs w:val="22"/>
        </w:rPr>
        <w:t>, talvolta cristallizzati in beni infruttiferi, senza valore intrinseco e che non si rivalutano, come le auto di lusso, le imbarcazioni da diporto etc. La giustificazione in termini di ricchezza è indiretta, in quanto tali beni</w:t>
      </w:r>
      <w:r w:rsidR="00DD7732">
        <w:rPr>
          <w:sz w:val="22"/>
          <w:szCs w:val="22"/>
        </w:rPr>
        <w:t>, anche se di scarso valore in sé,</w:t>
      </w:r>
      <w:r w:rsidRPr="007F7EBF">
        <w:rPr>
          <w:sz w:val="22"/>
          <w:szCs w:val="22"/>
        </w:rPr>
        <w:t xml:space="preserve"> rendono </w:t>
      </w:r>
      <w:r w:rsidRPr="007F7EBF">
        <w:rPr>
          <w:bCs/>
          <w:sz w:val="22"/>
          <w:szCs w:val="22"/>
        </w:rPr>
        <w:t xml:space="preserve">verosimile </w:t>
      </w:r>
      <w:r w:rsidRPr="007F7EBF">
        <w:rPr>
          <w:sz w:val="22"/>
          <w:szCs w:val="22"/>
        </w:rPr>
        <w:t xml:space="preserve">una </w:t>
      </w:r>
      <w:r w:rsidRPr="007F7EBF">
        <w:rPr>
          <w:bCs/>
          <w:sz w:val="22"/>
          <w:szCs w:val="22"/>
        </w:rPr>
        <w:t xml:space="preserve">condizione economica florida </w:t>
      </w:r>
      <w:r w:rsidRPr="007F7EBF">
        <w:rPr>
          <w:sz w:val="22"/>
          <w:szCs w:val="22"/>
        </w:rPr>
        <w:t>in generale</w:t>
      </w:r>
      <w:r w:rsidR="00DD7732">
        <w:rPr>
          <w:sz w:val="22"/>
          <w:szCs w:val="22"/>
        </w:rPr>
        <w:t xml:space="preserve"> (</w:t>
      </w:r>
      <w:r w:rsidR="006A422A">
        <w:rPr>
          <w:rStyle w:val="Rimandonotaapidipagina"/>
          <w:sz w:val="22"/>
          <w:szCs w:val="22"/>
        </w:rPr>
        <w:footnoteReference w:id="1380"/>
      </w:r>
      <w:r w:rsidR="00DD7732">
        <w:rPr>
          <w:sz w:val="22"/>
          <w:szCs w:val="22"/>
        </w:rPr>
        <w:t>)</w:t>
      </w:r>
      <w:r w:rsidRPr="007F7EBF">
        <w:rPr>
          <w:sz w:val="22"/>
          <w:szCs w:val="22"/>
        </w:rPr>
        <w:t xml:space="preserve">. </w:t>
      </w:r>
    </w:p>
    <w:p w14:paraId="74E3513A" w14:textId="77777777" w:rsidR="00D12D2F" w:rsidRPr="007F7EBF" w:rsidRDefault="00D12D2F" w:rsidP="00D12D2F">
      <w:pPr>
        <w:pStyle w:val="tit23"/>
        <w:ind w:left="6464" w:right="-1361" w:firstLine="0"/>
        <w:jc w:val="left"/>
        <w:rPr>
          <w:bCs/>
          <w:i/>
          <w:iCs/>
          <w:color w:val="0000FF"/>
          <w:lang w:val="it-IT"/>
        </w:rPr>
      </w:pPr>
      <w:r w:rsidRPr="007F7EBF">
        <w:rPr>
          <w:bCs/>
          <w:i/>
          <w:iCs/>
          <w:color w:val="0000FF"/>
          <w:lang w:val="it-IT"/>
        </w:rPr>
        <w:lastRenderedPageBreak/>
        <w:t>Tassazione patrimoniale come soluzione di ripiego</w:t>
      </w:r>
    </w:p>
    <w:p w14:paraId="4FB0205F" w14:textId="29DA6B84" w:rsidR="00C873E2" w:rsidRPr="007F7EBF" w:rsidRDefault="006A422A" w:rsidP="00C873E2">
      <w:pPr>
        <w:autoSpaceDE w:val="0"/>
        <w:autoSpaceDN w:val="0"/>
        <w:adjustRightInd w:val="0"/>
        <w:rPr>
          <w:sz w:val="22"/>
          <w:szCs w:val="22"/>
        </w:rPr>
      </w:pPr>
      <w:r>
        <w:rPr>
          <w:sz w:val="22"/>
          <w:szCs w:val="22"/>
        </w:rPr>
        <w:t xml:space="preserve">La tassazione patrimoniale deve tener conto di quanto detto al </w:t>
      </w:r>
      <w:r w:rsidR="009E261C" w:rsidRPr="007F7EBF">
        <w:rPr>
          <w:sz w:val="22"/>
          <w:szCs w:val="22"/>
        </w:rPr>
        <w:t xml:space="preserve">par.1.8, </w:t>
      </w:r>
      <w:r w:rsidR="00BB52A5">
        <w:rPr>
          <w:sz w:val="22"/>
          <w:szCs w:val="22"/>
        </w:rPr>
        <w:t xml:space="preserve">sul pagamento di qualsiasi imposta, </w:t>
      </w:r>
      <w:proofErr w:type="spellStart"/>
      <w:r w:rsidR="00BB52A5">
        <w:rPr>
          <w:sz w:val="22"/>
          <w:szCs w:val="22"/>
        </w:rPr>
        <w:t>benchè</w:t>
      </w:r>
      <w:proofErr w:type="spellEnd"/>
      <w:r w:rsidR="00BB52A5">
        <w:rPr>
          <w:sz w:val="22"/>
          <w:szCs w:val="22"/>
        </w:rPr>
        <w:t xml:space="preserve"> non colpisca i redditi, attraverso i redditi. Questi ultimi sono infatti il fr</w:t>
      </w:r>
      <w:r w:rsidR="009E261C" w:rsidRPr="007F7EBF">
        <w:rPr>
          <w:sz w:val="22"/>
          <w:szCs w:val="22"/>
        </w:rPr>
        <w:t>utto dell’attività</w:t>
      </w:r>
      <w:r w:rsidR="00D12D2F" w:rsidRPr="007F7EBF">
        <w:rPr>
          <w:sz w:val="22"/>
          <w:szCs w:val="22"/>
        </w:rPr>
        <w:t xml:space="preserve"> </w:t>
      </w:r>
      <w:r w:rsidR="009E261C" w:rsidRPr="007F7EBF">
        <w:rPr>
          <w:sz w:val="22"/>
          <w:szCs w:val="22"/>
        </w:rPr>
        <w:t>umana produttiva di beni e di servizi (par. 1.8)</w:t>
      </w:r>
      <w:r w:rsidR="00BB52A5">
        <w:rPr>
          <w:sz w:val="22"/>
          <w:szCs w:val="22"/>
        </w:rPr>
        <w:t xml:space="preserve"> </w:t>
      </w:r>
      <w:r w:rsidR="00D9792E" w:rsidRPr="00D9792E">
        <w:t xml:space="preserve">e </w:t>
      </w:r>
      <w:r w:rsidR="00BB52A5">
        <w:t xml:space="preserve">perciò le </w:t>
      </w:r>
      <w:r w:rsidR="00D9792E" w:rsidRPr="00D9792E">
        <w:t>istanze sociali per cui si chiede  una imposta patrimoniale possono essere soddisfatte da imposte aggiuntive sui redditi</w:t>
      </w:r>
      <w:r w:rsidR="00BB52A5">
        <w:t>; mi riferisco ai redditi</w:t>
      </w:r>
      <w:r w:rsidR="00D9792E" w:rsidRPr="00D9792E">
        <w:t xml:space="preserve"> di fonte patrimoniale (par.1.8)</w:t>
      </w:r>
      <w:r w:rsidR="00D9792E">
        <w:t xml:space="preserve"> </w:t>
      </w:r>
      <w:r w:rsidR="00D9792E" w:rsidRPr="007F7EBF">
        <w:rPr>
          <w:sz w:val="22"/>
          <w:szCs w:val="22"/>
        </w:rPr>
        <w:t>sia in termini di frutti che di plusvalenze</w:t>
      </w:r>
      <w:r w:rsidR="00D9792E">
        <w:rPr>
          <w:sz w:val="22"/>
          <w:szCs w:val="22"/>
        </w:rPr>
        <w:t>. L</w:t>
      </w:r>
      <w:r w:rsidR="009E261C" w:rsidRPr="007F7EBF">
        <w:rPr>
          <w:sz w:val="22"/>
          <w:szCs w:val="22"/>
        </w:rPr>
        <w:t xml:space="preserve">e imposte </w:t>
      </w:r>
      <w:r w:rsidR="00BB52A5">
        <w:rPr>
          <w:sz w:val="22"/>
          <w:szCs w:val="22"/>
        </w:rPr>
        <w:t xml:space="preserve">sul valore del </w:t>
      </w:r>
      <w:r w:rsidR="009E261C" w:rsidRPr="007F7EBF">
        <w:rPr>
          <w:sz w:val="22"/>
          <w:szCs w:val="22"/>
        </w:rPr>
        <w:t>patrimoni</w:t>
      </w:r>
      <w:r w:rsidR="00BB52A5">
        <w:rPr>
          <w:sz w:val="22"/>
          <w:szCs w:val="22"/>
        </w:rPr>
        <w:t>o</w:t>
      </w:r>
      <w:r w:rsidR="009E261C" w:rsidRPr="007F7EBF">
        <w:rPr>
          <w:sz w:val="22"/>
          <w:szCs w:val="22"/>
        </w:rPr>
        <w:t xml:space="preserve"> appaiono </w:t>
      </w:r>
      <w:r w:rsidR="00BB52A5">
        <w:rPr>
          <w:sz w:val="22"/>
          <w:szCs w:val="22"/>
        </w:rPr>
        <w:t xml:space="preserve">quindi </w:t>
      </w:r>
      <w:r w:rsidR="009E261C" w:rsidRPr="007F7EBF">
        <w:rPr>
          <w:sz w:val="22"/>
          <w:szCs w:val="22"/>
        </w:rPr>
        <w:t xml:space="preserve">come una soluzione di </w:t>
      </w:r>
      <w:r w:rsidR="009E261C" w:rsidRPr="00D9792E">
        <w:t>ripiego</w:t>
      </w:r>
      <w:r w:rsidR="00D9792E">
        <w:t xml:space="preserve">, una scorciatoia che scatta </w:t>
      </w:r>
      <w:r w:rsidR="00D9792E" w:rsidRPr="007F7EBF">
        <w:rPr>
          <w:sz w:val="22"/>
          <w:szCs w:val="22"/>
        </w:rPr>
        <w:t>anche su patrimoni infruttiferi, illiquidi e che hanno subito perdite (</w:t>
      </w:r>
      <w:r w:rsidR="00D9792E" w:rsidRPr="007F7EBF">
        <w:rPr>
          <w:rStyle w:val="Rimandonotaapidipagina"/>
          <w:sz w:val="22"/>
          <w:szCs w:val="22"/>
        </w:rPr>
        <w:footnoteReference w:id="1381"/>
      </w:r>
      <w:r w:rsidR="00D9792E" w:rsidRPr="007F7EBF">
        <w:rPr>
          <w:sz w:val="22"/>
          <w:szCs w:val="22"/>
        </w:rPr>
        <w:t xml:space="preserve">).  </w:t>
      </w:r>
      <w:r w:rsidR="00D9792E">
        <w:rPr>
          <w:sz w:val="22"/>
          <w:szCs w:val="22"/>
        </w:rPr>
        <w:t xml:space="preserve">Questa soluzione di ripiego </w:t>
      </w:r>
      <w:r w:rsidR="00D12D2F" w:rsidRPr="00D9792E">
        <w:t xml:space="preserve">può essere </w:t>
      </w:r>
      <w:r w:rsidR="009E261C" w:rsidRPr="00D9792E">
        <w:t>giustificat</w:t>
      </w:r>
      <w:r w:rsidR="00D9792E">
        <w:t xml:space="preserve">a </w:t>
      </w:r>
      <w:r w:rsidR="009E261C" w:rsidRPr="00D9792E">
        <w:t>dalla mancanza di informazioni (motivi di semplicità), dai passaggi di ricchezza (successioni o donazioni di cui al successivo par.10.5)</w:t>
      </w:r>
      <w:r w:rsidR="00D9792E">
        <w:t xml:space="preserve">. </w:t>
      </w:r>
    </w:p>
    <w:p w14:paraId="7C156332" w14:textId="77777777" w:rsidR="005B2E15" w:rsidRPr="007F7EBF" w:rsidRDefault="005B2E15" w:rsidP="005B2E15">
      <w:pPr>
        <w:pStyle w:val="tit23"/>
        <w:ind w:left="6464" w:right="-1361" w:firstLine="0"/>
        <w:jc w:val="left"/>
        <w:rPr>
          <w:bCs/>
          <w:i/>
          <w:iCs/>
          <w:color w:val="0000FF"/>
          <w:lang w:val="it-IT"/>
        </w:rPr>
      </w:pPr>
      <w:r w:rsidRPr="007F7EBF">
        <w:rPr>
          <w:bCs/>
          <w:i/>
          <w:iCs/>
          <w:color w:val="0000FF"/>
          <w:lang w:val="it-IT"/>
        </w:rPr>
        <w:t>Estraneità del patrimonio alla tassazione attraverso le aziende</w:t>
      </w:r>
    </w:p>
    <w:p w14:paraId="4D44B5A6" w14:textId="31CF3E77" w:rsidR="00C873E2" w:rsidRPr="007F7EBF" w:rsidRDefault="00BB52A5" w:rsidP="00C873E2">
      <w:pPr>
        <w:autoSpaceDE w:val="0"/>
        <w:autoSpaceDN w:val="0"/>
        <w:adjustRightInd w:val="0"/>
        <w:rPr>
          <w:sz w:val="22"/>
          <w:szCs w:val="22"/>
        </w:rPr>
      </w:pPr>
      <w:r>
        <w:t xml:space="preserve">Anche la perdita del </w:t>
      </w:r>
      <w:r w:rsidR="00D9792E" w:rsidRPr="007F7EBF">
        <w:rPr>
          <w:sz w:val="22"/>
          <w:szCs w:val="22"/>
        </w:rPr>
        <w:t>controllo dei redditi, soprattutto quelli non determinabili attraverso le aziende,</w:t>
      </w:r>
      <w:r>
        <w:rPr>
          <w:sz w:val="22"/>
          <w:szCs w:val="22"/>
        </w:rPr>
        <w:t xml:space="preserve"> fa apparire</w:t>
      </w:r>
      <w:r w:rsidR="00D9792E" w:rsidRPr="007F7EBF">
        <w:rPr>
          <w:sz w:val="22"/>
          <w:szCs w:val="22"/>
        </w:rPr>
        <w:t xml:space="preserve"> la tassazione del patrimonio </w:t>
      </w:r>
      <w:r>
        <w:rPr>
          <w:bCs/>
          <w:sz w:val="22"/>
          <w:szCs w:val="22"/>
        </w:rPr>
        <w:t>come</w:t>
      </w:r>
      <w:r w:rsidR="00D9792E" w:rsidRPr="007F7EBF">
        <w:rPr>
          <w:bCs/>
          <w:sz w:val="22"/>
          <w:szCs w:val="22"/>
        </w:rPr>
        <w:t xml:space="preserve"> un possibile ripiego</w:t>
      </w:r>
      <w:r w:rsidR="00D9792E" w:rsidRPr="00D9792E">
        <w:t xml:space="preserve">. </w:t>
      </w:r>
      <w:r w:rsidR="00D9792E">
        <w:t xml:space="preserve">Inoltre i redditi di fonte patrimoniale sono spesso determinabili attraverso le aziende, sulle quali non è invece </w:t>
      </w:r>
      <w:proofErr w:type="spellStart"/>
      <w:r w:rsidR="005B2E15" w:rsidRPr="007F7EBF">
        <w:rPr>
          <w:sz w:val="22"/>
          <w:szCs w:val="22"/>
        </w:rPr>
        <w:t>esternalizzabile</w:t>
      </w:r>
      <w:proofErr w:type="spellEnd"/>
      <w:r w:rsidR="005B2E15" w:rsidRPr="007F7EBF">
        <w:rPr>
          <w:sz w:val="22"/>
          <w:szCs w:val="22"/>
        </w:rPr>
        <w:t xml:space="preserve"> </w:t>
      </w:r>
      <w:r w:rsidR="00D9792E">
        <w:rPr>
          <w:sz w:val="22"/>
          <w:szCs w:val="22"/>
        </w:rPr>
        <w:t xml:space="preserve">una tassazione patrimoniale generalizzata, riguardante </w:t>
      </w:r>
      <w:r w:rsidR="005B2E15" w:rsidRPr="007F7EBF">
        <w:rPr>
          <w:sz w:val="22"/>
          <w:szCs w:val="22"/>
        </w:rPr>
        <w:t xml:space="preserve">"ricchezza statica",  </w:t>
      </w:r>
      <w:r w:rsidR="00E06C8A">
        <w:rPr>
          <w:sz w:val="22"/>
          <w:szCs w:val="22"/>
        </w:rPr>
        <w:t xml:space="preserve">ormai </w:t>
      </w:r>
      <w:r w:rsidR="005B2E15">
        <w:rPr>
          <w:sz w:val="22"/>
          <w:szCs w:val="22"/>
        </w:rPr>
        <w:t>nella sfera privata dei titolari</w:t>
      </w:r>
      <w:r w:rsidR="00E06C8A">
        <w:rPr>
          <w:sz w:val="22"/>
          <w:szCs w:val="22"/>
        </w:rPr>
        <w:t>; al massimo l</w:t>
      </w:r>
      <w:r w:rsidR="005B2E15">
        <w:rPr>
          <w:sz w:val="22"/>
          <w:szCs w:val="22"/>
        </w:rPr>
        <w:t>e aziende possono occasionalmente individuare i</w:t>
      </w:r>
      <w:r w:rsidR="005B2E15" w:rsidRPr="007F7EBF">
        <w:rPr>
          <w:sz w:val="22"/>
          <w:szCs w:val="22"/>
        </w:rPr>
        <w:t xml:space="preserve"> frammenti di patrimonio di cui esse siano depositarie nell'esercizio della loro attività </w:t>
      </w:r>
      <w:r w:rsidR="00E06C8A">
        <w:rPr>
          <w:sz w:val="22"/>
          <w:szCs w:val="22"/>
        </w:rPr>
        <w:t>(</w:t>
      </w:r>
      <w:r w:rsidR="005B2E15" w:rsidRPr="007F7EBF">
        <w:rPr>
          <w:rStyle w:val="Rimandonotaapidipagina"/>
          <w:sz w:val="22"/>
          <w:szCs w:val="22"/>
        </w:rPr>
        <w:footnoteReference w:id="1382"/>
      </w:r>
      <w:r w:rsidR="00E06C8A">
        <w:rPr>
          <w:sz w:val="22"/>
          <w:szCs w:val="22"/>
        </w:rPr>
        <w:t>)</w:t>
      </w:r>
      <w:r w:rsidR="005B2E15" w:rsidRPr="007F7EBF">
        <w:rPr>
          <w:sz w:val="22"/>
          <w:szCs w:val="22"/>
        </w:rPr>
        <w:t xml:space="preserve">. </w:t>
      </w:r>
    </w:p>
    <w:p w14:paraId="5FF98183" w14:textId="78F178E4" w:rsidR="00C873E2" w:rsidRPr="007F7EBF" w:rsidRDefault="005B2E15" w:rsidP="00C873E2">
      <w:pPr>
        <w:pStyle w:val="tit23"/>
        <w:ind w:left="6464" w:right="-1361" w:firstLine="0"/>
        <w:jc w:val="left"/>
        <w:rPr>
          <w:bCs/>
          <w:i/>
          <w:iCs/>
          <w:color w:val="0000FF"/>
          <w:lang w:val="it-IT"/>
        </w:rPr>
      </w:pPr>
      <w:r>
        <w:rPr>
          <w:bCs/>
          <w:i/>
          <w:iCs/>
          <w:color w:val="0000FF"/>
          <w:lang w:val="it-IT"/>
        </w:rPr>
        <w:t xml:space="preserve">E </w:t>
      </w:r>
      <w:r w:rsidR="00C873E2" w:rsidRPr="007F7EBF">
        <w:rPr>
          <w:bCs/>
          <w:i/>
          <w:iCs/>
          <w:color w:val="0000FF"/>
          <w:lang w:val="it-IT"/>
        </w:rPr>
        <w:t xml:space="preserve">difficoltà di </w:t>
      </w:r>
      <w:r w:rsidR="00913771" w:rsidRPr="007F7EBF">
        <w:rPr>
          <w:bCs/>
          <w:i/>
          <w:iCs/>
          <w:color w:val="0000FF"/>
          <w:lang w:val="it-IT"/>
        </w:rPr>
        <w:t xml:space="preserve">gestione </w:t>
      </w:r>
    </w:p>
    <w:p w14:paraId="01EA6120" w14:textId="5626751D" w:rsidR="004A0F1B" w:rsidRPr="007F7EBF" w:rsidRDefault="00913771" w:rsidP="00B94238">
      <w:pPr>
        <w:autoSpaceDE w:val="0"/>
        <w:autoSpaceDN w:val="0"/>
        <w:adjustRightInd w:val="0"/>
        <w:rPr>
          <w:bCs/>
          <w:i/>
          <w:iCs/>
          <w:color w:val="0000FF"/>
          <w:sz w:val="22"/>
          <w:szCs w:val="22"/>
        </w:rPr>
      </w:pPr>
      <w:r w:rsidRPr="007F7EBF">
        <w:rPr>
          <w:sz w:val="22"/>
          <w:szCs w:val="22"/>
        </w:rPr>
        <w:lastRenderedPageBreak/>
        <w:t xml:space="preserve">L’imposta sul patrimonio </w:t>
      </w:r>
      <w:r w:rsidR="00C42AC2">
        <w:rPr>
          <w:sz w:val="22"/>
          <w:szCs w:val="22"/>
        </w:rPr>
        <w:t xml:space="preserve">richiede quindi un intervento diretto e massivo degli uffici tributari, </w:t>
      </w:r>
      <w:r w:rsidRPr="007F7EBF">
        <w:rPr>
          <w:sz w:val="22"/>
          <w:szCs w:val="22"/>
        </w:rPr>
        <w:t>e q</w:t>
      </w:r>
      <w:r w:rsidR="000F5709" w:rsidRPr="007F7EBF">
        <w:rPr>
          <w:sz w:val="22"/>
          <w:szCs w:val="22"/>
        </w:rPr>
        <w:t>uesto è i</w:t>
      </w:r>
      <w:r w:rsidR="006342C5" w:rsidRPr="007F7EBF">
        <w:rPr>
          <w:sz w:val="22"/>
          <w:szCs w:val="22"/>
        </w:rPr>
        <w:t xml:space="preserve">l vero </w:t>
      </w:r>
      <w:r w:rsidR="006342C5" w:rsidRPr="007F7EBF">
        <w:rPr>
          <w:bCs/>
          <w:sz w:val="22"/>
          <w:szCs w:val="22"/>
        </w:rPr>
        <w:t xml:space="preserve">ostacolo </w:t>
      </w:r>
      <w:r w:rsidR="006342C5" w:rsidRPr="007F7EBF">
        <w:rPr>
          <w:sz w:val="22"/>
          <w:szCs w:val="22"/>
        </w:rPr>
        <w:t xml:space="preserve">alla </w:t>
      </w:r>
      <w:r w:rsidRPr="007F7EBF">
        <w:rPr>
          <w:sz w:val="22"/>
          <w:szCs w:val="22"/>
        </w:rPr>
        <w:t xml:space="preserve">sua </w:t>
      </w:r>
      <w:r w:rsidRPr="007F7EBF">
        <w:rPr>
          <w:bCs/>
          <w:sz w:val="22"/>
          <w:szCs w:val="22"/>
        </w:rPr>
        <w:t>generalizzazione</w:t>
      </w:r>
      <w:r w:rsidR="006342C5" w:rsidRPr="007F7EBF">
        <w:rPr>
          <w:bCs/>
          <w:sz w:val="22"/>
          <w:szCs w:val="22"/>
        </w:rPr>
        <w:t xml:space="preserve"> </w:t>
      </w:r>
      <w:r w:rsidRPr="007F7EBF">
        <w:rPr>
          <w:sz w:val="22"/>
          <w:szCs w:val="22"/>
        </w:rPr>
        <w:t xml:space="preserve">in Italia. </w:t>
      </w:r>
      <w:r w:rsidR="00712BAF" w:rsidRPr="007F7EBF">
        <w:rPr>
          <w:sz w:val="22"/>
          <w:szCs w:val="22"/>
        </w:rPr>
        <w:t xml:space="preserve">Se </w:t>
      </w:r>
      <w:r w:rsidR="004A0F1B" w:rsidRPr="007F7EBF">
        <w:rPr>
          <w:sz w:val="22"/>
          <w:szCs w:val="22"/>
        </w:rPr>
        <w:t>il fisco può “vedere”, in modo sufficientemente sistematico solo la ricchezza risultante dai pubblici registri</w:t>
      </w:r>
      <w:r w:rsidR="00B94238" w:rsidRPr="007F7EBF">
        <w:rPr>
          <w:sz w:val="22"/>
          <w:szCs w:val="22"/>
        </w:rPr>
        <w:t xml:space="preserve"> (fabbricati e terreni)</w:t>
      </w:r>
      <w:r w:rsidR="004A0F1B" w:rsidRPr="007F7EBF">
        <w:rPr>
          <w:sz w:val="22"/>
          <w:szCs w:val="22"/>
        </w:rPr>
        <w:t xml:space="preserve">, </w:t>
      </w:r>
      <w:r w:rsidR="00712BAF" w:rsidRPr="007F7EBF">
        <w:rPr>
          <w:sz w:val="22"/>
          <w:szCs w:val="22"/>
        </w:rPr>
        <w:t>senz</w:t>
      </w:r>
      <w:r w:rsidRPr="007F7EBF">
        <w:rPr>
          <w:sz w:val="22"/>
          <w:szCs w:val="22"/>
        </w:rPr>
        <w:t>a poter contare sull'aiuto di terzi (</w:t>
      </w:r>
      <w:r w:rsidRPr="007F7EBF">
        <w:rPr>
          <w:rStyle w:val="Rimandonotaapidipagina"/>
          <w:sz w:val="22"/>
          <w:szCs w:val="22"/>
        </w:rPr>
        <w:footnoteReference w:id="1383"/>
      </w:r>
      <w:r w:rsidRPr="007F7EBF">
        <w:rPr>
          <w:sz w:val="22"/>
          <w:szCs w:val="22"/>
        </w:rPr>
        <w:t>)</w:t>
      </w:r>
      <w:r w:rsidR="00712BAF" w:rsidRPr="007F7EBF">
        <w:rPr>
          <w:sz w:val="22"/>
          <w:szCs w:val="22"/>
        </w:rPr>
        <w:t xml:space="preserve">, </w:t>
      </w:r>
      <w:r w:rsidRPr="007F7EBF">
        <w:rPr>
          <w:sz w:val="22"/>
          <w:szCs w:val="22"/>
        </w:rPr>
        <w:t>la "patrimoniale"</w:t>
      </w:r>
      <w:r w:rsidR="000F5709" w:rsidRPr="007F7EBF">
        <w:rPr>
          <w:sz w:val="22"/>
          <w:szCs w:val="22"/>
        </w:rPr>
        <w:t xml:space="preserve"> appare </w:t>
      </w:r>
      <w:r w:rsidR="00712BAF" w:rsidRPr="007F7EBF">
        <w:rPr>
          <w:sz w:val="22"/>
          <w:szCs w:val="22"/>
        </w:rPr>
        <w:t>velleitaria</w:t>
      </w:r>
      <w:r w:rsidRPr="007F7EBF">
        <w:rPr>
          <w:sz w:val="22"/>
          <w:szCs w:val="22"/>
        </w:rPr>
        <w:t xml:space="preserve">, prima ancora </w:t>
      </w:r>
      <w:r w:rsidR="00731F11">
        <w:rPr>
          <w:sz w:val="22"/>
          <w:szCs w:val="22"/>
        </w:rPr>
        <w:t>di</w:t>
      </w:r>
      <w:r w:rsidRPr="007F7EBF">
        <w:rPr>
          <w:sz w:val="22"/>
          <w:szCs w:val="22"/>
        </w:rPr>
        <w:t xml:space="preserve"> analizzarla sotto il</w:t>
      </w:r>
      <w:r w:rsidR="00731F11">
        <w:rPr>
          <w:sz w:val="22"/>
          <w:szCs w:val="22"/>
        </w:rPr>
        <w:t xml:space="preserve"> suddetto</w:t>
      </w:r>
      <w:r w:rsidRPr="007F7EBF">
        <w:rPr>
          <w:sz w:val="22"/>
          <w:szCs w:val="22"/>
        </w:rPr>
        <w:t xml:space="preserve"> profilo ideologico ed economico;</w:t>
      </w:r>
      <w:r w:rsidR="007806A8" w:rsidRPr="007F7EBF">
        <w:rPr>
          <w:sz w:val="22"/>
          <w:szCs w:val="22"/>
        </w:rPr>
        <w:t xml:space="preserve"> </w:t>
      </w:r>
      <w:r w:rsidR="00731F11">
        <w:rPr>
          <w:sz w:val="22"/>
          <w:szCs w:val="22"/>
        </w:rPr>
        <w:t xml:space="preserve">ne </w:t>
      </w:r>
      <w:r w:rsidR="007806A8" w:rsidRPr="007F7EBF">
        <w:rPr>
          <w:sz w:val="22"/>
          <w:szCs w:val="22"/>
        </w:rPr>
        <w:t xml:space="preserve">vedremo subito una riprova per l'imposta sulle successioni e donazioni. </w:t>
      </w:r>
    </w:p>
    <w:p w14:paraId="72172C8F" w14:textId="35695DDE" w:rsidR="001738C4" w:rsidRPr="007F7EBF" w:rsidRDefault="006342C5" w:rsidP="002847DD">
      <w:pPr>
        <w:pStyle w:val="Titolo3"/>
        <w:rPr>
          <w:sz w:val="22"/>
          <w:szCs w:val="22"/>
        </w:rPr>
      </w:pPr>
      <w:bookmarkStart w:id="139" w:name="_Toc63365049"/>
      <w:r w:rsidRPr="007F7EBF">
        <w:rPr>
          <w:rFonts w:ascii="Times New Roman" w:hAnsi="Times New Roman"/>
          <w:sz w:val="22"/>
          <w:szCs w:val="22"/>
        </w:rPr>
        <w:t>10.5. Successioni e donazioni: un</w:t>
      </w:r>
      <w:r w:rsidR="00F85C75" w:rsidRPr="007F7EBF">
        <w:rPr>
          <w:rFonts w:ascii="Times New Roman" w:hAnsi="Times New Roman"/>
          <w:sz w:val="22"/>
          <w:szCs w:val="22"/>
          <w:lang w:val="it-IT"/>
        </w:rPr>
        <w:t>’</w:t>
      </w:r>
      <w:r w:rsidR="00E2497B" w:rsidRPr="007F7EBF">
        <w:rPr>
          <w:rFonts w:ascii="Times New Roman" w:hAnsi="Times New Roman"/>
          <w:sz w:val="22"/>
          <w:szCs w:val="22"/>
        </w:rPr>
        <w:t xml:space="preserve">imposta </w:t>
      </w:r>
      <w:r w:rsidRPr="007F7EBF">
        <w:rPr>
          <w:rFonts w:ascii="Times New Roman" w:hAnsi="Times New Roman"/>
          <w:sz w:val="22"/>
          <w:szCs w:val="22"/>
        </w:rPr>
        <w:t xml:space="preserve"> patrimoniale</w:t>
      </w:r>
      <w:r w:rsidR="00E2497B" w:rsidRPr="007F7EBF">
        <w:rPr>
          <w:rFonts w:ascii="Times New Roman" w:hAnsi="Times New Roman"/>
          <w:sz w:val="22"/>
          <w:szCs w:val="22"/>
        </w:rPr>
        <w:t xml:space="preserve"> d</w:t>
      </w:r>
      <w:r w:rsidR="00042BBC" w:rsidRPr="007F7EBF">
        <w:rPr>
          <w:rFonts w:ascii="Times New Roman" w:hAnsi="Times New Roman"/>
          <w:sz w:val="22"/>
          <w:szCs w:val="22"/>
          <w:lang w:val="it-IT"/>
        </w:rPr>
        <w:t>a gestire attraverso gli uffici.</w:t>
      </w:r>
      <w:bookmarkEnd w:id="139"/>
    </w:p>
    <w:p w14:paraId="7E155445" w14:textId="77777777" w:rsidR="001738C4" w:rsidRPr="007F7EBF" w:rsidRDefault="001738C4" w:rsidP="001738C4">
      <w:pPr>
        <w:pStyle w:val="tit23"/>
        <w:ind w:left="6464" w:right="-1361" w:firstLine="0"/>
        <w:jc w:val="left"/>
        <w:rPr>
          <w:bCs/>
          <w:i/>
          <w:iCs/>
          <w:color w:val="0000FF"/>
          <w:lang w:val="it-IT"/>
        </w:rPr>
      </w:pPr>
      <w:r w:rsidRPr="007F7EBF">
        <w:rPr>
          <w:bCs/>
          <w:i/>
          <w:iCs/>
          <w:color w:val="0000FF"/>
          <w:lang w:val="it-IT"/>
        </w:rPr>
        <w:t>Lo svuotamento dell’imposta sulle successioni</w:t>
      </w:r>
    </w:p>
    <w:p w14:paraId="07C9033B" w14:textId="2F5B6DFD" w:rsidR="001738C4" w:rsidRPr="007F7EBF" w:rsidRDefault="001738C4" w:rsidP="001738C4">
      <w:pPr>
        <w:autoSpaceDE w:val="0"/>
        <w:autoSpaceDN w:val="0"/>
        <w:adjustRightInd w:val="0"/>
        <w:rPr>
          <w:sz w:val="22"/>
          <w:szCs w:val="22"/>
        </w:rPr>
      </w:pPr>
      <w:r w:rsidRPr="007F7EBF">
        <w:rPr>
          <w:sz w:val="22"/>
          <w:szCs w:val="22"/>
        </w:rPr>
        <w:t xml:space="preserve">Un esempio </w:t>
      </w:r>
      <w:r w:rsidR="00C42AC2">
        <w:rPr>
          <w:sz w:val="22"/>
          <w:szCs w:val="22"/>
        </w:rPr>
        <w:t xml:space="preserve">della difficoltà, </w:t>
      </w:r>
      <w:r w:rsidRPr="007F7EBF">
        <w:rPr>
          <w:sz w:val="22"/>
          <w:szCs w:val="22"/>
        </w:rPr>
        <w:t>indicat</w:t>
      </w:r>
      <w:r w:rsidR="00C42AC2">
        <w:rPr>
          <w:sz w:val="22"/>
          <w:szCs w:val="22"/>
        </w:rPr>
        <w:t>a</w:t>
      </w:r>
      <w:r w:rsidRPr="007F7EBF">
        <w:rPr>
          <w:sz w:val="22"/>
          <w:szCs w:val="22"/>
        </w:rPr>
        <w:t xml:space="preserve"> al paragrafo precedente, </w:t>
      </w:r>
      <w:r w:rsidR="00C42AC2">
        <w:rPr>
          <w:sz w:val="22"/>
          <w:szCs w:val="22"/>
        </w:rPr>
        <w:t xml:space="preserve">di gestire </w:t>
      </w:r>
      <w:r w:rsidRPr="007F7EBF">
        <w:rPr>
          <w:sz w:val="22"/>
          <w:szCs w:val="22"/>
        </w:rPr>
        <w:t xml:space="preserve">le imposte patrimoniali </w:t>
      </w:r>
      <w:r w:rsidR="00C42AC2">
        <w:rPr>
          <w:sz w:val="22"/>
          <w:szCs w:val="22"/>
        </w:rPr>
        <w:t xml:space="preserve">in un </w:t>
      </w:r>
      <w:r w:rsidRPr="007F7EBF">
        <w:rPr>
          <w:sz w:val="22"/>
          <w:szCs w:val="22"/>
        </w:rPr>
        <w:t xml:space="preserve">contesto di ricchezza </w:t>
      </w:r>
      <w:r w:rsidR="00C42AC2">
        <w:rPr>
          <w:sz w:val="22"/>
          <w:szCs w:val="22"/>
        </w:rPr>
        <w:t>“mobiliare” (</w:t>
      </w:r>
      <w:r w:rsidR="00C42AC2">
        <w:rPr>
          <w:rStyle w:val="Rimandonotaapidipagina"/>
          <w:sz w:val="22"/>
          <w:szCs w:val="22"/>
        </w:rPr>
        <w:footnoteReference w:id="1384"/>
      </w:r>
      <w:r w:rsidR="00C42AC2">
        <w:rPr>
          <w:sz w:val="22"/>
          <w:szCs w:val="22"/>
        </w:rPr>
        <w:t xml:space="preserve">), </w:t>
      </w:r>
      <w:bookmarkStart w:id="140" w:name="_Hlk58478074"/>
      <w:r w:rsidRPr="007F7EBF">
        <w:rPr>
          <w:sz w:val="22"/>
          <w:szCs w:val="22"/>
        </w:rPr>
        <w:t>si trova nel progressivo svuotamento dell'imposta sulle successioni e donazioni</w:t>
      </w:r>
      <w:r w:rsidR="00C42AC2">
        <w:rPr>
          <w:sz w:val="22"/>
          <w:szCs w:val="22"/>
        </w:rPr>
        <w:t xml:space="preserve">. In teoria questo tributo avrebbe una grande </w:t>
      </w:r>
      <w:r w:rsidRPr="007F7EBF">
        <w:rPr>
          <w:sz w:val="22"/>
          <w:szCs w:val="22"/>
        </w:rPr>
        <w:t xml:space="preserve">importanza perequativa </w:t>
      </w:r>
      <w:r w:rsidR="00C42AC2">
        <w:rPr>
          <w:sz w:val="22"/>
          <w:szCs w:val="22"/>
        </w:rPr>
        <w:t xml:space="preserve">in quanto </w:t>
      </w:r>
      <w:r w:rsidR="00731F11" w:rsidRPr="007F7EBF">
        <w:rPr>
          <w:sz w:val="22"/>
          <w:szCs w:val="22"/>
        </w:rPr>
        <w:t xml:space="preserve">gli incrementi di patrimonio </w:t>
      </w:r>
      <w:r w:rsidR="005D4F17">
        <w:rPr>
          <w:sz w:val="22"/>
          <w:szCs w:val="22"/>
        </w:rPr>
        <w:t xml:space="preserve">per </w:t>
      </w:r>
      <w:r w:rsidR="00731F11" w:rsidRPr="007F7EBF">
        <w:rPr>
          <w:sz w:val="22"/>
          <w:szCs w:val="22"/>
        </w:rPr>
        <w:t>successioni e donazioni</w:t>
      </w:r>
      <w:r w:rsidR="005D4F17">
        <w:rPr>
          <w:sz w:val="22"/>
          <w:szCs w:val="22"/>
        </w:rPr>
        <w:t xml:space="preserve"> </w:t>
      </w:r>
      <w:r w:rsidR="00C42AC2">
        <w:rPr>
          <w:sz w:val="22"/>
          <w:szCs w:val="22"/>
        </w:rPr>
        <w:t>(</w:t>
      </w:r>
      <w:r w:rsidR="00C42AC2">
        <w:rPr>
          <w:rStyle w:val="Rimandonotaapidipagina"/>
          <w:sz w:val="22"/>
          <w:szCs w:val="22"/>
        </w:rPr>
        <w:footnoteReference w:id="1385"/>
      </w:r>
      <w:r w:rsidR="00C42AC2">
        <w:rPr>
          <w:sz w:val="22"/>
          <w:szCs w:val="22"/>
        </w:rPr>
        <w:t xml:space="preserve">) </w:t>
      </w:r>
      <w:r w:rsidR="006342C5" w:rsidRPr="007F7EBF">
        <w:rPr>
          <w:sz w:val="22"/>
          <w:szCs w:val="22"/>
        </w:rPr>
        <w:t>migli</w:t>
      </w:r>
      <w:r w:rsidR="00F85C75" w:rsidRPr="007F7EBF">
        <w:rPr>
          <w:sz w:val="22"/>
          <w:szCs w:val="22"/>
        </w:rPr>
        <w:t>ora</w:t>
      </w:r>
      <w:r w:rsidR="005D4F17">
        <w:rPr>
          <w:sz w:val="22"/>
          <w:szCs w:val="22"/>
        </w:rPr>
        <w:t>no</w:t>
      </w:r>
      <w:r w:rsidR="00F85C75" w:rsidRPr="007F7EBF">
        <w:rPr>
          <w:sz w:val="22"/>
          <w:szCs w:val="22"/>
        </w:rPr>
        <w:t xml:space="preserve"> la posizione economica</w:t>
      </w:r>
      <w:r w:rsidR="006342C5" w:rsidRPr="007F7EBF">
        <w:rPr>
          <w:sz w:val="22"/>
          <w:szCs w:val="22"/>
        </w:rPr>
        <w:t xml:space="preserve">, </w:t>
      </w:r>
      <w:r w:rsidR="00C42AC2">
        <w:rPr>
          <w:sz w:val="22"/>
          <w:szCs w:val="22"/>
        </w:rPr>
        <w:t>del beneficiario; p</w:t>
      </w:r>
      <w:r w:rsidR="006342C5" w:rsidRPr="007F7EBF">
        <w:rPr>
          <w:sz w:val="22"/>
          <w:szCs w:val="22"/>
        </w:rPr>
        <w:t xml:space="preserve">er questo </w:t>
      </w:r>
      <w:r w:rsidR="006342C5" w:rsidRPr="007F7EBF">
        <w:rPr>
          <w:bCs/>
          <w:sz w:val="22"/>
          <w:szCs w:val="22"/>
        </w:rPr>
        <w:t>quasi tutti i paesi</w:t>
      </w:r>
      <w:r w:rsidR="005D4F17">
        <w:rPr>
          <w:bCs/>
          <w:sz w:val="22"/>
          <w:szCs w:val="22"/>
        </w:rPr>
        <w:t xml:space="preserve"> </w:t>
      </w:r>
      <w:r w:rsidR="006342C5" w:rsidRPr="007F7EBF">
        <w:rPr>
          <w:bCs/>
          <w:sz w:val="22"/>
          <w:szCs w:val="22"/>
        </w:rPr>
        <w:t>assoggettano</w:t>
      </w:r>
      <w:r w:rsidR="001B1ECC" w:rsidRPr="007F7EBF">
        <w:rPr>
          <w:bCs/>
          <w:sz w:val="22"/>
          <w:szCs w:val="22"/>
        </w:rPr>
        <w:t xml:space="preserve"> </w:t>
      </w:r>
      <w:r w:rsidR="00C42AC2">
        <w:rPr>
          <w:bCs/>
          <w:sz w:val="22"/>
          <w:szCs w:val="22"/>
        </w:rPr>
        <w:t xml:space="preserve">tali incrementi </w:t>
      </w:r>
      <w:r w:rsidR="006342C5" w:rsidRPr="007F7EBF">
        <w:rPr>
          <w:bCs/>
          <w:sz w:val="22"/>
          <w:szCs w:val="22"/>
        </w:rPr>
        <w:t>a</w:t>
      </w:r>
      <w:r w:rsidR="005D4F17">
        <w:rPr>
          <w:bCs/>
          <w:sz w:val="22"/>
          <w:szCs w:val="22"/>
        </w:rPr>
        <w:t xml:space="preserve">lla </w:t>
      </w:r>
      <w:r w:rsidR="006342C5" w:rsidRPr="007F7EBF">
        <w:rPr>
          <w:bCs/>
          <w:sz w:val="22"/>
          <w:szCs w:val="22"/>
        </w:rPr>
        <w:t xml:space="preserve">tassazione </w:t>
      </w:r>
      <w:r w:rsidR="001B1ECC" w:rsidRPr="007F7EBF">
        <w:rPr>
          <w:bCs/>
          <w:sz w:val="22"/>
          <w:szCs w:val="22"/>
        </w:rPr>
        <w:t>q</w:t>
      </w:r>
      <w:r w:rsidR="005D4F17">
        <w:rPr>
          <w:bCs/>
          <w:sz w:val="22"/>
          <w:szCs w:val="22"/>
        </w:rPr>
        <w:t>ui in esame</w:t>
      </w:r>
      <w:r w:rsidR="00C42AC2">
        <w:rPr>
          <w:bCs/>
          <w:sz w:val="22"/>
          <w:szCs w:val="22"/>
        </w:rPr>
        <w:t>, g</w:t>
      </w:r>
      <w:r w:rsidR="005D4F17">
        <w:rPr>
          <w:bCs/>
          <w:sz w:val="22"/>
          <w:szCs w:val="22"/>
        </w:rPr>
        <w:t>iustifica</w:t>
      </w:r>
      <w:r w:rsidR="00C42AC2">
        <w:rPr>
          <w:bCs/>
          <w:sz w:val="22"/>
          <w:szCs w:val="22"/>
        </w:rPr>
        <w:t>ta</w:t>
      </w:r>
      <w:r w:rsidR="005D4F17">
        <w:rPr>
          <w:bCs/>
          <w:sz w:val="22"/>
          <w:szCs w:val="22"/>
        </w:rPr>
        <w:t xml:space="preserve"> s</w:t>
      </w:r>
      <w:r w:rsidR="000F5709" w:rsidRPr="007F7EBF">
        <w:rPr>
          <w:bCs/>
          <w:sz w:val="22"/>
          <w:szCs w:val="22"/>
        </w:rPr>
        <w:t>oprattutto</w:t>
      </w:r>
      <w:r w:rsidR="002A3738" w:rsidRPr="007F7EBF">
        <w:rPr>
          <w:bCs/>
          <w:sz w:val="22"/>
          <w:szCs w:val="22"/>
        </w:rPr>
        <w:t xml:space="preserve"> </w:t>
      </w:r>
      <w:r w:rsidR="00F85C75" w:rsidRPr="007F7EBF">
        <w:rPr>
          <w:sz w:val="22"/>
          <w:szCs w:val="22"/>
        </w:rPr>
        <w:t>in società mature</w:t>
      </w:r>
      <w:r w:rsidR="000F5709" w:rsidRPr="007F7EBF">
        <w:rPr>
          <w:sz w:val="22"/>
          <w:szCs w:val="22"/>
        </w:rPr>
        <w:t>,</w:t>
      </w:r>
      <w:r w:rsidR="00F85C75" w:rsidRPr="007F7EBF">
        <w:rPr>
          <w:sz w:val="22"/>
          <w:szCs w:val="22"/>
        </w:rPr>
        <w:t xml:space="preserve"> come quella attuale, </w:t>
      </w:r>
      <w:r w:rsidR="005D4F17">
        <w:rPr>
          <w:sz w:val="22"/>
          <w:szCs w:val="22"/>
        </w:rPr>
        <w:t xml:space="preserve">dove le </w:t>
      </w:r>
      <w:r w:rsidR="00F85C75" w:rsidRPr="007F7EBF">
        <w:rPr>
          <w:sz w:val="22"/>
          <w:szCs w:val="22"/>
        </w:rPr>
        <w:t>occasioni di migliorare la</w:t>
      </w:r>
      <w:r w:rsidR="002A3738" w:rsidRPr="007F7EBF">
        <w:rPr>
          <w:sz w:val="22"/>
          <w:szCs w:val="22"/>
        </w:rPr>
        <w:t xml:space="preserve"> propria condizione </w:t>
      </w:r>
      <w:r w:rsidR="005D4F17">
        <w:rPr>
          <w:sz w:val="22"/>
          <w:szCs w:val="22"/>
        </w:rPr>
        <w:t xml:space="preserve">di nascita </w:t>
      </w:r>
      <w:r w:rsidR="002A3738" w:rsidRPr="007F7EBF">
        <w:rPr>
          <w:sz w:val="22"/>
          <w:szCs w:val="22"/>
        </w:rPr>
        <w:t xml:space="preserve">sono </w:t>
      </w:r>
      <w:r w:rsidR="005D4F17">
        <w:rPr>
          <w:sz w:val="22"/>
          <w:szCs w:val="22"/>
        </w:rPr>
        <w:t>sempre minori, per il blocco del c.d. “ascensore sociale”</w:t>
      </w:r>
      <w:r w:rsidR="00C42AC2">
        <w:rPr>
          <w:sz w:val="22"/>
          <w:szCs w:val="22"/>
        </w:rPr>
        <w:t xml:space="preserve"> </w:t>
      </w:r>
      <w:r w:rsidR="005D4F17">
        <w:rPr>
          <w:sz w:val="22"/>
          <w:szCs w:val="22"/>
        </w:rPr>
        <w:t>(</w:t>
      </w:r>
      <w:r w:rsidR="00D02FF8" w:rsidRPr="007F7EBF">
        <w:rPr>
          <w:rStyle w:val="Rimandonotaapidipagina"/>
          <w:sz w:val="22"/>
          <w:szCs w:val="22"/>
        </w:rPr>
        <w:footnoteReference w:id="1386"/>
      </w:r>
      <w:r w:rsidR="005D4F17">
        <w:rPr>
          <w:sz w:val="22"/>
          <w:szCs w:val="22"/>
        </w:rPr>
        <w:t>)</w:t>
      </w:r>
      <w:r w:rsidR="00D02FF8" w:rsidRPr="007F7EBF">
        <w:rPr>
          <w:sz w:val="22"/>
          <w:szCs w:val="22"/>
        </w:rPr>
        <w:t xml:space="preserve">.  </w:t>
      </w:r>
    </w:p>
    <w:bookmarkEnd w:id="140"/>
    <w:p w14:paraId="458DB11F" w14:textId="77777777" w:rsidR="001738C4" w:rsidRPr="007F7EBF" w:rsidRDefault="001738C4" w:rsidP="001738C4">
      <w:pPr>
        <w:pStyle w:val="tit23"/>
        <w:ind w:left="6464" w:right="-1361" w:firstLine="0"/>
        <w:jc w:val="left"/>
        <w:rPr>
          <w:bCs/>
          <w:i/>
          <w:iCs/>
          <w:color w:val="0000FF"/>
          <w:lang w:val="it-IT"/>
        </w:rPr>
      </w:pPr>
      <w:r w:rsidRPr="007F7EBF">
        <w:rPr>
          <w:bCs/>
          <w:i/>
          <w:iCs/>
          <w:color w:val="0000FF"/>
          <w:lang w:val="it-IT"/>
        </w:rPr>
        <w:lastRenderedPageBreak/>
        <w:t>Difficoltà tecniche di realizzazione</w:t>
      </w:r>
    </w:p>
    <w:p w14:paraId="67D0BF10" w14:textId="04C0AE06" w:rsidR="001738C4" w:rsidRPr="007F7EBF" w:rsidRDefault="00216A65" w:rsidP="001738C4">
      <w:pPr>
        <w:autoSpaceDE w:val="0"/>
        <w:autoSpaceDN w:val="0"/>
        <w:adjustRightInd w:val="0"/>
        <w:rPr>
          <w:sz w:val="22"/>
          <w:szCs w:val="22"/>
        </w:rPr>
      </w:pPr>
      <w:r w:rsidRPr="007F7EBF">
        <w:rPr>
          <w:sz w:val="22"/>
          <w:szCs w:val="22"/>
        </w:rPr>
        <w:t>Per questo un tributo successorio è presente nella maggior parte dei paesi ad economia mista</w:t>
      </w:r>
      <w:r w:rsidRPr="007F7EBF">
        <w:rPr>
          <w:rStyle w:val="Rimandonotaapidipagina"/>
          <w:sz w:val="22"/>
          <w:szCs w:val="22"/>
        </w:rPr>
        <w:footnoteReference w:id="1387"/>
      </w:r>
      <w:r w:rsidRPr="007F7EBF">
        <w:rPr>
          <w:sz w:val="22"/>
          <w:szCs w:val="22"/>
        </w:rPr>
        <w:t>, il che conferma il mantenimento, da parte di altre amministrazioni fiscali, di una capacità valutativa della ricchezza che da noi sta svanendo.</w:t>
      </w:r>
      <w:r>
        <w:rPr>
          <w:sz w:val="22"/>
          <w:szCs w:val="22"/>
        </w:rPr>
        <w:t xml:space="preserve"> Infatti, </w:t>
      </w:r>
      <w:proofErr w:type="spellStart"/>
      <w:r>
        <w:rPr>
          <w:sz w:val="22"/>
          <w:szCs w:val="22"/>
        </w:rPr>
        <w:t>benchè</w:t>
      </w:r>
      <w:proofErr w:type="spellEnd"/>
      <w:r>
        <w:rPr>
          <w:sz w:val="22"/>
          <w:szCs w:val="22"/>
        </w:rPr>
        <w:t xml:space="preserve"> </w:t>
      </w:r>
      <w:r w:rsidR="002A3738" w:rsidRPr="007F7EBF">
        <w:rPr>
          <w:sz w:val="22"/>
          <w:szCs w:val="22"/>
        </w:rPr>
        <w:t>giustificato</w:t>
      </w:r>
      <w:r>
        <w:rPr>
          <w:sz w:val="22"/>
          <w:szCs w:val="22"/>
        </w:rPr>
        <w:t xml:space="preserve"> sul piano del ruolo economico delle imposte (par.</w:t>
      </w:r>
      <w:r w:rsidR="00361BCC">
        <w:rPr>
          <w:sz w:val="22"/>
          <w:szCs w:val="22"/>
        </w:rPr>
        <w:t>4.2</w:t>
      </w:r>
      <w:r>
        <w:rPr>
          <w:sz w:val="22"/>
          <w:szCs w:val="22"/>
        </w:rPr>
        <w:t>)</w:t>
      </w:r>
      <w:r w:rsidR="002A3738" w:rsidRPr="007F7EBF">
        <w:rPr>
          <w:sz w:val="22"/>
          <w:szCs w:val="22"/>
        </w:rPr>
        <w:t>,</w:t>
      </w:r>
      <w:r w:rsidR="006342C5" w:rsidRPr="007F7EBF">
        <w:rPr>
          <w:sz w:val="22"/>
          <w:szCs w:val="22"/>
        </w:rPr>
        <w:t xml:space="preserve"> </w:t>
      </w:r>
      <w:r w:rsidR="002A3738" w:rsidRPr="007F7EBF">
        <w:rPr>
          <w:sz w:val="22"/>
          <w:szCs w:val="22"/>
        </w:rPr>
        <w:t xml:space="preserve">il tributo successorio incontra </w:t>
      </w:r>
      <w:r w:rsidR="006342C5" w:rsidRPr="007F7EBF">
        <w:rPr>
          <w:bCs/>
          <w:sz w:val="22"/>
          <w:szCs w:val="22"/>
        </w:rPr>
        <w:t xml:space="preserve">difficoltà </w:t>
      </w:r>
      <w:r w:rsidR="006342C5" w:rsidRPr="007F7EBF">
        <w:rPr>
          <w:sz w:val="22"/>
          <w:szCs w:val="22"/>
        </w:rPr>
        <w:t xml:space="preserve">sul piano della </w:t>
      </w:r>
      <w:r w:rsidR="002A3738" w:rsidRPr="007F7EBF">
        <w:rPr>
          <w:bCs/>
          <w:sz w:val="22"/>
          <w:szCs w:val="22"/>
        </w:rPr>
        <w:t>determinazione de</w:t>
      </w:r>
      <w:r w:rsidR="005D4F17">
        <w:rPr>
          <w:bCs/>
          <w:sz w:val="22"/>
          <w:szCs w:val="22"/>
        </w:rPr>
        <w:t xml:space="preserve">gli imponibili </w:t>
      </w:r>
      <w:r w:rsidR="001738C4" w:rsidRPr="007F7EBF">
        <w:rPr>
          <w:bCs/>
          <w:sz w:val="22"/>
          <w:szCs w:val="22"/>
        </w:rPr>
        <w:t xml:space="preserve">e del coordinamento coi tributi sui redditi </w:t>
      </w:r>
      <w:r>
        <w:rPr>
          <w:bCs/>
          <w:sz w:val="22"/>
          <w:szCs w:val="22"/>
        </w:rPr>
        <w:t>(</w:t>
      </w:r>
      <w:r w:rsidR="001738C4" w:rsidRPr="007F7EBF">
        <w:rPr>
          <w:rStyle w:val="Rimandonotaapidipagina"/>
          <w:bCs/>
          <w:sz w:val="22"/>
          <w:szCs w:val="22"/>
        </w:rPr>
        <w:footnoteReference w:id="1388"/>
      </w:r>
      <w:r>
        <w:rPr>
          <w:bCs/>
          <w:sz w:val="22"/>
          <w:szCs w:val="22"/>
        </w:rPr>
        <w:t>)</w:t>
      </w:r>
      <w:r w:rsidR="002A3738" w:rsidRPr="007F7EBF">
        <w:rPr>
          <w:bCs/>
          <w:sz w:val="22"/>
          <w:szCs w:val="22"/>
        </w:rPr>
        <w:t xml:space="preserve">; è infatti </w:t>
      </w:r>
      <w:r w:rsidR="00715770" w:rsidRPr="007F7EBF">
        <w:rPr>
          <w:sz w:val="22"/>
          <w:szCs w:val="22"/>
        </w:rPr>
        <w:t xml:space="preserve">man mano diminuita </w:t>
      </w:r>
      <w:r w:rsidR="001738C4" w:rsidRPr="007F7EBF">
        <w:rPr>
          <w:sz w:val="22"/>
          <w:szCs w:val="22"/>
        </w:rPr>
        <w:t>la ricchezza</w:t>
      </w:r>
      <w:r w:rsidR="001B1ECC" w:rsidRPr="007F7EBF">
        <w:rPr>
          <w:sz w:val="22"/>
          <w:szCs w:val="22"/>
        </w:rPr>
        <w:t xml:space="preserve"> </w:t>
      </w:r>
      <w:r w:rsidR="00715770" w:rsidRPr="007F7EBF">
        <w:rPr>
          <w:sz w:val="22"/>
          <w:szCs w:val="22"/>
        </w:rPr>
        <w:t xml:space="preserve">fondiaria, </w:t>
      </w:r>
      <w:r w:rsidR="000F5709" w:rsidRPr="007F7EBF">
        <w:rPr>
          <w:sz w:val="22"/>
          <w:szCs w:val="22"/>
        </w:rPr>
        <w:t xml:space="preserve">visibile attraverso </w:t>
      </w:r>
      <w:r w:rsidR="006342C5" w:rsidRPr="007F7EBF">
        <w:rPr>
          <w:sz w:val="22"/>
          <w:szCs w:val="22"/>
        </w:rPr>
        <w:t>pubblici elenchi, dove il beneficiario</w:t>
      </w:r>
      <w:r w:rsidR="001B1ECC" w:rsidRPr="007F7EBF">
        <w:rPr>
          <w:sz w:val="22"/>
          <w:szCs w:val="22"/>
        </w:rPr>
        <w:t xml:space="preserve"> </w:t>
      </w:r>
      <w:r w:rsidR="006342C5" w:rsidRPr="007F7EBF">
        <w:rPr>
          <w:sz w:val="22"/>
          <w:szCs w:val="22"/>
        </w:rPr>
        <w:t>(erede o donatario) ha bisogno di</w:t>
      </w:r>
      <w:r w:rsidR="00715770" w:rsidRPr="007F7EBF">
        <w:rPr>
          <w:sz w:val="22"/>
          <w:szCs w:val="22"/>
        </w:rPr>
        <w:t xml:space="preserve"> sostituirsi al vecchio</w:t>
      </w:r>
      <w:r w:rsidR="000F5709" w:rsidRPr="007F7EBF">
        <w:rPr>
          <w:sz w:val="22"/>
          <w:szCs w:val="22"/>
        </w:rPr>
        <w:t xml:space="preserve"> titolare, </w:t>
      </w:r>
      <w:r w:rsidR="00715770" w:rsidRPr="007F7EBF">
        <w:rPr>
          <w:sz w:val="22"/>
          <w:szCs w:val="22"/>
        </w:rPr>
        <w:t xml:space="preserve">rendendo </w:t>
      </w:r>
      <w:r w:rsidR="001B1ECC" w:rsidRPr="007F7EBF">
        <w:rPr>
          <w:sz w:val="22"/>
          <w:szCs w:val="22"/>
        </w:rPr>
        <w:t xml:space="preserve">facile </w:t>
      </w:r>
      <w:r>
        <w:rPr>
          <w:sz w:val="22"/>
          <w:szCs w:val="22"/>
        </w:rPr>
        <w:t>“imporre</w:t>
      </w:r>
      <w:r w:rsidR="00715770" w:rsidRPr="007F7EBF">
        <w:rPr>
          <w:sz w:val="22"/>
          <w:szCs w:val="22"/>
        </w:rPr>
        <w:t xml:space="preserve"> </w:t>
      </w:r>
      <w:r w:rsidR="001B1ECC" w:rsidRPr="007F7EBF">
        <w:rPr>
          <w:sz w:val="22"/>
          <w:szCs w:val="22"/>
        </w:rPr>
        <w:t>l'imposta</w:t>
      </w:r>
      <w:r>
        <w:rPr>
          <w:sz w:val="22"/>
          <w:szCs w:val="22"/>
        </w:rPr>
        <w:t>”</w:t>
      </w:r>
      <w:r w:rsidR="001B1ECC" w:rsidRPr="007F7EBF">
        <w:rPr>
          <w:sz w:val="22"/>
          <w:szCs w:val="22"/>
        </w:rPr>
        <w:t xml:space="preserve"> </w:t>
      </w:r>
      <w:r w:rsidR="00715770" w:rsidRPr="007F7EBF">
        <w:rPr>
          <w:sz w:val="22"/>
          <w:szCs w:val="22"/>
        </w:rPr>
        <w:t>al subentrante</w:t>
      </w:r>
      <w:r w:rsidR="000F5709" w:rsidRPr="007F7EBF">
        <w:rPr>
          <w:sz w:val="22"/>
          <w:szCs w:val="22"/>
        </w:rPr>
        <w:t>.</w:t>
      </w:r>
      <w:r w:rsidR="006342C5" w:rsidRPr="007F7EBF">
        <w:rPr>
          <w:sz w:val="22"/>
          <w:szCs w:val="22"/>
        </w:rPr>
        <w:t xml:space="preserve"> </w:t>
      </w:r>
    </w:p>
    <w:p w14:paraId="4E3EA99F" w14:textId="77777777" w:rsidR="001738C4" w:rsidRPr="007F7EBF" w:rsidRDefault="001738C4" w:rsidP="001738C4">
      <w:pPr>
        <w:pStyle w:val="tit23"/>
        <w:ind w:left="6464" w:right="-1361" w:firstLine="0"/>
        <w:jc w:val="left"/>
        <w:rPr>
          <w:bCs/>
          <w:i/>
          <w:iCs/>
          <w:color w:val="0000FF"/>
          <w:lang w:val="it-IT"/>
        </w:rPr>
      </w:pPr>
      <w:r w:rsidRPr="007F7EBF">
        <w:rPr>
          <w:bCs/>
          <w:i/>
          <w:iCs/>
          <w:color w:val="0000FF"/>
          <w:lang w:val="it-IT"/>
        </w:rPr>
        <w:t>Trasferibilità della ricchezza con atti non qualificati</w:t>
      </w:r>
    </w:p>
    <w:p w14:paraId="54FE0650" w14:textId="18D351DC" w:rsidR="008419F5" w:rsidRPr="007F7EBF" w:rsidRDefault="006342C5" w:rsidP="008419F5">
      <w:pPr>
        <w:autoSpaceDE w:val="0"/>
        <w:autoSpaceDN w:val="0"/>
        <w:adjustRightInd w:val="0"/>
        <w:rPr>
          <w:sz w:val="22"/>
          <w:szCs w:val="22"/>
        </w:rPr>
      </w:pPr>
      <w:bookmarkStart w:id="141" w:name="_Hlk58478279"/>
      <w:r w:rsidRPr="007F7EBF">
        <w:rPr>
          <w:sz w:val="22"/>
          <w:szCs w:val="22"/>
        </w:rPr>
        <w:t>Con la “</w:t>
      </w:r>
      <w:r w:rsidRPr="007F7EBF">
        <w:rPr>
          <w:bCs/>
          <w:sz w:val="22"/>
          <w:szCs w:val="22"/>
        </w:rPr>
        <w:t>finanziarizzazione</w:t>
      </w:r>
      <w:r w:rsidRPr="007F7EBF">
        <w:rPr>
          <w:sz w:val="22"/>
          <w:szCs w:val="22"/>
        </w:rPr>
        <w:t>” del patrimonio, e con</w:t>
      </w:r>
      <w:r w:rsidR="001B1ECC" w:rsidRPr="007F7EBF">
        <w:rPr>
          <w:sz w:val="22"/>
          <w:szCs w:val="22"/>
        </w:rPr>
        <w:t xml:space="preserve"> </w:t>
      </w:r>
      <w:r w:rsidRPr="007F7EBF">
        <w:rPr>
          <w:sz w:val="22"/>
          <w:szCs w:val="22"/>
        </w:rPr>
        <w:t xml:space="preserve">l’intestazione a società anche dei patrimoni immobiliari più consistenti, </w:t>
      </w:r>
      <w:r w:rsidRPr="007F7EBF">
        <w:rPr>
          <w:bCs/>
          <w:sz w:val="22"/>
          <w:szCs w:val="22"/>
        </w:rPr>
        <w:t>l’imposta è</w:t>
      </w:r>
      <w:r w:rsidR="00715770" w:rsidRPr="007F7EBF">
        <w:rPr>
          <w:bCs/>
          <w:sz w:val="22"/>
          <w:szCs w:val="22"/>
        </w:rPr>
        <w:t xml:space="preserve"> </w:t>
      </w:r>
      <w:r w:rsidR="00190B30" w:rsidRPr="007F7EBF">
        <w:rPr>
          <w:bCs/>
          <w:sz w:val="22"/>
          <w:szCs w:val="22"/>
        </w:rPr>
        <w:t xml:space="preserve">diventata </w:t>
      </w:r>
      <w:r w:rsidRPr="007F7EBF">
        <w:rPr>
          <w:sz w:val="22"/>
          <w:szCs w:val="22"/>
        </w:rPr>
        <w:t>inidonea a raggiungere i trasferimenti di ricchezza finanziaria ed</w:t>
      </w:r>
      <w:r w:rsidR="001B1ECC" w:rsidRPr="007F7EBF">
        <w:rPr>
          <w:sz w:val="22"/>
          <w:szCs w:val="22"/>
        </w:rPr>
        <w:t xml:space="preserve"> </w:t>
      </w:r>
      <w:r w:rsidRPr="007F7EBF">
        <w:rPr>
          <w:sz w:val="22"/>
          <w:szCs w:val="22"/>
        </w:rPr>
        <w:t>i</w:t>
      </w:r>
      <w:r w:rsidR="001B1ECC" w:rsidRPr="007F7EBF">
        <w:rPr>
          <w:sz w:val="22"/>
          <w:szCs w:val="22"/>
        </w:rPr>
        <w:t xml:space="preserve"> passaggi di </w:t>
      </w:r>
      <w:r w:rsidR="005D4F17">
        <w:rPr>
          <w:sz w:val="22"/>
          <w:szCs w:val="22"/>
        </w:rPr>
        <w:t xml:space="preserve">immobili o aziende tramite </w:t>
      </w:r>
      <w:r w:rsidR="001B1ECC" w:rsidRPr="007F7EBF">
        <w:rPr>
          <w:sz w:val="22"/>
          <w:szCs w:val="22"/>
        </w:rPr>
        <w:t xml:space="preserve">quote societarie. </w:t>
      </w:r>
      <w:r w:rsidR="00715770" w:rsidRPr="007F7EBF">
        <w:rPr>
          <w:sz w:val="22"/>
          <w:szCs w:val="22"/>
        </w:rPr>
        <w:t xml:space="preserve">La sufficienza di atti “informali”, non solenni, per trasferire la ricchezza emerge nelle </w:t>
      </w:r>
      <w:r w:rsidRPr="007F7EBF">
        <w:rPr>
          <w:sz w:val="22"/>
          <w:szCs w:val="22"/>
        </w:rPr>
        <w:t>“dona</w:t>
      </w:r>
      <w:r w:rsidR="00715770" w:rsidRPr="007F7EBF">
        <w:rPr>
          <w:sz w:val="22"/>
          <w:szCs w:val="22"/>
        </w:rPr>
        <w:t xml:space="preserve">zioni indirette”, realizzate </w:t>
      </w:r>
      <w:r w:rsidRPr="007F7EBF">
        <w:rPr>
          <w:sz w:val="22"/>
          <w:szCs w:val="22"/>
        </w:rPr>
        <w:t>senza atto pubblico,</w:t>
      </w:r>
      <w:r w:rsidR="001B1ECC" w:rsidRPr="007F7EBF">
        <w:rPr>
          <w:sz w:val="22"/>
          <w:szCs w:val="22"/>
        </w:rPr>
        <w:t xml:space="preserve"> </w:t>
      </w:r>
      <w:r w:rsidRPr="007F7EBF">
        <w:rPr>
          <w:sz w:val="22"/>
          <w:szCs w:val="22"/>
        </w:rPr>
        <w:t>ma ugualmente valide, come la rinuncia a crediti, a diritti di opzione, i pagamenti</w:t>
      </w:r>
      <w:r w:rsidR="00715770" w:rsidRPr="007F7EBF">
        <w:rPr>
          <w:sz w:val="22"/>
          <w:szCs w:val="22"/>
        </w:rPr>
        <w:t xml:space="preserve"> </w:t>
      </w:r>
      <w:r w:rsidRPr="007F7EBF">
        <w:rPr>
          <w:sz w:val="22"/>
          <w:szCs w:val="22"/>
        </w:rPr>
        <w:t xml:space="preserve">di debiti altrui etc. </w:t>
      </w:r>
      <w:r w:rsidR="005D4F17">
        <w:rPr>
          <w:sz w:val="22"/>
          <w:szCs w:val="22"/>
        </w:rPr>
        <w:t>Anche i</w:t>
      </w:r>
      <w:r w:rsidR="00190B30" w:rsidRPr="007F7EBF">
        <w:rPr>
          <w:bCs/>
          <w:sz w:val="22"/>
          <w:szCs w:val="22"/>
        </w:rPr>
        <w:t xml:space="preserve"> passaggi informali di ricchezza</w:t>
      </w:r>
      <w:r w:rsidR="00190B30" w:rsidRPr="007F7EBF">
        <w:rPr>
          <w:sz w:val="22"/>
          <w:szCs w:val="22"/>
        </w:rPr>
        <w:t>, soprattutto all’interno dei nuclei familiari, non sono facilmente qualificabili, in quanto si tratta di atti "neutri", dove la ricchezza si trasferisce, ma se ne ignora il titolo giuridico</w:t>
      </w:r>
      <w:r w:rsidR="00E7417B">
        <w:t xml:space="preserve">. </w:t>
      </w:r>
      <w:r w:rsidR="00E7417B" w:rsidRPr="007F7EBF">
        <w:t>Sbaglierebbe infatti chi ritenesse giuridicamente "donazione" il trasferimento di somme mediante bonifico, assegno, etc</w:t>
      </w:r>
      <w:bookmarkEnd w:id="141"/>
      <w:r w:rsidR="00E7417B" w:rsidRPr="007F7EBF">
        <w:t xml:space="preserve">. In teoria sono trasferimenti "precari", giuridicamente non autosufficienti, di cui l'erogante , o i </w:t>
      </w:r>
      <w:r w:rsidR="00E7417B" w:rsidRPr="007F7EBF">
        <w:lastRenderedPageBreak/>
        <w:t>suoi eredi, potrebbero chiedere la restituzione, o imputare alle quote</w:t>
      </w:r>
      <w:r w:rsidR="00E7417B">
        <w:t xml:space="preserve"> di</w:t>
      </w:r>
      <w:r w:rsidR="00E7417B" w:rsidRPr="007F7EBF">
        <w:t xml:space="preserve"> eredità, ai fini dei conguagli reciproci</w:t>
      </w:r>
      <w:r w:rsidR="00E7417B">
        <w:t>(</w:t>
      </w:r>
      <w:r w:rsidR="008419F5" w:rsidRPr="007F7EBF">
        <w:rPr>
          <w:rStyle w:val="Rimandonotaapidipagina"/>
          <w:sz w:val="22"/>
          <w:szCs w:val="22"/>
        </w:rPr>
        <w:footnoteReference w:id="1389"/>
      </w:r>
      <w:r w:rsidR="00E7417B">
        <w:t>)</w:t>
      </w:r>
      <w:r w:rsidR="008419F5" w:rsidRPr="007F7EBF">
        <w:rPr>
          <w:sz w:val="22"/>
          <w:szCs w:val="22"/>
        </w:rPr>
        <w:t>.</w:t>
      </w:r>
      <w:r w:rsidR="00190B30" w:rsidRPr="007F7EBF">
        <w:rPr>
          <w:sz w:val="22"/>
          <w:szCs w:val="22"/>
        </w:rPr>
        <w:t xml:space="preserve"> </w:t>
      </w:r>
    </w:p>
    <w:p w14:paraId="304504D4" w14:textId="77777777" w:rsidR="008419F5" w:rsidRPr="007F7EBF" w:rsidRDefault="008419F5" w:rsidP="008419F5">
      <w:pPr>
        <w:pStyle w:val="tit23"/>
        <w:ind w:left="6464" w:right="-1361" w:firstLine="0"/>
        <w:jc w:val="left"/>
        <w:rPr>
          <w:bCs/>
          <w:i/>
          <w:iCs/>
          <w:color w:val="0000FF"/>
          <w:lang w:val="it-IT"/>
        </w:rPr>
      </w:pPr>
      <w:r w:rsidRPr="007F7EBF">
        <w:rPr>
          <w:bCs/>
          <w:i/>
          <w:iCs/>
          <w:color w:val="0000FF"/>
          <w:lang w:val="it-IT"/>
        </w:rPr>
        <w:t>Vicende legislative contingenti</w:t>
      </w:r>
    </w:p>
    <w:p w14:paraId="10BCB3A8" w14:textId="47258F9B" w:rsidR="005D4F17" w:rsidRPr="007F7EBF" w:rsidRDefault="00D87A44" w:rsidP="005D4F17">
      <w:pPr>
        <w:pStyle w:val="tit23"/>
        <w:ind w:left="6464" w:right="-1361" w:firstLine="0"/>
        <w:jc w:val="left"/>
        <w:rPr>
          <w:bCs/>
          <w:i/>
          <w:iCs/>
          <w:color w:val="0000FF"/>
          <w:lang w:val="it-IT"/>
        </w:rPr>
      </w:pPr>
      <w:r>
        <w:rPr>
          <w:bCs/>
          <w:i/>
          <w:iCs/>
          <w:color w:val="0000FF"/>
          <w:lang w:val="it-IT"/>
        </w:rPr>
        <w:t>Le modifiche del 2000</w:t>
      </w:r>
      <w:r w:rsidR="005D4F17" w:rsidRPr="007F7EBF">
        <w:rPr>
          <w:bCs/>
          <w:i/>
          <w:iCs/>
          <w:color w:val="0000FF"/>
          <w:lang w:val="it-IT"/>
        </w:rPr>
        <w:t xml:space="preserve"> </w:t>
      </w:r>
    </w:p>
    <w:p w14:paraId="723B2804" w14:textId="77777777" w:rsidR="005D4F17" w:rsidRPr="007F7EBF" w:rsidRDefault="005D4F17" w:rsidP="005D4F17">
      <w:pPr>
        <w:autoSpaceDE w:val="0"/>
        <w:autoSpaceDN w:val="0"/>
        <w:adjustRightInd w:val="0"/>
        <w:rPr>
          <w:sz w:val="22"/>
          <w:szCs w:val="22"/>
        </w:rPr>
      </w:pPr>
      <w:r w:rsidRPr="007F7EBF">
        <w:rPr>
          <w:sz w:val="22"/>
          <w:szCs w:val="22"/>
        </w:rPr>
        <w:t xml:space="preserve">Su questo sfondo si innestarono iniziative diverse, a seconda dell'ispirazione politica, tra l'abolizione e la razionalizzazione del tributo, accomunate però dalla consapevolezza della sua crisi. </w:t>
      </w:r>
    </w:p>
    <w:p w14:paraId="3244F598" w14:textId="46F5DBF6" w:rsidR="005D4F17" w:rsidRPr="007F7EBF" w:rsidRDefault="005D4F17" w:rsidP="005D4F17">
      <w:pPr>
        <w:autoSpaceDE w:val="0"/>
        <w:autoSpaceDN w:val="0"/>
        <w:adjustRightInd w:val="0"/>
        <w:rPr>
          <w:sz w:val="22"/>
          <w:szCs w:val="22"/>
        </w:rPr>
      </w:pPr>
      <w:r w:rsidRPr="007F7EBF">
        <w:rPr>
          <w:sz w:val="22"/>
          <w:szCs w:val="22"/>
        </w:rPr>
        <w:t>Un tentativo di salvaguardare l'imposta, nel 2000, fu quello di passare alla tassazione su quello che ciascun beneficiario aveva ricevuto, mentre in precedenza l'imposta era globale sull'insieme dell'eredità, come entità unitaria, ricalcando la successione civilistica, con testamento o ex lege. Furono anche abbassate le aliquote, massimo 8 percento tra estranei</w:t>
      </w:r>
      <w:r w:rsidR="00E7417B">
        <w:rPr>
          <w:sz w:val="22"/>
          <w:szCs w:val="22"/>
        </w:rPr>
        <w:t>(</w:t>
      </w:r>
      <w:r w:rsidRPr="007F7EBF">
        <w:rPr>
          <w:rStyle w:val="Rimandonotaapidipagina"/>
          <w:sz w:val="22"/>
          <w:szCs w:val="22"/>
        </w:rPr>
        <w:footnoteReference w:id="1390"/>
      </w:r>
      <w:r w:rsidR="00E7417B">
        <w:rPr>
          <w:sz w:val="22"/>
          <w:szCs w:val="22"/>
        </w:rPr>
        <w:t>)</w:t>
      </w:r>
      <w:r w:rsidRPr="007F7EBF">
        <w:rPr>
          <w:sz w:val="22"/>
          <w:szCs w:val="22"/>
        </w:rPr>
        <w:t xml:space="preserve"> e introdotta una quota esente per ciascun beneficiario</w:t>
      </w:r>
      <w:r w:rsidR="00E7417B">
        <w:rPr>
          <w:sz w:val="22"/>
          <w:szCs w:val="22"/>
        </w:rPr>
        <w:t>(</w:t>
      </w:r>
      <w:r w:rsidRPr="007F7EBF">
        <w:rPr>
          <w:rStyle w:val="Rimandonotaapidipagina"/>
          <w:sz w:val="22"/>
          <w:szCs w:val="22"/>
        </w:rPr>
        <w:footnoteReference w:id="1391"/>
      </w:r>
      <w:r w:rsidR="00E7417B">
        <w:rPr>
          <w:sz w:val="22"/>
          <w:szCs w:val="22"/>
        </w:rPr>
        <w:t>)</w:t>
      </w:r>
      <w:r w:rsidRPr="007F7EBF">
        <w:rPr>
          <w:sz w:val="22"/>
          <w:szCs w:val="22"/>
        </w:rPr>
        <w:t xml:space="preserve">. </w:t>
      </w:r>
    </w:p>
    <w:p w14:paraId="1A8E9F96" w14:textId="50C08EFA" w:rsidR="005D4F17" w:rsidRPr="007F7EBF" w:rsidRDefault="005D4F17" w:rsidP="005D4F17">
      <w:pPr>
        <w:pStyle w:val="tit23"/>
        <w:ind w:left="6464" w:right="-1361" w:firstLine="0"/>
        <w:jc w:val="left"/>
        <w:rPr>
          <w:bCs/>
          <w:i/>
          <w:iCs/>
          <w:color w:val="0000FF"/>
          <w:lang w:val="it-IT"/>
        </w:rPr>
      </w:pPr>
      <w:r w:rsidRPr="007F7EBF">
        <w:rPr>
          <w:bCs/>
          <w:i/>
          <w:iCs/>
          <w:color w:val="0000FF"/>
          <w:lang w:val="it-IT"/>
        </w:rPr>
        <w:t>Tentativi di allargare la base imponibile</w:t>
      </w:r>
      <w:r w:rsidR="00D87A44">
        <w:rPr>
          <w:bCs/>
          <w:i/>
          <w:iCs/>
          <w:color w:val="0000FF"/>
          <w:lang w:val="it-IT"/>
        </w:rPr>
        <w:t xml:space="preserve"> </w:t>
      </w:r>
    </w:p>
    <w:p w14:paraId="174F7646" w14:textId="4E472B01" w:rsidR="00D87A44" w:rsidRDefault="005D4F17" w:rsidP="00E7417B">
      <w:pPr>
        <w:autoSpaceDE w:val="0"/>
        <w:autoSpaceDN w:val="0"/>
        <w:adjustRightInd w:val="0"/>
        <w:rPr>
          <w:bCs/>
          <w:i/>
          <w:iCs/>
          <w:color w:val="0000FF"/>
          <w:sz w:val="22"/>
          <w:szCs w:val="22"/>
        </w:rPr>
      </w:pPr>
      <w:bookmarkStart w:id="142" w:name="_Hlk58478642"/>
      <w:r w:rsidRPr="007F7EBF">
        <w:rPr>
          <w:sz w:val="22"/>
          <w:szCs w:val="22"/>
        </w:rPr>
        <w:t xml:space="preserve">Si </w:t>
      </w:r>
      <w:r w:rsidR="00233C2B">
        <w:rPr>
          <w:sz w:val="22"/>
          <w:szCs w:val="22"/>
        </w:rPr>
        <w:t xml:space="preserve">cercò </w:t>
      </w:r>
      <w:r w:rsidRPr="007F7EBF">
        <w:rPr>
          <w:sz w:val="22"/>
          <w:szCs w:val="22"/>
        </w:rPr>
        <w:t xml:space="preserve">anche di ampliare la base imponibile, </w:t>
      </w:r>
      <w:r w:rsidR="00233C2B">
        <w:rPr>
          <w:sz w:val="22"/>
          <w:szCs w:val="22"/>
        </w:rPr>
        <w:t xml:space="preserve">e </w:t>
      </w:r>
      <w:r w:rsidRPr="007F7EBF">
        <w:rPr>
          <w:sz w:val="22"/>
          <w:szCs w:val="22"/>
        </w:rPr>
        <w:t>di recuperare anche i trasferimenti mobiliari, non formalizzati in atti soggetti a registrazione; si fece leva, a questo scopo, sull</w:t>
      </w:r>
      <w:r w:rsidR="00E7417B">
        <w:rPr>
          <w:sz w:val="22"/>
          <w:szCs w:val="22"/>
        </w:rPr>
        <w:t>a stima</w:t>
      </w:r>
      <w:r w:rsidRPr="007F7EBF">
        <w:rPr>
          <w:sz w:val="22"/>
          <w:szCs w:val="22"/>
        </w:rPr>
        <w:t xml:space="preserve"> della condizione patrimoniale ai fini dell'accertamento in base al tenore di vita nei tributi sui redditi.</w:t>
      </w:r>
      <w:r w:rsidR="00233C2B">
        <w:rPr>
          <w:sz w:val="22"/>
          <w:szCs w:val="22"/>
        </w:rPr>
        <w:t xml:space="preserve"> </w:t>
      </w:r>
      <w:bookmarkEnd w:id="142"/>
      <w:r w:rsidR="00233C2B">
        <w:rPr>
          <w:sz w:val="22"/>
          <w:szCs w:val="22"/>
        </w:rPr>
        <w:t xml:space="preserve">Quando il beneficiario di trasferimenti informali li usa per contrastare </w:t>
      </w:r>
      <w:r w:rsidRPr="007F7EBF">
        <w:rPr>
          <w:sz w:val="22"/>
          <w:szCs w:val="22"/>
        </w:rPr>
        <w:t xml:space="preserve">un </w:t>
      </w:r>
      <w:r w:rsidRPr="007F7EBF">
        <w:rPr>
          <w:sz w:val="22"/>
          <w:szCs w:val="22"/>
        </w:rPr>
        <w:lastRenderedPageBreak/>
        <w:t xml:space="preserve">accertamento basato sulla spesa (par. 5.14), </w:t>
      </w:r>
      <w:r w:rsidR="00233C2B">
        <w:rPr>
          <w:sz w:val="22"/>
          <w:szCs w:val="22"/>
        </w:rPr>
        <w:t xml:space="preserve">l’ufficio tributario </w:t>
      </w:r>
      <w:r w:rsidR="00E7417B">
        <w:rPr>
          <w:sz w:val="22"/>
          <w:szCs w:val="22"/>
        </w:rPr>
        <w:t>potrebbe</w:t>
      </w:r>
      <w:r w:rsidR="00233C2B">
        <w:rPr>
          <w:sz w:val="22"/>
          <w:szCs w:val="22"/>
        </w:rPr>
        <w:t xml:space="preserve"> accertare l’imposta sulle donazioni</w:t>
      </w:r>
      <w:r w:rsidR="00E7417B">
        <w:rPr>
          <w:sz w:val="22"/>
          <w:szCs w:val="22"/>
        </w:rPr>
        <w:t>; non sembra però che questa disposizione abbia diffusa applicazione, a conferma del ridotto impatto dell’abbassamento delle aliquote sulla determinazione degli imponibili (par.4.5)</w:t>
      </w:r>
      <w:r w:rsidR="00233C2B">
        <w:rPr>
          <w:sz w:val="22"/>
          <w:szCs w:val="22"/>
        </w:rPr>
        <w:t>.</w:t>
      </w:r>
    </w:p>
    <w:p w14:paraId="5E792528" w14:textId="72944C1E" w:rsidR="00D87A44" w:rsidRDefault="00D87A44" w:rsidP="00D87A44">
      <w:pPr>
        <w:pStyle w:val="tit23"/>
        <w:ind w:left="6464" w:right="-1361" w:firstLine="0"/>
        <w:jc w:val="left"/>
        <w:rPr>
          <w:bCs/>
          <w:i/>
          <w:iCs/>
          <w:color w:val="0000FF"/>
          <w:lang w:val="it-IT"/>
        </w:rPr>
      </w:pPr>
      <w:r>
        <w:rPr>
          <w:bCs/>
          <w:i/>
          <w:iCs/>
          <w:color w:val="0000FF"/>
          <w:lang w:val="it-IT"/>
        </w:rPr>
        <w:t xml:space="preserve"> Attuale stasi</w:t>
      </w:r>
    </w:p>
    <w:p w14:paraId="31D3FFBA" w14:textId="1A38A2D7" w:rsidR="000B7F87" w:rsidRPr="007F7EBF" w:rsidRDefault="00233C2B" w:rsidP="00190B30">
      <w:pPr>
        <w:autoSpaceDE w:val="0"/>
        <w:autoSpaceDN w:val="0"/>
        <w:adjustRightInd w:val="0"/>
        <w:rPr>
          <w:bCs/>
          <w:i/>
          <w:iCs/>
          <w:color w:val="0000FF"/>
          <w:sz w:val="22"/>
          <w:szCs w:val="22"/>
        </w:rPr>
      </w:pPr>
      <w:r>
        <w:rPr>
          <w:sz w:val="22"/>
          <w:szCs w:val="22"/>
        </w:rPr>
        <w:t>Questo assetto normativo  (</w:t>
      </w:r>
      <w:r>
        <w:rPr>
          <w:rStyle w:val="Rimandonotaapidipagina"/>
          <w:sz w:val="22"/>
          <w:szCs w:val="22"/>
        </w:rPr>
        <w:footnoteReference w:id="1392"/>
      </w:r>
      <w:r>
        <w:rPr>
          <w:sz w:val="22"/>
          <w:szCs w:val="22"/>
        </w:rPr>
        <w:t xml:space="preserve">) ha avuto però scarsa applicazione pratica </w:t>
      </w:r>
      <w:r w:rsidR="005D4F17" w:rsidRPr="007F7EBF">
        <w:rPr>
          <w:sz w:val="22"/>
          <w:szCs w:val="22"/>
        </w:rPr>
        <w:t xml:space="preserve"> </w:t>
      </w:r>
      <w:r>
        <w:rPr>
          <w:sz w:val="22"/>
          <w:szCs w:val="22"/>
        </w:rPr>
        <w:t xml:space="preserve">nella prassi degli uffici tributari, perché comporta valutazioni convenzionali per ordine di grandezza. </w:t>
      </w:r>
      <w:r w:rsidR="005D4F17" w:rsidRPr="007F7EBF">
        <w:rPr>
          <w:sz w:val="22"/>
          <w:szCs w:val="22"/>
        </w:rPr>
        <w:t xml:space="preserve"> </w:t>
      </w:r>
      <w:r w:rsidRPr="007F7EBF">
        <w:rPr>
          <w:sz w:val="22"/>
          <w:szCs w:val="22"/>
        </w:rPr>
        <w:t>L'unica possibilità di applicazione adeguatamente sistematica fa perno sulla situazione patrimoniale del beneficiario</w:t>
      </w:r>
      <w:r w:rsidR="00D66FFC">
        <w:rPr>
          <w:sz w:val="22"/>
          <w:szCs w:val="22"/>
        </w:rPr>
        <w:t xml:space="preserve"> (</w:t>
      </w:r>
      <w:r w:rsidR="00D66FFC" w:rsidRPr="007F7EBF">
        <w:rPr>
          <w:rStyle w:val="Rimandonotaapidipagina"/>
          <w:sz w:val="22"/>
          <w:szCs w:val="22"/>
        </w:rPr>
        <w:footnoteReference w:id="1393"/>
      </w:r>
      <w:r w:rsidR="00D66FFC">
        <w:rPr>
          <w:sz w:val="22"/>
          <w:szCs w:val="22"/>
        </w:rPr>
        <w:t>)</w:t>
      </w:r>
      <w:r w:rsidRPr="007F7EBF">
        <w:rPr>
          <w:sz w:val="22"/>
          <w:szCs w:val="22"/>
        </w:rPr>
        <w:t>, e a tal fine sarebbe fondamentale lo schedario patrimoniale permanente di cui al par.5.7.</w:t>
      </w:r>
      <w:r w:rsidR="00D66FFC">
        <w:rPr>
          <w:sz w:val="22"/>
          <w:szCs w:val="22"/>
        </w:rPr>
        <w:t xml:space="preserve"> Anche </w:t>
      </w:r>
      <w:r w:rsidR="00E7417B">
        <w:rPr>
          <w:sz w:val="22"/>
          <w:szCs w:val="22"/>
        </w:rPr>
        <w:t xml:space="preserve">qui si vede l’importanza di una spiegazione d’insieme della funzione tributaria alla luce della diversa </w:t>
      </w:r>
      <w:r w:rsidR="00CD1F9D" w:rsidRPr="007F7EBF">
        <w:rPr>
          <w:sz w:val="22"/>
          <w:szCs w:val="22"/>
        </w:rPr>
        <w:t>determina</w:t>
      </w:r>
      <w:r w:rsidR="00731F11">
        <w:rPr>
          <w:sz w:val="22"/>
          <w:szCs w:val="22"/>
        </w:rPr>
        <w:t>bilità degli imponibili</w:t>
      </w:r>
      <w:r w:rsidR="00CD1F9D" w:rsidRPr="007F7EBF">
        <w:rPr>
          <w:sz w:val="22"/>
          <w:szCs w:val="22"/>
        </w:rPr>
        <w:t xml:space="preserve">, filo conduttore di questo testo.  </w:t>
      </w:r>
      <w:r w:rsidR="00731F11">
        <w:rPr>
          <w:sz w:val="22"/>
          <w:szCs w:val="22"/>
        </w:rPr>
        <w:t>Fino ad allora, il tributo avrà solo un qualche occasionale interesse tecnico</w:t>
      </w:r>
      <w:r w:rsidR="00E7417B">
        <w:rPr>
          <w:sz w:val="22"/>
          <w:szCs w:val="22"/>
        </w:rPr>
        <w:t>-professionale</w:t>
      </w:r>
      <w:r w:rsidR="00731F11">
        <w:rPr>
          <w:sz w:val="22"/>
          <w:szCs w:val="22"/>
        </w:rPr>
        <w:t xml:space="preserve">, per chi ci resta invischiato, ma sul piano </w:t>
      </w:r>
      <w:r w:rsidR="00F75C68">
        <w:rPr>
          <w:sz w:val="22"/>
          <w:szCs w:val="22"/>
        </w:rPr>
        <w:t>dello studio giuridico-</w:t>
      </w:r>
      <w:r w:rsidR="00731F11">
        <w:rPr>
          <w:sz w:val="22"/>
          <w:szCs w:val="22"/>
        </w:rPr>
        <w:t>sociale sarà un enorme e irrilevante “buco nero”.</w:t>
      </w:r>
    </w:p>
    <w:p w14:paraId="2D064183" w14:textId="77777777" w:rsidR="00C76105" w:rsidRPr="007F7EBF" w:rsidRDefault="006342C5" w:rsidP="00C76105">
      <w:pPr>
        <w:pStyle w:val="Titolo3"/>
        <w:rPr>
          <w:rFonts w:ascii="Times New Roman" w:hAnsi="Times New Roman"/>
          <w:sz w:val="22"/>
          <w:szCs w:val="22"/>
        </w:rPr>
      </w:pPr>
      <w:bookmarkStart w:id="143" w:name="_Toc63365050"/>
      <w:r w:rsidRPr="007F7EBF">
        <w:rPr>
          <w:rFonts w:ascii="Times New Roman" w:hAnsi="Times New Roman"/>
          <w:sz w:val="22"/>
          <w:szCs w:val="22"/>
        </w:rPr>
        <w:t>10.6. Altri tributi speciali su consumi di determinati beni e servizi (incluso</w:t>
      </w:r>
      <w:r w:rsidR="00E74A44" w:rsidRPr="007F7EBF">
        <w:rPr>
          <w:rFonts w:ascii="Times New Roman" w:hAnsi="Times New Roman"/>
          <w:sz w:val="22"/>
          <w:szCs w:val="22"/>
          <w:lang w:val="it-IT"/>
        </w:rPr>
        <w:t xml:space="preserve"> </w:t>
      </w:r>
      <w:r w:rsidRPr="007F7EBF">
        <w:rPr>
          <w:rFonts w:ascii="Times New Roman" w:hAnsi="Times New Roman"/>
          <w:sz w:val="22"/>
          <w:szCs w:val="22"/>
        </w:rPr>
        <w:t>accise e dogane)</w:t>
      </w:r>
      <w:bookmarkEnd w:id="143"/>
    </w:p>
    <w:p w14:paraId="640C083E" w14:textId="77777777" w:rsidR="00C76105" w:rsidRPr="007F7EBF" w:rsidRDefault="00C76105" w:rsidP="00C76105">
      <w:pPr>
        <w:pStyle w:val="tit23"/>
        <w:ind w:left="6464" w:right="-1361" w:firstLine="0"/>
        <w:jc w:val="left"/>
        <w:rPr>
          <w:b/>
          <w:bCs/>
          <w:i/>
          <w:iCs/>
          <w:color w:val="0000FF"/>
          <w:lang w:val="it-IT"/>
        </w:rPr>
      </w:pPr>
      <w:r w:rsidRPr="007F7EBF">
        <w:rPr>
          <w:b/>
          <w:bCs/>
          <w:i/>
          <w:iCs/>
          <w:color w:val="0000FF"/>
          <w:lang w:val="it-IT"/>
        </w:rPr>
        <w:t>Residui tributi “a quantità”</w:t>
      </w:r>
    </w:p>
    <w:p w14:paraId="3CA52191" w14:textId="628ABC2D" w:rsidR="00C76105" w:rsidRPr="007F7EBF" w:rsidRDefault="00C76105" w:rsidP="00C76105">
      <w:pPr>
        <w:autoSpaceDE w:val="0"/>
        <w:autoSpaceDN w:val="0"/>
        <w:adjustRightInd w:val="0"/>
        <w:rPr>
          <w:sz w:val="22"/>
          <w:szCs w:val="22"/>
        </w:rPr>
      </w:pPr>
      <w:r w:rsidRPr="007F7EBF">
        <w:rPr>
          <w:sz w:val="22"/>
          <w:szCs w:val="22"/>
        </w:rPr>
        <w:t xml:space="preserve">La tradizione di colpire la ricchezza espressa dalle quantità di merci (paragrafi 1.3 e 7.2) si è </w:t>
      </w:r>
      <w:r w:rsidRPr="007F7EBF">
        <w:rPr>
          <w:bCs/>
          <w:sz w:val="22"/>
          <w:szCs w:val="22"/>
        </w:rPr>
        <w:t>mantenuta per poche imposte</w:t>
      </w:r>
      <w:r w:rsidRPr="007F7EBF">
        <w:rPr>
          <w:sz w:val="22"/>
          <w:szCs w:val="22"/>
        </w:rPr>
        <w:t xml:space="preserve">, relative a beni con </w:t>
      </w:r>
      <w:r w:rsidRPr="007F7EBF">
        <w:rPr>
          <w:bCs/>
          <w:sz w:val="22"/>
          <w:szCs w:val="22"/>
        </w:rPr>
        <w:t>circolazione</w:t>
      </w:r>
      <w:r w:rsidRPr="007F7EBF">
        <w:rPr>
          <w:sz w:val="22"/>
          <w:szCs w:val="22"/>
        </w:rPr>
        <w:t xml:space="preserve"> ancora fisicamente </w:t>
      </w:r>
      <w:r w:rsidRPr="007F7EBF">
        <w:rPr>
          <w:bCs/>
          <w:sz w:val="22"/>
          <w:szCs w:val="22"/>
        </w:rPr>
        <w:t>controllabil</w:t>
      </w:r>
      <w:r w:rsidR="00615445">
        <w:rPr>
          <w:bCs/>
          <w:sz w:val="22"/>
          <w:szCs w:val="22"/>
        </w:rPr>
        <w:t>e</w:t>
      </w:r>
      <w:r w:rsidRPr="007F7EBF">
        <w:rPr>
          <w:bCs/>
          <w:sz w:val="22"/>
          <w:szCs w:val="22"/>
        </w:rPr>
        <w:t xml:space="preserve"> d</w:t>
      </w:r>
      <w:r w:rsidR="00615445">
        <w:rPr>
          <w:bCs/>
          <w:sz w:val="22"/>
          <w:szCs w:val="22"/>
        </w:rPr>
        <w:t>agli uffici tributari, come vedremo per i prodotti petroliferi</w:t>
      </w:r>
      <w:r w:rsidRPr="007F7EBF">
        <w:rPr>
          <w:sz w:val="22"/>
          <w:szCs w:val="22"/>
        </w:rPr>
        <w:t>.</w:t>
      </w:r>
      <w:r w:rsidRPr="007F7EBF">
        <w:rPr>
          <w:bCs/>
          <w:sz w:val="22"/>
          <w:szCs w:val="22"/>
        </w:rPr>
        <w:t xml:space="preserve"> </w:t>
      </w:r>
      <w:r w:rsidRPr="007F7EBF">
        <w:rPr>
          <w:sz w:val="22"/>
          <w:szCs w:val="22"/>
        </w:rPr>
        <w:t xml:space="preserve">A differenza dell’IVA , queste </w:t>
      </w:r>
      <w:r w:rsidRPr="007F7EBF">
        <w:rPr>
          <w:bCs/>
          <w:sz w:val="22"/>
          <w:szCs w:val="22"/>
        </w:rPr>
        <w:t xml:space="preserve">imposte </w:t>
      </w:r>
      <w:r w:rsidRPr="007F7EBF">
        <w:rPr>
          <w:sz w:val="22"/>
          <w:szCs w:val="22"/>
        </w:rPr>
        <w:t xml:space="preserve">mantengono, l’antica tradizione (par.7.1) di essere </w:t>
      </w:r>
      <w:r w:rsidRPr="007F7EBF">
        <w:rPr>
          <w:bCs/>
          <w:sz w:val="22"/>
          <w:szCs w:val="22"/>
        </w:rPr>
        <w:t>applicate alla quantità delle merci</w:t>
      </w:r>
      <w:r w:rsidRPr="007F7EBF">
        <w:rPr>
          <w:sz w:val="22"/>
          <w:szCs w:val="22"/>
        </w:rPr>
        <w:t>, trascurandone il prezzo di vendita.</w:t>
      </w:r>
    </w:p>
    <w:p w14:paraId="260598DC" w14:textId="293AEFA9" w:rsidR="00C76105" w:rsidRPr="007F7EBF" w:rsidRDefault="00015AA5" w:rsidP="00C76105">
      <w:pPr>
        <w:pStyle w:val="tit23"/>
        <w:ind w:left="6464" w:right="-1361" w:firstLine="0"/>
        <w:jc w:val="left"/>
        <w:rPr>
          <w:bCs/>
          <w:i/>
          <w:iCs/>
          <w:color w:val="0000FF"/>
          <w:lang w:val="it-IT"/>
        </w:rPr>
      </w:pPr>
      <w:r w:rsidRPr="007F7EBF">
        <w:rPr>
          <w:bCs/>
          <w:i/>
          <w:iCs/>
          <w:color w:val="0000FF"/>
          <w:lang w:val="it-IT"/>
        </w:rPr>
        <w:t>C</w:t>
      </w:r>
      <w:r w:rsidR="00C76105" w:rsidRPr="007F7EBF">
        <w:rPr>
          <w:bCs/>
          <w:i/>
          <w:iCs/>
          <w:color w:val="0000FF"/>
          <w:lang w:val="it-IT"/>
        </w:rPr>
        <w:t>ompeten</w:t>
      </w:r>
      <w:r>
        <w:rPr>
          <w:bCs/>
          <w:i/>
          <w:iCs/>
          <w:color w:val="0000FF"/>
          <w:lang w:val="it-IT"/>
        </w:rPr>
        <w:t xml:space="preserve">ze </w:t>
      </w:r>
      <w:proofErr w:type="spellStart"/>
      <w:r>
        <w:rPr>
          <w:bCs/>
          <w:i/>
          <w:iCs/>
          <w:color w:val="0000FF"/>
          <w:lang w:val="it-IT"/>
        </w:rPr>
        <w:t>amministrative:agenzia</w:t>
      </w:r>
      <w:proofErr w:type="spellEnd"/>
      <w:r>
        <w:rPr>
          <w:bCs/>
          <w:i/>
          <w:iCs/>
          <w:color w:val="0000FF"/>
          <w:lang w:val="it-IT"/>
        </w:rPr>
        <w:t xml:space="preserve"> delle dogane</w:t>
      </w:r>
    </w:p>
    <w:p w14:paraId="3FC5F9F4" w14:textId="7495872D" w:rsidR="00C76105" w:rsidRPr="007F7EBF" w:rsidRDefault="00C76105" w:rsidP="00C76105">
      <w:pPr>
        <w:autoSpaceDE w:val="0"/>
        <w:autoSpaceDN w:val="0"/>
        <w:adjustRightInd w:val="0"/>
        <w:rPr>
          <w:sz w:val="22"/>
          <w:szCs w:val="22"/>
        </w:rPr>
      </w:pPr>
      <w:r w:rsidRPr="007F7EBF">
        <w:rPr>
          <w:sz w:val="22"/>
          <w:szCs w:val="22"/>
        </w:rPr>
        <w:t xml:space="preserve">Questa tradizione, e le particolari procedure applicative, con specifiche tecniche oltre che giuridico contabili, spiegano l'applicazione di molti di </w:t>
      </w:r>
      <w:r w:rsidRPr="007F7EBF">
        <w:rPr>
          <w:sz w:val="22"/>
          <w:szCs w:val="22"/>
        </w:rPr>
        <w:lastRenderedPageBreak/>
        <w:t>questi tributi da parte dell'</w:t>
      </w:r>
      <w:r w:rsidR="00015AA5">
        <w:rPr>
          <w:sz w:val="22"/>
          <w:szCs w:val="22"/>
        </w:rPr>
        <w:t>A</w:t>
      </w:r>
      <w:r w:rsidRPr="007F7EBF">
        <w:rPr>
          <w:sz w:val="22"/>
          <w:szCs w:val="22"/>
        </w:rPr>
        <w:t>genzia delle dogane (</w:t>
      </w:r>
      <w:r w:rsidRPr="007F7EBF">
        <w:rPr>
          <w:rStyle w:val="Rimandonotaapidipagina"/>
          <w:sz w:val="22"/>
          <w:szCs w:val="22"/>
        </w:rPr>
        <w:footnoteReference w:id="1394"/>
      </w:r>
      <w:r w:rsidRPr="007F7EBF">
        <w:rPr>
          <w:sz w:val="22"/>
          <w:szCs w:val="22"/>
        </w:rPr>
        <w:t xml:space="preserve">).  Al loro interno troviamo imposte sui </w:t>
      </w:r>
      <w:r w:rsidRPr="007F7EBF">
        <w:rPr>
          <w:bCs/>
          <w:sz w:val="22"/>
          <w:szCs w:val="22"/>
        </w:rPr>
        <w:t>prodotti petroliferi</w:t>
      </w:r>
      <w:r w:rsidRPr="007F7EBF">
        <w:rPr>
          <w:sz w:val="22"/>
          <w:szCs w:val="22"/>
        </w:rPr>
        <w:t xml:space="preserve">, la cui importazione e distribuzione è facile da controllare, anche fisicamente, visti gli impianti necessari alla relativa lavorazione e distribuzione. Lo stesso accade per le imposte </w:t>
      </w:r>
      <w:r w:rsidRPr="007F7EBF">
        <w:rPr>
          <w:bCs/>
          <w:sz w:val="22"/>
          <w:szCs w:val="22"/>
        </w:rPr>
        <w:t>sull’energia elettrica, gas di citt</w:t>
      </w:r>
      <w:r w:rsidRPr="007F7EBF">
        <w:rPr>
          <w:sz w:val="22"/>
          <w:szCs w:val="22"/>
        </w:rPr>
        <w:t xml:space="preserve">à (c.d. «accise»). Tutti </w:t>
      </w:r>
      <w:r w:rsidR="00015AA5">
        <w:rPr>
          <w:sz w:val="22"/>
          <w:szCs w:val="22"/>
        </w:rPr>
        <w:t xml:space="preserve">questi </w:t>
      </w:r>
      <w:r w:rsidRPr="007F7EBF">
        <w:rPr>
          <w:sz w:val="22"/>
          <w:szCs w:val="22"/>
        </w:rPr>
        <w:t>tributi</w:t>
      </w:r>
      <w:r w:rsidR="00015AA5">
        <w:rPr>
          <w:sz w:val="22"/>
          <w:szCs w:val="22"/>
        </w:rPr>
        <w:t>,</w:t>
      </w:r>
      <w:r w:rsidRPr="007F7EBF">
        <w:rPr>
          <w:sz w:val="22"/>
          <w:szCs w:val="22"/>
        </w:rPr>
        <w:t xml:space="preserve"> di </w:t>
      </w:r>
      <w:r w:rsidR="00015AA5">
        <w:rPr>
          <w:sz w:val="22"/>
          <w:szCs w:val="22"/>
        </w:rPr>
        <w:t>matrice</w:t>
      </w:r>
      <w:r w:rsidRPr="007F7EBF">
        <w:rPr>
          <w:sz w:val="22"/>
          <w:szCs w:val="22"/>
        </w:rPr>
        <w:t xml:space="preserve"> molto antica</w:t>
      </w:r>
      <w:r w:rsidR="00015AA5">
        <w:rPr>
          <w:sz w:val="22"/>
          <w:szCs w:val="22"/>
        </w:rPr>
        <w:t>,</w:t>
      </w:r>
      <w:r w:rsidRPr="007F7EBF">
        <w:rPr>
          <w:sz w:val="22"/>
          <w:szCs w:val="22"/>
        </w:rPr>
        <w:t xml:space="preserve"> si sono adattati facilmente alla tassazione attraverso le aziende, come indicato al par.10.1. </w:t>
      </w:r>
    </w:p>
    <w:p w14:paraId="2912CACD" w14:textId="77777777" w:rsidR="00C76105" w:rsidRPr="007F7EBF" w:rsidRDefault="00C76105" w:rsidP="00C76105">
      <w:pPr>
        <w:pStyle w:val="tit23"/>
        <w:ind w:left="6464" w:right="-1361" w:firstLine="0"/>
        <w:jc w:val="left"/>
        <w:rPr>
          <w:bCs/>
          <w:i/>
          <w:iCs/>
          <w:color w:val="0000FF"/>
          <w:lang w:val="it-IT"/>
        </w:rPr>
      </w:pPr>
      <w:r w:rsidRPr="007F7EBF">
        <w:rPr>
          <w:bCs/>
          <w:i/>
          <w:iCs/>
          <w:color w:val="0000FF"/>
          <w:lang w:val="it-IT"/>
        </w:rPr>
        <w:t>Esternalizzazione, traslazione sul consumo e coesistenza con l’IVA</w:t>
      </w:r>
    </w:p>
    <w:p w14:paraId="447EA9A0" w14:textId="6A5C0D05" w:rsidR="00C76105" w:rsidRPr="007F7EBF" w:rsidRDefault="00C76105" w:rsidP="00C76105">
      <w:pPr>
        <w:autoSpaceDE w:val="0"/>
        <w:autoSpaceDN w:val="0"/>
        <w:adjustRightInd w:val="0"/>
        <w:rPr>
          <w:sz w:val="22"/>
          <w:szCs w:val="22"/>
        </w:rPr>
      </w:pPr>
      <w:r w:rsidRPr="007F7EBF">
        <w:rPr>
          <w:sz w:val="22"/>
          <w:szCs w:val="22"/>
        </w:rPr>
        <w:t xml:space="preserve"> Anche di questa tipologia di tributi sono rimasti solo quelli ormai esternalizzati, applicati grazie a pochi</w:t>
      </w:r>
      <w:r w:rsidR="00015AA5">
        <w:rPr>
          <w:sz w:val="22"/>
          <w:szCs w:val="22"/>
        </w:rPr>
        <w:t xml:space="preserve"> </w:t>
      </w:r>
      <w:r w:rsidRPr="007F7EBF">
        <w:rPr>
          <w:sz w:val="22"/>
          <w:szCs w:val="22"/>
        </w:rPr>
        <w:t>grandi soggetti, caratterizzati dalle note rigidità amministrative, e quindi fiscalmente affidabili</w:t>
      </w:r>
      <w:r w:rsidR="00615445">
        <w:rPr>
          <w:sz w:val="22"/>
          <w:szCs w:val="22"/>
        </w:rPr>
        <w:t>(</w:t>
      </w:r>
      <w:r w:rsidRPr="007F7EBF">
        <w:rPr>
          <w:rStyle w:val="Rimandonotaapidipagina"/>
          <w:sz w:val="22"/>
          <w:szCs w:val="22"/>
        </w:rPr>
        <w:footnoteReference w:id="1395"/>
      </w:r>
      <w:r w:rsidR="00615445">
        <w:rPr>
          <w:sz w:val="22"/>
          <w:szCs w:val="22"/>
        </w:rPr>
        <w:t>)</w:t>
      </w:r>
      <w:r w:rsidRPr="007F7EBF">
        <w:rPr>
          <w:sz w:val="22"/>
          <w:szCs w:val="22"/>
        </w:rPr>
        <w:t xml:space="preserve">. </w:t>
      </w:r>
    </w:p>
    <w:p w14:paraId="4A3E390A" w14:textId="5B113D04" w:rsidR="00C76105" w:rsidRPr="007F7EBF" w:rsidRDefault="00C76105" w:rsidP="00C76105">
      <w:pPr>
        <w:autoSpaceDE w:val="0"/>
        <w:autoSpaceDN w:val="0"/>
        <w:adjustRightInd w:val="0"/>
        <w:rPr>
          <w:sz w:val="22"/>
          <w:szCs w:val="22"/>
        </w:rPr>
      </w:pPr>
      <w:r w:rsidRPr="007F7EBF">
        <w:rPr>
          <w:sz w:val="22"/>
          <w:szCs w:val="22"/>
        </w:rPr>
        <w:t xml:space="preserve">Si tratta senz’altro di </w:t>
      </w:r>
      <w:r w:rsidRPr="007F7EBF">
        <w:rPr>
          <w:bCs/>
          <w:sz w:val="22"/>
          <w:szCs w:val="22"/>
        </w:rPr>
        <w:t xml:space="preserve">imposte sui consumi, </w:t>
      </w:r>
      <w:r w:rsidRPr="007F7EBF">
        <w:rPr>
          <w:sz w:val="22"/>
          <w:szCs w:val="22"/>
        </w:rPr>
        <w:t xml:space="preserve">anche se applicate (per ovvi motivi di semplicità) in capo al produttore o all’importatore, il quale le </w:t>
      </w:r>
      <w:proofErr w:type="spellStart"/>
      <w:r w:rsidRPr="007F7EBF">
        <w:rPr>
          <w:sz w:val="22"/>
          <w:szCs w:val="22"/>
        </w:rPr>
        <w:t>riaddebita</w:t>
      </w:r>
      <w:proofErr w:type="spellEnd"/>
      <w:r w:rsidRPr="007F7EBF">
        <w:rPr>
          <w:sz w:val="22"/>
          <w:szCs w:val="22"/>
        </w:rPr>
        <w:t xml:space="preserve"> poi ai propri clienti, comprendendole nel prezz</w:t>
      </w:r>
      <w:r w:rsidR="00A663A3">
        <w:rPr>
          <w:sz w:val="22"/>
          <w:szCs w:val="22"/>
        </w:rPr>
        <w:t>o,</w:t>
      </w:r>
      <w:r w:rsidRPr="007F7EBF">
        <w:rPr>
          <w:sz w:val="22"/>
          <w:szCs w:val="22"/>
        </w:rPr>
        <w:t xml:space="preserve"> fino a</w:t>
      </w:r>
      <w:r w:rsidR="00A663A3">
        <w:rPr>
          <w:sz w:val="22"/>
          <w:szCs w:val="22"/>
        </w:rPr>
        <w:t>l</w:t>
      </w:r>
      <w:r w:rsidRPr="007F7EBF">
        <w:rPr>
          <w:sz w:val="22"/>
          <w:szCs w:val="22"/>
        </w:rPr>
        <w:t xml:space="preserve"> consumatore, contribuente "di fatto", </w:t>
      </w:r>
      <w:r w:rsidR="00A663A3">
        <w:rPr>
          <w:sz w:val="22"/>
          <w:szCs w:val="22"/>
        </w:rPr>
        <w:t>nel senso</w:t>
      </w:r>
      <w:r w:rsidRPr="007F7EBF">
        <w:rPr>
          <w:sz w:val="22"/>
          <w:szCs w:val="22"/>
        </w:rPr>
        <w:t xml:space="preserve"> di cui al par.3.5</w:t>
      </w:r>
      <w:r w:rsidR="00AA54C2">
        <w:rPr>
          <w:sz w:val="22"/>
          <w:szCs w:val="22"/>
        </w:rPr>
        <w:t>(</w:t>
      </w:r>
      <w:r w:rsidRPr="007F7EBF">
        <w:rPr>
          <w:rStyle w:val="Rimandonotaapidipagina"/>
          <w:sz w:val="22"/>
          <w:szCs w:val="22"/>
        </w:rPr>
        <w:footnoteReference w:id="1396"/>
      </w:r>
      <w:r w:rsidR="00AA54C2">
        <w:rPr>
          <w:sz w:val="22"/>
          <w:szCs w:val="22"/>
        </w:rPr>
        <w:t>)</w:t>
      </w:r>
      <w:r w:rsidRPr="007F7EBF">
        <w:rPr>
          <w:sz w:val="22"/>
          <w:szCs w:val="22"/>
        </w:rPr>
        <w:t xml:space="preserve">. </w:t>
      </w:r>
      <w:r w:rsidR="00ED0022">
        <w:rPr>
          <w:sz w:val="22"/>
          <w:szCs w:val="22"/>
        </w:rPr>
        <w:t xml:space="preserve">Queste </w:t>
      </w:r>
      <w:r w:rsidRPr="007F7EBF">
        <w:rPr>
          <w:sz w:val="22"/>
          <w:szCs w:val="22"/>
        </w:rPr>
        <w:t xml:space="preserve">imposte </w:t>
      </w:r>
      <w:r w:rsidR="00ED0022">
        <w:rPr>
          <w:sz w:val="22"/>
          <w:szCs w:val="22"/>
        </w:rPr>
        <w:t xml:space="preserve">su speciali consumi </w:t>
      </w:r>
      <w:r w:rsidRPr="007F7EBF">
        <w:rPr>
          <w:bCs/>
          <w:sz w:val="22"/>
          <w:szCs w:val="22"/>
        </w:rPr>
        <w:t>coesistono</w:t>
      </w:r>
      <w:r w:rsidR="00ED0022">
        <w:rPr>
          <w:bCs/>
          <w:sz w:val="22"/>
          <w:szCs w:val="22"/>
        </w:rPr>
        <w:t xml:space="preserve"> quindi</w:t>
      </w:r>
      <w:r w:rsidRPr="007F7EBF">
        <w:rPr>
          <w:bCs/>
          <w:sz w:val="22"/>
          <w:szCs w:val="22"/>
        </w:rPr>
        <w:t xml:space="preserve"> </w:t>
      </w:r>
      <w:r w:rsidRPr="007F7EBF">
        <w:rPr>
          <w:sz w:val="22"/>
          <w:szCs w:val="22"/>
        </w:rPr>
        <w:t>(</w:t>
      </w:r>
      <w:r w:rsidRPr="007F7EBF">
        <w:rPr>
          <w:rStyle w:val="Rimandonotaapidipagina"/>
          <w:sz w:val="22"/>
          <w:szCs w:val="22"/>
        </w:rPr>
        <w:footnoteReference w:id="1397"/>
      </w:r>
      <w:r w:rsidRPr="007F7EBF">
        <w:rPr>
          <w:sz w:val="22"/>
          <w:szCs w:val="22"/>
        </w:rPr>
        <w:t xml:space="preserve">) </w:t>
      </w:r>
      <w:r w:rsidRPr="007F7EBF">
        <w:rPr>
          <w:bCs/>
          <w:sz w:val="22"/>
          <w:szCs w:val="22"/>
        </w:rPr>
        <w:t xml:space="preserve">con l’imposizione generale sui consumi </w:t>
      </w:r>
      <w:r w:rsidRPr="007F7EBF">
        <w:rPr>
          <w:sz w:val="22"/>
          <w:szCs w:val="22"/>
        </w:rPr>
        <w:t>rappresentata dall’IVA , grazie a specifiche autorizzazioni comunitarie</w:t>
      </w:r>
      <w:r w:rsidR="00D75509">
        <w:rPr>
          <w:sz w:val="22"/>
          <w:szCs w:val="22"/>
        </w:rPr>
        <w:t>(</w:t>
      </w:r>
      <w:r w:rsidR="00503B2E" w:rsidRPr="007F7EBF">
        <w:rPr>
          <w:rStyle w:val="Rimandonotaapidipagina"/>
          <w:sz w:val="22"/>
          <w:szCs w:val="22"/>
        </w:rPr>
        <w:footnoteReference w:id="1398"/>
      </w:r>
      <w:r w:rsidR="006951B4">
        <w:rPr>
          <w:sz w:val="22"/>
          <w:szCs w:val="22"/>
        </w:rPr>
        <w:t>)</w:t>
      </w:r>
      <w:r w:rsidRPr="007F7EBF">
        <w:rPr>
          <w:sz w:val="22"/>
          <w:szCs w:val="22"/>
        </w:rPr>
        <w:t xml:space="preserve">. </w:t>
      </w:r>
    </w:p>
    <w:p w14:paraId="501F0D46" w14:textId="77777777" w:rsidR="00C76105" w:rsidRPr="007F7EBF" w:rsidRDefault="00C76105" w:rsidP="00C76105">
      <w:pPr>
        <w:pStyle w:val="tit23"/>
        <w:ind w:left="6464" w:right="-1361" w:firstLine="0"/>
        <w:jc w:val="left"/>
        <w:rPr>
          <w:bCs/>
          <w:i/>
          <w:iCs/>
          <w:color w:val="0000FF"/>
          <w:lang w:val="it-IT"/>
        </w:rPr>
      </w:pPr>
      <w:r w:rsidRPr="007F7EBF">
        <w:rPr>
          <w:bCs/>
          <w:i/>
          <w:iCs/>
          <w:color w:val="0000FF"/>
          <w:lang w:val="it-IT"/>
        </w:rPr>
        <w:t>Rilevanza concentrazione offerta</w:t>
      </w:r>
    </w:p>
    <w:p w14:paraId="524D0BB3" w14:textId="03F36CFC" w:rsidR="00C76105" w:rsidRPr="007F7EBF" w:rsidRDefault="00C76105" w:rsidP="00C76105">
      <w:pPr>
        <w:autoSpaceDE w:val="0"/>
        <w:autoSpaceDN w:val="0"/>
        <w:adjustRightInd w:val="0"/>
        <w:rPr>
          <w:sz w:val="22"/>
          <w:szCs w:val="22"/>
        </w:rPr>
      </w:pPr>
      <w:r w:rsidRPr="007F7EBF">
        <w:rPr>
          <w:sz w:val="22"/>
          <w:szCs w:val="22"/>
        </w:rPr>
        <w:lastRenderedPageBreak/>
        <w:t xml:space="preserve"> L</w:t>
      </w:r>
      <w:r w:rsidR="00A663A3">
        <w:rPr>
          <w:sz w:val="22"/>
          <w:szCs w:val="22"/>
        </w:rPr>
        <w:t>a visibilità materiale degli imponibili, cui questi tributi sono improntati (par.1.11), incorpora il tributo nel prezzo, e ne rende difficili restituzioni se la merce viene perduta, ad esempio per incidenti, prima di essere consumata;</w:t>
      </w:r>
      <w:r w:rsidRPr="007F7EBF">
        <w:rPr>
          <w:sz w:val="22"/>
          <w:szCs w:val="22"/>
        </w:rPr>
        <w:t xml:space="preserve"> questi tributi </w:t>
      </w:r>
      <w:r w:rsidR="006951B4">
        <w:rPr>
          <w:sz w:val="22"/>
          <w:szCs w:val="22"/>
        </w:rPr>
        <w:t xml:space="preserve">sono meno efficienti </w:t>
      </w:r>
      <w:r w:rsidRPr="007F7EBF">
        <w:rPr>
          <w:sz w:val="22"/>
          <w:szCs w:val="22"/>
        </w:rPr>
        <w:t xml:space="preserve">man mano che la </w:t>
      </w:r>
      <w:r w:rsidR="00A663A3">
        <w:rPr>
          <w:sz w:val="22"/>
          <w:szCs w:val="22"/>
        </w:rPr>
        <w:t xml:space="preserve">visibilità materiale dei beni diminuisce, è possibile </w:t>
      </w:r>
      <w:r w:rsidRPr="007F7EBF">
        <w:rPr>
          <w:sz w:val="22"/>
          <w:szCs w:val="22"/>
        </w:rPr>
        <w:t>produ</w:t>
      </w:r>
      <w:r w:rsidR="00A663A3">
        <w:rPr>
          <w:sz w:val="22"/>
          <w:szCs w:val="22"/>
        </w:rPr>
        <w:t xml:space="preserve">rli con facilità e </w:t>
      </w:r>
      <w:r w:rsidRPr="007F7EBF">
        <w:rPr>
          <w:sz w:val="22"/>
          <w:szCs w:val="22"/>
        </w:rPr>
        <w:t>la vigilanza del fisco</w:t>
      </w:r>
      <w:r w:rsidR="00A663A3">
        <w:rPr>
          <w:sz w:val="22"/>
          <w:szCs w:val="22"/>
        </w:rPr>
        <w:t xml:space="preserve"> deve </w:t>
      </w:r>
      <w:r w:rsidRPr="007F7EBF">
        <w:rPr>
          <w:sz w:val="22"/>
          <w:szCs w:val="22"/>
        </w:rPr>
        <w:t xml:space="preserve">disperdersi </w:t>
      </w:r>
      <w:r w:rsidR="00A663A3">
        <w:rPr>
          <w:sz w:val="22"/>
          <w:szCs w:val="22"/>
        </w:rPr>
        <w:t>tra</w:t>
      </w:r>
      <w:r w:rsidRPr="007F7EBF">
        <w:rPr>
          <w:sz w:val="22"/>
          <w:szCs w:val="22"/>
        </w:rPr>
        <w:t xml:space="preserve"> un elevato numero di piccole posizioni</w:t>
      </w:r>
      <w:r w:rsidR="00A663A3">
        <w:rPr>
          <w:sz w:val="22"/>
          <w:szCs w:val="22"/>
        </w:rPr>
        <w:t xml:space="preserve"> </w:t>
      </w:r>
      <w:r w:rsidR="006951B4">
        <w:rPr>
          <w:sz w:val="22"/>
          <w:szCs w:val="22"/>
        </w:rPr>
        <w:t>(</w:t>
      </w:r>
      <w:r w:rsidRPr="007F7EBF">
        <w:rPr>
          <w:rStyle w:val="Rimandonotaapidipagina"/>
          <w:sz w:val="22"/>
          <w:szCs w:val="22"/>
        </w:rPr>
        <w:footnoteReference w:id="1399"/>
      </w:r>
      <w:r w:rsidR="006951B4">
        <w:rPr>
          <w:sz w:val="22"/>
          <w:szCs w:val="22"/>
        </w:rPr>
        <w:t>)</w:t>
      </w:r>
      <w:r w:rsidRPr="007F7EBF">
        <w:rPr>
          <w:sz w:val="22"/>
          <w:szCs w:val="22"/>
        </w:rPr>
        <w:t xml:space="preserve">. </w:t>
      </w:r>
    </w:p>
    <w:p w14:paraId="70C6A0A0" w14:textId="77777777" w:rsidR="00C76105" w:rsidRPr="007F7EBF" w:rsidRDefault="00C76105" w:rsidP="00C76105">
      <w:pPr>
        <w:pStyle w:val="tit23"/>
        <w:ind w:left="6464" w:right="-1361" w:firstLine="0"/>
        <w:jc w:val="left"/>
        <w:rPr>
          <w:bCs/>
          <w:i/>
          <w:iCs/>
          <w:color w:val="0000FF"/>
          <w:lang w:val="it-IT"/>
        </w:rPr>
      </w:pPr>
      <w:r w:rsidRPr="007F7EBF">
        <w:rPr>
          <w:bCs/>
          <w:i/>
          <w:iCs/>
          <w:color w:val="0000FF"/>
          <w:lang w:val="it-IT"/>
        </w:rPr>
        <w:t>Imposte sulle utenze</w:t>
      </w:r>
    </w:p>
    <w:p w14:paraId="02145895" w14:textId="658A7522" w:rsidR="00C76105" w:rsidRPr="007F7EBF" w:rsidRDefault="00C76105" w:rsidP="00C76105">
      <w:pPr>
        <w:autoSpaceDE w:val="0"/>
        <w:autoSpaceDN w:val="0"/>
        <w:adjustRightInd w:val="0"/>
        <w:rPr>
          <w:sz w:val="22"/>
          <w:szCs w:val="22"/>
        </w:rPr>
      </w:pPr>
      <w:r w:rsidRPr="007F7EBF">
        <w:rPr>
          <w:sz w:val="22"/>
          <w:szCs w:val="22"/>
        </w:rPr>
        <w:t>Sono sostanzialmente imposte di consumo («accise») quelle sull’energia elettrica, il cui successo dipende anche qui dalla concentrazione dell’offerta presso pochi soggetti</w:t>
      </w:r>
      <w:r w:rsidR="00404A66">
        <w:rPr>
          <w:sz w:val="22"/>
          <w:szCs w:val="22"/>
        </w:rPr>
        <w:t xml:space="preserve"> </w:t>
      </w:r>
      <w:r w:rsidRPr="007F7EBF">
        <w:rPr>
          <w:sz w:val="22"/>
          <w:szCs w:val="22"/>
        </w:rPr>
        <w:t>facilmente controllabili (ENEL, Aziende ex municipalizzate, Italgas e simili), che riforniscono un gran numero di consumatori, attraverso apposite condutture, direttamente</w:t>
      </w:r>
    </w:p>
    <w:p w14:paraId="7A2EBF97" w14:textId="5AE90A73" w:rsidR="00C76105" w:rsidRPr="007F7EBF" w:rsidRDefault="00C76105" w:rsidP="00C76105">
      <w:pPr>
        <w:autoSpaceDE w:val="0"/>
        <w:autoSpaceDN w:val="0"/>
        <w:adjustRightInd w:val="0"/>
        <w:rPr>
          <w:sz w:val="22"/>
          <w:szCs w:val="22"/>
        </w:rPr>
      </w:pPr>
      <w:r w:rsidRPr="007F7EBF">
        <w:rPr>
          <w:sz w:val="22"/>
          <w:szCs w:val="22"/>
        </w:rPr>
        <w:t>nel domicilio degli utenti. Non c’è perciò un problema di contrabbando e di controllo delle movimentazioni</w:t>
      </w:r>
      <w:r w:rsidR="00404A66">
        <w:rPr>
          <w:sz w:val="22"/>
          <w:szCs w:val="22"/>
        </w:rPr>
        <w:t xml:space="preserve"> </w:t>
      </w:r>
      <w:r w:rsidRPr="007F7EBF">
        <w:rPr>
          <w:sz w:val="22"/>
          <w:szCs w:val="22"/>
        </w:rPr>
        <w:t>fisiche dei prodotti; è invece sufficiente imporre al fornitore di applicare, nelle proprie fatture di addebito (</w:t>
      </w:r>
      <w:r w:rsidR="00A05BF5" w:rsidRPr="007F7EBF">
        <w:rPr>
          <w:rStyle w:val="Rimandonotaapidipagina"/>
          <w:sz w:val="22"/>
          <w:szCs w:val="22"/>
        </w:rPr>
        <w:footnoteReference w:id="1400"/>
      </w:r>
      <w:r w:rsidRPr="007F7EBF">
        <w:rPr>
          <w:sz w:val="22"/>
          <w:szCs w:val="22"/>
        </w:rPr>
        <w:t>), anche il tributo; la gestione di tali imposte è perciò</w:t>
      </w:r>
    </w:p>
    <w:p w14:paraId="6E78FC90" w14:textId="2403FA4A" w:rsidR="00C76105" w:rsidRPr="007F7EBF" w:rsidRDefault="00C76105" w:rsidP="00C76105">
      <w:pPr>
        <w:autoSpaceDE w:val="0"/>
        <w:autoSpaceDN w:val="0"/>
        <w:adjustRightInd w:val="0"/>
        <w:rPr>
          <w:sz w:val="22"/>
          <w:szCs w:val="22"/>
        </w:rPr>
      </w:pPr>
      <w:r w:rsidRPr="007F7EBF">
        <w:rPr>
          <w:sz w:val="22"/>
          <w:szCs w:val="22"/>
        </w:rPr>
        <w:t>molto semplice: pochi “grandi fornitori” pagheranno ed effettueranno</w:t>
      </w:r>
      <w:r w:rsidR="00404A66">
        <w:rPr>
          <w:sz w:val="22"/>
          <w:szCs w:val="22"/>
        </w:rPr>
        <w:t xml:space="preserve"> sui clienti</w:t>
      </w:r>
      <w:r w:rsidRPr="007F7EBF">
        <w:rPr>
          <w:sz w:val="22"/>
          <w:szCs w:val="22"/>
        </w:rPr>
        <w:t xml:space="preserve"> la rivalsa </w:t>
      </w:r>
      <w:r w:rsidR="00404A66">
        <w:rPr>
          <w:sz w:val="22"/>
          <w:szCs w:val="22"/>
        </w:rPr>
        <w:t>di cui al par.3.5</w:t>
      </w:r>
      <w:r w:rsidRPr="007F7EBF">
        <w:rPr>
          <w:sz w:val="22"/>
          <w:szCs w:val="22"/>
        </w:rPr>
        <w:t xml:space="preserve">. </w:t>
      </w:r>
    </w:p>
    <w:p w14:paraId="327E1221" w14:textId="79F144F6" w:rsidR="00C76105" w:rsidRPr="007F7EBF" w:rsidRDefault="00C76105" w:rsidP="00C76105">
      <w:pPr>
        <w:pStyle w:val="tit23"/>
        <w:ind w:left="6464" w:right="-1361" w:firstLine="0"/>
        <w:jc w:val="left"/>
        <w:rPr>
          <w:bCs/>
          <w:i/>
          <w:iCs/>
          <w:color w:val="0000FF"/>
          <w:lang w:val="it-IT"/>
        </w:rPr>
      </w:pPr>
      <w:r w:rsidRPr="007F7EBF">
        <w:rPr>
          <w:bCs/>
          <w:i/>
          <w:iCs/>
          <w:color w:val="0000FF"/>
          <w:lang w:val="it-IT"/>
        </w:rPr>
        <w:t>assicurazioni</w:t>
      </w:r>
      <w:r w:rsidR="00197819">
        <w:rPr>
          <w:bCs/>
          <w:i/>
          <w:iCs/>
          <w:color w:val="0000FF"/>
          <w:lang w:val="it-IT"/>
        </w:rPr>
        <w:t xml:space="preserve"> e monopoli (rinvio)</w:t>
      </w:r>
    </w:p>
    <w:p w14:paraId="13A7A88B" w14:textId="0AD56FE4" w:rsidR="00C76105" w:rsidRPr="007F7EBF" w:rsidRDefault="00C76105" w:rsidP="00197819">
      <w:pPr>
        <w:autoSpaceDE w:val="0"/>
        <w:autoSpaceDN w:val="0"/>
        <w:adjustRightInd w:val="0"/>
        <w:rPr>
          <w:bCs/>
          <w:i/>
          <w:iCs/>
          <w:color w:val="0000FF"/>
        </w:rPr>
      </w:pPr>
      <w:r w:rsidRPr="007F7EBF">
        <w:rPr>
          <w:sz w:val="22"/>
          <w:szCs w:val="22"/>
        </w:rPr>
        <w:t>Sul piano economico-funzionale,</w:t>
      </w:r>
      <w:r w:rsidR="00404A66">
        <w:rPr>
          <w:sz w:val="22"/>
          <w:szCs w:val="22"/>
        </w:rPr>
        <w:t xml:space="preserve"> è un’</w:t>
      </w:r>
      <w:r w:rsidRPr="007F7EBF">
        <w:rPr>
          <w:bCs/>
          <w:sz w:val="22"/>
          <w:szCs w:val="22"/>
        </w:rPr>
        <w:t>impost</w:t>
      </w:r>
      <w:r w:rsidR="00404A66">
        <w:rPr>
          <w:bCs/>
          <w:sz w:val="22"/>
          <w:szCs w:val="22"/>
        </w:rPr>
        <w:t>a</w:t>
      </w:r>
      <w:r w:rsidRPr="007F7EBF">
        <w:rPr>
          <w:bCs/>
          <w:sz w:val="22"/>
          <w:szCs w:val="22"/>
        </w:rPr>
        <w:t xml:space="preserve"> </w:t>
      </w:r>
      <w:r w:rsidRPr="007F7EBF">
        <w:rPr>
          <w:sz w:val="22"/>
          <w:szCs w:val="22"/>
        </w:rPr>
        <w:t xml:space="preserve">sul «consumo di servizi» anche quella </w:t>
      </w:r>
      <w:r w:rsidRPr="007F7EBF">
        <w:rPr>
          <w:bCs/>
          <w:sz w:val="22"/>
          <w:szCs w:val="22"/>
        </w:rPr>
        <w:t xml:space="preserve">sulle assicurazioni, </w:t>
      </w:r>
      <w:r w:rsidRPr="007F7EBF">
        <w:rPr>
          <w:sz w:val="22"/>
          <w:szCs w:val="22"/>
        </w:rPr>
        <w:t>dove la società di assicurazione addebita il tributo ai propri</w:t>
      </w:r>
      <w:r w:rsidR="00404A66">
        <w:rPr>
          <w:sz w:val="22"/>
          <w:szCs w:val="22"/>
        </w:rPr>
        <w:t xml:space="preserve"> </w:t>
      </w:r>
      <w:r w:rsidRPr="007F7EBF">
        <w:rPr>
          <w:sz w:val="22"/>
          <w:szCs w:val="22"/>
        </w:rPr>
        <w:t>assicurati, proporzionalmente al premio pattuito (si ritorna perciò ad una imposta commisurata al corrispettivo) e lo versa al fisco</w:t>
      </w:r>
      <w:r w:rsidR="00197819">
        <w:rPr>
          <w:sz w:val="22"/>
          <w:szCs w:val="22"/>
        </w:rPr>
        <w:t xml:space="preserve"> (</w:t>
      </w:r>
      <w:r w:rsidR="00197819">
        <w:rPr>
          <w:rStyle w:val="Rimandonotaapidipagina"/>
          <w:sz w:val="22"/>
          <w:szCs w:val="22"/>
        </w:rPr>
        <w:footnoteReference w:id="1401"/>
      </w:r>
      <w:r w:rsidR="00197819">
        <w:rPr>
          <w:sz w:val="22"/>
          <w:szCs w:val="22"/>
        </w:rPr>
        <w:t xml:space="preserve">). </w:t>
      </w:r>
    </w:p>
    <w:p w14:paraId="21F99A64" w14:textId="1F6C66CA" w:rsidR="00137741" w:rsidRPr="007F7EBF" w:rsidRDefault="00C76105" w:rsidP="00503B2E">
      <w:pPr>
        <w:autoSpaceDE w:val="0"/>
        <w:autoSpaceDN w:val="0"/>
        <w:adjustRightInd w:val="0"/>
        <w:rPr>
          <w:sz w:val="22"/>
          <w:szCs w:val="22"/>
        </w:rPr>
      </w:pPr>
      <w:r w:rsidRPr="007F7EBF">
        <w:rPr>
          <w:sz w:val="22"/>
          <w:szCs w:val="22"/>
        </w:rPr>
        <w:t xml:space="preserve"> Alla categoria dei tributi sul consumo possono essere ricondotte – sotto il profilo della funzione e</w:t>
      </w:r>
      <w:r w:rsidR="006951B4">
        <w:rPr>
          <w:sz w:val="22"/>
          <w:szCs w:val="22"/>
        </w:rPr>
        <w:t>conomica</w:t>
      </w:r>
      <w:r w:rsidRPr="007F7EBF">
        <w:rPr>
          <w:sz w:val="22"/>
          <w:szCs w:val="22"/>
        </w:rPr>
        <w:t xml:space="preserve">– anche le entrate </w:t>
      </w:r>
      <w:r w:rsidR="00197819">
        <w:rPr>
          <w:sz w:val="22"/>
          <w:szCs w:val="22"/>
        </w:rPr>
        <w:t xml:space="preserve">di cui al par.5.1, </w:t>
      </w:r>
      <w:r w:rsidRPr="007F7EBF">
        <w:rPr>
          <w:sz w:val="22"/>
          <w:szCs w:val="22"/>
        </w:rPr>
        <w:t xml:space="preserve"> derivanti dal </w:t>
      </w:r>
      <w:r w:rsidRPr="007F7EBF">
        <w:rPr>
          <w:bCs/>
          <w:sz w:val="22"/>
          <w:szCs w:val="22"/>
        </w:rPr>
        <w:t>monopolio</w:t>
      </w:r>
      <w:r w:rsidRPr="007F7EBF">
        <w:rPr>
          <w:sz w:val="22"/>
          <w:szCs w:val="22"/>
        </w:rPr>
        <w:t xml:space="preserve">, come </w:t>
      </w:r>
      <w:r w:rsidR="00197819">
        <w:rPr>
          <w:sz w:val="22"/>
          <w:szCs w:val="22"/>
        </w:rPr>
        <w:t xml:space="preserve">quello </w:t>
      </w:r>
      <w:r w:rsidRPr="007F7EBF">
        <w:rPr>
          <w:sz w:val="22"/>
          <w:szCs w:val="22"/>
        </w:rPr>
        <w:t xml:space="preserve">dei </w:t>
      </w:r>
      <w:r w:rsidRPr="007F7EBF">
        <w:rPr>
          <w:bCs/>
          <w:sz w:val="22"/>
          <w:szCs w:val="22"/>
        </w:rPr>
        <w:t xml:space="preserve">tabacchi </w:t>
      </w:r>
      <w:r w:rsidRPr="007F7EBF">
        <w:rPr>
          <w:sz w:val="22"/>
          <w:szCs w:val="22"/>
        </w:rPr>
        <w:t>e</w:t>
      </w:r>
      <w:r w:rsidR="00197819">
        <w:rPr>
          <w:sz w:val="22"/>
          <w:szCs w:val="22"/>
        </w:rPr>
        <w:t xml:space="preserve"> </w:t>
      </w:r>
      <w:r w:rsidRPr="007F7EBF">
        <w:rPr>
          <w:sz w:val="22"/>
          <w:szCs w:val="22"/>
        </w:rPr>
        <w:t>d</w:t>
      </w:r>
      <w:r w:rsidR="00197819">
        <w:rPr>
          <w:sz w:val="22"/>
          <w:szCs w:val="22"/>
        </w:rPr>
        <w:t>e</w:t>
      </w:r>
      <w:r w:rsidR="006951B4">
        <w:rPr>
          <w:sz w:val="22"/>
          <w:szCs w:val="22"/>
        </w:rPr>
        <w:t>l gioco d’azzardo</w:t>
      </w:r>
      <w:r w:rsidR="00315463">
        <w:rPr>
          <w:sz w:val="22"/>
          <w:szCs w:val="22"/>
        </w:rPr>
        <w:t>.</w:t>
      </w:r>
    </w:p>
    <w:p w14:paraId="7FA4A326" w14:textId="77777777" w:rsidR="000376A5" w:rsidRPr="007F7EBF" w:rsidRDefault="00225654" w:rsidP="00AE5319">
      <w:pPr>
        <w:pStyle w:val="Titolo3"/>
        <w:rPr>
          <w:rFonts w:ascii="Times New Roman" w:hAnsi="Times New Roman"/>
          <w:b w:val="0"/>
          <w:sz w:val="22"/>
          <w:szCs w:val="22"/>
        </w:rPr>
      </w:pPr>
      <w:bookmarkStart w:id="144" w:name="_Toc63365051"/>
      <w:r w:rsidRPr="007F7EBF">
        <w:rPr>
          <w:rFonts w:ascii="Times New Roman" w:hAnsi="Times New Roman"/>
          <w:sz w:val="22"/>
          <w:szCs w:val="22"/>
        </w:rPr>
        <w:lastRenderedPageBreak/>
        <w:t xml:space="preserve">10.7. </w:t>
      </w:r>
      <w:r w:rsidRPr="007F7EBF">
        <w:rPr>
          <w:rFonts w:ascii="Times New Roman" w:hAnsi="Times New Roman"/>
          <w:sz w:val="22"/>
          <w:szCs w:val="22"/>
          <w:lang w:val="it-IT"/>
        </w:rPr>
        <w:t xml:space="preserve">Antiche origini dei tributi doganali e loro </w:t>
      </w:r>
      <w:r w:rsidR="006342C5" w:rsidRPr="007F7EBF">
        <w:rPr>
          <w:rFonts w:ascii="Times New Roman" w:hAnsi="Times New Roman"/>
          <w:sz w:val="22"/>
          <w:szCs w:val="22"/>
        </w:rPr>
        <w:t xml:space="preserve">metamorfosi </w:t>
      </w:r>
      <w:r w:rsidR="002C03CB" w:rsidRPr="007F7EBF">
        <w:rPr>
          <w:rFonts w:ascii="Times New Roman" w:hAnsi="Times New Roman"/>
          <w:sz w:val="22"/>
          <w:szCs w:val="22"/>
        </w:rPr>
        <w:t>contabile-</w:t>
      </w:r>
      <w:r w:rsidR="006342C5" w:rsidRPr="007F7EBF">
        <w:rPr>
          <w:rFonts w:ascii="Times New Roman" w:hAnsi="Times New Roman"/>
          <w:sz w:val="22"/>
          <w:szCs w:val="22"/>
        </w:rPr>
        <w:t>comunitaria</w:t>
      </w:r>
      <w:bookmarkEnd w:id="144"/>
    </w:p>
    <w:p w14:paraId="6A13EB2D" w14:textId="77777777" w:rsidR="000376A5" w:rsidRPr="007F7EBF" w:rsidRDefault="00AE5319" w:rsidP="000376A5">
      <w:pPr>
        <w:pStyle w:val="tit23"/>
        <w:ind w:left="6464" w:right="-1361" w:firstLine="0"/>
        <w:jc w:val="left"/>
        <w:rPr>
          <w:bCs/>
          <w:i/>
          <w:iCs/>
          <w:color w:val="0000FF"/>
          <w:lang w:val="it-IT"/>
        </w:rPr>
      </w:pPr>
      <w:r w:rsidRPr="007F7EBF">
        <w:rPr>
          <w:bCs/>
          <w:i/>
          <w:iCs/>
          <w:color w:val="0000FF"/>
          <w:lang w:val="it-IT"/>
        </w:rPr>
        <w:t xml:space="preserve">Antiche origini </w:t>
      </w:r>
      <w:r w:rsidR="000376A5" w:rsidRPr="007F7EBF">
        <w:rPr>
          <w:bCs/>
          <w:i/>
          <w:iCs/>
          <w:color w:val="0000FF"/>
          <w:lang w:val="it-IT"/>
        </w:rPr>
        <w:t xml:space="preserve"> del tributo</w:t>
      </w:r>
    </w:p>
    <w:p w14:paraId="19321FA7" w14:textId="3A41BEBC" w:rsidR="000376A5" w:rsidRPr="007F7EBF" w:rsidRDefault="006342C5" w:rsidP="000376A5">
      <w:pPr>
        <w:autoSpaceDE w:val="0"/>
        <w:autoSpaceDN w:val="0"/>
        <w:adjustRightInd w:val="0"/>
        <w:rPr>
          <w:sz w:val="22"/>
          <w:szCs w:val="22"/>
        </w:rPr>
      </w:pPr>
      <w:r w:rsidRPr="007F7EBF">
        <w:rPr>
          <w:sz w:val="22"/>
          <w:szCs w:val="22"/>
        </w:rPr>
        <w:t xml:space="preserve">I tributi doganali hanno antichissime origini, </w:t>
      </w:r>
      <w:r w:rsidR="004F2AD7" w:rsidRPr="007F7EBF">
        <w:rPr>
          <w:sz w:val="22"/>
          <w:szCs w:val="22"/>
        </w:rPr>
        <w:t xml:space="preserve">essendo un aspetto </w:t>
      </w:r>
      <w:r w:rsidRPr="007F7EBF">
        <w:rPr>
          <w:sz w:val="22"/>
          <w:szCs w:val="22"/>
        </w:rPr>
        <w:t>della sovranità statale sul territorio</w:t>
      </w:r>
      <w:r w:rsidR="00404A66">
        <w:rPr>
          <w:sz w:val="22"/>
          <w:szCs w:val="22"/>
        </w:rPr>
        <w:t>, con un</w:t>
      </w:r>
      <w:r w:rsidR="00404A66" w:rsidRPr="007F7EBF">
        <w:rPr>
          <w:sz w:val="22"/>
          <w:szCs w:val="22"/>
        </w:rPr>
        <w:t xml:space="preserve">a vigilanza dei confini </w:t>
      </w:r>
      <w:r w:rsidR="00404A66">
        <w:rPr>
          <w:sz w:val="22"/>
          <w:szCs w:val="22"/>
        </w:rPr>
        <w:t xml:space="preserve">diretta a scopi di </w:t>
      </w:r>
      <w:r w:rsidR="00404A66" w:rsidRPr="007F7EBF">
        <w:rPr>
          <w:sz w:val="22"/>
          <w:szCs w:val="22"/>
        </w:rPr>
        <w:t>politica generale, di ordine pubblico, di sicurezza, di sanità, di tutela del patrimonio</w:t>
      </w:r>
      <w:r w:rsidR="00E144DE">
        <w:rPr>
          <w:sz w:val="22"/>
          <w:szCs w:val="22"/>
        </w:rPr>
        <w:t>(</w:t>
      </w:r>
      <w:r w:rsidR="00404A66" w:rsidRPr="007F7EBF">
        <w:rPr>
          <w:rStyle w:val="Rimandonotaapidipagina"/>
          <w:sz w:val="22"/>
          <w:szCs w:val="22"/>
        </w:rPr>
        <w:footnoteReference w:id="1402"/>
      </w:r>
      <w:r w:rsidR="00E144DE">
        <w:rPr>
          <w:sz w:val="22"/>
          <w:szCs w:val="22"/>
        </w:rPr>
        <w:t>)</w:t>
      </w:r>
      <w:r w:rsidR="00404A66" w:rsidRPr="007F7EBF">
        <w:rPr>
          <w:sz w:val="22"/>
          <w:szCs w:val="22"/>
        </w:rPr>
        <w:t>, di protezione delle produzioni nazionali dalla concorrenza straniera</w:t>
      </w:r>
      <w:r w:rsidR="00404A66">
        <w:rPr>
          <w:sz w:val="22"/>
          <w:szCs w:val="22"/>
        </w:rPr>
        <w:t>; a questa</w:t>
      </w:r>
      <w:r w:rsidR="00BA3DB8" w:rsidRPr="007F7EBF">
        <w:rPr>
          <w:sz w:val="22"/>
          <w:szCs w:val="22"/>
        </w:rPr>
        <w:t xml:space="preserve"> vigilanza </w:t>
      </w:r>
      <w:r w:rsidR="00404A66">
        <w:rPr>
          <w:sz w:val="22"/>
          <w:szCs w:val="22"/>
        </w:rPr>
        <w:t>sui</w:t>
      </w:r>
      <w:r w:rsidR="00BA3DB8" w:rsidRPr="007F7EBF">
        <w:rPr>
          <w:sz w:val="22"/>
          <w:szCs w:val="22"/>
        </w:rPr>
        <w:t xml:space="preserve"> confini </w:t>
      </w:r>
      <w:r w:rsidR="00404A66">
        <w:rPr>
          <w:sz w:val="22"/>
          <w:szCs w:val="22"/>
        </w:rPr>
        <w:t xml:space="preserve">si </w:t>
      </w:r>
      <w:r w:rsidR="00BA3DB8" w:rsidRPr="007F7EBF">
        <w:rPr>
          <w:sz w:val="22"/>
          <w:szCs w:val="22"/>
        </w:rPr>
        <w:t xml:space="preserve">è </w:t>
      </w:r>
      <w:r w:rsidR="00404A66">
        <w:rPr>
          <w:sz w:val="22"/>
          <w:szCs w:val="22"/>
        </w:rPr>
        <w:t>accompagnata</w:t>
      </w:r>
      <w:r w:rsidR="00BA3DB8" w:rsidRPr="007F7EBF">
        <w:rPr>
          <w:sz w:val="22"/>
          <w:szCs w:val="22"/>
        </w:rPr>
        <w:t>, per millenni,  anche l'applica</w:t>
      </w:r>
      <w:r w:rsidR="00404A66">
        <w:rPr>
          <w:sz w:val="22"/>
          <w:szCs w:val="22"/>
        </w:rPr>
        <w:t>zion</w:t>
      </w:r>
      <w:r w:rsidR="00BA3DB8" w:rsidRPr="007F7EBF">
        <w:rPr>
          <w:sz w:val="22"/>
          <w:szCs w:val="22"/>
        </w:rPr>
        <w:t>e</w:t>
      </w:r>
      <w:r w:rsidR="00404A66">
        <w:rPr>
          <w:sz w:val="22"/>
          <w:szCs w:val="22"/>
        </w:rPr>
        <w:t xml:space="preserve"> di</w:t>
      </w:r>
      <w:r w:rsidR="00BA3DB8" w:rsidRPr="007F7EBF">
        <w:rPr>
          <w:sz w:val="22"/>
          <w:szCs w:val="22"/>
        </w:rPr>
        <w:t xml:space="preserve"> tributi sulle merci, nella loro visibilità fisica</w:t>
      </w:r>
      <w:r w:rsidR="00404A66">
        <w:rPr>
          <w:sz w:val="22"/>
          <w:szCs w:val="22"/>
        </w:rPr>
        <w:t xml:space="preserve"> di cui ai parr.1.4 e 7.2</w:t>
      </w:r>
      <w:r w:rsidR="00BA3DB8" w:rsidRPr="007F7EBF">
        <w:rPr>
          <w:sz w:val="22"/>
          <w:szCs w:val="22"/>
        </w:rPr>
        <w:t xml:space="preserve">.  </w:t>
      </w:r>
      <w:r w:rsidR="00E144DE">
        <w:rPr>
          <w:sz w:val="22"/>
          <w:szCs w:val="22"/>
        </w:rPr>
        <w:t>Le stime valutative</w:t>
      </w:r>
      <w:r w:rsidR="00706BDC">
        <w:rPr>
          <w:sz w:val="22"/>
          <w:szCs w:val="22"/>
        </w:rPr>
        <w:t>, tipic</w:t>
      </w:r>
      <w:r w:rsidR="00E144DE">
        <w:rPr>
          <w:sz w:val="22"/>
          <w:szCs w:val="22"/>
        </w:rPr>
        <w:t>he</w:t>
      </w:r>
      <w:r w:rsidR="00706BDC">
        <w:rPr>
          <w:sz w:val="22"/>
          <w:szCs w:val="22"/>
        </w:rPr>
        <w:t xml:space="preserve"> della fiscalità preindustriale, non riguardava</w:t>
      </w:r>
      <w:r w:rsidR="00E144DE">
        <w:rPr>
          <w:sz w:val="22"/>
          <w:szCs w:val="22"/>
        </w:rPr>
        <w:t>no</w:t>
      </w:r>
      <w:r w:rsidR="00706BDC">
        <w:rPr>
          <w:sz w:val="22"/>
          <w:szCs w:val="22"/>
        </w:rPr>
        <w:t xml:space="preserve"> l’individuazione fisica dei beni importati, ma casomai la loro classificazione e il loro valore (</w:t>
      </w:r>
      <w:r w:rsidR="00706BDC">
        <w:rPr>
          <w:rStyle w:val="Rimandonotaapidipagina"/>
          <w:sz w:val="22"/>
          <w:szCs w:val="22"/>
        </w:rPr>
        <w:footnoteReference w:id="1403"/>
      </w:r>
      <w:r w:rsidR="00706BDC">
        <w:rPr>
          <w:sz w:val="22"/>
          <w:szCs w:val="22"/>
        </w:rPr>
        <w:t>).</w:t>
      </w:r>
    </w:p>
    <w:p w14:paraId="32F4F846" w14:textId="77777777" w:rsidR="000376A5" w:rsidRPr="007F7EBF" w:rsidRDefault="000376A5" w:rsidP="000376A5">
      <w:pPr>
        <w:pStyle w:val="tit23"/>
        <w:ind w:left="6464" w:right="-1361" w:firstLine="0"/>
        <w:jc w:val="left"/>
        <w:rPr>
          <w:bCs/>
          <w:i/>
          <w:iCs/>
          <w:color w:val="0000FF"/>
          <w:lang w:val="it-IT"/>
        </w:rPr>
      </w:pPr>
      <w:r w:rsidRPr="007F7EBF">
        <w:rPr>
          <w:bCs/>
          <w:i/>
          <w:iCs/>
          <w:color w:val="0000FF"/>
          <w:lang w:val="it-IT"/>
        </w:rPr>
        <w:t>Globalizzazione e dogane</w:t>
      </w:r>
    </w:p>
    <w:p w14:paraId="7AE56E84" w14:textId="628AD644" w:rsidR="000376A5" w:rsidRPr="007F7EBF" w:rsidRDefault="00E144DE" w:rsidP="000376A5">
      <w:pPr>
        <w:autoSpaceDE w:val="0"/>
        <w:autoSpaceDN w:val="0"/>
        <w:adjustRightInd w:val="0"/>
        <w:rPr>
          <w:sz w:val="22"/>
          <w:szCs w:val="22"/>
        </w:rPr>
      </w:pPr>
      <w:r>
        <w:rPr>
          <w:sz w:val="22"/>
          <w:szCs w:val="22"/>
        </w:rPr>
        <w:t>La</w:t>
      </w:r>
      <w:r w:rsidR="00F1777C" w:rsidRPr="007F7EBF">
        <w:rPr>
          <w:sz w:val="22"/>
          <w:szCs w:val="22"/>
        </w:rPr>
        <w:t xml:space="preserve"> funzione</w:t>
      </w:r>
      <w:r>
        <w:rPr>
          <w:sz w:val="22"/>
          <w:szCs w:val="22"/>
        </w:rPr>
        <w:t xml:space="preserve"> “protezionistica”</w:t>
      </w:r>
      <w:r w:rsidR="00F1777C" w:rsidRPr="007F7EBF">
        <w:rPr>
          <w:sz w:val="22"/>
          <w:szCs w:val="22"/>
        </w:rPr>
        <w:t xml:space="preserve"> delle dogane sembra oggi, al tempo della "libera circolazione" e della globalizzazione, un po’fuori luogo, ma ha ispirato per secoli le politiche doganali e, indirettamente, economiche, dei vari stati</w:t>
      </w:r>
      <w:r>
        <w:rPr>
          <w:sz w:val="22"/>
          <w:szCs w:val="22"/>
        </w:rPr>
        <w:t xml:space="preserve"> (</w:t>
      </w:r>
      <w:r w:rsidR="00F1777C" w:rsidRPr="007F7EBF">
        <w:rPr>
          <w:rStyle w:val="Rimandonotaapidipagina"/>
          <w:sz w:val="22"/>
          <w:szCs w:val="22"/>
        </w:rPr>
        <w:footnoteReference w:id="1404"/>
      </w:r>
      <w:r>
        <w:rPr>
          <w:sz w:val="22"/>
          <w:szCs w:val="22"/>
        </w:rPr>
        <w:t>)</w:t>
      </w:r>
      <w:r w:rsidR="00F1777C" w:rsidRPr="007F7EBF">
        <w:rPr>
          <w:sz w:val="22"/>
          <w:szCs w:val="22"/>
        </w:rPr>
        <w:t xml:space="preserve">. </w:t>
      </w:r>
      <w:r w:rsidR="00404A66">
        <w:rPr>
          <w:sz w:val="22"/>
          <w:szCs w:val="22"/>
        </w:rPr>
        <w:t xml:space="preserve">Oggi </w:t>
      </w:r>
      <w:r w:rsidR="00404A66" w:rsidRPr="007F7EBF">
        <w:rPr>
          <w:sz w:val="22"/>
          <w:szCs w:val="22"/>
        </w:rPr>
        <w:t>la globalizzazione ha portato a una attenuazione del prelievo in dogana</w:t>
      </w:r>
      <w:r w:rsidR="00404A66">
        <w:rPr>
          <w:sz w:val="22"/>
          <w:szCs w:val="22"/>
        </w:rPr>
        <w:t xml:space="preserve">, abolita tra l’altro </w:t>
      </w:r>
      <w:r w:rsidR="00404A66" w:rsidRPr="007F7EBF">
        <w:rPr>
          <w:bCs/>
          <w:sz w:val="22"/>
          <w:szCs w:val="22"/>
        </w:rPr>
        <w:t xml:space="preserve">tra i paesi comunitari, come indicato al </w:t>
      </w:r>
      <w:r w:rsidR="00404A66" w:rsidRPr="007F7EBF">
        <w:rPr>
          <w:sz w:val="22"/>
          <w:szCs w:val="22"/>
        </w:rPr>
        <w:t>par. 2.6</w:t>
      </w:r>
      <w:r>
        <w:rPr>
          <w:sz w:val="22"/>
          <w:szCs w:val="22"/>
        </w:rPr>
        <w:t xml:space="preserve"> (</w:t>
      </w:r>
      <w:r w:rsidR="00404A66" w:rsidRPr="007F7EBF">
        <w:rPr>
          <w:rStyle w:val="Rimandonotaapidipagina"/>
          <w:sz w:val="22"/>
          <w:szCs w:val="22"/>
        </w:rPr>
        <w:footnoteReference w:id="1405"/>
      </w:r>
      <w:r>
        <w:rPr>
          <w:sz w:val="22"/>
          <w:szCs w:val="22"/>
        </w:rPr>
        <w:t>)</w:t>
      </w:r>
      <w:r w:rsidR="00404A66" w:rsidRPr="007F7EBF">
        <w:rPr>
          <w:sz w:val="22"/>
          <w:szCs w:val="22"/>
        </w:rPr>
        <w:t xml:space="preserve"> e al par.7.4 a proposito dell’IVA</w:t>
      </w:r>
      <w:r w:rsidR="00F3333D">
        <w:rPr>
          <w:sz w:val="22"/>
          <w:szCs w:val="22"/>
        </w:rPr>
        <w:t xml:space="preserve"> (</w:t>
      </w:r>
      <w:r w:rsidR="00F3333D">
        <w:rPr>
          <w:rStyle w:val="Rimandonotaapidipagina"/>
          <w:sz w:val="22"/>
          <w:szCs w:val="22"/>
        </w:rPr>
        <w:footnoteReference w:id="1406"/>
      </w:r>
      <w:r w:rsidR="00F3333D">
        <w:rPr>
          <w:sz w:val="22"/>
          <w:szCs w:val="22"/>
        </w:rPr>
        <w:t>)</w:t>
      </w:r>
      <w:r w:rsidR="00404A66">
        <w:rPr>
          <w:sz w:val="22"/>
          <w:szCs w:val="22"/>
        </w:rPr>
        <w:t xml:space="preserve">. A </w:t>
      </w:r>
      <w:r w:rsidR="00404A66" w:rsidRPr="007F7EBF">
        <w:rPr>
          <w:sz w:val="22"/>
          <w:szCs w:val="22"/>
        </w:rPr>
        <w:t>seguito di trattati internazionali di varia natura</w:t>
      </w:r>
      <w:r w:rsidR="00840050">
        <w:rPr>
          <w:sz w:val="22"/>
          <w:szCs w:val="22"/>
        </w:rPr>
        <w:t xml:space="preserve"> (</w:t>
      </w:r>
      <w:r w:rsidR="00404A66" w:rsidRPr="007F7EBF">
        <w:rPr>
          <w:rStyle w:val="Rimandonotaapidipagina"/>
          <w:sz w:val="22"/>
          <w:szCs w:val="22"/>
        </w:rPr>
        <w:footnoteReference w:id="1407"/>
      </w:r>
      <w:r w:rsidR="00840050">
        <w:rPr>
          <w:sz w:val="22"/>
          <w:szCs w:val="22"/>
        </w:rPr>
        <w:t>)</w:t>
      </w:r>
      <w:r w:rsidR="00404A66" w:rsidRPr="007F7EBF">
        <w:rPr>
          <w:sz w:val="22"/>
          <w:szCs w:val="22"/>
        </w:rPr>
        <w:t xml:space="preserve">, le imposte doganali </w:t>
      </w:r>
      <w:r w:rsidR="00404A66" w:rsidRPr="007F7EBF">
        <w:rPr>
          <w:sz w:val="22"/>
          <w:szCs w:val="22"/>
        </w:rPr>
        <w:lastRenderedPageBreak/>
        <w:t>hanno avuto una notevole attenuazione</w:t>
      </w:r>
      <w:r w:rsidR="00404A66">
        <w:rPr>
          <w:sz w:val="22"/>
          <w:szCs w:val="22"/>
        </w:rPr>
        <w:t xml:space="preserve"> anche nelle </w:t>
      </w:r>
      <w:r w:rsidR="00404A66" w:rsidRPr="007F7EBF">
        <w:rPr>
          <w:sz w:val="22"/>
          <w:szCs w:val="22"/>
        </w:rPr>
        <w:t>dogane esterne, cioè coi paesi non appartenenti all'U.E.</w:t>
      </w:r>
      <w:r>
        <w:rPr>
          <w:sz w:val="22"/>
          <w:szCs w:val="22"/>
        </w:rPr>
        <w:t xml:space="preserve"> </w:t>
      </w:r>
      <w:r w:rsidR="00404A66">
        <w:rPr>
          <w:sz w:val="22"/>
          <w:szCs w:val="22"/>
        </w:rPr>
        <w:t>Tuttavia i</w:t>
      </w:r>
      <w:r w:rsidR="00F1777C" w:rsidRPr="007F7EBF">
        <w:rPr>
          <w:sz w:val="22"/>
          <w:szCs w:val="22"/>
        </w:rPr>
        <w:t>l protezionismo doganale fa parte delle strategie dirette alla salvaguardia delle industrie nazionali</w:t>
      </w:r>
      <w:r w:rsidR="00404A66">
        <w:rPr>
          <w:sz w:val="22"/>
          <w:szCs w:val="22"/>
        </w:rPr>
        <w:t xml:space="preserve"> e </w:t>
      </w:r>
      <w:r w:rsidR="00F1777C" w:rsidRPr="007F7EBF">
        <w:rPr>
          <w:sz w:val="22"/>
          <w:szCs w:val="22"/>
        </w:rPr>
        <w:t>il tema dei “dazi” compensativi è quindi prima o poi destinato a tornare di attualità, per salvaguardare le capacità produttive delle singole collettività</w:t>
      </w:r>
      <w:r w:rsidR="00404A66">
        <w:rPr>
          <w:sz w:val="22"/>
          <w:szCs w:val="22"/>
        </w:rPr>
        <w:t>(</w:t>
      </w:r>
      <w:r w:rsidR="00F1777C" w:rsidRPr="007F7EBF">
        <w:rPr>
          <w:rStyle w:val="Rimandonotaapidipagina"/>
          <w:sz w:val="22"/>
          <w:szCs w:val="22"/>
        </w:rPr>
        <w:footnoteReference w:id="1408"/>
      </w:r>
      <w:r w:rsidR="00404A66">
        <w:rPr>
          <w:sz w:val="22"/>
          <w:szCs w:val="22"/>
        </w:rPr>
        <w:t>)</w:t>
      </w:r>
      <w:r w:rsidR="00F1777C" w:rsidRPr="007F7EBF">
        <w:rPr>
          <w:sz w:val="22"/>
          <w:szCs w:val="22"/>
        </w:rPr>
        <w:t>.</w:t>
      </w:r>
      <w:r w:rsidR="0083396A" w:rsidRPr="007F7EBF">
        <w:rPr>
          <w:sz w:val="22"/>
          <w:szCs w:val="22"/>
        </w:rPr>
        <w:t xml:space="preserve"> </w:t>
      </w:r>
    </w:p>
    <w:p w14:paraId="4ECDBD08" w14:textId="77777777" w:rsidR="000376A5" w:rsidRPr="007F7EBF" w:rsidRDefault="000376A5" w:rsidP="000376A5">
      <w:pPr>
        <w:pStyle w:val="tit23"/>
        <w:ind w:left="6464" w:right="-1361" w:firstLine="0"/>
        <w:jc w:val="left"/>
        <w:rPr>
          <w:bCs/>
          <w:i/>
          <w:iCs/>
          <w:color w:val="0000FF"/>
          <w:lang w:val="it-IT"/>
        </w:rPr>
      </w:pPr>
      <w:r w:rsidRPr="007F7EBF">
        <w:rPr>
          <w:bCs/>
          <w:i/>
          <w:iCs/>
          <w:color w:val="0000FF"/>
          <w:lang w:val="it-IT"/>
        </w:rPr>
        <w:t>Dall’ispezione fisica al controllo documentale</w:t>
      </w:r>
    </w:p>
    <w:p w14:paraId="45D9B825" w14:textId="0F85E2C0" w:rsidR="000376A5" w:rsidRPr="007F7EBF" w:rsidRDefault="00BD09E6" w:rsidP="000376A5">
      <w:pPr>
        <w:autoSpaceDE w:val="0"/>
        <w:autoSpaceDN w:val="0"/>
        <w:adjustRightInd w:val="0"/>
        <w:rPr>
          <w:sz w:val="22"/>
          <w:szCs w:val="22"/>
        </w:rPr>
      </w:pPr>
      <w:r w:rsidRPr="007F7EBF">
        <w:rPr>
          <w:sz w:val="22"/>
          <w:szCs w:val="22"/>
        </w:rPr>
        <w:t xml:space="preserve">Anticamente, l'ispezione doganale era fisica, nel senso </w:t>
      </w:r>
      <w:r w:rsidR="004063DD">
        <w:rPr>
          <w:sz w:val="22"/>
          <w:szCs w:val="22"/>
        </w:rPr>
        <w:t>di “visiva”, con</w:t>
      </w:r>
      <w:r w:rsidRPr="007F7EBF">
        <w:rPr>
          <w:sz w:val="22"/>
          <w:szCs w:val="22"/>
        </w:rPr>
        <w:t xml:space="preserve"> le autorità doganali </w:t>
      </w:r>
      <w:r w:rsidR="004063DD">
        <w:rPr>
          <w:sz w:val="22"/>
          <w:szCs w:val="22"/>
        </w:rPr>
        <w:t xml:space="preserve">che </w:t>
      </w:r>
      <w:r w:rsidRPr="007F7EBF">
        <w:rPr>
          <w:sz w:val="22"/>
          <w:szCs w:val="22"/>
        </w:rPr>
        <w:t xml:space="preserve">sorvegliavano il materiale trasporto delle merci, e spesso ispezionavano </w:t>
      </w:r>
      <w:r w:rsidR="004063DD">
        <w:rPr>
          <w:sz w:val="22"/>
          <w:szCs w:val="22"/>
        </w:rPr>
        <w:t>i r</w:t>
      </w:r>
      <w:r w:rsidRPr="007F7EBF">
        <w:rPr>
          <w:sz w:val="22"/>
          <w:szCs w:val="22"/>
        </w:rPr>
        <w:t xml:space="preserve">elativi </w:t>
      </w:r>
      <w:r w:rsidR="004063DD">
        <w:rPr>
          <w:sz w:val="22"/>
          <w:szCs w:val="22"/>
        </w:rPr>
        <w:t>contenitori</w:t>
      </w:r>
      <w:r w:rsidRPr="007F7EBF">
        <w:rPr>
          <w:sz w:val="22"/>
          <w:szCs w:val="22"/>
        </w:rPr>
        <w:t xml:space="preserve">, </w:t>
      </w:r>
      <w:r w:rsidR="004063DD">
        <w:rPr>
          <w:sz w:val="22"/>
          <w:szCs w:val="22"/>
        </w:rPr>
        <w:t xml:space="preserve">almeno </w:t>
      </w:r>
      <w:r w:rsidRPr="007F7EBF">
        <w:rPr>
          <w:sz w:val="22"/>
          <w:szCs w:val="22"/>
        </w:rPr>
        <w:t>in un controllo a campione</w:t>
      </w:r>
      <w:r w:rsidR="00840050">
        <w:rPr>
          <w:sz w:val="22"/>
          <w:szCs w:val="22"/>
        </w:rPr>
        <w:t>(</w:t>
      </w:r>
      <w:r w:rsidRPr="007F7EBF">
        <w:rPr>
          <w:rStyle w:val="Rimandonotaapidipagina"/>
          <w:sz w:val="22"/>
          <w:szCs w:val="22"/>
        </w:rPr>
        <w:footnoteReference w:id="1409"/>
      </w:r>
      <w:r w:rsidR="00840050">
        <w:rPr>
          <w:sz w:val="22"/>
          <w:szCs w:val="22"/>
        </w:rPr>
        <w:t>)</w:t>
      </w:r>
      <w:r w:rsidRPr="007F7EBF">
        <w:rPr>
          <w:sz w:val="22"/>
          <w:szCs w:val="22"/>
        </w:rPr>
        <w:t>. Oggi</w:t>
      </w:r>
      <w:r w:rsidR="002C03CB" w:rsidRPr="007F7EBF">
        <w:rPr>
          <w:sz w:val="22"/>
          <w:szCs w:val="22"/>
        </w:rPr>
        <w:t xml:space="preserve"> le merci viaggiano sempre più accompagnate da documenti di trasporto e spedizione, assicurazion</w:t>
      </w:r>
      <w:r w:rsidRPr="007F7EBF">
        <w:rPr>
          <w:sz w:val="22"/>
          <w:szCs w:val="22"/>
        </w:rPr>
        <w:t xml:space="preserve">e, certificati di origine </w:t>
      </w:r>
      <w:proofErr w:type="spellStart"/>
      <w:r w:rsidRPr="007F7EBF">
        <w:rPr>
          <w:sz w:val="22"/>
          <w:szCs w:val="22"/>
        </w:rPr>
        <w:t>etc</w:t>
      </w:r>
      <w:proofErr w:type="spellEnd"/>
      <w:r w:rsidR="004063DD">
        <w:rPr>
          <w:sz w:val="22"/>
          <w:szCs w:val="22"/>
        </w:rPr>
        <w:t xml:space="preserve">, e le suddette </w:t>
      </w:r>
      <w:r w:rsidR="002C03CB" w:rsidRPr="007F7EBF">
        <w:rPr>
          <w:sz w:val="22"/>
          <w:szCs w:val="22"/>
        </w:rPr>
        <w:t xml:space="preserve">ispezioni fisiche </w:t>
      </w:r>
      <w:r w:rsidR="00C44B0F" w:rsidRPr="007F7EBF">
        <w:rPr>
          <w:sz w:val="22"/>
          <w:szCs w:val="22"/>
        </w:rPr>
        <w:t xml:space="preserve">sono state sostituite da </w:t>
      </w:r>
      <w:r w:rsidR="002C03CB" w:rsidRPr="007F7EBF">
        <w:rPr>
          <w:sz w:val="22"/>
          <w:szCs w:val="22"/>
        </w:rPr>
        <w:t xml:space="preserve">controlli cartolari </w:t>
      </w:r>
      <w:r w:rsidR="00840050">
        <w:rPr>
          <w:sz w:val="22"/>
          <w:szCs w:val="22"/>
        </w:rPr>
        <w:t>su tali</w:t>
      </w:r>
      <w:r w:rsidR="002C03CB" w:rsidRPr="007F7EBF">
        <w:rPr>
          <w:sz w:val="22"/>
          <w:szCs w:val="22"/>
        </w:rPr>
        <w:t xml:space="preserve"> document</w:t>
      </w:r>
      <w:r w:rsidR="00840050">
        <w:rPr>
          <w:sz w:val="22"/>
          <w:szCs w:val="22"/>
        </w:rPr>
        <w:t>i</w:t>
      </w:r>
      <w:r w:rsidR="00C44B0F" w:rsidRPr="007F7EBF">
        <w:rPr>
          <w:sz w:val="22"/>
          <w:szCs w:val="22"/>
        </w:rPr>
        <w:t xml:space="preserve">; </w:t>
      </w:r>
      <w:proofErr w:type="spellStart"/>
      <w:r w:rsidR="004063DD">
        <w:rPr>
          <w:sz w:val="22"/>
          <w:szCs w:val="22"/>
        </w:rPr>
        <w:t>benchè</w:t>
      </w:r>
      <w:proofErr w:type="spellEnd"/>
      <w:r w:rsidR="004063DD">
        <w:rPr>
          <w:sz w:val="22"/>
          <w:szCs w:val="22"/>
        </w:rPr>
        <w:t xml:space="preserve"> </w:t>
      </w:r>
      <w:r w:rsidR="002C03CB" w:rsidRPr="007F7EBF">
        <w:rPr>
          <w:sz w:val="22"/>
          <w:szCs w:val="22"/>
        </w:rPr>
        <w:t xml:space="preserve">l'intervento delle autorità doganali </w:t>
      </w:r>
      <w:r w:rsidR="004063DD">
        <w:rPr>
          <w:sz w:val="22"/>
          <w:szCs w:val="22"/>
        </w:rPr>
        <w:t>sia sempre “capillare”, riferito al</w:t>
      </w:r>
      <w:r w:rsidR="002C03CB" w:rsidRPr="007F7EBF">
        <w:rPr>
          <w:sz w:val="22"/>
          <w:szCs w:val="22"/>
        </w:rPr>
        <w:t xml:space="preserve">la totalità delle pratiche di importazione ed esportazione, </w:t>
      </w:r>
      <w:r w:rsidR="004063DD">
        <w:rPr>
          <w:sz w:val="22"/>
          <w:szCs w:val="22"/>
        </w:rPr>
        <w:t xml:space="preserve">esso è “cartolare”, formale e </w:t>
      </w:r>
      <w:r w:rsidR="002C03CB" w:rsidRPr="007F7EBF">
        <w:rPr>
          <w:sz w:val="22"/>
          <w:szCs w:val="22"/>
        </w:rPr>
        <w:t>docume</w:t>
      </w:r>
      <w:r w:rsidR="00B649F1" w:rsidRPr="007F7EBF">
        <w:rPr>
          <w:sz w:val="22"/>
          <w:szCs w:val="22"/>
        </w:rPr>
        <w:t>ntale, con ispezioni fisiche</w:t>
      </w:r>
      <w:r w:rsidR="004063DD">
        <w:rPr>
          <w:sz w:val="22"/>
          <w:szCs w:val="22"/>
        </w:rPr>
        <w:t xml:space="preserve"> ridotte ai sospetti di frodi, che anche </w:t>
      </w:r>
      <w:r w:rsidR="00840050">
        <w:rPr>
          <w:sz w:val="22"/>
          <w:szCs w:val="22"/>
        </w:rPr>
        <w:t>oggi</w:t>
      </w:r>
      <w:r w:rsidR="004063DD">
        <w:rPr>
          <w:sz w:val="22"/>
          <w:szCs w:val="22"/>
        </w:rPr>
        <w:t xml:space="preserve"> non mancano.</w:t>
      </w:r>
      <w:r w:rsidR="00B649F1" w:rsidRPr="007F7EBF">
        <w:rPr>
          <w:sz w:val="22"/>
          <w:szCs w:val="22"/>
        </w:rPr>
        <w:t xml:space="preserve"> </w:t>
      </w:r>
    </w:p>
    <w:p w14:paraId="4C7A2DEB" w14:textId="77777777" w:rsidR="000376A5" w:rsidRPr="007F7EBF" w:rsidRDefault="000376A5" w:rsidP="000376A5">
      <w:pPr>
        <w:pStyle w:val="tit23"/>
        <w:ind w:left="6464" w:right="-1361" w:firstLine="0"/>
        <w:jc w:val="left"/>
        <w:rPr>
          <w:bCs/>
          <w:i/>
          <w:iCs/>
          <w:color w:val="0000FF"/>
          <w:lang w:val="it-IT"/>
        </w:rPr>
      </w:pPr>
      <w:r w:rsidRPr="007F7EBF">
        <w:rPr>
          <w:bCs/>
          <w:i/>
          <w:iCs/>
          <w:color w:val="0000FF"/>
          <w:lang w:val="it-IT"/>
        </w:rPr>
        <w:t>Dogane residue come presidio europeo</w:t>
      </w:r>
    </w:p>
    <w:p w14:paraId="06407F58" w14:textId="61362B3F" w:rsidR="000376A5" w:rsidRPr="007F7EBF" w:rsidRDefault="007B58D4" w:rsidP="000376A5">
      <w:pPr>
        <w:autoSpaceDE w:val="0"/>
        <w:autoSpaceDN w:val="0"/>
        <w:adjustRightInd w:val="0"/>
        <w:rPr>
          <w:sz w:val="22"/>
          <w:szCs w:val="22"/>
        </w:rPr>
      </w:pPr>
      <w:r w:rsidRPr="007F7EBF">
        <w:rPr>
          <w:sz w:val="22"/>
          <w:szCs w:val="22"/>
        </w:rPr>
        <w:lastRenderedPageBreak/>
        <w:t>L</w:t>
      </w:r>
      <w:r w:rsidR="006342C5" w:rsidRPr="007F7EBF">
        <w:rPr>
          <w:sz w:val="22"/>
          <w:szCs w:val="22"/>
        </w:rPr>
        <w:t>e barriere</w:t>
      </w:r>
      <w:r w:rsidRPr="007F7EBF">
        <w:rPr>
          <w:sz w:val="22"/>
          <w:szCs w:val="22"/>
        </w:rPr>
        <w:t xml:space="preserve"> </w:t>
      </w:r>
      <w:r w:rsidR="006342C5" w:rsidRPr="007F7EBF">
        <w:rPr>
          <w:sz w:val="22"/>
          <w:szCs w:val="22"/>
        </w:rPr>
        <w:t>doganali sono rimaste solo ai confini terrestri con gli stati non appartenenti all’UE</w:t>
      </w:r>
      <w:r w:rsidRPr="007F7EBF">
        <w:rPr>
          <w:sz w:val="22"/>
          <w:szCs w:val="22"/>
        </w:rPr>
        <w:t xml:space="preserve"> </w:t>
      </w:r>
      <w:r w:rsidR="006342C5" w:rsidRPr="007F7EBF">
        <w:rPr>
          <w:sz w:val="22"/>
          <w:szCs w:val="22"/>
        </w:rPr>
        <w:t>(Svizzera), nei porti e negli aeroporti: questi confini sono diventati non solo nazionali,</w:t>
      </w:r>
      <w:r w:rsidRPr="007F7EBF">
        <w:rPr>
          <w:sz w:val="22"/>
          <w:szCs w:val="22"/>
        </w:rPr>
        <w:t xml:space="preserve"> </w:t>
      </w:r>
      <w:r w:rsidR="006342C5" w:rsidRPr="007F7EBF">
        <w:rPr>
          <w:sz w:val="22"/>
          <w:szCs w:val="22"/>
        </w:rPr>
        <w:t>ma dell’</w:t>
      </w:r>
      <w:r w:rsidR="00496640">
        <w:rPr>
          <w:sz w:val="22"/>
          <w:szCs w:val="22"/>
        </w:rPr>
        <w:t>U</w:t>
      </w:r>
      <w:r w:rsidR="006342C5" w:rsidRPr="007F7EBF">
        <w:rPr>
          <w:sz w:val="22"/>
          <w:szCs w:val="22"/>
        </w:rPr>
        <w:t xml:space="preserve">nione </w:t>
      </w:r>
      <w:r w:rsidR="00496640">
        <w:rPr>
          <w:sz w:val="22"/>
          <w:szCs w:val="22"/>
        </w:rPr>
        <w:t>E</w:t>
      </w:r>
      <w:r w:rsidR="006342C5" w:rsidRPr="007F7EBF">
        <w:rPr>
          <w:sz w:val="22"/>
          <w:szCs w:val="22"/>
        </w:rPr>
        <w:t xml:space="preserve">uropea, </w:t>
      </w:r>
      <w:r w:rsidR="00496640">
        <w:rPr>
          <w:sz w:val="22"/>
          <w:szCs w:val="22"/>
        </w:rPr>
        <w:t>in quanto</w:t>
      </w:r>
      <w:r w:rsidR="006342C5" w:rsidRPr="007F7EBF">
        <w:rPr>
          <w:sz w:val="22"/>
          <w:szCs w:val="22"/>
        </w:rPr>
        <w:t>, una volta giunte in un paese dell’</w:t>
      </w:r>
      <w:r w:rsidR="00496640">
        <w:rPr>
          <w:sz w:val="22"/>
          <w:szCs w:val="22"/>
        </w:rPr>
        <w:t>U</w:t>
      </w:r>
      <w:r w:rsidR="006342C5" w:rsidRPr="007F7EBF">
        <w:rPr>
          <w:sz w:val="22"/>
          <w:szCs w:val="22"/>
        </w:rPr>
        <w:t>nione,</w:t>
      </w:r>
      <w:r w:rsidRPr="007F7EBF">
        <w:rPr>
          <w:sz w:val="22"/>
          <w:szCs w:val="22"/>
        </w:rPr>
        <w:t xml:space="preserve"> </w:t>
      </w:r>
      <w:r w:rsidR="006342C5" w:rsidRPr="007F7EBF">
        <w:rPr>
          <w:sz w:val="22"/>
          <w:szCs w:val="22"/>
        </w:rPr>
        <w:t>le merci potranno circolare in tutti i paesi membri, senza incontrare altre barriere</w:t>
      </w:r>
      <w:r w:rsidR="00840050">
        <w:rPr>
          <w:sz w:val="22"/>
          <w:szCs w:val="22"/>
        </w:rPr>
        <w:t xml:space="preserve"> (par.2.6)</w:t>
      </w:r>
      <w:r w:rsidR="006342C5" w:rsidRPr="007F7EBF">
        <w:rPr>
          <w:sz w:val="22"/>
          <w:szCs w:val="22"/>
        </w:rPr>
        <w:t>;</w:t>
      </w:r>
      <w:r w:rsidRPr="007F7EBF">
        <w:rPr>
          <w:sz w:val="22"/>
          <w:szCs w:val="22"/>
        </w:rPr>
        <w:t xml:space="preserve"> </w:t>
      </w:r>
      <w:r w:rsidR="006342C5" w:rsidRPr="007F7EBF">
        <w:rPr>
          <w:sz w:val="22"/>
          <w:szCs w:val="22"/>
        </w:rPr>
        <w:t>accanto alla vigilanza fisica al confine sono diventati perciò importanti i controlli sul</w:t>
      </w:r>
      <w:r w:rsidRPr="007F7EBF">
        <w:rPr>
          <w:sz w:val="22"/>
          <w:szCs w:val="22"/>
        </w:rPr>
        <w:t xml:space="preserve"> </w:t>
      </w:r>
      <w:r w:rsidR="006342C5" w:rsidRPr="007F7EBF">
        <w:rPr>
          <w:sz w:val="22"/>
          <w:szCs w:val="22"/>
        </w:rPr>
        <w:t xml:space="preserve">territorio, tendenti ad accertare la </w:t>
      </w:r>
      <w:r w:rsidR="00BD09E6" w:rsidRPr="007F7EBF">
        <w:rPr>
          <w:sz w:val="22"/>
          <w:szCs w:val="22"/>
        </w:rPr>
        <w:t xml:space="preserve">natura e la </w:t>
      </w:r>
      <w:r w:rsidR="006342C5" w:rsidRPr="007F7EBF">
        <w:rPr>
          <w:sz w:val="22"/>
          <w:szCs w:val="22"/>
        </w:rPr>
        <w:t>provenienza delle merci.</w:t>
      </w:r>
      <w:r w:rsidRPr="007F7EBF">
        <w:rPr>
          <w:bCs/>
          <w:i/>
          <w:iCs/>
          <w:color w:val="0000FF"/>
          <w:sz w:val="22"/>
          <w:szCs w:val="22"/>
        </w:rPr>
        <w:t xml:space="preserve"> </w:t>
      </w:r>
    </w:p>
    <w:p w14:paraId="736206D1" w14:textId="77777777" w:rsidR="000376A5" w:rsidRPr="007F7EBF" w:rsidRDefault="000376A5" w:rsidP="000376A5">
      <w:pPr>
        <w:pStyle w:val="tit23"/>
        <w:ind w:left="6464" w:right="-1361" w:firstLine="0"/>
        <w:jc w:val="left"/>
        <w:rPr>
          <w:bCs/>
          <w:i/>
          <w:iCs/>
          <w:color w:val="0000FF"/>
          <w:lang w:val="it-IT"/>
        </w:rPr>
      </w:pPr>
      <w:r w:rsidRPr="007F7EBF">
        <w:rPr>
          <w:bCs/>
          <w:i/>
          <w:iCs/>
          <w:color w:val="0000FF"/>
          <w:lang w:val="it-IT"/>
        </w:rPr>
        <w:t>Attribuzione europea del gettito</w:t>
      </w:r>
    </w:p>
    <w:p w14:paraId="7CFBD7E8" w14:textId="0FB78BD7" w:rsidR="006342C5" w:rsidRPr="007F7EBF" w:rsidRDefault="006342C5" w:rsidP="006342C5">
      <w:pPr>
        <w:autoSpaceDE w:val="0"/>
        <w:autoSpaceDN w:val="0"/>
        <w:adjustRightInd w:val="0"/>
        <w:rPr>
          <w:sz w:val="22"/>
          <w:szCs w:val="22"/>
        </w:rPr>
      </w:pPr>
      <w:r w:rsidRPr="007F7EBF">
        <w:rPr>
          <w:sz w:val="22"/>
          <w:szCs w:val="22"/>
        </w:rPr>
        <w:t>Il gettito dei tributi doganali prelevati su merci di provenienza estranea all’Unione</w:t>
      </w:r>
      <w:r w:rsidR="007B58D4" w:rsidRPr="007F7EBF">
        <w:rPr>
          <w:sz w:val="22"/>
          <w:szCs w:val="22"/>
        </w:rPr>
        <w:t xml:space="preserve"> </w:t>
      </w:r>
      <w:r w:rsidRPr="007F7EBF">
        <w:rPr>
          <w:sz w:val="22"/>
          <w:szCs w:val="22"/>
        </w:rPr>
        <w:t xml:space="preserve">Europea è </w:t>
      </w:r>
      <w:r w:rsidRPr="007F7EBF">
        <w:rPr>
          <w:bCs/>
          <w:sz w:val="22"/>
          <w:szCs w:val="22"/>
        </w:rPr>
        <w:t xml:space="preserve">acquisito dalle autorità fiscali nazionali </w:t>
      </w:r>
      <w:r w:rsidRPr="007F7EBF">
        <w:rPr>
          <w:sz w:val="22"/>
          <w:szCs w:val="22"/>
        </w:rPr>
        <w:t>(</w:t>
      </w:r>
      <w:r w:rsidR="00A05BF5" w:rsidRPr="007F7EBF">
        <w:rPr>
          <w:rStyle w:val="Rimandonotaapidipagina"/>
          <w:sz w:val="22"/>
          <w:szCs w:val="22"/>
        </w:rPr>
        <w:footnoteReference w:id="1410"/>
      </w:r>
      <w:r w:rsidRPr="007F7EBF">
        <w:rPr>
          <w:sz w:val="22"/>
          <w:szCs w:val="22"/>
        </w:rPr>
        <w:t xml:space="preserve">),ma </w:t>
      </w:r>
      <w:r w:rsidRPr="007F7EBF">
        <w:rPr>
          <w:bCs/>
          <w:sz w:val="22"/>
          <w:szCs w:val="22"/>
        </w:rPr>
        <w:t>devoluto all’Unione Europea</w:t>
      </w:r>
      <w:r w:rsidR="00C44B0F" w:rsidRPr="007F7EBF">
        <w:rPr>
          <w:sz w:val="22"/>
          <w:szCs w:val="22"/>
        </w:rPr>
        <w:t xml:space="preserve">, al netto di una quota </w:t>
      </w:r>
      <w:r w:rsidR="00496640">
        <w:rPr>
          <w:sz w:val="22"/>
          <w:szCs w:val="22"/>
        </w:rPr>
        <w:t xml:space="preserve">del 25 % </w:t>
      </w:r>
      <w:r w:rsidR="00C44B0F" w:rsidRPr="007F7EBF">
        <w:rPr>
          <w:sz w:val="22"/>
          <w:szCs w:val="22"/>
        </w:rPr>
        <w:t xml:space="preserve">di rimborso spese. </w:t>
      </w:r>
      <w:r w:rsidR="00496640">
        <w:rPr>
          <w:sz w:val="22"/>
          <w:szCs w:val="22"/>
        </w:rPr>
        <w:t xml:space="preserve">L’Unione </w:t>
      </w:r>
      <w:r w:rsidRPr="007F7EBF">
        <w:rPr>
          <w:sz w:val="22"/>
          <w:szCs w:val="22"/>
        </w:rPr>
        <w:t>emette altresì</w:t>
      </w:r>
      <w:r w:rsidR="00F43CDF">
        <w:rPr>
          <w:sz w:val="22"/>
          <w:szCs w:val="22"/>
        </w:rPr>
        <w:t xml:space="preserve">, attraverso i regolamenti di cui al par.2.6, </w:t>
      </w:r>
      <w:r w:rsidRPr="007F7EBF">
        <w:rPr>
          <w:sz w:val="22"/>
          <w:szCs w:val="22"/>
        </w:rPr>
        <w:t xml:space="preserve"> la</w:t>
      </w:r>
      <w:r w:rsidR="007B58D4" w:rsidRPr="007F7EBF">
        <w:rPr>
          <w:sz w:val="22"/>
          <w:szCs w:val="22"/>
        </w:rPr>
        <w:t xml:space="preserve"> </w:t>
      </w:r>
      <w:r w:rsidRPr="007F7EBF">
        <w:rPr>
          <w:sz w:val="22"/>
          <w:szCs w:val="22"/>
        </w:rPr>
        <w:t xml:space="preserve">normativa doganale </w:t>
      </w:r>
      <w:r w:rsidR="003F6007">
        <w:rPr>
          <w:sz w:val="22"/>
          <w:szCs w:val="22"/>
        </w:rPr>
        <w:t xml:space="preserve">direttamente </w:t>
      </w:r>
      <w:r w:rsidRPr="007F7EBF">
        <w:rPr>
          <w:sz w:val="22"/>
          <w:szCs w:val="22"/>
        </w:rPr>
        <w:t>applicabile dalle amministrazion</w:t>
      </w:r>
      <w:r w:rsidR="003F6007">
        <w:rPr>
          <w:sz w:val="22"/>
          <w:szCs w:val="22"/>
        </w:rPr>
        <w:t>i dei paesi membri</w:t>
      </w:r>
      <w:r w:rsidRPr="007F7EBF">
        <w:rPr>
          <w:sz w:val="22"/>
          <w:szCs w:val="22"/>
        </w:rPr>
        <w:t>.</w:t>
      </w:r>
    </w:p>
    <w:p w14:paraId="0A9E0EA8" w14:textId="29C83A21" w:rsidR="00697433" w:rsidRPr="007F7EBF" w:rsidRDefault="006342C5" w:rsidP="002847DD">
      <w:pPr>
        <w:pStyle w:val="Titolo3"/>
        <w:rPr>
          <w:sz w:val="22"/>
          <w:szCs w:val="22"/>
        </w:rPr>
      </w:pPr>
      <w:bookmarkStart w:id="145" w:name="_Toc63365052"/>
      <w:r w:rsidRPr="007F7EBF">
        <w:rPr>
          <w:rFonts w:ascii="Times New Roman" w:hAnsi="Times New Roman"/>
          <w:sz w:val="22"/>
          <w:szCs w:val="22"/>
        </w:rPr>
        <w:t xml:space="preserve">10.8. Tributi locali tra tassazione attraverso le aziende e attraverso gli </w:t>
      </w:r>
      <w:proofErr w:type="spellStart"/>
      <w:r w:rsidRPr="007F7EBF">
        <w:rPr>
          <w:rFonts w:ascii="Times New Roman" w:hAnsi="Times New Roman"/>
          <w:sz w:val="22"/>
          <w:szCs w:val="22"/>
        </w:rPr>
        <w:t>uffici:aspetti</w:t>
      </w:r>
      <w:proofErr w:type="spellEnd"/>
      <w:r w:rsidRPr="007F7EBF">
        <w:rPr>
          <w:rFonts w:ascii="Times New Roman" w:hAnsi="Times New Roman"/>
          <w:sz w:val="22"/>
          <w:szCs w:val="22"/>
        </w:rPr>
        <w:t xml:space="preserve"> tributari del “federalismo fiscale”</w:t>
      </w:r>
      <w:bookmarkEnd w:id="145"/>
    </w:p>
    <w:p w14:paraId="6CA50305" w14:textId="77777777" w:rsidR="00697433" w:rsidRPr="007F7EBF" w:rsidRDefault="002B1F32" w:rsidP="00697433">
      <w:pPr>
        <w:pStyle w:val="tit23"/>
        <w:ind w:left="6464" w:right="-1361" w:firstLine="0"/>
        <w:jc w:val="left"/>
        <w:rPr>
          <w:bCs/>
          <w:i/>
          <w:iCs/>
          <w:color w:val="0000FF"/>
          <w:lang w:val="it-IT"/>
        </w:rPr>
      </w:pPr>
      <w:r w:rsidRPr="007F7EBF">
        <w:rPr>
          <w:bCs/>
          <w:i/>
          <w:iCs/>
          <w:color w:val="0000FF"/>
          <w:lang w:val="it-IT"/>
        </w:rPr>
        <w:t xml:space="preserve">L’antico ruolo degli </w:t>
      </w:r>
      <w:r w:rsidR="007F005F" w:rsidRPr="007F7EBF">
        <w:rPr>
          <w:bCs/>
          <w:i/>
          <w:iCs/>
          <w:color w:val="0000FF"/>
          <w:lang w:val="it-IT"/>
        </w:rPr>
        <w:t>enti locali nella determinazione delle imposte</w:t>
      </w:r>
    </w:p>
    <w:p w14:paraId="547E81CC" w14:textId="78488261" w:rsidR="003F6007" w:rsidRDefault="003F6007" w:rsidP="00697433">
      <w:pPr>
        <w:autoSpaceDE w:val="0"/>
        <w:autoSpaceDN w:val="0"/>
        <w:adjustRightInd w:val="0"/>
        <w:rPr>
          <w:sz w:val="22"/>
          <w:szCs w:val="22"/>
        </w:rPr>
      </w:pPr>
      <w:r>
        <w:rPr>
          <w:sz w:val="22"/>
          <w:szCs w:val="22"/>
        </w:rPr>
        <w:t xml:space="preserve">Nella tradizionale </w:t>
      </w:r>
      <w:r w:rsidR="00211B64">
        <w:rPr>
          <w:sz w:val="22"/>
          <w:szCs w:val="22"/>
        </w:rPr>
        <w:t>determinazione</w:t>
      </w:r>
      <w:r>
        <w:rPr>
          <w:sz w:val="22"/>
          <w:szCs w:val="22"/>
        </w:rPr>
        <w:t xml:space="preserve"> valutativa</w:t>
      </w:r>
      <w:r w:rsidR="00211B64">
        <w:rPr>
          <w:sz w:val="22"/>
          <w:szCs w:val="22"/>
        </w:rPr>
        <w:t xml:space="preserve"> dei presupposti economici d’imposta</w:t>
      </w:r>
      <w:r>
        <w:rPr>
          <w:sz w:val="22"/>
          <w:szCs w:val="22"/>
        </w:rPr>
        <w:t xml:space="preserve"> (par.1.4), gli enti locali </w:t>
      </w:r>
      <w:r w:rsidR="002A1C6F" w:rsidRPr="007F7EBF">
        <w:rPr>
          <w:sz w:val="22"/>
          <w:szCs w:val="22"/>
        </w:rPr>
        <w:t>e</w:t>
      </w:r>
      <w:r w:rsidR="006342C5" w:rsidRPr="007F7EBF">
        <w:rPr>
          <w:sz w:val="22"/>
          <w:szCs w:val="22"/>
        </w:rPr>
        <w:t xml:space="preserve">rano </w:t>
      </w:r>
      <w:r w:rsidR="00211B64">
        <w:rPr>
          <w:sz w:val="22"/>
          <w:szCs w:val="22"/>
        </w:rPr>
        <w:t>molto efficienti</w:t>
      </w:r>
      <w:r w:rsidR="00E360F9">
        <w:rPr>
          <w:sz w:val="22"/>
          <w:szCs w:val="22"/>
        </w:rPr>
        <w:t>, per la vicinanza al territorio</w:t>
      </w:r>
      <w:r>
        <w:rPr>
          <w:sz w:val="22"/>
          <w:szCs w:val="22"/>
        </w:rPr>
        <w:t xml:space="preserve"> e le numerose interrelazioni co</w:t>
      </w:r>
      <w:r w:rsidR="00211B64">
        <w:rPr>
          <w:sz w:val="22"/>
          <w:szCs w:val="22"/>
        </w:rPr>
        <w:t>i relativ</w:t>
      </w:r>
      <w:r>
        <w:rPr>
          <w:sz w:val="22"/>
          <w:szCs w:val="22"/>
        </w:rPr>
        <w:t>i gruppi sociali, di vicinato, familiari e religiosi</w:t>
      </w:r>
      <w:r w:rsidR="007F005F" w:rsidRPr="007F7EBF">
        <w:rPr>
          <w:sz w:val="22"/>
          <w:szCs w:val="22"/>
        </w:rPr>
        <w:t xml:space="preserve">; </w:t>
      </w:r>
      <w:r w:rsidR="00136D43">
        <w:rPr>
          <w:sz w:val="22"/>
          <w:szCs w:val="22"/>
        </w:rPr>
        <w:t xml:space="preserve">ciò comportava una buona conoscenza dei presupposti economici d’imposta e delle </w:t>
      </w:r>
      <w:r w:rsidR="007F005F" w:rsidRPr="007F7EBF">
        <w:rPr>
          <w:sz w:val="22"/>
          <w:szCs w:val="22"/>
        </w:rPr>
        <w:t>condizioni economiche</w:t>
      </w:r>
      <w:r w:rsidR="00136D43">
        <w:rPr>
          <w:sz w:val="22"/>
          <w:szCs w:val="22"/>
        </w:rPr>
        <w:t xml:space="preserve"> di individui e famiglie; questo anche ai fini dell’</w:t>
      </w:r>
      <w:r w:rsidR="00136D43">
        <w:t xml:space="preserve">antico sistema a ripartizione tra individui e famiglie di somme </w:t>
      </w:r>
      <w:r w:rsidR="00136D43" w:rsidRPr="007F7EBF">
        <w:t>complessiv</w:t>
      </w:r>
      <w:r w:rsidR="00136D43">
        <w:t>e</w:t>
      </w:r>
      <w:r w:rsidR="00136D43" w:rsidRPr="007F7EBF">
        <w:t xml:space="preserve"> </w:t>
      </w:r>
      <w:r w:rsidR="00136D43">
        <w:t>chieste alla comunità</w:t>
      </w:r>
      <w:r w:rsidR="007F005F" w:rsidRPr="007F7EBF">
        <w:rPr>
          <w:sz w:val="22"/>
          <w:szCs w:val="22"/>
        </w:rPr>
        <w:t xml:space="preserve">. </w:t>
      </w:r>
    </w:p>
    <w:p w14:paraId="1171B54E" w14:textId="63390650" w:rsidR="00697433" w:rsidRPr="007F7EBF" w:rsidRDefault="003F6007" w:rsidP="00697433">
      <w:pPr>
        <w:autoSpaceDE w:val="0"/>
        <w:autoSpaceDN w:val="0"/>
        <w:adjustRightInd w:val="0"/>
        <w:rPr>
          <w:sz w:val="22"/>
          <w:szCs w:val="22"/>
        </w:rPr>
      </w:pPr>
      <w:r>
        <w:rPr>
          <w:sz w:val="22"/>
          <w:szCs w:val="22"/>
        </w:rPr>
        <w:t xml:space="preserve">Se si fosse coordinata questa tradizione </w:t>
      </w:r>
      <w:r w:rsidR="00136D43">
        <w:rPr>
          <w:sz w:val="22"/>
          <w:szCs w:val="22"/>
        </w:rPr>
        <w:t xml:space="preserve">valutativa </w:t>
      </w:r>
      <w:r>
        <w:rPr>
          <w:sz w:val="22"/>
          <w:szCs w:val="22"/>
        </w:rPr>
        <w:t xml:space="preserve">con la sopravvenuta determinazione </w:t>
      </w:r>
      <w:r w:rsidR="00136D43">
        <w:rPr>
          <w:sz w:val="22"/>
          <w:szCs w:val="22"/>
        </w:rPr>
        <w:t xml:space="preserve">documentale e contabile delle imposte, </w:t>
      </w:r>
      <w:r>
        <w:rPr>
          <w:sz w:val="22"/>
          <w:szCs w:val="22"/>
        </w:rPr>
        <w:t xml:space="preserve">si sarebbe valorizzato il ruolo tributario degli enti locali; </w:t>
      </w:r>
      <w:r w:rsidR="00136D43">
        <w:rPr>
          <w:sz w:val="22"/>
          <w:szCs w:val="22"/>
        </w:rPr>
        <w:t>essi sarebbero stati un</w:t>
      </w:r>
      <w:r>
        <w:rPr>
          <w:sz w:val="22"/>
          <w:szCs w:val="22"/>
        </w:rPr>
        <w:t xml:space="preserve"> </w:t>
      </w:r>
      <w:r>
        <w:rPr>
          <w:sz w:val="22"/>
          <w:szCs w:val="22"/>
        </w:rPr>
        <w:lastRenderedPageBreak/>
        <w:t>corpo</w:t>
      </w:r>
      <w:r w:rsidR="00136D43">
        <w:rPr>
          <w:sz w:val="22"/>
          <w:szCs w:val="22"/>
        </w:rPr>
        <w:t xml:space="preserve"> sociale</w:t>
      </w:r>
      <w:r>
        <w:rPr>
          <w:sz w:val="22"/>
          <w:szCs w:val="22"/>
        </w:rPr>
        <w:t xml:space="preserve"> intermedio</w:t>
      </w:r>
      <w:r w:rsidR="00136D43">
        <w:rPr>
          <w:sz w:val="22"/>
          <w:szCs w:val="22"/>
        </w:rPr>
        <w:t xml:space="preserve">, </w:t>
      </w:r>
      <w:r>
        <w:rPr>
          <w:sz w:val="22"/>
          <w:szCs w:val="22"/>
        </w:rPr>
        <w:t>coordinato</w:t>
      </w:r>
      <w:r w:rsidR="00136D43">
        <w:rPr>
          <w:sz w:val="22"/>
          <w:szCs w:val="22"/>
        </w:rPr>
        <w:t xml:space="preserve"> con la suddetta determinazione contabile da parte delle aziende</w:t>
      </w:r>
      <w:r w:rsidR="00A44639">
        <w:rPr>
          <w:sz w:val="22"/>
          <w:szCs w:val="22"/>
        </w:rPr>
        <w:t xml:space="preserve">. </w:t>
      </w:r>
    </w:p>
    <w:p w14:paraId="524526C2" w14:textId="77777777" w:rsidR="00697433" w:rsidRPr="007F7EBF" w:rsidRDefault="00697433" w:rsidP="00697433">
      <w:pPr>
        <w:pStyle w:val="tit23"/>
        <w:ind w:left="6464" w:right="-1361" w:firstLine="0"/>
        <w:jc w:val="left"/>
        <w:rPr>
          <w:bCs/>
          <w:i/>
          <w:iCs/>
          <w:color w:val="0000FF"/>
          <w:lang w:val="it-IT"/>
        </w:rPr>
      </w:pPr>
      <w:r w:rsidRPr="007F7EBF">
        <w:rPr>
          <w:bCs/>
          <w:i/>
          <w:iCs/>
          <w:color w:val="0000FF"/>
          <w:lang w:val="it-IT"/>
        </w:rPr>
        <w:t xml:space="preserve"> declino</w:t>
      </w:r>
      <w:r w:rsidR="00EB279D" w:rsidRPr="007F7EBF">
        <w:rPr>
          <w:bCs/>
          <w:i/>
          <w:iCs/>
          <w:color w:val="0000FF"/>
          <w:lang w:val="it-IT"/>
        </w:rPr>
        <w:t xml:space="preserve"> degli enti locali</w:t>
      </w:r>
      <w:r w:rsidR="00A400E9" w:rsidRPr="007F7EBF">
        <w:rPr>
          <w:bCs/>
          <w:i/>
          <w:iCs/>
          <w:color w:val="0000FF"/>
          <w:lang w:val="it-IT"/>
        </w:rPr>
        <w:t xml:space="preserve"> nella determinazione dei tributi</w:t>
      </w:r>
    </w:p>
    <w:p w14:paraId="0D33BDB0" w14:textId="4CB29E06" w:rsidR="00BB5A71" w:rsidRPr="007F7EBF" w:rsidRDefault="00136D43" w:rsidP="00BB5A71">
      <w:pPr>
        <w:autoSpaceDE w:val="0"/>
        <w:autoSpaceDN w:val="0"/>
        <w:adjustRightInd w:val="0"/>
        <w:rPr>
          <w:sz w:val="22"/>
          <w:szCs w:val="22"/>
        </w:rPr>
      </w:pPr>
      <w:r>
        <w:rPr>
          <w:bCs/>
          <w:sz w:val="22"/>
          <w:szCs w:val="22"/>
        </w:rPr>
        <w:t>G</w:t>
      </w:r>
      <w:r w:rsidR="00BB5A71">
        <w:rPr>
          <w:bCs/>
          <w:sz w:val="22"/>
          <w:szCs w:val="22"/>
        </w:rPr>
        <w:t xml:space="preserve">li enti locali </w:t>
      </w:r>
      <w:r>
        <w:rPr>
          <w:bCs/>
          <w:sz w:val="22"/>
          <w:szCs w:val="22"/>
        </w:rPr>
        <w:t xml:space="preserve">potevano essere usati </w:t>
      </w:r>
      <w:r w:rsidR="00BB5A71">
        <w:rPr>
          <w:bCs/>
          <w:sz w:val="22"/>
          <w:szCs w:val="22"/>
        </w:rPr>
        <w:t>per s</w:t>
      </w:r>
      <w:r>
        <w:rPr>
          <w:bCs/>
          <w:sz w:val="22"/>
          <w:szCs w:val="22"/>
        </w:rPr>
        <w:t xml:space="preserve">timare i presupposti economici di </w:t>
      </w:r>
      <w:r w:rsidRPr="007F7EBF">
        <w:rPr>
          <w:sz w:val="22"/>
          <w:szCs w:val="22"/>
        </w:rPr>
        <w:t>piccolo commercio, artigianato</w:t>
      </w:r>
      <w:r>
        <w:rPr>
          <w:sz w:val="22"/>
          <w:szCs w:val="22"/>
        </w:rPr>
        <w:t xml:space="preserve">, </w:t>
      </w:r>
      <w:r w:rsidRPr="007F7EBF">
        <w:rPr>
          <w:sz w:val="22"/>
          <w:szCs w:val="22"/>
        </w:rPr>
        <w:t>gestione di immobili</w:t>
      </w:r>
      <w:r>
        <w:rPr>
          <w:sz w:val="22"/>
          <w:szCs w:val="22"/>
        </w:rPr>
        <w:t xml:space="preserve"> e altri, legati al territorio e non determinabili contabilmente. </w:t>
      </w:r>
      <w:r w:rsidR="00672E2A">
        <w:rPr>
          <w:sz w:val="22"/>
          <w:szCs w:val="22"/>
        </w:rPr>
        <w:t xml:space="preserve">Gli enti locali avrebbero cioè potuto collaborare nel controllo del territorio di cui al par.5.7, collaborando con le articolazioni periferiche dell’amministrazione tributaria statale </w:t>
      </w:r>
      <w:r w:rsidR="00672E2A">
        <w:rPr>
          <w:rStyle w:val="Rimandonotaapidipagina"/>
          <w:sz w:val="22"/>
          <w:szCs w:val="22"/>
        </w:rPr>
        <w:footnoteReference w:id="1411"/>
      </w:r>
      <w:r w:rsidR="00672E2A">
        <w:rPr>
          <w:sz w:val="22"/>
          <w:szCs w:val="22"/>
        </w:rPr>
        <w:t xml:space="preserve"> </w:t>
      </w:r>
      <w:r w:rsidR="00BB5A71" w:rsidRPr="007F7EBF">
        <w:rPr>
          <w:sz w:val="22"/>
          <w:szCs w:val="22"/>
        </w:rPr>
        <w:t>.</w:t>
      </w:r>
      <w:r w:rsidR="0047679B" w:rsidRPr="0047679B">
        <w:rPr>
          <w:sz w:val="22"/>
          <w:szCs w:val="22"/>
        </w:rPr>
        <w:t xml:space="preserve"> </w:t>
      </w:r>
      <w:r w:rsidR="00672E2A">
        <w:rPr>
          <w:sz w:val="22"/>
          <w:szCs w:val="22"/>
        </w:rPr>
        <w:t>In assenza di spiegazioni sociali della funzione tributaria (cap.4) il ruolo</w:t>
      </w:r>
      <w:r w:rsidR="0047679B" w:rsidRPr="007F7EBF">
        <w:rPr>
          <w:bCs/>
          <w:sz w:val="22"/>
          <w:szCs w:val="22"/>
        </w:rPr>
        <w:t xml:space="preserve"> degli enti locali</w:t>
      </w:r>
      <w:r w:rsidR="00672E2A">
        <w:rPr>
          <w:bCs/>
          <w:sz w:val="22"/>
          <w:szCs w:val="22"/>
        </w:rPr>
        <w:t xml:space="preserve"> declinò. </w:t>
      </w:r>
    </w:p>
    <w:p w14:paraId="34A2C558" w14:textId="77777777" w:rsidR="00E56714" w:rsidRPr="007F7EBF" w:rsidRDefault="00493336" w:rsidP="00E56714">
      <w:pPr>
        <w:pStyle w:val="tit23"/>
        <w:ind w:left="6464" w:right="-1361" w:firstLine="0"/>
        <w:jc w:val="left"/>
        <w:rPr>
          <w:bCs/>
          <w:i/>
          <w:iCs/>
          <w:color w:val="0000FF"/>
          <w:lang w:val="it-IT"/>
        </w:rPr>
      </w:pPr>
      <w:r w:rsidRPr="007F7EBF">
        <w:rPr>
          <w:bCs/>
          <w:i/>
          <w:iCs/>
          <w:color w:val="0000FF"/>
          <w:lang w:val="it-IT"/>
        </w:rPr>
        <w:t xml:space="preserve">Squilibrio tra spese e entrate proprie </w:t>
      </w:r>
    </w:p>
    <w:p w14:paraId="1EAB6A4C" w14:textId="73D5EA3D" w:rsidR="0047679B" w:rsidRPr="007F7EBF" w:rsidRDefault="00672E2A" w:rsidP="0047679B">
      <w:pPr>
        <w:autoSpaceDE w:val="0"/>
        <w:autoSpaceDN w:val="0"/>
        <w:adjustRightInd w:val="0"/>
        <w:rPr>
          <w:sz w:val="22"/>
          <w:szCs w:val="22"/>
        </w:rPr>
      </w:pPr>
      <w:r>
        <w:rPr>
          <w:bCs/>
          <w:sz w:val="22"/>
          <w:szCs w:val="22"/>
        </w:rPr>
        <w:t xml:space="preserve">Il declino fu </w:t>
      </w:r>
      <w:r w:rsidRPr="007F7EBF">
        <w:rPr>
          <w:bCs/>
          <w:sz w:val="22"/>
          <w:szCs w:val="22"/>
        </w:rPr>
        <w:t xml:space="preserve">sugellato </w:t>
      </w:r>
      <w:r>
        <w:rPr>
          <w:bCs/>
          <w:sz w:val="22"/>
          <w:szCs w:val="22"/>
        </w:rPr>
        <w:t>dal</w:t>
      </w:r>
      <w:r w:rsidRPr="007F7EBF">
        <w:rPr>
          <w:bCs/>
          <w:sz w:val="22"/>
          <w:szCs w:val="22"/>
        </w:rPr>
        <w:t>l’improvvisata riforma del 1973</w:t>
      </w:r>
      <w:r>
        <w:rPr>
          <w:bCs/>
          <w:sz w:val="22"/>
          <w:szCs w:val="22"/>
        </w:rPr>
        <w:t xml:space="preserve">, </w:t>
      </w:r>
      <w:r w:rsidRPr="007F7EBF">
        <w:rPr>
          <w:bCs/>
          <w:sz w:val="22"/>
          <w:szCs w:val="22"/>
        </w:rPr>
        <w:t>basata su un insieme di imposte statali</w:t>
      </w:r>
      <w:r>
        <w:rPr>
          <w:bCs/>
          <w:sz w:val="22"/>
          <w:szCs w:val="22"/>
        </w:rPr>
        <w:t>(</w:t>
      </w:r>
      <w:r w:rsidRPr="007F7EBF">
        <w:rPr>
          <w:rStyle w:val="Rimandonotaapidipagina"/>
          <w:bCs/>
          <w:sz w:val="22"/>
          <w:szCs w:val="22"/>
        </w:rPr>
        <w:footnoteReference w:id="1412"/>
      </w:r>
      <w:r>
        <w:rPr>
          <w:bCs/>
          <w:sz w:val="22"/>
          <w:szCs w:val="22"/>
        </w:rPr>
        <w:t xml:space="preserve">), il cui gettito era usato anche per finanziare le spese degli </w:t>
      </w:r>
      <w:r w:rsidRPr="007F7EBF">
        <w:rPr>
          <w:bCs/>
          <w:sz w:val="22"/>
          <w:szCs w:val="22"/>
        </w:rPr>
        <w:t>enti territoriali</w:t>
      </w:r>
      <w:r>
        <w:rPr>
          <w:sz w:val="22"/>
          <w:szCs w:val="22"/>
        </w:rPr>
        <w:t>. L</w:t>
      </w:r>
      <w:r w:rsidR="00A76649" w:rsidRPr="007F7EBF">
        <w:rPr>
          <w:sz w:val="22"/>
          <w:szCs w:val="22"/>
        </w:rPr>
        <w:t xml:space="preserve">'erogazione delle spese </w:t>
      </w:r>
      <w:r>
        <w:rPr>
          <w:sz w:val="22"/>
          <w:szCs w:val="22"/>
        </w:rPr>
        <w:t>locali si separò quindi dall’</w:t>
      </w:r>
      <w:r w:rsidR="00A76649" w:rsidRPr="007F7EBF">
        <w:rPr>
          <w:sz w:val="22"/>
          <w:szCs w:val="22"/>
        </w:rPr>
        <w:t xml:space="preserve">acquisizione delle </w:t>
      </w:r>
      <w:r>
        <w:rPr>
          <w:sz w:val="22"/>
          <w:szCs w:val="22"/>
        </w:rPr>
        <w:t xml:space="preserve">imposte, </w:t>
      </w:r>
      <w:r w:rsidR="00112D95">
        <w:rPr>
          <w:sz w:val="22"/>
          <w:szCs w:val="22"/>
        </w:rPr>
        <w:t>diminu</w:t>
      </w:r>
      <w:r>
        <w:rPr>
          <w:sz w:val="22"/>
          <w:szCs w:val="22"/>
        </w:rPr>
        <w:t>end</w:t>
      </w:r>
      <w:r w:rsidR="00112D95">
        <w:rPr>
          <w:sz w:val="22"/>
          <w:szCs w:val="22"/>
        </w:rPr>
        <w:t>o l’autosufficienza finanziaria de</w:t>
      </w:r>
      <w:r w:rsidR="00A76649" w:rsidRPr="007F7EBF">
        <w:rPr>
          <w:sz w:val="22"/>
          <w:szCs w:val="22"/>
        </w:rPr>
        <w:t>gli enti locali</w:t>
      </w:r>
      <w:r>
        <w:rPr>
          <w:sz w:val="22"/>
          <w:szCs w:val="22"/>
        </w:rPr>
        <w:t xml:space="preserve"> e deresponsabilizzandoli </w:t>
      </w:r>
      <w:r w:rsidR="00A76649">
        <w:rPr>
          <w:sz w:val="22"/>
          <w:szCs w:val="22"/>
        </w:rPr>
        <w:t xml:space="preserve"> nella</w:t>
      </w:r>
      <w:r>
        <w:rPr>
          <w:sz w:val="22"/>
          <w:szCs w:val="22"/>
        </w:rPr>
        <w:t xml:space="preserve"> spesa </w:t>
      </w:r>
      <w:r w:rsidR="00A76649">
        <w:rPr>
          <w:sz w:val="22"/>
          <w:szCs w:val="22"/>
        </w:rPr>
        <w:t>(</w:t>
      </w:r>
      <w:r w:rsidR="00A76649" w:rsidRPr="007F7EBF">
        <w:rPr>
          <w:rStyle w:val="Rimandonotaapidipagina"/>
          <w:sz w:val="22"/>
          <w:szCs w:val="22"/>
        </w:rPr>
        <w:footnoteReference w:id="1413"/>
      </w:r>
      <w:r w:rsidR="00A76649">
        <w:rPr>
          <w:sz w:val="22"/>
          <w:szCs w:val="22"/>
        </w:rPr>
        <w:t>)</w:t>
      </w:r>
      <w:r>
        <w:rPr>
          <w:sz w:val="22"/>
          <w:szCs w:val="22"/>
        </w:rPr>
        <w:t xml:space="preserve">. </w:t>
      </w:r>
      <w:r w:rsidR="006F3149">
        <w:rPr>
          <w:sz w:val="22"/>
          <w:szCs w:val="22"/>
        </w:rPr>
        <w:t>Quest’ultima era infatti</w:t>
      </w:r>
      <w:r>
        <w:rPr>
          <w:sz w:val="22"/>
          <w:szCs w:val="22"/>
        </w:rPr>
        <w:t xml:space="preserve"> finanzia</w:t>
      </w:r>
      <w:r w:rsidR="006F3149">
        <w:rPr>
          <w:sz w:val="22"/>
          <w:szCs w:val="22"/>
        </w:rPr>
        <w:t>ta dallo stato</w:t>
      </w:r>
      <w:r>
        <w:rPr>
          <w:sz w:val="22"/>
          <w:szCs w:val="22"/>
        </w:rPr>
        <w:t xml:space="preserve"> centrale</w:t>
      </w:r>
      <w:r w:rsidR="009507A7">
        <w:rPr>
          <w:sz w:val="22"/>
          <w:szCs w:val="22"/>
        </w:rPr>
        <w:t xml:space="preserve"> risparmia</w:t>
      </w:r>
      <w:r w:rsidR="006F3149">
        <w:rPr>
          <w:sz w:val="22"/>
          <w:szCs w:val="22"/>
        </w:rPr>
        <w:t>ndo</w:t>
      </w:r>
      <w:r w:rsidR="009507A7">
        <w:rPr>
          <w:sz w:val="22"/>
          <w:szCs w:val="22"/>
        </w:rPr>
        <w:t xml:space="preserve"> agli </w:t>
      </w:r>
      <w:r w:rsidR="0047679B" w:rsidRPr="007F7EBF">
        <w:rPr>
          <w:sz w:val="22"/>
          <w:szCs w:val="22"/>
        </w:rPr>
        <w:t>enti locali</w:t>
      </w:r>
      <w:r w:rsidR="0047679B">
        <w:rPr>
          <w:sz w:val="22"/>
          <w:szCs w:val="22"/>
        </w:rPr>
        <w:t xml:space="preserve"> </w:t>
      </w:r>
      <w:r w:rsidR="009507A7">
        <w:rPr>
          <w:sz w:val="22"/>
          <w:szCs w:val="22"/>
        </w:rPr>
        <w:t>l’impopolarità di avere imposte proprie</w:t>
      </w:r>
      <w:r w:rsidR="006F3149">
        <w:rPr>
          <w:sz w:val="22"/>
          <w:szCs w:val="22"/>
        </w:rPr>
        <w:t xml:space="preserve">, </w:t>
      </w:r>
      <w:r w:rsidR="0047679B" w:rsidRPr="007F7EBF">
        <w:rPr>
          <w:sz w:val="22"/>
          <w:szCs w:val="22"/>
        </w:rPr>
        <w:t>sgradit</w:t>
      </w:r>
      <w:r w:rsidR="009507A7">
        <w:rPr>
          <w:sz w:val="22"/>
          <w:szCs w:val="22"/>
        </w:rPr>
        <w:t xml:space="preserve">e </w:t>
      </w:r>
      <w:r w:rsidR="0047679B" w:rsidRPr="007F7EBF">
        <w:rPr>
          <w:sz w:val="22"/>
          <w:szCs w:val="22"/>
        </w:rPr>
        <w:t>sul piano del consenso</w:t>
      </w:r>
      <w:r w:rsidR="006F3149">
        <w:rPr>
          <w:sz w:val="22"/>
          <w:szCs w:val="22"/>
        </w:rPr>
        <w:t xml:space="preserve"> elettorale</w:t>
      </w:r>
      <w:r w:rsidR="0047679B" w:rsidRPr="007F7EBF">
        <w:rPr>
          <w:sz w:val="22"/>
          <w:szCs w:val="22"/>
        </w:rPr>
        <w:t xml:space="preserve">. </w:t>
      </w:r>
      <w:r w:rsidR="006F3149">
        <w:t xml:space="preserve">Ciò </w:t>
      </w:r>
      <w:r w:rsidR="006F3149" w:rsidRPr="007F7EBF">
        <w:t xml:space="preserve"> </w:t>
      </w:r>
      <w:r w:rsidR="006F3149">
        <w:t xml:space="preserve">  </w:t>
      </w:r>
      <w:r w:rsidR="006F3149" w:rsidRPr="007F7EBF">
        <w:t>ostacola</w:t>
      </w:r>
      <w:r w:rsidR="006F3149">
        <w:t>v</w:t>
      </w:r>
      <w:r w:rsidR="006F3149" w:rsidRPr="007F7EBF">
        <w:t xml:space="preserve">a l'oculata gestione del bilancio, e la responsabilità politica verso gli elettori. </w:t>
      </w:r>
      <w:r w:rsidR="006F3149" w:rsidRPr="007F7EBF">
        <w:rPr>
          <w:bCs/>
        </w:rPr>
        <w:t xml:space="preserve"> </w:t>
      </w:r>
    </w:p>
    <w:p w14:paraId="4AECEC1B" w14:textId="77777777" w:rsidR="00E56714" w:rsidRPr="007F7EBF" w:rsidRDefault="00882C97" w:rsidP="00E56714">
      <w:pPr>
        <w:pStyle w:val="tit23"/>
        <w:ind w:left="6464" w:right="-1361" w:firstLine="0"/>
        <w:jc w:val="left"/>
        <w:rPr>
          <w:bCs/>
          <w:i/>
          <w:iCs/>
          <w:color w:val="0000FF"/>
          <w:lang w:val="it-IT"/>
        </w:rPr>
      </w:pPr>
      <w:r w:rsidRPr="007F7EBF">
        <w:rPr>
          <w:bCs/>
          <w:i/>
          <w:iCs/>
          <w:color w:val="0000FF"/>
          <w:lang w:val="it-IT"/>
        </w:rPr>
        <w:t>Squilibri territoriali e “federalismo fiscale”</w:t>
      </w:r>
    </w:p>
    <w:p w14:paraId="7E2A9522" w14:textId="36581598" w:rsidR="00E56714" w:rsidRPr="007F7EBF" w:rsidRDefault="006F3149" w:rsidP="00E56714">
      <w:pPr>
        <w:autoSpaceDE w:val="0"/>
        <w:autoSpaceDN w:val="0"/>
        <w:adjustRightInd w:val="0"/>
        <w:rPr>
          <w:sz w:val="22"/>
          <w:szCs w:val="22"/>
        </w:rPr>
      </w:pPr>
      <w:r>
        <w:rPr>
          <w:sz w:val="22"/>
          <w:szCs w:val="22"/>
        </w:rPr>
        <w:lastRenderedPageBreak/>
        <w:t xml:space="preserve">Ne sono derivate anche </w:t>
      </w:r>
      <w:r w:rsidR="00882C97" w:rsidRPr="007F7EBF">
        <w:rPr>
          <w:sz w:val="22"/>
          <w:szCs w:val="22"/>
        </w:rPr>
        <w:t xml:space="preserve">recriminazioni delle regioni più </w:t>
      </w:r>
      <w:r>
        <w:rPr>
          <w:sz w:val="22"/>
          <w:szCs w:val="22"/>
        </w:rPr>
        <w:t>sviluppate</w:t>
      </w:r>
      <w:r w:rsidR="00882C97" w:rsidRPr="007F7EBF">
        <w:rPr>
          <w:sz w:val="22"/>
          <w:szCs w:val="22"/>
        </w:rPr>
        <w:t>, da cui proveniva buona parte</w:t>
      </w:r>
      <w:r w:rsidR="00A44639">
        <w:rPr>
          <w:sz w:val="22"/>
          <w:szCs w:val="22"/>
        </w:rPr>
        <w:t xml:space="preserve"> </w:t>
      </w:r>
      <w:r w:rsidR="00882C97" w:rsidRPr="007F7EBF">
        <w:rPr>
          <w:sz w:val="22"/>
          <w:szCs w:val="22"/>
        </w:rPr>
        <w:t>delle entrate statali</w:t>
      </w:r>
      <w:r w:rsidR="00D07692">
        <w:rPr>
          <w:sz w:val="22"/>
          <w:szCs w:val="22"/>
        </w:rPr>
        <w:t>, utilizzate anche per i suddetti trasferimenti alle regioni più povere</w:t>
      </w:r>
      <w:r w:rsidR="00882C97" w:rsidRPr="007F7EBF">
        <w:rPr>
          <w:sz w:val="22"/>
          <w:szCs w:val="22"/>
        </w:rPr>
        <w:t xml:space="preserve">; </w:t>
      </w:r>
      <w:r w:rsidR="00D07692">
        <w:rPr>
          <w:sz w:val="22"/>
          <w:szCs w:val="22"/>
        </w:rPr>
        <w:t>la protesta delle</w:t>
      </w:r>
      <w:r w:rsidR="00882C97" w:rsidRPr="007F7EBF">
        <w:rPr>
          <w:sz w:val="22"/>
          <w:szCs w:val="22"/>
        </w:rPr>
        <w:t xml:space="preserve"> regioni </w:t>
      </w:r>
      <w:r w:rsidR="00D07692">
        <w:rPr>
          <w:sz w:val="22"/>
          <w:szCs w:val="22"/>
        </w:rPr>
        <w:t>da cui maggiormente veniva il g</w:t>
      </w:r>
      <w:r w:rsidR="00882C97" w:rsidRPr="007F7EBF">
        <w:rPr>
          <w:sz w:val="22"/>
          <w:szCs w:val="22"/>
        </w:rPr>
        <w:t xml:space="preserve">ettito tributario statale, </w:t>
      </w:r>
      <w:r w:rsidR="00D07692">
        <w:rPr>
          <w:sz w:val="22"/>
          <w:szCs w:val="22"/>
        </w:rPr>
        <w:t xml:space="preserve">era che esso </w:t>
      </w:r>
      <w:r w:rsidR="00882C97" w:rsidRPr="007F7EBF">
        <w:rPr>
          <w:sz w:val="22"/>
          <w:szCs w:val="22"/>
        </w:rPr>
        <w:t>finanzia</w:t>
      </w:r>
      <w:r w:rsidR="00A44639">
        <w:rPr>
          <w:sz w:val="22"/>
          <w:szCs w:val="22"/>
        </w:rPr>
        <w:t>va</w:t>
      </w:r>
      <w:r w:rsidR="00882C97" w:rsidRPr="007F7EBF">
        <w:rPr>
          <w:sz w:val="22"/>
          <w:szCs w:val="22"/>
        </w:rPr>
        <w:t xml:space="preserve"> spese</w:t>
      </w:r>
      <w:r w:rsidR="007544DC" w:rsidRPr="007F7EBF">
        <w:rPr>
          <w:sz w:val="22"/>
          <w:szCs w:val="22"/>
        </w:rPr>
        <w:t xml:space="preserve"> e sprechi</w:t>
      </w:r>
      <w:r w:rsidR="00882C97" w:rsidRPr="007F7EBF">
        <w:rPr>
          <w:sz w:val="22"/>
          <w:szCs w:val="22"/>
        </w:rPr>
        <w:t xml:space="preserve"> di altre regioni</w:t>
      </w:r>
      <w:r w:rsidR="00D07692">
        <w:rPr>
          <w:sz w:val="22"/>
          <w:szCs w:val="22"/>
        </w:rPr>
        <w:t xml:space="preserve"> (</w:t>
      </w:r>
      <w:r w:rsidR="007544DC" w:rsidRPr="007F7EBF">
        <w:rPr>
          <w:rStyle w:val="Rimandonotaapidipagina"/>
          <w:sz w:val="22"/>
          <w:szCs w:val="22"/>
        </w:rPr>
        <w:footnoteReference w:id="1414"/>
      </w:r>
      <w:r w:rsidR="00D07692">
        <w:rPr>
          <w:sz w:val="22"/>
          <w:szCs w:val="22"/>
        </w:rPr>
        <w:t>)</w:t>
      </w:r>
      <w:r w:rsidR="00882C97" w:rsidRPr="007F7EBF">
        <w:rPr>
          <w:sz w:val="22"/>
          <w:szCs w:val="22"/>
        </w:rPr>
        <w:t>.</w:t>
      </w:r>
      <w:r w:rsidR="007544DC" w:rsidRPr="007F7EBF">
        <w:rPr>
          <w:sz w:val="22"/>
          <w:szCs w:val="22"/>
        </w:rPr>
        <w:t xml:space="preserve"> </w:t>
      </w:r>
      <w:r w:rsidR="00D35F6C" w:rsidRPr="007F7EBF">
        <w:rPr>
          <w:sz w:val="22"/>
          <w:szCs w:val="22"/>
        </w:rPr>
        <w:t xml:space="preserve"> </w:t>
      </w:r>
      <w:r w:rsidR="006342C5" w:rsidRPr="007F7EBF">
        <w:rPr>
          <w:sz w:val="22"/>
          <w:szCs w:val="22"/>
        </w:rPr>
        <w:t>Ne sono nate, a partire dal 1993, discussioni politico sociali genericamente indicate</w:t>
      </w:r>
      <w:r w:rsidR="00D35F6C" w:rsidRPr="007F7EBF">
        <w:rPr>
          <w:sz w:val="22"/>
          <w:szCs w:val="22"/>
        </w:rPr>
        <w:t xml:space="preserve"> </w:t>
      </w:r>
      <w:r w:rsidR="006342C5" w:rsidRPr="007F7EBF">
        <w:rPr>
          <w:sz w:val="22"/>
          <w:szCs w:val="22"/>
        </w:rPr>
        <w:t>con l’espressione “</w:t>
      </w:r>
      <w:r w:rsidR="006342C5" w:rsidRPr="007F7EBF">
        <w:rPr>
          <w:bCs/>
          <w:sz w:val="22"/>
          <w:szCs w:val="22"/>
        </w:rPr>
        <w:t>federalismo fiscale</w:t>
      </w:r>
      <w:r w:rsidR="006342C5" w:rsidRPr="007F7EBF">
        <w:rPr>
          <w:sz w:val="22"/>
          <w:szCs w:val="22"/>
        </w:rPr>
        <w:t xml:space="preserve">“, inteso come </w:t>
      </w:r>
      <w:r w:rsidR="006342C5" w:rsidRPr="007F7EBF">
        <w:rPr>
          <w:bCs/>
          <w:sz w:val="22"/>
          <w:szCs w:val="22"/>
        </w:rPr>
        <w:t>esigenza di avvicinare le entrate</w:t>
      </w:r>
      <w:r w:rsidR="00882C97" w:rsidRPr="007F7EBF">
        <w:rPr>
          <w:bCs/>
          <w:sz w:val="22"/>
          <w:szCs w:val="22"/>
        </w:rPr>
        <w:t xml:space="preserve"> </w:t>
      </w:r>
      <w:r w:rsidR="006342C5" w:rsidRPr="007F7EBF">
        <w:rPr>
          <w:bCs/>
          <w:sz w:val="22"/>
          <w:szCs w:val="22"/>
        </w:rPr>
        <w:t xml:space="preserve">locali alle spese locali, </w:t>
      </w:r>
      <w:r w:rsidR="006342C5" w:rsidRPr="007F7EBF">
        <w:rPr>
          <w:sz w:val="22"/>
          <w:szCs w:val="22"/>
        </w:rPr>
        <w:t>garantendo i servizi essenziali alle aree territoriali più</w:t>
      </w:r>
      <w:r w:rsidR="00D35F6C" w:rsidRPr="007F7EBF">
        <w:rPr>
          <w:sz w:val="22"/>
          <w:szCs w:val="22"/>
        </w:rPr>
        <w:t xml:space="preserve"> </w:t>
      </w:r>
      <w:r w:rsidR="006342C5" w:rsidRPr="007F7EBF">
        <w:rPr>
          <w:sz w:val="22"/>
          <w:szCs w:val="22"/>
        </w:rPr>
        <w:t xml:space="preserve">deboli, ma stimolandone l’efficienza amministrativa. </w:t>
      </w:r>
    </w:p>
    <w:p w14:paraId="42A82493" w14:textId="77777777" w:rsidR="00E56714" w:rsidRPr="007F7EBF" w:rsidRDefault="00F20E53" w:rsidP="00E56714">
      <w:pPr>
        <w:pStyle w:val="tit23"/>
        <w:ind w:left="6464" w:right="-1361" w:firstLine="0"/>
        <w:jc w:val="left"/>
        <w:rPr>
          <w:bCs/>
          <w:i/>
          <w:iCs/>
          <w:color w:val="0000FF"/>
          <w:lang w:val="it-IT"/>
        </w:rPr>
      </w:pPr>
      <w:r w:rsidRPr="007F7EBF">
        <w:rPr>
          <w:bCs/>
          <w:i/>
          <w:iCs/>
          <w:color w:val="0000FF"/>
          <w:lang w:val="it-IT"/>
        </w:rPr>
        <w:t>Una questione</w:t>
      </w:r>
      <w:r w:rsidR="00E56714" w:rsidRPr="007F7EBF">
        <w:rPr>
          <w:bCs/>
          <w:i/>
          <w:iCs/>
          <w:color w:val="0000FF"/>
          <w:lang w:val="it-IT"/>
        </w:rPr>
        <w:t xml:space="preserve"> generale di finanza </w:t>
      </w:r>
      <w:r w:rsidRPr="007F7EBF">
        <w:rPr>
          <w:bCs/>
          <w:i/>
          <w:iCs/>
          <w:color w:val="0000FF"/>
          <w:lang w:val="it-IT"/>
        </w:rPr>
        <w:t>pubblica</w:t>
      </w:r>
    </w:p>
    <w:p w14:paraId="373AFFE2" w14:textId="77777777" w:rsidR="00D3249A" w:rsidRDefault="00730D92" w:rsidP="00A400E9">
      <w:pPr>
        <w:autoSpaceDE w:val="0"/>
        <w:autoSpaceDN w:val="0"/>
        <w:adjustRightInd w:val="0"/>
        <w:rPr>
          <w:sz w:val="22"/>
          <w:szCs w:val="22"/>
        </w:rPr>
      </w:pPr>
      <w:r w:rsidRPr="007F7EBF">
        <w:rPr>
          <w:sz w:val="22"/>
          <w:szCs w:val="22"/>
        </w:rPr>
        <w:t xml:space="preserve">Su queste premesse </w:t>
      </w:r>
      <w:r w:rsidR="00576D95" w:rsidRPr="007F7EBF">
        <w:rPr>
          <w:sz w:val="22"/>
          <w:szCs w:val="22"/>
        </w:rPr>
        <w:t xml:space="preserve">il finanziamento degli enti locali </w:t>
      </w:r>
      <w:r w:rsidRPr="007F7EBF">
        <w:rPr>
          <w:sz w:val="22"/>
          <w:szCs w:val="22"/>
        </w:rPr>
        <w:t xml:space="preserve">appare come </w:t>
      </w:r>
      <w:r w:rsidR="00576D95" w:rsidRPr="007F7EBF">
        <w:rPr>
          <w:sz w:val="22"/>
          <w:szCs w:val="22"/>
        </w:rPr>
        <w:t xml:space="preserve">questione </w:t>
      </w:r>
      <w:r w:rsidR="006342C5" w:rsidRPr="007F7EBF">
        <w:rPr>
          <w:sz w:val="22"/>
          <w:szCs w:val="22"/>
        </w:rPr>
        <w:t>complessiv</w:t>
      </w:r>
      <w:r w:rsidR="00576D95" w:rsidRPr="007F7EBF">
        <w:rPr>
          <w:sz w:val="22"/>
          <w:szCs w:val="22"/>
        </w:rPr>
        <w:t xml:space="preserve">a </w:t>
      </w:r>
      <w:r w:rsidR="006342C5" w:rsidRPr="007F7EBF">
        <w:rPr>
          <w:sz w:val="22"/>
          <w:szCs w:val="22"/>
        </w:rPr>
        <w:t>di finanza pubblica</w:t>
      </w:r>
      <w:r w:rsidR="00D07692">
        <w:rPr>
          <w:sz w:val="22"/>
          <w:szCs w:val="22"/>
        </w:rPr>
        <w:t>(</w:t>
      </w:r>
      <w:r w:rsidRPr="007F7EBF">
        <w:rPr>
          <w:rStyle w:val="Rimandonotaapidipagina"/>
          <w:sz w:val="22"/>
          <w:szCs w:val="22"/>
        </w:rPr>
        <w:footnoteReference w:id="1415"/>
      </w:r>
      <w:r w:rsidR="00D07692">
        <w:rPr>
          <w:sz w:val="22"/>
          <w:szCs w:val="22"/>
        </w:rPr>
        <w:t>)</w:t>
      </w:r>
      <w:r w:rsidR="00576D95" w:rsidRPr="007F7EBF">
        <w:rPr>
          <w:sz w:val="22"/>
          <w:szCs w:val="22"/>
        </w:rPr>
        <w:t xml:space="preserve">, </w:t>
      </w:r>
      <w:r w:rsidR="00A44639">
        <w:rPr>
          <w:sz w:val="22"/>
          <w:szCs w:val="22"/>
        </w:rPr>
        <w:t xml:space="preserve">cioè di </w:t>
      </w:r>
      <w:r w:rsidR="00576D95" w:rsidRPr="00A44639">
        <w:rPr>
          <w:i/>
          <w:sz w:val="22"/>
          <w:szCs w:val="22"/>
        </w:rPr>
        <w:t>fiscalità</w:t>
      </w:r>
      <w:r w:rsidR="00576D95" w:rsidRPr="007F7EBF">
        <w:rPr>
          <w:sz w:val="22"/>
          <w:szCs w:val="22"/>
        </w:rPr>
        <w:t xml:space="preserve"> </w:t>
      </w:r>
      <w:r w:rsidR="00A44639">
        <w:rPr>
          <w:sz w:val="22"/>
          <w:szCs w:val="22"/>
        </w:rPr>
        <w:t xml:space="preserve">, </w:t>
      </w:r>
      <w:r w:rsidR="00414B03">
        <w:rPr>
          <w:sz w:val="22"/>
          <w:szCs w:val="22"/>
        </w:rPr>
        <w:t xml:space="preserve">che travalica la funzione tributaria, come visto al par.1.1. Anche l’espressione </w:t>
      </w:r>
      <w:r w:rsidR="00414B03" w:rsidRPr="007F7EBF">
        <w:t>“federalismo fiscale”</w:t>
      </w:r>
      <w:r w:rsidR="00414B03">
        <w:t>, di</w:t>
      </w:r>
      <w:r w:rsidR="00414B03" w:rsidRPr="007F7EBF">
        <w:t xml:space="preserve"> origine statunitense, dove </w:t>
      </w:r>
      <w:r w:rsidR="00414B03">
        <w:t xml:space="preserve">gli organi </w:t>
      </w:r>
      <w:r w:rsidR="00414B03" w:rsidRPr="007F7EBF">
        <w:t xml:space="preserve">“federali” </w:t>
      </w:r>
      <w:r w:rsidR="00414B03">
        <w:t xml:space="preserve">sono </w:t>
      </w:r>
      <w:r w:rsidR="00414B03" w:rsidRPr="007F7EBF">
        <w:t>dello stato centrale, non de</w:t>
      </w:r>
      <w:r w:rsidR="00414B03">
        <w:t xml:space="preserve">i </w:t>
      </w:r>
      <w:r w:rsidR="00414B03" w:rsidRPr="007F7EBF">
        <w:t xml:space="preserve">50 singoli </w:t>
      </w:r>
      <w:r w:rsidR="00414B03">
        <w:t>S</w:t>
      </w:r>
      <w:r w:rsidR="00414B03" w:rsidRPr="007F7EBF">
        <w:t xml:space="preserve">tati </w:t>
      </w:r>
      <w:r w:rsidR="00414B03">
        <w:t>dell’Unione</w:t>
      </w:r>
      <w:r w:rsidR="00414B03">
        <w:rPr>
          <w:sz w:val="22"/>
          <w:szCs w:val="22"/>
        </w:rPr>
        <w:t xml:space="preserve">, </w:t>
      </w:r>
      <w:r w:rsidR="00D3249A">
        <w:rPr>
          <w:sz w:val="22"/>
          <w:szCs w:val="22"/>
        </w:rPr>
        <w:t>sottintende</w:t>
      </w:r>
      <w:r w:rsidR="00414B03">
        <w:rPr>
          <w:sz w:val="22"/>
          <w:szCs w:val="22"/>
        </w:rPr>
        <w:t xml:space="preserve"> un </w:t>
      </w:r>
      <w:r w:rsidR="00D3249A">
        <w:rPr>
          <w:sz w:val="22"/>
          <w:szCs w:val="22"/>
        </w:rPr>
        <w:t xml:space="preserve">maggior </w:t>
      </w:r>
      <w:r w:rsidR="00414B03">
        <w:rPr>
          <w:sz w:val="22"/>
          <w:szCs w:val="22"/>
        </w:rPr>
        <w:t>centralismo delle imposte</w:t>
      </w:r>
      <w:r w:rsidR="00D3249A">
        <w:rPr>
          <w:sz w:val="22"/>
          <w:szCs w:val="22"/>
        </w:rPr>
        <w:t xml:space="preserve">, rispetto alle spese degli enti territoriali. </w:t>
      </w:r>
    </w:p>
    <w:p w14:paraId="478FF28B" w14:textId="4EA7A172" w:rsidR="00A400E9" w:rsidRPr="007F7EBF" w:rsidRDefault="00D3249A" w:rsidP="00A400E9">
      <w:pPr>
        <w:autoSpaceDE w:val="0"/>
        <w:autoSpaceDN w:val="0"/>
        <w:adjustRightInd w:val="0"/>
        <w:rPr>
          <w:sz w:val="22"/>
          <w:szCs w:val="22"/>
        </w:rPr>
      </w:pPr>
      <w:r>
        <w:rPr>
          <w:sz w:val="22"/>
          <w:szCs w:val="22"/>
        </w:rPr>
        <w:t xml:space="preserve">Oggi in Italia si discutono soluzioni basate sull’attribuzione alle regioni del gettito raccolto sul loro territorio </w:t>
      </w:r>
      <w:r>
        <w:rPr>
          <w:rStyle w:val="Rimandonotaapidipagina"/>
          <w:sz w:val="22"/>
          <w:szCs w:val="22"/>
        </w:rPr>
        <w:footnoteReference w:id="1416"/>
      </w:r>
      <w:r>
        <w:rPr>
          <w:sz w:val="22"/>
          <w:szCs w:val="22"/>
        </w:rPr>
        <w:t xml:space="preserve"> </w:t>
      </w:r>
      <w:r w:rsidR="006D2BCF">
        <w:rPr>
          <w:sz w:val="22"/>
          <w:szCs w:val="22"/>
        </w:rPr>
        <w:t xml:space="preserve">o sulla commisurazione dei trasferimenti </w:t>
      </w:r>
      <w:r w:rsidR="006B5063">
        <w:rPr>
          <w:sz w:val="22"/>
          <w:szCs w:val="22"/>
        </w:rPr>
        <w:t xml:space="preserve">a </w:t>
      </w:r>
      <w:r w:rsidR="006B5063" w:rsidRPr="006B5063">
        <w:rPr>
          <w:i/>
          <w:iCs/>
          <w:sz w:val="22"/>
          <w:szCs w:val="22"/>
        </w:rPr>
        <w:t>costi standard</w:t>
      </w:r>
      <w:r w:rsidR="006B5063">
        <w:rPr>
          <w:sz w:val="22"/>
          <w:szCs w:val="22"/>
        </w:rPr>
        <w:t xml:space="preserve"> (</w:t>
      </w:r>
      <w:r w:rsidR="006B5063" w:rsidRPr="007F7EBF">
        <w:rPr>
          <w:rStyle w:val="Rimandonotaapidipagina"/>
          <w:sz w:val="22"/>
          <w:szCs w:val="22"/>
        </w:rPr>
        <w:footnoteReference w:id="1417"/>
      </w:r>
      <w:r w:rsidR="006B5063">
        <w:rPr>
          <w:sz w:val="22"/>
          <w:szCs w:val="22"/>
        </w:rPr>
        <w:t>)</w:t>
      </w:r>
      <w:r>
        <w:rPr>
          <w:sz w:val="22"/>
          <w:szCs w:val="22"/>
        </w:rPr>
        <w:t xml:space="preserve"> </w:t>
      </w:r>
      <w:r w:rsidR="006B5063">
        <w:rPr>
          <w:sz w:val="22"/>
          <w:szCs w:val="22"/>
        </w:rPr>
        <w:t>abbandonando il rimborso della spesa locale inefficiente</w:t>
      </w:r>
      <w:r w:rsidR="00CD6718" w:rsidRPr="007F7EBF">
        <w:rPr>
          <w:sz w:val="22"/>
          <w:szCs w:val="22"/>
        </w:rPr>
        <w:t xml:space="preserve"> </w:t>
      </w:r>
      <w:r w:rsidR="00BB5A71">
        <w:rPr>
          <w:sz w:val="22"/>
          <w:szCs w:val="22"/>
        </w:rPr>
        <w:t>(</w:t>
      </w:r>
      <w:r w:rsidR="00CD6718" w:rsidRPr="007F7EBF">
        <w:rPr>
          <w:rStyle w:val="Rimandonotaapidipagina"/>
          <w:sz w:val="22"/>
          <w:szCs w:val="22"/>
        </w:rPr>
        <w:footnoteReference w:id="1418"/>
      </w:r>
      <w:r w:rsidR="00BB5A71">
        <w:rPr>
          <w:sz w:val="22"/>
          <w:szCs w:val="22"/>
        </w:rPr>
        <w:t>)</w:t>
      </w:r>
      <w:r w:rsidR="00F416D1" w:rsidRPr="007F7EBF">
        <w:rPr>
          <w:sz w:val="22"/>
          <w:szCs w:val="22"/>
        </w:rPr>
        <w:t xml:space="preserve">. </w:t>
      </w:r>
    </w:p>
    <w:p w14:paraId="46F42E96" w14:textId="77777777" w:rsidR="00697433" w:rsidRPr="007F7EBF" w:rsidRDefault="00697433" w:rsidP="00697433">
      <w:pPr>
        <w:pStyle w:val="tit23"/>
        <w:ind w:left="6464" w:right="-1361" w:firstLine="0"/>
        <w:jc w:val="left"/>
        <w:rPr>
          <w:bCs/>
          <w:i/>
          <w:iCs/>
          <w:color w:val="0000FF"/>
          <w:lang w:val="it-IT"/>
        </w:rPr>
      </w:pPr>
      <w:r w:rsidRPr="007F7EBF">
        <w:rPr>
          <w:bCs/>
          <w:i/>
          <w:iCs/>
          <w:color w:val="0000FF"/>
          <w:lang w:val="it-IT"/>
        </w:rPr>
        <w:t xml:space="preserve">Tributi locali come </w:t>
      </w:r>
      <w:r w:rsidRPr="007F7EBF">
        <w:rPr>
          <w:bCs/>
          <w:i/>
          <w:iCs/>
          <w:color w:val="0000FF"/>
          <w:lang w:val="it-IT"/>
        </w:rPr>
        <w:lastRenderedPageBreak/>
        <w:t>appendici di tributi statali</w:t>
      </w:r>
    </w:p>
    <w:p w14:paraId="20AC0EFB" w14:textId="3ECBD773" w:rsidR="00B55520" w:rsidRPr="007F7EBF" w:rsidRDefault="006B5063" w:rsidP="00B55520">
      <w:pPr>
        <w:autoSpaceDE w:val="0"/>
        <w:autoSpaceDN w:val="0"/>
        <w:adjustRightInd w:val="0"/>
        <w:rPr>
          <w:sz w:val="22"/>
          <w:szCs w:val="22"/>
        </w:rPr>
      </w:pPr>
      <w:r>
        <w:rPr>
          <w:sz w:val="22"/>
          <w:szCs w:val="22"/>
        </w:rPr>
        <w:t xml:space="preserve">L’autonomia finanziaria è stata perseguita anche con </w:t>
      </w:r>
      <w:r w:rsidR="00D07692">
        <w:rPr>
          <w:sz w:val="22"/>
          <w:szCs w:val="22"/>
        </w:rPr>
        <w:t>alcune “imposte proprie” degli enti locali, aggancia</w:t>
      </w:r>
      <w:r>
        <w:rPr>
          <w:sz w:val="22"/>
          <w:szCs w:val="22"/>
        </w:rPr>
        <w:t>te</w:t>
      </w:r>
      <w:r w:rsidR="00D07692">
        <w:rPr>
          <w:sz w:val="22"/>
          <w:szCs w:val="22"/>
        </w:rPr>
        <w:t xml:space="preserve"> a quelle </w:t>
      </w:r>
      <w:r w:rsidR="00CF5AFD">
        <w:rPr>
          <w:sz w:val="22"/>
          <w:szCs w:val="22"/>
        </w:rPr>
        <w:t>statali, co</w:t>
      </w:r>
      <w:r w:rsidR="000050CD">
        <w:rPr>
          <w:sz w:val="22"/>
          <w:szCs w:val="22"/>
        </w:rPr>
        <w:t xml:space="preserve">me </w:t>
      </w:r>
      <w:r w:rsidR="005354AC" w:rsidRPr="007F7EBF">
        <w:rPr>
          <w:sz w:val="22"/>
          <w:szCs w:val="22"/>
        </w:rPr>
        <w:t xml:space="preserve">le </w:t>
      </w:r>
      <w:r w:rsidR="006342C5" w:rsidRPr="007F7EBF">
        <w:rPr>
          <w:bCs/>
          <w:sz w:val="22"/>
          <w:szCs w:val="22"/>
        </w:rPr>
        <w:t>addizionali regionali e comunali</w:t>
      </w:r>
      <w:r w:rsidR="0057581B" w:rsidRPr="007F7EBF">
        <w:rPr>
          <w:bCs/>
          <w:sz w:val="22"/>
          <w:szCs w:val="22"/>
        </w:rPr>
        <w:t xml:space="preserve"> all'IRPEF</w:t>
      </w:r>
      <w:r w:rsidR="00CF5AFD">
        <w:rPr>
          <w:bCs/>
          <w:sz w:val="22"/>
          <w:szCs w:val="22"/>
        </w:rPr>
        <w:t>; c</w:t>
      </w:r>
      <w:r w:rsidR="00CF5AFD" w:rsidRPr="007F7EBF">
        <w:rPr>
          <w:bCs/>
        </w:rPr>
        <w:t xml:space="preserve">on esse gli enti locali chiedono somme ulteriori, </w:t>
      </w:r>
      <w:r w:rsidR="00CF5AFD">
        <w:rPr>
          <w:bCs/>
        </w:rPr>
        <w:t>commisurate</w:t>
      </w:r>
      <w:r w:rsidR="00CF5AFD" w:rsidRPr="007F7EBF">
        <w:rPr>
          <w:bCs/>
        </w:rPr>
        <w:t xml:space="preserve"> all'</w:t>
      </w:r>
      <w:r w:rsidR="000050CD">
        <w:rPr>
          <w:bCs/>
        </w:rPr>
        <w:t xml:space="preserve">IRPEF </w:t>
      </w:r>
      <w:r w:rsidR="00CF5AFD" w:rsidRPr="007F7EBF">
        <w:rPr>
          <w:bCs/>
        </w:rPr>
        <w:t>dovuta allo stato</w:t>
      </w:r>
      <w:r w:rsidR="00CF5AFD">
        <w:rPr>
          <w:bCs/>
        </w:rPr>
        <w:t xml:space="preserve"> (</w:t>
      </w:r>
      <w:r w:rsidR="005354AC" w:rsidRPr="007F7EBF">
        <w:rPr>
          <w:rStyle w:val="Rimandonotaapidipagina"/>
          <w:bCs/>
          <w:sz w:val="22"/>
          <w:szCs w:val="22"/>
        </w:rPr>
        <w:footnoteReference w:id="1419"/>
      </w:r>
      <w:r w:rsidR="00CF5AFD">
        <w:rPr>
          <w:bCs/>
        </w:rPr>
        <w:t>)</w:t>
      </w:r>
      <w:r w:rsidR="005354AC" w:rsidRPr="007F7EBF">
        <w:rPr>
          <w:bCs/>
          <w:sz w:val="22"/>
          <w:szCs w:val="22"/>
        </w:rPr>
        <w:t>.</w:t>
      </w:r>
      <w:r>
        <w:rPr>
          <w:bCs/>
          <w:sz w:val="22"/>
          <w:szCs w:val="22"/>
        </w:rPr>
        <w:t xml:space="preserve"> </w:t>
      </w:r>
      <w:r w:rsidR="000050CD">
        <w:rPr>
          <w:sz w:val="22"/>
          <w:szCs w:val="22"/>
        </w:rPr>
        <w:t>S</w:t>
      </w:r>
      <w:r w:rsidR="00BA7C64">
        <w:rPr>
          <w:sz w:val="22"/>
          <w:szCs w:val="22"/>
        </w:rPr>
        <w:t xml:space="preserve">i ripropongono quindi </w:t>
      </w:r>
      <w:r w:rsidR="00030CA6">
        <w:rPr>
          <w:sz w:val="22"/>
          <w:szCs w:val="22"/>
        </w:rPr>
        <w:t xml:space="preserve">nell’imposizione </w:t>
      </w:r>
      <w:r w:rsidR="004F0B6B">
        <w:rPr>
          <w:sz w:val="22"/>
          <w:szCs w:val="22"/>
        </w:rPr>
        <w:t>locale</w:t>
      </w:r>
      <w:r w:rsidR="005354AC" w:rsidRPr="007F7EBF">
        <w:rPr>
          <w:sz w:val="22"/>
          <w:szCs w:val="22"/>
        </w:rPr>
        <w:t xml:space="preserve"> le sperequazioni</w:t>
      </w:r>
      <w:r w:rsidR="004F0B6B">
        <w:rPr>
          <w:sz w:val="22"/>
          <w:szCs w:val="22"/>
        </w:rPr>
        <w:t xml:space="preserve"> dovute all’evasione</w:t>
      </w:r>
      <w:r w:rsidR="00030CA6">
        <w:rPr>
          <w:sz w:val="22"/>
          <w:szCs w:val="22"/>
        </w:rPr>
        <w:t xml:space="preserve"> nell’imposizione nazionale</w:t>
      </w:r>
      <w:r w:rsidR="004F0B6B">
        <w:rPr>
          <w:sz w:val="22"/>
          <w:szCs w:val="22"/>
        </w:rPr>
        <w:t xml:space="preserve">; </w:t>
      </w:r>
      <w:r w:rsidR="00030CA6">
        <w:rPr>
          <w:sz w:val="22"/>
          <w:szCs w:val="22"/>
        </w:rPr>
        <w:t>i presupposti economici esclusi</w:t>
      </w:r>
      <w:r w:rsidR="006342C5" w:rsidRPr="007F7EBF">
        <w:rPr>
          <w:sz w:val="22"/>
          <w:szCs w:val="22"/>
        </w:rPr>
        <w:t xml:space="preserve">, di diritto o di fatto, </w:t>
      </w:r>
      <w:r w:rsidR="005354AC" w:rsidRPr="007F7EBF">
        <w:rPr>
          <w:sz w:val="22"/>
          <w:szCs w:val="22"/>
        </w:rPr>
        <w:t>da</w:t>
      </w:r>
      <w:r w:rsidR="004F0B6B">
        <w:rPr>
          <w:sz w:val="22"/>
          <w:szCs w:val="22"/>
        </w:rPr>
        <w:t>ll’</w:t>
      </w:r>
      <w:r w:rsidR="00030CA6">
        <w:rPr>
          <w:sz w:val="22"/>
          <w:szCs w:val="22"/>
        </w:rPr>
        <w:t>Irpef,</w:t>
      </w:r>
      <w:r w:rsidR="004F0B6B">
        <w:rPr>
          <w:sz w:val="22"/>
          <w:szCs w:val="22"/>
        </w:rPr>
        <w:t xml:space="preserve"> </w:t>
      </w:r>
      <w:r w:rsidR="005354AC" w:rsidRPr="007F7EBF">
        <w:rPr>
          <w:sz w:val="22"/>
          <w:szCs w:val="22"/>
        </w:rPr>
        <w:t>sfugg</w:t>
      </w:r>
      <w:r w:rsidR="00030CA6">
        <w:rPr>
          <w:sz w:val="22"/>
          <w:szCs w:val="22"/>
        </w:rPr>
        <w:t xml:space="preserve">ono anche alle addizionali </w:t>
      </w:r>
      <w:r w:rsidR="00D0563A" w:rsidRPr="007F7EBF">
        <w:rPr>
          <w:sz w:val="22"/>
          <w:szCs w:val="22"/>
        </w:rPr>
        <w:t>local</w:t>
      </w:r>
      <w:r w:rsidR="00030CA6">
        <w:rPr>
          <w:sz w:val="22"/>
          <w:szCs w:val="22"/>
        </w:rPr>
        <w:t xml:space="preserve">i. I comuni </w:t>
      </w:r>
      <w:r>
        <w:rPr>
          <w:sz w:val="22"/>
          <w:szCs w:val="22"/>
        </w:rPr>
        <w:t xml:space="preserve">non sono quindi usati, come detto sopra, </w:t>
      </w:r>
      <w:r w:rsidR="00030CA6">
        <w:rPr>
          <w:sz w:val="22"/>
          <w:szCs w:val="22"/>
        </w:rPr>
        <w:t xml:space="preserve">per </w:t>
      </w:r>
      <w:r w:rsidR="00135C5E">
        <w:rPr>
          <w:sz w:val="22"/>
          <w:szCs w:val="22"/>
        </w:rPr>
        <w:t>v</w:t>
      </w:r>
      <w:r w:rsidR="000050CD" w:rsidRPr="007F7EBF">
        <w:rPr>
          <w:sz w:val="22"/>
          <w:szCs w:val="22"/>
        </w:rPr>
        <w:t>aluta</w:t>
      </w:r>
      <w:r w:rsidR="00135C5E">
        <w:rPr>
          <w:sz w:val="22"/>
          <w:szCs w:val="22"/>
        </w:rPr>
        <w:t>r</w:t>
      </w:r>
      <w:r>
        <w:rPr>
          <w:sz w:val="22"/>
          <w:szCs w:val="22"/>
        </w:rPr>
        <w:t xml:space="preserve">e </w:t>
      </w:r>
      <w:r w:rsidR="005F698C">
        <w:rPr>
          <w:sz w:val="22"/>
          <w:szCs w:val="22"/>
        </w:rPr>
        <w:t xml:space="preserve">i presupposti economici d’imposta </w:t>
      </w:r>
      <w:r w:rsidR="00030CA6">
        <w:rPr>
          <w:sz w:val="22"/>
          <w:szCs w:val="22"/>
        </w:rPr>
        <w:t>che sfuggono al</w:t>
      </w:r>
      <w:r w:rsidR="005F698C">
        <w:rPr>
          <w:sz w:val="22"/>
          <w:szCs w:val="22"/>
        </w:rPr>
        <w:t xml:space="preserve">la </w:t>
      </w:r>
      <w:r w:rsidR="000050CD">
        <w:rPr>
          <w:sz w:val="22"/>
          <w:szCs w:val="22"/>
        </w:rPr>
        <w:t xml:space="preserve">determinazione </w:t>
      </w:r>
      <w:proofErr w:type="spellStart"/>
      <w:r w:rsidR="00135C5E">
        <w:rPr>
          <w:sz w:val="22"/>
          <w:szCs w:val="22"/>
        </w:rPr>
        <w:t>documental</w:t>
      </w:r>
      <w:proofErr w:type="spellEnd"/>
      <w:r w:rsidR="00135C5E">
        <w:rPr>
          <w:sz w:val="22"/>
          <w:szCs w:val="22"/>
        </w:rPr>
        <w:t>-</w:t>
      </w:r>
      <w:r w:rsidR="000050CD">
        <w:rPr>
          <w:sz w:val="22"/>
          <w:szCs w:val="22"/>
        </w:rPr>
        <w:t>contabile</w:t>
      </w:r>
      <w:r w:rsidR="000050CD" w:rsidRPr="007F7EBF">
        <w:rPr>
          <w:sz w:val="22"/>
          <w:szCs w:val="22"/>
        </w:rPr>
        <w:t>.</w:t>
      </w:r>
    </w:p>
    <w:p w14:paraId="03C76889" w14:textId="613E0CE7" w:rsidR="00B55520" w:rsidRPr="007F7EBF" w:rsidRDefault="00B55520" w:rsidP="00B55520">
      <w:pPr>
        <w:pStyle w:val="tit23"/>
        <w:ind w:left="6464" w:right="-1361" w:firstLine="0"/>
        <w:jc w:val="left"/>
        <w:rPr>
          <w:bCs/>
          <w:i/>
          <w:iCs/>
          <w:color w:val="0000FF"/>
          <w:lang w:val="it-IT"/>
        </w:rPr>
      </w:pPr>
      <w:r w:rsidRPr="007F7EBF">
        <w:rPr>
          <w:bCs/>
          <w:i/>
          <w:iCs/>
          <w:color w:val="0000FF"/>
          <w:lang w:val="it-IT"/>
        </w:rPr>
        <w:t xml:space="preserve">Tributi locali autonomi </w:t>
      </w:r>
      <w:r w:rsidR="00E42F0D">
        <w:rPr>
          <w:bCs/>
          <w:i/>
          <w:iCs/>
          <w:color w:val="0000FF"/>
          <w:lang w:val="it-IT"/>
        </w:rPr>
        <w:t>e frammentazione</w:t>
      </w:r>
    </w:p>
    <w:p w14:paraId="2E2643D5" w14:textId="41C35193" w:rsidR="00B134D9" w:rsidRPr="007F7EBF" w:rsidRDefault="00030CA6" w:rsidP="00E42F0D">
      <w:pPr>
        <w:autoSpaceDE w:val="0"/>
        <w:autoSpaceDN w:val="0"/>
        <w:adjustRightInd w:val="0"/>
        <w:rPr>
          <w:bCs/>
          <w:i/>
          <w:iCs/>
          <w:color w:val="0000FF"/>
        </w:rPr>
      </w:pPr>
      <w:r>
        <w:rPr>
          <w:sz w:val="22"/>
          <w:szCs w:val="22"/>
        </w:rPr>
        <w:t xml:space="preserve">Oltre ai tributi che esamineremo più avanti, </w:t>
      </w:r>
      <w:r w:rsidR="00770463">
        <w:rPr>
          <w:bCs/>
          <w:sz w:val="22"/>
          <w:szCs w:val="22"/>
        </w:rPr>
        <w:t xml:space="preserve">su beni legati al territorio, </w:t>
      </w:r>
      <w:r w:rsidR="00B134D9" w:rsidRPr="007F7EBF">
        <w:rPr>
          <w:sz w:val="22"/>
          <w:szCs w:val="22"/>
        </w:rPr>
        <w:t xml:space="preserve">la fiscalità </w:t>
      </w:r>
      <w:r>
        <w:rPr>
          <w:sz w:val="22"/>
          <w:szCs w:val="22"/>
        </w:rPr>
        <w:t>locale</w:t>
      </w:r>
      <w:r w:rsidR="00B134D9" w:rsidRPr="007F7EBF">
        <w:rPr>
          <w:sz w:val="22"/>
          <w:szCs w:val="22"/>
        </w:rPr>
        <w:t xml:space="preserve"> è ricca di</w:t>
      </w:r>
      <w:r w:rsidR="006342C5" w:rsidRPr="007F7EBF">
        <w:rPr>
          <w:sz w:val="22"/>
          <w:szCs w:val="22"/>
        </w:rPr>
        <w:t xml:space="preserve"> varie forme intermedie tra “tasse” e “tariffe” (</w:t>
      </w:r>
      <w:r w:rsidR="00B55520" w:rsidRPr="007F7EBF">
        <w:rPr>
          <w:rStyle w:val="Rimandonotaapidipagina"/>
          <w:sz w:val="22"/>
          <w:szCs w:val="22"/>
        </w:rPr>
        <w:footnoteReference w:id="1420"/>
      </w:r>
      <w:r w:rsidR="006342C5" w:rsidRPr="007F7EBF">
        <w:rPr>
          <w:sz w:val="22"/>
          <w:szCs w:val="22"/>
        </w:rPr>
        <w:t>)</w:t>
      </w:r>
      <w:r w:rsidR="00B134D9" w:rsidRPr="007F7EBF">
        <w:rPr>
          <w:sz w:val="22"/>
          <w:szCs w:val="22"/>
        </w:rPr>
        <w:t>, parzialmente ispirate al principio d</w:t>
      </w:r>
      <w:r w:rsidR="007B4218" w:rsidRPr="007F7EBF">
        <w:rPr>
          <w:sz w:val="22"/>
          <w:szCs w:val="22"/>
        </w:rPr>
        <w:t>el "beneficio" di cui al par.1.2</w:t>
      </w:r>
      <w:r w:rsidR="006342C5" w:rsidRPr="007F7EBF">
        <w:rPr>
          <w:sz w:val="22"/>
          <w:szCs w:val="22"/>
        </w:rPr>
        <w:t>.</w:t>
      </w:r>
      <w:r w:rsidR="00E42F0D" w:rsidRPr="00E42F0D">
        <w:rPr>
          <w:sz w:val="22"/>
          <w:szCs w:val="22"/>
        </w:rPr>
        <w:t xml:space="preserve"> </w:t>
      </w:r>
      <w:r w:rsidR="00E42F0D" w:rsidRPr="007F7EBF">
        <w:rPr>
          <w:sz w:val="22"/>
          <w:szCs w:val="22"/>
        </w:rPr>
        <w:t xml:space="preserve">Molti di questi tributi sono difficilmente gestibili, in quanto altamente frammentati su numerosi contribuenti, ciascuno debitore di importi modesti. </w:t>
      </w:r>
      <w:r>
        <w:rPr>
          <w:sz w:val="22"/>
          <w:szCs w:val="22"/>
        </w:rPr>
        <w:t xml:space="preserve">Questa frammentazione </w:t>
      </w:r>
      <w:r w:rsidR="00E42F0D" w:rsidRPr="007F7EBF">
        <w:rPr>
          <w:sz w:val="22"/>
          <w:szCs w:val="22"/>
        </w:rPr>
        <w:t>comporta</w:t>
      </w:r>
      <w:r>
        <w:rPr>
          <w:sz w:val="22"/>
          <w:szCs w:val="22"/>
        </w:rPr>
        <w:t xml:space="preserve"> le</w:t>
      </w:r>
      <w:r w:rsidR="00E42F0D" w:rsidRPr="007F7EBF">
        <w:rPr>
          <w:sz w:val="22"/>
          <w:szCs w:val="22"/>
        </w:rPr>
        <w:t xml:space="preserve"> </w:t>
      </w:r>
      <w:r>
        <w:rPr>
          <w:sz w:val="22"/>
          <w:szCs w:val="22"/>
        </w:rPr>
        <w:t>note</w:t>
      </w:r>
      <w:r w:rsidR="00E42F0D" w:rsidRPr="007F7EBF">
        <w:rPr>
          <w:sz w:val="22"/>
          <w:szCs w:val="22"/>
        </w:rPr>
        <w:t xml:space="preserve"> difficoltà gestionali </w:t>
      </w:r>
      <w:r>
        <w:rPr>
          <w:sz w:val="22"/>
          <w:szCs w:val="22"/>
        </w:rPr>
        <w:t xml:space="preserve">che da sempre si cercano di fronteggiare spostando la </w:t>
      </w:r>
      <w:r w:rsidRPr="007F7EBF">
        <w:t xml:space="preserve">tassazione su “enti intermedi”, </w:t>
      </w:r>
      <w:r>
        <w:t xml:space="preserve">come </w:t>
      </w:r>
      <w:r w:rsidRPr="007F7EBF">
        <w:t>le antiche comunità territoriali</w:t>
      </w:r>
      <w:r>
        <w:t xml:space="preserve"> (par.1.4), le aziende, le banche, i sostituti di imposta etc.</w:t>
      </w:r>
    </w:p>
    <w:p w14:paraId="17C225E6" w14:textId="77777777" w:rsidR="00D13B0C" w:rsidRPr="007F7EBF" w:rsidRDefault="006342C5" w:rsidP="00D13B0C">
      <w:pPr>
        <w:pStyle w:val="Titolo3"/>
        <w:rPr>
          <w:rFonts w:ascii="Times New Roman" w:hAnsi="Times New Roman"/>
          <w:sz w:val="22"/>
          <w:szCs w:val="22"/>
        </w:rPr>
      </w:pPr>
      <w:bookmarkStart w:id="146" w:name="_Toc63365053"/>
      <w:r w:rsidRPr="007F7EBF">
        <w:rPr>
          <w:rFonts w:ascii="Times New Roman" w:hAnsi="Times New Roman"/>
          <w:sz w:val="22"/>
          <w:szCs w:val="22"/>
        </w:rPr>
        <w:t>10.9. La tassazione patrimoniale locale sugli immobili (</w:t>
      </w:r>
      <w:r w:rsidR="00FD1C24" w:rsidRPr="007F7EBF">
        <w:rPr>
          <w:rFonts w:ascii="Times New Roman" w:hAnsi="Times New Roman"/>
          <w:sz w:val="22"/>
          <w:szCs w:val="22"/>
          <w:lang w:val="it-IT"/>
        </w:rPr>
        <w:t>d</w:t>
      </w:r>
      <w:r w:rsidR="00D13B0C" w:rsidRPr="007F7EBF">
        <w:rPr>
          <w:rFonts w:ascii="Times New Roman" w:hAnsi="Times New Roman"/>
          <w:sz w:val="22"/>
          <w:szCs w:val="22"/>
          <w:lang w:val="it-IT"/>
        </w:rPr>
        <w:t>all’</w:t>
      </w:r>
      <w:r w:rsidRPr="007F7EBF">
        <w:rPr>
          <w:rFonts w:ascii="Times New Roman" w:hAnsi="Times New Roman"/>
          <w:sz w:val="22"/>
          <w:szCs w:val="22"/>
        </w:rPr>
        <w:t xml:space="preserve">ICI </w:t>
      </w:r>
      <w:r w:rsidR="00D13B0C" w:rsidRPr="007F7EBF">
        <w:rPr>
          <w:rFonts w:ascii="Times New Roman" w:hAnsi="Times New Roman"/>
          <w:sz w:val="22"/>
          <w:szCs w:val="22"/>
          <w:lang w:val="it-IT"/>
        </w:rPr>
        <w:t>all’</w:t>
      </w:r>
      <w:r w:rsidRPr="007F7EBF">
        <w:rPr>
          <w:rFonts w:ascii="Times New Roman" w:hAnsi="Times New Roman"/>
          <w:sz w:val="22"/>
          <w:szCs w:val="22"/>
        </w:rPr>
        <w:t>IMU</w:t>
      </w:r>
      <w:r w:rsidR="00D13B0C" w:rsidRPr="007F7EBF">
        <w:rPr>
          <w:rFonts w:ascii="Times New Roman" w:hAnsi="Times New Roman"/>
          <w:sz w:val="22"/>
          <w:szCs w:val="22"/>
          <w:lang w:val="it-IT"/>
        </w:rPr>
        <w:t xml:space="preserve"> alla TASI</w:t>
      </w:r>
      <w:r w:rsidRPr="007F7EBF">
        <w:rPr>
          <w:rFonts w:ascii="Times New Roman" w:hAnsi="Times New Roman"/>
          <w:sz w:val="22"/>
          <w:szCs w:val="22"/>
        </w:rPr>
        <w:t>)</w:t>
      </w:r>
      <w:bookmarkEnd w:id="146"/>
    </w:p>
    <w:p w14:paraId="0E34A420" w14:textId="77777777" w:rsidR="00D13B0C" w:rsidRPr="007F7EBF" w:rsidRDefault="00E32BCA" w:rsidP="00D13B0C">
      <w:pPr>
        <w:pStyle w:val="tit23"/>
        <w:ind w:left="6464" w:right="-1361" w:firstLine="0"/>
        <w:jc w:val="left"/>
        <w:rPr>
          <w:bCs/>
          <w:i/>
          <w:iCs/>
          <w:color w:val="0000FF"/>
          <w:lang w:val="it-IT"/>
        </w:rPr>
      </w:pPr>
      <w:r w:rsidRPr="007F7EBF">
        <w:rPr>
          <w:bCs/>
          <w:i/>
          <w:iCs/>
          <w:color w:val="0000FF"/>
          <w:lang w:val="it-IT"/>
        </w:rPr>
        <w:t>Patrimoniale immobiliare tra principio del beneficio e ricchezza</w:t>
      </w:r>
    </w:p>
    <w:p w14:paraId="1489229D" w14:textId="676B9CEE" w:rsidR="00E32BCA" w:rsidRPr="007F7EBF" w:rsidRDefault="00137A98" w:rsidP="00E32BCA">
      <w:pPr>
        <w:autoSpaceDE w:val="0"/>
        <w:autoSpaceDN w:val="0"/>
        <w:adjustRightInd w:val="0"/>
        <w:rPr>
          <w:sz w:val="22"/>
          <w:szCs w:val="22"/>
        </w:rPr>
      </w:pPr>
      <w:r w:rsidRPr="007F7EBF">
        <w:rPr>
          <w:sz w:val="22"/>
          <w:szCs w:val="22"/>
        </w:rPr>
        <w:lastRenderedPageBreak/>
        <w:t>N</w:t>
      </w:r>
      <w:r w:rsidR="006342C5" w:rsidRPr="007F7EBF">
        <w:rPr>
          <w:sz w:val="22"/>
          <w:szCs w:val="22"/>
        </w:rPr>
        <w:t>ella maggior parte dei paesi sviluppati,</w:t>
      </w:r>
      <w:r w:rsidR="002B1F32" w:rsidRPr="007F7EBF">
        <w:rPr>
          <w:sz w:val="22"/>
          <w:szCs w:val="22"/>
        </w:rPr>
        <w:t xml:space="preserve"> </w:t>
      </w:r>
      <w:r w:rsidRPr="007F7EBF">
        <w:rPr>
          <w:sz w:val="22"/>
          <w:szCs w:val="22"/>
        </w:rPr>
        <w:t>la tassazione locale tiene conto de</w:t>
      </w:r>
      <w:r w:rsidR="006342C5" w:rsidRPr="007F7EBF">
        <w:rPr>
          <w:sz w:val="22"/>
          <w:szCs w:val="22"/>
        </w:rPr>
        <w:t xml:space="preserve">gli </w:t>
      </w:r>
      <w:r w:rsidR="006342C5" w:rsidRPr="007F7EBF">
        <w:rPr>
          <w:bCs/>
          <w:sz w:val="22"/>
          <w:szCs w:val="22"/>
        </w:rPr>
        <w:t>immobili</w:t>
      </w:r>
      <w:r w:rsidR="006342C5" w:rsidRPr="007F7EBF">
        <w:rPr>
          <w:sz w:val="22"/>
          <w:szCs w:val="22"/>
        </w:rPr>
        <w:t>,</w:t>
      </w:r>
      <w:r w:rsidR="00B17637" w:rsidRPr="007F7EBF">
        <w:rPr>
          <w:sz w:val="22"/>
          <w:szCs w:val="22"/>
        </w:rPr>
        <w:t xml:space="preserve"> </w:t>
      </w:r>
      <w:r w:rsidRPr="007F7EBF">
        <w:rPr>
          <w:sz w:val="22"/>
          <w:szCs w:val="22"/>
        </w:rPr>
        <w:t xml:space="preserve">“visibili” e radicati </w:t>
      </w:r>
      <w:r w:rsidR="006342C5" w:rsidRPr="007F7EBF">
        <w:rPr>
          <w:sz w:val="22"/>
          <w:szCs w:val="22"/>
        </w:rPr>
        <w:t>al</w:t>
      </w:r>
      <w:r w:rsidR="005D1C16" w:rsidRPr="007F7EBF">
        <w:rPr>
          <w:sz w:val="22"/>
          <w:szCs w:val="22"/>
        </w:rPr>
        <w:t xml:space="preserve"> </w:t>
      </w:r>
      <w:r w:rsidR="006342C5" w:rsidRPr="007F7EBF">
        <w:rPr>
          <w:sz w:val="22"/>
          <w:szCs w:val="22"/>
        </w:rPr>
        <w:t>territorio</w:t>
      </w:r>
      <w:r w:rsidRPr="007F7EBF">
        <w:rPr>
          <w:sz w:val="22"/>
          <w:szCs w:val="22"/>
        </w:rPr>
        <w:t xml:space="preserve">, come </w:t>
      </w:r>
      <w:r w:rsidR="00B17637" w:rsidRPr="007F7EBF">
        <w:rPr>
          <w:sz w:val="22"/>
          <w:szCs w:val="22"/>
        </w:rPr>
        <w:t>luogo attorno al quale si riuniscono persone che utilizzano i servizi comunali</w:t>
      </w:r>
      <w:r w:rsidR="000050CD">
        <w:rPr>
          <w:sz w:val="22"/>
          <w:szCs w:val="22"/>
        </w:rPr>
        <w:t xml:space="preserve"> (</w:t>
      </w:r>
      <w:r w:rsidR="00113824" w:rsidRPr="007F7EBF">
        <w:rPr>
          <w:rStyle w:val="Rimandonotaapidipagina"/>
          <w:sz w:val="22"/>
          <w:szCs w:val="22"/>
        </w:rPr>
        <w:footnoteReference w:id="1421"/>
      </w:r>
      <w:r w:rsidR="000050CD">
        <w:rPr>
          <w:sz w:val="22"/>
          <w:szCs w:val="22"/>
        </w:rPr>
        <w:t>)</w:t>
      </w:r>
      <w:r w:rsidR="00B17637" w:rsidRPr="007F7EBF">
        <w:rPr>
          <w:sz w:val="22"/>
          <w:szCs w:val="22"/>
        </w:rPr>
        <w:t>,</w:t>
      </w:r>
      <w:r w:rsidRPr="007F7EBF">
        <w:rPr>
          <w:sz w:val="22"/>
          <w:szCs w:val="22"/>
        </w:rPr>
        <w:t xml:space="preserve"> cioè l'ambiente,</w:t>
      </w:r>
      <w:r w:rsidR="00B17637" w:rsidRPr="007F7EBF">
        <w:rPr>
          <w:sz w:val="22"/>
          <w:szCs w:val="22"/>
        </w:rPr>
        <w:t xml:space="preserve"> la viabilità, i giardini, la pubblica illuminazione, etc. Gli immobili abitativi sono </w:t>
      </w:r>
      <w:r w:rsidR="00770463">
        <w:rPr>
          <w:sz w:val="22"/>
          <w:szCs w:val="22"/>
        </w:rPr>
        <w:t>insomma</w:t>
      </w:r>
      <w:r w:rsidRPr="007F7EBF">
        <w:rPr>
          <w:sz w:val="22"/>
          <w:szCs w:val="22"/>
        </w:rPr>
        <w:t xml:space="preserve"> </w:t>
      </w:r>
      <w:r w:rsidR="00B17637" w:rsidRPr="007F7EBF">
        <w:rPr>
          <w:sz w:val="22"/>
          <w:szCs w:val="22"/>
        </w:rPr>
        <w:t>un parametro indice della fruizione di servizi pubblici</w:t>
      </w:r>
      <w:r w:rsidRPr="007F7EBF">
        <w:rPr>
          <w:sz w:val="22"/>
          <w:szCs w:val="22"/>
        </w:rPr>
        <w:t xml:space="preserve">, </w:t>
      </w:r>
      <w:r w:rsidR="0083407E">
        <w:rPr>
          <w:sz w:val="22"/>
          <w:szCs w:val="22"/>
        </w:rPr>
        <w:t xml:space="preserve">come </w:t>
      </w:r>
      <w:r w:rsidR="0083407E" w:rsidRPr="007F7EBF">
        <w:rPr>
          <w:sz w:val="22"/>
          <w:szCs w:val="22"/>
        </w:rPr>
        <w:t>le strade</w:t>
      </w:r>
      <w:r w:rsidR="0083407E">
        <w:rPr>
          <w:sz w:val="22"/>
          <w:szCs w:val="22"/>
        </w:rPr>
        <w:t>,</w:t>
      </w:r>
      <w:r w:rsidR="0083407E" w:rsidRPr="007F7EBF">
        <w:rPr>
          <w:sz w:val="22"/>
          <w:szCs w:val="22"/>
        </w:rPr>
        <w:t xml:space="preserve"> </w:t>
      </w:r>
      <w:r w:rsidR="0083407E">
        <w:rPr>
          <w:sz w:val="22"/>
          <w:szCs w:val="22"/>
        </w:rPr>
        <w:t xml:space="preserve">il verde, </w:t>
      </w:r>
      <w:r w:rsidR="0083407E" w:rsidRPr="007F7EBF">
        <w:rPr>
          <w:sz w:val="22"/>
          <w:szCs w:val="22"/>
        </w:rPr>
        <w:t>l’illuminazione, o la raccolta dei rifiuti, su cui l’apposito tributo di cui al par.10.10</w:t>
      </w:r>
      <w:r w:rsidR="0083407E">
        <w:rPr>
          <w:sz w:val="22"/>
          <w:szCs w:val="22"/>
        </w:rPr>
        <w:t>; il tutto s</w:t>
      </w:r>
      <w:r w:rsidRPr="007F7EBF">
        <w:rPr>
          <w:sz w:val="22"/>
          <w:szCs w:val="22"/>
        </w:rPr>
        <w:t>econdo il principio</w:t>
      </w:r>
      <w:r w:rsidR="007B4218" w:rsidRPr="007F7EBF">
        <w:rPr>
          <w:sz w:val="22"/>
          <w:szCs w:val="22"/>
        </w:rPr>
        <w:t xml:space="preserve"> del beneficio di cui al par.1.2</w:t>
      </w:r>
      <w:r w:rsidRPr="007F7EBF">
        <w:rPr>
          <w:sz w:val="22"/>
          <w:szCs w:val="22"/>
        </w:rPr>
        <w:t xml:space="preserve">. </w:t>
      </w:r>
    </w:p>
    <w:p w14:paraId="6C01A358" w14:textId="77777777" w:rsidR="00E32BCA" w:rsidRPr="007F7EBF" w:rsidRDefault="009B3D16" w:rsidP="00E32BCA">
      <w:pPr>
        <w:pStyle w:val="tit23"/>
        <w:ind w:left="6464" w:right="-1361" w:firstLine="0"/>
        <w:jc w:val="left"/>
        <w:rPr>
          <w:bCs/>
          <w:i/>
          <w:iCs/>
          <w:color w:val="0000FF"/>
          <w:lang w:val="it-IT"/>
        </w:rPr>
      </w:pPr>
      <w:r w:rsidRPr="007F7EBF">
        <w:rPr>
          <w:bCs/>
          <w:i/>
          <w:iCs/>
          <w:color w:val="0000FF"/>
          <w:lang w:val="it-IT"/>
        </w:rPr>
        <w:t>imposte locali immobiliari tra “beneficio” e “sacrificio”</w:t>
      </w:r>
    </w:p>
    <w:p w14:paraId="15E45DA8" w14:textId="0C6F4F29" w:rsidR="0006736E" w:rsidRPr="007F7EBF" w:rsidRDefault="0083407E" w:rsidP="0006736E">
      <w:pPr>
        <w:autoSpaceDE w:val="0"/>
        <w:autoSpaceDN w:val="0"/>
        <w:adjustRightInd w:val="0"/>
        <w:rPr>
          <w:sz w:val="22"/>
          <w:szCs w:val="22"/>
        </w:rPr>
      </w:pPr>
      <w:r>
        <w:rPr>
          <w:sz w:val="22"/>
          <w:szCs w:val="22"/>
        </w:rPr>
        <w:t xml:space="preserve">Con questa logica da “service tax”, improntata al principio del beneficio, si è intrecciata quella dell’imposta locale annuale sul patrimonio immobiliare </w:t>
      </w:r>
      <w:r w:rsidR="009B3D16" w:rsidRPr="007F7EBF">
        <w:rPr>
          <w:sz w:val="22"/>
          <w:szCs w:val="22"/>
        </w:rPr>
        <w:t>(</w:t>
      </w:r>
      <w:r w:rsidR="009B3D16" w:rsidRPr="007F7EBF">
        <w:rPr>
          <w:rStyle w:val="Rimandonotaapidipagina"/>
          <w:sz w:val="22"/>
          <w:szCs w:val="22"/>
        </w:rPr>
        <w:footnoteReference w:id="1422"/>
      </w:r>
      <w:r w:rsidR="009B3D16" w:rsidRPr="007F7EBF">
        <w:rPr>
          <w:sz w:val="22"/>
          <w:szCs w:val="22"/>
        </w:rPr>
        <w:t>)</w:t>
      </w:r>
      <w:r>
        <w:rPr>
          <w:sz w:val="22"/>
          <w:szCs w:val="22"/>
        </w:rPr>
        <w:t xml:space="preserve">, </w:t>
      </w:r>
      <w:r w:rsidR="009B3D16" w:rsidRPr="007F7EBF">
        <w:rPr>
          <w:sz w:val="22"/>
          <w:szCs w:val="22"/>
        </w:rPr>
        <w:t>ispirata al principio del “sacrificio”</w:t>
      </w:r>
      <w:r>
        <w:rPr>
          <w:sz w:val="22"/>
          <w:szCs w:val="22"/>
        </w:rPr>
        <w:t xml:space="preserve">. </w:t>
      </w:r>
      <w:r w:rsidR="009B3D16" w:rsidRPr="007F7EBF">
        <w:rPr>
          <w:sz w:val="22"/>
          <w:szCs w:val="22"/>
        </w:rPr>
        <w:t>L’imposta locale immobiliare</w:t>
      </w:r>
      <w:r w:rsidR="00A66B7B" w:rsidRPr="007F7EBF">
        <w:rPr>
          <w:sz w:val="22"/>
          <w:szCs w:val="22"/>
        </w:rPr>
        <w:t xml:space="preserve"> </w:t>
      </w:r>
      <w:r w:rsidR="006A4A12" w:rsidRPr="007F7EBF">
        <w:rPr>
          <w:sz w:val="22"/>
          <w:szCs w:val="22"/>
        </w:rPr>
        <w:t xml:space="preserve">si giustifica </w:t>
      </w:r>
      <w:r>
        <w:rPr>
          <w:sz w:val="22"/>
          <w:szCs w:val="22"/>
        </w:rPr>
        <w:t>infatti</w:t>
      </w:r>
      <w:r w:rsidR="006A4A12" w:rsidRPr="007F7EBF">
        <w:rPr>
          <w:sz w:val="22"/>
          <w:szCs w:val="22"/>
        </w:rPr>
        <w:t xml:space="preserve"> col valore del patrimonio, </w:t>
      </w:r>
      <w:r w:rsidR="001367F8" w:rsidRPr="007F7EBF">
        <w:rPr>
          <w:sz w:val="22"/>
          <w:szCs w:val="22"/>
        </w:rPr>
        <w:t>cui si impone un sacrificio molto meno razionale, secondo quanto indicato al par.10.4., di una tassazione sui redditi o le plusvalenze derivanti dagli immobili</w:t>
      </w:r>
      <w:r w:rsidR="00137A98" w:rsidRPr="007F7EBF">
        <w:rPr>
          <w:sz w:val="22"/>
          <w:szCs w:val="22"/>
        </w:rPr>
        <w:t xml:space="preserve">. </w:t>
      </w:r>
    </w:p>
    <w:p w14:paraId="74E9C514" w14:textId="77777777" w:rsidR="0006736E" w:rsidRPr="007F7EBF" w:rsidRDefault="002B1F32" w:rsidP="0006736E">
      <w:pPr>
        <w:pStyle w:val="tit23"/>
        <w:ind w:left="6464" w:right="-1361" w:firstLine="0"/>
        <w:jc w:val="left"/>
        <w:rPr>
          <w:bCs/>
          <w:i/>
          <w:iCs/>
          <w:color w:val="0000FF"/>
          <w:lang w:val="it-IT"/>
        </w:rPr>
      </w:pPr>
      <w:r w:rsidRPr="007F7EBF">
        <w:rPr>
          <w:bCs/>
          <w:i/>
          <w:iCs/>
          <w:color w:val="0000FF"/>
          <w:lang w:val="it-IT"/>
        </w:rPr>
        <w:t xml:space="preserve">Tassazione </w:t>
      </w:r>
      <w:r w:rsidR="0006736E" w:rsidRPr="007F7EBF">
        <w:rPr>
          <w:bCs/>
          <w:i/>
          <w:iCs/>
          <w:color w:val="0000FF"/>
          <w:lang w:val="it-IT"/>
        </w:rPr>
        <w:t>“prima casa”</w:t>
      </w:r>
    </w:p>
    <w:p w14:paraId="473A824E" w14:textId="1F1FE3FE" w:rsidR="0006736E" w:rsidRPr="007F7EBF" w:rsidRDefault="00137A98" w:rsidP="0006736E">
      <w:pPr>
        <w:autoSpaceDE w:val="0"/>
        <w:autoSpaceDN w:val="0"/>
        <w:adjustRightInd w:val="0"/>
        <w:rPr>
          <w:sz w:val="22"/>
          <w:szCs w:val="22"/>
        </w:rPr>
      </w:pPr>
      <w:r w:rsidRPr="007F7EBF">
        <w:rPr>
          <w:sz w:val="22"/>
          <w:szCs w:val="22"/>
        </w:rPr>
        <w:t xml:space="preserve">Ciò si verificò </w:t>
      </w:r>
      <w:r w:rsidR="006342C5" w:rsidRPr="007F7EBF">
        <w:rPr>
          <w:sz w:val="22"/>
          <w:szCs w:val="22"/>
        </w:rPr>
        <w:t>nel</w:t>
      </w:r>
      <w:r w:rsidR="00B17637" w:rsidRPr="007F7EBF">
        <w:rPr>
          <w:sz w:val="22"/>
          <w:szCs w:val="22"/>
        </w:rPr>
        <w:t xml:space="preserve"> </w:t>
      </w:r>
      <w:r w:rsidR="006342C5" w:rsidRPr="007F7EBF">
        <w:rPr>
          <w:sz w:val="22"/>
          <w:szCs w:val="22"/>
        </w:rPr>
        <w:t xml:space="preserve">1993, con l’imposta comunale sugli immobili (ICI), </w:t>
      </w:r>
      <w:r w:rsidR="00113824" w:rsidRPr="007F7EBF">
        <w:rPr>
          <w:sz w:val="22"/>
          <w:szCs w:val="22"/>
        </w:rPr>
        <w:t xml:space="preserve">applicata anche alla c.d. "prima casa", poi esentata dal governo Berlusconi (a partire dal 2008), e nuovamente colpita dall'analoga imposta IMU </w:t>
      </w:r>
      <w:r w:rsidR="006342C5" w:rsidRPr="007F7EBF">
        <w:rPr>
          <w:sz w:val="22"/>
          <w:szCs w:val="22"/>
        </w:rPr>
        <w:t>nel 2012</w:t>
      </w:r>
      <w:r w:rsidR="00113824" w:rsidRPr="007F7EBF">
        <w:rPr>
          <w:rStyle w:val="Rimandonotaapidipagina"/>
          <w:sz w:val="22"/>
          <w:szCs w:val="22"/>
        </w:rPr>
        <w:footnoteReference w:id="1423"/>
      </w:r>
      <w:r w:rsidR="00DE3ADB" w:rsidRPr="007F7EBF">
        <w:rPr>
          <w:sz w:val="22"/>
          <w:szCs w:val="22"/>
        </w:rPr>
        <w:t xml:space="preserve">. La prima casa fu soggetta </w:t>
      </w:r>
      <w:r w:rsidR="00113824" w:rsidRPr="007F7EBF">
        <w:rPr>
          <w:sz w:val="22"/>
          <w:szCs w:val="22"/>
        </w:rPr>
        <w:t>alla più mite TASI, nel 2014</w:t>
      </w:r>
      <w:r w:rsidR="00DE3ADB" w:rsidRPr="007F7EBF">
        <w:rPr>
          <w:sz w:val="22"/>
          <w:szCs w:val="22"/>
        </w:rPr>
        <w:t xml:space="preserve">, e poi esclusa </w:t>
      </w:r>
      <w:r w:rsidR="00E32BCA" w:rsidRPr="007F7EBF">
        <w:rPr>
          <w:sz w:val="22"/>
          <w:szCs w:val="22"/>
        </w:rPr>
        <w:t xml:space="preserve">nel 2015, </w:t>
      </w:r>
      <w:r w:rsidR="00DE3ADB" w:rsidRPr="007F7EBF">
        <w:rPr>
          <w:sz w:val="22"/>
          <w:szCs w:val="22"/>
        </w:rPr>
        <w:t xml:space="preserve">tornando all'esenzione totale, "prima </w:t>
      </w:r>
      <w:r w:rsidR="00DE3ADB" w:rsidRPr="007F7EBF">
        <w:rPr>
          <w:sz w:val="22"/>
          <w:szCs w:val="22"/>
        </w:rPr>
        <w:lastRenderedPageBreak/>
        <w:t xml:space="preserve">casa", alla ricerca </w:t>
      </w:r>
      <w:r w:rsidR="002B1F32" w:rsidRPr="007F7EBF">
        <w:rPr>
          <w:sz w:val="22"/>
          <w:szCs w:val="22"/>
        </w:rPr>
        <w:t>d</w:t>
      </w:r>
      <w:r w:rsidR="00A66B7B" w:rsidRPr="007F7EBF">
        <w:rPr>
          <w:sz w:val="22"/>
          <w:szCs w:val="22"/>
        </w:rPr>
        <w:t>i</w:t>
      </w:r>
      <w:r w:rsidR="002B1F32" w:rsidRPr="007F7EBF">
        <w:rPr>
          <w:sz w:val="22"/>
          <w:szCs w:val="22"/>
        </w:rPr>
        <w:t xml:space="preserve"> consenso politico</w:t>
      </w:r>
      <w:r w:rsidR="0083407E">
        <w:rPr>
          <w:sz w:val="22"/>
          <w:szCs w:val="22"/>
        </w:rPr>
        <w:t xml:space="preserve">, secondo le logiche di cui al </w:t>
      </w:r>
      <w:r w:rsidR="00A66B7B" w:rsidRPr="007F7EBF">
        <w:rPr>
          <w:sz w:val="22"/>
          <w:szCs w:val="22"/>
        </w:rPr>
        <w:t>par.2.4</w:t>
      </w:r>
      <w:r w:rsidR="002B1F32" w:rsidRPr="007F7EBF">
        <w:rPr>
          <w:sz w:val="22"/>
          <w:szCs w:val="22"/>
        </w:rPr>
        <w:t>.</w:t>
      </w:r>
    </w:p>
    <w:p w14:paraId="2AA5D5DC" w14:textId="77777777" w:rsidR="0006736E" w:rsidRPr="007F7EBF" w:rsidRDefault="0006736E" w:rsidP="0006736E">
      <w:pPr>
        <w:pStyle w:val="tit23"/>
        <w:ind w:left="6464" w:right="-1361" w:firstLine="0"/>
        <w:jc w:val="left"/>
        <w:rPr>
          <w:bCs/>
          <w:i/>
          <w:iCs/>
          <w:color w:val="0000FF"/>
          <w:lang w:val="it-IT"/>
        </w:rPr>
      </w:pPr>
      <w:r w:rsidRPr="007F7EBF">
        <w:rPr>
          <w:bCs/>
          <w:i/>
          <w:iCs/>
          <w:color w:val="0000FF"/>
          <w:lang w:val="it-IT"/>
        </w:rPr>
        <w:t>Impostazione strutturale del tema prima casa</w:t>
      </w:r>
    </w:p>
    <w:p w14:paraId="370A2580" w14:textId="64F5D8C5" w:rsidR="00E32BCA" w:rsidRPr="007F7EBF" w:rsidRDefault="00CE3D9A" w:rsidP="00E32BCA">
      <w:pPr>
        <w:autoSpaceDE w:val="0"/>
        <w:autoSpaceDN w:val="0"/>
        <w:adjustRightInd w:val="0"/>
        <w:rPr>
          <w:sz w:val="22"/>
          <w:szCs w:val="22"/>
        </w:rPr>
      </w:pPr>
      <w:r w:rsidRPr="007F7EBF">
        <w:rPr>
          <w:sz w:val="22"/>
          <w:szCs w:val="22"/>
        </w:rPr>
        <w:t>N</w:t>
      </w:r>
      <w:r w:rsidR="00CD7278" w:rsidRPr="007F7EBF">
        <w:rPr>
          <w:sz w:val="22"/>
          <w:szCs w:val="22"/>
        </w:rPr>
        <w:t>ella log</w:t>
      </w:r>
      <w:r w:rsidR="00B953A7" w:rsidRPr="007F7EBF">
        <w:rPr>
          <w:sz w:val="22"/>
          <w:szCs w:val="22"/>
        </w:rPr>
        <w:t>ica del principio del beneficio</w:t>
      </w:r>
      <w:r w:rsidRPr="007F7EBF">
        <w:rPr>
          <w:sz w:val="22"/>
          <w:szCs w:val="22"/>
        </w:rPr>
        <w:t xml:space="preserve"> (par.1.2) </w:t>
      </w:r>
      <w:r w:rsidR="00CD7278" w:rsidRPr="007F7EBF">
        <w:rPr>
          <w:sz w:val="22"/>
          <w:szCs w:val="22"/>
        </w:rPr>
        <w:t xml:space="preserve"> </w:t>
      </w:r>
      <w:r w:rsidR="00B953A7" w:rsidRPr="007F7EBF">
        <w:rPr>
          <w:sz w:val="22"/>
          <w:szCs w:val="22"/>
        </w:rPr>
        <w:t xml:space="preserve">la "prima casa" non avrebbe meritato particolari sgravi, proprio perché essa è indice </w:t>
      </w:r>
      <w:r w:rsidR="00CD7278" w:rsidRPr="007F7EBF">
        <w:rPr>
          <w:sz w:val="22"/>
          <w:szCs w:val="22"/>
        </w:rPr>
        <w:t>della fruizione dei servizi comunali,</w:t>
      </w:r>
      <w:r w:rsidR="00937A88" w:rsidRPr="007F7EBF">
        <w:rPr>
          <w:sz w:val="22"/>
          <w:szCs w:val="22"/>
        </w:rPr>
        <w:t xml:space="preserve"> </w:t>
      </w:r>
      <w:r w:rsidR="00B953A7" w:rsidRPr="007F7EBF">
        <w:rPr>
          <w:sz w:val="22"/>
          <w:szCs w:val="22"/>
        </w:rPr>
        <w:t xml:space="preserve">come </w:t>
      </w:r>
      <w:r w:rsidR="0006736E" w:rsidRPr="007F7EBF">
        <w:rPr>
          <w:sz w:val="22"/>
          <w:szCs w:val="22"/>
        </w:rPr>
        <w:t>utilizzazione di strade, illuminazione, ambiente, giardini, etc..</w:t>
      </w:r>
      <w:r w:rsidR="00B953A7" w:rsidRPr="007F7EBF">
        <w:rPr>
          <w:sz w:val="22"/>
          <w:szCs w:val="22"/>
        </w:rPr>
        <w:t xml:space="preserve"> </w:t>
      </w:r>
      <w:r w:rsidR="0083407E">
        <w:rPr>
          <w:sz w:val="22"/>
          <w:szCs w:val="22"/>
        </w:rPr>
        <w:t xml:space="preserve">Come in tutte le applicazioni del principio del beneficio </w:t>
      </w:r>
      <w:r w:rsidR="00C26E84">
        <w:rPr>
          <w:sz w:val="22"/>
          <w:szCs w:val="22"/>
        </w:rPr>
        <w:t xml:space="preserve">si sarebbero potute tenere in considerazioni le “fasce deboli”, con esenzioni in cifra fissa. </w:t>
      </w:r>
      <w:r w:rsidR="00B953A7" w:rsidRPr="007F7EBF">
        <w:rPr>
          <w:sz w:val="22"/>
          <w:szCs w:val="22"/>
        </w:rPr>
        <w:t xml:space="preserve">E' </w:t>
      </w:r>
      <w:r w:rsidR="00C26E84">
        <w:rPr>
          <w:sz w:val="22"/>
          <w:szCs w:val="22"/>
        </w:rPr>
        <w:t>la già indicata</w:t>
      </w:r>
      <w:r w:rsidR="00B953A7" w:rsidRPr="007F7EBF">
        <w:rPr>
          <w:sz w:val="22"/>
          <w:szCs w:val="22"/>
        </w:rPr>
        <w:t xml:space="preserve"> logica </w:t>
      </w:r>
      <w:proofErr w:type="spellStart"/>
      <w:r w:rsidR="00B953A7" w:rsidRPr="007F7EBF">
        <w:rPr>
          <w:i/>
          <w:sz w:val="22"/>
          <w:szCs w:val="22"/>
        </w:rPr>
        <w:t>paracondominiale</w:t>
      </w:r>
      <w:proofErr w:type="spellEnd"/>
      <w:r w:rsidR="00C26E84">
        <w:rPr>
          <w:sz w:val="22"/>
          <w:szCs w:val="22"/>
        </w:rPr>
        <w:t xml:space="preserve"> </w:t>
      </w:r>
      <w:r w:rsidR="00B953A7" w:rsidRPr="007F7EBF">
        <w:rPr>
          <w:sz w:val="22"/>
          <w:szCs w:val="22"/>
        </w:rPr>
        <w:t xml:space="preserve">in cui chi ha la casa più bella assorbe anche una quota maggiore dei costi comuni, sempre nel quadro del principio del beneficio. </w:t>
      </w:r>
      <w:r w:rsidR="0006736E" w:rsidRPr="007F7EBF">
        <w:rPr>
          <w:sz w:val="22"/>
          <w:szCs w:val="22"/>
        </w:rPr>
        <w:t>Le prime case "di valore" avrebbero potuto pagare più delle prime case "economiche", ma la relativa tassazione sarebbe stata conforme al principio che i costi dei servizi fruiti dai residenti devono gravare su di essi</w:t>
      </w:r>
      <w:r w:rsidR="00E95188">
        <w:rPr>
          <w:sz w:val="22"/>
          <w:szCs w:val="22"/>
        </w:rPr>
        <w:t>(</w:t>
      </w:r>
      <w:r w:rsidR="00DE3ADB" w:rsidRPr="007F7EBF">
        <w:rPr>
          <w:rStyle w:val="Rimandonotaapidipagina"/>
          <w:sz w:val="22"/>
          <w:szCs w:val="22"/>
        </w:rPr>
        <w:footnoteReference w:id="1424"/>
      </w:r>
      <w:r w:rsidR="00E95188">
        <w:rPr>
          <w:sz w:val="22"/>
          <w:szCs w:val="22"/>
        </w:rPr>
        <w:t>)</w:t>
      </w:r>
      <w:r w:rsidR="00DE3ADB" w:rsidRPr="007F7EBF">
        <w:rPr>
          <w:sz w:val="22"/>
          <w:szCs w:val="22"/>
        </w:rPr>
        <w:t>.</w:t>
      </w:r>
      <w:r w:rsidR="0006736E" w:rsidRPr="007F7EBF">
        <w:rPr>
          <w:sz w:val="22"/>
          <w:szCs w:val="22"/>
        </w:rPr>
        <w:t xml:space="preserve"> </w:t>
      </w:r>
      <w:r w:rsidR="00B9250F" w:rsidRPr="007F7EBF">
        <w:rPr>
          <w:sz w:val="22"/>
          <w:szCs w:val="22"/>
        </w:rPr>
        <w:t xml:space="preserve">Nella diversa </w:t>
      </w:r>
      <w:r w:rsidR="0006736E" w:rsidRPr="007F7EBF">
        <w:rPr>
          <w:sz w:val="22"/>
          <w:szCs w:val="22"/>
        </w:rPr>
        <w:t xml:space="preserve">logica </w:t>
      </w:r>
      <w:r w:rsidR="00B9250F" w:rsidRPr="007F7EBF">
        <w:rPr>
          <w:sz w:val="22"/>
          <w:szCs w:val="22"/>
        </w:rPr>
        <w:t>dell'</w:t>
      </w:r>
      <w:r w:rsidR="0006736E" w:rsidRPr="007F7EBF">
        <w:rPr>
          <w:sz w:val="22"/>
          <w:szCs w:val="22"/>
        </w:rPr>
        <w:t>imposizione patrimoniale</w:t>
      </w:r>
      <w:r w:rsidR="00B9250F" w:rsidRPr="007F7EBF">
        <w:rPr>
          <w:rStyle w:val="Rimandonotaapidipagina"/>
          <w:sz w:val="22"/>
          <w:szCs w:val="22"/>
        </w:rPr>
        <w:footnoteReference w:id="1425"/>
      </w:r>
      <w:r w:rsidR="0006736E" w:rsidRPr="007F7EBF">
        <w:rPr>
          <w:sz w:val="22"/>
          <w:szCs w:val="22"/>
        </w:rPr>
        <w:t>, invece, la prima casa avrebbe meritato sgravi, in quanto non è "un investimento", ma uno strumento per soddisfare esigenze abitative</w:t>
      </w:r>
      <w:r w:rsidRPr="007F7EBF">
        <w:rPr>
          <w:sz w:val="22"/>
          <w:szCs w:val="22"/>
        </w:rPr>
        <w:t xml:space="preserve"> </w:t>
      </w:r>
      <w:r w:rsidR="008C71F2">
        <w:rPr>
          <w:sz w:val="22"/>
          <w:szCs w:val="22"/>
        </w:rPr>
        <w:t>(</w:t>
      </w:r>
      <w:r w:rsidR="00B953A7" w:rsidRPr="007F7EBF">
        <w:rPr>
          <w:rStyle w:val="Rimandonotaapidipagina"/>
          <w:b/>
          <w:sz w:val="22"/>
          <w:szCs w:val="22"/>
        </w:rPr>
        <w:footnoteReference w:id="1426"/>
      </w:r>
      <w:r w:rsidR="008C71F2">
        <w:rPr>
          <w:sz w:val="22"/>
          <w:szCs w:val="22"/>
        </w:rPr>
        <w:t>)</w:t>
      </w:r>
      <w:r w:rsidR="0006736E" w:rsidRPr="007F7EBF">
        <w:rPr>
          <w:sz w:val="22"/>
          <w:szCs w:val="22"/>
        </w:rPr>
        <w:t>.</w:t>
      </w:r>
      <w:r w:rsidR="00EB0FDF" w:rsidRPr="007F7EBF">
        <w:rPr>
          <w:sz w:val="22"/>
          <w:szCs w:val="22"/>
        </w:rPr>
        <w:t xml:space="preserve"> </w:t>
      </w:r>
    </w:p>
    <w:p w14:paraId="1B4D6B68" w14:textId="77777777" w:rsidR="00E32BCA" w:rsidRPr="007F7EBF" w:rsidRDefault="00E32BCA" w:rsidP="00E32BCA">
      <w:pPr>
        <w:pStyle w:val="tit23"/>
        <w:ind w:left="6464" w:right="-1361" w:firstLine="0"/>
        <w:jc w:val="left"/>
        <w:rPr>
          <w:bCs/>
          <w:i/>
          <w:iCs/>
          <w:color w:val="0000FF"/>
          <w:lang w:val="it-IT"/>
        </w:rPr>
      </w:pPr>
      <w:r w:rsidRPr="007F7EBF">
        <w:rPr>
          <w:bCs/>
          <w:i/>
          <w:iCs/>
          <w:color w:val="0000FF"/>
          <w:lang w:val="it-IT"/>
        </w:rPr>
        <w:lastRenderedPageBreak/>
        <w:t>Inconvenienti generali</w:t>
      </w:r>
      <w:r w:rsidR="00B953A7" w:rsidRPr="007F7EBF">
        <w:rPr>
          <w:bCs/>
          <w:i/>
          <w:iCs/>
          <w:color w:val="0000FF"/>
          <w:lang w:val="it-IT"/>
        </w:rPr>
        <w:t xml:space="preserve"> delle imposte patrimoniali</w:t>
      </w:r>
    </w:p>
    <w:p w14:paraId="041E2856" w14:textId="570CA88F" w:rsidR="00B953A7" w:rsidRPr="007F7EBF" w:rsidRDefault="006342C5" w:rsidP="00B953A7">
      <w:pPr>
        <w:autoSpaceDE w:val="0"/>
        <w:autoSpaceDN w:val="0"/>
        <w:adjustRightInd w:val="0"/>
        <w:rPr>
          <w:sz w:val="22"/>
          <w:szCs w:val="22"/>
        </w:rPr>
      </w:pPr>
      <w:r w:rsidRPr="007F7EBF">
        <w:rPr>
          <w:sz w:val="22"/>
          <w:szCs w:val="22"/>
        </w:rPr>
        <w:t xml:space="preserve">L’IMU </w:t>
      </w:r>
      <w:r w:rsidR="002E3BCA" w:rsidRPr="007F7EBF">
        <w:rPr>
          <w:sz w:val="22"/>
          <w:szCs w:val="22"/>
        </w:rPr>
        <w:t>presenta tutti gli inconvenienti i delle imposte patrimoniali ordinarie indicati al par.10.4, soprattutto riferit</w:t>
      </w:r>
      <w:r w:rsidR="00E95188">
        <w:rPr>
          <w:sz w:val="22"/>
          <w:szCs w:val="22"/>
        </w:rPr>
        <w:t>a</w:t>
      </w:r>
      <w:r w:rsidR="002E3BCA" w:rsidRPr="007F7EBF">
        <w:rPr>
          <w:sz w:val="22"/>
          <w:szCs w:val="22"/>
        </w:rPr>
        <w:t xml:space="preserve"> a</w:t>
      </w:r>
      <w:r w:rsidR="00B9250F" w:rsidRPr="007F7EBF">
        <w:rPr>
          <w:sz w:val="22"/>
          <w:szCs w:val="22"/>
        </w:rPr>
        <w:t xml:space="preserve">gli immobili privi di reddito, il cui valore </w:t>
      </w:r>
      <w:r w:rsidR="002E3BCA" w:rsidRPr="007F7EBF">
        <w:rPr>
          <w:sz w:val="22"/>
          <w:szCs w:val="22"/>
        </w:rPr>
        <w:t>di mercat</w:t>
      </w:r>
      <w:r w:rsidR="00B9250F" w:rsidRPr="007F7EBF">
        <w:rPr>
          <w:sz w:val="22"/>
          <w:szCs w:val="22"/>
        </w:rPr>
        <w:t>o è sces</w:t>
      </w:r>
      <w:r w:rsidR="002E3BCA" w:rsidRPr="007F7EBF">
        <w:rPr>
          <w:sz w:val="22"/>
          <w:szCs w:val="22"/>
        </w:rPr>
        <w:t>o</w:t>
      </w:r>
      <w:r w:rsidR="00B9250F" w:rsidRPr="007F7EBF">
        <w:rPr>
          <w:sz w:val="22"/>
          <w:szCs w:val="22"/>
        </w:rPr>
        <w:t xml:space="preserve"> rispetto al prezzo di acquisto</w:t>
      </w:r>
      <w:r w:rsidR="002E3BCA" w:rsidRPr="007F7EBF">
        <w:rPr>
          <w:sz w:val="22"/>
          <w:szCs w:val="22"/>
        </w:rPr>
        <w:t xml:space="preserve">. </w:t>
      </w:r>
      <w:r w:rsidR="00B953A7" w:rsidRPr="007F7EBF">
        <w:rPr>
          <w:sz w:val="22"/>
          <w:szCs w:val="22"/>
        </w:rPr>
        <w:t xml:space="preserve">In questo caso nessun indizio di </w:t>
      </w:r>
      <w:r w:rsidR="00B93122" w:rsidRPr="007F7EBF">
        <w:rPr>
          <w:sz w:val="22"/>
          <w:szCs w:val="22"/>
        </w:rPr>
        <w:t>reddito o di consumo</w:t>
      </w:r>
      <w:r w:rsidR="00B953A7" w:rsidRPr="007F7EBF">
        <w:rPr>
          <w:sz w:val="22"/>
          <w:szCs w:val="22"/>
        </w:rPr>
        <w:t xml:space="preserve"> giustifica il prelievo, come accade</w:t>
      </w:r>
      <w:r w:rsidR="00B9250F" w:rsidRPr="007F7EBF">
        <w:rPr>
          <w:sz w:val="22"/>
          <w:szCs w:val="22"/>
        </w:rPr>
        <w:t xml:space="preserve"> per molti immobili commerciali</w:t>
      </w:r>
      <w:r w:rsidR="00E95188">
        <w:rPr>
          <w:sz w:val="22"/>
          <w:szCs w:val="22"/>
        </w:rPr>
        <w:t>(</w:t>
      </w:r>
      <w:r w:rsidR="00B9250F" w:rsidRPr="007F7EBF">
        <w:rPr>
          <w:rStyle w:val="Rimandonotaapidipagina"/>
          <w:sz w:val="22"/>
          <w:szCs w:val="22"/>
        </w:rPr>
        <w:footnoteReference w:id="1427"/>
      </w:r>
      <w:r w:rsidR="00E95188">
        <w:rPr>
          <w:sz w:val="22"/>
          <w:szCs w:val="22"/>
        </w:rPr>
        <w:t>)</w:t>
      </w:r>
      <w:r w:rsidR="00B93122" w:rsidRPr="007F7EBF">
        <w:rPr>
          <w:sz w:val="22"/>
          <w:szCs w:val="22"/>
        </w:rPr>
        <w:t xml:space="preserve">, terreni abbandonati, </w:t>
      </w:r>
      <w:r w:rsidR="00B953A7" w:rsidRPr="007F7EBF">
        <w:rPr>
          <w:sz w:val="22"/>
          <w:szCs w:val="22"/>
        </w:rPr>
        <w:t xml:space="preserve">seconde case </w:t>
      </w:r>
      <w:r w:rsidR="00B93122" w:rsidRPr="007F7EBF">
        <w:rPr>
          <w:sz w:val="22"/>
          <w:szCs w:val="22"/>
        </w:rPr>
        <w:t xml:space="preserve">al paesello natio, oppure </w:t>
      </w:r>
      <w:r w:rsidR="00B953A7" w:rsidRPr="007F7EBF">
        <w:rPr>
          <w:sz w:val="22"/>
          <w:szCs w:val="22"/>
        </w:rPr>
        <w:t>"</w:t>
      </w:r>
      <w:r w:rsidR="00B93122" w:rsidRPr="007F7EBF">
        <w:rPr>
          <w:sz w:val="22"/>
          <w:szCs w:val="22"/>
        </w:rPr>
        <w:t xml:space="preserve">di </w:t>
      </w:r>
      <w:r w:rsidR="00B953A7" w:rsidRPr="007F7EBF">
        <w:rPr>
          <w:sz w:val="22"/>
          <w:szCs w:val="22"/>
        </w:rPr>
        <w:t>villeggiatura"</w:t>
      </w:r>
      <w:r w:rsidR="00B93122" w:rsidRPr="007F7EBF">
        <w:rPr>
          <w:sz w:val="22"/>
          <w:szCs w:val="22"/>
        </w:rPr>
        <w:t xml:space="preserve">, concetto ormai fuori moda </w:t>
      </w:r>
      <w:r w:rsidR="008C71F2">
        <w:rPr>
          <w:sz w:val="22"/>
          <w:szCs w:val="22"/>
        </w:rPr>
        <w:t>(</w:t>
      </w:r>
      <w:r w:rsidR="00B953A7" w:rsidRPr="007F7EBF">
        <w:rPr>
          <w:rStyle w:val="Rimandonotaapidipagina"/>
          <w:sz w:val="22"/>
          <w:szCs w:val="22"/>
        </w:rPr>
        <w:footnoteReference w:id="1428"/>
      </w:r>
      <w:r w:rsidR="008C71F2">
        <w:rPr>
          <w:sz w:val="22"/>
          <w:szCs w:val="22"/>
        </w:rPr>
        <w:t>)</w:t>
      </w:r>
      <w:r w:rsidR="00B953A7" w:rsidRPr="007F7EBF">
        <w:rPr>
          <w:sz w:val="22"/>
          <w:szCs w:val="22"/>
        </w:rPr>
        <w:t xml:space="preserve">. </w:t>
      </w:r>
    </w:p>
    <w:p w14:paraId="13FE1D86" w14:textId="77777777" w:rsidR="00B953A7" w:rsidRPr="007F7EBF" w:rsidRDefault="00B953A7" w:rsidP="00B953A7">
      <w:pPr>
        <w:pStyle w:val="tit23"/>
        <w:ind w:left="6464" w:right="-1361" w:firstLine="0"/>
        <w:jc w:val="left"/>
        <w:rPr>
          <w:bCs/>
          <w:i/>
          <w:iCs/>
          <w:color w:val="0000FF"/>
          <w:lang w:val="it-IT"/>
        </w:rPr>
      </w:pPr>
      <w:r w:rsidRPr="007F7EBF">
        <w:rPr>
          <w:bCs/>
          <w:i/>
          <w:iCs/>
          <w:color w:val="0000FF"/>
          <w:lang w:val="it-IT"/>
        </w:rPr>
        <w:t>Determinazione del valore</w:t>
      </w:r>
      <w:r w:rsidR="00F03844" w:rsidRPr="007F7EBF">
        <w:rPr>
          <w:bCs/>
          <w:i/>
          <w:iCs/>
          <w:color w:val="0000FF"/>
          <w:lang w:val="it-IT"/>
        </w:rPr>
        <w:t xml:space="preserve"> e gettito</w:t>
      </w:r>
    </w:p>
    <w:p w14:paraId="16BF4C96" w14:textId="1316C94B" w:rsidR="002E3BCA" w:rsidRPr="007F7EBF" w:rsidRDefault="006342C5" w:rsidP="002E3BCA">
      <w:pPr>
        <w:autoSpaceDE w:val="0"/>
        <w:autoSpaceDN w:val="0"/>
        <w:adjustRightInd w:val="0"/>
        <w:rPr>
          <w:sz w:val="22"/>
          <w:szCs w:val="22"/>
        </w:rPr>
      </w:pPr>
      <w:r w:rsidRPr="007F7EBF">
        <w:rPr>
          <w:sz w:val="22"/>
          <w:szCs w:val="22"/>
        </w:rPr>
        <w:t>Le imposte in esame sono commisurate al valore</w:t>
      </w:r>
      <w:r w:rsidR="00E95188">
        <w:rPr>
          <w:sz w:val="22"/>
          <w:szCs w:val="22"/>
        </w:rPr>
        <w:t xml:space="preserve"> forfettario</w:t>
      </w:r>
      <w:r w:rsidRPr="007F7EBF">
        <w:rPr>
          <w:sz w:val="22"/>
          <w:szCs w:val="22"/>
        </w:rPr>
        <w:t xml:space="preserve"> degli immobili</w:t>
      </w:r>
      <w:r w:rsidR="00E95188">
        <w:rPr>
          <w:sz w:val="22"/>
          <w:szCs w:val="22"/>
        </w:rPr>
        <w:t xml:space="preserve">, </w:t>
      </w:r>
      <w:r w:rsidRPr="007F7EBF">
        <w:rPr>
          <w:sz w:val="22"/>
          <w:szCs w:val="22"/>
        </w:rPr>
        <w:t>determinato con i</w:t>
      </w:r>
      <w:r w:rsidR="00B17637" w:rsidRPr="007F7EBF">
        <w:rPr>
          <w:sz w:val="22"/>
          <w:szCs w:val="22"/>
        </w:rPr>
        <w:t xml:space="preserve"> </w:t>
      </w:r>
      <w:r w:rsidRPr="007F7EBF">
        <w:rPr>
          <w:sz w:val="22"/>
          <w:szCs w:val="22"/>
        </w:rPr>
        <w:t>moltiplicatori della rendita catastale previsti ai fini delle imposte indirette (registro: paragrafo</w:t>
      </w:r>
      <w:r w:rsidR="00B17637" w:rsidRPr="007F7EBF">
        <w:rPr>
          <w:sz w:val="22"/>
          <w:szCs w:val="22"/>
        </w:rPr>
        <w:t xml:space="preserve"> </w:t>
      </w:r>
      <w:r w:rsidRPr="007F7EBF">
        <w:rPr>
          <w:sz w:val="22"/>
          <w:szCs w:val="22"/>
        </w:rPr>
        <w:t>10.2)</w:t>
      </w:r>
      <w:r w:rsidR="00E95188">
        <w:rPr>
          <w:sz w:val="22"/>
          <w:szCs w:val="22"/>
        </w:rPr>
        <w:t>; l’</w:t>
      </w:r>
      <w:r w:rsidRPr="007F7EBF">
        <w:rPr>
          <w:sz w:val="22"/>
          <w:szCs w:val="22"/>
        </w:rPr>
        <w:t xml:space="preserve">aliquota </w:t>
      </w:r>
      <w:r w:rsidR="00E95188">
        <w:rPr>
          <w:sz w:val="22"/>
          <w:szCs w:val="22"/>
        </w:rPr>
        <w:t xml:space="preserve">è </w:t>
      </w:r>
      <w:r w:rsidRPr="007F7EBF">
        <w:rPr>
          <w:sz w:val="22"/>
          <w:szCs w:val="22"/>
        </w:rPr>
        <w:t>stabilita annualmente da ciascun comune, e può variare</w:t>
      </w:r>
      <w:r w:rsidR="00B17637" w:rsidRPr="007F7EBF">
        <w:rPr>
          <w:sz w:val="22"/>
          <w:szCs w:val="22"/>
        </w:rPr>
        <w:t xml:space="preserve"> </w:t>
      </w:r>
      <w:r w:rsidRPr="007F7EBF">
        <w:rPr>
          <w:sz w:val="22"/>
          <w:szCs w:val="22"/>
        </w:rPr>
        <w:t>fino a un massimo del 11 per mille circa del suddetto valore, a seconda delle tipologie</w:t>
      </w:r>
      <w:r w:rsidR="00B17637" w:rsidRPr="007F7EBF">
        <w:rPr>
          <w:sz w:val="22"/>
          <w:szCs w:val="22"/>
        </w:rPr>
        <w:t xml:space="preserve"> </w:t>
      </w:r>
      <w:r w:rsidRPr="007F7EBF">
        <w:rPr>
          <w:sz w:val="22"/>
          <w:szCs w:val="22"/>
        </w:rPr>
        <w:t>e della destinazion</w:t>
      </w:r>
      <w:r w:rsidR="002E3BCA" w:rsidRPr="007F7EBF">
        <w:rPr>
          <w:sz w:val="22"/>
          <w:szCs w:val="22"/>
        </w:rPr>
        <w:t xml:space="preserve">e (particolarmente penalizzati capannoni, negozi e case di villeggiatura). </w:t>
      </w:r>
    </w:p>
    <w:p w14:paraId="43E9E518" w14:textId="6811DFA3" w:rsidR="00B17637" w:rsidRPr="007F7EBF" w:rsidRDefault="006342C5" w:rsidP="002E3BCA">
      <w:pPr>
        <w:autoSpaceDE w:val="0"/>
        <w:autoSpaceDN w:val="0"/>
        <w:adjustRightInd w:val="0"/>
        <w:rPr>
          <w:bCs/>
          <w:i/>
          <w:iCs/>
          <w:color w:val="0000FF"/>
          <w:sz w:val="22"/>
          <w:szCs w:val="22"/>
        </w:rPr>
      </w:pPr>
      <w:r w:rsidRPr="007F7EBF">
        <w:rPr>
          <w:sz w:val="22"/>
          <w:szCs w:val="22"/>
        </w:rPr>
        <w:t>L’elevato gettito</w:t>
      </w:r>
      <w:r w:rsidR="00B17637" w:rsidRPr="007F7EBF">
        <w:rPr>
          <w:sz w:val="22"/>
          <w:szCs w:val="22"/>
        </w:rPr>
        <w:t xml:space="preserve"> </w:t>
      </w:r>
      <w:r w:rsidRPr="007F7EBF">
        <w:rPr>
          <w:sz w:val="22"/>
          <w:szCs w:val="22"/>
        </w:rPr>
        <w:t>di quest’imposta smentisce ancora una volta l’infedeltà fiscale degli italiani, considerando</w:t>
      </w:r>
      <w:r w:rsidR="00B17637" w:rsidRPr="007F7EBF">
        <w:rPr>
          <w:sz w:val="22"/>
          <w:szCs w:val="22"/>
        </w:rPr>
        <w:t xml:space="preserve"> </w:t>
      </w:r>
      <w:r w:rsidRPr="007F7EBF">
        <w:rPr>
          <w:sz w:val="22"/>
          <w:szCs w:val="22"/>
        </w:rPr>
        <w:t>anche le scarse possibilità reali di controllo degli uffici comunali.</w:t>
      </w:r>
    </w:p>
    <w:p w14:paraId="7F0691F2" w14:textId="48E51789" w:rsidR="006342C5" w:rsidRPr="007F7EBF" w:rsidRDefault="00B17637" w:rsidP="002E3BCA">
      <w:pPr>
        <w:autoSpaceDE w:val="0"/>
        <w:autoSpaceDN w:val="0"/>
        <w:adjustRightInd w:val="0"/>
        <w:rPr>
          <w:sz w:val="22"/>
          <w:szCs w:val="22"/>
        </w:rPr>
      </w:pPr>
      <w:r w:rsidRPr="007F7EBF">
        <w:rPr>
          <w:sz w:val="22"/>
          <w:szCs w:val="22"/>
        </w:rPr>
        <w:t xml:space="preserve"> </w:t>
      </w:r>
      <w:r w:rsidR="006342C5" w:rsidRPr="007F7EBF">
        <w:rPr>
          <w:sz w:val="22"/>
          <w:szCs w:val="22"/>
        </w:rPr>
        <w:t>L’individuazione e determinazione dell</w:t>
      </w:r>
      <w:r w:rsidR="00E95188">
        <w:rPr>
          <w:sz w:val="22"/>
          <w:szCs w:val="22"/>
        </w:rPr>
        <w:t xml:space="preserve">’imponibile </w:t>
      </w:r>
      <w:r w:rsidR="006342C5" w:rsidRPr="007F7EBF">
        <w:rPr>
          <w:sz w:val="22"/>
          <w:szCs w:val="22"/>
        </w:rPr>
        <w:t>sono affidate alla rilevazione</w:t>
      </w:r>
      <w:r w:rsidR="00517EF3" w:rsidRPr="007F7EBF">
        <w:rPr>
          <w:sz w:val="22"/>
          <w:szCs w:val="22"/>
        </w:rPr>
        <w:t xml:space="preserve"> catastale</w:t>
      </w:r>
      <w:r w:rsidR="006342C5" w:rsidRPr="007F7EBF">
        <w:rPr>
          <w:sz w:val="22"/>
          <w:szCs w:val="22"/>
        </w:rPr>
        <w:t xml:space="preserve"> del</w:t>
      </w:r>
      <w:r w:rsidRPr="007F7EBF">
        <w:rPr>
          <w:sz w:val="22"/>
          <w:szCs w:val="22"/>
        </w:rPr>
        <w:t xml:space="preserve"> </w:t>
      </w:r>
      <w:r w:rsidR="006342C5" w:rsidRPr="007F7EBF">
        <w:rPr>
          <w:sz w:val="22"/>
          <w:szCs w:val="22"/>
        </w:rPr>
        <w:t>patrimonio immobiliare, senza l’aiuto di “strutt</w:t>
      </w:r>
      <w:r w:rsidR="00517EF3" w:rsidRPr="007F7EBF">
        <w:rPr>
          <w:sz w:val="22"/>
          <w:szCs w:val="22"/>
        </w:rPr>
        <w:t>ure amministrative intermedie”</w:t>
      </w:r>
      <w:r w:rsidR="00E95188">
        <w:rPr>
          <w:sz w:val="22"/>
          <w:szCs w:val="22"/>
        </w:rPr>
        <w:t>; per questo spesso i comuni affidano l’integrale gestione dell’imposta, accertamenti compresi, a società concessionarie</w:t>
      </w:r>
      <w:r w:rsidR="00517EF3" w:rsidRPr="007F7EBF">
        <w:rPr>
          <w:sz w:val="22"/>
          <w:szCs w:val="22"/>
        </w:rPr>
        <w:t xml:space="preserve">. </w:t>
      </w:r>
    </w:p>
    <w:p w14:paraId="3A19F503" w14:textId="77777777" w:rsidR="00F03844" w:rsidRPr="007F7EBF" w:rsidRDefault="006342C5" w:rsidP="00F03844">
      <w:pPr>
        <w:pStyle w:val="Titolo3"/>
        <w:rPr>
          <w:rFonts w:ascii="Times New Roman" w:hAnsi="Times New Roman"/>
          <w:b w:val="0"/>
          <w:sz w:val="22"/>
          <w:szCs w:val="22"/>
        </w:rPr>
      </w:pPr>
      <w:bookmarkStart w:id="147" w:name="_Toc63365054"/>
      <w:r w:rsidRPr="007F7EBF">
        <w:rPr>
          <w:rFonts w:ascii="Times New Roman" w:hAnsi="Times New Roman"/>
          <w:sz w:val="22"/>
          <w:szCs w:val="22"/>
        </w:rPr>
        <w:lastRenderedPageBreak/>
        <w:t>10.10. Aspetti concettuali di altri “tributi minori”</w:t>
      </w:r>
      <w:r w:rsidR="009950C3" w:rsidRPr="007F7EBF">
        <w:rPr>
          <w:rFonts w:ascii="Times New Roman" w:hAnsi="Times New Roman"/>
          <w:sz w:val="22"/>
          <w:szCs w:val="22"/>
        </w:rPr>
        <w:t>, locali o a destinazione speciale.</w:t>
      </w:r>
      <w:bookmarkEnd w:id="147"/>
    </w:p>
    <w:p w14:paraId="10D956EC" w14:textId="4B3003EB" w:rsidR="00F03844" w:rsidRPr="007F7EBF" w:rsidRDefault="00F03844" w:rsidP="00F03844">
      <w:pPr>
        <w:pStyle w:val="tit23"/>
        <w:ind w:left="6464" w:right="-1361" w:firstLine="0"/>
        <w:jc w:val="left"/>
        <w:rPr>
          <w:bCs/>
          <w:i/>
          <w:iCs/>
          <w:color w:val="0000FF"/>
          <w:lang w:val="it-IT"/>
        </w:rPr>
      </w:pPr>
      <w:r w:rsidRPr="007F7EBF">
        <w:rPr>
          <w:bCs/>
          <w:i/>
          <w:iCs/>
          <w:color w:val="0000FF"/>
          <w:lang w:val="it-IT"/>
        </w:rPr>
        <w:t>da</w:t>
      </w:r>
      <w:r w:rsidR="00E42F0D">
        <w:rPr>
          <w:bCs/>
          <w:i/>
          <w:iCs/>
          <w:color w:val="0000FF"/>
          <w:lang w:val="it-IT"/>
        </w:rPr>
        <w:t>i</w:t>
      </w:r>
      <w:r w:rsidRPr="007F7EBF">
        <w:rPr>
          <w:bCs/>
          <w:i/>
          <w:iCs/>
          <w:color w:val="0000FF"/>
          <w:lang w:val="it-IT"/>
        </w:rPr>
        <w:t xml:space="preserve"> tributi a</w:t>
      </w:r>
      <w:r w:rsidR="00E42F0D">
        <w:rPr>
          <w:bCs/>
          <w:i/>
          <w:iCs/>
          <w:color w:val="0000FF"/>
          <w:lang w:val="it-IT"/>
        </w:rPr>
        <w:t>lle</w:t>
      </w:r>
      <w:r w:rsidRPr="007F7EBF">
        <w:rPr>
          <w:bCs/>
          <w:i/>
          <w:iCs/>
          <w:color w:val="0000FF"/>
          <w:lang w:val="it-IT"/>
        </w:rPr>
        <w:t xml:space="preserve"> tariffe</w:t>
      </w:r>
    </w:p>
    <w:p w14:paraId="5E3D49A7" w14:textId="17C4BA97" w:rsidR="00F03844" w:rsidRPr="007F7EBF" w:rsidRDefault="00F03844" w:rsidP="00E95188">
      <w:pPr>
        <w:autoSpaceDE w:val="0"/>
        <w:autoSpaceDN w:val="0"/>
        <w:adjustRightInd w:val="0"/>
        <w:rPr>
          <w:bCs/>
          <w:i/>
          <w:iCs/>
          <w:color w:val="0000FF"/>
        </w:rPr>
      </w:pPr>
      <w:r w:rsidRPr="007F7EBF">
        <w:rPr>
          <w:sz w:val="22"/>
          <w:szCs w:val="22"/>
        </w:rPr>
        <w:t>Negli ultimi anni c'è stata una tendenza politico-ideologica a trasformare i tributi in tariffe (paragrafo 5.1)</w:t>
      </w:r>
      <w:r w:rsidR="00E42F0D">
        <w:rPr>
          <w:sz w:val="22"/>
          <w:szCs w:val="22"/>
        </w:rPr>
        <w:t xml:space="preserve">, affermando di aver “liberalizzato”, anche in omaggio alle tendenze comunitarie (par.2.6) e di </w:t>
      </w:r>
      <w:r w:rsidR="00FF2090" w:rsidRPr="007F7EBF">
        <w:rPr>
          <w:sz w:val="22"/>
          <w:szCs w:val="22"/>
        </w:rPr>
        <w:t xml:space="preserve">aver "ridotto le tasse", </w:t>
      </w:r>
      <w:r w:rsidRPr="007F7EBF">
        <w:rPr>
          <w:sz w:val="22"/>
          <w:szCs w:val="22"/>
        </w:rPr>
        <w:t xml:space="preserve">concetti politicamente di moda. </w:t>
      </w:r>
    </w:p>
    <w:p w14:paraId="703F843A" w14:textId="3C6C47F1" w:rsidR="006402C1" w:rsidRPr="007F7EBF" w:rsidRDefault="00F03844" w:rsidP="00F03844">
      <w:pPr>
        <w:autoSpaceDE w:val="0"/>
        <w:autoSpaceDN w:val="0"/>
        <w:adjustRightInd w:val="0"/>
        <w:rPr>
          <w:sz w:val="22"/>
          <w:szCs w:val="22"/>
        </w:rPr>
      </w:pPr>
      <w:r w:rsidRPr="007F7EBF">
        <w:rPr>
          <w:sz w:val="22"/>
          <w:szCs w:val="22"/>
        </w:rPr>
        <w:t>Qu</w:t>
      </w:r>
      <w:r w:rsidR="002B1F32" w:rsidRPr="007F7EBF">
        <w:rPr>
          <w:sz w:val="22"/>
          <w:szCs w:val="22"/>
        </w:rPr>
        <w:t xml:space="preserve">esta mutazione si è verificata </w:t>
      </w:r>
      <w:r w:rsidRPr="007F7EBF">
        <w:rPr>
          <w:sz w:val="22"/>
          <w:szCs w:val="22"/>
        </w:rPr>
        <w:t>per l’</w:t>
      </w:r>
      <w:r w:rsidRPr="007F7EBF">
        <w:rPr>
          <w:bCs/>
          <w:sz w:val="22"/>
          <w:szCs w:val="22"/>
        </w:rPr>
        <w:t xml:space="preserve">occupazione del suolo pubblico, e la pubblicità </w:t>
      </w:r>
      <w:r w:rsidRPr="007F7EBF">
        <w:rPr>
          <w:sz w:val="22"/>
          <w:szCs w:val="22"/>
        </w:rPr>
        <w:t xml:space="preserve">effettuata attraverso affissioni, insegne pubblicitarie, cartelloni, striscioni </w:t>
      </w:r>
      <w:proofErr w:type="spellStart"/>
      <w:r w:rsidRPr="007F7EBF">
        <w:rPr>
          <w:sz w:val="22"/>
          <w:szCs w:val="22"/>
        </w:rPr>
        <w:t>etc</w:t>
      </w:r>
      <w:proofErr w:type="spellEnd"/>
      <w:r w:rsidR="00E42F0D">
        <w:rPr>
          <w:sz w:val="22"/>
          <w:szCs w:val="22"/>
        </w:rPr>
        <w:t>;</w:t>
      </w:r>
      <w:r w:rsidRPr="007F7EBF">
        <w:rPr>
          <w:sz w:val="22"/>
          <w:szCs w:val="22"/>
        </w:rPr>
        <w:t xml:space="preserve"> </w:t>
      </w:r>
      <w:r w:rsidR="00FF2090" w:rsidRPr="007F7EBF">
        <w:rPr>
          <w:sz w:val="22"/>
          <w:szCs w:val="22"/>
        </w:rPr>
        <w:t xml:space="preserve">i relativi tributi sono stati trasformati in canoni di </w:t>
      </w:r>
      <w:r w:rsidR="006342C5" w:rsidRPr="007F7EBF">
        <w:rPr>
          <w:sz w:val="22"/>
          <w:szCs w:val="22"/>
        </w:rPr>
        <w:t xml:space="preserve">concessione amministrativa, </w:t>
      </w:r>
      <w:r w:rsidR="00FF2090" w:rsidRPr="007F7EBF">
        <w:rPr>
          <w:sz w:val="22"/>
          <w:szCs w:val="22"/>
        </w:rPr>
        <w:t xml:space="preserve">collocati tra le entrate pubbliche ispirate al </w:t>
      </w:r>
      <w:r w:rsidR="006342C5" w:rsidRPr="007F7EBF">
        <w:rPr>
          <w:sz w:val="22"/>
          <w:szCs w:val="22"/>
        </w:rPr>
        <w:t xml:space="preserve">principio del “beneficio” </w:t>
      </w:r>
      <w:r w:rsidR="007B4218" w:rsidRPr="007F7EBF">
        <w:rPr>
          <w:sz w:val="22"/>
          <w:szCs w:val="22"/>
        </w:rPr>
        <w:t xml:space="preserve">(par.1.2 </w:t>
      </w:r>
      <w:r w:rsidRPr="007F7EBF">
        <w:rPr>
          <w:sz w:val="22"/>
          <w:szCs w:val="22"/>
        </w:rPr>
        <w:t>e 5.1)</w:t>
      </w:r>
      <w:r w:rsidR="00FF2090" w:rsidRPr="007F7EBF">
        <w:rPr>
          <w:sz w:val="22"/>
          <w:szCs w:val="22"/>
        </w:rPr>
        <w:t xml:space="preserve">. </w:t>
      </w:r>
      <w:r w:rsidR="00FF2090" w:rsidRPr="007F7EBF">
        <w:rPr>
          <w:bCs/>
          <w:sz w:val="22"/>
          <w:szCs w:val="22"/>
        </w:rPr>
        <w:t xml:space="preserve"> </w:t>
      </w:r>
    </w:p>
    <w:p w14:paraId="4FC088E0" w14:textId="77777777" w:rsidR="006402C1" w:rsidRPr="007F7EBF" w:rsidRDefault="006402C1" w:rsidP="006402C1">
      <w:pPr>
        <w:pStyle w:val="tit23"/>
        <w:ind w:left="6464" w:right="-1361" w:firstLine="0"/>
        <w:jc w:val="left"/>
        <w:rPr>
          <w:bCs/>
          <w:i/>
          <w:iCs/>
          <w:color w:val="0000FF"/>
          <w:lang w:val="it-IT"/>
        </w:rPr>
      </w:pPr>
      <w:r w:rsidRPr="007F7EBF">
        <w:rPr>
          <w:bCs/>
          <w:i/>
          <w:iCs/>
          <w:color w:val="0000FF"/>
          <w:lang w:val="it-IT"/>
        </w:rPr>
        <w:t xml:space="preserve">Tassa rifiuti </w:t>
      </w:r>
    </w:p>
    <w:p w14:paraId="284FD11E" w14:textId="7DCFD6E1" w:rsidR="006342C5" w:rsidRPr="007F7EBF" w:rsidRDefault="00F03844" w:rsidP="00FF2090">
      <w:pPr>
        <w:autoSpaceDE w:val="0"/>
        <w:autoSpaceDN w:val="0"/>
        <w:adjustRightInd w:val="0"/>
        <w:rPr>
          <w:sz w:val="22"/>
          <w:szCs w:val="22"/>
        </w:rPr>
      </w:pPr>
      <w:r w:rsidRPr="007F7EBF">
        <w:rPr>
          <w:bCs/>
          <w:sz w:val="22"/>
          <w:szCs w:val="22"/>
        </w:rPr>
        <w:t>La trasformazione in tariffa</w:t>
      </w:r>
      <w:r w:rsidR="00FF2090" w:rsidRPr="007F7EBF">
        <w:rPr>
          <w:bCs/>
          <w:sz w:val="22"/>
          <w:szCs w:val="22"/>
        </w:rPr>
        <w:t xml:space="preserve"> è </w:t>
      </w:r>
      <w:r w:rsidR="00E42F0D">
        <w:rPr>
          <w:bCs/>
          <w:sz w:val="22"/>
          <w:szCs w:val="22"/>
        </w:rPr>
        <w:t xml:space="preserve">invece </w:t>
      </w:r>
      <w:r w:rsidR="00FF2090" w:rsidRPr="007F7EBF">
        <w:rPr>
          <w:bCs/>
          <w:sz w:val="22"/>
          <w:szCs w:val="22"/>
        </w:rPr>
        <w:t>fallita per la c.d. "tassa raccolta r</w:t>
      </w:r>
      <w:r w:rsidR="006342C5" w:rsidRPr="007F7EBF">
        <w:rPr>
          <w:bCs/>
          <w:sz w:val="22"/>
          <w:szCs w:val="22"/>
        </w:rPr>
        <w:t>ifiuti solidi urbani</w:t>
      </w:r>
      <w:r w:rsidR="00FF2090" w:rsidRPr="007F7EBF">
        <w:rPr>
          <w:sz w:val="22"/>
          <w:szCs w:val="22"/>
        </w:rPr>
        <w:t>", dove la trasformazione è ostacolata dalla difficoltà di organizzare il servizio in modo da subordinare l'accettazione del mater</w:t>
      </w:r>
      <w:r w:rsidR="009522EE" w:rsidRPr="007F7EBF">
        <w:rPr>
          <w:sz w:val="22"/>
          <w:szCs w:val="22"/>
        </w:rPr>
        <w:t>iale (i rifiuti) al pagamento d</w:t>
      </w:r>
      <w:r w:rsidR="00FF2090" w:rsidRPr="007F7EBF">
        <w:rPr>
          <w:sz w:val="22"/>
          <w:szCs w:val="22"/>
        </w:rPr>
        <w:t>el tributo. Resta solo una</w:t>
      </w:r>
      <w:r w:rsidR="006342C5" w:rsidRPr="007F7EBF">
        <w:rPr>
          <w:sz w:val="22"/>
          <w:szCs w:val="22"/>
        </w:rPr>
        <w:t xml:space="preserve"> correlazione</w:t>
      </w:r>
      <w:r w:rsidR="00FF2090" w:rsidRPr="007F7EBF">
        <w:rPr>
          <w:sz w:val="22"/>
          <w:szCs w:val="22"/>
        </w:rPr>
        <w:t xml:space="preserve"> </w:t>
      </w:r>
      <w:r w:rsidR="006342C5" w:rsidRPr="007F7EBF">
        <w:rPr>
          <w:sz w:val="22"/>
          <w:szCs w:val="22"/>
        </w:rPr>
        <w:t xml:space="preserve">tra costo </w:t>
      </w:r>
      <w:r w:rsidR="00FF2090" w:rsidRPr="007F7EBF">
        <w:rPr>
          <w:sz w:val="22"/>
          <w:szCs w:val="22"/>
        </w:rPr>
        <w:t xml:space="preserve">generale </w:t>
      </w:r>
      <w:r w:rsidR="006342C5" w:rsidRPr="007F7EBF">
        <w:rPr>
          <w:sz w:val="22"/>
          <w:szCs w:val="22"/>
        </w:rPr>
        <w:t xml:space="preserve">del servizio e ammontare </w:t>
      </w:r>
      <w:r w:rsidR="00E42F0D">
        <w:rPr>
          <w:sz w:val="22"/>
          <w:szCs w:val="22"/>
        </w:rPr>
        <w:t xml:space="preserve">globale </w:t>
      </w:r>
      <w:r w:rsidR="006342C5" w:rsidRPr="007F7EBF">
        <w:rPr>
          <w:sz w:val="22"/>
          <w:szCs w:val="22"/>
        </w:rPr>
        <w:t>del trib</w:t>
      </w:r>
      <w:r w:rsidR="00FF2090" w:rsidRPr="007F7EBF">
        <w:rPr>
          <w:sz w:val="22"/>
          <w:szCs w:val="22"/>
        </w:rPr>
        <w:t>uto (</w:t>
      </w:r>
      <w:r w:rsidRPr="007F7EBF">
        <w:rPr>
          <w:rStyle w:val="Rimandonotaapidipagina"/>
          <w:sz w:val="22"/>
          <w:szCs w:val="22"/>
        </w:rPr>
        <w:footnoteReference w:id="1429"/>
      </w:r>
      <w:r w:rsidR="00BC45DC" w:rsidRPr="007F7EBF">
        <w:rPr>
          <w:sz w:val="22"/>
          <w:szCs w:val="22"/>
        </w:rPr>
        <w:t xml:space="preserve">). </w:t>
      </w:r>
    </w:p>
    <w:p w14:paraId="19163A47" w14:textId="77777777" w:rsidR="006402C1" w:rsidRPr="007F7EBF" w:rsidRDefault="00BC45DC" w:rsidP="006402C1">
      <w:pPr>
        <w:autoSpaceDE w:val="0"/>
        <w:autoSpaceDN w:val="0"/>
        <w:adjustRightInd w:val="0"/>
        <w:rPr>
          <w:sz w:val="22"/>
          <w:szCs w:val="22"/>
        </w:rPr>
      </w:pPr>
      <w:r w:rsidRPr="007F7EBF">
        <w:rPr>
          <w:sz w:val="22"/>
          <w:szCs w:val="22"/>
        </w:rPr>
        <w:t>E' rimasta quindi la pr</w:t>
      </w:r>
      <w:r w:rsidR="006342C5" w:rsidRPr="007F7EBF">
        <w:rPr>
          <w:sz w:val="22"/>
          <w:szCs w:val="22"/>
        </w:rPr>
        <w:t xml:space="preserve">oporzionalità tra dimensioni dell’immobile, persone che può ospitare e quantità di rifiuti </w:t>
      </w:r>
      <w:r w:rsidRPr="007F7EBF">
        <w:rPr>
          <w:sz w:val="22"/>
          <w:szCs w:val="22"/>
        </w:rPr>
        <w:t xml:space="preserve">presunta, considerando il numero di </w:t>
      </w:r>
      <w:r w:rsidR="006342C5" w:rsidRPr="007F7EBF">
        <w:rPr>
          <w:sz w:val="22"/>
          <w:szCs w:val="22"/>
        </w:rPr>
        <w:t>occupanti</w:t>
      </w:r>
      <w:r w:rsidRPr="007F7EBF">
        <w:rPr>
          <w:sz w:val="22"/>
          <w:szCs w:val="22"/>
        </w:rPr>
        <w:t xml:space="preserve">. Questa </w:t>
      </w:r>
      <w:r w:rsidR="006342C5" w:rsidRPr="007F7EBF">
        <w:rPr>
          <w:sz w:val="22"/>
          <w:szCs w:val="22"/>
        </w:rPr>
        <w:t>personalizzazione del calcolo da parte dei comuni</w:t>
      </w:r>
      <w:r w:rsidRPr="007F7EBF">
        <w:rPr>
          <w:sz w:val="22"/>
          <w:szCs w:val="22"/>
        </w:rPr>
        <w:t xml:space="preserve"> rende</w:t>
      </w:r>
      <w:r w:rsidR="006342C5" w:rsidRPr="007F7EBF">
        <w:rPr>
          <w:sz w:val="22"/>
          <w:szCs w:val="22"/>
        </w:rPr>
        <w:t xml:space="preserve"> necessaria la dichiarazione dei contribuenti e la richiesta d’ufficio,</w:t>
      </w:r>
      <w:r w:rsidR="00B07D5E" w:rsidRPr="007F7EBF">
        <w:rPr>
          <w:sz w:val="22"/>
          <w:szCs w:val="22"/>
        </w:rPr>
        <w:t xml:space="preserve"> </w:t>
      </w:r>
      <w:r w:rsidR="006342C5" w:rsidRPr="007F7EBF">
        <w:rPr>
          <w:sz w:val="22"/>
          <w:szCs w:val="22"/>
        </w:rPr>
        <w:t xml:space="preserve">perché </w:t>
      </w:r>
      <w:r w:rsidRPr="007F7EBF">
        <w:rPr>
          <w:sz w:val="22"/>
          <w:szCs w:val="22"/>
        </w:rPr>
        <w:t>l'autodeterminazione sarebbe troppo complessa</w:t>
      </w:r>
      <w:r w:rsidR="006342C5" w:rsidRPr="007F7EBF">
        <w:rPr>
          <w:sz w:val="22"/>
          <w:szCs w:val="22"/>
        </w:rPr>
        <w:t>.</w:t>
      </w:r>
    </w:p>
    <w:p w14:paraId="04C6691F" w14:textId="12681A5F" w:rsidR="006402C1" w:rsidRPr="007F7EBF" w:rsidRDefault="006402C1" w:rsidP="006402C1">
      <w:pPr>
        <w:pStyle w:val="tit23"/>
        <w:ind w:left="6464" w:right="-1361" w:firstLine="0"/>
        <w:jc w:val="left"/>
        <w:rPr>
          <w:bCs/>
          <w:i/>
          <w:iCs/>
          <w:color w:val="0000FF"/>
          <w:lang w:val="it-IT"/>
        </w:rPr>
      </w:pPr>
      <w:r w:rsidRPr="007F7EBF">
        <w:rPr>
          <w:bCs/>
          <w:i/>
          <w:iCs/>
          <w:color w:val="0000FF"/>
          <w:lang w:val="it-IT"/>
        </w:rPr>
        <w:t xml:space="preserve">consorzi obbligatori </w:t>
      </w:r>
      <w:r w:rsidR="002E3759">
        <w:rPr>
          <w:bCs/>
          <w:i/>
          <w:iCs/>
          <w:color w:val="0000FF"/>
          <w:lang w:val="it-IT"/>
        </w:rPr>
        <w:t xml:space="preserve">di </w:t>
      </w:r>
      <w:r w:rsidRPr="007F7EBF">
        <w:rPr>
          <w:bCs/>
          <w:i/>
          <w:iCs/>
          <w:color w:val="0000FF"/>
          <w:lang w:val="it-IT"/>
        </w:rPr>
        <w:t>recupero</w:t>
      </w:r>
      <w:r w:rsidR="002E3759">
        <w:rPr>
          <w:bCs/>
          <w:i/>
          <w:iCs/>
          <w:color w:val="0000FF"/>
          <w:lang w:val="it-IT"/>
        </w:rPr>
        <w:t xml:space="preserve"> e tributi ambientali</w:t>
      </w:r>
    </w:p>
    <w:p w14:paraId="4ABB8DFF" w14:textId="109231BA" w:rsidR="006402C1" w:rsidRPr="007F7EBF" w:rsidRDefault="00904806" w:rsidP="006402C1">
      <w:pPr>
        <w:autoSpaceDE w:val="0"/>
        <w:autoSpaceDN w:val="0"/>
        <w:adjustRightInd w:val="0"/>
        <w:rPr>
          <w:sz w:val="22"/>
          <w:szCs w:val="22"/>
        </w:rPr>
      </w:pPr>
      <w:r w:rsidRPr="007F7EBF">
        <w:rPr>
          <w:sz w:val="22"/>
          <w:szCs w:val="22"/>
        </w:rPr>
        <w:t>Per affinità con la tariffa rifiuti accenniamo ai tributi ambienta</w:t>
      </w:r>
      <w:r w:rsidR="00BC45DC" w:rsidRPr="007F7EBF">
        <w:rPr>
          <w:sz w:val="22"/>
          <w:szCs w:val="22"/>
        </w:rPr>
        <w:t>l</w:t>
      </w:r>
      <w:r w:rsidRPr="007F7EBF">
        <w:rPr>
          <w:sz w:val="22"/>
          <w:szCs w:val="22"/>
        </w:rPr>
        <w:t>i</w:t>
      </w:r>
      <w:r w:rsidR="002E3759">
        <w:rPr>
          <w:sz w:val="22"/>
          <w:szCs w:val="22"/>
        </w:rPr>
        <w:t xml:space="preserve"> dovuti da una serie di produttori e rivenditori per effettuare, tramite consorzi obbligatori, la raccolta, lo smaltimento e il riciclaggio di varie tipologie di rottami e rifiuti </w:t>
      </w:r>
      <w:r w:rsidR="00BC45DC" w:rsidRPr="007F7EBF">
        <w:rPr>
          <w:sz w:val="22"/>
          <w:szCs w:val="22"/>
        </w:rPr>
        <w:t>(</w:t>
      </w:r>
      <w:r w:rsidR="00E01888" w:rsidRPr="007F7EBF">
        <w:rPr>
          <w:rStyle w:val="Rimandonotaapidipagina"/>
          <w:sz w:val="22"/>
          <w:szCs w:val="22"/>
        </w:rPr>
        <w:footnoteReference w:id="1430"/>
      </w:r>
      <w:r w:rsidR="00BC45DC" w:rsidRPr="007F7EBF">
        <w:rPr>
          <w:sz w:val="22"/>
          <w:szCs w:val="22"/>
        </w:rPr>
        <w:t xml:space="preserve">). </w:t>
      </w:r>
      <w:r w:rsidR="00E95188">
        <w:rPr>
          <w:sz w:val="22"/>
          <w:szCs w:val="22"/>
        </w:rPr>
        <w:t xml:space="preserve">Altri </w:t>
      </w:r>
      <w:r w:rsidR="00707CCA" w:rsidRPr="007F7EBF">
        <w:rPr>
          <w:sz w:val="22"/>
          <w:szCs w:val="22"/>
        </w:rPr>
        <w:t>tributi ambientali</w:t>
      </w:r>
      <w:r w:rsidR="00E95188">
        <w:rPr>
          <w:sz w:val="22"/>
          <w:szCs w:val="22"/>
        </w:rPr>
        <w:t xml:space="preserve"> </w:t>
      </w:r>
      <w:r w:rsidR="00707CCA" w:rsidRPr="007F7EBF">
        <w:rPr>
          <w:sz w:val="22"/>
          <w:szCs w:val="22"/>
        </w:rPr>
        <w:t>invece non fronteggiano una specifica attività di smaltimento</w:t>
      </w:r>
      <w:r w:rsidR="00707CCA">
        <w:rPr>
          <w:sz w:val="22"/>
          <w:szCs w:val="22"/>
        </w:rPr>
        <w:t>, m</w:t>
      </w:r>
      <w:r w:rsidR="00707CCA" w:rsidRPr="007F7EBF">
        <w:rPr>
          <w:sz w:val="22"/>
          <w:szCs w:val="22"/>
        </w:rPr>
        <w:t>a un "costo sociale generale" , rappresentato dalla degradazione del clima, delle acque, dell'aria</w:t>
      </w:r>
      <w:r w:rsidR="00707CCA">
        <w:rPr>
          <w:sz w:val="22"/>
          <w:szCs w:val="22"/>
        </w:rPr>
        <w:t xml:space="preserve">; invece </w:t>
      </w:r>
      <w:r w:rsidR="00707CCA">
        <w:rPr>
          <w:sz w:val="22"/>
          <w:szCs w:val="22"/>
        </w:rPr>
        <w:lastRenderedPageBreak/>
        <w:t xml:space="preserve">di interrompere queste attività, o renderle </w:t>
      </w:r>
      <w:r w:rsidR="00707CCA" w:rsidRPr="007F7EBF">
        <w:rPr>
          <w:sz w:val="22"/>
          <w:szCs w:val="22"/>
        </w:rPr>
        <w:t>meno inquinanti, la loro tassazione</w:t>
      </w:r>
      <w:r w:rsidR="00707CCA">
        <w:rPr>
          <w:sz w:val="22"/>
          <w:szCs w:val="22"/>
        </w:rPr>
        <w:t xml:space="preserve"> (</w:t>
      </w:r>
      <w:r w:rsidR="00707CCA">
        <w:rPr>
          <w:rStyle w:val="Rimandonotaapidipagina"/>
          <w:sz w:val="22"/>
          <w:szCs w:val="22"/>
        </w:rPr>
        <w:footnoteReference w:id="1431"/>
      </w:r>
      <w:r w:rsidR="00707CCA">
        <w:rPr>
          <w:sz w:val="22"/>
          <w:szCs w:val="22"/>
        </w:rPr>
        <w:t xml:space="preserve">) </w:t>
      </w:r>
      <w:r w:rsidR="00707CCA" w:rsidRPr="007F7EBF">
        <w:rPr>
          <w:sz w:val="22"/>
          <w:szCs w:val="22"/>
        </w:rPr>
        <w:t>è un compromesso con l'attività economica.</w:t>
      </w:r>
    </w:p>
    <w:p w14:paraId="18435145" w14:textId="77777777" w:rsidR="006402C1" w:rsidRPr="007F7EBF" w:rsidRDefault="006402C1" w:rsidP="006402C1">
      <w:pPr>
        <w:pStyle w:val="tit23"/>
        <w:ind w:left="6464" w:right="-1361" w:firstLine="0"/>
        <w:jc w:val="left"/>
        <w:rPr>
          <w:bCs/>
          <w:i/>
          <w:iCs/>
          <w:color w:val="0000FF"/>
          <w:lang w:val="it-IT"/>
        </w:rPr>
      </w:pPr>
      <w:r w:rsidRPr="007F7EBF">
        <w:rPr>
          <w:bCs/>
          <w:i/>
          <w:iCs/>
          <w:color w:val="0000FF"/>
          <w:lang w:val="it-IT"/>
        </w:rPr>
        <w:t>Tassa possesso veicoli</w:t>
      </w:r>
    </w:p>
    <w:p w14:paraId="7F739011" w14:textId="7F5DC894" w:rsidR="006402C1" w:rsidRPr="007F7EBF" w:rsidRDefault="00542F8F" w:rsidP="006402C1">
      <w:pPr>
        <w:autoSpaceDE w:val="0"/>
        <w:autoSpaceDN w:val="0"/>
        <w:adjustRightInd w:val="0"/>
        <w:rPr>
          <w:sz w:val="22"/>
          <w:szCs w:val="22"/>
        </w:rPr>
      </w:pPr>
      <w:r>
        <w:rPr>
          <w:sz w:val="22"/>
          <w:szCs w:val="22"/>
        </w:rPr>
        <w:t>La tassa di po</w:t>
      </w:r>
      <w:r w:rsidR="006342C5" w:rsidRPr="007F7EBF">
        <w:rPr>
          <w:bCs/>
          <w:sz w:val="22"/>
          <w:szCs w:val="22"/>
        </w:rPr>
        <w:t xml:space="preserve">ssesso sui veicoli, </w:t>
      </w:r>
      <w:r w:rsidR="00290665" w:rsidRPr="007F7EBF">
        <w:rPr>
          <w:bCs/>
          <w:sz w:val="22"/>
          <w:szCs w:val="22"/>
        </w:rPr>
        <w:t xml:space="preserve">spettante alle </w:t>
      </w:r>
      <w:r w:rsidR="002B1F32" w:rsidRPr="007F7EBF">
        <w:rPr>
          <w:bCs/>
          <w:sz w:val="22"/>
          <w:szCs w:val="22"/>
        </w:rPr>
        <w:t>Regioni</w:t>
      </w:r>
      <w:r>
        <w:rPr>
          <w:bCs/>
          <w:sz w:val="22"/>
          <w:szCs w:val="22"/>
        </w:rPr>
        <w:t xml:space="preserve">, </w:t>
      </w:r>
      <w:r w:rsidR="00E95188">
        <w:rPr>
          <w:bCs/>
          <w:sz w:val="22"/>
          <w:szCs w:val="22"/>
        </w:rPr>
        <w:t>un tempo</w:t>
      </w:r>
      <w:r w:rsidR="00290665" w:rsidRPr="007F7EBF">
        <w:rPr>
          <w:bCs/>
          <w:sz w:val="22"/>
          <w:szCs w:val="22"/>
        </w:rPr>
        <w:t xml:space="preserve"> </w:t>
      </w:r>
      <w:r w:rsidR="00BC45DC" w:rsidRPr="007F7EBF">
        <w:rPr>
          <w:sz w:val="22"/>
          <w:szCs w:val="22"/>
        </w:rPr>
        <w:t>tassa di circolazione</w:t>
      </w:r>
      <w:r>
        <w:rPr>
          <w:sz w:val="22"/>
          <w:szCs w:val="22"/>
        </w:rPr>
        <w:t>(</w:t>
      </w:r>
      <w:r w:rsidR="00290665" w:rsidRPr="007F7EBF">
        <w:rPr>
          <w:rStyle w:val="Rimandonotaapidipagina"/>
          <w:sz w:val="22"/>
          <w:szCs w:val="22"/>
        </w:rPr>
        <w:footnoteReference w:id="1432"/>
      </w:r>
      <w:r>
        <w:rPr>
          <w:sz w:val="22"/>
          <w:szCs w:val="22"/>
        </w:rPr>
        <w:t>),</w:t>
      </w:r>
      <w:r w:rsidR="00290665" w:rsidRPr="007F7EBF">
        <w:rPr>
          <w:sz w:val="22"/>
          <w:szCs w:val="22"/>
        </w:rPr>
        <w:t xml:space="preserve"> si </w:t>
      </w:r>
      <w:r w:rsidR="00BC45DC" w:rsidRPr="007F7EBF">
        <w:rPr>
          <w:sz w:val="22"/>
          <w:szCs w:val="22"/>
        </w:rPr>
        <w:t>g</w:t>
      </w:r>
      <w:r w:rsidR="006342C5" w:rsidRPr="007F7EBF">
        <w:rPr>
          <w:sz w:val="22"/>
          <w:szCs w:val="22"/>
        </w:rPr>
        <w:t>iustifica con le spese di costruzione e manutenzione delle strade,</w:t>
      </w:r>
      <w:r w:rsidR="00290665" w:rsidRPr="007F7EBF">
        <w:rPr>
          <w:sz w:val="22"/>
          <w:szCs w:val="22"/>
        </w:rPr>
        <w:t xml:space="preserve"> messe in parte a carico di chi usa queste infrastrutture</w:t>
      </w:r>
      <w:r w:rsidR="00290665" w:rsidRPr="007F7EBF">
        <w:rPr>
          <w:rStyle w:val="Rimandonotaapidipagina"/>
          <w:sz w:val="22"/>
          <w:szCs w:val="22"/>
        </w:rPr>
        <w:footnoteReference w:id="1433"/>
      </w:r>
      <w:r w:rsidR="00290665" w:rsidRPr="007F7EBF">
        <w:rPr>
          <w:sz w:val="22"/>
          <w:szCs w:val="22"/>
        </w:rPr>
        <w:t>.</w:t>
      </w:r>
      <w:r w:rsidR="006342C5" w:rsidRPr="007F7EBF">
        <w:rPr>
          <w:sz w:val="22"/>
          <w:szCs w:val="22"/>
        </w:rPr>
        <w:t xml:space="preserve"> Il tributo va</w:t>
      </w:r>
      <w:r w:rsidR="00341487" w:rsidRPr="007F7EBF">
        <w:rPr>
          <w:sz w:val="22"/>
          <w:szCs w:val="22"/>
        </w:rPr>
        <w:t xml:space="preserve"> </w:t>
      </w:r>
      <w:r w:rsidR="006342C5" w:rsidRPr="007F7EBF">
        <w:rPr>
          <w:sz w:val="22"/>
          <w:szCs w:val="22"/>
        </w:rPr>
        <w:t>ormai pagato in</w:t>
      </w:r>
      <w:r w:rsidR="00290665" w:rsidRPr="007F7EBF">
        <w:rPr>
          <w:sz w:val="22"/>
          <w:szCs w:val="22"/>
        </w:rPr>
        <w:t xml:space="preserve"> “autotassazione"</w:t>
      </w:r>
      <w:r w:rsidR="006342C5" w:rsidRPr="007F7EBF">
        <w:rPr>
          <w:sz w:val="22"/>
          <w:szCs w:val="22"/>
        </w:rPr>
        <w:t xml:space="preserve">, </w:t>
      </w:r>
      <w:r w:rsidR="00290665" w:rsidRPr="007F7EBF">
        <w:rPr>
          <w:sz w:val="22"/>
          <w:szCs w:val="22"/>
        </w:rPr>
        <w:t>e</w:t>
      </w:r>
      <w:r w:rsidR="006342C5" w:rsidRPr="007F7EBF">
        <w:rPr>
          <w:sz w:val="22"/>
          <w:szCs w:val="22"/>
        </w:rPr>
        <w:t xml:space="preserve"> le</w:t>
      </w:r>
      <w:r w:rsidR="00290665" w:rsidRPr="007F7EBF">
        <w:rPr>
          <w:sz w:val="22"/>
          <w:szCs w:val="22"/>
        </w:rPr>
        <w:t xml:space="preserve"> stesse</w:t>
      </w:r>
      <w:r w:rsidR="006342C5" w:rsidRPr="007F7EBF">
        <w:rPr>
          <w:sz w:val="22"/>
          <w:szCs w:val="22"/>
        </w:rPr>
        <w:t xml:space="preserve"> regioni utilizzano il gestore dei</w:t>
      </w:r>
      <w:r w:rsidR="00341487" w:rsidRPr="007F7EBF">
        <w:rPr>
          <w:sz w:val="22"/>
          <w:szCs w:val="22"/>
        </w:rPr>
        <w:t xml:space="preserve"> </w:t>
      </w:r>
      <w:r w:rsidR="006342C5" w:rsidRPr="007F7EBF">
        <w:rPr>
          <w:sz w:val="22"/>
          <w:szCs w:val="22"/>
        </w:rPr>
        <w:t>registri automobilistici per</w:t>
      </w:r>
      <w:r w:rsidR="00290665" w:rsidRPr="007F7EBF">
        <w:rPr>
          <w:sz w:val="22"/>
          <w:szCs w:val="22"/>
        </w:rPr>
        <w:t xml:space="preserve"> avvertire i contribuenti delle relative scadenze; </w:t>
      </w:r>
      <w:r w:rsidR="006342C5" w:rsidRPr="007F7EBF">
        <w:rPr>
          <w:sz w:val="22"/>
          <w:szCs w:val="22"/>
        </w:rPr>
        <w:t>la richiesta coattiva in caso di inadempimento</w:t>
      </w:r>
      <w:r w:rsidR="00290665" w:rsidRPr="007F7EBF">
        <w:rPr>
          <w:sz w:val="22"/>
          <w:szCs w:val="22"/>
        </w:rPr>
        <w:t xml:space="preserve"> passa invece in genere attraverso i concessionari per la riscossione, di cui al par.6.11</w:t>
      </w:r>
      <w:r w:rsidR="00E95188">
        <w:rPr>
          <w:sz w:val="22"/>
          <w:szCs w:val="22"/>
        </w:rPr>
        <w:t>(</w:t>
      </w:r>
      <w:r w:rsidR="00290665" w:rsidRPr="007F7EBF">
        <w:rPr>
          <w:rStyle w:val="Rimandonotaapidipagina"/>
          <w:sz w:val="22"/>
          <w:szCs w:val="22"/>
        </w:rPr>
        <w:footnoteReference w:id="1434"/>
      </w:r>
      <w:r w:rsidR="00E95188">
        <w:rPr>
          <w:sz w:val="22"/>
          <w:szCs w:val="22"/>
        </w:rPr>
        <w:t>)</w:t>
      </w:r>
      <w:r w:rsidR="006342C5" w:rsidRPr="007F7EBF">
        <w:rPr>
          <w:sz w:val="22"/>
          <w:szCs w:val="22"/>
        </w:rPr>
        <w:t>. Il tributo è</w:t>
      </w:r>
      <w:r w:rsidR="00341487" w:rsidRPr="007F7EBF">
        <w:rPr>
          <w:sz w:val="22"/>
          <w:szCs w:val="22"/>
        </w:rPr>
        <w:t xml:space="preserve"> </w:t>
      </w:r>
      <w:r w:rsidR="006342C5" w:rsidRPr="007F7EBF">
        <w:rPr>
          <w:sz w:val="22"/>
          <w:szCs w:val="22"/>
        </w:rPr>
        <w:t>commisurato alla potenza fiscale del veicolo, non al suo valore, amministrativamente ingestibile.</w:t>
      </w:r>
      <w:r w:rsidR="00341487" w:rsidRPr="007F7EBF">
        <w:rPr>
          <w:sz w:val="22"/>
          <w:szCs w:val="22"/>
        </w:rPr>
        <w:t xml:space="preserve"> </w:t>
      </w:r>
      <w:r w:rsidR="006342C5" w:rsidRPr="007F7EBF">
        <w:rPr>
          <w:sz w:val="22"/>
          <w:szCs w:val="22"/>
        </w:rPr>
        <w:t>Ne deriva quindi, soprattutto per le vecchie auto, un</w:t>
      </w:r>
      <w:r w:rsidR="00DD7E72">
        <w:rPr>
          <w:sz w:val="22"/>
          <w:szCs w:val="22"/>
        </w:rPr>
        <w:t xml:space="preserve">a tassazione </w:t>
      </w:r>
      <w:r w:rsidR="006342C5" w:rsidRPr="007F7EBF">
        <w:rPr>
          <w:sz w:val="22"/>
          <w:szCs w:val="22"/>
        </w:rPr>
        <w:t>fortissim</w:t>
      </w:r>
      <w:r w:rsidR="00DD7E72">
        <w:rPr>
          <w:sz w:val="22"/>
          <w:szCs w:val="22"/>
        </w:rPr>
        <w:t>a</w:t>
      </w:r>
      <w:r w:rsidR="006342C5" w:rsidRPr="007F7EBF">
        <w:rPr>
          <w:sz w:val="22"/>
          <w:szCs w:val="22"/>
        </w:rPr>
        <w:t xml:space="preserve"> rispetto al valore commerciale del veicolo.</w:t>
      </w:r>
    </w:p>
    <w:p w14:paraId="0F6ADFAE" w14:textId="77777777" w:rsidR="006402C1" w:rsidRPr="007F7EBF" w:rsidRDefault="006402C1" w:rsidP="006402C1">
      <w:pPr>
        <w:pStyle w:val="tit23"/>
        <w:ind w:left="6464" w:right="-1361" w:firstLine="0"/>
        <w:jc w:val="left"/>
        <w:rPr>
          <w:bCs/>
          <w:i/>
          <w:iCs/>
          <w:color w:val="0000FF"/>
          <w:lang w:val="it-IT"/>
        </w:rPr>
      </w:pPr>
      <w:r w:rsidRPr="007F7EBF">
        <w:rPr>
          <w:bCs/>
          <w:i/>
          <w:iCs/>
          <w:color w:val="0000FF"/>
          <w:lang w:val="it-IT"/>
        </w:rPr>
        <w:t xml:space="preserve">canone RAI </w:t>
      </w:r>
    </w:p>
    <w:p w14:paraId="1AEB4519" w14:textId="0BC6B6C2" w:rsidR="006402C1" w:rsidRPr="007F7EBF" w:rsidRDefault="00274D98" w:rsidP="006402C1">
      <w:pPr>
        <w:autoSpaceDE w:val="0"/>
        <w:autoSpaceDN w:val="0"/>
        <w:adjustRightInd w:val="0"/>
        <w:rPr>
          <w:sz w:val="22"/>
          <w:szCs w:val="22"/>
        </w:rPr>
      </w:pPr>
      <w:r w:rsidRPr="007F7EBF">
        <w:rPr>
          <w:sz w:val="22"/>
          <w:szCs w:val="22"/>
        </w:rPr>
        <w:t xml:space="preserve">Analoghi </w:t>
      </w:r>
      <w:r w:rsidR="006342C5" w:rsidRPr="007F7EBF">
        <w:rPr>
          <w:sz w:val="22"/>
          <w:szCs w:val="22"/>
        </w:rPr>
        <w:t xml:space="preserve">problemi </w:t>
      </w:r>
      <w:r w:rsidRPr="007F7EBF">
        <w:rPr>
          <w:sz w:val="22"/>
          <w:szCs w:val="22"/>
        </w:rPr>
        <w:t>di giustificazione del tributo</w:t>
      </w:r>
      <w:r w:rsidR="006342C5" w:rsidRPr="007F7EBF">
        <w:rPr>
          <w:sz w:val="22"/>
          <w:szCs w:val="22"/>
        </w:rPr>
        <w:t xml:space="preserve"> si presentano per </w:t>
      </w:r>
      <w:r w:rsidR="00BC45DC" w:rsidRPr="007F7EBF">
        <w:rPr>
          <w:sz w:val="22"/>
          <w:szCs w:val="22"/>
        </w:rPr>
        <w:t>i</w:t>
      </w:r>
      <w:r w:rsidR="00307195" w:rsidRPr="007F7EBF">
        <w:rPr>
          <w:sz w:val="22"/>
          <w:szCs w:val="22"/>
        </w:rPr>
        <w:t xml:space="preserve">l </w:t>
      </w:r>
      <w:r w:rsidR="006342C5" w:rsidRPr="007F7EBF">
        <w:rPr>
          <w:bCs/>
          <w:sz w:val="22"/>
          <w:szCs w:val="22"/>
        </w:rPr>
        <w:t>“canone RAI”</w:t>
      </w:r>
      <w:r w:rsidR="006342C5" w:rsidRPr="007F7EBF">
        <w:rPr>
          <w:sz w:val="22"/>
          <w:szCs w:val="22"/>
        </w:rPr>
        <w:t xml:space="preserve">, </w:t>
      </w:r>
      <w:r w:rsidR="00DD7E72">
        <w:rPr>
          <w:sz w:val="22"/>
          <w:szCs w:val="22"/>
        </w:rPr>
        <w:t xml:space="preserve">nato </w:t>
      </w:r>
      <w:r w:rsidR="00DD7E72" w:rsidRPr="007F7EBF">
        <w:rPr>
          <w:sz w:val="22"/>
          <w:szCs w:val="22"/>
        </w:rPr>
        <w:t>quando radio e televisioni erano apparecchi di lusso, ed era possibile gestire un</w:t>
      </w:r>
      <w:r w:rsidR="00DD7E72">
        <w:rPr>
          <w:sz w:val="22"/>
          <w:szCs w:val="22"/>
        </w:rPr>
        <w:t>’</w:t>
      </w:r>
      <w:r w:rsidR="00DD7E72" w:rsidRPr="007F7EBF">
        <w:rPr>
          <w:sz w:val="22"/>
          <w:szCs w:val="22"/>
        </w:rPr>
        <w:t>anagrafe dei rispettivi proprietari (</w:t>
      </w:r>
      <w:r w:rsidR="00DD7E72" w:rsidRPr="007F7EBF">
        <w:rPr>
          <w:rStyle w:val="Rimandonotaapidipagina"/>
          <w:sz w:val="22"/>
          <w:szCs w:val="22"/>
        </w:rPr>
        <w:footnoteReference w:id="1435"/>
      </w:r>
      <w:r w:rsidR="00DD7E72" w:rsidRPr="007F7EBF">
        <w:rPr>
          <w:sz w:val="22"/>
          <w:szCs w:val="22"/>
        </w:rPr>
        <w:t xml:space="preserve">).  </w:t>
      </w:r>
      <w:r w:rsidR="00DD7E72">
        <w:rPr>
          <w:sz w:val="22"/>
          <w:szCs w:val="22"/>
        </w:rPr>
        <w:t>Con la diffusione degli apparecchi è</w:t>
      </w:r>
      <w:r w:rsidR="00DD7E72" w:rsidRPr="007F7EBF">
        <w:rPr>
          <w:sz w:val="22"/>
          <w:szCs w:val="22"/>
        </w:rPr>
        <w:t xml:space="preserve"> diventato sempre più difficile ed antieconomico gestire la richiesta capillare</w:t>
      </w:r>
      <w:r w:rsidR="00DD7E72">
        <w:rPr>
          <w:sz w:val="22"/>
          <w:szCs w:val="22"/>
        </w:rPr>
        <w:t xml:space="preserve"> del canone </w:t>
      </w:r>
      <w:r w:rsidR="00DD7E72" w:rsidRPr="007F7EBF">
        <w:rPr>
          <w:sz w:val="22"/>
          <w:szCs w:val="22"/>
        </w:rPr>
        <w:t>(</w:t>
      </w:r>
      <w:r w:rsidR="00DD7E72" w:rsidRPr="007F7EBF">
        <w:rPr>
          <w:rStyle w:val="Rimandonotaapidipagina"/>
          <w:sz w:val="22"/>
          <w:szCs w:val="22"/>
        </w:rPr>
        <w:footnoteReference w:id="1436"/>
      </w:r>
      <w:r w:rsidR="00DD7E72" w:rsidRPr="007F7EBF">
        <w:rPr>
          <w:sz w:val="22"/>
          <w:szCs w:val="22"/>
        </w:rPr>
        <w:t xml:space="preserve">), come ha fatto </w:t>
      </w:r>
      <w:r w:rsidR="00DD7E72">
        <w:rPr>
          <w:sz w:val="22"/>
          <w:szCs w:val="22"/>
        </w:rPr>
        <w:t xml:space="preserve">per decenni </w:t>
      </w:r>
      <w:r w:rsidR="00DD7E72" w:rsidRPr="007F7EBF">
        <w:rPr>
          <w:sz w:val="22"/>
          <w:szCs w:val="22"/>
        </w:rPr>
        <w:t xml:space="preserve">l’agenzia delle Entrate di Torino, </w:t>
      </w:r>
      <w:r w:rsidR="00DD7E72">
        <w:rPr>
          <w:sz w:val="22"/>
          <w:szCs w:val="22"/>
        </w:rPr>
        <w:t xml:space="preserve">spedendo </w:t>
      </w:r>
      <w:r w:rsidR="00DD7E72" w:rsidRPr="007F7EBF">
        <w:rPr>
          <w:sz w:val="22"/>
          <w:szCs w:val="22"/>
        </w:rPr>
        <w:t xml:space="preserve">lettere “su larga scala” sul presupposto dell’esistenza di un apparecchio televisivo in ogni casa. </w:t>
      </w:r>
      <w:proofErr w:type="spellStart"/>
      <w:r w:rsidR="00DD7E72">
        <w:rPr>
          <w:sz w:val="22"/>
          <w:szCs w:val="22"/>
        </w:rPr>
        <w:t>Benchè</w:t>
      </w:r>
      <w:proofErr w:type="spellEnd"/>
      <w:r w:rsidR="00DD7E72">
        <w:rPr>
          <w:sz w:val="22"/>
          <w:szCs w:val="22"/>
        </w:rPr>
        <w:t xml:space="preserve"> </w:t>
      </w:r>
      <w:r w:rsidR="006342C5" w:rsidRPr="007F7EBF">
        <w:rPr>
          <w:sz w:val="22"/>
          <w:szCs w:val="22"/>
        </w:rPr>
        <w:t>an</w:t>
      </w:r>
      <w:r w:rsidRPr="007F7EBF">
        <w:rPr>
          <w:sz w:val="22"/>
          <w:szCs w:val="22"/>
        </w:rPr>
        <w:t>acronistico sotto vari profili</w:t>
      </w:r>
      <w:r w:rsidR="00DD7E72">
        <w:rPr>
          <w:sz w:val="22"/>
          <w:szCs w:val="22"/>
        </w:rPr>
        <w:t>, come l</w:t>
      </w:r>
      <w:r w:rsidR="00DD7E72" w:rsidRPr="007F7EBF">
        <w:rPr>
          <w:sz w:val="22"/>
          <w:szCs w:val="22"/>
        </w:rPr>
        <w:t xml:space="preserve">’offerta </w:t>
      </w:r>
      <w:r w:rsidR="00DD7E72" w:rsidRPr="007F7EBF">
        <w:rPr>
          <w:sz w:val="22"/>
          <w:szCs w:val="22"/>
        </w:rPr>
        <w:lastRenderedPageBreak/>
        <w:t xml:space="preserve">radiotelevisiva delle TV </w:t>
      </w:r>
      <w:proofErr w:type="spellStart"/>
      <w:r w:rsidR="00DD7E72" w:rsidRPr="007F7EBF">
        <w:rPr>
          <w:sz w:val="22"/>
          <w:szCs w:val="22"/>
        </w:rPr>
        <w:t>commerciali.</w:t>
      </w:r>
      <w:r w:rsidRPr="007F7EBF">
        <w:rPr>
          <w:sz w:val="22"/>
          <w:szCs w:val="22"/>
        </w:rPr>
        <w:t>e</w:t>
      </w:r>
      <w:proofErr w:type="spellEnd"/>
      <w:r w:rsidR="00DD7E72">
        <w:rPr>
          <w:sz w:val="22"/>
          <w:szCs w:val="22"/>
        </w:rPr>
        <w:t xml:space="preserve"> di internet; il canone è stato</w:t>
      </w:r>
      <w:r w:rsidRPr="007F7EBF">
        <w:rPr>
          <w:sz w:val="22"/>
          <w:szCs w:val="22"/>
        </w:rPr>
        <w:t xml:space="preserve"> da</w:t>
      </w:r>
      <w:r w:rsidR="00DD7E72">
        <w:rPr>
          <w:sz w:val="22"/>
          <w:szCs w:val="22"/>
        </w:rPr>
        <w:t>l 2016</w:t>
      </w:r>
      <w:r w:rsidRPr="007F7EBF">
        <w:rPr>
          <w:sz w:val="22"/>
          <w:szCs w:val="22"/>
        </w:rPr>
        <w:t xml:space="preserve"> </w:t>
      </w:r>
      <w:r w:rsidR="00224A23" w:rsidRPr="007F7EBF">
        <w:rPr>
          <w:sz w:val="22"/>
          <w:szCs w:val="22"/>
        </w:rPr>
        <w:t xml:space="preserve">adattato alla tassazione attraverso le aziende, mediante la richiesta nelle bollette elettriche ad uso di prima abitazione. </w:t>
      </w:r>
      <w:r w:rsidR="00DD7E72">
        <w:rPr>
          <w:sz w:val="22"/>
          <w:szCs w:val="22"/>
        </w:rPr>
        <w:t xml:space="preserve">Tuttavia </w:t>
      </w:r>
      <w:r w:rsidR="00D573BF" w:rsidRPr="007F7EBF">
        <w:rPr>
          <w:sz w:val="22"/>
          <w:szCs w:val="22"/>
        </w:rPr>
        <w:t xml:space="preserve"> </w:t>
      </w:r>
      <w:r w:rsidR="00E95188">
        <w:rPr>
          <w:sz w:val="22"/>
          <w:szCs w:val="22"/>
        </w:rPr>
        <w:t xml:space="preserve">il </w:t>
      </w:r>
      <w:r w:rsidR="00D573BF" w:rsidRPr="007F7EBF">
        <w:rPr>
          <w:sz w:val="22"/>
          <w:szCs w:val="22"/>
        </w:rPr>
        <w:t xml:space="preserve">fornitore </w:t>
      </w:r>
      <w:r w:rsidR="00DD7E72">
        <w:rPr>
          <w:sz w:val="22"/>
          <w:szCs w:val="22"/>
        </w:rPr>
        <w:t xml:space="preserve">di elettricità </w:t>
      </w:r>
      <w:r w:rsidR="00D573BF" w:rsidRPr="007F7EBF">
        <w:rPr>
          <w:sz w:val="22"/>
          <w:szCs w:val="22"/>
        </w:rPr>
        <w:t>non è un "contribuente di diritto" (par.3.5) e non risponde del mancato pagamento da parte dell'utente</w:t>
      </w:r>
      <w:r w:rsidR="006342C5" w:rsidRPr="007F7EBF">
        <w:rPr>
          <w:sz w:val="22"/>
          <w:szCs w:val="22"/>
        </w:rPr>
        <w:t>.</w:t>
      </w:r>
      <w:r w:rsidR="00C845A8" w:rsidRPr="007F7EBF">
        <w:rPr>
          <w:sz w:val="22"/>
          <w:szCs w:val="22"/>
        </w:rPr>
        <w:t xml:space="preserve"> </w:t>
      </w:r>
    </w:p>
    <w:p w14:paraId="4EC6844E" w14:textId="470F3E32" w:rsidR="006402C1" w:rsidRPr="007F7EBF" w:rsidRDefault="00DD7E72" w:rsidP="006402C1">
      <w:pPr>
        <w:pStyle w:val="tit23"/>
        <w:ind w:left="6464" w:right="-1361" w:firstLine="0"/>
        <w:jc w:val="left"/>
        <w:rPr>
          <w:bCs/>
          <w:i/>
          <w:iCs/>
          <w:color w:val="0000FF"/>
          <w:lang w:val="it-IT"/>
        </w:rPr>
      </w:pPr>
      <w:r>
        <w:rPr>
          <w:bCs/>
          <w:i/>
          <w:iCs/>
          <w:color w:val="0000FF"/>
          <w:lang w:val="it-IT"/>
        </w:rPr>
        <w:t xml:space="preserve">Associazionismo </w:t>
      </w:r>
      <w:proofErr w:type="spellStart"/>
      <w:r>
        <w:rPr>
          <w:bCs/>
          <w:i/>
          <w:iCs/>
          <w:color w:val="0000FF"/>
          <w:lang w:val="it-IT"/>
        </w:rPr>
        <w:t>vincolato:ordini</w:t>
      </w:r>
      <w:proofErr w:type="spellEnd"/>
      <w:r>
        <w:rPr>
          <w:bCs/>
          <w:i/>
          <w:iCs/>
          <w:color w:val="0000FF"/>
          <w:lang w:val="it-IT"/>
        </w:rPr>
        <w:t xml:space="preserve"> e camere di commercio</w:t>
      </w:r>
    </w:p>
    <w:p w14:paraId="30CE9554" w14:textId="0472CF1E" w:rsidR="00925B90" w:rsidRPr="007F7EBF" w:rsidRDefault="00DD7E72" w:rsidP="00341487">
      <w:pPr>
        <w:autoSpaceDE w:val="0"/>
        <w:autoSpaceDN w:val="0"/>
        <w:adjustRightInd w:val="0"/>
        <w:rPr>
          <w:sz w:val="22"/>
          <w:szCs w:val="22"/>
        </w:rPr>
      </w:pPr>
      <w:r>
        <w:rPr>
          <w:sz w:val="22"/>
          <w:szCs w:val="22"/>
        </w:rPr>
        <w:t>Natura tributaria è stata spesso attribuita persino ai contributi per l’iscrizione in albi professionali e all</w:t>
      </w:r>
      <w:r w:rsidR="00307195" w:rsidRPr="007F7EBF">
        <w:rPr>
          <w:sz w:val="22"/>
          <w:szCs w:val="22"/>
        </w:rPr>
        <w:t xml:space="preserve">e camere di commercio, </w:t>
      </w:r>
      <w:r>
        <w:rPr>
          <w:sz w:val="22"/>
          <w:szCs w:val="22"/>
        </w:rPr>
        <w:t>tutte</w:t>
      </w:r>
      <w:r w:rsidR="00307195" w:rsidRPr="007F7EBF">
        <w:rPr>
          <w:sz w:val="22"/>
          <w:szCs w:val="22"/>
        </w:rPr>
        <w:t xml:space="preserve"> form</w:t>
      </w:r>
      <w:r>
        <w:rPr>
          <w:sz w:val="22"/>
          <w:szCs w:val="22"/>
        </w:rPr>
        <w:t>e</w:t>
      </w:r>
      <w:r w:rsidR="00307195" w:rsidRPr="007F7EBF">
        <w:rPr>
          <w:sz w:val="22"/>
          <w:szCs w:val="22"/>
        </w:rPr>
        <w:t xml:space="preserve"> di</w:t>
      </w:r>
      <w:r w:rsidR="00A923F8" w:rsidRPr="007F7EBF">
        <w:rPr>
          <w:sz w:val="22"/>
          <w:szCs w:val="22"/>
        </w:rPr>
        <w:t xml:space="preserve"> “associazionismo vincolato”, la</w:t>
      </w:r>
      <w:r w:rsidR="00307195" w:rsidRPr="007F7EBF">
        <w:rPr>
          <w:sz w:val="22"/>
          <w:szCs w:val="22"/>
        </w:rPr>
        <w:t xml:space="preserve"> cui principale funzione è </w:t>
      </w:r>
      <w:r>
        <w:rPr>
          <w:sz w:val="22"/>
          <w:szCs w:val="22"/>
        </w:rPr>
        <w:t xml:space="preserve">l’autogoverno professionale e </w:t>
      </w:r>
      <w:r w:rsidR="00307195" w:rsidRPr="007F7EBF">
        <w:rPr>
          <w:sz w:val="22"/>
          <w:szCs w:val="22"/>
        </w:rPr>
        <w:t>l</w:t>
      </w:r>
      <w:r w:rsidR="004A6C22">
        <w:rPr>
          <w:sz w:val="22"/>
          <w:szCs w:val="22"/>
        </w:rPr>
        <w:t xml:space="preserve">’anagrafe </w:t>
      </w:r>
      <w:r w:rsidR="00307195" w:rsidRPr="007F7EBF">
        <w:rPr>
          <w:sz w:val="22"/>
          <w:szCs w:val="22"/>
        </w:rPr>
        <w:t xml:space="preserve">degli operatori economici </w:t>
      </w:r>
      <w:r w:rsidR="004A6C22">
        <w:rPr>
          <w:sz w:val="22"/>
          <w:szCs w:val="22"/>
        </w:rPr>
        <w:t xml:space="preserve">di </w:t>
      </w:r>
      <w:r w:rsidR="00307195" w:rsidRPr="007F7EBF">
        <w:rPr>
          <w:sz w:val="22"/>
          <w:szCs w:val="22"/>
        </w:rPr>
        <w:t xml:space="preserve"> un determinato territorio. </w:t>
      </w:r>
      <w:r w:rsidR="006E1C07" w:rsidRPr="007F7EBF">
        <w:rPr>
          <w:sz w:val="22"/>
          <w:szCs w:val="22"/>
        </w:rPr>
        <w:t xml:space="preserve"> </w:t>
      </w:r>
      <w:r w:rsidR="00B14554" w:rsidRPr="007F7EBF">
        <w:rPr>
          <w:sz w:val="22"/>
          <w:szCs w:val="22"/>
        </w:rPr>
        <w:t xml:space="preserve"> </w:t>
      </w:r>
    </w:p>
    <w:p w14:paraId="00438E10" w14:textId="7F3807BC" w:rsidR="005D662D" w:rsidRDefault="005D662D" w:rsidP="005D662D">
      <w:pPr>
        <w:rPr>
          <w:b/>
          <w:sz w:val="22"/>
          <w:szCs w:val="22"/>
        </w:rPr>
      </w:pPr>
    </w:p>
    <w:p w14:paraId="238DB76D" w14:textId="77777777" w:rsidR="00016CC0" w:rsidRPr="007F7EBF" w:rsidRDefault="00016CC0" w:rsidP="005D662D">
      <w:pPr>
        <w:rPr>
          <w:b/>
          <w:sz w:val="22"/>
          <w:szCs w:val="22"/>
        </w:rPr>
      </w:pPr>
    </w:p>
    <w:sectPr w:rsidR="00016CC0" w:rsidRPr="007F7EBF">
      <w:headerReference w:type="default" r:id="rId8"/>
      <w:footerReference w:type="default" r:id="rId9"/>
      <w:pgSz w:w="9958" w:h="14226"/>
      <w:pgMar w:top="1667" w:right="1769" w:bottom="1667" w:left="1769" w:header="1667"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30FEA0" w14:textId="77777777" w:rsidR="007D4807" w:rsidRDefault="007D4807">
      <w:r>
        <w:separator/>
      </w:r>
    </w:p>
  </w:endnote>
  <w:endnote w:type="continuationSeparator" w:id="0">
    <w:p w14:paraId="5B68D8D0" w14:textId="77777777" w:rsidR="007D4807" w:rsidRDefault="007D48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Arial">
    <w:altName w:val="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Times-Bold">
    <w:altName w:val="Times New Roman"/>
    <w:charset w:val="00"/>
    <w:family w:val="roman"/>
    <w:pitch w:val="variable"/>
    <w:sig w:usb0="00000003" w:usb1="00000000" w:usb2="00000000" w:usb3="00000000" w:csb0="00000001" w:csb1="00000000"/>
  </w:font>
  <w:font w:name="Bembo">
    <w:altName w:val="Bembo"/>
    <w:charset w:val="00"/>
    <w:family w:val="roman"/>
    <w:pitch w:val="variable"/>
    <w:sig w:usb0="8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F72B19" w14:textId="0690FA56" w:rsidR="003B7460" w:rsidRPr="00BF20B1" w:rsidRDefault="003B7460" w:rsidP="00544326">
    <w:pPr>
      <w:pStyle w:val="Pidipagina"/>
      <w:jc w:val="right"/>
      <w:rPr>
        <w:sz w:val="17"/>
        <w:szCs w:val="17"/>
      </w:rPr>
    </w:pPr>
    <w:r w:rsidRPr="00BF20B1">
      <w:rPr>
        <w:rStyle w:val="Numeropagina"/>
        <w:sz w:val="17"/>
        <w:szCs w:val="17"/>
      </w:rPr>
      <w:fldChar w:fldCharType="begin"/>
    </w:r>
    <w:r w:rsidRPr="00BF20B1">
      <w:rPr>
        <w:rStyle w:val="Numeropagina"/>
        <w:sz w:val="17"/>
        <w:szCs w:val="17"/>
      </w:rPr>
      <w:instrText xml:space="preserve"> PAGE </w:instrText>
    </w:r>
    <w:r w:rsidRPr="00BF20B1">
      <w:rPr>
        <w:rStyle w:val="Numeropagina"/>
        <w:sz w:val="17"/>
        <w:szCs w:val="17"/>
      </w:rPr>
      <w:fldChar w:fldCharType="separate"/>
    </w:r>
    <w:r>
      <w:rPr>
        <w:rStyle w:val="Numeropagina"/>
        <w:noProof/>
        <w:sz w:val="17"/>
        <w:szCs w:val="17"/>
      </w:rPr>
      <w:t>336</w:t>
    </w:r>
    <w:r w:rsidRPr="00BF20B1">
      <w:rPr>
        <w:rStyle w:val="Numeropagina"/>
        <w:sz w:val="17"/>
        <w:szCs w:val="17"/>
      </w:rPr>
      <w:fldChar w:fldCharType="end"/>
    </w:r>
    <w:r w:rsidRPr="00BF20B1">
      <w:rPr>
        <w:rStyle w:val="Numeropagina"/>
        <w:sz w:val="17"/>
        <w:szCs w:val="17"/>
      </w:rPr>
      <w:t xml:space="preserve"> di </w:t>
    </w:r>
    <w:r w:rsidRPr="00BF20B1">
      <w:rPr>
        <w:rStyle w:val="Numeropagina"/>
        <w:sz w:val="17"/>
        <w:szCs w:val="17"/>
      </w:rPr>
      <w:fldChar w:fldCharType="begin"/>
    </w:r>
    <w:r w:rsidRPr="00BF20B1">
      <w:rPr>
        <w:rStyle w:val="Numeropagina"/>
        <w:sz w:val="17"/>
        <w:szCs w:val="17"/>
      </w:rPr>
      <w:instrText xml:space="preserve"> NUMPAGES </w:instrText>
    </w:r>
    <w:r w:rsidRPr="00BF20B1">
      <w:rPr>
        <w:rStyle w:val="Numeropagina"/>
        <w:sz w:val="17"/>
        <w:szCs w:val="17"/>
      </w:rPr>
      <w:fldChar w:fldCharType="separate"/>
    </w:r>
    <w:r>
      <w:rPr>
        <w:rStyle w:val="Numeropagina"/>
        <w:noProof/>
        <w:sz w:val="17"/>
        <w:szCs w:val="17"/>
      </w:rPr>
      <w:t>528</w:t>
    </w:r>
    <w:r w:rsidRPr="00BF20B1">
      <w:rPr>
        <w:rStyle w:val="Numeropagina"/>
        <w:sz w:val="17"/>
        <w:szCs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D13DC4" w14:textId="77777777" w:rsidR="007D4807" w:rsidRDefault="007D4807">
      <w:r>
        <w:separator/>
      </w:r>
    </w:p>
  </w:footnote>
  <w:footnote w:type="continuationSeparator" w:id="0">
    <w:p w14:paraId="2C389127" w14:textId="77777777" w:rsidR="007D4807" w:rsidRDefault="007D4807">
      <w:r>
        <w:continuationSeparator/>
      </w:r>
    </w:p>
  </w:footnote>
  <w:footnote w:id="1">
    <w:p w14:paraId="7D54B638" w14:textId="577FA58B" w:rsidR="003B7460" w:rsidRDefault="003B7460" w:rsidP="00A14691">
      <w:r>
        <w:rPr>
          <w:rStyle w:val="Rimandonotaapidipagina"/>
        </w:rPr>
        <w:footnoteRef/>
      </w:r>
      <w:r>
        <w:t xml:space="preserve"> ) </w:t>
      </w:r>
      <w:r>
        <w:rPr>
          <w:sz w:val="22"/>
          <w:szCs w:val="22"/>
        </w:rPr>
        <w:t>Come facevano i miei manuali redatti a partire dal 1991, dietro la cui esposizione organizzata e gradevole c’erano pur sempre in buona parte “dati normativi”, anziché la funzione tributaria nel suo complesso.</w:t>
      </w:r>
    </w:p>
  </w:footnote>
  <w:footnote w:id="2">
    <w:p w14:paraId="60521610" w14:textId="77777777" w:rsidR="003B7460" w:rsidRPr="007F7EBF" w:rsidRDefault="003B7460" w:rsidP="00EF6A64">
      <w:pPr>
        <w:pStyle w:val="Testonotaapidipagina"/>
      </w:pPr>
      <w:r w:rsidRPr="007F7EBF">
        <w:rPr>
          <w:rStyle w:val="Rimandonotaapidipagina"/>
        </w:rPr>
        <w:footnoteRef/>
      </w:r>
      <w:r w:rsidRPr="007F7EBF">
        <w:t xml:space="preserve"> </w:t>
      </w:r>
      <w:r>
        <w:t xml:space="preserve">) Le associazioni di idee, comprese le battute di spirito e i video in rete, sono un’arma a doppio taglio, perché aumentano l’interesse, ma possono far perdere </w:t>
      </w:r>
      <w:r>
        <w:rPr>
          <w:sz w:val="22"/>
          <w:szCs w:val="22"/>
        </w:rPr>
        <w:t xml:space="preserve">la sintonia con l’uditorio e in ultima analisi </w:t>
      </w:r>
      <w:r w:rsidRPr="007F7EBF">
        <w:rPr>
          <w:sz w:val="22"/>
          <w:szCs w:val="22"/>
        </w:rPr>
        <w:t xml:space="preserve">la </w:t>
      </w:r>
      <w:r w:rsidRPr="007F7EBF">
        <w:rPr>
          <w:i/>
          <w:sz w:val="22"/>
          <w:szCs w:val="22"/>
        </w:rPr>
        <w:t>socialità</w:t>
      </w:r>
      <w:r w:rsidRPr="007F7EBF">
        <w:t xml:space="preserve">, come “Il matto” della canzone di De </w:t>
      </w:r>
      <w:proofErr w:type="spellStart"/>
      <w:r w:rsidRPr="007F7EBF">
        <w:t>Andrè</w:t>
      </w:r>
      <w:proofErr w:type="spellEnd"/>
      <w:r w:rsidRPr="007F7EBF">
        <w:t xml:space="preserve"> </w:t>
      </w:r>
      <w:r>
        <w:t xml:space="preserve">dove </w:t>
      </w:r>
      <w:r w:rsidRPr="007F7EBF">
        <w:t>“</w:t>
      </w:r>
      <w:r w:rsidRPr="007F7EBF">
        <w:rPr>
          <w:i/>
        </w:rPr>
        <w:t xml:space="preserve">per stupire mezz’ora basta un libro di storia, io cercai di imparare la Treccani a memoria, e dopo maiale, </w:t>
      </w:r>
      <w:proofErr w:type="spellStart"/>
      <w:r w:rsidRPr="007F7EBF">
        <w:rPr>
          <w:i/>
        </w:rPr>
        <w:t>Majakowsky</w:t>
      </w:r>
      <w:proofErr w:type="spellEnd"/>
      <w:r w:rsidRPr="007F7EBF">
        <w:rPr>
          <w:i/>
        </w:rPr>
        <w:t xml:space="preserve">, Malfatto, continuarono gli altri fino a leggermi </w:t>
      </w:r>
      <w:r>
        <w:rPr>
          <w:i/>
        </w:rPr>
        <w:t>M</w:t>
      </w:r>
      <w:r w:rsidRPr="007F7EBF">
        <w:rPr>
          <w:i/>
        </w:rPr>
        <w:t>atto”</w:t>
      </w:r>
      <w:r w:rsidRPr="007F7EBF">
        <w:t>.</w:t>
      </w:r>
    </w:p>
  </w:footnote>
  <w:footnote w:id="3">
    <w:p w14:paraId="60AC6061" w14:textId="04AD67A7" w:rsidR="003B7460" w:rsidRPr="007F7EBF" w:rsidRDefault="003B7460" w:rsidP="00942985">
      <w:pPr>
        <w:pStyle w:val="Testonotaapidipagina"/>
      </w:pPr>
      <w:r w:rsidRPr="007F7EBF">
        <w:rPr>
          <w:rStyle w:val="Rimandonotaapidipagina"/>
        </w:rPr>
        <w:footnoteRef/>
      </w:r>
      <w:r w:rsidRPr="007F7EBF">
        <w:t xml:space="preserve"> ) Lupi, Evasione fiscale, perversione privata o disfunzione pubblica? Castelvecchi, 2018</w:t>
      </w:r>
      <w:r>
        <w:t>, e Manuale dell’Evasione fiscale, idem, 2020.</w:t>
      </w:r>
    </w:p>
  </w:footnote>
  <w:footnote w:id="4">
    <w:p w14:paraId="4FFA404E" w14:textId="2EDE84B2" w:rsidR="003B7460" w:rsidRDefault="003B7460" w:rsidP="00942985">
      <w:pPr>
        <w:pStyle w:val="Testonotaapidipagina"/>
      </w:pPr>
      <w:r>
        <w:rPr>
          <w:rStyle w:val="Rimandonotaapidipagina"/>
        </w:rPr>
        <w:footnoteRef/>
      </w:r>
      <w:r>
        <w:t xml:space="preserve"> ) Giuffrè, Diritto delle imposte, 2020.</w:t>
      </w:r>
      <w:r w:rsidRPr="002C6F15">
        <w:t xml:space="preserve"> </w:t>
      </w:r>
    </w:p>
  </w:footnote>
  <w:footnote w:id="5">
    <w:p w14:paraId="4E81CCB9" w14:textId="53158E54" w:rsidR="003B7460" w:rsidRDefault="003B7460" w:rsidP="00942985">
      <w:pPr>
        <w:pStyle w:val="Testonotaapidipagina"/>
      </w:pPr>
      <w:r>
        <w:rPr>
          <w:rStyle w:val="Rimandonotaapidipagina"/>
        </w:rPr>
        <w:footnoteRef/>
      </w:r>
      <w:r>
        <w:t xml:space="preserve"> ) Da riproporre con la veste tipografica più gradevole che caratterizzava il </w:t>
      </w:r>
      <w:r w:rsidRPr="007F7EBF">
        <w:rPr>
          <w:sz w:val="22"/>
          <w:szCs w:val="22"/>
        </w:rPr>
        <w:t>M</w:t>
      </w:r>
      <w:r w:rsidRPr="007F7EBF">
        <w:rPr>
          <w:color w:val="000000"/>
          <w:sz w:val="22"/>
          <w:szCs w:val="22"/>
        </w:rPr>
        <w:t>anuale giuridico di scienza delle finanze,</w:t>
      </w:r>
      <w:r>
        <w:rPr>
          <w:color w:val="000000"/>
          <w:sz w:val="22"/>
          <w:szCs w:val="22"/>
        </w:rPr>
        <w:t xml:space="preserve"> </w:t>
      </w:r>
      <w:r w:rsidRPr="007F7EBF">
        <w:rPr>
          <w:color w:val="000000"/>
          <w:sz w:val="22"/>
          <w:szCs w:val="22"/>
        </w:rPr>
        <w:t>Dike editore,</w:t>
      </w:r>
      <w:r>
        <w:rPr>
          <w:color w:val="000000"/>
          <w:sz w:val="22"/>
          <w:szCs w:val="22"/>
        </w:rPr>
        <w:t xml:space="preserve"> 2012.</w:t>
      </w:r>
    </w:p>
  </w:footnote>
  <w:footnote w:id="6">
    <w:p w14:paraId="2E56FA71" w14:textId="7ABC5962" w:rsidR="003B7460" w:rsidRDefault="003B7460" w:rsidP="00475056">
      <w:r>
        <w:rPr>
          <w:rStyle w:val="Rimandonotaapidipagina"/>
        </w:rPr>
        <w:footnoteRef/>
      </w:r>
      <w:r>
        <w:t xml:space="preserve"> ) Da dove </w:t>
      </w:r>
      <w:r>
        <w:rPr>
          <w:sz w:val="22"/>
          <w:szCs w:val="22"/>
        </w:rPr>
        <w:t xml:space="preserve">sono </w:t>
      </w:r>
      <w:r w:rsidRPr="007F7EBF">
        <w:rPr>
          <w:sz w:val="22"/>
          <w:szCs w:val="22"/>
        </w:rPr>
        <w:t xml:space="preserve">scaricabili anche le audio lezioni </w:t>
      </w:r>
      <w:r>
        <w:rPr>
          <w:sz w:val="22"/>
          <w:szCs w:val="22"/>
        </w:rPr>
        <w:t>e i quesiti di controllo a risposta multipla</w:t>
      </w:r>
      <w:r w:rsidRPr="007F7EBF">
        <w:rPr>
          <w:sz w:val="22"/>
          <w:szCs w:val="22"/>
        </w:rPr>
        <w:t xml:space="preserve"> </w:t>
      </w:r>
    </w:p>
  </w:footnote>
  <w:footnote w:id="7">
    <w:p w14:paraId="4908C87B" w14:textId="361095C6" w:rsidR="003B7460" w:rsidRPr="007F7EBF" w:rsidRDefault="003B7460" w:rsidP="00E94B44">
      <w:pPr>
        <w:pStyle w:val="Testonotaapidipagina"/>
      </w:pPr>
      <w:r w:rsidRPr="007F7EBF">
        <w:rPr>
          <w:rStyle w:val="Rimandonotaapidipagina"/>
        </w:rPr>
        <w:footnoteRef/>
      </w:r>
      <w:r w:rsidRPr="007F7EBF">
        <w:t xml:space="preserve"> ) </w:t>
      </w:r>
      <w:r>
        <w:t xml:space="preserve">E ringrazio chi ha avuto la pazienza di darmi idee sul primo volume. </w:t>
      </w:r>
      <w:r w:rsidRPr="007F7EBF">
        <w:t xml:space="preserve">  </w:t>
      </w:r>
    </w:p>
  </w:footnote>
  <w:footnote w:id="8">
    <w:p w14:paraId="3B49DE0B" w14:textId="50BB4B90" w:rsidR="003B7460" w:rsidRPr="007F7EBF" w:rsidRDefault="003B7460" w:rsidP="0067617B">
      <w:pPr>
        <w:pStyle w:val="Testonotaapidipagina"/>
      </w:pPr>
      <w:r w:rsidRPr="007F7EBF">
        <w:rPr>
          <w:rStyle w:val="Rimandonotaapidipagina"/>
        </w:rPr>
        <w:footnoteRef/>
      </w:r>
      <w:r w:rsidRPr="007F7EBF">
        <w:t xml:space="preserve"> ) </w:t>
      </w:r>
      <w:r>
        <w:t>D</w:t>
      </w:r>
      <w:r w:rsidRPr="007F7EBF">
        <w:t xml:space="preserve">ifferenti dalle imposte, </w:t>
      </w:r>
      <w:r>
        <w:t>in quanto legate a specifiche pubbliche funzioni</w:t>
      </w:r>
      <w:r w:rsidRPr="007F7EBF">
        <w:t xml:space="preserve">. </w:t>
      </w:r>
    </w:p>
  </w:footnote>
  <w:footnote w:id="9">
    <w:p w14:paraId="3CE9BF25" w14:textId="065A803D" w:rsidR="003B7460" w:rsidRDefault="003B7460">
      <w:pPr>
        <w:pStyle w:val="Testonotaapidipagina"/>
      </w:pPr>
      <w:r>
        <w:rPr>
          <w:rStyle w:val="Rimandonotaapidipagina"/>
        </w:rPr>
        <w:footnoteRef/>
      </w:r>
      <w:r>
        <w:t xml:space="preserve"> ) P</w:t>
      </w:r>
      <w:r>
        <w:rPr>
          <w:spacing w:val="3"/>
          <w:w w:val="101"/>
        </w:rPr>
        <w:t xml:space="preserve">rincipale fonte di sostentamento, nell’era agricolo artigianale, e pubblica per definizione, in quanto garantita dal potere </w:t>
      </w:r>
      <w:proofErr w:type="spellStart"/>
      <w:r>
        <w:rPr>
          <w:spacing w:val="3"/>
          <w:w w:val="101"/>
        </w:rPr>
        <w:t>militare,come</w:t>
      </w:r>
      <w:proofErr w:type="spellEnd"/>
      <w:r>
        <w:rPr>
          <w:spacing w:val="3"/>
          <w:w w:val="101"/>
        </w:rPr>
        <w:t xml:space="preserve"> vedremo al par.1.4 e al par.8.2.</w:t>
      </w:r>
      <w:r w:rsidRPr="00716C3A">
        <w:t xml:space="preserve"> </w:t>
      </w:r>
      <w:r>
        <w:t xml:space="preserve">Oggi buona parte di queste proprietà sono gestite in Italia dal </w:t>
      </w:r>
      <w:proofErr w:type="spellStart"/>
      <w:r>
        <w:t>c.d</w:t>
      </w:r>
      <w:proofErr w:type="spellEnd"/>
      <w:r>
        <w:t xml:space="preserve"> “</w:t>
      </w:r>
      <w:r w:rsidRPr="007F7EBF">
        <w:t>Demanio”</w:t>
      </w:r>
      <w:r>
        <w:t xml:space="preserve"> su cui </w:t>
      </w:r>
      <w:r w:rsidRPr="007F7EBF">
        <w:t>par.5.2</w:t>
      </w:r>
      <w:r>
        <w:t xml:space="preserve">. </w:t>
      </w:r>
    </w:p>
  </w:footnote>
  <w:footnote w:id="10">
    <w:p w14:paraId="3DDE7FEA" w14:textId="2CC3241D" w:rsidR="003B7460" w:rsidRPr="007F7EBF" w:rsidRDefault="003B7460" w:rsidP="00A06D38">
      <w:pPr>
        <w:pStyle w:val="Testonotaapidipagina"/>
      </w:pPr>
      <w:r w:rsidRPr="007F7EBF">
        <w:rPr>
          <w:rStyle w:val="Rimandonotaapidipagina"/>
        </w:rPr>
        <w:footnoteRef/>
      </w:r>
      <w:r w:rsidRPr="007F7EBF">
        <w:t xml:space="preserve"> </w:t>
      </w:r>
      <w:r>
        <w:t xml:space="preserve">) </w:t>
      </w:r>
      <w:r w:rsidRPr="007F7EBF">
        <w:t xml:space="preserve">Dalle guerre, se vittoriose, potevano trarsi prede, taglie, riscatti per il rilascio di prigionieri, </w:t>
      </w:r>
      <w:r>
        <w:t xml:space="preserve">imposizione di </w:t>
      </w:r>
      <w:r w:rsidRPr="007F7EBF">
        <w:t>tributi</w:t>
      </w:r>
      <w:r>
        <w:t xml:space="preserve"> agli sconfitti.</w:t>
      </w:r>
      <w:r w:rsidRPr="00A06D38">
        <w:t xml:space="preserve"> </w:t>
      </w:r>
      <w:r>
        <w:t>Un’osmosi tra forza militare pubblica e iniziativa economica privata si trovava nelle</w:t>
      </w:r>
      <w:r w:rsidRPr="007F7EBF">
        <w:t xml:space="preserve"> concessioni in esclusiva di</w:t>
      </w:r>
      <w:r>
        <w:t xml:space="preserve"> </w:t>
      </w:r>
      <w:r w:rsidRPr="007F7EBF">
        <w:t xml:space="preserve">commerci d’oltremare, </w:t>
      </w:r>
      <w:r>
        <w:t xml:space="preserve">dove occorreva </w:t>
      </w:r>
      <w:r w:rsidRPr="007F7EBF">
        <w:t>interagire intensamente con forze militari, la cui protezione e</w:t>
      </w:r>
      <w:r>
        <w:t>ra</w:t>
      </w:r>
      <w:r w:rsidRPr="007F7EBF">
        <w:t xml:space="preserve"> pagata</w:t>
      </w:r>
      <w:r>
        <w:t xml:space="preserve"> </w:t>
      </w:r>
      <w:r w:rsidRPr="007F7EBF">
        <w:t>con diritti da versare</w:t>
      </w:r>
      <w:r>
        <w:t>; s</w:t>
      </w:r>
      <w:r w:rsidRPr="007F7EBF">
        <w:t>i pensi , dal seicento in poi, alle varie compagnie, Inglesi, Francesi, Oland</w:t>
      </w:r>
      <w:r>
        <w:t xml:space="preserve">esi </w:t>
      </w:r>
      <w:r w:rsidRPr="007F7EBF">
        <w:t xml:space="preserve">o anche Russe, per lo sfruttamento delle Indie o della </w:t>
      </w:r>
      <w:proofErr w:type="spellStart"/>
      <w:r w:rsidRPr="007F7EBF">
        <w:t>Siberia.all</w:t>
      </w:r>
      <w:r>
        <w:t>e</w:t>
      </w:r>
      <w:proofErr w:type="spellEnd"/>
      <w:r>
        <w:t xml:space="preserve"> casse pubbliche</w:t>
      </w:r>
    </w:p>
  </w:footnote>
  <w:footnote w:id="11">
    <w:p w14:paraId="4B3238D9" w14:textId="3C9CE25F" w:rsidR="003B7460" w:rsidRPr="007F7EBF" w:rsidRDefault="003B7460" w:rsidP="008B1486">
      <w:pPr>
        <w:pStyle w:val="Testonotaapidipagina"/>
      </w:pPr>
      <w:r w:rsidRPr="007F7EBF">
        <w:rPr>
          <w:rStyle w:val="Rimandonotaapidipagina"/>
        </w:rPr>
        <w:footnoteRef/>
      </w:r>
      <w:r w:rsidRPr="007F7EBF">
        <w:t xml:space="preserve"> ) </w:t>
      </w:r>
      <w:r>
        <w:t xml:space="preserve">L’etimologia del termine è la parola </w:t>
      </w:r>
      <w:r w:rsidRPr="007F7EBF">
        <w:t>latin</w:t>
      </w:r>
      <w:r>
        <w:t>a</w:t>
      </w:r>
      <w:r w:rsidRPr="007F7EBF">
        <w:t xml:space="preserve"> “</w:t>
      </w:r>
      <w:proofErr w:type="spellStart"/>
      <w:r w:rsidRPr="007F7EBF">
        <w:t>fiscus</w:t>
      </w:r>
      <w:proofErr w:type="spellEnd"/>
      <w:r w:rsidRPr="007F7EBF">
        <w:t>”</w:t>
      </w:r>
      <w:r>
        <w:t xml:space="preserve">, </w:t>
      </w:r>
      <w:r w:rsidRPr="007F7EBF">
        <w:t xml:space="preserve">cesto di vimini </w:t>
      </w:r>
      <w:r>
        <w:t xml:space="preserve">per </w:t>
      </w:r>
      <w:r w:rsidRPr="007F7EBF">
        <w:t>la raccolta dei fichi</w:t>
      </w:r>
      <w:r>
        <w:t xml:space="preserve">, riferito a quella   delle entrate pubbliche. </w:t>
      </w:r>
    </w:p>
  </w:footnote>
  <w:footnote w:id="12">
    <w:p w14:paraId="2A0BD63A" w14:textId="77777777" w:rsidR="003B7460" w:rsidRPr="00F11E53" w:rsidRDefault="003B7460" w:rsidP="00A06D38">
      <w:pPr>
        <w:pStyle w:val="Testorientro"/>
        <w:ind w:firstLine="0"/>
        <w:rPr>
          <w:rFonts w:ascii="Times New Roman" w:hAnsi="Times New Roman" w:cs="Times New Roman"/>
        </w:rPr>
      </w:pPr>
      <w:r>
        <w:rPr>
          <w:rStyle w:val="Rimandonotaapidipagina"/>
        </w:rPr>
        <w:footnoteRef/>
      </w:r>
      <w:r>
        <w:t xml:space="preserve"> </w:t>
      </w:r>
      <w:r>
        <w:rPr>
          <w:rFonts w:ascii="Times New Roman" w:hAnsi="Times New Roman" w:cs="Times New Roman"/>
        </w:rPr>
        <w:t xml:space="preserve">) </w:t>
      </w:r>
      <w:r w:rsidRPr="007F7EBF">
        <w:t>Da ciò viene il nome “</w:t>
      </w:r>
      <w:r>
        <w:t>M</w:t>
      </w:r>
      <w:r w:rsidRPr="007F7EBF">
        <w:t xml:space="preserve">inistero del </w:t>
      </w:r>
      <w:r>
        <w:t>T</w:t>
      </w:r>
      <w:r w:rsidRPr="007F7EBF">
        <w:t>esoro”, di uso comune in molti stati</w:t>
      </w:r>
      <w:r>
        <w:t xml:space="preserve">, e che ritroveremo al par.5.2. </w:t>
      </w:r>
    </w:p>
  </w:footnote>
  <w:footnote w:id="13">
    <w:p w14:paraId="1E994CAA" w14:textId="48535A38" w:rsidR="003B7460" w:rsidRPr="007F7EBF" w:rsidRDefault="003B7460" w:rsidP="00736E27">
      <w:pPr>
        <w:pStyle w:val="Testonotaapidipagina"/>
      </w:pPr>
      <w:r w:rsidRPr="007F7EBF">
        <w:rPr>
          <w:rStyle w:val="Rimandonotaapidipagina"/>
        </w:rPr>
        <w:footnoteRef/>
      </w:r>
      <w:r w:rsidRPr="007F7EBF">
        <w:t xml:space="preserve"> ) </w:t>
      </w:r>
      <w:r>
        <w:t xml:space="preserve">O </w:t>
      </w:r>
      <w:r w:rsidRPr="007F7EBF">
        <w:t>altri beni con valore intrinseco, ad esempio il sale o gli ami da pesca</w:t>
      </w:r>
      <w:r>
        <w:t>, a costituire un pegno del credito sottostante.</w:t>
      </w:r>
    </w:p>
  </w:footnote>
  <w:footnote w:id="14">
    <w:p w14:paraId="0A938F0A" w14:textId="1D66DE4B" w:rsidR="003B7460" w:rsidRPr="007F7EBF" w:rsidRDefault="003B7460">
      <w:pPr>
        <w:pStyle w:val="Testonotaapidipagina"/>
      </w:pPr>
      <w:r w:rsidRPr="007F7EBF">
        <w:rPr>
          <w:rStyle w:val="Rimandonotaapidipagina"/>
        </w:rPr>
        <w:footnoteRef/>
      </w:r>
      <w:r w:rsidRPr="007F7EBF">
        <w:t xml:space="preserve"> </w:t>
      </w:r>
      <w:r>
        <w:t>) Visto che i</w:t>
      </w:r>
      <w:r w:rsidRPr="007F7EBF">
        <w:t>l gruppo sociale</w:t>
      </w:r>
      <w:r>
        <w:t xml:space="preserve">, come un tutto, genera </w:t>
      </w:r>
      <w:r w:rsidRPr="007F7EBF">
        <w:t>più credi</w:t>
      </w:r>
      <w:r>
        <w:t>to</w:t>
      </w:r>
      <w:r w:rsidRPr="007F7EBF">
        <w:t xml:space="preserve"> degli individui e dei sottogruppi sociali che ne fanno parte</w:t>
      </w:r>
      <w:r>
        <w:t xml:space="preserve">, </w:t>
      </w:r>
      <w:r w:rsidRPr="007F7EBF">
        <w:t xml:space="preserve">il </w:t>
      </w:r>
      <w:r>
        <w:t xml:space="preserve"> suo </w:t>
      </w:r>
      <w:r w:rsidRPr="007F7EBF">
        <w:t>debito pubblico</w:t>
      </w:r>
      <w:r>
        <w:t xml:space="preserve"> </w:t>
      </w:r>
      <w:r w:rsidRPr="007F7EBF">
        <w:t>è più credibile di impegni privati di individui o organizzazioni soggette a</w:t>
      </w:r>
      <w:r>
        <w:t xml:space="preserve">l </w:t>
      </w:r>
      <w:r w:rsidRPr="007F7EBF">
        <w:t>potere</w:t>
      </w:r>
      <w:r>
        <w:t xml:space="preserve"> del gruppo. </w:t>
      </w:r>
    </w:p>
  </w:footnote>
  <w:footnote w:id="15">
    <w:p w14:paraId="59E33864" w14:textId="294B91E3" w:rsidR="003B7460" w:rsidRPr="007F7EBF" w:rsidRDefault="003B7460" w:rsidP="00BB1B41">
      <w:pPr>
        <w:pStyle w:val="Testonotaapidipagina"/>
      </w:pPr>
      <w:r w:rsidRPr="007F7EBF">
        <w:rPr>
          <w:rStyle w:val="Rimandonotaapidipagina"/>
        </w:rPr>
        <w:footnoteRef/>
      </w:r>
      <w:r w:rsidRPr="007F7EBF">
        <w:t xml:space="preserve"> ) </w:t>
      </w:r>
      <w:r>
        <w:t xml:space="preserve">In questo contesto la spesa pubblica a debito è utile solo se alimenta un’utilità collettiva; </w:t>
      </w:r>
      <w:r w:rsidRPr="007F7EBF">
        <w:t>s</w:t>
      </w:r>
      <w:r w:rsidR="001D7A1C">
        <w:t xml:space="preserve">olo se </w:t>
      </w:r>
      <w:r>
        <w:t>quest’utilità sussiste, s</w:t>
      </w:r>
      <w:r w:rsidRPr="007F7EBF">
        <w:t xml:space="preserve">i </w:t>
      </w:r>
      <w:r>
        <w:t xml:space="preserve">crea reddito, </w:t>
      </w:r>
      <w:r w:rsidR="001D7A1C">
        <w:t>mantenendo</w:t>
      </w:r>
      <w:r w:rsidRPr="007F7EBF">
        <w:t xml:space="preserve"> credibilità</w:t>
      </w:r>
      <w:r>
        <w:t xml:space="preserve"> e fiducia</w:t>
      </w:r>
      <w:r w:rsidRPr="007F7EBF">
        <w:t xml:space="preserve"> (</w:t>
      </w:r>
      <w:proofErr w:type="spellStart"/>
      <w:r w:rsidRPr="007F7EBF">
        <w:t>cfr</w:t>
      </w:r>
      <w:proofErr w:type="spellEnd"/>
      <w:r w:rsidRPr="007F7EBF">
        <w:t xml:space="preserve"> </w:t>
      </w:r>
      <w:r>
        <w:t>Lupi, Moneta e sovranità, tra economia e diritto, in Innovazione e diritto 2017, n.6)</w:t>
      </w:r>
      <w:r w:rsidRPr="007F7EBF">
        <w:t>.</w:t>
      </w:r>
    </w:p>
  </w:footnote>
  <w:footnote w:id="16">
    <w:p w14:paraId="59B0E85F" w14:textId="602A2C58" w:rsidR="003B7460" w:rsidRDefault="003B7460">
      <w:pPr>
        <w:pStyle w:val="Testonotaapidipagina"/>
      </w:pPr>
      <w:r>
        <w:rPr>
          <w:rStyle w:val="Rimandonotaapidipagina"/>
        </w:rPr>
        <w:footnoteRef/>
      </w:r>
      <w:r>
        <w:t xml:space="preserve"> ) Con tutta la simpatia per i c.d. “sovranisti” dubito che anche il più convinto di essi possa sfamarsi mangiando la </w:t>
      </w:r>
      <w:r w:rsidRPr="00D26815">
        <w:rPr>
          <w:i/>
        </w:rPr>
        <w:t>gazzetta ufficiale</w:t>
      </w:r>
      <w:r>
        <w:t xml:space="preserve">. </w:t>
      </w:r>
    </w:p>
  </w:footnote>
  <w:footnote w:id="17">
    <w:p w14:paraId="73B8649B" w14:textId="2FB5A829" w:rsidR="003B7460" w:rsidRPr="007F7EBF" w:rsidRDefault="003B7460" w:rsidP="00B00FEA">
      <w:pPr>
        <w:rPr>
          <w:sz w:val="20"/>
          <w:szCs w:val="20"/>
        </w:rPr>
      </w:pPr>
      <w:r w:rsidRPr="007F7EBF">
        <w:rPr>
          <w:rStyle w:val="Rimandonotaapidipagina"/>
          <w:sz w:val="20"/>
          <w:szCs w:val="20"/>
        </w:rPr>
        <w:footnoteRef/>
      </w:r>
      <w:r w:rsidRPr="007F7EBF">
        <w:rPr>
          <w:sz w:val="20"/>
          <w:szCs w:val="20"/>
        </w:rPr>
        <w:t xml:space="preserve"> ) Questo spiega perché alcuni paesi “credibili”, per la loro potenza politica ed efficienza istituzionale, come gli USA, la Gran Bretagna, il Giappone, abbiano margini di indebitamento ben superiori a quelli di paesi cui viene data meno fiducia (l’esempio opposto estremo, usato nelle polemiche contro chi magicamente pensa di creare ricchezza stampando moneta è lo Zimbabwe). </w:t>
      </w:r>
      <w:r>
        <w:rPr>
          <w:sz w:val="20"/>
          <w:szCs w:val="20"/>
        </w:rPr>
        <w:t>Sul tema par.7.12 del compendio di scienza delle finanze, citato in premessa.</w:t>
      </w:r>
      <w:r w:rsidRPr="007F7EBF">
        <w:rPr>
          <w:sz w:val="20"/>
          <w:szCs w:val="20"/>
        </w:rPr>
        <w:t xml:space="preserve"> </w:t>
      </w:r>
    </w:p>
  </w:footnote>
  <w:footnote w:id="18">
    <w:p w14:paraId="42866069" w14:textId="77777777" w:rsidR="003B7460" w:rsidRDefault="003B7460" w:rsidP="00712805">
      <w:pPr>
        <w:pStyle w:val="Testonotaapidipagina"/>
      </w:pPr>
      <w:r>
        <w:rPr>
          <w:rStyle w:val="Rimandonotaapidipagina"/>
        </w:rPr>
        <w:footnoteRef/>
      </w:r>
      <w:r>
        <w:t xml:space="preserve"> ) Invece per le sopra indicate “tariffe” uno scambio c’è ma non è esattamente “di mercato” (vedremo al par.5.1 perché si parla di “prezzi pubblici”).  </w:t>
      </w:r>
    </w:p>
  </w:footnote>
  <w:footnote w:id="19">
    <w:p w14:paraId="71670406" w14:textId="168F9054" w:rsidR="003B7460" w:rsidRDefault="003B7460" w:rsidP="00304DB1">
      <w:pPr>
        <w:pStyle w:val="Testonotaapidipagina"/>
      </w:pPr>
      <w:r>
        <w:rPr>
          <w:rStyle w:val="Rimandonotaapidipagina"/>
        </w:rPr>
        <w:footnoteRef/>
      </w:r>
      <w:r>
        <w:t>) In quanto imporre imposte è sempre politicamente poco gradito, salvi i casi di esigenze belliche, dove la spesa era visibile e controllata socialmente. Questo spiega la storica residualità delle imposte, rispetto alle entrate patrimoniali (par.1.1) e “commutative” indicate sopra (tasse e tariffe).</w:t>
      </w:r>
    </w:p>
  </w:footnote>
  <w:footnote w:id="20">
    <w:p w14:paraId="088969E2" w14:textId="49774BF3" w:rsidR="003B7460" w:rsidRDefault="003B7460" w:rsidP="00304DB1">
      <w:pPr>
        <w:pStyle w:val="Testonotaapidipagina"/>
      </w:pPr>
      <w:r>
        <w:rPr>
          <w:rStyle w:val="Rimandonotaapidipagina"/>
        </w:rPr>
        <w:footnoteRef/>
      </w:r>
      <w:r>
        <w:t xml:space="preserve"> ) La parola “sacrificio” è usata, nella scienza delle finanze, per distinguere le imposte dall’appena citato criterio del beneficio. Tuttavia tra questi principi ci sono sfumature intermedie, che vedremo al par.10.9 per molti tributi “minori” e “immobiliari” su alcuni servizi locali (strade, illuminazione, ambiente) posti a carico dei cittadini non in parti uguali, ma in proporzione al valore delle rispettive proprietà, secondo un criterio simile a quello usato per la ripartizione delle spese condominiali in relazione al valore degli appartamenti, oltre che in base all’uso di un servizio (ad es. quello di portierato, usato sia dall’attico </w:t>
      </w:r>
      <w:proofErr w:type="spellStart"/>
      <w:r>
        <w:t>terrazzatissimo</w:t>
      </w:r>
      <w:proofErr w:type="spellEnd"/>
      <w:r>
        <w:t xml:space="preserve"> sia dal bicamere al seminterrato, che però contribuiscono diversamente per il diverso valore).</w:t>
      </w:r>
    </w:p>
  </w:footnote>
  <w:footnote w:id="21">
    <w:p w14:paraId="1611128C" w14:textId="77777777" w:rsidR="003B7460" w:rsidRDefault="003B7460" w:rsidP="007E4BD9">
      <w:pPr>
        <w:pStyle w:val="Testorientro"/>
        <w:ind w:firstLine="0"/>
      </w:pPr>
      <w:r>
        <w:rPr>
          <w:rStyle w:val="Rimandonotaapidipagina"/>
        </w:rPr>
        <w:footnoteRef/>
      </w:r>
      <w:r>
        <w:t xml:space="preserve"> ) Nel medioevo si parlava della cosiddetta “causa </w:t>
      </w:r>
      <w:proofErr w:type="spellStart"/>
      <w:r>
        <w:t>impositionis</w:t>
      </w:r>
      <w:proofErr w:type="spellEnd"/>
      <w:r>
        <w:t>”, come di un “patto sociale” tra pagamento delle imposte e pubbliche funzioni complessive. Oggi l’art.81 della costituzione chiede la copertura di maggiori spese o minori entrate, senza però correlazioni tra spese ed entrate (incidentalmente è una norma usata come pretesto per bloccare iniziative legislative intelligenti solo per la pigrizia burocratica di immaginare coperture adeguate, che poi comunque nessuno verifica).</w:t>
      </w:r>
    </w:p>
  </w:footnote>
  <w:footnote w:id="22">
    <w:p w14:paraId="63B31518" w14:textId="77777777" w:rsidR="003B7460" w:rsidRDefault="003B7460" w:rsidP="007223D5">
      <w:pPr>
        <w:pStyle w:val="Testonotaapidipagina"/>
      </w:pPr>
      <w:r>
        <w:rPr>
          <w:rStyle w:val="Rimandonotaapidipagina"/>
        </w:rPr>
        <w:footnoteRef/>
      </w:r>
      <w:r>
        <w:t xml:space="preserve"> </w:t>
      </w:r>
      <w:r w:rsidRPr="00724584">
        <w:t>È lo stesso motivo per cui il presente volume potrebbe intitolarsi</w:t>
      </w:r>
      <w:r>
        <w:t>, c</w:t>
      </w:r>
      <w:r w:rsidRPr="00724584">
        <w:t>on maggiore precisione ma minore chiarezza</w:t>
      </w:r>
      <w:r>
        <w:t>, “E</w:t>
      </w:r>
      <w:r w:rsidRPr="00724584">
        <w:t>ntrate pubbliche e funzione tributaria</w:t>
      </w:r>
      <w:r>
        <w:t xml:space="preserve">”. </w:t>
      </w:r>
    </w:p>
  </w:footnote>
  <w:footnote w:id="23">
    <w:p w14:paraId="205F355C" w14:textId="7C25A56E" w:rsidR="003B7460" w:rsidRDefault="003B7460" w:rsidP="005A4EA5">
      <w:pPr>
        <w:pStyle w:val="Testonotaapidipagina"/>
      </w:pPr>
      <w:r>
        <w:rPr>
          <w:rStyle w:val="Rimandonotaapidipagina"/>
        </w:rPr>
        <w:footnoteRef/>
      </w:r>
      <w:r>
        <w:t xml:space="preserve"> ) Lo svolgimento di funzioni giuridiche da parte di organi politici è di immediata evidenza nella storia, dalla giustizia di Salomone, al Pretore dell’antica Roma, al Parlamento di Parigi, a Federico il Grande di Prussia, nel mito del mugnaio di </w:t>
      </w:r>
      <w:r w:rsidRPr="00B12EA3">
        <w:rPr>
          <w:i/>
        </w:rPr>
        <w:t xml:space="preserve">sans </w:t>
      </w:r>
      <w:proofErr w:type="spellStart"/>
      <w:r w:rsidRPr="00B12EA3">
        <w:rPr>
          <w:i/>
        </w:rPr>
        <w:t>souci</w:t>
      </w:r>
      <w:proofErr w:type="spellEnd"/>
      <w:r>
        <w:t xml:space="preserve">. </w:t>
      </w:r>
    </w:p>
  </w:footnote>
  <w:footnote w:id="24">
    <w:p w14:paraId="2AD37951" w14:textId="72FCE0C4" w:rsidR="003B7460" w:rsidRDefault="003B7460" w:rsidP="00A96289">
      <w:pPr>
        <w:pStyle w:val="Testonotaapidipagina"/>
      </w:pPr>
      <w:r>
        <w:rPr>
          <w:rStyle w:val="Rimandonotaapidipagina"/>
        </w:rPr>
        <w:footnoteRef/>
      </w:r>
      <w:r>
        <w:t xml:space="preserve"> ) Che ricordano l’ordinamento a gradoni </w:t>
      </w:r>
      <w:proofErr w:type="spellStart"/>
      <w:r>
        <w:t>kelseniana</w:t>
      </w:r>
      <w:proofErr w:type="spellEnd"/>
      <w:r>
        <w:t xml:space="preserve"> memoria. </w:t>
      </w:r>
    </w:p>
  </w:footnote>
  <w:footnote w:id="25">
    <w:p w14:paraId="7CF66DEB" w14:textId="074FECA1" w:rsidR="003B7460" w:rsidRDefault="003B7460">
      <w:pPr>
        <w:pStyle w:val="Testonotaapidipagina"/>
      </w:pPr>
      <w:r>
        <w:rPr>
          <w:rStyle w:val="Rimandonotaapidipagina"/>
        </w:rPr>
        <w:footnoteRef/>
      </w:r>
      <w:r>
        <w:t xml:space="preserve"> ) Dove la sfera giuridico politica fa da contenitore a quella economica secondo la metafora indicata al par.</w:t>
      </w:r>
      <w:r w:rsidRPr="007B21DA">
        <w:t xml:space="preserve"> </w:t>
      </w:r>
      <w:r>
        <w:t>2.10 del compendio di scienza delle finanze, citato in premessa.</w:t>
      </w:r>
    </w:p>
  </w:footnote>
  <w:footnote w:id="26">
    <w:p w14:paraId="75EA2ED6" w14:textId="33C0104D" w:rsidR="003B7460" w:rsidRDefault="003B7460" w:rsidP="00F97364">
      <w:pPr>
        <w:pStyle w:val="Testonotaapidipagina"/>
      </w:pPr>
      <w:r>
        <w:rPr>
          <w:rStyle w:val="Rimandonotaapidipagina"/>
        </w:rPr>
        <w:footnoteRef/>
      </w:r>
      <w:r>
        <w:t xml:space="preserve"> ) Non si tratta invece della giustizia sociale, che divaga in politica, nella prospettiva di </w:t>
      </w:r>
      <w:proofErr w:type="spellStart"/>
      <w:r>
        <w:t>Rawls</w:t>
      </w:r>
      <w:proofErr w:type="spellEnd"/>
      <w:r>
        <w:t xml:space="preserve"> o Amartya Sen, cui accenneremo al par.1.7 sulla “giustizia tributaria”, come perequato trattamento dei presupposti economici d’imposta.</w:t>
      </w:r>
    </w:p>
  </w:footnote>
  <w:footnote w:id="27">
    <w:p w14:paraId="05DD9E01" w14:textId="59B9D60E" w:rsidR="003B7460" w:rsidRDefault="003B7460">
      <w:pPr>
        <w:pStyle w:val="Testonotaapidipagina"/>
      </w:pPr>
      <w:r>
        <w:rPr>
          <w:rStyle w:val="Rimandonotaapidipagina"/>
        </w:rPr>
        <w:footnoteRef/>
      </w:r>
      <w:r>
        <w:t xml:space="preserve"> Razionalizzandolo in modo da rendere comprensibili i motivi della violenza, con la faida, e poi sostituendola con l’ordalia, il giudizio di Dio e altre figure di antropologia giuridica.</w:t>
      </w:r>
    </w:p>
  </w:footnote>
  <w:footnote w:id="28">
    <w:p w14:paraId="0E9CA48B" w14:textId="5ACFE5AB" w:rsidR="003B7460" w:rsidRDefault="003B7460">
      <w:pPr>
        <w:pStyle w:val="Testonotaapidipagina"/>
      </w:pPr>
      <w:r>
        <w:rPr>
          <w:rStyle w:val="Rimandonotaapidipagina"/>
        </w:rPr>
        <w:footnoteRef/>
      </w:r>
      <w:r>
        <w:t xml:space="preserve"> Quelli che i tedeschi chiamavano lo spirito del popolo o </w:t>
      </w:r>
      <w:proofErr w:type="spellStart"/>
      <w:r w:rsidRPr="005917D2">
        <w:rPr>
          <w:i/>
        </w:rPr>
        <w:t>volkgei</w:t>
      </w:r>
      <w:r>
        <w:rPr>
          <w:i/>
        </w:rPr>
        <w:t>s</w:t>
      </w:r>
      <w:r w:rsidRPr="005917D2">
        <w:rPr>
          <w:i/>
        </w:rPr>
        <w:t>t</w:t>
      </w:r>
      <w:proofErr w:type="spellEnd"/>
      <w:r>
        <w:t>.</w:t>
      </w:r>
    </w:p>
  </w:footnote>
  <w:footnote w:id="29">
    <w:p w14:paraId="7AA6ED2E" w14:textId="77777777" w:rsidR="003B7460" w:rsidRDefault="003B7460" w:rsidP="00840EE4">
      <w:pPr>
        <w:pStyle w:val="Testonotaapidipagina"/>
      </w:pPr>
      <w:r>
        <w:rPr>
          <w:rStyle w:val="Rimandonotaapidipagina"/>
        </w:rPr>
        <w:footnoteRef/>
      </w:r>
      <w:r>
        <w:t xml:space="preserve"> ), per riprendere un bel volume a cura di Scarpelli, fino ai dubbi sulla giuridicità, o sul primitivismo, del diritto internazionale, come se i tribunali e le sentenze fossero indispensabili per avere un diritto.</w:t>
      </w:r>
    </w:p>
  </w:footnote>
  <w:footnote w:id="30">
    <w:p w14:paraId="3210D756" w14:textId="58B6250A" w:rsidR="003B7460" w:rsidRDefault="003B7460">
      <w:pPr>
        <w:pStyle w:val="Testonotaapidipagina"/>
      </w:pPr>
      <w:r>
        <w:rPr>
          <w:rStyle w:val="Rimandonotaapidipagina"/>
        </w:rPr>
        <w:footnoteRef/>
      </w:r>
      <w:r>
        <w:t xml:space="preserve"> Con la tendenza a giustificare in base ad appigli formali decisioni giustificate in base a valori o opportunità, stigmatizzata dall’espressione di Lutero </w:t>
      </w:r>
      <w:proofErr w:type="spellStart"/>
      <w:r>
        <w:t>j</w:t>
      </w:r>
      <w:r w:rsidRPr="00BC6491">
        <w:rPr>
          <w:i/>
        </w:rPr>
        <w:t>uristen</w:t>
      </w:r>
      <w:proofErr w:type="spellEnd"/>
      <w:r w:rsidRPr="00BC6491">
        <w:rPr>
          <w:i/>
        </w:rPr>
        <w:t xml:space="preserve"> bose </w:t>
      </w:r>
      <w:proofErr w:type="spellStart"/>
      <w:r w:rsidRPr="00BC6491">
        <w:rPr>
          <w:i/>
        </w:rPr>
        <w:t>christen</w:t>
      </w:r>
      <w:proofErr w:type="spellEnd"/>
      <w:r>
        <w:t xml:space="preserve">, </w:t>
      </w:r>
    </w:p>
  </w:footnote>
  <w:footnote w:id="31">
    <w:p w14:paraId="4E68B8AE" w14:textId="69179F59" w:rsidR="003B7460" w:rsidRDefault="003B7460">
      <w:pPr>
        <w:pStyle w:val="Testonotaapidipagina"/>
      </w:pPr>
      <w:r>
        <w:rPr>
          <w:rStyle w:val="Rimandonotaapidipagina"/>
        </w:rPr>
        <w:footnoteRef/>
      </w:r>
      <w:r>
        <w:t xml:space="preserve"> Par.5.10 sulla </w:t>
      </w:r>
      <w:proofErr w:type="spellStart"/>
      <w:r>
        <w:t>valutatività</w:t>
      </w:r>
      <w:proofErr w:type="spellEnd"/>
      <w:r>
        <w:t xml:space="preserve"> in materia tributaria. </w:t>
      </w:r>
    </w:p>
  </w:footnote>
  <w:footnote w:id="32">
    <w:p w14:paraId="2D237DC1" w14:textId="7A9A5E77" w:rsidR="003B7460" w:rsidRDefault="003B7460" w:rsidP="0086354F">
      <w:pPr>
        <w:pStyle w:val="Testonotaapidipagina"/>
      </w:pPr>
      <w:r>
        <w:rPr>
          <w:rStyle w:val="Rimandonotaapidipagina"/>
        </w:rPr>
        <w:footnoteRef/>
      </w:r>
      <w:r>
        <w:t xml:space="preserve"> E’ questo il senso della common </w:t>
      </w:r>
      <w:proofErr w:type="spellStart"/>
      <w:r>
        <w:t>law</w:t>
      </w:r>
      <w:proofErr w:type="spellEnd"/>
      <w:r>
        <w:t xml:space="preserve">, al di là della sua banalizzazione sull’equiparazione del precedente alla legge. </w:t>
      </w:r>
    </w:p>
  </w:footnote>
  <w:footnote w:id="33">
    <w:p w14:paraId="01E745B6" w14:textId="29512277" w:rsidR="003B7460" w:rsidRDefault="003B7460">
      <w:pPr>
        <w:pStyle w:val="Testonotaapidipagina"/>
      </w:pPr>
      <w:r>
        <w:rPr>
          <w:rStyle w:val="Rimandonotaapidipagina"/>
        </w:rPr>
        <w:footnoteRef/>
      </w:r>
      <w:r>
        <w:t xml:space="preserve"> Anche se in entrambi i sistemi al giudice si addice, per quanto di propria competenza, l’idea di </w:t>
      </w:r>
      <w:r>
        <w:rPr>
          <w:i/>
        </w:rPr>
        <w:t>arbitro in terra del bene e del male</w:t>
      </w:r>
      <w:r>
        <w:t xml:space="preserve">, secondo una vecchia canzone di De </w:t>
      </w:r>
      <w:proofErr w:type="spellStart"/>
      <w:r>
        <w:t>Andrè</w:t>
      </w:r>
      <w:proofErr w:type="spellEnd"/>
      <w:r>
        <w:t xml:space="preserve">, il controllo sociale è maggiore, e la deresponsabilizzazione minore, nell’ambiente di </w:t>
      </w:r>
      <w:r w:rsidRPr="008D31B3">
        <w:rPr>
          <w:i/>
          <w:iCs/>
        </w:rPr>
        <w:t xml:space="preserve"> common </w:t>
      </w:r>
      <w:proofErr w:type="spellStart"/>
      <w:r w:rsidRPr="008D31B3">
        <w:rPr>
          <w:i/>
          <w:iCs/>
        </w:rPr>
        <w:t>law</w:t>
      </w:r>
      <w:proofErr w:type="spellEnd"/>
      <w:r w:rsidRPr="008D31B3">
        <w:rPr>
          <w:i/>
          <w:iCs/>
        </w:rPr>
        <w:t>.</w:t>
      </w:r>
      <w:r>
        <w:t xml:space="preserve"> Nei contesti di </w:t>
      </w:r>
      <w:proofErr w:type="spellStart"/>
      <w:r>
        <w:rPr>
          <w:i/>
          <w:iCs/>
        </w:rPr>
        <w:t>civil</w:t>
      </w:r>
      <w:proofErr w:type="spellEnd"/>
      <w:r>
        <w:rPr>
          <w:i/>
          <w:iCs/>
        </w:rPr>
        <w:t xml:space="preserve"> </w:t>
      </w:r>
      <w:proofErr w:type="spellStart"/>
      <w:r>
        <w:rPr>
          <w:i/>
          <w:iCs/>
        </w:rPr>
        <w:t>law</w:t>
      </w:r>
      <w:proofErr w:type="spellEnd"/>
      <w:r>
        <w:rPr>
          <w:i/>
          <w:iCs/>
        </w:rPr>
        <w:t xml:space="preserve"> </w:t>
      </w:r>
      <w:r>
        <w:t xml:space="preserve"> il giudice è ancor più un tramite tra mondo uomini comuni e leggi, con le surreali battute conclusive de “Il processo” di Kafka </w:t>
      </w:r>
      <w:r>
        <w:rPr>
          <w:i/>
        </w:rPr>
        <w:t>Qualunque impressione faccia su di noi, egli è un servo della legge, quindi appartiene alla legge e sfugge al giudizio umano</w:t>
      </w:r>
      <w:r>
        <w:t xml:space="preserve">.  Questo dà ai giudici forti </w:t>
      </w:r>
      <w:r w:rsidRPr="004A27FA">
        <w:t xml:space="preserve">margini </w:t>
      </w:r>
      <w:r>
        <w:t xml:space="preserve">per essere </w:t>
      </w:r>
      <w:r w:rsidRPr="004A27FA">
        <w:t>“bocche della legge</w:t>
      </w:r>
      <w:r>
        <w:t xml:space="preserve">” nel diverso senso di poterla </w:t>
      </w:r>
      <w:r w:rsidRPr="004A27FA">
        <w:t xml:space="preserve">far parlare secondo </w:t>
      </w:r>
      <w:r>
        <w:t xml:space="preserve">le </w:t>
      </w:r>
      <w:r w:rsidRPr="004A27FA">
        <w:t xml:space="preserve">proprie personali </w:t>
      </w:r>
      <w:r>
        <w:t>convenienze e convinzioni</w:t>
      </w:r>
      <w:r w:rsidRPr="004A27FA">
        <w:t>.</w:t>
      </w:r>
    </w:p>
  </w:footnote>
  <w:footnote w:id="34">
    <w:p w14:paraId="49081BD8" w14:textId="77777777" w:rsidR="003B7460" w:rsidRDefault="003B7460" w:rsidP="00092DB4">
      <w:pPr>
        <w:pStyle w:val="Testonotaapidipagina"/>
      </w:pPr>
      <w:r>
        <w:rPr>
          <w:rStyle w:val="Rimandonotaapidipagina"/>
        </w:rPr>
        <w:footnoteRef/>
      </w:r>
      <w:r>
        <w:t xml:space="preserve"> ) Anche la collocazione della procedura civile nel diritto pubblico, conferma che </w:t>
      </w:r>
      <w:r w:rsidRPr="000818F3">
        <w:rPr>
          <w:i/>
        </w:rPr>
        <w:t>il diritto è dei privati e le funzioni sono pubbliche</w:t>
      </w:r>
      <w:r>
        <w:t xml:space="preserve">. </w:t>
      </w:r>
    </w:p>
  </w:footnote>
  <w:footnote w:id="35">
    <w:p w14:paraId="6320D5B0" w14:textId="2E4079D2" w:rsidR="003B7460" w:rsidRDefault="003B7460">
      <w:pPr>
        <w:pStyle w:val="Testonotaapidipagina"/>
      </w:pPr>
      <w:r>
        <w:rPr>
          <w:rStyle w:val="Rimandonotaapidipagina"/>
        </w:rPr>
        <w:footnoteRef/>
      </w:r>
      <w:r>
        <w:t xml:space="preserve"> Studi sociali e diritto, citato in premessa.</w:t>
      </w:r>
    </w:p>
  </w:footnote>
  <w:footnote w:id="36">
    <w:p w14:paraId="47ABAA67" w14:textId="0C571333" w:rsidR="003B7460" w:rsidRDefault="003B7460">
      <w:pPr>
        <w:pStyle w:val="Testonotaapidipagina"/>
      </w:pPr>
      <w:r>
        <w:rPr>
          <w:rStyle w:val="Rimandonotaapidipagina"/>
        </w:rPr>
        <w:footnoteRef/>
      </w:r>
      <w:r>
        <w:t xml:space="preserve"> I principali concetti del diritto dei privati, come il rispetto dei patti,</w:t>
      </w:r>
      <w:r w:rsidRPr="007F7EBF">
        <w:t xml:space="preserve"> il</w:t>
      </w:r>
      <w:r>
        <w:t xml:space="preserve"> pagamento di debiti, il risarcimento danni, la lite, il processo e la sentenza,</w:t>
      </w:r>
      <w:r w:rsidRPr="00AE0B58">
        <w:t xml:space="preserve"> </w:t>
      </w:r>
      <w:r>
        <w:t>sono alla portata del bagaglio culturale generale, come nel</w:t>
      </w:r>
      <w:r>
        <w:rPr>
          <w:sz w:val="18"/>
          <w:szCs w:val="18"/>
        </w:rPr>
        <w:t>la scenetta “</w:t>
      </w:r>
      <w:proofErr w:type="spellStart"/>
      <w:r>
        <w:rPr>
          <w:sz w:val="18"/>
          <w:szCs w:val="18"/>
        </w:rPr>
        <w:t>aronne</w:t>
      </w:r>
      <w:proofErr w:type="spellEnd"/>
      <w:r>
        <w:rPr>
          <w:sz w:val="18"/>
          <w:szCs w:val="18"/>
        </w:rPr>
        <w:t xml:space="preserve"> piperno” su </w:t>
      </w:r>
      <w:proofErr w:type="spellStart"/>
      <w:r>
        <w:rPr>
          <w:sz w:val="18"/>
          <w:szCs w:val="18"/>
        </w:rPr>
        <w:t>youtube</w:t>
      </w:r>
      <w:proofErr w:type="spellEnd"/>
      <w:r>
        <w:t xml:space="preserve"> (per non dire </w:t>
      </w:r>
      <w:r w:rsidRPr="00BC2AE3">
        <w:rPr>
          <w:sz w:val="18"/>
          <w:szCs w:val="18"/>
        </w:rPr>
        <w:t>canzoni popolari</w:t>
      </w:r>
      <w:r>
        <w:rPr>
          <w:sz w:val="18"/>
          <w:szCs w:val="18"/>
        </w:rPr>
        <w:t xml:space="preserve"> </w:t>
      </w:r>
      <w:r w:rsidRPr="00BC2AE3">
        <w:rPr>
          <w:sz w:val="18"/>
          <w:szCs w:val="18"/>
        </w:rPr>
        <w:t xml:space="preserve">come </w:t>
      </w:r>
      <w:r>
        <w:rPr>
          <w:sz w:val="18"/>
          <w:szCs w:val="18"/>
        </w:rPr>
        <w:t xml:space="preserve">quella romanesca </w:t>
      </w:r>
      <w:r w:rsidRPr="00BC2AE3">
        <w:rPr>
          <w:i/>
          <w:sz w:val="18"/>
          <w:szCs w:val="18"/>
        </w:rPr>
        <w:t>ci hai messo l’acqua e non ti paghiam</w:t>
      </w:r>
      <w:r>
        <w:rPr>
          <w:i/>
          <w:sz w:val="18"/>
          <w:szCs w:val="18"/>
        </w:rPr>
        <w:t>o</w:t>
      </w:r>
      <w:r>
        <w:rPr>
          <w:sz w:val="18"/>
          <w:szCs w:val="18"/>
        </w:rPr>
        <w:t xml:space="preserve">, volgarizzazione del più aulico </w:t>
      </w:r>
      <w:proofErr w:type="spellStart"/>
      <w:r>
        <w:rPr>
          <w:i/>
          <w:sz w:val="18"/>
          <w:szCs w:val="18"/>
        </w:rPr>
        <w:t>inadimplendi</w:t>
      </w:r>
      <w:proofErr w:type="spellEnd"/>
      <w:r>
        <w:rPr>
          <w:i/>
          <w:sz w:val="18"/>
          <w:szCs w:val="18"/>
        </w:rPr>
        <w:t xml:space="preserve"> non est </w:t>
      </w:r>
      <w:proofErr w:type="spellStart"/>
      <w:r>
        <w:rPr>
          <w:i/>
          <w:sz w:val="18"/>
          <w:szCs w:val="18"/>
        </w:rPr>
        <w:t>adimplendum</w:t>
      </w:r>
      <w:proofErr w:type="spellEnd"/>
      <w:r>
        <w:rPr>
          <w:sz w:val="18"/>
          <w:szCs w:val="18"/>
        </w:rPr>
        <w:t>.</w:t>
      </w:r>
    </w:p>
  </w:footnote>
  <w:footnote w:id="37">
    <w:p w14:paraId="6DC46AD0" w14:textId="77777777" w:rsidR="003B7460" w:rsidRDefault="003B7460" w:rsidP="005D5A47">
      <w:pPr>
        <w:pStyle w:val="Testonotaapidipagina"/>
      </w:pPr>
      <w:r>
        <w:rPr>
          <w:rStyle w:val="Rimandonotaapidipagina"/>
        </w:rPr>
        <w:footnoteRef/>
      </w:r>
      <w:r>
        <w:t xml:space="preserve"> ) La giustizia penale, intesa come repressione di illeciti già compiuti, è inquadrabile, sia pure un po’ forzatamente, nella funzione </w:t>
      </w:r>
      <w:r>
        <w:rPr>
          <w:i/>
        </w:rPr>
        <w:t>giurisdizionale</w:t>
      </w:r>
      <w:r>
        <w:t xml:space="preserve"> mentre nella funzione di sicurezza/prevenzione prevalgono contenuti materiali.</w:t>
      </w:r>
    </w:p>
  </w:footnote>
  <w:footnote w:id="38">
    <w:p w14:paraId="23F30048" w14:textId="6B2C3CC1" w:rsidR="003B7460" w:rsidRDefault="003B7460">
      <w:pPr>
        <w:pStyle w:val="Testonotaapidipagina"/>
      </w:pPr>
      <w:r>
        <w:rPr>
          <w:rStyle w:val="Rimandonotaapidipagina"/>
        </w:rPr>
        <w:footnoteRef/>
      </w:r>
      <w:r>
        <w:t xml:space="preserve"> ) Par.5.10 sulla discrezionalità, concetto non spiegabile nella prospettiva “privatistico-giurisdizionale” del diritto. </w:t>
      </w:r>
    </w:p>
  </w:footnote>
  <w:footnote w:id="39">
    <w:p w14:paraId="0EF663F1" w14:textId="3446539B" w:rsidR="003B7460" w:rsidRDefault="003B7460">
      <w:pPr>
        <w:pStyle w:val="Testonotaapidipagina"/>
      </w:pPr>
      <w:r>
        <w:rPr>
          <w:rStyle w:val="Rimandonotaapidipagina"/>
        </w:rPr>
        <w:footnoteRef/>
      </w:r>
      <w:r>
        <w:t xml:space="preserve"> ) Lo vedremo al par.3.9 sulla natura necessariamente </w:t>
      </w:r>
      <w:r w:rsidRPr="007737EE">
        <w:rPr>
          <w:i/>
        </w:rPr>
        <w:t>funzionale</w:t>
      </w:r>
      <w:r>
        <w:t xml:space="preserve"> di tutta l’interpretazione giuridica, non solo in materia tributaria.  </w:t>
      </w:r>
    </w:p>
  </w:footnote>
  <w:footnote w:id="40">
    <w:p w14:paraId="6953C41B" w14:textId="77777777" w:rsidR="003B7460" w:rsidRDefault="003B7460" w:rsidP="00140E49">
      <w:pPr>
        <w:pStyle w:val="Testonotaapidipagina"/>
      </w:pPr>
      <w:r>
        <w:rPr>
          <w:rStyle w:val="Rimandonotaapidipagina"/>
        </w:rPr>
        <w:footnoteRef/>
      </w:r>
      <w:r>
        <w:t xml:space="preserve"> ) E’ insomma il tutto a spiegare le parti, non viceversa, ed anche l’insieme “privatistico-giurisdizionale” è una parte, sia pure cospicua. </w:t>
      </w:r>
    </w:p>
  </w:footnote>
  <w:footnote w:id="41">
    <w:p w14:paraId="180F8E2D" w14:textId="370CACCD" w:rsidR="003B7460" w:rsidRDefault="003B7460" w:rsidP="00D70572">
      <w:pPr>
        <w:pStyle w:val="Testonotaapidipagina"/>
      </w:pPr>
      <w:r>
        <w:rPr>
          <w:rStyle w:val="Rimandonotaapidipagina"/>
        </w:rPr>
        <w:footnoteRef/>
      </w:r>
      <w:r>
        <w:t xml:space="preserve"> ) Sui rapporti tra giurista come studioso sociale e avvocato, o magistrato, come tecnico, vedi par.4.4.</w:t>
      </w:r>
    </w:p>
  </w:footnote>
  <w:footnote w:id="42">
    <w:p w14:paraId="47123C76" w14:textId="05AD415A" w:rsidR="003B7460" w:rsidRDefault="003B7460" w:rsidP="0046353B">
      <w:pPr>
        <w:pStyle w:val="Testonotaapidipagina"/>
      </w:pPr>
      <w:r>
        <w:rPr>
          <w:rStyle w:val="Rimandonotaapidipagina"/>
        </w:rPr>
        <w:footnoteRef/>
      </w:r>
      <w:r>
        <w:t xml:space="preserve"> ) Vedasi paragrafo 6.1 sul procedimento e la normalità dell’esercizio unilaterale delle funzioni pubbliche; anche quella di giustizia, con la sua </w:t>
      </w:r>
      <w:proofErr w:type="spellStart"/>
      <w:r>
        <w:t>trilateralità</w:t>
      </w:r>
      <w:proofErr w:type="spellEnd"/>
      <w:r>
        <w:t xml:space="preserve">, può inoltre essere riportata allo schema generale dell’esercizio dei pubblici poteri, di cui la lite e la domanda costituiscono i presupposti. </w:t>
      </w:r>
    </w:p>
  </w:footnote>
  <w:footnote w:id="43">
    <w:p w14:paraId="2F2BB212" w14:textId="766DCBE5" w:rsidR="003B7460" w:rsidRPr="007F7EBF" w:rsidRDefault="003B7460" w:rsidP="00532919">
      <w:pPr>
        <w:pStyle w:val="Testonotaapidipagina"/>
      </w:pPr>
      <w:r w:rsidRPr="007F7EBF">
        <w:rPr>
          <w:rStyle w:val="Rimandonotaapidipagina"/>
        </w:rPr>
        <w:footnoteRef/>
      </w:r>
      <w:r w:rsidRPr="007F7EBF">
        <w:t xml:space="preserve"> ) </w:t>
      </w:r>
      <w:r>
        <w:t>L</w:t>
      </w:r>
      <w:r>
        <w:rPr>
          <w:sz w:val="22"/>
          <w:szCs w:val="22"/>
        </w:rPr>
        <w:t>o sfruttamento pacifico delle terre era possibile grazie a</w:t>
      </w:r>
      <w:r w:rsidRPr="007F7EBF">
        <w:rPr>
          <w:sz w:val="22"/>
          <w:szCs w:val="22"/>
        </w:rPr>
        <w:t>l potere politico-militare</w:t>
      </w:r>
      <w:r>
        <w:rPr>
          <w:sz w:val="22"/>
          <w:szCs w:val="22"/>
        </w:rPr>
        <w:t xml:space="preserve"> su di esse, con somiglianze tra imposte fondiarie e canoni di concessione terriera (D’Amati, La natura giuridica dell’imposta fondiaria, Milano, 1956). </w:t>
      </w:r>
    </w:p>
  </w:footnote>
  <w:footnote w:id="44">
    <w:p w14:paraId="0522BD07" w14:textId="77777777" w:rsidR="003B7460" w:rsidRDefault="003B7460" w:rsidP="00303B79">
      <w:pPr>
        <w:pStyle w:val="Testonotaapidipagina"/>
      </w:pPr>
      <w:r>
        <w:rPr>
          <w:rStyle w:val="Rimandonotaapidipagina"/>
        </w:rPr>
        <w:footnoteRef/>
      </w:r>
      <w:r>
        <w:t xml:space="preserve"> ) Rende l’idea la scena visibile digitando su </w:t>
      </w:r>
      <w:proofErr w:type="spellStart"/>
      <w:r>
        <w:t>youtube</w:t>
      </w:r>
      <w:proofErr w:type="spellEnd"/>
      <w:r>
        <w:t xml:space="preserve"> “Un Fiorino”. </w:t>
      </w:r>
    </w:p>
  </w:footnote>
  <w:footnote w:id="45">
    <w:p w14:paraId="5CC84666" w14:textId="77777777" w:rsidR="003B7460" w:rsidRPr="007F7EBF" w:rsidRDefault="003B7460">
      <w:pPr>
        <w:pStyle w:val="Testonotaapidipagina"/>
      </w:pPr>
      <w:r w:rsidRPr="007F7EBF">
        <w:rPr>
          <w:rStyle w:val="Rimandonotaapidipagina"/>
        </w:rPr>
        <w:footnoteRef/>
      </w:r>
      <w:r w:rsidRPr="007F7EBF">
        <w:t xml:space="preserve"> ) Anch’esso atto solenne, soggetto a una imposta romana del 5%, denominata </w:t>
      </w:r>
      <w:proofErr w:type="spellStart"/>
      <w:r w:rsidRPr="007F7EBF">
        <w:rPr>
          <w:i/>
        </w:rPr>
        <w:t>vicesima</w:t>
      </w:r>
      <w:proofErr w:type="spellEnd"/>
      <w:r w:rsidRPr="007F7EBF">
        <w:rPr>
          <w:i/>
        </w:rPr>
        <w:t xml:space="preserve"> </w:t>
      </w:r>
      <w:proofErr w:type="spellStart"/>
      <w:r w:rsidRPr="007F7EBF">
        <w:rPr>
          <w:i/>
        </w:rPr>
        <w:t>manumissionis</w:t>
      </w:r>
      <w:proofErr w:type="spellEnd"/>
      <w:r w:rsidRPr="007F7EBF">
        <w:t xml:space="preserve">. </w:t>
      </w:r>
    </w:p>
  </w:footnote>
  <w:footnote w:id="46">
    <w:p w14:paraId="0A41A581" w14:textId="74BD8C29" w:rsidR="003B7460" w:rsidRPr="007F7EBF" w:rsidRDefault="003B7460" w:rsidP="007538E6">
      <w:pPr>
        <w:pStyle w:val="Testonotaapidipagina"/>
      </w:pPr>
      <w:r w:rsidRPr="007F7EBF">
        <w:rPr>
          <w:rStyle w:val="Rimandonotaapidipagina"/>
        </w:rPr>
        <w:footnoteRef/>
      </w:r>
      <w:r w:rsidRPr="007F7EBF">
        <w:t xml:space="preserve"> ) L'espressione "focatico" si riferiva al focolare, sinonimo di nucleo familiare, </w:t>
      </w:r>
      <w:r>
        <w:t xml:space="preserve">mentre il </w:t>
      </w:r>
      <w:r w:rsidRPr="007F7EBF">
        <w:t xml:space="preserve">testatico considerava la persona, </w:t>
      </w:r>
      <w:r>
        <w:t xml:space="preserve">ma entrambe collegavano l’imposta alla </w:t>
      </w:r>
      <w:r w:rsidRPr="007F7EBF">
        <w:t>sussistenza, salve situazio</w:t>
      </w:r>
      <w:r>
        <w:t xml:space="preserve">ni di </w:t>
      </w:r>
      <w:r w:rsidRPr="007F7EBF">
        <w:t xml:space="preserve">povertà, socialmente riscontrabili nei piccoli gruppi sociali attraverso cui s’applicavano tali imposte.   </w:t>
      </w:r>
    </w:p>
  </w:footnote>
  <w:footnote w:id="47">
    <w:p w14:paraId="1376EF4D" w14:textId="6535F4E4" w:rsidR="003B7460" w:rsidRPr="007F7EBF" w:rsidRDefault="003B7460" w:rsidP="00404A8D">
      <w:pPr>
        <w:pStyle w:val="Testonotaapidipagina"/>
      </w:pPr>
      <w:r w:rsidRPr="007F7EBF">
        <w:rPr>
          <w:rStyle w:val="Rimandonotaapidipagina"/>
        </w:rPr>
        <w:footnoteRef/>
      </w:r>
      <w:r w:rsidRPr="007F7EBF">
        <w:t xml:space="preserve"> ) Cioè città, feudi, contrade rurali</w:t>
      </w:r>
      <w:r>
        <w:t>, che applicavano “focatico” e “testatico”.</w:t>
      </w:r>
    </w:p>
  </w:footnote>
  <w:footnote w:id="48">
    <w:p w14:paraId="54C7219B" w14:textId="69C960AE" w:rsidR="003B7460" w:rsidRPr="007F7EBF" w:rsidRDefault="003B7460" w:rsidP="00404A8D">
      <w:pPr>
        <w:pStyle w:val="Testonotaapidipagina"/>
      </w:pPr>
      <w:r w:rsidRPr="007F7EBF">
        <w:rPr>
          <w:rStyle w:val="Rimandonotaapidipagina"/>
        </w:rPr>
        <w:footnoteRef/>
      </w:r>
      <w:r w:rsidRPr="007F7EBF">
        <w:t xml:space="preserve"> ) </w:t>
      </w:r>
      <w:r>
        <w:t>Penso alle imposte denominate “decime”</w:t>
      </w:r>
      <w:r w:rsidRPr="007F7EBF">
        <w:t xml:space="preserve"> destinat</w:t>
      </w:r>
      <w:r>
        <w:t>e</w:t>
      </w:r>
      <w:r w:rsidRPr="007F7EBF">
        <w:t xml:space="preserve"> sia al clero  sia -per suo tramite- al potere civile. Lo stesso accadeva nel mondo musulmano per le confraternite di assistenz</w:t>
      </w:r>
      <w:r>
        <w:t>a</w:t>
      </w:r>
      <w:r w:rsidRPr="007F7EBF">
        <w:t xml:space="preserve"> alimentate dalla</w:t>
      </w:r>
      <w:r w:rsidRPr="007F7EBF">
        <w:rPr>
          <w:i/>
        </w:rPr>
        <w:t xml:space="preserve"> zakat</w:t>
      </w:r>
      <w:r w:rsidRPr="007F7EBF">
        <w:t xml:space="preserve"> </w:t>
      </w:r>
      <w:r>
        <w:t xml:space="preserve">, la cui doverosità religiosa la rende, in quel contesto, giuridicamente dovuta. </w:t>
      </w:r>
    </w:p>
  </w:footnote>
  <w:footnote w:id="49">
    <w:p w14:paraId="76611FD5" w14:textId="489582A8" w:rsidR="003B7460" w:rsidRPr="007F7EBF" w:rsidRDefault="003B7460" w:rsidP="00404A8D">
      <w:pPr>
        <w:pStyle w:val="Testonotaapidipagina"/>
      </w:pPr>
      <w:r w:rsidRPr="007F7EBF">
        <w:rPr>
          <w:rStyle w:val="Rimandonotaapidipagina"/>
        </w:rPr>
        <w:footnoteRef/>
      </w:r>
      <w:r w:rsidRPr="007F7EBF">
        <w:t xml:space="preserve"> ) </w:t>
      </w:r>
      <w:r>
        <w:t>Le corporazioni artigianali cooperavano nell’applicazione della “</w:t>
      </w:r>
      <w:proofErr w:type="spellStart"/>
      <w:r>
        <w:t>lustralis</w:t>
      </w:r>
      <w:proofErr w:type="spellEnd"/>
      <w:r>
        <w:t xml:space="preserve"> </w:t>
      </w:r>
      <w:proofErr w:type="spellStart"/>
      <w:r>
        <w:t>collatio</w:t>
      </w:r>
      <w:proofErr w:type="spellEnd"/>
      <w:r>
        <w:t xml:space="preserve">” dell’antica Roma, erogando somme complessive poi ripartite tra i loro membri. </w:t>
      </w:r>
    </w:p>
  </w:footnote>
  <w:footnote w:id="50">
    <w:p w14:paraId="070F1722" w14:textId="572DDB47" w:rsidR="003B7460" w:rsidRPr="007F7EBF" w:rsidRDefault="003B7460" w:rsidP="00404A8D">
      <w:pPr>
        <w:pStyle w:val="Testonotaapidipagina"/>
      </w:pPr>
      <w:r w:rsidRPr="007F7EBF">
        <w:rPr>
          <w:rStyle w:val="Rimandonotaapidipagina"/>
        </w:rPr>
        <w:footnoteRef/>
      </w:r>
      <w:r w:rsidRPr="007F7EBF">
        <w:t xml:space="preserve"> </w:t>
      </w:r>
      <w:r>
        <w:t xml:space="preserve">) </w:t>
      </w:r>
      <w:r w:rsidRPr="007F7EBF">
        <w:t>Il principio era quello secondo cui "chi più ha più dà", in una divisione idealmente simile a quella condominiale</w:t>
      </w:r>
      <w:r>
        <w:t>.</w:t>
      </w:r>
    </w:p>
  </w:footnote>
  <w:footnote w:id="51">
    <w:p w14:paraId="3960C0EB" w14:textId="757C3D05" w:rsidR="003B7460" w:rsidRPr="007F7EBF" w:rsidRDefault="003B7460" w:rsidP="00302E3E">
      <w:pPr>
        <w:pStyle w:val="Testonotaapidipagina"/>
      </w:pPr>
      <w:r w:rsidRPr="007F7EBF">
        <w:rPr>
          <w:rStyle w:val="Rimandonotaapidipagina"/>
        </w:rPr>
        <w:footnoteRef/>
      </w:r>
      <w:r w:rsidRPr="007F7EBF">
        <w:t xml:space="preserve"> </w:t>
      </w:r>
      <w:r>
        <w:t xml:space="preserve">) Anche per </w:t>
      </w:r>
      <w:r w:rsidRPr="007F7EBF">
        <w:t xml:space="preserve">l'allentamento dei vari vincoli di comunità, sia territoriali, sia etnico-religiosi, sia professionali. </w:t>
      </w:r>
    </w:p>
  </w:footnote>
  <w:footnote w:id="52">
    <w:p w14:paraId="7E407283" w14:textId="2722AFF1" w:rsidR="003B7460" w:rsidRDefault="003B7460" w:rsidP="008D4EE1">
      <w:pPr>
        <w:pStyle w:val="Testonotaapidipagina"/>
      </w:pPr>
      <w:r>
        <w:rPr>
          <w:rStyle w:val="Rimandonotaapidipagina"/>
        </w:rPr>
        <w:footnoteRef/>
      </w:r>
      <w:r>
        <w:t xml:space="preserve"> </w:t>
      </w:r>
      <w:r>
        <w:rPr>
          <w:sz w:val="22"/>
          <w:szCs w:val="22"/>
        </w:rPr>
        <w:t xml:space="preserve">Come avvenne per le </w:t>
      </w:r>
      <w:r>
        <w:t>nobili famiglie ostili a casa Medici nella Firenze del primo ‘400.</w:t>
      </w:r>
      <w:r w:rsidRPr="008D4EE1">
        <w:t xml:space="preserve"> </w:t>
      </w:r>
      <w:r>
        <w:t xml:space="preserve">Le valutazioni dei presupposti economici d’imposta per favorire gli amici o danneggiare nemici politici o personaggi “scomodi” sono stati una costante nella storia, cui si potrebbero dedicare tesi di laurea o dottorato. </w:t>
      </w:r>
    </w:p>
  </w:footnote>
  <w:footnote w:id="53">
    <w:p w14:paraId="6E17C210" w14:textId="5C7F2CEB" w:rsidR="003B7460" w:rsidRPr="007F7EBF" w:rsidRDefault="003B7460" w:rsidP="00962696">
      <w:pPr>
        <w:pStyle w:val="Testonotaapidipagina"/>
      </w:pPr>
      <w:r w:rsidRPr="007F7EBF">
        <w:rPr>
          <w:rStyle w:val="Rimandonotaapidipagina"/>
        </w:rPr>
        <w:footnoteRef/>
      </w:r>
      <w:r w:rsidRPr="007F7EBF">
        <w:t xml:space="preserve"> ) Analoga finalità di ripartizione tributaria aveva l’antica magistratura romana dei censori, destinati alla determinazione appunto del “censo”.</w:t>
      </w:r>
      <w:r>
        <w:t xml:space="preserve"> Vedremo invece  ai parr.8.2-8.4 che i</w:t>
      </w:r>
      <w:r w:rsidRPr="007F7EBF">
        <w:t xml:space="preserve">l catasto attuale </w:t>
      </w:r>
      <w:r>
        <w:t>riguarda solo</w:t>
      </w:r>
      <w:r w:rsidRPr="007F7EBF">
        <w:t xml:space="preserve"> fabbricati e terreni.</w:t>
      </w:r>
    </w:p>
  </w:footnote>
  <w:footnote w:id="54">
    <w:p w14:paraId="406D7B15" w14:textId="77777777" w:rsidR="003B7460" w:rsidRPr="007F7EBF" w:rsidRDefault="003B7460" w:rsidP="005E7925">
      <w:pPr>
        <w:pStyle w:val="Testonotaapidipagina"/>
      </w:pPr>
      <w:r w:rsidRPr="007F7EBF">
        <w:rPr>
          <w:rStyle w:val="Rimandonotaapidipagina"/>
        </w:rPr>
        <w:footnoteRef/>
      </w:r>
      <w:r w:rsidRPr="007F7EBF">
        <w:t xml:space="preserve"> ) </w:t>
      </w:r>
      <w:r>
        <w:t>Come i tributi sui non musulmani dell’antico Islam (</w:t>
      </w:r>
      <w:proofErr w:type="spellStart"/>
      <w:r>
        <w:t>Gizah</w:t>
      </w:r>
      <w:proofErr w:type="spellEnd"/>
      <w:r>
        <w:t xml:space="preserve">), cui si accompagnava </w:t>
      </w:r>
      <w:r w:rsidRPr="007F7EBF">
        <w:t>una larvata inferiorità sociale</w:t>
      </w:r>
      <w:r>
        <w:t xml:space="preserve"> di cristiani ed ebrei, comunque tutelati (Dhimmi)</w:t>
      </w:r>
      <w:r w:rsidRPr="007F7EBF">
        <w:t xml:space="preserve">.  </w:t>
      </w:r>
    </w:p>
  </w:footnote>
  <w:footnote w:id="55">
    <w:p w14:paraId="40DF6FEB" w14:textId="33FAA329" w:rsidR="003B7460" w:rsidRDefault="003B7460" w:rsidP="00AE7B0D">
      <w:pPr>
        <w:pStyle w:val="Testonotaapidipagina"/>
      </w:pPr>
      <w:r>
        <w:rPr>
          <w:rStyle w:val="Rimandonotaapidipagina"/>
        </w:rPr>
        <w:footnoteRef/>
      </w:r>
      <w:r>
        <w:t xml:space="preserve"> ) </w:t>
      </w:r>
      <w:r>
        <w:rPr>
          <w:sz w:val="22"/>
          <w:szCs w:val="22"/>
        </w:rPr>
        <w:t xml:space="preserve">Si tratta degli esattori di cui al par.6.11, i quali avevano di fatto una convenienza gestionale a chiedere relativamente di più a pochi contribuenti, che di meno a un loro numero maggiore, creando anche più malcontento politico (siccome pagare le imposte infastidisce, una richiesta diffusa, </w:t>
      </w:r>
      <w:proofErr w:type="spellStart"/>
      <w:r>
        <w:rPr>
          <w:sz w:val="22"/>
          <w:szCs w:val="22"/>
        </w:rPr>
        <w:t>ancorchè</w:t>
      </w:r>
      <w:proofErr w:type="spellEnd"/>
      <w:r>
        <w:rPr>
          <w:sz w:val="22"/>
          <w:szCs w:val="22"/>
        </w:rPr>
        <w:t xml:space="preserve"> perequata, si riflette più negativamente sul consenso politico, con buona pace dello slogan </w:t>
      </w:r>
      <w:r>
        <w:rPr>
          <w:i/>
          <w:iCs/>
          <w:sz w:val="22"/>
          <w:szCs w:val="22"/>
        </w:rPr>
        <w:t>pagare meno pagare tutti</w:t>
      </w:r>
      <w:r>
        <w:rPr>
          <w:sz w:val="22"/>
          <w:szCs w:val="22"/>
        </w:rPr>
        <w:t>).</w:t>
      </w:r>
    </w:p>
  </w:footnote>
  <w:footnote w:id="56">
    <w:p w14:paraId="3875A134" w14:textId="136D3378" w:rsidR="003B7460" w:rsidRPr="007F7EBF" w:rsidRDefault="003B7460" w:rsidP="00855C2A">
      <w:pPr>
        <w:pStyle w:val="Testonotaapidipagina"/>
      </w:pPr>
      <w:r w:rsidRPr="007F7EBF">
        <w:rPr>
          <w:rStyle w:val="Rimandonotaapidipagina"/>
        </w:rPr>
        <w:footnoteRef/>
      </w:r>
      <w:r w:rsidRPr="007F7EBF">
        <w:t xml:space="preserve"> )</w:t>
      </w:r>
      <w:r>
        <w:t>Su questa matrice parr.3.1 e 3.9 sull’interpretazione</w:t>
      </w:r>
      <w:r w:rsidRPr="007F7EBF">
        <w:rPr>
          <w:bCs/>
        </w:rPr>
        <w:t xml:space="preserve">. </w:t>
      </w:r>
    </w:p>
  </w:footnote>
  <w:footnote w:id="57">
    <w:p w14:paraId="6AF91787" w14:textId="3DA25F14" w:rsidR="003B7460" w:rsidRPr="007F7EBF" w:rsidRDefault="003B7460" w:rsidP="008E4A4F">
      <w:pPr>
        <w:pStyle w:val="Testonotaapidipagina"/>
      </w:pPr>
      <w:r w:rsidRPr="007F7EBF">
        <w:rPr>
          <w:rStyle w:val="Rimandonotaapidipagina"/>
        </w:rPr>
        <w:footnoteRef/>
      </w:r>
      <w:r w:rsidRPr="007F7EBF">
        <w:t xml:space="preserve"> )</w:t>
      </w:r>
      <w:r>
        <w:t xml:space="preserve"> Che le aziende segnalano al fisco, o su cui applicano le ritenute alla fonte (par.3.6). Nella fase di acquisizione dei consumi viene invece applicata l’IVA</w:t>
      </w:r>
      <w:r w:rsidRPr="007F7EBF">
        <w:t xml:space="preserve">. </w:t>
      </w:r>
    </w:p>
  </w:footnote>
  <w:footnote w:id="58">
    <w:p w14:paraId="3F39AD45" w14:textId="0E3A4B16" w:rsidR="003B7460" w:rsidRDefault="003B7460">
      <w:pPr>
        <w:pStyle w:val="Testonotaapidipagina"/>
      </w:pPr>
      <w:r>
        <w:rPr>
          <w:rStyle w:val="Rimandonotaapidipagina"/>
        </w:rPr>
        <w:footnoteRef/>
      </w:r>
      <w:r>
        <w:t xml:space="preserve"> ) Dalle quali viene così ai fini tributari una “esternalità positiva”, intesa come </w:t>
      </w:r>
      <w:r w:rsidRPr="007F7EBF">
        <w:t xml:space="preserve">ricaduta socialmente utile della documentazione </w:t>
      </w:r>
      <w:r>
        <w:t>aziendale.</w:t>
      </w:r>
    </w:p>
  </w:footnote>
  <w:footnote w:id="59">
    <w:p w14:paraId="27267B03" w14:textId="3A2AC382" w:rsidR="003B7460" w:rsidRDefault="003B7460" w:rsidP="0041645E">
      <w:pPr>
        <w:pStyle w:val="Testonotaapidipagina"/>
      </w:pPr>
      <w:r>
        <w:rPr>
          <w:rStyle w:val="Rimandonotaapidipagina"/>
        </w:rPr>
        <w:footnoteRef/>
      </w:r>
      <w:r>
        <w:t xml:space="preserve"> ) In Italia questa consapevolezza è scarsa, per la carenza di spiegazioni scientifico sociali della funzione tributaria, cui è dedicato il cap.4. </w:t>
      </w:r>
    </w:p>
  </w:footnote>
  <w:footnote w:id="60">
    <w:p w14:paraId="5C9B5461" w14:textId="5902F354" w:rsidR="003B7460" w:rsidRPr="007F7EBF" w:rsidRDefault="003B7460" w:rsidP="008E4A4F">
      <w:pPr>
        <w:pStyle w:val="Testonotaapidipagina"/>
      </w:pPr>
      <w:r w:rsidRPr="007F7EBF">
        <w:rPr>
          <w:rStyle w:val="Rimandonotaapidipagina"/>
        </w:rPr>
        <w:footnoteRef/>
      </w:r>
      <w:r w:rsidRPr="007F7EBF">
        <w:t xml:space="preserve"> ) </w:t>
      </w:r>
      <w:r>
        <w:t xml:space="preserve">Vedremo al par.3.2 e 7.7 le principali procedure aziendali </w:t>
      </w:r>
      <w:r>
        <w:rPr>
          <w:sz w:val="22"/>
          <w:szCs w:val="22"/>
        </w:rPr>
        <w:t xml:space="preserve">di rilevazione delle astrazioni economiche di cui al par.1.8. Già da ora è intuibile che i gruppi sociali sono astrazioni, senza  bisogni personali da soddisfare con la ricchezza derivante all’alterata rappresentazione degli imponibili, destinata a persone fisiche, indicate ai parr.3.7 e 3.8. </w:t>
      </w:r>
      <w:r w:rsidRPr="007F7EBF">
        <w:t xml:space="preserve"> </w:t>
      </w:r>
    </w:p>
  </w:footnote>
  <w:footnote w:id="61">
    <w:p w14:paraId="2DEB4C13" w14:textId="77777777" w:rsidR="003B7460" w:rsidRPr="007F7EBF" w:rsidRDefault="003B7460" w:rsidP="006B0FD4">
      <w:pPr>
        <w:pStyle w:val="Testonotaapidipagina"/>
      </w:pPr>
      <w:r w:rsidRPr="007F7EBF">
        <w:rPr>
          <w:rStyle w:val="Rimandonotaapidipagina"/>
        </w:rPr>
        <w:footnoteRef/>
      </w:r>
      <w:r w:rsidRPr="007F7EBF">
        <w:t xml:space="preserve"> La sperequazione fa sentire qualcuno discriminato negativamente, e abitua altri a una situazione oggettivamente fortunata, spingendoli a difenderla; ne derivano le polemiche sull’evasione di cui al par. 4.6.</w:t>
      </w:r>
    </w:p>
  </w:footnote>
  <w:footnote w:id="62">
    <w:p w14:paraId="72803096" w14:textId="38E8B714" w:rsidR="003B7460" w:rsidRPr="007F7EBF" w:rsidRDefault="003B7460" w:rsidP="00FA5891">
      <w:pPr>
        <w:pStyle w:val="Testonotaapidipagina"/>
      </w:pPr>
      <w:r w:rsidRPr="007F7EBF">
        <w:rPr>
          <w:rStyle w:val="Rimandonotaapidipagina"/>
        </w:rPr>
        <w:footnoteRef/>
      </w:r>
      <w:r w:rsidRPr="007F7EBF">
        <w:t xml:space="preserve"> ) </w:t>
      </w:r>
      <w:r>
        <w:t>Cioè non puntualizzato su categorie specifiche, salvo, in una certa misura, i lavoratori dipendenti e i pensionati senza altri redditi, tassati attraverso le aziende</w:t>
      </w:r>
      <w:r w:rsidRPr="007F7EBF">
        <w:t>.</w:t>
      </w:r>
      <w:r>
        <w:t xml:space="preserve"> Comunque è un interesse indiretto, perché indirizzato a una “maggior tassazione di altri”, nella speranza di una minor tassazione propria. Dallo slogan “pagare meno pagare tutti”, indicato nel testo, è breve il passaggio all’“io pago se pagano tutti”, con la preoccupazione italica di “non sentirsi stupidi” (par.</w:t>
      </w:r>
      <w:r w:rsidRPr="00FE3595">
        <w:t xml:space="preserve"> </w:t>
      </w:r>
      <w:r>
        <w:t xml:space="preserve">4.1). </w:t>
      </w:r>
    </w:p>
  </w:footnote>
  <w:footnote w:id="63">
    <w:p w14:paraId="5AE48940" w14:textId="77777777" w:rsidR="003B7460" w:rsidRDefault="003B7460" w:rsidP="00A9653F">
      <w:pPr>
        <w:pStyle w:val="Testonotaapidipagina"/>
      </w:pPr>
      <w:r>
        <w:rPr>
          <w:rStyle w:val="Rimandonotaapidipagina"/>
        </w:rPr>
        <w:footnoteRef/>
      </w:r>
      <w:r>
        <w:t xml:space="preserve"> ) Definito equivocamente “interesse fiscale”, con commistioni di piani in cui cade spesso sia la pubblica opinione sia Corte Costituzionale, come vedremo al par.2.2. </w:t>
      </w:r>
    </w:p>
  </w:footnote>
  <w:footnote w:id="64">
    <w:p w14:paraId="4CE26DB8" w14:textId="2D5EB491" w:rsidR="003B7460" w:rsidRPr="007F7EBF" w:rsidRDefault="003B7460" w:rsidP="00162A7C">
      <w:pPr>
        <w:pStyle w:val="Testonotaapidipagina"/>
      </w:pPr>
      <w:r w:rsidRPr="007F7EBF">
        <w:rPr>
          <w:rStyle w:val="Rimandonotaapidipagina"/>
        </w:rPr>
        <w:footnoteRef/>
      </w:r>
      <w:r w:rsidRPr="007F7EBF">
        <w:t xml:space="preserve"> ) </w:t>
      </w:r>
      <w:r>
        <w:t>Cfr. gli</w:t>
      </w:r>
      <w:r w:rsidRPr="007F7EBF">
        <w:t xml:space="preserve"> economisti </w:t>
      </w:r>
      <w:proofErr w:type="spellStart"/>
      <w:r w:rsidRPr="007F7EBF">
        <w:t>Allingham</w:t>
      </w:r>
      <w:proofErr w:type="spellEnd"/>
      <w:r w:rsidRPr="007F7EBF">
        <w:t xml:space="preserve"> e </w:t>
      </w:r>
      <w:proofErr w:type="spellStart"/>
      <w:r w:rsidRPr="007F7EBF">
        <w:t>Sandmo</w:t>
      </w:r>
      <w:proofErr w:type="spellEnd"/>
      <w:r w:rsidRPr="007F7EBF">
        <w:t xml:space="preserve"> negli anni settanta del secolo scorso (1972), </w:t>
      </w:r>
      <w:r>
        <w:t>mentre nel diritto, in quanto “tecnico”, e non di studio sociale, analoghe spiegazioni mancano</w:t>
      </w:r>
      <w:r w:rsidRPr="007F7EBF">
        <w:t>.</w:t>
      </w:r>
    </w:p>
  </w:footnote>
  <w:footnote w:id="65">
    <w:p w14:paraId="4A47E3BD" w14:textId="77777777" w:rsidR="003B7460" w:rsidRPr="007F7EBF" w:rsidRDefault="003B7460" w:rsidP="00A2552A">
      <w:pPr>
        <w:pStyle w:val="Testonotaapidipagina"/>
      </w:pPr>
      <w:r w:rsidRPr="007F7EBF">
        <w:rPr>
          <w:rStyle w:val="Rimandonotaapidipagina"/>
        </w:rPr>
        <w:footnoteRef/>
      </w:r>
      <w:r w:rsidRPr="007F7EBF">
        <w:t xml:space="preserve"> ) </w:t>
      </w:r>
      <w:r>
        <w:t>Sulla diversa determinabilità, documentale e valutativa, della ricchezza già paragrafo 1.4, 1.11 ss</w:t>
      </w:r>
      <w:r w:rsidRPr="007F7EBF">
        <w:t>.</w:t>
      </w:r>
    </w:p>
  </w:footnote>
  <w:footnote w:id="66">
    <w:p w14:paraId="42F89EC7" w14:textId="77777777" w:rsidR="003B7460" w:rsidRPr="007F7EBF" w:rsidRDefault="003B7460" w:rsidP="00A2552A">
      <w:pPr>
        <w:pStyle w:val="Testonotaapidipagina"/>
      </w:pPr>
      <w:r w:rsidRPr="007F7EBF">
        <w:rPr>
          <w:rStyle w:val="Rimandonotaapidipagina"/>
        </w:rPr>
        <w:footnoteRef/>
      </w:r>
      <w:r w:rsidRPr="007F7EBF">
        <w:t xml:space="preserve"> </w:t>
      </w:r>
      <w:r>
        <w:t xml:space="preserve">) </w:t>
      </w:r>
      <w:r w:rsidRPr="007F7EBF">
        <w:t>Confrontando i dati dei consumi di contabilità nazionale con i consumi stimati in base alle dichiarazioni IVA.</w:t>
      </w:r>
    </w:p>
  </w:footnote>
  <w:footnote w:id="67">
    <w:p w14:paraId="56F01F51" w14:textId="77777777" w:rsidR="003B7460" w:rsidRDefault="003B7460" w:rsidP="00A2552A">
      <w:pPr>
        <w:pStyle w:val="Testonotaapidipagina"/>
      </w:pPr>
      <w:r>
        <w:rPr>
          <w:rStyle w:val="Rimandonotaapidipagina"/>
        </w:rPr>
        <w:footnoteRef/>
      </w:r>
      <w:r>
        <w:t xml:space="preserve"> ) Ricordiamo dal pa</w:t>
      </w:r>
      <w:r>
        <w:rPr>
          <w:sz w:val="22"/>
          <w:szCs w:val="22"/>
        </w:rPr>
        <w:t>r.3.13, 3.14, 3.15</w:t>
      </w:r>
      <w:r w:rsidRPr="000F1877">
        <w:rPr>
          <w:sz w:val="22"/>
          <w:szCs w:val="22"/>
        </w:rPr>
        <w:t xml:space="preserve"> </w:t>
      </w:r>
      <w:r>
        <w:rPr>
          <w:sz w:val="22"/>
          <w:szCs w:val="22"/>
        </w:rPr>
        <w:t xml:space="preserve">che il piccolo commercio, l’artigianato e le piccole organizzazioni “padronali”, con alcune decine di addetti hanno proporzionalmente un peso maggiore in </w:t>
      </w:r>
      <w:r w:rsidRPr="007F7EBF">
        <w:rPr>
          <w:sz w:val="22"/>
          <w:szCs w:val="22"/>
        </w:rPr>
        <w:t>Italia</w:t>
      </w:r>
      <w:r>
        <w:rPr>
          <w:sz w:val="22"/>
          <w:szCs w:val="22"/>
        </w:rPr>
        <w:t>, rispetto ad altre nazioni.</w:t>
      </w:r>
    </w:p>
  </w:footnote>
  <w:footnote w:id="68">
    <w:p w14:paraId="54EE5D43" w14:textId="77777777" w:rsidR="003B7460" w:rsidRPr="007F7EBF" w:rsidRDefault="003B7460" w:rsidP="00A2552A">
      <w:pPr>
        <w:pStyle w:val="Testonotaapidipagina"/>
      </w:pPr>
      <w:r w:rsidRPr="007F7EBF">
        <w:rPr>
          <w:rStyle w:val="Rimandonotaapidipagina"/>
        </w:rPr>
        <w:footnoteRef/>
      </w:r>
      <w:r w:rsidRPr="007F7EBF">
        <w:t xml:space="preserve"> ) Si pensi a chi dichiara 100 mila euro, evadendone altrettanti.</w:t>
      </w:r>
    </w:p>
  </w:footnote>
  <w:footnote w:id="69">
    <w:p w14:paraId="577CB053" w14:textId="77777777" w:rsidR="003B7460" w:rsidRPr="007F7EBF" w:rsidRDefault="003B7460" w:rsidP="00A2552A">
      <w:pPr>
        <w:pStyle w:val="Testonotaapidipagina"/>
      </w:pPr>
      <w:r w:rsidRPr="007F7EBF">
        <w:rPr>
          <w:rStyle w:val="Rimandonotaapidipagina"/>
        </w:rPr>
        <w:footnoteRef/>
      </w:r>
      <w:r w:rsidRPr="007F7EBF">
        <w:t xml:space="preserve"> Tra cui i “fuori busta” dei lavoratori dipendenti</w:t>
      </w:r>
      <w:r>
        <w:t xml:space="preserve"> e </w:t>
      </w:r>
      <w:r w:rsidRPr="007F7EBF">
        <w:t xml:space="preserve">l’evasione da riscossione (par.6.11). </w:t>
      </w:r>
    </w:p>
  </w:footnote>
  <w:footnote w:id="70">
    <w:p w14:paraId="658549F3" w14:textId="77777777" w:rsidR="003B7460" w:rsidRDefault="003B7460" w:rsidP="00A2552A">
      <w:pPr>
        <w:pStyle w:val="Testonotaapidipagina"/>
      </w:pPr>
      <w:r>
        <w:rPr>
          <w:rStyle w:val="Rimandonotaapidipagina"/>
        </w:rPr>
        <w:footnoteRef/>
      </w:r>
      <w:r>
        <w:t xml:space="preserve"> ) Come gli affitti in nero di cui al par.8.4. </w:t>
      </w:r>
    </w:p>
  </w:footnote>
  <w:footnote w:id="71">
    <w:p w14:paraId="4572DB66" w14:textId="77777777" w:rsidR="003B7460" w:rsidRDefault="003B7460" w:rsidP="00A2552A">
      <w:pPr>
        <w:pStyle w:val="Testonotaapidipagina"/>
      </w:pPr>
      <w:r>
        <w:rPr>
          <w:rStyle w:val="Rimandonotaapidipagina"/>
        </w:rPr>
        <w:footnoteRef/>
      </w:r>
      <w:r>
        <w:t xml:space="preserve"> ) Forse per timore di etichettare socialmente l’evasione, innescando le polemiche di cui al par.4.6.</w:t>
      </w:r>
      <w:r w:rsidRPr="002804A8">
        <w:t xml:space="preserve"> </w:t>
      </w:r>
      <w:r w:rsidRPr="007F7EBF">
        <w:t xml:space="preserve">La quantificazione dell’evasione è talmente </w:t>
      </w:r>
      <w:r>
        <w:t>sfuggente</w:t>
      </w:r>
      <w:r w:rsidRPr="007F7EBF">
        <w:t xml:space="preserve"> che la legge delega fiscale del 2015 ha previsto l’istituzione di una commissione per effettuarne la stima. E’ la conferma che la legge non insegna, ma casomai “riflette”</w:t>
      </w:r>
      <w:r>
        <w:t xml:space="preserve"> </w:t>
      </w:r>
      <w:r w:rsidRPr="007F7EBF">
        <w:t>le tendenze di opinione diffuse nella società</w:t>
      </w:r>
      <w:r>
        <w:t xml:space="preserve"> e le loro confusioni.</w:t>
      </w:r>
    </w:p>
  </w:footnote>
  <w:footnote w:id="72">
    <w:p w14:paraId="6257B603" w14:textId="77777777" w:rsidR="003B7460" w:rsidRPr="007F7EBF" w:rsidRDefault="003B7460" w:rsidP="00A2552A">
      <w:pPr>
        <w:pStyle w:val="Testonotaapidipagina"/>
      </w:pPr>
      <w:r w:rsidRPr="007F7EBF">
        <w:rPr>
          <w:rStyle w:val="Rimandonotaapidipagina"/>
        </w:rPr>
        <w:footnoteRef/>
      </w:r>
      <w:r w:rsidRPr="007F7EBF">
        <w:t xml:space="preserve"> ) Si pensi al piccolo commercio e all’artigianato di cui al par.3.13 nonché alle attività senza sede fissa di cui al par.3.15. </w:t>
      </w:r>
    </w:p>
  </w:footnote>
  <w:footnote w:id="73">
    <w:p w14:paraId="59EE88C0" w14:textId="77777777" w:rsidR="003B7460" w:rsidRPr="007F7EBF" w:rsidRDefault="003B7460" w:rsidP="00A2552A">
      <w:pPr>
        <w:pStyle w:val="Testonotaapidipagina"/>
      </w:pPr>
      <w:r w:rsidRPr="007F7EBF">
        <w:rPr>
          <w:rStyle w:val="Rimandonotaapidipagina"/>
        </w:rPr>
        <w:footnoteRef/>
      </w:r>
      <w:r w:rsidRPr="007F7EBF">
        <w:t xml:space="preserve"> E’</w:t>
      </w:r>
      <w:r>
        <w:t xml:space="preserve"> </w:t>
      </w:r>
      <w:r w:rsidRPr="007F7EBF">
        <w:t>però verosimile che una parte di "attività sommerse" rimarrebbero perché troppo difficili da individuare.</w:t>
      </w:r>
    </w:p>
  </w:footnote>
  <w:footnote w:id="74">
    <w:p w14:paraId="2F010AAA" w14:textId="77777777" w:rsidR="003B7460" w:rsidRDefault="003B7460" w:rsidP="00A2552A">
      <w:pPr>
        <w:pStyle w:val="Testonotaapidipagina"/>
      </w:pPr>
      <w:r>
        <w:rPr>
          <w:rStyle w:val="Rimandonotaapidipagina"/>
        </w:rPr>
        <w:footnoteRef/>
      </w:r>
      <w:r>
        <w:t xml:space="preserve"> ) La funzione tributaria è una delle funzioni pubbliche di base, la cui inefficienza non è mai positiva, a differenza di mode burocratiche contingenti come privacy, antiriciclaggio, e altre indicate al par.6.13.</w:t>
      </w:r>
    </w:p>
  </w:footnote>
  <w:footnote w:id="75">
    <w:p w14:paraId="462DF2F3" w14:textId="77777777" w:rsidR="003B7460" w:rsidRPr="007F7EBF" w:rsidRDefault="003B7460" w:rsidP="00A2552A">
      <w:pPr>
        <w:pStyle w:val="Testonotaapidipagina"/>
      </w:pPr>
      <w:r w:rsidRPr="007F7EBF">
        <w:rPr>
          <w:rStyle w:val="Rimandonotaapidipagina"/>
        </w:rPr>
        <w:footnoteRef/>
      </w:r>
      <w:r w:rsidRPr="007F7EBF">
        <w:t xml:space="preserve"> ) La carenza di controlli valutativi</w:t>
      </w:r>
      <w:r>
        <w:t xml:space="preserve"> degli uffici tributari</w:t>
      </w:r>
      <w:r w:rsidRPr="007F7EBF">
        <w:t xml:space="preserve"> </w:t>
      </w:r>
      <w:r>
        <w:t xml:space="preserve">(par.5.2) </w:t>
      </w:r>
      <w:r w:rsidRPr="007F7EBF">
        <w:t xml:space="preserve">diventa quindi, di fatto, una pasticciata “esenzione del “minimo vitale” (par.2.2) </w:t>
      </w:r>
      <w:r>
        <w:t xml:space="preserve">di piccoli commercianti, artigiani, e altri con </w:t>
      </w:r>
      <w:r w:rsidRPr="007F7EBF">
        <w:t>sfuggenti, sperequa</w:t>
      </w:r>
      <w:r>
        <w:t>ta</w:t>
      </w:r>
      <w:r w:rsidRPr="007F7EBF">
        <w:t xml:space="preserve"> a danno </w:t>
      </w:r>
      <w:r>
        <w:t>d</w:t>
      </w:r>
      <w:r w:rsidRPr="007F7EBF">
        <w:t xml:space="preserve">i </w:t>
      </w:r>
      <w:r>
        <w:t xml:space="preserve">chi percepisce </w:t>
      </w:r>
      <w:r w:rsidRPr="007F7EBF">
        <w:t>redditi bassi</w:t>
      </w:r>
      <w:r>
        <w:t xml:space="preserve">, tassati </w:t>
      </w:r>
      <w:r w:rsidRPr="007F7EBF">
        <w:t xml:space="preserve">attraverso organizzazioni amministrative. </w:t>
      </w:r>
    </w:p>
  </w:footnote>
  <w:footnote w:id="76">
    <w:p w14:paraId="6BCE31DC" w14:textId="77777777" w:rsidR="003B7460" w:rsidRPr="007F7EBF" w:rsidRDefault="003B7460" w:rsidP="00A2552A">
      <w:pPr>
        <w:pStyle w:val="Testonotaapidipagina"/>
      </w:pPr>
      <w:r w:rsidRPr="007F7EBF">
        <w:rPr>
          <w:rStyle w:val="Rimandonotaapidipagina"/>
        </w:rPr>
        <w:footnoteRef/>
      </w:r>
      <w:r w:rsidRPr="007F7EBF">
        <w:t xml:space="preserve"> ) Che al par.3.13 avevamo chiamato “massa tributaria manovrabile”, pagati i fornitori, cioè comprensiva di IVA, Irpef, Contributi. Includendo l’IVA  questa partecipazione dello stato e degli enti pubblici alla ricchezza è di quasi il 70 percento. </w:t>
      </w:r>
    </w:p>
  </w:footnote>
  <w:footnote w:id="77">
    <w:p w14:paraId="605BC01A" w14:textId="77777777" w:rsidR="003B7460" w:rsidRPr="007F7EBF" w:rsidRDefault="003B7460" w:rsidP="00A2552A">
      <w:pPr>
        <w:pStyle w:val="Testonotaapidipagina"/>
      </w:pPr>
      <w:r w:rsidRPr="007F7EBF">
        <w:rPr>
          <w:rStyle w:val="Rimandonotaapidipagina"/>
        </w:rPr>
        <w:footnoteRef/>
      </w:r>
      <w:r w:rsidRPr="007F7EBF">
        <w:t xml:space="preserve"> Insomma, con una metafora efficace evadono tendenzialmente i poveri, che hanno poco, ma sono tanti. Anche per questo è fallace l’idea che l’evasione dipenda dalle aliquote (par.4.5), e sono illusori i propositi di contenerla con la c.d. “</w:t>
      </w:r>
      <w:proofErr w:type="spellStart"/>
      <w:r w:rsidRPr="007F7EBF">
        <w:t>flat</w:t>
      </w:r>
      <w:proofErr w:type="spellEnd"/>
      <w:r w:rsidRPr="007F7EBF">
        <w:t xml:space="preserve"> tax”, che magari si giustifica sotto altri profili (par.9.4).</w:t>
      </w:r>
    </w:p>
  </w:footnote>
  <w:footnote w:id="78">
    <w:p w14:paraId="3AE596F6" w14:textId="77777777" w:rsidR="003B7460" w:rsidRPr="007F7EBF" w:rsidRDefault="003B7460" w:rsidP="00A2552A">
      <w:pPr>
        <w:pStyle w:val="Testonotaapidipagina"/>
      </w:pPr>
      <w:r w:rsidRPr="007F7EBF">
        <w:rPr>
          <w:rStyle w:val="Rimandonotaapidipagina"/>
        </w:rPr>
        <w:footnoteRef/>
      </w:r>
      <w:r w:rsidRPr="007F7EBF">
        <w:t xml:space="preserve"> ) Che sembra una versione paradossale delle teorie del “minimo vitale” di cui al par.2.2 a proposito della capacità contributiva, e del suo proposito di fronteggiare il disagio sociale con riduzioni di imposte. Ai lavoratori indipendenti a basso reddito non si concedono sussidi, che dovrebbero essere gestiti amministrativamente, ma si rimedia con una specie di ipocrita licenza di evadere, dettata solo dalla mancanza di spiegazioni sociali e dalla connessa disorganizzazione amministrativa. </w:t>
      </w:r>
    </w:p>
  </w:footnote>
  <w:footnote w:id="79">
    <w:p w14:paraId="14DD3C54" w14:textId="77777777" w:rsidR="003B7460" w:rsidRPr="007F7EBF" w:rsidRDefault="003B7460" w:rsidP="00A2552A">
      <w:pPr>
        <w:pStyle w:val="Testonotaapidipagina"/>
      </w:pPr>
      <w:r w:rsidRPr="007F7EBF">
        <w:rPr>
          <w:rStyle w:val="Rimandonotaapidipagina"/>
        </w:rPr>
        <w:footnoteRef/>
      </w:r>
      <w:r w:rsidRPr="007F7EBF">
        <w:t xml:space="preserve"> ) Denominato anche “tax compliance”, come più volte avvertito. </w:t>
      </w:r>
    </w:p>
  </w:footnote>
  <w:footnote w:id="80">
    <w:p w14:paraId="066017A5" w14:textId="224AFD75" w:rsidR="003B7460" w:rsidRPr="007F7EBF" w:rsidRDefault="003B7460" w:rsidP="00A2552A">
      <w:pPr>
        <w:pStyle w:val="Testonotaapidipagina"/>
      </w:pPr>
      <w:r w:rsidRPr="007F7EBF">
        <w:rPr>
          <w:rStyle w:val="Rimandonotaapidipagina"/>
        </w:rPr>
        <w:footnoteRef/>
      </w:r>
      <w:r w:rsidRPr="007F7EBF">
        <w:t xml:space="preserve"> ) Sull’</w:t>
      </w:r>
      <w:proofErr w:type="spellStart"/>
      <w:r w:rsidRPr="007F7EBF">
        <w:t>autorazzismo</w:t>
      </w:r>
      <w:proofErr w:type="spellEnd"/>
      <w:r w:rsidRPr="007F7EBF">
        <w:t xml:space="preserve"> par.</w:t>
      </w:r>
      <w:r w:rsidRPr="00FE3595">
        <w:t xml:space="preserve"> </w:t>
      </w:r>
      <w:r>
        <w:t>4.1</w:t>
      </w:r>
      <w:r w:rsidRPr="007F7EBF">
        <w:t xml:space="preserve">, mentre sulla spiegazione dell’evasione con una fantomatica scarsità di senso civico par.4.5. </w:t>
      </w:r>
    </w:p>
  </w:footnote>
  <w:footnote w:id="81">
    <w:p w14:paraId="2F77C01A" w14:textId="77777777" w:rsidR="003B7460" w:rsidRPr="007F7EBF" w:rsidRDefault="003B7460" w:rsidP="00A2552A">
      <w:pPr>
        <w:pStyle w:val="Testonotaapidipagina"/>
      </w:pPr>
      <w:r w:rsidRPr="007F7EBF">
        <w:rPr>
          <w:rStyle w:val="Rimandonotaapidipagina"/>
        </w:rPr>
        <w:footnoteRef/>
      </w:r>
      <w:r w:rsidRPr="007F7EBF">
        <w:t xml:space="preserve"> La sensazione di evasione suscitata dalle medie dei ricavi e dei redditi dichiarati dagli operatori economici individuali, è insomma molto inferiore a quanto ci si aspetterebbe in relazione alla scarsa sistematicità del controllo valutativo di queste aree economiche da parte degli uffici tributari (cfr. anche par.5.2 e 5.7). I ricavi e i redditi dichiarati sono insomma  </w:t>
      </w:r>
      <w:r w:rsidRPr="007F7EBF">
        <w:rPr>
          <w:i/>
        </w:rPr>
        <w:t>meno inverosimili</w:t>
      </w:r>
      <w:r w:rsidRPr="007F7EBF">
        <w:t xml:space="preserve"> di quanto potrebbero essere se i lavoratori indipendenti al consumo finale fossero consapevoli della sistematicità effettiva dell'intervento amministrativo.   </w:t>
      </w:r>
    </w:p>
  </w:footnote>
  <w:footnote w:id="82">
    <w:p w14:paraId="201170E6" w14:textId="77777777" w:rsidR="003B7460" w:rsidRPr="007F7EBF" w:rsidRDefault="003B7460" w:rsidP="00A2552A">
      <w:pPr>
        <w:pStyle w:val="Testonotaapidipagina"/>
      </w:pPr>
      <w:r w:rsidRPr="007F7EBF">
        <w:rPr>
          <w:rStyle w:val="Rimandonotaapidipagina"/>
        </w:rPr>
        <w:footnoteRef/>
      </w:r>
      <w:r w:rsidRPr="007F7EBF">
        <w:t xml:space="preserve"> ) Vedremo l’erroneità di queste teorie al par.4.5. </w:t>
      </w:r>
    </w:p>
  </w:footnote>
  <w:footnote w:id="83">
    <w:p w14:paraId="5824FE05" w14:textId="7415719F" w:rsidR="003B7460" w:rsidRPr="007F7EBF" w:rsidRDefault="003B7460" w:rsidP="00A2552A">
      <w:pPr>
        <w:pStyle w:val="Testonotaapidipagina"/>
      </w:pPr>
      <w:r w:rsidRPr="007F7EBF">
        <w:rPr>
          <w:rStyle w:val="Rimandonotaapidipagina"/>
        </w:rPr>
        <w:footnoteRef/>
      </w:r>
      <w:r w:rsidRPr="007F7EBF">
        <w:t xml:space="preserve"> ) Quando viene in considerazione il proprio tenore di vita, personale, familiare, e soprattutto comparato con altre persone e famiglie, il martellamento mediatico sull’”evasore” come capro espiatorio dei mali sociali (par.</w:t>
      </w:r>
      <w:r w:rsidRPr="00FE3595">
        <w:t xml:space="preserve"> </w:t>
      </w:r>
      <w:r>
        <w:t>4.1</w:t>
      </w:r>
      <w:r w:rsidRPr="007F7EBF">
        <w:t xml:space="preserve"> e 4.3) passa in secondo piano; in particolare passano in secondo piano le litanie su onestà e disonestà, compresi gli avventati spot sugli “evasori come parassiti sociali”, prontamente e giustamente ritirati, ma reperibili in rete. E’ un apparato mediatico-retorico irrilevante sul piano del gettito, perché il lavoratore indipendente tende in sede fissa </w:t>
      </w:r>
      <w:r>
        <w:t xml:space="preserve">si preoccupa già di </w:t>
      </w:r>
      <w:r w:rsidRPr="007F7EBF">
        <w:t>una rappresentazione credibile della propria attività,</w:t>
      </w:r>
      <w:r>
        <w:t xml:space="preserve"> sopravvalutando anche </w:t>
      </w:r>
      <w:r w:rsidRPr="007F7EBF">
        <w:t xml:space="preserve">i controlli. Questo stesso apparato retorico è invece controproducente sul piano sociale, del pubblico dibattito (par.4.6) e dell’efficienza amministrativa, come vedremo ai par.5.7 e 5.17 ss. </w:t>
      </w:r>
    </w:p>
  </w:footnote>
  <w:footnote w:id="84">
    <w:p w14:paraId="1E31F72F" w14:textId="77777777" w:rsidR="003B7460" w:rsidRPr="007F7EBF" w:rsidRDefault="003B7460" w:rsidP="00A2552A">
      <w:pPr>
        <w:pStyle w:val="Testonotaapidipagina"/>
      </w:pPr>
      <w:r w:rsidRPr="007F7EBF">
        <w:rPr>
          <w:rStyle w:val="Rimandonotaapidipagina"/>
        </w:rPr>
        <w:footnoteRef/>
      </w:r>
      <w:r w:rsidRPr="007F7EBF">
        <w:t xml:space="preserve"> ) Come indicato ai par.5.2 e 5.7. </w:t>
      </w:r>
    </w:p>
  </w:footnote>
  <w:footnote w:id="85">
    <w:p w14:paraId="7DE49917" w14:textId="77777777" w:rsidR="003B7460" w:rsidRPr="007F7EBF" w:rsidRDefault="003B7460" w:rsidP="00A2552A">
      <w:pPr>
        <w:pStyle w:val="Testonotaapidipagina"/>
      </w:pPr>
      <w:r w:rsidRPr="007F7EBF">
        <w:rPr>
          <w:rStyle w:val="Rimandonotaapidipagina"/>
        </w:rPr>
        <w:footnoteRef/>
      </w:r>
      <w:r w:rsidRPr="007F7EBF">
        <w:t xml:space="preserve"> </w:t>
      </w:r>
      <w:r>
        <w:t xml:space="preserve">) </w:t>
      </w:r>
      <w:r w:rsidRPr="007F7EBF">
        <w:t>Il tutto nei modi indicati ai paragrafi 4.6, 5.3 e 5.19.</w:t>
      </w:r>
    </w:p>
  </w:footnote>
  <w:footnote w:id="86">
    <w:p w14:paraId="2CDF6BCF" w14:textId="2F018AA2" w:rsidR="003B7460" w:rsidRDefault="003B7460" w:rsidP="00D13057">
      <w:pPr>
        <w:pStyle w:val="Testonotaapidipagina"/>
      </w:pPr>
      <w:r>
        <w:rPr>
          <w:rStyle w:val="Rimandonotaapidipagina"/>
        </w:rPr>
        <w:footnoteRef/>
      </w:r>
      <w:r>
        <w:t xml:space="preserve"> ) Il patrimonio è un concetto di chiusura, sulla cui minor precisione, che induce a utilizzarlo come soluzione di ripiego, cfr. par.10.4</w:t>
      </w:r>
    </w:p>
  </w:footnote>
  <w:footnote w:id="87">
    <w:p w14:paraId="51B88322" w14:textId="77777777" w:rsidR="003B7460" w:rsidRPr="007F7EBF" w:rsidRDefault="003B7460" w:rsidP="004F2139">
      <w:pPr>
        <w:pStyle w:val="Testonotaapidipagina"/>
      </w:pPr>
      <w:r w:rsidRPr="007F7EBF">
        <w:rPr>
          <w:rStyle w:val="Rimandonotaapidipagina"/>
        </w:rPr>
        <w:footnoteRef/>
      </w:r>
      <w:r w:rsidRPr="007F7EBF">
        <w:t xml:space="preserve"> ) Su questo sfondo va quindi contestualizzata l’accidentale locuzione “possesso di redditi”, inserita nell’art.1 del testo unico delle imposte sui redditi, a proposito di IRPEF; essa è tutt’al più un argomento interpretativo spendibile in situazioni in cui il reddito è ancora “illiquido” (par.7.11 sul momento impositivo e 9.3 sul caso particolare della restituzione di redditi). </w:t>
      </w:r>
    </w:p>
  </w:footnote>
  <w:footnote w:id="88">
    <w:p w14:paraId="220C5EE5" w14:textId="37B4983C" w:rsidR="003B7460" w:rsidRPr="007F7EBF" w:rsidRDefault="003B7460" w:rsidP="006729FA">
      <w:pPr>
        <w:pStyle w:val="Testonotaapidipagina"/>
      </w:pPr>
      <w:r w:rsidRPr="007F7EBF">
        <w:rPr>
          <w:rStyle w:val="Rimandonotaapidipagina"/>
        </w:rPr>
        <w:footnoteRef/>
      </w:r>
      <w:r w:rsidRPr="007F7EBF">
        <w:t xml:space="preserve"> </w:t>
      </w:r>
      <w:r>
        <w:t xml:space="preserve">) </w:t>
      </w:r>
      <w:r w:rsidRPr="007F7EBF">
        <w:t xml:space="preserve">Una tassazione "precisa", ma su pochi contribuenti, non è infatti "effettiva" se riferita ai contribuenti potenziali. Alle esigenze indicate nel testo si </w:t>
      </w:r>
      <w:proofErr w:type="spellStart"/>
      <w:r w:rsidRPr="007F7EBF">
        <w:t>collegan</w:t>
      </w:r>
      <w:proofErr w:type="spellEnd"/>
      <w:r w:rsidRPr="007F7EBF">
        <w:t xml:space="preserve"> oltre che varie sfumature del pubblico dibattito, anche le parole di Adam Smith (La ricchezza delle nazioni) secondo cui “</w:t>
      </w:r>
      <w:r w:rsidRPr="007F7EBF">
        <w:rPr>
          <w:i/>
        </w:rPr>
        <w:t>L’imposta che ogni individuo è tenuto a pagare deve essere certa e non arbitraria. Il tempo del pagamento, il modo di pagare, la somma dovuta, dovrebbero essere tutti chiari e semplici per il contribuente e per ogni altra persona</w:t>
      </w:r>
      <w:r w:rsidRPr="007F7EBF">
        <w:t>”. Queste condivisibili enunciazioni di principio del fondatore della scienza economica devono però fare i conti con la diversa determinabilità de</w:t>
      </w:r>
      <w:r>
        <w:t>i presupposti economici d’imposta</w:t>
      </w:r>
      <w:r w:rsidRPr="007F7EBF">
        <w:t>, fil</w:t>
      </w:r>
      <w:r>
        <w:t>o</w:t>
      </w:r>
      <w:r w:rsidRPr="007F7EBF">
        <w:t xml:space="preserve"> conduttor</w:t>
      </w:r>
      <w:r>
        <w:t xml:space="preserve">e </w:t>
      </w:r>
      <w:r w:rsidRPr="007F7EBF">
        <w:t>di questo libro</w:t>
      </w:r>
      <w:r>
        <w:t xml:space="preserve">. </w:t>
      </w:r>
    </w:p>
  </w:footnote>
  <w:footnote w:id="89">
    <w:p w14:paraId="4FA142CB" w14:textId="2361C742" w:rsidR="003B7460" w:rsidRPr="007F7EBF" w:rsidRDefault="003B7460" w:rsidP="006729FA">
      <w:pPr>
        <w:pStyle w:val="Testonotaapidipagina"/>
      </w:pPr>
      <w:r w:rsidRPr="007F7EBF">
        <w:rPr>
          <w:rStyle w:val="Rimandonotaapidipagina"/>
        </w:rPr>
        <w:footnoteRef/>
      </w:r>
      <w:r w:rsidRPr="007F7EBF">
        <w:t xml:space="preserve"> ) </w:t>
      </w:r>
      <w:r>
        <w:t xml:space="preserve">Sul concetto di “principi”, neutri sul piano delle preferenze, </w:t>
      </w:r>
      <w:r w:rsidRPr="007F7EBF">
        <w:t>par.</w:t>
      </w:r>
      <w:r>
        <w:t>1.3 e 4.7</w:t>
      </w:r>
      <w:r w:rsidRPr="007F7EBF">
        <w:t xml:space="preserve"> </w:t>
      </w:r>
      <w:r>
        <w:t>sugli studi sociali</w:t>
      </w:r>
      <w:r w:rsidRPr="007F7EBF">
        <w:t xml:space="preserve">. </w:t>
      </w:r>
    </w:p>
  </w:footnote>
  <w:footnote w:id="90">
    <w:p w14:paraId="67BAAA93" w14:textId="074CDEA0" w:rsidR="003B7460" w:rsidRDefault="003B7460">
      <w:pPr>
        <w:pStyle w:val="Testonotaapidipagina"/>
      </w:pPr>
      <w:r>
        <w:rPr>
          <w:rStyle w:val="Rimandonotaapidipagina"/>
        </w:rPr>
        <w:footnoteRef/>
      </w:r>
      <w:r>
        <w:t xml:space="preserve"> ) Cessione di beni o effettuazione di servizi, come indicato al par.7.6.</w:t>
      </w:r>
    </w:p>
  </w:footnote>
  <w:footnote w:id="91">
    <w:p w14:paraId="68774DE5" w14:textId="3AD80095" w:rsidR="003B7460" w:rsidRDefault="003B7460">
      <w:pPr>
        <w:pStyle w:val="Testonotaapidipagina"/>
      </w:pPr>
      <w:r>
        <w:rPr>
          <w:rStyle w:val="Rimandonotaapidipagina"/>
        </w:rPr>
        <w:footnoteRef/>
      </w:r>
      <w:r>
        <w:t xml:space="preserve"> ) Sulla possibilità che il corrispettivo sia anche “in natura” e sulla sua limitata rilevanza a prescindere dal pagamento parr.7.6 e 7.11.</w:t>
      </w:r>
    </w:p>
  </w:footnote>
  <w:footnote w:id="92">
    <w:p w14:paraId="2D5A52E4" w14:textId="733CC115" w:rsidR="003B7460" w:rsidRPr="007F7EBF" w:rsidRDefault="003B7460" w:rsidP="00CA0D94">
      <w:pPr>
        <w:pStyle w:val="Testonotaapidipagina"/>
      </w:pPr>
      <w:r w:rsidRPr="007F7EBF">
        <w:rPr>
          <w:rStyle w:val="Rimandonotaapidipagina"/>
        </w:rPr>
        <w:footnoteRef/>
      </w:r>
      <w:r w:rsidRPr="007F7EBF">
        <w:t xml:space="preserve"> ) I sussidi o il c.d. eventuale "reddito di cittadinanza" non sono redditi, ma sostegni al consumo da assistenz</w:t>
      </w:r>
      <w:r>
        <w:t>a pubblica</w:t>
      </w:r>
      <w:r w:rsidRPr="007F7EBF">
        <w:t xml:space="preserve">. </w:t>
      </w:r>
      <w:r>
        <w:t xml:space="preserve"> Neppure le entrate da</w:t>
      </w:r>
      <w:r w:rsidRPr="007F7EBF">
        <w:t xml:space="preserve"> </w:t>
      </w:r>
      <w:r>
        <w:t>f</w:t>
      </w:r>
      <w:r w:rsidRPr="007F7EBF">
        <w:t>urt</w:t>
      </w:r>
      <w:r>
        <w:t>i</w:t>
      </w:r>
      <w:r w:rsidRPr="007F7EBF">
        <w:t>, rapin</w:t>
      </w:r>
      <w:r>
        <w:t>e</w:t>
      </w:r>
      <w:r w:rsidRPr="007F7EBF">
        <w:t xml:space="preserve"> </w:t>
      </w:r>
      <w:r>
        <w:t xml:space="preserve">sono reddito (par.9.3), perché non vi corrisponde una prestazione, configurabile invece per i </w:t>
      </w:r>
      <w:r w:rsidRPr="007F7EBF">
        <w:t>redditi d</w:t>
      </w:r>
      <w:r>
        <w:t>a</w:t>
      </w:r>
      <w:r w:rsidRPr="007F7EBF">
        <w:t xml:space="preserve"> attività illecita</w:t>
      </w:r>
      <w:r>
        <w:t xml:space="preserve"> (vendita di sigarette di contrabbando)</w:t>
      </w:r>
      <w:r w:rsidRPr="007F7EBF">
        <w:t>, tassa</w:t>
      </w:r>
      <w:r>
        <w:t>bili i</w:t>
      </w:r>
      <w:r w:rsidRPr="007F7EBF">
        <w:t>n caso di mancata confisca.</w:t>
      </w:r>
      <w:r w:rsidRPr="00F75512">
        <w:t xml:space="preserve"> </w:t>
      </w:r>
      <w:r>
        <w:t xml:space="preserve">Sono imponibili, per </w:t>
      </w:r>
      <w:r w:rsidRPr="007F7EBF">
        <w:t>simmetria impositiva tra le parti</w:t>
      </w:r>
      <w:r>
        <w:t xml:space="preserve"> (p</w:t>
      </w:r>
      <w:r w:rsidRPr="007F7EBF">
        <w:t>ar.3.12</w:t>
      </w:r>
      <w:r>
        <w:t xml:space="preserve">), solo </w:t>
      </w:r>
      <w:r w:rsidRPr="007F7EBF">
        <w:t>gli alimenti al coniuge divorziato, deducibili per l’erogante</w:t>
      </w:r>
      <w:r>
        <w:t>.</w:t>
      </w:r>
    </w:p>
  </w:footnote>
  <w:footnote w:id="93">
    <w:p w14:paraId="2465FE52" w14:textId="0789C087" w:rsidR="003B7460" w:rsidRPr="007F7EBF" w:rsidRDefault="003B7460" w:rsidP="00CF24C4">
      <w:pPr>
        <w:pStyle w:val="Testonotaapidipagina"/>
      </w:pPr>
      <w:r w:rsidRPr="007F7EBF">
        <w:rPr>
          <w:rStyle w:val="Rimandonotaapidipagina"/>
        </w:rPr>
        <w:footnoteRef/>
      </w:r>
      <w:r w:rsidRPr="007F7EBF">
        <w:t xml:space="preserve"> </w:t>
      </w:r>
      <w:r>
        <w:t xml:space="preserve">Sul piano etimologico lo spunto indicato nel testo è assente nell’inglese </w:t>
      </w:r>
      <w:proofErr w:type="spellStart"/>
      <w:r>
        <w:rPr>
          <w:i/>
          <w:iCs/>
        </w:rPr>
        <w:t>income</w:t>
      </w:r>
      <w:proofErr w:type="spellEnd"/>
      <w:r>
        <w:t>.</w:t>
      </w:r>
    </w:p>
  </w:footnote>
  <w:footnote w:id="94">
    <w:p w14:paraId="76D1BEA7" w14:textId="2494C0F1" w:rsidR="003B7460" w:rsidRPr="007F7EBF" w:rsidRDefault="003B7460" w:rsidP="000509DF">
      <w:pPr>
        <w:pStyle w:val="Testonotaapidipagina"/>
      </w:pPr>
      <w:r w:rsidRPr="007F7EBF">
        <w:rPr>
          <w:rStyle w:val="Rimandonotaapidipagina"/>
        </w:rPr>
        <w:footnoteRef/>
      </w:r>
      <w:r w:rsidRPr="007F7EBF">
        <w:t xml:space="preserve"> ) </w:t>
      </w:r>
      <w:r>
        <w:t>Ne vedremo esempi al p</w:t>
      </w:r>
      <w:r w:rsidRPr="007F7EBF">
        <w:t xml:space="preserve">aragrafo </w:t>
      </w:r>
      <w:r>
        <w:t>par.8.6 sulle plusvalenze in generale</w:t>
      </w:r>
      <w:r w:rsidRPr="007F7EBF">
        <w:t xml:space="preserve"> </w:t>
      </w:r>
      <w:r>
        <w:t xml:space="preserve">e 8.5 </w:t>
      </w:r>
      <w:r w:rsidRPr="007F7EBF">
        <w:t>sulle plusvalenze su partecipazioni societarie</w:t>
      </w:r>
      <w:r>
        <w:t xml:space="preserve">, </w:t>
      </w:r>
      <w:r w:rsidRPr="007F7EBF">
        <w:t>par.8.5 sulle plusvalenze finanziarie</w:t>
      </w:r>
      <w:r>
        <w:t xml:space="preserve"> e</w:t>
      </w:r>
    </w:p>
  </w:footnote>
  <w:footnote w:id="95">
    <w:p w14:paraId="073773EA" w14:textId="71ABAF25" w:rsidR="003B7460" w:rsidRDefault="003B7460">
      <w:pPr>
        <w:pStyle w:val="Testonotaapidipagina"/>
      </w:pPr>
      <w:r>
        <w:rPr>
          <w:rStyle w:val="Rimandonotaapidipagina"/>
        </w:rPr>
        <w:footnoteRef/>
      </w:r>
      <w:r>
        <w:t xml:space="preserve"> I paesi che, anticamente tassavano le merci esportate applicavano in questo modo una rudimentale imposta sul reddito dei produttori, in quanto il consumo avveniva all’estero. </w:t>
      </w:r>
    </w:p>
  </w:footnote>
  <w:footnote w:id="96">
    <w:p w14:paraId="789041CF" w14:textId="068B5C16" w:rsidR="003B7460" w:rsidRDefault="003B7460" w:rsidP="00E150A5">
      <w:pPr>
        <w:pStyle w:val="Testonotaapidipagina"/>
      </w:pPr>
      <w:r>
        <w:rPr>
          <w:rStyle w:val="Rimandonotaapidipagina"/>
        </w:rPr>
        <w:footnoteRef/>
      </w:r>
      <w:r>
        <w:t xml:space="preserve"> ) In gergo aziendalistico si dice che le aziende con alto valore aggiunto   hanno un’”alta marginalità” rispetto ai costi.  Ad esempio un</w:t>
      </w:r>
      <w:r w:rsidRPr="007F7EBF">
        <w:rPr>
          <w:sz w:val="22"/>
          <w:szCs w:val="22"/>
        </w:rPr>
        <w:t xml:space="preserve">’azienda di pulizie, </w:t>
      </w:r>
      <w:r>
        <w:rPr>
          <w:sz w:val="22"/>
          <w:szCs w:val="22"/>
        </w:rPr>
        <w:t xml:space="preserve">ha maggior valore aggiunto, a parità di ricavi </w:t>
      </w:r>
      <w:r w:rsidRPr="007F7EBF">
        <w:rPr>
          <w:sz w:val="22"/>
          <w:szCs w:val="22"/>
        </w:rPr>
        <w:t>è “a maggior valore aggiunto” perché richiede</w:t>
      </w:r>
      <w:r>
        <w:rPr>
          <w:sz w:val="22"/>
          <w:szCs w:val="22"/>
        </w:rPr>
        <w:t xml:space="preserve"> </w:t>
      </w:r>
      <w:r w:rsidRPr="007F7EBF">
        <w:rPr>
          <w:sz w:val="22"/>
          <w:szCs w:val="22"/>
        </w:rPr>
        <w:t>pochi costi verso altre imprese, ed un notevole costo del lavoro, incluso nel "valore aggiunto".</w:t>
      </w:r>
      <w:r w:rsidRPr="00EE1CCF">
        <w:t xml:space="preserve"> </w:t>
      </w:r>
      <w:r>
        <w:t>Per un albergo, i costi di investimento immobiliare sono maggiori, ma fissi, cioè sostenuti solo con l’acquisto dell’immobile, il cui titolare, anche se diverso dall’albergatore (ad es. perché l’immobile è dato in locazione) godrà di una quota del valore aggiunto denominata “rendita immobiliare” e diversa dal profitto d’impresa.</w:t>
      </w:r>
    </w:p>
  </w:footnote>
  <w:footnote w:id="97">
    <w:p w14:paraId="51398CBF" w14:textId="77777777" w:rsidR="003B7460" w:rsidRPr="007F7EBF" w:rsidRDefault="003B7460" w:rsidP="00E150A5">
      <w:pPr>
        <w:pStyle w:val="Testonotaapidipagina"/>
      </w:pPr>
      <w:r w:rsidRPr="007F7EBF">
        <w:rPr>
          <w:rStyle w:val="Rimandonotaapidipagina"/>
        </w:rPr>
        <w:footnoteRef/>
      </w:r>
      <w:r w:rsidRPr="007F7EBF">
        <w:t xml:space="preserve"> ) </w:t>
      </w:r>
      <w:r>
        <w:rPr>
          <w:sz w:val="22"/>
          <w:szCs w:val="22"/>
        </w:rPr>
        <w:t>Tutti costoro</w:t>
      </w:r>
      <w:r w:rsidRPr="007F7EBF">
        <w:rPr>
          <w:sz w:val="22"/>
          <w:szCs w:val="22"/>
        </w:rPr>
        <w:t xml:space="preserve"> traggono sostentamento dall’attività economica, senza essere essi stessi operatori economici</w:t>
      </w:r>
      <w:r>
        <w:rPr>
          <w:sz w:val="22"/>
          <w:szCs w:val="22"/>
        </w:rPr>
        <w:t xml:space="preserve">, come vedremo anche </w:t>
      </w:r>
      <w:r w:rsidRPr="007F7EBF">
        <w:t xml:space="preserve">al par.3.1, parlando dell’importanza relativamente secondaria del profitto per le organizzazioni, rispetto </w:t>
      </w:r>
      <w:r>
        <w:t>piccolo commerciante o all’artigiano</w:t>
      </w:r>
      <w:r w:rsidRPr="007F7EBF">
        <w:t xml:space="preserve">, che col profitto deve </w:t>
      </w:r>
      <w:r>
        <w:t>sopravvivere</w:t>
      </w:r>
      <w:r w:rsidRPr="007F7EBF">
        <w:t xml:space="preserve">. </w:t>
      </w:r>
    </w:p>
  </w:footnote>
  <w:footnote w:id="98">
    <w:p w14:paraId="27D9609E" w14:textId="77777777" w:rsidR="003B7460" w:rsidRPr="007F7EBF" w:rsidRDefault="003B7460" w:rsidP="00E150A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Se </w:t>
      </w:r>
      <w:r>
        <w:rPr>
          <w:sz w:val="20"/>
          <w:szCs w:val="20"/>
        </w:rPr>
        <w:t>un piccolo artigiano assume un dipendente</w:t>
      </w:r>
      <w:r w:rsidRPr="007F7EBF">
        <w:rPr>
          <w:sz w:val="20"/>
          <w:szCs w:val="20"/>
        </w:rPr>
        <w:t xml:space="preserve">, </w:t>
      </w:r>
      <w:r>
        <w:rPr>
          <w:sz w:val="20"/>
          <w:szCs w:val="20"/>
        </w:rPr>
        <w:t>lo</w:t>
      </w:r>
      <w:r w:rsidRPr="007F7EBF">
        <w:rPr>
          <w:sz w:val="20"/>
          <w:szCs w:val="20"/>
        </w:rPr>
        <w:t xml:space="preserve"> stipendio assorbirà una quota di valore aggiunto che, altrimenti, sarebbe profitto. </w:t>
      </w:r>
      <w:r>
        <w:rPr>
          <w:sz w:val="20"/>
          <w:szCs w:val="20"/>
        </w:rPr>
        <w:t xml:space="preserve">Se ci si finanzia a debito, gli interessi riducono il valore aggiunto. </w:t>
      </w:r>
      <w:r w:rsidRPr="007F7EBF">
        <w:rPr>
          <w:sz w:val="20"/>
          <w:szCs w:val="20"/>
        </w:rPr>
        <w:t xml:space="preserve">Lo stesso vale per </w:t>
      </w:r>
      <w:r>
        <w:rPr>
          <w:sz w:val="20"/>
          <w:szCs w:val="20"/>
        </w:rPr>
        <w:t>la proprietà de</w:t>
      </w:r>
      <w:r w:rsidRPr="007F7EBF">
        <w:rPr>
          <w:sz w:val="20"/>
          <w:szCs w:val="20"/>
        </w:rPr>
        <w:t>gli immobili</w:t>
      </w:r>
      <w:r w:rsidRPr="00486B1C">
        <w:rPr>
          <w:sz w:val="22"/>
          <w:szCs w:val="22"/>
        </w:rPr>
        <w:t>. Per questo il concetto di valore aggiunto ha ben poco a che fare sia con l’”imposta sul valore aggiunto”, come vedremo al par.7.2, sia con l’EBITDA, concetto aziendalistico al netto del costo del lavoro.</w:t>
      </w:r>
    </w:p>
  </w:footnote>
  <w:footnote w:id="99">
    <w:p w14:paraId="740DCD82" w14:textId="77777777" w:rsidR="003B7460" w:rsidRDefault="003B7460" w:rsidP="001A56F5">
      <w:pPr>
        <w:pStyle w:val="Testonotaapidipagina"/>
      </w:pPr>
      <w:r>
        <w:rPr>
          <w:rStyle w:val="Rimandonotaapidipagina"/>
        </w:rPr>
        <w:footnoteRef/>
      </w:r>
      <w:r>
        <w:t xml:space="preserve"> ) Non solo per gli ordinari redditi di periodo, cioè “annuali”, ma anche per quelli soggetti a imposte sostitutive, per valutare la consistenza del reddito, occorre riferirlo  al periodo  impiegato per crearlo (la natura “annuale” oppure “mensile” di un reddito coglie le sfumature tra la ricchezza estrema e la povertà altrettanto estrema). </w:t>
      </w:r>
    </w:p>
  </w:footnote>
  <w:footnote w:id="100">
    <w:p w14:paraId="546A0066" w14:textId="77777777" w:rsidR="003B7460" w:rsidRDefault="003B7460" w:rsidP="00D13750">
      <w:pPr>
        <w:pStyle w:val="Testonotaapidipagina"/>
      </w:pPr>
      <w:r>
        <w:rPr>
          <w:rStyle w:val="Rimandonotaapidipagina"/>
        </w:rPr>
        <w:footnoteRef/>
      </w:r>
      <w:r>
        <w:t xml:space="preserve"> ) Tanto è vero che si parla di “rendite finanziarie” e rendite immobiliari”. </w:t>
      </w:r>
    </w:p>
  </w:footnote>
  <w:footnote w:id="101">
    <w:p w14:paraId="32FC1208" w14:textId="16900DF7" w:rsidR="003B7460" w:rsidRPr="007F7EBF" w:rsidRDefault="003B7460">
      <w:pPr>
        <w:pStyle w:val="Testonotaapidipagina"/>
      </w:pPr>
      <w:r w:rsidRPr="007F7EBF">
        <w:rPr>
          <w:rStyle w:val="Rimandonotaapidipagina"/>
        </w:rPr>
        <w:footnoteRef/>
      </w:r>
      <w:r w:rsidRPr="007F7EBF">
        <w:t xml:space="preserve"> ) </w:t>
      </w:r>
      <w:r>
        <w:t>Così definiti perché “non immobiliari”, cioè d</w:t>
      </w:r>
      <w:r w:rsidRPr="007F7EBF">
        <w:t xml:space="preserve">erivanti da attività </w:t>
      </w:r>
      <w:r>
        <w:t xml:space="preserve">“non agricole”, soprattutto </w:t>
      </w:r>
      <w:r w:rsidRPr="007F7EBF">
        <w:t xml:space="preserve">commerciali e artigianali. </w:t>
      </w:r>
    </w:p>
  </w:footnote>
  <w:footnote w:id="102">
    <w:p w14:paraId="734F6041" w14:textId="1DF33EFA" w:rsidR="003B7460" w:rsidRPr="007F7EBF" w:rsidRDefault="003B7460" w:rsidP="00303B79">
      <w:pPr>
        <w:pStyle w:val="Testonotaapidipagina"/>
      </w:pPr>
      <w:r w:rsidRPr="007F7EBF">
        <w:rPr>
          <w:rStyle w:val="Rimandonotaapidipagina"/>
        </w:rPr>
        <w:footnoteRef/>
      </w:r>
      <w:r w:rsidRPr="007F7EBF">
        <w:t xml:space="preserve"> ) </w:t>
      </w:r>
      <w:r>
        <w:t xml:space="preserve">Il reddito di alcune attività, </w:t>
      </w:r>
      <w:r w:rsidRPr="007F7EBF">
        <w:t>soprattutto di servizi</w:t>
      </w:r>
      <w:r>
        <w:t>,</w:t>
      </w:r>
      <w:r w:rsidRPr="007F7EBF">
        <w:t xml:space="preserve"> veniva</w:t>
      </w:r>
      <w:r>
        <w:t xml:space="preserve"> </w:t>
      </w:r>
      <w:r w:rsidRPr="007F7EBF">
        <w:t xml:space="preserve"> talvolta tassat</w:t>
      </w:r>
      <w:r>
        <w:t xml:space="preserve">o selettivamente e forfettariamente </w:t>
      </w:r>
      <w:r w:rsidRPr="007F7EBF">
        <w:t xml:space="preserve"> attraverso “imposte di patente”, connesse alla natura e alle caratteristiche del </w:t>
      </w:r>
      <w:r>
        <w:t xml:space="preserve">settore; </w:t>
      </w:r>
      <w:r w:rsidRPr="007F7EBF">
        <w:t xml:space="preserve">esistono </w:t>
      </w:r>
      <w:r>
        <w:t xml:space="preserve">ad esempio </w:t>
      </w:r>
      <w:r w:rsidRPr="007F7EBF">
        <w:t>numerose fonti per l’imposta sulla prostituzione nella Roma papale barocca</w:t>
      </w:r>
      <w:r>
        <w:t xml:space="preserve">, che richiamano quelle odierne sul gioco d’azzardo (par.5.1), </w:t>
      </w:r>
      <w:r w:rsidRPr="007F7EBF">
        <w:t>ma è un punto da approfondire anche in tesi di laurea o di dottorato</w:t>
      </w:r>
      <w:r>
        <w:t xml:space="preserve">. </w:t>
      </w:r>
    </w:p>
  </w:footnote>
  <w:footnote w:id="103">
    <w:p w14:paraId="0B4C98C6" w14:textId="77777777" w:rsidR="003B7460" w:rsidRPr="007F7EBF" w:rsidRDefault="003B7460" w:rsidP="002B3BEF">
      <w:pPr>
        <w:pStyle w:val="Testonotaapidipagina"/>
      </w:pPr>
      <w:r w:rsidRPr="007F7EBF">
        <w:rPr>
          <w:rStyle w:val="Rimandonotaapidipagina"/>
        </w:rPr>
        <w:footnoteRef/>
      </w:r>
      <w:r w:rsidRPr="007F7EBF">
        <w:t xml:space="preserve"> ) Il primo esempio fu l’</w:t>
      </w:r>
      <w:proofErr w:type="spellStart"/>
      <w:r w:rsidRPr="009622B2">
        <w:rPr>
          <w:i/>
        </w:rPr>
        <w:t>income</w:t>
      </w:r>
      <w:proofErr w:type="spellEnd"/>
      <w:r w:rsidRPr="009622B2">
        <w:rPr>
          <w:i/>
        </w:rPr>
        <w:t xml:space="preserve"> tax</w:t>
      </w:r>
      <w:r w:rsidRPr="007F7EBF">
        <w:t xml:space="preserve"> inglese dei primi dell’ottocento, per fronteggiare le spese delle guerre napoleoniche.</w:t>
      </w:r>
    </w:p>
  </w:footnote>
  <w:footnote w:id="104">
    <w:p w14:paraId="148D8B92" w14:textId="77777777" w:rsidR="003B7460" w:rsidRPr="007F7EBF" w:rsidRDefault="003B7460">
      <w:pPr>
        <w:pStyle w:val="Testonotaapidipagina"/>
      </w:pPr>
      <w:r w:rsidRPr="007F7EBF">
        <w:rPr>
          <w:rStyle w:val="Rimandonotaapidipagina"/>
        </w:rPr>
        <w:footnoteRef/>
      </w:r>
      <w:r w:rsidRPr="007F7EBF">
        <w:t xml:space="preserve"> ) E quindi il punto di partenza per la determinazione del suo reddito. </w:t>
      </w:r>
    </w:p>
  </w:footnote>
  <w:footnote w:id="105">
    <w:p w14:paraId="5EFF383B" w14:textId="6CD7C5FD" w:rsidR="003B7460" w:rsidRPr="007F7EBF" w:rsidRDefault="003B7460" w:rsidP="00585C11">
      <w:pPr>
        <w:pStyle w:val="Testonotaapidipagina"/>
      </w:pPr>
      <w:r w:rsidRPr="007F7EBF">
        <w:rPr>
          <w:rStyle w:val="Rimandonotaapidipagina"/>
        </w:rPr>
        <w:footnoteRef/>
      </w:r>
      <w:r w:rsidRPr="007F7EBF">
        <w:t xml:space="preserve"> ) </w:t>
      </w:r>
      <w:r>
        <w:t xml:space="preserve">Al </w:t>
      </w:r>
      <w:r w:rsidRPr="007F7EBF">
        <w:t xml:space="preserve">giudizio di fatto </w:t>
      </w:r>
      <w:r>
        <w:t>(</w:t>
      </w:r>
      <w:r w:rsidRPr="007F7EBF">
        <w:t>par.5.8)</w:t>
      </w:r>
      <w:r>
        <w:t xml:space="preserve">, segue la </w:t>
      </w:r>
      <w:r w:rsidRPr="007F7EBF">
        <w:t>qualifica</w:t>
      </w:r>
      <w:r>
        <w:t>zion</w:t>
      </w:r>
      <w:r w:rsidRPr="007F7EBF">
        <w:t>e giuridica</w:t>
      </w:r>
      <w:r>
        <w:t xml:space="preserve"> di cui ai </w:t>
      </w:r>
      <w:r w:rsidRPr="007F7EBF">
        <w:t>pa</w:t>
      </w:r>
      <w:r>
        <w:t>r</w:t>
      </w:r>
      <w:r w:rsidRPr="007F7EBF">
        <w:t xml:space="preserve">r.3.9 ss.. </w:t>
      </w:r>
    </w:p>
  </w:footnote>
  <w:footnote w:id="106">
    <w:p w14:paraId="1827CE0A" w14:textId="3B92EC50" w:rsidR="003B7460" w:rsidRPr="007F7EBF" w:rsidRDefault="003B7460" w:rsidP="0063587A">
      <w:pPr>
        <w:pStyle w:val="Testonotaapidipagina"/>
      </w:pPr>
      <w:r w:rsidRPr="007F7EBF">
        <w:rPr>
          <w:rStyle w:val="Rimandonotaapidipagina"/>
        </w:rPr>
        <w:footnoteRef/>
      </w:r>
      <w:r w:rsidRPr="007F7EBF">
        <w:t xml:space="preserve"> ) Sul controllo sociale interno par.5.3, mentre su quello internazionale vedasi il par.2.6 a proposito del diritto comunitario</w:t>
      </w:r>
      <w:r>
        <w:t xml:space="preserve"> e 7.19 sulla “concorrenza fiscale dannosa”.</w:t>
      </w:r>
      <w:r w:rsidRPr="007F7EBF">
        <w:t xml:space="preserve">  </w:t>
      </w:r>
    </w:p>
  </w:footnote>
  <w:footnote w:id="107">
    <w:p w14:paraId="2588CD0A" w14:textId="06EAD515" w:rsidR="003B7460" w:rsidRPr="007F7EBF" w:rsidRDefault="003B7460" w:rsidP="00C434C9">
      <w:pPr>
        <w:pStyle w:val="Testonotaapidipagina"/>
      </w:pPr>
      <w:r w:rsidRPr="007F7EBF">
        <w:rPr>
          <w:rStyle w:val="Rimandonotaapidipagina"/>
        </w:rPr>
        <w:footnoteRef/>
      </w:r>
      <w:r w:rsidRPr="007F7EBF">
        <w:t xml:space="preserve"> )</w:t>
      </w:r>
      <w:r>
        <w:t xml:space="preserve"> </w:t>
      </w:r>
      <w:r w:rsidRPr="007F7EBF">
        <w:t xml:space="preserve">Non a caso gli esempi di tassazione “punitiva” hanno riguardato settori mediaticamente screditati (pornografia, società di comodo come vedremo al par. 7.5, petrolieri o banche) oppure senza rappresentanza, in quanto “trasversali”, come vedremo al par.5.14 per la tassazione attraverso il tenore di vita.  </w:t>
      </w:r>
    </w:p>
  </w:footnote>
  <w:footnote w:id="108">
    <w:p w14:paraId="17505247" w14:textId="1F4D6730" w:rsidR="003B7460" w:rsidRPr="007F7EBF" w:rsidRDefault="003B7460">
      <w:pPr>
        <w:pStyle w:val="Testonotaapidipagina"/>
      </w:pPr>
      <w:r w:rsidRPr="007F7EBF">
        <w:rPr>
          <w:rStyle w:val="Rimandonotaapidipagina"/>
        </w:rPr>
        <w:footnoteRef/>
      </w:r>
      <w:r w:rsidRPr="007F7EBF">
        <w:t xml:space="preserve"> ) Sulla strutturale ipocrisia del potere politico, quando si tratta di massimizzare il consenso, mediando tra tendenze di opinione intrecciate nella società, par. 2.4. </w:t>
      </w:r>
    </w:p>
  </w:footnote>
  <w:footnote w:id="109">
    <w:p w14:paraId="1A9EA155" w14:textId="44615D29" w:rsidR="003B7460" w:rsidRDefault="003B7460">
      <w:pPr>
        <w:pStyle w:val="Testonotaapidipagina"/>
      </w:pPr>
      <w:r>
        <w:rPr>
          <w:rStyle w:val="Rimandonotaapidipagina"/>
        </w:rPr>
        <w:footnoteRef/>
      </w:r>
      <w:r>
        <w:t xml:space="preserve"> ) S</w:t>
      </w:r>
      <w:r w:rsidRPr="007F7EBF">
        <w:t>i pensi al</w:t>
      </w:r>
      <w:r>
        <w:t xml:space="preserve"> coordinamento “società soci” di cui al par.7.17, altre semplici neutralità fiscali, come le operazioni societarie di cui al par.7.20, o la deduzione IRAP del costo del lavoro (par.9.5).  </w:t>
      </w:r>
    </w:p>
  </w:footnote>
  <w:footnote w:id="110">
    <w:p w14:paraId="60C14923" w14:textId="0ACB9A09" w:rsidR="003B7460" w:rsidRDefault="003B7460" w:rsidP="00C84F33">
      <w:pPr>
        <w:pStyle w:val="Testonotaapidipagina"/>
      </w:pPr>
      <w:r>
        <w:rPr>
          <w:rStyle w:val="Rimandonotaapidipagina"/>
        </w:rPr>
        <w:footnoteRef/>
      </w:r>
      <w:r>
        <w:t xml:space="preserve"> ) Andrebbero infatti considerati incostituzionali il regime delle “società di comodo”(par.7.5) o i limiti alla deduzione degli interessi passivi di cui al par.7.10; lo stesso potrebbe dirsi per un’indeducibilità di costi di carburante per aziende di trasporto, motivata dalla c.d. “fiscalità ambientale”. Sarebbero invece costituzionali aumenti di aliquote, o imposte “ad hoc”, come l’</w:t>
      </w:r>
      <w:r w:rsidRPr="007F7EBF">
        <w:t>immaginifica “porno tax”</w:t>
      </w:r>
      <w:r>
        <w:t xml:space="preserve"> esistente in Italia, e le discussioni negli USA su una tassazione dei cibi “poco sani”, per controbilanciare i costi sociosanitari che essi provocano, nel lungo periodo, alla salute. </w:t>
      </w:r>
    </w:p>
  </w:footnote>
  <w:footnote w:id="111">
    <w:p w14:paraId="35D35AAC" w14:textId="14F60F12" w:rsidR="003B7460" w:rsidRPr="007F7EBF" w:rsidRDefault="003B7460" w:rsidP="00783B80">
      <w:pPr>
        <w:pStyle w:val="Testonotaapidipagina"/>
      </w:pPr>
      <w:r w:rsidRPr="007F7EBF">
        <w:rPr>
          <w:rStyle w:val="Rimandonotaapidipagina"/>
        </w:rPr>
        <w:footnoteRef/>
      </w:r>
      <w:r>
        <w:t>)</w:t>
      </w:r>
      <w:r w:rsidRPr="007F7EBF">
        <w:t xml:space="preserve"> </w:t>
      </w:r>
      <w:r>
        <w:t>La distinzione è agevole capendo</w:t>
      </w:r>
      <w:r w:rsidRPr="007F7EBF">
        <w:t xml:space="preserve"> che la funzione tributaria riguarda essenzialmente la determinazione degli imponibili. </w:t>
      </w:r>
    </w:p>
  </w:footnote>
  <w:footnote w:id="112">
    <w:p w14:paraId="7FD3B004" w14:textId="0CA78626" w:rsidR="003B7460" w:rsidRDefault="003B7460">
      <w:pPr>
        <w:pStyle w:val="Testonotaapidipagina"/>
      </w:pPr>
      <w:r>
        <w:rPr>
          <w:rStyle w:val="Rimandonotaapidipagina"/>
        </w:rPr>
        <w:footnoteRef/>
      </w:r>
      <w:r>
        <w:t xml:space="preserve"> ) Fino a definire </w:t>
      </w:r>
      <w:r w:rsidRPr="007F7EBF">
        <w:t>la tariffa di occupazione aree pubbliche con ombrelloni “imposta sull’ombra”</w:t>
      </w:r>
      <w:r>
        <w:t>.</w:t>
      </w:r>
    </w:p>
  </w:footnote>
  <w:footnote w:id="113">
    <w:p w14:paraId="21E35FF1" w14:textId="68738711" w:rsidR="003B7460" w:rsidRPr="007F7EBF" w:rsidRDefault="003B7460">
      <w:pPr>
        <w:pStyle w:val="Testonotaapidipagina"/>
      </w:pPr>
      <w:r w:rsidRPr="007F7EBF">
        <w:rPr>
          <w:rStyle w:val="Rimandonotaapidipagina"/>
        </w:rPr>
        <w:footnoteRef/>
      </w:r>
      <w:r w:rsidRPr="007F7EBF">
        <w:t xml:space="preserve"> ) </w:t>
      </w:r>
      <w:r>
        <w:t>Ciò mantiene in vita tributi anacronistici come quelli sugli atti giuridici (par.10.2 ss.), c</w:t>
      </w:r>
      <w:r w:rsidRPr="007F7EBF">
        <w:t xml:space="preserve">onfermando l’aforisma hegeliano, secondo cui tutto ciò che è reale è razionale, particolarmente vero </w:t>
      </w:r>
      <w:r>
        <w:t>per settori disorientati, come quello tributario</w:t>
      </w:r>
      <w:r w:rsidRPr="007F7EBF">
        <w:t>.</w:t>
      </w:r>
      <w:r>
        <w:t xml:space="preserve"> </w:t>
      </w:r>
      <w:r w:rsidRPr="007F7EBF">
        <w:t xml:space="preserve">Oltre </w:t>
      </w:r>
      <w:r>
        <w:t xml:space="preserve">quelli </w:t>
      </w:r>
      <w:r w:rsidRPr="007F7EBF">
        <w:t xml:space="preserve">trattati al capitolo decimo </w:t>
      </w:r>
      <w:r>
        <w:t>segnaliamo</w:t>
      </w:r>
      <w:r w:rsidRPr="007F7EBF">
        <w:t xml:space="preserve"> anche micro tributi come l’imposta di soggiorno, </w:t>
      </w:r>
      <w:r>
        <w:t xml:space="preserve">e l’abrogata </w:t>
      </w:r>
      <w:r w:rsidRPr="007F7EBF">
        <w:t>“tassa sui cani”, ancora in vigore, magari con efficienza</w:t>
      </w:r>
      <w:r>
        <w:t>,</w:t>
      </w:r>
      <w:r w:rsidRPr="007F7EBF">
        <w:t xml:space="preserve"> in altri paesi sviluppati. </w:t>
      </w:r>
    </w:p>
  </w:footnote>
  <w:footnote w:id="114">
    <w:p w14:paraId="5A3FFEC9" w14:textId="187ED6E1" w:rsidR="003B7460" w:rsidRPr="007F7EBF" w:rsidRDefault="003B7460" w:rsidP="00605B4E">
      <w:pPr>
        <w:pStyle w:val="Testonotaapidipagina"/>
      </w:pPr>
      <w:r w:rsidRPr="007F7EBF">
        <w:rPr>
          <w:rStyle w:val="Rimandonotaapidipagina"/>
        </w:rPr>
        <w:footnoteRef/>
      </w:r>
      <w:r w:rsidRPr="007F7EBF">
        <w:t xml:space="preserve"> ) </w:t>
      </w:r>
    </w:p>
  </w:footnote>
  <w:footnote w:id="115">
    <w:p w14:paraId="7CC82A54" w14:textId="2BB109F1" w:rsidR="003B7460" w:rsidRDefault="003B7460">
      <w:pPr>
        <w:pStyle w:val="Testonotaapidipagina"/>
      </w:pPr>
      <w:r>
        <w:rPr>
          <w:rStyle w:val="Rimandonotaapidipagina"/>
        </w:rPr>
        <w:footnoteRef/>
      </w:r>
      <w:r>
        <w:t xml:space="preserve"> A parte la scena classica visibile digitando in rete </w:t>
      </w:r>
      <w:r w:rsidRPr="00C06323">
        <w:rPr>
          <w:i/>
          <w:iCs/>
        </w:rPr>
        <w:t>Aronne Piperno</w:t>
      </w:r>
      <w:r>
        <w:t xml:space="preserve"> merita anche quella visibile digitando su </w:t>
      </w:r>
      <w:proofErr w:type="spellStart"/>
      <w:r>
        <w:t>youtube</w:t>
      </w:r>
      <w:proofErr w:type="spellEnd"/>
      <w:r>
        <w:t xml:space="preserve"> “</w:t>
      </w:r>
      <w:r w:rsidRPr="00245AB5">
        <w:rPr>
          <w:i/>
        </w:rPr>
        <w:t>è tuo quando te lo compri</w:t>
      </w:r>
      <w:r>
        <w:t>”.</w:t>
      </w:r>
    </w:p>
  </w:footnote>
  <w:footnote w:id="116">
    <w:p w14:paraId="3B77A3E2" w14:textId="2B05C8E6" w:rsidR="003B7460" w:rsidRDefault="003B7460">
      <w:pPr>
        <w:pStyle w:val="Testonotaapidipagina"/>
      </w:pPr>
      <w:r>
        <w:rPr>
          <w:rStyle w:val="Rimandonotaapidipagina"/>
        </w:rPr>
        <w:footnoteRef/>
      </w:r>
      <w:r>
        <w:t xml:space="preserve"> Il c.d. “scontrino .fiscale” (par.7.7) rappresenta il tentativo tributario di forzare quest’adempimento anche su attività </w:t>
      </w:r>
      <w:proofErr w:type="spellStart"/>
      <w:r>
        <w:t>monoaddetto</w:t>
      </w:r>
      <w:proofErr w:type="spellEnd"/>
      <w:r>
        <w:t xml:space="preserve">, che non ne avvertono la finalità gestionale. </w:t>
      </w:r>
    </w:p>
  </w:footnote>
  <w:footnote w:id="117">
    <w:p w14:paraId="1CD47092" w14:textId="77777777" w:rsidR="003B7460" w:rsidRDefault="003B7460" w:rsidP="0088574A">
      <w:pPr>
        <w:pStyle w:val="Testonotaapidipagina"/>
      </w:pPr>
      <w:r>
        <w:rPr>
          <w:rStyle w:val="Rimandonotaapidipagina"/>
        </w:rPr>
        <w:footnoteRef/>
      </w:r>
      <w:r>
        <w:t xml:space="preserve"> </w:t>
      </w:r>
      <w:r>
        <w:rPr>
          <w:sz w:val="22"/>
          <w:szCs w:val="22"/>
        </w:rPr>
        <w:t>) T</w:t>
      </w:r>
      <w:r>
        <w:t xml:space="preserve">anto è vero che, nell’era preindustriale, era </w:t>
      </w:r>
      <w:r>
        <w:rPr>
          <w:sz w:val="22"/>
          <w:szCs w:val="22"/>
        </w:rPr>
        <w:t>paradossalmente più comodo conseguire il gettito necessario gravando di più su un numero minore di soggetti. Oltre a minori contenziosi e lamentele, il bilancio politico (par.5.3) era forse minore chiedendo “molto a pochi” che “poco a molti”.</w:t>
      </w:r>
    </w:p>
  </w:footnote>
  <w:footnote w:id="118">
    <w:p w14:paraId="4ABD6EEA" w14:textId="77777777" w:rsidR="003B7460" w:rsidRDefault="003B7460" w:rsidP="008C663A">
      <w:pPr>
        <w:pStyle w:val="Testonotaapidipagina"/>
      </w:pPr>
      <w:r>
        <w:rPr>
          <w:rStyle w:val="Rimandonotaapidipagina"/>
        </w:rPr>
        <w:footnoteRef/>
      </w:r>
      <w:r>
        <w:t xml:space="preserve"> ) Nella famiglia patriarcale era normale “includere” i nonni, mentre così oggi non è. </w:t>
      </w:r>
    </w:p>
  </w:footnote>
  <w:footnote w:id="119">
    <w:p w14:paraId="5CBD77CC" w14:textId="4DE116C1" w:rsidR="003B7460" w:rsidRPr="007F7EBF" w:rsidRDefault="003B7460">
      <w:pPr>
        <w:pStyle w:val="Testonotaapidipagina"/>
      </w:pPr>
      <w:r w:rsidRPr="007F7EBF">
        <w:rPr>
          <w:rStyle w:val="Rimandonotaapidipagina"/>
        </w:rPr>
        <w:footnoteRef/>
      </w:r>
      <w:r w:rsidRPr="007F7EBF">
        <w:t xml:space="preserve"> </w:t>
      </w:r>
      <w:r>
        <w:t xml:space="preserve">) Rende l’idea il video di Checco </w:t>
      </w:r>
      <w:proofErr w:type="spellStart"/>
      <w:r>
        <w:t>Zalone</w:t>
      </w:r>
      <w:proofErr w:type="spellEnd"/>
      <w:r>
        <w:t xml:space="preserve"> “La prima repubblica” su </w:t>
      </w:r>
      <w:proofErr w:type="spellStart"/>
      <w:r>
        <w:t>youtube</w:t>
      </w:r>
      <w:proofErr w:type="spellEnd"/>
      <w:r>
        <w:t xml:space="preserve"> </w:t>
      </w:r>
      <w:r w:rsidRPr="007F7EBF">
        <w:t xml:space="preserve">. </w:t>
      </w:r>
    </w:p>
  </w:footnote>
  <w:footnote w:id="120">
    <w:p w14:paraId="0245DAB7" w14:textId="0F855AA9" w:rsidR="003B7460" w:rsidRPr="007F7EBF" w:rsidRDefault="003B7460" w:rsidP="00FA2723">
      <w:pPr>
        <w:pStyle w:val="Testonotaapidipagina"/>
      </w:pPr>
      <w:r w:rsidRPr="007F7EBF">
        <w:rPr>
          <w:rStyle w:val="Rimandonotaapidipagina"/>
        </w:rPr>
        <w:footnoteRef/>
      </w:r>
      <w:r>
        <w:t xml:space="preserve">) </w:t>
      </w:r>
      <w:r w:rsidRPr="007F7EBF">
        <w:t xml:space="preserve">Inclusi quelli della corte costituzionale che spesso hanno bocciato interventi perequativi sulle pensioni troppo elevate rispetto ai contributi versati. </w:t>
      </w:r>
    </w:p>
  </w:footnote>
  <w:footnote w:id="121">
    <w:p w14:paraId="0A72AC6D" w14:textId="51ACE26C" w:rsidR="003B7460" w:rsidRDefault="003B7460" w:rsidP="00F0368B">
      <w:pPr>
        <w:pStyle w:val="Testonotaapidipagina"/>
      </w:pPr>
      <w:r>
        <w:rPr>
          <w:rStyle w:val="Rimandonotaapidipagina"/>
        </w:rPr>
        <w:footnoteRef/>
      </w:r>
      <w:r>
        <w:t xml:space="preserve"> ) Gli esempi di legislazione attributiva di poteri si trovano anche nelle costituzioni, formalizzate o meno (costituzioni materiali). </w:t>
      </w:r>
    </w:p>
  </w:footnote>
  <w:footnote w:id="122">
    <w:p w14:paraId="2FC239CC" w14:textId="77777777" w:rsidR="003B7460" w:rsidRDefault="003B7460" w:rsidP="00A6488E">
      <w:pPr>
        <w:pStyle w:val="Testonotaapidipagina"/>
      </w:pPr>
      <w:r>
        <w:rPr>
          <w:rStyle w:val="Rimandonotaapidipagina"/>
        </w:rPr>
        <w:footnoteRef/>
      </w:r>
      <w:r>
        <w:t xml:space="preserve"> )</w:t>
      </w:r>
      <w:r>
        <w:rPr>
          <w:sz w:val="22"/>
          <w:szCs w:val="22"/>
        </w:rPr>
        <w:t xml:space="preserve"> </w:t>
      </w:r>
      <w:r>
        <w:t xml:space="preserve">Quest’idea </w:t>
      </w:r>
      <w:r w:rsidRPr="00490E56">
        <w:rPr>
          <w:i/>
          <w:iCs/>
        </w:rPr>
        <w:t>privatistico giurisdizionale</w:t>
      </w:r>
      <w:r>
        <w:t xml:space="preserve"> della legislazione, spinse a dubitare della sua giuridicità in materia tributaria, con argomenti che potrebbero essere riprese in tesi di laurea o dottorato</w:t>
      </w:r>
    </w:p>
  </w:footnote>
  <w:footnote w:id="123">
    <w:p w14:paraId="21E4478D" w14:textId="1178335F" w:rsidR="003B7460" w:rsidRDefault="003B7460" w:rsidP="00890BDB">
      <w:pPr>
        <w:pStyle w:val="Testonotaapidipagina"/>
      </w:pPr>
      <w:r>
        <w:rPr>
          <w:rStyle w:val="Rimandonotaapidipagina"/>
        </w:rPr>
        <w:footnoteRef/>
      </w:r>
      <w:r>
        <w:t xml:space="preserve"> ) I</w:t>
      </w:r>
      <w:r w:rsidRPr="00890BDB">
        <w:t xml:space="preserve"> brocardi </w:t>
      </w:r>
      <w:proofErr w:type="spellStart"/>
      <w:r w:rsidRPr="00890BDB">
        <w:rPr>
          <w:i/>
        </w:rPr>
        <w:t>lex</w:t>
      </w:r>
      <w:proofErr w:type="spellEnd"/>
      <w:r w:rsidRPr="00890BDB">
        <w:rPr>
          <w:i/>
        </w:rPr>
        <w:t xml:space="preserve"> </w:t>
      </w:r>
      <w:proofErr w:type="spellStart"/>
      <w:r w:rsidRPr="00890BDB">
        <w:rPr>
          <w:i/>
        </w:rPr>
        <w:t>facit</w:t>
      </w:r>
      <w:proofErr w:type="spellEnd"/>
      <w:r w:rsidRPr="00890BDB">
        <w:rPr>
          <w:i/>
        </w:rPr>
        <w:t xml:space="preserve"> de albo </w:t>
      </w:r>
      <w:proofErr w:type="spellStart"/>
      <w:r w:rsidRPr="00890BDB">
        <w:rPr>
          <w:i/>
        </w:rPr>
        <w:t>nigrum</w:t>
      </w:r>
      <w:proofErr w:type="spellEnd"/>
      <w:r w:rsidRPr="00890BDB">
        <w:t xml:space="preserve"> e  “Roma </w:t>
      </w:r>
      <w:proofErr w:type="spellStart"/>
      <w:r w:rsidRPr="00890BDB">
        <w:t>locuta</w:t>
      </w:r>
      <w:proofErr w:type="spellEnd"/>
      <w:r w:rsidRPr="00890BDB">
        <w:t xml:space="preserve"> causa soluta”</w:t>
      </w:r>
      <w:r>
        <w:t xml:space="preserve"> si addicono al rapporto di delega sull’apprezzamento di eventi accertati, ma già nella funzione giurisdizionale è inconcepibile svolgere per legge </w:t>
      </w:r>
      <w:r w:rsidRPr="007F7EBF">
        <w:t xml:space="preserve">una funzione conoscitiva, </w:t>
      </w:r>
      <w:r>
        <w:t xml:space="preserve">come vedremo per il giudizio di fatto al par.5.8.  Parlare di onnipotenza legislativa sulla determinazione degli imponibili </w:t>
      </w:r>
      <w:r w:rsidRPr="007F7EBF">
        <w:t xml:space="preserve">sarebbe come </w:t>
      </w:r>
      <w:r>
        <w:t xml:space="preserve">pensare di poter sconfiggere i </w:t>
      </w:r>
      <w:r w:rsidRPr="007F7EBF">
        <w:t xml:space="preserve">nemici, </w:t>
      </w:r>
      <w:r>
        <w:t xml:space="preserve">guarire </w:t>
      </w:r>
      <w:r w:rsidRPr="007F7EBF">
        <w:t xml:space="preserve">i malati, </w:t>
      </w:r>
      <w:r>
        <w:t xml:space="preserve">smaltire </w:t>
      </w:r>
      <w:r w:rsidRPr="007F7EBF">
        <w:t>i rifiuti</w:t>
      </w:r>
      <w:r>
        <w:t xml:space="preserve">, riparare le strade per decreto legge. </w:t>
      </w:r>
    </w:p>
  </w:footnote>
  <w:footnote w:id="124">
    <w:p w14:paraId="325A4AD2" w14:textId="542670B2" w:rsidR="003B7460" w:rsidRDefault="003B7460" w:rsidP="002B3784">
      <w:pPr>
        <w:pStyle w:val="Testonotaapidipagina"/>
      </w:pPr>
      <w:r>
        <w:rPr>
          <w:rStyle w:val="Rimandonotaapidipagina"/>
        </w:rPr>
        <w:footnoteRef/>
      </w:r>
      <w:r>
        <w:t xml:space="preserve"> )</w:t>
      </w:r>
      <w:r w:rsidRPr="00736C87">
        <w:t xml:space="preserve"> </w:t>
      </w:r>
      <w:r>
        <w:t>Le mitologie sull’”eternità della legge”, trascurando la mutevolezza dei valori, servono solo a chi vuol f</w:t>
      </w:r>
      <w:r w:rsidRPr="007F7EBF">
        <w:t>ar</w:t>
      </w:r>
      <w:r>
        <w:t>la</w:t>
      </w:r>
      <w:r w:rsidRPr="007F7EBF">
        <w:t xml:space="preserve"> parlare </w:t>
      </w:r>
      <w:r>
        <w:t xml:space="preserve">a modo suo, per ignavia o per abuso. </w:t>
      </w:r>
    </w:p>
  </w:footnote>
  <w:footnote w:id="125">
    <w:p w14:paraId="3488D4B0" w14:textId="77777777" w:rsidR="003B7460" w:rsidRPr="007F7EBF" w:rsidRDefault="003B7460" w:rsidP="00237C91">
      <w:pPr>
        <w:pStyle w:val="Testonotaapidipagina"/>
      </w:pPr>
      <w:r w:rsidRPr="007F7EBF">
        <w:rPr>
          <w:rStyle w:val="Rimandonotaapidipagina"/>
        </w:rPr>
        <w:footnoteRef/>
      </w:r>
      <w:r w:rsidRPr="007F7EBF">
        <w:t xml:space="preserve"> </w:t>
      </w:r>
      <w:r>
        <w:t xml:space="preserve">) La cassiera </w:t>
      </w:r>
      <w:r>
        <w:rPr>
          <w:sz w:val="22"/>
          <w:szCs w:val="22"/>
        </w:rPr>
        <w:t>del supermercato non può certo variare l’importo dell’IVA per tener conto se chi fa acquisti è ricco o povero (</w:t>
      </w:r>
      <w:proofErr w:type="spellStart"/>
      <w:r>
        <w:rPr>
          <w:sz w:val="22"/>
          <w:szCs w:val="22"/>
        </w:rPr>
        <w:t>cfr</w:t>
      </w:r>
      <w:proofErr w:type="spellEnd"/>
      <w:r>
        <w:rPr>
          <w:sz w:val="22"/>
          <w:szCs w:val="22"/>
        </w:rPr>
        <w:t xml:space="preserve"> l</w:t>
      </w:r>
      <w:r w:rsidRPr="007F7EBF">
        <w:rPr>
          <w:sz w:val="22"/>
          <w:szCs w:val="22"/>
        </w:rPr>
        <w:t>a battuta paradossale</w:t>
      </w:r>
      <w:r>
        <w:rPr>
          <w:sz w:val="22"/>
          <w:szCs w:val="22"/>
        </w:rPr>
        <w:t xml:space="preserve"> del</w:t>
      </w:r>
      <w:r w:rsidRPr="007F7EBF">
        <w:t xml:space="preserve"> </w:t>
      </w:r>
      <w:r>
        <w:t xml:space="preserve">grande comico Ettore Petrolini secondo cui bisogna </w:t>
      </w:r>
      <w:r w:rsidRPr="007F7EBF">
        <w:rPr>
          <w:i/>
          <w:sz w:val="22"/>
          <w:szCs w:val="22"/>
        </w:rPr>
        <w:t>tassare i poveri, che hanno poco ma sono tanti</w:t>
      </w:r>
      <w:r w:rsidRPr="007F7EBF">
        <w:t xml:space="preserve"> </w:t>
      </w:r>
      <w:r>
        <w:t xml:space="preserve">, titolo anche di </w:t>
      </w:r>
      <w:r w:rsidRPr="007F7EBF">
        <w:t>un mio post su Giustiziafiscale.com)</w:t>
      </w:r>
      <w:r>
        <w:t xml:space="preserve">. </w:t>
      </w:r>
    </w:p>
  </w:footnote>
  <w:footnote w:id="126">
    <w:p w14:paraId="1412E0E8" w14:textId="77777777" w:rsidR="003B7460" w:rsidRPr="007F7EBF" w:rsidRDefault="003B7460" w:rsidP="00237C91">
      <w:pPr>
        <w:pStyle w:val="Testonotaapidipagina"/>
      </w:pPr>
      <w:r w:rsidRPr="007F7EBF">
        <w:rPr>
          <w:rStyle w:val="Rimandonotaapidipagina"/>
        </w:rPr>
        <w:footnoteRef/>
      </w:r>
      <w:r w:rsidRPr="007F7EBF">
        <w:t xml:space="preserve"> </w:t>
      </w:r>
      <w:r>
        <w:t xml:space="preserve">) Il </w:t>
      </w:r>
      <w:r w:rsidRPr="007F7EBF">
        <w:rPr>
          <w:sz w:val="22"/>
          <w:szCs w:val="22"/>
        </w:rPr>
        <w:t xml:space="preserve">coordinamento di ogni informazione rilevante ai fini della situazione economica degli individui </w:t>
      </w:r>
      <w:r>
        <w:rPr>
          <w:sz w:val="22"/>
          <w:szCs w:val="22"/>
        </w:rPr>
        <w:t>sarebbe auspicabile, come suggerisco al par.5.7; neppure in quel modo si esprimerebbe mai una percentuale matematica di partecipazione alle pubbliche spese, analoga a quella rappresentata, ad esempio, da una tabella condominiale. Una valutazione globale della situazione economica servirebbe ad</w:t>
      </w:r>
      <w:r>
        <w:t xml:space="preserve"> evitare </w:t>
      </w:r>
      <w:r w:rsidRPr="007F7EBF">
        <w:t>“falsi poveri”</w:t>
      </w:r>
      <w:r>
        <w:t xml:space="preserve">, anche ai fini del c.d. </w:t>
      </w:r>
      <w:r w:rsidRPr="004203A0">
        <w:rPr>
          <w:bCs/>
        </w:rPr>
        <w:t xml:space="preserve"> </w:t>
      </w:r>
      <w:r>
        <w:rPr>
          <w:bCs/>
        </w:rPr>
        <w:t xml:space="preserve">“reddito di cittadinanza”, ma il </w:t>
      </w:r>
      <w:r w:rsidRPr="007F7EBF">
        <w:rPr>
          <w:bCs/>
        </w:rPr>
        <w:t xml:space="preserve">punto </w:t>
      </w:r>
      <w:r>
        <w:rPr>
          <w:bCs/>
        </w:rPr>
        <w:t xml:space="preserve">andrebbe </w:t>
      </w:r>
      <w:r w:rsidRPr="007F7EBF">
        <w:rPr>
          <w:bCs/>
        </w:rPr>
        <w:t xml:space="preserve"> approfondito in tesi di laurea</w:t>
      </w:r>
      <w:r>
        <w:rPr>
          <w:bCs/>
        </w:rPr>
        <w:t xml:space="preserve"> sul rapporto tra funzione tributaria e  funzione assistenziale.</w:t>
      </w:r>
    </w:p>
  </w:footnote>
  <w:footnote w:id="127">
    <w:p w14:paraId="33CD5418" w14:textId="77777777" w:rsidR="003B7460" w:rsidRDefault="003B7460" w:rsidP="00237C91">
      <w:pPr>
        <w:pStyle w:val="Testonotaapidipagina"/>
      </w:pPr>
      <w:r>
        <w:rPr>
          <w:rStyle w:val="Rimandonotaapidipagina"/>
        </w:rPr>
        <w:footnoteRef/>
      </w:r>
      <w:r>
        <w:t xml:space="preserve"> S</w:t>
      </w:r>
      <w:r w:rsidRPr="00F829D5">
        <w:t xml:space="preserve">econdo </w:t>
      </w:r>
      <w:r>
        <w:t>la tendenza</w:t>
      </w:r>
      <w:r w:rsidRPr="00F829D5">
        <w:t xml:space="preserve"> privatistico giurisdizionale</w:t>
      </w:r>
      <w:r>
        <w:t>, dominante nel</w:t>
      </w:r>
      <w:r w:rsidRPr="00F829D5">
        <w:t>l’accademia del diritto tributario ( par.4.3)</w:t>
      </w:r>
      <w:r>
        <w:t xml:space="preserve">, a esprimersi attraverso materiali normativi, anche in materia di opportunità e preferenze valoriali e politico-sociali. </w:t>
      </w:r>
    </w:p>
  </w:footnote>
  <w:footnote w:id="128">
    <w:p w14:paraId="495ED98F" w14:textId="77777777" w:rsidR="003B7460" w:rsidRDefault="003B7460" w:rsidP="0007343D">
      <w:pPr>
        <w:pStyle w:val="Testonotaapidipagina"/>
      </w:pPr>
      <w:r>
        <w:rPr>
          <w:rStyle w:val="Rimandonotaapidipagina"/>
        </w:rPr>
        <w:footnoteRef/>
      </w:r>
      <w:r>
        <w:t xml:space="preserve"> </w:t>
      </w:r>
      <w:r>
        <w:rPr>
          <w:sz w:val="22"/>
          <w:szCs w:val="22"/>
        </w:rPr>
        <w:t xml:space="preserve">Ciò casomai </w:t>
      </w:r>
      <w:r w:rsidRPr="007F7EBF">
        <w:rPr>
          <w:sz w:val="22"/>
          <w:szCs w:val="22"/>
        </w:rPr>
        <w:t>dipende da altre disposizioni  costituzionali “di settore”, ad esempio sulla scuola, la sanità, la proprietà, l'ambiente, la cultura etc.</w:t>
      </w:r>
    </w:p>
  </w:footnote>
  <w:footnote w:id="129">
    <w:p w14:paraId="0C9C4D1A" w14:textId="41D898AC" w:rsidR="003B7460" w:rsidRDefault="003B7460">
      <w:pPr>
        <w:pStyle w:val="Testonotaapidipagina"/>
      </w:pPr>
      <w:r>
        <w:rPr>
          <w:rStyle w:val="Rimandonotaapidipagina"/>
        </w:rPr>
        <w:footnoteRef/>
      </w:r>
      <w:r>
        <w:t xml:space="preserve"> E’ una distorsione che ritroviamo nell’interpretazione economicistica della c.d. scuola di Pavia (par.3.9) e che ricorda un po' il famoso manifesto patriottico americano visibile in rete digitando </w:t>
      </w:r>
      <w:proofErr w:type="spellStart"/>
      <w:r w:rsidRPr="00DB77DA">
        <w:rPr>
          <w:i/>
          <w:iCs/>
        </w:rPr>
        <w:t>Uncle</w:t>
      </w:r>
      <w:proofErr w:type="spellEnd"/>
      <w:r w:rsidRPr="00DB77DA">
        <w:rPr>
          <w:i/>
          <w:iCs/>
        </w:rPr>
        <w:t xml:space="preserve"> Sam I </w:t>
      </w:r>
      <w:proofErr w:type="spellStart"/>
      <w:r w:rsidRPr="00DB77DA">
        <w:rPr>
          <w:i/>
          <w:iCs/>
        </w:rPr>
        <w:t>want</w:t>
      </w:r>
      <w:proofErr w:type="spellEnd"/>
      <w:r w:rsidRPr="00DB77DA">
        <w:rPr>
          <w:i/>
          <w:iCs/>
        </w:rPr>
        <w:t xml:space="preserve"> </w:t>
      </w:r>
      <w:proofErr w:type="spellStart"/>
      <w:r w:rsidRPr="00DB77DA">
        <w:rPr>
          <w:i/>
          <w:iCs/>
        </w:rPr>
        <w:t>you</w:t>
      </w:r>
      <w:proofErr w:type="spellEnd"/>
      <w:r>
        <w:t>.</w:t>
      </w:r>
    </w:p>
  </w:footnote>
  <w:footnote w:id="130">
    <w:p w14:paraId="06C84F34" w14:textId="034024AF" w:rsidR="003B7460" w:rsidRDefault="003B7460">
      <w:pPr>
        <w:pStyle w:val="Testonotaapidipagina"/>
      </w:pPr>
      <w:r>
        <w:rPr>
          <w:rStyle w:val="Rimandonotaapidipagina"/>
        </w:rPr>
        <w:footnoteRef/>
      </w:r>
      <w:r>
        <w:t xml:space="preserve"> Come quelli sull’elusione fiscale del 2008 che ne hanno ricavato </w:t>
      </w:r>
      <w:r w:rsidRPr="007F7EBF">
        <w:t xml:space="preserve">un divieto di abuso del diritto </w:t>
      </w:r>
      <w:r>
        <w:t>immanente nell’ordinamento.</w:t>
      </w:r>
    </w:p>
  </w:footnote>
  <w:footnote w:id="131">
    <w:p w14:paraId="04D2A69C" w14:textId="77777777" w:rsidR="003B7460" w:rsidRPr="007F7EBF" w:rsidRDefault="003B7460" w:rsidP="009F5DB5">
      <w:pPr>
        <w:pStyle w:val="Testonotaapidipagina"/>
      </w:pPr>
      <w:r w:rsidRPr="007F7EBF">
        <w:rPr>
          <w:rStyle w:val="Rimandonotaapidipagina"/>
        </w:rPr>
        <w:footnoteRef/>
      </w:r>
      <w:r>
        <w:t xml:space="preserve">) </w:t>
      </w:r>
      <w:r w:rsidRPr="007F7EBF">
        <w:t xml:space="preserve">Se infatti legiferasse il governo, le leggi potrebbero essere introdotte da un </w:t>
      </w:r>
      <w:r w:rsidRPr="007F7EBF">
        <w:rPr>
          <w:i/>
        </w:rPr>
        <w:t xml:space="preserve">governo diviso al suo interno </w:t>
      </w:r>
      <w:r w:rsidRPr="007F7EBF">
        <w:t xml:space="preserve">che idealmente rappresenta </w:t>
      </w:r>
      <w:r w:rsidRPr="007F7EBF">
        <w:rPr>
          <w:i/>
        </w:rPr>
        <w:t>la maggioranza della maggioranza parlamentare</w:t>
      </w:r>
      <w:r w:rsidRPr="007F7EBF">
        <w:t xml:space="preserve">, aritmeticamente corrispondente </w:t>
      </w:r>
      <w:proofErr w:type="spellStart"/>
      <w:r w:rsidRPr="007F7EBF">
        <w:t>all</w:t>
      </w:r>
      <w:proofErr w:type="spellEnd"/>
      <w:r w:rsidRPr="007F7EBF">
        <w:t xml:space="preserve"> 51 percento del 51 percento dei consensi popolari. </w:t>
      </w:r>
    </w:p>
  </w:footnote>
  <w:footnote w:id="132">
    <w:p w14:paraId="02426310" w14:textId="77777777" w:rsidR="003B7460" w:rsidRDefault="003B7460" w:rsidP="007D76E0">
      <w:pPr>
        <w:pStyle w:val="Testonotaapidipagina"/>
      </w:pPr>
      <w:r>
        <w:rPr>
          <w:rStyle w:val="Rimandonotaapidipagina"/>
        </w:rPr>
        <w:footnoteRef/>
      </w:r>
      <w:r>
        <w:t xml:space="preserve"> ) </w:t>
      </w:r>
      <w:r>
        <w:rPr>
          <w:bCs/>
          <w:sz w:val="22"/>
          <w:szCs w:val="22"/>
        </w:rPr>
        <w:t>E</w:t>
      </w:r>
      <w:r w:rsidRPr="007F7EBF">
        <w:rPr>
          <w:bCs/>
          <w:sz w:val="22"/>
          <w:szCs w:val="22"/>
        </w:rPr>
        <w:t>manati dal governo in base a previa legge delega</w:t>
      </w:r>
      <w:r w:rsidRPr="007F7EBF">
        <w:rPr>
          <w:sz w:val="22"/>
          <w:szCs w:val="22"/>
        </w:rPr>
        <w:t>, con principi e criteri direttivi</w:t>
      </w:r>
      <w:r>
        <w:rPr>
          <w:sz w:val="22"/>
          <w:szCs w:val="22"/>
        </w:rPr>
        <w:t>, secondo l’</w:t>
      </w:r>
      <w:r w:rsidRPr="007F7EBF">
        <w:rPr>
          <w:sz w:val="22"/>
          <w:szCs w:val="22"/>
        </w:rPr>
        <w:t>art. 76 Cost.</w:t>
      </w:r>
      <w:r>
        <w:rPr>
          <w:sz w:val="22"/>
          <w:szCs w:val="22"/>
        </w:rPr>
        <w:t>ne</w:t>
      </w:r>
      <w:r w:rsidRPr="007F7EBF">
        <w:rPr>
          <w:sz w:val="22"/>
          <w:szCs w:val="22"/>
        </w:rPr>
        <w:t>.</w:t>
      </w:r>
    </w:p>
  </w:footnote>
  <w:footnote w:id="133">
    <w:p w14:paraId="47DF16CF" w14:textId="77777777" w:rsidR="003B7460" w:rsidRPr="007F7EBF" w:rsidRDefault="003B7460" w:rsidP="007D76E0">
      <w:pPr>
        <w:pStyle w:val="Testonotaapidipagina"/>
      </w:pPr>
      <w:r w:rsidRPr="007F7EBF">
        <w:rPr>
          <w:rStyle w:val="Rimandonotaapidipagina"/>
        </w:rPr>
        <w:footnoteRef/>
      </w:r>
      <w:r>
        <w:t xml:space="preserve">) </w:t>
      </w:r>
      <w:r w:rsidRPr="007F7EBF">
        <w:t>I principal</w:t>
      </w:r>
      <w:r>
        <w:t>i</w:t>
      </w:r>
      <w:r w:rsidRPr="007F7EBF">
        <w:t xml:space="preserve"> tributo regional</w:t>
      </w:r>
      <w:r>
        <w:t>i</w:t>
      </w:r>
      <w:r w:rsidRPr="007F7EBF">
        <w:t xml:space="preserve"> (</w:t>
      </w:r>
      <w:r>
        <w:t>come l’</w:t>
      </w:r>
      <w:r w:rsidRPr="007F7EBF">
        <w:t>IRAP par.9.</w:t>
      </w:r>
      <w:r>
        <w:t>5</w:t>
      </w:r>
      <w:r w:rsidRPr="007F7EBF">
        <w:t xml:space="preserve">) </w:t>
      </w:r>
      <w:r>
        <w:t xml:space="preserve">sono </w:t>
      </w:r>
      <w:r w:rsidRPr="007F7EBF">
        <w:t>previst</w:t>
      </w:r>
      <w:r>
        <w:t>i</w:t>
      </w:r>
      <w:r w:rsidRPr="007F7EBF">
        <w:t xml:space="preserve"> da leggi  statali.</w:t>
      </w:r>
      <w:r w:rsidRPr="007B4715">
        <w:t xml:space="preserve"> </w:t>
      </w:r>
      <w:r w:rsidRPr="007F7EBF">
        <w:t>Vedremo al par.10.8 che gli enti locali non amano, per motivi di consenso elettorale, introdurre</w:t>
      </w:r>
      <w:r>
        <w:t xml:space="preserve"> o gestire</w:t>
      </w:r>
      <w:r w:rsidRPr="007F7EBF">
        <w:t xml:space="preserve"> tributi.</w:t>
      </w:r>
    </w:p>
  </w:footnote>
  <w:footnote w:id="134">
    <w:p w14:paraId="204E5C3B" w14:textId="171FD390"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Alcuni degli obblighi </w:t>
      </w:r>
      <w:r>
        <w:t>indicati nel testo</w:t>
      </w:r>
      <w:r w:rsidRPr="007F7EBF">
        <w:t xml:space="preserve"> sono riconducibili a diverse disposizioni costituzionali sulle limitazioni di proprietà, la salute, la sicurezza, etc., la matrice generale è pur sempre l’art.23.  </w:t>
      </w:r>
      <w:r>
        <w:t xml:space="preserve">Potrebbero essere utili riflessioni sulla riserva di legge </w:t>
      </w:r>
      <w:r w:rsidRPr="007F7EBF">
        <w:t>applica</w:t>
      </w:r>
      <w:r>
        <w:t>ta a</w:t>
      </w:r>
      <w:r w:rsidRPr="007F7EBF">
        <w:t xml:space="preserve"> </w:t>
      </w:r>
      <w:r>
        <w:t>entrate pubbliche ispirate a</w:t>
      </w:r>
      <w:r w:rsidRPr="007F7EBF">
        <w:t>l principio del "beneficio" (par.1.2), come tariffe e tasse in senso stretto.</w:t>
      </w:r>
    </w:p>
  </w:footnote>
  <w:footnote w:id="135">
    <w:p w14:paraId="4985A6F4" w14:textId="3D8747F1" w:rsidR="003B7460" w:rsidRPr="007F7EBF" w:rsidRDefault="003B7460" w:rsidP="007C0902">
      <w:pPr>
        <w:pStyle w:val="Testonotaapidipagina"/>
      </w:pPr>
      <w:r w:rsidRPr="007F7EBF">
        <w:rPr>
          <w:rStyle w:val="Rimandonotaapidipagina"/>
        </w:rPr>
        <w:footnoteRef/>
      </w:r>
      <w:r w:rsidRPr="007F7EBF">
        <w:t xml:space="preserve"> </w:t>
      </w:r>
      <w:r>
        <w:t xml:space="preserve">) </w:t>
      </w:r>
      <w:r w:rsidRPr="007F7EBF">
        <w:rPr>
          <w:bCs/>
        </w:rPr>
        <w:t xml:space="preserve">Per le </w:t>
      </w:r>
      <w:r>
        <w:rPr>
          <w:bCs/>
        </w:rPr>
        <w:t>sanzioni</w:t>
      </w:r>
      <w:r w:rsidRPr="007F7EBF">
        <w:rPr>
          <w:bCs/>
        </w:rPr>
        <w:t xml:space="preserve"> sussiste anche </w:t>
      </w:r>
      <w:r w:rsidRPr="007F7EBF">
        <w:t>la riserva di legge di cui all’art. 25 della costituzione: par.6.13.</w:t>
      </w:r>
    </w:p>
  </w:footnote>
  <w:footnote w:id="136">
    <w:p w14:paraId="36D2FF5C" w14:textId="360041E7" w:rsidR="003B7460" w:rsidRPr="007F7EBF" w:rsidRDefault="003B7460" w:rsidP="009B166A">
      <w:pPr>
        <w:pStyle w:val="Testonotaapidipagina"/>
      </w:pPr>
      <w:r w:rsidRPr="007F7EBF">
        <w:rPr>
          <w:rStyle w:val="Rimandonotaapidipagina"/>
        </w:rPr>
        <w:footnoteRef/>
      </w:r>
      <w:r w:rsidRPr="007F7EBF">
        <w:t xml:space="preserve"> ) Atti regolamentari </w:t>
      </w:r>
      <w:r>
        <w:t>servono a</w:t>
      </w:r>
      <w:r w:rsidRPr="007F7EBF">
        <w:t xml:space="preserve"> disciplinare numerosi aspetti concettuali troppo specialistici della base di commisurazione dei tributi, come le aliquote d’ammortamento dei beni strumentali nel reddito d’impresa, di cui al par.7.15, ovvero profili documentali, come le caratteristiche di libri contabili necessari ai fini tributari. Rilevanza politica, estranea alla determinazione dell’imponibile, hanno invece le delibere degli enti locali che stabiliscono le aliquote, o altre caratteristiche, di tributi di loro spettanza, istituiti con legge statale.  </w:t>
      </w:r>
    </w:p>
  </w:footnote>
  <w:footnote w:id="137">
    <w:p w14:paraId="579B4A75" w14:textId="18991250" w:rsidR="003B7460" w:rsidRPr="007F7EBF" w:rsidRDefault="003B7460" w:rsidP="009B166A">
      <w:pPr>
        <w:pStyle w:val="Testonotaapidipagina"/>
      </w:pPr>
      <w:r w:rsidRPr="007F7EBF">
        <w:rPr>
          <w:rStyle w:val="Rimandonotaapidipagina"/>
        </w:rPr>
        <w:footnoteRef/>
      </w:r>
      <w:r w:rsidRPr="007F7EBF">
        <w:t xml:space="preserve"> </w:t>
      </w:r>
      <w:r>
        <w:t xml:space="preserve">) </w:t>
      </w:r>
      <w:r w:rsidRPr="007F7EBF">
        <w:t>Dichiarazioni, versamenti ed altri indicati al par. 3.4</w:t>
      </w:r>
    </w:p>
  </w:footnote>
  <w:footnote w:id="138">
    <w:p w14:paraId="7B8442C4" w14:textId="297A582F" w:rsidR="003B7460" w:rsidRPr="007F7EBF" w:rsidRDefault="003B7460" w:rsidP="009B166A">
      <w:pPr>
        <w:pStyle w:val="Testonotaapidipagina"/>
      </w:pPr>
      <w:r w:rsidRPr="007F7EBF">
        <w:rPr>
          <w:rStyle w:val="Rimandonotaapidipagina"/>
        </w:rPr>
        <w:footnoteRef/>
      </w:r>
      <w:r w:rsidRPr="007F7EBF">
        <w:t xml:space="preserve"> ) </w:t>
      </w:r>
      <w:r>
        <w:t>Q</w:t>
      </w:r>
      <w:r w:rsidRPr="007F7EBF">
        <w:t xml:space="preserve">uanto indicato nel testo </w:t>
      </w:r>
      <w:r>
        <w:t>è confermato da</w:t>
      </w:r>
      <w:r w:rsidRPr="007F7EBF">
        <w:t xml:space="preserve">ll’art.7 comma 5 del decreto sul contenzioso tributario. Le esperienze concrete di impugnazione al TAR di un regolamento, in materia tributaria, sono </w:t>
      </w:r>
      <w:r>
        <w:t>tuttavia</w:t>
      </w:r>
      <w:r w:rsidRPr="007F7EBF">
        <w:t xml:space="preserve"> quasi inesistenti. </w:t>
      </w:r>
    </w:p>
  </w:footnote>
  <w:footnote w:id="139">
    <w:p w14:paraId="4ABC23B8" w14:textId="66208576" w:rsidR="003B7460" w:rsidRDefault="003B7460" w:rsidP="00E7149A">
      <w:pPr>
        <w:pStyle w:val="Testonotaapidipagina"/>
      </w:pPr>
      <w:r>
        <w:rPr>
          <w:rStyle w:val="Rimandonotaapidipagina"/>
        </w:rPr>
        <w:footnoteRef/>
      </w:r>
      <w:r>
        <w:t xml:space="preserve"> ) </w:t>
      </w:r>
      <w:r w:rsidRPr="007F7EBF">
        <w:t xml:space="preserve">E’ </w:t>
      </w:r>
      <w:r w:rsidRPr="007F7EBF">
        <w:rPr>
          <w:bCs/>
        </w:rPr>
        <w:t>del tutto normale, in tutt</w:t>
      </w:r>
      <w:r>
        <w:rPr>
          <w:bCs/>
        </w:rPr>
        <w:t>o l’</w:t>
      </w:r>
      <w:r w:rsidRPr="007F7EBF">
        <w:rPr>
          <w:bCs/>
        </w:rPr>
        <w:t>intervento pubblico, compres</w:t>
      </w:r>
      <w:r>
        <w:rPr>
          <w:bCs/>
        </w:rPr>
        <w:t>o</w:t>
      </w:r>
      <w:r w:rsidRPr="007F7EBF">
        <w:rPr>
          <w:bCs/>
        </w:rPr>
        <w:t xml:space="preserve"> quell</w:t>
      </w:r>
      <w:r>
        <w:rPr>
          <w:bCs/>
        </w:rPr>
        <w:t>o</w:t>
      </w:r>
      <w:r w:rsidRPr="007F7EBF">
        <w:rPr>
          <w:bCs/>
        </w:rPr>
        <w:t xml:space="preserve"> tributari</w:t>
      </w:r>
      <w:r>
        <w:rPr>
          <w:bCs/>
        </w:rPr>
        <w:t>o</w:t>
      </w:r>
      <w:r w:rsidRPr="007F7EBF">
        <w:rPr>
          <w:bCs/>
        </w:rPr>
        <w:t xml:space="preserve">, </w:t>
      </w:r>
      <w:r>
        <w:rPr>
          <w:bCs/>
        </w:rPr>
        <w:t xml:space="preserve">che </w:t>
      </w:r>
      <w:r w:rsidRPr="007F7EBF">
        <w:rPr>
          <w:bCs/>
        </w:rPr>
        <w:t>le tendenze e le istanze della società</w:t>
      </w:r>
      <w:r>
        <w:rPr>
          <w:bCs/>
        </w:rPr>
        <w:t xml:space="preserve"> siano rappresentate alla politica e all’alta burocrazia attraverso quello che viene chiamato “lobbysmo”. La politica ha inoltre attenzione per g</w:t>
      </w:r>
      <w:r>
        <w:t xml:space="preserve">li aspetti di bilancio, cioè “di gettito” (par.1.9). </w:t>
      </w:r>
    </w:p>
  </w:footnote>
  <w:footnote w:id="140">
    <w:p w14:paraId="2AF96051" w14:textId="18E2028B" w:rsidR="003B7460" w:rsidRPr="007F7EBF" w:rsidRDefault="003B7460" w:rsidP="00086719">
      <w:pPr>
        <w:pStyle w:val="Testonotaapidipagina"/>
      </w:pPr>
      <w:r w:rsidRPr="007F7EBF">
        <w:rPr>
          <w:rStyle w:val="Rimandonotaapidipagina"/>
        </w:rPr>
        <w:footnoteRef/>
      </w:r>
      <w:r w:rsidRPr="007F7EBF">
        <w:t xml:space="preserve"> </w:t>
      </w:r>
      <w:r>
        <w:t xml:space="preserve">) </w:t>
      </w:r>
      <w:r w:rsidRPr="007F7EBF">
        <w:t xml:space="preserve">Ministero dell'Economia, Agenzia delle entrate, Guardia di Finanza, </w:t>
      </w:r>
      <w:r>
        <w:t xml:space="preserve">su cui </w:t>
      </w:r>
      <w:r w:rsidRPr="007F7EBF">
        <w:t xml:space="preserve">par.5.2. </w:t>
      </w:r>
    </w:p>
  </w:footnote>
  <w:footnote w:id="141">
    <w:p w14:paraId="3D4639BD" w14:textId="069352AF" w:rsidR="003B7460" w:rsidRDefault="003B7460">
      <w:pPr>
        <w:pStyle w:val="Testonotaapidipagina"/>
      </w:pPr>
      <w:r>
        <w:rPr>
          <w:rStyle w:val="Rimandonotaapidipagina"/>
        </w:rPr>
        <w:footnoteRef/>
      </w:r>
      <w:r>
        <w:t xml:space="preserve"> </w:t>
      </w:r>
      <w:r>
        <w:rPr>
          <w:bCs/>
          <w:sz w:val="22"/>
          <w:szCs w:val="22"/>
        </w:rPr>
        <w:t xml:space="preserve">In questo modo, </w:t>
      </w:r>
      <w:r>
        <w:t xml:space="preserve">disposizioni di estremo dettaglio, emanate </w:t>
      </w:r>
      <w:r w:rsidRPr="007F7EBF">
        <w:t>per risolvere un problema</w:t>
      </w:r>
      <w:r>
        <w:t xml:space="preserve">, </w:t>
      </w:r>
      <w:r w:rsidRPr="007F7EBF">
        <w:t>s</w:t>
      </w:r>
      <w:r>
        <w:t>pesso ne creano altri se</w:t>
      </w:r>
      <w:r w:rsidRPr="007F7EBF">
        <w:t>nza volerlo, proprio per la rigidit</w:t>
      </w:r>
      <w:r>
        <w:t>à della legislazione e la sua sopravvalutazione.</w:t>
      </w:r>
    </w:p>
  </w:footnote>
  <w:footnote w:id="142">
    <w:p w14:paraId="60962D64" w14:textId="77777777" w:rsidR="003B7460" w:rsidRPr="007640EF" w:rsidRDefault="003B7460" w:rsidP="0012591F">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E’ un volontariato utile e formativo per capire </w:t>
      </w:r>
      <w:r>
        <w:rPr>
          <w:sz w:val="20"/>
          <w:szCs w:val="20"/>
        </w:rPr>
        <w:t>l’interazione tra gli uffici</w:t>
      </w:r>
      <w:r w:rsidRPr="007F7EBF">
        <w:rPr>
          <w:sz w:val="20"/>
          <w:szCs w:val="20"/>
        </w:rPr>
        <w:t xml:space="preserve"> </w:t>
      </w:r>
      <w:r>
        <w:rPr>
          <w:sz w:val="20"/>
          <w:szCs w:val="20"/>
        </w:rPr>
        <w:t>pubblici, la</w:t>
      </w:r>
      <w:r w:rsidRPr="007F7EBF">
        <w:rPr>
          <w:sz w:val="20"/>
          <w:szCs w:val="20"/>
        </w:rPr>
        <w:t xml:space="preserve"> politica e </w:t>
      </w:r>
      <w:r>
        <w:rPr>
          <w:sz w:val="20"/>
          <w:szCs w:val="20"/>
        </w:rPr>
        <w:t xml:space="preserve">la </w:t>
      </w:r>
      <w:r w:rsidRPr="007F7EBF">
        <w:rPr>
          <w:sz w:val="20"/>
          <w:szCs w:val="20"/>
        </w:rPr>
        <w:t xml:space="preserve">pubblica opinione (capitolo 4), svolto anche da chi scrive ai tempi di Vincenzo Visco, ministro delle finanze e Franco Gallo, ministro tecnico nel governo Ciampi. Altre  individualità esterne da ricordare sono Vieri Ceriani, Giampiero Brunello, </w:t>
      </w:r>
      <w:r>
        <w:rPr>
          <w:sz w:val="20"/>
          <w:szCs w:val="20"/>
        </w:rPr>
        <w:t xml:space="preserve">nonché </w:t>
      </w:r>
      <w:r w:rsidRPr="007F7EBF">
        <w:rPr>
          <w:sz w:val="20"/>
          <w:szCs w:val="20"/>
        </w:rPr>
        <w:t>dirigenti di Assonime</w:t>
      </w:r>
      <w:r>
        <w:rPr>
          <w:sz w:val="20"/>
          <w:szCs w:val="20"/>
        </w:rPr>
        <w:t>,</w:t>
      </w:r>
      <w:r w:rsidRPr="007F7EBF">
        <w:rPr>
          <w:sz w:val="20"/>
          <w:szCs w:val="20"/>
        </w:rPr>
        <w:t xml:space="preserve"> Confcommercio</w:t>
      </w:r>
      <w:r>
        <w:rPr>
          <w:sz w:val="20"/>
          <w:szCs w:val="20"/>
        </w:rPr>
        <w:t xml:space="preserve"> o CNA</w:t>
      </w:r>
      <w:r w:rsidRPr="007F7EBF">
        <w:rPr>
          <w:sz w:val="20"/>
          <w:szCs w:val="20"/>
        </w:rPr>
        <w:t xml:space="preserve">, fiduciari delle autorità, </w:t>
      </w:r>
      <w:r>
        <w:rPr>
          <w:sz w:val="20"/>
          <w:szCs w:val="20"/>
        </w:rPr>
        <w:t xml:space="preserve">anche </w:t>
      </w:r>
      <w:r w:rsidRPr="007F7EBF">
        <w:rPr>
          <w:sz w:val="20"/>
          <w:szCs w:val="20"/>
        </w:rPr>
        <w:t>validi</w:t>
      </w:r>
      <w:r>
        <w:rPr>
          <w:sz w:val="20"/>
          <w:szCs w:val="20"/>
        </w:rPr>
        <w:t xml:space="preserve"> individualmente</w:t>
      </w:r>
      <w:r w:rsidRPr="007F7EBF">
        <w:rPr>
          <w:sz w:val="20"/>
          <w:szCs w:val="20"/>
        </w:rPr>
        <w:t>, ma non costituenti nel loro insieme "una comunità",</w:t>
      </w:r>
      <w:r w:rsidRPr="007640EF">
        <w:rPr>
          <w:sz w:val="20"/>
          <w:szCs w:val="20"/>
        </w:rPr>
        <w:t xml:space="preserve">.    </w:t>
      </w:r>
    </w:p>
  </w:footnote>
  <w:footnote w:id="143">
    <w:p w14:paraId="0CAC02EB" w14:textId="7AB4B498" w:rsidR="003B7460" w:rsidRPr="007F7EBF" w:rsidRDefault="003B7460" w:rsidP="001E6FB4">
      <w:pPr>
        <w:pStyle w:val="Testonotaapidipagina"/>
      </w:pPr>
      <w:r w:rsidRPr="007F7EBF">
        <w:rPr>
          <w:rStyle w:val="Rimandonotaapidipagina"/>
        </w:rPr>
        <w:footnoteRef/>
      </w:r>
      <w:r w:rsidRPr="007F7EBF">
        <w:t xml:space="preserve"> ) Su questa sfiducia del legislatore costituente verso l’elettorato dovrebbero innestarsi valutazioni ulteriori, anche di diritto comparato, che la rendono un buon argomento per tesi di laurea o dottorato. In generale il referendum si presta a tastare il polso della pubblica opinione su grandi temi generali, dei quali l’elettorato può focalizzare facilmente i pro e i contro. </w:t>
      </w:r>
      <w:r>
        <w:t>A</w:t>
      </w:r>
      <w:r w:rsidRPr="007F7EBF">
        <w:t xml:space="preserve">nche il referendum in materia tributaria potrebbe essere </w:t>
      </w:r>
      <w:r>
        <w:t>uno strumento di pluralismo se consultivo, p</w:t>
      </w:r>
      <w:r w:rsidRPr="007F7EBF">
        <w:t>er “tastare il polso” su grandi questioni</w:t>
      </w:r>
      <w:r>
        <w:t xml:space="preserve">, da regolare poi legislativamente anche in base all’esito referendario. </w:t>
      </w:r>
    </w:p>
  </w:footnote>
  <w:footnote w:id="144">
    <w:p w14:paraId="21047E57" w14:textId="77777777" w:rsidR="003B7460" w:rsidRPr="007F7EBF" w:rsidRDefault="003B7460" w:rsidP="009B166A">
      <w:pPr>
        <w:pStyle w:val="Testonotaapidipagina"/>
      </w:pPr>
      <w:r w:rsidRPr="007F7EBF">
        <w:rPr>
          <w:rStyle w:val="Rimandonotaapidipagina"/>
        </w:rPr>
        <w:footnoteRef/>
      </w:r>
      <w:r w:rsidRPr="007F7EBF">
        <w:t xml:space="preserve"> Questa mancanza di rango costituzionale deriva dalle </w:t>
      </w:r>
      <w:r w:rsidRPr="007F7EBF">
        <w:rPr>
          <w:bCs/>
        </w:rPr>
        <w:t>difficoltà di superare le lungaggini per l'approvazione, in due letture parlamentari, delle leggi costituzionali. Nella confusione imperante in materia tributaria segnaliamo anche la "battaglia simbolo" , di alcune fasce di opinione (tecniche e minoritarie) per l'attribuzione di rango costituzionale allo statuto del contribuente; la questione è assolutamente irrilevante come vedremo nel testo, ma è un sintomo dell'insofferenza fiscale diffusa connessa alla mancata spiegazione d'insieme della determinazione dei tributi, filo conduttore di questo testo (par.4.3 ss.).</w:t>
      </w:r>
    </w:p>
  </w:footnote>
  <w:footnote w:id="145">
    <w:p w14:paraId="418C4B5B" w14:textId="77777777" w:rsidR="003B7460" w:rsidRPr="007F7EBF" w:rsidRDefault="003B7460" w:rsidP="00102D9B">
      <w:pPr>
        <w:pStyle w:val="Testonotaapidipagina"/>
      </w:pPr>
      <w:r w:rsidRPr="007F7EBF">
        <w:rPr>
          <w:rStyle w:val="Rimandonotaapidipagina"/>
        </w:rPr>
        <w:footnoteRef/>
      </w:r>
      <w:r w:rsidRPr="007F7EBF">
        <w:t xml:space="preserve"> ) Ne  riparleremo a proposito di procedimento amministrativo e di contraddittorio, di "vizi formali", di rapporto tra atto amministrativo e processo, invalidità degli atti e simili. Vedasi soprattutto i paragrafi 6.1, 6.2, 6.7 etc.. </w:t>
      </w:r>
    </w:p>
  </w:footnote>
  <w:footnote w:id="146">
    <w:p w14:paraId="7C266223" w14:textId="16A7931D" w:rsidR="003B7460" w:rsidRPr="007F7EBF" w:rsidRDefault="003B7460" w:rsidP="00F04406">
      <w:pPr>
        <w:pStyle w:val="Testonotaapidipagina"/>
      </w:pPr>
      <w:r w:rsidRPr="007F7EBF">
        <w:rPr>
          <w:rStyle w:val="Rimandonotaapidipagina"/>
        </w:rPr>
        <w:footnoteRef/>
      </w:r>
      <w:r w:rsidRPr="007F7EBF">
        <w:t xml:space="preserve"> ) </w:t>
      </w:r>
      <w:r>
        <w:t>E’ un altro inconveniente della sopravvalutazione tecnica delle regole, rispetto al diritto come studio sociale delle pubbliche funzioni (par.1.3).</w:t>
      </w:r>
    </w:p>
  </w:footnote>
  <w:footnote w:id="147">
    <w:p w14:paraId="42EA48F7" w14:textId="77777777" w:rsidR="003B7460" w:rsidRPr="007F7EBF" w:rsidRDefault="003B7460" w:rsidP="009B166A">
      <w:pPr>
        <w:pStyle w:val="Testonotaapidipagina"/>
      </w:pPr>
      <w:r w:rsidRPr="007F7EBF">
        <w:rPr>
          <w:rStyle w:val="Rimandonotaapidipagina"/>
        </w:rPr>
        <w:footnoteRef/>
      </w:r>
      <w:r w:rsidRPr="007F7EBF">
        <w:t xml:space="preserve"> ) Su questa premessa il potere politico dovrebbe per definizione saper scegliere, o trovare compromessi, all’interno delle scale di valori della pubblica opinione, dando indicazioni adeguate al giudice. </w:t>
      </w:r>
    </w:p>
  </w:footnote>
  <w:footnote w:id="148">
    <w:p w14:paraId="30FE0426" w14:textId="6D5E8E84" w:rsidR="003B7460" w:rsidRPr="007F7EBF" w:rsidRDefault="003B7460" w:rsidP="009B166A">
      <w:pPr>
        <w:pStyle w:val="Testonotaapidipagina"/>
      </w:pPr>
      <w:r w:rsidRPr="007F7EBF">
        <w:rPr>
          <w:rStyle w:val="Rimandonotaapidipagina"/>
        </w:rPr>
        <w:footnoteRef/>
      </w:r>
      <w:r w:rsidRPr="007F7EBF">
        <w:t xml:space="preserve"> </w:t>
      </w:r>
      <w:r>
        <w:t xml:space="preserve">) </w:t>
      </w:r>
      <w:r w:rsidRPr="007F7EBF">
        <w:t>In altri termini</w:t>
      </w:r>
      <w:r>
        <w:t xml:space="preserve">, </w:t>
      </w:r>
      <w:r w:rsidRPr="007F7EBF">
        <w:t xml:space="preserve">anche </w:t>
      </w:r>
      <w:r w:rsidRPr="007F7EBF">
        <w:rPr>
          <w:bCs/>
        </w:rPr>
        <w:t xml:space="preserve">norme </w:t>
      </w:r>
      <w:r>
        <w:rPr>
          <w:bCs/>
        </w:rPr>
        <w:t xml:space="preserve">in sé chiare </w:t>
      </w:r>
      <w:proofErr w:type="spellStart"/>
      <w:r w:rsidRPr="007F7EBF">
        <w:rPr>
          <w:bCs/>
        </w:rPr>
        <w:t>chiare</w:t>
      </w:r>
      <w:proofErr w:type="spellEnd"/>
      <w:r w:rsidRPr="007F7EBF">
        <w:rPr>
          <w:bCs/>
        </w:rPr>
        <w:t xml:space="preserve"> diventano difficili quando manca un quadro condiviso del settore cui esse si riferiscono. </w:t>
      </w:r>
    </w:p>
  </w:footnote>
  <w:footnote w:id="149">
    <w:p w14:paraId="3369A8D1" w14:textId="76F93679" w:rsidR="003B7460" w:rsidRPr="007F7EBF" w:rsidRDefault="003B7460" w:rsidP="000829CE">
      <w:pPr>
        <w:pStyle w:val="Testonotaapidipagina"/>
      </w:pPr>
      <w:r w:rsidRPr="007F7EBF">
        <w:rPr>
          <w:rStyle w:val="Rimandonotaapidipagina"/>
        </w:rPr>
        <w:footnoteRef/>
      </w:r>
      <w:r w:rsidRPr="007F7EBF">
        <w:t xml:space="preserve"> )</w:t>
      </w:r>
      <w:r>
        <w:t xml:space="preserve"> </w:t>
      </w:r>
      <w:r>
        <w:rPr>
          <w:sz w:val="22"/>
          <w:szCs w:val="22"/>
        </w:rPr>
        <w:t>E quindi del</w:t>
      </w:r>
      <w:r w:rsidRPr="007F7EBF">
        <w:t>la politica</w:t>
      </w:r>
      <w:r>
        <w:t xml:space="preserve">, cui nei </w:t>
      </w:r>
      <w:r w:rsidRPr="007F7EBF">
        <w:t xml:space="preserve">modelli culturali </w:t>
      </w:r>
      <w:r>
        <w:t xml:space="preserve">preindustriali corrispondeva il potere sul principale fattore produttivo, cioè </w:t>
      </w:r>
      <w:r w:rsidRPr="007F7EBF">
        <w:t>l</w:t>
      </w:r>
      <w:r>
        <w:t>a</w:t>
      </w:r>
      <w:r w:rsidRPr="007F7EBF">
        <w:t xml:space="preserve"> terr</w:t>
      </w:r>
      <w:r>
        <w:t xml:space="preserve">a (non a caso il potere politico veniva all’epoca visto in quasi in modo metafisico, anello di congiunzione </w:t>
      </w:r>
      <w:r w:rsidRPr="007F7EBF">
        <w:t>umano e divino</w:t>
      </w:r>
      <w:r>
        <w:t xml:space="preserve">, come nell’immagine dei re taumaturghi). </w:t>
      </w:r>
    </w:p>
  </w:footnote>
  <w:footnote w:id="150">
    <w:p w14:paraId="7A23C094" w14:textId="787E9021" w:rsidR="003B7460" w:rsidRPr="00FE7CA9" w:rsidRDefault="003B7460" w:rsidP="00FE7CA9">
      <w:pPr>
        <w:rPr>
          <w:sz w:val="22"/>
          <w:szCs w:val="22"/>
        </w:rPr>
      </w:pPr>
      <w:r>
        <w:rPr>
          <w:rStyle w:val="Rimandonotaapidipagina"/>
        </w:rPr>
        <w:footnoteRef/>
      </w:r>
      <w:r>
        <w:t xml:space="preserve"> ) Il pluralismo riguarda la libertà di manifestazione del pensiero e di organizzazione politica, mentre la “democrazia” è un aspetto più tecnico, riferito alle modalità di  selezione del vertice politico, con varie opzioni tra “rappresentanza”, competenza e “governabilità” (non essendo possibile che, in una società complessa, tutti si interessino di tutto con cognizione di causa, nel mito della “democrazia diretta”).</w:t>
      </w:r>
    </w:p>
  </w:footnote>
  <w:footnote w:id="151">
    <w:p w14:paraId="30D5C9C1" w14:textId="47AB1348" w:rsidR="003B7460" w:rsidRDefault="003B7460" w:rsidP="00F66747">
      <w:pPr>
        <w:pStyle w:val="Testonotaapidipagina"/>
      </w:pPr>
      <w:r>
        <w:rPr>
          <w:rStyle w:val="Rimandonotaapidipagina"/>
        </w:rPr>
        <w:footnoteRef/>
      </w:r>
      <w:r>
        <w:t xml:space="preserve"> ) </w:t>
      </w:r>
      <w:r>
        <w:rPr>
          <w:sz w:val="22"/>
          <w:szCs w:val="22"/>
          <w:lang w:eastAsia="x-none"/>
        </w:rPr>
        <w:t>A</w:t>
      </w:r>
      <w:r w:rsidRPr="007F7EBF">
        <w:rPr>
          <w:sz w:val="22"/>
          <w:szCs w:val="22"/>
        </w:rPr>
        <w:t xml:space="preserve">ssociazioni di </w:t>
      </w:r>
      <w:r>
        <w:rPr>
          <w:sz w:val="22"/>
          <w:szCs w:val="22"/>
        </w:rPr>
        <w:t xml:space="preserve">lavoratori, </w:t>
      </w:r>
      <w:r w:rsidRPr="007F7EBF">
        <w:rPr>
          <w:sz w:val="22"/>
          <w:szCs w:val="22"/>
        </w:rPr>
        <w:t>commercianti, imprenditori, proprietari di immobili, consumatori, istituzioni europee, mercati finanziari, enti locali, operatori dell'informazione</w:t>
      </w:r>
      <w:r>
        <w:t xml:space="preserve">. E’ un fatto </w:t>
      </w:r>
      <w:r w:rsidRPr="007F7EBF">
        <w:t>in sé positiv</w:t>
      </w:r>
      <w:r>
        <w:t>o</w:t>
      </w:r>
      <w:r w:rsidRPr="007F7EBF">
        <w:t>, in quanto corrisponde a</w:t>
      </w:r>
      <w:r>
        <w:t>ll’</w:t>
      </w:r>
      <w:r w:rsidRPr="007F7EBF">
        <w:t>aumento quali</w:t>
      </w:r>
      <w:r>
        <w:t>-quanti</w:t>
      </w:r>
      <w:r w:rsidRPr="007F7EBF">
        <w:t>tativo della pubblica opinion</w:t>
      </w:r>
      <w:r>
        <w:t>e di cui al par.</w:t>
      </w:r>
      <w:r w:rsidRPr="00FE3595">
        <w:t xml:space="preserve"> </w:t>
      </w:r>
      <w:r>
        <w:t xml:space="preserve">4.1, nonché al </w:t>
      </w:r>
      <w:r w:rsidRPr="007F7EBF">
        <w:t xml:space="preserve"> ridimensionamento</w:t>
      </w:r>
      <w:r>
        <w:t xml:space="preserve"> delle ideologie </w:t>
      </w:r>
      <w:r w:rsidRPr="007F7EBF">
        <w:t>totalizzanti.</w:t>
      </w:r>
      <w:r w:rsidRPr="00FE4821">
        <w:t xml:space="preserve"> </w:t>
      </w:r>
      <w:r>
        <w:t xml:space="preserve">Tuttavia questa pluralità di interlocuzioni crea ambiguità legislativa, su tutti i “temi sensibili”, come </w:t>
      </w:r>
      <w:r w:rsidRPr="007F7EBF">
        <w:t xml:space="preserve">i flussi migratori, il "fine vita", le famiglie di fatto, le scuole private, l'ambiente, gli animali domestici, </w:t>
      </w:r>
      <w:r>
        <w:t xml:space="preserve">i trasporti, la viabilità, </w:t>
      </w:r>
      <w:proofErr w:type="spellStart"/>
      <w:r w:rsidRPr="007F7EBF">
        <w:t>etc</w:t>
      </w:r>
      <w:proofErr w:type="spellEnd"/>
    </w:p>
  </w:footnote>
  <w:footnote w:id="152">
    <w:p w14:paraId="0D6DE83B" w14:textId="77777777" w:rsidR="003B7460" w:rsidRPr="007F7EBF" w:rsidRDefault="003B7460" w:rsidP="00171EED">
      <w:pPr>
        <w:pStyle w:val="Testonotaapidipagina"/>
      </w:pPr>
      <w:r w:rsidRPr="007F7EBF">
        <w:rPr>
          <w:rStyle w:val="Rimandonotaapidipagina"/>
        </w:rPr>
        <w:footnoteRef/>
      </w:r>
      <w:r>
        <w:t>) Tutte le tendenze d’opinione so</w:t>
      </w:r>
      <w:r w:rsidRPr="007F7EBF">
        <w:t xml:space="preserve">no </w:t>
      </w:r>
      <w:r>
        <w:t xml:space="preserve">variamente considerate in relazione alla loro </w:t>
      </w:r>
      <w:r w:rsidRPr="007F7EBF">
        <w:t>importanza sociale</w:t>
      </w:r>
      <w:r>
        <w:t xml:space="preserve">, </w:t>
      </w:r>
      <w:r w:rsidRPr="007F7EBF">
        <w:t xml:space="preserve">alla vicinanza </w:t>
      </w:r>
      <w:r>
        <w:t>d’area politica, all’impatto sull’economia, sulla reputazione internazionale, etc.. Del resto tenere conto in qualche misura di tutte le tendenze di opinione riflette la sovranità popolare, che u</w:t>
      </w:r>
      <w:r w:rsidRPr="007F7EBF">
        <w:t>n intellettualismo elitario</w:t>
      </w:r>
      <w:r>
        <w:t xml:space="preserve"> oggi</w:t>
      </w:r>
      <w:r w:rsidRPr="007F7EBF">
        <w:t xml:space="preserve"> </w:t>
      </w:r>
      <w:r>
        <w:t xml:space="preserve">disprezza, definendoli “populismo” e </w:t>
      </w:r>
      <w:r w:rsidRPr="007F7EBF">
        <w:t>dimentica</w:t>
      </w:r>
      <w:r>
        <w:t xml:space="preserve">ndo </w:t>
      </w:r>
      <w:r w:rsidRPr="007F7EBF">
        <w:t>che  “i voti si contano e non si pesano”</w:t>
      </w:r>
      <w:r>
        <w:t xml:space="preserve">. L’aiuto degli studiosi sociali serve quindi alla politica per trovare una sintesi d’interesse generale tra queste tendenze di opinione. </w:t>
      </w:r>
    </w:p>
  </w:footnote>
  <w:footnote w:id="153">
    <w:p w14:paraId="189717E4" w14:textId="40D4949B" w:rsidR="003B7460" w:rsidRPr="00F515B6" w:rsidRDefault="003B7460" w:rsidP="00F53278">
      <w:pPr>
        <w:pStyle w:val="Testonotaapidipagina"/>
        <w:rPr>
          <w:iCs/>
        </w:rPr>
      </w:pPr>
      <w:r w:rsidRPr="007F7EBF">
        <w:rPr>
          <w:rStyle w:val="Rimandonotaapidipagina"/>
        </w:rPr>
        <w:footnoteRef/>
      </w:r>
      <w:r w:rsidRPr="007F7EBF">
        <w:t xml:space="preserve"> ) </w:t>
      </w:r>
      <w:r>
        <w:t xml:space="preserve">Come esempi tributari di </w:t>
      </w:r>
      <w:r w:rsidRPr="007F7EBF">
        <w:t xml:space="preserve">legislazione in funzione </w:t>
      </w:r>
      <w:r>
        <w:t xml:space="preserve">mediatica, priva di senso sul piano della determinazione degli imponibili, ricordo le </w:t>
      </w:r>
      <w:r w:rsidRPr="007F7EBF">
        <w:t xml:space="preserve">società di comodo di cui al par.7.5, </w:t>
      </w:r>
      <w:r>
        <w:t xml:space="preserve">gli scudi fiscali </w:t>
      </w:r>
      <w:r w:rsidRPr="007F7EBF">
        <w:t xml:space="preserve"> (par.5.20), la </w:t>
      </w:r>
      <w:r>
        <w:t xml:space="preserve">c.d. </w:t>
      </w:r>
      <w:r w:rsidRPr="00DA631F">
        <w:rPr>
          <w:i/>
        </w:rPr>
        <w:t xml:space="preserve">Robin </w:t>
      </w:r>
      <w:proofErr w:type="spellStart"/>
      <w:r w:rsidRPr="00DA631F">
        <w:rPr>
          <w:i/>
        </w:rPr>
        <w:t>hood</w:t>
      </w:r>
      <w:proofErr w:type="spellEnd"/>
      <w:r w:rsidRPr="00DA631F">
        <w:rPr>
          <w:i/>
        </w:rPr>
        <w:t xml:space="preserve"> tax</w:t>
      </w:r>
      <w:r w:rsidRPr="007F7EBF">
        <w:t xml:space="preserve">, la </w:t>
      </w:r>
      <w:r w:rsidRPr="00DA631F">
        <w:rPr>
          <w:i/>
        </w:rPr>
        <w:t>porno tax,</w:t>
      </w:r>
      <w:r w:rsidRPr="007F7EBF">
        <w:t xml:space="preserve"> gli annunci sugli accertamenti di massa di amministratori di condominio e dentisti, </w:t>
      </w:r>
      <w:r>
        <w:t>l</w:t>
      </w:r>
      <w:r w:rsidRPr="007F7EBF">
        <w:t>’accertamento sintetico (par.5.14)</w:t>
      </w:r>
      <w:r>
        <w:t xml:space="preserve">; pare che il ministro proponente avesse teorizzato </w:t>
      </w:r>
      <w:r w:rsidRPr="007F7EBF">
        <w:t xml:space="preserve">interventi fiscali dove </w:t>
      </w:r>
      <w:r w:rsidRPr="007F7EBF">
        <w:rPr>
          <w:i/>
        </w:rPr>
        <w:t>pagano in pochissimi e possibilmente che non votino</w:t>
      </w:r>
      <w:r>
        <w:rPr>
          <w:i/>
        </w:rPr>
        <w:t xml:space="preserve">. </w:t>
      </w:r>
      <w:r>
        <w:rPr>
          <w:iCs/>
        </w:rPr>
        <w:t xml:space="preserve">Analoga disposizione varata per </w:t>
      </w:r>
      <w:r>
        <w:rPr>
          <w:i/>
        </w:rPr>
        <w:t xml:space="preserve">prendere tempo </w:t>
      </w:r>
      <w:r>
        <w:rPr>
          <w:iCs/>
        </w:rPr>
        <w:t xml:space="preserve">fu l’inutilissima legge delega per la riforma del 2015, cui seguirono iniziative del tutto secondarie. </w:t>
      </w:r>
    </w:p>
  </w:footnote>
  <w:footnote w:id="154">
    <w:p w14:paraId="00BF4955" w14:textId="6C091C59" w:rsidR="003B7460" w:rsidRPr="007F7EBF" w:rsidRDefault="003B7460" w:rsidP="00171EED">
      <w:pPr>
        <w:pStyle w:val="Testonotaapidipagina"/>
      </w:pPr>
      <w:r w:rsidRPr="007F7EBF">
        <w:rPr>
          <w:rStyle w:val="Rimandonotaapidipagina"/>
        </w:rPr>
        <w:footnoteRef/>
      </w:r>
      <w:r w:rsidRPr="007F7EBF">
        <w:t xml:space="preserve"> </w:t>
      </w:r>
      <w:r>
        <w:t>) La legge è strumento di potere, ordina, non spiega, come diceva il Digesto (</w:t>
      </w:r>
      <w:r w:rsidRPr="007F7EBF">
        <w:t xml:space="preserve"> </w:t>
      </w:r>
      <w:r w:rsidRPr="007F7EBF">
        <w:rPr>
          <w:i/>
        </w:rPr>
        <w:t xml:space="preserve">Legis </w:t>
      </w:r>
      <w:proofErr w:type="spellStart"/>
      <w:r w:rsidRPr="007F7EBF">
        <w:rPr>
          <w:i/>
        </w:rPr>
        <w:t>virtus</w:t>
      </w:r>
      <w:proofErr w:type="spellEnd"/>
      <w:r w:rsidRPr="007F7EBF">
        <w:rPr>
          <w:i/>
        </w:rPr>
        <w:t xml:space="preserve"> </w:t>
      </w:r>
      <w:proofErr w:type="spellStart"/>
      <w:r w:rsidRPr="007F7EBF">
        <w:rPr>
          <w:i/>
        </w:rPr>
        <w:t>haec</w:t>
      </w:r>
      <w:proofErr w:type="spellEnd"/>
      <w:r w:rsidRPr="007F7EBF">
        <w:rPr>
          <w:i/>
        </w:rPr>
        <w:t xml:space="preserve"> est: imperare, </w:t>
      </w:r>
      <w:proofErr w:type="spellStart"/>
      <w:r w:rsidRPr="007F7EBF">
        <w:rPr>
          <w:i/>
        </w:rPr>
        <w:t>vetare</w:t>
      </w:r>
      <w:proofErr w:type="spellEnd"/>
      <w:r w:rsidRPr="007F7EBF">
        <w:rPr>
          <w:i/>
        </w:rPr>
        <w:t xml:space="preserve">, </w:t>
      </w:r>
      <w:proofErr w:type="spellStart"/>
      <w:r w:rsidRPr="007F7EBF">
        <w:rPr>
          <w:i/>
        </w:rPr>
        <w:t>permittere</w:t>
      </w:r>
      <w:proofErr w:type="spellEnd"/>
      <w:r w:rsidRPr="007F7EBF">
        <w:rPr>
          <w:i/>
        </w:rPr>
        <w:t>, punire</w:t>
      </w:r>
      <w:r>
        <w:t xml:space="preserve"> ) mentre la </w:t>
      </w:r>
      <w:r w:rsidRPr="00107F90">
        <w:rPr>
          <w:i/>
        </w:rPr>
        <w:t>spiegazione</w:t>
      </w:r>
      <w:r>
        <w:rPr>
          <w:i/>
        </w:rPr>
        <w:t xml:space="preserve"> scientifico sociale</w:t>
      </w:r>
      <w:r>
        <w:t xml:space="preserve"> spetta “al sapere”, oggi studiosi sociali, nei termini di cui al par.4.7. Dal timore della </w:t>
      </w:r>
      <w:r w:rsidRPr="0039020B">
        <w:rPr>
          <w:i/>
        </w:rPr>
        <w:t>legge della giungla</w:t>
      </w:r>
      <w:r>
        <w:t xml:space="preserve"> si passa alla paralisi indotta dalla </w:t>
      </w:r>
      <w:r w:rsidRPr="0039020B">
        <w:rPr>
          <w:i/>
        </w:rPr>
        <w:t>giungla delle leggi</w:t>
      </w:r>
      <w:r>
        <w:t>, col sistema normativo paragonabile al letame, che più si rivolta e più puzza</w:t>
      </w:r>
      <w:r>
        <w:rPr>
          <w:sz w:val="22"/>
          <w:szCs w:val="22"/>
        </w:rPr>
        <w:t xml:space="preserve">. </w:t>
      </w:r>
    </w:p>
  </w:footnote>
  <w:footnote w:id="155">
    <w:p w14:paraId="69667DB0" w14:textId="5B6BD363" w:rsidR="003B7460" w:rsidRDefault="003B7460" w:rsidP="00314BBA">
      <w:pPr>
        <w:pStyle w:val="Testonotaapidipagina"/>
      </w:pPr>
      <w:r>
        <w:rPr>
          <w:rStyle w:val="Rimandonotaapidipagina"/>
        </w:rPr>
        <w:footnoteRef/>
      </w:r>
      <w:r>
        <w:t xml:space="preserve"> ) C</w:t>
      </w:r>
      <w:r w:rsidRPr="00023DD3">
        <w:t>itazioni riferite a Zanardelli e Carnelutti</w:t>
      </w:r>
      <w:r w:rsidRPr="00715711">
        <w:t xml:space="preserve"> </w:t>
      </w:r>
      <w:r>
        <w:t xml:space="preserve">ma è verosimile che </w:t>
      </w:r>
      <w:r w:rsidRPr="007F7EBF">
        <w:t xml:space="preserve"> persino promotori e redattori di leggi manifesto </w:t>
      </w:r>
      <w:r>
        <w:t>siano con</w:t>
      </w:r>
      <w:r w:rsidRPr="007F7EBF">
        <w:t xml:space="preserve">sapevoli </w:t>
      </w:r>
      <w:r>
        <w:t>del loro cattivo confezionamento</w:t>
      </w:r>
      <w:r w:rsidRPr="007F7EBF">
        <w:t xml:space="preserve">, </w:t>
      </w:r>
      <w:r>
        <w:t xml:space="preserve">vedendone </w:t>
      </w:r>
      <w:r w:rsidRPr="007F7EBF">
        <w:t xml:space="preserve">la successiva inosservanza </w:t>
      </w:r>
      <w:r>
        <w:t>come un rimedio</w:t>
      </w:r>
      <w:r w:rsidRPr="007F7EBF">
        <w:t>.</w:t>
      </w:r>
      <w:r>
        <w:t xml:space="preserve"> </w:t>
      </w:r>
    </w:p>
  </w:footnote>
  <w:footnote w:id="156">
    <w:p w14:paraId="07F89419" w14:textId="00037087" w:rsidR="003B7460" w:rsidRPr="007F7EBF" w:rsidRDefault="003B7460" w:rsidP="00171EED">
      <w:pPr>
        <w:pStyle w:val="Testonotaapidipagina"/>
      </w:pPr>
      <w:r w:rsidRPr="007F7EBF">
        <w:rPr>
          <w:rStyle w:val="Rimandonotaapidipagina"/>
        </w:rPr>
        <w:footnoteRef/>
      </w:r>
      <w:r w:rsidRPr="007F7EBF">
        <w:t xml:space="preserve"> ) </w:t>
      </w:r>
      <w:r>
        <w:t>A questa legislazione si addice il tacitiano "</w:t>
      </w:r>
      <w:proofErr w:type="spellStart"/>
      <w:r>
        <w:rPr>
          <w:i/>
        </w:rPr>
        <w:t>corruptissima</w:t>
      </w:r>
      <w:proofErr w:type="spellEnd"/>
      <w:r>
        <w:rPr>
          <w:i/>
        </w:rPr>
        <w:t xml:space="preserve"> re </w:t>
      </w:r>
      <w:proofErr w:type="spellStart"/>
      <w:r>
        <w:rPr>
          <w:i/>
        </w:rPr>
        <w:t>publica</w:t>
      </w:r>
      <w:proofErr w:type="spellEnd"/>
      <w:r>
        <w:rPr>
          <w:i/>
        </w:rPr>
        <w:t xml:space="preserve"> </w:t>
      </w:r>
      <w:proofErr w:type="spellStart"/>
      <w:r>
        <w:rPr>
          <w:i/>
        </w:rPr>
        <w:t>plurimae</w:t>
      </w:r>
      <w:proofErr w:type="spellEnd"/>
      <w:r>
        <w:rPr>
          <w:i/>
        </w:rPr>
        <w:t xml:space="preserve"> </w:t>
      </w:r>
      <w:proofErr w:type="spellStart"/>
      <w:r>
        <w:rPr>
          <w:i/>
        </w:rPr>
        <w:t>leges</w:t>
      </w:r>
      <w:proofErr w:type="spellEnd"/>
      <w:r>
        <w:rPr>
          <w:i/>
        </w:rPr>
        <w:t xml:space="preserve"> </w:t>
      </w:r>
      <w:r>
        <w:t>anche perché la confusione prelude alla corruzione, come vedremo al par.5.11.</w:t>
      </w:r>
    </w:p>
  </w:footnote>
  <w:footnote w:id="157">
    <w:p w14:paraId="3909BDD5" w14:textId="51C3B5F4" w:rsidR="003B7460" w:rsidRDefault="003B7460">
      <w:pPr>
        <w:pStyle w:val="Testonotaapidipagina"/>
      </w:pPr>
      <w:r>
        <w:rPr>
          <w:rStyle w:val="Rimandonotaapidipagina"/>
        </w:rPr>
        <w:footnoteRef/>
      </w:r>
      <w:r>
        <w:t xml:space="preserve"> ) Salvo ovviamente che non si riferisca l’espressione “tutto è politica” alla generica “socialità” dell’esistenza umana, con accezione corretta, ma poco utile. </w:t>
      </w:r>
    </w:p>
  </w:footnote>
  <w:footnote w:id="158">
    <w:p w14:paraId="581C3A29" w14:textId="601527B1" w:rsidR="003B7460" w:rsidRDefault="003B7460">
      <w:pPr>
        <w:pStyle w:val="Testonotaapidipagina"/>
      </w:pPr>
      <w:r>
        <w:rPr>
          <w:rStyle w:val="Rimandonotaapidipagina"/>
        </w:rPr>
        <w:footnoteRef/>
      </w:r>
      <w:r>
        <w:t xml:space="preserve"> )</w:t>
      </w:r>
      <w:r w:rsidRPr="00EA7EA3">
        <w:rPr>
          <w:sz w:val="22"/>
          <w:szCs w:val="22"/>
        </w:rPr>
        <w:t xml:space="preserve"> </w:t>
      </w:r>
      <w:r>
        <w:rPr>
          <w:sz w:val="22"/>
          <w:szCs w:val="22"/>
        </w:rPr>
        <w:t>Quest’ultimo è molto più intensamente connesso alla comunicazione “alta e nobile” c</w:t>
      </w:r>
      <w:r w:rsidRPr="00EA7EA3">
        <w:rPr>
          <w:sz w:val="22"/>
          <w:szCs w:val="22"/>
        </w:rPr>
        <w:t>ome quando Kennedy esortava a non pensare a cosa l’America farà per voi, ma a cosa voi farete per l’America, o Churchill offriva solo sangue fatiche lacrime e sudore</w:t>
      </w:r>
      <w:r>
        <w:rPr>
          <w:sz w:val="22"/>
          <w:szCs w:val="22"/>
        </w:rPr>
        <w:t xml:space="preserve">. Il voto di scambio, insomma, “pesa poco” (oltre a costare troppo!), in quanto la massa del consenso (come l’amore) non si compra, ma si suscita con </w:t>
      </w:r>
      <w:r w:rsidRPr="00EA7EA3">
        <w:rPr>
          <w:sz w:val="22"/>
          <w:szCs w:val="22"/>
        </w:rPr>
        <w:t>prospettive di lungo periodo</w:t>
      </w:r>
      <w:r>
        <w:rPr>
          <w:sz w:val="22"/>
          <w:szCs w:val="22"/>
        </w:rPr>
        <w:t xml:space="preserve">; riprendendo l’aforisma di De Gasperi sulla differenza tra politico e statista, bisogna far capire alle prossime elezioni di fare l’interesse generale </w:t>
      </w:r>
      <w:r w:rsidRPr="00EA7EA3">
        <w:rPr>
          <w:sz w:val="22"/>
          <w:szCs w:val="22"/>
        </w:rPr>
        <w:t>per le prossime generazioni</w:t>
      </w:r>
      <w:r>
        <w:rPr>
          <w:sz w:val="22"/>
          <w:szCs w:val="22"/>
        </w:rPr>
        <w:t xml:space="preserve">. </w:t>
      </w:r>
    </w:p>
  </w:footnote>
  <w:footnote w:id="159">
    <w:p w14:paraId="5A4A0CC6" w14:textId="77777777" w:rsidR="003B7460" w:rsidRDefault="003B7460" w:rsidP="002D3CBB">
      <w:pPr>
        <w:pStyle w:val="Testonotaapidipagina"/>
      </w:pPr>
      <w:r>
        <w:rPr>
          <w:rStyle w:val="Rimandonotaapidipagina"/>
        </w:rPr>
        <w:footnoteRef/>
      </w:r>
      <w:r>
        <w:t xml:space="preserve"> ) </w:t>
      </w:r>
      <w:r>
        <w:rPr>
          <w:sz w:val="22"/>
          <w:szCs w:val="22"/>
        </w:rPr>
        <w:t xml:space="preserve">Tipico delle </w:t>
      </w:r>
      <w:r w:rsidRPr="007F7EBF">
        <w:rPr>
          <w:sz w:val="22"/>
          <w:szCs w:val="22"/>
        </w:rPr>
        <w:t>democrazie pluraliste</w:t>
      </w:r>
      <w:r>
        <w:rPr>
          <w:sz w:val="22"/>
          <w:szCs w:val="22"/>
        </w:rPr>
        <w:t>, coi controlli e contrappesi (</w:t>
      </w:r>
      <w:r w:rsidRPr="003F13AF">
        <w:rPr>
          <w:i/>
          <w:sz w:val="22"/>
          <w:szCs w:val="22"/>
        </w:rPr>
        <w:t>checks</w:t>
      </w:r>
      <w:r>
        <w:rPr>
          <w:sz w:val="22"/>
          <w:szCs w:val="22"/>
        </w:rPr>
        <w:t xml:space="preserve"> </w:t>
      </w:r>
      <w:r w:rsidRPr="003F13AF">
        <w:rPr>
          <w:i/>
          <w:sz w:val="22"/>
          <w:szCs w:val="22"/>
        </w:rPr>
        <w:t>and</w:t>
      </w:r>
      <w:r>
        <w:rPr>
          <w:sz w:val="22"/>
          <w:szCs w:val="22"/>
        </w:rPr>
        <w:t xml:space="preserve"> </w:t>
      </w:r>
      <w:r w:rsidRPr="003F13AF">
        <w:rPr>
          <w:i/>
          <w:sz w:val="22"/>
          <w:szCs w:val="22"/>
        </w:rPr>
        <w:t>balances</w:t>
      </w:r>
      <w:r>
        <w:rPr>
          <w:sz w:val="22"/>
          <w:szCs w:val="22"/>
        </w:rPr>
        <w:t>), gi</w:t>
      </w:r>
      <w:r>
        <w:t>à indicati al par.1.3 contestualizzando le espressioni “stato di diritto” e “governo della legge”.</w:t>
      </w:r>
      <w:r w:rsidRPr="002B1CE3">
        <w:t xml:space="preserve"> </w:t>
      </w:r>
      <w:r>
        <w:t xml:space="preserve">Anche il controllo di costituzionalità conferma che, in questa società complessa e pluralista </w:t>
      </w:r>
      <w:r w:rsidRPr="007F7EBF">
        <w:t>il ruolo del diritto</w:t>
      </w:r>
      <w:r>
        <w:t xml:space="preserve"> aumenta, anche solo come riflesso della ripartizione dei compiti.</w:t>
      </w:r>
    </w:p>
  </w:footnote>
  <w:footnote w:id="160">
    <w:p w14:paraId="3F4CF1D4" w14:textId="2EADAD0C" w:rsidR="003B7460" w:rsidRPr="007F7EBF" w:rsidRDefault="003B7460" w:rsidP="00877AC7">
      <w:pPr>
        <w:pStyle w:val="Testonotaapidipagina"/>
      </w:pPr>
      <w:r w:rsidRPr="007F7EBF">
        <w:rPr>
          <w:rStyle w:val="Rimandonotaapidipagina"/>
        </w:rPr>
        <w:footnoteRef/>
      </w:r>
      <w:r w:rsidRPr="007F7EBF">
        <w:t xml:space="preserve"> )</w:t>
      </w:r>
      <w:r>
        <w:t xml:space="preserve"> Anche la Corte Costituzionale, </w:t>
      </w:r>
      <w:proofErr w:type="spellStart"/>
      <w:r>
        <w:t>benchè</w:t>
      </w:r>
      <w:proofErr w:type="spellEnd"/>
      <w:r>
        <w:t xml:space="preserve"> contigua alla politica avverte la natura “derivata” del proprio potere, riproponendo l’ambiguità del rapporto tra politica e diritto, con le sue venature di ipocrisia, che spingono a cercare giustificazioni tecniche quanto più ci si avventura su terreni politici. </w:t>
      </w:r>
    </w:p>
  </w:footnote>
  <w:footnote w:id="161">
    <w:p w14:paraId="7C7AAF8F" w14:textId="77777777" w:rsidR="003B7460" w:rsidRPr="007F7EBF" w:rsidRDefault="003B7460" w:rsidP="007562BF">
      <w:pPr>
        <w:pStyle w:val="Testonotaapidipagina"/>
      </w:pPr>
      <w:r w:rsidRPr="007F7EBF">
        <w:rPr>
          <w:rStyle w:val="Rimandonotaapidipagina"/>
        </w:rPr>
        <w:footnoteRef/>
      </w:r>
      <w:r w:rsidRPr="007F7EBF">
        <w:t xml:space="preserve"> ) Si potrebbero elencare una serie di sentenze del tutto indifferenti verso le logiche di determinazione de</w:t>
      </w:r>
      <w:r>
        <w:t>gli imponibili</w:t>
      </w:r>
      <w:r w:rsidRPr="007F7EBF">
        <w:t>, da quelle sui “costi-neri ricavi neri”, il valore presuntivo dei prelevamenti bancari, la maggiorazione di conguaglio sugli utili a non residenti, e molte altre da cui emerge l’impaccio dei giudici di legittimità davanti ai concetti economici.</w:t>
      </w:r>
    </w:p>
  </w:footnote>
  <w:footnote w:id="162">
    <w:p w14:paraId="39549876" w14:textId="77777777" w:rsidR="003B7460" w:rsidRPr="007F7EBF" w:rsidRDefault="003B7460" w:rsidP="007562BF">
      <w:pPr>
        <w:pStyle w:val="Testonotaapidipagina"/>
      </w:pPr>
      <w:r w:rsidRPr="007F7EBF">
        <w:rPr>
          <w:rStyle w:val="Rimandonotaapidipagina"/>
        </w:rPr>
        <w:footnoteRef/>
      </w:r>
      <w:r w:rsidRPr="007F7EBF">
        <w:t xml:space="preserve"> ) </w:t>
      </w:r>
      <w:r>
        <w:t xml:space="preserve">La natura strutturalmente </w:t>
      </w:r>
      <w:proofErr w:type="spellStart"/>
      <w:r>
        <w:t>impugnatoria</w:t>
      </w:r>
      <w:proofErr w:type="spellEnd"/>
      <w:r>
        <w:t xml:space="preserve"> del giudizio di  costituzionalità spinge in caso di incertezza a pronunce di rigetto, che sono la maggioranza.</w:t>
      </w:r>
      <w:r w:rsidRPr="007F7EBF">
        <w:t xml:space="preserve">.   </w:t>
      </w:r>
    </w:p>
  </w:footnote>
  <w:footnote w:id="163">
    <w:p w14:paraId="7D69A727" w14:textId="77777777" w:rsidR="003B7460" w:rsidRPr="007F7EBF" w:rsidRDefault="003B7460" w:rsidP="007562BF">
      <w:pPr>
        <w:pStyle w:val="Testonotaapidipagina"/>
      </w:pPr>
      <w:r w:rsidRPr="007F7EBF">
        <w:rPr>
          <w:rStyle w:val="Rimandonotaapidipagina"/>
        </w:rPr>
        <w:footnoteRef/>
      </w:r>
      <w:r>
        <w:t>)</w:t>
      </w:r>
      <w:r w:rsidRPr="007F7EBF">
        <w:t xml:space="preserve"> Talvolta </w:t>
      </w:r>
      <w:r w:rsidRPr="007F7EBF">
        <w:rPr>
          <w:bCs/>
        </w:rPr>
        <w:t xml:space="preserve">vengono salvate </w:t>
      </w:r>
      <w:r w:rsidRPr="007F7EBF">
        <w:t xml:space="preserve">alcune soluzioni legislative ispirate non tanto al contrasto di evasioni o abusi, ma alla mera comodità operativa degli uffici tributari o dei giudici (si pensi al divieto di prova testimoniale nel processo, di cui al par.6.9). </w:t>
      </w:r>
    </w:p>
  </w:footnote>
  <w:footnote w:id="164">
    <w:p w14:paraId="1A34B2C6" w14:textId="77777777" w:rsidR="003B7460" w:rsidRPr="007F7EBF" w:rsidRDefault="003B7460" w:rsidP="007562BF">
      <w:pPr>
        <w:pStyle w:val="Testonotaapidipagina"/>
      </w:pPr>
      <w:r w:rsidRPr="007F7EBF">
        <w:rPr>
          <w:rStyle w:val="Rimandonotaapidipagina"/>
        </w:rPr>
        <w:footnoteRef/>
      </w:r>
      <w:r w:rsidRPr="007F7EBF">
        <w:t xml:space="preserve"> ) Anche per la Corte Costituzionale vale insomma la chiave di lettura di tutte le sentenze</w:t>
      </w:r>
      <w:r>
        <w:t xml:space="preserve"> (par.6.10)</w:t>
      </w:r>
      <w:r w:rsidRPr="007F7EBF">
        <w:t xml:space="preserve">, secondo cui “prima si </w:t>
      </w:r>
      <w:r>
        <w:t>decide</w:t>
      </w:r>
      <w:r w:rsidRPr="007F7EBF">
        <w:t>”, cioè si individua la soluzione più opportuna nel caso di specie,</w:t>
      </w:r>
      <w:r>
        <w:t xml:space="preserve"> </w:t>
      </w:r>
      <w:r w:rsidRPr="007F7EBF">
        <w:t xml:space="preserve">poi si stende la motivazione. </w:t>
      </w:r>
    </w:p>
  </w:footnote>
  <w:footnote w:id="165">
    <w:p w14:paraId="114E6995" w14:textId="77777777" w:rsidR="003B7460" w:rsidRDefault="003B7460" w:rsidP="00415721">
      <w:pPr>
        <w:pStyle w:val="Testonotaapidipagina"/>
      </w:pPr>
      <w:r>
        <w:rPr>
          <w:rStyle w:val="Rimandonotaapidipagina"/>
        </w:rPr>
        <w:footnoteRef/>
      </w:r>
      <w:r>
        <w:t xml:space="preserve"> ) Sull’argomento par.9.4.</w:t>
      </w:r>
    </w:p>
  </w:footnote>
  <w:footnote w:id="166">
    <w:p w14:paraId="08352DCF" w14:textId="77777777" w:rsidR="003B7460" w:rsidRDefault="003B7460" w:rsidP="00415721">
      <w:pPr>
        <w:autoSpaceDE w:val="0"/>
        <w:autoSpaceDN w:val="0"/>
        <w:adjustRightInd w:val="0"/>
        <w:rPr>
          <w:sz w:val="20"/>
          <w:szCs w:val="20"/>
        </w:rPr>
      </w:pPr>
      <w:r>
        <w:rPr>
          <w:rStyle w:val="Rimandonotaapidipagina"/>
          <w:sz w:val="20"/>
          <w:szCs w:val="20"/>
        </w:rPr>
        <w:footnoteRef/>
      </w:r>
      <w:r>
        <w:rPr>
          <w:sz w:val="20"/>
          <w:szCs w:val="20"/>
        </w:rPr>
        <w:t xml:space="preserve"> ) ILOR su redditi di lavoro autonomo, per chi ricorda la vicenda, dove la ricchezza di riferimento, cioè una “capacità contributiva” c’era, ma trattata in modo irragionevolmente penalizzante rispetto ad altre. </w:t>
      </w:r>
    </w:p>
  </w:footnote>
  <w:footnote w:id="167">
    <w:p w14:paraId="191E6B98" w14:textId="77777777" w:rsidR="003B7460" w:rsidRPr="007F7EBF" w:rsidRDefault="003B7460" w:rsidP="004352C1">
      <w:pPr>
        <w:pStyle w:val="Testonotaapidipagina"/>
      </w:pPr>
      <w:r w:rsidRPr="007F7EBF">
        <w:rPr>
          <w:rStyle w:val="Rimandonotaapidipagina"/>
        </w:rPr>
        <w:footnoteRef/>
      </w:r>
      <w:r w:rsidRPr="007F7EBF">
        <w:t xml:space="preserve"> ) Si pensi alla corte di giustizia delle comunità europee</w:t>
      </w:r>
      <w:r>
        <w:t>, organo che ha dato buona prova di sé</w:t>
      </w:r>
      <w:r w:rsidRPr="007F7EBF">
        <w:t xml:space="preserve">. </w:t>
      </w:r>
    </w:p>
  </w:footnote>
  <w:footnote w:id="168">
    <w:p w14:paraId="0F81B170" w14:textId="4572964D" w:rsidR="003B7460" w:rsidRPr="007F7EBF" w:rsidRDefault="003B7460" w:rsidP="005E6675">
      <w:pPr>
        <w:pStyle w:val="Testonotaapidipagina"/>
      </w:pPr>
      <w:r w:rsidRPr="007F7EBF">
        <w:rPr>
          <w:rStyle w:val="Rimandonotaapidipagina"/>
        </w:rPr>
        <w:footnoteRef/>
      </w:r>
      <w:r w:rsidRPr="007F7EBF">
        <w:t xml:space="preserve"> ) </w:t>
      </w:r>
      <w:r>
        <w:t xml:space="preserve">Ciò è comprensibile vista la eterogeneità, indicata nel testo, delle opinioni </w:t>
      </w:r>
      <w:r w:rsidRPr="007F7EBF">
        <w:t xml:space="preserve">pubbliche </w:t>
      </w:r>
      <w:r>
        <w:t xml:space="preserve">nazionali. </w:t>
      </w:r>
      <w:r w:rsidRPr="007F7EBF">
        <w:t xml:space="preserve">Il parlamento europeo ha </w:t>
      </w:r>
      <w:r>
        <w:t xml:space="preserve">quindi </w:t>
      </w:r>
      <w:r w:rsidRPr="007F7EBF">
        <w:t xml:space="preserve">una funzione di rappresentanza, </w:t>
      </w:r>
      <w:r>
        <w:t xml:space="preserve">di istruttoria, di consultazione, ma il vero governo resta </w:t>
      </w:r>
      <w:r w:rsidRPr="007F7EBF">
        <w:t>la commissione, uno strano ibrido in quanto “legifera” con una investitura politica molto indiretta</w:t>
      </w:r>
      <w:r>
        <w:t>.</w:t>
      </w:r>
    </w:p>
  </w:footnote>
  <w:footnote w:id="169">
    <w:p w14:paraId="51479B34" w14:textId="77777777" w:rsidR="003B7460" w:rsidRPr="007F7EBF" w:rsidRDefault="003B7460" w:rsidP="005E6675">
      <w:pPr>
        <w:pStyle w:val="Testonotaapidipagina"/>
      </w:pPr>
      <w:r w:rsidRPr="007F7EBF">
        <w:rPr>
          <w:rStyle w:val="Rimandonotaapidipagina"/>
        </w:rPr>
        <w:footnoteRef/>
      </w:r>
      <w:r w:rsidRPr="007F7EBF">
        <w:t xml:space="preserve"> </w:t>
      </w:r>
      <w:r>
        <w:t xml:space="preserve">) </w:t>
      </w:r>
      <w:r w:rsidRPr="007F7EBF">
        <w:t xml:space="preserve">Gli elettori di singoli paesi efficienti, si troverebbero a essere governati da politici eletti col voto di corpi elettorali </w:t>
      </w:r>
      <w:r>
        <w:t>cui sono del tutto estranei, senza il retroterra comune che esiste quantomeno in Italia</w:t>
      </w:r>
      <w:r w:rsidRPr="007F7EBF">
        <w:t>.</w:t>
      </w:r>
    </w:p>
  </w:footnote>
  <w:footnote w:id="170">
    <w:p w14:paraId="398B7961" w14:textId="77777777" w:rsidR="003B7460" w:rsidRPr="007F7EBF" w:rsidRDefault="003B7460" w:rsidP="003A2A21">
      <w:pPr>
        <w:pStyle w:val="Testonotaapidipagina"/>
      </w:pPr>
      <w:r w:rsidRPr="007F7EBF">
        <w:rPr>
          <w:rStyle w:val="Rimandonotaapidipagina"/>
        </w:rPr>
        <w:footnoteRef/>
      </w:r>
      <w:r w:rsidRPr="007F7EBF">
        <w:t xml:space="preserve"> ) Sono limitazioni legittimate costituzionalmente secondo l’art. 11 della costituzione, che consente infatti «limitazioni di sovranità necessarie a un ordinamento che assicuri la pace e la giustizia tra le nazioni. </w:t>
      </w:r>
    </w:p>
  </w:footnote>
  <w:footnote w:id="171">
    <w:p w14:paraId="36BC4C77" w14:textId="77777777" w:rsidR="003B7460" w:rsidRPr="007F7EBF" w:rsidRDefault="003B7460" w:rsidP="003A2A21">
      <w:pPr>
        <w:pStyle w:val="Testonotaapidipagina"/>
      </w:pPr>
      <w:r w:rsidRPr="007F7EBF">
        <w:rPr>
          <w:rStyle w:val="Rimandonotaapidipagina"/>
        </w:rPr>
        <w:footnoteRef/>
      </w:r>
      <w:r w:rsidRPr="007F7EBF">
        <w:t xml:space="preserve"> ) Si tratta degli “effetti dei tributi”, cioè della dialettica tra “spesa pubblica” e tributi, esaminata al paragrafo 1.7, e diversa dalla questione della determinazione dei tributi.</w:t>
      </w:r>
    </w:p>
  </w:footnote>
  <w:footnote w:id="172">
    <w:p w14:paraId="05F60C7C" w14:textId="77777777" w:rsidR="003B7460" w:rsidRPr="007F7EBF" w:rsidRDefault="003B7460" w:rsidP="00022AE1">
      <w:pPr>
        <w:pStyle w:val="Testonotaapidipagina"/>
      </w:pPr>
      <w:r w:rsidRPr="007F7EBF">
        <w:rPr>
          <w:rStyle w:val="Rimandonotaapidipagina"/>
        </w:rPr>
        <w:footnoteRef/>
      </w:r>
      <w:r w:rsidRPr="007F7EBF">
        <w:t xml:space="preserve"> </w:t>
      </w:r>
      <w:r>
        <w:t xml:space="preserve">) </w:t>
      </w:r>
      <w:r w:rsidRPr="007F7EBF">
        <w:rPr>
          <w:bCs/>
        </w:rPr>
        <w:t xml:space="preserve">Cioè con poche imposte e  pochi servizi pubblici, vale a dire </w:t>
      </w:r>
      <w:r w:rsidRPr="007F7EBF">
        <w:t xml:space="preserve">relativamente «liberisti». </w:t>
      </w:r>
    </w:p>
  </w:footnote>
  <w:footnote w:id="173">
    <w:p w14:paraId="4B49B322" w14:textId="77777777" w:rsidR="003B7460" w:rsidRPr="007F7EBF" w:rsidRDefault="003B7460" w:rsidP="00022AE1">
      <w:pPr>
        <w:pStyle w:val="Testonotaapidipagina"/>
      </w:pPr>
      <w:r w:rsidRPr="007F7EBF">
        <w:rPr>
          <w:rStyle w:val="Rimandonotaapidipagina"/>
        </w:rPr>
        <w:footnoteRef/>
      </w:r>
      <w:r w:rsidRPr="007F7EBF">
        <w:t xml:space="preserve"> ) I </w:t>
      </w:r>
      <w:r w:rsidRPr="007F7EBF">
        <w:rPr>
          <w:bCs/>
        </w:rPr>
        <w:t xml:space="preserve">paesi con più imposte e  più  servizi pubblici, sarebbero invece  </w:t>
      </w:r>
      <w:r w:rsidRPr="007F7EBF">
        <w:t>relativamente «socialdemocratici».</w:t>
      </w:r>
    </w:p>
  </w:footnote>
  <w:footnote w:id="174">
    <w:p w14:paraId="736EE216" w14:textId="1282A96D" w:rsidR="003B7460" w:rsidRPr="007F7EBF" w:rsidRDefault="003B7460" w:rsidP="003349E2">
      <w:pPr>
        <w:pStyle w:val="Testonotaapidipagina"/>
      </w:pPr>
      <w:r w:rsidRPr="007F7EBF">
        <w:rPr>
          <w:rStyle w:val="Rimandonotaapidipagina"/>
        </w:rPr>
        <w:footnoteRef/>
      </w:r>
      <w:r w:rsidRPr="007F7EBF">
        <w:t xml:space="preserve"> ) </w:t>
      </w:r>
      <w:r>
        <w:t xml:space="preserve">Mi riferisco alle </w:t>
      </w:r>
      <w:r w:rsidRPr="007F7EBF">
        <w:t>c.d. “quattro libertà europee”, cui si fa spesso riferimento</w:t>
      </w:r>
      <w:r>
        <w:t xml:space="preserve">, come libertà di circolazione </w:t>
      </w:r>
      <w:r>
        <w:rPr>
          <w:sz w:val="22"/>
          <w:szCs w:val="22"/>
        </w:rPr>
        <w:t xml:space="preserve">tra gli stati membri </w:t>
      </w:r>
      <w:r w:rsidRPr="007F7EBF">
        <w:rPr>
          <w:sz w:val="22"/>
          <w:szCs w:val="22"/>
        </w:rPr>
        <w:t>delle persone, delle aziende, dei capitali e delle merci</w:t>
      </w:r>
      <w:r>
        <w:rPr>
          <w:sz w:val="22"/>
          <w:szCs w:val="22"/>
        </w:rPr>
        <w:t xml:space="preserve">. </w:t>
      </w:r>
    </w:p>
  </w:footnote>
  <w:footnote w:id="175">
    <w:p w14:paraId="597DE4C4" w14:textId="77D2EE7C" w:rsidR="003B7460" w:rsidRPr="007F7EBF" w:rsidRDefault="003B7460" w:rsidP="00DA136C">
      <w:pPr>
        <w:pStyle w:val="Testonotaapidipagina"/>
      </w:pPr>
      <w:r w:rsidRPr="007F7EBF">
        <w:rPr>
          <w:rStyle w:val="Rimandonotaapidipagina"/>
        </w:rPr>
        <w:footnoteRef/>
      </w:r>
      <w:r w:rsidRPr="007F7EBF">
        <w:t xml:space="preserve"> ) I</w:t>
      </w:r>
      <w:r>
        <w:t>l divieto comunitario rig</w:t>
      </w:r>
      <w:r w:rsidRPr="007F7EBF">
        <w:t>uarda sia i “dazi interni”, per gli scambi tra paesi membri, sia imposte che avessero un equivalente</w:t>
      </w:r>
      <w:r>
        <w:t xml:space="preserve"> effetto di discriminazione</w:t>
      </w:r>
      <w:r w:rsidRPr="007F7EBF">
        <w:t>.</w:t>
      </w:r>
      <w:r>
        <w:t xml:space="preserve"> </w:t>
      </w:r>
      <w:r w:rsidRPr="007F7EBF">
        <w:t xml:space="preserve">L’unione europea, all’inizio non a caso chiamata MEC, mercato comune europeo, sorse proprio come unione doganale, prima tappa tipica di tutte le integrazioni economiche, come il </w:t>
      </w:r>
      <w:r>
        <w:t>M</w:t>
      </w:r>
      <w:r w:rsidRPr="007F7EBF">
        <w:t xml:space="preserve">ercosur dell’America del sud </w:t>
      </w:r>
      <w:r>
        <w:t>e</w:t>
      </w:r>
      <w:r w:rsidRPr="007F7EBF">
        <w:t xml:space="preserve"> lo </w:t>
      </w:r>
      <w:proofErr w:type="spellStart"/>
      <w:r w:rsidRPr="007F7EBF">
        <w:rPr>
          <w:i/>
        </w:rPr>
        <w:t>zollverein</w:t>
      </w:r>
      <w:proofErr w:type="spellEnd"/>
      <w:r w:rsidRPr="007F7EBF">
        <w:t xml:space="preserve"> </w:t>
      </w:r>
      <w:r>
        <w:t>ottocentesco, che precedette la</w:t>
      </w:r>
      <w:r w:rsidRPr="007F7EBF">
        <w:t xml:space="preserve"> riunificazione tedesca. </w:t>
      </w:r>
    </w:p>
  </w:footnote>
  <w:footnote w:id="176">
    <w:p w14:paraId="2383716A" w14:textId="77777777" w:rsidR="003B7460" w:rsidRPr="007F7EBF" w:rsidRDefault="003B7460" w:rsidP="00DC47A4">
      <w:pPr>
        <w:pStyle w:val="Testonotaapidipagina"/>
      </w:pPr>
      <w:r w:rsidRPr="007F7EBF">
        <w:rPr>
          <w:rStyle w:val="Rimandonotaapidipagina"/>
        </w:rPr>
        <w:footnoteRef/>
      </w:r>
      <w:r>
        <w:t>)</w:t>
      </w:r>
      <w:r w:rsidRPr="007F7EBF">
        <w:t xml:space="preserve">  </w:t>
      </w:r>
      <w:r w:rsidRPr="007F7EBF">
        <w:rPr>
          <w:bCs/>
        </w:rPr>
        <w:t xml:space="preserve">Inasprimenti di imposizione sui redditi degli stranieri, o esenzioni per gli operatori nazionali, </w:t>
      </w:r>
      <w:r w:rsidRPr="007F7EBF">
        <w:t>finirebbero per alterare, all’interno del territorio comunitario, la suddetta concorrenza basata sull’efficienza economica delle aziende private e delle istituzioni pubbliche.</w:t>
      </w:r>
    </w:p>
  </w:footnote>
  <w:footnote w:id="177">
    <w:p w14:paraId="12B1FDFC" w14:textId="022A61E6" w:rsidR="003B7460" w:rsidRPr="007F7EBF" w:rsidRDefault="003B7460" w:rsidP="00D74803">
      <w:pPr>
        <w:pStyle w:val="Testonotaapidipagina"/>
      </w:pPr>
      <w:r w:rsidRPr="007F7EBF">
        <w:rPr>
          <w:rStyle w:val="Rimandonotaapidipagina"/>
        </w:rPr>
        <w:footnoteRef/>
      </w:r>
      <w:r w:rsidRPr="007F7EBF">
        <w:t xml:space="preserve"> ) </w:t>
      </w:r>
      <w:r>
        <w:rPr>
          <w:sz w:val="22"/>
          <w:szCs w:val="22"/>
        </w:rPr>
        <w:t>L</w:t>
      </w:r>
      <w:r w:rsidRPr="007F7EBF">
        <w:rPr>
          <w:sz w:val="22"/>
          <w:szCs w:val="22"/>
        </w:rPr>
        <w:t>e agevolazioni fiscali selettive, come quelle verso chi si stabilisce su un determinato territorio o esercita una certa attività, devono quindi essere autorizzate dagli organi dell’Unione Europea</w:t>
      </w:r>
      <w:r>
        <w:t xml:space="preserve">; essa </w:t>
      </w:r>
      <w:r w:rsidRPr="007F7EBF">
        <w:t xml:space="preserve">deve valutare se tali agevolazioni siano giustificate da fattori economici, ad esempio l’arretratezza del territorio cui si applicano, o la crisi di un certo settore produttivo. </w:t>
      </w:r>
      <w:r>
        <w:t>Lo stesso divieto vale per a</w:t>
      </w:r>
      <w:r>
        <w:rPr>
          <w:sz w:val="22"/>
          <w:szCs w:val="22"/>
        </w:rPr>
        <w:t xml:space="preserve">gevolazioni </w:t>
      </w:r>
      <w:r w:rsidRPr="007F7EBF">
        <w:rPr>
          <w:sz w:val="22"/>
          <w:szCs w:val="22"/>
        </w:rPr>
        <w:t>tendenti ad attirare operatori esteri con regimi di favore destinati soltanto ad essi</w:t>
      </w:r>
      <w:r>
        <w:t>, secondo la c.d. “</w:t>
      </w:r>
      <w:r w:rsidRPr="007F7EBF">
        <w:t>concorrenza fiscale dannosa</w:t>
      </w:r>
      <w:r>
        <w:t>”</w:t>
      </w:r>
      <w:r w:rsidRPr="007F7EBF">
        <w:t>, di cui al par.7.19.</w:t>
      </w:r>
    </w:p>
  </w:footnote>
  <w:footnote w:id="178">
    <w:p w14:paraId="34921762" w14:textId="662ABC7C" w:rsidR="003B7460" w:rsidRPr="007F7EBF" w:rsidRDefault="003B7460" w:rsidP="0091567D">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È insomma comunitariamente vietato “fare figli e figliastri”, </w:t>
      </w:r>
      <w:r>
        <w:rPr>
          <w:sz w:val="20"/>
          <w:szCs w:val="20"/>
        </w:rPr>
        <w:t xml:space="preserve">ignorando pregiudizialmente </w:t>
      </w:r>
      <w:r w:rsidRPr="007F7EBF">
        <w:rPr>
          <w:sz w:val="20"/>
          <w:szCs w:val="20"/>
        </w:rPr>
        <w:t>“simmetrie” avvenute in altri paesi comunitari.</w:t>
      </w:r>
      <w:r>
        <w:rPr>
          <w:sz w:val="20"/>
          <w:szCs w:val="20"/>
        </w:rPr>
        <w:t xml:space="preserve"> </w:t>
      </w:r>
      <w:r w:rsidRPr="007F7EBF">
        <w:rPr>
          <w:sz w:val="20"/>
          <w:szCs w:val="20"/>
        </w:rPr>
        <w:t>La corte di giustizia europea, non specializzata in materia tributaria e con giudici di decine di paesi diversi, ha saputo collocare complessivamente bene, nella cornice dei trattati, simmetrie giuridico-contabili molto specialistiche (par.3.9);</w:t>
      </w:r>
      <w:r>
        <w:rPr>
          <w:sz w:val="20"/>
          <w:szCs w:val="20"/>
        </w:rPr>
        <w:t xml:space="preserve"> e</w:t>
      </w:r>
      <w:r w:rsidRPr="007F7EBF">
        <w:rPr>
          <w:sz w:val="20"/>
          <w:szCs w:val="20"/>
        </w:rPr>
        <w:t xml:space="preserve">videntemente, in sede europea, si procede più per </w:t>
      </w:r>
      <w:r>
        <w:rPr>
          <w:sz w:val="20"/>
          <w:szCs w:val="20"/>
        </w:rPr>
        <w:t>“funzioni”</w:t>
      </w:r>
      <w:r w:rsidRPr="007F7EBF">
        <w:rPr>
          <w:sz w:val="20"/>
          <w:szCs w:val="20"/>
        </w:rPr>
        <w:t xml:space="preserve"> che per “</w:t>
      </w:r>
      <w:r>
        <w:rPr>
          <w:sz w:val="20"/>
          <w:szCs w:val="20"/>
        </w:rPr>
        <w:t>regole</w:t>
      </w:r>
      <w:r w:rsidRPr="007F7EBF">
        <w:rPr>
          <w:sz w:val="20"/>
          <w:szCs w:val="20"/>
        </w:rPr>
        <w:t>”, modalità del resto impossibile data la mole dei "materiali normativi", interni e comunitari, cui far riferimento.</w:t>
      </w:r>
      <w:r w:rsidRPr="007F7EBF">
        <w:rPr>
          <w:bCs/>
          <w:i/>
          <w:iCs/>
          <w:color w:val="0000FF"/>
          <w:sz w:val="20"/>
          <w:szCs w:val="20"/>
        </w:rPr>
        <w:t xml:space="preserve"> </w:t>
      </w:r>
    </w:p>
  </w:footnote>
  <w:footnote w:id="179">
    <w:p w14:paraId="426F52C1" w14:textId="1D87580A" w:rsidR="003B7460" w:rsidRDefault="003B7460">
      <w:pPr>
        <w:pStyle w:val="Testonotaapidipagina"/>
      </w:pPr>
      <w:r>
        <w:rPr>
          <w:rStyle w:val="Rimandonotaapidipagina"/>
        </w:rPr>
        <w:footnoteRef/>
      </w:r>
      <w:r>
        <w:t xml:space="preserve"> ) </w:t>
      </w:r>
      <w:r w:rsidRPr="007F7EBF">
        <w:rPr>
          <w:sz w:val="22"/>
          <w:szCs w:val="22"/>
        </w:rPr>
        <w:t>Ove non sia chiaro se questo contrasto sussista, il giudice nazionale dovrà trasmettere gli atti del processo alla Corte di Giustizia delle Comunità Europee, che si pronuncerà in proposito.</w:t>
      </w:r>
    </w:p>
  </w:footnote>
  <w:footnote w:id="180">
    <w:p w14:paraId="71C1D4B1" w14:textId="725427FC" w:rsidR="003B7460" w:rsidRPr="007F7EBF" w:rsidRDefault="003B7460" w:rsidP="007B20C0">
      <w:pPr>
        <w:pStyle w:val="Testonotaapidipagina"/>
      </w:pPr>
      <w:r w:rsidRPr="007F7EBF">
        <w:rPr>
          <w:rStyle w:val="Rimandonotaapidipagina"/>
        </w:rPr>
        <w:footnoteRef/>
      </w:r>
      <w:r w:rsidRPr="007F7EBF">
        <w:t xml:space="preserve"> ) Sono concetti simili, sul piano delle “fonti normative”, alla normativa interna esaminata al par.2.</w:t>
      </w:r>
      <w:r>
        <w:t>3</w:t>
      </w:r>
      <w:r w:rsidRPr="007F7EBF">
        <w:t xml:space="preserve">. </w:t>
      </w:r>
    </w:p>
  </w:footnote>
  <w:footnote w:id="181">
    <w:p w14:paraId="34097347" w14:textId="77777777" w:rsidR="003B7460" w:rsidRPr="007F7EBF" w:rsidRDefault="003B7460" w:rsidP="007B20C0">
      <w:pPr>
        <w:pStyle w:val="Testonotaapidipagina"/>
      </w:pPr>
      <w:r w:rsidRPr="007F7EBF">
        <w:rPr>
          <w:rStyle w:val="Rimandonotaapidipagina"/>
        </w:rPr>
        <w:footnoteRef/>
      </w:r>
      <w:r>
        <w:t>)</w:t>
      </w:r>
      <w:r w:rsidRPr="007F7EBF">
        <w:t xml:space="preserve"> Ogni direttiva può essere per vari aspetti "incondizionata" sui punti in cui non lascia margini di discrezionalità al legislatore nazionale. </w:t>
      </w:r>
    </w:p>
  </w:footnote>
  <w:footnote w:id="182">
    <w:p w14:paraId="699830B3" w14:textId="4B9B13D5" w:rsidR="003B7460" w:rsidRPr="007F7EBF" w:rsidRDefault="003B7460" w:rsidP="007B20C0">
      <w:pPr>
        <w:pStyle w:val="Testonotaapidipagina"/>
      </w:pPr>
      <w:r w:rsidRPr="007F7EBF">
        <w:rPr>
          <w:rStyle w:val="Rimandonotaapidipagina"/>
        </w:rPr>
        <w:footnoteRef/>
      </w:r>
      <w:r w:rsidRPr="007F7EBF">
        <w:t xml:space="preserve"> ) L’efficacia diretta</w:t>
      </w:r>
      <w:r>
        <w:t xml:space="preserve"> delle direttive </w:t>
      </w:r>
      <w:r w:rsidRPr="007F7EBF">
        <w:t xml:space="preserve">non opera invece, “in </w:t>
      </w:r>
      <w:proofErr w:type="spellStart"/>
      <w:r w:rsidRPr="007F7EBF">
        <w:t>malam</w:t>
      </w:r>
      <w:proofErr w:type="spellEnd"/>
      <w:r w:rsidRPr="007F7EBF">
        <w:t xml:space="preserve"> </w:t>
      </w:r>
      <w:proofErr w:type="spellStart"/>
      <w:r w:rsidRPr="007F7EBF">
        <w:t>partem</w:t>
      </w:r>
      <w:proofErr w:type="spellEnd"/>
      <w:r w:rsidRPr="007F7EBF">
        <w:t xml:space="preserve">”, in omaggio al principio della tutela dell’affidamento </w:t>
      </w:r>
      <w:r>
        <w:t xml:space="preserve">(par.5.4) </w:t>
      </w:r>
      <w:r w:rsidRPr="007F7EBF">
        <w:t xml:space="preserve">rispetto alla normativa nazionale. </w:t>
      </w:r>
    </w:p>
  </w:footnote>
  <w:footnote w:id="183">
    <w:p w14:paraId="05076E25" w14:textId="0C9078EE" w:rsidR="003B7460" w:rsidRDefault="003B7460">
      <w:pPr>
        <w:pStyle w:val="Testonotaapidipagina"/>
      </w:pPr>
      <w:r>
        <w:rPr>
          <w:rStyle w:val="Rimandonotaapidipagina"/>
        </w:rPr>
        <w:footnoteRef/>
      </w:r>
      <w:r>
        <w:t xml:space="preserve"> ) </w:t>
      </w:r>
      <w:r>
        <w:rPr>
          <w:sz w:val="22"/>
          <w:szCs w:val="22"/>
        </w:rPr>
        <w:t xml:space="preserve">Magari mostrando europeismo formale, e pretendendolo “ dagli altri partners, ma attente all’interesse nazionale, con la consueta ipocrisia nei confronti delle regole, che c’accompagna dal par.1.3. </w:t>
      </w:r>
    </w:p>
  </w:footnote>
  <w:footnote w:id="184">
    <w:p w14:paraId="251F229D" w14:textId="345F2C35" w:rsidR="003B7460" w:rsidRPr="007F7EBF" w:rsidRDefault="003B7460" w:rsidP="002E058A">
      <w:pPr>
        <w:pStyle w:val="Testonotaapidipagina"/>
      </w:pPr>
      <w:r w:rsidRPr="007F7EBF">
        <w:rPr>
          <w:rStyle w:val="Rimandonotaapidipagina"/>
        </w:rPr>
        <w:footnoteRef/>
      </w:r>
      <w:r w:rsidRPr="007F7EBF">
        <w:t xml:space="preserve"> ) </w:t>
      </w:r>
      <w:r>
        <w:t>Invece di essere spiegata, la normativa europea, è stata spesso usata come giustificazione di azioni altrimenti inspiegabili, difese con</w:t>
      </w:r>
      <w:r w:rsidRPr="007F7EBF">
        <w:t xml:space="preserve"> argomenti “ex </w:t>
      </w:r>
      <w:proofErr w:type="spellStart"/>
      <w:r w:rsidRPr="007F7EBF">
        <w:t>auctoritate</w:t>
      </w:r>
      <w:proofErr w:type="spellEnd"/>
      <w:r w:rsidRPr="007F7EBF">
        <w:t xml:space="preserve">” tipo </w:t>
      </w:r>
      <w:proofErr w:type="spellStart"/>
      <w:r w:rsidRPr="007F7EBF">
        <w:rPr>
          <w:i/>
        </w:rPr>
        <w:t>l’europa</w:t>
      </w:r>
      <w:proofErr w:type="spellEnd"/>
      <w:r w:rsidRPr="007F7EBF">
        <w:rPr>
          <w:i/>
        </w:rPr>
        <w:t xml:space="preserve"> ce lo vieta </w:t>
      </w:r>
      <w:r w:rsidRPr="007F7EBF">
        <w:t xml:space="preserve">oppure </w:t>
      </w:r>
      <w:r w:rsidRPr="007F7EBF">
        <w:rPr>
          <w:i/>
        </w:rPr>
        <w:t>l’Europa ce lo chiede</w:t>
      </w:r>
      <w:r>
        <w:t xml:space="preserve">; si trascura così che l’integrazione socioculturale ha i suoi tempi, e non può essere decontestualizzata tra un ambiente. Gli ambienti sociali sono come organismi, da prendere in blocco, senza poterne trasferire singoli segmenti altrove; vedremo questa tendenza anche al par.4.3 sull’internazionalizzazione negli studi sociali a proposito del tentativo di risolvere i problemi interni imitando segmenti di comportamenti esteri, con narrazioni più o meno fantasiose su “come fanno” nei più svariati paesi (in America scaricano tutto, il Germania c’è il carcere, in Russia c’è la </w:t>
      </w:r>
      <w:proofErr w:type="spellStart"/>
      <w:r>
        <w:t>Flat</w:t>
      </w:r>
      <w:proofErr w:type="spellEnd"/>
      <w:r>
        <w:t xml:space="preserve"> tax, etc.). </w:t>
      </w:r>
    </w:p>
  </w:footnote>
  <w:footnote w:id="185">
    <w:p w14:paraId="61D7D651" w14:textId="6308E496" w:rsidR="003B7460" w:rsidRDefault="003B7460">
      <w:pPr>
        <w:pStyle w:val="Testonotaapidipagina"/>
      </w:pPr>
      <w:r>
        <w:rPr>
          <w:rStyle w:val="Rimandonotaapidipagina"/>
        </w:rPr>
        <w:footnoteRef/>
      </w:r>
      <w:r>
        <w:t xml:space="preserve"> ) Il linguaggio condiziona, secondo l’epistemologia, non solo l’esposizione del pensiero, ma la sua stessa formazione. </w:t>
      </w:r>
    </w:p>
  </w:footnote>
  <w:footnote w:id="186">
    <w:p w14:paraId="53DB06AA" w14:textId="277327F3" w:rsidR="003B7460" w:rsidRPr="007F7EBF" w:rsidRDefault="003B7460" w:rsidP="00DA136C">
      <w:pPr>
        <w:pStyle w:val="Testonotaapidipagina"/>
      </w:pPr>
      <w:r w:rsidRPr="007F7EBF">
        <w:rPr>
          <w:rStyle w:val="Rimandonotaapidipagina"/>
        </w:rPr>
        <w:footnoteRef/>
      </w:r>
      <w:r w:rsidRPr="007F7EBF">
        <w:t xml:space="preserve"> ) </w:t>
      </w:r>
      <w:r>
        <w:t xml:space="preserve">Il tentativo di forzare i tempi dell’integrazione ha contribuito allo scetticismo indicato nel testo </w:t>
      </w:r>
      <w:r w:rsidRPr="007F7EBF">
        <w:t>verso l’idea  stessa di Europa</w:t>
      </w:r>
      <w:r>
        <w:t xml:space="preserve">, con </w:t>
      </w:r>
      <w:r w:rsidRPr="007F7EBF">
        <w:t xml:space="preserve">crescenti insofferenze </w:t>
      </w:r>
      <w:r>
        <w:t xml:space="preserve">in molti </w:t>
      </w:r>
      <w:r w:rsidRPr="007F7EBF">
        <w:t>stati europei</w:t>
      </w:r>
      <w:r>
        <w:t xml:space="preserve">. </w:t>
      </w:r>
      <w:r>
        <w:rPr>
          <w:sz w:val="22"/>
          <w:szCs w:val="22"/>
        </w:rPr>
        <w:t>Sotto questo profilo l’idea di “unione politica” appare prematura, ispirata a un globalismo mortificante per il linguaggio e il retroterra culturale dei vari stati europei.</w:t>
      </w:r>
      <w:r>
        <w:t xml:space="preserve"> (cfr. referendum </w:t>
      </w:r>
      <w:r w:rsidRPr="007F7EBF">
        <w:t>“Brexit”</w:t>
      </w:r>
      <w:r>
        <w:t xml:space="preserve"> 2016, su cui il mio video </w:t>
      </w:r>
      <w:r w:rsidRPr="007F7EBF">
        <w:t xml:space="preserve">su </w:t>
      </w:r>
      <w:proofErr w:type="spellStart"/>
      <w:r w:rsidRPr="007F7EBF">
        <w:t>Youtube</w:t>
      </w:r>
      <w:proofErr w:type="spellEnd"/>
      <w:r w:rsidRPr="007F7EBF">
        <w:t xml:space="preserve"> dal titolo Brexit: un’occasione per riflettere sulle istituzioni</w:t>
      </w:r>
      <w:r>
        <w:t xml:space="preserve"> e un intellettuale </w:t>
      </w:r>
      <w:r w:rsidRPr="007F7EBF">
        <w:t>europeist</w:t>
      </w:r>
      <w:r>
        <w:t xml:space="preserve">a come </w:t>
      </w:r>
      <w:r w:rsidRPr="007F7EBF">
        <w:t>Enzensberger, Il mostro buono di Bruxelles, Einaudi, 2013</w:t>
      </w:r>
      <w:r>
        <w:t xml:space="preserve">). </w:t>
      </w:r>
    </w:p>
  </w:footnote>
  <w:footnote w:id="187">
    <w:p w14:paraId="59808AC3" w14:textId="6878A88C" w:rsidR="003B7460" w:rsidRPr="007F7EBF" w:rsidRDefault="003B7460" w:rsidP="006517E4">
      <w:pPr>
        <w:pStyle w:val="Testonotaapidipagina"/>
      </w:pPr>
      <w:r w:rsidRPr="007F7EBF">
        <w:rPr>
          <w:rStyle w:val="Rimandonotaapidipagina"/>
        </w:rPr>
        <w:footnoteRef/>
      </w:r>
      <w:r w:rsidRPr="007F7EBF">
        <w:t xml:space="preserve"> ) </w:t>
      </w:r>
      <w:r>
        <w:t>L’insieme</w:t>
      </w:r>
      <w:r w:rsidRPr="007F7EBF">
        <w:t xml:space="preserve"> che i tedeschi chiamano “</w:t>
      </w:r>
      <w:proofErr w:type="spellStart"/>
      <w:r w:rsidRPr="007F7EBF">
        <w:t>heimat</w:t>
      </w:r>
      <w:proofErr w:type="spellEnd"/>
      <w:r w:rsidRPr="007F7EBF">
        <w:t>”</w:t>
      </w:r>
      <w:r>
        <w:t xml:space="preserve"> e corrisponde alla pubblica opinione di cui al par.</w:t>
      </w:r>
      <w:r w:rsidRPr="00FE3595">
        <w:t xml:space="preserve"> </w:t>
      </w:r>
      <w:r>
        <w:t xml:space="preserve">4.1. </w:t>
      </w:r>
    </w:p>
  </w:footnote>
  <w:footnote w:id="188">
    <w:p w14:paraId="41835FFA" w14:textId="2BEF2C08" w:rsidR="003B7460" w:rsidRPr="007F7EBF" w:rsidRDefault="003B7460" w:rsidP="006F7F3E">
      <w:pPr>
        <w:pStyle w:val="Testonotaapidipagina"/>
      </w:pPr>
      <w:r w:rsidRPr="007F7EBF">
        <w:rPr>
          <w:rStyle w:val="Rimandonotaapidipagina"/>
        </w:rPr>
        <w:footnoteRef/>
      </w:r>
      <w:r w:rsidRPr="007F7EBF">
        <w:t xml:space="preserve"> ) </w:t>
      </w:r>
      <w:r>
        <w:t xml:space="preserve">Si veda il </w:t>
      </w:r>
      <w:r w:rsidRPr="007F7EBF">
        <w:t xml:space="preserve">par.1.12 </w:t>
      </w:r>
      <w:r>
        <w:t>sulla</w:t>
      </w:r>
      <w:r w:rsidRPr="007F7EBF">
        <w:t xml:space="preserve"> previdenza </w:t>
      </w:r>
      <w:r>
        <w:t>com</w:t>
      </w:r>
      <w:r w:rsidRPr="007F7EBF">
        <w:t xml:space="preserve">e patto intergenerazionale, nazionale, in cui difficilmente sono inseribili beneficiari che a suo tempo non contribuirono e finanziatori senza  prospettive di benefici futuri. </w:t>
      </w:r>
    </w:p>
  </w:footnote>
  <w:footnote w:id="189">
    <w:p w14:paraId="070D5CBC" w14:textId="4702F5F6" w:rsidR="003B7460" w:rsidRPr="007F7EBF" w:rsidRDefault="003B7460">
      <w:pPr>
        <w:pStyle w:val="Testonotaapidipagina"/>
      </w:pPr>
      <w:r w:rsidRPr="007F7EBF">
        <w:rPr>
          <w:rStyle w:val="Rimandonotaapidipagina"/>
        </w:rPr>
        <w:footnoteRef/>
      </w:r>
      <w:r w:rsidRPr="007F7EBF">
        <w:t xml:space="preserve"> Si tratta delle scienze della materia, di cui riparleremo al par.4.3, </w:t>
      </w:r>
      <w:r>
        <w:t xml:space="preserve">che hanno reso possibile l’”era aziendale”, inseritasi su quella agricolo-artigianale nei modi riassunti nel mio </w:t>
      </w:r>
      <w:r w:rsidRPr="007F7EBF">
        <w:t xml:space="preserve">Compendio di scienza delle finanze, Dike 2015, pag.7 ss., scaricabile in </w:t>
      </w:r>
      <w:r w:rsidRPr="007F7EBF">
        <w:rPr>
          <w:i/>
        </w:rPr>
        <w:t>open access</w:t>
      </w:r>
      <w:r w:rsidRPr="007F7EBF">
        <w:t xml:space="preserve"> come indicato </w:t>
      </w:r>
      <w:r>
        <w:t>nella premessa</w:t>
      </w:r>
      <w:r w:rsidRPr="007F7EBF">
        <w:t>.</w:t>
      </w:r>
    </w:p>
  </w:footnote>
  <w:footnote w:id="190">
    <w:p w14:paraId="26AB463B" w14:textId="77777777" w:rsidR="003B7460" w:rsidRPr="007F7EBF" w:rsidRDefault="003B7460" w:rsidP="004607D8">
      <w:pPr>
        <w:pStyle w:val="Testonotaapidipagina"/>
      </w:pPr>
      <w:r w:rsidRPr="007F7EBF">
        <w:rPr>
          <w:rStyle w:val="Rimandonotaapidipagina"/>
        </w:rPr>
        <w:footnoteRef/>
      </w:r>
      <w:r w:rsidRPr="007F7EBF">
        <w:t xml:space="preserve"> ) L’espressione “manifattura”, applicata alla fabbricazione industriale, ricorda la manualità delle antiche produzioni artigianali</w:t>
      </w:r>
      <w:r>
        <w:t xml:space="preserve">, come </w:t>
      </w:r>
      <w:r w:rsidRPr="007F7EBF">
        <w:t xml:space="preserve">le grandi opere dell'era preindustriale, dalle piramidi all'arsenale di Venezia, passando per le cattedrali gotiche, </w:t>
      </w:r>
      <w:r>
        <w:t>tutti</w:t>
      </w:r>
      <w:r w:rsidRPr="007F7EBF">
        <w:t xml:space="preserve"> coordinament</w:t>
      </w:r>
      <w:r>
        <w:t>i</w:t>
      </w:r>
      <w:r w:rsidRPr="007F7EBF">
        <w:t xml:space="preserve"> di lavoro artigianale.</w:t>
      </w:r>
    </w:p>
  </w:footnote>
  <w:footnote w:id="191">
    <w:p w14:paraId="13B2062D" w14:textId="77777777" w:rsidR="003B7460" w:rsidRPr="007F7EBF" w:rsidRDefault="003B7460">
      <w:pPr>
        <w:pStyle w:val="Testonotaapidipagina"/>
      </w:pPr>
      <w:r w:rsidRPr="007F7EBF">
        <w:rPr>
          <w:rStyle w:val="Rimandonotaapidipagina"/>
        </w:rPr>
        <w:footnoteRef/>
      </w:r>
      <w:r w:rsidRPr="007F7EBF">
        <w:t xml:space="preserve"> ) </w:t>
      </w:r>
      <w:r>
        <w:t>I</w:t>
      </w:r>
      <w:r w:rsidRPr="007F7EBF">
        <w:rPr>
          <w:sz w:val="22"/>
          <w:szCs w:val="22"/>
        </w:rPr>
        <w:t>l costo relativamente alto dei macchinari rende efficiente la produzione solo se effettuata su larga scala</w:t>
      </w:r>
      <w:r>
        <w:t xml:space="preserve">, </w:t>
      </w:r>
      <w:r w:rsidRPr="007F7EBF">
        <w:t xml:space="preserve">conveniente il lavoro comune, all'interno di un'unica organizzazione pluripersonale; </w:t>
      </w:r>
    </w:p>
  </w:footnote>
  <w:footnote w:id="192">
    <w:p w14:paraId="2FA39D6D" w14:textId="77777777" w:rsidR="003B7460" w:rsidRPr="007F7EBF" w:rsidRDefault="003B7460" w:rsidP="000D75D2">
      <w:pPr>
        <w:pStyle w:val="Testonotaapidipagina"/>
      </w:pPr>
      <w:r w:rsidRPr="007F7EBF">
        <w:rPr>
          <w:rStyle w:val="Rimandonotaapidipagina"/>
        </w:rPr>
        <w:footnoteRef/>
      </w:r>
      <w:r w:rsidRPr="007F7EBF">
        <w:t xml:space="preserve"> ) Utilizzeremo anche l’espressione “corpo sociale” o “gruppo sociale” tenuto assieme dal prodotto</w:t>
      </w:r>
      <w:r>
        <w:t xml:space="preserve"> e di cui vedremo </w:t>
      </w:r>
      <w:r w:rsidRPr="007F7EBF">
        <w:t>al prossimo par. 3.2</w:t>
      </w:r>
      <w:r>
        <w:t xml:space="preserve"> </w:t>
      </w:r>
      <w:r w:rsidRPr="007F7EBF">
        <w:t>le procedure</w:t>
      </w:r>
      <w:r>
        <w:t xml:space="preserve"> </w:t>
      </w:r>
      <w:r w:rsidRPr="007F7EBF">
        <w:t>produttive</w:t>
      </w:r>
      <w:r>
        <w:t>, di vendita e contabili</w:t>
      </w:r>
      <w:r w:rsidRPr="007F7EBF">
        <w:t xml:space="preserve">. </w:t>
      </w:r>
    </w:p>
  </w:footnote>
  <w:footnote w:id="193">
    <w:p w14:paraId="32DB3777" w14:textId="77777777" w:rsidR="003B7460" w:rsidRPr="007F7EBF" w:rsidRDefault="003B7460" w:rsidP="000D75D2">
      <w:pPr>
        <w:pStyle w:val="Testonotaapidipagina"/>
      </w:pPr>
      <w:r w:rsidRPr="007F7EBF">
        <w:rPr>
          <w:rStyle w:val="Rimandonotaapidipagina"/>
        </w:rPr>
        <w:footnoteRef/>
      </w:r>
      <w:r>
        <w:t>)</w:t>
      </w:r>
      <w:r w:rsidRPr="007F7EBF">
        <w:t xml:space="preserve"> Di cui esistevano esempi anche nell'era agricolo artigianale, come grandi latifondi dell’antichità, spesso posseduti da ordini religiosi e monastici, le compagnie mercantili e gli antichi banchieri medievali. </w:t>
      </w:r>
      <w:r>
        <w:t xml:space="preserve">Oggi la capacità produttiva è sempre meno un’abilità individuale, e sempre più un’attività comune in aziende pluripersonali. Basta consultare il sito ISTAT per rilevare che su 16 milioni circa di addetti ad imprese private 9 milioni operano in aziende con oltre 10 addetti, mentre 7 sono divisi tra le 4 milioni circa di aziende con 1-9 addetti, coincidendo in massima parte coi piccoli commercianti e artigiani di cui al par.3.13. </w:t>
      </w:r>
    </w:p>
  </w:footnote>
  <w:footnote w:id="194">
    <w:p w14:paraId="1EEB940B" w14:textId="2F370727" w:rsidR="003B7460" w:rsidRPr="007F7EBF" w:rsidRDefault="003B7460">
      <w:pPr>
        <w:pStyle w:val="Testonotaapidipagina"/>
      </w:pPr>
      <w:r w:rsidRPr="007F7EBF">
        <w:rPr>
          <w:rStyle w:val="Rimandonotaapidipagina"/>
        </w:rPr>
        <w:footnoteRef/>
      </w:r>
      <w:r w:rsidRPr="007F7EBF">
        <w:t xml:space="preserve"> ) </w:t>
      </w:r>
      <w:r>
        <w:t xml:space="preserve">L’idea di </w:t>
      </w:r>
      <w:r w:rsidRPr="007F7EBF">
        <w:t xml:space="preserve">azienda </w:t>
      </w:r>
      <w:r>
        <w:t xml:space="preserve">del codice civile, </w:t>
      </w:r>
      <w:r w:rsidRPr="007F7EBF">
        <w:t>come insieme di beni</w:t>
      </w:r>
      <w:r>
        <w:t xml:space="preserve">, ha una sua utilità nel diritto dei privati, ma </w:t>
      </w:r>
      <w:r w:rsidRPr="007F7EBF">
        <w:t>non rende l’idea del</w:t>
      </w:r>
      <w:r>
        <w:t xml:space="preserve">l’azienda </w:t>
      </w:r>
      <w:r w:rsidRPr="007F7EBF">
        <w:t>pluripersonale</w:t>
      </w:r>
      <w:r>
        <w:t>, con le sue necessità documentali, utilizzabili per determinare gli imponibili</w:t>
      </w:r>
      <w:r w:rsidRPr="007F7EBF">
        <w:t>.</w:t>
      </w:r>
    </w:p>
  </w:footnote>
  <w:footnote w:id="195">
    <w:p w14:paraId="4E9B2C3B" w14:textId="77777777" w:rsidR="003B7460" w:rsidRPr="007F7EBF" w:rsidRDefault="003B7460" w:rsidP="00C81403">
      <w:pPr>
        <w:pStyle w:val="Testonotaapidipagina"/>
      </w:pPr>
      <w:r w:rsidRPr="007F7EBF">
        <w:rPr>
          <w:rStyle w:val="Rimandonotaapidipagina"/>
        </w:rPr>
        <w:footnoteRef/>
      </w:r>
      <w:r w:rsidRPr="007F7EBF">
        <w:t xml:space="preserve"> ) Si pensi a treni, celle frigorifere, aerei, navi a motore, etc..</w:t>
      </w:r>
    </w:p>
  </w:footnote>
  <w:footnote w:id="196">
    <w:p w14:paraId="48D78257" w14:textId="2B5DD46A" w:rsidR="003B7460" w:rsidRPr="007F7EBF" w:rsidRDefault="003B7460" w:rsidP="00261949">
      <w:pPr>
        <w:pStyle w:val="Testonotaapidipagina"/>
      </w:pPr>
      <w:r w:rsidRPr="007F7EBF">
        <w:rPr>
          <w:rStyle w:val="Rimandonotaapidipagina"/>
        </w:rPr>
        <w:footnoteRef/>
      </w:r>
      <w:r w:rsidRPr="007F7EBF">
        <w:t xml:space="preserve"> ) Sul valore aggiunto, anticipato al par.1.8, vedi par.7.2, dal lato del consumo, e par. 9.1 sull’IRAP dal lato del reddito. Ricordiamo che esso include oltre al profitto anche tutto quanto eccede i corrispettivi erogati ad altri operatori economici, cioè soprattutto anche salari e interessi passivi. Entrambi questi ultimi sono ripartizioni del valore aggiunto, non esattamente "costi", anche se corrisposti a terzi, perché lavoratori e finanziatori non sono esattamente "terzi" rispetto all'organizzazione aziendale, ma persone che vi rischiano i propri capitali, o vi prestano il proprio lavoro e quindi ne fanno parte. Né il lavoro né i capitali sono infatti "merci" perché il primo è anche un legame di coesione, nell'azienda come gruppo pluripersonale e nella società in genere, mentre il capitale è "credito", dipendente dalla fiducia, come indicato al par.1.1 per la moneta..</w:t>
      </w:r>
      <w:r w:rsidRPr="00FA6CCD">
        <w:t xml:space="preserve"> </w:t>
      </w:r>
      <w:r w:rsidRPr="00261949">
        <w:t xml:space="preserve">L’espressione “capitalista” svilisce </w:t>
      </w:r>
      <w:r>
        <w:t xml:space="preserve">quindi </w:t>
      </w:r>
      <w:r w:rsidRPr="00261949">
        <w:t xml:space="preserve">il ruolo </w:t>
      </w:r>
      <w:r>
        <w:t>produttivo</w:t>
      </w:r>
      <w:r w:rsidRPr="00261949">
        <w:t xml:space="preserve"> dell’imprenditor</w:t>
      </w:r>
      <w:r>
        <w:t>e</w:t>
      </w:r>
      <w:r w:rsidRPr="00261949">
        <w:t xml:space="preserve"> </w:t>
      </w:r>
      <w:r>
        <w:t>accostandolo al mercante medievale nel bisogno di capitali, mentre il  progenitore dell’ attività manifatturiera è l’artigiano, come spiego nei volumi di scienza delle finanze di cui in premessa</w:t>
      </w:r>
      <w:r w:rsidRPr="007F7EBF">
        <w:t>.</w:t>
      </w:r>
    </w:p>
  </w:footnote>
  <w:footnote w:id="197">
    <w:p w14:paraId="048A9699" w14:textId="77777777" w:rsidR="003B7460" w:rsidRPr="007F7EBF" w:rsidRDefault="003B7460" w:rsidP="004C037E">
      <w:pPr>
        <w:pStyle w:val="Testonotaapidipagina"/>
      </w:pPr>
      <w:r w:rsidRPr="007F7EBF">
        <w:rPr>
          <w:rStyle w:val="Rimandonotaapidipagina"/>
        </w:rPr>
        <w:footnoteRef/>
      </w:r>
      <w:r w:rsidRPr="007F7EBF">
        <w:t xml:space="preserve"> ) Si conferma la teoria secondo cui l’azienda non è organizzazione di beni con un proprio valore intrinseco, ma di beni che valgono se ed in quanto inseriti in un’organizzazione funzionante (cfr. il concetto di “avviamento” al par.7.13). </w:t>
      </w:r>
    </w:p>
  </w:footnote>
  <w:footnote w:id="198">
    <w:p w14:paraId="5DCEB839" w14:textId="77777777" w:rsidR="003B7460" w:rsidRPr="007F7EBF" w:rsidRDefault="003B7460" w:rsidP="00FA6CCD">
      <w:pPr>
        <w:pStyle w:val="Testonotaapidipagina"/>
      </w:pPr>
      <w:r w:rsidRPr="007F7EBF">
        <w:rPr>
          <w:rStyle w:val="Rimandonotaapidipagina"/>
        </w:rPr>
        <w:footnoteRef/>
      </w:r>
      <w:r w:rsidRPr="007F7EBF">
        <w:t xml:space="preserve"> ) </w:t>
      </w:r>
      <w:r>
        <w:t xml:space="preserve">In questa personificazione delle aziende si colgono residui mitologici, eredità di quando gli antichi concepivano in modo antropomorfo </w:t>
      </w:r>
      <w:r w:rsidRPr="007F7EBF">
        <w:t xml:space="preserve"> il sole, i fiumi, l’Amore, la Guerra, la Sapienza</w:t>
      </w:r>
      <w:r>
        <w:t xml:space="preserve"> (le Muse) e persino la Morte</w:t>
      </w:r>
      <w:r w:rsidRPr="007F7EBF">
        <w:t xml:space="preserve">. Anche </w:t>
      </w:r>
      <w:r>
        <w:t xml:space="preserve">oggi </w:t>
      </w:r>
      <w:r w:rsidRPr="007F7EBF">
        <w:t>l’azienda</w:t>
      </w:r>
      <w:r>
        <w:t>,</w:t>
      </w:r>
      <w:r w:rsidRPr="007F7EBF">
        <w:t xml:space="preserve"> per ragioni di marketing, per mostrarsi amichevol</w:t>
      </w:r>
      <w:r>
        <w:t>e</w:t>
      </w:r>
      <w:r w:rsidRPr="007F7EBF">
        <w:t xml:space="preserve"> verso fasce di consumatori, </w:t>
      </w:r>
      <w:r>
        <w:t>“si personifica”,</w:t>
      </w:r>
      <w:r w:rsidRPr="007F7EBF">
        <w:t xml:space="preserve"> dicendo </w:t>
      </w:r>
      <w:r>
        <w:t>di essere</w:t>
      </w:r>
      <w:r w:rsidRPr="007F7EBF">
        <w:t xml:space="preserve"> </w:t>
      </w:r>
      <w:r>
        <w:t>“</w:t>
      </w:r>
      <w:r w:rsidRPr="007F7EBF">
        <w:t>amica dell’ambiente</w:t>
      </w:r>
      <w:r>
        <w:t>”</w:t>
      </w:r>
      <w:r w:rsidRPr="007F7EBF">
        <w:t xml:space="preserve"> o</w:t>
      </w:r>
      <w:r>
        <w:t xml:space="preserve"> di</w:t>
      </w:r>
      <w:r w:rsidRPr="007F7EBF">
        <w:t xml:space="preserve"> </w:t>
      </w:r>
      <w:proofErr w:type="spellStart"/>
      <w:r w:rsidRPr="007F7EBF">
        <w:t>sostiene</w:t>
      </w:r>
      <w:r>
        <w:t>re</w:t>
      </w:r>
      <w:proofErr w:type="spellEnd"/>
      <w:r w:rsidRPr="007F7EBF">
        <w:t xml:space="preserve"> qualche nobile causa.</w:t>
      </w:r>
    </w:p>
  </w:footnote>
  <w:footnote w:id="199">
    <w:p w14:paraId="53C0177D" w14:textId="77777777" w:rsidR="003B7460" w:rsidRPr="007F7EBF" w:rsidRDefault="003B7460" w:rsidP="004C037E">
      <w:pPr>
        <w:pStyle w:val="Testonotaapidipagina"/>
      </w:pPr>
      <w:r w:rsidRPr="007F7EBF">
        <w:rPr>
          <w:rStyle w:val="Rimandonotaapidipagina"/>
        </w:rPr>
        <w:footnoteRef/>
      </w:r>
      <w:r w:rsidRPr="007F7EBF">
        <w:t xml:space="preserve"> ) Un lavoratore indipendente “in perdita” è una contraddizione in termini, in quanto il lavoro materiale deve essere in qualche modo remunerato, se non altro per garantire la sussistenza dell’artigiano o del piccolo commerciante. </w:t>
      </w:r>
    </w:p>
  </w:footnote>
  <w:footnote w:id="200">
    <w:p w14:paraId="0B520130" w14:textId="294358DB" w:rsidR="003B7460" w:rsidRPr="007F7EBF" w:rsidRDefault="003B7460" w:rsidP="004C037E">
      <w:pPr>
        <w:pStyle w:val="Testonotaapidipagina"/>
      </w:pPr>
      <w:r w:rsidRPr="007F7EBF">
        <w:rPr>
          <w:rStyle w:val="Rimandonotaapidipagina"/>
        </w:rPr>
        <w:footnoteRef/>
      </w:r>
      <w:r w:rsidRPr="007F7EBF">
        <w:t xml:space="preserve"> ) </w:t>
      </w:r>
      <w:r>
        <w:t xml:space="preserve">Per la cui soddisfazione </w:t>
      </w:r>
      <w:r w:rsidRPr="007F7EBF">
        <w:t xml:space="preserve"> nascondere </w:t>
      </w:r>
      <w:r>
        <w:t>imponibili</w:t>
      </w:r>
      <w:r w:rsidRPr="007F7EBF">
        <w:t xml:space="preserve"> al fisco, </w:t>
      </w:r>
      <w:r>
        <w:t xml:space="preserve">nei modi indicati </w:t>
      </w:r>
      <w:r w:rsidRPr="007F7EBF">
        <w:t xml:space="preserve">al par.3.7, </w:t>
      </w:r>
      <w:r>
        <w:t xml:space="preserve">dove vedremo che </w:t>
      </w:r>
      <w:r w:rsidRPr="007F7EBF">
        <w:t xml:space="preserve">l’evasione </w:t>
      </w:r>
      <w:r>
        <w:t>è</w:t>
      </w:r>
      <w:r w:rsidRPr="007F7EBF">
        <w:t xml:space="preserve"> sempre destinata a finire nelle tasche di esseri umani</w:t>
      </w:r>
      <w:r>
        <w:t xml:space="preserve">. </w:t>
      </w:r>
      <w:r w:rsidRPr="007F7EBF">
        <w:t xml:space="preserve"> </w:t>
      </w:r>
    </w:p>
  </w:footnote>
  <w:footnote w:id="201">
    <w:p w14:paraId="618D591F" w14:textId="5EC8664D" w:rsidR="003B7460" w:rsidRPr="007F7EBF" w:rsidRDefault="003B7460" w:rsidP="00FA6CCD">
      <w:pPr>
        <w:pStyle w:val="Testonotaapidipagina"/>
      </w:pPr>
      <w:r w:rsidRPr="007F7EBF">
        <w:rPr>
          <w:rStyle w:val="Rimandonotaapidipagina"/>
        </w:rPr>
        <w:footnoteRef/>
      </w:r>
      <w:r w:rsidRPr="007F7EBF">
        <w:t xml:space="preserve"> ) </w:t>
      </w:r>
      <w:r>
        <w:t>R</w:t>
      </w:r>
      <w:r w:rsidRPr="007F7EBF">
        <w:t xml:space="preserve">ipetiamo che </w:t>
      </w:r>
      <w:r>
        <w:t xml:space="preserve">l’azienda </w:t>
      </w:r>
      <w:r w:rsidRPr="007F7EBF">
        <w:t>non ha bisogno di mangiare, ma è un</w:t>
      </w:r>
      <w:r>
        <w:t xml:space="preserve"> gruppo sociale </w:t>
      </w:r>
      <w:r w:rsidRPr="007F7EBF">
        <w:t xml:space="preserve">al servizio </w:t>
      </w:r>
      <w:r>
        <w:t xml:space="preserve">non solo </w:t>
      </w:r>
      <w:r w:rsidRPr="007F7EBF">
        <w:t xml:space="preserve">degli individui che ci lavorano, </w:t>
      </w:r>
      <w:r>
        <w:t xml:space="preserve">ma anche di </w:t>
      </w:r>
      <w:r w:rsidRPr="007F7EBF">
        <w:rPr>
          <w:sz w:val="22"/>
          <w:szCs w:val="22"/>
        </w:rPr>
        <w:t>azionisti, risparmiatori, clienti, fornitori,</w:t>
      </w:r>
      <w:r>
        <w:rPr>
          <w:sz w:val="22"/>
          <w:szCs w:val="22"/>
        </w:rPr>
        <w:t xml:space="preserve"> t</w:t>
      </w:r>
      <w:r w:rsidRPr="001C5FE8">
        <w:t>alvolta definiti</w:t>
      </w:r>
      <w:r w:rsidRPr="001C5FE8">
        <w:rPr>
          <w:sz w:val="22"/>
          <w:szCs w:val="22"/>
        </w:rPr>
        <w:t xml:space="preserve"> "stakeholders"</w:t>
      </w:r>
      <w:r>
        <w:rPr>
          <w:sz w:val="22"/>
          <w:szCs w:val="22"/>
        </w:rPr>
        <w:t xml:space="preserve"> (</w:t>
      </w:r>
      <w:r w:rsidRPr="001C5FE8">
        <w:rPr>
          <w:sz w:val="22"/>
          <w:szCs w:val="22"/>
        </w:rPr>
        <w:t>tanto per complicare concetti semplic</w:t>
      </w:r>
      <w:r>
        <w:rPr>
          <w:sz w:val="22"/>
          <w:szCs w:val="22"/>
        </w:rPr>
        <w:t>i</w:t>
      </w:r>
      <w:r w:rsidRPr="001C5FE8">
        <w:rPr>
          <w:sz w:val="22"/>
          <w:szCs w:val="22"/>
        </w:rPr>
        <w:t xml:space="preserve"> i</w:t>
      </w:r>
      <w:r>
        <w:rPr>
          <w:sz w:val="22"/>
          <w:szCs w:val="22"/>
        </w:rPr>
        <w:t>taliani con definizioni esterofile</w:t>
      </w:r>
      <w:r w:rsidRPr="007F7EBF">
        <w:t xml:space="preserve">). </w:t>
      </w:r>
      <w:r>
        <w:t xml:space="preserve">) </w:t>
      </w:r>
      <w:r w:rsidRPr="007F7EBF">
        <w:t>E' una considerazione di senso comune</w:t>
      </w:r>
      <w:r>
        <w:t xml:space="preserve">, uno dei principi cui gli studi </w:t>
      </w:r>
      <w:r w:rsidRPr="007F7EBF">
        <w:t>sociali devono fare appello</w:t>
      </w:r>
      <w:r>
        <w:t xml:space="preserve"> e coordinare </w:t>
      </w:r>
      <w:r w:rsidRPr="007F7EBF">
        <w:t>(par. 4.7)</w:t>
      </w:r>
      <w:r>
        <w:t>.</w:t>
      </w:r>
    </w:p>
  </w:footnote>
  <w:footnote w:id="202">
    <w:p w14:paraId="65D80C52" w14:textId="3DF9FA74" w:rsidR="003B7460" w:rsidRDefault="003B7460" w:rsidP="00B04F3E">
      <w:pPr>
        <w:pStyle w:val="Testonotaapidipagina"/>
      </w:pPr>
      <w:r>
        <w:rPr>
          <w:rStyle w:val="Rimandonotaapidipagina"/>
        </w:rPr>
        <w:footnoteRef/>
      </w:r>
      <w:r>
        <w:t xml:space="preserve"> ) Al limite se ne può parlare in base al fine per cui gli uomini s’aggregano, ma è intuitiva la differenza tra aziende che soddisfano  bisogni dei clienti e bande dirette al furto o all’estorsione.</w:t>
      </w:r>
    </w:p>
  </w:footnote>
  <w:footnote w:id="203">
    <w:p w14:paraId="56BD47E0" w14:textId="77777777" w:rsidR="003B7460" w:rsidRPr="007F7EBF" w:rsidRDefault="003B7460" w:rsidP="00774BCF">
      <w:pPr>
        <w:pStyle w:val="Testonotaapidipagina"/>
      </w:pPr>
      <w:r w:rsidRPr="007F7EBF">
        <w:rPr>
          <w:rStyle w:val="Rimandonotaapidipagina"/>
        </w:rPr>
        <w:footnoteRef/>
      </w:r>
      <w:r w:rsidRPr="007F7EBF">
        <w:t xml:space="preserve"> )</w:t>
      </w:r>
      <w:r>
        <w:t xml:space="preserve"> C</w:t>
      </w:r>
      <w:r>
        <w:rPr>
          <w:sz w:val="22"/>
          <w:szCs w:val="22"/>
        </w:rPr>
        <w:t xml:space="preserve">ome per un </w:t>
      </w:r>
      <w:proofErr w:type="spellStart"/>
      <w:r>
        <w:rPr>
          <w:sz w:val="22"/>
          <w:szCs w:val="22"/>
        </w:rPr>
        <w:t>risotrante</w:t>
      </w:r>
      <w:proofErr w:type="spellEnd"/>
      <w:r>
        <w:rPr>
          <w:sz w:val="22"/>
          <w:szCs w:val="22"/>
        </w:rPr>
        <w:t xml:space="preserve"> o un bar</w:t>
      </w:r>
      <w:r>
        <w:t>, d</w:t>
      </w:r>
      <w:r w:rsidRPr="007F7EBF">
        <w:t xml:space="preserve">ove il marito serve i clienti, la moglie sta alla cassa e il figlio prepara le paste nel laboratorio. </w:t>
      </w:r>
    </w:p>
  </w:footnote>
  <w:footnote w:id="204">
    <w:p w14:paraId="0C0ADB7C" w14:textId="77777777" w:rsidR="003B7460" w:rsidRPr="007F7EBF" w:rsidRDefault="003B7460" w:rsidP="00774BCF">
      <w:pPr>
        <w:pStyle w:val="Testonotaapidipagina"/>
      </w:pPr>
      <w:r w:rsidRPr="007F7EBF">
        <w:rPr>
          <w:rStyle w:val="Rimandonotaapidipagina"/>
        </w:rPr>
        <w:footnoteRef/>
      </w:r>
      <w:r w:rsidRPr="007F7EBF">
        <w:t xml:space="preserve"> ) </w:t>
      </w:r>
      <w:r>
        <w:t>Piccoli commercianti e artigiani (c.d. “</w:t>
      </w:r>
      <w:r w:rsidRPr="007F7EBF">
        <w:t>lavoro indipendente</w:t>
      </w:r>
      <w:r>
        <w:t xml:space="preserve">”) operano invece </w:t>
      </w:r>
      <w:r w:rsidRPr="007F7EBF">
        <w:t>con la forma giuridica di impresa individuale. Rinviamo al</w:t>
      </w:r>
      <w:r>
        <w:t xml:space="preserve"> </w:t>
      </w:r>
      <w:r w:rsidRPr="007F7EBF">
        <w:t xml:space="preserve">par. 7.5 </w:t>
      </w:r>
      <w:r>
        <w:t xml:space="preserve">sulla differenza </w:t>
      </w:r>
      <w:r w:rsidRPr="007F7EBF">
        <w:t xml:space="preserve">tra azienda </w:t>
      </w:r>
      <w:r>
        <w:t xml:space="preserve">e società, come </w:t>
      </w:r>
      <w:r w:rsidRPr="007F7EBF">
        <w:t xml:space="preserve">forma giuridica, precisando per ora che dove c'è un'azienda, in senso pluripersonale, c'è sempre almeno una società, mentre non vale la reciproca, in quanto possono esserci, e sono addirittura la maggioranza numerica, società senza azienda, usate come contenitori patrimoniali. </w:t>
      </w:r>
    </w:p>
  </w:footnote>
  <w:footnote w:id="205">
    <w:p w14:paraId="11290700" w14:textId="549E7869" w:rsidR="003B7460" w:rsidRDefault="003B7460" w:rsidP="008A1329">
      <w:pPr>
        <w:pStyle w:val="Testonotaapidipagina"/>
      </w:pPr>
      <w:r>
        <w:rPr>
          <w:rStyle w:val="Rimandonotaapidipagina"/>
        </w:rPr>
        <w:footnoteRef/>
      </w:r>
      <w:r>
        <w:t xml:space="preserve"> ) L’uso di società o di gruppi di società, per le organizzazioni pluripersonali articolate, è ispirato alla limitazione della responsabilità patrimoniale e alla ripartizione dei rischi; ad esempio i costruttori edilizi costituiscono una specifica società per ogni edificio, ed è frequente intestare la parte immobiliare delle aziende ad una società diversa da quella che ne effettua la gestione, assumendosene i rischi (si pensi a un gruppo societario elementare, dove una società gestisce un albergo, le cui mura sono intestate a una società “sorella”).  Altre volte vengono divise funzioni che gravitano su una stessa attività, ad esempio produttive e commerciali, mentre talvolta il gruppo societario contiene imprese operanti in settori diversi, ad esempio alberghiero e di grande distribuzione. </w:t>
      </w:r>
    </w:p>
  </w:footnote>
  <w:footnote w:id="206">
    <w:p w14:paraId="36D0C0B3" w14:textId="77777777" w:rsidR="003B7460" w:rsidRDefault="003B7460" w:rsidP="00774BCF">
      <w:pPr>
        <w:pStyle w:val="Testonotaapidipagina"/>
      </w:pPr>
      <w:r>
        <w:rPr>
          <w:rStyle w:val="Rimandonotaapidipagina"/>
        </w:rPr>
        <w:footnoteRef/>
      </w:r>
      <w:r>
        <w:t xml:space="preserve"> C</w:t>
      </w:r>
      <w:r w:rsidRPr="007F7EBF">
        <w:t xml:space="preserve">ome quelle in senso ampio "associative", </w:t>
      </w:r>
      <w:r>
        <w:t xml:space="preserve">ma hanno matrice proprietaria </w:t>
      </w:r>
      <w:r w:rsidRPr="007F7EBF">
        <w:t>come i partiti politici, i sindacati, i movimenti religiosi, etc.</w:t>
      </w:r>
    </w:p>
  </w:footnote>
  <w:footnote w:id="207">
    <w:p w14:paraId="365B177E" w14:textId="4F0E9D64" w:rsidR="003B7460" w:rsidRPr="007F7EBF" w:rsidRDefault="003B7460" w:rsidP="00F9281B">
      <w:pPr>
        <w:pStyle w:val="Testonotaapidipagina"/>
      </w:pPr>
      <w:r w:rsidRPr="007F7EBF">
        <w:rPr>
          <w:rStyle w:val="Rimandonotaapidipagina"/>
        </w:rPr>
        <w:footnoteRef/>
      </w:r>
      <w:r w:rsidRPr="007F7EBF">
        <w:t xml:space="preserve"> ) L’interazione tra proprietà e dirigenza ha riflessi personali e umani, ampiamente trattati negli sceneggiati televisivi, in cui i dissidi aziendali si intrecciano con quelli tra padri e figli, mariti, mogli, amanti etc.</w:t>
      </w:r>
      <w:r>
        <w:t xml:space="preserve">; essi guardano più all’azienda come un bene da possedere (azienda-oggetto) che come un </w:t>
      </w:r>
      <w:r w:rsidRPr="007F7EBF">
        <w:t xml:space="preserve">gruppo sociale </w:t>
      </w:r>
      <w:r>
        <w:t xml:space="preserve">da guidare. </w:t>
      </w:r>
      <w:r w:rsidRPr="007F7EBF">
        <w:t>Al di là di coloriture da “</w:t>
      </w:r>
      <w:r w:rsidRPr="007F7EBF">
        <w:rPr>
          <w:i/>
        </w:rPr>
        <w:t>soap opera</w:t>
      </w:r>
      <w:r w:rsidRPr="007F7EBF">
        <w:t>”, la carriera dei managers e le loro dispute sono ampiamente influenzate, nel capitalismo familiare, dai rapporti con la proprietà, e dai dissidi interni alla proprietà</w:t>
      </w:r>
      <w:r>
        <w:t xml:space="preserve">, di cui spesso </w:t>
      </w:r>
      <w:r w:rsidRPr="007F7EBF">
        <w:t xml:space="preserve">fanno magari parte eredi </w:t>
      </w:r>
      <w:r>
        <w:t>che</w:t>
      </w:r>
      <w:r w:rsidRPr="007F7EBF">
        <w:t xml:space="preserve"> avrebbero avuto altre aspirazioni (Lupi, Compendio, cit., par.3.15). </w:t>
      </w:r>
      <w:r>
        <w:t>L</w:t>
      </w:r>
      <w:r w:rsidRPr="007F7EBF">
        <w:t>a mancanza, nel nostro bagaglio culturale, dell’idea di azienda come organismo pluripersonale</w:t>
      </w:r>
      <w:r>
        <w:t xml:space="preserve"> (</w:t>
      </w:r>
      <w:r w:rsidRPr="007F7EBF">
        <w:t>par.</w:t>
      </w:r>
      <w:r w:rsidRPr="00FE3595">
        <w:t xml:space="preserve"> </w:t>
      </w:r>
      <w:r>
        <w:t xml:space="preserve">4.1) </w:t>
      </w:r>
      <w:r w:rsidRPr="007F7EBF">
        <w:t xml:space="preserve">rende difficile </w:t>
      </w:r>
      <w:r>
        <w:t>sostituire</w:t>
      </w:r>
      <w:r w:rsidRPr="007F7EBF">
        <w:t xml:space="preserve"> il fondatore </w:t>
      </w:r>
      <w:r>
        <w:t xml:space="preserve">con una cooptazione dirigenziale condivisa e  meritocratica; il peso familiare </w:t>
      </w:r>
      <w:r w:rsidRPr="007F7EBF">
        <w:t>crea un ambiente ampiamente relazionale</w:t>
      </w:r>
      <w:r>
        <w:t xml:space="preserve"> con ostacoli a</w:t>
      </w:r>
      <w:r w:rsidRPr="007F7EBF">
        <w:t>ll'ascensore sociale, soprattutto in momenti storici in cui mancano occasioni per iniziare dal nulla nuove aziende (cfr. anche il par.10.5, sull'imposta di successione). Mentre rinviamo al par.3.7, e 5.19, sui riflessi tributari di questa spersonalizzazione, peraltro abbastanza intuitivi in punto di rigidità delle procedure e di mancanza di soggetti con un potere tale da scavalcare queste procedure senza rischiare troppo.</w:t>
      </w:r>
    </w:p>
  </w:footnote>
  <w:footnote w:id="208">
    <w:p w14:paraId="3F2D1664" w14:textId="27027CD6" w:rsidR="003B7460" w:rsidRPr="007F7EBF" w:rsidRDefault="003B7460">
      <w:pPr>
        <w:pStyle w:val="Testonotaapidipagina"/>
      </w:pPr>
      <w:r w:rsidRPr="007F7EBF">
        <w:rPr>
          <w:rStyle w:val="Rimandonotaapidipagina"/>
        </w:rPr>
        <w:footnoteRef/>
      </w:r>
      <w:r w:rsidRPr="007F7EBF">
        <w:t xml:space="preserve"> ) </w:t>
      </w:r>
    </w:p>
  </w:footnote>
  <w:footnote w:id="209">
    <w:p w14:paraId="3FC0DFEE" w14:textId="0E90DC05" w:rsidR="003B7460" w:rsidRPr="007F7EBF" w:rsidRDefault="003B7460">
      <w:pPr>
        <w:pStyle w:val="Testonotaapidipagina"/>
      </w:pPr>
      <w:r w:rsidRPr="007F7EBF">
        <w:rPr>
          <w:rStyle w:val="Rimandonotaapidipagina"/>
        </w:rPr>
        <w:footnoteRef/>
      </w:r>
      <w:r w:rsidRPr="007F7EBF">
        <w:t xml:space="preserve"> ) </w:t>
      </w:r>
      <w:r>
        <w:t xml:space="preserve">E’ un ambiente che si riflette nelle società italiane </w:t>
      </w:r>
      <w:r w:rsidRPr="007F7EBF">
        <w:t xml:space="preserve">controllate da gruppi multinazionali </w:t>
      </w:r>
      <w:proofErr w:type="spellStart"/>
      <w:r>
        <w:t>managerializzati</w:t>
      </w:r>
      <w:proofErr w:type="spellEnd"/>
      <w:r w:rsidRPr="007F7EBF">
        <w:t xml:space="preserve">. </w:t>
      </w:r>
      <w:r>
        <w:t>Non necessariamente una società quotata però si spersonalizza, in quanto una persona o una famiglia possono continuare a detenere, nonostante la quotazione in</w:t>
      </w:r>
      <w:r w:rsidRPr="007F7EBF">
        <w:t xml:space="preserve"> borsa</w:t>
      </w:r>
      <w:r>
        <w:t>, una quota di azioni sufficiente al controllo</w:t>
      </w:r>
      <w:r w:rsidRPr="007F7EBF">
        <w:t>.</w:t>
      </w:r>
    </w:p>
  </w:footnote>
  <w:footnote w:id="210">
    <w:p w14:paraId="655B92FD" w14:textId="77777777" w:rsidR="003B7460" w:rsidRPr="007F7EBF" w:rsidRDefault="003B7460">
      <w:pPr>
        <w:pStyle w:val="Testonotaapidipagina"/>
      </w:pPr>
      <w:r w:rsidRPr="007F7EBF">
        <w:rPr>
          <w:rStyle w:val="Rimandonotaapidipagina"/>
        </w:rPr>
        <w:footnoteRef/>
      </w:r>
      <w:r w:rsidRPr="007F7EBF">
        <w:t xml:space="preserve"> ) Come talune banche, assicurazioni o anche aziende commerciali, come la famosa </w:t>
      </w:r>
      <w:r w:rsidRPr="007F7EBF">
        <w:rPr>
          <w:i/>
        </w:rPr>
        <w:t>coop</w:t>
      </w:r>
      <w:r w:rsidRPr="007F7EBF">
        <w:t>.</w:t>
      </w:r>
    </w:p>
  </w:footnote>
  <w:footnote w:id="211">
    <w:p w14:paraId="0522D279" w14:textId="35CE9723" w:rsidR="003B7460" w:rsidRPr="007F7EBF" w:rsidRDefault="003B7460">
      <w:pPr>
        <w:pStyle w:val="Testonotaapidipagina"/>
      </w:pPr>
      <w:r w:rsidRPr="007F7EBF">
        <w:rPr>
          <w:rStyle w:val="Rimandonotaapidipagina"/>
        </w:rPr>
        <w:footnoteRef/>
      </w:r>
      <w:r w:rsidRPr="007F7EBF">
        <w:t xml:space="preserve"> ) Come il ministero dell’Economia, ad esempio per l’Eni, l’Enel etc., oppure i comuni per le aziende di servizi, in materia di elettricità, acqua, trasporti, etc.</w:t>
      </w:r>
      <w:r>
        <w:t xml:space="preserve"> Qui l’influenza politica sostituisce quella “padronale”, variamente ibridandosi con la dirigenza. </w:t>
      </w:r>
    </w:p>
  </w:footnote>
  <w:footnote w:id="212">
    <w:p w14:paraId="6F498298" w14:textId="32D90D5E" w:rsidR="003B7460" w:rsidRDefault="003B7460">
      <w:pPr>
        <w:pStyle w:val="Testonotaapidipagina"/>
      </w:pPr>
      <w:r>
        <w:rPr>
          <w:rStyle w:val="Rimandonotaapidipagina"/>
        </w:rPr>
        <w:footnoteRef/>
      </w:r>
      <w:r>
        <w:t xml:space="preserve"> ) Tipica di lavori anche efficienti, nel loro complesso, ma di cui gli addetti non hanno visione di insieme; al contrario, il lavoro agricolo artigianale era meno efficiente, </w:t>
      </w:r>
      <w:r>
        <w:rPr>
          <w:sz w:val="22"/>
          <w:szCs w:val="22"/>
        </w:rPr>
        <w:t>ma più comprensibile</w:t>
      </w:r>
      <w:r w:rsidRPr="007F7EBF">
        <w:rPr>
          <w:sz w:val="22"/>
          <w:szCs w:val="22"/>
          <w:lang w:eastAsia="x-none"/>
        </w:rPr>
        <w:t>.</w:t>
      </w:r>
      <w:r w:rsidRPr="0030144E">
        <w:t xml:space="preserve"> </w:t>
      </w:r>
      <w:r>
        <w:t>Si ostacola così l’</w:t>
      </w:r>
      <w:r w:rsidRPr="007F7EBF">
        <w:t>“istituzionalizzazione dell’azienda” (compendio di scienza delle finanze, citato in premessa, par.3.15)</w:t>
      </w:r>
      <w:r>
        <w:t xml:space="preserve">, cioè la crescita oltre l’iniziale proprietà familiare (par.3.1 e 5.19), come accaduto in contesti più abituati a “fare gruppo”, ad esempio Germania o Giappone (c.d. </w:t>
      </w:r>
      <w:r w:rsidRPr="007F7EBF">
        <w:t>"capitalismo renano-giapponese"</w:t>
      </w:r>
      <w:r>
        <w:t xml:space="preserve">). La già indicata matrice familiare del capitalismo italiano condiziona in modo relazionale le carriere aziendali e oggettivamente intralcia l’ascensore sociale. L’istituzionalizzazione delle aziende, avvenuta anche nel capitalismo anglosassone, era anche latente nel “sistema corporativo” immaginato dal fascismo e come tale oggetto di rimozione culturale, anche da parte degli imprenditori, gelosi dell’idea “padronale” di “azienda”, come fosse  un bene di proprietà (la macchina o la villa); il massimo che essi erano disponibili a concedere in punto di azienda come gruppo sociale era la concezione paternalistica </w:t>
      </w:r>
      <w:r w:rsidRPr="006B0B0E">
        <w:rPr>
          <w:i/>
        </w:rPr>
        <w:t>dell’azienda come una famiglia</w:t>
      </w:r>
      <w:r>
        <w:t xml:space="preserve">; anche per questo, oltre che per i suddetti motivi ideologici, i sindacati osteggiarono l’istituzionalizzazione delle aziende, usando per decenni l’aggettivo “corporativo” in senso denigratorio. Il risultato è che invece del suddetto </w:t>
      </w:r>
      <w:r w:rsidRPr="00D03F3A">
        <w:rPr>
          <w:i/>
        </w:rPr>
        <w:t>capitalismo renano</w:t>
      </w:r>
      <w:r>
        <w:t xml:space="preserve"> abbiamo un capitalismo “nano”, che affronta la globalizzazione con “multinazionali tascabili” a proprietà familiare, dove i m</w:t>
      </w:r>
      <w:r w:rsidRPr="007F7EBF">
        <w:t>odelli di “governance”</w:t>
      </w:r>
      <w:r>
        <w:t xml:space="preserve"> legislativa del codice civile, riformati da ultimo nel 2003, restano vuoti</w:t>
      </w:r>
      <w:r w:rsidRPr="006B024D">
        <w:t xml:space="preserve"> </w:t>
      </w:r>
      <w:r>
        <w:t>formalismi in strutture sostanzialmente “padronali”</w:t>
      </w:r>
    </w:p>
  </w:footnote>
  <w:footnote w:id="213">
    <w:p w14:paraId="11C3CDC1" w14:textId="4A277F3F" w:rsidR="003B7460" w:rsidRPr="00336841" w:rsidRDefault="003B7460">
      <w:pPr>
        <w:pStyle w:val="Testonotaapidipagina"/>
      </w:pPr>
      <w:r>
        <w:rPr>
          <w:rStyle w:val="Rimandonotaapidipagina"/>
        </w:rPr>
        <w:footnoteRef/>
      </w:r>
      <w:r>
        <w:t xml:space="preserve"> ) Nascono così le frustrazioni e le aggressività in qualche misura </w:t>
      </w:r>
      <w:r w:rsidRPr="00336841">
        <w:t xml:space="preserve">riscontrabili negli ambienti militari (il c.d. </w:t>
      </w:r>
      <w:r w:rsidRPr="00336841">
        <w:rPr>
          <w:i/>
        </w:rPr>
        <w:t>nonnismo</w:t>
      </w:r>
      <w:r w:rsidRPr="00336841">
        <w:t xml:space="preserve">), carcerari, o scolastici,  col c.d. </w:t>
      </w:r>
      <w:r w:rsidRPr="00336841">
        <w:rPr>
          <w:i/>
        </w:rPr>
        <w:t>bullismo</w:t>
      </w:r>
      <w:r w:rsidRPr="00336841">
        <w:t xml:space="preserve">. Se ne veda una satira nel video fantozziano su </w:t>
      </w:r>
      <w:proofErr w:type="spellStart"/>
      <w:r w:rsidRPr="00336841">
        <w:t>youtube</w:t>
      </w:r>
      <w:proofErr w:type="spellEnd"/>
      <w:r w:rsidRPr="00336841">
        <w:t xml:space="preserve"> </w:t>
      </w:r>
      <w:r w:rsidRPr="00336841">
        <w:rPr>
          <w:i/>
        </w:rPr>
        <w:t xml:space="preserve">Discorso ai nuovi assunti della </w:t>
      </w:r>
      <w:proofErr w:type="spellStart"/>
      <w:r w:rsidRPr="00336841">
        <w:rPr>
          <w:i/>
        </w:rPr>
        <w:t>megaditta</w:t>
      </w:r>
      <w:proofErr w:type="spellEnd"/>
      <w:r w:rsidRPr="00336841">
        <w:t>.</w:t>
      </w:r>
    </w:p>
  </w:footnote>
  <w:footnote w:id="214">
    <w:p w14:paraId="4E4278BB" w14:textId="0516A261" w:rsidR="003B7460" w:rsidRDefault="003B7460">
      <w:pPr>
        <w:pStyle w:val="Testonotaapidipagina"/>
      </w:pPr>
      <w:r w:rsidRPr="00336841">
        <w:rPr>
          <w:rStyle w:val="Rimandonotaapidipagina"/>
        </w:rPr>
        <w:footnoteRef/>
      </w:r>
      <w:r w:rsidRPr="00336841">
        <w:t>)  Lo spontaneismo italiano di cui al par.</w:t>
      </w:r>
      <w:r w:rsidRPr="00FE3595">
        <w:t xml:space="preserve"> </w:t>
      </w:r>
      <w:r>
        <w:t>4.1</w:t>
      </w:r>
      <w:r w:rsidRPr="00336841">
        <w:t xml:space="preserve"> è lo sfondo naturale di un capitalismo personalistico, sognatore, paternalista, diffidente e un po’ </w:t>
      </w:r>
      <w:proofErr w:type="spellStart"/>
      <w:r w:rsidRPr="00336841">
        <w:rPr>
          <w:i/>
        </w:rPr>
        <w:t>sbrasone</w:t>
      </w:r>
      <w:proofErr w:type="spellEnd"/>
      <w:r w:rsidRPr="00336841">
        <w:t>, dove il compiacimento del comando ha un forte peso, che associo a un vecchio romanzo dal titolo “Il padrone sono me”.</w:t>
      </w:r>
      <w:r>
        <w:t xml:space="preserve"> </w:t>
      </w:r>
    </w:p>
  </w:footnote>
  <w:footnote w:id="215">
    <w:p w14:paraId="40D94A26" w14:textId="77777777" w:rsidR="003B7460" w:rsidRPr="007F7EBF" w:rsidRDefault="003B7460" w:rsidP="006027A2">
      <w:pPr>
        <w:pStyle w:val="Testonotaapidipagina"/>
      </w:pPr>
      <w:r w:rsidRPr="007F7EBF">
        <w:rPr>
          <w:rStyle w:val="Rimandonotaapidipagina"/>
        </w:rPr>
        <w:footnoteRef/>
      </w:r>
      <w:r w:rsidRPr="007F7EBF">
        <w:t xml:space="preserve"> ) </w:t>
      </w:r>
      <w:r>
        <w:t>L’arretratezza “</w:t>
      </w:r>
      <w:proofErr w:type="spellStart"/>
      <w:r>
        <w:t>pre</w:t>
      </w:r>
      <w:proofErr w:type="spellEnd"/>
      <w:r>
        <w:t xml:space="preserve">-industriale” del bagaglio culturale diffuso ha trasferito sulle organizzazioni aziendali modelli interpretativi elaborati sull’appartenenza della terra, economicamente centrale nell’era agricolo artigianale e </w:t>
      </w:r>
      <w:r w:rsidRPr="007F7EBF">
        <w:t>soggetta al controllo della politica</w:t>
      </w:r>
      <w:r>
        <w:t xml:space="preserve">. Ne derivano gli atteggiamenti </w:t>
      </w:r>
      <w:proofErr w:type="spellStart"/>
      <w:r>
        <w:t>antiaziendali</w:t>
      </w:r>
      <w:proofErr w:type="spellEnd"/>
      <w:r>
        <w:t xml:space="preserve"> </w:t>
      </w:r>
      <w:r w:rsidRPr="007F7EBF">
        <w:t>nociv</w:t>
      </w:r>
      <w:r>
        <w:t>i</w:t>
      </w:r>
      <w:r w:rsidRPr="007F7EBF">
        <w:t xml:space="preserve"> per tutta la società</w:t>
      </w:r>
      <w:r>
        <w:t xml:space="preserve">, </w:t>
      </w:r>
      <w:r w:rsidRPr="007F7EBF">
        <w:t>di cui vedremo i riflessi tributari ai par. 5.3, 5.17 e ss.</w:t>
      </w:r>
    </w:p>
  </w:footnote>
  <w:footnote w:id="216">
    <w:p w14:paraId="68816E44" w14:textId="7FB08084" w:rsidR="003B7460" w:rsidRPr="007F7EBF" w:rsidRDefault="003B7460" w:rsidP="0006566B">
      <w:pPr>
        <w:pStyle w:val="Testonotaapidipagina"/>
      </w:pPr>
      <w:r w:rsidRPr="007F7EBF">
        <w:rPr>
          <w:rStyle w:val="Rimandonotaapidipagina"/>
        </w:rPr>
        <w:footnoteRef/>
      </w:r>
      <w:r w:rsidRPr="007F7EBF">
        <w:t xml:space="preserve"> ) </w:t>
      </w:r>
      <w:r>
        <w:t>Questa maggiore coesione avrebbe ritorni positivi in termini di efficienza..</w:t>
      </w:r>
    </w:p>
  </w:footnote>
  <w:footnote w:id="217">
    <w:p w14:paraId="7DE464F0" w14:textId="36668453" w:rsidR="003B7460" w:rsidRPr="007F7EBF" w:rsidRDefault="003B7460" w:rsidP="000C4F95">
      <w:pPr>
        <w:pStyle w:val="Testonotaapidipagina"/>
      </w:pPr>
      <w:r w:rsidRPr="007F7EBF">
        <w:rPr>
          <w:rStyle w:val="Rimandonotaapidipagina"/>
        </w:rPr>
        <w:footnoteRef/>
      </w:r>
      <w:r w:rsidRPr="007F7EBF">
        <w:t xml:space="preserve"> ) </w:t>
      </w:r>
      <w:r>
        <w:rPr>
          <w:sz w:val="22"/>
          <w:szCs w:val="22"/>
        </w:rPr>
        <w:t xml:space="preserve">anche le organizzazioni private, ad esempio </w:t>
      </w:r>
      <w:r w:rsidRPr="007F7EBF">
        <w:rPr>
          <w:sz w:val="22"/>
          <w:szCs w:val="22"/>
        </w:rPr>
        <w:t>religiose, politico-sociali, come partiti, sindacati</w:t>
      </w:r>
      <w:r>
        <w:rPr>
          <w:sz w:val="22"/>
          <w:szCs w:val="22"/>
        </w:rPr>
        <w:t xml:space="preserve">, sportive, culturali  o </w:t>
      </w:r>
      <w:r w:rsidRPr="007F7EBF">
        <w:rPr>
          <w:sz w:val="22"/>
          <w:szCs w:val="22"/>
        </w:rPr>
        <w:t>affettive</w:t>
      </w:r>
      <w:r>
        <w:rPr>
          <w:sz w:val="22"/>
          <w:szCs w:val="22"/>
        </w:rPr>
        <w:t xml:space="preserve"> </w:t>
      </w:r>
      <w:r w:rsidRPr="007F7EBF">
        <w:rPr>
          <w:sz w:val="22"/>
          <w:szCs w:val="22"/>
        </w:rPr>
        <w:t xml:space="preserve"> .</w:t>
      </w:r>
      <w:r>
        <w:rPr>
          <w:sz w:val="22"/>
          <w:szCs w:val="22"/>
        </w:rPr>
        <w:t xml:space="preserve"> (associazioni fondazioni e altri di cui al par.7.5), </w:t>
      </w:r>
      <w:r w:rsidRPr="007F7EBF">
        <w:t xml:space="preserve">Le aziende di erogazione private sono spesso tenute assieme dalla condivisione di un sentimento, come l’amore su cui si fonda la famiglia (anch’essa “azienda di erogazione”), o una fede politico-religiosa. </w:t>
      </w:r>
    </w:p>
  </w:footnote>
  <w:footnote w:id="218">
    <w:p w14:paraId="005E8CA2" w14:textId="4E3202D9" w:rsidR="003B7460" w:rsidRPr="007F7EBF" w:rsidRDefault="003B7460" w:rsidP="000B4609">
      <w:pPr>
        <w:pStyle w:val="Testonotaapidipagina"/>
      </w:pPr>
      <w:r w:rsidRPr="007F7EBF">
        <w:rPr>
          <w:rStyle w:val="Rimandonotaapidipagina"/>
        </w:rPr>
        <w:footnoteRef/>
      </w:r>
      <w:r w:rsidRPr="007F7EBF">
        <w:t xml:space="preserve"> ) </w:t>
      </w:r>
      <w:r>
        <w:t xml:space="preserve">Queste erogazioni sostituiscono le entrate delle aziende di produzione, operanti invece per il mercato. </w:t>
      </w:r>
    </w:p>
  </w:footnote>
  <w:footnote w:id="219">
    <w:p w14:paraId="67BC7667" w14:textId="02BA8983" w:rsidR="003B7460" w:rsidRDefault="003B7460">
      <w:pPr>
        <w:pStyle w:val="Testonotaapidipagina"/>
      </w:pPr>
      <w:r>
        <w:rPr>
          <w:rStyle w:val="Rimandonotaapidipagina"/>
        </w:rPr>
        <w:footnoteRef/>
      </w:r>
      <w:r>
        <w:t xml:space="preserve"> ) E’ evidente infatti che enti pubblici e privati erogano redditi a dipendenti, consulenti e fornitori. Negli enti “no profit” sono concepibili pagamenti a titolo diverso dalla distribuzione di utili (compensi amministratori e rimborsi spese) Anche queste figure confermano quanto sia riduttiva la “personalizzazione” delle organizzazioni, operanti nella funzione tributaria, trattando i gruppi sociali come fossero persone fisiche. </w:t>
      </w:r>
    </w:p>
  </w:footnote>
  <w:footnote w:id="220">
    <w:p w14:paraId="35181136" w14:textId="168F93AB" w:rsidR="003B7460" w:rsidRPr="007F7EBF" w:rsidRDefault="003B7460" w:rsidP="00981AFD">
      <w:pPr>
        <w:pStyle w:val="Testonotaapidipagina"/>
      </w:pPr>
      <w:r w:rsidRPr="007F7EBF">
        <w:rPr>
          <w:rStyle w:val="Rimandonotaapidipagina"/>
        </w:rPr>
        <w:footnoteRef/>
      </w:r>
      <w:r w:rsidRPr="007F7EBF">
        <w:t xml:space="preserve"> ) Detta anche, all’inglese, “</w:t>
      </w:r>
      <w:proofErr w:type="spellStart"/>
      <w:r w:rsidRPr="007F7EBF">
        <w:t>problem</w:t>
      </w:r>
      <w:proofErr w:type="spellEnd"/>
      <w:r w:rsidRPr="007F7EBF">
        <w:t xml:space="preserve"> solving” e che dipende ovviamente dal tipo di problema, non potendo essere valutata in assoluto. </w:t>
      </w:r>
      <w:r>
        <w:t xml:space="preserve">Anche l’etimologia della parola </w:t>
      </w:r>
      <w:r w:rsidRPr="007F7EBF">
        <w:rPr>
          <w:i/>
          <w:lang w:eastAsia="x-none"/>
        </w:rPr>
        <w:t xml:space="preserve">manager </w:t>
      </w:r>
      <w:r>
        <w:rPr>
          <w:lang w:eastAsia="x-none"/>
        </w:rPr>
        <w:t xml:space="preserve">allude genericamente </w:t>
      </w:r>
      <w:r w:rsidRPr="007F7EBF">
        <w:rPr>
          <w:lang w:eastAsia="x-none"/>
        </w:rPr>
        <w:t xml:space="preserve"> </w:t>
      </w:r>
      <w:r>
        <w:rPr>
          <w:lang w:eastAsia="x-none"/>
        </w:rPr>
        <w:t>alla “capacità realizzativa”. Queste qualità umane di base si affinano con l’esperienza in diversi contesti aziendali, per natura industriale (acciaio, trasporti, farmaceutico etc.) o funzione  (produzione, distribuzione, amministrazione etc.)</w:t>
      </w:r>
      <w:r w:rsidRPr="007F7EBF">
        <w:t>.</w:t>
      </w:r>
    </w:p>
  </w:footnote>
  <w:footnote w:id="221">
    <w:p w14:paraId="775922F3" w14:textId="5577CEA7" w:rsidR="003B7460" w:rsidRPr="007F7EBF" w:rsidRDefault="003B7460" w:rsidP="00981AFD">
      <w:pPr>
        <w:pStyle w:val="Testonotaapidipagina"/>
      </w:pPr>
      <w:r w:rsidRPr="007F7EBF">
        <w:rPr>
          <w:rStyle w:val="Rimandonotaapidipagina"/>
        </w:rPr>
        <w:footnoteRef/>
      </w:r>
      <w:r w:rsidRPr="007F7EBF">
        <w:t xml:space="preserve"> </w:t>
      </w:r>
      <w:r>
        <w:t xml:space="preserve">) </w:t>
      </w:r>
      <w:r w:rsidRPr="007F7EBF">
        <w:rPr>
          <w:sz w:val="22"/>
          <w:szCs w:val="22"/>
          <w:lang w:eastAsia="x-none"/>
        </w:rPr>
        <w:t xml:space="preserve">L'idea generica di </w:t>
      </w:r>
      <w:r w:rsidRPr="007F7EBF">
        <w:rPr>
          <w:i/>
          <w:sz w:val="22"/>
          <w:szCs w:val="22"/>
          <w:lang w:eastAsia="x-none"/>
        </w:rPr>
        <w:t>management</w:t>
      </w:r>
      <w:r w:rsidRPr="007F7EBF">
        <w:rPr>
          <w:sz w:val="22"/>
          <w:szCs w:val="22"/>
          <w:lang w:eastAsia="x-none"/>
        </w:rPr>
        <w:t>, avulsa da specifici settori di attività e specifiche funzioni, è fortemente riduttiva, e forse strumentale all'autopromozione dei dirigenti "in sé" rispetto alle organizzazioni in cui si collocano</w:t>
      </w:r>
      <w:r>
        <w:rPr>
          <w:sz w:val="22"/>
          <w:szCs w:val="22"/>
          <w:lang w:eastAsia="x-none"/>
        </w:rPr>
        <w:t xml:space="preserve">. </w:t>
      </w:r>
      <w:r w:rsidRPr="007F7EBF">
        <w:rPr>
          <w:lang w:eastAsia="x-none"/>
        </w:rPr>
        <w:t xml:space="preserve">Ritroveremo al par.5.3, a proposito del settore pubblico, i guasti di questa idea generale di managerialità, scollegata da </w:t>
      </w:r>
      <w:r w:rsidRPr="007F7EBF">
        <w:t xml:space="preserve">specifiche funzioni (sanità, sicurezza, ambiente, determinazione dei tributi, istruzione, infrastrutture, gestione del territorio, beni culturali etc.) ed i suoi rischi di </w:t>
      </w:r>
      <w:r>
        <w:t>inefficienti c</w:t>
      </w:r>
      <w:r w:rsidRPr="007F7EBF">
        <w:t>ommistioni con la politica.</w:t>
      </w:r>
    </w:p>
  </w:footnote>
  <w:footnote w:id="222">
    <w:p w14:paraId="2D1979DB" w14:textId="77777777" w:rsidR="003B7460" w:rsidRPr="007F7EBF" w:rsidRDefault="003B7460" w:rsidP="004915A3">
      <w:pPr>
        <w:pStyle w:val="Testonotaapidipagina"/>
      </w:pPr>
      <w:r w:rsidRPr="007F7EBF">
        <w:rPr>
          <w:rStyle w:val="Rimandonotaapidipagina"/>
        </w:rPr>
        <w:footnoteRef/>
      </w:r>
      <w:r w:rsidRPr="007F7EBF">
        <w:t xml:space="preserve"> In ogni corpo sociale pluripersonale servono infatti documenti per accompagnare le attività dei singoli, inserendole nel solco di decisioni del gruppo e rendicontandole; la contabilità in partita doppia del resto fu inventata a tal fine nelle imprese mercantili medievali ed anche gli ordini monastici tenevano conti, che tra l'altro hanno consentito l’attribuzione di molti dipinti antichi.</w:t>
      </w:r>
    </w:p>
  </w:footnote>
  <w:footnote w:id="223">
    <w:p w14:paraId="45649F80" w14:textId="64B939E1" w:rsidR="003B7460" w:rsidRPr="007F7EBF" w:rsidRDefault="003B7460" w:rsidP="004915A3">
      <w:pPr>
        <w:pStyle w:val="Testonotaapidipagina"/>
      </w:pPr>
      <w:r w:rsidRPr="007F7EBF">
        <w:rPr>
          <w:rStyle w:val="Rimandonotaapidipagina"/>
        </w:rPr>
        <w:footnoteRef/>
      </w:r>
      <w:r w:rsidRPr="007F7EBF">
        <w:t xml:space="preserve"> )</w:t>
      </w:r>
      <w:r>
        <w:t xml:space="preserve"> </w:t>
      </w:r>
      <w:r w:rsidRPr="007F7EBF">
        <w:t xml:space="preserve"> L</w:t>
      </w:r>
      <w:r>
        <w:t>’azienda come gruppo deve andare avanti anche in questi casi, e ciò</w:t>
      </w:r>
      <w:r w:rsidRPr="007F7EBF">
        <w:t xml:space="preserve"> richiede tracce</w:t>
      </w:r>
      <w:r>
        <w:t xml:space="preserve"> documentali indicate nel testo</w:t>
      </w:r>
      <w:r w:rsidRPr="007F7EBF">
        <w:t xml:space="preserve">. </w:t>
      </w:r>
    </w:p>
  </w:footnote>
  <w:footnote w:id="224">
    <w:p w14:paraId="54B773A1" w14:textId="3AE03FD9" w:rsidR="003B7460" w:rsidRPr="007F7EBF" w:rsidRDefault="003B7460" w:rsidP="00920867">
      <w:pPr>
        <w:pStyle w:val="Testonotaapidipagina"/>
      </w:pPr>
      <w:r w:rsidRPr="007F7EBF">
        <w:rPr>
          <w:rStyle w:val="Rimandonotaapidipagina"/>
        </w:rPr>
        <w:footnoteRef/>
      </w:r>
      <w:r w:rsidRPr="007F7EBF">
        <w:t xml:space="preserve"> ) Il “conflitto di interessi” non </w:t>
      </w:r>
      <w:r>
        <w:t xml:space="preserve">va inteso come un </w:t>
      </w:r>
      <w:r w:rsidRPr="007F7EBF">
        <w:t xml:space="preserve">dissidio, ma </w:t>
      </w:r>
      <w:r>
        <w:t xml:space="preserve">è </w:t>
      </w:r>
      <w:r w:rsidRPr="007F7EBF">
        <w:t>una precisazione de</w:t>
      </w:r>
      <w:r>
        <w:t xml:space="preserve">i compiti e delle responsabilità </w:t>
      </w:r>
      <w:r w:rsidRPr="007F7EBF">
        <w:t>di ogn</w:t>
      </w:r>
      <w:r>
        <w:t>i addetto all’azienda</w:t>
      </w:r>
      <w:r w:rsidRPr="007F7EBF">
        <w:t xml:space="preserve">.  </w:t>
      </w:r>
    </w:p>
  </w:footnote>
  <w:footnote w:id="225">
    <w:p w14:paraId="558C3B2E" w14:textId="654717DE" w:rsidR="003B7460" w:rsidRPr="007F7EBF" w:rsidRDefault="003B7460" w:rsidP="00CC622E">
      <w:pPr>
        <w:pStyle w:val="Testonotaapidipagina"/>
      </w:pPr>
      <w:r w:rsidRPr="007F7EBF">
        <w:rPr>
          <w:rStyle w:val="Rimandonotaapidipagina"/>
        </w:rPr>
        <w:footnoteRef/>
      </w:r>
      <w:r w:rsidRPr="007F7EBF">
        <w:t xml:space="preserve"> ) </w:t>
      </w:r>
      <w:r>
        <w:t>Cioè l’”amministratore delegato” (CEO), che sovraintende a tutte le funzioni aziendali, compresa quella del direttore amministrativo(CFO).</w:t>
      </w:r>
    </w:p>
  </w:footnote>
  <w:footnote w:id="226">
    <w:p w14:paraId="0DAE8D23" w14:textId="3767FC91" w:rsidR="003B7460" w:rsidRPr="007F7EBF" w:rsidRDefault="003B7460" w:rsidP="00443810">
      <w:pPr>
        <w:pStyle w:val="Testonotaapidipagina"/>
      </w:pPr>
      <w:r w:rsidRPr="007F7EBF">
        <w:rPr>
          <w:rStyle w:val="Rimandonotaapidipagina"/>
        </w:rPr>
        <w:footnoteRef/>
      </w:r>
      <w:r w:rsidRPr="007F7EBF">
        <w:t xml:space="preserve"> ) </w:t>
      </w:r>
      <w:r>
        <w:t>La fiducia nel direttore amministrativo consente al titolare di fare serenamente l’amministratore delegato, con la separazione tra due attività che, nelle piccole attività, coincidono</w:t>
      </w:r>
      <w:r w:rsidRPr="007F7EBF">
        <w:t xml:space="preserve">. </w:t>
      </w:r>
    </w:p>
  </w:footnote>
  <w:footnote w:id="227">
    <w:p w14:paraId="6DB1901D" w14:textId="77777777" w:rsidR="003B7460" w:rsidRPr="007F7EBF" w:rsidRDefault="003B7460" w:rsidP="00795752">
      <w:pPr>
        <w:pStyle w:val="Testonotaapidipagina"/>
      </w:pPr>
      <w:r w:rsidRPr="007F7EBF">
        <w:rPr>
          <w:rStyle w:val="Rimandonotaapidipagina"/>
        </w:rPr>
        <w:footnoteRef/>
      </w:r>
      <w:r w:rsidRPr="007F7EBF">
        <w:t xml:space="preserve"> </w:t>
      </w:r>
      <w:r>
        <w:t>) Domina la p</w:t>
      </w:r>
      <w:r w:rsidRPr="007F7EBF">
        <w:t>reoccupa</w:t>
      </w:r>
      <w:r>
        <w:t xml:space="preserve">zione di </w:t>
      </w:r>
      <w:r w:rsidRPr="007F7EBF">
        <w:t>evitare disordine amministrativo</w:t>
      </w:r>
      <w:r>
        <w:t xml:space="preserve"> e </w:t>
      </w:r>
      <w:r w:rsidRPr="007F7EBF">
        <w:t>frodi</w:t>
      </w:r>
      <w:r>
        <w:t>, di cui una</w:t>
      </w:r>
      <w:r w:rsidRPr="007F7EBF">
        <w:t xml:space="preserve"> divertente metafora è la scena visibile digitando su </w:t>
      </w:r>
      <w:proofErr w:type="spellStart"/>
      <w:r w:rsidRPr="007F7EBF">
        <w:t>youtube</w:t>
      </w:r>
      <w:proofErr w:type="spellEnd"/>
      <w:r w:rsidRPr="007F7EBF">
        <w:t xml:space="preserve">  “Il Marchese del Grillo - Sei ladro tu, tu padre e tu nonno... e io ve licenzio a tutti”.  </w:t>
      </w:r>
      <w:r>
        <w:t>Rispetto alla fiducia, l</w:t>
      </w:r>
      <w:r w:rsidRPr="007F7EBF">
        <w:t>a creatività e la fantasia</w:t>
      </w:r>
      <w:r>
        <w:t xml:space="preserve"> </w:t>
      </w:r>
      <w:r w:rsidRPr="007F7EBF">
        <w:t xml:space="preserve">sono secondarie, e </w:t>
      </w:r>
      <w:r>
        <w:t xml:space="preserve">del resto </w:t>
      </w:r>
      <w:r w:rsidRPr="007F7EBF">
        <w:t>il termine “</w:t>
      </w:r>
      <w:proofErr w:type="spellStart"/>
      <w:r w:rsidRPr="007F7EBF">
        <w:t>ragionieria</w:t>
      </w:r>
      <w:proofErr w:type="spellEnd"/>
      <w:r w:rsidRPr="007F7EBF">
        <w:t>” non attiene al “ragionamento”, ma alla parola latina “</w:t>
      </w:r>
      <w:proofErr w:type="spellStart"/>
      <w:r w:rsidRPr="007F7EBF">
        <w:t>rationem</w:t>
      </w:r>
      <w:proofErr w:type="spellEnd"/>
      <w:r w:rsidRPr="007F7EBF">
        <w:t xml:space="preserve">”, riferita appunto a “fare conti”. </w:t>
      </w:r>
    </w:p>
  </w:footnote>
  <w:footnote w:id="228">
    <w:p w14:paraId="454A406D" w14:textId="2E45A781" w:rsidR="003B7460" w:rsidRDefault="003B7460">
      <w:pPr>
        <w:pStyle w:val="Testonotaapidipagina"/>
      </w:pPr>
      <w:r>
        <w:rPr>
          <w:rStyle w:val="Rimandonotaapidipagina"/>
        </w:rPr>
        <w:footnoteRef/>
      </w:r>
      <w:r>
        <w:t xml:space="preserve"> ) Per questo è </w:t>
      </w:r>
      <w:r w:rsidRPr="007F7EBF">
        <w:t xml:space="preserve">inverosimile che un contabile </w:t>
      </w:r>
      <w:r>
        <w:t xml:space="preserve">occulti imponibili al fisco </w:t>
      </w:r>
      <w:r w:rsidRPr="007F7EBF">
        <w:t>per far risparmiare tributi all’azienda</w:t>
      </w:r>
      <w:r>
        <w:t xml:space="preserve">, cui </w:t>
      </w:r>
      <w:r w:rsidRPr="007F7EBF">
        <w:t xml:space="preserve"> andrebbero i vantaggi, mentre le censure, in caso di sanzioni e controlli, ricadrebbero su di lui, che si esporrebbe a rischi senza avere benefici.</w:t>
      </w:r>
    </w:p>
  </w:footnote>
  <w:footnote w:id="229">
    <w:p w14:paraId="022B14A2" w14:textId="77777777" w:rsidR="003B7460" w:rsidRPr="007F7EBF" w:rsidRDefault="003B7460" w:rsidP="00512AE6">
      <w:pPr>
        <w:pStyle w:val="Testonotaapidipagina"/>
      </w:pPr>
      <w:r w:rsidRPr="007F7EBF">
        <w:rPr>
          <w:rStyle w:val="Rimandonotaapidipagina"/>
        </w:rPr>
        <w:footnoteRef/>
      </w:r>
      <w:r w:rsidRPr="007F7EBF">
        <w:t xml:space="preserve"> ) </w:t>
      </w:r>
      <w:r>
        <w:t>E’ una possibilità che</w:t>
      </w:r>
      <w:r w:rsidRPr="007F7EBF">
        <w:t xml:space="preserve"> poi si </w:t>
      </w:r>
      <w:r>
        <w:t>riduce</w:t>
      </w:r>
      <w:r w:rsidRPr="007F7EBF">
        <w:t xml:space="preserve">, man mano che le dimensioni aziendali crescono, e </w:t>
      </w:r>
      <w:r>
        <w:t xml:space="preserve">anche </w:t>
      </w:r>
      <w:r w:rsidRPr="007F7EBF">
        <w:t xml:space="preserve">la figura del “titolare” si spersonalizza </w:t>
      </w:r>
      <w:r>
        <w:t>con l’ingresso di nuovi soci</w:t>
      </w:r>
      <w:r w:rsidRPr="007F7EBF">
        <w:t xml:space="preserve">. </w:t>
      </w:r>
    </w:p>
  </w:footnote>
  <w:footnote w:id="230">
    <w:p w14:paraId="1B77E750" w14:textId="77777777" w:rsidR="003B7460" w:rsidRDefault="003B7460" w:rsidP="00D04873">
      <w:pPr>
        <w:autoSpaceDE w:val="0"/>
        <w:autoSpaceDN w:val="0"/>
        <w:adjustRightInd w:val="0"/>
      </w:pPr>
      <w:r>
        <w:rPr>
          <w:rStyle w:val="Rimandonotaapidipagina"/>
        </w:rPr>
        <w:footnoteRef/>
      </w:r>
      <w:r>
        <w:t>) Sulla cui logica par.7.14, sul bilancio.</w:t>
      </w:r>
      <w:r>
        <w:rPr>
          <w:sz w:val="20"/>
          <w:szCs w:val="20"/>
        </w:rPr>
        <w:t xml:space="preserve"> </w:t>
      </w:r>
    </w:p>
  </w:footnote>
  <w:footnote w:id="231">
    <w:p w14:paraId="65DEEC84" w14:textId="77777777" w:rsidR="003B7460" w:rsidRPr="007F7EBF" w:rsidRDefault="003B7460" w:rsidP="002801DD">
      <w:pPr>
        <w:pStyle w:val="Testonotaapidipagina"/>
      </w:pPr>
      <w:r w:rsidRPr="007F7EBF">
        <w:rPr>
          <w:rStyle w:val="Rimandonotaapidipagina"/>
        </w:rPr>
        <w:footnoteRef/>
      </w:r>
      <w:r w:rsidRPr="007F7EBF">
        <w:t xml:space="preserve"> </w:t>
      </w:r>
      <w:r>
        <w:t xml:space="preserve">) </w:t>
      </w:r>
      <w:r w:rsidRPr="007F7EBF">
        <w:t xml:space="preserve">Sull'eliminazione (compensazione) dei "passaggi intermedi" tra operatori economici vedi par.1.8 (cosiddette operazioni business to business descritte al par.1.8, e sinteticamente indicate come b2b). </w:t>
      </w:r>
    </w:p>
  </w:footnote>
  <w:footnote w:id="232">
    <w:p w14:paraId="34247685" w14:textId="77777777" w:rsidR="003B7460" w:rsidRPr="007F7EBF" w:rsidRDefault="003B7460" w:rsidP="002801DD">
      <w:pPr>
        <w:pStyle w:val="Testonotaapidipagina"/>
      </w:pPr>
      <w:r w:rsidRPr="007F7EBF">
        <w:rPr>
          <w:rStyle w:val="Rimandonotaapidipagina"/>
        </w:rPr>
        <w:footnoteRef/>
      </w:r>
      <w:r w:rsidRPr="007F7EBF">
        <w:t xml:space="preserve"> ) Su cui sono applicate imposte come l'IVA, secondo quanto indicato al par.7.2 ss.</w:t>
      </w:r>
    </w:p>
  </w:footnote>
  <w:footnote w:id="233">
    <w:p w14:paraId="75E39BBD" w14:textId="5B41B68A" w:rsidR="003B7460" w:rsidRPr="007F7EBF" w:rsidRDefault="003B7460" w:rsidP="002801DD">
      <w:pPr>
        <w:pStyle w:val="Testonotaapidipagina"/>
      </w:pPr>
      <w:r w:rsidRPr="007F7EBF">
        <w:rPr>
          <w:rStyle w:val="Rimandonotaapidipagina"/>
        </w:rPr>
        <w:footnoteRef/>
      </w:r>
      <w:r w:rsidRPr="007F7EBF">
        <w:t xml:space="preserve"> ) </w:t>
      </w:r>
      <w:r>
        <w:t>U</w:t>
      </w:r>
      <w:r w:rsidRPr="007F7EBF">
        <w:t>no dei fili conduttori del testo, come indicato ai par.1.8, 3.1, 7.2, 9.</w:t>
      </w:r>
      <w:r>
        <w:t>5</w:t>
      </w:r>
      <w:r w:rsidRPr="007F7EBF">
        <w:t xml:space="preserve"> etc..</w:t>
      </w:r>
    </w:p>
  </w:footnote>
  <w:footnote w:id="234">
    <w:p w14:paraId="0ED85EDA" w14:textId="7478B657" w:rsidR="003B7460" w:rsidRPr="007F7EBF" w:rsidRDefault="003B7460" w:rsidP="00EA401C">
      <w:pPr>
        <w:pStyle w:val="Testonotaapidipagina"/>
      </w:pPr>
      <w:r w:rsidRPr="007F7EBF">
        <w:rPr>
          <w:rStyle w:val="Rimandonotaapidipagina"/>
        </w:rPr>
        <w:footnoteRef/>
      </w:r>
      <w:r w:rsidRPr="007F7EBF">
        <w:t xml:space="preserve"> ) </w:t>
      </w:r>
      <w:r>
        <w:t>P</w:t>
      </w:r>
      <w:r w:rsidRPr="007F7EBF">
        <w:t xml:space="preserve">er i quali , come vedremo al par.7.17, l’imposizione sugli utili di impresa è economicamente un’anticipazione dell’imposizione sui redditi propri, rappresentata dai dividendi. </w:t>
      </w:r>
    </w:p>
  </w:footnote>
  <w:footnote w:id="235">
    <w:p w14:paraId="3F15720E" w14:textId="32A17CFE" w:rsidR="003B7460" w:rsidRPr="007F7EBF" w:rsidRDefault="003B7460" w:rsidP="002801DD">
      <w:pPr>
        <w:pStyle w:val="Testonotaapidipagina"/>
      </w:pPr>
      <w:r w:rsidRPr="007F7EBF">
        <w:rPr>
          <w:rStyle w:val="Rimandonotaapidipagina"/>
        </w:rPr>
        <w:footnoteRef/>
      </w:r>
      <w:r w:rsidRPr="007F7EBF">
        <w:t>)</w:t>
      </w:r>
      <w:r>
        <w:t xml:space="preserve"> L</w:t>
      </w:r>
      <w:r w:rsidRPr="007F7EBF">
        <w:t xml:space="preserve">’affidabilità tributaria delle </w:t>
      </w:r>
      <w:r>
        <w:t>aziende</w:t>
      </w:r>
      <w:r w:rsidRPr="007F7EBF">
        <w:t xml:space="preserve"> sussiste anche quando acquistano da terzi, per la loro necessità interna di documentare l’intero prezzo pagato, richiedendone quindi la piena emersione. </w:t>
      </w:r>
    </w:p>
  </w:footnote>
  <w:footnote w:id="236">
    <w:p w14:paraId="0A843A09" w14:textId="0E717A89" w:rsidR="003B7460" w:rsidRPr="007F7EBF" w:rsidRDefault="003B7460" w:rsidP="00F5016A">
      <w:pPr>
        <w:pStyle w:val="Testonotaapidipagina"/>
      </w:pPr>
      <w:r w:rsidRPr="007F7EBF">
        <w:rPr>
          <w:rStyle w:val="Rimandonotaapidipagina"/>
        </w:rPr>
        <w:footnoteRef/>
      </w:r>
      <w:r w:rsidRPr="007F7EBF">
        <w:t xml:space="preserve"> ) Sulla funzione amministrativo-contabile dell’azienda paragrafo 3.3</w:t>
      </w:r>
      <w:r>
        <w:t xml:space="preserve"> </w:t>
      </w:r>
      <w:r w:rsidRPr="007F7EBF">
        <w:t xml:space="preserve">e parr.7.13, 7.14-7.16 su bilancio, contabilità industriale e di magazzino. </w:t>
      </w:r>
    </w:p>
  </w:footnote>
  <w:footnote w:id="237">
    <w:p w14:paraId="555AB7CF" w14:textId="7970B3B3" w:rsidR="003B7460" w:rsidRPr="007F7EBF" w:rsidRDefault="003B7460" w:rsidP="00653617">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L</w:t>
      </w:r>
      <w:r w:rsidRPr="007F7EBF">
        <w:rPr>
          <w:sz w:val="20"/>
          <w:szCs w:val="20"/>
        </w:rPr>
        <w:t>a contabilità aziendale serve a sostenere la gestione, e l'utilizzazione tributaria è solo un'appendice di questa funzione primaria</w:t>
      </w:r>
      <w:r>
        <w:rPr>
          <w:sz w:val="20"/>
          <w:szCs w:val="20"/>
        </w:rPr>
        <w:t xml:space="preserve">, cui </w:t>
      </w:r>
      <w:r w:rsidRPr="007F7EBF">
        <w:rPr>
          <w:sz w:val="20"/>
          <w:szCs w:val="20"/>
        </w:rPr>
        <w:t>sono delega</w:t>
      </w:r>
      <w:r>
        <w:rPr>
          <w:sz w:val="20"/>
          <w:szCs w:val="20"/>
        </w:rPr>
        <w:t>bili</w:t>
      </w:r>
      <w:r w:rsidRPr="007F7EBF">
        <w:rPr>
          <w:sz w:val="20"/>
          <w:szCs w:val="20"/>
        </w:rPr>
        <w:t xml:space="preserve"> funzioni tributarie </w:t>
      </w:r>
      <w:proofErr w:type="spellStart"/>
      <w:r w:rsidRPr="007F7EBF">
        <w:rPr>
          <w:sz w:val="20"/>
          <w:szCs w:val="20"/>
        </w:rPr>
        <w:t>finchè</w:t>
      </w:r>
      <w:proofErr w:type="spellEnd"/>
      <w:r w:rsidRPr="007F7EBF">
        <w:rPr>
          <w:sz w:val="20"/>
          <w:szCs w:val="20"/>
        </w:rPr>
        <w:t xml:space="preserve"> non si discostano troppo dalle ordinarie necessità amministrative.</w:t>
      </w:r>
    </w:p>
  </w:footnote>
  <w:footnote w:id="238">
    <w:p w14:paraId="12589083" w14:textId="61791ED7" w:rsidR="003B7460" w:rsidRDefault="003B7460">
      <w:pPr>
        <w:pStyle w:val="Testonotaapidipagina"/>
      </w:pPr>
      <w:r>
        <w:rPr>
          <w:rStyle w:val="Rimandonotaapidipagina"/>
        </w:rPr>
        <w:footnoteRef/>
      </w:r>
      <w:r>
        <w:t xml:space="preserve"> ) A maggior ragione è assurda la “contabilità fiscale” dove non ne esiste alcun bisogno, come per i piccoli commercianti e gli artigiani di cui al par.3.13.</w:t>
      </w:r>
    </w:p>
  </w:footnote>
  <w:footnote w:id="239">
    <w:p w14:paraId="3ACA6192" w14:textId="531CE024" w:rsidR="003B7460" w:rsidRDefault="003B7460">
      <w:pPr>
        <w:pStyle w:val="Testonotaapidipagina"/>
      </w:pPr>
      <w:r>
        <w:rPr>
          <w:rStyle w:val="Rimandonotaapidipagina"/>
        </w:rPr>
        <w:footnoteRef/>
      </w:r>
      <w:r>
        <w:t xml:space="preserve"> ) </w:t>
      </w:r>
      <w:r>
        <w:rPr>
          <w:sz w:val="22"/>
          <w:szCs w:val="22"/>
        </w:rPr>
        <w:t>N</w:t>
      </w:r>
      <w:r w:rsidRPr="007F7EBF">
        <w:rPr>
          <w:sz w:val="22"/>
          <w:szCs w:val="22"/>
        </w:rPr>
        <w:t xml:space="preserve">onché per verificare il </w:t>
      </w:r>
      <w:r>
        <w:rPr>
          <w:sz w:val="22"/>
          <w:szCs w:val="22"/>
        </w:rPr>
        <w:t>motivo</w:t>
      </w:r>
      <w:r w:rsidRPr="007F7EBF">
        <w:rPr>
          <w:sz w:val="22"/>
          <w:szCs w:val="22"/>
        </w:rPr>
        <w:t xml:space="preserve"> del medesimo, cioè la prestazione effettuata</w:t>
      </w:r>
      <w:r>
        <w:rPr>
          <w:sz w:val="22"/>
          <w:szCs w:val="22"/>
        </w:rPr>
        <w:t xml:space="preserve"> dal beneficiario</w:t>
      </w:r>
      <w:r w:rsidRPr="007F7EBF">
        <w:rPr>
          <w:sz w:val="22"/>
          <w:szCs w:val="22"/>
        </w:rPr>
        <w:t>, anche per eventuali reclami sulla sua qualità (ad es. sulla merce ricevuta).</w:t>
      </w:r>
    </w:p>
  </w:footnote>
  <w:footnote w:id="240">
    <w:p w14:paraId="4556DA3F" w14:textId="2C23293B" w:rsidR="003B7460" w:rsidRDefault="003B7460">
      <w:pPr>
        <w:pStyle w:val="Testonotaapidipagina"/>
      </w:pPr>
      <w:r>
        <w:rPr>
          <w:rStyle w:val="Rimandonotaapidipagina"/>
        </w:rPr>
        <w:footnoteRef/>
      </w:r>
      <w:r>
        <w:t xml:space="preserve"> ) Eventualmente assieme al pagamento di imposte, </w:t>
      </w:r>
      <w:r w:rsidRPr="007F7EBF">
        <w:rPr>
          <w:sz w:val="22"/>
          <w:szCs w:val="22"/>
        </w:rPr>
        <w:t>come indicato al paragrafo 3.6 per le ritenute alla fonte</w:t>
      </w:r>
      <w:r>
        <w:rPr>
          <w:sz w:val="22"/>
          <w:szCs w:val="22"/>
        </w:rPr>
        <w:t xml:space="preserve">. </w:t>
      </w:r>
    </w:p>
  </w:footnote>
  <w:footnote w:id="241">
    <w:p w14:paraId="60B86FAD" w14:textId="77777777" w:rsidR="003B7460" w:rsidRPr="007F7EBF" w:rsidRDefault="003B7460">
      <w:pPr>
        <w:pStyle w:val="Testonotaapidipagina"/>
      </w:pPr>
      <w:r w:rsidRPr="007F7EBF">
        <w:rPr>
          <w:rStyle w:val="Rimandonotaapidipagina"/>
        </w:rPr>
        <w:footnoteRef/>
      </w:r>
      <w:r w:rsidRPr="007F7EBF">
        <w:t xml:space="preserve"> ) Par.4.5, 5.9 e 5.16 sugli indizi contabili e sulla “tracciabilità” dei mezzi di pagamento come strumento di determinazione dei tributi (o come grossolanamente si dice “di lotta all’evasione fiscale”). </w:t>
      </w:r>
    </w:p>
  </w:footnote>
  <w:footnote w:id="242">
    <w:p w14:paraId="1EA12A8C" w14:textId="24CEEC21" w:rsidR="003B7460" w:rsidRPr="007F7EBF" w:rsidRDefault="003B7460" w:rsidP="0023194A">
      <w:pPr>
        <w:pStyle w:val="Testonotaapidipagina"/>
      </w:pPr>
      <w:r w:rsidRPr="007F7EBF">
        <w:rPr>
          <w:rStyle w:val="Rimandonotaapidipagina"/>
        </w:rPr>
        <w:footnoteRef/>
      </w:r>
      <w:r w:rsidRPr="007F7EBF">
        <w:t xml:space="preserve"> </w:t>
      </w:r>
      <w:r w:rsidRPr="007F7EBF">
        <w:rPr>
          <w:sz w:val="22"/>
          <w:szCs w:val="22"/>
        </w:rPr>
        <w:t xml:space="preserve">Vedremo </w:t>
      </w:r>
      <w:r>
        <w:rPr>
          <w:sz w:val="22"/>
          <w:szCs w:val="22"/>
        </w:rPr>
        <w:t>al par.7.3-7.4</w:t>
      </w:r>
      <w:r w:rsidRPr="007F7EBF">
        <w:rPr>
          <w:sz w:val="22"/>
          <w:szCs w:val="22"/>
        </w:rPr>
        <w:t xml:space="preserve"> le difficoltà emergenti in alcuni casi in cui il regime fiscale delle vendite, soprattutto nell’IVA, è ancorato a caratteristiche del</w:t>
      </w:r>
      <w:r>
        <w:rPr>
          <w:sz w:val="22"/>
          <w:szCs w:val="22"/>
        </w:rPr>
        <w:t xml:space="preserve">la controparte, con </w:t>
      </w:r>
      <w:r w:rsidRPr="007F7EBF">
        <w:t>le difficoltà del fornitore di controllare se le informazioni fornite dai clienti rispondono o meno a verità.</w:t>
      </w:r>
    </w:p>
  </w:footnote>
  <w:footnote w:id="243">
    <w:p w14:paraId="1A285E3E" w14:textId="403A102B" w:rsidR="003B7460" w:rsidRDefault="003B7460" w:rsidP="005F0CB0">
      <w:pPr>
        <w:pStyle w:val="Testonotaapidipagina"/>
      </w:pPr>
      <w:r>
        <w:rPr>
          <w:rStyle w:val="Rimandonotaapidipagina"/>
        </w:rPr>
        <w:footnoteRef/>
      </w:r>
      <w:r>
        <w:t xml:space="preserve"> ) Le scritture in esame sono state riportate dalla teoria del diritto commerciale (Panuccio) alle “documentazioni continuate di attività”.</w:t>
      </w:r>
      <w:r w:rsidRPr="009000F0">
        <w:t xml:space="preserve"> </w:t>
      </w:r>
      <w:r>
        <w:t>In questi rapporti privatistici, la limitata rilevanza probatoria della contabilità a favore di chi la redige è una deroga al principio tendenziale di precostituire prove a favore di se stessi.</w:t>
      </w:r>
    </w:p>
  </w:footnote>
  <w:footnote w:id="244">
    <w:p w14:paraId="02BE16BB" w14:textId="77777777" w:rsidR="003B7460" w:rsidRDefault="003B7460" w:rsidP="004D49EC">
      <w:pPr>
        <w:pStyle w:val="Testonotaapidipagina"/>
      </w:pPr>
      <w:r>
        <w:rPr>
          <w:rStyle w:val="Rimandonotaapidipagina"/>
        </w:rPr>
        <w:footnoteRef/>
      </w:r>
      <w:r>
        <w:t xml:space="preserve"> ) Si pensi alla eventuale normazione specifica dei settori interessati, come quello delle telecomunicazioni, dell’energia, della medicina, dei trasporti, etc..</w:t>
      </w:r>
    </w:p>
  </w:footnote>
  <w:footnote w:id="245">
    <w:p w14:paraId="517AB71C" w14:textId="77777777" w:rsidR="003B7460" w:rsidRPr="007F7EBF" w:rsidRDefault="003B7460" w:rsidP="004D49EC">
      <w:pPr>
        <w:pStyle w:val="Testonotaapidipagina"/>
      </w:pPr>
      <w:r w:rsidRPr="007F7EBF">
        <w:rPr>
          <w:rStyle w:val="Rimandonotaapidipagina"/>
        </w:rPr>
        <w:footnoteRef/>
      </w:r>
      <w:r w:rsidRPr="007F7EBF">
        <w:t xml:space="preserve"> </w:t>
      </w:r>
      <w:r w:rsidRPr="007F7EBF">
        <w:rPr>
          <w:bCs/>
        </w:rPr>
        <w:t>Bolle di consegna, e simili, rilevanti per limitati fini tributari, come la c.d. "fattura differita".</w:t>
      </w:r>
    </w:p>
  </w:footnote>
  <w:footnote w:id="246">
    <w:p w14:paraId="75C52C41" w14:textId="77777777" w:rsidR="003B7460" w:rsidRPr="007F7EBF" w:rsidRDefault="003B7460" w:rsidP="00DE1F93">
      <w:pPr>
        <w:pStyle w:val="Testonotaapidipagina"/>
      </w:pPr>
      <w:r w:rsidRPr="007F7EBF">
        <w:rPr>
          <w:rStyle w:val="Rimandonotaapidipagina"/>
        </w:rPr>
        <w:footnoteRef/>
      </w:r>
      <w:r w:rsidRPr="007F7EBF">
        <w:t xml:space="preserve"> </w:t>
      </w:r>
      <w:r w:rsidRPr="007F7EBF">
        <w:rPr>
          <w:bCs/>
        </w:rPr>
        <w:t>Per manipolare le procedure, gli addetti dovrebbero essere tutti d'accordo, salva -come vedremo al par.3.7- la manipolazione proveniente dall'alto, cioè dal titolare dell'azienda.</w:t>
      </w:r>
    </w:p>
  </w:footnote>
  <w:footnote w:id="247">
    <w:p w14:paraId="34E379E6" w14:textId="5C631DBE" w:rsidR="003B7460" w:rsidRDefault="003B7460" w:rsidP="000E1DCD">
      <w:pPr>
        <w:pStyle w:val="Testonotaapidipagina"/>
      </w:pPr>
      <w:r>
        <w:rPr>
          <w:rStyle w:val="Rimandonotaapidipagina"/>
        </w:rPr>
        <w:footnoteRef/>
      </w:r>
      <w:r>
        <w:t xml:space="preserve"> ) Creando così disaffezione </w:t>
      </w:r>
      <w:r>
        <w:rPr>
          <w:bCs/>
          <w:sz w:val="22"/>
          <w:szCs w:val="22"/>
        </w:rPr>
        <w:t>anche in contesti tendenzialmente “adempienti”, come le organizzazioni pluripersonali</w:t>
      </w:r>
      <w:r>
        <w:t>, dove non ci si espone in prima persona per resistere alle assurdità burocratiche.</w:t>
      </w:r>
    </w:p>
  </w:footnote>
  <w:footnote w:id="248">
    <w:p w14:paraId="541A6D2F" w14:textId="2279C8BF" w:rsidR="003B7460" w:rsidRDefault="003B7460">
      <w:pPr>
        <w:pStyle w:val="Testonotaapidipagina"/>
      </w:pPr>
      <w:r>
        <w:rPr>
          <w:rStyle w:val="Rimandonotaapidipagina"/>
        </w:rPr>
        <w:footnoteRef/>
      </w:r>
      <w:r>
        <w:t xml:space="preserve"> ) Che ne sarebbero esclusi ai fini civilistici in quanto “piccoli imprenditori” (par.3.13). </w:t>
      </w:r>
    </w:p>
  </w:footnote>
  <w:footnote w:id="249">
    <w:p w14:paraId="756FD1C7" w14:textId="704D0FD0" w:rsidR="003B7460" w:rsidRDefault="003B7460">
      <w:pPr>
        <w:pStyle w:val="Testonotaapidipagina"/>
      </w:pPr>
      <w:r>
        <w:rPr>
          <w:rStyle w:val="Rimandonotaapidipagina"/>
        </w:rPr>
        <w:footnoteRef/>
      </w:r>
      <w:r>
        <w:t xml:space="preserve"> ) Ad esempio dichiarazioni o accertamenti da cui risultava un debito d’imposta non pagato. </w:t>
      </w:r>
    </w:p>
  </w:footnote>
  <w:footnote w:id="250">
    <w:p w14:paraId="7854FF98" w14:textId="2A687DDF" w:rsidR="003B7460" w:rsidRDefault="003B7460">
      <w:pPr>
        <w:pStyle w:val="Testonotaapidipagina"/>
      </w:pPr>
      <w:r>
        <w:rPr>
          <w:rStyle w:val="Rimandonotaapidipagina"/>
        </w:rPr>
        <w:footnoteRef/>
      </w:r>
      <w:r>
        <w:t xml:space="preserve"> ) Da decenni, negli uffici tributari, sono stati soppressi i servizi di cassa, in cui si maneggiava il contante. </w:t>
      </w:r>
    </w:p>
  </w:footnote>
  <w:footnote w:id="251">
    <w:p w14:paraId="520167B6" w14:textId="77777777" w:rsidR="003B7460" w:rsidRPr="007F7EBF" w:rsidRDefault="003B7460" w:rsidP="008E0437">
      <w:pPr>
        <w:pStyle w:val="Testonotaapidipagina"/>
      </w:pPr>
      <w:r w:rsidRPr="007F7EBF">
        <w:rPr>
          <w:rStyle w:val="Rimandonotaapidipagina"/>
        </w:rPr>
        <w:footnoteRef/>
      </w:r>
      <w:r w:rsidRPr="007F7EBF">
        <w:t xml:space="preserve"> ) Cioè </w:t>
      </w:r>
      <w:r>
        <w:t>di</w:t>
      </w:r>
      <w:r w:rsidRPr="007F7EBF">
        <w:t xml:space="preserve"> “soggettività IVA” tipica di imprenditori, società e professionisti (paragrafi 7.5 per le imprese e par.8.1 per artisti e professionisti).  </w:t>
      </w:r>
    </w:p>
  </w:footnote>
  <w:footnote w:id="252">
    <w:p w14:paraId="1AF49EE4" w14:textId="77777777" w:rsidR="003B7460" w:rsidRPr="007F7EBF" w:rsidRDefault="003B7460">
      <w:pPr>
        <w:pStyle w:val="Testonotaapidipagina"/>
      </w:pPr>
      <w:r w:rsidRPr="007F7EBF">
        <w:rPr>
          <w:rStyle w:val="Rimandonotaapidipagina"/>
        </w:rPr>
        <w:footnoteRef/>
      </w:r>
      <w:r w:rsidRPr="007F7EBF">
        <w:t xml:space="preserve"> ) Le persone fisiche esercenti imprese o professioni dichiareranno il risultato, anche negativo, in un riquadro della loro dichiarazione generale, dove magari esisteranno anche redditi di altra natura, con i quali si “farà cumulo” ai fini dell’imposta personale, coi criteri di cui al par.9.3. </w:t>
      </w:r>
      <w:r>
        <w:t xml:space="preserve">La dichiarazione “a zero” o negativa riguarda anche </w:t>
      </w:r>
      <w:r w:rsidRPr="007F7EBF">
        <w:t>le società inattive (par.7.5). La ragione dell’obbligo di dichiarazione sta in un velleitario desiderio di monitoraggio di questi operatori, che potrebbero invece essere seguiti molto più efficientemente col dossier valutativo permanente indicato al par.5.7, cui spesso faremo riferimento.</w:t>
      </w:r>
    </w:p>
  </w:footnote>
  <w:footnote w:id="253">
    <w:p w14:paraId="791FDE19" w14:textId="77777777" w:rsidR="003B7460" w:rsidRPr="007F7EBF" w:rsidRDefault="003B7460" w:rsidP="00F500CE">
      <w:pPr>
        <w:pStyle w:val="Testonotaapidipagina"/>
      </w:pPr>
      <w:r w:rsidRPr="007F7EBF">
        <w:rPr>
          <w:rStyle w:val="Rimandonotaapidipagina"/>
        </w:rPr>
        <w:footnoteRef/>
      </w:r>
      <w:r w:rsidRPr="007F7EBF">
        <w:t xml:space="preserve"> ) Si pensi al diffuso cumulo tra lavoro e pensione</w:t>
      </w:r>
      <w:r>
        <w:t>, nonché ai redditi da locazione immobiliare, occasionali etc..</w:t>
      </w:r>
    </w:p>
  </w:footnote>
  <w:footnote w:id="254">
    <w:p w14:paraId="659A75EC" w14:textId="77777777" w:rsidR="003B7460" w:rsidRPr="007F7EBF" w:rsidRDefault="003B7460" w:rsidP="005D670E">
      <w:pPr>
        <w:pStyle w:val="Testonotaapidipagina"/>
      </w:pPr>
      <w:r w:rsidRPr="007F7EBF">
        <w:rPr>
          <w:rStyle w:val="Rimandonotaapidipagina"/>
        </w:rPr>
        <w:footnoteRef/>
      </w:r>
      <w:r w:rsidRPr="007F7EBF">
        <w:t xml:space="preserve"> Ad esempio spese mediche, figli a carico, e altri elementi indicati al par. 9.3.</w:t>
      </w:r>
    </w:p>
  </w:footnote>
  <w:footnote w:id="255">
    <w:p w14:paraId="3A221BDF" w14:textId="77777777" w:rsidR="003B7460" w:rsidRPr="007F7EBF" w:rsidRDefault="003B7460" w:rsidP="00E45DB3">
      <w:pPr>
        <w:pStyle w:val="Testonotaapidipagina"/>
      </w:pPr>
      <w:r w:rsidRPr="007F7EBF">
        <w:rPr>
          <w:rStyle w:val="Rimandonotaapidipagina"/>
        </w:rPr>
        <w:footnoteRef/>
      </w:r>
      <w:r w:rsidRPr="007F7EBF">
        <w:t xml:space="preserve"> Nella dichiarazione neppure si indicano “i redditi” soggetti a imposte sostitutive, né quelli forfetizzati, né il patrimonio proprio né quello della famiglia.</w:t>
      </w:r>
    </w:p>
  </w:footnote>
  <w:footnote w:id="256">
    <w:p w14:paraId="49940AEF" w14:textId="2190096A" w:rsidR="003B7460" w:rsidRPr="007F7EBF" w:rsidRDefault="003B7460" w:rsidP="00E45DB3">
      <w:pPr>
        <w:pStyle w:val="Testonotaapidipagina"/>
      </w:pPr>
      <w:r w:rsidRPr="007F7EBF">
        <w:rPr>
          <w:rStyle w:val="Rimandonotaapidipagina"/>
        </w:rPr>
        <w:footnoteRef/>
      </w:r>
      <w:r w:rsidRPr="007F7EBF">
        <w:t xml:space="preserve"> ) </w:t>
      </w:r>
      <w:r>
        <w:t>Insomma, s</w:t>
      </w:r>
      <w:r w:rsidRPr="007F7EBF">
        <w:t xml:space="preserve">enza questo supporto di base, la dichiarazione annuale finisce per appesantirsi </w:t>
      </w:r>
      <w:r>
        <w:t>troppo, ed avere comunque informazioni insufficienti</w:t>
      </w:r>
      <w:r w:rsidRPr="007F7EBF">
        <w:t>.</w:t>
      </w:r>
    </w:p>
  </w:footnote>
  <w:footnote w:id="257">
    <w:p w14:paraId="3CAADC0D" w14:textId="77777777" w:rsidR="003B7460" w:rsidRPr="007F7EBF" w:rsidRDefault="003B7460" w:rsidP="00E45DB3">
      <w:pPr>
        <w:pStyle w:val="nota1"/>
        <w:rPr>
          <w:sz w:val="20"/>
          <w:szCs w:val="20"/>
          <w:lang w:val="it-IT"/>
        </w:rPr>
      </w:pPr>
      <w:r w:rsidRPr="007F7EBF">
        <w:rPr>
          <w:sz w:val="20"/>
          <w:szCs w:val="20"/>
          <w:vertAlign w:val="superscript"/>
        </w:rPr>
        <w:footnoteRef/>
      </w:r>
      <w:r w:rsidRPr="007F7EBF">
        <w:rPr>
          <w:sz w:val="20"/>
          <w:szCs w:val="20"/>
          <w:lang w:val="it-IT"/>
        </w:rPr>
        <w:t xml:space="preserve"> Questi quadri sono più di dettaglio rispetto alle categorie di reddito previste dal testo unico, ed esaminate ai capitoli 7 e 8. Le categorie di reddito sono legislativamente solo 6, come precisa l’articolo 6 del TUIR, ma poi il modello di dichiarazione contiene quadri per molte altre tipologie di reddito, come quelli “di partecipazione”, “d’impresa minore”, “di allevamento” etc.. </w:t>
      </w:r>
    </w:p>
  </w:footnote>
  <w:footnote w:id="258">
    <w:p w14:paraId="68122F4C" w14:textId="39808A48" w:rsidR="003B7460" w:rsidRPr="007F7EBF" w:rsidRDefault="003B7460" w:rsidP="00A5638E">
      <w:pPr>
        <w:pStyle w:val="Testonotaapidipagina"/>
      </w:pPr>
      <w:r w:rsidRPr="007F7EBF">
        <w:rPr>
          <w:rStyle w:val="Rimandonotaapidipagina"/>
        </w:rPr>
        <w:footnoteRef/>
      </w:r>
      <w:r w:rsidRPr="007F7EBF">
        <w:t xml:space="preserve"> Lo stesso vale a maggior ragione per le relative istruzioni. </w:t>
      </w:r>
      <w:r w:rsidRPr="007F7EBF">
        <w:rPr>
          <w:sz w:val="22"/>
          <w:szCs w:val="22"/>
        </w:rPr>
        <w:t xml:space="preserve">Molti  professionisti, </w:t>
      </w:r>
      <w:r>
        <w:rPr>
          <w:sz w:val="22"/>
          <w:szCs w:val="22"/>
        </w:rPr>
        <w:t xml:space="preserve">tuttavia, </w:t>
      </w:r>
      <w:r w:rsidRPr="007F7EBF">
        <w:rPr>
          <w:sz w:val="22"/>
          <w:szCs w:val="22"/>
        </w:rPr>
        <w:t>specie quelli che assistono piccoli operatori economici (par.3.16) , tendono a sopravvalutare il modulo,  traendo significati arcani dal modo, spesso del tutto inconsapevole, in cui il modulo richiede i dati, spesso senza considerare le regole legislative e il buonsenso, comunque fondamentali per la corretta determinazione del tributo.</w:t>
      </w:r>
    </w:p>
  </w:footnote>
  <w:footnote w:id="259">
    <w:p w14:paraId="01C8A6BC" w14:textId="77777777" w:rsidR="003B7460" w:rsidRPr="007F7EBF" w:rsidRDefault="003B7460">
      <w:pPr>
        <w:pStyle w:val="Testonotaapidipagina"/>
      </w:pPr>
      <w:r w:rsidRPr="007F7EBF">
        <w:rPr>
          <w:rStyle w:val="Rimandonotaapidipagina"/>
        </w:rPr>
        <w:footnoteRef/>
      </w:r>
      <w:r w:rsidRPr="007F7EBF">
        <w:t xml:space="preserve"> ) Analogamente è fuorviante spiegare i versamenti delle imposte, indicati nel testo, attraverso il concetto civilistico di “obbligazione”, come se si trattasse di un “credito-debito” di diritto privato (qualche riferimento  al tentativo di spiegare la funzione tributaria con schemi civilistici è al par.4.3, con ulteriori rinvii al post </w:t>
      </w:r>
      <w:r w:rsidRPr="007F7EBF">
        <w:rPr>
          <w:i/>
        </w:rPr>
        <w:t xml:space="preserve">l’obbligazione </w:t>
      </w:r>
      <w:proofErr w:type="spellStart"/>
      <w:r w:rsidRPr="007F7EBF">
        <w:rPr>
          <w:i/>
        </w:rPr>
        <w:t>tributaria:dietro</w:t>
      </w:r>
      <w:proofErr w:type="spellEnd"/>
      <w:r w:rsidRPr="007F7EBF">
        <w:rPr>
          <w:i/>
        </w:rPr>
        <w:t xml:space="preserve"> le polemiche estinte per consunzione</w:t>
      </w:r>
      <w:r w:rsidRPr="007F7EBF">
        <w:t xml:space="preserve"> in www.fondazionestuditributari).  </w:t>
      </w:r>
    </w:p>
  </w:footnote>
  <w:footnote w:id="260">
    <w:p w14:paraId="09B11CC4" w14:textId="77777777" w:rsidR="003B7460" w:rsidRPr="007F7EBF" w:rsidRDefault="003B7460">
      <w:pPr>
        <w:pStyle w:val="Testonotaapidipagina"/>
      </w:pPr>
      <w:r w:rsidRPr="007F7EBF">
        <w:rPr>
          <w:rStyle w:val="Rimandonotaapidipagina"/>
        </w:rPr>
        <w:footnoteRef/>
      </w:r>
      <w:r w:rsidRPr="007F7EBF">
        <w:t xml:space="preserve"> In quanto "fatti umani", atti volontari, ma senza contenuto negoziale.</w:t>
      </w:r>
    </w:p>
  </w:footnote>
  <w:footnote w:id="261">
    <w:p w14:paraId="6AA953F5" w14:textId="6AB7D593" w:rsidR="003B7460" w:rsidRPr="007F7EBF" w:rsidRDefault="003B7460">
      <w:pPr>
        <w:pStyle w:val="Testonotaapidipagina"/>
      </w:pPr>
      <w:r w:rsidRPr="007F7EBF">
        <w:rPr>
          <w:rStyle w:val="Rimandonotaapidipagina"/>
        </w:rPr>
        <w:footnoteRef/>
      </w:r>
      <w:r w:rsidRPr="007F7EBF">
        <w:t xml:space="preserve"> </w:t>
      </w:r>
      <w:r>
        <w:t xml:space="preserve">) Si potrebbe approfondire, in una tesi di laurea o di dottorato in che misura la manifestazione di giudizio sia una categoria concettuale generale del diritto, compreso quello dei privati, ovvero la dichiarazione di scienza includa anche  questioni giuridico interpretative (sulla ridotta portata nel diritto privato delle interpretazioni diverse da quelle dei giudici par.5.4). . </w:t>
      </w:r>
    </w:p>
  </w:footnote>
  <w:footnote w:id="262">
    <w:p w14:paraId="7D06DD25" w14:textId="395F2685" w:rsidR="003B7460" w:rsidRPr="007F7EBF" w:rsidRDefault="003B7460">
      <w:pPr>
        <w:pStyle w:val="Testonotaapidipagina"/>
      </w:pPr>
      <w:r w:rsidRPr="007F7EBF">
        <w:rPr>
          <w:rStyle w:val="Rimandonotaapidipagina"/>
        </w:rPr>
        <w:footnoteRef/>
      </w:r>
      <w:r w:rsidRPr="007F7EBF">
        <w:t xml:space="preserve"> )</w:t>
      </w:r>
      <w:r>
        <w:t xml:space="preserve"> </w:t>
      </w:r>
      <w:r w:rsidRPr="007F7EBF">
        <w:t>Per questo c'è notevole apertura, amministrativa e giurisprudenziale, alle opzioni per fatti concludenti.</w:t>
      </w:r>
    </w:p>
  </w:footnote>
  <w:footnote w:id="263">
    <w:p w14:paraId="1C482DB1" w14:textId="77777777" w:rsidR="003B7460" w:rsidRPr="007F7EBF" w:rsidRDefault="003B7460" w:rsidP="00A5638E">
      <w:pPr>
        <w:pStyle w:val="Testonotaapidipagina"/>
      </w:pPr>
      <w:r w:rsidRPr="007F7EBF">
        <w:rPr>
          <w:rStyle w:val="Rimandonotaapidipagina"/>
        </w:rPr>
        <w:footnoteRef/>
      </w:r>
      <w:r w:rsidRPr="007F7EBF">
        <w:t xml:space="preserve"> Il primo versamento d'acconto deve avvenire, entro il 20 giugno, anche se il termine di presentazione della dichiarazione scade successivamente (il 30 settembre), anticipando il calcolo dell’imposta ai soli fini dell'acconto.</w:t>
      </w:r>
    </w:p>
  </w:footnote>
  <w:footnote w:id="264">
    <w:p w14:paraId="180D90C2" w14:textId="77777777" w:rsidR="003B7460" w:rsidRPr="007F7EBF" w:rsidRDefault="003B7460" w:rsidP="00A5638E">
      <w:pPr>
        <w:pStyle w:val="Testonotaapidipagina"/>
      </w:pPr>
      <w:r w:rsidRPr="007F7EBF">
        <w:rPr>
          <w:rStyle w:val="Rimandonotaapidipagina"/>
        </w:rPr>
        <w:footnoteRef/>
      </w:r>
      <w:r w:rsidRPr="007F7EBF">
        <w:t xml:space="preserve"> ) I crediti del contribuente sono normalmente utilizzabili in compensazione con altre imposte, come vedremo al termine di questo paragrafo. </w:t>
      </w:r>
    </w:p>
  </w:footnote>
  <w:footnote w:id="265">
    <w:p w14:paraId="0B5ECEBA" w14:textId="2E3B6A40" w:rsidR="003B7460" w:rsidRPr="007F7EBF" w:rsidRDefault="003B7460">
      <w:pPr>
        <w:pStyle w:val="Testonotaapidipagina"/>
      </w:pPr>
      <w:r w:rsidRPr="007F7EBF">
        <w:rPr>
          <w:rStyle w:val="Rimandonotaapidipagina"/>
        </w:rPr>
        <w:footnoteRef/>
      </w:r>
      <w:r w:rsidRPr="007F7EBF">
        <w:t xml:space="preserve"> </w:t>
      </w:r>
      <w:r>
        <w:rPr>
          <w:sz w:val="22"/>
          <w:szCs w:val="22"/>
        </w:rPr>
        <w:t>E</w:t>
      </w:r>
      <w:r w:rsidRPr="007F7EBF">
        <w:rPr>
          <w:sz w:val="22"/>
          <w:szCs w:val="22"/>
        </w:rPr>
        <w:t>ntro il termine breve della dichiarazione relativa all’anno successivo a quello di riferimento (’art. 2, comma 8-bis, d.P.R. 322/98)</w:t>
      </w:r>
      <w:r w:rsidRPr="007F7EBF">
        <w:rPr>
          <w:bCs/>
          <w:sz w:val="22"/>
          <w:szCs w:val="22"/>
        </w:rPr>
        <w:t xml:space="preserve">, </w:t>
      </w:r>
      <w:r>
        <w:rPr>
          <w:bCs/>
          <w:sz w:val="22"/>
          <w:szCs w:val="22"/>
        </w:rPr>
        <w:t xml:space="preserve">la nuova dichiarazione può modificare il credito dell’anno, mentre oltre tale termine il credito va ripreso nella dichiarazione di anni successivi, e fatto valere “in compensazione”, come indicato alla fine del paragrafo, in modo da non provocare modifiche “a catena” di tutte le dichiarazioni annuali dei redditi  frattempo presentate (tale modifica “a catena” è giustificata, e quindi prevista, solo per il reddito d’impresa). </w:t>
      </w:r>
      <w:r>
        <w:t xml:space="preserve">    </w:t>
      </w:r>
    </w:p>
  </w:footnote>
  <w:footnote w:id="266">
    <w:p w14:paraId="4966C652" w14:textId="1CA021F2" w:rsidR="003B7460" w:rsidRDefault="003B7460">
      <w:pPr>
        <w:pStyle w:val="Testonotaapidipagina"/>
      </w:pPr>
      <w:r>
        <w:rPr>
          <w:rStyle w:val="Rimandonotaapidipagina"/>
        </w:rPr>
        <w:footnoteRef/>
      </w:r>
      <w:r>
        <w:t xml:space="preserve">) </w:t>
      </w:r>
      <w:r>
        <w:rPr>
          <w:sz w:val="22"/>
          <w:szCs w:val="22"/>
        </w:rPr>
        <w:t>A</w:t>
      </w:r>
      <w:r w:rsidRPr="007F7EBF">
        <w:t>rt. 38 d.P.R. 602 del 1973 , mentre sulle specificità del successivo contenzioso di rimborso par. 6.9</w:t>
      </w:r>
      <w:r>
        <w:t xml:space="preserve">. </w:t>
      </w:r>
    </w:p>
  </w:footnote>
  <w:footnote w:id="267">
    <w:p w14:paraId="1EA7A611" w14:textId="77777777" w:rsidR="003B7460" w:rsidRPr="007F7EBF" w:rsidRDefault="003B7460" w:rsidP="00616756">
      <w:pPr>
        <w:pStyle w:val="Testonotaapidipagina"/>
      </w:pPr>
      <w:r w:rsidRPr="007F7EBF">
        <w:rPr>
          <w:rStyle w:val="Rimandonotaapidipagina"/>
        </w:rPr>
        <w:footnoteRef/>
      </w:r>
      <w:r w:rsidRPr="007F7EBF">
        <w:t xml:space="preserve"> ) Per gli operatori economici individuali (soggetti IVA) indicati poco sopra, la predisposizione delle dichiarazioni tributarie annuali è di solito compresa nella tariffa globale del commercialista, che li assiste tutto l’anno per gli altri adempimenti. </w:t>
      </w:r>
    </w:p>
  </w:footnote>
  <w:footnote w:id="268">
    <w:p w14:paraId="209A8ACE" w14:textId="77777777" w:rsidR="003B7460" w:rsidRPr="007F7EBF" w:rsidRDefault="003B7460" w:rsidP="00616756">
      <w:pPr>
        <w:pStyle w:val="Testonotaapidipagina"/>
      </w:pPr>
      <w:r w:rsidRPr="007F7EBF">
        <w:rPr>
          <w:rStyle w:val="Rimandonotaapidipagina"/>
        </w:rPr>
        <w:footnoteRef/>
      </w:r>
      <w:r w:rsidRPr="007F7EBF">
        <w:t xml:space="preserve"> ) Sono i documenti delle detrazioni e deduzioni indicate al par.9.3..</w:t>
      </w:r>
    </w:p>
  </w:footnote>
  <w:footnote w:id="269">
    <w:p w14:paraId="63CBD641" w14:textId="77777777" w:rsidR="003B7460" w:rsidRPr="007F7EBF" w:rsidRDefault="003B7460" w:rsidP="00616756">
      <w:pPr>
        <w:pStyle w:val="Testonotaapidipagina"/>
      </w:pPr>
      <w:r w:rsidRPr="007F7EBF">
        <w:rPr>
          <w:rStyle w:val="Rimandonotaapidipagina"/>
        </w:rPr>
        <w:footnoteRef/>
      </w:r>
      <w:r w:rsidRPr="007F7EBF">
        <w:t xml:space="preserve"> ) In questo caso i CAF svolgono una funzione pubblicistica, e sono soggetti a sanzioni in caso di negligente controllo. La stessa funzione può essere svolta, facoltativamente, dai professionisti, con l’apposizione del “visto di conformità”. </w:t>
      </w:r>
    </w:p>
  </w:footnote>
  <w:footnote w:id="270">
    <w:p w14:paraId="1DE75827" w14:textId="77777777" w:rsidR="003B7460" w:rsidRPr="007F7EBF" w:rsidRDefault="003B7460">
      <w:pPr>
        <w:pStyle w:val="Testonotaapidipagina"/>
      </w:pPr>
      <w:r w:rsidRPr="007F7EBF">
        <w:rPr>
          <w:rStyle w:val="Rimandonotaapidipagina"/>
        </w:rPr>
        <w:footnoteRef/>
      </w:r>
      <w:r w:rsidRPr="007F7EBF">
        <w:t xml:space="preserve"> ) Si trattava infatti di caricare i dati dichiarati sul cartaceo nella banca dati informatica a disposizione degli uffici tributari.  </w:t>
      </w:r>
    </w:p>
  </w:footnote>
  <w:footnote w:id="271">
    <w:p w14:paraId="4F2D9028" w14:textId="4F0DD539" w:rsidR="003B7460" w:rsidRPr="007F7EBF" w:rsidRDefault="003B7460">
      <w:pPr>
        <w:pStyle w:val="Testonotaapidipagina"/>
      </w:pPr>
      <w:r w:rsidRPr="007F7EBF">
        <w:rPr>
          <w:rStyle w:val="Rimandonotaapidipagina"/>
        </w:rPr>
        <w:footnoteRef/>
      </w:r>
      <w:r w:rsidRPr="007F7EBF">
        <w:t xml:space="preserve"> </w:t>
      </w:r>
      <w:r>
        <w:t>Tramite intermediari abilitati (</w:t>
      </w:r>
      <w:r w:rsidRPr="007F7EBF">
        <w:t>Aziende di credito, dottori commercialisti e altri professionisti, associazioni di categoria e centri di assistenza fiscale</w:t>
      </w:r>
      <w:r>
        <w:t xml:space="preserve">) oppure dagli stessi contribuenti in grado di gestire il proprio c.d. </w:t>
      </w:r>
      <w:r>
        <w:rPr>
          <w:i/>
          <w:iCs/>
        </w:rPr>
        <w:t xml:space="preserve">cassetto fiscale </w:t>
      </w:r>
      <w:r>
        <w:t xml:space="preserve">sul sito dell’Agenzia delle Entrate.  </w:t>
      </w:r>
    </w:p>
  </w:footnote>
  <w:footnote w:id="272">
    <w:p w14:paraId="22002D05" w14:textId="2C34931F" w:rsidR="003B7460" w:rsidRPr="007F7EBF" w:rsidRDefault="003B7460" w:rsidP="00E30FFB">
      <w:pPr>
        <w:pStyle w:val="Testonotaapidipagina"/>
      </w:pPr>
      <w:r w:rsidRPr="007F7EBF">
        <w:rPr>
          <w:rStyle w:val="Rimandonotaapidipagina"/>
        </w:rPr>
        <w:footnoteRef/>
      </w:r>
      <w:r w:rsidRPr="007F7EBF">
        <w:t xml:space="preserve"> ) Persino dell’intera contabilità aziendale, </w:t>
      </w:r>
      <w:r w:rsidRPr="007F7EBF">
        <w:rPr>
          <w:bCs/>
        </w:rPr>
        <w:t>su supporti informatici</w:t>
      </w:r>
      <w:r w:rsidRPr="007F7EBF">
        <w:t xml:space="preserve"> , secondo le tendenze alla “digitalizzazione”, ancora </w:t>
      </w:r>
      <w:r>
        <w:t>velleitarie</w:t>
      </w:r>
      <w:r w:rsidRPr="007F7EBF">
        <w:t xml:space="preserve">, su cui par.4.5. </w:t>
      </w:r>
    </w:p>
  </w:footnote>
  <w:footnote w:id="273">
    <w:p w14:paraId="7BCBCE29" w14:textId="77777777" w:rsidR="003B7460" w:rsidRPr="007F7EBF" w:rsidRDefault="003B7460" w:rsidP="00B443F7">
      <w:pPr>
        <w:pStyle w:val="Testonotaapidipagina"/>
      </w:pPr>
      <w:r w:rsidRPr="007F7EBF">
        <w:rPr>
          <w:rStyle w:val="Rimandonotaapidipagina"/>
        </w:rPr>
        <w:footnoteRef/>
      </w:r>
      <w:r w:rsidRPr="007F7EBF">
        <w:t xml:space="preserve"> ) Per i sostituti d’imposta, che comunicherebbero comunque i dati con la dichiarazione di cui al par.3.6, si tratta di un’anticipazione, mentre per i percettori di oneri deducibili (spese mediche, interessi passivi, premi assicurativi è una comunicazione ulteriore. Questo caricamento di dati sottopone ad un ulteriore sforzo amministrativo tali soggetti e i loro consulenti par.3.16)che hanno ribattezzato ironicamente “</w:t>
      </w:r>
      <w:proofErr w:type="spellStart"/>
      <w:r w:rsidRPr="007F7EBF">
        <w:t>precomplicato</w:t>
      </w:r>
      <w:proofErr w:type="spellEnd"/>
      <w:r w:rsidRPr="007F7EBF">
        <w:t xml:space="preserve">” questo modulo. Anche qui la semplificazione per alcuni richiede una complicazione per altri.  </w:t>
      </w:r>
    </w:p>
  </w:footnote>
  <w:footnote w:id="274">
    <w:p w14:paraId="54B107AF" w14:textId="77777777" w:rsidR="003B7460" w:rsidRPr="007F7EBF" w:rsidRDefault="003B7460">
      <w:pPr>
        <w:pStyle w:val="Testonotaapidipagina"/>
      </w:pPr>
      <w:r w:rsidRPr="007F7EBF">
        <w:rPr>
          <w:rStyle w:val="Rimandonotaapidipagina"/>
        </w:rPr>
        <w:footnoteRef/>
      </w:r>
      <w:r w:rsidRPr="007F7EBF">
        <w:t xml:space="preserve"> Anche la “dichiarazione precompilata” è un simbolo</w:t>
      </w:r>
      <w:r>
        <w:t xml:space="preserve"> si</w:t>
      </w:r>
      <w:r w:rsidRPr="007F7EBF">
        <w:t>a del</w:t>
      </w:r>
      <w:r>
        <w:t>l’amministrazione di servizio (par.5.4)</w:t>
      </w:r>
      <w:r w:rsidRPr="007F7EBF">
        <w:t xml:space="preserve">, sia del fisco </w:t>
      </w:r>
      <w:r>
        <w:t xml:space="preserve">telematico, che grazie ai computers “esporta la contabilità” </w:t>
      </w:r>
      <w:r w:rsidRPr="007F7EBF">
        <w:t xml:space="preserve">dove mancano le organizzazioni, </w:t>
      </w:r>
      <w:r>
        <w:t>secondo una narrazione che</w:t>
      </w:r>
      <w:r w:rsidRPr="007F7EBF">
        <w:t xml:space="preserve"> riprenderemo al par. 4.5.  </w:t>
      </w:r>
    </w:p>
  </w:footnote>
  <w:footnote w:id="275">
    <w:p w14:paraId="2680AA1B" w14:textId="77777777" w:rsidR="003B7460" w:rsidRPr="007F7EBF" w:rsidRDefault="003B7460">
      <w:pPr>
        <w:pStyle w:val="Testonotaapidipagina"/>
      </w:pPr>
      <w:r w:rsidRPr="007F7EBF">
        <w:rPr>
          <w:rStyle w:val="Rimandonotaapidipagina"/>
        </w:rPr>
        <w:footnoteRef/>
      </w:r>
      <w:r w:rsidRPr="007F7EBF">
        <w:t xml:space="preserve"> ) La compensazione tra debiti e crediti di uno stesso tributo, viene definita “verticale”(o interna)  in quanto necessariamente si riferisce a periodi di tempo diversi. La compensazione tra tributi diversi è invece definita “orizzontale” o “esterna”. </w:t>
      </w:r>
    </w:p>
  </w:footnote>
  <w:footnote w:id="276">
    <w:p w14:paraId="310A8602" w14:textId="77777777" w:rsidR="003B7460" w:rsidRPr="007F7EBF" w:rsidRDefault="003B7460">
      <w:pPr>
        <w:pStyle w:val="Testonotaapidipagina"/>
      </w:pPr>
      <w:r w:rsidRPr="007F7EBF">
        <w:rPr>
          <w:rStyle w:val="Rimandonotaapidipagina"/>
        </w:rPr>
        <w:footnoteRef/>
      </w:r>
      <w:r w:rsidRPr="007F7EBF">
        <w:t xml:space="preserve"> ) Di cui agli articoli 1241 e seguenti del codice civile. </w:t>
      </w:r>
    </w:p>
  </w:footnote>
  <w:footnote w:id="277">
    <w:p w14:paraId="7BC3B70A" w14:textId="4C21B692" w:rsidR="003B7460" w:rsidRPr="007F7EBF" w:rsidRDefault="003B7460">
      <w:pPr>
        <w:pStyle w:val="Testonotaapidipagina"/>
      </w:pPr>
      <w:r w:rsidRPr="007F7EBF">
        <w:rPr>
          <w:rStyle w:val="Rimandonotaapidipagina"/>
        </w:rPr>
        <w:footnoteRef/>
      </w:r>
      <w:r w:rsidRPr="007F7EBF">
        <w:t xml:space="preserve"> ) </w:t>
      </w:r>
      <w:r>
        <w:t>E</w:t>
      </w:r>
      <w:r w:rsidRPr="007F7EBF">
        <w:t xml:space="preserve">ffettivamente verificatisi nei primi anni di applicazione dell’istituto, in cui debiti di imposta venivano estinti indicando crediti fittizi. </w:t>
      </w:r>
    </w:p>
  </w:footnote>
  <w:footnote w:id="278">
    <w:p w14:paraId="1E52034E" w14:textId="12943D89"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Come il visto di un professionista per i crediti compensati superiori a 15 mila euro, sanzioni gravose in caso di compensazione indebita, e preventiva dichiarazione dei crediti risultanti da dichiarazione. </w:t>
      </w:r>
    </w:p>
  </w:footnote>
  <w:footnote w:id="279">
    <w:p w14:paraId="4E66C4AC" w14:textId="443B0F42" w:rsidR="003B7460" w:rsidRPr="007F7EBF" w:rsidRDefault="003B7460" w:rsidP="00464375">
      <w:pPr>
        <w:pStyle w:val="Testonotaapidipagina"/>
      </w:pPr>
      <w:r w:rsidRPr="007F7EBF">
        <w:rPr>
          <w:rStyle w:val="Rimandonotaapidipagina"/>
        </w:rPr>
        <w:footnoteRef/>
      </w:r>
      <w:r w:rsidRPr="007F7EBF">
        <w:t xml:space="preserve"> ) </w:t>
      </w:r>
      <w:r>
        <w:t>Si ricordi la tassazione dei consumi in capo ai fornitori, al momento del trasporto delle merci, o quella degli individui tramite le collettività cui appartenevano, come nei c.d. “sistemi a ripartizione” sempre di cui al par.1.4.</w:t>
      </w:r>
      <w:r>
        <w:rPr>
          <w:sz w:val="22"/>
          <w:szCs w:val="22"/>
        </w:rPr>
        <w:t xml:space="preserve">. </w:t>
      </w:r>
      <w:r w:rsidRPr="007F7EBF">
        <w:rPr>
          <w:sz w:val="22"/>
          <w:szCs w:val="22"/>
        </w:rPr>
        <w:t xml:space="preserve"> </w:t>
      </w:r>
    </w:p>
  </w:footnote>
  <w:footnote w:id="280">
    <w:p w14:paraId="00B223F8" w14:textId="0E15E9ED" w:rsidR="003B7460" w:rsidRPr="007F7EBF" w:rsidRDefault="003B7460">
      <w:pPr>
        <w:pStyle w:val="Testonotaapidipagina"/>
      </w:pPr>
      <w:r w:rsidRPr="007F7EBF">
        <w:rPr>
          <w:rStyle w:val="Rimandonotaapidipagina"/>
        </w:rPr>
        <w:footnoteRef/>
      </w:r>
      <w:r>
        <w:t>)</w:t>
      </w:r>
      <w:r w:rsidRPr="007F7EBF">
        <w:t xml:space="preserve"> </w:t>
      </w:r>
      <w:r w:rsidRPr="007F7EBF">
        <w:rPr>
          <w:sz w:val="22"/>
          <w:szCs w:val="22"/>
        </w:rPr>
        <w:t xml:space="preserve">Basti pensare al consumatore finale IVA, che ritiene </w:t>
      </w:r>
      <w:r>
        <w:rPr>
          <w:sz w:val="22"/>
          <w:szCs w:val="22"/>
        </w:rPr>
        <w:t>applicabile un’</w:t>
      </w:r>
      <w:r w:rsidRPr="007F7EBF">
        <w:rPr>
          <w:sz w:val="22"/>
          <w:szCs w:val="22"/>
        </w:rPr>
        <w:t xml:space="preserve">aliquota inferiore a quella </w:t>
      </w:r>
      <w:r>
        <w:rPr>
          <w:sz w:val="22"/>
          <w:szCs w:val="22"/>
        </w:rPr>
        <w:t>praticata</w:t>
      </w:r>
      <w:r w:rsidRPr="007F7EBF">
        <w:rPr>
          <w:sz w:val="22"/>
          <w:szCs w:val="22"/>
        </w:rPr>
        <w:t xml:space="preserve"> dal fornitore</w:t>
      </w:r>
      <w:r>
        <w:rPr>
          <w:sz w:val="22"/>
          <w:szCs w:val="22"/>
        </w:rPr>
        <w:t>; quest’ultimo (</w:t>
      </w:r>
      <w:r w:rsidRPr="007F7EBF">
        <w:t>contribuente di diritto</w:t>
      </w:r>
      <w:r>
        <w:t>)</w:t>
      </w:r>
      <w:r w:rsidRPr="007F7EBF">
        <w:t xml:space="preserve"> </w:t>
      </w:r>
      <w:r>
        <w:t xml:space="preserve">si </w:t>
      </w:r>
      <w:r w:rsidRPr="007F7EBF">
        <w:t xml:space="preserve">conferma così </w:t>
      </w:r>
      <w:r>
        <w:t xml:space="preserve">come </w:t>
      </w:r>
      <w:r w:rsidRPr="007F7EBF">
        <w:t>"sostituto del fisco"</w:t>
      </w:r>
      <w:r>
        <w:t xml:space="preserve">, suo </w:t>
      </w:r>
      <w:r>
        <w:rPr>
          <w:i/>
        </w:rPr>
        <w:t>collaboratore forzato</w:t>
      </w:r>
      <w:r w:rsidRPr="007F7EBF">
        <w:t xml:space="preserve">, </w:t>
      </w:r>
      <w:r>
        <w:t>come vedr</w:t>
      </w:r>
      <w:r w:rsidRPr="007F7EBF">
        <w:t xml:space="preserve">emo al paragrafo successivo per le ritenute alla fonte. </w:t>
      </w:r>
    </w:p>
  </w:footnote>
  <w:footnote w:id="281">
    <w:p w14:paraId="4D1A838F" w14:textId="20B00C3A" w:rsidR="003B7460" w:rsidRPr="007F7EBF" w:rsidRDefault="003B7460">
      <w:pPr>
        <w:pStyle w:val="Testonotaapidipagina"/>
      </w:pPr>
      <w:r w:rsidRPr="007F7EBF">
        <w:rPr>
          <w:rStyle w:val="Rimandonotaapidipagina"/>
        </w:rPr>
        <w:footnoteRef/>
      </w:r>
      <w:r w:rsidRPr="007F7EBF">
        <w:t xml:space="preserve"> </w:t>
      </w:r>
      <w:r>
        <w:t xml:space="preserve">) In quanto il sostituito, che subisce </w:t>
      </w:r>
      <w:r w:rsidRPr="007F7EBF">
        <w:t>le ritenute</w:t>
      </w:r>
      <w:r>
        <w:t xml:space="preserve">, ha la facoltà di </w:t>
      </w:r>
      <w:r w:rsidRPr="007F7EBF">
        <w:t>rivolgersi direttamente al fisco per il rimborso, instaurando poi un giudizio tributario.</w:t>
      </w:r>
    </w:p>
  </w:footnote>
  <w:footnote w:id="282">
    <w:p w14:paraId="0D35F413" w14:textId="77777777" w:rsidR="003B7460" w:rsidRPr="007F7EBF" w:rsidRDefault="003B7460">
      <w:pPr>
        <w:pStyle w:val="Testonotaapidipagina"/>
      </w:pPr>
      <w:r w:rsidRPr="007F7EBF">
        <w:rPr>
          <w:rStyle w:val="Rimandonotaapidipagina"/>
        </w:rPr>
        <w:footnoteRef/>
      </w:r>
      <w:r w:rsidRPr="007F7EBF">
        <w:t xml:space="preserve"> ) Da cui deriva la possibilità del fisco di chiedere, conformemente alle regole generali sulla coobbligazione solidale, l’intero credito per l’intero a uno solo dei condebitori, fino al relativo soddisfacimento; l’intuitiva conseguenza è che l’adempimento integrale di un coobbligato libera gli altri . La coobbligazione  solidale è detta anche brevemente “solidarietà”,  in un senso del tutto diverso dai “doveri di solidarietà” politico-sociale che giustificano le imposte.  </w:t>
      </w:r>
    </w:p>
  </w:footnote>
  <w:footnote w:id="283">
    <w:p w14:paraId="69E123CA" w14:textId="24EFCF78" w:rsidR="003B7460" w:rsidRPr="007F7EBF" w:rsidRDefault="003B7460">
      <w:pPr>
        <w:pStyle w:val="Testonotaapidipagina"/>
      </w:pPr>
      <w:r w:rsidRPr="007F7EBF">
        <w:rPr>
          <w:rStyle w:val="Rimandonotaapidipagina"/>
        </w:rPr>
        <w:footnoteRef/>
      </w:r>
      <w:r w:rsidRPr="007F7EBF">
        <w:t xml:space="preserve"> ) Usando i propri atti autoritativi</w:t>
      </w:r>
      <w:r>
        <w:t>,</w:t>
      </w:r>
      <w:r w:rsidRPr="007F7EBF">
        <w:t xml:space="preserve"> </w:t>
      </w:r>
      <w:r>
        <w:t xml:space="preserve">come vedremo </w:t>
      </w:r>
      <w:r w:rsidRPr="007F7EBF">
        <w:t>al par.6.</w:t>
      </w:r>
      <w:r>
        <w:t>3</w:t>
      </w:r>
      <w:r w:rsidRPr="007F7EBF">
        <w:t xml:space="preserve">. </w:t>
      </w:r>
    </w:p>
  </w:footnote>
  <w:footnote w:id="284">
    <w:p w14:paraId="63F5A167" w14:textId="777B52DC" w:rsidR="003B7460" w:rsidRPr="007F7EBF" w:rsidRDefault="003B7460" w:rsidP="00A20581">
      <w:pPr>
        <w:pStyle w:val="Testonotaapidipagina"/>
      </w:pPr>
      <w:r w:rsidRPr="007F7EBF">
        <w:rPr>
          <w:rStyle w:val="Rimandonotaapidipagina"/>
        </w:rPr>
        <w:footnoteRef/>
      </w:r>
      <w:r w:rsidRPr="007F7EBF">
        <w:t xml:space="preserve"> </w:t>
      </w:r>
      <w:r>
        <w:t xml:space="preserve">) </w:t>
      </w:r>
    </w:p>
  </w:footnote>
  <w:footnote w:id="285">
    <w:p w14:paraId="34FE79E4" w14:textId="43E5A278" w:rsidR="003B7460" w:rsidRPr="007F7EBF" w:rsidRDefault="003B7460" w:rsidP="003C5596">
      <w:pPr>
        <w:pStyle w:val="Testonotaapidipagina"/>
      </w:pPr>
      <w:r w:rsidRPr="007F7EBF">
        <w:rPr>
          <w:rStyle w:val="Rimandonotaapidipagina"/>
        </w:rPr>
        <w:footnoteRef/>
      </w:r>
      <w:r w:rsidRPr="007F7EBF">
        <w:t xml:space="preserve"> </w:t>
      </w:r>
      <w:r>
        <w:t xml:space="preserve">) </w:t>
      </w:r>
      <w:r w:rsidRPr="007F7EBF">
        <w:t>A differenza d</w:t>
      </w:r>
      <w:r>
        <w:t xml:space="preserve">el rapporto tra </w:t>
      </w:r>
      <w:r w:rsidRPr="007F7EBF">
        <w:t xml:space="preserve">contribuente di diritto e di fatto, qui il </w:t>
      </w:r>
      <w:r>
        <w:t xml:space="preserve">presupposto economico si riferisce al </w:t>
      </w:r>
      <w:r w:rsidRPr="007F7EBF">
        <w:t>debitore, ma ad esso si aggiunge il responsabile</w:t>
      </w:r>
      <w:r>
        <w:t>.</w:t>
      </w:r>
      <w:r w:rsidRPr="007F7EBF">
        <w:t xml:space="preserve"> </w:t>
      </w:r>
    </w:p>
  </w:footnote>
  <w:footnote w:id="286">
    <w:p w14:paraId="10F82088" w14:textId="403B2D2F" w:rsidR="003B7460" w:rsidRDefault="003B7460">
      <w:pPr>
        <w:pStyle w:val="Testonotaapidipagina"/>
      </w:pPr>
      <w:r>
        <w:rPr>
          <w:rStyle w:val="Rimandonotaapidipagina"/>
        </w:rPr>
        <w:footnoteRef/>
      </w:r>
      <w:r>
        <w:t xml:space="preserve"> ) Par.7.21 sulla liquidazione di società con debiti tributari potenziali pendenti.</w:t>
      </w:r>
    </w:p>
  </w:footnote>
  <w:footnote w:id="287">
    <w:p w14:paraId="7A282CCA" w14:textId="77777777" w:rsidR="003B7460" w:rsidRPr="007F7EBF" w:rsidRDefault="003B7460" w:rsidP="00653186">
      <w:pPr>
        <w:pStyle w:val="Testonotaapidipagina"/>
      </w:pPr>
      <w:r w:rsidRPr="007F7EBF">
        <w:rPr>
          <w:rStyle w:val="Rimandonotaapidipagina"/>
        </w:rPr>
        <w:footnoteRef/>
      </w:r>
      <w:r w:rsidRPr="007F7EBF">
        <w:t xml:space="preserve"> ) </w:t>
      </w:r>
      <w:r>
        <w:t xml:space="preserve">Il sostituto d’imposta e le ritenute alla fonte sono tipiche delle imposte sui redditi, anche se ciò non emerge </w:t>
      </w:r>
      <w:r w:rsidRPr="007F7EBF">
        <w:t xml:space="preserve">in quella che viene presentata </w:t>
      </w:r>
      <w:r>
        <w:t>i</w:t>
      </w:r>
      <w:r w:rsidRPr="007F7EBF">
        <w:t>mpropriamente, da molti autori, come la definizione normativa di sostituto di imposta, nell’art.65 del decreto sull’accertamento delle imposte sui redditi</w:t>
      </w:r>
      <w:r>
        <w:t>, col suo generico riferimento</w:t>
      </w:r>
      <w:r w:rsidRPr="007F7EBF">
        <w:t xml:space="preserve"> a colui che è “tenuto a corrispondere imposte in luogo di altri”</w:t>
      </w:r>
      <w:r>
        <w:t>. Si conferma anche qui l’opportunità che la legge si astenga dal dare definizioni.</w:t>
      </w:r>
    </w:p>
  </w:footnote>
  <w:footnote w:id="288">
    <w:p w14:paraId="655BA0DA" w14:textId="77777777" w:rsidR="003B7460" w:rsidRPr="007F7EBF" w:rsidRDefault="003B7460" w:rsidP="005E2B25">
      <w:pPr>
        <w:pStyle w:val="Testonotaapidipagina"/>
      </w:pPr>
      <w:r w:rsidRPr="007F7EBF">
        <w:rPr>
          <w:rStyle w:val="Rimandonotaapidipagina"/>
        </w:rPr>
        <w:footnoteRef/>
      </w:r>
      <w:r w:rsidRPr="007F7EBF">
        <w:t xml:space="preserve"> ) </w:t>
      </w:r>
      <w:r>
        <w:t>In quanto applica imposte</w:t>
      </w:r>
      <w:r w:rsidRPr="007F7EBF">
        <w:t xml:space="preserve"> su manifestazioni di ricchezza di cui non è titolare lui, ma altri soggetti. </w:t>
      </w:r>
    </w:p>
  </w:footnote>
  <w:footnote w:id="289">
    <w:p w14:paraId="68415DC6" w14:textId="4A4DC9F5" w:rsidR="003B7460" w:rsidRDefault="003B7460">
      <w:pPr>
        <w:pStyle w:val="Testonotaapidipagina"/>
      </w:pPr>
      <w:r>
        <w:rPr>
          <w:rStyle w:val="Rimandonotaapidipagina"/>
        </w:rPr>
        <w:footnoteRef/>
      </w:r>
      <w:r>
        <w:t xml:space="preserve"> ) Per le imposte sui consumi e i sistemi “a ripartizione”. </w:t>
      </w:r>
    </w:p>
  </w:footnote>
  <w:footnote w:id="290">
    <w:p w14:paraId="5C259377" w14:textId="77777777" w:rsidR="003B7460" w:rsidRPr="007F7EBF" w:rsidRDefault="003B7460" w:rsidP="00D457F5">
      <w:pPr>
        <w:pStyle w:val="Testonotaapidipagina"/>
      </w:pPr>
      <w:r w:rsidRPr="007F7EBF">
        <w:rPr>
          <w:rStyle w:val="Rimandonotaapidipagina"/>
        </w:rPr>
        <w:footnoteRef/>
      </w:r>
      <w:r w:rsidRPr="007F7EBF">
        <w:t xml:space="preserve"> ) Una vecchia pubblicità di un profumo rende l’idea della figura del  sostituto come</w:t>
      </w:r>
      <w:r w:rsidRPr="007F7EBF">
        <w:rPr>
          <w:i/>
        </w:rPr>
        <w:t xml:space="preserve"> l’uomo che non deve chiedere mai </w:t>
      </w:r>
      <w:r w:rsidRPr="007F7EBF">
        <w:t>in quanto debitore del sostituito, e quindi in grado di scomputare le ritenute dal suo debito</w:t>
      </w:r>
      <w:r>
        <w:t xml:space="preserve">; </w:t>
      </w:r>
      <w:r w:rsidRPr="007F7EBF">
        <w:t>il fornitore deve invece chiedere l’</w:t>
      </w:r>
      <w:r>
        <w:t>IVA al cliente,</w:t>
      </w:r>
      <w:r w:rsidRPr="007F7EBF">
        <w:t xml:space="preserve"> </w:t>
      </w:r>
      <w:r>
        <w:t xml:space="preserve">compresa nel </w:t>
      </w:r>
      <w:r w:rsidRPr="007F7EBF">
        <w:t>prezzo</w:t>
      </w:r>
      <w:r>
        <w:t xml:space="preserve"> o in aggiunta ad esso (par.7.2), esercitando così la rivalsa</w:t>
      </w:r>
      <w:r w:rsidRPr="007F7EBF">
        <w:t xml:space="preserve">. </w:t>
      </w:r>
    </w:p>
  </w:footnote>
  <w:footnote w:id="291">
    <w:p w14:paraId="0568B07F" w14:textId="77777777" w:rsidR="003B7460" w:rsidRPr="007F7EBF" w:rsidRDefault="003B7460" w:rsidP="00815896">
      <w:pPr>
        <w:pStyle w:val="Testonotaapidipagina"/>
      </w:pPr>
      <w:r w:rsidRPr="007F7EBF">
        <w:rPr>
          <w:rStyle w:val="Rimandonotaapidipagina"/>
        </w:rPr>
        <w:footnoteRef/>
      </w:r>
      <w:r w:rsidRPr="007F7EBF">
        <w:t xml:space="preserve"> ) Sulla inconcludente tendenza a spiegare questo meccanismo facendo riferimento a istituti civilistici vedi </w:t>
      </w:r>
      <w:r w:rsidRPr="007F7EBF">
        <w:rPr>
          <w:i/>
        </w:rPr>
        <w:t xml:space="preserve">Sostituto d’imposta, </w:t>
      </w:r>
      <w:proofErr w:type="spellStart"/>
      <w:r w:rsidRPr="007F7EBF">
        <w:rPr>
          <w:i/>
        </w:rPr>
        <w:t>si</w:t>
      </w:r>
      <w:proofErr w:type="spellEnd"/>
      <w:r w:rsidRPr="007F7EBF">
        <w:rPr>
          <w:i/>
        </w:rPr>
        <w:t xml:space="preserve"> ma del fisco, </w:t>
      </w:r>
      <w:r w:rsidRPr="007F7EBF">
        <w:t xml:space="preserve">In Dialoghi Tributari, 2012, n.5.  </w:t>
      </w:r>
    </w:p>
  </w:footnote>
  <w:footnote w:id="292">
    <w:p w14:paraId="1C47BB20" w14:textId="6D5AA8BE" w:rsidR="003B7460" w:rsidRPr="007F7EBF" w:rsidRDefault="003B7460">
      <w:pPr>
        <w:pStyle w:val="Testonotaapidipagina"/>
      </w:pPr>
      <w:r w:rsidRPr="007F7EBF">
        <w:rPr>
          <w:rStyle w:val="Rimandonotaapidipagina"/>
        </w:rPr>
        <w:footnoteRef/>
      </w:r>
      <w:r w:rsidRPr="007F7EBF">
        <w:t xml:space="preserve"> ) </w:t>
      </w:r>
      <w:r w:rsidRPr="007F7EBF">
        <w:rPr>
          <w:bCs/>
        </w:rPr>
        <w:t>Queste ritenute e</w:t>
      </w:r>
      <w:r w:rsidRPr="007F7EBF">
        <w:t>sauriscono il prelievo tributario, e sotto certi profili costituiscono vere e proprie «imposte sostitutive»</w:t>
      </w:r>
      <w:r>
        <w:t xml:space="preserve">, col </w:t>
      </w:r>
      <w:r w:rsidRPr="007F7EBF">
        <w:t xml:space="preserve"> sostituto</w:t>
      </w:r>
      <w:r>
        <w:t xml:space="preserve"> che</w:t>
      </w:r>
      <w:r w:rsidRPr="007F7EBF">
        <w:t xml:space="preserve"> prende in tutto e per tutto il posto dell’ufficio tributario</w:t>
      </w:r>
      <w:r>
        <w:t xml:space="preserve"> (come avviene anche coi redditi di </w:t>
      </w:r>
      <w:proofErr w:type="spellStart"/>
      <w:r>
        <w:t>finanziari</w:t>
      </w:r>
      <w:proofErr w:type="spellEnd"/>
      <w:r>
        <w:t xml:space="preserve"> di cui al par.8.5).</w:t>
      </w:r>
    </w:p>
  </w:footnote>
  <w:footnote w:id="293">
    <w:p w14:paraId="0ABF2CD3" w14:textId="77777777" w:rsidR="003B7460" w:rsidRPr="007F7EBF" w:rsidRDefault="003B7460" w:rsidP="00D5420F">
      <w:pPr>
        <w:pStyle w:val="Testonotaapidipagina"/>
      </w:pPr>
      <w:r w:rsidRPr="007F7EBF">
        <w:rPr>
          <w:rStyle w:val="Rimandonotaapidipagina"/>
        </w:rPr>
        <w:footnoteRef/>
      </w:r>
      <w:r w:rsidRPr="007F7EBF">
        <w:t xml:space="preserve"> ) Allo stesso schema si ispirano le imposte sostitutive sui redditi finanziari (par.8.5).</w:t>
      </w:r>
    </w:p>
  </w:footnote>
  <w:footnote w:id="294">
    <w:p w14:paraId="06E27CF1" w14:textId="77777777" w:rsidR="003B7460" w:rsidRPr="007F7EBF" w:rsidRDefault="003B7460" w:rsidP="00815896">
      <w:pPr>
        <w:pStyle w:val="Testonotaapidipagina"/>
      </w:pPr>
      <w:r w:rsidRPr="007F7EBF">
        <w:rPr>
          <w:rStyle w:val="Rimandonotaapidipagina"/>
        </w:rPr>
        <w:footnoteRef/>
      </w:r>
      <w:r w:rsidRPr="007F7EBF">
        <w:t xml:space="preserve"> Si aggiunge cioè alla responsabilità del sostituto trasgressore anche una responsabilità solidale del sostituito (cfr.art.32 decreto 602 -1973). </w:t>
      </w:r>
    </w:p>
  </w:footnote>
  <w:footnote w:id="295">
    <w:p w14:paraId="400E63D8" w14:textId="76323C19" w:rsidR="003B7460" w:rsidRPr="007F7EBF" w:rsidRDefault="003B7460" w:rsidP="00826FAA">
      <w:pPr>
        <w:pStyle w:val="Testonotaapidipagina"/>
      </w:pPr>
      <w:r w:rsidRPr="007F7EBF">
        <w:rPr>
          <w:rStyle w:val="Rimandonotaapidipagina"/>
        </w:rPr>
        <w:footnoteRef/>
      </w:r>
      <w:r w:rsidRPr="007F7EBF">
        <w:t xml:space="preserve"> ) </w:t>
      </w:r>
      <w:r>
        <w:t>La</w:t>
      </w:r>
      <w:r w:rsidRPr="007F7EBF">
        <w:t xml:space="preserve"> ritenuta d’imposta “definitiva”</w:t>
      </w:r>
      <w:r>
        <w:t xml:space="preserve">, </w:t>
      </w:r>
      <w:r w:rsidRPr="007F7EBF">
        <w:t>con aliquota uguale per tutti</w:t>
      </w:r>
      <w:r>
        <w:t>,</w:t>
      </w:r>
      <w:r w:rsidRPr="007F7EBF">
        <w:t xml:space="preserve"> non consentiva </w:t>
      </w:r>
      <w:r>
        <w:t xml:space="preserve">infatti </w:t>
      </w:r>
      <w:r w:rsidRPr="007F7EBF">
        <w:t xml:space="preserve">di “personalizzare” l’imposizione, anche in relazione a oneri deducibili, detrazioni etc., come vedremo al par.9.4. </w:t>
      </w:r>
    </w:p>
  </w:footnote>
  <w:footnote w:id="296">
    <w:p w14:paraId="39DFD383" w14:textId="2454CDEC" w:rsidR="003B7460" w:rsidRPr="007F7EBF" w:rsidRDefault="003B7460">
      <w:pPr>
        <w:pStyle w:val="Testonotaapidipagina"/>
      </w:pPr>
      <w:r w:rsidRPr="007F7EBF">
        <w:rPr>
          <w:rStyle w:val="Rimandonotaapidipagina"/>
        </w:rPr>
        <w:footnoteRef/>
      </w:r>
      <w:r>
        <w:t xml:space="preserve">) </w:t>
      </w:r>
      <w:r w:rsidRPr="007F7EBF">
        <w:t>Tali imposte potranno essere l’ IRPEF per le persone fisiche  o l'IRES, per le società, come vedremo al capitolo 9</w:t>
      </w:r>
    </w:p>
  </w:footnote>
  <w:footnote w:id="297">
    <w:p w14:paraId="5AC217A3" w14:textId="388CFAEC" w:rsidR="003B7460" w:rsidRPr="007F7EBF" w:rsidRDefault="003B7460">
      <w:pPr>
        <w:pStyle w:val="Testonotaapidipagina"/>
      </w:pPr>
      <w:r w:rsidRPr="007F7EBF">
        <w:rPr>
          <w:rStyle w:val="Rimandonotaapidipagina"/>
        </w:rPr>
        <w:footnoteRef/>
      </w:r>
      <w:r>
        <w:t>)</w:t>
      </w:r>
      <w:r w:rsidRPr="007F7EBF">
        <w:t xml:space="preserve"> E' la tipica operazione definita «di conguaglio» , da effettuare nella dichiarazione fiscale, come indicato al par.3.4, tra le anticipazioni e l’imposta definitivamente calcolata</w:t>
      </w:r>
    </w:p>
  </w:footnote>
  <w:footnote w:id="298">
    <w:p w14:paraId="74405BA6" w14:textId="37D66FD4" w:rsidR="003B7460" w:rsidRPr="007F7EBF" w:rsidRDefault="003B7460" w:rsidP="001407CD">
      <w:pPr>
        <w:pStyle w:val="Testonotaapidipagina"/>
      </w:pPr>
      <w:r w:rsidRPr="007F7EBF">
        <w:rPr>
          <w:rStyle w:val="Rimandonotaapidipagina"/>
        </w:rPr>
        <w:footnoteRef/>
      </w:r>
      <w:r>
        <w:t>)</w:t>
      </w:r>
      <w:r w:rsidRPr="007F7EBF">
        <w:t xml:space="preserve"> Sui riflessi dichiarativi vedasi </w:t>
      </w:r>
      <w:r>
        <w:t xml:space="preserve">anche </w:t>
      </w:r>
      <w:r w:rsidRPr="007F7EBF">
        <w:t xml:space="preserve">par. 3.4, 3.16 sull’assistenza professionale. </w:t>
      </w:r>
    </w:p>
  </w:footnote>
  <w:footnote w:id="299">
    <w:p w14:paraId="433C7E28" w14:textId="452F015D" w:rsidR="003B7460" w:rsidRDefault="003B7460" w:rsidP="00D5420F">
      <w:pPr>
        <w:pStyle w:val="Testonotaapidipagina"/>
      </w:pPr>
      <w:r>
        <w:rPr>
          <w:rStyle w:val="Rimandonotaapidipagina"/>
        </w:rPr>
        <w:footnoteRef/>
      </w:r>
      <w:r>
        <w:t xml:space="preserve"> ) Attraverso il sostituto, il sostituito diviene “consapevole della propria visibilità tributaria”, indicata ai parr.1.5 e 4.2. Le inevitabili sperequazioni tra soggetti segnalabili attraverso la ritenuta ed altri portarono a due richieste di </w:t>
      </w:r>
      <w:r w:rsidRPr="007F7EBF">
        <w:t xml:space="preserve"> referendum abrogativo del sostituto d’imposta</w:t>
      </w:r>
      <w:r>
        <w:t>, bocciate dalla corte costituzionale in quanto esattamente ritenute</w:t>
      </w:r>
      <w:r w:rsidRPr="007F7EBF">
        <w:t xml:space="preserve"> </w:t>
      </w:r>
      <w:r>
        <w:t xml:space="preserve">rientranti nel divieto di referendum abrogativo in materia tributaria, di cui al </w:t>
      </w:r>
      <w:r w:rsidRPr="007F7EBF">
        <w:t>par.2.1</w:t>
      </w:r>
      <w:r>
        <w:t xml:space="preserve">. Le campagne di abolizione continuarono per anni, ad iniziativa del partito Radicale e di movimenti di opinione.  </w:t>
      </w:r>
    </w:p>
  </w:footnote>
  <w:footnote w:id="300">
    <w:p w14:paraId="749ABA8C" w14:textId="72F344F1" w:rsidR="003B7460" w:rsidRPr="007F7EBF" w:rsidRDefault="003B7460">
      <w:pPr>
        <w:pStyle w:val="Testonotaapidipagina"/>
      </w:pPr>
      <w:r w:rsidRPr="007F7EBF">
        <w:rPr>
          <w:rStyle w:val="Rimandonotaapidipagina"/>
        </w:rPr>
        <w:footnoteRef/>
      </w:r>
      <w:r w:rsidRPr="007F7EBF">
        <w:t xml:space="preserve"> ) </w:t>
      </w:r>
      <w:r>
        <w:t>Sul c</w:t>
      </w:r>
      <w:r w:rsidRPr="007F7EBF">
        <w:t>oncetto</w:t>
      </w:r>
      <w:r>
        <w:t xml:space="preserve"> di valore aggiunto in generale par.1.8, ripreso dal par.7.2 per l’IVA e </w:t>
      </w:r>
      <w:r w:rsidRPr="007F7EBF">
        <w:t>9</w:t>
      </w:r>
      <w:r>
        <w:t xml:space="preserve">.5 per le imposte sui redditi. </w:t>
      </w:r>
      <w:r w:rsidRPr="007F7EBF">
        <w:t xml:space="preserve"> </w:t>
      </w:r>
    </w:p>
  </w:footnote>
  <w:footnote w:id="301">
    <w:p w14:paraId="6EF3875D" w14:textId="1307CBDF" w:rsidR="003B7460" w:rsidRPr="007F7EBF" w:rsidRDefault="003B7460">
      <w:pPr>
        <w:pStyle w:val="Testonotaapidipagina"/>
      </w:pPr>
      <w:r w:rsidRPr="007F7EBF">
        <w:rPr>
          <w:rStyle w:val="Rimandonotaapidipagina"/>
        </w:rPr>
        <w:footnoteRef/>
      </w:r>
      <w:r>
        <w:t>)</w:t>
      </w:r>
      <w:r w:rsidRPr="007F7EBF">
        <w:t xml:space="preserve"> Per chi avesse un margine di utile del 20 percento rispetto ai costi, la ritenuta praticata sui corrispettivi lordi assorbirebbe l’intero reddito, trasformandolo finanziariamente in un credito verso il fisco, con problemi di liquidità, di monetizzazione e  di rimborso.</w:t>
      </w:r>
    </w:p>
  </w:footnote>
  <w:footnote w:id="302">
    <w:p w14:paraId="3EF4F744" w14:textId="3BEE5745" w:rsidR="003B7460" w:rsidRPr="007F7EBF" w:rsidRDefault="003B7460">
      <w:pPr>
        <w:pStyle w:val="Testonotaapidipagina"/>
      </w:pPr>
      <w:r w:rsidRPr="007F7EBF">
        <w:rPr>
          <w:rStyle w:val="Rimandonotaapidipagina"/>
        </w:rPr>
        <w:footnoteRef/>
      </w:r>
      <w:r w:rsidRPr="007F7EBF">
        <w:t xml:space="preserve"> ) </w:t>
      </w:r>
      <w:proofErr w:type="spellStart"/>
      <w:r>
        <w:t>Cfr</w:t>
      </w:r>
      <w:proofErr w:type="spellEnd"/>
      <w:r>
        <w:t xml:space="preserve"> </w:t>
      </w:r>
      <w:r w:rsidRPr="007F7EBF">
        <w:rPr>
          <w:sz w:val="22"/>
          <w:szCs w:val="22"/>
        </w:rPr>
        <w:t>art. 23 comma 1 d.P.R. 600/1973</w:t>
      </w:r>
      <w:r>
        <w:rPr>
          <w:sz w:val="22"/>
          <w:szCs w:val="22"/>
        </w:rPr>
        <w:t xml:space="preserve"> secondo cui sono sostituti d’imposta anche i condomini. I soggetti indicati nel testo saranno quindi sostituti spesso </w:t>
      </w:r>
      <w:r w:rsidRPr="007F7EBF">
        <w:t>solo per lo stipendio erogato all’unico commesso, alla cassiera o all’apprendista, se non addirittura per la parcella erogata al commercialista che li assiste (par.3.16).</w:t>
      </w:r>
      <w:r>
        <w:t xml:space="preserve"> E’ un altro aspetto del tentativo di “esportare la contabilità” (par.4.5), anche oltre i confini dell’organizzazione amministrativa. </w:t>
      </w:r>
    </w:p>
  </w:footnote>
  <w:footnote w:id="303">
    <w:p w14:paraId="6CDE977F" w14:textId="6013450D" w:rsidR="003B7460" w:rsidRPr="007F7EBF" w:rsidRDefault="003B7460" w:rsidP="00235D8E">
      <w:pPr>
        <w:autoSpaceDE w:val="0"/>
        <w:autoSpaceDN w:val="0"/>
        <w:adjustRightInd w:val="0"/>
      </w:pPr>
      <w:r w:rsidRPr="007F7EBF">
        <w:rPr>
          <w:rStyle w:val="Rimandonotaapidipagina"/>
          <w:sz w:val="20"/>
          <w:szCs w:val="20"/>
        </w:rPr>
        <w:footnoteRef/>
      </w:r>
      <w:r w:rsidRPr="007F7EBF">
        <w:rPr>
          <w:sz w:val="20"/>
          <w:szCs w:val="20"/>
        </w:rPr>
        <w:t xml:space="preserve"> </w:t>
      </w:r>
      <w:r>
        <w:rPr>
          <w:sz w:val="20"/>
          <w:szCs w:val="20"/>
        </w:rPr>
        <w:t xml:space="preserve">) Il sostituito, </w:t>
      </w:r>
      <w:r w:rsidRPr="007F7EBF">
        <w:rPr>
          <w:sz w:val="20"/>
          <w:szCs w:val="20"/>
        </w:rPr>
        <w:t>tra l’altro</w:t>
      </w:r>
      <w:r>
        <w:rPr>
          <w:sz w:val="20"/>
          <w:szCs w:val="20"/>
        </w:rPr>
        <w:t>, non</w:t>
      </w:r>
      <w:r w:rsidRPr="007F7EBF">
        <w:rPr>
          <w:sz w:val="20"/>
          <w:szCs w:val="20"/>
        </w:rPr>
        <w:t xml:space="preserve"> </w:t>
      </w:r>
      <w:r>
        <w:rPr>
          <w:sz w:val="20"/>
          <w:szCs w:val="20"/>
        </w:rPr>
        <w:t>ha modo di</w:t>
      </w:r>
      <w:r w:rsidRPr="007F7EBF">
        <w:rPr>
          <w:sz w:val="20"/>
          <w:szCs w:val="20"/>
        </w:rPr>
        <w:t xml:space="preserve"> controllare</w:t>
      </w:r>
      <w:r>
        <w:rPr>
          <w:bCs/>
          <w:sz w:val="20"/>
          <w:szCs w:val="20"/>
        </w:rPr>
        <w:t xml:space="preserve"> il sostituto, salvo il manifesto concorso tra i due; in questo caso, tipico della società che paga somme al proprio socio totalitario, effettuando ritenute senza versarle, il fisco può riscuotere la ritenuta verso il “dominus” della società, secondo tecnicismi di cui qui ci risparmiamo i dettagli</w:t>
      </w:r>
      <w:r w:rsidRPr="007F7EBF">
        <w:rPr>
          <w:sz w:val="20"/>
          <w:szCs w:val="20"/>
        </w:rPr>
        <w:t xml:space="preserve">. </w:t>
      </w:r>
    </w:p>
  </w:footnote>
  <w:footnote w:id="304">
    <w:p w14:paraId="3266DD59" w14:textId="56023694" w:rsidR="003B7460" w:rsidRPr="007F7EBF" w:rsidRDefault="003B7460">
      <w:pPr>
        <w:pStyle w:val="Testonotaapidipagina"/>
      </w:pPr>
      <w:r w:rsidRPr="007F7EBF">
        <w:rPr>
          <w:rStyle w:val="Rimandonotaapidipagina"/>
        </w:rPr>
        <w:footnoteRef/>
      </w:r>
      <w:r w:rsidRPr="007F7EBF">
        <w:t xml:space="preserve"> ) I dati del percettore affluiranno alle banche dati del fisco attraverso la dichiarazione del sostituto d’imposta, indicata al par.3.4</w:t>
      </w:r>
      <w:r>
        <w:t>; il fisco potrà in questo modo verificare, con gli incroci di cui al par.5.5, l’esistenza di altri redditi che rendevano necessaria la dichiarazione</w:t>
      </w:r>
      <w:r w:rsidRPr="007F7EBF">
        <w:t>.</w:t>
      </w:r>
    </w:p>
  </w:footnote>
  <w:footnote w:id="305">
    <w:p w14:paraId="2F465CB3" w14:textId="77777777" w:rsidR="003B7460" w:rsidRPr="007F7EBF" w:rsidRDefault="003B7460">
      <w:pPr>
        <w:pStyle w:val="Testonotaapidipagina"/>
      </w:pPr>
      <w:r w:rsidRPr="007F7EBF">
        <w:rPr>
          <w:rStyle w:val="Rimandonotaapidipagina"/>
        </w:rPr>
        <w:footnoteRef/>
      </w:r>
      <w:r w:rsidRPr="007F7EBF">
        <w:t xml:space="preserve"> ) Per la ritenuta d’imposta abbiamo già detto sopra dell’affiancarsi di una responsabilità del sostituito a quella del sostituto. </w:t>
      </w:r>
    </w:p>
  </w:footnote>
  <w:footnote w:id="306">
    <w:p w14:paraId="701BC7CB" w14:textId="0FE39066" w:rsidR="003B7460" w:rsidRDefault="003B7460">
      <w:pPr>
        <w:pStyle w:val="Testonotaapidipagina"/>
      </w:pPr>
      <w:r>
        <w:rPr>
          <w:rStyle w:val="Rimandonotaapidipagina"/>
        </w:rPr>
        <w:footnoteRef/>
      </w:r>
      <w:r>
        <w:t xml:space="preserve"> ) In questa sede “scientifico sociale” è solo il caso di segnalare i tecnicismi casistici derivanti dalla pluralità di percettori, come lavoratori dipendenti percettori di “fuori busta”, che possono indurre gli uffici tributari a concentrare la richiesta sul sostituto, senza riuscire a distinguere a seconda che il sostituito abbia adempiuto o meno. </w:t>
      </w:r>
    </w:p>
  </w:footnote>
  <w:footnote w:id="307">
    <w:p w14:paraId="22FF8A82" w14:textId="678AE735" w:rsidR="003B7460" w:rsidRDefault="003B7460">
      <w:pPr>
        <w:pStyle w:val="Testonotaapidipagina"/>
      </w:pPr>
      <w:r>
        <w:rPr>
          <w:rStyle w:val="Rimandonotaapidipagina"/>
        </w:rPr>
        <w:footnoteRef/>
      </w:r>
      <w:r>
        <w:t xml:space="preserve"> ) E’ il filo conduttore secondo cui </w:t>
      </w:r>
      <w:r>
        <w:rPr>
          <w:sz w:val="22"/>
          <w:szCs w:val="22"/>
        </w:rPr>
        <w:t xml:space="preserve">“la giurisprudenza non insegna” almeno per le funzioni “non giurisdizionali” e su scala più vasta neppure insegna la legislazione. </w:t>
      </w:r>
    </w:p>
  </w:footnote>
  <w:footnote w:id="308">
    <w:p w14:paraId="423219D5" w14:textId="526377BC" w:rsidR="003B7460" w:rsidRDefault="003B7460">
      <w:pPr>
        <w:pStyle w:val="Testonotaapidipagina"/>
      </w:pPr>
      <w:r>
        <w:rPr>
          <w:rStyle w:val="Rimandonotaapidipagina"/>
        </w:rPr>
        <w:footnoteRef/>
      </w:r>
      <w:r>
        <w:t xml:space="preserve"> ) Una variazione sul tema sarebbe che il sostituto, per evitare l’azione di danni, si desse carico del recupero della ritenuta in via amministrativa. Un altro tecnicismo è la possibilità di scomputare ritenute praticate dal sostituto, ma oggettivamente non dovute, ad esempio perché il percettore agisce nell’esercizio di impresa, e non come lavoratore autonomo (anche questa è una delle tante sfasature connesse alla c.d. esportazione della contabilità di cui al part.4.5)</w:t>
      </w:r>
    </w:p>
  </w:footnote>
  <w:footnote w:id="309">
    <w:p w14:paraId="0EEDFDF9" w14:textId="6A1D5110" w:rsidR="003B7460" w:rsidRPr="007F7EBF" w:rsidRDefault="003B7460">
      <w:pPr>
        <w:pStyle w:val="Testonotaapidipagina"/>
      </w:pPr>
      <w:r w:rsidRPr="007F7EBF">
        <w:rPr>
          <w:rStyle w:val="Rimandonotaapidipagina"/>
        </w:rPr>
        <w:footnoteRef/>
      </w:r>
      <w:r w:rsidRPr="007F7EBF">
        <w:t xml:space="preserve"> </w:t>
      </w:r>
      <w:r>
        <w:t>) N</w:t>
      </w:r>
      <w:r w:rsidRPr="007F7EBF">
        <w:t>on servono sofisticate dimostrazioni, né riferimenti a modelli matematici, a campioni statistici (</w:t>
      </w:r>
      <w:proofErr w:type="spellStart"/>
      <w:r w:rsidRPr="00417BC2">
        <w:rPr>
          <w:i/>
        </w:rPr>
        <w:t>fact</w:t>
      </w:r>
      <w:proofErr w:type="spellEnd"/>
      <w:r w:rsidRPr="00417BC2">
        <w:rPr>
          <w:i/>
        </w:rPr>
        <w:t xml:space="preserve"> checking</w:t>
      </w:r>
      <w:r w:rsidRPr="007F7EBF">
        <w:t xml:space="preserve"> di cui al par.4.7) o a “materiali normativi”</w:t>
      </w:r>
      <w:r>
        <w:t xml:space="preserve"> per convincersi che un</w:t>
      </w:r>
      <w:r w:rsidRPr="007F7EBF">
        <w:rPr>
          <w:i/>
        </w:rPr>
        <w:t xml:space="preserve">'organizzazione, </w:t>
      </w:r>
      <w:r w:rsidRPr="007F7EBF">
        <w:t xml:space="preserve">compresa quella </w:t>
      </w:r>
      <w:proofErr w:type="spellStart"/>
      <w:r w:rsidRPr="007F7EBF">
        <w:rPr>
          <w:i/>
        </w:rPr>
        <w:t>aziendale,</w:t>
      </w:r>
      <w:r>
        <w:t>non</w:t>
      </w:r>
      <w:proofErr w:type="spellEnd"/>
      <w:r>
        <w:t xml:space="preserve"> ha bisogni fisici, in poche parole</w:t>
      </w:r>
      <w:r w:rsidRPr="007F7EBF">
        <w:rPr>
          <w:i/>
        </w:rPr>
        <w:t xml:space="preserve"> non mangia</w:t>
      </w:r>
      <w:r>
        <w:rPr>
          <w:i/>
        </w:rPr>
        <w:t xml:space="preserve">. </w:t>
      </w:r>
      <w:r>
        <w:t>La manomissione contabile in azienda è sempre vista negativamente, come indicato al par.3.2, e non è quindi verosimile che un dirigente la commetta per far risparmiare imposte all’azienda, esponendosi a un rischio personale.</w:t>
      </w:r>
    </w:p>
  </w:footnote>
  <w:footnote w:id="310">
    <w:p w14:paraId="72B3224A" w14:textId="4F49A2CC" w:rsidR="003B7460" w:rsidRPr="007F7EBF" w:rsidRDefault="003B7460" w:rsidP="00172252">
      <w:pPr>
        <w:pStyle w:val="Testonotaapidipagina"/>
      </w:pPr>
      <w:r w:rsidRPr="007F7EBF">
        <w:t xml:space="preserve"> </w:t>
      </w:r>
      <w:r w:rsidRPr="007F7EBF">
        <w:rPr>
          <w:rStyle w:val="Rimandonotaapidipagina"/>
        </w:rPr>
        <w:footnoteRef/>
      </w:r>
      <w:r w:rsidRPr="007F7EBF">
        <w:t xml:space="preserve">) E’ verosimile che l’imprenditore, forse per il timore di essere imbrogliato preferisca pagare i tributi che farsi “fare fesso” dai dipendenti </w:t>
      </w:r>
      <w:r>
        <w:t xml:space="preserve">(par.3.1) con una </w:t>
      </w:r>
      <w:r w:rsidRPr="007F7EBF">
        <w:t>preoccupazione forte in Italia, dove l’autostima è notevole come indicato al par.</w:t>
      </w:r>
      <w:r w:rsidRPr="00FE3595">
        <w:t xml:space="preserve"> </w:t>
      </w:r>
      <w:r>
        <w:t>4.1</w:t>
      </w:r>
      <w:r w:rsidRPr="007F7EBF">
        <w:t xml:space="preserve">. </w:t>
      </w:r>
    </w:p>
  </w:footnote>
  <w:footnote w:id="311">
    <w:p w14:paraId="5D3762D9" w14:textId="5F467461" w:rsidR="003B7460" w:rsidRPr="007F7EBF" w:rsidRDefault="003B7460">
      <w:pPr>
        <w:pStyle w:val="Testonotaapidipagina"/>
      </w:pPr>
      <w:r w:rsidRPr="007F7EBF">
        <w:rPr>
          <w:rStyle w:val="Rimandonotaapidipagina"/>
        </w:rPr>
        <w:footnoteRef/>
      </w:r>
      <w:r w:rsidRPr="007F7EBF">
        <w:t xml:space="preserve"> ) </w:t>
      </w:r>
      <w:r>
        <w:t xml:space="preserve">Specie con </w:t>
      </w:r>
      <w:r w:rsidRPr="007F7EBF">
        <w:t xml:space="preserve">la </w:t>
      </w:r>
      <w:proofErr w:type="spellStart"/>
      <w:r w:rsidRPr="007F7EBF">
        <w:t>managerializzazione</w:t>
      </w:r>
      <w:proofErr w:type="spellEnd"/>
      <w:r w:rsidRPr="007F7EBF">
        <w:t xml:space="preserve"> del capitalismo familiare, al passare delle generazioni.</w:t>
      </w:r>
    </w:p>
  </w:footnote>
  <w:footnote w:id="312">
    <w:p w14:paraId="30D80350" w14:textId="77777777" w:rsidR="003B7460" w:rsidRPr="007F7EBF" w:rsidRDefault="003B7460" w:rsidP="00F416D7">
      <w:pPr>
        <w:pStyle w:val="Testonotaapidipagina"/>
      </w:pPr>
      <w:r w:rsidRPr="007F7EBF">
        <w:rPr>
          <w:rStyle w:val="Rimandonotaapidipagina"/>
        </w:rPr>
        <w:footnoteRef/>
      </w:r>
      <w:r w:rsidRPr="007F7EBF">
        <w:t xml:space="preserve"> ) Analogo imbarazzo sussiste, qualora l’evasione sia scoperta, per l’immagine dell’azienda davanti ai mezzi di informazione, con riflessi negativi sul suo prestigio, e quindi sul relativo avviamento. </w:t>
      </w:r>
    </w:p>
  </w:footnote>
  <w:footnote w:id="313">
    <w:p w14:paraId="1B6BC00A" w14:textId="3571C949" w:rsidR="003B7460" w:rsidRPr="007F7EBF" w:rsidRDefault="003B7460" w:rsidP="008321ED">
      <w:pPr>
        <w:pStyle w:val="Testonotaapidipagina"/>
      </w:pPr>
      <w:r w:rsidRPr="007F7EBF">
        <w:rPr>
          <w:rStyle w:val="Rimandonotaapidipagina"/>
        </w:rPr>
        <w:footnoteRef/>
      </w:r>
      <w:r>
        <w:t xml:space="preserve">) </w:t>
      </w:r>
      <w:r w:rsidRPr="007F7EBF">
        <w:t>Si pensi alle vendite di immobili da parte di piccoli costruttori edilizi, o ai rivenditori/riparatori di yachts</w:t>
      </w:r>
      <w:r>
        <w:t>, dove</w:t>
      </w:r>
      <w:r w:rsidRPr="007F7EBF">
        <w:t xml:space="preserve"> l</w:t>
      </w:r>
      <w:r>
        <w:t xml:space="preserve">’imponibile </w:t>
      </w:r>
      <w:r w:rsidRPr="007F7EBF">
        <w:t>viene "tolt</w:t>
      </w:r>
      <w:r>
        <w:t>o</w:t>
      </w:r>
      <w:r w:rsidRPr="007F7EBF">
        <w:t xml:space="preserve"> da sopra", </w:t>
      </w:r>
      <w:r>
        <w:t>in trattative dirette gestibili dal titolare o da suoi fiduciari, trattandosi di poche prestazioni di rilevante valore unitario, aventi ad oggetto consumi, sia pure “di fascia alta”</w:t>
      </w:r>
      <w:r w:rsidRPr="007F7EBF">
        <w:t xml:space="preserve">. </w:t>
      </w:r>
    </w:p>
  </w:footnote>
  <w:footnote w:id="314">
    <w:p w14:paraId="5BAF5699" w14:textId="6AB4CEE3" w:rsidR="003B7460" w:rsidRPr="007F7EBF" w:rsidRDefault="003B7460" w:rsidP="00075D5C">
      <w:pPr>
        <w:pStyle w:val="Testonotaapidipagina"/>
      </w:pPr>
      <w:r w:rsidRPr="007F7EBF">
        <w:rPr>
          <w:rStyle w:val="Rimandonotaapidipagina"/>
        </w:rPr>
        <w:footnoteRef/>
      </w:r>
      <w:r>
        <w:t>)</w:t>
      </w:r>
      <w:r w:rsidRPr="007F7EBF">
        <w:t xml:space="preserve"> Vedremo al par.5.16 in quale misura ciò possa avvenire anche per i pagamenti ricevuti con moneta elettronica (carte di credito), usando conti di appoggio “non ufficiali”.</w:t>
      </w:r>
    </w:p>
  </w:footnote>
  <w:footnote w:id="315">
    <w:p w14:paraId="123BA49D" w14:textId="053BE8D7" w:rsidR="003B7460" w:rsidRDefault="003B7460">
      <w:pPr>
        <w:pStyle w:val="Testonotaapidipagina"/>
      </w:pPr>
      <w:r>
        <w:rPr>
          <w:rStyle w:val="Rimandonotaapidipagina"/>
        </w:rPr>
        <w:footnoteRef/>
      </w:r>
      <w:r>
        <w:t xml:space="preserve"> ) </w:t>
      </w:r>
      <w:r>
        <w:rPr>
          <w:bCs/>
          <w:sz w:val="22"/>
          <w:szCs w:val="22"/>
        </w:rPr>
        <w:t>Ad esempio i</w:t>
      </w:r>
      <w:r w:rsidRPr="007F7EBF">
        <w:rPr>
          <w:bCs/>
          <w:sz w:val="22"/>
          <w:szCs w:val="22"/>
        </w:rPr>
        <w:t>ntestate a prestanome</w:t>
      </w:r>
      <w:r>
        <w:rPr>
          <w:bCs/>
          <w:sz w:val="22"/>
          <w:szCs w:val="22"/>
        </w:rPr>
        <w:t xml:space="preserve"> o </w:t>
      </w:r>
      <w:r w:rsidRPr="007F7EBF">
        <w:rPr>
          <w:bCs/>
          <w:sz w:val="22"/>
          <w:szCs w:val="22"/>
        </w:rPr>
        <w:t>fiduciari dello stesso titolare</w:t>
      </w:r>
      <w:r>
        <w:rPr>
          <w:bCs/>
          <w:sz w:val="22"/>
          <w:szCs w:val="22"/>
        </w:rPr>
        <w:t xml:space="preserve">. </w:t>
      </w:r>
    </w:p>
  </w:footnote>
  <w:footnote w:id="316">
    <w:p w14:paraId="61A08E43" w14:textId="515612C2"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Con </w:t>
      </w:r>
      <w:r>
        <w:t xml:space="preserve">uno schema analogo, ma inverso, a quello che </w:t>
      </w:r>
      <w:r w:rsidRPr="007F7EBF">
        <w:t xml:space="preserve">vedremo tra un attimo per i costi. </w:t>
      </w:r>
    </w:p>
  </w:footnote>
  <w:footnote w:id="317">
    <w:p w14:paraId="7B8F17F5" w14:textId="77777777" w:rsidR="003B7460" w:rsidRPr="007F7EBF" w:rsidRDefault="003B7460">
      <w:pPr>
        <w:pStyle w:val="Testonotaapidipagina"/>
      </w:pPr>
      <w:r w:rsidRPr="007F7EBF">
        <w:rPr>
          <w:rStyle w:val="Rimandonotaapidipagina"/>
        </w:rPr>
        <w:footnoteRef/>
      </w:r>
      <w:r w:rsidRPr="007F7EBF">
        <w:t xml:space="preserve"> E’ lo schema del c.d. "cinese finto", cioè di quando le merci, prodotte nell'estremo oriente, sono acquistate da una società filtro, riconducibile a fiduciari della proprietà aziendale, che a loro volta pagano il fornitore effettivo, trattenendo la differenza, a disposizione della proprietà aziendale. La distanza territoriale, l'opacità del mercato di provenienza, la normalità dell'esternalizzazione e la riluttanza ad effettuare indagini all'estero (par.5.6 e 7.19) rendono difficile il contrasto di questi comportamenti (emersi ad esempio nel caso di indagini a raggio molto più ampio, come nel caso della sentenza penale sui diritti televisivi Mediaset, relativa a Silvio Berlusconi). </w:t>
      </w:r>
    </w:p>
  </w:footnote>
  <w:footnote w:id="318">
    <w:p w14:paraId="10339841" w14:textId="77777777" w:rsidR="003B7460" w:rsidRPr="007F7EBF" w:rsidRDefault="003B7460" w:rsidP="00D824E4">
      <w:pPr>
        <w:pStyle w:val="Testonotaapidipagina"/>
      </w:pPr>
      <w:r w:rsidRPr="007F7EBF">
        <w:rPr>
          <w:rStyle w:val="Rimandonotaapidipagina"/>
        </w:rPr>
        <w:footnoteRef/>
      </w:r>
      <w:r w:rsidRPr="007F7EBF">
        <w:t xml:space="preserve"> ) Destinata poi ad essere in gran parte spesa per necessità familiari e personali degli interessati, come indicato al par.4.2. </w:t>
      </w:r>
    </w:p>
  </w:footnote>
  <w:footnote w:id="319">
    <w:p w14:paraId="2664B35B" w14:textId="77777777" w:rsidR="003B7460" w:rsidRPr="007F7EBF" w:rsidRDefault="003B7460" w:rsidP="00D824E4">
      <w:pPr>
        <w:pStyle w:val="Testonotaapidipagina"/>
      </w:pPr>
      <w:r w:rsidRPr="007F7EBF">
        <w:rPr>
          <w:rStyle w:val="Rimandonotaapidipagina"/>
        </w:rPr>
        <w:footnoteRef/>
      </w:r>
      <w:r w:rsidRPr="007F7EBF">
        <w:t xml:space="preserve"> ) In questo quadro si inseriscono le ipotizzate indagini bancarie internazionali usate per indurre alla “autodichiarazione” di disponibilità estere sottratte al fisco, indicate al par.5.20 a proposito della c.d. “</w:t>
      </w:r>
      <w:proofErr w:type="spellStart"/>
      <w:r w:rsidRPr="007F7EBF">
        <w:t>voluntary</w:t>
      </w:r>
      <w:proofErr w:type="spellEnd"/>
      <w:r w:rsidRPr="007F7EBF">
        <w:t xml:space="preserve"> </w:t>
      </w:r>
      <w:proofErr w:type="spellStart"/>
      <w:r w:rsidRPr="007F7EBF">
        <w:t>disclosure</w:t>
      </w:r>
      <w:proofErr w:type="spellEnd"/>
      <w:r w:rsidRPr="007F7EBF">
        <w:t xml:space="preserve">”. </w:t>
      </w:r>
    </w:p>
  </w:footnote>
  <w:footnote w:id="320">
    <w:p w14:paraId="47254F7E" w14:textId="77777777" w:rsidR="003B7460" w:rsidRPr="007F7EBF" w:rsidRDefault="003B7460" w:rsidP="00F36894">
      <w:pPr>
        <w:pStyle w:val="Testonotaapidipagina"/>
      </w:pPr>
      <w:r w:rsidRPr="007F7EBF">
        <w:rPr>
          <w:rStyle w:val="Rimandonotaapidipagina"/>
        </w:rPr>
        <w:footnoteRef/>
      </w:r>
      <w:r>
        <w:t>)</w:t>
      </w:r>
      <w:r w:rsidRPr="007F7EBF">
        <w:t xml:space="preserve"> Talvolta è possibile “</w:t>
      </w:r>
      <w:r w:rsidRPr="007F7EBF">
        <w:rPr>
          <w:b/>
          <w:bCs/>
        </w:rPr>
        <w:t>dirottare</w:t>
      </w:r>
      <w:r w:rsidRPr="007F7EBF">
        <w:rPr>
          <w:bCs/>
        </w:rPr>
        <w:t xml:space="preserve">” sul titolare </w:t>
      </w:r>
      <w:r w:rsidRPr="007F7EBF">
        <w:t xml:space="preserve">dell’azienda erogazioni straordinarie, come gli </w:t>
      </w:r>
      <w:r w:rsidRPr="007F7EBF">
        <w:rPr>
          <w:b/>
        </w:rPr>
        <w:t>sconti dei fornitori</w:t>
      </w:r>
      <w:r w:rsidRPr="007F7EBF">
        <w:t>, oppure pagamenti parziali da parte dei clienti a fronte di rinunce a crediti, da parte dell'azienda, per difficoltà finanziarie.</w:t>
      </w:r>
    </w:p>
  </w:footnote>
  <w:footnote w:id="321">
    <w:p w14:paraId="7849681D" w14:textId="4B8D77DA" w:rsidR="003B7460" w:rsidRPr="007F7EBF" w:rsidRDefault="003B7460">
      <w:pPr>
        <w:pStyle w:val="Testonotaapidipagina"/>
      </w:pPr>
      <w:r w:rsidRPr="007F7EBF">
        <w:rPr>
          <w:rStyle w:val="Rimandonotaapidipagina"/>
        </w:rPr>
        <w:footnoteRef/>
      </w:r>
      <w:r w:rsidRPr="007F7EBF">
        <w:t xml:space="preserve"> ) Cfr. quanto indicato al precedente par.3.2 sulle procedure interne aziendali. Se uno sconto è avallato dall’ufficio commerciale, o un trasporto dall’ufficio acquisti, o un noleggio di gru dal capo cantiere, l’ufficio contabile non ha motivo di intromettersi, salvo irragionevolezze o incongruenze della documentazione, o richieste completamente inusuali, magari contrarie alla legge, come potrebbe essere oggi quella di un pagamento in contanti oltre i limiti previsti. </w:t>
      </w:r>
      <w:r>
        <w:t xml:space="preserve">Per questo gli </w:t>
      </w:r>
      <w:r w:rsidRPr="007F7EBF">
        <w:t>uffici contabili aziendali</w:t>
      </w:r>
      <w:r>
        <w:t xml:space="preserve"> possono essere coinvolti nella fantomatica “</w:t>
      </w:r>
      <w:proofErr w:type="spellStart"/>
      <w:r>
        <w:t>cohoperative</w:t>
      </w:r>
      <w:proofErr w:type="spellEnd"/>
      <w:r>
        <w:t xml:space="preserve"> compliance” di cui al par.5.18, </w:t>
      </w:r>
      <w:r w:rsidRPr="007F7EBF">
        <w:t xml:space="preserve"> </w:t>
      </w:r>
      <w:r>
        <w:t xml:space="preserve">solo per quanto riguarda le contestazioni interpretative e l’elusione, di cui al par.3.10. </w:t>
      </w:r>
    </w:p>
  </w:footnote>
  <w:footnote w:id="322">
    <w:p w14:paraId="332C0AB6" w14:textId="17F853D3" w:rsidR="003B7460" w:rsidRPr="007F7EBF" w:rsidRDefault="003B7460">
      <w:pPr>
        <w:pStyle w:val="Testonotaapidipagina"/>
      </w:pPr>
      <w:r w:rsidRPr="007F7EBF">
        <w:rPr>
          <w:rStyle w:val="Rimandonotaapidipagina"/>
        </w:rPr>
        <w:footnoteRef/>
      </w:r>
      <w:r w:rsidRPr="007F7EBF">
        <w:t xml:space="preserve"> ) Anche per le aziende che adottano i modelli organizzativi di controllo interno tipo “legge 231” o aderiscono al c.d. “tutoraggio fiscale”(cooperative compliance di cui al par.5.19) la questione rimane in termini analoghi. </w:t>
      </w:r>
    </w:p>
  </w:footnote>
  <w:footnote w:id="323">
    <w:p w14:paraId="58030015" w14:textId="77777777" w:rsidR="003B7460" w:rsidRPr="007F7EBF" w:rsidRDefault="003B7460" w:rsidP="00C9345F">
      <w:pPr>
        <w:pStyle w:val="Testonotaapidipagina"/>
      </w:pPr>
      <w:r w:rsidRPr="007F7EBF">
        <w:rPr>
          <w:rStyle w:val="Rimandonotaapidipagina"/>
        </w:rPr>
        <w:footnoteRef/>
      </w:r>
      <w:r>
        <w:t>)</w:t>
      </w:r>
      <w:r w:rsidRPr="007F7EBF">
        <w:t xml:space="preserve"> Si pensi alla condanna penale per frode fiscale “da interposizione” (par.3.7) a Silvio Berlusconi, innescata dall’intensa attività giudiziaria sul soggetto, oppure alle evasioni della famiglia Riva, emerse nel corso delle indagini per inquinamento all’ILVA di Taranto; liti familiari sono alla base della scoperta delle evasioni visibili digitando su </w:t>
      </w:r>
      <w:proofErr w:type="spellStart"/>
      <w:r w:rsidRPr="007F7EBF">
        <w:t>google</w:t>
      </w:r>
      <w:proofErr w:type="spellEnd"/>
      <w:r w:rsidRPr="007F7EBF">
        <w:t xml:space="preserve"> “evasione Giacomini Novara”</w:t>
      </w:r>
      <w:r>
        <w:t xml:space="preserve">, nonché del mito mediatico del </w:t>
      </w:r>
      <w:r w:rsidRPr="007F7EBF">
        <w:t xml:space="preserve">cosiddetto “tesoro degli Agnelli” </w:t>
      </w:r>
      <w:r>
        <w:t xml:space="preserve">e della connessa evasione milionaria di un professionista, che ha raccontato la vicenda in un </w:t>
      </w:r>
      <w:r w:rsidRPr="007F7EBF">
        <w:t xml:space="preserve">gradevole volume autobiografico (Emanuele </w:t>
      </w:r>
      <w:proofErr w:type="spellStart"/>
      <w:r w:rsidRPr="007F7EBF">
        <w:t>Gamna</w:t>
      </w:r>
      <w:proofErr w:type="spellEnd"/>
      <w:r w:rsidRPr="007F7EBF">
        <w:t>, L’importanza di chiamarsi Agnelli, Class Editori, 2011).</w:t>
      </w:r>
      <w:r>
        <w:t xml:space="preserve"> </w:t>
      </w:r>
      <w:r w:rsidRPr="007F7EBF">
        <w:t xml:space="preserve">L’evasione </w:t>
      </w:r>
      <w:r>
        <w:t>fu</w:t>
      </w:r>
      <w:r w:rsidRPr="007F7EBF">
        <w:t xml:space="preserve"> poi scoperta </w:t>
      </w:r>
      <w:r>
        <w:t>in</w:t>
      </w:r>
      <w:r w:rsidRPr="007F7EBF">
        <w:t xml:space="preserve"> inchieste su </w:t>
      </w:r>
      <w:r>
        <w:t xml:space="preserve">fallimenti o </w:t>
      </w:r>
      <w:r w:rsidRPr="007F7EBF">
        <w:t>tangenti</w:t>
      </w:r>
      <w:r>
        <w:t xml:space="preserve"> (</w:t>
      </w:r>
      <w:r w:rsidRPr="007F7EBF">
        <w:t>par.3.8 sull’”evasione aziendale”</w:t>
      </w:r>
      <w:r>
        <w:t xml:space="preserve">) o su rientri di capitale, come nel caso di </w:t>
      </w:r>
      <w:r w:rsidRPr="007F7EBF">
        <w:t xml:space="preserve">Alberto Aleotti, </w:t>
      </w:r>
      <w:r w:rsidRPr="007F7EBF">
        <w:rPr>
          <w:i/>
        </w:rPr>
        <w:t>patron</w:t>
      </w:r>
      <w:r w:rsidRPr="007F7EBF">
        <w:t xml:space="preserve"> della Menarini, maggiore farmaceutica italiana, oggetto di pesanti condanne penali ai</w:t>
      </w:r>
      <w:r>
        <w:t xml:space="preserve"> figli. </w:t>
      </w:r>
      <w:r w:rsidRPr="007F7EBF">
        <w:t xml:space="preserve"> </w:t>
      </w:r>
      <w:r>
        <w:t xml:space="preserve">  </w:t>
      </w:r>
    </w:p>
  </w:footnote>
  <w:footnote w:id="324">
    <w:p w14:paraId="1FA7E0C9" w14:textId="77777777" w:rsidR="003B7460" w:rsidRPr="007F7EBF" w:rsidRDefault="003B7460" w:rsidP="00760C89">
      <w:pPr>
        <w:pStyle w:val="Testonotaapidipagina"/>
      </w:pPr>
      <w:r w:rsidRPr="007F7EBF">
        <w:rPr>
          <w:rStyle w:val="Rimandonotaapidipagina"/>
        </w:rPr>
        <w:footnoteRef/>
      </w:r>
      <w:r w:rsidRPr="007F7EBF">
        <w:t xml:space="preserve"> ) Anche le evidenze delle   dichiarazioni IRPEF , dove si vede che dallo 0,09 percento dei contribuenti (meno di 20 mila) viene oltre il 5 percento del gettito, confermano la superficialità dello slogan “politico” secondo cui “i ricchi non paghino”; vedremo al par.4.6 che, essendo passata di moda la colpevolizzazione dei ricchi in quanto "sfruttatori", tendenze culturali ancora forti hanno ripiegato sulla colpevolizzazione dei ricchi in quanto "evasori" (vedremo al par.4.6 che la c.d. lotta all'evasione è diventata una specie di surrogato della "lotta di classe").</w:t>
      </w:r>
    </w:p>
  </w:footnote>
  <w:footnote w:id="325">
    <w:p w14:paraId="06674754" w14:textId="77777777" w:rsidR="003B7460" w:rsidRPr="007F7EBF" w:rsidRDefault="003B7460" w:rsidP="00760C89">
      <w:pPr>
        <w:pStyle w:val="Testonotaapidipagina"/>
      </w:pPr>
      <w:r w:rsidRPr="007F7EBF">
        <w:rPr>
          <w:rStyle w:val="Rimandonotaapidipagina"/>
        </w:rPr>
        <w:footnoteRef/>
      </w:r>
      <w:r w:rsidRPr="007F7EBF">
        <w:t xml:space="preserve"> ) La tendenza dei ricchi ad adempiere non è un loro merito, sul piano del senso civico</w:t>
      </w:r>
      <w:r>
        <w:t>, seguendo l’adagio “i soldi fanno l’uomo onesto”</w:t>
      </w:r>
      <w:r w:rsidRPr="007F7EBF">
        <w:t xml:space="preserve">, così come non è un demerito la tendenza dei lavoratori indipendenti a un </w:t>
      </w:r>
      <w:r>
        <w:t xml:space="preserve">inadempimento </w:t>
      </w:r>
      <w:r w:rsidRPr="007F7EBF">
        <w:t xml:space="preserve"> </w:t>
      </w:r>
      <w:r>
        <w:t xml:space="preserve">proporzionalmente più elevato </w:t>
      </w:r>
      <w:r w:rsidRPr="007F7EBF">
        <w:t>(par.4.2). In entrambi i casi, e in tutte le loro sfumature intermedie, c’è solo un adeguamento alle circostanze</w:t>
      </w:r>
      <w:r>
        <w:t>, specie con riferimento alla determinabilità degli imponibili</w:t>
      </w:r>
      <w:r w:rsidRPr="007F7EBF">
        <w:t>.</w:t>
      </w:r>
    </w:p>
  </w:footnote>
  <w:footnote w:id="326">
    <w:p w14:paraId="1A3AC0D6" w14:textId="77777777" w:rsidR="003B7460" w:rsidRPr="007F7EBF" w:rsidRDefault="003B7460" w:rsidP="00C26D4F">
      <w:pPr>
        <w:pStyle w:val="Testonotaapidipagina"/>
      </w:pPr>
      <w:r w:rsidRPr="007F7EBF">
        <w:rPr>
          <w:rStyle w:val="Rimandonotaapidipagina"/>
        </w:rPr>
        <w:footnoteRef/>
      </w:r>
      <w:r w:rsidRPr="007F7EBF">
        <w:t xml:space="preserve"> ) Su questo concetto paragrafi 7.2 per l’IVA (valore aggiunto tipo consumo) e 9.</w:t>
      </w:r>
      <w:r>
        <w:t>5</w:t>
      </w:r>
      <w:r w:rsidRPr="007F7EBF">
        <w:t xml:space="preserve"> per l’IRAP (valore aggiunto tipo reddito), comunque due modi di guardare la stessa realtà economica.</w:t>
      </w:r>
    </w:p>
  </w:footnote>
  <w:footnote w:id="327">
    <w:p w14:paraId="5B049EEB" w14:textId="77777777" w:rsidR="003B7460" w:rsidRPr="007F7EBF" w:rsidRDefault="003B7460" w:rsidP="00C26D4F">
      <w:pPr>
        <w:pStyle w:val="Testonotaapidipagina"/>
      </w:pPr>
      <w:r w:rsidRPr="007F7EBF">
        <w:rPr>
          <w:rStyle w:val="Rimandonotaapidipagina"/>
        </w:rPr>
        <w:footnoteRef/>
      </w:r>
      <w:r w:rsidRPr="007F7EBF">
        <w:t xml:space="preserve"> ) Inoltre spesso la perdita, come risultato di bilancio, è successiva alla remunerazione del socio in qualità di amministratore delegato, o di portatore di un prestito obbligazionario.</w:t>
      </w:r>
    </w:p>
  </w:footnote>
  <w:footnote w:id="328">
    <w:p w14:paraId="5B517AA8" w14:textId="77777777" w:rsidR="003B7460" w:rsidRPr="007F7EBF" w:rsidRDefault="003B7460" w:rsidP="00C26D4F">
      <w:pPr>
        <w:pStyle w:val="Testonotaapidipagina"/>
      </w:pPr>
      <w:r w:rsidRPr="007F7EBF">
        <w:rPr>
          <w:rStyle w:val="Rimandonotaapidipagina"/>
        </w:rPr>
        <w:footnoteRef/>
      </w:r>
      <w:r w:rsidRPr="007F7EBF">
        <w:t xml:space="preserve"> ) E' per quest'ultimo, non per il reddito immediato, che si attiva l'imprenditore. Il titolare di un’industria in perdita, invece, non presta il proprio lavoro organizzativo per trarre un reddito nell’immediato, ma per salvaguardare il proprio patrimonio, espresso dal relativo “valore di avviamento”. </w:t>
      </w:r>
    </w:p>
  </w:footnote>
  <w:footnote w:id="329">
    <w:p w14:paraId="5FDB5E57" w14:textId="77777777" w:rsidR="003B7460" w:rsidRPr="007F7EBF" w:rsidRDefault="003B7460" w:rsidP="00C26D4F">
      <w:pPr>
        <w:pStyle w:val="Testonotaapidipagina"/>
      </w:pPr>
      <w:r w:rsidRPr="007F7EBF">
        <w:rPr>
          <w:rStyle w:val="Rimandonotaapidipagina"/>
        </w:rPr>
        <w:footnoteRef/>
      </w:r>
      <w:r w:rsidRPr="007F7EBF">
        <w:t xml:space="preserve"> ) E’ un’altra prospettiva per cogliere la differenza tra lavoro indipendente e organizzazioni pluripersonali, filo conduttore del testo.</w:t>
      </w:r>
    </w:p>
  </w:footnote>
  <w:footnote w:id="330">
    <w:p w14:paraId="7EBF198A" w14:textId="5466397D" w:rsidR="003B7460" w:rsidRPr="007F7EBF" w:rsidRDefault="003B7460" w:rsidP="001B334A">
      <w:pPr>
        <w:pStyle w:val="Testonotaapidipagina"/>
      </w:pPr>
      <w:r w:rsidRPr="007F7EBF">
        <w:rPr>
          <w:rStyle w:val="Rimandonotaapidipagina"/>
        </w:rPr>
        <w:footnoteRef/>
      </w:r>
      <w:r w:rsidRPr="007F7EBF">
        <w:t xml:space="preserve"> ) </w:t>
      </w:r>
      <w:r>
        <w:t>I cui comportamenti si omogeneizzano, anche se q</w:t>
      </w:r>
      <w:r w:rsidRPr="007F7EBF">
        <w:t>ualcuno</w:t>
      </w:r>
      <w:r>
        <w:t>,</w:t>
      </w:r>
      <w:r w:rsidRPr="007F7EBF">
        <w:t xml:space="preserve"> più </w:t>
      </w:r>
      <w:r>
        <w:t>cauto,</w:t>
      </w:r>
      <w:r w:rsidRPr="007F7EBF">
        <w:t xml:space="preserve"> investirà in tranquillità fiscale, e qualcuno più spregiudicato privilegerà il proprio tenore di vita, come spiegato al par.4.2 sull'"evasione di sopravvivenza".</w:t>
      </w:r>
    </w:p>
  </w:footnote>
  <w:footnote w:id="331">
    <w:p w14:paraId="36E8C925" w14:textId="7D835CB5" w:rsidR="003B7460" w:rsidRPr="007F7EBF" w:rsidRDefault="003B7460" w:rsidP="001B334A">
      <w:pPr>
        <w:pStyle w:val="Testonotaapidipagina"/>
      </w:pPr>
      <w:r w:rsidRPr="007F7EBF">
        <w:rPr>
          <w:rStyle w:val="Rimandonotaapidipagina"/>
        </w:rPr>
        <w:footnoteRef/>
      </w:r>
      <w:r w:rsidRPr="007F7EBF">
        <w:t xml:space="preserve"> ) </w:t>
      </w:r>
      <w:r>
        <w:t>E’ diverso quando viene meno la sede fissa</w:t>
      </w:r>
      <w:r w:rsidRPr="007F7EBF">
        <w:t xml:space="preserve">, come spiego sul post “il ritorno dei mercatini” in </w:t>
      </w:r>
      <w:r>
        <w:t>wwwgiustiziafiscale.com</w:t>
      </w:r>
      <w:r w:rsidRPr="007F7EBF">
        <w:t xml:space="preserve">. </w:t>
      </w:r>
    </w:p>
  </w:footnote>
  <w:footnote w:id="332">
    <w:p w14:paraId="408DB6D8" w14:textId="6C7C2936" w:rsidR="003B7460" w:rsidRPr="007F7EBF" w:rsidRDefault="003B7460" w:rsidP="0043724C">
      <w:pPr>
        <w:pStyle w:val="Testonotaapidipagina"/>
      </w:pPr>
      <w:r w:rsidRPr="007F7EBF">
        <w:rPr>
          <w:rStyle w:val="Rimandonotaapidipagina"/>
        </w:rPr>
        <w:footnoteRef/>
      </w:r>
      <w:r w:rsidRPr="007F7EBF">
        <w:t xml:space="preserve"> </w:t>
      </w:r>
      <w:r>
        <w:t xml:space="preserve">Sulla quale hanno invece meno impatto le </w:t>
      </w:r>
      <w:r w:rsidRPr="007F7EBF">
        <w:t xml:space="preserve">imposte minori di cui al capitolo decimo, </w:t>
      </w:r>
      <w:r>
        <w:t xml:space="preserve">che sono come tali un costo, quali le </w:t>
      </w:r>
      <w:r w:rsidRPr="007F7EBF">
        <w:t>imposte di registro, di bollo, doganali, patrimoniali sugli immobili (IMU) etc..</w:t>
      </w:r>
    </w:p>
  </w:footnote>
  <w:footnote w:id="333">
    <w:p w14:paraId="432DC3AE" w14:textId="260C78E9" w:rsidR="003B7460" w:rsidRDefault="003B7460">
      <w:pPr>
        <w:pStyle w:val="Testonotaapidipagina"/>
      </w:pPr>
      <w:r>
        <w:rPr>
          <w:rStyle w:val="Rimandonotaapidipagina"/>
        </w:rPr>
        <w:footnoteRef/>
      </w:r>
      <w:r>
        <w:t xml:space="preserve"> ) In modo da non essere esposti a facili e strumentali denunce dei dipendenti per c.d. “lavoro nero”. </w:t>
      </w:r>
    </w:p>
  </w:footnote>
  <w:footnote w:id="334">
    <w:p w14:paraId="7B691B44" w14:textId="34308546" w:rsidR="003B7460" w:rsidRPr="007F7EBF" w:rsidRDefault="003B7460">
      <w:pPr>
        <w:pStyle w:val="Testonotaapidipagina"/>
      </w:pPr>
      <w:r w:rsidRPr="007F7EBF">
        <w:rPr>
          <w:rStyle w:val="Rimandonotaapidipagina"/>
        </w:rPr>
        <w:footnoteRef/>
      </w:r>
      <w:r w:rsidRPr="007F7EBF">
        <w:t xml:space="preserve"> ) </w:t>
      </w:r>
      <w:r>
        <w:t>Riducendo il costo del lavoro, in una “convergenza d’interessi” che è</w:t>
      </w:r>
      <w:r w:rsidRPr="007F7EBF">
        <w:t xml:space="preserve"> uno dei motivi per cui, nelle statistiche dei redditi di lavoro dipendente dichiarati</w:t>
      </w:r>
      <w:r>
        <w:t xml:space="preserve">, </w:t>
      </w:r>
      <w:r w:rsidRPr="007F7EBF">
        <w:t>c'è una frequenza</w:t>
      </w:r>
      <w:r>
        <w:t>,</w:t>
      </w:r>
      <w:r w:rsidRPr="007F7EBF">
        <w:t xml:space="preserve"> a prima vista anomala</w:t>
      </w:r>
      <w:r>
        <w:t>,</w:t>
      </w:r>
      <w:r w:rsidRPr="007F7EBF">
        <w:t xml:space="preserve"> di importi mo</w:t>
      </w:r>
      <w:r>
        <w:t xml:space="preserve">desti. </w:t>
      </w:r>
    </w:p>
  </w:footnote>
  <w:footnote w:id="335">
    <w:p w14:paraId="1115EDC3" w14:textId="77777777" w:rsidR="003B7460" w:rsidRPr="007F7EBF" w:rsidRDefault="003B7460" w:rsidP="00DE3A02">
      <w:pPr>
        <w:pStyle w:val="Testonotaapidipagina"/>
      </w:pPr>
      <w:r w:rsidRPr="007F7EBF">
        <w:rPr>
          <w:rStyle w:val="Rimandonotaapidipagina"/>
        </w:rPr>
        <w:footnoteRef/>
      </w:r>
      <w:r w:rsidRPr="007F7EBF">
        <w:t xml:space="preserve"> ) Questa forma di evasione aziendale è in realtà una complicità in una evasione altrui, punibile con le categorie logiche della ricettazione, quando cioè l’acquirente non poteva non prevedere, visto il prezzo e altre circostanze dell’operazione, il mancato versamento dell’IVA da parte del fornitore. </w:t>
      </w:r>
    </w:p>
  </w:footnote>
  <w:footnote w:id="336">
    <w:p w14:paraId="0A47E708" w14:textId="77777777" w:rsidR="003B7460" w:rsidRPr="007F7EBF" w:rsidRDefault="003B7460" w:rsidP="0070561E">
      <w:pPr>
        <w:pStyle w:val="Testonotaapidipagina"/>
      </w:pPr>
      <w:r w:rsidRPr="007F7EBF">
        <w:rPr>
          <w:rStyle w:val="Rimandonotaapidipagina"/>
        </w:rPr>
        <w:footnoteRef/>
      </w:r>
      <w:r w:rsidRPr="007F7EBF">
        <w:t xml:space="preserve"> ) Sulle quali vedasi ampiamente par.5.11.</w:t>
      </w:r>
    </w:p>
  </w:footnote>
  <w:footnote w:id="337">
    <w:p w14:paraId="0376E3F8" w14:textId="77777777" w:rsidR="003B7460" w:rsidRPr="007F7EBF" w:rsidRDefault="003B7460" w:rsidP="0070561E">
      <w:pPr>
        <w:pStyle w:val="Testonotaapidipagina"/>
      </w:pPr>
      <w:r w:rsidRPr="007F7EBF">
        <w:rPr>
          <w:rStyle w:val="Rimandonotaapidipagina"/>
        </w:rPr>
        <w:footnoteRef/>
      </w:r>
      <w:r w:rsidRPr="007F7EBF">
        <w:t xml:space="preserve"> E' un altro caso di “evasione aziendale”, in cui l’organizzazione “paga” per essere avvantaggiata o “non sfavorita”.</w:t>
      </w:r>
    </w:p>
  </w:footnote>
  <w:footnote w:id="338">
    <w:p w14:paraId="261338BF" w14:textId="339F7AB3" w:rsidR="003B7460" w:rsidRPr="007F7EBF" w:rsidRDefault="003B7460" w:rsidP="008933B1">
      <w:pPr>
        <w:pStyle w:val="Testonotaapidipagina"/>
      </w:pPr>
      <w:r w:rsidRPr="007F7EBF">
        <w:rPr>
          <w:rStyle w:val="Rimandonotaapidipagina"/>
        </w:rPr>
        <w:footnoteRef/>
      </w:r>
      <w:r w:rsidRPr="007F7EBF">
        <w:t xml:space="preserve"> ) </w:t>
      </w:r>
      <w:r>
        <w:t>Problema fondamentalmente empirico, cioè giuridico, ma non valoriale, nel senso precisato al par.5.8. Cioè c</w:t>
      </w:r>
      <w:r w:rsidRPr="007F7EBF">
        <w:t xml:space="preserve">onsumi, patrimonio, redditi, nelle loro varie componenti positive (ricavi) e negative (costi). </w:t>
      </w:r>
    </w:p>
  </w:footnote>
  <w:footnote w:id="339">
    <w:p w14:paraId="1C3FDF5D" w14:textId="20C8F056" w:rsidR="003B7460" w:rsidRPr="007F7EBF" w:rsidRDefault="003B7460" w:rsidP="003C41F1">
      <w:pPr>
        <w:pStyle w:val="Testonotaapidipagina"/>
      </w:pPr>
      <w:r w:rsidRPr="007F7EBF">
        <w:rPr>
          <w:rStyle w:val="Rimandonotaapidipagina"/>
        </w:rPr>
        <w:footnoteRef/>
      </w:r>
      <w:r w:rsidRPr="007F7EBF">
        <w:t xml:space="preserve"> )</w:t>
      </w:r>
      <w:r>
        <w:t xml:space="preserve"> R</w:t>
      </w:r>
      <w:r w:rsidRPr="007F7EBF">
        <w:t>egole</w:t>
      </w:r>
      <w:r>
        <w:t xml:space="preserve">, </w:t>
      </w:r>
      <w:r w:rsidRPr="007F7EBF">
        <w:t>principi e valori</w:t>
      </w:r>
      <w:r>
        <w:t xml:space="preserve"> s’intrecciano in un insieme fluido, spesso denominato </w:t>
      </w:r>
      <w:r w:rsidRPr="007F7EBF">
        <w:t>”sistema”</w:t>
      </w:r>
      <w:r>
        <w:t xml:space="preserve">, diversamente puntualizzato sulle varie funzioni pubbliche; quindi, più che un “ordinamento giuridico” monolitico, presupposto da chi appiattisce il diritto sulla funzione giurisdizionale, abbiamo vari “sistemi di settore”, relativi alle varie funzioni pubbliche, tra cui quella tributaria, collegati da principi e valori comuni di teoria generale, che formano un nucleo importante del diritto come “studio per tecnici”.  </w:t>
      </w:r>
    </w:p>
  </w:footnote>
  <w:footnote w:id="340">
    <w:p w14:paraId="5968C59E" w14:textId="2A45ACCF" w:rsidR="003B7460" w:rsidRPr="007F7EBF" w:rsidRDefault="003B7460">
      <w:pPr>
        <w:pStyle w:val="Testonotaapidipagina"/>
      </w:pPr>
      <w:r w:rsidRPr="007F7EBF">
        <w:rPr>
          <w:rStyle w:val="Rimandonotaapidipagina"/>
        </w:rPr>
        <w:footnoteRef/>
      </w:r>
      <w:r>
        <w:t>)</w:t>
      </w:r>
      <w:r w:rsidRPr="007F7EBF">
        <w:t xml:space="preserve"> </w:t>
      </w:r>
      <w:r>
        <w:t>L’”</w:t>
      </w:r>
      <w:proofErr w:type="spellStart"/>
      <w:r>
        <w:t>interpretatio</w:t>
      </w:r>
      <w:proofErr w:type="spellEnd"/>
      <w:r>
        <w:t xml:space="preserve">”, insomma, c’è sempre, sia nel giudizio di fatto sia in quello di diritto, e il </w:t>
      </w:r>
      <w:r w:rsidRPr="007F7EBF">
        <w:t xml:space="preserve">brocardo “in </w:t>
      </w:r>
      <w:proofErr w:type="spellStart"/>
      <w:r w:rsidRPr="007F7EBF">
        <w:t>claris</w:t>
      </w:r>
      <w:proofErr w:type="spellEnd"/>
      <w:r w:rsidRPr="007F7EBF">
        <w:t xml:space="preserve"> non </w:t>
      </w:r>
      <w:proofErr w:type="spellStart"/>
      <w:r w:rsidRPr="007F7EBF">
        <w:t>fit</w:t>
      </w:r>
      <w:proofErr w:type="spellEnd"/>
      <w:r w:rsidRPr="007F7EBF">
        <w:t xml:space="preserve"> </w:t>
      </w:r>
      <w:proofErr w:type="spellStart"/>
      <w:r w:rsidRPr="007F7EBF">
        <w:t>interpretatio</w:t>
      </w:r>
      <w:proofErr w:type="spellEnd"/>
      <w:r w:rsidRPr="007F7EBF">
        <w:t>”</w:t>
      </w:r>
      <w:r>
        <w:t xml:space="preserve"> non è sbagliato, ma è un ammonimento al delegato (par.1.3), a non usare ipocritamente l’interpretazione per disattendere le indicazioni del delegante</w:t>
      </w:r>
      <w:r w:rsidRPr="007F7EBF">
        <w:t>.</w:t>
      </w:r>
    </w:p>
  </w:footnote>
  <w:footnote w:id="341">
    <w:p w14:paraId="237223E4" w14:textId="55BF731D" w:rsidR="003B7460" w:rsidRPr="007F7EBF" w:rsidRDefault="003B7460">
      <w:pPr>
        <w:pStyle w:val="Testonotaapidipagina"/>
      </w:pPr>
      <w:r w:rsidRPr="007F7EBF">
        <w:rPr>
          <w:rStyle w:val="Rimandonotaapidipagina"/>
        </w:rPr>
        <w:footnoteRef/>
      </w:r>
      <w:r w:rsidRPr="007F7EBF">
        <w:t xml:space="preserve"> ) Qualsiasi </w:t>
      </w:r>
      <w:r w:rsidRPr="007F7EBF">
        <w:rPr>
          <w:bCs/>
        </w:rPr>
        <w:t xml:space="preserve">regola </w:t>
      </w:r>
      <w:r>
        <w:rPr>
          <w:bCs/>
        </w:rPr>
        <w:t>con</w:t>
      </w:r>
      <w:r w:rsidRPr="007F7EBF">
        <w:rPr>
          <w:bCs/>
        </w:rPr>
        <w:t xml:space="preserve"> un filo logico è </w:t>
      </w:r>
      <w:r>
        <w:rPr>
          <w:bCs/>
        </w:rPr>
        <w:t>almeno</w:t>
      </w:r>
      <w:r w:rsidRPr="007F7EBF">
        <w:rPr>
          <w:bCs/>
        </w:rPr>
        <w:t xml:space="preserve"> in un caso di agevole applicazione, ma nessuna è </w:t>
      </w:r>
      <w:r w:rsidRPr="007F7EBF">
        <w:t xml:space="preserve">così chiara da esserlo in tutti i casi </w:t>
      </w:r>
      <w:r>
        <w:t>possibili</w:t>
      </w:r>
      <w:r w:rsidRPr="007F7EBF">
        <w:t xml:space="preserve">. </w:t>
      </w:r>
      <w:r>
        <w:t>Lo stesso vale per i valori, i principi, il sistema, e tutti i concetti del sapere umanistico sociale (par.4.7).</w:t>
      </w:r>
    </w:p>
  </w:footnote>
  <w:footnote w:id="342">
    <w:p w14:paraId="480A327E" w14:textId="0B6BEA14" w:rsidR="003B7460" w:rsidRDefault="003B7460">
      <w:pPr>
        <w:pStyle w:val="Testonotaapidipagina"/>
      </w:pPr>
      <w:r>
        <w:rPr>
          <w:rStyle w:val="Rimandonotaapidipagina"/>
        </w:rPr>
        <w:footnoteRef/>
      </w:r>
      <w:r>
        <w:t xml:space="preserve"> Queste definizioni hanno un’utilità nelle convenzioni internazionali, operanti in contesti socioculturali diversi.</w:t>
      </w:r>
    </w:p>
  </w:footnote>
  <w:footnote w:id="343">
    <w:p w14:paraId="6CD7A9C2" w14:textId="7CA401BF" w:rsidR="003B7460" w:rsidRPr="007F7EBF" w:rsidRDefault="003B7460" w:rsidP="002B2CA2">
      <w:pPr>
        <w:pStyle w:val="Testonotaapidipagina"/>
      </w:pPr>
      <w:r w:rsidRPr="007F7EBF">
        <w:rPr>
          <w:rStyle w:val="Rimandonotaapidipagina"/>
        </w:rPr>
        <w:footnoteRef/>
      </w:r>
      <w:r w:rsidRPr="007F7EBF">
        <w:t xml:space="preserve"> ) Potrebbe essere lo stesso per il concetto di “patologia” ai fini del diritto sanitario, di “valore artistico” ai fini del diritto dei beni culturali etc. Il preconcetto che un concetto, per essere utilizzabile, debba essere accompagnato da una definizione valida per tutti i casi possibili porta al paradosso di dover definire tutto per poter definire qualche cosa</w:t>
      </w:r>
      <w:r>
        <w:t>. Si tende così alla situazione limite secondo cui “per sapere una cosa bisogna sapere tutto”, come se -per usare la parola “libro”- servisse una definizione in grado di indicarci in tutti i casi possibili se siamo di fronte a un libro oppure no; in questo modo, oltre ad avviarsi verso la pazzia, si</w:t>
      </w:r>
      <w:r w:rsidRPr="007F7EBF">
        <w:t xml:space="preserve"> sfocia nel sofisma secondo cui non si può</w:t>
      </w:r>
      <w:r w:rsidRPr="007F7EBF">
        <w:rPr>
          <w:i/>
        </w:rPr>
        <w:t xml:space="preserve"> dire che una cosa è malvagia se</w:t>
      </w:r>
      <w:r>
        <w:rPr>
          <w:i/>
        </w:rPr>
        <w:t xml:space="preserve">nza una precisa </w:t>
      </w:r>
      <w:r w:rsidRPr="007F7EBF">
        <w:rPr>
          <w:i/>
        </w:rPr>
        <w:t>defini</w:t>
      </w:r>
      <w:r>
        <w:rPr>
          <w:i/>
        </w:rPr>
        <w:t xml:space="preserve">zione di </w:t>
      </w:r>
      <w:r w:rsidRPr="007F7EBF">
        <w:rPr>
          <w:i/>
        </w:rPr>
        <w:t xml:space="preserve"> cosa sia il male</w:t>
      </w:r>
      <w:r w:rsidRPr="007F7EBF">
        <w:t xml:space="preserve">. </w:t>
      </w:r>
      <w:r>
        <w:t xml:space="preserve">Gli studenti ricorderanno manuali pieni di </w:t>
      </w:r>
      <w:r w:rsidRPr="007F7EBF">
        <w:t xml:space="preserve">estenuanti dispute tra </w:t>
      </w:r>
      <w:r>
        <w:t xml:space="preserve">sostenitori di </w:t>
      </w:r>
      <w:r w:rsidRPr="007F7EBF">
        <w:t xml:space="preserve">definizioni </w:t>
      </w:r>
      <w:r>
        <w:t xml:space="preserve">diverse, </w:t>
      </w:r>
      <w:r w:rsidRPr="007F7EBF">
        <w:t>distin</w:t>
      </w:r>
      <w:r>
        <w:t xml:space="preserve">te </w:t>
      </w:r>
      <w:r w:rsidRPr="007F7EBF">
        <w:t>solo sotto profili limitati</w:t>
      </w:r>
      <w:r>
        <w:t xml:space="preserve">, come </w:t>
      </w:r>
      <w:r w:rsidRPr="007F7EBF">
        <w:t xml:space="preserve">disputa tra </w:t>
      </w:r>
      <w:r w:rsidRPr="007F7EBF">
        <w:rPr>
          <w:i/>
        </w:rPr>
        <w:t>sabiniani</w:t>
      </w:r>
      <w:r w:rsidRPr="007F7EBF">
        <w:t xml:space="preserve"> e </w:t>
      </w:r>
      <w:proofErr w:type="spellStart"/>
      <w:r w:rsidRPr="007F7EBF">
        <w:rPr>
          <w:i/>
        </w:rPr>
        <w:t>proculiani</w:t>
      </w:r>
      <w:proofErr w:type="spellEnd"/>
      <w:r w:rsidRPr="007F7EBF">
        <w:t xml:space="preserve"> sul momento della nascita, oggi attualizzabile a proposito dell'inizio e la fine della vita (aborto, tutela degli embrioni, eutanasia ecc.)</w:t>
      </w:r>
      <w:r>
        <w:t>. E’ un’esasperazione connaturata al diritto come tecnica casistica, ma nociva al diritto come studio sociale delle funzioni pubbliche di cui al par.1.3, perché semina dubbi anche sui concetti considerati più chiari nel linguaggio comune, come</w:t>
      </w:r>
      <w:r w:rsidRPr="007F7EBF">
        <w:t xml:space="preserve"> “giorno”, “notte”</w:t>
      </w:r>
      <w:r>
        <w:t>,</w:t>
      </w:r>
      <w:r w:rsidRPr="007F7EBF">
        <w:t xml:space="preserve"> “essere umano</w:t>
      </w:r>
      <w:r>
        <w:t xml:space="preserve">” o le espressioni del diritto tributario sostanziale, utilizzate in questo testo, come </w:t>
      </w:r>
      <w:r w:rsidRPr="007F7EBF">
        <w:t>« bene immobile »</w:t>
      </w:r>
      <w:r>
        <w:t xml:space="preserve">, dii solito </w:t>
      </w:r>
      <w:r w:rsidRPr="007F7EBF">
        <w:t>ben determinat</w:t>
      </w:r>
      <w:r>
        <w:t xml:space="preserve">o, ma </w:t>
      </w:r>
      <w:r w:rsidRPr="007F7EBF">
        <w:t>dubbi</w:t>
      </w:r>
      <w:r>
        <w:t xml:space="preserve">o </w:t>
      </w:r>
      <w:r w:rsidRPr="007F7EBF">
        <w:t xml:space="preserve">se </w:t>
      </w:r>
      <w:r>
        <w:t xml:space="preserve">riferito a </w:t>
      </w:r>
      <w:r w:rsidRPr="007F7EBF">
        <w:t xml:space="preserve">prefabbricati o piattaforme per la ricerca petrolifera. Per </w:t>
      </w:r>
      <w:r>
        <w:t xml:space="preserve">evitare infinite disquisizioni definitorie  </w:t>
      </w:r>
      <w:r w:rsidRPr="007F7EBF">
        <w:t xml:space="preserve">occorre </w:t>
      </w:r>
      <w:r>
        <w:t>accettare</w:t>
      </w:r>
      <w:r w:rsidRPr="007F7EBF">
        <w:t xml:space="preserve"> l’indeterminatezza del linguaggio, </w:t>
      </w:r>
      <w:r>
        <w:t>variabile a seconda del contesto. Non ci sono cioè termini precisi o imprecisi in sé, ma ogni termine può essere più o meno vago in concreto a seconda del fenomeno cui lo si riferisce. Invece di parlare di indeterminatezza, o convenzionalità del linguaggio, che sembra consentire di sostenere tutto e il contrario di tutto, vanno gestite le sfumature concrete dei significati, come ne</w:t>
      </w:r>
      <w:r w:rsidRPr="007F7EBF">
        <w:t xml:space="preserve">ll’esempio di </w:t>
      </w:r>
      <w:r w:rsidRPr="007F7EBF">
        <w:rPr>
          <w:smallCaps/>
        </w:rPr>
        <w:t>Luzzati</w:t>
      </w:r>
      <w:r w:rsidRPr="007F7EBF">
        <w:t xml:space="preserve">, </w:t>
      </w:r>
      <w:r w:rsidRPr="007F7EBF">
        <w:rPr>
          <w:i/>
          <w:iCs/>
        </w:rPr>
        <w:t>La vaghezza</w:t>
      </w:r>
      <w:r w:rsidRPr="007F7EBF">
        <w:t xml:space="preserve"> delle norme Giuffrè, 1990, </w:t>
      </w:r>
      <w:r>
        <w:t xml:space="preserve">pag. 6 sul concetto di “mucchio”; pur essendo sicuri che </w:t>
      </w:r>
      <w:r w:rsidRPr="007F7EBF">
        <w:t xml:space="preserve"> «un chicco di grano non è un mucchio e neppure due chicchi lo sono</w:t>
      </w:r>
      <w:r>
        <w:t xml:space="preserve">”, </w:t>
      </w:r>
      <w:r w:rsidRPr="007F7EBF">
        <w:t>aggiungendo indefinitamente un chicco dopo l'altro, a</w:t>
      </w:r>
      <w:r>
        <w:t xml:space="preserve"> un certo punto </w:t>
      </w:r>
      <w:r w:rsidRPr="007F7EBF">
        <w:t>siamo</w:t>
      </w:r>
      <w:r>
        <w:t xml:space="preserve"> altrettanto</w:t>
      </w:r>
      <w:r w:rsidRPr="007F7EBF">
        <w:t xml:space="preserve"> sicuri di trovarci di fronte a un mucchio, senza un </w:t>
      </w:r>
      <w:r>
        <w:t>confine</w:t>
      </w:r>
      <w:r w:rsidRPr="007F7EBF">
        <w:t xml:space="preserve"> preciso in cui si passa da “alcuni chicchi” a “un mucchio”</w:t>
      </w:r>
      <w:r>
        <w:t xml:space="preserve">. Ritroveremo al par.4.7, l’importanza metodologica di capire che il relativismo del linguaggio è conciliabile con la sua utilizzabilità univoca nella dialettica degli studi sociali. </w:t>
      </w:r>
    </w:p>
  </w:footnote>
  <w:footnote w:id="344">
    <w:p w14:paraId="4F50463E" w14:textId="77777777" w:rsidR="003B7460" w:rsidRDefault="003B7460" w:rsidP="00300241">
      <w:pPr>
        <w:pStyle w:val="Testonotaapidipagina"/>
      </w:pPr>
      <w:r>
        <w:rPr>
          <w:rStyle w:val="Rimandonotaapidipagina"/>
        </w:rPr>
        <w:footnoteRef/>
      </w:r>
      <w:r>
        <w:t xml:space="preserve"> ) La ricerca di reconditi significati di espressioni usate proprio per la loro ambiguità è alimentata dal preconcetto positivistico che la legge, o le sentenze, “insegnino”. Si ipotizzano quindi reconditi significati, cui legislatore e giudice non pensavano affatto, fino al punto da credere esistente tutto ciò che sia  nominato dalla legge (se essa parlasse di animali fantastici, come l’ippogrifo o l’unicorno, il giurista “costruttivista” armerebbe spedizioni per cercarli chissà dove).</w:t>
      </w:r>
    </w:p>
  </w:footnote>
  <w:footnote w:id="345">
    <w:p w14:paraId="038CB706" w14:textId="0824EA3D" w:rsidR="003B7460" w:rsidRDefault="003B7460">
      <w:pPr>
        <w:pStyle w:val="Testonotaapidipagina"/>
      </w:pPr>
      <w:r>
        <w:rPr>
          <w:rStyle w:val="Rimandonotaapidipagina"/>
        </w:rPr>
        <w:footnoteRef/>
      </w:r>
      <w:r>
        <w:t xml:space="preserve"> ) </w:t>
      </w:r>
      <w:r>
        <w:rPr>
          <w:sz w:val="22"/>
          <w:szCs w:val="22"/>
        </w:rPr>
        <w:t>Che talvolta interpretano per prevedere il comportamento eventuale di pubblici uffici, ma nell’autodeterminazione dei tributi vi sono costretti, con conseguente rilevanza dell’interpretazione amministrativa, di cui al par.5.4.</w:t>
      </w:r>
    </w:p>
  </w:footnote>
  <w:footnote w:id="346">
    <w:p w14:paraId="28985FB4" w14:textId="73AD519E" w:rsidR="003B7460" w:rsidRPr="007F7EBF" w:rsidRDefault="003B7460">
      <w:pPr>
        <w:pStyle w:val="Testonotaapidipagina"/>
      </w:pPr>
      <w:r w:rsidRPr="007F7EBF">
        <w:rPr>
          <w:rStyle w:val="Rimandonotaapidipagina"/>
        </w:rPr>
        <w:footnoteRef/>
      </w:r>
      <w:r w:rsidRPr="007F7EBF">
        <w:t xml:space="preserve"> ) </w:t>
      </w:r>
      <w:r>
        <w:t>Anche quando l’interprete fa riferimento a “valori”, non li caldeggia personalmente, ma se ne fa interprete, presentandoli come adeguatamente preesistenti nella società. In base a quest’insieme egli confronta comparativamente</w:t>
      </w:r>
      <w:r w:rsidRPr="007F7EBF">
        <w:t xml:space="preserve"> la solidità delle varie ipotesi interpretative ipotizzabili. </w:t>
      </w:r>
    </w:p>
  </w:footnote>
  <w:footnote w:id="347">
    <w:p w14:paraId="75B02C37" w14:textId="7B74F20B" w:rsidR="003B7460" w:rsidRDefault="003B7460">
      <w:pPr>
        <w:pStyle w:val="Testonotaapidipagina"/>
      </w:pPr>
      <w:r>
        <w:rPr>
          <w:rStyle w:val="Rimandonotaapidipagina"/>
        </w:rPr>
        <w:footnoteRef/>
      </w:r>
      <w:r>
        <w:t xml:space="preserve"> ) Si amplifica, con la determinazione degli imponibili attraverso la documentazione aziendale, un tema tecnico sorto nell’imposta di registro a proposito dei termini classici della contrattualistica, come </w:t>
      </w:r>
      <w:r w:rsidRPr="007F7EBF">
        <w:rPr>
          <w:sz w:val="22"/>
          <w:szCs w:val="22"/>
        </w:rPr>
        <w:t>“vendita”, «mutuo», «proprietà», «socio»,  «locazione» ecc..</w:t>
      </w:r>
    </w:p>
  </w:footnote>
  <w:footnote w:id="348">
    <w:p w14:paraId="6D70EF38" w14:textId="584927A7" w:rsidR="003B7460" w:rsidRPr="008063DA" w:rsidRDefault="003B7460" w:rsidP="00C12073">
      <w:pPr>
        <w:autoSpaceDE w:val="0"/>
        <w:autoSpaceDN w:val="0"/>
        <w:adjustRightInd w:val="0"/>
        <w:rPr>
          <w:sz w:val="22"/>
          <w:szCs w:val="22"/>
        </w:rPr>
      </w:pPr>
      <w:r w:rsidRPr="007F7EBF">
        <w:rPr>
          <w:rStyle w:val="Rimandonotaapidipagina"/>
        </w:rPr>
        <w:footnoteRef/>
      </w:r>
      <w:r>
        <w:t>)</w:t>
      </w:r>
      <w:r w:rsidRPr="007F7EBF">
        <w:t xml:space="preserve"> </w:t>
      </w:r>
      <w:r>
        <w:t xml:space="preserve">Anche quando i presupposti d’imposta di cui al par.1.8 sono determinati misurando rapporti giuridici questi ultimi  regrediscono a elementi di fatto, secondo la </w:t>
      </w:r>
      <w:r w:rsidRPr="007F7EBF">
        <w:rPr>
          <w:i/>
        </w:rPr>
        <w:t>digressione degli atti in fatti</w:t>
      </w:r>
      <w:r>
        <w:t xml:space="preserve"> teorizzata già</w:t>
      </w:r>
      <w:r w:rsidRPr="007F7EBF">
        <w:t xml:space="preserve"> </w:t>
      </w:r>
      <w:r>
        <w:t xml:space="preserve">da </w:t>
      </w:r>
      <w:r w:rsidRPr="007F7EBF">
        <w:t xml:space="preserve">Massimo Severo Giannini </w:t>
      </w:r>
      <w:r>
        <w:t>(</w:t>
      </w:r>
      <w:r w:rsidRPr="007F7EBF">
        <w:t>Manuale di diritto amministrativo, Giuffrè 1970, I, pag.521</w:t>
      </w:r>
      <w:r>
        <w:t>)</w:t>
      </w:r>
      <w:r w:rsidRPr="007F7EBF">
        <w:t xml:space="preserve"> </w:t>
      </w:r>
      <w:r>
        <w:t xml:space="preserve">con </w:t>
      </w:r>
      <w:r w:rsidRPr="007F7EBF">
        <w:t>esempi di diritto tributario a pag.522</w:t>
      </w:r>
      <w:r>
        <w:t xml:space="preserve">. </w:t>
      </w:r>
    </w:p>
  </w:footnote>
  <w:footnote w:id="349">
    <w:p w14:paraId="02DEFB5F" w14:textId="4BF0E1B5" w:rsidR="003B7460" w:rsidRDefault="003B7460">
      <w:pPr>
        <w:pStyle w:val="Testonotaapidipagina"/>
      </w:pPr>
      <w:r>
        <w:rPr>
          <w:rStyle w:val="Rimandonotaapidipagina"/>
        </w:rPr>
        <w:footnoteRef/>
      </w:r>
      <w:r>
        <w:t xml:space="preserve"> Si pensi alla tradizione storica di cui al par.1.4, alle odierne  imposte doganali, alle determinazioni catastali, alla rilevanza del tenore di vita o delle caratteristiche materiali ai fini delle stime dei ricavi di cui al par.5.13. </w:t>
      </w:r>
    </w:p>
  </w:footnote>
  <w:footnote w:id="350">
    <w:p w14:paraId="69E783F4" w14:textId="69ACC88C" w:rsidR="003B7460" w:rsidRDefault="003B7460">
      <w:pPr>
        <w:pStyle w:val="Testonotaapidipagina"/>
      </w:pPr>
      <w:r>
        <w:rPr>
          <w:rStyle w:val="Rimandonotaapidipagina"/>
        </w:rPr>
        <w:footnoteRef/>
      </w:r>
      <w:r>
        <w:t xml:space="preserve"> Riferita talvolta a Benvenuto Griziotti e alla c.d. “scuola di Pavia”. </w:t>
      </w:r>
    </w:p>
  </w:footnote>
  <w:footnote w:id="351">
    <w:p w14:paraId="6BAD32D0" w14:textId="07909849" w:rsidR="003B7460" w:rsidRPr="007F7EBF" w:rsidRDefault="003B7460">
      <w:pPr>
        <w:pStyle w:val="Testonotaapidipagina"/>
      </w:pPr>
      <w:r w:rsidRPr="007F7EBF">
        <w:rPr>
          <w:rStyle w:val="Rimandonotaapidipagina"/>
        </w:rPr>
        <w:footnoteRef/>
      </w:r>
      <w:r w:rsidRPr="007F7EBF">
        <w:t xml:space="preserve"> ) Si tratta di un comportamento previsionale comune a tutti i settori del diritto</w:t>
      </w:r>
      <w:r>
        <w:t xml:space="preserve">, quando si trattano affari di un certa importanza, dove già gli accordi privati sono posti in essere con la consapevolezza degli effetti giuridici che ne deriveranno. </w:t>
      </w:r>
    </w:p>
  </w:footnote>
  <w:footnote w:id="352">
    <w:p w14:paraId="262AE928" w14:textId="29C88FE9" w:rsidR="003B7460" w:rsidRDefault="003B7460">
      <w:pPr>
        <w:pStyle w:val="Testonotaapidipagina"/>
      </w:pPr>
      <w:r>
        <w:rPr>
          <w:rStyle w:val="Rimandonotaapidipagina"/>
        </w:rPr>
        <w:footnoteRef/>
      </w:r>
      <w:r>
        <w:t xml:space="preserve"> )Alterazione disapprovata anche nei contesti aziendali come indicato al par.3.8.</w:t>
      </w:r>
    </w:p>
  </w:footnote>
  <w:footnote w:id="353">
    <w:p w14:paraId="6E8346ED" w14:textId="79F65C3A" w:rsidR="003B7460" w:rsidRPr="007F7EBF" w:rsidRDefault="003B7460" w:rsidP="00D40476">
      <w:pPr>
        <w:pStyle w:val="Testonotaapidipagina"/>
      </w:pPr>
      <w:r w:rsidRPr="007F7EBF">
        <w:rPr>
          <w:rStyle w:val="Rimandonotaapidipagina"/>
        </w:rPr>
        <w:footnoteRef/>
      </w:r>
      <w:r w:rsidRPr="007F7EBF">
        <w:t xml:space="preserve"> ) </w:t>
      </w:r>
      <w:r>
        <w:t xml:space="preserve">Si pensi alla complessiva situazione reddituale del soggetto, alle sue controparti, agli eventi futuri etc., secondo le “simmetrie fiscali” di cui </w:t>
      </w:r>
      <w:r w:rsidRPr="007F7EBF">
        <w:t>al par.3.12.</w:t>
      </w:r>
    </w:p>
  </w:footnote>
  <w:footnote w:id="354">
    <w:p w14:paraId="180D915D" w14:textId="77777777" w:rsidR="003B7460" w:rsidRDefault="003B7460">
      <w:pPr>
        <w:pStyle w:val="Testonotaapidipagina"/>
      </w:pPr>
      <w:r>
        <w:rPr>
          <w:rStyle w:val="Rimandonotaapidipagina"/>
        </w:rPr>
        <w:footnoteRef/>
      </w:r>
      <w:r>
        <w:t xml:space="preserve"> ) Nel senso che il risparmio di imposte non è certo un punto di forza a  sostegno a una certa interpretazione, anzi ne è un punto di debolezza, indebolendone la genuinità, legittimando il sospetto che sia sostenuta per convenienza, mentre l’interpretazione, in quanto tale, si legittima proprio in quanto imparziale, come indichiamo nel testo.</w:t>
      </w:r>
    </w:p>
  </w:footnote>
  <w:footnote w:id="355">
    <w:p w14:paraId="5B8E4A0A" w14:textId="2E2C1942" w:rsidR="003B7460" w:rsidRPr="007F7EBF" w:rsidRDefault="003B7460" w:rsidP="0052791A">
      <w:pPr>
        <w:pStyle w:val="Testonotaapidipagina"/>
      </w:pPr>
      <w:r w:rsidRPr="007F7EBF">
        <w:rPr>
          <w:rStyle w:val="Rimandonotaapidipagina"/>
        </w:rPr>
        <w:footnoteRef/>
      </w:r>
      <w:r w:rsidRPr="007F7EBF">
        <w:t xml:space="preserve"> ) </w:t>
      </w:r>
      <w:r>
        <w:t>La pubblica opinione, istintivamente, quando parla di evasione, pensa a eventi non registrati o altre alterazioni della realtà materiale</w:t>
      </w:r>
      <w:r w:rsidRPr="007F7EBF">
        <w:t>.</w:t>
      </w:r>
    </w:p>
  </w:footnote>
  <w:footnote w:id="356">
    <w:p w14:paraId="7CBB56BE" w14:textId="4D2F473B" w:rsidR="003B7460" w:rsidRPr="007F7EBF" w:rsidRDefault="003B7460" w:rsidP="005232D1">
      <w:pPr>
        <w:pStyle w:val="Testonotaapidipagina"/>
      </w:pPr>
      <w:r w:rsidRPr="007F7EBF">
        <w:rPr>
          <w:rStyle w:val="Rimandonotaapidipagina"/>
        </w:rPr>
        <w:footnoteRef/>
      </w:r>
      <w:r w:rsidRPr="007F7EBF">
        <w:t xml:space="preserve"> ) </w:t>
      </w:r>
      <w:r>
        <w:t>Questo anche quando tale inquadramento comporta</w:t>
      </w:r>
      <w:r w:rsidRPr="007F7EBF">
        <w:t xml:space="preserve"> l'omessa </w:t>
      </w:r>
      <w:r>
        <w:t>dichiarazione, ritenuta non dovuta in base all’</w:t>
      </w:r>
      <w:r w:rsidRPr="007F7EBF">
        <w:t>interpretazione adottata. Ad esempio, se si ritiene di non essere soggetti  passivi IVA, non si effettua la fatturazione, se si ritiene di essere residenti all'estero non si presenta la dichiarazione</w:t>
      </w:r>
      <w:r>
        <w:t xml:space="preserve"> (par.7.19)</w:t>
      </w:r>
      <w:r w:rsidRPr="007F7EBF">
        <w:t xml:space="preserve">. </w:t>
      </w:r>
    </w:p>
  </w:footnote>
  <w:footnote w:id="357">
    <w:p w14:paraId="40D0D39C" w14:textId="77777777" w:rsidR="003B7460" w:rsidRPr="007F7EBF" w:rsidRDefault="003B7460" w:rsidP="003106D5">
      <w:pPr>
        <w:pStyle w:val="Testonotaapidipagina"/>
      </w:pPr>
      <w:r w:rsidRPr="007F7EBF">
        <w:rPr>
          <w:rStyle w:val="Rimandonotaapidipagina"/>
        </w:rPr>
        <w:footnoteRef/>
      </w:r>
      <w:r w:rsidRPr="007F7EBF">
        <w:t xml:space="preserve"> </w:t>
      </w:r>
      <w:r w:rsidRPr="007F7EBF">
        <w:rPr>
          <w:sz w:val="22"/>
          <w:szCs w:val="22"/>
        </w:rPr>
        <w:t>Torneremo al par.5.18 su altri esempi di queste contestazioni inutili e sui motivi che, nel pubblico dibattito, le innescano</w:t>
      </w:r>
      <w:r w:rsidRPr="007F7EBF">
        <w:t xml:space="preserve">. </w:t>
      </w:r>
    </w:p>
  </w:footnote>
  <w:footnote w:id="358">
    <w:p w14:paraId="0824243C" w14:textId="01E3E319" w:rsidR="003B7460" w:rsidRPr="007F7EBF" w:rsidRDefault="003B7460" w:rsidP="00DE6E01">
      <w:pPr>
        <w:pStyle w:val="Testonotaapidipagina"/>
      </w:pPr>
      <w:r w:rsidRPr="007F7EBF">
        <w:rPr>
          <w:rStyle w:val="Rimandonotaapidipagina"/>
        </w:rPr>
        <w:footnoteRef/>
      </w:r>
      <w:r w:rsidRPr="007F7EBF">
        <w:t xml:space="preserve"> ) </w:t>
      </w:r>
      <w:r>
        <w:t>I Grandi contribuenti sono</w:t>
      </w:r>
      <w:r w:rsidRPr="007F7EBF">
        <w:t xml:space="preserve"> poch</w:t>
      </w:r>
      <w:r>
        <w:t>e migliaia</w:t>
      </w:r>
      <w:r w:rsidRPr="007F7EBF">
        <w:t xml:space="preserve">, ma assorbono </w:t>
      </w:r>
      <w:r>
        <w:t xml:space="preserve">gran parte delle </w:t>
      </w:r>
      <w:r w:rsidRPr="007F7EBF">
        <w:t xml:space="preserve"> energie amministrative (si veda il par.5.17 ss., nonché  il paragrafo 5.2, sulla geografia dei controlli tributari).. </w:t>
      </w:r>
    </w:p>
  </w:footnote>
  <w:footnote w:id="359">
    <w:p w14:paraId="50373913" w14:textId="16E7D281" w:rsidR="003B7460" w:rsidRDefault="003B7460" w:rsidP="00BB10F4">
      <w:pPr>
        <w:pStyle w:val="Testonotaapidipagina"/>
      </w:pPr>
      <w:r>
        <w:rPr>
          <w:rStyle w:val="Rimandonotaapidipagina"/>
        </w:rPr>
        <w:footnoteRef/>
      </w:r>
      <w:r>
        <w:t xml:space="preserve"> ). Nell’espressione “abuso del diritto”, si sottintende il diritto nel senso “oggettivo”, cioè sistema di regole di cui viene fatto un uso distorto e che in questo senso viene </w:t>
      </w:r>
      <w:r w:rsidRPr="0021025A">
        <w:rPr>
          <w:i/>
          <w:iCs/>
        </w:rPr>
        <w:t>aggirato</w:t>
      </w:r>
      <w:r>
        <w:t xml:space="preserve"> (frode alla legge).</w:t>
      </w:r>
    </w:p>
  </w:footnote>
  <w:footnote w:id="360">
    <w:p w14:paraId="719571A1" w14:textId="2D624019" w:rsidR="003B7460" w:rsidRPr="007F7EBF" w:rsidRDefault="003B7460" w:rsidP="00BB10F4">
      <w:pPr>
        <w:pStyle w:val="Testonotaapidipagina"/>
      </w:pPr>
      <w:r w:rsidRPr="007F7EBF">
        <w:rPr>
          <w:rStyle w:val="Rimandonotaapidipagina"/>
        </w:rPr>
        <w:footnoteRef/>
      </w:r>
      <w:r w:rsidRPr="007F7EBF">
        <w:t xml:space="preserve"> </w:t>
      </w:r>
      <w:r>
        <w:t xml:space="preserve">) </w:t>
      </w:r>
      <w:r w:rsidRPr="007F7EBF">
        <w:t>L’etimologia dell’elusione (da "</w:t>
      </w:r>
      <w:proofErr w:type="spellStart"/>
      <w:r w:rsidRPr="007F7EBF">
        <w:t>ludus</w:t>
      </w:r>
      <w:proofErr w:type="spellEnd"/>
      <w:r w:rsidRPr="007F7EBF">
        <w:t>"- gioco) è proprio quella di “prendersi gioco” dello spirito del sistema, con uno stratagemma formalmente rispettoso delle regole, come nella leggenda del Ponte di San Colombano, costruito dal Diavolo a patto di avere in suo potere il primo essere vivente che ci fosse passato sopra: l’astuto monaco irlandese fece transitare sul ponte un cane rabbioso, cosicché Belzebù dovette tornarsene all’inferno con le pive nel sacco. Se il patto avesse parlato dell’anima del primo essere vivente, il Diavolo avrebbe potuto eccepire che il cane è privo di anima, contrastandone l’elusione in via interpretativa</w:t>
      </w:r>
      <w:r>
        <w:t xml:space="preserve"> (si ritrova qui l’inadeguatezza nella costruzione normativa indicata nel testo)</w:t>
      </w:r>
      <w:r w:rsidRPr="007F7EBF">
        <w:t xml:space="preserve">.  </w:t>
      </w:r>
    </w:p>
  </w:footnote>
  <w:footnote w:id="361">
    <w:p w14:paraId="3FA94A75" w14:textId="0DAD15CD" w:rsidR="003B7460" w:rsidRDefault="003B7460">
      <w:pPr>
        <w:pStyle w:val="Testonotaapidipagina"/>
      </w:pPr>
      <w:r>
        <w:rPr>
          <w:rStyle w:val="Rimandonotaapidipagina"/>
        </w:rPr>
        <w:footnoteRef/>
      </w:r>
      <w:r>
        <w:t xml:space="preserve"> ) L</w:t>
      </w:r>
      <w:r w:rsidRPr="007F7EBF">
        <w:t>’espressione “</w:t>
      </w:r>
      <w:proofErr w:type="spellStart"/>
      <w:r w:rsidRPr="007F7EBF">
        <w:t>circumvenit</w:t>
      </w:r>
      <w:proofErr w:type="spellEnd"/>
      <w:r w:rsidRPr="007F7EBF">
        <w:t>” anticipa il concetto di “aggiramento” presente per molto tempo nella nostra legislazione antielusiva di cui all’art. 37-bis d.P.R. 600</w:t>
      </w:r>
      <w:r>
        <w:t>.</w:t>
      </w:r>
    </w:p>
  </w:footnote>
  <w:footnote w:id="362">
    <w:p w14:paraId="5CBF4B6C" w14:textId="77777777" w:rsidR="003B7460" w:rsidRPr="007F7EBF" w:rsidRDefault="003B7460" w:rsidP="00AA3F4D">
      <w:pPr>
        <w:pStyle w:val="Testonotaapidipagina"/>
      </w:pPr>
      <w:r w:rsidRPr="007F7EBF">
        <w:rPr>
          <w:rStyle w:val="Rimandonotaapidipagina"/>
        </w:rPr>
        <w:footnoteRef/>
      </w:r>
      <w:r w:rsidRPr="007F7EBF">
        <w:t xml:space="preserve"> ) </w:t>
      </w:r>
      <w:r>
        <w:t>Dapprima si è trattato di una clausola generale applicabile ad ampie tipologie di operazioni societarie, iniziando dall’art.10 della legge 408 del 1990, sostituito dall’</w:t>
      </w:r>
      <w:r w:rsidRPr="007F7EBF">
        <w:t>articolo 37 bis del decreto sull’accertamento delle imposte sui redditi, poi riformulato e collocato nello statuto del contribuente (par.2.1) co</w:t>
      </w:r>
      <w:r>
        <w:t>me articolo</w:t>
      </w:r>
      <w:r w:rsidRPr="007F7EBF">
        <w:t xml:space="preserve"> 10 bis. </w:t>
      </w:r>
    </w:p>
  </w:footnote>
  <w:footnote w:id="363">
    <w:p w14:paraId="31BD4587" w14:textId="43CEF464" w:rsidR="003B7460" w:rsidRDefault="003B7460" w:rsidP="00AA3F4D">
      <w:pPr>
        <w:pStyle w:val="Testonotaapidipagina"/>
      </w:pPr>
      <w:r>
        <w:rPr>
          <w:rStyle w:val="Rimandonotaapidipagina"/>
        </w:rPr>
        <w:footnoteRef/>
      </w:r>
      <w:r>
        <w:t xml:space="preserve"> ) Si tratta di sentenze intervenute nel 2008 su operazioni del 1992, formalmente estranee alla sfera applicativa delle regole antielusive allora vigenti. </w:t>
      </w:r>
    </w:p>
  </w:footnote>
  <w:footnote w:id="364">
    <w:p w14:paraId="0FD1445A" w14:textId="58588C38" w:rsidR="003B7460" w:rsidRPr="007F7EBF" w:rsidRDefault="003B7460" w:rsidP="00AE4C73">
      <w:pPr>
        <w:pStyle w:val="Testonotaapidipagina"/>
        <w:rPr>
          <w:i/>
        </w:rPr>
      </w:pPr>
      <w:r w:rsidRPr="007F7EBF">
        <w:rPr>
          <w:rStyle w:val="Rimandonotaapidipagina"/>
        </w:rPr>
        <w:footnoteRef/>
      </w:r>
      <w:r w:rsidRPr="007F7EBF">
        <w:t xml:space="preserve"> ) E’ un po’ come se tutte le soluzioni interpretative più vantaggiose per il contribuente fossero utilizzabili “sotto condizione” di esservi forzati da motivazioni extratributarie. </w:t>
      </w:r>
      <w:r>
        <w:t xml:space="preserve">Scatta così il </w:t>
      </w:r>
      <w:r w:rsidRPr="007F7EBF">
        <w:t xml:space="preserve">paradosso </w:t>
      </w:r>
      <w:r>
        <w:t xml:space="preserve">del romanzo surreale </w:t>
      </w:r>
      <w:r w:rsidRPr="007F7EBF">
        <w:t xml:space="preserve"> </w:t>
      </w:r>
      <w:r>
        <w:t>americano C</w:t>
      </w:r>
      <w:r w:rsidRPr="007F7EBF">
        <w:t xml:space="preserve">omma 22 </w:t>
      </w:r>
      <w:r>
        <w:t xml:space="preserve">, </w:t>
      </w:r>
      <w:r w:rsidRPr="007F7EBF">
        <w:rPr>
          <w:i/>
        </w:rPr>
        <w:t>i pazzi possono chiedere di essere esentati dalle missioni pericolose, ma chi chiede di essere esentato dalle missioni pericolose non è pazzo.</w:t>
      </w:r>
      <w:r>
        <w:rPr>
          <w:i/>
        </w:rPr>
        <w:t xml:space="preserve"> </w:t>
      </w:r>
      <w:r>
        <w:t xml:space="preserve">Riferito all’elusione suonerebbe “il contribuente ha diritto di usare il regime fiscale più vantaggioso tra quelli che l’ordinamento gli offre, ma se lo fa elude, salve ineffabili ragioni economiche”.  </w:t>
      </w:r>
    </w:p>
  </w:footnote>
  <w:footnote w:id="365">
    <w:p w14:paraId="099C338A" w14:textId="2D5A9965" w:rsidR="003B7460" w:rsidRPr="007F7EBF" w:rsidRDefault="003B7460" w:rsidP="00386B82">
      <w:pPr>
        <w:pStyle w:val="Testonotaapidipagina"/>
      </w:pPr>
      <w:r w:rsidRPr="007F7EBF">
        <w:rPr>
          <w:rStyle w:val="Rimandonotaapidipagina"/>
        </w:rPr>
        <w:footnoteRef/>
      </w:r>
      <w:r>
        <w:t>)</w:t>
      </w:r>
      <w:r w:rsidRPr="007F7EBF">
        <w:t xml:space="preserve">  </w:t>
      </w:r>
      <w:r>
        <w:t xml:space="preserve">L’ufficio tributario può sempre alludere facilmente, vista la complessità delle vicende economiche sottostanti, a </w:t>
      </w:r>
      <w:r w:rsidRPr="007F7EBF">
        <w:t>modi per realizzare l'obiettivo anche senza il vantaggio tributario.</w:t>
      </w:r>
    </w:p>
  </w:footnote>
  <w:footnote w:id="366">
    <w:p w14:paraId="2B33C5E4" w14:textId="7CBA0B2F" w:rsidR="003B7460" w:rsidRPr="007F7EBF" w:rsidRDefault="003B7460" w:rsidP="009051AE">
      <w:pPr>
        <w:pStyle w:val="Testonotaapidipagina"/>
      </w:pPr>
      <w:r w:rsidRPr="007F7EBF">
        <w:rPr>
          <w:rStyle w:val="Rimandonotaapidipagina"/>
        </w:rPr>
        <w:footnoteRef/>
      </w:r>
      <w:r w:rsidRPr="007F7EBF">
        <w:t xml:space="preserve"> ) S</w:t>
      </w:r>
      <w:r>
        <w:t xml:space="preserve">pesso, per limitare a priori espedienti elusivi, la legislazione subordina a rigide condizioni “di genuinità” determinati meccanismi di determinazione degli imponibili, ad esempio sul </w:t>
      </w:r>
      <w:r w:rsidRPr="007F7EBF">
        <w:t xml:space="preserve">coordinamento tra tassazione di soci e società (par.7.17), sulla deduzione degli interessi passivi (par.7.10), oppure  </w:t>
      </w:r>
      <w:r>
        <w:t>sul</w:t>
      </w:r>
      <w:r w:rsidRPr="007F7EBF">
        <w:t xml:space="preserve"> riporto delle perdite in caso di fusione o altre opera</w:t>
      </w:r>
      <w:r>
        <w:t>zi</w:t>
      </w:r>
      <w:r w:rsidRPr="007F7EBF">
        <w:t>o</w:t>
      </w:r>
      <w:r>
        <w:t>ni</w:t>
      </w:r>
      <w:r w:rsidRPr="007F7EBF">
        <w:t xml:space="preserve"> straordinarie (par.7.20). </w:t>
      </w:r>
      <w:r>
        <w:t xml:space="preserve">Il contribuente può dimostrare l’assenza, in concreto, dei vantaggi fiscali indebiti e quindi evitare le suddette penalizzazioni, che li presupponevano in astratto. </w:t>
      </w:r>
    </w:p>
  </w:footnote>
  <w:footnote w:id="367">
    <w:p w14:paraId="080A7DDF" w14:textId="4A5BE6C4" w:rsidR="003B7460" w:rsidRPr="007F7EBF" w:rsidRDefault="003B7460" w:rsidP="00BD15C1">
      <w:pPr>
        <w:pStyle w:val="Testonotaapidipagina"/>
      </w:pPr>
      <w:r w:rsidRPr="007F7EBF">
        <w:rPr>
          <w:rStyle w:val="Rimandonotaapidipagina"/>
        </w:rPr>
        <w:footnoteRef/>
      </w:r>
      <w:r w:rsidRPr="007F7EBF">
        <w:t xml:space="preserve"> ) Il “nero” in questi casi c’è già stato perché la ricchezza è già stata sottratta al fisco; essa però è ancora nella disponibilità dell’azienda per eventuali operazioni "sotto copertura" a partire da</w:t>
      </w:r>
      <w:r>
        <w:t>i già indicati “fuori busta” ai dipendenti, fino ai prelievi da parte de titolare.</w:t>
      </w:r>
    </w:p>
  </w:footnote>
  <w:footnote w:id="368">
    <w:p w14:paraId="158B79A1" w14:textId="77777777" w:rsidR="003B7460" w:rsidRPr="007F7EBF" w:rsidRDefault="003B7460" w:rsidP="00BD15C1">
      <w:pPr>
        <w:pStyle w:val="Testonotaapidipagina"/>
      </w:pPr>
      <w:r w:rsidRPr="007F7EBF">
        <w:rPr>
          <w:rStyle w:val="Rimandonotaapidipagina"/>
        </w:rPr>
        <w:footnoteRef/>
      </w:r>
      <w:r w:rsidRPr="007F7EBF">
        <w:t xml:space="preserve"> ) </w:t>
      </w:r>
      <w:r>
        <w:t xml:space="preserve">Per questo spesso molti interpongono un finanziamento bancario, magari garantito dalle risorse in precedenza evase. </w:t>
      </w:r>
      <w:r w:rsidRPr="007F7EBF">
        <w:t xml:space="preserve"> </w:t>
      </w:r>
    </w:p>
  </w:footnote>
  <w:footnote w:id="369">
    <w:p w14:paraId="48BA79B5" w14:textId="5992E951" w:rsidR="003B7460" w:rsidRPr="007F7EBF" w:rsidRDefault="003B7460">
      <w:pPr>
        <w:pStyle w:val="Testonotaapidipagina"/>
      </w:pPr>
      <w:r w:rsidRPr="007F7EBF">
        <w:rPr>
          <w:rStyle w:val="Rimandonotaapidipagina"/>
        </w:rPr>
        <w:footnoteRef/>
      </w:r>
      <w:r w:rsidRPr="007F7EBF">
        <w:t xml:space="preserve"> </w:t>
      </w:r>
      <w:r>
        <w:t xml:space="preserve">) </w:t>
      </w:r>
      <w:r>
        <w:rPr>
          <w:sz w:val="22"/>
          <w:szCs w:val="22"/>
        </w:rPr>
        <w:t xml:space="preserve">Ciò non solo e non tanto per </w:t>
      </w:r>
      <w:r w:rsidRPr="007F7EBF">
        <w:rPr>
          <w:sz w:val="22"/>
          <w:szCs w:val="22"/>
        </w:rPr>
        <w:t xml:space="preserve">l'uso di "paradisi fiscali" , ma </w:t>
      </w:r>
      <w:r>
        <w:rPr>
          <w:sz w:val="22"/>
          <w:szCs w:val="22"/>
        </w:rPr>
        <w:t>anche per la</w:t>
      </w:r>
      <w:r w:rsidRPr="007F7EBF">
        <w:rPr>
          <w:sz w:val="22"/>
          <w:szCs w:val="22"/>
        </w:rPr>
        <w:t xml:space="preserve"> normale tendenza degli stati </w:t>
      </w:r>
      <w:r>
        <w:rPr>
          <w:sz w:val="22"/>
          <w:szCs w:val="22"/>
        </w:rPr>
        <w:t>ad esercitare in via esclusiva l</w:t>
      </w:r>
      <w:r w:rsidRPr="007F7EBF">
        <w:rPr>
          <w:sz w:val="22"/>
          <w:szCs w:val="22"/>
        </w:rPr>
        <w:t>a sovranità</w:t>
      </w:r>
      <w:r>
        <w:rPr>
          <w:sz w:val="22"/>
          <w:szCs w:val="22"/>
        </w:rPr>
        <w:t xml:space="preserve"> tributaria nel proprio territorio, attraendo in esso ricchezza. </w:t>
      </w:r>
      <w:r w:rsidRPr="007F7EBF">
        <w:t xml:space="preserve">Il trasferimento all’estero della ricchezza evasa in un altro paese è gradito al paese in cui viene trasferita. </w:t>
      </w:r>
    </w:p>
  </w:footnote>
  <w:footnote w:id="370">
    <w:p w14:paraId="4AF4CA67" w14:textId="2E750189" w:rsidR="003B7460" w:rsidRPr="007F7EBF" w:rsidRDefault="003B7460" w:rsidP="00A16E1E">
      <w:pPr>
        <w:pStyle w:val="Testonotaapidipagina"/>
      </w:pPr>
      <w:r w:rsidRPr="007F7EBF">
        <w:rPr>
          <w:rStyle w:val="Rimandonotaapidipagina"/>
        </w:rPr>
        <w:footnoteRef/>
      </w:r>
      <w:r w:rsidRPr="007F7EBF">
        <w:t xml:space="preserve"> ) S</w:t>
      </w:r>
      <w:r>
        <w:t>i tratta della fatturazione estera di ricavi effettivi, o della fatturazione dall’estero di costi fittizi o gonfiati, s</w:t>
      </w:r>
      <w:r w:rsidRPr="007F7EBF">
        <w:t xml:space="preserve">econdo le metafore di cui al par.3.7 e 3.13, </w:t>
      </w:r>
      <w:r>
        <w:t xml:space="preserve">sulla </w:t>
      </w:r>
      <w:r w:rsidRPr="007F7EBF">
        <w:t xml:space="preserve">ricchezza tolta </w:t>
      </w:r>
      <w:r>
        <w:t>“</w:t>
      </w:r>
      <w:r w:rsidRPr="007F7EBF">
        <w:t>da sopra</w:t>
      </w:r>
      <w:r>
        <w:t xml:space="preserve">” </w:t>
      </w:r>
      <w:r w:rsidRPr="007F7EBF">
        <w:t xml:space="preserve">o </w:t>
      </w:r>
      <w:r>
        <w:t>“</w:t>
      </w:r>
      <w:r w:rsidRPr="007F7EBF">
        <w:t>da sotto</w:t>
      </w:r>
      <w:r>
        <w:t>”</w:t>
      </w:r>
      <w:r w:rsidRPr="007F7EBF">
        <w:t xml:space="preserve">. </w:t>
      </w:r>
    </w:p>
  </w:footnote>
  <w:footnote w:id="371">
    <w:p w14:paraId="14F67009" w14:textId="77777777" w:rsidR="003B7460" w:rsidRPr="007F7EBF" w:rsidRDefault="003B7460" w:rsidP="00C8366A">
      <w:pPr>
        <w:pStyle w:val="Testonotaapidipagina"/>
      </w:pPr>
      <w:r w:rsidRPr="007F7EBF">
        <w:rPr>
          <w:rStyle w:val="Rimandonotaapidipagina"/>
        </w:rPr>
        <w:footnoteRef/>
      </w:r>
      <w:r w:rsidRPr="007F7EBF">
        <w:t xml:space="preserve"> ) Dal lato dei costi abbiamo la sovrafatturazione degli acquisti, in genere verso società estere facenti capo, nell’ombra, al titolare dell’azienda italiana acquirente, come rilevato al par.3.7 sul “cinese finto”. Dal lato dei ricavi avremmo analoga società estera con cui tratterebbero  i clienti esteri, e cui la società italiana venderebbe a prezzo inferiore, tenendo all'estero margini di guadagno. In entrambi i casi le somme accumulate nella società estera interposta sarebbero poi a disposizione del titolare o di chi per lui; non c'è </w:t>
      </w:r>
      <w:r w:rsidRPr="007F7EBF">
        <w:rPr>
          <w:bCs/>
        </w:rPr>
        <w:t>quindi una ricchezza evasa e poi "portata all'estero", in un momento successivo, ma una ricchezza che si forma direttamente all'estero nel momento stesso dell'evasione, nei modi indicati sopra e nel testo.</w:t>
      </w:r>
    </w:p>
  </w:footnote>
  <w:footnote w:id="372">
    <w:p w14:paraId="42BA0FD7" w14:textId="04EF76B6" w:rsidR="003B7460" w:rsidRPr="007F7EBF" w:rsidRDefault="003B7460" w:rsidP="00F926C7">
      <w:pPr>
        <w:pStyle w:val="Testonotaapidipagina"/>
      </w:pPr>
      <w:r w:rsidRPr="007F7EBF">
        <w:rPr>
          <w:rStyle w:val="Rimandonotaapidipagina"/>
        </w:rPr>
        <w:footnoteRef/>
      </w:r>
      <w:r>
        <w:t>)</w:t>
      </w:r>
      <w:r w:rsidRPr="007F7EBF">
        <w:t xml:space="preserve"> Ne deriva cioè l'occultamento al fisco di redditi a fronte della formazione di capitali all'estero.</w:t>
      </w:r>
      <w:r w:rsidRPr="007F7EBF">
        <w:rPr>
          <w:bCs/>
        </w:rPr>
        <w:t xml:space="preserve"> Ripetiamo che il caso principale </w:t>
      </w:r>
      <w:r w:rsidRPr="007F7EBF">
        <w:t xml:space="preserve">riguarda varie forme di interposizione di </w:t>
      </w:r>
      <w:r w:rsidRPr="007F7EBF">
        <w:rPr>
          <w:bCs/>
        </w:rPr>
        <w:t xml:space="preserve">società estere, di diritto o di fatto </w:t>
      </w:r>
      <w:r w:rsidRPr="007F7EBF">
        <w:t>riconducibili al titolare dell’azienda italiana controparte, sulle quali "stornare" parte dei redditi, sottraendoli al fisco.</w:t>
      </w:r>
    </w:p>
  </w:footnote>
  <w:footnote w:id="373">
    <w:p w14:paraId="0EF354EC" w14:textId="77777777" w:rsidR="003B7460" w:rsidRPr="007F7EBF" w:rsidRDefault="003B7460" w:rsidP="00B021AB">
      <w:pPr>
        <w:pStyle w:val="Testonotaapidipagina"/>
      </w:pPr>
      <w:r w:rsidRPr="007F7EBF">
        <w:rPr>
          <w:rStyle w:val="Rimandonotaapidipagina"/>
        </w:rPr>
        <w:footnoteRef/>
      </w:r>
      <w:r w:rsidRPr="007F7EBF">
        <w:t xml:space="preserve"> Come ancora sensazionalisticamente mostrano i servizi di tanti talk show. </w:t>
      </w:r>
    </w:p>
  </w:footnote>
  <w:footnote w:id="374">
    <w:p w14:paraId="2F1FD113" w14:textId="25B1EF46" w:rsidR="003B7460" w:rsidRPr="007F7EBF" w:rsidRDefault="003B7460" w:rsidP="00A17AB0">
      <w:pPr>
        <w:pStyle w:val="Testonotaapidipagina"/>
      </w:pPr>
      <w:r w:rsidRPr="007F7EBF">
        <w:rPr>
          <w:rStyle w:val="Rimandonotaapidipagina"/>
        </w:rPr>
        <w:footnoteRef/>
      </w:r>
      <w:r w:rsidRPr="007F7EBF">
        <w:t xml:space="preserve"> ) </w:t>
      </w:r>
      <w:r>
        <w:t xml:space="preserve">I costi sono indizio di ricavi anche per attività di servizi o di trasformazione: se ad esempio </w:t>
      </w:r>
      <w:r w:rsidRPr="007F7EBF">
        <w:t xml:space="preserve">la farina e lo zucchero di una fabbrica di biscotti sono acquistati “in bianco”, senza però adeguati corrispondenti ricavi, l’istintiva spiegazione sono vendite non registrate.  </w:t>
      </w:r>
    </w:p>
  </w:footnote>
  <w:footnote w:id="375">
    <w:p w14:paraId="6E19D5AA" w14:textId="77777777" w:rsidR="003B7460" w:rsidRPr="007F7EBF" w:rsidRDefault="003B7460" w:rsidP="00A17AB0">
      <w:pPr>
        <w:pStyle w:val="Testonotaapidipagina"/>
      </w:pPr>
      <w:r w:rsidRPr="007F7EBF">
        <w:rPr>
          <w:rStyle w:val="Rimandonotaapidipagina"/>
        </w:rPr>
        <w:footnoteRef/>
      </w:r>
      <w:r w:rsidRPr="007F7EBF">
        <w:t xml:space="preserve"> In questa misura ha senso la battuta secondo cui "le tasse si pagano sui costi", nel senso che i costi impossibili da nascondere (compensi agli addetti, locazioni, utenze, materie prime visibili) impongono la registrazione di un pari ammontare di ricavi, e sono un indice del valore aggiunto, insomma un elemento di visibilità della ricchezza, propria e altrui. </w:t>
      </w:r>
    </w:p>
  </w:footnote>
  <w:footnote w:id="376">
    <w:p w14:paraId="67893AD1" w14:textId="54440A20" w:rsidR="003B7460" w:rsidRPr="007F7EBF" w:rsidRDefault="003B7460" w:rsidP="008F4029">
      <w:pPr>
        <w:pStyle w:val="Testonotaapidipagina"/>
      </w:pPr>
      <w:r w:rsidRPr="007F7EBF">
        <w:rPr>
          <w:rStyle w:val="Rimandonotaapidipagina"/>
        </w:rPr>
        <w:footnoteRef/>
      </w:r>
      <w:r w:rsidRPr="007F7EBF">
        <w:t xml:space="preserve"> ) </w:t>
      </w:r>
      <w:r>
        <w:t>Cioè “business to business” (b2b) come evidenziato al</w:t>
      </w:r>
      <w:r w:rsidRPr="007F7EBF">
        <w:t xml:space="preserve"> par.1.8</w:t>
      </w:r>
      <w:r>
        <w:t xml:space="preserve">; l’IVA </w:t>
      </w:r>
      <w:r w:rsidRPr="007F7EBF">
        <w:t xml:space="preserve">costituisce </w:t>
      </w:r>
      <w:r>
        <w:t xml:space="preserve">infatti </w:t>
      </w:r>
      <w:r w:rsidRPr="007F7EBF">
        <w:t>un esborso, per il consumatore, cui non corrisponde un ricavo per il fornitore</w:t>
      </w:r>
      <w:r>
        <w:t>, con un</w:t>
      </w:r>
      <w:r w:rsidRPr="007F7EBF">
        <w:t xml:space="preserve"> “cuneo fiscale” </w:t>
      </w:r>
      <w:r>
        <w:t>(infra) i due soggetti</w:t>
      </w:r>
      <w:r w:rsidRPr="007F7EBF">
        <w:t xml:space="preserve">. </w:t>
      </w:r>
    </w:p>
  </w:footnote>
  <w:footnote w:id="377">
    <w:p w14:paraId="6AF1654F" w14:textId="5795E78D" w:rsidR="003B7460" w:rsidRPr="007F7EBF" w:rsidRDefault="003B7460">
      <w:pPr>
        <w:pStyle w:val="Testonotaapidipagina"/>
      </w:pPr>
      <w:r w:rsidRPr="007F7EBF">
        <w:rPr>
          <w:rStyle w:val="Rimandonotaapidipagina"/>
        </w:rPr>
        <w:footnoteRef/>
      </w:r>
      <w:r>
        <w:t xml:space="preserve">) </w:t>
      </w:r>
      <w:r w:rsidRPr="007F7EBF">
        <w:t xml:space="preserve"> </w:t>
      </w:r>
      <w:r>
        <w:t xml:space="preserve">Qualcuno registrava fatture fittizie </w:t>
      </w:r>
      <w:r w:rsidRPr="007F7EBF">
        <w:t>“ai soli fini IVA”, storn</w:t>
      </w:r>
      <w:r>
        <w:t xml:space="preserve">andole poi </w:t>
      </w:r>
      <w:r w:rsidRPr="007F7EBF">
        <w:t>ai fini del reddito</w:t>
      </w:r>
      <w:r>
        <w:t xml:space="preserve">, comunque ridotto per via dei </w:t>
      </w:r>
      <w:r w:rsidRPr="007F7EBF">
        <w:t xml:space="preserve">costi “fuori IVA”, come i già indicati stipendi,  interessi passivi </w:t>
      </w:r>
      <w:proofErr w:type="spellStart"/>
      <w:r w:rsidRPr="007F7EBF">
        <w:t>etc</w:t>
      </w:r>
      <w:proofErr w:type="spellEnd"/>
    </w:p>
  </w:footnote>
  <w:footnote w:id="378">
    <w:p w14:paraId="09A68382" w14:textId="71B92126" w:rsidR="003B7460" w:rsidRPr="007F7EBF" w:rsidRDefault="003B7460" w:rsidP="006A22F0">
      <w:pPr>
        <w:pStyle w:val="Testonotaapidipagina"/>
      </w:pPr>
      <w:r w:rsidRPr="007F7EBF">
        <w:rPr>
          <w:rStyle w:val="Rimandonotaapidipagina"/>
        </w:rPr>
        <w:footnoteRef/>
      </w:r>
      <w:r w:rsidRPr="007F7EBF">
        <w:t xml:space="preserve"> </w:t>
      </w:r>
      <w:r>
        <w:t>) I</w:t>
      </w:r>
      <w:r w:rsidRPr="007F7EBF">
        <w:t xml:space="preserve">l fornitore </w:t>
      </w:r>
      <w:r>
        <w:t xml:space="preserve">deve quindi in questi casi </w:t>
      </w:r>
      <w:r w:rsidRPr="007F7EBF">
        <w:t>emettere fattura</w:t>
      </w:r>
      <w:r>
        <w:t xml:space="preserve">, la cui mancata registrazione da parte dell’emittente rischia di essere individuata per </w:t>
      </w:r>
      <w:r w:rsidRPr="007F7EBF">
        <w:t xml:space="preserve">le segnalazioni </w:t>
      </w:r>
      <w:r>
        <w:t>del cliente</w:t>
      </w:r>
      <w:r w:rsidRPr="007F7EBF">
        <w:t xml:space="preserve">. </w:t>
      </w:r>
    </w:p>
  </w:footnote>
  <w:footnote w:id="379">
    <w:p w14:paraId="7A085B61" w14:textId="77777777" w:rsidR="003B7460" w:rsidRPr="007F7EBF" w:rsidRDefault="003B7460" w:rsidP="00AB6E49">
      <w:pPr>
        <w:pStyle w:val="Testonotaapidipagina"/>
      </w:pPr>
      <w:r w:rsidRPr="007F7EBF">
        <w:rPr>
          <w:rStyle w:val="Rimandonotaapidipagina"/>
        </w:rPr>
        <w:footnoteRef/>
      </w:r>
      <w:r w:rsidRPr="007F7EBF">
        <w:t xml:space="preserve"> ) Cioè, secondo le formule indicate al par.3.7 “togliendo ricchezza da sotto”.</w:t>
      </w:r>
    </w:p>
  </w:footnote>
  <w:footnote w:id="380">
    <w:p w14:paraId="766D447B" w14:textId="77777777" w:rsidR="003B7460" w:rsidRPr="007F7EBF" w:rsidRDefault="003B7460" w:rsidP="00731B49">
      <w:pPr>
        <w:autoSpaceDE w:val="0"/>
        <w:autoSpaceDN w:val="0"/>
        <w:adjustRightInd w:val="0"/>
      </w:pPr>
      <w:r w:rsidRPr="007F7EBF">
        <w:rPr>
          <w:rStyle w:val="Rimandonotaapidipagina"/>
          <w:sz w:val="20"/>
          <w:szCs w:val="20"/>
        </w:rPr>
        <w:footnoteRef/>
      </w:r>
      <w:r w:rsidRPr="007F7EBF">
        <w:rPr>
          <w:sz w:val="20"/>
          <w:szCs w:val="20"/>
        </w:rPr>
        <w:t xml:space="preserve"> </w:t>
      </w:r>
      <w:r>
        <w:rPr>
          <w:sz w:val="20"/>
          <w:szCs w:val="20"/>
        </w:rPr>
        <w:t>)</w:t>
      </w:r>
      <w:r w:rsidRPr="00130E61">
        <w:t xml:space="preserve"> </w:t>
      </w:r>
      <w:r>
        <w:t xml:space="preserve">Una deduzione dei consumi si giustifica per motivi sociali o segnaletici “antievasione”, indicati </w:t>
      </w:r>
      <w:r w:rsidRPr="007F7EBF">
        <w:t>al par. 9.3</w:t>
      </w:r>
      <w:r>
        <w:t xml:space="preserve">. </w:t>
      </w:r>
    </w:p>
  </w:footnote>
  <w:footnote w:id="381">
    <w:p w14:paraId="58E928BB" w14:textId="77777777" w:rsidR="003B7460" w:rsidRDefault="003B7460" w:rsidP="00731B49">
      <w:pPr>
        <w:autoSpaceDE w:val="0"/>
        <w:autoSpaceDN w:val="0"/>
        <w:adjustRightInd w:val="0"/>
      </w:pPr>
      <w:r>
        <w:rPr>
          <w:rStyle w:val="Rimandonotaapidipagina"/>
        </w:rPr>
        <w:footnoteRef/>
      </w:r>
      <w:r>
        <w:t xml:space="preserve"> ) Si pensi all’imponibilità di redditi di p</w:t>
      </w:r>
      <w:r w:rsidRPr="007F7EBF">
        <w:rPr>
          <w:sz w:val="22"/>
          <w:szCs w:val="22"/>
        </w:rPr>
        <w:t>ortinai, colf e badanti</w:t>
      </w:r>
      <w:r>
        <w:rPr>
          <w:sz w:val="20"/>
          <w:szCs w:val="20"/>
        </w:rPr>
        <w:t xml:space="preserve">, come pure </w:t>
      </w:r>
      <w:r w:rsidRPr="007F7EBF">
        <w:rPr>
          <w:sz w:val="20"/>
          <w:szCs w:val="20"/>
        </w:rPr>
        <w:t xml:space="preserve"> –su scala molto più ampia – per </w:t>
      </w:r>
      <w:r w:rsidRPr="007F7EBF">
        <w:t>tutti gli stipendi dei pubblici impiegati</w:t>
      </w:r>
      <w:r>
        <w:t xml:space="preserve"> o </w:t>
      </w:r>
      <w:r w:rsidRPr="007F7EBF">
        <w:t>per i canoni delle locazioni abitative</w:t>
      </w:r>
      <w:r>
        <w:t>.</w:t>
      </w:r>
    </w:p>
  </w:footnote>
  <w:footnote w:id="382">
    <w:p w14:paraId="7FF7FF5F" w14:textId="6D676971" w:rsidR="003B7460" w:rsidRDefault="003B7460">
      <w:pPr>
        <w:pStyle w:val="Testonotaapidipagina"/>
      </w:pPr>
      <w:r>
        <w:rPr>
          <w:rStyle w:val="Rimandonotaapidipagina"/>
        </w:rPr>
        <w:footnoteRef/>
      </w:r>
      <w:r>
        <w:t xml:space="preserve"> ) Vedasi ad esempio le plusvalenze dei “privati non imprenditori”, di cui al par.8.6. </w:t>
      </w:r>
    </w:p>
  </w:footnote>
  <w:footnote w:id="383">
    <w:p w14:paraId="06DD6EC9" w14:textId="6488220D" w:rsidR="003B7460" w:rsidRDefault="003B7460">
      <w:pPr>
        <w:pStyle w:val="Testonotaapidipagina"/>
      </w:pPr>
      <w:r>
        <w:rPr>
          <w:rStyle w:val="Rimandonotaapidipagina"/>
        </w:rPr>
        <w:footnoteRef/>
      </w:r>
      <w:r>
        <w:t xml:space="preserve"> ) Il caso è spesso collegato alle convenzioni internazionali contro le doppie imposizioni, che per motivi di semplicità creano le “doppie esenzioni” di cui al par. 7.18. </w:t>
      </w:r>
    </w:p>
  </w:footnote>
  <w:footnote w:id="384">
    <w:p w14:paraId="4E6A6B38" w14:textId="4D2FE494" w:rsidR="003B7460" w:rsidRDefault="003B7460">
      <w:pPr>
        <w:pStyle w:val="Testonotaapidipagina"/>
      </w:pPr>
      <w:r>
        <w:rPr>
          <w:rStyle w:val="Rimandonotaapidipagina"/>
        </w:rPr>
        <w:footnoteRef/>
      </w:r>
      <w:r>
        <w:t xml:space="preserve"> ) </w:t>
      </w:r>
      <w:r>
        <w:rPr>
          <w:sz w:val="22"/>
          <w:szCs w:val="22"/>
        </w:rPr>
        <w:t>Si pensi ad esempio alle mense aziendali o altri benefici collaterali ai redditi di lavoro dipendente par.8.3. Si pensi anche alle deduzio</w:t>
      </w:r>
      <w:r w:rsidRPr="007F7EBF">
        <w:rPr>
          <w:sz w:val="22"/>
          <w:szCs w:val="22"/>
        </w:rPr>
        <w:t xml:space="preserve">ni di costi </w:t>
      </w:r>
      <w:r>
        <w:rPr>
          <w:sz w:val="22"/>
          <w:szCs w:val="22"/>
        </w:rPr>
        <w:t xml:space="preserve">quando la controparte, come appena rilevato sopra per i privati non imprenditori, realizza ricavi </w:t>
      </w:r>
      <w:r w:rsidRPr="007F7EBF">
        <w:rPr>
          <w:sz w:val="22"/>
          <w:szCs w:val="22"/>
        </w:rPr>
        <w:t xml:space="preserve">in tutto o in parte </w:t>
      </w:r>
      <w:r>
        <w:rPr>
          <w:sz w:val="22"/>
          <w:szCs w:val="22"/>
        </w:rPr>
        <w:t xml:space="preserve">non imponibili. </w:t>
      </w:r>
    </w:p>
  </w:footnote>
  <w:footnote w:id="385">
    <w:p w14:paraId="5587636F" w14:textId="4C76B150" w:rsidR="003B7460" w:rsidRDefault="003B7460">
      <w:pPr>
        <w:pStyle w:val="Testonotaapidipagina"/>
      </w:pPr>
      <w:r>
        <w:rPr>
          <w:rStyle w:val="Rimandonotaapidipagina"/>
        </w:rPr>
        <w:footnoteRef/>
      </w:r>
      <w:r>
        <w:t xml:space="preserve"> ) Si pensi al conseguimento diretto del reddito, ovvero attraverso l’interposizione di società o altri enti, nel qual caso scattano i coordinamenti di cui al par.7.17. diretti ad evitare mutamenti di carico tributario. </w:t>
      </w:r>
    </w:p>
  </w:footnote>
  <w:footnote w:id="386">
    <w:p w14:paraId="1FFD83DB" w14:textId="099930D9" w:rsidR="003B7460" w:rsidRPr="007F7EBF" w:rsidRDefault="003B7460">
      <w:pPr>
        <w:pStyle w:val="Testonotaapidipagina"/>
      </w:pPr>
      <w:r w:rsidRPr="007F7EBF">
        <w:rPr>
          <w:rStyle w:val="Rimandonotaapidipagina"/>
        </w:rPr>
        <w:footnoteRef/>
      </w:r>
      <w:r w:rsidRPr="007F7EBF">
        <w:t xml:space="preserve"> ) </w:t>
      </w:r>
      <w:r>
        <w:t>Si pensi all’assoggettamento a “imposte sostitutive volontarie”, con aumento dei valori fiscalmente riconosciuti di riferimento (par.7.13). Vistose a</w:t>
      </w:r>
      <w:r>
        <w:rPr>
          <w:sz w:val="22"/>
          <w:szCs w:val="22"/>
        </w:rPr>
        <w:t xml:space="preserve">simmetrie fiscali sono oggi previste anche in caso di fallimento e procedure assimilate, come indicato al par.7.21. </w:t>
      </w:r>
    </w:p>
  </w:footnote>
  <w:footnote w:id="387">
    <w:p w14:paraId="421B0B4D" w14:textId="3147F063" w:rsidR="003B7460" w:rsidRPr="007F7EBF" w:rsidRDefault="003B7460" w:rsidP="001B3F83">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w:t>
      </w:r>
      <w:r>
        <w:rPr>
          <w:sz w:val="20"/>
          <w:szCs w:val="20"/>
        </w:rPr>
        <w:t xml:space="preserve">Conferme si trovano anche al </w:t>
      </w:r>
      <w:r w:rsidRPr="007F7EBF">
        <w:rPr>
          <w:sz w:val="20"/>
          <w:szCs w:val="20"/>
        </w:rPr>
        <w:t>paragraf</w:t>
      </w:r>
      <w:r>
        <w:rPr>
          <w:sz w:val="20"/>
          <w:szCs w:val="20"/>
        </w:rPr>
        <w:t xml:space="preserve">o </w:t>
      </w:r>
      <w:r w:rsidRPr="007F7EBF">
        <w:rPr>
          <w:sz w:val="20"/>
          <w:szCs w:val="20"/>
        </w:rPr>
        <w:t>7.13</w:t>
      </w:r>
      <w:r>
        <w:rPr>
          <w:sz w:val="20"/>
          <w:szCs w:val="20"/>
        </w:rPr>
        <w:t xml:space="preserve"> sui valori fiscalmente riconosciuti, al par.9.1 </w:t>
      </w:r>
      <w:r w:rsidRPr="007F7EBF">
        <w:rPr>
          <w:sz w:val="20"/>
          <w:szCs w:val="20"/>
        </w:rPr>
        <w:t xml:space="preserve">sul  </w:t>
      </w:r>
      <w:r>
        <w:rPr>
          <w:sz w:val="20"/>
          <w:szCs w:val="20"/>
        </w:rPr>
        <w:t>“riporto delle perdite” e 7.20 sul</w:t>
      </w:r>
      <w:r w:rsidRPr="007F7EBF">
        <w:rPr>
          <w:bCs/>
          <w:sz w:val="20"/>
          <w:szCs w:val="20"/>
        </w:rPr>
        <w:t>le operazioni straordinarie</w:t>
      </w:r>
      <w:r>
        <w:rPr>
          <w:bCs/>
          <w:sz w:val="20"/>
          <w:szCs w:val="20"/>
        </w:rPr>
        <w:t>.</w:t>
      </w:r>
      <w:r w:rsidRPr="007F7EBF">
        <w:rPr>
          <w:sz w:val="20"/>
          <w:szCs w:val="20"/>
        </w:rPr>
        <w:t>.</w:t>
      </w:r>
      <w:r w:rsidRPr="00130E61">
        <w:t xml:space="preserve"> </w:t>
      </w:r>
    </w:p>
  </w:footnote>
  <w:footnote w:id="388">
    <w:p w14:paraId="3ADC27BD" w14:textId="1FF38C36" w:rsidR="003B7460" w:rsidRDefault="003B7460" w:rsidP="00BE35FA">
      <w:pPr>
        <w:pStyle w:val="Testonotaapidipagina"/>
      </w:pPr>
      <w:r>
        <w:rPr>
          <w:rStyle w:val="Rimandonotaapidipagina"/>
        </w:rPr>
        <w:footnoteRef/>
      </w:r>
      <w:r>
        <w:t xml:space="preserve"> </w:t>
      </w:r>
      <w:r w:rsidRPr="007F7EBF">
        <w:t xml:space="preserve">) </w:t>
      </w:r>
      <w:r>
        <w:t>Quando invece  i clienti sono aziende organizzate o enti pubblici, segnalano i fornitori al fisco, nei modi di cui al par.3.6.</w:t>
      </w:r>
    </w:p>
  </w:footnote>
  <w:footnote w:id="389">
    <w:p w14:paraId="5EB77718" w14:textId="31748AC9" w:rsidR="003B7460" w:rsidRPr="007F7EBF" w:rsidRDefault="003B7460" w:rsidP="00527B8B">
      <w:pPr>
        <w:pStyle w:val="Testonotaapidipagina"/>
      </w:pPr>
      <w:r w:rsidRPr="007F7EBF">
        <w:rPr>
          <w:rStyle w:val="Rimandonotaapidipagina"/>
        </w:rPr>
        <w:footnoteRef/>
      </w:r>
      <w:r w:rsidRPr="007F7EBF">
        <w:t xml:space="preserve"> ) Ho tenuto conto anche di chi è privo di una struttura esteriormente visibile e stabile, operando totalmente "In nero", nelle variegate ipotesi di cui al par.3.15.</w:t>
      </w:r>
      <w:r w:rsidRPr="00E21CC0">
        <w:t xml:space="preserve"> </w:t>
      </w:r>
      <w:r w:rsidRPr="007F7EBF">
        <w:t>In questi casi l’azienda sussiste solo nel senso "materiale" indicato al par.3.1, come attrezzature, merci, rapporti giuridici etc</w:t>
      </w:r>
      <w:r>
        <w:t>..;   vedremo al par.7.5 che un fabbro è considerato fiscalmente imprenditore, mentre non è tale un industriale dell’acciaio, operante tramite una o più società (par.3.1 sul “capitalismo familiare”, le aziende e le società).</w:t>
      </w:r>
    </w:p>
  </w:footnote>
  <w:footnote w:id="390">
    <w:p w14:paraId="5FE987AC" w14:textId="0FB480AC" w:rsidR="003B7460" w:rsidRPr="007F7EBF" w:rsidRDefault="003B7460" w:rsidP="00BA53C5">
      <w:pPr>
        <w:pStyle w:val="Testonotaapidipagina"/>
      </w:pPr>
      <w:r w:rsidRPr="007F7EBF">
        <w:rPr>
          <w:rStyle w:val="Rimandonotaapidipagina"/>
        </w:rPr>
        <w:footnoteRef/>
      </w:r>
      <w:r w:rsidRPr="007F7EBF">
        <w:t xml:space="preserve"> </w:t>
      </w:r>
      <w:r>
        <w:t>) Per p</w:t>
      </w:r>
      <w:r w:rsidRPr="007F7EBF">
        <w:t xml:space="preserve">rofessionisti </w:t>
      </w:r>
      <w:r>
        <w:t xml:space="preserve">e artisti la contabilità è anche </w:t>
      </w:r>
      <w:proofErr w:type="spellStart"/>
      <w:r>
        <w:t>civilisticamente</w:t>
      </w:r>
      <w:proofErr w:type="spellEnd"/>
      <w:r>
        <w:t xml:space="preserve"> esclusa quali che siano le loro dimensioni organizzative; ad esempio un grande studio legale o di architettura non vi è </w:t>
      </w:r>
      <w:proofErr w:type="spellStart"/>
      <w:r>
        <w:t>civilisticamente</w:t>
      </w:r>
      <w:proofErr w:type="spellEnd"/>
      <w:r>
        <w:t xml:space="preserve"> soggetto, a prescindere dalle dimensioni, mentre ai fini tributari la contabilità è comunque prevista (par.8.1).</w:t>
      </w:r>
    </w:p>
  </w:footnote>
  <w:footnote w:id="391">
    <w:p w14:paraId="51E9CEFF" w14:textId="268AC5E9" w:rsidR="003B7460" w:rsidRPr="007F7EBF" w:rsidRDefault="003B7460" w:rsidP="008E1B0E">
      <w:pPr>
        <w:pStyle w:val="Testonotaapidipagina"/>
      </w:pPr>
      <w:r w:rsidRPr="007F7EBF">
        <w:rPr>
          <w:rStyle w:val="Rimandonotaapidipagina"/>
        </w:rPr>
        <w:footnoteRef/>
      </w:r>
      <w:r w:rsidRPr="007F7EBF">
        <w:t xml:space="preserve"> ) La contabilità è </w:t>
      </w:r>
      <w:r>
        <w:t xml:space="preserve">invece </w:t>
      </w:r>
      <w:r w:rsidRPr="007F7EBF">
        <w:t>solo una sovrastruttura, che segue l</w:t>
      </w:r>
      <w:r>
        <w:t xml:space="preserve">o sviluppo </w:t>
      </w:r>
      <w:r w:rsidRPr="007F7EBF">
        <w:t>economic</w:t>
      </w:r>
      <w:r>
        <w:t>o</w:t>
      </w:r>
      <w:r w:rsidRPr="007F7EBF">
        <w:t xml:space="preserve"> dell’attività, ma non l</w:t>
      </w:r>
      <w:r>
        <w:t>o</w:t>
      </w:r>
      <w:r w:rsidRPr="007F7EBF">
        <w:t xml:space="preserve"> può certo </w:t>
      </w:r>
      <w:r>
        <w:t>provocarlo. Un venditore ambulante con una contabilità maniacale resta sempre un venditore ambulante, e la</w:t>
      </w:r>
      <w:r w:rsidRPr="008E1B0E">
        <w:t xml:space="preserve"> </w:t>
      </w:r>
      <w:r w:rsidRPr="007F7EBF">
        <w:t>crescita è trainata dalle dimensioni produttive e commerciali, come si addice ad attività tenute assieme dal prodotto (par.3.1)</w:t>
      </w:r>
      <w:r>
        <w:t>. S</w:t>
      </w:r>
      <w:r w:rsidRPr="007F7EBF">
        <w:t>ull’inutilità di quest</w:t>
      </w:r>
      <w:r>
        <w:t>’</w:t>
      </w:r>
      <w:r w:rsidRPr="007F7EBF">
        <w:t>adempimento,</w:t>
      </w:r>
      <w:r>
        <w:t xml:space="preserve"> va segnalata, rispetto al silenzio generale, l’intuizione di </w:t>
      </w:r>
      <w:r w:rsidRPr="007F7EBF">
        <w:t>Tremonti</w:t>
      </w:r>
      <w:r>
        <w:t>-</w:t>
      </w:r>
      <w:proofErr w:type="spellStart"/>
      <w:r w:rsidRPr="007F7EBF">
        <w:t>Vitaletti</w:t>
      </w:r>
      <w:proofErr w:type="spellEnd"/>
      <w:r w:rsidRPr="007F7EBF">
        <w:t>, La fiera delle tasse, Il Mulino, 1991, 191.</w:t>
      </w:r>
    </w:p>
  </w:footnote>
  <w:footnote w:id="392">
    <w:p w14:paraId="2F0C1B14" w14:textId="7254FF9D" w:rsidR="003B7460" w:rsidRPr="007F7EBF" w:rsidRDefault="003B7460" w:rsidP="00DA0CAB">
      <w:pPr>
        <w:pStyle w:val="Testonotaapidipagina"/>
      </w:pPr>
      <w:r w:rsidRPr="007F7EBF">
        <w:rPr>
          <w:rStyle w:val="Rimandonotaapidipagina"/>
        </w:rPr>
        <w:footnoteRef/>
      </w:r>
      <w:r w:rsidRPr="007F7EBF">
        <w:t xml:space="preserve"> </w:t>
      </w:r>
      <w:r>
        <w:t xml:space="preserve">) </w:t>
      </w:r>
      <w:r>
        <w:rPr>
          <w:bCs/>
          <w:sz w:val="22"/>
          <w:szCs w:val="22"/>
        </w:rPr>
        <w:t>Rispetto alla stravagante “contabilità fiscale” di cui al paragrafo precedente</w:t>
      </w:r>
      <w:r>
        <w:t xml:space="preserve">, che paradossalmente mette in ombra </w:t>
      </w:r>
      <w:r w:rsidRPr="007F7EBF">
        <w:t xml:space="preserve">la naturale (e tradizionale) </w:t>
      </w:r>
      <w:r>
        <w:t>determinabilità solo</w:t>
      </w:r>
      <w:r w:rsidRPr="007F7EBF">
        <w:t xml:space="preserve"> valutativa, e per ordine di grandezza, </w:t>
      </w:r>
      <w:r>
        <w:t xml:space="preserve">di ricavi e redditi </w:t>
      </w:r>
      <w:r w:rsidRPr="007F7EBF">
        <w:t xml:space="preserve">di questi operatori. </w:t>
      </w:r>
    </w:p>
  </w:footnote>
  <w:footnote w:id="393">
    <w:p w14:paraId="102D01A2" w14:textId="77777777" w:rsidR="003B7460" w:rsidRPr="007F7EBF" w:rsidRDefault="003B7460" w:rsidP="001D6809">
      <w:pPr>
        <w:pStyle w:val="Testonotaapidipagina"/>
      </w:pPr>
      <w:r w:rsidRPr="007F7EBF">
        <w:rPr>
          <w:rStyle w:val="Rimandonotaapidipagina"/>
        </w:rPr>
        <w:footnoteRef/>
      </w:r>
      <w:r w:rsidRPr="007F7EBF">
        <w:t xml:space="preserve"> ) Cui si aggiunge anche il micro</w:t>
      </w:r>
      <w:r>
        <w:t>-</w:t>
      </w:r>
      <w:r w:rsidRPr="007F7EBF">
        <w:t>commercio al dettaglio, in forma fissa o ambulante, gestito solitamente da immigrati.</w:t>
      </w:r>
      <w:r>
        <w:t xml:space="preserve"> In entrambi i casi anche il sequestro della merce, se non effettuato in modo ricorrente, è privo di adeguata capacità dissuasiva, rispetto a soggetti privi di altri beni espropriabili. </w:t>
      </w:r>
    </w:p>
  </w:footnote>
  <w:footnote w:id="394">
    <w:p w14:paraId="29A44DBD" w14:textId="13981AC4" w:rsidR="003B7460" w:rsidRPr="007F7EBF" w:rsidRDefault="003B7460" w:rsidP="001D6809">
      <w:pPr>
        <w:pStyle w:val="Testonotaapidipagina"/>
      </w:pPr>
      <w:r w:rsidRPr="007F7EBF">
        <w:rPr>
          <w:rStyle w:val="Rimandonotaapidipagina"/>
        </w:rPr>
        <w:footnoteRef/>
      </w:r>
      <w:r w:rsidRPr="007F7EBF">
        <w:t xml:space="preserve"> </w:t>
      </w:r>
      <w:r>
        <w:t>) L</w:t>
      </w:r>
      <w:r w:rsidRPr="007F7EBF">
        <w:t>a</w:t>
      </w:r>
      <w:r>
        <w:t xml:space="preserve"> tassazione della</w:t>
      </w:r>
      <w:r w:rsidRPr="007F7EBF">
        <w:t xml:space="preserve"> prostituzione indipendent</w:t>
      </w:r>
      <w:r>
        <w:t>e</w:t>
      </w:r>
      <w:r w:rsidRPr="007F7EBF">
        <w:t xml:space="preserve"> ricorre</w:t>
      </w:r>
      <w:r>
        <w:t xml:space="preserve"> spesso </w:t>
      </w:r>
      <w:r w:rsidRPr="007F7EBF">
        <w:t>nel pruriginoso sensazionalism</w:t>
      </w:r>
      <w:r>
        <w:t>o mediatico (par.4.4 in fine)</w:t>
      </w:r>
      <w:r w:rsidRPr="007F7EBF">
        <w:t xml:space="preserve">, </w:t>
      </w:r>
      <w:r>
        <w:t xml:space="preserve">ma pone problemi del tutto analoghi ad altre </w:t>
      </w:r>
      <w:r w:rsidRPr="007F7EBF">
        <w:t>attività senza sede fissa, come appunto l'idraulico, che però</w:t>
      </w:r>
      <w:r>
        <w:t xml:space="preserve"> fa meno </w:t>
      </w:r>
      <w:r>
        <w:rPr>
          <w:i/>
        </w:rPr>
        <w:t>audience</w:t>
      </w:r>
      <w:r>
        <w:t>.</w:t>
      </w:r>
      <w:r w:rsidRPr="007F7EBF">
        <w:t xml:space="preserve"> Sul piano della determinazione de</w:t>
      </w:r>
      <w:r>
        <w:t>gli imponibili</w:t>
      </w:r>
      <w:r w:rsidRPr="007F7EBF">
        <w:t>, l</w:t>
      </w:r>
      <w:r>
        <w:t xml:space="preserve">a modalità più adatta per tassare entrambi è </w:t>
      </w:r>
      <w:r w:rsidRPr="007F7EBF">
        <w:t xml:space="preserve">l'organizzazione pluripersonale, come </w:t>
      </w:r>
      <w:r>
        <w:t xml:space="preserve">preciso in </w:t>
      </w:r>
      <w:proofErr w:type="spellStart"/>
      <w:r>
        <w:t>fondazionestuditributari</w:t>
      </w:r>
      <w:proofErr w:type="spellEnd"/>
      <w:r>
        <w:t xml:space="preserve">, sul post </w:t>
      </w:r>
      <w:r w:rsidRPr="00163E7F">
        <w:t>Tassazione attraverso le aziende e prostituzione: armare casini o riaprirli?</w:t>
      </w:r>
      <w:r>
        <w:t xml:space="preserve">. </w:t>
      </w:r>
    </w:p>
  </w:footnote>
  <w:footnote w:id="395">
    <w:p w14:paraId="1344E49F" w14:textId="77777777" w:rsidR="003B7460" w:rsidRPr="007F7EBF" w:rsidRDefault="003B7460" w:rsidP="00FB318E">
      <w:pPr>
        <w:pStyle w:val="Testonotaapidipagina"/>
      </w:pPr>
      <w:r w:rsidRPr="007F7EBF">
        <w:rPr>
          <w:rStyle w:val="Rimandonotaapidipagina"/>
        </w:rPr>
        <w:footnoteRef/>
      </w:r>
      <w:r w:rsidRPr="007F7EBF">
        <w:t xml:space="preserve"> ) Si tratta delle attività, senza sede fissa, siano esse tradizionali o “postindustriali”, descritte al par.3.15; qui la mancata visibilità materiale, unita a redditi effettivi modesti, spinge a operare totalmente “in nero”, come clandestini fiscali, contando sulla propria ridotta individuabilità.</w:t>
      </w:r>
    </w:p>
  </w:footnote>
  <w:footnote w:id="396">
    <w:p w14:paraId="06BD78BF" w14:textId="77777777" w:rsidR="003B7460" w:rsidRPr="007F7EBF" w:rsidRDefault="003B7460" w:rsidP="001B0D0F">
      <w:pPr>
        <w:pStyle w:val="Testonotaapidipagina"/>
      </w:pPr>
      <w:r w:rsidRPr="007F7EBF">
        <w:rPr>
          <w:rStyle w:val="Rimandonotaapidipagina"/>
        </w:rPr>
        <w:footnoteRef/>
      </w:r>
      <w:r w:rsidRPr="007F7EBF">
        <w:t xml:space="preserve"> ) Mi riferisco ai B&amp;B o ai trasportatori che usano organizzazioni online  come Booking.com, </w:t>
      </w:r>
      <w:proofErr w:type="spellStart"/>
      <w:r w:rsidRPr="007F7EBF">
        <w:t>Airbnb</w:t>
      </w:r>
      <w:proofErr w:type="spellEnd"/>
      <w:r w:rsidRPr="007F7EBF">
        <w:t xml:space="preserve">, UBER etc.. Internet disintermedia i commercianti tradizionali, e consente attività economiche individuali al consumo finale, tipo “negozi virtuali”. </w:t>
      </w:r>
    </w:p>
  </w:footnote>
  <w:footnote w:id="397">
    <w:p w14:paraId="2DCDF893" w14:textId="77777777" w:rsidR="003B7460" w:rsidRPr="007F7EBF" w:rsidRDefault="003B7460" w:rsidP="001B0D0F">
      <w:pPr>
        <w:pStyle w:val="Testonotaapidipagina"/>
      </w:pPr>
      <w:r w:rsidRPr="007F7EBF">
        <w:rPr>
          <w:rStyle w:val="Rimandonotaapidipagina"/>
        </w:rPr>
        <w:footnoteRef/>
      </w:r>
      <w:r w:rsidRPr="007F7EBF">
        <w:t xml:space="preserve"> Il reddito di questi secondi lavori è spesso nascosto al fisco proprio perché coperto dal primo lavoro “palese”, che risponde in prima battuta alle domande sull’occupazione e la sussistenza degli interessati. </w:t>
      </w:r>
    </w:p>
  </w:footnote>
  <w:footnote w:id="398">
    <w:p w14:paraId="655A3384" w14:textId="77777777" w:rsidR="003B7460" w:rsidRPr="007F7EBF" w:rsidRDefault="003B7460" w:rsidP="00B9024F">
      <w:pPr>
        <w:pStyle w:val="Testonotaapidipagina"/>
      </w:pPr>
      <w:r w:rsidRPr="007F7EBF">
        <w:rPr>
          <w:rStyle w:val="Rimandonotaapidipagina"/>
        </w:rPr>
        <w:footnoteRef/>
      </w:r>
      <w:r w:rsidRPr="007F7EBF">
        <w:t xml:space="preserve"> ) Magari attraverso appositi network via internet. </w:t>
      </w:r>
    </w:p>
  </w:footnote>
  <w:footnote w:id="399">
    <w:p w14:paraId="2F37CC02" w14:textId="39D100A9" w:rsidR="003B7460" w:rsidRPr="007F7EBF" w:rsidRDefault="003B7460" w:rsidP="00A67FB8">
      <w:pPr>
        <w:pStyle w:val="Testonotaapidipagina"/>
      </w:pPr>
      <w:r w:rsidRPr="007F7EBF">
        <w:rPr>
          <w:rStyle w:val="Rimandonotaapidipagina"/>
        </w:rPr>
        <w:footnoteRef/>
      </w:r>
      <w:r w:rsidRPr="007F7EBF">
        <w:t xml:space="preserve"> )</w:t>
      </w:r>
      <w:r>
        <w:t xml:space="preserve"> </w:t>
      </w:r>
      <w:r w:rsidRPr="007F7EBF">
        <w:t>C</w:t>
      </w:r>
      <w:r>
        <w:t xml:space="preserve">ui possono invece accedere più facilmente </w:t>
      </w:r>
      <w:r w:rsidRPr="007F7EBF">
        <w:t xml:space="preserve">i lavoratori subordinati. </w:t>
      </w:r>
    </w:p>
  </w:footnote>
  <w:footnote w:id="400">
    <w:p w14:paraId="6BC412BD" w14:textId="01A0666F" w:rsidR="003B7460" w:rsidRDefault="003B7460" w:rsidP="00B273AE">
      <w:pPr>
        <w:pStyle w:val="Testonotaapidipagina"/>
      </w:pPr>
      <w:r>
        <w:rPr>
          <w:rStyle w:val="Rimandonotaapidipagina"/>
        </w:rPr>
        <w:footnoteRef/>
      </w:r>
      <w:r>
        <w:t xml:space="preserve"> ) Nell’albo dei commercialisti è confluita la categoria professionale dei ragionieri professionisti, cui vanno aggiunti </w:t>
      </w:r>
      <w:r>
        <w:rPr>
          <w:sz w:val="22"/>
          <w:szCs w:val="22"/>
        </w:rPr>
        <w:t xml:space="preserve">consulenti del lavoro, “periti tributari”, centri d’assistenza di associazioni di categoria e un </w:t>
      </w:r>
      <w:proofErr w:type="spellStart"/>
      <w:r>
        <w:rPr>
          <w:sz w:val="22"/>
          <w:szCs w:val="22"/>
        </w:rPr>
        <w:t>cert</w:t>
      </w:r>
      <w:proofErr w:type="spellEnd"/>
      <w:r>
        <w:rPr>
          <w:sz w:val="22"/>
          <w:szCs w:val="22"/>
        </w:rPr>
        <w:t xml:space="preserve"> numero di avvocati. </w:t>
      </w:r>
    </w:p>
  </w:footnote>
  <w:footnote w:id="401">
    <w:p w14:paraId="0C6430A0" w14:textId="3377C4BC" w:rsidR="003B7460" w:rsidRPr="007F7EBF" w:rsidRDefault="003B7460" w:rsidP="004B72BE">
      <w:pPr>
        <w:pStyle w:val="Testonotaapidipagina"/>
      </w:pPr>
      <w:r w:rsidRPr="007F7EBF">
        <w:rPr>
          <w:rStyle w:val="Rimandonotaapidipagina"/>
        </w:rPr>
        <w:footnoteRef/>
      </w:r>
      <w:r w:rsidRPr="007F7EBF">
        <w:t xml:space="preserve"> Questa scenetta </w:t>
      </w:r>
      <w:r>
        <w:t>http</w:t>
      </w:r>
      <w:r w:rsidRPr="00A27865">
        <w:t>://video.repubblica.it/webseries/non-c-e-problema/non-c-e-problema-cosi-luca-perse-la-verginita-fiscale/217227/216423</w:t>
      </w:r>
      <w:r w:rsidRPr="007F7EBF">
        <w:t xml:space="preserve"> </w:t>
      </w:r>
      <w:r>
        <w:t xml:space="preserve">esprime </w:t>
      </w:r>
      <w:r w:rsidRPr="007F7EBF">
        <w:t xml:space="preserve">la già indicata volgarizzazione secondo cui il commercialista sarebbe depositario di chissà quali trucchi per evadere. </w:t>
      </w:r>
    </w:p>
  </w:footnote>
  <w:footnote w:id="402">
    <w:p w14:paraId="7F42BFD6" w14:textId="77777777" w:rsidR="003B7460" w:rsidRPr="007F7EBF" w:rsidRDefault="003B7460" w:rsidP="006F69D2">
      <w:pPr>
        <w:pStyle w:val="Testonotaapidipagina"/>
      </w:pPr>
      <w:r w:rsidRPr="007F7EBF">
        <w:rPr>
          <w:rStyle w:val="Rimandonotaapidipagina"/>
        </w:rPr>
        <w:footnoteRef/>
      </w:r>
      <w:r w:rsidRPr="007F7EBF">
        <w:t xml:space="preserve"> </w:t>
      </w:r>
      <w:r>
        <w:t xml:space="preserve">Alcuni </w:t>
      </w:r>
      <w:r w:rsidRPr="007F7EBF">
        <w:t xml:space="preserve">episodi di consulenza, diciamo così, spregiudicata, possono individuarsi digitando su </w:t>
      </w:r>
      <w:proofErr w:type="spellStart"/>
      <w:r w:rsidRPr="007F7EBF">
        <w:t>google</w:t>
      </w:r>
      <w:proofErr w:type="spellEnd"/>
      <w:r w:rsidRPr="007F7EBF">
        <w:t xml:space="preserve"> le parole “</w:t>
      </w:r>
      <w:proofErr w:type="spellStart"/>
      <w:r w:rsidRPr="007F7EBF">
        <w:t>Mythos</w:t>
      </w:r>
      <w:proofErr w:type="spellEnd"/>
      <w:r w:rsidRPr="007F7EBF">
        <w:t xml:space="preserve"> Archè”</w:t>
      </w:r>
      <w:r>
        <w:t>,</w:t>
      </w:r>
      <w:r w:rsidRPr="007F7EBF">
        <w:t xml:space="preserve"> “Lista Pessina”</w:t>
      </w:r>
      <w:r>
        <w:t xml:space="preserve"> e uno studio </w:t>
      </w:r>
      <w:r w:rsidRPr="007F7EBF">
        <w:t>di nome “Mazzieri e Pambianchi”</w:t>
      </w:r>
      <w:r>
        <w:t xml:space="preserve"> , che diede lo spunto a un mio </w:t>
      </w:r>
      <w:r w:rsidRPr="007F7EBF">
        <w:t xml:space="preserve"> post </w:t>
      </w:r>
      <w:r w:rsidRPr="007F7EBF">
        <w:rPr>
          <w:i/>
        </w:rPr>
        <w:t>Professionisti "mazzieri dell’evasione"? Probabilmente sono pochi</w:t>
      </w:r>
      <w:r w:rsidRPr="007F7EBF">
        <w:t xml:space="preserve"> in </w:t>
      </w:r>
      <w:r>
        <w:t>wwwfondazionestuditributari.com</w:t>
      </w:r>
      <w:r w:rsidRPr="007F7EBF">
        <w:t>.</w:t>
      </w:r>
    </w:p>
  </w:footnote>
  <w:footnote w:id="403">
    <w:p w14:paraId="17D107C3" w14:textId="77777777" w:rsidR="003B7460" w:rsidRPr="007F7EBF" w:rsidRDefault="003B7460" w:rsidP="00057E19">
      <w:pPr>
        <w:pStyle w:val="Testonotaapidipagina"/>
      </w:pPr>
      <w:r w:rsidRPr="007F7EBF">
        <w:rPr>
          <w:rStyle w:val="Rimandonotaapidipagina"/>
        </w:rPr>
        <w:footnoteRef/>
      </w:r>
      <w:r w:rsidRPr="007F7EBF">
        <w:t xml:space="preserve"> ) C</w:t>
      </w:r>
      <w:r>
        <w:t>ome a</w:t>
      </w:r>
      <w:r w:rsidRPr="007F7EBF">
        <w:t xml:space="preserve">i tempi in cui i </w:t>
      </w:r>
      <w:r>
        <w:t xml:space="preserve">bambini italiani </w:t>
      </w:r>
      <w:r w:rsidRPr="007F7EBF">
        <w:t>verso il mese di maggio</w:t>
      </w:r>
      <w:r>
        <w:t xml:space="preserve"> si sentivano dire</w:t>
      </w:r>
      <w:r w:rsidRPr="007F7EBF">
        <w:t xml:space="preserve"> di non fare confusione perché </w:t>
      </w:r>
      <w:r w:rsidRPr="007F7EBF">
        <w:rPr>
          <w:i/>
        </w:rPr>
        <w:t>papà sta facendo la dichiarazione delle tasse</w:t>
      </w:r>
      <w:r>
        <w:t xml:space="preserve"> </w:t>
      </w:r>
      <w:r w:rsidRPr="007F7EBF">
        <w:t xml:space="preserve">genitori, nel mese di maggio, preparavano da soli la dichiarazione dei redditi, </w:t>
      </w:r>
      <w:r>
        <w:t>senza supporti informatici e frequenti errori aritmetici, prima che giuridici.</w:t>
      </w:r>
      <w:r w:rsidRPr="007F7EBF">
        <w:t xml:space="preserve">    </w:t>
      </w:r>
    </w:p>
  </w:footnote>
  <w:footnote w:id="404">
    <w:p w14:paraId="6370B888" w14:textId="77777777" w:rsidR="003B7460" w:rsidRPr="007F7EBF" w:rsidRDefault="003B7460" w:rsidP="006F69D2">
      <w:pPr>
        <w:pStyle w:val="Testonotaapidipagina"/>
      </w:pPr>
      <w:r w:rsidRPr="007F7EBF">
        <w:rPr>
          <w:rStyle w:val="Rimandonotaapidipagina"/>
        </w:rPr>
        <w:footnoteRef/>
      </w:r>
      <w:r w:rsidRPr="007F7EBF">
        <w:t xml:space="preserve"> </w:t>
      </w:r>
      <w:r>
        <w:t xml:space="preserve">) Il video </w:t>
      </w:r>
      <w:r w:rsidRPr="007F7EBF">
        <w:t>“</w:t>
      </w:r>
      <w:r w:rsidRPr="007F7EBF">
        <w:rPr>
          <w:i/>
        </w:rPr>
        <w:t>campagna per la salvaguardia del commercialista</w:t>
      </w:r>
      <w:r w:rsidRPr="007F7EBF">
        <w:t>”</w:t>
      </w:r>
      <w:r>
        <w:t xml:space="preserve"> dà l’idea delle combinazioni tra inadeguatezza del </w:t>
      </w:r>
      <w:r w:rsidRPr="009450BD">
        <w:t xml:space="preserve">compenso </w:t>
      </w:r>
      <w:r>
        <w:t>professionale o dell’</w:t>
      </w:r>
      <w:r w:rsidRPr="009450BD">
        <w:t xml:space="preserve">assistenza </w:t>
      </w:r>
      <w:r>
        <w:t>forni</w:t>
      </w:r>
      <w:r w:rsidRPr="009450BD">
        <w:t xml:space="preserve">ta, </w:t>
      </w:r>
      <w:r>
        <w:t xml:space="preserve">la cui sintesi si ritrova nella formula che vidi nello studio di un </w:t>
      </w:r>
      <w:proofErr w:type="spellStart"/>
      <w:r>
        <w:t>commercialista</w:t>
      </w:r>
      <w:r w:rsidRPr="007F7EBF">
        <w:t>“</w:t>
      </w:r>
      <w:r w:rsidRPr="007F7EBF">
        <w:rPr>
          <w:i/>
        </w:rPr>
        <w:t>se</w:t>
      </w:r>
      <w:proofErr w:type="spellEnd"/>
      <w:r w:rsidRPr="007F7EBF">
        <w:rPr>
          <w:i/>
        </w:rPr>
        <w:t xml:space="preserve"> </w:t>
      </w:r>
      <w:r>
        <w:rPr>
          <w:i/>
        </w:rPr>
        <w:t>il cliente</w:t>
      </w:r>
      <w:r w:rsidRPr="007F7EBF">
        <w:rPr>
          <w:i/>
        </w:rPr>
        <w:t xml:space="preserve"> pag</w:t>
      </w:r>
      <w:r>
        <w:rPr>
          <w:i/>
        </w:rPr>
        <w:t>a</w:t>
      </w:r>
      <w:r w:rsidRPr="007F7EBF">
        <w:rPr>
          <w:i/>
        </w:rPr>
        <w:t xml:space="preserve"> come dico io, io lavor</w:t>
      </w:r>
      <w:r>
        <w:rPr>
          <w:i/>
        </w:rPr>
        <w:t>o</w:t>
      </w:r>
      <w:r w:rsidRPr="007F7EBF">
        <w:rPr>
          <w:i/>
        </w:rPr>
        <w:t xml:space="preserve"> come dic</w:t>
      </w:r>
      <w:r>
        <w:rPr>
          <w:i/>
        </w:rPr>
        <w:t>e lu</w:t>
      </w:r>
      <w:r w:rsidRPr="007F7EBF">
        <w:rPr>
          <w:i/>
        </w:rPr>
        <w:t>i, ma pa</w:t>
      </w:r>
      <w:r>
        <w:rPr>
          <w:i/>
        </w:rPr>
        <w:t xml:space="preserve">ga </w:t>
      </w:r>
      <w:r w:rsidRPr="007F7EBF">
        <w:rPr>
          <w:i/>
        </w:rPr>
        <w:t>come dic</w:t>
      </w:r>
      <w:r>
        <w:rPr>
          <w:i/>
        </w:rPr>
        <w:t xml:space="preserve">e lui </w:t>
      </w:r>
      <w:r w:rsidRPr="007F7EBF">
        <w:rPr>
          <w:i/>
        </w:rPr>
        <w:t>allora io lavor</w:t>
      </w:r>
      <w:r>
        <w:rPr>
          <w:i/>
        </w:rPr>
        <w:t>o</w:t>
      </w:r>
      <w:r w:rsidRPr="007F7EBF">
        <w:rPr>
          <w:i/>
        </w:rPr>
        <w:t xml:space="preserve"> come dico io</w:t>
      </w:r>
      <w:r w:rsidRPr="007F7EBF">
        <w:t>”</w:t>
      </w:r>
      <w:r>
        <w:t xml:space="preserve">. </w:t>
      </w:r>
    </w:p>
  </w:footnote>
  <w:footnote w:id="405">
    <w:p w14:paraId="0BFEDA38" w14:textId="77777777" w:rsidR="003B7460" w:rsidRPr="007F7EBF" w:rsidRDefault="003B7460" w:rsidP="00BF225F">
      <w:pPr>
        <w:pStyle w:val="Testonotaapidipagina"/>
      </w:pPr>
      <w:r w:rsidRPr="007F7EBF">
        <w:rPr>
          <w:rStyle w:val="Rimandonotaapidipagina"/>
        </w:rPr>
        <w:footnoteRef/>
      </w:r>
      <w:r w:rsidRPr="007F7EBF">
        <w:t xml:space="preserve"> </w:t>
      </w:r>
      <w:r>
        <w:t>)</w:t>
      </w:r>
      <w:r>
        <w:rPr>
          <w:bCs/>
          <w:sz w:val="22"/>
          <w:szCs w:val="22"/>
        </w:rPr>
        <w:t xml:space="preserve"> Anche le </w:t>
      </w:r>
      <w:r w:rsidRPr="007F7EBF">
        <w:t>aziende medio-grandi</w:t>
      </w:r>
      <w:r>
        <w:t xml:space="preserve"> sono sempre più riluttanti a pagare consulenti solo p</w:t>
      </w:r>
      <w:r>
        <w:rPr>
          <w:bCs/>
          <w:sz w:val="22"/>
          <w:szCs w:val="22"/>
        </w:rPr>
        <w:t>er adempimenti di routine (</w:t>
      </w:r>
      <w:r>
        <w:rPr>
          <w:bCs/>
          <w:i/>
          <w:iCs/>
          <w:sz w:val="22"/>
          <w:szCs w:val="22"/>
        </w:rPr>
        <w:t>compliance</w:t>
      </w:r>
      <w:r>
        <w:rPr>
          <w:bCs/>
          <w:sz w:val="22"/>
          <w:szCs w:val="22"/>
        </w:rPr>
        <w:t>).</w:t>
      </w:r>
    </w:p>
  </w:footnote>
  <w:footnote w:id="406">
    <w:p w14:paraId="76F46A5B" w14:textId="77777777" w:rsidR="003B7460" w:rsidRPr="007F7EBF" w:rsidRDefault="003B7460" w:rsidP="00C0556D">
      <w:pPr>
        <w:pStyle w:val="tit23"/>
      </w:pPr>
      <w:r w:rsidRPr="007F7EBF">
        <w:footnoteRef/>
      </w:r>
      <w:r w:rsidRPr="007F7EBF">
        <w:t xml:space="preserve"> </w:t>
      </w:r>
      <w:r>
        <w:t xml:space="preserve">) La </w:t>
      </w:r>
      <w:proofErr w:type="spellStart"/>
      <w:r>
        <w:t>pubblica</w:t>
      </w:r>
      <w:proofErr w:type="spellEnd"/>
      <w:r>
        <w:t xml:space="preserve"> </w:t>
      </w:r>
      <w:proofErr w:type="spellStart"/>
      <w:r>
        <w:t>opinione</w:t>
      </w:r>
      <w:proofErr w:type="spellEnd"/>
      <w:r>
        <w:t xml:space="preserve"> </w:t>
      </w:r>
      <w:proofErr w:type="spellStart"/>
      <w:r>
        <w:t>preindustriale</w:t>
      </w:r>
      <w:proofErr w:type="spellEnd"/>
      <w:r>
        <w:t xml:space="preserve"> era </w:t>
      </w:r>
      <w:proofErr w:type="spellStart"/>
      <w:r>
        <w:t>composta</w:t>
      </w:r>
      <w:proofErr w:type="spellEnd"/>
      <w:r>
        <w:t xml:space="preserve"> da </w:t>
      </w:r>
      <w:proofErr w:type="spellStart"/>
      <w:r w:rsidRPr="007F7EBF">
        <w:t>ristrette</w:t>
      </w:r>
      <w:proofErr w:type="spellEnd"/>
      <w:r w:rsidRPr="007F7EBF">
        <w:t xml:space="preserve"> </w:t>
      </w:r>
      <w:proofErr w:type="spellStart"/>
      <w:r w:rsidRPr="007F7EBF">
        <w:t>è</w:t>
      </w:r>
      <w:r w:rsidRPr="007F7EBF">
        <w:rPr>
          <w:i/>
        </w:rPr>
        <w:t>lite</w:t>
      </w:r>
      <w:proofErr w:type="spellEnd"/>
      <w:r w:rsidRPr="007F7EBF">
        <w:t xml:space="preserve"> </w:t>
      </w:r>
      <w:proofErr w:type="spellStart"/>
      <w:r w:rsidRPr="007F7EBF">
        <w:t>militari</w:t>
      </w:r>
      <w:proofErr w:type="spellEnd"/>
      <w:r w:rsidRPr="007F7EBF">
        <w:t>, religiose</w:t>
      </w:r>
      <w:r>
        <w:t xml:space="preserve"> e </w:t>
      </w:r>
      <w:proofErr w:type="spellStart"/>
      <w:r w:rsidRPr="007F7EBF">
        <w:t>mercantili</w:t>
      </w:r>
      <w:proofErr w:type="spellEnd"/>
      <w:r w:rsidRPr="007F7EBF">
        <w:t xml:space="preserve">, </w:t>
      </w:r>
      <w:proofErr w:type="spellStart"/>
      <w:r w:rsidRPr="007F7EBF">
        <w:t>libere</w:t>
      </w:r>
      <w:proofErr w:type="spellEnd"/>
      <w:r w:rsidRPr="007F7EBF">
        <w:t xml:space="preserve"> </w:t>
      </w:r>
      <w:proofErr w:type="spellStart"/>
      <w:r w:rsidRPr="007F7EBF">
        <w:t>da</w:t>
      </w:r>
      <w:r>
        <w:t>i</w:t>
      </w:r>
      <w:proofErr w:type="spellEnd"/>
      <w:r>
        <w:t xml:space="preserve"> </w:t>
      </w:r>
      <w:proofErr w:type="spellStart"/>
      <w:r>
        <w:t>bisogni</w:t>
      </w:r>
      <w:proofErr w:type="spellEnd"/>
      <w:r>
        <w:t xml:space="preserve"> di </w:t>
      </w:r>
      <w:proofErr w:type="spellStart"/>
      <w:r>
        <w:t>sussistenza</w:t>
      </w:r>
      <w:proofErr w:type="spellEnd"/>
      <w:r>
        <w:t xml:space="preserve">, come </w:t>
      </w:r>
      <w:proofErr w:type="spellStart"/>
      <w:r>
        <w:t>negli</w:t>
      </w:r>
      <w:proofErr w:type="spellEnd"/>
      <w:r>
        <w:t xml:space="preserve"> </w:t>
      </w:r>
      <w:proofErr w:type="spellStart"/>
      <w:r>
        <w:t>affreschi</w:t>
      </w:r>
      <w:proofErr w:type="spellEnd"/>
      <w:r>
        <w:t xml:space="preserve"> </w:t>
      </w:r>
      <w:proofErr w:type="spellStart"/>
      <w:r>
        <w:t>dei</w:t>
      </w:r>
      <w:proofErr w:type="spellEnd"/>
      <w:r>
        <w:t xml:space="preserve"> Lorenzetti </w:t>
      </w:r>
      <w:proofErr w:type="spellStart"/>
      <w:r>
        <w:t>nel</w:t>
      </w:r>
      <w:proofErr w:type="spellEnd"/>
      <w:r>
        <w:t xml:space="preserve"> Palazzo </w:t>
      </w:r>
      <w:proofErr w:type="spellStart"/>
      <w:r>
        <w:t>pubblico</w:t>
      </w:r>
      <w:proofErr w:type="spellEnd"/>
      <w:r>
        <w:t xml:space="preserve"> di Siena “</w:t>
      </w:r>
      <w:proofErr w:type="spellStart"/>
      <w:r>
        <w:t>allegoria</w:t>
      </w:r>
      <w:proofErr w:type="spellEnd"/>
      <w:r>
        <w:t xml:space="preserve"> del </w:t>
      </w:r>
      <w:proofErr w:type="spellStart"/>
      <w:r>
        <w:t>buono</w:t>
      </w:r>
      <w:proofErr w:type="spellEnd"/>
      <w:r>
        <w:t xml:space="preserve"> e del </w:t>
      </w:r>
      <w:proofErr w:type="spellStart"/>
      <w:r>
        <w:t>cattivo</w:t>
      </w:r>
      <w:proofErr w:type="spellEnd"/>
      <w:r>
        <w:t xml:space="preserve"> </w:t>
      </w:r>
      <w:proofErr w:type="spellStart"/>
      <w:r>
        <w:t>governo</w:t>
      </w:r>
      <w:proofErr w:type="spellEnd"/>
      <w:r>
        <w:t xml:space="preserve">”. </w:t>
      </w:r>
      <w:proofErr w:type="spellStart"/>
      <w:r>
        <w:t>Quando</w:t>
      </w:r>
      <w:proofErr w:type="spellEnd"/>
      <w:r>
        <w:t xml:space="preserve"> il </w:t>
      </w:r>
      <w:proofErr w:type="spellStart"/>
      <w:r>
        <w:t>vertice</w:t>
      </w:r>
      <w:proofErr w:type="spellEnd"/>
      <w:r>
        <w:t xml:space="preserve"> politico </w:t>
      </w:r>
      <w:proofErr w:type="spellStart"/>
      <w:r>
        <w:t>diventava</w:t>
      </w:r>
      <w:proofErr w:type="spellEnd"/>
      <w:r>
        <w:t xml:space="preserve"> </w:t>
      </w:r>
      <w:proofErr w:type="spellStart"/>
      <w:r>
        <w:t>troppo</w:t>
      </w:r>
      <w:proofErr w:type="spellEnd"/>
      <w:r>
        <w:t xml:space="preserve"> </w:t>
      </w:r>
      <w:proofErr w:type="spellStart"/>
      <w:r>
        <w:t>stravagante</w:t>
      </w:r>
      <w:proofErr w:type="spellEnd"/>
      <w:r>
        <w:t xml:space="preserve">, </w:t>
      </w:r>
      <w:proofErr w:type="spellStart"/>
      <w:r>
        <w:t>questi</w:t>
      </w:r>
      <w:proofErr w:type="spellEnd"/>
      <w:r>
        <w:t xml:space="preserve"> </w:t>
      </w:r>
      <w:proofErr w:type="spellStart"/>
      <w:r>
        <w:t>stessi</w:t>
      </w:r>
      <w:proofErr w:type="spellEnd"/>
      <w:r>
        <w:t xml:space="preserve"> </w:t>
      </w:r>
      <w:proofErr w:type="spellStart"/>
      <w:r>
        <w:t>circuiti</w:t>
      </w:r>
      <w:proofErr w:type="spellEnd"/>
      <w:r>
        <w:t xml:space="preserve"> se ne </w:t>
      </w:r>
      <w:proofErr w:type="spellStart"/>
      <w:r>
        <w:t>liberavano</w:t>
      </w:r>
      <w:proofErr w:type="spellEnd"/>
      <w:r>
        <w:t xml:space="preserve">, come </w:t>
      </w:r>
      <w:proofErr w:type="spellStart"/>
      <w:r>
        <w:t>nella</w:t>
      </w:r>
      <w:proofErr w:type="spellEnd"/>
      <w:r>
        <w:t xml:space="preserve"> </w:t>
      </w:r>
      <w:proofErr w:type="spellStart"/>
      <w:r>
        <w:t>divertente</w:t>
      </w:r>
      <w:proofErr w:type="spellEnd"/>
      <w:r>
        <w:t xml:space="preserve"> </w:t>
      </w:r>
      <w:proofErr w:type="spellStart"/>
      <w:r>
        <w:t>satira</w:t>
      </w:r>
      <w:proofErr w:type="spellEnd"/>
      <w:r>
        <w:t xml:space="preserve"> </w:t>
      </w:r>
      <w:proofErr w:type="spellStart"/>
      <w:r>
        <w:t>visibile</w:t>
      </w:r>
      <w:proofErr w:type="spellEnd"/>
      <w:r>
        <w:t xml:space="preserve"> </w:t>
      </w:r>
      <w:proofErr w:type="spellStart"/>
      <w:r>
        <w:t>digitando</w:t>
      </w:r>
      <w:proofErr w:type="spellEnd"/>
      <w:r>
        <w:t xml:space="preserve"> </w:t>
      </w:r>
      <w:r w:rsidRPr="00D45A74">
        <w:rPr>
          <w:i/>
        </w:rPr>
        <w:t xml:space="preserve">Woody Allen </w:t>
      </w:r>
      <w:proofErr w:type="spellStart"/>
      <w:r w:rsidRPr="00D45A74">
        <w:rPr>
          <w:i/>
        </w:rPr>
        <w:t>Rivoluzione</w:t>
      </w:r>
      <w:proofErr w:type="spellEnd"/>
      <w:r w:rsidRPr="00D45A74">
        <w:rPr>
          <w:i/>
        </w:rPr>
        <w:t xml:space="preserve"> a Bananas</w:t>
      </w:r>
      <w:r>
        <w:t xml:space="preserve">, </w:t>
      </w:r>
      <w:proofErr w:type="spellStart"/>
      <w:r>
        <w:t>su</w:t>
      </w:r>
      <w:proofErr w:type="spellEnd"/>
      <w:r>
        <w:t xml:space="preserve"> </w:t>
      </w:r>
      <w:proofErr w:type="spellStart"/>
      <w:r>
        <w:t>youtube</w:t>
      </w:r>
      <w:proofErr w:type="spellEnd"/>
      <w:r>
        <w:t>.</w:t>
      </w:r>
    </w:p>
  </w:footnote>
  <w:footnote w:id="407">
    <w:p w14:paraId="6CABC896" w14:textId="13BC996D" w:rsidR="003B7460" w:rsidRPr="007F7EBF" w:rsidRDefault="003B7460" w:rsidP="00A2552A">
      <w:pPr>
        <w:pStyle w:val="tit23"/>
      </w:pPr>
      <w:r w:rsidRPr="007F7EBF">
        <w:footnoteRef/>
      </w:r>
      <w:r w:rsidRPr="007F7EBF">
        <w:t xml:space="preserve"> )</w:t>
      </w:r>
      <w:r>
        <w:t xml:space="preserve"> </w:t>
      </w:r>
      <w:r>
        <w:rPr>
          <w:bCs/>
        </w:rPr>
        <w:t xml:space="preserve">Una </w:t>
      </w:r>
      <w:proofErr w:type="spellStart"/>
      <w:r>
        <w:rPr>
          <w:bCs/>
        </w:rPr>
        <w:t>divertente</w:t>
      </w:r>
      <w:proofErr w:type="spellEnd"/>
      <w:r>
        <w:rPr>
          <w:bCs/>
        </w:rPr>
        <w:t xml:space="preserve"> </w:t>
      </w:r>
      <w:proofErr w:type="spellStart"/>
      <w:r>
        <w:rPr>
          <w:bCs/>
        </w:rPr>
        <w:t>metafora</w:t>
      </w:r>
      <w:proofErr w:type="spellEnd"/>
      <w:r>
        <w:rPr>
          <w:bCs/>
        </w:rPr>
        <w:t xml:space="preserve"> </w:t>
      </w:r>
      <w:proofErr w:type="spellStart"/>
      <w:r>
        <w:rPr>
          <w:bCs/>
        </w:rPr>
        <w:t>della</w:t>
      </w:r>
      <w:proofErr w:type="spellEnd"/>
      <w:r>
        <w:rPr>
          <w:bCs/>
        </w:rPr>
        <w:t xml:space="preserve"> </w:t>
      </w:r>
      <w:proofErr w:type="spellStart"/>
      <w:r>
        <w:rPr>
          <w:bCs/>
        </w:rPr>
        <w:t>tendenza</w:t>
      </w:r>
      <w:proofErr w:type="spellEnd"/>
      <w:r>
        <w:rPr>
          <w:bCs/>
        </w:rPr>
        <w:t xml:space="preserve"> </w:t>
      </w:r>
      <w:proofErr w:type="spellStart"/>
      <w:r>
        <w:rPr>
          <w:bCs/>
        </w:rPr>
        <w:t>italiana</w:t>
      </w:r>
      <w:proofErr w:type="spellEnd"/>
      <w:r>
        <w:rPr>
          <w:bCs/>
        </w:rPr>
        <w:t xml:space="preserve"> a “</w:t>
      </w:r>
      <w:proofErr w:type="spellStart"/>
      <w:r>
        <w:rPr>
          <w:bCs/>
        </w:rPr>
        <w:t>improvvisarsi</w:t>
      </w:r>
      <w:proofErr w:type="spellEnd"/>
      <w:r>
        <w:rPr>
          <w:bCs/>
        </w:rPr>
        <w:t xml:space="preserve"> </w:t>
      </w:r>
      <w:proofErr w:type="spellStart"/>
      <w:r>
        <w:rPr>
          <w:bCs/>
        </w:rPr>
        <w:t>esperti</w:t>
      </w:r>
      <w:proofErr w:type="spellEnd"/>
      <w:r>
        <w:rPr>
          <w:bCs/>
        </w:rPr>
        <w:t xml:space="preserve">” è </w:t>
      </w:r>
      <w:proofErr w:type="spellStart"/>
      <w:r>
        <w:rPr>
          <w:bCs/>
        </w:rPr>
        <w:t>visibile</w:t>
      </w:r>
      <w:proofErr w:type="spellEnd"/>
      <w:r>
        <w:rPr>
          <w:bCs/>
        </w:rPr>
        <w:t xml:space="preserve"> </w:t>
      </w:r>
      <w:proofErr w:type="spellStart"/>
      <w:r>
        <w:rPr>
          <w:bCs/>
        </w:rPr>
        <w:t>su</w:t>
      </w:r>
      <w:proofErr w:type="spellEnd"/>
      <w:r>
        <w:rPr>
          <w:bCs/>
        </w:rPr>
        <w:t xml:space="preserve"> </w:t>
      </w:r>
      <w:proofErr w:type="spellStart"/>
      <w:r>
        <w:t>youtube</w:t>
      </w:r>
      <w:proofErr w:type="spellEnd"/>
      <w:r>
        <w:t xml:space="preserve"> </w:t>
      </w:r>
      <w:proofErr w:type="spellStart"/>
      <w:r>
        <w:t>digitando</w:t>
      </w:r>
      <w:proofErr w:type="spellEnd"/>
      <w:r>
        <w:t xml:space="preserve"> “</w:t>
      </w:r>
      <w:proofErr w:type="spellStart"/>
      <w:r>
        <w:t>s</w:t>
      </w:r>
      <w:r w:rsidRPr="007F7EBF">
        <w:t>archiapone</w:t>
      </w:r>
      <w:proofErr w:type="spellEnd"/>
      <w:r>
        <w:t>”</w:t>
      </w:r>
      <w:r>
        <w:rPr>
          <w:bCs/>
        </w:rPr>
        <w:t xml:space="preserve"> e </w:t>
      </w:r>
      <w:proofErr w:type="spellStart"/>
      <w:r>
        <w:rPr>
          <w:bCs/>
        </w:rPr>
        <w:t>nei</w:t>
      </w:r>
      <w:proofErr w:type="spellEnd"/>
      <w:r>
        <w:t xml:space="preserve"> </w:t>
      </w:r>
      <w:r w:rsidRPr="007F7EBF">
        <w:t>video “</w:t>
      </w:r>
      <w:proofErr w:type="spellStart"/>
      <w:r w:rsidRPr="007F7EBF">
        <w:t>gara</w:t>
      </w:r>
      <w:proofErr w:type="spellEnd"/>
      <w:r w:rsidRPr="007F7EBF">
        <w:t xml:space="preserve"> di canoa” e “inferno </w:t>
      </w:r>
      <w:proofErr w:type="spellStart"/>
      <w:r w:rsidRPr="007F7EBF">
        <w:t>italiano</w:t>
      </w:r>
      <w:proofErr w:type="spellEnd"/>
      <w:r>
        <w:t>”</w:t>
      </w:r>
      <w:r w:rsidRPr="007F7EBF">
        <w:t>.</w:t>
      </w:r>
    </w:p>
  </w:footnote>
  <w:footnote w:id="408">
    <w:p w14:paraId="153B21E0" w14:textId="77777777" w:rsidR="003B7460" w:rsidRPr="007F7EBF" w:rsidRDefault="003B7460" w:rsidP="00A2552A">
      <w:pPr>
        <w:pStyle w:val="tit23"/>
      </w:pPr>
      <w:r w:rsidRPr="007F7EBF">
        <w:footnoteRef/>
      </w:r>
      <w:r w:rsidRPr="007F7EBF">
        <w:t xml:space="preserve"> ) </w:t>
      </w:r>
      <w:r>
        <w:t xml:space="preserve">Con </w:t>
      </w:r>
      <w:proofErr w:type="spellStart"/>
      <w:r>
        <w:t>quest’</w:t>
      </w:r>
      <w:r w:rsidRPr="007F7EBF">
        <w:t>espressione</w:t>
      </w:r>
      <w:proofErr w:type="spellEnd"/>
      <w:r>
        <w:t xml:space="preserve"> </w:t>
      </w:r>
      <w:proofErr w:type="spellStart"/>
      <w:r w:rsidRPr="007F7EBF">
        <w:t>Guicciardini</w:t>
      </w:r>
      <w:proofErr w:type="spellEnd"/>
      <w:r w:rsidRPr="007F7EBF">
        <w:t xml:space="preserve"> </w:t>
      </w:r>
      <w:proofErr w:type="spellStart"/>
      <w:r w:rsidRPr="007F7EBF">
        <w:t>indic</w:t>
      </w:r>
      <w:r>
        <w:t>ò</w:t>
      </w:r>
      <w:proofErr w:type="spellEnd"/>
      <w:r>
        <w:t xml:space="preserve">, dopo </w:t>
      </w:r>
      <w:proofErr w:type="spellStart"/>
      <w:r>
        <w:t>gli</w:t>
      </w:r>
      <w:proofErr w:type="spellEnd"/>
      <w:r>
        <w:t xml:space="preserve"> </w:t>
      </w:r>
      <w:proofErr w:type="spellStart"/>
      <w:r>
        <w:t>entusiasmi</w:t>
      </w:r>
      <w:proofErr w:type="spellEnd"/>
      <w:r>
        <w:t xml:space="preserve"> del </w:t>
      </w:r>
      <w:proofErr w:type="spellStart"/>
      <w:r>
        <w:t>rinascimento</w:t>
      </w:r>
      <w:proofErr w:type="spellEnd"/>
      <w:r>
        <w:t>,</w:t>
      </w:r>
      <w:r w:rsidRPr="007F7EBF">
        <w:t xml:space="preserve"> il </w:t>
      </w:r>
      <w:proofErr w:type="spellStart"/>
      <w:r w:rsidRPr="007F7EBF">
        <w:t>riflusso</w:t>
      </w:r>
      <w:proofErr w:type="spellEnd"/>
      <w:r w:rsidRPr="007F7EBF">
        <w:t xml:space="preserve"> </w:t>
      </w:r>
      <w:proofErr w:type="spellStart"/>
      <w:r w:rsidRPr="007F7EBF">
        <w:t>sulla</w:t>
      </w:r>
      <w:proofErr w:type="spellEnd"/>
      <w:r w:rsidRPr="007F7EBF">
        <w:t xml:space="preserve"> </w:t>
      </w:r>
      <w:proofErr w:type="spellStart"/>
      <w:r w:rsidRPr="007F7EBF">
        <w:t>sfera</w:t>
      </w:r>
      <w:proofErr w:type="spellEnd"/>
      <w:r w:rsidRPr="007F7EBF">
        <w:t xml:space="preserve"> </w:t>
      </w:r>
      <w:proofErr w:type="spellStart"/>
      <w:r w:rsidRPr="007F7EBF">
        <w:t>personale</w:t>
      </w:r>
      <w:proofErr w:type="spellEnd"/>
      <w:r w:rsidRPr="007F7EBF">
        <w:t xml:space="preserve">, </w:t>
      </w:r>
      <w:proofErr w:type="spellStart"/>
      <w:r w:rsidRPr="007F7EBF">
        <w:t>disincant</w:t>
      </w:r>
      <w:r>
        <w:t>ata</w:t>
      </w:r>
      <w:proofErr w:type="spellEnd"/>
      <w:r w:rsidRPr="007F7EBF">
        <w:t xml:space="preserve"> e </w:t>
      </w:r>
      <w:r>
        <w:t xml:space="preserve">non </w:t>
      </w:r>
      <w:proofErr w:type="spellStart"/>
      <w:r>
        <w:t>cooperativa</w:t>
      </w:r>
      <w:proofErr w:type="spellEnd"/>
      <w:r>
        <w:t xml:space="preserve">, come </w:t>
      </w:r>
      <w:proofErr w:type="spellStart"/>
      <w:r>
        <w:t>nell</w:t>
      </w:r>
      <w:r w:rsidRPr="007F7EBF">
        <w:rPr>
          <w:bCs/>
        </w:rPr>
        <w:t>'aforisma</w:t>
      </w:r>
      <w:proofErr w:type="spellEnd"/>
      <w:r w:rsidRPr="007F7EBF">
        <w:rPr>
          <w:bCs/>
        </w:rPr>
        <w:t xml:space="preserve"> "</w:t>
      </w:r>
      <w:proofErr w:type="spellStart"/>
      <w:r w:rsidRPr="007F7EBF">
        <w:rPr>
          <w:bCs/>
        </w:rPr>
        <w:t>governare</w:t>
      </w:r>
      <w:proofErr w:type="spellEnd"/>
      <w:r w:rsidRPr="007F7EBF">
        <w:rPr>
          <w:bCs/>
        </w:rPr>
        <w:t xml:space="preserve"> </w:t>
      </w:r>
      <w:proofErr w:type="spellStart"/>
      <w:r w:rsidRPr="007F7EBF">
        <w:rPr>
          <w:bCs/>
        </w:rPr>
        <w:t>gli</w:t>
      </w:r>
      <w:proofErr w:type="spellEnd"/>
      <w:r w:rsidRPr="007F7EBF">
        <w:rPr>
          <w:bCs/>
        </w:rPr>
        <w:t xml:space="preserve"> </w:t>
      </w:r>
      <w:proofErr w:type="spellStart"/>
      <w:r w:rsidRPr="007F7EBF">
        <w:rPr>
          <w:bCs/>
        </w:rPr>
        <w:t>italiani</w:t>
      </w:r>
      <w:proofErr w:type="spellEnd"/>
      <w:r w:rsidRPr="007F7EBF">
        <w:rPr>
          <w:bCs/>
        </w:rPr>
        <w:t xml:space="preserve"> non è difficile, è inutile"</w:t>
      </w:r>
      <w:r>
        <w:rPr>
          <w:bCs/>
        </w:rPr>
        <w:t xml:space="preserve">, o </w:t>
      </w:r>
      <w:proofErr w:type="spellStart"/>
      <w:r>
        <w:rPr>
          <w:bCs/>
        </w:rPr>
        <w:t>nel</w:t>
      </w:r>
      <w:proofErr w:type="spellEnd"/>
      <w:r>
        <w:rPr>
          <w:bCs/>
        </w:rPr>
        <w:t xml:space="preserve"> video “Lo </w:t>
      </w:r>
      <w:proofErr w:type="spellStart"/>
      <w:r>
        <w:rPr>
          <w:bCs/>
        </w:rPr>
        <w:t>sfogo</w:t>
      </w:r>
      <w:proofErr w:type="spellEnd"/>
      <w:r>
        <w:rPr>
          <w:bCs/>
        </w:rPr>
        <w:t xml:space="preserve"> di Pasquale </w:t>
      </w:r>
      <w:proofErr w:type="spellStart"/>
      <w:r>
        <w:rPr>
          <w:bCs/>
        </w:rPr>
        <w:t>Ametrano</w:t>
      </w:r>
      <w:proofErr w:type="spellEnd"/>
      <w:r>
        <w:rPr>
          <w:bCs/>
        </w:rPr>
        <w:t xml:space="preserve">-Carlo </w:t>
      </w:r>
      <w:proofErr w:type="spellStart"/>
      <w:r>
        <w:rPr>
          <w:bCs/>
        </w:rPr>
        <w:t>Verdone</w:t>
      </w:r>
      <w:proofErr w:type="spellEnd"/>
      <w:r>
        <w:rPr>
          <w:bCs/>
        </w:rPr>
        <w:t xml:space="preserve">” </w:t>
      </w:r>
      <w:proofErr w:type="spellStart"/>
      <w:r>
        <w:rPr>
          <w:bCs/>
        </w:rPr>
        <w:t>su</w:t>
      </w:r>
      <w:proofErr w:type="spellEnd"/>
      <w:r>
        <w:rPr>
          <w:bCs/>
        </w:rPr>
        <w:t xml:space="preserve"> </w:t>
      </w:r>
      <w:proofErr w:type="spellStart"/>
      <w:r>
        <w:rPr>
          <w:bCs/>
        </w:rPr>
        <w:t>youtube</w:t>
      </w:r>
      <w:proofErr w:type="spellEnd"/>
      <w:r>
        <w:rPr>
          <w:bCs/>
        </w:rPr>
        <w:t>.</w:t>
      </w:r>
    </w:p>
  </w:footnote>
  <w:footnote w:id="409">
    <w:p w14:paraId="49A7A7D6" w14:textId="186EB5F7" w:rsidR="003B7460" w:rsidRPr="007F7EBF" w:rsidRDefault="003B7460" w:rsidP="0007308F">
      <w:pPr>
        <w:pStyle w:val="tit23"/>
      </w:pPr>
      <w:r w:rsidRPr="007F7EBF">
        <w:footnoteRef/>
      </w:r>
      <w:r w:rsidRPr="007F7EBF">
        <w:t xml:space="preserve"> )</w:t>
      </w:r>
      <w:r>
        <w:t xml:space="preserve"> Secondo </w:t>
      </w:r>
      <w:proofErr w:type="spellStart"/>
      <w:r>
        <w:t>l’ancestrale</w:t>
      </w:r>
      <w:proofErr w:type="spellEnd"/>
      <w:r w:rsidRPr="007F7EBF">
        <w:t xml:space="preserve"> </w:t>
      </w:r>
      <w:proofErr w:type="spellStart"/>
      <w:r w:rsidRPr="007F7EBF">
        <w:t>tendenza</w:t>
      </w:r>
      <w:proofErr w:type="spellEnd"/>
      <w:r w:rsidRPr="007F7EBF">
        <w:t xml:space="preserve"> a </w:t>
      </w:r>
      <w:proofErr w:type="spellStart"/>
      <w:r>
        <w:t>considerare</w:t>
      </w:r>
      <w:proofErr w:type="spellEnd"/>
      <w:r w:rsidRPr="007F7EBF">
        <w:t xml:space="preserve"> le </w:t>
      </w:r>
      <w:proofErr w:type="spellStart"/>
      <w:r w:rsidRPr="007F7EBF">
        <w:t>disgrazie</w:t>
      </w:r>
      <w:proofErr w:type="spellEnd"/>
      <w:r w:rsidRPr="007F7EBF">
        <w:t xml:space="preserve"> (</w:t>
      </w:r>
      <w:proofErr w:type="spellStart"/>
      <w:r w:rsidRPr="007F7EBF">
        <w:t>siccità</w:t>
      </w:r>
      <w:proofErr w:type="spellEnd"/>
      <w:r w:rsidRPr="007F7EBF">
        <w:t xml:space="preserve">, </w:t>
      </w:r>
      <w:proofErr w:type="spellStart"/>
      <w:r w:rsidRPr="007F7EBF">
        <w:t>epidemie</w:t>
      </w:r>
      <w:proofErr w:type="spellEnd"/>
      <w:r w:rsidRPr="007F7EBF">
        <w:t xml:space="preserve">, </w:t>
      </w:r>
      <w:proofErr w:type="spellStart"/>
      <w:r w:rsidRPr="007F7EBF">
        <w:t>carestie</w:t>
      </w:r>
      <w:proofErr w:type="spellEnd"/>
      <w:r w:rsidRPr="007F7EBF">
        <w:t xml:space="preserve"> </w:t>
      </w:r>
      <w:proofErr w:type="spellStart"/>
      <w:r w:rsidRPr="007F7EBF">
        <w:t>etc</w:t>
      </w:r>
      <w:proofErr w:type="spellEnd"/>
      <w:r w:rsidRPr="007F7EBF">
        <w:t xml:space="preserve">) come </w:t>
      </w:r>
      <w:proofErr w:type="spellStart"/>
      <w:r w:rsidRPr="007F7EBF">
        <w:t>punizioni</w:t>
      </w:r>
      <w:proofErr w:type="spellEnd"/>
      <w:r w:rsidRPr="007F7EBF">
        <w:t xml:space="preserve"> </w:t>
      </w:r>
      <w:proofErr w:type="spellStart"/>
      <w:r w:rsidRPr="007F7EBF">
        <w:t>soprannaturali</w:t>
      </w:r>
      <w:proofErr w:type="spellEnd"/>
      <w:r w:rsidRPr="007F7EBF">
        <w:t xml:space="preserve"> per </w:t>
      </w:r>
      <w:proofErr w:type="spellStart"/>
      <w:r w:rsidRPr="007F7EBF">
        <w:t>ipotetiche</w:t>
      </w:r>
      <w:proofErr w:type="spellEnd"/>
      <w:r w:rsidRPr="007F7EBF">
        <w:t xml:space="preserve"> “</w:t>
      </w:r>
      <w:proofErr w:type="spellStart"/>
      <w:r w:rsidRPr="007F7EBF">
        <w:t>colpe</w:t>
      </w:r>
      <w:proofErr w:type="spellEnd"/>
      <w:r w:rsidRPr="007F7EBF">
        <w:t xml:space="preserve">” di </w:t>
      </w:r>
      <w:proofErr w:type="spellStart"/>
      <w:r w:rsidRPr="007F7EBF">
        <w:t>qualc</w:t>
      </w:r>
      <w:r>
        <w:t>uno</w:t>
      </w:r>
      <w:proofErr w:type="spellEnd"/>
      <w:r>
        <w:t xml:space="preserve">, </w:t>
      </w:r>
      <w:proofErr w:type="spellStart"/>
      <w:r>
        <w:t>dagli</w:t>
      </w:r>
      <w:proofErr w:type="spellEnd"/>
      <w:r>
        <w:t xml:space="preserve"> </w:t>
      </w:r>
      <w:proofErr w:type="spellStart"/>
      <w:r>
        <w:t>untori</w:t>
      </w:r>
      <w:proofErr w:type="spellEnd"/>
      <w:r>
        <w:t xml:space="preserve"> di </w:t>
      </w:r>
      <w:proofErr w:type="spellStart"/>
      <w:r>
        <w:t>manzoniana</w:t>
      </w:r>
      <w:proofErr w:type="spellEnd"/>
      <w:r>
        <w:t xml:space="preserve"> </w:t>
      </w:r>
      <w:proofErr w:type="spellStart"/>
      <w:r>
        <w:t>memoria</w:t>
      </w:r>
      <w:proofErr w:type="spellEnd"/>
      <w:r>
        <w:t xml:space="preserve"> ai</w:t>
      </w:r>
      <w:r w:rsidRPr="007F7EBF">
        <w:t xml:space="preserve">  </w:t>
      </w:r>
      <w:proofErr w:type="spellStart"/>
      <w:r w:rsidRPr="007F7EBF">
        <w:t>grandi</w:t>
      </w:r>
      <w:proofErr w:type="spellEnd"/>
      <w:r w:rsidRPr="007F7EBF">
        <w:t xml:space="preserve"> </w:t>
      </w:r>
      <w:proofErr w:type="spellStart"/>
      <w:r w:rsidRPr="007F7EBF">
        <w:t>evasori</w:t>
      </w:r>
      <w:proofErr w:type="spellEnd"/>
      <w:r w:rsidRPr="007F7EBF">
        <w:t xml:space="preserve"> </w:t>
      </w:r>
      <w:r>
        <w:t>o</w:t>
      </w:r>
      <w:r w:rsidRPr="007F7EBF">
        <w:t xml:space="preserve"> </w:t>
      </w:r>
      <w:proofErr w:type="spellStart"/>
      <w:r>
        <w:t>inversamente</w:t>
      </w:r>
      <w:proofErr w:type="spellEnd"/>
      <w:r>
        <w:t xml:space="preserve"> </w:t>
      </w:r>
      <w:proofErr w:type="spellStart"/>
      <w:r>
        <w:t>alla</w:t>
      </w:r>
      <w:proofErr w:type="spellEnd"/>
      <w:r>
        <w:t xml:space="preserve"> </w:t>
      </w:r>
      <w:proofErr w:type="spellStart"/>
      <w:r>
        <w:t>rapacità</w:t>
      </w:r>
      <w:proofErr w:type="spellEnd"/>
      <w:r>
        <w:t xml:space="preserve"> del </w:t>
      </w:r>
      <w:proofErr w:type="spellStart"/>
      <w:r>
        <w:t>fisco</w:t>
      </w:r>
      <w:proofErr w:type="spellEnd"/>
      <w:r>
        <w:t xml:space="preserve">, </w:t>
      </w:r>
      <w:proofErr w:type="spellStart"/>
      <w:r w:rsidRPr="007F7EBF">
        <w:t>nel</w:t>
      </w:r>
      <w:proofErr w:type="spellEnd"/>
      <w:r w:rsidRPr="007F7EBF">
        <w:t xml:space="preserve"> nostro piccolo di </w:t>
      </w:r>
      <w:proofErr w:type="spellStart"/>
      <w:r w:rsidRPr="007F7EBF">
        <w:t>tributaristi</w:t>
      </w:r>
      <w:proofErr w:type="spellEnd"/>
      <w:r w:rsidRPr="007F7EBF">
        <w:t>.</w:t>
      </w:r>
      <w:r>
        <w:t xml:space="preserve"> </w:t>
      </w:r>
      <w:proofErr w:type="spellStart"/>
      <w:r>
        <w:t>L</w:t>
      </w:r>
      <w:r w:rsidRPr="00D12AD3">
        <w:t>’ultimo</w:t>
      </w:r>
      <w:proofErr w:type="spellEnd"/>
      <w:r w:rsidRPr="00D12AD3">
        <w:t xml:space="preserve"> </w:t>
      </w:r>
      <w:proofErr w:type="spellStart"/>
      <w:r w:rsidRPr="00D12AD3">
        <w:t>dei</w:t>
      </w:r>
      <w:proofErr w:type="spellEnd"/>
      <w:r w:rsidRPr="00D12AD3">
        <w:t xml:space="preserve"> </w:t>
      </w:r>
      <w:r>
        <w:t xml:space="preserve">capri </w:t>
      </w:r>
      <w:proofErr w:type="spellStart"/>
      <w:r>
        <w:t>espiatori</w:t>
      </w:r>
      <w:proofErr w:type="spellEnd"/>
      <w:r w:rsidRPr="00D12AD3">
        <w:t xml:space="preserve"> </w:t>
      </w:r>
      <w:proofErr w:type="spellStart"/>
      <w:r w:rsidRPr="00D12AD3">
        <w:t>siamo</w:t>
      </w:r>
      <w:proofErr w:type="spellEnd"/>
      <w:r w:rsidRPr="00D12AD3">
        <w:t xml:space="preserve"> “</w:t>
      </w:r>
      <w:proofErr w:type="spellStart"/>
      <w:r w:rsidRPr="00D12AD3">
        <w:t>noi</w:t>
      </w:r>
      <w:proofErr w:type="spellEnd"/>
      <w:r w:rsidRPr="00D12AD3">
        <w:t xml:space="preserve"> </w:t>
      </w:r>
      <w:proofErr w:type="spellStart"/>
      <w:r w:rsidRPr="00D12AD3">
        <w:t>stessi</w:t>
      </w:r>
      <w:proofErr w:type="spellEnd"/>
      <w:r w:rsidRPr="00D12AD3">
        <w:t xml:space="preserve">”, con la </w:t>
      </w:r>
      <w:proofErr w:type="spellStart"/>
      <w:r w:rsidRPr="00D12AD3">
        <w:t>tendenza</w:t>
      </w:r>
      <w:proofErr w:type="spellEnd"/>
      <w:r w:rsidRPr="00D12AD3">
        <w:t xml:space="preserve"> </w:t>
      </w:r>
      <w:proofErr w:type="spellStart"/>
      <w:r w:rsidRPr="00D12AD3">
        <w:t>a</w:t>
      </w:r>
      <w:r>
        <w:t>utorazzista</w:t>
      </w:r>
      <w:proofErr w:type="spellEnd"/>
      <w:r>
        <w:t xml:space="preserve"> a</w:t>
      </w:r>
      <w:r w:rsidRPr="00D12AD3">
        <w:t xml:space="preserve"> </w:t>
      </w:r>
      <w:proofErr w:type="spellStart"/>
      <w:r w:rsidRPr="00D12AD3">
        <w:t>definirci</w:t>
      </w:r>
      <w:proofErr w:type="spellEnd"/>
      <w:r w:rsidRPr="00D12AD3">
        <w:t xml:space="preserve"> “</w:t>
      </w:r>
      <w:proofErr w:type="spellStart"/>
      <w:r w:rsidRPr="00D12AD3">
        <w:t>carenti</w:t>
      </w:r>
      <w:proofErr w:type="spellEnd"/>
      <w:r w:rsidRPr="00D12AD3">
        <w:t xml:space="preserve"> di senso </w:t>
      </w:r>
      <w:proofErr w:type="spellStart"/>
      <w:r w:rsidRPr="00D12AD3">
        <w:t>civico</w:t>
      </w:r>
      <w:proofErr w:type="spellEnd"/>
      <w:r w:rsidRPr="00D12AD3">
        <w:t>”</w:t>
      </w:r>
      <w:r>
        <w:t xml:space="preserve">, </w:t>
      </w:r>
      <w:proofErr w:type="spellStart"/>
      <w:r>
        <w:t>su</w:t>
      </w:r>
      <w:proofErr w:type="spellEnd"/>
      <w:r>
        <w:t xml:space="preserve"> cui</w:t>
      </w:r>
      <w:r w:rsidRPr="00D12AD3">
        <w:t xml:space="preserve"> par.4.5</w:t>
      </w:r>
      <w:r>
        <w:t>.</w:t>
      </w:r>
    </w:p>
  </w:footnote>
  <w:footnote w:id="410">
    <w:p w14:paraId="56E7FEF5" w14:textId="77777777" w:rsidR="003B7460" w:rsidRDefault="003B7460" w:rsidP="00A2552A">
      <w:pPr>
        <w:pStyle w:val="tit23"/>
      </w:pPr>
      <w:r>
        <w:footnoteRef/>
      </w:r>
      <w:r>
        <w:t xml:space="preserve"> ) </w:t>
      </w:r>
      <w:proofErr w:type="spellStart"/>
      <w:r>
        <w:t>Espressione</w:t>
      </w:r>
      <w:proofErr w:type="spellEnd"/>
      <w:r>
        <w:t xml:space="preserve"> con cui </w:t>
      </w:r>
      <w:proofErr w:type="spellStart"/>
      <w:r>
        <w:t>l’analisi</w:t>
      </w:r>
      <w:proofErr w:type="spellEnd"/>
      <w:r>
        <w:t xml:space="preserve"> </w:t>
      </w:r>
      <w:proofErr w:type="spellStart"/>
      <w:r>
        <w:t>economica</w:t>
      </w:r>
      <w:proofErr w:type="spellEnd"/>
      <w:r>
        <w:t xml:space="preserve"> del </w:t>
      </w:r>
      <w:proofErr w:type="spellStart"/>
      <w:r>
        <w:t>diritto</w:t>
      </w:r>
      <w:proofErr w:type="spellEnd"/>
      <w:r>
        <w:t xml:space="preserve"> </w:t>
      </w:r>
      <w:proofErr w:type="spellStart"/>
      <w:r>
        <w:t>definisce</w:t>
      </w:r>
      <w:proofErr w:type="spellEnd"/>
      <w:r>
        <w:t xml:space="preserve"> le </w:t>
      </w:r>
      <w:proofErr w:type="spellStart"/>
      <w:r>
        <w:t>necessità</w:t>
      </w:r>
      <w:proofErr w:type="spellEnd"/>
      <w:r>
        <w:t xml:space="preserve"> di </w:t>
      </w:r>
      <w:proofErr w:type="spellStart"/>
      <w:r>
        <w:t>accordo</w:t>
      </w:r>
      <w:proofErr w:type="spellEnd"/>
      <w:r>
        <w:t xml:space="preserve"> per </w:t>
      </w:r>
      <w:proofErr w:type="spellStart"/>
      <w:r>
        <w:t>raggiungere</w:t>
      </w:r>
      <w:proofErr w:type="spellEnd"/>
      <w:r>
        <w:t xml:space="preserve"> un </w:t>
      </w:r>
      <w:proofErr w:type="spellStart"/>
      <w:r>
        <w:t>certo</w:t>
      </w:r>
      <w:proofErr w:type="spellEnd"/>
      <w:r>
        <w:t xml:space="preserve"> </w:t>
      </w:r>
      <w:proofErr w:type="spellStart"/>
      <w:r>
        <w:t>risultato</w:t>
      </w:r>
      <w:proofErr w:type="spellEnd"/>
      <w:r>
        <w:t xml:space="preserve">.  </w:t>
      </w:r>
    </w:p>
  </w:footnote>
  <w:footnote w:id="411">
    <w:p w14:paraId="41279881" w14:textId="0B1DADD8" w:rsidR="003B7460" w:rsidRPr="007F7EBF" w:rsidRDefault="003B7460" w:rsidP="00431F25">
      <w:pPr>
        <w:pStyle w:val="Testonotaapidipagina"/>
      </w:pPr>
      <w:r w:rsidRPr="007F7EBF">
        <w:rPr>
          <w:rStyle w:val="Rimandonotaapidipagina"/>
        </w:rPr>
        <w:footnoteRef/>
      </w:r>
      <w:r w:rsidRPr="007F7EBF">
        <w:t xml:space="preserve"> </w:t>
      </w:r>
      <w:r>
        <w:t xml:space="preserve">) </w:t>
      </w:r>
      <w:r w:rsidRPr="007F7EBF">
        <w:t>La definizione si spiega co</w:t>
      </w:r>
      <w:r>
        <w:t xml:space="preserve">n lo </w:t>
      </w:r>
      <w:r>
        <w:rPr>
          <w:i/>
          <w:iCs/>
        </w:rPr>
        <w:t xml:space="preserve">ius </w:t>
      </w:r>
      <w:proofErr w:type="spellStart"/>
      <w:r>
        <w:rPr>
          <w:i/>
          <w:iCs/>
        </w:rPr>
        <w:t>positum</w:t>
      </w:r>
      <w:proofErr w:type="spellEnd"/>
      <w:r w:rsidRPr="007F7EBF">
        <w:t xml:space="preserve"> </w:t>
      </w:r>
      <w:r>
        <w:t xml:space="preserve">cioè </w:t>
      </w:r>
      <w:r w:rsidRPr="007F7EBF">
        <w:t>i comandi posti (imposti) da qualche autorità.</w:t>
      </w:r>
    </w:p>
  </w:footnote>
  <w:footnote w:id="412">
    <w:p w14:paraId="7D56FA77" w14:textId="7AADABA4" w:rsidR="003B7460" w:rsidRPr="007F7EBF" w:rsidRDefault="003B7460" w:rsidP="00D61A9D">
      <w:pPr>
        <w:pStyle w:val="Testonotaapidipagina"/>
      </w:pPr>
      <w:r w:rsidRPr="007F7EBF">
        <w:rPr>
          <w:rStyle w:val="Rimandonotaapidipagina"/>
        </w:rPr>
        <w:footnoteRef/>
      </w:r>
      <w:r>
        <w:t xml:space="preserve">) </w:t>
      </w:r>
      <w:r w:rsidRPr="007F7EBF">
        <w:t xml:space="preserve">Particolarmente importante, ripetiamo dai parr.1.3 e 2.1, per la funzione giurisdizionale. </w:t>
      </w:r>
    </w:p>
  </w:footnote>
  <w:footnote w:id="413">
    <w:p w14:paraId="6DE73C75" w14:textId="034CBDA2" w:rsidR="003B7460" w:rsidRDefault="003B7460">
      <w:pPr>
        <w:pStyle w:val="Testonotaapidipagina"/>
      </w:pPr>
      <w:r>
        <w:rPr>
          <w:rStyle w:val="Rimandonotaapidipagina"/>
        </w:rPr>
        <w:footnoteRef/>
      </w:r>
      <w:r>
        <w:t xml:space="preserve"> ) Titolo dell’opera di </w:t>
      </w:r>
      <w:proofErr w:type="spellStart"/>
      <w:r>
        <w:t>Kelsen</w:t>
      </w:r>
      <w:proofErr w:type="spellEnd"/>
      <w:r>
        <w:t xml:space="preserve"> poi criticata da chi enfatizza il ruolo dei giudici rispetto a quello della legge, oscillando tra l’autorità politica e quella tecnica, senza esaminare il diritto come studio sociale delle pubbliche funzioni in generale, non solo di quella giurisdizionale.</w:t>
      </w:r>
    </w:p>
  </w:footnote>
  <w:footnote w:id="414">
    <w:p w14:paraId="24AA3602" w14:textId="110F233D" w:rsidR="003B7460" w:rsidRPr="007F7EBF" w:rsidRDefault="003B7460" w:rsidP="007F124C">
      <w:pPr>
        <w:pStyle w:val="Testonotaapidipagina"/>
      </w:pPr>
      <w:r w:rsidRPr="007F7EBF">
        <w:rPr>
          <w:rStyle w:val="Rimandonotaapidipagina"/>
        </w:rPr>
        <w:footnoteRef/>
      </w:r>
      <w:r w:rsidRPr="007F7EBF">
        <w:t xml:space="preserve"> ) </w:t>
      </w:r>
      <w:r>
        <w:t xml:space="preserve">La nascita di </w:t>
      </w:r>
      <w:r w:rsidRPr="007F7EBF">
        <w:t>quest</w:t>
      </w:r>
      <w:r>
        <w:t>’</w:t>
      </w:r>
      <w:r w:rsidRPr="007F7EBF">
        <w:t xml:space="preserve">obbligazione dal presupposto del tributo </w:t>
      </w:r>
      <w:r>
        <w:t>ovvero</w:t>
      </w:r>
      <w:r w:rsidRPr="007F7EBF">
        <w:t xml:space="preserve"> dagli atti di controllo degli uffici tributari</w:t>
      </w:r>
      <w:r>
        <w:t xml:space="preserve"> fu oggetto di un’estenuante disputa </w:t>
      </w:r>
      <w:r w:rsidRPr="007F7EBF">
        <w:t>estinta</w:t>
      </w:r>
      <w:r>
        <w:t xml:space="preserve">si </w:t>
      </w:r>
      <w:r w:rsidRPr="007F7EBF">
        <w:t xml:space="preserve">per consunzione, </w:t>
      </w:r>
      <w:r>
        <w:t>su cui</w:t>
      </w:r>
      <w:r w:rsidRPr="007F7EBF">
        <w:t xml:space="preserve"> il mio post </w:t>
      </w:r>
      <w:r w:rsidRPr="007F7EBF">
        <w:rPr>
          <w:i/>
        </w:rPr>
        <w:t xml:space="preserve">l’obbligazione </w:t>
      </w:r>
      <w:proofErr w:type="spellStart"/>
      <w:r w:rsidRPr="007F7EBF">
        <w:rPr>
          <w:i/>
        </w:rPr>
        <w:t>tributaria:dietro</w:t>
      </w:r>
      <w:proofErr w:type="spellEnd"/>
      <w:r w:rsidRPr="007F7EBF">
        <w:rPr>
          <w:i/>
        </w:rPr>
        <w:t xml:space="preserve"> le polemiche estinte per consunzione</w:t>
      </w:r>
      <w:r w:rsidRPr="007F7EBF">
        <w:t xml:space="preserve"> in </w:t>
      </w:r>
      <w:proofErr w:type="spellStart"/>
      <w:r>
        <w:t>wwwfondazionestuditributaricom</w:t>
      </w:r>
      <w:proofErr w:type="spellEnd"/>
      <w:r>
        <w:fldChar w:fldCharType="begin"/>
      </w:r>
      <w:r>
        <w:instrText xml:space="preserve"> HYPERLINK "http://www.fondazionestuditributari.com" </w:instrText>
      </w:r>
      <w:r>
        <w:fldChar w:fldCharType="end"/>
      </w:r>
      <w:r w:rsidRPr="007F7EBF">
        <w:t>.</w:t>
      </w:r>
      <w:r>
        <w:t>.</w:t>
      </w:r>
    </w:p>
  </w:footnote>
  <w:footnote w:id="415">
    <w:p w14:paraId="65E8610E" w14:textId="77777777" w:rsidR="003B7460" w:rsidRDefault="003B7460" w:rsidP="00F17D51">
      <w:pPr>
        <w:pStyle w:val="Testonotaapidipagina"/>
      </w:pPr>
      <w:r>
        <w:rPr>
          <w:rStyle w:val="Rimandonotaapidipagina"/>
        </w:rPr>
        <w:footnoteRef/>
      </w:r>
      <w:r>
        <w:t xml:space="preserve"> ) </w:t>
      </w:r>
      <w:r>
        <w:rPr>
          <w:sz w:val="22"/>
          <w:szCs w:val="22"/>
        </w:rPr>
        <w:t xml:space="preserve">Mentre è del tutto normale che le funzioni, nel nostro caso </w:t>
      </w:r>
      <w:r>
        <w:rPr>
          <w:bCs/>
          <w:sz w:val="22"/>
          <w:szCs w:val="22"/>
        </w:rPr>
        <w:t xml:space="preserve">la determinazione degli </w:t>
      </w:r>
      <w:r w:rsidRPr="0090319C">
        <w:rPr>
          <w:sz w:val="22"/>
          <w:szCs w:val="22"/>
        </w:rPr>
        <w:t>imponibili</w:t>
      </w:r>
      <w:r>
        <w:rPr>
          <w:sz w:val="22"/>
          <w:szCs w:val="22"/>
        </w:rPr>
        <w:t xml:space="preserve">, come </w:t>
      </w:r>
      <w:r w:rsidRPr="0090319C">
        <w:rPr>
          <w:sz w:val="22"/>
          <w:szCs w:val="22"/>
        </w:rPr>
        <w:t xml:space="preserve">oggetto economico </w:t>
      </w:r>
      <w:r>
        <w:rPr>
          <w:sz w:val="22"/>
          <w:szCs w:val="22"/>
        </w:rPr>
        <w:t>del diritto tributario (</w:t>
      </w:r>
      <w:r w:rsidRPr="0090319C">
        <w:rPr>
          <w:sz w:val="22"/>
          <w:szCs w:val="22"/>
        </w:rPr>
        <w:t>par.1.8</w:t>
      </w:r>
      <w:r>
        <w:rPr>
          <w:sz w:val="22"/>
          <w:szCs w:val="22"/>
        </w:rPr>
        <w:t xml:space="preserve">), siano prive di riscontro -proprio in quanto “scientifiche”- in materiali normativi elaborati con finalità di governo, recependo l’eventuale confusione sottostante (par.2.4). </w:t>
      </w:r>
    </w:p>
  </w:footnote>
  <w:footnote w:id="416">
    <w:p w14:paraId="2307F788" w14:textId="77777777" w:rsidR="003B7460" w:rsidRPr="007F7EBF" w:rsidRDefault="003B7460" w:rsidP="00F859DE">
      <w:pPr>
        <w:pStyle w:val="Testonotaapidipagina"/>
      </w:pPr>
      <w:r w:rsidRPr="007F7EBF">
        <w:rPr>
          <w:rStyle w:val="Rimandonotaapidipagina"/>
        </w:rPr>
        <w:footnoteRef/>
      </w:r>
      <w:r>
        <w:t>) Accanto al contorto tecnicismo casistico riemerse il tradizionale filone economico-politico sulla “giustizia fiscale” con scritti</w:t>
      </w:r>
      <w:r w:rsidRPr="007F7EBF">
        <w:t xml:space="preserve"> di </w:t>
      </w:r>
      <w:r>
        <w:t xml:space="preserve">un certo fascino, come  </w:t>
      </w:r>
      <w:r w:rsidRPr="007F7EBF">
        <w:t xml:space="preserve">Tremonti, la Fiera delle Tasse, il Mulino, 2003, </w:t>
      </w:r>
      <w:r>
        <w:t>e</w:t>
      </w:r>
      <w:r w:rsidRPr="007F7EBF">
        <w:t xml:space="preserve"> successiv</w:t>
      </w:r>
      <w:r>
        <w:t xml:space="preserve">e insistenze </w:t>
      </w:r>
      <w:r w:rsidRPr="007F7EBF">
        <w:t xml:space="preserve">su </w:t>
      </w:r>
      <w:r w:rsidRPr="007F7EBF">
        <w:rPr>
          <w:i/>
        </w:rPr>
        <w:t xml:space="preserve">new </w:t>
      </w:r>
      <w:proofErr w:type="spellStart"/>
      <w:r w:rsidRPr="007F7EBF">
        <w:rPr>
          <w:i/>
        </w:rPr>
        <w:t>properties</w:t>
      </w:r>
      <w:proofErr w:type="spellEnd"/>
      <w:r w:rsidRPr="007F7EBF">
        <w:rPr>
          <w:i/>
        </w:rPr>
        <w:t xml:space="preserve"> </w:t>
      </w:r>
      <w:r w:rsidRPr="007F7EBF">
        <w:t xml:space="preserve">e </w:t>
      </w:r>
      <w:r w:rsidRPr="007F7EBF">
        <w:rPr>
          <w:i/>
        </w:rPr>
        <w:t>finanziarizzazione</w:t>
      </w:r>
      <w:r w:rsidRPr="007F7EBF">
        <w:t xml:space="preserve">, prima assecondata poi demonizzata; meno </w:t>
      </w:r>
      <w:r>
        <w:t>accattivanti</w:t>
      </w:r>
      <w:r w:rsidRPr="007F7EBF">
        <w:t xml:space="preserve"> invece Gallo, Le ragioni del fisco, Il Mulino, 2010, Giovannini, Il re fisco è nudo, F. Angeli, 2016</w:t>
      </w:r>
      <w:r>
        <w:t xml:space="preserve">; </w:t>
      </w:r>
      <w:r w:rsidRPr="007F7EBF">
        <w:t xml:space="preserve">Boria, Lo stato impossibile, Cedam, 2013, corredato </w:t>
      </w:r>
      <w:r>
        <w:t xml:space="preserve">persino </w:t>
      </w:r>
      <w:r w:rsidRPr="007F7EBF">
        <w:t xml:space="preserve">di progetti di una nuova costituzione su tutti gli aspetti della società. </w:t>
      </w:r>
      <w:r>
        <w:t>Anche</w:t>
      </w:r>
      <w:r w:rsidRPr="007F7EBF">
        <w:t xml:space="preserve"> </w:t>
      </w:r>
      <w:r>
        <w:t>nella</w:t>
      </w:r>
      <w:r w:rsidRPr="007F7EBF">
        <w:t xml:space="preserve"> </w:t>
      </w:r>
      <w:r>
        <w:t xml:space="preserve">migliore prospettiva </w:t>
      </w:r>
      <w:r w:rsidRPr="007F7EBF">
        <w:t xml:space="preserve">(Stevanato, </w:t>
      </w:r>
      <w:r w:rsidRPr="00240F56">
        <w:rPr>
          <w:i/>
        </w:rPr>
        <w:t>La giustificazione sociale dell’imposta</w:t>
      </w:r>
      <w:r w:rsidRPr="007F7EBF">
        <w:t xml:space="preserve">, Il Mulino, 2014) </w:t>
      </w:r>
      <w:r>
        <w:t>passa inevitabilmente in secondo piano la giuridicità della funzione tributaria come specificazione delle astrazioni economiche di cui al par.1.8.</w:t>
      </w:r>
    </w:p>
  </w:footnote>
  <w:footnote w:id="417">
    <w:p w14:paraId="7B09E7F3" w14:textId="5324BDA3" w:rsidR="003B7460" w:rsidRPr="007F7EBF" w:rsidRDefault="003B7460" w:rsidP="00F70D55">
      <w:pPr>
        <w:pStyle w:val="Testonotaapidipagina"/>
      </w:pPr>
      <w:r w:rsidRPr="007F7EBF">
        <w:rPr>
          <w:rStyle w:val="Rimandonotaapidipagina"/>
        </w:rPr>
        <w:footnoteRef/>
      </w:r>
      <w:r w:rsidRPr="007F7EBF">
        <w:t xml:space="preserve"> )</w:t>
      </w:r>
      <w:r>
        <w:t xml:space="preserve"> Con </w:t>
      </w:r>
      <w:r>
        <w:rPr>
          <w:sz w:val="22"/>
          <w:szCs w:val="22"/>
        </w:rPr>
        <w:t>luoghi comuni, giri di parole e frasi fatte, d</w:t>
      </w:r>
      <w:r>
        <w:t>ietro le quali torna l’irrisolto ed esorcizzato rapporto tra studi sociali e discorsi di senso comune, su cui par.4.7</w:t>
      </w:r>
      <w:r w:rsidRPr="00987374">
        <w:t>.</w:t>
      </w:r>
    </w:p>
  </w:footnote>
  <w:footnote w:id="418">
    <w:p w14:paraId="57CFEA6F" w14:textId="59E76C22" w:rsidR="003B7460" w:rsidRPr="007F7EBF" w:rsidRDefault="003B7460" w:rsidP="00E56B6E">
      <w:pPr>
        <w:pStyle w:val="Testonotaapidipagina"/>
      </w:pPr>
      <w:r w:rsidRPr="007F7EBF">
        <w:rPr>
          <w:rStyle w:val="Rimandonotaapidipagina"/>
        </w:rPr>
        <w:footnoteRef/>
      </w:r>
      <w:r w:rsidRPr="007F7EBF">
        <w:t xml:space="preserve"> ) </w:t>
      </w:r>
      <w:r>
        <w:rPr>
          <w:sz w:val="22"/>
          <w:szCs w:val="22"/>
        </w:rPr>
        <w:t xml:space="preserve">Si tratta della versione giuridica delle espressioni vagamente in tema per disorientare l’interlocutore, le c.d. </w:t>
      </w:r>
      <w:r w:rsidRPr="00F0409A">
        <w:rPr>
          <w:i/>
        </w:rPr>
        <w:t>Supercazzole</w:t>
      </w:r>
      <w:r>
        <w:t xml:space="preserve"> </w:t>
      </w:r>
      <w:r w:rsidRPr="007F7EBF">
        <w:t xml:space="preserve"> </w:t>
      </w:r>
      <w:r>
        <w:t xml:space="preserve">(ormai </w:t>
      </w:r>
      <w:r>
        <w:rPr>
          <w:sz w:val="22"/>
          <w:szCs w:val="22"/>
        </w:rPr>
        <w:t xml:space="preserve">sul dizionario </w:t>
      </w:r>
      <w:r w:rsidRPr="007F7EBF">
        <w:t>Zingarelli</w:t>
      </w:r>
      <w:r>
        <w:t xml:space="preserve">) che intrecciano espressioni incomprensibili ad allusioni disorientanti per l’interlocutore, come </w:t>
      </w:r>
      <w:r w:rsidRPr="007F7EBF">
        <w:t>"</w:t>
      </w:r>
      <w:r w:rsidRPr="007F7EBF">
        <w:rPr>
          <w:i/>
        </w:rPr>
        <w:t>vicesindaco</w:t>
      </w:r>
      <w:r w:rsidRPr="007F7EBF">
        <w:t xml:space="preserve">" </w:t>
      </w:r>
      <w:r>
        <w:t xml:space="preserve">parlando col </w:t>
      </w:r>
      <w:r w:rsidRPr="007F7EBF">
        <w:t>vigile urbano,</w:t>
      </w:r>
      <w:r>
        <w:t xml:space="preserve"> </w:t>
      </w:r>
      <w:r w:rsidRPr="007F7EBF">
        <w:t>"</w:t>
      </w:r>
      <w:r w:rsidRPr="007F7EBF">
        <w:rPr>
          <w:i/>
        </w:rPr>
        <w:t xml:space="preserve">dominus </w:t>
      </w:r>
      <w:proofErr w:type="spellStart"/>
      <w:r w:rsidRPr="007F7EBF">
        <w:rPr>
          <w:i/>
        </w:rPr>
        <w:t>vobiscum</w:t>
      </w:r>
      <w:proofErr w:type="spellEnd"/>
      <w:r w:rsidRPr="007F7EBF">
        <w:t>"</w:t>
      </w:r>
      <w:r>
        <w:t xml:space="preserve"> col </w:t>
      </w:r>
      <w:r w:rsidRPr="007F7EBF">
        <w:t>parroco, "</w:t>
      </w:r>
      <w:r w:rsidRPr="007F7EBF">
        <w:rPr>
          <w:i/>
        </w:rPr>
        <w:t>cappelle e fuochi fatui</w:t>
      </w:r>
      <w:r w:rsidRPr="007F7EBF">
        <w:t xml:space="preserve">" </w:t>
      </w:r>
      <w:r>
        <w:t xml:space="preserve">col custode </w:t>
      </w:r>
      <w:r w:rsidRPr="007F7EBF">
        <w:t>del cimitero, "</w:t>
      </w:r>
      <w:r w:rsidRPr="007F7EBF">
        <w:rPr>
          <w:i/>
        </w:rPr>
        <w:t>pentolone</w:t>
      </w:r>
      <w:r w:rsidRPr="007F7EBF">
        <w:t xml:space="preserve">" </w:t>
      </w:r>
      <w:r>
        <w:t xml:space="preserve">col </w:t>
      </w:r>
      <w:r w:rsidRPr="007F7EBF">
        <w:t xml:space="preserve">cuoco, </w:t>
      </w:r>
      <w:r>
        <w:t xml:space="preserve">“ </w:t>
      </w:r>
      <w:r w:rsidRPr="007F7EBF">
        <w:rPr>
          <w:i/>
        </w:rPr>
        <w:t>trazione</w:t>
      </w:r>
      <w:r w:rsidRPr="007F7EBF">
        <w:t xml:space="preserve">" </w:t>
      </w:r>
      <w:r>
        <w:t xml:space="preserve">con </w:t>
      </w:r>
      <w:r w:rsidRPr="007F7EBF">
        <w:t>l'ortopedico</w:t>
      </w:r>
      <w:r>
        <w:t xml:space="preserve">; analoghi sono i generatori automatici </w:t>
      </w:r>
      <w:r w:rsidRPr="007F7EBF">
        <w:t>in rete</w:t>
      </w:r>
      <w:r>
        <w:t xml:space="preserve"> di frasi solo apparentemente in tema come sa</w:t>
      </w:r>
      <w:r w:rsidRPr="007F7EBF">
        <w:t xml:space="preserve">ndrodiremigio.com/giochi/generatore_frasi_senza_senso.htm. </w:t>
      </w:r>
      <w:r>
        <w:t xml:space="preserve">o meglio </w:t>
      </w:r>
      <w:r w:rsidRPr="00047AEE">
        <w:rPr>
          <w:i/>
          <w:iCs/>
        </w:rPr>
        <w:t>vagamente in tema.</w:t>
      </w:r>
      <w:r>
        <w:t xml:space="preserve"> </w:t>
      </w:r>
    </w:p>
  </w:footnote>
  <w:footnote w:id="419">
    <w:p w14:paraId="35FB6393" w14:textId="3501ED7E" w:rsidR="003B7460" w:rsidRDefault="003B7460" w:rsidP="00C372EE">
      <w:pPr>
        <w:pStyle w:val="Testonotaapidipagina"/>
      </w:pPr>
      <w:r>
        <w:rPr>
          <w:rStyle w:val="Rimandonotaapidipagina"/>
        </w:rPr>
        <w:footnoteRef/>
      </w:r>
      <w:r>
        <w:t xml:space="preserve"> ) </w:t>
      </w:r>
      <w:r>
        <w:rPr>
          <w:sz w:val="22"/>
          <w:szCs w:val="22"/>
        </w:rPr>
        <w:t xml:space="preserve">Anzi, una critica di </w:t>
      </w:r>
      <w:r w:rsidRPr="00826C60">
        <w:rPr>
          <w:sz w:val="22"/>
          <w:szCs w:val="22"/>
        </w:rPr>
        <w:t xml:space="preserve">merito legittima questi scritti, presupponendone un </w:t>
      </w:r>
      <w:r>
        <w:rPr>
          <w:sz w:val="22"/>
          <w:szCs w:val="22"/>
        </w:rPr>
        <w:t>senso logico, ed infatti davanti alle critiche l’autore chiede di dirgli “dove ha sbagliato”. La richiesta è s</w:t>
      </w:r>
      <w:r>
        <w:t>ostanza provocatoria in quanto il problema non è di errori, ma di senso, come notava  se</w:t>
      </w:r>
      <w:r w:rsidRPr="007F7EBF">
        <w:t xml:space="preserve">coli fa </w:t>
      </w:r>
      <w:proofErr w:type="spellStart"/>
      <w:r w:rsidRPr="007F7EBF">
        <w:t>Jhering</w:t>
      </w:r>
      <w:proofErr w:type="spellEnd"/>
      <w:r w:rsidRPr="007F7EBF">
        <w:t xml:space="preserve"> (</w:t>
      </w:r>
      <w:r w:rsidRPr="00CA0838">
        <w:rPr>
          <w:i/>
        </w:rPr>
        <w:t>Serio e faceto nel diritto</w:t>
      </w:r>
      <w:r>
        <w:t xml:space="preserve">, </w:t>
      </w:r>
      <w:r w:rsidRPr="007F7EBF">
        <w:t xml:space="preserve">edizione Sansoni 1954,  pag.121) </w:t>
      </w:r>
      <w:r>
        <w:t>sugli scritti destinati solo a</w:t>
      </w:r>
      <w:r w:rsidRPr="007F7EBF">
        <w:t xml:space="preserve"> </w:t>
      </w:r>
      <w:r w:rsidRPr="007F7EBF">
        <w:rPr>
          <w:i/>
        </w:rPr>
        <w:t>sfondare le porte delle università</w:t>
      </w:r>
      <w:r>
        <w:t xml:space="preserve">. </w:t>
      </w:r>
    </w:p>
  </w:footnote>
  <w:footnote w:id="420">
    <w:p w14:paraId="590C19EA" w14:textId="5A6F448A" w:rsidR="003B7460" w:rsidRDefault="003B7460">
      <w:pPr>
        <w:pStyle w:val="Testonotaapidipagina"/>
      </w:pPr>
      <w:r>
        <w:rPr>
          <w:rStyle w:val="Rimandonotaapidipagina"/>
        </w:rPr>
        <w:footnoteRef/>
      </w:r>
      <w:r>
        <w:t xml:space="preserve"> ) C</w:t>
      </w:r>
      <w:r>
        <w:rPr>
          <w:color w:val="14171A"/>
          <w:shd w:val="clear" w:color="auto" w:fill="FFFFFF"/>
        </w:rPr>
        <w:t xml:space="preserve">on </w:t>
      </w:r>
      <w:r w:rsidRPr="007F7EBF">
        <w:t>reazioni tipo “</w:t>
      </w:r>
      <w:r w:rsidRPr="007F7EBF">
        <w:rPr>
          <w:i/>
        </w:rPr>
        <w:t>lo fanno in tanti perché lo dici solo a me, che cosa ti ho fatto, ce l’hai con me,</w:t>
      </w:r>
      <w:r w:rsidRPr="007F7EBF">
        <w:t xml:space="preserve"> </w:t>
      </w:r>
      <w:proofErr w:type="spellStart"/>
      <w:r w:rsidRPr="007F7EBF">
        <w:t>etc.etc</w:t>
      </w:r>
      <w:proofErr w:type="spellEnd"/>
      <w:r>
        <w:t>.</w:t>
      </w:r>
    </w:p>
  </w:footnote>
  <w:footnote w:id="421">
    <w:p w14:paraId="0CE1F11D" w14:textId="74CFC844" w:rsidR="003B7460" w:rsidRDefault="003B7460">
      <w:pPr>
        <w:pStyle w:val="Testonotaapidipagina"/>
      </w:pPr>
      <w:r>
        <w:rPr>
          <w:rStyle w:val="Rimandonotaapidipagina"/>
        </w:rPr>
        <w:footnoteRef/>
      </w:r>
      <w:r>
        <w:t xml:space="preserve"> </w:t>
      </w:r>
      <w:r w:rsidRPr="007F7EBF">
        <w:t xml:space="preserve">Lupi, </w:t>
      </w:r>
      <w:r w:rsidRPr="007F7EBF">
        <w:rPr>
          <w:i/>
        </w:rPr>
        <w:t>Valutazione dei saperi e diritto, tra tecnica e scienza sociale delle pubbliche funzioni</w:t>
      </w:r>
      <w:r w:rsidRPr="007F7EBF">
        <w:t>, in Innovazione e diritto, scaricabile online, n.4 del 201</w:t>
      </w:r>
      <w:r>
        <w:t>7.</w:t>
      </w:r>
    </w:p>
  </w:footnote>
  <w:footnote w:id="422">
    <w:p w14:paraId="78A30E9F" w14:textId="41E5EDD3" w:rsidR="003B7460" w:rsidRDefault="003B7460" w:rsidP="002665D4">
      <w:pPr>
        <w:pStyle w:val="Testonotaapidipagina"/>
      </w:pPr>
      <w:r>
        <w:rPr>
          <w:rStyle w:val="Rimandonotaapidipagina"/>
        </w:rPr>
        <w:footnoteRef/>
      </w:r>
      <w:r>
        <w:t>) Anche chi scrive veniva invitato, in gioventù, da accademici ritenuti “raffinati studiosi”, a non precisare il proprio pensiero, mantenendosi il più possibile allusivo e paludato.</w:t>
      </w:r>
    </w:p>
  </w:footnote>
  <w:footnote w:id="423">
    <w:p w14:paraId="2258A85F" w14:textId="77777777" w:rsidR="003B7460" w:rsidRDefault="003B7460" w:rsidP="006B6F34">
      <w:pPr>
        <w:pStyle w:val="Testonotaapidipagina"/>
      </w:pPr>
      <w:r>
        <w:rPr>
          <w:rStyle w:val="Rimandonotaapidipagina"/>
        </w:rPr>
        <w:footnoteRef/>
      </w:r>
      <w:r>
        <w:t xml:space="preserve"> Su questo </w:t>
      </w:r>
      <w:r w:rsidRPr="00016CC0">
        <w:t>riflesso espositivo-letterario del sapere umanistico-sociale par.4.7</w:t>
      </w:r>
      <w:r>
        <w:t>.</w:t>
      </w:r>
    </w:p>
  </w:footnote>
  <w:footnote w:id="424">
    <w:p w14:paraId="57CCA582" w14:textId="77777777" w:rsidR="003B7460" w:rsidRDefault="003B7460" w:rsidP="00CF413A">
      <w:pPr>
        <w:pStyle w:val="Testonotaapidipagina"/>
      </w:pPr>
      <w:r>
        <w:rPr>
          <w:rStyle w:val="Rimandonotaapidipagina"/>
        </w:rPr>
        <w:footnoteRef/>
      </w:r>
      <w:r>
        <w:t>) Dove ci si preoccupava solo della r</w:t>
      </w:r>
      <w:r w:rsidRPr="007F7EBF">
        <w:t>iproduzione universitaria dei propri “geni"</w:t>
      </w:r>
      <w:r>
        <w:t xml:space="preserve">, dove il </w:t>
      </w:r>
      <w:r w:rsidRPr="007F7EBF">
        <w:t xml:space="preserve">virgolettato </w:t>
      </w:r>
      <w:r>
        <w:t xml:space="preserve">è </w:t>
      </w:r>
      <w:r w:rsidRPr="007F7EBF">
        <w:t>d’obbligo</w:t>
      </w:r>
      <w:r>
        <w:t xml:space="preserve">, visto il predominio della scientificità esteriore. Alcuni mesi dopo </w:t>
      </w:r>
      <w:r w:rsidRPr="00826C60">
        <w:t>la prima edizione di questo libro,</w:t>
      </w:r>
      <w:r>
        <w:t xml:space="preserve"> le diagnosi che già vi erano presenti, sono state confermate dalle </w:t>
      </w:r>
      <w:r w:rsidRPr="00826C60">
        <w:t xml:space="preserve">inchieste sui concorsi universitari nella materia, </w:t>
      </w:r>
      <w:r>
        <w:t>con</w:t>
      </w:r>
      <w:r w:rsidRPr="00826C60">
        <w:t xml:space="preserve"> documenti ufficiali </w:t>
      </w:r>
      <w:r>
        <w:t xml:space="preserve">facilmente </w:t>
      </w:r>
      <w:r w:rsidRPr="00826C60">
        <w:t>reperibili</w:t>
      </w:r>
      <w:r>
        <w:t xml:space="preserve">. Al di là contingenze e personalismi, tutto viene dalla mancanza di collante scientifico, come spiego nel video </w:t>
      </w:r>
      <w:r w:rsidRPr="007F7EBF">
        <w:t xml:space="preserve">su </w:t>
      </w:r>
      <w:proofErr w:type="spellStart"/>
      <w:r w:rsidRPr="007F7EBF">
        <w:t>youtube</w:t>
      </w:r>
      <w:proofErr w:type="spellEnd"/>
      <w:r w:rsidRPr="007F7EBF">
        <w:t xml:space="preserve"> </w:t>
      </w:r>
      <w:r>
        <w:t xml:space="preserve">dal titolo </w:t>
      </w:r>
      <w:r w:rsidRPr="007F7EBF">
        <w:t>“</w:t>
      </w:r>
      <w:proofErr w:type="spellStart"/>
      <w:r w:rsidRPr="007F7EBF">
        <w:t>Cattedropoli</w:t>
      </w:r>
      <w:proofErr w:type="spellEnd"/>
      <w:r w:rsidRPr="007F7EBF">
        <w:t xml:space="preserve"> abuso del potere dei saperi e magistratura penale”</w:t>
      </w:r>
      <w:r>
        <w:t xml:space="preserve">. Per ulteriori riflessioni propositive sul tema </w:t>
      </w:r>
      <w:proofErr w:type="spellStart"/>
      <w:r>
        <w:t>cfr</w:t>
      </w:r>
      <w:proofErr w:type="spellEnd"/>
      <w:r>
        <w:t xml:space="preserve"> par.4.7.</w:t>
      </w:r>
    </w:p>
  </w:footnote>
  <w:footnote w:id="425">
    <w:p w14:paraId="68948E6A" w14:textId="7A22A4FE" w:rsidR="003B7460" w:rsidRDefault="003B7460" w:rsidP="005A745F">
      <w:pPr>
        <w:pStyle w:val="Testonotaapidipagina"/>
      </w:pPr>
      <w:r>
        <w:rPr>
          <w:rStyle w:val="Rimandonotaapidipagina"/>
        </w:rPr>
        <w:footnoteRef/>
      </w:r>
      <w:r>
        <w:t xml:space="preserve"> ) V</w:t>
      </w:r>
      <w:r w:rsidRPr="007F7EBF">
        <w:t>edi su</w:t>
      </w:r>
      <w:r>
        <w:t xml:space="preserve"> </w:t>
      </w:r>
      <w:proofErr w:type="spellStart"/>
      <w:r>
        <w:t>Giustiziafiscalecom</w:t>
      </w:r>
      <w:proofErr w:type="spellEnd"/>
      <w:r w:rsidRPr="007F7EBF">
        <w:t xml:space="preserve"> il post  </w:t>
      </w:r>
      <w:r w:rsidRPr="007F7EBF">
        <w:rPr>
          <w:i/>
        </w:rPr>
        <w:t>Evasione fiscale: se ne occupano tutti eccetto i professori</w:t>
      </w:r>
      <w:r w:rsidRPr="007F7EBF">
        <w:t>.</w:t>
      </w:r>
      <w:r>
        <w:t xml:space="preserve"> Nessuno </w:t>
      </w:r>
      <w:r w:rsidRPr="007F7EBF">
        <w:t>impegna</w:t>
      </w:r>
      <w:r>
        <w:t xml:space="preserve"> </w:t>
      </w:r>
      <w:r w:rsidRPr="007F7EBF">
        <w:t xml:space="preserve">tempo e fatica </w:t>
      </w:r>
      <w:r>
        <w:t xml:space="preserve">a contrastare la scientificità esteriore dell’accademia, ma semplicemente vi si sostituisce, ed anzi paradossalmente tenta di penetrare nell’accademia, per l’immagine che essa ancora può dare, come il </w:t>
      </w:r>
      <w:r w:rsidRPr="007F7EBF">
        <w:t xml:space="preserve">patrocinio a </w:t>
      </w:r>
      <w:r>
        <w:t>convegni</w:t>
      </w:r>
      <w:r w:rsidRPr="007F7EBF">
        <w:t xml:space="preserve">, </w:t>
      </w:r>
      <w:r>
        <w:t xml:space="preserve">contratti di insegnamento, articoli sulla stampa, docenze in </w:t>
      </w:r>
      <w:r w:rsidRPr="005E19AF">
        <w:rPr>
          <w:i/>
        </w:rPr>
        <w:t>master</w:t>
      </w:r>
      <w:r>
        <w:t xml:space="preserve"> e simili. </w:t>
      </w:r>
    </w:p>
  </w:footnote>
  <w:footnote w:id="426">
    <w:p w14:paraId="27066606" w14:textId="1A5A042D" w:rsidR="003B7460" w:rsidRPr="0084754C" w:rsidRDefault="003B7460" w:rsidP="00CE5F96">
      <w:r w:rsidRPr="007F7EBF">
        <w:rPr>
          <w:rStyle w:val="Rimandonotaapidipagina"/>
          <w:sz w:val="20"/>
          <w:szCs w:val="20"/>
        </w:rPr>
        <w:footnoteRef/>
      </w:r>
      <w:r>
        <w:rPr>
          <w:sz w:val="20"/>
          <w:szCs w:val="20"/>
        </w:rPr>
        <w:t xml:space="preserve">) </w:t>
      </w:r>
      <w:r>
        <w:t xml:space="preserve">Per questo il professionista legale non viene visto come studioso sociale, ma come conoscitore di leggi per risolvere casi singoli. L’avvocato ha un’immagine </w:t>
      </w:r>
      <w:r>
        <w:rPr>
          <w:i/>
          <w:iCs/>
        </w:rPr>
        <w:t xml:space="preserve">non scientifica </w:t>
      </w:r>
      <w:r>
        <w:t xml:space="preserve"> già dall’</w:t>
      </w:r>
      <w:r w:rsidRPr="007F7EBF">
        <w:rPr>
          <w:i/>
        </w:rPr>
        <w:t>Azzeccagarbugli</w:t>
      </w:r>
      <w:r w:rsidRPr="007F7EBF">
        <w:t xml:space="preserve"> </w:t>
      </w:r>
      <w:r>
        <w:t xml:space="preserve"> di manzoniana memoria, al video </w:t>
      </w:r>
      <w:r w:rsidRPr="007F7EBF">
        <w:t>“avvocato e contadino”</w:t>
      </w:r>
      <w:r>
        <w:t xml:space="preserve">, </w:t>
      </w:r>
      <w:r w:rsidRPr="007F7EBF">
        <w:t xml:space="preserve"> </w:t>
      </w:r>
      <w:r>
        <w:t xml:space="preserve">a quello </w:t>
      </w:r>
      <w:r w:rsidRPr="00E5067B">
        <w:rPr>
          <w:i/>
          <w:iCs/>
        </w:rPr>
        <w:t>un mondo senza avvocati</w:t>
      </w:r>
      <w:r>
        <w:t>.</w:t>
      </w:r>
    </w:p>
  </w:footnote>
  <w:footnote w:id="427">
    <w:p w14:paraId="5A77044A" w14:textId="77777777" w:rsidR="003B7460" w:rsidRDefault="003B7460" w:rsidP="00E5067B">
      <w:pPr>
        <w:pStyle w:val="Testonotaapidipagina"/>
      </w:pPr>
      <w:r>
        <w:rPr>
          <w:rStyle w:val="Rimandonotaapidipagina"/>
        </w:rPr>
        <w:footnoteRef/>
      </w:r>
      <w:r>
        <w:t xml:space="preserve"> ) Si veda il par.4.7 sull’importanza della comunicazione nel sapere umanistico sociale, mentre il </w:t>
      </w:r>
      <w:r w:rsidRPr="007F7EBF">
        <w:t>professionista non è</w:t>
      </w:r>
      <w:r>
        <w:t xml:space="preserve"> certo </w:t>
      </w:r>
      <w:r w:rsidRPr="007F7EBF">
        <w:t>un comunicatore</w:t>
      </w:r>
      <w:r>
        <w:t>, neppure</w:t>
      </w:r>
      <w:r w:rsidRPr="007F7EBF">
        <w:t xml:space="preserve"> verso altri professionisti, così come un</w:t>
      </w:r>
      <w:r>
        <w:t xml:space="preserve"> ragazzo non sarebbe capace di redigere un libro per ragazzi. Il denominatore comune degli autori di estrazione professionale è solo il (legittimo) desiderio di visibilità come esperti, per vendere servizi professionali.</w:t>
      </w:r>
    </w:p>
  </w:footnote>
  <w:footnote w:id="428">
    <w:p w14:paraId="77EAFBD0" w14:textId="3633D590" w:rsidR="003B7460" w:rsidRDefault="003B7460">
      <w:pPr>
        <w:pStyle w:val="Testonotaapidipagina"/>
      </w:pPr>
      <w:r>
        <w:rPr>
          <w:rStyle w:val="Rimandonotaapidipagina"/>
        </w:rPr>
        <w:footnoteRef/>
      </w:r>
      <w:r>
        <w:t xml:space="preserve"> ) Rovesciando l’aforisma di Kurt Lewin </w:t>
      </w:r>
      <w:r>
        <w:rPr>
          <w:bCs/>
          <w:sz w:val="22"/>
          <w:szCs w:val="22"/>
        </w:rPr>
        <w:t xml:space="preserve">secondo cui </w:t>
      </w:r>
      <w:r>
        <w:t>“non c’è nulla di più pratico di una buona teoria”, le confuse</w:t>
      </w:r>
      <w:r>
        <w:rPr>
          <w:sz w:val="22"/>
          <w:szCs w:val="22"/>
        </w:rPr>
        <w:t xml:space="preserve"> spiegazioni sociali della funzione tributaria peggiorano la tecnica nel settore. Anch’essa </w:t>
      </w:r>
      <w:r>
        <w:t xml:space="preserve">si svuota di senso,  fino al limite in cui </w:t>
      </w:r>
      <w:r>
        <w:rPr>
          <w:i/>
          <w:iCs/>
        </w:rPr>
        <w:t>ognuno si capisce da solo</w:t>
      </w:r>
      <w:r>
        <w:t xml:space="preserve"> e l’autoreferenzialità professionale, con la morte del pensiero, si aggiunge a quella accademica di cui al par.4.3. </w:t>
      </w:r>
    </w:p>
  </w:footnote>
  <w:footnote w:id="429">
    <w:p w14:paraId="769EB9F9" w14:textId="285B06D7" w:rsidR="003B7460" w:rsidRPr="007F7EBF" w:rsidRDefault="003B7460" w:rsidP="00450DD4">
      <w:pPr>
        <w:pStyle w:val="Testonotaapidipagina"/>
      </w:pPr>
      <w:r w:rsidRPr="007F7EBF">
        <w:rPr>
          <w:rStyle w:val="Rimandonotaapidipagina"/>
        </w:rPr>
        <w:footnoteRef/>
      </w:r>
      <w:r w:rsidRPr="007F7EBF">
        <w:t xml:space="preserve"> ) </w:t>
      </w:r>
      <w:r>
        <w:t xml:space="preserve">Abbiamo visto al par.4.1 e 2.4 che le autorità politiche non propongono spiegazioni, ma se del caso persuasioni finalizzate al consenso sui loro programmi. </w:t>
      </w:r>
    </w:p>
  </w:footnote>
  <w:footnote w:id="430">
    <w:p w14:paraId="40DEC9BC" w14:textId="35F5D397" w:rsidR="003B7460" w:rsidRPr="007F7EBF" w:rsidRDefault="003B7460" w:rsidP="007A3DCC">
      <w:pPr>
        <w:pStyle w:val="Testonotaapidipagina"/>
      </w:pPr>
      <w:r w:rsidRPr="007F7EBF">
        <w:rPr>
          <w:rStyle w:val="Rimandonotaapidipagina"/>
        </w:rPr>
        <w:footnoteRef/>
      </w:r>
      <w:r w:rsidRPr="007F7EBF">
        <w:t xml:space="preserve"> ) </w:t>
      </w:r>
      <w:r>
        <w:t xml:space="preserve">Istituzioni autorevoli, come magistratura, consiglio di stato, forze di polizia, Banca d’Italia, si sono inserite, assieme ai giornalisti, nell’interlocuzione sociale, riempiendo i vuoti di accademie sempre più autoreferenziali. </w:t>
      </w:r>
      <w:r w:rsidRPr="007F7EBF">
        <w:t xml:space="preserve"> </w:t>
      </w:r>
      <w:r>
        <w:t xml:space="preserve">Di esse ci sarebbe invece più bisogno per un proficuo rapporto tra potere e sapere, che deve riuscire a essere “socialmente convincente”.  </w:t>
      </w:r>
    </w:p>
  </w:footnote>
  <w:footnote w:id="431">
    <w:p w14:paraId="54D69C8C" w14:textId="43393038" w:rsidR="003B7460" w:rsidRPr="007F7EBF" w:rsidRDefault="003B7460" w:rsidP="00D419E1">
      <w:pPr>
        <w:pStyle w:val="Testonotaapidipagina"/>
      </w:pPr>
      <w:r w:rsidRPr="007F7EBF">
        <w:rPr>
          <w:rStyle w:val="Rimandonotaapidipagina"/>
        </w:rPr>
        <w:footnoteRef/>
      </w:r>
      <w:r w:rsidRPr="007F7EBF">
        <w:t xml:space="preserve"> ) </w:t>
      </w:r>
      <w:r>
        <w:t xml:space="preserve">La </w:t>
      </w:r>
      <w:r w:rsidRPr="007F7EBF">
        <w:t>confusione</w:t>
      </w:r>
      <w:r>
        <w:t xml:space="preserve"> di frasi incomprensibili, ma allusive, come la scientificità esteriore,, diminuisce il controllo sociale ed agevola l’esercizio incontrollato del potere, essendone uno strumento, come nel video </w:t>
      </w:r>
      <w:proofErr w:type="spellStart"/>
      <w:r>
        <w:rPr>
          <w:i/>
        </w:rPr>
        <w:t>Atreyu</w:t>
      </w:r>
      <w:proofErr w:type="spellEnd"/>
      <w:r>
        <w:rPr>
          <w:i/>
        </w:rPr>
        <w:t xml:space="preserve"> </w:t>
      </w:r>
      <w:proofErr w:type="spellStart"/>
      <w:r>
        <w:rPr>
          <w:i/>
        </w:rPr>
        <w:t>Gmork</w:t>
      </w:r>
      <w:proofErr w:type="spellEnd"/>
      <w:r>
        <w:rPr>
          <w:i/>
        </w:rPr>
        <w:t xml:space="preserve"> e il nulla</w:t>
      </w:r>
      <w:r>
        <w:t xml:space="preserve">. Nel diritto, infatti, secondo una felice espressione di Cordero, </w:t>
      </w:r>
      <w:r>
        <w:rPr>
          <w:i/>
        </w:rPr>
        <w:t>es</w:t>
      </w:r>
      <w:r w:rsidRPr="007F7EBF">
        <w:rPr>
          <w:i/>
        </w:rPr>
        <w:t>iste un monopolio delle cabale, contano solo le parole uscite di bocca a gente segnata</w:t>
      </w:r>
      <w:r>
        <w:rPr>
          <w:i/>
        </w:rPr>
        <w:t xml:space="preserve"> </w:t>
      </w:r>
      <w:r>
        <w:t>(</w:t>
      </w:r>
      <w:r w:rsidRPr="007F7EBF">
        <w:t>quarta di copertina di Riti e Sapienza del diritto, Laterza, 1981</w:t>
      </w:r>
      <w:r>
        <w:t xml:space="preserve">). La confusione facilita formalismi, possibilità di irrigidirsi dietro stereotipi vagamente in tema, o lasciar correre, come emerge in frasi tipo </w:t>
      </w:r>
      <w:r w:rsidRPr="007F7EBF">
        <w:t>"lo sa che io se voglio posso rovinarla"</w:t>
      </w:r>
      <w:r>
        <w:t xml:space="preserve">? Nella confusione riemergono, presso i detentori di poteri, gli atteggiamenti evocati da </w:t>
      </w:r>
      <w:r w:rsidRPr="007F7EBF">
        <w:t>Giuseppe Gioacchino Belli</w:t>
      </w:r>
      <w:r>
        <w:t xml:space="preserve"> nel sonetto </w:t>
      </w:r>
      <w:r w:rsidRPr="007F7EBF">
        <w:rPr>
          <w:i/>
        </w:rPr>
        <w:t xml:space="preserve">Li soprani </w:t>
      </w:r>
      <w:proofErr w:type="spellStart"/>
      <w:r w:rsidRPr="007F7EBF">
        <w:rPr>
          <w:i/>
        </w:rPr>
        <w:t>der</w:t>
      </w:r>
      <w:proofErr w:type="spellEnd"/>
      <w:r w:rsidRPr="007F7EBF">
        <w:rPr>
          <w:i/>
        </w:rPr>
        <w:t xml:space="preserve"> </w:t>
      </w:r>
      <w:proofErr w:type="spellStart"/>
      <w:r w:rsidRPr="007F7EBF">
        <w:rPr>
          <w:i/>
        </w:rPr>
        <w:t>monno</w:t>
      </w:r>
      <w:proofErr w:type="spellEnd"/>
      <w:r w:rsidRPr="007F7EBF">
        <w:rPr>
          <w:i/>
        </w:rPr>
        <w:t xml:space="preserve"> vecchio </w:t>
      </w:r>
      <w:r w:rsidRPr="007F7EBF">
        <w:t>(i sovrani del mondo antico)</w:t>
      </w:r>
      <w:r>
        <w:t xml:space="preserve">, visibile su </w:t>
      </w:r>
      <w:proofErr w:type="spellStart"/>
      <w:r w:rsidRPr="007F7EBF">
        <w:t>youtube</w:t>
      </w:r>
      <w:proofErr w:type="spellEnd"/>
      <w:r w:rsidRPr="007F7EBF">
        <w:t xml:space="preserve">, digitando “io </w:t>
      </w:r>
      <w:proofErr w:type="spellStart"/>
      <w:r w:rsidRPr="007F7EBF">
        <w:t>s</w:t>
      </w:r>
      <w:r>
        <w:t>ò</w:t>
      </w:r>
      <w:proofErr w:type="spellEnd"/>
      <w:r w:rsidRPr="007F7EBF">
        <w:t xml:space="preserve"> io e voi non siete un cazzo”</w:t>
      </w:r>
      <w:r>
        <w:t>, o i timori di Ch</w:t>
      </w:r>
      <w:r w:rsidRPr="007F7EBF">
        <w:t xml:space="preserve">arlie Brown </w:t>
      </w:r>
      <w:r>
        <w:t xml:space="preserve">che </w:t>
      </w:r>
      <w:r w:rsidRPr="007F7EBF">
        <w:t xml:space="preserve">perde il libro della biblioteca </w:t>
      </w:r>
      <w:r>
        <w:t xml:space="preserve">e </w:t>
      </w:r>
      <w:proofErr w:type="spellStart"/>
      <w:r>
        <w:t>scrive</w:t>
      </w:r>
      <w:r w:rsidRPr="007F7EBF">
        <w:t>“</w:t>
      </w:r>
      <w:r w:rsidRPr="00BC3135">
        <w:rPr>
          <w:i/>
        </w:rPr>
        <w:t>Quando</w:t>
      </w:r>
      <w:proofErr w:type="spellEnd"/>
      <w:r w:rsidRPr="00BC3135">
        <w:rPr>
          <w:i/>
        </w:rPr>
        <w:t xml:space="preserve"> un uomo lotta contro una istituzione è sempre l’istituzione che tende a prevalere</w:t>
      </w:r>
      <w:r w:rsidRPr="007F7EBF">
        <w:t>”</w:t>
      </w:r>
      <w:r>
        <w:t>.</w:t>
      </w:r>
    </w:p>
  </w:footnote>
  <w:footnote w:id="432">
    <w:p w14:paraId="61D8860C" w14:textId="64F2C254" w:rsidR="003B7460" w:rsidRDefault="003B7460">
      <w:pPr>
        <w:pStyle w:val="Testonotaapidipagina"/>
      </w:pPr>
      <w:r>
        <w:rPr>
          <w:rStyle w:val="Rimandonotaapidipagina"/>
        </w:rPr>
        <w:footnoteRef/>
      </w:r>
      <w:r>
        <w:t xml:space="preserve"> ) </w:t>
      </w:r>
      <w:proofErr w:type="spellStart"/>
      <w:r>
        <w:t>Cfr</w:t>
      </w:r>
      <w:proofErr w:type="spellEnd"/>
      <w:r>
        <w:t xml:space="preserve"> anche par.4.1 su questa carenza di formazione sociale , confermata dalla passività con cui gli esponenti del capitalismo familiare si sono fatti definire “capitalisti”, sottovalutando il proprio ruolo organizzativo. </w:t>
      </w:r>
    </w:p>
  </w:footnote>
  <w:footnote w:id="433">
    <w:p w14:paraId="32455AD8" w14:textId="71111E92" w:rsidR="003B7460" w:rsidRPr="007F7EBF" w:rsidRDefault="003B7460" w:rsidP="00087238">
      <w:pPr>
        <w:pStyle w:val="Testonotaapidipagina"/>
      </w:pPr>
      <w:r w:rsidRPr="007F7EBF">
        <w:rPr>
          <w:rStyle w:val="Rimandonotaapidipagina"/>
        </w:rPr>
        <w:footnoteRef/>
      </w:r>
      <w:r>
        <w:t xml:space="preserve">) Cioè provviste di quel filo logico spesso smarrito dagli studi sociali (par.4.3 e </w:t>
      </w:r>
      <w:r w:rsidRPr="007F7EBF">
        <w:t>par.4.7</w:t>
      </w:r>
      <w:r>
        <w:t xml:space="preserve">), il che incoraggia un’opinione pubblica esuberante (par.4.1) </w:t>
      </w:r>
      <w:r w:rsidRPr="007F7EBF">
        <w:t>a dire la propria</w:t>
      </w:r>
      <w:r>
        <w:t xml:space="preserve">, </w:t>
      </w:r>
      <w:r w:rsidRPr="007F7EBF">
        <w:t>all’insegna dell’”allora sono capace anch’io”</w:t>
      </w:r>
      <w:r>
        <w:t>; la confusione che ne deriva paralizza la funzione tributaria, come vedremo al par.5.3.</w:t>
      </w:r>
    </w:p>
  </w:footnote>
  <w:footnote w:id="434">
    <w:p w14:paraId="2A496277" w14:textId="1EA9A489" w:rsidR="003B7460" w:rsidRPr="007F7EBF" w:rsidRDefault="003B7460" w:rsidP="006D13D1">
      <w:pPr>
        <w:rPr>
          <w:sz w:val="20"/>
          <w:szCs w:val="20"/>
        </w:rPr>
      </w:pPr>
      <w:r w:rsidRPr="007F7EBF">
        <w:rPr>
          <w:rStyle w:val="Rimandonotaapidipagina"/>
          <w:sz w:val="20"/>
          <w:szCs w:val="20"/>
        </w:rPr>
        <w:footnoteRef/>
      </w:r>
      <w:r w:rsidRPr="007F7EBF">
        <w:rPr>
          <w:sz w:val="20"/>
          <w:szCs w:val="20"/>
        </w:rPr>
        <w:t xml:space="preserve"> </w:t>
      </w:r>
      <w:r>
        <w:rPr>
          <w:sz w:val="20"/>
          <w:szCs w:val="20"/>
        </w:rPr>
        <w:t>) La funzione tributaria è molto gettonata in quanto r</w:t>
      </w:r>
      <w:r w:rsidRPr="007F7EBF">
        <w:rPr>
          <w:sz w:val="22"/>
          <w:szCs w:val="22"/>
        </w:rPr>
        <w:t>iguarda tutti personalmente ed offr</w:t>
      </w:r>
      <w:r>
        <w:rPr>
          <w:sz w:val="22"/>
          <w:szCs w:val="22"/>
        </w:rPr>
        <w:t>e</w:t>
      </w:r>
      <w:r w:rsidRPr="007F7EBF">
        <w:rPr>
          <w:sz w:val="22"/>
          <w:szCs w:val="22"/>
        </w:rPr>
        <w:t xml:space="preserve"> spunti</w:t>
      </w:r>
      <w:r>
        <w:rPr>
          <w:sz w:val="22"/>
          <w:szCs w:val="22"/>
        </w:rPr>
        <w:t xml:space="preserve"> </w:t>
      </w:r>
      <w:r w:rsidRPr="007F7EBF">
        <w:rPr>
          <w:sz w:val="22"/>
          <w:szCs w:val="22"/>
        </w:rPr>
        <w:t xml:space="preserve"> politico-</w:t>
      </w:r>
      <w:r>
        <w:rPr>
          <w:sz w:val="22"/>
          <w:szCs w:val="22"/>
        </w:rPr>
        <w:t>economici (</w:t>
      </w:r>
      <w:r w:rsidRPr="007F7EBF">
        <w:rPr>
          <w:sz w:val="20"/>
          <w:szCs w:val="20"/>
        </w:rPr>
        <w:t>par.1.7</w:t>
      </w:r>
      <w:r>
        <w:rPr>
          <w:sz w:val="20"/>
          <w:szCs w:val="20"/>
        </w:rPr>
        <w:t xml:space="preserve">); </w:t>
      </w:r>
    </w:p>
  </w:footnote>
  <w:footnote w:id="435">
    <w:p w14:paraId="7DA09D53" w14:textId="2A96B35E" w:rsidR="003B7460" w:rsidRDefault="003B7460">
      <w:pPr>
        <w:pStyle w:val="Testonotaapidipagina"/>
      </w:pPr>
      <w:r>
        <w:rPr>
          <w:rStyle w:val="Rimandonotaapidipagina"/>
        </w:rPr>
        <w:footnoteRef/>
      </w:r>
      <w:r>
        <w:t xml:space="preserve">) </w:t>
      </w:r>
      <w:r w:rsidRPr="007F7EBF">
        <w:t xml:space="preserve">Gli inneschi sono di solito l’evasione, l’instabilità normativa, le aliquote, </w:t>
      </w:r>
      <w:r>
        <w:t xml:space="preserve">i paradossi legalistico-burocratici, su cui </w:t>
      </w:r>
      <w:r w:rsidRPr="007F7EBF">
        <w:t>tutti buttano lì qualche spunto, anche sensato, ma riduttivo</w:t>
      </w:r>
      <w:r>
        <w:t xml:space="preserve">. </w:t>
      </w:r>
      <w:r w:rsidRPr="007F7EBF">
        <w:t xml:space="preserve">Tutti dicono la loro nella breve finestra temporale in cui sono interessati </w:t>
      </w:r>
      <w:r>
        <w:t>o coinvolti sul</w:t>
      </w:r>
      <w:r w:rsidRPr="007F7EBF">
        <w:t xml:space="preserve"> tema, </w:t>
      </w:r>
      <w:proofErr w:type="spellStart"/>
      <w:r w:rsidRPr="007F7EBF">
        <w:t>finchè</w:t>
      </w:r>
      <w:proofErr w:type="spellEnd"/>
      <w:r w:rsidRPr="007F7EBF">
        <w:t xml:space="preserve"> non sono assorbiti da altre priorità, con risposte “all’italiana”,  creative, immaginifiche, ma anche improvvisate, secondo lo spontaneismo di cui al par.</w:t>
      </w:r>
      <w:r>
        <w:t xml:space="preserve">4.1; </w:t>
      </w:r>
      <w:r w:rsidRPr="007F7EBF">
        <w:t>un noto giornalista, durante un talk show</w:t>
      </w:r>
      <w:r>
        <w:t>,</w:t>
      </w:r>
      <w:r w:rsidRPr="007F7EBF">
        <w:t xml:space="preserve"> </w:t>
      </w:r>
      <w:r>
        <w:t>mi chiese quale fosse un paese fiscalmente efficiente e mi suggerì di risolvere il problema dell’evasione</w:t>
      </w:r>
      <w:r w:rsidRPr="007F7EBF">
        <w:t xml:space="preserve"> copia</w:t>
      </w:r>
      <w:r>
        <w:t>ndone</w:t>
      </w:r>
      <w:r w:rsidRPr="007F7EBF">
        <w:t xml:space="preserve"> le leggi tributarie</w:t>
      </w:r>
      <w:r>
        <w:t>, a conferma dell</w:t>
      </w:r>
      <w:r w:rsidRPr="007F7EBF">
        <w:t>a confusione</w:t>
      </w:r>
      <w:r>
        <w:t xml:space="preserve"> t</w:t>
      </w:r>
      <w:r w:rsidRPr="007F7EBF">
        <w:t>ra leggi, diritto e istituzioni.</w:t>
      </w:r>
    </w:p>
  </w:footnote>
  <w:footnote w:id="436">
    <w:p w14:paraId="15977764" w14:textId="79615FD3" w:rsidR="003B7460" w:rsidRPr="007F7EBF" w:rsidRDefault="003B7460" w:rsidP="00721C2E">
      <w:pPr>
        <w:pStyle w:val="Testonotaapidipagina"/>
      </w:pPr>
      <w:r w:rsidRPr="007F7EBF">
        <w:rPr>
          <w:rStyle w:val="Rimandonotaapidipagina"/>
        </w:rPr>
        <w:footnoteRef/>
      </w:r>
      <w:r w:rsidRPr="007F7EBF">
        <w:t xml:space="preserve"> ) </w:t>
      </w:r>
      <w:r>
        <w:t>Le aliquote sono una delle variabili dell’adempimento fiscale, formalizzate in modelli economici di cui al par.1.5 (</w:t>
      </w:r>
      <w:proofErr w:type="spellStart"/>
      <w:r w:rsidRPr="007F7EBF">
        <w:t>Allingham</w:t>
      </w:r>
      <w:proofErr w:type="spellEnd"/>
      <w:r w:rsidRPr="007F7EBF">
        <w:t xml:space="preserve"> e </w:t>
      </w:r>
      <w:proofErr w:type="spellStart"/>
      <w:r w:rsidRPr="007F7EBF">
        <w:t>Sandmo</w:t>
      </w:r>
      <w:proofErr w:type="spellEnd"/>
      <w:r>
        <w:t>)</w:t>
      </w:r>
      <w:r w:rsidRPr="007F7EBF">
        <w:t xml:space="preserve"> secondo cui il grado  di adempimento fiscale dipende da aliquote, attività degli uffici tributari e sanzioni. </w:t>
      </w:r>
    </w:p>
  </w:footnote>
  <w:footnote w:id="437">
    <w:p w14:paraId="6EF5F8E5" w14:textId="1D0CCA83" w:rsidR="003B7460" w:rsidRPr="007F7EBF" w:rsidRDefault="003B7460" w:rsidP="00277344">
      <w:pPr>
        <w:pStyle w:val="Testonotaapidipagina"/>
      </w:pPr>
      <w:r w:rsidRPr="007F7EBF">
        <w:rPr>
          <w:rStyle w:val="Rimandonotaapidipagina"/>
        </w:rPr>
        <w:footnoteRef/>
      </w:r>
      <w:r>
        <w:t xml:space="preserve">) </w:t>
      </w:r>
      <w:r w:rsidRPr="007F7EBF">
        <w:t>Si tratta degli operatori economici</w:t>
      </w:r>
      <w:r>
        <w:t xml:space="preserve"> di cui ai par.3.13,</w:t>
      </w:r>
      <w:r w:rsidRPr="007F7EBF">
        <w:t xml:space="preserve"> controllabili mediante una stima per ordine di grandezza basata sulle caratteristiche fisico-economiche della propria attività (piccoli commercianti, albergatori, ristoratori, prestatori di servizi fisicamente localizzabili, come meccanici, garagisti e simili)</w:t>
      </w:r>
      <w:r>
        <w:t>.</w:t>
      </w:r>
    </w:p>
  </w:footnote>
  <w:footnote w:id="438">
    <w:p w14:paraId="3FD3D001" w14:textId="3A8FA265" w:rsidR="003B7460" w:rsidRDefault="003B7460">
      <w:pPr>
        <w:pStyle w:val="Testonotaapidipagina"/>
      </w:pPr>
      <w:r>
        <w:rPr>
          <w:rStyle w:val="Rimandonotaapidipagina"/>
        </w:rPr>
        <w:footnoteRef/>
      </w:r>
      <w:r>
        <w:t xml:space="preserve"> ) E’ insomma controproducente </w:t>
      </w:r>
      <w:r>
        <w:rPr>
          <w:sz w:val="22"/>
          <w:szCs w:val="22"/>
        </w:rPr>
        <w:t>fronteggiare l’evasione degli imponibili sfuggenti, relativamente minoritari, diminuendo le aliquote generali, applicabili a tutti.</w:t>
      </w:r>
    </w:p>
  </w:footnote>
  <w:footnote w:id="439">
    <w:p w14:paraId="188B97E3" w14:textId="3AAAFE9A" w:rsidR="003B7460" w:rsidRDefault="003B7460" w:rsidP="00301FE9">
      <w:pPr>
        <w:pStyle w:val="Testonotaapidipagina"/>
      </w:pPr>
      <w:r>
        <w:rPr>
          <w:rStyle w:val="Rimandonotaapidipagina"/>
        </w:rPr>
        <w:footnoteRef/>
      </w:r>
      <w:r>
        <w:t xml:space="preserve"> ) Cui si collega la sopravvalutata teoria sociologica del c.d. “familismo amorale” e </w:t>
      </w:r>
      <w:r>
        <w:rPr>
          <w:sz w:val="22"/>
          <w:szCs w:val="22"/>
        </w:rPr>
        <w:t>l’autocommiserazione da bar del “</w:t>
      </w:r>
      <w:r>
        <w:rPr>
          <w:i/>
          <w:sz w:val="22"/>
          <w:szCs w:val="22"/>
        </w:rPr>
        <w:t>beh che vuol fare, signora mia,  siamo italiani.</w:t>
      </w:r>
    </w:p>
  </w:footnote>
  <w:footnote w:id="440">
    <w:p w14:paraId="2D7EF844" w14:textId="0144FFD8" w:rsidR="003B7460" w:rsidRDefault="003B7460">
      <w:pPr>
        <w:pStyle w:val="Testonotaapidipagina"/>
      </w:pPr>
      <w:r>
        <w:rPr>
          <w:rStyle w:val="Rimandonotaapidipagina"/>
        </w:rPr>
        <w:footnoteRef/>
      </w:r>
      <w:r>
        <w:t xml:space="preserve"> ) A queste spiegazioni “moralistico-lombrosiane”, sull’evasore per tendenza congenita, sono riconducibili anche le accus</w:t>
      </w:r>
      <w:r w:rsidRPr="007F7EBF">
        <w:t xml:space="preserve">e di concorrenza sleale, secondo cui </w:t>
      </w:r>
      <w:r>
        <w:t xml:space="preserve">esso non rispetterebbe </w:t>
      </w:r>
      <w:r w:rsidRPr="007F7EBF">
        <w:t xml:space="preserve">neppure i propri stessi </w:t>
      </w:r>
      <w:r w:rsidRPr="007F7EBF">
        <w:rPr>
          <w:b/>
        </w:rPr>
        <w:t>valori</w:t>
      </w:r>
      <w:r w:rsidRPr="007F7EBF">
        <w:t xml:space="preserve"> di “libero mercato” e “competizione"</w:t>
      </w:r>
      <w:r>
        <w:t xml:space="preserve">; abbiamo visto invece </w:t>
      </w:r>
      <w:r w:rsidRPr="007F7EBF">
        <w:t>al par.3.8 che i comportamenti tendono a omogeneizzarsi</w:t>
      </w:r>
      <w:r>
        <w:t xml:space="preserve">, </w:t>
      </w:r>
      <w:r w:rsidRPr="007F7EBF">
        <w:t>a parità di caratteristiche aziendali</w:t>
      </w:r>
      <w:r>
        <w:t xml:space="preserve">, e che la “concorrenza sleale da evasione” è peculiare a specifici settori, come le “frodi IVA” di cui al par.7.3. </w:t>
      </w:r>
    </w:p>
  </w:footnote>
  <w:footnote w:id="441">
    <w:p w14:paraId="569F1DF8" w14:textId="3D7913B4" w:rsidR="003B7460" w:rsidRDefault="003B7460" w:rsidP="00AB1649">
      <w:pPr>
        <w:pStyle w:val="Testonotaapidipagina"/>
      </w:pPr>
      <w:r>
        <w:rPr>
          <w:rStyle w:val="Rimandonotaapidipagina"/>
        </w:rPr>
        <w:footnoteRef/>
      </w:r>
      <w:r>
        <w:t xml:space="preserve"> ) </w:t>
      </w:r>
      <w:r>
        <w:rPr>
          <w:sz w:val="22"/>
          <w:szCs w:val="22"/>
        </w:rPr>
        <w:t>L’intuitiva unitarietà del senso civico risulta anche da tutto il testo (par.3.8 sui “fuori busta”) oltre che dal senso comune sui “secondi lavori” fiscalmente non dichiarati, dall’</w:t>
      </w:r>
      <w:r w:rsidRPr="007F7EBF">
        <w:t>assenteis</w:t>
      </w:r>
      <w:r>
        <w:t xml:space="preserve">mo, e dai vantaggi collaterali dell’impiego, fino alle mance, alla corruzione (par.5.11). Incolpare  </w:t>
      </w:r>
      <w:r w:rsidRPr="007F7EBF">
        <w:t xml:space="preserve">i contribuenti dell'evasione è come addebitare ai malati le disfunzioni della sanità, agli studenti quelle della scuola o </w:t>
      </w:r>
      <w:r>
        <w:t xml:space="preserve">ai passeggeri </w:t>
      </w:r>
      <w:r w:rsidRPr="007F7EBF">
        <w:t>quelle de</w:t>
      </w:r>
      <w:r>
        <w:t>i trasporti</w:t>
      </w:r>
      <w:r w:rsidRPr="007F7EBF">
        <w:t>.</w:t>
      </w:r>
      <w:r>
        <w:t xml:space="preserve"> Sorprendente che questa spiegazione sia </w:t>
      </w:r>
      <w:r w:rsidRPr="007F7EBF">
        <w:t>palesata da professori ordinari di diritto tributario</w:t>
      </w:r>
      <w:r>
        <w:t xml:space="preserve"> come Fichera, Le belle Tasse</w:t>
      </w:r>
      <w:r w:rsidRPr="007F7EBF">
        <w:t>,</w:t>
      </w:r>
      <w:r>
        <w:t xml:space="preserve"> edito da Einaudi e utile solo ad alimentare l’opposta e più diffusa narrazione dal titolo “</w:t>
      </w:r>
      <w:r w:rsidRPr="00342698">
        <w:rPr>
          <w:i/>
          <w:iCs/>
        </w:rPr>
        <w:t>Un bambino mi ha chiesto cosa sono le tasse e io per farglielo capire gli ho mangiato l'82% della sua merendina. Più tardi ho visto che la seconda merendina l'ha mangiata di nascosto da me. Gli ho detto che è un EVASORE e che come Sanzione deve darmi il 200% dell'82% della merendina evasa, più gli interessi. Ma merendine non ne ha più. Gli ho detto che domani gli mando EQUIPAPA' a sequestrargli i giochi se non mi versa la Sanzione. Ha pianto tutto il giorno e non ha più mangiato merendine creando disperazione in chi le produceva costringendolo a chiudere negozio. Il bimbo senza merendine è diventato irascibile, smagrito e non mi ascolta più. Quello del negozio si è suicidato</w:t>
      </w:r>
      <w:r>
        <w:t xml:space="preserve">. </w:t>
      </w:r>
    </w:p>
  </w:footnote>
  <w:footnote w:id="442">
    <w:p w14:paraId="6070334A" w14:textId="222D6E8F" w:rsidR="003B7460" w:rsidRPr="007F7EBF" w:rsidRDefault="003B7460" w:rsidP="00184B03">
      <w:pPr>
        <w:pStyle w:val="Testonotaapidipagina"/>
      </w:pPr>
      <w:r w:rsidRPr="007F7EBF">
        <w:rPr>
          <w:rStyle w:val="Rimandonotaapidipagina"/>
        </w:rPr>
        <w:footnoteRef/>
      </w:r>
      <w:r w:rsidRPr="007F7EBF">
        <w:t xml:space="preserve"> )</w:t>
      </w:r>
      <w:r>
        <w:t xml:space="preserve"> La percezione della propria visibilità fiscale è minore per gli operatori senza sede fissa, come l’idraulico e gli altri di cui al par.3.15. Se costoro dichiarano meno degli operatori in sede fissa non è per minor senso civico, ma per consapevolezza di una minore visibilità fiscale e per la consapevolezza di avere meno da perdere, anche per una situazione nel complesso più precaria, senza avviamento da salvaguardare. </w:t>
      </w:r>
    </w:p>
  </w:footnote>
  <w:footnote w:id="443">
    <w:p w14:paraId="1B0883BD" w14:textId="152F38D7" w:rsidR="003B7460" w:rsidRPr="007F7EBF" w:rsidRDefault="003B7460" w:rsidP="001736AF">
      <w:pPr>
        <w:pStyle w:val="Testonotaapidipagina"/>
      </w:pPr>
      <w:r w:rsidRPr="007F7EBF">
        <w:rPr>
          <w:rStyle w:val="Rimandonotaapidipagina"/>
        </w:rPr>
        <w:footnoteRef/>
      </w:r>
      <w:r w:rsidRPr="007F7EBF">
        <w:t xml:space="preserve"> ) </w:t>
      </w:r>
      <w:r>
        <w:t>Una declinazione “per categoria economica” dell’</w:t>
      </w:r>
      <w:proofErr w:type="spellStart"/>
      <w:r w:rsidRPr="007F7EBF">
        <w:rPr>
          <w:bCs/>
          <w:i/>
          <w:sz w:val="22"/>
          <w:szCs w:val="22"/>
        </w:rPr>
        <w:t>autorazzis</w:t>
      </w:r>
      <w:r>
        <w:rPr>
          <w:bCs/>
          <w:i/>
          <w:sz w:val="22"/>
          <w:szCs w:val="22"/>
        </w:rPr>
        <w:t>mo</w:t>
      </w:r>
      <w:proofErr w:type="spellEnd"/>
      <w:r>
        <w:rPr>
          <w:bCs/>
          <w:i/>
          <w:sz w:val="22"/>
          <w:szCs w:val="22"/>
        </w:rPr>
        <w:t xml:space="preserve"> </w:t>
      </w:r>
      <w:r w:rsidRPr="001736AF">
        <w:rPr>
          <w:bCs/>
          <w:sz w:val="22"/>
          <w:szCs w:val="22"/>
        </w:rPr>
        <w:t>di cui al</w:t>
      </w:r>
      <w:r>
        <w:rPr>
          <w:bCs/>
          <w:i/>
          <w:sz w:val="22"/>
          <w:szCs w:val="22"/>
        </w:rPr>
        <w:t xml:space="preserve"> </w:t>
      </w:r>
      <w:r w:rsidRPr="007F7EBF">
        <w:rPr>
          <w:bCs/>
          <w:sz w:val="22"/>
          <w:szCs w:val="22"/>
        </w:rPr>
        <w:t>par.</w:t>
      </w:r>
      <w:r>
        <w:rPr>
          <w:bCs/>
          <w:sz w:val="22"/>
          <w:szCs w:val="22"/>
        </w:rPr>
        <w:t xml:space="preserve">4.1, mentre </w:t>
      </w:r>
      <w:r w:rsidRPr="007F7EBF">
        <w:rPr>
          <w:bCs/>
          <w:sz w:val="22"/>
          <w:szCs w:val="22"/>
        </w:rPr>
        <w:t>i</w:t>
      </w:r>
      <w:r w:rsidRPr="007F7EBF">
        <w:rPr>
          <w:sz w:val="22"/>
          <w:szCs w:val="22"/>
        </w:rPr>
        <w:t xml:space="preserve"> confronti internazionali confermano che per la determinazione dei tributi nessuno è patriota</w:t>
      </w:r>
      <w:r w:rsidRPr="007F7EBF">
        <w:t xml:space="preserve"> </w:t>
      </w:r>
      <w:r>
        <w:t>(</w:t>
      </w:r>
      <w:r w:rsidRPr="007F7EBF">
        <w:t>aforisma di George Orwell</w:t>
      </w:r>
      <w:r>
        <w:t xml:space="preserve">); studi </w:t>
      </w:r>
      <w:r w:rsidRPr="007F7EBF">
        <w:t>economici recenti</w:t>
      </w:r>
      <w:r>
        <w:t xml:space="preserve"> confermano che persino </w:t>
      </w:r>
      <w:r w:rsidRPr="007F7EBF">
        <w:t xml:space="preserve">paesi con forte senso civico, e  scarsissimo </w:t>
      </w:r>
      <w:r>
        <w:t xml:space="preserve">contante </w:t>
      </w:r>
      <w:r w:rsidRPr="007F7EBF">
        <w:t>(par. 5.16)</w:t>
      </w:r>
      <w:r>
        <w:t>, hanno notevoli quote di imponibili non</w:t>
      </w:r>
      <w:r w:rsidRPr="007F7EBF">
        <w:t xml:space="preserve"> registra</w:t>
      </w:r>
      <w:r>
        <w:t>ti</w:t>
      </w:r>
      <w:r w:rsidRPr="007F7EBF">
        <w:t>.</w:t>
      </w:r>
    </w:p>
  </w:footnote>
  <w:footnote w:id="444">
    <w:p w14:paraId="70C64CE7" w14:textId="7AC9A3C8" w:rsidR="003B7460" w:rsidRPr="007F7EBF" w:rsidRDefault="003B7460">
      <w:pPr>
        <w:pStyle w:val="Testonotaapidipagina"/>
      </w:pPr>
      <w:r w:rsidRPr="007F7EBF">
        <w:rPr>
          <w:rStyle w:val="Rimandonotaapidipagina"/>
        </w:rPr>
        <w:footnoteRef/>
      </w:r>
      <w:r w:rsidRPr="007F7EBF">
        <w:t xml:space="preserve"> ) </w:t>
      </w:r>
      <w:r>
        <w:rPr>
          <w:bCs/>
          <w:sz w:val="22"/>
          <w:szCs w:val="22"/>
        </w:rPr>
        <w:t>Questa chiave di lettura è smentita sia dal suddetto elevato tasso di adempimento degli “autonomi” sia dal loro numero (tra l’altro in aumento, par.3.15), c</w:t>
      </w:r>
      <w:r w:rsidRPr="007F7EBF">
        <w:rPr>
          <w:bCs/>
        </w:rPr>
        <w:t>he rende improponibile politicamente questa soluzione</w:t>
      </w:r>
      <w:r>
        <w:rPr>
          <w:bCs/>
        </w:rPr>
        <w:t>,</w:t>
      </w:r>
      <w:r w:rsidRPr="007F7EBF">
        <w:rPr>
          <w:bCs/>
        </w:rPr>
        <w:t xml:space="preserve"> come anticipato  al par.4.2 ed esposto al par.4.6.</w:t>
      </w:r>
      <w:r>
        <w:t>. S</w:t>
      </w:r>
      <w:r w:rsidRPr="007F7EBF">
        <w:t xml:space="preserve">ull’inidoneità, oltre certi limiti, dello strumento sanzionatorio vedi già par.1.5, e quindi par.6.13-6.14. </w:t>
      </w:r>
    </w:p>
  </w:footnote>
  <w:footnote w:id="445">
    <w:p w14:paraId="30DC3D64" w14:textId="50962C0D" w:rsidR="003B7460" w:rsidRPr="007F7EBF" w:rsidRDefault="003B7460">
      <w:pPr>
        <w:pStyle w:val="Testonotaapidipagina"/>
      </w:pPr>
      <w:r w:rsidRPr="007F7EBF">
        <w:rPr>
          <w:rStyle w:val="Rimandonotaapidipagina"/>
        </w:rPr>
        <w:footnoteRef/>
      </w:r>
      <w:r w:rsidRPr="007F7EBF">
        <w:t xml:space="preserve"> </w:t>
      </w:r>
      <w:r>
        <w:t>) Questa f</w:t>
      </w:r>
      <w:r w:rsidRPr="007F7EBF">
        <w:t xml:space="preserve">orzatura ricorda quella di </w:t>
      </w:r>
      <w:r w:rsidRPr="007F7EBF">
        <w:rPr>
          <w:i/>
        </w:rPr>
        <w:t>esportare la democrazia</w:t>
      </w:r>
      <w:r w:rsidRPr="007F7EBF">
        <w:t xml:space="preserve">  </w:t>
      </w:r>
      <w:r w:rsidRPr="007F7EBF">
        <w:rPr>
          <w:bCs/>
        </w:rPr>
        <w:t>in contesti tribali e feudali</w:t>
      </w:r>
    </w:p>
  </w:footnote>
  <w:footnote w:id="446">
    <w:p w14:paraId="3DF457A9" w14:textId="2C167D98" w:rsidR="003B7460" w:rsidRPr="007F7EBF" w:rsidRDefault="003B7460" w:rsidP="00A864E6">
      <w:pPr>
        <w:pStyle w:val="Testonotaapidipagina"/>
      </w:pPr>
      <w:r w:rsidRPr="007F7EBF">
        <w:rPr>
          <w:rStyle w:val="Rimandonotaapidipagina"/>
        </w:rPr>
        <w:footnoteRef/>
      </w:r>
      <w:r w:rsidRPr="007F7EBF">
        <w:t xml:space="preserve"> </w:t>
      </w:r>
      <w:r>
        <w:t xml:space="preserve">) </w:t>
      </w:r>
      <w:r w:rsidRPr="007F7EBF">
        <w:t>Accreditate mediaticamente</w:t>
      </w:r>
      <w:r>
        <w:t xml:space="preserve"> (</w:t>
      </w:r>
      <w:r w:rsidRPr="007F7EBF">
        <w:t>par.3.16</w:t>
      </w:r>
      <w:r>
        <w:t>)</w:t>
      </w:r>
      <w:r w:rsidRPr="007F7EBF">
        <w:t xml:space="preserve">, </w:t>
      </w:r>
      <w:r>
        <w:t xml:space="preserve">anche </w:t>
      </w:r>
      <w:r w:rsidRPr="007F7EBF">
        <w:t xml:space="preserve">come strumento </w:t>
      </w:r>
      <w:r>
        <w:t>antievasione</w:t>
      </w:r>
      <w:r w:rsidRPr="007F7EBF">
        <w:t xml:space="preserve">. </w:t>
      </w:r>
    </w:p>
  </w:footnote>
  <w:footnote w:id="447">
    <w:p w14:paraId="0A685129" w14:textId="1AD9959F" w:rsidR="003B7460" w:rsidRPr="007F7EBF" w:rsidRDefault="003B7460" w:rsidP="00F64086">
      <w:pPr>
        <w:pStyle w:val="Testonotaapidipagina"/>
      </w:pPr>
      <w:r w:rsidRPr="007F7EBF">
        <w:rPr>
          <w:rStyle w:val="Rimandonotaapidipagina"/>
        </w:rPr>
        <w:footnoteRef/>
      </w:r>
      <w:r w:rsidRPr="007F7EBF">
        <w:t xml:space="preserve"> ) Così come il </w:t>
      </w:r>
      <w:r w:rsidRPr="007F7EBF">
        <w:rPr>
          <w:i/>
        </w:rPr>
        <w:t>Golem</w:t>
      </w:r>
      <w:r w:rsidRPr="007F7EBF">
        <w:t xml:space="preserve"> della mitologia yiddish</w:t>
      </w:r>
      <w:r>
        <w:t xml:space="preserve"> </w:t>
      </w:r>
      <w:r w:rsidRPr="007F7EBF">
        <w:t xml:space="preserve">doveva difendere </w:t>
      </w:r>
      <w:r>
        <w:t xml:space="preserve">gli ebrei </w:t>
      </w:r>
      <w:r w:rsidRPr="007F7EBF">
        <w:t xml:space="preserve">dalle persecuzioni, </w:t>
      </w:r>
      <w:r>
        <w:t xml:space="preserve">il computer dovrebbe esportare la contabilità dove mancano le aziende, </w:t>
      </w:r>
      <w:r w:rsidRPr="007F7EBF">
        <w:t>difende</w:t>
      </w:r>
      <w:r>
        <w:t>ndo</w:t>
      </w:r>
      <w:r w:rsidRPr="007F7EBF">
        <w:t xml:space="preserve"> la società contro i </w:t>
      </w:r>
      <w:r w:rsidRPr="007F7EBF">
        <w:rPr>
          <w:i/>
        </w:rPr>
        <w:t xml:space="preserve">malvagi evasori </w:t>
      </w:r>
      <w:r>
        <w:rPr>
          <w:i/>
        </w:rPr>
        <w:t>,</w:t>
      </w:r>
      <w:r w:rsidRPr="007F7EBF">
        <w:t xml:space="preserve"> capro espiatorio delle calamità sociali (par.</w:t>
      </w:r>
      <w:r>
        <w:t>4.1</w:t>
      </w:r>
      <w:r w:rsidRPr="007F7EBF">
        <w:t xml:space="preserve">). </w:t>
      </w:r>
    </w:p>
  </w:footnote>
  <w:footnote w:id="448">
    <w:p w14:paraId="595CC116" w14:textId="77777777" w:rsidR="003B7460" w:rsidRPr="007F7EBF" w:rsidRDefault="003B7460">
      <w:pPr>
        <w:pStyle w:val="Testonotaapidipagina"/>
      </w:pPr>
      <w:r w:rsidRPr="007F7EBF">
        <w:rPr>
          <w:rStyle w:val="Rimandonotaapidipagina"/>
        </w:rPr>
        <w:footnoteRef/>
      </w:r>
      <w:r w:rsidRPr="007F7EBF">
        <w:t xml:space="preserve"> Vedremo al par.5.16 in quale misura la difficoltà di determinare contabilmente la ricchezza nascosta al fisco in sede di controllo (par.5.9) spinga a presunzioni legali vessatorie, ma comode per gli uffici tributari, soprattutto in tema di versamenti e prelevamenti bancari. </w:t>
      </w:r>
    </w:p>
  </w:footnote>
  <w:footnote w:id="449">
    <w:p w14:paraId="2833D529" w14:textId="7C4C3703" w:rsidR="003B7460" w:rsidRDefault="003B7460">
      <w:pPr>
        <w:pStyle w:val="Testonotaapidipagina"/>
      </w:pPr>
      <w:r>
        <w:rPr>
          <w:rStyle w:val="Rimandonotaapidipagina"/>
        </w:rPr>
        <w:footnoteRef/>
      </w:r>
      <w:r>
        <w:t xml:space="preserve"> ) Per una satira in musica consiglio di digitare su </w:t>
      </w:r>
      <w:proofErr w:type="spellStart"/>
      <w:r>
        <w:t>youtube</w:t>
      </w:r>
      <w:proofErr w:type="spellEnd"/>
      <w:r>
        <w:t xml:space="preserve"> Checco </w:t>
      </w:r>
      <w:proofErr w:type="spellStart"/>
      <w:r>
        <w:t>Zalone</w:t>
      </w:r>
      <w:proofErr w:type="spellEnd"/>
      <w:r>
        <w:t xml:space="preserve">, La prima repubblica. </w:t>
      </w:r>
    </w:p>
  </w:footnote>
  <w:footnote w:id="450">
    <w:p w14:paraId="15730275" w14:textId="4846C87C" w:rsidR="003B7460" w:rsidRPr="007F7EBF" w:rsidRDefault="003B7460" w:rsidP="00C775AC">
      <w:pPr>
        <w:pStyle w:val="Testonotaapidipagina"/>
      </w:pPr>
      <w:r w:rsidRPr="007F7EBF">
        <w:rPr>
          <w:rStyle w:val="Rimandonotaapidipagina"/>
        </w:rPr>
        <w:footnoteRef/>
      </w:r>
      <w:r w:rsidRPr="007F7EBF">
        <w:t xml:space="preserve"> ) </w:t>
      </w:r>
      <w:r>
        <w:t xml:space="preserve">Gli evasori sono diventati il nemico esterno, il capro espiatorio cui addebitare gli insuccessi, secondo la scorciatoia tipicamente italiana indicata nella lunga nota al par.4.1. E’ nata così </w:t>
      </w:r>
      <w:r w:rsidRPr="007F7EBF">
        <w:t>la lacerante divisione sociale tra “onesti e disonesti”, come pure il mantra dei “grandi evasori”, divenuto uno strumento di disorganizzazione aziendale (par.5.17 ss.) e quindi sociale (par.5.19).</w:t>
      </w:r>
    </w:p>
  </w:footnote>
  <w:footnote w:id="451">
    <w:p w14:paraId="35567DC8" w14:textId="55F13C2A" w:rsidR="003B7460" w:rsidRPr="007F7EBF" w:rsidRDefault="003B7460">
      <w:pPr>
        <w:pStyle w:val="Testonotaapidipagina"/>
      </w:pPr>
      <w:r w:rsidRPr="007F7EBF">
        <w:rPr>
          <w:rStyle w:val="Rimandonotaapidipagina"/>
        </w:rPr>
        <w:footnoteRef/>
      </w:r>
      <w:r w:rsidRPr="007F7EBF">
        <w:t xml:space="preserve"> ) </w:t>
      </w:r>
      <w:r>
        <w:t xml:space="preserve">Oggi si ironizza sulle “brigate Rolex”, ma già </w:t>
      </w:r>
      <w:r w:rsidRPr="007F7EBF">
        <w:t>Paolo Villaggio negli anni settanta del secolo scorso</w:t>
      </w:r>
      <w:r>
        <w:t xml:space="preserve"> citava i </w:t>
      </w:r>
      <w:r w:rsidRPr="007F7EBF">
        <w:t>figli di padri ricchissimi che si dichiaravano “</w:t>
      </w:r>
      <w:r w:rsidRPr="007F7EBF">
        <w:rPr>
          <w:i/>
        </w:rPr>
        <w:t>a sinistra del partito comunista cinese</w:t>
      </w:r>
      <w:r w:rsidRPr="007F7EBF">
        <w:t xml:space="preserve">”, </w:t>
      </w:r>
      <w:r>
        <w:t xml:space="preserve">capaci </w:t>
      </w:r>
      <w:r w:rsidRPr="007F7EBF">
        <w:t>di pagare le imposte senza compromettere la villeggiatura a Capalbio.</w:t>
      </w:r>
    </w:p>
  </w:footnote>
  <w:footnote w:id="452">
    <w:p w14:paraId="0C62C4CD" w14:textId="1F36A6FB" w:rsidR="003B7460" w:rsidRDefault="003B7460">
      <w:pPr>
        <w:pStyle w:val="Testonotaapidipagina"/>
      </w:pPr>
      <w:r>
        <w:rPr>
          <w:rStyle w:val="Rimandonotaapidipagina"/>
        </w:rPr>
        <w:footnoteRef/>
      </w:r>
      <w:r>
        <w:t xml:space="preserve"> ) Un approfondimento di studio sociale dovrebbe incrociare i dati delle </w:t>
      </w:r>
      <w:r w:rsidRPr="007F7EBF">
        <w:t xml:space="preserve">dichiarazioni IRPEF, </w:t>
      </w:r>
      <w:r>
        <w:t xml:space="preserve">ove </w:t>
      </w:r>
      <w:r w:rsidRPr="007F7EBF">
        <w:t>dove si vede che dallo 0,09 percento dei contribuenti (meno di 20 mila) viene oltre il 5 percento del gettito</w:t>
      </w:r>
      <w:r>
        <w:t xml:space="preserve">, con altri dati e percezioni sulla distribuzione della ricchezza. </w:t>
      </w:r>
    </w:p>
  </w:footnote>
  <w:footnote w:id="453">
    <w:p w14:paraId="7DF5B034" w14:textId="7C33316E" w:rsidR="003B7460" w:rsidRPr="007F7EBF" w:rsidRDefault="003B7460" w:rsidP="007758AB">
      <w:pPr>
        <w:pStyle w:val="Testonotaapidipagina"/>
        <w:rPr>
          <w:i/>
        </w:rPr>
      </w:pPr>
      <w:r w:rsidRPr="007F7EBF">
        <w:rPr>
          <w:rStyle w:val="Rimandonotaapidipagina"/>
        </w:rPr>
        <w:footnoteRef/>
      </w:r>
      <w:r w:rsidRPr="007F7EBF">
        <w:t xml:space="preserve"> </w:t>
      </w:r>
      <w:r>
        <w:t xml:space="preserve">) </w:t>
      </w:r>
      <w:r w:rsidRPr="007F7EBF">
        <w:t xml:space="preserve">Non è una battuta, ma il  titolo di uno scorrevole volume di Stefano </w:t>
      </w:r>
      <w:proofErr w:type="spellStart"/>
      <w:r w:rsidRPr="007F7EBF">
        <w:t>Livadiotti</w:t>
      </w:r>
      <w:proofErr w:type="spellEnd"/>
      <w:r w:rsidRPr="007F7EBF">
        <w:t xml:space="preserve">, </w:t>
      </w:r>
      <w:r>
        <w:t xml:space="preserve">dove ci si pone </w:t>
      </w:r>
      <w:r w:rsidRPr="007F7EBF">
        <w:t xml:space="preserve">la domanda se gli evasori siano "ladri", </w:t>
      </w:r>
      <w:r>
        <w:t xml:space="preserve">latente nel dibattito pubblico e molto più valido, come studio sociale, dei contorti tecnicismi della </w:t>
      </w:r>
      <w:r w:rsidRPr="007F7EBF">
        <w:t>pubblicistica universitaria</w:t>
      </w:r>
      <w:r>
        <w:t xml:space="preserve">, per non parlare della “scientificità esteriore”.  </w:t>
      </w:r>
    </w:p>
  </w:footnote>
  <w:footnote w:id="454">
    <w:p w14:paraId="72549BB9" w14:textId="7BCC4034" w:rsidR="003B7460" w:rsidRPr="007F7EBF" w:rsidRDefault="003B7460" w:rsidP="007758AB">
      <w:pPr>
        <w:pStyle w:val="Testonotaapidipagina"/>
      </w:pPr>
      <w:r w:rsidRPr="007F7EBF">
        <w:rPr>
          <w:rStyle w:val="Rimandonotaapidipagina"/>
        </w:rPr>
        <w:footnoteRef/>
      </w:r>
      <w:r>
        <w:t xml:space="preserve">) </w:t>
      </w:r>
      <w:r w:rsidRPr="007F7EBF">
        <w:t xml:space="preserve"> </w:t>
      </w:r>
      <w:r>
        <w:rPr>
          <w:bCs/>
        </w:rPr>
        <w:t xml:space="preserve">Sarebbe </w:t>
      </w:r>
      <w:r w:rsidRPr="007F7EBF">
        <w:t xml:space="preserve">un po’ come chiamare l'istruzione “lotta all’ignoranza”, la sanità “lotta alla malattia”, l'ambiente  “lotta ai rifiuti”, la protezione civile "lotta alle catastrofi", la viabilità “lotta al traffico”, lo  sviluppo economico “lotta alla </w:t>
      </w:r>
      <w:r>
        <w:t>disoccupazione</w:t>
      </w:r>
      <w:r w:rsidRPr="007F7EBF">
        <w:t>”.</w:t>
      </w:r>
      <w:r w:rsidRPr="0070729F">
        <w:t xml:space="preserve"> </w:t>
      </w:r>
      <w:r>
        <w:t>Tuttavia, nonostante la fine del c</w:t>
      </w:r>
      <w:r w:rsidRPr="007F7EBF">
        <w:t>omunis</w:t>
      </w:r>
      <w:r>
        <w:t xml:space="preserve">mo, </w:t>
      </w:r>
      <w:r w:rsidRPr="007F7EBF">
        <w:t xml:space="preserve">i problemi </w:t>
      </w:r>
      <w:r>
        <w:t xml:space="preserve">che ne erano alla base </w:t>
      </w:r>
      <w:r w:rsidRPr="007F7EBF">
        <w:t xml:space="preserve">non sono mai stati serenamente </w:t>
      </w:r>
      <w:r>
        <w:t>discussi</w:t>
      </w:r>
      <w:r w:rsidRPr="007F7EBF">
        <w:t xml:space="preserve">, </w:t>
      </w:r>
      <w:r>
        <w:t xml:space="preserve">né erano fronteggiabili mitizzando </w:t>
      </w:r>
      <w:r w:rsidRPr="007F7EBF">
        <w:t xml:space="preserve"> “mercato”</w:t>
      </w:r>
      <w:r>
        <w:t>, “liberismo” e “globalizzazione”</w:t>
      </w:r>
      <w:r w:rsidRPr="007F7EBF">
        <w:t xml:space="preserve">. </w:t>
      </w:r>
      <w:r>
        <w:t>Su queste premesse è normale ch</w:t>
      </w:r>
      <w:r w:rsidRPr="007F7EBF">
        <w:t>e i circ</w:t>
      </w:r>
      <w:r>
        <w:t>uiti</w:t>
      </w:r>
      <w:r w:rsidRPr="007F7EBF">
        <w:t xml:space="preserve"> culturali orfani della </w:t>
      </w:r>
      <w:r w:rsidRPr="007F7EBF">
        <w:rPr>
          <w:i/>
        </w:rPr>
        <w:t>lotta di classe</w:t>
      </w:r>
      <w:r w:rsidRPr="007F7EBF">
        <w:t xml:space="preserve">, utilizzassero la </w:t>
      </w:r>
      <w:r w:rsidRPr="007F7EBF">
        <w:rPr>
          <w:i/>
        </w:rPr>
        <w:t>lotta all’evasione</w:t>
      </w:r>
      <w:r w:rsidRPr="007F7EBF">
        <w:t xml:space="preserve"> come soluzione di ripiego.</w:t>
      </w:r>
    </w:p>
  </w:footnote>
  <w:footnote w:id="455">
    <w:p w14:paraId="03A5D63F" w14:textId="30566A0F" w:rsidR="003B7460" w:rsidRPr="003717E6" w:rsidRDefault="003B7460">
      <w:pPr>
        <w:pStyle w:val="Testonotaapidipagina"/>
      </w:pPr>
      <w:r>
        <w:rPr>
          <w:rStyle w:val="Rimandonotaapidipagina"/>
        </w:rPr>
        <w:footnoteRef/>
      </w:r>
      <w:r>
        <w:t xml:space="preserve"> ) Come archetipo di cultura popolare in merito suggerisco su </w:t>
      </w:r>
      <w:proofErr w:type="spellStart"/>
      <w:r>
        <w:t>youtube</w:t>
      </w:r>
      <w:proofErr w:type="spellEnd"/>
      <w:r>
        <w:t xml:space="preserve"> </w:t>
      </w:r>
      <w:r w:rsidRPr="007F2830">
        <w:rPr>
          <w:i/>
        </w:rPr>
        <w:t>Maurizio Mattioli Buona giornata.</w:t>
      </w:r>
      <w:r>
        <w:t xml:space="preserve">. Posso assicurare per vita vissuta la discreta corrispondenza di questa satira alla realtà. </w:t>
      </w:r>
    </w:p>
  </w:footnote>
  <w:footnote w:id="456">
    <w:p w14:paraId="44AF65C1" w14:textId="52075D8F" w:rsidR="003B7460" w:rsidRPr="007F7EBF" w:rsidRDefault="003B7460" w:rsidP="003A6887">
      <w:pPr>
        <w:pStyle w:val="Testonotaapidipagina"/>
      </w:pPr>
      <w:r w:rsidRPr="007F7EBF">
        <w:rPr>
          <w:rStyle w:val="Rimandonotaapidipagina"/>
        </w:rPr>
        <w:footnoteRef/>
      </w:r>
      <w:r w:rsidRPr="007F7EBF">
        <w:t xml:space="preserve"> Su</w:t>
      </w:r>
      <w:r>
        <w:t xml:space="preserve">gli inconvenienti della </w:t>
      </w:r>
      <w:r w:rsidRPr="007F7EBF">
        <w:t xml:space="preserve">trasformazione della </w:t>
      </w:r>
      <w:r w:rsidRPr="007F7EBF">
        <w:rPr>
          <w:i/>
        </w:rPr>
        <w:t>funzione pubblica di determinazione dei tributi</w:t>
      </w:r>
      <w:r w:rsidRPr="007F7EBF">
        <w:t xml:space="preserve">  in retorica</w:t>
      </w:r>
      <w:r>
        <w:t xml:space="preserve"> della</w:t>
      </w:r>
      <w:r w:rsidRPr="007F7EBF">
        <w:t xml:space="preserve"> </w:t>
      </w:r>
      <w:r w:rsidRPr="007F7EBF">
        <w:rPr>
          <w:i/>
        </w:rPr>
        <w:t>lotta all'evasione</w:t>
      </w:r>
      <w:r>
        <w:t xml:space="preserve"> </w:t>
      </w:r>
      <w:r w:rsidRPr="007F7EBF">
        <w:t>vedi sopra e</w:t>
      </w:r>
      <w:r>
        <w:t xml:space="preserve"> anche</w:t>
      </w:r>
      <w:r w:rsidRPr="007F7EBF">
        <w:t xml:space="preserve"> i paragrafi 5.3 e 5.7.</w:t>
      </w:r>
    </w:p>
  </w:footnote>
  <w:footnote w:id="457">
    <w:p w14:paraId="5A4364AC" w14:textId="499DDCE1" w:rsidR="003B7460" w:rsidRPr="007F7EBF" w:rsidRDefault="003B7460">
      <w:pPr>
        <w:pStyle w:val="Testonotaapidipagina"/>
      </w:pPr>
      <w:r w:rsidRPr="007F7EBF">
        <w:rPr>
          <w:rStyle w:val="Rimandonotaapidipagina"/>
        </w:rPr>
        <w:footnoteRef/>
      </w:r>
      <w:r w:rsidRPr="007F7EBF">
        <w:t xml:space="preserve"> ) E di cui è espressione il mantra “</w:t>
      </w:r>
      <w:r>
        <w:t>U</w:t>
      </w:r>
      <w:r w:rsidRPr="007F7EBF">
        <w:t xml:space="preserve">n bambino </w:t>
      </w:r>
      <w:r>
        <w:t xml:space="preserve">mi ha chiesto </w:t>
      </w:r>
      <w:r w:rsidRPr="007F7EBF">
        <w:t>cosa sono le tasse”</w:t>
      </w:r>
      <w:r>
        <w:t xml:space="preserve"> reperibile in rete e sopra commentato al par.4.5 sul </w:t>
      </w:r>
      <w:r w:rsidRPr="000B27C7">
        <w:rPr>
          <w:i/>
          <w:iCs/>
        </w:rPr>
        <w:t>senso civico</w:t>
      </w:r>
      <w:r w:rsidRPr="007F7EBF">
        <w:t xml:space="preserve">. </w:t>
      </w:r>
    </w:p>
  </w:footnote>
  <w:footnote w:id="458">
    <w:p w14:paraId="5F50D417" w14:textId="77777777" w:rsidR="003B7460" w:rsidRPr="007F7EBF" w:rsidRDefault="003B7460" w:rsidP="00E0072D">
      <w:pPr>
        <w:pStyle w:val="Testonotaapidipagina"/>
      </w:pPr>
      <w:r w:rsidRPr="007F7EBF">
        <w:rPr>
          <w:rStyle w:val="Rimandonotaapidipagina"/>
        </w:rPr>
        <w:footnoteRef/>
      </w:r>
      <w:r w:rsidRPr="007F7EBF">
        <w:t xml:space="preserve"> ) Specie se dipendenti pubblici. </w:t>
      </w:r>
    </w:p>
  </w:footnote>
  <w:footnote w:id="459">
    <w:p w14:paraId="3AE54EB2" w14:textId="77777777" w:rsidR="003B7460" w:rsidRPr="007F7EBF" w:rsidRDefault="003B7460" w:rsidP="00E0072D">
      <w:pPr>
        <w:pStyle w:val="Testonotaapidipagina"/>
      </w:pPr>
      <w:r w:rsidRPr="007F7EBF">
        <w:rPr>
          <w:rStyle w:val="Rimandonotaapidipagina"/>
        </w:rPr>
        <w:footnoteRef/>
      </w:r>
      <w:r w:rsidRPr="007F7EBF">
        <w:t xml:space="preserve"> ) E quindi “riparato” da possibili rilievi fiscali per la protezione di un lavoro dipendente. </w:t>
      </w:r>
    </w:p>
  </w:footnote>
  <w:footnote w:id="460">
    <w:p w14:paraId="0A08E26D" w14:textId="3406DACF" w:rsidR="003B7460" w:rsidRPr="007F7EBF" w:rsidRDefault="003B7460" w:rsidP="00F862B3">
      <w:pPr>
        <w:pStyle w:val="Testonotaapidipagina"/>
      </w:pPr>
      <w:r w:rsidRPr="007F7EBF">
        <w:rPr>
          <w:rStyle w:val="Rimandonotaapidipagina"/>
        </w:rPr>
        <w:footnoteRef/>
      </w:r>
      <w:r w:rsidRPr="007F7EBF">
        <w:t xml:space="preserve"> ) </w:t>
      </w:r>
      <w:r>
        <w:t xml:space="preserve">Questa dialettica, con tutte le sue sfumature, rispecchia il comportamento della politica rispetto alla pubblica opinione, ispirato alla vecchia canzone di Mina </w:t>
      </w:r>
      <w:r>
        <w:rPr>
          <w:i/>
        </w:rPr>
        <w:t>sono come tu mi vuoi</w:t>
      </w:r>
      <w:r>
        <w:t xml:space="preserve">, il che non coincide con quanto serve alla società nel lungo periodo. E’ curioso che </w:t>
      </w:r>
      <w:r w:rsidRPr="007F7EBF">
        <w:t>le tendenze di opinione</w:t>
      </w:r>
      <w:r>
        <w:t xml:space="preserve"> indicate nel testo, riflesso della </w:t>
      </w:r>
      <w:r w:rsidRPr="007F7EBF">
        <w:t>mancanza di spiegazion</w:t>
      </w:r>
      <w:r>
        <w:t xml:space="preserve">i sociali della </w:t>
      </w:r>
      <w:r w:rsidRPr="007F7EBF">
        <w:t>funzione tributaria, si intrecci</w:t>
      </w:r>
      <w:r>
        <w:t>no,</w:t>
      </w:r>
      <w:r w:rsidRPr="007F7EBF">
        <w:t xml:space="preserve"> trovan</w:t>
      </w:r>
      <w:r>
        <w:t>d</w:t>
      </w:r>
      <w:r w:rsidRPr="007F7EBF">
        <w:t>o equilibri variabili nei discorsi delle medesime persone, a seconda delle circostanze e delle convenienze</w:t>
      </w:r>
      <w:r>
        <w:t>.</w:t>
      </w:r>
      <w:r w:rsidRPr="007F7EBF">
        <w:t xml:space="preserve"> La spinta emotiva, tipica dello spontaneismo italiano di cui al par.</w:t>
      </w:r>
      <w:r>
        <w:t>4.1</w:t>
      </w:r>
      <w:r w:rsidRPr="007F7EBF">
        <w:t xml:space="preserve">, a un giustizialismo sommario su casi lievi, si alterna con indulgenze plenarie di segno opposto, grazie alle quali anche i responsabili di evasioni molto spregiudicate la fanno franca.  </w:t>
      </w:r>
    </w:p>
  </w:footnote>
  <w:footnote w:id="461">
    <w:p w14:paraId="11E32852" w14:textId="43B69795" w:rsidR="003B7460" w:rsidRPr="007F7EBF" w:rsidRDefault="003B7460">
      <w:pPr>
        <w:pStyle w:val="Testonotaapidipagina"/>
      </w:pPr>
      <w:r w:rsidRPr="007F7EBF">
        <w:rPr>
          <w:rStyle w:val="Rimandonotaapidipagina"/>
        </w:rPr>
        <w:footnoteRef/>
      </w:r>
      <w:r w:rsidRPr="007F7EBF">
        <w:t xml:space="preserve"> </w:t>
      </w:r>
      <w:r>
        <w:t xml:space="preserve">) </w:t>
      </w:r>
      <w:r w:rsidRPr="007F7EBF">
        <w:t>Si pensi che la “lotta all’evasione” ricorre frequentemente, come indicato al termine del par.4.4, nelle stesse sedi in cui si critica il fisco; la formula “lotta all’evasione” ricorre persino sulle pagine del quotidiano di Confindustria, accanto agli appelli alla tutela del contribuente e alla riduzione della pressione fiscale, a conferma della schizofrenia collettiva indotta dalla mancata spiegazione d’insieme della determinazione della base economica cui commisurare i tributi (e quindi della funzione tributaria, cui accenniamo già dal par.1.3).</w:t>
      </w:r>
    </w:p>
  </w:footnote>
  <w:footnote w:id="462">
    <w:p w14:paraId="5624FC77" w14:textId="610646EF" w:rsidR="003B7460" w:rsidRPr="007F7EBF" w:rsidRDefault="003B7460" w:rsidP="00036F33">
      <w:pPr>
        <w:pStyle w:val="Testonotaapidipagina"/>
      </w:pPr>
      <w:r w:rsidRPr="007F7EBF">
        <w:rPr>
          <w:rStyle w:val="Rimandonotaapidipagina"/>
        </w:rPr>
        <w:footnoteRef/>
      </w:r>
      <w:r w:rsidRPr="007F7EBF">
        <w:t xml:space="preserve"> ) La politica cerca, in nome del consenso e della coesione sociale, di evitare lacerazioni tra categorie numerose di contribuenti, cioè dipendenti e autonomi, che poi sarebbe la guerra tra poveri indicata nel testo, visto il peso quantitativo di quella che al par.4.2 abbiamo chiamato “evasione di sopravvivenza”.</w:t>
      </w:r>
      <w:r w:rsidRPr="00211EDE">
        <w:t xml:space="preserve"> </w:t>
      </w:r>
    </w:p>
  </w:footnote>
  <w:footnote w:id="463">
    <w:p w14:paraId="77339A7D" w14:textId="04F0EE07" w:rsidR="003B7460" w:rsidRPr="007F7EBF" w:rsidRDefault="003B7460" w:rsidP="00036F33">
      <w:pPr>
        <w:pStyle w:val="Testonotaapidipagina"/>
      </w:pPr>
      <w:r w:rsidRPr="007F7EBF">
        <w:rPr>
          <w:rStyle w:val="Rimandonotaapidipagina"/>
        </w:rPr>
        <w:footnoteRef/>
      </w:r>
      <w:r w:rsidRPr="007F7EBF">
        <w:t xml:space="preserve"> ) Non suscita molto consenso, tra masse impoverite di operai, impiegati e pensionati, </w:t>
      </w:r>
      <w:r>
        <w:t xml:space="preserve">accusare di evasione piccoli commercianti e artigiani; </w:t>
      </w:r>
      <w:r w:rsidRPr="007F7EBF">
        <w:t>gli stessi dipendenti hanno parenti o amici dediti a queste attività, magari le svolgono loro stessi “in nero”</w:t>
      </w:r>
      <w:r>
        <w:t xml:space="preserve"> e</w:t>
      </w:r>
      <w:r w:rsidRPr="007F7EBF">
        <w:t xml:space="preserve"> si rendono conto che -a parti invertite- farebbero lo stesso. </w:t>
      </w:r>
      <w:r>
        <w:t>U</w:t>
      </w:r>
      <w:r w:rsidRPr="007F7EBF">
        <w:t xml:space="preserve">sare i </w:t>
      </w:r>
      <w:r>
        <w:t xml:space="preserve">piccoli commercianti e gli artigiani </w:t>
      </w:r>
      <w:r w:rsidRPr="007F7EBF">
        <w:t xml:space="preserve">come capro espiatorio dell’evasione è </w:t>
      </w:r>
      <w:r>
        <w:t xml:space="preserve">quindi </w:t>
      </w:r>
      <w:r w:rsidRPr="007F7EBF">
        <w:t>politicamente perdente</w:t>
      </w:r>
      <w:r>
        <w:t xml:space="preserve">, </w:t>
      </w:r>
      <w:r w:rsidRPr="007F7EBF">
        <w:t>prima di tutto</w:t>
      </w:r>
      <w:r>
        <w:t xml:space="preserve"> </w:t>
      </w:r>
      <w:proofErr w:type="spellStart"/>
      <w:r>
        <w:t>perchè</w:t>
      </w:r>
      <w:proofErr w:type="spellEnd"/>
      <w:r w:rsidRPr="007F7EBF">
        <w:t xml:space="preserve"> non è giusto (par.4.2) e poi, cinicamente, perché sono troppi per essere usati in questo ruolo</w:t>
      </w:r>
      <w:r>
        <w:t xml:space="preserve">; verso di loro si produce quindi lo stallo politico secondo cui la fuorviante </w:t>
      </w:r>
      <w:r>
        <w:rPr>
          <w:i/>
        </w:rPr>
        <w:t xml:space="preserve"> lotta all’evasione si dice ma non si fa</w:t>
      </w:r>
      <w:r>
        <w:t>, come meglio spiegato al par.5.3.</w:t>
      </w:r>
      <w:r w:rsidRPr="00DE4DAC">
        <w:rPr>
          <w:bCs/>
          <w:i/>
        </w:rPr>
        <w:t>.</w:t>
      </w:r>
    </w:p>
  </w:footnote>
  <w:footnote w:id="464">
    <w:p w14:paraId="0D2112EA" w14:textId="1B31AAE2" w:rsidR="003B7460" w:rsidRPr="007F7EBF" w:rsidRDefault="003B7460" w:rsidP="00E54344">
      <w:pPr>
        <w:pStyle w:val="Testonotaapidipagina"/>
      </w:pPr>
      <w:r w:rsidRPr="007F7EBF">
        <w:rPr>
          <w:rStyle w:val="Rimandonotaapidipagina"/>
        </w:rPr>
        <w:footnoteRef/>
      </w:r>
      <w:r w:rsidRPr="007F7EBF">
        <w:t xml:space="preserve"> ) Se un governo avallasse esplicitamente l’evasione degli autonomi il rapporto si invertirebbe e il consenso guadagnato presso gli autonomi non compenserebbe quello perso sui dipendenti.  </w:t>
      </w:r>
      <w:r>
        <w:t xml:space="preserve">Inoltre gli autonomi, che già sopravvalutano la funzione tributaria (par.4.2), non hanno bisogno di autorizzazioni per l’occultamento parziale delle basi imponibili, ma se lo prendono da soli. </w:t>
      </w:r>
    </w:p>
  </w:footnote>
  <w:footnote w:id="465">
    <w:p w14:paraId="790852F5" w14:textId="618B7D45" w:rsidR="003B7460" w:rsidRDefault="003B7460">
      <w:pPr>
        <w:pStyle w:val="Testonotaapidipagina"/>
      </w:pPr>
      <w:r>
        <w:rPr>
          <w:rStyle w:val="Rimandonotaapidipagina"/>
        </w:rPr>
        <w:footnoteRef/>
      </w:r>
      <w:r>
        <w:t xml:space="preserve"> Fino al punto che all’arroganza passata di molti controllori fiscali si è sostituita quella odierna degli operatori economici controllati, tanto che negli uffici tributari è sempre maggiore il desiderio di sottrarsi alle indagini di cui ai parr.5.6, preferendo le contestazioni interpretative e i controlli “a tavolino”. La demonizzazione degli evasori, come moderni untori e ricorda la battuta “me l’ha date, ma quante </w:t>
      </w:r>
      <w:proofErr w:type="spellStart"/>
      <w:r>
        <w:t>glien’ho</w:t>
      </w:r>
      <w:proofErr w:type="spellEnd"/>
      <w:r>
        <w:t xml:space="preserve"> dette”, di un certo Cacini, cabarettista romano degli anni venti. </w:t>
      </w:r>
    </w:p>
  </w:footnote>
  <w:footnote w:id="466">
    <w:p w14:paraId="2B501EC4" w14:textId="38AC2332" w:rsidR="003B7460" w:rsidRDefault="003B7460">
      <w:pPr>
        <w:pStyle w:val="Testonotaapidipagina"/>
      </w:pPr>
      <w:r>
        <w:rPr>
          <w:rStyle w:val="Rimandonotaapidipagina"/>
        </w:rPr>
        <w:footnoteRef/>
      </w:r>
      <w:r>
        <w:t xml:space="preserve"> ) Cioè quelli di </w:t>
      </w:r>
      <w:r>
        <w:rPr>
          <w:sz w:val="22"/>
          <w:szCs w:val="22"/>
        </w:rPr>
        <w:t>piccoli commercianti e artigiani, nonché quelli occultati dai titolari delle aziende, se del caso veri “grandi evasori”, nei modi di cui al par.3.7.</w:t>
      </w:r>
    </w:p>
  </w:footnote>
  <w:footnote w:id="467">
    <w:p w14:paraId="6CBE0B0B" w14:textId="77777777" w:rsidR="003B7460" w:rsidRPr="007F7EBF" w:rsidRDefault="003B7460" w:rsidP="004F3383">
      <w:pPr>
        <w:pStyle w:val="Testonotaapidipagina"/>
      </w:pPr>
      <w:r w:rsidRPr="007F7EBF">
        <w:rPr>
          <w:rStyle w:val="Rimandonotaapidipagina"/>
        </w:rPr>
        <w:footnoteRef/>
      </w:r>
      <w:r w:rsidRPr="007F7EBF">
        <w:t xml:space="preserve"> ) </w:t>
      </w:r>
      <w:r>
        <w:t>In tali gruppi non esiste una democrazia sociale, ma una “democrazia del sapere”, per il cui controllo sociale Lupi, Studi sociali e diritto, 1.4.</w:t>
      </w:r>
      <w:r w:rsidRPr="00FD4C8E">
        <w:t xml:space="preserve"> </w:t>
      </w:r>
    </w:p>
  </w:footnote>
  <w:footnote w:id="468">
    <w:p w14:paraId="25A893E9" w14:textId="7F871124" w:rsidR="003B7460" w:rsidRDefault="003B7460" w:rsidP="00A0280C">
      <w:pPr>
        <w:pStyle w:val="Testonotaapidipagina"/>
      </w:pPr>
      <w:r>
        <w:rPr>
          <w:rStyle w:val="Rimandonotaapidipagina"/>
        </w:rPr>
        <w:footnoteRef/>
      </w:r>
      <w:r>
        <w:t xml:space="preserve"> ) Il concetto di uditorio e di interlocuzione sono stati valorizzati raramente, tra l’altro da </w:t>
      </w:r>
      <w:r w:rsidRPr="007F7EBF">
        <w:t xml:space="preserve">Chaim </w:t>
      </w:r>
      <w:proofErr w:type="spellStart"/>
      <w:r w:rsidRPr="007F7EBF">
        <w:t>Perelman</w:t>
      </w:r>
      <w:proofErr w:type="spellEnd"/>
      <w:r w:rsidRPr="007F7EBF">
        <w:t xml:space="preserve">, </w:t>
      </w:r>
      <w:r w:rsidRPr="0055279D">
        <w:rPr>
          <w:i/>
          <w:iCs/>
        </w:rPr>
        <w:t>Trattato dell’argomentazione</w:t>
      </w:r>
      <w:r w:rsidRPr="007F7EBF">
        <w:t>, Einaudi, 1975</w:t>
      </w:r>
      <w:r>
        <w:t xml:space="preserve">, meritevole di aver ricordato che negli studi sociali la capacità espositiva e i discorsi di senso comune vanno gestiti, senza esorcizzarli con compiaciuti ed iniziatici linguaggi specialistici. Le riflessioni sulla determinazione dei presupposti economici d’imposta sono accessibili, come tutte quelle sulla socialità, ma quando aumentano coordinarle è complicato, così come tutti riescono a lanciare e riprendere un oggetto, ma bisogna essere giocolieri per farlo con tanti oggetti. La particolarità dello studioso è di non avere i limiti fisici del giocoliere. </w:t>
      </w:r>
    </w:p>
  </w:footnote>
  <w:footnote w:id="469">
    <w:p w14:paraId="67BBBB9A" w14:textId="6191CE2F" w:rsidR="003B7460" w:rsidRDefault="003B7460">
      <w:pPr>
        <w:pStyle w:val="Testonotaapidipagina"/>
      </w:pPr>
      <w:r>
        <w:rPr>
          <w:rStyle w:val="Rimandonotaapidipagina"/>
        </w:rPr>
        <w:footnoteRef/>
      </w:r>
      <w:r>
        <w:t xml:space="preserve"> Questo scavalcamento dell’accademia, che inutilmente si lamenta come un personaggio di Nanni Moretti nel video “tutti parlate di cinema” su </w:t>
      </w:r>
      <w:proofErr w:type="spellStart"/>
      <w:r w:rsidRPr="00BF11E1">
        <w:rPr>
          <w:i/>
        </w:rPr>
        <w:t>youtube</w:t>
      </w:r>
      <w:proofErr w:type="spellEnd"/>
      <w:r>
        <w:t xml:space="preserve"> si è verificato per l’economia generale, e nel nostro piccolo per la funzione tributaria, come indicato ai precedenti paragrafi da 4.4 a 4.6; </w:t>
      </w:r>
    </w:p>
  </w:footnote>
  <w:footnote w:id="470">
    <w:p w14:paraId="7056C3A4" w14:textId="77777777" w:rsidR="003B7460" w:rsidRPr="008934F2" w:rsidRDefault="003B7460" w:rsidP="0068120E">
      <w:pPr>
        <w:pStyle w:val="Testonotaapidipagina"/>
      </w:pPr>
      <w:r w:rsidRPr="007F7EBF">
        <w:rPr>
          <w:rStyle w:val="Rimandonotaapidipagina"/>
        </w:rPr>
        <w:footnoteRef/>
      </w:r>
      <w:r>
        <w:t xml:space="preserve">) Chiamato </w:t>
      </w:r>
      <w:r w:rsidRPr="00FF6705">
        <w:rPr>
          <w:bCs/>
          <w:i/>
          <w:iCs/>
        </w:rPr>
        <w:t>principio di significanza”</w:t>
      </w:r>
      <w:r>
        <w:rPr>
          <w:bCs/>
        </w:rPr>
        <w:t xml:space="preserve"> </w:t>
      </w:r>
      <w:r>
        <w:t>da S</w:t>
      </w:r>
      <w:r w:rsidRPr="007F7EBF">
        <w:t>carpelli</w:t>
      </w:r>
      <w:r>
        <w:t xml:space="preserve">, </w:t>
      </w:r>
      <w:r w:rsidRPr="007F7EBF">
        <w:rPr>
          <w:bCs/>
        </w:rPr>
        <w:t>Contributo alla semantica nel linguaggio normativo, Giuffrè, 1985, II ed.ne, 37-38 ss.)</w:t>
      </w:r>
      <w:r>
        <w:rPr>
          <w:bCs/>
        </w:rPr>
        <w:t xml:space="preserve">, e ritenuto l’equivalente </w:t>
      </w:r>
      <w:r w:rsidRPr="008934F2">
        <w:rPr>
          <w:bCs/>
        </w:rPr>
        <w:t xml:space="preserve">della verificabilità </w:t>
      </w:r>
      <w:r w:rsidRPr="008934F2">
        <w:rPr>
          <w:sz w:val="22"/>
          <w:szCs w:val="22"/>
        </w:rPr>
        <w:t>empirica delle scienze fisiche</w:t>
      </w:r>
      <w:r>
        <w:t xml:space="preserve">. </w:t>
      </w:r>
    </w:p>
  </w:footnote>
  <w:footnote w:id="471">
    <w:p w14:paraId="5A280DD5" w14:textId="77777777" w:rsidR="003B7460" w:rsidRPr="00C665EE" w:rsidRDefault="003B7460" w:rsidP="0068120E">
      <w:pPr>
        <w:autoSpaceDE w:val="0"/>
        <w:autoSpaceDN w:val="0"/>
        <w:adjustRightInd w:val="0"/>
      </w:pPr>
      <w:r>
        <w:rPr>
          <w:rStyle w:val="Rimandonotaapidipagina"/>
        </w:rPr>
        <w:footnoteRef/>
      </w:r>
      <w:r>
        <w:t xml:space="preserve">) </w:t>
      </w:r>
      <w:r>
        <w:rPr>
          <w:sz w:val="22"/>
          <w:szCs w:val="22"/>
        </w:rPr>
        <w:t xml:space="preserve">Mentre il “dato naturale” delle scienze fisiche “ha senso in sé”, il discorso è un prodotto umano, che deve conquistarsi credibilità, il </w:t>
      </w:r>
      <w:r>
        <w:t xml:space="preserve">che non sempre si verifica, come visto al par.4.3 per la “scientificità esteriore”. </w:t>
      </w:r>
    </w:p>
  </w:footnote>
  <w:footnote w:id="472">
    <w:p w14:paraId="2147AAB7" w14:textId="77777777" w:rsidR="003B7460" w:rsidRDefault="003B7460" w:rsidP="004A35F7">
      <w:pPr>
        <w:pStyle w:val="Testonotaapidipagina"/>
      </w:pPr>
      <w:r>
        <w:rPr>
          <w:rStyle w:val="Rimandonotaapidipagina"/>
        </w:rPr>
        <w:footnoteRef/>
      </w:r>
      <w:r>
        <w:t xml:space="preserve"> ) Sulle tecniche sono “divulgativi” volumi a sfondo pratico diretti ai non tecnici, come </w:t>
      </w:r>
      <w:r w:rsidRPr="007F7EBF">
        <w:t>l’”</w:t>
      </w:r>
      <w:r>
        <w:t>A</w:t>
      </w:r>
      <w:r w:rsidRPr="007F7EBF">
        <w:t xml:space="preserve">vvocato nel cassetto” (un classico esistito veramente!), </w:t>
      </w:r>
      <w:r>
        <w:t xml:space="preserve">o i manuali </w:t>
      </w:r>
      <w:r w:rsidRPr="007F7EBF">
        <w:t xml:space="preserve">su bricolage </w:t>
      </w:r>
      <w:r>
        <w:t>e</w:t>
      </w:r>
      <w:r w:rsidRPr="007F7EBF">
        <w:t xml:space="preserve"> giardinaggio</w:t>
      </w:r>
      <w:r>
        <w:t>, rispetto a volumi di meccanica o agraria</w:t>
      </w:r>
      <w:r w:rsidRPr="007F7EBF">
        <w:t>.</w:t>
      </w:r>
      <w:r>
        <w:t xml:space="preserve"> </w:t>
      </w:r>
    </w:p>
  </w:footnote>
  <w:footnote w:id="473">
    <w:p w14:paraId="6B790357" w14:textId="77777777" w:rsidR="003B7460" w:rsidRDefault="003B7460" w:rsidP="00B8748E">
      <w:pPr>
        <w:pStyle w:val="Testonotaapidipagina"/>
      </w:pPr>
      <w:r>
        <w:rPr>
          <w:rStyle w:val="Rimandonotaapidipagina"/>
        </w:rPr>
        <w:footnoteRef/>
      </w:r>
      <w:r>
        <w:t xml:space="preserve"> )</w:t>
      </w:r>
      <w:r w:rsidRPr="00A03392">
        <w:t xml:space="preserve"> </w:t>
      </w:r>
      <w:r>
        <w:t>L</w:t>
      </w:r>
      <w:r w:rsidRPr="00DA5592">
        <w:t xml:space="preserve">o studioso della materia </w:t>
      </w:r>
      <w:r>
        <w:t xml:space="preserve">non </w:t>
      </w:r>
      <w:r w:rsidRPr="00DA5592">
        <w:t xml:space="preserve">dialoga </w:t>
      </w:r>
      <w:r>
        <w:t>coi</w:t>
      </w:r>
      <w:r w:rsidRPr="00DA5592">
        <w:t xml:space="preserve"> “profani”, </w:t>
      </w:r>
      <w:r>
        <w:t xml:space="preserve">ma casomai (come detto sopra) “divulga”, mentre gli studi sociali “interloquiscono”; essi vivono insomma </w:t>
      </w:r>
      <w:r w:rsidRPr="00DA5592">
        <w:t>(proprio</w:t>
      </w:r>
      <w:r>
        <w:t xml:space="preserve"> in quanto sociali)</w:t>
      </w:r>
      <w:r w:rsidRPr="00A03392">
        <w:t xml:space="preserve"> nell’intelligenza collettiva (par.</w:t>
      </w:r>
      <w:r w:rsidRPr="003C43D7">
        <w:t xml:space="preserve"> </w:t>
      </w:r>
      <w:r>
        <w:t>4.1</w:t>
      </w:r>
      <w:r w:rsidRPr="00A03392">
        <w:t>)</w:t>
      </w:r>
      <w:r>
        <w:t xml:space="preserve">. </w:t>
      </w:r>
    </w:p>
  </w:footnote>
  <w:footnote w:id="474">
    <w:p w14:paraId="623975B5" w14:textId="162E28A1" w:rsidR="003B7460" w:rsidRDefault="003B7460">
      <w:pPr>
        <w:pStyle w:val="Testonotaapidipagina"/>
      </w:pPr>
      <w:r>
        <w:rPr>
          <w:rStyle w:val="Rimandonotaapidipagina"/>
        </w:rPr>
        <w:footnoteRef/>
      </w:r>
      <w:r>
        <w:t xml:space="preserve"> Mentre tra gli economisti, come indicato al par.4.4, è diffuso il preconcetto che i dati “parlino da soli”. </w:t>
      </w:r>
    </w:p>
  </w:footnote>
  <w:footnote w:id="475">
    <w:p w14:paraId="25D144BD" w14:textId="692800E5" w:rsidR="003B7460" w:rsidRPr="00EF7511" w:rsidRDefault="003B7460">
      <w:pPr>
        <w:pStyle w:val="Testonotaapidipagina"/>
      </w:pPr>
      <w:r>
        <w:rPr>
          <w:rStyle w:val="Rimandonotaapidipagina"/>
        </w:rPr>
        <w:footnoteRef/>
      </w:r>
      <w:r>
        <w:t xml:space="preserve"> Denominata anche </w:t>
      </w:r>
      <w:proofErr w:type="spellStart"/>
      <w:r w:rsidRPr="00972F34">
        <w:rPr>
          <w:i/>
        </w:rPr>
        <w:t>is-ought</w:t>
      </w:r>
      <w:proofErr w:type="spellEnd"/>
      <w:r w:rsidRPr="00972F34">
        <w:rPr>
          <w:i/>
        </w:rPr>
        <w:t xml:space="preserve"> </w:t>
      </w:r>
      <w:proofErr w:type="spellStart"/>
      <w:r w:rsidRPr="00972F34">
        <w:rPr>
          <w:i/>
        </w:rPr>
        <w:t>question</w:t>
      </w:r>
      <w:proofErr w:type="spellEnd"/>
      <w:r>
        <w:t xml:space="preserve"> come impossibilità di dimostrare empiricamente valori (in tedesco dover essere cioè </w:t>
      </w:r>
      <w:proofErr w:type="spellStart"/>
      <w:r w:rsidRPr="00967FE3">
        <w:rPr>
          <w:i/>
        </w:rPr>
        <w:t>sollen</w:t>
      </w:r>
      <w:proofErr w:type="spellEnd"/>
      <w:r>
        <w:t xml:space="preserve">) rispetto al dato empirico dell’essere ( in tedesco </w:t>
      </w:r>
      <w:proofErr w:type="spellStart"/>
      <w:r w:rsidRPr="00967FE3">
        <w:rPr>
          <w:i/>
        </w:rPr>
        <w:t>sein</w:t>
      </w:r>
      <w:proofErr w:type="spellEnd"/>
      <w:r>
        <w:t>)</w:t>
      </w:r>
      <w:r>
        <w:rPr>
          <w:sz w:val="22"/>
          <w:szCs w:val="22"/>
        </w:rPr>
        <w:t xml:space="preserve">. </w:t>
      </w:r>
    </w:p>
  </w:footnote>
  <w:footnote w:id="476">
    <w:p w14:paraId="37EE4EB4" w14:textId="3988D029" w:rsidR="003B7460" w:rsidRDefault="003B7460">
      <w:pPr>
        <w:pStyle w:val="Testonotaapidipagina"/>
      </w:pPr>
      <w:r>
        <w:rPr>
          <w:rStyle w:val="Rimandonotaapidipagina"/>
        </w:rPr>
        <w:footnoteRef/>
      </w:r>
      <w:r>
        <w:t xml:space="preserve">) Ad esempio urbanistica, beni </w:t>
      </w:r>
      <w:r>
        <w:rPr>
          <w:sz w:val="22"/>
          <w:szCs w:val="22"/>
        </w:rPr>
        <w:t>culturali, ambiente, regolazione, appalti, università e ricerca, impiego pubblico, contabilità di stato, etc</w:t>
      </w:r>
      <w:r>
        <w:t>.</w:t>
      </w:r>
    </w:p>
  </w:footnote>
  <w:footnote w:id="477">
    <w:p w14:paraId="04AAFA5D" w14:textId="5DBA2B08" w:rsidR="003B7460" w:rsidRDefault="003B7460" w:rsidP="0072715E">
      <w:pPr>
        <w:pStyle w:val="Testonotaapidipagina"/>
      </w:pPr>
      <w:r w:rsidRPr="007917C5">
        <w:rPr>
          <w:rStyle w:val="Rimandonotaapidipagina"/>
        </w:rPr>
        <w:footnoteRef/>
      </w:r>
      <w:r w:rsidRPr="007917C5">
        <w:t xml:space="preserve"> </w:t>
      </w:r>
      <w:r>
        <w:rPr>
          <w:sz w:val="22"/>
          <w:szCs w:val="22"/>
        </w:rPr>
        <w:t xml:space="preserve">Sarebbero solo per questo scongiurati i rischi di colonizzazione a danno di </w:t>
      </w:r>
      <w:r>
        <w:t xml:space="preserve">piccole discipline tecniche, come </w:t>
      </w:r>
      <w:r>
        <w:rPr>
          <w:sz w:val="22"/>
          <w:szCs w:val="22"/>
        </w:rPr>
        <w:t xml:space="preserve">diritto fallimentare, di famiglia, bancario e delle assicurazioni, della previdenza sociale, </w:t>
      </w:r>
      <w:r>
        <w:t xml:space="preserve"> agrario o della navigazione.  </w:t>
      </w:r>
    </w:p>
  </w:footnote>
  <w:footnote w:id="478">
    <w:p w14:paraId="0493C6E0" w14:textId="13752EB4" w:rsidR="003B7460" w:rsidRDefault="003B7460" w:rsidP="001258D4">
      <w:pPr>
        <w:pStyle w:val="Testonotaapidipagina"/>
      </w:pPr>
      <w:r>
        <w:rPr>
          <w:rStyle w:val="Rimandonotaapidipagina"/>
        </w:rPr>
        <w:footnoteRef/>
      </w:r>
      <w:r>
        <w:t xml:space="preserve"> ) Oggi sostanzialmente privi di ricaduta formativa, come indicato nell’ultima parte del par.4.4, ma che fanno da </w:t>
      </w:r>
      <w:r>
        <w:rPr>
          <w:i/>
        </w:rPr>
        <w:t xml:space="preserve">sensori sociali </w:t>
      </w:r>
      <w:r>
        <w:t>dell’intelligenza collettiva.</w:t>
      </w:r>
    </w:p>
  </w:footnote>
  <w:footnote w:id="479">
    <w:p w14:paraId="613ACE20" w14:textId="7111CCB4" w:rsidR="003B7460" w:rsidRDefault="003B7460" w:rsidP="00B9481A">
      <w:pPr>
        <w:pStyle w:val="Testonotaapidipagina"/>
      </w:pPr>
      <w:r>
        <w:rPr>
          <w:rStyle w:val="Rimandonotaapidipagina"/>
        </w:rPr>
        <w:footnoteRef/>
      </w:r>
      <w:r>
        <w:t xml:space="preserve"> ) Su questo ruolo </w:t>
      </w:r>
      <w:proofErr w:type="spellStart"/>
      <w:r>
        <w:t>cfr</w:t>
      </w:r>
      <w:proofErr w:type="spellEnd"/>
      <w:r>
        <w:t xml:space="preserve"> il mio</w:t>
      </w:r>
      <w:r w:rsidRPr="00791E3D">
        <w:t xml:space="preserve"> video su </w:t>
      </w:r>
      <w:proofErr w:type="spellStart"/>
      <w:r w:rsidRPr="00791E3D">
        <w:t>youtube</w:t>
      </w:r>
      <w:proofErr w:type="spellEnd"/>
      <w:r w:rsidRPr="00791E3D">
        <w:t xml:space="preserve"> “Una TV tematica gradevole e permanentemente utilizzabile per il pubblico dibattito”</w:t>
      </w:r>
      <w:r>
        <w:t xml:space="preserve">, con un numero </w:t>
      </w:r>
      <w:proofErr w:type="spellStart"/>
      <w:r>
        <w:t>diacolti</w:t>
      </w:r>
      <w:proofErr w:type="spellEnd"/>
      <w:r>
        <w:t xml:space="preserve"> che potrebbe uguagliare i programmi generalisti, grazie alla pluralità di passaggi.  </w:t>
      </w:r>
    </w:p>
  </w:footnote>
  <w:footnote w:id="480">
    <w:p w14:paraId="6EF61370" w14:textId="0F183940" w:rsidR="003B7460" w:rsidRPr="007F7EBF" w:rsidRDefault="003B7460" w:rsidP="00350381">
      <w:pPr>
        <w:pStyle w:val="Testonotaapidipagina"/>
      </w:pPr>
      <w:r w:rsidRPr="007F7EBF">
        <w:rPr>
          <w:rStyle w:val="Rimandonotaapidipagina"/>
        </w:rPr>
        <w:footnoteRef/>
      </w:r>
      <w:r w:rsidRPr="007F7EBF">
        <w:t xml:space="preserve"> )</w:t>
      </w:r>
      <w:r>
        <w:t xml:space="preserve"> Salva la possibilità di interruzione del servizio per “morosità”.</w:t>
      </w:r>
      <w:r w:rsidRPr="002C5362">
        <w:t xml:space="preserve"> </w:t>
      </w:r>
    </w:p>
  </w:footnote>
  <w:footnote w:id="481">
    <w:p w14:paraId="2E1A52BF" w14:textId="77777777" w:rsidR="003B7460" w:rsidRDefault="003B7460" w:rsidP="002C5362">
      <w:pPr>
        <w:pStyle w:val="Testonotaapidipagina"/>
      </w:pPr>
      <w:r>
        <w:rPr>
          <w:rStyle w:val="Rimandonotaapidipagina"/>
        </w:rPr>
        <w:footnoteRef/>
      </w:r>
      <w:r>
        <w:t xml:space="preserve"> ) Oltre che naturalmente delle imposte, come indicato al par.1.7. Interrogarsi in quale misura il calcolo della pressione fiscale è influenzato il profilo della diversità tra le entrate pubbliche sarebbe un ottimo argomento per tesi di laurea o di dottorato. </w:t>
      </w:r>
    </w:p>
  </w:footnote>
  <w:footnote w:id="482">
    <w:p w14:paraId="5D889E8D" w14:textId="73555D4A" w:rsidR="003B7460" w:rsidRDefault="003B7460">
      <w:pPr>
        <w:pStyle w:val="Testonotaapidipagina"/>
      </w:pPr>
      <w:r>
        <w:rPr>
          <w:rStyle w:val="Rimandonotaapidipagina"/>
        </w:rPr>
        <w:footnoteRef/>
      </w:r>
      <w:r>
        <w:t xml:space="preserve"> ) Con le sopra indicate conseguenze di seguire procedure applicative “privatistiche” e di non rilevare ai fini della “pressione fiscale”(par.1.7). I rapporti tra c</w:t>
      </w:r>
      <w:r w:rsidRPr="007F7EBF">
        <w:t>oncedente</w:t>
      </w:r>
      <w:r>
        <w:t>,</w:t>
      </w:r>
      <w:r w:rsidRPr="007F7EBF">
        <w:t xml:space="preserve"> concessionario</w:t>
      </w:r>
      <w:r>
        <w:t xml:space="preserve"> e autorità di vigilanza sono invece pubblicistici, con giurisdizione dei tribunali amministrativi.</w:t>
      </w:r>
    </w:p>
  </w:footnote>
  <w:footnote w:id="483">
    <w:p w14:paraId="4BFCB55C" w14:textId="77777777" w:rsidR="003B7460" w:rsidRPr="007F7EBF" w:rsidRDefault="003B7460" w:rsidP="000443DE">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Un tempo poste e ferrovie erano incardinate in appositi ministeri, denominati "delle poste e delle comunicazioni" e "dei trasporti".</w:t>
      </w:r>
      <w:r w:rsidRPr="007F7EBF">
        <w:rPr>
          <w:bCs/>
          <w:sz w:val="20"/>
          <w:szCs w:val="20"/>
        </w:rPr>
        <w:t xml:space="preserve"> I comuni gestivano direttamente le autolinee, le forniture idriche o lo smaltimento dei rifiuti.</w:t>
      </w:r>
      <w:r w:rsidRPr="007F7EBF">
        <w:rPr>
          <w:sz w:val="20"/>
          <w:szCs w:val="20"/>
        </w:rPr>
        <w:t>.</w:t>
      </w:r>
    </w:p>
  </w:footnote>
  <w:footnote w:id="484">
    <w:p w14:paraId="2248E6A7" w14:textId="77777777" w:rsidR="003B7460" w:rsidRPr="007F7EBF" w:rsidRDefault="003B7460" w:rsidP="00350381">
      <w:pPr>
        <w:pStyle w:val="Testonotaapidipagina"/>
      </w:pPr>
      <w:r w:rsidRPr="007F7EBF">
        <w:rPr>
          <w:rStyle w:val="Rimandonotaapidipagina"/>
        </w:rPr>
        <w:footnoteRef/>
      </w:r>
      <w:r>
        <w:t xml:space="preserve">) La </w:t>
      </w:r>
      <w:r w:rsidRPr="007F7EBF">
        <w:t xml:space="preserve">difficile </w:t>
      </w:r>
      <w:r>
        <w:t xml:space="preserve">misurazione della </w:t>
      </w:r>
      <w:r w:rsidRPr="007F7EBF">
        <w:t xml:space="preserve">fruizione individualizzata di </w:t>
      </w:r>
      <w:r>
        <w:t>alcuni</w:t>
      </w:r>
      <w:r w:rsidRPr="007F7EBF">
        <w:t xml:space="preserve"> servizi</w:t>
      </w:r>
      <w:r>
        <w:t xml:space="preserve"> ha reso fallimentari alcune trasformazioni di tributi in tariffe, come vedremo al par.10.10 per la tassa</w:t>
      </w:r>
      <w:r w:rsidRPr="007F7EBF">
        <w:t xml:space="preserve"> smaltimento dei rifiuti</w:t>
      </w:r>
      <w:r>
        <w:t>, tornata ad essere “tributo”</w:t>
      </w:r>
      <w:r w:rsidRPr="007F7EBF">
        <w:t>,</w:t>
      </w:r>
      <w:r>
        <w:t xml:space="preserve"> nonostante il mutamento di nome.</w:t>
      </w:r>
      <w:r w:rsidRPr="007F7EBF">
        <w:t xml:space="preserve"> </w:t>
      </w:r>
    </w:p>
  </w:footnote>
  <w:footnote w:id="485">
    <w:p w14:paraId="2921E050" w14:textId="77777777" w:rsidR="003B7460" w:rsidRPr="007F7EBF" w:rsidRDefault="003B7460" w:rsidP="000443DE">
      <w:pPr>
        <w:pStyle w:val="Testonotaapidipagina"/>
      </w:pPr>
      <w:r w:rsidRPr="007F7EBF">
        <w:rPr>
          <w:rStyle w:val="Rimandonotaapidipagina"/>
        </w:rPr>
        <w:footnoteRef/>
      </w:r>
      <w:r w:rsidRPr="007F7EBF">
        <w:t xml:space="preserve"> ) Dove il ministero delle finanze fino a pochi decenni or sono gestiva, secondo il modello militare di cui al par.5.3, vere e proprie fabbriche di sale, con migliaia di operai. Questo monopolio spiega le insegne “Sali e tabacchi”, con le tabaccherie che vendevano anche il sale, in quanto genere di monopolio (poi ovviamente il sale è stato liberalizzato, ma per questo è ancora oggi reperibile in tabaccheria). </w:t>
      </w:r>
    </w:p>
  </w:footnote>
  <w:footnote w:id="486">
    <w:p w14:paraId="13A72FA3" w14:textId="77777777" w:rsidR="003B7460" w:rsidRPr="007F7EBF" w:rsidRDefault="003B7460" w:rsidP="000443DE">
      <w:pPr>
        <w:pStyle w:val="Testonotaapidipagina"/>
      </w:pPr>
      <w:r w:rsidRPr="007F7EBF">
        <w:rPr>
          <w:rStyle w:val="Rimandonotaapidipagina"/>
        </w:rPr>
        <w:footnoteRef/>
      </w:r>
      <w:r w:rsidRPr="007F7EBF">
        <w:t xml:space="preserve"> ) Legato ai tempi in cui la Somalia era una colonia Italiana, e rimasto in vigore fino agli anni 60 del ventesimo secolo. </w:t>
      </w:r>
    </w:p>
  </w:footnote>
  <w:footnote w:id="487">
    <w:p w14:paraId="0FDB3A23" w14:textId="4A978384" w:rsidR="003B7460" w:rsidRPr="007F7EBF" w:rsidRDefault="003B7460" w:rsidP="000443DE">
      <w:pPr>
        <w:pStyle w:val="Testonotaapidipagina"/>
      </w:pPr>
      <w:r w:rsidRPr="007F7EBF">
        <w:rPr>
          <w:rStyle w:val="Rimandonotaapidipagina"/>
        </w:rPr>
        <w:footnoteRef/>
      </w:r>
      <w:r w:rsidRPr="007F7EBF">
        <w:t xml:space="preserve"> Nessuno in Italia può fare il biscazziere, se non lo stato, ormai organizzativamente incapace, o chi ha il suo permesso “a pagamento”. Il compenso è una prededuzione dal denaro raccolto dai concessionari: insomma, “gratta </w:t>
      </w:r>
      <w:proofErr w:type="spellStart"/>
      <w:r w:rsidRPr="007F7EBF">
        <w:t>gratta</w:t>
      </w:r>
      <w:proofErr w:type="spellEnd"/>
      <w:r w:rsidRPr="007F7EBF">
        <w:t>” è lo Stato che vince sempre, e i "fortunati vincitori" si dividono quello che rimane</w:t>
      </w:r>
      <w:r>
        <w:t xml:space="preserve">; il tutto anche grazie ai cosiddetti “signori del Bingo” additati al pubblico ludibrio come colpevoli di ludopatie, ma in relazione ai quali, per lo stato “pecunia non </w:t>
      </w:r>
      <w:proofErr w:type="spellStart"/>
      <w:r>
        <w:t>olet</w:t>
      </w:r>
      <w:proofErr w:type="spellEnd"/>
      <w:r>
        <w:t>”.</w:t>
      </w:r>
    </w:p>
  </w:footnote>
  <w:footnote w:id="488">
    <w:p w14:paraId="28E6754D" w14:textId="4C3ECA62" w:rsidR="003B7460" w:rsidRDefault="003B7460">
      <w:pPr>
        <w:pStyle w:val="Testonotaapidipagina"/>
      </w:pPr>
      <w:r>
        <w:rPr>
          <w:rStyle w:val="Rimandonotaapidipagina"/>
        </w:rPr>
        <w:footnoteRef/>
      </w:r>
      <w:r>
        <w:t xml:space="preserve"> ) Attraverso </w:t>
      </w:r>
      <w:r w:rsidRPr="007F7EBF">
        <w:t xml:space="preserve">gare pubbliche, </w:t>
      </w:r>
      <w:r>
        <w:t>imposte dai</w:t>
      </w:r>
      <w:r w:rsidRPr="007F7EBF">
        <w:t xml:space="preserve"> principi comunitari di libera concorrenza e trasparenza di mercato, indicati al par. 2.6.</w:t>
      </w:r>
    </w:p>
  </w:footnote>
  <w:footnote w:id="489">
    <w:p w14:paraId="1E43E520" w14:textId="77777777" w:rsidR="003B7460" w:rsidRPr="007F7EBF" w:rsidRDefault="003B7460" w:rsidP="008B1664">
      <w:pPr>
        <w:pStyle w:val="Testonotaapidipagina"/>
      </w:pPr>
      <w:r w:rsidRPr="007F7EBF">
        <w:rPr>
          <w:rStyle w:val="Rimandonotaapidipagina"/>
        </w:rPr>
        <w:footnoteRef/>
      </w:r>
      <w:r w:rsidRPr="007F7EBF">
        <w:t xml:space="preserve"> ) Ad esempio il contributo unificato di cui anche al processo tributario (par.6.9). </w:t>
      </w:r>
    </w:p>
  </w:footnote>
  <w:footnote w:id="490">
    <w:p w14:paraId="446B82A8" w14:textId="77777777" w:rsidR="003B7460" w:rsidRPr="007F7EBF" w:rsidRDefault="003B7460" w:rsidP="00794AD8">
      <w:pPr>
        <w:pStyle w:val="Testonotaapidipagina"/>
      </w:pPr>
      <w:r w:rsidRPr="007F7EBF">
        <w:rPr>
          <w:rStyle w:val="Rimandonotaapidipagina"/>
        </w:rPr>
        <w:footnoteRef/>
      </w:r>
      <w:r w:rsidRPr="007F7EBF">
        <w:t xml:space="preserve"> </w:t>
      </w:r>
      <w:r>
        <w:t xml:space="preserve">) L’esempio estremo, e un po' macabro, è la </w:t>
      </w:r>
      <w:r w:rsidRPr="007F7EBF">
        <w:t>rivalsa per le spese dell'esecuzione</w:t>
      </w:r>
      <w:r>
        <w:t xml:space="preserve"> capitale,</w:t>
      </w:r>
      <w:r w:rsidRPr="007F7EBF">
        <w:t xml:space="preserve"> sul patrimonio del condannato a morte.</w:t>
      </w:r>
    </w:p>
  </w:footnote>
  <w:footnote w:id="491">
    <w:p w14:paraId="213F3E59" w14:textId="693DE55B" w:rsidR="003B7460" w:rsidRPr="007F7EBF" w:rsidRDefault="003B7460" w:rsidP="00EA1BAB">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Senza arrivare all’estremo secondo cui tutte le imposte sono “contributi” qui parliamo di </w:t>
      </w:r>
      <w:r w:rsidRPr="007F7EBF">
        <w:rPr>
          <w:sz w:val="20"/>
          <w:szCs w:val="20"/>
        </w:rPr>
        <w:t xml:space="preserve">appartenenza a collettività </w:t>
      </w:r>
      <w:r>
        <w:rPr>
          <w:sz w:val="20"/>
          <w:szCs w:val="20"/>
        </w:rPr>
        <w:t xml:space="preserve">limitate, di beneficiari di un’attività pubblica specifica, </w:t>
      </w:r>
      <w:proofErr w:type="spellStart"/>
      <w:r>
        <w:rPr>
          <w:sz w:val="20"/>
          <w:szCs w:val="20"/>
        </w:rPr>
        <w:t>ancorchè</w:t>
      </w:r>
      <w:proofErr w:type="spellEnd"/>
      <w:r>
        <w:rPr>
          <w:sz w:val="20"/>
          <w:szCs w:val="20"/>
        </w:rPr>
        <w:t xml:space="preserve"> indistinta</w:t>
      </w:r>
      <w:r w:rsidRPr="007F7EBF">
        <w:rPr>
          <w:vanish/>
          <w:sz w:val="20"/>
          <w:szCs w:val="20"/>
        </w:rPr>
        <w:t xml:space="preserve">uesta   </w:t>
      </w:r>
      <w:r>
        <w:rPr>
          <w:sz w:val="20"/>
          <w:szCs w:val="20"/>
        </w:rPr>
        <w:t>.</w:t>
      </w:r>
    </w:p>
  </w:footnote>
  <w:footnote w:id="492">
    <w:p w14:paraId="02839F8F" w14:textId="0FC9AB3D" w:rsidR="003B7460" w:rsidRPr="007F7EBF" w:rsidRDefault="003B7460" w:rsidP="00917142">
      <w:pPr>
        <w:pStyle w:val="Testonotaapidipagina"/>
      </w:pPr>
      <w:r w:rsidRPr="007F7EBF">
        <w:rPr>
          <w:rStyle w:val="Rimandonotaapidipagina"/>
        </w:rPr>
        <w:footnoteRef/>
      </w:r>
      <w:r w:rsidRPr="007F7EBF">
        <w:t xml:space="preserve"> ) </w:t>
      </w:r>
      <w:r>
        <w:t xml:space="preserve">Questi contributi si distinguono dalle “imposte di scopo”, caratterizzate solo dalla “destinazione del gettito”, senza alcuna utilità per coloro da cui proviene. Il contributo invece presenta un’”utilità teorica” per coloro che lo pagano, intrecciando </w:t>
      </w:r>
      <w:r w:rsidRPr="007F7EBF">
        <w:t>principio del beneficio e del sacrificio</w:t>
      </w:r>
      <w:r>
        <w:t xml:space="preserve">, un po' come </w:t>
      </w:r>
      <w:r w:rsidRPr="007F7EBF">
        <w:t>le spese condominiali</w:t>
      </w:r>
      <w:r>
        <w:t xml:space="preserve">, ripartite in modo </w:t>
      </w:r>
      <w:r w:rsidRPr="007F7EBF">
        <w:t>proporzional</w:t>
      </w:r>
      <w:r>
        <w:t xml:space="preserve">e </w:t>
      </w:r>
      <w:r w:rsidRPr="007F7EBF">
        <w:t>al valore de</w:t>
      </w:r>
      <w:r>
        <w:t xml:space="preserve">gli appartamenti, </w:t>
      </w:r>
      <w:r w:rsidRPr="007F7EBF">
        <w:t>anziché all’”uso del servizio”</w:t>
      </w:r>
      <w:r>
        <w:t xml:space="preserve"> (ascensore o portiere), uguale per tutti. Ritroveremo questi intrecci tra “beneficio” e “sacrificio”, interessanti per tesi di laurea o dottorato, anche al par.10.9 per le imposte locali immobiliari</w:t>
      </w:r>
      <w:r w:rsidRPr="007F7EBF">
        <w:t>.</w:t>
      </w:r>
    </w:p>
  </w:footnote>
  <w:footnote w:id="493">
    <w:p w14:paraId="1247ABFC" w14:textId="77777777" w:rsidR="003B7460" w:rsidRPr="007F7EBF" w:rsidRDefault="003B7460">
      <w:pPr>
        <w:pStyle w:val="Testonotaapidipagina"/>
      </w:pPr>
      <w:r w:rsidRPr="007F7EBF">
        <w:rPr>
          <w:rStyle w:val="Rimandonotaapidipagina"/>
        </w:rPr>
        <w:footnoteRef/>
      </w:r>
      <w:r w:rsidRPr="007F7EBF">
        <w:t xml:space="preserve"> ) A carico di chi vuole edificare un edificio, e che sono destinati agli enti locali a fronte delle opere di urbanizzazione generali dell’area in cui l’edificio si trova (strade, marciapiedi, fogne, illuminazione etc.). </w:t>
      </w:r>
    </w:p>
  </w:footnote>
  <w:footnote w:id="494">
    <w:p w14:paraId="629D993E" w14:textId="1E3523FE" w:rsidR="003B7460" w:rsidRPr="007F7EBF" w:rsidRDefault="003B7460">
      <w:pPr>
        <w:pStyle w:val="Testonotaapidipagina"/>
      </w:pPr>
      <w:r w:rsidRPr="007F7EBF">
        <w:rPr>
          <w:rStyle w:val="Rimandonotaapidipagina"/>
        </w:rPr>
        <w:footnoteRef/>
      </w:r>
      <w:r w:rsidRPr="007F7EBF">
        <w:t xml:space="preserve"> </w:t>
      </w:r>
      <w:r>
        <w:t xml:space="preserve">) </w:t>
      </w:r>
      <w:r w:rsidRPr="007F7EBF">
        <w:t>Si pensi ai contributi di bonifica di determinate aree, un tempo paludose, ovvero ai contributi per lo smaltimento ambientale di batterie esauste, prodotti elettrici, imballaggi plastici, etc. Tali consorzi sono in genere costituiti o riconosciuti per legge, in modo da rispettare il principio di riserva di legge (2.1) a fronte del pagamento dei relativi oneri.</w:t>
      </w:r>
    </w:p>
  </w:footnote>
  <w:footnote w:id="495">
    <w:p w14:paraId="77947867" w14:textId="2EE6D716" w:rsidR="003B7460" w:rsidRDefault="003B7460">
      <w:pPr>
        <w:pStyle w:val="Testonotaapidipagina"/>
      </w:pPr>
      <w:r>
        <w:rPr>
          <w:rStyle w:val="Rimandonotaapidipagina"/>
        </w:rPr>
        <w:footnoteRef/>
      </w:r>
      <w:r>
        <w:t xml:space="preserve"> ) Le imposte furono affidate dal secondo dopoguerra al 2000 allo specifico “Ministero delle Finanze”, accorpato (legge 300 del 1999) col ministero del tesoro e del bilancio nel già indicato “ministero dell’economia”; questa denominazione conferma la tendenza “aziendalistica” su cui torneremo al par.5.3, finendo per creare confusione con l’ex ministero dell’industria, ridefinito “dello sviluppo economico”. L’accorpamento dei ministeri economici ha eliminato un diretto responsabile politico della funzione tributaria. . </w:t>
      </w:r>
    </w:p>
  </w:footnote>
  <w:footnote w:id="496">
    <w:p w14:paraId="780295CE" w14:textId="0AA7EAAE" w:rsidR="003B7460" w:rsidRDefault="003B7460">
      <w:pPr>
        <w:pStyle w:val="Testonotaapidipagina"/>
      </w:pPr>
      <w:r>
        <w:rPr>
          <w:rStyle w:val="Rimandonotaapidipagina"/>
        </w:rPr>
        <w:footnoteRef/>
      </w:r>
      <w:r>
        <w:t xml:space="preserve"> ) Si tratta di attività tipiche della “finanza patrimoniale” piuttosto che di quella tributaria, secondo le distinzioni formulate al par.1.1. </w:t>
      </w:r>
    </w:p>
  </w:footnote>
  <w:footnote w:id="497">
    <w:p w14:paraId="0BD58B91" w14:textId="4A02089B" w:rsidR="003B7460" w:rsidRDefault="003B7460">
      <w:pPr>
        <w:pStyle w:val="Testonotaapidipagina"/>
      </w:pPr>
      <w:r>
        <w:rPr>
          <w:rStyle w:val="Rimandonotaapidipagina"/>
        </w:rPr>
        <w:footnoteRef/>
      </w:r>
      <w:r>
        <w:t xml:space="preserve"> ) Si pensi all’Agenzia del Farmaco, a quella per la ricerca e l’università (ANVUR su cui par.4.3), nonché a tutte le “Autorità” (Concorrenza, Trasporti, Energie, Privacy) con un modello organizzativo molto simile. </w:t>
      </w:r>
    </w:p>
  </w:footnote>
  <w:footnote w:id="498">
    <w:p w14:paraId="4B2FFFAE" w14:textId="77777777" w:rsidR="003B7460" w:rsidRPr="007F7EBF" w:rsidRDefault="003B7460" w:rsidP="00571FDA">
      <w:pPr>
        <w:pStyle w:val="Testonotaapidipagina"/>
      </w:pPr>
      <w:r w:rsidRPr="007F7EBF">
        <w:rPr>
          <w:rStyle w:val="Rimandonotaapidipagina"/>
        </w:rPr>
        <w:footnoteRef/>
      </w:r>
      <w:r w:rsidRPr="007F7EBF">
        <w:t xml:space="preserve"> ) Al par.5.3</w:t>
      </w:r>
      <w:r>
        <w:t xml:space="preserve"> vedremo che la migliore</w:t>
      </w:r>
      <w:r w:rsidRPr="007F7EBF">
        <w:t xml:space="preserve"> sintesi </w:t>
      </w:r>
      <w:r>
        <w:t xml:space="preserve">tra i due modelli </w:t>
      </w:r>
      <w:r w:rsidRPr="007F7EBF">
        <w:t xml:space="preserve">è un adattamento di quello gerarchico a una società aperta e pluralista. </w:t>
      </w:r>
    </w:p>
  </w:footnote>
  <w:footnote w:id="499">
    <w:p w14:paraId="1C3D8043" w14:textId="7901E89E" w:rsidR="003B7460" w:rsidRPr="007F7EBF" w:rsidRDefault="003B7460" w:rsidP="00F21DA1">
      <w:pPr>
        <w:pStyle w:val="Testonotaapidipagina"/>
      </w:pPr>
      <w:r w:rsidRPr="007F7EBF">
        <w:rPr>
          <w:rStyle w:val="Rimandonotaapidipagina"/>
        </w:rPr>
        <w:footnoteRef/>
      </w:r>
      <w:r w:rsidRPr="007F7EBF">
        <w:t xml:space="preserve"> ) </w:t>
      </w:r>
      <w:r>
        <w:t xml:space="preserve">Del resto anche nel passato non </w:t>
      </w:r>
      <w:r w:rsidRPr="007F7EBF">
        <w:t>manca</w:t>
      </w:r>
      <w:r>
        <w:t>vano</w:t>
      </w:r>
      <w:r w:rsidRPr="007F7EBF">
        <w:t xml:space="preserve"> enti pubblici con ordinamento autonomo, come l’INPS, la Banca D’Italia, la</w:t>
      </w:r>
      <w:r>
        <w:t xml:space="preserve"> stessa</w:t>
      </w:r>
      <w:r w:rsidRPr="007F7EBF">
        <w:t xml:space="preserve"> Guardia di Finanza, </w:t>
      </w:r>
      <w:r>
        <w:t>corpo militare con vastissimi compiti “non militari”, di cui diremo tra un attimo</w:t>
      </w:r>
      <w:r w:rsidRPr="007F7EBF">
        <w:t xml:space="preserve">. </w:t>
      </w:r>
    </w:p>
  </w:footnote>
  <w:footnote w:id="500">
    <w:p w14:paraId="04639124" w14:textId="77777777" w:rsidR="003B7460" w:rsidRPr="007F7EBF" w:rsidRDefault="003B7460" w:rsidP="00B67778">
      <w:pPr>
        <w:pStyle w:val="Testonotaapidipagina"/>
      </w:pPr>
      <w:r w:rsidRPr="007F7EBF">
        <w:rPr>
          <w:rStyle w:val="Rimandonotaapidipagina"/>
        </w:rPr>
        <w:footnoteRef/>
      </w:r>
      <w:r w:rsidRPr="007F7EBF">
        <w:t xml:space="preserve"> ) I regolamenti e gli atti amministrativi generali di cui abbiamo parlato al par.2.1 a proposito delle fonti normative e della “riserva di legge”. </w:t>
      </w:r>
    </w:p>
  </w:footnote>
  <w:footnote w:id="501">
    <w:p w14:paraId="518FB2BF" w14:textId="77777777" w:rsidR="003B7460" w:rsidRPr="007F7EBF" w:rsidRDefault="003B7460">
      <w:pPr>
        <w:pStyle w:val="Testonotaapidipagina"/>
      </w:pPr>
      <w:r w:rsidRPr="007F7EBF">
        <w:rPr>
          <w:rStyle w:val="Rimandonotaapidipagina"/>
        </w:rPr>
        <w:footnoteRef/>
      </w:r>
      <w:r w:rsidRPr="007F7EBF">
        <w:t xml:space="preserve"> ) Le province più popolose, come Roma o Milano, sono suddivise in due-tre  uffici provinciali. </w:t>
      </w:r>
    </w:p>
  </w:footnote>
  <w:footnote w:id="502">
    <w:p w14:paraId="3D98EA9B" w14:textId="536064D3" w:rsidR="003B7460" w:rsidRDefault="003B7460">
      <w:pPr>
        <w:pStyle w:val="Testonotaapidipagina"/>
      </w:pPr>
      <w:r>
        <w:rPr>
          <w:rStyle w:val="Rimandonotaapidipagina"/>
        </w:rPr>
        <w:footnoteRef/>
      </w:r>
      <w:r>
        <w:t xml:space="preserve"> ) </w:t>
      </w:r>
      <w:r>
        <w:rPr>
          <w:sz w:val="22"/>
          <w:szCs w:val="22"/>
        </w:rPr>
        <w:t>A</w:t>
      </w:r>
      <w:r w:rsidRPr="007F7EBF">
        <w:rPr>
          <w:sz w:val="22"/>
          <w:szCs w:val="22"/>
        </w:rPr>
        <w:t>d esempio per il rilascio di codici fiscali, apertura di partite IVA, registrazioni di contratti, etc..</w:t>
      </w:r>
    </w:p>
  </w:footnote>
  <w:footnote w:id="503">
    <w:p w14:paraId="41DB5943" w14:textId="05B17FD6" w:rsidR="003B7460" w:rsidRDefault="003B7460">
      <w:pPr>
        <w:pStyle w:val="Testonotaapidipagina"/>
      </w:pPr>
      <w:r>
        <w:rPr>
          <w:rStyle w:val="Rimandonotaapidipagina"/>
        </w:rPr>
        <w:footnoteRef/>
      </w:r>
      <w:r>
        <w:t xml:space="preserve"> ) Acronimo IMLA , per imprese minori e lavoratori autonomi.  </w:t>
      </w:r>
    </w:p>
  </w:footnote>
  <w:footnote w:id="504">
    <w:p w14:paraId="0CA2E64D" w14:textId="60CBF0DB" w:rsidR="003B7460" w:rsidRPr="007F7EBF" w:rsidRDefault="003B7460" w:rsidP="00592BC2">
      <w:pPr>
        <w:pStyle w:val="Testonotaapidipagina"/>
      </w:pPr>
      <w:r w:rsidRPr="007F7EBF">
        <w:rPr>
          <w:rStyle w:val="Rimandonotaapidipagina"/>
        </w:rPr>
        <w:footnoteRef/>
      </w:r>
      <w:r w:rsidRPr="007F7EBF">
        <w:t xml:space="preserve"> Anche </w:t>
      </w:r>
      <w:r>
        <w:t>costoro possono</w:t>
      </w:r>
      <w:r w:rsidRPr="007F7EBF">
        <w:t xml:space="preserve"> infatti nascondere ricchezza al fisco, come per i c.d. "affitti in nero" di cui al par.8.4; può anche trattarsi di redditi di capitale (par.8.5) o "redditi diversi", nonché di dividendi fuori bilancio, come indicato al par.7.17. A questi uffici compete anche l'accertamento del reddito in base alla spesa, di cui al par.5.14. La competenza di tali uffici "persone fisiche" è solo per le imposte sui redditi, dal momento che per definizione non si tratta di operatori economici, soggetti anche all'IVA come tributo generale sui consumi.</w:t>
      </w:r>
    </w:p>
  </w:footnote>
  <w:footnote w:id="505">
    <w:p w14:paraId="17632467" w14:textId="2D2E2E9C" w:rsidR="003B7460" w:rsidRDefault="003B7460">
      <w:pPr>
        <w:pStyle w:val="Testonotaapidipagina"/>
      </w:pPr>
      <w:r>
        <w:rPr>
          <w:rStyle w:val="Rimandonotaapidipagina"/>
        </w:rPr>
        <w:footnoteRef/>
      </w:r>
      <w:r>
        <w:t xml:space="preserve"> ) Ad esempio gli addetti al reparto di controllo di questi soggetti per una direzione provinciale di una grande città sono un po' meno di 100, e i contribuenti di loro competenza sono oltre mille volte più numerosi. </w:t>
      </w:r>
    </w:p>
  </w:footnote>
  <w:footnote w:id="506">
    <w:p w14:paraId="05554DFE" w14:textId="67D8DE9A" w:rsidR="003B7460" w:rsidRDefault="003B7460">
      <w:pPr>
        <w:pStyle w:val="Testonotaapidipagina"/>
      </w:pPr>
      <w:r>
        <w:rPr>
          <w:rStyle w:val="Rimandonotaapidipagina"/>
        </w:rPr>
        <w:footnoteRef/>
      </w:r>
      <w:r>
        <w:t xml:space="preserve"> ) Dove le attività economiche da controllare sono alcune migliaia, ma anche meno di 1000, a seconda dell’area. Per le grandi imprese, al contrario di piccoli commercianti e artigiani,  il personale è invece sovrabbondante rispetto al rischio di imponibili non registrati, come vedremo subito nel testo. </w:t>
      </w:r>
    </w:p>
  </w:footnote>
  <w:footnote w:id="507">
    <w:p w14:paraId="576C18E1" w14:textId="6E39B525" w:rsidR="003B7460" w:rsidRPr="007F7EBF" w:rsidRDefault="003B7460" w:rsidP="00B40853">
      <w:pPr>
        <w:pStyle w:val="Testonotaapidipagina"/>
      </w:pPr>
      <w:r w:rsidRPr="007F7EBF">
        <w:rPr>
          <w:rStyle w:val="Rimandonotaapidipagina"/>
        </w:rPr>
        <w:footnoteRef/>
      </w:r>
      <w:r w:rsidRPr="007F7EBF">
        <w:t xml:space="preserve"> ) </w:t>
      </w:r>
      <w:r>
        <w:t>Nonché un apposito s</w:t>
      </w:r>
      <w:r w:rsidRPr="007F7EBF">
        <w:t xml:space="preserve">ervizio legale, </w:t>
      </w:r>
      <w:r>
        <w:t xml:space="preserve">analogo a quello delle direzioni provinciali, destinato al relativo coordinamento e al contenzioso dei </w:t>
      </w:r>
      <w:r w:rsidRPr="007F7EBF">
        <w:t xml:space="preserve">“grandi contribuenti”. </w:t>
      </w:r>
    </w:p>
  </w:footnote>
  <w:footnote w:id="508">
    <w:p w14:paraId="0E315AD7" w14:textId="0574E4D5" w:rsidR="003B7460" w:rsidRPr="007F7EBF" w:rsidRDefault="003B7460">
      <w:pPr>
        <w:pStyle w:val="Testonotaapidipagina"/>
      </w:pPr>
      <w:r w:rsidRPr="007F7EBF">
        <w:rPr>
          <w:rStyle w:val="Rimandonotaapidipagina"/>
        </w:rPr>
        <w:footnoteRef/>
      </w:r>
      <w:r w:rsidRPr="007F7EBF">
        <w:t xml:space="preserve"> </w:t>
      </w:r>
      <w:r>
        <w:t xml:space="preserve">) La </w:t>
      </w:r>
      <w:r w:rsidRPr="007F7EBF">
        <w:t xml:space="preserve"> sovrapposizione tra </w:t>
      </w:r>
      <w:r>
        <w:t xml:space="preserve">Agenzia </w:t>
      </w:r>
      <w:r w:rsidRPr="007F7EBF">
        <w:t>e</w:t>
      </w:r>
      <w:r>
        <w:t xml:space="preserve"> Guardia di finanza è </w:t>
      </w:r>
      <w:r w:rsidRPr="007F7EBF">
        <w:t xml:space="preserve"> </w:t>
      </w:r>
      <w:r>
        <w:t>notevole soprattutto n</w:t>
      </w:r>
      <w:r w:rsidRPr="007F7EBF">
        <w:t xml:space="preserve">ella </w:t>
      </w:r>
      <w:r>
        <w:t>diffusa</w:t>
      </w:r>
      <w:r w:rsidRPr="007F7EBF">
        <w:t xml:space="preserve"> </w:t>
      </w:r>
      <w:r>
        <w:t>tendenza alle contestazioni interpretative.</w:t>
      </w:r>
    </w:p>
  </w:footnote>
  <w:footnote w:id="509">
    <w:p w14:paraId="5EBEF7DA" w14:textId="283038D2" w:rsidR="003B7460" w:rsidRPr="007F7EBF" w:rsidRDefault="003B7460">
      <w:pPr>
        <w:pStyle w:val="Testonotaapidipagina"/>
      </w:pPr>
      <w:r w:rsidRPr="007F7EBF">
        <w:rPr>
          <w:rStyle w:val="Rimandonotaapidipagina"/>
        </w:rPr>
        <w:footnoteRef/>
      </w:r>
      <w:r w:rsidRPr="007F7EBF">
        <w:t xml:space="preserve"> Costretti invece a disperdersi seguendo il cliente su</w:t>
      </w:r>
      <w:r>
        <w:t xml:space="preserve"> tutte </w:t>
      </w:r>
      <w:r w:rsidRPr="007F7EBF">
        <w:t>le varie dispersive tematiche in cui egli si avventura.</w:t>
      </w:r>
    </w:p>
  </w:footnote>
  <w:footnote w:id="510">
    <w:p w14:paraId="1B334215" w14:textId="77777777" w:rsidR="003B7460" w:rsidRPr="007F7EBF" w:rsidRDefault="003B7460" w:rsidP="003A0539">
      <w:pPr>
        <w:pStyle w:val="Testonotaapidipagina"/>
      </w:pPr>
      <w:r w:rsidRPr="007F7EBF">
        <w:rPr>
          <w:rStyle w:val="Rimandonotaapidipagina"/>
        </w:rPr>
        <w:footnoteRef/>
      </w:r>
      <w:r w:rsidRPr="007F7EBF">
        <w:t xml:space="preserve"> </w:t>
      </w:r>
      <w:r>
        <w:t xml:space="preserve">) Qui osserviamo solo che </w:t>
      </w:r>
      <w:r w:rsidRPr="007F7EBF">
        <w:t xml:space="preserve">l’Agenzia delle Entrate ha cercato per anni di supplire a questa rigidità con l'attribuzione dei c.d. "incarichi dirigenziali", accusati di scarsa trasparenza, con dichiarazione di incostituzionalità della norma che li consentiva e attuale situazione di </w:t>
      </w:r>
      <w:r w:rsidRPr="007F7EBF">
        <w:rPr>
          <w:i/>
        </w:rPr>
        <w:t>impasse</w:t>
      </w:r>
      <w:r w:rsidRPr="007F7EBF">
        <w:t xml:space="preserve"> </w:t>
      </w:r>
      <w:r>
        <w:t xml:space="preserve">dal 2015 in poi </w:t>
      </w:r>
      <w:r w:rsidRPr="007F7EBF">
        <w:t>(</w:t>
      </w:r>
      <w:proofErr w:type="spellStart"/>
      <w:r w:rsidRPr="007F7EBF">
        <w:t>cfr</w:t>
      </w:r>
      <w:proofErr w:type="spellEnd"/>
      <w:r w:rsidRPr="007F7EBF">
        <w:t xml:space="preserve"> il mio </w:t>
      </w:r>
      <w:r w:rsidRPr="007F7EBF">
        <w:rPr>
          <w:i/>
        </w:rPr>
        <w:t>Cosa dirigono i dirigenti dell'Agenzia delle Entrate?</w:t>
      </w:r>
      <w:r w:rsidRPr="007F7EBF">
        <w:t xml:space="preserve">, in www.organizzazionesociale.com). </w:t>
      </w:r>
    </w:p>
  </w:footnote>
  <w:footnote w:id="511">
    <w:p w14:paraId="0E58A161" w14:textId="60A7B067" w:rsidR="003B7460" w:rsidRDefault="003B7460" w:rsidP="00A87E9D">
      <w:pPr>
        <w:pStyle w:val="Testonotaapidipagina"/>
      </w:pPr>
      <w:r>
        <w:rPr>
          <w:rStyle w:val="Rimandonotaapidipagina"/>
        </w:rPr>
        <w:footnoteRef/>
      </w:r>
      <w:r>
        <w:t xml:space="preserve"> ) </w:t>
      </w:r>
      <w:r>
        <w:rPr>
          <w:sz w:val="22"/>
          <w:szCs w:val="22"/>
        </w:rPr>
        <w:t xml:space="preserve">Al cui interno gli individui </w:t>
      </w:r>
      <w:r w:rsidRPr="007F7EBF">
        <w:rPr>
          <w:sz w:val="22"/>
          <w:szCs w:val="22"/>
        </w:rPr>
        <w:t>si condizionano a vicenda, co</w:t>
      </w:r>
      <w:r>
        <w:rPr>
          <w:sz w:val="22"/>
          <w:szCs w:val="22"/>
        </w:rPr>
        <w:t>n</w:t>
      </w:r>
      <w:r w:rsidRPr="007F7EBF">
        <w:rPr>
          <w:sz w:val="22"/>
          <w:szCs w:val="22"/>
        </w:rPr>
        <w:t xml:space="preserve"> </w:t>
      </w:r>
      <w:r>
        <w:rPr>
          <w:sz w:val="22"/>
          <w:szCs w:val="22"/>
        </w:rPr>
        <w:t xml:space="preserve">diversità di ruoli, gerarchie e </w:t>
      </w:r>
      <w:r w:rsidRPr="007F7EBF">
        <w:rPr>
          <w:sz w:val="22"/>
          <w:szCs w:val="22"/>
        </w:rPr>
        <w:t>"controllo reciproco"</w:t>
      </w:r>
      <w:r>
        <w:rPr>
          <w:sz w:val="22"/>
          <w:szCs w:val="22"/>
        </w:rPr>
        <w:t xml:space="preserve">. </w:t>
      </w:r>
      <w:r>
        <w:t xml:space="preserve">Questa </w:t>
      </w:r>
      <w:proofErr w:type="spellStart"/>
      <w:r>
        <w:t>pluripersonalità</w:t>
      </w:r>
      <w:proofErr w:type="spellEnd"/>
      <w:r>
        <w:t xml:space="preserve"> viene sottovalutata dalla prospettiva privatistico giurisdizionale del diritto (par.1.3),  dove l’organizzazione giudiziaria non è in primo piano, e si sopravvaluta </w:t>
      </w:r>
      <w:proofErr w:type="spellStart"/>
      <w:r>
        <w:t>l a</w:t>
      </w:r>
      <w:proofErr w:type="spellEnd"/>
      <w:r>
        <w:t xml:space="preserve"> persona del giudice</w:t>
      </w:r>
      <w:r w:rsidRPr="007F7EBF">
        <w:t>.</w:t>
      </w:r>
    </w:p>
  </w:footnote>
  <w:footnote w:id="512">
    <w:p w14:paraId="03A3B00E" w14:textId="789FCF20" w:rsidR="003B7460" w:rsidRPr="007F7EBF" w:rsidRDefault="003B7460" w:rsidP="00644705">
      <w:pPr>
        <w:pStyle w:val="Testonotaapidipagina"/>
      </w:pPr>
      <w:r w:rsidRPr="007F7EBF">
        <w:rPr>
          <w:rStyle w:val="Rimandonotaapidipagina"/>
        </w:rPr>
        <w:footnoteRef/>
      </w:r>
      <w:r w:rsidRPr="007F7EBF">
        <w:t xml:space="preserve"> ) </w:t>
      </w:r>
      <w:r>
        <w:t>Q</w:t>
      </w:r>
      <w:r>
        <w:rPr>
          <w:sz w:val="22"/>
          <w:szCs w:val="22"/>
        </w:rPr>
        <w:t>uali la</w:t>
      </w:r>
      <w:r w:rsidRPr="007F7EBF">
        <w:t xml:space="preserve"> bontà</w:t>
      </w:r>
      <w:r>
        <w:t>,</w:t>
      </w:r>
      <w:r w:rsidRPr="007F7EBF">
        <w:t xml:space="preserve"> la cattiveria, l’onestà</w:t>
      </w:r>
      <w:r>
        <w:t>,</w:t>
      </w:r>
      <w:r w:rsidRPr="007F7EBF">
        <w:t xml:space="preserve"> la disonestà</w:t>
      </w:r>
      <w:r>
        <w:t xml:space="preserve"> o l’accanimento, come quando si dice l</w:t>
      </w:r>
      <w:r w:rsidRPr="007F7EBF">
        <w:t>'</w:t>
      </w:r>
      <w:r>
        <w:t>A</w:t>
      </w:r>
      <w:r w:rsidRPr="007F7EBF">
        <w:t xml:space="preserve">genzia delle entrate </w:t>
      </w:r>
      <w:r w:rsidRPr="007F7EBF">
        <w:rPr>
          <w:i/>
        </w:rPr>
        <w:t xml:space="preserve">"mi tiene nel mirino" , </w:t>
      </w:r>
      <w:r>
        <w:t>l’INPS</w:t>
      </w:r>
      <w:r w:rsidRPr="007F7EBF">
        <w:t xml:space="preserve"> </w:t>
      </w:r>
      <w:r w:rsidRPr="007F7EBF">
        <w:rPr>
          <w:i/>
        </w:rPr>
        <w:t xml:space="preserve">ce l'ha con me  </w:t>
      </w:r>
      <w:proofErr w:type="spellStart"/>
      <w:r w:rsidRPr="007F7EBF">
        <w:t>etc</w:t>
      </w:r>
      <w:proofErr w:type="spellEnd"/>
      <w:r w:rsidRPr="007F7EBF">
        <w:t>,</w:t>
      </w:r>
    </w:p>
  </w:footnote>
  <w:footnote w:id="513">
    <w:p w14:paraId="55683931" w14:textId="77777777" w:rsidR="003B7460" w:rsidRPr="007F7EBF" w:rsidRDefault="003B7460" w:rsidP="00B03CDB">
      <w:pPr>
        <w:pStyle w:val="Testonotaapidipagina"/>
      </w:pPr>
      <w:r w:rsidRPr="007F7EBF">
        <w:rPr>
          <w:rStyle w:val="Rimandonotaapidipagina"/>
        </w:rPr>
        <w:footnoteRef/>
      </w:r>
      <w:r w:rsidRPr="007F7EBF">
        <w:t xml:space="preserve"> )</w:t>
      </w:r>
      <w:r w:rsidRPr="00A554AC">
        <w:rPr>
          <w:sz w:val="22"/>
          <w:szCs w:val="22"/>
        </w:rPr>
        <w:t xml:space="preserve"> </w:t>
      </w:r>
      <w:r>
        <w:rPr>
          <w:sz w:val="22"/>
          <w:szCs w:val="22"/>
        </w:rPr>
        <w:t xml:space="preserve">E sono per questo chiamati dagli aziendalisti </w:t>
      </w:r>
      <w:r w:rsidRPr="007F7EBF">
        <w:t>“aziende di erogazion</w:t>
      </w:r>
      <w:r>
        <w:t xml:space="preserve">e” </w:t>
      </w:r>
      <w:r w:rsidRPr="007F7EBF">
        <w:t xml:space="preserve"> </w:t>
      </w:r>
      <w:r>
        <w:t xml:space="preserve">in quanto destinatarie di erogazioni. Anche quando si sostengono con </w:t>
      </w:r>
      <w:r>
        <w:rPr>
          <w:sz w:val="22"/>
          <w:szCs w:val="22"/>
        </w:rPr>
        <w:t xml:space="preserve">lo </w:t>
      </w:r>
      <w:r w:rsidRPr="007F7EBF">
        <w:t xml:space="preserve">sfruttamento del proprio patrimonio, </w:t>
      </w:r>
      <w:r>
        <w:t xml:space="preserve">o con prestazioni a terzi, secondo il “principio del beneficio”, sono pur sempre </w:t>
      </w:r>
      <w:r w:rsidRPr="007F7EBF">
        <w:t>“fuori mercato”</w:t>
      </w:r>
      <w:r>
        <w:t xml:space="preserve"> per i motivi di cui al par.5.1.</w:t>
      </w:r>
    </w:p>
  </w:footnote>
  <w:footnote w:id="514">
    <w:p w14:paraId="29C390E8" w14:textId="366592A7" w:rsidR="003B7460" w:rsidRDefault="003B7460" w:rsidP="00B97EBE">
      <w:pPr>
        <w:pStyle w:val="Testonotaapidipagina"/>
      </w:pPr>
      <w:r>
        <w:rPr>
          <w:rStyle w:val="Rimandonotaapidipagina"/>
        </w:rPr>
        <w:footnoteRef/>
      </w:r>
      <w:r>
        <w:t xml:space="preserve"> Il controllo sociale dei pubblici uffici dipende in una certa misura anche dagli utenti, di cui i</w:t>
      </w:r>
      <w:r w:rsidRPr="007F7EBF">
        <w:t xml:space="preserve"> mezzi di </w:t>
      </w:r>
      <w:r>
        <w:t>comunicazione (par.4.4)</w:t>
      </w:r>
      <w:r w:rsidRPr="007F7EBF">
        <w:t xml:space="preserve"> rilanciano e (talvolta) distorcono le impressioni </w:t>
      </w:r>
      <w:r>
        <w:t xml:space="preserve">sulla pubblica opinione. E’ una </w:t>
      </w:r>
      <w:r w:rsidRPr="007F7EBF">
        <w:t xml:space="preserve">“customer </w:t>
      </w:r>
      <w:proofErr w:type="spellStart"/>
      <w:r w:rsidRPr="007F7EBF">
        <w:t>satisfaction</w:t>
      </w:r>
      <w:proofErr w:type="spellEnd"/>
      <w:r w:rsidRPr="007F7EBF">
        <w:t xml:space="preserve">” </w:t>
      </w:r>
      <w:r>
        <w:t>indiretta</w:t>
      </w:r>
      <w:r w:rsidRPr="007F7EBF">
        <w:t>,</w:t>
      </w:r>
      <w:r>
        <w:t xml:space="preserve"> meno incisiva di </w:t>
      </w:r>
      <w:r w:rsidRPr="007F7EBF">
        <w:t>quella dei clienti, visto il minor potere di scel</w:t>
      </w:r>
      <w:r w:rsidRPr="00B97EBE">
        <w:t>ta. Entrambe queste forme di controllo sociale presentano “asimmetrie informative”, già indicate al par.4.2 per la funzione tributaria.</w:t>
      </w:r>
    </w:p>
  </w:footnote>
  <w:footnote w:id="515">
    <w:p w14:paraId="33D9ED7C" w14:textId="40AEF65D" w:rsidR="003B7460" w:rsidRPr="007F7EBF" w:rsidRDefault="003B7460" w:rsidP="00FA3029">
      <w:pPr>
        <w:pStyle w:val="Testonotaapidipagina"/>
      </w:pPr>
      <w:r w:rsidRPr="007F7EBF">
        <w:rPr>
          <w:rStyle w:val="Rimandonotaapidipagina"/>
        </w:rPr>
        <w:footnoteRef/>
      </w:r>
      <w:r w:rsidRPr="007F7EBF">
        <w:t xml:space="preserve"> )</w:t>
      </w:r>
      <w:r w:rsidRPr="00FA3029">
        <w:rPr>
          <w:sz w:val="22"/>
          <w:szCs w:val="22"/>
        </w:rPr>
        <w:t xml:space="preserve"> </w:t>
      </w:r>
      <w:r>
        <w:rPr>
          <w:sz w:val="22"/>
          <w:szCs w:val="22"/>
        </w:rPr>
        <w:t>Non a caso i</w:t>
      </w:r>
      <w:r w:rsidRPr="007F7EBF">
        <w:t xml:space="preserve">l funzionario pubblico dei paesi </w:t>
      </w:r>
      <w:proofErr w:type="spellStart"/>
      <w:r w:rsidRPr="007F7EBF">
        <w:t>anglossassoni</w:t>
      </w:r>
      <w:proofErr w:type="spellEnd"/>
      <w:r w:rsidRPr="007F7EBF">
        <w:t xml:space="preserve"> è</w:t>
      </w:r>
      <w:r>
        <w:t xml:space="preserve"> chiamato </w:t>
      </w:r>
      <w:r w:rsidRPr="007F7EBF">
        <w:t>“</w:t>
      </w:r>
      <w:proofErr w:type="spellStart"/>
      <w:r w:rsidRPr="007F7EBF">
        <w:t>civil</w:t>
      </w:r>
      <w:proofErr w:type="spellEnd"/>
      <w:r w:rsidRPr="007F7EBF">
        <w:t xml:space="preserve"> </w:t>
      </w:r>
      <w:proofErr w:type="spellStart"/>
      <w:r w:rsidRPr="007F7EBF">
        <w:t>servant</w:t>
      </w:r>
      <w:proofErr w:type="spellEnd"/>
      <w:r w:rsidRPr="007F7EBF">
        <w:t>”</w:t>
      </w:r>
      <w:r>
        <w:t xml:space="preserve">. </w:t>
      </w:r>
    </w:p>
  </w:footnote>
  <w:footnote w:id="516">
    <w:p w14:paraId="4A787D65" w14:textId="77777777" w:rsidR="003B7460" w:rsidRPr="007F7EBF" w:rsidRDefault="003B7460" w:rsidP="00FA3029">
      <w:pPr>
        <w:pStyle w:val="Testonotaapidipagina"/>
      </w:pPr>
      <w:r w:rsidRPr="007F7EBF">
        <w:rPr>
          <w:rStyle w:val="Rimandonotaapidipagina"/>
        </w:rPr>
        <w:footnoteRef/>
      </w:r>
      <w:r w:rsidRPr="007F7EBF">
        <w:t xml:space="preserve"> ) Aziende operanti sul mercato delle comunicazioni e dei trasporti venivano gestite all'interno dei ministeri e dei comuni, come pure per i generi di monopolio (par.5.1 sulle relative entrate fiscali). Il modello militare consentiva </w:t>
      </w:r>
      <w:r>
        <w:t xml:space="preserve">persino </w:t>
      </w:r>
      <w:r w:rsidRPr="007F7EBF">
        <w:t>di gestire vere e proprie fabbriche</w:t>
      </w:r>
      <w:r>
        <w:t>, come l’antico arsenale di Venezia, o quelle fino a pochi anni fa</w:t>
      </w:r>
      <w:r w:rsidRPr="007F7EBF">
        <w:t xml:space="preserve"> destinate alla produzione del sale</w:t>
      </w:r>
      <w:r>
        <w:t xml:space="preserve"> o alla lavorazione dei tabacchi</w:t>
      </w:r>
      <w:r w:rsidRPr="007F7EBF">
        <w:t>, gener</w:t>
      </w:r>
      <w:r>
        <w:t xml:space="preserve">i </w:t>
      </w:r>
      <w:r w:rsidRPr="007F7EBF">
        <w:t xml:space="preserve">appunto </w:t>
      </w:r>
      <w:r>
        <w:t>“</w:t>
      </w:r>
      <w:r w:rsidRPr="007F7EBF">
        <w:t>di monopolio</w:t>
      </w:r>
      <w:r>
        <w:t xml:space="preserve">” </w:t>
      </w:r>
      <w:r w:rsidRPr="007F7EBF">
        <w:t xml:space="preserve">(par.5.1). </w:t>
      </w:r>
    </w:p>
  </w:footnote>
  <w:footnote w:id="517">
    <w:p w14:paraId="1048BADB" w14:textId="3718DD0C" w:rsidR="003B7460" w:rsidRPr="007F7EBF" w:rsidRDefault="003B7460" w:rsidP="00B24882">
      <w:pPr>
        <w:pStyle w:val="Testonotaapidipagina"/>
      </w:pPr>
      <w:r w:rsidRPr="007F7EBF">
        <w:rPr>
          <w:rStyle w:val="Rimandonotaapidipagina"/>
        </w:rPr>
        <w:footnoteRef/>
      </w:r>
      <w:r w:rsidRPr="007F7EBF">
        <w:t xml:space="preserve"> ) Una delle disgrazie militari dell’Italia fu il mantenimento del modello burocratico anche in tempo di guerra, coi generali più spaventati dal regolamento che dal nemico, secondo la godibile narrazione dello storico</w:t>
      </w:r>
      <w:r>
        <w:t xml:space="preserve"> </w:t>
      </w:r>
      <w:r w:rsidRPr="007F7EBF">
        <w:t>Alessandro Barbero</w:t>
      </w:r>
      <w:r>
        <w:t xml:space="preserve"> visibile digitando,</w:t>
      </w:r>
      <w:r w:rsidRPr="007F7EBF">
        <w:t xml:space="preserve"> </w:t>
      </w:r>
      <w:r w:rsidRPr="00EC63BF">
        <w:rPr>
          <w:i/>
        </w:rPr>
        <w:t>Da Caporetto al Piave</w:t>
      </w:r>
      <w:r w:rsidRPr="007F7EBF">
        <w:t xml:space="preserve"> su </w:t>
      </w:r>
      <w:proofErr w:type="spellStart"/>
      <w:r w:rsidRPr="007F7EBF">
        <w:t>youtube</w:t>
      </w:r>
      <w:proofErr w:type="spellEnd"/>
      <w:r w:rsidRPr="007F7EBF">
        <w:t xml:space="preserve">.  </w:t>
      </w:r>
      <w:r>
        <w:t>Sui lati oscuri del modello militare, in forma caricaturale, varie scene del</w:t>
      </w:r>
      <w:r w:rsidRPr="007F7EBF">
        <w:t xml:space="preserve"> film di Monicelli </w:t>
      </w:r>
      <w:r w:rsidRPr="007F7EBF">
        <w:rPr>
          <w:i/>
        </w:rPr>
        <w:t>Vogliamo i colonnelli</w:t>
      </w:r>
      <w:r w:rsidRPr="007F7EBF">
        <w:t>, visibil</w:t>
      </w:r>
      <w:r>
        <w:t xml:space="preserve">i </w:t>
      </w:r>
      <w:r w:rsidRPr="007F7EBF">
        <w:t xml:space="preserve">su </w:t>
      </w:r>
      <w:proofErr w:type="spellStart"/>
      <w:r w:rsidRPr="007F7EBF">
        <w:t>Youtub</w:t>
      </w:r>
      <w:r>
        <w:t>e</w:t>
      </w:r>
      <w:proofErr w:type="spellEnd"/>
      <w:r>
        <w:t>.</w:t>
      </w:r>
      <w:r w:rsidRPr="00D55C8E">
        <w:t xml:space="preserve"> </w:t>
      </w:r>
      <w:r>
        <w:t>Del resto la funzione militare è la guerra, non il rispetto dei regolamenti, ai cui formalismi si addice</w:t>
      </w:r>
      <w:r w:rsidRPr="007F7EBF">
        <w:t xml:space="preserve"> l’aforisma “nessun reparto pronto al combattimento supera un’ispezione e nessun reparto pronto all’ispezione supera</w:t>
      </w:r>
      <w:r>
        <w:t xml:space="preserve"> </w:t>
      </w:r>
      <w:r w:rsidRPr="007F7EBF">
        <w:t>il combattimento</w:t>
      </w:r>
      <w:r>
        <w:t>”.</w:t>
      </w:r>
    </w:p>
  </w:footnote>
  <w:footnote w:id="518">
    <w:p w14:paraId="51351490" w14:textId="79725B07" w:rsidR="003B7460" w:rsidRPr="007F7EBF" w:rsidRDefault="003B7460" w:rsidP="00502941">
      <w:pPr>
        <w:pStyle w:val="Testonotaapidipagina"/>
      </w:pPr>
      <w:r w:rsidRPr="007F7EBF">
        <w:rPr>
          <w:rStyle w:val="Rimandonotaapidipagina"/>
        </w:rPr>
        <w:footnoteRef/>
      </w:r>
      <w:r w:rsidRPr="007F7EBF">
        <w:t xml:space="preserve"> ) Si pensi agli attacchi della contestazione giovanile de</w:t>
      </w:r>
      <w:r>
        <w:t xml:space="preserve">l c.d. ’68 </w:t>
      </w:r>
      <w:r w:rsidRPr="007F7EBF">
        <w:t xml:space="preserve">al concetto stesso di autorità, oltre che all’autoritarismo.   </w:t>
      </w:r>
    </w:p>
  </w:footnote>
  <w:footnote w:id="519">
    <w:p w14:paraId="6F2CB531" w14:textId="77777777" w:rsidR="003B7460" w:rsidRDefault="003B7460" w:rsidP="00034B6F">
      <w:pPr>
        <w:pStyle w:val="Testonotaapidipagina"/>
      </w:pPr>
      <w:r>
        <w:rPr>
          <w:rStyle w:val="Rimandonotaapidipagina"/>
        </w:rPr>
        <w:footnoteRef/>
      </w:r>
      <w:r>
        <w:t xml:space="preserve"> )L</w:t>
      </w:r>
      <w:r w:rsidRPr="007F7EBF">
        <w:t xml:space="preserve">a forma privata </w:t>
      </w:r>
      <w:r>
        <w:t xml:space="preserve">ha una </w:t>
      </w:r>
      <w:r w:rsidRPr="007F7EBF">
        <w:t>snellezza gestionale</w:t>
      </w:r>
      <w:r>
        <w:t xml:space="preserve"> spesso </w:t>
      </w:r>
      <w:r w:rsidRPr="007F7EBF">
        <w:t xml:space="preserve">al servizio della politica, per </w:t>
      </w:r>
      <w:r>
        <w:t xml:space="preserve">nomine, </w:t>
      </w:r>
      <w:r w:rsidRPr="007F7EBF">
        <w:t>assunzioni o consulenze “pilotate”</w:t>
      </w:r>
      <w:r>
        <w:t>; pensiamo alle</w:t>
      </w:r>
      <w:r w:rsidRPr="007F7EBF">
        <w:t xml:space="preserve"> cosiddette società “in house” a partecipazione pubblica, soprattutto degli enti locali, </w:t>
      </w:r>
      <w:r>
        <w:t>e persino al</w:t>
      </w:r>
      <w:r w:rsidRPr="007F7EBF">
        <w:t xml:space="preserve">l’Anas, che gestisce le strade statali in libera percorrenza, </w:t>
      </w:r>
      <w:r>
        <w:t>senza</w:t>
      </w:r>
      <w:r w:rsidRPr="007F7EBF">
        <w:t xml:space="preserve"> mercato, trasformata in Società per azioni</w:t>
      </w:r>
      <w:r>
        <w:t xml:space="preserve">. </w:t>
      </w:r>
    </w:p>
  </w:footnote>
  <w:footnote w:id="520">
    <w:p w14:paraId="42ADB3E3" w14:textId="77777777" w:rsidR="003B7460" w:rsidRPr="007F7EBF" w:rsidRDefault="003B7460" w:rsidP="004A2DE9">
      <w:pPr>
        <w:pStyle w:val="Testonotaapidipagina"/>
      </w:pPr>
      <w:r w:rsidRPr="007F7EBF">
        <w:rPr>
          <w:rStyle w:val="Rimandonotaapidipagina"/>
        </w:rPr>
        <w:footnoteRef/>
      </w:r>
      <w:r w:rsidRPr="007F7EBF">
        <w:t xml:space="preserve"> ) La vicenda degli “incarichi dirigenziali” all’Agenzia delle Entrate (par.5.2) indica i danni d</w:t>
      </w:r>
      <w:r>
        <w:t xml:space="preserve">el </w:t>
      </w:r>
      <w:r w:rsidRPr="007F7EBF">
        <w:t>modello dirigenziale unico,</w:t>
      </w:r>
      <w:r>
        <w:t xml:space="preserve">. </w:t>
      </w:r>
    </w:p>
  </w:footnote>
  <w:footnote w:id="521">
    <w:p w14:paraId="1CDAE036" w14:textId="77777777" w:rsidR="003B7460" w:rsidRPr="007F7EBF" w:rsidRDefault="003B7460" w:rsidP="004A2DE9">
      <w:pPr>
        <w:pStyle w:val="Testonotaapidipagina"/>
      </w:pPr>
      <w:r w:rsidRPr="007F7EBF">
        <w:rPr>
          <w:rStyle w:val="Rimandonotaapidipagina"/>
        </w:rPr>
        <w:footnoteRef/>
      </w:r>
      <w:r w:rsidRPr="007F7EBF">
        <w:t xml:space="preserve"> </w:t>
      </w:r>
      <w:r>
        <w:t xml:space="preserve">) Che può tirarsi dietro i propri fiduciari (c.d. “d’area” democristiana, socialista, liberale, socialdemocratica, nella prima repubblica) da un incarico all’altro, senza dover attingere alle amministrazioni di riferimento. Si altera quindi la dialettica “politica-amministrazione” a danno della seconda. </w:t>
      </w:r>
      <w:r w:rsidRPr="007F7EBF">
        <w:t>Non a caso i dirigenti pubblici, e delle aziende private controllate da enti pubblici, hanno cominciato a preoccuparsi eccessivamente dell’appoggio politico rispetto all’efficienza della loro organizzazione.</w:t>
      </w:r>
      <w:r w:rsidRPr="003F0BF7">
        <w:t xml:space="preserve"> </w:t>
      </w:r>
    </w:p>
  </w:footnote>
  <w:footnote w:id="522">
    <w:p w14:paraId="6F0175DB" w14:textId="26F5F034" w:rsidR="003B7460" w:rsidRPr="007F7EBF" w:rsidRDefault="003B7460" w:rsidP="00C87F7C">
      <w:pPr>
        <w:pStyle w:val="Testonotaapidipagina"/>
      </w:pPr>
      <w:r w:rsidRPr="007F7EBF">
        <w:rPr>
          <w:rStyle w:val="Rimandonotaapidipagina"/>
        </w:rPr>
        <w:footnoteRef/>
      </w:r>
      <w:r w:rsidRPr="007F7EBF">
        <w:t xml:space="preserve"> )</w:t>
      </w:r>
      <w:r>
        <w:t xml:space="preserve"> I sindacati dei pubblici uffici non hanno infatti il potere padronale da contrastare, col frequente innesco di c.d. </w:t>
      </w:r>
      <w:r w:rsidRPr="007F7EBF">
        <w:t xml:space="preserve">"rapporti consociativi”, con frequente cooptazione nella dirigenza di esponenti sindacali. </w:t>
      </w:r>
    </w:p>
  </w:footnote>
  <w:footnote w:id="523">
    <w:p w14:paraId="77AC20B6" w14:textId="5E5D4C2C" w:rsidR="003B7460" w:rsidRDefault="003B7460" w:rsidP="00034B6F">
      <w:pPr>
        <w:pStyle w:val="Testonotaapidipagina"/>
      </w:pPr>
      <w:r>
        <w:rPr>
          <w:rStyle w:val="Rimandonotaapidipagina"/>
        </w:rPr>
        <w:footnoteRef/>
      </w:r>
      <w:r>
        <w:t xml:space="preserve"> ) I pubblici dipendenti s’interrogano in continuazione su quanto “fa punteggio”, “conta come titolo”, “conta come anzianità”, o “causa di servizio”. Le funzioni si esercitano sempre più spesso pensando alla relativa rendicontazione, come nella scena de “Il medico della mutua” dove Alberto Sordi mette i punti di sutura necessari a far considerare l’intervento come un’“operazione”. Lo stesso per gli articoli che nessuno legge, pubblicati solo per avere una produzione in riviste ANVUR di classe A. </w:t>
      </w:r>
    </w:p>
  </w:footnote>
  <w:footnote w:id="524">
    <w:p w14:paraId="4160D2FA" w14:textId="77777777" w:rsidR="003B7460" w:rsidRPr="00FA3029" w:rsidRDefault="003B7460" w:rsidP="00A635A0">
      <w:pPr>
        <w:pStyle w:val="Testonotaapidipagina"/>
        <w:rPr>
          <w:i/>
          <w:iCs/>
        </w:rPr>
      </w:pPr>
      <w:r>
        <w:rPr>
          <w:rStyle w:val="Rimandonotaapidipagina"/>
        </w:rPr>
        <w:footnoteRef/>
      </w:r>
      <w:r>
        <w:t xml:space="preserve"> Si pensi all’espressione ricorrente, </w:t>
      </w:r>
      <w:r>
        <w:rPr>
          <w:i/>
          <w:iCs/>
        </w:rPr>
        <w:t>aspettiamo che si calmino le acque.</w:t>
      </w:r>
    </w:p>
  </w:footnote>
  <w:footnote w:id="525">
    <w:p w14:paraId="3E6925AA" w14:textId="7CC1B5B6" w:rsidR="003B7460" w:rsidRDefault="003B7460">
      <w:pPr>
        <w:pStyle w:val="Testonotaapidipagina"/>
      </w:pPr>
      <w:r>
        <w:rPr>
          <w:rStyle w:val="Rimandonotaapidipagina"/>
        </w:rPr>
        <w:footnoteRef/>
      </w:r>
      <w:r>
        <w:t xml:space="preserve"> C</w:t>
      </w:r>
      <w:r w:rsidRPr="007F7EBF">
        <w:t>.d. "in economia"</w:t>
      </w:r>
      <w:r>
        <w:t>,</w:t>
      </w:r>
      <w:r w:rsidRPr="007F7EBF">
        <w:t xml:space="preserve"> come le buche stradali</w:t>
      </w:r>
      <w:r>
        <w:t xml:space="preserve"> o la manutenzione del verde. </w:t>
      </w:r>
    </w:p>
  </w:footnote>
  <w:footnote w:id="526">
    <w:p w14:paraId="03FF98C8" w14:textId="5C12EFDB" w:rsidR="003B7460" w:rsidRPr="007F7EBF" w:rsidRDefault="003B7460" w:rsidP="008A2444">
      <w:pPr>
        <w:pStyle w:val="Testonotaapidipagina"/>
      </w:pPr>
      <w:r w:rsidRPr="007F7EBF">
        <w:rPr>
          <w:rStyle w:val="Rimandonotaapidipagina"/>
        </w:rPr>
        <w:footnoteRef/>
      </w:r>
      <w:r w:rsidRPr="007F7EBF">
        <w:t xml:space="preserve"> </w:t>
      </w:r>
      <w:r>
        <w:t xml:space="preserve">) </w:t>
      </w:r>
      <w:r w:rsidRPr="007F7EBF">
        <w:t xml:space="preserve">L’assistenza per chi è affetto da devianze, come sostanze stupefacenti, è affidata a non meglio precisate “comunità”. Lo stesso per le cooperative sociali, con commistioni corruttive tipo l'inchiesta  romana "Mafia Capitale". Anche la c.d. "accoglienza" dei fenomeni migratori è esternalizzata in questo modo, come pure l'assistenza alla disabilità mentale, termine "politicamente </w:t>
      </w:r>
      <w:r>
        <w:t xml:space="preserve">più </w:t>
      </w:r>
      <w:r w:rsidRPr="007F7EBF">
        <w:t>corretto"</w:t>
      </w:r>
      <w:r>
        <w:t xml:space="preserve"> dell’antica “pazzia”. </w:t>
      </w:r>
    </w:p>
  </w:footnote>
  <w:footnote w:id="527">
    <w:p w14:paraId="7E3DF719" w14:textId="2D877964" w:rsidR="003B7460" w:rsidRPr="007F7EBF" w:rsidRDefault="003B7460" w:rsidP="00B13C26">
      <w:pPr>
        <w:pStyle w:val="Testonotaapidipagina"/>
      </w:pPr>
      <w:r w:rsidRPr="007F7EBF">
        <w:rPr>
          <w:rStyle w:val="Rimandonotaapidipagina"/>
        </w:rPr>
        <w:footnoteRef/>
      </w:r>
      <w:r w:rsidRPr="007F7EBF">
        <w:t xml:space="preserve"> ) Con varie forme di mecenatismo defiscalizzato</w:t>
      </w:r>
      <w:r>
        <w:t xml:space="preserve"> e autoliquidato</w:t>
      </w:r>
      <w:r w:rsidRPr="007F7EBF">
        <w:t>, come l’</w:t>
      </w:r>
      <w:r w:rsidRPr="007F7EBF">
        <w:rPr>
          <w:i/>
        </w:rPr>
        <w:t xml:space="preserve">art bonus </w:t>
      </w:r>
      <w:r w:rsidRPr="007F7EBF">
        <w:t>su cui il mio L’</w:t>
      </w:r>
      <w:proofErr w:type="spellStart"/>
      <w:r w:rsidRPr="007F7EBF">
        <w:t>Art.Bonus</w:t>
      </w:r>
      <w:proofErr w:type="spellEnd"/>
      <w:r w:rsidRPr="007F7EBF">
        <w:t xml:space="preserve"> come sovvenzione pubblica in forma di credito d’imposta, in </w:t>
      </w:r>
      <w:proofErr w:type="spellStart"/>
      <w:r w:rsidRPr="007F7EBF">
        <w:t>Aedon</w:t>
      </w:r>
      <w:proofErr w:type="spellEnd"/>
      <w:r w:rsidRPr="007F7EBF">
        <w:t>, rivista di arti e diritto online</w:t>
      </w:r>
      <w:r>
        <w:t xml:space="preserve"> (esempi simili anche per </w:t>
      </w:r>
      <w:r w:rsidRPr="007F7EBF">
        <w:t>ricerca,  risparmio energetico, ambiente, in una specie di amministrazione pubblica “fai da te”</w:t>
      </w:r>
      <w:r>
        <w:t>)</w:t>
      </w:r>
      <w:r w:rsidRPr="007F7EBF">
        <w:t>.</w:t>
      </w:r>
    </w:p>
  </w:footnote>
  <w:footnote w:id="528">
    <w:p w14:paraId="0B4AE20B" w14:textId="55337414" w:rsidR="003B7460" w:rsidRPr="007F7EBF" w:rsidRDefault="003B7460">
      <w:pPr>
        <w:pStyle w:val="Testonotaapidipagina"/>
      </w:pPr>
      <w:r w:rsidRPr="007F7EBF">
        <w:rPr>
          <w:rStyle w:val="Rimandonotaapidipagina"/>
        </w:rPr>
        <w:footnoteRef/>
      </w:r>
      <w:r w:rsidRPr="007F7EBF">
        <w:t xml:space="preserve"> ) Si pensi anche all’</w:t>
      </w:r>
      <w:proofErr w:type="spellStart"/>
      <w:r w:rsidRPr="007F7EBF">
        <w:t>autoaccatastamento</w:t>
      </w:r>
      <w:proofErr w:type="spellEnd"/>
      <w:r w:rsidRPr="007F7EBF">
        <w:t xml:space="preserve"> con modulo c.d. “</w:t>
      </w:r>
      <w:proofErr w:type="spellStart"/>
      <w:r w:rsidRPr="007F7EBF">
        <w:t>docfa</w:t>
      </w:r>
      <w:proofErr w:type="spellEnd"/>
      <w:r w:rsidRPr="007F7EBF">
        <w:t xml:space="preserve">”. (par.8.4).  </w:t>
      </w:r>
    </w:p>
  </w:footnote>
  <w:footnote w:id="529">
    <w:p w14:paraId="23F2A684" w14:textId="423C79BF" w:rsidR="003B7460" w:rsidRPr="007F7EBF" w:rsidRDefault="003B7460" w:rsidP="00EA79EE">
      <w:pPr>
        <w:pStyle w:val="Testonotaapidipagina"/>
      </w:pPr>
      <w:r w:rsidRPr="007F7EBF">
        <w:rPr>
          <w:rStyle w:val="Rimandonotaapidipagina"/>
        </w:rPr>
        <w:footnoteRef/>
      </w:r>
      <w:r w:rsidRPr="007F7EBF">
        <w:t xml:space="preserve"> ) </w:t>
      </w:r>
      <w:r>
        <w:t xml:space="preserve">Si pensi alle </w:t>
      </w:r>
      <w:r w:rsidRPr="007F7EBF">
        <w:t>vari</w:t>
      </w:r>
      <w:r>
        <w:t>e</w:t>
      </w:r>
      <w:r w:rsidRPr="007F7EBF">
        <w:t xml:space="preserve"> mediazion</w:t>
      </w:r>
      <w:r>
        <w:t>i</w:t>
      </w:r>
      <w:r w:rsidRPr="007F7EBF">
        <w:t>, conciliazion</w:t>
      </w:r>
      <w:r>
        <w:t xml:space="preserve">i e arbitrati </w:t>
      </w:r>
      <w:r w:rsidRPr="007F7EBF">
        <w:t xml:space="preserve">tra avvocati e privati, </w:t>
      </w:r>
      <w:r>
        <w:t>per</w:t>
      </w:r>
      <w:r w:rsidRPr="007F7EBF">
        <w:t xml:space="preserve"> evit</w:t>
      </w:r>
      <w:r>
        <w:t>are</w:t>
      </w:r>
      <w:r w:rsidRPr="007F7EBF">
        <w:t xml:space="preserve"> </w:t>
      </w:r>
      <w:r>
        <w:t>l</w:t>
      </w:r>
      <w:r w:rsidRPr="007F7EBF">
        <w:t>a funzione giurisdizionale</w:t>
      </w:r>
      <w:r>
        <w:t xml:space="preserve"> (c.d. “A.D.R.”, acronimo per  Alternative Dispute </w:t>
      </w:r>
      <w:proofErr w:type="spellStart"/>
      <w:r>
        <w:t>Risolution</w:t>
      </w:r>
      <w:proofErr w:type="spellEnd"/>
      <w:r>
        <w:t xml:space="preserve">, soluzioni alternative delle controversie che sono una sorta di “sostituzione della giurisdizione”); lo si avverte anche nella divaricazione progressiva della “realtà legale” dalla realtà delle </w:t>
      </w:r>
      <w:r w:rsidRPr="00075D40">
        <w:t>prassi social</w:t>
      </w:r>
      <w:r>
        <w:t>i diffus</w:t>
      </w:r>
      <w:r w:rsidRPr="00075D40">
        <w:t>e</w:t>
      </w:r>
      <w:r>
        <w:t xml:space="preserve">. Analoga “fuga dalla giurisdizione” si riscontra in materia di fallimenti ed “esdebitazioni”. Ciò conferma il filo conduttore del testo (par.1.3-4.7) sulla necessità, per il diritto come studio sociale di pubbliche funzioni, di una prospettiva più ampia di quella privatistico-giurisdizionale, anche nell’interesse di quest’ultima come più volte rilevato. </w:t>
      </w:r>
    </w:p>
  </w:footnote>
  <w:footnote w:id="530">
    <w:p w14:paraId="6FDE3F3D" w14:textId="1D87DAAF" w:rsidR="003B7460" w:rsidRPr="007F7EBF" w:rsidRDefault="003B7460" w:rsidP="009573EB">
      <w:pPr>
        <w:pStyle w:val="Testonotaapidipagina"/>
      </w:pPr>
      <w:r w:rsidRPr="007F7EBF">
        <w:rPr>
          <w:rStyle w:val="Rimandonotaapidipagina"/>
        </w:rPr>
        <w:footnoteRef/>
      </w:r>
      <w:r w:rsidRPr="007F7EBF">
        <w:t xml:space="preserve"> ) Tendente cioè, dal latino "</w:t>
      </w:r>
      <w:proofErr w:type="spellStart"/>
      <w:r w:rsidRPr="007F7EBF">
        <w:t>aufero</w:t>
      </w:r>
      <w:proofErr w:type="spellEnd"/>
      <w:r w:rsidRPr="007F7EBF">
        <w:t>", a privare di risorse il contribuente</w:t>
      </w:r>
      <w:r>
        <w:t xml:space="preserve">; anche l’interesse dei contribuenti ad avere rimborsi, è comunque alla restituzione di somme precedentemente pagate; anche sotto questo profilo il contribuente è diverso dall’utente di servizi pubblici (come sanità, trasporti etc.). </w:t>
      </w:r>
    </w:p>
  </w:footnote>
  <w:footnote w:id="531">
    <w:p w14:paraId="2C3C6DE0" w14:textId="501B0CAB" w:rsidR="003B7460" w:rsidRPr="007F7EBF" w:rsidRDefault="003B7460" w:rsidP="00B869F9">
      <w:pPr>
        <w:pStyle w:val="Testonotaapidipagina"/>
      </w:pPr>
      <w:r w:rsidRPr="007F7EBF">
        <w:rPr>
          <w:rStyle w:val="Rimandonotaapidipagina"/>
        </w:rPr>
        <w:footnoteRef/>
      </w:r>
      <w:r w:rsidRPr="007F7EBF">
        <w:t xml:space="preserve"> </w:t>
      </w:r>
      <w:r>
        <w:t>) Come indicato al par.6.5 per l’accertamento con adesione</w:t>
      </w:r>
      <w:r w:rsidRPr="007F7EBF">
        <w:t xml:space="preserve">. </w:t>
      </w:r>
    </w:p>
  </w:footnote>
  <w:footnote w:id="532">
    <w:p w14:paraId="254FEE0A" w14:textId="7B21F7B7" w:rsidR="003B7460" w:rsidRPr="007F7EBF" w:rsidRDefault="003B7460" w:rsidP="00B869F9">
      <w:pPr>
        <w:pStyle w:val="Testonotaapidipagina"/>
      </w:pPr>
      <w:r w:rsidRPr="007F7EBF">
        <w:rPr>
          <w:rStyle w:val="Rimandonotaapidipagina"/>
        </w:rPr>
        <w:footnoteRef/>
      </w:r>
      <w:r w:rsidRPr="007F7EBF">
        <w:t xml:space="preserve"> ) </w:t>
      </w:r>
      <w:r>
        <w:t xml:space="preserve">Secondo </w:t>
      </w:r>
      <w:r w:rsidRPr="007F7EBF">
        <w:t xml:space="preserve">Calamandrei </w:t>
      </w:r>
      <w:r w:rsidRPr="007F7EBF">
        <w:rPr>
          <w:i/>
        </w:rPr>
        <w:t>Tutti i difetti e forse tutte le virtù del costume italiano si riassumono nella istituzione del rinvio</w:t>
      </w:r>
      <w:r w:rsidRPr="007F7EBF">
        <w:t xml:space="preserve">, che in una legge di Murphy è </w:t>
      </w:r>
      <w:r w:rsidRPr="007F7EBF">
        <w:rPr>
          <w:i/>
        </w:rPr>
        <w:t>la forma più letale di diniego</w:t>
      </w:r>
      <w:r>
        <w:rPr>
          <w:i/>
        </w:rPr>
        <w:t xml:space="preserve">. </w:t>
      </w:r>
      <w:r>
        <w:t xml:space="preserve">La decisione viene spersonalizzata </w:t>
      </w:r>
      <w:r w:rsidRPr="007F7EBF">
        <w:t>c</w:t>
      </w:r>
      <w:r>
        <w:t>on</w:t>
      </w:r>
      <w:r w:rsidRPr="007F7EBF">
        <w:t xml:space="preserve"> “tavoli di lavoro” e commissioni</w:t>
      </w:r>
      <w:r>
        <w:t>, mentre u</w:t>
      </w:r>
      <w:r w:rsidRPr="007F7EBF">
        <w:t xml:space="preserve">n dirigente delle entrate mi ha riferito </w:t>
      </w:r>
      <w:r>
        <w:t>la teoria di un</w:t>
      </w:r>
      <w:r w:rsidRPr="007F7EBF">
        <w:t xml:space="preserve"> alto burocrate ministeriale de</w:t>
      </w:r>
      <w:r>
        <w:t xml:space="preserve">l </w:t>
      </w:r>
      <w:r w:rsidRPr="007F7EBF">
        <w:t>passat</w:t>
      </w:r>
      <w:r>
        <w:t>o,</w:t>
      </w:r>
      <w:r w:rsidRPr="007F7EBF">
        <w:t xml:space="preserve"> </w:t>
      </w:r>
      <w:r>
        <w:t xml:space="preserve">secondo cui </w:t>
      </w:r>
      <w:r w:rsidRPr="007F7EBF">
        <w:t xml:space="preserve">le pratiche col tempo </w:t>
      </w:r>
      <w:r>
        <w:t>si</w:t>
      </w:r>
      <w:r w:rsidRPr="007F7EBF">
        <w:t xml:space="preserve"> </w:t>
      </w:r>
      <w:r w:rsidRPr="007F7EBF">
        <w:rPr>
          <w:i/>
        </w:rPr>
        <w:t xml:space="preserve"> risolv</w:t>
      </w:r>
      <w:r>
        <w:rPr>
          <w:i/>
        </w:rPr>
        <w:t>ono</w:t>
      </w:r>
      <w:r w:rsidRPr="007F7EBF">
        <w:rPr>
          <w:i/>
        </w:rPr>
        <w:t xml:space="preserve"> da sole</w:t>
      </w:r>
      <w:r>
        <w:rPr>
          <w:i/>
        </w:rPr>
        <w:t>.</w:t>
      </w:r>
    </w:p>
  </w:footnote>
  <w:footnote w:id="533">
    <w:p w14:paraId="429005C4" w14:textId="77777777" w:rsidR="003B7460" w:rsidRDefault="003B7460" w:rsidP="00670F54">
      <w:pPr>
        <w:pStyle w:val="Testonotaapidipagina"/>
      </w:pPr>
      <w:r>
        <w:rPr>
          <w:rStyle w:val="Rimandonotaapidipagina"/>
        </w:rPr>
        <w:footnoteRef/>
      </w:r>
      <w:r>
        <w:t xml:space="preserve">) Questo alimenta il vittimismo dei destinatari, in quanto le evasioni palesi sono talmente numerose che essi spesso lamentano una </w:t>
      </w:r>
      <w:r w:rsidRPr="007F7EBF">
        <w:t>fantomatica disparità di trattamento rispetto al gran numero di soggetti “non accertati”</w:t>
      </w:r>
      <w:r>
        <w:t xml:space="preserve"> in situazione analoga (</w:t>
      </w:r>
      <w:r w:rsidRPr="007F7EBF">
        <w:t xml:space="preserve">il </w:t>
      </w:r>
      <w:r w:rsidRPr="007F7EBF">
        <w:rPr>
          <w:i/>
        </w:rPr>
        <w:t>refrain</w:t>
      </w:r>
      <w:r w:rsidRPr="007F7EBF">
        <w:t xml:space="preserve"> è </w:t>
      </w:r>
      <w:r>
        <w:t>sempre</w:t>
      </w:r>
      <w:r w:rsidRPr="007F7EBF">
        <w:t xml:space="preserve"> “perché solo a me?”).</w:t>
      </w:r>
      <w:r>
        <w:t xml:space="preserve"> I controllati si sentono in buona fede </w:t>
      </w:r>
      <w:r w:rsidRPr="007F7EBF">
        <w:t>"vessati"</w:t>
      </w:r>
      <w:r>
        <w:t>,</w:t>
      </w:r>
      <w:r w:rsidRPr="007F7EBF">
        <w:t xml:space="preserve"> martiri</w:t>
      </w:r>
      <w:r>
        <w:t xml:space="preserve">, </w:t>
      </w:r>
      <w:r w:rsidRPr="007F7EBF">
        <w:t xml:space="preserve">nel senso tecnico di </w:t>
      </w:r>
      <w:r w:rsidRPr="007F7EBF">
        <w:rPr>
          <w:i/>
        </w:rPr>
        <w:t>testimoni</w:t>
      </w:r>
      <w:r>
        <w:t xml:space="preserve"> di una fiscalità presentata come opprimente, rispetto alla quale evadere è visto come “legittima difesa”.</w:t>
      </w:r>
    </w:p>
  </w:footnote>
  <w:footnote w:id="534">
    <w:p w14:paraId="4360D3FB" w14:textId="49E4A9B6" w:rsidR="003B7460" w:rsidRPr="007F7EBF" w:rsidRDefault="003B7460" w:rsidP="00F70063">
      <w:pPr>
        <w:pStyle w:val="Testonotaapidipagina"/>
      </w:pPr>
      <w:r w:rsidRPr="007F7EBF">
        <w:rPr>
          <w:rStyle w:val="Rimandonotaapidipagina"/>
        </w:rPr>
        <w:footnoteRef/>
      </w:r>
      <w:r w:rsidRPr="007F7EBF">
        <w:t xml:space="preserve"> ) </w:t>
      </w:r>
      <w:r>
        <w:t xml:space="preserve">La mia esperienza personale conferma la piena comprensione dei problemi della funzione tributaria ai </w:t>
      </w:r>
      <w:r w:rsidRPr="007F7EBF">
        <w:t>vertici dell</w:t>
      </w:r>
      <w:r>
        <w:t xml:space="preserve">’Agenzia delle entrate, </w:t>
      </w:r>
      <w:r w:rsidRPr="007F7EBF">
        <w:t xml:space="preserve">da Massimo Romano in poi, sotto governi di ogni colore politico, passando per Raffaele Ferrara, Attilio </w:t>
      </w:r>
      <w:proofErr w:type="spellStart"/>
      <w:r w:rsidRPr="007F7EBF">
        <w:t>Befera</w:t>
      </w:r>
      <w:proofErr w:type="spellEnd"/>
      <w:r w:rsidRPr="007F7EBF">
        <w:t xml:space="preserve"> e Marco di Capua, </w:t>
      </w:r>
      <w:r>
        <w:t>Luigi Magistro, Rossella Orlandi, Ernesto Ruffini, anche a livello regionale e locale.</w:t>
      </w:r>
      <w:r w:rsidRPr="007F7EBF">
        <w:t xml:space="preserve"> Lo stesso vale per </w:t>
      </w:r>
      <w:r>
        <w:t xml:space="preserve">le altre istituzioni di cui al </w:t>
      </w:r>
      <w:r w:rsidRPr="007F7EBF">
        <w:t xml:space="preserve"> par.5.2. </w:t>
      </w:r>
    </w:p>
  </w:footnote>
  <w:footnote w:id="535">
    <w:p w14:paraId="6072343F" w14:textId="194DDBF3" w:rsidR="003B7460" w:rsidRPr="007F7EBF" w:rsidRDefault="003B7460">
      <w:pPr>
        <w:pStyle w:val="Testonotaapidipagina"/>
      </w:pPr>
      <w:r w:rsidRPr="007F7EBF">
        <w:rPr>
          <w:rStyle w:val="Rimandonotaapidipagina"/>
        </w:rPr>
        <w:footnoteRef/>
      </w:r>
      <w:r w:rsidRPr="007F7EBF">
        <w:t xml:space="preserve"> ) Si pensi al rilascio del codice fiscale, ai moduli di versamenti mensili, ai modelli di dichiarazione e alla loro presentazione. </w:t>
      </w:r>
      <w:r>
        <w:t>E</w:t>
      </w:r>
      <w:r w:rsidRPr="007F7EBF">
        <w:t xml:space="preserve">sempi velleitari </w:t>
      </w:r>
      <w:r>
        <w:t xml:space="preserve">di questa cooperazione sono </w:t>
      </w:r>
      <w:r w:rsidRPr="007F7EBF">
        <w:t xml:space="preserve">la c.d. “dichiarazione precompilata” </w:t>
      </w:r>
      <w:r>
        <w:t>(</w:t>
      </w:r>
      <w:r w:rsidRPr="007F7EBF">
        <w:t>par.3.4</w:t>
      </w:r>
      <w:r>
        <w:t>) e l’esportazione della contabilità, di cui al par.4.5</w:t>
      </w:r>
      <w:r w:rsidRPr="007F7EBF">
        <w:t>.</w:t>
      </w:r>
    </w:p>
  </w:footnote>
  <w:footnote w:id="536">
    <w:p w14:paraId="184B365F" w14:textId="77777777" w:rsidR="003B7460" w:rsidRPr="007F7EBF" w:rsidRDefault="003B7460">
      <w:pPr>
        <w:pStyle w:val="Testonotaapidipagina"/>
      </w:pPr>
      <w:r w:rsidRPr="007F7EBF">
        <w:rPr>
          <w:rStyle w:val="Rimandonotaapidipagina"/>
        </w:rPr>
        <w:footnoteRef/>
      </w:r>
      <w:r w:rsidRPr="007F7EBF">
        <w:t xml:space="preserve"> ) Si pensi ai c.d. “controlli formali” di cui al prossimo paragrafo, alla gestione delle compensazioni, alla registrazione informatica dei contratti di locazione, al “cassetto fiscale” per controllare online la propria posizione tributaria. </w:t>
      </w:r>
    </w:p>
  </w:footnote>
  <w:footnote w:id="537">
    <w:p w14:paraId="667177A8" w14:textId="33F75C9A" w:rsidR="003B7460" w:rsidRPr="007F7EBF" w:rsidRDefault="003B7460">
      <w:pPr>
        <w:pStyle w:val="Testonotaapidipagina"/>
      </w:pPr>
      <w:r w:rsidRPr="007F7EBF">
        <w:rPr>
          <w:rStyle w:val="Rimandonotaapidipagina"/>
        </w:rPr>
        <w:footnoteRef/>
      </w:r>
      <w:r w:rsidRPr="007F7EBF">
        <w:t xml:space="preserve"> </w:t>
      </w:r>
      <w:r>
        <w:t xml:space="preserve">) E’ un profilo che si apprezza poco sullo sfondo della funzione giurisdizionale, dove vige l’ambiguo rapporto “giudice-legge” di cui al par.1.3, senza gerarchie sul governo delle pratiche; nelle altre funzioni pubbliche  organizzate funzionalmente mancano </w:t>
      </w:r>
      <w:r w:rsidRPr="007F7EBF">
        <w:t>argomenti logici per disattender</w:t>
      </w:r>
      <w:r>
        <w:t>e l’interpretazione dei superiori gerarchici</w:t>
      </w:r>
      <w:r w:rsidRPr="007F7EBF">
        <w:t>.</w:t>
      </w:r>
    </w:p>
  </w:footnote>
  <w:footnote w:id="538">
    <w:p w14:paraId="2A08482A" w14:textId="77777777" w:rsidR="003B7460" w:rsidRPr="007F7EBF" w:rsidRDefault="003B7460" w:rsidP="001C755A">
      <w:pPr>
        <w:pStyle w:val="Testonotaapidipagina"/>
      </w:pPr>
      <w:r w:rsidRPr="007F7EBF">
        <w:rPr>
          <w:rStyle w:val="Rimandonotaapidipagina"/>
        </w:rPr>
        <w:footnoteRef/>
      </w:r>
      <w:r w:rsidRPr="007F7EBF">
        <w:t xml:space="preserve"> ) La relatività dei lavori preparatori dipende dalla rilevanza della c.d.  “volontà obiettiva della legislazione”, non dell’intenzione soggettiva degli individui che partecipano all’elaborazione legislativa; le loro dichiarazioni, del resto, sono  frequentemente influenzate dalle esigenze di consenso politico indicate al par.2.4. </w:t>
      </w:r>
    </w:p>
  </w:footnote>
  <w:footnote w:id="539">
    <w:p w14:paraId="1AC54ED3" w14:textId="3BF6BBB4" w:rsidR="003B7460" w:rsidRPr="007F7EBF" w:rsidRDefault="003B7460" w:rsidP="001C755A">
      <w:pPr>
        <w:pStyle w:val="Testonotaapidipagina"/>
      </w:pPr>
      <w:r w:rsidRPr="007F7EBF">
        <w:rPr>
          <w:rStyle w:val="Rimandonotaapidipagina"/>
        </w:rPr>
        <w:footnoteRef/>
      </w:r>
      <w:r w:rsidRPr="007F7EBF">
        <w:t xml:space="preserve"> )</w:t>
      </w:r>
      <w:r>
        <w:t xml:space="preserve"> </w:t>
      </w:r>
      <w:r w:rsidRPr="007F7EBF">
        <w:t>Cioè la c.d. “dottrina”, di varia estraz</w:t>
      </w:r>
      <w:r>
        <w:t>i</w:t>
      </w:r>
      <w:r w:rsidRPr="007F7EBF">
        <w:t xml:space="preserve">one, </w:t>
      </w:r>
      <w:r>
        <w:t xml:space="preserve">accademica o professionale, </w:t>
      </w:r>
      <w:r w:rsidRPr="007F7EBF">
        <w:t>su</w:t>
      </w:r>
      <w:r>
        <w:t>lle cui disfunzioni</w:t>
      </w:r>
      <w:r w:rsidRPr="007F7EBF">
        <w:t xml:space="preserve"> par.4.3 e 4.4. </w:t>
      </w:r>
    </w:p>
  </w:footnote>
  <w:footnote w:id="540">
    <w:p w14:paraId="1E6DA6C8" w14:textId="73C3A3B5" w:rsidR="003B7460" w:rsidRPr="007F7EBF" w:rsidRDefault="003B7460" w:rsidP="001C755A">
      <w:pPr>
        <w:pStyle w:val="Testonotaapidipagina"/>
      </w:pPr>
      <w:r w:rsidRPr="007F7EBF">
        <w:rPr>
          <w:rStyle w:val="Rimandonotaapidipagina"/>
        </w:rPr>
        <w:footnoteRef/>
      </w:r>
      <w:r w:rsidRPr="007F7EBF">
        <w:t xml:space="preserve"> ). La differenza funzionale tra Agenzia delle entrate e Guardia di finanza, rilevata al par.5.2, spiega la diversa valenza delle relative interpretazioni. ) </w:t>
      </w:r>
      <w:r>
        <w:t>A</w:t>
      </w:r>
      <w:r w:rsidRPr="007F7EBF">
        <w:t>ppaiono erronee le tendenze a sottrarre compiti interpretativi all’Agenzia delle entrate, per affidarli al Ministero dell’economia (è una polemica che ogni tanto emerge dopo la costituzione dell’Agenzia delle entrate, e che potrebbe essere ripresa in tesi di laurea o dottorato sul tema). Prima dell’Agenzia delle entrate</w:t>
      </w:r>
      <w:r>
        <w:t xml:space="preserve"> (par.5.2)</w:t>
      </w:r>
      <w:r w:rsidRPr="007F7EBF">
        <w:t xml:space="preserve"> le interpretazioni provenivano dalla direzione gerarchicamente competente del ministero delle </w:t>
      </w:r>
      <w:r>
        <w:t>F</w:t>
      </w:r>
      <w:r w:rsidRPr="007F7EBF">
        <w:t>inanze.</w:t>
      </w:r>
    </w:p>
  </w:footnote>
  <w:footnote w:id="541">
    <w:p w14:paraId="03B979C2" w14:textId="77777777" w:rsidR="003B7460" w:rsidRPr="007F7EBF" w:rsidRDefault="003B7460">
      <w:pPr>
        <w:pStyle w:val="Testonotaapidipagina"/>
      </w:pPr>
      <w:r w:rsidRPr="007F7EBF">
        <w:rPr>
          <w:rStyle w:val="Rimandonotaapidipagina"/>
        </w:rPr>
        <w:footnoteRef/>
      </w:r>
      <w:r w:rsidRPr="007F7EBF">
        <w:t xml:space="preserve"> ) Cioè analisi generali di istituti giuridici rilevanti per la determinazione dei tributi, spesso emanate in occasione di novità normative.</w:t>
      </w:r>
    </w:p>
  </w:footnote>
  <w:footnote w:id="542">
    <w:p w14:paraId="7D80A8AB" w14:textId="3ECED89D" w:rsidR="003B7460" w:rsidRPr="007F7EBF" w:rsidRDefault="003B7460">
      <w:pPr>
        <w:pStyle w:val="Testonotaapidipagina"/>
      </w:pPr>
      <w:r w:rsidRPr="007F7EBF">
        <w:rPr>
          <w:rStyle w:val="Rimandonotaapidipagina"/>
        </w:rPr>
        <w:footnoteRef/>
      </w:r>
      <w:r w:rsidRPr="007F7EBF">
        <w:t xml:space="preserve"> ) Anche in base ad istanze di interpello presentate ai senso dello statuto del contribuente (par.2.1), oppure ad istanze di consulenza giuridica presentate dalle associazioni di categoria. . </w:t>
      </w:r>
    </w:p>
  </w:footnote>
  <w:footnote w:id="543">
    <w:p w14:paraId="4BD393DE" w14:textId="77777777" w:rsidR="003B7460" w:rsidRPr="007F7EBF" w:rsidRDefault="003B7460">
      <w:pPr>
        <w:pStyle w:val="Testonotaapidipagina"/>
      </w:pPr>
      <w:r w:rsidRPr="007F7EBF">
        <w:rPr>
          <w:rStyle w:val="Rimandonotaapidipagina"/>
        </w:rPr>
        <w:footnoteRef/>
      </w:r>
      <w:r w:rsidRPr="007F7EBF">
        <w:t>)</w:t>
      </w:r>
      <w:r>
        <w:t xml:space="preserve"> </w:t>
      </w:r>
      <w:r w:rsidRPr="007F7EBF">
        <w:t xml:space="preserve">Anche se innescata da un caso particolare, l’interpretazione ha infatti un senso generale, che travalica il caso concreto. Anche qui, come in tutte le interpretazioni, comprese quelle giurisdizionali, bisogna contestualizzare l’occasione in cui l’interpretazione è stata resa (è la c.d. “interpretazione dell’interpretazione”, cui si potrebbero dedicare tesi di laurea o di dottorato). </w:t>
      </w:r>
    </w:p>
  </w:footnote>
  <w:footnote w:id="544">
    <w:p w14:paraId="0EDC8D49" w14:textId="34F6902D" w:rsidR="003B7460" w:rsidRPr="007F7EBF" w:rsidRDefault="003B7460">
      <w:pPr>
        <w:pStyle w:val="Testonotaapidipagina"/>
      </w:pPr>
      <w:r w:rsidRPr="007F7EBF">
        <w:rPr>
          <w:rStyle w:val="Rimandonotaapidipagina"/>
        </w:rPr>
        <w:footnoteRef/>
      </w:r>
      <w:r w:rsidRPr="007F7EBF">
        <w:t xml:space="preserve">  </w:t>
      </w:r>
      <w:r>
        <w:t>) S</w:t>
      </w:r>
      <w:r w:rsidRPr="007F7EBF">
        <w:t>ulla valenza interpretativa del precedente amministrativo interno, e sulla suddetta coerenza comportamentale sarebbe comunque interessante una tesi di laurea o di dottorato, anche per l'accessibilità delle definizioni amministrative, di cui al par.6.4.</w:t>
      </w:r>
    </w:p>
  </w:footnote>
  <w:footnote w:id="545">
    <w:p w14:paraId="23A7E698" w14:textId="7CD1A311" w:rsidR="003B7460" w:rsidRPr="007F7EBF" w:rsidRDefault="003B7460" w:rsidP="003C0485">
      <w:pPr>
        <w:pStyle w:val="Testonotaapidipagina"/>
      </w:pPr>
      <w:r w:rsidRPr="007F7EBF">
        <w:rPr>
          <w:rStyle w:val="Rimandonotaapidipagina"/>
        </w:rPr>
        <w:footnoteRef/>
      </w:r>
      <w:r w:rsidRPr="007F7EBF">
        <w:t xml:space="preserve"> ) </w:t>
      </w:r>
      <w:r>
        <w:t xml:space="preserve">Se </w:t>
      </w:r>
      <w:r w:rsidRPr="007F7EBF">
        <w:t xml:space="preserve">si tratta di contribuenti di “mero diritto “( par.3.5-3-6) la scelta </w:t>
      </w:r>
      <w:r>
        <w:t xml:space="preserve">si riduce a </w:t>
      </w:r>
      <w:r w:rsidRPr="007F7EBF">
        <w:t xml:space="preserve">disattendere l’interpretazione, rischiando accertamenti d’ imposte per  cui non ci si potrebbe più rivalere sui contribuenti di fatto, oppure applicare una maggiore imposta, di cui non si avrebbe motivo per proporre azione di rimborso, avendola trasferita a terzi. Anche l’applicazione della sola imposta in </w:t>
      </w:r>
      <w:r>
        <w:t xml:space="preserve">sede di accertamento, senza sanzioni, </w:t>
      </w:r>
      <w:r w:rsidRPr="007F7EBF">
        <w:t>sarebbe penalizzante, vista l’appena indicata impossibilità di trasferire il tributo ai clienti. Su</w:t>
      </w:r>
      <w:r>
        <w:t xml:space="preserve"> questo ed altr</w:t>
      </w:r>
      <w:r w:rsidRPr="007F7EBF">
        <w:t xml:space="preserve">i casi in cui le interpretazioni amministrative sono direttamente lesive, e quindi impugnabili, si potrebbero soffermare tesi di laurea o dottorato dedicate all’interpretazione. </w:t>
      </w:r>
    </w:p>
  </w:footnote>
  <w:footnote w:id="546">
    <w:p w14:paraId="572B7472" w14:textId="03470717" w:rsidR="003B7460" w:rsidRPr="007F7EBF" w:rsidRDefault="003B7460" w:rsidP="00426422">
      <w:pPr>
        <w:pStyle w:val="Testonotaapidipagina"/>
      </w:pPr>
      <w:r w:rsidRPr="007F7EBF">
        <w:rPr>
          <w:rStyle w:val="Rimandonotaapidipagina"/>
        </w:rPr>
        <w:footnoteRef/>
      </w:r>
      <w:r w:rsidRPr="007F7EBF">
        <w:t xml:space="preserve"> </w:t>
      </w:r>
      <w:r>
        <w:t xml:space="preserve">) </w:t>
      </w:r>
      <w:r w:rsidRPr="007F7EBF">
        <w:t xml:space="preserve">Si veda il riscontro normativo sulla non applicabilità delle sanzioni per incertezza interpretativa al par.6.13. </w:t>
      </w:r>
    </w:p>
  </w:footnote>
  <w:footnote w:id="547">
    <w:p w14:paraId="294E6624" w14:textId="4AB1AB34" w:rsidR="003B7460" w:rsidRDefault="003B7460">
      <w:pPr>
        <w:pStyle w:val="Testonotaapidipagina"/>
      </w:pPr>
      <w:r>
        <w:rPr>
          <w:rStyle w:val="Rimandonotaapidipagina"/>
        </w:rPr>
        <w:footnoteRef/>
      </w:r>
      <w:r>
        <w:t xml:space="preserve"> ) I privati possono creare affidamento mediante la volontà negoziale, mediante transazioni su diritti disponibili, ma non mediante un’interpretazione legislativa “convenzionale”, cioè concordata in un contratto. </w:t>
      </w:r>
    </w:p>
  </w:footnote>
  <w:footnote w:id="548">
    <w:p w14:paraId="21CD1422" w14:textId="4BF92AC3" w:rsidR="003B7460" w:rsidRPr="007F7EBF" w:rsidRDefault="003B7460" w:rsidP="006475D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L</w:t>
      </w:r>
      <w:r>
        <w:rPr>
          <w:sz w:val="20"/>
          <w:szCs w:val="20"/>
        </w:rPr>
        <w:t>’irritazione dell</w:t>
      </w:r>
      <w:r w:rsidRPr="007F7EBF">
        <w:rPr>
          <w:sz w:val="20"/>
          <w:szCs w:val="20"/>
        </w:rPr>
        <w:t xml:space="preserve">a cassazione, organo di vertice della funzione giurisdizionale, </w:t>
      </w:r>
      <w:r>
        <w:rPr>
          <w:sz w:val="20"/>
          <w:szCs w:val="20"/>
        </w:rPr>
        <w:t xml:space="preserve">verso le </w:t>
      </w:r>
      <w:r w:rsidRPr="007F7EBF">
        <w:rPr>
          <w:sz w:val="20"/>
          <w:szCs w:val="20"/>
        </w:rPr>
        <w:t>interpretazioni amministrative</w:t>
      </w:r>
      <w:r>
        <w:rPr>
          <w:sz w:val="20"/>
          <w:szCs w:val="20"/>
        </w:rPr>
        <w:t xml:space="preserve">, su cui </w:t>
      </w:r>
      <w:r w:rsidRPr="007F7EBF">
        <w:rPr>
          <w:sz w:val="20"/>
          <w:szCs w:val="20"/>
        </w:rPr>
        <w:t>sarebbero interessanti tesi di laurea o dottorato</w:t>
      </w:r>
      <w:r>
        <w:rPr>
          <w:sz w:val="20"/>
          <w:szCs w:val="20"/>
        </w:rPr>
        <w:t xml:space="preserve">, è un altro sintomo della generale concezione “privatistico-giurisdizionale” del diritto”(par.1.3) . </w:t>
      </w:r>
    </w:p>
  </w:footnote>
  <w:footnote w:id="549">
    <w:p w14:paraId="4BA9CA74" w14:textId="591CFB56" w:rsidR="003B7460" w:rsidRPr="007F7EBF" w:rsidRDefault="003B7460" w:rsidP="00426422">
      <w:pPr>
        <w:pStyle w:val="Testonotaapidipagina"/>
      </w:pPr>
      <w:r w:rsidRPr="007F7EBF">
        <w:rPr>
          <w:rStyle w:val="Rimandonotaapidipagina"/>
        </w:rPr>
        <w:footnoteRef/>
      </w:r>
      <w:r w:rsidRPr="007F7EBF">
        <w:t xml:space="preserve"> ) </w:t>
      </w:r>
      <w:r>
        <w:t>Abituale del resto anche per la riferibilità del precedente giurisprudenziale</w:t>
      </w:r>
      <w:r w:rsidRPr="007F7EBF">
        <w:t>.</w:t>
      </w:r>
    </w:p>
  </w:footnote>
  <w:footnote w:id="550">
    <w:p w14:paraId="56CE5F5B" w14:textId="2B89F399" w:rsidR="003B7460" w:rsidRPr="007F7EBF" w:rsidRDefault="003B7460" w:rsidP="004E5C25">
      <w:pPr>
        <w:pStyle w:val="Testonotaapidipagina"/>
      </w:pPr>
      <w:r w:rsidRPr="007F7EBF">
        <w:rPr>
          <w:rStyle w:val="Rimandonotaapidipagina"/>
        </w:rPr>
        <w:footnoteRef/>
      </w:r>
      <w:r w:rsidRPr="007F7EBF">
        <w:t xml:space="preserve"> </w:t>
      </w:r>
      <w:r>
        <w:t xml:space="preserve">) </w:t>
      </w:r>
      <w:r>
        <w:rPr>
          <w:sz w:val="22"/>
          <w:szCs w:val="22"/>
        </w:rPr>
        <w:t>E’ lo stesso timore di “creare un precedente”, che caratterizza i giudici nella motivazione delle sentenze.</w:t>
      </w:r>
      <w:r w:rsidRPr="007F7EBF">
        <w:t>.</w:t>
      </w:r>
    </w:p>
  </w:footnote>
  <w:footnote w:id="551">
    <w:p w14:paraId="5142089B" w14:textId="44AB0151" w:rsidR="003B7460" w:rsidRPr="007F7EBF" w:rsidRDefault="003B7460" w:rsidP="00D41E22">
      <w:pPr>
        <w:pStyle w:val="Testonotaapidipagina"/>
      </w:pPr>
      <w:r w:rsidRPr="007F7EBF">
        <w:rPr>
          <w:rStyle w:val="Rimandonotaapidipagina"/>
        </w:rPr>
        <w:footnoteRef/>
      </w:r>
      <w:r w:rsidRPr="007F7EBF">
        <w:t xml:space="preserve"> </w:t>
      </w:r>
      <w:r>
        <w:t>) Sulla cui utilizzazione par.5.9 sugli “indizi contabili”.</w:t>
      </w:r>
    </w:p>
  </w:footnote>
  <w:footnote w:id="552">
    <w:p w14:paraId="42BFBFBE" w14:textId="361153CD" w:rsidR="003B7460" w:rsidRDefault="003B7460" w:rsidP="001B32C0">
      <w:pPr>
        <w:pStyle w:val="Testonotaapidipagina"/>
      </w:pPr>
      <w:r>
        <w:rPr>
          <w:rStyle w:val="Rimandonotaapidipagina"/>
        </w:rPr>
        <w:footnoteRef/>
      </w:r>
      <w:r>
        <w:t xml:space="preserve"> ) </w:t>
      </w:r>
      <w:r>
        <w:rPr>
          <w:bCs/>
        </w:rPr>
        <w:t>I debiti d’imposta dichiarati potrebbero non essere stati versati per le difficoltà finanziarie di cui al par.6.11 sulla riscossione.</w:t>
      </w:r>
    </w:p>
  </w:footnote>
  <w:footnote w:id="553">
    <w:p w14:paraId="4B2EFD9A" w14:textId="3F6C2462" w:rsidR="003B7460" w:rsidRDefault="003B7460" w:rsidP="006A68DD">
      <w:pPr>
        <w:pStyle w:val="Testonotaapidipagina"/>
        <w:rPr>
          <w:sz w:val="22"/>
          <w:szCs w:val="22"/>
        </w:rPr>
      </w:pPr>
      <w:r>
        <w:rPr>
          <w:rStyle w:val="Rimandonotaapidipagina"/>
        </w:rPr>
        <w:footnoteRef/>
      </w:r>
      <w:r>
        <w:t xml:space="preserve"> </w:t>
      </w:r>
      <w:r>
        <w:rPr>
          <w:sz w:val="22"/>
          <w:szCs w:val="22"/>
        </w:rPr>
        <w:t xml:space="preserve">) Questione più tecnica che di studio sociale riguarda l’equiparabilità tra rimborso inferiore al richiesto e provvedimento implicito di diniego, ma escluderei che questo mero comportamento equivalga a un atto che il contribuente deve impugnare a pena di decadenza (potrebbe essere un caso di </w:t>
      </w:r>
      <w:r w:rsidRPr="00AE0AB5">
        <w:rPr>
          <w:i/>
          <w:iCs/>
          <w:sz w:val="22"/>
          <w:szCs w:val="22"/>
        </w:rPr>
        <w:t>impugnazione facoltativa</w:t>
      </w:r>
      <w:r>
        <w:rPr>
          <w:i/>
          <w:iCs/>
          <w:sz w:val="22"/>
          <w:szCs w:val="22"/>
        </w:rPr>
        <w:t xml:space="preserve"> </w:t>
      </w:r>
      <w:r w:rsidRPr="00AE0AB5">
        <w:rPr>
          <w:sz w:val="22"/>
          <w:szCs w:val="22"/>
        </w:rPr>
        <w:t>di cui al par.6.9</w:t>
      </w:r>
      <w:r>
        <w:rPr>
          <w:sz w:val="22"/>
          <w:szCs w:val="22"/>
        </w:rPr>
        <w:t xml:space="preserve">). Si discute anche se l'inerzia del fisco sulla </w:t>
      </w:r>
      <w:r>
        <w:rPr>
          <w:bCs/>
          <w:sz w:val="22"/>
          <w:szCs w:val="22"/>
        </w:rPr>
        <w:t xml:space="preserve">dichiarazione a credito non </w:t>
      </w:r>
      <w:r>
        <w:rPr>
          <w:sz w:val="22"/>
          <w:szCs w:val="22"/>
        </w:rPr>
        <w:t xml:space="preserve">rettificata dall’ufficio </w:t>
      </w:r>
    </w:p>
    <w:p w14:paraId="64C3C8B2" w14:textId="77777777" w:rsidR="003B7460" w:rsidRDefault="003B7460" w:rsidP="006A68DD">
      <w:pPr>
        <w:pStyle w:val="Testonotaapidipagina"/>
      </w:pPr>
      <w:r>
        <w:rPr>
          <w:bCs/>
          <w:sz w:val="22"/>
          <w:szCs w:val="22"/>
        </w:rPr>
        <w:t xml:space="preserve">renda incontestabile il diritto al rimborso. </w:t>
      </w:r>
      <w:r>
        <w:t>Il controllo dovrebbe essere precluso, e il credito dichiarato consolidato, per tutti gli aspetti che richiederebbero un controllo di merito dei dati dichiarati, su una documentazione che il contribuente, decorso il termine per i controlli (sulla cui portata par.6.1), potrebbe anche aver distrutto o smarrito.</w:t>
      </w:r>
    </w:p>
  </w:footnote>
  <w:footnote w:id="554">
    <w:p w14:paraId="0D1ACDCE" w14:textId="33C0CF71" w:rsidR="003B7460" w:rsidRDefault="003B7460">
      <w:pPr>
        <w:pStyle w:val="Testonotaapidipagina"/>
      </w:pPr>
      <w:r>
        <w:rPr>
          <w:rStyle w:val="Rimandonotaapidipagina"/>
        </w:rPr>
        <w:footnoteRef/>
      </w:r>
      <w:r>
        <w:t xml:space="preserve"> ) Parr.1.6 e 4.6 sulle dimensioni dell’evasione e la sua percezione sociale. </w:t>
      </w:r>
    </w:p>
  </w:footnote>
  <w:footnote w:id="555">
    <w:p w14:paraId="23908DD7" w14:textId="77777777" w:rsidR="003B7460" w:rsidRDefault="003B7460" w:rsidP="006A68DD">
      <w:pPr>
        <w:pStyle w:val="Testonotaapidipagina"/>
      </w:pPr>
      <w:r>
        <w:rPr>
          <w:rStyle w:val="Rimandonotaapidipagina"/>
        </w:rPr>
        <w:footnoteRef/>
      </w:r>
      <w:r>
        <w:t xml:space="preserve"> ) Si tratta del c.d. “avviso bonario”,  un embrione standardizzato di contraddittorio amministrativo preventivo, per  cui valgono le considerazioni specifiche di cui infra in questo paragrafo e quelle generali di cui al paragrafo 6.1 sulla procedimentalizzazione della funzione tributaria. L’avviso bonario non è un atto impositivo, anche se è ormai consolidata la facoltà del contribuente di impugnarlo, anticipando il ricorso contro la successiva iscrizione a ruolo. </w:t>
      </w:r>
    </w:p>
  </w:footnote>
  <w:footnote w:id="556">
    <w:p w14:paraId="7B9E3FC7" w14:textId="77777777" w:rsidR="003B7460" w:rsidRDefault="003B7460" w:rsidP="006A68DD">
      <w:pPr>
        <w:pStyle w:val="Testonotaapidipagina"/>
      </w:pPr>
      <w:r>
        <w:rPr>
          <w:rStyle w:val="Rimandonotaapidipagina"/>
        </w:rPr>
        <w:footnoteRef/>
      </w:r>
      <w:r>
        <w:t xml:space="preserve"> ) In genere resterà solo il ricorso giurisdizionale (eventualmente previa “mediazione tributaria” di cui al par.6.5), salvo il ricorso amministrativo in autotutela di cui al par.6.6. Gli atti di liquidazione indicati nel testo sono infatti esclusi dall’accertamento con adesione di cui al par.6.4, in quanto in genere ad elevato tasso di precisione contabile-documentale. </w:t>
      </w:r>
    </w:p>
  </w:footnote>
  <w:footnote w:id="557">
    <w:p w14:paraId="5412F1C5" w14:textId="641FF930" w:rsidR="003B7460" w:rsidRDefault="003B7460">
      <w:pPr>
        <w:pStyle w:val="Testonotaapidipagina"/>
      </w:pPr>
      <w:r>
        <w:rPr>
          <w:rStyle w:val="Rimandonotaapidipagina"/>
        </w:rPr>
        <w:footnoteRef/>
      </w:r>
      <w:r>
        <w:t xml:space="preserve"> ) In base alle regole di cui al termine del par.3.4 e 3.16 sulla dichiarazione c.d. “precompilata online”. </w:t>
      </w:r>
    </w:p>
  </w:footnote>
  <w:footnote w:id="558">
    <w:p w14:paraId="7AC700DC" w14:textId="5711A1ED" w:rsidR="003B7460" w:rsidRDefault="003B7460">
      <w:pPr>
        <w:pStyle w:val="Testonotaapidipagina"/>
      </w:pPr>
      <w:r>
        <w:rPr>
          <w:rStyle w:val="Rimandonotaapidipagina"/>
        </w:rPr>
        <w:footnoteRef/>
      </w:r>
      <w:r>
        <w:t xml:space="preserve"> Desunti dalle varie banche dati di cui ai parr.5.5 e 5.9 </w:t>
      </w:r>
    </w:p>
  </w:footnote>
  <w:footnote w:id="559">
    <w:p w14:paraId="4E13ACE1" w14:textId="77777777" w:rsidR="003B7460" w:rsidRDefault="003B7460" w:rsidP="00D41E22">
      <w:pPr>
        <w:pStyle w:val="Testonotaapidipagina"/>
      </w:pPr>
      <w:r>
        <w:rPr>
          <w:rStyle w:val="Rimandonotaapidipagina"/>
        </w:rPr>
        <w:footnoteRef/>
      </w:r>
      <w:r>
        <w:t xml:space="preserve"> ) Questo parametro (c.d. “budget monetario”), è però sopravvalutato rispetto allo stimolo all’adempimento, </w:t>
      </w:r>
      <w:r>
        <w:rPr>
          <w:sz w:val="22"/>
          <w:szCs w:val="22"/>
        </w:rPr>
        <w:t>per le ragioni indicate al par. 5.7.</w:t>
      </w:r>
    </w:p>
  </w:footnote>
  <w:footnote w:id="560">
    <w:p w14:paraId="50DC23C9" w14:textId="4742E898" w:rsidR="003B7460" w:rsidRDefault="003B7460" w:rsidP="007F3648">
      <w:pPr>
        <w:autoSpaceDE w:val="0"/>
        <w:autoSpaceDN w:val="0"/>
        <w:adjustRightInd w:val="0"/>
      </w:pPr>
      <w:r>
        <w:rPr>
          <w:rStyle w:val="Rimandonotaapidipagina"/>
        </w:rPr>
        <w:footnoteRef/>
      </w:r>
      <w:r>
        <w:t xml:space="preserve"> </w:t>
      </w:r>
      <w:r>
        <w:rPr>
          <w:sz w:val="22"/>
          <w:szCs w:val="22"/>
        </w:rPr>
        <w:t>La rarità dei controlli “di merito” spinge chi li subisce a chiedersi “perché proprio a me”, innescando retropensieri di persecuzioni occulte.</w:t>
      </w:r>
    </w:p>
  </w:footnote>
  <w:footnote w:id="561">
    <w:p w14:paraId="387878C0" w14:textId="4E45CA58" w:rsidR="003B7460" w:rsidRPr="007F7EBF" w:rsidRDefault="003B7460" w:rsidP="001C36ED">
      <w:pPr>
        <w:autoSpaceDE w:val="0"/>
        <w:autoSpaceDN w:val="0"/>
        <w:adjustRightInd w:val="0"/>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Anche questi poteri di supremazia smentiscono lo stereotipo </w:t>
      </w:r>
      <w:r>
        <w:rPr>
          <w:sz w:val="20"/>
          <w:szCs w:val="20"/>
        </w:rPr>
        <w:t>privatistico-giurisdizionale secondo cui</w:t>
      </w:r>
      <w:r w:rsidRPr="007F7EBF">
        <w:rPr>
          <w:sz w:val="20"/>
          <w:szCs w:val="20"/>
        </w:rPr>
        <w:t xml:space="preserve"> contribuente e il fisco </w:t>
      </w:r>
      <w:r>
        <w:rPr>
          <w:sz w:val="20"/>
          <w:szCs w:val="20"/>
        </w:rPr>
        <w:t>sarebbero</w:t>
      </w:r>
      <w:r w:rsidRPr="007F7EBF">
        <w:rPr>
          <w:sz w:val="20"/>
          <w:szCs w:val="20"/>
        </w:rPr>
        <w:t xml:space="preserve"> due "parti" in lite, risolta dal</w:t>
      </w:r>
      <w:r>
        <w:rPr>
          <w:sz w:val="20"/>
          <w:szCs w:val="20"/>
        </w:rPr>
        <w:t xml:space="preserve"> </w:t>
      </w:r>
      <w:r w:rsidRPr="007F7EBF">
        <w:rPr>
          <w:sz w:val="20"/>
          <w:szCs w:val="20"/>
        </w:rPr>
        <w:t>giudice</w:t>
      </w:r>
      <w:r>
        <w:rPr>
          <w:sz w:val="20"/>
          <w:szCs w:val="20"/>
        </w:rPr>
        <w:t xml:space="preserve">, </w:t>
      </w:r>
      <w:r w:rsidRPr="007F7EBF">
        <w:rPr>
          <w:sz w:val="20"/>
          <w:szCs w:val="20"/>
        </w:rPr>
        <w:t>che</w:t>
      </w:r>
      <w:r>
        <w:rPr>
          <w:sz w:val="20"/>
          <w:szCs w:val="20"/>
        </w:rPr>
        <w:t xml:space="preserve"> invece</w:t>
      </w:r>
      <w:r w:rsidRPr="007F7EBF">
        <w:rPr>
          <w:sz w:val="20"/>
          <w:szCs w:val="20"/>
        </w:rPr>
        <w:t xml:space="preserve"> ha </w:t>
      </w:r>
      <w:r>
        <w:rPr>
          <w:sz w:val="20"/>
          <w:szCs w:val="20"/>
        </w:rPr>
        <w:t xml:space="preserve">i </w:t>
      </w:r>
      <w:r w:rsidRPr="007F7EBF">
        <w:rPr>
          <w:sz w:val="20"/>
          <w:szCs w:val="20"/>
        </w:rPr>
        <w:t xml:space="preserve">compiti del tutto diversi </w:t>
      </w:r>
      <w:r>
        <w:rPr>
          <w:sz w:val="20"/>
          <w:szCs w:val="20"/>
        </w:rPr>
        <w:t>indicati a</w:t>
      </w:r>
      <w:r w:rsidRPr="007F7EBF">
        <w:rPr>
          <w:sz w:val="20"/>
          <w:szCs w:val="20"/>
        </w:rPr>
        <w:t>l par.6.7.</w:t>
      </w:r>
    </w:p>
  </w:footnote>
  <w:footnote w:id="562">
    <w:p w14:paraId="4C1F36CD" w14:textId="2AF60C85" w:rsidR="003B7460" w:rsidRPr="007F7EBF" w:rsidRDefault="003B7460" w:rsidP="00E107E8">
      <w:pPr>
        <w:pStyle w:val="Testonotaapidipagina"/>
      </w:pPr>
      <w:r w:rsidRPr="007F7EBF">
        <w:rPr>
          <w:rStyle w:val="Rimandonotaapidipagina"/>
        </w:rPr>
        <w:footnoteRef/>
      </w:r>
      <w:r w:rsidRPr="007F7EBF">
        <w:t xml:space="preserve"> )</w:t>
      </w:r>
      <w:r>
        <w:t xml:space="preserve"> Il che </w:t>
      </w:r>
      <w:r w:rsidRPr="007F7EBF">
        <w:t xml:space="preserve">esclude a rigore le informazioni </w:t>
      </w:r>
      <w:r>
        <w:t xml:space="preserve">furtive, come quelle trafugate da un dipendente bancario nel caso della </w:t>
      </w:r>
      <w:r w:rsidRPr="007F7EBF">
        <w:t xml:space="preserve">c.d. “lista Falciani”, </w:t>
      </w:r>
      <w:r>
        <w:t>la</w:t>
      </w:r>
      <w:r w:rsidRPr="007F7EBF">
        <w:t xml:space="preserve"> cui utilizzabilità è stata in qualche modo “salvata” dalla cassazione</w:t>
      </w:r>
      <w:r>
        <w:t>, confermando la permeabilità dei giudici (e della politica) rispetto alla pubblica opinione ( par.</w:t>
      </w:r>
      <w:r w:rsidRPr="003C43D7">
        <w:t xml:space="preserve"> </w:t>
      </w:r>
      <w:r>
        <w:t xml:space="preserve">4.1), filo conduttore del testo. </w:t>
      </w:r>
      <w:r w:rsidRPr="007F7EBF">
        <w:t xml:space="preserve"> </w:t>
      </w:r>
    </w:p>
  </w:footnote>
  <w:footnote w:id="563">
    <w:p w14:paraId="339A8784" w14:textId="72AEFF8B" w:rsidR="003B7460" w:rsidRPr="007F3648" w:rsidRDefault="003B7460">
      <w:pPr>
        <w:pStyle w:val="Testonotaapidipagina"/>
      </w:pPr>
      <w:r>
        <w:rPr>
          <w:rStyle w:val="Rimandonotaapidipagina"/>
        </w:rPr>
        <w:footnoteRef/>
      </w:r>
      <w:r>
        <w:t xml:space="preserve"> E’ una casistica rara e imprevedibile, da dove può venir fuori di tutto, contabilità nere, depositi  in paradisi fiscali, società interposte fittizie e altri espedienti frodatori di cui al par.3.7.  Le liti familiari e gli abbandoni coniugali spiegano molte scoperte di </w:t>
      </w:r>
      <w:r>
        <w:rPr>
          <w:i/>
          <w:iCs/>
        </w:rPr>
        <w:t xml:space="preserve">grandi evasioni </w:t>
      </w:r>
      <w:r>
        <w:t xml:space="preserve">in senso materiale. </w:t>
      </w:r>
    </w:p>
  </w:footnote>
  <w:footnote w:id="564">
    <w:p w14:paraId="2B61929D" w14:textId="77777777" w:rsidR="003B7460" w:rsidRDefault="003B7460" w:rsidP="00EF03F8">
      <w:pPr>
        <w:pStyle w:val="Testonotaapidipagina"/>
      </w:pPr>
      <w:r>
        <w:rPr>
          <w:rStyle w:val="Rimandonotaapidipagina"/>
        </w:rPr>
        <w:footnoteRef/>
      </w:r>
      <w:r>
        <w:t xml:space="preserve"> ) Si tratta in genere della residenza anagrafica per le persone fisiche e della sede legale per le società. </w:t>
      </w:r>
    </w:p>
  </w:footnote>
  <w:footnote w:id="565">
    <w:p w14:paraId="594252E5" w14:textId="77777777" w:rsidR="003B7460" w:rsidRPr="007F7EBF" w:rsidRDefault="003B7460" w:rsidP="00EF03F8">
      <w:pPr>
        <w:pStyle w:val="Testonotaapidipagina"/>
      </w:pPr>
      <w:r w:rsidRPr="007F7EBF">
        <w:rPr>
          <w:rStyle w:val="Rimandonotaapidipagina"/>
        </w:rPr>
        <w:footnoteRef/>
      </w:r>
      <w:r w:rsidRPr="007F7EBF">
        <w:t xml:space="preserve"> ) </w:t>
      </w:r>
      <w:r>
        <w:t xml:space="preserve">Un argomento “tecnico” riguarda gli usi strumentali di questi cambi di domicilio, da parte dei contribuenti, per sviare i controlli, o cercare definizioni “di comodo” come accade talvolta per la “transazione fiscale” di cui ai </w:t>
      </w:r>
      <w:proofErr w:type="spellStart"/>
      <w:r>
        <w:t>parr</w:t>
      </w:r>
      <w:proofErr w:type="spellEnd"/>
      <w:r>
        <w:t>. 6.11 e 7.21</w:t>
      </w:r>
      <w:r w:rsidRPr="007F7EBF">
        <w:t xml:space="preserve">. </w:t>
      </w:r>
      <w:r>
        <w:t xml:space="preserve">Per questo gli uffici tributari, nell’esercizio dei loro poteri autoritativi, possono anche stabilire un domicilio fiscale diverso da quello di residenza anagrafica o dalla sede legale. </w:t>
      </w:r>
    </w:p>
  </w:footnote>
  <w:footnote w:id="566">
    <w:p w14:paraId="4852C8E7" w14:textId="21CCBB77" w:rsidR="003B7460" w:rsidRPr="007F7EBF" w:rsidRDefault="003B7460">
      <w:pPr>
        <w:pStyle w:val="Testonotaapidipagina"/>
      </w:pPr>
      <w:r w:rsidRPr="007F7EBF">
        <w:rPr>
          <w:rStyle w:val="Rimandonotaapidipagina"/>
        </w:rPr>
        <w:footnoteRef/>
      </w:r>
      <w:r w:rsidRPr="007F7EBF">
        <w:t xml:space="preserve"> ) Vedremo </w:t>
      </w:r>
      <w:r>
        <w:t xml:space="preserve">del resto al </w:t>
      </w:r>
      <w:r w:rsidRPr="007F7EBF">
        <w:t>capitolo settimo</w:t>
      </w:r>
      <w:r>
        <w:t xml:space="preserve"> che </w:t>
      </w:r>
      <w:r w:rsidRPr="007F7EBF">
        <w:t>imposte dirette e IVA proced</w:t>
      </w:r>
      <w:r>
        <w:t>o</w:t>
      </w:r>
      <w:r w:rsidRPr="007F7EBF">
        <w:t xml:space="preserve">no </w:t>
      </w:r>
      <w:r>
        <w:t xml:space="preserve">in base alla stessa documentazione, nonostante la diversità delle astrazioni economiche (par.1.8) </w:t>
      </w:r>
      <w:r w:rsidRPr="007F7EBF">
        <w:t xml:space="preserve">cui ciascuna </w:t>
      </w:r>
      <w:r>
        <w:t>si riferisc</w:t>
      </w:r>
      <w:r w:rsidRPr="007F7EBF">
        <w:t xml:space="preserve">e, cioè il consumo e il reddito.  </w:t>
      </w:r>
    </w:p>
  </w:footnote>
  <w:footnote w:id="567">
    <w:p w14:paraId="2AF22DC5" w14:textId="77777777" w:rsidR="003B7460" w:rsidRPr="007F7EBF" w:rsidRDefault="003B7460">
      <w:pPr>
        <w:pStyle w:val="Testonotaapidipagina"/>
      </w:pPr>
      <w:r w:rsidRPr="007F7EBF">
        <w:rPr>
          <w:rStyle w:val="Rimandonotaapidipagina"/>
        </w:rPr>
        <w:footnoteRef/>
      </w:r>
      <w:r w:rsidRPr="007F7EBF">
        <w:rPr>
          <w:lang w:val="en-US"/>
        </w:rPr>
        <w:t xml:space="preserve"> ) Art.51 </w:t>
      </w:r>
      <w:proofErr w:type="spellStart"/>
      <w:r w:rsidRPr="007F7EBF">
        <w:rPr>
          <w:lang w:val="en-US"/>
        </w:rPr>
        <w:t>decreto</w:t>
      </w:r>
      <w:proofErr w:type="spellEnd"/>
      <w:r w:rsidRPr="007F7EBF">
        <w:rPr>
          <w:lang w:val="en-US"/>
        </w:rPr>
        <w:t xml:space="preserve"> IVA e art.32 ss. </w:t>
      </w:r>
      <w:r w:rsidRPr="007F7EBF">
        <w:t>Decreto 600 del 1973, che prevedono  spesso, in parallelo, disposizioni di identico contenuto.</w:t>
      </w:r>
    </w:p>
  </w:footnote>
  <w:footnote w:id="568">
    <w:p w14:paraId="402770A0" w14:textId="77777777" w:rsidR="003B7460" w:rsidRPr="007F7EBF" w:rsidRDefault="003B7460" w:rsidP="00C82C93">
      <w:pPr>
        <w:pStyle w:val="Testonotaapidipagina"/>
      </w:pPr>
      <w:r w:rsidRPr="007F7EBF">
        <w:rPr>
          <w:rStyle w:val="Rimandonotaapidipagina"/>
        </w:rPr>
        <w:footnoteRef/>
      </w:r>
      <w:r w:rsidRPr="007F7EBF">
        <w:t xml:space="preserve"> ) </w:t>
      </w:r>
      <w:r>
        <w:t xml:space="preserve">Esistono numerosi accordi di collaborazione internazionali tra autorità fiscali, ma più di bandiera che praticabili con la sistematicità adeguata ai rapporti internazionali. Può al riguardo dubitarsi che gli stati prestino  collaborazione quando la richiesta dell’altro stato contrasta con la loro sfera di sovranità fiscale, perché lo stato richiedente considera imponibile un reddito che lo stato destinatario della richiesta include nella propria sfera di sovranità fiscale. </w:t>
      </w:r>
    </w:p>
  </w:footnote>
  <w:footnote w:id="569">
    <w:p w14:paraId="777B63C9" w14:textId="224B4106" w:rsidR="003B7460" w:rsidRDefault="003B7460">
      <w:pPr>
        <w:pStyle w:val="Testonotaapidipagina"/>
      </w:pPr>
      <w:r>
        <w:rPr>
          <w:rStyle w:val="Rimandonotaapidipagina"/>
        </w:rPr>
        <w:footnoteRef/>
      </w:r>
      <w:r>
        <w:t xml:space="preserve"> ) G</w:t>
      </w:r>
      <w:r w:rsidRPr="007F7EBF">
        <w:t>li accordi per l’assistenza in materia tributaria</w:t>
      </w:r>
      <w:r>
        <w:t>, indicati nel testo, raramente consentono lo svolgimento di controlli nel territorio di uno stato a cura di uffici di un altro stato, ma al massimo ne prevedono l’affiancamento a funzionari dello stato ospite.</w:t>
      </w:r>
    </w:p>
  </w:footnote>
  <w:footnote w:id="570">
    <w:p w14:paraId="441878E0" w14:textId="1D618C2D" w:rsidR="003B7460" w:rsidRPr="007F7EBF" w:rsidRDefault="003B7460" w:rsidP="00C82C93">
      <w:pPr>
        <w:pStyle w:val="Testonotaapidipagina"/>
      </w:pPr>
      <w:r w:rsidRPr="007F7EBF">
        <w:rPr>
          <w:rStyle w:val="Rimandonotaapidipagina"/>
        </w:rPr>
        <w:footnoteRef/>
      </w:r>
      <w:r w:rsidRPr="007F7EBF">
        <w:t xml:space="preserve"> </w:t>
      </w:r>
      <w:r>
        <w:t xml:space="preserve">) I controlli restano infatti </w:t>
      </w:r>
      <w:r w:rsidRPr="007F7EBF">
        <w:t xml:space="preserve">espressioni di un pubblico potere, collegato al territorio, e </w:t>
      </w:r>
      <w:r w:rsidRPr="007F7EBF">
        <w:rPr>
          <w:bCs/>
        </w:rPr>
        <w:t>sostituito da quello di un altro stato</w:t>
      </w:r>
      <w:r w:rsidRPr="007F7EBF">
        <w:t xml:space="preserve"> appena si varca il confine.</w:t>
      </w:r>
      <w:r w:rsidRPr="00C82C93">
        <w:t xml:space="preserve"> </w:t>
      </w:r>
      <w:r>
        <w:t xml:space="preserve">Si crea quindi una asimmetria tra lo stato che </w:t>
      </w:r>
      <w:r w:rsidRPr="007F7EBF">
        <w:t xml:space="preserve">ha i poteri, ma non ha subìto l’evasione, </w:t>
      </w:r>
      <w:r>
        <w:t xml:space="preserve">e quello che </w:t>
      </w:r>
      <w:r w:rsidRPr="007F7EBF">
        <w:t>l’ha subita</w:t>
      </w:r>
      <w:r>
        <w:t xml:space="preserve">, ma </w:t>
      </w:r>
      <w:r w:rsidRPr="007F7EBF">
        <w:t>non ha i poteri per inseguire all’estero i propri contribuenti.</w:t>
      </w:r>
    </w:p>
  </w:footnote>
  <w:footnote w:id="571">
    <w:p w14:paraId="09EFE998" w14:textId="77777777" w:rsidR="003B7460" w:rsidRPr="007F7EBF" w:rsidRDefault="003B7460" w:rsidP="00123238">
      <w:pPr>
        <w:pStyle w:val="Testonotaapidipagina"/>
      </w:pPr>
      <w:r w:rsidRPr="007F7EBF">
        <w:rPr>
          <w:rStyle w:val="Rimandonotaapidipagina"/>
        </w:rPr>
        <w:footnoteRef/>
      </w:r>
      <w:r w:rsidRPr="007F7EBF">
        <w:t xml:space="preserve"> </w:t>
      </w:r>
      <w:r>
        <w:t xml:space="preserve">) </w:t>
      </w:r>
      <w:r w:rsidRPr="007F7EBF">
        <w:t xml:space="preserve">La mancata distinzione tra queste due esigenze di tutela, con riferimenti ossessivi e indifferenziati al concetto di nullità civilistica, riflette </w:t>
      </w:r>
      <w:r>
        <w:t xml:space="preserve">la concezione privatistico-giurisdizionale del diritto </w:t>
      </w:r>
      <w:r w:rsidRPr="007F7EBF">
        <w:t>(par</w:t>
      </w:r>
      <w:r>
        <w:t>r</w:t>
      </w:r>
      <w:r w:rsidRPr="007F7EBF">
        <w:t>.4.3</w:t>
      </w:r>
      <w:r>
        <w:t xml:space="preserve"> e 6.1</w:t>
      </w:r>
      <w:r w:rsidRPr="007F7EBF">
        <w:t>), trascurando  lo studio dell'azione amministrativa</w:t>
      </w:r>
      <w:r>
        <w:t>.</w:t>
      </w:r>
    </w:p>
  </w:footnote>
  <w:footnote w:id="572">
    <w:p w14:paraId="035C0050" w14:textId="3DF28150" w:rsidR="003B7460" w:rsidRPr="007F7EBF" w:rsidRDefault="003B7460">
      <w:pPr>
        <w:pStyle w:val="Testonotaapidipagina"/>
      </w:pPr>
      <w:r w:rsidRPr="007F7EBF">
        <w:rPr>
          <w:rStyle w:val="Rimandonotaapidipagina"/>
        </w:rPr>
        <w:footnoteRef/>
      </w:r>
      <w:r>
        <w:t xml:space="preserve">) </w:t>
      </w:r>
      <w:r w:rsidRPr="007F7EBF">
        <w:t>Si tratta ad esempio della verbalizzazione di violazioni su periodi di imposta non ricompresi nell’ordine di verifica, o su soggetti emersi nel corso delle indagini verso altri contribuenti.</w:t>
      </w:r>
    </w:p>
  </w:footnote>
  <w:footnote w:id="573">
    <w:p w14:paraId="6A36FC63" w14:textId="074A2CF8" w:rsidR="003B7460" w:rsidRDefault="003B7460">
      <w:pPr>
        <w:pStyle w:val="Testonotaapidipagina"/>
      </w:pPr>
      <w:r>
        <w:rPr>
          <w:rStyle w:val="Rimandonotaapidipagina"/>
        </w:rPr>
        <w:footnoteRef/>
      </w:r>
      <w:r>
        <w:t xml:space="preserve"> ) </w:t>
      </w:r>
      <w:proofErr w:type="spellStart"/>
      <w:r>
        <w:t>Cfr</w:t>
      </w:r>
      <w:proofErr w:type="spellEnd"/>
      <w:r>
        <w:t xml:space="preserve"> al par.6.1 il collegamento procedimentale tra indagini e provvedimento impositivo. </w:t>
      </w:r>
    </w:p>
  </w:footnote>
  <w:footnote w:id="574">
    <w:p w14:paraId="2964B31D" w14:textId="3EAD8ED9" w:rsidR="003B7460" w:rsidRPr="007F7EBF" w:rsidRDefault="003B7460">
      <w:pPr>
        <w:pStyle w:val="Testonotaapidipagina"/>
      </w:pPr>
      <w:r w:rsidRPr="007F7EBF">
        <w:rPr>
          <w:rStyle w:val="Rimandonotaapidipagina"/>
        </w:rPr>
        <w:footnoteRef/>
      </w:r>
      <w:r w:rsidRPr="007F7EBF">
        <w:t xml:space="preserve"> ) E’ da chiedersi, sia pure a livello problematico, se l’acquisizione illegittima sia suscettibile di sanatoria, cioè se le procedure possano essere seguite dopo una prima fase irrituale. Le soluzioni di questo problema concettuale (per fortuna raro) lasciano entrambe insoddisfatti, perché la sanatoria vanificherebbe il precetto, ma l’insanabilità assoluta dell’acquisizione violerebbe il principio di equa ripartizione dei carichi pubblici, davanti a una ricchezza esistente, in quanto tempestivamente accertata, sia pure con irregolarità </w:t>
      </w:r>
      <w:r>
        <w:t xml:space="preserve"> </w:t>
      </w:r>
      <w:r w:rsidRPr="007F7EBF">
        <w:t xml:space="preserve">altri piani: andrebbe approfondito in proposito, anche ai fini di tesi di laurea o dottorato il tema delle prove irregolarmente acquisite ai fini penali (e quindi della compensazione tra la violazione di due giuridici diversi, quello della riservatezza o della corrispondenza e quello della punizione di reati, anche gravi).  </w:t>
      </w:r>
    </w:p>
  </w:footnote>
  <w:footnote w:id="575">
    <w:p w14:paraId="5F0FD6CF" w14:textId="2D8FBA54" w:rsidR="003B7460" w:rsidRPr="007F7EBF" w:rsidRDefault="003B7460">
      <w:pPr>
        <w:pStyle w:val="Testonotaapidipagina"/>
      </w:pPr>
      <w:r w:rsidRPr="007F7EBF">
        <w:rPr>
          <w:rStyle w:val="Rimandonotaapidipagina"/>
        </w:rPr>
        <w:footnoteRef/>
      </w:r>
      <w:r>
        <w:t>)</w:t>
      </w:r>
      <w:r w:rsidRPr="007F7EBF">
        <w:t xml:space="preserve"> </w:t>
      </w:r>
      <w:r>
        <w:t xml:space="preserve">Esiste da sempre, insomma, </w:t>
      </w:r>
      <w:r w:rsidRPr="007F7EBF">
        <w:t xml:space="preserve">una giuridicità amministrativa, in cui si interagisce con </w:t>
      </w:r>
      <w:r>
        <w:t>pubblici uffici con la supervisione di fondo della pubblica opinione (par.</w:t>
      </w:r>
      <w:r w:rsidRPr="003C43D7">
        <w:t xml:space="preserve"> </w:t>
      </w:r>
      <w:r>
        <w:t>4.1) e della politica; invece di valorizzare questi profili c’era chi aveva addirittura ipotizzato un intervento del giudice civile davanti a queste fantomatiche violazioni istruttorie</w:t>
      </w:r>
      <w:r w:rsidRPr="007F7EBF">
        <w:t>.</w:t>
      </w:r>
      <w:r>
        <w:t xml:space="preserve"> Sono estremizzazioni delle concezioni privatistico-giurisdizionali del diritto, che trascurano sia i secoli in cui l’umanità è sopravvissuta solo coi reclami gerarchico-politici (par.6.7), sia gli attuali spazi offerti dalla giurisdizione amministrativa (par.6.9 ultima postilla). </w:t>
      </w:r>
    </w:p>
  </w:footnote>
  <w:footnote w:id="576">
    <w:p w14:paraId="7DB0B383" w14:textId="671C22E7" w:rsidR="003B7460" w:rsidRPr="007F7EBF" w:rsidRDefault="003B7460">
      <w:pPr>
        <w:pStyle w:val="Testonotaapidipagina"/>
      </w:pPr>
      <w:r w:rsidRPr="007F7EBF">
        <w:rPr>
          <w:rStyle w:val="Rimandonotaapidipagina"/>
        </w:rPr>
        <w:footnoteRef/>
      </w:r>
      <w:r w:rsidRPr="007F7EBF">
        <w:t xml:space="preserve"> ) Il </w:t>
      </w:r>
      <w:r>
        <w:t xml:space="preserve">motivo della mancata collaborazione potrebbe essere ostacolare indagini ulteriori degli uffici, sia per </w:t>
      </w:r>
      <w:r w:rsidRPr="007F7EBF">
        <w:t xml:space="preserve">smentire le giustificazioni del contribuente </w:t>
      </w:r>
      <w:r>
        <w:t xml:space="preserve">sia per costruirvi </w:t>
      </w:r>
      <w:r w:rsidRPr="007F7EBF">
        <w:t xml:space="preserve">ulteriori rilievi. </w:t>
      </w:r>
    </w:p>
  </w:footnote>
  <w:footnote w:id="577">
    <w:p w14:paraId="7EE3B381" w14:textId="77777777" w:rsidR="003B7460" w:rsidRPr="007F7EBF" w:rsidRDefault="003B7460">
      <w:pPr>
        <w:pStyle w:val="Testonotaapidipagina"/>
      </w:pPr>
      <w:r w:rsidRPr="007F7EBF">
        <w:rPr>
          <w:rStyle w:val="Rimandonotaapidipagina"/>
        </w:rPr>
        <w:footnoteRef/>
      </w:r>
      <w:r w:rsidRPr="007F7EBF">
        <w:t xml:space="preserve"> ) Gli atteggiamenti dove l’ufficio tributario chiede al contribuente di “parlare subito o di tacere per sempre” si giustificano davanti a specifici addebiti di violazioni, non davanti a richieste </w:t>
      </w:r>
      <w:proofErr w:type="spellStart"/>
      <w:r w:rsidRPr="007F7EBF">
        <w:t>investigastive</w:t>
      </w:r>
      <w:proofErr w:type="spellEnd"/>
      <w:r w:rsidRPr="007F7EBF">
        <w:t xml:space="preserve"> generiche e di routine. </w:t>
      </w:r>
    </w:p>
  </w:footnote>
  <w:footnote w:id="578">
    <w:p w14:paraId="0A01D972" w14:textId="77777777" w:rsidR="003B7460" w:rsidRPr="007F7EBF" w:rsidRDefault="003B7460" w:rsidP="00753C2D">
      <w:pPr>
        <w:pStyle w:val="Testonotaapidipagina"/>
      </w:pPr>
      <w:r w:rsidRPr="007F7EBF">
        <w:rPr>
          <w:rStyle w:val="Rimandonotaapidipagina"/>
        </w:rPr>
        <w:footnoteRef/>
      </w:r>
      <w:r w:rsidRPr="007F7EBF">
        <w:t xml:space="preserve"> ) Cioè svolto anche con sopralluoghi fisici sul territorio.</w:t>
      </w:r>
    </w:p>
  </w:footnote>
  <w:footnote w:id="579">
    <w:p w14:paraId="4AEE8584" w14:textId="77777777" w:rsidR="003B7460" w:rsidRDefault="003B7460" w:rsidP="006F610B">
      <w:pPr>
        <w:pStyle w:val="Testonotaapidipagina"/>
      </w:pPr>
      <w:r>
        <w:rPr>
          <w:rStyle w:val="Rimandonotaapidipagina"/>
        </w:rPr>
        <w:footnoteRef/>
      </w:r>
      <w:r>
        <w:t>)  I</w:t>
      </w:r>
      <w:r w:rsidRPr="007F7EBF">
        <w:rPr>
          <w:sz w:val="22"/>
          <w:szCs w:val="22"/>
        </w:rPr>
        <w:t xml:space="preserve">noltre i verbali  sono poi appesantiti da una serie di avvertenze generali </w:t>
      </w:r>
      <w:r>
        <w:rPr>
          <w:sz w:val="22"/>
          <w:szCs w:val="22"/>
        </w:rPr>
        <w:t xml:space="preserve">formalistiche e </w:t>
      </w:r>
      <w:r w:rsidRPr="007F7EBF">
        <w:rPr>
          <w:sz w:val="22"/>
          <w:szCs w:val="22"/>
        </w:rPr>
        <w:t>stereotipe, sul diritto a farsi assistere da un legale, sulle conseguenze in caso di mancata risposta, su possibilità di estinguere le violazioni, etc.,  che ne aumentano artificiosamente la mole, facendo perdere di vista le risultanze specifiche della verifica</w:t>
      </w:r>
    </w:p>
  </w:footnote>
  <w:footnote w:id="580">
    <w:p w14:paraId="03FFA038" w14:textId="77777777"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L'interpretazione degli indizi materiali </w:t>
      </w:r>
      <w:r>
        <w:t>(“</w:t>
      </w:r>
      <w:proofErr w:type="spellStart"/>
      <w:r>
        <w:t>evidence</w:t>
      </w:r>
      <w:proofErr w:type="spellEnd"/>
      <w:r>
        <w:t xml:space="preserve">”) </w:t>
      </w:r>
      <w:r w:rsidRPr="007F7EBF">
        <w:t>in cui consiste, come vedremo al par.5.8, il giudizio di fatto, e quella di interpretazione delle regole sono infatti fuori dal potere di certificazione amministrativa, relativo alle percezioni dirette dei pubblici ufficiali.</w:t>
      </w:r>
    </w:p>
  </w:footnote>
  <w:footnote w:id="581">
    <w:p w14:paraId="67474265" w14:textId="48AC9FE7" w:rsidR="003B7460" w:rsidRPr="007F7EBF" w:rsidRDefault="003B7460" w:rsidP="006253EC">
      <w:pPr>
        <w:pStyle w:val="Testonotaapidipagina"/>
      </w:pPr>
      <w:r w:rsidRPr="007F7EBF">
        <w:rPr>
          <w:rStyle w:val="Rimandonotaapidipagina"/>
        </w:rPr>
        <w:footnoteRef/>
      </w:r>
      <w:r w:rsidRPr="007F7EBF">
        <w:t xml:space="preserve"> ) </w:t>
      </w:r>
      <w:r>
        <w:rPr>
          <w:sz w:val="22"/>
          <w:szCs w:val="22"/>
        </w:rPr>
        <w:t xml:space="preserve">Ai sensi dell’art.12 dello statuto del contribuente (par.2.1), entro 60 giorni dalla notifica del verbale; quest’embrione di contraddittorio, senza riflessioni di studio sociale sulla funzione tributaria, non ha invertito la tendenza tecnico-professionale a “riservarsi” le deduzioni a dopo l’ispezione (per non “scoprire le carte” si diceva). Ne sono derivati solo formalistici problemi tecnici su cui par.6.1 sui “vizi formali” nonché elucubrazioni </w:t>
      </w:r>
      <w:r w:rsidRPr="007F7EBF">
        <w:t xml:space="preserve">sulla necessità di redigere, anche </w:t>
      </w:r>
      <w:r>
        <w:t>senza ispezioni (per le indagini “in ufficio”)</w:t>
      </w:r>
      <w:r w:rsidRPr="007F7EBF">
        <w:t xml:space="preserve">, un </w:t>
      </w:r>
      <w:r>
        <w:t xml:space="preserve">fantomatico </w:t>
      </w:r>
      <w:r w:rsidRPr="007F7EBF">
        <w:t xml:space="preserve">verbale finale, in relazione al quale il contribuente possa presentare deduzioni scritte. </w:t>
      </w:r>
    </w:p>
  </w:footnote>
  <w:footnote w:id="582">
    <w:p w14:paraId="6C6EDFA1" w14:textId="608E94C4" w:rsidR="003B7460" w:rsidRDefault="003B7460" w:rsidP="00081A77">
      <w:pPr>
        <w:pStyle w:val="Testonotaapidipagina"/>
      </w:pPr>
      <w:r>
        <w:rPr>
          <w:rStyle w:val="Rimandonotaapidipagina"/>
        </w:rPr>
        <w:footnoteRef/>
      </w:r>
      <w:r>
        <w:t xml:space="preserve"> ) </w:t>
      </w:r>
      <w:r>
        <w:rPr>
          <w:sz w:val="22"/>
          <w:szCs w:val="22"/>
        </w:rPr>
        <w:t>A</w:t>
      </w:r>
      <w:r>
        <w:rPr>
          <w:bCs/>
          <w:sz w:val="22"/>
          <w:szCs w:val="22"/>
        </w:rPr>
        <w:t>straendo da eventi straordinari, che gonfiano le statistiche</w:t>
      </w:r>
      <w:r>
        <w:t xml:space="preserve">, come la “rottamazione dei ruoli” del 2016 e la c.d. </w:t>
      </w:r>
      <w:proofErr w:type="spellStart"/>
      <w:r>
        <w:t>voluntary</w:t>
      </w:r>
      <w:proofErr w:type="spellEnd"/>
      <w:r>
        <w:t xml:space="preserve"> </w:t>
      </w:r>
      <w:proofErr w:type="spellStart"/>
      <w:r>
        <w:t>disclosure</w:t>
      </w:r>
      <w:proofErr w:type="spellEnd"/>
      <w:r>
        <w:t>, sui patrimoni esteri, due sanatorie rimesse in buona misura alla volontà dei contribuenti..</w:t>
      </w:r>
    </w:p>
  </w:footnote>
  <w:footnote w:id="583">
    <w:p w14:paraId="74861141" w14:textId="77777777" w:rsidR="003B7460" w:rsidRDefault="003B7460" w:rsidP="00081A77">
      <w:pPr>
        <w:pStyle w:val="Testonotaapidipagina"/>
      </w:pPr>
      <w:r>
        <w:rPr>
          <w:rStyle w:val="Rimandonotaapidipagina"/>
        </w:rPr>
        <w:footnoteRef/>
      </w:r>
      <w:r>
        <w:t xml:space="preserve"> ) Si tratta di soggetti che si finanziano a carico del fisco, come indicato al par.6.11, dichiarando senza versare. Il relativo recupero, a seguito dell'esame della dichiarazione, di cui al par.5.5, rendicontato come gettito da controlli, non ha quindi nulla a che vedere con la ricchezza non registrata.</w:t>
      </w:r>
    </w:p>
  </w:footnote>
  <w:footnote w:id="584">
    <w:p w14:paraId="5650EEDC" w14:textId="6BC24E09" w:rsidR="003B7460" w:rsidRDefault="003B7460" w:rsidP="00081A77">
      <w:pPr>
        <w:pStyle w:val="Testonotaapidipagina"/>
      </w:pPr>
      <w:r>
        <w:rPr>
          <w:rStyle w:val="Rimandonotaapidipagina"/>
        </w:rPr>
        <w:footnoteRef/>
      </w:r>
      <w:r>
        <w:t xml:space="preserve"> ) Questioni di diritto di cui ai paragrafi 3.10 ss. e 5.17 ss., dove i controlli fiscali letteralmente “si sprecano, collocati “alla rovescia” anche per assecondare il mito mediatico dei “grandi evasori”. </w:t>
      </w:r>
    </w:p>
  </w:footnote>
  <w:footnote w:id="585">
    <w:p w14:paraId="1D32D301" w14:textId="77777777" w:rsidR="003B7460" w:rsidRDefault="003B7460" w:rsidP="00B30905">
      <w:pPr>
        <w:pStyle w:val="Testonotaapidipagina"/>
      </w:pPr>
      <w:r>
        <w:rPr>
          <w:rStyle w:val="Rimandonotaapidipagina"/>
        </w:rPr>
        <w:footnoteRef/>
      </w:r>
      <w:r>
        <w:t xml:space="preserve"> ) La presenza di contestazioni interpretative anche sugli operatori medi e piccoli (par.5.2) rende molto probabile una loro stragrande prevalenza rispetto a quelle dovute alla scoperta di ricchezza non registrata. E' poi verosimile che buona parte delle contestazioni sul lavoro indipendente derivino dall'applicazione meccanica degli studi di  settore, cfr. par.5.13.</w:t>
      </w:r>
    </w:p>
  </w:footnote>
  <w:footnote w:id="586">
    <w:p w14:paraId="522435F2" w14:textId="32956552" w:rsidR="003B7460" w:rsidRDefault="003B7460" w:rsidP="001C06A1">
      <w:r>
        <w:rPr>
          <w:rStyle w:val="Rimandonotaapidipagina"/>
        </w:rPr>
        <w:footnoteRef/>
      </w:r>
      <w:r>
        <w:t xml:space="preserve"> ) Si tratta del c.d. “risultato monetario”, che rischia di innescare la legittima tendenza a pref</w:t>
      </w:r>
      <w:r>
        <w:rPr>
          <w:sz w:val="22"/>
          <w:szCs w:val="22"/>
        </w:rPr>
        <w:t>erire quanto "fa punteggio", rispetto ad altri profili “qualitativi”, più importanti, ma più difficili da quantificare ai fini degli indici, come l’aumento dell’adempimento</w:t>
      </w:r>
      <w:r>
        <w:t xml:space="preserve"> generato  dall’azione amministrativa, più difficile da quantificare. </w:t>
      </w:r>
    </w:p>
    <w:p w14:paraId="3E487E64" w14:textId="461054A9" w:rsidR="003B7460" w:rsidRDefault="003B7460">
      <w:pPr>
        <w:pStyle w:val="Testonotaapidipagina"/>
      </w:pPr>
    </w:p>
  </w:footnote>
  <w:footnote w:id="587">
    <w:p w14:paraId="218D8524" w14:textId="77777777" w:rsidR="003B7460" w:rsidRDefault="003B7460" w:rsidP="001F586B">
      <w:pPr>
        <w:pStyle w:val="Testonotaapidipagina"/>
      </w:pPr>
      <w:r>
        <w:rPr>
          <w:rStyle w:val="Rimandonotaapidipagina"/>
        </w:rPr>
        <w:footnoteRef/>
      </w:r>
      <w:r>
        <w:t xml:space="preserve"> ) Nella fiscalità valutativa ad iniziativa degli uffici, come indicato al par.1.11 la “comodità esattoriale” si presentava con richieste elevate a pochi contribuenti, dal che le vessazioni fiscali di cui parlano le antiche cronache, in quanto la perequazione comporta sempre costi amministrativi e persino politici, come indicato al par.1.11.</w:t>
      </w:r>
    </w:p>
  </w:footnote>
  <w:footnote w:id="588">
    <w:p w14:paraId="63BE337B" w14:textId="5AB52B23" w:rsidR="003B7460" w:rsidRDefault="003B7460" w:rsidP="00472C99">
      <w:pPr>
        <w:pStyle w:val="Testonotaapidipagina"/>
      </w:pPr>
      <w:r>
        <w:rPr>
          <w:rStyle w:val="Rimandonotaapidipagina"/>
        </w:rPr>
        <w:footnoteRef/>
      </w:r>
      <w:r>
        <w:t xml:space="preserve"> ) Persino webcam, senza bisogno di sopralluoghi fisici, consentirebbero il controllo del territorio, mentre oggi le moderne tecnologie sono utilizzate per “esportare la contabilità” (par.4.5),  dove essa non ha alcun senso economico.</w:t>
      </w:r>
    </w:p>
  </w:footnote>
  <w:footnote w:id="589">
    <w:p w14:paraId="5F9E8768" w14:textId="3CE73646" w:rsidR="003B7460" w:rsidRDefault="003B7460">
      <w:pPr>
        <w:pStyle w:val="Testonotaapidipagina"/>
      </w:pPr>
      <w:r>
        <w:rPr>
          <w:rStyle w:val="Rimandonotaapidipagina"/>
        </w:rPr>
        <w:footnoteRef/>
      </w:r>
      <w:r>
        <w:t xml:space="preserve"> ) P</w:t>
      </w:r>
      <w:r>
        <w:rPr>
          <w:sz w:val="22"/>
          <w:szCs w:val="22"/>
        </w:rPr>
        <w:t xml:space="preserve">ensate invece in una fuorviante e inconcludente prospettiva contabile (par.4.5 e 5.5).  </w:t>
      </w:r>
    </w:p>
  </w:footnote>
  <w:footnote w:id="590">
    <w:p w14:paraId="6088A023" w14:textId="77777777" w:rsidR="003B7460" w:rsidRPr="007F7EBF" w:rsidRDefault="003B7460" w:rsidP="00E00FD4">
      <w:pPr>
        <w:pStyle w:val="Testonotaapidipagina"/>
      </w:pPr>
      <w:r w:rsidRPr="007F7EBF">
        <w:rPr>
          <w:rStyle w:val="Rimandonotaapidipagina"/>
        </w:rPr>
        <w:footnoteRef/>
      </w:r>
      <w:r w:rsidRPr="007F7EBF">
        <w:t xml:space="preserve"> ) La gestione dei dati all’interno degli uffici tributari, è però ovviamente accompagnata da salvaguardi</w:t>
      </w:r>
      <w:r>
        <w:t>e contro</w:t>
      </w:r>
      <w:r w:rsidRPr="007F7EBF">
        <w:t xml:space="preserve"> eventual</w:t>
      </w:r>
      <w:r>
        <w:t>i</w:t>
      </w:r>
      <w:r w:rsidRPr="007F7EBF">
        <w:t xml:space="preserve"> abusi</w:t>
      </w:r>
      <w:r>
        <w:t xml:space="preserve">, </w:t>
      </w:r>
      <w:r w:rsidRPr="007F7EBF">
        <w:t xml:space="preserve">profilo </w:t>
      </w:r>
      <w:r>
        <w:t xml:space="preserve">tipico di una funzione </w:t>
      </w:r>
      <w:r w:rsidRPr="007F7EBF">
        <w:t xml:space="preserve">“non giurisdizionale”. </w:t>
      </w:r>
    </w:p>
  </w:footnote>
  <w:footnote w:id="591">
    <w:p w14:paraId="0235E8A1" w14:textId="2C6BDDC0" w:rsidR="003B7460" w:rsidRDefault="003B7460" w:rsidP="005E4982">
      <w:pPr>
        <w:pStyle w:val="Testonotaapidipagina"/>
      </w:pPr>
      <w:r>
        <w:rPr>
          <w:rStyle w:val="Rimandonotaapidipagina"/>
        </w:rPr>
        <w:footnoteRef/>
      </w:r>
      <w:r>
        <w:t xml:space="preserve">) Le informazioni permanenti sull’attività dovrebbero cioè essere separate da quelle relative ai dati dei singoli periodi di imposta, collocandole su un binario parallelo, anche se coordinato. Si eviterebbe così la confusa percezione delle dichiarazioni dei redditi come un archivio sulla condizione economica globale delle persone. </w:t>
      </w:r>
    </w:p>
  </w:footnote>
  <w:footnote w:id="592">
    <w:p w14:paraId="5D5FEFDF" w14:textId="1CC3DEE2" w:rsidR="003B7460" w:rsidRDefault="003B7460" w:rsidP="00081A77">
      <w:pPr>
        <w:pStyle w:val="Testonotaapidipagina"/>
      </w:pPr>
      <w:r>
        <w:rPr>
          <w:rStyle w:val="Rimandonotaapidipagina"/>
        </w:rPr>
        <w:footnoteRef/>
      </w:r>
      <w:r>
        <w:t xml:space="preserve"> ) Si pensi alla condizione patrimoniale di famiglia e ai redditi soggetti a regimi forfettari (par. 8.2) o sostitutivi (rendite finanziarie di cui al par. 8.5).</w:t>
      </w:r>
    </w:p>
  </w:footnote>
  <w:footnote w:id="593">
    <w:p w14:paraId="16EAA3A5" w14:textId="26F55B69" w:rsidR="003B7460" w:rsidRDefault="003B7460">
      <w:pPr>
        <w:pStyle w:val="Testonotaapidipagina"/>
      </w:pPr>
      <w:r>
        <w:rPr>
          <w:rStyle w:val="Rimandonotaapidipagina"/>
        </w:rPr>
        <w:footnoteRef/>
      </w:r>
      <w:r>
        <w:t xml:space="preserve"> ) Par.1.4 sul “sistema a ripartizione”. </w:t>
      </w:r>
    </w:p>
  </w:footnote>
  <w:footnote w:id="594">
    <w:p w14:paraId="352F36B3" w14:textId="489DCC26" w:rsidR="003B7460" w:rsidRDefault="003B7460" w:rsidP="00081A77">
      <w:pPr>
        <w:pStyle w:val="Testonotaapidipagina"/>
      </w:pPr>
      <w:r>
        <w:rPr>
          <w:rStyle w:val="Rimandonotaapidipagina"/>
        </w:rPr>
        <w:footnoteRef/>
      </w:r>
      <w:r>
        <w:t xml:space="preserve"> ) Una qualche “accessibilità sociale”</w:t>
      </w:r>
      <w:r>
        <w:rPr>
          <w:sz w:val="22"/>
          <w:szCs w:val="22"/>
        </w:rPr>
        <w:t xml:space="preserve"> a questo materiale servirebbe a prevenire gli abusi che potenzialmente vi si connettono</w:t>
      </w:r>
      <w:r>
        <w:t>, richiamando il  controllo sociale reciproco tipico della fiscalità valutativa preindustriale (che riprenderemo anche al par.6.5 sulla trasparenza delle rideterminazioni della ricchezza in sede di contenzioso amministrativo).</w:t>
      </w:r>
    </w:p>
  </w:footnote>
  <w:footnote w:id="595">
    <w:p w14:paraId="15F54695" w14:textId="78C69DE0" w:rsidR="003B7460" w:rsidRDefault="003B7460">
      <w:pPr>
        <w:pStyle w:val="Testonotaapidipagina"/>
      </w:pPr>
      <w:r>
        <w:rPr>
          <w:rStyle w:val="Rimandonotaapidipagina"/>
        </w:rPr>
        <w:footnoteRef/>
      </w:r>
      <w:r>
        <w:t xml:space="preserve"> ) L</w:t>
      </w:r>
      <w:r>
        <w:rPr>
          <w:sz w:val="22"/>
          <w:szCs w:val="22"/>
        </w:rPr>
        <w:t xml:space="preserve">a prima “visita” non seguita da rilievi non costituisce una patente di correttezza fiscale, </w:t>
      </w:r>
      <w:r>
        <w:t>come nell’odierno frequente atteggiamento che considera una ispezione senza rilievi come una patente di correttezza fiscale; ciò oggi spinge gli uffici a fare un rilievo per ogni controllo, diminuendo la percezione della funzione tributaria, ed aumentandone il formalismo fiscalistico.</w:t>
      </w:r>
      <w:r w:rsidRPr="004B2D29">
        <w:rPr>
          <w:sz w:val="22"/>
          <w:szCs w:val="22"/>
        </w:rPr>
        <w:t xml:space="preserve"> </w:t>
      </w:r>
      <w:r>
        <w:rPr>
          <w:sz w:val="22"/>
          <w:szCs w:val="22"/>
        </w:rPr>
        <w:t>La mancanza di rilievi riflette invece solo altre priorità degli uffici, dove l’impegno si giustifica maggiormente.</w:t>
      </w:r>
    </w:p>
  </w:footnote>
  <w:footnote w:id="596">
    <w:p w14:paraId="33AA4FB1" w14:textId="649B3FBF" w:rsidR="003B7460" w:rsidRDefault="003B7460" w:rsidP="00BD550C">
      <w:pPr>
        <w:autoSpaceDE w:val="0"/>
        <w:autoSpaceDN w:val="0"/>
        <w:adjustRightInd w:val="0"/>
        <w:rPr>
          <w:sz w:val="20"/>
          <w:szCs w:val="20"/>
        </w:rPr>
      </w:pPr>
      <w:r>
        <w:rPr>
          <w:rStyle w:val="Rimandonotaapidipagina"/>
          <w:sz w:val="20"/>
          <w:szCs w:val="20"/>
        </w:rPr>
        <w:footnoteRef/>
      </w:r>
      <w:r>
        <w:rPr>
          <w:sz w:val="20"/>
          <w:szCs w:val="20"/>
        </w:rPr>
        <w:t xml:space="preserve">) </w:t>
      </w:r>
      <w:r>
        <w:rPr>
          <w:sz w:val="22"/>
          <w:szCs w:val="22"/>
        </w:rPr>
        <w:t xml:space="preserve">Presenti anche negli attuali criteri selettivi per i controlli, in quanto </w:t>
      </w:r>
      <w:r>
        <w:rPr>
          <w:sz w:val="20"/>
          <w:szCs w:val="20"/>
        </w:rPr>
        <w:t xml:space="preserve">le funzioni pubbliche, e di certo quelle non giurisdizionali (par. 1.3), comportano sempre valutazioni discrezionali, anche solo nell’allocare risorse scarse, di tempi e di uomini. </w:t>
      </w:r>
    </w:p>
  </w:footnote>
  <w:footnote w:id="597">
    <w:p w14:paraId="77A1FA6D" w14:textId="28D5CA8B" w:rsidR="003B7460" w:rsidRDefault="003B7460">
      <w:pPr>
        <w:pStyle w:val="Testonotaapidipagina"/>
      </w:pPr>
      <w:r>
        <w:rPr>
          <w:rStyle w:val="Rimandonotaapidipagina"/>
        </w:rPr>
        <w:footnoteRef/>
      </w:r>
      <w:r>
        <w:t xml:space="preserve"> ) </w:t>
      </w:r>
      <w:r>
        <w:rPr>
          <w:bCs/>
          <w:sz w:val="22"/>
          <w:szCs w:val="22"/>
        </w:rPr>
        <w:t>In relazione all’atteggiamento collaborativo o ostruzionistico sarebbero graduate anche le sanzioni, non più predeterminate percentualmente, col meccanicismo di cui al par.6.13.</w:t>
      </w:r>
    </w:p>
  </w:footnote>
  <w:footnote w:id="598">
    <w:p w14:paraId="011E1502" w14:textId="77777777" w:rsidR="003B7460" w:rsidRDefault="003B7460" w:rsidP="00081A77">
      <w:pPr>
        <w:pStyle w:val="Testonotaapidipagina"/>
      </w:pPr>
      <w:r>
        <w:rPr>
          <w:rStyle w:val="Rimandonotaapidipagina"/>
        </w:rPr>
        <w:footnoteRef/>
      </w:r>
      <w:r>
        <w:t xml:space="preserve"> ) Questa relativa abbondanza di personale sussiste anche perché l’elevata  esternalizzazione degli adempimenti fiscali sulle aziende ed i professionisti, libera risorse amministrative per i controlli. </w:t>
      </w:r>
    </w:p>
  </w:footnote>
  <w:footnote w:id="599">
    <w:p w14:paraId="5EEDAF3E" w14:textId="77777777" w:rsidR="003B7460" w:rsidRDefault="003B7460" w:rsidP="00600F41">
      <w:pPr>
        <w:pStyle w:val="Testonotaapidipagina"/>
      </w:pPr>
      <w:r>
        <w:rPr>
          <w:rStyle w:val="Rimandonotaapidipagina"/>
        </w:rPr>
        <w:footnoteRef/>
      </w:r>
      <w:r>
        <w:t xml:space="preserve"> Sarebbe da analizzare , in tesi di laurea o di dottorato, in quale misura le condizioni all’estero, meno traumatiche, dipendano dal maggior controllo valutativo del territorio, da parte degli uffici tributari, ovvero dal minor numero di lavoratori indipendenti al consumo finale. </w:t>
      </w:r>
    </w:p>
  </w:footnote>
  <w:footnote w:id="600">
    <w:p w14:paraId="65E823C0" w14:textId="7C6DAC15" w:rsidR="003B7460" w:rsidRDefault="003B7460" w:rsidP="008C53DF">
      <w:pPr>
        <w:pStyle w:val="Testonotaapidipagina"/>
      </w:pPr>
      <w:r>
        <w:rPr>
          <w:rStyle w:val="Rimandonotaapidipagina"/>
        </w:rPr>
        <w:footnoteRef/>
      </w:r>
      <w:r>
        <w:t xml:space="preserve"> ) Si ricordi l</w:t>
      </w:r>
      <w:r w:rsidRPr="007F7EBF">
        <w:t xml:space="preserve">a “legge di Hume” </w:t>
      </w:r>
      <w:r>
        <w:t xml:space="preserve">(par.4.7) </w:t>
      </w:r>
      <w:r w:rsidRPr="007F7EBF">
        <w:t xml:space="preserve">secondo cui le </w:t>
      </w:r>
      <w:r>
        <w:t xml:space="preserve">scale di valori non </w:t>
      </w:r>
      <w:r w:rsidRPr="007F7EBF">
        <w:t xml:space="preserve">sono </w:t>
      </w:r>
      <w:r>
        <w:t>dimostrabili razionalmente</w:t>
      </w:r>
      <w:r w:rsidRPr="007F7EBF">
        <w:t>.</w:t>
      </w:r>
    </w:p>
  </w:footnote>
  <w:footnote w:id="601">
    <w:p w14:paraId="438636D8" w14:textId="7AE2E801" w:rsidR="003B7460" w:rsidRPr="007F7EBF" w:rsidRDefault="003B7460" w:rsidP="00C44680">
      <w:pPr>
        <w:pStyle w:val="Testonotaapidipagina"/>
      </w:pPr>
      <w:r w:rsidRPr="007F7EBF">
        <w:rPr>
          <w:rStyle w:val="Rimandonotaapidipagina"/>
        </w:rPr>
        <w:footnoteRef/>
      </w:r>
      <w:r w:rsidRPr="007F7EBF">
        <w:t xml:space="preserve"> ) </w:t>
      </w:r>
      <w:r>
        <w:t>Questo vale per tutte le funzioni, giurisdizionali e non, perché p</w:t>
      </w:r>
      <w:r w:rsidRPr="007F7EBF">
        <w:t>rima si deve conoscere, e poi</w:t>
      </w:r>
      <w:r>
        <w:t xml:space="preserve"> </w:t>
      </w:r>
      <w:r w:rsidRPr="007F7EBF">
        <w:t>esercitare la funzione, da quella giurisdizionale a quella</w:t>
      </w:r>
      <w:r w:rsidRPr="007F7EBF">
        <w:rPr>
          <w:bCs/>
        </w:rPr>
        <w:t xml:space="preserve"> didattica, ambientale, sanitaria o -nel nostro caso- tributaria. </w:t>
      </w:r>
      <w:r>
        <w:rPr>
          <w:bCs/>
          <w:sz w:val="22"/>
          <w:szCs w:val="22"/>
        </w:rPr>
        <w:t>La distinzione t</w:t>
      </w:r>
      <w:r w:rsidRPr="007F7EBF">
        <w:rPr>
          <w:sz w:val="22"/>
          <w:szCs w:val="22"/>
        </w:rPr>
        <w:t>ra questioni di fatto</w:t>
      </w:r>
      <w:r>
        <w:rPr>
          <w:sz w:val="22"/>
          <w:szCs w:val="22"/>
        </w:rPr>
        <w:t xml:space="preserve"> e </w:t>
      </w:r>
      <w:r w:rsidRPr="007F7EBF">
        <w:rPr>
          <w:sz w:val="22"/>
          <w:szCs w:val="22"/>
        </w:rPr>
        <w:t>di diritto</w:t>
      </w:r>
      <w:r>
        <w:rPr>
          <w:sz w:val="22"/>
          <w:szCs w:val="22"/>
        </w:rPr>
        <w:t xml:space="preserve"> è il presupposto per capirne le varie interdipendenze</w:t>
      </w:r>
      <w:r>
        <w:t>, cui si potrebbero dedicare tesi di laurea o dottorato davvero di “teoria pura del diritto”, in quanto la questione è relativamente immune da contingenze normative (par.4.3). Un esempio di interdipendenza tra</w:t>
      </w:r>
      <w:r w:rsidRPr="007F7EBF">
        <w:t xml:space="preserve"> profili valoriali </w:t>
      </w:r>
      <w:r>
        <w:t xml:space="preserve">e </w:t>
      </w:r>
      <w:r w:rsidRPr="007F7EBF">
        <w:t>conoscitivi</w:t>
      </w:r>
      <w:r>
        <w:t xml:space="preserve"> è l’”in </w:t>
      </w:r>
      <w:proofErr w:type="spellStart"/>
      <w:r>
        <w:t>dubio</w:t>
      </w:r>
      <w:proofErr w:type="spellEnd"/>
      <w:r>
        <w:t xml:space="preserve"> pro reo”, dove p</w:t>
      </w:r>
      <w:r w:rsidRPr="007F7EBF">
        <w:t xml:space="preserve">referire un colpevole assolto </w:t>
      </w:r>
      <w:r>
        <w:t>a</w:t>
      </w:r>
      <w:r w:rsidRPr="007F7EBF">
        <w:t xml:space="preserve"> un innocente condannato è un giudizio di valore utilizzato per risolvere un</w:t>
      </w:r>
      <w:r>
        <w:t>’i</w:t>
      </w:r>
      <w:r w:rsidRPr="007F7EBF">
        <w:t>ncertezza conoscitiva.</w:t>
      </w:r>
      <w:r>
        <w:t xml:space="preserve"> La fondatezza </w:t>
      </w:r>
      <w:r w:rsidRPr="007F7EBF">
        <w:rPr>
          <w:sz w:val="22"/>
          <w:szCs w:val="22"/>
        </w:rPr>
        <w:t>prospettica di una certa ipotesi</w:t>
      </w:r>
      <w:r>
        <w:rPr>
          <w:sz w:val="22"/>
          <w:szCs w:val="22"/>
        </w:rPr>
        <w:t xml:space="preserve"> </w:t>
      </w:r>
      <w:r w:rsidRPr="007F7EBF">
        <w:rPr>
          <w:sz w:val="22"/>
          <w:szCs w:val="22"/>
        </w:rPr>
        <w:t>preliminare, denominat</w:t>
      </w:r>
      <w:r>
        <w:rPr>
          <w:sz w:val="22"/>
          <w:szCs w:val="22"/>
        </w:rPr>
        <w:t>a</w:t>
      </w:r>
      <w:r w:rsidRPr="007F7EBF">
        <w:rPr>
          <w:sz w:val="22"/>
          <w:szCs w:val="22"/>
        </w:rPr>
        <w:t xml:space="preserve"> “indizio” o “sospetto”, giustifica misure cautelari, come </w:t>
      </w:r>
      <w:r>
        <w:rPr>
          <w:sz w:val="22"/>
          <w:szCs w:val="22"/>
        </w:rPr>
        <w:t xml:space="preserve">carcerazione, </w:t>
      </w:r>
      <w:r w:rsidRPr="007F7EBF">
        <w:rPr>
          <w:sz w:val="22"/>
          <w:szCs w:val="22"/>
        </w:rPr>
        <w:t>sequestri, fermi, etc</w:t>
      </w:r>
      <w:r>
        <w:rPr>
          <w:sz w:val="22"/>
          <w:szCs w:val="22"/>
        </w:rPr>
        <w:t xml:space="preserve">. </w:t>
      </w:r>
      <w:r w:rsidRPr="007F7EBF">
        <w:t>A</w:t>
      </w:r>
      <w:r>
        <w:t xml:space="preserve">lla distinzione tra le due questioni </w:t>
      </w:r>
      <w:r w:rsidRPr="007F7EBF">
        <w:t>corrisponde la nota dicotomia tra “fondatezza” riferita al fatto, e</w:t>
      </w:r>
      <w:r>
        <w:t xml:space="preserve"> </w:t>
      </w:r>
      <w:r w:rsidRPr="007F7EBF">
        <w:t>“legittimità” relativa al suo inquadramento</w:t>
      </w:r>
      <w:r>
        <w:t>, logicamente successivo,</w:t>
      </w:r>
      <w:r w:rsidRPr="007F7EBF">
        <w:t xml:space="preserve"> in valori, principi o regole.</w:t>
      </w:r>
    </w:p>
  </w:footnote>
  <w:footnote w:id="602">
    <w:p w14:paraId="3D486816" w14:textId="77777777" w:rsidR="003B7460" w:rsidRPr="007F7EBF" w:rsidRDefault="003B7460" w:rsidP="00DB3223">
      <w:pPr>
        <w:pStyle w:val="Testonotaapidipagina"/>
      </w:pPr>
      <w:r w:rsidRPr="007F7EBF">
        <w:rPr>
          <w:rStyle w:val="Rimandonotaapidipagina"/>
        </w:rPr>
        <w:footnoteRef/>
      </w:r>
      <w:r w:rsidRPr="007F7EBF">
        <w:t xml:space="preserve"> ) </w:t>
      </w:r>
      <w:r>
        <w:t>Usare la parola “prova” in entrambe le accezioni, come avviene n</w:t>
      </w:r>
      <w:r w:rsidRPr="007F7EBF">
        <w:t xml:space="preserve">ella </w:t>
      </w:r>
      <w:r>
        <w:t>lingua italiana, può provocare alcuni equivoci (dietro i quali si intravede comunque il timore di valutare, di esporsi in un ragionamento probabilistico)</w:t>
      </w:r>
      <w:r w:rsidRPr="007F7EBF">
        <w:t>.</w:t>
      </w:r>
    </w:p>
  </w:footnote>
  <w:footnote w:id="603">
    <w:p w14:paraId="681AF567" w14:textId="77777777" w:rsidR="003B7460" w:rsidRPr="007F7EBF" w:rsidRDefault="003B7460" w:rsidP="006D012F">
      <w:pPr>
        <w:pStyle w:val="Testonotaapidipagina"/>
      </w:pPr>
      <w:r w:rsidRPr="007F7EBF">
        <w:rPr>
          <w:rStyle w:val="Rimandonotaapidipagina"/>
        </w:rPr>
        <w:footnoteRef/>
      </w:r>
      <w:r w:rsidRPr="007F7EBF">
        <w:t xml:space="preserve"> ) E’ infatti relativamente inverosimile in un contesto organizzativo pluripersonale che qualcuno si esponga nell’inventare circostanze materialmente false solo per svolgere meglio i propri compiti lavorativi. </w:t>
      </w:r>
    </w:p>
  </w:footnote>
  <w:footnote w:id="604">
    <w:p w14:paraId="1EE54F5E" w14:textId="3C77DD06" w:rsidR="003B7460" w:rsidRPr="007F7EBF" w:rsidRDefault="003B7460" w:rsidP="00F009B0">
      <w:pPr>
        <w:pStyle w:val="Testonotaapidipagina"/>
      </w:pPr>
      <w:r w:rsidRPr="007F7EBF">
        <w:rPr>
          <w:rStyle w:val="Rimandonotaapidipagina"/>
        </w:rPr>
        <w:footnoteRef/>
      </w:r>
      <w:r w:rsidRPr="007F7EBF">
        <w:t xml:space="preserve"> ) </w:t>
      </w:r>
      <w:r>
        <w:t>Spesso la pubblica opinione si appassiona a questioni di fatto</w:t>
      </w:r>
      <w:r w:rsidRPr="007F7EBF">
        <w:t xml:space="preserve"> sulla colpevolezza o l’innocenza di imputati di omicidio in casi giudiziari particolarmente noti.  </w:t>
      </w:r>
      <w:r>
        <w:t xml:space="preserve">L’importanza del </w:t>
      </w:r>
      <w:r>
        <w:rPr>
          <w:bCs/>
        </w:rPr>
        <w:t xml:space="preserve">bagaglio culturale nell’interpretare le fonti materiali di conoscenza (la c.d. </w:t>
      </w:r>
      <w:proofErr w:type="spellStart"/>
      <w:r w:rsidRPr="007E221E">
        <w:rPr>
          <w:bCs/>
          <w:i/>
        </w:rPr>
        <w:t>evidence</w:t>
      </w:r>
      <w:proofErr w:type="spellEnd"/>
      <w:r>
        <w:rPr>
          <w:bCs/>
        </w:rPr>
        <w:t xml:space="preserve">, cfr. infra) giustifica </w:t>
      </w:r>
      <w:r w:rsidRPr="007F7EBF">
        <w:t>l'espressione "noi vediamo con quello che sappiamo”.</w:t>
      </w:r>
    </w:p>
  </w:footnote>
  <w:footnote w:id="605">
    <w:p w14:paraId="6F36E1BE" w14:textId="10D2F57D" w:rsidR="003B7460" w:rsidRPr="007F7EBF" w:rsidRDefault="003B7460" w:rsidP="00CD4C16">
      <w:pPr>
        <w:pStyle w:val="Testonotaapidipagina"/>
      </w:pPr>
      <w:r w:rsidRPr="007F7EBF">
        <w:rPr>
          <w:rStyle w:val="Rimandonotaapidipagina"/>
        </w:rPr>
        <w:footnoteRef/>
      </w:r>
      <w:r w:rsidRPr="007F7EBF">
        <w:t xml:space="preserve"> ) </w:t>
      </w:r>
      <w:r>
        <w:rPr>
          <w:sz w:val="22"/>
          <w:szCs w:val="22"/>
        </w:rPr>
        <w:t xml:space="preserve">Presente anche nel </w:t>
      </w:r>
      <w:r w:rsidRPr="00DB3223">
        <w:rPr>
          <w:sz w:val="22"/>
          <w:szCs w:val="22"/>
        </w:rPr>
        <w:t>giudizio di diritto</w:t>
      </w:r>
      <w:r>
        <w:t xml:space="preserve">, che però riguarda “regole”, mentre quello di fatto riguarda le prove in senso materiale. </w:t>
      </w:r>
      <w:r w:rsidRPr="007F7EBF">
        <w:t xml:space="preserve"> </w:t>
      </w:r>
    </w:p>
  </w:footnote>
  <w:footnote w:id="606">
    <w:p w14:paraId="5E2298F2" w14:textId="574ED3FE" w:rsidR="003B7460" w:rsidRPr="007F7EBF" w:rsidRDefault="003B7460" w:rsidP="00F009B0">
      <w:pPr>
        <w:pStyle w:val="Testonotaapidipagina"/>
      </w:pPr>
      <w:r w:rsidRPr="007F7EBF">
        <w:rPr>
          <w:rStyle w:val="Rimandonotaapidipagina"/>
        </w:rPr>
        <w:footnoteRef/>
      </w:r>
      <w:r w:rsidRPr="007F7EBF">
        <w:t xml:space="preserve"> ) Le riflessioni di filosofia della conoscenza, riflesse anche nei più vari settori del diritto, concordano che “il fatto è un giudizio”</w:t>
      </w:r>
      <w:r>
        <w:t xml:space="preserve">; esso è </w:t>
      </w:r>
      <w:r>
        <w:rPr>
          <w:sz w:val="22"/>
          <w:szCs w:val="22"/>
        </w:rPr>
        <w:t xml:space="preserve">riferibile a </w:t>
      </w:r>
      <w:r w:rsidRPr="007F7EBF">
        <w:t>una realtà storica</w:t>
      </w:r>
      <w:r>
        <w:t xml:space="preserve"> o di fantasia</w:t>
      </w:r>
      <w:r w:rsidRPr="007F7EBF">
        <w:t>, come un romanzo</w:t>
      </w:r>
      <w:r>
        <w:t xml:space="preserve"> </w:t>
      </w:r>
      <w:r w:rsidRPr="007F7EBF">
        <w:t>o una leggenda</w:t>
      </w:r>
      <w:r>
        <w:t>; a</w:t>
      </w:r>
      <w:r w:rsidRPr="007F7EBF">
        <w:t>d esempio che Ettore uccise Patroclo è un fatto di realtà, ma solo nell’Iliade</w:t>
      </w:r>
      <w:r>
        <w:t xml:space="preserve">, che potrebbe essere </w:t>
      </w:r>
      <w:r w:rsidRPr="007F7EBF">
        <w:t>giuridicamente rilevant</w:t>
      </w:r>
      <w:r>
        <w:t>e ai fini dell’impugnazione di un</w:t>
      </w:r>
      <w:r w:rsidRPr="007F7EBF">
        <w:t xml:space="preserve">a bocciatura </w:t>
      </w:r>
      <w:r>
        <w:t xml:space="preserve">all’esame di maturità. </w:t>
      </w:r>
    </w:p>
  </w:footnote>
  <w:footnote w:id="607">
    <w:p w14:paraId="51B1B4FC" w14:textId="096FF422" w:rsidR="003B7460" w:rsidRPr="007F7EBF" w:rsidRDefault="003B7460" w:rsidP="00304A0F">
      <w:pPr>
        <w:pStyle w:val="Testonotaapidipagina"/>
      </w:pPr>
      <w:r w:rsidRPr="007F7EBF">
        <w:rPr>
          <w:rStyle w:val="Rimandonotaapidipagina"/>
        </w:rPr>
        <w:footnoteRef/>
      </w:r>
      <w:r w:rsidRPr="007F7EBF">
        <w:t xml:space="preserve"> ) </w:t>
      </w:r>
      <w:r>
        <w:t>Il dubbio non riguarda cioè un giudizio di valore sull’affermazione di cui si discute</w:t>
      </w:r>
      <w:r w:rsidRPr="007F7EBF">
        <w:t>.</w:t>
      </w:r>
      <w:r>
        <w:t xml:space="preserve"> Alle osservazioni </w:t>
      </w:r>
      <w:r w:rsidRPr="007F7EBF">
        <w:t>sofisti</w:t>
      </w:r>
      <w:r>
        <w:t>che</w:t>
      </w:r>
      <w:r w:rsidRPr="007F7EBF">
        <w:t xml:space="preserve"> secondo cui non conosciamo la realtà, ma le nostre percezioni della medesima, si potrebbe </w:t>
      </w:r>
      <w:r>
        <w:t>rispondere con</w:t>
      </w:r>
      <w:r w:rsidRPr="007F7EBF">
        <w:t xml:space="preserve"> un </w:t>
      </w:r>
      <w:r>
        <w:t>calcio negli stinchi,</w:t>
      </w:r>
      <w:r w:rsidRPr="007F7EBF">
        <w:t xml:space="preserve"> dicendo poi che non hanno sentito dolore, ma solo la sua percezione convenzionale.</w:t>
      </w:r>
    </w:p>
  </w:footnote>
  <w:footnote w:id="608">
    <w:p w14:paraId="60AA3098" w14:textId="6BF81A12" w:rsidR="003B7460" w:rsidRPr="007F7EBF" w:rsidRDefault="003B7460" w:rsidP="00C204D5">
      <w:pPr>
        <w:pStyle w:val="Testonotaapidipagina"/>
      </w:pPr>
      <w:r w:rsidRPr="007F7EBF">
        <w:rPr>
          <w:rStyle w:val="Rimandonotaapidipagina"/>
        </w:rPr>
        <w:footnoteRef/>
      </w:r>
      <w:r w:rsidRPr="007F7EBF">
        <w:t xml:space="preserve"> ) </w:t>
      </w:r>
      <w:r>
        <w:t xml:space="preserve">Si tratta di giudizi riguardanti corrispettivi contrattuali ipotetici, abbinabili ad una certa attività, non le astrazioni economiche di cui al par.1.8, che subentrano in un secondo tempo e in sé (ripetiamo) non sono oggetto di prova. Si tratta di “valori economici” suscettibili di conoscenza empirica oggettiva, per quando (come di consueto) probabilistica. </w:t>
      </w:r>
      <w:r w:rsidRPr="007F7EBF">
        <w:t xml:space="preserve">Stimare quanto incassa un pasticcere o quanto può rendere un frutteto riguarda “valori” economici, ma non </w:t>
      </w:r>
      <w:r w:rsidRPr="007F7EBF">
        <w:rPr>
          <w:i/>
        </w:rPr>
        <w:t>scale di valori</w:t>
      </w:r>
      <w:r>
        <w:t>, oggettivamente indimostrabili, secondo la più volte richiamata “legge di Hume”</w:t>
      </w:r>
      <w:r w:rsidRPr="007F7EBF">
        <w:t>.</w:t>
      </w:r>
      <w:r>
        <w:t xml:space="preserve"> </w:t>
      </w:r>
    </w:p>
  </w:footnote>
  <w:footnote w:id="609">
    <w:p w14:paraId="357ECAE7" w14:textId="4DB09AE2" w:rsidR="003B7460" w:rsidRPr="007F7EBF" w:rsidRDefault="003B7460" w:rsidP="00A2255C">
      <w:pPr>
        <w:pStyle w:val="Testonotaapidipagina"/>
      </w:pPr>
      <w:r w:rsidRPr="007F7EBF">
        <w:rPr>
          <w:rStyle w:val="Rimandonotaapidipagina"/>
        </w:rPr>
        <w:footnoteRef/>
      </w:r>
      <w:r w:rsidRPr="007F7EBF">
        <w:t xml:space="preserve"> ) </w:t>
      </w:r>
      <w:r w:rsidRPr="007F7EBF">
        <w:rPr>
          <w:bCs/>
          <w:sz w:val="22"/>
          <w:szCs w:val="22"/>
        </w:rPr>
        <w:t xml:space="preserve">Questa </w:t>
      </w:r>
      <w:proofErr w:type="spellStart"/>
      <w:r w:rsidRPr="007F7EBF">
        <w:rPr>
          <w:bCs/>
          <w:sz w:val="22"/>
          <w:szCs w:val="22"/>
        </w:rPr>
        <w:t>valutatività</w:t>
      </w:r>
      <w:proofErr w:type="spellEnd"/>
      <w:r w:rsidRPr="007F7EBF">
        <w:rPr>
          <w:bCs/>
          <w:sz w:val="22"/>
          <w:szCs w:val="22"/>
        </w:rPr>
        <w:t xml:space="preserve"> era addirittu</w:t>
      </w:r>
      <w:r>
        <w:rPr>
          <w:bCs/>
          <w:sz w:val="22"/>
          <w:szCs w:val="22"/>
        </w:rPr>
        <w:t xml:space="preserve">ra l’unico modo per determinare gli imponibili, </w:t>
      </w:r>
      <w:r w:rsidRPr="007F7EBF">
        <w:rPr>
          <w:bCs/>
          <w:sz w:val="22"/>
          <w:szCs w:val="22"/>
        </w:rPr>
        <w:t>prima d</w:t>
      </w:r>
      <w:r>
        <w:rPr>
          <w:bCs/>
          <w:sz w:val="22"/>
          <w:szCs w:val="22"/>
        </w:rPr>
        <w:t xml:space="preserve">i usare la documentazione aziendale. E’ la matrice della </w:t>
      </w:r>
      <w:r>
        <w:t xml:space="preserve">tradizionale </w:t>
      </w:r>
      <w:r w:rsidRPr="007F7EBF">
        <w:t>natura “contenziosa”</w:t>
      </w:r>
      <w:r>
        <w:t xml:space="preserve"> </w:t>
      </w:r>
      <w:r w:rsidRPr="007F7EBF">
        <w:t>del</w:t>
      </w:r>
      <w:r w:rsidRPr="007F7EBF">
        <w:rPr>
          <w:bCs/>
        </w:rPr>
        <w:t>la funzione tributari</w:t>
      </w:r>
      <w:r>
        <w:rPr>
          <w:bCs/>
        </w:rPr>
        <w:t>a (par.1.4 e 6.5)</w:t>
      </w:r>
      <w:r w:rsidRPr="007F7EBF">
        <w:rPr>
          <w:bCs/>
        </w:rPr>
        <w:t xml:space="preserve"> </w:t>
      </w:r>
      <w:r w:rsidRPr="007F7EBF">
        <w:t xml:space="preserve">Ancora oggi questi “fatti valutativi” sono importanti </w:t>
      </w:r>
      <w:r>
        <w:t xml:space="preserve">sia sulla ricchezza non raggiunta dalle aziende, sia su </w:t>
      </w:r>
      <w:r w:rsidRPr="007F7EBF">
        <w:t xml:space="preserve">nicchie </w:t>
      </w:r>
      <w:r>
        <w:t>significativa</w:t>
      </w:r>
      <w:r w:rsidRPr="007F7EBF">
        <w:t xml:space="preserve"> della </w:t>
      </w:r>
      <w:r>
        <w:t xml:space="preserve">determinazione degli imponibili attraverso la contabilità </w:t>
      </w:r>
      <w:r w:rsidRPr="007F7EBF">
        <w:t xml:space="preserve"> aziendale, come </w:t>
      </w:r>
      <w:r>
        <w:t xml:space="preserve">le valutazioni di bilancio (par.7.14 ss.) e </w:t>
      </w:r>
      <w:r w:rsidRPr="007F7EBF">
        <w:t>i prezzi di trasferimento nei gruppi multinazionali su cui par.7.19.</w:t>
      </w:r>
    </w:p>
  </w:footnote>
  <w:footnote w:id="610">
    <w:p w14:paraId="4103DCA3" w14:textId="15F2711D" w:rsidR="003B7460" w:rsidRDefault="003B7460" w:rsidP="00142118">
      <w:pPr>
        <w:pStyle w:val="Testonotaapidipagina"/>
      </w:pPr>
      <w:r>
        <w:rPr>
          <w:rStyle w:val="Rimandonotaapidipagina"/>
        </w:rPr>
        <w:footnoteRef/>
      </w:r>
      <w:r>
        <w:t xml:space="preserve"> ) Per come è conosciuto al diritto dei privati il documento “fa prova” perché redatto da entrambe le parti (atto pubblico) o fa prova contro il redattore, a favore della sua controparte. E’ una logica non meccanicamente trasferibile nella funzione tributaria, come vedremo al par.6.2 sull’onere della prova.</w:t>
      </w:r>
      <w:r w:rsidRPr="0008473B">
        <w:t xml:space="preserve"> </w:t>
      </w:r>
    </w:p>
  </w:footnote>
  <w:footnote w:id="611">
    <w:p w14:paraId="243D96FA" w14:textId="4D638909" w:rsidR="003B7460" w:rsidRPr="007F7EBF" w:rsidRDefault="003B7460" w:rsidP="00CA6179">
      <w:pPr>
        <w:pStyle w:val="Testonotaapidipagina"/>
      </w:pPr>
      <w:r w:rsidRPr="007F7EBF">
        <w:rPr>
          <w:rStyle w:val="Rimandonotaapidipagina"/>
        </w:rPr>
        <w:footnoteRef/>
      </w:r>
      <w:r w:rsidRPr="007F7EBF">
        <w:t xml:space="preserve"> ) </w:t>
      </w:r>
      <w:r>
        <w:t xml:space="preserve">Il c.d. </w:t>
      </w:r>
      <w:r w:rsidRPr="007F7EBF">
        <w:t xml:space="preserve">“libero convincimento”, </w:t>
      </w:r>
      <w:r>
        <w:t>riferito a</w:t>
      </w:r>
      <w:r w:rsidRPr="007F7EBF">
        <w:t xml:space="preserve">l  giudice (nel medioevo si diceva “quaestio </w:t>
      </w:r>
      <w:proofErr w:type="spellStart"/>
      <w:r w:rsidRPr="007F7EBF">
        <w:t>facti</w:t>
      </w:r>
      <w:proofErr w:type="spellEnd"/>
      <w:r w:rsidRPr="007F7EBF">
        <w:t xml:space="preserve"> est in arbitrio </w:t>
      </w:r>
      <w:proofErr w:type="spellStart"/>
      <w:r w:rsidRPr="007F7EBF">
        <w:t>iudicis</w:t>
      </w:r>
      <w:proofErr w:type="spellEnd"/>
      <w:r w:rsidRPr="007F7EBF">
        <w:t xml:space="preserve">”), </w:t>
      </w:r>
      <w:r>
        <w:t xml:space="preserve">acquisisce </w:t>
      </w:r>
      <w:r w:rsidRPr="007F7EBF">
        <w:t xml:space="preserve">il fatto” attraverso un contraddittorio processuale, come conferma il brocardo </w:t>
      </w:r>
      <w:r w:rsidRPr="007F7EBF">
        <w:rPr>
          <w:i/>
        </w:rPr>
        <w:t xml:space="preserve">narra </w:t>
      </w:r>
      <w:proofErr w:type="spellStart"/>
      <w:r w:rsidRPr="007F7EBF">
        <w:rPr>
          <w:i/>
        </w:rPr>
        <w:t>mihi</w:t>
      </w:r>
      <w:proofErr w:type="spellEnd"/>
      <w:r w:rsidRPr="007F7EBF">
        <w:rPr>
          <w:i/>
        </w:rPr>
        <w:t xml:space="preserve"> factum </w:t>
      </w:r>
      <w:proofErr w:type="spellStart"/>
      <w:r w:rsidRPr="007F7EBF">
        <w:rPr>
          <w:i/>
        </w:rPr>
        <w:t>tibi</w:t>
      </w:r>
      <w:proofErr w:type="spellEnd"/>
      <w:r w:rsidRPr="007F7EBF">
        <w:rPr>
          <w:i/>
        </w:rPr>
        <w:t xml:space="preserve"> </w:t>
      </w:r>
      <w:proofErr w:type="spellStart"/>
      <w:r w:rsidRPr="007F7EBF">
        <w:rPr>
          <w:i/>
        </w:rPr>
        <w:t>dabo</w:t>
      </w:r>
      <w:proofErr w:type="spellEnd"/>
      <w:r w:rsidRPr="007F7EBF">
        <w:rPr>
          <w:i/>
        </w:rPr>
        <w:t xml:space="preserve"> ius </w:t>
      </w:r>
      <w:r w:rsidRPr="007F7EBF">
        <w:t xml:space="preserve">. </w:t>
      </w:r>
      <w:r>
        <w:t xml:space="preserve">Chi svolge funzioni </w:t>
      </w:r>
      <w:r w:rsidRPr="007F7EBF">
        <w:t xml:space="preserve">non giurisdizionali </w:t>
      </w:r>
      <w:r>
        <w:t>è</w:t>
      </w:r>
      <w:r w:rsidRPr="007F7EBF">
        <w:t xml:space="preserve"> invece costrett</w:t>
      </w:r>
      <w:r>
        <w:t>o</w:t>
      </w:r>
      <w:r w:rsidRPr="007F7EBF">
        <w:t xml:space="preserve"> ad un ruolo più attivo, </w:t>
      </w:r>
      <w:r>
        <w:t xml:space="preserve">decidendo a che punto l’empirismo probabilistico è sufficiente per una certa decisione; ciò riguarda anche </w:t>
      </w:r>
      <w:r w:rsidRPr="007F7EBF">
        <w:t>la magistratura inquirente (in Italia la Procura della Repubblica), come istituzione preposta alla repressione e alla difesa sociale (profili che come vedremo al par.6.14 non coincidono) attraverso le istituzioni di polizia.</w:t>
      </w:r>
      <w:r>
        <w:t xml:space="preserve"> </w:t>
      </w:r>
      <w:r w:rsidRPr="007F7EBF">
        <w:t>Solo il normativismo più esasperato (par.4.3) è arrivato a pensare che persino i “criteri del conoscere” dovessero essere “normativi”  (</w:t>
      </w:r>
      <w:proofErr w:type="spellStart"/>
      <w:r w:rsidRPr="007F7EBF">
        <w:t>cfr</w:t>
      </w:r>
      <w:proofErr w:type="spellEnd"/>
      <w:r w:rsidRPr="007F7EBF">
        <w:t xml:space="preserve"> le contestazioni di G. Calogero, La logica del giudice e il suo controllo in cassazione all’uso delle massime di esperienza, formulato da Stein, a fine ottocento</w:t>
      </w:r>
      <w:r>
        <w:t xml:space="preserve">, </w:t>
      </w:r>
      <w:r w:rsidRPr="007F7EBF">
        <w:t xml:space="preserve">in </w:t>
      </w:r>
      <w:proofErr w:type="spellStart"/>
      <w:r w:rsidRPr="007F7EBF">
        <w:rPr>
          <w:i/>
        </w:rPr>
        <w:t>Das</w:t>
      </w:r>
      <w:proofErr w:type="spellEnd"/>
      <w:r w:rsidRPr="007F7EBF">
        <w:rPr>
          <w:i/>
        </w:rPr>
        <w:t xml:space="preserve"> private </w:t>
      </w:r>
      <w:proofErr w:type="spellStart"/>
      <w:r w:rsidRPr="007F7EBF">
        <w:rPr>
          <w:i/>
        </w:rPr>
        <w:t>wissen</w:t>
      </w:r>
      <w:proofErr w:type="spellEnd"/>
      <w:r w:rsidRPr="007F7EBF">
        <w:rPr>
          <w:i/>
        </w:rPr>
        <w:t xml:space="preserve"> </w:t>
      </w:r>
      <w:proofErr w:type="spellStart"/>
      <w:r w:rsidRPr="007F7EBF">
        <w:rPr>
          <w:i/>
        </w:rPr>
        <w:t>des</w:t>
      </w:r>
      <w:proofErr w:type="spellEnd"/>
      <w:r w:rsidRPr="007F7EBF">
        <w:rPr>
          <w:i/>
        </w:rPr>
        <w:t xml:space="preserve"> </w:t>
      </w:r>
      <w:proofErr w:type="spellStart"/>
      <w:r w:rsidRPr="007F7EBF">
        <w:rPr>
          <w:i/>
        </w:rPr>
        <w:t>rechters</w:t>
      </w:r>
      <w:proofErr w:type="spellEnd"/>
      <w:r w:rsidRPr="007F7EBF">
        <w:t xml:space="preserve">). </w:t>
      </w:r>
      <w:r>
        <w:t xml:space="preserve">La riduttiva idea </w:t>
      </w:r>
      <w:r w:rsidRPr="00516778">
        <w:rPr>
          <w:i/>
        </w:rPr>
        <w:t>privatistico-giurisdizionale</w:t>
      </w:r>
      <w:r>
        <w:t xml:space="preserve"> </w:t>
      </w:r>
      <w:r w:rsidRPr="007F7EBF">
        <w:t xml:space="preserve">del diritto come </w:t>
      </w:r>
      <w:r>
        <w:t>sistema</w:t>
      </w:r>
      <w:r w:rsidRPr="007F7EBF">
        <w:t xml:space="preserve"> di regole</w:t>
      </w:r>
      <w:r>
        <w:t xml:space="preserve"> (par.1.3)</w:t>
      </w:r>
      <w:r w:rsidRPr="007F7EBF">
        <w:t xml:space="preserve">, ostacola </w:t>
      </w:r>
      <w:r>
        <w:t xml:space="preserve">persino intuizioni di base, </w:t>
      </w:r>
      <w:r w:rsidRPr="007F7EBF">
        <w:t xml:space="preserve">come </w:t>
      </w:r>
      <w:r>
        <w:t>la dialettica</w:t>
      </w:r>
      <w:r w:rsidRPr="007F7EBF">
        <w:t xml:space="preserve"> tra giudizio di fatto e di diritto.</w:t>
      </w:r>
    </w:p>
  </w:footnote>
  <w:footnote w:id="612">
    <w:p w14:paraId="280FE473" w14:textId="77777777" w:rsidR="003B7460" w:rsidRPr="007F7EBF" w:rsidRDefault="003B7460" w:rsidP="002A3C88">
      <w:pPr>
        <w:pStyle w:val="Testonotaapidipagina"/>
      </w:pPr>
      <w:r w:rsidRPr="007F7EBF">
        <w:rPr>
          <w:rStyle w:val="Rimandonotaapidipagina"/>
        </w:rPr>
        <w:footnoteRef/>
      </w:r>
      <w:r w:rsidRPr="007F7EBF">
        <w:t xml:space="preserve"> ) Ripetiamo comunque che l'empirismo strutturale del giudizio di fatto costituisce comunque lo sfondo, su cui collocare anche le “prove legali”.</w:t>
      </w:r>
    </w:p>
  </w:footnote>
  <w:footnote w:id="613">
    <w:p w14:paraId="45BA30DE" w14:textId="77777777" w:rsidR="003B7460" w:rsidRPr="007F7EBF" w:rsidRDefault="003B7460" w:rsidP="00CA6179">
      <w:pPr>
        <w:pStyle w:val="Testonotaapidipagina"/>
      </w:pPr>
      <w:r w:rsidRPr="007F7EBF">
        <w:rPr>
          <w:rStyle w:val="Rimandonotaapidipagina"/>
        </w:rPr>
        <w:footnoteRef/>
      </w:r>
      <w:r w:rsidRPr="007F7EBF">
        <w:t xml:space="preserve"> ) </w:t>
      </w:r>
      <w:r>
        <w:t xml:space="preserve">Si pensi a </w:t>
      </w:r>
      <w:r w:rsidRPr="007F7EBF">
        <w:t>gli atti notarili, ad esempio di compravendita, sono redatti in forma di verbale narrativo dei relativi atti, che il notaio dichiara essersi svolti in sua presenza</w:t>
      </w:r>
      <w:r>
        <w:t>, come per i verbali degli uffici tributari, di cui al par.5.6.</w:t>
      </w:r>
    </w:p>
  </w:footnote>
  <w:footnote w:id="614">
    <w:p w14:paraId="1888DFB7" w14:textId="58D7D7E0" w:rsidR="003B7460" w:rsidRPr="007F7EBF" w:rsidRDefault="003B7460" w:rsidP="009B33AF">
      <w:pPr>
        <w:pStyle w:val="Testonotaapidipagina"/>
      </w:pPr>
      <w:r w:rsidRPr="007F7EBF">
        <w:rPr>
          <w:rStyle w:val="Rimandonotaapidipagina"/>
        </w:rPr>
        <w:footnoteRef/>
      </w:r>
      <w:r w:rsidRPr="007F7EBF">
        <w:t xml:space="preserve"> ) </w:t>
      </w:r>
      <w:r>
        <w:t xml:space="preserve">Oppure a incroci specifici, come quelli relativi a somme soggette a ritenuta, segnalate dal sostituto e non dichiarate dal sostituito (par.3.6), dove la migliore </w:t>
      </w:r>
      <w:r w:rsidRPr="007F7EBF">
        <w:t>interpretazione</w:t>
      </w:r>
      <w:r>
        <w:t xml:space="preserve">, sempre </w:t>
      </w:r>
      <w:r w:rsidRPr="007F7EBF">
        <w:t>probabilistica, come detto al paragrafo precedente</w:t>
      </w:r>
      <w:r>
        <w:t>, è l’evasione da parte del beneficiario</w:t>
      </w:r>
      <w:r w:rsidRPr="007F7EBF">
        <w:t xml:space="preserve">. </w:t>
      </w:r>
    </w:p>
  </w:footnote>
  <w:footnote w:id="615">
    <w:p w14:paraId="1A890708" w14:textId="70A94F6C" w:rsidR="003B7460" w:rsidRDefault="003B7460">
      <w:pPr>
        <w:pStyle w:val="Testonotaapidipagina"/>
      </w:pPr>
      <w:r>
        <w:rPr>
          <w:rStyle w:val="Rimandonotaapidipagina"/>
        </w:rPr>
        <w:footnoteRef/>
      </w:r>
      <w:r>
        <w:t xml:space="preserve"> Esiste in proposito da decenni a tal fine un apposito “catasto elettrico”. </w:t>
      </w:r>
    </w:p>
  </w:footnote>
  <w:footnote w:id="616">
    <w:p w14:paraId="7F43DD0B" w14:textId="774107AF" w:rsidR="003B7460" w:rsidRDefault="003B7460">
      <w:pPr>
        <w:pStyle w:val="Testonotaapidipagina"/>
      </w:pPr>
      <w:r>
        <w:rPr>
          <w:rStyle w:val="Rimandonotaapidipagina"/>
        </w:rPr>
        <w:footnoteRef/>
      </w:r>
      <w:r>
        <w:t xml:space="preserve"> Nonostante le riflessioni di alcuni valenti privatisti, mai diventate davvero “sociali”, a causa della settorializzazione degli studi giuridici (Studi sociali. cit. par.2.6). </w:t>
      </w:r>
    </w:p>
  </w:footnote>
  <w:footnote w:id="617">
    <w:p w14:paraId="1626658B" w14:textId="785F1080" w:rsidR="003B7460" w:rsidRDefault="003B7460" w:rsidP="00775721">
      <w:pPr>
        <w:pStyle w:val="Testonotaapidipagina"/>
      </w:pPr>
      <w:r>
        <w:rPr>
          <w:rStyle w:val="Rimandonotaapidipagina"/>
        </w:rPr>
        <w:footnoteRef/>
      </w:r>
      <w:r>
        <w:t xml:space="preserve"> ) Si alimentano anche per questo le tendenze “burocratiche” (in senso negativo) a "essere a </w:t>
      </w:r>
      <w:proofErr w:type="spellStart"/>
      <w:r>
        <w:t>posto"con</w:t>
      </w:r>
      <w:proofErr w:type="spellEnd"/>
      <w:r>
        <w:t xml:space="preserve"> le leggi, a danno della funzione (parr.1.3 e 4.3).</w:t>
      </w:r>
      <w:r w:rsidRPr="00515954">
        <w:t xml:space="preserve"> </w:t>
      </w:r>
      <w:r>
        <w:t xml:space="preserve">Si pensi alle ripetizioni di “visto, visto </w:t>
      </w:r>
      <w:proofErr w:type="spellStart"/>
      <w:r>
        <w:t>visto</w:t>
      </w:r>
      <w:proofErr w:type="spellEnd"/>
      <w:r>
        <w:t>” che precedono gli atti amministrativi, temendo quasi di rivelarne le reali motivazioni.</w:t>
      </w:r>
    </w:p>
  </w:footnote>
  <w:footnote w:id="618">
    <w:p w14:paraId="019F6B19" w14:textId="3F87075A" w:rsidR="003B7460" w:rsidRPr="00B40942" w:rsidRDefault="003B7460" w:rsidP="00A133AE">
      <w:pPr>
        <w:pStyle w:val="Testonotaapidipagina"/>
        <w:rPr>
          <w:i/>
          <w:iCs/>
        </w:rPr>
      </w:pPr>
      <w:r>
        <w:rPr>
          <w:rStyle w:val="Rimandonotaapidipagina"/>
        </w:rPr>
        <w:footnoteRef/>
      </w:r>
      <w:r>
        <w:t xml:space="preserve">) Tendenza diffusa anche per le carenze formative italiane sull’idea di gruppo e di lavoro di gruppo, indicate al par.4.1, e che spingono ad evitare di prendersi dei rischi, nel ritornello del </w:t>
      </w:r>
      <w:r>
        <w:rPr>
          <w:i/>
          <w:iCs/>
        </w:rPr>
        <w:t>chi me lo fa fare.</w:t>
      </w:r>
    </w:p>
  </w:footnote>
  <w:footnote w:id="619">
    <w:p w14:paraId="09FA6C03" w14:textId="77777777" w:rsidR="003B7460" w:rsidRDefault="003B7460" w:rsidP="00DE2A04">
      <w:pPr>
        <w:pStyle w:val="Testonotaapidipagina"/>
      </w:pPr>
      <w:r>
        <w:rPr>
          <w:rStyle w:val="Rimandonotaapidipagina"/>
        </w:rPr>
        <w:footnoteRef/>
      </w:r>
      <w:r>
        <w:t xml:space="preserve"> Basta vedere la disciplina della circolazione (codice stradale), dell'urbanistica, dell’ambiente, dell’antinfortunistica, dell’antiriciclaggio o della vigilanza bancaria, per capire che ogni comportamento è esposto a contestazioni, sia da parte degli uffici sia da parte di privati formalisti</w:t>
      </w:r>
    </w:p>
  </w:footnote>
  <w:footnote w:id="620">
    <w:p w14:paraId="2B81DF5A" w14:textId="77777777" w:rsidR="003B7460" w:rsidRDefault="003B7460" w:rsidP="00626F24">
      <w:pPr>
        <w:pStyle w:val="Testonotaapidipagina"/>
      </w:pPr>
      <w:r>
        <w:rPr>
          <w:rStyle w:val="Rimandonotaapidipagina"/>
        </w:rPr>
        <w:footnoteRef/>
      </w:r>
      <w:r>
        <w:t xml:space="preserve"> Lupi, Studi sociali e diritto, par.3.2.</w:t>
      </w:r>
    </w:p>
  </w:footnote>
  <w:footnote w:id="621">
    <w:p w14:paraId="33E040D3" w14:textId="68635F73" w:rsidR="003B7460" w:rsidRDefault="003B7460">
      <w:pPr>
        <w:pStyle w:val="Testonotaapidipagina"/>
      </w:pPr>
      <w:r>
        <w:rPr>
          <w:rStyle w:val="Rimandonotaapidipagina"/>
        </w:rPr>
        <w:footnoteRef/>
      </w:r>
      <w:r>
        <w:t xml:space="preserve"> C</w:t>
      </w:r>
      <w:r>
        <w:rPr>
          <w:sz w:val="22"/>
          <w:szCs w:val="22"/>
        </w:rPr>
        <w:t>ome se i medici fossero spaventati dai malati, i maestri dagli alunni, i netturbini dai cassonetti, i carabinieri dagli scippatori, i vigili urbani dagli automobilisti, i soldati dal combattimento.</w:t>
      </w:r>
    </w:p>
  </w:footnote>
  <w:footnote w:id="622">
    <w:p w14:paraId="324598FC" w14:textId="77777777" w:rsidR="003B7460" w:rsidRDefault="003B7460" w:rsidP="00696C38">
      <w:pPr>
        <w:pStyle w:val="Testonotaapidipagina"/>
      </w:pPr>
      <w:r>
        <w:rPr>
          <w:rStyle w:val="Rimandonotaapidipagina"/>
        </w:rPr>
        <w:footnoteRef/>
      </w:r>
      <w:r>
        <w:t xml:space="preserve"> ) E’ il concetto di “credibilità relativa” del dichiarato, anche rispetto all’auspicato schedario personale permanente di cui al par.5.7.</w:t>
      </w:r>
    </w:p>
  </w:footnote>
  <w:footnote w:id="623">
    <w:p w14:paraId="6A7E4FE3" w14:textId="51190200" w:rsidR="003B7460" w:rsidRDefault="003B7460">
      <w:pPr>
        <w:pStyle w:val="Testonotaapidipagina"/>
      </w:pPr>
      <w:r>
        <w:rPr>
          <w:rStyle w:val="Rimandonotaapidipagina"/>
        </w:rPr>
        <w:footnoteRef/>
      </w:r>
      <w:r>
        <w:t xml:space="preserve"> Nel qual caso ci sarebbe dolo, e il risarcimento sarebbe giustificato. </w:t>
      </w:r>
    </w:p>
  </w:footnote>
  <w:footnote w:id="624">
    <w:p w14:paraId="34151EB8" w14:textId="7C4603A2" w:rsidR="003B7460" w:rsidRDefault="003B7460" w:rsidP="005D62C6">
      <w:pPr>
        <w:pStyle w:val="Testonotaapidipagina"/>
      </w:pPr>
      <w:r>
        <w:rPr>
          <w:rStyle w:val="Rimandonotaapidipagina"/>
        </w:rPr>
        <w:footnoteRef/>
      </w:r>
      <w:r>
        <w:t xml:space="preserve"> ) Si addice alle organizzazioni una legge di Murphy secondo cui </w:t>
      </w:r>
      <w:r>
        <w:rPr>
          <w:i/>
        </w:rPr>
        <w:t xml:space="preserve">quando </w:t>
      </w:r>
      <w:proofErr w:type="spellStart"/>
      <w:r>
        <w:rPr>
          <w:i/>
        </w:rPr>
        <w:t>quando</w:t>
      </w:r>
      <w:proofErr w:type="spellEnd"/>
      <w:r>
        <w:rPr>
          <w:i/>
        </w:rPr>
        <w:t xml:space="preserve"> le cose vanno male e qualcuno sorride, vuol dire che ha trovato a chi dare la colpa</w:t>
      </w:r>
      <w:r>
        <w:t>.</w:t>
      </w:r>
    </w:p>
  </w:footnote>
  <w:footnote w:id="625">
    <w:p w14:paraId="148609E0" w14:textId="23394EE7" w:rsidR="003B7460" w:rsidRDefault="003B7460" w:rsidP="00FE1B66">
      <w:pPr>
        <w:pStyle w:val="Testonotaapidipagina"/>
      </w:pPr>
      <w:r>
        <w:rPr>
          <w:rStyle w:val="Rimandonotaapidipagina"/>
        </w:rPr>
        <w:footnoteRef/>
      </w:r>
      <w:r>
        <w:t xml:space="preserve"> ) Così chiamata in quanto fatta valere dalla Corte dei Conti, che meriterebbe tesi di laurea o dottorato </w:t>
      </w:r>
      <w:r w:rsidRPr="007F7EBF">
        <w:t>.</w:t>
      </w:r>
    </w:p>
  </w:footnote>
  <w:footnote w:id="626">
    <w:p w14:paraId="68DB5534" w14:textId="5BE405E9" w:rsidR="003B7460" w:rsidRPr="007F7EBF" w:rsidRDefault="003B7460" w:rsidP="000126FD">
      <w:pPr>
        <w:pStyle w:val="Testonotaapidipagina"/>
      </w:pPr>
      <w:r w:rsidRPr="007F7EBF">
        <w:rPr>
          <w:rStyle w:val="Rimandonotaapidipagina"/>
        </w:rPr>
        <w:footnoteRef/>
      </w:r>
      <w:r w:rsidRPr="007F7EBF">
        <w:t xml:space="preserve"> </w:t>
      </w:r>
      <w:r>
        <w:t>)</w:t>
      </w:r>
      <w:r w:rsidRPr="007F7EBF">
        <w:t xml:space="preserve"> </w:t>
      </w:r>
      <w:r>
        <w:rPr>
          <w:sz w:val="22"/>
          <w:szCs w:val="22"/>
        </w:rPr>
        <w:t xml:space="preserve">Come </w:t>
      </w:r>
      <w:r>
        <w:t>Totò nel film “I Tartassati</w:t>
      </w:r>
      <w:r w:rsidRPr="007F7EBF">
        <w:t xml:space="preserve">” </w:t>
      </w:r>
      <w:r>
        <w:t xml:space="preserve">verso </w:t>
      </w:r>
      <w:r w:rsidRPr="007F7EBF">
        <w:t>l’integerrimo Maresciallo Aldo Fabrizi</w:t>
      </w:r>
      <w:r>
        <w:t>. S</w:t>
      </w:r>
      <w:r w:rsidRPr="007F7EBF">
        <w:t xml:space="preserve">i potrebbe dire in rima </w:t>
      </w:r>
      <w:r w:rsidRPr="007F7EBF">
        <w:rPr>
          <w:i/>
        </w:rPr>
        <w:t>chi gestisce soldi neri li può dare ai finanzieri</w:t>
      </w:r>
      <w:r>
        <w:rPr>
          <w:i/>
        </w:rPr>
        <w:t xml:space="preserve">, </w:t>
      </w:r>
      <w:r w:rsidRPr="007F7EBF">
        <w:t xml:space="preserve">ma </w:t>
      </w:r>
      <w:r>
        <w:t>è una caratteristica generale della funzione tributaria, di cui occorre discutere proprio per ridurla</w:t>
      </w:r>
      <w:r w:rsidRPr="007F7EBF">
        <w:t>.</w:t>
      </w:r>
    </w:p>
  </w:footnote>
  <w:footnote w:id="627">
    <w:p w14:paraId="14644D20" w14:textId="1DE02C7C" w:rsidR="003B7460" w:rsidRPr="007F7EBF" w:rsidRDefault="003B7460" w:rsidP="00147BE7">
      <w:pPr>
        <w:pStyle w:val="Testonotaapidipagina"/>
      </w:pPr>
      <w:r w:rsidRPr="007F7EBF">
        <w:rPr>
          <w:rStyle w:val="Rimandonotaapidipagina"/>
        </w:rPr>
        <w:footnoteRef/>
      </w:r>
      <w:r w:rsidRPr="007F7EBF">
        <w:t xml:space="preserve"> </w:t>
      </w:r>
      <w:r>
        <w:t xml:space="preserve">) E’ </w:t>
      </w:r>
      <w:r w:rsidRPr="007F7EBF">
        <w:t>un</w:t>
      </w:r>
      <w:r>
        <w:t xml:space="preserve"> moralismo </w:t>
      </w:r>
      <w:r w:rsidRPr="007F7EBF">
        <w:t xml:space="preserve">di facciata (come nel film “Il moralista” del 1959, con Alberto Sordi) </w:t>
      </w:r>
      <w:r>
        <w:t xml:space="preserve">che arriva a </w:t>
      </w:r>
      <w:r w:rsidRPr="007F7EBF">
        <w:t>farsi corrompere per atti dovuti, con la possibilità di chiedere tangenti che sarebbero impensabili in un ambiente seren</w:t>
      </w:r>
      <w:r>
        <w:t>o.</w:t>
      </w:r>
    </w:p>
  </w:footnote>
  <w:footnote w:id="628">
    <w:p w14:paraId="37AEF965" w14:textId="77777777" w:rsidR="003B7460" w:rsidRPr="007F7EBF" w:rsidRDefault="003B7460" w:rsidP="007530B8">
      <w:pPr>
        <w:pStyle w:val="Testonotaapidipagina"/>
      </w:pPr>
      <w:r w:rsidRPr="007F7EBF">
        <w:rPr>
          <w:rStyle w:val="Rimandonotaapidipagina"/>
        </w:rPr>
        <w:footnoteRef/>
      </w:r>
      <w:r w:rsidRPr="007F7EBF">
        <w:t xml:space="preserve"> </w:t>
      </w:r>
      <w:r>
        <w:t xml:space="preserve">) L’attuale legge anticorruzione del 2012, nella sua idea di prevenire, senza dare fiducia ai pubblici uffici, nuoce alla loro iniziativa, flessibilità ed efficienza, fino alle estemporanee ingerenze dei superpoteri dell’ANAC, </w:t>
      </w:r>
      <w:r w:rsidRPr="007F7EBF">
        <w:t>a danno dell'auspicata semplificazione e sburocratizzazione della P.A.</w:t>
      </w:r>
      <w:r w:rsidRPr="000732CB">
        <w:t xml:space="preserve"> </w:t>
      </w:r>
    </w:p>
  </w:footnote>
  <w:footnote w:id="629">
    <w:p w14:paraId="7F05BD7A" w14:textId="2E6BFF33" w:rsidR="003B7460" w:rsidRDefault="003B7460">
      <w:pPr>
        <w:pStyle w:val="Testonotaapidipagina"/>
      </w:pPr>
      <w:r>
        <w:rPr>
          <w:rStyle w:val="Rimandonotaapidipagina"/>
        </w:rPr>
        <w:footnoteRef/>
      </w:r>
      <w:r>
        <w:t xml:space="preserve"> Dove </w:t>
      </w:r>
      <w:r w:rsidRPr="007F7EBF">
        <w:t>le realizzazioni edilizie sono sotto gli occhi di tutti, esposte a</w:t>
      </w:r>
      <w:r>
        <w:t xml:space="preserve">d un </w:t>
      </w:r>
      <w:r w:rsidRPr="007F7EBF">
        <w:t>controllo sociale</w:t>
      </w:r>
      <w:r>
        <w:t xml:space="preserve"> ben superiore a quello della determinazione degli imponibili.</w:t>
      </w:r>
    </w:p>
  </w:footnote>
  <w:footnote w:id="630">
    <w:p w14:paraId="1370F2AB" w14:textId="77777777" w:rsidR="003B7460" w:rsidRDefault="003B7460" w:rsidP="00AB259D">
      <w:pPr>
        <w:pStyle w:val="Testonotaapidipagina"/>
      </w:pPr>
      <w:r>
        <w:rPr>
          <w:rStyle w:val="Rimandonotaapidipagina"/>
        </w:rPr>
        <w:footnoteRef/>
      </w:r>
      <w:r>
        <w:t xml:space="preserve"> ) E’ il c.d. “</w:t>
      </w:r>
      <w:r w:rsidRPr="007F7EBF">
        <w:rPr>
          <w:sz w:val="22"/>
          <w:szCs w:val="22"/>
        </w:rPr>
        <w:t>whistleblowing</w:t>
      </w:r>
      <w:r>
        <w:rPr>
          <w:sz w:val="22"/>
          <w:szCs w:val="22"/>
        </w:rPr>
        <w:t xml:space="preserve">”, cui si accompagna anche l’impunità per partecipanti agli episodi corruttivi che se ne dissociano e li denunziano. </w:t>
      </w:r>
    </w:p>
  </w:footnote>
  <w:footnote w:id="631">
    <w:p w14:paraId="1A873D83" w14:textId="77777777" w:rsidR="003B7460" w:rsidRPr="007F7EBF" w:rsidRDefault="003B7460" w:rsidP="00CB3694">
      <w:pPr>
        <w:pStyle w:val="Testonotaapidipagina"/>
      </w:pPr>
      <w:r w:rsidRPr="007F7EBF">
        <w:rPr>
          <w:rStyle w:val="Rimandonotaapidipagina"/>
        </w:rPr>
        <w:footnoteRef/>
      </w:r>
      <w:r w:rsidRPr="007F7EBF">
        <w:t xml:space="preserve"> ) </w:t>
      </w:r>
      <w:r>
        <w:t>Simile a quello esistente nelle aziende come organizzazioni pluripersonali (par.3.1) e che esisteva negl</w:t>
      </w:r>
      <w:r w:rsidRPr="007F7EBF">
        <w:t>i antichi sistemi a ripartizione</w:t>
      </w:r>
      <w:r>
        <w:t xml:space="preserve"> (</w:t>
      </w:r>
      <w:r w:rsidRPr="007F7EBF">
        <w:t>par.1.4</w:t>
      </w:r>
      <w:r>
        <w:t>)</w:t>
      </w:r>
      <w:r w:rsidRPr="007F7EBF">
        <w:t xml:space="preserve">. </w:t>
      </w:r>
    </w:p>
  </w:footnote>
  <w:footnote w:id="632">
    <w:p w14:paraId="26838B89" w14:textId="2AE9ED5B" w:rsidR="003B7460" w:rsidRPr="007F7EBF" w:rsidRDefault="003B7460" w:rsidP="00CB3694">
      <w:pPr>
        <w:pStyle w:val="Testonotaapidipagina"/>
      </w:pPr>
      <w:r w:rsidRPr="007F7EBF">
        <w:rPr>
          <w:rStyle w:val="Rimandonotaapidipagina"/>
        </w:rPr>
        <w:footnoteRef/>
      </w:r>
      <w:r>
        <w:t xml:space="preserve">) Ostacolare una definizione </w:t>
      </w:r>
      <w:r w:rsidRPr="007F7EBF">
        <w:rPr>
          <w:sz w:val="22"/>
          <w:szCs w:val="22"/>
        </w:rPr>
        <w:t xml:space="preserve">"ragionevole" </w:t>
      </w:r>
      <w:r>
        <w:rPr>
          <w:sz w:val="22"/>
          <w:szCs w:val="22"/>
        </w:rPr>
        <w:t>degli imponibili, come vedremo al p</w:t>
      </w:r>
      <w:r w:rsidRPr="007F7EBF">
        <w:t>ar.6.5 sull’accertamento con adesione</w:t>
      </w:r>
      <w:r>
        <w:t xml:space="preserve">, e </w:t>
      </w:r>
      <w:r w:rsidRPr="007F7EBF">
        <w:rPr>
          <w:sz w:val="22"/>
          <w:szCs w:val="22"/>
        </w:rPr>
        <w:t xml:space="preserve">“far decidere il giudice”, </w:t>
      </w:r>
      <w:r>
        <w:rPr>
          <w:sz w:val="22"/>
          <w:szCs w:val="22"/>
        </w:rPr>
        <w:t xml:space="preserve">ha spesso il solo risultato di generare </w:t>
      </w:r>
      <w:r w:rsidRPr="007F7EBF">
        <w:rPr>
          <w:sz w:val="22"/>
          <w:szCs w:val="22"/>
        </w:rPr>
        <w:t xml:space="preserve">episodi corruttivi </w:t>
      </w:r>
      <w:r>
        <w:rPr>
          <w:sz w:val="22"/>
          <w:szCs w:val="22"/>
        </w:rPr>
        <w:t>nelle commissioni tributarie  per i motivi indicati ne</w:t>
      </w:r>
      <w:r w:rsidRPr="007F7EBF">
        <w:t>gli ultimi periodi del par.6.8</w:t>
      </w:r>
      <w:r>
        <w:rPr>
          <w:sz w:val="22"/>
          <w:szCs w:val="22"/>
        </w:rPr>
        <w:t>.</w:t>
      </w:r>
    </w:p>
  </w:footnote>
  <w:footnote w:id="633">
    <w:p w14:paraId="5EF3DAE5" w14:textId="77777777" w:rsidR="003B7460" w:rsidRPr="007F7EBF" w:rsidRDefault="003B7460" w:rsidP="009B0D0E">
      <w:pPr>
        <w:pStyle w:val="Testonotaapidipagina"/>
      </w:pPr>
      <w:r w:rsidRPr="007F7EBF">
        <w:rPr>
          <w:rStyle w:val="Rimandonotaapidipagina"/>
        </w:rPr>
        <w:footnoteRef/>
      </w:r>
      <w:r w:rsidRPr="007F7EBF">
        <w:t xml:space="preserve"> ) Ricordiamo </w:t>
      </w:r>
      <w:r>
        <w:t xml:space="preserve">i confusi e variegati atteggiamenti politici sul </w:t>
      </w:r>
      <w:r w:rsidRPr="00346C2C">
        <w:rPr>
          <w:i/>
        </w:rPr>
        <w:t>partito degli evasori</w:t>
      </w:r>
      <w:r w:rsidRPr="007F7EBF">
        <w:t xml:space="preserve"> ,</w:t>
      </w:r>
      <w:r>
        <w:t xml:space="preserve"> sul “partito antitasse” e sulla </w:t>
      </w:r>
      <w:r w:rsidRPr="007F7EBF">
        <w:t>“lotta all’evasione” come nuova versione della lotta di classe</w:t>
      </w:r>
      <w:r>
        <w:t xml:space="preserve"> (par.4.6 ove rinvii). </w:t>
      </w:r>
    </w:p>
  </w:footnote>
  <w:footnote w:id="634">
    <w:p w14:paraId="4CB455B3" w14:textId="77777777" w:rsidR="003B7460" w:rsidRPr="007F7EBF" w:rsidRDefault="003B7460" w:rsidP="000B21EB">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bCs/>
          <w:sz w:val="22"/>
          <w:szCs w:val="22"/>
        </w:rPr>
        <w:t xml:space="preserve">Aver legiferato su questi temi ha addirittura peggiorato la situazione rispetto a quanto sarebbe accaduto lasciando </w:t>
      </w:r>
      <w:r w:rsidRPr="007F7EBF">
        <w:rPr>
          <w:sz w:val="22"/>
          <w:szCs w:val="22"/>
        </w:rPr>
        <w:t>operare i consueti criteri empirici del giudizio di fatto, indicati al par. 5.8-5.9.</w:t>
      </w:r>
      <w:r w:rsidRPr="007F7EBF">
        <w:rPr>
          <w:bCs/>
          <w:i/>
          <w:iCs/>
          <w:color w:val="0000FF"/>
          <w:sz w:val="20"/>
          <w:szCs w:val="20"/>
        </w:rPr>
        <w:t xml:space="preserve">    </w:t>
      </w:r>
    </w:p>
    <w:p w14:paraId="3D4892F6" w14:textId="77777777" w:rsidR="003B7460" w:rsidRPr="007F7EBF" w:rsidRDefault="003B7460" w:rsidP="000B21EB">
      <w:pPr>
        <w:pStyle w:val="Testonotaapidipagina"/>
      </w:pPr>
    </w:p>
  </w:footnote>
  <w:footnote w:id="635">
    <w:p w14:paraId="54A21168" w14:textId="7D6840BF" w:rsidR="003B7460" w:rsidRPr="007F7EBF" w:rsidRDefault="003B7460" w:rsidP="00E42E3B">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Ricordiamo dal par.3.7 che le </w:t>
      </w:r>
      <w:r w:rsidRPr="007F7EBF">
        <w:t>organizzazioni pluripersonali</w:t>
      </w:r>
      <w:r>
        <w:t xml:space="preserve"> “padronali”</w:t>
      </w:r>
      <w:r w:rsidRPr="007F7EBF">
        <w:t xml:space="preserve">, pur tassando consumatori e dipendenti, </w:t>
      </w:r>
      <w:r>
        <w:t>hanno</w:t>
      </w:r>
      <w:r w:rsidRPr="007F7EBF">
        <w:t xml:space="preserve"> difficoltà nel tassare i </w:t>
      </w:r>
      <w:r>
        <w:t xml:space="preserve">loro </w:t>
      </w:r>
      <w:r w:rsidRPr="007F7EBF">
        <w:t>titolari</w:t>
      </w:r>
      <w:r w:rsidRPr="007F7EBF">
        <w:rPr>
          <w:bCs/>
          <w:sz w:val="20"/>
          <w:szCs w:val="20"/>
        </w:rPr>
        <w:t xml:space="preserve">. </w:t>
      </w:r>
    </w:p>
  </w:footnote>
  <w:footnote w:id="636">
    <w:p w14:paraId="7A0B0917" w14:textId="4953B037" w:rsidR="003B7460" w:rsidRPr="007F7EBF" w:rsidRDefault="003B7460" w:rsidP="00AF3208">
      <w:pPr>
        <w:pStyle w:val="Testonotaapidipagina"/>
      </w:pPr>
      <w:r w:rsidRPr="007F7EBF">
        <w:rPr>
          <w:rStyle w:val="Rimandonotaapidipagina"/>
        </w:rPr>
        <w:footnoteRef/>
      </w:r>
      <w:r w:rsidRPr="007F7EBF">
        <w:t xml:space="preserve"> ) </w:t>
      </w:r>
      <w:r>
        <w:t xml:space="preserve">Durante la stagione giudiziaria della corruzione della politica (c.d. “mani pulite” del 1993 e ss.) molte evasioni fiscali emersero per la necessità di reperire i fondi per la corruzione (par.3.8). Ci fu poi </w:t>
      </w:r>
      <w:r w:rsidRPr="007F7EBF">
        <w:t>la condanna penale per frode fiscale “da interposizione” (par.3.7) a Silvio Berlusconi,</w:t>
      </w:r>
      <w:r>
        <w:t xml:space="preserve"> </w:t>
      </w:r>
      <w:r w:rsidRPr="007F7EBF">
        <w:t xml:space="preserve">politicamente esposto, oppure i sequestri penali sulla famiglia Riva,  in relazione alle indagini sull’inquinamento ambientale a Taranto. </w:t>
      </w:r>
    </w:p>
  </w:footnote>
  <w:footnote w:id="637">
    <w:p w14:paraId="1468AF78" w14:textId="7023ED0D" w:rsidR="003B7460" w:rsidRPr="007F7EBF" w:rsidRDefault="003B7460" w:rsidP="00663BEE">
      <w:pPr>
        <w:pStyle w:val="Testonotaapidipagina"/>
      </w:pPr>
      <w:r w:rsidRPr="007F7EBF">
        <w:rPr>
          <w:rStyle w:val="Rimandonotaapidipagina"/>
        </w:rPr>
        <w:footnoteRef/>
      </w:r>
      <w:r w:rsidRPr="007F7EBF">
        <w:t xml:space="preserve"> ) I timori sono infatti molteplici, a partire da quello di non trovare nulla, non facendo risultato di servizio, e veder poi emergere per motivi fortuiti –magari per una delazione, una lite societaria o un fallimento- una clamorosa evasione, con allusioni di negligenza o peggio (par.5.11). C’è anche il timore di trovare indizi deboli, finendo quindi in una situazione di stallo, oppure di esporsi alle richieste corruttive degli interessati e ai sospetti dei colleghi. La tendenza è quindi quella, comprensibilissima, </w:t>
      </w:r>
      <w:r>
        <w:t>a</w:t>
      </w:r>
      <w:r w:rsidRPr="007F7EBF">
        <w:t>lle contestazioni interpretative (par.5.17 ss.), inutil</w:t>
      </w:r>
      <w:r>
        <w:t>i,</w:t>
      </w:r>
      <w:r w:rsidRPr="007F7EBF">
        <w:t xml:space="preserve"> ma meno imbarazzant</w:t>
      </w:r>
      <w:r>
        <w:t>i</w:t>
      </w:r>
      <w:r w:rsidRPr="007F7EBF">
        <w:t xml:space="preserve">. Un’indagine su questi aspetti potrebbe venire solo comprendendo l’utilità di monitorare i passaggi amministrativi “forzabili” dalla proprietà aziendale senza esporsi eccessivamente ai sospetti dei dipendenti. </w:t>
      </w:r>
      <w:r>
        <w:t>Q</w:t>
      </w:r>
      <w:r w:rsidRPr="007F7EBF">
        <w:t xml:space="preserve">ui si dovrebbe indirizzare “il tutoraggio” delle organizzazioni di una certa dimensione, senza logorarsi sulle </w:t>
      </w:r>
      <w:r>
        <w:t xml:space="preserve">questioni di diritto </w:t>
      </w:r>
      <w:r w:rsidRPr="007F7EBF">
        <w:t>di cui al par.5.19.</w:t>
      </w:r>
    </w:p>
  </w:footnote>
  <w:footnote w:id="638">
    <w:p w14:paraId="7073361D" w14:textId="11356749" w:rsidR="003B7460" w:rsidRPr="007F7EBF" w:rsidRDefault="003B7460" w:rsidP="0019352D">
      <w:pPr>
        <w:pStyle w:val="Testonotaapidipagina"/>
      </w:pPr>
      <w:r w:rsidRPr="007F7EBF">
        <w:rPr>
          <w:rStyle w:val="Rimandonotaapidipagina"/>
        </w:rPr>
        <w:footnoteRef/>
      </w:r>
      <w:r w:rsidRPr="007F7EBF">
        <w:t xml:space="preserve"> ) Dove si “toglie ricchezza da sopra”, </w:t>
      </w:r>
      <w:r>
        <w:rPr>
          <w:sz w:val="22"/>
          <w:szCs w:val="22"/>
        </w:rPr>
        <w:t xml:space="preserve">senza </w:t>
      </w:r>
      <w:r w:rsidRPr="007F7EBF">
        <w:rPr>
          <w:sz w:val="22"/>
          <w:szCs w:val="22"/>
        </w:rPr>
        <w:t>lascia</w:t>
      </w:r>
      <w:r>
        <w:rPr>
          <w:sz w:val="22"/>
          <w:szCs w:val="22"/>
        </w:rPr>
        <w:t>re</w:t>
      </w:r>
      <w:r w:rsidRPr="007F7EBF">
        <w:rPr>
          <w:sz w:val="22"/>
          <w:szCs w:val="22"/>
        </w:rPr>
        <w:t xml:space="preserve"> tracce particolari all'interno della contabilità,</w:t>
      </w:r>
      <w:r>
        <w:rPr>
          <w:sz w:val="22"/>
          <w:szCs w:val="22"/>
        </w:rPr>
        <w:t xml:space="preserve"> s</w:t>
      </w:r>
      <w:r w:rsidRPr="007F7EBF">
        <w:t>econdo la metafora</w:t>
      </w:r>
      <w:r>
        <w:t xml:space="preserve">, indicata al par.3.7 e </w:t>
      </w:r>
      <w:r w:rsidRPr="007F7EBF">
        <w:t xml:space="preserve"> ricorrente in questo testo. </w:t>
      </w:r>
    </w:p>
  </w:footnote>
  <w:footnote w:id="639">
    <w:p w14:paraId="447E27CC" w14:textId="77777777" w:rsidR="003B7460" w:rsidRPr="007F7EBF" w:rsidRDefault="003B7460">
      <w:pPr>
        <w:pStyle w:val="Testonotaapidipagina"/>
      </w:pPr>
      <w:r w:rsidRPr="007F7EBF">
        <w:rPr>
          <w:rStyle w:val="Rimandonotaapidipagina"/>
        </w:rPr>
        <w:footnoteRef/>
      </w:r>
      <w:r w:rsidRPr="007F7EBF">
        <w:t xml:space="preserve"> ) Registrando altresì IVA in detrazione, come indicato al par.7.2. </w:t>
      </w:r>
    </w:p>
  </w:footnote>
  <w:footnote w:id="640">
    <w:p w14:paraId="36C985DE" w14:textId="77777777" w:rsidR="003B7460" w:rsidRPr="007F7EBF" w:rsidRDefault="003B7460">
      <w:pPr>
        <w:pStyle w:val="Testonotaapidipagina"/>
      </w:pPr>
      <w:r w:rsidRPr="007F7EBF">
        <w:rPr>
          <w:rStyle w:val="Rimandonotaapidipagina"/>
        </w:rPr>
        <w:footnoteRef/>
      </w:r>
      <w:r w:rsidRPr="007F7EBF">
        <w:t xml:space="preserve"> Il ricarico dipende infatti dalle condizioni del mercato e dalla concorrenza, variando a seconda della merce, anche per uno stesso rivenditore. Non c’è quindi il margine di ricarico unitario del negoziante, ma quello del singolo articolo. Ad esempio per un negozio di abbigliamento il ricarico su beni “anonimi” come le magliette bianche è inferiore a quello su generi “di moda”. La percentuale di ricarico ha quindi senso solo se “ponderata” in relazione alla quantità delle merci con percentuali di ricarico diverse.   Naturalmente questa difficoltà di calcolo può essere evitata, applicando a tutti i beni la percentuale di ricarico più bassa che magari, già da sola fa presumere un’evasione consistente. </w:t>
      </w:r>
    </w:p>
  </w:footnote>
  <w:footnote w:id="641">
    <w:p w14:paraId="6C21576F" w14:textId="77777777" w:rsidR="003B7460" w:rsidRPr="007F7EBF" w:rsidRDefault="003B7460">
      <w:pPr>
        <w:pStyle w:val="Testonotaapidipagina"/>
      </w:pPr>
      <w:r w:rsidRPr="007F7EBF">
        <w:rPr>
          <w:rStyle w:val="Rimandonotaapidipagina"/>
        </w:rPr>
        <w:footnoteRef/>
      </w:r>
      <w:r w:rsidRPr="007F7EBF">
        <w:t xml:space="preserve"> ) Il prezzo di vendita, rilevato dall’ufficio tributario in periodi di ordinario svolgimento dell’attività, è infatti privo di significato per periodi di svendite e di liquidazioni, dove il prezzo è notoriamente inferiore. E’ una depurazione particolarmente importante per i beni soggetti a “mode” e non deperibili, mentre è invece trascurabile per i generi alimentari, dove i periodi di saldi e di liquidazione rilevano solo per merci tipicamente “stagionali” (ad esempio i panettoni dopo Natale o le colombe dopo Pasqua). </w:t>
      </w:r>
    </w:p>
  </w:footnote>
  <w:footnote w:id="642">
    <w:p w14:paraId="56242998" w14:textId="77777777" w:rsidR="003B7460" w:rsidRPr="007F7EBF" w:rsidRDefault="003B7460">
      <w:pPr>
        <w:pStyle w:val="Testonotaapidipagina"/>
      </w:pPr>
      <w:r w:rsidRPr="007F7EBF">
        <w:rPr>
          <w:rStyle w:val="Rimandonotaapidipagina"/>
        </w:rPr>
        <w:footnoteRef/>
      </w:r>
      <w:r w:rsidRPr="007F7EBF">
        <w:t xml:space="preserve"> ) In quanto una parte dei beni acquistati potrebbe non essere stata venduta o inversamente potrebbero essere stati venduti beni acquistati in anni precedenti (sul ruolo delle rimanenze vedi par.7..13 e 7.17).</w:t>
      </w:r>
    </w:p>
  </w:footnote>
  <w:footnote w:id="643">
    <w:p w14:paraId="445C9831" w14:textId="77777777" w:rsidR="003B7460" w:rsidRPr="007F7EBF" w:rsidRDefault="003B7460">
      <w:pPr>
        <w:pStyle w:val="Testonotaapidipagina"/>
      </w:pPr>
      <w:r w:rsidRPr="007F7EBF">
        <w:rPr>
          <w:rStyle w:val="Rimandonotaapidipagina"/>
        </w:rPr>
        <w:footnoteRef/>
      </w:r>
      <w:r w:rsidRPr="007F7EBF">
        <w:t xml:space="preserve"> ) Che possono essere dovuti a ragioni naturali, come l’avvicinarsi della scadenza dei prodotti alimentari oppure a danneggiamenti da parte della clientela, che manipola il prodotto prima dell’acquisto, oppure ancora a veri e propri “taccheggi”. </w:t>
      </w:r>
    </w:p>
  </w:footnote>
  <w:footnote w:id="644">
    <w:p w14:paraId="4E10F007" w14:textId="6913778D" w:rsidR="003B7460" w:rsidRPr="001508EC" w:rsidRDefault="003B7460" w:rsidP="00B07A4F">
      <w:pPr>
        <w:autoSpaceDE w:val="0"/>
        <w:autoSpaceDN w:val="0"/>
        <w:adjustRightInd w:val="0"/>
        <w:rPr>
          <w:sz w:val="22"/>
          <w:szCs w:val="22"/>
        </w:rPr>
      </w:pPr>
      <w:r w:rsidRPr="001508EC">
        <w:rPr>
          <w:rStyle w:val="Rimandonotaapidipagina"/>
        </w:rPr>
        <w:footnoteRef/>
      </w:r>
      <w:r w:rsidRPr="001508EC">
        <w:t xml:space="preserve"> ) </w:t>
      </w:r>
      <w:r>
        <w:rPr>
          <w:color w:val="000000" w:themeColor="text1"/>
          <w:sz w:val="22"/>
          <w:szCs w:val="22"/>
        </w:rPr>
        <w:t xml:space="preserve">Anche con un certo gradimento dei </w:t>
      </w:r>
      <w:r w:rsidRPr="001508EC">
        <w:rPr>
          <w:color w:val="000000" w:themeColor="text1"/>
          <w:sz w:val="22"/>
          <w:szCs w:val="22"/>
        </w:rPr>
        <w:t>commercialisti (par.3.16), desiderosi di dare ai loro clienti, piccoli commercianti e artigiani di cui tengono la "contabilità fiscale", indicazioni su redditi "accettabili"</w:t>
      </w:r>
      <w:r>
        <w:rPr>
          <w:color w:val="000000" w:themeColor="text1"/>
          <w:sz w:val="22"/>
          <w:szCs w:val="22"/>
        </w:rPr>
        <w:t xml:space="preserve"> dagli uffici tributari</w:t>
      </w:r>
      <w:r w:rsidRPr="001508EC">
        <w:rPr>
          <w:color w:val="000000" w:themeColor="text1"/>
          <w:sz w:val="22"/>
          <w:szCs w:val="22"/>
        </w:rPr>
        <w:t>.</w:t>
      </w:r>
      <w:r w:rsidRPr="007644B5">
        <w:rPr>
          <w:sz w:val="22"/>
          <w:szCs w:val="22"/>
        </w:rPr>
        <w:t xml:space="preserve"> </w:t>
      </w:r>
    </w:p>
  </w:footnote>
  <w:footnote w:id="645">
    <w:p w14:paraId="453862F6" w14:textId="56B7A67B" w:rsidR="003B7460" w:rsidRPr="007F7EBF" w:rsidRDefault="003B7460">
      <w:pPr>
        <w:pStyle w:val="Testonotaapidipagina"/>
      </w:pPr>
      <w:r w:rsidRPr="007F7EBF">
        <w:rPr>
          <w:rStyle w:val="Rimandonotaapidipagina"/>
        </w:rPr>
        <w:footnoteRef/>
      </w:r>
      <w:r w:rsidRPr="007F7EBF">
        <w:t xml:space="preserve"> </w:t>
      </w:r>
      <w:r>
        <w:t xml:space="preserve">) </w:t>
      </w:r>
      <w:r w:rsidRPr="007F7EBF">
        <w:t>In concreto 5,160 milioni di euro circa, eccessiva</w:t>
      </w:r>
      <w:r>
        <w:t xml:space="preserve"> per le imprese ad alto valore aggiunto (par.1.8)  rispetto al fatturato.</w:t>
      </w:r>
    </w:p>
  </w:footnote>
  <w:footnote w:id="646">
    <w:p w14:paraId="0A66C998" w14:textId="0A19D2D5" w:rsidR="003B7460" w:rsidRPr="007F7EBF" w:rsidRDefault="003B7460" w:rsidP="00425593">
      <w:pPr>
        <w:pStyle w:val="Testonotaapidipagina"/>
      </w:pPr>
      <w:r w:rsidRPr="007F7EBF">
        <w:rPr>
          <w:rStyle w:val="Rimandonotaapidipagina"/>
        </w:rPr>
        <w:footnoteRef/>
      </w:r>
      <w:r w:rsidRPr="007F7EBF">
        <w:t xml:space="preserve"> </w:t>
      </w:r>
      <w:r>
        <w:t xml:space="preserve">) Essi presentano quindi il </w:t>
      </w:r>
      <w:r w:rsidRPr="007F7EBF">
        <w:t xml:space="preserve">paradosso metodologico </w:t>
      </w:r>
      <w:r>
        <w:t>sec</w:t>
      </w:r>
      <w:r w:rsidRPr="007F7EBF">
        <w:t>ondo cui,  aggiungendo un certo ammontare di acquisti ad un</w:t>
      </w:r>
      <w:r>
        <w:t>’</w:t>
      </w:r>
      <w:r w:rsidRPr="007F7EBF">
        <w:t>azienda con elevata percentuale di ricarico, i ricavi aument</w:t>
      </w:r>
      <w:r>
        <w:t>a</w:t>
      </w:r>
      <w:r w:rsidRPr="007F7EBF">
        <w:t xml:space="preserve">no poco più </w:t>
      </w:r>
      <w:r>
        <w:t>de</w:t>
      </w:r>
      <w:r w:rsidRPr="007F7EBF">
        <w:t xml:space="preserve">i maggiori acquisti inseriti nel modello.  </w:t>
      </w:r>
    </w:p>
  </w:footnote>
  <w:footnote w:id="647">
    <w:p w14:paraId="15D16004" w14:textId="77777777" w:rsidR="003B7460" w:rsidRPr="007F7EBF" w:rsidRDefault="003B7460" w:rsidP="00565E11">
      <w:pPr>
        <w:pStyle w:val="Testonotaapidipagina"/>
      </w:pPr>
      <w:r w:rsidRPr="007F7EBF">
        <w:rPr>
          <w:rStyle w:val="Rimandonotaapidipagina"/>
        </w:rPr>
        <w:footnoteRef/>
      </w:r>
      <w:r w:rsidRPr="007F7EBF">
        <w:t xml:space="preserve"> ) E' una grossolana applicabilità astratta a chiunque abbia ricavi inferiori a una certa cifra, indipendentemente dalla tipologia di clientela e quindi dalla possibilità di ricchezza non registrata. Lo si vede clamorosamente nell'avvilente assoggettamento agli studi dei lavoratori indipendenti  che non operano al consumo finale, bensì verso organizzazioni che pretendono fattura e magari effettuano ritenute alla fonte. Si pensi ai rappresentanti di commercio, e a tutte le partite IVA “</w:t>
      </w:r>
      <w:proofErr w:type="spellStart"/>
      <w:r w:rsidRPr="007F7EBF">
        <w:t>monocliente</w:t>
      </w:r>
      <w:proofErr w:type="spellEnd"/>
      <w:r w:rsidRPr="007F7EBF">
        <w:t xml:space="preserve">” (sostanzialmente lavoratori dipendenti) che sarebbero soggetti agli studi di settore senza alcuna possibilità, per ragioni di tempo e/o di competenze professionali, si svolgere prestazioni “in nero” a consumatori finali. </w:t>
      </w:r>
    </w:p>
  </w:footnote>
  <w:footnote w:id="648">
    <w:p w14:paraId="1C5D3313" w14:textId="77777777" w:rsidR="003B7460" w:rsidRPr="007F7EBF" w:rsidRDefault="003B7460" w:rsidP="00565E11">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Anche l’applicazione degli studi ad attività economiche, che si prestano a una verifica presuntiva personalizzata in base al valore di mercato dei beni venduti (ad esempio per le costruzioni edilizie) appare priva di senso economico.</w:t>
      </w:r>
    </w:p>
  </w:footnote>
  <w:footnote w:id="649">
    <w:p w14:paraId="3880B75F" w14:textId="77777777" w:rsidR="003B7460" w:rsidRPr="007F7EBF" w:rsidRDefault="003B7460" w:rsidP="00ED1E2B">
      <w:pPr>
        <w:pStyle w:val="Testonotaapidipagina"/>
      </w:pPr>
      <w:r w:rsidRPr="007F7EBF">
        <w:rPr>
          <w:rStyle w:val="Rimandonotaapidipagina"/>
        </w:rPr>
        <w:footnoteRef/>
      </w:r>
      <w:r w:rsidRPr="007F7EBF">
        <w:t xml:space="preserve"> ) La spiegazione di questi confronti è spesso intellettualmente complessa, e quindi i giudici preferiscono la scorciatoia argomentativa astratta sulla sufficienza o meno dello studio alla rettifica; se quindi il risultato è "convincente in concreto" gli studi vengono promossi "in astratto", oppure il contrario,  con una apparente schizofrenia che riconferma i limiti della giurisprudenza nella sistematizzazione dei concetti. Si ritrova, anche a proposito degli studi di settore, il filo conduttore del presente volume, secondo cui “le istituzioni non spiegano”: anche a proposito delle stime in esame la giurisprudenza “prima decide”, istintivamente, e poi costruisce la motivazione. </w:t>
      </w:r>
    </w:p>
  </w:footnote>
  <w:footnote w:id="650">
    <w:p w14:paraId="477B2176" w14:textId="77777777" w:rsidR="003B7460" w:rsidRPr="007F7EBF" w:rsidRDefault="003B7460" w:rsidP="00565E11">
      <w:pPr>
        <w:pStyle w:val="Testonotaapidipagina"/>
      </w:pPr>
      <w:r w:rsidRPr="007F7EBF">
        <w:rPr>
          <w:rStyle w:val="Rimandonotaapidipagina"/>
        </w:rPr>
        <w:footnoteRef/>
      </w:r>
      <w:r w:rsidRPr="007F7EBF">
        <w:t xml:space="preserve"> Rinviamo al par.3.12 sull'omessa fatturazione dei ricavi verso consumatori finali, rispetto a quelli verso operatori economici bisognosi di costi e con IVA detraibile.</w:t>
      </w:r>
    </w:p>
  </w:footnote>
  <w:footnote w:id="651">
    <w:p w14:paraId="59BF8900" w14:textId="77777777" w:rsidR="003B7460" w:rsidRPr="007F7EBF" w:rsidRDefault="003B7460" w:rsidP="00565E11">
      <w:pPr>
        <w:pStyle w:val="Testonotaapidipagina"/>
      </w:pPr>
      <w:r w:rsidRPr="007F7EBF">
        <w:rPr>
          <w:rStyle w:val="Rimandonotaapidipagina"/>
        </w:rPr>
        <w:footnoteRef/>
      </w:r>
      <w:r w:rsidRPr="007F7EBF">
        <w:t xml:space="preserve"> ) Quando una attività in buona parte operante in contanti ha la maggior parte dei ricavi incassati con assegni, carte di credito e bonifici, è verosimile che i contanti non siano stati registrati. </w:t>
      </w:r>
    </w:p>
  </w:footnote>
  <w:footnote w:id="652">
    <w:p w14:paraId="23F7BCBD" w14:textId="77777777" w:rsidR="003B7460" w:rsidRPr="007F7EBF" w:rsidRDefault="003B7460" w:rsidP="00565E11">
      <w:pPr>
        <w:pStyle w:val="Testonotaapidipagina"/>
      </w:pPr>
      <w:r w:rsidRPr="007F7EBF">
        <w:rPr>
          <w:rStyle w:val="Rimandonotaapidipagina"/>
        </w:rPr>
        <w:footnoteRef/>
      </w:r>
      <w:r w:rsidRPr="007F7EBF">
        <w:t xml:space="preserve"> ) Anch’essa descritta al par.4.5, e composta di tracciabilità, scontrini, spesometri e altri indizi contabili di cui ai parr.3.6, 5.9 e 5.16. </w:t>
      </w:r>
    </w:p>
  </w:footnote>
  <w:footnote w:id="653">
    <w:p w14:paraId="62E93FCA" w14:textId="18138129" w:rsidR="003B7460" w:rsidRDefault="003B7460">
      <w:pPr>
        <w:pStyle w:val="Testonotaapidipagina"/>
      </w:pPr>
      <w:r>
        <w:rPr>
          <w:rStyle w:val="Rimandonotaapidipagina"/>
        </w:rPr>
        <w:footnoteRef/>
      </w:r>
      <w:r>
        <w:t xml:space="preserve"> ) E’ la reazione “asimmetrica” a tutte le forfettizzazioni dell’imponibile, indicato al par.1.11. </w:t>
      </w:r>
    </w:p>
  </w:footnote>
  <w:footnote w:id="654">
    <w:p w14:paraId="6637451A" w14:textId="09B835AB" w:rsidR="003B7460" w:rsidRPr="007F7EBF" w:rsidRDefault="003B7460">
      <w:pPr>
        <w:pStyle w:val="Testonotaapidipagina"/>
      </w:pPr>
      <w:r w:rsidRPr="007F7EBF">
        <w:rPr>
          <w:rStyle w:val="Rimandonotaapidipagina"/>
        </w:rPr>
        <w:footnoteRef/>
      </w:r>
      <w:r>
        <w:t xml:space="preserve">) Con espressioni “esoteriche”, come il </w:t>
      </w:r>
      <w:r w:rsidRPr="007F7EBF">
        <w:t>difficile concetto di “soggetti congrui, ma non coerenti”.</w:t>
      </w:r>
    </w:p>
  </w:footnote>
  <w:footnote w:id="655">
    <w:p w14:paraId="3C2F6C97" w14:textId="3E8EB5FB" w:rsidR="003B7460" w:rsidRPr="007F7EBF" w:rsidRDefault="003B7460">
      <w:pPr>
        <w:pStyle w:val="Testonotaapidipagina"/>
      </w:pPr>
      <w:r w:rsidRPr="007F7EBF">
        <w:rPr>
          <w:rStyle w:val="Rimandonotaapidipagina"/>
        </w:rPr>
        <w:footnoteRef/>
      </w:r>
      <w:r w:rsidRPr="007F7EBF">
        <w:t xml:space="preserve"> ) </w:t>
      </w:r>
      <w:r>
        <w:rPr>
          <w:sz w:val="22"/>
          <w:szCs w:val="22"/>
        </w:rPr>
        <w:t xml:space="preserve">Che </w:t>
      </w:r>
      <w:r w:rsidRPr="007F7EBF">
        <w:rPr>
          <w:sz w:val="22"/>
          <w:szCs w:val="22"/>
        </w:rPr>
        <w:t>spingono i clienti ad essere in regola, con gli studi di settore</w:t>
      </w:r>
      <w:r w:rsidRPr="007F7EBF">
        <w:t xml:space="preserve"> </w:t>
      </w:r>
      <w:r>
        <w:t xml:space="preserve">, come indicato al par.3.16, con un </w:t>
      </w:r>
      <w:r w:rsidRPr="007F7EBF">
        <w:t>caso di “tassazione attraverso i professionisti”</w:t>
      </w:r>
      <w:r>
        <w:t xml:space="preserve">; questi ultimi, </w:t>
      </w:r>
      <w:r w:rsidRPr="007F7EBF">
        <w:t>per scrupolo e prevenzione di contestazioni</w:t>
      </w:r>
      <w:r>
        <w:t>,</w:t>
      </w:r>
      <w:r w:rsidRPr="007F7EBF">
        <w:t xml:space="preserve"> spingono il cliente a</w:t>
      </w:r>
      <w:r>
        <w:t xml:space="preserve"> </w:t>
      </w:r>
      <w:r w:rsidRPr="007F7EBF">
        <w:t>essere "congruo e coerente" con gli studi di settore.</w:t>
      </w:r>
    </w:p>
  </w:footnote>
  <w:footnote w:id="656">
    <w:p w14:paraId="13F072E6" w14:textId="2E808D14" w:rsidR="003B7460" w:rsidRPr="00AB1592" w:rsidRDefault="003B7460" w:rsidP="00AB1592">
      <w:pPr>
        <w:autoSpaceDE w:val="0"/>
        <w:autoSpaceDN w:val="0"/>
        <w:adjustRightInd w:val="0"/>
        <w:rPr>
          <w:bCs/>
          <w:sz w:val="20"/>
          <w:szCs w:val="20"/>
        </w:rPr>
      </w:pPr>
      <w:r w:rsidRPr="007F7EBF">
        <w:rPr>
          <w:rStyle w:val="Rimandonotaapidipagina"/>
          <w:sz w:val="20"/>
          <w:szCs w:val="20"/>
        </w:rPr>
        <w:footnoteRef/>
      </w:r>
      <w:r w:rsidRPr="007F7EBF">
        <w:rPr>
          <w:sz w:val="20"/>
          <w:szCs w:val="20"/>
        </w:rPr>
        <w:t xml:space="preserve"> </w:t>
      </w:r>
      <w:r>
        <w:rPr>
          <w:sz w:val="20"/>
          <w:szCs w:val="20"/>
        </w:rPr>
        <w:t>) Che servivano a riequilibrare un sistema dove erano tassati solo i redditi agricoli e non quelli artigianali o commerciali, come visto al par.1.8</w:t>
      </w:r>
      <w:r w:rsidRPr="007F7EBF">
        <w:t>.</w:t>
      </w:r>
    </w:p>
  </w:footnote>
  <w:footnote w:id="657">
    <w:p w14:paraId="05C19F78" w14:textId="77777777" w:rsidR="003B7460" w:rsidRDefault="003B7460" w:rsidP="00145BB0">
      <w:pPr>
        <w:pStyle w:val="Testonotaapidipagina"/>
      </w:pPr>
      <w:r>
        <w:rPr>
          <w:rStyle w:val="Rimandonotaapidipagina"/>
        </w:rPr>
        <w:footnoteRef/>
      </w:r>
      <w:r>
        <w:t xml:space="preserve"> ) Che soppresse l’imposta di famiglia, basata sul tenore di vita.  </w:t>
      </w:r>
    </w:p>
  </w:footnote>
  <w:footnote w:id="658">
    <w:p w14:paraId="279BD5D2" w14:textId="1A8D8C23" w:rsidR="003B7460" w:rsidRDefault="003B7460">
      <w:pPr>
        <w:pStyle w:val="Testonotaapidipagina"/>
      </w:pPr>
      <w:r>
        <w:rPr>
          <w:rStyle w:val="Rimandonotaapidipagina"/>
        </w:rPr>
        <w:footnoteRef/>
      </w:r>
      <w:r>
        <w:t xml:space="preserve"> ) Così chiamato in quanto non “analizzava” le varie fonti di reddito, ma esprimeva tale concetto “in sintesi”, in base alla spesa. Quest’ultima però andava a sua volta “analizzata”, e con molta più fatica, in quanto assai più dispersiva. </w:t>
      </w:r>
    </w:p>
  </w:footnote>
  <w:footnote w:id="659">
    <w:p w14:paraId="48FE1A67" w14:textId="428E4C0C" w:rsidR="003B7460" w:rsidRDefault="003B7460">
      <w:pPr>
        <w:pStyle w:val="Testonotaapidipagina"/>
      </w:pPr>
      <w:r>
        <w:rPr>
          <w:rStyle w:val="Rimandonotaapidipagina"/>
        </w:rPr>
        <w:footnoteRef/>
      </w:r>
      <w:r>
        <w:t xml:space="preserve"> ) Tendente alla “</w:t>
      </w:r>
      <w:proofErr w:type="spellStart"/>
      <w:r>
        <w:t>ragionierizzazione</w:t>
      </w:r>
      <w:proofErr w:type="spellEnd"/>
      <w:r>
        <w:t xml:space="preserve"> delle stime” secondo gli istinti di cui al par. 4.5, e già vista per gli studi di settore. </w:t>
      </w:r>
    </w:p>
  </w:footnote>
  <w:footnote w:id="660">
    <w:p w14:paraId="4C6F7468" w14:textId="77777777" w:rsidR="003B7460" w:rsidRPr="007F7EBF" w:rsidRDefault="003B7460" w:rsidP="006D287F">
      <w:pPr>
        <w:pStyle w:val="Testonotaapidipagina"/>
      </w:pPr>
      <w:r w:rsidRPr="007F7EBF">
        <w:rPr>
          <w:rStyle w:val="Rimandonotaapidipagina"/>
        </w:rPr>
        <w:footnoteRef/>
      </w:r>
      <w:r w:rsidRPr="007F7EBF">
        <w:t xml:space="preserve"> ) Sul collegamento con l'imposta sulle donazioni par.10.5. </w:t>
      </w:r>
    </w:p>
  </w:footnote>
  <w:footnote w:id="661">
    <w:p w14:paraId="03B92F05" w14:textId="77777777" w:rsidR="003B7460" w:rsidRPr="007F7EBF" w:rsidRDefault="003B7460" w:rsidP="006D287F">
      <w:pPr>
        <w:pStyle w:val="Testonotaapidipagina"/>
      </w:pPr>
      <w:r w:rsidRPr="007F7EBF">
        <w:rPr>
          <w:rStyle w:val="Rimandonotaapidipagina"/>
        </w:rPr>
        <w:footnoteRef/>
      </w:r>
      <w:r w:rsidRPr="007F7EBF">
        <w:t xml:space="preserve"> ) Queste inefficienze confermano l’utilità dello strumento solo come soluzione di ripiego, quando le informazioni sulla produzione dei redditi sono insufficienti.  </w:t>
      </w:r>
    </w:p>
  </w:footnote>
  <w:footnote w:id="662">
    <w:p w14:paraId="24846D24" w14:textId="77777777" w:rsidR="003B7460" w:rsidRPr="007F7EBF" w:rsidRDefault="003B7460" w:rsidP="006D287F">
      <w:pPr>
        <w:pStyle w:val="Testonotaapidipagina"/>
      </w:pPr>
      <w:r w:rsidRPr="007F7EBF">
        <w:rPr>
          <w:rStyle w:val="Rimandonotaapidipagina"/>
        </w:rPr>
        <w:footnoteRef/>
      </w:r>
      <w:r w:rsidRPr="007F7EBF">
        <w:t xml:space="preserve"> ) Come tanti indizi rilevanti ai fini della determinazione della ricchezza, anche il tenore di vita </w:t>
      </w:r>
      <w:r w:rsidRPr="007F7EBF">
        <w:rPr>
          <w:i/>
        </w:rPr>
        <w:t>non basta ma aiuta.</w:t>
      </w:r>
      <w:r w:rsidRPr="007F7EBF">
        <w:t xml:space="preserve"> Sul coordinamento di questi indizi sarebbe fondamentale lo schedario permanente di cui al par.5.7. </w:t>
      </w:r>
    </w:p>
  </w:footnote>
  <w:footnote w:id="663">
    <w:p w14:paraId="0A749AA8" w14:textId="77777777" w:rsidR="003B7460" w:rsidRPr="007F7EBF" w:rsidRDefault="003B7460">
      <w:pPr>
        <w:pStyle w:val="Testonotaapidipagina"/>
      </w:pPr>
      <w:r w:rsidRPr="007F7EBF">
        <w:rPr>
          <w:rStyle w:val="Rimandonotaapidipagina"/>
        </w:rPr>
        <w:footnoteRef/>
      </w:r>
      <w:r w:rsidRPr="007F7EBF">
        <w:t xml:space="preserve"> ) Si trattava di una strategia politico comunicazionale, completamente spregiudicata rispetto alla determinazione della ricchezza, per cui paradossalmente “spingeva” un ministro dell’economia che era professore di diritto tributario. </w:t>
      </w:r>
    </w:p>
  </w:footnote>
  <w:footnote w:id="664">
    <w:p w14:paraId="55C2D9BD" w14:textId="2F2A5179" w:rsidR="003B7460" w:rsidRDefault="003B7460">
      <w:pPr>
        <w:pStyle w:val="Testonotaapidipagina"/>
      </w:pPr>
      <w:r>
        <w:rPr>
          <w:rStyle w:val="Rimandonotaapidipagina"/>
        </w:rPr>
        <w:footnoteRef/>
      </w:r>
      <w:r>
        <w:t xml:space="preserve"> ) </w:t>
      </w:r>
      <w:r w:rsidRPr="007F7EBF">
        <w:rPr>
          <w:sz w:val="22"/>
          <w:szCs w:val="22"/>
        </w:rPr>
        <w:t xml:space="preserve">Lo stesso vale per le spese personali di parecchi </w:t>
      </w:r>
      <w:proofErr w:type="spellStart"/>
      <w:r w:rsidRPr="007F7EBF">
        <w:rPr>
          <w:sz w:val="22"/>
          <w:szCs w:val="22"/>
        </w:rPr>
        <w:t>industrialotti</w:t>
      </w:r>
      <w:proofErr w:type="spellEnd"/>
      <w:r w:rsidRPr="007F7EBF">
        <w:rPr>
          <w:sz w:val="22"/>
          <w:szCs w:val="22"/>
        </w:rPr>
        <w:t>, magari con un reddito dichiarato “rispettabile”, ma che acquistano di continuo auto di lusso, natanti, gioielli e servizi costosi, incompatibili cui redditi dichiarati negli anni, e il finanziamento verosimilmente proviene dalla ricchezza non registrata presso l’azienda</w:t>
      </w:r>
      <w:r>
        <w:rPr>
          <w:sz w:val="22"/>
          <w:szCs w:val="22"/>
        </w:rPr>
        <w:t>, nei modi di cui al par.3.7</w:t>
      </w:r>
      <w:r w:rsidRPr="007F7EBF">
        <w:rPr>
          <w:sz w:val="22"/>
          <w:szCs w:val="22"/>
        </w:rPr>
        <w:t>.</w:t>
      </w:r>
    </w:p>
  </w:footnote>
  <w:footnote w:id="665">
    <w:p w14:paraId="5C1B7927" w14:textId="1B645A83" w:rsidR="003B7460" w:rsidRPr="007F7EBF" w:rsidRDefault="003B7460" w:rsidP="008D2335">
      <w:pPr>
        <w:pStyle w:val="Testonotaapidipagina"/>
      </w:pPr>
      <w:r w:rsidRPr="007F7EBF">
        <w:rPr>
          <w:rStyle w:val="Rimandonotaapidipagina"/>
        </w:rPr>
        <w:footnoteRef/>
      </w:r>
      <w:r w:rsidRPr="007F7EBF">
        <w:t xml:space="preserve"> ) Dovuta, oltre che alla concorrenza di paesi più competitivi, anche a cause interne, come la mancanza, attorno alle aziende, di un’intelaiatura di </w:t>
      </w:r>
      <w:r>
        <w:t>pubblici uffici</w:t>
      </w:r>
      <w:r w:rsidRPr="007F7EBF">
        <w:t xml:space="preserve"> efficienti (ne vedremo degli esempi al par.5.17 </w:t>
      </w:r>
      <w:proofErr w:type="spellStart"/>
      <w:r w:rsidRPr="007F7EBF">
        <w:t>ss</w:t>
      </w:r>
      <w:proofErr w:type="spellEnd"/>
      <w:r w:rsidRPr="007F7EBF">
        <w:t xml:space="preserve">, col dissennato </w:t>
      </w:r>
      <w:r w:rsidRPr="00DA788B">
        <w:rPr>
          <w:i/>
        </w:rPr>
        <w:t>transfert</w:t>
      </w:r>
      <w:r w:rsidRPr="007F7EBF">
        <w:t xml:space="preserve"> </w:t>
      </w:r>
      <w:r>
        <w:t xml:space="preserve">psicologico </w:t>
      </w:r>
      <w:r w:rsidRPr="007F7EBF">
        <w:t xml:space="preserve">sulle aziende di una fantomatica </w:t>
      </w:r>
      <w:r w:rsidRPr="007F7EBF">
        <w:rPr>
          <w:i/>
        </w:rPr>
        <w:t>grande evasione</w:t>
      </w:r>
      <w:r w:rsidRPr="007F7EBF">
        <w:t xml:space="preserve">). </w:t>
      </w:r>
    </w:p>
  </w:footnote>
  <w:footnote w:id="666">
    <w:p w14:paraId="36613C7E" w14:textId="77777777" w:rsidR="003B7460" w:rsidRPr="007F7EBF" w:rsidRDefault="003B7460" w:rsidP="00A029EE">
      <w:pPr>
        <w:pStyle w:val="Testonotaapidipagina"/>
      </w:pPr>
      <w:r w:rsidRPr="007F7EBF">
        <w:rPr>
          <w:rStyle w:val="Rimandonotaapidipagina"/>
        </w:rPr>
        <w:footnoteRef/>
      </w:r>
      <w:r w:rsidRPr="007F7EBF">
        <w:t xml:space="preserve"> ) Ad esempio fitti e subaffitti non dichiarati al fisco</w:t>
      </w:r>
      <w:r>
        <w:t>, Bed &amp; Breakfast semiclandestini, luoghi di ritrovo mascherati da associazioni culturali, etc..</w:t>
      </w:r>
    </w:p>
  </w:footnote>
  <w:footnote w:id="667">
    <w:p w14:paraId="4D01E4A6" w14:textId="48E6D98A" w:rsidR="003B7460" w:rsidRPr="007F7EBF" w:rsidRDefault="003B7460" w:rsidP="00A029EE">
      <w:pPr>
        <w:pStyle w:val="Testonotaapidipagina"/>
      </w:pPr>
      <w:r w:rsidRPr="007F7EBF">
        <w:rPr>
          <w:rStyle w:val="Rimandonotaapidipagina"/>
        </w:rPr>
        <w:footnoteRef/>
      </w:r>
      <w:r w:rsidRPr="007F7EBF">
        <w:t xml:space="preserve"> </w:t>
      </w:r>
      <w:r>
        <w:t>) B</w:t>
      </w:r>
      <w:r w:rsidRPr="007F7EBF">
        <w:t xml:space="preserve">asta infatti passeggiare sulla via Tuscolana di Roma, dalla Metro di Anagnina alla salita del </w:t>
      </w:r>
      <w:proofErr w:type="spellStart"/>
      <w:r w:rsidRPr="007F7EBF">
        <w:t>Quadraro</w:t>
      </w:r>
      <w:proofErr w:type="spellEnd"/>
      <w:r w:rsidRPr="007F7EBF">
        <w:t xml:space="preserve"> per vedere più “nero” e presumibili “evasori totali” di quelli riportati sui rendiconti annuali delle istituzioni. Si conferma che una illegalità diffusa, ma lieve, suscita una sorta di impunità, anche se da qui, come indicato al par.4.2, viene una buona fetta de</w:t>
      </w:r>
      <w:r>
        <w:t xml:space="preserve">ll’evasione di cui al par.1.6. </w:t>
      </w:r>
      <w:r w:rsidRPr="007F7EBF">
        <w:t xml:space="preserve">Per gestire questa situazione non è sufficiente  qualche </w:t>
      </w:r>
      <w:r>
        <w:t>azione simbolica da riversare in un comunicato</w:t>
      </w:r>
      <w:r w:rsidRPr="007F7EBF">
        <w:t xml:space="preserve"> stampa</w:t>
      </w:r>
      <w:r>
        <w:t xml:space="preserve">, ma serve una spiegazione scientifico sociale della determinazione degli imponibili, come essenza della funzione tributaria. </w:t>
      </w:r>
    </w:p>
  </w:footnote>
  <w:footnote w:id="668">
    <w:p w14:paraId="4DE6F0AF" w14:textId="034B1A79" w:rsidR="003B7460" w:rsidRPr="007F7EBF" w:rsidRDefault="003B7460" w:rsidP="008D233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Si crea altrimenti una </w:t>
      </w:r>
      <w:r>
        <w:rPr>
          <w:sz w:val="20"/>
          <w:szCs w:val="20"/>
        </w:rPr>
        <w:t>“s</w:t>
      </w:r>
      <w:r w:rsidRPr="007F7EBF">
        <w:rPr>
          <w:sz w:val="20"/>
          <w:szCs w:val="20"/>
        </w:rPr>
        <w:t>perequazione tra poveri</w:t>
      </w:r>
      <w:r>
        <w:rPr>
          <w:sz w:val="20"/>
          <w:szCs w:val="20"/>
        </w:rPr>
        <w:t xml:space="preserve">”, </w:t>
      </w:r>
      <w:r w:rsidRPr="007F7EBF">
        <w:rPr>
          <w:sz w:val="20"/>
          <w:szCs w:val="20"/>
        </w:rPr>
        <w:t xml:space="preserve">rispetto a lavoratori a tempo pieno, anch'essi con redditi di sopravvivenza, ma </w:t>
      </w:r>
      <w:r>
        <w:rPr>
          <w:sz w:val="20"/>
          <w:szCs w:val="20"/>
        </w:rPr>
        <w:t xml:space="preserve">che lavorano per organizzazioni rigide e quindi pienamente incisi </w:t>
      </w:r>
      <w:r w:rsidRPr="007F7EBF">
        <w:rPr>
          <w:sz w:val="20"/>
          <w:szCs w:val="20"/>
        </w:rPr>
        <w:t xml:space="preserve">dal "cuneo fiscale" </w:t>
      </w:r>
      <w:r>
        <w:rPr>
          <w:sz w:val="20"/>
          <w:szCs w:val="20"/>
        </w:rPr>
        <w:t xml:space="preserve">di cui al </w:t>
      </w:r>
      <w:r w:rsidRPr="007F7EBF">
        <w:rPr>
          <w:sz w:val="20"/>
          <w:szCs w:val="20"/>
        </w:rPr>
        <w:t xml:space="preserve">par.3.8. </w:t>
      </w:r>
    </w:p>
  </w:footnote>
  <w:footnote w:id="669">
    <w:p w14:paraId="215A23D4" w14:textId="21BE7F14" w:rsidR="003B7460" w:rsidRPr="007F7EBF" w:rsidRDefault="003B7460" w:rsidP="00F9317B">
      <w:pPr>
        <w:pStyle w:val="Testonotaapidipagina"/>
      </w:pPr>
      <w:r w:rsidRPr="007F7EBF">
        <w:rPr>
          <w:rStyle w:val="Rimandonotaapidipagina"/>
        </w:rPr>
        <w:footnoteRef/>
      </w:r>
      <w:r w:rsidRPr="007F7EBF">
        <w:t xml:space="preserve"> ) Evitando di trovarsi davanti a milioni di individui che, come i gigli dei campi, </w:t>
      </w:r>
      <w:r w:rsidRPr="007F7EBF">
        <w:rPr>
          <w:i/>
        </w:rPr>
        <w:t>non seminano, non raccolgono, eppure il signore li nutre</w:t>
      </w:r>
      <w:r w:rsidRPr="007F7EBF">
        <w:t xml:space="preserve"> </w:t>
      </w:r>
      <w:r>
        <w:t>con domande simili a</w:t>
      </w:r>
      <w:r w:rsidRPr="007F7EBF">
        <w:t xml:space="preserve"> quelle </w:t>
      </w:r>
      <w:r>
        <w:t xml:space="preserve">di </w:t>
      </w:r>
      <w:r w:rsidRPr="007F7EBF">
        <w:t xml:space="preserve">Nanni Moretti </w:t>
      </w:r>
      <w:r>
        <w:t>nella scena d</w:t>
      </w:r>
      <w:r w:rsidRPr="007F7EBF">
        <w:t xml:space="preserve">el film Ecce Bombo, reperibile su </w:t>
      </w:r>
      <w:proofErr w:type="spellStart"/>
      <w:r w:rsidRPr="007F7EBF">
        <w:t>Youtube</w:t>
      </w:r>
      <w:proofErr w:type="spellEnd"/>
      <w:r w:rsidRPr="007F7EBF">
        <w:t xml:space="preserve"> digitando “Vedo gente, faccio cose”.</w:t>
      </w:r>
    </w:p>
  </w:footnote>
  <w:footnote w:id="670">
    <w:p w14:paraId="6F399CBA" w14:textId="2E0A1C6C" w:rsidR="003B7460" w:rsidRPr="007F7EBF" w:rsidRDefault="003B7460">
      <w:pPr>
        <w:pStyle w:val="Testonotaapidipagina"/>
      </w:pPr>
      <w:r w:rsidRPr="007F7EBF">
        <w:rPr>
          <w:rStyle w:val="Rimandonotaapidipagina"/>
        </w:rPr>
        <w:footnoteRef/>
      </w:r>
      <w:r w:rsidRPr="007F7EBF">
        <w:t xml:space="preserve"> </w:t>
      </w:r>
      <w:r>
        <w:t>C</w:t>
      </w:r>
      <w:r w:rsidRPr="007F7EBF">
        <w:rPr>
          <w:sz w:val="22"/>
          <w:szCs w:val="22"/>
        </w:rPr>
        <w:t>he oggi rischiano di finire a “finti poveri”</w:t>
      </w:r>
      <w:r>
        <w:rPr>
          <w:sz w:val="22"/>
          <w:szCs w:val="22"/>
        </w:rPr>
        <w:t>, c</w:t>
      </w:r>
      <w:r w:rsidRPr="007F7EBF">
        <w:t xml:space="preserve">ompresi gli esoneri da tasse e tickets </w:t>
      </w:r>
      <w:r>
        <w:t xml:space="preserve">o sussidi </w:t>
      </w:r>
      <w:r w:rsidRPr="007F7EBF">
        <w:t>come il c.d. “reddito di cittadinanza”</w:t>
      </w:r>
      <w:r>
        <w:t xml:space="preserve"> (par.2.2 sull’ISEE).</w:t>
      </w:r>
    </w:p>
  </w:footnote>
  <w:footnote w:id="671">
    <w:p w14:paraId="6BF7887F" w14:textId="77777777" w:rsidR="003B7460" w:rsidRPr="007F7EBF" w:rsidRDefault="003B7460" w:rsidP="00314D8C">
      <w:pPr>
        <w:pStyle w:val="Testonotaapidipagina"/>
      </w:pPr>
      <w:r w:rsidRPr="007F7EBF">
        <w:rPr>
          <w:rStyle w:val="Rimandonotaapidipagina"/>
        </w:rPr>
        <w:footnoteRef/>
      </w:r>
      <w:r w:rsidRPr="007F7EBF">
        <w:t xml:space="preserve"> ) Abbiamo già detto che lo ignora persino la banca. </w:t>
      </w:r>
    </w:p>
  </w:footnote>
  <w:footnote w:id="672">
    <w:p w14:paraId="314355B3" w14:textId="46EEC577" w:rsidR="003B7460" w:rsidRPr="007F7EBF" w:rsidRDefault="003B7460" w:rsidP="00514955">
      <w:pPr>
        <w:pStyle w:val="Testonotaapidipagina"/>
      </w:pPr>
      <w:r w:rsidRPr="007F7EBF">
        <w:rPr>
          <w:rStyle w:val="Rimandonotaapidipagina"/>
        </w:rPr>
        <w:footnoteRef/>
      </w:r>
      <w:r w:rsidRPr="007F7EBF">
        <w:t xml:space="preserve"> Art. 51 comma 2 decreto IVA e art. 32 n. 2 decreto 600..</w:t>
      </w:r>
    </w:p>
  </w:footnote>
  <w:footnote w:id="673">
    <w:p w14:paraId="7F3B78CF" w14:textId="77777777" w:rsidR="003B7460" w:rsidRPr="007F7EBF" w:rsidRDefault="003B7460" w:rsidP="00EC05D8">
      <w:pPr>
        <w:pStyle w:val="Testonotaapidipagina"/>
      </w:pPr>
      <w:r w:rsidRPr="007F7EBF">
        <w:rPr>
          <w:rStyle w:val="Rimandonotaapidipagina"/>
        </w:rPr>
        <w:footnoteRef/>
      </w:r>
      <w:r w:rsidRPr="007F7EBF">
        <w:t xml:space="preserve"> E' inoltre da chiedersi in questo caso se i versamenti non registrati fiscalmente debbano essere maggiorati dell'IVA, o essa vi si consideri immanente. Per le prestazioni al consumo finale questa è senz'altro la soluzione corretta, in quanto le due cifre sono cumulate. Così dovrebbe ritenersi anche per le prestazioni in cui sussiste l'obbligo di fatturazione, ma qui vi è possibilità di ritenere che l'IVA non è stata pagata.</w:t>
      </w:r>
    </w:p>
  </w:footnote>
  <w:footnote w:id="674">
    <w:p w14:paraId="279693AA" w14:textId="71A1418B" w:rsidR="003B7460" w:rsidRPr="007F7EBF" w:rsidRDefault="003B7460" w:rsidP="0051495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Queste presunzioni conducono spesso ad accertamenti grossolani, che la Cassazione, davanti alla prospettiva di vanificare l’atto di accertamento, tende a salvaguardare</w:t>
      </w:r>
      <w:r>
        <w:rPr>
          <w:sz w:val="20"/>
          <w:szCs w:val="20"/>
        </w:rPr>
        <w:t xml:space="preserve"> (nella tendenza di cui al par.6.10)</w:t>
      </w:r>
      <w:r w:rsidRPr="007F7EBF">
        <w:rPr>
          <w:sz w:val="20"/>
          <w:szCs w:val="20"/>
        </w:rPr>
        <w:t>. E'  un caso in cui il “rigore normativo” diventa controproducente, in quanto provoca un'azione amministrativa contraria al senso comune, dalla quale gli uffici finiscono per astenersi (con un ulteriore motivo di paralisi dell'azione amministrativa) oppure per creare dei "martiri mediatici", di vessazioni fiscali nel senso indicato al par.5.3 . I vertici dell'agenzia delle entrate sono consapevoli da anni di questa stupidità normativa, ma una abrogazione o una modifica non viene vista portatrice di alcun "dividendo politico", nel senso indicato al par.2.4. Vedremo al par.6.10 che è uno dei casi in cui i giudici dovrebbero annullare l'accertamento bancario sbrigativo, effettuato in carenza di contraddittorio, con possibilità di emanare un nuovo atto immune dal vizio, in esecuzione del giudicato.</w:t>
      </w:r>
    </w:p>
  </w:footnote>
  <w:footnote w:id="675">
    <w:p w14:paraId="3065C692" w14:textId="50428BED" w:rsidR="003B7460" w:rsidRDefault="003B7460">
      <w:pPr>
        <w:pStyle w:val="Testonotaapidipagina"/>
      </w:pPr>
      <w:r>
        <w:rPr>
          <w:rStyle w:val="Rimandonotaapidipagina"/>
        </w:rPr>
        <w:footnoteRef/>
      </w:r>
      <w:r>
        <w:t xml:space="preserve"> ) Analoghe a quelle effettuate dagli uffici contabili di aziende e altre organizzazioni. </w:t>
      </w:r>
    </w:p>
  </w:footnote>
  <w:footnote w:id="676">
    <w:p w14:paraId="05B6BB75" w14:textId="77777777" w:rsidR="003B7460" w:rsidRPr="007F7EBF" w:rsidRDefault="003B7460" w:rsidP="007B3242">
      <w:pPr>
        <w:pStyle w:val="Testonotaapidipagina"/>
      </w:pPr>
      <w:r w:rsidRPr="007F7EBF">
        <w:rPr>
          <w:rStyle w:val="Rimandonotaapidipagina"/>
        </w:rPr>
        <w:footnoteRef/>
      </w:r>
      <w:r w:rsidRPr="007F7EBF">
        <w:t xml:space="preserve"> ) Cioè moneta elettronica fuori dal circuito bancario, tipo “</w:t>
      </w:r>
      <w:proofErr w:type="spellStart"/>
      <w:r w:rsidRPr="007F7EBF">
        <w:t>paypal</w:t>
      </w:r>
      <w:proofErr w:type="spellEnd"/>
      <w:r w:rsidRPr="007F7EBF">
        <w:t xml:space="preserve">”, poste </w:t>
      </w:r>
      <w:proofErr w:type="spellStart"/>
      <w:r w:rsidRPr="007F7EBF">
        <w:t>pay</w:t>
      </w:r>
      <w:proofErr w:type="spellEnd"/>
      <w:r w:rsidRPr="007F7EBF">
        <w:t xml:space="preserve">, carte di credito ricaricabili o ricariche di telefoni cellulari. </w:t>
      </w:r>
    </w:p>
  </w:footnote>
  <w:footnote w:id="677">
    <w:p w14:paraId="56DB6E45" w14:textId="5FF31C04" w:rsidR="003B7460" w:rsidRPr="007F7EBF" w:rsidRDefault="003B7460" w:rsidP="00B34C68">
      <w:pPr>
        <w:pStyle w:val="Testonotaapidipagina"/>
      </w:pPr>
      <w:r w:rsidRPr="007F7EBF">
        <w:rPr>
          <w:rStyle w:val="Rimandonotaapidipagina"/>
        </w:rPr>
        <w:footnoteRef/>
      </w:r>
      <w:r w:rsidRPr="007F7EBF">
        <w:t xml:space="preserve"> ) </w:t>
      </w:r>
      <w:r>
        <w:t xml:space="preserve">Ad esempio </w:t>
      </w:r>
      <w:r w:rsidRPr="007F7EBF">
        <w:t xml:space="preserve">negli atti di acquisto devono essere inseriti gli estremi dei mezzi di pagamento, anche se con l’uso delle cambiali o degli assegni una qualche forma di anonimato è ancora possibile (il compratore, dopo l’atto, riprende l’assegno o la cambiale e versa il contante). </w:t>
      </w:r>
    </w:p>
  </w:footnote>
  <w:footnote w:id="678">
    <w:p w14:paraId="480141FD" w14:textId="6E27DCC0" w:rsidR="003B7460" w:rsidRPr="007F7EBF" w:rsidRDefault="003B7460" w:rsidP="00E60236">
      <w:pPr>
        <w:pStyle w:val="Testonotaapidipagina"/>
      </w:pPr>
      <w:r w:rsidRPr="007F7EBF">
        <w:rPr>
          <w:rStyle w:val="Rimandonotaapidipagina"/>
        </w:rPr>
        <w:footnoteRef/>
      </w:r>
      <w:r w:rsidRPr="007F7EBF">
        <w:t xml:space="preserve"> ) I piccoli fornitori, lavoratori indipendenti o titolari di piccole organizzazioni, non hanno alcun problema ad accettare contanti in misura ben superiore alle soglie. Anche la richiesta di pagamenti in contanti per spese “straordinarie” di elevato importo, come riparazioni auto e lavori edilizi, è facilmente gestibile nonostante i limiti legislativi, tranquillamente ignorati nel rapporto tra </w:t>
      </w:r>
      <w:r>
        <w:t xml:space="preserve">artigiani </w:t>
      </w:r>
      <w:r w:rsidRPr="007F7EBF">
        <w:t xml:space="preserve">e clienti privati (salvo il contrasto di interessi di cui al par. 9.3. </w:t>
      </w:r>
    </w:p>
  </w:footnote>
  <w:footnote w:id="679">
    <w:p w14:paraId="17E78801" w14:textId="77777777" w:rsidR="003B7460" w:rsidRPr="007F7EBF" w:rsidRDefault="003B7460" w:rsidP="00FD3411">
      <w:pPr>
        <w:pStyle w:val="Testonotaapidipagina"/>
      </w:pPr>
      <w:r w:rsidRPr="007F7EBF">
        <w:rPr>
          <w:rStyle w:val="Rimandonotaapidipagina"/>
        </w:rPr>
        <w:footnoteRef/>
      </w:r>
      <w:r w:rsidRPr="007F7EBF">
        <w:t xml:space="preserve"> Dall'</w:t>
      </w:r>
      <w:r w:rsidRPr="007F7EBF">
        <w:rPr>
          <w:bCs/>
        </w:rPr>
        <w:t xml:space="preserve">“asocialità” di strutture </w:t>
      </w:r>
      <w:r w:rsidRPr="007F7EBF">
        <w:t xml:space="preserve">giustamente "non umane", come le aziende, si passa facilmente a considerarle  "disumane" e quindi "prive di senso civico", impropriamente usato per spiegare l’evasione fiscale (par.4.5).  </w:t>
      </w:r>
    </w:p>
  </w:footnote>
  <w:footnote w:id="680">
    <w:p w14:paraId="28595AB8" w14:textId="249B1B40" w:rsidR="003B7460" w:rsidRPr="007F7EBF" w:rsidRDefault="003B7460" w:rsidP="00FD3411">
      <w:pPr>
        <w:pStyle w:val="Testonotaapidipagina"/>
      </w:pPr>
      <w:r w:rsidRPr="007F7EBF">
        <w:rPr>
          <w:rStyle w:val="Rimandonotaapidipagina"/>
        </w:rPr>
        <w:footnoteRef/>
      </w:r>
      <w:r w:rsidRPr="007F7EBF">
        <w:t xml:space="preserve"> L'opinione pubblica è stupita dai bilanci </w:t>
      </w:r>
      <w:r w:rsidRPr="007F7EBF">
        <w:rPr>
          <w:bCs/>
        </w:rPr>
        <w:t xml:space="preserve">sempre in pareggio al centesimo, </w:t>
      </w:r>
      <w:r w:rsidRPr="007F7EBF">
        <w:t>mentre anche l’uomo della strada smarrisce con indifferenza cifre molto superiori, e neppure si china a raccogliere una moneta da meno di un euro. E' il minimo che può accadere quando, per formazione culturale (par.</w:t>
      </w:r>
      <w:r w:rsidRPr="003C43D7">
        <w:t xml:space="preserve"> </w:t>
      </w:r>
      <w:r>
        <w:t>4.1</w:t>
      </w:r>
      <w:r w:rsidRPr="007F7EBF">
        <w:t xml:space="preserve">), la massa pensa che la partita doppia sia un gioco di carte con la rivincita. Eppure basterebbe poco per spiegare che le registrazioni vengono effettuate, per gli stessi importi , in dare e in avere. </w:t>
      </w:r>
    </w:p>
  </w:footnote>
  <w:footnote w:id="681">
    <w:p w14:paraId="24ACE6E7" w14:textId="77777777" w:rsidR="003B7460" w:rsidRPr="007F7EBF" w:rsidRDefault="003B7460" w:rsidP="00FD3411">
      <w:pPr>
        <w:pStyle w:val="Testonotaapidipagina"/>
      </w:pPr>
      <w:r w:rsidRPr="007F7EBF">
        <w:rPr>
          <w:rStyle w:val="Rimandonotaapidipagina"/>
        </w:rPr>
        <w:footnoteRef/>
      </w:r>
      <w:r w:rsidRPr="007F7EBF">
        <w:t xml:space="preserve"> </w:t>
      </w:r>
      <w:r>
        <w:t>)</w:t>
      </w:r>
      <w:r w:rsidRPr="007F7EBF">
        <w:t xml:space="preserve"> Le mie stesse spiegazioni della determinazione de</w:t>
      </w:r>
      <w:r>
        <w:t xml:space="preserve">gli imponibili </w:t>
      </w:r>
      <w:r w:rsidRPr="007F7EBF">
        <w:t>attraverso le aziende sono state considerate da qualcuno come prezzolate da un fantomatico “grande capitale”</w:t>
      </w:r>
      <w:r>
        <w:t xml:space="preserve"> da chi scambia </w:t>
      </w:r>
      <w:r w:rsidRPr="007F7EBF">
        <w:t>ingenuamente le aziende co</w:t>
      </w:r>
      <w:r>
        <w:t>n</w:t>
      </w:r>
      <w:r w:rsidRPr="007F7EBF">
        <w:t xml:space="preserve"> "omoni </w:t>
      </w:r>
      <w:r>
        <w:t>pieni di</w:t>
      </w:r>
      <w:r w:rsidRPr="007F7EBF">
        <w:t xml:space="preserve"> soldi" (par.3.1) ,</w:t>
      </w:r>
      <w:r>
        <w:t xml:space="preserve"> che </w:t>
      </w:r>
      <w:r w:rsidRPr="007F7EBF">
        <w:t>compr</w:t>
      </w:r>
      <w:r>
        <w:t>a</w:t>
      </w:r>
      <w:r w:rsidRPr="007F7EBF">
        <w:t>no gli argomenti d</w:t>
      </w:r>
      <w:r>
        <w:t xml:space="preserve">egli </w:t>
      </w:r>
      <w:r w:rsidRPr="007F7EBF">
        <w:t>studios</w:t>
      </w:r>
      <w:r>
        <w:t>i</w:t>
      </w:r>
      <w:r w:rsidRPr="007F7EBF">
        <w:t xml:space="preserve"> per farsi riconoscere un ruolo, e convincere l'opinione pubblica di non essere loro i fantomatici "grandi evasori" di cui al par.4.6. </w:t>
      </w:r>
      <w:r>
        <w:t xml:space="preserve">Non ci si rende conto invece che le aziende sono programmate per pensare solo al prodotto, cioè gruppi sociali tenuti </w:t>
      </w:r>
      <w:r w:rsidRPr="007F7EBF">
        <w:t>assieme da detersivi, dolciumi, cosmetici e</w:t>
      </w:r>
      <w:r>
        <w:t xml:space="preserve">tc. </w:t>
      </w:r>
      <w:r w:rsidRPr="007F7EBF">
        <w:t>(par.3.1)</w:t>
      </w:r>
    </w:p>
  </w:footnote>
  <w:footnote w:id="682">
    <w:p w14:paraId="4CE2853B" w14:textId="0411D9F6" w:rsidR="003B7460" w:rsidRPr="007F7EBF" w:rsidRDefault="003B7460" w:rsidP="006647D4">
      <w:pPr>
        <w:pStyle w:val="Testonotaapidipagina"/>
      </w:pPr>
      <w:r w:rsidRPr="007F7EBF">
        <w:rPr>
          <w:rStyle w:val="Rimandonotaapidipagina"/>
        </w:rPr>
        <w:footnoteRef/>
      </w:r>
      <w:r w:rsidRPr="007F7EBF">
        <w:t xml:space="preserve"> ) E per certi versi </w:t>
      </w:r>
      <w:r w:rsidRPr="007F7EBF">
        <w:rPr>
          <w:i/>
        </w:rPr>
        <w:t>antiscientific</w:t>
      </w:r>
      <w:r>
        <w:rPr>
          <w:i/>
        </w:rPr>
        <w:t>a,</w:t>
      </w:r>
      <w:r w:rsidRPr="007F7EBF">
        <w:t xml:space="preserve"> retaggi</w:t>
      </w:r>
      <w:r>
        <w:t>o</w:t>
      </w:r>
      <w:r w:rsidRPr="007F7EBF">
        <w:t xml:space="preserve"> di un bagaglio culturale </w:t>
      </w:r>
      <w:proofErr w:type="spellStart"/>
      <w:r w:rsidRPr="007F7EBF">
        <w:t>tardoumanistico</w:t>
      </w:r>
      <w:proofErr w:type="spellEnd"/>
      <w:r w:rsidRPr="007F7EBF">
        <w:t>, ancorato all’epoca agricolo artigianale (par.</w:t>
      </w:r>
      <w:r w:rsidRPr="003C43D7">
        <w:t xml:space="preserve"> </w:t>
      </w:r>
      <w:r>
        <w:t>4.1</w:t>
      </w:r>
      <w:r w:rsidRPr="007F7EBF">
        <w:t xml:space="preserve">) </w:t>
      </w:r>
    </w:p>
  </w:footnote>
  <w:footnote w:id="683">
    <w:p w14:paraId="291DF709" w14:textId="77777777" w:rsidR="003B7460" w:rsidRPr="007F7EBF" w:rsidRDefault="003B7460" w:rsidP="006647D4">
      <w:pPr>
        <w:pStyle w:val="Testonotaapidipagina"/>
      </w:pPr>
      <w:r w:rsidRPr="007F7EBF">
        <w:rPr>
          <w:rStyle w:val="Rimandonotaapidipagina"/>
        </w:rPr>
        <w:footnoteRef/>
      </w:r>
      <w:r w:rsidRPr="007F7EBF">
        <w:t xml:space="preserve"> ) Dai, potrebbe dirmi il solito sapientone rivestito di senso pratico, vuoi che se la Volkswagen ha truccato i software per le emissioni, non abbia venduto in nero qualche migliaio di Golf? </w:t>
      </w:r>
    </w:p>
  </w:footnote>
  <w:footnote w:id="684">
    <w:p w14:paraId="7D9ADC7F" w14:textId="77777777" w:rsidR="003B7460" w:rsidRPr="007F7EBF" w:rsidRDefault="003B7460" w:rsidP="006647D4">
      <w:pPr>
        <w:pStyle w:val="Testonotaapidipagina"/>
      </w:pPr>
      <w:r w:rsidRPr="007F7EBF">
        <w:rPr>
          <w:rStyle w:val="Rimandonotaapidipagina"/>
        </w:rPr>
        <w:footnoteRef/>
      </w:r>
      <w:r w:rsidRPr="007F7EBF">
        <w:t xml:space="preserve"> Questa diffidenza  per l’idea stessa di “organizzazione” spiega le confuse normative sugli organi di vigilanza, in genere inutili, cui le aziende sono tenute come il collegio sindacale e la società di revisione, i variopinti comitati per il controllo interno, gli organismi di vigilanza per la 231, la sicurezza, la privacy, il </w:t>
      </w:r>
      <w:r w:rsidRPr="007F7EBF">
        <w:rPr>
          <w:i/>
        </w:rPr>
        <w:t>risk management</w:t>
      </w:r>
      <w:r w:rsidRPr="007F7EBF">
        <w:t xml:space="preserve"> di cui diremo anche al par.5.18 sul “tutoraggio fiscale”.</w:t>
      </w:r>
    </w:p>
  </w:footnote>
  <w:footnote w:id="685">
    <w:p w14:paraId="3909F83C" w14:textId="77777777" w:rsidR="003B7460" w:rsidRDefault="003B7460" w:rsidP="006647D4">
      <w:pPr>
        <w:pStyle w:val="Testonotaapidipagina"/>
      </w:pPr>
      <w:r>
        <w:rPr>
          <w:rStyle w:val="Rimandonotaapidipagina"/>
        </w:rPr>
        <w:footnoteRef/>
      </w:r>
      <w:r>
        <w:t xml:space="preserve"> ) Perdita che nel</w:t>
      </w:r>
      <w:r>
        <w:rPr>
          <w:sz w:val="22"/>
          <w:szCs w:val="22"/>
        </w:rPr>
        <w:t xml:space="preserve">  sensazionalismo mediatico alimenta l’idea delle aziende come “grandi evasori”</w:t>
      </w:r>
    </w:p>
  </w:footnote>
  <w:footnote w:id="686">
    <w:p w14:paraId="4E84F8A0" w14:textId="77777777" w:rsidR="003B7460" w:rsidRDefault="003B7460" w:rsidP="006647D4">
      <w:pPr>
        <w:pStyle w:val="Testonotaapidipagina"/>
      </w:pPr>
      <w:r>
        <w:rPr>
          <w:rStyle w:val="Rimandonotaapidipagina"/>
        </w:rPr>
        <w:footnoteRef/>
      </w:r>
      <w:r>
        <w:t xml:space="preserve"> ) Al par.3.1 e 3.7</w:t>
      </w:r>
      <w:r w:rsidRPr="004823CF">
        <w:t xml:space="preserve"> </w:t>
      </w:r>
      <w:r>
        <w:t>abbiamo visto che le organizzazioni producono valore aggiunto anche se perdono, e non hanno bisogno di sostentarsi, mentre piccoli commercianti o artigiani in perdita sono economicamente un controsenso.</w:t>
      </w:r>
    </w:p>
  </w:footnote>
  <w:footnote w:id="687">
    <w:p w14:paraId="161C36B7" w14:textId="77777777" w:rsidR="003B7460" w:rsidRPr="007F7EBF" w:rsidRDefault="003B7460" w:rsidP="00F16731">
      <w:pPr>
        <w:pStyle w:val="Testonotaapidipagina"/>
      </w:pPr>
      <w:r w:rsidRPr="007F7EBF">
        <w:rPr>
          <w:rStyle w:val="Rimandonotaapidipagina"/>
        </w:rPr>
        <w:footnoteRef/>
      </w:r>
      <w:r w:rsidRPr="007F7EBF">
        <w:t xml:space="preserve"> </w:t>
      </w:r>
      <w:r>
        <w:t xml:space="preserve">) </w:t>
      </w:r>
      <w:r w:rsidRPr="007F7EBF">
        <w:t>Ciò conferma l'impermeabilità della nostra pubblica opinione rispetto al concetto di azienda, come organismo pluripersonale, privo di bisogni personali per cui evadere, relativi casomai ai suoi titolari o amministratori (par.3.1).</w:t>
      </w:r>
      <w:r w:rsidRPr="007F7EBF">
        <w:rPr>
          <w:bCs/>
          <w:i/>
          <w:iCs/>
          <w:color w:val="0000FF"/>
        </w:rPr>
        <w:t xml:space="preserve">  </w:t>
      </w:r>
    </w:p>
  </w:footnote>
  <w:footnote w:id="688">
    <w:p w14:paraId="536BC885" w14:textId="77777777" w:rsidR="003B7460" w:rsidRDefault="003B7460" w:rsidP="00F16731">
      <w:pPr>
        <w:pStyle w:val="Testonotaapidipagina"/>
      </w:pPr>
      <w:r>
        <w:rPr>
          <w:rStyle w:val="Rimandonotaapidipagina"/>
        </w:rPr>
        <w:footnoteRef/>
      </w:r>
      <w:r>
        <w:t xml:space="preserve"> ) A parte la riscossione delle imposte dichiarate e non versate, come visto al par.5.7.</w:t>
      </w:r>
    </w:p>
  </w:footnote>
  <w:footnote w:id="689">
    <w:p w14:paraId="68F87F70" w14:textId="6CE0BE47" w:rsidR="003B7460" w:rsidRPr="007F7EBF" w:rsidRDefault="003B7460" w:rsidP="00F16731">
      <w:pPr>
        <w:pStyle w:val="Testonotaapidipagina"/>
      </w:pPr>
      <w:r w:rsidRPr="007F7EBF">
        <w:rPr>
          <w:rStyle w:val="Rimandonotaapidipagina"/>
        </w:rPr>
        <w:footnoteRef/>
      </w:r>
      <w:r w:rsidRPr="007F7EBF">
        <w:t xml:space="preserve"> )</w:t>
      </w:r>
      <w:r>
        <w:t xml:space="preserve"> E’ un caso di </w:t>
      </w:r>
      <w:r w:rsidRPr="007F7EBF">
        <w:t>coesistenza inconsapevole, all’interno della pubblica opinione e persino delle stesse persone, di tendenze</w:t>
      </w:r>
      <w:r>
        <w:t xml:space="preserve"> </w:t>
      </w:r>
      <w:r w:rsidRPr="007F7EBF">
        <w:t xml:space="preserve">diverse, </w:t>
      </w:r>
      <w:r>
        <w:t xml:space="preserve">puntualizzate </w:t>
      </w:r>
      <w:r w:rsidRPr="007F7EBF">
        <w:t>variamente a seconda delle circostanze</w:t>
      </w:r>
      <w:r>
        <w:t xml:space="preserve">, con una schizofrenia sociale dovuta al deficit formativo sulle organizzazioni pluripersonali (par.4.1). Queste ultime ne vengono destabilizzate, in quanto hanno bisogno di serenità, non di parallele demonizzazioni e mitizzazioni. </w:t>
      </w:r>
    </w:p>
  </w:footnote>
  <w:footnote w:id="690">
    <w:p w14:paraId="3A8A4A9C" w14:textId="77777777" w:rsidR="003B7460" w:rsidRPr="007F7EBF" w:rsidRDefault="003B7460" w:rsidP="00F53E9D">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La ricerca di una “controparte comoda” è una costante dei pubblici uffici, </w:t>
      </w:r>
      <w:r>
        <w:rPr>
          <w:bCs/>
          <w:sz w:val="22"/>
          <w:szCs w:val="22"/>
        </w:rPr>
        <w:t xml:space="preserve">simili ai medici che preferiscono curare i sani, che creano meno problemi </w:t>
      </w:r>
      <w:r w:rsidRPr="007F7EBF">
        <w:rPr>
          <w:sz w:val="20"/>
          <w:szCs w:val="20"/>
        </w:rPr>
        <w:t xml:space="preserve">come nel divertente sketch di Guzzanti, visibile digitando su </w:t>
      </w:r>
      <w:proofErr w:type="spellStart"/>
      <w:r w:rsidRPr="007F7EBF">
        <w:rPr>
          <w:sz w:val="20"/>
          <w:szCs w:val="20"/>
        </w:rPr>
        <w:t>youtube</w:t>
      </w:r>
      <w:proofErr w:type="spellEnd"/>
      <w:r w:rsidRPr="007F7EBF">
        <w:rPr>
          <w:sz w:val="20"/>
          <w:szCs w:val="20"/>
        </w:rPr>
        <w:t xml:space="preserve"> Aniene 2 Supereroi. </w:t>
      </w:r>
      <w:r>
        <w:rPr>
          <w:sz w:val="20"/>
          <w:szCs w:val="20"/>
        </w:rPr>
        <w:t xml:space="preserve">Anche le reinterpretazioni sono fumose e immaginifiche, basate </w:t>
      </w:r>
      <w:r>
        <w:t xml:space="preserve">su un misto di ragionamento e di frasi tipo “non lo dico io lo dice la circolare” (su </w:t>
      </w:r>
      <w:proofErr w:type="spellStart"/>
      <w:r>
        <w:t>youtube</w:t>
      </w:r>
      <w:proofErr w:type="spellEnd"/>
      <w:r>
        <w:t xml:space="preserve">  </w:t>
      </w:r>
      <w:r w:rsidRPr="007F7EBF">
        <w:t xml:space="preserve"> </w:t>
      </w:r>
      <w:r w:rsidRPr="007F7EBF">
        <w:rPr>
          <w:i/>
        </w:rPr>
        <w:t>Cinzia Leone Dalle otto alle otto</w:t>
      </w:r>
      <w:r>
        <w:t>)</w:t>
      </w:r>
      <w:r w:rsidRPr="007F7EBF">
        <w:t>.</w:t>
      </w:r>
    </w:p>
  </w:footnote>
  <w:footnote w:id="691">
    <w:p w14:paraId="3BE538AE" w14:textId="77777777" w:rsidR="003B7460" w:rsidRPr="007F7EBF" w:rsidRDefault="003B7460" w:rsidP="00F16731">
      <w:pPr>
        <w:pStyle w:val="Testonotaapidipagina"/>
      </w:pPr>
      <w:r w:rsidRPr="007F7EBF">
        <w:rPr>
          <w:rStyle w:val="Rimandonotaapidipagina"/>
        </w:rPr>
        <w:footnoteRef/>
      </w:r>
      <w:r>
        <w:t xml:space="preserve">) E’ un riflesso della “cannibalizzazione giurisdizionale” della funzione tributaria, di cui al par.1.3, </w:t>
      </w:r>
      <w:r w:rsidRPr="007F7EBF">
        <w:t xml:space="preserve"> </w:t>
      </w:r>
      <w:r>
        <w:t xml:space="preserve">che spinge </w:t>
      </w:r>
      <w:r w:rsidRPr="007F7EBF">
        <w:t xml:space="preserve">gli uffici tributari </w:t>
      </w:r>
      <w:r>
        <w:t>ad avere</w:t>
      </w:r>
      <w:r w:rsidRPr="007F7EBF">
        <w:t xml:space="preserve"> le spalle coperte</w:t>
      </w:r>
      <w:r>
        <w:t xml:space="preserve"> dal richiamo </w:t>
      </w:r>
      <w:r w:rsidRPr="007F7EBF">
        <w:t xml:space="preserve">a leggi, circolari, sentenze e altri </w:t>
      </w:r>
      <w:r w:rsidRPr="007F7EBF">
        <w:rPr>
          <w:bCs/>
        </w:rPr>
        <w:t xml:space="preserve">materiali normativi, </w:t>
      </w:r>
      <w:r>
        <w:rPr>
          <w:bCs/>
        </w:rPr>
        <w:t>senza esporsi su</w:t>
      </w:r>
      <w:r w:rsidRPr="007F7EBF">
        <w:rPr>
          <w:bCs/>
        </w:rPr>
        <w:t>lla valutazione "in fatto" della ricchezza non registrata. Possono considerarsi "interpretative" anche contestazioni su fatti valutativi e circostanze palesi, come il transfer pricing o l'esterovestizione, indicate al par.7.19.</w:t>
      </w:r>
    </w:p>
  </w:footnote>
  <w:footnote w:id="692">
    <w:p w14:paraId="63BC32EA" w14:textId="77777777" w:rsidR="003B7460" w:rsidRDefault="003B7460" w:rsidP="00F16731">
      <w:pPr>
        <w:pStyle w:val="Testonotaapidipagina"/>
      </w:pPr>
      <w:r>
        <w:rPr>
          <w:rStyle w:val="Rimandonotaapidipagina"/>
        </w:rPr>
        <w:footnoteRef/>
      </w:r>
      <w:r>
        <w:t xml:space="preserve"> ) </w:t>
      </w:r>
      <w:r>
        <w:rPr>
          <w:sz w:val="22"/>
          <w:szCs w:val="22"/>
        </w:rPr>
        <w:t>C</w:t>
      </w:r>
      <w:r w:rsidRPr="007F7EBF">
        <w:rPr>
          <w:sz w:val="22"/>
          <w:szCs w:val="22"/>
        </w:rPr>
        <w:t>iò anche se la presenza sistematica su questi ultimi è più utile alla funzione tributaria, per i motivi indicati al par.5.7</w:t>
      </w:r>
      <w:r>
        <w:rPr>
          <w:sz w:val="22"/>
          <w:szCs w:val="22"/>
        </w:rPr>
        <w:t xml:space="preserve">. </w:t>
      </w:r>
    </w:p>
  </w:footnote>
  <w:footnote w:id="693">
    <w:p w14:paraId="77C319EC" w14:textId="77777777" w:rsidR="003B7460" w:rsidRPr="007829D4" w:rsidRDefault="003B7460" w:rsidP="00F53E9D">
      <w:pPr>
        <w:pStyle w:val="Testonotaapidipagina"/>
        <w:rPr>
          <w:bCs/>
          <w:sz w:val="22"/>
          <w:szCs w:val="22"/>
        </w:rPr>
      </w:pPr>
      <w:r>
        <w:rPr>
          <w:rStyle w:val="Rimandonotaapidipagina"/>
        </w:rPr>
        <w:footnoteRef/>
      </w:r>
      <w:r>
        <w:t xml:space="preserve"> ) Talvolta coincidenti con la </w:t>
      </w:r>
      <w:r w:rsidRPr="007F7EBF">
        <w:rPr>
          <w:bCs/>
          <w:sz w:val="22"/>
          <w:szCs w:val="22"/>
        </w:rPr>
        <w:t>parte intellettualmente più vivace dell'accademia</w:t>
      </w:r>
      <w:r>
        <w:rPr>
          <w:bCs/>
          <w:sz w:val="22"/>
          <w:szCs w:val="22"/>
        </w:rPr>
        <w:t xml:space="preserve"> di cui al </w:t>
      </w:r>
      <w:r w:rsidRPr="007F7EBF">
        <w:rPr>
          <w:bCs/>
          <w:sz w:val="22"/>
          <w:szCs w:val="22"/>
        </w:rPr>
        <w:t>par.4.</w:t>
      </w:r>
      <w:r>
        <w:rPr>
          <w:bCs/>
          <w:sz w:val="22"/>
          <w:szCs w:val="22"/>
        </w:rPr>
        <w:t>3</w:t>
      </w:r>
      <w:r w:rsidRPr="007F7EBF">
        <w:rPr>
          <w:bCs/>
          <w:sz w:val="22"/>
          <w:szCs w:val="22"/>
        </w:rPr>
        <w:t>.</w:t>
      </w:r>
    </w:p>
  </w:footnote>
  <w:footnote w:id="694">
    <w:p w14:paraId="1EB74593" w14:textId="5FA78654" w:rsidR="003B7460" w:rsidRDefault="003B7460">
      <w:pPr>
        <w:pStyle w:val="Testonotaapidipagina"/>
      </w:pPr>
      <w:r>
        <w:rPr>
          <w:rStyle w:val="Rimandonotaapidipagina"/>
        </w:rPr>
        <w:footnoteRef/>
      </w:r>
      <w:r>
        <w:t xml:space="preserve"> ) Chi non dichiara un’astrazione economica di cui al par.1.8 (consumo o reddito) perché ne ritiene mancanti alcuni presupposti di imponibilità non la sta nascondendo, ma gestendo secondo un’interpretazione dotata di una certa fondatezza. Un’eventuale contestazione del fisco è quindi pur sempre una contestazione interpretativa, in quanto modifica il regime giuridico applicato dal contribuente, senza scoprire imponibili nascosti. </w:t>
      </w:r>
    </w:p>
  </w:footnote>
  <w:footnote w:id="695">
    <w:p w14:paraId="0E472A53" w14:textId="77777777" w:rsidR="003B7460" w:rsidRPr="007F7EBF" w:rsidRDefault="003B7460" w:rsidP="00E707DF">
      <w:pPr>
        <w:pStyle w:val="Testonotaapidipagina"/>
      </w:pPr>
      <w:r w:rsidRPr="007F7EBF">
        <w:rPr>
          <w:rStyle w:val="Rimandonotaapidipagina"/>
        </w:rPr>
        <w:footnoteRef/>
      </w:r>
      <w:r w:rsidRPr="007F7EBF">
        <w:t xml:space="preserve"> ) Par. 3.9 sulla rilevanza tributaria dei negozi giuridici attraverso cui sono veicolati i rapporti economici da cui emergono le astrazioni soggette a imposte, cioè ricavi, redditi, consumi etc. (par.1.8). </w:t>
      </w:r>
    </w:p>
  </w:footnote>
  <w:footnote w:id="696">
    <w:p w14:paraId="114D930F" w14:textId="77777777" w:rsidR="003B7460" w:rsidRPr="007F7EBF" w:rsidRDefault="003B7460" w:rsidP="004C4E72">
      <w:pPr>
        <w:pStyle w:val="Testonotaapidipagina"/>
      </w:pPr>
      <w:r w:rsidRPr="007F7EBF">
        <w:rPr>
          <w:rStyle w:val="Rimandonotaapidipagina"/>
        </w:rPr>
        <w:footnoteRef/>
      </w:r>
      <w:r w:rsidRPr="007F7EBF">
        <w:t xml:space="preserve"> ) Dove il fisco si fa forte delle erronee tesi un tempo avvocatescamente sostenute dai contribuenti, secondo cui il significato tributario delle espressioni legislative deve essere desunto da quello civilistico (par.3.9). </w:t>
      </w:r>
    </w:p>
  </w:footnote>
  <w:footnote w:id="697">
    <w:p w14:paraId="680F7067" w14:textId="15515960" w:rsidR="003B7460" w:rsidRPr="007F7EBF" w:rsidRDefault="003B7460" w:rsidP="004C4E72">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La preferenza per le contestazioni “in diritto”, spiegata al paragrafo precedente, rende sempre più frequenti quelli che potrei definire “processi verbali di disquisizione”, che ricordano la scientificità esteriore di cui al par.4.3. Dietro la confusione, indicata nel testo, emerge la tendenza a fare leva sulla sostanza economica dove i contribuenti hanno seguito la</w:t>
      </w:r>
      <w:r w:rsidRPr="007F7EBF">
        <w:rPr>
          <w:sz w:val="22"/>
          <w:szCs w:val="22"/>
        </w:rPr>
        <w:t xml:space="preserve"> forma giuridica, e vicevers</w:t>
      </w:r>
      <w:r>
        <w:rPr>
          <w:sz w:val="22"/>
          <w:szCs w:val="22"/>
        </w:rPr>
        <w:t xml:space="preserve">a, </w:t>
      </w:r>
      <w:r w:rsidRPr="007F7EBF">
        <w:rPr>
          <w:sz w:val="20"/>
          <w:szCs w:val="20"/>
        </w:rPr>
        <w:t>a seconda d</w:t>
      </w:r>
      <w:r>
        <w:rPr>
          <w:sz w:val="20"/>
          <w:szCs w:val="20"/>
        </w:rPr>
        <w:t>ella convenienza accertativa</w:t>
      </w:r>
      <w:r w:rsidRPr="007F7EBF">
        <w:rPr>
          <w:sz w:val="20"/>
          <w:szCs w:val="20"/>
        </w:rPr>
        <w:t xml:space="preserve">. </w:t>
      </w:r>
      <w:r>
        <w:rPr>
          <w:sz w:val="20"/>
          <w:szCs w:val="20"/>
        </w:rPr>
        <w:t xml:space="preserve">La tortuosità delle relative motivazioni, disorientando giudici che non hanno modo di approfondirle, ed assumono l’atteggiamento “pro fisco” di cui al par.6.10, anche per mancanza di familiarità con le “simmetrie fiscali” di cui al par.3.12, come vedremo ora nel testo.  </w:t>
      </w:r>
    </w:p>
  </w:footnote>
  <w:footnote w:id="698">
    <w:p w14:paraId="3C9417DB" w14:textId="2334C1AE" w:rsidR="003B7460" w:rsidRDefault="003B7460" w:rsidP="00252CD2">
      <w:pPr>
        <w:pStyle w:val="Testonotaapidipagina"/>
      </w:pPr>
      <w:r>
        <w:rPr>
          <w:rStyle w:val="Rimandonotaapidipagina"/>
        </w:rPr>
        <w:footnoteRef/>
      </w:r>
      <w:r>
        <w:t xml:space="preserve"> ) A questo schema corrispondono anche le contestazioni sui prezzi di trasferimento di cui al paragrafo 7.19, a rigore non “interpretative”, ma “di fatto”, secondo la teoria dei ” fatti valutativi”, di cui al par. 5.8. </w:t>
      </w:r>
    </w:p>
  </w:footnote>
  <w:footnote w:id="699">
    <w:p w14:paraId="3CE940BC" w14:textId="01C40D75" w:rsidR="003B7460" w:rsidRPr="007F7EBF" w:rsidRDefault="003B7460" w:rsidP="00EE6617">
      <w:pPr>
        <w:pStyle w:val="Testonotaapidipagina"/>
      </w:pPr>
      <w:r w:rsidRPr="007F7EBF">
        <w:rPr>
          <w:rStyle w:val="Rimandonotaapidipagina"/>
        </w:rPr>
        <w:footnoteRef/>
      </w:r>
      <w:r w:rsidRPr="007F7EBF">
        <w:t xml:space="preserve"> </w:t>
      </w:r>
      <w:r>
        <w:t>) Si pensi anche a</w:t>
      </w:r>
      <w:r w:rsidRPr="007F7EBF">
        <w:t xml:space="preserve"> sconti non dovuti, piccoli omaggi, comodati a clienti di beni strumentali</w:t>
      </w:r>
      <w:r>
        <w:t xml:space="preserve"> e altri comportamenti giuridicamente non dovuti, ma commercialmente opportuni. </w:t>
      </w:r>
    </w:p>
  </w:footnote>
  <w:footnote w:id="700">
    <w:p w14:paraId="53891A59" w14:textId="0F2A1C03" w:rsidR="003B7460" w:rsidRPr="007F7EBF" w:rsidRDefault="003B7460" w:rsidP="00FC6ECF">
      <w:pPr>
        <w:pStyle w:val="Testonotaapidipagina"/>
      </w:pPr>
      <w:r w:rsidRPr="007F7EBF">
        <w:rPr>
          <w:rStyle w:val="Rimandonotaapidipagina"/>
        </w:rPr>
        <w:footnoteRef/>
      </w:r>
      <w:r w:rsidRPr="007F7EBF">
        <w:t xml:space="preserve"> ) </w:t>
      </w:r>
      <w:r>
        <w:t>Definiti come “ricavi non dichiarati” quasi fossero cessioni “in nero”</w:t>
      </w:r>
      <w:r w:rsidRPr="007F7EBF">
        <w:t xml:space="preserve">, mentre qui </w:t>
      </w:r>
      <w:r>
        <w:t xml:space="preserve">ci si è </w:t>
      </w:r>
      <w:r w:rsidRPr="007F7EBF">
        <w:t>semplicemente astenut</w:t>
      </w:r>
      <w:r>
        <w:t>i</w:t>
      </w:r>
      <w:r w:rsidRPr="007F7EBF">
        <w:t>, per convenienza economica o di relazioni commerciali, dal far valere un diritto teorico, senza alcun incasso non registrato. Lo stesso quando si presumono interessi su finanziamenti, accertando interessi attivi in capo al creditore, senza riconoscerli in deduzione al debitore.</w:t>
      </w:r>
    </w:p>
  </w:footnote>
  <w:footnote w:id="701">
    <w:p w14:paraId="293C78E7" w14:textId="0ED50A5A" w:rsidR="003B7460" w:rsidRDefault="003B7460">
      <w:pPr>
        <w:pStyle w:val="Testonotaapidipagina"/>
      </w:pPr>
      <w:r>
        <w:rPr>
          <w:rStyle w:val="Rimandonotaapidipagina"/>
        </w:rPr>
        <w:footnoteRef/>
      </w:r>
      <w:r>
        <w:t xml:space="preserve"> ) Mito autoprodottosi per l’inadeguatezza delle spiegazioni scientifico sociali della funzione tributaria, indicate al cap.4. </w:t>
      </w:r>
    </w:p>
  </w:footnote>
  <w:footnote w:id="702">
    <w:p w14:paraId="48F85D49" w14:textId="201971D2" w:rsidR="003B7460" w:rsidRPr="007F7EBF" w:rsidRDefault="003B7460" w:rsidP="002933CA">
      <w:pPr>
        <w:pStyle w:val="Testonotaapidipagina"/>
      </w:pPr>
      <w:r w:rsidRPr="007F7EBF">
        <w:rPr>
          <w:rStyle w:val="Rimandonotaapidipagina"/>
        </w:rPr>
        <w:footnoteRef/>
      </w:r>
      <w:r w:rsidRPr="007F7EBF">
        <w:t xml:space="preserve"> ) </w:t>
      </w:r>
      <w:r>
        <w:t xml:space="preserve">Qualche volta vengono violate le “simmetrie fiscali” di cui al par.3.12, anche per la spada di Damocle dei paralleli processi penali, di cui diremo subito nel testo; tutto ciò induce spesso le aziende a subire determinazioni dell’imponibile parzialmente irragionevoli per risolvere pragmaticamente il problema, in una sorta di piccole </w:t>
      </w:r>
      <w:r w:rsidRPr="007F7EBF">
        <w:t xml:space="preserve">“estorsioni di stato”. </w:t>
      </w:r>
    </w:p>
  </w:footnote>
  <w:footnote w:id="703">
    <w:p w14:paraId="4929BCD0" w14:textId="2FB588F3" w:rsidR="003B7460" w:rsidRDefault="003B7460" w:rsidP="007D21A1">
      <w:pPr>
        <w:pStyle w:val="Testonotaapidipagina"/>
      </w:pPr>
      <w:r>
        <w:rPr>
          <w:rStyle w:val="Rimandonotaapidipagina"/>
        </w:rPr>
        <w:footnoteRef/>
      </w:r>
      <w:r>
        <w:t xml:space="preserve"> ) Vedremo infatti al par.6.5 che, una volta formulato il rilievo, è raro poterlo chiudere “a zero” senza un qualche esborso di imposta, magari a seguito di una riformulazione del rilievo stesso. </w:t>
      </w:r>
    </w:p>
  </w:footnote>
  <w:footnote w:id="704">
    <w:p w14:paraId="3CFD3EE7" w14:textId="77777777" w:rsidR="003B7460" w:rsidRDefault="003B7460" w:rsidP="007D21A1">
      <w:pPr>
        <w:pStyle w:val="Testonotaapidipagina"/>
      </w:pPr>
      <w:r>
        <w:rPr>
          <w:rStyle w:val="Rimandonotaapidipagina"/>
        </w:rPr>
        <w:footnoteRef/>
      </w:r>
      <w:r>
        <w:t xml:space="preserve"> ) Anche i tentativi di spiegarsi queste contestazioni con gli schemi privatistico-giurisdizionali del diritto (par.1.3) sono abbastanza patetici. </w:t>
      </w:r>
    </w:p>
  </w:footnote>
  <w:footnote w:id="705">
    <w:p w14:paraId="3CF5AC38" w14:textId="3BEAC5AD" w:rsidR="003B7460" w:rsidRPr="007F7EBF" w:rsidRDefault="003B7460" w:rsidP="00D015BC">
      <w:pPr>
        <w:pStyle w:val="Testonotaapidipagina"/>
      </w:pPr>
      <w:r w:rsidRPr="007F7EBF">
        <w:rPr>
          <w:rStyle w:val="Rimandonotaapidipagina"/>
        </w:rPr>
        <w:footnoteRef/>
      </w:r>
      <w:r w:rsidRPr="007F7EBF">
        <w:t xml:space="preserve"> ) </w:t>
      </w:r>
      <w:r>
        <w:t xml:space="preserve">Sono riunioni abbastanza surreali, tra lo scarico di responsabilità dei funzionari aziendali e le preoccupazioni di </w:t>
      </w:r>
      <w:r w:rsidRPr="007F7EBF">
        <w:t>sfruttamento professionale de</w:t>
      </w:r>
      <w:r>
        <w:t xml:space="preserve">i consulenti, che però convergono verso l’accettazione di “adesioni” abbastanza penalizzanti, pur di chiudere la contestazione. </w:t>
      </w:r>
      <w:r w:rsidRPr="007F7EBF">
        <w:t xml:space="preserve"> </w:t>
      </w:r>
    </w:p>
  </w:footnote>
  <w:footnote w:id="706">
    <w:p w14:paraId="1F185E81" w14:textId="4B0172AA" w:rsidR="003B7460" w:rsidRPr="007F7EBF" w:rsidRDefault="003B7460" w:rsidP="006C524B">
      <w:pPr>
        <w:pStyle w:val="Testonotaapidipagina"/>
      </w:pPr>
      <w:r w:rsidRPr="007F7EBF">
        <w:rPr>
          <w:rStyle w:val="Rimandonotaapidipagina"/>
        </w:rPr>
        <w:footnoteRef/>
      </w:r>
      <w:r w:rsidRPr="007F7EBF">
        <w:t xml:space="preserve"> </w:t>
      </w:r>
      <w:r>
        <w:t>) Contribuendo a creare una società polarizzata</w:t>
      </w:r>
      <w:r w:rsidRPr="007F7EBF">
        <w:t xml:space="preserve"> tra un </w:t>
      </w:r>
      <w:r w:rsidRPr="007F7EBF">
        <w:rPr>
          <w:bCs/>
        </w:rPr>
        <w:t xml:space="preserve">enorme apparato pubblico burocratizzato </w:t>
      </w:r>
      <w:r>
        <w:rPr>
          <w:bCs/>
        </w:rPr>
        <w:t>ed</w:t>
      </w:r>
      <w:r w:rsidRPr="007F7EBF">
        <w:t xml:space="preserve"> un operoso insieme di </w:t>
      </w:r>
      <w:r>
        <w:t xml:space="preserve">micro organizzazioni, </w:t>
      </w:r>
      <w:r w:rsidRPr="007F7EBF">
        <w:t xml:space="preserve"> </w:t>
      </w:r>
      <w:r>
        <w:t>piccoli commercianti, artigiani ed altri che “si arrangiano” nei modi indicati al par.3.13 ss</w:t>
      </w:r>
      <w:r w:rsidRPr="007F7EBF">
        <w:t>.</w:t>
      </w:r>
      <w:r>
        <w:t xml:space="preserve"> </w:t>
      </w:r>
    </w:p>
  </w:footnote>
  <w:footnote w:id="707">
    <w:p w14:paraId="1E8023C2" w14:textId="2A3378B3" w:rsidR="003B7460" w:rsidRPr="007F7EBF" w:rsidRDefault="003B7460" w:rsidP="006C524B">
      <w:pPr>
        <w:pStyle w:val="Testonotaapidipagina"/>
      </w:pPr>
      <w:r w:rsidRPr="007F7EBF">
        <w:rPr>
          <w:rStyle w:val="Rimandonotaapidipagina"/>
        </w:rPr>
        <w:footnoteRef/>
      </w:r>
      <w:r w:rsidRPr="007F7EBF">
        <w:t xml:space="preserve"> </w:t>
      </w:r>
      <w:r>
        <w:t xml:space="preserve">) </w:t>
      </w:r>
      <w:r w:rsidRPr="007F7EBF">
        <w:t>Mi riferisco al</w:t>
      </w:r>
      <w:r>
        <w:t xml:space="preserve">la possibilità del titolare di </w:t>
      </w:r>
      <w:r w:rsidRPr="007F7EBF">
        <w:t>scavalca</w:t>
      </w:r>
      <w:r>
        <w:t>re</w:t>
      </w:r>
      <w:r w:rsidRPr="007F7EBF">
        <w:t>, a proprio personale beneficio, i controlli interni della propria azienda</w:t>
      </w:r>
      <w:r>
        <w:t>, concretizzando il mito simbolico della c.d. “grande evasione”.</w:t>
      </w:r>
    </w:p>
  </w:footnote>
  <w:footnote w:id="708">
    <w:p w14:paraId="34E8930F" w14:textId="7B23C461" w:rsidR="003B7460" w:rsidRDefault="003B7460" w:rsidP="006C524B">
      <w:pPr>
        <w:pStyle w:val="Testonotaapidipagina"/>
      </w:pPr>
      <w:r>
        <w:rPr>
          <w:rStyle w:val="Rimandonotaapidipagina"/>
        </w:rPr>
        <w:footnoteRef/>
      </w:r>
      <w:r>
        <w:t xml:space="preserve">) </w:t>
      </w:r>
      <w:r>
        <w:rPr>
          <w:sz w:val="22"/>
          <w:szCs w:val="22"/>
        </w:rPr>
        <w:t>C</w:t>
      </w:r>
      <w:r w:rsidRPr="007F7EBF">
        <w:rPr>
          <w:sz w:val="22"/>
          <w:szCs w:val="22"/>
        </w:rPr>
        <w:t>ondivider</w:t>
      </w:r>
      <w:r>
        <w:rPr>
          <w:sz w:val="22"/>
          <w:szCs w:val="22"/>
        </w:rPr>
        <w:t>e il potere con altri soci, aumentando le dimensioni aziendali, ostacolerebbe queste possibilità, oltre ad essere fonte di dissapori nel difficile rapporto con le burocrazie pubbliche. In generale, p</w:t>
      </w:r>
      <w:r>
        <w:t xml:space="preserve">er il </w:t>
      </w:r>
      <w:r>
        <w:rPr>
          <w:sz w:val="22"/>
          <w:szCs w:val="22"/>
        </w:rPr>
        <w:t>titolare di un’azienda con centinaia o migliaia di addetti, ormai affrancato dall’impegno lavorativo diretto, la crescita dimensionale, con ingresso di nuovi soci, con cui condividere il potere, è un problema più che un’opportunità, visto anche lo spontaneismo individualistico italiano di cui al par.</w:t>
      </w:r>
      <w:r w:rsidRPr="00770B5C">
        <w:t xml:space="preserve"> </w:t>
      </w:r>
      <w:r>
        <w:t>4.1</w:t>
      </w:r>
      <w:r w:rsidRPr="007F7EBF">
        <w:rPr>
          <w:sz w:val="22"/>
          <w:szCs w:val="22"/>
        </w:rPr>
        <w:t>.</w:t>
      </w:r>
    </w:p>
  </w:footnote>
  <w:footnote w:id="709">
    <w:p w14:paraId="595E6829" w14:textId="77777777" w:rsidR="003B7460" w:rsidRPr="000C7CC7" w:rsidRDefault="003B7460" w:rsidP="006C524B">
      <w:pPr>
        <w:pStyle w:val="Testonotaapidipagina"/>
      </w:pPr>
      <w:r>
        <w:rPr>
          <w:rStyle w:val="Rimandonotaapidipagina"/>
        </w:rPr>
        <w:footnoteRef/>
      </w:r>
      <w:r>
        <w:t xml:space="preserve">) Senza essere sfiorate, come potrebbe accadere per gli esponenti del capitalismo familiare, dalla tentazione di approfittare della difficile individuabilità degli occultamenti d’imponibile. </w:t>
      </w:r>
    </w:p>
  </w:footnote>
  <w:footnote w:id="710">
    <w:p w14:paraId="558E3372" w14:textId="0D3BBF76" w:rsidR="003B7460" w:rsidRDefault="003B7460">
      <w:pPr>
        <w:pStyle w:val="Testonotaapidipagina"/>
      </w:pPr>
      <w:r>
        <w:rPr>
          <w:rStyle w:val="Rimandonotaapidipagina"/>
        </w:rPr>
        <w:footnoteRef/>
      </w:r>
      <w:r>
        <w:t xml:space="preserve"> ) </w:t>
      </w:r>
      <w:r>
        <w:rPr>
          <w:sz w:val="22"/>
          <w:szCs w:val="22"/>
        </w:rPr>
        <w:t>Fermo restando, grazie a globalizzazione e apertura delle frontiere, l’accesso all’Italia come mercato di sbocco.</w:t>
      </w:r>
    </w:p>
  </w:footnote>
  <w:footnote w:id="711">
    <w:p w14:paraId="5BB8F59D" w14:textId="3152B75F" w:rsidR="003B7460" w:rsidRPr="007F7EBF" w:rsidRDefault="003B7460" w:rsidP="00720E0F">
      <w:pPr>
        <w:pStyle w:val="Testonotaapidipagina"/>
      </w:pPr>
      <w:r w:rsidRPr="007F7EBF">
        <w:rPr>
          <w:rStyle w:val="Rimandonotaapidipagina"/>
        </w:rPr>
        <w:footnoteRef/>
      </w:r>
      <w:r w:rsidRPr="007F7EBF">
        <w:t xml:space="preserve"> ) Vedi </w:t>
      </w:r>
      <w:r>
        <w:t>il pa</w:t>
      </w:r>
      <w:r w:rsidRPr="007F7EBF">
        <w:t>r.4.4 sull’incapacità d</w:t>
      </w:r>
      <w:r>
        <w:t xml:space="preserve">i </w:t>
      </w:r>
      <w:r w:rsidRPr="007F7EBF">
        <w:t xml:space="preserve">aziende </w:t>
      </w:r>
      <w:r>
        <w:t xml:space="preserve">e loro associazioni </w:t>
      </w:r>
      <w:r w:rsidRPr="007F7EBF">
        <w:t xml:space="preserve">di fare formazione sociale </w:t>
      </w:r>
      <w:r>
        <w:t>sia pure sull’idea di azienda e sul suo uso nella tassazione (</w:t>
      </w:r>
      <w:r w:rsidRPr="007F7EBF">
        <w:t xml:space="preserve">Lupi, Aziende in ordine sparso al macello, in </w:t>
      </w:r>
      <w:r>
        <w:t>wwfondazionesturitributari.com).</w:t>
      </w:r>
    </w:p>
  </w:footnote>
  <w:footnote w:id="712">
    <w:p w14:paraId="554338C8" w14:textId="77777777" w:rsidR="003B7460" w:rsidRDefault="003B7460" w:rsidP="00576D87">
      <w:pPr>
        <w:pStyle w:val="Testonotaapidipagina"/>
      </w:pPr>
      <w:r>
        <w:rPr>
          <w:rStyle w:val="Rimandonotaapidipagina"/>
        </w:rPr>
        <w:footnoteRef/>
      </w:r>
      <w:r>
        <w:t xml:space="preserve"> ) Si pensi al fantomatico slogan del “fisco per lo sviluppo”, con agevolazioni sugli utili reinvestiti, l’ACE, il </w:t>
      </w:r>
      <w:proofErr w:type="spellStart"/>
      <w:r w:rsidRPr="007F7EBF">
        <w:t>patent</w:t>
      </w:r>
      <w:proofErr w:type="spellEnd"/>
      <w:r w:rsidRPr="007F7EBF">
        <w:t xml:space="preserve"> box, ace, </w:t>
      </w:r>
      <w:r>
        <w:t xml:space="preserve">le </w:t>
      </w:r>
      <w:r w:rsidRPr="007F7EBF">
        <w:t xml:space="preserve">start up, </w:t>
      </w:r>
      <w:r>
        <w:t xml:space="preserve">il </w:t>
      </w:r>
      <w:r w:rsidRPr="007F7EBF">
        <w:t>superammortamento</w:t>
      </w:r>
      <w:r>
        <w:t xml:space="preserve">. Tutti incentivi onerosi </w:t>
      </w:r>
      <w:r w:rsidRPr="007F7EBF">
        <w:t>come gettito</w:t>
      </w:r>
      <w:r>
        <w:t xml:space="preserve"> e </w:t>
      </w:r>
      <w:r w:rsidRPr="007F7EBF">
        <w:t xml:space="preserve">meno efficaci di un banale </w:t>
      </w:r>
      <w:r>
        <w:t>riconoscimento</w:t>
      </w:r>
      <w:r w:rsidRPr="007F7EBF">
        <w:t xml:space="preserve"> per organizzazioni</w:t>
      </w:r>
      <w:r>
        <w:t xml:space="preserve">, che prima di essere agevolate hanno bisogno di essere capite, </w:t>
      </w:r>
      <w:r w:rsidRPr="007F7EBF">
        <w:t>(</w:t>
      </w:r>
      <w:r>
        <w:t xml:space="preserve">lo stesso vale per il “jobs act” e </w:t>
      </w:r>
      <w:r w:rsidRPr="007F7EBF">
        <w:t>una tesi di laurea o dottorato dedicata a “quali agevolazioni fiscali per la produzione?” potrebbe utilmente approfondire).</w:t>
      </w:r>
    </w:p>
  </w:footnote>
  <w:footnote w:id="713">
    <w:p w14:paraId="0E82802D" w14:textId="35F02FD7" w:rsidR="003B7460" w:rsidRPr="006843D2" w:rsidRDefault="003B7460">
      <w:pPr>
        <w:pStyle w:val="Testonotaapidipagina"/>
      </w:pPr>
      <w:r w:rsidRPr="006843D2">
        <w:rPr>
          <w:rStyle w:val="Rimandonotaapidipagina"/>
        </w:rPr>
        <w:footnoteRef/>
      </w:r>
      <w:r w:rsidRPr="006843D2">
        <w:t xml:space="preserve"> ) Magari</w:t>
      </w:r>
      <w:r w:rsidRPr="006843D2">
        <w:rPr>
          <w:sz w:val="22"/>
          <w:szCs w:val="22"/>
        </w:rPr>
        <w:t xml:space="preserve"> sui modi in cui le agevolazioni sono state applicate. </w:t>
      </w:r>
    </w:p>
  </w:footnote>
  <w:footnote w:id="714">
    <w:p w14:paraId="6312D03A" w14:textId="24ADFF5F" w:rsidR="003B7460" w:rsidRDefault="003B7460">
      <w:pPr>
        <w:pStyle w:val="Testonotaapidipagina"/>
      </w:pPr>
      <w:r w:rsidRPr="006843D2">
        <w:rPr>
          <w:rStyle w:val="Rimandonotaapidipagina"/>
        </w:rPr>
        <w:footnoteRef/>
      </w:r>
      <w:r w:rsidRPr="006843D2">
        <w:t xml:space="preserve"> ) </w:t>
      </w:r>
      <w:r w:rsidRPr="006843D2">
        <w:rPr>
          <w:sz w:val="22"/>
          <w:szCs w:val="22"/>
        </w:rPr>
        <w:t>Con tutte le sue convenienze politico-mediatiche, burocratiche, professionali e</w:t>
      </w:r>
      <w:r>
        <w:rPr>
          <w:sz w:val="22"/>
          <w:szCs w:val="22"/>
        </w:rPr>
        <w:t xml:space="preserve"> (paradossalmente) di possibilità di </w:t>
      </w:r>
      <w:r w:rsidRPr="006843D2">
        <w:rPr>
          <w:sz w:val="22"/>
          <w:szCs w:val="22"/>
        </w:rPr>
        <w:t>eva</w:t>
      </w:r>
      <w:r>
        <w:rPr>
          <w:sz w:val="22"/>
          <w:szCs w:val="22"/>
        </w:rPr>
        <w:t>dere</w:t>
      </w:r>
      <w:r w:rsidRPr="006843D2">
        <w:rPr>
          <w:sz w:val="22"/>
          <w:szCs w:val="22"/>
        </w:rPr>
        <w:t>.</w:t>
      </w:r>
    </w:p>
  </w:footnote>
  <w:footnote w:id="715">
    <w:p w14:paraId="100048AB" w14:textId="435842CA" w:rsidR="003B7460" w:rsidRPr="007F7EBF" w:rsidRDefault="003B7460" w:rsidP="00783907">
      <w:pPr>
        <w:pStyle w:val="Testonotaapidipagina"/>
      </w:pPr>
      <w:r w:rsidRPr="007F7EBF">
        <w:rPr>
          <w:rStyle w:val="Rimandonotaapidipagina"/>
        </w:rPr>
        <w:footnoteRef/>
      </w:r>
      <w:r w:rsidRPr="007F7EBF">
        <w:t xml:space="preserve"> ) La "gestione del rischio fiscale" è quindi uno dei casi, descritti al par.2.4, in cui la legislazione usa formule generiche cui far dire, a seconda dei destinatari, ciò che è più conveniente </w:t>
      </w:r>
      <w:r>
        <w:t>a seconda di chi siano gli interlocutori nella pubblica opinione</w:t>
      </w:r>
      <w:r w:rsidRPr="007F7EBF">
        <w:t>.</w:t>
      </w:r>
      <w:r w:rsidRPr="004C0E4D">
        <w:t xml:space="preserve"> </w:t>
      </w:r>
      <w:r>
        <w:t xml:space="preserve">Si </w:t>
      </w:r>
      <w:r w:rsidRPr="007F7EBF">
        <w:t xml:space="preserve">conferma </w:t>
      </w:r>
      <w:r>
        <w:t>così che il giurista potrà serenamente dedicarsi a spiegare la</w:t>
      </w:r>
      <w:r w:rsidRPr="007F7EBF">
        <w:t xml:space="preserve"> legislazione</w:t>
      </w:r>
      <w:r>
        <w:t>, come scienziato per tecnici, solo dopo aver verificato l’esistenza di un’adeguata cornice di studio sociale, e in caso negativo aver contribuito a crearla.</w:t>
      </w:r>
    </w:p>
  </w:footnote>
  <w:footnote w:id="716">
    <w:p w14:paraId="252A151C" w14:textId="47AF527F" w:rsidR="003B7460" w:rsidRPr="007F7EBF" w:rsidRDefault="003B7460" w:rsidP="00783907">
      <w:pPr>
        <w:pStyle w:val="Testonotaapidipagina"/>
      </w:pPr>
      <w:r w:rsidRPr="007F7EBF">
        <w:rPr>
          <w:rStyle w:val="Rimandonotaapidipagina"/>
        </w:rPr>
        <w:footnoteRef/>
      </w:r>
      <w:r w:rsidRPr="007F7EBF">
        <w:t xml:space="preserve"> ) </w:t>
      </w:r>
      <w:r>
        <w:t>La disposizione commentata sopra cerca acrobaticamente di tr</w:t>
      </w:r>
      <w:r w:rsidRPr="007F7EBF">
        <w:t xml:space="preserve">asferire in materia tributaria la logica della legge 231, sulla responsabilità delle persone giuridiche, diretta ad evitare che i managers commettano reati (ad esempio ambientali o corruttivi) nell’interesse dell’azienda. </w:t>
      </w:r>
      <w:r>
        <w:t xml:space="preserve">Abbiamo però già visto al par.3.1, 3.2 e 3.7, che sconfitta l’elusione, i dirigenti amministrativi non hanno  alcuna convenienza, né personale né lavorativa, a nascondere materia imponibile nell’interesse dell’azienda. Potendo rubare qualcosa, lo faranno per se stessi, non certo per l’azienda. </w:t>
      </w:r>
    </w:p>
  </w:footnote>
  <w:footnote w:id="717">
    <w:p w14:paraId="2AD56A9D" w14:textId="43CC7280" w:rsidR="003B7460" w:rsidRPr="007F7EBF" w:rsidRDefault="003B7460" w:rsidP="00625A62">
      <w:pPr>
        <w:pStyle w:val="Testonotaapidipagina"/>
      </w:pPr>
      <w:r w:rsidRPr="007F7EBF">
        <w:rPr>
          <w:rStyle w:val="Rimandonotaapidipagina"/>
        </w:rPr>
        <w:footnoteRef/>
      </w:r>
      <w:r w:rsidRPr="007F7EBF">
        <w:t xml:space="preserve"> ) Per nascondere ricchezza al fisco nei modi già indicati al par. 3.7, richiamati al par.5.13 a proposito dei controlli.</w:t>
      </w:r>
    </w:p>
  </w:footnote>
  <w:footnote w:id="718">
    <w:p w14:paraId="09E9C961" w14:textId="29795DCF" w:rsidR="003B7460" w:rsidRDefault="003B7460">
      <w:pPr>
        <w:pStyle w:val="Testonotaapidipagina"/>
      </w:pPr>
      <w:r>
        <w:rPr>
          <w:rStyle w:val="Rimandonotaapidipagina"/>
        </w:rPr>
        <w:footnoteRef/>
      </w:r>
      <w:r>
        <w:t xml:space="preserve"> ) Anche la letteratura che si è occupata di questi temi conferma la confusione esistente sull’argomento, anzi ne costituisce un’involontaria manifestazione.</w:t>
      </w:r>
    </w:p>
  </w:footnote>
  <w:footnote w:id="719">
    <w:p w14:paraId="7423E3B0" w14:textId="4B98C715" w:rsidR="003B7460" w:rsidRPr="00CC7EC4" w:rsidRDefault="003B7460" w:rsidP="00B37927">
      <w:pPr>
        <w:pStyle w:val="Testonotaapidipagina"/>
      </w:pPr>
      <w:r w:rsidRPr="00CC7EC4">
        <w:rPr>
          <w:rStyle w:val="Rimandonotaapidipagina"/>
        </w:rPr>
        <w:footnoteRef/>
      </w:r>
      <w:r w:rsidRPr="00CC7EC4">
        <w:t xml:space="preserve"> )</w:t>
      </w:r>
      <w:r>
        <w:t xml:space="preserve"> </w:t>
      </w:r>
      <w:r w:rsidRPr="00CC7EC4">
        <w:t>Per la comodità pratico-politica di chiedere relativamente di più a pochi, anziché somme minori a un numero maggiore di contribuenti. Anche questo provocava del disagio sociale, fronteggiato rimettendo di quando in quando i relativi debiti, magari in concomitanza con solennità dinastiche, in modo da “fidelizzare” i sudditi.</w:t>
      </w:r>
    </w:p>
  </w:footnote>
  <w:footnote w:id="720">
    <w:p w14:paraId="41000657" w14:textId="0D42958B" w:rsidR="003B7460" w:rsidRPr="007F7EBF" w:rsidRDefault="003B7460" w:rsidP="000331DE">
      <w:pPr>
        <w:pStyle w:val="Testonotaapidipagina"/>
      </w:pPr>
      <w:r w:rsidRPr="007F7EBF">
        <w:rPr>
          <w:rStyle w:val="Rimandonotaapidipagina"/>
        </w:rPr>
        <w:footnoteRef/>
      </w:r>
      <w:r w:rsidRPr="007F7EBF">
        <w:t xml:space="preserve"> ) E</w:t>
      </w:r>
      <w:r>
        <w:t>’ un</w:t>
      </w:r>
      <w:r w:rsidRPr="007F7EBF">
        <w:t xml:space="preserve">a logica “di scambio” </w:t>
      </w:r>
      <w:r>
        <w:t>concepibile anche nelle suddette antiche remissioni di debito, condizionabili al un pagamento parziale</w:t>
      </w:r>
      <w:r w:rsidRPr="007F7EBF">
        <w:t xml:space="preserve">. </w:t>
      </w:r>
    </w:p>
  </w:footnote>
  <w:footnote w:id="721">
    <w:p w14:paraId="5276566A" w14:textId="7E95BE1C" w:rsidR="003B7460" w:rsidRPr="007F7EBF" w:rsidRDefault="003B7460" w:rsidP="005C4DA6">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Il condono andava incontro all’esigenza della politica di avere  gettito, accusate di aver introdotto nuovi tributi, o inasprito quelli esistenti (l'"imposta volontaria" sfugge alla consueta accusa è di !"avere messo le mani nelle tasche degli italiani"). </w:t>
      </w:r>
      <w:r>
        <w:t xml:space="preserve">Dietro ai </w:t>
      </w:r>
      <w:r w:rsidRPr="007F7EBF">
        <w:t>condoni succedutisi negli ultimi quarant’anni</w:t>
      </w:r>
      <w:r>
        <w:t xml:space="preserve"> c’è la diversa determinabilità degli imponibili, in un </w:t>
      </w:r>
      <w:r w:rsidRPr="007F7EBF">
        <w:rPr>
          <w:bCs/>
        </w:rPr>
        <w:t xml:space="preserve">estremo tentativo </w:t>
      </w:r>
      <w:r w:rsidRPr="007F7EBF">
        <w:t xml:space="preserve">di </w:t>
      </w:r>
      <w:r>
        <w:t xml:space="preserve">perequazione fiscale, per acquisire gettito aggiuntivo su ricchezza non emersa </w:t>
      </w:r>
      <w:r w:rsidRPr="007F7EBF">
        <w:t>in autotassazione. Forse la politica non comprendeva queste necessità, o anche se le comprendeva si rendeva conto delle difficoltà di superarle nel breve arco del proprio mandato governativo, visti i tempi richiesti per avviare il circolo virtuoso tra determinazione della ricchezza attraverso le aziende e stime, descritto al par. 5.7 di questo testo.</w:t>
      </w:r>
    </w:p>
  </w:footnote>
  <w:footnote w:id="722">
    <w:p w14:paraId="20DDF75A" w14:textId="77777777" w:rsidR="003B7460" w:rsidRPr="007F7EBF" w:rsidRDefault="003B7460">
      <w:pPr>
        <w:pStyle w:val="Testonotaapidipagina"/>
      </w:pPr>
      <w:r w:rsidRPr="007F7EBF">
        <w:rPr>
          <w:rStyle w:val="Rimandonotaapidipagina"/>
        </w:rPr>
        <w:footnoteRef/>
      </w:r>
      <w:r w:rsidRPr="007F7EBF">
        <w:t xml:space="preserve"> Col condono la </w:t>
      </w:r>
      <w:r w:rsidRPr="007F7EBF">
        <w:rPr>
          <w:b/>
        </w:rPr>
        <w:t>politica</w:t>
      </w:r>
      <w:r w:rsidRPr="007F7EBF">
        <w:t xml:space="preserve"> profittava delle stesse asimmetrie informative grazie alle quali i “lavoratori indipendenti” nel complesso </w:t>
      </w:r>
      <w:r w:rsidRPr="007F7EBF">
        <w:rPr>
          <w:b/>
        </w:rPr>
        <w:t>sovrastimano</w:t>
      </w:r>
      <w:r w:rsidRPr="007F7EBF">
        <w:t xml:space="preserve"> le capacità di intervento dei pubblici uffici nella determinazione della ricchezza (paragrafo 4.2). </w:t>
      </w:r>
      <w:r w:rsidRPr="007F7EBF">
        <w:rPr>
          <w:bCs/>
          <w:i/>
          <w:iCs/>
          <w:color w:val="0000FF"/>
        </w:rPr>
        <w:t xml:space="preserve"> </w:t>
      </w:r>
      <w:r w:rsidRPr="007F7EBF">
        <w:t>L'offerta del condono faceva leva sulla consapevolezza di tanti operatori di aver occultato una quota cospicua di ricchezza, e sul loro timore di essere controllati, eccedente le possibilità effettive di credibile controllo valutativo da parte degli uffici.</w:t>
      </w:r>
    </w:p>
  </w:footnote>
  <w:footnote w:id="723">
    <w:p w14:paraId="50584620" w14:textId="66F89A3F" w:rsidR="003B7460" w:rsidRPr="007F7EBF" w:rsidRDefault="003B7460" w:rsidP="00EE2AF1">
      <w:pPr>
        <w:pStyle w:val="Testonotaapidipagina"/>
      </w:pPr>
      <w:r w:rsidRPr="007F7EBF">
        <w:rPr>
          <w:rStyle w:val="Rimandonotaapidipagina"/>
        </w:rPr>
        <w:footnoteRef/>
      </w:r>
      <w:r>
        <w:t>)</w:t>
      </w:r>
      <w:r w:rsidRPr="007F7EBF">
        <w:t xml:space="preserve"> E’ un paradossale corollario della spiegazione dell’evasione, anziché con la diversa determinabilità della ricchezza, con onestà e disonestà, come abbiamo visto al par.4.5. Se questa premessa (di senso compiuto nei termini indicati al par.4.7) fosse vera, siccome nei grandi numeri onestà e disonestà si distribuiscono in modo omogeneo, allora il teorema “più dichiari più evadi” avrebbe un senso. Compreso il paradosso del condono del 1982, che consentiva di definire con pochi spiccioli persino le dichiarazioni omesse. </w:t>
      </w:r>
    </w:p>
  </w:footnote>
  <w:footnote w:id="724">
    <w:p w14:paraId="555D0490" w14:textId="77777777" w:rsidR="003B7460" w:rsidRPr="007F7EBF" w:rsidRDefault="003B7460" w:rsidP="00DE01E4">
      <w:pPr>
        <w:pStyle w:val="Testonotaapidipagina"/>
      </w:pPr>
      <w:r w:rsidRPr="007F7EBF">
        <w:rPr>
          <w:rStyle w:val="Rimandonotaapidipagina"/>
        </w:rPr>
        <w:footnoteRef/>
      </w:r>
      <w:r w:rsidRPr="007F7EBF">
        <w:t xml:space="preserve"> ) </w:t>
      </w:r>
      <w:r>
        <w:t>S</w:t>
      </w:r>
      <w:r w:rsidRPr="007F7EBF">
        <w:t xml:space="preserve">anando gli interessi non dichiarati </w:t>
      </w:r>
      <w:r>
        <w:t xml:space="preserve">sui capitali esteri </w:t>
      </w:r>
      <w:r w:rsidRPr="007F7EBF">
        <w:t xml:space="preserve">si otteneva gratuitamente un condono </w:t>
      </w:r>
      <w:r>
        <w:t>se questi</w:t>
      </w:r>
      <w:r w:rsidRPr="007F7EBF">
        <w:t xml:space="preserve"> capitali </w:t>
      </w:r>
      <w:r>
        <w:t>derivavano da</w:t>
      </w:r>
      <w:r w:rsidRPr="007F7EBF">
        <w:t xml:space="preserve"> redditi evasi al fisco</w:t>
      </w:r>
      <w:r>
        <w:t xml:space="preserve">, senza </w:t>
      </w:r>
      <w:r w:rsidRPr="007F7EBF">
        <w:t>costi aggiuntivi rispetto a chi doveva solo sanare la mancata dichiarazione degli interessi</w:t>
      </w:r>
      <w:r>
        <w:t xml:space="preserve"> </w:t>
      </w:r>
      <w:r w:rsidRPr="007F7EBF">
        <w:t xml:space="preserve">su patrimoni costituiti senza </w:t>
      </w:r>
      <w:r>
        <w:t xml:space="preserve">alcuna </w:t>
      </w:r>
      <w:r w:rsidRPr="007F7EBF">
        <w:t xml:space="preserve">evasione di imposta. </w:t>
      </w:r>
      <w:r>
        <w:t>Quest’</w:t>
      </w:r>
      <w:r w:rsidRPr="007F7EBF">
        <w:t>obliquo condono “a costo zero” (</w:t>
      </w:r>
      <w:r>
        <w:t>“</w:t>
      </w:r>
      <w:r w:rsidRPr="007F7EBF">
        <w:t xml:space="preserve">regalato”) sui capitali esteri </w:t>
      </w:r>
      <w:r>
        <w:t xml:space="preserve">delle </w:t>
      </w:r>
      <w:r w:rsidRPr="007F7EBF">
        <w:t>frange più spregiudicate del capitalismo familiare</w:t>
      </w:r>
      <w:r>
        <w:t xml:space="preserve"> era </w:t>
      </w:r>
      <w:r w:rsidRPr="007F7EBF">
        <w:t>una specie di “paghi uno porti via tre”</w:t>
      </w:r>
      <w:r>
        <w:t xml:space="preserve">; esso fu universalmente criticato dall’accademia, ma fu </w:t>
      </w:r>
      <w:r w:rsidRPr="007F7EBF">
        <w:t>ispirato per due volte da un ministro delle finanze professore di diritto tributario, il che conferma l</w:t>
      </w:r>
      <w:r>
        <w:t>a situazione accademica,</w:t>
      </w:r>
      <w:r w:rsidRPr="007F7EBF">
        <w:t xml:space="preserve"> descritt</w:t>
      </w:r>
      <w:r>
        <w:t>a</w:t>
      </w:r>
      <w:r w:rsidRPr="007F7EBF">
        <w:t xml:space="preserve"> al par.4.3. </w:t>
      </w:r>
    </w:p>
  </w:footnote>
  <w:footnote w:id="725">
    <w:p w14:paraId="0F30CC87" w14:textId="77777777" w:rsidR="003B7460" w:rsidRPr="007F7EBF" w:rsidRDefault="003B7460" w:rsidP="00DE01E4">
      <w:pPr>
        <w:pStyle w:val="Testonotaapidipagina"/>
      </w:pPr>
      <w:r w:rsidRPr="007F7EBF">
        <w:rPr>
          <w:rStyle w:val="Rimandonotaapidipagina"/>
        </w:rPr>
        <w:footnoteRef/>
      </w:r>
      <w:r w:rsidRPr="007F7EBF">
        <w:t xml:space="preserve"> ) </w:t>
      </w:r>
      <w:r>
        <w:t>S</w:t>
      </w:r>
      <w:r w:rsidRPr="007F7EBF">
        <w:t xml:space="preserve">pecie se si pensa che comunque l’attività di controllo non si arrestava in periodo di condono. Quest’ultimo sottoponeva però a logoramenti occasionali e privi di respiro la macchina amministrativa. </w:t>
      </w:r>
    </w:p>
  </w:footnote>
  <w:footnote w:id="726">
    <w:p w14:paraId="372B837D" w14:textId="12C534F9" w:rsidR="003B7460" w:rsidRPr="007F7EBF" w:rsidRDefault="003B7460" w:rsidP="00CB698C">
      <w:pPr>
        <w:pStyle w:val="Testonotaapidipagina"/>
      </w:pPr>
      <w:r w:rsidRPr="007F7EBF">
        <w:rPr>
          <w:rStyle w:val="Rimandonotaapidipagina"/>
        </w:rPr>
        <w:footnoteRef/>
      </w:r>
      <w:r w:rsidRPr="007F7EBF">
        <w:t xml:space="preserve"> </w:t>
      </w:r>
      <w:r>
        <w:t xml:space="preserve">) </w:t>
      </w:r>
      <w:r w:rsidRPr="007F7EBF">
        <w:t xml:space="preserve">Si tratta dei provvedimenti del 2016 e del 2017 denominati “rottamazione dei ruoli” </w:t>
      </w:r>
      <w:r>
        <w:t xml:space="preserve">(par.6.11) </w:t>
      </w:r>
      <w:r w:rsidRPr="007F7EBF">
        <w:t xml:space="preserve">e “rottamazione delle liti pendenti”, basati sull’abbuono delle sanzioni e di buona parte degli interessi </w:t>
      </w:r>
      <w:proofErr w:type="spellStart"/>
      <w:r w:rsidRPr="007F7EBF">
        <w:t>purchè</w:t>
      </w:r>
      <w:proofErr w:type="spellEnd"/>
      <w:r w:rsidRPr="007F7EBF">
        <w:t xml:space="preserve"> si procedesse al pagamento dell’imposta</w:t>
      </w:r>
      <w:r>
        <w:t>, nella logica di scambio indicata all’inizio del paragrafo</w:t>
      </w:r>
      <w:r w:rsidRPr="007F7EBF">
        <w:t>.</w:t>
      </w:r>
      <w:r>
        <w:t xml:space="preserve"> L’ultimo provvedimento, c.d. “pace fiscale “, segue la stessa logica e può essere un messaggio verso l’auspicata “</w:t>
      </w:r>
      <w:proofErr w:type="spellStart"/>
      <w:r>
        <w:t>deprocessualizzazione</w:t>
      </w:r>
      <w:proofErr w:type="spellEnd"/>
      <w:r>
        <w:t xml:space="preserve"> del settore”, di cui al par.6.10.</w:t>
      </w:r>
    </w:p>
  </w:footnote>
  <w:footnote w:id="727">
    <w:p w14:paraId="46150027" w14:textId="6D5CC312" w:rsidR="003B7460" w:rsidRPr="007F7EBF" w:rsidRDefault="003B7460">
      <w:pPr>
        <w:pStyle w:val="Testonotaapidipagina"/>
      </w:pPr>
      <w:r w:rsidRPr="007F7EBF">
        <w:rPr>
          <w:rStyle w:val="Rimandonotaapidipagina"/>
        </w:rPr>
        <w:footnoteRef/>
      </w:r>
      <w:r w:rsidRPr="007F7EBF">
        <w:t xml:space="preserve"> ) </w:t>
      </w:r>
      <w:r>
        <w:t>C</w:t>
      </w:r>
      <w:r w:rsidRPr="007F7EBF">
        <w:rPr>
          <w:bCs/>
        </w:rPr>
        <w:t xml:space="preserve">ondoni troppo frequenti cannibalizzano </w:t>
      </w:r>
      <w:r w:rsidRPr="007F7EBF">
        <w:t>se stessi, vanificando l’effetto dissuasivo dei controlli</w:t>
      </w:r>
      <w:r>
        <w:t xml:space="preserve">; il condono ripetuto terrebbe solo se, invece di essere accompagnato </w:t>
      </w:r>
      <w:r w:rsidRPr="007F7EBF">
        <w:t>dall’</w:t>
      </w:r>
      <w:r w:rsidRPr="007F7EBF">
        <w:rPr>
          <w:i/>
        </w:rPr>
        <w:t>amnistia</w:t>
      </w:r>
      <w:r w:rsidRPr="007F7EBF">
        <w:t xml:space="preserve">, ai fini </w:t>
      </w:r>
      <w:proofErr w:type="spellStart"/>
      <w:r w:rsidRPr="007F7EBF">
        <w:t>penaltributari,</w:t>
      </w:r>
      <w:r>
        <w:t>fosse</w:t>
      </w:r>
      <w:proofErr w:type="spellEnd"/>
      <w:r>
        <w:t xml:space="preserve"> seguito</w:t>
      </w:r>
      <w:r w:rsidRPr="007F7EBF">
        <w:t xml:space="preserve"> da una generale “amnesia” de</w:t>
      </w:r>
      <w:r>
        <w:t>gli interessati</w:t>
      </w:r>
      <w:r w:rsidRPr="007F7EBF">
        <w:t xml:space="preserve">. </w:t>
      </w:r>
    </w:p>
  </w:footnote>
  <w:footnote w:id="728">
    <w:p w14:paraId="2EB3A965" w14:textId="5FA8DDDC" w:rsidR="003B7460" w:rsidRPr="007F7EBF" w:rsidRDefault="003B7460" w:rsidP="00EE2AF1">
      <w:pPr>
        <w:pStyle w:val="Testonotaapidipagina"/>
      </w:pPr>
      <w:r w:rsidRPr="007F7EBF">
        <w:rPr>
          <w:rStyle w:val="Rimandonotaapidipagina"/>
        </w:rPr>
        <w:footnoteRef/>
      </w:r>
      <w:r w:rsidRPr="007F7EBF">
        <w:t xml:space="preserve"> ) </w:t>
      </w:r>
      <w:r>
        <w:t>Il concetto astratto di condono è vagamente visto come “politicamente scorretto”, a</w:t>
      </w:r>
      <w:r w:rsidRPr="007F7EBF">
        <w:t xml:space="preserve">nche per via </w:t>
      </w:r>
      <w:r>
        <w:t>di un</w:t>
      </w:r>
      <w:r w:rsidRPr="007F7EBF">
        <w:t>a sentenza della Corte di Giustizia (</w:t>
      </w:r>
      <w:proofErr w:type="spellStart"/>
      <w:r w:rsidRPr="007F7EBF">
        <w:t>sent</w:t>
      </w:r>
      <w:proofErr w:type="spellEnd"/>
      <w:r w:rsidRPr="007F7EBF">
        <w:t xml:space="preserve"> 132/06 del 2008), di portata poco più che simbolica, che ne sancì l’illegittimità comunitaria sotto il profilo IVA (tributo armonizzato). La “contrarietà ai condoni” </w:t>
      </w:r>
      <w:r>
        <w:t>appartiene alla te</w:t>
      </w:r>
      <w:r w:rsidRPr="007F7EBF">
        <w:t>ndenza culturale genericamente “antievasione”, minoritaria, ma forte, descritta al par.4.6</w:t>
      </w:r>
      <w:r>
        <w:t xml:space="preserve">, che spiega grossolanamente spiega la determinazione degli imponibili </w:t>
      </w:r>
      <w:r w:rsidRPr="007F7EBF">
        <w:t xml:space="preserve"> </w:t>
      </w:r>
      <w:r>
        <w:t xml:space="preserve">in termini di onestà e disonestà, e </w:t>
      </w:r>
      <w:r w:rsidRPr="007F7EBF">
        <w:t>per cui il “condono” è un “regalo ai disonesti” (par.4.5).</w:t>
      </w:r>
      <w:r>
        <w:t xml:space="preserve"> Queste tendenze confermano senza volerlo il </w:t>
      </w:r>
      <w:r w:rsidRPr="007F7EBF">
        <w:t xml:space="preserve">disorientamento diffuso sulla determinazione </w:t>
      </w:r>
      <w:r>
        <w:t>degli imponibili, che è la causa dei condoni, non il loro effetto.</w:t>
      </w:r>
    </w:p>
  </w:footnote>
  <w:footnote w:id="729">
    <w:p w14:paraId="0BD867B7" w14:textId="27E5D578" w:rsidR="003B7460" w:rsidRPr="007F7EBF" w:rsidRDefault="003B7460" w:rsidP="004A7BE0">
      <w:pPr>
        <w:pStyle w:val="Testonotaapidipagina"/>
      </w:pPr>
      <w:r w:rsidRPr="007F7EBF">
        <w:rPr>
          <w:rStyle w:val="Rimandonotaapidipagina"/>
        </w:rPr>
        <w:footnoteRef/>
      </w:r>
      <w:r w:rsidRPr="007F7EBF">
        <w:t xml:space="preserve"> )</w:t>
      </w:r>
      <w:r>
        <w:t xml:space="preserve"> Un tema tecnico, connesso alle simmetrie fiscali di cui al par.3.12, è la </w:t>
      </w:r>
      <w:r w:rsidRPr="007F7EBF">
        <w:t xml:space="preserve">tendenza amministrativa a chiedere il pagamento </w:t>
      </w:r>
      <w:r>
        <w:t xml:space="preserve">dei crediti d’imposta indebiti </w:t>
      </w:r>
      <w:r w:rsidRPr="007F7EBF">
        <w:t xml:space="preserve">per l'anno in cui </w:t>
      </w:r>
      <w:r>
        <w:t>sono</w:t>
      </w:r>
      <w:r w:rsidRPr="007F7EBF">
        <w:t xml:space="preserve"> indebitamente esposti, lasciandone impregiudicato il riporto agli anni successivi</w:t>
      </w:r>
      <w:r>
        <w:t>, ma con qualche problema ove in tali anni non ci sia “capienza d’imposta”.</w:t>
      </w:r>
    </w:p>
  </w:footnote>
  <w:footnote w:id="730">
    <w:p w14:paraId="54636A5E" w14:textId="318C9F0E" w:rsidR="003B7460" w:rsidRPr="007F7EBF" w:rsidRDefault="003B7460" w:rsidP="003659DD">
      <w:pPr>
        <w:pStyle w:val="Testonotaapidipagina"/>
      </w:pPr>
      <w:r w:rsidRPr="007F7EBF">
        <w:rPr>
          <w:rStyle w:val="Rimandonotaapidipagina"/>
        </w:rPr>
        <w:footnoteRef/>
      </w:r>
      <w:r w:rsidRPr="007F7EBF">
        <w:t xml:space="preserve"> ) </w:t>
      </w:r>
      <w:r>
        <w:t>Omettiamo i contingenti dettagli normativi secondo cui p</w:t>
      </w:r>
      <w:r w:rsidRPr="007F7EBF">
        <w:t xml:space="preserve">er le dichiarazioni presentate dal 2017 </w:t>
      </w:r>
      <w:r>
        <w:t xml:space="preserve">in poi </w:t>
      </w:r>
      <w:r w:rsidRPr="007F7EBF">
        <w:t xml:space="preserve">gli anni </w:t>
      </w:r>
      <w:r>
        <w:t>diventano cinque</w:t>
      </w:r>
      <w:r w:rsidRPr="007F7EBF">
        <w:t xml:space="preserve">, e se la dichiarazione è stata omessa </w:t>
      </w:r>
      <w:r>
        <w:t>sette</w:t>
      </w:r>
      <w:r w:rsidRPr="007F7EBF">
        <w:t>.</w:t>
      </w:r>
    </w:p>
  </w:footnote>
  <w:footnote w:id="731">
    <w:p w14:paraId="6CE667D8" w14:textId="31941884" w:rsidR="003B7460" w:rsidRDefault="003B7460">
      <w:pPr>
        <w:pStyle w:val="Testonotaapidipagina"/>
      </w:pPr>
      <w:r>
        <w:rPr>
          <w:rStyle w:val="Rimandonotaapidipagina"/>
        </w:rPr>
        <w:footnoteRef/>
      </w:r>
      <w:r>
        <w:t xml:space="preserve"> </w:t>
      </w:r>
      <w:r>
        <w:rPr>
          <w:sz w:val="22"/>
          <w:szCs w:val="22"/>
        </w:rPr>
        <w:t xml:space="preserve">Questa consumazione del potere andava esclusa, già allora, </w:t>
      </w:r>
      <w:r>
        <w:t xml:space="preserve">qualora dopo l’atto impositivo fossero giunte nuove informazioni, definite “sopravvenuta conoscenza di nuovi elementi” dagli </w:t>
      </w:r>
      <w:r w:rsidRPr="007F7EBF">
        <w:t>artt. 43, d.P.R. n. 600 e 57, comma 3, decreto IVA</w:t>
      </w:r>
      <w:r>
        <w:t xml:space="preserve">. </w:t>
      </w:r>
    </w:p>
  </w:footnote>
  <w:footnote w:id="732">
    <w:p w14:paraId="5355870D" w14:textId="70E0EF1E" w:rsidR="00C67BFB" w:rsidRDefault="00C67BFB">
      <w:pPr>
        <w:pStyle w:val="Testonotaapidipagina"/>
      </w:pPr>
      <w:r>
        <w:rPr>
          <w:rStyle w:val="Rimandonotaapidipagina"/>
        </w:rPr>
        <w:footnoteRef/>
      </w:r>
      <w:r>
        <w:t xml:space="preserve"> </w:t>
      </w:r>
      <w:r>
        <w:t xml:space="preserve">Sotto un certo profilo, il </w:t>
      </w:r>
      <w:r w:rsidRPr="007F7EBF">
        <w:t xml:space="preserve">processo è il tipo di procedimento </w:t>
      </w:r>
      <w:r>
        <w:t>necessario al</w:t>
      </w:r>
      <w:r w:rsidRPr="007F7EBF">
        <w:t>la funzione giurisdizionale</w:t>
      </w:r>
      <w:r>
        <w:t xml:space="preserve">. </w:t>
      </w:r>
    </w:p>
  </w:footnote>
  <w:footnote w:id="733">
    <w:p w14:paraId="3C9E0B0A" w14:textId="77777777" w:rsidR="003B7460" w:rsidRPr="007F7EBF" w:rsidRDefault="003B7460" w:rsidP="000A0F7F">
      <w:pPr>
        <w:autoSpaceDE w:val="0"/>
        <w:autoSpaceDN w:val="0"/>
        <w:adjustRightInd w:val="0"/>
      </w:pPr>
      <w:r w:rsidRPr="007F7EBF">
        <w:rPr>
          <w:rStyle w:val="Rimandonotaapidipagina"/>
        </w:rPr>
        <w:footnoteRef/>
      </w:r>
      <w:r w:rsidRPr="007F7EBF">
        <w:t xml:space="preserve"> ) </w:t>
      </w:r>
      <w:r>
        <w:t>La fuorviante concezione processualistica del diritto tributario fa quasi apparire anomalo il diritto di accesso, come se gli uffici tributari fossero litiganti privati, con una sfera di riservatezza difensiva da salvaguardare</w:t>
      </w:r>
      <w:r w:rsidRPr="007F7EBF">
        <w:t xml:space="preserve">. </w:t>
      </w:r>
    </w:p>
  </w:footnote>
  <w:footnote w:id="734">
    <w:p w14:paraId="515E7409" w14:textId="244AC0A0" w:rsidR="003B7460" w:rsidRDefault="003B7460">
      <w:pPr>
        <w:pStyle w:val="Testonotaapidipagina"/>
      </w:pPr>
      <w:r>
        <w:rPr>
          <w:rStyle w:val="Rimandonotaapidipagina"/>
        </w:rPr>
        <w:footnoteRef/>
      </w:r>
      <w:r>
        <w:t xml:space="preserve"> ) </w:t>
      </w:r>
      <w:r>
        <w:rPr>
          <w:sz w:val="22"/>
          <w:szCs w:val="22"/>
        </w:rPr>
        <w:t>In quanto la procedura è seriale, e s</w:t>
      </w:r>
      <w:r w:rsidRPr="007F7EBF">
        <w:rPr>
          <w:sz w:val="22"/>
          <w:szCs w:val="22"/>
        </w:rPr>
        <w:t xml:space="preserve">i basa su dati già in possesso dell'amministrazione finanziaria, </w:t>
      </w:r>
      <w:r>
        <w:rPr>
          <w:sz w:val="22"/>
          <w:szCs w:val="22"/>
        </w:rPr>
        <w:t>s</w:t>
      </w:r>
      <w:r w:rsidRPr="007F7EBF">
        <w:rPr>
          <w:sz w:val="22"/>
          <w:szCs w:val="22"/>
        </w:rPr>
        <w:t xml:space="preserve">enza </w:t>
      </w:r>
      <w:r>
        <w:rPr>
          <w:sz w:val="22"/>
          <w:szCs w:val="22"/>
        </w:rPr>
        <w:t xml:space="preserve">utilità prospettica di coinvolgere ex ante il destinatario, anche rispetto alle cifre coinvolte. </w:t>
      </w:r>
      <w:r w:rsidRPr="007F7EBF">
        <w:t>Si pensi al caso delle tasse automobilistiche, dovute per l’iscrizione dei veicoli ai pubblici registri automobilistici, di cui al par.10.10.</w:t>
      </w:r>
    </w:p>
  </w:footnote>
  <w:footnote w:id="735">
    <w:p w14:paraId="399BA238" w14:textId="77777777" w:rsidR="003B7460" w:rsidRPr="007F7EBF" w:rsidRDefault="003B7460" w:rsidP="008725D6">
      <w:pPr>
        <w:pStyle w:val="Testonotaapidipagina"/>
      </w:pPr>
      <w:r w:rsidRPr="007F7EBF">
        <w:rPr>
          <w:rStyle w:val="Rimandonotaapidipagina"/>
        </w:rPr>
        <w:footnoteRef/>
      </w:r>
      <w:r w:rsidRPr="007F7EBF">
        <w:t xml:space="preserve"> ) Come le determinazioni in base ai movimenti bancari di cui al par.5.16.  </w:t>
      </w:r>
    </w:p>
  </w:footnote>
  <w:footnote w:id="736">
    <w:p w14:paraId="137063D5" w14:textId="611D1E74" w:rsidR="003B7460" w:rsidRPr="007F7EBF" w:rsidRDefault="003B7460" w:rsidP="00274A1F">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Anche alla luce del </w:t>
      </w:r>
      <w:r w:rsidRPr="007F7EBF">
        <w:rPr>
          <w:bCs/>
          <w:sz w:val="20"/>
          <w:szCs w:val="20"/>
        </w:rPr>
        <w:t>principio comunitario</w:t>
      </w:r>
      <w:r>
        <w:rPr>
          <w:bCs/>
          <w:sz w:val="20"/>
          <w:szCs w:val="20"/>
        </w:rPr>
        <w:t>, da intendere alla luce del principio di proporzionalità,</w:t>
      </w:r>
      <w:r w:rsidRPr="007F7EBF">
        <w:rPr>
          <w:bCs/>
          <w:sz w:val="20"/>
          <w:szCs w:val="20"/>
        </w:rPr>
        <w:t xml:space="preserve"> </w:t>
      </w:r>
      <w:r w:rsidRPr="007F7EBF">
        <w:rPr>
          <w:sz w:val="20"/>
          <w:szCs w:val="20"/>
        </w:rPr>
        <w:t xml:space="preserve">sul diritto di essere ascoltati prima di essere destinatari di un provvedimento amministrativo tributario, o in genere restrittivo, anche in materia sanzionatoria, previdenziale, urbanistica, etc.. </w:t>
      </w:r>
    </w:p>
  </w:footnote>
  <w:footnote w:id="737">
    <w:p w14:paraId="5635FF38" w14:textId="0100B592" w:rsidR="003B7460" w:rsidRPr="007F7EBF" w:rsidRDefault="003B7460" w:rsidP="00274A1F">
      <w:pPr>
        <w:pStyle w:val="Testonotaapidipagina"/>
      </w:pPr>
      <w:r w:rsidRPr="007F7EBF">
        <w:rPr>
          <w:rStyle w:val="Rimandonotaapidipagina"/>
        </w:rPr>
        <w:footnoteRef/>
      </w:r>
      <w:r w:rsidRPr="007F7EBF">
        <w:t xml:space="preserve"> </w:t>
      </w:r>
      <w:r>
        <w:t xml:space="preserve">) Sui limiti della motivazione della sentenza par.6.9. </w:t>
      </w:r>
    </w:p>
  </w:footnote>
  <w:footnote w:id="738">
    <w:p w14:paraId="708CF3D6" w14:textId="7252B2D0" w:rsidR="003B7460" w:rsidRPr="007F7EBF" w:rsidRDefault="003B7460" w:rsidP="00C24655">
      <w:pPr>
        <w:pStyle w:val="Testonotaapidipagina"/>
      </w:pPr>
      <w:r w:rsidRPr="007F7EBF">
        <w:rPr>
          <w:rStyle w:val="Rimandonotaapidipagina"/>
        </w:rPr>
        <w:footnoteRef/>
      </w:r>
      <w:r w:rsidRPr="007F7EBF">
        <w:t xml:space="preserve"> ) Si tratta della c.d. “motivazione per </w:t>
      </w:r>
      <w:proofErr w:type="spellStart"/>
      <w:r w:rsidRPr="007F7EBF">
        <w:t>relationem</w:t>
      </w:r>
      <w:proofErr w:type="spellEnd"/>
      <w:r w:rsidRPr="007F7EBF">
        <w:t xml:space="preserve">”, cioè per rinvio. Qualora invece gli atti cui l'accertamento rinvia non siano in possesso del contribuente, </w:t>
      </w:r>
      <w:r>
        <w:t>l’atto impositivo dovrà</w:t>
      </w:r>
      <w:r w:rsidRPr="007F7EBF">
        <w:t xml:space="preserve"> riportarne in modo esauriente il contenuto</w:t>
      </w:r>
      <w:r>
        <w:t xml:space="preserve">; così come la dialettica processuale alleggerisce la motivazione della sentenza, quella procedimentale alleggerisce quella dell’accertamento. </w:t>
      </w:r>
    </w:p>
  </w:footnote>
  <w:footnote w:id="739">
    <w:p w14:paraId="6A73598B" w14:textId="495C6EC9" w:rsidR="003B7460" w:rsidRPr="007F7EBF" w:rsidRDefault="003B7460" w:rsidP="009863F4">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Per utilizzare una formula sintetica, si potrebbe</w:t>
      </w:r>
    </w:p>
    <w:p w14:paraId="663F0CA0" w14:textId="4AEFC4BB" w:rsidR="003B7460" w:rsidRPr="007F7EBF" w:rsidRDefault="003B7460" w:rsidP="009863F4">
      <w:pPr>
        <w:pStyle w:val="Testonotaapidipagina"/>
      </w:pPr>
      <w:r w:rsidRPr="007F7EBF">
        <w:t xml:space="preserve">dire che la motivazione deve </w:t>
      </w:r>
      <w:r w:rsidR="001B5137">
        <w:t>“</w:t>
      </w:r>
      <w:r w:rsidRPr="007F7EBF">
        <w:t>descrivere la determinazione del</w:t>
      </w:r>
      <w:r w:rsidR="001B5137">
        <w:t xml:space="preserve"> presupposto</w:t>
      </w:r>
      <w:r w:rsidRPr="007F7EBF">
        <w:t xml:space="preserve"> da parte dell’ufficio, e </w:t>
      </w:r>
      <w:r w:rsidR="001B5137">
        <w:t xml:space="preserve">il suo </w:t>
      </w:r>
      <w:r w:rsidRPr="007F7EBF">
        <w:t>inquadramento giuridico</w:t>
      </w:r>
      <w:r w:rsidR="001B5137">
        <w:t>”</w:t>
      </w:r>
      <w:r w:rsidRPr="007F7EBF">
        <w:t>.</w:t>
      </w:r>
    </w:p>
  </w:footnote>
  <w:footnote w:id="740">
    <w:p w14:paraId="1BD43BE1" w14:textId="77777777" w:rsidR="003B7460" w:rsidRPr="007F7EBF" w:rsidRDefault="003B7460">
      <w:pPr>
        <w:pStyle w:val="Testonotaapidipagina"/>
      </w:pPr>
      <w:r w:rsidRPr="007F7EBF">
        <w:rPr>
          <w:rStyle w:val="Rimandonotaapidipagina"/>
        </w:rPr>
        <w:footnoteRef/>
      </w:r>
      <w:r w:rsidRPr="007F7EBF">
        <w:t xml:space="preserve"> Si pensi al riferimento a risultanze istruttorie o circostanze comunque non contestate (documenti, ammissioni, verbali di ispezione, ecc.).</w:t>
      </w:r>
    </w:p>
  </w:footnote>
  <w:footnote w:id="741">
    <w:p w14:paraId="78219C18" w14:textId="08AA7FB3" w:rsidR="003B7460" w:rsidRPr="007F7EBF" w:rsidRDefault="003B7460" w:rsidP="00017A6D">
      <w:pPr>
        <w:pStyle w:val="Testonotaapidipagina"/>
      </w:pPr>
      <w:r w:rsidRPr="007F7EBF">
        <w:rPr>
          <w:rStyle w:val="Rimandonotaapidipagina"/>
        </w:rPr>
        <w:footnoteRef/>
      </w:r>
      <w:r w:rsidRPr="007F7EBF">
        <w:t xml:space="preserve"> ) A questo punto l’unico rimedio è il ritiro totale o parziale dell’atto “in autotutela”, </w:t>
      </w:r>
      <w:r>
        <w:t xml:space="preserve">su cui </w:t>
      </w:r>
      <w:r w:rsidRPr="007F7EBF">
        <w:t>par.6.6. A questi fini non basta il difetto di motivazione, ma occorrono altri indizi della palese infondatezza /illegittimità dell’atto.</w:t>
      </w:r>
    </w:p>
  </w:footnote>
  <w:footnote w:id="742">
    <w:p w14:paraId="49B3CC63" w14:textId="77777777" w:rsidR="003B7460" w:rsidRPr="007F7EBF" w:rsidRDefault="003B7460" w:rsidP="00C4438D">
      <w:pPr>
        <w:pStyle w:val="Testonotaapidipagina"/>
      </w:pPr>
      <w:r w:rsidRPr="007F7EBF">
        <w:rPr>
          <w:rStyle w:val="Rimandonotaapidipagina"/>
        </w:rPr>
        <w:footnoteRef/>
      </w:r>
      <w:r w:rsidRPr="007F7EBF">
        <w:t xml:space="preserve"> ) In modo cioè da consentire al contribuente di prendere posizione con cognizione di causa sulla richiesta dell’ufficio tributario. </w:t>
      </w:r>
    </w:p>
  </w:footnote>
  <w:footnote w:id="743">
    <w:p w14:paraId="11B4BBC6" w14:textId="77777777" w:rsidR="003B7460" w:rsidRPr="007F7EBF" w:rsidRDefault="003B7460" w:rsidP="00C4438D">
      <w:pPr>
        <w:pStyle w:val="Testonotaapidipagina"/>
      </w:pPr>
      <w:r w:rsidRPr="007F7EBF">
        <w:rPr>
          <w:rStyle w:val="Rimandonotaapidipagina"/>
        </w:rPr>
        <w:footnoteRef/>
      </w:r>
      <w:r w:rsidRPr="007F7EBF">
        <w:t xml:space="preserve"> Come confermato dalla unanime giurisprudenza. </w:t>
      </w:r>
    </w:p>
  </w:footnote>
  <w:footnote w:id="744">
    <w:p w14:paraId="5D944B2F" w14:textId="77777777" w:rsidR="003B7460" w:rsidRPr="007F7EBF" w:rsidRDefault="003B7460">
      <w:pPr>
        <w:pStyle w:val="Testonotaapidipagina"/>
      </w:pPr>
      <w:r w:rsidRPr="007F7EBF">
        <w:rPr>
          <w:rStyle w:val="Rimandonotaapidipagina"/>
        </w:rPr>
        <w:footnoteRef/>
      </w:r>
      <w:r w:rsidRPr="007F7EBF">
        <w:t xml:space="preserve"> ) Anche se il caso si verifica di rado, nell’ambito della motivazione l’ufficio potrebbe anche addurre, nel processo , elementi di prova non indicati nell’atto impugnato.</w:t>
      </w:r>
    </w:p>
  </w:footnote>
  <w:footnote w:id="745">
    <w:p w14:paraId="1D152304" w14:textId="77777777" w:rsidR="003B7460" w:rsidRPr="007F7EBF" w:rsidRDefault="003B7460" w:rsidP="00C4438D">
      <w:pPr>
        <w:pStyle w:val="Testonotaapidipagina"/>
      </w:pPr>
      <w:r w:rsidRPr="007F7EBF">
        <w:rPr>
          <w:rStyle w:val="Rimandonotaapidipagina"/>
        </w:rPr>
        <w:footnoteRef/>
      </w:r>
      <w:r w:rsidRPr="007F7EBF">
        <w:t xml:space="preserve"> Cioè l'"</w:t>
      </w:r>
      <w:proofErr w:type="spellStart"/>
      <w:r w:rsidRPr="007F7EBF">
        <w:rPr>
          <w:i/>
        </w:rPr>
        <w:t>evidence</w:t>
      </w:r>
      <w:proofErr w:type="spellEnd"/>
      <w:r w:rsidRPr="007F7EBF">
        <w:t>" intesa (par.5.8) come prova in senso materiale.</w:t>
      </w:r>
    </w:p>
  </w:footnote>
  <w:footnote w:id="746">
    <w:p w14:paraId="4EED1B3B" w14:textId="1F5A3447" w:rsidR="003B7460" w:rsidRPr="007F7EBF" w:rsidRDefault="003B7460" w:rsidP="00030DB7">
      <w:pPr>
        <w:pStyle w:val="Testonotaapidipagina"/>
      </w:pPr>
      <w:r w:rsidRPr="007F7EBF">
        <w:rPr>
          <w:rStyle w:val="Rimandonotaapidipagina"/>
        </w:rPr>
        <w:footnoteRef/>
      </w:r>
      <w:r w:rsidRPr="007F7EBF">
        <w:t xml:space="preserve"> ) A proposito della differenza tra “</w:t>
      </w:r>
      <w:proofErr w:type="spellStart"/>
      <w:r w:rsidRPr="007F7EBF">
        <w:t>evidence</w:t>
      </w:r>
      <w:proofErr w:type="spellEnd"/>
      <w:r w:rsidRPr="007F7EBF">
        <w:t>”, cioè aspetto materiale della prova e prova come ragionamento (“</w:t>
      </w:r>
      <w:proofErr w:type="spellStart"/>
      <w:r w:rsidRPr="007F7EBF">
        <w:t>proof</w:t>
      </w:r>
      <w:proofErr w:type="spellEnd"/>
      <w:r w:rsidRPr="007F7EBF">
        <w:t>”),.</w:t>
      </w:r>
    </w:p>
  </w:footnote>
  <w:footnote w:id="747">
    <w:p w14:paraId="55EFFCBC" w14:textId="7409A0B7" w:rsidR="003B7460" w:rsidRPr="007F7EBF" w:rsidRDefault="003B7460">
      <w:pPr>
        <w:pStyle w:val="Testonotaapidipagina"/>
      </w:pPr>
      <w:r w:rsidRPr="007F7EBF">
        <w:rPr>
          <w:rStyle w:val="Rimandonotaapidipagina"/>
        </w:rPr>
        <w:footnoteRef/>
      </w:r>
      <w:r w:rsidRPr="007F7EBF">
        <w:t xml:space="preserve"> ) E’ ad esempio la tecnica </w:t>
      </w:r>
      <w:proofErr w:type="spellStart"/>
      <w:r w:rsidRPr="007F7EBF">
        <w:t>processualpenalistica</w:t>
      </w:r>
      <w:proofErr w:type="spellEnd"/>
      <w:r w:rsidRPr="007F7EBF">
        <w:t xml:space="preserve"> dell’”alibi”, che </w:t>
      </w:r>
      <w:r w:rsidR="00295F14">
        <w:t xml:space="preserve">nella </w:t>
      </w:r>
      <w:r w:rsidR="000238B8">
        <w:t xml:space="preserve">funzione tributaria </w:t>
      </w:r>
      <w:r w:rsidRPr="007F7EBF">
        <w:t>potrebbe consistere nell’ essere stato infermo, o all’estero, e quindi impossibilitato a svolgere l’attività economica messa dall’ufficio alla base dell’accertamento.</w:t>
      </w:r>
    </w:p>
  </w:footnote>
  <w:footnote w:id="748">
    <w:p w14:paraId="72BFAE4E" w14:textId="27F19C3F"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I giudici tendono quindi a considerare assolto l'onere della prova di maggiori ricavi non dichiarati, da parte degli uffici, anche con le tradizionali stime per ordine di grandezza, con cui da secoli, avveniva la determinazione valutativa della ricchezza. E' un riflesso della naturale tendenza a </w:t>
      </w:r>
      <w:r w:rsidRPr="007F7EBF">
        <w:rPr>
          <w:i/>
        </w:rPr>
        <w:t xml:space="preserve">contestualizzare </w:t>
      </w:r>
      <w:r w:rsidRPr="007F7EBF">
        <w:t xml:space="preserve">il probabilismo della prova, di cui al par.5.8, in relazione alle possibilità probatorie di chi la fornisce, minori per l'ufficio, nonostante i poteri inquisitori che possiede. </w:t>
      </w:r>
    </w:p>
  </w:footnote>
  <w:footnote w:id="749">
    <w:p w14:paraId="0BAAA866" w14:textId="6DE75E98" w:rsidR="003B7460" w:rsidRPr="007F7EBF" w:rsidRDefault="003B7460" w:rsidP="002A0691">
      <w:pPr>
        <w:pStyle w:val="Testonotaapidipagina"/>
      </w:pPr>
      <w:r w:rsidRPr="007F7EBF">
        <w:rPr>
          <w:rStyle w:val="Rimandonotaapidipagina"/>
        </w:rPr>
        <w:footnoteRef/>
      </w:r>
      <w:r w:rsidRPr="007F7EBF">
        <w:t xml:space="preserve"> I giudici</w:t>
      </w:r>
      <w:r>
        <w:t xml:space="preserve">, ignorando la </w:t>
      </w:r>
      <w:r w:rsidRPr="007F7EBF">
        <w:t xml:space="preserve">normale snellezza della documentazione contabile, tendono a trasferire sugli operatori economici, le </w:t>
      </w:r>
      <w:r>
        <w:t>cautele</w:t>
      </w:r>
      <w:r w:rsidRPr="007F7EBF">
        <w:t xml:space="preserve"> probatorie </w:t>
      </w:r>
      <w:r>
        <w:t>normalmente accompagnate</w:t>
      </w:r>
      <w:r w:rsidRPr="007F7EBF">
        <w:t xml:space="preserve"> a rapporti giuridici isolati.</w:t>
      </w:r>
    </w:p>
  </w:footnote>
  <w:footnote w:id="750">
    <w:p w14:paraId="5B9CD8A2" w14:textId="3EDA29C2" w:rsidR="003B7460" w:rsidRDefault="003B7460" w:rsidP="0078108A">
      <w:pPr>
        <w:pStyle w:val="Testonotaapidipagina"/>
      </w:pPr>
      <w:r>
        <w:rPr>
          <w:rStyle w:val="Rimandonotaapidipagina"/>
        </w:rPr>
        <w:footnoteRef/>
      </w:r>
      <w:r>
        <w:t xml:space="preserve"> ) </w:t>
      </w:r>
      <w:r w:rsidR="000238B8">
        <w:t>P</w:t>
      </w:r>
      <w:r>
        <w:t>otrebbe trattarsi</w:t>
      </w:r>
      <w:r w:rsidR="008E1EFE">
        <w:t xml:space="preserve">, oltre che della già indicata malattia del contribuente, </w:t>
      </w:r>
      <w:r>
        <w:t xml:space="preserve">della prova che un esercizio commerciale era chiuso, o distrutto, che rende inverosimile la produzione di un reddito attraverso di lui. </w:t>
      </w:r>
    </w:p>
  </w:footnote>
  <w:footnote w:id="751">
    <w:p w14:paraId="2B2FA67B" w14:textId="77777777" w:rsidR="003B7460" w:rsidRPr="007F7EBF" w:rsidRDefault="003B7460" w:rsidP="0041087C">
      <w:pPr>
        <w:pStyle w:val="Testonotaapidipagina"/>
      </w:pPr>
      <w:r w:rsidRPr="007F7EBF">
        <w:rPr>
          <w:rStyle w:val="Rimandonotaapidipagina"/>
        </w:rPr>
        <w:footnoteRef/>
      </w:r>
      <w:r w:rsidRPr="007F7EBF">
        <w:t xml:space="preserve"> Corretto dal giudice, con un annullamento parziale, ma che logicamente potrebbe essere corretto anche dallo stesso ufficio tributario nei modi che vedremo al par.6.10.  </w:t>
      </w:r>
    </w:p>
  </w:footnote>
  <w:footnote w:id="752">
    <w:p w14:paraId="5E12782D" w14:textId="77777777" w:rsidR="003B7460" w:rsidRPr="007F7EBF" w:rsidRDefault="003B7460">
      <w:pPr>
        <w:pStyle w:val="Testonotaapidipagina"/>
      </w:pPr>
      <w:r w:rsidRPr="007F7EBF">
        <w:rPr>
          <w:rStyle w:val="Rimandonotaapidipagina"/>
        </w:rPr>
        <w:footnoteRef/>
      </w:r>
      <w:r w:rsidRPr="007F7EBF">
        <w:t xml:space="preserve"> ) In linguaggio tecnico si tratta di “allegare”, cioè indicare gli aspetti dell'atto impositivo carenti di fondamento probatorio. </w:t>
      </w:r>
    </w:p>
  </w:footnote>
  <w:footnote w:id="753">
    <w:p w14:paraId="059938BB" w14:textId="77777777" w:rsidR="003B7460" w:rsidRPr="007F7EBF" w:rsidRDefault="003B7460">
      <w:pPr>
        <w:pStyle w:val="Testonotaapidipagina"/>
      </w:pPr>
      <w:r w:rsidRPr="007F7EBF">
        <w:rPr>
          <w:rStyle w:val="Rimandonotaapidipagina"/>
        </w:rPr>
        <w:footnoteRef/>
      </w:r>
      <w:r w:rsidRPr="007F7EBF">
        <w:t xml:space="preserve"> ) Dove i primi avrebbero dovuto essere provati dall’ufficio e i secondi dal contribuente. </w:t>
      </w:r>
    </w:p>
  </w:footnote>
  <w:footnote w:id="754">
    <w:p w14:paraId="0F5C63A8" w14:textId="77777777" w:rsidR="003B7460" w:rsidRPr="007F7EBF" w:rsidRDefault="003B7460">
      <w:pPr>
        <w:pStyle w:val="Testonotaapidipagina"/>
      </w:pPr>
      <w:r w:rsidRPr="007F7EBF">
        <w:rPr>
          <w:rStyle w:val="Rimandonotaapidipagina"/>
        </w:rPr>
        <w:footnoteRef/>
      </w:r>
      <w:r w:rsidRPr="007F7EBF">
        <w:t xml:space="preserve"> ) Si pensi al garante di eventuali debiti tributari di terzi, come spesso avviene per banche o assicurazioni, che rilasciano fideiussioni ai fini di rimborsi di imposta. </w:t>
      </w:r>
    </w:p>
  </w:footnote>
  <w:footnote w:id="755">
    <w:p w14:paraId="5DA7736B" w14:textId="77777777" w:rsidR="003B7460" w:rsidRDefault="003B7460" w:rsidP="000439B5">
      <w:pPr>
        <w:pStyle w:val="Testonotaapidipagina"/>
      </w:pPr>
      <w:r>
        <w:rPr>
          <w:rStyle w:val="Rimandonotaapidipagina"/>
        </w:rPr>
        <w:footnoteRef/>
      </w:r>
      <w:r>
        <w:t xml:space="preserve"> La necessità che il creditore si rivolga previamente al debitore principale può essere prevista normativamente, come per la solidarietà dei soci di società di persone, col c.d. "</w:t>
      </w:r>
      <w:proofErr w:type="spellStart"/>
      <w:r>
        <w:t>beneficium</w:t>
      </w:r>
      <w:proofErr w:type="spellEnd"/>
      <w:r>
        <w:t xml:space="preserve"> </w:t>
      </w:r>
      <w:proofErr w:type="spellStart"/>
      <w:r>
        <w:t>excussionis</w:t>
      </w:r>
      <w:proofErr w:type="spellEnd"/>
      <w:r>
        <w:t xml:space="preserve">". </w:t>
      </w:r>
    </w:p>
  </w:footnote>
  <w:footnote w:id="756">
    <w:p w14:paraId="70D32089" w14:textId="33781F39" w:rsidR="003B7460" w:rsidRPr="007F7EBF" w:rsidRDefault="003B7460" w:rsidP="002A16E1">
      <w:pPr>
        <w:pStyle w:val="Testonotaapidipagina"/>
      </w:pPr>
      <w:r w:rsidRPr="007F7EBF">
        <w:rPr>
          <w:rStyle w:val="Rimandonotaapidipagina"/>
        </w:rPr>
        <w:footnoteRef/>
      </w:r>
      <w:r w:rsidRPr="007F7EBF">
        <w:t xml:space="preserve"> </w:t>
      </w:r>
      <w:r>
        <w:t xml:space="preserve">) </w:t>
      </w:r>
      <w:r w:rsidRPr="007F7EBF">
        <w:t xml:space="preserve">Si pensi ai coeredi o ai soci di società di persone, che hanno pagato debiti della società, intendendo rivalersene nei confronti degli altri soci. </w:t>
      </w:r>
    </w:p>
  </w:footnote>
  <w:footnote w:id="757">
    <w:p w14:paraId="6667DDF3" w14:textId="15CB5BCC" w:rsidR="003B7460" w:rsidRPr="007F7EBF" w:rsidRDefault="003B7460">
      <w:pPr>
        <w:pStyle w:val="Testonotaapidipagina"/>
      </w:pPr>
      <w:r w:rsidRPr="007F7EBF">
        <w:rPr>
          <w:rStyle w:val="Rimandonotaapidipagina"/>
        </w:rPr>
        <w:footnoteRef/>
      </w:r>
      <w:r w:rsidRPr="007F7EBF">
        <w:t xml:space="preserve"> ) L'unica conseguenza pregiudizievole, indirettamente, è che l'attivismo dell'ufficio tributario nei confronti di un coobbligato, può evitare la decadenza amministrativa, secondo una tendenza giurisprudenziale che applica i principi della prescrizione civilistica. E’ una eventualità abbastanza rara, quasi un caso </w:t>
      </w:r>
      <w:r>
        <w:t xml:space="preserve">tecnico </w:t>
      </w:r>
      <w:r w:rsidRPr="007F7EBF">
        <w:t xml:space="preserve">di scuola, che conferma la tendenza equivoca ad estendere a una funzione amministrativa, retta da termini di decadenza, il concetto civilistico di prescrizione. </w:t>
      </w:r>
    </w:p>
  </w:footnote>
  <w:footnote w:id="758">
    <w:p w14:paraId="39BA9CC7" w14:textId="797AE571" w:rsidR="003B7460" w:rsidRPr="007F7EBF" w:rsidRDefault="003B7460">
      <w:pPr>
        <w:pStyle w:val="Testonotaapidipagina"/>
      </w:pPr>
      <w:r w:rsidRPr="007F7EBF">
        <w:rPr>
          <w:rStyle w:val="Rimandonotaapidipagina"/>
        </w:rPr>
        <w:footnoteRef/>
      </w:r>
      <w:r w:rsidRPr="007F7EBF">
        <w:t xml:space="preserve"> </w:t>
      </w:r>
      <w:r>
        <w:t xml:space="preserve">) </w:t>
      </w:r>
      <w:r w:rsidRPr="007F7EBF">
        <w:t>In una prospettiva amministrativistica, invece, l'impugnazione vittoriosa, da parte di un condebitore, non giova di per sé a chi, rimanendo inerte, ha fatto acquiescenza all'atto.</w:t>
      </w:r>
    </w:p>
  </w:footnote>
  <w:footnote w:id="759">
    <w:p w14:paraId="471D4E8B" w14:textId="77777777" w:rsidR="003B7460" w:rsidRPr="007F7EBF" w:rsidRDefault="003B7460">
      <w:pPr>
        <w:pStyle w:val="Testonotaapidipagina"/>
      </w:pPr>
      <w:r w:rsidRPr="007F7EBF">
        <w:rPr>
          <w:rStyle w:val="Rimandonotaapidipagina"/>
        </w:rPr>
        <w:footnoteRef/>
      </w:r>
      <w:r w:rsidRPr="007F7EBF">
        <w:t xml:space="preserve"> .La c.d. "responsabilità d'imposta" di cui al par.3.5.</w:t>
      </w:r>
    </w:p>
  </w:footnote>
  <w:footnote w:id="760">
    <w:p w14:paraId="1E18E791" w14:textId="77777777" w:rsidR="003B7460" w:rsidRPr="007F7EBF" w:rsidRDefault="003B7460">
      <w:pPr>
        <w:pStyle w:val="Testonotaapidipagina"/>
      </w:pPr>
      <w:r w:rsidRPr="007F7EBF">
        <w:rPr>
          <w:rStyle w:val="Rimandonotaapidipagina"/>
        </w:rPr>
        <w:footnoteRef/>
      </w:r>
      <w:r w:rsidRPr="007F7EBF">
        <w:t xml:space="preserve"> ) Nella coobbligazione solidale paritetica si ritiene invece necessario un atto impositivo per ciascun coobbligato. </w:t>
      </w:r>
    </w:p>
  </w:footnote>
  <w:footnote w:id="761">
    <w:p w14:paraId="5270D562" w14:textId="69D68280" w:rsidR="003B7460" w:rsidRDefault="003B7460">
      <w:pPr>
        <w:pStyle w:val="Testonotaapidipagina"/>
      </w:pPr>
      <w:r>
        <w:rPr>
          <w:rStyle w:val="Rimandonotaapidipagina"/>
        </w:rPr>
        <w:footnoteRef/>
      </w:r>
      <w:r>
        <w:t xml:space="preserve"> ) Art.36 del decreto sulla riscossione delle imposte, n.602 del 1973, che sancisce la “responsabilità limitata” di chi ha ricevuto restituzioni di capitale o dividendi nel biennio anteriore alla liquidazione. E’ una disposizione inadeguata rispetto ai problemi di cui ai parr.3.5 e 7.21</w:t>
      </w:r>
    </w:p>
  </w:footnote>
  <w:footnote w:id="762">
    <w:p w14:paraId="163A1076" w14:textId="13F3E351" w:rsidR="003B7460" w:rsidRPr="007F7EBF" w:rsidRDefault="003B7460" w:rsidP="00E45F87">
      <w:pPr>
        <w:pStyle w:val="Testonotaapidipagina"/>
      </w:pPr>
      <w:r w:rsidRPr="007F7EBF">
        <w:rPr>
          <w:rStyle w:val="Rimandonotaapidipagina"/>
        </w:rPr>
        <w:footnoteRef/>
      </w:r>
      <w:r w:rsidRPr="007F7EBF">
        <w:t xml:space="preserve"> Si pensi ad esempio al consumatore, che </w:t>
      </w:r>
      <w:r>
        <w:t>paga</w:t>
      </w:r>
      <w:r w:rsidRPr="007F7EBF">
        <w:t xml:space="preserve"> in parte</w:t>
      </w:r>
      <w:r>
        <w:t xml:space="preserve"> “in nero”</w:t>
      </w:r>
      <w:r w:rsidRPr="007F7EBF">
        <w:t xml:space="preserve"> il prezzo di immobili. E' uno dei rari casi in cui, vista anche la scarsa sistematicità dell'azione accertativa degli uffici tributari, questo istituto , introdotto nel 2012 per motivi di immagine ("di bandiera"), può avere effetti pratici. </w:t>
      </w:r>
    </w:p>
  </w:footnote>
  <w:footnote w:id="763">
    <w:p w14:paraId="7335732B" w14:textId="6EC65BF5" w:rsidR="003B7460" w:rsidRPr="007F7EBF" w:rsidRDefault="003B7460" w:rsidP="00627BD3">
      <w:pPr>
        <w:pStyle w:val="Testonotaapidipagina"/>
      </w:pPr>
      <w:r w:rsidRPr="007F7EBF">
        <w:rPr>
          <w:rStyle w:val="Rimandonotaapidipagina"/>
        </w:rPr>
        <w:footnoteRef/>
      </w:r>
      <w:r w:rsidRPr="007F7EBF">
        <w:t xml:space="preserve"> ) Abbiamo visto a</w:t>
      </w:r>
      <w:r>
        <w:t>i parr.1.2 e 1.4</w:t>
      </w:r>
      <w:r w:rsidRPr="007F7EBF">
        <w:t xml:space="preserve"> che stime e valutazioni per ordine di grandezza</w:t>
      </w:r>
      <w:r>
        <w:t xml:space="preserve"> erano necessariamente </w:t>
      </w:r>
      <w:r w:rsidRPr="007F7EBF">
        <w:t>all’ordine del giorno nelle imposte preindustriali</w:t>
      </w:r>
      <w:r>
        <w:t xml:space="preserve">, da quelle </w:t>
      </w:r>
      <w:r w:rsidRPr="007F7EBF">
        <w:t xml:space="preserve">dei raccolti, </w:t>
      </w:r>
      <w:r>
        <w:t>a quelle sulla</w:t>
      </w:r>
      <w:r w:rsidRPr="007F7EBF">
        <w:t xml:space="preserve"> condizione economica delle persone, </w:t>
      </w:r>
      <w:r>
        <w:t>sul</w:t>
      </w:r>
      <w:r w:rsidRPr="007F7EBF">
        <w:t xml:space="preserve"> valore degli immobili e</w:t>
      </w:r>
      <w:r>
        <w:t xml:space="preserve"> g</w:t>
      </w:r>
      <w:r w:rsidRPr="007F7EBF">
        <w:t xml:space="preserve">li altri parametri di determinazione </w:t>
      </w:r>
      <w:r>
        <w:t>degli imponibili</w:t>
      </w:r>
      <w:r w:rsidRPr="007F7EBF">
        <w:t xml:space="preserve"> indicati al par.1.4. </w:t>
      </w:r>
    </w:p>
  </w:footnote>
  <w:footnote w:id="764">
    <w:p w14:paraId="3017E544" w14:textId="371E7151" w:rsidR="003B7460" w:rsidRPr="007F7EBF" w:rsidRDefault="003B7460" w:rsidP="00C01615">
      <w:pPr>
        <w:pStyle w:val="Testonotaapidipagina"/>
      </w:pPr>
      <w:r w:rsidRPr="007F7EBF">
        <w:rPr>
          <w:rStyle w:val="Rimandonotaapidipagina"/>
        </w:rPr>
        <w:footnoteRef/>
      </w:r>
      <w:r w:rsidRPr="007F7EBF">
        <w:t xml:space="preserve"> ) Ricordiamo dal par.1.</w:t>
      </w:r>
      <w:r>
        <w:t>4-1.5</w:t>
      </w:r>
      <w:r w:rsidRPr="007F7EBF">
        <w:t xml:space="preserve"> che la “sperequazione” nella determinazione dei tributi è un motivo di malcontento diverso da quello della loro  eccessività, che coinvolge la natura e la funzione delle spese pubblich</w:t>
      </w:r>
      <w:r>
        <w:t>e, ed è politicamente più delicato e complesso (p</w:t>
      </w:r>
      <w:r w:rsidRPr="007F7EBF">
        <w:t>ar.1.7). S</w:t>
      </w:r>
      <w:r>
        <w:t>i ricordi quanto rilevato al par.</w:t>
      </w:r>
      <w:r w:rsidRPr="00770B5C">
        <w:t xml:space="preserve"> </w:t>
      </w:r>
      <w:r>
        <w:t xml:space="preserve">4.1 sulla </w:t>
      </w:r>
      <w:r w:rsidRPr="007F7EBF">
        <w:t>“pubblica opinione”</w:t>
      </w:r>
      <w:r>
        <w:t xml:space="preserve">, concetto </w:t>
      </w:r>
      <w:r w:rsidRPr="007F7EBF">
        <w:t>ben anteriore alle società pluralistic</w:t>
      </w:r>
      <w:r>
        <w:t>o-</w:t>
      </w:r>
      <w:r w:rsidRPr="007F7EBF">
        <w:t xml:space="preserve">democratiche. </w:t>
      </w:r>
    </w:p>
  </w:footnote>
  <w:footnote w:id="765">
    <w:p w14:paraId="1BE24E06" w14:textId="18BDC14A" w:rsidR="003B7460" w:rsidRPr="007F7EBF" w:rsidRDefault="003B7460" w:rsidP="00C268C5">
      <w:pPr>
        <w:pStyle w:val="Testonotaapidipagina"/>
      </w:pPr>
      <w:r w:rsidRPr="007F7EBF">
        <w:rPr>
          <w:rStyle w:val="Rimandonotaapidipagina"/>
        </w:rPr>
        <w:footnoteRef/>
      </w:r>
      <w:r w:rsidRPr="007F7EBF">
        <w:t xml:space="preserve"> ) </w:t>
      </w:r>
      <w:r>
        <w:t xml:space="preserve">Si trattava di </w:t>
      </w:r>
      <w:r w:rsidRPr="007F7EBF">
        <w:t xml:space="preserve">assetti politici “non democratici”, di gran lunga maggioritari nel tempo e nello spazio, </w:t>
      </w:r>
      <w:r>
        <w:t>dove l’esigenza d</w:t>
      </w:r>
      <w:r w:rsidRPr="007F7EBF">
        <w:t>’indipendenza de</w:t>
      </w:r>
      <w:r>
        <w:t xml:space="preserve">lla funzione di giustizia era vista </w:t>
      </w:r>
      <w:r w:rsidRPr="007F7EBF">
        <w:t>rispetto alle parti</w:t>
      </w:r>
      <w:r>
        <w:t xml:space="preserve">, non </w:t>
      </w:r>
      <w:r w:rsidRPr="007F7EBF">
        <w:t xml:space="preserve">rispetto alla politica, di cui </w:t>
      </w:r>
      <w:r>
        <w:t xml:space="preserve">i giudici </w:t>
      </w:r>
      <w:r w:rsidRPr="007F7EBF">
        <w:t>erano addirittura una emanazione</w:t>
      </w:r>
      <w:r>
        <w:t>; in quest’ottica si spiega l’espressione “la legge è uguale per tutti”, che enfatizza al tempo stesso l’indipendenza e l’autorità dell’organo</w:t>
      </w:r>
      <w:r w:rsidRPr="007F7EBF">
        <w:t xml:space="preserve"> (un ottimo argomento da tesi di laurea o dottorato</w:t>
      </w:r>
      <w:r>
        <w:t xml:space="preserve"> riguarda</w:t>
      </w:r>
      <w:r w:rsidRPr="007F7EBF">
        <w:t xml:space="preserve"> il senso </w:t>
      </w:r>
      <w:r>
        <w:t>dell’indipendenza del potere giudiziario da quello politico</w:t>
      </w:r>
      <w:r w:rsidRPr="007F7EBF">
        <w:t>).</w:t>
      </w:r>
    </w:p>
  </w:footnote>
  <w:footnote w:id="766">
    <w:p w14:paraId="5BE136BF" w14:textId="77777777" w:rsidR="003B7460" w:rsidRPr="007F7EBF" w:rsidRDefault="003B7460" w:rsidP="00C01615">
      <w:pPr>
        <w:pStyle w:val="Testonotaapidipagina"/>
      </w:pPr>
      <w:r w:rsidRPr="007F7EBF">
        <w:rPr>
          <w:rStyle w:val="Rimandonotaapidipagina"/>
        </w:rPr>
        <w:footnoteRef/>
      </w:r>
      <w:r w:rsidRPr="007F7EBF">
        <w:t xml:space="preserve">) Su questa gestione  amministrativa dei reclami sulla determinazione del tributo, tipicamente “contenziosa”, ma non giurisdizionale vedi il mio video apposito digitando su </w:t>
      </w:r>
      <w:proofErr w:type="spellStart"/>
      <w:r w:rsidRPr="007F7EBF">
        <w:t>youtube</w:t>
      </w:r>
      <w:proofErr w:type="spellEnd"/>
      <w:r w:rsidRPr="007F7EBF">
        <w:t xml:space="preserve"> il video dal titolo “contenzioso tributario 1”</w:t>
      </w:r>
      <w:r>
        <w:t>.</w:t>
      </w:r>
    </w:p>
  </w:footnote>
  <w:footnote w:id="767">
    <w:p w14:paraId="29648F29" w14:textId="77777777" w:rsidR="003B7460" w:rsidRDefault="003B7460" w:rsidP="00C268C5">
      <w:pPr>
        <w:pStyle w:val="Testonotaapidipagina"/>
      </w:pPr>
      <w:r>
        <w:rPr>
          <w:rStyle w:val="Rimandonotaapidipagina"/>
        </w:rPr>
        <w:footnoteRef/>
      </w:r>
      <w:r>
        <w:t xml:space="preserve"> ) par.1.1 sulla differenza tra funzioni sostanziali e procedurali.</w:t>
      </w:r>
    </w:p>
  </w:footnote>
  <w:footnote w:id="768">
    <w:p w14:paraId="065C9356" w14:textId="55FDCA7A" w:rsidR="003B7460" w:rsidRDefault="003B7460">
      <w:pPr>
        <w:pStyle w:val="Testonotaapidipagina"/>
      </w:pPr>
      <w:r>
        <w:rPr>
          <w:rStyle w:val="Rimandonotaapidipagina"/>
        </w:rPr>
        <w:footnoteRef/>
      </w:r>
      <w:r>
        <w:t xml:space="preserve"> ) Più precisamente si tratta di una funzione nel senso procedurale di cui al par.1.1, variamente intrecciata con le funzioni in senso sostanziale di cui al par.1.3.</w:t>
      </w:r>
    </w:p>
  </w:footnote>
  <w:footnote w:id="769">
    <w:p w14:paraId="1C92E578" w14:textId="77777777" w:rsidR="003B7460" w:rsidRPr="007F7EBF" w:rsidRDefault="003B7460" w:rsidP="007C3F7B">
      <w:pPr>
        <w:pStyle w:val="Testonotaapidipagina"/>
      </w:pPr>
      <w:r w:rsidRPr="007F7EBF">
        <w:rPr>
          <w:rStyle w:val="Rimandonotaapidipagina"/>
        </w:rPr>
        <w:footnoteRef/>
      </w:r>
      <w:r w:rsidRPr="007F7EBF">
        <w:t xml:space="preserve"> La capillarità della tassazione rendeva invece necessaria una gestione stabile di recriminazioni e proteste potenzialmente idonee a incrinare consenso politico e coesione sociale. </w:t>
      </w:r>
      <w:r>
        <w:t xml:space="preserve">Per questo anche lo </w:t>
      </w:r>
      <w:r w:rsidRPr="007F7EBF">
        <w:t>strumento del condono, come indicato al par.5.20</w:t>
      </w:r>
      <w:r>
        <w:t xml:space="preserve">, era già anticamente una valvola di sfogo delle proteste e uno strumento di governo del settore. </w:t>
      </w:r>
    </w:p>
  </w:footnote>
  <w:footnote w:id="770">
    <w:p w14:paraId="6C11416D" w14:textId="6AFE9BE2" w:rsidR="003B7460" w:rsidRPr="007F7EBF" w:rsidRDefault="003B7460">
      <w:pPr>
        <w:pStyle w:val="Testonotaapidipagina"/>
      </w:pPr>
      <w:r w:rsidRPr="007F7EBF">
        <w:rPr>
          <w:rStyle w:val="Rimandonotaapidipagina"/>
        </w:rPr>
        <w:footnoteRef/>
      </w:r>
      <w:r w:rsidRPr="007F7EBF">
        <w:t xml:space="preserve"> ) </w:t>
      </w:r>
      <w:r>
        <w:t>Come la contabilità dei piccoli commercianti e artigiani (par.</w:t>
      </w:r>
      <w:r w:rsidRPr="007F7EBF">
        <w:t>3.13</w:t>
      </w:r>
      <w:r>
        <w:t>)</w:t>
      </w:r>
      <w:r w:rsidRPr="007F7EBF">
        <w:t>, l</w:t>
      </w:r>
      <w:r>
        <w:t>’”esportazione della ragioneria” (par.4.5), la tracciabilità (par.5.16), nell’assenza di spiegazioni scientifico sociali sulla determinazione degli imponibili, di cui al cap.4.</w:t>
      </w:r>
    </w:p>
  </w:footnote>
  <w:footnote w:id="771">
    <w:p w14:paraId="342F4A19" w14:textId="77777777" w:rsidR="003B7460" w:rsidRPr="007F7EBF" w:rsidRDefault="003B7460" w:rsidP="004824CB">
      <w:pPr>
        <w:pStyle w:val="Testonotaapidipagina"/>
      </w:pPr>
      <w:r w:rsidRPr="007F7EBF">
        <w:rPr>
          <w:rStyle w:val="Rimandonotaapidipagina"/>
        </w:rPr>
        <w:footnoteRef/>
      </w:r>
      <w:r w:rsidRPr="007F7EBF">
        <w:t xml:space="preserve"> ) Che sfociava nel c.d. “concordato fiscale”, analogo agli odierni istituti di determinazione consensuale dei tributi, su cui infra. </w:t>
      </w:r>
    </w:p>
  </w:footnote>
  <w:footnote w:id="772">
    <w:p w14:paraId="6D07F246" w14:textId="773A05CA" w:rsidR="003B7460" w:rsidRPr="007F7EBF" w:rsidRDefault="003B7460">
      <w:pPr>
        <w:pStyle w:val="Testonotaapidipagina"/>
      </w:pPr>
      <w:r w:rsidRPr="007F7EBF">
        <w:rPr>
          <w:rStyle w:val="Rimandonotaapidipagina"/>
        </w:rPr>
        <w:footnoteRef/>
      </w:r>
      <w:r w:rsidRPr="007F7EBF">
        <w:t xml:space="preserve"> ) </w:t>
      </w:r>
      <w:r>
        <w:t xml:space="preserve">Come </w:t>
      </w:r>
      <w:r w:rsidRPr="007F7EBF">
        <w:t xml:space="preserve">i prezzi di trasferimento delle aziende multinazionali (par. 7.19), le valutazioni di fine esercizio nel reddito d’impresa (par.7.15-7.16), </w:t>
      </w:r>
      <w:r>
        <w:t>le rettifiche relative a una molteplicità di documenti, individualmente modesti, ma che nel loro complesso fanno “grandi numeri”, ad es. in tema di inerenza (par.7.9)</w:t>
      </w:r>
      <w:r w:rsidRPr="007F7EBF">
        <w:t xml:space="preserve">. </w:t>
      </w:r>
    </w:p>
  </w:footnote>
  <w:footnote w:id="773">
    <w:p w14:paraId="50E8D00E" w14:textId="77777777" w:rsidR="003B7460" w:rsidRPr="007F7EBF" w:rsidRDefault="003B7460" w:rsidP="00D85ACB">
      <w:pPr>
        <w:pStyle w:val="Testonotaapidipagina"/>
      </w:pPr>
      <w:r w:rsidRPr="007F7EBF">
        <w:rPr>
          <w:rStyle w:val="Rimandonotaapidipagina"/>
        </w:rPr>
        <w:footnoteRef/>
      </w:r>
      <w:r w:rsidRPr="007F7EBF">
        <w:t xml:space="preserve"> ) Con la perdita di controllo della ricchezza non determinabile attraverso le aziende, e il mancato avvio del monitoraggio amministrativo necessario all’autodeterminazione dei tributi, indicato al par.5.7. </w:t>
      </w:r>
    </w:p>
  </w:footnote>
  <w:footnote w:id="774">
    <w:p w14:paraId="0E828986" w14:textId="3049FA75" w:rsidR="003B7460" w:rsidRPr="007F7EBF" w:rsidRDefault="003B7460" w:rsidP="0052313C">
      <w:pPr>
        <w:pStyle w:val="Testonotaapidipagina"/>
      </w:pPr>
      <w:r w:rsidRPr="007F7EBF">
        <w:rPr>
          <w:rStyle w:val="Rimandonotaapidipagina"/>
        </w:rPr>
        <w:footnoteRef/>
      </w:r>
      <w:r w:rsidRPr="007F7EBF">
        <w:t xml:space="preserve"> ) </w:t>
      </w:r>
      <w:r>
        <w:t>Sopravvalutata rispetto alle effettive dimensioni del fenomeno (</w:t>
      </w:r>
      <w:r w:rsidRPr="007F7EBF">
        <w:t>par.5.11</w:t>
      </w:r>
      <w:r>
        <w:t>), ed estesasi alle commissioni tributarie, per intuitive ragioni di cui al par.6.9.</w:t>
      </w:r>
    </w:p>
  </w:footnote>
  <w:footnote w:id="775">
    <w:p w14:paraId="40E28464" w14:textId="68A40213" w:rsidR="003B7460" w:rsidRPr="007F7EBF" w:rsidRDefault="003B7460">
      <w:pPr>
        <w:pStyle w:val="Testonotaapidipagina"/>
      </w:pPr>
      <w:r w:rsidRPr="007F7EBF">
        <w:rPr>
          <w:rStyle w:val="Rimandonotaapidipagina"/>
        </w:rPr>
        <w:footnoteRef/>
      </w:r>
      <w:r w:rsidRPr="007F7EBF">
        <w:t xml:space="preserve"> </w:t>
      </w:r>
      <w:r>
        <w:t>) C</w:t>
      </w:r>
      <w:r w:rsidRPr="007F7EBF">
        <w:t>ol Dlgs 218 del 1997, sull’accertamento con adesione e la conciliazione giudiziale, di cui diremo più avanti.</w:t>
      </w:r>
    </w:p>
  </w:footnote>
  <w:footnote w:id="776">
    <w:p w14:paraId="4CFDB855" w14:textId="1636ABDE" w:rsidR="003B7460" w:rsidRPr="007F7EBF" w:rsidRDefault="003B7460">
      <w:pPr>
        <w:pStyle w:val="Testonotaapidipagina"/>
      </w:pPr>
      <w:r w:rsidRPr="007F7EBF">
        <w:rPr>
          <w:rStyle w:val="Rimandonotaapidipagina"/>
        </w:rPr>
        <w:footnoteRef/>
      </w:r>
      <w:r w:rsidRPr="007F7EBF">
        <w:t xml:space="preserve"> ) L</w:t>
      </w:r>
      <w:r>
        <w:t xml:space="preserve">o </w:t>
      </w:r>
      <w:r w:rsidRPr="007F7EBF">
        <w:t>conferma</w:t>
      </w:r>
      <w:r>
        <w:t xml:space="preserve"> </w:t>
      </w:r>
      <w:r w:rsidRPr="007F7EBF">
        <w:t>l'irrilevanza quantitativa dei processi tributari nella maggior parte dei paesi sviluppati</w:t>
      </w:r>
      <w:r>
        <w:t xml:space="preserve">, e l’inutilità della proliferazione </w:t>
      </w:r>
      <w:r w:rsidRPr="007F7EBF">
        <w:t>dei processi tributar</w:t>
      </w:r>
      <w:r>
        <w:t>i nel</w:t>
      </w:r>
      <w:r w:rsidRPr="007F7EBF">
        <w:t xml:space="preserve"> </w:t>
      </w:r>
      <w:r>
        <w:t>nostro Paese, su cui par.</w:t>
      </w:r>
      <w:r w:rsidRPr="00D679F6">
        <w:t xml:space="preserve"> </w:t>
      </w:r>
      <w:r w:rsidRPr="007F7EBF">
        <w:t>6.10</w:t>
      </w:r>
      <w:r>
        <w:t xml:space="preserve">. </w:t>
      </w:r>
    </w:p>
  </w:footnote>
  <w:footnote w:id="777">
    <w:p w14:paraId="5DA68ADB" w14:textId="15C07F26" w:rsidR="003B7460" w:rsidRDefault="003B7460">
      <w:pPr>
        <w:pStyle w:val="Testonotaapidipagina"/>
      </w:pPr>
      <w:r>
        <w:rPr>
          <w:rStyle w:val="Rimandonotaapidipagina"/>
        </w:rPr>
        <w:footnoteRef/>
      </w:r>
      <w:r>
        <w:t xml:space="preserve"> ) Di</w:t>
      </w:r>
      <w:r w:rsidRPr="007F7EBF">
        <w:t xml:space="preserve"> "strumenti deflativi" </w:t>
      </w:r>
      <w:r>
        <w:t xml:space="preserve">ha invece senso per il processo civile, sostituito da arbitrati, mediazioni, conciliazioni, e altre “A.D.R.”, come reazioni alla burocratizzazione della giustizia (par.5.3). </w:t>
      </w:r>
    </w:p>
  </w:footnote>
  <w:footnote w:id="778">
    <w:p w14:paraId="0FE08A9A" w14:textId="249285A3" w:rsidR="003B7460" w:rsidRPr="007F7EBF" w:rsidRDefault="003B7460" w:rsidP="00766FD9">
      <w:pPr>
        <w:pStyle w:val="Testonotaapidipagina"/>
      </w:pPr>
      <w:r w:rsidRPr="007F7EBF">
        <w:rPr>
          <w:rStyle w:val="Rimandonotaapidipagina"/>
        </w:rPr>
        <w:footnoteRef/>
      </w:r>
      <w:r>
        <w:t xml:space="preserve">) Questa formula esprimeva l’antica utilizzazione “esplorativa” degli accertamenti, come avvio di una dialettica sulla stima dell’imponibile. </w:t>
      </w:r>
    </w:p>
  </w:footnote>
  <w:footnote w:id="779">
    <w:p w14:paraId="563A66C5" w14:textId="33D1575B" w:rsidR="003B7460" w:rsidRPr="007F7EBF" w:rsidRDefault="003B7460" w:rsidP="000521CA">
      <w:pPr>
        <w:pStyle w:val="Testonotaapidipagina"/>
      </w:pPr>
      <w:r w:rsidRPr="007F7EBF">
        <w:rPr>
          <w:rStyle w:val="Rimandonotaapidipagina"/>
        </w:rPr>
        <w:footnoteRef/>
      </w:r>
      <w:r w:rsidRPr="007F7EBF">
        <w:t xml:space="preserve"> </w:t>
      </w:r>
      <w:r>
        <w:t>) Dietro la formula “strumenti deflativi del contenzioso” c’è l’eccezione trasformata in regola, ovvero la funzione giurisdizionale in senso procedurale che cannibalizza la funzione sostanziale tributaria, in sé “non giurisdizionale” (par.1.3). Portando alle estreme conseguenze questa logica, t</w:t>
      </w:r>
      <w:r w:rsidRPr="007F7EBF">
        <w:t xml:space="preserve">utte le funzioni amministrative potrebbero essere viste come strumenti deflativi del potenziale contenzioso futuro, </w:t>
      </w:r>
      <w:r>
        <w:t>e quindi</w:t>
      </w:r>
      <w:r w:rsidRPr="007F7EBF">
        <w:t xml:space="preserve"> la </w:t>
      </w:r>
      <w:r>
        <w:t>medicina</w:t>
      </w:r>
      <w:r w:rsidRPr="007F7EBF">
        <w:t xml:space="preserve"> diventerebbe una deflazione del potenziale contenzioso sanitario, </w:t>
      </w:r>
      <w:r>
        <w:t xml:space="preserve">l’autorizzazione edilizia del contenzioso urbanistico, la rimozione dei rifiuti del contenzioso ambientale etc. Ogni funzione pubblica si trasfigura in una possibile grana, col trionfo dell’immobilismo e del formalismo, dal che la dilagante burocratizzazione, derivante dalla concezione privatistico-giurisdizionale del diritto (par.1.3). “Essere a posto” prevale sullo svolgimento della funzione, dal che la Caporetto dell’intervento pubblico che abbiamo sotto gli occhi.  </w:t>
      </w:r>
    </w:p>
  </w:footnote>
  <w:footnote w:id="780">
    <w:p w14:paraId="17DC0CC6" w14:textId="6BA646A3" w:rsidR="003B7460" w:rsidRPr="007F7EBF" w:rsidRDefault="003B7460" w:rsidP="00C35693">
      <w:pPr>
        <w:pStyle w:val="Testonotaapidipagina"/>
      </w:pPr>
      <w:r w:rsidRPr="007F7EBF">
        <w:rPr>
          <w:rStyle w:val="Rimandonotaapidipagina"/>
        </w:rPr>
        <w:footnoteRef/>
      </w:r>
      <w:r w:rsidRPr="007F7EBF">
        <w:t xml:space="preserve"> ) </w:t>
      </w:r>
      <w:r>
        <w:rPr>
          <w:sz w:val="22"/>
          <w:szCs w:val="22"/>
        </w:rPr>
        <w:t xml:space="preserve">Per questo le procedure in esame non sono esplicitamente previste per </w:t>
      </w:r>
      <w:r w:rsidRPr="007F7EBF">
        <w:rPr>
          <w:sz w:val="22"/>
          <w:szCs w:val="22"/>
        </w:rPr>
        <w:t xml:space="preserve">gli atti di liquidazione </w:t>
      </w:r>
      <w:r>
        <w:rPr>
          <w:sz w:val="22"/>
          <w:szCs w:val="22"/>
        </w:rPr>
        <w:t xml:space="preserve">(par.5.5) </w:t>
      </w:r>
      <w:r w:rsidRPr="007F7EBF">
        <w:rPr>
          <w:sz w:val="22"/>
          <w:szCs w:val="22"/>
        </w:rPr>
        <w:t>di cui si presuppone l'elevata evidenza e precisione, contabile e documentale</w:t>
      </w:r>
      <w:r>
        <w:rPr>
          <w:sz w:val="22"/>
          <w:szCs w:val="22"/>
        </w:rPr>
        <w:t xml:space="preserve">, né per le controversie di rimborso. </w:t>
      </w:r>
      <w:r>
        <w:t xml:space="preserve">Tuttavia anche qui reciproche concessioni sono utilmente attivabili.  </w:t>
      </w:r>
    </w:p>
  </w:footnote>
  <w:footnote w:id="781">
    <w:p w14:paraId="2E1C4E85" w14:textId="1FE82985" w:rsidR="003B7460" w:rsidRDefault="003B7460">
      <w:pPr>
        <w:pStyle w:val="Testonotaapidipagina"/>
      </w:pPr>
      <w:r>
        <w:rPr>
          <w:rStyle w:val="Rimandonotaapidipagina"/>
        </w:rPr>
        <w:footnoteRef/>
      </w:r>
      <w:r>
        <w:t xml:space="preserve"> ) Neppure c’è somiglianza con una transazione nell’interesse di terzi, perché anche qui il rappresentante deve massimizzare il vantaggio di colui che rappresenta, anche giovandosi di passi falsi della controparte, mentre qui c’è  una funzione pubblica da svolgere (l’unico punto di contatto è un interesse diverso da quello individuale del soggetto che decide e quindi la necessità di una </w:t>
      </w:r>
      <w:r w:rsidRPr="007F7EBF">
        <w:t>motiva</w:t>
      </w:r>
      <w:r>
        <w:t>zione.</w:t>
      </w:r>
    </w:p>
  </w:footnote>
  <w:footnote w:id="782">
    <w:p w14:paraId="1EEC8BF9" w14:textId="5EF6FD88" w:rsidR="003B7460" w:rsidRPr="007F7EBF" w:rsidRDefault="003B7460" w:rsidP="00D72332">
      <w:pPr>
        <w:pStyle w:val="Testonotaapidipagina"/>
      </w:pPr>
      <w:r w:rsidRPr="007F7EBF">
        <w:rPr>
          <w:rStyle w:val="Rimandonotaapidipagina"/>
        </w:rPr>
        <w:footnoteRef/>
      </w:r>
      <w:r w:rsidRPr="007F7EBF">
        <w:t xml:space="preserve"> ) </w:t>
      </w:r>
      <w:r>
        <w:t xml:space="preserve">Non è una questione “etica”, di giustizia superiore, di trasparenza amministrativa ideale, ma di convenienza pragmatica a una gestione cooperativa della determinazione degli imponibili da parte degli uffici. Ogni volta che un ufficio costringe a pagare un’imposta non dovuta, ciò costituirà  una legittimazione politico-sociale per un numero molto più elevato di titolari di imponibili sfuggenti che cercheranno di ridurre quella dovuta. Se i </w:t>
      </w:r>
      <w:r w:rsidRPr="007F7EBF">
        <w:t xml:space="preserve">pubblici uffici </w:t>
      </w:r>
      <w:r>
        <w:t xml:space="preserve">dimenticano la loro </w:t>
      </w:r>
      <w:r w:rsidRPr="007F7EBF">
        <w:t xml:space="preserve">funzione giustiziale, </w:t>
      </w:r>
      <w:r>
        <w:t xml:space="preserve">adottando un utilitarismo burocratico, legittimano l’utilitarismo delle loro controparti. E’ un circolo vizioso che non si chiude “a somma zero”, ma su larga scala danneggia la parte pubblica sia in termini di gettito che reputazionali. </w:t>
      </w:r>
    </w:p>
  </w:footnote>
  <w:footnote w:id="783">
    <w:p w14:paraId="066DDF02" w14:textId="4B9B5427" w:rsidR="003B7460" w:rsidRDefault="003B7460">
      <w:pPr>
        <w:pStyle w:val="Testonotaapidipagina"/>
      </w:pPr>
      <w:r>
        <w:rPr>
          <w:rStyle w:val="Rimandonotaapidipagina"/>
        </w:rPr>
        <w:footnoteRef/>
      </w:r>
      <w:r>
        <w:t xml:space="preserve"> ) L’espressione “</w:t>
      </w:r>
      <w:proofErr w:type="spellStart"/>
      <w:r>
        <w:t>provocatio</w:t>
      </w:r>
      <w:proofErr w:type="spellEnd"/>
      <w:r>
        <w:t xml:space="preserve"> ad </w:t>
      </w:r>
      <w:proofErr w:type="spellStart"/>
      <w:r>
        <w:t>opponendum</w:t>
      </w:r>
      <w:proofErr w:type="spellEnd"/>
      <w:r>
        <w:t xml:space="preserve">”, riferita ai contesti “valutativi” rivelava la finalità di “sondare il contribuente”. </w:t>
      </w:r>
    </w:p>
  </w:footnote>
  <w:footnote w:id="784">
    <w:p w14:paraId="56E93AE8" w14:textId="6046F238" w:rsidR="003B7460" w:rsidRPr="007F7EBF" w:rsidRDefault="003B7460" w:rsidP="006C51EC">
      <w:pPr>
        <w:pStyle w:val="Testonotaapidipagina"/>
      </w:pPr>
      <w:r w:rsidRPr="007F7EBF">
        <w:rPr>
          <w:rStyle w:val="Rimandonotaapidipagina"/>
        </w:rPr>
        <w:footnoteRef/>
      </w:r>
      <w:r w:rsidRPr="007F7EBF">
        <w:t xml:space="preserve"> ) </w:t>
      </w:r>
      <w:r>
        <w:rPr>
          <w:sz w:val="22"/>
          <w:szCs w:val="22"/>
        </w:rPr>
        <w:t>L</w:t>
      </w:r>
      <w:r w:rsidRPr="007F7EBF">
        <w:rPr>
          <w:sz w:val="22"/>
          <w:szCs w:val="22"/>
        </w:rPr>
        <w:t xml:space="preserve">a migliore garanzia </w:t>
      </w:r>
      <w:r>
        <w:t xml:space="preserve">di </w:t>
      </w:r>
      <w:r w:rsidRPr="007F7EBF">
        <w:t>"controllo sociale"</w:t>
      </w:r>
      <w:r>
        <w:t xml:space="preserve"> sull’uso </w:t>
      </w:r>
      <w:r w:rsidRPr="007F7EBF">
        <w:t>trasparen</w:t>
      </w:r>
      <w:r>
        <w:t>te</w:t>
      </w:r>
      <w:r w:rsidRPr="007F7EBF">
        <w:t xml:space="preserve"> di quest</w:t>
      </w:r>
      <w:r>
        <w:t xml:space="preserve">i </w:t>
      </w:r>
      <w:r w:rsidRPr="007F7EBF">
        <w:t>istitut</w:t>
      </w:r>
      <w:r>
        <w:t>i</w:t>
      </w:r>
      <w:r w:rsidRPr="007F7EBF">
        <w:rPr>
          <w:sz w:val="22"/>
          <w:szCs w:val="22"/>
        </w:rPr>
        <w:t xml:space="preserve"> nei confronti degli abusi indicati al par.5.11 è infatti la possibilità di ricostruire i passaggi logici e le assunzioni effettuate per arrivare alla rideterminazione de</w:t>
      </w:r>
      <w:r>
        <w:rPr>
          <w:sz w:val="22"/>
          <w:szCs w:val="22"/>
        </w:rPr>
        <w:t xml:space="preserve">ll’imponibile. </w:t>
      </w:r>
    </w:p>
  </w:footnote>
  <w:footnote w:id="785">
    <w:p w14:paraId="7770730E" w14:textId="77777777" w:rsidR="003B7460" w:rsidRPr="007F7EBF" w:rsidRDefault="003B7460">
      <w:pPr>
        <w:pStyle w:val="Testonotaapidipagina"/>
      </w:pPr>
      <w:r w:rsidRPr="007F7EBF">
        <w:rPr>
          <w:rStyle w:val="Rimandonotaapidipagina"/>
        </w:rPr>
        <w:footnoteRef/>
      </w:r>
      <w:r w:rsidRPr="007F7EBF">
        <w:t xml:space="preserve"> Esempi classici sono il valore di un immobile o l’ammontare dei ricavi di artigiani e piccoli commercianti.</w:t>
      </w:r>
    </w:p>
  </w:footnote>
  <w:footnote w:id="786">
    <w:p w14:paraId="2FFADA5F" w14:textId="77777777" w:rsidR="003B7460" w:rsidRPr="007F7EBF" w:rsidRDefault="003B7460" w:rsidP="00183835">
      <w:pPr>
        <w:pStyle w:val="Testonotaapidipagina"/>
      </w:pPr>
      <w:r w:rsidRPr="007F7EBF">
        <w:rPr>
          <w:rStyle w:val="Rimandonotaapidipagina"/>
        </w:rPr>
        <w:footnoteRef/>
      </w:r>
      <w:r w:rsidRPr="007F7EBF">
        <w:t xml:space="preserve"> ) Per definire in adesione una singola questione di diritto si potrebbe decurtare l’imponibile accertato della possibile percentuale di vittoria del contribuente in contenzioso. </w:t>
      </w:r>
    </w:p>
  </w:footnote>
  <w:footnote w:id="787">
    <w:p w14:paraId="5B647C94" w14:textId="77777777" w:rsidR="003B7460" w:rsidRPr="007F7EBF" w:rsidRDefault="003B7460" w:rsidP="00BB4690">
      <w:pPr>
        <w:pStyle w:val="Testonotaapidipagina"/>
      </w:pPr>
      <w:r w:rsidRPr="007F7EBF">
        <w:rPr>
          <w:rStyle w:val="Rimandonotaapidipagina"/>
        </w:rPr>
        <w:footnoteRef/>
      </w:r>
      <w:r w:rsidRPr="007F7EBF">
        <w:t xml:space="preserve"> ) Con tutti i difetti del ricorso amministrativo “in opposizione”, che vedremo al prossimo paragrafo. </w:t>
      </w:r>
    </w:p>
  </w:footnote>
  <w:footnote w:id="788">
    <w:p w14:paraId="45B06673" w14:textId="5D037838" w:rsidR="003B7460" w:rsidRPr="007F7EBF" w:rsidRDefault="003B7460" w:rsidP="00AB3DC5">
      <w:pPr>
        <w:pStyle w:val="Testonotaapidipagina"/>
      </w:pPr>
      <w:r w:rsidRPr="007F7EBF">
        <w:rPr>
          <w:rStyle w:val="Rimandonotaapidipagina"/>
        </w:rPr>
        <w:footnoteRef/>
      </w:r>
      <w:r w:rsidRPr="007F7EBF">
        <w:t xml:space="preserve"> ) Questa limitazione era desumibile dal testo dell'art.1 del decreto 218, sulla necessità di "definizione dell'accertamento"</w:t>
      </w:r>
      <w:r>
        <w:t xml:space="preserve">; </w:t>
      </w:r>
      <w:r w:rsidRPr="007F7EBF">
        <w:t xml:space="preserve">la definizione parziale è invece </w:t>
      </w:r>
      <w:r>
        <w:t xml:space="preserve">sempre stata </w:t>
      </w:r>
      <w:r w:rsidRPr="007F7EBF">
        <w:t xml:space="preserve">compatibile con la </w:t>
      </w:r>
      <w:r w:rsidRPr="007F7EBF">
        <w:rPr>
          <w:i/>
        </w:rPr>
        <w:t>conciliazione giudiziale</w:t>
      </w:r>
      <w:r w:rsidRPr="007F7EBF">
        <w:t xml:space="preserve">. </w:t>
      </w:r>
    </w:p>
  </w:footnote>
  <w:footnote w:id="789">
    <w:p w14:paraId="5AF64286" w14:textId="1E366183" w:rsidR="003B7460" w:rsidRPr="007F7EBF" w:rsidRDefault="003B7460" w:rsidP="00B70F0A">
      <w:pPr>
        <w:pStyle w:val="Testonotaapidipagina"/>
      </w:pPr>
      <w:r w:rsidRPr="007F7EBF">
        <w:rPr>
          <w:rStyle w:val="Rimandonotaapidipagina"/>
        </w:rPr>
        <w:footnoteRef/>
      </w:r>
      <w:r w:rsidRPr="007F7EBF">
        <w:t xml:space="preserve"> </w:t>
      </w:r>
      <w:r>
        <w:t xml:space="preserve">) L’estensione può indurre ad attendere la sentenza di primo grado, come parametro indicativo per la conciliazione. Prima dell’estensione della conciliazione in grado d’appello </w:t>
      </w:r>
      <w:r w:rsidRPr="007F7EBF">
        <w:t>si ricorre</w:t>
      </w:r>
      <w:r>
        <w:t xml:space="preserve">va, come oggi dopo la sentenza di secondo grado, </w:t>
      </w:r>
      <w:r w:rsidRPr="007F7EBF">
        <w:t>alla c.d. "autotutela condivisa" (par. 6.6)</w:t>
      </w:r>
      <w:r>
        <w:t xml:space="preserve">, senza però </w:t>
      </w:r>
      <w:r w:rsidRPr="007F7EBF">
        <w:t>riduzione delle sanzioni</w:t>
      </w:r>
      <w:r>
        <w:t xml:space="preserve">. </w:t>
      </w:r>
    </w:p>
  </w:footnote>
  <w:footnote w:id="790">
    <w:p w14:paraId="22E02D2A" w14:textId="77777777" w:rsidR="003B7460" w:rsidRPr="007F7EBF" w:rsidRDefault="003B7460">
      <w:pPr>
        <w:pStyle w:val="Testonotaapidipagina"/>
      </w:pPr>
      <w:r w:rsidRPr="007F7EBF">
        <w:rPr>
          <w:rStyle w:val="Rimandonotaapidipagina"/>
        </w:rPr>
        <w:footnoteRef/>
      </w:r>
      <w:r w:rsidRPr="007F7EBF">
        <w:t xml:space="preserve"> ) Più è anticipata la definizione, amministrativa o processuale, della controversia, maggiore è la riduzione della sanzione. </w:t>
      </w:r>
    </w:p>
  </w:footnote>
  <w:footnote w:id="791">
    <w:p w14:paraId="39C0304E" w14:textId="42FBAA51" w:rsidR="003B7460" w:rsidRPr="007F7EBF" w:rsidRDefault="003B7460" w:rsidP="00124359">
      <w:pPr>
        <w:pStyle w:val="Testonotaapidipagina"/>
      </w:pPr>
      <w:r w:rsidRPr="007F7EBF">
        <w:rPr>
          <w:rStyle w:val="Rimandonotaapidipagina"/>
        </w:rPr>
        <w:footnoteRef/>
      </w:r>
      <w:r w:rsidRPr="007F7EBF">
        <w:t xml:space="preserve"> </w:t>
      </w:r>
      <w:r>
        <w:t xml:space="preserve">) </w:t>
      </w:r>
      <w:r w:rsidRPr="007F7EBF">
        <w:t xml:space="preserve">In termini statistici </w:t>
      </w:r>
      <w:r>
        <w:t xml:space="preserve">il numero dei processi diminuisce leggermente, ma resta in assoluto sui </w:t>
      </w:r>
      <w:r w:rsidRPr="007F7EBF">
        <w:t xml:space="preserve">livelli patologici </w:t>
      </w:r>
      <w:r>
        <w:t>di cui</w:t>
      </w:r>
      <w:r w:rsidRPr="007F7EBF">
        <w:t xml:space="preserve"> al par. 6.10.</w:t>
      </w:r>
    </w:p>
  </w:footnote>
  <w:footnote w:id="792">
    <w:p w14:paraId="1D09F229" w14:textId="2F068D62"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Da una parte ci si trova esposti alle insinuazioni di negligenza o connivenza, e dall'altra ad accuse di eccessiva sbrigatività degli accertamenti originari, </w:t>
      </w:r>
      <w:r>
        <w:t xml:space="preserve">se </w:t>
      </w:r>
      <w:r w:rsidRPr="007F7EBF">
        <w:t>troppo spesso</w:t>
      </w:r>
      <w:r>
        <w:t xml:space="preserve"> li si</w:t>
      </w:r>
      <w:r w:rsidRPr="007F7EBF">
        <w:t xml:space="preserve"> corre</w:t>
      </w:r>
      <w:r>
        <w:t>gge</w:t>
      </w:r>
      <w:r w:rsidRPr="007F7EBF">
        <w:t xml:space="preserve"> “al ribasso”. </w:t>
      </w:r>
    </w:p>
  </w:footnote>
  <w:footnote w:id="793">
    <w:p w14:paraId="219BCFDC" w14:textId="77777777" w:rsidR="003B7460" w:rsidRPr="007F7EBF" w:rsidRDefault="003B7460" w:rsidP="00CA2F4F">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Indicate ai paragrafi 3.9 3-11, 5.17, 5.18. </w:t>
      </w:r>
    </w:p>
  </w:footnote>
  <w:footnote w:id="794">
    <w:p w14:paraId="7181F0E7" w14:textId="77777777" w:rsidR="003B7460" w:rsidRPr="007F7EBF" w:rsidRDefault="003B7460" w:rsidP="00200300">
      <w:pPr>
        <w:pStyle w:val="Testonotaapidipagina"/>
      </w:pPr>
      <w:r w:rsidRPr="007F7EBF">
        <w:rPr>
          <w:rStyle w:val="Rimandonotaapidipagina"/>
        </w:rPr>
        <w:footnoteRef/>
      </w:r>
      <w:r w:rsidRPr="007F7EBF">
        <w:t xml:space="preserve"> ) Ognuno può presentare la pratica come “decisa da altri”, in una sorta di decisione collegiale, che mette al riparo da critiche e sospetti.  Come le patate bollenti, la pratica transita di mano in mano, finché si raffredda e l’“esposizione” di ciascuno è compatibile col desiderio di “copertura” delle nostre pubbliche amministrazioni, indicato al par. 5.3.</w:t>
      </w:r>
    </w:p>
  </w:footnote>
  <w:footnote w:id="795">
    <w:p w14:paraId="2807A408" w14:textId="5D9185FA"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Questa valutazione di ricchezza sfuggente comporta quindi un costante sospetto di non avere informazioni sufficienti, anche per la mancanza </w:t>
      </w:r>
      <w:r>
        <w:t xml:space="preserve">dello  </w:t>
      </w:r>
      <w:r w:rsidRPr="007F7EBF">
        <w:t xml:space="preserve"> </w:t>
      </w:r>
      <w:r>
        <w:rPr>
          <w:bCs/>
        </w:rPr>
        <w:t>schedario</w:t>
      </w:r>
      <w:r w:rsidRPr="007F7EBF">
        <w:rPr>
          <w:bCs/>
        </w:rPr>
        <w:t xml:space="preserve"> valutativo permanente, </w:t>
      </w:r>
      <w:r w:rsidRPr="007F7EBF">
        <w:t>indicato al paragrafo 5.7.</w:t>
      </w:r>
    </w:p>
  </w:footnote>
  <w:footnote w:id="796">
    <w:p w14:paraId="482C858C" w14:textId="77777777" w:rsidR="003B7460" w:rsidRPr="007F7EBF" w:rsidRDefault="003B7460">
      <w:pPr>
        <w:pStyle w:val="Testonotaapidipagina"/>
      </w:pPr>
      <w:r w:rsidRPr="007F7EBF">
        <w:rPr>
          <w:rStyle w:val="Rimandonotaapidipagina"/>
        </w:rPr>
        <w:footnoteRef/>
      </w:r>
      <w:r w:rsidRPr="007F7EBF">
        <w:t xml:space="preserve"> ) Anche per le esigenze di controllo interno di tutte le organizzazioni complesse, compresi i pubblici uffici come l’Agenzia delle Entrate.</w:t>
      </w:r>
    </w:p>
  </w:footnote>
  <w:footnote w:id="797">
    <w:p w14:paraId="6F0C2000" w14:textId="1A37C5B3" w:rsidR="003B7460" w:rsidRPr="007F7EBF" w:rsidRDefault="003B7460">
      <w:pPr>
        <w:pStyle w:val="Testonotaapidipagina"/>
      </w:pPr>
      <w:r w:rsidRPr="007F7EBF">
        <w:rPr>
          <w:rStyle w:val="Rimandonotaapidipagina"/>
        </w:rPr>
        <w:footnoteRef/>
      </w:r>
      <w:r>
        <w:t>)</w:t>
      </w:r>
      <w:r w:rsidRPr="007F7EBF">
        <w:t xml:space="preserve"> Nel dubbio sulla stima della ricchezza, essere rigidi, e utilizzare percentuali "predeterminate" di definizione, mette al riparo da critiche e sospetti.  Si affermano così improbabili divieti di ridurre oltre importi prestabiliti le somme accertate. </w:t>
      </w:r>
    </w:p>
  </w:footnote>
  <w:footnote w:id="798">
    <w:p w14:paraId="3F349F87" w14:textId="2EE1E1A5" w:rsidR="003B7460" w:rsidRPr="007F7EBF" w:rsidRDefault="003B7460" w:rsidP="00A17715">
      <w:pPr>
        <w:pStyle w:val="Testonotaapidipagina"/>
      </w:pPr>
      <w:r w:rsidRPr="007F7EBF">
        <w:rPr>
          <w:rStyle w:val="Rimandonotaapidipagina"/>
        </w:rPr>
        <w:footnoteRef/>
      </w:r>
      <w:r>
        <w:t xml:space="preserve">) </w:t>
      </w:r>
      <w:r w:rsidRPr="007F7EBF">
        <w:t xml:space="preserve">L'adesione è quindi conveniente per chi ha evaso di più, ed è stato accertato relativamente meno, </w:t>
      </w:r>
      <w:r>
        <w:t>rispetto a</w:t>
      </w:r>
      <w:r w:rsidRPr="007F7EBF">
        <w:t xml:space="preserve"> chi ha evaso relativamente meno, ed ha subito accertamenti proporzionalmente maggiori.</w:t>
      </w:r>
    </w:p>
  </w:footnote>
  <w:footnote w:id="799">
    <w:p w14:paraId="60D8DDE0" w14:textId="764A8992" w:rsidR="003B7460" w:rsidRPr="007F7EBF" w:rsidRDefault="003B7460" w:rsidP="00A17715">
      <w:pPr>
        <w:pStyle w:val="Testonotaapidipagina"/>
      </w:pPr>
      <w:r w:rsidRPr="007F7EBF">
        <w:rPr>
          <w:rStyle w:val="Rimandonotaapidipagina"/>
        </w:rPr>
        <w:footnoteRef/>
      </w:r>
      <w:r>
        <w:t xml:space="preserve">) </w:t>
      </w:r>
      <w:r w:rsidRPr="007F7EBF">
        <w:t xml:space="preserve">Resta così una sensazione di casualità  della determinazione dei tributi, </w:t>
      </w:r>
      <w:r>
        <w:t>riflesso della mancanza di uno studio giuridico sociale a monte (</w:t>
      </w:r>
      <w:proofErr w:type="spellStart"/>
      <w:r>
        <w:t>parr</w:t>
      </w:r>
      <w:proofErr w:type="spellEnd"/>
      <w:r>
        <w:t>.</w:t>
      </w:r>
      <w:r w:rsidRPr="007F7EBF">
        <w:t xml:space="preserve"> da 4.3 a 4.6</w:t>
      </w:r>
      <w:r>
        <w:t>)</w:t>
      </w:r>
      <w:r w:rsidRPr="007F7EBF">
        <w:t>.</w:t>
      </w:r>
    </w:p>
  </w:footnote>
  <w:footnote w:id="800">
    <w:p w14:paraId="7AC4C06D" w14:textId="0432BEDF" w:rsidR="003B7460" w:rsidRPr="007F7EBF" w:rsidRDefault="003B7460" w:rsidP="004017B8">
      <w:pPr>
        <w:pStyle w:val="Testonotaapidipagina"/>
      </w:pPr>
      <w:r w:rsidRPr="007F7EBF">
        <w:rPr>
          <w:rStyle w:val="Rimandonotaapidipagina"/>
        </w:rPr>
        <w:footnoteRef/>
      </w:r>
      <w:r w:rsidRPr="007F7EBF">
        <w:t xml:space="preserve"> Come indicato al par.</w:t>
      </w:r>
      <w:r>
        <w:t>1.6</w:t>
      </w:r>
      <w:r w:rsidRPr="007F7EBF">
        <w:t xml:space="preserve"> sulle ipotesi di quantificazione dell’evasione tributaria e al  par.5.7 sull’allocazione dell’intervento amministrativo. Quest’ultimo non serve certo sulle contestazioni interpretative delle grandi organizzazioni, dove paradossalmente, come indicato sopra, le definizioni in adesione hanno un certo successo</w:t>
      </w:r>
    </w:p>
  </w:footnote>
  <w:footnote w:id="801">
    <w:p w14:paraId="3ED73FD6" w14:textId="612B3930" w:rsidR="003B7460" w:rsidRDefault="003B7460">
      <w:pPr>
        <w:pStyle w:val="Testonotaapidipagina"/>
      </w:pPr>
      <w:r>
        <w:rPr>
          <w:rStyle w:val="Rimandonotaapidipagina"/>
        </w:rPr>
        <w:footnoteRef/>
      </w:r>
      <w:r>
        <w:t xml:space="preserve"> ) Inizialmente fino a ventimila euro, senza considerare sanzioni e interessi, soglia elevata a cinquantamila dal 2017. </w:t>
      </w:r>
    </w:p>
  </w:footnote>
  <w:footnote w:id="802">
    <w:p w14:paraId="6916FE92" w14:textId="656C6C60" w:rsidR="003B7460" w:rsidRPr="007F7EBF" w:rsidRDefault="003B7460">
      <w:pPr>
        <w:pStyle w:val="Testonotaapidipagina"/>
      </w:pPr>
      <w:r w:rsidRPr="007F7EBF">
        <w:rPr>
          <w:rStyle w:val="Rimandonotaapidipagina"/>
        </w:rPr>
        <w:footnoteRef/>
      </w:r>
      <w:r w:rsidRPr="007F7EBF">
        <w:t xml:space="preserve"> ) L’espressione “mediazione” è ispirata al processo civile, mentre qui si tratta di un</w:t>
      </w:r>
      <w:r>
        <w:t xml:space="preserve">o strumento di contenzioso </w:t>
      </w:r>
      <w:r w:rsidRPr="007F7EBF">
        <w:t>amministrativ</w:t>
      </w:r>
      <w:r>
        <w:t>o</w:t>
      </w:r>
      <w:r w:rsidRPr="007F7EBF">
        <w:t xml:space="preserve">. </w:t>
      </w:r>
    </w:p>
  </w:footnote>
  <w:footnote w:id="803">
    <w:p w14:paraId="1FBEA999" w14:textId="77777777" w:rsidR="003B7460" w:rsidRPr="007F7EBF" w:rsidRDefault="003B7460">
      <w:pPr>
        <w:pStyle w:val="Testonotaapidipagina"/>
      </w:pPr>
      <w:r w:rsidRPr="007F7EBF">
        <w:rPr>
          <w:rStyle w:val="Rimandonotaapidipagina"/>
        </w:rPr>
        <w:footnoteRef/>
      </w:r>
      <w:r w:rsidRPr="007F7EBF">
        <w:t xml:space="preserve"> )Anch’essi in sede di tesi di laurea o di dottorato.</w:t>
      </w:r>
    </w:p>
  </w:footnote>
  <w:footnote w:id="804">
    <w:p w14:paraId="707D1BA2" w14:textId="71DEE79D" w:rsidR="003B7460" w:rsidRPr="007F7EBF" w:rsidRDefault="003B7460" w:rsidP="00CD3DC0">
      <w:pPr>
        <w:pStyle w:val="Testonotaapidipagina"/>
      </w:pPr>
      <w:r w:rsidRPr="007F7EBF">
        <w:rPr>
          <w:rStyle w:val="Rimandonotaapidipagina"/>
        </w:rPr>
        <w:footnoteRef/>
      </w:r>
      <w:r w:rsidRPr="007F7EBF">
        <w:t xml:space="preserve"> ) </w:t>
      </w:r>
      <w:r>
        <w:t>Impostare</w:t>
      </w:r>
      <w:r w:rsidRPr="007F7EBF">
        <w:t xml:space="preserve"> in termini </w:t>
      </w:r>
      <w:r>
        <w:t>processualistici</w:t>
      </w:r>
      <w:r w:rsidRPr="007F7EBF">
        <w:t xml:space="preserve"> una funzione non giurisdizionale </w:t>
      </w:r>
      <w:r>
        <w:t xml:space="preserve">significa </w:t>
      </w:r>
      <w:r w:rsidRPr="007F7EBF">
        <w:t>affrontare il problema “dalla coda”.</w:t>
      </w:r>
    </w:p>
  </w:footnote>
  <w:footnote w:id="805">
    <w:p w14:paraId="0A9A19E1" w14:textId="77777777" w:rsidR="003B7460" w:rsidRPr="007F7EBF" w:rsidRDefault="003B7460">
      <w:pPr>
        <w:pStyle w:val="Testonotaapidipagina"/>
      </w:pPr>
      <w:r w:rsidRPr="007F7EBF">
        <w:rPr>
          <w:rStyle w:val="Rimandonotaapidipagina"/>
        </w:rPr>
        <w:footnoteRef/>
      </w:r>
      <w:r w:rsidRPr="007F7EBF">
        <w:t xml:space="preserve"> ) Salvaguardando la memoria storica della precedente azione amministrativa. </w:t>
      </w:r>
    </w:p>
  </w:footnote>
  <w:footnote w:id="806">
    <w:p w14:paraId="54DF8250" w14:textId="77777777" w:rsidR="003B7460" w:rsidRPr="007F7EBF" w:rsidRDefault="003B7460">
      <w:pPr>
        <w:pStyle w:val="Testonotaapidipagina"/>
      </w:pPr>
      <w:r w:rsidRPr="007F7EBF">
        <w:rPr>
          <w:rStyle w:val="Rimandonotaapidipagina"/>
        </w:rPr>
        <w:footnoteRef/>
      </w:r>
      <w:r w:rsidRPr="007F7EBF">
        <w:t xml:space="preserve"> ) Potrebbe trattarsi ad esempio di un giudice tributario, designato dal presidente della relativa commissione tributaria. </w:t>
      </w:r>
    </w:p>
  </w:footnote>
  <w:footnote w:id="807">
    <w:p w14:paraId="1D970C09" w14:textId="2777DC96"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Nei primi anni ottanta del secolo scorso, Giorgio Benvenuto,  uno dei sindacalisti che lanciarono le campagne sull’evasione fiscale dei lavoratori indipendenti, proponeva l’affissione nelle botteghe e nei laboratori artigiani del volume d’affari dichiarato. Oggi si potrebbe pensare a un accesso online, che sarebbe strumento perequativo sia tra contribuenti sia rispetto alle stime degli uffici tributari, dando alle valutazioni una certa omogeneità (per un c.d. controllo reciproco anche tra funzionari). Questa messa a disposizione del dato delle adesioni potrebbe fermarsi ai ricavi, visto che l'evasione di questi soggetti </w:t>
      </w:r>
      <w:r w:rsidRPr="007F7EBF">
        <w:rPr>
          <w:i/>
        </w:rPr>
        <w:t xml:space="preserve">toglie ricchezza da sopra </w:t>
      </w:r>
      <w:r>
        <w:t>(par.3.7) e</w:t>
      </w:r>
      <w:r w:rsidRPr="007F7EBF">
        <w:t xml:space="preserve"> soprattutto i</w:t>
      </w:r>
      <w:r w:rsidRPr="007F7EBF">
        <w:rPr>
          <w:i/>
        </w:rPr>
        <w:t xml:space="preserve"> </w:t>
      </w:r>
      <w:r w:rsidRPr="007F7EBF">
        <w:t xml:space="preserve"> ricavi sono esteriormente comparabili. I redditi di ciascuno , invece, differiscono in relazione alla qualità e quantità dei collaboratori, anche familiari, come pure alla proprietà o meno delle mura, risparmiando il canone di locazione, e quindi aumentando il reddito</w:t>
      </w:r>
    </w:p>
  </w:footnote>
  <w:footnote w:id="808">
    <w:p w14:paraId="46B567FF" w14:textId="6AEE3C0F" w:rsidR="003B7460" w:rsidRPr="007F7EBF" w:rsidRDefault="003B7460">
      <w:pPr>
        <w:pStyle w:val="Testonotaapidipagina"/>
      </w:pPr>
      <w:r w:rsidRPr="007F7EBF">
        <w:rPr>
          <w:rStyle w:val="Rimandonotaapidipagina"/>
        </w:rPr>
        <w:footnoteRef/>
      </w:r>
      <w:r w:rsidRPr="007F7EBF">
        <w:t xml:space="preserve"> ) </w:t>
      </w:r>
      <w:r>
        <w:t>Anche questo è un aspetto della “perequazione” tributaria, necessario in un paese come l’</w:t>
      </w:r>
      <w:r w:rsidRPr="007F7EBF">
        <w:t>Italia</w:t>
      </w:r>
      <w:r>
        <w:t>, dov’è diffuso</w:t>
      </w:r>
      <w:r w:rsidRPr="007F7EBF">
        <w:t xml:space="preserve"> il sospetto di essere, come si dice, “gli unici fessi”</w:t>
      </w:r>
      <w:r>
        <w:t>(</w:t>
      </w:r>
      <w:r w:rsidRPr="007F7EBF">
        <w:t>par.</w:t>
      </w:r>
      <w:r w:rsidRPr="00770B5C">
        <w:t xml:space="preserve"> </w:t>
      </w:r>
      <w:r>
        <w:t>4.1)</w:t>
      </w:r>
      <w:r w:rsidRPr="007F7EBF">
        <w:t xml:space="preserve">. </w:t>
      </w:r>
    </w:p>
  </w:footnote>
  <w:footnote w:id="809">
    <w:p w14:paraId="19FF5D4E" w14:textId="2017DC1A" w:rsidR="003B7460" w:rsidRPr="007F7EBF" w:rsidRDefault="003B7460">
      <w:pPr>
        <w:pStyle w:val="Testonotaapidipagina"/>
      </w:pPr>
      <w:r w:rsidRPr="007F7EBF">
        <w:rPr>
          <w:rStyle w:val="Rimandonotaapidipagina"/>
        </w:rPr>
        <w:footnoteRef/>
      </w:r>
      <w:r w:rsidRPr="007F7EBF">
        <w:t xml:space="preserve"> </w:t>
      </w:r>
      <w:r>
        <w:t xml:space="preserve">) Il </w:t>
      </w:r>
      <w:r w:rsidRPr="007F7EBF">
        <w:t xml:space="preserve">ritiro degli atti </w:t>
      </w:r>
      <w:r>
        <w:t xml:space="preserve">e la loro </w:t>
      </w:r>
      <w:proofErr w:type="spellStart"/>
      <w:r>
        <w:t>riemissione</w:t>
      </w:r>
      <w:proofErr w:type="spellEnd"/>
      <w:r>
        <w:t xml:space="preserve">, con </w:t>
      </w:r>
      <w:r w:rsidRPr="007F7EBF">
        <w:t>motivazione rafforzata, sulla stessa contestazione</w:t>
      </w:r>
      <w:r>
        <w:t xml:space="preserve">, tocca la sostanza della pretesa e deve invece avvenire entro i termini di decadenza (rispettando se del caso il requisito della sopravvenuta conoscenza dei nuovi elementi di cui al par.6.1). </w:t>
      </w:r>
    </w:p>
  </w:footnote>
  <w:footnote w:id="810">
    <w:p w14:paraId="2590D05D" w14:textId="4A1890D3" w:rsidR="003B7460" w:rsidRDefault="003B7460">
      <w:pPr>
        <w:pStyle w:val="Testonotaapidipagina"/>
      </w:pPr>
      <w:r>
        <w:rPr>
          <w:rStyle w:val="Rimandonotaapidipagina"/>
        </w:rPr>
        <w:footnoteRef/>
      </w:r>
      <w:r>
        <w:t xml:space="preserve"> ) Qui l’autotutela entra quindi a far parte di una più complessa definizione amministrativa dell’imposta riguardante più contribuenti correlati. </w:t>
      </w:r>
    </w:p>
  </w:footnote>
  <w:footnote w:id="811">
    <w:p w14:paraId="46C22597" w14:textId="645C2D63" w:rsidR="003B7460" w:rsidRPr="007F7EBF" w:rsidRDefault="003B7460" w:rsidP="00107C86">
      <w:pPr>
        <w:pStyle w:val="Testonotaapidipagina"/>
      </w:pPr>
      <w:r w:rsidRPr="007F7EBF">
        <w:rPr>
          <w:rStyle w:val="Rimandonotaapidipagina"/>
        </w:rPr>
        <w:footnoteRef/>
      </w:r>
      <w:r w:rsidRPr="007F7EBF">
        <w:t xml:space="preserve"> )</w:t>
      </w:r>
      <w:r>
        <w:t xml:space="preserve"> La spiegazione privatistico giurisdizionale, </w:t>
      </w:r>
      <w:proofErr w:type="spellStart"/>
      <w:r>
        <w:t>anzichè</w:t>
      </w:r>
      <w:proofErr w:type="spellEnd"/>
      <w:r>
        <w:t xml:space="preserve"> amministrativistica, </w:t>
      </w:r>
      <w:r w:rsidRPr="007F7EBF">
        <w:t>del rapporto</w:t>
      </w:r>
      <w:r>
        <w:t xml:space="preserve"> </w:t>
      </w:r>
      <w:r w:rsidRPr="007F7EBF">
        <w:t>“fisco-contribuente</w:t>
      </w:r>
      <w:r>
        <w:t xml:space="preserve">”, spinge a ritenere che gli uffici debbano </w:t>
      </w:r>
      <w:r w:rsidRPr="007F7EBF">
        <w:t>avvantaggiarsi d</w:t>
      </w:r>
      <w:r>
        <w:t>egli</w:t>
      </w:r>
      <w:r w:rsidRPr="007F7EBF">
        <w:t xml:space="preserve"> errori de</w:t>
      </w:r>
      <w:r>
        <w:t xml:space="preserve">i contribuenti, come fossero una parte privata. </w:t>
      </w:r>
    </w:p>
  </w:footnote>
  <w:footnote w:id="812">
    <w:p w14:paraId="3BC90AD7" w14:textId="7D052220" w:rsidR="003B7460" w:rsidRDefault="003B7460">
      <w:pPr>
        <w:pStyle w:val="Testonotaapidipagina"/>
      </w:pPr>
      <w:r>
        <w:rPr>
          <w:rStyle w:val="Rimandonotaapidipagina"/>
        </w:rPr>
        <w:footnoteRef/>
      </w:r>
      <w:r>
        <w:t xml:space="preserve"> ) Anche sulla differenza tra funzione di giustizia in senso procedurale e giustizia come risoluzione dei conflitti, che non può mancare, par.1.3. </w:t>
      </w:r>
    </w:p>
  </w:footnote>
  <w:footnote w:id="813">
    <w:p w14:paraId="0CDC4842" w14:textId="77777777" w:rsidR="003B7460" w:rsidRDefault="003B7460" w:rsidP="00CB53BB">
      <w:pPr>
        <w:pStyle w:val="Testonotaapidipagina"/>
      </w:pPr>
      <w:r>
        <w:rPr>
          <w:rStyle w:val="Rimandonotaapidipagina"/>
        </w:rPr>
        <w:footnoteRef/>
      </w:r>
      <w:r>
        <w:t xml:space="preserve"> ) </w:t>
      </w:r>
      <w:r>
        <w:rPr>
          <w:sz w:val="22"/>
          <w:szCs w:val="22"/>
        </w:rPr>
        <w:t xml:space="preserve">Oggi si direbbe </w:t>
      </w:r>
      <w:r w:rsidRPr="007F7EBF">
        <w:rPr>
          <w:sz w:val="22"/>
          <w:szCs w:val="22"/>
        </w:rPr>
        <w:t>“di staff ”</w:t>
      </w:r>
      <w:r>
        <w:rPr>
          <w:sz w:val="22"/>
          <w:szCs w:val="22"/>
        </w:rPr>
        <w:t xml:space="preserve">. </w:t>
      </w:r>
    </w:p>
  </w:footnote>
  <w:footnote w:id="814">
    <w:p w14:paraId="3C502EF4" w14:textId="475524AD" w:rsidR="003B7460" w:rsidRPr="007F7EBF" w:rsidRDefault="003B7460" w:rsidP="004D2D5F">
      <w:pPr>
        <w:autoSpaceDE w:val="0"/>
        <w:autoSpaceDN w:val="0"/>
        <w:adjustRightInd w:val="0"/>
        <w:rPr>
          <w:sz w:val="20"/>
          <w:szCs w:val="20"/>
        </w:rPr>
      </w:pPr>
      <w:r w:rsidRPr="007F7EBF">
        <w:rPr>
          <w:rStyle w:val="Rimandonotaapidipagina"/>
          <w:sz w:val="20"/>
          <w:szCs w:val="20"/>
        </w:rPr>
        <w:footnoteRef/>
      </w:r>
      <w:r>
        <w:rPr>
          <w:sz w:val="20"/>
          <w:szCs w:val="20"/>
        </w:rPr>
        <w:t>)</w:t>
      </w:r>
      <w:r w:rsidRPr="007F7EBF">
        <w:rPr>
          <w:sz w:val="20"/>
          <w:szCs w:val="20"/>
        </w:rPr>
        <w:t xml:space="preserve"> </w:t>
      </w:r>
      <w:r>
        <w:rPr>
          <w:sz w:val="20"/>
          <w:szCs w:val="20"/>
        </w:rPr>
        <w:t>L</w:t>
      </w:r>
      <w:r>
        <w:t>e controversie giurisdizionali dovrebbero riguardare questioni di principio, non risolv</w:t>
      </w:r>
      <w:r w:rsidRPr="007F7EBF">
        <w:t>i</w:t>
      </w:r>
      <w:r>
        <w:t>bili in via amministrativa, ed essere episodiche, in quanto i</w:t>
      </w:r>
      <w:r w:rsidRPr="007F7EBF">
        <w:rPr>
          <w:sz w:val="20"/>
          <w:szCs w:val="20"/>
        </w:rPr>
        <w:t xml:space="preserve">l cattivo funzionamento </w:t>
      </w:r>
      <w:r>
        <w:rPr>
          <w:sz w:val="20"/>
          <w:szCs w:val="20"/>
        </w:rPr>
        <w:t>di funzioni</w:t>
      </w:r>
      <w:r w:rsidRPr="007F7EBF">
        <w:rPr>
          <w:sz w:val="20"/>
          <w:szCs w:val="20"/>
        </w:rPr>
        <w:t xml:space="preserve">  amministrativ</w:t>
      </w:r>
      <w:r>
        <w:rPr>
          <w:sz w:val="20"/>
          <w:szCs w:val="20"/>
        </w:rPr>
        <w:t xml:space="preserve">e non giurisdizionali </w:t>
      </w:r>
      <w:r w:rsidRPr="007F7EBF">
        <w:rPr>
          <w:sz w:val="20"/>
          <w:szCs w:val="20"/>
        </w:rPr>
        <w:t xml:space="preserve">è </w:t>
      </w:r>
      <w:r>
        <w:rPr>
          <w:sz w:val="20"/>
          <w:szCs w:val="20"/>
        </w:rPr>
        <w:t xml:space="preserve">infatti </w:t>
      </w:r>
      <w:r w:rsidRPr="007F7EBF">
        <w:rPr>
          <w:sz w:val="20"/>
          <w:szCs w:val="20"/>
        </w:rPr>
        <w:t xml:space="preserve">una disfunzione </w:t>
      </w:r>
      <w:r>
        <w:rPr>
          <w:sz w:val="20"/>
          <w:szCs w:val="20"/>
        </w:rPr>
        <w:t>pubblica (</w:t>
      </w:r>
      <w:r w:rsidRPr="007F7EBF">
        <w:rPr>
          <w:sz w:val="20"/>
          <w:szCs w:val="20"/>
        </w:rPr>
        <w:t>par.1.3)</w:t>
      </w:r>
      <w:r>
        <w:rPr>
          <w:sz w:val="20"/>
          <w:szCs w:val="20"/>
        </w:rPr>
        <w:t xml:space="preserve"> e</w:t>
      </w:r>
      <w:r w:rsidRPr="007F7EBF">
        <w:rPr>
          <w:sz w:val="20"/>
          <w:szCs w:val="20"/>
        </w:rPr>
        <w:t xml:space="preserve"> il processo è</w:t>
      </w:r>
      <w:r>
        <w:rPr>
          <w:sz w:val="20"/>
          <w:szCs w:val="20"/>
        </w:rPr>
        <w:t xml:space="preserve"> </w:t>
      </w:r>
      <w:r w:rsidRPr="007F7EBF">
        <w:rPr>
          <w:sz w:val="20"/>
          <w:szCs w:val="20"/>
        </w:rPr>
        <w:t xml:space="preserve">un danno in sé. </w:t>
      </w:r>
    </w:p>
  </w:footnote>
  <w:footnote w:id="815">
    <w:p w14:paraId="458E1796" w14:textId="48503F1B" w:rsidR="003B7460" w:rsidRDefault="003B7460" w:rsidP="0080709A">
      <w:pPr>
        <w:pStyle w:val="Testonotaapidipagina"/>
      </w:pPr>
      <w:r>
        <w:rPr>
          <w:rStyle w:val="Rimandonotaapidipagina"/>
        </w:rPr>
        <w:footnoteRef/>
      </w:r>
      <w:r>
        <w:t xml:space="preserve">) E’ comprensibile la tendenza di molti avvocati ad ottenere attraverso il processo amministrativo il “bene della vita” cui il loro assistito aspira, ed è anche comprensibile che anche la tutela contro le pubbliche amministrazioni abbia guardato alla concezione “privatistico-giurisdizionale” del diritto; inoltre va respinto ogni tentativo delle amministrazioni di eludere il giudicato, riproponendo atti solo formalmente immuni dai vizi censurati (anche perché spesso il vizio di forma è quello che più facilmente si presta alla censura, ma l’atto è affetto anche da vizi di ragionevolezza più difficili da dimostrare). Tuttavia anche per questi fini, legittimi se non nobili, è stata sopravvalutata la concezione “privatistico-giurisdizionale” del diritto, come se  il </w:t>
      </w:r>
      <w:r w:rsidRPr="007F7EBF">
        <w:rPr>
          <w:sz w:val="22"/>
          <w:szCs w:val="22"/>
        </w:rPr>
        <w:t xml:space="preserve"> giudice </w:t>
      </w:r>
      <w:r>
        <w:rPr>
          <w:sz w:val="22"/>
          <w:szCs w:val="22"/>
        </w:rPr>
        <w:t>potesse improv</w:t>
      </w:r>
      <w:r w:rsidRPr="007F7EBF">
        <w:rPr>
          <w:sz w:val="22"/>
          <w:szCs w:val="22"/>
        </w:rPr>
        <w:t>visar</w:t>
      </w:r>
      <w:r>
        <w:rPr>
          <w:sz w:val="22"/>
          <w:szCs w:val="22"/>
        </w:rPr>
        <w:t>si</w:t>
      </w:r>
      <w:r w:rsidRPr="007F7EBF">
        <w:rPr>
          <w:sz w:val="22"/>
          <w:szCs w:val="22"/>
        </w:rPr>
        <w:t xml:space="preserve"> urbanista, medico, poliziotto, assistente sociale, gestore dell’ambiente, ingegnere e via enumerando, svolgendo </w:t>
      </w:r>
      <w:r>
        <w:rPr>
          <w:sz w:val="22"/>
          <w:szCs w:val="22"/>
        </w:rPr>
        <w:t>direttamente le pubbliche funzioni su cui gli viene richiesto il controllo</w:t>
      </w:r>
      <w:r w:rsidRPr="007F7EBF">
        <w:t>.</w:t>
      </w:r>
      <w:r>
        <w:t xml:space="preserve"> Senza formalizzarsi su un pregiudiziale e granitico divieto di sostituirsi all’amministrazione, bisogna quantomeno limitare questa sostituzione ai casi in cui il contenuto del provvedimento da adottare risulta palese, rendendo superfluo il rinvio all’autorità amministrativa. </w:t>
      </w:r>
    </w:p>
  </w:footnote>
  <w:footnote w:id="816">
    <w:p w14:paraId="02CC701C" w14:textId="41AE82FF" w:rsidR="003B7460" w:rsidRPr="007F7EBF" w:rsidRDefault="003B7460" w:rsidP="00A91126">
      <w:pPr>
        <w:pStyle w:val="Testonotaapidipagina"/>
      </w:pPr>
      <w:r w:rsidRPr="007F7EBF">
        <w:rPr>
          <w:rStyle w:val="Rimandonotaapidipagina"/>
        </w:rPr>
        <w:footnoteRef/>
      </w:r>
      <w:r>
        <w:t>)</w:t>
      </w:r>
      <w:r w:rsidRPr="007F7EBF">
        <w:t xml:space="preserve"> </w:t>
      </w:r>
      <w:r>
        <w:t xml:space="preserve">Cui sono attribuiti effetti </w:t>
      </w:r>
      <w:r w:rsidRPr="007F7EBF">
        <w:t>“conformativi”, in quanto il giudice descrive</w:t>
      </w:r>
      <w:r>
        <w:t xml:space="preserve"> alcuni aspetti del</w:t>
      </w:r>
      <w:r w:rsidRPr="007F7EBF">
        <w:t xml:space="preserve">la soluzione da adottare, ne indica i principi (sempre latenti nella materia del contendere) e rimanda all’amministrazione per la relativa applicazione. </w:t>
      </w:r>
      <w:r>
        <w:t>Anche</w:t>
      </w:r>
      <w:r w:rsidRPr="007F7EBF">
        <w:t xml:space="preserve"> questo conferma </w:t>
      </w:r>
      <w:r>
        <w:t xml:space="preserve">il sopra indicato carattere tendenzialmente “non sostitutivo” della sentenza e l’inadeguatezza della giurisdizione a sostituirsi all’amministrazione.  </w:t>
      </w:r>
    </w:p>
  </w:footnote>
  <w:footnote w:id="817">
    <w:p w14:paraId="41797171" w14:textId="30AB9BA6" w:rsidR="003B7460" w:rsidRPr="007F7EBF" w:rsidRDefault="003B7460" w:rsidP="00745059">
      <w:pPr>
        <w:pStyle w:val="Testonotaapidipagina"/>
      </w:pPr>
      <w:r w:rsidRPr="007F7EBF">
        <w:rPr>
          <w:rStyle w:val="Rimandonotaapidipagina"/>
        </w:rPr>
        <w:footnoteRef/>
      </w:r>
      <w:r>
        <w:t xml:space="preserve">)  </w:t>
      </w:r>
      <w:r w:rsidRPr="007F7EBF">
        <w:t>Ricordiamo infatti dal par.6.4 che la funzione tributaria , prima della tassazione attraverso le aziende, era infatti strutturalmente contenziosa, in quanto la determinazione estimativa della ricchezza comportava divergenze fisiologiche, per cui era indispensabile un sistema di riesame amministrativo. Su questa premessa la rideterminazione dei tributi davanti a organi di contenzioso amministrativo era normale per valori immobiliari, piccole attività commerciali e professionali, fondi agricoli, tenore di vita (par.5.14) e via enumerando.</w:t>
      </w:r>
    </w:p>
  </w:footnote>
  <w:footnote w:id="818">
    <w:p w14:paraId="3F12ED89" w14:textId="77777777" w:rsidR="003B7460" w:rsidRPr="007F7EBF" w:rsidRDefault="003B7460" w:rsidP="003B5695">
      <w:pPr>
        <w:pStyle w:val="Testonotaapidipagina"/>
      </w:pPr>
      <w:r w:rsidRPr="007F7EBF">
        <w:rPr>
          <w:rStyle w:val="Rimandonotaapidipagina"/>
        </w:rPr>
        <w:footnoteRef/>
      </w:r>
      <w:r w:rsidRPr="007F7EBF">
        <w:t xml:space="preserve"> ) Le commissioni amministrative, come ricordato al par.6.4, operarono dall’unità d’Italia al 1972</w:t>
      </w:r>
      <w:r>
        <w:t xml:space="preserve">, con un’ampia possibilità di intervento dei tribunali ordinari; c’erano </w:t>
      </w:r>
      <w:r w:rsidRPr="007F7EBF">
        <w:t xml:space="preserve">sei possibili gradi di giudizio, tre presso le commissioni amministrative, per le questioni di fatto, seguiti da tre gradi di giurisdizione ordinaria. </w:t>
      </w:r>
      <w:r>
        <w:t xml:space="preserve">Lo </w:t>
      </w:r>
      <w:r w:rsidRPr="007F7EBF">
        <w:t>snellimento</w:t>
      </w:r>
      <w:r>
        <w:t xml:space="preserve">, dal 1972, avvenne </w:t>
      </w:r>
      <w:r w:rsidRPr="007F7EBF">
        <w:t xml:space="preserve">estromettendo la giurisdizione civile, </w:t>
      </w:r>
      <w:r>
        <w:t xml:space="preserve">e con una rivisitazione, in senso giurisdizionale, delle commissioni tributarie; </w:t>
      </w:r>
      <w:r w:rsidRPr="007F7EBF">
        <w:t>fu un espediente istintivo per “</w:t>
      </w:r>
      <w:proofErr w:type="spellStart"/>
      <w:r w:rsidRPr="007F7EBF">
        <w:t>processualizzare</w:t>
      </w:r>
      <w:proofErr w:type="spellEnd"/>
      <w:r w:rsidRPr="007F7EBF">
        <w:t xml:space="preserve">” la determinazione dei tributi e mantenere </w:t>
      </w:r>
      <w:r>
        <w:t xml:space="preserve">per comodità </w:t>
      </w:r>
      <w:r w:rsidRPr="007F7EBF">
        <w:t>l</w:t>
      </w:r>
      <w:r>
        <w:t xml:space="preserve">’assetto organizzativo preesistente. Sono le radici della curiosa giurisdizione di “impugnazione merito”, di cui diremo. </w:t>
      </w:r>
      <w:r w:rsidRPr="007F7EBF">
        <w:t xml:space="preserve"> </w:t>
      </w:r>
    </w:p>
  </w:footnote>
  <w:footnote w:id="819">
    <w:p w14:paraId="3E4B6FA7" w14:textId="3D640F8A" w:rsidR="003B7460" w:rsidRPr="007F7EBF" w:rsidRDefault="003B7460">
      <w:pPr>
        <w:pStyle w:val="Testonotaapidipagina"/>
      </w:pPr>
      <w:r w:rsidRPr="007F7EBF">
        <w:rPr>
          <w:rStyle w:val="Rimandonotaapidipagina"/>
        </w:rPr>
        <w:footnoteRef/>
      </w:r>
      <w:r>
        <w:t xml:space="preserve">) </w:t>
      </w:r>
      <w:r w:rsidRPr="007F7EBF">
        <w:t xml:space="preserve">Si tratta del «consiglio superiore della giustizia tributaria». L’indipendenza del giudice è però un’esigenza logica solo per la funzione giurisdizionale, con riferimento alle  "parti litiganti". L’indipendenza del giudice rispetto alla politica è invece tutt’altra questione, concepibile a tacer d’altro solo in democrazia. </w:t>
      </w:r>
    </w:p>
  </w:footnote>
  <w:footnote w:id="820">
    <w:p w14:paraId="6F072BDD" w14:textId="391FFA87" w:rsidR="003B7460" w:rsidRPr="007F7EBF" w:rsidRDefault="003B7460">
      <w:pPr>
        <w:pStyle w:val="Testonotaapidipagina"/>
      </w:pPr>
      <w:r w:rsidRPr="007F7EBF">
        <w:rPr>
          <w:rStyle w:val="Rimandonotaapidipagina"/>
        </w:rPr>
        <w:footnoteRef/>
      </w:r>
      <w:r>
        <w:t>)</w:t>
      </w:r>
      <w:r w:rsidRPr="007F7EBF">
        <w:t xml:space="preserve"> </w:t>
      </w:r>
      <w:r>
        <w:t xml:space="preserve"> </w:t>
      </w:r>
      <w:r w:rsidRPr="007F7EBF">
        <w:t xml:space="preserve">Furono innovazioni introdotte a metà degli anni novanta del secolo scorso, per la sensazione di un eccessivo "favor" per i contribuenti, da parte di chi operava in materia tributaria. Fino a quell'epoca si poteva infatti svolgere attività di consulenza tributaria (par.3.16) ed essere giudici, in quanto l'unica incompatibilità riguardava l'esercizio abituale del contenzioso </w:t>
      </w:r>
      <w:proofErr w:type="spellStart"/>
      <w:r w:rsidRPr="007F7EBF">
        <w:t>tributarioLe</w:t>
      </w:r>
      <w:proofErr w:type="spellEnd"/>
      <w:r w:rsidRPr="007F7EBF">
        <w:t xml:space="preserve"> dotazioni logistiche e il personale tecnico delle segreterie dipendono dal ministero dell’Economia, ma è un aspetto legislativamente regolato e non strumentalizzabile contro l'indipendenza suddetta. </w:t>
      </w:r>
    </w:p>
  </w:footnote>
  <w:footnote w:id="821">
    <w:p w14:paraId="012AA118" w14:textId="77777777" w:rsidR="003B7460" w:rsidRPr="007F7EBF" w:rsidRDefault="003B7460">
      <w:pPr>
        <w:pStyle w:val="Testonotaapidipagina"/>
      </w:pPr>
      <w:r w:rsidRPr="007F7EBF">
        <w:rPr>
          <w:rStyle w:val="Rimandonotaapidipagina"/>
        </w:rPr>
        <w:footnoteRef/>
      </w:r>
      <w:r w:rsidRPr="007F7EBF">
        <w:t xml:space="preserve"> ) Ad esempio lauree in giurisprudenza o in economia e commercio, abilitazioni forensi e altri requisiti documentalmente “controllabili”, ai fini di una selezione effettuata “per punteggi prestabiliti”; questi ultimi sono attribuiti in base a titoli (laurea, abilitazione professionale, dottorati etc.) nonché all’anzianità di servizio in ruoli di docenza, di pubblico impiego e simili. </w:t>
      </w:r>
    </w:p>
  </w:footnote>
  <w:footnote w:id="822">
    <w:p w14:paraId="6E5C7613" w14:textId="5596B680" w:rsidR="003B7460" w:rsidRPr="007F7EBF" w:rsidRDefault="003B7460" w:rsidP="00190966">
      <w:pPr>
        <w:pStyle w:val="Testonotaapidipagina"/>
      </w:pPr>
      <w:r w:rsidRPr="007F7EBF">
        <w:rPr>
          <w:rStyle w:val="Rimandonotaapidipagina"/>
        </w:rPr>
        <w:footnoteRef/>
      </w:r>
      <w:r w:rsidRPr="007F7EBF">
        <w:t xml:space="preserve"> ) </w:t>
      </w:r>
      <w:r>
        <w:t xml:space="preserve">Che hanno </w:t>
      </w:r>
      <w:r w:rsidRPr="007F7EBF">
        <w:rPr>
          <w:sz w:val="22"/>
          <w:szCs w:val="22"/>
        </w:rPr>
        <w:t>nuociuto alla competenza tecnica dei giudici, senza peraltro aggiungere una particolare moralità</w:t>
      </w:r>
      <w:r>
        <w:rPr>
          <w:sz w:val="22"/>
          <w:szCs w:val="22"/>
        </w:rPr>
        <w:t xml:space="preserve">; lo </w:t>
      </w:r>
      <w:r w:rsidRPr="007F7EBF">
        <w:rPr>
          <w:sz w:val="22"/>
          <w:szCs w:val="22"/>
        </w:rPr>
        <w:t>confermano frequenti scandali</w:t>
      </w:r>
      <w:r>
        <w:rPr>
          <w:sz w:val="22"/>
          <w:szCs w:val="22"/>
        </w:rPr>
        <w:t xml:space="preserve">, che </w:t>
      </w:r>
      <w:r w:rsidRPr="007F7EBF">
        <w:t xml:space="preserve">ripropongono presso i giudici le preoccupazioni </w:t>
      </w:r>
      <w:r>
        <w:t>corruttive, descritte</w:t>
      </w:r>
      <w:r w:rsidRPr="007F7EBF">
        <w:t xml:space="preserve"> al par.5.11 </w:t>
      </w:r>
      <w:r>
        <w:t xml:space="preserve">per </w:t>
      </w:r>
      <w:r w:rsidRPr="007F7EBF">
        <w:t>gli uffici tributari</w:t>
      </w:r>
      <w:r>
        <w:t xml:space="preserve">  (</w:t>
      </w:r>
      <w:proofErr w:type="spellStart"/>
      <w:r>
        <w:t>cfr</w:t>
      </w:r>
      <w:proofErr w:type="spellEnd"/>
      <w:r>
        <w:t xml:space="preserve"> infra)</w:t>
      </w:r>
      <w:r w:rsidRPr="007F7EBF">
        <w:t xml:space="preserve">.  </w:t>
      </w:r>
    </w:p>
  </w:footnote>
  <w:footnote w:id="823">
    <w:p w14:paraId="757A8298" w14:textId="748D0EF7" w:rsidR="003B7460" w:rsidRPr="007F7EBF" w:rsidRDefault="003B7460" w:rsidP="00190966">
      <w:pPr>
        <w:pStyle w:val="Testonotaapidipagina"/>
      </w:pPr>
      <w:r w:rsidRPr="007F7EBF">
        <w:rPr>
          <w:rStyle w:val="Rimandonotaapidipagina"/>
        </w:rPr>
        <w:footnoteRef/>
      </w:r>
      <w:r w:rsidRPr="007F7EBF">
        <w:t xml:space="preserve"> </w:t>
      </w:r>
      <w:r>
        <w:t xml:space="preserve">) In un </w:t>
      </w:r>
      <w:r w:rsidRPr="007F7EBF">
        <w:t>assortimento di magistrati civili e penali (circa il 50%), ma anche amministrativ</w:t>
      </w:r>
      <w:r>
        <w:t>i</w:t>
      </w:r>
      <w:r w:rsidRPr="007F7EBF">
        <w:t>, ordinariamente impegnati in</w:t>
      </w:r>
      <w:r w:rsidRPr="007F7EBF">
        <w:rPr>
          <w:i/>
        </w:rPr>
        <w:t xml:space="preserve"> altre questioni </w:t>
      </w:r>
      <w:r w:rsidRPr="007F7EBF">
        <w:t>, come cause civili, di lavoro, fallimenti, indagini penali, etc.</w:t>
      </w:r>
      <w:r>
        <w:t xml:space="preserve">, professionisti </w:t>
      </w:r>
      <w:r w:rsidRPr="007F7EBF">
        <w:t>impegnati in attività non tributarie (ad es. fallimenti o divorzi), cancellieri di tribunale, impiegati di vari uffici pubblici, docenti delle più disparate materie economico-giuridiche, pensionati con analogo variegat</w:t>
      </w:r>
      <w:r w:rsidRPr="00E240E9">
        <w:t xml:space="preserve">o retroterra etc. Se si tiene conto del basso controllo sociale (par.5.3) sulla funzione di giustizia si comprende l’esito casuale di molte liti, che ricorda la scenetta su </w:t>
      </w:r>
      <w:proofErr w:type="spellStart"/>
      <w:r w:rsidRPr="00E240E9">
        <w:t>youtube</w:t>
      </w:r>
      <w:proofErr w:type="spellEnd"/>
      <w:r w:rsidRPr="00E240E9">
        <w:t xml:space="preserve"> </w:t>
      </w:r>
      <w:proofErr w:type="spellStart"/>
      <w:r w:rsidRPr="00E240E9">
        <w:rPr>
          <w:i/>
        </w:rPr>
        <w:t>Pdor</w:t>
      </w:r>
      <w:proofErr w:type="spellEnd"/>
      <w:r w:rsidRPr="00E240E9">
        <w:rPr>
          <w:i/>
        </w:rPr>
        <w:t xml:space="preserve"> figlio di </w:t>
      </w:r>
      <w:proofErr w:type="spellStart"/>
      <w:r w:rsidRPr="00E240E9">
        <w:rPr>
          <w:i/>
        </w:rPr>
        <w:t>kmer</w:t>
      </w:r>
      <w:proofErr w:type="spellEnd"/>
      <w:r w:rsidRPr="00E240E9">
        <w:rPr>
          <w:i/>
        </w:rPr>
        <w:t xml:space="preserve"> </w:t>
      </w:r>
      <w:r w:rsidRPr="00E240E9">
        <w:t xml:space="preserve"> . L’eterogeneità del contenzioso tributario, sia nei componenti delle commissioni, sia nell’attribuzione delle cause, elimina anche il controllo reciproco esistente nella serialità delle altre </w:t>
      </w:r>
      <w:proofErr w:type="spellStart"/>
      <w:r w:rsidRPr="00E240E9">
        <w:t>giurisidizioni</w:t>
      </w:r>
      <w:proofErr w:type="spellEnd"/>
      <w:r w:rsidRPr="00E240E9">
        <w:t>.</w:t>
      </w:r>
      <w:r>
        <w:t xml:space="preserve"> </w:t>
      </w:r>
    </w:p>
  </w:footnote>
  <w:footnote w:id="824">
    <w:p w14:paraId="1E2F401D" w14:textId="77777777" w:rsidR="003B7460" w:rsidRPr="007F7EBF" w:rsidRDefault="003B7460" w:rsidP="00A81AFB">
      <w:pPr>
        <w:pStyle w:val="Testonotaapidipagina"/>
      </w:pPr>
      <w:r w:rsidRPr="007F7EBF">
        <w:rPr>
          <w:rStyle w:val="Rimandonotaapidipagina"/>
        </w:rPr>
        <w:footnoteRef/>
      </w:r>
      <w:r w:rsidRPr="007F7EBF">
        <w:t xml:space="preserve"> </w:t>
      </w:r>
      <w:r>
        <w:t xml:space="preserve">) </w:t>
      </w:r>
      <w:r w:rsidRPr="007F7EBF">
        <w:t>Mi riferisco a liquidazioni, stime “valutative” alla portata della sensibilità giuridico-economica comune.</w:t>
      </w:r>
    </w:p>
  </w:footnote>
  <w:footnote w:id="825">
    <w:p w14:paraId="596844D6" w14:textId="134243FC" w:rsidR="003B7460" w:rsidRPr="007F7EBF" w:rsidRDefault="003B7460" w:rsidP="00513C80">
      <w:pPr>
        <w:pStyle w:val="Testonotaapidipagina"/>
      </w:pPr>
      <w:r w:rsidRPr="007F7EBF">
        <w:rPr>
          <w:rStyle w:val="Rimandonotaapidipagina"/>
        </w:rPr>
        <w:footnoteRef/>
      </w:r>
      <w:r w:rsidRPr="007F7EBF">
        <w:t xml:space="preserve"> </w:t>
      </w:r>
      <w:r>
        <w:t xml:space="preserve">) Ad esempio </w:t>
      </w:r>
      <w:r w:rsidRPr="007F7EBF">
        <w:t>contributi a consorzi, quote di iscrizione alla camera di commercio</w:t>
      </w:r>
      <w:r>
        <w:t xml:space="preserve"> e agli </w:t>
      </w:r>
      <w:r w:rsidRPr="007F7EBF">
        <w:t>albi professionali</w:t>
      </w:r>
      <w:r>
        <w:t xml:space="preserve">. </w:t>
      </w:r>
    </w:p>
  </w:footnote>
  <w:footnote w:id="826">
    <w:p w14:paraId="71D0F7DF" w14:textId="48EE88CF" w:rsidR="003B7460" w:rsidRPr="007F7EBF" w:rsidRDefault="003B7460" w:rsidP="00357D1B">
      <w:pPr>
        <w:pStyle w:val="Testonotaapidipagina"/>
      </w:pPr>
      <w:r w:rsidRPr="007F7EBF">
        <w:rPr>
          <w:rStyle w:val="Rimandonotaapidipagina"/>
        </w:rPr>
        <w:footnoteRef/>
      </w:r>
      <w:r w:rsidRPr="007F7EBF">
        <w:t xml:space="preserve">) </w:t>
      </w:r>
      <w:r>
        <w:t>Anche la terminologia usata</w:t>
      </w:r>
      <w:r w:rsidRPr="007F7EBF">
        <w:t xml:space="preserve"> dal d.lgs. 31 dicembre 1992, n. 546</w:t>
      </w:r>
      <w:r>
        <w:t>, che regola il processo tributario, sembra voler ricalcare il processo civile, rimarcando la “</w:t>
      </w:r>
      <w:proofErr w:type="spellStart"/>
      <w:r>
        <w:t>processualizzazione</w:t>
      </w:r>
      <w:proofErr w:type="spellEnd"/>
      <w:r>
        <w:t xml:space="preserve">”, tecnicistica e priva di scientificità umanistico-sociale” che l’ha staccata realtà, facendole capire poco persino </w:t>
      </w:r>
      <w:proofErr w:type="spellStart"/>
      <w:r>
        <w:t>sè</w:t>
      </w:r>
      <w:proofErr w:type="spellEnd"/>
      <w:r>
        <w:t xml:space="preserve"> stessa. Quest’”</w:t>
      </w:r>
      <w:proofErr w:type="spellStart"/>
      <w:r>
        <w:t>avvocatizzazione</w:t>
      </w:r>
      <w:proofErr w:type="spellEnd"/>
      <w:r>
        <w:t xml:space="preserve">” del diritto tributario, imputabile a ben precisi ambienti accademici, fu tanto più deprecabile in quanto nel 1992 ormai il processo amministrativo aveva messo a fuoco i propri schemi, poi ulteriormente migliorati con l’attuale codice del processo amministrativo. </w:t>
      </w:r>
      <w:r w:rsidRPr="007F7EBF">
        <w:t xml:space="preserve"> </w:t>
      </w:r>
    </w:p>
  </w:footnote>
  <w:footnote w:id="827">
    <w:p w14:paraId="2A7C545E" w14:textId="36E1349D" w:rsidR="003B7460" w:rsidRDefault="003B7460">
      <w:pPr>
        <w:pStyle w:val="Testonotaapidipagina"/>
      </w:pPr>
      <w:r>
        <w:rPr>
          <w:rStyle w:val="Rimandonotaapidipagina"/>
        </w:rPr>
        <w:footnoteRef/>
      </w:r>
      <w:r>
        <w:t xml:space="preserve"> ) </w:t>
      </w:r>
      <w:r>
        <w:rPr>
          <w:sz w:val="22"/>
          <w:szCs w:val="22"/>
        </w:rPr>
        <w:t>I</w:t>
      </w:r>
      <w:r w:rsidRPr="007F7EBF">
        <w:rPr>
          <w:sz w:val="22"/>
          <w:szCs w:val="22"/>
        </w:rPr>
        <w:t xml:space="preserve">n quanto l’ufficio tributario incide di propria iniziativa nella sfera </w:t>
      </w:r>
      <w:r>
        <w:rPr>
          <w:sz w:val="22"/>
          <w:szCs w:val="22"/>
        </w:rPr>
        <w:t xml:space="preserve">altrui, </w:t>
      </w:r>
      <w:r w:rsidRPr="007F7EBF">
        <w:rPr>
          <w:sz w:val="22"/>
          <w:szCs w:val="22"/>
        </w:rPr>
        <w:t>con gli atti unilaterali di cui al par. 6.1.</w:t>
      </w:r>
    </w:p>
  </w:footnote>
  <w:footnote w:id="828">
    <w:p w14:paraId="47BD6D81" w14:textId="4EE4CFC2" w:rsidR="003B7460" w:rsidRPr="007F7EBF" w:rsidRDefault="003B7460" w:rsidP="00F62AD0">
      <w:pPr>
        <w:pStyle w:val="Testonotaapidipagina"/>
      </w:pPr>
      <w:r w:rsidRPr="007F7EBF">
        <w:rPr>
          <w:rStyle w:val="Rimandonotaapidipagina"/>
        </w:rPr>
        <w:footnoteRef/>
      </w:r>
      <w:r w:rsidRPr="007F7EBF">
        <w:t xml:space="preserve"> ) Anche quest’introduzione</w:t>
      </w:r>
      <w:r>
        <w:t xml:space="preserve"> del processo</w:t>
      </w:r>
      <w:r w:rsidRPr="007F7EBF">
        <w:t>, permessa solo con l’impugnazione di atti</w:t>
      </w:r>
      <w:r>
        <w:t xml:space="preserve"> (o di inerzie sui rimborsi)</w:t>
      </w:r>
      <w:r w:rsidRPr="007F7EBF">
        <w:t xml:space="preserve">, </w:t>
      </w:r>
      <w:r>
        <w:t>ne</w:t>
      </w:r>
      <w:r w:rsidRPr="007F7EBF">
        <w:t xml:space="preserve"> rivela l’oggettiva natura </w:t>
      </w:r>
      <w:proofErr w:type="spellStart"/>
      <w:r w:rsidRPr="007F7EBF">
        <w:t>impugnatorio</w:t>
      </w:r>
      <w:proofErr w:type="spellEnd"/>
      <w:r w:rsidRPr="007F7EBF">
        <w:t>-amministrativistica, al di là dei</w:t>
      </w:r>
      <w:r>
        <w:t xml:space="preserve"> già indicati</w:t>
      </w:r>
      <w:r w:rsidRPr="007F7EBF">
        <w:t xml:space="preserve"> paludamenti esteriori ispirati al processo civile.. </w:t>
      </w:r>
    </w:p>
  </w:footnote>
  <w:footnote w:id="829">
    <w:p w14:paraId="7DE69102" w14:textId="02A1B1C3" w:rsidR="003B7460" w:rsidRDefault="003B7460">
      <w:pPr>
        <w:pStyle w:val="Testonotaapidipagina"/>
      </w:pPr>
      <w:r>
        <w:rPr>
          <w:rStyle w:val="Rimandonotaapidipagina"/>
        </w:rPr>
        <w:footnoteRef/>
      </w:r>
      <w:r>
        <w:t xml:space="preserve"> In parte il tema è quello della </w:t>
      </w:r>
      <w:r>
        <w:rPr>
          <w:i/>
          <w:iCs/>
        </w:rPr>
        <w:t xml:space="preserve">conoscenza di fatto </w:t>
      </w:r>
      <w:r>
        <w:t xml:space="preserve">del diritto amministrativo, relativa ad </w:t>
      </w:r>
      <w:r w:rsidRPr="007F7EBF">
        <w:t xml:space="preserve">atti </w:t>
      </w:r>
      <w:r>
        <w:t xml:space="preserve">“non formalmente notificati”, </w:t>
      </w:r>
      <w:r w:rsidRPr="007F7EBF">
        <w:t xml:space="preserve">con cui venga portata a conoscenza una pretesa tributaria, come la fattura per la "tassa rifiuti"; </w:t>
      </w:r>
      <w:r>
        <w:t>altri casi riguardano l’</w:t>
      </w:r>
      <w:r w:rsidRPr="007F7EBF">
        <w:t xml:space="preserve">impugnazione degli "avvisi bonari" di cui al par.5.5. </w:t>
      </w:r>
      <w:r>
        <w:t xml:space="preserve">o di alcuni </w:t>
      </w:r>
      <w:r w:rsidRPr="007F7EBF">
        <w:t>interpelli di cui al par.5.4</w:t>
      </w:r>
      <w:r>
        <w:t xml:space="preserve">. </w:t>
      </w:r>
    </w:p>
  </w:footnote>
  <w:footnote w:id="830">
    <w:p w14:paraId="199A3E04" w14:textId="404DB095" w:rsidR="003B7460" w:rsidRPr="007F7EBF" w:rsidRDefault="003B7460">
      <w:pPr>
        <w:pStyle w:val="Testonotaapidipagina"/>
      </w:pPr>
      <w:r w:rsidRPr="007F7EBF">
        <w:rPr>
          <w:rStyle w:val="Rimandonotaapidipagina"/>
        </w:rPr>
        <w:footnoteRef/>
      </w:r>
      <w:r w:rsidRPr="007F7EBF">
        <w:t xml:space="preserve"> ) </w:t>
      </w:r>
      <w:r>
        <w:t xml:space="preserve">Quest’anticipazione non è ammessa per gli atti anche formalmente preliminari </w:t>
      </w:r>
      <w:r w:rsidRPr="007F7EBF">
        <w:rPr>
          <w:sz w:val="22"/>
          <w:szCs w:val="22"/>
        </w:rPr>
        <w:t xml:space="preserve">come i “verbali di constatazione” </w:t>
      </w:r>
      <w:r>
        <w:rPr>
          <w:sz w:val="22"/>
          <w:szCs w:val="22"/>
        </w:rPr>
        <w:t>di cui al par.5</w:t>
      </w:r>
      <w:r w:rsidRPr="007F7EBF">
        <w:t xml:space="preserve">. </w:t>
      </w:r>
      <w:r>
        <w:t xml:space="preserve">La loro non impugnabilità </w:t>
      </w:r>
      <w:r w:rsidRPr="007F7EBF">
        <w:t xml:space="preserve">si spiega </w:t>
      </w:r>
      <w:r>
        <w:t xml:space="preserve">in quanto </w:t>
      </w:r>
      <w:r w:rsidRPr="007F7EBF">
        <w:t>“</w:t>
      </w:r>
      <w:proofErr w:type="spellStart"/>
      <w:r w:rsidRPr="007F7EBF">
        <w:t>endoprocedimental</w:t>
      </w:r>
      <w:r>
        <w:t>i</w:t>
      </w:r>
      <w:proofErr w:type="spellEnd"/>
      <w:r w:rsidRPr="007F7EBF">
        <w:t>”(i</w:t>
      </w:r>
      <w:r>
        <w:t xml:space="preserve">struttori rispetto </w:t>
      </w:r>
      <w:r w:rsidRPr="007F7EBF">
        <w:t>a un procedimento ancora da definire)</w:t>
      </w:r>
      <w:r>
        <w:t>, p</w:t>
      </w:r>
      <w:r w:rsidRPr="007F7EBF">
        <w:t xml:space="preserve">iù che </w:t>
      </w:r>
      <w:r>
        <w:t>con un</w:t>
      </w:r>
      <w:r w:rsidRPr="007F7EBF">
        <w:t xml:space="preserve"> divieto di </w:t>
      </w:r>
      <w:r>
        <w:t xml:space="preserve">azioni di </w:t>
      </w:r>
      <w:r w:rsidRPr="007F7EBF">
        <w:t>“accertamento preventivo”</w:t>
      </w:r>
      <w:r>
        <w:t>.</w:t>
      </w:r>
    </w:p>
  </w:footnote>
  <w:footnote w:id="831">
    <w:p w14:paraId="069E36FB" w14:textId="40AEB61D" w:rsidR="003B7460" w:rsidRDefault="003B7460">
      <w:pPr>
        <w:pStyle w:val="Testonotaapidipagina"/>
      </w:pPr>
      <w:r>
        <w:rPr>
          <w:rStyle w:val="Rimandonotaapidipagina"/>
        </w:rPr>
        <w:footnoteRef/>
      </w:r>
      <w:r>
        <w:t xml:space="preserve"> Se poi l’atto conclusivo emanato avesse invece proprie specificità rispetto al processo in corso, si potrà modificarne il contenuto. Oppure, a seconda dei casi, potrà essere valutabile una rinuncia al primo processo, impugnando l’atto emesso per secondo. Si tratta comunque di tecnicismi da valutare caso per caso. </w:t>
      </w:r>
    </w:p>
  </w:footnote>
  <w:footnote w:id="832">
    <w:p w14:paraId="6CCACD43" w14:textId="1C6442CD" w:rsidR="003B7460" w:rsidRDefault="003B7460">
      <w:pPr>
        <w:pStyle w:val="Testonotaapidipagina"/>
      </w:pPr>
      <w:r>
        <w:rPr>
          <w:rStyle w:val="Rimandonotaapidipagina"/>
        </w:rPr>
        <w:footnoteRef/>
      </w:r>
      <w:r>
        <w:t xml:space="preserve"> ) E’ un’altra applicazione del principio civilistico della “litispendenza”, già indicato nel testo (art.19 comma 3).</w:t>
      </w:r>
    </w:p>
  </w:footnote>
  <w:footnote w:id="833">
    <w:p w14:paraId="5A3C4BA7" w14:textId="77777777" w:rsidR="003B7460" w:rsidRPr="007F7EBF" w:rsidRDefault="003B7460" w:rsidP="0034089B">
      <w:pPr>
        <w:pStyle w:val="Testonotaapidipagina"/>
      </w:pPr>
      <w:r w:rsidRPr="007F7EBF">
        <w:rPr>
          <w:rStyle w:val="Rimandonotaapidipagina"/>
        </w:rPr>
        <w:footnoteRef/>
      </w:r>
      <w:r w:rsidRPr="007F7EBF">
        <w:t xml:space="preserve"> ) Non  sono invece processi “di  rimborso” quelli relativi  alle inerzie dell’amministrazione nel rimborsare le eccedenze a credito risultanti dalle dichiarazioni dei contribuenti (par.3.4), non contestate dagli  uffici tributari. Qui infatti il fondamento del diritto al rimborso deriva dalla dichiarazione, e può essere disconosciuto da un’azione amministrativa attiva, che passa per la richiesta dei documenti contabili sottostanti. Il tipico processo di rimborso è invece quello per imposte “autodeterminate in eccesso”, per errore o per consapevole cautela, con successiva istanza di restituzione.  </w:t>
      </w:r>
    </w:p>
  </w:footnote>
  <w:footnote w:id="834">
    <w:p w14:paraId="1B9843E5" w14:textId="595943BE" w:rsidR="003B7460" w:rsidRPr="007F7EBF" w:rsidRDefault="003B7460" w:rsidP="0034089B">
      <w:pPr>
        <w:pStyle w:val="Testonotaapidipagina"/>
      </w:pPr>
      <w:r w:rsidRPr="007F7EBF">
        <w:rPr>
          <w:rStyle w:val="Rimandonotaapidipagina"/>
        </w:rPr>
        <w:footnoteRef/>
      </w:r>
      <w:r>
        <w:t xml:space="preserve">) </w:t>
      </w:r>
      <w:r w:rsidRPr="007F7EBF">
        <w:t>Per questo, come indicato al par.6.2, nelle controversie di rimborso</w:t>
      </w:r>
      <w:r>
        <w:t xml:space="preserve"> è fuori luogo un’</w:t>
      </w:r>
      <w:r w:rsidRPr="007F7EBF">
        <w:t>applicazion</w:t>
      </w:r>
      <w:r>
        <w:t xml:space="preserve">e </w:t>
      </w:r>
      <w:r w:rsidRPr="007F7EBF">
        <w:t>meccanic</w:t>
      </w:r>
      <w:r>
        <w:t>istica</w:t>
      </w:r>
      <w:r w:rsidRPr="007F7EBF">
        <w:t>, a carico del contribuente, del criterio dell’onere della prova.</w:t>
      </w:r>
    </w:p>
  </w:footnote>
  <w:footnote w:id="835">
    <w:p w14:paraId="0437F47C" w14:textId="25159107" w:rsidR="003B7460" w:rsidRPr="007F7EBF" w:rsidRDefault="003B7460">
      <w:pPr>
        <w:pStyle w:val="Testonotaapidipagina"/>
      </w:pPr>
      <w:r w:rsidRPr="007F7EBF">
        <w:rPr>
          <w:rStyle w:val="Rimandonotaapidipagina"/>
        </w:rPr>
        <w:footnoteRef/>
      </w:r>
      <w:r w:rsidRPr="007F7EBF">
        <w:t xml:space="preserve">) </w:t>
      </w:r>
      <w:r>
        <w:t>Nel termine di 60 giorni dalla notifica dell’atto impugnato, casomai prorogato di 90 giorni in caso di istanza di accertamento con adesione (par.6.4). E’ tuttavia un termine troppo breve, che spinge a presentare ricorsi inutili per questioni che saranno comunque decise “in adesione” con gli uffici.</w:t>
      </w:r>
    </w:p>
  </w:footnote>
  <w:footnote w:id="836">
    <w:p w14:paraId="2C49B1C5" w14:textId="69626504" w:rsidR="003B7460" w:rsidRPr="007F7EBF" w:rsidRDefault="003B7460" w:rsidP="002059F8">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Termine ripreso anch'esso dal processo civile. </w:t>
      </w:r>
    </w:p>
  </w:footnote>
  <w:footnote w:id="837">
    <w:p w14:paraId="6B54C52C" w14:textId="77777777" w:rsidR="003B7460" w:rsidRPr="007F7EBF" w:rsidRDefault="003B7460" w:rsidP="009A0822">
      <w:pPr>
        <w:pStyle w:val="Testonotaapidipagina"/>
      </w:pPr>
      <w:r w:rsidRPr="007F7EBF">
        <w:rPr>
          <w:rStyle w:val="Rimandonotaapidipagina"/>
        </w:rPr>
        <w:footnoteRef/>
      </w:r>
      <w:r w:rsidRPr="007F7EBF">
        <w:t xml:space="preserve"> ) Il mancato rispetto di questi termini deve essere rilevato dal giudice, il che esclude in prospettiva la tutela giurisdizionale “di merito”, ma non la più corretta rideterminazione del tributo prima che ciò avvenga, sia in sede di contenzioso amministrativo (conciliazione giudiziale di cui al par.6.4), sia  di  autotutela. </w:t>
      </w:r>
    </w:p>
  </w:footnote>
  <w:footnote w:id="838">
    <w:p w14:paraId="71A91E7B" w14:textId="51F95EFD" w:rsidR="003B7460" w:rsidRDefault="003B7460">
      <w:pPr>
        <w:pStyle w:val="Testonotaapidipagina"/>
      </w:pPr>
      <w:r>
        <w:rPr>
          <w:rStyle w:val="Rimandonotaapidipagina"/>
        </w:rPr>
        <w:footnoteRef/>
      </w:r>
      <w:r>
        <w:t xml:space="preserve"> Si crea pertanto, per le parti non impugnate, una definitività dell’atto impugnato; approfondimenti servirebbero invece per le azioni di rimborso, che potrebbero comunque essere riproposte dal contribuente. </w:t>
      </w:r>
    </w:p>
  </w:footnote>
  <w:footnote w:id="839">
    <w:p w14:paraId="156C3802" w14:textId="77777777" w:rsidR="003B7460" w:rsidRPr="007F7EBF" w:rsidRDefault="003B7460" w:rsidP="002059F8">
      <w:pPr>
        <w:pStyle w:val="Testonotaapidipagina"/>
      </w:pPr>
      <w:r w:rsidRPr="007F7EBF">
        <w:rPr>
          <w:rStyle w:val="Rimandonotaapidipagina"/>
        </w:rPr>
        <w:footnoteRef/>
      </w:r>
      <w:r w:rsidRPr="007F7EBF">
        <w:t xml:space="preserve"> </w:t>
      </w:r>
      <w:r>
        <w:t xml:space="preserve">) Si tratta di una “tassa giudiziaria” (ispirata al principio del beneficio, come indicato ai parr.1.2, 2.2, 5.1), il cui </w:t>
      </w:r>
      <w:r w:rsidRPr="007F7EBF">
        <w:t>mancato pagamento non comporta peraltro decadenza dall'azione, ma espone alla riscossione coattiva.</w:t>
      </w:r>
    </w:p>
  </w:footnote>
  <w:footnote w:id="840">
    <w:p w14:paraId="4444E615" w14:textId="77777777" w:rsidR="003B7460" w:rsidRPr="007F7EBF" w:rsidRDefault="003B7460">
      <w:pPr>
        <w:pStyle w:val="Testonotaapidipagina"/>
      </w:pPr>
      <w:r w:rsidRPr="007F7EBF">
        <w:rPr>
          <w:rStyle w:val="Rimandonotaapidipagina"/>
        </w:rPr>
        <w:footnoteRef/>
      </w:r>
      <w:r w:rsidRPr="007F7EBF">
        <w:t xml:space="preserve"> ) O l’ente assimilato (par.5.2) contro cui in primo grado il ricorso è proposto (è la </w:t>
      </w:r>
      <w:proofErr w:type="spellStart"/>
      <w:r w:rsidRPr="007F7EBF">
        <w:t>c.d.“parte</w:t>
      </w:r>
      <w:proofErr w:type="spellEnd"/>
      <w:r w:rsidRPr="007F7EBF">
        <w:t xml:space="preserve"> resistente” che in appello può essere anche il contribuente). </w:t>
      </w:r>
    </w:p>
  </w:footnote>
  <w:footnote w:id="841">
    <w:p w14:paraId="223B9F27" w14:textId="6C486BAE" w:rsidR="003B7460" w:rsidRPr="007F7EBF" w:rsidRDefault="003B7460" w:rsidP="00583B1C">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La sostanziale disapplicazione dell'art.27 sull'</w:t>
      </w:r>
      <w:r w:rsidRPr="007F7EBF">
        <w:rPr>
          <w:bCs/>
          <w:sz w:val="20"/>
          <w:szCs w:val="20"/>
        </w:rPr>
        <w:t>esame preliminare del ricorso</w:t>
      </w:r>
      <w:r w:rsidRPr="007F7EBF">
        <w:rPr>
          <w:sz w:val="20"/>
          <w:szCs w:val="20"/>
        </w:rPr>
        <w:t>, per verificarne alcune caratteristiche formali, come la tempestività, la sottoscrizione, etc. conferma la sbrigatività del rito e l'inadeguatezza degli uffici giudiziari tributari rispetto alla mole dei ricorsi. Anziché gestire questi due passaggi, gli aspetti appena indicati sopra confluiscono nell'udienza generale di cui diremo nel testo.</w:t>
      </w:r>
    </w:p>
  </w:footnote>
  <w:footnote w:id="842">
    <w:p w14:paraId="645567BE" w14:textId="77777777" w:rsidR="003B7460" w:rsidRPr="007F7EBF" w:rsidRDefault="003B7460">
      <w:pPr>
        <w:pStyle w:val="Testonotaapidipagina"/>
      </w:pPr>
      <w:r w:rsidRPr="007F7EBF">
        <w:rPr>
          <w:rStyle w:val="Rimandonotaapidipagina"/>
        </w:rPr>
        <w:footnoteRef/>
      </w:r>
      <w:r w:rsidRPr="007F7EBF">
        <w:t xml:space="preserve"> ) Cioè dell’udienza, di cui diremo più avanti. </w:t>
      </w:r>
    </w:p>
  </w:footnote>
  <w:footnote w:id="843">
    <w:p w14:paraId="3B79D64A" w14:textId="482451C7"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Entrambi i depositi sono effettuati con una copia per la controparte, che potrà ritirarla presso la commissione. </w:t>
      </w:r>
    </w:p>
  </w:footnote>
  <w:footnote w:id="844">
    <w:p w14:paraId="4C1EAECC" w14:textId="77777777" w:rsidR="003B7460" w:rsidRPr="007F7EBF" w:rsidRDefault="003B7460" w:rsidP="00D265C8">
      <w:pPr>
        <w:pStyle w:val="Testonotaapidipagina"/>
      </w:pPr>
      <w:r w:rsidRPr="007F7EBF">
        <w:rPr>
          <w:rStyle w:val="Rimandonotaapidipagina"/>
        </w:rPr>
        <w:footnoteRef/>
      </w:r>
      <w:r w:rsidRPr="007F7EBF">
        <w:t xml:space="preserve"> ) Con una rappresentazione dei fatti non falsa, come rilevato al par.6.2, ma tendenziosa (in linguaggio forense si  dice “suggestiva”).</w:t>
      </w:r>
    </w:p>
  </w:footnote>
  <w:footnote w:id="845">
    <w:p w14:paraId="5024A0C0" w14:textId="77777777" w:rsidR="003B7460" w:rsidRPr="007F7EBF" w:rsidRDefault="003B7460" w:rsidP="00E37952">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Questa sommarietà </w:t>
      </w:r>
      <w:r w:rsidRPr="007F7EBF">
        <w:rPr>
          <w:bCs/>
          <w:sz w:val="20"/>
          <w:szCs w:val="20"/>
        </w:rPr>
        <w:t xml:space="preserve">avvantaggia oltremisura gli uffici tributari, </w:t>
      </w:r>
      <w:r w:rsidRPr="007F7EBF">
        <w:rPr>
          <w:sz w:val="20"/>
          <w:szCs w:val="20"/>
        </w:rPr>
        <w:t xml:space="preserve">che nelle indagini possono acquisire dichiarazioni di terzi, per poi utilizzarle nel processo, con una valenza pratica di prova testimoniale. </w:t>
      </w:r>
    </w:p>
  </w:footnote>
  <w:footnote w:id="846">
    <w:p w14:paraId="2837BB05" w14:textId="77777777" w:rsidR="003B7460" w:rsidRPr="007F7EBF" w:rsidRDefault="003B7460">
      <w:pPr>
        <w:pStyle w:val="Testonotaapidipagina"/>
      </w:pPr>
      <w:r w:rsidRPr="007F7EBF">
        <w:rPr>
          <w:rStyle w:val="Rimandonotaapidipagina"/>
        </w:rPr>
        <w:footnoteRef/>
      </w:r>
      <w:r w:rsidRPr="007F7EBF">
        <w:t xml:space="preserve"> ) Si pensi ad esempio alla c .d. "precisazione delle conclusioni" del rito civile.</w:t>
      </w:r>
    </w:p>
  </w:footnote>
  <w:footnote w:id="847">
    <w:p w14:paraId="7D0E7D6A" w14:textId="77777777" w:rsidR="003B7460" w:rsidRPr="007F7EBF" w:rsidRDefault="003B7460" w:rsidP="00B877E6">
      <w:pPr>
        <w:pStyle w:val="Testonotaapidipagina"/>
      </w:pPr>
      <w:r w:rsidRPr="007F7EBF">
        <w:rPr>
          <w:rStyle w:val="Rimandonotaapidipagina"/>
        </w:rPr>
        <w:footnoteRef/>
      </w:r>
      <w:r w:rsidRPr="007F7EBF">
        <w:t xml:space="preserve"> Ricordiamo dal par.6.7 l'impossibilità di utilizzare questi poteri per un'attività sostitutiva, da parte del giudice, di quella svolta dall'ufficio.</w:t>
      </w:r>
    </w:p>
  </w:footnote>
  <w:footnote w:id="848">
    <w:p w14:paraId="2FEE3A1A" w14:textId="77777777" w:rsidR="003B7460" w:rsidRPr="007F7EBF" w:rsidRDefault="003B7460">
      <w:pPr>
        <w:pStyle w:val="Testonotaapidipagina"/>
      </w:pPr>
      <w:r w:rsidRPr="007F7EBF">
        <w:rPr>
          <w:rStyle w:val="Rimandonotaapidipagina"/>
        </w:rPr>
        <w:footnoteRef/>
      </w:r>
      <w:r w:rsidRPr="007F7EBF">
        <w:t xml:space="preserve"> Contro i principi dell’oralità e del contraddittorio, addirittura costituzionalizzati in materia di "giusto processo". La dialettica tra i giudici e coi </w:t>
      </w:r>
      <w:r w:rsidRPr="007F7EBF">
        <w:rPr>
          <w:bCs/>
        </w:rPr>
        <w:t xml:space="preserve">giudici è quindi ben minore di quella coi funzionari e tra funzionari </w:t>
      </w:r>
      <w:r w:rsidRPr="007F7EBF">
        <w:t xml:space="preserve">di uno stesso ufficio, che si frequentano stabilmente; ciò ostacola ulteriormente il superamento delle </w:t>
      </w:r>
      <w:r w:rsidRPr="007F7EBF">
        <w:rPr>
          <w:bCs/>
        </w:rPr>
        <w:t>eterogeneità di partenza indicate al par.6.7.</w:t>
      </w:r>
    </w:p>
  </w:footnote>
  <w:footnote w:id="849">
    <w:p w14:paraId="5B00D92F" w14:textId="77777777" w:rsidR="003B7460" w:rsidRPr="007F7EBF" w:rsidRDefault="003B7460" w:rsidP="00A513C3">
      <w:pPr>
        <w:pStyle w:val="Testonotaapidipagina"/>
      </w:pPr>
      <w:r w:rsidRPr="007F7EBF">
        <w:rPr>
          <w:rStyle w:val="Rimandonotaapidipagina"/>
        </w:rPr>
        <w:footnoteRef/>
      </w:r>
      <w:r w:rsidRPr="007F7EBF">
        <w:t xml:space="preserve"> </w:t>
      </w:r>
      <w:r>
        <w:t>) E’ anche difficile prevedere come l</w:t>
      </w:r>
      <w:r w:rsidRPr="007F7EBF">
        <w:t xml:space="preserve">'atteggiamento del giudice </w:t>
      </w:r>
      <w:r>
        <w:t>sarà</w:t>
      </w:r>
      <w:r w:rsidRPr="007F7EBF">
        <w:t xml:space="preserve"> influenzato dal modo in cui si puntualizzano nel caso concreto le tendenze di opinione intrecciate nella società sull’evasione fiscale, i "grandi evasori" o l'"evasione di sopravvivenza";.</w:t>
      </w:r>
    </w:p>
  </w:footnote>
  <w:footnote w:id="850">
    <w:p w14:paraId="1BFE2062" w14:textId="44E84556" w:rsidR="003B7460" w:rsidRPr="007F7EBF" w:rsidRDefault="003B7460" w:rsidP="00FD2A57">
      <w:pPr>
        <w:pStyle w:val="Testonotaapidipagina"/>
      </w:pPr>
      <w:r w:rsidRPr="007F7EBF">
        <w:rPr>
          <w:rStyle w:val="Rimandonotaapidipagina"/>
        </w:rPr>
        <w:footnoteRef/>
      </w:r>
      <w:r>
        <w:t>)</w:t>
      </w:r>
      <w:r w:rsidRPr="007F7EBF">
        <w:t xml:space="preserve"> Basta cercare su </w:t>
      </w:r>
      <w:proofErr w:type="spellStart"/>
      <w:r w:rsidRPr="007F7EBF">
        <w:t>google</w:t>
      </w:r>
      <w:proofErr w:type="spellEnd"/>
      <w:r w:rsidRPr="007F7EBF">
        <w:t xml:space="preserve"> </w:t>
      </w:r>
      <w:r w:rsidRPr="007F7EBF">
        <w:rPr>
          <w:i/>
        </w:rPr>
        <w:t>corruzione e commissioni tributarie</w:t>
      </w:r>
      <w:r w:rsidRPr="007F7EBF">
        <w:t xml:space="preserve">, meno controllabili degli uffici tributari, </w:t>
      </w:r>
      <w:proofErr w:type="spellStart"/>
      <w:r w:rsidRPr="007F7EBF">
        <w:t>perchè</w:t>
      </w:r>
      <w:proofErr w:type="spellEnd"/>
      <w:r w:rsidRPr="007F7EBF">
        <w:t xml:space="preserve"> ogni processo fa storia a se', anche vista l’eterogeneità </w:t>
      </w:r>
      <w:r>
        <w:t xml:space="preserve">della composizione </w:t>
      </w:r>
      <w:r w:rsidRPr="007F7EBF">
        <w:t>della magistratura tributaria.</w:t>
      </w:r>
      <w:r>
        <w:t xml:space="preserve"> </w:t>
      </w:r>
      <w:r w:rsidRPr="007F7EBF">
        <w:t xml:space="preserve">Si potrebbe approfondire, in tesi di laurea o dottorato, </w:t>
      </w:r>
      <w:r>
        <w:t xml:space="preserve">in quale misura il </w:t>
      </w:r>
      <w:r w:rsidRPr="007F7EBF">
        <w:t xml:space="preserve">potere relazionale dei giudici </w:t>
      </w:r>
      <w:r>
        <w:t xml:space="preserve">dipenda dalla </w:t>
      </w:r>
      <w:r w:rsidRPr="007F7EBF">
        <w:t>scarsità della dialettica processuale, dove la possibilità di avvicinamento, di informazione, di semplice attenzione (segnalazioni per un più attento esame), sono merce di scambio importante, per relazioni ambientali, compiacimento di sentirsi importanti (</w:t>
      </w:r>
      <w:r w:rsidRPr="007F7EBF">
        <w:rPr>
          <w:i/>
        </w:rPr>
        <w:t>contare</w:t>
      </w:r>
      <w:r w:rsidRPr="007F7EBF">
        <w:t xml:space="preserve">), semplicemente esercitando bene la  propria funzione. </w:t>
      </w:r>
      <w:r w:rsidRPr="007F7EBF">
        <w:rPr>
          <w:bCs/>
        </w:rPr>
        <w:t xml:space="preserve">Paradossalmente è più facile per </w:t>
      </w:r>
      <w:r w:rsidRPr="007F7EBF">
        <w:t>l'amministrazione finanziaria, in quanto istituzione pubblica, interagire a testa alta col giudice, magari su pratiche "importanti"</w:t>
      </w:r>
      <w:r>
        <w:t xml:space="preserve">; in cambio gli uffici possono riservare una qualche “attenzione” a </w:t>
      </w:r>
      <w:r w:rsidRPr="007F7EBF">
        <w:t>pratiche “minori” e “</w:t>
      </w:r>
      <w:r w:rsidRPr="007F7EBF">
        <w:rPr>
          <w:bCs/>
        </w:rPr>
        <w:t>segnalate</w:t>
      </w:r>
      <w:r w:rsidRPr="007F7EBF">
        <w:t>”, direttamente o indirettamente dal giudice.</w:t>
      </w:r>
    </w:p>
  </w:footnote>
  <w:footnote w:id="851">
    <w:p w14:paraId="58EF4681" w14:textId="77777777" w:rsidR="003B7460" w:rsidRPr="007F7EBF" w:rsidRDefault="003B7460" w:rsidP="00AD68AE">
      <w:pPr>
        <w:pStyle w:val="Testonotaapidipagina"/>
      </w:pPr>
      <w:r w:rsidRPr="007F7EBF">
        <w:rPr>
          <w:rStyle w:val="Rimandonotaapidipagina"/>
        </w:rPr>
        <w:footnoteRef/>
      </w:r>
      <w:r w:rsidRPr="007F7EBF">
        <w:t xml:space="preserve"> Al precedente par. 6.2 abbiamo visto che , al di là del meccanicismo tra "prova e controprova", l'insufficiente  fondamento probatorio della determinazione del tributo diventa un vizio dell'atto amministrativo di accertamento. </w:t>
      </w:r>
    </w:p>
  </w:footnote>
  <w:footnote w:id="852">
    <w:p w14:paraId="6E70A491" w14:textId="77777777" w:rsidR="003B7460" w:rsidRPr="007F7EBF" w:rsidRDefault="003B7460">
      <w:pPr>
        <w:pStyle w:val="Testonotaapidipagina"/>
      </w:pPr>
      <w:r w:rsidRPr="007F7EBF">
        <w:rPr>
          <w:rStyle w:val="Rimandonotaapidipagina"/>
        </w:rPr>
        <w:footnoteRef/>
      </w:r>
      <w:r w:rsidRPr="007F7EBF">
        <w:t xml:space="preserve"> ) Si tratta delle “contestazioni </w:t>
      </w:r>
      <w:proofErr w:type="spellStart"/>
      <w:r w:rsidRPr="007F7EBF">
        <w:t>interpretative”,di</w:t>
      </w:r>
      <w:proofErr w:type="spellEnd"/>
      <w:r w:rsidRPr="007F7EBF">
        <w:t xml:space="preserve"> cui al par.3.10, 5.18 </w:t>
      </w:r>
      <w:proofErr w:type="spellStart"/>
      <w:r w:rsidRPr="007F7EBF">
        <w:t>ss.etc</w:t>
      </w:r>
      <w:proofErr w:type="spellEnd"/>
      <w:r w:rsidRPr="007F7EBF">
        <w:t>..</w:t>
      </w:r>
    </w:p>
  </w:footnote>
  <w:footnote w:id="853">
    <w:p w14:paraId="0D7A69AE" w14:textId="3E1D5F0E" w:rsidR="003B7460" w:rsidRDefault="003B7460">
      <w:pPr>
        <w:pStyle w:val="Testonotaapidipagina"/>
      </w:pPr>
      <w:r>
        <w:rPr>
          <w:rStyle w:val="Rimandonotaapidipagina"/>
        </w:rPr>
        <w:footnoteRef/>
      </w:r>
      <w:r>
        <w:t xml:space="preserve"> Riprenderemo al par.6.10, in termini critici e progettuali, questo retaggio dei compiti di contenzioso amministrativo svolti dalle commissioni tributarie. </w:t>
      </w:r>
    </w:p>
  </w:footnote>
  <w:footnote w:id="854">
    <w:p w14:paraId="0B1A4602" w14:textId="34146301" w:rsidR="003B7460" w:rsidRDefault="003B7460">
      <w:pPr>
        <w:pStyle w:val="Testonotaapidipagina"/>
      </w:pPr>
      <w:r>
        <w:rPr>
          <w:rStyle w:val="Rimandonotaapidipagina"/>
        </w:rPr>
        <w:footnoteRef/>
      </w:r>
      <w:r>
        <w:t xml:space="preserve"> </w:t>
      </w:r>
      <w:r>
        <w:rPr>
          <w:sz w:val="22"/>
          <w:szCs w:val="22"/>
        </w:rPr>
        <w:t>E’ un istituto applicato per questioni di fatto a valenza pluriennale, come le classificazioni catastali degli immobili, delle attività, dei beni strumentali ai fini dell’ammortamento.</w:t>
      </w:r>
    </w:p>
  </w:footnote>
  <w:footnote w:id="855">
    <w:p w14:paraId="6B78B059" w14:textId="77777777" w:rsidR="003B7460" w:rsidRPr="007F7EBF" w:rsidRDefault="003B7460">
      <w:pPr>
        <w:pStyle w:val="Testonotaapidipagina"/>
      </w:pPr>
      <w:r w:rsidRPr="007F7EBF">
        <w:rPr>
          <w:rStyle w:val="Rimandonotaapidipagina"/>
        </w:rPr>
        <w:footnoteRef/>
      </w:r>
      <w:r w:rsidRPr="007F7EBF">
        <w:t xml:space="preserve"> Art. 53, comma 2, che rinvia all’art. 20, quindi prima alla controparte e poi al giudice. </w:t>
      </w:r>
    </w:p>
  </w:footnote>
  <w:footnote w:id="856">
    <w:p w14:paraId="10124929" w14:textId="77777777" w:rsidR="003B7460" w:rsidRPr="007F7EBF" w:rsidRDefault="003B7460">
      <w:pPr>
        <w:pStyle w:val="Testonotaapidipagina"/>
      </w:pPr>
      <w:r w:rsidRPr="007F7EBF">
        <w:rPr>
          <w:rStyle w:val="Rimandonotaapidipagina"/>
        </w:rPr>
        <w:footnoteRef/>
      </w:r>
      <w:r w:rsidRPr="007F7EBF">
        <w:t xml:space="preserve"> Fissazione dell’udienza, memorie, discussione, notificazione della sentenza, </w:t>
      </w:r>
      <w:proofErr w:type="spellStart"/>
      <w:r w:rsidRPr="007F7EBF">
        <w:t>etc</w:t>
      </w:r>
      <w:proofErr w:type="spellEnd"/>
    </w:p>
  </w:footnote>
  <w:footnote w:id="857">
    <w:p w14:paraId="288D6311" w14:textId="77777777" w:rsidR="003B7460" w:rsidRPr="007F7EBF" w:rsidRDefault="003B7460">
      <w:pPr>
        <w:pStyle w:val="Testonotaapidipagina"/>
      </w:pPr>
      <w:r w:rsidRPr="007F7EBF">
        <w:rPr>
          <w:rStyle w:val="Rimandonotaapidipagina"/>
        </w:rPr>
        <w:footnoteRef/>
      </w:r>
      <w:r w:rsidRPr="007F7EBF">
        <w:t xml:space="preserve"> Come l'impugnazione in cassazione.</w:t>
      </w:r>
    </w:p>
  </w:footnote>
  <w:footnote w:id="858">
    <w:p w14:paraId="531E4D5B" w14:textId="77777777" w:rsidR="003B7460" w:rsidRPr="007F7EBF" w:rsidRDefault="003B7460">
      <w:pPr>
        <w:pStyle w:val="Testonotaapidipagina"/>
      </w:pPr>
      <w:r w:rsidRPr="007F7EBF">
        <w:rPr>
          <w:rStyle w:val="Rimandonotaapidipagina"/>
        </w:rPr>
        <w:footnoteRef/>
      </w:r>
      <w:r w:rsidRPr="007F7EBF">
        <w:t xml:space="preserve"> ) Violazione di legge, su questioni di diritto, cioè di interpretazione legislativa. </w:t>
      </w:r>
    </w:p>
  </w:footnote>
  <w:footnote w:id="859">
    <w:p w14:paraId="4C8A6F27" w14:textId="77777777" w:rsidR="003B7460" w:rsidRPr="007F7EBF" w:rsidRDefault="003B7460">
      <w:pPr>
        <w:pStyle w:val="Testonotaapidipagina"/>
      </w:pPr>
      <w:r w:rsidRPr="007F7EBF">
        <w:rPr>
          <w:rStyle w:val="Rimandonotaapidipagina"/>
        </w:rPr>
        <w:footnoteRef/>
      </w:r>
      <w:r w:rsidRPr="007F7EBF">
        <w:t xml:space="preserve"> ) Il c.d. “giudice a quo” in gergo avvocatesco. </w:t>
      </w:r>
    </w:p>
  </w:footnote>
  <w:footnote w:id="860">
    <w:p w14:paraId="75D715DD" w14:textId="77777777" w:rsidR="003B7460" w:rsidRPr="007F7EBF" w:rsidRDefault="003B7460" w:rsidP="00D0508D">
      <w:pPr>
        <w:pStyle w:val="Testonotaapidipagina"/>
      </w:pPr>
      <w:r w:rsidRPr="007F7EBF">
        <w:rPr>
          <w:rStyle w:val="Rimandonotaapidipagina"/>
        </w:rPr>
        <w:footnoteRef/>
      </w:r>
      <w:r w:rsidRPr="007F7EBF">
        <w:t xml:space="preserve"> Dove abbiamo rilevato l’impossibilità di spiegare le funzioni pubbliche,  come l'istruzione, la sanità o l'ambiente, in base alle sentenze del Consiglio di Stato. Quest'ultimo però è almeno il giudice delle amministrazioni, mentre la funzione tributaria ha come giudice di vertice quello della funzione di giustizia.  </w:t>
      </w:r>
    </w:p>
  </w:footnote>
  <w:footnote w:id="861">
    <w:p w14:paraId="576EB24D" w14:textId="551CA19B" w:rsidR="003B7460" w:rsidRPr="007F7EBF" w:rsidRDefault="003B7460">
      <w:pPr>
        <w:pStyle w:val="Testonotaapidipagina"/>
      </w:pPr>
      <w:r w:rsidRPr="007F7EBF">
        <w:rPr>
          <w:rStyle w:val="Rimandonotaapidipagina"/>
        </w:rPr>
        <w:footnoteRef/>
      </w:r>
      <w:r w:rsidRPr="007F7EBF">
        <w:t xml:space="preserve"> </w:t>
      </w:r>
      <w:r>
        <w:t xml:space="preserve">) </w:t>
      </w:r>
      <w:r w:rsidRPr="007F7EBF">
        <w:t>Le quali in questo modo potranno vedere come sono state vagliate le rispettive tesi</w:t>
      </w:r>
      <w:r>
        <w:t xml:space="preserve">. </w:t>
      </w:r>
    </w:p>
  </w:footnote>
  <w:footnote w:id="862">
    <w:p w14:paraId="4CBB06EB" w14:textId="0283F39B" w:rsidR="003B7460" w:rsidRPr="007F7EBF" w:rsidRDefault="003B7460">
      <w:pPr>
        <w:pStyle w:val="Testonotaapidipagina"/>
      </w:pPr>
      <w:r w:rsidRPr="007F7EBF">
        <w:rPr>
          <w:rStyle w:val="Rimandonotaapidipagina"/>
        </w:rPr>
        <w:footnoteRef/>
      </w:r>
      <w:r w:rsidRPr="007F7EBF">
        <w:t xml:space="preserve"> ) </w:t>
      </w:r>
      <w:r>
        <w:t xml:space="preserve">Confermata dalla frequente anticipazione del dispositivo rispetto al deposito della sentenza, con la motivazione. </w:t>
      </w:r>
    </w:p>
  </w:footnote>
  <w:footnote w:id="863">
    <w:p w14:paraId="0E198D9E" w14:textId="383CA746" w:rsidR="003B7460" w:rsidRDefault="003B7460">
      <w:pPr>
        <w:pStyle w:val="Testonotaapidipagina"/>
      </w:pPr>
      <w:r>
        <w:rPr>
          <w:rStyle w:val="Rimandonotaapidipagina"/>
        </w:rPr>
        <w:footnoteRef/>
      </w:r>
      <w:r>
        <w:t xml:space="preserve"> In genere di fatto insussistenti nel caso di specie, ma che i giudici di fatto spesso tengono presenti nei loro ragionamenti informali che portano al dispositivo, successivamente motivato in modo formale. </w:t>
      </w:r>
    </w:p>
  </w:footnote>
  <w:footnote w:id="864">
    <w:p w14:paraId="65A2F9E3" w14:textId="65E26E0A" w:rsidR="003B7460" w:rsidRPr="007F7EBF" w:rsidRDefault="003B7460" w:rsidP="00CF06C3">
      <w:pPr>
        <w:pStyle w:val="Testonotaapidipagina"/>
      </w:pPr>
      <w:r w:rsidRPr="007F7EBF">
        <w:rPr>
          <w:rStyle w:val="Rimandonotaapidipagina"/>
        </w:rPr>
        <w:footnoteRef/>
      </w:r>
      <w:r w:rsidRPr="007F7EBF">
        <w:t xml:space="preserve"> ) </w:t>
      </w:r>
      <w:r>
        <w:t xml:space="preserve">Un tempo i giudici decidevano “ex informata </w:t>
      </w:r>
      <w:proofErr w:type="spellStart"/>
      <w:r>
        <w:t>conscientia</w:t>
      </w:r>
      <w:proofErr w:type="spellEnd"/>
      <w:r>
        <w:t xml:space="preserve">”, cioè senza motivazione, introdotta nello stato di diritto come strumento di </w:t>
      </w:r>
      <w:r w:rsidRPr="007F7EBF">
        <w:t>controllo sociale</w:t>
      </w:r>
      <w:r>
        <w:t xml:space="preserve">. Essa è inevitabilmente vissuta dal giudice con fastidio, come sintomo di sfiducia sociale, faticosa razionalizzazione, causa di fraintendimenti e creazione di precedenti non voluti. Per questo in molti paesi la motivazione è redatta “su richiesta”, oppure consiste di frasi stereotipe, riempitivi vagamente in tema, che ricordano la scientificità esteriore accademica (par.4.3).  Solo per il diritto dei privati e la funzione giurisdizionale ha qualche senso parlare di “insegnamenti giurisprudenziali”, nonostante i significati reconditi cui ammiccano </w:t>
      </w:r>
      <w:r w:rsidRPr="007F7EBF">
        <w:t>gli annotatori</w:t>
      </w:r>
      <w:r>
        <w:t xml:space="preserve"> delle sentenze</w:t>
      </w:r>
      <w:r>
        <w:rPr>
          <w:sz w:val="22"/>
          <w:szCs w:val="22"/>
        </w:rPr>
        <w:t>.</w:t>
      </w:r>
      <w:r>
        <w:t xml:space="preserve"> Nelle funzioni non giurisdizionali hanno invece più portata didattica le prassi amministrative, rispetto alle quali alcuni uffici si sono magari discostati, per motivi accidentali, ottenendo anche fortuitamente ragione da sentenze tra loro concordi, ma difformi rispetto alla prassi amministrativa generale.  </w:t>
      </w:r>
    </w:p>
  </w:footnote>
  <w:footnote w:id="865">
    <w:p w14:paraId="47CBDF90" w14:textId="0A6997E5" w:rsidR="003B7460" w:rsidRPr="007F7EBF" w:rsidRDefault="003B7460">
      <w:pPr>
        <w:pStyle w:val="Testonotaapidipagina"/>
      </w:pPr>
      <w:r w:rsidRPr="007F7EBF">
        <w:rPr>
          <w:rStyle w:val="Rimandonotaapidipagina"/>
        </w:rPr>
        <w:footnoteRef/>
      </w:r>
      <w:r w:rsidRPr="007F7EBF">
        <w:t xml:space="preserve"> ) Un breve calcolo aritmetico consente di stimare la redazione di circa 300 sentenze l’anno a testa</w:t>
      </w:r>
      <w:r>
        <w:t xml:space="preserve">, tanto è vero che è stato posto in essere una specie di “soccorso interno”, a rotazione e part time, di magistrati addetti ad altre sezioni della Suprema Corte. </w:t>
      </w:r>
    </w:p>
  </w:footnote>
  <w:footnote w:id="866">
    <w:p w14:paraId="734C733F" w14:textId="2E9BEC39" w:rsidR="003B7460" w:rsidRPr="008C3014" w:rsidRDefault="003B7460">
      <w:pPr>
        <w:pStyle w:val="Testonotaapidipagina"/>
      </w:pPr>
      <w:r w:rsidRPr="007F7EBF">
        <w:rPr>
          <w:rStyle w:val="Rimandonotaapidipagina"/>
        </w:rPr>
        <w:footnoteRef/>
      </w:r>
      <w:r w:rsidRPr="007F7EBF">
        <w:t xml:space="preserve"> </w:t>
      </w:r>
      <w:r>
        <w:t xml:space="preserve">) La cassazione, organo di vertice della funzione giurisdizionale, è così ingolfata di cause tributarie da usare ampiamente un comprensibile “in </w:t>
      </w:r>
      <w:proofErr w:type="spellStart"/>
      <w:r>
        <w:t>dubio</w:t>
      </w:r>
      <w:proofErr w:type="spellEnd"/>
      <w:r>
        <w:t xml:space="preserve"> pro fisco”, come parte più affidabile; questo non giova all’efficacia-efficienza della funzione tributaria, che non dipende dalla percentuale di vittorie processuali dell’Agenzia delle Entrate, ma dal suo controllo del territorio; la </w:t>
      </w:r>
      <w:r w:rsidRPr="007F7EBF">
        <w:t>giurisdizione</w:t>
      </w:r>
      <w:r>
        <w:t xml:space="preserve"> tributaria ha infatti un ruolo “di chiusura” per i pochi casi in cui contribuenti e uffici non convergono su una determinazione condivisa dell’imposta.   </w:t>
      </w:r>
    </w:p>
  </w:footnote>
  <w:footnote w:id="867">
    <w:p w14:paraId="56EE3338" w14:textId="4743DBD6" w:rsidR="003B7460" w:rsidRPr="007F7EBF" w:rsidRDefault="003B7460">
      <w:pPr>
        <w:pStyle w:val="Testonotaapidipagina"/>
      </w:pPr>
      <w:r w:rsidRPr="007F7EBF">
        <w:rPr>
          <w:rStyle w:val="Rimandonotaapidipagina"/>
        </w:rPr>
        <w:footnoteRef/>
      </w:r>
      <w:r w:rsidRPr="007F7EBF">
        <w:t xml:space="preserve"> ) </w:t>
      </w:r>
      <w:r>
        <w:t>E’ ingenuo aspettarsi dal vertice della funzione giurisdizionale sul diritto dei privati spiegazioni sociali su una funzione non giurisdizionale come quella tributaria; si ricordi sempre che le autorità, compresi i giudici, hanno obiettivi di governo, non di spiegazione, nel senso che le sentenze, e la legislazione “non insegnano”. Anche per questo, nonostante l’altissima percentuale di vittorie processuali del fisco, l’evasione continua a dilagare, in quanto dalla giurisprudenza non arrivano al fisco quei “no che aiutano a crescere”, come vedremo al prossimo paragrafo.</w:t>
      </w:r>
    </w:p>
  </w:footnote>
  <w:footnote w:id="868">
    <w:p w14:paraId="086BE366" w14:textId="370ECC74" w:rsidR="003B7460" w:rsidRDefault="003B7460">
      <w:pPr>
        <w:pStyle w:val="Testonotaapidipagina"/>
      </w:pPr>
      <w:r>
        <w:rPr>
          <w:rStyle w:val="Rimandonotaapidipagina"/>
        </w:rPr>
        <w:footnoteRef/>
      </w:r>
      <w:r>
        <w:t xml:space="preserve"> ) Anche le sentenze che accolgono una richiesta di rimborso (</w:t>
      </w:r>
      <w:proofErr w:type="spellStart"/>
      <w:r w:rsidRPr="006D1DDF">
        <w:rPr>
          <w:i/>
        </w:rPr>
        <w:t>supra</w:t>
      </w:r>
      <w:proofErr w:type="spellEnd"/>
      <w:r>
        <w:t xml:space="preserve">) sono provvisoriamente eseguibili (dal 2015), ma con alcune cautele per garantire l’erario in caso di ribaltamento del giudizio. </w:t>
      </w:r>
    </w:p>
  </w:footnote>
  <w:footnote w:id="869">
    <w:p w14:paraId="2BA7936F" w14:textId="77777777" w:rsidR="003B7460" w:rsidRPr="007F7EBF" w:rsidRDefault="003B7460" w:rsidP="0045106A">
      <w:pPr>
        <w:pStyle w:val="Testonotaapidipagina"/>
      </w:pPr>
      <w:r w:rsidRPr="007F7EBF">
        <w:rPr>
          <w:rStyle w:val="Rimandonotaapidipagina"/>
        </w:rPr>
        <w:footnoteRef/>
      </w:r>
      <w:r w:rsidRPr="007F7EBF">
        <w:t xml:space="preserve"> ) Nonostante i solenni propositi di ispirarsi al processo civile, e la  redazione della riforma del 1992 da parte di una paludata commissione a matrice </w:t>
      </w:r>
      <w:proofErr w:type="spellStart"/>
      <w:r w:rsidRPr="007F7EBF">
        <w:t>processual</w:t>
      </w:r>
      <w:proofErr w:type="spellEnd"/>
      <w:r w:rsidRPr="007F7EBF">
        <w:t xml:space="preserve">-avvocatesca, le tematiche indicate nel testo furono completamente trascurate, costringendo poi a rincorrere i problemi specifici con confusi e frammentari interventi normativi “ex post”. </w:t>
      </w:r>
    </w:p>
  </w:footnote>
  <w:footnote w:id="870">
    <w:p w14:paraId="56CFD646" w14:textId="77777777" w:rsidR="003B7460" w:rsidRPr="007F7EBF" w:rsidRDefault="003B7460" w:rsidP="0045106A">
      <w:pPr>
        <w:pStyle w:val="Testonotaapidipagina"/>
      </w:pPr>
      <w:r w:rsidRPr="007F7EBF">
        <w:rPr>
          <w:rStyle w:val="Rimandonotaapidipagina"/>
        </w:rPr>
        <w:footnoteRef/>
      </w:r>
      <w:r w:rsidRPr="007F7EBF">
        <w:t xml:space="preserve"> Ad esempio in tema di società controllate in paradisi fiscali, di società non operative (par.7.5) o di «ruling internazionale ».</w:t>
      </w:r>
    </w:p>
  </w:footnote>
  <w:footnote w:id="871">
    <w:p w14:paraId="7E5C2A2C" w14:textId="4037FE81" w:rsidR="003B7460" w:rsidRPr="007F7EBF" w:rsidRDefault="003B7460" w:rsidP="0045106A">
      <w:pPr>
        <w:pStyle w:val="Testonotaapidipagina"/>
      </w:pPr>
      <w:r w:rsidRPr="007F7EBF">
        <w:rPr>
          <w:rStyle w:val="Rimandonotaapidipagina"/>
        </w:rPr>
        <w:footnoteRef/>
      </w:r>
      <w:r w:rsidRPr="007F7EBF">
        <w:t xml:space="preserve"> </w:t>
      </w:r>
      <w:r>
        <w:t xml:space="preserve">) Estensioni degli atti impugnabili, con uno strutturale problema di coordinamento col giudizio “di merito”, si verificarono per provvedimenti cautelari, come </w:t>
      </w:r>
      <w:r w:rsidRPr="007F7EBF">
        <w:t xml:space="preserve">il fermo degli autoveicoli (c.d. “ganasce fiscali”) e le ipoteche sugli immobili, da parte del concessionario per la riscossione. </w:t>
      </w:r>
      <w:r>
        <w:t xml:space="preserve">Analoghi difetti di coordinamento sussistono per il </w:t>
      </w:r>
      <w:r w:rsidRPr="007F7EBF">
        <w:t>reclamo contro i provvedimenti di sequestro cautelare contenuti nel decreto legislativo sulle sanzioni.</w:t>
      </w:r>
    </w:p>
  </w:footnote>
  <w:footnote w:id="872">
    <w:p w14:paraId="30CAC5A8" w14:textId="115E0EFC" w:rsidR="003B7460" w:rsidRPr="007F7EBF" w:rsidRDefault="003B7460" w:rsidP="0045106A">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Per </w:t>
      </w:r>
      <w:r>
        <w:rPr>
          <w:sz w:val="20"/>
          <w:szCs w:val="20"/>
        </w:rPr>
        <w:t>generalizzare</w:t>
      </w:r>
      <w:r w:rsidRPr="007F7EBF">
        <w:rPr>
          <w:sz w:val="20"/>
          <w:szCs w:val="20"/>
        </w:rPr>
        <w:t xml:space="preserve"> la giurisdizione tributaria alle ipotesi </w:t>
      </w:r>
      <w:r>
        <w:rPr>
          <w:sz w:val="20"/>
          <w:szCs w:val="20"/>
        </w:rPr>
        <w:t xml:space="preserve">“cautelari”, </w:t>
      </w:r>
      <w:r w:rsidRPr="007F7EBF">
        <w:rPr>
          <w:sz w:val="20"/>
          <w:szCs w:val="20"/>
        </w:rPr>
        <w:t>indicate nel testo</w:t>
      </w:r>
      <w:r>
        <w:rPr>
          <w:sz w:val="20"/>
          <w:szCs w:val="20"/>
        </w:rPr>
        <w:t>,</w:t>
      </w:r>
      <w:r w:rsidRPr="007F7EBF">
        <w:rPr>
          <w:sz w:val="20"/>
          <w:szCs w:val="20"/>
        </w:rPr>
        <w:t xml:space="preserve"> si potrebbe interpretare restrittivamente l’elenco degli atti impugnabili, di cui all’art. 19, riferendone la tassatività solo agli atti di determinazione del tributo; questo dovrebbe attrarre, “per materia”, alle commissioni tributarie tutte le liti del settore, persino quelle sull’accesso agli atti, di cui avevamo detto al paragrafo 6.1. Si tratta però di una operazione culturale troppo complessa per un ambiente timido, bisognoso di avalli legislativi anche per questioni concettualmente banali. </w:t>
      </w:r>
    </w:p>
  </w:footnote>
  <w:footnote w:id="873">
    <w:p w14:paraId="5DF745FC" w14:textId="53E8F8F5" w:rsidR="003B7460" w:rsidRPr="007F7EBF" w:rsidRDefault="003B7460" w:rsidP="00604262">
      <w:pPr>
        <w:pStyle w:val="Testonotaapidipagina"/>
      </w:pPr>
      <w:r w:rsidRPr="007F7EBF">
        <w:rPr>
          <w:rStyle w:val="Rimandonotaapidipagina"/>
        </w:rPr>
        <w:footnoteRef/>
      </w:r>
      <w:r w:rsidRPr="007F7EBF">
        <w:t xml:space="preserve"> </w:t>
      </w:r>
      <w:r>
        <w:t>) Dove la</w:t>
      </w:r>
      <w:r>
        <w:rPr>
          <w:sz w:val="22"/>
          <w:szCs w:val="22"/>
        </w:rPr>
        <w:t xml:space="preserve"> maggiore serenità della funzione tributaria </w:t>
      </w:r>
      <w:r w:rsidRPr="007F7EBF">
        <w:t>non deriva da un buon sistema processuale, ma da una buona funzione amministrativa</w:t>
      </w:r>
      <w:r>
        <w:t>, dove il processo s’inserisce raramente e proprio per questo è di buona qualità, in quanto sufficientemente ponderato.</w:t>
      </w:r>
      <w:r w:rsidRPr="005B0B2E">
        <w:t xml:space="preserve"> </w:t>
      </w:r>
      <w:r>
        <w:t xml:space="preserve">Questa prospettiva, configurabile anche per il </w:t>
      </w:r>
      <w:r>
        <w:rPr>
          <w:sz w:val="22"/>
          <w:szCs w:val="22"/>
        </w:rPr>
        <w:t>diritto dei privati, che ha la funzione sociale di limitare le controversie (non di crearle a beneficio degli avvocati) vale a maggior ragione per la tutela giurisdizionale contro funzioni pubbliche.</w:t>
      </w:r>
    </w:p>
  </w:footnote>
  <w:footnote w:id="874">
    <w:p w14:paraId="7F23EE56" w14:textId="5B3C39B3" w:rsidR="003B7460" w:rsidRPr="007F7EBF" w:rsidRDefault="003B7460">
      <w:pPr>
        <w:pStyle w:val="Testonotaapidipagina"/>
      </w:pPr>
      <w:r w:rsidRPr="007F7EBF">
        <w:rPr>
          <w:rStyle w:val="Rimandonotaapidipagina"/>
        </w:rPr>
        <w:footnoteRef/>
      </w:r>
      <w:r w:rsidRPr="007F7EBF">
        <w:t xml:space="preserve"> ) </w:t>
      </w:r>
      <w:r>
        <w:t xml:space="preserve">In buona parte sono le controversie innescate dall’attività “liquidatoria” di cui al par.5.5, come </w:t>
      </w:r>
      <w:r w:rsidRPr="007F7EBF">
        <w:t xml:space="preserve">le esclusioni della deducibilità degli oneri e spese personali, le detrazioni per l’edilizia, </w:t>
      </w:r>
      <w:r>
        <w:t xml:space="preserve">la </w:t>
      </w:r>
      <w:r w:rsidRPr="007F7EBF">
        <w:t xml:space="preserve">tempestività dei versamenti in acconto e a saldo. </w:t>
      </w:r>
      <w:r>
        <w:t xml:space="preserve">Ci sono però anche contestazioni di merito “seriali”, come redditi non dichiarati da contratti registrati, o da  redditi soggetti a ritenute di acconto e non dichiarati. Si tratta di quella grande attività di “riconciliazione documentale” (esportazione della ragioneria) non particolarmente proficua in termini di stimolo all’adempimento (par.5.7)..  </w:t>
      </w:r>
    </w:p>
  </w:footnote>
  <w:footnote w:id="875">
    <w:p w14:paraId="6432A56E" w14:textId="1793CD92" w:rsidR="003B7460" w:rsidRPr="007F7EBF" w:rsidRDefault="003B7460" w:rsidP="003E2D9F">
      <w:pPr>
        <w:pStyle w:val="Testonotaapidipagina"/>
      </w:pPr>
      <w:r w:rsidRPr="007F7EBF">
        <w:rPr>
          <w:rStyle w:val="Rimandonotaapidipagina"/>
        </w:rPr>
        <w:footnoteRef/>
      </w:r>
      <w:r>
        <w:t>) Specie sulle già indicate controversie specialistiche, che coinvolgono  le aziende pluripersonali, da cui dipende l’economia e lo stesso gettito fiscale</w:t>
      </w:r>
      <w:r w:rsidRPr="007F7EBF">
        <w:t xml:space="preserve">.  </w:t>
      </w:r>
    </w:p>
  </w:footnote>
  <w:footnote w:id="876">
    <w:p w14:paraId="7C6D1C77" w14:textId="3F0AD695" w:rsidR="003B7460" w:rsidRPr="007F7EBF" w:rsidRDefault="003B7460" w:rsidP="00277027">
      <w:pPr>
        <w:pStyle w:val="Testonotaapidipagina"/>
      </w:pPr>
      <w:r w:rsidRPr="007F7EBF">
        <w:rPr>
          <w:rStyle w:val="Rimandonotaapidipagina"/>
        </w:rPr>
        <w:footnoteRef/>
      </w:r>
      <w:r w:rsidRPr="007F7EBF">
        <w:t xml:space="preserve"> ) </w:t>
      </w:r>
      <w:r>
        <w:t xml:space="preserve">Cfr. par.1.3 sulla concezione del diritto in chiave prevalentemente forense, dove </w:t>
      </w:r>
      <w:r w:rsidRPr="007F7EBF">
        <w:t xml:space="preserve">consente gli avvocati </w:t>
      </w:r>
      <w:r>
        <w:t xml:space="preserve">possono complicare le questioni rimanendo su un piano di parità, dandosi </w:t>
      </w:r>
      <w:r w:rsidRPr="007F7EBF">
        <w:t xml:space="preserve"> entrambi tono nei confronti del cliente</w:t>
      </w:r>
      <w:r>
        <w:t xml:space="preserve">, come visto per i professionisti al </w:t>
      </w:r>
      <w:r w:rsidRPr="007F7EBF">
        <w:t>par.4.4</w:t>
      </w:r>
      <w:r>
        <w:t xml:space="preserve"> </w:t>
      </w:r>
      <w:r w:rsidRPr="007F7EBF">
        <w:t>(</w:t>
      </w:r>
      <w:r>
        <w:t xml:space="preserve">le </w:t>
      </w:r>
      <w:r w:rsidRPr="007F7EBF">
        <w:t>parole semplici non fa</w:t>
      </w:r>
      <w:r>
        <w:t>nno</w:t>
      </w:r>
      <w:r w:rsidRPr="007F7EBF">
        <w:t xml:space="preserve"> parte della tradizione del diritto come “</w:t>
      </w:r>
      <w:r>
        <w:t>sapere</w:t>
      </w:r>
      <w:r w:rsidRPr="007F7EBF">
        <w:t xml:space="preserve"> per tecnici”</w:t>
      </w:r>
      <w:r>
        <w:t xml:space="preserve"> </w:t>
      </w:r>
      <w:r w:rsidRPr="007F7EBF">
        <w:t>indicat</w:t>
      </w:r>
      <w:r>
        <w:t>a</w:t>
      </w:r>
      <w:r w:rsidRPr="007F7EBF">
        <w:t xml:space="preserve"> al par.4.3</w:t>
      </w:r>
      <w:r>
        <w:t xml:space="preserve">); in </w:t>
      </w:r>
      <w:r w:rsidRPr="007F7EBF">
        <w:t xml:space="preserve">un </w:t>
      </w:r>
      <w:r>
        <w:t>contesto</w:t>
      </w:r>
      <w:r w:rsidRPr="007F7EBF">
        <w:t xml:space="preserve"> amministrativo</w:t>
      </w:r>
      <w:r>
        <w:t xml:space="preserve">, la complicazione e la confusione danneggiano invece solo la parte privata, specie se ha ragione; </w:t>
      </w:r>
      <w:r w:rsidRPr="007F7EBF">
        <w:t xml:space="preserve">l’aforisma “se non puoi convincerli, confondili”, </w:t>
      </w:r>
      <w:r>
        <w:t>conviene solo a chi non ha nulla da perdere, perché si vedrebbe che ha torto, in una situazione chiara</w:t>
      </w:r>
      <w:r w:rsidRPr="007F7EBF">
        <w:t>.</w:t>
      </w:r>
    </w:p>
  </w:footnote>
  <w:footnote w:id="877">
    <w:p w14:paraId="2C45D113" w14:textId="5468CA37" w:rsidR="003B7460" w:rsidRPr="007F7EBF" w:rsidRDefault="003B7460">
      <w:pPr>
        <w:pStyle w:val="Testonotaapidipagina"/>
      </w:pPr>
      <w:r w:rsidRPr="007F7EBF">
        <w:rPr>
          <w:rStyle w:val="Rimandonotaapidipagina"/>
        </w:rPr>
        <w:footnoteRef/>
      </w:r>
      <w:r w:rsidRPr="007F7EBF">
        <w:t xml:space="preserve"> ) Rende </w:t>
      </w:r>
      <w:r>
        <w:t xml:space="preserve">quindi </w:t>
      </w:r>
      <w:r w:rsidRPr="007F7EBF">
        <w:t>l’idea l’aforisma secondo cui “</w:t>
      </w:r>
      <w:r w:rsidRPr="007F7EBF">
        <w:rPr>
          <w:i/>
        </w:rPr>
        <w:t>giudice frastornato ricorso rigettato</w:t>
      </w:r>
      <w:r w:rsidRPr="007F7EBF">
        <w:t>”.</w:t>
      </w:r>
      <w:r>
        <w:t xml:space="preserve"> E’ un insieme che nel </w:t>
      </w:r>
      <w:r w:rsidRPr="007F7EBF">
        <w:t>linguaggi</w:t>
      </w:r>
      <w:r>
        <w:t>o</w:t>
      </w:r>
      <w:r w:rsidRPr="007F7EBF">
        <w:t xml:space="preserve"> forens</w:t>
      </w:r>
      <w:r>
        <w:t xml:space="preserve">e </w:t>
      </w:r>
      <w:r w:rsidRPr="007F7EBF">
        <w:t xml:space="preserve">si </w:t>
      </w:r>
      <w:r>
        <w:t>definisce</w:t>
      </w:r>
      <w:r w:rsidRPr="007F7EBF">
        <w:t xml:space="preserve"> anche “suggestiv</w:t>
      </w:r>
      <w:r>
        <w:t>o”</w:t>
      </w:r>
      <w:r w:rsidRPr="007F7EBF">
        <w:t>, non per</w:t>
      </w:r>
      <w:r>
        <w:t xml:space="preserve"> il suo fascino letterario (par.4.7), ma </w:t>
      </w:r>
      <w:r w:rsidRPr="007F7EBF">
        <w:t>per</w:t>
      </w:r>
      <w:r>
        <w:t xml:space="preserve"> gli</w:t>
      </w:r>
      <w:r w:rsidRPr="007F7EBF">
        <w:t xml:space="preserve"> artifici retorici</w:t>
      </w:r>
      <w:r>
        <w:t xml:space="preserve"> con cui “</w:t>
      </w:r>
      <w:r w:rsidRPr="007F7EBF">
        <w:t>suggerisc</w:t>
      </w:r>
      <w:r>
        <w:t>e”</w:t>
      </w:r>
      <w:r w:rsidRPr="007F7EBF">
        <w:t xml:space="preserve"> rispost</w:t>
      </w:r>
      <w:r>
        <w:t>e</w:t>
      </w:r>
      <w:r w:rsidRPr="007F7EBF">
        <w:t xml:space="preserve"> </w:t>
      </w:r>
      <w:r>
        <w:t xml:space="preserve">o suscita dubbi, </w:t>
      </w:r>
      <w:r w:rsidRPr="007F7EBF">
        <w:t>in modo “insinuante”</w:t>
      </w:r>
      <w:r>
        <w:t xml:space="preserve">. </w:t>
      </w:r>
      <w:r w:rsidRPr="007F7EBF">
        <w:t>Gli uffici tributari, nell’enfasi difensiva, spesso superano addirittura i doveri di imparzialità delle istituzioni pubbliche, ma è un altro inconveniente dell'impostazione processualistico-avvocatesca della materia.</w:t>
      </w:r>
      <w:r w:rsidRPr="00FD2C20">
        <w:t xml:space="preserve"> </w:t>
      </w:r>
      <w:r w:rsidRPr="007F7EBF">
        <w:t xml:space="preserve">Lo conferma la relativa frequenza, su temi complessi, di udienze imbarazzanti, dove </w:t>
      </w:r>
      <w:r>
        <w:t xml:space="preserve">bisogna </w:t>
      </w:r>
      <w:r w:rsidRPr="007F7EBF">
        <w:t xml:space="preserve">spiegare a giudici disorientati perché </w:t>
      </w:r>
      <w:r>
        <w:t>gli uffici</w:t>
      </w:r>
      <w:r w:rsidRPr="007F7EBF">
        <w:t xml:space="preserve"> alzano cortine fumogene</w:t>
      </w:r>
      <w:r>
        <w:t xml:space="preserve"> </w:t>
      </w:r>
      <w:r w:rsidRPr="007F7EBF">
        <w:t>su pratiche</w:t>
      </w:r>
      <w:r>
        <w:t xml:space="preserve"> in cui ormai nessuno si raccapezza, che vivono di vita propria, </w:t>
      </w:r>
      <w:r w:rsidRPr="007F7EBF">
        <w:t>per forza d'inerzia</w:t>
      </w:r>
      <w:r>
        <w:t>, in una sorta di “autopoiesi” dei fenomeni sociali riferita alla funzione tributaria</w:t>
      </w:r>
      <w:r w:rsidRPr="007F7EBF">
        <w:t>. Nel</w:t>
      </w:r>
      <w:r>
        <w:t>la funzione giurisdizionale, applicata al diritto dei privati, questo d</w:t>
      </w:r>
      <w:r w:rsidRPr="007F7EBF">
        <w:t xml:space="preserve">isorientamento </w:t>
      </w:r>
      <w:r>
        <w:t>si distribuisce</w:t>
      </w:r>
      <w:r w:rsidRPr="007F7EBF">
        <w:t xml:space="preserve"> in modo equilibrato</w:t>
      </w:r>
      <w:r>
        <w:t>, mentre i</w:t>
      </w:r>
      <w:r>
        <w:rPr>
          <w:sz w:val="22"/>
          <w:szCs w:val="22"/>
        </w:rPr>
        <w:t>n materia tributaria avvantaggia i pubblici uffici</w:t>
      </w:r>
      <w:r>
        <w:t xml:space="preserve">; </w:t>
      </w:r>
      <w:r>
        <w:rPr>
          <w:sz w:val="22"/>
          <w:szCs w:val="22"/>
        </w:rPr>
        <w:t xml:space="preserve">per essi, comunque vada, è comodo </w:t>
      </w:r>
      <w:r w:rsidRPr="007F7EBF">
        <w:t>fa</w:t>
      </w:r>
      <w:r>
        <w:t xml:space="preserve">r </w:t>
      </w:r>
      <w:r w:rsidRPr="007F7EBF">
        <w:t>“decidere il giudice”</w:t>
      </w:r>
      <w:r>
        <w:t xml:space="preserve">, unico soggetto che può vantare un rapporto diretto con la legge, dovendo “dire”, senza bisogno di “fare” (par.1.3). E’ apprezzabile che, nonostante questa possibilità di </w:t>
      </w:r>
      <w:r>
        <w:rPr>
          <w:sz w:val="22"/>
          <w:szCs w:val="22"/>
        </w:rPr>
        <w:t xml:space="preserve">trasformarsi da “procuratori delle imposte” a procuratori di liti, </w:t>
      </w:r>
      <w:r>
        <w:t xml:space="preserve">l’Agenzia delle Entrate si batta per </w:t>
      </w:r>
      <w:proofErr w:type="spellStart"/>
      <w:r>
        <w:t>deprocessualizzare</w:t>
      </w:r>
      <w:proofErr w:type="spellEnd"/>
      <w:r>
        <w:t xml:space="preserve"> la propria funzione, anche contro una dottrina che parlava di “indisponibilità del credito tributario”. Quest’intuizione emerge anche dietro la denominazione di “pace fiscale “, che ha sugellato vari provvedimenti legislativi dei due precedenti governi, di opposto colore (entrambi hanno giustamente intuito le aspirazioni </w:t>
      </w:r>
      <w:proofErr w:type="spellStart"/>
      <w:r>
        <w:t>alla“deprocessualizzazione</w:t>
      </w:r>
      <w:proofErr w:type="spellEnd"/>
      <w:r>
        <w:t xml:space="preserve"> del settore” indicate sopra).</w:t>
      </w:r>
    </w:p>
  </w:footnote>
  <w:footnote w:id="878">
    <w:p w14:paraId="7CA17028" w14:textId="1AF64D96" w:rsidR="003B7460" w:rsidRPr="007F7EBF" w:rsidRDefault="003B7460">
      <w:pPr>
        <w:pStyle w:val="Testonotaapidipagina"/>
      </w:pPr>
      <w:r w:rsidRPr="007F7EBF">
        <w:rPr>
          <w:rStyle w:val="Rimandonotaapidipagina"/>
        </w:rPr>
        <w:footnoteRef/>
      </w:r>
      <w:r w:rsidRPr="007F7EBF">
        <w:t xml:space="preserve"> ) </w:t>
      </w:r>
      <w:r>
        <w:t>Corrispondente alla t</w:t>
      </w:r>
      <w:r w:rsidRPr="007F7EBF">
        <w:t>endenza generale</w:t>
      </w:r>
      <w:r>
        <w:t xml:space="preserve"> (par.1.3)</w:t>
      </w:r>
      <w:r w:rsidRPr="007F7EBF">
        <w:t xml:space="preserve"> a </w:t>
      </w:r>
      <w:r>
        <w:t xml:space="preserve">ridurre il diritto all’insieme di quello dei privati e della funzione </w:t>
      </w:r>
      <w:r w:rsidRPr="007F7EBF">
        <w:t>giurisdizionale</w:t>
      </w:r>
      <w:r>
        <w:t>, che ne tutela l’applicazione</w:t>
      </w:r>
      <w:r w:rsidRPr="007F7EBF">
        <w:t xml:space="preserve">.  </w:t>
      </w:r>
    </w:p>
  </w:footnote>
  <w:footnote w:id="879">
    <w:p w14:paraId="7B1801D4" w14:textId="77777777" w:rsidR="003B7460" w:rsidRPr="007F7EBF" w:rsidRDefault="003B7460" w:rsidP="00FD2C20">
      <w:pPr>
        <w:pStyle w:val="Testonotaapidipagina"/>
      </w:pPr>
      <w:r w:rsidRPr="007F7EBF">
        <w:rPr>
          <w:rStyle w:val="Rimandonotaapidipagina"/>
        </w:rPr>
        <w:footnoteRef/>
      </w:r>
      <w:r w:rsidRPr="007F7EBF">
        <w:t xml:space="preserve"> ) La funzione tributaria in questo modo si paralizza, secondo la celebre espressione “lei ha ragione, ma faccia ricorso”, accompagnata da “non mi posso prendere la responsabilità” e da riferimenti giurisprudenziali non pertinenti. Alla comodità istituzionale di "farsi durare i controlli" (paragrafo 5.7), si aggiunge quella di “coltivare i contenziosi". </w:t>
      </w:r>
    </w:p>
  </w:footnote>
  <w:footnote w:id="880">
    <w:p w14:paraId="75AFFCEF" w14:textId="47CFB412" w:rsidR="003B7460" w:rsidRDefault="003B7460">
      <w:pPr>
        <w:pStyle w:val="Testonotaapidipagina"/>
      </w:pPr>
      <w:r>
        <w:rPr>
          <w:rStyle w:val="Rimandonotaapidipagina"/>
        </w:rPr>
        <w:footnoteRef/>
      </w:r>
      <w:r>
        <w:t xml:space="preserve"> In quanto sotto il controllo sociale </w:t>
      </w:r>
      <w:r>
        <w:rPr>
          <w:bCs/>
          <w:sz w:val="22"/>
          <w:szCs w:val="22"/>
        </w:rPr>
        <w:t xml:space="preserve">di cui al par.5.3, che in </w:t>
      </w:r>
      <w:r>
        <w:rPr>
          <w:sz w:val="22"/>
          <w:szCs w:val="22"/>
        </w:rPr>
        <w:t>una società aperta ha sempre un certo effetto.</w:t>
      </w:r>
    </w:p>
  </w:footnote>
  <w:footnote w:id="881">
    <w:p w14:paraId="0C1AFDE1" w14:textId="21DFEE75" w:rsidR="003B7460" w:rsidRPr="007F7EBF" w:rsidRDefault="003B7460" w:rsidP="00085EB8">
      <w:pPr>
        <w:pStyle w:val="Testonotaapidipagina"/>
      </w:pPr>
      <w:r w:rsidRPr="007F7EBF">
        <w:rPr>
          <w:rStyle w:val="Rimandonotaapidipagina"/>
        </w:rPr>
        <w:footnoteRef/>
      </w:r>
      <w:r w:rsidRPr="007F7EBF">
        <w:t xml:space="preserve"> </w:t>
      </w:r>
      <w:r>
        <w:t xml:space="preserve">) Rispettando così la norma costituzionale sul </w:t>
      </w:r>
      <w:r w:rsidRPr="007F7EBF">
        <w:t>diritto di agire in giudizio, per diritti e interessi legittimi</w:t>
      </w:r>
      <w:r>
        <w:t>, anche in materia tributaria</w:t>
      </w:r>
      <w:r w:rsidRPr="007F7EBF">
        <w:t xml:space="preserve">. </w:t>
      </w:r>
    </w:p>
  </w:footnote>
  <w:footnote w:id="882">
    <w:p w14:paraId="53DE7911" w14:textId="15FB37F6" w:rsidR="003B7460" w:rsidRPr="007F7EBF" w:rsidRDefault="003B7460" w:rsidP="008F3313">
      <w:pPr>
        <w:pStyle w:val="Testonotaapidipagina"/>
      </w:pPr>
      <w:r w:rsidRPr="007F7EBF">
        <w:rPr>
          <w:rStyle w:val="Rimandonotaapidipagina"/>
        </w:rPr>
        <w:footnoteRef/>
      </w:r>
      <w:r w:rsidRPr="007F7EBF">
        <w:t xml:space="preserve"> ) </w:t>
      </w:r>
      <w:r>
        <w:t xml:space="preserve">Il minor </w:t>
      </w:r>
      <w:r w:rsidRPr="007F7EBF">
        <w:t xml:space="preserve">numero di </w:t>
      </w:r>
      <w:r>
        <w:t xml:space="preserve">cause consente di </w:t>
      </w:r>
      <w:r w:rsidRPr="007F7EBF">
        <w:t>gesti</w:t>
      </w:r>
      <w:r>
        <w:t>rle in modo</w:t>
      </w:r>
      <w:r w:rsidRPr="007F7EBF">
        <w:t xml:space="preserve"> più accurat</w:t>
      </w:r>
      <w:r>
        <w:t>o</w:t>
      </w:r>
      <w:r w:rsidRPr="007F7EBF">
        <w:t xml:space="preserve">, a parità di energie complessive, per i giudici e le parti. </w:t>
      </w:r>
      <w:r>
        <w:rPr>
          <w:sz w:val="22"/>
          <w:szCs w:val="22"/>
        </w:rPr>
        <w:t xml:space="preserve">Rispetto alle funzioni non giurisdizionali, </w:t>
      </w:r>
      <w:r w:rsidRPr="00A128BD">
        <w:t xml:space="preserve">il processo è comunque un </w:t>
      </w:r>
      <w:r>
        <w:t xml:space="preserve">indizio di malfunzionamento di funzioni pubbliche, mentre nella funzione giurisdizionale, corrispondente al diritto dei privati (par.1.3) è solo sintomo solo di un malessere sociale, esterno al mondo  giuridico. </w:t>
      </w:r>
    </w:p>
  </w:footnote>
  <w:footnote w:id="883">
    <w:p w14:paraId="3673D9E5" w14:textId="74AC4A35" w:rsidR="003B7460" w:rsidRDefault="003B7460" w:rsidP="00D11FE2">
      <w:pPr>
        <w:pStyle w:val="Testonotaapidipagina"/>
      </w:pPr>
      <w:r>
        <w:rPr>
          <w:rStyle w:val="Rimandonotaapidipagina"/>
        </w:rPr>
        <w:footnoteRef/>
      </w:r>
      <w:r>
        <w:t xml:space="preserve"> ) Si pensi a </w:t>
      </w:r>
      <w:r>
        <w:rPr>
          <w:sz w:val="22"/>
          <w:szCs w:val="22"/>
        </w:rPr>
        <w:t>contribuenti almeno in parziale buona fede</w:t>
      </w:r>
      <w:r>
        <w:t xml:space="preserve">, che hanno dichiarato gli imponibili sotto altre forme, in altri periodi o tramite altri soggetti. </w:t>
      </w:r>
    </w:p>
  </w:footnote>
  <w:footnote w:id="884">
    <w:p w14:paraId="04E3C790" w14:textId="21B69A40" w:rsidR="003B7460" w:rsidRDefault="003B7460">
      <w:pPr>
        <w:pStyle w:val="Testonotaapidipagina"/>
      </w:pPr>
      <w:r>
        <w:rPr>
          <w:rStyle w:val="Rimandonotaapidipagina"/>
        </w:rPr>
        <w:footnoteRef/>
      </w:r>
      <w:r>
        <w:t xml:space="preserve"> ) Anche dal punto di vista del professionista (par.3.16) è molto più snella una procedura amministrativa dell’impegno necessario ad investire sistematicamente di tali questioni il giudice anche in relazione al modesto valore delle relative pratiche,</w:t>
      </w:r>
      <w:r w:rsidRPr="007F7EBF">
        <w:t xml:space="preserve"> altro </w:t>
      </w:r>
      <w:r>
        <w:t xml:space="preserve">inconveniente dell’”amministrazione </w:t>
      </w:r>
      <w:r w:rsidRPr="007F7EBF">
        <w:t>per sentenza</w:t>
      </w:r>
      <w:r>
        <w:t>”</w:t>
      </w:r>
      <w:r w:rsidRPr="007F7EBF">
        <w:t>.</w:t>
      </w:r>
    </w:p>
  </w:footnote>
  <w:footnote w:id="885">
    <w:p w14:paraId="6AAC5797" w14:textId="77777777" w:rsidR="003B7460" w:rsidRPr="007F7EBF" w:rsidRDefault="003B7460" w:rsidP="00123898">
      <w:pPr>
        <w:pStyle w:val="Testonotaapidipagina"/>
      </w:pPr>
      <w:r w:rsidRPr="007F7EBF">
        <w:rPr>
          <w:rStyle w:val="Rimandonotaapidipagina"/>
        </w:rPr>
        <w:footnoteRef/>
      </w:r>
      <w:r w:rsidRPr="007F7EBF">
        <w:t xml:space="preserve"> ) </w:t>
      </w:r>
      <w:r>
        <w:t xml:space="preserve">Riferite alla </w:t>
      </w:r>
      <w:r w:rsidRPr="007F7EBF">
        <w:t>ricchezza che sfugge alla determinazione contabile da parte delle organizzazioni amministrative pubbliche e private</w:t>
      </w:r>
      <w:r>
        <w:t xml:space="preserve">, secondo il filo </w:t>
      </w:r>
      <w:r w:rsidRPr="007F7EBF">
        <w:t xml:space="preserve"> conduttor</w:t>
      </w:r>
      <w:r>
        <w:t>e</w:t>
      </w:r>
      <w:r w:rsidRPr="007F7EBF">
        <w:t xml:space="preserve"> del testo, </w:t>
      </w:r>
      <w:r>
        <w:t xml:space="preserve">che si snoda </w:t>
      </w:r>
      <w:r w:rsidRPr="007F7EBF">
        <w:t xml:space="preserve">dal par.1.4 al par.3.13, 5.7, 5.13 etc.. </w:t>
      </w:r>
    </w:p>
  </w:footnote>
  <w:footnote w:id="886">
    <w:p w14:paraId="70A93550" w14:textId="77777777" w:rsidR="003B7460" w:rsidRPr="007F7EBF" w:rsidRDefault="003B7460" w:rsidP="00C679D0">
      <w:pPr>
        <w:pStyle w:val="Testonotaapidipagina"/>
      </w:pPr>
      <w:r w:rsidRPr="007F7EBF">
        <w:rPr>
          <w:rStyle w:val="Rimandonotaapidipagina"/>
        </w:rPr>
        <w:footnoteRef/>
      </w:r>
      <w:r w:rsidRPr="007F7EBF">
        <w:t xml:space="preserve"> ) L’ufficio che per primo si è occupato della pratica </w:t>
      </w:r>
      <w:r>
        <w:t xml:space="preserve">dovrebbe essere coinvolto nella sua definizione, senza l’estromissione che </w:t>
      </w:r>
      <w:r w:rsidRPr="007F7EBF">
        <w:t xml:space="preserve">oggi </w:t>
      </w:r>
      <w:r>
        <w:t>si verifica</w:t>
      </w:r>
      <w:r w:rsidRPr="007F7EBF">
        <w:t xml:space="preserve"> nel processo tributario, ma affiancato da funzionari di altri uffici, per una “rivalutazione” della </w:t>
      </w:r>
      <w:r>
        <w:t>questione</w:t>
      </w:r>
      <w:r w:rsidRPr="007F7EBF">
        <w:t xml:space="preserve"> e anche da rappresentanti del contribuente, come indicato </w:t>
      </w:r>
      <w:r>
        <w:t xml:space="preserve">oltre </w:t>
      </w:r>
      <w:r w:rsidRPr="007F7EBF">
        <w:t>nel testo.</w:t>
      </w:r>
    </w:p>
  </w:footnote>
  <w:footnote w:id="887">
    <w:p w14:paraId="266F28C3" w14:textId="77777777" w:rsidR="003B7460" w:rsidRPr="007F7EBF" w:rsidRDefault="003B7460" w:rsidP="00306496">
      <w:pPr>
        <w:pStyle w:val="Testonotaapidipagina"/>
      </w:pPr>
      <w:r w:rsidRPr="007F7EBF">
        <w:rPr>
          <w:rStyle w:val="Rimandonotaapidipagina"/>
        </w:rPr>
        <w:footnoteRef/>
      </w:r>
      <w:r w:rsidRPr="007F7EBF">
        <w:t xml:space="preserve"> ) La collegialità della decisione “frammenta” infatti la responsabilità, e quindi la riduce</w:t>
      </w:r>
      <w:r>
        <w:t>, come indicato al par.6.5 per l’accertamento con adesione</w:t>
      </w:r>
      <w:r w:rsidRPr="007F7EBF">
        <w:t xml:space="preserve">. </w:t>
      </w:r>
    </w:p>
  </w:footnote>
  <w:footnote w:id="888">
    <w:p w14:paraId="117B8D7F" w14:textId="77777777" w:rsidR="003B7460" w:rsidRPr="007F7EBF" w:rsidRDefault="003B7460" w:rsidP="00306496">
      <w:pPr>
        <w:pStyle w:val="Testonotaapidipagina"/>
      </w:pPr>
      <w:r w:rsidRPr="007F7EBF">
        <w:rPr>
          <w:rStyle w:val="Rimandonotaapidipagina"/>
        </w:rPr>
        <w:footnoteRef/>
      </w:r>
      <w:r w:rsidRPr="007F7EBF">
        <w:t xml:space="preserve"> ) Resi più difficili dalla presenza di funzionari facenti capo a uffici diversi. </w:t>
      </w:r>
    </w:p>
  </w:footnote>
  <w:footnote w:id="889">
    <w:p w14:paraId="4BEFEDA5" w14:textId="77777777" w:rsidR="003B7460" w:rsidRPr="007F7EBF" w:rsidRDefault="003B7460" w:rsidP="00306496">
      <w:pPr>
        <w:pStyle w:val="Testonotaapidipagina"/>
      </w:pPr>
      <w:r w:rsidRPr="007F7EBF">
        <w:rPr>
          <w:rStyle w:val="Rimandonotaapidipagina"/>
        </w:rPr>
        <w:footnoteRef/>
      </w:r>
      <w:r w:rsidRPr="007F7EBF">
        <w:t xml:space="preserve"> ) Sarebbe così inserita nella determinazione amministrativa delle imposte una sorta di “arbitrato tributario”, da approfondire in tesi di laurea o dottorato. </w:t>
      </w:r>
    </w:p>
  </w:footnote>
  <w:footnote w:id="890">
    <w:p w14:paraId="4E7CA8BC" w14:textId="10B60C6A" w:rsidR="003B7460" w:rsidRPr="00633B9E" w:rsidRDefault="003B7460" w:rsidP="00306496">
      <w:pPr>
        <w:pStyle w:val="Testonotaapidipagina"/>
      </w:pPr>
      <w:r w:rsidRPr="007F7EBF">
        <w:rPr>
          <w:rStyle w:val="Rimandonotaapidipagina"/>
        </w:rPr>
        <w:footnoteRef/>
      </w:r>
      <w:r w:rsidRPr="007F7EBF">
        <w:t xml:space="preserve"> </w:t>
      </w:r>
      <w:r w:rsidRPr="00633B9E">
        <w:t xml:space="preserve">) In sede processuale non dovrebbe essere cambiato l’oggetto della contestazione sul piano della motivazione della determinazione dell’imposta..  </w:t>
      </w:r>
    </w:p>
  </w:footnote>
  <w:footnote w:id="891">
    <w:p w14:paraId="1A0BAC0B" w14:textId="4282AC98" w:rsidR="003B7460" w:rsidRPr="007F7EBF" w:rsidRDefault="003B7460" w:rsidP="004301C1">
      <w:pPr>
        <w:pStyle w:val="Testonotaapidipagina"/>
      </w:pPr>
      <w:r w:rsidRPr="00633B9E">
        <w:rPr>
          <w:rStyle w:val="Rimandonotaapidipagina"/>
        </w:rPr>
        <w:footnoteRef/>
      </w:r>
      <w:r w:rsidRPr="00633B9E">
        <w:t xml:space="preserve"> ) </w:t>
      </w:r>
      <w:r>
        <w:t xml:space="preserve">Con </w:t>
      </w:r>
      <w:r w:rsidRPr="00633B9E">
        <w:t>indica</w:t>
      </w:r>
      <w:r>
        <w:t>zione dei</w:t>
      </w:r>
      <w:r w:rsidRPr="00633B9E">
        <w:t xml:space="preserve"> principi cui l’amministrazione dovrà “conformarsi” (c.d. “effetto conformativo” del giudicato amministrati</w:t>
      </w:r>
      <w:r>
        <w:t xml:space="preserve">vo) senza eludere il giudicato. E’ un riflesso della </w:t>
      </w:r>
      <w:r w:rsidRPr="007F7EBF">
        <w:t xml:space="preserve">distinzione di ruoli tra giudice e amministrazione, </w:t>
      </w:r>
      <w:r>
        <w:t xml:space="preserve">dell’impossibilità di </w:t>
      </w:r>
      <w:r w:rsidRPr="007F7EBF">
        <w:t>“amministr</w:t>
      </w:r>
      <w:r>
        <w:t>are</w:t>
      </w:r>
      <w:r w:rsidRPr="007F7EBF">
        <w:t xml:space="preserve"> per sentenza”, disperde</w:t>
      </w:r>
      <w:r>
        <w:t xml:space="preserve">ndosi tra le </w:t>
      </w:r>
      <w:r w:rsidRPr="007F7EBF">
        <w:t>più disparat</w:t>
      </w:r>
      <w:r>
        <w:t>e funzioni pubbliche d</w:t>
      </w:r>
      <w:r w:rsidRPr="007F7EBF">
        <w:t>all’istruzione, alla sanità, alla ricerca, ai beni culturali etc.</w:t>
      </w:r>
      <w:r>
        <w:t xml:space="preserve"> Il giudice coopera all’azione amministrativa, che deve perseguire nuovamente l’interesse pubblico, conformandosi però alla sentenza.  </w:t>
      </w:r>
    </w:p>
  </w:footnote>
  <w:footnote w:id="892">
    <w:p w14:paraId="7C653043" w14:textId="72AEB8A8" w:rsidR="003B7460" w:rsidRDefault="003B7460">
      <w:pPr>
        <w:pStyle w:val="Testonotaapidipagina"/>
      </w:pPr>
      <w:r>
        <w:rPr>
          <w:rStyle w:val="Rimandonotaapidipagina"/>
        </w:rPr>
        <w:footnoteRef/>
      </w:r>
      <w:r>
        <w:t xml:space="preserve"> ) In quanto </w:t>
      </w:r>
      <w:r w:rsidRPr="00633B9E">
        <w:rPr>
          <w:sz w:val="22"/>
          <w:szCs w:val="22"/>
        </w:rPr>
        <w:t>fortemente collegata ai passaggi logici svolti  per l’impugnazione</w:t>
      </w:r>
      <w:r>
        <w:rPr>
          <w:sz w:val="22"/>
          <w:szCs w:val="22"/>
        </w:rPr>
        <w:t>.</w:t>
      </w:r>
    </w:p>
  </w:footnote>
  <w:footnote w:id="893">
    <w:p w14:paraId="4E1DE3BE" w14:textId="4F254F57" w:rsidR="003B7460" w:rsidRPr="007F7EBF" w:rsidRDefault="003B7460" w:rsidP="005F793F">
      <w:pPr>
        <w:pStyle w:val="Testonotaapidipagina"/>
      </w:pPr>
      <w:r w:rsidRPr="007F7EBF">
        <w:rPr>
          <w:rStyle w:val="Rimandonotaapidipagina"/>
        </w:rPr>
        <w:footnoteRef/>
      </w:r>
      <w:r w:rsidRPr="007F7EBF">
        <w:t xml:space="preserve"> ) Dell</w:t>
      </w:r>
      <w:r>
        <w:t>e</w:t>
      </w:r>
      <w:r w:rsidRPr="007F7EBF">
        <w:t xml:space="preserve"> qual</w:t>
      </w:r>
      <w:r>
        <w:t>i</w:t>
      </w:r>
      <w:r w:rsidRPr="007F7EBF">
        <w:t xml:space="preserve"> abbiamo già indicato sopra le criticità per l’onere della prova, la motivazione in diritto</w:t>
      </w:r>
      <w:r>
        <w:t>,</w:t>
      </w:r>
      <w:r w:rsidRPr="007F7EBF">
        <w:t xml:space="preserve"> il principio “iura </w:t>
      </w:r>
      <w:proofErr w:type="spellStart"/>
      <w:r w:rsidRPr="007F7EBF">
        <w:t>novit</w:t>
      </w:r>
      <w:proofErr w:type="spellEnd"/>
      <w:r w:rsidRPr="007F7EBF">
        <w:t xml:space="preserve"> curia”, le controversie di rimborso, il “titolo della riscossione”, e la gestione dei </w:t>
      </w:r>
      <w:r w:rsidRPr="007F7EBF">
        <w:rPr>
          <w:i/>
        </w:rPr>
        <w:t>vizi formali</w:t>
      </w:r>
      <w:r w:rsidRPr="007F7EBF">
        <w:t xml:space="preserve"> di cui diremo subito nel testo. </w:t>
      </w:r>
    </w:p>
  </w:footnote>
  <w:footnote w:id="894">
    <w:p w14:paraId="6D0F06C5" w14:textId="0A77A575" w:rsidR="003B7460" w:rsidRDefault="003B7460">
      <w:pPr>
        <w:pStyle w:val="Testonotaapidipagina"/>
      </w:pPr>
      <w:r>
        <w:rPr>
          <w:rStyle w:val="Rimandonotaapidipagina"/>
        </w:rPr>
        <w:footnoteRef/>
      </w:r>
      <w:r>
        <w:t xml:space="preserve"> )Il giudice potrebbe anche indicare i presupposti per una conciliazione giudiziale, da redigere sotto la sua supervisione.  </w:t>
      </w:r>
    </w:p>
  </w:footnote>
  <w:footnote w:id="895">
    <w:p w14:paraId="6E2E6AAB" w14:textId="58C6B0E1" w:rsidR="003B7460" w:rsidRDefault="003B7460" w:rsidP="001716BD">
      <w:pPr>
        <w:pStyle w:val="Testonotaapidipagina"/>
      </w:pPr>
      <w:r>
        <w:rPr>
          <w:rStyle w:val="Rimandonotaapidipagina"/>
        </w:rPr>
        <w:footnoteRef/>
      </w:r>
      <w:r>
        <w:t xml:space="preserve"> ) In quanto l'ufficio, secondo una tesi a mio avviso semplicistica, non potrebbe più riemettere l’atto per la sopravvenuta scadenza dei termini di accertamento.  </w:t>
      </w:r>
    </w:p>
  </w:footnote>
  <w:footnote w:id="896">
    <w:p w14:paraId="7F9F85A8" w14:textId="77777777" w:rsidR="003B7460" w:rsidRDefault="003B7460" w:rsidP="00D62BAE">
      <w:pPr>
        <w:pStyle w:val="Testonotaapidipagina"/>
      </w:pPr>
      <w:r>
        <w:rPr>
          <w:rStyle w:val="Rimandonotaapidipagina"/>
        </w:rPr>
        <w:footnoteRef/>
      </w:r>
      <w:r>
        <w:t xml:space="preserve"> ) Un po' come se </w:t>
      </w:r>
      <w:r>
        <w:rPr>
          <w:sz w:val="22"/>
          <w:szCs w:val="22"/>
        </w:rPr>
        <w:t>l</w:t>
      </w:r>
      <w:r w:rsidRPr="007F7EBF">
        <w:rPr>
          <w:sz w:val="22"/>
          <w:szCs w:val="22"/>
        </w:rPr>
        <w:t xml:space="preserve">e sentenze dei giudici amministrativi </w:t>
      </w:r>
      <w:r>
        <w:rPr>
          <w:sz w:val="22"/>
          <w:szCs w:val="22"/>
        </w:rPr>
        <w:t xml:space="preserve">si sostituissero </w:t>
      </w:r>
      <w:r w:rsidRPr="007F7EBF">
        <w:rPr>
          <w:sz w:val="22"/>
          <w:szCs w:val="22"/>
        </w:rPr>
        <w:t xml:space="preserve"> agli uffici comunali nel rilasciare licenze edilizie, alle commissioni </w:t>
      </w:r>
      <w:r>
        <w:rPr>
          <w:sz w:val="22"/>
          <w:szCs w:val="22"/>
        </w:rPr>
        <w:t>esaminatrici</w:t>
      </w:r>
      <w:r w:rsidRPr="007F7EBF">
        <w:rPr>
          <w:sz w:val="22"/>
          <w:szCs w:val="22"/>
        </w:rPr>
        <w:t xml:space="preserve"> nel </w:t>
      </w:r>
      <w:r>
        <w:rPr>
          <w:sz w:val="22"/>
          <w:szCs w:val="22"/>
        </w:rPr>
        <w:t xml:space="preserve">promuovere gli studenti, ai medici nell’accertare </w:t>
      </w:r>
      <w:r w:rsidRPr="007F7EBF">
        <w:rPr>
          <w:sz w:val="22"/>
          <w:szCs w:val="22"/>
        </w:rPr>
        <w:t xml:space="preserve">invalidità, </w:t>
      </w:r>
      <w:r>
        <w:rPr>
          <w:sz w:val="22"/>
          <w:szCs w:val="22"/>
        </w:rPr>
        <w:t>ai committenti nell’assegnare lavori pubblici</w:t>
      </w:r>
      <w:r w:rsidRPr="007F7EBF">
        <w:rPr>
          <w:sz w:val="22"/>
          <w:szCs w:val="22"/>
        </w:rPr>
        <w:t>.</w:t>
      </w:r>
      <w:r>
        <w:rPr>
          <w:sz w:val="22"/>
          <w:szCs w:val="22"/>
        </w:rPr>
        <w:t xml:space="preserve"> </w:t>
      </w:r>
    </w:p>
  </w:footnote>
  <w:footnote w:id="897">
    <w:p w14:paraId="25D77E3C" w14:textId="77777777" w:rsidR="003B7460" w:rsidRPr="007F7EBF" w:rsidRDefault="003B7460" w:rsidP="00D62BAE">
      <w:pPr>
        <w:pStyle w:val="Testonotaapidipagina"/>
      </w:pPr>
      <w:r w:rsidRPr="007F7EBF">
        <w:rPr>
          <w:rStyle w:val="Rimandonotaapidipagina"/>
        </w:rPr>
        <w:footnoteRef/>
      </w:r>
      <w:r w:rsidRPr="007F7EBF">
        <w:t xml:space="preserve"> )</w:t>
      </w:r>
      <w:r>
        <w:t xml:space="preserve"> Il contraddittorio processuale serve a impedire che percezioni istintive preliminari (precomprensioni, come le chiamano </w:t>
      </w:r>
      <w:proofErr w:type="spellStart"/>
      <w:r w:rsidRPr="007F7EBF">
        <w:t>Gadamer</w:t>
      </w:r>
      <w:proofErr w:type="spellEnd"/>
      <w:r>
        <w:t xml:space="preserve"> e </w:t>
      </w:r>
      <w:proofErr w:type="spellStart"/>
      <w:r w:rsidRPr="007F7EBF">
        <w:t>Esser</w:t>
      </w:r>
      <w:r>
        <w:t>s</w:t>
      </w:r>
      <w:proofErr w:type="spellEnd"/>
      <w:r>
        <w:t xml:space="preserve"> nella teoria della conoscenza</w:t>
      </w:r>
      <w:r w:rsidRPr="007F7EBF">
        <w:t>) si sedimentino per inerzia o semplice pigrizia</w:t>
      </w:r>
      <w:r>
        <w:t>, mantenendo vivo il senso critico del giudice</w:t>
      </w:r>
      <w:r w:rsidRPr="007F7EBF">
        <w:rPr>
          <w:color w:val="000000"/>
        </w:rPr>
        <w:t>.</w:t>
      </w:r>
      <w:r w:rsidRPr="002C5B0F">
        <w:rPr>
          <w:color w:val="000000"/>
        </w:rPr>
        <w:t xml:space="preserve"> </w:t>
      </w:r>
      <w:r>
        <w:rPr>
          <w:color w:val="000000"/>
        </w:rPr>
        <w:t xml:space="preserve">Senza il rispetto di questo principio (par.4.7) si rischiano </w:t>
      </w:r>
      <w:r w:rsidRPr="007F7EBF">
        <w:rPr>
          <w:color w:val="000000"/>
        </w:rPr>
        <w:t>i fraintendimenti di cui al par.6.9</w:t>
      </w:r>
      <w:r>
        <w:rPr>
          <w:color w:val="000000"/>
        </w:rPr>
        <w:t xml:space="preserve"> e le sentenze a sorpresa ivi indicate</w:t>
      </w:r>
      <w:r>
        <w:rPr>
          <w:color w:val="000000"/>
          <w:sz w:val="22"/>
          <w:szCs w:val="22"/>
        </w:rPr>
        <w:t>; l’idea di dover rideterminare l’imposta spinge infatti a</w:t>
      </w:r>
      <w:r w:rsidRPr="00677F92">
        <w:rPr>
          <w:color w:val="000000"/>
          <w:sz w:val="22"/>
          <w:szCs w:val="22"/>
        </w:rPr>
        <w:t xml:space="preserve"> sottovalutare, o sopravvalutare, alcuni profili rilevanti, come conferma persino la distinzione tra magistratura inquirente e giudicante nel processo penale.</w:t>
      </w:r>
    </w:p>
  </w:footnote>
  <w:footnote w:id="898">
    <w:p w14:paraId="4FE9DF6F" w14:textId="77777777" w:rsidR="003B7460" w:rsidRPr="007F7EBF" w:rsidRDefault="003B7460">
      <w:pPr>
        <w:pStyle w:val="Testonotaapidipagina"/>
      </w:pPr>
      <w:r w:rsidRPr="007F7EBF">
        <w:rPr>
          <w:rStyle w:val="Rimandonotaapidipagina"/>
        </w:rPr>
        <w:footnoteRef/>
      </w:r>
      <w:r w:rsidRPr="007F7EBF">
        <w:t xml:space="preserve"> ) Visto che “il più contiene il meno”, e poter rideterminare l’imposta è senza dubbio un passaggio successivo rispetto all’annullamento dell’atto. </w:t>
      </w:r>
    </w:p>
  </w:footnote>
  <w:footnote w:id="899">
    <w:p w14:paraId="5A2D97F7" w14:textId="34AF19E6" w:rsidR="003B7460" w:rsidRPr="007F7EBF" w:rsidRDefault="003B7460" w:rsidP="00E85C7F">
      <w:pPr>
        <w:pStyle w:val="Testonotaapidipagina"/>
      </w:pPr>
      <w:r w:rsidRPr="007F7EBF">
        <w:rPr>
          <w:rStyle w:val="Rimandonotaapidipagina"/>
        </w:rPr>
        <w:footnoteRef/>
      </w:r>
      <w:r w:rsidRPr="007F7EBF">
        <w:t xml:space="preserve"> ) </w:t>
      </w:r>
      <w:r w:rsidRPr="00633B9E">
        <w:t xml:space="preserve">Ove tale motivazione sussista, nei termini indicati al par.6.2, altrimenti  scatterebbe puro e semplice annullamento dell’atto impugnato. In presenza di una motivazione, il giudice potrebbe individuare errori metodologici ed annullare l’atto impositivo, ferma restandone la </w:t>
      </w:r>
      <w:proofErr w:type="spellStart"/>
      <w:r w:rsidRPr="00633B9E">
        <w:t>riemissione</w:t>
      </w:r>
      <w:proofErr w:type="spellEnd"/>
      <w:r w:rsidRPr="00633B9E">
        <w:t xml:space="preserve"> in conformità dei principi da lui indicati (secondo il già menzionato effetto conformativo della sentenza amministrativa, ma il punto deve essere approfondito, riguardando il più generale coordinamento tra attività amministrativa e giurisdizionale).</w:t>
      </w:r>
    </w:p>
  </w:footnote>
  <w:footnote w:id="900">
    <w:p w14:paraId="5E548320" w14:textId="77777777" w:rsidR="003B7460" w:rsidRDefault="003B7460" w:rsidP="0048540E">
      <w:pPr>
        <w:pStyle w:val="Testonotaapidipagina"/>
      </w:pPr>
      <w:r>
        <w:rPr>
          <w:rStyle w:val="Rimandonotaapidipagina"/>
        </w:rPr>
        <w:footnoteRef/>
      </w:r>
      <w:r>
        <w:t xml:space="preserve"> ) Di solito per l'esigenza di autoprotezione, descritta al par.5.11, e la preoccupazione degli uffici di mostrarsi zelanti nella fantomatica "lotta all'evasione", facendo "risultato di servizio".</w:t>
      </w:r>
    </w:p>
  </w:footnote>
  <w:footnote w:id="901">
    <w:p w14:paraId="77A21FEB" w14:textId="634A58CD" w:rsidR="003B7460" w:rsidRPr="007F7EBF" w:rsidRDefault="003B7460">
      <w:pPr>
        <w:pStyle w:val="Testonotaapidipagina"/>
      </w:pPr>
      <w:r w:rsidRPr="007F7EBF">
        <w:rPr>
          <w:rStyle w:val="Rimandonotaapidipagina"/>
        </w:rPr>
        <w:footnoteRef/>
      </w:r>
      <w:r w:rsidRPr="007F7EBF">
        <w:t xml:space="preserve"> </w:t>
      </w:r>
      <w:r>
        <w:t xml:space="preserve">) Il loro obiettivo non è infatti di massimizzare un’utilità privata, ma di perseguire un interesse generale, come già rilevava </w:t>
      </w:r>
      <w:proofErr w:type="spellStart"/>
      <w:r w:rsidRPr="007F7EBF">
        <w:t>Allorio</w:t>
      </w:r>
      <w:proofErr w:type="spellEnd"/>
      <w:r w:rsidRPr="007F7EBF">
        <w:t>.</w:t>
      </w:r>
    </w:p>
  </w:footnote>
  <w:footnote w:id="902">
    <w:p w14:paraId="00B4DD69" w14:textId="6E92EF06" w:rsidR="003B7460" w:rsidRPr="007F7EBF" w:rsidRDefault="003B7460" w:rsidP="00DE3C0B">
      <w:pPr>
        <w:pStyle w:val="Testonotaapidipagina"/>
      </w:pPr>
      <w:r w:rsidRPr="007F7EBF">
        <w:rPr>
          <w:rStyle w:val="Rimandonotaapidipagina"/>
        </w:rPr>
        <w:footnoteRef/>
      </w:r>
      <w:r w:rsidRPr="007F7EBF">
        <w:t xml:space="preserve"> </w:t>
      </w:r>
      <w:r>
        <w:t xml:space="preserve">) Secondo il titolo del mio video digitabile su </w:t>
      </w:r>
      <w:proofErr w:type="spellStart"/>
      <w:r>
        <w:t>Youtube</w:t>
      </w:r>
      <w:proofErr w:type="spellEnd"/>
      <w:r>
        <w:t xml:space="preserve">. Un’ulteriore riflessione pratica è anche la difficoltà materiale di </w:t>
      </w:r>
      <w:r w:rsidRPr="002012D1">
        <w:rPr>
          <w:i/>
          <w:sz w:val="22"/>
          <w:szCs w:val="22"/>
        </w:rPr>
        <w:t>specializzare</w:t>
      </w:r>
      <w:r>
        <w:rPr>
          <w:sz w:val="22"/>
          <w:szCs w:val="22"/>
        </w:rPr>
        <w:t>, magari facendo loro frequentare master tributari accanto a neolaureati,</w:t>
      </w:r>
      <w:r w:rsidRPr="007F7EBF">
        <w:rPr>
          <w:sz w:val="22"/>
          <w:szCs w:val="22"/>
        </w:rPr>
        <w:t xml:space="preserve"> persone di età </w:t>
      </w:r>
      <w:r>
        <w:rPr>
          <w:sz w:val="22"/>
          <w:szCs w:val="22"/>
        </w:rPr>
        <w:t>e ruoli elevati</w:t>
      </w:r>
      <w:r w:rsidRPr="007F7EBF">
        <w:rPr>
          <w:sz w:val="22"/>
          <w:szCs w:val="22"/>
        </w:rPr>
        <w:t xml:space="preserve">, </w:t>
      </w:r>
      <w:r>
        <w:rPr>
          <w:sz w:val="22"/>
          <w:szCs w:val="22"/>
        </w:rPr>
        <w:t xml:space="preserve">che hanno </w:t>
      </w:r>
      <w:r w:rsidRPr="007F7EBF">
        <w:rPr>
          <w:sz w:val="22"/>
          <w:szCs w:val="22"/>
        </w:rPr>
        <w:t xml:space="preserve">ormai giustamente </w:t>
      </w:r>
      <w:r>
        <w:rPr>
          <w:sz w:val="22"/>
          <w:szCs w:val="22"/>
        </w:rPr>
        <w:t>perduto</w:t>
      </w:r>
      <w:r w:rsidRPr="007F7EBF">
        <w:rPr>
          <w:sz w:val="22"/>
          <w:szCs w:val="22"/>
        </w:rPr>
        <w:t xml:space="preserve"> l'entusiasmo per l'apprendimento</w:t>
      </w:r>
      <w:r w:rsidRPr="007F7EBF">
        <w:t xml:space="preserve">. </w:t>
      </w:r>
    </w:p>
  </w:footnote>
  <w:footnote w:id="903">
    <w:p w14:paraId="2BC1510B" w14:textId="261B613C" w:rsidR="003B7460" w:rsidRPr="007F7EBF" w:rsidRDefault="003B7460" w:rsidP="004F21C8">
      <w:pPr>
        <w:pStyle w:val="Testonotaapidipagina"/>
      </w:pPr>
      <w:r w:rsidRPr="007F7EBF">
        <w:rPr>
          <w:rStyle w:val="Rimandonotaapidipagina"/>
        </w:rPr>
        <w:footnoteRef/>
      </w:r>
      <w:r w:rsidRPr="007F7EBF">
        <w:t xml:space="preserve"> ) </w:t>
      </w:r>
      <w:r>
        <w:t>Il “t</w:t>
      </w:r>
      <w:r w:rsidRPr="007F7EBF">
        <w:t>empo pieno</w:t>
      </w:r>
      <w:r>
        <w:t>” del giudice serve a poco se non si inserisce la funzione procedurale di giustizia in nella funzione sostanziale tributaria (par1.3)</w:t>
      </w:r>
      <w:r w:rsidRPr="007F7EBF">
        <w:t xml:space="preserve">. </w:t>
      </w:r>
    </w:p>
  </w:footnote>
  <w:footnote w:id="904">
    <w:p w14:paraId="3B1F2975" w14:textId="77777777" w:rsidR="003B7460" w:rsidRPr="007F7EBF" w:rsidRDefault="003B7460">
      <w:pPr>
        <w:pStyle w:val="Testonotaapidipagina"/>
      </w:pPr>
      <w:r w:rsidRPr="007F7EBF">
        <w:rPr>
          <w:rStyle w:val="Rimandonotaapidipagina"/>
        </w:rPr>
        <w:footnoteRef/>
      </w:r>
      <w:r w:rsidRPr="007F7EBF">
        <w:t xml:space="preserve"> )Cioè un elenco di debitori, così come “ruolo” si chiamava anche l’elenco dei creditori pubblici, dal che l’espressione di “dipendente pubblico di ruolo”. </w:t>
      </w:r>
    </w:p>
  </w:footnote>
  <w:footnote w:id="905">
    <w:p w14:paraId="35863D74" w14:textId="1C661065" w:rsidR="003B7460" w:rsidRPr="007F7EBF" w:rsidRDefault="003B7460">
      <w:pPr>
        <w:pStyle w:val="Testonotaapidipagina"/>
      </w:pPr>
      <w:r w:rsidRPr="007F7EBF">
        <w:rPr>
          <w:rStyle w:val="Rimandonotaapidipagina"/>
        </w:rPr>
        <w:footnoteRef/>
      </w:r>
      <w:r w:rsidRPr="007F7EBF">
        <w:t xml:space="preserve"> ) </w:t>
      </w:r>
      <w:r>
        <w:t>S</w:t>
      </w:r>
      <w:r w:rsidRPr="007F7EBF">
        <w:t xml:space="preserve">i cercò di mantenere artificialmente in vita </w:t>
      </w:r>
      <w:r>
        <w:t xml:space="preserve">questi enti </w:t>
      </w:r>
      <w:r w:rsidRPr="007F7EBF">
        <w:t xml:space="preserve">estendendo loro la riscossione delle imposte indirette, fino ad allora rimasta efficientemente in capo agli enti impositori. </w:t>
      </w:r>
      <w:r>
        <w:t xml:space="preserve">Furono anche </w:t>
      </w:r>
      <w:r w:rsidRPr="007F7EBF">
        <w:t>assurda</w:t>
      </w:r>
      <w:r>
        <w:t xml:space="preserve">mente </w:t>
      </w:r>
      <w:r w:rsidRPr="007F7EBF">
        <w:t>canalizza</w:t>
      </w:r>
      <w:r>
        <w:t>ti attraverso di loro molt</w:t>
      </w:r>
      <w:r w:rsidRPr="007F7EBF">
        <w:t xml:space="preserve">i versamenti delle imposte in autotassazione.  </w:t>
      </w:r>
    </w:p>
  </w:footnote>
  <w:footnote w:id="906">
    <w:p w14:paraId="79F05DB5" w14:textId="53374DD8" w:rsidR="003B7460" w:rsidRPr="007F7EBF" w:rsidRDefault="003B7460">
      <w:pPr>
        <w:pStyle w:val="Testonotaapidipagina"/>
      </w:pPr>
      <w:r w:rsidRPr="007F7EBF">
        <w:rPr>
          <w:rStyle w:val="Rimandonotaapidipagina"/>
        </w:rPr>
        <w:footnoteRef/>
      </w:r>
      <w:r w:rsidR="00E17493">
        <w:t xml:space="preserve">) </w:t>
      </w:r>
      <w:r w:rsidR="00E17493" w:rsidRPr="007F7EBF">
        <w:t xml:space="preserve">Fu uno di quei circoli viziosi al ribasso, tra pubblico e privato, che possono prodursi solo </w:t>
      </w:r>
      <w:r w:rsidR="00E17493">
        <w:t xml:space="preserve">nel bassissimo controllo sociale della </w:t>
      </w:r>
      <w:r w:rsidR="00E17493" w:rsidRPr="007F7EBF">
        <w:t xml:space="preserve">confusione italiana, </w:t>
      </w:r>
      <w:r w:rsidR="00E17493">
        <w:t>di cui</w:t>
      </w:r>
      <w:r w:rsidR="00E17493" w:rsidRPr="007F7EBF">
        <w:t xml:space="preserve"> al par.</w:t>
      </w:r>
      <w:r w:rsidR="00E17493">
        <w:t>4.1</w:t>
      </w:r>
    </w:p>
  </w:footnote>
  <w:footnote w:id="907">
    <w:p w14:paraId="38ADA02A" w14:textId="77777777" w:rsidR="00E17493" w:rsidRPr="007F7EBF" w:rsidRDefault="00E17493" w:rsidP="00E17493">
      <w:pPr>
        <w:pStyle w:val="Testonotaapidipagina"/>
      </w:pPr>
      <w:r w:rsidRPr="007F7EBF">
        <w:rPr>
          <w:rStyle w:val="Rimandonotaapidipagina"/>
        </w:rPr>
        <w:footnoteRef/>
      </w:r>
      <w:r w:rsidRPr="007F7EBF">
        <w:t xml:space="preserve">  </w:t>
      </w:r>
      <w:r>
        <w:t xml:space="preserve">) </w:t>
      </w:r>
      <w:r w:rsidRPr="007F7EBF">
        <w:t xml:space="preserve">Equitalia </w:t>
      </w:r>
      <w:r>
        <w:t>era</w:t>
      </w:r>
      <w:r w:rsidRPr="007F7EBF">
        <w:t xml:space="preserve"> quindi sostanzialmente incardinata nel sistema degli enti pubblici, pur avendo la forma giuridica di società di diritto privato</w:t>
      </w:r>
      <w:r>
        <w:t xml:space="preserve">, </w:t>
      </w:r>
      <w:r w:rsidRPr="007F7EBF">
        <w:rPr>
          <w:sz w:val="22"/>
          <w:szCs w:val="22"/>
        </w:rPr>
        <w:t xml:space="preserve">per </w:t>
      </w:r>
      <w:r>
        <w:rPr>
          <w:sz w:val="22"/>
          <w:szCs w:val="22"/>
        </w:rPr>
        <w:t>la difficoltà di trasferire i dipendenti nel settore pubblico senza concorso</w:t>
      </w:r>
      <w:r w:rsidRPr="007F7EBF">
        <w:rPr>
          <w:sz w:val="22"/>
          <w:szCs w:val="22"/>
        </w:rPr>
        <w:t>.</w:t>
      </w:r>
    </w:p>
  </w:footnote>
  <w:footnote w:id="908">
    <w:p w14:paraId="03B805A2" w14:textId="77223EE4" w:rsidR="003B7460" w:rsidRPr="007F7EBF" w:rsidRDefault="003B7460">
      <w:pPr>
        <w:pStyle w:val="Testonotaapidipagina"/>
      </w:pPr>
      <w:r w:rsidRPr="007F7EBF">
        <w:rPr>
          <w:rStyle w:val="Rimandonotaapidipagina"/>
        </w:rPr>
        <w:footnoteRef/>
      </w:r>
      <w:r w:rsidRPr="007F7EBF">
        <w:t xml:space="preserve"> ).  </w:t>
      </w:r>
    </w:p>
  </w:footnote>
  <w:footnote w:id="909">
    <w:p w14:paraId="45BCC8B4" w14:textId="77777777" w:rsidR="003B7460" w:rsidRPr="007F7EBF" w:rsidRDefault="003B7460">
      <w:pPr>
        <w:pStyle w:val="Testonotaapidipagina"/>
      </w:pPr>
      <w:r w:rsidRPr="007F7EBF">
        <w:rPr>
          <w:rStyle w:val="Rimandonotaapidipagina"/>
        </w:rPr>
        <w:footnoteRef/>
      </w:r>
      <w:r w:rsidRPr="007F7EBF">
        <w:t xml:space="preserve"> Agenzia delle dogane, Inps e Inail, comuni, etc..  </w:t>
      </w:r>
    </w:p>
  </w:footnote>
  <w:footnote w:id="910">
    <w:p w14:paraId="4E9FF2B3" w14:textId="77777777" w:rsidR="003B7460" w:rsidRPr="007F7EBF" w:rsidRDefault="003B7460" w:rsidP="00B90F4F">
      <w:pPr>
        <w:pStyle w:val="Testonotaapidipagina"/>
      </w:pPr>
      <w:r w:rsidRPr="007F7EBF">
        <w:rPr>
          <w:rStyle w:val="Rimandonotaapidipagina"/>
        </w:rPr>
        <w:footnoteRef/>
      </w:r>
      <w:r w:rsidRPr="007F7EBF">
        <w:t xml:space="preserve"> ) La tensione era tale, nel 2012-2014, che ci furono anche attentati dimostrativi (pacchi bomba) ad uffici di Equitalia, di valore prevalentemente simbolico, ma con funzionari leggermente feriti. </w:t>
      </w:r>
    </w:p>
  </w:footnote>
  <w:footnote w:id="911">
    <w:p w14:paraId="3D38BBA7" w14:textId="77777777" w:rsidR="003B7460" w:rsidRPr="007F7EBF" w:rsidRDefault="003B7460">
      <w:pPr>
        <w:pStyle w:val="Testonotaapidipagina"/>
      </w:pPr>
      <w:r w:rsidRPr="007F7EBF">
        <w:rPr>
          <w:rStyle w:val="Rimandonotaapidipagina"/>
        </w:rPr>
        <w:footnoteRef/>
      </w:r>
      <w:r w:rsidRPr="007F7EBF">
        <w:t xml:space="preserve"> Senza comprendere  che funzionari sostanzialmente pubblici non hanno motivo di essere vessatori, né convenienze personali ad accanirsi verso i debitori.</w:t>
      </w:r>
    </w:p>
  </w:footnote>
  <w:footnote w:id="912">
    <w:p w14:paraId="5EFA69FD" w14:textId="6EE011C7" w:rsidR="003B7460" w:rsidRPr="007F7EBF" w:rsidRDefault="003B7460" w:rsidP="000E5277">
      <w:pPr>
        <w:pStyle w:val="Testonotaapidipagina"/>
      </w:pPr>
      <w:r w:rsidRPr="007F7EBF">
        <w:rPr>
          <w:rStyle w:val="Rimandonotaapidipagina"/>
        </w:rPr>
        <w:footnoteRef/>
      </w:r>
      <w:r>
        <w:t xml:space="preserve"> ) Il coordinamento tra determinazione dei tributi e loro riscossione evita richieste invasive e fastidiose verso operatori solvibili, e consente </w:t>
      </w:r>
      <w:r w:rsidRPr="007F7EBF">
        <w:rPr>
          <w:bCs/>
          <w:sz w:val="22"/>
          <w:szCs w:val="22"/>
        </w:rPr>
        <w:t>vigilanza</w:t>
      </w:r>
      <w:r w:rsidRPr="007F7EBF">
        <w:rPr>
          <w:sz w:val="22"/>
          <w:szCs w:val="22"/>
        </w:rPr>
        <w:t xml:space="preserve"> verso situazioni di elevat</w:t>
      </w:r>
      <w:r>
        <w:rPr>
          <w:sz w:val="22"/>
          <w:szCs w:val="22"/>
        </w:rPr>
        <w:t>o</w:t>
      </w:r>
      <w:r w:rsidRPr="007F7EBF">
        <w:rPr>
          <w:sz w:val="22"/>
          <w:szCs w:val="22"/>
        </w:rPr>
        <w:t xml:space="preserve"> pericolo per la riscossione</w:t>
      </w:r>
      <w:r>
        <w:rPr>
          <w:sz w:val="22"/>
          <w:szCs w:val="22"/>
        </w:rPr>
        <w:t xml:space="preserve">. In precedenza il dualismo tra determinazione e riscossione provocava richieste di </w:t>
      </w:r>
      <w:r w:rsidRPr="007F7EBF">
        <w:t>pagamento</w:t>
      </w:r>
      <w:r>
        <w:t xml:space="preserve"> per </w:t>
      </w:r>
      <w:r w:rsidRPr="007F7EBF">
        <w:t>debiti estinti</w:t>
      </w:r>
      <w:r>
        <w:t>, o già pagati (</w:t>
      </w:r>
      <w:r w:rsidRPr="007F7EBF">
        <w:t xml:space="preserve">le </w:t>
      </w:r>
      <w:proofErr w:type="spellStart"/>
      <w:r w:rsidRPr="007F7EBF">
        <w:t>c.d.</w:t>
      </w:r>
      <w:r w:rsidRPr="007F7EBF">
        <w:rPr>
          <w:bCs/>
        </w:rPr>
        <w:t>"cartelle</w:t>
      </w:r>
      <w:proofErr w:type="spellEnd"/>
      <w:r w:rsidRPr="007F7EBF">
        <w:rPr>
          <w:bCs/>
        </w:rPr>
        <w:t xml:space="preserve"> pazze"</w:t>
      </w:r>
      <w:r>
        <w:rPr>
          <w:bCs/>
        </w:rPr>
        <w:t xml:space="preserve"> che misero</w:t>
      </w:r>
      <w:r w:rsidRPr="007F7EBF">
        <w:t xml:space="preserve"> a repentaglio la credibilità del sistema agli occhi della pubblica opinione</w:t>
      </w:r>
      <w:r>
        <w:t xml:space="preserve">), ovvero mancate richieste per somme dovute. </w:t>
      </w:r>
    </w:p>
  </w:footnote>
  <w:footnote w:id="913">
    <w:p w14:paraId="05CB95FB" w14:textId="77777777" w:rsidR="003B7460" w:rsidRPr="007F7EBF" w:rsidRDefault="003B7460" w:rsidP="005037EE">
      <w:pPr>
        <w:pStyle w:val="Testonotaapidipagina"/>
      </w:pPr>
      <w:r w:rsidRPr="007F7EBF">
        <w:rPr>
          <w:rStyle w:val="Rimandonotaapidipagina"/>
        </w:rPr>
        <w:footnoteRef/>
      </w:r>
      <w:r w:rsidRPr="007F7EBF">
        <w:t xml:space="preserve"> ) </w:t>
      </w:r>
      <w:r>
        <w:t>Cosa per cui gli enti impositori possono procedere direttamente, o ricorrere ad agenzie di posta massiva.</w:t>
      </w:r>
      <w:r w:rsidRPr="007F7EBF">
        <w:t xml:space="preserve"> </w:t>
      </w:r>
      <w:r w:rsidRPr="007F7EBF">
        <w:rPr>
          <w:bCs/>
        </w:rPr>
        <w:t xml:space="preserve">Qualcosa del genere, quasi in modo spontaneistico, sta accadendo coi pagamenti richiesti dalla stessa Agenzia delle Entrate, tramite gli "avvisi bonari" di cui al par.5. 5 e il pagamento diretto in base ad avviso di accertamento, di cui al prossimo paragrafo </w:t>
      </w:r>
      <w:r>
        <w:rPr>
          <w:bCs/>
        </w:rPr>
        <w:t>sull’</w:t>
      </w:r>
      <w:r w:rsidRPr="007F7EBF">
        <w:t>“accertamento esecutivo</w:t>
      </w:r>
      <w:r w:rsidRPr="007F7EBF">
        <w:rPr>
          <w:bCs/>
        </w:rPr>
        <w:t xml:space="preserve">". </w:t>
      </w:r>
    </w:p>
  </w:footnote>
  <w:footnote w:id="914">
    <w:p w14:paraId="459AC984" w14:textId="5CE7EA2D" w:rsidR="003B7460" w:rsidRPr="007F7EBF" w:rsidRDefault="003B7460">
      <w:pPr>
        <w:pStyle w:val="Testonotaapidipagina"/>
      </w:pPr>
      <w:r w:rsidRPr="007F7EBF">
        <w:rPr>
          <w:rStyle w:val="Rimandonotaapidipagina"/>
        </w:rPr>
        <w:footnoteRef/>
      </w:r>
      <w:r w:rsidRPr="007F7EBF">
        <w:t xml:space="preserve"> ) Un tempo esisteva invece l’”avviso di mora” , sostanziale duplicato del ruolo, che provocava</w:t>
      </w:r>
      <w:r>
        <w:t xml:space="preserve"> ulteriore</w:t>
      </w:r>
      <w:r w:rsidRPr="007F7EBF">
        <w:t xml:space="preserve"> lavoro amministrativo di materiale spedizione di lettere</w:t>
      </w:r>
      <w:r>
        <w:t xml:space="preserve"> </w:t>
      </w:r>
      <w:r w:rsidRPr="007F7EBF">
        <w:t xml:space="preserve">(raccomandate con ricevuta di ritorno).  </w:t>
      </w:r>
    </w:p>
  </w:footnote>
  <w:footnote w:id="915">
    <w:p w14:paraId="5E31B57A" w14:textId="688DD52D" w:rsidR="003B7460" w:rsidRPr="007F7EBF" w:rsidRDefault="003B7460" w:rsidP="002D2A98">
      <w:pPr>
        <w:pStyle w:val="Testonotaapidipagina"/>
      </w:pPr>
      <w:r w:rsidRPr="007F7EBF">
        <w:rPr>
          <w:rStyle w:val="Rimandonotaapidipagina"/>
        </w:rPr>
        <w:footnoteRef/>
      </w:r>
      <w:r w:rsidRPr="007F7EBF">
        <w:t xml:space="preserve"> La </w:t>
      </w:r>
      <w:r>
        <w:t xml:space="preserve">finalità non è qui quella di determinare gli imponibili (par.5.16), ma di </w:t>
      </w:r>
      <w:r w:rsidRPr="007F7EBF">
        <w:t xml:space="preserve">riscuotere tributi già determinati, effettuando una sorta di pignoramento presso terzi.  </w:t>
      </w:r>
    </w:p>
  </w:footnote>
  <w:footnote w:id="916">
    <w:p w14:paraId="420A30B0" w14:textId="00424AF3" w:rsidR="003B7460" w:rsidRDefault="003B7460">
      <w:pPr>
        <w:pStyle w:val="Testonotaapidipagina"/>
      </w:pPr>
      <w:r>
        <w:rPr>
          <w:rStyle w:val="Rimandonotaapidipagina"/>
        </w:rPr>
        <w:footnoteRef/>
      </w:r>
      <w:r>
        <w:t xml:space="preserve"> Come nelle riscossioni da controllo formale delle dichiarazioni di cui al par.5.4.</w:t>
      </w:r>
    </w:p>
  </w:footnote>
  <w:footnote w:id="917">
    <w:p w14:paraId="7C5F0808" w14:textId="038729B1" w:rsidR="003B7460" w:rsidRDefault="003B7460">
      <w:pPr>
        <w:pStyle w:val="Testonotaapidipagina"/>
      </w:pPr>
      <w:r>
        <w:rPr>
          <w:rStyle w:val="Rimandonotaapidipagina"/>
        </w:rPr>
        <w:footnoteRef/>
      </w:r>
      <w:r>
        <w:t xml:space="preserve"> ) Quando il fisco </w:t>
      </w:r>
      <w:r w:rsidRPr="007F7EBF">
        <w:t xml:space="preserve"> è l’unico creditore</w:t>
      </w:r>
      <w:r>
        <w:t>,</w:t>
      </w:r>
      <w:r w:rsidRPr="007F7EBF">
        <w:t xml:space="preserve"> e non c’è problema di “par condicio” </w:t>
      </w:r>
      <w:r>
        <w:t xml:space="preserve">, </w:t>
      </w:r>
      <w:r w:rsidRPr="007F7EBF">
        <w:t xml:space="preserve"> la necessità di avventurarsi nelle procedure fallimentari complica ulteriormente la riscossione dei crediti erariali.</w:t>
      </w:r>
    </w:p>
  </w:footnote>
  <w:footnote w:id="918">
    <w:p w14:paraId="35424FE1" w14:textId="77777777" w:rsidR="003B7460" w:rsidRPr="007F7EBF" w:rsidRDefault="003B7460">
      <w:pPr>
        <w:pStyle w:val="Testonotaapidipagina"/>
      </w:pPr>
      <w:r w:rsidRPr="007F7EBF">
        <w:rPr>
          <w:rStyle w:val="Rimandonotaapidipagina"/>
        </w:rPr>
        <w:footnoteRef/>
      </w:r>
      <w:r w:rsidRPr="007F7EBF">
        <w:t xml:space="preserve"> ) Il versamento in esame, in base all’avviso di accertamento, riguarda solo le imposte e gli interessi, non le sanzioni punitive di cui al par.6.13, riscosse solo dopo le sentenze. </w:t>
      </w:r>
    </w:p>
  </w:footnote>
  <w:footnote w:id="919">
    <w:p w14:paraId="6CA9C655" w14:textId="6CA7AC79"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La sospensione è prevista dall’art. 47 del decreto sul contenzioso tributario, già esaminato come esempio di "azione cautelare" nel precedente par.6.9, sul contenzioso giurisdizionale. </w:t>
      </w:r>
    </w:p>
  </w:footnote>
  <w:footnote w:id="920">
    <w:p w14:paraId="482AAB61" w14:textId="3E00E824" w:rsidR="003B7460" w:rsidRPr="007F7EBF" w:rsidRDefault="003B7460">
      <w:pPr>
        <w:pStyle w:val="Testonotaapidipagina"/>
      </w:pPr>
      <w:r w:rsidRPr="007F7EBF">
        <w:rPr>
          <w:rStyle w:val="Rimandonotaapidipagina"/>
        </w:rPr>
        <w:footnoteRef/>
      </w:r>
      <w:r w:rsidRPr="007F7EBF">
        <w:t xml:space="preserve"> </w:t>
      </w:r>
      <w:r>
        <w:t xml:space="preserve">) </w:t>
      </w:r>
      <w:r>
        <w:rPr>
          <w:sz w:val="22"/>
          <w:szCs w:val="22"/>
        </w:rPr>
        <w:t xml:space="preserve"> I</w:t>
      </w:r>
      <w:r w:rsidRPr="007F7EBF">
        <w:rPr>
          <w:sz w:val="22"/>
          <w:szCs w:val="22"/>
        </w:rPr>
        <w:t>n un giudizio</w:t>
      </w:r>
      <w:r>
        <w:rPr>
          <w:sz w:val="22"/>
          <w:szCs w:val="22"/>
        </w:rPr>
        <w:t xml:space="preserve"> in cui vengono </w:t>
      </w:r>
      <w:r w:rsidRPr="007F7EBF">
        <w:rPr>
          <w:sz w:val="22"/>
          <w:szCs w:val="22"/>
        </w:rPr>
        <w:t>contemperati interessi diversi</w:t>
      </w:r>
      <w:r>
        <w:rPr>
          <w:sz w:val="22"/>
          <w:szCs w:val="22"/>
        </w:rPr>
        <w:t xml:space="preserve">, come </w:t>
      </w:r>
      <w:r w:rsidRPr="007F7EBF">
        <w:t>per tutte le decisioni cautelari</w:t>
      </w:r>
      <w:r>
        <w:t>, della cui discrezionalità (par.5.10) è quindi facile rendersi conto.</w:t>
      </w:r>
    </w:p>
  </w:footnote>
  <w:footnote w:id="921">
    <w:p w14:paraId="27FD95DC" w14:textId="55AF1B8A" w:rsidR="003B7460" w:rsidRPr="007F7EBF" w:rsidRDefault="003B7460">
      <w:pPr>
        <w:pStyle w:val="Testonotaapidipagina"/>
      </w:pPr>
      <w:r w:rsidRPr="007F7EBF">
        <w:rPr>
          <w:rStyle w:val="Rimandonotaapidipagina"/>
        </w:rPr>
        <w:footnoteRef/>
      </w:r>
      <w:r w:rsidRPr="007F7EBF">
        <w:t xml:space="preserve"> </w:t>
      </w:r>
      <w:r>
        <w:t xml:space="preserve">) </w:t>
      </w:r>
      <w:r w:rsidRPr="007F7EBF">
        <w:t>Non mi dilungo su tecnicismi di rinvio al codice di procedura civile, sulle richieste di cauzione e sulle argomentazioni con cui il diritto vivente riflette sul tema.</w:t>
      </w:r>
    </w:p>
  </w:footnote>
  <w:footnote w:id="922">
    <w:p w14:paraId="0328DA89" w14:textId="2869C56A" w:rsidR="003B7460" w:rsidRDefault="003B7460">
      <w:pPr>
        <w:pStyle w:val="Testonotaapidipagina"/>
      </w:pPr>
      <w:r>
        <w:rPr>
          <w:rStyle w:val="Rimandonotaapidipagina"/>
        </w:rPr>
        <w:footnoteRef/>
      </w:r>
      <w:r>
        <w:t xml:space="preserve"> ) Come invece accade per le pronunce cautelari Civili, Penali e amministrative. </w:t>
      </w:r>
    </w:p>
  </w:footnote>
  <w:footnote w:id="923">
    <w:p w14:paraId="466AE8CC" w14:textId="2381D85F"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Questa rateazione è tendenzialmente concessa dall'esattore, anziché dagli enti impositori; ciò espone il contribuente intenzionato a richiederla al pagamento dei compensi all'esattore, cioè i c.d.  "aggi esattoriali" di cui al paragrafo precedente. E' uno dei tanti inconvenienti dello sfasamento tra ente creditore e gestore del credito. </w:t>
      </w:r>
    </w:p>
  </w:footnote>
  <w:footnote w:id="924">
    <w:p w14:paraId="0E71A5B7" w14:textId="038B8EC7" w:rsidR="003B7460" w:rsidRPr="007F7EBF" w:rsidRDefault="003B7460">
      <w:pPr>
        <w:pStyle w:val="Testonotaapidipagina"/>
      </w:pPr>
      <w:r w:rsidRPr="007F7EBF">
        <w:rPr>
          <w:rStyle w:val="Rimandonotaapidipagina"/>
        </w:rPr>
        <w:footnoteRef/>
      </w:r>
      <w:r w:rsidRPr="007F7EBF">
        <w:t xml:space="preserve"> ) Lo strumento tecnico</w:t>
      </w:r>
      <w:r>
        <w:t xml:space="preserve"> </w:t>
      </w:r>
      <w:r w:rsidRPr="007F7EBF">
        <w:t xml:space="preserve">è </w:t>
      </w:r>
      <w:r>
        <w:t>i</w:t>
      </w:r>
      <w:r w:rsidRPr="007F7EBF">
        <w:t xml:space="preserve">l c.d. “ruolo straordinario”, </w:t>
      </w:r>
      <w:r>
        <w:t xml:space="preserve">nel </w:t>
      </w:r>
      <w:r w:rsidRPr="007F7EBF">
        <w:t>presupposto, indicato nel testo, di un “fondato pericolo per la riscossione”</w:t>
      </w:r>
      <w:r>
        <w:t xml:space="preserve">; la sussistenza di tale presupposto è ovviamente contestabile in sede giurisdizionale dal contribuente. </w:t>
      </w:r>
    </w:p>
  </w:footnote>
  <w:footnote w:id="925">
    <w:p w14:paraId="38EF1B86" w14:textId="24C7063D" w:rsidR="003B7460" w:rsidRPr="007F7EBF" w:rsidRDefault="003B7460">
      <w:pPr>
        <w:pStyle w:val="Testonotaapidipagina"/>
      </w:pPr>
      <w:r w:rsidRPr="007F7EBF">
        <w:rPr>
          <w:rStyle w:val="Rimandonotaapidipagina"/>
        </w:rPr>
        <w:footnoteRef/>
      </w:r>
      <w:r w:rsidRPr="007F7EBF">
        <w:t xml:space="preserve"> ) </w:t>
      </w:r>
      <w:r>
        <w:t xml:space="preserve">Un </w:t>
      </w:r>
      <w:r w:rsidRPr="007F7EBF">
        <w:t xml:space="preserve">esempio della confusione connessa alla concezione “processualistica” del diritto tributario, </w:t>
      </w:r>
      <w:r>
        <w:t xml:space="preserve">è </w:t>
      </w:r>
      <w:r w:rsidRPr="007F7EBF">
        <w:t>la tendenza della cassazione a ritenere applicabile, per la riscossione dell’imposta definitivamente accertata, il termine di prescrizione decorrente dalla sentenza, anziché quello previsto dal decreto 602 -1973 (</w:t>
      </w:r>
      <w:r>
        <w:t>la motivazione</w:t>
      </w:r>
      <w:r w:rsidRPr="007F7EBF">
        <w:t xml:space="preserve">, palesemente fuori luogo </w:t>
      </w:r>
      <w:r>
        <w:t>per</w:t>
      </w:r>
      <w:r w:rsidRPr="007F7EBF">
        <w:t xml:space="preserve"> un</w:t>
      </w:r>
      <w:r>
        <w:t xml:space="preserve">a funzione </w:t>
      </w:r>
      <w:r w:rsidRPr="007F7EBF">
        <w:t xml:space="preserve">non giurisdizionale, </w:t>
      </w:r>
      <w:r>
        <w:t xml:space="preserve">è che </w:t>
      </w:r>
      <w:r w:rsidRPr="007F7EBF">
        <w:t>non si riscuote l’imposta relativa all’atto, ma quella relativa alla sentenza, il che conferma l</w:t>
      </w:r>
      <w:r>
        <w:t>a distanza del retroterra culturale della</w:t>
      </w:r>
      <w:r w:rsidRPr="007F7EBF">
        <w:t xml:space="preserve"> magistratura ordinaria  rispetto al</w:t>
      </w:r>
      <w:r>
        <w:t xml:space="preserve"> diritto amministrativo</w:t>
      </w:r>
      <w:r w:rsidRPr="007F7EBF">
        <w:t>).</w:t>
      </w:r>
    </w:p>
  </w:footnote>
  <w:footnote w:id="926">
    <w:p w14:paraId="36CAB3E0" w14:textId="7A7C8395" w:rsidR="003B7460" w:rsidRDefault="003B7460">
      <w:pPr>
        <w:pStyle w:val="Testonotaapidipagina"/>
      </w:pPr>
      <w:r>
        <w:rPr>
          <w:rStyle w:val="Rimandonotaapidipagina"/>
        </w:rPr>
        <w:footnoteRef/>
      </w:r>
      <w:r>
        <w:t xml:space="preserve"> ) Molti teorici considerano addirittura la sanzione come una caratteristica della giuridicità, il che si può anche condividere intendendo la sanzione nel modo molto ampio indicato tra poco nel testo.</w:t>
      </w:r>
    </w:p>
  </w:footnote>
  <w:footnote w:id="927">
    <w:p w14:paraId="56B4F092" w14:textId="58AA884B" w:rsidR="003B7460" w:rsidRPr="007F7EBF" w:rsidRDefault="003B7460" w:rsidP="00D445BE">
      <w:pPr>
        <w:pStyle w:val="Testonotaapidipagina"/>
      </w:pPr>
      <w:r w:rsidRPr="007F7EBF">
        <w:rPr>
          <w:rStyle w:val="Rimandonotaapidipagina"/>
        </w:rPr>
        <w:footnoteRef/>
      </w:r>
      <w:r w:rsidRPr="007F7EBF">
        <w:t xml:space="preserve"> ) </w:t>
      </w:r>
      <w:r>
        <w:t xml:space="preserve">Nell’espressione </w:t>
      </w:r>
      <w:r w:rsidRPr="007F7EBF">
        <w:rPr>
          <w:i/>
        </w:rPr>
        <w:t>afflittive</w:t>
      </w:r>
      <w:r w:rsidRPr="007F7EBF">
        <w:t xml:space="preserve"> s</w:t>
      </w:r>
      <w:r>
        <w:t xml:space="preserve">i ritrova </w:t>
      </w:r>
      <w:r w:rsidRPr="007F7EBF">
        <w:t xml:space="preserve">la solita tendenza </w:t>
      </w:r>
      <w:r>
        <w:t xml:space="preserve">tecnicistica </w:t>
      </w:r>
      <w:r w:rsidRPr="007F7EBF">
        <w:t>a usare parole complicate per esprimere concetti semplici (par.4.3).</w:t>
      </w:r>
    </w:p>
  </w:footnote>
  <w:footnote w:id="928">
    <w:p w14:paraId="35A110D2" w14:textId="7CD253D7" w:rsidR="003B7460" w:rsidRPr="007F7EBF" w:rsidRDefault="003B7460" w:rsidP="008A0433">
      <w:pPr>
        <w:pStyle w:val="Testonotaapidipagina"/>
      </w:pPr>
      <w:r w:rsidRPr="007F7EBF">
        <w:rPr>
          <w:rStyle w:val="Rimandonotaapidipagina"/>
        </w:rPr>
        <w:footnoteRef/>
      </w:r>
      <w:r w:rsidRPr="007F7EBF">
        <w:t xml:space="preserve"> ) </w:t>
      </w:r>
      <w:r>
        <w:t>Lo spunto riguarda i settori dell’</w:t>
      </w:r>
      <w:r w:rsidRPr="007F7EBF">
        <w:t xml:space="preserve">ambiente, </w:t>
      </w:r>
      <w:r>
        <w:t>del</w:t>
      </w:r>
      <w:r w:rsidRPr="007F7EBF">
        <w:t xml:space="preserve">la salute, </w:t>
      </w:r>
      <w:r>
        <w:t>del</w:t>
      </w:r>
      <w:r w:rsidRPr="007F7EBF">
        <w:t xml:space="preserve">le infrastrutture, </w:t>
      </w:r>
      <w:r>
        <w:t>del</w:t>
      </w:r>
      <w:r w:rsidRPr="007F7EBF">
        <w:t>l’istruzione, etc. l</w:t>
      </w:r>
      <w:r>
        <w:t>’</w:t>
      </w:r>
      <w:proofErr w:type="spellStart"/>
      <w:r>
        <w:t>autoritatività</w:t>
      </w:r>
      <w:proofErr w:type="spellEnd"/>
      <w:r>
        <w:t xml:space="preserve"> della funzione amministrativa </w:t>
      </w:r>
      <w:r w:rsidRPr="007F7EBF">
        <w:t>sta nel decidere unilateralmente come regolarsi con “gli utenti”, in relazione alle esigenze complessive e alle risorse disponibili</w:t>
      </w:r>
      <w:r>
        <w:t xml:space="preserve">. </w:t>
      </w:r>
    </w:p>
  </w:footnote>
  <w:footnote w:id="929">
    <w:p w14:paraId="030A58C0" w14:textId="5123DD12" w:rsidR="003B7460" w:rsidRPr="007F7EBF" w:rsidRDefault="003B7460">
      <w:pPr>
        <w:pStyle w:val="Testonotaapidipagina"/>
      </w:pPr>
      <w:r w:rsidRPr="007F7EBF">
        <w:rPr>
          <w:rStyle w:val="Rimandonotaapidipagina"/>
        </w:rPr>
        <w:footnoteRef/>
      </w:r>
      <w:r w:rsidRPr="007F7EBF">
        <w:t xml:space="preserve"> ) Come nel caso del contrabbando, </w:t>
      </w:r>
      <w:r>
        <w:t xml:space="preserve">che evitava fisicamente i presidi confinari e il controllo del territorio, cui si collegava l’applicazione dei </w:t>
      </w:r>
      <w:r w:rsidRPr="007F7EBF">
        <w:t xml:space="preserve">dazi doganali di cui al parr.1.4 e 10.7. </w:t>
      </w:r>
    </w:p>
  </w:footnote>
  <w:footnote w:id="930">
    <w:p w14:paraId="05325FA9" w14:textId="7D553236" w:rsidR="003B7460" w:rsidRPr="007F7EBF" w:rsidRDefault="003B7460" w:rsidP="0059182A">
      <w:pPr>
        <w:pStyle w:val="Testonotaapidipagina"/>
      </w:pPr>
      <w:r w:rsidRPr="007F7EBF">
        <w:rPr>
          <w:rStyle w:val="Rimandonotaapidipagina"/>
        </w:rPr>
        <w:footnoteRef/>
      </w:r>
      <w:r w:rsidRPr="007F7EBF">
        <w:t xml:space="preserve"> ) </w:t>
      </w:r>
      <w:r>
        <w:t>Qui la resistenza alla funzione tributaria diventava ribellione politica, duramente sanzionata, a seconda della sua intensità; nella storia, molte ribellioni, specie indipendentiste, iniziarono con rivolte fiscali ad elevato valore simbolico, da Masaniello a</w:t>
      </w:r>
      <w:r w:rsidRPr="007F7EBF">
        <w:t xml:space="preserve">l </w:t>
      </w:r>
      <w:r w:rsidRPr="007F7EBF">
        <w:rPr>
          <w:i/>
        </w:rPr>
        <w:t xml:space="preserve">boston tea party </w:t>
      </w:r>
      <w:r w:rsidRPr="007F7EBF">
        <w:t xml:space="preserve">per l’indipendenza americana, </w:t>
      </w:r>
      <w:r>
        <w:t>al</w:t>
      </w:r>
      <w:r w:rsidRPr="007F7EBF">
        <w:t>la marcia del sale di Ghandi per quella indiana, o lo sciopero del fumo prima delle cinque giornate di Milano. Ammiccamenti in questo senso si sono visti anche nelle contingenze politiche nostrane, soprattutto da parte di forze politiche che lanciavano messaggi di separazioni territoriali, come vedremo al par.10.8 sui tributi locali.</w:t>
      </w:r>
    </w:p>
  </w:footnote>
  <w:footnote w:id="931">
    <w:p w14:paraId="5AEA81AA" w14:textId="392D2D52" w:rsidR="003B7460" w:rsidRPr="007F7EBF" w:rsidRDefault="003B7460">
      <w:pPr>
        <w:pStyle w:val="Testonotaapidipagina"/>
      </w:pPr>
      <w:r w:rsidRPr="007F7EBF">
        <w:rPr>
          <w:rStyle w:val="Rimandonotaapidipagina"/>
        </w:rPr>
        <w:footnoteRef/>
      </w:r>
      <w:r w:rsidRPr="007F7EBF">
        <w:t xml:space="preserve"> </w:t>
      </w:r>
      <w:r>
        <w:t xml:space="preserve">) Dove riemerge la diversità tra individui e “gruppi sociali”, come filo </w:t>
      </w:r>
      <w:r w:rsidRPr="007F7EBF">
        <w:t>condutto</w:t>
      </w:r>
      <w:r>
        <w:t>re</w:t>
      </w:r>
      <w:r w:rsidRPr="007F7EBF">
        <w:t xml:space="preserve"> del testo</w:t>
      </w:r>
      <w:r>
        <w:t xml:space="preserve"> dal</w:t>
      </w:r>
      <w:r w:rsidRPr="007F7EBF">
        <w:t xml:space="preserve"> par. </w:t>
      </w:r>
      <w:r>
        <w:t xml:space="preserve">4.1 al </w:t>
      </w:r>
      <w:r w:rsidRPr="007F7EBF">
        <w:t>3.7</w:t>
      </w:r>
      <w:r>
        <w:t xml:space="preserve">. </w:t>
      </w:r>
    </w:p>
  </w:footnote>
  <w:footnote w:id="932">
    <w:p w14:paraId="717D304B" w14:textId="77777777" w:rsidR="003B7460" w:rsidRPr="007F7EBF" w:rsidRDefault="003B7460">
      <w:pPr>
        <w:pStyle w:val="Testonotaapidipagina"/>
      </w:pPr>
      <w:r w:rsidRPr="007F7EBF">
        <w:rPr>
          <w:rStyle w:val="Rimandonotaapidipagina"/>
        </w:rPr>
        <w:footnoteRef/>
      </w:r>
      <w:r w:rsidRPr="007F7EBF">
        <w:t xml:space="preserve"> ) Quando invece il titolare usa l’organizzazione per nascondere ricchezza in proprio, non è l’organizzazione a commettere una violazione, ma è la persona fisica che la controlla, come spiegato al par.3.7 e 5.17 ss.. </w:t>
      </w:r>
    </w:p>
  </w:footnote>
  <w:footnote w:id="933">
    <w:p w14:paraId="640E0297" w14:textId="22D77597" w:rsidR="003B7460" w:rsidRPr="007F7EBF" w:rsidRDefault="003B7460" w:rsidP="001F6534">
      <w:pPr>
        <w:pStyle w:val="Testonotaapidipagina"/>
      </w:pPr>
      <w:r w:rsidRPr="007F7EBF">
        <w:rPr>
          <w:rStyle w:val="Rimandonotaapidipagina"/>
        </w:rPr>
        <w:footnoteRef/>
      </w:r>
      <w:r w:rsidRPr="007F7EBF">
        <w:t xml:space="preserve"> ) </w:t>
      </w:r>
      <w:r>
        <w:rPr>
          <w:bCs/>
        </w:rPr>
        <w:t xml:space="preserve">E’ il riflesso tributario di </w:t>
      </w:r>
      <w:r w:rsidRPr="007F7EBF">
        <w:t xml:space="preserve">una </w:t>
      </w:r>
      <w:r>
        <w:t xml:space="preserve">reazione istintiva, a vedere le sanzioni come surrogato delle pubbliche funzioni; è una reazione </w:t>
      </w:r>
      <w:r w:rsidRPr="007F7EBF">
        <w:t>“</w:t>
      </w:r>
      <w:proofErr w:type="spellStart"/>
      <w:r w:rsidRPr="007F7EBF">
        <w:t>giustizialistica</w:t>
      </w:r>
      <w:proofErr w:type="spellEnd"/>
      <w:r w:rsidRPr="007F7EBF">
        <w:t>” alla scarsità degli interventi degli uffici</w:t>
      </w:r>
      <w:r>
        <w:t xml:space="preserve">, </w:t>
      </w:r>
      <w:r w:rsidRPr="007F7EBF">
        <w:t>riflesso dell’illusione dell’”onnipotenza legislativa”, di cui al par.2.4</w:t>
      </w:r>
      <w:r>
        <w:t xml:space="preserve">. Si ritrova questa tendenza nei più svariati settori, dalle </w:t>
      </w:r>
      <w:r w:rsidRPr="007F7EBF">
        <w:t xml:space="preserve">prescrizioni bizzarre </w:t>
      </w:r>
      <w:r>
        <w:t>in materia di privacy, ambiente, autoveicoli</w:t>
      </w:r>
      <w:r w:rsidRPr="007F7EBF">
        <w:t xml:space="preserve">, antiriciclaggio, antimafia </w:t>
      </w:r>
      <w:r>
        <w:t xml:space="preserve">(con certificati </w:t>
      </w:r>
      <w:r w:rsidRPr="007F7EBF">
        <w:t>anche per una conferenza</w:t>
      </w:r>
      <w:r>
        <w:t>)</w:t>
      </w:r>
      <w:r w:rsidRPr="007F7EBF">
        <w:t xml:space="preserve">, anticorruzione per prestazioni gratuite, ai registri di fabbricato,  certificazioni energetiche per mettere gli annunci di compravendita immobiliare, </w:t>
      </w:r>
      <w:r>
        <w:t xml:space="preserve">fino al </w:t>
      </w:r>
      <w:r w:rsidRPr="00C36469">
        <w:rPr>
          <w:i/>
        </w:rPr>
        <w:t>microchip</w:t>
      </w:r>
      <w:r>
        <w:t xml:space="preserve"> per cani e gatti. </w:t>
      </w:r>
      <w:r w:rsidRPr="007F7EBF">
        <w:t>Sarebbe come se, vista la scarsa disponibilità di controllori sugli autobus, si determinasse in mille euro la sanzione per chi è senza biglietto</w:t>
      </w:r>
      <w:r>
        <w:t xml:space="preserve">, o  al limite si comminasse </w:t>
      </w:r>
      <w:r w:rsidRPr="007F7EBF">
        <w:t>l’ergastolo per la mancata emissione di uno scontrino fiscale</w:t>
      </w:r>
      <w:r>
        <w:t xml:space="preserve"> (par.7.7)</w:t>
      </w:r>
      <w:r w:rsidRPr="007F7EBF">
        <w:rPr>
          <w:bCs/>
        </w:rPr>
        <w:t>.</w:t>
      </w:r>
      <w:r>
        <w:rPr>
          <w:bCs/>
        </w:rPr>
        <w:t xml:space="preserve"> Questo delirio burocratico </w:t>
      </w:r>
      <w:r>
        <w:t xml:space="preserve">crea situazioni dove </w:t>
      </w:r>
      <w:r w:rsidRPr="007F7EBF">
        <w:t>“non si può fare, ma lo fanno tutti”</w:t>
      </w:r>
      <w:r>
        <w:t xml:space="preserve">, </w:t>
      </w:r>
      <w:r w:rsidRPr="007F7EBF">
        <w:t>e chi non lo fa passa per un marziano</w:t>
      </w:r>
      <w:r>
        <w:t>, sugellando solo l’impotenza dei pubblici poteri</w:t>
      </w:r>
      <w:r w:rsidRPr="007F7EBF">
        <w:t xml:space="preserve">. </w:t>
      </w:r>
      <w:r>
        <w:t xml:space="preserve">La sintesi si </w:t>
      </w:r>
      <w:r>
        <w:rPr>
          <w:bCs/>
        </w:rPr>
        <w:t xml:space="preserve">assesta al ribasso: gli uffici si risparmiano il controllo, ma acquistano un enorme potere, </w:t>
      </w:r>
      <w:r w:rsidRPr="007F7EBF">
        <w:t xml:space="preserve">soprattutto </w:t>
      </w:r>
      <w:r>
        <w:t xml:space="preserve">ai bassi livelli, come quelli dei </w:t>
      </w:r>
      <w:r w:rsidRPr="007F7EBF">
        <w:rPr>
          <w:i/>
        </w:rPr>
        <w:t xml:space="preserve">caporali </w:t>
      </w:r>
      <w:r w:rsidRPr="007F7EBF">
        <w:t xml:space="preserve">di Totò, </w:t>
      </w:r>
      <w:r>
        <w:t xml:space="preserve">del </w:t>
      </w:r>
      <w:r w:rsidRPr="007F7EBF">
        <w:t xml:space="preserve"> </w:t>
      </w:r>
      <w:r w:rsidRPr="007F7EBF">
        <w:rPr>
          <w:i/>
        </w:rPr>
        <w:t>lei non sa chi sono io</w:t>
      </w:r>
      <w:r>
        <w:rPr>
          <w:i/>
        </w:rPr>
        <w:t xml:space="preserve"> </w:t>
      </w:r>
      <w:r>
        <w:t>e del</w:t>
      </w:r>
      <w:r w:rsidRPr="00C36469">
        <w:rPr>
          <w:i/>
        </w:rPr>
        <w:t xml:space="preserve"> se voglio posso rovinarla</w:t>
      </w:r>
      <w:r>
        <w:t xml:space="preserve"> </w:t>
      </w:r>
      <w:r>
        <w:rPr>
          <w:bCs/>
          <w:sz w:val="22"/>
          <w:szCs w:val="22"/>
        </w:rPr>
        <w:t xml:space="preserve">; ciò </w:t>
      </w:r>
      <w:r w:rsidRPr="007F7EBF">
        <w:rPr>
          <w:bCs/>
          <w:sz w:val="22"/>
          <w:szCs w:val="22"/>
        </w:rPr>
        <w:t>asseconda la tendenza a svolge</w:t>
      </w:r>
      <w:r>
        <w:rPr>
          <w:bCs/>
          <w:sz w:val="22"/>
          <w:szCs w:val="22"/>
        </w:rPr>
        <w:t>re</w:t>
      </w:r>
      <w:r w:rsidRPr="007F7EBF">
        <w:rPr>
          <w:bCs/>
          <w:sz w:val="22"/>
          <w:szCs w:val="22"/>
        </w:rPr>
        <w:t xml:space="preserve"> meno </w:t>
      </w:r>
      <w:r>
        <w:rPr>
          <w:bCs/>
          <w:sz w:val="22"/>
          <w:szCs w:val="22"/>
        </w:rPr>
        <w:t>controlli</w:t>
      </w:r>
      <w:r>
        <w:t>, f</w:t>
      </w:r>
      <w:r w:rsidRPr="007F7EBF">
        <w:t>acendoseli durare, come spiegato al par.5.7, nonché spostandoli sulle questioni di diritto rispetto alla stima della ricchezza non registrata.</w:t>
      </w:r>
      <w:r>
        <w:t xml:space="preserve"> I</w:t>
      </w:r>
      <w:r>
        <w:rPr>
          <w:bCs/>
        </w:rPr>
        <w:t xml:space="preserve"> contribuenti sono esposti a questi rischi, gravi, ma remoti, e che disattendono con l’atteggiamento visibile </w:t>
      </w:r>
      <w:r w:rsidRPr="007F7EBF">
        <w:t xml:space="preserve">digitando su </w:t>
      </w:r>
      <w:proofErr w:type="spellStart"/>
      <w:r w:rsidRPr="007F7EBF">
        <w:t>youtube</w:t>
      </w:r>
      <w:proofErr w:type="spellEnd"/>
      <w:r w:rsidRPr="007F7EBF">
        <w:t xml:space="preserve"> “sanzionami questo”</w:t>
      </w:r>
      <w:r>
        <w:t xml:space="preserve">; </w:t>
      </w:r>
      <w:r>
        <w:rPr>
          <w:bCs/>
        </w:rPr>
        <w:t xml:space="preserve">la politica si sente potente e i giornali oscillano tra gli opposti sensazionalismi di cui al par.4.4. </w:t>
      </w:r>
      <w:r>
        <w:t xml:space="preserve">Ci rimette solo l’immagine dell’intero settore pubblico, che s’appropria di metà del PIL, mostrando di ricambiare solo con seccature, prese sul serio esclusivamente da e burocrazie aziendali sempre più appesantite e disaffezionate, nei modi descritti al par.5.19. </w:t>
      </w:r>
    </w:p>
  </w:footnote>
  <w:footnote w:id="934">
    <w:p w14:paraId="3021F23E" w14:textId="5B3E2086" w:rsidR="003B7460" w:rsidRDefault="003B7460">
      <w:pPr>
        <w:pStyle w:val="Testonotaapidipagina"/>
      </w:pPr>
      <w:r>
        <w:rPr>
          <w:rStyle w:val="Rimandonotaapidipagina"/>
        </w:rPr>
        <w:footnoteRef/>
      </w:r>
      <w:r>
        <w:t xml:space="preserve"> ) T</w:t>
      </w:r>
      <w:r w:rsidRPr="007F7EBF">
        <w:rPr>
          <w:bCs/>
        </w:rPr>
        <w:t>ipico dei tempi di</w:t>
      </w:r>
      <w:r>
        <w:rPr>
          <w:bCs/>
        </w:rPr>
        <w:t xml:space="preserve"> </w:t>
      </w:r>
      <w:r w:rsidRPr="007F7EBF">
        <w:rPr>
          <w:bCs/>
        </w:rPr>
        <w:t xml:space="preserve">turbamento sociale, dai tempi delle streghe e degli untori </w:t>
      </w:r>
      <w:r w:rsidRPr="007F7EBF">
        <w:t xml:space="preserve">di manzoniana memoria, come le </w:t>
      </w:r>
      <w:r w:rsidRPr="00577BA2">
        <w:rPr>
          <w:i/>
        </w:rPr>
        <w:t>grida</w:t>
      </w:r>
      <w:r w:rsidRPr="007F7EBF">
        <w:t>, applicate poi solo su qualche malcapitato, per casi fortuiti o dispetti personali.</w:t>
      </w:r>
    </w:p>
  </w:footnote>
  <w:footnote w:id="935">
    <w:p w14:paraId="011EF47A" w14:textId="77777777" w:rsidR="003B7460" w:rsidRPr="007F7EBF" w:rsidRDefault="003B7460" w:rsidP="008A562E">
      <w:pPr>
        <w:pStyle w:val="Testonotaapidipagina"/>
      </w:pPr>
      <w:r w:rsidRPr="007F7EBF">
        <w:rPr>
          <w:rStyle w:val="Rimandonotaapidipagina"/>
        </w:rPr>
        <w:footnoteRef/>
      </w:r>
      <w:r w:rsidRPr="007F7EBF">
        <w:t xml:space="preserve"> ) Il vecchio motto, “</w:t>
      </w:r>
      <w:r w:rsidRPr="007F7EBF">
        <w:rPr>
          <w:bCs/>
        </w:rPr>
        <w:t>colpirne uno per educarne cento</w:t>
      </w:r>
      <w:r w:rsidRPr="007F7EBF">
        <w:t xml:space="preserve">”, passato dagli slogan delle brigate rosse a quello della c.d. "lotta all'evasione" (par.4.6), poteva forse andar bene per piccole minoranze di fantomatici nemici del proletariato, non per il rapporto tributario "di massa" degli operatori economici di un paese moderno. </w:t>
      </w:r>
      <w:r>
        <w:t>Anzi, proprio la rarità dei controlli trasforma chi li subisce in una specie di vittima, alimentando le tendenze “antifisco”(</w:t>
      </w:r>
      <w:r w:rsidRPr="007F7EBF">
        <w:t>par. 4.6</w:t>
      </w:r>
      <w:r>
        <w:t>). Si innesca forse addirittura un circolo vizioso secondo cui la rarità dei controlli, mescolata all’idea di “lotta all’evasione”, spinge ad un certo rigore. Esso appare ingiustificato rispetto alla diffusione dei comportamenti sottostanti, che gli stessi controllati rilevano, presentandosi come “vittime casuali” di un sistema sperequato (</w:t>
      </w:r>
      <w:r w:rsidRPr="00FF4492">
        <w:rPr>
          <w:i/>
        </w:rPr>
        <w:t>perché solo io?</w:t>
      </w:r>
      <w:r>
        <w:t xml:space="preserve">); questo addirittura, nel discorso pubblico, è paradossalmente un argomento a difesa dell’evasione.  Si crea così un </w:t>
      </w:r>
      <w:r w:rsidRPr="007F7EBF">
        <w:t xml:space="preserve">polverone </w:t>
      </w:r>
      <w:r>
        <w:t xml:space="preserve">criminogeno, perché in ultima analisi </w:t>
      </w:r>
      <w:r w:rsidRPr="007F7EBF">
        <w:t>"se tutti sono delinquenti nessuno è delinquente".</w:t>
      </w:r>
    </w:p>
  </w:footnote>
  <w:footnote w:id="936">
    <w:p w14:paraId="07CC539E" w14:textId="60F997EB" w:rsidR="003B7460" w:rsidRPr="007F7EBF" w:rsidRDefault="003B7460" w:rsidP="00E12262">
      <w:pPr>
        <w:pStyle w:val="Testonotaapidipagina"/>
      </w:pPr>
      <w:r w:rsidRPr="007F7EBF">
        <w:rPr>
          <w:rStyle w:val="Rimandonotaapidipagina"/>
        </w:rPr>
        <w:footnoteRef/>
      </w:r>
      <w:r w:rsidRPr="007F7EBF">
        <w:t xml:space="preserve"> )</w:t>
      </w:r>
      <w:r>
        <w:t xml:space="preserve"> Arrivando al massimo a una loro sottrazione totale tra imposte e sanzioni, </w:t>
      </w:r>
      <w:r w:rsidRPr="007F7EBF">
        <w:rPr>
          <w:bCs/>
          <w:sz w:val="22"/>
          <w:szCs w:val="22"/>
        </w:rPr>
        <w:t xml:space="preserve">senza </w:t>
      </w:r>
      <w:r w:rsidRPr="007F7EBF">
        <w:rPr>
          <w:sz w:val="22"/>
          <w:szCs w:val="22"/>
        </w:rPr>
        <w:t>aggredire il resto del patrimonio del trasgressore, che tra l’altro potrebbe anche mancare</w:t>
      </w:r>
      <w:r>
        <w:rPr>
          <w:sz w:val="22"/>
          <w:szCs w:val="22"/>
        </w:rPr>
        <w:t xml:space="preserve"> (cfr.</w:t>
      </w:r>
      <w:r w:rsidRPr="007F7EBF">
        <w:t xml:space="preserve"> par.4.5 sul rapporto tra aliquote e evasione</w:t>
      </w:r>
      <w:r>
        <w:t>)</w:t>
      </w:r>
      <w:r w:rsidRPr="007F7EBF">
        <w:t>.</w:t>
      </w:r>
    </w:p>
  </w:footnote>
  <w:footnote w:id="937">
    <w:p w14:paraId="793CA6E2" w14:textId="77777777" w:rsidR="003B7460" w:rsidRDefault="003B7460" w:rsidP="0024710E">
      <w:pPr>
        <w:pStyle w:val="Testonotaapidipagina"/>
      </w:pPr>
      <w:r>
        <w:rPr>
          <w:rStyle w:val="Rimandonotaapidipagina"/>
        </w:rPr>
        <w:footnoteRef/>
      </w:r>
      <w:r>
        <w:t xml:space="preserve"> ) In quanto la più elevata sanzione per “infedele” determinazione dell’imposta assorbe quella per il suo omesso versamento, e la sanzione per il mancato pagamento di imposte richieste dagli uffici, per effetto dell’art.13 decreto 471, è un raro incidente di percorso, limitato ad alcune fattispecie nel quadro delle imposte sugli “atti solenni” (Registro etc.), di cui al par.10.1 ss. </w:t>
      </w:r>
    </w:p>
  </w:footnote>
  <w:footnote w:id="938">
    <w:p w14:paraId="26DB11EE" w14:textId="77777777" w:rsidR="003B7460" w:rsidRDefault="003B7460" w:rsidP="0024710E">
      <w:pPr>
        <w:pStyle w:val="Testonotaapidipagina"/>
      </w:pPr>
      <w:r>
        <w:rPr>
          <w:rStyle w:val="Rimandonotaapidipagina"/>
        </w:rPr>
        <w:footnoteRef/>
      </w:r>
      <w:r>
        <w:t xml:space="preserve"> ) Intendendo per “dichiarate” anche quelle </w:t>
      </w:r>
      <w:r>
        <w:rPr>
          <w:sz w:val="22"/>
          <w:szCs w:val="22"/>
        </w:rPr>
        <w:t>rideterminate in base alla correzione degli errori formali della dichiarazione (</w:t>
      </w:r>
      <w:r w:rsidRPr="007F7EBF">
        <w:rPr>
          <w:sz w:val="22"/>
          <w:szCs w:val="22"/>
        </w:rPr>
        <w:t>par.5.5</w:t>
      </w:r>
      <w:r>
        <w:rPr>
          <w:sz w:val="22"/>
          <w:szCs w:val="22"/>
        </w:rPr>
        <w:t xml:space="preserve">). </w:t>
      </w:r>
    </w:p>
  </w:footnote>
  <w:footnote w:id="939">
    <w:p w14:paraId="3D4BAB9B" w14:textId="77777777" w:rsidR="003B7460" w:rsidRDefault="003B7460" w:rsidP="0024710E">
      <w:pPr>
        <w:pStyle w:val="Testonotaapidipagina"/>
      </w:pPr>
      <w:r>
        <w:rPr>
          <w:rStyle w:val="Rimandonotaapidipagina"/>
        </w:rPr>
        <w:footnoteRef/>
      </w:r>
      <w:r>
        <w:t xml:space="preserve"> ) Anch’essa ridotta per ritardi brevi. </w:t>
      </w:r>
    </w:p>
  </w:footnote>
  <w:footnote w:id="940">
    <w:p w14:paraId="5D934FE2" w14:textId="77777777" w:rsidR="003B7460" w:rsidRPr="007F7EBF" w:rsidRDefault="003B7460" w:rsidP="001E07E2">
      <w:pPr>
        <w:pStyle w:val="Testonotaapidipagina"/>
      </w:pPr>
      <w:r w:rsidRPr="007F7EBF">
        <w:rPr>
          <w:rStyle w:val="Rimandonotaapidipagina"/>
        </w:rPr>
        <w:footnoteRef/>
      </w:r>
      <w:r w:rsidRPr="007F7EBF">
        <w:t xml:space="preserve"> )</w:t>
      </w:r>
      <w:r>
        <w:t xml:space="preserve"> Ad esempio gli espedienti per non registrare compensi fatturati sono più gravi della semplice mancata registrazione dei compensi</w:t>
      </w:r>
      <w:r w:rsidRPr="007F7EBF">
        <w:t xml:space="preserve">.  </w:t>
      </w:r>
    </w:p>
  </w:footnote>
  <w:footnote w:id="941">
    <w:p w14:paraId="22F72466" w14:textId="2F857864" w:rsidR="003B7460" w:rsidRDefault="003B7460" w:rsidP="007253A9">
      <w:pPr>
        <w:pStyle w:val="Testonotaapidipagina"/>
      </w:pPr>
      <w:r>
        <w:rPr>
          <w:rStyle w:val="Rimandonotaapidipagina"/>
        </w:rPr>
        <w:footnoteRef/>
      </w:r>
      <w:r>
        <w:t xml:space="preserve"> )</w:t>
      </w:r>
      <w:r w:rsidRPr="007253A9">
        <w:rPr>
          <w:sz w:val="22"/>
          <w:szCs w:val="22"/>
        </w:rPr>
        <w:t xml:space="preserve"> </w:t>
      </w:r>
      <w:r>
        <w:rPr>
          <w:sz w:val="22"/>
          <w:szCs w:val="22"/>
        </w:rPr>
        <w:t>I parametri normativi, ispirati al diritto penale, sono</w:t>
      </w:r>
      <w:r w:rsidRPr="007F7EBF">
        <w:rPr>
          <w:sz w:val="22"/>
          <w:szCs w:val="22"/>
        </w:rPr>
        <w:t xml:space="preserve"> la gravità della violazione, la personalità del reo, le violazioni commesse in anni precedenti etc.;</w:t>
      </w:r>
    </w:p>
  </w:footnote>
  <w:footnote w:id="942">
    <w:p w14:paraId="7459731A" w14:textId="3429200D" w:rsidR="003B7460" w:rsidRDefault="003B7460">
      <w:pPr>
        <w:pStyle w:val="Testonotaapidipagina"/>
      </w:pPr>
      <w:r>
        <w:rPr>
          <w:rStyle w:val="Rimandonotaapidipagina"/>
        </w:rPr>
        <w:footnoteRef/>
      </w:r>
      <w:r>
        <w:t xml:space="preserve"> ) Ad esempio quando vengono accertate violazioni in anni consecutivi, quelle degli anni successivi sono sanzionate più gravemente, come se si trattasse di una recidiva (che invece riguarda le violazioni successive alla prima punizione, secondo quanto diremo ora nel testo per la c.d. “continuazione”). </w:t>
      </w:r>
    </w:p>
  </w:footnote>
  <w:footnote w:id="943">
    <w:p w14:paraId="6D07401E" w14:textId="738CA85D" w:rsidR="003B7460" w:rsidRPr="007F7EBF" w:rsidRDefault="003B7460" w:rsidP="00D13DE5">
      <w:pPr>
        <w:pStyle w:val="Testonotaapidipagina"/>
      </w:pPr>
      <w:r w:rsidRPr="007F7EBF">
        <w:rPr>
          <w:rStyle w:val="Rimandonotaapidipagina"/>
        </w:rPr>
        <w:footnoteRef/>
      </w:r>
      <w:r w:rsidRPr="007F7EBF">
        <w:t xml:space="preserve"> </w:t>
      </w:r>
      <w:r>
        <w:t xml:space="preserve">) Si tratta delle c.d. </w:t>
      </w:r>
      <w:r w:rsidRPr="007F7EBF">
        <w:t>contestazioni  interpretative, per le quali esiste solo una clausola di non punibilità in caso di obiettiva incertezza</w:t>
      </w:r>
      <w:r>
        <w:t xml:space="preserve">, </w:t>
      </w:r>
      <w:r w:rsidRPr="007F7EBF">
        <w:t xml:space="preserve">principio di </w:t>
      </w:r>
      <w:r>
        <w:t xml:space="preserve">buonsenso </w:t>
      </w:r>
      <w:r w:rsidRPr="007F7EBF">
        <w:t>oggi contenuto nell’art. 6 comma 2 decreto 472-1997</w:t>
      </w:r>
      <w:r>
        <w:t xml:space="preserve">. </w:t>
      </w:r>
      <w:r w:rsidRPr="007F7EBF">
        <w:t xml:space="preserve">  </w:t>
      </w:r>
    </w:p>
  </w:footnote>
  <w:footnote w:id="944">
    <w:p w14:paraId="2EC54EDA" w14:textId="62333003" w:rsidR="003B7460" w:rsidRDefault="003B7460">
      <w:pPr>
        <w:pStyle w:val="Testonotaapidipagina"/>
      </w:pPr>
      <w:r>
        <w:rPr>
          <w:rStyle w:val="Rimandonotaapidipagina"/>
        </w:rPr>
        <w:footnoteRef/>
      </w:r>
      <w:r>
        <w:t xml:space="preserve"> ) </w:t>
      </w:r>
      <w:r>
        <w:rPr>
          <w:sz w:val="22"/>
          <w:szCs w:val="22"/>
        </w:rPr>
        <w:t xml:space="preserve">Si pensi all’omessa registrazione di corrispettivi, cui è riportabile (par.3.7) la maggior parte dell’evasione. </w:t>
      </w:r>
    </w:p>
  </w:footnote>
  <w:footnote w:id="945">
    <w:p w14:paraId="31326260" w14:textId="7F2381E7" w:rsidR="003B7460" w:rsidRPr="006851A9" w:rsidRDefault="003B7460">
      <w:pPr>
        <w:pStyle w:val="Testonotaapidipagina"/>
      </w:pPr>
      <w:r>
        <w:rPr>
          <w:rStyle w:val="Rimandonotaapidipagina"/>
        </w:rPr>
        <w:footnoteRef/>
      </w:r>
      <w:r w:rsidRPr="006851A9">
        <w:t xml:space="preserve"> ) </w:t>
      </w:r>
      <w:r>
        <w:t xml:space="preserve">Che segue l’istituto della “continuazione”, </w:t>
      </w:r>
      <w:r w:rsidRPr="006851A9">
        <w:t>n</w:t>
      </w:r>
      <w:r>
        <w:t xml:space="preserve">ato nel diritto penale e diretto ad evitare che </w:t>
      </w:r>
      <w:r w:rsidRPr="007F7EBF">
        <w:rPr>
          <w:sz w:val="22"/>
          <w:szCs w:val="22"/>
        </w:rPr>
        <w:t>una violazione</w:t>
      </w:r>
      <w:r>
        <w:rPr>
          <w:sz w:val="22"/>
          <w:szCs w:val="22"/>
        </w:rPr>
        <w:t xml:space="preserve"> </w:t>
      </w:r>
      <w:r w:rsidRPr="007F7EBF">
        <w:rPr>
          <w:sz w:val="22"/>
          <w:szCs w:val="22"/>
        </w:rPr>
        <w:t>lieve, ripetuta tante volte, sia punita più severamente di violazioni molto più gravi.</w:t>
      </w:r>
    </w:p>
  </w:footnote>
  <w:footnote w:id="946">
    <w:p w14:paraId="4C3717CA" w14:textId="772FD0B6" w:rsidR="003B7460" w:rsidRPr="007F7EBF" w:rsidRDefault="003B7460" w:rsidP="00560B1D">
      <w:pPr>
        <w:pStyle w:val="Testonotaapidipagina"/>
      </w:pPr>
      <w:r w:rsidRPr="007F7EBF">
        <w:rPr>
          <w:rStyle w:val="Rimandonotaapidipagina"/>
        </w:rPr>
        <w:footnoteRef/>
      </w:r>
      <w:r>
        <w:t>)</w:t>
      </w:r>
      <w:r w:rsidRPr="007F7EBF">
        <w:t xml:space="preserve"> Il calcolo del cumulo </w:t>
      </w:r>
      <w:r>
        <w:t>(a</w:t>
      </w:r>
      <w:r w:rsidRPr="006851A9">
        <w:t>rt. 12 comma 1 d.lgs. 472</w:t>
      </w:r>
      <w:r>
        <w:t xml:space="preserve">) </w:t>
      </w:r>
      <w:r w:rsidRPr="007F7EBF">
        <w:t xml:space="preserve">è demandato all'ufficio, e quindi questa mitigazione non si applica per le autodeterminazioni delle sanzioni in sede di "ravvedimento operoso", da parte del contribuente, di cui al par.3.4.  </w:t>
      </w:r>
    </w:p>
  </w:footnote>
  <w:footnote w:id="947">
    <w:p w14:paraId="74A72A10" w14:textId="6449706A" w:rsidR="003B7460" w:rsidRPr="007F7EBF" w:rsidRDefault="003B7460" w:rsidP="00617312">
      <w:pPr>
        <w:pStyle w:val="Testonotaapidipagina"/>
      </w:pPr>
      <w:r w:rsidRPr="007F7EBF">
        <w:rPr>
          <w:rStyle w:val="Rimandonotaapidipagina"/>
        </w:rPr>
        <w:footnoteRef/>
      </w:r>
      <w:r w:rsidRPr="007F7EBF">
        <w:t xml:space="preserve"> ) </w:t>
      </w:r>
      <w:r>
        <w:t xml:space="preserve">L’idea di “sanzione impropria” è per molti versi teoricamente riportabile alla categoria giuridica privatistica dell’”onere”, come riflessi di violazioni di un dovere di diligenza del contribuente nella determinazione degli imponibili; come tali esse sono per molti versi fuori luogo nella funzione tributaria di corretta determinazione della ricchezza; ne ricordo gli esempi (molti dei quali non più in vigore) dei </w:t>
      </w:r>
      <w:r w:rsidRPr="007F7EBF">
        <w:t>costi non annotati in apposite scritture contabili o non evidenziati negli appositi riquadri delle dichiarazioni dei redditi</w:t>
      </w:r>
      <w:r>
        <w:t xml:space="preserve">, delle </w:t>
      </w:r>
      <w:r w:rsidRPr="007F7EBF">
        <w:t xml:space="preserve">formalità per documentare la distruzione di beni avariati o </w:t>
      </w:r>
      <w:r>
        <w:t>delle</w:t>
      </w:r>
      <w:r w:rsidRPr="007F7EBF">
        <w:t xml:space="preserve"> presunzioni di cessione e acquisto di beni reperiti presso l’azienda.  </w:t>
      </w:r>
      <w:r>
        <w:t xml:space="preserve">La sanzioni improprie, oggi recessive, sono un tema “tecnico”, comunque meritevole di tesi di laurea o dottorato. </w:t>
      </w:r>
    </w:p>
  </w:footnote>
  <w:footnote w:id="948">
    <w:p w14:paraId="0869CCDF" w14:textId="640CB390" w:rsidR="003B7460" w:rsidRPr="007F7EBF" w:rsidRDefault="003B7460" w:rsidP="00C55637">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Pr>
          <w:sz w:val="22"/>
          <w:szCs w:val="22"/>
        </w:rPr>
        <w:t xml:space="preserve">Nel caso di “definizione”, la riduzione è </w:t>
      </w:r>
      <w:r w:rsidRPr="007F7EBF">
        <w:rPr>
          <w:sz w:val="22"/>
          <w:szCs w:val="22"/>
        </w:rPr>
        <w:t>inizialmente a un terzo del minimo, poi a una percentuale</w:t>
      </w:r>
      <w:r>
        <w:rPr>
          <w:sz w:val="22"/>
          <w:szCs w:val="22"/>
        </w:rPr>
        <w:t xml:space="preserve"> </w:t>
      </w:r>
      <w:r w:rsidRPr="007F7EBF">
        <w:rPr>
          <w:sz w:val="22"/>
          <w:szCs w:val="22"/>
        </w:rPr>
        <w:t>superiore, fino alla conciliazione giudiziale</w:t>
      </w:r>
      <w:r>
        <w:rPr>
          <w:sz w:val="22"/>
          <w:szCs w:val="22"/>
        </w:rPr>
        <w:t xml:space="preserve">, dove </w:t>
      </w:r>
      <w:r>
        <w:rPr>
          <w:sz w:val="20"/>
          <w:szCs w:val="20"/>
        </w:rPr>
        <w:t xml:space="preserve">la riduzione è commisurata alla sanzione applicata, non al minimo. </w:t>
      </w:r>
    </w:p>
  </w:footnote>
  <w:footnote w:id="949">
    <w:p w14:paraId="5678E6E8" w14:textId="39A443FA" w:rsidR="003B7460" w:rsidRDefault="003B7460">
      <w:pPr>
        <w:pStyle w:val="Testonotaapidipagina"/>
      </w:pPr>
      <w:r>
        <w:rPr>
          <w:rStyle w:val="Rimandonotaapidipagina"/>
        </w:rPr>
        <w:footnoteRef/>
      </w:r>
      <w:r>
        <w:t xml:space="preserve"> ) Anche questa è un’altra disfunzione del meccanicismo indotto dall’idea del “diritto come regole” anziché “come esercizio di funzioni” , secondo il filo conduttore teorico generale del presente volume (parr.1.3, 4.3, 4.7). </w:t>
      </w:r>
    </w:p>
  </w:footnote>
  <w:footnote w:id="950">
    <w:p w14:paraId="2A32C236" w14:textId="1786A2E2" w:rsidR="003B7460" w:rsidRPr="007F7EBF" w:rsidRDefault="003B7460" w:rsidP="00E12262">
      <w:pPr>
        <w:pStyle w:val="Testonotaapidipagina"/>
      </w:pPr>
      <w:r w:rsidRPr="007F7EBF">
        <w:rPr>
          <w:rStyle w:val="Rimandonotaapidipagina"/>
        </w:rPr>
        <w:footnoteRef/>
      </w:r>
      <w:r w:rsidRPr="007F7EBF">
        <w:t xml:space="preserve"> </w:t>
      </w:r>
      <w:r>
        <w:t>) Oppure che il destinatario può estinguere in via breve</w:t>
      </w:r>
      <w:r w:rsidRPr="007F7EBF">
        <w:t xml:space="preserve"> (art.16 dpr 472 del 1997)</w:t>
      </w:r>
      <w:r>
        <w:t>.</w:t>
      </w:r>
    </w:p>
  </w:footnote>
  <w:footnote w:id="951">
    <w:p w14:paraId="6CD79B29" w14:textId="7C1BC3DD" w:rsidR="003B7460" w:rsidRDefault="003B7460">
      <w:pPr>
        <w:pStyle w:val="Testonotaapidipagina"/>
      </w:pPr>
      <w:r>
        <w:rPr>
          <w:rStyle w:val="Rimandonotaapidipagina"/>
        </w:rPr>
        <w:footnoteRef/>
      </w:r>
      <w:r>
        <w:t xml:space="preserve"> </w:t>
      </w:r>
      <w:r>
        <w:rPr>
          <w:sz w:val="22"/>
          <w:szCs w:val="22"/>
        </w:rPr>
        <w:t xml:space="preserve">) Sia pure “a passaggi successivi”, anche questi atti “di contestazione” sono quindi </w:t>
      </w:r>
      <w:r w:rsidRPr="007F7EBF">
        <w:rPr>
          <w:bCs/>
          <w:sz w:val="22"/>
          <w:szCs w:val="22"/>
        </w:rPr>
        <w:t>autoritativ</w:t>
      </w:r>
      <w:r w:rsidRPr="007F7EBF">
        <w:rPr>
          <w:sz w:val="22"/>
          <w:szCs w:val="22"/>
        </w:rPr>
        <w:t>i</w:t>
      </w:r>
      <w:r>
        <w:rPr>
          <w:sz w:val="22"/>
          <w:szCs w:val="22"/>
        </w:rPr>
        <w:t xml:space="preserve">, cioè </w:t>
      </w:r>
      <w:r w:rsidRPr="007F7EBF">
        <w:rPr>
          <w:sz w:val="22"/>
          <w:szCs w:val="22"/>
        </w:rPr>
        <w:t xml:space="preserve">suscettibili di diventare definitivi se non impugnati, </w:t>
      </w:r>
      <w:r>
        <w:rPr>
          <w:sz w:val="22"/>
          <w:szCs w:val="22"/>
        </w:rPr>
        <w:t>secondo la regola generale</w:t>
      </w:r>
      <w:r w:rsidRPr="007F7EBF">
        <w:rPr>
          <w:sz w:val="22"/>
          <w:szCs w:val="22"/>
        </w:rPr>
        <w:t xml:space="preserve"> indicat</w:t>
      </w:r>
      <w:r>
        <w:rPr>
          <w:sz w:val="22"/>
          <w:szCs w:val="22"/>
        </w:rPr>
        <w:t xml:space="preserve">a </w:t>
      </w:r>
      <w:r w:rsidRPr="007F7EBF">
        <w:rPr>
          <w:sz w:val="22"/>
          <w:szCs w:val="22"/>
        </w:rPr>
        <w:t>al par. 6.1</w:t>
      </w:r>
      <w:r>
        <w:rPr>
          <w:sz w:val="22"/>
          <w:szCs w:val="22"/>
        </w:rPr>
        <w:t xml:space="preserve"> (il principio del contraddittorio, ivi indicato, può essere attivato dal contribuente attraverso le deduzioni).</w:t>
      </w:r>
    </w:p>
  </w:footnote>
  <w:footnote w:id="952">
    <w:p w14:paraId="0073F00A" w14:textId="706A7E8D" w:rsidR="003B7460" w:rsidRPr="007F7EBF" w:rsidRDefault="003B7460">
      <w:pPr>
        <w:pStyle w:val="Testonotaapidipagina"/>
      </w:pPr>
      <w:r w:rsidRPr="007F7EBF">
        <w:rPr>
          <w:rStyle w:val="Rimandonotaapidipagina"/>
        </w:rPr>
        <w:footnoteRef/>
      </w:r>
      <w:r w:rsidRPr="007F7EBF">
        <w:t xml:space="preserve"> </w:t>
      </w:r>
      <w:r>
        <w:t xml:space="preserve">) Inoltre </w:t>
      </w:r>
      <w:r w:rsidRPr="007F7EBF">
        <w:rPr>
          <w:sz w:val="22"/>
          <w:szCs w:val="22"/>
        </w:rPr>
        <w:t>è più snello per gli uffici tributari sanzionare comunque l</w:t>
      </w:r>
      <w:r>
        <w:rPr>
          <w:sz w:val="22"/>
          <w:szCs w:val="22"/>
        </w:rPr>
        <w:t xml:space="preserve">’ente. Potrebbe essere approfondito, in tesi di laurea o dottorato, il macchinoso tentativo (dal 1997 al 2000) di </w:t>
      </w:r>
      <w:r>
        <w:t>punire anche la persona fisica autrice della violazione</w:t>
      </w:r>
      <w:r w:rsidRPr="007F7EBF">
        <w:t>.</w:t>
      </w:r>
    </w:p>
  </w:footnote>
  <w:footnote w:id="953">
    <w:p w14:paraId="39DC89C0" w14:textId="27AFE256" w:rsidR="003B7460" w:rsidRDefault="003B7460">
      <w:pPr>
        <w:pStyle w:val="Testonotaapidipagina"/>
      </w:pPr>
      <w:r>
        <w:rPr>
          <w:rStyle w:val="Rimandonotaapidipagina"/>
        </w:rPr>
        <w:footnoteRef/>
      </w:r>
      <w:r>
        <w:t xml:space="preserve"> ) </w:t>
      </w:r>
      <w:r>
        <w:rPr>
          <w:sz w:val="22"/>
          <w:szCs w:val="22"/>
        </w:rPr>
        <w:t>E</w:t>
      </w:r>
      <w:r w:rsidRPr="007F7EBF">
        <w:rPr>
          <w:sz w:val="22"/>
          <w:szCs w:val="22"/>
        </w:rPr>
        <w:t xml:space="preserve">ssendone stato ad esempio l’istigatore, il consigliere </w:t>
      </w:r>
      <w:r>
        <w:rPr>
          <w:sz w:val="22"/>
          <w:szCs w:val="22"/>
        </w:rPr>
        <w:t xml:space="preserve">(par.3.16 sui consulenti) </w:t>
      </w:r>
      <w:r w:rsidRPr="007F7EBF">
        <w:rPr>
          <w:sz w:val="22"/>
          <w:szCs w:val="22"/>
        </w:rPr>
        <w:t>o il partecipe</w:t>
      </w:r>
      <w:r>
        <w:rPr>
          <w:sz w:val="22"/>
          <w:szCs w:val="22"/>
        </w:rPr>
        <w:t xml:space="preserve">; tuttavia il </w:t>
      </w:r>
      <w:r w:rsidRPr="007F7EBF">
        <w:rPr>
          <w:sz w:val="22"/>
          <w:szCs w:val="22"/>
        </w:rPr>
        <w:t xml:space="preserve">principio del concorso di persone </w:t>
      </w:r>
      <w:r>
        <w:rPr>
          <w:sz w:val="22"/>
          <w:szCs w:val="22"/>
        </w:rPr>
        <w:t>ripreso dall’a</w:t>
      </w:r>
      <w:r w:rsidRPr="007F7EBF">
        <w:rPr>
          <w:sz w:val="22"/>
          <w:szCs w:val="22"/>
        </w:rPr>
        <w:t>rt. 9 del decreto n. 472/199</w:t>
      </w:r>
      <w:r>
        <w:rPr>
          <w:sz w:val="22"/>
          <w:szCs w:val="22"/>
        </w:rPr>
        <w:t xml:space="preserve">7, è di applicazione </w:t>
      </w:r>
      <w:r w:rsidRPr="007F7EBF">
        <w:rPr>
          <w:sz w:val="22"/>
          <w:szCs w:val="22"/>
        </w:rPr>
        <w:t>molto rara.</w:t>
      </w:r>
    </w:p>
  </w:footnote>
  <w:footnote w:id="954">
    <w:p w14:paraId="7ACC69A9" w14:textId="2E95E9CE" w:rsidR="003B7460" w:rsidRPr="007F7EBF" w:rsidRDefault="003B7460">
      <w:pPr>
        <w:pStyle w:val="Testonotaapidipagina"/>
      </w:pPr>
      <w:r w:rsidRPr="007F7EBF">
        <w:rPr>
          <w:rStyle w:val="Rimandonotaapidipagina"/>
        </w:rPr>
        <w:footnoteRef/>
      </w:r>
      <w:r w:rsidRPr="007F7EBF">
        <w:t xml:space="preserve"> )</w:t>
      </w:r>
      <w:r>
        <w:t xml:space="preserve"> U</w:t>
      </w:r>
      <w:r w:rsidRPr="007F7EBF">
        <w:t>na volta irrogata,</w:t>
      </w:r>
      <w:r>
        <w:t xml:space="preserve"> la sanzione resta comunque tale, senza trasformarsi mai del tutto </w:t>
      </w:r>
      <w:r w:rsidRPr="007F7EBF">
        <w:t>in un debito del defunto, trasm</w:t>
      </w:r>
      <w:r>
        <w:t xml:space="preserve">issibile come tale </w:t>
      </w:r>
      <w:r w:rsidRPr="007F7EBF">
        <w:t>agli eredi.</w:t>
      </w:r>
    </w:p>
  </w:footnote>
  <w:footnote w:id="955">
    <w:p w14:paraId="2CF81209" w14:textId="7DECDBA1" w:rsidR="003B7460" w:rsidRDefault="003B7460">
      <w:pPr>
        <w:pStyle w:val="Testonotaapidipagina"/>
      </w:pPr>
      <w:r>
        <w:rPr>
          <w:rStyle w:val="Rimandonotaapidipagina"/>
        </w:rPr>
        <w:footnoteRef/>
      </w:r>
      <w:r>
        <w:t xml:space="preserve"> ) </w:t>
      </w:r>
      <w:r>
        <w:rPr>
          <w:sz w:val="22"/>
          <w:szCs w:val="22"/>
        </w:rPr>
        <w:t xml:space="preserve">In base alla legge generale sull’illecito amministrativo n.689/81 e all’art.3 del citato decreto 472-1997. </w:t>
      </w:r>
    </w:p>
  </w:footnote>
  <w:footnote w:id="956">
    <w:p w14:paraId="5DDDA65D" w14:textId="593D8C63" w:rsidR="003B7460" w:rsidRPr="007F7EBF" w:rsidRDefault="003B7460" w:rsidP="00921E61">
      <w:pPr>
        <w:pStyle w:val="Testonotaapidipagina"/>
      </w:pPr>
      <w:r w:rsidRPr="007F7EBF">
        <w:rPr>
          <w:rStyle w:val="Rimandonotaapidipagina"/>
        </w:rPr>
        <w:footnoteRef/>
      </w:r>
      <w:r w:rsidRPr="007F7EBF">
        <w:t xml:space="preserve"> ) </w:t>
      </w:r>
      <w:r>
        <w:rPr>
          <w:sz w:val="22"/>
          <w:szCs w:val="22"/>
        </w:rPr>
        <w:t>I</w:t>
      </w:r>
      <w:r w:rsidRPr="007F7EBF">
        <w:rPr>
          <w:sz w:val="22"/>
          <w:szCs w:val="22"/>
        </w:rPr>
        <w:t xml:space="preserve">ndicate ai par.3.7-3.13, </w:t>
      </w:r>
      <w:r>
        <w:rPr>
          <w:sz w:val="22"/>
          <w:szCs w:val="22"/>
        </w:rPr>
        <w:t>coi relativi “</w:t>
      </w:r>
      <w:r w:rsidRPr="007F7EBF">
        <w:rPr>
          <w:sz w:val="22"/>
          <w:szCs w:val="22"/>
        </w:rPr>
        <w:t>dati sociali</w:t>
      </w:r>
      <w:r>
        <w:rPr>
          <w:sz w:val="22"/>
          <w:szCs w:val="22"/>
        </w:rPr>
        <w:t xml:space="preserve">” </w:t>
      </w:r>
      <w:r w:rsidRPr="007F7EBF">
        <w:rPr>
          <w:sz w:val="22"/>
          <w:szCs w:val="22"/>
        </w:rPr>
        <w:t xml:space="preserve">al par. </w:t>
      </w:r>
      <w:r>
        <w:rPr>
          <w:sz w:val="22"/>
          <w:szCs w:val="22"/>
        </w:rPr>
        <w:t>1.6</w:t>
      </w:r>
      <w:r w:rsidRPr="007F7EBF">
        <w:rPr>
          <w:sz w:val="22"/>
          <w:szCs w:val="22"/>
        </w:rPr>
        <w:t>-4.2</w:t>
      </w:r>
      <w:r w:rsidRPr="007F7EBF">
        <w:t xml:space="preserve">.  </w:t>
      </w:r>
    </w:p>
  </w:footnote>
  <w:footnote w:id="957">
    <w:p w14:paraId="1B441F1F" w14:textId="0910445A" w:rsidR="003B7460" w:rsidRPr="007F7EBF" w:rsidRDefault="003B7460" w:rsidP="00921E61">
      <w:pPr>
        <w:pStyle w:val="Testonotaapidipagina"/>
      </w:pPr>
      <w:r w:rsidRPr="007F7EBF">
        <w:rPr>
          <w:rStyle w:val="Rimandonotaapidipagina"/>
        </w:rPr>
        <w:footnoteRef/>
      </w:r>
      <w:r w:rsidRPr="007F7EBF">
        <w:t xml:space="preserve"> ) </w:t>
      </w:r>
      <w:r>
        <w:t xml:space="preserve">E’ una tendenza d’opinione non dominante numericamente, ma apprezzabile, diffusa presso settori </w:t>
      </w:r>
      <w:proofErr w:type="spellStart"/>
      <w:r>
        <w:t>sindacal</w:t>
      </w:r>
      <w:proofErr w:type="spellEnd"/>
      <w:r>
        <w:t>-mediatico-</w:t>
      </w:r>
      <w:r w:rsidRPr="007F7EBF">
        <w:t xml:space="preserve">burocratici, </w:t>
      </w:r>
      <w:r>
        <w:t xml:space="preserve">ancora fiduciosi nell’”onnipotenza della legge; dalle </w:t>
      </w:r>
      <w:r w:rsidRPr="007F7EBF">
        <w:t>dichiarazioni espresse di alcuni tra i PM  più impegnati sul tema dell'evasione, come Piercamillo Davigo e Francesco Greco</w:t>
      </w:r>
      <w:r>
        <w:t xml:space="preserve"> si capisce comunque la </w:t>
      </w:r>
      <w:r w:rsidRPr="007F7EBF">
        <w:t>consapevole</w:t>
      </w:r>
      <w:r>
        <w:t>zza</w:t>
      </w:r>
      <w:r w:rsidRPr="007F7EBF">
        <w:t xml:space="preserve"> che le sanzioni penali contro l'evasione fiscale, anche negli Stati Uniti o in Germania, si inseriscono, completandone gli effetti, su un </w:t>
      </w:r>
      <w:r>
        <w:t>adeguato</w:t>
      </w:r>
      <w:r w:rsidRPr="007F7EBF">
        <w:t xml:space="preserve"> intervento degli uffici amministrativi</w:t>
      </w:r>
      <w:r>
        <w:t>. La tendenza mediatica</w:t>
      </w:r>
      <w:r w:rsidRPr="007F7EBF">
        <w:t>, peraltro di senso compiuto, secondo cui "In America gli evasori li mettono in galera"</w:t>
      </w:r>
      <w:r>
        <w:t xml:space="preserve"> va contestualizzata nel senso che </w:t>
      </w:r>
      <w:r w:rsidRPr="007F7EBF">
        <w:t>anche negli USA</w:t>
      </w:r>
      <w:r>
        <w:t xml:space="preserve"> le sanzioni penali sono </w:t>
      </w:r>
      <w:r w:rsidRPr="007F7EBF">
        <w:t xml:space="preserve">una specie di ciliegina sulla torta, </w:t>
      </w:r>
      <w:r>
        <w:t xml:space="preserve">rappresentata da controllo amministrativo percepito come adeguato; senza di esso </w:t>
      </w:r>
      <w:r w:rsidRPr="007F7EBF">
        <w:t xml:space="preserve"> le sanzioni penali tributarie diventano come una ciliegina senza la torta</w:t>
      </w:r>
      <w:r>
        <w:t>.</w:t>
      </w:r>
      <w:r w:rsidRPr="00BD6BAD">
        <w:t xml:space="preserve"> </w:t>
      </w:r>
      <w:r>
        <w:t>; in buona misura queste disfunzioni si verificano anche perché l’accademia del diritto penale, rimasta “tecnica”, non ha coordinato il controllo sociale del proprio settore</w:t>
      </w:r>
      <w:r w:rsidRPr="007F7EBF">
        <w:t xml:space="preserve"> Si ricordi la metafora, indicata in una nota precedente, secondo cui le sanzioni penali tributarie sono una specie di ciliegina sulla torta, e non possono sostituire la torta. Sarebbe bene ricordarlo a</w:t>
      </w:r>
      <w:r>
        <w:t xml:space="preserve"> chi </w:t>
      </w:r>
      <w:r w:rsidRPr="007F7EBF">
        <w:t>ci ricorda, nei talk show, che i nostri detenuti per evasione fiscale sono pochi rispetto a quelli tedeschi o americani, anche se l’evasione da noi è tanta</w:t>
      </w:r>
      <w:r>
        <w:t xml:space="preserve">. La risposta è nella scarsità di </w:t>
      </w:r>
      <w:r w:rsidRPr="007F7EBF">
        <w:t>azione amministrativa di valutazione de</w:t>
      </w:r>
      <w:r>
        <w:t xml:space="preserve">gli imponibili, che altrove </w:t>
      </w:r>
      <w:r w:rsidRPr="007F7EBF">
        <w:t>screma le questioni così socialmente insidiose da meritare repressione penale. Da noi</w:t>
      </w:r>
      <w:r>
        <w:t xml:space="preserve"> resta l</w:t>
      </w:r>
      <w:r w:rsidRPr="007F7EBF">
        <w:t xml:space="preserve">’iniziativa spontaneistica di qualche magistrato, che magari </w:t>
      </w:r>
      <w:r>
        <w:t xml:space="preserve">sceglie </w:t>
      </w:r>
      <w:r w:rsidRPr="007F7EBF">
        <w:t>le pratiche più rispondenti a</w:t>
      </w:r>
      <w:r>
        <w:t xml:space="preserve"> una propria idea del settore. </w:t>
      </w:r>
    </w:p>
  </w:footnote>
  <w:footnote w:id="958">
    <w:p w14:paraId="1AE68B92" w14:textId="14589747" w:rsidR="003B7460" w:rsidRPr="007F7EBF" w:rsidRDefault="003B7460" w:rsidP="00F3485B">
      <w:pPr>
        <w:pStyle w:val="Testonotaapidipagina"/>
      </w:pPr>
      <w:r w:rsidRPr="007F7EBF">
        <w:rPr>
          <w:rStyle w:val="Rimandonotaapidipagina"/>
        </w:rPr>
        <w:footnoteRef/>
      </w:r>
      <w:r w:rsidRPr="007F7EBF">
        <w:t xml:space="preserve"> )</w:t>
      </w:r>
      <w:r>
        <w:t xml:space="preserve"> Risalente addirittura </w:t>
      </w:r>
      <w:r w:rsidRPr="007F7EBF">
        <w:t>ai tempi del fascismo</w:t>
      </w:r>
      <w:r>
        <w:t>, con “disposizioni annuncio” sostanzialmente mai applicate</w:t>
      </w:r>
      <w:r w:rsidRPr="007F7EBF">
        <w:t>.</w:t>
      </w:r>
      <w:r w:rsidRPr="00A97766">
        <w:t xml:space="preserve"> </w:t>
      </w:r>
      <w:r>
        <w:t xml:space="preserve">A proposito di tatticismi politici d’immagine, </w:t>
      </w:r>
      <w:r w:rsidRPr="007F7EBF">
        <w:t xml:space="preserve">l’inasprimento delle sanzioni penali fu </w:t>
      </w:r>
      <w:r>
        <w:t>il</w:t>
      </w:r>
      <w:r w:rsidRPr="007F7EBF">
        <w:t xml:space="preserve"> pretesto del primo grande condono tributario, varato nel 1982</w:t>
      </w:r>
      <w:r>
        <w:t xml:space="preserve">. In generale le sanzioni penali sono uno strumento con cui ci si illude di realizzare l’equivoco dell’onnipotenza legislativa di cui al par.2.4.  </w:t>
      </w:r>
    </w:p>
  </w:footnote>
  <w:footnote w:id="959">
    <w:p w14:paraId="5447C857" w14:textId="528E2531" w:rsidR="003B7460" w:rsidRDefault="003B7460">
      <w:pPr>
        <w:pStyle w:val="Testonotaapidipagina"/>
      </w:pPr>
      <w:r>
        <w:rPr>
          <w:rStyle w:val="Rimandonotaapidipagina"/>
        </w:rPr>
        <w:footnoteRef/>
      </w:r>
      <w:r>
        <w:t xml:space="preserve">) </w:t>
      </w:r>
      <w:r>
        <w:rPr>
          <w:sz w:val="22"/>
          <w:szCs w:val="22"/>
        </w:rPr>
        <w:t>T</w:t>
      </w:r>
      <w:r w:rsidRPr="007F7EBF">
        <w:rPr>
          <w:sz w:val="22"/>
          <w:szCs w:val="22"/>
        </w:rPr>
        <w:t xml:space="preserve">anto più in un paese dove periodicamente </w:t>
      </w:r>
      <w:r>
        <w:rPr>
          <w:sz w:val="22"/>
          <w:szCs w:val="22"/>
        </w:rPr>
        <w:t xml:space="preserve">si promulgano amnistie e indulti per </w:t>
      </w:r>
      <w:r w:rsidRPr="007F7EBF">
        <w:rPr>
          <w:sz w:val="22"/>
          <w:szCs w:val="22"/>
        </w:rPr>
        <w:t>"svuotare le carceri"</w:t>
      </w:r>
      <w:r>
        <w:rPr>
          <w:sz w:val="22"/>
          <w:szCs w:val="22"/>
        </w:rPr>
        <w:t xml:space="preserve">. </w:t>
      </w:r>
    </w:p>
  </w:footnote>
  <w:footnote w:id="960">
    <w:p w14:paraId="22DCFC29" w14:textId="27D20C8A" w:rsidR="003B7460" w:rsidRPr="007F7EBF" w:rsidRDefault="003B7460">
      <w:pPr>
        <w:pStyle w:val="Testonotaapidipagina"/>
      </w:pPr>
      <w:r w:rsidRPr="007F7EBF">
        <w:rPr>
          <w:rStyle w:val="Rimandonotaapidipagina"/>
        </w:rPr>
        <w:footnoteRef/>
      </w:r>
      <w:r w:rsidRPr="007F7EBF">
        <w:t xml:space="preserve"> </w:t>
      </w:r>
      <w:r>
        <w:t xml:space="preserve">) Si pensi a </w:t>
      </w:r>
      <w:r w:rsidRPr="007F7EBF">
        <w:t>truffa ai danni dello stato, insolvenza fraudolenta, falso ideologico</w:t>
      </w:r>
      <w:r>
        <w:t>, falso in bilancio</w:t>
      </w:r>
      <w:r w:rsidRPr="007F7EBF">
        <w:t xml:space="preserve">. </w:t>
      </w:r>
      <w:r>
        <w:t xml:space="preserve">Forse </w:t>
      </w:r>
      <w:r w:rsidRPr="001C5586">
        <w:t>la vera riforma penale tributaria non passa per autonom</w:t>
      </w:r>
      <w:r>
        <w:t>i fatti di reato</w:t>
      </w:r>
      <w:r w:rsidRPr="001C5586">
        <w:t>, come la dichiarazione infedele, ma attraverso l’adattamento dei reati comuni, falso</w:t>
      </w:r>
      <w:r>
        <w:t xml:space="preserve"> e </w:t>
      </w:r>
      <w:r w:rsidRPr="001C5586">
        <w:t>truff</w:t>
      </w:r>
      <w:r>
        <w:t>a</w:t>
      </w:r>
      <w:r w:rsidRPr="001C5586">
        <w:t>, alla funzione tributaria</w:t>
      </w:r>
      <w:r>
        <w:t>, come si potrebbe approfondire, in tesi di laurea o di dottorato</w:t>
      </w:r>
      <w:r w:rsidRPr="007F7EBF">
        <w:t>.</w:t>
      </w:r>
    </w:p>
  </w:footnote>
  <w:footnote w:id="961">
    <w:p w14:paraId="17B5FE81" w14:textId="74FBD08F" w:rsidR="003B7460" w:rsidRPr="007F7EBF" w:rsidRDefault="003B7460" w:rsidP="00B54BC1">
      <w:pPr>
        <w:pStyle w:val="Testonotaapidipagina"/>
      </w:pPr>
      <w:r w:rsidRPr="007F7EBF">
        <w:rPr>
          <w:rStyle w:val="Rimandonotaapidipagina"/>
        </w:rPr>
        <w:footnoteRef/>
      </w:r>
      <w:r w:rsidRPr="007F7EBF">
        <w:t xml:space="preserve"> ) Le altre imposte, trattate al capitolo 10, </w:t>
      </w:r>
      <w:r>
        <w:t>a</w:t>
      </w:r>
      <w:r w:rsidRPr="007F7EBF">
        <w:t xml:space="preserve">vevano infatti una tradizione indipendente rispetto alla determinazione degli imponibili attraverso le aziende; che anche sotto  questo profilo indica le imposte sui redditi e l’IVA come due facce di un sistema unico di tassazione attraverso le aziende, come vedremo al capitolo 7, trattandole unitariamente. </w:t>
      </w:r>
      <w:r>
        <w:t>In parallelo vanno</w:t>
      </w:r>
      <w:r w:rsidRPr="007F7EBF">
        <w:t xml:space="preserve"> le sanzioni specifiche tradizionali</w:t>
      </w:r>
      <w:r>
        <w:t>,</w:t>
      </w:r>
      <w:r w:rsidRPr="007F7EBF">
        <w:t xml:space="preserve"> da sempre previste per i reati di contrabbando in materia doganale (par. 10.6 ss.).</w:t>
      </w:r>
    </w:p>
  </w:footnote>
  <w:footnote w:id="962">
    <w:p w14:paraId="61178722" w14:textId="63150386" w:rsidR="003B7460" w:rsidRDefault="003B7460">
      <w:pPr>
        <w:pStyle w:val="Testonotaapidipagina"/>
      </w:pPr>
      <w:r>
        <w:rPr>
          <w:rStyle w:val="Rimandonotaapidipagina"/>
        </w:rPr>
        <w:footnoteRef/>
      </w:r>
      <w:r>
        <w:t xml:space="preserve"> ) Ciò sia in base a principi ermeneutici sia in base a sentenze della Corte Europea dei diritti dell’Uomo, </w:t>
      </w:r>
    </w:p>
  </w:footnote>
  <w:footnote w:id="963">
    <w:p w14:paraId="739A6DF7" w14:textId="2B0B4E9D" w:rsidR="003B7460" w:rsidRPr="007F7EBF" w:rsidRDefault="003B7460" w:rsidP="00D85690">
      <w:pPr>
        <w:autoSpaceDE w:val="0"/>
        <w:autoSpaceDN w:val="0"/>
        <w:adjustRightInd w:val="0"/>
        <w:rPr>
          <w:sz w:val="20"/>
          <w:szCs w:val="20"/>
        </w:rPr>
      </w:pPr>
      <w:r w:rsidRPr="007F7EBF">
        <w:rPr>
          <w:rStyle w:val="Rimandonotaapidipagina"/>
          <w:sz w:val="20"/>
          <w:szCs w:val="20"/>
        </w:rPr>
        <w:footnoteRef/>
      </w:r>
      <w:r>
        <w:rPr>
          <w:sz w:val="20"/>
          <w:szCs w:val="20"/>
        </w:rPr>
        <w:t xml:space="preserve">) </w:t>
      </w:r>
      <w:r w:rsidRPr="007F7EBF">
        <w:rPr>
          <w:sz w:val="20"/>
          <w:szCs w:val="20"/>
        </w:rPr>
        <w:t xml:space="preserve">Con la teorica punibilità di violazioni assolutamente trascurabili, ad esempio sulle carte carburanti, le ricevute taxi o le note spese dei dipendenti. </w:t>
      </w:r>
    </w:p>
  </w:footnote>
  <w:footnote w:id="964">
    <w:p w14:paraId="0365CF9A" w14:textId="38E2D7D8" w:rsidR="003B7460" w:rsidRPr="007F7EBF" w:rsidRDefault="003B7460" w:rsidP="00431C4A">
      <w:pPr>
        <w:pStyle w:val="Testonotaapidipagina"/>
      </w:pPr>
      <w:r w:rsidRPr="007F7EBF">
        <w:rPr>
          <w:rStyle w:val="Rimandonotaapidipagina"/>
        </w:rPr>
        <w:footnoteRef/>
      </w:r>
      <w:r>
        <w:t>)</w:t>
      </w:r>
      <w:r w:rsidRPr="007F7EBF">
        <w:t xml:space="preserve"> </w:t>
      </w:r>
      <w:r>
        <w:rPr>
          <w:bCs/>
        </w:rPr>
        <w:t xml:space="preserve">Dopo circa vent’anni si capì l’inadeguatezza di fronteggiare con sanzioni penali un fenomeno “di massa” come la mancata stima valutativa degli imponibili non determinati contabilmente attraverso le aziende. I relativi procedimenti penali erano insufficienti ad arginare il fenomeno, ma bastavano per ingolfare la giustizia penale con procedimenti su </w:t>
      </w:r>
      <w:r w:rsidRPr="007F7EBF">
        <w:t>piccoli operatori economici</w:t>
      </w:r>
      <w:r>
        <w:t xml:space="preserve">; la burocratizzazione della giustizia penale, lo svuotamento della funzione di sicurezza,  le pressioni mediatiche su quella di giustizia, </w:t>
      </w:r>
      <w:r w:rsidRPr="007F7EBF">
        <w:t xml:space="preserve">la prescrizione </w:t>
      </w:r>
      <w:r>
        <w:t>che sostituisce l</w:t>
      </w:r>
      <w:r w:rsidRPr="007F7EBF">
        <w:t xml:space="preserve">e </w:t>
      </w:r>
      <w:r>
        <w:t xml:space="preserve">assoluzioni, le rendono difficile darsi carico anche del problema dell’evasione. </w:t>
      </w:r>
    </w:p>
  </w:footnote>
  <w:footnote w:id="965">
    <w:p w14:paraId="4ECF2D6B" w14:textId="77777777" w:rsidR="003B7460" w:rsidRPr="007F7EBF" w:rsidRDefault="003B7460" w:rsidP="00B843F5">
      <w:pPr>
        <w:pStyle w:val="Testonotaapidipagina"/>
      </w:pPr>
      <w:r w:rsidRPr="007F7EBF">
        <w:rPr>
          <w:rStyle w:val="Rimandonotaapidipagina"/>
        </w:rPr>
        <w:footnoteRef/>
      </w:r>
      <w:r w:rsidRPr="007F7EBF">
        <w:t xml:space="preserve"> ) Per questo spesso le sanzioni penali sono scattate solo quando l’illecito tributario era emerso  per altre ragioni, in relazione a reati di corruzione, bancarotta e simili. </w:t>
      </w:r>
    </w:p>
  </w:footnote>
  <w:footnote w:id="966">
    <w:p w14:paraId="35265708" w14:textId="60DCAEAA" w:rsidR="003B7460" w:rsidRPr="007F7EBF" w:rsidRDefault="003B7460">
      <w:pPr>
        <w:pStyle w:val="Testonotaapidipagina"/>
      </w:pPr>
      <w:r w:rsidRPr="007F7EBF">
        <w:rPr>
          <w:rStyle w:val="Rimandonotaapidipagina"/>
        </w:rPr>
        <w:footnoteRef/>
      </w:r>
      <w:r>
        <w:t>)</w:t>
      </w:r>
      <w:r w:rsidRPr="007F7EBF">
        <w:t xml:space="preserve"> In genere persone perbene e soprattutto aziende. presso le quali è stata rafforzata la convinzione che l'Italia sia un paese inaffidabile sul piano delle istituzioni tributarie</w:t>
      </w:r>
      <w:r>
        <w:t>, con le conseguenze di cui al par.5.19</w:t>
      </w:r>
      <w:r w:rsidRPr="007F7EBF">
        <w:t xml:space="preserve">. </w:t>
      </w:r>
    </w:p>
  </w:footnote>
  <w:footnote w:id="967">
    <w:p w14:paraId="22E06D4B" w14:textId="48B333F7" w:rsidR="003B7460" w:rsidRPr="007F7EBF" w:rsidRDefault="003B7460" w:rsidP="00AF3D1A">
      <w:pPr>
        <w:pStyle w:val="Testonotaapidipagina"/>
      </w:pPr>
      <w:r w:rsidRPr="007F7EBF">
        <w:rPr>
          <w:rStyle w:val="Rimandonotaapidipagina"/>
        </w:rPr>
        <w:footnoteRef/>
      </w:r>
      <w:r w:rsidRPr="007F7EBF">
        <w:t xml:space="preserve"> </w:t>
      </w:r>
      <w:r>
        <w:t xml:space="preserve">) </w:t>
      </w:r>
      <w:r w:rsidRPr="007F7EBF">
        <w:t>Si tenga presente, come detto al par.1.3</w:t>
      </w:r>
      <w:r>
        <w:t xml:space="preserve">, </w:t>
      </w:r>
      <w:r w:rsidRPr="007F7EBF">
        <w:t>che l</w:t>
      </w:r>
      <w:r>
        <w:t xml:space="preserve">a funzione di giustizia è quella dove la serialità è minore, e dove sono notevoli i margini di valutazione dei singoli giudici. </w:t>
      </w:r>
    </w:p>
  </w:footnote>
  <w:footnote w:id="968">
    <w:p w14:paraId="16CDA320" w14:textId="2D14A283" w:rsidR="003B7460" w:rsidRPr="007F7EBF" w:rsidRDefault="003B7460" w:rsidP="00AF3D1A">
      <w:pPr>
        <w:pStyle w:val="Testonotaapidipagina"/>
      </w:pPr>
      <w:r w:rsidRPr="007F7EBF">
        <w:rPr>
          <w:rStyle w:val="Rimandonotaapidipagina"/>
        </w:rPr>
        <w:footnoteRef/>
      </w:r>
      <w:r>
        <w:t>)</w:t>
      </w:r>
      <w:r w:rsidRPr="007F7EBF">
        <w:t xml:space="preserve"> </w:t>
      </w:r>
    </w:p>
  </w:footnote>
  <w:footnote w:id="969">
    <w:p w14:paraId="6850242D" w14:textId="4A0A7E14" w:rsidR="003B7460" w:rsidRDefault="003B7460">
      <w:pPr>
        <w:pStyle w:val="Testonotaapidipagina"/>
      </w:pPr>
      <w:r>
        <w:rPr>
          <w:rStyle w:val="Rimandonotaapidipagina"/>
        </w:rPr>
        <w:footnoteRef/>
      </w:r>
      <w:r>
        <w:t xml:space="preserve"> ) Che sono consapevoli della sopravvalutazione, anche reputazionale, del rischio </w:t>
      </w:r>
      <w:proofErr w:type="spellStart"/>
      <w:r>
        <w:t>penaltributario</w:t>
      </w:r>
      <w:proofErr w:type="spellEnd"/>
      <w:r>
        <w:t>, presso i dirigenti d’azienda, e la sfruttano fino ad una intimidazione professionalmente anche legittima, ma agli antipodi del comportamento del giurista come studioso sociale</w:t>
      </w:r>
      <w:r w:rsidRPr="007F7EBF">
        <w:t>.</w:t>
      </w:r>
    </w:p>
  </w:footnote>
  <w:footnote w:id="970">
    <w:p w14:paraId="0BCF605A" w14:textId="77777777" w:rsidR="003B7460" w:rsidRPr="007F7EBF" w:rsidRDefault="003B7460" w:rsidP="0003446E">
      <w:pPr>
        <w:pStyle w:val="Testonotaapidipagina"/>
      </w:pPr>
      <w:r w:rsidRPr="007F7EBF">
        <w:rPr>
          <w:rStyle w:val="Rimandonotaapidipagina"/>
        </w:rPr>
        <w:footnoteRef/>
      </w:r>
      <w:r w:rsidRPr="007F7EBF">
        <w:t xml:space="preserve"> ) Che cercavano di applicare le regole tributarie nel modo più conveniente senza nascondere ricchezza al fisco. </w:t>
      </w:r>
    </w:p>
  </w:footnote>
  <w:footnote w:id="971">
    <w:p w14:paraId="2DB025D4" w14:textId="2557BEB8" w:rsidR="003B7460" w:rsidRPr="007F7EBF" w:rsidRDefault="003B7460" w:rsidP="0003446E">
      <w:pPr>
        <w:pStyle w:val="Testonotaapidipagina"/>
      </w:pPr>
      <w:r w:rsidRPr="007F7EBF">
        <w:rPr>
          <w:rStyle w:val="Rimandonotaapidipagina"/>
        </w:rPr>
        <w:footnoteRef/>
      </w:r>
      <w:r w:rsidRPr="007F7EBF">
        <w:t xml:space="preserve"> ) </w:t>
      </w:r>
      <w:r>
        <w:t>Ritroviamo nell</w:t>
      </w:r>
      <w:r>
        <w:rPr>
          <w:sz w:val="22"/>
          <w:szCs w:val="22"/>
        </w:rPr>
        <w:t xml:space="preserve">’ambiente mediatico-giudiziario, il </w:t>
      </w:r>
      <w:r w:rsidRPr="007F7EBF">
        <w:t xml:space="preserve">deficit di formazione sociale </w:t>
      </w:r>
      <w:r>
        <w:t xml:space="preserve">sulle aziende come gruppi sociali, </w:t>
      </w:r>
      <w:r w:rsidRPr="007F7EBF">
        <w:t xml:space="preserve">di cui parliamo </w:t>
      </w:r>
      <w:r>
        <w:t>al par.</w:t>
      </w:r>
      <w:r w:rsidRPr="00770B5C">
        <w:t xml:space="preserve"> </w:t>
      </w:r>
      <w:r>
        <w:t>4.1</w:t>
      </w:r>
      <w:r w:rsidRPr="007F7EBF">
        <w:t>, 3.1, 4.6 fino al 5.17 ss.</w:t>
      </w:r>
      <w:r>
        <w:t xml:space="preserve"> Su questo sfondo si capisce perché a fronte di banali contestazioni interpretative, alcune aziende, ovviamente gruppi sociali, siano state considerate persino </w:t>
      </w:r>
      <w:r w:rsidRPr="007F7EBF">
        <w:t xml:space="preserve">“associazioni per delinquere”, anziché </w:t>
      </w:r>
      <w:r>
        <w:t>produttrici di beni, servizi e valore aggiunto. Si ritrovano quindi su</w:t>
      </w:r>
      <w:r w:rsidRPr="007F7EBF">
        <w:t>l versante penale i danni sociali di cui al par.5.19</w:t>
      </w:r>
      <w:r>
        <w:t xml:space="preserve">, da imputare non ai </w:t>
      </w:r>
      <w:r w:rsidRPr="007F7EBF">
        <w:t xml:space="preserve"> </w:t>
      </w:r>
      <w:r>
        <w:t xml:space="preserve">magistrati, </w:t>
      </w:r>
      <w:r w:rsidRPr="007F7EBF">
        <w:t xml:space="preserve">ma </w:t>
      </w:r>
      <w:r>
        <w:t>a chi avrebbe dovuto spiegare socialmente la funzione tributaria (</w:t>
      </w:r>
      <w:r w:rsidRPr="007F7EBF">
        <w:t>par.4.3).</w:t>
      </w:r>
    </w:p>
  </w:footnote>
  <w:footnote w:id="972">
    <w:p w14:paraId="32F57673" w14:textId="43A9A084" w:rsidR="003B7460" w:rsidRPr="007F7EBF" w:rsidRDefault="003B7460" w:rsidP="002A1C23">
      <w:pPr>
        <w:pStyle w:val="Testonotaapidipagina"/>
      </w:pPr>
      <w:r w:rsidRPr="007F7EBF">
        <w:rPr>
          <w:rStyle w:val="Rimandonotaapidipagina"/>
        </w:rPr>
        <w:footnoteRef/>
      </w:r>
      <w:r w:rsidRPr="007F7EBF">
        <w:t xml:space="preserve"> ) </w:t>
      </w:r>
      <w:r>
        <w:t>Abbiamo avuto</w:t>
      </w:r>
      <w:r w:rsidRPr="007F7EBF">
        <w:t xml:space="preserve"> intromissioni penali in sofisticate questioni</w:t>
      </w:r>
      <w:r>
        <w:t xml:space="preserve">, di puro diritto e squisitamente interpretative, </w:t>
      </w:r>
      <w:r w:rsidRPr="007F7EBF">
        <w:t>sul regime giuridico di vicende comunque materialmente rappresentate nei documenti, nei conti, nei bilanci e nelle dichiarazioni</w:t>
      </w:r>
      <w:r>
        <w:t xml:space="preserve">. </w:t>
      </w:r>
    </w:p>
  </w:footnote>
  <w:footnote w:id="973">
    <w:p w14:paraId="0DE40B0A" w14:textId="622FED38" w:rsidR="003B7460" w:rsidRPr="007F7EBF" w:rsidRDefault="003B7460">
      <w:pPr>
        <w:pStyle w:val="Testonotaapidipagina"/>
      </w:pPr>
      <w:r w:rsidRPr="007F7EBF">
        <w:rPr>
          <w:rStyle w:val="Rimandonotaapidipagina"/>
        </w:rPr>
        <w:footnoteRef/>
      </w:r>
      <w:r w:rsidRPr="007F7EBF">
        <w:t xml:space="preserve"> ) </w:t>
      </w:r>
      <w:r>
        <w:t>In quanto i</w:t>
      </w:r>
      <w:r w:rsidRPr="007F7EBF">
        <w:t xml:space="preserve">l trasgressore si rivelava al fisco, esponendosi alla riscossione coattiva. </w:t>
      </w:r>
    </w:p>
  </w:footnote>
  <w:footnote w:id="974">
    <w:p w14:paraId="00884478" w14:textId="77777777" w:rsidR="003B7460" w:rsidRPr="007F7EBF" w:rsidRDefault="003B7460">
      <w:pPr>
        <w:pStyle w:val="Testonotaapidipagina"/>
      </w:pPr>
      <w:r w:rsidRPr="007F7EBF">
        <w:rPr>
          <w:rStyle w:val="Rimandonotaapidipagina"/>
        </w:rPr>
        <w:footnoteRef/>
      </w:r>
      <w:r w:rsidRPr="007F7EBF">
        <w:t xml:space="preserve"> ) Fenomeni entrambi descritti al par.3.8, a proposito della cosiddetta “evasione aziendale”.</w:t>
      </w:r>
    </w:p>
  </w:footnote>
  <w:footnote w:id="975">
    <w:p w14:paraId="4609E812" w14:textId="06EC2A74" w:rsidR="003B7460" w:rsidRPr="007F7EBF" w:rsidRDefault="003B7460">
      <w:pPr>
        <w:pStyle w:val="Testonotaapidipagina"/>
      </w:pPr>
      <w:r w:rsidRPr="007F7EBF">
        <w:rPr>
          <w:rStyle w:val="Rimandonotaapidipagina"/>
        </w:rPr>
        <w:footnoteRef/>
      </w:r>
      <w:r w:rsidRPr="007F7EBF">
        <w:t xml:space="preserve"> </w:t>
      </w:r>
      <w:r>
        <w:t>) P</w:t>
      </w:r>
      <w:r w:rsidRPr="007F7EBF">
        <w:t>unire per appropriazione indebita il contribuente di diritto, che addebitava IVA o effettuava ritenute</w:t>
      </w:r>
      <w:r>
        <w:t xml:space="preserve">, senza alcuna intenzione di versarle, avrebbe contraddetto la sopra indicata tendenza a escludere i reati comuni in materia tributaria. </w:t>
      </w:r>
    </w:p>
  </w:footnote>
  <w:footnote w:id="976">
    <w:p w14:paraId="0518E355" w14:textId="002EF830" w:rsidR="003B7460" w:rsidRPr="007F7EBF" w:rsidRDefault="003B7460">
      <w:pPr>
        <w:pStyle w:val="Testonotaapidipagina"/>
      </w:pPr>
      <w:r w:rsidRPr="007F7EBF">
        <w:rPr>
          <w:rStyle w:val="Rimandonotaapidipagina"/>
        </w:rPr>
        <w:footnoteRef/>
      </w:r>
      <w:r w:rsidRPr="007F7EBF">
        <w:t xml:space="preserve"> ) </w:t>
      </w:r>
      <w:r>
        <w:t>Quest’ultima</w:t>
      </w:r>
      <w:r w:rsidRPr="007F7EBF">
        <w:t xml:space="preserve">, a differenza di quella civile, interrotta dall’esercizio del diritto, si matura anche in pendenza del processo, </w:t>
      </w:r>
      <w:r>
        <w:t xml:space="preserve">ed è di fatto </w:t>
      </w:r>
      <w:r w:rsidRPr="007F7EBF">
        <w:t>la modalità normale di estinzione di gran parte delle azioni penali</w:t>
      </w:r>
      <w:r>
        <w:t xml:space="preserve">. </w:t>
      </w:r>
      <w:r w:rsidRPr="007F7EBF">
        <w:t xml:space="preserve">Sarebbe da approfondire in quale misura sia un surrogato dell’assoluzione, che spesso smentirebbe inchieste e misure cautelari accompagnate da clamore </w:t>
      </w:r>
      <w:r>
        <w:t>mediatico</w:t>
      </w:r>
      <w:r w:rsidRPr="007F7EBF">
        <w:t xml:space="preserve">. </w:t>
      </w:r>
    </w:p>
  </w:footnote>
  <w:footnote w:id="977">
    <w:p w14:paraId="26D5D526" w14:textId="77777777" w:rsidR="003B7460" w:rsidRPr="007F7EBF" w:rsidRDefault="003B7460">
      <w:pPr>
        <w:pStyle w:val="Testonotaapidipagina"/>
      </w:pPr>
      <w:r w:rsidRPr="007F7EBF">
        <w:rPr>
          <w:rStyle w:val="Rimandonotaapidipagina"/>
        </w:rPr>
        <w:footnoteRef/>
      </w:r>
      <w:r w:rsidRPr="007F7EBF">
        <w:t xml:space="preserve"> ) E’ il c.d. principio del “doppio binario” , che ovviamente non impedisce  di tenere in considerazione, nell'empirismo del giudizio di fatto (par.5.8), le risultanze penali, e viceversa.</w:t>
      </w:r>
    </w:p>
  </w:footnote>
  <w:footnote w:id="978">
    <w:p w14:paraId="745EDF27" w14:textId="361E4180" w:rsidR="003B7460" w:rsidRPr="007F7EBF" w:rsidRDefault="003B7460">
      <w:pPr>
        <w:pStyle w:val="Testonotaapidipagina"/>
      </w:pPr>
      <w:r w:rsidRPr="007F7EBF">
        <w:rPr>
          <w:rStyle w:val="Rimandonotaapidipagina"/>
        </w:rPr>
        <w:footnoteRef/>
      </w:r>
      <w:r w:rsidRPr="007F7EBF">
        <w:t xml:space="preserve"> </w:t>
      </w:r>
      <w:r>
        <w:rPr>
          <w:sz w:val="22"/>
          <w:szCs w:val="22"/>
        </w:rPr>
        <w:t xml:space="preserve">) L’occultamento degli imponibili è invece questione prevalentemente “di fatto”, come visto per le varie forme di evasione ai parr.3.7, 3.13, 5.13 etc.. </w:t>
      </w:r>
    </w:p>
  </w:footnote>
  <w:footnote w:id="979">
    <w:p w14:paraId="45B56D9D" w14:textId="138E2F81" w:rsidR="003B7460" w:rsidRDefault="003B7460">
      <w:pPr>
        <w:pStyle w:val="Testonotaapidipagina"/>
      </w:pPr>
      <w:r>
        <w:rPr>
          <w:rStyle w:val="Rimandonotaapidipagina"/>
        </w:rPr>
        <w:footnoteRef/>
      </w:r>
      <w:r>
        <w:t xml:space="preserve"> ) Peraltro </w:t>
      </w:r>
      <w:r>
        <w:rPr>
          <w:sz w:val="22"/>
          <w:szCs w:val="22"/>
        </w:rPr>
        <w:t>non è neppure compito dei tecnici elaborare la cornice di studio sociale della funzione tributaria.</w:t>
      </w:r>
    </w:p>
  </w:footnote>
  <w:footnote w:id="980">
    <w:p w14:paraId="07AAB742" w14:textId="73575457" w:rsidR="003B7460" w:rsidRPr="007F7EBF" w:rsidRDefault="003B7460" w:rsidP="00B2637B">
      <w:pPr>
        <w:pStyle w:val="Testonotaapidipagina"/>
      </w:pPr>
      <w:r w:rsidRPr="007F7EBF">
        <w:rPr>
          <w:rStyle w:val="Rimandonotaapidipagina"/>
        </w:rPr>
        <w:footnoteRef/>
      </w:r>
      <w:r w:rsidRPr="007F7EBF">
        <w:t xml:space="preserve"> </w:t>
      </w:r>
      <w:r>
        <w:t>) Cercheremo quindi di “semplificare la complessità”, anziché di “complicare la semplicità”, con le</w:t>
      </w:r>
      <w:r w:rsidRPr="007F7EBF">
        <w:t xml:space="preserve"> casistiche </w:t>
      </w:r>
      <w:r>
        <w:t xml:space="preserve">sottili e </w:t>
      </w:r>
      <w:r w:rsidRPr="007F7EBF">
        <w:t>controverse</w:t>
      </w:r>
      <w:r>
        <w:t xml:space="preserve"> d</w:t>
      </w:r>
      <w:r w:rsidRPr="007F7EBF">
        <w:t>ella pratica professionale "di lusso"</w:t>
      </w:r>
      <w:r>
        <w:t xml:space="preserve">; esse sembrano a tanti “professionisti di lusso” </w:t>
      </w:r>
      <w:r w:rsidRPr="007F7EBF">
        <w:t xml:space="preserve">il centro del mondo, </w:t>
      </w:r>
      <w:r>
        <w:t>mentre non solo sono irrilevanti sul piano degli studi sociali, ma addirittura controproducenti,</w:t>
      </w:r>
      <w:r w:rsidRPr="007F7EBF">
        <w:rPr>
          <w:sz w:val="22"/>
          <w:szCs w:val="22"/>
        </w:rPr>
        <w:t xml:space="preserve"> fuorvian</w:t>
      </w:r>
      <w:r>
        <w:rPr>
          <w:sz w:val="22"/>
          <w:szCs w:val="22"/>
        </w:rPr>
        <w:t xml:space="preserve">ti e </w:t>
      </w:r>
      <w:r w:rsidRPr="007F7EBF">
        <w:rPr>
          <w:sz w:val="22"/>
          <w:szCs w:val="22"/>
        </w:rPr>
        <w:t>confusionari</w:t>
      </w:r>
      <w:r>
        <w:rPr>
          <w:sz w:val="22"/>
          <w:szCs w:val="22"/>
        </w:rPr>
        <w:t xml:space="preserve">e. </w:t>
      </w:r>
    </w:p>
  </w:footnote>
  <w:footnote w:id="981">
    <w:p w14:paraId="062FC661" w14:textId="77777777" w:rsidR="003B7460" w:rsidRPr="007F7EBF" w:rsidRDefault="003B7460" w:rsidP="00275175">
      <w:pPr>
        <w:pStyle w:val="Testonotaapidipagina"/>
      </w:pPr>
      <w:r w:rsidRPr="007F7EBF">
        <w:rPr>
          <w:rStyle w:val="Rimandonotaapidipagina"/>
        </w:rPr>
        <w:footnoteRef/>
      </w:r>
      <w:r w:rsidRPr="007F7EBF">
        <w:t xml:space="preserve"> Intendendo per tali sia i lavoratori indipendenti sia le organizzazioni aziendali. </w:t>
      </w:r>
    </w:p>
  </w:footnote>
  <w:footnote w:id="982">
    <w:p w14:paraId="3BC392DD" w14:textId="77777777" w:rsidR="003B7460" w:rsidRPr="007F7EBF" w:rsidRDefault="003B7460" w:rsidP="00E75B1D">
      <w:pPr>
        <w:pStyle w:val="Testonotaapidipagina"/>
      </w:pPr>
      <w:r w:rsidRPr="007F7EBF">
        <w:rPr>
          <w:rStyle w:val="Rimandonotaapidipagina"/>
        </w:rPr>
        <w:footnoteRef/>
      </w:r>
      <w:r w:rsidRPr="007F7EBF">
        <w:t xml:space="preserve"> ) Si tratta attualmente delle direzioni provinciali delle entrate, con le competenze descritte al par.5.2. </w:t>
      </w:r>
    </w:p>
  </w:footnote>
  <w:footnote w:id="983">
    <w:p w14:paraId="40A848F7" w14:textId="465557A0" w:rsidR="003B7460" w:rsidRPr="007F7EBF" w:rsidRDefault="003B7460" w:rsidP="002A4269">
      <w:pPr>
        <w:pStyle w:val="Testonotaapidipagina"/>
      </w:pPr>
      <w:r w:rsidRPr="007F7EBF">
        <w:rPr>
          <w:rStyle w:val="Rimandonotaapidipagina"/>
        </w:rPr>
        <w:footnoteRef/>
      </w:r>
      <w:r w:rsidRPr="007F7EBF">
        <w:t xml:space="preserve"> </w:t>
      </w:r>
      <w:r>
        <w:t xml:space="preserve">) </w:t>
      </w:r>
      <w:r w:rsidRPr="007F7EBF">
        <w:t xml:space="preserve">La registrazione o l'occultamento, oppure la </w:t>
      </w:r>
      <w:proofErr w:type="spellStart"/>
      <w:r w:rsidRPr="007F7EBF">
        <w:t>fittizieta</w:t>
      </w:r>
      <w:proofErr w:type="spellEnd"/>
      <w:r w:rsidRPr="007F7EBF">
        <w:t xml:space="preserve">', </w:t>
      </w:r>
      <w:r>
        <w:t xml:space="preserve">procedono in coppia per i due tributi (come si dice </w:t>
      </w:r>
      <w:proofErr w:type="spellStart"/>
      <w:r w:rsidRPr="007F7EBF">
        <w:rPr>
          <w:i/>
        </w:rPr>
        <w:t>simul</w:t>
      </w:r>
      <w:proofErr w:type="spellEnd"/>
      <w:r w:rsidRPr="007F7EBF">
        <w:rPr>
          <w:i/>
        </w:rPr>
        <w:t xml:space="preserve"> </w:t>
      </w:r>
      <w:proofErr w:type="spellStart"/>
      <w:r w:rsidRPr="007F7EBF">
        <w:rPr>
          <w:i/>
        </w:rPr>
        <w:t>stabunt</w:t>
      </w:r>
      <w:proofErr w:type="spellEnd"/>
      <w:r w:rsidRPr="007F7EBF">
        <w:rPr>
          <w:i/>
        </w:rPr>
        <w:t xml:space="preserve"> </w:t>
      </w:r>
      <w:proofErr w:type="spellStart"/>
      <w:r w:rsidRPr="007F7EBF">
        <w:rPr>
          <w:i/>
        </w:rPr>
        <w:t>simul</w:t>
      </w:r>
      <w:proofErr w:type="spellEnd"/>
      <w:r w:rsidRPr="007F7EBF">
        <w:rPr>
          <w:i/>
        </w:rPr>
        <w:t xml:space="preserve"> </w:t>
      </w:r>
      <w:proofErr w:type="spellStart"/>
      <w:r w:rsidRPr="007F7EBF">
        <w:rPr>
          <w:i/>
        </w:rPr>
        <w:t>cadent</w:t>
      </w:r>
      <w:proofErr w:type="spellEnd"/>
      <w:r w:rsidRPr="007F7EBF">
        <w:t xml:space="preserve"> </w:t>
      </w:r>
      <w:r>
        <w:t>)</w:t>
      </w:r>
      <w:r w:rsidRPr="007F7EBF">
        <w:t>.</w:t>
      </w:r>
    </w:p>
  </w:footnote>
  <w:footnote w:id="984">
    <w:p w14:paraId="0358DE62" w14:textId="77777777" w:rsidR="003B7460" w:rsidRPr="007F7EBF" w:rsidRDefault="003B7460" w:rsidP="002C0E16">
      <w:pPr>
        <w:pStyle w:val="Testonotaapidipagina"/>
      </w:pPr>
      <w:r w:rsidRPr="007F7EBF">
        <w:rPr>
          <w:rStyle w:val="Rimandonotaapidipagina"/>
        </w:rPr>
        <w:footnoteRef/>
      </w:r>
      <w:r w:rsidRPr="007F7EBF">
        <w:t xml:space="preserve"> Paragrafi 7.14/7.16 su rimanenze, ammortamenti, etc. Solo i redditi di chi non svolge attività di operatore economico, non avendo il riconoscimento dei costi, possono essere determinati in modo isolato, senza essere riferiti a un periodo di tempo.</w:t>
      </w:r>
    </w:p>
  </w:footnote>
  <w:footnote w:id="985">
    <w:p w14:paraId="12D9DCEE" w14:textId="1B9ED3B6" w:rsidR="003B7460" w:rsidRPr="007F7EBF" w:rsidRDefault="003B7460">
      <w:pPr>
        <w:pStyle w:val="Testonotaapidipagina"/>
      </w:pPr>
      <w:r w:rsidRPr="007F7EBF">
        <w:rPr>
          <w:rStyle w:val="Rimandonotaapidipagina"/>
        </w:rPr>
        <w:footnoteRef/>
      </w:r>
      <w:r w:rsidRPr="007F7EBF">
        <w:t xml:space="preserve"> L'idea di </w:t>
      </w:r>
      <w:r w:rsidRPr="007F7EBF">
        <w:rPr>
          <w:bCs/>
        </w:rPr>
        <w:t>reddito individuale</w:t>
      </w:r>
      <w:r w:rsidRPr="007F7EBF">
        <w:t>”, relativo a singoli operatori, segue uno schema logico molto  i</w:t>
      </w:r>
      <w:r w:rsidRPr="007F7EBF">
        <w:rPr>
          <w:bCs/>
        </w:rPr>
        <w:t>ntuitivo</w:t>
      </w:r>
      <w:r w:rsidRPr="007F7EBF">
        <w:t xml:space="preserve">, schematizzato persino alle scuole elementari, dove il guadagno (“reddito”) è dato da “incassi meno spese”. Sottrarre le spese dagli incassi esprime la natura intrinsecamente differenziale del reddito degli operatori economici, per cui è  </w:t>
      </w:r>
      <w:r w:rsidRPr="007F7EBF">
        <w:rPr>
          <w:bCs/>
        </w:rPr>
        <w:t>logicamente necessario considerare i costi di produzione</w:t>
      </w:r>
      <w:r w:rsidRPr="007F7EBF">
        <w:t>, ad esempio le materie prime, l’energia, i</w:t>
      </w:r>
      <w:r>
        <w:t>l lavoro etc. (</w:t>
      </w:r>
      <w:r w:rsidRPr="007F7EBF">
        <w:t>par. 7.9 a proposito dei costi inerenti).</w:t>
      </w:r>
    </w:p>
  </w:footnote>
  <w:footnote w:id="986">
    <w:p w14:paraId="71B9D17A" w14:textId="77777777" w:rsidR="003B7460" w:rsidRPr="007F7EBF" w:rsidRDefault="003B7460" w:rsidP="003B686A">
      <w:pPr>
        <w:pStyle w:val="Testonotaapidipagina"/>
      </w:pPr>
      <w:r w:rsidRPr="007F7EBF">
        <w:rPr>
          <w:rStyle w:val="Rimandonotaapidipagina"/>
        </w:rPr>
        <w:footnoteRef/>
      </w:r>
      <w:r w:rsidRPr="007F7EBF">
        <w:t xml:space="preserve"> E' la distinzione tra operazioni b2b e b2c di cui al par.1.8. </w:t>
      </w:r>
    </w:p>
  </w:footnote>
  <w:footnote w:id="987">
    <w:p w14:paraId="00A63561" w14:textId="36D2CC9D" w:rsidR="003B7460" w:rsidRPr="007F7EBF" w:rsidRDefault="003B7460" w:rsidP="00A66954">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Dove esamineremo le tecniche utilizzabili per "sterilizzare", nella tassazione dei consumi, i passaggi tra operatori economici. </w:t>
      </w:r>
    </w:p>
  </w:footnote>
  <w:footnote w:id="988">
    <w:p w14:paraId="035A67B0" w14:textId="3D4214DE" w:rsidR="003B7460" w:rsidRPr="007F7EBF" w:rsidRDefault="003B7460">
      <w:pPr>
        <w:pStyle w:val="Testonotaapidipagina"/>
      </w:pPr>
      <w:r w:rsidRPr="007F7EBF">
        <w:rPr>
          <w:rStyle w:val="Rimandonotaapidipagina"/>
        </w:rPr>
        <w:footnoteRef/>
      </w:r>
      <w:r w:rsidRPr="007F7EBF">
        <w:t xml:space="preserve"> </w:t>
      </w:r>
      <w:r>
        <w:t>) Sulle cui caratteristiche vedi il par.1.4.</w:t>
      </w:r>
    </w:p>
  </w:footnote>
  <w:footnote w:id="989">
    <w:p w14:paraId="3D041D16" w14:textId="76BD3433" w:rsidR="003B7460" w:rsidRDefault="003B7460">
      <w:pPr>
        <w:pStyle w:val="Testonotaapidipagina"/>
      </w:pPr>
      <w:r>
        <w:rPr>
          <w:rStyle w:val="Rimandonotaapidipagina"/>
        </w:rPr>
        <w:footnoteRef/>
      </w:r>
      <w:r>
        <w:t xml:space="preserve"> ) Dà l’idea di quanto sopra la scena con Troisi e Benigni visibile digitando “un fiorino”. </w:t>
      </w:r>
    </w:p>
  </w:footnote>
  <w:footnote w:id="990">
    <w:p w14:paraId="03129ABF" w14:textId="77777777" w:rsidR="003B7460" w:rsidRPr="007F7EBF" w:rsidRDefault="003B7460">
      <w:pPr>
        <w:pStyle w:val="Testonotaapidipagina"/>
      </w:pPr>
      <w:r w:rsidRPr="007F7EBF">
        <w:rPr>
          <w:rStyle w:val="Rimandonotaapidipagina"/>
        </w:rPr>
        <w:footnoteRef/>
      </w:r>
      <w:r w:rsidRPr="007F7EBF">
        <w:t xml:space="preserve"> Ad esempio i consumi presso una locanda pagavano solo sui relativi cibi e bevande, senza toccare il valore </w:t>
      </w:r>
      <w:proofErr w:type="spellStart"/>
      <w:r w:rsidRPr="007F7EBF">
        <w:t>dell'ospitalita'</w:t>
      </w:r>
      <w:proofErr w:type="spellEnd"/>
      <w:r w:rsidRPr="007F7EBF">
        <w:t xml:space="preserve"> o dei servizi personali offerti dai camerieri. </w:t>
      </w:r>
    </w:p>
  </w:footnote>
  <w:footnote w:id="991">
    <w:p w14:paraId="54000D6B" w14:textId="193F2623" w:rsidR="003B7460" w:rsidRPr="007F7EBF" w:rsidRDefault="003B7460" w:rsidP="005823E7">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Non si considerava </w:t>
      </w:r>
      <w:proofErr w:type="spellStart"/>
      <w:r w:rsidRPr="007F7EBF">
        <w:rPr>
          <w:sz w:val="20"/>
          <w:szCs w:val="20"/>
        </w:rPr>
        <w:t>cioe'</w:t>
      </w:r>
      <w:proofErr w:type="spellEnd"/>
      <w:r w:rsidRPr="007F7EBF">
        <w:rPr>
          <w:sz w:val="20"/>
          <w:szCs w:val="20"/>
        </w:rPr>
        <w:t xml:space="preserve"> la distinzione, </w:t>
      </w:r>
      <w:r>
        <w:rPr>
          <w:sz w:val="20"/>
          <w:szCs w:val="20"/>
        </w:rPr>
        <w:t xml:space="preserve">ormai nota dal par.1.8, </w:t>
      </w:r>
      <w:r w:rsidRPr="007F7EBF">
        <w:rPr>
          <w:sz w:val="20"/>
          <w:szCs w:val="20"/>
        </w:rPr>
        <w:t>tra prestazioni ad altri operatori economici (business to business abbreviato come noto in B2B) ovvero al consumo (</w:t>
      </w:r>
      <w:r>
        <w:rPr>
          <w:sz w:val="20"/>
          <w:szCs w:val="20"/>
        </w:rPr>
        <w:t xml:space="preserve">b2c cioè </w:t>
      </w:r>
      <w:r w:rsidRPr="007F7EBF">
        <w:rPr>
          <w:sz w:val="20"/>
          <w:szCs w:val="20"/>
        </w:rPr>
        <w:t xml:space="preserve">business to consumer). </w:t>
      </w:r>
    </w:p>
  </w:footnote>
  <w:footnote w:id="992">
    <w:p w14:paraId="7BC7392C" w14:textId="5AA562A7" w:rsidR="003B7460" w:rsidRPr="007F7EBF" w:rsidRDefault="003B7460" w:rsidP="00C9181D">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Più le merci “</w:t>
      </w:r>
      <w:r w:rsidRPr="007F7EBF">
        <w:rPr>
          <w:bCs/>
          <w:sz w:val="20"/>
          <w:szCs w:val="20"/>
        </w:rPr>
        <w:t>circolavano</w:t>
      </w:r>
      <w:r w:rsidRPr="007F7EBF">
        <w:rPr>
          <w:sz w:val="20"/>
          <w:szCs w:val="20"/>
        </w:rPr>
        <w:t>” prima di arrivare al consumo finale, più cresceva irrazionalmente l’imposizione sui consumi, a meno di non contrassegnare in qualche modo le merci già assoggettate all'imposta, facendole poi circolare liberamente (si dice che l'etimologia della parola "accisa"</w:t>
      </w:r>
      <w:r>
        <w:rPr>
          <w:sz w:val="20"/>
          <w:szCs w:val="20"/>
        </w:rPr>
        <w:t xml:space="preserve">, di </w:t>
      </w:r>
      <w:proofErr w:type="spellStart"/>
      <w:r>
        <w:rPr>
          <w:sz w:val="20"/>
          <w:szCs w:val="20"/>
        </w:rPr>
        <w:t>ui</w:t>
      </w:r>
      <w:proofErr w:type="spellEnd"/>
      <w:r>
        <w:rPr>
          <w:sz w:val="20"/>
          <w:szCs w:val="20"/>
        </w:rPr>
        <w:t xml:space="preserve"> al par.10 6, </w:t>
      </w:r>
      <w:r w:rsidRPr="007F7EBF">
        <w:rPr>
          <w:sz w:val="20"/>
          <w:szCs w:val="20"/>
        </w:rPr>
        <w:t>richiami le incisioni praticate sui prodotti per dimostrare che oramai avevano scontato il tributo).</w:t>
      </w:r>
    </w:p>
  </w:footnote>
  <w:footnote w:id="993">
    <w:p w14:paraId="00138888" w14:textId="0C8B2AFE" w:rsidR="003B7460" w:rsidRPr="007F7EBF" w:rsidRDefault="003B7460" w:rsidP="005823E7">
      <w:pPr>
        <w:pStyle w:val="Testonotaapidipagina"/>
      </w:pPr>
      <w:r w:rsidRPr="007F7EBF">
        <w:rPr>
          <w:rStyle w:val="Rimandonotaapidipagina"/>
        </w:rPr>
        <w:footnoteRef/>
      </w:r>
      <w:r w:rsidRPr="007F7EBF">
        <w:t xml:space="preserve"> </w:t>
      </w:r>
      <w:r>
        <w:t xml:space="preserve">) </w:t>
      </w:r>
      <w:r w:rsidRPr="007F7EBF">
        <w:t xml:space="preserve">L'IGE </w:t>
      </w:r>
      <w:r w:rsidRPr="007F7EBF">
        <w:rPr>
          <w:bCs/>
        </w:rPr>
        <w:t xml:space="preserve">colpiva infatti ogni stadio </w:t>
      </w:r>
      <w:r w:rsidRPr="007F7EBF">
        <w:t xml:space="preserve">della produzione, dando luogo alla già indicata </w:t>
      </w:r>
      <w:r w:rsidRPr="007F7EBF">
        <w:rPr>
          <w:bCs/>
        </w:rPr>
        <w:t>tassazione cumulativa</w:t>
      </w:r>
      <w:r w:rsidRPr="007F7EBF">
        <w:t>, discriminatoria all'aumento dei  passaggi di beni e servizi “a monte” del consumo.</w:t>
      </w:r>
    </w:p>
  </w:footnote>
  <w:footnote w:id="994">
    <w:p w14:paraId="2442B4AE" w14:textId="025E30E6" w:rsidR="003B7460" w:rsidRPr="007F7EBF" w:rsidRDefault="003B7460" w:rsidP="00C76E17">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Ciò  spiega la pluralità di regimi</w:t>
      </w:r>
      <w:r>
        <w:rPr>
          <w:sz w:val="20"/>
          <w:szCs w:val="20"/>
        </w:rPr>
        <w:t xml:space="preserve"> e di aliquote, che vedremo a proposito dell’IVA</w:t>
      </w:r>
      <w:r w:rsidRPr="007F7EBF">
        <w:rPr>
          <w:sz w:val="20"/>
          <w:szCs w:val="20"/>
        </w:rPr>
        <w:t>.</w:t>
      </w:r>
    </w:p>
  </w:footnote>
  <w:footnote w:id="995">
    <w:p w14:paraId="4222D737" w14:textId="77777777" w:rsidR="003B7460" w:rsidRPr="007F7EBF" w:rsidRDefault="003B7460" w:rsidP="00F65E32">
      <w:pPr>
        <w:pStyle w:val="Testonotaapidipagina"/>
      </w:pPr>
      <w:r w:rsidRPr="007F7EBF">
        <w:rPr>
          <w:rStyle w:val="Rimandonotaapidipagina"/>
        </w:rPr>
        <w:footnoteRef/>
      </w:r>
      <w:r w:rsidRPr="007F7EBF">
        <w:t xml:space="preserve"> ) Su questa tipologia normativa par.2.6. </w:t>
      </w:r>
    </w:p>
  </w:footnote>
  <w:footnote w:id="996">
    <w:p w14:paraId="214FDFBB" w14:textId="4752C42E" w:rsidR="003B7460" w:rsidRPr="007F7EBF" w:rsidRDefault="003B7460" w:rsidP="00854FEA">
      <w:pPr>
        <w:pStyle w:val="Testonotaapidipagina"/>
      </w:pPr>
      <w:r w:rsidRPr="007F7EBF">
        <w:rPr>
          <w:rStyle w:val="Rimandonotaapidipagina"/>
        </w:rPr>
        <w:footnoteRef/>
      </w:r>
      <w:r w:rsidRPr="007F7EBF">
        <w:t xml:space="preserve"> ) </w:t>
      </w:r>
      <w:r>
        <w:t>E’ un esempio di interpretazione a</w:t>
      </w:r>
      <w:r w:rsidRPr="007F7EBF">
        <w:t xml:space="preserve"> favore della normativa comunitaria, indicat</w:t>
      </w:r>
      <w:r>
        <w:t>a</w:t>
      </w:r>
      <w:r w:rsidRPr="007F7EBF">
        <w:t xml:space="preserve"> al par.2.6.</w:t>
      </w:r>
    </w:p>
  </w:footnote>
  <w:footnote w:id="997">
    <w:p w14:paraId="1046D9B6" w14:textId="77777777" w:rsidR="003B7460" w:rsidRPr="007F7EBF" w:rsidRDefault="003B7460" w:rsidP="00854FEA">
      <w:pPr>
        <w:pStyle w:val="Testonotaapidipagina"/>
      </w:pPr>
      <w:r w:rsidRPr="007F7EBF">
        <w:rPr>
          <w:rStyle w:val="Rimandonotaapidipagina"/>
        </w:rPr>
        <w:footnoteRef/>
      </w:r>
      <w:r w:rsidRPr="007F7EBF">
        <w:t xml:space="preserve"> ) Ferma restando l’obbligatoria adozione dell’IVA come tributo sul consumo; si potrebbe approfondire la possibilità di appartenere all’unione senza avere affatto tributi sui consumi, e quindi neppure l’IVA. </w:t>
      </w:r>
    </w:p>
  </w:footnote>
  <w:footnote w:id="998">
    <w:p w14:paraId="091AC741" w14:textId="77777777" w:rsidR="003B7460" w:rsidRPr="007F7EBF" w:rsidRDefault="003B7460" w:rsidP="00854FEA">
      <w:pPr>
        <w:pStyle w:val="Testonotaapidipagina"/>
      </w:pPr>
      <w:r w:rsidRPr="007F7EBF">
        <w:rPr>
          <w:rStyle w:val="Rimandonotaapidipagina"/>
        </w:rPr>
        <w:footnoteRef/>
      </w:r>
      <w:r w:rsidRPr="007F7EBF">
        <w:t xml:space="preserve"> ) Ad esempio agricoltura, spettacoli, trasporti pubblici urbani, agenzie di viaggio, immobili (dove la distinzione tra consumo e investimento è spesso difficile). </w:t>
      </w:r>
    </w:p>
  </w:footnote>
  <w:footnote w:id="999">
    <w:p w14:paraId="635ABB90" w14:textId="77777777" w:rsidR="003B7460" w:rsidRPr="007F7EBF" w:rsidRDefault="003B7460" w:rsidP="00854FEA">
      <w:pPr>
        <w:pStyle w:val="Testonotaapidipagina"/>
      </w:pPr>
      <w:r w:rsidRPr="007F7EBF">
        <w:rPr>
          <w:rStyle w:val="Rimandonotaapidipagina"/>
        </w:rPr>
        <w:footnoteRef/>
      </w:r>
      <w:r w:rsidRPr="007F7EBF">
        <w:t xml:space="preserve"> ) Ad esempio beni usati, trasferimenti  in conto vendita, vendite con distributori automatici al pubblico. </w:t>
      </w:r>
    </w:p>
  </w:footnote>
  <w:footnote w:id="1000">
    <w:p w14:paraId="2ADA70EF" w14:textId="3DE922D0" w:rsidR="003B7460" w:rsidRPr="007F7EBF" w:rsidRDefault="003B7460" w:rsidP="00854FEA">
      <w:pPr>
        <w:pStyle w:val="Testonotaapidipagina"/>
      </w:pPr>
      <w:r w:rsidRPr="007F7EBF">
        <w:rPr>
          <w:rStyle w:val="Rimandonotaapidipagina"/>
        </w:rPr>
        <w:footnoteRef/>
      </w:r>
      <w:r w:rsidRPr="007F7EBF">
        <w:t xml:space="preserve"> </w:t>
      </w:r>
      <w:r>
        <w:t>) A</w:t>
      </w:r>
      <w:r w:rsidRPr="007F7EBF">
        <w:t xml:space="preserve">d esempio quelli di piccole dimensioni, che possono essere esonerati dall'IVA ed equiparati a consumatori finali. </w:t>
      </w:r>
    </w:p>
  </w:footnote>
  <w:footnote w:id="1001">
    <w:p w14:paraId="7FC20A70" w14:textId="1657BBD4" w:rsidR="003B7460" w:rsidRDefault="003B7460">
      <w:pPr>
        <w:pStyle w:val="Testonotaapidipagina"/>
      </w:pPr>
      <w:r>
        <w:rPr>
          <w:rStyle w:val="Rimandonotaapidipagina"/>
        </w:rPr>
        <w:footnoteRef/>
      </w:r>
      <w:r>
        <w:t xml:space="preserve"> ) Secondo una tecnica legislativa inevitabile per le imposte indirette, che ritroveremo al capitolo 10 per le imposte di registro, di bollo, doganali e per la tassa sulle concessioni governative.</w:t>
      </w:r>
    </w:p>
  </w:footnote>
  <w:footnote w:id="1002">
    <w:p w14:paraId="6E009EC9" w14:textId="77777777" w:rsidR="003B7460" w:rsidRPr="007F7EBF" w:rsidRDefault="003B7460" w:rsidP="009732E2">
      <w:pPr>
        <w:pStyle w:val="Testonotaapidipagina"/>
      </w:pPr>
      <w:r w:rsidRPr="007F7EBF">
        <w:rPr>
          <w:rStyle w:val="Rimandonotaapidipagina"/>
        </w:rPr>
        <w:footnoteRef/>
      </w:r>
      <w:r w:rsidRPr="007F7EBF">
        <w:t xml:space="preserve"> ) Teniamo presente infatti che l’IVA giunge al consumo finale attraverso i corrispettivi contrattuali, esistenti anche in fasi  molto </w:t>
      </w:r>
      <w:r>
        <w:t>lontane d</w:t>
      </w:r>
      <w:r w:rsidRPr="007F7EBF">
        <w:t>al consumo finale</w:t>
      </w:r>
      <w:r>
        <w:t xml:space="preserve">, ad esempio nelle operazioni bancarie e finanziarie, che quindi sono state “esentate”, nei modi e con le conseguenze di cui al par.7.10. </w:t>
      </w:r>
    </w:p>
  </w:footnote>
  <w:footnote w:id="1003">
    <w:p w14:paraId="2DC3AEA2" w14:textId="3A4CC3A0" w:rsidR="003B7460" w:rsidRPr="007F7EBF" w:rsidRDefault="003B7460">
      <w:pPr>
        <w:pStyle w:val="Testonotaapidipagina"/>
        <w:rPr>
          <w:i/>
        </w:rPr>
      </w:pPr>
      <w:r w:rsidRPr="007F7EBF">
        <w:rPr>
          <w:rStyle w:val="Rimandonotaapidipagina"/>
        </w:rPr>
        <w:footnoteRef/>
      </w:r>
      <w:r w:rsidRPr="007F7EBF">
        <w:t xml:space="preserve"> ) Cioè le operazioni “business to consumer”, cui si aggiunge talvolta l’aggettivo </w:t>
      </w:r>
      <w:r w:rsidRPr="007F7EBF">
        <w:rPr>
          <w:i/>
        </w:rPr>
        <w:t xml:space="preserve">finale, </w:t>
      </w:r>
      <w:r w:rsidRPr="007F7EBF">
        <w:t xml:space="preserve">pleonastico quasi come il rafforzativo mediatico di “reato penale”. Nel nostro caso il rafforzativo serve a distinguere il consumo dei privati da quello con cui operatori economici </w:t>
      </w:r>
      <w:r w:rsidRPr="007F7EBF">
        <w:rPr>
          <w:i/>
        </w:rPr>
        <w:t>consumano</w:t>
      </w:r>
      <w:r w:rsidRPr="007F7EBF">
        <w:t xml:space="preserve"> materie prime o servizi per le loro produzioni (ad es. energia consumata per produzioni industriali). </w:t>
      </w:r>
    </w:p>
  </w:footnote>
  <w:footnote w:id="1004">
    <w:p w14:paraId="34287FFC" w14:textId="4351EFFB" w:rsidR="003B7460" w:rsidRPr="007F7EBF" w:rsidRDefault="003B7460" w:rsidP="00166190">
      <w:pPr>
        <w:pStyle w:val="Testonotaapidipagina"/>
      </w:pPr>
      <w:r w:rsidRPr="007F7EBF">
        <w:rPr>
          <w:rStyle w:val="Rimandonotaapidipagina"/>
        </w:rPr>
        <w:footnoteRef/>
      </w:r>
      <w:r w:rsidRPr="007F7EBF">
        <w:t xml:space="preserve"> Come ad esempio auto, elettrodomestici, abitazioni, </w:t>
      </w:r>
      <w:proofErr w:type="spellStart"/>
      <w:r w:rsidRPr="007F7EBF">
        <w:t>etc</w:t>
      </w:r>
      <w:proofErr w:type="spellEnd"/>
      <w:r>
        <w:t>, comunque espressivi di un consumo.</w:t>
      </w:r>
    </w:p>
  </w:footnote>
  <w:footnote w:id="1005">
    <w:p w14:paraId="08566B0F" w14:textId="0416DC6D" w:rsidR="003B7460" w:rsidRPr="00567024" w:rsidRDefault="003B7460" w:rsidP="00567024">
      <w:pPr>
        <w:autoSpaceDE w:val="0"/>
        <w:autoSpaceDN w:val="0"/>
        <w:adjustRightInd w:val="0"/>
        <w:rPr>
          <w:sz w:val="22"/>
          <w:szCs w:val="22"/>
        </w:rPr>
      </w:pPr>
      <w:r>
        <w:rPr>
          <w:rStyle w:val="Rimandonotaapidipagina"/>
        </w:rPr>
        <w:footnoteRef/>
      </w:r>
      <w:r>
        <w:t xml:space="preserve"> ) L’espressione imposta sul “valore aggiunto” è stata probabilmente influenzata dalla prevalenza iniziale della “detrazione d’imposta” (par.7.3) per neutralizzare le operazioni b2b. </w:t>
      </w:r>
      <w:r>
        <w:rPr>
          <w:sz w:val="22"/>
          <w:szCs w:val="22"/>
        </w:rPr>
        <w:t>Con l’estensione del sistema della “non imponibilità” sono molto aumentati i costi che riducono il valore aggiunto economico (par.1.8), senza essere gravati da IVA; questo a conferma che la vera “imposta sul valore aggiunto economico”, come definito al par.1.8.</w:t>
      </w:r>
    </w:p>
  </w:footnote>
  <w:footnote w:id="1006">
    <w:p w14:paraId="4A679BE3" w14:textId="77777777" w:rsidR="003B7460" w:rsidRDefault="003B7460" w:rsidP="000A0104">
      <w:pPr>
        <w:pStyle w:val="Testonotaapidipagina"/>
      </w:pPr>
      <w:r>
        <w:rPr>
          <w:rStyle w:val="Rimandonotaapidipagina"/>
        </w:rPr>
        <w:footnoteRef/>
      </w:r>
      <w:r>
        <w:t xml:space="preserve"> </w:t>
      </w:r>
      <w:r>
        <w:rPr>
          <w:sz w:val="22"/>
          <w:szCs w:val="22"/>
        </w:rPr>
        <w:t>) Che in certi casi, come i carburanti o le energie, gonfia enormemente l’imponibile IVA</w:t>
      </w:r>
      <w:r w:rsidRPr="007F7EBF">
        <w:t>.</w:t>
      </w:r>
    </w:p>
  </w:footnote>
  <w:footnote w:id="1007">
    <w:p w14:paraId="470F3AE4" w14:textId="58ECDEFE" w:rsidR="003B7460" w:rsidRPr="007F7EBF" w:rsidRDefault="003B7460">
      <w:pPr>
        <w:pStyle w:val="Testonotaapidipagina"/>
      </w:pPr>
      <w:r w:rsidRPr="007F7EBF">
        <w:rPr>
          <w:rStyle w:val="Rimandonotaapidipagina"/>
        </w:rPr>
        <w:footnoteRef/>
      </w:r>
      <w:r w:rsidRPr="007F7EBF">
        <w:t xml:space="preserve"> ) </w:t>
      </w:r>
      <w:r>
        <w:t>Sia i costi di lavoro sia gli interessi passivi sono infatti e</w:t>
      </w:r>
      <w:r w:rsidRPr="007F7EBF">
        <w:t xml:space="preserve">senti da IVA, </w:t>
      </w:r>
      <w:r>
        <w:t xml:space="preserve">i secondi </w:t>
      </w:r>
      <w:r w:rsidRPr="007F7EBF">
        <w:t xml:space="preserve">anche quando percepiti da un operatore economico, come la banca. </w:t>
      </w:r>
      <w:r>
        <w:t xml:space="preserve">Curiosamente, l’imposta definita “sul valore aggiunto” non colpisce il </w:t>
      </w:r>
      <w:r w:rsidRPr="007F7EBF">
        <w:rPr>
          <w:bCs/>
        </w:rPr>
        <w:t xml:space="preserve">valore aggiunto </w:t>
      </w:r>
      <w:r>
        <w:rPr>
          <w:bCs/>
          <w:sz w:val="22"/>
          <w:szCs w:val="22"/>
        </w:rPr>
        <w:t>economico, ma il consumo, mentre l’imposta che davvero colpisce il valore aggiunto economico, cioè l’IRAP (par.9.5), si chiama in un altro modo. E’ un indizio della necessità di spiegazioni della funzione tributaria come determinazione dei presupposti economici d’imposta</w:t>
      </w:r>
      <w:r>
        <w:rPr>
          <w:bCs/>
        </w:rPr>
        <w:t>.</w:t>
      </w:r>
    </w:p>
  </w:footnote>
  <w:footnote w:id="1008">
    <w:p w14:paraId="5DD5B470" w14:textId="77777777" w:rsidR="003B7460" w:rsidRPr="007F7EBF" w:rsidRDefault="003B7460" w:rsidP="00BF373C">
      <w:pPr>
        <w:pStyle w:val="Testonotaapidipagina"/>
      </w:pPr>
      <w:r w:rsidRPr="007F7EBF">
        <w:rPr>
          <w:rStyle w:val="Rimandonotaapidipagina"/>
        </w:rPr>
        <w:footnoteRef/>
      </w:r>
      <w:r w:rsidRPr="007F7EBF">
        <w:t xml:space="preserve"> Per questo, come rilevato all'inizio del par.3.12 le fatture attive, necessarie alla copertura dei costi "visibili", tendono a essere indirizzate a soggetti per cui la relativa IVA è detraibile.</w:t>
      </w:r>
    </w:p>
  </w:footnote>
  <w:footnote w:id="1009">
    <w:p w14:paraId="53BE2E53" w14:textId="77777777" w:rsidR="003B7460" w:rsidRPr="007F7EBF" w:rsidRDefault="003B7460">
      <w:pPr>
        <w:pStyle w:val="Testonotaapidipagina"/>
      </w:pPr>
      <w:r w:rsidRPr="007F7EBF">
        <w:rPr>
          <w:rStyle w:val="Rimandonotaapidipagina"/>
        </w:rPr>
        <w:footnoteRef/>
      </w:r>
      <w:r w:rsidRPr="007F7EBF">
        <w:t xml:space="preserve"> ) Per spiegazioni vedi parr.7.15 sull’ammortamento e 7.16 sulle rimanenze.</w:t>
      </w:r>
    </w:p>
  </w:footnote>
  <w:footnote w:id="1010">
    <w:p w14:paraId="066F63E2" w14:textId="7B9653BB" w:rsidR="003B7460" w:rsidRPr="007F7EBF" w:rsidRDefault="003B7460" w:rsidP="00B70FD3">
      <w:pPr>
        <w:pStyle w:val="Testonotaapidipagina"/>
      </w:pPr>
      <w:r w:rsidRPr="007F7EBF">
        <w:rPr>
          <w:rStyle w:val="Rimandonotaapidipagina"/>
        </w:rPr>
        <w:footnoteRef/>
      </w:r>
      <w:r w:rsidRPr="007F7EBF">
        <w:t xml:space="preserve"> </w:t>
      </w:r>
      <w:r>
        <w:t xml:space="preserve">) </w:t>
      </w:r>
      <w:r>
        <w:rPr>
          <w:bCs/>
        </w:rPr>
        <w:t>C</w:t>
      </w:r>
      <w:r w:rsidRPr="007F7EBF">
        <w:rPr>
          <w:bCs/>
        </w:rPr>
        <w:t xml:space="preserve">ome anticipato al par. 3.4 e </w:t>
      </w:r>
      <w:r>
        <w:rPr>
          <w:bCs/>
        </w:rPr>
        <w:t>specificato</w:t>
      </w:r>
      <w:r w:rsidRPr="007F7EBF">
        <w:rPr>
          <w:bCs/>
        </w:rPr>
        <w:t xml:space="preserve"> al par. 7.8 sulla c.d. "</w:t>
      </w:r>
      <w:r w:rsidRPr="007F7EBF">
        <w:t xml:space="preserve">liquidazione dell'IVA". </w:t>
      </w:r>
    </w:p>
  </w:footnote>
  <w:footnote w:id="1011">
    <w:p w14:paraId="1D6377B7" w14:textId="1C1C29EA" w:rsidR="003B7460" w:rsidRDefault="003B7460">
      <w:pPr>
        <w:pStyle w:val="Testonotaapidipagina"/>
      </w:pPr>
      <w:r>
        <w:rPr>
          <w:rStyle w:val="Rimandonotaapidipagina"/>
        </w:rPr>
        <w:footnoteRef/>
      </w:r>
      <w:r>
        <w:t xml:space="preserve"> ) Il che può di fatto capitare  quando l’impresa acquista, gestisce e rivende un solo bene di grande valore.</w:t>
      </w:r>
    </w:p>
  </w:footnote>
  <w:footnote w:id="1012">
    <w:p w14:paraId="569346C1" w14:textId="77777777" w:rsidR="003B7460" w:rsidRDefault="003B7460" w:rsidP="00532DDB">
      <w:pPr>
        <w:pStyle w:val="Testonotaapidipagina"/>
      </w:pPr>
      <w:r>
        <w:rPr>
          <w:rStyle w:val="Rimandonotaapidipagina"/>
        </w:rPr>
        <w:footnoteRef/>
      </w:r>
      <w:r>
        <w:t xml:space="preserve"> ) A</w:t>
      </w:r>
      <w:r w:rsidRPr="007F7EBF">
        <w:t>nche se egli ignorasse l'esistenza dell'IVA, come tutti i contribuenti di fatto (par.3.5),  il tributo giungerebbe comunque alla sua naturale destinazione del consumo.</w:t>
      </w:r>
      <w:r w:rsidRPr="00C032A2">
        <w:t xml:space="preserve"> </w:t>
      </w:r>
      <w:r w:rsidRPr="007F7EBF">
        <w:t>Anche qui ritornano i concetti indicati al par. 3.5 sul contribuente di diritto, cioè il fornitore, che intrattiene i rapporti col fisco. Il contribuente di fatto, il consumatore finale, non ha rapporti con gli uffici fiscali, e sopporta (magari senza saperlo) il peso economico del tributo.</w:t>
      </w:r>
    </w:p>
  </w:footnote>
  <w:footnote w:id="1013">
    <w:p w14:paraId="6B0E2D22" w14:textId="37E413D2" w:rsidR="003B7460" w:rsidRDefault="003B7460" w:rsidP="00532DDB">
      <w:pPr>
        <w:pStyle w:val="Testonotaapidipagina"/>
      </w:pPr>
      <w:r>
        <w:rPr>
          <w:rStyle w:val="Rimandonotaapidipagina"/>
        </w:rPr>
        <w:footnoteRef/>
      </w:r>
      <w:r>
        <w:t xml:space="preserve"> ) L</w:t>
      </w:r>
      <w:r w:rsidRPr="007F7EBF">
        <w:t xml:space="preserve">'operatore al dettaglio non ha alcun diritto di chiedere maggiorazioni a titolo di IVA al cliente che chiede la fattura, </w:t>
      </w:r>
      <w:r>
        <w:t xml:space="preserve">dovendo scorporare l’imposta dal prezzo, che in questo caso </w:t>
      </w:r>
      <w:r w:rsidRPr="007F7EBF">
        <w:t>s'intende comprensivo dell'imposta</w:t>
      </w:r>
      <w:r>
        <w:t xml:space="preserve">. </w:t>
      </w:r>
    </w:p>
  </w:footnote>
  <w:footnote w:id="1014">
    <w:p w14:paraId="3DB6ECAB" w14:textId="77777777" w:rsidR="003B7460" w:rsidRPr="007F7EBF" w:rsidRDefault="003B7460" w:rsidP="00783C44">
      <w:pPr>
        <w:pStyle w:val="Testonotaapidipagina"/>
      </w:pPr>
      <w:r w:rsidRPr="007F7EBF">
        <w:rPr>
          <w:rStyle w:val="Rimandonotaapidipagina"/>
        </w:rPr>
        <w:footnoteRef/>
      </w:r>
      <w:r w:rsidRPr="007F7EBF">
        <w:t xml:space="preserve"> </w:t>
      </w:r>
      <w:r>
        <w:t xml:space="preserve">) </w:t>
      </w:r>
      <w:proofErr w:type="spellStart"/>
      <w:r>
        <w:t>Cfr</w:t>
      </w:r>
      <w:proofErr w:type="spellEnd"/>
      <w:r>
        <w:t xml:space="preserve"> </w:t>
      </w:r>
      <w:r w:rsidRPr="007F7EBF">
        <w:t xml:space="preserve">par.7.4 sull'iva intracomunitaria. </w:t>
      </w:r>
    </w:p>
  </w:footnote>
  <w:footnote w:id="1015">
    <w:p w14:paraId="70D979B5" w14:textId="77777777" w:rsidR="003B7460" w:rsidRDefault="003B7460" w:rsidP="00C9524E">
      <w:pPr>
        <w:pStyle w:val="Testonotaapidipagina"/>
      </w:pPr>
      <w:r>
        <w:rPr>
          <w:rStyle w:val="Rimandonotaapidipagina"/>
        </w:rPr>
        <w:footnoteRef/>
      </w:r>
      <w:r>
        <w:t xml:space="preserve"> ) Per questo sono frequenti i tentativi di operatori semiclandestini, che riforniscono venditori ambulanti e piccoli dettaglianti, di “acquistare senza IVA” in modi che vedremo ai prossimi paragrafi, soprattutto falsi acquisti intracomunitari e false dichiarazioni d’intenti a titolo di esportatori (paragrafo successivo). </w:t>
      </w:r>
    </w:p>
  </w:footnote>
  <w:footnote w:id="1016">
    <w:p w14:paraId="2BA0AA1D" w14:textId="77777777" w:rsidR="003B7460" w:rsidRDefault="003B7460" w:rsidP="005E6A71">
      <w:pPr>
        <w:pStyle w:val="Testonotaapidipagina"/>
      </w:pPr>
      <w:r>
        <w:rPr>
          <w:rStyle w:val="Rimandonotaapidipagina"/>
        </w:rPr>
        <w:footnoteRef/>
      </w:r>
      <w:r>
        <w:t xml:space="preserve"> ) Mi riferisco al mercato di computers e telefoni cellulari, per i quali quindi il criterio della “non imponibilità” è stato esteso anche alle operazioni interne, come indicato nel testo. </w:t>
      </w:r>
    </w:p>
  </w:footnote>
  <w:footnote w:id="1017">
    <w:p w14:paraId="542C08BC" w14:textId="2E4D2D6A" w:rsidR="003B7460" w:rsidRDefault="003B7460">
      <w:pPr>
        <w:pStyle w:val="Testonotaapidipagina"/>
      </w:pPr>
      <w:r>
        <w:rPr>
          <w:rStyle w:val="Rimandonotaapidipagina"/>
        </w:rPr>
        <w:footnoteRef/>
      </w:r>
      <w:r>
        <w:t xml:space="preserve"> ) In quanto i versamenti iva del fornitore risentono di tutte le altre operazioni, comprese quelle di acquisto, e manca quindi un versamento specifico dell’IVA detratta dal cliente, che esso possa controllare. </w:t>
      </w:r>
    </w:p>
  </w:footnote>
  <w:footnote w:id="1018">
    <w:p w14:paraId="34E12D44" w14:textId="3F5DE78F" w:rsidR="003B7460" w:rsidRPr="007F7EBF" w:rsidRDefault="003B7460" w:rsidP="006F3307">
      <w:pPr>
        <w:pStyle w:val="Testonotaapidipagina"/>
      </w:pPr>
      <w:r w:rsidRPr="007F7EBF">
        <w:rPr>
          <w:rStyle w:val="Rimandonotaapidipagina"/>
        </w:rPr>
        <w:footnoteRef/>
      </w:r>
      <w:r>
        <w:t xml:space="preserve">) </w:t>
      </w:r>
      <w:r w:rsidRPr="007F7EBF">
        <w:t xml:space="preserve">In questi casi scatta una </w:t>
      </w:r>
      <w:r w:rsidRPr="007F7EBF">
        <w:rPr>
          <w:bCs/>
        </w:rPr>
        <w:t xml:space="preserve">responsabilità solidale del compratore </w:t>
      </w:r>
      <w:r w:rsidRPr="007F7EBF">
        <w:t xml:space="preserve">per l’imposta non versata dal venditore (art. 60-bis decreto IVA). Tuttavia la modalità più diffusa di contrastare queste operazioni è stato il disconoscimento della detrazione , in quanto "operazione soggettivamente inesistente"  all'acquirente. </w:t>
      </w:r>
    </w:p>
  </w:footnote>
  <w:footnote w:id="1019">
    <w:p w14:paraId="39111A7A" w14:textId="25D75C0E" w:rsidR="003B7460" w:rsidRDefault="003B7460">
      <w:pPr>
        <w:pStyle w:val="Testonotaapidipagina"/>
      </w:pPr>
      <w:r>
        <w:rPr>
          <w:rStyle w:val="Rimandonotaapidipagina"/>
        </w:rPr>
        <w:footnoteRef/>
      </w:r>
      <w:r>
        <w:t xml:space="preserve"> ) Denominate “frodi carosello” perché venivano schermate interponendo tra chi aveva effettuato l’acquisto intracomunitario per approvvigionarsi dei beni, e l’acquirente finale dei medesimi, una serie di società intermedie (c.d. “buffer”), che acquistavano e rivendevano senza versare l’IVA, in modo da rendere difficile al fisco la ricostruzione della frode e dei suoi effettivi organizzatori.  </w:t>
      </w:r>
    </w:p>
  </w:footnote>
  <w:footnote w:id="1020">
    <w:p w14:paraId="1049034F" w14:textId="4338DF5D" w:rsidR="003B7460" w:rsidRPr="007F7EBF" w:rsidRDefault="003B7460">
      <w:pPr>
        <w:pStyle w:val="Testonotaapidipagina"/>
      </w:pPr>
      <w:r w:rsidRPr="007F7EBF">
        <w:rPr>
          <w:rStyle w:val="Rimandonotaapidipagina"/>
        </w:rPr>
        <w:footnoteRef/>
      </w:r>
      <w:r w:rsidRPr="007F7EBF">
        <w:t xml:space="preserve"> ) </w:t>
      </w:r>
      <w:r>
        <w:t>I</w:t>
      </w:r>
      <w:r w:rsidRPr="007F7EBF">
        <w:t xml:space="preserve">l fornitore estero </w:t>
      </w:r>
      <w:r>
        <w:t>potrebbe al massimo</w:t>
      </w:r>
      <w:r w:rsidRPr="007F7EBF">
        <w:t xml:space="preserve"> applicare </w:t>
      </w:r>
      <w:r>
        <w:t xml:space="preserve">l’IVA del proprio </w:t>
      </w:r>
      <w:r w:rsidRPr="007F7EBF">
        <w:t>paese</w:t>
      </w:r>
      <w:r>
        <w:t>, che poi dovrebbe essere oggetto dell’ipotetica “detrazione intracomunitaria “transfrontaliera”</w:t>
      </w:r>
      <w:r w:rsidRPr="007F7EBF">
        <w:t xml:space="preserve">. </w:t>
      </w:r>
    </w:p>
  </w:footnote>
  <w:footnote w:id="1021">
    <w:p w14:paraId="7F3F7B0A" w14:textId="7B825B3F" w:rsidR="003B7460" w:rsidRDefault="003B7460">
      <w:pPr>
        <w:pStyle w:val="Testonotaapidipagina"/>
      </w:pPr>
      <w:r>
        <w:rPr>
          <w:rStyle w:val="Rimandonotaapidipagina"/>
        </w:rPr>
        <w:footnoteRef/>
      </w:r>
      <w:r>
        <w:t xml:space="preserve"> ) Il fornitore deve oggi segnalare in via telematica queste dichiarazioni agli uffici tributari, ma anche questa cautela è inefficace. L</w:t>
      </w:r>
      <w:r>
        <w:rPr>
          <w:sz w:val="22"/>
          <w:szCs w:val="22"/>
        </w:rPr>
        <w:t xml:space="preserve">’unica possibilità è l’autorizzazione preventiva a tali acquisti da parte degli uffici tributari, nella consueta prospettiva amministrativistica di questo testo. </w:t>
      </w:r>
    </w:p>
  </w:footnote>
  <w:footnote w:id="1022">
    <w:p w14:paraId="5C10B973" w14:textId="77777777" w:rsidR="003B7460" w:rsidRPr="007F7EBF" w:rsidRDefault="003B7460">
      <w:pPr>
        <w:pStyle w:val="Testonotaapidipagina"/>
      </w:pPr>
      <w:r w:rsidRPr="007F7EBF">
        <w:rPr>
          <w:rStyle w:val="Rimandonotaapidipagina"/>
        </w:rPr>
        <w:footnoteRef/>
      </w:r>
      <w:r w:rsidRPr="007F7EBF">
        <w:t xml:space="preserve"> Pari ad alcune decine di migliaia di euro. </w:t>
      </w:r>
    </w:p>
  </w:footnote>
  <w:footnote w:id="1023">
    <w:p w14:paraId="608677B6" w14:textId="0949AD08" w:rsidR="003B7460" w:rsidRDefault="003B7460">
      <w:pPr>
        <w:pStyle w:val="Testonotaapidipagina"/>
      </w:pPr>
      <w:r>
        <w:rPr>
          <w:rStyle w:val="Rimandonotaapidipagina"/>
        </w:rPr>
        <w:footnoteRef/>
      </w:r>
      <w:r>
        <w:t xml:space="preserve"> ) E finiscono sotto accusa per il diverso problema della tassazione dei redditi, che invece si radicano nel paese del fornitore, come indicato al par.7.18;</w:t>
      </w:r>
      <w:r w:rsidRPr="007F7EBF">
        <w:t xml:space="preserve"> è</w:t>
      </w:r>
      <w:r>
        <w:t xml:space="preserve"> </w:t>
      </w:r>
      <w:r w:rsidRPr="007F7EBF">
        <w:t>un altro caso di “tassazione attraverso le organizzazioni aziendali”, che si sostituiscono alle dogane, eliminate dai confini UE, applican</w:t>
      </w:r>
      <w:r>
        <w:t>d</w:t>
      </w:r>
      <w:r w:rsidRPr="007F7EBF">
        <w:t>o l’imposta sui consumatori di un altro stato</w:t>
      </w:r>
      <w:r>
        <w:t xml:space="preserve">, e finendo sul banco degli imputati </w:t>
      </w:r>
      <w:proofErr w:type="spellStart"/>
      <w:r>
        <w:t>benchè</w:t>
      </w:r>
      <w:proofErr w:type="spellEnd"/>
      <w:r>
        <w:t xml:space="preserve"> cardine del sistema, secondo i meccanismi sociali descritti ai paragrafi 5.17 e seguenti. </w:t>
      </w:r>
    </w:p>
  </w:footnote>
  <w:footnote w:id="1024">
    <w:p w14:paraId="08A7631F" w14:textId="017E57A9" w:rsidR="003B7460" w:rsidRPr="007F7EBF" w:rsidRDefault="003B7460">
      <w:pPr>
        <w:pStyle w:val="Testonotaapidipagina"/>
      </w:pPr>
      <w:r w:rsidRPr="007F7EBF">
        <w:rPr>
          <w:rStyle w:val="Rimandonotaapidipagina"/>
        </w:rPr>
        <w:footnoteRef/>
      </w:r>
      <w:r w:rsidRPr="007F7EBF">
        <w:t xml:space="preserve"> ) Sarebbe da chiedersi in quale misura è possibile, in assenza di organizzazioni rigide, vendere a distanza da un paese all’altro nascondendo i relativi incassi al fisco di entrambi. Bisognerebbe cioè chiedersi</w:t>
      </w:r>
      <w:r>
        <w:t>, come tesi di laurea o di dottorato,</w:t>
      </w:r>
      <w:r w:rsidRPr="007F7EBF">
        <w:t xml:space="preserve"> in quale misura l’apertura delle frontiere, passando dall’</w:t>
      </w:r>
      <w:r w:rsidRPr="007F7EBF">
        <w:rPr>
          <w:i/>
        </w:rPr>
        <w:t xml:space="preserve">ufficio doganale </w:t>
      </w:r>
      <w:r w:rsidRPr="007F7EBF">
        <w:t xml:space="preserve">all’autodeterminazione del tributo, abbia agevolato </w:t>
      </w:r>
      <w:r>
        <w:t>non solo le frodi carosello di cui al paragrafo precedente, ma in genere la più banale evasione fiscale dei corrispettivi, sotto gli occhi imbambolati della tecnocrazia comunitaria.</w:t>
      </w:r>
    </w:p>
  </w:footnote>
  <w:footnote w:id="1025">
    <w:p w14:paraId="41180B2D" w14:textId="4A9909AC" w:rsidR="003B7460" w:rsidRPr="007F7EBF" w:rsidRDefault="003B7460" w:rsidP="00F71238">
      <w:pPr>
        <w:pStyle w:val="Testonotaapidipagina"/>
      </w:pPr>
      <w:r w:rsidRPr="007F7EBF">
        <w:rPr>
          <w:rStyle w:val="Rimandonotaapidipagina"/>
        </w:rPr>
        <w:footnoteRef/>
      </w:r>
      <w:r>
        <w:t>)</w:t>
      </w:r>
      <w:r w:rsidRPr="007F7EBF">
        <w:t xml:space="preserve"> </w:t>
      </w:r>
      <w:r>
        <w:t>E’ un criterio r</w:t>
      </w:r>
      <w:r w:rsidRPr="007F7EBF">
        <w:t xml:space="preserve">ecepito da tutti i paesi comunitari e regolato in Italia dalla legge 427 del 2003. </w:t>
      </w:r>
    </w:p>
  </w:footnote>
  <w:footnote w:id="1026">
    <w:p w14:paraId="2BD78508" w14:textId="1E9F417D" w:rsidR="003B7460" w:rsidRPr="007F7EBF" w:rsidRDefault="003B7460" w:rsidP="00CF1F32">
      <w:pPr>
        <w:pStyle w:val="Testonotaapidipagina"/>
      </w:pPr>
      <w:r w:rsidRPr="007F7EBF">
        <w:rPr>
          <w:rStyle w:val="Rimandonotaapidipagina"/>
        </w:rPr>
        <w:footnoteRef/>
      </w:r>
      <w:r w:rsidRPr="007F7EBF">
        <w:t xml:space="preserve"> ) Come anticipato al precedente par.7.3 il criterio della non imponibilità ha   reso disponibili con maggiore frequenza merci non gravate da IVA a monte</w:t>
      </w:r>
      <w:r>
        <w:t xml:space="preserve">, utilizzabili per “frodi carosello” quando gli operatori al consumo sono amministrativamente rigidi (par.7.3) o semplici vendite in nero quanto non lo sono. </w:t>
      </w:r>
    </w:p>
  </w:footnote>
  <w:footnote w:id="1027">
    <w:p w14:paraId="7D03282E" w14:textId="64DFEBA8" w:rsidR="003B7460" w:rsidRPr="007F7EBF" w:rsidRDefault="003B7460" w:rsidP="0074086F">
      <w:pPr>
        <w:pStyle w:val="Testonotaapidipagina"/>
      </w:pPr>
      <w:r w:rsidRPr="007F7EBF">
        <w:rPr>
          <w:rStyle w:val="Rimandonotaapidipagina"/>
        </w:rPr>
        <w:footnoteRef/>
      </w:r>
      <w:r w:rsidRPr="007F7EBF">
        <w:t xml:space="preserve"> </w:t>
      </w:r>
      <w:r>
        <w:t xml:space="preserve">) </w:t>
      </w:r>
      <w:r w:rsidRPr="007F7EBF">
        <w:t xml:space="preserve">Non è infatti sufficiente </w:t>
      </w:r>
      <w:r>
        <w:t xml:space="preserve">garanzia erariale </w:t>
      </w:r>
      <w:r w:rsidRPr="007F7EBF">
        <w:t xml:space="preserve">il controllo informatico sull’effettività della partita IVA del cliente cui viene richiesto di intestare la fattura. </w:t>
      </w:r>
      <w:r>
        <w:t>Se il cedente dimostra di aver ricevuto il pagamento dell’estero è difficile metterne in dubbio la buona fede. Non necessariamente è il fornitore a doversi incaricare del</w:t>
      </w:r>
      <w:r w:rsidRPr="007F7EBF">
        <w:t xml:space="preserve"> trasporto</w:t>
      </w:r>
      <w:r>
        <w:t xml:space="preserve">, e anche se lo facesse non avrebbe la certezza che i beni restassero all’estero, e non tornassero sul territorio italiano per essere ceduti “in nero”. Il fatto che questi problemi, noti da decenni, non siano neppure inquadrati in sede europea, la dice lunga sulle prospettive di “Unione Politica”. </w:t>
      </w:r>
      <w:r w:rsidRPr="007F7EBF">
        <w:t xml:space="preserve"> </w:t>
      </w:r>
    </w:p>
  </w:footnote>
  <w:footnote w:id="1028">
    <w:p w14:paraId="7D296917" w14:textId="77777777" w:rsidR="003B7460" w:rsidRPr="007F7EBF" w:rsidRDefault="003B7460" w:rsidP="0074086F">
      <w:pPr>
        <w:pStyle w:val="Testonotaapidipagina"/>
      </w:pPr>
      <w:r w:rsidRPr="007F7EBF">
        <w:rPr>
          <w:rStyle w:val="Rimandonotaapidipagina"/>
        </w:rPr>
        <w:footnoteRef/>
      </w:r>
      <w:r w:rsidRPr="007F7EBF">
        <w:t xml:space="preserve">) </w:t>
      </w:r>
      <w:proofErr w:type="spellStart"/>
      <w:r>
        <w:t>Cfr</w:t>
      </w:r>
      <w:proofErr w:type="spellEnd"/>
      <w:r>
        <w:t xml:space="preserve"> la fine del precedente paragrafo 7.3 e </w:t>
      </w:r>
      <w:r w:rsidRPr="007F7EBF">
        <w:t>l’impossibilità di trasformare il fornitore in investigatore su</w:t>
      </w:r>
      <w:r>
        <w:t xml:space="preserve"> comportamenti del proprio cliente. </w:t>
      </w:r>
    </w:p>
  </w:footnote>
  <w:footnote w:id="1029">
    <w:p w14:paraId="0B0B87B0" w14:textId="47BDB581" w:rsidR="003B7460" w:rsidRPr="007F7EBF" w:rsidRDefault="003B7460" w:rsidP="001833A5">
      <w:pPr>
        <w:pStyle w:val="Testonotaapidipagina"/>
      </w:pPr>
      <w:r w:rsidRPr="007F7EBF">
        <w:rPr>
          <w:rStyle w:val="Rimandonotaapidipagina"/>
        </w:rPr>
        <w:footnoteRef/>
      </w:r>
      <w:r>
        <w:t>)</w:t>
      </w:r>
      <w:r w:rsidRPr="007F7EBF">
        <w:t xml:space="preserve"> La detrazione intracomunitaria era stata progettata, ma è stata di fatto rinviata a tempo indeterminato per </w:t>
      </w:r>
      <w:r w:rsidRPr="007F7EBF">
        <w:rPr>
          <w:bCs/>
        </w:rPr>
        <w:t>difficoltà gestionali</w:t>
      </w:r>
      <w:r w:rsidRPr="007F7EBF">
        <w:t xml:space="preserve"> che danno la misura delle difficoltà di coordinamento di uffici amministrativi di paesi diversi, </w:t>
      </w:r>
      <w:proofErr w:type="spellStart"/>
      <w:r w:rsidRPr="007F7EBF">
        <w:t>benchè</w:t>
      </w:r>
      <w:proofErr w:type="spellEnd"/>
      <w:r w:rsidRPr="007F7EBF">
        <w:t xml:space="preserve"> appartenenti all’Unione Europea (par.2.6).</w:t>
      </w:r>
    </w:p>
  </w:footnote>
  <w:footnote w:id="1030">
    <w:p w14:paraId="5461242F" w14:textId="31BD6F81" w:rsidR="003B7460" w:rsidRPr="007F7EBF" w:rsidRDefault="003B7460">
      <w:pPr>
        <w:pStyle w:val="Testonotaapidipagina"/>
      </w:pPr>
      <w:r w:rsidRPr="007F7EBF">
        <w:rPr>
          <w:rStyle w:val="Rimandonotaapidipagina"/>
        </w:rPr>
        <w:footnoteRef/>
      </w:r>
      <w:r w:rsidRPr="007F7EBF">
        <w:t xml:space="preserve"> ) </w:t>
      </w:r>
      <w:r>
        <w:t xml:space="preserve">Abbiamo anticipato alcuni aspetti dell’imposizione sui consumi perché in essa ci sono i maggiori </w:t>
      </w:r>
      <w:r w:rsidRPr="007F7EBF">
        <w:t xml:space="preserve">problemi </w:t>
      </w:r>
      <w:r>
        <w:t>di</w:t>
      </w:r>
      <w:r w:rsidRPr="007F7EBF">
        <w:t xml:space="preserve"> </w:t>
      </w:r>
      <w:r>
        <w:t>distinzione tra “consumi” e “costi”, indicati già al par.1.8, in quanto viene coinvolto anche il fornitore, in merito al regime da applicare all’operazione, distinguendo tra applicazione del tributo, con possibile detrazione, e “non imponibilità. Le imposte sui redditi sono invece più semplici, perché le simmetrie intersoggettive della determinazione contabile degli imponibili (par.3.12) si basano di più sulla conoscenza del fornitore da parte del cliente (sostituto di imposta), invece che sulla modestissima conoscenza del cliente da parte del fornitore (parr.3.2 e 3.6).</w:t>
      </w:r>
    </w:p>
  </w:footnote>
  <w:footnote w:id="1031">
    <w:p w14:paraId="37CD89AF" w14:textId="21BD7B2B" w:rsidR="003B7460" w:rsidRPr="007F7EBF" w:rsidRDefault="003B7460">
      <w:pPr>
        <w:pStyle w:val="Testonotaapidipagina"/>
      </w:pPr>
      <w:r w:rsidRPr="007F7EBF">
        <w:rPr>
          <w:rStyle w:val="Rimandonotaapidipagina"/>
        </w:rPr>
        <w:footnoteRef/>
      </w:r>
      <w:r w:rsidRPr="007F7EBF">
        <w:t xml:space="preserve"> ) </w:t>
      </w:r>
      <w:r>
        <w:t xml:space="preserve">Si tratta delle disposizioni oggi contenute nell’art.4 dell’IVA e 55 del TUIR, che considerano “imprese fiscali” </w:t>
      </w:r>
      <w:r w:rsidRPr="007F7EBF">
        <w:t>le attività elencate nell’art.2195 del codice civile, prescindendo esplicitamente dalla loro “organizzazione in forma di impresa”</w:t>
      </w:r>
      <w:r>
        <w:t>. Ciò riguarda non solo attività “</w:t>
      </w:r>
      <w:proofErr w:type="spellStart"/>
      <w:r>
        <w:t>monoaddetto</w:t>
      </w:r>
      <w:proofErr w:type="spellEnd"/>
      <w:r>
        <w:t xml:space="preserve">”, dove l’azienda esiste solo nel senso materiale di cui al par.3.1, ma anche attività senza una sede fissa, </w:t>
      </w:r>
      <w:r w:rsidRPr="007F7EBF">
        <w:t xml:space="preserve">prive di contenuto intellettuale, come </w:t>
      </w:r>
      <w:r>
        <w:t>l’idraulico</w:t>
      </w:r>
      <w:r w:rsidRPr="007F7EBF">
        <w:t xml:space="preserve"> o </w:t>
      </w:r>
      <w:r>
        <w:t>il giardiniere</w:t>
      </w:r>
      <w:r w:rsidRPr="007F7EBF">
        <w:t xml:space="preserve"> (tanto è vero che </w:t>
      </w:r>
      <w:r>
        <w:t xml:space="preserve">nelle aziende ci si chiedeva spesso se classificare come imprenditori </w:t>
      </w:r>
      <w:r w:rsidRPr="007F7EBF">
        <w:t xml:space="preserve">gli </w:t>
      </w:r>
      <w:r>
        <w:t xml:space="preserve">individui addetti </w:t>
      </w:r>
      <w:r w:rsidRPr="007F7EBF">
        <w:t>alle pulizie e forse anche per questo sono prosperate le imprese di pulizia pluripersonali, che risolv</w:t>
      </w:r>
      <w:r>
        <w:t>o</w:t>
      </w:r>
      <w:r w:rsidRPr="007F7EBF">
        <w:t>no il problema</w:t>
      </w:r>
      <w:r>
        <w:t xml:space="preserve"> giuridico, anche se sono meno efficienti</w:t>
      </w:r>
      <w:r w:rsidRPr="007F7EBF">
        <w:t xml:space="preserve">). </w:t>
      </w:r>
    </w:p>
  </w:footnote>
  <w:footnote w:id="1032">
    <w:p w14:paraId="2A6914EF" w14:textId="670FAAA4" w:rsidR="003B7460" w:rsidRPr="007F7EBF" w:rsidRDefault="003B7460">
      <w:pPr>
        <w:pStyle w:val="Testonotaapidipagina"/>
      </w:pPr>
      <w:r w:rsidRPr="007F7EBF">
        <w:rPr>
          <w:rStyle w:val="Rimandonotaapidipagina"/>
        </w:rPr>
        <w:footnoteRef/>
      </w:r>
      <w:r w:rsidRPr="007F7EBF">
        <w:t xml:space="preserve"> </w:t>
      </w:r>
    </w:p>
  </w:footnote>
  <w:footnote w:id="1033">
    <w:p w14:paraId="1C54EC7E" w14:textId="56E1DBF3" w:rsidR="003B7460" w:rsidRPr="007F7EBF" w:rsidRDefault="003B7460" w:rsidP="00FC3060">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Si ricordi dal par.3.1 che oltre il 90 percento delle “imprese”  italiane sono “</w:t>
      </w:r>
      <w:proofErr w:type="spellStart"/>
      <w:r w:rsidRPr="007F7EBF">
        <w:rPr>
          <w:sz w:val="20"/>
          <w:szCs w:val="20"/>
        </w:rPr>
        <w:t>monoaddetto</w:t>
      </w:r>
      <w:proofErr w:type="spellEnd"/>
      <w:r w:rsidRPr="007F7EBF">
        <w:rPr>
          <w:sz w:val="20"/>
          <w:szCs w:val="20"/>
        </w:rPr>
        <w:t>”, compreso il titolare</w:t>
      </w:r>
      <w:r>
        <w:rPr>
          <w:sz w:val="20"/>
          <w:szCs w:val="20"/>
        </w:rPr>
        <w:t>, per l</w:t>
      </w:r>
      <w:r w:rsidRPr="007F7EBF">
        <w:rPr>
          <w:sz w:val="20"/>
          <w:szCs w:val="20"/>
        </w:rPr>
        <w:t xml:space="preserve">' </w:t>
      </w:r>
      <w:r w:rsidRPr="007F7EBF">
        <w:rPr>
          <w:bCs/>
          <w:sz w:val="20"/>
          <w:szCs w:val="20"/>
        </w:rPr>
        <w:t xml:space="preserve">espediente legislativo </w:t>
      </w:r>
      <w:r>
        <w:rPr>
          <w:bCs/>
          <w:sz w:val="20"/>
          <w:szCs w:val="20"/>
        </w:rPr>
        <w:t xml:space="preserve">tributario </w:t>
      </w:r>
      <w:r w:rsidRPr="007F7EBF">
        <w:rPr>
          <w:bCs/>
          <w:sz w:val="20"/>
          <w:szCs w:val="20"/>
        </w:rPr>
        <w:t xml:space="preserve">di trasformare in </w:t>
      </w:r>
      <w:r w:rsidRPr="007F7EBF">
        <w:rPr>
          <w:sz w:val="20"/>
          <w:szCs w:val="20"/>
        </w:rPr>
        <w:t>"impresa fiscale" il lavoro indipendente</w:t>
      </w:r>
      <w:r>
        <w:rPr>
          <w:sz w:val="20"/>
          <w:szCs w:val="20"/>
        </w:rPr>
        <w:t>, così da eludere la determinazione valutativa dei relativi imponibili</w:t>
      </w:r>
      <w:r w:rsidRPr="007F7EBF">
        <w:rPr>
          <w:sz w:val="20"/>
          <w:szCs w:val="20"/>
        </w:rPr>
        <w:t xml:space="preserve"> (par.3.13) .</w:t>
      </w:r>
    </w:p>
  </w:footnote>
  <w:footnote w:id="1034">
    <w:p w14:paraId="5F23DD87" w14:textId="4D0ED8D9" w:rsidR="003B7460" w:rsidRDefault="003B7460">
      <w:pPr>
        <w:pStyle w:val="Testonotaapidipagina"/>
      </w:pPr>
      <w:r>
        <w:rPr>
          <w:rStyle w:val="Rimandonotaapidipagina"/>
        </w:rPr>
        <w:footnoteRef/>
      </w:r>
      <w:r>
        <w:t xml:space="preserve"> ) Irrilevanti ai fini IVA e che danno luogo a redditi diversi (par.8.6).</w:t>
      </w:r>
    </w:p>
  </w:footnote>
  <w:footnote w:id="1035">
    <w:p w14:paraId="721F70D8" w14:textId="19F7ADAD" w:rsidR="003B7460" w:rsidRDefault="003B7460">
      <w:pPr>
        <w:pStyle w:val="Testonotaapidipagina"/>
      </w:pPr>
      <w:r>
        <w:rPr>
          <w:rStyle w:val="Rimandonotaapidipagina"/>
        </w:rPr>
        <w:footnoteRef/>
      </w:r>
      <w:r>
        <w:t xml:space="preserve"> ) Le operazioni effettuate  dalle società sono quindi soggettivamente rilevanti ai fini IVA se esistono i requisiti oggettivi di cui al prossimo par.7.6. Sul coordinamento tra la loro tassazione reddituale e quella dei soci par.7.17.</w:t>
      </w:r>
    </w:p>
  </w:footnote>
  <w:footnote w:id="1036">
    <w:p w14:paraId="0101652F" w14:textId="77777777" w:rsidR="003B7460" w:rsidRPr="007F7EBF" w:rsidRDefault="003B7460" w:rsidP="002223AF">
      <w:pPr>
        <w:pStyle w:val="Testonotaapidipagina"/>
      </w:pPr>
      <w:r w:rsidRPr="007F7EBF">
        <w:rPr>
          <w:rStyle w:val="Rimandonotaapidipagina"/>
        </w:rPr>
        <w:footnoteRef/>
      </w:r>
      <w:r w:rsidRPr="007F7EBF">
        <w:t xml:space="preserve"> ) istituto anglosassone che solo di recente ha una qualche utilizzazione in Italia.  </w:t>
      </w:r>
    </w:p>
  </w:footnote>
  <w:footnote w:id="1037">
    <w:p w14:paraId="2D937386" w14:textId="77777777" w:rsidR="003B7460" w:rsidRPr="007F7EBF" w:rsidRDefault="003B7460">
      <w:pPr>
        <w:pStyle w:val="Testonotaapidipagina"/>
      </w:pPr>
      <w:r w:rsidRPr="007F7EBF">
        <w:rPr>
          <w:rStyle w:val="Rimandonotaapidipagina"/>
        </w:rPr>
        <w:footnoteRef/>
      </w:r>
      <w:r w:rsidRPr="007F7EBF">
        <w:t xml:space="preserve"> ) A parte la tendenza, secondaria, a scaricare spese personali non inerenti (par.7.9) su alcune di queste società, soprattutto quelle che percepiscono fitti attivi di beni immobili. </w:t>
      </w:r>
    </w:p>
  </w:footnote>
  <w:footnote w:id="1038">
    <w:p w14:paraId="0CC39F0B" w14:textId="77777777" w:rsidR="003B7460" w:rsidRPr="007F7EBF" w:rsidRDefault="003B7460">
      <w:pPr>
        <w:pStyle w:val="Testonotaapidipagina"/>
      </w:pPr>
      <w:r w:rsidRPr="007F7EBF">
        <w:rPr>
          <w:rStyle w:val="Rimandonotaapidipagina"/>
        </w:rPr>
        <w:footnoteRef/>
      </w:r>
      <w:r w:rsidRPr="007F7EBF">
        <w:t xml:space="preserve"> ) Tecnicamente “non operative”. </w:t>
      </w:r>
    </w:p>
  </w:footnote>
  <w:footnote w:id="1039">
    <w:p w14:paraId="47B9334A" w14:textId="77777777" w:rsidR="003B7460" w:rsidRPr="007F7EBF" w:rsidRDefault="003B7460" w:rsidP="005A755E">
      <w:pPr>
        <w:pStyle w:val="Testonotaapidipagina"/>
      </w:pPr>
      <w:r w:rsidRPr="007F7EBF">
        <w:rPr>
          <w:rStyle w:val="Rimandonotaapidipagina"/>
        </w:rPr>
        <w:footnoteRef/>
      </w:r>
      <w:r w:rsidRPr="007F7EBF">
        <w:t xml:space="preserve"> La tassazione </w:t>
      </w:r>
      <w:r w:rsidRPr="007F7EBF">
        <w:rPr>
          <w:bCs/>
        </w:rPr>
        <w:t xml:space="preserve">presuntiva in chiave reddituale fu un espediente per raggiungere gli effetti di una tassazione patrimoniale sull'esistenza della società, ritenuta contraria ai principi comunitari. </w:t>
      </w:r>
    </w:p>
  </w:footnote>
  <w:footnote w:id="1040">
    <w:p w14:paraId="26F16840" w14:textId="22AA6506" w:rsidR="003B7460" w:rsidRPr="007F7EBF" w:rsidRDefault="003B7460" w:rsidP="003B4AC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E’ una assurdità logica, sul piano della determinazione della ricchezza, che in sede politica nessuno fa valere, in quanto colpisce destinatari socialmente “non rappresentati”, anche se numerosi</w:t>
      </w:r>
      <w:r>
        <w:rPr>
          <w:sz w:val="20"/>
          <w:szCs w:val="20"/>
        </w:rPr>
        <w:t xml:space="preserve">; </w:t>
      </w:r>
      <w:r w:rsidRPr="007F7EBF">
        <w:rPr>
          <w:sz w:val="20"/>
          <w:szCs w:val="20"/>
        </w:rPr>
        <w:t>è la stessa logica dell’accertamento in base alla spesa, originata anch’essa dal ministro Tremonti</w:t>
      </w:r>
      <w:r>
        <w:rPr>
          <w:sz w:val="20"/>
          <w:szCs w:val="20"/>
        </w:rPr>
        <w:t>, come esempio di determinazione degli imponibili “orientata alla comunicazione politica”, di cui al par.2.4</w:t>
      </w:r>
      <w:r w:rsidRPr="007F7EBF">
        <w:rPr>
          <w:sz w:val="20"/>
          <w:szCs w:val="20"/>
        </w:rPr>
        <w:t xml:space="preserve">. Il problema non diventa pressante, solo perché le società in esame sono in un cono d’ombra dell’attività di accertamento, come indicato al par. 5.7 sulla distribuzione dei controlli fiscali. Su una simile farsa si sono imperniate persino manovre di bilancio, come quelle del 1994, del 2006 e del 2011. </w:t>
      </w:r>
    </w:p>
  </w:footnote>
  <w:footnote w:id="1041">
    <w:p w14:paraId="163930A0" w14:textId="164A08CF" w:rsidR="003B7460" w:rsidRPr="007F7EBF" w:rsidRDefault="003B7460">
      <w:pPr>
        <w:pStyle w:val="Testonotaapidipagina"/>
      </w:pPr>
      <w:r w:rsidRPr="007F7EBF">
        <w:rPr>
          <w:rStyle w:val="Rimandonotaapidipagina"/>
        </w:rPr>
        <w:footnoteRef/>
      </w:r>
      <w:r w:rsidRPr="007F7EBF">
        <w:t xml:space="preserve"> ) </w:t>
      </w:r>
      <w:r>
        <w:t>C</w:t>
      </w:r>
      <w:r w:rsidRPr="007F7EBF">
        <w:rPr>
          <w:sz w:val="22"/>
          <w:szCs w:val="22"/>
        </w:rPr>
        <w:t>ui spesso si fa riferimento come sostituto di un intervento pubblico in crisi (par.5.3), che dovrebbe essere invece rilanciato</w:t>
      </w:r>
      <w:r>
        <w:rPr>
          <w:sz w:val="22"/>
          <w:szCs w:val="22"/>
        </w:rPr>
        <w:t>; invece i</w:t>
      </w:r>
      <w:r w:rsidRPr="007F7EBF">
        <w:t xml:space="preserve">l terzo settore </w:t>
      </w:r>
      <w:r>
        <w:t>è</w:t>
      </w:r>
      <w:r w:rsidRPr="007F7EBF">
        <w:t xml:space="preserve"> ormai sempre più </w:t>
      </w:r>
      <w:r>
        <w:t>spesso il fornitore di una</w:t>
      </w:r>
      <w:r w:rsidRPr="007F7EBF">
        <w:t xml:space="preserve"> committenza “pubblica” nell’assistenza, nei servizi sociali, di accoglienza e simili, il che riflette lo svuotamento di una macchina pubblica alla paralisi, come </w:t>
      </w:r>
      <w:r>
        <w:t>indicato</w:t>
      </w:r>
      <w:r w:rsidRPr="007F7EBF">
        <w:t xml:space="preserve"> al par.5.3. Comunque ogni agevolazione per il terzo settore deve fare i conti con la distorsione della concorrenza già indicata nel testo per l’IVA; l’idea stessa di “no profit” che esclude la produzione di utili, rende superflue agevolazioni per le imposte sui redditi. </w:t>
      </w:r>
    </w:p>
  </w:footnote>
  <w:footnote w:id="1042">
    <w:p w14:paraId="2B0B27A5" w14:textId="77777777" w:rsidR="003B7460" w:rsidRPr="007F7EBF" w:rsidRDefault="003B7460">
      <w:pPr>
        <w:pStyle w:val="Testonotaapidipagina"/>
      </w:pPr>
      <w:r w:rsidRPr="007F7EBF">
        <w:rPr>
          <w:rStyle w:val="Rimandonotaapidipagina"/>
        </w:rPr>
        <w:footnoteRef/>
      </w:r>
      <w:r w:rsidRPr="007F7EBF">
        <w:t xml:space="preserve"> ) Che troviamo anche nelle associazioni dedicate a interessi generali, ad esempio le escursioni naturalistiche delle associazioni di tutela dell’ambiente, la partecipazione a visite guidate o conferenze delle associazioni culturali, il  disbrigo pratiche burocratiche delle associazioni sindacali di dipendenti o artigiani (si pensi ai CAF, centri di assistenza fiscale, di cui al par.3.16).</w:t>
      </w:r>
    </w:p>
  </w:footnote>
  <w:footnote w:id="1043">
    <w:p w14:paraId="65FC9D49" w14:textId="77777777" w:rsidR="003B7460" w:rsidRPr="007F7EBF" w:rsidRDefault="003B7460" w:rsidP="0022050C">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Non si tratta di parametri quantitativi, in quanto anche grandi circoli sportivi, con ragguardevoli immobili sociali (club house, ristorante, etc.) possono essere gestiti in forma associativa, </w:t>
      </w:r>
      <w:proofErr w:type="spellStart"/>
      <w:r w:rsidRPr="007F7EBF">
        <w:rPr>
          <w:sz w:val="20"/>
          <w:szCs w:val="20"/>
        </w:rPr>
        <w:t>purchè</w:t>
      </w:r>
      <w:proofErr w:type="spellEnd"/>
      <w:r w:rsidRPr="007F7EBF">
        <w:rPr>
          <w:sz w:val="20"/>
          <w:szCs w:val="20"/>
        </w:rPr>
        <w:t xml:space="preserve"> questa sia genuina, secondo il parametro della "democraticità" tra gli associati, nel qual caso è anche consentita l'irrilevanza IVA di prestazioni specifiche, come la cena al circolo, o l'uso più intenso di un bene comune, come un velivolo dell'</w:t>
      </w:r>
      <w:proofErr w:type="spellStart"/>
      <w:r w:rsidRPr="007F7EBF">
        <w:rPr>
          <w:sz w:val="20"/>
          <w:szCs w:val="20"/>
        </w:rPr>
        <w:t>a</w:t>
      </w:r>
      <w:r w:rsidRPr="007F7EBF">
        <w:rPr>
          <w:i/>
          <w:sz w:val="20"/>
          <w:szCs w:val="20"/>
        </w:rPr>
        <w:t>ereoclub</w:t>
      </w:r>
      <w:proofErr w:type="spellEnd"/>
      <w:r w:rsidRPr="007F7EBF">
        <w:rPr>
          <w:sz w:val="20"/>
          <w:szCs w:val="20"/>
        </w:rPr>
        <w:t xml:space="preserve"> o un natante di un circolo nautico. Il requisito della democraticità non è richiesto per l'irrilevanza IVA delle quote associative, che però sono riqualificabili, secondo la dialettica tra forma giuridica e sostanza economica (rilevante ai fini tributari come indicato al par.3.9) in corrispettivi del servizio ricevuto, come un corso di nuoto, una serata in discoteca o il disbrigo di una pratica. E' del tutto normale che queste associazioni siano animate da un gruppo di promotori, che vi impiegano del tempo, e trasparentemente possono farsi remunerare come amministratore, istruttore, etc., senza alcun occultamento di ricavi al fisco.</w:t>
      </w:r>
    </w:p>
  </w:footnote>
  <w:footnote w:id="1044">
    <w:p w14:paraId="272AEA23" w14:textId="77777777" w:rsidR="003B7460" w:rsidRPr="007F7EBF" w:rsidRDefault="003B7460">
      <w:pPr>
        <w:pStyle w:val="Testonotaapidipagina"/>
      </w:pPr>
      <w:r w:rsidRPr="007F7EBF">
        <w:rPr>
          <w:rStyle w:val="Rimandonotaapidipagina"/>
        </w:rPr>
        <w:footnoteRef/>
      </w:r>
      <w:r w:rsidRPr="007F7EBF">
        <w:t xml:space="preserve"> Si tratta di enti senza </w:t>
      </w:r>
      <w:r w:rsidRPr="007F7EBF">
        <w:rPr>
          <w:bCs/>
        </w:rPr>
        <w:t>scopo di lucro</w:t>
      </w:r>
      <w:r w:rsidRPr="007F7EBF">
        <w:t>, con tendenziale parità tra entrate e uscite, dove un reddito non emerge per definizione.</w:t>
      </w:r>
    </w:p>
  </w:footnote>
  <w:footnote w:id="1045">
    <w:p w14:paraId="1C53CEC5" w14:textId="6A56B640" w:rsidR="003B7460" w:rsidRPr="007F7EBF" w:rsidRDefault="003B7460" w:rsidP="00C64034">
      <w:pPr>
        <w:pStyle w:val="Testonotaapidipagina"/>
      </w:pPr>
      <w:r w:rsidRPr="007F7EBF">
        <w:rPr>
          <w:rStyle w:val="Rimandonotaapidipagina"/>
        </w:rPr>
        <w:footnoteRef/>
      </w:r>
      <w:r w:rsidRPr="007F7EBF">
        <w:t xml:space="preserve"> ) </w:t>
      </w:r>
      <w:r>
        <w:t xml:space="preserve">Le </w:t>
      </w:r>
      <w:r w:rsidRPr="007F7EBF">
        <w:t xml:space="preserve">consegne </w:t>
      </w:r>
      <w:r>
        <w:t>di beni in comodato, locazione o deposito non danno luogo ovviamente a cessioni di beni, perché accompagnate da un obbligo di restituzione, provocando se del caso una prestazione di servizi per il relativo corrispettivo</w:t>
      </w:r>
      <w:r w:rsidRPr="007F7EBF">
        <w:t xml:space="preserve">. </w:t>
      </w:r>
    </w:p>
  </w:footnote>
  <w:footnote w:id="1046">
    <w:p w14:paraId="4EA3D8E3" w14:textId="71ACFE70" w:rsidR="003B7460" w:rsidRDefault="003B7460">
      <w:pPr>
        <w:pStyle w:val="Testonotaapidipagina"/>
      </w:pPr>
      <w:r>
        <w:rPr>
          <w:rStyle w:val="Rimandonotaapidipagina"/>
        </w:rPr>
        <w:footnoteRef/>
      </w:r>
      <w:r>
        <w:t xml:space="preserve"> ) Ad esempio acquistare una bibita al supermercato dà luogo a una cessione di beni, mentre consumarla al bar comporta una   . </w:t>
      </w:r>
    </w:p>
  </w:footnote>
  <w:footnote w:id="1047">
    <w:p w14:paraId="341A49BC" w14:textId="65812E35" w:rsidR="003B7460" w:rsidRPr="007F7EBF" w:rsidRDefault="003B7460" w:rsidP="009E70F5">
      <w:pPr>
        <w:pStyle w:val="Testonotaapidipagina"/>
      </w:pPr>
      <w:r w:rsidRPr="007F7EBF">
        <w:rPr>
          <w:rStyle w:val="Rimandonotaapidipagina"/>
        </w:rPr>
        <w:footnoteRef/>
      </w:r>
      <w:r w:rsidRPr="007F7EBF">
        <w:t xml:space="preserve"> </w:t>
      </w:r>
      <w:r>
        <w:t xml:space="preserve">) </w:t>
      </w:r>
      <w:r w:rsidRPr="007F7EBF">
        <w:t>Cioè quello in cui emettere le fatture o registrare i corrispettivi in corso d'anno</w:t>
      </w:r>
      <w:r>
        <w:t xml:space="preserve"> (par.7.7) o imputare a</w:t>
      </w:r>
      <w:r w:rsidRPr="007F7EBF">
        <w:t xml:space="preserve">l periodo d'imposta i relativi </w:t>
      </w:r>
      <w:r>
        <w:t xml:space="preserve">costi e ricavi per calcolare </w:t>
      </w:r>
      <w:r w:rsidRPr="007F7EBF">
        <w:t>i</w:t>
      </w:r>
      <w:r>
        <w:t>l</w:t>
      </w:r>
      <w:r w:rsidRPr="007F7EBF">
        <w:t xml:space="preserve"> reddit</w:t>
      </w:r>
      <w:r>
        <w:t>o (par.7.11)</w:t>
      </w:r>
      <w:r w:rsidRPr="007F7EBF">
        <w:t xml:space="preserve">. </w:t>
      </w:r>
    </w:p>
  </w:footnote>
  <w:footnote w:id="1048">
    <w:p w14:paraId="588FB299" w14:textId="73FCC417" w:rsidR="003B7460" w:rsidRDefault="003B7460">
      <w:pPr>
        <w:pStyle w:val="Testonotaapidipagina"/>
      </w:pPr>
      <w:r>
        <w:rPr>
          <w:rStyle w:val="Rimandonotaapidipagina"/>
        </w:rPr>
        <w:footnoteRef/>
      </w:r>
      <w:r>
        <w:t xml:space="preserve"> ) Dove è più apprezzato, come vedremo più avanti, il fatturato “per servizi”, cui normalmente si associa un maggior “valore aggiunto” (par.1.8). </w:t>
      </w:r>
    </w:p>
  </w:footnote>
  <w:footnote w:id="1049">
    <w:p w14:paraId="6EDD2CE8" w14:textId="053783C5" w:rsidR="003B7460" w:rsidRDefault="003B7460">
      <w:pPr>
        <w:pStyle w:val="Testonotaapidipagina"/>
      </w:pPr>
      <w:r>
        <w:rPr>
          <w:rStyle w:val="Rimandonotaapidipagina"/>
        </w:rPr>
        <w:footnoteRef/>
      </w:r>
      <w:r>
        <w:t xml:space="preserve"> ) Par.1.8 </w:t>
      </w:r>
      <w:r>
        <w:rPr>
          <w:bCs/>
        </w:rPr>
        <w:t xml:space="preserve">sull’”oggetto economico” del diritto tributario. </w:t>
      </w:r>
    </w:p>
  </w:footnote>
  <w:footnote w:id="1050">
    <w:p w14:paraId="7E967A09" w14:textId="2C69BCE9" w:rsidR="003B7460" w:rsidRPr="007F7EBF" w:rsidRDefault="003B7460" w:rsidP="00D16E68">
      <w:pPr>
        <w:pStyle w:val="Testonotaapidipagina"/>
      </w:pPr>
      <w:r w:rsidRPr="007F7EBF">
        <w:rPr>
          <w:rStyle w:val="Rimandonotaapidipagina"/>
        </w:rPr>
        <w:footnoteRef/>
      </w:r>
      <w:r w:rsidRPr="007F7EBF">
        <w:t xml:space="preserve"> )</w:t>
      </w:r>
      <w:r>
        <w:t xml:space="preserve"> Un elevato corrispettivo di acquisto rispetto alla sostanza della prestazione acquistata è indizio di </w:t>
      </w:r>
      <w:proofErr w:type="spellStart"/>
      <w:r>
        <w:t>fittizietà</w:t>
      </w:r>
      <w:proofErr w:type="spellEnd"/>
      <w:r>
        <w:t xml:space="preserve"> del costo. Inversamente, un modesto corrispettivo rispetto all’elevato valore della prestazione è indizio di parziale occultamento del ricavo (c.d. </w:t>
      </w:r>
      <w:proofErr w:type="spellStart"/>
      <w:r>
        <w:t>sottofatturazione</w:t>
      </w:r>
      <w:proofErr w:type="spellEnd"/>
      <w:r>
        <w:t>).</w:t>
      </w:r>
    </w:p>
  </w:footnote>
  <w:footnote w:id="1051">
    <w:p w14:paraId="187C8D10" w14:textId="6B9214CF" w:rsidR="003B7460" w:rsidRDefault="003B7460">
      <w:pPr>
        <w:pStyle w:val="Testonotaapidipagina"/>
      </w:pPr>
      <w:r>
        <w:rPr>
          <w:rStyle w:val="Rimandonotaapidipagina"/>
        </w:rPr>
        <w:footnoteRef/>
      </w:r>
      <w:r>
        <w:t xml:space="preserve"> ) Per cessioni di beni e prestazioni di servizi oggetto della normale attività, cessioni di materie prime e sussidiarie. </w:t>
      </w:r>
    </w:p>
  </w:footnote>
  <w:footnote w:id="1052">
    <w:p w14:paraId="312EEDEB" w14:textId="4BD48B63" w:rsidR="003B7460" w:rsidRPr="007F7EBF" w:rsidRDefault="003B7460">
      <w:pPr>
        <w:pStyle w:val="Testonotaapidipagina"/>
      </w:pPr>
      <w:r w:rsidRPr="007F7EBF">
        <w:rPr>
          <w:rStyle w:val="Rimandonotaapidipagina"/>
        </w:rPr>
        <w:footnoteRef/>
      </w:r>
      <w:r w:rsidRPr="007F7EBF">
        <w:t xml:space="preserve"> ) Nella prassi aziendalistica </w:t>
      </w:r>
      <w:r>
        <w:t>si parla anche di</w:t>
      </w:r>
      <w:r w:rsidRPr="007F7EBF">
        <w:t xml:space="preserve"> “fatturato”</w:t>
      </w:r>
      <w:r>
        <w:t xml:space="preserve"> o di “giro d’affari”</w:t>
      </w:r>
      <w:r w:rsidRPr="007F7EBF">
        <w:t xml:space="preserve">, intendendo come tale in senso ampio sia quanto registrato con emissione di fatture sia quanto incassato da consumatori finali, e quindi oggetto di annotazione riepilogativa, come indicato già al par. 3.3 e ripreso  al par.7.7. </w:t>
      </w:r>
    </w:p>
  </w:footnote>
  <w:footnote w:id="1053">
    <w:p w14:paraId="5186A456" w14:textId="008AA29A" w:rsidR="003B7460" w:rsidRPr="007F7EBF" w:rsidRDefault="003B7460" w:rsidP="008B0A6D">
      <w:pPr>
        <w:pStyle w:val="Testonotaapidipagina"/>
      </w:pPr>
      <w:r w:rsidRPr="007F7EBF">
        <w:rPr>
          <w:rStyle w:val="Rimandonotaapidipagina"/>
        </w:rPr>
        <w:footnoteRef/>
      </w:r>
      <w:r>
        <w:t xml:space="preserve">) Abbiamo incontrato questi indici dimensionali al </w:t>
      </w:r>
      <w:r w:rsidRPr="007F7EBF">
        <w:t>par. 5.2 sulla competenza degli uffici tributari, 5.7 ai fini della sistematicità dei controlli e 5.13 sugli studi di settore.</w:t>
      </w:r>
    </w:p>
  </w:footnote>
  <w:footnote w:id="1054">
    <w:p w14:paraId="54E45AD9" w14:textId="45BF99D9" w:rsidR="003B7460" w:rsidRDefault="003B7460">
      <w:pPr>
        <w:pStyle w:val="Testonotaapidipagina"/>
      </w:pPr>
      <w:r>
        <w:rPr>
          <w:rStyle w:val="Rimandonotaapidipagina"/>
        </w:rPr>
        <w:footnoteRef/>
      </w:r>
      <w:r>
        <w:t xml:space="preserve"> ) In genere le imprese di servizi hanno un maggior valore aggiunto, ed alcune soglie, per regimi semplificati, sono più basse per loro che per le imprese che producono o rivendono beni (è uno dei riflessi tecnici della differenza tra cessioni di beni e prestazioni di servizi, con cui abbiamo iniziato questo paragrafo).</w:t>
      </w:r>
    </w:p>
  </w:footnote>
  <w:footnote w:id="1055">
    <w:p w14:paraId="1DA29563" w14:textId="77777777" w:rsidR="003B7460" w:rsidRPr="007F7EBF" w:rsidRDefault="003B7460" w:rsidP="00106A14">
      <w:pPr>
        <w:pStyle w:val="Testonotaapidipagina"/>
      </w:pPr>
      <w:r w:rsidRPr="007F7EBF">
        <w:rPr>
          <w:rStyle w:val="Rimandonotaapidipagina"/>
        </w:rPr>
        <w:footnoteRef/>
      </w:r>
      <w:r w:rsidRPr="007F7EBF">
        <w:t xml:space="preserve"> ) Il </w:t>
      </w:r>
      <w:r>
        <w:t>corrispettivo per la cessione di questi beni è soggetto a IVA, mentre l’elemento reddituale è la plusvalenza o minusvalenza, rappresentata dalla differenza rispetto al valore</w:t>
      </w:r>
      <w:r w:rsidRPr="007F7EBF">
        <w:t xml:space="preserve"> fiscalmente riconosciuto </w:t>
      </w:r>
      <w:r>
        <w:t xml:space="preserve">di cui al par.7.13, concetto irrilevante ai fini di un’imposta sul consumo, come l’IVA. </w:t>
      </w:r>
      <w:r w:rsidRPr="007F7EBF">
        <w:t xml:space="preserve"> </w:t>
      </w:r>
    </w:p>
  </w:footnote>
  <w:footnote w:id="1056">
    <w:p w14:paraId="74F3548F" w14:textId="3CF0E4E9" w:rsidR="003B7460" w:rsidRDefault="003B7460">
      <w:pPr>
        <w:pStyle w:val="Testonotaapidipagina"/>
      </w:pPr>
      <w:r>
        <w:rPr>
          <w:rStyle w:val="Rimandonotaapidipagina"/>
        </w:rPr>
        <w:footnoteRef/>
      </w:r>
      <w:r>
        <w:t>) Gli interessi “da prestito” costituiscono invece il corrispettivo di una prestazione di servizi di finanziamento.</w:t>
      </w:r>
    </w:p>
  </w:footnote>
  <w:footnote w:id="1057">
    <w:p w14:paraId="4DCB3D41" w14:textId="078603DE" w:rsidR="003B7460" w:rsidRDefault="003B7460">
      <w:pPr>
        <w:pStyle w:val="Testonotaapidipagina"/>
      </w:pPr>
      <w:r>
        <w:rPr>
          <w:rStyle w:val="Rimandonotaapidipagina"/>
        </w:rPr>
        <w:footnoteRef/>
      </w:r>
      <w:r>
        <w:t xml:space="preserve"> ) Quelli indicati nel testo sono tutti elementi esclusi da IVA, come i dividendi, o esenti, come gli interessi. Sulla differenza tra esclusione ed esenzione par.7.10. Un altro esempio macroscopico è la cessione di azienda dietro corrispettivo (par.7.20), ovviamente rilevante ai fini dei redditi di chi vi partecipa, ma esclusa da IVA in quanto per definizione non esprime alcun consumo. </w:t>
      </w:r>
    </w:p>
  </w:footnote>
  <w:footnote w:id="1058">
    <w:p w14:paraId="091EDB3F" w14:textId="3E411F0D" w:rsidR="003B7460" w:rsidRPr="007F7EBF" w:rsidRDefault="003B7460" w:rsidP="0055605F">
      <w:pPr>
        <w:pStyle w:val="Testonotaapidipagina"/>
      </w:pPr>
      <w:r w:rsidRPr="007F7EBF">
        <w:rPr>
          <w:rStyle w:val="Rimandonotaapidipagina"/>
        </w:rPr>
        <w:footnoteRef/>
      </w:r>
      <w:r>
        <w:t xml:space="preserve">) Diventano così imponibili come reddito d’impresa, anche elementi reddituali irrilevanti per le persone fisiche e gli enti non commerciali. </w:t>
      </w:r>
      <w:r w:rsidRPr="007F7EBF">
        <w:t>Si pensi ad esempio alle plusvalenze su beni mobili</w:t>
      </w:r>
      <w:r>
        <w:t xml:space="preserve"> (ad esempio quadri e gioielli)</w:t>
      </w:r>
      <w:r w:rsidRPr="007F7EBF">
        <w:t>, o su immobili posseduti da oltre 5 anni</w:t>
      </w:r>
      <w:r>
        <w:t xml:space="preserve"> (</w:t>
      </w:r>
      <w:r w:rsidRPr="007F7EBF">
        <w:t>par.8.6</w:t>
      </w:r>
      <w:r>
        <w:t xml:space="preserve">); i </w:t>
      </w:r>
      <w:r w:rsidRPr="007F7EBF">
        <w:t>redditi finanziari</w:t>
      </w:r>
      <w:r>
        <w:t xml:space="preserve"> relativi all’impresa concorrono a formare il relativo reddito, con deduzione dei relativi costi, compresi gli interessi passivi, invece di essere assoggettati alle imposte sostitutive di cui al par </w:t>
      </w:r>
      <w:r w:rsidRPr="007F7EBF">
        <w:t>8.5</w:t>
      </w:r>
      <w:r>
        <w:t xml:space="preserve">, applicabili ai normali risparmiatori. </w:t>
      </w:r>
    </w:p>
  </w:footnote>
  <w:footnote w:id="1059">
    <w:p w14:paraId="67C985F0" w14:textId="303C6A0A" w:rsidR="003B7460" w:rsidRPr="007F7EBF" w:rsidRDefault="003B7460" w:rsidP="00AC42BD">
      <w:pPr>
        <w:pStyle w:val="Testonotaapidipagina"/>
      </w:pPr>
      <w:r w:rsidRPr="007F7EBF">
        <w:rPr>
          <w:rStyle w:val="Rimandonotaapidipagina"/>
        </w:rPr>
        <w:footnoteRef/>
      </w:r>
      <w:r w:rsidRPr="007F7EBF">
        <w:t xml:space="preserve"> ) </w:t>
      </w:r>
      <w:r>
        <w:t>In questo modo per l’azienda è disponibile, in ordine cronologico, l’importo delle singole vendite effettuate, mentre sui libri contabili viene registrato il loro totale giornaliero</w:t>
      </w:r>
      <w:r w:rsidRPr="007F7EBF">
        <w:t xml:space="preserve">, come indicato subito nel testo. </w:t>
      </w:r>
    </w:p>
  </w:footnote>
  <w:footnote w:id="1060">
    <w:p w14:paraId="71814512" w14:textId="01A12264" w:rsidR="003B7460" w:rsidRDefault="003B7460" w:rsidP="00424D52">
      <w:pPr>
        <w:pStyle w:val="Testonotaapidipagina"/>
      </w:pPr>
      <w:r>
        <w:rPr>
          <w:rStyle w:val="Rimandonotaapidipagina"/>
        </w:rPr>
        <w:footnoteRef/>
      </w:r>
      <w:r>
        <w:t xml:space="preserve"> ) </w:t>
      </w:r>
      <w:r>
        <w:rPr>
          <w:sz w:val="22"/>
          <w:szCs w:val="22"/>
        </w:rPr>
        <w:t>Questo “anonimato” del cliente non riguarda s</w:t>
      </w:r>
      <w:r w:rsidRPr="007F7EBF">
        <w:rPr>
          <w:sz w:val="22"/>
          <w:szCs w:val="22"/>
        </w:rPr>
        <w:t xml:space="preserve">olo </w:t>
      </w:r>
      <w:r w:rsidRPr="007F7EBF">
        <w:rPr>
          <w:bCs/>
          <w:sz w:val="22"/>
          <w:szCs w:val="22"/>
        </w:rPr>
        <w:t>beni con modesto prezzo unitario, ma  di tutte le prestazioni a consumatori finali</w:t>
      </w:r>
      <w:r w:rsidRPr="007F7EBF">
        <w:rPr>
          <w:sz w:val="22"/>
          <w:szCs w:val="22"/>
        </w:rPr>
        <w:t xml:space="preserve">, </w:t>
      </w:r>
      <w:r>
        <w:rPr>
          <w:sz w:val="22"/>
          <w:szCs w:val="22"/>
        </w:rPr>
        <w:t>comprese quelle di un certo va</w:t>
      </w:r>
      <w:r w:rsidRPr="007F7EBF">
        <w:rPr>
          <w:sz w:val="22"/>
          <w:szCs w:val="22"/>
        </w:rPr>
        <w:t>lore, come arredamento, veicoli, elettronica, gioielleria.</w:t>
      </w:r>
    </w:p>
  </w:footnote>
  <w:footnote w:id="1061">
    <w:p w14:paraId="57DC94BA" w14:textId="6BD31299" w:rsidR="003B7460" w:rsidRPr="007F7EBF" w:rsidRDefault="003B7460" w:rsidP="008C15F0">
      <w:pPr>
        <w:pStyle w:val="Testonotaapidipagina"/>
      </w:pPr>
      <w:r w:rsidRPr="007F7EBF">
        <w:rPr>
          <w:rStyle w:val="Rimandonotaapidipagina"/>
        </w:rPr>
        <w:footnoteRef/>
      </w:r>
      <w:r w:rsidRPr="007F7EBF">
        <w:t xml:space="preserve"> </w:t>
      </w:r>
      <w:r>
        <w:t xml:space="preserve">) </w:t>
      </w:r>
      <w:r w:rsidRPr="007F7EBF">
        <w:t xml:space="preserve">Tali documenti </w:t>
      </w:r>
      <w:r w:rsidRPr="007F7EBF">
        <w:rPr>
          <w:bCs/>
        </w:rPr>
        <w:t>tributari  hanno talvolta riflessi gestionali, come avviene per l'uso dello scontrino fiscale per la prova dell'acquisto e la garanzia</w:t>
      </w:r>
      <w:r>
        <w:rPr>
          <w:bCs/>
        </w:rPr>
        <w:t xml:space="preserve">, </w:t>
      </w:r>
      <w:r w:rsidRPr="007F7EBF">
        <w:rPr>
          <w:bCs/>
        </w:rPr>
        <w:t xml:space="preserve">a </w:t>
      </w:r>
      <w:r>
        <w:rPr>
          <w:bCs/>
        </w:rPr>
        <w:t xml:space="preserve">conferma </w:t>
      </w:r>
      <w:r w:rsidRPr="007F7EBF">
        <w:rPr>
          <w:bCs/>
        </w:rPr>
        <w:t xml:space="preserve">della tendenza a </w:t>
      </w:r>
      <w:r>
        <w:rPr>
          <w:bCs/>
        </w:rPr>
        <w:t xml:space="preserve">rendere “polivalenti” i </w:t>
      </w:r>
      <w:r w:rsidRPr="007F7EBF">
        <w:rPr>
          <w:bCs/>
        </w:rPr>
        <w:t xml:space="preserve">documenti per varie finalità, </w:t>
      </w:r>
      <w:r>
        <w:rPr>
          <w:bCs/>
        </w:rPr>
        <w:t xml:space="preserve">tributarie e di </w:t>
      </w:r>
      <w:r w:rsidRPr="007F7EBF">
        <w:rPr>
          <w:bCs/>
        </w:rPr>
        <w:t xml:space="preserve">rapporti con </w:t>
      </w:r>
      <w:r>
        <w:rPr>
          <w:bCs/>
        </w:rPr>
        <w:t>l</w:t>
      </w:r>
      <w:r w:rsidRPr="007F7EBF">
        <w:rPr>
          <w:bCs/>
        </w:rPr>
        <w:t xml:space="preserve">e controparti. </w:t>
      </w:r>
    </w:p>
  </w:footnote>
  <w:footnote w:id="1062">
    <w:p w14:paraId="1F9C30A9" w14:textId="5483918D" w:rsidR="003B7460" w:rsidRDefault="003B7460">
      <w:pPr>
        <w:pStyle w:val="Testonotaapidipagina"/>
      </w:pPr>
      <w:r>
        <w:rPr>
          <w:rStyle w:val="Rimandonotaapidipagina"/>
        </w:rPr>
        <w:footnoteRef/>
      </w:r>
      <w:r>
        <w:t xml:space="preserve"> ) Peccato che siano stati considerati “grande distribuzione” anche supermercati in franchising a conduzione familiare, dove qualche “prededuzione del contante” da parte del titolare (par.3.7) è sempre possibile. </w:t>
      </w:r>
    </w:p>
  </w:footnote>
  <w:footnote w:id="1063">
    <w:p w14:paraId="7E5DC9A3" w14:textId="333B0E48" w:rsidR="003B7460" w:rsidRPr="00865BB8" w:rsidRDefault="003B7460" w:rsidP="00865BB8">
      <w:pPr>
        <w:autoSpaceDE w:val="0"/>
        <w:autoSpaceDN w:val="0"/>
        <w:adjustRightInd w:val="0"/>
        <w:rPr>
          <w:sz w:val="22"/>
          <w:szCs w:val="22"/>
        </w:rPr>
      </w:pPr>
      <w:r>
        <w:rPr>
          <w:rStyle w:val="Rimandonotaapidipagina"/>
        </w:rPr>
        <w:footnoteRef/>
      </w:r>
      <w:r>
        <w:t xml:space="preserve"> ) Per un certo periodo vi furono anche sanzioni sul cliente, che hanno screditato il fisco senza influire sui comportamenti di massa; ricordo le sanzioni </w:t>
      </w:r>
      <w:r w:rsidRPr="007F7EBF">
        <w:rPr>
          <w:sz w:val="22"/>
          <w:szCs w:val="22"/>
        </w:rPr>
        <w:t xml:space="preserve">inflitte a bambini e turisti che compravano caramelle o tramezzini senza scontrino, </w:t>
      </w:r>
      <w:r>
        <w:rPr>
          <w:sz w:val="22"/>
          <w:szCs w:val="22"/>
        </w:rPr>
        <w:t>nel solito p</w:t>
      </w:r>
      <w:r w:rsidRPr="007F7EBF">
        <w:rPr>
          <w:sz w:val="22"/>
          <w:szCs w:val="22"/>
        </w:rPr>
        <w:t>sicodramma italico sull'evasione fiscale, di cui ai paragrafi 4.4 e seguenti</w:t>
      </w:r>
      <w:r w:rsidRPr="007F7EBF">
        <w:t>.</w:t>
      </w:r>
    </w:p>
  </w:footnote>
  <w:footnote w:id="1064">
    <w:p w14:paraId="2C912813" w14:textId="77777777" w:rsidR="003B7460" w:rsidRPr="007F7EBF" w:rsidRDefault="003B7460" w:rsidP="002605B5">
      <w:pPr>
        <w:pStyle w:val="Testonotaapidipagina"/>
      </w:pPr>
      <w:r w:rsidRPr="007F7EBF">
        <w:rPr>
          <w:rStyle w:val="Rimandonotaapidipagina"/>
        </w:rPr>
        <w:footnoteRef/>
      </w:r>
      <w:r w:rsidRPr="007F7EBF">
        <w:t xml:space="preserve"> ) E’ una registrazione giornaliera  non nel senso che avviene tutti i giorni, ma che è riferita a ciascun giorno. La registrazione dei ricavi è, in altri termini, stratificata per giornata. Questa registrazione cumulativa comprende, per i soggetti operanti “al dettaglio”, anche i documenti emessi verso clienti che hanno richiesto una fattura</w:t>
      </w:r>
      <w:r>
        <w:t>, su cui “infra”</w:t>
      </w:r>
      <w:r w:rsidRPr="007F7EBF">
        <w:t>.</w:t>
      </w:r>
    </w:p>
  </w:footnote>
  <w:footnote w:id="1065">
    <w:p w14:paraId="57BB31C0" w14:textId="77777777" w:rsidR="003B7460" w:rsidRPr="007F7EBF" w:rsidRDefault="003B7460" w:rsidP="002605B5">
      <w:pPr>
        <w:pStyle w:val="Testonotaapidipagina"/>
      </w:pPr>
      <w:r w:rsidRPr="007F7EBF">
        <w:rPr>
          <w:rStyle w:val="Rimandonotaapidipagina"/>
        </w:rPr>
        <w:footnoteRef/>
      </w:r>
      <w:r w:rsidRPr="007F7EBF">
        <w:t xml:space="preserve"> ) Si pensi a un amministratore di condominio o in genere un mandatario</w:t>
      </w:r>
      <w:r>
        <w:t xml:space="preserve">, a chi deve farsi rimborsare da un’assicurazione, o dal datore di lavoro per una </w:t>
      </w:r>
      <w:r w:rsidRPr="007F7EBF">
        <w:t xml:space="preserve"> “missione” fuori sede</w:t>
      </w:r>
      <w:r>
        <w:t xml:space="preserve">, </w:t>
      </w:r>
      <w:r w:rsidRPr="007F7EBF">
        <w:t>deve documentare le spese di alloggio o vitto</w:t>
      </w:r>
      <w:r>
        <w:t xml:space="preserve"> (par.8.3).</w:t>
      </w:r>
    </w:p>
  </w:footnote>
  <w:footnote w:id="1066">
    <w:p w14:paraId="580A3A3C" w14:textId="37CC41C7" w:rsidR="003B7460" w:rsidRDefault="003B7460">
      <w:pPr>
        <w:pStyle w:val="Testonotaapidipagina"/>
      </w:pPr>
      <w:r>
        <w:rPr>
          <w:rStyle w:val="Rimandonotaapidipagina"/>
        </w:rPr>
        <w:footnoteRef/>
      </w:r>
      <w:r>
        <w:t xml:space="preserve"> ) </w:t>
      </w:r>
      <w:r>
        <w:rPr>
          <w:sz w:val="22"/>
          <w:szCs w:val="22"/>
        </w:rPr>
        <w:t xml:space="preserve">Fino a pochi anni or sono le fatture verso privati consumatori finali erano registrabili cumulativamente, nel suddetto totale dei corrispettivi giornalieri. Con lo spesometro (par.3.6), e la successiva fattura elettronica è divenuto necessario annotare distintamente, con ulteriori lungaggini, anche queste fatture. </w:t>
      </w:r>
      <w:r>
        <w:t xml:space="preserve"> </w:t>
      </w:r>
    </w:p>
  </w:footnote>
  <w:footnote w:id="1067">
    <w:p w14:paraId="3F1A63F9" w14:textId="77777777" w:rsidR="003B7460" w:rsidRPr="007F7EBF" w:rsidRDefault="003B7460" w:rsidP="001133C9">
      <w:pPr>
        <w:pStyle w:val="Testonotaapidipagina"/>
      </w:pPr>
      <w:r w:rsidRPr="007F7EBF">
        <w:rPr>
          <w:rStyle w:val="Rimandonotaapidipagina"/>
        </w:rPr>
        <w:footnoteRef/>
      </w:r>
      <w:r w:rsidRPr="007F7EBF">
        <w:t>) Anche perché spesso, tra le parti sussiste, di fatto, una qualche conoscenza reciproca</w:t>
      </w:r>
      <w:r>
        <w:t xml:space="preserve">, che spinge il fornitore a fidarsi del cliente. </w:t>
      </w:r>
    </w:p>
  </w:footnote>
  <w:footnote w:id="1068">
    <w:p w14:paraId="4CFD72FD" w14:textId="77777777" w:rsidR="003B7460" w:rsidRDefault="003B7460" w:rsidP="001E6EF4">
      <w:pPr>
        <w:pStyle w:val="Testonotaapidipagina"/>
      </w:pPr>
      <w:r>
        <w:rPr>
          <w:rStyle w:val="Rimandonotaapidipagina"/>
        </w:rPr>
        <w:footnoteRef/>
      </w:r>
      <w:r>
        <w:t xml:space="preserve"> ) Rilevano poco in proposito i farraginosi tentativi di introdurre la “fattura elettronica” in fumosi tentativi di “esportare la contabilità” indicati al par.4.5.</w:t>
      </w:r>
    </w:p>
  </w:footnote>
  <w:footnote w:id="1069">
    <w:p w14:paraId="3F7623A2" w14:textId="6F866B0C" w:rsidR="003B7460" w:rsidRDefault="003B7460" w:rsidP="003372B2">
      <w:pPr>
        <w:pStyle w:val="Testonotaapidipagina"/>
      </w:pPr>
      <w:r>
        <w:rPr>
          <w:rStyle w:val="Rimandonotaapidipagina"/>
        </w:rPr>
        <w:footnoteRef/>
      </w:r>
      <w:r>
        <w:t xml:space="preserve"> ) E’ un altro aspetto delle lungaggini e delle complicazioni che si creano per il mito dell’”esportazione della contabilità” di cui al par.4.5. Se ne sarà reso conto chiunque abbia assistito alla richiesta di una fattura presso un  a rivendita o per documentare un pasto al ristorante. </w:t>
      </w:r>
    </w:p>
  </w:footnote>
  <w:footnote w:id="1070">
    <w:p w14:paraId="39829C36" w14:textId="77777777" w:rsidR="003B7460" w:rsidRPr="007F7EBF" w:rsidRDefault="003B7460" w:rsidP="005E6CCA">
      <w:pPr>
        <w:pStyle w:val="Testonotaapidipagina"/>
      </w:pPr>
      <w:r w:rsidRPr="007F7EBF">
        <w:rPr>
          <w:rStyle w:val="Rimandonotaapidipagina"/>
        </w:rPr>
        <w:footnoteRef/>
      </w:r>
      <w:r w:rsidRPr="007F7EBF">
        <w:t xml:space="preserve"> ) Normalmente business to consumer (b2c) secondo la distinzione tra costi e consumi di cui al par.1.8.</w:t>
      </w:r>
    </w:p>
  </w:footnote>
  <w:footnote w:id="1071">
    <w:p w14:paraId="6254338F" w14:textId="77777777" w:rsidR="003B7460" w:rsidRDefault="003B7460" w:rsidP="00504D0B">
      <w:pPr>
        <w:pStyle w:val="Testonotaapidipagina"/>
      </w:pPr>
      <w:r>
        <w:rPr>
          <w:rStyle w:val="Rimandonotaapidipagina"/>
        </w:rPr>
        <w:footnoteRef/>
      </w:r>
      <w:r>
        <w:t xml:space="preserve"> ) </w:t>
      </w:r>
      <w:r>
        <w:rPr>
          <w:sz w:val="22"/>
          <w:szCs w:val="22"/>
        </w:rPr>
        <w:t xml:space="preserve">E’ persino concepibile la mera enunciazione, nelle scritture contabili, di eventi materiali, a fronte dei quali non esistono documenti emessi da terzi, come la distruzione di un bene aziendale per cause naturali, piccole mance d’uso, l’erogazione di una somma in beneficienza tramite bonifico bancario etc.. Potranno esserci anche documenti redatti verso terzi, come una denuncia di furto per la sparizione di beni aziendali di rilevante valore. </w:t>
      </w:r>
    </w:p>
  </w:footnote>
  <w:footnote w:id="1072">
    <w:p w14:paraId="4DD0EB60" w14:textId="025F3D16" w:rsidR="003B7460" w:rsidRPr="007F7EBF" w:rsidRDefault="003B7460" w:rsidP="00644C61">
      <w:pPr>
        <w:pStyle w:val="Testonotaapidipagina"/>
      </w:pPr>
      <w:r w:rsidRPr="007F7EBF">
        <w:rPr>
          <w:rStyle w:val="Rimandonotaapidipagina"/>
        </w:rPr>
        <w:footnoteRef/>
      </w:r>
      <w:r w:rsidRPr="007F7EBF">
        <w:t xml:space="preserve"> ) </w:t>
      </w:r>
      <w:r>
        <w:rPr>
          <w:sz w:val="22"/>
          <w:szCs w:val="22"/>
        </w:rPr>
        <w:t>Si pensi ad un</w:t>
      </w:r>
      <w:r w:rsidRPr="007F7EBF">
        <w:rPr>
          <w:sz w:val="22"/>
          <w:szCs w:val="22"/>
        </w:rPr>
        <w:t xml:space="preserve">’azienda </w:t>
      </w:r>
      <w:r>
        <w:rPr>
          <w:sz w:val="22"/>
          <w:szCs w:val="22"/>
        </w:rPr>
        <w:t xml:space="preserve">che il giorno 1 </w:t>
      </w:r>
      <w:r w:rsidRPr="007F7EBF">
        <w:rPr>
          <w:sz w:val="22"/>
          <w:szCs w:val="22"/>
        </w:rPr>
        <w:t xml:space="preserve">rende una certa prestazione, </w:t>
      </w:r>
      <w:r>
        <w:rPr>
          <w:sz w:val="22"/>
          <w:szCs w:val="22"/>
        </w:rPr>
        <w:t>i</w:t>
      </w:r>
      <w:r w:rsidRPr="007F7EBF">
        <w:rPr>
          <w:sz w:val="22"/>
          <w:szCs w:val="22"/>
        </w:rPr>
        <w:t xml:space="preserve">l giorno 2 emette la relativa fattura e </w:t>
      </w:r>
      <w:r>
        <w:rPr>
          <w:sz w:val="22"/>
          <w:szCs w:val="22"/>
        </w:rPr>
        <w:t>i</w:t>
      </w:r>
      <w:r w:rsidRPr="007F7EBF">
        <w:rPr>
          <w:sz w:val="22"/>
          <w:szCs w:val="22"/>
        </w:rPr>
        <w:t xml:space="preserve">l giorno 3 </w:t>
      </w:r>
      <w:r>
        <w:rPr>
          <w:sz w:val="22"/>
          <w:szCs w:val="22"/>
        </w:rPr>
        <w:t xml:space="preserve">la </w:t>
      </w:r>
      <w:r w:rsidRPr="007F7EBF">
        <w:rPr>
          <w:sz w:val="22"/>
          <w:szCs w:val="22"/>
        </w:rPr>
        <w:t>registra sul rispettivo libro contabile</w:t>
      </w:r>
      <w:r>
        <w:rPr>
          <w:sz w:val="22"/>
          <w:szCs w:val="22"/>
        </w:rPr>
        <w:t>.</w:t>
      </w:r>
      <w:r w:rsidRPr="007F7EBF">
        <w:t xml:space="preserve">. </w:t>
      </w:r>
    </w:p>
  </w:footnote>
  <w:footnote w:id="1073">
    <w:p w14:paraId="4EF7FBF6" w14:textId="324880A5" w:rsidR="003B7460" w:rsidRDefault="003B7460">
      <w:pPr>
        <w:pStyle w:val="Testonotaapidipagina"/>
      </w:pPr>
      <w:r>
        <w:rPr>
          <w:rStyle w:val="Rimandonotaapidipagina"/>
        </w:rPr>
        <w:footnoteRef/>
      </w:r>
      <w:r>
        <w:t xml:space="preserve"> ) Come nelle imposte doganali o di fabbricazione di cui ai </w:t>
      </w:r>
      <w:proofErr w:type="spellStart"/>
      <w:r>
        <w:t>parr</w:t>
      </w:r>
      <w:proofErr w:type="spellEnd"/>
      <w:r>
        <w:t>. 10.6-10.7)</w:t>
      </w:r>
    </w:p>
  </w:footnote>
  <w:footnote w:id="1074">
    <w:p w14:paraId="40208251" w14:textId="77777777" w:rsidR="003B7460" w:rsidRPr="007F7EBF" w:rsidRDefault="003B7460" w:rsidP="00234CA0">
      <w:pPr>
        <w:pStyle w:val="Testonotaapidipagina"/>
      </w:pPr>
      <w:r w:rsidRPr="007F7EBF">
        <w:rPr>
          <w:rStyle w:val="Rimandonotaapidipagina"/>
        </w:rPr>
        <w:footnoteRef/>
      </w:r>
      <w:r w:rsidRPr="007F7EBF">
        <w:t xml:space="preserve"> La fattura comporta infatti, nella contabilità del fornitore, un addebito al cliente, cui si dà invece “credito” annullando la fattura.</w:t>
      </w:r>
    </w:p>
  </w:footnote>
  <w:footnote w:id="1075">
    <w:p w14:paraId="1EC14F9F" w14:textId="057F6797" w:rsidR="003B7460" w:rsidRPr="007F7EBF" w:rsidRDefault="003B7460" w:rsidP="00C75A91">
      <w:pPr>
        <w:pStyle w:val="Testonotaapidipagina"/>
      </w:pPr>
      <w:r w:rsidRPr="007F7EBF">
        <w:rPr>
          <w:rStyle w:val="Rimandonotaapidipagina"/>
        </w:rPr>
        <w:footnoteRef/>
      </w:r>
      <w:r w:rsidRPr="007F7EBF">
        <w:t xml:space="preserve"> Il cliente consumatore finale, tratterrà l’IVA restituitagli dal fornitore, </w:t>
      </w:r>
      <w:r>
        <w:t>così come e</w:t>
      </w:r>
      <w:r w:rsidRPr="007F7EBF">
        <w:t>ra stato inciso a suo tempo dall'imposta</w:t>
      </w:r>
      <w:r>
        <w:t xml:space="preserve">; </w:t>
      </w:r>
      <w:r w:rsidRPr="007F7EBF">
        <w:t xml:space="preserve">il cliente soggetto IVA </w:t>
      </w:r>
      <w:r>
        <w:t xml:space="preserve">come indicato nel testo, </w:t>
      </w:r>
      <w:r w:rsidRPr="007F7EBF">
        <w:t>dovr</w:t>
      </w:r>
      <w:r>
        <w:t>ebbe invece rettificare la detrazione a suo tempo effettuata, in un gioco a somma zero</w:t>
      </w:r>
      <w:r w:rsidRPr="007F7EBF">
        <w:t>.  Il tutto è conforme al venir meno del</w:t>
      </w:r>
      <w:r>
        <w:t xml:space="preserve"> </w:t>
      </w:r>
      <w:r w:rsidRPr="007F7EBF">
        <w:t>consumo</w:t>
      </w:r>
      <w:r>
        <w:t xml:space="preserve">, come astrazione economica che giustifica l’imposta </w:t>
      </w:r>
      <w:r w:rsidRPr="007F7EBF">
        <w:t>(par.1.8).</w:t>
      </w:r>
    </w:p>
  </w:footnote>
  <w:footnote w:id="1076">
    <w:p w14:paraId="74D265ED" w14:textId="70AFF79E" w:rsidR="003B7460" w:rsidRDefault="003B7460">
      <w:pPr>
        <w:pStyle w:val="Testonotaapidipagina"/>
      </w:pPr>
      <w:r>
        <w:rPr>
          <w:rStyle w:val="Rimandonotaapidipagina"/>
        </w:rPr>
        <w:footnoteRef/>
      </w:r>
      <w:r>
        <w:t xml:space="preserve"> ) Salve , ricordiamo le documentazioni verso privati consumatori finali, come gli scontrini e persino le fatture da essi richieste. </w:t>
      </w:r>
    </w:p>
  </w:footnote>
  <w:footnote w:id="1077">
    <w:p w14:paraId="3CB4281C" w14:textId="33A7650B" w:rsidR="003B7460" w:rsidRPr="007F7EBF" w:rsidRDefault="003B7460" w:rsidP="00630788">
      <w:pPr>
        <w:pStyle w:val="Testonotaapidipagina"/>
      </w:pPr>
      <w:r w:rsidRPr="007F7EBF">
        <w:rPr>
          <w:rStyle w:val="Rimandonotaapidipagina"/>
        </w:rPr>
        <w:footnoteRef/>
      </w:r>
      <w:r w:rsidRPr="007F7EBF">
        <w:t xml:space="preserve"> ) Per </w:t>
      </w:r>
      <w:r>
        <w:t xml:space="preserve">gli operatori al dettaglio di cui al paragrafo precedente. </w:t>
      </w:r>
      <w:r w:rsidRPr="007F7EBF">
        <w:t xml:space="preserve"> </w:t>
      </w:r>
    </w:p>
  </w:footnote>
  <w:footnote w:id="1078">
    <w:p w14:paraId="10DD194C" w14:textId="77777777" w:rsidR="003B7460" w:rsidRDefault="003B7460" w:rsidP="002D619F">
      <w:pPr>
        <w:pStyle w:val="Testonotaapidipagina"/>
      </w:pPr>
      <w:r>
        <w:rPr>
          <w:rStyle w:val="Rimandonotaapidipagina"/>
        </w:rPr>
        <w:footnoteRef/>
      </w:r>
      <w:r>
        <w:t xml:space="preserve"> </w:t>
      </w:r>
      <w:r>
        <w:rPr>
          <w:sz w:val="22"/>
          <w:szCs w:val="22"/>
        </w:rPr>
        <w:t>) Anzi, s</w:t>
      </w:r>
      <w:r w:rsidRPr="007F7EBF">
        <w:rPr>
          <w:sz w:val="22"/>
          <w:szCs w:val="22"/>
        </w:rPr>
        <w:t xml:space="preserve">e si adottano alcuni accorgimenti tecnici per impedire la manipolazione successiva, è consentito omettere, o distruggere, la copia «cartacea» della documentazione e delle scritture contabili, a favore di una </w:t>
      </w:r>
      <w:r w:rsidRPr="007F7EBF">
        <w:rPr>
          <w:bCs/>
          <w:sz w:val="22"/>
          <w:szCs w:val="22"/>
        </w:rPr>
        <w:t>versione esclusivamente “digitale”</w:t>
      </w:r>
      <w:r w:rsidRPr="007F7EBF">
        <w:rPr>
          <w:sz w:val="22"/>
          <w:szCs w:val="22"/>
        </w:rPr>
        <w:t>.</w:t>
      </w:r>
    </w:p>
  </w:footnote>
  <w:footnote w:id="1079">
    <w:p w14:paraId="6C62CBB1" w14:textId="6B07B2B8" w:rsidR="003B7460" w:rsidRDefault="003B7460">
      <w:pPr>
        <w:pStyle w:val="Testonotaapidipagina"/>
      </w:pPr>
      <w:r>
        <w:rPr>
          <w:rStyle w:val="Rimandonotaapidipagina"/>
        </w:rPr>
        <w:footnoteRef/>
      </w:r>
      <w:r>
        <w:t xml:space="preserve"> ) Vedremo al par.7.13 che si tratta dell’esposizione “permutativo-patrimoniale” oppure economica, c.d. “a costi ricavi e rimanenze”, che non fanno cambiare la rappresentazione del reddito e del patrimonio, ma utilizzano due criteri espositivi diversi. </w:t>
      </w:r>
    </w:p>
  </w:footnote>
  <w:footnote w:id="1080">
    <w:p w14:paraId="4A682249" w14:textId="77777777" w:rsidR="003B7460" w:rsidRDefault="003B7460" w:rsidP="0072170F">
      <w:pPr>
        <w:pStyle w:val="Testonotaapidipagina"/>
      </w:pPr>
      <w:r>
        <w:rPr>
          <w:rStyle w:val="Rimandonotaapidipagina"/>
        </w:rPr>
        <w:footnoteRef/>
      </w:r>
      <w:r>
        <w:t xml:space="preserve"> ) In  altri termini, come indicato subito nel testo, quello che </w:t>
      </w:r>
      <w:proofErr w:type="spellStart"/>
      <w:r>
        <w:t>civilisticamente</w:t>
      </w:r>
      <w:proofErr w:type="spellEnd"/>
      <w:r>
        <w:t xml:space="preserve"> e gestionalmente è una facoltà, o al massimo un onere, diventa un obbligo tributario, assistito anche dalle sanzioni punitive di cui al par.6.13 (assenti invece sotto il profilo del diritto civile, dove gli adempimenti contabili rilevano solo nei rapporti </w:t>
      </w:r>
      <w:proofErr w:type="spellStart"/>
      <w:r>
        <w:t>interprivati</w:t>
      </w:r>
      <w:proofErr w:type="spellEnd"/>
      <w:r>
        <w:t xml:space="preserve"> coi fornitori o tra soci).</w:t>
      </w:r>
    </w:p>
  </w:footnote>
  <w:footnote w:id="1081">
    <w:p w14:paraId="3F44AA80" w14:textId="10C07D58" w:rsidR="003B7460" w:rsidRDefault="003B7460">
      <w:pPr>
        <w:pStyle w:val="Testonotaapidipagina"/>
      </w:pPr>
      <w:r>
        <w:rPr>
          <w:rStyle w:val="Rimandonotaapidipagina"/>
        </w:rPr>
        <w:footnoteRef/>
      </w:r>
      <w:r>
        <w:t xml:space="preserve"> ) Senza la mediazione dei libri contabili, come</w:t>
      </w:r>
      <w:r>
        <w:rPr>
          <w:sz w:val="22"/>
          <w:szCs w:val="22"/>
        </w:rPr>
        <w:t xml:space="preserve"> accade per la determinazione documentale senza libri contabili di </w:t>
      </w:r>
      <w:r w:rsidRPr="007F7EBF">
        <w:rPr>
          <w:sz w:val="22"/>
          <w:szCs w:val="22"/>
        </w:rPr>
        <w:t xml:space="preserve">lavoratori dipendenti,  titolari di </w:t>
      </w:r>
      <w:r>
        <w:rPr>
          <w:sz w:val="22"/>
          <w:szCs w:val="22"/>
        </w:rPr>
        <w:t xml:space="preserve">redditi di </w:t>
      </w:r>
      <w:r w:rsidRPr="007F7EBF">
        <w:rPr>
          <w:sz w:val="22"/>
          <w:szCs w:val="22"/>
        </w:rPr>
        <w:t xml:space="preserve">capitale o </w:t>
      </w:r>
      <w:r>
        <w:rPr>
          <w:sz w:val="22"/>
          <w:szCs w:val="22"/>
        </w:rPr>
        <w:t xml:space="preserve">da locazione, anche per </w:t>
      </w:r>
      <w:r w:rsidRPr="007F7EBF">
        <w:t>Si pensi anche, come ulteriori esempi, agli oneri deducibili  di cui al par.9.3, comprese le ricevute dei medici o gli scontrini delle farmacie</w:t>
      </w:r>
      <w:r>
        <w:t xml:space="preserve">. </w:t>
      </w:r>
    </w:p>
  </w:footnote>
  <w:footnote w:id="1082">
    <w:p w14:paraId="62264B1A" w14:textId="77777777" w:rsidR="003B7460" w:rsidRPr="007F7EBF" w:rsidRDefault="003B7460" w:rsidP="00630788">
      <w:pPr>
        <w:pStyle w:val="Testonotaapidipagina"/>
      </w:pPr>
      <w:r w:rsidRPr="007F7EBF">
        <w:rPr>
          <w:rStyle w:val="Rimandonotaapidipagina"/>
        </w:rPr>
        <w:footnoteRef/>
      </w:r>
      <w:r w:rsidRPr="007F7EBF">
        <w:t xml:space="preserve"> </w:t>
      </w:r>
      <w:r>
        <w:t xml:space="preserve">Con </w:t>
      </w:r>
      <w:r w:rsidRPr="007F7EBF">
        <w:t>ricavi inferiori a 309 mila euro se l’oggetto dell’impresa è la prestazione di servizi oppure a 516 mila euro negli altri casi (si presuppone per le imprese di servizi un maggior valore aggiunto a parità di ricavi come indicato al par.7.6).</w:t>
      </w:r>
      <w:r>
        <w:t xml:space="preserve"> La stessa possibilità è prevista per le società di persone. </w:t>
      </w:r>
    </w:p>
  </w:footnote>
  <w:footnote w:id="1083">
    <w:p w14:paraId="721C039A" w14:textId="77777777" w:rsidR="003B7460" w:rsidRPr="007F7EBF" w:rsidRDefault="003B7460" w:rsidP="00630788">
      <w:pPr>
        <w:pStyle w:val="Testonotaapidipagina"/>
      </w:pPr>
      <w:r w:rsidRPr="007F7EBF">
        <w:rPr>
          <w:rStyle w:val="Rimandonotaapidipagina"/>
        </w:rPr>
        <w:footnoteRef/>
      </w:r>
      <w:r w:rsidRPr="007F7EBF">
        <w:t xml:space="preserve"> </w:t>
      </w:r>
      <w:r w:rsidRPr="007F7EBF">
        <w:rPr>
          <w:bCs/>
        </w:rPr>
        <w:t>Ad esempio retribuzioni, fitti passivi, oneri tributari, etc.</w:t>
      </w:r>
    </w:p>
  </w:footnote>
  <w:footnote w:id="1084">
    <w:p w14:paraId="5BF93B28" w14:textId="2321B31D" w:rsidR="003B7460" w:rsidRPr="007F7EBF" w:rsidRDefault="003B7460" w:rsidP="00E15F8F">
      <w:pPr>
        <w:rPr>
          <w:sz w:val="20"/>
          <w:szCs w:val="20"/>
        </w:rPr>
      </w:pPr>
      <w:r w:rsidRPr="007F7EBF">
        <w:rPr>
          <w:rStyle w:val="Rimandonotaapidipagina"/>
          <w:sz w:val="20"/>
          <w:szCs w:val="20"/>
        </w:rPr>
        <w:footnoteRef/>
      </w:r>
      <w:r w:rsidRPr="007F7EBF">
        <w:rPr>
          <w:sz w:val="20"/>
          <w:szCs w:val="20"/>
        </w:rPr>
        <w:t xml:space="preserve"> ) </w:t>
      </w:r>
      <w:r>
        <w:rPr>
          <w:sz w:val="20"/>
          <w:szCs w:val="20"/>
        </w:rPr>
        <w:t xml:space="preserve">Si ricordi dal par.2.1 che la legge, come tutti i materiali normativi, non serve a pedagogia, </w:t>
      </w:r>
      <w:proofErr w:type="spellStart"/>
      <w:r>
        <w:rPr>
          <w:sz w:val="20"/>
          <w:szCs w:val="20"/>
        </w:rPr>
        <w:t>nè</w:t>
      </w:r>
      <w:proofErr w:type="spellEnd"/>
      <w:r>
        <w:rPr>
          <w:sz w:val="20"/>
          <w:szCs w:val="20"/>
        </w:rPr>
        <w:t xml:space="preserve"> dare spiegazioni, ma piuttosto le presuppone.</w:t>
      </w:r>
      <w:r w:rsidRPr="007F7EBF">
        <w:rPr>
          <w:sz w:val="20"/>
          <w:szCs w:val="20"/>
        </w:rPr>
        <w:t xml:space="preserve"> </w:t>
      </w:r>
    </w:p>
  </w:footnote>
  <w:footnote w:id="1085">
    <w:p w14:paraId="2D7A8E74" w14:textId="77777777" w:rsidR="003B7460" w:rsidRPr="007F7EBF" w:rsidRDefault="003B7460" w:rsidP="006D737F">
      <w:pPr>
        <w:pStyle w:val="Testonotaapidipagina"/>
      </w:pPr>
      <w:r w:rsidRPr="007F7EBF">
        <w:rPr>
          <w:rStyle w:val="Rimandonotaapidipagina"/>
        </w:rPr>
        <w:footnoteRef/>
      </w:r>
      <w:r w:rsidRPr="007F7EBF">
        <w:t xml:space="preserve"> Ad esempio non si può disconoscere l'inerenza dell'arredamento di un ufficio, affermando che ne esistevano altri più a buon mercato.</w:t>
      </w:r>
    </w:p>
  </w:footnote>
  <w:footnote w:id="1086">
    <w:p w14:paraId="6D5B7989" w14:textId="6465873D" w:rsidR="003B7460" w:rsidRPr="007F7EBF" w:rsidRDefault="003B7460" w:rsidP="006D737F">
      <w:pPr>
        <w:pStyle w:val="Testonotaapidipagina"/>
      </w:pPr>
      <w:r w:rsidRPr="007F7EBF">
        <w:rPr>
          <w:rStyle w:val="Rimandonotaapidipagina"/>
        </w:rPr>
        <w:footnoteRef/>
      </w:r>
      <w:r w:rsidRPr="007F7EBF">
        <w:t xml:space="preserve"> </w:t>
      </w:r>
      <w:r>
        <w:t xml:space="preserve">) </w:t>
      </w:r>
      <w:r w:rsidRPr="007F7EBF">
        <w:t>Ricordiamo in proposito quanto rilevato al paragrafo 3.1</w:t>
      </w:r>
      <w:r>
        <w:t>0 e 5.18</w:t>
      </w:r>
      <w:r w:rsidRPr="007F7EBF">
        <w:t xml:space="preserve"> sull'evanescente concetto di "antieconomicità", che </w:t>
      </w:r>
      <w:r>
        <w:t>potrebbe essere meglio definito, giuridicamente, come abuso della diligenza , o discrezionalità imprenditoriale, effettuando un’utilizzazione privatistico-</w:t>
      </w:r>
      <w:proofErr w:type="spellStart"/>
      <w:r>
        <w:t>aziendlaistica</w:t>
      </w:r>
      <w:proofErr w:type="spellEnd"/>
      <w:r>
        <w:t xml:space="preserve"> del termine</w:t>
      </w:r>
      <w:r w:rsidRPr="007F7EBF">
        <w:t xml:space="preserve">. </w:t>
      </w:r>
      <w:r w:rsidRPr="007F7EBF">
        <w:rPr>
          <w:bCs/>
          <w:i/>
          <w:iCs/>
          <w:color w:val="0000FF"/>
        </w:rPr>
        <w:t xml:space="preserve"> </w:t>
      </w:r>
    </w:p>
  </w:footnote>
  <w:footnote w:id="1087">
    <w:p w14:paraId="661A8BF8" w14:textId="2891825F" w:rsidR="003B7460" w:rsidRDefault="003B7460">
      <w:pPr>
        <w:pStyle w:val="Testonotaapidipagina"/>
      </w:pPr>
      <w:r>
        <w:rPr>
          <w:rStyle w:val="Rimandonotaapidipagina"/>
        </w:rPr>
        <w:footnoteRef/>
      </w:r>
      <w:r>
        <w:t xml:space="preserve"> ) S</w:t>
      </w:r>
      <w:r w:rsidRPr="007F7EBF">
        <w:t>i pensi per esempio alle spese di rappresentanza, l'organizzazione di eventi i cui partecipanti sono noti, e ci si chiede solo in quale misura abbiano ricadute sull'azienda.</w:t>
      </w:r>
    </w:p>
  </w:footnote>
  <w:footnote w:id="1088">
    <w:p w14:paraId="09E48C12" w14:textId="59015810" w:rsidR="003B7460" w:rsidRPr="007F7EBF" w:rsidRDefault="003B7460" w:rsidP="00B43BA4">
      <w:pPr>
        <w:autoSpaceDE w:val="0"/>
        <w:autoSpaceDN w:val="0"/>
        <w:adjustRightInd w:val="0"/>
        <w:rPr>
          <w:sz w:val="20"/>
          <w:szCs w:val="20"/>
        </w:rPr>
      </w:pPr>
      <w:r w:rsidRPr="007F7EBF">
        <w:rPr>
          <w:rStyle w:val="Rimandonotaapidipagina"/>
          <w:sz w:val="20"/>
          <w:szCs w:val="20"/>
        </w:rPr>
        <w:footnoteRef/>
      </w:r>
      <w:r>
        <w:rPr>
          <w:sz w:val="20"/>
          <w:szCs w:val="20"/>
        </w:rPr>
        <w:t>)</w:t>
      </w:r>
      <w:r w:rsidRPr="007F7EBF">
        <w:rPr>
          <w:sz w:val="20"/>
          <w:szCs w:val="20"/>
        </w:rPr>
        <w:t xml:space="preserve"> </w:t>
      </w:r>
      <w:r>
        <w:rPr>
          <w:sz w:val="22"/>
          <w:szCs w:val="22"/>
        </w:rPr>
        <w:t xml:space="preserve">Ritroviamo qui la dialettica tra questioni di fatto e di diritto (parr.3.9 e 5.8) dove vengono prima quelle </w:t>
      </w:r>
      <w:r w:rsidRPr="007F7EBF">
        <w:rPr>
          <w:sz w:val="20"/>
          <w:szCs w:val="20"/>
        </w:rPr>
        <w:t xml:space="preserve">"di fatto", </w:t>
      </w:r>
      <w:r>
        <w:rPr>
          <w:sz w:val="20"/>
          <w:szCs w:val="20"/>
        </w:rPr>
        <w:t xml:space="preserve">che chiariscono </w:t>
      </w:r>
      <w:r w:rsidRPr="007F7EBF">
        <w:rPr>
          <w:sz w:val="20"/>
          <w:szCs w:val="20"/>
        </w:rPr>
        <w:t xml:space="preserve">le circostanze </w:t>
      </w:r>
      <w:r>
        <w:rPr>
          <w:sz w:val="20"/>
          <w:szCs w:val="20"/>
        </w:rPr>
        <w:t xml:space="preserve">materiali </w:t>
      </w:r>
      <w:r w:rsidRPr="007F7EBF">
        <w:rPr>
          <w:sz w:val="20"/>
          <w:szCs w:val="20"/>
        </w:rPr>
        <w:t xml:space="preserve">di una serie di eventi, per poi valutarne, in diritto, i rapporti con l'attività di impresa. Può accadere poi che questi profili di fatto e di diritto addirittura si intreccino, ad esempio davanti a una molteplicità di documenti di trascurabile importo unitario, come ricevute di ristorante, biglietti aerei, taxi, etc. </w:t>
      </w:r>
      <w:r>
        <w:rPr>
          <w:sz w:val="20"/>
          <w:szCs w:val="20"/>
        </w:rPr>
        <w:t>La consuet</w:t>
      </w:r>
      <w:r w:rsidRPr="007F7EBF">
        <w:rPr>
          <w:sz w:val="20"/>
          <w:szCs w:val="20"/>
        </w:rPr>
        <w:t>a ritrosia per le valutazioni</w:t>
      </w:r>
      <w:r>
        <w:rPr>
          <w:sz w:val="20"/>
          <w:szCs w:val="20"/>
        </w:rPr>
        <w:t xml:space="preserve"> e </w:t>
      </w:r>
      <w:r w:rsidRPr="007F7EBF">
        <w:rPr>
          <w:sz w:val="20"/>
          <w:szCs w:val="20"/>
        </w:rPr>
        <w:t>il desiderio</w:t>
      </w:r>
      <w:r>
        <w:rPr>
          <w:sz w:val="20"/>
          <w:szCs w:val="20"/>
        </w:rPr>
        <w:t xml:space="preserve">, </w:t>
      </w:r>
      <w:r w:rsidRPr="007F7EBF">
        <w:rPr>
          <w:sz w:val="20"/>
          <w:szCs w:val="20"/>
        </w:rPr>
        <w:t>anche dei contribuenti</w:t>
      </w:r>
      <w:r>
        <w:rPr>
          <w:sz w:val="20"/>
          <w:szCs w:val="20"/>
        </w:rPr>
        <w:t xml:space="preserve">, </w:t>
      </w:r>
      <w:r w:rsidRPr="007F7EBF">
        <w:rPr>
          <w:sz w:val="20"/>
          <w:szCs w:val="20"/>
        </w:rPr>
        <w:t xml:space="preserve"> di </w:t>
      </w:r>
      <w:r>
        <w:rPr>
          <w:sz w:val="20"/>
          <w:szCs w:val="20"/>
        </w:rPr>
        <w:t xml:space="preserve">“certezza” sono </w:t>
      </w:r>
      <w:r w:rsidRPr="007F7EBF">
        <w:rPr>
          <w:sz w:val="20"/>
          <w:szCs w:val="20"/>
        </w:rPr>
        <w:t>alla base delle limitazioni forfettarie alla deduzione indicate nel testo.</w:t>
      </w:r>
    </w:p>
  </w:footnote>
  <w:footnote w:id="1089">
    <w:p w14:paraId="61772CA1" w14:textId="2C473BA7" w:rsidR="003B7460" w:rsidRPr="007F7EBF" w:rsidRDefault="003B7460" w:rsidP="00C558C0">
      <w:pPr>
        <w:pStyle w:val="Testonotaapidipagina"/>
      </w:pPr>
      <w:r w:rsidRPr="007F7EBF">
        <w:rPr>
          <w:rStyle w:val="Rimandonotaapidipagina"/>
        </w:rPr>
        <w:footnoteRef/>
      </w:r>
      <w:r w:rsidRPr="007F7EBF">
        <w:t xml:space="preserve"> </w:t>
      </w:r>
      <w:r>
        <w:t xml:space="preserve">) </w:t>
      </w:r>
      <w:r w:rsidRPr="007F7EBF">
        <w:t xml:space="preserve">In una prima fase, queste disposizioni erano simmetriche, tra imposte dirette ed IVA, </w:t>
      </w:r>
      <w:proofErr w:type="spellStart"/>
      <w:r w:rsidRPr="007F7EBF">
        <w:t>dopodichè</w:t>
      </w:r>
      <w:proofErr w:type="spellEnd"/>
      <w:r w:rsidRPr="007F7EBF">
        <w:t xml:space="preserve"> una serie di censure comunitarie, applicabili come noto solo </w:t>
      </w:r>
      <w:r>
        <w:t xml:space="preserve">all’IVA </w:t>
      </w:r>
      <w:r w:rsidRPr="007F7EBF">
        <w:t>(par.2.6) hanno condotto a spostare le limitazioni sulle imposte dirette</w:t>
      </w:r>
      <w:r>
        <w:t xml:space="preserve">, aggravando se possibile la </w:t>
      </w:r>
      <w:r w:rsidRPr="007F7EBF">
        <w:t>distorsione della determinazione de</w:t>
      </w:r>
      <w:r>
        <w:t xml:space="preserve">gli imponibili, dettata da </w:t>
      </w:r>
      <w:r w:rsidRPr="007F7EBF">
        <w:t>finalità di gettito</w:t>
      </w:r>
      <w:r>
        <w:t xml:space="preserve"> (</w:t>
      </w:r>
      <w:r w:rsidRPr="007F7EBF">
        <w:t>par. 1.9</w:t>
      </w:r>
      <w:r>
        <w:t>)</w:t>
      </w:r>
      <w:r w:rsidRPr="007F7EBF">
        <w:t>.</w:t>
      </w:r>
    </w:p>
  </w:footnote>
  <w:footnote w:id="1090">
    <w:p w14:paraId="05D553A1" w14:textId="77777777" w:rsidR="003B7460" w:rsidRPr="007F7EBF" w:rsidRDefault="003B7460" w:rsidP="0022247A">
      <w:pPr>
        <w:pStyle w:val="Testonotaapidipagina"/>
      </w:pPr>
      <w:r w:rsidRPr="007F7EBF">
        <w:rPr>
          <w:rStyle w:val="Rimandonotaapidipagina"/>
        </w:rPr>
        <w:footnoteRef/>
      </w:r>
      <w:r w:rsidRPr="007F7EBF">
        <w:t xml:space="preserve"> ) Da esporre nella sezione del bilancio (il c.d. conto economico, su cui infra par.7.14) contenente la generalità dei costi. </w:t>
      </w:r>
    </w:p>
  </w:footnote>
  <w:footnote w:id="1091">
    <w:p w14:paraId="63F5E83B" w14:textId="77777777" w:rsidR="003B7460" w:rsidRPr="007F7EBF" w:rsidRDefault="003B7460" w:rsidP="0022247A">
      <w:pPr>
        <w:pStyle w:val="Testonotaapidipagina"/>
      </w:pPr>
      <w:r w:rsidRPr="007F7EBF">
        <w:rPr>
          <w:rStyle w:val="Rimandonotaapidipagina"/>
        </w:rPr>
        <w:footnoteRef/>
      </w:r>
      <w:r w:rsidRPr="007F7EBF">
        <w:t xml:space="preserve"> ) Già al paragrafo 3.8 abbiamo rilevato che le imposte più importanti non sono tecnicamente “costi”. </w:t>
      </w:r>
    </w:p>
  </w:footnote>
  <w:footnote w:id="1092">
    <w:p w14:paraId="6BDB07BB" w14:textId="6623CBC5" w:rsidR="003B7460" w:rsidRPr="007F7EBF" w:rsidRDefault="003B7460" w:rsidP="0022247A">
      <w:pPr>
        <w:pStyle w:val="Testonotaapidipagina"/>
      </w:pPr>
      <w:r w:rsidRPr="007F7EBF">
        <w:rPr>
          <w:rStyle w:val="Rimandonotaapidipagina"/>
        </w:rPr>
        <w:footnoteRef/>
      </w:r>
      <w:r w:rsidRPr="007F7EBF">
        <w:t xml:space="preserve"> ) Per alcune imposte locali fu prevista una indeducibilità motivata solo dalla stravagante finalità di evitare diminuzioni di gettito erariale a seguito di aumenti di imposte locali (cfr. par.9.</w:t>
      </w:r>
      <w:r>
        <w:t>5</w:t>
      </w:r>
      <w:r w:rsidRPr="007F7EBF">
        <w:t xml:space="preserve"> a proposito dell’IRAP, ma regole analoghe vigono per l’IMU).  </w:t>
      </w:r>
    </w:p>
  </w:footnote>
  <w:footnote w:id="1093">
    <w:p w14:paraId="2DC1512F" w14:textId="22122954" w:rsidR="003B7460" w:rsidRPr="007F7EBF" w:rsidRDefault="003B7460" w:rsidP="002C1431">
      <w:pPr>
        <w:autoSpaceDE w:val="0"/>
        <w:autoSpaceDN w:val="0"/>
        <w:adjustRightInd w:val="0"/>
      </w:pPr>
      <w:r w:rsidRPr="007F7EBF">
        <w:rPr>
          <w:rStyle w:val="Rimandonotaapidipagina"/>
          <w:sz w:val="20"/>
          <w:szCs w:val="20"/>
        </w:rPr>
        <w:footnoteRef/>
      </w:r>
      <w:r w:rsidRPr="007F7EBF">
        <w:rPr>
          <w:sz w:val="20"/>
          <w:szCs w:val="20"/>
        </w:rPr>
        <w:t xml:space="preserve"> </w:t>
      </w:r>
      <w:r>
        <w:rPr>
          <w:sz w:val="20"/>
          <w:szCs w:val="20"/>
        </w:rPr>
        <w:t>) La stessa logica ispira l’</w:t>
      </w:r>
      <w:r w:rsidRPr="007F7EBF">
        <w:rPr>
          <w:sz w:val="20"/>
          <w:szCs w:val="20"/>
        </w:rPr>
        <w:t>indeducibili</w:t>
      </w:r>
      <w:r>
        <w:rPr>
          <w:sz w:val="20"/>
          <w:szCs w:val="20"/>
        </w:rPr>
        <w:t>tà</w:t>
      </w:r>
      <w:r w:rsidRPr="007F7EBF">
        <w:rPr>
          <w:sz w:val="20"/>
          <w:szCs w:val="20"/>
        </w:rPr>
        <w:t xml:space="preserve">, per disposizione di legge, </w:t>
      </w:r>
      <w:r>
        <w:rPr>
          <w:sz w:val="20"/>
          <w:szCs w:val="20"/>
        </w:rPr>
        <w:t>de</w:t>
      </w:r>
      <w:r w:rsidRPr="007F7EBF">
        <w:rPr>
          <w:sz w:val="20"/>
          <w:szCs w:val="20"/>
        </w:rPr>
        <w:t>i c.d. “</w:t>
      </w:r>
      <w:r w:rsidRPr="007F7EBF">
        <w:rPr>
          <w:bCs/>
          <w:sz w:val="20"/>
          <w:szCs w:val="20"/>
        </w:rPr>
        <w:t>costi da reato”</w:t>
      </w:r>
      <w:r>
        <w:rPr>
          <w:sz w:val="20"/>
          <w:szCs w:val="20"/>
        </w:rPr>
        <w:t xml:space="preserve"> (</w:t>
      </w:r>
      <w:r w:rsidRPr="007F7EBF">
        <w:rPr>
          <w:sz w:val="20"/>
          <w:szCs w:val="20"/>
        </w:rPr>
        <w:t>comma 4-bis dell’art.14 della legge n. 537/1993</w:t>
      </w:r>
      <w:r>
        <w:rPr>
          <w:sz w:val="20"/>
          <w:szCs w:val="20"/>
        </w:rPr>
        <w:t>)</w:t>
      </w:r>
      <w:r w:rsidRPr="007F7EBF">
        <w:rPr>
          <w:sz w:val="20"/>
          <w:szCs w:val="20"/>
        </w:rPr>
        <w:t xml:space="preserve">, sostenuti cioè per </w:t>
      </w:r>
      <w:r w:rsidRPr="007F7EBF">
        <w:rPr>
          <w:bCs/>
          <w:sz w:val="20"/>
          <w:szCs w:val="20"/>
        </w:rPr>
        <w:t>ottenere un ricavo lecito con modalità penalmente illecite (ad es. corruzione, spionaggio industriale, sabotaggio di concorrenti, etc.)</w:t>
      </w:r>
      <w:r w:rsidRPr="007F7EBF">
        <w:rPr>
          <w:sz w:val="20"/>
          <w:szCs w:val="20"/>
        </w:rPr>
        <w:t xml:space="preserve">. </w:t>
      </w:r>
    </w:p>
  </w:footnote>
  <w:footnote w:id="1094">
    <w:p w14:paraId="6C5445EC" w14:textId="77777777" w:rsidR="003B7460" w:rsidRPr="007F7EBF" w:rsidRDefault="003B7460">
      <w:pPr>
        <w:pStyle w:val="Testonotaapidipagina"/>
      </w:pPr>
      <w:r w:rsidRPr="007F7EBF">
        <w:rPr>
          <w:rStyle w:val="Rimandonotaapidipagina"/>
        </w:rPr>
        <w:footnoteRef/>
      </w:r>
      <w:r w:rsidRPr="007F7EBF">
        <w:t xml:space="preserve"> ) Secondo le utilizzazioni strumentali della determinazione del tributo in chiave agevolativa, indicata al par.1.9. </w:t>
      </w:r>
    </w:p>
  </w:footnote>
  <w:footnote w:id="1095">
    <w:p w14:paraId="780B645E" w14:textId="77777777" w:rsidR="003B7460" w:rsidRPr="007F7EBF" w:rsidRDefault="003B7460" w:rsidP="004E5DD2">
      <w:pPr>
        <w:pStyle w:val="Testonotaapidipagina"/>
      </w:pPr>
      <w:r w:rsidRPr="007F7EBF">
        <w:rPr>
          <w:rStyle w:val="Rimandonotaapidipagina"/>
        </w:rPr>
        <w:footnoteRef/>
      </w:r>
      <w:r w:rsidRPr="007F7EBF">
        <w:t xml:space="preserve"> Elencate dall'art.10 decreto IVA, con esempi indicati nel testo. Aggiungiamo che vi rientrano tra l'altro anche le assicurazioni e i servizi di investimento finanziario. </w:t>
      </w:r>
    </w:p>
  </w:footnote>
  <w:footnote w:id="1096">
    <w:p w14:paraId="5C143A63" w14:textId="77777777" w:rsidR="003B7460" w:rsidRPr="007F7EBF" w:rsidRDefault="003B7460" w:rsidP="00797443">
      <w:pPr>
        <w:pStyle w:val="Testonotaapidipagina"/>
      </w:pPr>
      <w:r w:rsidRPr="007F7EBF">
        <w:rPr>
          <w:rStyle w:val="Rimandonotaapidipagina"/>
        </w:rPr>
        <w:footnoteRef/>
      </w:r>
      <w:r w:rsidRPr="007F7EBF">
        <w:t>) In quanto a fronte del pagamento degli interessi passivi alla banca non c’è, neppure da parte del debitore consumatore finale, un consumo in senso tecnico. Lo stesso accade per le aziende che fanno negoziazioni di borsa, o percepiscono dividendi, o acquistano crediti per incassarli (c.d. factoring).</w:t>
      </w:r>
    </w:p>
  </w:footnote>
  <w:footnote w:id="1097">
    <w:p w14:paraId="4003448B" w14:textId="3064F807" w:rsidR="003B7460" w:rsidRPr="007F7EBF" w:rsidRDefault="003B7460" w:rsidP="004E5DD2">
      <w:pPr>
        <w:pStyle w:val="Testonotaapidipagina"/>
      </w:pPr>
      <w:r w:rsidRPr="007F7EBF">
        <w:rPr>
          <w:rStyle w:val="Rimandonotaapidipagina"/>
        </w:rPr>
        <w:footnoteRef/>
      </w:r>
      <w:r w:rsidRPr="007F7EBF">
        <w:t>) Che per alcuni anni fu effettivamente in vigore, anche con l’espediente dell’</w:t>
      </w:r>
      <w:r w:rsidRPr="007F7EBF">
        <w:rPr>
          <w:i/>
        </w:rPr>
        <w:t>aliquota zero</w:t>
      </w:r>
      <w:r w:rsidRPr="007F7EBF">
        <w:t xml:space="preserve"> su alcuni beni di prima necessità.</w:t>
      </w:r>
    </w:p>
  </w:footnote>
  <w:footnote w:id="1098">
    <w:p w14:paraId="58696D59" w14:textId="08654717" w:rsidR="003B7460" w:rsidRPr="007F7EBF" w:rsidRDefault="003B7460">
      <w:pPr>
        <w:pStyle w:val="Testonotaapidipagina"/>
      </w:pPr>
      <w:r w:rsidRPr="007F7EBF">
        <w:rPr>
          <w:rStyle w:val="Rimandonotaapidipagina"/>
        </w:rPr>
        <w:footnoteRef/>
      </w:r>
      <w:r w:rsidRPr="007F7EBF">
        <w:t>) Molti schemi elusivi (par.3.10) si basavano appunto su questa asimmetria.</w:t>
      </w:r>
    </w:p>
  </w:footnote>
  <w:footnote w:id="1099">
    <w:p w14:paraId="5F94DBE7" w14:textId="6FBEB990" w:rsidR="003B7460" w:rsidRPr="007F7EBF" w:rsidRDefault="003B7460">
      <w:pPr>
        <w:pStyle w:val="Testonotaapidipagina"/>
      </w:pPr>
      <w:r w:rsidRPr="007F7EBF">
        <w:rPr>
          <w:rStyle w:val="Rimandonotaapidipagina"/>
        </w:rPr>
        <w:footnoteRef/>
      </w:r>
      <w:r>
        <w:t xml:space="preserve">) Questa è proprio la situazione che il citato art.109 </w:t>
      </w:r>
      <w:proofErr w:type="spellStart"/>
      <w:r>
        <w:t>tuir</w:t>
      </w:r>
      <w:proofErr w:type="spellEnd"/>
      <w:r>
        <w:t>, prevedendo l’indeducibilità dei costi relativi a ricavi esenti, intende fronteggiare; dopo l’abolizione dell’esenzione sui titoli pubblici, un caso di applicazione riguardò la norma di esenzione dei contributi in conto esercizio per le ditte di trasporto pubblico.</w:t>
      </w:r>
      <w:r w:rsidRPr="007F7EBF">
        <w:t xml:space="preserve">. </w:t>
      </w:r>
    </w:p>
  </w:footnote>
  <w:footnote w:id="1100">
    <w:p w14:paraId="6CC50E53" w14:textId="7FBEB2CC" w:rsidR="003B7460" w:rsidRPr="007F7EBF" w:rsidRDefault="003B7460" w:rsidP="003F6520">
      <w:pPr>
        <w:pStyle w:val="Testonotaapidipagina"/>
      </w:pPr>
      <w:r w:rsidRPr="007F7EBF">
        <w:rPr>
          <w:rStyle w:val="Rimandonotaapidipagina"/>
        </w:rPr>
        <w:footnoteRef/>
      </w:r>
      <w:r w:rsidRPr="007F7EBF">
        <w:t xml:space="preserve"> </w:t>
      </w:r>
      <w:r>
        <w:t xml:space="preserve">) Le asimmetrie derivanti dal coordinamento impositivo “società-soci” sono state oggetto di altri correttivi, diversi dall’indeducibilità di cui all’art.109 del </w:t>
      </w:r>
      <w:proofErr w:type="spellStart"/>
      <w:r>
        <w:t>tuir</w:t>
      </w:r>
      <w:proofErr w:type="spellEnd"/>
      <w:r w:rsidRPr="007F7EBF">
        <w:t>.</w:t>
      </w:r>
    </w:p>
  </w:footnote>
  <w:footnote w:id="1101">
    <w:p w14:paraId="5EC36516" w14:textId="77777777" w:rsidR="003B7460" w:rsidRPr="007F7EBF" w:rsidRDefault="003B7460">
      <w:pPr>
        <w:pStyle w:val="Testonotaapidipagina"/>
      </w:pPr>
      <w:r w:rsidRPr="007F7EBF">
        <w:rPr>
          <w:rStyle w:val="Rimandonotaapidipagina"/>
        </w:rPr>
        <w:footnoteRef/>
      </w:r>
      <w:r w:rsidRPr="007F7EBF">
        <w:t xml:space="preserve"> ) Senza quindi gli sfasamenti, indicati nel testo e generalizzati al par.3.12, tra ricavi in tutto o in parte esenti e costi ordinariamente deducibili. </w:t>
      </w:r>
    </w:p>
  </w:footnote>
  <w:footnote w:id="1102">
    <w:p w14:paraId="0909DC3B" w14:textId="7816A7CE" w:rsidR="003B7460" w:rsidRPr="007F7EBF" w:rsidRDefault="003B7460">
      <w:pPr>
        <w:pStyle w:val="Testonotaapidipagina"/>
      </w:pPr>
      <w:r w:rsidRPr="007F7EBF">
        <w:rPr>
          <w:rStyle w:val="Rimandonotaapidipagina"/>
        </w:rPr>
        <w:footnoteRef/>
      </w:r>
      <w:r w:rsidRPr="007F7EBF">
        <w:t xml:space="preserve"> ) Come quell</w:t>
      </w:r>
      <w:r>
        <w:t>a</w:t>
      </w:r>
      <w:r w:rsidRPr="007F7EBF">
        <w:t xml:space="preserve"> dell’impresa agricola, di cui al par.8.2. </w:t>
      </w:r>
    </w:p>
  </w:footnote>
  <w:footnote w:id="1103">
    <w:p w14:paraId="5A5271BD" w14:textId="77777777" w:rsidR="003B7460" w:rsidRPr="007F7EBF" w:rsidRDefault="003B7460">
      <w:pPr>
        <w:pStyle w:val="Testonotaapidipagina"/>
      </w:pPr>
      <w:r w:rsidRPr="007F7EBF">
        <w:rPr>
          <w:rStyle w:val="Rimandonotaapidipagina"/>
        </w:rPr>
        <w:footnoteRef/>
      </w:r>
      <w:r w:rsidRPr="007F7EBF">
        <w:t xml:space="preserve"> ) Come la c.d. “</w:t>
      </w:r>
      <w:proofErr w:type="spellStart"/>
      <w:r w:rsidRPr="007F7EBF">
        <w:t>tonnage</w:t>
      </w:r>
      <w:proofErr w:type="spellEnd"/>
      <w:r w:rsidRPr="007F7EBF">
        <w:t xml:space="preserve"> tax” per le aziende di navigazione o il c.d.“</w:t>
      </w:r>
      <w:proofErr w:type="spellStart"/>
      <w:r w:rsidRPr="007F7EBF">
        <w:t>patent</w:t>
      </w:r>
      <w:proofErr w:type="spellEnd"/>
      <w:r w:rsidRPr="007F7EBF">
        <w:t xml:space="preserve"> box” per la tassazione separata dei beni immateriali e dei c.d. “</w:t>
      </w:r>
      <w:proofErr w:type="spellStart"/>
      <w:r w:rsidRPr="007F7EBF">
        <w:t>intangibles</w:t>
      </w:r>
      <w:proofErr w:type="spellEnd"/>
      <w:r w:rsidRPr="007F7EBF">
        <w:t xml:space="preserve">”, dove rientrano simmetricamente costi e ricavi imputabili a tali regimi. </w:t>
      </w:r>
    </w:p>
  </w:footnote>
  <w:footnote w:id="1104">
    <w:p w14:paraId="6428DAD7" w14:textId="5941EB84" w:rsidR="003B7460" w:rsidRPr="007F7EBF" w:rsidRDefault="003B7460" w:rsidP="00281FE1">
      <w:pPr>
        <w:pStyle w:val="Testonotaapidipagina"/>
      </w:pPr>
      <w:r w:rsidRPr="007F7EBF">
        <w:rPr>
          <w:rStyle w:val="Rimandonotaapidipagina"/>
        </w:rPr>
        <w:footnoteRef/>
      </w:r>
      <w:r>
        <w:t>) Su queste s</w:t>
      </w:r>
      <w:r w:rsidRPr="007F7EBF">
        <w:t>immetrie</w:t>
      </w:r>
      <w:r>
        <w:t xml:space="preserve"> par.3.12. </w:t>
      </w:r>
    </w:p>
  </w:footnote>
  <w:footnote w:id="1105">
    <w:p w14:paraId="1128F82A" w14:textId="7A62A954" w:rsidR="003B7460" w:rsidRPr="007F7EBF" w:rsidRDefault="003B7460" w:rsidP="00307452">
      <w:pPr>
        <w:pStyle w:val="Testonotaapidipagina"/>
      </w:pPr>
      <w:r w:rsidRPr="007F7EBF">
        <w:rPr>
          <w:rStyle w:val="Rimandonotaapidipagina"/>
        </w:rPr>
        <w:footnoteRef/>
      </w:r>
      <w:r w:rsidRPr="007F7EBF">
        <w:t xml:space="preserve"> ) </w:t>
      </w:r>
      <w:r>
        <w:t>Gli economisti che criticano l’apparente differenza di trattamento tra interessi e dividendi, trascurano che l’interesse, deducibile per l’erogante, è interamente imponibile per il percipiente</w:t>
      </w:r>
      <w:r w:rsidRPr="007F7EBF">
        <w:t xml:space="preserve">, </w:t>
      </w:r>
      <w:r>
        <w:t>mentre il dividendo, indeducibile per l’erogante, è tassabile in capo al percettore solo per la parte necessaria a giungere allo stesso livello di tassazione ordinario, gravante sugli interessi. La deduzione di questi ultimi sposta tutta la tassazione sul loro percettore, mentre la indeducibilità dei dividendi alleggerisce il percettore dell’imposta pagata dalla società erogante, senza modifiche del carico fiscale complessivo</w:t>
      </w:r>
      <w:r w:rsidRPr="007F7EBF">
        <w:t xml:space="preserve">. </w:t>
      </w:r>
    </w:p>
  </w:footnote>
  <w:footnote w:id="1106">
    <w:p w14:paraId="6BC51575" w14:textId="77777777" w:rsidR="003B7460" w:rsidRPr="007F7EBF" w:rsidRDefault="003B7460">
      <w:pPr>
        <w:pStyle w:val="Testonotaapidipagina"/>
      </w:pPr>
      <w:r w:rsidRPr="007F7EBF">
        <w:rPr>
          <w:rStyle w:val="Rimandonotaapidipagina"/>
        </w:rPr>
        <w:footnoteRef/>
      </w:r>
      <w:r w:rsidRPr="007F7EBF">
        <w:t xml:space="preserve"> ) Non si vede per quale motivo escludere tale imposta sostitutiva quando un imprenditore finanzia la propria azienda, applicandola invece quando acquista obbligazioni di altre aziende o di banche. </w:t>
      </w:r>
    </w:p>
  </w:footnote>
  <w:footnote w:id="1107">
    <w:p w14:paraId="02D51E2C" w14:textId="77777777" w:rsidR="003B7460" w:rsidRPr="007F7EBF" w:rsidRDefault="003B7460">
      <w:pPr>
        <w:pStyle w:val="Testonotaapidipagina"/>
      </w:pPr>
      <w:r w:rsidRPr="007F7EBF">
        <w:rPr>
          <w:rStyle w:val="Rimandonotaapidipagina"/>
        </w:rPr>
        <w:footnoteRef/>
      </w:r>
      <w:r w:rsidRPr="007F7EBF">
        <w:t xml:space="preserve"> ) Il primo percettore potrebbe essere una banca italiana, che poi ha ricevuto garanzie o finanziamenti da una banca estera, in una catena in cui –alla fine- di fatto c’è il titolare dell’azienda. </w:t>
      </w:r>
    </w:p>
  </w:footnote>
  <w:footnote w:id="1108">
    <w:p w14:paraId="44F32A6B" w14:textId="77777777" w:rsidR="003B7460" w:rsidRPr="007F7EBF" w:rsidRDefault="003B7460">
      <w:pPr>
        <w:pStyle w:val="Testonotaapidipagina"/>
      </w:pPr>
      <w:r w:rsidRPr="007F7EBF">
        <w:rPr>
          <w:rStyle w:val="Rimandonotaapidipagina"/>
        </w:rPr>
        <w:footnoteRef/>
      </w:r>
      <w:r w:rsidRPr="007F7EBF">
        <w:t xml:space="preserve"> ) Una prima limitazione generale riguardò la c.d. “capitalizzazione sottile”, praticamente ingestibile, vigente dal 2004 al 2007.   </w:t>
      </w:r>
    </w:p>
  </w:footnote>
  <w:footnote w:id="1109">
    <w:p w14:paraId="3FAF19B3" w14:textId="3606E65D" w:rsidR="003B7460" w:rsidRPr="007F7EBF" w:rsidRDefault="003B7460">
      <w:pPr>
        <w:pStyle w:val="Testonotaapidipagina"/>
      </w:pPr>
      <w:r w:rsidRPr="007F7EBF">
        <w:rPr>
          <w:rStyle w:val="Rimandonotaapidipagina"/>
        </w:rPr>
        <w:footnoteRef/>
      </w:r>
      <w:r w:rsidRPr="007F7EBF">
        <w:t xml:space="preserve"> ) La diversa questione della capitalizzazione degli interessi sugli  eventuali  investimenti cui  si riferiscono è regolata con rinvio ai principi contabili, secondo i principi generali di cui al par. 7.14.</w:t>
      </w:r>
    </w:p>
  </w:footnote>
  <w:footnote w:id="1110">
    <w:p w14:paraId="47406824" w14:textId="4F5C6CD0" w:rsidR="003B7460" w:rsidRPr="007F7EBF" w:rsidRDefault="003B7460" w:rsidP="0047269A">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Oltre ai redditi espressi da crediti “immobilizzati”, si pensi alle </w:t>
      </w:r>
      <w:r w:rsidRPr="007F7EBF">
        <w:rPr>
          <w:sz w:val="20"/>
          <w:szCs w:val="20"/>
        </w:rPr>
        <w:t xml:space="preserve">imposte patrimoniali sul valore degli immobili, come l'IMU (par.10.9) </w:t>
      </w:r>
      <w:r>
        <w:rPr>
          <w:sz w:val="20"/>
          <w:szCs w:val="20"/>
        </w:rPr>
        <w:t xml:space="preserve">o </w:t>
      </w:r>
      <w:r w:rsidRPr="007F7EBF">
        <w:rPr>
          <w:sz w:val="20"/>
          <w:szCs w:val="20"/>
        </w:rPr>
        <w:t>sugli autoveicoli</w:t>
      </w:r>
      <w:r>
        <w:rPr>
          <w:sz w:val="20"/>
          <w:szCs w:val="20"/>
        </w:rPr>
        <w:t xml:space="preserve"> (par.10.10)</w:t>
      </w:r>
      <w:r>
        <w:rPr>
          <w:sz w:val="22"/>
          <w:szCs w:val="22"/>
        </w:rPr>
        <w:t>. N</w:t>
      </w:r>
      <w:r>
        <w:t xml:space="preserve">ell’IVA invece il problema si avverte meno perché </w:t>
      </w:r>
      <w:r w:rsidRPr="007F7EBF">
        <w:t>l’acquirente consumatore finale</w:t>
      </w:r>
      <w:r>
        <w:t xml:space="preserve"> in genere acquista “in contanti”,</w:t>
      </w:r>
      <w:r w:rsidRPr="007F7EBF">
        <w:t xml:space="preserve"> </w:t>
      </w:r>
      <w:r>
        <w:t xml:space="preserve">manifestando di solito anche </w:t>
      </w:r>
      <w:r w:rsidRPr="007F7EBF">
        <w:t>le relative risorse finanziarie</w:t>
      </w:r>
      <w:r>
        <w:t xml:space="preserve"> (sugli acquisti a credito “ infra) </w:t>
      </w:r>
    </w:p>
  </w:footnote>
  <w:footnote w:id="1111">
    <w:p w14:paraId="68F40B30" w14:textId="7B0A5DE9" w:rsidR="003B7460" w:rsidRDefault="003B7460">
      <w:pPr>
        <w:pStyle w:val="Testonotaapidipagina"/>
      </w:pPr>
      <w:r>
        <w:rPr>
          <w:rStyle w:val="Rimandonotaapidipagina"/>
        </w:rPr>
        <w:footnoteRef/>
      </w:r>
      <w:r>
        <w:t xml:space="preserve"> ) Si ricordi al termine del par.1.8 la dialettica tra semplicità è precisione come principi della determinazione degli imponibili. La semplicità è più sentita per piccoli commercianti e artigiani, mentre la precisione rileva per le organizzazioni complesse.</w:t>
      </w:r>
    </w:p>
  </w:footnote>
  <w:footnote w:id="1112">
    <w:p w14:paraId="5D63CBF6" w14:textId="7F48105B" w:rsidR="003B7460" w:rsidRPr="007F7EBF" w:rsidRDefault="003B7460" w:rsidP="00665A1A">
      <w:pPr>
        <w:pStyle w:val="Testonotaapidipagina"/>
      </w:pPr>
      <w:r w:rsidRPr="007F7EBF">
        <w:rPr>
          <w:rStyle w:val="Rimandonotaapidipagina"/>
        </w:rPr>
        <w:footnoteRef/>
      </w:r>
      <w:r w:rsidRPr="007F7EBF">
        <w:t xml:space="preserve"> ) </w:t>
      </w:r>
      <w:r>
        <w:t>I</w:t>
      </w:r>
      <w:r w:rsidRPr="007F7EBF">
        <w:t xml:space="preserve">l semplice principio di cassa porterebbe a una distribuzione troppo imprecisa degli </w:t>
      </w:r>
      <w:r>
        <w:t xml:space="preserve">elementi reddituali </w:t>
      </w:r>
      <w:r w:rsidRPr="007F7EBF">
        <w:t xml:space="preserve">rispetto agli ordinari criteri di gestione </w:t>
      </w:r>
      <w:r>
        <w:t xml:space="preserve"> e rendicontazione </w:t>
      </w:r>
      <w:r w:rsidRPr="007F7EBF">
        <w:t>delle attività, ed alla precisione economico-contabile</w:t>
      </w:r>
      <w:r>
        <w:t>. Il suo uso tributario sarebbe al limite concettualmente possibile con un illimitato</w:t>
      </w:r>
      <w:r w:rsidRPr="007F7EBF">
        <w:t xml:space="preserve"> riporto in avanti e indietro delle perdite e una tassazione comunque “proporzionale” e non progressiva (il che già oggi sussiste per le società)</w:t>
      </w:r>
      <w:r>
        <w:t xml:space="preserve">. Esso però sarebbe “dissonante” rispetto alla corrispondente misurazione aziendalistica, eliminando le sinergie tra le due determinazioni, verso cui si sta orientando il sistema, come indicato al par.7.14. </w:t>
      </w:r>
    </w:p>
  </w:footnote>
  <w:footnote w:id="1113">
    <w:p w14:paraId="74A14151" w14:textId="664E5E43" w:rsidR="003B7460" w:rsidRPr="007F7EBF" w:rsidRDefault="003B7460" w:rsidP="00AA7391">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Cui in genere corrisponde </w:t>
      </w:r>
      <w:r w:rsidRPr="007F7EBF">
        <w:rPr>
          <w:sz w:val="20"/>
          <w:szCs w:val="20"/>
        </w:rPr>
        <w:t>la maturazione economica della prestazione sottostante</w:t>
      </w:r>
      <w:r>
        <w:rPr>
          <w:sz w:val="20"/>
          <w:szCs w:val="20"/>
        </w:rPr>
        <w:t xml:space="preserve">, effettuata o ricevuta. </w:t>
      </w:r>
    </w:p>
  </w:footnote>
  <w:footnote w:id="1114">
    <w:p w14:paraId="652034AD" w14:textId="6FE05077" w:rsidR="003B7460" w:rsidRDefault="003B7460">
      <w:pPr>
        <w:pStyle w:val="Testonotaapidipagina"/>
      </w:pPr>
      <w:r>
        <w:rPr>
          <w:rStyle w:val="Rimandonotaapidipagina"/>
        </w:rPr>
        <w:footnoteRef/>
      </w:r>
      <w:r>
        <w:t xml:space="preserve"> ) Per questo la misurazione aziendalistica dei redditi si mantiene ancorata, come indicato al par.7.13 sui valori fiscalmente riconosciuti, ai c.d. “costi storici”, salve le svalutazioni previsionali di cui al par.7.16, </w:t>
      </w:r>
    </w:p>
  </w:footnote>
  <w:footnote w:id="1115">
    <w:p w14:paraId="20847E23" w14:textId="0B7BCE82" w:rsidR="003B7460" w:rsidRPr="007F7EBF" w:rsidRDefault="003B7460">
      <w:pPr>
        <w:pStyle w:val="Testonotaapidipagina"/>
      </w:pPr>
      <w:r w:rsidRPr="007F7EBF">
        <w:rPr>
          <w:rStyle w:val="Rimandonotaapidipagina"/>
        </w:rPr>
        <w:footnoteRef/>
      </w:r>
      <w:r>
        <w:t>)</w:t>
      </w:r>
      <w:r w:rsidRPr="007F7EBF">
        <w:t xml:space="preserve"> Idealmente questi inconvenienti dovrebbero trovare compensazione, tra operatori economici, nella possibilità di dedurre costi e detrarre importi di IVA non ancora pagati ai fornitori. Tuttavia una penalizzazione irrazionale verso un contribuente non diventa accettabile socialmente perché altri hanno un vantaggio irrazionale uguale e contrario. </w:t>
      </w:r>
    </w:p>
  </w:footnote>
  <w:footnote w:id="1116">
    <w:p w14:paraId="15E7B5F2" w14:textId="77777777" w:rsidR="003B7460" w:rsidRPr="007F7EBF" w:rsidRDefault="003B7460">
      <w:pPr>
        <w:pStyle w:val="Testonotaapidipagina"/>
      </w:pPr>
      <w:r w:rsidRPr="007F7EBF">
        <w:rPr>
          <w:rStyle w:val="Rimandonotaapidipagina"/>
        </w:rPr>
        <w:footnoteRef/>
      </w:r>
      <w:r w:rsidRPr="007F7EBF">
        <w:t xml:space="preserve"> ) Come accade per molti enti pubblici. </w:t>
      </w:r>
    </w:p>
  </w:footnote>
  <w:footnote w:id="1117">
    <w:p w14:paraId="753BC559" w14:textId="77777777" w:rsidR="003B7460" w:rsidRPr="007F7EBF" w:rsidRDefault="003B7460">
      <w:pPr>
        <w:pStyle w:val="Testonotaapidipagina"/>
      </w:pPr>
      <w:r w:rsidRPr="007F7EBF">
        <w:rPr>
          <w:rStyle w:val="Rimandonotaapidipagina"/>
        </w:rPr>
        <w:footnoteRef/>
      </w:r>
      <w:r w:rsidRPr="007F7EBF">
        <w:t xml:space="preserve"> ) Come pure la rilevazione dei relativi accantonamenti, indicati al par.7.15. Il principio di cassa comporta invece sopravvenienze passive solo nell’eventualità di restituzione del compenso al cliente. </w:t>
      </w:r>
    </w:p>
  </w:footnote>
  <w:footnote w:id="1118">
    <w:p w14:paraId="110EEFA1" w14:textId="77777777" w:rsidR="003B7460" w:rsidRPr="007F7EBF" w:rsidRDefault="003B7460" w:rsidP="00F4426D">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Altrimenti si sarebbe verificata una sistematica anticipazione all’Erario di IVA che il fornitore deve ancora riscuotere. </w:t>
      </w:r>
    </w:p>
    <w:p w14:paraId="050BB68E" w14:textId="77777777" w:rsidR="003B7460" w:rsidRPr="007F7EBF" w:rsidRDefault="003B7460" w:rsidP="00F4426D">
      <w:pPr>
        <w:autoSpaceDE w:val="0"/>
        <w:autoSpaceDN w:val="0"/>
        <w:adjustRightInd w:val="0"/>
        <w:rPr>
          <w:sz w:val="20"/>
          <w:szCs w:val="20"/>
        </w:rPr>
      </w:pPr>
      <w:r w:rsidRPr="007F7EBF">
        <w:rPr>
          <w:sz w:val="20"/>
          <w:szCs w:val="20"/>
        </w:rPr>
        <w:t xml:space="preserve"> Gli </w:t>
      </w:r>
      <w:r w:rsidRPr="007F7EBF">
        <w:rPr>
          <w:b/>
          <w:sz w:val="20"/>
          <w:szCs w:val="20"/>
        </w:rPr>
        <w:t>acconti</w:t>
      </w:r>
      <w:r w:rsidRPr="007F7EBF">
        <w:rPr>
          <w:sz w:val="20"/>
          <w:szCs w:val="20"/>
        </w:rPr>
        <w:t xml:space="preserve"> sono irrilevanti ai fini delle imposte sui redditi, ma rilevano invece per l’IVA, riferita al consumo. Naturalmente, se poi l’operazione non va a buon fine, la formalizzazione IVA dell’anticipazione sarà corretta (in gergo contabile “stornata”) mediante le note di credito descritte al par. 7.7.</w:t>
      </w:r>
    </w:p>
  </w:footnote>
  <w:footnote w:id="1119">
    <w:p w14:paraId="2D670881" w14:textId="5EA4E01E" w:rsidR="003B7460" w:rsidRPr="007F7EBF" w:rsidRDefault="003B7460">
      <w:pPr>
        <w:pStyle w:val="Testonotaapidipagina"/>
      </w:pPr>
      <w:r w:rsidRPr="007F7EBF">
        <w:rPr>
          <w:rStyle w:val="Rimandonotaapidipagina"/>
        </w:rPr>
        <w:footnoteRef/>
      </w:r>
      <w:r w:rsidRPr="007F7EBF">
        <w:t xml:space="preserve"> Con riflessi anche in capo alla detrazione per il cliente, e varie complesse condizioni, di interesse tecnico più che </w:t>
      </w:r>
      <w:r>
        <w:t>di studio sociale</w:t>
      </w:r>
      <w:r w:rsidRPr="007F7EBF">
        <w:t>.</w:t>
      </w:r>
    </w:p>
  </w:footnote>
  <w:footnote w:id="1120">
    <w:p w14:paraId="64BE0910" w14:textId="77777777" w:rsidR="003B7460" w:rsidRPr="007F7EBF" w:rsidRDefault="003B7460" w:rsidP="00F4426D">
      <w:pPr>
        <w:pStyle w:val="Testonotaapidipagina"/>
      </w:pPr>
      <w:r w:rsidRPr="007F7EBF">
        <w:rPr>
          <w:rStyle w:val="Rimandonotaapidipagina"/>
        </w:rPr>
        <w:footnoteRef/>
      </w:r>
      <w:r w:rsidRPr="007F7EBF">
        <w:t xml:space="preserve"> ) Il mancato pagamento della prestazione prevale quindi sul fatto che il consumo ci sia effettivamente stato. </w:t>
      </w:r>
    </w:p>
  </w:footnote>
  <w:footnote w:id="1121">
    <w:p w14:paraId="487961E7" w14:textId="5D58C198" w:rsidR="003B7460" w:rsidRDefault="003B7460">
      <w:pPr>
        <w:pStyle w:val="Testonotaapidipagina"/>
      </w:pPr>
      <w:r>
        <w:rPr>
          <w:rStyle w:val="Rimandonotaapidipagina"/>
        </w:rPr>
        <w:footnoteRef/>
      </w:r>
      <w:r>
        <w:t xml:space="preserve"> ) Per tutte le </w:t>
      </w:r>
      <w:r w:rsidRPr="007F7EBF">
        <w:t>consegne di beni risultati da documento di trasporto</w:t>
      </w:r>
      <w:r>
        <w:t>, l’emissione della fattura ha un più lungo periodo di tolleranza, dovendo avvenire entro il mese successivo</w:t>
      </w:r>
      <w:r w:rsidRPr="007F7EBF">
        <w:t>.</w:t>
      </w:r>
    </w:p>
  </w:footnote>
  <w:footnote w:id="1122">
    <w:p w14:paraId="696EA099" w14:textId="77777777" w:rsidR="003B7460" w:rsidRPr="007F7EBF" w:rsidRDefault="003B7460">
      <w:pPr>
        <w:pStyle w:val="Testonotaapidipagina"/>
      </w:pPr>
      <w:r w:rsidRPr="007F7EBF">
        <w:rPr>
          <w:rStyle w:val="Rimandonotaapidipagina"/>
        </w:rPr>
        <w:footnoteRef/>
      </w:r>
      <w:r w:rsidRPr="007F7EBF">
        <w:t xml:space="preserve"> ) Ad esempio vendite a prova, con riserva di gradimento o altre analoghe clausole contrattuali, ma si tratta di tecnicismi. </w:t>
      </w:r>
    </w:p>
  </w:footnote>
  <w:footnote w:id="1123">
    <w:p w14:paraId="5413FC1A" w14:textId="77777777" w:rsidR="003B7460" w:rsidRPr="007F7EBF" w:rsidRDefault="003B7460">
      <w:pPr>
        <w:pStyle w:val="Testonotaapidipagina"/>
      </w:pPr>
      <w:r w:rsidRPr="007F7EBF">
        <w:rPr>
          <w:rStyle w:val="Rimandonotaapidipagina"/>
        </w:rPr>
        <w:footnoteRef/>
      </w:r>
      <w:r w:rsidRPr="007F7EBF">
        <w:t xml:space="preserve"> ) Sempre salvo il rinvio ai principi contabili, ove applicabile nei già indicati termini di cui al par.7.14.</w:t>
      </w:r>
    </w:p>
  </w:footnote>
  <w:footnote w:id="1124">
    <w:p w14:paraId="1DBB4837" w14:textId="36D2ADD1" w:rsidR="003B7460" w:rsidRPr="007F7EBF" w:rsidRDefault="003B7460">
      <w:pPr>
        <w:pStyle w:val="Testonotaapidipagina"/>
      </w:pPr>
      <w:r w:rsidRPr="007F7EBF">
        <w:rPr>
          <w:rStyle w:val="Rimandonotaapidipagina"/>
        </w:rPr>
        <w:footnoteRef/>
      </w:r>
      <w:r w:rsidRPr="007F7EBF">
        <w:t xml:space="preserve"> ) Sarebbe infatti improponibile l’emissione di una fattura “in tempo reale” al momento dell’ultimazione del servizio.</w:t>
      </w:r>
      <w:r>
        <w:t xml:space="preserve"> </w:t>
      </w:r>
    </w:p>
  </w:footnote>
  <w:footnote w:id="1125">
    <w:p w14:paraId="2F98E3B7" w14:textId="7172394F" w:rsidR="003B7460" w:rsidRPr="007F7EBF" w:rsidRDefault="003B7460" w:rsidP="00FA0D96">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Dove non esistono operazioni diverse da cessioni di beni e prestazioni di </w:t>
      </w:r>
      <w:r>
        <w:rPr>
          <w:sz w:val="20"/>
          <w:szCs w:val="20"/>
        </w:rPr>
        <w:t xml:space="preserve">   </w:t>
      </w:r>
      <w:r w:rsidRPr="007F7EBF">
        <w:rPr>
          <w:sz w:val="20"/>
          <w:szCs w:val="20"/>
        </w:rPr>
        <w:t>servizi</w:t>
      </w:r>
      <w:r>
        <w:rPr>
          <w:sz w:val="20"/>
          <w:szCs w:val="20"/>
        </w:rPr>
        <w:t xml:space="preserve">, come indicato al par.7.6. </w:t>
      </w:r>
    </w:p>
  </w:footnote>
  <w:footnote w:id="1126">
    <w:p w14:paraId="1764A62B" w14:textId="6E89AFDA" w:rsidR="003B7460" w:rsidRPr="007F7EBF" w:rsidRDefault="003B7460">
      <w:pPr>
        <w:pStyle w:val="Testonotaapidipagina"/>
      </w:pPr>
      <w:r w:rsidRPr="007F7EBF">
        <w:rPr>
          <w:rStyle w:val="Rimandonotaapidipagina"/>
        </w:rPr>
        <w:footnoteRef/>
      </w:r>
      <w:r w:rsidRPr="007F7EBF">
        <w:t xml:space="preserve"> )</w:t>
      </w:r>
      <w:r>
        <w:t xml:space="preserve"> C</w:t>
      </w:r>
      <w:r w:rsidRPr="007F7EBF">
        <w:t xml:space="preserve">ome risarcimenti, </w:t>
      </w:r>
      <w:r>
        <w:t xml:space="preserve">contributi, </w:t>
      </w:r>
      <w:r w:rsidRPr="007F7EBF">
        <w:t>sussidi, indennizzi, transazioni, ed altri irrilevanti ai fini IVA, in quanto senza natura corrispettiva</w:t>
      </w:r>
      <w:r>
        <w:t xml:space="preserve"> (par.7.6)</w:t>
      </w:r>
      <w:r w:rsidRPr="007F7EBF">
        <w:t xml:space="preserve">. </w:t>
      </w:r>
    </w:p>
  </w:footnote>
  <w:footnote w:id="1127">
    <w:p w14:paraId="3F42EF35" w14:textId="77777777" w:rsidR="003B7460" w:rsidRDefault="003B7460" w:rsidP="00DD28CB">
      <w:pPr>
        <w:pStyle w:val="Testonotaapidipagina"/>
      </w:pPr>
      <w:r>
        <w:rPr>
          <w:rStyle w:val="Rimandonotaapidipagina"/>
        </w:rPr>
        <w:footnoteRef/>
      </w:r>
      <w:r>
        <w:t xml:space="preserve"> ) Nella vita aziendale viene investigato solo il materiale verificarsi di operazioni ancora non registrate alla data di chiusura del bilancio, quando a tale data non è stato ancora formato il documento di vendita, o ricevuto quello di acquisto (par.7.15 sugli accantonamenti di bilancio). </w:t>
      </w:r>
    </w:p>
  </w:footnote>
  <w:footnote w:id="1128">
    <w:p w14:paraId="0B478C6D" w14:textId="77777777" w:rsidR="003B7460" w:rsidRPr="007F7EBF" w:rsidRDefault="003B7460">
      <w:pPr>
        <w:pStyle w:val="Testonotaapidipagina"/>
      </w:pPr>
      <w:r w:rsidRPr="007F7EBF">
        <w:rPr>
          <w:rStyle w:val="Rimandonotaapidipagina"/>
        </w:rPr>
        <w:footnoteRef/>
      </w:r>
      <w:r w:rsidRPr="007F7EBF">
        <w:t xml:space="preserve"> ) Errori interpretativi, dimenticanze amministrative, possibili nelle organizzazioni che gestiscono milioni di documenti, possono avere riflessi anche negli esercizi successivi, in base alle simmetrie concettuali della tassazione attraverso le aziende, indicate al par.3.12.</w:t>
      </w:r>
    </w:p>
  </w:footnote>
  <w:footnote w:id="1129">
    <w:p w14:paraId="52E2EC0A" w14:textId="77777777" w:rsidR="003B7460" w:rsidRPr="007F7EBF" w:rsidRDefault="003B7460">
      <w:pPr>
        <w:pStyle w:val="Testonotaapidipagina"/>
      </w:pPr>
      <w:r w:rsidRPr="007F7EBF">
        <w:rPr>
          <w:rStyle w:val="Rimandonotaapidipagina"/>
        </w:rPr>
        <w:footnoteRef/>
      </w:r>
      <w:r w:rsidRPr="007F7EBF">
        <w:t xml:space="preserve"> ) Con un elemento reddituale positivo o negativo, a seconda dell’errore. </w:t>
      </w:r>
    </w:p>
  </w:footnote>
  <w:footnote w:id="1130">
    <w:p w14:paraId="66862F8B" w14:textId="77777777" w:rsidR="003B7460" w:rsidRPr="007F7EBF" w:rsidRDefault="003B7460">
      <w:pPr>
        <w:pStyle w:val="Testonotaapidipagina"/>
      </w:pPr>
      <w:r w:rsidRPr="007F7EBF">
        <w:rPr>
          <w:rStyle w:val="Rimandonotaapidipagina"/>
        </w:rPr>
        <w:footnoteRef/>
      </w:r>
      <w:r w:rsidRPr="007F7EBF">
        <w:t xml:space="preserve"> )Applicabile anche quando l’errore viene rilevato dall’amministrazione finanziaria in sede di controllo con una “rettifica sulla competenza” di cui al par.7.14.</w:t>
      </w:r>
    </w:p>
  </w:footnote>
  <w:footnote w:id="1131">
    <w:p w14:paraId="44DAE7A0" w14:textId="77777777" w:rsidR="003B7460" w:rsidRPr="007F7EBF" w:rsidRDefault="003B7460">
      <w:pPr>
        <w:pStyle w:val="Testonotaapidipagina"/>
      </w:pPr>
      <w:r w:rsidRPr="007F7EBF">
        <w:rPr>
          <w:rStyle w:val="Rimandonotaapidipagina"/>
        </w:rPr>
        <w:footnoteRef/>
      </w:r>
      <w:r w:rsidRPr="007F7EBF">
        <w:t xml:space="preserve"> Ciò corrispondendo se del caso anche le sanzioni, col sistema del "ravvedimento operoso" (par.3.4) qualora l'errore fosse a danno del fisco.</w:t>
      </w:r>
    </w:p>
  </w:footnote>
  <w:footnote w:id="1132">
    <w:p w14:paraId="720A3586" w14:textId="2122D1E4" w:rsidR="003B7460" w:rsidRPr="007F7EBF" w:rsidRDefault="003B7460" w:rsidP="00B4209D">
      <w:pPr>
        <w:pStyle w:val="Testonotaapidipagina"/>
      </w:pPr>
      <w:r w:rsidRPr="007F7EBF">
        <w:rPr>
          <w:rStyle w:val="Rimandonotaapidipagina"/>
        </w:rPr>
        <w:footnoteRef/>
      </w:r>
      <w:r w:rsidRPr="007F7EBF">
        <w:t xml:space="preserve"> ) L'esposizione parallela di imposte dirette e di IVA consente di cogliere in quale misura le stesse operazioni aziendali diano luogo a fenomeni rilevanti ai fini di entrambi i tributi. </w:t>
      </w:r>
    </w:p>
  </w:footnote>
  <w:footnote w:id="1133">
    <w:p w14:paraId="047286B0" w14:textId="77777777" w:rsidR="003B7460" w:rsidRPr="007F7EBF" w:rsidRDefault="003B7460" w:rsidP="003015A9">
      <w:pPr>
        <w:pStyle w:val="Testonotaapidipagina"/>
      </w:pPr>
      <w:r w:rsidRPr="007F7EBF">
        <w:rPr>
          <w:rStyle w:val="Rimandonotaapidipagina"/>
        </w:rPr>
        <w:footnoteRef/>
      </w:r>
      <w:r w:rsidRPr="007F7EBF">
        <w:t xml:space="preserve"> Se una merce è accidentalmente distrutta per colpa di un terzo, quest’ultimo, o la sua assicurazione, risarciranno il danno senza considerare l’IVA sul bene in caso di sua vendita, che costituisce un “di più”, dovuto solo in caso di arrivo del bene al consumo (il caso giustamente non è considerato autoconsumo o destinazione a finalità estranee all’esercizio dell’impresa).  </w:t>
      </w:r>
    </w:p>
  </w:footnote>
  <w:footnote w:id="1134">
    <w:p w14:paraId="38A5C29D" w14:textId="77777777" w:rsidR="003B7460" w:rsidRDefault="003B7460">
      <w:pPr>
        <w:pStyle w:val="Testonotaapidipagina"/>
      </w:pPr>
      <w:r>
        <w:rPr>
          <w:rStyle w:val="Rimandonotaapidipagina"/>
        </w:rPr>
        <w:footnoteRef/>
      </w:r>
      <w:r>
        <w:t xml:space="preserve"> ) Costituiscono sopravvenienze attive anche le emersioni di denaro o di crediti </w:t>
      </w:r>
      <w:proofErr w:type="spellStart"/>
      <w:r>
        <w:t>corrisponenti</w:t>
      </w:r>
      <w:proofErr w:type="spellEnd"/>
      <w:r>
        <w:t xml:space="preserve"> a ricavi di annualità precedenti, anche se non accertate o non più accertabili per scadenza dei termini (</w:t>
      </w:r>
      <w:proofErr w:type="spellStart"/>
      <w:r>
        <w:t>c.d.”redditi</w:t>
      </w:r>
      <w:proofErr w:type="spellEnd"/>
      <w:r>
        <w:t xml:space="preserve"> sfuggiti a tassazione”, buon argomento per una tesi di laurea o dottorato dal titolo </w:t>
      </w:r>
      <w:r w:rsidRPr="00FE5877">
        <w:rPr>
          <w:i/>
        </w:rPr>
        <w:t>Imputazione a periodo, decadenza dal potere accertativo e simmetrie della tassazione attraverso le aziende</w:t>
      </w:r>
      <w:r>
        <w:t>).</w:t>
      </w:r>
    </w:p>
  </w:footnote>
  <w:footnote w:id="1135">
    <w:p w14:paraId="70E1A1DF" w14:textId="6475B634" w:rsidR="003B7460" w:rsidRDefault="003B7460" w:rsidP="00294AA0">
      <w:pPr>
        <w:pStyle w:val="Testonotaapidipagina"/>
      </w:pPr>
      <w:r>
        <w:rPr>
          <w:rStyle w:val="Rimandonotaapidipagina"/>
        </w:rPr>
        <w:footnoteRef/>
      </w:r>
      <w:r>
        <w:t xml:space="preserve"> ) Anche l’assenza di questa “competenza interna”, tra un’annualità e l’altra, conferma che l’IVA è molto meno un’imposta “di periodo” di quanto siano le imposte sui redditi (par.3.4). </w:t>
      </w:r>
    </w:p>
  </w:footnote>
  <w:footnote w:id="1136">
    <w:p w14:paraId="07A7D5EB" w14:textId="77777777" w:rsidR="003B7460" w:rsidRPr="007F7EBF" w:rsidRDefault="003B7460">
      <w:pPr>
        <w:pStyle w:val="Testonotaapidipagina"/>
      </w:pPr>
      <w:r w:rsidRPr="007F7EBF">
        <w:rPr>
          <w:rStyle w:val="Rimandonotaapidipagina"/>
        </w:rPr>
        <w:footnoteRef/>
      </w:r>
      <w:r w:rsidRPr="007F7EBF">
        <w:t xml:space="preserve"> Sono costi che potremmo chiamare “ a rilascio differito”, in quanto riguardano utilità distribuite nel tempo (par. 7.15 sugli ammortamenti). </w:t>
      </w:r>
    </w:p>
  </w:footnote>
  <w:footnote w:id="1137">
    <w:p w14:paraId="3B01CF0A" w14:textId="0628F0BE" w:rsidR="003B7460" w:rsidRPr="007F7EBF" w:rsidRDefault="003B7460" w:rsidP="00597BD8">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Come anticipato al par.7.8 e vedremo al par.7.16, il risultato reddituale e patrimoniale non cambia, ma cambia il criterio espositivo di questi beni, per i quali </w:t>
      </w:r>
      <w:r w:rsidRPr="007F7EBF">
        <w:rPr>
          <w:sz w:val="20"/>
          <w:szCs w:val="20"/>
        </w:rPr>
        <w:t>l'aspetto "patrimoniale" è rilevato solo a fine anno, con le rimanenze finali. A parte queste diverse modalità espositive in senso logico anche le rimanenze finali esprimono un "valore fiscalmente riconosciuto"</w:t>
      </w:r>
      <w:r>
        <w:rPr>
          <w:sz w:val="20"/>
          <w:szCs w:val="20"/>
        </w:rPr>
        <w:t xml:space="preserve">, come vedremo subito nel testo. </w:t>
      </w:r>
    </w:p>
  </w:footnote>
  <w:footnote w:id="1138">
    <w:p w14:paraId="6D57EF69" w14:textId="77777777" w:rsidR="003B7460" w:rsidRPr="007F7EBF" w:rsidRDefault="003B7460" w:rsidP="00E52966">
      <w:pPr>
        <w:pStyle w:val="Testonotaapidipagina"/>
      </w:pPr>
      <w:r w:rsidRPr="007F7EBF">
        <w:rPr>
          <w:rStyle w:val="Rimandonotaapidipagina"/>
        </w:rPr>
        <w:footnoteRef/>
      </w:r>
      <w:r w:rsidRPr="007F7EBF">
        <w:t xml:space="preserve"> ) Questo concetto è indicato, nella prassi, anche come “valore fiscale” (per brevità), oppure “costo fiscale”, enfatizzandone la frequente determinazione in base al costo. </w:t>
      </w:r>
    </w:p>
  </w:footnote>
  <w:footnote w:id="1139">
    <w:p w14:paraId="06870E13" w14:textId="77777777" w:rsidR="003B7460" w:rsidRPr="007F7EBF" w:rsidRDefault="003B7460" w:rsidP="003D43DA">
      <w:pPr>
        <w:pStyle w:val="Testonotaapidipagina"/>
      </w:pPr>
      <w:r w:rsidRPr="007F7EBF">
        <w:rPr>
          <w:rStyle w:val="Rimandonotaapidipagina"/>
        </w:rPr>
        <w:footnoteRef/>
      </w:r>
      <w:r w:rsidRPr="007F7EBF">
        <w:t xml:space="preserve"> ) Che prende le mosse dal corrispettivo riconosciuto alla controparte, come indicato al par.7.6.</w:t>
      </w:r>
    </w:p>
  </w:footnote>
  <w:footnote w:id="1140">
    <w:p w14:paraId="06338FF3" w14:textId="77777777" w:rsidR="003B7460" w:rsidRPr="007F7EBF" w:rsidRDefault="003B7460">
      <w:pPr>
        <w:pStyle w:val="Testonotaapidipagina"/>
      </w:pPr>
      <w:r w:rsidRPr="007F7EBF">
        <w:rPr>
          <w:rStyle w:val="Rimandonotaapidipagina"/>
        </w:rPr>
        <w:footnoteRef/>
      </w:r>
      <w:r w:rsidRPr="007F7EBF">
        <w:t xml:space="preserve"> ) Salvo che per i beni provvisti di un valore intrinseco monetizzabile sul mercato, come alcuni immobili residenziali. L’insieme dei costi sostenuti esprime quindi il valore </w:t>
      </w:r>
      <w:r w:rsidRPr="007F7EBF">
        <w:rPr>
          <w:bCs/>
        </w:rPr>
        <w:t>dell’avviamento aziendale</w:t>
      </w:r>
      <w:r w:rsidRPr="007F7EBF">
        <w:t>, ripartito sulle singole voci di bilancio, dagli immobili, agli impianti, alle attrezzature.</w:t>
      </w:r>
    </w:p>
  </w:footnote>
  <w:footnote w:id="1141">
    <w:p w14:paraId="032614BA" w14:textId="0175EC2A" w:rsidR="003B7460" w:rsidRPr="007F7EBF" w:rsidRDefault="003B7460" w:rsidP="00346A6D">
      <w:pPr>
        <w:pStyle w:val="Testonotaapidipagina"/>
      </w:pPr>
      <w:r w:rsidRPr="007F7EBF">
        <w:rPr>
          <w:rStyle w:val="Rimandonotaapidipagina"/>
        </w:rPr>
        <w:footnoteRef/>
      </w:r>
      <w:r w:rsidRPr="007F7EBF">
        <w:t xml:space="preserve"> Questo soprattutto per i macchinari raffinati, specifici e costosi, che paradossalmente hanno valore esclusivamente in funzione dell’organizzazione in cui sono inseriti e al di fuori sono ferrivecchi, per il cui smaltimento occorrerebbe pagare qualcuno.   </w:t>
      </w:r>
      <w:r>
        <w:t xml:space="preserve">Un mercato relativamente più vasto c’è per l’attrezzatura minuta dell’artigiano, il cui valore di scambio, per la rivendita, è comunque sempre molto inferiore al “valore d’uso” nell’attività </w:t>
      </w:r>
      <w:r w:rsidRPr="007F7EBF">
        <w:t xml:space="preserve">(si pensi a trapani, </w:t>
      </w:r>
      <w:r>
        <w:t xml:space="preserve">impalcature edilizie, </w:t>
      </w:r>
      <w:r w:rsidRPr="007F7EBF">
        <w:t>macchine per cucire</w:t>
      </w:r>
      <w:r>
        <w:t xml:space="preserve">, </w:t>
      </w:r>
      <w:r w:rsidRPr="007F7EBF">
        <w:t>etc.).</w:t>
      </w:r>
    </w:p>
  </w:footnote>
  <w:footnote w:id="1142">
    <w:p w14:paraId="7B956FA0" w14:textId="6C01A7DB" w:rsidR="003B7460" w:rsidRDefault="003B7460">
      <w:pPr>
        <w:pStyle w:val="Testonotaapidipagina"/>
      </w:pPr>
      <w:r>
        <w:rPr>
          <w:rStyle w:val="Rimandonotaapidipagina"/>
        </w:rPr>
        <w:footnoteRef/>
      </w:r>
      <w:r>
        <w:t xml:space="preserve"> ) Valori g</w:t>
      </w:r>
      <w:r w:rsidRPr="007F7EBF">
        <w:rPr>
          <w:sz w:val="22"/>
          <w:szCs w:val="22"/>
        </w:rPr>
        <w:t>ià a loro volta influenzati dalla suddetta componente intrinseca di “avviamento”.</w:t>
      </w:r>
    </w:p>
  </w:footnote>
  <w:footnote w:id="1143">
    <w:p w14:paraId="5225DBB9" w14:textId="77777777" w:rsidR="003B7460" w:rsidRPr="007F7EBF" w:rsidRDefault="003B7460" w:rsidP="00D974D3">
      <w:pPr>
        <w:pStyle w:val="Testonotaapidipagina"/>
      </w:pPr>
      <w:r w:rsidRPr="007F7EBF">
        <w:rPr>
          <w:rStyle w:val="Rimandonotaapidipagina"/>
        </w:rPr>
        <w:footnoteRef/>
      </w:r>
      <w:r w:rsidRPr="007F7EBF">
        <w:t xml:space="preserve"> Come vedremo per impianti e macchinari al par.7.15. </w:t>
      </w:r>
    </w:p>
  </w:footnote>
  <w:footnote w:id="1144">
    <w:p w14:paraId="08E605B0" w14:textId="0AE84FA7" w:rsidR="003B7460" w:rsidRPr="007F7EBF" w:rsidRDefault="003B7460" w:rsidP="00D974D3">
      <w:pPr>
        <w:pStyle w:val="Testonotaapidipagina"/>
      </w:pPr>
      <w:r w:rsidRPr="007F7EBF">
        <w:rPr>
          <w:rStyle w:val="Rimandonotaapidipagina"/>
        </w:rPr>
        <w:footnoteRef/>
      </w:r>
      <w:r w:rsidRPr="007F7EBF">
        <w:t xml:space="preserve"> ) Intes</w:t>
      </w:r>
      <w:r>
        <w:t>e entrambe</w:t>
      </w:r>
      <w:r w:rsidRPr="007F7EBF">
        <w:t>, come già indicato più volte (par.7.6)</w:t>
      </w:r>
      <w:r>
        <w:t>,</w:t>
      </w:r>
      <w:r w:rsidRPr="007F7EBF">
        <w:t xml:space="preserve"> come differenza tra corrispettivo di vendita e valore fiscalmente riconosciuto. </w:t>
      </w:r>
    </w:p>
  </w:footnote>
  <w:footnote w:id="1145">
    <w:p w14:paraId="11695E18" w14:textId="77777777" w:rsidR="003B7460" w:rsidRPr="007F7EBF" w:rsidRDefault="003B7460" w:rsidP="00E52966">
      <w:pPr>
        <w:pStyle w:val="Testonotaapidipagina"/>
      </w:pPr>
      <w:r w:rsidRPr="007F7EBF">
        <w:rPr>
          <w:rStyle w:val="Rimandonotaapidipagina"/>
        </w:rPr>
        <w:footnoteRef/>
      </w:r>
      <w:r w:rsidRPr="007F7EBF">
        <w:t xml:space="preserve"> ) Sul concetto di sopravvenienza attiva par.7.6. Lo stesso vale per le riduzioni parziali di debito a fronte di pagamenti “pronta cassa”, per “premi fedeltà, o a fronte di reclami al fornitore per la cattiva qualità della prestazione ricevuta.  </w:t>
      </w:r>
    </w:p>
  </w:footnote>
  <w:footnote w:id="1146">
    <w:p w14:paraId="60500BBF" w14:textId="77777777" w:rsidR="003B7460" w:rsidRPr="007F7EBF" w:rsidRDefault="003B7460">
      <w:pPr>
        <w:pStyle w:val="Testonotaapidipagina"/>
      </w:pPr>
      <w:r w:rsidRPr="007F7EBF">
        <w:rPr>
          <w:rStyle w:val="Rimandonotaapidipagina"/>
        </w:rPr>
        <w:footnoteRef/>
      </w:r>
      <w:r w:rsidRPr="007F7EBF">
        <w:t xml:space="preserve"> ) Sulla tecnica dei fondi di ammortamento, accantonamento etc. par.7.15.</w:t>
      </w:r>
    </w:p>
  </w:footnote>
  <w:footnote w:id="1147">
    <w:p w14:paraId="79DF8D81" w14:textId="6F92E4D5" w:rsidR="003B7460" w:rsidRPr="007F7EBF" w:rsidRDefault="003B7460">
      <w:pPr>
        <w:pStyle w:val="Testonotaapidipagina"/>
      </w:pPr>
      <w:r w:rsidRPr="007F7EBF">
        <w:rPr>
          <w:rStyle w:val="Rimandonotaapidipagina"/>
        </w:rPr>
        <w:footnoteRef/>
      </w:r>
      <w:r w:rsidRPr="007F7EBF">
        <w:t xml:space="preserve"> ) </w:t>
      </w:r>
      <w:r>
        <w:t>T</w:t>
      </w:r>
      <w:r w:rsidRPr="007F7EBF">
        <w:t>ale fondo può quindi</w:t>
      </w:r>
      <w:r>
        <w:t>, dal punto di vista tributario,</w:t>
      </w:r>
      <w:r w:rsidRPr="007F7EBF">
        <w:t xml:space="preserve"> liberamente essere trasformato in elemento del patrimonio netto, di cui diremo subito nel testo</w:t>
      </w:r>
      <w:r>
        <w:t>, denominandolo anche formalmente come “riserva”.</w:t>
      </w:r>
    </w:p>
  </w:footnote>
  <w:footnote w:id="1148">
    <w:p w14:paraId="2D703D83" w14:textId="74E5101A" w:rsidR="003B7460" w:rsidRPr="007F7EBF" w:rsidRDefault="003B7460">
      <w:pPr>
        <w:pStyle w:val="Testonotaapidipagina"/>
      </w:pPr>
      <w:r w:rsidRPr="007F7EBF">
        <w:rPr>
          <w:rStyle w:val="Rimandonotaapidipagina"/>
        </w:rPr>
        <w:footnoteRef/>
      </w:r>
      <w:r w:rsidRPr="007F7EBF">
        <w:t xml:space="preserve"> ) Che invece di confluire tra gli elementi positivi di reddito dell’anno potrebbero trovare contropartita contabile nel fondo in sospensione di imposta. Contabilmente si tratta di patrimonio netto, che però deve ancora concorrere alla formazione del</w:t>
      </w:r>
      <w:r>
        <w:t>l’imponibile, inversamente, si ripete, rispetto ai fondi tassati</w:t>
      </w:r>
      <w:r w:rsidRPr="007F7EBF">
        <w:t xml:space="preserve">. </w:t>
      </w:r>
    </w:p>
  </w:footnote>
  <w:footnote w:id="1149">
    <w:p w14:paraId="6F0A3605" w14:textId="325091D1" w:rsidR="003B7460" w:rsidRPr="007F7EBF" w:rsidRDefault="003B7460" w:rsidP="005E7971">
      <w:pPr>
        <w:pStyle w:val="Testonotaapidipagina"/>
      </w:pPr>
      <w:r w:rsidRPr="007F7EBF">
        <w:rPr>
          <w:rStyle w:val="Rimandonotaapidipagina"/>
        </w:rPr>
        <w:footnoteRef/>
      </w:r>
      <w:r w:rsidRPr="007F7EBF">
        <w:t xml:space="preserve"> ) </w:t>
      </w:r>
      <w:r>
        <w:rPr>
          <w:sz w:val="22"/>
          <w:szCs w:val="22"/>
        </w:rPr>
        <w:t>L</w:t>
      </w:r>
      <w:r w:rsidRPr="007F7EBF">
        <w:rPr>
          <w:sz w:val="22"/>
          <w:szCs w:val="22"/>
        </w:rPr>
        <w:t>a loro distribuzione per l'azienda è ormai irrilevante, e casomai dà luogo a elementi positivi di reddito per il socio che li riceve</w:t>
      </w:r>
      <w:r>
        <w:rPr>
          <w:sz w:val="22"/>
          <w:szCs w:val="22"/>
        </w:rPr>
        <w:t>.</w:t>
      </w:r>
      <w:r w:rsidRPr="007F7EBF">
        <w:t xml:space="preserve"> Per </w:t>
      </w:r>
      <w:r>
        <w:t>esso</w:t>
      </w:r>
      <w:r w:rsidRPr="007F7EBF">
        <w:t xml:space="preserve"> comportano un dividendo, soggett</w:t>
      </w:r>
      <w:r>
        <w:t>o</w:t>
      </w:r>
      <w:r w:rsidRPr="007F7EBF">
        <w:t xml:space="preserve"> al regime di cui al par.7.17 sul coordinamento impositivo “società-soci”. Se invece il capitale o la riserva sono usati per coprire perdite semplicemente svaniscono, </w:t>
      </w:r>
      <w:r>
        <w:t xml:space="preserve">si </w:t>
      </w:r>
      <w:r w:rsidRPr="007F7EBF">
        <w:t>cristallizzano le eventuali imposte in precedenza pagate (manca infatti il riporto indietro delle perdite, come indicato al par.9.1).</w:t>
      </w:r>
    </w:p>
  </w:footnote>
  <w:footnote w:id="1150">
    <w:p w14:paraId="287C2715" w14:textId="0EA0E7B1" w:rsidR="003B7460" w:rsidRDefault="003B7460" w:rsidP="00245B4D">
      <w:pPr>
        <w:pStyle w:val="Testonotaapidipagina"/>
      </w:pPr>
      <w:r>
        <w:rPr>
          <w:rStyle w:val="Rimandonotaapidipagina"/>
        </w:rPr>
        <w:footnoteRef/>
      </w:r>
      <w:r>
        <w:t xml:space="preserve"> ) Cioè avviene nelle apposite sezioni della dichiarazione dei redditi (</w:t>
      </w:r>
      <w:proofErr w:type="spellStart"/>
      <w:r>
        <w:t>c.d.”quadri</w:t>
      </w:r>
      <w:proofErr w:type="spellEnd"/>
      <w:r>
        <w:t xml:space="preserve">” di cui al par.3.4) dedicati alle imprese individuali e alle società di persone in contabilità semplificata </w:t>
      </w:r>
    </w:p>
  </w:footnote>
  <w:footnote w:id="1151">
    <w:p w14:paraId="41FAEEB8" w14:textId="1BB01D46" w:rsidR="003B7460" w:rsidRDefault="003B7460">
      <w:pPr>
        <w:pStyle w:val="Testonotaapidipagina"/>
      </w:pPr>
      <w:r>
        <w:rPr>
          <w:rStyle w:val="Rimandonotaapidipagina"/>
        </w:rPr>
        <w:footnoteRef/>
      </w:r>
      <w:r>
        <w:t xml:space="preserve"> Sul concetto generale di “quadri”, come prospetti della dichiarazione tributaria, par.3.4.</w:t>
      </w:r>
    </w:p>
  </w:footnote>
  <w:footnote w:id="1152">
    <w:p w14:paraId="601D26FC" w14:textId="52436EA9" w:rsidR="003B7460" w:rsidRDefault="003B7460">
      <w:pPr>
        <w:pStyle w:val="Testonotaapidipagina"/>
      </w:pPr>
      <w:r>
        <w:rPr>
          <w:rStyle w:val="Rimandonotaapidipagina"/>
        </w:rPr>
        <w:footnoteRef/>
      </w:r>
      <w:r>
        <w:t xml:space="preserve"> Anch’essa </w:t>
      </w:r>
      <w:proofErr w:type="spellStart"/>
      <w:r>
        <w:t>tributariamente</w:t>
      </w:r>
      <w:proofErr w:type="spellEnd"/>
      <w:r>
        <w:t xml:space="preserve"> rilevante, in quanto riportabile ad altri periodi d’imposta, come indicato al par.9.1 e 9.2. </w:t>
      </w:r>
    </w:p>
  </w:footnote>
  <w:footnote w:id="1153">
    <w:p w14:paraId="7EB4C8BF" w14:textId="4CD3C815" w:rsidR="003B7460" w:rsidRPr="007F7EBF" w:rsidRDefault="003B7460" w:rsidP="00F10175">
      <w:pPr>
        <w:pStyle w:val="Testonotaapidipagina"/>
      </w:pPr>
      <w:r w:rsidRPr="007F7EBF">
        <w:rPr>
          <w:rStyle w:val="Rimandonotaapidipagina"/>
        </w:rPr>
        <w:footnoteRef/>
      </w:r>
      <w:r w:rsidRPr="007F7EBF">
        <w:t xml:space="preserve"> ) </w:t>
      </w:r>
      <w:r>
        <w:rPr>
          <w:sz w:val="22"/>
          <w:szCs w:val="22"/>
        </w:rPr>
        <w:t xml:space="preserve">Nella sua sezione destra (attivo) abbiamo </w:t>
      </w:r>
      <w:r w:rsidRPr="007F7EBF">
        <w:rPr>
          <w:sz w:val="22"/>
          <w:szCs w:val="22"/>
        </w:rPr>
        <w:t>denaro, crediti, impianti, merci, etc.</w:t>
      </w:r>
      <w:r>
        <w:rPr>
          <w:sz w:val="22"/>
          <w:szCs w:val="22"/>
        </w:rPr>
        <w:t>, mentre l</w:t>
      </w:r>
      <w:r w:rsidRPr="007F7EBF">
        <w:rPr>
          <w:sz w:val="22"/>
          <w:szCs w:val="22"/>
        </w:rPr>
        <w:t xml:space="preserve">a sezione destra contiene i debiti, i fondi </w:t>
      </w:r>
      <w:r w:rsidRPr="007F7EBF">
        <w:t>Cioè le poste rettificative dell’attivo, come ammortament</w:t>
      </w:r>
      <w:r>
        <w:t>i</w:t>
      </w:r>
      <w:r w:rsidRPr="007F7EBF">
        <w:t xml:space="preserve"> e accantonament</w:t>
      </w:r>
      <w:r>
        <w:t>i (</w:t>
      </w:r>
      <w:r w:rsidRPr="007F7EBF">
        <w:t>par.7.15</w:t>
      </w:r>
      <w:r>
        <w:t xml:space="preserve">). </w:t>
      </w:r>
    </w:p>
  </w:footnote>
  <w:footnote w:id="1154">
    <w:p w14:paraId="2381D3E5" w14:textId="734BFC2B" w:rsidR="003B7460" w:rsidRDefault="003B7460" w:rsidP="001A69C2">
      <w:pPr>
        <w:pStyle w:val="Testonotaapidipagina"/>
      </w:pPr>
      <w:r>
        <w:rPr>
          <w:rStyle w:val="Rimandonotaapidipagina"/>
        </w:rPr>
        <w:footnoteRef/>
      </w:r>
      <w:r>
        <w:t xml:space="preserve"> ) Questo è un altro indizio del radicamento del diritto dei privati nella società, come “ordinamento”, sia pure tendenziale, dei rapporti sociali (par.1.3), distinto dalle funzioni pubbliche, e in rapporto privilegiato con quella giurisdizionale (par.1,3) . </w:t>
      </w:r>
    </w:p>
  </w:footnote>
  <w:footnote w:id="1155">
    <w:p w14:paraId="30BEBDD0" w14:textId="74675F79" w:rsidR="003B7460" w:rsidRDefault="003B7460">
      <w:pPr>
        <w:pStyle w:val="Testonotaapidipagina"/>
      </w:pPr>
      <w:r>
        <w:rPr>
          <w:rStyle w:val="Rimandonotaapidipagina"/>
        </w:rPr>
        <w:footnoteRef/>
      </w:r>
      <w:r>
        <w:t xml:space="preserve"> )</w:t>
      </w:r>
      <w:r w:rsidRPr="002B7757">
        <w:t xml:space="preserve"> </w:t>
      </w:r>
      <w:r w:rsidRPr="007F7EBF">
        <w:t xml:space="preserve">Notevole può essere, </w:t>
      </w:r>
      <w:r>
        <w:t>ad esempio</w:t>
      </w:r>
      <w:r w:rsidRPr="007F7EBF">
        <w:t xml:space="preserve">, la </w:t>
      </w:r>
      <w:r>
        <w:t xml:space="preserve">rilevanza del bilancio </w:t>
      </w:r>
      <w:r w:rsidRPr="007F7EBF">
        <w:t>per gli affidamenti bancari.</w:t>
      </w:r>
    </w:p>
  </w:footnote>
  <w:footnote w:id="1156">
    <w:p w14:paraId="1FBEABCF" w14:textId="00B0FB0A" w:rsidR="003B7460" w:rsidRPr="007F7EBF" w:rsidRDefault="003B7460" w:rsidP="001A69C2">
      <w:pPr>
        <w:pStyle w:val="Testonotaapidipagina"/>
      </w:pPr>
      <w:r w:rsidRPr="007F7EBF">
        <w:rPr>
          <w:rStyle w:val="Rimandonotaapidipagina"/>
        </w:rPr>
        <w:footnoteRef/>
      </w:r>
      <w:r w:rsidRPr="007F7EBF">
        <w:t xml:space="preserve"> ) Il bilancio è oggetto di cautela amministrative solo nei casi di società soggette a vigilanza pubblica, in quanto quotate, bancarie, assicurative o beneficiarie di contributi pubblici, come nel caso dell’editoria, dell’agricoltura etc.. Negli altri casi la mancanza del bilancio rileva solo nelle liti tra i soci e coi creditori, impedendo di utilizzare istituti fallimentari vagamente premiali come il concordato preventivo o esponendo al reato di bancarotta.  Negli altri casi, un’omissione pluriennale del deposito del bilancio può teoricamente innescare una liquidazione d’ufficio della società, dipendente però dai tempi delle camere di commercio, e comunque sanabile con un tardivo deposito del bilancio. Si tratta quindi più di un “onere” per la limitazione della responsabilità che di un obbligo, oggetto di sanzioni afflittive. </w:t>
      </w:r>
      <w:r>
        <w:rPr>
          <w:sz w:val="22"/>
          <w:szCs w:val="22"/>
        </w:rPr>
        <w:t>Sulla falsità del bilancio vi sono sfumature ulteriori, su cui è meglio non addentrarsi in questa sede</w:t>
      </w:r>
      <w:r w:rsidRPr="007F7EBF">
        <w:rPr>
          <w:sz w:val="22"/>
          <w:szCs w:val="22"/>
        </w:rPr>
        <w:t>.</w:t>
      </w:r>
    </w:p>
  </w:footnote>
  <w:footnote w:id="1157">
    <w:p w14:paraId="225D486F" w14:textId="30AF57FF" w:rsidR="003B7460" w:rsidRDefault="003B7460">
      <w:pPr>
        <w:pStyle w:val="Testonotaapidipagina"/>
      </w:pPr>
      <w:r>
        <w:rPr>
          <w:rStyle w:val="Rimandonotaapidipagina"/>
        </w:rPr>
        <w:footnoteRef/>
      </w:r>
      <w:r>
        <w:t xml:space="preserve"> ) </w:t>
      </w:r>
      <w:r w:rsidRPr="00BE05F7">
        <w:rPr>
          <w:sz w:val="24"/>
          <w:szCs w:val="24"/>
        </w:rPr>
        <w:t>Per quest</w:t>
      </w:r>
      <w:r>
        <w:t xml:space="preserve">a elementare ragione algebrica, indicata al par.7.8, </w:t>
      </w:r>
      <w:r w:rsidRPr="00BE05F7">
        <w:rPr>
          <w:sz w:val="24"/>
          <w:szCs w:val="24"/>
        </w:rPr>
        <w:t>i bilanci quadrano alla lira, con un’uguaglianza costante tra “dare e avere”</w:t>
      </w:r>
      <w:r>
        <w:rPr>
          <w:sz w:val="24"/>
          <w:szCs w:val="24"/>
        </w:rPr>
        <w:t xml:space="preserve">. Resta ferma però </w:t>
      </w:r>
      <w:r w:rsidRPr="00BE05F7">
        <w:rPr>
          <w:sz w:val="24"/>
          <w:szCs w:val="24"/>
        </w:rPr>
        <w:t>la possibilità di registrazioni omesse, o la registrazione di operazioni fittizie (par.3.7);</w:t>
      </w:r>
      <w:r>
        <w:rPr>
          <w:sz w:val="24"/>
          <w:szCs w:val="24"/>
        </w:rPr>
        <w:t xml:space="preserve"> ricordiamo dal par.7.8 che oggi l</w:t>
      </w:r>
      <w:r w:rsidRPr="00BE05F7">
        <w:rPr>
          <w:sz w:val="24"/>
          <w:szCs w:val="24"/>
        </w:rPr>
        <w:t xml:space="preserve">a quadratura numerica è assicurata </w:t>
      </w:r>
      <w:r w:rsidRPr="00BE05F7">
        <w:rPr>
          <w:bCs/>
          <w:sz w:val="24"/>
          <w:szCs w:val="24"/>
        </w:rPr>
        <w:t>dai computers</w:t>
      </w:r>
      <w:r w:rsidRPr="00BE05F7">
        <w:rPr>
          <w:sz w:val="24"/>
          <w:szCs w:val="24"/>
        </w:rPr>
        <w:t xml:space="preserve">, ed il contabile </w:t>
      </w:r>
      <w:r>
        <w:rPr>
          <w:sz w:val="24"/>
          <w:szCs w:val="24"/>
        </w:rPr>
        <w:t>si</w:t>
      </w:r>
      <w:r w:rsidRPr="00BE05F7">
        <w:rPr>
          <w:sz w:val="24"/>
          <w:szCs w:val="24"/>
        </w:rPr>
        <w:t xml:space="preserve"> preoccupa soprattutto dell</w:t>
      </w:r>
      <w:r>
        <w:rPr>
          <w:sz w:val="24"/>
          <w:szCs w:val="24"/>
        </w:rPr>
        <w:t>’</w:t>
      </w:r>
      <w:r w:rsidRPr="00BE05F7">
        <w:rPr>
          <w:bCs/>
          <w:sz w:val="24"/>
          <w:szCs w:val="24"/>
        </w:rPr>
        <w:t>aggregazione e classificazione dei documenti</w:t>
      </w:r>
      <w:r w:rsidRPr="00BE05F7">
        <w:rPr>
          <w:sz w:val="24"/>
          <w:szCs w:val="24"/>
        </w:rPr>
        <w:t>, dei passaggi procedurali di controllo, che si ingigantiscono, e si irrigidiscono, con le dimensioni aziendali.</w:t>
      </w:r>
    </w:p>
  </w:footnote>
  <w:footnote w:id="1158">
    <w:p w14:paraId="7068BFCA" w14:textId="6D8D7888" w:rsidR="003B7460" w:rsidRPr="007F7EBF" w:rsidRDefault="003B7460" w:rsidP="00C92C6D">
      <w:pPr>
        <w:pStyle w:val="Testonotaapidipagina"/>
      </w:pPr>
      <w:r w:rsidRPr="007F7EBF">
        <w:rPr>
          <w:rStyle w:val="Rimandonotaapidipagina"/>
        </w:rPr>
        <w:footnoteRef/>
      </w:r>
      <w:r w:rsidRPr="007F7EBF">
        <w:t xml:space="preserve"> ) La mancanza di variazioni può derivare dalla totale inattività della società sottostante, nel qual caso ricavi, utile civile e fiscale saranno tutti pari a zero o negativi, per le spese di amministrazione (perdita civile uguale a perdita fiscale, senza variazioni). </w:t>
      </w:r>
    </w:p>
  </w:footnote>
  <w:footnote w:id="1159">
    <w:p w14:paraId="721A8D1C" w14:textId="77777777" w:rsidR="003B7460" w:rsidRPr="007F7EBF" w:rsidRDefault="003B7460" w:rsidP="00A217E8">
      <w:pPr>
        <w:pStyle w:val="Testonotaapidipagina"/>
      </w:pPr>
      <w:r w:rsidRPr="007F7EBF">
        <w:rPr>
          <w:rStyle w:val="Rimandonotaapidipagina"/>
        </w:rPr>
        <w:footnoteRef/>
      </w:r>
      <w:r w:rsidRPr="007F7EBF">
        <w:t xml:space="preserve"> )Ad esempio Banca d’Italia o Isvap per le assicurazioni.</w:t>
      </w:r>
    </w:p>
  </w:footnote>
  <w:footnote w:id="1160">
    <w:p w14:paraId="3B980A47" w14:textId="6B764C8A" w:rsidR="003B7460" w:rsidRPr="007F7EBF" w:rsidRDefault="003B7460" w:rsidP="003D327D">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Vedremo ai paragrafi successivi che i</w:t>
      </w:r>
      <w:r w:rsidRPr="007F7EBF">
        <w:rPr>
          <w:sz w:val="20"/>
          <w:szCs w:val="20"/>
        </w:rPr>
        <w:t xml:space="preserve"> criteri valutativi fiscali prevedono </w:t>
      </w:r>
      <w:r w:rsidRPr="007F7EBF">
        <w:rPr>
          <w:bCs/>
          <w:sz w:val="20"/>
          <w:szCs w:val="20"/>
        </w:rPr>
        <w:t xml:space="preserve">margini di valutazione minimi e massimi </w:t>
      </w:r>
      <w:r w:rsidRPr="007F7EBF">
        <w:rPr>
          <w:sz w:val="20"/>
          <w:szCs w:val="20"/>
        </w:rPr>
        <w:t>al cui interno il contribuente può regolarsi come crede, ma non può superare</w:t>
      </w:r>
      <w:r>
        <w:rPr>
          <w:sz w:val="20"/>
          <w:szCs w:val="20"/>
        </w:rPr>
        <w:t xml:space="preserve">. Solo società </w:t>
      </w:r>
      <w:r w:rsidRPr="007F7EBF">
        <w:rPr>
          <w:sz w:val="20"/>
          <w:szCs w:val="20"/>
        </w:rPr>
        <w:t>quotate in borsa, banche, assicurazioni o altre entità fiscalmente affidabili (par.3.1 ss.) preferiscono rinunciare a una convenienza tributaria piuttosto che peggiorare la loro immagine di bilancio</w:t>
      </w:r>
      <w:r>
        <w:rPr>
          <w:sz w:val="20"/>
          <w:szCs w:val="20"/>
        </w:rPr>
        <w:t>; in questi settori spesso il risultato di bilancio è stato forzato “in aumento”, anche p</w:t>
      </w:r>
      <w:r w:rsidRPr="007F7EBF">
        <w:rPr>
          <w:sz w:val="20"/>
          <w:szCs w:val="20"/>
        </w:rPr>
        <w:t>agando imposte non dovute.</w:t>
      </w:r>
    </w:p>
  </w:footnote>
  <w:footnote w:id="1161">
    <w:p w14:paraId="335F4256" w14:textId="1F87912E" w:rsidR="003B7460" w:rsidRPr="007F7EBF" w:rsidRDefault="003B7460" w:rsidP="00640805">
      <w:pPr>
        <w:pStyle w:val="Testonotaapidipagina"/>
      </w:pPr>
      <w:r w:rsidRPr="007F7EBF">
        <w:rPr>
          <w:rStyle w:val="Rimandonotaapidipagina"/>
        </w:rPr>
        <w:footnoteRef/>
      </w:r>
      <w:r w:rsidRPr="007F7EBF">
        <w:t xml:space="preserve"> </w:t>
      </w:r>
      <w:r>
        <w:t xml:space="preserve">) Dove non ci sono imponibili occultati, come indicato al par.3.7, anche se per </w:t>
      </w:r>
      <w:r w:rsidRPr="007F7EBF">
        <w:t>decenni</w:t>
      </w:r>
      <w:r>
        <w:t xml:space="preserve"> si è giocato, spesso inconsapevolmente, sull’equivoco tra bilanci falsi perché artefatti con inserimento di costi fittizi o omissione di ricavi, e bilanci con discutibili valutazioni di fine esercizio. Anzi, il sospetto di falsità, difficili da trovare, induceva ad utilizzare come soluzione di ripiego proprio le contestazioni sulle valutazioni. Queste ultime erano </w:t>
      </w:r>
      <w:r w:rsidRPr="007F7EBF">
        <w:t xml:space="preserve">rendicontabili, come </w:t>
      </w:r>
      <w:r w:rsidRPr="006E6559">
        <w:rPr>
          <w:i/>
        </w:rPr>
        <w:t>risultato di servizio</w:t>
      </w:r>
      <w:r w:rsidRPr="007F7EBF">
        <w:t xml:space="preserve">, </w:t>
      </w:r>
      <w:r>
        <w:t>persino quando</w:t>
      </w:r>
      <w:r w:rsidRPr="007F7EBF">
        <w:t xml:space="preserve"> il contribuente aveva anticipato i ricavi o posticipato i costi rispetto ai periodi di imposta considerati corretti dall'ufficio tributario</w:t>
      </w:r>
      <w:r>
        <w:t>. Questo surreale “accertamento di imposte già pagate” riflette lo psicodramma e il formalismo indotti dalla mancata spiegazione della funzione tributaria (parr.1.3, 4.3, 5.3, 5.17 ss.)</w:t>
      </w:r>
      <w:r w:rsidRPr="007F7EBF">
        <w:t>.</w:t>
      </w:r>
    </w:p>
  </w:footnote>
  <w:footnote w:id="1162">
    <w:p w14:paraId="6880A33A" w14:textId="77777777" w:rsidR="003B7460" w:rsidRPr="007F7EBF" w:rsidRDefault="003B7460" w:rsidP="00640805">
      <w:pPr>
        <w:pStyle w:val="Testonotaapidipagina"/>
      </w:pPr>
      <w:r w:rsidRPr="007F7EBF">
        <w:rPr>
          <w:rStyle w:val="Rimandonotaapidipagina"/>
        </w:rPr>
        <w:footnoteRef/>
      </w:r>
      <w:r w:rsidRPr="007F7EBF">
        <w:t xml:space="preserve"> </w:t>
      </w:r>
      <w:r>
        <w:t xml:space="preserve">) </w:t>
      </w:r>
      <w:r w:rsidRPr="007F7EBF">
        <w:t>Le valutazioni di bilancio riguardano infatti la tempistica sull'imputazione a periodo di ricchezza che emergerà comunque (</w:t>
      </w:r>
      <w:proofErr w:type="spellStart"/>
      <w:r w:rsidRPr="007F7EBF">
        <w:rPr>
          <w:i/>
        </w:rPr>
        <w:t>certus</w:t>
      </w:r>
      <w:proofErr w:type="spellEnd"/>
      <w:r w:rsidRPr="007F7EBF">
        <w:rPr>
          <w:i/>
        </w:rPr>
        <w:t xml:space="preserve"> an </w:t>
      </w:r>
      <w:proofErr w:type="spellStart"/>
      <w:r w:rsidRPr="007F7EBF">
        <w:rPr>
          <w:i/>
        </w:rPr>
        <w:t>incertus</w:t>
      </w:r>
      <w:proofErr w:type="spellEnd"/>
      <w:r w:rsidRPr="007F7EBF">
        <w:rPr>
          <w:i/>
        </w:rPr>
        <w:t xml:space="preserve"> quando).</w:t>
      </w:r>
    </w:p>
  </w:footnote>
  <w:footnote w:id="1163">
    <w:p w14:paraId="7EB087B3" w14:textId="77777777" w:rsidR="003B7460" w:rsidRPr="007F7EBF" w:rsidRDefault="003B7460" w:rsidP="007C7415">
      <w:pPr>
        <w:pStyle w:val="Testonotaapidipagina"/>
      </w:pPr>
      <w:r w:rsidRPr="007F7EBF">
        <w:rPr>
          <w:rStyle w:val="Rimandonotaapidipagina"/>
        </w:rPr>
        <w:footnoteRef/>
      </w:r>
      <w:r w:rsidRPr="007F7EBF">
        <w:t xml:space="preserve"> ) La fonte normativa è l’art.83 del TUIR dopo le modifiche di cui  al D.L.244 del 2016. </w:t>
      </w:r>
    </w:p>
  </w:footnote>
  <w:footnote w:id="1164">
    <w:p w14:paraId="794DB695" w14:textId="11830BDC" w:rsidR="003B7460" w:rsidRPr="001C3AF5" w:rsidRDefault="003B7460">
      <w:pPr>
        <w:pStyle w:val="Testonotaapidipagina"/>
      </w:pPr>
      <w:r>
        <w:rPr>
          <w:rStyle w:val="Rimandonotaapidipagina"/>
        </w:rPr>
        <w:footnoteRef/>
      </w:r>
      <w:r>
        <w:t xml:space="preserve"> E’ un’idea di azienda ispirata al dirigente che misura le proprie prestazioni in un’ottica di breve periodo, magari determinata in base ai valori delle </w:t>
      </w:r>
      <w:r>
        <w:rPr>
          <w:i/>
          <w:iCs/>
        </w:rPr>
        <w:t>stock options</w:t>
      </w:r>
      <w:r>
        <w:t xml:space="preserve">; è un capitalismo finanziario-speculativo, in antitesi rispetto all’istituzionalizzazione dell’azienda dell’economia sociale di mercato, del capitalismo renano-giapponese, e oggi in buona misura anche cinese. E’ una visione dell’azienda che non dipende dai contabili, meri tecnici, ma riflette un’intelligenza collettiva impegnata di liberismo trionfante e superficiale, che ha un’idea semplicistica dell’azienda e della società. Quest’idea è stata </w:t>
      </w:r>
      <w:r>
        <w:rPr>
          <w:i/>
          <w:iCs/>
        </w:rPr>
        <w:t xml:space="preserve">respirata </w:t>
      </w:r>
      <w:r>
        <w:t>acriticamente dai contabili, dai quali, ad onta della definizione di r</w:t>
      </w:r>
      <w:r>
        <w:rPr>
          <w:i/>
          <w:iCs/>
        </w:rPr>
        <w:t xml:space="preserve">agionieri, </w:t>
      </w:r>
      <w:r>
        <w:t xml:space="preserve">non c’è da aspettarsi un ragionamento. </w:t>
      </w:r>
    </w:p>
  </w:footnote>
  <w:footnote w:id="1165">
    <w:p w14:paraId="0FCF9758" w14:textId="2002E6C3" w:rsidR="003B7460" w:rsidRPr="007F7EBF" w:rsidRDefault="003B7460" w:rsidP="00E732CC">
      <w:pPr>
        <w:autoSpaceDE w:val="0"/>
        <w:autoSpaceDN w:val="0"/>
        <w:adjustRightInd w:val="0"/>
        <w:rPr>
          <w:sz w:val="20"/>
          <w:szCs w:val="20"/>
        </w:rPr>
      </w:pPr>
      <w:r w:rsidRPr="007F7EBF">
        <w:rPr>
          <w:rStyle w:val="Rimandonotaapidipagina"/>
          <w:sz w:val="20"/>
          <w:szCs w:val="20"/>
        </w:rPr>
        <w:footnoteRef/>
      </w:r>
      <w:r>
        <w:rPr>
          <w:sz w:val="20"/>
          <w:szCs w:val="20"/>
        </w:rPr>
        <w:t xml:space="preserve">) </w:t>
      </w:r>
      <w:r w:rsidRPr="007F7EBF">
        <w:rPr>
          <w:sz w:val="20"/>
          <w:szCs w:val="20"/>
        </w:rPr>
        <w:t xml:space="preserve">Fu vigente per decenni un anacronistico divieto di dedurre fiscalmente elementi negativi di reddito, anche da valutazione, attraverso "variazioni in diminuzione". Ne derivava il c.d.  </w:t>
      </w:r>
      <w:r w:rsidRPr="007F7EBF">
        <w:rPr>
          <w:i/>
          <w:sz w:val="20"/>
          <w:szCs w:val="20"/>
        </w:rPr>
        <w:t>inquinamento</w:t>
      </w:r>
      <w:r w:rsidRPr="007F7EBF">
        <w:rPr>
          <w:sz w:val="20"/>
          <w:szCs w:val="20"/>
        </w:rPr>
        <w:t xml:space="preserve"> tributario del bilancio, indifferente per  le aziende del capitalismo familiare , ma che  costringeva le grandi strutture amministrative, quotate in borsa, a scegliere tra la convenienza fiscale e una corretta esposizione in bilancio degli elementi valutativi. Fu un ulteriore inutile stress, a danno delle aziende come organizzazioni incomprese dalla formazione sociale diffusa (parr.</w:t>
      </w:r>
      <w:r>
        <w:t>4.1</w:t>
      </w:r>
      <w:r w:rsidRPr="007F7EBF">
        <w:rPr>
          <w:sz w:val="20"/>
          <w:szCs w:val="20"/>
        </w:rPr>
        <w:t xml:space="preserve"> e 5.19).</w:t>
      </w:r>
    </w:p>
  </w:footnote>
  <w:footnote w:id="1166">
    <w:p w14:paraId="29EDC6D7" w14:textId="77777777" w:rsidR="003B7460" w:rsidRPr="007F7EBF" w:rsidRDefault="003B7460" w:rsidP="00E732CC">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Si tratta del meccanismo indicato al par.7.11 che consente la correzione di errori sull'imputazione a periodo con dichiarazioni rettificative "autoliquidate" (par.3.4), per redistribuire correttamente nel tempo gli elementi reddituali cui si riferiva la rettifica.</w:t>
      </w:r>
    </w:p>
  </w:footnote>
  <w:footnote w:id="1167">
    <w:p w14:paraId="74609D03" w14:textId="77777777" w:rsidR="003B7460" w:rsidRPr="007F7EBF" w:rsidRDefault="003B7460">
      <w:pPr>
        <w:pStyle w:val="Testonotaapidipagina"/>
      </w:pPr>
      <w:r w:rsidRPr="007F7EBF">
        <w:rPr>
          <w:rStyle w:val="Rimandonotaapidipagina"/>
        </w:rPr>
        <w:footnoteRef/>
      </w:r>
      <w:r w:rsidRPr="007F7EBF">
        <w:t xml:space="preserve"> ) Che comporta cioè la distribuzione nel tempo, tra i periodi di imposta, con le simmetrie di cui al par.3.12, di acquisti o di vendite puntuali con terzi. </w:t>
      </w:r>
    </w:p>
  </w:footnote>
  <w:footnote w:id="1168">
    <w:p w14:paraId="39746045" w14:textId="77777777" w:rsidR="003B7460" w:rsidRPr="007F7EBF" w:rsidRDefault="003B7460">
      <w:pPr>
        <w:pStyle w:val="Testonotaapidipagina"/>
      </w:pPr>
      <w:r w:rsidRPr="007F7EBF">
        <w:rPr>
          <w:rStyle w:val="Rimandonotaapidipagina"/>
        </w:rPr>
        <w:footnoteRef/>
      </w:r>
      <w:r w:rsidRPr="007F7EBF">
        <w:t xml:space="preserve"> ) Come anticipato alla fine del par.7.2, invece, l’IVA sui beni ammortizzabili è immediatamente detratta, in quanto la distribuzione per periodi d’imposta dell’uso del bene è estranea al concetto di imposta sui consumi. </w:t>
      </w:r>
    </w:p>
  </w:footnote>
  <w:footnote w:id="1169">
    <w:p w14:paraId="0A26AF87" w14:textId="4BD68FF3" w:rsidR="003B7460" w:rsidRPr="007F7EBF" w:rsidRDefault="003B7460" w:rsidP="00543170">
      <w:pPr>
        <w:autoSpaceDE w:val="0"/>
        <w:autoSpaceDN w:val="0"/>
        <w:adjustRightInd w:val="0"/>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Bisognerebbe approfondire il coordinamento tra principi contabili e regole fiscali, che prevedono la gestione </w:t>
      </w:r>
      <w:r w:rsidRPr="007F7EBF">
        <w:rPr>
          <w:bCs/>
          <w:sz w:val="20"/>
          <w:szCs w:val="20"/>
        </w:rPr>
        <w:t xml:space="preserve">cespite per cespite </w:t>
      </w:r>
      <w:r w:rsidRPr="007F7EBF">
        <w:rPr>
          <w:sz w:val="20"/>
          <w:szCs w:val="20"/>
        </w:rPr>
        <w:t xml:space="preserve">per gli immobili o i mobili iscritti in pubblici registri, raggruppando gli altri beni per </w:t>
      </w:r>
      <w:r w:rsidRPr="007F7EBF">
        <w:rPr>
          <w:bCs/>
          <w:sz w:val="20"/>
          <w:szCs w:val="20"/>
        </w:rPr>
        <w:t xml:space="preserve">categorie omogenee </w:t>
      </w:r>
      <w:r w:rsidRPr="007F7EBF">
        <w:rPr>
          <w:sz w:val="20"/>
          <w:szCs w:val="20"/>
        </w:rPr>
        <w:t>in base all’anno di acquisizione e all’aliquota applicabile.</w:t>
      </w:r>
    </w:p>
  </w:footnote>
  <w:footnote w:id="1170">
    <w:p w14:paraId="09287F20" w14:textId="024D16B8" w:rsidR="003B7460" w:rsidRPr="007F7EBF" w:rsidRDefault="003B7460" w:rsidP="00C33A80">
      <w:pPr>
        <w:pStyle w:val="Testonotaapidipagina"/>
      </w:pPr>
      <w:r w:rsidRPr="007F7EBF">
        <w:rPr>
          <w:rStyle w:val="Rimandonotaapidipagina"/>
        </w:rPr>
        <w:footnoteRef/>
      </w:r>
      <w:r w:rsidRPr="007F7EBF">
        <w:t xml:space="preserve"> </w:t>
      </w:r>
      <w:r>
        <w:t xml:space="preserve">) </w:t>
      </w:r>
      <w:r w:rsidRPr="007F7EBF">
        <w:t xml:space="preserve">Eventuali quote di ammortamento eccedenti quelle indicate nel testo sono da recuperare a tassazione secondo la già indicata tecnica delle variazioni in aumento; ad esse corrisponde poi una variazione in diminuzione quando, col passare degli anni, si maturano le condizioni temporali per la deduzione. Inversamente, il minor </w:t>
      </w:r>
      <w:r w:rsidRPr="007F7EBF">
        <w:rPr>
          <w:bCs/>
        </w:rPr>
        <w:t xml:space="preserve">ammortamento </w:t>
      </w:r>
      <w:r w:rsidRPr="007F7EBF">
        <w:t>derivante dall’adozione di un’aliquota inferiore può essere recuperato, conformemente al principio di continuità dei valori fiscali, alla fine del periodo di ammortamento corrispondente alle aliquote ordinarie.</w:t>
      </w:r>
    </w:p>
  </w:footnote>
  <w:footnote w:id="1171">
    <w:p w14:paraId="71A1A120" w14:textId="662EB752" w:rsidR="003B7460" w:rsidRPr="007F7EBF" w:rsidRDefault="003B7460">
      <w:pPr>
        <w:pStyle w:val="Testonotaapidipagina"/>
      </w:pPr>
      <w:r w:rsidRPr="007F7EBF">
        <w:rPr>
          <w:rStyle w:val="Rimandonotaapidipagina"/>
        </w:rPr>
        <w:footnoteRef/>
      </w:r>
      <w:r w:rsidRPr="007F7EBF">
        <w:t xml:space="preserve"> </w:t>
      </w:r>
      <w:r>
        <w:t xml:space="preserve">Sono </w:t>
      </w:r>
      <w:r w:rsidRPr="007F7EBF">
        <w:t>cost</w:t>
      </w:r>
      <w:r>
        <w:t>i</w:t>
      </w:r>
      <w:r w:rsidRPr="007F7EBF">
        <w:t xml:space="preserve"> pluriennal</w:t>
      </w:r>
      <w:r>
        <w:t>i</w:t>
      </w:r>
      <w:r w:rsidRPr="007F7EBF">
        <w:t xml:space="preserve"> l'avviamento (par.7.13) ed anche le spese di pubblicità, di ricerca e sviluppo, di formazione del personale</w:t>
      </w:r>
      <w:r>
        <w:t xml:space="preserve">, </w:t>
      </w:r>
      <w:r w:rsidRPr="007F7EBF">
        <w:t>che è consentito “suddividere” , deducendole nell’arco di una pluralità di esercizi.</w:t>
      </w:r>
    </w:p>
  </w:footnote>
  <w:footnote w:id="1172">
    <w:p w14:paraId="60AF32CC" w14:textId="0848A369" w:rsidR="003B7460" w:rsidRPr="007F7EBF" w:rsidRDefault="003B7460">
      <w:pPr>
        <w:pStyle w:val="Testonotaapidipagina"/>
      </w:pPr>
      <w:r w:rsidRPr="007F7EBF">
        <w:rPr>
          <w:rStyle w:val="Rimandonotaapidipagina"/>
        </w:rPr>
        <w:footnoteRef/>
      </w:r>
      <w:r w:rsidRPr="007F7EBF">
        <w:t xml:space="preserve"> ) C.d. “</w:t>
      </w:r>
      <w:r w:rsidRPr="00D93644">
        <w:rPr>
          <w:i/>
        </w:rPr>
        <w:t>manutenzione straordinaria</w:t>
      </w:r>
      <w:r w:rsidRPr="007F7EBF">
        <w:t>”</w:t>
      </w:r>
      <w:r>
        <w:t xml:space="preserve">, che incrementa il valore dei beni cui si riferisce. </w:t>
      </w:r>
    </w:p>
  </w:footnote>
  <w:footnote w:id="1173">
    <w:p w14:paraId="3C3CA4C9" w14:textId="6A8B9C5B" w:rsidR="003B7460" w:rsidRPr="007F7EBF" w:rsidRDefault="003B7460">
      <w:pPr>
        <w:pStyle w:val="Testonotaapidipagina"/>
      </w:pPr>
      <w:r w:rsidRPr="007F7EBF">
        <w:rPr>
          <w:rStyle w:val="Rimandonotaapidipagina"/>
        </w:rPr>
        <w:footnoteRef/>
      </w:r>
      <w:r w:rsidRPr="007F7EBF">
        <w:t xml:space="preserve"> </w:t>
      </w:r>
      <w:r>
        <w:t xml:space="preserve">) </w:t>
      </w:r>
      <w:r w:rsidRPr="007F7EBF">
        <w:t>Passa quindi in seconda linea, restando vigente solo per le microimprese, il  criterio fiscale forfettario secondo cui la deduzione immediata è ammessa sino a una percentuale del costo complessivo dei beni ammortizzabili, con l'eccedenza deducibile in 5 anni.</w:t>
      </w:r>
    </w:p>
  </w:footnote>
  <w:footnote w:id="1174">
    <w:p w14:paraId="7D8A8357" w14:textId="77777777" w:rsidR="003B7460" w:rsidRPr="007F7EBF" w:rsidRDefault="003B7460">
      <w:pPr>
        <w:pStyle w:val="Testonotaapidipagina"/>
      </w:pPr>
      <w:r w:rsidRPr="007F7EBF">
        <w:rPr>
          <w:rStyle w:val="Rimandonotaapidipagina"/>
        </w:rPr>
        <w:footnoteRef/>
      </w:r>
      <w:r w:rsidRPr="007F7EBF">
        <w:t xml:space="preserve"> ) Che costituisce come noto un debito aziendale verso il dipendente, anche se non esigibile. </w:t>
      </w:r>
    </w:p>
  </w:footnote>
  <w:footnote w:id="1175">
    <w:p w14:paraId="45DD9605" w14:textId="77777777" w:rsidR="003B7460" w:rsidRPr="007F7EBF" w:rsidRDefault="003B7460" w:rsidP="00287F45">
      <w:pPr>
        <w:pStyle w:val="Testonotaapidipagina"/>
      </w:pPr>
      <w:r w:rsidRPr="007F7EBF">
        <w:rPr>
          <w:rStyle w:val="Rimandonotaapidipagina"/>
        </w:rPr>
        <w:footnoteRef/>
      </w:r>
      <w:r w:rsidRPr="007F7EBF">
        <w:t xml:space="preserve"> ) Quello che in gergo contabile viene chiamato “accantonamento per fatture da ricevere” non  è un accantonamento, ma un costo già sostenuto e quantificato, per il quale il fornitore deve ancora inviare la fattura. Ricordiamo infatti che la gestione amministrativo-contabile dell’azienda segue tendenzialmente i documenti redatti o spediti dalle controparti (par.3.2), non il momento di effettuazione delle operazioni (par.7.11), rilevante una tantum, solo per il bilancio. </w:t>
      </w:r>
    </w:p>
  </w:footnote>
  <w:footnote w:id="1176">
    <w:p w14:paraId="60D10991" w14:textId="77777777" w:rsidR="003B7460" w:rsidRPr="007F7EBF" w:rsidRDefault="003B7460" w:rsidP="00DE4918">
      <w:pPr>
        <w:pStyle w:val="Testonotaapidipagina"/>
      </w:pPr>
      <w:r w:rsidRPr="007F7EBF">
        <w:rPr>
          <w:rStyle w:val="Rimandonotaapidipagina"/>
        </w:rPr>
        <w:footnoteRef/>
      </w:r>
      <w:r w:rsidRPr="007F7EBF">
        <w:t xml:space="preserve"> Cioè con continui "carichi" di magazzino per acquisti e "scarichi" per vendite.  Ciò induce ad esprimere il valore fiscalmente riconosciuto (par.7.13) di questa parte del patrimonio aziendale nei modi indicati nel testo. </w:t>
      </w:r>
    </w:p>
  </w:footnote>
  <w:footnote w:id="1177">
    <w:p w14:paraId="4E68F204" w14:textId="2BFF031C" w:rsidR="003B7460" w:rsidRPr="007F7EBF" w:rsidRDefault="003B7460">
      <w:pPr>
        <w:pStyle w:val="Testonotaapidipagina"/>
      </w:pPr>
      <w:r w:rsidRPr="007F7EBF">
        <w:rPr>
          <w:rStyle w:val="Rimandonotaapidipagina"/>
        </w:rPr>
        <w:footnoteRef/>
      </w:r>
      <w:r w:rsidRPr="007F7EBF">
        <w:t xml:space="preserve"> </w:t>
      </w:r>
      <w:r>
        <w:t>) Il criterio contabile “a costi ricavi e rimanenze” comporta la registrazione solo del costo all’acquisto, trascurando</w:t>
      </w:r>
      <w:r w:rsidRPr="007F7EBF">
        <w:t xml:space="preserve"> l’incremento patrimoniale</w:t>
      </w:r>
      <w:r>
        <w:t xml:space="preserve">; inversamente, </w:t>
      </w:r>
      <w:r w:rsidRPr="007F7EBF">
        <w:t xml:space="preserve">quando </w:t>
      </w:r>
      <w:r>
        <w:t>tali beni sono</w:t>
      </w:r>
      <w:r w:rsidRPr="007F7EBF">
        <w:t xml:space="preserve"> venduti</w:t>
      </w:r>
      <w:r>
        <w:t xml:space="preserve">, </w:t>
      </w:r>
      <w:r w:rsidRPr="007F7EBF">
        <w:t>s</w:t>
      </w:r>
      <w:r>
        <w:t>i registra s</w:t>
      </w:r>
      <w:r w:rsidRPr="007F7EBF">
        <w:t xml:space="preserve">olo il ricavo, </w:t>
      </w:r>
      <w:r>
        <w:t>trascurando</w:t>
      </w:r>
      <w:r w:rsidRPr="007F7EBF">
        <w:t xml:space="preserve"> il decremento patrimoniale. L’assestamento patrimoniale, nella contabilità generale, </w:t>
      </w:r>
      <w:r>
        <w:t xml:space="preserve">avviene con </w:t>
      </w:r>
      <w:r w:rsidRPr="007F7EBF">
        <w:t xml:space="preserve">la redazione del bilancio, valorizzando le rimanenze. </w:t>
      </w:r>
    </w:p>
  </w:footnote>
  <w:footnote w:id="1178">
    <w:p w14:paraId="2B196456" w14:textId="71270A95" w:rsidR="003B7460" w:rsidRPr="007F7EBF" w:rsidRDefault="003B7460">
      <w:pPr>
        <w:pStyle w:val="Testonotaapidipagina"/>
      </w:pPr>
      <w:r w:rsidRPr="007F7EBF">
        <w:rPr>
          <w:rStyle w:val="Rimandonotaapidipagina"/>
        </w:rPr>
        <w:footnoteRef/>
      </w:r>
      <w:r>
        <w:t>)</w:t>
      </w:r>
      <w:r w:rsidRPr="007F7EBF">
        <w:t xml:space="preserve"> La mancata registrazione nella contabilità generale, in corso d’anno, dei beni di magazzino non deriva dalla loro irrilevanza, ma dalla loro importanza, e dalla frequenza delle relative movimentazioni.  </w:t>
      </w:r>
    </w:p>
  </w:footnote>
  <w:footnote w:id="1179">
    <w:p w14:paraId="082B0BC4" w14:textId="7EBEB86F" w:rsidR="003B7460" w:rsidRPr="007F7EBF" w:rsidRDefault="003B7460">
      <w:pPr>
        <w:pStyle w:val="Testonotaapidipagina"/>
      </w:pPr>
      <w:r w:rsidRPr="007F7EBF">
        <w:rPr>
          <w:rStyle w:val="Rimandonotaapidipagina"/>
        </w:rPr>
        <w:footnoteRef/>
      </w:r>
      <w:r w:rsidRPr="007F7EBF">
        <w:t xml:space="preserve"> ) I limiti sono molto elevati in quanto l’obbligo scatta oltre 5,16 milioni di euro di fatturato e 1 milione di euro di rimanenze (convertendo i precedenti limiti in miliardi di lire, previsti dal DPR 695/1996). Anche al di sotto dei suddetti limiti le rimanenze di magazzino sono rilevanti per la determinazione del reddito, e devono essere indicate  a fine anno in quantità e valore, secondo un supporto esplicativo delle cifre utilizzate per la determinazione del reddito. Una frequente tendenza , soprattutto di chi è titolare di piccole organizzazioni, </w:t>
      </w:r>
      <w:r>
        <w:t xml:space="preserve">è </w:t>
      </w:r>
      <w:r w:rsidRPr="007F7EBF">
        <w:t xml:space="preserve"> acquista</w:t>
      </w:r>
      <w:r>
        <w:t>re “</w:t>
      </w:r>
      <w:r w:rsidRPr="007F7EBF">
        <w:t>in bianco</w:t>
      </w:r>
      <w:r>
        <w:t>”</w:t>
      </w:r>
      <w:r w:rsidRPr="007F7EBF">
        <w:t xml:space="preserve"> e vend</w:t>
      </w:r>
      <w:r>
        <w:t>ere</w:t>
      </w:r>
      <w:r w:rsidRPr="007F7EBF">
        <w:t xml:space="preserve"> “</w:t>
      </w:r>
      <w:r>
        <w:t>i</w:t>
      </w:r>
      <w:r w:rsidRPr="007F7EBF">
        <w:t>n nero”</w:t>
      </w:r>
      <w:r>
        <w:t xml:space="preserve">, facendo poi </w:t>
      </w:r>
      <w:r w:rsidRPr="007F7EBF">
        <w:t xml:space="preserve">apparire come rimanenze finali materie prime in realtà utilizzate per produrre “ricavi non registrati”. </w:t>
      </w:r>
    </w:p>
  </w:footnote>
  <w:footnote w:id="1180">
    <w:p w14:paraId="766F0D7B" w14:textId="48A01A10" w:rsidR="003B7460" w:rsidRPr="007F7EBF" w:rsidRDefault="003B7460">
      <w:pPr>
        <w:pStyle w:val="Testonotaapidipagina"/>
      </w:pPr>
      <w:r w:rsidRPr="007F7EBF">
        <w:rPr>
          <w:rStyle w:val="Rimandonotaapidipagina"/>
        </w:rPr>
        <w:footnoteRef/>
      </w:r>
      <w:r w:rsidRPr="007F7EBF">
        <w:t xml:space="preserve"> ) Cioè carichi o scarichi a magazzino non registrati per dimenticanza</w:t>
      </w:r>
      <w:r>
        <w:t xml:space="preserve">, e quindi merci in più rispetto a quelle risultanti dalla contabilità di magazzino. </w:t>
      </w:r>
      <w:r w:rsidRPr="007F7EBF">
        <w:t>.</w:t>
      </w:r>
    </w:p>
  </w:footnote>
  <w:footnote w:id="1181">
    <w:p w14:paraId="1D651921" w14:textId="180F456D" w:rsidR="003B7460" w:rsidRPr="007F7EBF" w:rsidRDefault="003B7460">
      <w:pPr>
        <w:pStyle w:val="Testonotaapidipagina"/>
      </w:pPr>
      <w:r w:rsidRPr="007F7EBF">
        <w:rPr>
          <w:rStyle w:val="Rimandonotaapidipagina"/>
        </w:rPr>
        <w:footnoteRef/>
      </w:r>
      <w:r w:rsidRPr="007F7EBF">
        <w:t xml:space="preserve"> ) Un inventario fisico fatto il 15 dicembre, per valorizzare poi le merci a fine anno, può essere inesatto solo per errori nei carichi e negli scarichi di magazzino registrati nei pochi giorni che mancano alla fine del periodo di imposta.  </w:t>
      </w:r>
    </w:p>
  </w:footnote>
  <w:footnote w:id="1182">
    <w:p w14:paraId="4A81BAC3" w14:textId="23553B44" w:rsidR="003B7460" w:rsidRPr="007F7EBF" w:rsidRDefault="003B7460">
      <w:pPr>
        <w:pStyle w:val="Testonotaapidipagina"/>
      </w:pPr>
      <w:r w:rsidRPr="007F7EBF">
        <w:rPr>
          <w:rStyle w:val="Rimandonotaapidipagina"/>
        </w:rPr>
        <w:footnoteRef/>
      </w:r>
      <w:r>
        <w:t>)</w:t>
      </w:r>
      <w:r w:rsidRPr="007F7EBF">
        <w:t xml:space="preserve"> L'imprecisione sarebbe irrilevante per piccoli commercianti o artigiani, dove il calcolo delle rimanenze è spesso secondario, e finalizzato soprattutto a verificare la credibilità dei ricavi registrati. Col crescere delle dimensioni aziendali, e quindi delle rimanenze, la loro valutazione corretta diventa importante ai fini dell’utile di esercizio e dell’imponibile fiscale. </w:t>
      </w:r>
    </w:p>
  </w:footnote>
  <w:footnote w:id="1183">
    <w:p w14:paraId="6DE6B862" w14:textId="0BE18A99" w:rsidR="003B7460" w:rsidRPr="007F7EBF" w:rsidRDefault="003B7460">
      <w:pPr>
        <w:pStyle w:val="Testonotaapidipagina"/>
      </w:pPr>
      <w:r w:rsidRPr="007F7EBF">
        <w:rPr>
          <w:rStyle w:val="Rimandonotaapidipagina"/>
        </w:rPr>
        <w:footnoteRef/>
      </w:r>
      <w:r w:rsidRPr="007F7EBF">
        <w:t xml:space="preserve"> </w:t>
      </w:r>
      <w:r>
        <w:t xml:space="preserve">) </w:t>
      </w:r>
      <w:r w:rsidRPr="007F7EBF">
        <w:t>Ad esempio i litri di latte o di alcool necessari alla produzione di un'industria dolciaria, oppure le lavatrici prodotte da una industria di elettrodomestici, distinte rispetto agli asciugacapelli prodotti dalla stessa azienda.</w:t>
      </w:r>
    </w:p>
  </w:footnote>
  <w:footnote w:id="1184">
    <w:p w14:paraId="473C76DF" w14:textId="3C7290CF" w:rsidR="003B7460" w:rsidRPr="007F7EBF" w:rsidRDefault="003B7460">
      <w:pPr>
        <w:pStyle w:val="Testonotaapidipagina"/>
      </w:pPr>
      <w:r w:rsidRPr="007F7EBF">
        <w:rPr>
          <w:rStyle w:val="Rimandonotaapidipagina"/>
        </w:rPr>
        <w:footnoteRef/>
      </w:r>
      <w:r>
        <w:t>)</w:t>
      </w:r>
      <w:r w:rsidRPr="007F7EBF">
        <w:t xml:space="preserve"> Per beni acquistati o prodotti in serie, in modo continuativo, con un ricambio continuo e costi variabili, non è rilevato né è sensato determinare il costo specifico dei singoli beni in magazzino (questo ha invece senso solo per gli immobili delle imprese di costruzione).</w:t>
      </w:r>
    </w:p>
  </w:footnote>
  <w:footnote w:id="1185">
    <w:p w14:paraId="75A918CF" w14:textId="77777777" w:rsidR="003B7460" w:rsidRPr="007F7EBF" w:rsidRDefault="003B7460">
      <w:pPr>
        <w:pStyle w:val="Testonotaapidipagina"/>
      </w:pPr>
      <w:r w:rsidRPr="007F7EBF">
        <w:rPr>
          <w:rStyle w:val="Rimandonotaapidipagina"/>
        </w:rPr>
        <w:footnoteRef/>
      </w:r>
      <w:r w:rsidRPr="007F7EBF">
        <w:t xml:space="preserve"> ) Esistono infatti anche le “rimanenze di servizi”, come diremo più avanti in questo stesso paragrafo.  </w:t>
      </w:r>
    </w:p>
  </w:footnote>
  <w:footnote w:id="1186">
    <w:p w14:paraId="7329A832" w14:textId="77777777" w:rsidR="003B7460" w:rsidRPr="007F7EBF" w:rsidRDefault="003B7460">
      <w:pPr>
        <w:pStyle w:val="Testonotaapidipagina"/>
      </w:pPr>
      <w:r w:rsidRPr="007F7EBF">
        <w:rPr>
          <w:rStyle w:val="Rimandonotaapidipagina"/>
        </w:rPr>
        <w:footnoteRef/>
      </w:r>
      <w:r w:rsidRPr="007F7EBF">
        <w:t xml:space="preserve"> ) Le espressioni FIFO e LIFO sono inutilmente macchinose, perché costringono a un passaggio logico in più, in quanto non devono essere valorizzati i beni usciti dalle rimanenze, cioè andati “out” rispetto al magazzino, ma quelli rimasti (“in”). La valutazione si dovrebbe quindi indirizzare a quello che resta, e quindi il FIFO si dovrebbe chiamare LILO, nel senso che si dovrebbe valutare l’ultimo entrato, e il LIFO si dovrebbe chiamare FILO, nel senso che viene valutato il primo entrato. Anche qui emerge la tendenza di molti  aziendalisti, incapaci di spiegare l’azienda come corpo sociale (par.3.1), a complicare le questioni semplici. </w:t>
      </w:r>
    </w:p>
  </w:footnote>
  <w:footnote w:id="1187">
    <w:p w14:paraId="20266EB1" w14:textId="77777777" w:rsidR="003B7460" w:rsidRPr="007F7EBF" w:rsidRDefault="003B7460">
      <w:pPr>
        <w:pStyle w:val="Testonotaapidipagina"/>
      </w:pPr>
      <w:r w:rsidRPr="007F7EBF">
        <w:rPr>
          <w:rStyle w:val="Rimandonotaapidipagina"/>
        </w:rPr>
        <w:footnoteRef/>
      </w:r>
      <w:r w:rsidRPr="007F7EBF">
        <w:t xml:space="preserve"> ) Persino il metodo FIFO può essere inteso nel senso di lasciare le valorizzazioni delle rimanenze iniziali, se sono rimaste immutate, distinguendosi solo per l’imputazione delle merci esistenti alle voci annuali più recenti, in caso di diminuzione quantitativa (con conseguente eliminazione delle voci annuali più remote, fino a concorrenza del decremento). </w:t>
      </w:r>
    </w:p>
  </w:footnote>
  <w:footnote w:id="1188">
    <w:p w14:paraId="7D713EC2" w14:textId="77777777" w:rsidR="003B7460" w:rsidRPr="007F7EBF" w:rsidRDefault="003B7460">
      <w:pPr>
        <w:pStyle w:val="Testonotaapidipagina"/>
      </w:pPr>
      <w:r w:rsidRPr="007F7EBF">
        <w:rPr>
          <w:rStyle w:val="Rimandonotaapidipagina"/>
        </w:rPr>
        <w:footnoteRef/>
      </w:r>
      <w:r w:rsidRPr="007F7EBF">
        <w:t xml:space="preserve"> ) Si tratta dei c.d. “plusvalori latenti” di magazzino. </w:t>
      </w:r>
    </w:p>
  </w:footnote>
  <w:footnote w:id="1189">
    <w:p w14:paraId="7C819D19" w14:textId="5D9A3039" w:rsidR="003B7460" w:rsidRPr="007F7EBF" w:rsidRDefault="003B7460">
      <w:pPr>
        <w:pStyle w:val="Testonotaapidipagina"/>
      </w:pPr>
      <w:r w:rsidRPr="007F7EBF">
        <w:rPr>
          <w:rStyle w:val="Rimandonotaapidipagina"/>
        </w:rPr>
        <w:footnoteRef/>
      </w:r>
      <w:r w:rsidRPr="007F7EBF">
        <w:t xml:space="preserve"> </w:t>
      </w:r>
      <w:r>
        <w:rPr>
          <w:sz w:val="22"/>
          <w:szCs w:val="22"/>
        </w:rPr>
        <w:t>S</w:t>
      </w:r>
      <w:r w:rsidRPr="007F7EBF">
        <w:rPr>
          <w:sz w:val="22"/>
          <w:szCs w:val="22"/>
        </w:rPr>
        <w:t>i pensi</w:t>
      </w:r>
      <w:r>
        <w:rPr>
          <w:sz w:val="22"/>
          <w:szCs w:val="22"/>
        </w:rPr>
        <w:t xml:space="preserve"> </w:t>
      </w:r>
      <w:r w:rsidRPr="007F7EBF">
        <w:rPr>
          <w:sz w:val="22"/>
          <w:szCs w:val="22"/>
        </w:rPr>
        <w:t>a servizi di manutenzione, ristrutturazione, etc.</w:t>
      </w:r>
      <w:r>
        <w:rPr>
          <w:sz w:val="22"/>
          <w:szCs w:val="22"/>
        </w:rPr>
        <w:t xml:space="preserve"> (a</w:t>
      </w:r>
      <w:r w:rsidRPr="007F7EBF">
        <w:t xml:space="preserve">rt. 92 comma 6 </w:t>
      </w:r>
      <w:proofErr w:type="spellStart"/>
      <w:r w:rsidRPr="007F7EBF">
        <w:t>tuir</w:t>
      </w:r>
      <w:proofErr w:type="spellEnd"/>
      <w:r>
        <w:t xml:space="preserve">, applicabile a </w:t>
      </w:r>
      <w:r w:rsidRPr="007F7EBF">
        <w:t xml:space="preserve">tutti i </w:t>
      </w:r>
      <w:r>
        <w:t xml:space="preserve">perché relativo alla fase di valutazione, non a quella di </w:t>
      </w:r>
      <w:r w:rsidRPr="007F7EBF">
        <w:t xml:space="preserve">qualificazione e classificazione, </w:t>
      </w:r>
      <w:r>
        <w:t xml:space="preserve">dove opera il rinvio a </w:t>
      </w:r>
      <w:r w:rsidRPr="007F7EBF">
        <w:t>i principi contabili</w:t>
      </w:r>
      <w:r>
        <w:t>)</w:t>
      </w:r>
      <w:r w:rsidRPr="007F7EBF">
        <w:t xml:space="preserve">.  In questo modo la registrazione della quota di profitto conseguente alla prestazione del servizio viene rinviata al periodo di imposta in cui il servizio stesso è completato. </w:t>
      </w:r>
    </w:p>
  </w:footnote>
  <w:footnote w:id="1190">
    <w:p w14:paraId="1374B568" w14:textId="77777777" w:rsidR="003B7460" w:rsidRPr="007F7EBF" w:rsidRDefault="003B7460">
      <w:pPr>
        <w:pStyle w:val="Testonotaapidipagina"/>
      </w:pPr>
      <w:r w:rsidRPr="007F7EBF">
        <w:rPr>
          <w:rStyle w:val="Rimandonotaapidipagina"/>
        </w:rPr>
        <w:footnoteRef/>
      </w:r>
      <w:r w:rsidRPr="007F7EBF">
        <w:t xml:space="preserve"> ) Si ricordi infatti dal par.1.11 la visibilità della ricchezza attraverso atti giuridici solenni, che ritroveremo per l’imposta di registro al paragrafo 10.2. </w:t>
      </w:r>
    </w:p>
  </w:footnote>
  <w:footnote w:id="1191">
    <w:p w14:paraId="228D569E" w14:textId="77777777" w:rsidR="003B7460" w:rsidRPr="007F7EBF" w:rsidRDefault="003B7460">
      <w:pPr>
        <w:pStyle w:val="Testonotaapidipagina"/>
      </w:pPr>
      <w:r w:rsidRPr="007F7EBF">
        <w:rPr>
          <w:rStyle w:val="Rimandonotaapidipagina"/>
        </w:rPr>
        <w:footnoteRef/>
      </w:r>
      <w:r w:rsidRPr="007F7EBF">
        <w:t xml:space="preserve"> ) Intesa qui in genere nel senso materiale di cui al par.3.1 e 7.5, cioè come insieme di beni del lavoratore indipendente, come attrezzi, arredi, merci, etc..; raramente si tratterà infatti, presso le imprese individuali, di una struttura ad alta densità di addetti, come lavoratori dipendenti etc..</w:t>
      </w:r>
    </w:p>
  </w:footnote>
  <w:footnote w:id="1192">
    <w:p w14:paraId="2340A3F9" w14:textId="77777777" w:rsidR="003B7460" w:rsidRPr="007F7EBF" w:rsidRDefault="003B7460">
      <w:pPr>
        <w:pStyle w:val="Testonotaapidipagina"/>
      </w:pPr>
      <w:r w:rsidRPr="007F7EBF">
        <w:rPr>
          <w:rStyle w:val="Rimandonotaapidipagina"/>
        </w:rPr>
        <w:footnoteRef/>
      </w:r>
      <w:r w:rsidRPr="007F7EBF">
        <w:t xml:space="preserve"> ) Gli utili reinvestiti nell’impresa individuale sono peraltro rari, vista la necessità di sostenere il tenore di vita del titolare. Il possibile sfasamento tra "produzione del reddito" secondo i criteri di cui al par.7.11, e sua distribuzione al titolare, non sembra insomma talmente rilevante da giustificare l'impianto documentale necessario per distinguere queste due fasi. In omaggio a questa distinzione teorica, e a un malinteso concetto di neutralità fiscale delle forme giuridiche, fa tuttavia capolino da anni , senza mai essere realizzata, una tassazione dei soli redditi distribuiti dall’impresa individuale al relativo titolare; si tratterebbe comunque di una misura facoltativa , su cui vedasi i post su </w:t>
      </w:r>
      <w:r>
        <w:t xml:space="preserve">wwwfondazionestuditributari.com </w:t>
      </w:r>
      <w:r w:rsidRPr="007F7EBF">
        <w:t>relativi ai “dividendi del pasticcere”.</w:t>
      </w:r>
    </w:p>
  </w:footnote>
  <w:footnote w:id="1193">
    <w:p w14:paraId="01DF4042" w14:textId="2F1088B5" w:rsidR="003B7460" w:rsidRPr="007F7EBF" w:rsidRDefault="003B7460" w:rsidP="0080017C">
      <w:pPr>
        <w:pStyle w:val="Testonotaapidipagina"/>
      </w:pPr>
      <w:r w:rsidRPr="007F7EBF">
        <w:rPr>
          <w:rStyle w:val="Rimandonotaapidipagina"/>
        </w:rPr>
        <w:footnoteRef/>
      </w:r>
      <w:r w:rsidRPr="007F7EBF">
        <w:t xml:space="preserve"> </w:t>
      </w:r>
      <w:r>
        <w:t xml:space="preserve">) </w:t>
      </w:r>
      <w:r w:rsidRPr="007F7EBF">
        <w:t xml:space="preserve">Ricordiamo che </w:t>
      </w:r>
      <w:r>
        <w:t xml:space="preserve">la presenza di collaboratori familiari va </w:t>
      </w:r>
      <w:r w:rsidRPr="007F7EBF">
        <w:t>considera</w:t>
      </w:r>
      <w:r>
        <w:t>ta</w:t>
      </w:r>
      <w:r w:rsidRPr="007F7EBF">
        <w:t xml:space="preserve"> prima di definire irrisori i redditi di impresa dichiarati da piccoli commercianti e artigiani (par.4.2).</w:t>
      </w:r>
    </w:p>
  </w:footnote>
  <w:footnote w:id="1194">
    <w:p w14:paraId="4963EA76" w14:textId="77777777" w:rsidR="003B7460" w:rsidRPr="007F7EBF" w:rsidRDefault="003B7460" w:rsidP="003C507F">
      <w:pPr>
        <w:pStyle w:val="Testonotaapidipagina"/>
      </w:pPr>
      <w:r w:rsidRPr="007F7EBF">
        <w:rPr>
          <w:rStyle w:val="Rimandonotaapidipagina"/>
        </w:rPr>
        <w:footnoteRef/>
      </w:r>
      <w:r w:rsidRPr="007F7EBF">
        <w:t xml:space="preserve"> ) Le percentuali adottate sono quelle esistenti alla fine del periodo di imposta: chi sia socio in questo momento dovrà dichiarare l’intero reddito del periodo, senza frazionamenti proporzionali al periodo di possesso della partecipazione (è una scelta di semplicità e controllabilità). </w:t>
      </w:r>
    </w:p>
  </w:footnote>
  <w:footnote w:id="1195">
    <w:p w14:paraId="6B6C2CC7" w14:textId="3432C2F4" w:rsidR="003B7460" w:rsidRPr="007F7EBF" w:rsidRDefault="003B7460" w:rsidP="00A45306">
      <w:pPr>
        <w:pStyle w:val="Testonotaapidipagina"/>
      </w:pPr>
      <w:r w:rsidRPr="007F7EBF">
        <w:rPr>
          <w:rStyle w:val="Rimandonotaapidipagina"/>
        </w:rPr>
        <w:footnoteRef/>
      </w:r>
      <w:r w:rsidRPr="007F7EBF">
        <w:t xml:space="preserve"> ) </w:t>
      </w:r>
      <w:r>
        <w:t>L’</w:t>
      </w:r>
      <w:r w:rsidRPr="007F7EBF">
        <w:t xml:space="preserve"> imputazione per trasparenza ai soci dei redditi delle società di capitali è una raffinatezza tributaria recente, utilizzat</w:t>
      </w:r>
      <w:r>
        <w:t>a</w:t>
      </w:r>
      <w:r w:rsidRPr="007F7EBF">
        <w:t xml:space="preserve"> abbastanza raramente in concreto.</w:t>
      </w:r>
    </w:p>
  </w:footnote>
  <w:footnote w:id="1196">
    <w:p w14:paraId="5574A3C4" w14:textId="3A29C4A1" w:rsidR="003B7460" w:rsidRPr="007F7EBF" w:rsidRDefault="003B7460">
      <w:pPr>
        <w:pStyle w:val="Testonotaapidipagina"/>
      </w:pPr>
      <w:r w:rsidRPr="007F7EBF">
        <w:rPr>
          <w:rStyle w:val="Rimandonotaapidipagina"/>
        </w:rPr>
        <w:footnoteRef/>
      </w:r>
      <w:r w:rsidRPr="007F7EBF">
        <w:t xml:space="preserve"> ) E' economicamente irrazionale aggravare la tassazione dando rilevanza a un profilo esclusivamente giuridico-formale, come l’esercizio dell’attività in forma individuale o societaria (si pensi alla possibilità di soci intermedi prima di quelli "finali").Si tratterebbe di una discriminazione probabilmente irrazionale, in quanto tale, incostituzionale, anche a prescindere dal principio di capacità contributiva, di cui al par.2.2. Naturalmente il coordinamento impositivo tra società e soci, che comporta mediazioni tra una serie di esigenze di precisione, semplicità, controllabilità, etc. (par.1.</w:t>
      </w:r>
      <w:r>
        <w:t>8</w:t>
      </w:r>
      <w:r w:rsidRPr="007F7EBF">
        <w:t xml:space="preserve">) può comportare, in concreto, alcune differenze di carico tributario rispetto a quello  applicabile a un imprenditore individuale. L’importante è che una serie di simmetrie di sistema (par.3.12) tendano a una omogeneizzazione tra i due  regimi.  </w:t>
      </w:r>
    </w:p>
  </w:footnote>
  <w:footnote w:id="1197">
    <w:p w14:paraId="76BB6FBD" w14:textId="77777777" w:rsidR="003B7460" w:rsidRPr="007F7EBF" w:rsidRDefault="003B7460">
      <w:pPr>
        <w:pStyle w:val="Testonotaapidipagina"/>
      </w:pPr>
      <w:r w:rsidRPr="007F7EBF">
        <w:rPr>
          <w:rStyle w:val="Rimandonotaapidipagina"/>
        </w:rPr>
        <w:footnoteRef/>
      </w:r>
      <w:r w:rsidRPr="007F7EBF">
        <w:t xml:space="preserve"> ) La forma giuridica è infatti estranea alla sostanza economica, cioè alla ricchezza, cui si dirige la tassazione, anche se può influenzarla (naturalmente qualche volta la forma giuridica può essere proprio l’elemento che rende visibile la ricchezza, come nelle già indicate imposte sugli atti solenni (tipo “registro”). </w:t>
      </w:r>
    </w:p>
  </w:footnote>
  <w:footnote w:id="1198">
    <w:p w14:paraId="4A58AAFC" w14:textId="77777777" w:rsidR="003B7460" w:rsidRPr="007F7EBF" w:rsidRDefault="003B7460">
      <w:pPr>
        <w:pStyle w:val="Testonotaapidipagina"/>
      </w:pPr>
      <w:r w:rsidRPr="007F7EBF">
        <w:rPr>
          <w:rStyle w:val="Rimandonotaapidipagina"/>
        </w:rPr>
        <w:footnoteRef/>
      </w:r>
      <w:r w:rsidRPr="007F7EBF">
        <w:t xml:space="preserve"> ) Con l’imposta IRES di cui al par.9.1.</w:t>
      </w:r>
    </w:p>
  </w:footnote>
  <w:footnote w:id="1199">
    <w:p w14:paraId="241CB03F" w14:textId="77777777" w:rsidR="003B7460" w:rsidRPr="007F7EBF" w:rsidRDefault="003B7460" w:rsidP="00EE4082">
      <w:pPr>
        <w:pStyle w:val="Testonotaapidipagina"/>
      </w:pPr>
      <w:r w:rsidRPr="007F7EBF">
        <w:rPr>
          <w:rStyle w:val="Rimandonotaapidipagina"/>
        </w:rPr>
        <w:footnoteRef/>
      </w:r>
      <w:r>
        <w:t xml:space="preserve">) </w:t>
      </w:r>
      <w:r w:rsidRPr="007F7EBF">
        <w:t xml:space="preserve">Per la precisione sono imponibili nella misura simbolica del 5 percento, che forfetizza i costi di amministrazione della partecipazione, deducibili integralmente, a prescindere dalle possibili asimmetrie di cui al par.7.10. </w:t>
      </w:r>
    </w:p>
  </w:footnote>
  <w:footnote w:id="1200">
    <w:p w14:paraId="46A457F8" w14:textId="4CAE7FA4" w:rsidR="003B7460" w:rsidRPr="007F7EBF" w:rsidRDefault="003B7460" w:rsidP="00054614">
      <w:pPr>
        <w:pStyle w:val="Testonotaapidipagina"/>
      </w:pPr>
      <w:r w:rsidRPr="007F7EBF">
        <w:rPr>
          <w:rStyle w:val="Rimandonotaapidipagina"/>
        </w:rPr>
        <w:footnoteRef/>
      </w:r>
      <w:r w:rsidRPr="007F7EBF">
        <w:t>All'’imposta IRES con l'aliquota del 27,5%  si aggiunge l’IRPEF in capo ai soci, applicata solo su</w:t>
      </w:r>
      <w:r>
        <w:t xml:space="preserve"> un</w:t>
      </w:r>
      <w:r w:rsidRPr="007F7EBF">
        <w:t xml:space="preserve">a </w:t>
      </w:r>
      <w:r>
        <w:t>quota</w:t>
      </w:r>
      <w:r w:rsidRPr="007F7EBF">
        <w:t xml:space="preserve"> del dividendo</w:t>
      </w:r>
      <w:r>
        <w:t xml:space="preserve"> (oggi circa la metà)</w:t>
      </w:r>
      <w:r w:rsidRPr="007F7EBF">
        <w:t xml:space="preserve">, per tener conto della tassazione </w:t>
      </w:r>
      <w:r>
        <w:t xml:space="preserve">già avvenuta </w:t>
      </w:r>
      <w:r w:rsidRPr="007F7EBF">
        <w:t xml:space="preserve">in capo alla società. </w:t>
      </w:r>
    </w:p>
  </w:footnote>
  <w:footnote w:id="1201">
    <w:p w14:paraId="29CF9771" w14:textId="23C4D69A" w:rsidR="003B7460" w:rsidRPr="007F7EBF" w:rsidRDefault="003B7460" w:rsidP="00054614">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Ne abbiamo già parlato al par.7.10 confrontando il carico fiscale sui dividendi con quello sugli interessi passivi. </w:t>
      </w:r>
      <w:r w:rsidRPr="007F7EBF">
        <w:rPr>
          <w:sz w:val="20"/>
          <w:szCs w:val="20"/>
        </w:rPr>
        <w:t xml:space="preserve">Se la percentuale di partecipazione è piccola, si applica l’imposta sostitutiva del 26 percento su tutto il dividendo. Ne discende, a seguito dell’aumento al 26 percento dell’imposta sostitutiva sui redditi finanziari, una modesta “doppia imposizione” perché il carico fiscale complessivo sale al 46 percento circa; è un effetto casuale dell’applicazione ai dividendi di un regime elaborato per gli interessi, deducibili come indicato ai par.7.10; per ulteriori considerazioni vedasi par.8.5 sui redditi finanziari. </w:t>
      </w:r>
    </w:p>
  </w:footnote>
  <w:footnote w:id="1202">
    <w:p w14:paraId="4493B9FE" w14:textId="7AA71ADC" w:rsidR="003B7460" w:rsidRPr="007F7EBF" w:rsidRDefault="003B7460">
      <w:pPr>
        <w:pStyle w:val="Testonotaapidipagina"/>
      </w:pPr>
      <w:r w:rsidRPr="007F7EBF">
        <w:rPr>
          <w:rStyle w:val="Rimandonotaapidipagina"/>
        </w:rPr>
        <w:footnoteRef/>
      </w:r>
      <w:r w:rsidRPr="007F7EBF">
        <w:t xml:space="preserve"> </w:t>
      </w:r>
      <w:r>
        <w:t xml:space="preserve">) Il tema può essere approfondito nell’ambito delle </w:t>
      </w:r>
      <w:r w:rsidRPr="007F7EBF">
        <w:t xml:space="preserve">correlazioni intersoggettive, tipiche della determinazione ragionieristica della base di commisurazione dei tributi, </w:t>
      </w:r>
      <w:r>
        <w:t xml:space="preserve">esposte </w:t>
      </w:r>
      <w:r w:rsidRPr="007F7EBF">
        <w:t xml:space="preserve"> al paragrafo 3.12. </w:t>
      </w:r>
    </w:p>
  </w:footnote>
  <w:footnote w:id="1203">
    <w:p w14:paraId="252FCF3A" w14:textId="77777777" w:rsidR="003B7460" w:rsidRPr="007F7EBF" w:rsidRDefault="003B7460" w:rsidP="00CE6B68">
      <w:pPr>
        <w:pStyle w:val="Testonotaapidipagina"/>
      </w:pPr>
      <w:r w:rsidRPr="007F7EBF">
        <w:rPr>
          <w:rStyle w:val="Rimandonotaapidipagina"/>
        </w:rPr>
        <w:footnoteRef/>
      </w:r>
      <w:r w:rsidRPr="007F7EBF">
        <w:t xml:space="preserve"> ) In genere in borsa. Tali azioni sono equiparate a “beni merce” nel senso di cui al precedente paragrafo 7.16.  </w:t>
      </w:r>
    </w:p>
  </w:footnote>
  <w:footnote w:id="1204">
    <w:p w14:paraId="78C9799F" w14:textId="0856F44D" w:rsidR="003B7460" w:rsidRPr="007F7EBF" w:rsidRDefault="003B7460">
      <w:pPr>
        <w:pStyle w:val="Testonotaapidipagina"/>
      </w:pPr>
      <w:r w:rsidRPr="007F7EBF">
        <w:rPr>
          <w:rStyle w:val="Rimandonotaapidipagina"/>
        </w:rPr>
        <w:footnoteRef/>
      </w:r>
      <w:r w:rsidRPr="007F7EBF">
        <w:t xml:space="preserve"> ) </w:t>
      </w:r>
      <w:r>
        <w:t>P</w:t>
      </w:r>
      <w:r w:rsidRPr="007F7EBF">
        <w:t xml:space="preserve">er le società immobiliari si vuole evitare una indiretta circolazione dell’immobile tramite una infinita serie di cessioni di partecipazioni, realizzando  plusvalenze non tassate. </w:t>
      </w:r>
      <w:r>
        <w:t>P</w:t>
      </w:r>
      <w:r w:rsidRPr="007F7EBF">
        <w:t>er le società senza impresa manca il presupposto della probabile realizzazione di redditi futuri</w:t>
      </w:r>
      <w:r>
        <w:t>, mentre è più oscuro il motivo del requisito del possesso ultrannuale.</w:t>
      </w:r>
    </w:p>
  </w:footnote>
  <w:footnote w:id="1205">
    <w:p w14:paraId="644BAE4A" w14:textId="1F5F1626" w:rsidR="003B7460" w:rsidRPr="007F7EBF" w:rsidRDefault="003B7460" w:rsidP="00DE077F">
      <w:pPr>
        <w:pStyle w:val="Testonotaapidipagina"/>
      </w:pPr>
      <w:r w:rsidRPr="007F7EBF">
        <w:rPr>
          <w:rStyle w:val="Rimandonotaapidipagina"/>
        </w:rPr>
        <w:footnoteRef/>
      </w:r>
      <w:r w:rsidRPr="007F7EBF">
        <w:t xml:space="preserve"> ) </w:t>
      </w:r>
      <w:r>
        <w:t xml:space="preserve">Il concetto di </w:t>
      </w:r>
      <w:r w:rsidRPr="007F7EBF">
        <w:t xml:space="preserve">“gruppo di società”, </w:t>
      </w:r>
      <w:r>
        <w:t xml:space="preserve">cioè di filiera di società legate a un unico controllo proprietario, di gruppi familiari o multinazionali estere, è stato introdotto </w:t>
      </w:r>
      <w:r w:rsidRPr="007F7EBF">
        <w:t>al par.</w:t>
      </w:r>
      <w:r>
        <w:t xml:space="preserve">3.1 sull’azienda e ripreso al par. </w:t>
      </w:r>
      <w:r w:rsidRPr="007F7EBF">
        <w:t xml:space="preserve">7.19 a proposito del controllo a valore normale dei prezzi tra società del gruppo (transfer pricing). </w:t>
      </w:r>
    </w:p>
  </w:footnote>
  <w:footnote w:id="1206">
    <w:p w14:paraId="466A2B84" w14:textId="77777777" w:rsidR="003B7460" w:rsidRPr="007F7EBF" w:rsidRDefault="003B7460">
      <w:pPr>
        <w:pStyle w:val="Testonotaapidipagina"/>
      </w:pPr>
      <w:r w:rsidRPr="007F7EBF">
        <w:rPr>
          <w:rStyle w:val="Rimandonotaapidipagina"/>
        </w:rPr>
        <w:footnoteRef/>
      </w:r>
      <w:r w:rsidRPr="007F7EBF">
        <w:t xml:space="preserve"> ) Concentrando cioè tutte le attività economiche in una stessa società per mantenere la compensabilità piena dei redditi con le perdite. Si tratterebbe però di una forzatura, di una violazione del principio di irrilevanza delle forme giuridiche rispetto alla determinazione dei tributi (c.d. “principio di neutralità”). Infine si ostacolerebbero  apprezzabili obiettivi extratributari come la separazione delle competenze dirigenziali e la limitazione dei rischi con relative responsabilità.</w:t>
      </w:r>
    </w:p>
  </w:footnote>
  <w:footnote w:id="1207">
    <w:p w14:paraId="72145099" w14:textId="77777777" w:rsidR="003B7460" w:rsidRPr="007F7EBF" w:rsidRDefault="003B7460">
      <w:pPr>
        <w:pStyle w:val="Testonotaapidipagina"/>
      </w:pPr>
      <w:r w:rsidRPr="007F7EBF">
        <w:rPr>
          <w:rStyle w:val="Rimandonotaapidipagina"/>
        </w:rPr>
        <w:footnoteRef/>
      </w:r>
      <w:r w:rsidRPr="007F7EBF">
        <w:t xml:space="preserve"> ) L’espressione “consolidato fiscale" allude al "bilancio consolidato civilistico" dei gruppi societari, ma si tratta solo di una possibilità di compensazione dei risultati positivi e negativi. </w:t>
      </w:r>
    </w:p>
  </w:footnote>
  <w:footnote w:id="1208">
    <w:p w14:paraId="10650222" w14:textId="619C5FE9" w:rsidR="003B7460" w:rsidRPr="007F7EBF" w:rsidRDefault="003B7460" w:rsidP="004A729B">
      <w:pPr>
        <w:autoSpaceDE w:val="0"/>
        <w:autoSpaceDN w:val="0"/>
        <w:adjustRightInd w:val="0"/>
        <w:rPr>
          <w:sz w:val="20"/>
          <w:szCs w:val="20"/>
        </w:rPr>
      </w:pPr>
      <w:r w:rsidRPr="007F7EBF">
        <w:rPr>
          <w:rStyle w:val="Rimandonotaapidipagina"/>
          <w:sz w:val="20"/>
          <w:szCs w:val="20"/>
        </w:rPr>
        <w:footnoteRef/>
      </w:r>
      <w:r>
        <w:rPr>
          <w:sz w:val="20"/>
          <w:szCs w:val="20"/>
        </w:rPr>
        <w:t xml:space="preserve">) </w:t>
      </w:r>
      <w:r w:rsidRPr="007F7EBF">
        <w:rPr>
          <w:sz w:val="20"/>
          <w:szCs w:val="20"/>
        </w:rPr>
        <w:t xml:space="preserve">Ogni società determina in autonomia il proprio reddito o perdita, che poi trasferisce alla controllante, che effettua la somma algebrica, calcolando un’unica base imponibile di gruppo,  e versando  un’unica imposta. Questa finalità è stata raggiunta in modo farraginoso, obbligando al consolidato anche quando non esistono di fatto perdite da trasmettere, con il trasferimento dei versamenti di imposta sulla società consolidante, le responsabilità solidali reciproche e una serie di altri inutili formalismi procedurali e processuali, con condizioni per l'inserimento del consolidato e obblighi di suo scioglimento, accertamenti di primo e secondo livello sull'una e sull'altra società, riunione di processi e altre diavolerie, del tutto inutili rispetto all'obiettivo sostanziale della compensazione "redditi perdite" all'interno del gruppo. </w:t>
      </w:r>
    </w:p>
  </w:footnote>
  <w:footnote w:id="1209">
    <w:p w14:paraId="4883B8A9" w14:textId="77777777" w:rsidR="003B7460" w:rsidRPr="007F7EBF" w:rsidRDefault="003B7460" w:rsidP="00252905">
      <w:pPr>
        <w:pStyle w:val="Testonotaapidipagina"/>
      </w:pPr>
      <w:r w:rsidRPr="007F7EBF">
        <w:rPr>
          <w:rStyle w:val="Rimandonotaapidipagina"/>
        </w:rPr>
        <w:footnoteRef/>
      </w:r>
      <w:r w:rsidRPr="007F7EBF">
        <w:t xml:space="preserve"> Art. 67 del decreto sull’accertamento delle imposte sui redditi. </w:t>
      </w:r>
    </w:p>
  </w:footnote>
  <w:footnote w:id="1210">
    <w:p w14:paraId="507337DB" w14:textId="27C26AF1" w:rsidR="003B7460" w:rsidRDefault="003B7460">
      <w:pPr>
        <w:pStyle w:val="Testonotaapidipagina"/>
      </w:pPr>
      <w:r>
        <w:rPr>
          <w:rStyle w:val="Rimandonotaapidipagina"/>
        </w:rPr>
        <w:footnoteRef/>
      </w:r>
      <w:r>
        <w:t xml:space="preserve"> ) Un esempio di una certa frequenza riguarda la deducibilità dei compensi erogati agli amministratori. </w:t>
      </w:r>
    </w:p>
  </w:footnote>
  <w:footnote w:id="1211">
    <w:p w14:paraId="7EB1E2B9" w14:textId="11DD2EAC" w:rsidR="003B7460" w:rsidRPr="007F7EBF" w:rsidRDefault="003B7460" w:rsidP="00A45306">
      <w:pPr>
        <w:pStyle w:val="Testonotaapidipagina"/>
      </w:pPr>
      <w:r w:rsidRPr="007F7EBF">
        <w:rPr>
          <w:rStyle w:val="Rimandonotaapidipagina"/>
        </w:rPr>
        <w:footnoteRef/>
      </w:r>
      <w:r w:rsidRPr="007F7EBF">
        <w:t xml:space="preserve"> ) </w:t>
      </w:r>
      <w:r>
        <w:t xml:space="preserve">Analogo fenomeno esiste per </w:t>
      </w:r>
      <w:r w:rsidRPr="007F7EBF">
        <w:t xml:space="preserve">l’eredità giacente, per </w:t>
      </w:r>
      <w:r>
        <w:t xml:space="preserve">i </w:t>
      </w:r>
      <w:r w:rsidRPr="007F7EBF">
        <w:t xml:space="preserve">cui </w:t>
      </w:r>
      <w:r>
        <w:t xml:space="preserve">redditi </w:t>
      </w:r>
      <w:r w:rsidRPr="007F7EBF">
        <w:t>è</w:t>
      </w:r>
      <w:r>
        <w:t xml:space="preserve"> riproposto un </w:t>
      </w:r>
      <w:r w:rsidRPr="007F7EBF">
        <w:t xml:space="preserve">coordinamento </w:t>
      </w:r>
      <w:r>
        <w:t xml:space="preserve">analogo a quello </w:t>
      </w:r>
      <w:r w:rsidRPr="007F7EBF">
        <w:t xml:space="preserve">“società-soci”. </w:t>
      </w:r>
      <w:r>
        <w:t xml:space="preserve">Si potrebbe ipotizzare per il trust e in casi simili,  una “lacuna”, colmabile in via di interpretazione analogica (par.3.9) utilizzando i criteri previsti per le società. </w:t>
      </w:r>
    </w:p>
  </w:footnote>
  <w:footnote w:id="1212">
    <w:p w14:paraId="0E0F9245" w14:textId="77777777" w:rsidR="003B7460" w:rsidRPr="007F7EBF" w:rsidRDefault="003B7460">
      <w:pPr>
        <w:pStyle w:val="Testonotaapidipagina"/>
      </w:pPr>
      <w:r w:rsidRPr="007F7EBF">
        <w:rPr>
          <w:rStyle w:val="Rimandonotaapidipagina"/>
        </w:rPr>
        <w:footnoteRef/>
      </w:r>
      <w:r w:rsidRPr="007F7EBF">
        <w:t xml:space="preserve"> ) al par.3.11 e 5.6 Sarebbe da approfondire, in tesi di laurea o dottorato, in quale misura possano esserci tributi imposti da pubblici poteri non collegati a un territorio e non legittimati da un pubblico potere collegato a un territorio. </w:t>
      </w:r>
    </w:p>
  </w:footnote>
  <w:footnote w:id="1213">
    <w:p w14:paraId="07C165BA" w14:textId="79EE2306" w:rsidR="003B7460" w:rsidRPr="007F7EBF" w:rsidRDefault="003B7460" w:rsidP="00393BD8">
      <w:pPr>
        <w:pStyle w:val="Testonotaapidipagina"/>
      </w:pPr>
      <w:r w:rsidRPr="007F7EBF">
        <w:rPr>
          <w:rStyle w:val="Rimandonotaapidipagina"/>
        </w:rPr>
        <w:footnoteRef/>
      </w:r>
      <w:r w:rsidRPr="007F7EBF">
        <w:t xml:space="preserve"> </w:t>
      </w:r>
      <w:r>
        <w:t xml:space="preserve">) Le astrazioni economiche di cui al par.1.8 (presupposti di imposta) richiedono il collegamento a un territorio, talvolta chiamati  “requisiti di territorialità del tributo”, oltre che “criteri di collegamento”. </w:t>
      </w:r>
      <w:r w:rsidRPr="007F7EBF">
        <w:t xml:space="preserve">Si pensi al luogo di </w:t>
      </w:r>
      <w:r w:rsidRPr="007F7EBF">
        <w:rPr>
          <w:bCs/>
        </w:rPr>
        <w:t xml:space="preserve">ubicazione </w:t>
      </w:r>
      <w:r w:rsidRPr="007F7EBF">
        <w:t xml:space="preserve">di un immobile per una imposta fondiaria, o </w:t>
      </w:r>
      <w:r>
        <w:t xml:space="preserve">patrimoniale (par.10.4), </w:t>
      </w:r>
      <w:r w:rsidRPr="007F7EBF">
        <w:t>al luogo di redazione di un contratto per una imposta sugli atti giuridici</w:t>
      </w:r>
      <w:r>
        <w:t xml:space="preserve"> e poi ai criteri di collegamento “reddituali” indicati in questo paragrafo. </w:t>
      </w:r>
    </w:p>
  </w:footnote>
  <w:footnote w:id="1214">
    <w:p w14:paraId="07C0A5E8" w14:textId="2AB6864D" w:rsidR="003B7460" w:rsidRDefault="003B7460" w:rsidP="003164D9">
      <w:pPr>
        <w:pStyle w:val="Testonotaapidipagina"/>
      </w:pPr>
      <w:r>
        <w:rPr>
          <w:rStyle w:val="Rimandonotaapidipagina"/>
        </w:rPr>
        <w:footnoteRef/>
      </w:r>
      <w:r>
        <w:t xml:space="preserve"> ) Un’imposta doganale sulle esportazioni, che un tempo in alcuni paesi è esistita, finirebbe per assumere la natura di imposta sul reddito del produttore o del commerciante. </w:t>
      </w:r>
    </w:p>
  </w:footnote>
  <w:footnote w:id="1215">
    <w:p w14:paraId="637FFDF0" w14:textId="76C3114C" w:rsidR="003B7460" w:rsidRDefault="003B7460">
      <w:pPr>
        <w:pStyle w:val="Testonotaapidipagina"/>
      </w:pPr>
      <w:r>
        <w:rPr>
          <w:rStyle w:val="Rimandonotaapidipagina"/>
        </w:rPr>
        <w:footnoteRef/>
      </w:r>
      <w:r>
        <w:t xml:space="preserve"> ) Altre forme di reddito, derivanti da servizi (solita distinzione di cui al par.7.6) hanno criteri diversi, ad esempio basati sull’ubicazione dei beni oggetto del servizio di locazione, luogo di esercizio del servizio per il lavoro autonomo, persino erogazione degli interessi per i redditi di capitale (par.8.5). </w:t>
      </w:r>
    </w:p>
  </w:footnote>
  <w:footnote w:id="1216">
    <w:p w14:paraId="09D9D821" w14:textId="77777777" w:rsidR="003B7460" w:rsidRDefault="003B7460" w:rsidP="00A82E75">
      <w:pPr>
        <w:pStyle w:val="Testonotaapidipagina"/>
      </w:pPr>
      <w:r>
        <w:rPr>
          <w:rStyle w:val="Rimandonotaapidipagina"/>
        </w:rPr>
        <w:footnoteRef/>
      </w:r>
      <w:r>
        <w:t xml:space="preserve"> ) Insomma, per capirci, una “divisione italiana” di una società estera, non molto diversa nella sostanza da una società italiana controllata, ma con lo stesso contenuto.  </w:t>
      </w:r>
    </w:p>
  </w:footnote>
  <w:footnote w:id="1217">
    <w:p w14:paraId="54A6CE2D" w14:textId="0289A9EC" w:rsidR="003B7460" w:rsidRPr="007F7EBF" w:rsidRDefault="003B7460">
      <w:pPr>
        <w:pStyle w:val="Testonotaapidipagina"/>
      </w:pPr>
      <w:r w:rsidRPr="007F7EBF">
        <w:rPr>
          <w:rStyle w:val="Rimandonotaapidipagina"/>
        </w:rPr>
        <w:footnoteRef/>
      </w:r>
      <w:r>
        <w:t>)</w:t>
      </w:r>
      <w:r w:rsidRPr="007F7EBF">
        <w:t xml:space="preserve"> Prescindiamo da</w:t>
      </w:r>
      <w:r>
        <w:t>i</w:t>
      </w:r>
      <w:r w:rsidRPr="007F7EBF">
        <w:t xml:space="preserve"> logorant</w:t>
      </w:r>
      <w:r>
        <w:t xml:space="preserve">i tecnicismi </w:t>
      </w:r>
      <w:r w:rsidRPr="007F7EBF">
        <w:t>professional</w:t>
      </w:r>
      <w:r>
        <w:t>i</w:t>
      </w:r>
      <w:r w:rsidRPr="007F7EBF">
        <w:t>, dove ci si è persino chiesti se un tubo (degli oleodotti) fosse una stabile organizzazione..</w:t>
      </w:r>
    </w:p>
  </w:footnote>
  <w:footnote w:id="1218">
    <w:p w14:paraId="48FD0697" w14:textId="4BC9BDC9" w:rsidR="003B7460" w:rsidRDefault="003B7460">
      <w:pPr>
        <w:pStyle w:val="Testonotaapidipagina"/>
      </w:pPr>
      <w:r>
        <w:rPr>
          <w:rStyle w:val="Rimandonotaapidipagina"/>
        </w:rPr>
        <w:footnoteRef/>
      </w:r>
      <w:r>
        <w:t xml:space="preserve"> ) Cioè alla società estera del gruppo che le controlla, </w:t>
      </w:r>
      <w:proofErr w:type="spellStart"/>
      <w:r>
        <w:t>cfr</w:t>
      </w:r>
      <w:proofErr w:type="spellEnd"/>
      <w:r>
        <w:t xml:space="preserve"> </w:t>
      </w:r>
      <w:r w:rsidRPr="007F7EBF">
        <w:rPr>
          <w:sz w:val="22"/>
          <w:szCs w:val="22"/>
        </w:rPr>
        <w:t xml:space="preserve">par.7.19  </w:t>
      </w:r>
      <w:r>
        <w:rPr>
          <w:sz w:val="22"/>
          <w:szCs w:val="22"/>
        </w:rPr>
        <w:t xml:space="preserve">anche sui correttivi a corrispettivi </w:t>
      </w:r>
      <w:proofErr w:type="spellStart"/>
      <w:r>
        <w:rPr>
          <w:sz w:val="22"/>
          <w:szCs w:val="22"/>
        </w:rPr>
        <w:t>intragruppo</w:t>
      </w:r>
      <w:proofErr w:type="spellEnd"/>
      <w:r>
        <w:rPr>
          <w:sz w:val="22"/>
          <w:szCs w:val="22"/>
        </w:rPr>
        <w:t xml:space="preserve"> determinati in funzione di allocare gli imponibili dove conviene di più (c.d.</w:t>
      </w:r>
      <w:r w:rsidRPr="007F7EBF">
        <w:rPr>
          <w:sz w:val="22"/>
          <w:szCs w:val="22"/>
        </w:rPr>
        <w:t xml:space="preserve"> transfer pricing</w:t>
      </w:r>
      <w:r>
        <w:rPr>
          <w:sz w:val="22"/>
          <w:szCs w:val="22"/>
        </w:rPr>
        <w:t xml:space="preserve">). </w:t>
      </w:r>
    </w:p>
  </w:footnote>
  <w:footnote w:id="1219">
    <w:p w14:paraId="65D15B0E" w14:textId="5780E86D" w:rsidR="003B7460" w:rsidRDefault="003B7460">
      <w:pPr>
        <w:pStyle w:val="Testonotaapidipagina"/>
      </w:pPr>
      <w:r>
        <w:rPr>
          <w:rStyle w:val="Rimandonotaapidipagina"/>
        </w:rPr>
        <w:footnoteRef/>
      </w:r>
      <w:r>
        <w:t xml:space="preserve"> )Traducendo in modo troppo meccanico l’espressione inglese “tax credit”.</w:t>
      </w:r>
    </w:p>
  </w:footnote>
  <w:footnote w:id="1220">
    <w:p w14:paraId="2D3858D5" w14:textId="71D5D912" w:rsidR="003B7460" w:rsidRDefault="003B7460">
      <w:pPr>
        <w:pStyle w:val="Testonotaapidipagina"/>
      </w:pPr>
      <w:r>
        <w:rPr>
          <w:rStyle w:val="Rimandonotaapidipagina"/>
        </w:rPr>
        <w:footnoteRef/>
      </w:r>
      <w:r>
        <w:rPr>
          <w:sz w:val="22"/>
          <w:szCs w:val="22"/>
        </w:rPr>
        <w:t xml:space="preserve">) Il paese della residenza </w:t>
      </w:r>
      <w:r w:rsidRPr="007F7EBF">
        <w:rPr>
          <w:sz w:val="22"/>
          <w:szCs w:val="22"/>
        </w:rPr>
        <w:t>non rimborsa certo l'eccedenza tributaria dovuta ad aliquote maggiori esistenti nel paese della produzione del reddito</w:t>
      </w:r>
      <w:r>
        <w:rPr>
          <w:sz w:val="22"/>
          <w:szCs w:val="22"/>
        </w:rPr>
        <w:t>,</w:t>
      </w:r>
      <w:r w:rsidRPr="007F7EBF">
        <w:rPr>
          <w:sz w:val="22"/>
          <w:szCs w:val="22"/>
        </w:rPr>
        <w:t xml:space="preserve"> denominato "paese della fonte".</w:t>
      </w:r>
    </w:p>
  </w:footnote>
  <w:footnote w:id="1221">
    <w:p w14:paraId="652E92F6" w14:textId="1C4CB3E6" w:rsidR="003B7460" w:rsidRPr="007F7EBF" w:rsidRDefault="003B7460" w:rsidP="001935C0">
      <w:pPr>
        <w:pStyle w:val="Testonotaapidipagina"/>
      </w:pPr>
      <w:r w:rsidRPr="007F7EBF">
        <w:rPr>
          <w:rStyle w:val="Rimandonotaapidipagina"/>
        </w:rPr>
        <w:footnoteRef/>
      </w:r>
      <w:r w:rsidRPr="007F7EBF">
        <w:t xml:space="preserve"> </w:t>
      </w:r>
      <w:r>
        <w:t xml:space="preserve">) </w:t>
      </w:r>
      <w:r w:rsidRPr="007F7EBF">
        <w:t xml:space="preserve">Si tratta </w:t>
      </w:r>
      <w:r>
        <w:t>di un fenomeno collegato a figure giuridico economiche “ibride”, di confine, e quindi considerate in modo diverso nei due paesi, come nell’esempio “dividendi -interessi” svolto nel testo</w:t>
      </w:r>
      <w:r w:rsidRPr="007F7EBF">
        <w:t xml:space="preserve">. </w:t>
      </w:r>
      <w:r>
        <w:t xml:space="preserve">E’ uno di quai casi. Indicati al par.2.4, in cui le definizioni all’interno degli atti normativi sono utili, perché le parole hanno significati in parte divergenti nei due stati. Questo sfasamento definitorio può creare anche doppie imposizioni, ma anche </w:t>
      </w:r>
      <w:r>
        <w:rPr>
          <w:bCs/>
          <w:sz w:val="22"/>
          <w:szCs w:val="22"/>
        </w:rPr>
        <w:t xml:space="preserve">doppie esenzioni; naturalmente delle prime ci si lamenta, e delle seconde no, anzi spesso ci si lamenta delle prime, sperando di creare le occasioni per le seconde, con </w:t>
      </w:r>
      <w:r w:rsidRPr="007F7EBF">
        <w:rPr>
          <w:sz w:val="22"/>
          <w:szCs w:val="22"/>
        </w:rPr>
        <w:t>notevoli dosi di ipocrisia</w:t>
      </w:r>
      <w:r>
        <w:rPr>
          <w:sz w:val="22"/>
          <w:szCs w:val="22"/>
        </w:rPr>
        <w:t xml:space="preserve"> e uso della determinazione dell’imponibile per ridurre il peso dell’imposta (</w:t>
      </w:r>
      <w:r w:rsidRPr="007F7EBF">
        <w:t>par.1.9 e 3.1</w:t>
      </w:r>
      <w:r>
        <w:t xml:space="preserve">0). E’ un problema strutturale connesso all’interpretazione di tutti i trattati internazionali e al c.d. “problema delle qualificazioni” (in ipotesi asimmetriche) negli ordinamenti dei paesi contraenti (tanto è vero che esiste una convenzione apposita, redatta a Vienna, proprio sull’interpretazione del diritto dei trattati. </w:t>
      </w:r>
    </w:p>
  </w:footnote>
  <w:footnote w:id="1222">
    <w:p w14:paraId="7A560C9F" w14:textId="77777777" w:rsidR="003B7460" w:rsidRPr="007F7EBF" w:rsidRDefault="003B7460" w:rsidP="00E40896">
      <w:pPr>
        <w:pStyle w:val="Testonotaapidipagina"/>
      </w:pPr>
      <w:r w:rsidRPr="007F7EBF">
        <w:rPr>
          <w:rStyle w:val="Rimandonotaapidipagina"/>
        </w:rPr>
        <w:footnoteRef/>
      </w:r>
      <w:r w:rsidRPr="007F7EBF">
        <w:t xml:space="preserve"> ) I problemi interpretativi riguardano soprattutto le persone che, per motivi contingenti, come opportunità lavorative, si trasferiscono effettivamente all’estero, mantenendo però legami di vario tipo con la madrepatria (si pensi a scienziati o tecnici che si recano all’estero per periodi di lavoro, magari all’interno di gruppi multinazionali). Aggiungiamo anche i pensionati che si recano in paesi con minor costo della vita e servizi pubblici migliori. </w:t>
      </w:r>
    </w:p>
  </w:footnote>
  <w:footnote w:id="1223">
    <w:p w14:paraId="0469ECBE" w14:textId="029C1C3E" w:rsidR="003B7460" w:rsidRPr="007F7EBF" w:rsidRDefault="003B7460" w:rsidP="005B5795">
      <w:pPr>
        <w:pStyle w:val="Testonotaapidipagina"/>
      </w:pPr>
      <w:r w:rsidRPr="007F7EBF">
        <w:rPr>
          <w:rStyle w:val="Rimandonotaapidipagina"/>
        </w:rPr>
        <w:footnoteRef/>
      </w:r>
      <w:r w:rsidRPr="007F7EBF">
        <w:t xml:space="preserve"> ) </w:t>
      </w:r>
      <w:r>
        <w:t xml:space="preserve">Anche le </w:t>
      </w:r>
      <w:r w:rsidRPr="007F7EBF">
        <w:t>società</w:t>
      </w:r>
      <w:r>
        <w:t xml:space="preserve"> sono astrazioni giuridiche per cui, come per le aziende, bisogna evitare concezioni antropomorfiche. </w:t>
      </w:r>
    </w:p>
  </w:footnote>
  <w:footnote w:id="1224">
    <w:p w14:paraId="115201A7" w14:textId="4CF9F7B1" w:rsidR="003B7460" w:rsidRDefault="003B7460">
      <w:pPr>
        <w:pStyle w:val="Testonotaapidipagina"/>
      </w:pPr>
      <w:r>
        <w:rPr>
          <w:rStyle w:val="Rimandonotaapidipagina"/>
        </w:rPr>
        <w:footnoteRef/>
      </w:r>
      <w:r>
        <w:t xml:space="preserve"> ) Si parlava appunto di </w:t>
      </w:r>
      <w:r>
        <w:rPr>
          <w:i/>
        </w:rPr>
        <w:t xml:space="preserve">esterovestizione </w:t>
      </w:r>
      <w:r>
        <w:t xml:space="preserve">quando </w:t>
      </w:r>
      <w:r>
        <w:rPr>
          <w:sz w:val="22"/>
          <w:szCs w:val="22"/>
        </w:rPr>
        <w:t xml:space="preserve">immobili o società italiane venivano intestati a società estere di proprietà di un italiano, cioè -appunto- </w:t>
      </w:r>
      <w:r w:rsidRPr="00BA265B">
        <w:rPr>
          <w:i/>
          <w:sz w:val="22"/>
          <w:szCs w:val="22"/>
        </w:rPr>
        <w:t>esterovestiti</w:t>
      </w:r>
      <w:r>
        <w:rPr>
          <w:sz w:val="22"/>
          <w:szCs w:val="22"/>
        </w:rPr>
        <w:t xml:space="preserve">, non tanto ai fini fiscali quanto ai vecchi fini </w:t>
      </w:r>
      <w:r w:rsidRPr="00BA265B">
        <w:rPr>
          <w:i/>
          <w:sz w:val="22"/>
          <w:szCs w:val="22"/>
        </w:rPr>
        <w:t>valutari</w:t>
      </w:r>
      <w:r>
        <w:rPr>
          <w:sz w:val="22"/>
          <w:szCs w:val="22"/>
        </w:rPr>
        <w:t xml:space="preserve"> oggi scomparsi. </w:t>
      </w:r>
    </w:p>
  </w:footnote>
  <w:footnote w:id="1225">
    <w:p w14:paraId="5294999C" w14:textId="10A37F12" w:rsidR="003B7460" w:rsidRPr="007F7EBF" w:rsidRDefault="003B7460" w:rsidP="0031044B">
      <w:pPr>
        <w:pStyle w:val="Testonotaapidipagina"/>
      </w:pPr>
      <w:r w:rsidRPr="007F7EBF">
        <w:rPr>
          <w:rStyle w:val="Rimandonotaapidipagina"/>
        </w:rPr>
        <w:footnoteRef/>
      </w:r>
      <w:r w:rsidRPr="007F7EBF">
        <w:t xml:space="preserve"> )</w:t>
      </w:r>
      <w:r>
        <w:t xml:space="preserve">L’esterovestizione è una tipica </w:t>
      </w:r>
      <w:r w:rsidRPr="006D4FAE">
        <w:t>“contestazion</w:t>
      </w:r>
      <w:r>
        <w:t>e</w:t>
      </w:r>
      <w:r w:rsidRPr="006D4FAE">
        <w:t xml:space="preserve"> interpretativ</w:t>
      </w:r>
      <w:r>
        <w:t>a</w:t>
      </w:r>
      <w:r w:rsidRPr="006D4FAE">
        <w:t>” (par.</w:t>
      </w:r>
      <w:r>
        <w:t>3.10</w:t>
      </w:r>
      <w:r w:rsidRPr="006D4FAE">
        <w:t xml:space="preserve">) </w:t>
      </w:r>
      <w:r>
        <w:t xml:space="preserve">a matrice esageratamente economicistica secondo cui </w:t>
      </w:r>
      <w:r w:rsidRPr="006D4FAE">
        <w:t xml:space="preserve">la società </w:t>
      </w:r>
      <w:r>
        <w:t>sarebbe</w:t>
      </w:r>
      <w:r w:rsidRPr="006D4FAE">
        <w:t xml:space="preserve"> una sorta di “artificio” rispetto alla realtà sostanziale, meritevole di riconoscimento italiano, </w:t>
      </w:r>
      <w:r>
        <w:t>se</w:t>
      </w:r>
      <w:r w:rsidRPr="006D4FAE">
        <w:t xml:space="preserve"> ubicata all’estero, solo </w:t>
      </w:r>
      <w:r>
        <w:t xml:space="preserve">quando </w:t>
      </w:r>
      <w:r w:rsidRPr="006D4FAE">
        <w:t xml:space="preserve"> eserc</w:t>
      </w:r>
      <w:r>
        <w:t>ita</w:t>
      </w:r>
      <w:r w:rsidRPr="006D4FAE">
        <w:t xml:space="preserve"> una attività economica effettiva, dovendo</w:t>
      </w:r>
      <w:r>
        <w:t>sene</w:t>
      </w:r>
      <w:r w:rsidRPr="006D4FAE">
        <w:t xml:space="preserve"> altrimenti appiattire la residenza su quella del socio</w:t>
      </w:r>
      <w:r>
        <w:t>; si c</w:t>
      </w:r>
      <w:r w:rsidRPr="006D4FAE">
        <w:t>ontestan</w:t>
      </w:r>
      <w:r>
        <w:t>o così</w:t>
      </w:r>
      <w:r w:rsidRPr="006D4FAE">
        <w:t xml:space="preserve"> “omesse dichiarazioni” per vicende spesso anche di pubblico dominio e gestite nella più totale convinzione di correttezza della  residenza estera, per di più con una reazione a catena di conseguenze fortuite come regimi IVA, ritenute, monitoraggi fiscali etc..</w:t>
      </w:r>
      <w:r>
        <w:t xml:space="preserve"> C</w:t>
      </w:r>
      <w:r w:rsidRPr="006D4FAE">
        <w:t>on la stessa logica, tutte le società di un gruppo multinazionale, anche estero, andrebbero spostate nel paese della capogruppo, in nome di una sua fantomatica direzione effettiva</w:t>
      </w:r>
      <w:r>
        <w:t>. Vorremmo vedere le reazioni degli uffici tributari Italiani se una nostra società pretendesse di non pagare imposte su redditi esteri affermando di essere diretta dal socio francese.</w:t>
      </w:r>
    </w:p>
  </w:footnote>
  <w:footnote w:id="1226">
    <w:p w14:paraId="28FC104E" w14:textId="4AC1CFBD" w:rsidR="003B7460" w:rsidRDefault="003B7460">
      <w:pPr>
        <w:pStyle w:val="Testonotaapidipagina"/>
      </w:pPr>
      <w:r>
        <w:rPr>
          <w:rStyle w:val="Rimandonotaapidipagina"/>
        </w:rPr>
        <w:footnoteRef/>
      </w:r>
      <w:r>
        <w:t xml:space="preserve"> ) Contro il c.d. “cinese finto” (par.3.7) non servono interventi legislativi, ma investigativi. </w:t>
      </w:r>
    </w:p>
  </w:footnote>
  <w:footnote w:id="1227">
    <w:p w14:paraId="764B4B27" w14:textId="0898CEAB" w:rsidR="003B7460" w:rsidRPr="007F7EBF" w:rsidRDefault="003B7460" w:rsidP="00B93AFA">
      <w:pPr>
        <w:pStyle w:val="Testonotaapidipagina"/>
      </w:pPr>
      <w:r w:rsidRPr="007F7EBF">
        <w:rPr>
          <w:rStyle w:val="Rimandonotaapidipagina"/>
        </w:rPr>
        <w:footnoteRef/>
      </w:r>
      <w:r w:rsidRPr="007F7EBF">
        <w:t xml:space="preserve"> </w:t>
      </w:r>
      <w:r>
        <w:t xml:space="preserve">) Abbiamo infatti visto la paragrafo precedente che tutti i “gruppi societari”, anche quelli </w:t>
      </w:r>
      <w:r w:rsidRPr="007F7EBF">
        <w:rPr>
          <w:bCs/>
        </w:rPr>
        <w:t>multinazional</w:t>
      </w:r>
      <w:r>
        <w:rPr>
          <w:bCs/>
        </w:rPr>
        <w:t>i</w:t>
      </w:r>
      <w:r w:rsidRPr="007F7EBF">
        <w:rPr>
          <w:bCs/>
        </w:rPr>
        <w:t xml:space="preserve">, indipendentemente dalle società formalmente indipendenti </w:t>
      </w:r>
      <w:r>
        <w:rPr>
          <w:bCs/>
        </w:rPr>
        <w:t>che l</w:t>
      </w:r>
      <w:r w:rsidRPr="007F7EBF">
        <w:rPr>
          <w:bCs/>
        </w:rPr>
        <w:t>i compon</w:t>
      </w:r>
      <w:r>
        <w:rPr>
          <w:bCs/>
        </w:rPr>
        <w:t>gono</w:t>
      </w:r>
      <w:r w:rsidRPr="007F7EBF">
        <w:rPr>
          <w:bCs/>
        </w:rPr>
        <w:t xml:space="preserve">,  </w:t>
      </w:r>
      <w:r>
        <w:rPr>
          <w:bCs/>
        </w:rPr>
        <w:t xml:space="preserve">si </w:t>
      </w:r>
      <w:r w:rsidRPr="007F7EBF">
        <w:rPr>
          <w:bCs/>
        </w:rPr>
        <w:t>considera</w:t>
      </w:r>
      <w:r>
        <w:rPr>
          <w:bCs/>
        </w:rPr>
        <w:t xml:space="preserve">no </w:t>
      </w:r>
      <w:r w:rsidRPr="007F7EBF">
        <w:rPr>
          <w:bCs/>
        </w:rPr>
        <w:t>“un'unica azienda sovranazionale</w:t>
      </w:r>
      <w:r w:rsidRPr="007F7EBF">
        <w:t>”</w:t>
      </w:r>
      <w:r>
        <w:t>, anche se “</w:t>
      </w:r>
      <w:proofErr w:type="spellStart"/>
      <w:r>
        <w:t>multisocietaria</w:t>
      </w:r>
      <w:proofErr w:type="spellEnd"/>
      <w:r>
        <w:t xml:space="preserve">” (cioè articolata, per comodità operativa, in tante società giuridicamente indipendenti). </w:t>
      </w:r>
    </w:p>
  </w:footnote>
  <w:footnote w:id="1228">
    <w:p w14:paraId="26C1F598" w14:textId="69693026" w:rsidR="003B7460" w:rsidRPr="007F7EBF" w:rsidRDefault="003B7460">
      <w:pPr>
        <w:pStyle w:val="Testonotaapidipagina"/>
      </w:pPr>
      <w:r w:rsidRPr="007F7EBF">
        <w:rPr>
          <w:rStyle w:val="Rimandonotaapidipagina"/>
        </w:rPr>
        <w:footnoteRef/>
      </w:r>
      <w:r w:rsidRPr="007F7EBF">
        <w:t xml:space="preserve"> </w:t>
      </w:r>
      <w:r>
        <w:t xml:space="preserve">) </w:t>
      </w:r>
      <w:r w:rsidRPr="007F7EBF">
        <w:t>O con aliquote equivalenti, ma che offrono indirettamente vantaggi con criteri forfettari di determinazione dell'imponibile, giocando sull'equivoco indicato al par.1.9 e 3.12. Non si tratta infatti solo di "</w:t>
      </w:r>
      <w:r w:rsidRPr="007F7EBF">
        <w:rPr>
          <w:b/>
        </w:rPr>
        <w:t>paradisi fiscali</w:t>
      </w:r>
      <w:r w:rsidRPr="007F7EBF">
        <w:t xml:space="preserve">", ma anche di paesi con pesante tassazione, che però pragmaticamente ritagliano </w:t>
      </w:r>
      <w:r w:rsidRPr="007F7EBF">
        <w:rPr>
          <w:b/>
        </w:rPr>
        <w:t>nicchie di favore</w:t>
      </w:r>
      <w:r w:rsidRPr="007F7EBF">
        <w:t xml:space="preserve"> per categorie di  non residenti, come l'Olanda o la Gran Bretagna.</w:t>
      </w:r>
    </w:p>
  </w:footnote>
  <w:footnote w:id="1229">
    <w:p w14:paraId="27458258" w14:textId="0C92DCA4" w:rsidR="003B7460" w:rsidRPr="007F7EBF" w:rsidRDefault="003B7460" w:rsidP="0086075D">
      <w:pPr>
        <w:pStyle w:val="Testonotaapidipagina"/>
      </w:pPr>
      <w:r w:rsidRPr="007F7EBF">
        <w:rPr>
          <w:rStyle w:val="Rimandonotaapidipagina"/>
        </w:rPr>
        <w:footnoteRef/>
      </w:r>
      <w:r w:rsidRPr="007F7EBF">
        <w:t xml:space="preserve"> Ciò ovviamente in totale trasparenza, senza alcun occultamento di corrispettivo..</w:t>
      </w:r>
    </w:p>
  </w:footnote>
  <w:footnote w:id="1230">
    <w:p w14:paraId="30A63E6A" w14:textId="1CE0C6DE" w:rsidR="003B7460" w:rsidRPr="007F7EBF" w:rsidRDefault="003B7460" w:rsidP="0086075D">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In questi casi la determinazione del corrispettivo</w:t>
      </w:r>
      <w:r w:rsidRPr="007F7EBF">
        <w:rPr>
          <w:sz w:val="20"/>
          <w:szCs w:val="20"/>
        </w:rPr>
        <w:t xml:space="preserve"> è priva di qualsiasi convenienza tributaria</w:t>
      </w:r>
      <w:r>
        <w:rPr>
          <w:sz w:val="20"/>
          <w:szCs w:val="20"/>
        </w:rPr>
        <w:t xml:space="preserve">. </w:t>
      </w:r>
    </w:p>
  </w:footnote>
  <w:footnote w:id="1231">
    <w:p w14:paraId="74B5372E" w14:textId="5384A27C" w:rsidR="003B7460" w:rsidRPr="007F7EBF" w:rsidRDefault="003B7460" w:rsidP="0086075D">
      <w:pPr>
        <w:pStyle w:val="Testonotaapidipagina"/>
      </w:pPr>
      <w:r w:rsidRPr="007F7EBF">
        <w:rPr>
          <w:rStyle w:val="Rimandonotaapidipagina"/>
        </w:rPr>
        <w:footnoteRef/>
      </w:r>
      <w:r>
        <w:t xml:space="preserve">) </w:t>
      </w:r>
      <w:r w:rsidRPr="007F7EBF">
        <w:t xml:space="preserve"> Famosa in proposito l’audizione della Apple al senato degli Stati Uniti. </w:t>
      </w:r>
    </w:p>
  </w:footnote>
  <w:footnote w:id="1232">
    <w:p w14:paraId="4F8955D3" w14:textId="77777777" w:rsidR="003B7460" w:rsidRPr="007F7EBF" w:rsidRDefault="003B7460" w:rsidP="00684E19">
      <w:pPr>
        <w:pStyle w:val="Testonotaapidipagina"/>
      </w:pPr>
      <w:r w:rsidRPr="007F7EBF">
        <w:rPr>
          <w:rStyle w:val="Rimandonotaapidipagina"/>
        </w:rPr>
        <w:footnoteRef/>
      </w:r>
      <w:r w:rsidRPr="007F7EBF">
        <w:t xml:space="preserve"> </w:t>
      </w:r>
      <w:r>
        <w:t xml:space="preserve">) </w:t>
      </w:r>
      <w:r w:rsidRPr="007F7EBF">
        <w:t>La nostra IRES di cui al par.9.1, mentre sul coordinamento società-soci par.7.17.</w:t>
      </w:r>
    </w:p>
  </w:footnote>
  <w:footnote w:id="1233">
    <w:p w14:paraId="59609DC4" w14:textId="77777777" w:rsidR="003B7460" w:rsidRPr="007F7EBF" w:rsidRDefault="003B7460" w:rsidP="00684E19">
      <w:pPr>
        <w:pStyle w:val="Testonotaapidipagina"/>
      </w:pPr>
      <w:r w:rsidRPr="007F7EBF">
        <w:rPr>
          <w:rStyle w:val="Rimandonotaapidipagina"/>
        </w:rPr>
        <w:footnoteRef/>
      </w:r>
      <w:r w:rsidRPr="007F7EBF">
        <w:t xml:space="preserve"> Tendenzialmente esclusi dal prelievo al momento della distribuzione dei dividendi, in quanto residenti all’estero.  </w:t>
      </w:r>
    </w:p>
  </w:footnote>
  <w:footnote w:id="1234">
    <w:p w14:paraId="6A9156B8" w14:textId="77777777" w:rsidR="003B7460" w:rsidRPr="007F7EBF" w:rsidRDefault="003B7460" w:rsidP="00684E19">
      <w:pPr>
        <w:pStyle w:val="Testonotaapidipagina"/>
      </w:pPr>
      <w:r w:rsidRPr="007F7EBF">
        <w:rPr>
          <w:rStyle w:val="Rimandonotaapidipagina"/>
        </w:rPr>
        <w:footnoteRef/>
      </w:r>
      <w:r w:rsidRPr="007F7EBF">
        <w:t xml:space="preserve"> ) Sui quali il medesimo prelievo di prima verrebbe solo spostato soggettivamente (dalla società ai soci) e differito alla distribuzione del dividendo.</w:t>
      </w:r>
    </w:p>
  </w:footnote>
  <w:footnote w:id="1235">
    <w:p w14:paraId="23B93C39" w14:textId="77777777" w:rsidR="003B7460" w:rsidRPr="007F7EBF" w:rsidRDefault="003B7460">
      <w:pPr>
        <w:pStyle w:val="Testonotaapidipagina"/>
      </w:pPr>
      <w:r w:rsidRPr="007F7EBF">
        <w:rPr>
          <w:rStyle w:val="Rimandonotaapidipagina"/>
        </w:rPr>
        <w:footnoteRef/>
      </w:r>
      <w:r w:rsidRPr="007F7EBF">
        <w:t xml:space="preserve"> ) Del resto, ridurre le aliquote solo per i nuovi investimenti da parte di stranieri sarebbe evidentemente contrario ai trattati, tra cui quelli europei, come indicato al par.2.6 (sarebbe concorrenza fiscale sleale e forse anche "aiuto di stato"). La concorrenza è sleale in quanto i contribuenti esteri non sono attratti da una diminuzione generale delle aliquote, ma da una riduzione del carico fiscale "personalizzata", molto più vantaggiosa rispetto al carico fiscale richiesto dal paese "sleale" ai propri residenti.</w:t>
      </w:r>
    </w:p>
  </w:footnote>
  <w:footnote w:id="1236">
    <w:p w14:paraId="1448143A" w14:textId="77777777" w:rsidR="003B7460" w:rsidRPr="007F7EBF" w:rsidRDefault="003B7460">
      <w:pPr>
        <w:pStyle w:val="Testonotaapidipagina"/>
      </w:pPr>
      <w:r w:rsidRPr="007F7EBF">
        <w:rPr>
          <w:rStyle w:val="Rimandonotaapidipagina"/>
        </w:rPr>
        <w:footnoteRef/>
      </w:r>
      <w:r w:rsidRPr="007F7EBF">
        <w:t xml:space="preserve"> In questo caso le difficoltà di coordinare le tassazione di vari paesi, con precisione, semplicità, certezza, diventano un pretesto dove ciascuna delle nazioni coinvolte  si astiene da tassazione, giustificandosi in quanto pensava che vi provvedesse l'altra (il rischio di "doppia tassazione" internazionale diventa quindi il pretesto per una "doppia esenzione"). </w:t>
      </w:r>
    </w:p>
  </w:footnote>
  <w:footnote w:id="1237">
    <w:p w14:paraId="2C3CAD6B" w14:textId="77777777" w:rsidR="003B7460" w:rsidRPr="007F7EBF" w:rsidRDefault="003B7460">
      <w:pPr>
        <w:pStyle w:val="Testonotaapidipagina"/>
      </w:pPr>
      <w:r w:rsidRPr="007F7EBF">
        <w:rPr>
          <w:rStyle w:val="Rimandonotaapidipagina"/>
        </w:rPr>
        <w:footnoteRef/>
      </w:r>
      <w:r w:rsidRPr="007F7EBF">
        <w:t xml:space="preserve"> Che, anche riferendosi alla determinazione dell'imponibile, dovrebbe riguardare tutti i contribuenti, e non potrebbe quindi avere utilizzazione "mirata".</w:t>
      </w:r>
    </w:p>
  </w:footnote>
  <w:footnote w:id="1238">
    <w:p w14:paraId="2ED5AC20" w14:textId="77777777" w:rsidR="003B7460" w:rsidRPr="007F7EBF" w:rsidRDefault="003B7460">
      <w:pPr>
        <w:pStyle w:val="Testonotaapidipagina"/>
      </w:pPr>
      <w:r w:rsidRPr="007F7EBF">
        <w:rPr>
          <w:rStyle w:val="Rimandonotaapidipagina"/>
        </w:rPr>
        <w:footnoteRef/>
      </w:r>
      <w:r w:rsidRPr="007F7EBF">
        <w:t xml:space="preserve"> ) Utilizzati sensazionalisticamente nell’inchiesta giornalistica denominata “</w:t>
      </w:r>
      <w:proofErr w:type="spellStart"/>
      <w:r w:rsidRPr="007F7EBF">
        <w:t>luxleaks</w:t>
      </w:r>
      <w:proofErr w:type="spellEnd"/>
      <w:r w:rsidRPr="007F7EBF">
        <w:t>”.</w:t>
      </w:r>
    </w:p>
  </w:footnote>
  <w:footnote w:id="1239">
    <w:p w14:paraId="563921B0" w14:textId="77777777" w:rsidR="003B7460" w:rsidRPr="007F7EBF" w:rsidRDefault="003B7460">
      <w:pPr>
        <w:pStyle w:val="Testonotaapidipagina"/>
      </w:pPr>
      <w:r w:rsidRPr="007F7EBF">
        <w:rPr>
          <w:rStyle w:val="Rimandonotaapidipagina"/>
        </w:rPr>
        <w:footnoteRef/>
      </w:r>
      <w:r w:rsidRPr="007F7EBF">
        <w:t xml:space="preserve"> ) Cioè il paese di residenza della società capogruppo dell’impresa multinazionale. </w:t>
      </w:r>
    </w:p>
  </w:footnote>
  <w:footnote w:id="1240">
    <w:p w14:paraId="68CE4383" w14:textId="77777777" w:rsidR="003B7460" w:rsidRPr="007F7EBF" w:rsidRDefault="003B7460" w:rsidP="00152BCD">
      <w:pPr>
        <w:pStyle w:val="Testonotaapidipagina"/>
      </w:pPr>
      <w:r w:rsidRPr="007F7EBF">
        <w:rPr>
          <w:rStyle w:val="Rimandonotaapidipagina"/>
        </w:rPr>
        <w:footnoteRef/>
      </w:r>
      <w:r w:rsidRPr="007F7EBF">
        <w:t xml:space="preserve"> Dove per il paese ospite, piccolo e con minori esigenze di finanza pubblica, sono molto apprezzate le modeste imposte sottratte all' altro stato (spesso con la sua tacita connivenza). </w:t>
      </w:r>
    </w:p>
  </w:footnote>
  <w:footnote w:id="1241">
    <w:p w14:paraId="4C00EBFB" w14:textId="77777777" w:rsidR="003B7460" w:rsidRPr="007F7EBF" w:rsidRDefault="003B7460">
      <w:pPr>
        <w:pStyle w:val="Testonotaapidipagina"/>
      </w:pPr>
      <w:r w:rsidRPr="007F7EBF">
        <w:rPr>
          <w:rStyle w:val="Rimandonotaapidipagina"/>
        </w:rPr>
        <w:footnoteRef/>
      </w:r>
      <w:r w:rsidRPr="007F7EBF">
        <w:t xml:space="preserve"> ) In quanto le imposte del paese della casa madre vengono comunque pagate al momento in cui quest’ultima percepisce i dividendi esteri che non hanno scontato imposte nel paese in cui sono stati prodotti. </w:t>
      </w:r>
    </w:p>
  </w:footnote>
  <w:footnote w:id="1242">
    <w:p w14:paraId="2EAA7AE6" w14:textId="77777777" w:rsidR="003B7460" w:rsidRPr="007F7EBF" w:rsidRDefault="003B7460" w:rsidP="00684E19">
      <w:pPr>
        <w:pStyle w:val="Testonotaapidipagina"/>
      </w:pPr>
      <w:r w:rsidRPr="007F7EBF">
        <w:rPr>
          <w:rStyle w:val="Rimandonotaapidipagina"/>
        </w:rPr>
        <w:footnoteRef/>
      </w:r>
      <w:r>
        <w:t>)</w:t>
      </w:r>
      <w:r w:rsidRPr="007F7EBF">
        <w:t xml:space="preserve"> E’ un altro riflesso delle libertà di circolazione tra paesi comunitari, di cui al par. 2.6. Cfr. Sentenza Cadbury Schweppes-2006, che ha limitato, nei rapporti tra stati membri dell'Unione, le regole di imputazione immediata (c.d. "</w:t>
      </w:r>
      <w:proofErr w:type="spellStart"/>
      <w:r w:rsidRPr="007F7EBF">
        <w:t>cfc</w:t>
      </w:r>
      <w:proofErr w:type="spellEnd"/>
      <w:r w:rsidRPr="007F7EBF">
        <w:t xml:space="preserve">") allo stato della capogruppo dei redditi di controllate estere, di cui diremo al termine di questo paragrafo. </w:t>
      </w:r>
    </w:p>
  </w:footnote>
  <w:footnote w:id="1243">
    <w:p w14:paraId="3C554737" w14:textId="14A51588" w:rsidR="003B7460" w:rsidRPr="007F7EBF" w:rsidRDefault="003B7460" w:rsidP="00FB44C6">
      <w:pPr>
        <w:pStyle w:val="Testonotaapidipagina"/>
      </w:pPr>
      <w:r w:rsidRPr="007F7EBF">
        <w:rPr>
          <w:rStyle w:val="Rimandonotaapidipagina"/>
        </w:rPr>
        <w:footnoteRef/>
      </w:r>
      <w:r w:rsidRPr="007F7EBF">
        <w:t xml:space="preserve">  ) </w:t>
      </w:r>
      <w:r>
        <w:t xml:space="preserve">Che esprime un consumo solo nell’ipotesi da fumetto in cui il </w:t>
      </w:r>
      <w:r w:rsidRPr="007F7EBF">
        <w:t xml:space="preserve"> miliardario stravagante, invece di pagare un pranzo, compra tutto il ristorante</w:t>
      </w:r>
      <w:r>
        <w:t>, per far licenziare il cameriere sgarbato</w:t>
      </w:r>
      <w:r w:rsidRPr="007F7EBF">
        <w:t xml:space="preserve">. </w:t>
      </w:r>
    </w:p>
  </w:footnote>
  <w:footnote w:id="1244">
    <w:p w14:paraId="23CBDE79" w14:textId="77777777" w:rsidR="003B7460" w:rsidRDefault="003B7460" w:rsidP="00145297">
      <w:pPr>
        <w:pStyle w:val="Testonotaapidipagina"/>
      </w:pPr>
      <w:r>
        <w:rPr>
          <w:rStyle w:val="Rimandonotaapidipagina"/>
        </w:rPr>
        <w:footnoteRef/>
      </w:r>
      <w:r>
        <w:t xml:space="preserve"> ) </w:t>
      </w:r>
      <w:r>
        <w:rPr>
          <w:sz w:val="22"/>
          <w:szCs w:val="22"/>
        </w:rPr>
        <w:t>V</w:t>
      </w:r>
      <w:r w:rsidRPr="007F7EBF">
        <w:rPr>
          <w:sz w:val="22"/>
          <w:szCs w:val="22"/>
        </w:rPr>
        <w:t>isto che l' acquirente e il venditore  di un'azienda sono infatti per definizione operatori economici</w:t>
      </w:r>
      <w:r>
        <w:t xml:space="preserve">. Il venditore lo era per l’attività svolta, e il compratore, al limite, lo diventa acquistando l’azienda. </w:t>
      </w:r>
    </w:p>
  </w:footnote>
  <w:footnote w:id="1245">
    <w:p w14:paraId="0E6EFCB7" w14:textId="77777777" w:rsidR="003B7460" w:rsidRPr="007F7EBF" w:rsidRDefault="003B7460" w:rsidP="00723A84">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I criteri per la distribuzione del prezzo sui beni dell'azienda sono ampiamente discrezionali, ma spesso il compratore dell’azienda registrare  una parte del prezzo come “</w:t>
      </w:r>
      <w:r w:rsidRPr="007F7EBF">
        <w:rPr>
          <w:bCs/>
          <w:sz w:val="20"/>
          <w:szCs w:val="20"/>
        </w:rPr>
        <w:t xml:space="preserve">valore di avviamento </w:t>
      </w:r>
      <w:r w:rsidRPr="007F7EBF">
        <w:rPr>
          <w:sz w:val="20"/>
          <w:szCs w:val="20"/>
        </w:rPr>
        <w:t xml:space="preserve">”, nei termini indicati al par. 7.13 (dove abbiamo detto che raramente i beni dell'azienda hanno valore intrinseco isolatamente considerati, salvi </w:t>
      </w:r>
    </w:p>
    <w:p w14:paraId="52E1C01C" w14:textId="77777777" w:rsidR="003B7460" w:rsidRPr="007F7EBF" w:rsidRDefault="003B7460" w:rsidP="00723A84">
      <w:pPr>
        <w:pStyle w:val="Testonotaapidipagina"/>
      </w:pPr>
      <w:r w:rsidRPr="007F7EBF">
        <w:t>immobili abitativi e terreni edificabili, con un prezzo di mercato per altre utilizzazioni</w:t>
      </w:r>
    </w:p>
  </w:footnote>
  <w:footnote w:id="1246">
    <w:p w14:paraId="30AAE9A9" w14:textId="77777777" w:rsidR="003B7460" w:rsidRPr="007F7EBF" w:rsidRDefault="003B7460">
      <w:pPr>
        <w:pStyle w:val="Testonotaapidipagina"/>
      </w:pPr>
      <w:r w:rsidRPr="007F7EBF">
        <w:rPr>
          <w:rStyle w:val="Rimandonotaapidipagina"/>
        </w:rPr>
        <w:footnoteRef/>
      </w:r>
      <w:r w:rsidRPr="007F7EBF">
        <w:t xml:space="preserve"> Esenzione delle plusvalenze e indeducibilità minusvalenze. </w:t>
      </w:r>
    </w:p>
  </w:footnote>
  <w:footnote w:id="1247">
    <w:p w14:paraId="27D2B936" w14:textId="77777777" w:rsidR="003B7460" w:rsidRPr="007F7EBF" w:rsidRDefault="003B7460" w:rsidP="00726D79">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Qualche volta ci sono dei "concambi" di partecipazioni tra i soci delle società coinvolte, ma la sostituzione delle partecipazioni con altre partecipazioni non comporta realizzo, perché sempre di partecipazioni si tratta , mancando quindi quella "commutazione" necessaria per la </w:t>
      </w:r>
      <w:proofErr w:type="spellStart"/>
      <w:r w:rsidRPr="007F7EBF">
        <w:rPr>
          <w:sz w:val="20"/>
          <w:szCs w:val="20"/>
        </w:rPr>
        <w:t>realizzatività</w:t>
      </w:r>
      <w:proofErr w:type="spellEnd"/>
      <w:r w:rsidRPr="007F7EBF">
        <w:rPr>
          <w:sz w:val="20"/>
          <w:szCs w:val="20"/>
        </w:rPr>
        <w:t xml:space="preserve"> (sono ovviamente imponibili i conguagli in denaro). </w:t>
      </w:r>
    </w:p>
  </w:footnote>
  <w:footnote w:id="1248">
    <w:p w14:paraId="234A9721" w14:textId="731BBFE5" w:rsidR="003B7460" w:rsidRDefault="003B7460">
      <w:pPr>
        <w:pStyle w:val="Testonotaapidipagina"/>
      </w:pPr>
      <w:r>
        <w:rPr>
          <w:rStyle w:val="Rimandonotaapidipagina"/>
        </w:rPr>
        <w:footnoteRef/>
      </w:r>
      <w:r>
        <w:t xml:space="preserve"> ) Solo qualora queste operazioni alterassero il regime naturale degli elementi patrimoniali aziendali, eliminando l’imponibilità futura delle relative plusvalenze, esse dovrebbero a rigore </w:t>
      </w:r>
      <w:proofErr w:type="spellStart"/>
      <w:r>
        <w:t>diventarlo</w:t>
      </w:r>
      <w:proofErr w:type="spellEnd"/>
      <w:r>
        <w:t xml:space="preserve"> subito. </w:t>
      </w:r>
    </w:p>
  </w:footnote>
  <w:footnote w:id="1249">
    <w:p w14:paraId="5A1804AA" w14:textId="5B97C10C" w:rsidR="003B7460" w:rsidRPr="007F7EBF" w:rsidRDefault="003B7460">
      <w:pPr>
        <w:pStyle w:val="Testonotaapidipagina"/>
      </w:pPr>
      <w:r w:rsidRPr="007F7EBF">
        <w:rPr>
          <w:rStyle w:val="Rimandonotaapidipagina"/>
        </w:rPr>
        <w:footnoteRef/>
      </w:r>
      <w:r w:rsidRPr="007F7EBF">
        <w:t xml:space="preserve"> </w:t>
      </w:r>
      <w:r>
        <w:t xml:space="preserve">) </w:t>
      </w:r>
      <w:r w:rsidRPr="007F7EBF">
        <w:t>Nelle trasformazioni non c'è neppure l'unione o separazione di soggetti, presente nelle fusioni o nelle scissioni</w:t>
      </w:r>
    </w:p>
  </w:footnote>
  <w:footnote w:id="1250">
    <w:p w14:paraId="6677C280" w14:textId="77777777" w:rsidR="003B7460" w:rsidRPr="007F7EBF" w:rsidRDefault="003B7460">
      <w:pPr>
        <w:pStyle w:val="Testonotaapidipagina"/>
      </w:pPr>
      <w:r w:rsidRPr="007F7EBF">
        <w:rPr>
          <w:rStyle w:val="Rimandonotaapidipagina"/>
        </w:rPr>
        <w:footnoteRef/>
      </w:r>
      <w:r w:rsidRPr="007F7EBF">
        <w:t xml:space="preserve"> Il conferente insomma non riceve "soldi", ma "figurine" rappresentative idealmente dei beni conferiti.</w:t>
      </w:r>
    </w:p>
  </w:footnote>
  <w:footnote w:id="1251">
    <w:p w14:paraId="1B6D930D" w14:textId="77638012" w:rsidR="003B7460" w:rsidRPr="007F7EBF" w:rsidRDefault="003B7460">
      <w:pPr>
        <w:pStyle w:val="Testonotaapidipagina"/>
      </w:pPr>
      <w:r w:rsidRPr="007F7EBF">
        <w:rPr>
          <w:rStyle w:val="Rimandonotaapidipagina"/>
        </w:rPr>
        <w:footnoteRef/>
      </w:r>
      <w:r>
        <w:t>) Anche p</w:t>
      </w:r>
      <w:r w:rsidRPr="007F7EBF">
        <w:t>er quest</w:t>
      </w:r>
      <w:r>
        <w:t>o i conferimenti in natura di beni diversi dalle aziende sono rarissimi</w:t>
      </w:r>
      <w:r w:rsidRPr="007F7EBF">
        <w:t xml:space="preserve">. </w:t>
      </w:r>
    </w:p>
  </w:footnote>
  <w:footnote w:id="1252">
    <w:p w14:paraId="55AF1870" w14:textId="1FF74745" w:rsidR="003B7460" w:rsidRPr="007F7EBF" w:rsidRDefault="003B7460">
      <w:pPr>
        <w:pStyle w:val="Testonotaapidipagina"/>
      </w:pPr>
      <w:r w:rsidRPr="007F7EBF">
        <w:rPr>
          <w:rStyle w:val="Rimandonotaapidipagina"/>
        </w:rPr>
        <w:footnoteRef/>
      </w:r>
      <w:r w:rsidRPr="007F7EBF">
        <w:t xml:space="preserve"> ) </w:t>
      </w:r>
      <w:r>
        <w:t xml:space="preserve">Visto che </w:t>
      </w:r>
      <w:r w:rsidRPr="007F7EBF">
        <w:t xml:space="preserve">le entità fallite sono ex organizzazioni pluripersonali, in quanto </w:t>
      </w:r>
      <w:r>
        <w:t>piccoli commercianti e artigiani</w:t>
      </w:r>
      <w:r w:rsidRPr="007F7EBF">
        <w:t xml:space="preserve">, </w:t>
      </w:r>
      <w:r>
        <w:t xml:space="preserve">come </w:t>
      </w:r>
      <w:r w:rsidRPr="007F7EBF">
        <w:t xml:space="preserve">“piccoli imprenditori” sono esclusi  da fallimento. </w:t>
      </w:r>
    </w:p>
  </w:footnote>
  <w:footnote w:id="1253">
    <w:p w14:paraId="2CD7B451" w14:textId="6DA7F9B8" w:rsidR="003B7460" w:rsidRDefault="003B7460">
      <w:pPr>
        <w:pStyle w:val="Testonotaapidipagina"/>
      </w:pPr>
      <w:r>
        <w:rPr>
          <w:rStyle w:val="Rimandonotaapidipagina"/>
        </w:rPr>
        <w:footnoteRef/>
      </w:r>
      <w:r>
        <w:t xml:space="preserve"> ) Si pensi all’acquisto di società di calcio. </w:t>
      </w:r>
    </w:p>
  </w:footnote>
  <w:footnote w:id="1254">
    <w:p w14:paraId="50E8D37E" w14:textId="75BF8BA3" w:rsidR="003B7460" w:rsidRDefault="003B7460">
      <w:pPr>
        <w:pStyle w:val="Testonotaapidipagina"/>
      </w:pPr>
      <w:r>
        <w:rPr>
          <w:rStyle w:val="Rimandonotaapidipagina"/>
        </w:rPr>
        <w:footnoteRef/>
      </w:r>
      <w:r>
        <w:t xml:space="preserve"> ) Finendo sotto i riflettori, e quindi all’attenzione della magistratura, con fughe all’estero e simili, tipo Felice Riva, Calisto Tanzi, Luciano Gaucci, Sergio Cragnotti, Mario Marenco ed altri oggetto di notizie di cronaca. </w:t>
      </w:r>
    </w:p>
  </w:footnote>
  <w:footnote w:id="1255">
    <w:p w14:paraId="7775AC7D" w14:textId="4AC74920" w:rsidR="003B7460" w:rsidRDefault="003B7460">
      <w:pPr>
        <w:pStyle w:val="Testonotaapidipagina"/>
      </w:pPr>
      <w:r>
        <w:rPr>
          <w:rStyle w:val="Rimandonotaapidipagina"/>
        </w:rPr>
        <w:footnoteRef/>
      </w:r>
      <w:r>
        <w:t xml:space="preserve"> ) Questi comportamenti, stavolta, non sarebbero rivolti solo a danno del fisco, ma anche dei creditori. Del resto, la distrazione di ricavi e le fatture false sono strumenti per così dire “polivalenti”; fino a un certo punto riducono i redditi, poi creano debiti, che alla lunga l’azienda non potrà ripagare, andando in fallimento.</w:t>
      </w:r>
    </w:p>
  </w:footnote>
  <w:footnote w:id="1256">
    <w:p w14:paraId="6B029BD5" w14:textId="77777777" w:rsidR="003B7460" w:rsidRDefault="003B7460" w:rsidP="00FB0877">
      <w:pPr>
        <w:pStyle w:val="Testonotaapidipagina"/>
      </w:pPr>
      <w:r>
        <w:rPr>
          <w:rStyle w:val="Rimandonotaapidipagina"/>
        </w:rPr>
        <w:footnoteRef/>
      </w:r>
      <w:r>
        <w:t xml:space="preserve"> ) Se non sono arrivati alla terza età , dopo il fallimento può scattare una nuova iniziativa all’insegna di  “altro giro altra corsa”..   </w:t>
      </w:r>
    </w:p>
  </w:footnote>
  <w:footnote w:id="1257">
    <w:p w14:paraId="3F149D74" w14:textId="067E9412" w:rsidR="003B7460" w:rsidRDefault="003B7460">
      <w:pPr>
        <w:pStyle w:val="Testonotaapidipagina"/>
      </w:pPr>
      <w:r>
        <w:rPr>
          <w:rStyle w:val="Rimandonotaapidipagina"/>
        </w:rPr>
        <w:footnoteRef/>
      </w:r>
      <w:r>
        <w:t xml:space="preserve"> ) Il ritornello proposto ai creditori ricorda per molti versi quello ascoltabile digitando su </w:t>
      </w:r>
      <w:proofErr w:type="spellStart"/>
      <w:r>
        <w:t>youtube</w:t>
      </w:r>
      <w:proofErr w:type="spellEnd"/>
      <w:r>
        <w:t xml:space="preserve"> “</w:t>
      </w:r>
      <w:proofErr w:type="spellStart"/>
      <w:r>
        <w:t>Simm’è</w:t>
      </w:r>
      <w:proofErr w:type="spellEnd"/>
      <w:r>
        <w:t xml:space="preserve"> </w:t>
      </w:r>
      <w:proofErr w:type="spellStart"/>
      <w:r>
        <w:t>Napule</w:t>
      </w:r>
      <w:proofErr w:type="spellEnd"/>
      <w:r>
        <w:t xml:space="preserve"> Paisà”. </w:t>
      </w:r>
    </w:p>
  </w:footnote>
  <w:footnote w:id="1258">
    <w:p w14:paraId="625EAF08" w14:textId="3500BBAF" w:rsidR="003B7460" w:rsidRDefault="003B7460">
      <w:pPr>
        <w:pStyle w:val="Testonotaapidipagina"/>
      </w:pPr>
      <w:r>
        <w:rPr>
          <w:rStyle w:val="Rimandonotaapidipagina"/>
        </w:rPr>
        <w:footnoteRef/>
      </w:r>
      <w:r>
        <w:t xml:space="preserve"> ) C’è </w:t>
      </w:r>
      <w:r w:rsidRPr="007F7EBF">
        <w:t xml:space="preserve">una discontinuità tra </w:t>
      </w:r>
      <w:r w:rsidRPr="007F7EBF">
        <w:rPr>
          <w:bCs/>
        </w:rPr>
        <w:t>bilancio di apertura e situazione precedente, cioè valori fiscali dell'impresa anteriori al fallimento</w:t>
      </w:r>
      <w:r w:rsidRPr="007F7EBF">
        <w:t>. Potrebbero essere inseriti nel bilancio di apertura crediti per ricavi mai dichiarati, o potrebbero mancare attività iscritte nei precedenti bilanci, e che andrebbero considerate "</w:t>
      </w:r>
      <w:proofErr w:type="spellStart"/>
      <w:r w:rsidRPr="007F7EBF">
        <w:t>autoconsumate</w:t>
      </w:r>
      <w:proofErr w:type="spellEnd"/>
      <w:r w:rsidRPr="007F7EBF">
        <w:t>"</w:t>
      </w:r>
      <w:r>
        <w:t xml:space="preserve">. </w:t>
      </w:r>
    </w:p>
  </w:footnote>
  <w:footnote w:id="1259">
    <w:p w14:paraId="19E23747" w14:textId="1D1BD378" w:rsidR="003B7460" w:rsidRPr="006F4CD3" w:rsidRDefault="003B7460" w:rsidP="006F4CD3">
      <w:pPr>
        <w:autoSpaceDE w:val="0"/>
        <w:autoSpaceDN w:val="0"/>
        <w:adjustRightInd w:val="0"/>
        <w:rPr>
          <w:bCs/>
          <w:i/>
          <w:iCs/>
          <w:color w:val="0000FF"/>
          <w:sz w:val="20"/>
          <w:szCs w:val="20"/>
        </w:rPr>
      </w:pPr>
      <w:r w:rsidRPr="007F7EBF">
        <w:rPr>
          <w:rStyle w:val="Rimandonotaapidipagina"/>
          <w:sz w:val="20"/>
          <w:szCs w:val="20"/>
        </w:rPr>
        <w:footnoteRef/>
      </w:r>
      <w:r>
        <w:rPr>
          <w:sz w:val="20"/>
          <w:szCs w:val="20"/>
        </w:rPr>
        <w:t xml:space="preserve">) </w:t>
      </w:r>
      <w:r w:rsidRPr="007F7EBF">
        <w:t xml:space="preserve">Una simile disciplina, che sacrifica fortemente la precisione in nome della semplicità, </w:t>
      </w:r>
      <w:r>
        <w:t xml:space="preserve">e </w:t>
      </w:r>
      <w:r w:rsidRPr="007F7EBF">
        <w:t xml:space="preserve">dovrebbe indurre a </w:t>
      </w:r>
      <w:r>
        <w:t xml:space="preserve">contestazioni </w:t>
      </w:r>
      <w:r w:rsidRPr="007F7EBF">
        <w:t xml:space="preserve">antielusive </w:t>
      </w:r>
      <w:r>
        <w:t xml:space="preserve">verso </w:t>
      </w:r>
      <w:r w:rsidRPr="007F7EBF">
        <w:t>operazioni architettate ad arte, dove talvolta creditori e debitore appartengono allo stesso gruppo di società, allo scopo di beneficiare dei salti d’imposta che la normativa indubbiamente permette.</w:t>
      </w:r>
    </w:p>
  </w:footnote>
  <w:footnote w:id="1260">
    <w:p w14:paraId="7D0414C5" w14:textId="759E4FAB" w:rsidR="003B7460" w:rsidRDefault="003B7460">
      <w:pPr>
        <w:pStyle w:val="Testonotaapidipagina"/>
      </w:pPr>
      <w:r>
        <w:rPr>
          <w:rStyle w:val="Rimandonotaapidipagina"/>
        </w:rPr>
        <w:footnoteRef/>
      </w:r>
      <w:r>
        <w:t xml:space="preserve"> ) Abbiamo insomma anche “la burocratizzazione dei fallimenti”, in un ambiente anche piuttosto degradato, con scarso controllo sociale, frequenti arresti e persino stragi, come quella del 2015 al tribunale fallimentare di Milano. Decisamente meglio il tecnicismo tributario, pur con tutti gli inconvenienti di cui al par.3.16. </w:t>
      </w:r>
    </w:p>
  </w:footnote>
  <w:footnote w:id="1261">
    <w:p w14:paraId="3E1ADE12" w14:textId="7BC2AF6A" w:rsidR="003B7460" w:rsidRPr="007F7EBF" w:rsidRDefault="003B7460" w:rsidP="006F4CD3">
      <w:pPr>
        <w:pStyle w:val="Testonotaapidipagina"/>
      </w:pPr>
      <w:r w:rsidRPr="007F7EBF">
        <w:rPr>
          <w:rStyle w:val="Rimandonotaapidipagina"/>
        </w:rPr>
        <w:footnoteRef/>
      </w:r>
      <w:r w:rsidRPr="007F7EBF">
        <w:t xml:space="preserve"> ) Il fallimento, in quanto procedura pubblicistica di carattere autoritativo, interrompe tutte le azioni esecutive individuali, comprese quelle tributarie tramite </w:t>
      </w:r>
      <w:r>
        <w:t>la struttura di riscossione (già Equitalia) di cui al par.6.11</w:t>
      </w:r>
      <w:r w:rsidRPr="007F7EBF">
        <w:t xml:space="preserve">. </w:t>
      </w:r>
    </w:p>
  </w:footnote>
  <w:footnote w:id="1262">
    <w:p w14:paraId="79062ABA" w14:textId="27DA3ED7" w:rsidR="003B7460" w:rsidRPr="007F7EBF" w:rsidRDefault="003B7460" w:rsidP="006F4CD3">
      <w:pPr>
        <w:pStyle w:val="Testonotaapidipagina"/>
      </w:pPr>
      <w:r w:rsidRPr="007F7EBF">
        <w:rPr>
          <w:rStyle w:val="Rimandonotaapidipagina"/>
        </w:rPr>
        <w:footnoteRef/>
      </w:r>
      <w:r w:rsidRPr="007F7EBF">
        <w:t xml:space="preserve"> ) </w:t>
      </w:r>
      <w:r>
        <w:rPr>
          <w:sz w:val="22"/>
          <w:szCs w:val="22"/>
        </w:rPr>
        <w:t xml:space="preserve">Pare tuttavia che le valutazioni prospettiche “sul futuro” sostituiscano quelle sul passato, relative ai motivi del dissesto, se non troppo clamorosi. </w:t>
      </w:r>
      <w:r>
        <w:t>E’ insomma più facile dire “non ci sono soldi” che imbarcarsi in complesse analisi sul perché, valutando gli imponibili del passato. Torna quindi il fallimento come “porto delle nebbie”, via d’uscita per evasioni fiscali e sperperi,</w:t>
      </w:r>
      <w:r w:rsidRPr="007F7EBF">
        <w:t xml:space="preserve"> in danno</w:t>
      </w:r>
      <w:r>
        <w:t xml:space="preserve"> sia</w:t>
      </w:r>
      <w:r w:rsidRPr="007F7EBF">
        <w:t xml:space="preserve"> dell’erario </w:t>
      </w:r>
      <w:r>
        <w:t>sia</w:t>
      </w:r>
      <w:r w:rsidRPr="007F7EBF">
        <w:t xml:space="preserve"> degli altri creditori. </w:t>
      </w:r>
    </w:p>
  </w:footnote>
  <w:footnote w:id="1263">
    <w:p w14:paraId="54AF775D" w14:textId="20D7C622" w:rsidR="003B7460" w:rsidRDefault="003B7460">
      <w:pPr>
        <w:pStyle w:val="Testonotaapidipagina"/>
      </w:pPr>
      <w:r>
        <w:rPr>
          <w:rStyle w:val="Rimandonotaapidipagina"/>
        </w:rPr>
        <w:footnoteRef/>
      </w:r>
      <w:r>
        <w:t xml:space="preserve"> ) Una vera e propria saga legislativo-giurisprudenziale si sta svolgendo a proposito di notifica degli atti d’accertamento a società estinte, tra loro e gli ultimi soci, responsabili d’imposta (par.3.5) su cui il mio Società estinte: a che serve il “</w:t>
      </w:r>
      <w:proofErr w:type="spellStart"/>
      <w:r>
        <w:t>nosferatu</w:t>
      </w:r>
      <w:proofErr w:type="spellEnd"/>
      <w:r>
        <w:t xml:space="preserve"> tributario”? in </w:t>
      </w:r>
      <w:proofErr w:type="spellStart"/>
      <w:r>
        <w:t>wwwfondazionestuditributaricom</w:t>
      </w:r>
      <w:proofErr w:type="spellEnd"/>
      <w:r>
        <w:t>.</w:t>
      </w:r>
    </w:p>
  </w:footnote>
  <w:footnote w:id="1264">
    <w:p w14:paraId="55846149" w14:textId="3460E8E6" w:rsidR="003B7460" w:rsidRPr="007F7EBF" w:rsidRDefault="003B7460" w:rsidP="00C400A8">
      <w:pPr>
        <w:pStyle w:val="Testonotaapidipagina"/>
      </w:pPr>
      <w:r w:rsidRPr="007F7EBF">
        <w:rPr>
          <w:rStyle w:val="Rimandonotaapidipagina"/>
        </w:rPr>
        <w:footnoteRef/>
      </w:r>
      <w:r w:rsidRPr="007F7EBF">
        <w:t xml:space="preserve"> ) </w:t>
      </w:r>
      <w:r w:rsidRPr="007F7EBF">
        <w:rPr>
          <w:sz w:val="22"/>
          <w:szCs w:val="22"/>
        </w:rPr>
        <w:t xml:space="preserve">Proprio questa alta intensità di lavoro rende difficili le economie di scala connesse all'uso di macchinari tecnologici, </w:t>
      </w:r>
      <w:r>
        <w:rPr>
          <w:sz w:val="22"/>
          <w:szCs w:val="22"/>
        </w:rPr>
        <w:t>r</w:t>
      </w:r>
      <w:r w:rsidRPr="007F7EBF">
        <w:t xml:space="preserve">elativamente più  importanti per studi  di ingegneria o architettura, mentre gli studi medici si avvalgono, per la diagnostica, di strutture separate di servizio, che fiscalmente hanno natura di impresa.  </w:t>
      </w:r>
    </w:p>
  </w:footnote>
  <w:footnote w:id="1265">
    <w:p w14:paraId="3C13E741" w14:textId="130B60AF" w:rsidR="003B7460" w:rsidRPr="007F7EBF" w:rsidRDefault="003B7460" w:rsidP="00153420">
      <w:pPr>
        <w:pStyle w:val="Testonotaapidipagina"/>
      </w:pPr>
      <w:r w:rsidRPr="007F7EBF">
        <w:rPr>
          <w:rStyle w:val="Rimandonotaapidipagina"/>
        </w:rPr>
        <w:footnoteRef/>
      </w:r>
      <w:r w:rsidRPr="007F7EBF">
        <w:t xml:space="preserve"> ) Basata cioè sulla differenza analitico-documentale tra compensi e spese</w:t>
      </w:r>
      <w:r>
        <w:t xml:space="preserve">, il che comporta le tematiche dell’”inerenza” nei medesimi termini di cui al par.7.9. </w:t>
      </w:r>
    </w:p>
  </w:footnote>
  <w:footnote w:id="1266">
    <w:p w14:paraId="406B6D7F" w14:textId="77777777" w:rsidR="003B7460" w:rsidRPr="007F7EBF" w:rsidRDefault="003B7460" w:rsidP="00153420">
      <w:pPr>
        <w:pStyle w:val="Testonotaapidipagina"/>
      </w:pPr>
      <w:r w:rsidRPr="007F7EBF">
        <w:rPr>
          <w:rStyle w:val="Rimandonotaapidipagina"/>
        </w:rPr>
        <w:footnoteRef/>
      </w:r>
      <w:r w:rsidRPr="007F7EBF">
        <w:t xml:space="preserve"> </w:t>
      </w:r>
      <w:r>
        <w:t>P</w:t>
      </w:r>
      <w:r w:rsidRPr="007F7EBF">
        <w:t>er questo -per i professionisti- ricevute fiscali e scontrini di cui al par.7.7 sono esclus</w:t>
      </w:r>
      <w:r>
        <w:t>i</w:t>
      </w:r>
      <w:r w:rsidRPr="007F7EBF">
        <w:t xml:space="preserve"> per definizione.</w:t>
      </w:r>
    </w:p>
  </w:footnote>
  <w:footnote w:id="1267">
    <w:p w14:paraId="51F15968" w14:textId="1FBB4C56" w:rsidR="003B7460" w:rsidRPr="007F7EBF" w:rsidRDefault="003B7460">
      <w:pPr>
        <w:pStyle w:val="Testonotaapidipagina"/>
      </w:pPr>
      <w:r w:rsidRPr="007F7EBF">
        <w:rPr>
          <w:rStyle w:val="Rimandonotaapidipagina"/>
        </w:rPr>
        <w:footnoteRef/>
      </w:r>
      <w:r w:rsidRPr="007F7EBF">
        <w:t xml:space="preserve"> )</w:t>
      </w:r>
      <w:r>
        <w:t xml:space="preserve"> La ritenuta, subìta dai professionisti sui compensi lordi, </w:t>
      </w:r>
      <w:r w:rsidRPr="007F7EBF">
        <w:t xml:space="preserve"> </w:t>
      </w:r>
      <w:r>
        <w:t xml:space="preserve">al momento dell’incasso, trascina tutta la categoria verso il “principio di cassa”, anche perché quello di competenza è più complesso e si addice ad aziende di certa dimensione. Tuttavia, per i beni strumentali dei professionisti è fatta però salva la deduzione attraverso gli ammortamenti (come per le imprese al par.7.15) e sono ammessi in deduzione gli accantonamenti per la liquidazione (trattamento fine rapporto) ai dipendenti.  Il principio di cassa esclude il problema delle “perdite su crediti”, rilevanti invece per le imprese, a fronte di redditi tassati per competenza in precedenti esercizi, ma di dubbia esigibilità. </w:t>
      </w:r>
    </w:p>
  </w:footnote>
  <w:footnote w:id="1268">
    <w:p w14:paraId="7222846A" w14:textId="4F359EF3" w:rsidR="003B7460" w:rsidRPr="007F7EBF" w:rsidRDefault="003B7460" w:rsidP="00CE35C2">
      <w:pPr>
        <w:pStyle w:val="Testonotaapidipagina"/>
      </w:pPr>
      <w:r w:rsidRPr="007F7EBF">
        <w:rPr>
          <w:rStyle w:val="Rimandonotaapidipagina"/>
        </w:rPr>
        <w:footnoteRef/>
      </w:r>
      <w:r w:rsidRPr="007F7EBF">
        <w:t xml:space="preserve"> Che però sono ben poca cosa e rappresentano un fenomeno tecnico trascurabile, rispetto al problema generale della determinazione </w:t>
      </w:r>
      <w:r>
        <w:t>degli imponibili,</w:t>
      </w:r>
      <w:r w:rsidRPr="007F7EBF">
        <w:t xml:space="preserve"> riguardante soprattutto la mancata registrazione dei compensi, come indicato ai parr.3.13, 5.13.</w:t>
      </w:r>
    </w:p>
  </w:footnote>
  <w:footnote w:id="1269">
    <w:p w14:paraId="675E5F1D" w14:textId="4A895C17" w:rsidR="003B7460" w:rsidRPr="007F7EBF" w:rsidRDefault="003B7460" w:rsidP="00363F0E">
      <w:pPr>
        <w:pStyle w:val="Testonotaapidipagina"/>
      </w:pPr>
      <w:r w:rsidRPr="007F7EBF">
        <w:rPr>
          <w:rStyle w:val="Rimandonotaapidipagina"/>
        </w:rPr>
        <w:footnoteRef/>
      </w:r>
      <w:r w:rsidRPr="007F7EBF">
        <w:t xml:space="preserve"> </w:t>
      </w:r>
      <w:r>
        <w:t xml:space="preserve">) </w:t>
      </w:r>
      <w:r w:rsidRPr="007F7EBF">
        <w:t>Nelle imposte sui redditi agricoli troviamo la teorica contropartita del diritto di sfruttare le terre</w:t>
      </w:r>
      <w:r>
        <w:t xml:space="preserve"> (D’Amati, </w:t>
      </w:r>
      <w:r w:rsidRPr="00E312AD">
        <w:rPr>
          <w:i/>
        </w:rPr>
        <w:t>La natura giuridica dell’imposta fondiaria</w:t>
      </w:r>
      <w:r>
        <w:t>)</w:t>
      </w:r>
      <w:r w:rsidRPr="007F7EBF">
        <w:t>, assente per tutte le altre imposte, a partire da quelle sulle merci, che manifestavano semplicemente il controllo politico-militare del territorio.</w:t>
      </w:r>
      <w:r>
        <w:t xml:space="preserve"> Le differenze tra </w:t>
      </w:r>
      <w:r w:rsidRPr="007F7EBF">
        <w:t>canone concessorio delle terre pubbliche</w:t>
      </w:r>
      <w:r>
        <w:t xml:space="preserve"> e </w:t>
      </w:r>
      <w:r w:rsidRPr="007F7EBF">
        <w:t xml:space="preserve">l’imposta fondiaria </w:t>
      </w:r>
      <w:r>
        <w:t>su</w:t>
      </w:r>
      <w:r w:rsidRPr="007F7EBF">
        <w:t xml:space="preserve">lle terre private ci sono, </w:t>
      </w:r>
      <w:r>
        <w:t xml:space="preserve">perché </w:t>
      </w:r>
      <w:r w:rsidRPr="007F7EBF">
        <w:t>il canone è indipendente dal reddito, e andrebbe pagato comunque, anche in caso di produzione bassa, mentre l’imposta è una quota del reddito (sui rapporti tra canoni concessori e imposte fondiarie sarebbero interessanti tesi di laurea o dottorato).</w:t>
      </w:r>
      <w:r>
        <w:t xml:space="preserve"> In entrambi i casi però occorre valutare l</w:t>
      </w:r>
      <w:r w:rsidRPr="007F7EBF">
        <w:t>’andamento dei raccolti</w:t>
      </w:r>
      <w:r>
        <w:t xml:space="preserve">, ad esempio </w:t>
      </w:r>
      <w:r w:rsidRPr="007F7EBF">
        <w:t>in base alle condizioni climatiche (piogge, calura, freddo, calamità, etc.)</w:t>
      </w:r>
      <w:r>
        <w:t xml:space="preserve">; </w:t>
      </w:r>
      <w:r w:rsidRPr="007F7EBF">
        <w:t xml:space="preserve"> già nell’antico Egitto la tassazione considerava l’altezza delle piene del Nilo (cfr. i cosiddetti "</w:t>
      </w:r>
      <w:proofErr w:type="spellStart"/>
      <w:r w:rsidRPr="007F7EBF">
        <w:t>Nilometri</w:t>
      </w:r>
      <w:proofErr w:type="spellEnd"/>
      <w:r w:rsidRPr="007F7EBF">
        <w:t xml:space="preserve">"). </w:t>
      </w:r>
    </w:p>
  </w:footnote>
  <w:footnote w:id="1270">
    <w:p w14:paraId="187A9523" w14:textId="77777777" w:rsidR="003B7460" w:rsidRPr="007F7EBF" w:rsidRDefault="003B7460" w:rsidP="00363F0E">
      <w:pPr>
        <w:pStyle w:val="Testonotaapidipagina"/>
      </w:pPr>
      <w:r w:rsidRPr="007F7EBF">
        <w:rPr>
          <w:rStyle w:val="Rimandonotaapidipagina"/>
        </w:rPr>
        <w:footnoteRef/>
      </w:r>
      <w:r w:rsidRPr="007F7EBF">
        <w:t xml:space="preserve"> </w:t>
      </w:r>
      <w:r>
        <w:t xml:space="preserve">) </w:t>
      </w:r>
      <w:r w:rsidRPr="007F7EBF">
        <w:t>Nel grande latifondo</w:t>
      </w:r>
      <w:r>
        <w:t>, anche del tardo impero Romano</w:t>
      </w:r>
      <w:r w:rsidRPr="007F7EBF">
        <w:t>, una qualche forma di organizzazione esisteva, ma essa non si prestava alla tassazione dei metodi ragionieristico-contabili della tassazione attraverso le aziende.</w:t>
      </w:r>
    </w:p>
  </w:footnote>
  <w:footnote w:id="1271">
    <w:p w14:paraId="06864D17" w14:textId="38D60FA4" w:rsidR="003B7460" w:rsidRDefault="003B7460">
      <w:pPr>
        <w:pStyle w:val="Testonotaapidipagina"/>
      </w:pPr>
      <w:r>
        <w:rPr>
          <w:rStyle w:val="Rimandonotaapidipagina"/>
        </w:rPr>
        <w:footnoteRef/>
      </w:r>
      <w:r>
        <w:t xml:space="preserve"> ) </w:t>
      </w:r>
      <w:r>
        <w:rPr>
          <w:sz w:val="22"/>
          <w:szCs w:val="22"/>
        </w:rPr>
        <w:t xml:space="preserve">Appaltatori di imposte su cui parr.1.2,, 1.4, e 1.11 per le disfunzioni che vi si connettevano. </w:t>
      </w:r>
    </w:p>
  </w:footnote>
  <w:footnote w:id="1272">
    <w:p w14:paraId="2506431E" w14:textId="77777777" w:rsidR="003B7460" w:rsidRDefault="003B7460" w:rsidP="00363F0E">
      <w:pPr>
        <w:pStyle w:val="Testonotaapidipagina"/>
      </w:pPr>
      <w:r>
        <w:rPr>
          <w:rStyle w:val="Rimandonotaapidipagina"/>
        </w:rPr>
        <w:footnoteRef/>
      </w:r>
      <w:r>
        <w:t xml:space="preserve"> ) La terra </w:t>
      </w:r>
      <w:r w:rsidRPr="007F7EBF">
        <w:t>è uno dei primi collegamenti della sfera economico-produttiva con quella politico-giuridica</w:t>
      </w:r>
      <w:r>
        <w:t xml:space="preserve">; era infatti il potere militare, la forza, su cui si fondava la politica, a garantire lo sfruttamento delle terre, venendone mantenuto con canoni simili ai tributi. Di questa dialettica rende l’idea </w:t>
      </w:r>
      <w:r w:rsidRPr="007F7EBF">
        <w:t>l’antico aforisma, in auge nel ventennio fascista, secondo cui  “E’ l’aratro che traccia il solco, ma è la spada che lo difende”</w:t>
      </w:r>
    </w:p>
  </w:footnote>
  <w:footnote w:id="1273">
    <w:p w14:paraId="4257DA5A" w14:textId="59B04A74" w:rsidR="003B7460" w:rsidRPr="007F7EBF" w:rsidRDefault="003B7460" w:rsidP="008834E7">
      <w:pPr>
        <w:pStyle w:val="Testonotaapidipagina"/>
      </w:pPr>
      <w:r w:rsidRPr="007F7EBF">
        <w:rPr>
          <w:rStyle w:val="Rimandonotaapidipagina"/>
        </w:rPr>
        <w:footnoteRef/>
      </w:r>
      <w:r w:rsidRPr="007F7EBF">
        <w:t xml:space="preserve"> ) Il reddito catastale è oggi diviso in due quote, una connessa alla proprietà del terreno</w:t>
      </w:r>
      <w:r>
        <w:t xml:space="preserve"> (reddito dominicale) </w:t>
      </w:r>
      <w:r w:rsidRPr="007F7EBF">
        <w:t xml:space="preserve">e una alla coltivazione (reddito agrario); quindi, il locatore del terreno agricolo avrà un reddito pari a quello catastale dominicale, con un vantaggio se quello effettivo è superiore. </w:t>
      </w:r>
    </w:p>
  </w:footnote>
  <w:footnote w:id="1274">
    <w:p w14:paraId="5BA70297" w14:textId="4CE112C9" w:rsidR="003B7460" w:rsidRDefault="003B7460">
      <w:pPr>
        <w:pStyle w:val="Testonotaapidipagina"/>
      </w:pPr>
      <w:r>
        <w:rPr>
          <w:rStyle w:val="Rimandonotaapidipagina"/>
        </w:rPr>
        <w:footnoteRef/>
      </w:r>
      <w:r>
        <w:t xml:space="preserve"> ) Si pensi alla vendita o all’affitto di macchinari, nonché a contributi pubblici e comunitari, come pure all’agriturismo, per cui esistono regole specifiche.</w:t>
      </w:r>
    </w:p>
  </w:footnote>
  <w:footnote w:id="1275">
    <w:p w14:paraId="55AEB041" w14:textId="66518093" w:rsidR="003B7460" w:rsidRPr="007F7EBF" w:rsidRDefault="003B7460">
      <w:pPr>
        <w:pStyle w:val="Testonotaapidipagina"/>
      </w:pPr>
      <w:r w:rsidRPr="007F7EBF">
        <w:rPr>
          <w:rStyle w:val="Rimandonotaapidipagina"/>
        </w:rPr>
        <w:footnoteRef/>
      </w:r>
      <w:r w:rsidRPr="007F7EBF">
        <w:t xml:space="preserve"> </w:t>
      </w:r>
      <w:r>
        <w:t xml:space="preserve">) </w:t>
      </w:r>
      <w:r w:rsidRPr="007F7EBF">
        <w:t>E' consentito usare anche prodotti agricoli di terzi, per la trasformazione , ma in una misura legata  alla produttività del terreno</w:t>
      </w:r>
    </w:p>
  </w:footnote>
  <w:footnote w:id="1276">
    <w:p w14:paraId="35F1BE24" w14:textId="471D5507" w:rsidR="003B7460" w:rsidRPr="007F7EBF" w:rsidRDefault="003B7460" w:rsidP="00DA5CCD">
      <w:pPr>
        <w:autoSpaceDE w:val="0"/>
        <w:autoSpaceDN w:val="0"/>
        <w:adjustRightInd w:val="0"/>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 xml:space="preserve">In via </w:t>
      </w:r>
      <w:r>
        <w:rPr>
          <w:sz w:val="20"/>
          <w:szCs w:val="20"/>
        </w:rPr>
        <w:t>logica</w:t>
      </w:r>
      <w:r w:rsidRPr="007F7EBF">
        <w:rPr>
          <w:sz w:val="20"/>
          <w:szCs w:val="20"/>
        </w:rPr>
        <w:t xml:space="preserve">, invece, la determinazione catastale dovrebbe </w:t>
      </w:r>
      <w:r w:rsidRPr="007F7EBF">
        <w:rPr>
          <w:bCs/>
          <w:sz w:val="20"/>
          <w:szCs w:val="20"/>
        </w:rPr>
        <w:t xml:space="preserve">rimanere </w:t>
      </w:r>
      <w:r w:rsidRPr="007F7EBF">
        <w:rPr>
          <w:sz w:val="20"/>
          <w:szCs w:val="20"/>
        </w:rPr>
        <w:t xml:space="preserve">solo per </w:t>
      </w:r>
      <w:r w:rsidRPr="007F7EBF">
        <w:rPr>
          <w:bCs/>
          <w:sz w:val="20"/>
          <w:szCs w:val="20"/>
        </w:rPr>
        <w:t xml:space="preserve">attività </w:t>
      </w:r>
      <w:r w:rsidRPr="007F7EBF">
        <w:rPr>
          <w:sz w:val="20"/>
          <w:szCs w:val="20"/>
        </w:rPr>
        <w:t xml:space="preserve">di </w:t>
      </w:r>
      <w:r w:rsidRPr="007F7EBF">
        <w:rPr>
          <w:bCs/>
          <w:sz w:val="20"/>
          <w:szCs w:val="20"/>
        </w:rPr>
        <w:t>piccole dimensioni</w:t>
      </w:r>
      <w:r w:rsidRPr="007F7EBF">
        <w:rPr>
          <w:sz w:val="20"/>
          <w:szCs w:val="20"/>
        </w:rPr>
        <w:t>, facili da stimare, dove la contabilità sarebbe inaffidabile</w:t>
      </w:r>
      <w:r>
        <w:rPr>
          <w:sz w:val="20"/>
          <w:szCs w:val="20"/>
        </w:rPr>
        <w:t xml:space="preserve"> </w:t>
      </w:r>
      <w:r w:rsidRPr="007F7EBF">
        <w:rPr>
          <w:sz w:val="20"/>
          <w:szCs w:val="20"/>
        </w:rPr>
        <w:t xml:space="preserve">e costosa (par. 3.13), mentre l’imprecisione resterebbe poco rilevante, trattandosi di redditi comunque modesti. </w:t>
      </w:r>
    </w:p>
  </w:footnote>
  <w:footnote w:id="1277">
    <w:p w14:paraId="161849CA" w14:textId="5B8B2531" w:rsidR="003B7460" w:rsidRPr="007F7EBF" w:rsidRDefault="003B7460" w:rsidP="000C3B00">
      <w:pPr>
        <w:pStyle w:val="Testonotaapidipagina"/>
      </w:pPr>
      <w:r w:rsidRPr="007F7EBF">
        <w:rPr>
          <w:rStyle w:val="Rimandonotaapidipagina"/>
        </w:rPr>
        <w:footnoteRef/>
      </w:r>
      <w:r w:rsidRPr="007F7EBF">
        <w:t xml:space="preserve"> )</w:t>
      </w:r>
      <w:r>
        <w:t xml:space="preserve"> Il rapporto </w:t>
      </w:r>
      <w:r w:rsidRPr="007F7EBF">
        <w:t xml:space="preserve">del gettito IRPEF </w:t>
      </w:r>
      <w:r>
        <w:t>da</w:t>
      </w:r>
      <w:r w:rsidRPr="007F7EBF">
        <w:t xml:space="preserve"> lavor</w:t>
      </w:r>
      <w:r>
        <w:t xml:space="preserve">o </w:t>
      </w:r>
      <w:r w:rsidRPr="007F7EBF">
        <w:t>dipendent</w:t>
      </w:r>
      <w:r>
        <w:t>e</w:t>
      </w:r>
      <w:r w:rsidRPr="007F7EBF">
        <w:t xml:space="preserve"> è in linea col rapporto tra lavoratori dipendenti e </w:t>
      </w:r>
      <w:r>
        <w:t>altri contribuenti</w:t>
      </w:r>
      <w:r w:rsidRPr="007F7EBF">
        <w:t xml:space="preserve">. </w:t>
      </w:r>
    </w:p>
  </w:footnote>
  <w:footnote w:id="1278">
    <w:p w14:paraId="3CD394A3" w14:textId="273B371B" w:rsidR="003B7460" w:rsidRPr="007F7EBF" w:rsidRDefault="003B7460">
      <w:pPr>
        <w:pStyle w:val="Testonotaapidipagina"/>
      </w:pPr>
      <w:r w:rsidRPr="007F7EBF">
        <w:rPr>
          <w:rStyle w:val="Rimandonotaapidipagina"/>
        </w:rPr>
        <w:footnoteRef/>
      </w:r>
      <w:r w:rsidRPr="007F7EBF">
        <w:t xml:space="preserve"> ) Si ripropone la stranezza secondo cui fiscalmente gli industriali non sono imprenditori, mentre lo sono artigiani e piccoli commercianti (par.7.5).</w:t>
      </w:r>
    </w:p>
  </w:footnote>
  <w:footnote w:id="1279">
    <w:p w14:paraId="1BFA0B48" w14:textId="22D724BC" w:rsidR="003B7460" w:rsidRPr="007F7EBF" w:rsidRDefault="003B7460">
      <w:pPr>
        <w:pStyle w:val="Testonotaapidipagina"/>
      </w:pPr>
      <w:r w:rsidRPr="007F7EBF">
        <w:rPr>
          <w:rStyle w:val="Rimandonotaapidipagina"/>
        </w:rPr>
        <w:footnoteRef/>
      </w:r>
      <w:r w:rsidRPr="007F7EBF">
        <w:t xml:space="preserve"> Si pensi alle forme di precariato remunerate “a partita IVA", diffuse anche nello spettacolo e </w:t>
      </w:r>
      <w:r>
        <w:t>n</w:t>
      </w:r>
      <w:r w:rsidRPr="007F7EBF">
        <w:t xml:space="preserve">el giornalismo. </w:t>
      </w:r>
    </w:p>
  </w:footnote>
  <w:footnote w:id="1280">
    <w:p w14:paraId="628F895E" w14:textId="77777777" w:rsidR="003B7460" w:rsidRPr="007F7EBF" w:rsidRDefault="003B7460">
      <w:pPr>
        <w:pStyle w:val="Testonotaapidipagina"/>
      </w:pPr>
      <w:r w:rsidRPr="007F7EBF">
        <w:rPr>
          <w:rStyle w:val="Rimandonotaapidipagina"/>
        </w:rPr>
        <w:footnoteRef/>
      </w:r>
      <w:r w:rsidRPr="007F7EBF">
        <w:t xml:space="preserve"> ) Che nel lavoro subordinato è progressiva come indicato al par.3.6, mentre in quello autonomo è proporzionale. Si tratta però di un “peccato veniale”, anche in un’ottica sostanzialistica. Per questo non si rilevano quindi contestazioni di omessa applicazione di ritenute di lavoro dipendente, come indicato nel testo, a rapporti formalmente inquadrati come prestazioni di servizi professionali (il caso è frequente nelle ipotesi di “esternalizzazione” di funzioni aziendali, come il trasporto). </w:t>
      </w:r>
    </w:p>
  </w:footnote>
  <w:footnote w:id="1281">
    <w:p w14:paraId="3795CE8A" w14:textId="77777777" w:rsidR="003B7460" w:rsidRPr="007F7EBF" w:rsidRDefault="003B7460">
      <w:pPr>
        <w:pStyle w:val="Testonotaapidipagina"/>
        <w:rPr>
          <w:i/>
        </w:rPr>
      </w:pPr>
      <w:r w:rsidRPr="007F7EBF">
        <w:rPr>
          <w:rStyle w:val="Rimandonotaapidipagina"/>
        </w:rPr>
        <w:footnoteRef/>
      </w:r>
      <w:r w:rsidRPr="007F7EBF">
        <w:t xml:space="preserve"> ) Rinviamo al par.3.8 a proposito dell’esternalizzazione di lavoro organizzato su soggetti terzi rispetto all’azienda utilizzatrice : si veda in proposito per un caso reale, abbastanza tipico,  il post su </w:t>
      </w:r>
      <w:proofErr w:type="spellStart"/>
      <w:r>
        <w:t>wwwfondazionestuditributari</w:t>
      </w:r>
      <w:proofErr w:type="spellEnd"/>
      <w:r>
        <w:t xml:space="preserve"> </w:t>
      </w:r>
      <w:hyperlink r:id="rId1" w:history="1"/>
      <w:r w:rsidRPr="007F7EBF">
        <w:t xml:space="preserve"> dal titolo </w:t>
      </w:r>
      <w:r w:rsidRPr="007F7EBF">
        <w:rPr>
          <w:i/>
        </w:rPr>
        <w:t xml:space="preserve">cooperative fasulle, il caso </w:t>
      </w:r>
      <w:proofErr w:type="spellStart"/>
      <w:r w:rsidRPr="007F7EBF">
        <w:rPr>
          <w:i/>
        </w:rPr>
        <w:t>gesconet</w:t>
      </w:r>
      <w:proofErr w:type="spellEnd"/>
      <w:r w:rsidRPr="007F7EBF">
        <w:rPr>
          <w:i/>
        </w:rPr>
        <w:t xml:space="preserve"> al di là del sensazionalismo</w:t>
      </w:r>
      <w:r>
        <w:rPr>
          <w:i/>
        </w:rPr>
        <w:t>.</w:t>
      </w:r>
    </w:p>
  </w:footnote>
  <w:footnote w:id="1282">
    <w:p w14:paraId="0921537C" w14:textId="6546B6B9" w:rsidR="003B7460" w:rsidRPr="007F7EBF" w:rsidRDefault="003B7460" w:rsidP="00053E71">
      <w:pPr>
        <w:pStyle w:val="Testonotaapidipagina"/>
      </w:pPr>
      <w:r w:rsidRPr="007F7EBF">
        <w:rPr>
          <w:rStyle w:val="Rimandonotaapidipagina"/>
        </w:rPr>
        <w:footnoteRef/>
      </w:r>
      <w:r w:rsidRPr="007F7EBF">
        <w:t xml:space="preserve"> Dove magari parecchi esponenti dell'intellighenzia che inveisce contro "la disonestà degli evasori" (par.4.6)</w:t>
      </w:r>
      <w:r>
        <w:t xml:space="preserve"> </w:t>
      </w:r>
      <w:r w:rsidRPr="007F7EBF">
        <w:t xml:space="preserve">pagano in nero la colf, la baby sitter o la badante. Il motivo è semplicemente lo stesso che induce piccoli commercianti o artigiani a pagare in nero la cassiera o l'apprendista, rafforzato dal fatto che Colf e Badanti, lavorando in un domicilio privato, sono meno visibili al fisco di chi opera in locali aperti al pubblico. </w:t>
      </w:r>
      <w:r>
        <w:t xml:space="preserve">Si conferma così che è la consapevolezza della visibilità degli imponibili a determinare i comportamenti in materia tributaria, al di là delle fantomatiche </w:t>
      </w:r>
      <w:r w:rsidRPr="007F7EBF">
        <w:t>onestà o disonestà</w:t>
      </w:r>
      <w:r>
        <w:t xml:space="preserve"> (par.4.5)</w:t>
      </w:r>
      <w:r w:rsidRPr="007F7EBF">
        <w:t xml:space="preserve">. </w:t>
      </w:r>
    </w:p>
  </w:footnote>
  <w:footnote w:id="1283">
    <w:p w14:paraId="5E8C7D3C" w14:textId="77777777" w:rsidR="003B7460" w:rsidRPr="007F7EBF" w:rsidRDefault="003B7460" w:rsidP="00053E71">
      <w:pPr>
        <w:pStyle w:val="Testonotaapidipagina"/>
      </w:pPr>
      <w:r w:rsidRPr="007F7EBF">
        <w:rPr>
          <w:rStyle w:val="Rimandonotaapidipagina"/>
        </w:rPr>
        <w:footnoteRef/>
      </w:r>
      <w:r w:rsidRPr="007F7EBF">
        <w:t xml:space="preserve"> ) A parità degli altri fattori. </w:t>
      </w:r>
    </w:p>
  </w:footnote>
  <w:footnote w:id="1284">
    <w:p w14:paraId="4EAD41AF" w14:textId="5AF2B087" w:rsidR="003B7460" w:rsidRPr="007F7EBF" w:rsidRDefault="003B7460" w:rsidP="00053E71">
      <w:pPr>
        <w:pStyle w:val="Testonotaapidipagina"/>
      </w:pPr>
      <w:r w:rsidRPr="007F7EBF">
        <w:rPr>
          <w:rStyle w:val="Rimandonotaapidipagina"/>
        </w:rPr>
        <w:footnoteRef/>
      </w:r>
      <w:r w:rsidRPr="007F7EBF">
        <w:t xml:space="preserve"> ) Il lavoro a domicilio pone infatti un problema di distinzione rispetto all’attività di impresa, tipica dell’artigiano</w:t>
      </w:r>
      <w:r>
        <w:t xml:space="preserve">, cui pure </w:t>
      </w:r>
      <w:r w:rsidRPr="007F7EBF">
        <w:t xml:space="preserve">il committente fornisce materie prime o semilavorati </w:t>
      </w:r>
      <w:r>
        <w:t>”in lavorazione”</w:t>
      </w:r>
      <w:r w:rsidRPr="007F7EBF">
        <w:t xml:space="preserve">. </w:t>
      </w:r>
    </w:p>
  </w:footnote>
  <w:footnote w:id="1285">
    <w:p w14:paraId="67BDBD13" w14:textId="62761C26" w:rsidR="003B7460" w:rsidRPr="007F7EBF" w:rsidRDefault="003B7460">
      <w:pPr>
        <w:pStyle w:val="Testonotaapidipagina"/>
      </w:pPr>
      <w:r w:rsidRPr="007F7EBF">
        <w:rPr>
          <w:rStyle w:val="Rimandonotaapidipagina"/>
        </w:rPr>
        <w:footnoteRef/>
      </w:r>
      <w:r w:rsidRPr="007F7EBF">
        <w:t xml:space="preserve"> ) </w:t>
      </w:r>
      <w:r>
        <w:t xml:space="preserve">La parte di contributi non trasformatasi in pensione non costituisce giustamente mai reddito, essendo in pratica un’imposta; la parte di pensione non coperta da precedenti contributi è alimentata da contributi di altri o da debito pubblico; la si potrebbe considerare un sussidio assistenziale </w:t>
      </w:r>
      <w:proofErr w:type="spellStart"/>
      <w:r>
        <w:t>ancorchè</w:t>
      </w:r>
      <w:proofErr w:type="spellEnd"/>
      <w:r>
        <w:t xml:space="preserve"> periodico, non costituente reddito. Tuttavia la difficoltà di dividere le due quote ha indotto a ritenerlo integralmente imponibile. </w:t>
      </w:r>
    </w:p>
  </w:footnote>
  <w:footnote w:id="1286">
    <w:p w14:paraId="6D7666B1" w14:textId="77777777" w:rsidR="003B7460" w:rsidRPr="007F7EBF" w:rsidRDefault="003B7460" w:rsidP="00646172">
      <w:pPr>
        <w:pStyle w:val="Testonotaapidipagina"/>
      </w:pPr>
      <w:r w:rsidRPr="007F7EBF">
        <w:rPr>
          <w:rStyle w:val="Rimandonotaapidipagina"/>
        </w:rPr>
        <w:footnoteRef/>
      </w:r>
      <w:r w:rsidRPr="007F7EBF">
        <w:t xml:space="preserve"> )  Sul rapporto concettuale tra  reddito e  risarcimento danni vedasi il par.9.2. </w:t>
      </w:r>
    </w:p>
  </w:footnote>
  <w:footnote w:id="1287">
    <w:p w14:paraId="7DC70564" w14:textId="77777777" w:rsidR="003B7460" w:rsidRPr="007F7EBF" w:rsidRDefault="003B7460" w:rsidP="001C4398">
      <w:pPr>
        <w:pStyle w:val="Testonotaapidipagina"/>
      </w:pPr>
      <w:r w:rsidRPr="007F7EBF">
        <w:rPr>
          <w:rStyle w:val="Rimandonotaapidipagina"/>
        </w:rPr>
        <w:footnoteRef/>
      </w:r>
      <w:r w:rsidRPr="007F7EBF">
        <w:t xml:space="preserve"> ) Art.13 comma 5 Tuir, dove questa detrazione , di circa 1100 euro, diminuisce all’aumentare del reddito, fino ad azzerarsi a 50 mila euro circa. Sull’assenza in generale di un “minimo imponibile”, segmentato invece per tipi di reddito vedi le riflessioni di cui al par.9.4. </w:t>
      </w:r>
    </w:p>
  </w:footnote>
  <w:footnote w:id="1288">
    <w:p w14:paraId="6C7C2ED3" w14:textId="77777777" w:rsidR="003B7460" w:rsidRDefault="003B7460" w:rsidP="001C4398">
      <w:pPr>
        <w:pStyle w:val="Testonotaapidipagina"/>
      </w:pPr>
      <w:r>
        <w:rPr>
          <w:rStyle w:val="Rimandonotaapidipagina"/>
        </w:rPr>
        <w:footnoteRef/>
      </w:r>
      <w:r>
        <w:t xml:space="preserve">) </w:t>
      </w:r>
      <w:r>
        <w:rPr>
          <w:sz w:val="22"/>
          <w:szCs w:val="22"/>
        </w:rPr>
        <w:t>C</w:t>
      </w:r>
      <w:r w:rsidRPr="007F7EBF">
        <w:rPr>
          <w:sz w:val="22"/>
          <w:szCs w:val="22"/>
        </w:rPr>
        <w:t xml:space="preserve">ome ad esempio l’auto aziendale, il telefono cellulare, il collegamento a internet, assicurazioni sulla vita, prestiti agevolati </w:t>
      </w:r>
      <w:r>
        <w:rPr>
          <w:sz w:val="22"/>
          <w:szCs w:val="22"/>
        </w:rPr>
        <w:t>, e il c.d. “welfare aziendale”, introdotto nel 2017, ma troppo tecnico, rispetto alla sua portata per essere esaminato in questa sede.</w:t>
      </w:r>
    </w:p>
  </w:footnote>
  <w:footnote w:id="1289">
    <w:p w14:paraId="7945F63F" w14:textId="77777777" w:rsidR="003B7460" w:rsidRPr="007F7EBF" w:rsidRDefault="003B7460" w:rsidP="001C4398">
      <w:pPr>
        <w:pStyle w:val="Testonotaapidipagina"/>
        <w:rPr>
          <w:i/>
        </w:rPr>
      </w:pPr>
      <w:r w:rsidRPr="007F7EBF">
        <w:rPr>
          <w:rStyle w:val="Rimandonotaapidipagina"/>
        </w:rPr>
        <w:footnoteRef/>
      </w:r>
      <w:r w:rsidRPr="007F7EBF">
        <w:t xml:space="preserve"> ) Espressi da una diaria giornaliera esente da tasse e contributi per spese di vitto e alloggio. Il rimborso specifico delle spese sostenute per la trasferta viene denominato, con espressione  abbastanza </w:t>
      </w:r>
      <w:proofErr w:type="spellStart"/>
      <w:r w:rsidRPr="007F7EBF">
        <w:t>autoesplicativa</w:t>
      </w:r>
      <w:proofErr w:type="spellEnd"/>
      <w:r w:rsidRPr="007F7EBF">
        <w:t xml:space="preserve"> </w:t>
      </w:r>
      <w:r w:rsidRPr="007F7EBF">
        <w:rPr>
          <w:i/>
        </w:rPr>
        <w:t xml:space="preserve">a piè di lista. </w:t>
      </w:r>
    </w:p>
  </w:footnote>
  <w:footnote w:id="1290">
    <w:p w14:paraId="093CB9EE" w14:textId="56241B4F" w:rsidR="003B7460" w:rsidRDefault="003B7460">
      <w:pPr>
        <w:pStyle w:val="Testonotaapidipagina"/>
      </w:pPr>
      <w:r>
        <w:rPr>
          <w:rStyle w:val="Rimandonotaapidipagina"/>
        </w:rPr>
        <w:footnoteRef/>
      </w:r>
      <w:r>
        <w:t xml:space="preserve"> ) Le possibilità di “fuori busta”(par.3.8) non sono vastissime. Non si vuole ovviamente togliere nulla al contenuto di lavoro dei redditi di piccoli commercianti e artigiani. </w:t>
      </w:r>
    </w:p>
  </w:footnote>
  <w:footnote w:id="1291">
    <w:p w14:paraId="523C1B14" w14:textId="4223845F" w:rsidR="003B7460" w:rsidRDefault="003B7460">
      <w:pPr>
        <w:pStyle w:val="Testonotaapidipagina"/>
      </w:pPr>
      <w:r>
        <w:rPr>
          <w:rStyle w:val="Rimandonotaapidipagina"/>
        </w:rPr>
        <w:footnoteRef/>
      </w:r>
      <w:r>
        <w:t xml:space="preserve"> ) Si tratta della </w:t>
      </w:r>
      <w:r>
        <w:rPr>
          <w:sz w:val="22"/>
          <w:szCs w:val="22"/>
        </w:rPr>
        <w:t>c.d. “rendita fondiaria”</w:t>
      </w:r>
      <w:r>
        <w:t>, cioè di un reddito di fonte patrimoniale, di cui abbiamo a rigore già incontrato al par.8.2 un esempio nel reddito agricolo “dominicale” spettante al titolare del terreno, anche a prescindere dal suo sfruttamento. Un altro esempio importante è la c.d. “rendita finanziaria” di cui al successivo paragrafo 8.5.</w:t>
      </w:r>
    </w:p>
  </w:footnote>
  <w:footnote w:id="1292">
    <w:p w14:paraId="6CC08AAB" w14:textId="20FA790E" w:rsidR="003B7460" w:rsidRDefault="003B7460">
      <w:pPr>
        <w:pStyle w:val="Testonotaapidipagina"/>
      </w:pPr>
      <w:r>
        <w:rPr>
          <w:rStyle w:val="Rimandonotaapidipagina"/>
        </w:rPr>
        <w:footnoteRef/>
      </w:r>
      <w:r>
        <w:t xml:space="preserve"> ) Si ricordi dal par.1.11 che tra i due litiganti (sia pur potenziali) il fisco gode. </w:t>
      </w:r>
    </w:p>
  </w:footnote>
  <w:footnote w:id="1293">
    <w:p w14:paraId="407CF989" w14:textId="5186D45E" w:rsidR="003B7460" w:rsidRDefault="003B7460">
      <w:pPr>
        <w:pStyle w:val="Testonotaapidipagina"/>
      </w:pPr>
      <w:r>
        <w:rPr>
          <w:rStyle w:val="Rimandonotaapidipagina"/>
        </w:rPr>
        <w:footnoteRef/>
      </w:r>
      <w:r>
        <w:t xml:space="preserve"> ) O anche un artigiano o professionista, interessato a dedurre il canone come costo. </w:t>
      </w:r>
    </w:p>
  </w:footnote>
  <w:footnote w:id="1294">
    <w:p w14:paraId="2FA11E1C" w14:textId="19F6C432" w:rsidR="003B7460" w:rsidRPr="007F7EBF" w:rsidRDefault="003B7460">
      <w:pPr>
        <w:pStyle w:val="Testonotaapidipagina"/>
      </w:pPr>
      <w:r w:rsidRPr="007F7EBF">
        <w:rPr>
          <w:rStyle w:val="Rimandonotaapidipagina"/>
        </w:rPr>
        <w:footnoteRef/>
      </w:r>
      <w:r w:rsidRPr="007F7EBF">
        <w:t xml:space="preserve"> ) L’inquilino è infatti comunque tutelato dalla possibilità di provare la locazione “di fatto”, dalla lunghezza delle cause di sfratto e dal favor della magistratura civile verso quella che viene considerata una “parte debole”. Il proprietario trae vantaggio dal contratto solo quando l’inquilino è un’organizzazione solvibile, il che non avviene per le locazioni abitative. </w:t>
      </w:r>
      <w:r w:rsidRPr="007F7EBF">
        <w:rPr>
          <w:sz w:val="22"/>
          <w:szCs w:val="22"/>
        </w:rPr>
        <w:t>Insomma, l</w:t>
      </w:r>
      <w:r>
        <w:rPr>
          <w:sz w:val="22"/>
          <w:szCs w:val="22"/>
        </w:rPr>
        <w:t xml:space="preserve">a rigidità formale </w:t>
      </w:r>
      <w:r w:rsidRPr="007F7EBF">
        <w:rPr>
          <w:sz w:val="22"/>
          <w:szCs w:val="22"/>
        </w:rPr>
        <w:t xml:space="preserve">dell'imposta di registro </w:t>
      </w:r>
      <w:r>
        <w:rPr>
          <w:sz w:val="22"/>
          <w:szCs w:val="22"/>
        </w:rPr>
        <w:t xml:space="preserve">sembra addirittura contrastare </w:t>
      </w:r>
      <w:r w:rsidRPr="007F7EBF">
        <w:rPr>
          <w:sz w:val="22"/>
          <w:szCs w:val="22"/>
        </w:rPr>
        <w:t>l'emersione dei redditi immobiliari</w:t>
      </w:r>
      <w:r>
        <w:rPr>
          <w:sz w:val="22"/>
          <w:szCs w:val="22"/>
        </w:rPr>
        <w:t xml:space="preserve">, visto che </w:t>
      </w:r>
      <w:r w:rsidRPr="007F7EBF">
        <w:t>buona parte dei  rapporti di locazione abitativa fronteggia esi</w:t>
      </w:r>
      <w:r>
        <w:t>g</w:t>
      </w:r>
      <w:r w:rsidRPr="007F7EBF">
        <w:t>en</w:t>
      </w:r>
      <w:r>
        <w:t>z</w:t>
      </w:r>
      <w:r w:rsidRPr="007F7EBF">
        <w:t>e mutevoli e transitorie</w:t>
      </w:r>
      <w:r>
        <w:t>, attratte dall’</w:t>
      </w:r>
      <w:r w:rsidRPr="007F7EBF">
        <w:t>informalità del “nero”</w:t>
      </w:r>
      <w:r>
        <w:t xml:space="preserve">, nonostante l’introduzione di una modesta imposta sostitutiva (20% ) sui redditi in esame. Uno strumento negoziale più flessibile, e utile a entrambe le parti, è il comodato con rimborso delle spese. </w:t>
      </w:r>
    </w:p>
  </w:footnote>
  <w:footnote w:id="1295">
    <w:p w14:paraId="530CDD1B" w14:textId="3B18C79F"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Per ottenere dal fisco il riconoscimento che i canoni, nel frattempo dichiarati, non sono stati riscossi, occorre  </w:t>
      </w:r>
      <w:r>
        <w:t xml:space="preserve">una </w:t>
      </w:r>
      <w:r w:rsidRPr="007F7EBF">
        <w:t xml:space="preserve">procedura defatigante, subordinata a una sentenza della magistratura, che comporta onerose spese di lite. Solo a quel punto i canoni dichiarati e non riscossi possono essere considerati "oneri deducibili" dal reddito complessivo (par.9.3). </w:t>
      </w:r>
      <w:r>
        <w:t>S</w:t>
      </w:r>
      <w:r w:rsidRPr="007F7EBF">
        <w:t xml:space="preserve">e poi il reddito immobiliare è l'unico posseduto, al momento della deduzione il contribuente rischia anche di essere "incapiente", cioè di non avere redditi </w:t>
      </w:r>
      <w:r>
        <w:t xml:space="preserve">sufficienti per </w:t>
      </w:r>
      <w:r w:rsidRPr="007F7EBF">
        <w:t>scomputare la somma deducibile</w:t>
      </w:r>
      <w:r>
        <w:t>, senza quindi poter recuperare a posteriori l’imposta a suo tempo pagata</w:t>
      </w:r>
      <w:r w:rsidRPr="007F7EBF">
        <w:t xml:space="preserve">. </w:t>
      </w:r>
      <w:r>
        <w:t xml:space="preserve">Anche questa prospettiva spinge ad affittare “in nero”, oppure a mascherare l’affitto con un “comodato”, oppure ad astenersi dalla locazione, tenendo sfitto l’alloggio. </w:t>
      </w:r>
      <w:r w:rsidRPr="007F7EBF">
        <w:t xml:space="preserve">   </w:t>
      </w:r>
    </w:p>
  </w:footnote>
  <w:footnote w:id="1296">
    <w:p w14:paraId="0A2A60BD" w14:textId="77777777" w:rsidR="003B7460" w:rsidRPr="007F7EBF" w:rsidRDefault="003B7460">
      <w:pPr>
        <w:pStyle w:val="Testonotaapidipagina"/>
      </w:pPr>
      <w:r w:rsidRPr="007F7EBF">
        <w:rPr>
          <w:rStyle w:val="Rimandonotaapidipagina"/>
        </w:rPr>
        <w:footnoteRef/>
      </w:r>
      <w:r w:rsidRPr="007F7EBF">
        <w:t xml:space="preserve"> Anche se alcune spese possono usufruire della detrazione per lavori edilizi di cui al par.9.3. </w:t>
      </w:r>
    </w:p>
  </w:footnote>
  <w:footnote w:id="1297">
    <w:p w14:paraId="16CDE517" w14:textId="1A37C52D" w:rsidR="003B7460" w:rsidRPr="007F7EBF" w:rsidRDefault="003B7460">
      <w:pPr>
        <w:pStyle w:val="Testonotaapidipagina"/>
      </w:pPr>
      <w:r w:rsidRPr="007F7EBF">
        <w:rPr>
          <w:rStyle w:val="Rimandonotaapidipagina"/>
        </w:rPr>
        <w:footnoteRef/>
      </w:r>
      <w:r w:rsidRPr="007F7EBF">
        <w:t xml:space="preserve"> </w:t>
      </w:r>
      <w:r>
        <w:t xml:space="preserve">) </w:t>
      </w:r>
      <w:r w:rsidRPr="007F7EBF">
        <w:rPr>
          <w:sz w:val="22"/>
          <w:szCs w:val="22"/>
        </w:rPr>
        <w:t>L'obiezione secondo cui la tassazione dei redditi di capitale provocherebbe la c.d.  doppia tassazione del risparmio è un'illusione ottica, in quanto l'interesse è un incremento di patrimonio, cioè reddito, anche se il patrimonio che si incrementa è stato formato con redditi tassati</w:t>
      </w:r>
      <w:r>
        <w:rPr>
          <w:sz w:val="22"/>
          <w:szCs w:val="22"/>
        </w:rPr>
        <w:t xml:space="preserve">. </w:t>
      </w:r>
      <w:r w:rsidRPr="007F7EBF">
        <w:t>Inoltre l'obiezione prova troppo perché sarebbe valida per qualsiasi investimento, anche fondiario o di impresa, effettuato con patrimonio proveniente da redditi tassati</w:t>
      </w:r>
      <w:r>
        <w:t xml:space="preserve"> (si pensi alla tassazione dei canoni di locazione). I dubbi al riguardo di alcuni economisti sembrano partire dal preconcetto che sui frutti del capitale formato con redditi tassati spetti, per chissà quale motivo, un’esenzione fiscale a tempo indeterminato</w:t>
      </w:r>
    </w:p>
  </w:footnote>
  <w:footnote w:id="1298">
    <w:p w14:paraId="73DA6032" w14:textId="77777777" w:rsidR="003B7460" w:rsidRPr="007F7EBF" w:rsidRDefault="003B7460">
      <w:pPr>
        <w:pStyle w:val="Testonotaapidipagina"/>
      </w:pPr>
      <w:r w:rsidRPr="007F7EBF">
        <w:rPr>
          <w:rStyle w:val="Rimandonotaapidipagina"/>
        </w:rPr>
        <w:footnoteRef/>
      </w:r>
      <w:r w:rsidRPr="007F7EBF">
        <w:t xml:space="preserve"> ) Per i dividendi, come anticipato ai par.7.17, la tassazione sostitutiva dei redditi finanziari non prevede, per disattenzioni contingenti, una riduzione di aliquota che tenga conto della tassazione in capo alla società erogante. Ne discende che il carico fiscale sui redditi societari spettanti a risparmiatori (soci detentori di piccole partecipazioni) supera quello dei soci con percentuali elevate, che inseriscono i redditi in Irpef, dove è previsto l’abbattimento correttivo di cui al par. 7.17, in modo da non superare un carico fiscale pari all’aliquota massima IRPEF.  </w:t>
      </w:r>
    </w:p>
  </w:footnote>
  <w:footnote w:id="1299">
    <w:p w14:paraId="1BA94AE3" w14:textId="113E0C59" w:rsidR="003B7460" w:rsidRPr="007F7EBF" w:rsidRDefault="003B7460">
      <w:pPr>
        <w:pStyle w:val="Testonotaapidipagina"/>
      </w:pPr>
      <w:r w:rsidRPr="007F7EBF">
        <w:rPr>
          <w:rStyle w:val="Rimandonotaapidipagina"/>
        </w:rPr>
        <w:footnoteRef/>
      </w:r>
      <w:r w:rsidRPr="007F7EBF">
        <w:t xml:space="preserve"> ) Rientrano tra i redditi di capitale i frutti (dividendi o interessi) mentre le plusvalenze da rivendita di azioni o obbligazioni (il c.d. “trading”), dipendendo dalla tempistica delle negoziazioni comportano redditi “diversi”, </w:t>
      </w:r>
      <w:r>
        <w:t xml:space="preserve">anche se di natura finanziaria, e quindi </w:t>
      </w:r>
      <w:r w:rsidRPr="007F7EBF">
        <w:t>sempre soggetti alla consueta imposizione sostitutiva di cui stiamo dicendo nel testo.</w:t>
      </w:r>
    </w:p>
  </w:footnote>
  <w:footnote w:id="1300">
    <w:p w14:paraId="344EA90D" w14:textId="03467803" w:rsidR="003B7460" w:rsidRPr="007F7EBF" w:rsidRDefault="003B7460" w:rsidP="00124C55">
      <w:pPr>
        <w:autoSpaceDE w:val="0"/>
        <w:autoSpaceDN w:val="0"/>
        <w:adjustRightInd w:val="0"/>
      </w:pPr>
      <w:r w:rsidRPr="007F7EBF">
        <w:rPr>
          <w:rStyle w:val="Rimandonotaapidipagina"/>
          <w:sz w:val="20"/>
          <w:szCs w:val="20"/>
        </w:rPr>
        <w:footnoteRef/>
      </w:r>
      <w:r>
        <w:rPr>
          <w:sz w:val="20"/>
          <w:szCs w:val="20"/>
        </w:rPr>
        <w:t xml:space="preserve">) </w:t>
      </w:r>
      <w:r w:rsidRPr="007F7EBF">
        <w:rPr>
          <w:sz w:val="20"/>
          <w:szCs w:val="20"/>
        </w:rPr>
        <w:t xml:space="preserve">Il risparmiatore potrebbe infatti cercare di "saltare gli </w:t>
      </w:r>
      <w:proofErr w:type="spellStart"/>
      <w:r w:rsidRPr="007F7EBF">
        <w:rPr>
          <w:sz w:val="20"/>
          <w:szCs w:val="20"/>
        </w:rPr>
        <w:t>intemerdiari</w:t>
      </w:r>
      <w:proofErr w:type="spellEnd"/>
      <w:r w:rsidRPr="007F7EBF">
        <w:rPr>
          <w:sz w:val="20"/>
          <w:szCs w:val="20"/>
        </w:rPr>
        <w:t>" o di usufruire di intermediari esteri, ma di norma preferisce una banca conosciuta e affidabile.</w:t>
      </w:r>
      <w:r w:rsidRPr="007F7EBF">
        <w:rPr>
          <w:bCs/>
          <w:i/>
          <w:iCs/>
          <w:color w:val="0000FF"/>
          <w:sz w:val="20"/>
          <w:szCs w:val="20"/>
        </w:rPr>
        <w:t xml:space="preserve"> </w:t>
      </w:r>
    </w:p>
  </w:footnote>
  <w:footnote w:id="1301">
    <w:p w14:paraId="1C5914DB" w14:textId="6D66584E" w:rsidR="003B7460" w:rsidRDefault="003B7460">
      <w:pPr>
        <w:pStyle w:val="Testonotaapidipagina"/>
      </w:pPr>
      <w:r>
        <w:rPr>
          <w:rStyle w:val="Rimandonotaapidipagina"/>
        </w:rPr>
        <w:footnoteRef/>
      </w:r>
      <w:r>
        <w:t xml:space="preserve"> ) E’ un’applicazione della regola generale che limita la rilevanza dei costi agli operatori economici; chi volesse dedurre gli interessi passivi usati per l’investimento finanziario dovrebbe costituire una società, cambiando regime fiscale e passando a quello ordinario di impresa, di cui al cap.7. </w:t>
      </w:r>
    </w:p>
  </w:footnote>
  <w:footnote w:id="1302">
    <w:p w14:paraId="7674789B" w14:textId="0CE943E7" w:rsidR="003B7460" w:rsidRPr="007F7EBF" w:rsidRDefault="003B7460">
      <w:pPr>
        <w:pStyle w:val="Testonotaapidipagina"/>
      </w:pPr>
      <w:r w:rsidRPr="007F7EBF">
        <w:rPr>
          <w:rStyle w:val="Rimandonotaapidipagina"/>
        </w:rPr>
        <w:footnoteRef/>
      </w:r>
      <w:r w:rsidRPr="007F7EBF">
        <w:t xml:space="preserve"> L'aliquota è invece ancora troppo modesta per le </w:t>
      </w:r>
      <w:r w:rsidRPr="007F7EBF">
        <w:rPr>
          <w:bCs/>
        </w:rPr>
        <w:t>plusvalenze su titoli</w:t>
      </w:r>
      <w:r w:rsidRPr="007F7EBF">
        <w:t xml:space="preserve">, per le quali l'inflazione è irrilevante; qui si tratta di redditi effettivi, il che legittimerebbe un innalzamento dell'imposizione sostitutiva, con facoltà per il percettore di trattarla come una "ritenuta d'acconto", inserendo i redditi in dichiarazione e beneficiando delle aliquote IRPEF; </w:t>
      </w:r>
      <w:r>
        <w:t xml:space="preserve">ciò </w:t>
      </w:r>
      <w:r w:rsidRPr="007F7EBF">
        <w:t>converrebbe a chi ha redditi modesti o a chi vuol far valere perdite, oneri deducibili, detrazioni, etc.</w:t>
      </w:r>
    </w:p>
  </w:footnote>
  <w:footnote w:id="1303">
    <w:p w14:paraId="6D43BFB4" w14:textId="0235147E" w:rsidR="003B7460" w:rsidRPr="007F7EBF" w:rsidRDefault="003B7460">
      <w:pPr>
        <w:pStyle w:val="Testonotaapidipagina"/>
      </w:pPr>
      <w:r w:rsidRPr="007F7EBF">
        <w:rPr>
          <w:rStyle w:val="Rimandonotaapidipagina"/>
        </w:rPr>
        <w:footnoteRef/>
      </w:r>
      <w:r w:rsidRPr="007F7EBF">
        <w:t xml:space="preserve"> ) Su cui mi sono soffermato in altre sedi, a proposito di interessi compensativi, moratori, etc.</w:t>
      </w:r>
      <w:r>
        <w:t xml:space="preserve">, ma è </w:t>
      </w:r>
      <w:r w:rsidRPr="007F7EBF">
        <w:t xml:space="preserve">un </w:t>
      </w:r>
      <w:r>
        <w:t xml:space="preserve">tema </w:t>
      </w:r>
      <w:r w:rsidRPr="007F7EBF">
        <w:t xml:space="preserve">più </w:t>
      </w:r>
      <w:r>
        <w:t>tecnico-</w:t>
      </w:r>
      <w:r w:rsidRPr="007F7EBF">
        <w:t>professionale</w:t>
      </w:r>
      <w:r>
        <w:t xml:space="preserve"> di studio sociale, secondo le distinzioni di cui ai </w:t>
      </w:r>
      <w:r w:rsidRPr="007F7EBF">
        <w:t>par</w:t>
      </w:r>
      <w:r>
        <w:t>r</w:t>
      </w:r>
      <w:r w:rsidRPr="007F7EBF">
        <w:t xml:space="preserve">.4.3-4.7. </w:t>
      </w:r>
    </w:p>
  </w:footnote>
  <w:footnote w:id="1304">
    <w:p w14:paraId="5B1E3DB9" w14:textId="135BF094" w:rsidR="003B7460" w:rsidRPr="007F7EBF" w:rsidRDefault="003B7460">
      <w:pPr>
        <w:pStyle w:val="Testonotaapidipagina"/>
      </w:pPr>
      <w:r w:rsidRPr="007F7EBF">
        <w:rPr>
          <w:rStyle w:val="Rimandonotaapidipagina"/>
        </w:rPr>
        <w:footnoteRef/>
      </w:r>
      <w:r w:rsidRPr="007F7EBF">
        <w:t xml:space="preserve"> ) In questa ipotesi l’interesse costituisce reddito della stessa categoria cui appartiene il credito cui si riferisce; ad esempio un credito professionale o di lavoro dipendente frutta interessi tassabili come reddito di lavoro dipendente, o professionale (art.6 </w:t>
      </w:r>
      <w:proofErr w:type="spellStart"/>
      <w:r w:rsidRPr="007F7EBF">
        <w:t>tuir</w:t>
      </w:r>
      <w:proofErr w:type="spellEnd"/>
      <w:r w:rsidRPr="007F7EBF">
        <w:t xml:space="preserve">). </w:t>
      </w:r>
      <w:r>
        <w:t xml:space="preserve">E’ palese l’intenzione legislativa di gestire questi interessi tramite il sostituto d’imposta. </w:t>
      </w:r>
    </w:p>
  </w:footnote>
  <w:footnote w:id="1305">
    <w:p w14:paraId="3232BA40" w14:textId="55DE40C6" w:rsidR="003B7460" w:rsidRPr="007F7EBF" w:rsidRDefault="003B7460" w:rsidP="009F303B">
      <w:pPr>
        <w:pStyle w:val="nota1"/>
        <w:rPr>
          <w:sz w:val="20"/>
          <w:szCs w:val="20"/>
          <w:lang w:val="it-IT"/>
        </w:rPr>
      </w:pPr>
      <w:r w:rsidRPr="007F7EBF">
        <w:rPr>
          <w:sz w:val="20"/>
          <w:szCs w:val="20"/>
          <w:vertAlign w:val="superscript"/>
        </w:rPr>
        <w:footnoteRef/>
      </w:r>
      <w:r w:rsidRPr="007F7EBF">
        <w:rPr>
          <w:sz w:val="20"/>
          <w:szCs w:val="20"/>
          <w:lang w:val="it-IT"/>
        </w:rPr>
        <w:t xml:space="preserve"> L’accusa di “definizione casistica” fu innescata dall’eliminazione della previsione residuale sulla tassazione di « ogni altro reddito » (art. 80 del D.P.R. 597 del 1973), abolita adducendo « esigenze di certezza », ma che comunque non era mai stata utilizzata per affermare l'imponibilità di proventi univocamente esclusi dal reddito imponibile in base alle norme sulle altre categorie di reddito: quando un certo provento, anche implicitamente, era escluso da una certa categoria di reddito senza sottintenderne la tassabilità in altre categorie, l'art. 80 non poteva essere invocato per tassarlo. Inoltre il soppresso articolo 80 non aveva di fatto provocato controversie così numerose da giustificarne l'abrogazione: si trattava di una di quelle disposizioni “indifferenti” sul piano sistematico e sociale</w:t>
      </w:r>
      <w:r>
        <w:rPr>
          <w:sz w:val="20"/>
          <w:szCs w:val="20"/>
          <w:lang w:val="it-IT"/>
        </w:rPr>
        <w:t>, e sopravvalutate dal giurista tecnico</w:t>
      </w:r>
      <w:r w:rsidRPr="007F7EBF">
        <w:rPr>
          <w:sz w:val="20"/>
          <w:szCs w:val="20"/>
          <w:lang w:val="it-IT"/>
        </w:rPr>
        <w:t>. Di fatto, dopo l’abolizione della disposizione, i pochi tentativi di sfuggire all’imposizione sui redditi facendo leva sulla “tassatività” normativa sono stati miseramente frustrati. Confermando che lo strumento principe se si vuole evitare la tassazione non è la sottigliezza giuridico interpretativa su vicende dichiarate</w:t>
      </w:r>
      <w:r>
        <w:rPr>
          <w:sz w:val="20"/>
          <w:szCs w:val="20"/>
          <w:lang w:val="it-IT"/>
        </w:rPr>
        <w:t xml:space="preserve"> (cioè l’elusione di cui al par.3.10)</w:t>
      </w:r>
      <w:r w:rsidRPr="007F7EBF">
        <w:rPr>
          <w:sz w:val="20"/>
          <w:szCs w:val="20"/>
          <w:lang w:val="it-IT"/>
        </w:rPr>
        <w:t xml:space="preserve">, ma l’evasione in senso materiale. </w:t>
      </w:r>
    </w:p>
  </w:footnote>
  <w:footnote w:id="1306">
    <w:p w14:paraId="5F1FED22" w14:textId="77777777" w:rsidR="003B7460" w:rsidRPr="007F7EBF" w:rsidRDefault="003B7460">
      <w:pPr>
        <w:pStyle w:val="Testonotaapidipagina"/>
      </w:pPr>
      <w:r w:rsidRPr="007F7EBF">
        <w:rPr>
          <w:rStyle w:val="Rimandonotaapidipagina"/>
        </w:rPr>
        <w:footnoteRef/>
      </w:r>
      <w:r w:rsidRPr="007F7EBF">
        <w:t xml:space="preserve"> Vi rientrano mezzo milione di contribuenti mentre l’impresa occasionale, dove la ritenuta non è prevista totalizza solo 20.000 contribuenti circa</w:t>
      </w:r>
    </w:p>
  </w:footnote>
  <w:footnote w:id="1307">
    <w:p w14:paraId="66D920EB" w14:textId="77777777" w:rsidR="003B7460" w:rsidRPr="007F7EBF" w:rsidRDefault="003B7460">
      <w:pPr>
        <w:pStyle w:val="Testonotaapidipagina"/>
      </w:pPr>
      <w:r w:rsidRPr="007F7EBF">
        <w:rPr>
          <w:rStyle w:val="Rimandonotaapidipagina"/>
        </w:rPr>
        <w:footnoteRef/>
      </w:r>
      <w:r w:rsidRPr="007F7EBF">
        <w:t xml:space="preserve"> ) Come abbiamo indicato già in generale al par. 1.8, riferendo poi  il concetto nel par. 7.6 ai redditi di impresa e nel par.8.5 ai redditi finanziari.  Nella dicotomia civilistica tra obblighi di fare e di dare, le plusvalenze corrispondono alla seconda categoria, mentre i corrispettivi di obblighi di “fare, non fare o permettere” sono comunque reddito ai fini tributari, come indicato nel testo.</w:t>
      </w:r>
    </w:p>
  </w:footnote>
  <w:footnote w:id="1308">
    <w:p w14:paraId="32D0C2F8" w14:textId="77777777" w:rsidR="003B7460" w:rsidRPr="007F7EBF" w:rsidRDefault="003B7460">
      <w:pPr>
        <w:pStyle w:val="Testonotaapidipagina"/>
      </w:pPr>
      <w:r w:rsidRPr="007F7EBF">
        <w:rPr>
          <w:rStyle w:val="Rimandonotaapidipagina"/>
        </w:rPr>
        <w:footnoteRef/>
      </w:r>
      <w:r w:rsidRPr="007F7EBF">
        <w:t xml:space="preserve"> ) Le plusvalenze </w:t>
      </w:r>
      <w:proofErr w:type="spellStart"/>
      <w:r w:rsidRPr="007F7EBF">
        <w:t>ultraquinquennali</w:t>
      </w:r>
      <w:proofErr w:type="spellEnd"/>
      <w:r w:rsidRPr="007F7EBF">
        <w:t xml:space="preserve"> su fabbricati sono quindi irrilevanti ai fini tributari, con una scelta dovuta evidentemente alla difficoltà di determinazione, e ad altre ragioni su cui si potrebbero scrivere tesi di laurea o dottorato. </w:t>
      </w:r>
    </w:p>
  </w:footnote>
  <w:footnote w:id="1309">
    <w:p w14:paraId="0DD477A4" w14:textId="77777777" w:rsidR="003B7460" w:rsidRPr="007F7EBF" w:rsidRDefault="003B7460">
      <w:pPr>
        <w:pStyle w:val="Testonotaapidipagina"/>
      </w:pPr>
      <w:r w:rsidRPr="007F7EBF">
        <w:rPr>
          <w:rStyle w:val="Rimandonotaapidipagina"/>
        </w:rPr>
        <w:footnoteRef/>
      </w:r>
      <w:r w:rsidRPr="007F7EBF">
        <w:t xml:space="preserve"> ) Commentate tra i redditi di capitale al precedente par.8.5. </w:t>
      </w:r>
    </w:p>
  </w:footnote>
  <w:footnote w:id="1310">
    <w:p w14:paraId="2AFE965C" w14:textId="0E9F2A09" w:rsidR="003B7460" w:rsidRPr="007F7EBF" w:rsidRDefault="003B7460">
      <w:pPr>
        <w:pStyle w:val="Testonotaapidipagina"/>
      </w:pPr>
      <w:r w:rsidRPr="007F7EBF">
        <w:rPr>
          <w:rStyle w:val="Rimandonotaapidipagina"/>
        </w:rPr>
        <w:footnoteRef/>
      </w:r>
      <w:r w:rsidRPr="007F7EBF">
        <w:t xml:space="preserve"> ) </w:t>
      </w:r>
      <w:r>
        <w:t>Questo vale anche per chi tentasse di sfruttare questa normativa per “vendere” ai clienti scappatoie elusive, il cui successo, se individuate dal fisco, è per definizione pari a zero (se invece la speranza è di non essere individuati dal fisco allora tanto vale puntare sull’evasione)</w:t>
      </w:r>
      <w:r w:rsidRPr="007F7EBF">
        <w:t xml:space="preserve">. </w:t>
      </w:r>
    </w:p>
  </w:footnote>
  <w:footnote w:id="1311">
    <w:p w14:paraId="07EC14EC" w14:textId="5AD035D8" w:rsidR="003B7460" w:rsidRPr="007F7EBF" w:rsidRDefault="003B7460" w:rsidP="00C94F66">
      <w:pPr>
        <w:pStyle w:val="Testonotaapidipagina"/>
      </w:pPr>
      <w:r w:rsidRPr="007F7EBF">
        <w:rPr>
          <w:rStyle w:val="Rimandonotaapidipagina"/>
        </w:rPr>
        <w:footnoteRef/>
      </w:r>
      <w:r w:rsidRPr="007F7EBF">
        <w:t xml:space="preserve"> ) Sui motivi della graduale diminuzione dell’aliquota dell’imposta sul reddito delle società</w:t>
      </w:r>
      <w:r>
        <w:t>, nella maggior parte dei paesi sviluppati,</w:t>
      </w:r>
      <w:r w:rsidRPr="007F7EBF">
        <w:t xml:space="preserve"> vedi la parte finale del par.7.19.</w:t>
      </w:r>
      <w:r>
        <w:t xml:space="preserve"> Si tenga conto però anche dell’IRAP, con l’aliquota del 5% circa, di cui al par.9.5.</w:t>
      </w:r>
    </w:p>
  </w:footnote>
  <w:footnote w:id="1312">
    <w:p w14:paraId="03DB21B7" w14:textId="77777777" w:rsidR="003B7460" w:rsidRPr="007F7EBF" w:rsidRDefault="003B7460">
      <w:pPr>
        <w:pStyle w:val="Testonotaapidipagina"/>
      </w:pPr>
      <w:r w:rsidRPr="007F7EBF">
        <w:rPr>
          <w:rStyle w:val="Rimandonotaapidipagina"/>
        </w:rPr>
        <w:footnoteRef/>
      </w:r>
      <w:r w:rsidRPr="007F7EBF">
        <w:t xml:space="preserve"> ) Come associazioni, fondazioni, altri enti pubblici, etc. che </w:t>
      </w:r>
      <w:r>
        <w:t xml:space="preserve">in genere </w:t>
      </w:r>
      <w:r w:rsidRPr="007F7EBF">
        <w:t>non sono operatori economici</w:t>
      </w:r>
      <w:r>
        <w:t>, o comunque non hanno lo scopo di distribuire utili a un titolare, come indicato di seguito nel testo.</w:t>
      </w:r>
    </w:p>
  </w:footnote>
  <w:footnote w:id="1313">
    <w:p w14:paraId="0E22DAE5" w14:textId="343F74E9" w:rsidR="003B7460" w:rsidRPr="007F7EBF" w:rsidRDefault="003B7460" w:rsidP="00101939">
      <w:pPr>
        <w:pStyle w:val="Testonotaapidipagina"/>
      </w:pPr>
      <w:r w:rsidRPr="007F7EBF">
        <w:rPr>
          <w:rStyle w:val="Rimandonotaapidipagina"/>
        </w:rPr>
        <w:footnoteRef/>
      </w:r>
      <w:r w:rsidRPr="007F7EBF">
        <w:t xml:space="preserve"> ) Si pensi alle comunità religiose, talvolta titolari di cospicui redditi immobiliari</w:t>
      </w:r>
      <w:r>
        <w:t>, ma anche ad associazioni che provvedono a consumi dei loro ispiratori/fondatori (</w:t>
      </w:r>
      <w:proofErr w:type="spellStart"/>
      <w:r>
        <w:t>c.d</w:t>
      </w:r>
      <w:proofErr w:type="spellEnd"/>
      <w:r>
        <w:t xml:space="preserve"> “lucro oggettivo”) o al limite erogano sussidi assistenziali, privi di natura reddituale per i motivi di cui al par.par.1.8. </w:t>
      </w:r>
    </w:p>
  </w:footnote>
  <w:footnote w:id="1314">
    <w:p w14:paraId="690BA270" w14:textId="44BEAED9" w:rsidR="003B7460" w:rsidRPr="007F7EBF" w:rsidRDefault="003B7460" w:rsidP="0018295F">
      <w:pPr>
        <w:pStyle w:val="Testonotaapidipagina"/>
      </w:pPr>
      <w:r w:rsidRPr="007F7EBF">
        <w:rPr>
          <w:rStyle w:val="Rimandonotaapidipagina"/>
        </w:rPr>
        <w:footnoteRef/>
      </w:r>
      <w:r w:rsidRPr="007F7EBF">
        <w:t xml:space="preserve"> Nonostante la loro </w:t>
      </w:r>
      <w:r>
        <w:t xml:space="preserve">diffusa e </w:t>
      </w:r>
      <w:r w:rsidRPr="007F7EBF">
        <w:t>fuorviante concezione antropomorfica</w:t>
      </w:r>
      <w:r>
        <w:t xml:space="preserve"> (par.3.1),</w:t>
      </w:r>
      <w:r w:rsidRPr="007F7EBF">
        <w:t xml:space="preserve"> le società e gli enti non hanno "spese mediche", mutui prima casa, coniugi e figli</w:t>
      </w:r>
      <w:r>
        <w:t>.</w:t>
      </w:r>
    </w:p>
  </w:footnote>
  <w:footnote w:id="1315">
    <w:p w14:paraId="4BFF4CFA" w14:textId="408E65C8" w:rsidR="003B7460" w:rsidRPr="007F7EBF" w:rsidRDefault="003B7460" w:rsidP="004D79D8">
      <w:pPr>
        <w:pStyle w:val="Testonotaapidipagina"/>
      </w:pPr>
      <w:r w:rsidRPr="007F7EBF">
        <w:rPr>
          <w:rStyle w:val="Rimandonotaapidipagina"/>
        </w:rPr>
        <w:footnoteRef/>
      </w:r>
      <w:r w:rsidRPr="007F7EBF">
        <w:t xml:space="preserve"> </w:t>
      </w:r>
      <w:r>
        <w:t xml:space="preserve">) Cioè ricchezza nella sua oggettività (realità), senza elementi di </w:t>
      </w:r>
      <w:proofErr w:type="spellStart"/>
      <w:r>
        <w:t>soggettivita</w:t>
      </w:r>
      <w:proofErr w:type="spellEnd"/>
      <w:r>
        <w:t xml:space="preserve">, cioè “personalità”. </w:t>
      </w:r>
    </w:p>
  </w:footnote>
  <w:footnote w:id="1316">
    <w:p w14:paraId="774C55F5" w14:textId="77777777" w:rsidR="003B7460" w:rsidRPr="007F7EBF" w:rsidRDefault="003B7460" w:rsidP="00664197">
      <w:pPr>
        <w:pStyle w:val="Testonotaapidipagina"/>
      </w:pPr>
      <w:r w:rsidRPr="007F7EBF">
        <w:rPr>
          <w:rStyle w:val="Rimandonotaapidipagina"/>
        </w:rPr>
        <w:footnoteRef/>
      </w:r>
      <w:r w:rsidRPr="007F7EBF">
        <w:t xml:space="preserve"> A parità merceologica, come vini, cibi o abiti, è praticamente impossibile graduare l'eventuale aliquota agevolata, escludendola per beni di maggiore qualità e prezzo; l'unico modo è distinguere in base a una qualità oggettiva del prodotto, come ad esempio la seta rispetto al cotone.</w:t>
      </w:r>
    </w:p>
  </w:footnote>
  <w:footnote w:id="1317">
    <w:p w14:paraId="468A89D2" w14:textId="77777777" w:rsidR="003B7460" w:rsidRPr="007F7EBF" w:rsidRDefault="003B7460" w:rsidP="00664197">
      <w:pPr>
        <w:pStyle w:val="Testonotaapidipagina"/>
      </w:pPr>
      <w:r w:rsidRPr="007F7EBF">
        <w:rPr>
          <w:rStyle w:val="Rimandonotaapidipagina"/>
        </w:rPr>
        <w:footnoteRef/>
      </w:r>
      <w:r w:rsidRPr="007F7EBF">
        <w:t xml:space="preserve"> ) I rari casi in cui si è tentata una simile responsabilizzazione, dimostrano che essa è eccezionalmente limitata a beni di rilevante valore unitario (ad es. IVA sulla c.d.  “prima casa”.</w:t>
      </w:r>
    </w:p>
  </w:footnote>
  <w:footnote w:id="1318">
    <w:p w14:paraId="6EC3A459" w14:textId="1216213E" w:rsidR="003B7460" w:rsidRPr="007F7EBF" w:rsidRDefault="003B7460" w:rsidP="00664197">
      <w:pPr>
        <w:pStyle w:val="Testonotaapidipagina"/>
      </w:pPr>
      <w:r w:rsidRPr="007F7EBF">
        <w:rPr>
          <w:rStyle w:val="Rimandonotaapidipagina"/>
        </w:rPr>
        <w:footnoteRef/>
      </w:r>
      <w:r w:rsidRPr="007F7EBF">
        <w:t xml:space="preserve"> ) Cioè quello della determinazione de</w:t>
      </w:r>
      <w:r>
        <w:t xml:space="preserve">gli imponibili </w:t>
      </w:r>
      <w:r w:rsidRPr="007F7EBF">
        <w:t xml:space="preserve">e del bisogno di assistenza. </w:t>
      </w:r>
    </w:p>
  </w:footnote>
  <w:footnote w:id="1319">
    <w:p w14:paraId="6284DF98" w14:textId="77777777" w:rsidR="003B7460" w:rsidRPr="007F7EBF" w:rsidRDefault="003B7460" w:rsidP="00664197">
      <w:pPr>
        <w:pStyle w:val="Testonotaapidipagina"/>
      </w:pPr>
      <w:r w:rsidRPr="007F7EBF">
        <w:rPr>
          <w:rStyle w:val="Rimandonotaapidipagina"/>
        </w:rPr>
        <w:footnoteRef/>
      </w:r>
      <w:r w:rsidRPr="007F7EBF">
        <w:t xml:space="preserve"> ) Verificando eventuali sinergie tra la determinazione delle situazioni economiche personali ai fini tributari (col possibile schedario permanente di cui al par.5.7) e ai fini assistenziali. </w:t>
      </w:r>
    </w:p>
  </w:footnote>
  <w:footnote w:id="1320">
    <w:p w14:paraId="0F2D6A1A" w14:textId="6F41A734" w:rsidR="003B7460" w:rsidRPr="007F7EBF" w:rsidRDefault="003B7460" w:rsidP="00C84D76">
      <w:pPr>
        <w:pStyle w:val="Testonotaapidipagina"/>
      </w:pPr>
      <w:r w:rsidRPr="007F7EBF">
        <w:rPr>
          <w:rStyle w:val="Rimandonotaapidipagina"/>
        </w:rPr>
        <w:footnoteRef/>
      </w:r>
      <w:r w:rsidRPr="007F7EBF">
        <w:t xml:space="preserve"> </w:t>
      </w:r>
      <w:r>
        <w:t>) Per u</w:t>
      </w:r>
      <w:r w:rsidRPr="007F7EBF">
        <w:t xml:space="preserve">na frequente casistica </w:t>
      </w:r>
      <w:r>
        <w:t xml:space="preserve">tecnica </w:t>
      </w:r>
      <w:proofErr w:type="spellStart"/>
      <w:r>
        <w:t>cfr</w:t>
      </w:r>
      <w:proofErr w:type="spellEnd"/>
      <w:r>
        <w:t xml:space="preserve"> </w:t>
      </w:r>
      <w:r w:rsidRPr="007F7EBF">
        <w:t xml:space="preserve">le erogazioni in natura ai dipendenti, i c.d. "fringe benefits" di cui al par.8.3. </w:t>
      </w:r>
    </w:p>
  </w:footnote>
  <w:footnote w:id="1321">
    <w:p w14:paraId="0C6B7402" w14:textId="77777777" w:rsidR="003B7460" w:rsidRDefault="003B7460" w:rsidP="001E0A23">
      <w:pPr>
        <w:pStyle w:val="Testonotaapidipagina"/>
      </w:pPr>
      <w:r>
        <w:rPr>
          <w:rStyle w:val="Rimandonotaapidipagina"/>
        </w:rPr>
        <w:footnoteRef/>
      </w:r>
      <w:r>
        <w:t xml:space="preserve"> ) </w:t>
      </w:r>
      <w:proofErr w:type="spellStart"/>
      <w:r>
        <w:t>Cfr</w:t>
      </w:r>
      <w:proofErr w:type="spellEnd"/>
      <w:r>
        <w:t xml:space="preserve"> l’art. 6 comma 2 del TUIR, sull’imponibilità dei risarcimenti danni consistenti nella perdita di redditi. </w:t>
      </w:r>
    </w:p>
  </w:footnote>
  <w:footnote w:id="1322">
    <w:p w14:paraId="2AA600B2" w14:textId="7250228B" w:rsidR="003B7460" w:rsidRPr="007F7EBF" w:rsidRDefault="003B7460" w:rsidP="00C84D76">
      <w:pPr>
        <w:pStyle w:val="Testonotaapidipagina"/>
      </w:pPr>
      <w:r w:rsidRPr="007F7EBF">
        <w:rPr>
          <w:rStyle w:val="Rimandonotaapidipagina"/>
        </w:rPr>
        <w:footnoteRef/>
      </w:r>
      <w:r w:rsidRPr="007F7EBF">
        <w:t xml:space="preserve"> </w:t>
      </w:r>
      <w:r>
        <w:t xml:space="preserve">) </w:t>
      </w:r>
      <w:r w:rsidRPr="007F7EBF">
        <w:rPr>
          <w:bCs/>
        </w:rPr>
        <w:t xml:space="preserve">Dal commercio di armi o droga allo spaccio di alcoolici senza licenza, alla casa di appuntamenti, all'abuso della credulità popolare, al commercio di cibi adulterati, all'esercizio abusivo di una professione. Una generale </w:t>
      </w:r>
      <w:proofErr w:type="spellStart"/>
      <w:r w:rsidRPr="007F7EBF">
        <w:rPr>
          <w:bCs/>
        </w:rPr>
        <w:t>intassabilità</w:t>
      </w:r>
      <w:proofErr w:type="spellEnd"/>
      <w:r w:rsidRPr="007F7EBF">
        <w:rPr>
          <w:bCs/>
        </w:rPr>
        <w:t xml:space="preserve"> di questi redditi non sembra sostenibile utilizzando generici luoghi comuni sull'immoralità di una partecipazione statale ai proventi del reato, smentiti peraltro dall'art. 14 della legge 24 dicembre 1993 n. 537, secondo cui la fonte illecita del provento non ne esclude l'imponibilità.</w:t>
      </w:r>
    </w:p>
  </w:footnote>
  <w:footnote w:id="1323">
    <w:p w14:paraId="0BD77DE2" w14:textId="516FE3A6" w:rsidR="003B7460" w:rsidRDefault="003B7460">
      <w:pPr>
        <w:pStyle w:val="Testonotaapidipagina"/>
      </w:pPr>
      <w:r>
        <w:rPr>
          <w:rStyle w:val="Rimandonotaapidipagina"/>
        </w:rPr>
        <w:footnoteRef/>
      </w:r>
      <w:r>
        <w:t xml:space="preserve"> ) Che concettualmente non costituiscono reddito </w:t>
      </w:r>
      <w:r>
        <w:rPr>
          <w:bCs/>
          <w:sz w:val="22"/>
          <w:szCs w:val="22"/>
        </w:rPr>
        <w:t xml:space="preserve">per </w:t>
      </w:r>
      <w:r w:rsidRPr="007F7EBF">
        <w:rPr>
          <w:bCs/>
          <w:sz w:val="22"/>
          <w:szCs w:val="22"/>
        </w:rPr>
        <w:t>i motivi indicati all'inizio del par.10.5</w:t>
      </w:r>
      <w:r>
        <w:rPr>
          <w:bCs/>
          <w:sz w:val="22"/>
          <w:szCs w:val="22"/>
        </w:rPr>
        <w:t>, in quanto sono trasferimenti patrimoniali senza controprestazione, come le liberalità, ma contro la volontà del trasferente.</w:t>
      </w:r>
    </w:p>
  </w:footnote>
  <w:footnote w:id="1324">
    <w:p w14:paraId="3D7565C3" w14:textId="62317B83" w:rsidR="003B7460" w:rsidRPr="007F7EBF" w:rsidRDefault="003B7460" w:rsidP="00C84D76">
      <w:pPr>
        <w:pStyle w:val="Testonotaapidipagina"/>
      </w:pPr>
      <w:r w:rsidRPr="007F7EBF">
        <w:rPr>
          <w:rStyle w:val="Rimandonotaapidipagina"/>
        </w:rPr>
        <w:footnoteRef/>
      </w:r>
      <w:r w:rsidRPr="007F7EBF">
        <w:t xml:space="preserve"> ) In assenza della confisca, quando ad esempio si tratta di proventi per esercizio abusivo di una professione, la tassazione appare del tutto normale. </w:t>
      </w:r>
    </w:p>
  </w:footnote>
  <w:footnote w:id="1325">
    <w:p w14:paraId="00EBECBE" w14:textId="77777777" w:rsidR="003B7460" w:rsidRPr="007F7EBF" w:rsidRDefault="003B7460" w:rsidP="001E0A23">
      <w:pPr>
        <w:pStyle w:val="Testonotaapidipagina"/>
      </w:pPr>
      <w:r w:rsidRPr="007F7EBF">
        <w:rPr>
          <w:rStyle w:val="Rimandonotaapidipagina"/>
        </w:rPr>
        <w:footnoteRef/>
      </w:r>
      <w:r w:rsidRPr="007F7EBF">
        <w:t>) Come indicato al par.8.5 per gli interessi attivi e le plusvalenze su titoli.</w:t>
      </w:r>
    </w:p>
  </w:footnote>
  <w:footnote w:id="1326">
    <w:p w14:paraId="75E5F16A" w14:textId="3932D264" w:rsidR="003B7460" w:rsidRPr="007F7EBF" w:rsidRDefault="003B7460" w:rsidP="001E0A23">
      <w:pPr>
        <w:pStyle w:val="Testonotaapidipagina"/>
      </w:pPr>
      <w:r w:rsidRPr="007F7EBF">
        <w:rPr>
          <w:rStyle w:val="Rimandonotaapidipagina"/>
        </w:rPr>
        <w:footnoteRef/>
      </w:r>
      <w:r w:rsidRPr="007F7EBF">
        <w:t xml:space="preserve"> </w:t>
      </w:r>
      <w:r>
        <w:t>) A</w:t>
      </w:r>
      <w:r w:rsidRPr="007F7EBF">
        <w:t xml:space="preserve">lcuni Stati introdussero correttivi occasionali o complesse contabilità per l'inflazione, dove si teneva conto sia degli inconvenienti per i creditori sia dei vantaggi per i debitori.  In Italia, negli anni di inflazione elevata (dal 1973 alla fine del secolo ventesimo) si introdussero soprattutto leggi di rivalutazione monetaria per il patrimonio delle aziende, nonché indicizzazioni delle aliquote IRPEF per evitare che l'aumento delle retribuzioni monetarie facesse scattare maggiori aliquote progressive (c.d. "fiscal drag"). </w:t>
      </w:r>
    </w:p>
  </w:footnote>
  <w:footnote w:id="1327">
    <w:p w14:paraId="1E82AE66" w14:textId="77777777" w:rsidR="003B7460" w:rsidRPr="007F7EBF" w:rsidRDefault="003B7460">
      <w:pPr>
        <w:pStyle w:val="Testonotaapidipagina"/>
      </w:pPr>
      <w:r w:rsidRPr="007F7EBF">
        <w:rPr>
          <w:rStyle w:val="Rimandonotaapidipagina"/>
        </w:rPr>
        <w:footnoteRef/>
      </w:r>
      <w:r w:rsidRPr="007F7EBF">
        <w:t xml:space="preserve"> ) Sul ruolo delle “categorie di reddito” vedi il precedente paragrafo 8.6.</w:t>
      </w:r>
    </w:p>
  </w:footnote>
  <w:footnote w:id="1328">
    <w:p w14:paraId="16695347" w14:textId="1FCE642F" w:rsidR="003B7460" w:rsidRPr="007F7EBF" w:rsidRDefault="003B7460" w:rsidP="00D45FE7">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 Dalla somma dei redditi di categoria si deducono le eventuali </w:t>
      </w:r>
      <w:r w:rsidRPr="007F7EBF">
        <w:rPr>
          <w:bCs/>
          <w:sz w:val="20"/>
          <w:szCs w:val="20"/>
        </w:rPr>
        <w:t>perdite di impresa o di lavoro autonomo</w:t>
      </w:r>
      <w:r w:rsidRPr="007F7EBF">
        <w:rPr>
          <w:sz w:val="20"/>
          <w:szCs w:val="20"/>
        </w:rPr>
        <w:t xml:space="preserve">, già menzionate per l'IRES, ma poco verosimili per </w:t>
      </w:r>
      <w:r>
        <w:rPr>
          <w:sz w:val="20"/>
          <w:szCs w:val="20"/>
        </w:rPr>
        <w:t xml:space="preserve">piccolo commercio e artigianato; </w:t>
      </w:r>
      <w:r w:rsidRPr="007F7EBF">
        <w:rPr>
          <w:sz w:val="20"/>
          <w:szCs w:val="20"/>
        </w:rPr>
        <w:t>come indicato ai par.3.7 e 3.13</w:t>
      </w:r>
      <w:r>
        <w:rPr>
          <w:sz w:val="20"/>
          <w:szCs w:val="20"/>
        </w:rPr>
        <w:t xml:space="preserve">, </w:t>
      </w:r>
      <w:r w:rsidRPr="007F7EBF">
        <w:rPr>
          <w:sz w:val="20"/>
          <w:szCs w:val="20"/>
        </w:rPr>
        <w:t>attività finalizzate al sostentamento individuale di uno-due addetti, vengono chiuse anche quando il reddito è insufficiente a tale scopo, senza neppure giungere a una perdita. Diventa quindi un tecnicismo contingente soffermarsi in astratto sui modi in cui vengono considerate le perdite di questi soggetti; tuttavia la loro deduzione dal reddito complessivo riflette la personalità del tributo, dando luogo a una compensazione tra risultati di attività diverse (ad esempio una perdita di impresa individuale viene compensata con un reddito da locazione immobiliare).</w:t>
      </w:r>
    </w:p>
  </w:footnote>
  <w:footnote w:id="1329">
    <w:p w14:paraId="61AC8490" w14:textId="77777777" w:rsidR="003B7460" w:rsidRPr="007F7EBF" w:rsidRDefault="003B7460">
      <w:pPr>
        <w:pStyle w:val="Testonotaapidipagina"/>
      </w:pPr>
      <w:r w:rsidRPr="007F7EBF">
        <w:rPr>
          <w:rStyle w:val="Rimandonotaapidipagina"/>
        </w:rPr>
        <w:footnoteRef/>
      </w:r>
      <w:r w:rsidRPr="007F7EBF">
        <w:t xml:space="preserve"> ) Abbiamo visto al paragrafo 8.4, sul lavoro dipendente,  la logica del “differimento” della tassazione all’atto della pensione, che ispira l’irrilevanza tributaria di questi contributi.  </w:t>
      </w:r>
    </w:p>
  </w:footnote>
  <w:footnote w:id="1330">
    <w:p w14:paraId="023FFE76" w14:textId="28E521D9" w:rsidR="003B7460" w:rsidRPr="007F7EBF" w:rsidRDefault="003B7460" w:rsidP="000D708F">
      <w:pPr>
        <w:pStyle w:val="Testonotaapidipagina"/>
      </w:pPr>
      <w:r w:rsidRPr="007F7EBF">
        <w:rPr>
          <w:rStyle w:val="Rimandonotaapidipagina"/>
        </w:rPr>
        <w:footnoteRef/>
      </w:r>
      <w:r w:rsidRPr="007F7EBF">
        <w:t xml:space="preserve"> ) </w:t>
      </w:r>
      <w:r>
        <w:t>Oppure i redditi tassati in anticipo in base alla maturazione, come i canoni di locazione spettanti da contratto e non riscossi per inadempienza dell’inquilino, giudizialmente accertata (par.8.4).</w:t>
      </w:r>
      <w:r w:rsidRPr="007F7EBF">
        <w:t xml:space="preserve"> </w:t>
      </w:r>
    </w:p>
  </w:footnote>
  <w:footnote w:id="1331">
    <w:p w14:paraId="651AEBFA" w14:textId="77777777" w:rsidR="003B7460" w:rsidRPr="007F7EBF" w:rsidRDefault="003B7460">
      <w:pPr>
        <w:pStyle w:val="Testonotaapidipagina"/>
      </w:pPr>
      <w:r w:rsidRPr="007F7EBF">
        <w:rPr>
          <w:rStyle w:val="Rimandonotaapidipagina"/>
        </w:rPr>
        <w:footnoteRef/>
      </w:r>
      <w:r w:rsidRPr="007F7EBF">
        <w:t xml:space="preserve"> ) L’elenco è nell’art.15 del testo unico delle imposte sui redditi. </w:t>
      </w:r>
    </w:p>
  </w:footnote>
  <w:footnote w:id="1332">
    <w:p w14:paraId="54DBD306" w14:textId="77777777" w:rsidR="003B7460" w:rsidRPr="007F7EBF" w:rsidRDefault="003B7460">
      <w:pPr>
        <w:pStyle w:val="Testonotaapidipagina"/>
      </w:pPr>
      <w:r w:rsidRPr="007F7EBF">
        <w:rPr>
          <w:rStyle w:val="Rimandonotaapidipagina"/>
        </w:rPr>
        <w:footnoteRef/>
      </w:r>
      <w:r w:rsidRPr="007F7EBF">
        <w:t xml:space="preserve"> ) Sulle cui finalità e limiti par.9.2. </w:t>
      </w:r>
    </w:p>
  </w:footnote>
  <w:footnote w:id="1333">
    <w:p w14:paraId="30D60F5E" w14:textId="73878AB3" w:rsidR="003B7460" w:rsidRDefault="003B7460" w:rsidP="002862FB">
      <w:pPr>
        <w:pStyle w:val="Testonotaapidipagina"/>
      </w:pPr>
      <w:r>
        <w:rPr>
          <w:rStyle w:val="Rimandonotaapidipagina"/>
        </w:rPr>
        <w:footnoteRef/>
      </w:r>
      <w:r>
        <w:t xml:space="preserve"> ) </w:t>
      </w:r>
      <w:r>
        <w:rPr>
          <w:sz w:val="22"/>
          <w:szCs w:val="22"/>
        </w:rPr>
        <w:t xml:space="preserve">La detrazione decrescente e i c.d. </w:t>
      </w:r>
      <w:r w:rsidRPr="00700E5F">
        <w:rPr>
          <w:i/>
          <w:sz w:val="22"/>
          <w:szCs w:val="22"/>
        </w:rPr>
        <w:t>80 euro</w:t>
      </w:r>
      <w:r>
        <w:rPr>
          <w:sz w:val="22"/>
          <w:szCs w:val="22"/>
        </w:rPr>
        <w:t>, istituiti nel 2014, di cui al par.8.3</w:t>
      </w:r>
    </w:p>
  </w:footnote>
  <w:footnote w:id="1334">
    <w:p w14:paraId="1F1843D2" w14:textId="6014EF13" w:rsidR="003B7460" w:rsidRPr="009E6928" w:rsidRDefault="003B7460" w:rsidP="002862FB">
      <w:pPr>
        <w:pStyle w:val="Testonotaapidipagina"/>
      </w:pPr>
      <w:r>
        <w:rPr>
          <w:rStyle w:val="Rimandonotaapidipagina"/>
        </w:rPr>
        <w:footnoteRef/>
      </w:r>
      <w:r>
        <w:t xml:space="preserve"> ) Per questo è fuorviante equiparare le detrazioni di imposta ai sussidi, definendole “tax </w:t>
      </w:r>
      <w:proofErr w:type="spellStart"/>
      <w:r>
        <w:t>expenditures</w:t>
      </w:r>
      <w:proofErr w:type="spellEnd"/>
      <w:r>
        <w:t>”, come molti economisti fanno (l’</w:t>
      </w:r>
      <w:proofErr w:type="spellStart"/>
      <w:r w:rsidRPr="009E6928">
        <w:rPr>
          <w:i/>
        </w:rPr>
        <w:t>expenditure</w:t>
      </w:r>
      <w:proofErr w:type="spellEnd"/>
      <w:r>
        <w:rPr>
          <w:i/>
        </w:rPr>
        <w:t xml:space="preserve"> </w:t>
      </w:r>
      <w:r>
        <w:t>insomma c’è solo se il contribuente riesce a guadagnarsi una base imponibile).</w:t>
      </w:r>
    </w:p>
  </w:footnote>
  <w:footnote w:id="1335">
    <w:p w14:paraId="4A714027" w14:textId="1ADCBDB6" w:rsidR="003B7460" w:rsidRPr="007F7EBF" w:rsidRDefault="003B7460" w:rsidP="00D54F38">
      <w:pPr>
        <w:pStyle w:val="Testonotaapidipagina"/>
      </w:pPr>
      <w:r w:rsidRPr="007F7EBF">
        <w:rPr>
          <w:rStyle w:val="Rimandonotaapidipagina"/>
        </w:rPr>
        <w:footnoteRef/>
      </w:r>
      <w:r w:rsidRPr="007F7EBF">
        <w:t xml:space="preserve"> ) L’indicazione di questi oneri</w:t>
      </w:r>
      <w:r>
        <w:t xml:space="preserve"> è globale </w:t>
      </w:r>
      <w:r w:rsidRPr="007F7EBF">
        <w:t xml:space="preserve">senza le generalità (quantomeno il codice fiscale) dei percettori, </w:t>
      </w:r>
      <w:r>
        <w:t xml:space="preserve">il che ne </w:t>
      </w:r>
      <w:r w:rsidRPr="007F7EBF">
        <w:t xml:space="preserve">impedisce </w:t>
      </w:r>
      <w:r>
        <w:t>l’</w:t>
      </w:r>
      <w:r w:rsidRPr="007F7EBF">
        <w:t xml:space="preserve">uso per l’identificazione dei percipienti, ed il controllo incrociato delle </w:t>
      </w:r>
      <w:r>
        <w:t>due</w:t>
      </w:r>
      <w:r w:rsidRPr="007F7EBF">
        <w:t xml:space="preserve"> dichiarazioni, secondo lo schema segnaletico svolto dalle ritenute alla fonte, indicato al termine del par.3.5.    </w:t>
      </w:r>
    </w:p>
  </w:footnote>
  <w:footnote w:id="1336">
    <w:p w14:paraId="2916AFC8" w14:textId="77777777" w:rsidR="003B7460" w:rsidRPr="007F7EBF" w:rsidRDefault="003B7460" w:rsidP="00BC2178">
      <w:pPr>
        <w:pStyle w:val="Testonotaapidipagina"/>
      </w:pPr>
      <w:r w:rsidRPr="007F7EBF">
        <w:rPr>
          <w:rStyle w:val="Rimandonotaapidipagina"/>
        </w:rPr>
        <w:footnoteRef/>
      </w:r>
      <w:r w:rsidRPr="007F7EBF">
        <w:t xml:space="preserve"> ) Durante i quali viene richiesta l’esibizione dei documenti di spese mediche, interessi, pagamenti al coniuge separato e altri documenti comprovanti le spese deducibili, etc..</w:t>
      </w:r>
    </w:p>
  </w:footnote>
  <w:footnote w:id="1337">
    <w:p w14:paraId="68B2919B" w14:textId="7BB0E978"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La popolarità del contrasto di interessi (par.4.5) spiega quanta strada occorra ancora fare per sistematizzare l'elementare differenza tra "costi" e "consumi", di cui al par.1.8. Sul mito della possibilità di scaricare, persino un deltaplano, è divertente su </w:t>
      </w:r>
      <w:proofErr w:type="spellStart"/>
      <w:r w:rsidRPr="007F7EBF">
        <w:t>youtube</w:t>
      </w:r>
      <w:proofErr w:type="spellEnd"/>
      <w:r w:rsidRPr="007F7EBF">
        <w:t xml:space="preserve"> il video dal titolo </w:t>
      </w:r>
      <w:r w:rsidRPr="007F7EBF">
        <w:rPr>
          <w:i/>
        </w:rPr>
        <w:t>Cinzia Leone Dalle otto alle otto.</w:t>
      </w:r>
      <w:r>
        <w:rPr>
          <w:i/>
        </w:rPr>
        <w:t xml:space="preserve"> </w:t>
      </w:r>
    </w:p>
  </w:footnote>
  <w:footnote w:id="1338">
    <w:p w14:paraId="2588CCD7" w14:textId="5E7ED570" w:rsidR="003B7460" w:rsidRPr="007F7EBF" w:rsidRDefault="003B7460">
      <w:pPr>
        <w:pStyle w:val="Testonotaapidipagina"/>
      </w:pPr>
      <w:r w:rsidRPr="007F7EBF">
        <w:rPr>
          <w:rStyle w:val="Rimandonotaapidipagina"/>
        </w:rPr>
        <w:footnoteRef/>
      </w:r>
      <w:r w:rsidRPr="007F7EBF">
        <w:t xml:space="preserve"> ) Col risultato di far partecipare lo stato alla ristrutturazione dell’attico del facoltoso uomo d’affari per quasi la metà, mentre chi deve curarsi per proprio conto, evitando le liste d’attesa delle ASL detrae solo il 19 percento della spesa medica. </w:t>
      </w:r>
      <w:r>
        <w:t xml:space="preserve">A parte queste notazioni sembra che l’efficienza dell’istituto della detrazione edilizia, come perdita di gettito e recupero di evasione, sia abbastanza discutibile. </w:t>
      </w:r>
    </w:p>
  </w:footnote>
  <w:footnote w:id="1339">
    <w:p w14:paraId="510FC8A7" w14:textId="5E25EF3E" w:rsidR="003B7460" w:rsidRPr="007F7EBF" w:rsidRDefault="003B7460">
      <w:pPr>
        <w:pStyle w:val="Testonotaapidipagina"/>
      </w:pPr>
      <w:r w:rsidRPr="007F7EBF">
        <w:rPr>
          <w:rStyle w:val="Rimandonotaapidipagina"/>
        </w:rPr>
        <w:footnoteRef/>
      </w:r>
      <w:r w:rsidRPr="007F7EBF">
        <w:t xml:space="preserve"> ) </w:t>
      </w:r>
      <w:r>
        <w:t xml:space="preserve">In quanto comunque per altri versi visibile al fisco, con la conseguenza che queste </w:t>
      </w:r>
      <w:r w:rsidRPr="007F7EBF">
        <w:t xml:space="preserve">aziende tenderanno a dichiarare </w:t>
      </w:r>
      <w:r>
        <w:t xml:space="preserve">in prima battuta </w:t>
      </w:r>
      <w:r w:rsidRPr="007F7EBF">
        <w:t>i ricavi</w:t>
      </w:r>
      <w:r>
        <w:t xml:space="preserve"> </w:t>
      </w:r>
      <w:r w:rsidRPr="007F7EBF">
        <w:t>dove il cliente è un operatore economico oppure un privato che prende la detrazione. Ne abbiamo parlato a</w:t>
      </w:r>
      <w:r>
        <w:t xml:space="preserve">i </w:t>
      </w:r>
      <w:r w:rsidRPr="007F7EBF">
        <w:t>pa</w:t>
      </w:r>
      <w:r>
        <w:t>r</w:t>
      </w:r>
      <w:r w:rsidRPr="007F7EBF">
        <w:t xml:space="preserve">r.5.13 </w:t>
      </w:r>
      <w:r>
        <w:t xml:space="preserve">e 5.16 </w:t>
      </w:r>
      <w:r w:rsidRPr="007F7EBF">
        <w:t xml:space="preserve">sulla sproporzione tra corrispettivi </w:t>
      </w:r>
      <w:r>
        <w:t xml:space="preserve">tracciabili e </w:t>
      </w:r>
      <w:r w:rsidRPr="007F7EBF">
        <w:t xml:space="preserve">globali, come indizio di omessa registrazione di buona parte di </w:t>
      </w:r>
      <w:r>
        <w:t>quelli verso privati consumatori.</w:t>
      </w:r>
      <w:r w:rsidRPr="007F7EBF">
        <w:t xml:space="preserve">   </w:t>
      </w:r>
    </w:p>
  </w:footnote>
  <w:footnote w:id="1340">
    <w:p w14:paraId="60062A2F" w14:textId="5BA3D014" w:rsidR="003B7460" w:rsidRPr="007F7EBF" w:rsidRDefault="003B7460" w:rsidP="007E03FA">
      <w:pPr>
        <w:pStyle w:val="Testonotaapidipagina"/>
      </w:pPr>
      <w:r w:rsidRPr="007F7EBF">
        <w:rPr>
          <w:rStyle w:val="Rimandonotaapidipagina"/>
        </w:rPr>
        <w:footnoteRef/>
      </w:r>
      <w:r w:rsidRPr="007F7EBF">
        <w:t xml:space="preserve"> Di questa detrazione decrescente  abbiamo visto esempi poco sopra  a proposito delle detrazioni per</w:t>
      </w:r>
      <w:r>
        <w:t xml:space="preserve"> lavoro dipendente o</w:t>
      </w:r>
      <w:r w:rsidRPr="007F7EBF">
        <w:t xml:space="preserve"> familiari a carico, riassorbite al crescere del reddito. </w:t>
      </w:r>
    </w:p>
  </w:footnote>
  <w:footnote w:id="1341">
    <w:p w14:paraId="291B6ECA" w14:textId="3C6F6205" w:rsidR="003B7460" w:rsidRDefault="003B7460">
      <w:pPr>
        <w:pStyle w:val="Testonotaapidipagina"/>
      </w:pPr>
      <w:r>
        <w:rPr>
          <w:rStyle w:val="Rimandonotaapidipagina"/>
        </w:rPr>
        <w:footnoteRef/>
      </w:r>
      <w:r>
        <w:t xml:space="preserve"> ) </w:t>
      </w:r>
      <w:proofErr w:type="spellStart"/>
      <w:r>
        <w:t>C</w:t>
      </w:r>
      <w:r>
        <w:rPr>
          <w:sz w:val="22"/>
          <w:szCs w:val="22"/>
        </w:rPr>
        <w:t>fr</w:t>
      </w:r>
      <w:proofErr w:type="spellEnd"/>
      <w:r>
        <w:rPr>
          <w:sz w:val="22"/>
          <w:szCs w:val="22"/>
        </w:rPr>
        <w:t xml:space="preserve"> l’utilità marginale decrescente del denaro di cui al par.4.2 sull’”evasione di sopravvivenza”.</w:t>
      </w:r>
    </w:p>
  </w:footnote>
  <w:footnote w:id="1342">
    <w:p w14:paraId="16F37298" w14:textId="3F8D726E" w:rsidR="003B7460" w:rsidRPr="007F7EBF" w:rsidRDefault="003B7460">
      <w:pPr>
        <w:pStyle w:val="Testonotaapidipagina"/>
      </w:pPr>
      <w:r w:rsidRPr="007F7EBF">
        <w:rPr>
          <w:rStyle w:val="Rimandonotaapidipagina"/>
        </w:rPr>
        <w:footnoteRef/>
      </w:r>
      <w:r w:rsidRPr="007F7EBF">
        <w:t xml:space="preserve"> </w:t>
      </w:r>
      <w:r>
        <w:t xml:space="preserve">) </w:t>
      </w:r>
      <w:r w:rsidRPr="007F7EBF">
        <w:t>Scorrendo la lista delle dichiarazioni con redditi più elevati, si trovano in prevalenza alti dirigenti, consulenti</w:t>
      </w:r>
      <w:r>
        <w:t xml:space="preserve"> d’azienda, sportivi, artisti, titolari di aziende  remunerati come amministratori delle relative società; la percezione di interessi , mentre la realizzazione di plusvalori sulle medesime è in genere </w:t>
      </w:r>
      <w:r w:rsidRPr="007F7EBF">
        <w:t xml:space="preserve">assoggettata alle imposte sostitutive </w:t>
      </w:r>
      <w:r>
        <w:t xml:space="preserve">sui redditi finanziari </w:t>
      </w:r>
      <w:r w:rsidRPr="007F7EBF">
        <w:t xml:space="preserve">(par. 8.5), e quindi </w:t>
      </w:r>
      <w:r>
        <w:t>sottratta</w:t>
      </w:r>
      <w:r w:rsidRPr="007F7EBF">
        <w:t xml:space="preserve"> alla progressività dell’imposta personale.</w:t>
      </w:r>
    </w:p>
  </w:footnote>
  <w:footnote w:id="1343">
    <w:p w14:paraId="147FDD0E" w14:textId="7887A7AC" w:rsidR="003B7460" w:rsidRPr="007F7EBF" w:rsidRDefault="003B7460">
      <w:pPr>
        <w:pStyle w:val="Testonotaapidipagina"/>
      </w:pPr>
      <w:r w:rsidRPr="007F7EBF">
        <w:rPr>
          <w:rStyle w:val="Rimandonotaapidipagina"/>
        </w:rPr>
        <w:footnoteRef/>
      </w:r>
      <w:r w:rsidRPr="007F7EBF">
        <w:t xml:space="preserve"> ) Il motivo di cautela verso la diminuzione indicata nel testo non è di gettito, ma di perequazione tributaria, dovuto alla </w:t>
      </w:r>
      <w:r>
        <w:t xml:space="preserve">consueta “paranoia antievasione”, cioè la </w:t>
      </w:r>
      <w:r w:rsidRPr="007F7EBF">
        <w:t>riserva mentale secondo cui molti lavoratori indipendenti, che dichiarano un reddito “medio basso” abbiano in realtà ulteriori redditi nascosti. Lo conferma anche la tendenza, nelle rispettive associazioni di categoria, a una detassazione dei redditi dichiarati “in aggiunta” a un reddito normale connesso alle caratteristiche dell’attivit</w:t>
      </w:r>
      <w:r>
        <w:t>à; questo conferma quanto rilevato al par.</w:t>
      </w:r>
      <w:r w:rsidRPr="007F7EBF">
        <w:t xml:space="preserve">4.2 </w:t>
      </w:r>
      <w:r>
        <w:t>sul</w:t>
      </w:r>
      <w:r w:rsidRPr="007F7EBF">
        <w:t xml:space="preserve">la tendenza dei lavoratori indipendenti in sede fissa a </w:t>
      </w:r>
      <w:r>
        <w:t xml:space="preserve">raggiungere una credibilità minima </w:t>
      </w:r>
      <w:r w:rsidRPr="007F7EBF">
        <w:t xml:space="preserve">rispetto alle caratteristiche dell’attività, </w:t>
      </w:r>
      <w:r>
        <w:t>omettendo di dichiarare l’eccedenza</w:t>
      </w:r>
      <w:r w:rsidRPr="007F7EBF">
        <w:t xml:space="preserve">. </w:t>
      </w:r>
      <w:r>
        <w:t xml:space="preserve">E’ una possibilità assente per i redditi più facilmente determinabili e questo </w:t>
      </w:r>
      <w:r w:rsidRPr="007F7EBF">
        <w:t>spie</w:t>
      </w:r>
      <w:r>
        <w:t xml:space="preserve">ga le </w:t>
      </w:r>
      <w:r w:rsidRPr="007F7EBF">
        <w:t>detrazioni selettive per i lavoratori dipendenti, come i c.d. “80 euro</w:t>
      </w:r>
      <w:r>
        <w:t xml:space="preserve">” </w:t>
      </w:r>
      <w:r w:rsidRPr="007F7EBF">
        <w:t>del 2014</w:t>
      </w:r>
      <w:r>
        <w:t xml:space="preserve"> (par.8.3).</w:t>
      </w:r>
    </w:p>
  </w:footnote>
  <w:footnote w:id="1344">
    <w:p w14:paraId="08501F88" w14:textId="295975CF" w:rsidR="003B7460" w:rsidRPr="007F7EBF" w:rsidRDefault="003B7460">
      <w:pPr>
        <w:pStyle w:val="Testonotaapidipagina"/>
      </w:pPr>
      <w:r w:rsidRPr="007F7EBF">
        <w:rPr>
          <w:rStyle w:val="Rimandonotaapidipagina"/>
        </w:rPr>
        <w:footnoteRef/>
      </w:r>
      <w:r w:rsidRPr="007F7EBF">
        <w:t xml:space="preserve"> </w:t>
      </w:r>
      <w:r>
        <w:t xml:space="preserve">) Si ricordi la più volte indicata detrazione degli 80 euro, migliorativa per i redditi di lavoro dipendente, mentre in passato si utilizzò la discriminazione peggiorativa per i redditi derivanti da patrimonio, con </w:t>
      </w:r>
      <w:r w:rsidRPr="007F7EBF">
        <w:t>l'imposta denominata "ILOR", soppressa nel 1997</w:t>
      </w:r>
      <w:r w:rsidRPr="005D60AA">
        <w:t xml:space="preserve"> </w:t>
      </w:r>
      <w:r>
        <w:t xml:space="preserve">ed invece preferibile rispetto all’imposizione sul patrimonio, </w:t>
      </w:r>
      <w:r w:rsidRPr="007F7EBF">
        <w:t xml:space="preserve">come vedremo al par.10.4. </w:t>
      </w:r>
    </w:p>
  </w:footnote>
  <w:footnote w:id="1345">
    <w:p w14:paraId="5361BED7" w14:textId="512788C1" w:rsidR="003B7460" w:rsidRDefault="003B7460">
      <w:pPr>
        <w:pStyle w:val="Testonotaapidipagina"/>
      </w:pPr>
      <w:r>
        <w:rPr>
          <w:rStyle w:val="Rimandonotaapidipagina"/>
        </w:rPr>
        <w:footnoteRef/>
      </w:r>
      <w:r>
        <w:t xml:space="preserve"> ) A parte il limitato correttivo del riporto delle perdite, di cui al par.1.8.</w:t>
      </w:r>
    </w:p>
  </w:footnote>
  <w:footnote w:id="1346">
    <w:p w14:paraId="77F9FCEE" w14:textId="01D856EE" w:rsidR="003B7460" w:rsidRDefault="003B7460">
      <w:pPr>
        <w:pStyle w:val="Testonotaapidipagina"/>
      </w:pPr>
      <w:r>
        <w:rPr>
          <w:rStyle w:val="Rimandonotaapidipagina"/>
        </w:rPr>
        <w:footnoteRef/>
      </w:r>
      <w:r>
        <w:t xml:space="preserve"> ) </w:t>
      </w:r>
      <w:r>
        <w:rPr>
          <w:sz w:val="22"/>
          <w:szCs w:val="22"/>
        </w:rPr>
        <w:t>A</w:t>
      </w:r>
      <w:r w:rsidRPr="007F7EBF">
        <w:rPr>
          <w:sz w:val="22"/>
          <w:szCs w:val="22"/>
        </w:rPr>
        <w:t xml:space="preserve">d esempio, è ben vero che </w:t>
      </w:r>
      <w:r>
        <w:rPr>
          <w:sz w:val="22"/>
          <w:szCs w:val="22"/>
        </w:rPr>
        <w:t xml:space="preserve">l’attore </w:t>
      </w:r>
      <w:r w:rsidRPr="007F7EBF">
        <w:rPr>
          <w:sz w:val="22"/>
          <w:szCs w:val="22"/>
        </w:rPr>
        <w:t xml:space="preserve">di successo, </w:t>
      </w:r>
      <w:r>
        <w:rPr>
          <w:sz w:val="22"/>
          <w:szCs w:val="22"/>
        </w:rPr>
        <w:t xml:space="preserve">nell’esempio sopra citato, </w:t>
      </w:r>
      <w:r w:rsidRPr="007F7EBF">
        <w:rPr>
          <w:sz w:val="22"/>
          <w:szCs w:val="22"/>
        </w:rPr>
        <w:t>guadagna come un dirigente lavorando poco tempo, ma le prospettive di continuità lavorativa del dirigente nel tempo sono maggiori</w:t>
      </w:r>
      <w:r>
        <w:t>. L’attore è invece più in balia de</w:t>
      </w:r>
      <w:r w:rsidRPr="007F7EBF">
        <w:t>lle incertezze delle mode</w:t>
      </w:r>
      <w:r>
        <w:t>, mentre gli</w:t>
      </w:r>
      <w:r>
        <w:rPr>
          <w:sz w:val="22"/>
          <w:szCs w:val="22"/>
        </w:rPr>
        <w:t xml:space="preserve"> sportivi hanno </w:t>
      </w:r>
      <w:r w:rsidRPr="007F7EBF">
        <w:rPr>
          <w:sz w:val="22"/>
          <w:szCs w:val="22"/>
        </w:rPr>
        <w:t xml:space="preserve">addirittura </w:t>
      </w:r>
      <w:r>
        <w:rPr>
          <w:sz w:val="22"/>
          <w:szCs w:val="22"/>
        </w:rPr>
        <w:t xml:space="preserve">limiti </w:t>
      </w:r>
      <w:r w:rsidRPr="007F7EBF">
        <w:rPr>
          <w:sz w:val="22"/>
          <w:szCs w:val="22"/>
        </w:rPr>
        <w:t>fisi</w:t>
      </w:r>
      <w:r>
        <w:rPr>
          <w:sz w:val="22"/>
          <w:szCs w:val="22"/>
        </w:rPr>
        <w:t xml:space="preserve">ci alla capacità reddituale. </w:t>
      </w:r>
    </w:p>
  </w:footnote>
  <w:footnote w:id="1347">
    <w:p w14:paraId="2BEFA0E7" w14:textId="1D618AAD" w:rsidR="003B7460" w:rsidRPr="00565A25" w:rsidRDefault="003B7460" w:rsidP="00565A25">
      <w:pPr>
        <w:autoSpaceDE w:val="0"/>
        <w:autoSpaceDN w:val="0"/>
        <w:adjustRightInd w:val="0"/>
        <w:rPr>
          <w:bCs/>
          <w:sz w:val="22"/>
          <w:szCs w:val="22"/>
        </w:rPr>
      </w:pPr>
      <w:r>
        <w:rPr>
          <w:rStyle w:val="Rimandonotaapidipagina"/>
        </w:rPr>
        <w:footnoteRef/>
      </w:r>
      <w:r>
        <w:t xml:space="preserve"> ) </w:t>
      </w:r>
      <w:r w:rsidRPr="007F7EBF">
        <w:rPr>
          <w:sz w:val="22"/>
          <w:szCs w:val="22"/>
        </w:rPr>
        <w:t xml:space="preserve">Per i </w:t>
      </w:r>
      <w:r w:rsidRPr="007F7EBF">
        <w:rPr>
          <w:bCs/>
          <w:sz w:val="22"/>
          <w:szCs w:val="22"/>
        </w:rPr>
        <w:t xml:space="preserve">redditi </w:t>
      </w:r>
      <w:r w:rsidRPr="007F7EBF">
        <w:rPr>
          <w:sz w:val="22"/>
          <w:szCs w:val="22"/>
        </w:rPr>
        <w:t xml:space="preserve">percepiti dopo un lungo periodo di maturazione, la </w:t>
      </w:r>
      <w:proofErr w:type="spellStart"/>
      <w:r>
        <w:rPr>
          <w:sz w:val="22"/>
          <w:szCs w:val="22"/>
        </w:rPr>
        <w:t>pluriennalità</w:t>
      </w:r>
      <w:proofErr w:type="spellEnd"/>
      <w:r>
        <w:rPr>
          <w:sz w:val="22"/>
          <w:szCs w:val="22"/>
        </w:rPr>
        <w:t xml:space="preserve"> </w:t>
      </w:r>
      <w:r w:rsidRPr="007F7EBF">
        <w:rPr>
          <w:sz w:val="22"/>
          <w:szCs w:val="22"/>
        </w:rPr>
        <w:t>è quindi “certa".</w:t>
      </w:r>
    </w:p>
  </w:footnote>
  <w:footnote w:id="1348">
    <w:p w14:paraId="3C4E3C86" w14:textId="7C4B21C5" w:rsidR="003B7460" w:rsidRDefault="003B7460">
      <w:pPr>
        <w:pStyle w:val="Testonotaapidipagina"/>
      </w:pPr>
      <w:r>
        <w:rPr>
          <w:rStyle w:val="Rimandonotaapidipagina"/>
        </w:rPr>
        <w:footnoteRef/>
      </w:r>
      <w:r>
        <w:rPr>
          <w:sz w:val="22"/>
          <w:szCs w:val="22"/>
        </w:rPr>
        <w:t xml:space="preserve">) Quanto indicato nel testo conferma che l’Irap è la vera imposta sul valore aggiunto, espressione usata impropriamente per l’IVA come indicato al par.7.2. Tuttavia la commissione UE pose addirittura una questione di </w:t>
      </w:r>
      <w:r>
        <w:t xml:space="preserve">legittimità comunitaria dell’IRAP per contrarietà  al principio di esclusività dell’IVA, respinta con la </w:t>
      </w:r>
      <w:r w:rsidRPr="007F7EBF">
        <w:t>sentenza CGCE 3 ottobre 2006 c475-03</w:t>
      </w:r>
      <w:r>
        <w:t xml:space="preserve"> , ma inquietante esempio di superficialità, oppure (volendo fare i “complottisti”) di opachi intrecci burocratico-professionali</w:t>
      </w:r>
      <w:r w:rsidRPr="007F7EBF">
        <w:t>.</w:t>
      </w:r>
    </w:p>
  </w:footnote>
  <w:footnote w:id="1349">
    <w:p w14:paraId="0430FF2A" w14:textId="6B6B0CAB" w:rsidR="003B7460" w:rsidRDefault="003B7460">
      <w:pPr>
        <w:pStyle w:val="Testonotaapidipagina"/>
      </w:pPr>
      <w:r>
        <w:rPr>
          <w:rStyle w:val="Rimandonotaapidipagina"/>
        </w:rPr>
        <w:footnoteRef/>
      </w:r>
      <w:r>
        <w:t xml:space="preserve"> ) Con deduzione degli ammortamenti, mentre approfondimenti riguarderebbero altre voci di bilancio, come le perdite cu crediti. </w:t>
      </w:r>
    </w:p>
  </w:footnote>
  <w:footnote w:id="1350">
    <w:p w14:paraId="01948285" w14:textId="654F2B09" w:rsidR="003B7460" w:rsidRPr="007F7EBF" w:rsidRDefault="003B7460" w:rsidP="00DC4DB5">
      <w:pPr>
        <w:pStyle w:val="Testonotaapidipagina"/>
      </w:pPr>
      <w:r w:rsidRPr="007F7EBF">
        <w:rPr>
          <w:rStyle w:val="Rimandonotaapidipagina"/>
        </w:rPr>
        <w:footnoteRef/>
      </w:r>
      <w:r w:rsidRPr="007F7EBF">
        <w:t xml:space="preserve"> ) </w:t>
      </w:r>
      <w:r>
        <w:t>Visti come “contribuenti di fatto” secondo quanto indicato al par.3.5.</w:t>
      </w:r>
      <w:r w:rsidRPr="007F7EBF">
        <w:t xml:space="preserve">  </w:t>
      </w:r>
    </w:p>
  </w:footnote>
  <w:footnote w:id="1351">
    <w:p w14:paraId="4C5A37D9" w14:textId="790F04BE" w:rsidR="003B7460" w:rsidRPr="00BB68B3" w:rsidRDefault="003B7460">
      <w:pPr>
        <w:pStyle w:val="Testonotaapidipagina"/>
        <w:rPr>
          <w:sz w:val="22"/>
          <w:szCs w:val="22"/>
        </w:rPr>
      </w:pPr>
      <w:r>
        <w:rPr>
          <w:rStyle w:val="Rimandonotaapidipagina"/>
        </w:rPr>
        <w:footnoteRef/>
      </w:r>
      <w:r>
        <w:t xml:space="preserve"> ) Si conferma anche qui il filo conduttore del testo sull’azienda come filtro che acquisisce consumi ed eroga redditi a chi contribuisce alla sua attività. Per questo l</w:t>
      </w:r>
      <w:r w:rsidRPr="007F7EBF">
        <w:rPr>
          <w:sz w:val="22"/>
          <w:szCs w:val="22"/>
        </w:rPr>
        <w:t>a parte d’imposta relativa al valore aggiunto assorbito da redditi di terzi (lavoratori dipendenti e percettori d’interessi) è logicamente, ed oggi anche normativamente, deducibile dalle altre imposte sui reddit</w:t>
      </w:r>
      <w:r>
        <w:rPr>
          <w:sz w:val="22"/>
          <w:szCs w:val="22"/>
        </w:rPr>
        <w:t xml:space="preserve">i, mentre </w:t>
      </w:r>
      <w:r>
        <w:t>l’IRAP sulla quota di profitto è una quota di redditi propri, per cui l’indeducibilità ha senso.</w:t>
      </w:r>
      <w:r>
        <w:rPr>
          <w:sz w:val="22"/>
          <w:szCs w:val="22"/>
        </w:rPr>
        <w:t xml:space="preserve"> </w:t>
      </w:r>
      <w:r w:rsidRPr="007F7EBF">
        <w:t xml:space="preserve">L’iniziale indeducibilità dell’IRAP sul valore aggiunto attribuibile a terzi provocava una palese doppia imposizione economica, ispirata all’idiozia finanziaria (par.7.9 sull’inerenza e la deducibilità dei tributi), secondo cui in questo modo la politica tributaria regionale, variando le aliquote, avrebbe influenzato il gettito statale. </w:t>
      </w:r>
    </w:p>
  </w:footnote>
  <w:footnote w:id="1352">
    <w:p w14:paraId="764ECB88" w14:textId="697787C5" w:rsidR="003B7460" w:rsidRPr="007F7EBF" w:rsidRDefault="003B7460" w:rsidP="00726198">
      <w:pPr>
        <w:pStyle w:val="Testonotaapidipagina"/>
      </w:pPr>
      <w:r w:rsidRPr="007F7EBF">
        <w:rPr>
          <w:rStyle w:val="Rimandonotaapidipagina"/>
        </w:rPr>
        <w:footnoteRef/>
      </w:r>
      <w:r w:rsidRPr="007F7EBF">
        <w:t xml:space="preserve"> </w:t>
      </w:r>
      <w:r>
        <w:t xml:space="preserve">) Tra le critiche estranee alla determinazione degli imponibili segnaliamo quella di disincentivare il lavoro rispetto ai macchinari, mentre la giustificazione era il </w:t>
      </w:r>
      <w:r w:rsidRPr="007F7EBF">
        <w:t xml:space="preserve">fantomatico “potere sui fattori della produzione”.  </w:t>
      </w:r>
    </w:p>
  </w:footnote>
  <w:footnote w:id="1353">
    <w:p w14:paraId="43D77090" w14:textId="77777777" w:rsidR="003B7460" w:rsidRPr="007F7EBF" w:rsidRDefault="003B7460">
      <w:pPr>
        <w:pStyle w:val="Testonotaapidipagina"/>
      </w:pPr>
      <w:r w:rsidRPr="007F7EBF">
        <w:rPr>
          <w:rStyle w:val="Rimandonotaapidipagina"/>
        </w:rPr>
        <w:footnoteRef/>
      </w:r>
      <w:r w:rsidRPr="007F7EBF">
        <w:t xml:space="preserve"> </w:t>
      </w:r>
      <w:r w:rsidRPr="007F7EBF">
        <w:rPr>
          <w:bCs/>
        </w:rPr>
        <w:t>I</w:t>
      </w:r>
      <w:r w:rsidRPr="007F7EBF">
        <w:t xml:space="preserve">n questi casi l’IRAP si trasformerebbe in una imposta aggiuntiva sul reddito del titolare, venendone meno la </w:t>
      </w:r>
      <w:r w:rsidRPr="007F7EBF">
        <w:rPr>
          <w:bCs/>
        </w:rPr>
        <w:t>necessità di imposta autonoma</w:t>
      </w:r>
      <w:r w:rsidRPr="007F7EBF">
        <w:t>.</w:t>
      </w:r>
    </w:p>
  </w:footnote>
  <w:footnote w:id="1354">
    <w:p w14:paraId="3B061F80" w14:textId="0072BD63" w:rsidR="003B7460" w:rsidRPr="007F7EBF" w:rsidRDefault="003B7460">
      <w:pPr>
        <w:pStyle w:val="Testonotaapidipagina"/>
      </w:pPr>
      <w:r w:rsidRPr="007F7EBF">
        <w:rPr>
          <w:rStyle w:val="Rimandonotaapidipagina"/>
        </w:rPr>
        <w:footnoteRef/>
      </w:r>
      <w:r w:rsidRPr="007F7EBF">
        <w:t xml:space="preserve"> </w:t>
      </w:r>
      <w:r>
        <w:t>) La soluzione sa</w:t>
      </w:r>
      <w:r w:rsidRPr="007F7EBF">
        <w:t>rebbe rendere indeducibili anche queste somme ai fini della determinazione dell'IRAP</w:t>
      </w:r>
      <w:r>
        <w:t>, eliminando il salto d’imposta indicato nel testo (par.3.12) e l’incongruenza rispetto a quanto accade per i</w:t>
      </w:r>
      <w:r w:rsidRPr="007F7EBF">
        <w:t xml:space="preserve"> dipendent</w:t>
      </w:r>
      <w:r>
        <w:t>i</w:t>
      </w:r>
      <w:r w:rsidRPr="007F7EBF">
        <w:t xml:space="preserve"> (il cui costo sarebbe indeducibile ai fini IRAP per l'erogante) o soggett</w:t>
      </w:r>
      <w:r>
        <w:t>i</w:t>
      </w:r>
      <w:r w:rsidRPr="007F7EBF">
        <w:t xml:space="preserve"> organizzat</w:t>
      </w:r>
      <w:r>
        <w:t>i</w:t>
      </w:r>
      <w:r w:rsidRPr="007F7EBF">
        <w:t>, che pagherebbe</w:t>
      </w:r>
      <w:r>
        <w:t>ro</w:t>
      </w:r>
      <w:r w:rsidRPr="007F7EBF">
        <w:t xml:space="preserve"> IRAP in proprio.</w:t>
      </w:r>
    </w:p>
  </w:footnote>
  <w:footnote w:id="1355">
    <w:p w14:paraId="3E26A20D" w14:textId="29987BA7" w:rsidR="003B7460" w:rsidRPr="006241A6" w:rsidRDefault="003B7460" w:rsidP="006241A6">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Ritroviamo qui b</w:t>
      </w:r>
      <w:r w:rsidRPr="007F7EBF">
        <w:rPr>
          <w:sz w:val="20"/>
          <w:szCs w:val="20"/>
        </w:rPr>
        <w:t>anche, società petrolifere, emittenti o destinatari di documenti in serie, notai e altri pubblici</w:t>
      </w:r>
      <w:r>
        <w:rPr>
          <w:sz w:val="20"/>
          <w:szCs w:val="20"/>
        </w:rPr>
        <w:t xml:space="preserve"> </w:t>
      </w:r>
      <w:r w:rsidRPr="007F7EBF">
        <w:t xml:space="preserve">ufficiali. </w:t>
      </w:r>
    </w:p>
  </w:footnote>
  <w:footnote w:id="1356">
    <w:p w14:paraId="6B23A150" w14:textId="2F629C9C" w:rsidR="003B7460" w:rsidRPr="007F7EBF" w:rsidRDefault="003B7460">
      <w:pPr>
        <w:pStyle w:val="Testonotaapidipagina"/>
      </w:pPr>
      <w:r w:rsidRPr="007F7EBF">
        <w:rPr>
          <w:rStyle w:val="Rimandonotaapidipagina"/>
        </w:rPr>
        <w:footnoteRef/>
      </w:r>
      <w:r w:rsidRPr="007F7EBF">
        <w:t xml:space="preserve"> ) </w:t>
      </w:r>
      <w:r>
        <w:t xml:space="preserve">Come ad esempio quella che vedremo al par.10.9 per l’imposta patrimoniale sulla c.d. “prima casa”. A parte questi occasionali “fuochi di paglia” mediatico-politici, su </w:t>
      </w:r>
      <w:r w:rsidRPr="007F7EBF">
        <w:t xml:space="preserve">questi </w:t>
      </w:r>
      <w:r>
        <w:t>temi</w:t>
      </w:r>
      <w:r w:rsidRPr="007F7EBF">
        <w:t xml:space="preserve"> </w:t>
      </w:r>
      <w:r>
        <w:t>raramente si sente il bisogno di spiegazioni sociali</w:t>
      </w:r>
      <w:r w:rsidRPr="007F7EBF">
        <w:t>.</w:t>
      </w:r>
    </w:p>
  </w:footnote>
  <w:footnote w:id="1357">
    <w:p w14:paraId="7D4AD9E5" w14:textId="5A7ECC83" w:rsidR="003B7460" w:rsidRDefault="003B7460">
      <w:pPr>
        <w:pStyle w:val="Testonotaapidipagina"/>
      </w:pPr>
      <w:r>
        <w:rPr>
          <w:rStyle w:val="Rimandonotaapidipagina"/>
        </w:rPr>
        <w:footnoteRef/>
      </w:r>
      <w:r>
        <w:t xml:space="preserve"> ) Ecco perché le analisi di questi tributi nella pubblicistica sono molto inferiori a quelle di temi più rari, ma professionalmente più appetibili come l’elusione (par.3.10), le operazioni societarie (par.7.20) o la fiscalità internazionale (par.7.19).  </w:t>
      </w:r>
    </w:p>
  </w:footnote>
  <w:footnote w:id="1358">
    <w:p w14:paraId="3A78566E" w14:textId="3CB4CA51"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Perché, anche nel diritto, come diceva Hegel, tutto ciò che è reale è razionale, </w:t>
      </w:r>
      <w:r>
        <w:t xml:space="preserve">cioè deriva da un intreccio di cause, </w:t>
      </w:r>
      <w:r w:rsidRPr="007F7EBF">
        <w:t xml:space="preserve">compresa confusione, che </w:t>
      </w:r>
      <w:r>
        <w:t xml:space="preserve">oggi </w:t>
      </w:r>
      <w:r w:rsidRPr="007F7EBF">
        <w:t>inviluppa la funzione tributaria</w:t>
      </w:r>
      <w:r>
        <w:t xml:space="preserve"> per la nota carenza di spiegazioni sociali</w:t>
      </w:r>
      <w:r w:rsidRPr="007F7EBF">
        <w:t xml:space="preserve">. </w:t>
      </w:r>
    </w:p>
  </w:footnote>
  <w:footnote w:id="1359">
    <w:p w14:paraId="35989CDE" w14:textId="40F5BCD4" w:rsidR="003B7460" w:rsidRPr="007F7EBF" w:rsidRDefault="003B7460">
      <w:pPr>
        <w:pStyle w:val="Testonotaapidipagina"/>
      </w:pPr>
      <w:r w:rsidRPr="007F7EBF">
        <w:rPr>
          <w:rStyle w:val="Rimandonotaapidipagina"/>
        </w:rPr>
        <w:footnoteRef/>
      </w:r>
      <w:r w:rsidRPr="007F7EBF">
        <w:t xml:space="preserve"> ) </w:t>
      </w:r>
      <w:r>
        <w:t xml:space="preserve">Abbiamo già rilevato al par.1.8 che si possiede </w:t>
      </w:r>
      <w:r w:rsidRPr="007F7EBF">
        <w:t xml:space="preserve">attraverso il gruppo sociale, </w:t>
      </w:r>
      <w:r>
        <w:t xml:space="preserve">e che sotto questo profilo </w:t>
      </w:r>
      <w:r w:rsidRPr="007F7EBF">
        <w:t xml:space="preserve">anche la proprietà privata </w:t>
      </w:r>
      <w:r>
        <w:t>è un</w:t>
      </w:r>
      <w:r w:rsidRPr="007F7EBF">
        <w:t xml:space="preserve"> fenomeno di diritto pubblico.  </w:t>
      </w:r>
    </w:p>
  </w:footnote>
  <w:footnote w:id="1360">
    <w:p w14:paraId="39A38722" w14:textId="15E6EE89" w:rsidR="003B7460" w:rsidRPr="007F7EBF" w:rsidRDefault="003B7460" w:rsidP="00864663">
      <w:pPr>
        <w:pStyle w:val="Testonotaapidipagina"/>
      </w:pPr>
      <w:r w:rsidRPr="007F7EBF">
        <w:rPr>
          <w:rStyle w:val="Rimandonotaapidipagina"/>
        </w:rPr>
        <w:footnoteRef/>
      </w:r>
      <w:r w:rsidRPr="007F7EBF">
        <w:t xml:space="preserve"> ) </w:t>
      </w:r>
      <w:r>
        <w:rPr>
          <w:bCs/>
          <w:sz w:val="22"/>
          <w:szCs w:val="22"/>
        </w:rPr>
        <w:t>Qui l</w:t>
      </w:r>
      <w:r w:rsidRPr="007F7EBF">
        <w:rPr>
          <w:sz w:val="22"/>
          <w:szCs w:val="22"/>
        </w:rPr>
        <w:t xml:space="preserve">a ricchezza non emerge </w:t>
      </w:r>
      <w:r>
        <w:rPr>
          <w:sz w:val="22"/>
          <w:szCs w:val="22"/>
        </w:rPr>
        <w:t xml:space="preserve">quindi </w:t>
      </w:r>
      <w:r w:rsidRPr="007F7EBF">
        <w:rPr>
          <w:sz w:val="22"/>
          <w:szCs w:val="22"/>
        </w:rPr>
        <w:t>nella sua visibilità materiale</w:t>
      </w:r>
      <w:r>
        <w:rPr>
          <w:sz w:val="22"/>
          <w:szCs w:val="22"/>
        </w:rPr>
        <w:t>, ra</w:t>
      </w:r>
      <w:r w:rsidRPr="007F7EBF">
        <w:t xml:space="preserve">ppresentata, per capirci, dai campi coltivati o dalle merci soggette a imposta. </w:t>
      </w:r>
    </w:p>
  </w:footnote>
  <w:footnote w:id="1361">
    <w:p w14:paraId="6FD08D14" w14:textId="6FF08C00" w:rsidR="003B7460" w:rsidRPr="007F7EBF" w:rsidRDefault="003B7460" w:rsidP="00864663">
      <w:pPr>
        <w:pStyle w:val="Testonotaapidipagina"/>
      </w:pPr>
      <w:r w:rsidRPr="007F7EBF">
        <w:rPr>
          <w:rStyle w:val="Rimandonotaapidipagina"/>
        </w:rPr>
        <w:footnoteRef/>
      </w:r>
      <w:r w:rsidRPr="007F7EBF">
        <w:t xml:space="preserve"> )</w:t>
      </w:r>
      <w:r>
        <w:t xml:space="preserve"> Non a caso, a</w:t>
      </w:r>
      <w:r w:rsidRPr="007F7EBF">
        <w:t>i tempi della tassazione valutativa attraverso gli uffici, prima della tassazione attraverso le aziende, l’imposta di registro era quella che comportava più interpretazioni giuridiche, tanto da farle attribuire l’epiteto di “regina delle imposte”.</w:t>
      </w:r>
    </w:p>
  </w:footnote>
  <w:footnote w:id="1362">
    <w:p w14:paraId="42D5D557" w14:textId="77777777" w:rsidR="003B7460" w:rsidRPr="007F7EBF" w:rsidRDefault="003B7460">
      <w:pPr>
        <w:pStyle w:val="Testonotaapidipagina"/>
      </w:pPr>
      <w:r w:rsidRPr="007F7EBF">
        <w:rPr>
          <w:rStyle w:val="Rimandonotaapidipagina"/>
        </w:rPr>
        <w:footnoteRef/>
      </w:r>
      <w:r w:rsidRPr="007F7EBF">
        <w:t xml:space="preserve"> ) Non occorre certo il servizio postale per l’impiego di questa disposizione, riferibile anche a scambio di messaggi telematici. </w:t>
      </w:r>
    </w:p>
  </w:footnote>
  <w:footnote w:id="1363">
    <w:p w14:paraId="206643D9" w14:textId="2F7C9ECC" w:rsidR="003B7460" w:rsidRPr="007F7EBF" w:rsidRDefault="003B7460">
      <w:pPr>
        <w:pStyle w:val="Testonotaapidipagina"/>
      </w:pPr>
      <w:r w:rsidRPr="007F7EBF">
        <w:rPr>
          <w:rStyle w:val="Rimandonotaapidipagina"/>
        </w:rPr>
        <w:footnoteRef/>
      </w:r>
      <w:r w:rsidRPr="007F7EBF">
        <w:t xml:space="preserve"> ) </w:t>
      </w:r>
      <w:r>
        <w:t>Ritroveremo questa struttura per l’i</w:t>
      </w:r>
      <w:r w:rsidRPr="007F7EBF">
        <w:t>mposta di bollo,</w:t>
      </w:r>
      <w:r>
        <w:t xml:space="preserve"> quelle doganali e le tasse</w:t>
      </w:r>
      <w:r w:rsidRPr="007F7EBF">
        <w:t xml:space="preserve"> sulle concessioni governative, ma anche l’IVA </w:t>
      </w:r>
      <w:r>
        <w:t xml:space="preserve">ha </w:t>
      </w:r>
      <w:r w:rsidRPr="007F7EBF">
        <w:t>una struttura concettualmente simile, con la presenza di tabelle di beni e servizi soggetti ad aliquote diverse</w:t>
      </w:r>
      <w:r>
        <w:t xml:space="preserve"> (par.7.2)</w:t>
      </w:r>
      <w:r w:rsidRPr="007F7EBF">
        <w:t xml:space="preserve">. </w:t>
      </w:r>
    </w:p>
  </w:footnote>
  <w:footnote w:id="1364">
    <w:p w14:paraId="0E459C20" w14:textId="24FE1481" w:rsidR="003B7460" w:rsidRPr="007F7EBF" w:rsidRDefault="003B7460">
      <w:pPr>
        <w:pStyle w:val="Testonotaapidipagina"/>
      </w:pPr>
      <w:r w:rsidRPr="007F7EBF">
        <w:rPr>
          <w:rStyle w:val="Rimandonotaapidipagina"/>
        </w:rPr>
        <w:footnoteRef/>
      </w:r>
      <w:r w:rsidRPr="007F7EBF">
        <w:t xml:space="preserve"> )Altre imposte applicate in relazione al trasferimento degli immobili, e collegate alle formalità di annotazione</w:t>
      </w:r>
      <w:r>
        <w:t xml:space="preserve"> nei registri della proprietà immobiliare</w:t>
      </w:r>
      <w:r w:rsidRPr="007F7EBF">
        <w:t xml:space="preserve">. </w:t>
      </w:r>
    </w:p>
  </w:footnote>
  <w:footnote w:id="1365">
    <w:p w14:paraId="1F832542" w14:textId="77777777" w:rsidR="003B7460" w:rsidRPr="007F7EBF" w:rsidRDefault="003B7460">
      <w:pPr>
        <w:pStyle w:val="Testonotaapidipagina"/>
      </w:pPr>
      <w:r w:rsidRPr="007F7EBF">
        <w:rPr>
          <w:rStyle w:val="Rimandonotaapidipagina"/>
        </w:rPr>
        <w:footnoteRef/>
      </w:r>
      <w:r w:rsidRPr="007F7EBF">
        <w:t xml:space="preserve"> ) Quando l’acquirente acquista un immobile destinato a “prima casa” le aliquote si riducono complessivamente nell'ordine del 3%. </w:t>
      </w:r>
    </w:p>
  </w:footnote>
  <w:footnote w:id="1366">
    <w:p w14:paraId="0EF612B7" w14:textId="77777777" w:rsidR="003B7460" w:rsidRPr="007F7EBF" w:rsidRDefault="003B7460" w:rsidP="00724C49">
      <w:pPr>
        <w:pStyle w:val="Testonotaapidipagina"/>
      </w:pPr>
      <w:r w:rsidRPr="007F7EBF">
        <w:rPr>
          <w:rStyle w:val="Rimandonotaapidipagina"/>
        </w:rPr>
        <w:footnoteRef/>
      </w:r>
      <w:r w:rsidRPr="007F7EBF">
        <w:t xml:space="preserve"> La voce prevista per le sentenze tiene conto della possibilità che esse siano riformate o annullate.</w:t>
      </w:r>
    </w:p>
  </w:footnote>
  <w:footnote w:id="1367">
    <w:p w14:paraId="05392035" w14:textId="77777777" w:rsidR="003B7460" w:rsidRPr="007F7EBF" w:rsidRDefault="003B7460">
      <w:pPr>
        <w:pStyle w:val="Testonotaapidipagina"/>
      </w:pPr>
      <w:r w:rsidRPr="007F7EBF">
        <w:rPr>
          <w:rStyle w:val="Rimandonotaapidipagina"/>
        </w:rPr>
        <w:footnoteRef/>
      </w:r>
      <w:r w:rsidRPr="007F7EBF">
        <w:t xml:space="preserve"> Anch'esse da cedere in forma notarile e quindi "solenne" (art.7 tariffa)</w:t>
      </w:r>
    </w:p>
  </w:footnote>
  <w:footnote w:id="1368">
    <w:p w14:paraId="7B9552D0" w14:textId="77777777" w:rsidR="003B7460" w:rsidRPr="007F7EBF" w:rsidRDefault="003B7460">
      <w:pPr>
        <w:pStyle w:val="Testonotaapidipagina"/>
      </w:pPr>
      <w:r w:rsidRPr="007F7EBF">
        <w:rPr>
          <w:rStyle w:val="Rimandonotaapidipagina"/>
        </w:rPr>
        <w:footnoteRef/>
      </w:r>
      <w:r w:rsidRPr="007F7EBF">
        <w:t xml:space="preserve"> Art. 9 della tariffa. Un caso frequente di bene soggetto all'aliquota del 3 percento è l'azienda, per la parte non espressa da proprietà immobiliari.</w:t>
      </w:r>
    </w:p>
  </w:footnote>
  <w:footnote w:id="1369">
    <w:p w14:paraId="71731421" w14:textId="575555E8" w:rsidR="003B7460" w:rsidRDefault="003B7460">
      <w:pPr>
        <w:pStyle w:val="Testonotaapidipagina"/>
      </w:pPr>
      <w:r>
        <w:rPr>
          <w:rStyle w:val="Rimandonotaapidipagina"/>
        </w:rPr>
        <w:footnoteRef/>
      </w:r>
      <w:r>
        <w:t xml:space="preserve"> ) Secondo quanto rilevato al par.3.5 sui contribuenti di fatto e di diritto. </w:t>
      </w:r>
    </w:p>
  </w:footnote>
  <w:footnote w:id="1370">
    <w:p w14:paraId="7C00564A" w14:textId="7FCD7813" w:rsidR="003B7460" w:rsidRPr="007F7EBF" w:rsidRDefault="003B7460" w:rsidP="00B1660C">
      <w:pPr>
        <w:pStyle w:val="Testonotaapidipagina"/>
      </w:pPr>
      <w:r w:rsidRPr="007F7EBF">
        <w:rPr>
          <w:rStyle w:val="Rimandonotaapidipagina"/>
        </w:rPr>
        <w:footnoteRef/>
      </w:r>
      <w:r w:rsidRPr="007F7EBF">
        <w:t xml:space="preserve"> ) Il lato negativo è che l'imposta rischia di ostacolare la circolazione dei beni, soprattutto gli immobili. Una serie di cessioni molto ravvicinate nel tempo rischia di dar luogo a un prelievo ripetuto, quasi espropriativo. </w:t>
      </w:r>
    </w:p>
  </w:footnote>
  <w:footnote w:id="1371">
    <w:p w14:paraId="33FB511D" w14:textId="47B5BD26" w:rsidR="003B7460" w:rsidRPr="007F7EBF" w:rsidRDefault="003B7460">
      <w:pPr>
        <w:pStyle w:val="Testonotaapidipagina"/>
      </w:pPr>
      <w:r w:rsidRPr="007F7EBF">
        <w:rPr>
          <w:rStyle w:val="Rimandonotaapidipagina"/>
        </w:rPr>
        <w:footnoteRef/>
      </w:r>
      <w:r w:rsidRPr="007F7EBF">
        <w:t xml:space="preserve"> ) Basata su disposizioni generali, e poi una tariffa con tipologie di</w:t>
      </w:r>
      <w:r>
        <w:t xml:space="preserve"> documenti, soggetti ad imposta in misura e con modalità diversa</w:t>
      </w:r>
      <w:r w:rsidRPr="007F7EBF">
        <w:t xml:space="preserve">. </w:t>
      </w:r>
    </w:p>
  </w:footnote>
  <w:footnote w:id="1372">
    <w:p w14:paraId="4B63A5AB" w14:textId="77777777" w:rsidR="003B7460" w:rsidRPr="007F7EBF" w:rsidRDefault="003B7460">
      <w:pPr>
        <w:pStyle w:val="Testonotaapidipagina"/>
      </w:pPr>
      <w:r w:rsidRPr="007F7EBF">
        <w:rPr>
          <w:rStyle w:val="Rimandonotaapidipagina"/>
        </w:rPr>
        <w:footnoteRef/>
      </w:r>
      <w:r w:rsidRPr="007F7EBF">
        <w:t xml:space="preserve"> ) Cioè la vecchia “carta da bollo” o la “marca da bollo”, con cui viene la carta normale viene assoggettata al tributo. </w:t>
      </w:r>
    </w:p>
  </w:footnote>
  <w:footnote w:id="1373">
    <w:p w14:paraId="056B1755" w14:textId="3F380C83" w:rsidR="003B7460" w:rsidRPr="007F7EBF" w:rsidRDefault="003B7460" w:rsidP="00345F01">
      <w:pPr>
        <w:pStyle w:val="Testonotaapidipagina"/>
      </w:pPr>
      <w:r w:rsidRPr="007F7EBF">
        <w:rPr>
          <w:rStyle w:val="Rimandonotaapidipagina"/>
        </w:rPr>
        <w:footnoteRef/>
      </w:r>
      <w:r w:rsidRPr="007F7EBF">
        <w:t xml:space="preserve"> </w:t>
      </w:r>
      <w:r>
        <w:t xml:space="preserve">) </w:t>
      </w:r>
      <w:r w:rsidRPr="007F7EBF">
        <w:t>Atti anagrafici, di pubblica sicurezza, giudiziari, etc.</w:t>
      </w:r>
    </w:p>
  </w:footnote>
  <w:footnote w:id="1374">
    <w:p w14:paraId="14CCA983" w14:textId="563072AE" w:rsidR="003B7460" w:rsidRPr="007F7EBF" w:rsidRDefault="003B7460">
      <w:pPr>
        <w:pStyle w:val="Testonotaapidipagina"/>
      </w:pPr>
      <w:r w:rsidRPr="007F7EBF">
        <w:rPr>
          <w:rStyle w:val="Rimandonotaapidipagina"/>
        </w:rPr>
        <w:footnoteRef/>
      </w:r>
      <w:r w:rsidRPr="007F7EBF">
        <w:t xml:space="preserve"> </w:t>
      </w:r>
      <w:r>
        <w:t xml:space="preserve">) </w:t>
      </w:r>
      <w:r w:rsidRPr="007F7EBF">
        <w:t>Banc</w:t>
      </w:r>
      <w:r>
        <w:t>he</w:t>
      </w:r>
      <w:r w:rsidRPr="007F7EBF">
        <w:t>, assicurazion</w:t>
      </w:r>
      <w:r>
        <w:t>i</w:t>
      </w:r>
      <w:r w:rsidRPr="007F7EBF">
        <w:t>, società immobiliar</w:t>
      </w:r>
      <w:r>
        <w:t>i</w:t>
      </w:r>
      <w:r w:rsidRPr="007F7EBF">
        <w:t>, etc.</w:t>
      </w:r>
    </w:p>
  </w:footnote>
  <w:footnote w:id="1375">
    <w:p w14:paraId="3D276B78" w14:textId="77777777" w:rsidR="003B7460" w:rsidRPr="007F7EBF" w:rsidRDefault="003B7460" w:rsidP="00345F01">
      <w:pPr>
        <w:pStyle w:val="Testonotaapidipagina"/>
      </w:pPr>
      <w:r w:rsidRPr="007F7EBF">
        <w:rPr>
          <w:rStyle w:val="Rimandonotaapidipagina"/>
        </w:rPr>
        <w:footnoteRef/>
      </w:r>
      <w:r>
        <w:t>)</w:t>
      </w:r>
      <w:r w:rsidRPr="007F7EBF">
        <w:t xml:space="preserve"> Si pensi ad esempio al bollo su</w:t>
      </w:r>
      <w:r>
        <w:t xml:space="preserve"> istanze e </w:t>
      </w:r>
      <w:r w:rsidRPr="007F7EBF">
        <w:t xml:space="preserve">certificati </w:t>
      </w:r>
      <w:r>
        <w:t xml:space="preserve">di stato civile, giudiziari, </w:t>
      </w:r>
      <w:r w:rsidRPr="007F7EBF">
        <w:t>scolastici</w:t>
      </w:r>
      <w:r>
        <w:t>, abilitativi, come patenti di vario genere, etc.</w:t>
      </w:r>
    </w:p>
  </w:footnote>
  <w:footnote w:id="1376">
    <w:p w14:paraId="0A8FB712" w14:textId="79093AC8" w:rsidR="003B7460" w:rsidRPr="007F7EBF" w:rsidRDefault="003B7460">
      <w:pPr>
        <w:pStyle w:val="Testonotaapidipagina"/>
      </w:pPr>
      <w:r w:rsidRPr="007F7EBF">
        <w:rPr>
          <w:rStyle w:val="Rimandonotaapidipagina"/>
        </w:rPr>
        <w:footnoteRef/>
      </w:r>
      <w:r>
        <w:t xml:space="preserve">) </w:t>
      </w:r>
      <w:r w:rsidRPr="007F7EBF">
        <w:t xml:space="preserve">Si pensi a passaporti, patenti, autorizzazioni </w:t>
      </w:r>
      <w:proofErr w:type="spellStart"/>
      <w:r w:rsidRPr="007F7EBF">
        <w:t>varie,libri</w:t>
      </w:r>
      <w:proofErr w:type="spellEnd"/>
      <w:r w:rsidRPr="007F7EBF">
        <w:t xml:space="preserve"> sociali, etc.</w:t>
      </w:r>
    </w:p>
  </w:footnote>
  <w:footnote w:id="1377">
    <w:p w14:paraId="748B1AF8" w14:textId="4F6DB637" w:rsidR="003B7460" w:rsidRPr="007F7EBF" w:rsidRDefault="003B7460" w:rsidP="00704B6B">
      <w:pPr>
        <w:pStyle w:val="Testonotaapidipagina"/>
      </w:pPr>
      <w:r w:rsidRPr="007F7EBF">
        <w:rPr>
          <w:rStyle w:val="Rimandonotaapidipagina"/>
        </w:rPr>
        <w:footnoteRef/>
      </w:r>
      <w:r>
        <w:t>) La difficoltà di monetizzazione e il rischio di investimenti sbagliati limitano il mercato di questi “beni rifugio”</w:t>
      </w:r>
      <w:r w:rsidRPr="007F7EBF">
        <w:t>.</w:t>
      </w:r>
    </w:p>
  </w:footnote>
  <w:footnote w:id="1378">
    <w:p w14:paraId="38CC9CBD" w14:textId="04A59AC7" w:rsidR="003B7460" w:rsidRPr="007F7EBF" w:rsidRDefault="003B7460" w:rsidP="00704B6B">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 xml:space="preserve">) </w:t>
      </w:r>
      <w:r w:rsidRPr="007F7EBF">
        <w:rPr>
          <w:sz w:val="20"/>
          <w:szCs w:val="20"/>
        </w:rPr>
        <w:t>Quest'ultima è controproducente anche rispetto all'esigenza aziendale di capitalizzazione, alla facilità di tassarne i redditi ed all’esigenza di istituzionalizzare le aziende</w:t>
      </w:r>
      <w:r>
        <w:rPr>
          <w:sz w:val="20"/>
          <w:szCs w:val="20"/>
        </w:rPr>
        <w:t>, su cui parr.3.1 ss</w:t>
      </w:r>
      <w:r w:rsidRPr="007F7EBF">
        <w:rPr>
          <w:sz w:val="20"/>
          <w:szCs w:val="20"/>
        </w:rPr>
        <w:t xml:space="preserve">. </w:t>
      </w:r>
    </w:p>
  </w:footnote>
  <w:footnote w:id="1379">
    <w:p w14:paraId="786F9DD2" w14:textId="63973736" w:rsidR="003B7460" w:rsidRPr="007F7EBF" w:rsidRDefault="003B7460" w:rsidP="00C873E2">
      <w:pPr>
        <w:pStyle w:val="Testonotaapidipagina"/>
      </w:pPr>
      <w:r w:rsidRPr="007F7EBF">
        <w:rPr>
          <w:rStyle w:val="Rimandonotaapidipagina"/>
        </w:rPr>
        <w:footnoteRef/>
      </w:r>
      <w:r w:rsidRPr="007F7EBF">
        <w:t xml:space="preserve"> </w:t>
      </w:r>
      <w:r>
        <w:t xml:space="preserve">) </w:t>
      </w:r>
      <w:r w:rsidRPr="007F7EBF">
        <w:t>Lupi</w:t>
      </w:r>
      <w:r>
        <w:t xml:space="preserve">, </w:t>
      </w:r>
      <w:r w:rsidRPr="007F7EBF">
        <w:t>Compendio di scienza delle finanze, dike, 2</w:t>
      </w:r>
      <w:r>
        <w:t>0</w:t>
      </w:r>
      <w:r w:rsidRPr="007F7EBF">
        <w:t>1</w:t>
      </w:r>
      <w:r>
        <w:t>7</w:t>
      </w:r>
      <w:r w:rsidRPr="007F7EBF">
        <w:t>, par.7.4-7.6.</w:t>
      </w:r>
    </w:p>
  </w:footnote>
  <w:footnote w:id="1380">
    <w:p w14:paraId="7646145F" w14:textId="7F8AD726" w:rsidR="003B7460" w:rsidRDefault="003B7460">
      <w:pPr>
        <w:pStyle w:val="Testonotaapidipagina"/>
      </w:pPr>
      <w:r>
        <w:rPr>
          <w:rStyle w:val="Rimandonotaapidipagina"/>
        </w:rPr>
        <w:footnoteRef/>
      </w:r>
      <w:r>
        <w:t xml:space="preserve"> ) </w:t>
      </w:r>
      <w:proofErr w:type="spellStart"/>
      <w:r>
        <w:rPr>
          <w:sz w:val="22"/>
          <w:szCs w:val="22"/>
        </w:rPr>
        <w:t>Cfr</w:t>
      </w:r>
      <w:proofErr w:type="spellEnd"/>
      <w:r>
        <w:rPr>
          <w:sz w:val="22"/>
          <w:szCs w:val="22"/>
        </w:rPr>
        <w:t xml:space="preserve"> par.5.14 sulla rilevanza del tenore di vita.</w:t>
      </w:r>
    </w:p>
  </w:footnote>
  <w:footnote w:id="1381">
    <w:p w14:paraId="11077BE8" w14:textId="2048365A" w:rsidR="003B7460" w:rsidRPr="007F7EBF" w:rsidRDefault="003B7460" w:rsidP="00D9792E">
      <w:pPr>
        <w:pStyle w:val="Testonotaapidipagina"/>
      </w:pPr>
      <w:r w:rsidRPr="007F7EBF">
        <w:rPr>
          <w:rStyle w:val="Rimandonotaapidipagina"/>
        </w:rPr>
        <w:footnoteRef/>
      </w:r>
      <w:r w:rsidRPr="007F7EBF">
        <w:t xml:space="preserve"> ) </w:t>
      </w:r>
      <w:r>
        <w:t>Solo l</w:t>
      </w:r>
      <w:r w:rsidRPr="007F7EBF">
        <w:t>’inadeguatezza concettuale nel monitoraggio valutativo della ricchezza spinge a ripiegare su rozze “</w:t>
      </w:r>
      <w:r>
        <w:t xml:space="preserve">imposte </w:t>
      </w:r>
      <w:r w:rsidRPr="007F7EBF">
        <w:t>patrimoniali”.</w:t>
      </w:r>
    </w:p>
  </w:footnote>
  <w:footnote w:id="1382">
    <w:p w14:paraId="0D67E840" w14:textId="3E5ABD77" w:rsidR="003B7460" w:rsidRPr="007F7EBF" w:rsidRDefault="003B7460" w:rsidP="005B2E15">
      <w:pPr>
        <w:pStyle w:val="Testonotaapidipagina"/>
      </w:pPr>
      <w:r w:rsidRPr="007F7EBF">
        <w:rPr>
          <w:rStyle w:val="Rimandonotaapidipagina"/>
        </w:rPr>
        <w:footnoteRef/>
      </w:r>
      <w:r>
        <w:t xml:space="preserve">) </w:t>
      </w:r>
      <w:r w:rsidRPr="007F7EBF">
        <w:t xml:space="preserve">Penso a depositi bancari, investimenti finanziari, gestioni fiduciarie, dove le aziende possono agire da esattori del fisco sui cespiti patrimoniali loro affidati. </w:t>
      </w:r>
    </w:p>
  </w:footnote>
  <w:footnote w:id="1383">
    <w:p w14:paraId="077BF4A4" w14:textId="77777777" w:rsidR="003B7460" w:rsidRPr="007F7EBF" w:rsidRDefault="003B7460">
      <w:pPr>
        <w:pStyle w:val="Testonotaapidipagina"/>
      </w:pPr>
      <w:r w:rsidRPr="007F7EBF">
        <w:rPr>
          <w:rStyle w:val="Rimandonotaapidipagina"/>
        </w:rPr>
        <w:footnoteRef/>
      </w:r>
      <w:r w:rsidRPr="007F7EBF">
        <w:t xml:space="preserve"> ) Soprattutto le organizzazioni amministrative che caratterizzano la “tassazione attraverso le aziende”. </w:t>
      </w:r>
    </w:p>
  </w:footnote>
  <w:footnote w:id="1384">
    <w:p w14:paraId="69E5B089" w14:textId="451EEDBA" w:rsidR="003B7460" w:rsidRDefault="003B7460">
      <w:pPr>
        <w:pStyle w:val="Testonotaapidipagina"/>
      </w:pPr>
      <w:r>
        <w:rPr>
          <w:rStyle w:val="Rimandonotaapidipagina"/>
        </w:rPr>
        <w:footnoteRef/>
      </w:r>
      <w:r>
        <w:t xml:space="preserve"> ) Cioè bancaria, finanziaria, assicurativa, creditizia, azionaria, aziendale, in parole povere “mobiliare”, come indicato nel testo e al par.1.8.</w:t>
      </w:r>
    </w:p>
  </w:footnote>
  <w:footnote w:id="1385">
    <w:p w14:paraId="48BE0F06" w14:textId="1A3E3A80" w:rsidR="003B7460" w:rsidRDefault="003B7460">
      <w:pPr>
        <w:pStyle w:val="Testonotaapidipagina"/>
      </w:pPr>
      <w:r>
        <w:rPr>
          <w:rStyle w:val="Rimandonotaapidipagina"/>
        </w:rPr>
        <w:footnoteRef/>
      </w:r>
      <w:r>
        <w:t xml:space="preserve"> ) </w:t>
      </w:r>
      <w:proofErr w:type="spellStart"/>
      <w:r>
        <w:t>Benchè</w:t>
      </w:r>
      <w:proofErr w:type="spellEnd"/>
      <w:r>
        <w:t xml:space="preserve"> estranei al concetto di reddito, come indicato al par.1.8. </w:t>
      </w:r>
    </w:p>
  </w:footnote>
  <w:footnote w:id="1386">
    <w:p w14:paraId="4BDAC49F" w14:textId="3DACADA0" w:rsidR="003B7460" w:rsidRPr="007F7EBF" w:rsidRDefault="003B7460">
      <w:pPr>
        <w:pStyle w:val="Testonotaapidipagina"/>
      </w:pPr>
      <w:r w:rsidRPr="007F7EBF">
        <w:rPr>
          <w:rStyle w:val="Rimandonotaapidipagina"/>
        </w:rPr>
        <w:footnoteRef/>
      </w:r>
      <w:r w:rsidRPr="007F7EBF">
        <w:t xml:space="preserve"> ) </w:t>
      </w:r>
      <w:r>
        <w:t xml:space="preserve">Che funziona sempre meno per salire, e casomai funziona per scendere; a </w:t>
      </w:r>
      <w:r w:rsidRPr="007F7EBF">
        <w:t>monte ci sono ragionamenti di senso comune, secondo cui si avverte che chiunque si trovi in una posizione socialmente privilegiata, specie per meriti dei propri genitori o dei propri avi, non si deve “chiudere” nella difesa del proprio “status”, ma deve assicurare opportunità di ascesa</w:t>
      </w:r>
      <w:r>
        <w:t xml:space="preserve">, anche per giustificare la propria migliore </w:t>
      </w:r>
      <w:r w:rsidRPr="007F7EBF">
        <w:t xml:space="preserve">posizione relativa (segnalo un bell’aforisma di Kevin Spacey secondo cui </w:t>
      </w:r>
      <w:r w:rsidRPr="007F7EBF">
        <w:rPr>
          <w:i/>
        </w:rPr>
        <w:t xml:space="preserve"> </w:t>
      </w:r>
      <w:proofErr w:type="spellStart"/>
      <w:r w:rsidRPr="007F7EBF">
        <w:rPr>
          <w:i/>
        </w:rPr>
        <w:t>It</w:t>
      </w:r>
      <w:proofErr w:type="spellEnd"/>
      <w:r w:rsidRPr="007F7EBF">
        <w:rPr>
          <w:i/>
        </w:rPr>
        <w:t xml:space="preserve">’ a </w:t>
      </w:r>
      <w:proofErr w:type="spellStart"/>
      <w:r w:rsidRPr="007F7EBF">
        <w:rPr>
          <w:i/>
        </w:rPr>
        <w:t>responsibility</w:t>
      </w:r>
      <w:proofErr w:type="spellEnd"/>
      <w:r w:rsidRPr="007F7EBF">
        <w:rPr>
          <w:i/>
        </w:rPr>
        <w:t xml:space="preserve"> for </w:t>
      </w:r>
      <w:proofErr w:type="spellStart"/>
      <w:r w:rsidRPr="007F7EBF">
        <w:rPr>
          <w:i/>
        </w:rPr>
        <w:t>anyone</w:t>
      </w:r>
      <w:proofErr w:type="spellEnd"/>
      <w:r w:rsidRPr="007F7EBF">
        <w:rPr>
          <w:i/>
        </w:rPr>
        <w:t xml:space="preserve"> </w:t>
      </w:r>
      <w:proofErr w:type="spellStart"/>
      <w:r w:rsidRPr="007F7EBF">
        <w:rPr>
          <w:i/>
        </w:rPr>
        <w:t>who</w:t>
      </w:r>
      <w:proofErr w:type="spellEnd"/>
      <w:r w:rsidRPr="007F7EBF">
        <w:rPr>
          <w:i/>
        </w:rPr>
        <w:t xml:space="preserve"> </w:t>
      </w:r>
      <w:proofErr w:type="spellStart"/>
      <w:r w:rsidRPr="007F7EBF">
        <w:rPr>
          <w:i/>
        </w:rPr>
        <w:t>brearks</w:t>
      </w:r>
      <w:proofErr w:type="spellEnd"/>
      <w:r w:rsidRPr="007F7EBF">
        <w:rPr>
          <w:i/>
        </w:rPr>
        <w:t xml:space="preserve"> </w:t>
      </w:r>
      <w:proofErr w:type="spellStart"/>
      <w:r w:rsidRPr="007F7EBF">
        <w:rPr>
          <w:i/>
        </w:rPr>
        <w:t>through</w:t>
      </w:r>
      <w:proofErr w:type="spellEnd"/>
      <w:r w:rsidRPr="007F7EBF">
        <w:rPr>
          <w:i/>
        </w:rPr>
        <w:t xml:space="preserve"> a </w:t>
      </w:r>
      <w:proofErr w:type="spellStart"/>
      <w:r w:rsidRPr="007F7EBF">
        <w:rPr>
          <w:i/>
        </w:rPr>
        <w:t>certain</w:t>
      </w:r>
      <w:proofErr w:type="spellEnd"/>
      <w:r w:rsidRPr="007F7EBF">
        <w:rPr>
          <w:i/>
        </w:rPr>
        <w:t xml:space="preserve"> </w:t>
      </w:r>
      <w:proofErr w:type="spellStart"/>
      <w:r w:rsidRPr="007F7EBF">
        <w:rPr>
          <w:i/>
        </w:rPr>
        <w:t>ceiling</w:t>
      </w:r>
      <w:proofErr w:type="spellEnd"/>
      <w:r w:rsidRPr="007F7EBF">
        <w:rPr>
          <w:i/>
        </w:rPr>
        <w:t xml:space="preserve"> to </w:t>
      </w:r>
      <w:proofErr w:type="spellStart"/>
      <w:r w:rsidRPr="007F7EBF">
        <w:rPr>
          <w:i/>
        </w:rPr>
        <w:t>send</w:t>
      </w:r>
      <w:proofErr w:type="spellEnd"/>
      <w:r w:rsidRPr="007F7EBF">
        <w:rPr>
          <w:i/>
        </w:rPr>
        <w:t xml:space="preserve"> the elevator back down and </w:t>
      </w:r>
      <w:proofErr w:type="spellStart"/>
      <w:r w:rsidRPr="007F7EBF">
        <w:rPr>
          <w:i/>
        </w:rPr>
        <w:t>give</w:t>
      </w:r>
      <w:proofErr w:type="spellEnd"/>
      <w:r w:rsidRPr="007F7EBF">
        <w:rPr>
          <w:i/>
        </w:rPr>
        <w:t xml:space="preserve"> </w:t>
      </w:r>
      <w:proofErr w:type="spellStart"/>
      <w:r w:rsidRPr="007F7EBF">
        <w:rPr>
          <w:i/>
        </w:rPr>
        <w:t>others</w:t>
      </w:r>
      <w:proofErr w:type="spellEnd"/>
      <w:r w:rsidRPr="007F7EBF">
        <w:rPr>
          <w:i/>
        </w:rPr>
        <w:t xml:space="preserve"> a </w:t>
      </w:r>
      <w:proofErr w:type="spellStart"/>
      <w:r w:rsidRPr="007F7EBF">
        <w:rPr>
          <w:i/>
        </w:rPr>
        <w:t>helpful</w:t>
      </w:r>
      <w:proofErr w:type="spellEnd"/>
      <w:r w:rsidRPr="007F7EBF">
        <w:rPr>
          <w:i/>
        </w:rPr>
        <w:t xml:space="preserve"> lift</w:t>
      </w:r>
      <w:r w:rsidRPr="007F7EBF">
        <w:t>)</w:t>
      </w:r>
    </w:p>
  </w:footnote>
  <w:footnote w:id="1387">
    <w:p w14:paraId="026FD5BC" w14:textId="77777777" w:rsidR="003B7460" w:rsidRPr="007F7EBF" w:rsidRDefault="003B7460" w:rsidP="00216A65">
      <w:pPr>
        <w:pStyle w:val="Testonotaapidipagina"/>
      </w:pPr>
      <w:r w:rsidRPr="007F7EBF">
        <w:rPr>
          <w:rStyle w:val="Rimandonotaapidipagina"/>
        </w:rPr>
        <w:footnoteRef/>
      </w:r>
      <w:r w:rsidRPr="007F7EBF">
        <w:t xml:space="preserve"> </w:t>
      </w:r>
      <w:r>
        <w:t xml:space="preserve">) </w:t>
      </w:r>
      <w:r w:rsidRPr="007F7EBF">
        <w:t xml:space="preserve">Un ordine di grandezza del patrimonio complessivo delle persone fisiche sarebbe inoltre utilissimo come indizio della ricchezza non registrata, come indicato ai parr.5.13 e 5.14. Basta pensare a quanto sarebbe utile all'imposta in </w:t>
      </w:r>
      <w:proofErr w:type="spellStart"/>
      <w:r w:rsidRPr="007F7EBF">
        <w:t>esame,e</w:t>
      </w:r>
      <w:proofErr w:type="spellEnd"/>
      <w:r w:rsidRPr="007F7EBF">
        <w:t xml:space="preserve"> anche all'accertamento dei tributi sui redditi e i consumi,  lo schedario permanente della situazione patrimoniale indicato al par.5.7.</w:t>
      </w:r>
    </w:p>
  </w:footnote>
  <w:footnote w:id="1388">
    <w:p w14:paraId="356BF054" w14:textId="5D1A5DB5" w:rsidR="003B7460" w:rsidRPr="007F7EBF" w:rsidRDefault="003B7460">
      <w:pPr>
        <w:pStyle w:val="Testonotaapidipagina"/>
      </w:pPr>
      <w:r w:rsidRPr="007F7EBF">
        <w:rPr>
          <w:rStyle w:val="Rimandonotaapidipagina"/>
        </w:rPr>
        <w:footnoteRef/>
      </w:r>
      <w:r w:rsidRPr="007F7EBF">
        <w:t xml:space="preserve"> </w:t>
      </w:r>
      <w:r>
        <w:t xml:space="preserve">) </w:t>
      </w:r>
      <w:r w:rsidRPr="007F7EBF">
        <w:rPr>
          <w:bCs/>
        </w:rPr>
        <w:t xml:space="preserve">Ad esempio, quando riguarda patrimoni formati con redditi tassati, questa tassazione si giustifica, </w:t>
      </w:r>
      <w:r>
        <w:rPr>
          <w:bCs/>
        </w:rPr>
        <w:t xml:space="preserve">ma </w:t>
      </w:r>
      <w:r w:rsidRPr="007F7EBF">
        <w:rPr>
          <w:bCs/>
        </w:rPr>
        <w:t>con incidenza minore.</w:t>
      </w:r>
    </w:p>
  </w:footnote>
  <w:footnote w:id="1389">
    <w:p w14:paraId="08EF8862" w14:textId="334E0166" w:rsidR="003B7460" w:rsidRPr="007F7EBF" w:rsidRDefault="003B7460">
      <w:pPr>
        <w:pStyle w:val="Testonotaapidipagina"/>
      </w:pPr>
      <w:r w:rsidRPr="007F7EBF">
        <w:rPr>
          <w:rStyle w:val="Rimandonotaapidipagina"/>
        </w:rPr>
        <w:footnoteRef/>
      </w:r>
      <w:r>
        <w:t>) S</w:t>
      </w:r>
      <w:r w:rsidRPr="007F7EBF">
        <w:t>i pensi ad esempio alle somme ricevute da figli di esponenti del capitalismo familiare, anche ai fini del "passaggio generazionale" delle loro aziende, facilmente effettuabile con "atti informali" (sottoscrizione di capitale senza sovrapprezzo, finanziamenti bancari ripagati dai genitori, nuda proprietà delle partecipazioni, assicurazioni sulla vita, etc..).</w:t>
      </w:r>
    </w:p>
  </w:footnote>
  <w:footnote w:id="1390">
    <w:p w14:paraId="089EE2D8" w14:textId="713C4892" w:rsidR="003B7460" w:rsidRPr="007F7EBF" w:rsidRDefault="003B7460" w:rsidP="005D4F17">
      <w:pPr>
        <w:pStyle w:val="Testonotaapidipagina"/>
      </w:pPr>
      <w:r w:rsidRPr="007F7EBF">
        <w:rPr>
          <w:rStyle w:val="Rimandonotaapidipagina"/>
        </w:rPr>
        <w:footnoteRef/>
      </w:r>
      <w:r w:rsidRPr="007F7EBF">
        <w:t xml:space="preserve"> ) Si intervenne su molti dei parametri cui, erroneamente, l’opinione pubblica ricollega l’adempimento e l’evasione, come le aliquote (par.4.5); si moltiplicarono poi anche le discussioni sugli effetti economico-sociali del tributo (nella classica confusione tra “determinazione della ricchezza” ed “effetti dei tributi”, come indicato al par.1.7). </w:t>
      </w:r>
      <w:r>
        <w:t>A parte il</w:t>
      </w:r>
      <w:r w:rsidRPr="007F7EBF">
        <w:t xml:space="preserve"> </w:t>
      </w:r>
      <w:r>
        <w:t xml:space="preserve">già indicato </w:t>
      </w:r>
      <w:r w:rsidRPr="007F7EBF">
        <w:t xml:space="preserve">coordinamento </w:t>
      </w:r>
      <w:r>
        <w:t>c</w:t>
      </w:r>
      <w:r w:rsidRPr="007F7EBF">
        <w:t>on la tassazione reddituale</w:t>
      </w:r>
      <w:r>
        <w:t xml:space="preserve">, quando si ereditano </w:t>
      </w:r>
      <w:r w:rsidRPr="007F7EBF">
        <w:t xml:space="preserve">patrimoni già assoggettati all’imposta sul reddito, </w:t>
      </w:r>
      <w:r>
        <w:t xml:space="preserve">c’è anche un problema di coordinamento con </w:t>
      </w:r>
      <w:r w:rsidRPr="007F7EBF">
        <w:t>l’imposizione dei patrimoni societari inclusivi dell’”avviamento” (par.7.13)</w:t>
      </w:r>
      <w:r>
        <w:t>, in attesa di tassazione reddituale futura</w:t>
      </w:r>
      <w:r w:rsidRPr="007F7EBF">
        <w:t xml:space="preserve">. </w:t>
      </w:r>
    </w:p>
  </w:footnote>
  <w:footnote w:id="1391">
    <w:p w14:paraId="527140D9" w14:textId="77777777" w:rsidR="003B7460" w:rsidRPr="007F7EBF" w:rsidRDefault="003B7460" w:rsidP="005D4F17">
      <w:pPr>
        <w:pStyle w:val="Testonotaapidipagina"/>
      </w:pPr>
      <w:r w:rsidRPr="007F7EBF">
        <w:rPr>
          <w:rStyle w:val="Rimandonotaapidipagina"/>
        </w:rPr>
        <w:footnoteRef/>
      </w:r>
      <w:r w:rsidRPr="007F7EBF">
        <w:t xml:space="preserve"> ) La valutazione degli immobili in base alla rendita catastale, anziché al valore effettivo di mercato (in genere maggiore, come indicato al par.10.2), amplifica la portata di questa “quota esente”. </w:t>
      </w:r>
    </w:p>
  </w:footnote>
  <w:footnote w:id="1392">
    <w:p w14:paraId="75CA5445" w14:textId="72CFDDF8" w:rsidR="003B7460" w:rsidRDefault="003B7460">
      <w:pPr>
        <w:pStyle w:val="Testonotaapidipagina"/>
      </w:pPr>
      <w:r>
        <w:rPr>
          <w:rStyle w:val="Rimandonotaapidipagina"/>
        </w:rPr>
        <w:footnoteRef/>
      </w:r>
      <w:r>
        <w:t xml:space="preserve"> ) Salvo un periodo di abrogazione dal 2001 al 2007, quando il tributo fu abrogato dal governo di centro destra, venendo poi reintrodotto e mantenuto anche dal successivo governo di centro destra, che forse r</w:t>
      </w:r>
      <w:r w:rsidRPr="007F7EBF">
        <w:t>iteneva esaurito l’effetto di annuncio</w:t>
      </w:r>
      <w:r>
        <w:t xml:space="preserve"> della precedente </w:t>
      </w:r>
      <w:r w:rsidRPr="007F7EBF">
        <w:t>abolizione dell’imposta (par.2.4)</w:t>
      </w:r>
      <w:r>
        <w:t xml:space="preserve">. </w:t>
      </w:r>
    </w:p>
  </w:footnote>
  <w:footnote w:id="1393">
    <w:p w14:paraId="62DD3C20" w14:textId="77777777" w:rsidR="003B7460" w:rsidRPr="007F7EBF" w:rsidRDefault="003B7460" w:rsidP="00D66FFC">
      <w:pPr>
        <w:pStyle w:val="Testonotaapidipagina"/>
      </w:pPr>
      <w:r w:rsidRPr="007F7EBF">
        <w:rPr>
          <w:rStyle w:val="Rimandonotaapidipagina"/>
        </w:rPr>
        <w:footnoteRef/>
      </w:r>
      <w:r w:rsidRPr="007F7EBF">
        <w:t xml:space="preserve"> Le banche, gli istituti assicurativi, i gestori di patrimoni, etc. non possono infatti avere "certezza legale" del titolo giuridico delle intestazioni, </w:t>
      </w:r>
      <w:proofErr w:type="spellStart"/>
      <w:r w:rsidRPr="007F7EBF">
        <w:t>cointestazioni</w:t>
      </w:r>
      <w:proofErr w:type="spellEnd"/>
      <w:r w:rsidRPr="007F7EBF">
        <w:t>, bonifici, emissione di assegni, etc..</w:t>
      </w:r>
    </w:p>
  </w:footnote>
  <w:footnote w:id="1394">
    <w:p w14:paraId="3EFE0F11" w14:textId="39774CDA" w:rsidR="003B7460" w:rsidRPr="007F7EBF" w:rsidRDefault="003B7460">
      <w:pPr>
        <w:pStyle w:val="Testonotaapidipagina"/>
      </w:pPr>
      <w:r w:rsidRPr="007F7EBF">
        <w:rPr>
          <w:rStyle w:val="Rimandonotaapidipagina"/>
        </w:rPr>
        <w:footnoteRef/>
      </w:r>
      <w:r w:rsidRPr="007F7EBF">
        <w:t xml:space="preserve"> Istituzione indicata al par.5.2,  e </w:t>
      </w:r>
      <w:r>
        <w:t xml:space="preserve">competente anche </w:t>
      </w:r>
      <w:r w:rsidRPr="007F7EBF">
        <w:t>per i diritti di confine</w:t>
      </w:r>
      <w:r>
        <w:t xml:space="preserve"> su cui infra</w:t>
      </w:r>
      <w:r w:rsidRPr="007F7EBF">
        <w:t xml:space="preserve">.  </w:t>
      </w:r>
    </w:p>
  </w:footnote>
  <w:footnote w:id="1395">
    <w:p w14:paraId="3394D5DE" w14:textId="77777777" w:rsidR="003B7460" w:rsidRPr="007F7EBF" w:rsidRDefault="003B7460" w:rsidP="00C7610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Questa «famiglia» di tributi funziona tanto più efficacemente quanto più la produzione o la distribuzione sono concentrate in poche grandi aziende. In questo caso è facile effettuare una vera e propria vigilanza fisica, da parte degli uffici fiscali, sulle fasi di lavorazione e movimentazione del prodotto. </w:t>
      </w:r>
    </w:p>
  </w:footnote>
  <w:footnote w:id="1396">
    <w:p w14:paraId="6FDD858E" w14:textId="77777777" w:rsidR="003B7460" w:rsidRPr="007F7EBF" w:rsidRDefault="003B7460" w:rsidP="00C76105">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Benché il contribuente di diritto (par.3.5) delle imposte di fabbricazione sia il produttore, e l’imposta sia dovuta in stadi</w:t>
      </w:r>
    </w:p>
    <w:p w14:paraId="2059859C" w14:textId="77777777" w:rsidR="003B7460" w:rsidRPr="007F7EBF" w:rsidRDefault="003B7460" w:rsidP="00C76105">
      <w:pPr>
        <w:autoSpaceDE w:val="0"/>
        <w:autoSpaceDN w:val="0"/>
        <w:adjustRightInd w:val="0"/>
        <w:rPr>
          <w:sz w:val="20"/>
          <w:szCs w:val="20"/>
        </w:rPr>
      </w:pPr>
      <w:r w:rsidRPr="007F7EBF">
        <w:rPr>
          <w:sz w:val="20"/>
          <w:szCs w:val="20"/>
        </w:rPr>
        <w:t>anteriori a quello in cui i beni sono immessi al consumo, si tratta di tributi destinati ad essere economicamente traslati sul consumatore finale, dove la grande organizzazione</w:t>
      </w:r>
    </w:p>
    <w:p w14:paraId="2567703D" w14:textId="77777777" w:rsidR="003B7460" w:rsidRPr="007F7EBF" w:rsidRDefault="003B7460" w:rsidP="00C76105">
      <w:pPr>
        <w:autoSpaceDE w:val="0"/>
        <w:autoSpaceDN w:val="0"/>
        <w:adjustRightInd w:val="0"/>
        <w:rPr>
          <w:sz w:val="20"/>
          <w:szCs w:val="20"/>
        </w:rPr>
      </w:pPr>
      <w:r w:rsidRPr="007F7EBF">
        <w:rPr>
          <w:sz w:val="20"/>
          <w:szCs w:val="20"/>
        </w:rPr>
        <w:t>amministrativa fa sostanzialmente da esattore.</w:t>
      </w:r>
    </w:p>
  </w:footnote>
  <w:footnote w:id="1397">
    <w:p w14:paraId="0C49A157" w14:textId="77777777" w:rsidR="003B7460" w:rsidRPr="007F7EBF" w:rsidRDefault="003B7460" w:rsidP="00C76105">
      <w:pPr>
        <w:pStyle w:val="Testonotaapidipagina"/>
      </w:pPr>
      <w:r w:rsidRPr="007F7EBF">
        <w:rPr>
          <w:rStyle w:val="Rimandonotaapidipagina"/>
        </w:rPr>
        <w:footnoteRef/>
      </w:r>
      <w:r w:rsidRPr="007F7EBF">
        <w:t xml:space="preserve"> E tendenzialmente si cumulano, visto che le imposte sui prodotti petroliferi gonfiano il prezzo, che a loro volta è base imponibile per l'IVA. </w:t>
      </w:r>
    </w:p>
  </w:footnote>
  <w:footnote w:id="1398">
    <w:p w14:paraId="7FBF3D86" w14:textId="77777777" w:rsidR="003B7460" w:rsidRPr="007F7EBF" w:rsidRDefault="003B7460">
      <w:pPr>
        <w:pStyle w:val="Testonotaapidipagina"/>
      </w:pPr>
      <w:r w:rsidRPr="007F7EBF">
        <w:rPr>
          <w:rStyle w:val="Rimandonotaapidipagina"/>
        </w:rPr>
        <w:footnoteRef/>
      </w:r>
      <w:r w:rsidRPr="007F7EBF">
        <w:t xml:space="preserve"> ) </w:t>
      </w:r>
      <w:proofErr w:type="spellStart"/>
      <w:r w:rsidRPr="007F7EBF">
        <w:t>Cfr</w:t>
      </w:r>
      <w:proofErr w:type="spellEnd"/>
      <w:r w:rsidRPr="007F7EBF">
        <w:t xml:space="preserve"> sopra, par.2.6 e all’inizio del par. 7.3. </w:t>
      </w:r>
    </w:p>
  </w:footnote>
  <w:footnote w:id="1399">
    <w:p w14:paraId="2D4F2F57" w14:textId="220B05B6" w:rsidR="003B7460" w:rsidRPr="007F7EBF" w:rsidRDefault="003B7460" w:rsidP="00E01888">
      <w:pPr>
        <w:autoSpaceDE w:val="0"/>
        <w:autoSpaceDN w:val="0"/>
        <w:adjustRightInd w:val="0"/>
        <w:rPr>
          <w:sz w:val="20"/>
          <w:szCs w:val="20"/>
        </w:rPr>
      </w:pPr>
      <w:r w:rsidRPr="007F7EBF">
        <w:rPr>
          <w:rStyle w:val="Rimandonotaapidipagina"/>
          <w:sz w:val="20"/>
          <w:szCs w:val="20"/>
        </w:rPr>
        <w:footnoteRef/>
      </w:r>
      <w:r w:rsidRPr="007F7EBF">
        <w:rPr>
          <w:sz w:val="20"/>
          <w:szCs w:val="20"/>
        </w:rPr>
        <w:t xml:space="preserve"> </w:t>
      </w:r>
      <w:r>
        <w:rPr>
          <w:sz w:val="20"/>
          <w:szCs w:val="20"/>
        </w:rPr>
        <w:t>)Questa diversa visibilità degli imponibili (</w:t>
      </w:r>
      <w:r w:rsidRPr="007F7EBF">
        <w:rPr>
          <w:sz w:val="20"/>
          <w:szCs w:val="20"/>
        </w:rPr>
        <w:t>par.1.11</w:t>
      </w:r>
      <w:r>
        <w:rPr>
          <w:sz w:val="20"/>
          <w:szCs w:val="20"/>
        </w:rPr>
        <w:t>)</w:t>
      </w:r>
      <w:r w:rsidRPr="007F7EBF">
        <w:rPr>
          <w:sz w:val="20"/>
          <w:szCs w:val="20"/>
        </w:rPr>
        <w:t xml:space="preserve"> spiega il fallimento di alcune velleitarie imposte di fabbricazione, come quelle sui sacchetti di plastica, facili da produrre in strutture di fortuna, con macchinari abbastanza semplici</w:t>
      </w:r>
      <w:r>
        <w:rPr>
          <w:sz w:val="20"/>
          <w:szCs w:val="20"/>
        </w:rPr>
        <w:t xml:space="preserve">, mentre </w:t>
      </w:r>
      <w:r w:rsidRPr="007F7EBF">
        <w:rPr>
          <w:sz w:val="20"/>
          <w:szCs w:val="20"/>
        </w:rPr>
        <w:t>le raffinerie di petrolio clandestine</w:t>
      </w:r>
      <w:r>
        <w:rPr>
          <w:sz w:val="20"/>
          <w:szCs w:val="20"/>
        </w:rPr>
        <w:t>, per risparmiare l’imposta, sarebbero antieconomiche</w:t>
      </w:r>
      <w:r w:rsidRPr="007F7EBF">
        <w:rPr>
          <w:sz w:val="20"/>
          <w:szCs w:val="20"/>
        </w:rPr>
        <w:t>. Analoghe considerazioni</w:t>
      </w:r>
      <w:r>
        <w:rPr>
          <w:sz w:val="20"/>
          <w:szCs w:val="20"/>
        </w:rPr>
        <w:t xml:space="preserve"> </w:t>
      </w:r>
      <w:r w:rsidRPr="007F7EBF">
        <w:rPr>
          <w:sz w:val="20"/>
          <w:szCs w:val="20"/>
        </w:rPr>
        <w:t>valgono per il contrabbando.</w:t>
      </w:r>
    </w:p>
  </w:footnote>
  <w:footnote w:id="1400">
    <w:p w14:paraId="51D7DFD1" w14:textId="0B033CDE" w:rsidR="003B7460" w:rsidRPr="007F7EBF" w:rsidRDefault="003B7460">
      <w:pPr>
        <w:pStyle w:val="Testonotaapidipagina"/>
      </w:pPr>
      <w:r w:rsidRPr="007F7EBF">
        <w:rPr>
          <w:rStyle w:val="Rimandonotaapidipagina"/>
        </w:rPr>
        <w:footnoteRef/>
      </w:r>
      <w:r w:rsidRPr="007F7EBF">
        <w:t xml:space="preserve"> </w:t>
      </w:r>
      <w:r>
        <w:t xml:space="preserve">) </w:t>
      </w:r>
      <w:r w:rsidRPr="007F7EBF">
        <w:t>Ad es. la fattura emessa dalla società elettrica (ENEL) per fornitura di energia (la c.d. "bolletta").</w:t>
      </w:r>
    </w:p>
  </w:footnote>
  <w:footnote w:id="1401">
    <w:p w14:paraId="0671CDE6" w14:textId="48B8B7E7" w:rsidR="003B7460" w:rsidRPr="007F7EBF" w:rsidRDefault="003B7460" w:rsidP="00197819">
      <w:pPr>
        <w:autoSpaceDE w:val="0"/>
        <w:autoSpaceDN w:val="0"/>
        <w:adjustRightInd w:val="0"/>
        <w:rPr>
          <w:sz w:val="22"/>
          <w:szCs w:val="22"/>
        </w:rPr>
      </w:pPr>
      <w:r>
        <w:rPr>
          <w:rStyle w:val="Rimandonotaapidipagina"/>
        </w:rPr>
        <w:footnoteRef/>
      </w:r>
      <w:r>
        <w:t xml:space="preserve">) </w:t>
      </w:r>
      <w:r>
        <w:rPr>
          <w:sz w:val="22"/>
          <w:szCs w:val="22"/>
        </w:rPr>
        <w:t>I</w:t>
      </w:r>
      <w:r w:rsidRPr="007F7EBF">
        <w:rPr>
          <w:sz w:val="22"/>
          <w:szCs w:val="22"/>
        </w:rPr>
        <w:t>n modo analogo, cioè facendo leva sulla</w:t>
      </w:r>
    </w:p>
    <w:p w14:paraId="67CE76C8" w14:textId="56F4B2DD" w:rsidR="003B7460" w:rsidRDefault="003B7460" w:rsidP="00197819">
      <w:pPr>
        <w:pStyle w:val="Testonotaapidipagina"/>
      </w:pPr>
      <w:r w:rsidRPr="007F7EBF">
        <w:rPr>
          <w:sz w:val="22"/>
          <w:szCs w:val="22"/>
        </w:rPr>
        <w:t>struttura amministrativa del fornitore, funzion</w:t>
      </w:r>
      <w:r>
        <w:rPr>
          <w:sz w:val="22"/>
          <w:szCs w:val="22"/>
        </w:rPr>
        <w:t>ò</w:t>
      </w:r>
      <w:r w:rsidRPr="007F7EBF">
        <w:rPr>
          <w:sz w:val="22"/>
          <w:szCs w:val="22"/>
        </w:rPr>
        <w:t xml:space="preserve"> anche la tassa di concessione governativa sui telefoni cellulari “in abbonamento”.</w:t>
      </w:r>
    </w:p>
  </w:footnote>
  <w:footnote w:id="1402">
    <w:p w14:paraId="0A259B36" w14:textId="77777777" w:rsidR="003B7460" w:rsidRPr="007F7EBF" w:rsidRDefault="003B7460" w:rsidP="00404A66">
      <w:pPr>
        <w:pStyle w:val="Testonotaapidipagina"/>
      </w:pPr>
      <w:r w:rsidRPr="007F7EBF">
        <w:rPr>
          <w:rStyle w:val="Rimandonotaapidipagina"/>
        </w:rPr>
        <w:footnoteRef/>
      </w:r>
      <w:r w:rsidRPr="007F7EBF">
        <w:t xml:space="preserve"> ) Per secoli, ad esempio, molti paesi hanno vietato l’esportazione di merci pregiate, ad esempio l’oro. </w:t>
      </w:r>
    </w:p>
  </w:footnote>
  <w:footnote w:id="1403">
    <w:p w14:paraId="49FE21CD" w14:textId="6EB5D6B6" w:rsidR="003B7460" w:rsidRDefault="003B7460">
      <w:pPr>
        <w:pStyle w:val="Testonotaapidipagina"/>
      </w:pPr>
      <w:r>
        <w:rPr>
          <w:rStyle w:val="Rimandonotaapidipagina"/>
        </w:rPr>
        <w:footnoteRef/>
      </w:r>
      <w:r>
        <w:t xml:space="preserve">) Per tali operazioni esiste negli ultimi secoli una c.d. “tariffa doganale”, oggi di matrice europea  per i motivi di cui al par.2.6. </w:t>
      </w:r>
    </w:p>
  </w:footnote>
  <w:footnote w:id="1404">
    <w:p w14:paraId="3B4E4E55" w14:textId="50CA8DFC" w:rsidR="003B7460" w:rsidRPr="007F7EBF" w:rsidRDefault="003B7460" w:rsidP="00F1777C">
      <w:pPr>
        <w:pStyle w:val="Testonotaapidipagina"/>
      </w:pPr>
      <w:r w:rsidRPr="007F7EBF">
        <w:rPr>
          <w:rStyle w:val="Rimandonotaapidipagina"/>
        </w:rPr>
        <w:footnoteRef/>
      </w:r>
      <w:r w:rsidRPr="007F7EBF">
        <w:t xml:space="preserve">) Anche oggi, nell’Unione Europea, sono forti le pressioni degli stati  a chiudere le frontiere comuni quando circolano merci nocive, o pericolose, sul piano sanitario. </w:t>
      </w:r>
    </w:p>
  </w:footnote>
  <w:footnote w:id="1405">
    <w:p w14:paraId="390056C5" w14:textId="2000641A" w:rsidR="003B7460" w:rsidRPr="007F7EBF" w:rsidRDefault="003B7460" w:rsidP="00404A66">
      <w:pPr>
        <w:pStyle w:val="Testonotaapidipagina"/>
      </w:pPr>
      <w:r w:rsidRPr="007F7EBF">
        <w:rPr>
          <w:rStyle w:val="Rimandonotaapidipagina"/>
        </w:rPr>
        <w:footnoteRef/>
      </w:r>
      <w:r w:rsidRPr="007F7EBF">
        <w:t xml:space="preserve">) In tale sede abbiamo infatti mostrato che l’eliminazione dei dazi doganali interni è stata il primo obiettivo dell’unione europea (un tempo chiamata </w:t>
      </w:r>
      <w:r w:rsidRPr="007F7EBF">
        <w:rPr>
          <w:i/>
        </w:rPr>
        <w:t xml:space="preserve">mercato comune, </w:t>
      </w:r>
      <w:r w:rsidRPr="007F7EBF">
        <w:t>acronimo</w:t>
      </w:r>
      <w:r w:rsidRPr="007F7EBF">
        <w:rPr>
          <w:i/>
        </w:rPr>
        <w:t xml:space="preserve"> </w:t>
      </w:r>
      <w:r w:rsidRPr="007F7EBF">
        <w:t>MEC).</w:t>
      </w:r>
    </w:p>
  </w:footnote>
  <w:footnote w:id="1406">
    <w:p w14:paraId="392A4DE3" w14:textId="50FAFCAD" w:rsidR="003B7460" w:rsidRDefault="003B7460">
      <w:pPr>
        <w:pStyle w:val="Testonotaapidipagina"/>
      </w:pPr>
      <w:r>
        <w:rPr>
          <w:rStyle w:val="Rimandonotaapidipagina"/>
        </w:rPr>
        <w:footnoteRef/>
      </w:r>
      <w:r>
        <w:t>) Questo comporta, per le vendite a distanza via internet tra paesi comunitari, lo sdoganamento “massivo” presso un’unica dogana comunitaria, e quindi la spedizione intra-</w:t>
      </w:r>
      <w:proofErr w:type="spellStart"/>
      <w:r>
        <w:t>ue</w:t>
      </w:r>
      <w:proofErr w:type="spellEnd"/>
      <w:r>
        <w:t xml:space="preserve"> ai singoli acquirenti. Le imposte doganali vanno comunque in linea di principio applicate anche per spedizioni postali o a mezzo corriere verso privati, con lungaggini amministrative spesso sproporzionate rispetto all’ammontare coinvolto, su cui si potrebbe approfondire. </w:t>
      </w:r>
    </w:p>
  </w:footnote>
  <w:footnote w:id="1407">
    <w:p w14:paraId="5D0DA74B" w14:textId="286472CA" w:rsidR="003B7460" w:rsidRPr="007F7EBF" w:rsidRDefault="003B7460" w:rsidP="00404A66">
      <w:pPr>
        <w:pStyle w:val="Testonotaapidipagina"/>
      </w:pPr>
      <w:r w:rsidRPr="007F7EBF">
        <w:rPr>
          <w:rStyle w:val="Rimandonotaapidipagina"/>
        </w:rPr>
        <w:footnoteRef/>
      </w:r>
      <w:r w:rsidRPr="007F7EBF">
        <w:t xml:space="preserve"> </w:t>
      </w:r>
      <w:r>
        <w:t xml:space="preserve">) </w:t>
      </w:r>
      <w:r w:rsidRPr="007F7EBF">
        <w:t>L’obiettivo di integrare i mercati non riguarda solo i dazi, ma anche una serie di condizioni tecniche, sanitarie e produttive, comprese le garanzie delle condizioni di lavoro nel paese produttore (ad es. lavoro minorile o femminile). Ad esempio, la recente proposta di trattato transatlantico TTIP euro-americano sta facendo molto discutere, sollevando polemiche sul piano delle garanzie per i consumatori e per i lavoratori. L'allentamento o l’introduzione di vincoli siffatti è usato a corrente alternata, dai vari stati che, a seconda delle convenienze, diventano protezionisti o liberisti.</w:t>
      </w:r>
    </w:p>
  </w:footnote>
  <w:footnote w:id="1408">
    <w:p w14:paraId="50E60ABB" w14:textId="1B2EEC2B" w:rsidR="003B7460" w:rsidRPr="007F7EBF" w:rsidRDefault="003B7460" w:rsidP="00F1777C">
      <w:pPr>
        <w:pStyle w:val="Testonotaapidipagina"/>
      </w:pPr>
      <w:r w:rsidRPr="007F7EBF">
        <w:rPr>
          <w:rStyle w:val="Rimandonotaapidipagina"/>
        </w:rPr>
        <w:footnoteRef/>
      </w:r>
      <w:r>
        <w:t>)</w:t>
      </w:r>
      <w:r w:rsidRPr="007F7EBF">
        <w:t xml:space="preserve"> E’ una affermazione che oggi non sembra “politicamente corretta” rispetto alla tendenza generale alla globalizzazione, ma </w:t>
      </w:r>
      <w:r>
        <w:t xml:space="preserve">oltre al noto “dumping sociale” c’è anche quello politico, in quanto </w:t>
      </w:r>
      <w:r w:rsidRPr="007F7EBF">
        <w:t xml:space="preserve">gli stati dove esiste solo la libertà economica, senza quella politico-sindacale (ad es. Cina) fanno oggettivamente concorrenza sleale alle società </w:t>
      </w:r>
      <w:r>
        <w:t xml:space="preserve">con un </w:t>
      </w:r>
      <w:r w:rsidRPr="007F7EBF">
        <w:t>maggior controllo sociale (anche per quanto riguarda inquinamento e condizioni di lavoro)</w:t>
      </w:r>
      <w:r>
        <w:t xml:space="preserve">, e quindi maggiori </w:t>
      </w:r>
      <w:r w:rsidRPr="007F7EBF">
        <w:t>costi di produzione. Non è quindi uno scandalo porsi per lo meno il problema di dazi perequativi, anche in relazione al valore sociale dell’impresa come organizzazione produttiva</w:t>
      </w:r>
      <w:r>
        <w:t xml:space="preserve"> (par.3.1)</w:t>
      </w:r>
      <w:r w:rsidRPr="007F7EBF">
        <w:t xml:space="preserve">, alla difficoltà di costruirla e alla facilità di distruggerla. </w:t>
      </w:r>
    </w:p>
  </w:footnote>
  <w:footnote w:id="1409">
    <w:p w14:paraId="600022C4" w14:textId="77777777" w:rsidR="003B7460" w:rsidRPr="007F7EBF" w:rsidRDefault="003B7460">
      <w:pPr>
        <w:pStyle w:val="Testonotaapidipagina"/>
      </w:pPr>
      <w:r w:rsidRPr="007F7EBF">
        <w:rPr>
          <w:rStyle w:val="Rimandonotaapidipagina"/>
        </w:rPr>
        <w:footnoteRef/>
      </w:r>
      <w:r w:rsidRPr="007F7EBF">
        <w:t xml:space="preserve"> ) A questa attività di controllo materiale delle frontiere era adibita la Guardia di Finanza, a partire dal diciottesimo secolo, come indicato al par. 5.2. </w:t>
      </w:r>
    </w:p>
  </w:footnote>
  <w:footnote w:id="1410">
    <w:p w14:paraId="004295BE" w14:textId="77777777" w:rsidR="003B7460" w:rsidRPr="007F7EBF" w:rsidRDefault="003B7460">
      <w:pPr>
        <w:pStyle w:val="Testonotaapidipagina"/>
      </w:pPr>
      <w:r w:rsidRPr="007F7EBF">
        <w:rPr>
          <w:rStyle w:val="Rimandonotaapidipagina"/>
        </w:rPr>
        <w:footnoteRef/>
      </w:r>
      <w:r w:rsidRPr="007F7EBF">
        <w:t xml:space="preserve"> ) Nel caso italiano l’Agenzia delle Dogane, rispondente ai modelli generali  di cui al par.5.2. </w:t>
      </w:r>
    </w:p>
  </w:footnote>
  <w:footnote w:id="1411">
    <w:p w14:paraId="0E88E89B" w14:textId="0773EA39" w:rsidR="003B7460" w:rsidRDefault="003B7460">
      <w:pPr>
        <w:pStyle w:val="Testonotaapidipagina"/>
      </w:pPr>
      <w:r>
        <w:rPr>
          <w:rStyle w:val="Rimandonotaapidipagina"/>
        </w:rPr>
        <w:footnoteRef/>
      </w:r>
      <w:r>
        <w:t>C</w:t>
      </w:r>
      <w:r w:rsidRPr="007F7EBF">
        <w:t>ome indicato al par.5.2, gli uffici dell’Agenzia delle Entrate s</w:t>
      </w:r>
      <w:r>
        <w:t xml:space="preserve">ono troppo accentrati nei </w:t>
      </w:r>
      <w:r w:rsidRPr="007F7EBF">
        <w:t>capoluog</w:t>
      </w:r>
      <w:r>
        <w:t>hi</w:t>
      </w:r>
      <w:r w:rsidRPr="007F7EBF">
        <w:t xml:space="preserve"> di provincia.</w:t>
      </w:r>
      <w:r>
        <w:t xml:space="preserve"> Oggi i comuni fanno solo segnalazioni all’agenzia, che ne ha molte di più di quelle cui riesce a dare seguito nel noto modo valutativo. </w:t>
      </w:r>
    </w:p>
  </w:footnote>
  <w:footnote w:id="1412">
    <w:p w14:paraId="73DD6F10" w14:textId="77777777" w:rsidR="003B7460" w:rsidRPr="007F7EBF" w:rsidRDefault="003B7460" w:rsidP="00672E2A">
      <w:pPr>
        <w:pStyle w:val="Testonotaapidipagina"/>
      </w:pPr>
      <w:r w:rsidRPr="007F7EBF">
        <w:rPr>
          <w:rStyle w:val="Rimandonotaapidipagina"/>
        </w:rPr>
        <w:footnoteRef/>
      </w:r>
      <w:r w:rsidRPr="007F7EBF">
        <w:t xml:space="preserve"> </w:t>
      </w:r>
      <w:r>
        <w:t xml:space="preserve">) </w:t>
      </w:r>
      <w:r w:rsidRPr="007F7EBF">
        <w:t xml:space="preserve">Anche lo svuotamento dei tributi locali riflette l’improvvisazione </w:t>
      </w:r>
      <w:r>
        <w:t xml:space="preserve">di una riforma non accompagnata da </w:t>
      </w:r>
      <w:r w:rsidRPr="007F7EBF">
        <w:t xml:space="preserve">spiegazioni </w:t>
      </w:r>
      <w:r>
        <w:t>sociali</w:t>
      </w:r>
      <w:r w:rsidRPr="007F7EBF">
        <w:t xml:space="preserve"> sulla funzione tributaria </w:t>
      </w:r>
      <w:r>
        <w:t>come determinazione delle astrazioni economiche di cui al par.1.8</w:t>
      </w:r>
      <w:r w:rsidRPr="007F7EBF">
        <w:rPr>
          <w:bCs/>
        </w:rPr>
        <w:t xml:space="preserve">.  </w:t>
      </w:r>
    </w:p>
  </w:footnote>
  <w:footnote w:id="1413">
    <w:p w14:paraId="64344D46" w14:textId="380A07B1" w:rsidR="003B7460" w:rsidRPr="007F7EBF" w:rsidRDefault="003B7460" w:rsidP="00A76649">
      <w:pPr>
        <w:pStyle w:val="Testonotaapidipagina"/>
      </w:pPr>
      <w:r w:rsidRPr="007F7EBF">
        <w:rPr>
          <w:rStyle w:val="Rimandonotaapidipagina"/>
        </w:rPr>
        <w:footnoteRef/>
      </w:r>
      <w:r>
        <w:t xml:space="preserve">) </w:t>
      </w:r>
      <w:r w:rsidRPr="007F7EBF">
        <w:t xml:space="preserve"> Ad esempio nella viabilità locale,</w:t>
      </w:r>
      <w:r>
        <w:t xml:space="preserve"> nell’assistenza all’infanzia,</w:t>
      </w:r>
      <w:r w:rsidRPr="007F7EBF">
        <w:t xml:space="preserve"> negli impianti sportivi, nell’edilizia popolare, ed in altri settori dove si crea consenso</w:t>
      </w:r>
      <w:r>
        <w:t xml:space="preserve">; quest’ultimo era creato dagli enti locali a spese di finanziamenti di provenienza statale, senza </w:t>
      </w:r>
      <w:r w:rsidRPr="007F7EBF">
        <w:t>che i cittadini ne sentissero il peso in termini di tributi</w:t>
      </w:r>
      <w:r>
        <w:t xml:space="preserve">. </w:t>
      </w:r>
    </w:p>
  </w:footnote>
  <w:footnote w:id="1414">
    <w:p w14:paraId="03141B54" w14:textId="08C407C2" w:rsidR="003B7460" w:rsidRPr="007F7EBF" w:rsidRDefault="003B7460">
      <w:pPr>
        <w:pStyle w:val="Testonotaapidipagina"/>
      </w:pPr>
      <w:r w:rsidRPr="007F7EBF">
        <w:rPr>
          <w:rStyle w:val="Rimandonotaapidipagina"/>
        </w:rPr>
        <w:footnoteRef/>
      </w:r>
      <w:r>
        <w:t>)</w:t>
      </w:r>
      <w:r w:rsidRPr="007F7EBF">
        <w:t xml:space="preserve"> Davanti ai richiami alla solidarietà</w:t>
      </w:r>
      <w:r>
        <w:t xml:space="preserve"> interregionale</w:t>
      </w:r>
      <w:r w:rsidRPr="007F7EBF">
        <w:t xml:space="preserve">,  </w:t>
      </w:r>
      <w:r>
        <w:t>le</w:t>
      </w:r>
      <w:r w:rsidRPr="007F7EBF">
        <w:t xml:space="preserve"> regioni </w:t>
      </w:r>
      <w:r>
        <w:t xml:space="preserve">con alto gettito </w:t>
      </w:r>
      <w:r w:rsidRPr="007F7EBF">
        <w:t xml:space="preserve">obiettavano che </w:t>
      </w:r>
      <w:r>
        <w:t xml:space="preserve">i trasferimenti finanziavano </w:t>
      </w:r>
      <w:r w:rsidRPr="007F7EBF">
        <w:t>non tanto i servizi pubblici, quanto gli sprechi</w:t>
      </w:r>
      <w:r>
        <w:t xml:space="preserve"> </w:t>
      </w:r>
      <w:r w:rsidRPr="007F7EBF">
        <w:t xml:space="preserve">delle aree meno sviluppate. </w:t>
      </w:r>
      <w:r>
        <w:t>Queste</w:t>
      </w:r>
      <w:r w:rsidRPr="007F7EBF">
        <w:t xml:space="preserve"> lamentele accompagnarono la nascita di movimenti politici “autonomisti” </w:t>
      </w:r>
      <w:r>
        <w:t>e talvolta</w:t>
      </w:r>
      <w:r w:rsidRPr="007F7EBF">
        <w:t xml:space="preserve"> addirittura secessionisti. Nacquero</w:t>
      </w:r>
      <w:r>
        <w:t xml:space="preserve">, per reazione, </w:t>
      </w:r>
      <w:r w:rsidRPr="007F7EBF">
        <w:t xml:space="preserve">polemiche </w:t>
      </w:r>
      <w:r>
        <w:t xml:space="preserve">di segno opposto </w:t>
      </w:r>
      <w:r w:rsidRPr="007F7EBF">
        <w:t>sull</w:t>
      </w:r>
      <w:r>
        <w:t xml:space="preserve">’interpretazione </w:t>
      </w:r>
      <w:r w:rsidRPr="007F7EBF">
        <w:t xml:space="preserve">dei dati </w:t>
      </w:r>
      <w:r>
        <w:t xml:space="preserve">di gettito, influenzato anche dalle </w:t>
      </w:r>
      <w:r w:rsidRPr="007F7EBF">
        <w:t>ritenute sui dipendenti pubblici</w:t>
      </w:r>
      <w:r>
        <w:t xml:space="preserve"> residenti nelle regioni “povere”.</w:t>
      </w:r>
    </w:p>
  </w:footnote>
  <w:footnote w:id="1415">
    <w:p w14:paraId="3569074F" w14:textId="693B7F68" w:rsidR="003B7460" w:rsidRPr="007F7EBF" w:rsidRDefault="003B7460">
      <w:pPr>
        <w:pStyle w:val="Testonotaapidipagina"/>
      </w:pPr>
      <w:r w:rsidRPr="007F7EBF">
        <w:rPr>
          <w:rStyle w:val="Rimandonotaapidipagina"/>
        </w:rPr>
        <w:footnoteRef/>
      </w:r>
      <w:r w:rsidRPr="007F7EBF">
        <w:t xml:space="preserve"> </w:t>
      </w:r>
      <w:r>
        <w:t xml:space="preserve">) </w:t>
      </w:r>
      <w:r w:rsidRPr="007F7EBF">
        <w:t>Cioè di rapporti tra centro e periferia</w:t>
      </w:r>
      <w:r>
        <w:t xml:space="preserve"> come sedi di spesa.</w:t>
      </w:r>
    </w:p>
  </w:footnote>
  <w:footnote w:id="1416">
    <w:p w14:paraId="36A38CC7" w14:textId="53E070EE" w:rsidR="003B7460" w:rsidRDefault="003B7460">
      <w:pPr>
        <w:pStyle w:val="Testonotaapidipagina"/>
      </w:pPr>
      <w:r>
        <w:rPr>
          <w:rStyle w:val="Rimandonotaapidipagina"/>
        </w:rPr>
        <w:footnoteRef/>
      </w:r>
      <w:r>
        <w:t xml:space="preserve"> Giovanardi Stevanato, </w:t>
      </w:r>
      <w:r w:rsidRPr="00D3249A">
        <w:t>Autonomia, differenziazione, responsabilità. Numeri, principi e prospettive del regionalismo rafforzato</w:t>
      </w:r>
      <w:r>
        <w:t xml:space="preserve">, Marsilio, 2020. </w:t>
      </w:r>
    </w:p>
  </w:footnote>
  <w:footnote w:id="1417">
    <w:p w14:paraId="4FA8C7CE" w14:textId="259C9899" w:rsidR="003B7460" w:rsidRPr="007F7EBF" w:rsidRDefault="003B7460" w:rsidP="006B5063">
      <w:pPr>
        <w:pStyle w:val="Testonotaapidipagina"/>
      </w:pPr>
      <w:r w:rsidRPr="007F7EBF">
        <w:rPr>
          <w:rStyle w:val="Rimandonotaapidipagina"/>
        </w:rPr>
        <w:footnoteRef/>
      </w:r>
      <w:r w:rsidRPr="007F7EBF">
        <w:t xml:space="preserve"> </w:t>
      </w:r>
      <w:r>
        <w:t xml:space="preserve">) Prevista dalla legge 43/2009, e basata sulla </w:t>
      </w:r>
      <w:r w:rsidRPr="007F7EBF">
        <w:t>stima</w:t>
      </w:r>
      <w:r>
        <w:t xml:space="preserve"> de</w:t>
      </w:r>
      <w:r w:rsidRPr="007F7EBF">
        <w:t>l costo medio, tenendo conto delle caratteristiche regionali, di un posto letto ospedaliero, di un alunno delle scuole elementari, di un medico di base, etc.</w:t>
      </w:r>
      <w:r w:rsidRPr="007F7EBF">
        <w:rPr>
          <w:bCs/>
        </w:rPr>
        <w:t>.</w:t>
      </w:r>
    </w:p>
  </w:footnote>
  <w:footnote w:id="1418">
    <w:p w14:paraId="7733B101" w14:textId="6AE638F8" w:rsidR="003B7460" w:rsidRPr="007F7EBF" w:rsidRDefault="003B7460">
      <w:pPr>
        <w:pStyle w:val="Testonotaapidipagina"/>
      </w:pPr>
      <w:r w:rsidRPr="007F7EBF">
        <w:rPr>
          <w:rStyle w:val="Rimandonotaapidipagina"/>
        </w:rPr>
        <w:footnoteRef/>
      </w:r>
      <w:r w:rsidRPr="007F7EBF">
        <w:t xml:space="preserve"> ) </w:t>
      </w:r>
      <w:r>
        <w:t>Finora vigeva il criterio della “spesa storica”, che penalizzava l’efficienza de</w:t>
      </w:r>
      <w:r w:rsidRPr="007F7EBF">
        <w:t>gli enti locali meglio amministrati, provocando</w:t>
      </w:r>
      <w:r>
        <w:t>ne</w:t>
      </w:r>
      <w:r w:rsidRPr="007F7EBF">
        <w:t xml:space="preserve"> un</w:t>
      </w:r>
      <w:r>
        <w:t>’</w:t>
      </w:r>
      <w:r w:rsidRPr="007F7EBF">
        <w:t>oggettiva deresponsabilizzazion</w:t>
      </w:r>
      <w:r>
        <w:t>e</w:t>
      </w:r>
      <w:r w:rsidRPr="007F7EBF">
        <w:t xml:space="preserve">. </w:t>
      </w:r>
    </w:p>
  </w:footnote>
  <w:footnote w:id="1419">
    <w:p w14:paraId="4F5F03B4" w14:textId="0D67BD64" w:rsidR="003B7460" w:rsidRPr="007F7EBF" w:rsidRDefault="003B7460">
      <w:pPr>
        <w:pStyle w:val="Testonotaapidipagina"/>
      </w:pPr>
      <w:r w:rsidRPr="007F7EBF">
        <w:rPr>
          <w:rStyle w:val="Rimandonotaapidipagina"/>
        </w:rPr>
        <w:footnoteRef/>
      </w:r>
      <w:r w:rsidRPr="007F7EBF">
        <w:t xml:space="preserve"> </w:t>
      </w:r>
      <w:r>
        <w:t xml:space="preserve">) L’imposta locale “addizionale” viene cioè determinata come un’ulteriore percentuale di quella statale. Metaforicamente, </w:t>
      </w:r>
      <w:r w:rsidRPr="007F7EBF">
        <w:t xml:space="preserve">la tassazione locale va a rimorchio di quella statale, </w:t>
      </w:r>
      <w:r>
        <w:t>c</w:t>
      </w:r>
      <w:r w:rsidRPr="007F7EBF">
        <w:t>osì come quella statale va a rimorchio</w:t>
      </w:r>
      <w:r w:rsidRPr="00CF5AFD">
        <w:t xml:space="preserve"> </w:t>
      </w:r>
      <w:r w:rsidRPr="007F7EBF">
        <w:t xml:space="preserve">delle </w:t>
      </w:r>
      <w:r>
        <w:t xml:space="preserve">organizzazioni amministrative, come un simpatico trenino. </w:t>
      </w:r>
    </w:p>
  </w:footnote>
  <w:footnote w:id="1420">
    <w:p w14:paraId="1525B151" w14:textId="36C68E7F"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Raccolta rifiuti, par.10.10, occupazione suolo, servizi idrici e depurazione acque, di alcuni dei quali si è detto al par. 5.1. </w:t>
      </w:r>
    </w:p>
  </w:footnote>
  <w:footnote w:id="1421">
    <w:p w14:paraId="2112DD06" w14:textId="5960B00D" w:rsidR="003B7460" w:rsidRPr="007F7EBF" w:rsidRDefault="003B7460">
      <w:pPr>
        <w:pStyle w:val="Testonotaapidipagina"/>
      </w:pPr>
      <w:r w:rsidRPr="007F7EBF">
        <w:rPr>
          <w:rStyle w:val="Rimandonotaapidipagina"/>
        </w:rPr>
        <w:footnoteRef/>
      </w:r>
      <w:r w:rsidRPr="007F7EBF">
        <w:t xml:space="preserve"> </w:t>
      </w:r>
      <w:r>
        <w:t xml:space="preserve">) </w:t>
      </w:r>
      <w:r w:rsidRPr="007F7EBF">
        <w:t>Gli immobili abitativi , in molti paesi, sono considerati  "un focolare" (si ricordi l'imposta capitaria medievale denominata "focatico al termine del par.1.3), cioè un luogo attorno al quale si riuniscono persone che utilizzano i servizi comunali (la viabilità, i giardini, la pubblica illuminazione, etc.). Gli immobili abitativi possono quindi essere un indice della fruizione di servizi pubblici.</w:t>
      </w:r>
    </w:p>
  </w:footnote>
  <w:footnote w:id="1422">
    <w:p w14:paraId="6BB5E427" w14:textId="2BCFAE5B" w:rsidR="003B7460" w:rsidRPr="007F7EBF" w:rsidRDefault="003B7460">
      <w:pPr>
        <w:pStyle w:val="Testonotaapidipagina"/>
      </w:pPr>
      <w:r w:rsidRPr="007F7EBF">
        <w:rPr>
          <w:rStyle w:val="Rimandonotaapidipagina"/>
        </w:rPr>
        <w:footnoteRef/>
      </w:r>
      <w:r w:rsidRPr="007F7EBF">
        <w:t xml:space="preserve"> ) </w:t>
      </w:r>
      <w:r>
        <w:t>Il tutto secondo una vicenda pluriennale improntata all’emozionalità politica, che risale a</w:t>
      </w:r>
      <w:r w:rsidRPr="007F7EBF">
        <w:t xml:space="preserve">i primi anni ’90 del secolo scorso, con l’ICI, poi IMU, poi TASI e varie esenzioni -riduzioni “prima casa”. </w:t>
      </w:r>
    </w:p>
  </w:footnote>
  <w:footnote w:id="1423">
    <w:p w14:paraId="3BFE961E" w14:textId="77777777" w:rsidR="003B7460" w:rsidRPr="007F7EBF" w:rsidRDefault="003B7460">
      <w:pPr>
        <w:pStyle w:val="Testonotaapidipagina"/>
      </w:pPr>
      <w:r w:rsidRPr="007F7EBF">
        <w:rPr>
          <w:rStyle w:val="Rimandonotaapidipagina"/>
        </w:rPr>
        <w:footnoteRef/>
      </w:r>
      <w:r w:rsidRPr="007F7EBF">
        <w:t xml:space="preserve"> ) Il cambiamento di nome (ICI-IMU) fu dovuto proprio alle esigenze d’immagine di trovare un pretesto per la reintroduzione del tributo sulla prima casa. Parlare di introduzione di un nuovo tributo, che colpisce anche la prima casa, suonava  politicamente meglio che rimettere l’ICI sulla prima casa.  Analoghe motivazioni nominalistiche si trovano nella soppressione dell’IMU prima casa e nella contestuale introduzione della TASI, nel 2013-2015. </w:t>
      </w:r>
    </w:p>
  </w:footnote>
  <w:footnote w:id="1424">
    <w:p w14:paraId="30D1D0BF" w14:textId="44788DC1" w:rsidR="003B7460" w:rsidRPr="007F7EBF" w:rsidRDefault="003B7460" w:rsidP="00DE3ADB">
      <w:pPr>
        <w:pStyle w:val="Testonotaapidipagina"/>
      </w:pPr>
      <w:r w:rsidRPr="007F7EBF">
        <w:rPr>
          <w:rStyle w:val="Rimandonotaapidipagina"/>
        </w:rPr>
        <w:footnoteRef/>
      </w:r>
      <w:r w:rsidRPr="007F7EBF">
        <w:t xml:space="preserve"> ) Sul piano dell’immagine politica, l’abolizione della tassazione della prima casa è </w:t>
      </w:r>
      <w:r>
        <w:t>forse</w:t>
      </w:r>
      <w:r w:rsidRPr="007F7EBF">
        <w:t xml:space="preserve"> un messaggio azzeccato, ma sul piano della logica tributaria di una modesta “service tax” è un errore. </w:t>
      </w:r>
      <w:r>
        <w:t>Esso infatti</w:t>
      </w:r>
      <w:r w:rsidRPr="007F7EBF">
        <w:t xml:space="preserve"> contraddice il principio del beneficio (par.1.2)</w:t>
      </w:r>
      <w:r>
        <w:t>,</w:t>
      </w:r>
      <w:r w:rsidRPr="007F7EBF">
        <w:t xml:space="preserve"> </w:t>
      </w:r>
      <w:r>
        <w:t xml:space="preserve">dove la fruizione di servizi comunali è maggiore proprio per la prima casa, considerando casomai </w:t>
      </w:r>
      <w:r w:rsidRPr="007F7EBF">
        <w:t xml:space="preserve">l’eventuale </w:t>
      </w:r>
      <w:r>
        <w:t xml:space="preserve">situazione di bisogno </w:t>
      </w:r>
      <w:r w:rsidRPr="007F7EBF">
        <w:t xml:space="preserve">dei proprietari </w:t>
      </w:r>
      <w:r>
        <w:t>con detrazioni specifiche o persino sussidi, come avviene per tutte le entrate “commutative” (tasse, tariffe, contributi, tickets, etc.). Anche inquadrando il tributo in termini d’imposta l’esenzione è irrazionale in quanto agevola</w:t>
      </w:r>
      <w:r w:rsidRPr="007F7EBF">
        <w:t xml:space="preserve"> chi investe nella propria “prima casa” anche se di grande valore, mentre </w:t>
      </w:r>
      <w:r>
        <w:t>penalizza i p</w:t>
      </w:r>
      <w:r w:rsidRPr="007F7EBF">
        <w:t>atrimoni immobiliar</w:t>
      </w:r>
      <w:r>
        <w:t xml:space="preserve">i </w:t>
      </w:r>
      <w:r w:rsidRPr="007F7EBF">
        <w:t>inferior</w:t>
      </w:r>
      <w:r>
        <w:t>i</w:t>
      </w:r>
      <w:r w:rsidRPr="007F7EBF">
        <w:t>, ma frammentat</w:t>
      </w:r>
      <w:r>
        <w:t>i</w:t>
      </w:r>
      <w:r w:rsidRPr="007F7EBF">
        <w:t xml:space="preserve"> per ragioni logistiche, valoriali, affettive, familiari </w:t>
      </w:r>
      <w:proofErr w:type="spellStart"/>
      <w:r w:rsidRPr="007F7EBF">
        <w:t>etc.</w:t>
      </w:r>
      <w:r>
        <w:t>In</w:t>
      </w:r>
      <w:proofErr w:type="spellEnd"/>
      <w:r>
        <w:t xml:space="preserve"> altri termini, c</w:t>
      </w:r>
      <w:r w:rsidRPr="007F7EBF">
        <w:t>hi ha una “prima casa” da due milioni di euro non paga nulla e chi ha una prima casa da cinquecentomila euro, più una casetta al mare</w:t>
      </w:r>
      <w:r>
        <w:t xml:space="preserve"> </w:t>
      </w:r>
      <w:r w:rsidRPr="007F7EBF">
        <w:t>da altri  centomila paga</w:t>
      </w:r>
      <w:r>
        <w:t xml:space="preserve"> qualcosa, come chi s’è scambiato casa coi genitori, o s’è trasferito per studio, lavoro o salute, compresi i vecchietti dell’ospizio</w:t>
      </w:r>
      <w:r w:rsidRPr="007F7EBF">
        <w:t xml:space="preserve">. </w:t>
      </w:r>
      <w:r>
        <w:t>Occorreva invece una franchigia uguale per tutti, per tener conto, in modo “neutro”, rispetto alle scelte personali, della componente “abitativa” dell’investimento immobiliare.</w:t>
      </w:r>
    </w:p>
  </w:footnote>
  <w:footnote w:id="1425">
    <w:p w14:paraId="7C41ECAD" w14:textId="77777777" w:rsidR="003B7460" w:rsidRPr="007F7EBF" w:rsidRDefault="003B7460">
      <w:pPr>
        <w:pStyle w:val="Testonotaapidipagina"/>
      </w:pPr>
      <w:r w:rsidRPr="007F7EBF">
        <w:rPr>
          <w:rStyle w:val="Rimandonotaapidipagina"/>
        </w:rPr>
        <w:footnoteRef/>
      </w:r>
      <w:r w:rsidRPr="007F7EBF">
        <w:t xml:space="preserve"> ) Con le inefficienze che la rendono, come precisato al par.10.4, una “soluzione di ripiego” rispetto alla tassazione di redditi e plusvalenze.</w:t>
      </w:r>
    </w:p>
  </w:footnote>
  <w:footnote w:id="1426">
    <w:p w14:paraId="08219905" w14:textId="498104BD" w:rsidR="003B7460" w:rsidRPr="007F7EBF" w:rsidRDefault="003B7460" w:rsidP="00B953A7">
      <w:pPr>
        <w:pStyle w:val="Testonotaapidipagina"/>
      </w:pPr>
      <w:r w:rsidRPr="007F7EBF">
        <w:rPr>
          <w:rStyle w:val="Rimandonotaapidipagina"/>
        </w:rPr>
        <w:footnoteRef/>
      </w:r>
      <w:r w:rsidRPr="007F7EBF">
        <w:t xml:space="preserve"> </w:t>
      </w:r>
      <w:r>
        <w:t xml:space="preserve">) </w:t>
      </w:r>
      <w:r w:rsidRPr="007F7EBF">
        <w:t>La proprietà immobiliare è infatti economicamente bifronte anche in capo ai proprietari, in quanto da una parte è un indice di ricchezza (che però giunge in forma di redditi da locazione o plusvalenze), dall'altra uno strumento per soddisfare bisogni abitativi personali.</w:t>
      </w:r>
    </w:p>
  </w:footnote>
  <w:footnote w:id="1427">
    <w:p w14:paraId="0BF80526" w14:textId="77777777" w:rsidR="003B7460" w:rsidRPr="007F7EBF" w:rsidRDefault="003B7460">
      <w:pPr>
        <w:pStyle w:val="Testonotaapidipagina"/>
      </w:pPr>
      <w:r w:rsidRPr="007F7EBF">
        <w:rPr>
          <w:rStyle w:val="Rimandonotaapidipagina"/>
        </w:rPr>
        <w:footnoteRef/>
      </w:r>
      <w:r w:rsidRPr="007F7EBF">
        <w:t xml:space="preserve"> ) Si pensi ai "capannoni industriali" che nessuno vuole più, e cui spesso i proprietari demoliscono il tetto per classificarli come “ruderi”, ottenendo l’abbattimento della base imponibile IMU.</w:t>
      </w:r>
    </w:p>
  </w:footnote>
  <w:footnote w:id="1428">
    <w:p w14:paraId="44EA3C5A" w14:textId="26DE8609"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Chi ha una prima casa signorile, che vale ad esempio un milione di euro, non paga nulla, mentre chi vive in una casa da quattrocentomila euro, con una casa di  villeggiatura da centomila paga qualcosa, pur con un valore patrimoniale globale di  meno della metà. </w:t>
      </w:r>
    </w:p>
  </w:footnote>
  <w:footnote w:id="1429">
    <w:p w14:paraId="691A0F5A" w14:textId="513E72BB"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E' una caratteristica dei c.d. “tributi di scopo”. </w:t>
      </w:r>
    </w:p>
  </w:footnote>
  <w:footnote w:id="1430">
    <w:p w14:paraId="27CBD48D" w14:textId="4D788EE8" w:rsidR="003B7460" w:rsidRPr="007F7EBF" w:rsidRDefault="003B7460">
      <w:pPr>
        <w:pStyle w:val="Testonotaapidipagina"/>
      </w:pPr>
      <w:r w:rsidRPr="007F7EBF">
        <w:rPr>
          <w:rStyle w:val="Rimandonotaapidipagina"/>
        </w:rPr>
        <w:footnoteRef/>
      </w:r>
      <w:r w:rsidRPr="007F7EBF">
        <w:t xml:space="preserve"> </w:t>
      </w:r>
      <w:r>
        <w:t xml:space="preserve">) </w:t>
      </w:r>
      <w:r w:rsidRPr="007F7EBF">
        <w:t xml:space="preserve">Batterie automobilistiche, olio di macchina, plastica, carta e simili. </w:t>
      </w:r>
    </w:p>
  </w:footnote>
  <w:footnote w:id="1431">
    <w:p w14:paraId="312705BA" w14:textId="7AE4D2E5" w:rsidR="003B7460" w:rsidRDefault="003B7460">
      <w:pPr>
        <w:pStyle w:val="Testonotaapidipagina"/>
      </w:pPr>
      <w:r>
        <w:rPr>
          <w:rStyle w:val="Rimandonotaapidipagina"/>
        </w:rPr>
        <w:footnoteRef/>
      </w:r>
      <w:r>
        <w:t xml:space="preserve"> ) </w:t>
      </w:r>
      <w:r>
        <w:rPr>
          <w:sz w:val="22"/>
          <w:szCs w:val="22"/>
        </w:rPr>
        <w:t>P</w:t>
      </w:r>
      <w:r w:rsidRPr="007F7EBF">
        <w:rPr>
          <w:sz w:val="22"/>
          <w:szCs w:val="22"/>
        </w:rPr>
        <w:t xml:space="preserve">revista all'estero con la c.d. </w:t>
      </w:r>
      <w:r w:rsidRPr="007F7EBF">
        <w:rPr>
          <w:i/>
          <w:sz w:val="22"/>
          <w:szCs w:val="22"/>
        </w:rPr>
        <w:t>carbon tax</w:t>
      </w:r>
      <w:r w:rsidRPr="007F7EBF">
        <w:rPr>
          <w:sz w:val="22"/>
          <w:szCs w:val="22"/>
        </w:rPr>
        <w:t>, o la tassazione delle emissioni inquinanti</w:t>
      </w:r>
      <w:r>
        <w:rPr>
          <w:sz w:val="22"/>
          <w:szCs w:val="22"/>
        </w:rPr>
        <w:t xml:space="preserve">. </w:t>
      </w:r>
    </w:p>
  </w:footnote>
  <w:footnote w:id="1432">
    <w:p w14:paraId="51A5EB6E" w14:textId="77777777" w:rsidR="003B7460" w:rsidRPr="007F7EBF" w:rsidRDefault="003B7460">
      <w:pPr>
        <w:pStyle w:val="Testonotaapidipagina"/>
      </w:pPr>
      <w:r w:rsidRPr="007F7EBF">
        <w:rPr>
          <w:rStyle w:val="Rimandonotaapidipagina"/>
        </w:rPr>
        <w:footnoteRef/>
      </w:r>
      <w:r w:rsidRPr="007F7EBF">
        <w:t xml:space="preserve"> ) In precedenza richiesta quindi non per il possesso del veicolo, ma per la sua circolazione, controllata dagli agenti della circolazione stradale, come polizia, vigili urbani etc.. </w:t>
      </w:r>
    </w:p>
  </w:footnote>
  <w:footnote w:id="1433">
    <w:p w14:paraId="6545BC5E" w14:textId="77777777" w:rsidR="003B7460" w:rsidRPr="007F7EBF" w:rsidRDefault="003B7460">
      <w:pPr>
        <w:pStyle w:val="Testonotaapidipagina"/>
      </w:pPr>
      <w:r w:rsidRPr="007F7EBF">
        <w:rPr>
          <w:rStyle w:val="Rimandonotaapidipagina"/>
        </w:rPr>
        <w:footnoteRef/>
      </w:r>
      <w:r w:rsidRPr="007F7EBF">
        <w:t xml:space="preserve"> ) E’ un caso di applicazione di un generico “principio del beneficio” (par.1.2) , sia pure tendenziale e potenziale, visto che tutti i veicoli pagano, a prescindere da quanto circolano.  </w:t>
      </w:r>
    </w:p>
  </w:footnote>
  <w:footnote w:id="1434">
    <w:p w14:paraId="3F584115" w14:textId="344A111F" w:rsidR="003B7460" w:rsidRPr="007F7EBF" w:rsidRDefault="003B7460">
      <w:pPr>
        <w:pStyle w:val="Testonotaapidipagina"/>
      </w:pPr>
      <w:r w:rsidRPr="007F7EBF">
        <w:rPr>
          <w:rStyle w:val="Rimandonotaapidipagina"/>
        </w:rPr>
        <w:footnoteRef/>
      </w:r>
      <w:r w:rsidRPr="007F7EBF">
        <w:t xml:space="preserve"> ) In genere viene utilizzata </w:t>
      </w:r>
      <w:r>
        <w:t xml:space="preserve">la struttura </w:t>
      </w:r>
      <w:proofErr w:type="spellStart"/>
      <w:r>
        <w:t>AgenziaEntrate</w:t>
      </w:r>
      <w:proofErr w:type="spellEnd"/>
      <w:r>
        <w:t xml:space="preserve"> riscossione (par.6.11)</w:t>
      </w:r>
      <w:r w:rsidRPr="007F7EBF">
        <w:t xml:space="preserve">, ma </w:t>
      </w:r>
      <w:r>
        <w:t xml:space="preserve">si </w:t>
      </w:r>
      <w:r w:rsidRPr="007F7EBF">
        <w:t xml:space="preserve">potrebbero utilizzare altri concessionari, o procedere direttamente.   </w:t>
      </w:r>
    </w:p>
  </w:footnote>
  <w:footnote w:id="1435">
    <w:p w14:paraId="51024A2B" w14:textId="22157ADF" w:rsidR="003B7460" w:rsidRPr="007F7EBF" w:rsidRDefault="003B7460" w:rsidP="00DD7E72">
      <w:pPr>
        <w:pStyle w:val="Testonotaapidipagina"/>
      </w:pPr>
      <w:r w:rsidRPr="007F7EBF">
        <w:rPr>
          <w:rStyle w:val="Rimandonotaapidipagina"/>
        </w:rPr>
        <w:footnoteRef/>
      </w:r>
      <w:r w:rsidRPr="007F7EBF">
        <w:t xml:space="preserve"> ) </w:t>
      </w:r>
      <w:r>
        <w:t>Ho il ricordo personale che f</w:t>
      </w:r>
      <w:r w:rsidRPr="007F7EBF">
        <w:t>ino al 198</w:t>
      </w:r>
      <w:r>
        <w:t>5</w:t>
      </w:r>
      <w:r w:rsidRPr="007F7EBF">
        <w:t xml:space="preserve"> i rivenditori di apparecchi TV</w:t>
      </w:r>
      <w:r>
        <w:t xml:space="preserve"> </w:t>
      </w:r>
      <w:r w:rsidRPr="007F7EBF">
        <w:t xml:space="preserve">acquisivano le generalità dei compratori, trasmettendole all’Ufficio delle imposte. </w:t>
      </w:r>
    </w:p>
  </w:footnote>
  <w:footnote w:id="1436">
    <w:p w14:paraId="5FAF1E97" w14:textId="01A6189F" w:rsidR="003B7460" w:rsidRPr="007F7EBF" w:rsidRDefault="003B7460" w:rsidP="00DD7E72">
      <w:pPr>
        <w:pStyle w:val="Testonotaapidipagina"/>
      </w:pPr>
      <w:r w:rsidRPr="007F7EBF">
        <w:rPr>
          <w:rStyle w:val="Rimandonotaapidipagina"/>
        </w:rPr>
        <w:footnoteRef/>
      </w:r>
      <w:r w:rsidRPr="007F7EBF">
        <w:t xml:space="preserve"> ) </w:t>
      </w:r>
      <w:r>
        <w:t xml:space="preserve">Che tuttavia dava un sorprendente </w:t>
      </w:r>
      <w:r w:rsidRPr="007F7EBF">
        <w:t xml:space="preserve">gettito </w:t>
      </w:r>
      <w:r>
        <w:t>(</w:t>
      </w:r>
      <w:r w:rsidRPr="007F7EBF">
        <w:t>oltre 1,5 miliardi</w:t>
      </w:r>
      <w:r>
        <w:t>),</w:t>
      </w:r>
      <w:r w:rsidRPr="007F7EBF">
        <w:t xml:space="preserve"> smente</w:t>
      </w:r>
      <w:r>
        <w:t>ndo</w:t>
      </w:r>
      <w:r w:rsidRPr="007F7EBF">
        <w:t xml:space="preserve"> ulteriormente</w:t>
      </w:r>
      <w:r>
        <w:t xml:space="preserve"> (forse anche con l’aiuto del martellamento televisivo) lo ster</w:t>
      </w:r>
      <w:r w:rsidRPr="007F7EBF">
        <w:t xml:space="preserve">eotipo degli italiani evasori senza senso civico (par.4.5).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E042B" w14:textId="77777777" w:rsidR="003B7460" w:rsidRPr="00BC623F" w:rsidRDefault="003B7460" w:rsidP="00BC623F">
    <w:pPr>
      <w:pStyle w:val="Intestazione"/>
      <w:tabs>
        <w:tab w:val="clear" w:pos="4819"/>
        <w:tab w:val="clear" w:pos="9638"/>
        <w:tab w:val="left" w:pos="1268"/>
      </w:tabs>
      <w:rPr>
        <w:b/>
      </w:rPr>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BF9C7400"/>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3D787265"/>
    <w:multiLevelType w:val="multilevel"/>
    <w:tmpl w:val="BC3CCF5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761007E0"/>
    <w:multiLevelType w:val="multilevel"/>
    <w:tmpl w:val="7CDEF5CE"/>
    <w:lvl w:ilvl="0">
      <w:start w:val="1"/>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2"/>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32C1"/>
    <w:rsid w:val="0000015E"/>
    <w:rsid w:val="000001B2"/>
    <w:rsid w:val="0000028D"/>
    <w:rsid w:val="000002AA"/>
    <w:rsid w:val="000002BC"/>
    <w:rsid w:val="000002FD"/>
    <w:rsid w:val="0000037C"/>
    <w:rsid w:val="0000039B"/>
    <w:rsid w:val="00000428"/>
    <w:rsid w:val="00000473"/>
    <w:rsid w:val="000005F9"/>
    <w:rsid w:val="00000677"/>
    <w:rsid w:val="00000800"/>
    <w:rsid w:val="00000803"/>
    <w:rsid w:val="0000081A"/>
    <w:rsid w:val="0000090F"/>
    <w:rsid w:val="0000091E"/>
    <w:rsid w:val="00000AE8"/>
    <w:rsid w:val="00000B49"/>
    <w:rsid w:val="00000B62"/>
    <w:rsid w:val="00000D95"/>
    <w:rsid w:val="00000DA8"/>
    <w:rsid w:val="00000DD0"/>
    <w:rsid w:val="00000E7B"/>
    <w:rsid w:val="00000F9D"/>
    <w:rsid w:val="00000FD9"/>
    <w:rsid w:val="00000FDF"/>
    <w:rsid w:val="0000104D"/>
    <w:rsid w:val="00001067"/>
    <w:rsid w:val="00001077"/>
    <w:rsid w:val="000010AD"/>
    <w:rsid w:val="00001126"/>
    <w:rsid w:val="000011AA"/>
    <w:rsid w:val="00001299"/>
    <w:rsid w:val="00001395"/>
    <w:rsid w:val="000013BD"/>
    <w:rsid w:val="000014B8"/>
    <w:rsid w:val="000014EF"/>
    <w:rsid w:val="00001533"/>
    <w:rsid w:val="000015A8"/>
    <w:rsid w:val="0000165B"/>
    <w:rsid w:val="000016ED"/>
    <w:rsid w:val="00001765"/>
    <w:rsid w:val="00001788"/>
    <w:rsid w:val="000018A7"/>
    <w:rsid w:val="0000191F"/>
    <w:rsid w:val="0000194C"/>
    <w:rsid w:val="00001AC6"/>
    <w:rsid w:val="00001AC9"/>
    <w:rsid w:val="00001AE4"/>
    <w:rsid w:val="00001BDC"/>
    <w:rsid w:val="00001BE6"/>
    <w:rsid w:val="00001D76"/>
    <w:rsid w:val="00001EF8"/>
    <w:rsid w:val="00001F57"/>
    <w:rsid w:val="00001F74"/>
    <w:rsid w:val="00001FD5"/>
    <w:rsid w:val="0000203B"/>
    <w:rsid w:val="0000218D"/>
    <w:rsid w:val="000021B0"/>
    <w:rsid w:val="000022B7"/>
    <w:rsid w:val="00002379"/>
    <w:rsid w:val="000023EA"/>
    <w:rsid w:val="000023EE"/>
    <w:rsid w:val="00002415"/>
    <w:rsid w:val="0000245C"/>
    <w:rsid w:val="00002573"/>
    <w:rsid w:val="00002670"/>
    <w:rsid w:val="000026C2"/>
    <w:rsid w:val="000026DD"/>
    <w:rsid w:val="000026E3"/>
    <w:rsid w:val="00002710"/>
    <w:rsid w:val="0000271B"/>
    <w:rsid w:val="000027D4"/>
    <w:rsid w:val="000028EA"/>
    <w:rsid w:val="0000295C"/>
    <w:rsid w:val="00002978"/>
    <w:rsid w:val="00002993"/>
    <w:rsid w:val="000029AD"/>
    <w:rsid w:val="00002A26"/>
    <w:rsid w:val="00002B32"/>
    <w:rsid w:val="00002B39"/>
    <w:rsid w:val="00002B6D"/>
    <w:rsid w:val="00002BCC"/>
    <w:rsid w:val="00002C48"/>
    <w:rsid w:val="00002D6C"/>
    <w:rsid w:val="00002D98"/>
    <w:rsid w:val="00002DA5"/>
    <w:rsid w:val="00002E27"/>
    <w:rsid w:val="00002F83"/>
    <w:rsid w:val="00002FB0"/>
    <w:rsid w:val="00002FE4"/>
    <w:rsid w:val="00002FFF"/>
    <w:rsid w:val="0000302F"/>
    <w:rsid w:val="000030FB"/>
    <w:rsid w:val="00003141"/>
    <w:rsid w:val="0000316B"/>
    <w:rsid w:val="00003180"/>
    <w:rsid w:val="000031D3"/>
    <w:rsid w:val="0000323C"/>
    <w:rsid w:val="0000328F"/>
    <w:rsid w:val="00003371"/>
    <w:rsid w:val="000033B7"/>
    <w:rsid w:val="00003473"/>
    <w:rsid w:val="00003591"/>
    <w:rsid w:val="00003642"/>
    <w:rsid w:val="00003679"/>
    <w:rsid w:val="00003729"/>
    <w:rsid w:val="0000387E"/>
    <w:rsid w:val="0000388F"/>
    <w:rsid w:val="00003911"/>
    <w:rsid w:val="000039CE"/>
    <w:rsid w:val="000039E6"/>
    <w:rsid w:val="00003A79"/>
    <w:rsid w:val="00003AC4"/>
    <w:rsid w:val="00003B03"/>
    <w:rsid w:val="00003D2E"/>
    <w:rsid w:val="00003D4D"/>
    <w:rsid w:val="00003F2E"/>
    <w:rsid w:val="00003F59"/>
    <w:rsid w:val="00003FB3"/>
    <w:rsid w:val="00003FBF"/>
    <w:rsid w:val="0000406B"/>
    <w:rsid w:val="000040DB"/>
    <w:rsid w:val="000040FF"/>
    <w:rsid w:val="0000416A"/>
    <w:rsid w:val="00004308"/>
    <w:rsid w:val="0000431F"/>
    <w:rsid w:val="00004389"/>
    <w:rsid w:val="000043F5"/>
    <w:rsid w:val="0000447A"/>
    <w:rsid w:val="00004520"/>
    <w:rsid w:val="00004573"/>
    <w:rsid w:val="00004592"/>
    <w:rsid w:val="00004597"/>
    <w:rsid w:val="000045E7"/>
    <w:rsid w:val="0000471F"/>
    <w:rsid w:val="0000474A"/>
    <w:rsid w:val="000048C6"/>
    <w:rsid w:val="000048DE"/>
    <w:rsid w:val="000048EB"/>
    <w:rsid w:val="00004925"/>
    <w:rsid w:val="00004969"/>
    <w:rsid w:val="00004A71"/>
    <w:rsid w:val="00004B95"/>
    <w:rsid w:val="00004BB5"/>
    <w:rsid w:val="00004C13"/>
    <w:rsid w:val="00004C35"/>
    <w:rsid w:val="00004CA7"/>
    <w:rsid w:val="00004D75"/>
    <w:rsid w:val="00004DB5"/>
    <w:rsid w:val="00004DC5"/>
    <w:rsid w:val="00004E4D"/>
    <w:rsid w:val="000050CD"/>
    <w:rsid w:val="00005164"/>
    <w:rsid w:val="000051BF"/>
    <w:rsid w:val="0000526D"/>
    <w:rsid w:val="00005318"/>
    <w:rsid w:val="0000532E"/>
    <w:rsid w:val="00005476"/>
    <w:rsid w:val="000054C3"/>
    <w:rsid w:val="000054D0"/>
    <w:rsid w:val="000056C9"/>
    <w:rsid w:val="0000570C"/>
    <w:rsid w:val="00005781"/>
    <w:rsid w:val="000057E0"/>
    <w:rsid w:val="000057F0"/>
    <w:rsid w:val="00005807"/>
    <w:rsid w:val="0000582F"/>
    <w:rsid w:val="0000585E"/>
    <w:rsid w:val="000058ED"/>
    <w:rsid w:val="00005952"/>
    <w:rsid w:val="00005B41"/>
    <w:rsid w:val="00005C33"/>
    <w:rsid w:val="00005EEE"/>
    <w:rsid w:val="00005F7D"/>
    <w:rsid w:val="00005FA9"/>
    <w:rsid w:val="0000608C"/>
    <w:rsid w:val="0000609D"/>
    <w:rsid w:val="0000618F"/>
    <w:rsid w:val="00006257"/>
    <w:rsid w:val="000062B1"/>
    <w:rsid w:val="00006351"/>
    <w:rsid w:val="0000638B"/>
    <w:rsid w:val="000063EE"/>
    <w:rsid w:val="000064CC"/>
    <w:rsid w:val="00006686"/>
    <w:rsid w:val="00006795"/>
    <w:rsid w:val="00006856"/>
    <w:rsid w:val="00006904"/>
    <w:rsid w:val="00006949"/>
    <w:rsid w:val="00006A18"/>
    <w:rsid w:val="00006A88"/>
    <w:rsid w:val="00006B14"/>
    <w:rsid w:val="00006BA4"/>
    <w:rsid w:val="00006BEC"/>
    <w:rsid w:val="00006C1A"/>
    <w:rsid w:val="00006CB3"/>
    <w:rsid w:val="00006D8F"/>
    <w:rsid w:val="00006E5B"/>
    <w:rsid w:val="00006E7E"/>
    <w:rsid w:val="00006F0A"/>
    <w:rsid w:val="00007148"/>
    <w:rsid w:val="00007342"/>
    <w:rsid w:val="000073B3"/>
    <w:rsid w:val="000073C5"/>
    <w:rsid w:val="000073EE"/>
    <w:rsid w:val="0000751C"/>
    <w:rsid w:val="00007553"/>
    <w:rsid w:val="000075AB"/>
    <w:rsid w:val="0000761E"/>
    <w:rsid w:val="000076B1"/>
    <w:rsid w:val="000076F8"/>
    <w:rsid w:val="0000770C"/>
    <w:rsid w:val="00007760"/>
    <w:rsid w:val="00007917"/>
    <w:rsid w:val="00007A38"/>
    <w:rsid w:val="00007AA0"/>
    <w:rsid w:val="00007B56"/>
    <w:rsid w:val="00007DFC"/>
    <w:rsid w:val="00007F70"/>
    <w:rsid w:val="00007F7A"/>
    <w:rsid w:val="00010026"/>
    <w:rsid w:val="00010050"/>
    <w:rsid w:val="0001008A"/>
    <w:rsid w:val="00010109"/>
    <w:rsid w:val="0001010C"/>
    <w:rsid w:val="00010144"/>
    <w:rsid w:val="0001017B"/>
    <w:rsid w:val="000101BC"/>
    <w:rsid w:val="000102E6"/>
    <w:rsid w:val="00010306"/>
    <w:rsid w:val="0001037C"/>
    <w:rsid w:val="00010496"/>
    <w:rsid w:val="00010550"/>
    <w:rsid w:val="000105BC"/>
    <w:rsid w:val="0001062F"/>
    <w:rsid w:val="00010775"/>
    <w:rsid w:val="00010807"/>
    <w:rsid w:val="000108E3"/>
    <w:rsid w:val="000108F8"/>
    <w:rsid w:val="0001096C"/>
    <w:rsid w:val="000109CF"/>
    <w:rsid w:val="00010B3F"/>
    <w:rsid w:val="00010BB5"/>
    <w:rsid w:val="00010D2F"/>
    <w:rsid w:val="00010DC2"/>
    <w:rsid w:val="00010E2E"/>
    <w:rsid w:val="00010F6B"/>
    <w:rsid w:val="00010F81"/>
    <w:rsid w:val="00010FB4"/>
    <w:rsid w:val="00011071"/>
    <w:rsid w:val="000110BB"/>
    <w:rsid w:val="0001110B"/>
    <w:rsid w:val="00011282"/>
    <w:rsid w:val="0001129B"/>
    <w:rsid w:val="000113A3"/>
    <w:rsid w:val="000113A8"/>
    <w:rsid w:val="00011410"/>
    <w:rsid w:val="0001152D"/>
    <w:rsid w:val="000115C3"/>
    <w:rsid w:val="0001160E"/>
    <w:rsid w:val="00011640"/>
    <w:rsid w:val="000116B5"/>
    <w:rsid w:val="00011758"/>
    <w:rsid w:val="00011807"/>
    <w:rsid w:val="000118FA"/>
    <w:rsid w:val="00011922"/>
    <w:rsid w:val="00011A7E"/>
    <w:rsid w:val="00011AB2"/>
    <w:rsid w:val="00011B49"/>
    <w:rsid w:val="00011B81"/>
    <w:rsid w:val="00011C29"/>
    <w:rsid w:val="00011C66"/>
    <w:rsid w:val="00011DE1"/>
    <w:rsid w:val="00011DF9"/>
    <w:rsid w:val="00011E14"/>
    <w:rsid w:val="00011E92"/>
    <w:rsid w:val="00011FA8"/>
    <w:rsid w:val="0001207B"/>
    <w:rsid w:val="00012176"/>
    <w:rsid w:val="0001223F"/>
    <w:rsid w:val="00012285"/>
    <w:rsid w:val="000122F1"/>
    <w:rsid w:val="0001244F"/>
    <w:rsid w:val="0001260A"/>
    <w:rsid w:val="000126FD"/>
    <w:rsid w:val="00012724"/>
    <w:rsid w:val="0001273E"/>
    <w:rsid w:val="00012879"/>
    <w:rsid w:val="0001289E"/>
    <w:rsid w:val="00012950"/>
    <w:rsid w:val="00012955"/>
    <w:rsid w:val="000129BD"/>
    <w:rsid w:val="00012A1D"/>
    <w:rsid w:val="00012A2F"/>
    <w:rsid w:val="00012AA5"/>
    <w:rsid w:val="00012B11"/>
    <w:rsid w:val="00012B85"/>
    <w:rsid w:val="00012BAC"/>
    <w:rsid w:val="00012BCE"/>
    <w:rsid w:val="00012C6E"/>
    <w:rsid w:val="00012D22"/>
    <w:rsid w:val="00012E7E"/>
    <w:rsid w:val="00012E9F"/>
    <w:rsid w:val="0001307F"/>
    <w:rsid w:val="000130D4"/>
    <w:rsid w:val="000130D5"/>
    <w:rsid w:val="000130FF"/>
    <w:rsid w:val="00013199"/>
    <w:rsid w:val="000131CE"/>
    <w:rsid w:val="000132B8"/>
    <w:rsid w:val="00013574"/>
    <w:rsid w:val="000135C2"/>
    <w:rsid w:val="00013635"/>
    <w:rsid w:val="00013782"/>
    <w:rsid w:val="00013959"/>
    <w:rsid w:val="00013A6D"/>
    <w:rsid w:val="00013AE3"/>
    <w:rsid w:val="00013BE7"/>
    <w:rsid w:val="00013CE8"/>
    <w:rsid w:val="00013CFB"/>
    <w:rsid w:val="00013DD0"/>
    <w:rsid w:val="00013E60"/>
    <w:rsid w:val="00013EBD"/>
    <w:rsid w:val="00013F3A"/>
    <w:rsid w:val="00013F42"/>
    <w:rsid w:val="00013FDE"/>
    <w:rsid w:val="00014032"/>
    <w:rsid w:val="0001406B"/>
    <w:rsid w:val="000141C1"/>
    <w:rsid w:val="000142E3"/>
    <w:rsid w:val="000142F7"/>
    <w:rsid w:val="00014303"/>
    <w:rsid w:val="00014397"/>
    <w:rsid w:val="000143CE"/>
    <w:rsid w:val="000143DA"/>
    <w:rsid w:val="000145FA"/>
    <w:rsid w:val="0001463A"/>
    <w:rsid w:val="00014724"/>
    <w:rsid w:val="00014728"/>
    <w:rsid w:val="000148A8"/>
    <w:rsid w:val="000149D4"/>
    <w:rsid w:val="00014A82"/>
    <w:rsid w:val="00014AA1"/>
    <w:rsid w:val="00014B9F"/>
    <w:rsid w:val="00014BC3"/>
    <w:rsid w:val="00014CC5"/>
    <w:rsid w:val="00014CEE"/>
    <w:rsid w:val="00014D40"/>
    <w:rsid w:val="00014EDE"/>
    <w:rsid w:val="00014F0E"/>
    <w:rsid w:val="00014FF9"/>
    <w:rsid w:val="00015311"/>
    <w:rsid w:val="000153A0"/>
    <w:rsid w:val="000153B5"/>
    <w:rsid w:val="00015457"/>
    <w:rsid w:val="0001547F"/>
    <w:rsid w:val="000154A2"/>
    <w:rsid w:val="000155A1"/>
    <w:rsid w:val="000156D8"/>
    <w:rsid w:val="00015717"/>
    <w:rsid w:val="000158E0"/>
    <w:rsid w:val="00015966"/>
    <w:rsid w:val="0001596F"/>
    <w:rsid w:val="00015A37"/>
    <w:rsid w:val="00015AA5"/>
    <w:rsid w:val="00015B69"/>
    <w:rsid w:val="00015BB3"/>
    <w:rsid w:val="00015C64"/>
    <w:rsid w:val="00015C83"/>
    <w:rsid w:val="00015D40"/>
    <w:rsid w:val="00015DBD"/>
    <w:rsid w:val="00015E23"/>
    <w:rsid w:val="00015E3A"/>
    <w:rsid w:val="00015E4E"/>
    <w:rsid w:val="00015FA6"/>
    <w:rsid w:val="00016028"/>
    <w:rsid w:val="00016092"/>
    <w:rsid w:val="0001609C"/>
    <w:rsid w:val="000160C1"/>
    <w:rsid w:val="00016223"/>
    <w:rsid w:val="000162CD"/>
    <w:rsid w:val="00016353"/>
    <w:rsid w:val="00016363"/>
    <w:rsid w:val="00016400"/>
    <w:rsid w:val="000164A6"/>
    <w:rsid w:val="000164CC"/>
    <w:rsid w:val="0001650D"/>
    <w:rsid w:val="00016586"/>
    <w:rsid w:val="0001667E"/>
    <w:rsid w:val="000166A5"/>
    <w:rsid w:val="000166B7"/>
    <w:rsid w:val="00016900"/>
    <w:rsid w:val="00016937"/>
    <w:rsid w:val="0001697C"/>
    <w:rsid w:val="000169FB"/>
    <w:rsid w:val="00016A75"/>
    <w:rsid w:val="00016ADA"/>
    <w:rsid w:val="00016B02"/>
    <w:rsid w:val="00016CA3"/>
    <w:rsid w:val="00016CBD"/>
    <w:rsid w:val="00016CC0"/>
    <w:rsid w:val="00016F20"/>
    <w:rsid w:val="00016F7A"/>
    <w:rsid w:val="00016FDA"/>
    <w:rsid w:val="00017008"/>
    <w:rsid w:val="00017079"/>
    <w:rsid w:val="000170C8"/>
    <w:rsid w:val="000171E0"/>
    <w:rsid w:val="00017212"/>
    <w:rsid w:val="0001728F"/>
    <w:rsid w:val="00017351"/>
    <w:rsid w:val="000173CF"/>
    <w:rsid w:val="00017464"/>
    <w:rsid w:val="00017488"/>
    <w:rsid w:val="00017495"/>
    <w:rsid w:val="00017648"/>
    <w:rsid w:val="000176D2"/>
    <w:rsid w:val="000176FB"/>
    <w:rsid w:val="00017877"/>
    <w:rsid w:val="00017896"/>
    <w:rsid w:val="000178B1"/>
    <w:rsid w:val="00017937"/>
    <w:rsid w:val="00017951"/>
    <w:rsid w:val="000179B2"/>
    <w:rsid w:val="00017A6D"/>
    <w:rsid w:val="00017A79"/>
    <w:rsid w:val="00017C54"/>
    <w:rsid w:val="00017C59"/>
    <w:rsid w:val="00017CDD"/>
    <w:rsid w:val="00017D25"/>
    <w:rsid w:val="00017D4E"/>
    <w:rsid w:val="00017E57"/>
    <w:rsid w:val="00017EBC"/>
    <w:rsid w:val="00017EF4"/>
    <w:rsid w:val="00017F4D"/>
    <w:rsid w:val="00017FD6"/>
    <w:rsid w:val="00017FE5"/>
    <w:rsid w:val="00020050"/>
    <w:rsid w:val="000201AD"/>
    <w:rsid w:val="00020283"/>
    <w:rsid w:val="000202CB"/>
    <w:rsid w:val="00020303"/>
    <w:rsid w:val="0002040A"/>
    <w:rsid w:val="0002044C"/>
    <w:rsid w:val="000206BA"/>
    <w:rsid w:val="00020710"/>
    <w:rsid w:val="000207F4"/>
    <w:rsid w:val="0002086E"/>
    <w:rsid w:val="00020888"/>
    <w:rsid w:val="00020982"/>
    <w:rsid w:val="00020A77"/>
    <w:rsid w:val="00020B04"/>
    <w:rsid w:val="00020B15"/>
    <w:rsid w:val="00020CE8"/>
    <w:rsid w:val="00020D00"/>
    <w:rsid w:val="00020D17"/>
    <w:rsid w:val="00020D35"/>
    <w:rsid w:val="00020D58"/>
    <w:rsid w:val="00020F1D"/>
    <w:rsid w:val="00020F4A"/>
    <w:rsid w:val="00020FF1"/>
    <w:rsid w:val="0002100E"/>
    <w:rsid w:val="000210FA"/>
    <w:rsid w:val="000211E1"/>
    <w:rsid w:val="000214F9"/>
    <w:rsid w:val="00021555"/>
    <w:rsid w:val="000215E9"/>
    <w:rsid w:val="000216BB"/>
    <w:rsid w:val="00021857"/>
    <w:rsid w:val="00021BFE"/>
    <w:rsid w:val="00021C86"/>
    <w:rsid w:val="00021CD4"/>
    <w:rsid w:val="00021DD7"/>
    <w:rsid w:val="00021F9E"/>
    <w:rsid w:val="00022054"/>
    <w:rsid w:val="000221A1"/>
    <w:rsid w:val="0002220A"/>
    <w:rsid w:val="0002220C"/>
    <w:rsid w:val="000222DF"/>
    <w:rsid w:val="00022394"/>
    <w:rsid w:val="0002239D"/>
    <w:rsid w:val="00022552"/>
    <w:rsid w:val="0002270B"/>
    <w:rsid w:val="00022743"/>
    <w:rsid w:val="000227C4"/>
    <w:rsid w:val="000229C7"/>
    <w:rsid w:val="00022A0A"/>
    <w:rsid w:val="00022AA9"/>
    <w:rsid w:val="00022AE1"/>
    <w:rsid w:val="00022B0B"/>
    <w:rsid w:val="00022B10"/>
    <w:rsid w:val="00022B95"/>
    <w:rsid w:val="00022CDD"/>
    <w:rsid w:val="00022D22"/>
    <w:rsid w:val="00022F61"/>
    <w:rsid w:val="000230E8"/>
    <w:rsid w:val="00023157"/>
    <w:rsid w:val="0002317C"/>
    <w:rsid w:val="000231F0"/>
    <w:rsid w:val="00023203"/>
    <w:rsid w:val="00023211"/>
    <w:rsid w:val="00023308"/>
    <w:rsid w:val="00023376"/>
    <w:rsid w:val="000233F4"/>
    <w:rsid w:val="00023695"/>
    <w:rsid w:val="000236A2"/>
    <w:rsid w:val="000236BA"/>
    <w:rsid w:val="00023759"/>
    <w:rsid w:val="000238B8"/>
    <w:rsid w:val="0002397A"/>
    <w:rsid w:val="00023B30"/>
    <w:rsid w:val="00023BB2"/>
    <w:rsid w:val="00023BBC"/>
    <w:rsid w:val="00023BE1"/>
    <w:rsid w:val="00023C5C"/>
    <w:rsid w:val="00023CF5"/>
    <w:rsid w:val="00023DBA"/>
    <w:rsid w:val="00023DD3"/>
    <w:rsid w:val="00023DD9"/>
    <w:rsid w:val="00023DFA"/>
    <w:rsid w:val="00023E55"/>
    <w:rsid w:val="00023E69"/>
    <w:rsid w:val="00023E9A"/>
    <w:rsid w:val="00023EF4"/>
    <w:rsid w:val="00023F66"/>
    <w:rsid w:val="00023FC4"/>
    <w:rsid w:val="00023FC6"/>
    <w:rsid w:val="0002401E"/>
    <w:rsid w:val="00024056"/>
    <w:rsid w:val="00024076"/>
    <w:rsid w:val="000240E2"/>
    <w:rsid w:val="000241C5"/>
    <w:rsid w:val="000241CC"/>
    <w:rsid w:val="00024363"/>
    <w:rsid w:val="0002440B"/>
    <w:rsid w:val="00024466"/>
    <w:rsid w:val="00024496"/>
    <w:rsid w:val="000245AF"/>
    <w:rsid w:val="000245E0"/>
    <w:rsid w:val="00024669"/>
    <w:rsid w:val="0002472F"/>
    <w:rsid w:val="0002477D"/>
    <w:rsid w:val="000247DB"/>
    <w:rsid w:val="00024808"/>
    <w:rsid w:val="000248F3"/>
    <w:rsid w:val="00024927"/>
    <w:rsid w:val="00024A68"/>
    <w:rsid w:val="00024C67"/>
    <w:rsid w:val="00024C73"/>
    <w:rsid w:val="00024C8E"/>
    <w:rsid w:val="00024EFA"/>
    <w:rsid w:val="00025002"/>
    <w:rsid w:val="000250D0"/>
    <w:rsid w:val="0002539E"/>
    <w:rsid w:val="000253F0"/>
    <w:rsid w:val="0002542F"/>
    <w:rsid w:val="00025449"/>
    <w:rsid w:val="00025495"/>
    <w:rsid w:val="000254E6"/>
    <w:rsid w:val="00025539"/>
    <w:rsid w:val="0002556F"/>
    <w:rsid w:val="0002558B"/>
    <w:rsid w:val="00025645"/>
    <w:rsid w:val="00025695"/>
    <w:rsid w:val="00025858"/>
    <w:rsid w:val="00025870"/>
    <w:rsid w:val="00025913"/>
    <w:rsid w:val="00025A61"/>
    <w:rsid w:val="00025A6B"/>
    <w:rsid w:val="00025A6C"/>
    <w:rsid w:val="00025ABA"/>
    <w:rsid w:val="00025C1B"/>
    <w:rsid w:val="00025C93"/>
    <w:rsid w:val="00025CBA"/>
    <w:rsid w:val="00025D3E"/>
    <w:rsid w:val="00025D45"/>
    <w:rsid w:val="00025DAC"/>
    <w:rsid w:val="00025DD7"/>
    <w:rsid w:val="00025E11"/>
    <w:rsid w:val="00025E59"/>
    <w:rsid w:val="00025EE4"/>
    <w:rsid w:val="00025F9D"/>
    <w:rsid w:val="00025FA9"/>
    <w:rsid w:val="00025FB0"/>
    <w:rsid w:val="00025FD4"/>
    <w:rsid w:val="000260AA"/>
    <w:rsid w:val="0002615C"/>
    <w:rsid w:val="00026175"/>
    <w:rsid w:val="000261B7"/>
    <w:rsid w:val="00026208"/>
    <w:rsid w:val="00026214"/>
    <w:rsid w:val="0002629A"/>
    <w:rsid w:val="0002637A"/>
    <w:rsid w:val="00026390"/>
    <w:rsid w:val="000263BF"/>
    <w:rsid w:val="00026425"/>
    <w:rsid w:val="00026589"/>
    <w:rsid w:val="000265DE"/>
    <w:rsid w:val="00026630"/>
    <w:rsid w:val="000266DB"/>
    <w:rsid w:val="00026811"/>
    <w:rsid w:val="00026872"/>
    <w:rsid w:val="000268A9"/>
    <w:rsid w:val="000268C5"/>
    <w:rsid w:val="000268FB"/>
    <w:rsid w:val="00026903"/>
    <w:rsid w:val="00026934"/>
    <w:rsid w:val="0002695B"/>
    <w:rsid w:val="0002699B"/>
    <w:rsid w:val="000269D2"/>
    <w:rsid w:val="00026A48"/>
    <w:rsid w:val="00026AAE"/>
    <w:rsid w:val="00026DEF"/>
    <w:rsid w:val="00026E11"/>
    <w:rsid w:val="00026EEC"/>
    <w:rsid w:val="00026EFB"/>
    <w:rsid w:val="00026F0E"/>
    <w:rsid w:val="00026F22"/>
    <w:rsid w:val="00026F3F"/>
    <w:rsid w:val="00026F8E"/>
    <w:rsid w:val="00027059"/>
    <w:rsid w:val="000270CB"/>
    <w:rsid w:val="000270F8"/>
    <w:rsid w:val="00027103"/>
    <w:rsid w:val="00027156"/>
    <w:rsid w:val="00027188"/>
    <w:rsid w:val="00027258"/>
    <w:rsid w:val="000272CF"/>
    <w:rsid w:val="00027321"/>
    <w:rsid w:val="000273C5"/>
    <w:rsid w:val="00027454"/>
    <w:rsid w:val="00027455"/>
    <w:rsid w:val="00027463"/>
    <w:rsid w:val="00027490"/>
    <w:rsid w:val="0002752E"/>
    <w:rsid w:val="00027584"/>
    <w:rsid w:val="000275B0"/>
    <w:rsid w:val="000275FC"/>
    <w:rsid w:val="00027632"/>
    <w:rsid w:val="00027695"/>
    <w:rsid w:val="000276A2"/>
    <w:rsid w:val="000276A3"/>
    <w:rsid w:val="0002774F"/>
    <w:rsid w:val="0002785F"/>
    <w:rsid w:val="00027B47"/>
    <w:rsid w:val="00027B53"/>
    <w:rsid w:val="00027BEE"/>
    <w:rsid w:val="00027C0C"/>
    <w:rsid w:val="00027CBA"/>
    <w:rsid w:val="00027CD4"/>
    <w:rsid w:val="00027CDD"/>
    <w:rsid w:val="00027D70"/>
    <w:rsid w:val="00027DA2"/>
    <w:rsid w:val="00027DB3"/>
    <w:rsid w:val="00027E06"/>
    <w:rsid w:val="00027E2F"/>
    <w:rsid w:val="00027EA5"/>
    <w:rsid w:val="00027F81"/>
    <w:rsid w:val="000300F8"/>
    <w:rsid w:val="00030231"/>
    <w:rsid w:val="00030240"/>
    <w:rsid w:val="00030309"/>
    <w:rsid w:val="00030342"/>
    <w:rsid w:val="0003035B"/>
    <w:rsid w:val="000303CB"/>
    <w:rsid w:val="0003044C"/>
    <w:rsid w:val="00030594"/>
    <w:rsid w:val="00030622"/>
    <w:rsid w:val="000306DF"/>
    <w:rsid w:val="0003075D"/>
    <w:rsid w:val="0003088B"/>
    <w:rsid w:val="00030999"/>
    <w:rsid w:val="000309F9"/>
    <w:rsid w:val="00030B7F"/>
    <w:rsid w:val="00030C65"/>
    <w:rsid w:val="00030CA6"/>
    <w:rsid w:val="00030CDC"/>
    <w:rsid w:val="00030CFD"/>
    <w:rsid w:val="00030D90"/>
    <w:rsid w:val="00030DB7"/>
    <w:rsid w:val="00030E58"/>
    <w:rsid w:val="00030E91"/>
    <w:rsid w:val="00030F94"/>
    <w:rsid w:val="00031005"/>
    <w:rsid w:val="0003101C"/>
    <w:rsid w:val="00031111"/>
    <w:rsid w:val="0003113F"/>
    <w:rsid w:val="00031173"/>
    <w:rsid w:val="000311FE"/>
    <w:rsid w:val="00031329"/>
    <w:rsid w:val="000314F5"/>
    <w:rsid w:val="0003152D"/>
    <w:rsid w:val="0003158F"/>
    <w:rsid w:val="000315F0"/>
    <w:rsid w:val="000315F6"/>
    <w:rsid w:val="000316BF"/>
    <w:rsid w:val="0003173B"/>
    <w:rsid w:val="00031743"/>
    <w:rsid w:val="000317F8"/>
    <w:rsid w:val="00031801"/>
    <w:rsid w:val="000318D1"/>
    <w:rsid w:val="00031957"/>
    <w:rsid w:val="0003196E"/>
    <w:rsid w:val="000319CF"/>
    <w:rsid w:val="00031A1C"/>
    <w:rsid w:val="00031AC2"/>
    <w:rsid w:val="00031AFF"/>
    <w:rsid w:val="00031B71"/>
    <w:rsid w:val="00031B7F"/>
    <w:rsid w:val="00031BAC"/>
    <w:rsid w:val="00031BD2"/>
    <w:rsid w:val="00031BE8"/>
    <w:rsid w:val="00031C0B"/>
    <w:rsid w:val="00031C59"/>
    <w:rsid w:val="00031CEE"/>
    <w:rsid w:val="00031D2A"/>
    <w:rsid w:val="00031DBD"/>
    <w:rsid w:val="00031E44"/>
    <w:rsid w:val="00031FB5"/>
    <w:rsid w:val="00031FFA"/>
    <w:rsid w:val="00032025"/>
    <w:rsid w:val="00032050"/>
    <w:rsid w:val="00032067"/>
    <w:rsid w:val="000320B9"/>
    <w:rsid w:val="000320FA"/>
    <w:rsid w:val="00032114"/>
    <w:rsid w:val="00032232"/>
    <w:rsid w:val="000322A0"/>
    <w:rsid w:val="000323C4"/>
    <w:rsid w:val="000324D8"/>
    <w:rsid w:val="00032532"/>
    <w:rsid w:val="000325B6"/>
    <w:rsid w:val="00032673"/>
    <w:rsid w:val="00032674"/>
    <w:rsid w:val="000326F8"/>
    <w:rsid w:val="00032703"/>
    <w:rsid w:val="0003298C"/>
    <w:rsid w:val="000329DA"/>
    <w:rsid w:val="00032A6A"/>
    <w:rsid w:val="00032AE4"/>
    <w:rsid w:val="00032B3F"/>
    <w:rsid w:val="00032CBD"/>
    <w:rsid w:val="00032DB1"/>
    <w:rsid w:val="00032DFF"/>
    <w:rsid w:val="00032E74"/>
    <w:rsid w:val="00032EC2"/>
    <w:rsid w:val="00032F79"/>
    <w:rsid w:val="0003304E"/>
    <w:rsid w:val="000330CD"/>
    <w:rsid w:val="000330F5"/>
    <w:rsid w:val="00033184"/>
    <w:rsid w:val="00033191"/>
    <w:rsid w:val="000331A6"/>
    <w:rsid w:val="000331DE"/>
    <w:rsid w:val="00033298"/>
    <w:rsid w:val="000333AA"/>
    <w:rsid w:val="00033413"/>
    <w:rsid w:val="0003347A"/>
    <w:rsid w:val="00033486"/>
    <w:rsid w:val="00033621"/>
    <w:rsid w:val="00033707"/>
    <w:rsid w:val="0003373E"/>
    <w:rsid w:val="00033821"/>
    <w:rsid w:val="00033825"/>
    <w:rsid w:val="0003388D"/>
    <w:rsid w:val="000339ED"/>
    <w:rsid w:val="00033B66"/>
    <w:rsid w:val="00033C00"/>
    <w:rsid w:val="00033C06"/>
    <w:rsid w:val="00033D53"/>
    <w:rsid w:val="00033D61"/>
    <w:rsid w:val="00033DBA"/>
    <w:rsid w:val="0003404C"/>
    <w:rsid w:val="00034060"/>
    <w:rsid w:val="000340E1"/>
    <w:rsid w:val="000342EA"/>
    <w:rsid w:val="00034329"/>
    <w:rsid w:val="00034357"/>
    <w:rsid w:val="00034372"/>
    <w:rsid w:val="0003446E"/>
    <w:rsid w:val="0003446F"/>
    <w:rsid w:val="0003448A"/>
    <w:rsid w:val="000345DD"/>
    <w:rsid w:val="0003463C"/>
    <w:rsid w:val="00034641"/>
    <w:rsid w:val="0003464B"/>
    <w:rsid w:val="00034667"/>
    <w:rsid w:val="00034694"/>
    <w:rsid w:val="00034697"/>
    <w:rsid w:val="000346E8"/>
    <w:rsid w:val="00034914"/>
    <w:rsid w:val="00034986"/>
    <w:rsid w:val="00034989"/>
    <w:rsid w:val="000349BD"/>
    <w:rsid w:val="000349BF"/>
    <w:rsid w:val="00034A74"/>
    <w:rsid w:val="00034B59"/>
    <w:rsid w:val="00034B6D"/>
    <w:rsid w:val="00034B6F"/>
    <w:rsid w:val="00034BAE"/>
    <w:rsid w:val="00034C54"/>
    <w:rsid w:val="00034C5E"/>
    <w:rsid w:val="00034D1D"/>
    <w:rsid w:val="00034DFC"/>
    <w:rsid w:val="00034E42"/>
    <w:rsid w:val="00034EAE"/>
    <w:rsid w:val="00034EC2"/>
    <w:rsid w:val="00034FA4"/>
    <w:rsid w:val="00035068"/>
    <w:rsid w:val="000350DF"/>
    <w:rsid w:val="0003510B"/>
    <w:rsid w:val="00035123"/>
    <w:rsid w:val="00035179"/>
    <w:rsid w:val="000351A8"/>
    <w:rsid w:val="000352A3"/>
    <w:rsid w:val="0003541E"/>
    <w:rsid w:val="00035469"/>
    <w:rsid w:val="00035557"/>
    <w:rsid w:val="00035582"/>
    <w:rsid w:val="00035587"/>
    <w:rsid w:val="00035786"/>
    <w:rsid w:val="00035788"/>
    <w:rsid w:val="000357CA"/>
    <w:rsid w:val="000359D5"/>
    <w:rsid w:val="00035A07"/>
    <w:rsid w:val="00035A1C"/>
    <w:rsid w:val="00035A8B"/>
    <w:rsid w:val="00035B67"/>
    <w:rsid w:val="00035B84"/>
    <w:rsid w:val="00035D5A"/>
    <w:rsid w:val="00035D9F"/>
    <w:rsid w:val="00035DFB"/>
    <w:rsid w:val="00035E08"/>
    <w:rsid w:val="00035E7C"/>
    <w:rsid w:val="00035EBB"/>
    <w:rsid w:val="00035F21"/>
    <w:rsid w:val="00035F4C"/>
    <w:rsid w:val="00036034"/>
    <w:rsid w:val="00036058"/>
    <w:rsid w:val="00036098"/>
    <w:rsid w:val="0003609C"/>
    <w:rsid w:val="00036226"/>
    <w:rsid w:val="00036263"/>
    <w:rsid w:val="0003635C"/>
    <w:rsid w:val="000363E3"/>
    <w:rsid w:val="000365D6"/>
    <w:rsid w:val="00036617"/>
    <w:rsid w:val="00036657"/>
    <w:rsid w:val="0003665C"/>
    <w:rsid w:val="0003666C"/>
    <w:rsid w:val="00036676"/>
    <w:rsid w:val="000366E1"/>
    <w:rsid w:val="000367AB"/>
    <w:rsid w:val="000369A7"/>
    <w:rsid w:val="00036BED"/>
    <w:rsid w:val="00036C07"/>
    <w:rsid w:val="00036D2A"/>
    <w:rsid w:val="00036DE0"/>
    <w:rsid w:val="00036F33"/>
    <w:rsid w:val="00036F45"/>
    <w:rsid w:val="00036FDA"/>
    <w:rsid w:val="0003711F"/>
    <w:rsid w:val="0003725E"/>
    <w:rsid w:val="00037305"/>
    <w:rsid w:val="0003736D"/>
    <w:rsid w:val="00037484"/>
    <w:rsid w:val="0003755A"/>
    <w:rsid w:val="000376A5"/>
    <w:rsid w:val="0003774E"/>
    <w:rsid w:val="00037812"/>
    <w:rsid w:val="0003783E"/>
    <w:rsid w:val="0003789A"/>
    <w:rsid w:val="0003796F"/>
    <w:rsid w:val="00037A86"/>
    <w:rsid w:val="00037AB2"/>
    <w:rsid w:val="00037B8A"/>
    <w:rsid w:val="00037BAD"/>
    <w:rsid w:val="00037C30"/>
    <w:rsid w:val="00037C6B"/>
    <w:rsid w:val="00037D93"/>
    <w:rsid w:val="00037E75"/>
    <w:rsid w:val="00037F52"/>
    <w:rsid w:val="00037FE3"/>
    <w:rsid w:val="0004006C"/>
    <w:rsid w:val="000400A8"/>
    <w:rsid w:val="00040143"/>
    <w:rsid w:val="0004021F"/>
    <w:rsid w:val="00040273"/>
    <w:rsid w:val="00040334"/>
    <w:rsid w:val="00040371"/>
    <w:rsid w:val="00040479"/>
    <w:rsid w:val="00040586"/>
    <w:rsid w:val="0004068F"/>
    <w:rsid w:val="0004070D"/>
    <w:rsid w:val="00040711"/>
    <w:rsid w:val="000407DB"/>
    <w:rsid w:val="000407EE"/>
    <w:rsid w:val="0004083A"/>
    <w:rsid w:val="000408B9"/>
    <w:rsid w:val="000408F7"/>
    <w:rsid w:val="0004097E"/>
    <w:rsid w:val="000409BB"/>
    <w:rsid w:val="00040A3E"/>
    <w:rsid w:val="00040A4B"/>
    <w:rsid w:val="00040A7E"/>
    <w:rsid w:val="00040BFE"/>
    <w:rsid w:val="00040C47"/>
    <w:rsid w:val="00040CD7"/>
    <w:rsid w:val="00040D19"/>
    <w:rsid w:val="00040E3C"/>
    <w:rsid w:val="00040EE3"/>
    <w:rsid w:val="00040F1F"/>
    <w:rsid w:val="0004105F"/>
    <w:rsid w:val="0004112C"/>
    <w:rsid w:val="0004127D"/>
    <w:rsid w:val="000412F4"/>
    <w:rsid w:val="00041373"/>
    <w:rsid w:val="0004138E"/>
    <w:rsid w:val="000413F0"/>
    <w:rsid w:val="0004150D"/>
    <w:rsid w:val="00041538"/>
    <w:rsid w:val="000415F1"/>
    <w:rsid w:val="000416DD"/>
    <w:rsid w:val="00041747"/>
    <w:rsid w:val="0004188D"/>
    <w:rsid w:val="0004192B"/>
    <w:rsid w:val="0004195F"/>
    <w:rsid w:val="00041B2F"/>
    <w:rsid w:val="00041B94"/>
    <w:rsid w:val="00041C10"/>
    <w:rsid w:val="00041D22"/>
    <w:rsid w:val="00041E24"/>
    <w:rsid w:val="00041EE8"/>
    <w:rsid w:val="00041F4B"/>
    <w:rsid w:val="0004201F"/>
    <w:rsid w:val="000420C0"/>
    <w:rsid w:val="00042145"/>
    <w:rsid w:val="000421BF"/>
    <w:rsid w:val="0004221B"/>
    <w:rsid w:val="000422EF"/>
    <w:rsid w:val="0004233C"/>
    <w:rsid w:val="00042354"/>
    <w:rsid w:val="0004240B"/>
    <w:rsid w:val="00042446"/>
    <w:rsid w:val="0004253C"/>
    <w:rsid w:val="00042548"/>
    <w:rsid w:val="00042649"/>
    <w:rsid w:val="00042861"/>
    <w:rsid w:val="000428CE"/>
    <w:rsid w:val="000428EA"/>
    <w:rsid w:val="00042A59"/>
    <w:rsid w:val="00042A5C"/>
    <w:rsid w:val="00042B17"/>
    <w:rsid w:val="00042B6F"/>
    <w:rsid w:val="00042BBC"/>
    <w:rsid w:val="00042BC9"/>
    <w:rsid w:val="00042C63"/>
    <w:rsid w:val="00042CB0"/>
    <w:rsid w:val="00042E27"/>
    <w:rsid w:val="00042ED8"/>
    <w:rsid w:val="00042F7E"/>
    <w:rsid w:val="00043086"/>
    <w:rsid w:val="000431D6"/>
    <w:rsid w:val="0004329C"/>
    <w:rsid w:val="00043328"/>
    <w:rsid w:val="00043339"/>
    <w:rsid w:val="000433B4"/>
    <w:rsid w:val="000435BF"/>
    <w:rsid w:val="00043686"/>
    <w:rsid w:val="000438C9"/>
    <w:rsid w:val="000439A2"/>
    <w:rsid w:val="000439B5"/>
    <w:rsid w:val="00043A43"/>
    <w:rsid w:val="00043ACF"/>
    <w:rsid w:val="00043B21"/>
    <w:rsid w:val="00043BEB"/>
    <w:rsid w:val="00043C4D"/>
    <w:rsid w:val="00043C64"/>
    <w:rsid w:val="00043C80"/>
    <w:rsid w:val="00043D99"/>
    <w:rsid w:val="0004401A"/>
    <w:rsid w:val="00044026"/>
    <w:rsid w:val="00044034"/>
    <w:rsid w:val="000440AB"/>
    <w:rsid w:val="000441DA"/>
    <w:rsid w:val="000443DE"/>
    <w:rsid w:val="000443F1"/>
    <w:rsid w:val="000444B9"/>
    <w:rsid w:val="00044507"/>
    <w:rsid w:val="00044597"/>
    <w:rsid w:val="000445B5"/>
    <w:rsid w:val="00044687"/>
    <w:rsid w:val="0004468B"/>
    <w:rsid w:val="00044705"/>
    <w:rsid w:val="0004470E"/>
    <w:rsid w:val="00044799"/>
    <w:rsid w:val="0004483F"/>
    <w:rsid w:val="0004484B"/>
    <w:rsid w:val="00044AA4"/>
    <w:rsid w:val="00044B63"/>
    <w:rsid w:val="00044C08"/>
    <w:rsid w:val="00044C14"/>
    <w:rsid w:val="00044C3E"/>
    <w:rsid w:val="00044D54"/>
    <w:rsid w:val="00044DDE"/>
    <w:rsid w:val="00044EF2"/>
    <w:rsid w:val="000450FA"/>
    <w:rsid w:val="00045172"/>
    <w:rsid w:val="000452EA"/>
    <w:rsid w:val="000453BB"/>
    <w:rsid w:val="00045486"/>
    <w:rsid w:val="000456AD"/>
    <w:rsid w:val="0004570C"/>
    <w:rsid w:val="00045729"/>
    <w:rsid w:val="00045998"/>
    <w:rsid w:val="000459BB"/>
    <w:rsid w:val="000459FF"/>
    <w:rsid w:val="00045A33"/>
    <w:rsid w:val="00045A99"/>
    <w:rsid w:val="00045AC3"/>
    <w:rsid w:val="00045B52"/>
    <w:rsid w:val="00045BC4"/>
    <w:rsid w:val="00045C08"/>
    <w:rsid w:val="00045C6C"/>
    <w:rsid w:val="00045C75"/>
    <w:rsid w:val="00045E29"/>
    <w:rsid w:val="00045F4D"/>
    <w:rsid w:val="00045F60"/>
    <w:rsid w:val="00045FA8"/>
    <w:rsid w:val="00046012"/>
    <w:rsid w:val="000460DE"/>
    <w:rsid w:val="0004612B"/>
    <w:rsid w:val="000461D1"/>
    <w:rsid w:val="000461E2"/>
    <w:rsid w:val="00046377"/>
    <w:rsid w:val="0004646C"/>
    <w:rsid w:val="0004653E"/>
    <w:rsid w:val="000465C4"/>
    <w:rsid w:val="0004662E"/>
    <w:rsid w:val="0004666E"/>
    <w:rsid w:val="0004693C"/>
    <w:rsid w:val="0004696C"/>
    <w:rsid w:val="000469A1"/>
    <w:rsid w:val="000469DA"/>
    <w:rsid w:val="00046A94"/>
    <w:rsid w:val="00046AD3"/>
    <w:rsid w:val="00046AE1"/>
    <w:rsid w:val="00046B25"/>
    <w:rsid w:val="00046B2E"/>
    <w:rsid w:val="00046BFB"/>
    <w:rsid w:val="00046C07"/>
    <w:rsid w:val="00046C67"/>
    <w:rsid w:val="00046CA3"/>
    <w:rsid w:val="00046D5C"/>
    <w:rsid w:val="00046F34"/>
    <w:rsid w:val="00046F49"/>
    <w:rsid w:val="00046F50"/>
    <w:rsid w:val="00046F7C"/>
    <w:rsid w:val="00046F85"/>
    <w:rsid w:val="00046FEB"/>
    <w:rsid w:val="00047060"/>
    <w:rsid w:val="000470D3"/>
    <w:rsid w:val="0004725D"/>
    <w:rsid w:val="000472F5"/>
    <w:rsid w:val="0004733A"/>
    <w:rsid w:val="000473DB"/>
    <w:rsid w:val="000474CB"/>
    <w:rsid w:val="000475BF"/>
    <w:rsid w:val="00047655"/>
    <w:rsid w:val="000477B6"/>
    <w:rsid w:val="0004785F"/>
    <w:rsid w:val="00047AEE"/>
    <w:rsid w:val="00047AF3"/>
    <w:rsid w:val="00047D1A"/>
    <w:rsid w:val="00047DAE"/>
    <w:rsid w:val="00047DE0"/>
    <w:rsid w:val="00047E95"/>
    <w:rsid w:val="00047ED4"/>
    <w:rsid w:val="00047F34"/>
    <w:rsid w:val="00050004"/>
    <w:rsid w:val="0005000E"/>
    <w:rsid w:val="000500ED"/>
    <w:rsid w:val="00050281"/>
    <w:rsid w:val="000502C5"/>
    <w:rsid w:val="000502C6"/>
    <w:rsid w:val="00050304"/>
    <w:rsid w:val="0005030B"/>
    <w:rsid w:val="0005042E"/>
    <w:rsid w:val="00050491"/>
    <w:rsid w:val="00050532"/>
    <w:rsid w:val="000505B8"/>
    <w:rsid w:val="00050640"/>
    <w:rsid w:val="000507B4"/>
    <w:rsid w:val="000507D1"/>
    <w:rsid w:val="000507EB"/>
    <w:rsid w:val="0005082A"/>
    <w:rsid w:val="0005085B"/>
    <w:rsid w:val="000509DF"/>
    <w:rsid w:val="000509FC"/>
    <w:rsid w:val="00050A0D"/>
    <w:rsid w:val="00050A52"/>
    <w:rsid w:val="00050A62"/>
    <w:rsid w:val="00050A83"/>
    <w:rsid w:val="00050B73"/>
    <w:rsid w:val="00050BA0"/>
    <w:rsid w:val="00050C31"/>
    <w:rsid w:val="00050C54"/>
    <w:rsid w:val="00050CEF"/>
    <w:rsid w:val="00050DEE"/>
    <w:rsid w:val="00050E15"/>
    <w:rsid w:val="00050E8A"/>
    <w:rsid w:val="00050E99"/>
    <w:rsid w:val="00050ED1"/>
    <w:rsid w:val="00050FCF"/>
    <w:rsid w:val="0005132B"/>
    <w:rsid w:val="0005133F"/>
    <w:rsid w:val="0005138F"/>
    <w:rsid w:val="0005143B"/>
    <w:rsid w:val="000514BF"/>
    <w:rsid w:val="00051539"/>
    <w:rsid w:val="0005154D"/>
    <w:rsid w:val="00051646"/>
    <w:rsid w:val="0005166A"/>
    <w:rsid w:val="0005167D"/>
    <w:rsid w:val="00051700"/>
    <w:rsid w:val="000517E7"/>
    <w:rsid w:val="00051846"/>
    <w:rsid w:val="0005186B"/>
    <w:rsid w:val="00051921"/>
    <w:rsid w:val="000519BC"/>
    <w:rsid w:val="00051B22"/>
    <w:rsid w:val="00051B24"/>
    <w:rsid w:val="00051B8E"/>
    <w:rsid w:val="00051BD5"/>
    <w:rsid w:val="00051D54"/>
    <w:rsid w:val="00051DD6"/>
    <w:rsid w:val="00051EDF"/>
    <w:rsid w:val="00051FA0"/>
    <w:rsid w:val="000520E4"/>
    <w:rsid w:val="000521CA"/>
    <w:rsid w:val="000521ED"/>
    <w:rsid w:val="000521F1"/>
    <w:rsid w:val="000521F8"/>
    <w:rsid w:val="00052236"/>
    <w:rsid w:val="00052243"/>
    <w:rsid w:val="0005226D"/>
    <w:rsid w:val="00052345"/>
    <w:rsid w:val="000525C7"/>
    <w:rsid w:val="000525D0"/>
    <w:rsid w:val="000525F0"/>
    <w:rsid w:val="000526AA"/>
    <w:rsid w:val="000527FA"/>
    <w:rsid w:val="0005283C"/>
    <w:rsid w:val="0005286C"/>
    <w:rsid w:val="00052951"/>
    <w:rsid w:val="00052A1F"/>
    <w:rsid w:val="00052B51"/>
    <w:rsid w:val="00052B74"/>
    <w:rsid w:val="00052BB2"/>
    <w:rsid w:val="00052CC6"/>
    <w:rsid w:val="00052D67"/>
    <w:rsid w:val="00052D71"/>
    <w:rsid w:val="00052D7F"/>
    <w:rsid w:val="00052E3D"/>
    <w:rsid w:val="00052E74"/>
    <w:rsid w:val="00052EF4"/>
    <w:rsid w:val="00052F36"/>
    <w:rsid w:val="00052F3D"/>
    <w:rsid w:val="00052F5F"/>
    <w:rsid w:val="00052FB0"/>
    <w:rsid w:val="00053090"/>
    <w:rsid w:val="000530FE"/>
    <w:rsid w:val="00053160"/>
    <w:rsid w:val="0005320F"/>
    <w:rsid w:val="00053349"/>
    <w:rsid w:val="0005335B"/>
    <w:rsid w:val="00053412"/>
    <w:rsid w:val="0005344B"/>
    <w:rsid w:val="00053467"/>
    <w:rsid w:val="0005346E"/>
    <w:rsid w:val="0005355D"/>
    <w:rsid w:val="000535BA"/>
    <w:rsid w:val="000535F2"/>
    <w:rsid w:val="0005368D"/>
    <w:rsid w:val="00053857"/>
    <w:rsid w:val="00053959"/>
    <w:rsid w:val="00053964"/>
    <w:rsid w:val="00053B8C"/>
    <w:rsid w:val="00053D26"/>
    <w:rsid w:val="00053D63"/>
    <w:rsid w:val="00053E71"/>
    <w:rsid w:val="00053F5C"/>
    <w:rsid w:val="00053F9E"/>
    <w:rsid w:val="00053FEA"/>
    <w:rsid w:val="00054105"/>
    <w:rsid w:val="000541DD"/>
    <w:rsid w:val="00054200"/>
    <w:rsid w:val="00054241"/>
    <w:rsid w:val="000542FA"/>
    <w:rsid w:val="0005444E"/>
    <w:rsid w:val="00054473"/>
    <w:rsid w:val="00054614"/>
    <w:rsid w:val="00054626"/>
    <w:rsid w:val="0005467F"/>
    <w:rsid w:val="000546D6"/>
    <w:rsid w:val="00054705"/>
    <w:rsid w:val="00054898"/>
    <w:rsid w:val="0005492E"/>
    <w:rsid w:val="000549BF"/>
    <w:rsid w:val="00054A18"/>
    <w:rsid w:val="00054B83"/>
    <w:rsid w:val="00054C01"/>
    <w:rsid w:val="00054C1C"/>
    <w:rsid w:val="00054C64"/>
    <w:rsid w:val="00054C9A"/>
    <w:rsid w:val="00054CDA"/>
    <w:rsid w:val="00054CF6"/>
    <w:rsid w:val="00054D08"/>
    <w:rsid w:val="00054DDB"/>
    <w:rsid w:val="00054DEE"/>
    <w:rsid w:val="00054E02"/>
    <w:rsid w:val="00054E5C"/>
    <w:rsid w:val="00054FAB"/>
    <w:rsid w:val="00054FAC"/>
    <w:rsid w:val="00054FE1"/>
    <w:rsid w:val="00054FFF"/>
    <w:rsid w:val="00055099"/>
    <w:rsid w:val="00055156"/>
    <w:rsid w:val="000551AA"/>
    <w:rsid w:val="000551F6"/>
    <w:rsid w:val="00055231"/>
    <w:rsid w:val="00055251"/>
    <w:rsid w:val="00055252"/>
    <w:rsid w:val="00055270"/>
    <w:rsid w:val="0005527C"/>
    <w:rsid w:val="000552E7"/>
    <w:rsid w:val="00055361"/>
    <w:rsid w:val="00055377"/>
    <w:rsid w:val="000553AD"/>
    <w:rsid w:val="00055460"/>
    <w:rsid w:val="00055678"/>
    <w:rsid w:val="00055703"/>
    <w:rsid w:val="0005571A"/>
    <w:rsid w:val="00055927"/>
    <w:rsid w:val="00055A6F"/>
    <w:rsid w:val="00055B0A"/>
    <w:rsid w:val="00055B22"/>
    <w:rsid w:val="00055C91"/>
    <w:rsid w:val="00055D0F"/>
    <w:rsid w:val="00055D1B"/>
    <w:rsid w:val="00055D61"/>
    <w:rsid w:val="00055EE6"/>
    <w:rsid w:val="00056036"/>
    <w:rsid w:val="000560E1"/>
    <w:rsid w:val="000562BE"/>
    <w:rsid w:val="000562CE"/>
    <w:rsid w:val="00056310"/>
    <w:rsid w:val="00056339"/>
    <w:rsid w:val="0005639E"/>
    <w:rsid w:val="00056457"/>
    <w:rsid w:val="000564C7"/>
    <w:rsid w:val="000564DB"/>
    <w:rsid w:val="00056572"/>
    <w:rsid w:val="0005664A"/>
    <w:rsid w:val="0005665C"/>
    <w:rsid w:val="00056701"/>
    <w:rsid w:val="000567C7"/>
    <w:rsid w:val="00056809"/>
    <w:rsid w:val="00056860"/>
    <w:rsid w:val="000568B7"/>
    <w:rsid w:val="0005692B"/>
    <w:rsid w:val="00056A12"/>
    <w:rsid w:val="00056B25"/>
    <w:rsid w:val="00056B45"/>
    <w:rsid w:val="00056BCD"/>
    <w:rsid w:val="00056C1B"/>
    <w:rsid w:val="00056DC1"/>
    <w:rsid w:val="00056E2D"/>
    <w:rsid w:val="00056E2E"/>
    <w:rsid w:val="00056F72"/>
    <w:rsid w:val="00056FBE"/>
    <w:rsid w:val="00057008"/>
    <w:rsid w:val="0005700C"/>
    <w:rsid w:val="00057167"/>
    <w:rsid w:val="00057210"/>
    <w:rsid w:val="00057211"/>
    <w:rsid w:val="000572A8"/>
    <w:rsid w:val="000572FC"/>
    <w:rsid w:val="0005735F"/>
    <w:rsid w:val="00057415"/>
    <w:rsid w:val="0005742F"/>
    <w:rsid w:val="0005744A"/>
    <w:rsid w:val="000574A2"/>
    <w:rsid w:val="000575D1"/>
    <w:rsid w:val="000575E7"/>
    <w:rsid w:val="000576A0"/>
    <w:rsid w:val="000576AC"/>
    <w:rsid w:val="000576BC"/>
    <w:rsid w:val="00057707"/>
    <w:rsid w:val="000577ED"/>
    <w:rsid w:val="0005791F"/>
    <w:rsid w:val="00057A99"/>
    <w:rsid w:val="00057AD2"/>
    <w:rsid w:val="00057B68"/>
    <w:rsid w:val="00057CCE"/>
    <w:rsid w:val="00057D50"/>
    <w:rsid w:val="00057DFA"/>
    <w:rsid w:val="00057E19"/>
    <w:rsid w:val="00057E21"/>
    <w:rsid w:val="00057E8F"/>
    <w:rsid w:val="0006011C"/>
    <w:rsid w:val="0006016D"/>
    <w:rsid w:val="00060185"/>
    <w:rsid w:val="000601B7"/>
    <w:rsid w:val="00060213"/>
    <w:rsid w:val="000603FD"/>
    <w:rsid w:val="0006047D"/>
    <w:rsid w:val="0006057D"/>
    <w:rsid w:val="00060765"/>
    <w:rsid w:val="000608E2"/>
    <w:rsid w:val="0006098E"/>
    <w:rsid w:val="00060A4B"/>
    <w:rsid w:val="00060AD8"/>
    <w:rsid w:val="00060AF1"/>
    <w:rsid w:val="00060CEE"/>
    <w:rsid w:val="00060D44"/>
    <w:rsid w:val="00060D90"/>
    <w:rsid w:val="00060DCE"/>
    <w:rsid w:val="000610A5"/>
    <w:rsid w:val="00061152"/>
    <w:rsid w:val="0006121D"/>
    <w:rsid w:val="00061256"/>
    <w:rsid w:val="00061274"/>
    <w:rsid w:val="00061307"/>
    <w:rsid w:val="00061396"/>
    <w:rsid w:val="000613C2"/>
    <w:rsid w:val="000613D8"/>
    <w:rsid w:val="000614C2"/>
    <w:rsid w:val="000614DB"/>
    <w:rsid w:val="00061507"/>
    <w:rsid w:val="000615D0"/>
    <w:rsid w:val="00061831"/>
    <w:rsid w:val="000618E0"/>
    <w:rsid w:val="00061ABD"/>
    <w:rsid w:val="00061C58"/>
    <w:rsid w:val="00061CD7"/>
    <w:rsid w:val="00061CFC"/>
    <w:rsid w:val="00061D65"/>
    <w:rsid w:val="00061D79"/>
    <w:rsid w:val="00061D98"/>
    <w:rsid w:val="00061DE5"/>
    <w:rsid w:val="00061E4E"/>
    <w:rsid w:val="00061E61"/>
    <w:rsid w:val="00061E69"/>
    <w:rsid w:val="00062012"/>
    <w:rsid w:val="00062096"/>
    <w:rsid w:val="000620EB"/>
    <w:rsid w:val="0006210F"/>
    <w:rsid w:val="0006215B"/>
    <w:rsid w:val="000621D3"/>
    <w:rsid w:val="0006223F"/>
    <w:rsid w:val="0006226C"/>
    <w:rsid w:val="00062298"/>
    <w:rsid w:val="000624DD"/>
    <w:rsid w:val="000625CF"/>
    <w:rsid w:val="00062642"/>
    <w:rsid w:val="00062709"/>
    <w:rsid w:val="0006273A"/>
    <w:rsid w:val="000627E0"/>
    <w:rsid w:val="000627F2"/>
    <w:rsid w:val="000628A8"/>
    <w:rsid w:val="000628B5"/>
    <w:rsid w:val="000628BA"/>
    <w:rsid w:val="000628C7"/>
    <w:rsid w:val="000628D0"/>
    <w:rsid w:val="0006291E"/>
    <w:rsid w:val="000629AD"/>
    <w:rsid w:val="000629E4"/>
    <w:rsid w:val="00062A04"/>
    <w:rsid w:val="00062A46"/>
    <w:rsid w:val="00062A54"/>
    <w:rsid w:val="00062A5A"/>
    <w:rsid w:val="00062A9E"/>
    <w:rsid w:val="00062B79"/>
    <w:rsid w:val="00062D36"/>
    <w:rsid w:val="00062EE2"/>
    <w:rsid w:val="00062F08"/>
    <w:rsid w:val="00062FD5"/>
    <w:rsid w:val="00063011"/>
    <w:rsid w:val="0006308A"/>
    <w:rsid w:val="000630FC"/>
    <w:rsid w:val="000631B1"/>
    <w:rsid w:val="000631BB"/>
    <w:rsid w:val="00063234"/>
    <w:rsid w:val="000632D4"/>
    <w:rsid w:val="0006345B"/>
    <w:rsid w:val="0006346E"/>
    <w:rsid w:val="000634E8"/>
    <w:rsid w:val="00063562"/>
    <w:rsid w:val="000635D4"/>
    <w:rsid w:val="0006360E"/>
    <w:rsid w:val="0006374D"/>
    <w:rsid w:val="00063784"/>
    <w:rsid w:val="000637AC"/>
    <w:rsid w:val="00063860"/>
    <w:rsid w:val="00063879"/>
    <w:rsid w:val="000638B5"/>
    <w:rsid w:val="000638E8"/>
    <w:rsid w:val="00063988"/>
    <w:rsid w:val="00063991"/>
    <w:rsid w:val="000639C6"/>
    <w:rsid w:val="00063A5C"/>
    <w:rsid w:val="00063AE9"/>
    <w:rsid w:val="00063AF5"/>
    <w:rsid w:val="00063B93"/>
    <w:rsid w:val="00063BE6"/>
    <w:rsid w:val="00063BF1"/>
    <w:rsid w:val="00063C44"/>
    <w:rsid w:val="00063CF6"/>
    <w:rsid w:val="00063E5A"/>
    <w:rsid w:val="00063EC6"/>
    <w:rsid w:val="0006404E"/>
    <w:rsid w:val="0006408A"/>
    <w:rsid w:val="000640AB"/>
    <w:rsid w:val="000640E1"/>
    <w:rsid w:val="00064137"/>
    <w:rsid w:val="0006415F"/>
    <w:rsid w:val="00064237"/>
    <w:rsid w:val="000643AD"/>
    <w:rsid w:val="0006445D"/>
    <w:rsid w:val="00064462"/>
    <w:rsid w:val="0006449C"/>
    <w:rsid w:val="000644D0"/>
    <w:rsid w:val="00064501"/>
    <w:rsid w:val="000645AC"/>
    <w:rsid w:val="000645F1"/>
    <w:rsid w:val="00064669"/>
    <w:rsid w:val="000646BA"/>
    <w:rsid w:val="00064842"/>
    <w:rsid w:val="000648B8"/>
    <w:rsid w:val="00064945"/>
    <w:rsid w:val="0006496D"/>
    <w:rsid w:val="000649D3"/>
    <w:rsid w:val="00064ACE"/>
    <w:rsid w:val="00064B10"/>
    <w:rsid w:val="00064B31"/>
    <w:rsid w:val="00064BAA"/>
    <w:rsid w:val="00064C68"/>
    <w:rsid w:val="00064D08"/>
    <w:rsid w:val="00064EC9"/>
    <w:rsid w:val="00064F63"/>
    <w:rsid w:val="00064FB4"/>
    <w:rsid w:val="00064FE8"/>
    <w:rsid w:val="0006501E"/>
    <w:rsid w:val="000650AB"/>
    <w:rsid w:val="000651A0"/>
    <w:rsid w:val="000651BF"/>
    <w:rsid w:val="00065268"/>
    <w:rsid w:val="0006531D"/>
    <w:rsid w:val="00065419"/>
    <w:rsid w:val="000654B2"/>
    <w:rsid w:val="0006550E"/>
    <w:rsid w:val="00065546"/>
    <w:rsid w:val="0006566B"/>
    <w:rsid w:val="00065762"/>
    <w:rsid w:val="0006578D"/>
    <w:rsid w:val="000658E1"/>
    <w:rsid w:val="0006591E"/>
    <w:rsid w:val="00065A42"/>
    <w:rsid w:val="00065B17"/>
    <w:rsid w:val="00065BB8"/>
    <w:rsid w:val="00065BC5"/>
    <w:rsid w:val="00065BC9"/>
    <w:rsid w:val="00065C1F"/>
    <w:rsid w:val="00065DAF"/>
    <w:rsid w:val="00065DB3"/>
    <w:rsid w:val="00065E50"/>
    <w:rsid w:val="00065F5E"/>
    <w:rsid w:val="00065FEF"/>
    <w:rsid w:val="0006603D"/>
    <w:rsid w:val="0006606E"/>
    <w:rsid w:val="00066080"/>
    <w:rsid w:val="000660BF"/>
    <w:rsid w:val="000660F8"/>
    <w:rsid w:val="0006610F"/>
    <w:rsid w:val="000661F0"/>
    <w:rsid w:val="000662F9"/>
    <w:rsid w:val="00066319"/>
    <w:rsid w:val="0006639F"/>
    <w:rsid w:val="000663F1"/>
    <w:rsid w:val="00066430"/>
    <w:rsid w:val="00066444"/>
    <w:rsid w:val="0006645A"/>
    <w:rsid w:val="0006659A"/>
    <w:rsid w:val="000666A0"/>
    <w:rsid w:val="000666F1"/>
    <w:rsid w:val="00066715"/>
    <w:rsid w:val="000668E2"/>
    <w:rsid w:val="00066AD3"/>
    <w:rsid w:val="00066CB7"/>
    <w:rsid w:val="00066D2C"/>
    <w:rsid w:val="00066D73"/>
    <w:rsid w:val="00066D8D"/>
    <w:rsid w:val="00066FF0"/>
    <w:rsid w:val="0006701F"/>
    <w:rsid w:val="00067042"/>
    <w:rsid w:val="00067153"/>
    <w:rsid w:val="00067286"/>
    <w:rsid w:val="0006736E"/>
    <w:rsid w:val="00067378"/>
    <w:rsid w:val="000673B5"/>
    <w:rsid w:val="000673E0"/>
    <w:rsid w:val="00067518"/>
    <w:rsid w:val="000676D0"/>
    <w:rsid w:val="00067708"/>
    <w:rsid w:val="0006777C"/>
    <w:rsid w:val="0006784F"/>
    <w:rsid w:val="0006787F"/>
    <w:rsid w:val="00067893"/>
    <w:rsid w:val="000678A3"/>
    <w:rsid w:val="000678FA"/>
    <w:rsid w:val="00067991"/>
    <w:rsid w:val="000679E1"/>
    <w:rsid w:val="00067A12"/>
    <w:rsid w:val="00067AD2"/>
    <w:rsid w:val="00067CF3"/>
    <w:rsid w:val="00067CF4"/>
    <w:rsid w:val="00067D86"/>
    <w:rsid w:val="00067D88"/>
    <w:rsid w:val="00067EF3"/>
    <w:rsid w:val="00067F5E"/>
    <w:rsid w:val="000704DC"/>
    <w:rsid w:val="0007051B"/>
    <w:rsid w:val="000705E6"/>
    <w:rsid w:val="00070648"/>
    <w:rsid w:val="000706AB"/>
    <w:rsid w:val="000706BF"/>
    <w:rsid w:val="000707DC"/>
    <w:rsid w:val="0007082B"/>
    <w:rsid w:val="00070955"/>
    <w:rsid w:val="0007099D"/>
    <w:rsid w:val="00070A92"/>
    <w:rsid w:val="00070ABE"/>
    <w:rsid w:val="00070AF9"/>
    <w:rsid w:val="00070BD3"/>
    <w:rsid w:val="00070C51"/>
    <w:rsid w:val="00070CAA"/>
    <w:rsid w:val="00070D9D"/>
    <w:rsid w:val="00070DE0"/>
    <w:rsid w:val="00070DE2"/>
    <w:rsid w:val="00070F09"/>
    <w:rsid w:val="00070FEB"/>
    <w:rsid w:val="00071031"/>
    <w:rsid w:val="0007122B"/>
    <w:rsid w:val="00071283"/>
    <w:rsid w:val="0007132F"/>
    <w:rsid w:val="000713E5"/>
    <w:rsid w:val="000713E9"/>
    <w:rsid w:val="00071401"/>
    <w:rsid w:val="0007144F"/>
    <w:rsid w:val="000714ED"/>
    <w:rsid w:val="000714F7"/>
    <w:rsid w:val="00071603"/>
    <w:rsid w:val="00071782"/>
    <w:rsid w:val="00071899"/>
    <w:rsid w:val="00071A37"/>
    <w:rsid w:val="00071A3A"/>
    <w:rsid w:val="00071A48"/>
    <w:rsid w:val="00071A61"/>
    <w:rsid w:val="00071A7A"/>
    <w:rsid w:val="00071B35"/>
    <w:rsid w:val="00071BDB"/>
    <w:rsid w:val="00071BE9"/>
    <w:rsid w:val="00071C57"/>
    <w:rsid w:val="00071DA8"/>
    <w:rsid w:val="00071E0A"/>
    <w:rsid w:val="00071EB5"/>
    <w:rsid w:val="00071F24"/>
    <w:rsid w:val="00071F3D"/>
    <w:rsid w:val="00071F4C"/>
    <w:rsid w:val="00071F95"/>
    <w:rsid w:val="00071F9E"/>
    <w:rsid w:val="00071FEF"/>
    <w:rsid w:val="00072083"/>
    <w:rsid w:val="000720EB"/>
    <w:rsid w:val="00072149"/>
    <w:rsid w:val="000721C5"/>
    <w:rsid w:val="000723E4"/>
    <w:rsid w:val="00072458"/>
    <w:rsid w:val="000724C2"/>
    <w:rsid w:val="00072503"/>
    <w:rsid w:val="000725F0"/>
    <w:rsid w:val="00072670"/>
    <w:rsid w:val="000726E1"/>
    <w:rsid w:val="00072715"/>
    <w:rsid w:val="0007281C"/>
    <w:rsid w:val="000728F5"/>
    <w:rsid w:val="00072A30"/>
    <w:rsid w:val="00072AEE"/>
    <w:rsid w:val="00072B3F"/>
    <w:rsid w:val="00072B8A"/>
    <w:rsid w:val="00072B95"/>
    <w:rsid w:val="00072BA9"/>
    <w:rsid w:val="00072DB1"/>
    <w:rsid w:val="00072DE1"/>
    <w:rsid w:val="00072E75"/>
    <w:rsid w:val="00072FD3"/>
    <w:rsid w:val="0007308F"/>
    <w:rsid w:val="0007310A"/>
    <w:rsid w:val="0007310B"/>
    <w:rsid w:val="0007317E"/>
    <w:rsid w:val="0007322A"/>
    <w:rsid w:val="00073295"/>
    <w:rsid w:val="000732CB"/>
    <w:rsid w:val="00073364"/>
    <w:rsid w:val="0007336E"/>
    <w:rsid w:val="000733A5"/>
    <w:rsid w:val="000733A6"/>
    <w:rsid w:val="000733AC"/>
    <w:rsid w:val="0007343D"/>
    <w:rsid w:val="000734F3"/>
    <w:rsid w:val="0007352E"/>
    <w:rsid w:val="0007358B"/>
    <w:rsid w:val="00073615"/>
    <w:rsid w:val="00073730"/>
    <w:rsid w:val="00073824"/>
    <w:rsid w:val="000738AF"/>
    <w:rsid w:val="00073A2D"/>
    <w:rsid w:val="00073A95"/>
    <w:rsid w:val="00073ABE"/>
    <w:rsid w:val="00073B1A"/>
    <w:rsid w:val="00073BFB"/>
    <w:rsid w:val="00073C78"/>
    <w:rsid w:val="00073C8A"/>
    <w:rsid w:val="00073D16"/>
    <w:rsid w:val="00073D93"/>
    <w:rsid w:val="00073EBC"/>
    <w:rsid w:val="00073ED5"/>
    <w:rsid w:val="00073EE8"/>
    <w:rsid w:val="0007412E"/>
    <w:rsid w:val="0007418E"/>
    <w:rsid w:val="00074212"/>
    <w:rsid w:val="00074356"/>
    <w:rsid w:val="00074451"/>
    <w:rsid w:val="000744A0"/>
    <w:rsid w:val="000744D1"/>
    <w:rsid w:val="00074553"/>
    <w:rsid w:val="00074721"/>
    <w:rsid w:val="0007475E"/>
    <w:rsid w:val="0007478F"/>
    <w:rsid w:val="00074804"/>
    <w:rsid w:val="000748C3"/>
    <w:rsid w:val="00074979"/>
    <w:rsid w:val="0007497E"/>
    <w:rsid w:val="000749DF"/>
    <w:rsid w:val="00074AE5"/>
    <w:rsid w:val="00074AF6"/>
    <w:rsid w:val="00074C7F"/>
    <w:rsid w:val="00074D27"/>
    <w:rsid w:val="00074D52"/>
    <w:rsid w:val="00074E86"/>
    <w:rsid w:val="00074EAA"/>
    <w:rsid w:val="00075051"/>
    <w:rsid w:val="00075111"/>
    <w:rsid w:val="000752E6"/>
    <w:rsid w:val="00075340"/>
    <w:rsid w:val="00075488"/>
    <w:rsid w:val="000754C2"/>
    <w:rsid w:val="0007557B"/>
    <w:rsid w:val="00075758"/>
    <w:rsid w:val="000757D7"/>
    <w:rsid w:val="000757D8"/>
    <w:rsid w:val="00075846"/>
    <w:rsid w:val="000758AF"/>
    <w:rsid w:val="000759AD"/>
    <w:rsid w:val="000759FC"/>
    <w:rsid w:val="00075A41"/>
    <w:rsid w:val="00075B17"/>
    <w:rsid w:val="00075B3B"/>
    <w:rsid w:val="00075B3D"/>
    <w:rsid w:val="00075CF6"/>
    <w:rsid w:val="00075D40"/>
    <w:rsid w:val="00075D5C"/>
    <w:rsid w:val="00075D70"/>
    <w:rsid w:val="00075F55"/>
    <w:rsid w:val="00075FAF"/>
    <w:rsid w:val="00075FC3"/>
    <w:rsid w:val="000760A4"/>
    <w:rsid w:val="000760BE"/>
    <w:rsid w:val="00076121"/>
    <w:rsid w:val="000761DE"/>
    <w:rsid w:val="00076264"/>
    <w:rsid w:val="000762DE"/>
    <w:rsid w:val="00076354"/>
    <w:rsid w:val="000763B5"/>
    <w:rsid w:val="0007647B"/>
    <w:rsid w:val="0007651B"/>
    <w:rsid w:val="00076632"/>
    <w:rsid w:val="000766DE"/>
    <w:rsid w:val="000767BC"/>
    <w:rsid w:val="000767EB"/>
    <w:rsid w:val="00076917"/>
    <w:rsid w:val="00076998"/>
    <w:rsid w:val="000769F0"/>
    <w:rsid w:val="00076AF4"/>
    <w:rsid w:val="00076B87"/>
    <w:rsid w:val="00076BC9"/>
    <w:rsid w:val="00076BEB"/>
    <w:rsid w:val="00076C0D"/>
    <w:rsid w:val="00076DC5"/>
    <w:rsid w:val="00076E49"/>
    <w:rsid w:val="00076EEC"/>
    <w:rsid w:val="00076F09"/>
    <w:rsid w:val="00076F2F"/>
    <w:rsid w:val="00076FAF"/>
    <w:rsid w:val="00077109"/>
    <w:rsid w:val="00077129"/>
    <w:rsid w:val="0007712A"/>
    <w:rsid w:val="0007712F"/>
    <w:rsid w:val="00077137"/>
    <w:rsid w:val="0007715B"/>
    <w:rsid w:val="0007719A"/>
    <w:rsid w:val="000771D9"/>
    <w:rsid w:val="00077253"/>
    <w:rsid w:val="0007730C"/>
    <w:rsid w:val="00077319"/>
    <w:rsid w:val="0007734D"/>
    <w:rsid w:val="0007734F"/>
    <w:rsid w:val="0007739C"/>
    <w:rsid w:val="00077402"/>
    <w:rsid w:val="0007743C"/>
    <w:rsid w:val="00077496"/>
    <w:rsid w:val="000774D7"/>
    <w:rsid w:val="00077523"/>
    <w:rsid w:val="00077739"/>
    <w:rsid w:val="000777BE"/>
    <w:rsid w:val="00077869"/>
    <w:rsid w:val="0007792A"/>
    <w:rsid w:val="00077ADA"/>
    <w:rsid w:val="00077AEA"/>
    <w:rsid w:val="00077B9A"/>
    <w:rsid w:val="00077CE4"/>
    <w:rsid w:val="00077CFA"/>
    <w:rsid w:val="00077D7E"/>
    <w:rsid w:val="00077DF8"/>
    <w:rsid w:val="00077E48"/>
    <w:rsid w:val="00077E5A"/>
    <w:rsid w:val="00077ED7"/>
    <w:rsid w:val="00080101"/>
    <w:rsid w:val="00080181"/>
    <w:rsid w:val="0008027D"/>
    <w:rsid w:val="00080287"/>
    <w:rsid w:val="000802B4"/>
    <w:rsid w:val="000802D2"/>
    <w:rsid w:val="0008035F"/>
    <w:rsid w:val="000803BF"/>
    <w:rsid w:val="000803F4"/>
    <w:rsid w:val="0008042E"/>
    <w:rsid w:val="000804FA"/>
    <w:rsid w:val="00080555"/>
    <w:rsid w:val="0008069D"/>
    <w:rsid w:val="000806BA"/>
    <w:rsid w:val="00080804"/>
    <w:rsid w:val="0008090E"/>
    <w:rsid w:val="0008092A"/>
    <w:rsid w:val="000809B0"/>
    <w:rsid w:val="000809B5"/>
    <w:rsid w:val="00080B2E"/>
    <w:rsid w:val="00080B5C"/>
    <w:rsid w:val="00080B74"/>
    <w:rsid w:val="00080C08"/>
    <w:rsid w:val="00080CA6"/>
    <w:rsid w:val="00080D58"/>
    <w:rsid w:val="00080E0B"/>
    <w:rsid w:val="00080E0E"/>
    <w:rsid w:val="00080E21"/>
    <w:rsid w:val="00080E3E"/>
    <w:rsid w:val="00080E55"/>
    <w:rsid w:val="00080E62"/>
    <w:rsid w:val="00080EBE"/>
    <w:rsid w:val="00080EE0"/>
    <w:rsid w:val="00080F93"/>
    <w:rsid w:val="000810C0"/>
    <w:rsid w:val="0008113B"/>
    <w:rsid w:val="000811F4"/>
    <w:rsid w:val="000812B7"/>
    <w:rsid w:val="000812F1"/>
    <w:rsid w:val="00081435"/>
    <w:rsid w:val="0008144A"/>
    <w:rsid w:val="000814AD"/>
    <w:rsid w:val="000814DB"/>
    <w:rsid w:val="0008150C"/>
    <w:rsid w:val="00081598"/>
    <w:rsid w:val="00081603"/>
    <w:rsid w:val="00081822"/>
    <w:rsid w:val="000818F3"/>
    <w:rsid w:val="00081A0A"/>
    <w:rsid w:val="00081A77"/>
    <w:rsid w:val="00081BA9"/>
    <w:rsid w:val="00081CE8"/>
    <w:rsid w:val="00081EB0"/>
    <w:rsid w:val="00081F11"/>
    <w:rsid w:val="00081F92"/>
    <w:rsid w:val="00082054"/>
    <w:rsid w:val="0008216A"/>
    <w:rsid w:val="00082215"/>
    <w:rsid w:val="000823BD"/>
    <w:rsid w:val="000823F1"/>
    <w:rsid w:val="0008246D"/>
    <w:rsid w:val="000824C2"/>
    <w:rsid w:val="00082628"/>
    <w:rsid w:val="00082811"/>
    <w:rsid w:val="0008282A"/>
    <w:rsid w:val="000828CB"/>
    <w:rsid w:val="00082959"/>
    <w:rsid w:val="0008295F"/>
    <w:rsid w:val="00082978"/>
    <w:rsid w:val="000829C5"/>
    <w:rsid w:val="000829CE"/>
    <w:rsid w:val="00082A94"/>
    <w:rsid w:val="00082B71"/>
    <w:rsid w:val="00082B9F"/>
    <w:rsid w:val="00082BC0"/>
    <w:rsid w:val="00082C1F"/>
    <w:rsid w:val="00082C7E"/>
    <w:rsid w:val="00082CC4"/>
    <w:rsid w:val="00082D2E"/>
    <w:rsid w:val="00082DD6"/>
    <w:rsid w:val="00082EE6"/>
    <w:rsid w:val="00082FDD"/>
    <w:rsid w:val="00082FE3"/>
    <w:rsid w:val="00083098"/>
    <w:rsid w:val="00083153"/>
    <w:rsid w:val="000831A4"/>
    <w:rsid w:val="00083216"/>
    <w:rsid w:val="0008322D"/>
    <w:rsid w:val="00083298"/>
    <w:rsid w:val="000832CA"/>
    <w:rsid w:val="000832F1"/>
    <w:rsid w:val="000833AC"/>
    <w:rsid w:val="000834DC"/>
    <w:rsid w:val="000835B5"/>
    <w:rsid w:val="0008365A"/>
    <w:rsid w:val="00083756"/>
    <w:rsid w:val="00083789"/>
    <w:rsid w:val="0008394C"/>
    <w:rsid w:val="00083B74"/>
    <w:rsid w:val="00083C31"/>
    <w:rsid w:val="00083CB8"/>
    <w:rsid w:val="00083D1C"/>
    <w:rsid w:val="00083D8C"/>
    <w:rsid w:val="00083DF8"/>
    <w:rsid w:val="00083E2E"/>
    <w:rsid w:val="00083E37"/>
    <w:rsid w:val="00083F8C"/>
    <w:rsid w:val="0008406C"/>
    <w:rsid w:val="0008407C"/>
    <w:rsid w:val="00084118"/>
    <w:rsid w:val="00084134"/>
    <w:rsid w:val="0008419F"/>
    <w:rsid w:val="000842C5"/>
    <w:rsid w:val="00084339"/>
    <w:rsid w:val="00084365"/>
    <w:rsid w:val="00084373"/>
    <w:rsid w:val="0008442A"/>
    <w:rsid w:val="000844EB"/>
    <w:rsid w:val="0008458F"/>
    <w:rsid w:val="00084627"/>
    <w:rsid w:val="0008473B"/>
    <w:rsid w:val="000848B3"/>
    <w:rsid w:val="000848E7"/>
    <w:rsid w:val="000848F3"/>
    <w:rsid w:val="000849A8"/>
    <w:rsid w:val="00084A4F"/>
    <w:rsid w:val="00084AB5"/>
    <w:rsid w:val="00084AB6"/>
    <w:rsid w:val="00084B29"/>
    <w:rsid w:val="00084BDB"/>
    <w:rsid w:val="00084C5D"/>
    <w:rsid w:val="00084C93"/>
    <w:rsid w:val="00084CF5"/>
    <w:rsid w:val="00084D08"/>
    <w:rsid w:val="00084E39"/>
    <w:rsid w:val="0008503A"/>
    <w:rsid w:val="00085091"/>
    <w:rsid w:val="0008511B"/>
    <w:rsid w:val="00085197"/>
    <w:rsid w:val="000851E2"/>
    <w:rsid w:val="00085203"/>
    <w:rsid w:val="00085220"/>
    <w:rsid w:val="000853F0"/>
    <w:rsid w:val="00085480"/>
    <w:rsid w:val="000854E0"/>
    <w:rsid w:val="0008551B"/>
    <w:rsid w:val="000855DB"/>
    <w:rsid w:val="000856FA"/>
    <w:rsid w:val="00085715"/>
    <w:rsid w:val="0008573D"/>
    <w:rsid w:val="00085906"/>
    <w:rsid w:val="000859D0"/>
    <w:rsid w:val="00085A01"/>
    <w:rsid w:val="00085AA4"/>
    <w:rsid w:val="00085AB8"/>
    <w:rsid w:val="00085B1C"/>
    <w:rsid w:val="00085B22"/>
    <w:rsid w:val="00085BCC"/>
    <w:rsid w:val="00085C40"/>
    <w:rsid w:val="00085C6F"/>
    <w:rsid w:val="00085E0F"/>
    <w:rsid w:val="00085E99"/>
    <w:rsid w:val="00085EB8"/>
    <w:rsid w:val="00086045"/>
    <w:rsid w:val="000860E5"/>
    <w:rsid w:val="0008611D"/>
    <w:rsid w:val="0008619F"/>
    <w:rsid w:val="000862BF"/>
    <w:rsid w:val="00086370"/>
    <w:rsid w:val="000863BC"/>
    <w:rsid w:val="000864BD"/>
    <w:rsid w:val="00086566"/>
    <w:rsid w:val="0008658B"/>
    <w:rsid w:val="00086593"/>
    <w:rsid w:val="000865E0"/>
    <w:rsid w:val="0008668A"/>
    <w:rsid w:val="00086697"/>
    <w:rsid w:val="000866D9"/>
    <w:rsid w:val="00086719"/>
    <w:rsid w:val="0008677C"/>
    <w:rsid w:val="000867BE"/>
    <w:rsid w:val="0008680D"/>
    <w:rsid w:val="00086824"/>
    <w:rsid w:val="00086830"/>
    <w:rsid w:val="0008685B"/>
    <w:rsid w:val="0008694A"/>
    <w:rsid w:val="000869D2"/>
    <w:rsid w:val="00086A0F"/>
    <w:rsid w:val="00086A21"/>
    <w:rsid w:val="00086A4B"/>
    <w:rsid w:val="00086A5B"/>
    <w:rsid w:val="00086A66"/>
    <w:rsid w:val="00086AF0"/>
    <w:rsid w:val="00086B59"/>
    <w:rsid w:val="00086CA2"/>
    <w:rsid w:val="00086E52"/>
    <w:rsid w:val="00086E6F"/>
    <w:rsid w:val="00086EBA"/>
    <w:rsid w:val="00086F23"/>
    <w:rsid w:val="00086F55"/>
    <w:rsid w:val="00086FC0"/>
    <w:rsid w:val="00087098"/>
    <w:rsid w:val="0008713B"/>
    <w:rsid w:val="0008713E"/>
    <w:rsid w:val="00087237"/>
    <w:rsid w:val="00087238"/>
    <w:rsid w:val="000872BE"/>
    <w:rsid w:val="0008744A"/>
    <w:rsid w:val="0008745F"/>
    <w:rsid w:val="000874D7"/>
    <w:rsid w:val="000875F8"/>
    <w:rsid w:val="00087A17"/>
    <w:rsid w:val="00087BC5"/>
    <w:rsid w:val="00087BC8"/>
    <w:rsid w:val="00087BF8"/>
    <w:rsid w:val="00087C60"/>
    <w:rsid w:val="00087C6D"/>
    <w:rsid w:val="00087C72"/>
    <w:rsid w:val="00087DEC"/>
    <w:rsid w:val="00087E8C"/>
    <w:rsid w:val="00087FFC"/>
    <w:rsid w:val="000900C4"/>
    <w:rsid w:val="000900D2"/>
    <w:rsid w:val="0009015D"/>
    <w:rsid w:val="0009017A"/>
    <w:rsid w:val="00090316"/>
    <w:rsid w:val="00090319"/>
    <w:rsid w:val="00090384"/>
    <w:rsid w:val="00090386"/>
    <w:rsid w:val="00090395"/>
    <w:rsid w:val="0009043B"/>
    <w:rsid w:val="00090457"/>
    <w:rsid w:val="0009045E"/>
    <w:rsid w:val="00090504"/>
    <w:rsid w:val="000905AE"/>
    <w:rsid w:val="00090944"/>
    <w:rsid w:val="00090A00"/>
    <w:rsid w:val="00090AC7"/>
    <w:rsid w:val="00090AED"/>
    <w:rsid w:val="00090B2E"/>
    <w:rsid w:val="00090B72"/>
    <w:rsid w:val="00090C61"/>
    <w:rsid w:val="00090CB8"/>
    <w:rsid w:val="00090CF5"/>
    <w:rsid w:val="00090D8D"/>
    <w:rsid w:val="00090E09"/>
    <w:rsid w:val="00090E4E"/>
    <w:rsid w:val="00090E72"/>
    <w:rsid w:val="00090F1A"/>
    <w:rsid w:val="00091015"/>
    <w:rsid w:val="000910B3"/>
    <w:rsid w:val="00091179"/>
    <w:rsid w:val="0009120B"/>
    <w:rsid w:val="000913B9"/>
    <w:rsid w:val="00091466"/>
    <w:rsid w:val="000914BE"/>
    <w:rsid w:val="000914DE"/>
    <w:rsid w:val="000914E3"/>
    <w:rsid w:val="000914F6"/>
    <w:rsid w:val="00091508"/>
    <w:rsid w:val="0009159B"/>
    <w:rsid w:val="000915A7"/>
    <w:rsid w:val="00091672"/>
    <w:rsid w:val="0009169B"/>
    <w:rsid w:val="00091703"/>
    <w:rsid w:val="00091719"/>
    <w:rsid w:val="00091773"/>
    <w:rsid w:val="000917BF"/>
    <w:rsid w:val="0009195A"/>
    <w:rsid w:val="000919FE"/>
    <w:rsid w:val="00091A37"/>
    <w:rsid w:val="00091A54"/>
    <w:rsid w:val="00091AB0"/>
    <w:rsid w:val="00091B17"/>
    <w:rsid w:val="00091B8C"/>
    <w:rsid w:val="00091BC8"/>
    <w:rsid w:val="00091BD9"/>
    <w:rsid w:val="00091C96"/>
    <w:rsid w:val="00091CF0"/>
    <w:rsid w:val="00091F9D"/>
    <w:rsid w:val="00091FCC"/>
    <w:rsid w:val="00092195"/>
    <w:rsid w:val="000922D3"/>
    <w:rsid w:val="00092336"/>
    <w:rsid w:val="00092492"/>
    <w:rsid w:val="00092513"/>
    <w:rsid w:val="00092619"/>
    <w:rsid w:val="00092622"/>
    <w:rsid w:val="00092630"/>
    <w:rsid w:val="0009268E"/>
    <w:rsid w:val="000926B6"/>
    <w:rsid w:val="00092859"/>
    <w:rsid w:val="00092DB4"/>
    <w:rsid w:val="00092E15"/>
    <w:rsid w:val="00092F91"/>
    <w:rsid w:val="00092FB6"/>
    <w:rsid w:val="000933C4"/>
    <w:rsid w:val="0009346E"/>
    <w:rsid w:val="00093555"/>
    <w:rsid w:val="00093649"/>
    <w:rsid w:val="00093685"/>
    <w:rsid w:val="000937C5"/>
    <w:rsid w:val="00093941"/>
    <w:rsid w:val="000939A8"/>
    <w:rsid w:val="000939BC"/>
    <w:rsid w:val="00093A15"/>
    <w:rsid w:val="00093AD9"/>
    <w:rsid w:val="00093B0C"/>
    <w:rsid w:val="00093C69"/>
    <w:rsid w:val="00093D20"/>
    <w:rsid w:val="00093FB0"/>
    <w:rsid w:val="00094048"/>
    <w:rsid w:val="000940BF"/>
    <w:rsid w:val="000940E5"/>
    <w:rsid w:val="000941E6"/>
    <w:rsid w:val="0009426C"/>
    <w:rsid w:val="000942FD"/>
    <w:rsid w:val="00094444"/>
    <w:rsid w:val="000944EF"/>
    <w:rsid w:val="0009451D"/>
    <w:rsid w:val="0009453E"/>
    <w:rsid w:val="00094644"/>
    <w:rsid w:val="000946F4"/>
    <w:rsid w:val="00094749"/>
    <w:rsid w:val="000947E4"/>
    <w:rsid w:val="0009484D"/>
    <w:rsid w:val="00094864"/>
    <w:rsid w:val="000948C4"/>
    <w:rsid w:val="000949F6"/>
    <w:rsid w:val="00094A1F"/>
    <w:rsid w:val="00094A39"/>
    <w:rsid w:val="00094D16"/>
    <w:rsid w:val="00094D2D"/>
    <w:rsid w:val="00094D56"/>
    <w:rsid w:val="00094D5D"/>
    <w:rsid w:val="00094E67"/>
    <w:rsid w:val="00094E6E"/>
    <w:rsid w:val="00094F46"/>
    <w:rsid w:val="00094FF1"/>
    <w:rsid w:val="00095036"/>
    <w:rsid w:val="00095348"/>
    <w:rsid w:val="00095370"/>
    <w:rsid w:val="00095473"/>
    <w:rsid w:val="0009549B"/>
    <w:rsid w:val="00095531"/>
    <w:rsid w:val="00095586"/>
    <w:rsid w:val="000955CA"/>
    <w:rsid w:val="00095608"/>
    <w:rsid w:val="0009561D"/>
    <w:rsid w:val="00095655"/>
    <w:rsid w:val="00095677"/>
    <w:rsid w:val="000957C9"/>
    <w:rsid w:val="000958AC"/>
    <w:rsid w:val="00095AC1"/>
    <w:rsid w:val="00095B51"/>
    <w:rsid w:val="00095BD5"/>
    <w:rsid w:val="00095C75"/>
    <w:rsid w:val="00095C7F"/>
    <w:rsid w:val="00095CB6"/>
    <w:rsid w:val="00095D89"/>
    <w:rsid w:val="00095EEC"/>
    <w:rsid w:val="00095F4E"/>
    <w:rsid w:val="00095FE0"/>
    <w:rsid w:val="00096067"/>
    <w:rsid w:val="00096128"/>
    <w:rsid w:val="00096196"/>
    <w:rsid w:val="000962B6"/>
    <w:rsid w:val="0009630A"/>
    <w:rsid w:val="000963B6"/>
    <w:rsid w:val="000963C1"/>
    <w:rsid w:val="0009651A"/>
    <w:rsid w:val="00096588"/>
    <w:rsid w:val="000966E6"/>
    <w:rsid w:val="00096771"/>
    <w:rsid w:val="0009679E"/>
    <w:rsid w:val="00096858"/>
    <w:rsid w:val="0009687A"/>
    <w:rsid w:val="000968AD"/>
    <w:rsid w:val="000969D1"/>
    <w:rsid w:val="000969E9"/>
    <w:rsid w:val="000969EA"/>
    <w:rsid w:val="000969F6"/>
    <w:rsid w:val="00096AD2"/>
    <w:rsid w:val="00096B6B"/>
    <w:rsid w:val="00096B72"/>
    <w:rsid w:val="00096BA3"/>
    <w:rsid w:val="00096C3C"/>
    <w:rsid w:val="00096CB8"/>
    <w:rsid w:val="00096CD5"/>
    <w:rsid w:val="00096D3B"/>
    <w:rsid w:val="00096D7C"/>
    <w:rsid w:val="00096E27"/>
    <w:rsid w:val="00096E4E"/>
    <w:rsid w:val="00096F6A"/>
    <w:rsid w:val="00096F87"/>
    <w:rsid w:val="00097036"/>
    <w:rsid w:val="000970A6"/>
    <w:rsid w:val="00097171"/>
    <w:rsid w:val="0009717D"/>
    <w:rsid w:val="00097220"/>
    <w:rsid w:val="00097298"/>
    <w:rsid w:val="0009733F"/>
    <w:rsid w:val="000973B3"/>
    <w:rsid w:val="000973BE"/>
    <w:rsid w:val="000973F4"/>
    <w:rsid w:val="0009740C"/>
    <w:rsid w:val="0009747A"/>
    <w:rsid w:val="00097793"/>
    <w:rsid w:val="0009785C"/>
    <w:rsid w:val="0009786E"/>
    <w:rsid w:val="00097875"/>
    <w:rsid w:val="000979F8"/>
    <w:rsid w:val="00097A23"/>
    <w:rsid w:val="00097A59"/>
    <w:rsid w:val="00097B8A"/>
    <w:rsid w:val="00097BF7"/>
    <w:rsid w:val="00097C75"/>
    <w:rsid w:val="00097E13"/>
    <w:rsid w:val="00097E5C"/>
    <w:rsid w:val="00097E6B"/>
    <w:rsid w:val="000A0079"/>
    <w:rsid w:val="000A0104"/>
    <w:rsid w:val="000A014B"/>
    <w:rsid w:val="000A02A7"/>
    <w:rsid w:val="000A034E"/>
    <w:rsid w:val="000A037B"/>
    <w:rsid w:val="000A03C8"/>
    <w:rsid w:val="000A03EB"/>
    <w:rsid w:val="000A0541"/>
    <w:rsid w:val="000A0548"/>
    <w:rsid w:val="000A05CF"/>
    <w:rsid w:val="000A05DA"/>
    <w:rsid w:val="000A0657"/>
    <w:rsid w:val="000A0809"/>
    <w:rsid w:val="000A0863"/>
    <w:rsid w:val="000A090F"/>
    <w:rsid w:val="000A0931"/>
    <w:rsid w:val="000A0981"/>
    <w:rsid w:val="000A09A9"/>
    <w:rsid w:val="000A0A5B"/>
    <w:rsid w:val="000A0ADD"/>
    <w:rsid w:val="000A0B60"/>
    <w:rsid w:val="000A0B94"/>
    <w:rsid w:val="000A0BCB"/>
    <w:rsid w:val="000A0BE8"/>
    <w:rsid w:val="000A0C53"/>
    <w:rsid w:val="000A0CD6"/>
    <w:rsid w:val="000A0D23"/>
    <w:rsid w:val="000A0DD2"/>
    <w:rsid w:val="000A0E26"/>
    <w:rsid w:val="000A0E92"/>
    <w:rsid w:val="000A0F7F"/>
    <w:rsid w:val="000A0FBD"/>
    <w:rsid w:val="000A100B"/>
    <w:rsid w:val="000A1021"/>
    <w:rsid w:val="000A11D8"/>
    <w:rsid w:val="000A1244"/>
    <w:rsid w:val="000A13EA"/>
    <w:rsid w:val="000A1488"/>
    <w:rsid w:val="000A15B3"/>
    <w:rsid w:val="000A1626"/>
    <w:rsid w:val="000A1669"/>
    <w:rsid w:val="000A1744"/>
    <w:rsid w:val="000A180A"/>
    <w:rsid w:val="000A192A"/>
    <w:rsid w:val="000A19C9"/>
    <w:rsid w:val="000A1A2D"/>
    <w:rsid w:val="000A1AF0"/>
    <w:rsid w:val="000A1B50"/>
    <w:rsid w:val="000A1B62"/>
    <w:rsid w:val="000A1BB9"/>
    <w:rsid w:val="000A1CDC"/>
    <w:rsid w:val="000A1E04"/>
    <w:rsid w:val="000A1F66"/>
    <w:rsid w:val="000A1FDD"/>
    <w:rsid w:val="000A2123"/>
    <w:rsid w:val="000A2192"/>
    <w:rsid w:val="000A2206"/>
    <w:rsid w:val="000A2256"/>
    <w:rsid w:val="000A227A"/>
    <w:rsid w:val="000A22A8"/>
    <w:rsid w:val="000A24C2"/>
    <w:rsid w:val="000A2534"/>
    <w:rsid w:val="000A2571"/>
    <w:rsid w:val="000A25D5"/>
    <w:rsid w:val="000A2665"/>
    <w:rsid w:val="000A26A0"/>
    <w:rsid w:val="000A26DE"/>
    <w:rsid w:val="000A2704"/>
    <w:rsid w:val="000A2728"/>
    <w:rsid w:val="000A272C"/>
    <w:rsid w:val="000A2747"/>
    <w:rsid w:val="000A279F"/>
    <w:rsid w:val="000A27A6"/>
    <w:rsid w:val="000A2834"/>
    <w:rsid w:val="000A28C4"/>
    <w:rsid w:val="000A297E"/>
    <w:rsid w:val="000A29A8"/>
    <w:rsid w:val="000A29DF"/>
    <w:rsid w:val="000A2A5D"/>
    <w:rsid w:val="000A2A64"/>
    <w:rsid w:val="000A2B21"/>
    <w:rsid w:val="000A2CBA"/>
    <w:rsid w:val="000A2CCA"/>
    <w:rsid w:val="000A2DA9"/>
    <w:rsid w:val="000A2DCC"/>
    <w:rsid w:val="000A2E13"/>
    <w:rsid w:val="000A2E38"/>
    <w:rsid w:val="000A2F46"/>
    <w:rsid w:val="000A31AE"/>
    <w:rsid w:val="000A3249"/>
    <w:rsid w:val="000A3324"/>
    <w:rsid w:val="000A3458"/>
    <w:rsid w:val="000A3492"/>
    <w:rsid w:val="000A34E7"/>
    <w:rsid w:val="000A34F5"/>
    <w:rsid w:val="000A34FA"/>
    <w:rsid w:val="000A35CD"/>
    <w:rsid w:val="000A36CF"/>
    <w:rsid w:val="000A37C6"/>
    <w:rsid w:val="000A383E"/>
    <w:rsid w:val="000A3863"/>
    <w:rsid w:val="000A3A14"/>
    <w:rsid w:val="000A3A77"/>
    <w:rsid w:val="000A3B78"/>
    <w:rsid w:val="000A3D60"/>
    <w:rsid w:val="000A3DC8"/>
    <w:rsid w:val="000A3EA3"/>
    <w:rsid w:val="000A3F73"/>
    <w:rsid w:val="000A3FD6"/>
    <w:rsid w:val="000A4184"/>
    <w:rsid w:val="000A428F"/>
    <w:rsid w:val="000A439A"/>
    <w:rsid w:val="000A43B4"/>
    <w:rsid w:val="000A451C"/>
    <w:rsid w:val="000A4571"/>
    <w:rsid w:val="000A459D"/>
    <w:rsid w:val="000A4786"/>
    <w:rsid w:val="000A4793"/>
    <w:rsid w:val="000A47FF"/>
    <w:rsid w:val="000A4910"/>
    <w:rsid w:val="000A499B"/>
    <w:rsid w:val="000A4B5A"/>
    <w:rsid w:val="000A4BCB"/>
    <w:rsid w:val="000A4BF5"/>
    <w:rsid w:val="000A4CCB"/>
    <w:rsid w:val="000A4DA3"/>
    <w:rsid w:val="000A5023"/>
    <w:rsid w:val="000A5147"/>
    <w:rsid w:val="000A5178"/>
    <w:rsid w:val="000A5281"/>
    <w:rsid w:val="000A529C"/>
    <w:rsid w:val="000A52A0"/>
    <w:rsid w:val="000A52E7"/>
    <w:rsid w:val="000A5389"/>
    <w:rsid w:val="000A54B7"/>
    <w:rsid w:val="000A56C3"/>
    <w:rsid w:val="000A58C9"/>
    <w:rsid w:val="000A58E8"/>
    <w:rsid w:val="000A598F"/>
    <w:rsid w:val="000A59ED"/>
    <w:rsid w:val="000A5A07"/>
    <w:rsid w:val="000A5B73"/>
    <w:rsid w:val="000A5CB2"/>
    <w:rsid w:val="000A5D95"/>
    <w:rsid w:val="000A5DE5"/>
    <w:rsid w:val="000A5DEA"/>
    <w:rsid w:val="000A6040"/>
    <w:rsid w:val="000A6054"/>
    <w:rsid w:val="000A60AE"/>
    <w:rsid w:val="000A61ED"/>
    <w:rsid w:val="000A620B"/>
    <w:rsid w:val="000A62F6"/>
    <w:rsid w:val="000A642E"/>
    <w:rsid w:val="000A6434"/>
    <w:rsid w:val="000A64D1"/>
    <w:rsid w:val="000A658D"/>
    <w:rsid w:val="000A65C3"/>
    <w:rsid w:val="000A6649"/>
    <w:rsid w:val="000A6767"/>
    <w:rsid w:val="000A6780"/>
    <w:rsid w:val="000A6803"/>
    <w:rsid w:val="000A6837"/>
    <w:rsid w:val="000A6A81"/>
    <w:rsid w:val="000A6B78"/>
    <w:rsid w:val="000A6D1C"/>
    <w:rsid w:val="000A6D52"/>
    <w:rsid w:val="000A6D56"/>
    <w:rsid w:val="000A6EF9"/>
    <w:rsid w:val="000A6FEA"/>
    <w:rsid w:val="000A701F"/>
    <w:rsid w:val="000A702E"/>
    <w:rsid w:val="000A7157"/>
    <w:rsid w:val="000A7229"/>
    <w:rsid w:val="000A7267"/>
    <w:rsid w:val="000A738B"/>
    <w:rsid w:val="000A73C1"/>
    <w:rsid w:val="000A7484"/>
    <w:rsid w:val="000A74D1"/>
    <w:rsid w:val="000A7572"/>
    <w:rsid w:val="000A7631"/>
    <w:rsid w:val="000A789A"/>
    <w:rsid w:val="000A78E2"/>
    <w:rsid w:val="000A7921"/>
    <w:rsid w:val="000A79F6"/>
    <w:rsid w:val="000A7AA9"/>
    <w:rsid w:val="000A7ABD"/>
    <w:rsid w:val="000A7ACE"/>
    <w:rsid w:val="000A7B02"/>
    <w:rsid w:val="000A7CAD"/>
    <w:rsid w:val="000A7D81"/>
    <w:rsid w:val="000A7DC3"/>
    <w:rsid w:val="000A7ED9"/>
    <w:rsid w:val="000A7EE5"/>
    <w:rsid w:val="000B0011"/>
    <w:rsid w:val="000B0020"/>
    <w:rsid w:val="000B008D"/>
    <w:rsid w:val="000B014E"/>
    <w:rsid w:val="000B02F4"/>
    <w:rsid w:val="000B0334"/>
    <w:rsid w:val="000B037B"/>
    <w:rsid w:val="000B03B5"/>
    <w:rsid w:val="000B03FE"/>
    <w:rsid w:val="000B0506"/>
    <w:rsid w:val="000B063A"/>
    <w:rsid w:val="000B06C6"/>
    <w:rsid w:val="000B0715"/>
    <w:rsid w:val="000B072A"/>
    <w:rsid w:val="000B0743"/>
    <w:rsid w:val="000B074F"/>
    <w:rsid w:val="000B087D"/>
    <w:rsid w:val="000B089D"/>
    <w:rsid w:val="000B0A11"/>
    <w:rsid w:val="000B0A78"/>
    <w:rsid w:val="000B0B27"/>
    <w:rsid w:val="000B0B6F"/>
    <w:rsid w:val="000B0B9A"/>
    <w:rsid w:val="000B0C9E"/>
    <w:rsid w:val="000B0CAA"/>
    <w:rsid w:val="000B0CE7"/>
    <w:rsid w:val="000B0D19"/>
    <w:rsid w:val="000B0EA8"/>
    <w:rsid w:val="000B0F51"/>
    <w:rsid w:val="000B0FB0"/>
    <w:rsid w:val="000B0FB7"/>
    <w:rsid w:val="000B0FC3"/>
    <w:rsid w:val="000B0FC5"/>
    <w:rsid w:val="000B101A"/>
    <w:rsid w:val="000B108F"/>
    <w:rsid w:val="000B1136"/>
    <w:rsid w:val="000B115D"/>
    <w:rsid w:val="000B11CB"/>
    <w:rsid w:val="000B120E"/>
    <w:rsid w:val="000B124E"/>
    <w:rsid w:val="000B12AF"/>
    <w:rsid w:val="000B132D"/>
    <w:rsid w:val="000B14F6"/>
    <w:rsid w:val="000B152D"/>
    <w:rsid w:val="000B159B"/>
    <w:rsid w:val="000B177B"/>
    <w:rsid w:val="000B17AF"/>
    <w:rsid w:val="000B199C"/>
    <w:rsid w:val="000B19B8"/>
    <w:rsid w:val="000B19FD"/>
    <w:rsid w:val="000B1A6E"/>
    <w:rsid w:val="000B1B72"/>
    <w:rsid w:val="000B1BFB"/>
    <w:rsid w:val="000B1C01"/>
    <w:rsid w:val="000B1C0B"/>
    <w:rsid w:val="000B1CBD"/>
    <w:rsid w:val="000B1CC9"/>
    <w:rsid w:val="000B1D13"/>
    <w:rsid w:val="000B1D1A"/>
    <w:rsid w:val="000B1D5A"/>
    <w:rsid w:val="000B1EB8"/>
    <w:rsid w:val="000B1F47"/>
    <w:rsid w:val="000B1F49"/>
    <w:rsid w:val="000B1FA1"/>
    <w:rsid w:val="000B200E"/>
    <w:rsid w:val="000B202F"/>
    <w:rsid w:val="000B205A"/>
    <w:rsid w:val="000B2140"/>
    <w:rsid w:val="000B21EB"/>
    <w:rsid w:val="000B2225"/>
    <w:rsid w:val="000B2245"/>
    <w:rsid w:val="000B2290"/>
    <w:rsid w:val="000B236A"/>
    <w:rsid w:val="000B240E"/>
    <w:rsid w:val="000B247C"/>
    <w:rsid w:val="000B2522"/>
    <w:rsid w:val="000B2723"/>
    <w:rsid w:val="000B27A9"/>
    <w:rsid w:val="000B27C4"/>
    <w:rsid w:val="000B27C7"/>
    <w:rsid w:val="000B27D3"/>
    <w:rsid w:val="000B28E1"/>
    <w:rsid w:val="000B297A"/>
    <w:rsid w:val="000B2B0F"/>
    <w:rsid w:val="000B2B15"/>
    <w:rsid w:val="000B2B71"/>
    <w:rsid w:val="000B2BA8"/>
    <w:rsid w:val="000B2BEA"/>
    <w:rsid w:val="000B2CFA"/>
    <w:rsid w:val="000B2D5A"/>
    <w:rsid w:val="000B2FF0"/>
    <w:rsid w:val="000B3011"/>
    <w:rsid w:val="000B30AA"/>
    <w:rsid w:val="000B325E"/>
    <w:rsid w:val="000B3338"/>
    <w:rsid w:val="000B33C9"/>
    <w:rsid w:val="000B3445"/>
    <w:rsid w:val="000B3462"/>
    <w:rsid w:val="000B34AB"/>
    <w:rsid w:val="000B357D"/>
    <w:rsid w:val="000B35B4"/>
    <w:rsid w:val="000B36D6"/>
    <w:rsid w:val="000B36F1"/>
    <w:rsid w:val="000B3846"/>
    <w:rsid w:val="000B3957"/>
    <w:rsid w:val="000B39F7"/>
    <w:rsid w:val="000B3A3D"/>
    <w:rsid w:val="000B3BBC"/>
    <w:rsid w:val="000B3C20"/>
    <w:rsid w:val="000B3F3B"/>
    <w:rsid w:val="000B3F4F"/>
    <w:rsid w:val="000B3FB2"/>
    <w:rsid w:val="000B3FB6"/>
    <w:rsid w:val="000B4002"/>
    <w:rsid w:val="000B400D"/>
    <w:rsid w:val="000B4028"/>
    <w:rsid w:val="000B403F"/>
    <w:rsid w:val="000B4098"/>
    <w:rsid w:val="000B4153"/>
    <w:rsid w:val="000B41A2"/>
    <w:rsid w:val="000B4215"/>
    <w:rsid w:val="000B4322"/>
    <w:rsid w:val="000B4341"/>
    <w:rsid w:val="000B434E"/>
    <w:rsid w:val="000B44E6"/>
    <w:rsid w:val="000B4609"/>
    <w:rsid w:val="000B465E"/>
    <w:rsid w:val="000B4713"/>
    <w:rsid w:val="000B4722"/>
    <w:rsid w:val="000B476D"/>
    <w:rsid w:val="000B48B1"/>
    <w:rsid w:val="000B498D"/>
    <w:rsid w:val="000B4A05"/>
    <w:rsid w:val="000B4A3D"/>
    <w:rsid w:val="000B4BAD"/>
    <w:rsid w:val="000B4BF2"/>
    <w:rsid w:val="000B4C59"/>
    <w:rsid w:val="000B4D5A"/>
    <w:rsid w:val="000B4DA9"/>
    <w:rsid w:val="000B4E36"/>
    <w:rsid w:val="000B4E6D"/>
    <w:rsid w:val="000B4EC2"/>
    <w:rsid w:val="000B4F30"/>
    <w:rsid w:val="000B4F4C"/>
    <w:rsid w:val="000B4F87"/>
    <w:rsid w:val="000B50DA"/>
    <w:rsid w:val="000B51B9"/>
    <w:rsid w:val="000B5326"/>
    <w:rsid w:val="000B54C5"/>
    <w:rsid w:val="000B5552"/>
    <w:rsid w:val="000B5588"/>
    <w:rsid w:val="000B561B"/>
    <w:rsid w:val="000B5623"/>
    <w:rsid w:val="000B5647"/>
    <w:rsid w:val="000B56FF"/>
    <w:rsid w:val="000B5741"/>
    <w:rsid w:val="000B5807"/>
    <w:rsid w:val="000B580A"/>
    <w:rsid w:val="000B5855"/>
    <w:rsid w:val="000B587F"/>
    <w:rsid w:val="000B594A"/>
    <w:rsid w:val="000B5A01"/>
    <w:rsid w:val="000B5A86"/>
    <w:rsid w:val="000B5ABE"/>
    <w:rsid w:val="000B5B2A"/>
    <w:rsid w:val="000B5B76"/>
    <w:rsid w:val="000B5C14"/>
    <w:rsid w:val="000B5C55"/>
    <w:rsid w:val="000B5C79"/>
    <w:rsid w:val="000B5C7C"/>
    <w:rsid w:val="000B5D91"/>
    <w:rsid w:val="000B5E4F"/>
    <w:rsid w:val="000B5F58"/>
    <w:rsid w:val="000B5FC8"/>
    <w:rsid w:val="000B601D"/>
    <w:rsid w:val="000B601F"/>
    <w:rsid w:val="000B60BD"/>
    <w:rsid w:val="000B60CD"/>
    <w:rsid w:val="000B60F2"/>
    <w:rsid w:val="000B6175"/>
    <w:rsid w:val="000B619C"/>
    <w:rsid w:val="000B629E"/>
    <w:rsid w:val="000B62AF"/>
    <w:rsid w:val="000B634A"/>
    <w:rsid w:val="000B638C"/>
    <w:rsid w:val="000B63A2"/>
    <w:rsid w:val="000B63AC"/>
    <w:rsid w:val="000B6432"/>
    <w:rsid w:val="000B654A"/>
    <w:rsid w:val="000B6611"/>
    <w:rsid w:val="000B6649"/>
    <w:rsid w:val="000B678E"/>
    <w:rsid w:val="000B6868"/>
    <w:rsid w:val="000B68CF"/>
    <w:rsid w:val="000B6991"/>
    <w:rsid w:val="000B69A3"/>
    <w:rsid w:val="000B6A45"/>
    <w:rsid w:val="000B6ADE"/>
    <w:rsid w:val="000B6AE3"/>
    <w:rsid w:val="000B6B37"/>
    <w:rsid w:val="000B6BD4"/>
    <w:rsid w:val="000B6BED"/>
    <w:rsid w:val="000B6C46"/>
    <w:rsid w:val="000B6C6E"/>
    <w:rsid w:val="000B6C7E"/>
    <w:rsid w:val="000B6CAD"/>
    <w:rsid w:val="000B6CCA"/>
    <w:rsid w:val="000B6D40"/>
    <w:rsid w:val="000B6E29"/>
    <w:rsid w:val="000B6ED2"/>
    <w:rsid w:val="000B6F96"/>
    <w:rsid w:val="000B70F6"/>
    <w:rsid w:val="000B719D"/>
    <w:rsid w:val="000B72B1"/>
    <w:rsid w:val="000B733D"/>
    <w:rsid w:val="000B73EE"/>
    <w:rsid w:val="000B743F"/>
    <w:rsid w:val="000B7446"/>
    <w:rsid w:val="000B7459"/>
    <w:rsid w:val="000B7486"/>
    <w:rsid w:val="000B7509"/>
    <w:rsid w:val="000B752C"/>
    <w:rsid w:val="000B753E"/>
    <w:rsid w:val="000B754C"/>
    <w:rsid w:val="000B75DB"/>
    <w:rsid w:val="000B765F"/>
    <w:rsid w:val="000B775D"/>
    <w:rsid w:val="000B78D6"/>
    <w:rsid w:val="000B7A7C"/>
    <w:rsid w:val="000B7AE6"/>
    <w:rsid w:val="000B7B5A"/>
    <w:rsid w:val="000B7C8A"/>
    <w:rsid w:val="000B7C9A"/>
    <w:rsid w:val="000B7CB0"/>
    <w:rsid w:val="000B7D00"/>
    <w:rsid w:val="000B7F87"/>
    <w:rsid w:val="000C00A6"/>
    <w:rsid w:val="000C0148"/>
    <w:rsid w:val="000C018C"/>
    <w:rsid w:val="000C0196"/>
    <w:rsid w:val="000C0221"/>
    <w:rsid w:val="000C0260"/>
    <w:rsid w:val="000C02DF"/>
    <w:rsid w:val="000C0371"/>
    <w:rsid w:val="000C03C1"/>
    <w:rsid w:val="000C044F"/>
    <w:rsid w:val="000C0488"/>
    <w:rsid w:val="000C04D2"/>
    <w:rsid w:val="000C05E0"/>
    <w:rsid w:val="000C075B"/>
    <w:rsid w:val="000C0826"/>
    <w:rsid w:val="000C0863"/>
    <w:rsid w:val="000C090C"/>
    <w:rsid w:val="000C09D8"/>
    <w:rsid w:val="000C09EC"/>
    <w:rsid w:val="000C0ADE"/>
    <w:rsid w:val="000C0AF5"/>
    <w:rsid w:val="000C0B17"/>
    <w:rsid w:val="000C0BCD"/>
    <w:rsid w:val="000C0BFE"/>
    <w:rsid w:val="000C0E02"/>
    <w:rsid w:val="000C0E08"/>
    <w:rsid w:val="000C0E3D"/>
    <w:rsid w:val="000C0E9A"/>
    <w:rsid w:val="000C0F85"/>
    <w:rsid w:val="000C0FA3"/>
    <w:rsid w:val="000C102A"/>
    <w:rsid w:val="000C1082"/>
    <w:rsid w:val="000C11CA"/>
    <w:rsid w:val="000C11CC"/>
    <w:rsid w:val="000C12A8"/>
    <w:rsid w:val="000C12B6"/>
    <w:rsid w:val="000C136E"/>
    <w:rsid w:val="000C13BB"/>
    <w:rsid w:val="000C1534"/>
    <w:rsid w:val="000C153D"/>
    <w:rsid w:val="000C154B"/>
    <w:rsid w:val="000C15C6"/>
    <w:rsid w:val="000C15E3"/>
    <w:rsid w:val="000C1618"/>
    <w:rsid w:val="000C1646"/>
    <w:rsid w:val="000C1661"/>
    <w:rsid w:val="000C17E9"/>
    <w:rsid w:val="000C1924"/>
    <w:rsid w:val="000C1932"/>
    <w:rsid w:val="000C1C42"/>
    <w:rsid w:val="000C1C81"/>
    <w:rsid w:val="000C1D73"/>
    <w:rsid w:val="000C1DDC"/>
    <w:rsid w:val="000C1F2C"/>
    <w:rsid w:val="000C1F3A"/>
    <w:rsid w:val="000C1F6E"/>
    <w:rsid w:val="000C1F9C"/>
    <w:rsid w:val="000C20FB"/>
    <w:rsid w:val="000C2150"/>
    <w:rsid w:val="000C2155"/>
    <w:rsid w:val="000C225D"/>
    <w:rsid w:val="000C2400"/>
    <w:rsid w:val="000C2470"/>
    <w:rsid w:val="000C248F"/>
    <w:rsid w:val="000C2490"/>
    <w:rsid w:val="000C255C"/>
    <w:rsid w:val="000C258C"/>
    <w:rsid w:val="000C25C4"/>
    <w:rsid w:val="000C261E"/>
    <w:rsid w:val="000C2653"/>
    <w:rsid w:val="000C2658"/>
    <w:rsid w:val="000C266E"/>
    <w:rsid w:val="000C2819"/>
    <w:rsid w:val="000C28E9"/>
    <w:rsid w:val="000C2963"/>
    <w:rsid w:val="000C2A5A"/>
    <w:rsid w:val="000C2B2C"/>
    <w:rsid w:val="000C2BEB"/>
    <w:rsid w:val="000C2C3B"/>
    <w:rsid w:val="000C2D48"/>
    <w:rsid w:val="000C2D72"/>
    <w:rsid w:val="000C2D83"/>
    <w:rsid w:val="000C2DA5"/>
    <w:rsid w:val="000C2E92"/>
    <w:rsid w:val="000C2E9B"/>
    <w:rsid w:val="000C3011"/>
    <w:rsid w:val="000C301F"/>
    <w:rsid w:val="000C310E"/>
    <w:rsid w:val="000C311E"/>
    <w:rsid w:val="000C31EB"/>
    <w:rsid w:val="000C338C"/>
    <w:rsid w:val="000C33FB"/>
    <w:rsid w:val="000C383C"/>
    <w:rsid w:val="000C3840"/>
    <w:rsid w:val="000C3852"/>
    <w:rsid w:val="000C397D"/>
    <w:rsid w:val="000C3984"/>
    <w:rsid w:val="000C39AB"/>
    <w:rsid w:val="000C3A81"/>
    <w:rsid w:val="000C3B00"/>
    <w:rsid w:val="000C3BA3"/>
    <w:rsid w:val="000C3C8D"/>
    <w:rsid w:val="000C3D84"/>
    <w:rsid w:val="000C3E49"/>
    <w:rsid w:val="000C3E62"/>
    <w:rsid w:val="000C3E76"/>
    <w:rsid w:val="000C3F24"/>
    <w:rsid w:val="000C3FF8"/>
    <w:rsid w:val="000C40F9"/>
    <w:rsid w:val="000C4456"/>
    <w:rsid w:val="000C45EF"/>
    <w:rsid w:val="000C462C"/>
    <w:rsid w:val="000C464F"/>
    <w:rsid w:val="000C46A1"/>
    <w:rsid w:val="000C46A4"/>
    <w:rsid w:val="000C4802"/>
    <w:rsid w:val="000C48B6"/>
    <w:rsid w:val="000C48CB"/>
    <w:rsid w:val="000C4942"/>
    <w:rsid w:val="000C4978"/>
    <w:rsid w:val="000C499D"/>
    <w:rsid w:val="000C4AEB"/>
    <w:rsid w:val="000C4B6B"/>
    <w:rsid w:val="000C4BB4"/>
    <w:rsid w:val="000C4C20"/>
    <w:rsid w:val="000C4CA4"/>
    <w:rsid w:val="000C4E0B"/>
    <w:rsid w:val="000C4E27"/>
    <w:rsid w:val="000C4E48"/>
    <w:rsid w:val="000C4F3C"/>
    <w:rsid w:val="000C4F42"/>
    <w:rsid w:val="000C4F90"/>
    <w:rsid w:val="000C4F95"/>
    <w:rsid w:val="000C4FA4"/>
    <w:rsid w:val="000C5067"/>
    <w:rsid w:val="000C51CC"/>
    <w:rsid w:val="000C522C"/>
    <w:rsid w:val="000C5230"/>
    <w:rsid w:val="000C5258"/>
    <w:rsid w:val="000C5287"/>
    <w:rsid w:val="000C529C"/>
    <w:rsid w:val="000C537F"/>
    <w:rsid w:val="000C53AF"/>
    <w:rsid w:val="000C5485"/>
    <w:rsid w:val="000C55D5"/>
    <w:rsid w:val="000C564A"/>
    <w:rsid w:val="000C567E"/>
    <w:rsid w:val="000C56F5"/>
    <w:rsid w:val="000C56FE"/>
    <w:rsid w:val="000C573E"/>
    <w:rsid w:val="000C578A"/>
    <w:rsid w:val="000C5907"/>
    <w:rsid w:val="000C59E6"/>
    <w:rsid w:val="000C5A25"/>
    <w:rsid w:val="000C5B7D"/>
    <w:rsid w:val="000C5CA1"/>
    <w:rsid w:val="000C5DF6"/>
    <w:rsid w:val="000C5F7F"/>
    <w:rsid w:val="000C6016"/>
    <w:rsid w:val="000C609C"/>
    <w:rsid w:val="000C625B"/>
    <w:rsid w:val="000C633B"/>
    <w:rsid w:val="000C637E"/>
    <w:rsid w:val="000C638C"/>
    <w:rsid w:val="000C63FA"/>
    <w:rsid w:val="000C6416"/>
    <w:rsid w:val="000C6486"/>
    <w:rsid w:val="000C6497"/>
    <w:rsid w:val="000C64DF"/>
    <w:rsid w:val="000C6504"/>
    <w:rsid w:val="000C653D"/>
    <w:rsid w:val="000C6677"/>
    <w:rsid w:val="000C672D"/>
    <w:rsid w:val="000C67DD"/>
    <w:rsid w:val="000C6849"/>
    <w:rsid w:val="000C694F"/>
    <w:rsid w:val="000C6955"/>
    <w:rsid w:val="000C6A65"/>
    <w:rsid w:val="000C6AC2"/>
    <w:rsid w:val="000C6B05"/>
    <w:rsid w:val="000C6B1C"/>
    <w:rsid w:val="000C6B38"/>
    <w:rsid w:val="000C6B82"/>
    <w:rsid w:val="000C6BE6"/>
    <w:rsid w:val="000C6C19"/>
    <w:rsid w:val="000C6C52"/>
    <w:rsid w:val="000C6CAB"/>
    <w:rsid w:val="000C6CAC"/>
    <w:rsid w:val="000C6DF8"/>
    <w:rsid w:val="000C6E7E"/>
    <w:rsid w:val="000C6EAA"/>
    <w:rsid w:val="000C6EC4"/>
    <w:rsid w:val="000C6ED5"/>
    <w:rsid w:val="000C6EE8"/>
    <w:rsid w:val="000C704B"/>
    <w:rsid w:val="000C708B"/>
    <w:rsid w:val="000C722D"/>
    <w:rsid w:val="000C739D"/>
    <w:rsid w:val="000C74CD"/>
    <w:rsid w:val="000C7506"/>
    <w:rsid w:val="000C758E"/>
    <w:rsid w:val="000C75A9"/>
    <w:rsid w:val="000C761D"/>
    <w:rsid w:val="000C7630"/>
    <w:rsid w:val="000C7671"/>
    <w:rsid w:val="000C77AC"/>
    <w:rsid w:val="000C7803"/>
    <w:rsid w:val="000C78B7"/>
    <w:rsid w:val="000C78BF"/>
    <w:rsid w:val="000C78C4"/>
    <w:rsid w:val="000C79D8"/>
    <w:rsid w:val="000C7A77"/>
    <w:rsid w:val="000C7ABF"/>
    <w:rsid w:val="000C7AF2"/>
    <w:rsid w:val="000C7B1C"/>
    <w:rsid w:val="000C7B5D"/>
    <w:rsid w:val="000C7CC7"/>
    <w:rsid w:val="000C7CE5"/>
    <w:rsid w:val="000C7DF3"/>
    <w:rsid w:val="000C7E47"/>
    <w:rsid w:val="000C7EC1"/>
    <w:rsid w:val="000C7F8F"/>
    <w:rsid w:val="000D0081"/>
    <w:rsid w:val="000D0092"/>
    <w:rsid w:val="000D01A2"/>
    <w:rsid w:val="000D01AF"/>
    <w:rsid w:val="000D0221"/>
    <w:rsid w:val="000D02C0"/>
    <w:rsid w:val="000D061A"/>
    <w:rsid w:val="000D0762"/>
    <w:rsid w:val="000D077C"/>
    <w:rsid w:val="000D0836"/>
    <w:rsid w:val="000D093E"/>
    <w:rsid w:val="000D0982"/>
    <w:rsid w:val="000D0A21"/>
    <w:rsid w:val="000D0AD2"/>
    <w:rsid w:val="000D0BF3"/>
    <w:rsid w:val="000D0C68"/>
    <w:rsid w:val="000D0D8F"/>
    <w:rsid w:val="000D0E4F"/>
    <w:rsid w:val="000D0E5D"/>
    <w:rsid w:val="000D0E72"/>
    <w:rsid w:val="000D0F0D"/>
    <w:rsid w:val="000D0F6B"/>
    <w:rsid w:val="000D0FFA"/>
    <w:rsid w:val="000D0FFC"/>
    <w:rsid w:val="000D101C"/>
    <w:rsid w:val="000D11A7"/>
    <w:rsid w:val="000D12C0"/>
    <w:rsid w:val="000D12E8"/>
    <w:rsid w:val="000D12F7"/>
    <w:rsid w:val="000D1324"/>
    <w:rsid w:val="000D145A"/>
    <w:rsid w:val="000D1477"/>
    <w:rsid w:val="000D1519"/>
    <w:rsid w:val="000D15C8"/>
    <w:rsid w:val="000D1630"/>
    <w:rsid w:val="000D1633"/>
    <w:rsid w:val="000D16B3"/>
    <w:rsid w:val="000D16CA"/>
    <w:rsid w:val="000D1789"/>
    <w:rsid w:val="000D17EC"/>
    <w:rsid w:val="000D17EE"/>
    <w:rsid w:val="000D19F9"/>
    <w:rsid w:val="000D1A53"/>
    <w:rsid w:val="000D1AB8"/>
    <w:rsid w:val="000D1BA2"/>
    <w:rsid w:val="000D1E44"/>
    <w:rsid w:val="000D1F5C"/>
    <w:rsid w:val="000D1F60"/>
    <w:rsid w:val="000D1FFA"/>
    <w:rsid w:val="000D1FFC"/>
    <w:rsid w:val="000D20A7"/>
    <w:rsid w:val="000D212B"/>
    <w:rsid w:val="000D213A"/>
    <w:rsid w:val="000D2235"/>
    <w:rsid w:val="000D238E"/>
    <w:rsid w:val="000D2529"/>
    <w:rsid w:val="000D258B"/>
    <w:rsid w:val="000D25BB"/>
    <w:rsid w:val="000D25D3"/>
    <w:rsid w:val="000D2602"/>
    <w:rsid w:val="000D2651"/>
    <w:rsid w:val="000D2675"/>
    <w:rsid w:val="000D26C8"/>
    <w:rsid w:val="000D2768"/>
    <w:rsid w:val="000D27F5"/>
    <w:rsid w:val="000D291F"/>
    <w:rsid w:val="000D2974"/>
    <w:rsid w:val="000D2A04"/>
    <w:rsid w:val="000D2AA3"/>
    <w:rsid w:val="000D2CCA"/>
    <w:rsid w:val="000D2DBC"/>
    <w:rsid w:val="000D2DE2"/>
    <w:rsid w:val="000D2E4F"/>
    <w:rsid w:val="000D3005"/>
    <w:rsid w:val="000D3372"/>
    <w:rsid w:val="000D345E"/>
    <w:rsid w:val="000D34AB"/>
    <w:rsid w:val="000D34CD"/>
    <w:rsid w:val="000D3510"/>
    <w:rsid w:val="000D35A3"/>
    <w:rsid w:val="000D35CF"/>
    <w:rsid w:val="000D363C"/>
    <w:rsid w:val="000D36C3"/>
    <w:rsid w:val="000D373F"/>
    <w:rsid w:val="000D3781"/>
    <w:rsid w:val="000D3789"/>
    <w:rsid w:val="000D3815"/>
    <w:rsid w:val="000D38AC"/>
    <w:rsid w:val="000D39BF"/>
    <w:rsid w:val="000D3A23"/>
    <w:rsid w:val="000D3A6D"/>
    <w:rsid w:val="000D3AE8"/>
    <w:rsid w:val="000D3B32"/>
    <w:rsid w:val="000D3B55"/>
    <w:rsid w:val="000D3F2F"/>
    <w:rsid w:val="000D3FDC"/>
    <w:rsid w:val="000D408B"/>
    <w:rsid w:val="000D40A3"/>
    <w:rsid w:val="000D4185"/>
    <w:rsid w:val="000D42D0"/>
    <w:rsid w:val="000D4374"/>
    <w:rsid w:val="000D4554"/>
    <w:rsid w:val="000D458F"/>
    <w:rsid w:val="000D45F0"/>
    <w:rsid w:val="000D460E"/>
    <w:rsid w:val="000D4622"/>
    <w:rsid w:val="000D469C"/>
    <w:rsid w:val="000D47E4"/>
    <w:rsid w:val="000D47ED"/>
    <w:rsid w:val="000D4816"/>
    <w:rsid w:val="000D4837"/>
    <w:rsid w:val="000D4947"/>
    <w:rsid w:val="000D4964"/>
    <w:rsid w:val="000D4A45"/>
    <w:rsid w:val="000D4A85"/>
    <w:rsid w:val="000D4A96"/>
    <w:rsid w:val="000D4AAD"/>
    <w:rsid w:val="000D4B7F"/>
    <w:rsid w:val="000D4BB1"/>
    <w:rsid w:val="000D4CDB"/>
    <w:rsid w:val="000D4D18"/>
    <w:rsid w:val="000D4DAD"/>
    <w:rsid w:val="000D4DCD"/>
    <w:rsid w:val="000D4EE0"/>
    <w:rsid w:val="000D4F07"/>
    <w:rsid w:val="000D4FA0"/>
    <w:rsid w:val="000D50D5"/>
    <w:rsid w:val="000D5137"/>
    <w:rsid w:val="000D5190"/>
    <w:rsid w:val="000D51FC"/>
    <w:rsid w:val="000D5221"/>
    <w:rsid w:val="000D5231"/>
    <w:rsid w:val="000D52A3"/>
    <w:rsid w:val="000D52F2"/>
    <w:rsid w:val="000D5433"/>
    <w:rsid w:val="000D5518"/>
    <w:rsid w:val="000D5525"/>
    <w:rsid w:val="000D560B"/>
    <w:rsid w:val="000D56BA"/>
    <w:rsid w:val="000D56C4"/>
    <w:rsid w:val="000D56EB"/>
    <w:rsid w:val="000D5955"/>
    <w:rsid w:val="000D59A7"/>
    <w:rsid w:val="000D5A12"/>
    <w:rsid w:val="000D5AD2"/>
    <w:rsid w:val="000D5B39"/>
    <w:rsid w:val="000D5B57"/>
    <w:rsid w:val="000D5C83"/>
    <w:rsid w:val="000D5CE2"/>
    <w:rsid w:val="000D5D1E"/>
    <w:rsid w:val="000D5D7C"/>
    <w:rsid w:val="000D5E33"/>
    <w:rsid w:val="000D5E96"/>
    <w:rsid w:val="000D5FCB"/>
    <w:rsid w:val="000D6199"/>
    <w:rsid w:val="000D61CA"/>
    <w:rsid w:val="000D6215"/>
    <w:rsid w:val="000D6302"/>
    <w:rsid w:val="000D6349"/>
    <w:rsid w:val="000D6363"/>
    <w:rsid w:val="000D636E"/>
    <w:rsid w:val="000D6559"/>
    <w:rsid w:val="000D6698"/>
    <w:rsid w:val="000D672C"/>
    <w:rsid w:val="000D677B"/>
    <w:rsid w:val="000D68CB"/>
    <w:rsid w:val="000D68D4"/>
    <w:rsid w:val="000D69FD"/>
    <w:rsid w:val="000D6A0E"/>
    <w:rsid w:val="000D6A53"/>
    <w:rsid w:val="000D6AE8"/>
    <w:rsid w:val="000D6B24"/>
    <w:rsid w:val="000D6BAE"/>
    <w:rsid w:val="000D6C2F"/>
    <w:rsid w:val="000D6CE8"/>
    <w:rsid w:val="000D6CF1"/>
    <w:rsid w:val="000D6D37"/>
    <w:rsid w:val="000D6D47"/>
    <w:rsid w:val="000D6D50"/>
    <w:rsid w:val="000D6DB6"/>
    <w:rsid w:val="000D6DD6"/>
    <w:rsid w:val="000D6DF2"/>
    <w:rsid w:val="000D6EE7"/>
    <w:rsid w:val="000D6F3D"/>
    <w:rsid w:val="000D6F7C"/>
    <w:rsid w:val="000D6F83"/>
    <w:rsid w:val="000D6FE0"/>
    <w:rsid w:val="000D708F"/>
    <w:rsid w:val="000D710A"/>
    <w:rsid w:val="000D71AE"/>
    <w:rsid w:val="000D727E"/>
    <w:rsid w:val="000D7306"/>
    <w:rsid w:val="000D73B4"/>
    <w:rsid w:val="000D73ED"/>
    <w:rsid w:val="000D7480"/>
    <w:rsid w:val="000D7529"/>
    <w:rsid w:val="000D75D2"/>
    <w:rsid w:val="000D75F6"/>
    <w:rsid w:val="000D75FE"/>
    <w:rsid w:val="000D7603"/>
    <w:rsid w:val="000D777A"/>
    <w:rsid w:val="000D7809"/>
    <w:rsid w:val="000D7853"/>
    <w:rsid w:val="000D78B6"/>
    <w:rsid w:val="000D790E"/>
    <w:rsid w:val="000D7970"/>
    <w:rsid w:val="000D79FB"/>
    <w:rsid w:val="000D7ACF"/>
    <w:rsid w:val="000D7B17"/>
    <w:rsid w:val="000D7B33"/>
    <w:rsid w:val="000D7B77"/>
    <w:rsid w:val="000D7C15"/>
    <w:rsid w:val="000D7C2D"/>
    <w:rsid w:val="000D7CBD"/>
    <w:rsid w:val="000D7D7A"/>
    <w:rsid w:val="000D7DB9"/>
    <w:rsid w:val="000D7E4B"/>
    <w:rsid w:val="000D7EC8"/>
    <w:rsid w:val="000D7FAB"/>
    <w:rsid w:val="000D7FCF"/>
    <w:rsid w:val="000E00D3"/>
    <w:rsid w:val="000E042F"/>
    <w:rsid w:val="000E04A5"/>
    <w:rsid w:val="000E0554"/>
    <w:rsid w:val="000E0573"/>
    <w:rsid w:val="000E0586"/>
    <w:rsid w:val="000E05C4"/>
    <w:rsid w:val="000E05EE"/>
    <w:rsid w:val="000E067B"/>
    <w:rsid w:val="000E068F"/>
    <w:rsid w:val="000E06D6"/>
    <w:rsid w:val="000E06E4"/>
    <w:rsid w:val="000E076B"/>
    <w:rsid w:val="000E086E"/>
    <w:rsid w:val="000E088B"/>
    <w:rsid w:val="000E0894"/>
    <w:rsid w:val="000E08C4"/>
    <w:rsid w:val="000E08E2"/>
    <w:rsid w:val="000E09E1"/>
    <w:rsid w:val="000E0C13"/>
    <w:rsid w:val="000E0C33"/>
    <w:rsid w:val="000E0CD5"/>
    <w:rsid w:val="000E0CDE"/>
    <w:rsid w:val="000E0CE2"/>
    <w:rsid w:val="000E0DC3"/>
    <w:rsid w:val="000E0DEB"/>
    <w:rsid w:val="000E0E27"/>
    <w:rsid w:val="000E0E54"/>
    <w:rsid w:val="000E0F1C"/>
    <w:rsid w:val="000E0F30"/>
    <w:rsid w:val="000E1085"/>
    <w:rsid w:val="000E11D4"/>
    <w:rsid w:val="000E12EA"/>
    <w:rsid w:val="000E140C"/>
    <w:rsid w:val="000E14B2"/>
    <w:rsid w:val="000E14DB"/>
    <w:rsid w:val="000E1526"/>
    <w:rsid w:val="000E1744"/>
    <w:rsid w:val="000E1747"/>
    <w:rsid w:val="000E17F9"/>
    <w:rsid w:val="000E1800"/>
    <w:rsid w:val="000E1828"/>
    <w:rsid w:val="000E183B"/>
    <w:rsid w:val="000E187F"/>
    <w:rsid w:val="000E18A0"/>
    <w:rsid w:val="000E18A9"/>
    <w:rsid w:val="000E191E"/>
    <w:rsid w:val="000E196D"/>
    <w:rsid w:val="000E19B7"/>
    <w:rsid w:val="000E19DF"/>
    <w:rsid w:val="000E1AA8"/>
    <w:rsid w:val="000E1AF9"/>
    <w:rsid w:val="000E1B80"/>
    <w:rsid w:val="000E1BC2"/>
    <w:rsid w:val="000E1C6C"/>
    <w:rsid w:val="000E1CB6"/>
    <w:rsid w:val="000E1D06"/>
    <w:rsid w:val="000E1D31"/>
    <w:rsid w:val="000E1DCD"/>
    <w:rsid w:val="000E1F41"/>
    <w:rsid w:val="000E1F67"/>
    <w:rsid w:val="000E200D"/>
    <w:rsid w:val="000E2021"/>
    <w:rsid w:val="000E2145"/>
    <w:rsid w:val="000E2198"/>
    <w:rsid w:val="000E21D1"/>
    <w:rsid w:val="000E21D6"/>
    <w:rsid w:val="000E21F0"/>
    <w:rsid w:val="000E224C"/>
    <w:rsid w:val="000E233C"/>
    <w:rsid w:val="000E2356"/>
    <w:rsid w:val="000E2480"/>
    <w:rsid w:val="000E2486"/>
    <w:rsid w:val="000E25E0"/>
    <w:rsid w:val="000E2639"/>
    <w:rsid w:val="000E2647"/>
    <w:rsid w:val="000E2710"/>
    <w:rsid w:val="000E27A4"/>
    <w:rsid w:val="000E280F"/>
    <w:rsid w:val="000E28C2"/>
    <w:rsid w:val="000E2901"/>
    <w:rsid w:val="000E2929"/>
    <w:rsid w:val="000E2A62"/>
    <w:rsid w:val="000E2B2A"/>
    <w:rsid w:val="000E2B9C"/>
    <w:rsid w:val="000E2C30"/>
    <w:rsid w:val="000E2C62"/>
    <w:rsid w:val="000E2CA0"/>
    <w:rsid w:val="000E2CDA"/>
    <w:rsid w:val="000E2E98"/>
    <w:rsid w:val="000E2FFC"/>
    <w:rsid w:val="000E30A7"/>
    <w:rsid w:val="000E3164"/>
    <w:rsid w:val="000E3207"/>
    <w:rsid w:val="000E3278"/>
    <w:rsid w:val="000E334C"/>
    <w:rsid w:val="000E3364"/>
    <w:rsid w:val="000E336F"/>
    <w:rsid w:val="000E33A1"/>
    <w:rsid w:val="000E33AB"/>
    <w:rsid w:val="000E33FD"/>
    <w:rsid w:val="000E34D1"/>
    <w:rsid w:val="000E34E8"/>
    <w:rsid w:val="000E3512"/>
    <w:rsid w:val="000E36E9"/>
    <w:rsid w:val="000E38C3"/>
    <w:rsid w:val="000E391D"/>
    <w:rsid w:val="000E3961"/>
    <w:rsid w:val="000E39C4"/>
    <w:rsid w:val="000E3A2F"/>
    <w:rsid w:val="000E3A8D"/>
    <w:rsid w:val="000E3B1D"/>
    <w:rsid w:val="000E3C2E"/>
    <w:rsid w:val="000E3CCD"/>
    <w:rsid w:val="000E3D6F"/>
    <w:rsid w:val="000E3DBD"/>
    <w:rsid w:val="000E3E44"/>
    <w:rsid w:val="000E3FE7"/>
    <w:rsid w:val="000E410D"/>
    <w:rsid w:val="000E430E"/>
    <w:rsid w:val="000E434D"/>
    <w:rsid w:val="000E4451"/>
    <w:rsid w:val="000E448B"/>
    <w:rsid w:val="000E44CC"/>
    <w:rsid w:val="000E460C"/>
    <w:rsid w:val="000E469E"/>
    <w:rsid w:val="000E46FC"/>
    <w:rsid w:val="000E4711"/>
    <w:rsid w:val="000E47C7"/>
    <w:rsid w:val="000E47D6"/>
    <w:rsid w:val="000E484F"/>
    <w:rsid w:val="000E48C6"/>
    <w:rsid w:val="000E490E"/>
    <w:rsid w:val="000E49C1"/>
    <w:rsid w:val="000E4A6F"/>
    <w:rsid w:val="000E4A82"/>
    <w:rsid w:val="000E4AA1"/>
    <w:rsid w:val="000E4B50"/>
    <w:rsid w:val="000E4CF5"/>
    <w:rsid w:val="000E4D38"/>
    <w:rsid w:val="000E4E6C"/>
    <w:rsid w:val="000E4E83"/>
    <w:rsid w:val="000E4EC4"/>
    <w:rsid w:val="000E4ED0"/>
    <w:rsid w:val="000E4F1A"/>
    <w:rsid w:val="000E4F91"/>
    <w:rsid w:val="000E4FCA"/>
    <w:rsid w:val="000E4FF0"/>
    <w:rsid w:val="000E503D"/>
    <w:rsid w:val="000E508F"/>
    <w:rsid w:val="000E5134"/>
    <w:rsid w:val="000E5137"/>
    <w:rsid w:val="000E5277"/>
    <w:rsid w:val="000E5295"/>
    <w:rsid w:val="000E5395"/>
    <w:rsid w:val="000E53CB"/>
    <w:rsid w:val="000E56C0"/>
    <w:rsid w:val="000E573B"/>
    <w:rsid w:val="000E57E7"/>
    <w:rsid w:val="000E581F"/>
    <w:rsid w:val="000E58B7"/>
    <w:rsid w:val="000E593A"/>
    <w:rsid w:val="000E598A"/>
    <w:rsid w:val="000E5AAE"/>
    <w:rsid w:val="000E5C8C"/>
    <w:rsid w:val="000E5CBC"/>
    <w:rsid w:val="000E5D3A"/>
    <w:rsid w:val="000E5EA1"/>
    <w:rsid w:val="000E5F0C"/>
    <w:rsid w:val="000E5F5D"/>
    <w:rsid w:val="000E5F89"/>
    <w:rsid w:val="000E5FA6"/>
    <w:rsid w:val="000E5FE6"/>
    <w:rsid w:val="000E60A4"/>
    <w:rsid w:val="000E610E"/>
    <w:rsid w:val="000E615D"/>
    <w:rsid w:val="000E6176"/>
    <w:rsid w:val="000E618A"/>
    <w:rsid w:val="000E61EF"/>
    <w:rsid w:val="000E6220"/>
    <w:rsid w:val="000E6263"/>
    <w:rsid w:val="000E6338"/>
    <w:rsid w:val="000E634C"/>
    <w:rsid w:val="000E6411"/>
    <w:rsid w:val="000E6425"/>
    <w:rsid w:val="000E6465"/>
    <w:rsid w:val="000E6485"/>
    <w:rsid w:val="000E659C"/>
    <w:rsid w:val="000E661B"/>
    <w:rsid w:val="000E6659"/>
    <w:rsid w:val="000E666B"/>
    <w:rsid w:val="000E6796"/>
    <w:rsid w:val="000E68C5"/>
    <w:rsid w:val="000E68CE"/>
    <w:rsid w:val="000E68DA"/>
    <w:rsid w:val="000E6965"/>
    <w:rsid w:val="000E6975"/>
    <w:rsid w:val="000E69C2"/>
    <w:rsid w:val="000E6CFA"/>
    <w:rsid w:val="000E6D46"/>
    <w:rsid w:val="000E6D75"/>
    <w:rsid w:val="000E6D7D"/>
    <w:rsid w:val="000E6DF6"/>
    <w:rsid w:val="000E6DF9"/>
    <w:rsid w:val="000E6EAA"/>
    <w:rsid w:val="000E6F2B"/>
    <w:rsid w:val="000E6F3D"/>
    <w:rsid w:val="000E6F71"/>
    <w:rsid w:val="000E7161"/>
    <w:rsid w:val="000E7251"/>
    <w:rsid w:val="000E742F"/>
    <w:rsid w:val="000E75B3"/>
    <w:rsid w:val="000E761C"/>
    <w:rsid w:val="000E76E4"/>
    <w:rsid w:val="000E7875"/>
    <w:rsid w:val="000E79A9"/>
    <w:rsid w:val="000E7B03"/>
    <w:rsid w:val="000E7CD2"/>
    <w:rsid w:val="000E7CEB"/>
    <w:rsid w:val="000E7CFA"/>
    <w:rsid w:val="000E7D58"/>
    <w:rsid w:val="000E7DDC"/>
    <w:rsid w:val="000E7EEB"/>
    <w:rsid w:val="000E7F30"/>
    <w:rsid w:val="000F026E"/>
    <w:rsid w:val="000F03E3"/>
    <w:rsid w:val="000F04F6"/>
    <w:rsid w:val="000F063B"/>
    <w:rsid w:val="000F0790"/>
    <w:rsid w:val="000F07C6"/>
    <w:rsid w:val="000F080C"/>
    <w:rsid w:val="000F0897"/>
    <w:rsid w:val="000F08D8"/>
    <w:rsid w:val="000F09DD"/>
    <w:rsid w:val="000F0AC1"/>
    <w:rsid w:val="000F0ADE"/>
    <w:rsid w:val="000F0B55"/>
    <w:rsid w:val="000F0B63"/>
    <w:rsid w:val="000F0D0A"/>
    <w:rsid w:val="000F0E2B"/>
    <w:rsid w:val="000F10E3"/>
    <w:rsid w:val="000F1226"/>
    <w:rsid w:val="000F1400"/>
    <w:rsid w:val="000F1419"/>
    <w:rsid w:val="000F15F6"/>
    <w:rsid w:val="000F167C"/>
    <w:rsid w:val="000F16D2"/>
    <w:rsid w:val="000F1820"/>
    <w:rsid w:val="000F1877"/>
    <w:rsid w:val="000F1883"/>
    <w:rsid w:val="000F188E"/>
    <w:rsid w:val="000F18FA"/>
    <w:rsid w:val="000F19AA"/>
    <w:rsid w:val="000F1AAC"/>
    <w:rsid w:val="000F1AC4"/>
    <w:rsid w:val="000F1B28"/>
    <w:rsid w:val="000F1B36"/>
    <w:rsid w:val="000F1BFD"/>
    <w:rsid w:val="000F1C61"/>
    <w:rsid w:val="000F1C7B"/>
    <w:rsid w:val="000F1D52"/>
    <w:rsid w:val="000F1FA7"/>
    <w:rsid w:val="000F20C6"/>
    <w:rsid w:val="000F20DF"/>
    <w:rsid w:val="000F20E4"/>
    <w:rsid w:val="000F20E6"/>
    <w:rsid w:val="000F212F"/>
    <w:rsid w:val="000F2199"/>
    <w:rsid w:val="000F21B6"/>
    <w:rsid w:val="000F21BE"/>
    <w:rsid w:val="000F22D4"/>
    <w:rsid w:val="000F234F"/>
    <w:rsid w:val="000F23AD"/>
    <w:rsid w:val="000F2433"/>
    <w:rsid w:val="000F2623"/>
    <w:rsid w:val="000F2700"/>
    <w:rsid w:val="000F28B4"/>
    <w:rsid w:val="000F2913"/>
    <w:rsid w:val="000F2998"/>
    <w:rsid w:val="000F29D6"/>
    <w:rsid w:val="000F29D8"/>
    <w:rsid w:val="000F29E7"/>
    <w:rsid w:val="000F2A09"/>
    <w:rsid w:val="000F2AD7"/>
    <w:rsid w:val="000F2B2C"/>
    <w:rsid w:val="000F2B84"/>
    <w:rsid w:val="000F2C86"/>
    <w:rsid w:val="000F2CBA"/>
    <w:rsid w:val="000F2D22"/>
    <w:rsid w:val="000F2DC8"/>
    <w:rsid w:val="000F2E1A"/>
    <w:rsid w:val="000F2ECA"/>
    <w:rsid w:val="000F2EFD"/>
    <w:rsid w:val="000F2F21"/>
    <w:rsid w:val="000F2F7D"/>
    <w:rsid w:val="000F2FE2"/>
    <w:rsid w:val="000F30A3"/>
    <w:rsid w:val="000F3130"/>
    <w:rsid w:val="000F327C"/>
    <w:rsid w:val="000F32AA"/>
    <w:rsid w:val="000F3360"/>
    <w:rsid w:val="000F3375"/>
    <w:rsid w:val="000F3418"/>
    <w:rsid w:val="000F3430"/>
    <w:rsid w:val="000F3541"/>
    <w:rsid w:val="000F360C"/>
    <w:rsid w:val="000F3771"/>
    <w:rsid w:val="000F3783"/>
    <w:rsid w:val="000F37F1"/>
    <w:rsid w:val="000F383B"/>
    <w:rsid w:val="000F391A"/>
    <w:rsid w:val="000F3950"/>
    <w:rsid w:val="000F3963"/>
    <w:rsid w:val="000F39A0"/>
    <w:rsid w:val="000F39B8"/>
    <w:rsid w:val="000F39D4"/>
    <w:rsid w:val="000F3A27"/>
    <w:rsid w:val="000F3A2C"/>
    <w:rsid w:val="000F3A36"/>
    <w:rsid w:val="000F3AEF"/>
    <w:rsid w:val="000F3BFC"/>
    <w:rsid w:val="000F3C8C"/>
    <w:rsid w:val="000F3D13"/>
    <w:rsid w:val="000F3DC4"/>
    <w:rsid w:val="000F3E0C"/>
    <w:rsid w:val="000F3E30"/>
    <w:rsid w:val="000F3E6A"/>
    <w:rsid w:val="000F3E9A"/>
    <w:rsid w:val="000F3F2A"/>
    <w:rsid w:val="000F4054"/>
    <w:rsid w:val="000F40E3"/>
    <w:rsid w:val="000F4134"/>
    <w:rsid w:val="000F4235"/>
    <w:rsid w:val="000F4301"/>
    <w:rsid w:val="000F43A5"/>
    <w:rsid w:val="000F43D1"/>
    <w:rsid w:val="000F44C0"/>
    <w:rsid w:val="000F4503"/>
    <w:rsid w:val="000F4582"/>
    <w:rsid w:val="000F45BE"/>
    <w:rsid w:val="000F4610"/>
    <w:rsid w:val="000F46F9"/>
    <w:rsid w:val="000F4717"/>
    <w:rsid w:val="000F4816"/>
    <w:rsid w:val="000F4888"/>
    <w:rsid w:val="000F49AE"/>
    <w:rsid w:val="000F49B5"/>
    <w:rsid w:val="000F4A5D"/>
    <w:rsid w:val="000F4A97"/>
    <w:rsid w:val="000F4B4E"/>
    <w:rsid w:val="000F4BE1"/>
    <w:rsid w:val="000F4C20"/>
    <w:rsid w:val="000F4D2B"/>
    <w:rsid w:val="000F5069"/>
    <w:rsid w:val="000F508A"/>
    <w:rsid w:val="000F5145"/>
    <w:rsid w:val="000F5198"/>
    <w:rsid w:val="000F519A"/>
    <w:rsid w:val="000F5339"/>
    <w:rsid w:val="000F5361"/>
    <w:rsid w:val="000F5439"/>
    <w:rsid w:val="000F5472"/>
    <w:rsid w:val="000F5487"/>
    <w:rsid w:val="000F54D4"/>
    <w:rsid w:val="000F567F"/>
    <w:rsid w:val="000F5709"/>
    <w:rsid w:val="000F5750"/>
    <w:rsid w:val="000F5835"/>
    <w:rsid w:val="000F5873"/>
    <w:rsid w:val="000F595D"/>
    <w:rsid w:val="000F5969"/>
    <w:rsid w:val="000F59DB"/>
    <w:rsid w:val="000F5BF1"/>
    <w:rsid w:val="000F5CA6"/>
    <w:rsid w:val="000F5CE0"/>
    <w:rsid w:val="000F5DC0"/>
    <w:rsid w:val="000F5E48"/>
    <w:rsid w:val="000F5E53"/>
    <w:rsid w:val="000F5ED5"/>
    <w:rsid w:val="000F5F20"/>
    <w:rsid w:val="000F5FE6"/>
    <w:rsid w:val="000F608B"/>
    <w:rsid w:val="000F60A2"/>
    <w:rsid w:val="000F6107"/>
    <w:rsid w:val="000F6276"/>
    <w:rsid w:val="000F630D"/>
    <w:rsid w:val="000F6467"/>
    <w:rsid w:val="000F64AF"/>
    <w:rsid w:val="000F64C1"/>
    <w:rsid w:val="000F64E1"/>
    <w:rsid w:val="000F66F7"/>
    <w:rsid w:val="000F68D5"/>
    <w:rsid w:val="000F6944"/>
    <w:rsid w:val="000F6A54"/>
    <w:rsid w:val="000F6AA9"/>
    <w:rsid w:val="000F6AAA"/>
    <w:rsid w:val="000F6AB8"/>
    <w:rsid w:val="000F6B09"/>
    <w:rsid w:val="000F6BAE"/>
    <w:rsid w:val="000F6BE1"/>
    <w:rsid w:val="000F6C68"/>
    <w:rsid w:val="000F6C9B"/>
    <w:rsid w:val="000F6E6F"/>
    <w:rsid w:val="000F6EBD"/>
    <w:rsid w:val="000F6F2B"/>
    <w:rsid w:val="000F7078"/>
    <w:rsid w:val="000F70DD"/>
    <w:rsid w:val="000F70ED"/>
    <w:rsid w:val="000F7147"/>
    <w:rsid w:val="000F727C"/>
    <w:rsid w:val="000F72D1"/>
    <w:rsid w:val="000F7311"/>
    <w:rsid w:val="000F7371"/>
    <w:rsid w:val="000F738C"/>
    <w:rsid w:val="000F742B"/>
    <w:rsid w:val="000F7448"/>
    <w:rsid w:val="000F74B4"/>
    <w:rsid w:val="000F7628"/>
    <w:rsid w:val="000F76FC"/>
    <w:rsid w:val="000F7700"/>
    <w:rsid w:val="000F7720"/>
    <w:rsid w:val="000F777C"/>
    <w:rsid w:val="000F77A3"/>
    <w:rsid w:val="000F790D"/>
    <w:rsid w:val="000F796C"/>
    <w:rsid w:val="000F798B"/>
    <w:rsid w:val="000F7A96"/>
    <w:rsid w:val="000F7AB8"/>
    <w:rsid w:val="000F7B58"/>
    <w:rsid w:val="000F7C5B"/>
    <w:rsid w:val="000F7C6B"/>
    <w:rsid w:val="000F7EDC"/>
    <w:rsid w:val="000F7F91"/>
    <w:rsid w:val="00100044"/>
    <w:rsid w:val="00100089"/>
    <w:rsid w:val="001000A7"/>
    <w:rsid w:val="00100130"/>
    <w:rsid w:val="0010018C"/>
    <w:rsid w:val="0010026E"/>
    <w:rsid w:val="001002A8"/>
    <w:rsid w:val="00100467"/>
    <w:rsid w:val="0010051B"/>
    <w:rsid w:val="00100539"/>
    <w:rsid w:val="00100672"/>
    <w:rsid w:val="00100674"/>
    <w:rsid w:val="0010067F"/>
    <w:rsid w:val="001006CC"/>
    <w:rsid w:val="001006EA"/>
    <w:rsid w:val="001007D5"/>
    <w:rsid w:val="001007F3"/>
    <w:rsid w:val="00100826"/>
    <w:rsid w:val="00100A0B"/>
    <w:rsid w:val="00100A37"/>
    <w:rsid w:val="00100B4D"/>
    <w:rsid w:val="00100CB3"/>
    <w:rsid w:val="00100D1F"/>
    <w:rsid w:val="00100D31"/>
    <w:rsid w:val="00100D52"/>
    <w:rsid w:val="00100DF9"/>
    <w:rsid w:val="00100E8F"/>
    <w:rsid w:val="00100EDB"/>
    <w:rsid w:val="00100FCA"/>
    <w:rsid w:val="001010FD"/>
    <w:rsid w:val="00101150"/>
    <w:rsid w:val="00101233"/>
    <w:rsid w:val="0010123C"/>
    <w:rsid w:val="00101240"/>
    <w:rsid w:val="001012EF"/>
    <w:rsid w:val="001013B3"/>
    <w:rsid w:val="001013F5"/>
    <w:rsid w:val="00101497"/>
    <w:rsid w:val="0010149D"/>
    <w:rsid w:val="001014CC"/>
    <w:rsid w:val="0010156A"/>
    <w:rsid w:val="0010162A"/>
    <w:rsid w:val="001016B6"/>
    <w:rsid w:val="0010172F"/>
    <w:rsid w:val="00101780"/>
    <w:rsid w:val="00101819"/>
    <w:rsid w:val="001018FF"/>
    <w:rsid w:val="0010192A"/>
    <w:rsid w:val="00101939"/>
    <w:rsid w:val="001019A0"/>
    <w:rsid w:val="00101AE0"/>
    <w:rsid w:val="00101AEB"/>
    <w:rsid w:val="00101B67"/>
    <w:rsid w:val="00101C31"/>
    <w:rsid w:val="00101CCC"/>
    <w:rsid w:val="00101E46"/>
    <w:rsid w:val="00101F2A"/>
    <w:rsid w:val="0010209E"/>
    <w:rsid w:val="001020FE"/>
    <w:rsid w:val="00102173"/>
    <w:rsid w:val="00102208"/>
    <w:rsid w:val="00102220"/>
    <w:rsid w:val="00102306"/>
    <w:rsid w:val="00102370"/>
    <w:rsid w:val="001023EE"/>
    <w:rsid w:val="00102422"/>
    <w:rsid w:val="0010254C"/>
    <w:rsid w:val="00102701"/>
    <w:rsid w:val="0010276B"/>
    <w:rsid w:val="0010278A"/>
    <w:rsid w:val="001027C1"/>
    <w:rsid w:val="00102802"/>
    <w:rsid w:val="00102936"/>
    <w:rsid w:val="0010299E"/>
    <w:rsid w:val="00102A2B"/>
    <w:rsid w:val="00102AFF"/>
    <w:rsid w:val="00102BD9"/>
    <w:rsid w:val="00102C68"/>
    <w:rsid w:val="00102C6A"/>
    <w:rsid w:val="00102D9B"/>
    <w:rsid w:val="00102E7A"/>
    <w:rsid w:val="00102F2E"/>
    <w:rsid w:val="00102F78"/>
    <w:rsid w:val="00102FAC"/>
    <w:rsid w:val="00103078"/>
    <w:rsid w:val="0010325F"/>
    <w:rsid w:val="00103260"/>
    <w:rsid w:val="0010327A"/>
    <w:rsid w:val="00103294"/>
    <w:rsid w:val="001032E8"/>
    <w:rsid w:val="00103317"/>
    <w:rsid w:val="001033A5"/>
    <w:rsid w:val="0010347A"/>
    <w:rsid w:val="001034D2"/>
    <w:rsid w:val="00103566"/>
    <w:rsid w:val="00103621"/>
    <w:rsid w:val="00103647"/>
    <w:rsid w:val="001036F9"/>
    <w:rsid w:val="00103733"/>
    <w:rsid w:val="001037D0"/>
    <w:rsid w:val="001038BA"/>
    <w:rsid w:val="001038D2"/>
    <w:rsid w:val="001039D3"/>
    <w:rsid w:val="00103A0F"/>
    <w:rsid w:val="00103BE7"/>
    <w:rsid w:val="00103C9F"/>
    <w:rsid w:val="00103CC2"/>
    <w:rsid w:val="00103D09"/>
    <w:rsid w:val="00103DA4"/>
    <w:rsid w:val="00103DF2"/>
    <w:rsid w:val="00103F35"/>
    <w:rsid w:val="00103F5F"/>
    <w:rsid w:val="00103FF5"/>
    <w:rsid w:val="001040DB"/>
    <w:rsid w:val="001041AB"/>
    <w:rsid w:val="001041FD"/>
    <w:rsid w:val="001042B2"/>
    <w:rsid w:val="001042FB"/>
    <w:rsid w:val="00104314"/>
    <w:rsid w:val="0010431C"/>
    <w:rsid w:val="001043C8"/>
    <w:rsid w:val="0010445D"/>
    <w:rsid w:val="001044CA"/>
    <w:rsid w:val="0010451E"/>
    <w:rsid w:val="0010459D"/>
    <w:rsid w:val="001045E4"/>
    <w:rsid w:val="0010460C"/>
    <w:rsid w:val="00104659"/>
    <w:rsid w:val="00104675"/>
    <w:rsid w:val="001046CB"/>
    <w:rsid w:val="001046D2"/>
    <w:rsid w:val="00104749"/>
    <w:rsid w:val="0010492E"/>
    <w:rsid w:val="001049AA"/>
    <w:rsid w:val="00104A1A"/>
    <w:rsid w:val="00104A6F"/>
    <w:rsid w:val="00104A8A"/>
    <w:rsid w:val="00104AFA"/>
    <w:rsid w:val="00104B0E"/>
    <w:rsid w:val="00104C11"/>
    <w:rsid w:val="00104C20"/>
    <w:rsid w:val="00104C6C"/>
    <w:rsid w:val="00104D11"/>
    <w:rsid w:val="00104D53"/>
    <w:rsid w:val="00104D83"/>
    <w:rsid w:val="00104EF0"/>
    <w:rsid w:val="00104FCA"/>
    <w:rsid w:val="00104FEE"/>
    <w:rsid w:val="0010500A"/>
    <w:rsid w:val="00105033"/>
    <w:rsid w:val="00105037"/>
    <w:rsid w:val="00105055"/>
    <w:rsid w:val="001050F5"/>
    <w:rsid w:val="00105170"/>
    <w:rsid w:val="00105247"/>
    <w:rsid w:val="0010531C"/>
    <w:rsid w:val="001053B7"/>
    <w:rsid w:val="001053F8"/>
    <w:rsid w:val="00105509"/>
    <w:rsid w:val="0010558C"/>
    <w:rsid w:val="001055E1"/>
    <w:rsid w:val="0010564F"/>
    <w:rsid w:val="001057F1"/>
    <w:rsid w:val="001059B5"/>
    <w:rsid w:val="001059FC"/>
    <w:rsid w:val="00105A3D"/>
    <w:rsid w:val="00105A53"/>
    <w:rsid w:val="00105B27"/>
    <w:rsid w:val="00105B49"/>
    <w:rsid w:val="00105DA1"/>
    <w:rsid w:val="00105DFE"/>
    <w:rsid w:val="00105E66"/>
    <w:rsid w:val="00105E85"/>
    <w:rsid w:val="00105E8A"/>
    <w:rsid w:val="00105ED9"/>
    <w:rsid w:val="00105F19"/>
    <w:rsid w:val="00105F74"/>
    <w:rsid w:val="001060DA"/>
    <w:rsid w:val="001061C5"/>
    <w:rsid w:val="001061DC"/>
    <w:rsid w:val="001061F9"/>
    <w:rsid w:val="00106311"/>
    <w:rsid w:val="00106387"/>
    <w:rsid w:val="0010647B"/>
    <w:rsid w:val="001064EE"/>
    <w:rsid w:val="00106585"/>
    <w:rsid w:val="001065C0"/>
    <w:rsid w:val="00106667"/>
    <w:rsid w:val="001066C0"/>
    <w:rsid w:val="00106715"/>
    <w:rsid w:val="0010677F"/>
    <w:rsid w:val="001068B4"/>
    <w:rsid w:val="0010696B"/>
    <w:rsid w:val="00106A07"/>
    <w:rsid w:val="00106A14"/>
    <w:rsid w:val="00106B41"/>
    <w:rsid w:val="00106B9A"/>
    <w:rsid w:val="00106CDF"/>
    <w:rsid w:val="00106D58"/>
    <w:rsid w:val="00106D95"/>
    <w:rsid w:val="00106DBB"/>
    <w:rsid w:val="00106E32"/>
    <w:rsid w:val="0010702B"/>
    <w:rsid w:val="001071B2"/>
    <w:rsid w:val="001071E0"/>
    <w:rsid w:val="001072C0"/>
    <w:rsid w:val="001072EF"/>
    <w:rsid w:val="001073F8"/>
    <w:rsid w:val="00107422"/>
    <w:rsid w:val="001074D8"/>
    <w:rsid w:val="001074E0"/>
    <w:rsid w:val="00107633"/>
    <w:rsid w:val="001076B0"/>
    <w:rsid w:val="001076D8"/>
    <w:rsid w:val="001076E4"/>
    <w:rsid w:val="00107751"/>
    <w:rsid w:val="001077EB"/>
    <w:rsid w:val="00107819"/>
    <w:rsid w:val="001078A7"/>
    <w:rsid w:val="001078EB"/>
    <w:rsid w:val="00107A53"/>
    <w:rsid w:val="00107AFF"/>
    <w:rsid w:val="00107B4D"/>
    <w:rsid w:val="00107B88"/>
    <w:rsid w:val="00107C86"/>
    <w:rsid w:val="00107D0F"/>
    <w:rsid w:val="00107D37"/>
    <w:rsid w:val="00107D47"/>
    <w:rsid w:val="00107D5B"/>
    <w:rsid w:val="00107EF4"/>
    <w:rsid w:val="00107F90"/>
    <w:rsid w:val="00107FD3"/>
    <w:rsid w:val="00110045"/>
    <w:rsid w:val="0011008E"/>
    <w:rsid w:val="001100E5"/>
    <w:rsid w:val="0011012E"/>
    <w:rsid w:val="00110139"/>
    <w:rsid w:val="00110161"/>
    <w:rsid w:val="0011017A"/>
    <w:rsid w:val="001101ED"/>
    <w:rsid w:val="001102F1"/>
    <w:rsid w:val="001103DF"/>
    <w:rsid w:val="00110428"/>
    <w:rsid w:val="0011053A"/>
    <w:rsid w:val="001105DF"/>
    <w:rsid w:val="00110659"/>
    <w:rsid w:val="001106A9"/>
    <w:rsid w:val="001106B6"/>
    <w:rsid w:val="0011073D"/>
    <w:rsid w:val="0011076A"/>
    <w:rsid w:val="00110772"/>
    <w:rsid w:val="00110773"/>
    <w:rsid w:val="001107F0"/>
    <w:rsid w:val="001108EA"/>
    <w:rsid w:val="00110996"/>
    <w:rsid w:val="0011099D"/>
    <w:rsid w:val="001109A7"/>
    <w:rsid w:val="00110B61"/>
    <w:rsid w:val="00110BA2"/>
    <w:rsid w:val="00110BFE"/>
    <w:rsid w:val="00110C10"/>
    <w:rsid w:val="00110C8A"/>
    <w:rsid w:val="00110D44"/>
    <w:rsid w:val="00110D52"/>
    <w:rsid w:val="00110DF8"/>
    <w:rsid w:val="00110E62"/>
    <w:rsid w:val="00110EFC"/>
    <w:rsid w:val="00110F06"/>
    <w:rsid w:val="00110FFE"/>
    <w:rsid w:val="001111FA"/>
    <w:rsid w:val="0011120D"/>
    <w:rsid w:val="001112A1"/>
    <w:rsid w:val="00111311"/>
    <w:rsid w:val="00111485"/>
    <w:rsid w:val="001115AC"/>
    <w:rsid w:val="0011161B"/>
    <w:rsid w:val="001117E6"/>
    <w:rsid w:val="0011192C"/>
    <w:rsid w:val="00111958"/>
    <w:rsid w:val="00111989"/>
    <w:rsid w:val="00111B3D"/>
    <w:rsid w:val="00111B80"/>
    <w:rsid w:val="00111BB5"/>
    <w:rsid w:val="00111BD8"/>
    <w:rsid w:val="00111C82"/>
    <w:rsid w:val="00111D2C"/>
    <w:rsid w:val="00111DD3"/>
    <w:rsid w:val="00111DEF"/>
    <w:rsid w:val="00111E7C"/>
    <w:rsid w:val="00111EB1"/>
    <w:rsid w:val="00111EF9"/>
    <w:rsid w:val="00111F18"/>
    <w:rsid w:val="00111F89"/>
    <w:rsid w:val="00112124"/>
    <w:rsid w:val="001121B2"/>
    <w:rsid w:val="00112392"/>
    <w:rsid w:val="0011246C"/>
    <w:rsid w:val="0011247D"/>
    <w:rsid w:val="00112565"/>
    <w:rsid w:val="0011257C"/>
    <w:rsid w:val="001125CC"/>
    <w:rsid w:val="0011266F"/>
    <w:rsid w:val="001126AB"/>
    <w:rsid w:val="0011277A"/>
    <w:rsid w:val="001128F1"/>
    <w:rsid w:val="00112917"/>
    <w:rsid w:val="0011296B"/>
    <w:rsid w:val="001129F0"/>
    <w:rsid w:val="00112A37"/>
    <w:rsid w:val="00112A67"/>
    <w:rsid w:val="00112A96"/>
    <w:rsid w:val="00112AC3"/>
    <w:rsid w:val="00112C98"/>
    <w:rsid w:val="00112D5F"/>
    <w:rsid w:val="00112D95"/>
    <w:rsid w:val="00112D9F"/>
    <w:rsid w:val="00112E28"/>
    <w:rsid w:val="00112EC1"/>
    <w:rsid w:val="001130C8"/>
    <w:rsid w:val="001130CA"/>
    <w:rsid w:val="001130DC"/>
    <w:rsid w:val="001130E9"/>
    <w:rsid w:val="001131AF"/>
    <w:rsid w:val="001131F5"/>
    <w:rsid w:val="001132B0"/>
    <w:rsid w:val="00113378"/>
    <w:rsid w:val="001133C9"/>
    <w:rsid w:val="00113514"/>
    <w:rsid w:val="0011352D"/>
    <w:rsid w:val="001135DE"/>
    <w:rsid w:val="00113637"/>
    <w:rsid w:val="00113680"/>
    <w:rsid w:val="00113733"/>
    <w:rsid w:val="001137A3"/>
    <w:rsid w:val="00113806"/>
    <w:rsid w:val="00113824"/>
    <w:rsid w:val="0011386B"/>
    <w:rsid w:val="001138F3"/>
    <w:rsid w:val="00113A12"/>
    <w:rsid w:val="00113B50"/>
    <w:rsid w:val="00113BD8"/>
    <w:rsid w:val="00113C73"/>
    <w:rsid w:val="00113C74"/>
    <w:rsid w:val="00113CB6"/>
    <w:rsid w:val="00113CC6"/>
    <w:rsid w:val="00113DA9"/>
    <w:rsid w:val="00113E04"/>
    <w:rsid w:val="00113E05"/>
    <w:rsid w:val="00113EA7"/>
    <w:rsid w:val="00113EFA"/>
    <w:rsid w:val="00113F32"/>
    <w:rsid w:val="00113F51"/>
    <w:rsid w:val="00113FCC"/>
    <w:rsid w:val="00114081"/>
    <w:rsid w:val="00114115"/>
    <w:rsid w:val="0011422A"/>
    <w:rsid w:val="001143BD"/>
    <w:rsid w:val="0011450B"/>
    <w:rsid w:val="00114545"/>
    <w:rsid w:val="0011456E"/>
    <w:rsid w:val="00114614"/>
    <w:rsid w:val="001146A2"/>
    <w:rsid w:val="00114769"/>
    <w:rsid w:val="001147C3"/>
    <w:rsid w:val="001147F6"/>
    <w:rsid w:val="001147F9"/>
    <w:rsid w:val="00114841"/>
    <w:rsid w:val="00114863"/>
    <w:rsid w:val="001148C3"/>
    <w:rsid w:val="00114AEA"/>
    <w:rsid w:val="00114AEB"/>
    <w:rsid w:val="00114B8D"/>
    <w:rsid w:val="00114C1E"/>
    <w:rsid w:val="00114C5B"/>
    <w:rsid w:val="00114C6B"/>
    <w:rsid w:val="00114C92"/>
    <w:rsid w:val="00114CB4"/>
    <w:rsid w:val="00114D9B"/>
    <w:rsid w:val="00114DBA"/>
    <w:rsid w:val="00114E1A"/>
    <w:rsid w:val="00114E7D"/>
    <w:rsid w:val="00114EB7"/>
    <w:rsid w:val="00114F8D"/>
    <w:rsid w:val="00114FA4"/>
    <w:rsid w:val="00114FAF"/>
    <w:rsid w:val="001150D8"/>
    <w:rsid w:val="00115248"/>
    <w:rsid w:val="00115259"/>
    <w:rsid w:val="001152C7"/>
    <w:rsid w:val="0011543E"/>
    <w:rsid w:val="001154A0"/>
    <w:rsid w:val="0011550E"/>
    <w:rsid w:val="00115514"/>
    <w:rsid w:val="00115599"/>
    <w:rsid w:val="001155AD"/>
    <w:rsid w:val="001155B9"/>
    <w:rsid w:val="001155D9"/>
    <w:rsid w:val="0011563C"/>
    <w:rsid w:val="00115661"/>
    <w:rsid w:val="0011568E"/>
    <w:rsid w:val="001156BC"/>
    <w:rsid w:val="0011580B"/>
    <w:rsid w:val="0011586A"/>
    <w:rsid w:val="001158A8"/>
    <w:rsid w:val="001158F4"/>
    <w:rsid w:val="001158F6"/>
    <w:rsid w:val="00115904"/>
    <w:rsid w:val="00115A4A"/>
    <w:rsid w:val="00115B1C"/>
    <w:rsid w:val="00115B2A"/>
    <w:rsid w:val="00115B9C"/>
    <w:rsid w:val="00115C39"/>
    <w:rsid w:val="00115CB0"/>
    <w:rsid w:val="00115CB5"/>
    <w:rsid w:val="00115CC0"/>
    <w:rsid w:val="00115DA0"/>
    <w:rsid w:val="00115F2D"/>
    <w:rsid w:val="00115F60"/>
    <w:rsid w:val="00116022"/>
    <w:rsid w:val="001160B1"/>
    <w:rsid w:val="001160C8"/>
    <w:rsid w:val="001160E0"/>
    <w:rsid w:val="00116189"/>
    <w:rsid w:val="0011618A"/>
    <w:rsid w:val="001161A9"/>
    <w:rsid w:val="001161EB"/>
    <w:rsid w:val="00116222"/>
    <w:rsid w:val="001162ED"/>
    <w:rsid w:val="0011630A"/>
    <w:rsid w:val="00116467"/>
    <w:rsid w:val="00116473"/>
    <w:rsid w:val="001164EA"/>
    <w:rsid w:val="00116546"/>
    <w:rsid w:val="00116555"/>
    <w:rsid w:val="0011657A"/>
    <w:rsid w:val="00116589"/>
    <w:rsid w:val="00116616"/>
    <w:rsid w:val="00116721"/>
    <w:rsid w:val="001167C5"/>
    <w:rsid w:val="0011684C"/>
    <w:rsid w:val="001168A1"/>
    <w:rsid w:val="001168F1"/>
    <w:rsid w:val="00116956"/>
    <w:rsid w:val="00116A37"/>
    <w:rsid w:val="00116AC7"/>
    <w:rsid w:val="00116C4B"/>
    <w:rsid w:val="00116C60"/>
    <w:rsid w:val="00116D6C"/>
    <w:rsid w:val="00116DCE"/>
    <w:rsid w:val="00116E18"/>
    <w:rsid w:val="00116E22"/>
    <w:rsid w:val="00116E4B"/>
    <w:rsid w:val="00116E5A"/>
    <w:rsid w:val="00116EFA"/>
    <w:rsid w:val="00116F88"/>
    <w:rsid w:val="00116FD7"/>
    <w:rsid w:val="00117059"/>
    <w:rsid w:val="00117061"/>
    <w:rsid w:val="00117099"/>
    <w:rsid w:val="001170B1"/>
    <w:rsid w:val="001170D6"/>
    <w:rsid w:val="00117126"/>
    <w:rsid w:val="0011720A"/>
    <w:rsid w:val="00117299"/>
    <w:rsid w:val="00117443"/>
    <w:rsid w:val="00117483"/>
    <w:rsid w:val="001174AB"/>
    <w:rsid w:val="001174B1"/>
    <w:rsid w:val="0011756E"/>
    <w:rsid w:val="001175FE"/>
    <w:rsid w:val="0011765A"/>
    <w:rsid w:val="0011766F"/>
    <w:rsid w:val="001176DE"/>
    <w:rsid w:val="00117806"/>
    <w:rsid w:val="00117931"/>
    <w:rsid w:val="001179D6"/>
    <w:rsid w:val="001179DB"/>
    <w:rsid w:val="00117B36"/>
    <w:rsid w:val="00117C03"/>
    <w:rsid w:val="00117C9F"/>
    <w:rsid w:val="00117DE9"/>
    <w:rsid w:val="00117F08"/>
    <w:rsid w:val="00117F32"/>
    <w:rsid w:val="00117F51"/>
    <w:rsid w:val="00120034"/>
    <w:rsid w:val="00120047"/>
    <w:rsid w:val="001200EC"/>
    <w:rsid w:val="001201B5"/>
    <w:rsid w:val="0012023A"/>
    <w:rsid w:val="00120240"/>
    <w:rsid w:val="00120308"/>
    <w:rsid w:val="00120321"/>
    <w:rsid w:val="0012036E"/>
    <w:rsid w:val="00120439"/>
    <w:rsid w:val="001205E2"/>
    <w:rsid w:val="001206F5"/>
    <w:rsid w:val="001208C5"/>
    <w:rsid w:val="001208FF"/>
    <w:rsid w:val="00120985"/>
    <w:rsid w:val="00120994"/>
    <w:rsid w:val="00120BB2"/>
    <w:rsid w:val="00120C51"/>
    <w:rsid w:val="00120CB2"/>
    <w:rsid w:val="00120D51"/>
    <w:rsid w:val="00120D66"/>
    <w:rsid w:val="00120E3E"/>
    <w:rsid w:val="00120EEB"/>
    <w:rsid w:val="00120F2C"/>
    <w:rsid w:val="00121028"/>
    <w:rsid w:val="001210E4"/>
    <w:rsid w:val="001212E7"/>
    <w:rsid w:val="001213D4"/>
    <w:rsid w:val="00121417"/>
    <w:rsid w:val="0012150A"/>
    <w:rsid w:val="00121594"/>
    <w:rsid w:val="001215AA"/>
    <w:rsid w:val="00121751"/>
    <w:rsid w:val="0012185C"/>
    <w:rsid w:val="0012196E"/>
    <w:rsid w:val="001219F0"/>
    <w:rsid w:val="00121AD1"/>
    <w:rsid w:val="00121B2C"/>
    <w:rsid w:val="00121B9C"/>
    <w:rsid w:val="00121BAA"/>
    <w:rsid w:val="00121C2A"/>
    <w:rsid w:val="00121C68"/>
    <w:rsid w:val="00121E8D"/>
    <w:rsid w:val="00121E9E"/>
    <w:rsid w:val="00121F56"/>
    <w:rsid w:val="0012205F"/>
    <w:rsid w:val="0012207F"/>
    <w:rsid w:val="0012211D"/>
    <w:rsid w:val="00122266"/>
    <w:rsid w:val="001222D3"/>
    <w:rsid w:val="001222EA"/>
    <w:rsid w:val="00122488"/>
    <w:rsid w:val="001225D2"/>
    <w:rsid w:val="001225DC"/>
    <w:rsid w:val="001225F6"/>
    <w:rsid w:val="00122674"/>
    <w:rsid w:val="001226E7"/>
    <w:rsid w:val="00122798"/>
    <w:rsid w:val="0012288F"/>
    <w:rsid w:val="00122D3A"/>
    <w:rsid w:val="00122D8D"/>
    <w:rsid w:val="00122D98"/>
    <w:rsid w:val="00122DBD"/>
    <w:rsid w:val="00122E3A"/>
    <w:rsid w:val="00122E3F"/>
    <w:rsid w:val="00122E80"/>
    <w:rsid w:val="00122ED4"/>
    <w:rsid w:val="00122F52"/>
    <w:rsid w:val="00122FBC"/>
    <w:rsid w:val="00123035"/>
    <w:rsid w:val="001230EC"/>
    <w:rsid w:val="0012310B"/>
    <w:rsid w:val="0012311E"/>
    <w:rsid w:val="00123172"/>
    <w:rsid w:val="001231FC"/>
    <w:rsid w:val="00123238"/>
    <w:rsid w:val="001232F9"/>
    <w:rsid w:val="00123325"/>
    <w:rsid w:val="00123343"/>
    <w:rsid w:val="00123486"/>
    <w:rsid w:val="00123499"/>
    <w:rsid w:val="0012349C"/>
    <w:rsid w:val="001235D1"/>
    <w:rsid w:val="001235D9"/>
    <w:rsid w:val="00123681"/>
    <w:rsid w:val="00123757"/>
    <w:rsid w:val="00123793"/>
    <w:rsid w:val="00123898"/>
    <w:rsid w:val="001238A9"/>
    <w:rsid w:val="001238B0"/>
    <w:rsid w:val="001238EB"/>
    <w:rsid w:val="0012394C"/>
    <w:rsid w:val="0012398D"/>
    <w:rsid w:val="00123A9D"/>
    <w:rsid w:val="00123AB6"/>
    <w:rsid w:val="00123B21"/>
    <w:rsid w:val="00123C39"/>
    <w:rsid w:val="00123D00"/>
    <w:rsid w:val="00123DEE"/>
    <w:rsid w:val="00123F18"/>
    <w:rsid w:val="00123F3E"/>
    <w:rsid w:val="00124004"/>
    <w:rsid w:val="00124078"/>
    <w:rsid w:val="0012407F"/>
    <w:rsid w:val="00124082"/>
    <w:rsid w:val="001240B8"/>
    <w:rsid w:val="00124238"/>
    <w:rsid w:val="00124272"/>
    <w:rsid w:val="001242A1"/>
    <w:rsid w:val="00124359"/>
    <w:rsid w:val="0012435D"/>
    <w:rsid w:val="0012435F"/>
    <w:rsid w:val="001243A2"/>
    <w:rsid w:val="001243BC"/>
    <w:rsid w:val="00124409"/>
    <w:rsid w:val="00124462"/>
    <w:rsid w:val="00124488"/>
    <w:rsid w:val="00124561"/>
    <w:rsid w:val="0012460D"/>
    <w:rsid w:val="00124722"/>
    <w:rsid w:val="00124738"/>
    <w:rsid w:val="001248EC"/>
    <w:rsid w:val="001248EF"/>
    <w:rsid w:val="00124960"/>
    <w:rsid w:val="0012496F"/>
    <w:rsid w:val="00124A0F"/>
    <w:rsid w:val="00124A83"/>
    <w:rsid w:val="00124A98"/>
    <w:rsid w:val="00124AAE"/>
    <w:rsid w:val="00124AFD"/>
    <w:rsid w:val="00124B21"/>
    <w:rsid w:val="00124B88"/>
    <w:rsid w:val="00124C55"/>
    <w:rsid w:val="00124D79"/>
    <w:rsid w:val="00124E0F"/>
    <w:rsid w:val="00124EE3"/>
    <w:rsid w:val="00124FA8"/>
    <w:rsid w:val="00125033"/>
    <w:rsid w:val="0012511A"/>
    <w:rsid w:val="00125153"/>
    <w:rsid w:val="00125180"/>
    <w:rsid w:val="001251CC"/>
    <w:rsid w:val="001252EB"/>
    <w:rsid w:val="00125347"/>
    <w:rsid w:val="001253E3"/>
    <w:rsid w:val="001253FC"/>
    <w:rsid w:val="00125406"/>
    <w:rsid w:val="00125424"/>
    <w:rsid w:val="00125463"/>
    <w:rsid w:val="00125475"/>
    <w:rsid w:val="001255E1"/>
    <w:rsid w:val="001256EE"/>
    <w:rsid w:val="00125731"/>
    <w:rsid w:val="001258D4"/>
    <w:rsid w:val="001258FC"/>
    <w:rsid w:val="0012591F"/>
    <w:rsid w:val="00125949"/>
    <w:rsid w:val="00125AC5"/>
    <w:rsid w:val="00125AEA"/>
    <w:rsid w:val="00125B3F"/>
    <w:rsid w:val="00125D3A"/>
    <w:rsid w:val="00125D93"/>
    <w:rsid w:val="00125E26"/>
    <w:rsid w:val="00125F55"/>
    <w:rsid w:val="00125FD6"/>
    <w:rsid w:val="00126019"/>
    <w:rsid w:val="001260B8"/>
    <w:rsid w:val="001260DF"/>
    <w:rsid w:val="0012619E"/>
    <w:rsid w:val="00126264"/>
    <w:rsid w:val="001263B9"/>
    <w:rsid w:val="00126406"/>
    <w:rsid w:val="0012641A"/>
    <w:rsid w:val="0012645F"/>
    <w:rsid w:val="0012649B"/>
    <w:rsid w:val="001264F9"/>
    <w:rsid w:val="00126538"/>
    <w:rsid w:val="00126595"/>
    <w:rsid w:val="00126625"/>
    <w:rsid w:val="00126651"/>
    <w:rsid w:val="001266BE"/>
    <w:rsid w:val="00126781"/>
    <w:rsid w:val="001267F2"/>
    <w:rsid w:val="0012683A"/>
    <w:rsid w:val="00126BD6"/>
    <w:rsid w:val="00126D89"/>
    <w:rsid w:val="00126DB1"/>
    <w:rsid w:val="00126E57"/>
    <w:rsid w:val="00126FB7"/>
    <w:rsid w:val="001270F3"/>
    <w:rsid w:val="0012716A"/>
    <w:rsid w:val="0012717B"/>
    <w:rsid w:val="0012719F"/>
    <w:rsid w:val="00127206"/>
    <w:rsid w:val="0012732D"/>
    <w:rsid w:val="00127341"/>
    <w:rsid w:val="00127358"/>
    <w:rsid w:val="001273AB"/>
    <w:rsid w:val="001273EA"/>
    <w:rsid w:val="0012743F"/>
    <w:rsid w:val="001274BA"/>
    <w:rsid w:val="00127517"/>
    <w:rsid w:val="00127563"/>
    <w:rsid w:val="001275E2"/>
    <w:rsid w:val="001276CC"/>
    <w:rsid w:val="001276DB"/>
    <w:rsid w:val="001276F7"/>
    <w:rsid w:val="001277DF"/>
    <w:rsid w:val="00127854"/>
    <w:rsid w:val="0012799C"/>
    <w:rsid w:val="001279DC"/>
    <w:rsid w:val="00127A0E"/>
    <w:rsid w:val="00127A96"/>
    <w:rsid w:val="00127BB6"/>
    <w:rsid w:val="00127C24"/>
    <w:rsid w:val="00127DDA"/>
    <w:rsid w:val="00127DE6"/>
    <w:rsid w:val="00127DF5"/>
    <w:rsid w:val="00127E6F"/>
    <w:rsid w:val="00127ED4"/>
    <w:rsid w:val="00127F25"/>
    <w:rsid w:val="00127F98"/>
    <w:rsid w:val="0013000E"/>
    <w:rsid w:val="00130031"/>
    <w:rsid w:val="001300E8"/>
    <w:rsid w:val="0013022B"/>
    <w:rsid w:val="00130344"/>
    <w:rsid w:val="001303CE"/>
    <w:rsid w:val="001304D9"/>
    <w:rsid w:val="00130506"/>
    <w:rsid w:val="0013057D"/>
    <w:rsid w:val="001305B3"/>
    <w:rsid w:val="0013065A"/>
    <w:rsid w:val="0013067C"/>
    <w:rsid w:val="0013068B"/>
    <w:rsid w:val="001307D3"/>
    <w:rsid w:val="0013086F"/>
    <w:rsid w:val="00130923"/>
    <w:rsid w:val="00130AD0"/>
    <w:rsid w:val="00130B6A"/>
    <w:rsid w:val="00130C0B"/>
    <w:rsid w:val="00130C13"/>
    <w:rsid w:val="00130C7B"/>
    <w:rsid w:val="00130C83"/>
    <w:rsid w:val="00130C99"/>
    <w:rsid w:val="00130D00"/>
    <w:rsid w:val="00130D22"/>
    <w:rsid w:val="00130D42"/>
    <w:rsid w:val="00130DDA"/>
    <w:rsid w:val="00130E2D"/>
    <w:rsid w:val="00130E61"/>
    <w:rsid w:val="00130E94"/>
    <w:rsid w:val="00130F27"/>
    <w:rsid w:val="00130F2B"/>
    <w:rsid w:val="00130F77"/>
    <w:rsid w:val="00131112"/>
    <w:rsid w:val="0013120A"/>
    <w:rsid w:val="0013124B"/>
    <w:rsid w:val="001312E6"/>
    <w:rsid w:val="00131343"/>
    <w:rsid w:val="001313D1"/>
    <w:rsid w:val="00131458"/>
    <w:rsid w:val="001314D2"/>
    <w:rsid w:val="0013150C"/>
    <w:rsid w:val="001315C2"/>
    <w:rsid w:val="001316DE"/>
    <w:rsid w:val="0013173D"/>
    <w:rsid w:val="00131757"/>
    <w:rsid w:val="00131762"/>
    <w:rsid w:val="00131826"/>
    <w:rsid w:val="00131876"/>
    <w:rsid w:val="00131962"/>
    <w:rsid w:val="0013198A"/>
    <w:rsid w:val="001319AF"/>
    <w:rsid w:val="00131A2E"/>
    <w:rsid w:val="00131B6C"/>
    <w:rsid w:val="00131BE6"/>
    <w:rsid w:val="00131C37"/>
    <w:rsid w:val="00131C7A"/>
    <w:rsid w:val="00131CD8"/>
    <w:rsid w:val="00131CDF"/>
    <w:rsid w:val="00131CF8"/>
    <w:rsid w:val="00131D07"/>
    <w:rsid w:val="00131DA7"/>
    <w:rsid w:val="00131DB9"/>
    <w:rsid w:val="00131DBC"/>
    <w:rsid w:val="00131EAD"/>
    <w:rsid w:val="00131EE3"/>
    <w:rsid w:val="00131F65"/>
    <w:rsid w:val="00132176"/>
    <w:rsid w:val="001321C9"/>
    <w:rsid w:val="001321EB"/>
    <w:rsid w:val="001321FA"/>
    <w:rsid w:val="00132227"/>
    <w:rsid w:val="0013225B"/>
    <w:rsid w:val="0013225F"/>
    <w:rsid w:val="001322FB"/>
    <w:rsid w:val="001324EE"/>
    <w:rsid w:val="0013252C"/>
    <w:rsid w:val="00132536"/>
    <w:rsid w:val="00132590"/>
    <w:rsid w:val="001326DA"/>
    <w:rsid w:val="00132744"/>
    <w:rsid w:val="00132767"/>
    <w:rsid w:val="00132895"/>
    <w:rsid w:val="001328D9"/>
    <w:rsid w:val="001329C0"/>
    <w:rsid w:val="00132A1C"/>
    <w:rsid w:val="00132A60"/>
    <w:rsid w:val="00132AB3"/>
    <w:rsid w:val="00132B8E"/>
    <w:rsid w:val="00132CB2"/>
    <w:rsid w:val="00132DE4"/>
    <w:rsid w:val="00132E9A"/>
    <w:rsid w:val="00132EA2"/>
    <w:rsid w:val="00132EED"/>
    <w:rsid w:val="00132F3A"/>
    <w:rsid w:val="00132F90"/>
    <w:rsid w:val="00132FCD"/>
    <w:rsid w:val="0013314E"/>
    <w:rsid w:val="001331D2"/>
    <w:rsid w:val="0013333B"/>
    <w:rsid w:val="001333DD"/>
    <w:rsid w:val="00133410"/>
    <w:rsid w:val="0013350D"/>
    <w:rsid w:val="00133593"/>
    <w:rsid w:val="00133643"/>
    <w:rsid w:val="0013378E"/>
    <w:rsid w:val="001338E2"/>
    <w:rsid w:val="00133945"/>
    <w:rsid w:val="00133A2C"/>
    <w:rsid w:val="00133A8F"/>
    <w:rsid w:val="00133C15"/>
    <w:rsid w:val="00133D24"/>
    <w:rsid w:val="00133D6D"/>
    <w:rsid w:val="00133DF7"/>
    <w:rsid w:val="00133EEF"/>
    <w:rsid w:val="00133F74"/>
    <w:rsid w:val="00134174"/>
    <w:rsid w:val="001341D9"/>
    <w:rsid w:val="001341F2"/>
    <w:rsid w:val="001341FF"/>
    <w:rsid w:val="001344F2"/>
    <w:rsid w:val="001345AB"/>
    <w:rsid w:val="001345F2"/>
    <w:rsid w:val="00134667"/>
    <w:rsid w:val="00134782"/>
    <w:rsid w:val="00134805"/>
    <w:rsid w:val="0013482F"/>
    <w:rsid w:val="001348EE"/>
    <w:rsid w:val="00134953"/>
    <w:rsid w:val="001349CC"/>
    <w:rsid w:val="00134A1F"/>
    <w:rsid w:val="00134A82"/>
    <w:rsid w:val="00134B28"/>
    <w:rsid w:val="00134CD8"/>
    <w:rsid w:val="00134D44"/>
    <w:rsid w:val="00134DEA"/>
    <w:rsid w:val="00134E16"/>
    <w:rsid w:val="00134EAF"/>
    <w:rsid w:val="00134F0C"/>
    <w:rsid w:val="001350A7"/>
    <w:rsid w:val="001350B8"/>
    <w:rsid w:val="00135301"/>
    <w:rsid w:val="0013585A"/>
    <w:rsid w:val="0013599C"/>
    <w:rsid w:val="00135A71"/>
    <w:rsid w:val="00135AA8"/>
    <w:rsid w:val="00135B95"/>
    <w:rsid w:val="00135BC8"/>
    <w:rsid w:val="00135BDE"/>
    <w:rsid w:val="00135C5B"/>
    <w:rsid w:val="00135C5E"/>
    <w:rsid w:val="00135C9A"/>
    <w:rsid w:val="00135D8C"/>
    <w:rsid w:val="00135D9A"/>
    <w:rsid w:val="00135E67"/>
    <w:rsid w:val="00135EAD"/>
    <w:rsid w:val="00135FA9"/>
    <w:rsid w:val="00135FF3"/>
    <w:rsid w:val="00136028"/>
    <w:rsid w:val="001360CE"/>
    <w:rsid w:val="00136199"/>
    <w:rsid w:val="00136289"/>
    <w:rsid w:val="001364C8"/>
    <w:rsid w:val="00136697"/>
    <w:rsid w:val="00136725"/>
    <w:rsid w:val="0013673D"/>
    <w:rsid w:val="0013674B"/>
    <w:rsid w:val="001367F8"/>
    <w:rsid w:val="0013680F"/>
    <w:rsid w:val="00136859"/>
    <w:rsid w:val="0013688A"/>
    <w:rsid w:val="00136906"/>
    <w:rsid w:val="001369D6"/>
    <w:rsid w:val="00136C68"/>
    <w:rsid w:val="00136CE4"/>
    <w:rsid w:val="00136CEC"/>
    <w:rsid w:val="00136D43"/>
    <w:rsid w:val="00136DD4"/>
    <w:rsid w:val="00136E70"/>
    <w:rsid w:val="00136EC7"/>
    <w:rsid w:val="00136F4A"/>
    <w:rsid w:val="001370F0"/>
    <w:rsid w:val="0013728E"/>
    <w:rsid w:val="001372DB"/>
    <w:rsid w:val="00137451"/>
    <w:rsid w:val="001374A2"/>
    <w:rsid w:val="00137741"/>
    <w:rsid w:val="001377E0"/>
    <w:rsid w:val="00137815"/>
    <w:rsid w:val="001378F0"/>
    <w:rsid w:val="001378F7"/>
    <w:rsid w:val="00137A98"/>
    <w:rsid w:val="00137B44"/>
    <w:rsid w:val="00137BA3"/>
    <w:rsid w:val="00137D8B"/>
    <w:rsid w:val="00137DC7"/>
    <w:rsid w:val="00137DCE"/>
    <w:rsid w:val="00137E47"/>
    <w:rsid w:val="00137E7C"/>
    <w:rsid w:val="00137EBB"/>
    <w:rsid w:val="00137F03"/>
    <w:rsid w:val="00137F37"/>
    <w:rsid w:val="00137F8E"/>
    <w:rsid w:val="00137FC6"/>
    <w:rsid w:val="00137FF0"/>
    <w:rsid w:val="00137FF4"/>
    <w:rsid w:val="0014003A"/>
    <w:rsid w:val="00140046"/>
    <w:rsid w:val="00140061"/>
    <w:rsid w:val="00140221"/>
    <w:rsid w:val="00140236"/>
    <w:rsid w:val="001402AE"/>
    <w:rsid w:val="00140395"/>
    <w:rsid w:val="00140450"/>
    <w:rsid w:val="0014054F"/>
    <w:rsid w:val="00140571"/>
    <w:rsid w:val="00140595"/>
    <w:rsid w:val="001406C9"/>
    <w:rsid w:val="001407B4"/>
    <w:rsid w:val="001407C0"/>
    <w:rsid w:val="001407CD"/>
    <w:rsid w:val="001408B1"/>
    <w:rsid w:val="001409B4"/>
    <w:rsid w:val="00140A13"/>
    <w:rsid w:val="00140A23"/>
    <w:rsid w:val="00140B2E"/>
    <w:rsid w:val="00140B99"/>
    <w:rsid w:val="00140DD2"/>
    <w:rsid w:val="00140E49"/>
    <w:rsid w:val="00140F9E"/>
    <w:rsid w:val="00141166"/>
    <w:rsid w:val="0014116F"/>
    <w:rsid w:val="001411FD"/>
    <w:rsid w:val="001412D6"/>
    <w:rsid w:val="00141380"/>
    <w:rsid w:val="001413B5"/>
    <w:rsid w:val="001415AB"/>
    <w:rsid w:val="0014160F"/>
    <w:rsid w:val="0014166C"/>
    <w:rsid w:val="001416A9"/>
    <w:rsid w:val="0014173D"/>
    <w:rsid w:val="0014178C"/>
    <w:rsid w:val="00141940"/>
    <w:rsid w:val="00141A87"/>
    <w:rsid w:val="00141B94"/>
    <w:rsid w:val="00141C62"/>
    <w:rsid w:val="00141D8C"/>
    <w:rsid w:val="00141EDB"/>
    <w:rsid w:val="00141FAE"/>
    <w:rsid w:val="00141FE3"/>
    <w:rsid w:val="001420A8"/>
    <w:rsid w:val="00142118"/>
    <w:rsid w:val="0014211A"/>
    <w:rsid w:val="0014215B"/>
    <w:rsid w:val="00142281"/>
    <w:rsid w:val="00142349"/>
    <w:rsid w:val="00142377"/>
    <w:rsid w:val="00142415"/>
    <w:rsid w:val="001426C2"/>
    <w:rsid w:val="001427D7"/>
    <w:rsid w:val="001429CE"/>
    <w:rsid w:val="001429F6"/>
    <w:rsid w:val="00142A4F"/>
    <w:rsid w:val="00142A9D"/>
    <w:rsid w:val="00142B0E"/>
    <w:rsid w:val="00142B44"/>
    <w:rsid w:val="00142B65"/>
    <w:rsid w:val="00142B75"/>
    <w:rsid w:val="00142BC1"/>
    <w:rsid w:val="00142C8A"/>
    <w:rsid w:val="00142E49"/>
    <w:rsid w:val="00142E88"/>
    <w:rsid w:val="00142ED1"/>
    <w:rsid w:val="00142F72"/>
    <w:rsid w:val="00142FC7"/>
    <w:rsid w:val="00143009"/>
    <w:rsid w:val="00143055"/>
    <w:rsid w:val="001431B6"/>
    <w:rsid w:val="001431DD"/>
    <w:rsid w:val="0014321C"/>
    <w:rsid w:val="00143240"/>
    <w:rsid w:val="00143324"/>
    <w:rsid w:val="0014337F"/>
    <w:rsid w:val="001433A9"/>
    <w:rsid w:val="001433DA"/>
    <w:rsid w:val="001435B3"/>
    <w:rsid w:val="001435CC"/>
    <w:rsid w:val="0014370A"/>
    <w:rsid w:val="001437A0"/>
    <w:rsid w:val="001437B6"/>
    <w:rsid w:val="0014389D"/>
    <w:rsid w:val="001438F0"/>
    <w:rsid w:val="001438FF"/>
    <w:rsid w:val="00143C82"/>
    <w:rsid w:val="00143CFB"/>
    <w:rsid w:val="00143D1F"/>
    <w:rsid w:val="00143D51"/>
    <w:rsid w:val="00143D73"/>
    <w:rsid w:val="00143E9A"/>
    <w:rsid w:val="00143F49"/>
    <w:rsid w:val="00144007"/>
    <w:rsid w:val="00144008"/>
    <w:rsid w:val="00144052"/>
    <w:rsid w:val="001440A3"/>
    <w:rsid w:val="00144124"/>
    <w:rsid w:val="001441C7"/>
    <w:rsid w:val="001443AD"/>
    <w:rsid w:val="001443F9"/>
    <w:rsid w:val="0014460E"/>
    <w:rsid w:val="00144637"/>
    <w:rsid w:val="001446A5"/>
    <w:rsid w:val="0014479E"/>
    <w:rsid w:val="00144892"/>
    <w:rsid w:val="00144A1C"/>
    <w:rsid w:val="00144A5F"/>
    <w:rsid w:val="00144A62"/>
    <w:rsid w:val="00144B47"/>
    <w:rsid w:val="00144C5C"/>
    <w:rsid w:val="00144D81"/>
    <w:rsid w:val="00144EDD"/>
    <w:rsid w:val="00145171"/>
    <w:rsid w:val="00145187"/>
    <w:rsid w:val="00145225"/>
    <w:rsid w:val="0014528C"/>
    <w:rsid w:val="00145297"/>
    <w:rsid w:val="0014540C"/>
    <w:rsid w:val="0014544B"/>
    <w:rsid w:val="0014548B"/>
    <w:rsid w:val="00145496"/>
    <w:rsid w:val="00145561"/>
    <w:rsid w:val="00145641"/>
    <w:rsid w:val="001456D8"/>
    <w:rsid w:val="0014586E"/>
    <w:rsid w:val="0014589B"/>
    <w:rsid w:val="001458B6"/>
    <w:rsid w:val="0014596C"/>
    <w:rsid w:val="00145980"/>
    <w:rsid w:val="00145992"/>
    <w:rsid w:val="00145A18"/>
    <w:rsid w:val="00145BA7"/>
    <w:rsid w:val="00145BB0"/>
    <w:rsid w:val="00145C97"/>
    <w:rsid w:val="00145D5E"/>
    <w:rsid w:val="00145DA2"/>
    <w:rsid w:val="00145EB4"/>
    <w:rsid w:val="00145FCA"/>
    <w:rsid w:val="00145FF7"/>
    <w:rsid w:val="00146085"/>
    <w:rsid w:val="00146168"/>
    <w:rsid w:val="00146296"/>
    <w:rsid w:val="001462FA"/>
    <w:rsid w:val="00146306"/>
    <w:rsid w:val="0014640B"/>
    <w:rsid w:val="00146450"/>
    <w:rsid w:val="0014645C"/>
    <w:rsid w:val="001465BD"/>
    <w:rsid w:val="0014662B"/>
    <w:rsid w:val="00146711"/>
    <w:rsid w:val="00146735"/>
    <w:rsid w:val="00146755"/>
    <w:rsid w:val="00146775"/>
    <w:rsid w:val="0014681F"/>
    <w:rsid w:val="001468BB"/>
    <w:rsid w:val="0014694B"/>
    <w:rsid w:val="001469AF"/>
    <w:rsid w:val="001469C8"/>
    <w:rsid w:val="001469D4"/>
    <w:rsid w:val="001469E1"/>
    <w:rsid w:val="00146A22"/>
    <w:rsid w:val="00146C72"/>
    <w:rsid w:val="00146DC6"/>
    <w:rsid w:val="00146DF5"/>
    <w:rsid w:val="00146E57"/>
    <w:rsid w:val="001470C6"/>
    <w:rsid w:val="0014727E"/>
    <w:rsid w:val="001472E9"/>
    <w:rsid w:val="00147513"/>
    <w:rsid w:val="001477BB"/>
    <w:rsid w:val="00147907"/>
    <w:rsid w:val="00147937"/>
    <w:rsid w:val="0014799A"/>
    <w:rsid w:val="00147A2C"/>
    <w:rsid w:val="00147AE1"/>
    <w:rsid w:val="00147B41"/>
    <w:rsid w:val="00147B49"/>
    <w:rsid w:val="00147B77"/>
    <w:rsid w:val="00147BE7"/>
    <w:rsid w:val="00147C3D"/>
    <w:rsid w:val="00147C4E"/>
    <w:rsid w:val="00147CEE"/>
    <w:rsid w:val="00147CF0"/>
    <w:rsid w:val="00147F1A"/>
    <w:rsid w:val="00147F76"/>
    <w:rsid w:val="001501A4"/>
    <w:rsid w:val="00150268"/>
    <w:rsid w:val="00150506"/>
    <w:rsid w:val="0015052E"/>
    <w:rsid w:val="001505FA"/>
    <w:rsid w:val="0015074D"/>
    <w:rsid w:val="001507BA"/>
    <w:rsid w:val="00150830"/>
    <w:rsid w:val="001508C1"/>
    <w:rsid w:val="001508EC"/>
    <w:rsid w:val="00150903"/>
    <w:rsid w:val="00150911"/>
    <w:rsid w:val="00150A8B"/>
    <w:rsid w:val="00150AA5"/>
    <w:rsid w:val="00150BE9"/>
    <w:rsid w:val="00150C15"/>
    <w:rsid w:val="00150C7B"/>
    <w:rsid w:val="00150CB9"/>
    <w:rsid w:val="00150D8D"/>
    <w:rsid w:val="00150DA9"/>
    <w:rsid w:val="00150E36"/>
    <w:rsid w:val="00150EB7"/>
    <w:rsid w:val="00150EF1"/>
    <w:rsid w:val="00151031"/>
    <w:rsid w:val="0015103D"/>
    <w:rsid w:val="0015105D"/>
    <w:rsid w:val="001510C1"/>
    <w:rsid w:val="0015120F"/>
    <w:rsid w:val="0015127A"/>
    <w:rsid w:val="001512C0"/>
    <w:rsid w:val="00151338"/>
    <w:rsid w:val="0015136D"/>
    <w:rsid w:val="00151461"/>
    <w:rsid w:val="00151472"/>
    <w:rsid w:val="00151478"/>
    <w:rsid w:val="0015151E"/>
    <w:rsid w:val="001515D8"/>
    <w:rsid w:val="0015168E"/>
    <w:rsid w:val="001516D7"/>
    <w:rsid w:val="001516E1"/>
    <w:rsid w:val="0015173C"/>
    <w:rsid w:val="0015182C"/>
    <w:rsid w:val="0015184B"/>
    <w:rsid w:val="00151884"/>
    <w:rsid w:val="0015189B"/>
    <w:rsid w:val="001518B9"/>
    <w:rsid w:val="001519CD"/>
    <w:rsid w:val="00151AF7"/>
    <w:rsid w:val="00151B0A"/>
    <w:rsid w:val="00151B57"/>
    <w:rsid w:val="00151B7A"/>
    <w:rsid w:val="00151B97"/>
    <w:rsid w:val="00151C15"/>
    <w:rsid w:val="00151C9B"/>
    <w:rsid w:val="00151D19"/>
    <w:rsid w:val="00151D3F"/>
    <w:rsid w:val="00151D97"/>
    <w:rsid w:val="00151DAA"/>
    <w:rsid w:val="00151DBB"/>
    <w:rsid w:val="00151E31"/>
    <w:rsid w:val="00151ECD"/>
    <w:rsid w:val="00151FC9"/>
    <w:rsid w:val="0015201F"/>
    <w:rsid w:val="00152021"/>
    <w:rsid w:val="00152048"/>
    <w:rsid w:val="00152167"/>
    <w:rsid w:val="001521D7"/>
    <w:rsid w:val="001521F4"/>
    <w:rsid w:val="0015228A"/>
    <w:rsid w:val="00152383"/>
    <w:rsid w:val="0015243A"/>
    <w:rsid w:val="0015255C"/>
    <w:rsid w:val="001525E9"/>
    <w:rsid w:val="0015266F"/>
    <w:rsid w:val="00152690"/>
    <w:rsid w:val="001526AB"/>
    <w:rsid w:val="001526E6"/>
    <w:rsid w:val="001528BE"/>
    <w:rsid w:val="00152931"/>
    <w:rsid w:val="001529C5"/>
    <w:rsid w:val="00152AC3"/>
    <w:rsid w:val="00152BCD"/>
    <w:rsid w:val="00152BE2"/>
    <w:rsid w:val="00152C9D"/>
    <w:rsid w:val="00152DAE"/>
    <w:rsid w:val="00152DD2"/>
    <w:rsid w:val="00152E16"/>
    <w:rsid w:val="00152E4C"/>
    <w:rsid w:val="00152E7E"/>
    <w:rsid w:val="00152F29"/>
    <w:rsid w:val="0015304E"/>
    <w:rsid w:val="00153086"/>
    <w:rsid w:val="0015311E"/>
    <w:rsid w:val="00153130"/>
    <w:rsid w:val="0015334D"/>
    <w:rsid w:val="00153420"/>
    <w:rsid w:val="00153491"/>
    <w:rsid w:val="00153495"/>
    <w:rsid w:val="001535F2"/>
    <w:rsid w:val="00153688"/>
    <w:rsid w:val="00153723"/>
    <w:rsid w:val="0015376B"/>
    <w:rsid w:val="0015379E"/>
    <w:rsid w:val="00153875"/>
    <w:rsid w:val="001539B8"/>
    <w:rsid w:val="00153A37"/>
    <w:rsid w:val="00153B91"/>
    <w:rsid w:val="00153C32"/>
    <w:rsid w:val="00153C55"/>
    <w:rsid w:val="00153D2D"/>
    <w:rsid w:val="00153DD7"/>
    <w:rsid w:val="00153E22"/>
    <w:rsid w:val="00153EB9"/>
    <w:rsid w:val="00153F15"/>
    <w:rsid w:val="00153FB3"/>
    <w:rsid w:val="00154065"/>
    <w:rsid w:val="001540F7"/>
    <w:rsid w:val="00154169"/>
    <w:rsid w:val="001541D4"/>
    <w:rsid w:val="00154214"/>
    <w:rsid w:val="001542F5"/>
    <w:rsid w:val="00154339"/>
    <w:rsid w:val="00154391"/>
    <w:rsid w:val="00154496"/>
    <w:rsid w:val="0015470A"/>
    <w:rsid w:val="00154818"/>
    <w:rsid w:val="001548E9"/>
    <w:rsid w:val="0015492F"/>
    <w:rsid w:val="0015493F"/>
    <w:rsid w:val="00154AA2"/>
    <w:rsid w:val="00154ABC"/>
    <w:rsid w:val="00154B98"/>
    <w:rsid w:val="00154C49"/>
    <w:rsid w:val="00154C52"/>
    <w:rsid w:val="00154C90"/>
    <w:rsid w:val="00154D07"/>
    <w:rsid w:val="00154DFE"/>
    <w:rsid w:val="00154F78"/>
    <w:rsid w:val="00154F8F"/>
    <w:rsid w:val="00154FA0"/>
    <w:rsid w:val="00154FA6"/>
    <w:rsid w:val="00155074"/>
    <w:rsid w:val="0015510A"/>
    <w:rsid w:val="001552D0"/>
    <w:rsid w:val="001553D4"/>
    <w:rsid w:val="00155402"/>
    <w:rsid w:val="00155452"/>
    <w:rsid w:val="00155585"/>
    <w:rsid w:val="00155662"/>
    <w:rsid w:val="00155664"/>
    <w:rsid w:val="00155677"/>
    <w:rsid w:val="0015569D"/>
    <w:rsid w:val="001556CC"/>
    <w:rsid w:val="001556FA"/>
    <w:rsid w:val="00155860"/>
    <w:rsid w:val="001558A5"/>
    <w:rsid w:val="001558D0"/>
    <w:rsid w:val="001559D5"/>
    <w:rsid w:val="00155AA5"/>
    <w:rsid w:val="00155B0C"/>
    <w:rsid w:val="00155BA6"/>
    <w:rsid w:val="00155BF0"/>
    <w:rsid w:val="00155C0C"/>
    <w:rsid w:val="00155C2F"/>
    <w:rsid w:val="00155C6E"/>
    <w:rsid w:val="00155D86"/>
    <w:rsid w:val="00155ED2"/>
    <w:rsid w:val="00155EF3"/>
    <w:rsid w:val="00155F9F"/>
    <w:rsid w:val="00156038"/>
    <w:rsid w:val="00156098"/>
    <w:rsid w:val="001560EB"/>
    <w:rsid w:val="001560F5"/>
    <w:rsid w:val="00156113"/>
    <w:rsid w:val="001561AC"/>
    <w:rsid w:val="001561D5"/>
    <w:rsid w:val="001561F3"/>
    <w:rsid w:val="00156270"/>
    <w:rsid w:val="001562A8"/>
    <w:rsid w:val="00156372"/>
    <w:rsid w:val="001563A2"/>
    <w:rsid w:val="001563CE"/>
    <w:rsid w:val="001563F0"/>
    <w:rsid w:val="00156470"/>
    <w:rsid w:val="0015649A"/>
    <w:rsid w:val="001564FD"/>
    <w:rsid w:val="00156550"/>
    <w:rsid w:val="001565D6"/>
    <w:rsid w:val="0015662D"/>
    <w:rsid w:val="001566B7"/>
    <w:rsid w:val="00156779"/>
    <w:rsid w:val="0015689D"/>
    <w:rsid w:val="001568BE"/>
    <w:rsid w:val="00156918"/>
    <w:rsid w:val="001569DF"/>
    <w:rsid w:val="00156A24"/>
    <w:rsid w:val="00156C5F"/>
    <w:rsid w:val="00156E86"/>
    <w:rsid w:val="00156E9F"/>
    <w:rsid w:val="00156F92"/>
    <w:rsid w:val="001570FB"/>
    <w:rsid w:val="00157176"/>
    <w:rsid w:val="001571F2"/>
    <w:rsid w:val="00157291"/>
    <w:rsid w:val="00157297"/>
    <w:rsid w:val="00157438"/>
    <w:rsid w:val="00157526"/>
    <w:rsid w:val="0015756D"/>
    <w:rsid w:val="0015773A"/>
    <w:rsid w:val="00157775"/>
    <w:rsid w:val="00157785"/>
    <w:rsid w:val="001577C8"/>
    <w:rsid w:val="00157807"/>
    <w:rsid w:val="0015786B"/>
    <w:rsid w:val="001578F4"/>
    <w:rsid w:val="0015790E"/>
    <w:rsid w:val="00157996"/>
    <w:rsid w:val="00157A78"/>
    <w:rsid w:val="00157A7A"/>
    <w:rsid w:val="00157AC9"/>
    <w:rsid w:val="00157AE9"/>
    <w:rsid w:val="00157B7D"/>
    <w:rsid w:val="00157C67"/>
    <w:rsid w:val="00157CF7"/>
    <w:rsid w:val="00157D04"/>
    <w:rsid w:val="00157E62"/>
    <w:rsid w:val="00157F5B"/>
    <w:rsid w:val="00157FA5"/>
    <w:rsid w:val="00157FBA"/>
    <w:rsid w:val="00157FDE"/>
    <w:rsid w:val="0016007C"/>
    <w:rsid w:val="0016018E"/>
    <w:rsid w:val="00160385"/>
    <w:rsid w:val="001603E6"/>
    <w:rsid w:val="00160460"/>
    <w:rsid w:val="00160546"/>
    <w:rsid w:val="001605D6"/>
    <w:rsid w:val="0016064E"/>
    <w:rsid w:val="00160711"/>
    <w:rsid w:val="00160734"/>
    <w:rsid w:val="0016073D"/>
    <w:rsid w:val="001607C1"/>
    <w:rsid w:val="001608D6"/>
    <w:rsid w:val="00160B8E"/>
    <w:rsid w:val="00160BF4"/>
    <w:rsid w:val="00160C62"/>
    <w:rsid w:val="00160E04"/>
    <w:rsid w:val="00160F5F"/>
    <w:rsid w:val="00160FDD"/>
    <w:rsid w:val="0016100D"/>
    <w:rsid w:val="00161014"/>
    <w:rsid w:val="00161040"/>
    <w:rsid w:val="00161121"/>
    <w:rsid w:val="0016112A"/>
    <w:rsid w:val="00161241"/>
    <w:rsid w:val="001612B2"/>
    <w:rsid w:val="001612DA"/>
    <w:rsid w:val="001613CB"/>
    <w:rsid w:val="00161461"/>
    <w:rsid w:val="00161468"/>
    <w:rsid w:val="00161531"/>
    <w:rsid w:val="0016159F"/>
    <w:rsid w:val="00161666"/>
    <w:rsid w:val="001617F5"/>
    <w:rsid w:val="001617FF"/>
    <w:rsid w:val="00161873"/>
    <w:rsid w:val="001618BB"/>
    <w:rsid w:val="00161914"/>
    <w:rsid w:val="00161996"/>
    <w:rsid w:val="00161A4A"/>
    <w:rsid w:val="00161AA3"/>
    <w:rsid w:val="00161AE7"/>
    <w:rsid w:val="00161B0B"/>
    <w:rsid w:val="00161B12"/>
    <w:rsid w:val="00161CB7"/>
    <w:rsid w:val="00161CBC"/>
    <w:rsid w:val="00161D41"/>
    <w:rsid w:val="00161D64"/>
    <w:rsid w:val="00161EEE"/>
    <w:rsid w:val="00161FA0"/>
    <w:rsid w:val="00161FCC"/>
    <w:rsid w:val="00161FDE"/>
    <w:rsid w:val="00162066"/>
    <w:rsid w:val="001621A6"/>
    <w:rsid w:val="00162247"/>
    <w:rsid w:val="0016244A"/>
    <w:rsid w:val="0016259F"/>
    <w:rsid w:val="0016261A"/>
    <w:rsid w:val="00162654"/>
    <w:rsid w:val="001626DA"/>
    <w:rsid w:val="001628FD"/>
    <w:rsid w:val="00162926"/>
    <w:rsid w:val="00162A7C"/>
    <w:rsid w:val="00162AFD"/>
    <w:rsid w:val="00162BBA"/>
    <w:rsid w:val="00162C57"/>
    <w:rsid w:val="00162D0D"/>
    <w:rsid w:val="00162D14"/>
    <w:rsid w:val="00162EFC"/>
    <w:rsid w:val="00162F14"/>
    <w:rsid w:val="00162F16"/>
    <w:rsid w:val="00162F5F"/>
    <w:rsid w:val="00162FF3"/>
    <w:rsid w:val="00163074"/>
    <w:rsid w:val="00163154"/>
    <w:rsid w:val="001631B1"/>
    <w:rsid w:val="001632B6"/>
    <w:rsid w:val="0016331B"/>
    <w:rsid w:val="00163597"/>
    <w:rsid w:val="001635F4"/>
    <w:rsid w:val="001636DA"/>
    <w:rsid w:val="001636F2"/>
    <w:rsid w:val="00163713"/>
    <w:rsid w:val="001638D5"/>
    <w:rsid w:val="001639F4"/>
    <w:rsid w:val="001639F7"/>
    <w:rsid w:val="00163A0A"/>
    <w:rsid w:val="00163A17"/>
    <w:rsid w:val="00163A26"/>
    <w:rsid w:val="00163A2B"/>
    <w:rsid w:val="00163A4D"/>
    <w:rsid w:val="00163B23"/>
    <w:rsid w:val="00163B39"/>
    <w:rsid w:val="00163C47"/>
    <w:rsid w:val="00163C59"/>
    <w:rsid w:val="00163D06"/>
    <w:rsid w:val="00163D5C"/>
    <w:rsid w:val="00163E7F"/>
    <w:rsid w:val="00163EC4"/>
    <w:rsid w:val="001640E3"/>
    <w:rsid w:val="0016414D"/>
    <w:rsid w:val="00164216"/>
    <w:rsid w:val="00164245"/>
    <w:rsid w:val="0016426D"/>
    <w:rsid w:val="00164348"/>
    <w:rsid w:val="00164391"/>
    <w:rsid w:val="001643B0"/>
    <w:rsid w:val="0016468B"/>
    <w:rsid w:val="0016468E"/>
    <w:rsid w:val="00164733"/>
    <w:rsid w:val="00164893"/>
    <w:rsid w:val="0016489E"/>
    <w:rsid w:val="00164946"/>
    <w:rsid w:val="00164A89"/>
    <w:rsid w:val="00164AE0"/>
    <w:rsid w:val="00164B4F"/>
    <w:rsid w:val="00164B80"/>
    <w:rsid w:val="00164BD9"/>
    <w:rsid w:val="00164BF9"/>
    <w:rsid w:val="00164CC0"/>
    <w:rsid w:val="00164CEF"/>
    <w:rsid w:val="00164D63"/>
    <w:rsid w:val="00164DE9"/>
    <w:rsid w:val="00164E75"/>
    <w:rsid w:val="00164E86"/>
    <w:rsid w:val="00164EAE"/>
    <w:rsid w:val="00164F5D"/>
    <w:rsid w:val="00164FE6"/>
    <w:rsid w:val="0016509E"/>
    <w:rsid w:val="001650E7"/>
    <w:rsid w:val="0016529B"/>
    <w:rsid w:val="001652F2"/>
    <w:rsid w:val="0016532F"/>
    <w:rsid w:val="00165397"/>
    <w:rsid w:val="0016545A"/>
    <w:rsid w:val="00165489"/>
    <w:rsid w:val="0016557B"/>
    <w:rsid w:val="001655DC"/>
    <w:rsid w:val="0016561E"/>
    <w:rsid w:val="001656B2"/>
    <w:rsid w:val="0016576A"/>
    <w:rsid w:val="0016580F"/>
    <w:rsid w:val="00165989"/>
    <w:rsid w:val="001659AA"/>
    <w:rsid w:val="001659E0"/>
    <w:rsid w:val="001659E2"/>
    <w:rsid w:val="00165ACB"/>
    <w:rsid w:val="00165B17"/>
    <w:rsid w:val="00165B87"/>
    <w:rsid w:val="00165B94"/>
    <w:rsid w:val="00165BA0"/>
    <w:rsid w:val="00165BDA"/>
    <w:rsid w:val="00165C1F"/>
    <w:rsid w:val="00165CA6"/>
    <w:rsid w:val="00165CC7"/>
    <w:rsid w:val="00165DD6"/>
    <w:rsid w:val="00165DE0"/>
    <w:rsid w:val="00165E2F"/>
    <w:rsid w:val="00165EB9"/>
    <w:rsid w:val="00165F98"/>
    <w:rsid w:val="00166012"/>
    <w:rsid w:val="00166046"/>
    <w:rsid w:val="001660E2"/>
    <w:rsid w:val="00166158"/>
    <w:rsid w:val="0016615E"/>
    <w:rsid w:val="00166190"/>
    <w:rsid w:val="00166199"/>
    <w:rsid w:val="001661AA"/>
    <w:rsid w:val="00166253"/>
    <w:rsid w:val="0016633E"/>
    <w:rsid w:val="001663B3"/>
    <w:rsid w:val="001664AB"/>
    <w:rsid w:val="00166502"/>
    <w:rsid w:val="0016651E"/>
    <w:rsid w:val="0016657F"/>
    <w:rsid w:val="001666C0"/>
    <w:rsid w:val="001666F3"/>
    <w:rsid w:val="00166872"/>
    <w:rsid w:val="001668D4"/>
    <w:rsid w:val="001668E7"/>
    <w:rsid w:val="00166924"/>
    <w:rsid w:val="001669B9"/>
    <w:rsid w:val="00166A61"/>
    <w:rsid w:val="00166B41"/>
    <w:rsid w:val="00166B8F"/>
    <w:rsid w:val="00166BE9"/>
    <w:rsid w:val="00166C44"/>
    <w:rsid w:val="00166DCC"/>
    <w:rsid w:val="00166E4E"/>
    <w:rsid w:val="00166EC9"/>
    <w:rsid w:val="00166ED5"/>
    <w:rsid w:val="00166FA6"/>
    <w:rsid w:val="00167039"/>
    <w:rsid w:val="00167054"/>
    <w:rsid w:val="001671AC"/>
    <w:rsid w:val="00167235"/>
    <w:rsid w:val="001672A6"/>
    <w:rsid w:val="001673A1"/>
    <w:rsid w:val="001673B8"/>
    <w:rsid w:val="00167405"/>
    <w:rsid w:val="00167512"/>
    <w:rsid w:val="00167560"/>
    <w:rsid w:val="0016762B"/>
    <w:rsid w:val="001676DB"/>
    <w:rsid w:val="00167748"/>
    <w:rsid w:val="00167750"/>
    <w:rsid w:val="0016782A"/>
    <w:rsid w:val="00167864"/>
    <w:rsid w:val="00167900"/>
    <w:rsid w:val="00167941"/>
    <w:rsid w:val="00167A9B"/>
    <w:rsid w:val="00167B08"/>
    <w:rsid w:val="00167B35"/>
    <w:rsid w:val="00167B3D"/>
    <w:rsid w:val="00167B60"/>
    <w:rsid w:val="00167BBA"/>
    <w:rsid w:val="00167DA2"/>
    <w:rsid w:val="00167DB7"/>
    <w:rsid w:val="00167F67"/>
    <w:rsid w:val="00167FE9"/>
    <w:rsid w:val="001700A1"/>
    <w:rsid w:val="001700DC"/>
    <w:rsid w:val="00170177"/>
    <w:rsid w:val="001701D1"/>
    <w:rsid w:val="0017033C"/>
    <w:rsid w:val="00170389"/>
    <w:rsid w:val="00170401"/>
    <w:rsid w:val="0017049E"/>
    <w:rsid w:val="001705C6"/>
    <w:rsid w:val="001705D3"/>
    <w:rsid w:val="001705D6"/>
    <w:rsid w:val="0017061C"/>
    <w:rsid w:val="001706A9"/>
    <w:rsid w:val="001706F4"/>
    <w:rsid w:val="0017072D"/>
    <w:rsid w:val="0017079C"/>
    <w:rsid w:val="00170875"/>
    <w:rsid w:val="0017089D"/>
    <w:rsid w:val="001709F8"/>
    <w:rsid w:val="00170A37"/>
    <w:rsid w:val="00170A92"/>
    <w:rsid w:val="00170AA8"/>
    <w:rsid w:val="00170BBE"/>
    <w:rsid w:val="00170CA2"/>
    <w:rsid w:val="00170CB1"/>
    <w:rsid w:val="00170ED4"/>
    <w:rsid w:val="00170F19"/>
    <w:rsid w:val="00170F4C"/>
    <w:rsid w:val="00170F54"/>
    <w:rsid w:val="00170FBE"/>
    <w:rsid w:val="00171000"/>
    <w:rsid w:val="001711A7"/>
    <w:rsid w:val="001712AD"/>
    <w:rsid w:val="001712D7"/>
    <w:rsid w:val="001712D9"/>
    <w:rsid w:val="001713E2"/>
    <w:rsid w:val="00171412"/>
    <w:rsid w:val="001714F1"/>
    <w:rsid w:val="001716BD"/>
    <w:rsid w:val="001716F9"/>
    <w:rsid w:val="00171779"/>
    <w:rsid w:val="001717EC"/>
    <w:rsid w:val="00171978"/>
    <w:rsid w:val="00171A47"/>
    <w:rsid w:val="00171AE9"/>
    <w:rsid w:val="00171B2C"/>
    <w:rsid w:val="00171D31"/>
    <w:rsid w:val="00171EC1"/>
    <w:rsid w:val="00171EED"/>
    <w:rsid w:val="00171F47"/>
    <w:rsid w:val="00171FF3"/>
    <w:rsid w:val="00172012"/>
    <w:rsid w:val="00172017"/>
    <w:rsid w:val="001720D7"/>
    <w:rsid w:val="001720F1"/>
    <w:rsid w:val="00172189"/>
    <w:rsid w:val="0017218D"/>
    <w:rsid w:val="001721B4"/>
    <w:rsid w:val="001721EB"/>
    <w:rsid w:val="0017224B"/>
    <w:rsid w:val="00172252"/>
    <w:rsid w:val="0017225B"/>
    <w:rsid w:val="0017227E"/>
    <w:rsid w:val="001722C6"/>
    <w:rsid w:val="00172447"/>
    <w:rsid w:val="00172484"/>
    <w:rsid w:val="0017253E"/>
    <w:rsid w:val="00172553"/>
    <w:rsid w:val="0017256B"/>
    <w:rsid w:val="001725DC"/>
    <w:rsid w:val="00172641"/>
    <w:rsid w:val="00172661"/>
    <w:rsid w:val="001726BD"/>
    <w:rsid w:val="0017277E"/>
    <w:rsid w:val="001727D9"/>
    <w:rsid w:val="00172842"/>
    <w:rsid w:val="001728CD"/>
    <w:rsid w:val="001728D5"/>
    <w:rsid w:val="001729E6"/>
    <w:rsid w:val="00172A68"/>
    <w:rsid w:val="00172AD1"/>
    <w:rsid w:val="00172B44"/>
    <w:rsid w:val="00172BE6"/>
    <w:rsid w:val="00172C76"/>
    <w:rsid w:val="00172E09"/>
    <w:rsid w:val="00172E91"/>
    <w:rsid w:val="00172E9E"/>
    <w:rsid w:val="00172EA9"/>
    <w:rsid w:val="0017301F"/>
    <w:rsid w:val="0017309F"/>
    <w:rsid w:val="0017310B"/>
    <w:rsid w:val="001731B2"/>
    <w:rsid w:val="00173385"/>
    <w:rsid w:val="001733C3"/>
    <w:rsid w:val="00173475"/>
    <w:rsid w:val="0017360C"/>
    <w:rsid w:val="001736AF"/>
    <w:rsid w:val="001736CF"/>
    <w:rsid w:val="0017371F"/>
    <w:rsid w:val="00173832"/>
    <w:rsid w:val="0017387C"/>
    <w:rsid w:val="00173882"/>
    <w:rsid w:val="001738C4"/>
    <w:rsid w:val="001738D6"/>
    <w:rsid w:val="0017398F"/>
    <w:rsid w:val="00173AC6"/>
    <w:rsid w:val="00173B32"/>
    <w:rsid w:val="00173CAB"/>
    <w:rsid w:val="00173D60"/>
    <w:rsid w:val="00173D65"/>
    <w:rsid w:val="00173DA3"/>
    <w:rsid w:val="00173E1E"/>
    <w:rsid w:val="00173FE9"/>
    <w:rsid w:val="0017403F"/>
    <w:rsid w:val="00174079"/>
    <w:rsid w:val="001740AC"/>
    <w:rsid w:val="001740EB"/>
    <w:rsid w:val="00174168"/>
    <w:rsid w:val="001741E8"/>
    <w:rsid w:val="001741F9"/>
    <w:rsid w:val="0017425C"/>
    <w:rsid w:val="001742B9"/>
    <w:rsid w:val="001743EB"/>
    <w:rsid w:val="00174421"/>
    <w:rsid w:val="00174466"/>
    <w:rsid w:val="001744CA"/>
    <w:rsid w:val="001746F2"/>
    <w:rsid w:val="00174730"/>
    <w:rsid w:val="001747E3"/>
    <w:rsid w:val="0017484F"/>
    <w:rsid w:val="00174871"/>
    <w:rsid w:val="001748A6"/>
    <w:rsid w:val="001748E7"/>
    <w:rsid w:val="00174923"/>
    <w:rsid w:val="00174A7D"/>
    <w:rsid w:val="00174A9D"/>
    <w:rsid w:val="00174AF6"/>
    <w:rsid w:val="00174CC3"/>
    <w:rsid w:val="00174DCC"/>
    <w:rsid w:val="00174F30"/>
    <w:rsid w:val="00175299"/>
    <w:rsid w:val="001752E1"/>
    <w:rsid w:val="00175359"/>
    <w:rsid w:val="00175375"/>
    <w:rsid w:val="001753E6"/>
    <w:rsid w:val="001755BD"/>
    <w:rsid w:val="001757AF"/>
    <w:rsid w:val="00175922"/>
    <w:rsid w:val="00175969"/>
    <w:rsid w:val="00175AE7"/>
    <w:rsid w:val="00175B96"/>
    <w:rsid w:val="00175C01"/>
    <w:rsid w:val="00175C57"/>
    <w:rsid w:val="00175CB5"/>
    <w:rsid w:val="00175CF4"/>
    <w:rsid w:val="00175D0A"/>
    <w:rsid w:val="00175D44"/>
    <w:rsid w:val="00175DB3"/>
    <w:rsid w:val="00175DC2"/>
    <w:rsid w:val="00175E01"/>
    <w:rsid w:val="00175E15"/>
    <w:rsid w:val="00175F71"/>
    <w:rsid w:val="0017626C"/>
    <w:rsid w:val="0017629D"/>
    <w:rsid w:val="001766CD"/>
    <w:rsid w:val="0017671B"/>
    <w:rsid w:val="00176731"/>
    <w:rsid w:val="00176765"/>
    <w:rsid w:val="001767B0"/>
    <w:rsid w:val="001767E8"/>
    <w:rsid w:val="00176816"/>
    <w:rsid w:val="0017683A"/>
    <w:rsid w:val="00176850"/>
    <w:rsid w:val="00176908"/>
    <w:rsid w:val="00176990"/>
    <w:rsid w:val="001769FD"/>
    <w:rsid w:val="00176A45"/>
    <w:rsid w:val="00176ADA"/>
    <w:rsid w:val="00176BBC"/>
    <w:rsid w:val="00176C8C"/>
    <w:rsid w:val="00176D74"/>
    <w:rsid w:val="00176DB6"/>
    <w:rsid w:val="00176F14"/>
    <w:rsid w:val="001770EF"/>
    <w:rsid w:val="0017713F"/>
    <w:rsid w:val="00177251"/>
    <w:rsid w:val="00177326"/>
    <w:rsid w:val="00177354"/>
    <w:rsid w:val="001773C2"/>
    <w:rsid w:val="001775B9"/>
    <w:rsid w:val="0017764C"/>
    <w:rsid w:val="00177650"/>
    <w:rsid w:val="0017765C"/>
    <w:rsid w:val="00177707"/>
    <w:rsid w:val="001777E3"/>
    <w:rsid w:val="001777F4"/>
    <w:rsid w:val="001778CD"/>
    <w:rsid w:val="00177914"/>
    <w:rsid w:val="00177A77"/>
    <w:rsid w:val="00177C1D"/>
    <w:rsid w:val="00177DF5"/>
    <w:rsid w:val="00177E3A"/>
    <w:rsid w:val="00177E86"/>
    <w:rsid w:val="00177E93"/>
    <w:rsid w:val="00177F30"/>
    <w:rsid w:val="00177F96"/>
    <w:rsid w:val="00177FB0"/>
    <w:rsid w:val="00180054"/>
    <w:rsid w:val="001800CE"/>
    <w:rsid w:val="00180126"/>
    <w:rsid w:val="00180211"/>
    <w:rsid w:val="00180213"/>
    <w:rsid w:val="001802A0"/>
    <w:rsid w:val="001803FC"/>
    <w:rsid w:val="0018041C"/>
    <w:rsid w:val="0018049A"/>
    <w:rsid w:val="001804B0"/>
    <w:rsid w:val="001804E3"/>
    <w:rsid w:val="00180506"/>
    <w:rsid w:val="001805A5"/>
    <w:rsid w:val="00180760"/>
    <w:rsid w:val="001807A5"/>
    <w:rsid w:val="001807EA"/>
    <w:rsid w:val="001808AA"/>
    <w:rsid w:val="001808C5"/>
    <w:rsid w:val="00180A23"/>
    <w:rsid w:val="00180AC6"/>
    <w:rsid w:val="00180B64"/>
    <w:rsid w:val="00180BB3"/>
    <w:rsid w:val="00180BB4"/>
    <w:rsid w:val="00180C73"/>
    <w:rsid w:val="00180CD8"/>
    <w:rsid w:val="00180D6D"/>
    <w:rsid w:val="00180E17"/>
    <w:rsid w:val="00180EC6"/>
    <w:rsid w:val="00180F48"/>
    <w:rsid w:val="00181048"/>
    <w:rsid w:val="001811C3"/>
    <w:rsid w:val="00181214"/>
    <w:rsid w:val="00181425"/>
    <w:rsid w:val="0018143C"/>
    <w:rsid w:val="00181495"/>
    <w:rsid w:val="001814F7"/>
    <w:rsid w:val="00181689"/>
    <w:rsid w:val="00181699"/>
    <w:rsid w:val="00181781"/>
    <w:rsid w:val="00181896"/>
    <w:rsid w:val="00181963"/>
    <w:rsid w:val="00181A1F"/>
    <w:rsid w:val="00181A44"/>
    <w:rsid w:val="00181A4F"/>
    <w:rsid w:val="00181AC0"/>
    <w:rsid w:val="00181B94"/>
    <w:rsid w:val="00181BAE"/>
    <w:rsid w:val="00181C83"/>
    <w:rsid w:val="00181CBB"/>
    <w:rsid w:val="00181CFE"/>
    <w:rsid w:val="00181D98"/>
    <w:rsid w:val="00181DC3"/>
    <w:rsid w:val="00181DE6"/>
    <w:rsid w:val="00181EF3"/>
    <w:rsid w:val="00181F4B"/>
    <w:rsid w:val="00181F4F"/>
    <w:rsid w:val="0018200B"/>
    <w:rsid w:val="0018204F"/>
    <w:rsid w:val="00182077"/>
    <w:rsid w:val="0018207A"/>
    <w:rsid w:val="001820EA"/>
    <w:rsid w:val="001821B8"/>
    <w:rsid w:val="001821D2"/>
    <w:rsid w:val="0018233C"/>
    <w:rsid w:val="00182374"/>
    <w:rsid w:val="001823FF"/>
    <w:rsid w:val="00182462"/>
    <w:rsid w:val="0018246B"/>
    <w:rsid w:val="0018255A"/>
    <w:rsid w:val="00182616"/>
    <w:rsid w:val="001826A0"/>
    <w:rsid w:val="001826EC"/>
    <w:rsid w:val="00182732"/>
    <w:rsid w:val="001827BE"/>
    <w:rsid w:val="00182821"/>
    <w:rsid w:val="0018286D"/>
    <w:rsid w:val="00182932"/>
    <w:rsid w:val="0018295F"/>
    <w:rsid w:val="00182AA4"/>
    <w:rsid w:val="00182BF6"/>
    <w:rsid w:val="00182C2E"/>
    <w:rsid w:val="00182C3E"/>
    <w:rsid w:val="00182C45"/>
    <w:rsid w:val="00182CBB"/>
    <w:rsid w:val="00182D8B"/>
    <w:rsid w:val="00182DB8"/>
    <w:rsid w:val="00182F6A"/>
    <w:rsid w:val="00182F6F"/>
    <w:rsid w:val="00182F9D"/>
    <w:rsid w:val="001830CB"/>
    <w:rsid w:val="001831C0"/>
    <w:rsid w:val="00183287"/>
    <w:rsid w:val="001832CC"/>
    <w:rsid w:val="00183304"/>
    <w:rsid w:val="001833A5"/>
    <w:rsid w:val="00183424"/>
    <w:rsid w:val="00183545"/>
    <w:rsid w:val="00183566"/>
    <w:rsid w:val="00183597"/>
    <w:rsid w:val="0018360A"/>
    <w:rsid w:val="001836AB"/>
    <w:rsid w:val="0018373D"/>
    <w:rsid w:val="001837EB"/>
    <w:rsid w:val="0018382C"/>
    <w:rsid w:val="00183835"/>
    <w:rsid w:val="001838BD"/>
    <w:rsid w:val="0018396A"/>
    <w:rsid w:val="001839DC"/>
    <w:rsid w:val="00183A0B"/>
    <w:rsid w:val="00183B05"/>
    <w:rsid w:val="00183C50"/>
    <w:rsid w:val="00183D0E"/>
    <w:rsid w:val="00183FF2"/>
    <w:rsid w:val="00184138"/>
    <w:rsid w:val="001841D6"/>
    <w:rsid w:val="001841DD"/>
    <w:rsid w:val="00184385"/>
    <w:rsid w:val="001843A5"/>
    <w:rsid w:val="001843BE"/>
    <w:rsid w:val="001844AB"/>
    <w:rsid w:val="00184542"/>
    <w:rsid w:val="001845B9"/>
    <w:rsid w:val="001845C3"/>
    <w:rsid w:val="00184655"/>
    <w:rsid w:val="00184811"/>
    <w:rsid w:val="001848AF"/>
    <w:rsid w:val="001848EA"/>
    <w:rsid w:val="001849CE"/>
    <w:rsid w:val="00184A0D"/>
    <w:rsid w:val="00184A7B"/>
    <w:rsid w:val="00184ABB"/>
    <w:rsid w:val="00184AD2"/>
    <w:rsid w:val="00184B03"/>
    <w:rsid w:val="00184B07"/>
    <w:rsid w:val="00184B0D"/>
    <w:rsid w:val="00184B53"/>
    <w:rsid w:val="00184CFF"/>
    <w:rsid w:val="00184D81"/>
    <w:rsid w:val="00184D8B"/>
    <w:rsid w:val="00184D98"/>
    <w:rsid w:val="00184DD1"/>
    <w:rsid w:val="00184DDA"/>
    <w:rsid w:val="00184E0A"/>
    <w:rsid w:val="00184EB5"/>
    <w:rsid w:val="00184ECB"/>
    <w:rsid w:val="00184F9E"/>
    <w:rsid w:val="00184FD5"/>
    <w:rsid w:val="001850A4"/>
    <w:rsid w:val="00185221"/>
    <w:rsid w:val="0018522A"/>
    <w:rsid w:val="00185269"/>
    <w:rsid w:val="00185287"/>
    <w:rsid w:val="001853D2"/>
    <w:rsid w:val="00185459"/>
    <w:rsid w:val="00185499"/>
    <w:rsid w:val="001854AE"/>
    <w:rsid w:val="001854C0"/>
    <w:rsid w:val="001854FA"/>
    <w:rsid w:val="0018557B"/>
    <w:rsid w:val="0018557E"/>
    <w:rsid w:val="001855E7"/>
    <w:rsid w:val="0018561C"/>
    <w:rsid w:val="00185678"/>
    <w:rsid w:val="001856EA"/>
    <w:rsid w:val="00185759"/>
    <w:rsid w:val="00185801"/>
    <w:rsid w:val="00185876"/>
    <w:rsid w:val="00185889"/>
    <w:rsid w:val="001858CB"/>
    <w:rsid w:val="00185985"/>
    <w:rsid w:val="00185AE8"/>
    <w:rsid w:val="00185D7E"/>
    <w:rsid w:val="00186022"/>
    <w:rsid w:val="00186108"/>
    <w:rsid w:val="00186199"/>
    <w:rsid w:val="00186246"/>
    <w:rsid w:val="00186268"/>
    <w:rsid w:val="001862AC"/>
    <w:rsid w:val="001862EC"/>
    <w:rsid w:val="00186309"/>
    <w:rsid w:val="0018632F"/>
    <w:rsid w:val="001863CA"/>
    <w:rsid w:val="00186473"/>
    <w:rsid w:val="001864AC"/>
    <w:rsid w:val="001864D3"/>
    <w:rsid w:val="001865B6"/>
    <w:rsid w:val="001865C7"/>
    <w:rsid w:val="00186628"/>
    <w:rsid w:val="0018676F"/>
    <w:rsid w:val="00186885"/>
    <w:rsid w:val="00186907"/>
    <w:rsid w:val="00186950"/>
    <w:rsid w:val="00186A93"/>
    <w:rsid w:val="00186B03"/>
    <w:rsid w:val="00186C26"/>
    <w:rsid w:val="00186CF0"/>
    <w:rsid w:val="00186D0B"/>
    <w:rsid w:val="00186D19"/>
    <w:rsid w:val="00186DBE"/>
    <w:rsid w:val="00186DD5"/>
    <w:rsid w:val="00186EA0"/>
    <w:rsid w:val="00186FAB"/>
    <w:rsid w:val="00187027"/>
    <w:rsid w:val="001870BC"/>
    <w:rsid w:val="0018712A"/>
    <w:rsid w:val="00187172"/>
    <w:rsid w:val="0018719E"/>
    <w:rsid w:val="001872AF"/>
    <w:rsid w:val="00187389"/>
    <w:rsid w:val="001873B2"/>
    <w:rsid w:val="001873C5"/>
    <w:rsid w:val="001873F5"/>
    <w:rsid w:val="0018745D"/>
    <w:rsid w:val="001875C2"/>
    <w:rsid w:val="0018778B"/>
    <w:rsid w:val="00187886"/>
    <w:rsid w:val="001878A2"/>
    <w:rsid w:val="001878C0"/>
    <w:rsid w:val="00187920"/>
    <w:rsid w:val="001879C3"/>
    <w:rsid w:val="00187A08"/>
    <w:rsid w:val="00187A20"/>
    <w:rsid w:val="00187A58"/>
    <w:rsid w:val="00187AAB"/>
    <w:rsid w:val="00187ADD"/>
    <w:rsid w:val="00187BAC"/>
    <w:rsid w:val="00187DF4"/>
    <w:rsid w:val="00187E17"/>
    <w:rsid w:val="00187E69"/>
    <w:rsid w:val="00187EBA"/>
    <w:rsid w:val="00187F59"/>
    <w:rsid w:val="00187FF5"/>
    <w:rsid w:val="00190215"/>
    <w:rsid w:val="0019029C"/>
    <w:rsid w:val="001902A4"/>
    <w:rsid w:val="001902C7"/>
    <w:rsid w:val="0019033D"/>
    <w:rsid w:val="001903C1"/>
    <w:rsid w:val="00190447"/>
    <w:rsid w:val="001904BC"/>
    <w:rsid w:val="0019055B"/>
    <w:rsid w:val="00190659"/>
    <w:rsid w:val="0019067E"/>
    <w:rsid w:val="00190680"/>
    <w:rsid w:val="001906BA"/>
    <w:rsid w:val="00190921"/>
    <w:rsid w:val="00190966"/>
    <w:rsid w:val="00190979"/>
    <w:rsid w:val="00190983"/>
    <w:rsid w:val="00190A26"/>
    <w:rsid w:val="00190A49"/>
    <w:rsid w:val="00190AA0"/>
    <w:rsid w:val="00190AA7"/>
    <w:rsid w:val="00190AF7"/>
    <w:rsid w:val="00190B30"/>
    <w:rsid w:val="00190B69"/>
    <w:rsid w:val="00190B9D"/>
    <w:rsid w:val="00190CBF"/>
    <w:rsid w:val="00190D95"/>
    <w:rsid w:val="00190DD3"/>
    <w:rsid w:val="00190E12"/>
    <w:rsid w:val="00190E1C"/>
    <w:rsid w:val="00190EA3"/>
    <w:rsid w:val="00190F87"/>
    <w:rsid w:val="0019102D"/>
    <w:rsid w:val="00191148"/>
    <w:rsid w:val="00191158"/>
    <w:rsid w:val="001911B1"/>
    <w:rsid w:val="001911C2"/>
    <w:rsid w:val="0019126A"/>
    <w:rsid w:val="001912FE"/>
    <w:rsid w:val="0019136F"/>
    <w:rsid w:val="00191387"/>
    <w:rsid w:val="00191401"/>
    <w:rsid w:val="0019149F"/>
    <w:rsid w:val="0019179B"/>
    <w:rsid w:val="00191861"/>
    <w:rsid w:val="001918BF"/>
    <w:rsid w:val="001918F1"/>
    <w:rsid w:val="00191942"/>
    <w:rsid w:val="001919DE"/>
    <w:rsid w:val="00191A5D"/>
    <w:rsid w:val="00191B74"/>
    <w:rsid w:val="00191BEB"/>
    <w:rsid w:val="00191DE6"/>
    <w:rsid w:val="00191F3A"/>
    <w:rsid w:val="00191F9B"/>
    <w:rsid w:val="00192044"/>
    <w:rsid w:val="001920B0"/>
    <w:rsid w:val="00192125"/>
    <w:rsid w:val="0019229D"/>
    <w:rsid w:val="001922B4"/>
    <w:rsid w:val="001922C0"/>
    <w:rsid w:val="001922D2"/>
    <w:rsid w:val="001922F8"/>
    <w:rsid w:val="0019230F"/>
    <w:rsid w:val="00192366"/>
    <w:rsid w:val="001923BD"/>
    <w:rsid w:val="0019242D"/>
    <w:rsid w:val="0019245E"/>
    <w:rsid w:val="00192486"/>
    <w:rsid w:val="001925F7"/>
    <w:rsid w:val="001926AF"/>
    <w:rsid w:val="0019270F"/>
    <w:rsid w:val="001927C8"/>
    <w:rsid w:val="00192847"/>
    <w:rsid w:val="0019287F"/>
    <w:rsid w:val="00192935"/>
    <w:rsid w:val="00192978"/>
    <w:rsid w:val="00192995"/>
    <w:rsid w:val="00192A61"/>
    <w:rsid w:val="00192BC9"/>
    <w:rsid w:val="00192BEE"/>
    <w:rsid w:val="00192DF4"/>
    <w:rsid w:val="00192E3D"/>
    <w:rsid w:val="00192EAD"/>
    <w:rsid w:val="00192EC7"/>
    <w:rsid w:val="00192FF3"/>
    <w:rsid w:val="001930B8"/>
    <w:rsid w:val="001930DC"/>
    <w:rsid w:val="00193179"/>
    <w:rsid w:val="00193187"/>
    <w:rsid w:val="001933F1"/>
    <w:rsid w:val="001934F6"/>
    <w:rsid w:val="0019352D"/>
    <w:rsid w:val="0019353E"/>
    <w:rsid w:val="00193558"/>
    <w:rsid w:val="001935C0"/>
    <w:rsid w:val="00193704"/>
    <w:rsid w:val="0019373D"/>
    <w:rsid w:val="001937B1"/>
    <w:rsid w:val="001937DE"/>
    <w:rsid w:val="00193808"/>
    <w:rsid w:val="0019393D"/>
    <w:rsid w:val="00193997"/>
    <w:rsid w:val="00193B50"/>
    <w:rsid w:val="00193D15"/>
    <w:rsid w:val="00193D19"/>
    <w:rsid w:val="00193D35"/>
    <w:rsid w:val="00193D5D"/>
    <w:rsid w:val="00193D90"/>
    <w:rsid w:val="00193DA7"/>
    <w:rsid w:val="00193DB6"/>
    <w:rsid w:val="00193DD1"/>
    <w:rsid w:val="00193DF8"/>
    <w:rsid w:val="00193F3E"/>
    <w:rsid w:val="0019417D"/>
    <w:rsid w:val="001941F4"/>
    <w:rsid w:val="001944B9"/>
    <w:rsid w:val="00194516"/>
    <w:rsid w:val="00194573"/>
    <w:rsid w:val="001945AB"/>
    <w:rsid w:val="001945FE"/>
    <w:rsid w:val="00194662"/>
    <w:rsid w:val="001947B6"/>
    <w:rsid w:val="001947DF"/>
    <w:rsid w:val="00194825"/>
    <w:rsid w:val="0019485F"/>
    <w:rsid w:val="00194A69"/>
    <w:rsid w:val="00194B84"/>
    <w:rsid w:val="00194C5F"/>
    <w:rsid w:val="00194CFF"/>
    <w:rsid w:val="00194D05"/>
    <w:rsid w:val="00194D7A"/>
    <w:rsid w:val="00194DF9"/>
    <w:rsid w:val="00194DFF"/>
    <w:rsid w:val="00194E91"/>
    <w:rsid w:val="00194F32"/>
    <w:rsid w:val="00194F41"/>
    <w:rsid w:val="00194F94"/>
    <w:rsid w:val="00194FF9"/>
    <w:rsid w:val="0019515D"/>
    <w:rsid w:val="00195234"/>
    <w:rsid w:val="0019527F"/>
    <w:rsid w:val="00195284"/>
    <w:rsid w:val="00195532"/>
    <w:rsid w:val="001955DA"/>
    <w:rsid w:val="001955FA"/>
    <w:rsid w:val="0019564A"/>
    <w:rsid w:val="00195A2E"/>
    <w:rsid w:val="00195AF1"/>
    <w:rsid w:val="00195BF6"/>
    <w:rsid w:val="00195C39"/>
    <w:rsid w:val="00195D17"/>
    <w:rsid w:val="00195D3D"/>
    <w:rsid w:val="00195D86"/>
    <w:rsid w:val="00195E5A"/>
    <w:rsid w:val="00195FC8"/>
    <w:rsid w:val="00196070"/>
    <w:rsid w:val="00196096"/>
    <w:rsid w:val="001962EC"/>
    <w:rsid w:val="001962FE"/>
    <w:rsid w:val="00196338"/>
    <w:rsid w:val="0019635C"/>
    <w:rsid w:val="001964F2"/>
    <w:rsid w:val="001964FD"/>
    <w:rsid w:val="0019665D"/>
    <w:rsid w:val="001966EC"/>
    <w:rsid w:val="00196796"/>
    <w:rsid w:val="001967C3"/>
    <w:rsid w:val="001967CC"/>
    <w:rsid w:val="001967CE"/>
    <w:rsid w:val="001967DE"/>
    <w:rsid w:val="001968D4"/>
    <w:rsid w:val="00196AF7"/>
    <w:rsid w:val="00196C35"/>
    <w:rsid w:val="00196D7D"/>
    <w:rsid w:val="00196DA6"/>
    <w:rsid w:val="00196DB2"/>
    <w:rsid w:val="00196E48"/>
    <w:rsid w:val="00196E89"/>
    <w:rsid w:val="00196F69"/>
    <w:rsid w:val="00196FF1"/>
    <w:rsid w:val="001970A3"/>
    <w:rsid w:val="00197192"/>
    <w:rsid w:val="00197277"/>
    <w:rsid w:val="0019738E"/>
    <w:rsid w:val="00197405"/>
    <w:rsid w:val="00197436"/>
    <w:rsid w:val="00197452"/>
    <w:rsid w:val="00197519"/>
    <w:rsid w:val="00197552"/>
    <w:rsid w:val="001975BD"/>
    <w:rsid w:val="0019768C"/>
    <w:rsid w:val="00197778"/>
    <w:rsid w:val="001977EF"/>
    <w:rsid w:val="00197819"/>
    <w:rsid w:val="00197994"/>
    <w:rsid w:val="001979C4"/>
    <w:rsid w:val="00197A2B"/>
    <w:rsid w:val="00197AFE"/>
    <w:rsid w:val="00197B3D"/>
    <w:rsid w:val="00197BDA"/>
    <w:rsid w:val="00197C2A"/>
    <w:rsid w:val="00197D0F"/>
    <w:rsid w:val="00197EC3"/>
    <w:rsid w:val="00197F44"/>
    <w:rsid w:val="00197F80"/>
    <w:rsid w:val="001A0082"/>
    <w:rsid w:val="001A010D"/>
    <w:rsid w:val="001A01BD"/>
    <w:rsid w:val="001A02E4"/>
    <w:rsid w:val="001A03BA"/>
    <w:rsid w:val="001A049C"/>
    <w:rsid w:val="001A050E"/>
    <w:rsid w:val="001A050F"/>
    <w:rsid w:val="001A0512"/>
    <w:rsid w:val="001A0630"/>
    <w:rsid w:val="001A06CA"/>
    <w:rsid w:val="001A0732"/>
    <w:rsid w:val="001A0742"/>
    <w:rsid w:val="001A0760"/>
    <w:rsid w:val="001A07A4"/>
    <w:rsid w:val="001A0845"/>
    <w:rsid w:val="001A08B9"/>
    <w:rsid w:val="001A0907"/>
    <w:rsid w:val="001A09A8"/>
    <w:rsid w:val="001A09E8"/>
    <w:rsid w:val="001A0A3E"/>
    <w:rsid w:val="001A0A69"/>
    <w:rsid w:val="001A0BB4"/>
    <w:rsid w:val="001A0BC3"/>
    <w:rsid w:val="001A0D0B"/>
    <w:rsid w:val="001A0D38"/>
    <w:rsid w:val="001A0FB5"/>
    <w:rsid w:val="001A1026"/>
    <w:rsid w:val="001A108A"/>
    <w:rsid w:val="001A10C0"/>
    <w:rsid w:val="001A11ED"/>
    <w:rsid w:val="001A121F"/>
    <w:rsid w:val="001A12AE"/>
    <w:rsid w:val="001A12B5"/>
    <w:rsid w:val="001A12BF"/>
    <w:rsid w:val="001A1333"/>
    <w:rsid w:val="001A137F"/>
    <w:rsid w:val="001A141F"/>
    <w:rsid w:val="001A1450"/>
    <w:rsid w:val="001A1459"/>
    <w:rsid w:val="001A147F"/>
    <w:rsid w:val="001A14FF"/>
    <w:rsid w:val="001A1524"/>
    <w:rsid w:val="001A1528"/>
    <w:rsid w:val="001A15EE"/>
    <w:rsid w:val="001A15EF"/>
    <w:rsid w:val="001A15FF"/>
    <w:rsid w:val="001A1638"/>
    <w:rsid w:val="001A17DF"/>
    <w:rsid w:val="001A1802"/>
    <w:rsid w:val="001A197A"/>
    <w:rsid w:val="001A1BC8"/>
    <w:rsid w:val="001A1C77"/>
    <w:rsid w:val="001A1CDA"/>
    <w:rsid w:val="001A1E1D"/>
    <w:rsid w:val="001A1E76"/>
    <w:rsid w:val="001A2048"/>
    <w:rsid w:val="001A2096"/>
    <w:rsid w:val="001A20F5"/>
    <w:rsid w:val="001A210F"/>
    <w:rsid w:val="001A2146"/>
    <w:rsid w:val="001A21FF"/>
    <w:rsid w:val="001A223D"/>
    <w:rsid w:val="001A23DF"/>
    <w:rsid w:val="001A2403"/>
    <w:rsid w:val="001A25AE"/>
    <w:rsid w:val="001A25BB"/>
    <w:rsid w:val="001A265A"/>
    <w:rsid w:val="001A267A"/>
    <w:rsid w:val="001A2688"/>
    <w:rsid w:val="001A26D8"/>
    <w:rsid w:val="001A270A"/>
    <w:rsid w:val="001A2884"/>
    <w:rsid w:val="001A2910"/>
    <w:rsid w:val="001A2A07"/>
    <w:rsid w:val="001A2A20"/>
    <w:rsid w:val="001A2A94"/>
    <w:rsid w:val="001A2BC5"/>
    <w:rsid w:val="001A2BDD"/>
    <w:rsid w:val="001A2CC3"/>
    <w:rsid w:val="001A2CEE"/>
    <w:rsid w:val="001A2DC3"/>
    <w:rsid w:val="001A30C9"/>
    <w:rsid w:val="001A30E9"/>
    <w:rsid w:val="001A3181"/>
    <w:rsid w:val="001A320D"/>
    <w:rsid w:val="001A321B"/>
    <w:rsid w:val="001A3281"/>
    <w:rsid w:val="001A3301"/>
    <w:rsid w:val="001A35C0"/>
    <w:rsid w:val="001A3718"/>
    <w:rsid w:val="001A37DF"/>
    <w:rsid w:val="001A3838"/>
    <w:rsid w:val="001A38D0"/>
    <w:rsid w:val="001A38D1"/>
    <w:rsid w:val="001A38DB"/>
    <w:rsid w:val="001A38F3"/>
    <w:rsid w:val="001A3922"/>
    <w:rsid w:val="001A3AED"/>
    <w:rsid w:val="001A3B4B"/>
    <w:rsid w:val="001A3C48"/>
    <w:rsid w:val="001A3DC3"/>
    <w:rsid w:val="001A3F54"/>
    <w:rsid w:val="001A3F9C"/>
    <w:rsid w:val="001A3FB6"/>
    <w:rsid w:val="001A402D"/>
    <w:rsid w:val="001A4032"/>
    <w:rsid w:val="001A40CC"/>
    <w:rsid w:val="001A415B"/>
    <w:rsid w:val="001A4295"/>
    <w:rsid w:val="001A45BA"/>
    <w:rsid w:val="001A45F4"/>
    <w:rsid w:val="001A463A"/>
    <w:rsid w:val="001A4784"/>
    <w:rsid w:val="001A479B"/>
    <w:rsid w:val="001A4850"/>
    <w:rsid w:val="001A488A"/>
    <w:rsid w:val="001A48F4"/>
    <w:rsid w:val="001A4953"/>
    <w:rsid w:val="001A49E9"/>
    <w:rsid w:val="001A4AD7"/>
    <w:rsid w:val="001A4B83"/>
    <w:rsid w:val="001A4BB3"/>
    <w:rsid w:val="001A4BFD"/>
    <w:rsid w:val="001A4C75"/>
    <w:rsid w:val="001A4D92"/>
    <w:rsid w:val="001A4D94"/>
    <w:rsid w:val="001A4E34"/>
    <w:rsid w:val="001A4E6C"/>
    <w:rsid w:val="001A4EB3"/>
    <w:rsid w:val="001A4F9E"/>
    <w:rsid w:val="001A500F"/>
    <w:rsid w:val="001A510C"/>
    <w:rsid w:val="001A5171"/>
    <w:rsid w:val="001A517D"/>
    <w:rsid w:val="001A5209"/>
    <w:rsid w:val="001A52F3"/>
    <w:rsid w:val="001A535F"/>
    <w:rsid w:val="001A55A9"/>
    <w:rsid w:val="001A55AD"/>
    <w:rsid w:val="001A5635"/>
    <w:rsid w:val="001A5677"/>
    <w:rsid w:val="001A56F5"/>
    <w:rsid w:val="001A574C"/>
    <w:rsid w:val="001A57BC"/>
    <w:rsid w:val="001A57C2"/>
    <w:rsid w:val="001A58E7"/>
    <w:rsid w:val="001A5916"/>
    <w:rsid w:val="001A592C"/>
    <w:rsid w:val="001A5953"/>
    <w:rsid w:val="001A59D5"/>
    <w:rsid w:val="001A59F6"/>
    <w:rsid w:val="001A5A22"/>
    <w:rsid w:val="001A5B48"/>
    <w:rsid w:val="001A5B4C"/>
    <w:rsid w:val="001A5BC5"/>
    <w:rsid w:val="001A5C98"/>
    <w:rsid w:val="001A5CA9"/>
    <w:rsid w:val="001A5D40"/>
    <w:rsid w:val="001A5DAE"/>
    <w:rsid w:val="001A5E10"/>
    <w:rsid w:val="001A5EEC"/>
    <w:rsid w:val="001A6011"/>
    <w:rsid w:val="001A6021"/>
    <w:rsid w:val="001A63D9"/>
    <w:rsid w:val="001A6413"/>
    <w:rsid w:val="001A644B"/>
    <w:rsid w:val="001A646C"/>
    <w:rsid w:val="001A6524"/>
    <w:rsid w:val="001A6580"/>
    <w:rsid w:val="001A6846"/>
    <w:rsid w:val="001A691E"/>
    <w:rsid w:val="001A6997"/>
    <w:rsid w:val="001A69C2"/>
    <w:rsid w:val="001A6A30"/>
    <w:rsid w:val="001A6A63"/>
    <w:rsid w:val="001A6B48"/>
    <w:rsid w:val="001A6CE0"/>
    <w:rsid w:val="001A6E65"/>
    <w:rsid w:val="001A6E76"/>
    <w:rsid w:val="001A6ECF"/>
    <w:rsid w:val="001A700B"/>
    <w:rsid w:val="001A7027"/>
    <w:rsid w:val="001A7028"/>
    <w:rsid w:val="001A7181"/>
    <w:rsid w:val="001A7199"/>
    <w:rsid w:val="001A719D"/>
    <w:rsid w:val="001A71D6"/>
    <w:rsid w:val="001A7276"/>
    <w:rsid w:val="001A72D1"/>
    <w:rsid w:val="001A731D"/>
    <w:rsid w:val="001A744E"/>
    <w:rsid w:val="001A7504"/>
    <w:rsid w:val="001A76BD"/>
    <w:rsid w:val="001A7B12"/>
    <w:rsid w:val="001A7BF8"/>
    <w:rsid w:val="001A7CA7"/>
    <w:rsid w:val="001A7E6A"/>
    <w:rsid w:val="001A7F71"/>
    <w:rsid w:val="001A7F88"/>
    <w:rsid w:val="001B00AD"/>
    <w:rsid w:val="001B01EE"/>
    <w:rsid w:val="001B023E"/>
    <w:rsid w:val="001B0247"/>
    <w:rsid w:val="001B02A8"/>
    <w:rsid w:val="001B02A9"/>
    <w:rsid w:val="001B0372"/>
    <w:rsid w:val="001B03EF"/>
    <w:rsid w:val="001B0593"/>
    <w:rsid w:val="001B0594"/>
    <w:rsid w:val="001B05BE"/>
    <w:rsid w:val="001B06D2"/>
    <w:rsid w:val="001B0739"/>
    <w:rsid w:val="001B073B"/>
    <w:rsid w:val="001B0927"/>
    <w:rsid w:val="001B09A2"/>
    <w:rsid w:val="001B0B5F"/>
    <w:rsid w:val="001B0B6B"/>
    <w:rsid w:val="001B0C12"/>
    <w:rsid w:val="001B0C8B"/>
    <w:rsid w:val="001B0D0F"/>
    <w:rsid w:val="001B0DFF"/>
    <w:rsid w:val="001B0E08"/>
    <w:rsid w:val="001B0E0C"/>
    <w:rsid w:val="001B0E15"/>
    <w:rsid w:val="001B0F98"/>
    <w:rsid w:val="001B10C9"/>
    <w:rsid w:val="001B112A"/>
    <w:rsid w:val="001B112C"/>
    <w:rsid w:val="001B123F"/>
    <w:rsid w:val="001B1287"/>
    <w:rsid w:val="001B13AF"/>
    <w:rsid w:val="001B13FC"/>
    <w:rsid w:val="001B147A"/>
    <w:rsid w:val="001B1616"/>
    <w:rsid w:val="001B172C"/>
    <w:rsid w:val="001B1733"/>
    <w:rsid w:val="001B17B5"/>
    <w:rsid w:val="001B17ED"/>
    <w:rsid w:val="001B1820"/>
    <w:rsid w:val="001B1851"/>
    <w:rsid w:val="001B18E5"/>
    <w:rsid w:val="001B1986"/>
    <w:rsid w:val="001B1A56"/>
    <w:rsid w:val="001B1ADC"/>
    <w:rsid w:val="001B1BDE"/>
    <w:rsid w:val="001B1C1D"/>
    <w:rsid w:val="001B1C66"/>
    <w:rsid w:val="001B1CA5"/>
    <w:rsid w:val="001B1CBC"/>
    <w:rsid w:val="001B1CF8"/>
    <w:rsid w:val="001B1D90"/>
    <w:rsid w:val="001B1E13"/>
    <w:rsid w:val="001B1E72"/>
    <w:rsid w:val="001B1ECC"/>
    <w:rsid w:val="001B1ED3"/>
    <w:rsid w:val="001B1F08"/>
    <w:rsid w:val="001B1FE1"/>
    <w:rsid w:val="001B20B2"/>
    <w:rsid w:val="001B2149"/>
    <w:rsid w:val="001B21B2"/>
    <w:rsid w:val="001B237D"/>
    <w:rsid w:val="001B238A"/>
    <w:rsid w:val="001B23E5"/>
    <w:rsid w:val="001B2420"/>
    <w:rsid w:val="001B2517"/>
    <w:rsid w:val="001B251A"/>
    <w:rsid w:val="001B26D2"/>
    <w:rsid w:val="001B2796"/>
    <w:rsid w:val="001B27D1"/>
    <w:rsid w:val="001B28A9"/>
    <w:rsid w:val="001B28B8"/>
    <w:rsid w:val="001B28FB"/>
    <w:rsid w:val="001B2A05"/>
    <w:rsid w:val="001B2B14"/>
    <w:rsid w:val="001B2B49"/>
    <w:rsid w:val="001B2BF0"/>
    <w:rsid w:val="001B2C38"/>
    <w:rsid w:val="001B2C8A"/>
    <w:rsid w:val="001B2FBE"/>
    <w:rsid w:val="001B304E"/>
    <w:rsid w:val="001B3056"/>
    <w:rsid w:val="001B3057"/>
    <w:rsid w:val="001B3078"/>
    <w:rsid w:val="001B314D"/>
    <w:rsid w:val="001B32C0"/>
    <w:rsid w:val="001B3339"/>
    <w:rsid w:val="001B334A"/>
    <w:rsid w:val="001B336C"/>
    <w:rsid w:val="001B3439"/>
    <w:rsid w:val="001B34D7"/>
    <w:rsid w:val="001B34F0"/>
    <w:rsid w:val="001B3580"/>
    <w:rsid w:val="001B3637"/>
    <w:rsid w:val="001B36D3"/>
    <w:rsid w:val="001B3720"/>
    <w:rsid w:val="001B3772"/>
    <w:rsid w:val="001B384A"/>
    <w:rsid w:val="001B3931"/>
    <w:rsid w:val="001B3939"/>
    <w:rsid w:val="001B398A"/>
    <w:rsid w:val="001B3A82"/>
    <w:rsid w:val="001B3A90"/>
    <w:rsid w:val="001B3B13"/>
    <w:rsid w:val="001B3CB0"/>
    <w:rsid w:val="001B3CC0"/>
    <w:rsid w:val="001B3E0B"/>
    <w:rsid w:val="001B3E11"/>
    <w:rsid w:val="001B3ECA"/>
    <w:rsid w:val="001B3F44"/>
    <w:rsid w:val="001B3F78"/>
    <w:rsid w:val="001B3F83"/>
    <w:rsid w:val="001B4221"/>
    <w:rsid w:val="001B422F"/>
    <w:rsid w:val="001B4301"/>
    <w:rsid w:val="001B43F7"/>
    <w:rsid w:val="001B440E"/>
    <w:rsid w:val="001B441C"/>
    <w:rsid w:val="001B4512"/>
    <w:rsid w:val="001B453B"/>
    <w:rsid w:val="001B4586"/>
    <w:rsid w:val="001B45F2"/>
    <w:rsid w:val="001B468E"/>
    <w:rsid w:val="001B46F5"/>
    <w:rsid w:val="001B4748"/>
    <w:rsid w:val="001B4825"/>
    <w:rsid w:val="001B4936"/>
    <w:rsid w:val="001B49F2"/>
    <w:rsid w:val="001B4B43"/>
    <w:rsid w:val="001B4CB3"/>
    <w:rsid w:val="001B4CC9"/>
    <w:rsid w:val="001B4D5D"/>
    <w:rsid w:val="001B4D64"/>
    <w:rsid w:val="001B4DCF"/>
    <w:rsid w:val="001B4F74"/>
    <w:rsid w:val="001B5110"/>
    <w:rsid w:val="001B5137"/>
    <w:rsid w:val="001B543B"/>
    <w:rsid w:val="001B5506"/>
    <w:rsid w:val="001B5555"/>
    <w:rsid w:val="001B55BB"/>
    <w:rsid w:val="001B55D1"/>
    <w:rsid w:val="001B55FD"/>
    <w:rsid w:val="001B5625"/>
    <w:rsid w:val="001B56A1"/>
    <w:rsid w:val="001B56A7"/>
    <w:rsid w:val="001B57BF"/>
    <w:rsid w:val="001B57C8"/>
    <w:rsid w:val="001B580F"/>
    <w:rsid w:val="001B586C"/>
    <w:rsid w:val="001B5922"/>
    <w:rsid w:val="001B5980"/>
    <w:rsid w:val="001B5CC8"/>
    <w:rsid w:val="001B5F67"/>
    <w:rsid w:val="001B600C"/>
    <w:rsid w:val="001B6020"/>
    <w:rsid w:val="001B60C5"/>
    <w:rsid w:val="001B60C6"/>
    <w:rsid w:val="001B6206"/>
    <w:rsid w:val="001B63D2"/>
    <w:rsid w:val="001B6424"/>
    <w:rsid w:val="001B6505"/>
    <w:rsid w:val="001B65C7"/>
    <w:rsid w:val="001B6708"/>
    <w:rsid w:val="001B6731"/>
    <w:rsid w:val="001B6734"/>
    <w:rsid w:val="001B67BC"/>
    <w:rsid w:val="001B68B5"/>
    <w:rsid w:val="001B697A"/>
    <w:rsid w:val="001B6980"/>
    <w:rsid w:val="001B6A06"/>
    <w:rsid w:val="001B6AAB"/>
    <w:rsid w:val="001B6C62"/>
    <w:rsid w:val="001B6C8A"/>
    <w:rsid w:val="001B6C8F"/>
    <w:rsid w:val="001B6C96"/>
    <w:rsid w:val="001B6CF3"/>
    <w:rsid w:val="001B6DEC"/>
    <w:rsid w:val="001B6E4F"/>
    <w:rsid w:val="001B6F32"/>
    <w:rsid w:val="001B7040"/>
    <w:rsid w:val="001B70DA"/>
    <w:rsid w:val="001B7208"/>
    <w:rsid w:val="001B7241"/>
    <w:rsid w:val="001B72C4"/>
    <w:rsid w:val="001B7411"/>
    <w:rsid w:val="001B7421"/>
    <w:rsid w:val="001B7485"/>
    <w:rsid w:val="001B74F2"/>
    <w:rsid w:val="001B75B5"/>
    <w:rsid w:val="001B7683"/>
    <w:rsid w:val="001B771E"/>
    <w:rsid w:val="001B77A8"/>
    <w:rsid w:val="001B79AA"/>
    <w:rsid w:val="001B7A61"/>
    <w:rsid w:val="001B7AFB"/>
    <w:rsid w:val="001B7B41"/>
    <w:rsid w:val="001B7BB3"/>
    <w:rsid w:val="001B7C37"/>
    <w:rsid w:val="001B7CB2"/>
    <w:rsid w:val="001B7DFA"/>
    <w:rsid w:val="001B7E07"/>
    <w:rsid w:val="001B7F8F"/>
    <w:rsid w:val="001B7FB5"/>
    <w:rsid w:val="001C0028"/>
    <w:rsid w:val="001C0030"/>
    <w:rsid w:val="001C0112"/>
    <w:rsid w:val="001C0151"/>
    <w:rsid w:val="001C01AA"/>
    <w:rsid w:val="001C01AD"/>
    <w:rsid w:val="001C024D"/>
    <w:rsid w:val="001C03F1"/>
    <w:rsid w:val="001C05D2"/>
    <w:rsid w:val="001C0627"/>
    <w:rsid w:val="001C06A1"/>
    <w:rsid w:val="001C0730"/>
    <w:rsid w:val="001C0854"/>
    <w:rsid w:val="001C09E7"/>
    <w:rsid w:val="001C0A66"/>
    <w:rsid w:val="001C0AFE"/>
    <w:rsid w:val="001C0F4F"/>
    <w:rsid w:val="001C0FBB"/>
    <w:rsid w:val="001C1018"/>
    <w:rsid w:val="001C111B"/>
    <w:rsid w:val="001C1197"/>
    <w:rsid w:val="001C11A9"/>
    <w:rsid w:val="001C11C1"/>
    <w:rsid w:val="001C11C6"/>
    <w:rsid w:val="001C11EB"/>
    <w:rsid w:val="001C1331"/>
    <w:rsid w:val="001C13AF"/>
    <w:rsid w:val="001C140B"/>
    <w:rsid w:val="001C143A"/>
    <w:rsid w:val="001C14E5"/>
    <w:rsid w:val="001C15EF"/>
    <w:rsid w:val="001C16B7"/>
    <w:rsid w:val="001C181B"/>
    <w:rsid w:val="001C18F3"/>
    <w:rsid w:val="001C1914"/>
    <w:rsid w:val="001C19DB"/>
    <w:rsid w:val="001C19FF"/>
    <w:rsid w:val="001C1B63"/>
    <w:rsid w:val="001C1BB0"/>
    <w:rsid w:val="001C1D13"/>
    <w:rsid w:val="001C1D9D"/>
    <w:rsid w:val="001C1E0D"/>
    <w:rsid w:val="001C1E3F"/>
    <w:rsid w:val="001C1FF5"/>
    <w:rsid w:val="001C207D"/>
    <w:rsid w:val="001C20EB"/>
    <w:rsid w:val="001C2166"/>
    <w:rsid w:val="001C221D"/>
    <w:rsid w:val="001C245B"/>
    <w:rsid w:val="001C261D"/>
    <w:rsid w:val="001C266A"/>
    <w:rsid w:val="001C267C"/>
    <w:rsid w:val="001C268F"/>
    <w:rsid w:val="001C26A4"/>
    <w:rsid w:val="001C26AB"/>
    <w:rsid w:val="001C274E"/>
    <w:rsid w:val="001C2764"/>
    <w:rsid w:val="001C292C"/>
    <w:rsid w:val="001C2A21"/>
    <w:rsid w:val="001C2AF8"/>
    <w:rsid w:val="001C2B8D"/>
    <w:rsid w:val="001C2B94"/>
    <w:rsid w:val="001C2C22"/>
    <w:rsid w:val="001C2CA5"/>
    <w:rsid w:val="001C2D32"/>
    <w:rsid w:val="001C2DEE"/>
    <w:rsid w:val="001C2EC5"/>
    <w:rsid w:val="001C2FE6"/>
    <w:rsid w:val="001C3231"/>
    <w:rsid w:val="001C3360"/>
    <w:rsid w:val="001C3488"/>
    <w:rsid w:val="001C34CE"/>
    <w:rsid w:val="001C354E"/>
    <w:rsid w:val="001C356B"/>
    <w:rsid w:val="001C35A7"/>
    <w:rsid w:val="001C36ED"/>
    <w:rsid w:val="001C372B"/>
    <w:rsid w:val="001C37D6"/>
    <w:rsid w:val="001C3850"/>
    <w:rsid w:val="001C3896"/>
    <w:rsid w:val="001C389E"/>
    <w:rsid w:val="001C38D6"/>
    <w:rsid w:val="001C39C0"/>
    <w:rsid w:val="001C39F0"/>
    <w:rsid w:val="001C3A17"/>
    <w:rsid w:val="001C3A96"/>
    <w:rsid w:val="001C3A97"/>
    <w:rsid w:val="001C3AF5"/>
    <w:rsid w:val="001C3B00"/>
    <w:rsid w:val="001C3B0F"/>
    <w:rsid w:val="001C3B35"/>
    <w:rsid w:val="001C3DA1"/>
    <w:rsid w:val="001C3DE6"/>
    <w:rsid w:val="001C3E4A"/>
    <w:rsid w:val="001C4076"/>
    <w:rsid w:val="001C4398"/>
    <w:rsid w:val="001C440D"/>
    <w:rsid w:val="001C4467"/>
    <w:rsid w:val="001C44D4"/>
    <w:rsid w:val="001C44F6"/>
    <w:rsid w:val="001C4596"/>
    <w:rsid w:val="001C45A0"/>
    <w:rsid w:val="001C464B"/>
    <w:rsid w:val="001C4782"/>
    <w:rsid w:val="001C4C21"/>
    <w:rsid w:val="001C4D36"/>
    <w:rsid w:val="001C4E6A"/>
    <w:rsid w:val="001C4F06"/>
    <w:rsid w:val="001C4F22"/>
    <w:rsid w:val="001C4F52"/>
    <w:rsid w:val="001C50B4"/>
    <w:rsid w:val="001C5127"/>
    <w:rsid w:val="001C5177"/>
    <w:rsid w:val="001C51DE"/>
    <w:rsid w:val="001C5219"/>
    <w:rsid w:val="001C524C"/>
    <w:rsid w:val="001C5307"/>
    <w:rsid w:val="001C5320"/>
    <w:rsid w:val="001C537C"/>
    <w:rsid w:val="001C539E"/>
    <w:rsid w:val="001C53D8"/>
    <w:rsid w:val="001C5485"/>
    <w:rsid w:val="001C5586"/>
    <w:rsid w:val="001C55AE"/>
    <w:rsid w:val="001C55E0"/>
    <w:rsid w:val="001C55E3"/>
    <w:rsid w:val="001C55E6"/>
    <w:rsid w:val="001C55E9"/>
    <w:rsid w:val="001C562F"/>
    <w:rsid w:val="001C5662"/>
    <w:rsid w:val="001C56D3"/>
    <w:rsid w:val="001C57C0"/>
    <w:rsid w:val="001C57DA"/>
    <w:rsid w:val="001C57DE"/>
    <w:rsid w:val="001C58A5"/>
    <w:rsid w:val="001C597A"/>
    <w:rsid w:val="001C5A82"/>
    <w:rsid w:val="001C5B03"/>
    <w:rsid w:val="001C5B34"/>
    <w:rsid w:val="001C5C5A"/>
    <w:rsid w:val="001C5C7F"/>
    <w:rsid w:val="001C5D8A"/>
    <w:rsid w:val="001C5D90"/>
    <w:rsid w:val="001C5FE8"/>
    <w:rsid w:val="001C6089"/>
    <w:rsid w:val="001C6134"/>
    <w:rsid w:val="001C61D9"/>
    <w:rsid w:val="001C6389"/>
    <w:rsid w:val="001C6456"/>
    <w:rsid w:val="001C6578"/>
    <w:rsid w:val="001C65C5"/>
    <w:rsid w:val="001C667B"/>
    <w:rsid w:val="001C68E4"/>
    <w:rsid w:val="001C69D3"/>
    <w:rsid w:val="001C6A1A"/>
    <w:rsid w:val="001C6AD8"/>
    <w:rsid w:val="001C6B37"/>
    <w:rsid w:val="001C6B50"/>
    <w:rsid w:val="001C6C10"/>
    <w:rsid w:val="001C6C15"/>
    <w:rsid w:val="001C6C59"/>
    <w:rsid w:val="001C6E96"/>
    <w:rsid w:val="001C6E9D"/>
    <w:rsid w:val="001C6FC5"/>
    <w:rsid w:val="001C701B"/>
    <w:rsid w:val="001C70B6"/>
    <w:rsid w:val="001C70C7"/>
    <w:rsid w:val="001C7155"/>
    <w:rsid w:val="001C7204"/>
    <w:rsid w:val="001C72A0"/>
    <w:rsid w:val="001C72F2"/>
    <w:rsid w:val="001C733B"/>
    <w:rsid w:val="001C74B6"/>
    <w:rsid w:val="001C7505"/>
    <w:rsid w:val="001C755A"/>
    <w:rsid w:val="001C75D8"/>
    <w:rsid w:val="001C75EF"/>
    <w:rsid w:val="001C7618"/>
    <w:rsid w:val="001C763E"/>
    <w:rsid w:val="001C768F"/>
    <w:rsid w:val="001C7847"/>
    <w:rsid w:val="001C796E"/>
    <w:rsid w:val="001C7A44"/>
    <w:rsid w:val="001C7C0E"/>
    <w:rsid w:val="001C7C3D"/>
    <w:rsid w:val="001C7F36"/>
    <w:rsid w:val="001C7F7E"/>
    <w:rsid w:val="001D009A"/>
    <w:rsid w:val="001D00AE"/>
    <w:rsid w:val="001D00B1"/>
    <w:rsid w:val="001D012B"/>
    <w:rsid w:val="001D0289"/>
    <w:rsid w:val="001D028D"/>
    <w:rsid w:val="001D02E4"/>
    <w:rsid w:val="001D031C"/>
    <w:rsid w:val="001D0358"/>
    <w:rsid w:val="001D040F"/>
    <w:rsid w:val="001D0579"/>
    <w:rsid w:val="001D061E"/>
    <w:rsid w:val="001D0633"/>
    <w:rsid w:val="001D0648"/>
    <w:rsid w:val="001D06B0"/>
    <w:rsid w:val="001D0895"/>
    <w:rsid w:val="001D0A55"/>
    <w:rsid w:val="001D0AED"/>
    <w:rsid w:val="001D0B44"/>
    <w:rsid w:val="001D0D23"/>
    <w:rsid w:val="001D0DB0"/>
    <w:rsid w:val="001D0E66"/>
    <w:rsid w:val="001D0E6B"/>
    <w:rsid w:val="001D0ED0"/>
    <w:rsid w:val="001D0EFE"/>
    <w:rsid w:val="001D0F8E"/>
    <w:rsid w:val="001D0FAA"/>
    <w:rsid w:val="001D1159"/>
    <w:rsid w:val="001D123F"/>
    <w:rsid w:val="001D13EF"/>
    <w:rsid w:val="001D1509"/>
    <w:rsid w:val="001D1537"/>
    <w:rsid w:val="001D15AA"/>
    <w:rsid w:val="001D168B"/>
    <w:rsid w:val="001D1718"/>
    <w:rsid w:val="001D18F7"/>
    <w:rsid w:val="001D193E"/>
    <w:rsid w:val="001D194D"/>
    <w:rsid w:val="001D19AC"/>
    <w:rsid w:val="001D19CB"/>
    <w:rsid w:val="001D19F1"/>
    <w:rsid w:val="001D1A08"/>
    <w:rsid w:val="001D1A59"/>
    <w:rsid w:val="001D1A64"/>
    <w:rsid w:val="001D1AFB"/>
    <w:rsid w:val="001D1C7B"/>
    <w:rsid w:val="001D1C93"/>
    <w:rsid w:val="001D1CCD"/>
    <w:rsid w:val="001D1D29"/>
    <w:rsid w:val="001D1D40"/>
    <w:rsid w:val="001D1E4B"/>
    <w:rsid w:val="001D1F05"/>
    <w:rsid w:val="001D201A"/>
    <w:rsid w:val="001D210B"/>
    <w:rsid w:val="001D23F6"/>
    <w:rsid w:val="001D2406"/>
    <w:rsid w:val="001D2412"/>
    <w:rsid w:val="001D244C"/>
    <w:rsid w:val="001D246F"/>
    <w:rsid w:val="001D24DB"/>
    <w:rsid w:val="001D24E3"/>
    <w:rsid w:val="001D2501"/>
    <w:rsid w:val="001D2503"/>
    <w:rsid w:val="001D2732"/>
    <w:rsid w:val="001D276D"/>
    <w:rsid w:val="001D2773"/>
    <w:rsid w:val="001D2804"/>
    <w:rsid w:val="001D284B"/>
    <w:rsid w:val="001D2879"/>
    <w:rsid w:val="001D2906"/>
    <w:rsid w:val="001D2B50"/>
    <w:rsid w:val="001D2BBB"/>
    <w:rsid w:val="001D2BCC"/>
    <w:rsid w:val="001D2BE5"/>
    <w:rsid w:val="001D2BE7"/>
    <w:rsid w:val="001D2BFA"/>
    <w:rsid w:val="001D2DD8"/>
    <w:rsid w:val="001D2E7A"/>
    <w:rsid w:val="001D2F17"/>
    <w:rsid w:val="001D2F41"/>
    <w:rsid w:val="001D2F89"/>
    <w:rsid w:val="001D2F98"/>
    <w:rsid w:val="001D3019"/>
    <w:rsid w:val="001D3146"/>
    <w:rsid w:val="001D3148"/>
    <w:rsid w:val="001D338E"/>
    <w:rsid w:val="001D33E2"/>
    <w:rsid w:val="001D35F2"/>
    <w:rsid w:val="001D363D"/>
    <w:rsid w:val="001D36B9"/>
    <w:rsid w:val="001D37F0"/>
    <w:rsid w:val="001D3813"/>
    <w:rsid w:val="001D382D"/>
    <w:rsid w:val="001D3974"/>
    <w:rsid w:val="001D3B47"/>
    <w:rsid w:val="001D3B54"/>
    <w:rsid w:val="001D3B90"/>
    <w:rsid w:val="001D3C05"/>
    <w:rsid w:val="001D3C5C"/>
    <w:rsid w:val="001D3C74"/>
    <w:rsid w:val="001D3D1B"/>
    <w:rsid w:val="001D3DB6"/>
    <w:rsid w:val="001D3DDE"/>
    <w:rsid w:val="001D3DDF"/>
    <w:rsid w:val="001D3E73"/>
    <w:rsid w:val="001D3EE9"/>
    <w:rsid w:val="001D3F65"/>
    <w:rsid w:val="001D3FBA"/>
    <w:rsid w:val="001D409A"/>
    <w:rsid w:val="001D40DA"/>
    <w:rsid w:val="001D4152"/>
    <w:rsid w:val="001D4182"/>
    <w:rsid w:val="001D41CA"/>
    <w:rsid w:val="001D42A2"/>
    <w:rsid w:val="001D433A"/>
    <w:rsid w:val="001D4392"/>
    <w:rsid w:val="001D4398"/>
    <w:rsid w:val="001D43B1"/>
    <w:rsid w:val="001D4403"/>
    <w:rsid w:val="001D4465"/>
    <w:rsid w:val="001D452D"/>
    <w:rsid w:val="001D45AA"/>
    <w:rsid w:val="001D4696"/>
    <w:rsid w:val="001D472C"/>
    <w:rsid w:val="001D4798"/>
    <w:rsid w:val="001D49C4"/>
    <w:rsid w:val="001D49F1"/>
    <w:rsid w:val="001D4AD9"/>
    <w:rsid w:val="001D4C79"/>
    <w:rsid w:val="001D4CA2"/>
    <w:rsid w:val="001D4D28"/>
    <w:rsid w:val="001D4E16"/>
    <w:rsid w:val="001D4ED0"/>
    <w:rsid w:val="001D5036"/>
    <w:rsid w:val="001D5076"/>
    <w:rsid w:val="001D5259"/>
    <w:rsid w:val="001D5308"/>
    <w:rsid w:val="001D530F"/>
    <w:rsid w:val="001D54F6"/>
    <w:rsid w:val="001D5512"/>
    <w:rsid w:val="001D55FD"/>
    <w:rsid w:val="001D5665"/>
    <w:rsid w:val="001D56B1"/>
    <w:rsid w:val="001D5792"/>
    <w:rsid w:val="001D5869"/>
    <w:rsid w:val="001D58D7"/>
    <w:rsid w:val="001D5911"/>
    <w:rsid w:val="001D5983"/>
    <w:rsid w:val="001D59AC"/>
    <w:rsid w:val="001D5CD3"/>
    <w:rsid w:val="001D5CD9"/>
    <w:rsid w:val="001D5DBF"/>
    <w:rsid w:val="001D607B"/>
    <w:rsid w:val="001D6105"/>
    <w:rsid w:val="001D61C3"/>
    <w:rsid w:val="001D6200"/>
    <w:rsid w:val="001D6277"/>
    <w:rsid w:val="001D63A1"/>
    <w:rsid w:val="001D63A5"/>
    <w:rsid w:val="001D6627"/>
    <w:rsid w:val="001D66D2"/>
    <w:rsid w:val="001D6755"/>
    <w:rsid w:val="001D6809"/>
    <w:rsid w:val="001D68B2"/>
    <w:rsid w:val="001D68F3"/>
    <w:rsid w:val="001D6927"/>
    <w:rsid w:val="001D69B2"/>
    <w:rsid w:val="001D69E3"/>
    <w:rsid w:val="001D6A41"/>
    <w:rsid w:val="001D6A80"/>
    <w:rsid w:val="001D6ABA"/>
    <w:rsid w:val="001D6B37"/>
    <w:rsid w:val="001D6B6D"/>
    <w:rsid w:val="001D6BEE"/>
    <w:rsid w:val="001D6C72"/>
    <w:rsid w:val="001D6C87"/>
    <w:rsid w:val="001D6D02"/>
    <w:rsid w:val="001D6D5C"/>
    <w:rsid w:val="001D6DAC"/>
    <w:rsid w:val="001D6DE5"/>
    <w:rsid w:val="001D6E6F"/>
    <w:rsid w:val="001D6F85"/>
    <w:rsid w:val="001D6F8B"/>
    <w:rsid w:val="001D6FC3"/>
    <w:rsid w:val="001D7031"/>
    <w:rsid w:val="001D7050"/>
    <w:rsid w:val="001D7122"/>
    <w:rsid w:val="001D71EF"/>
    <w:rsid w:val="001D71F0"/>
    <w:rsid w:val="001D7397"/>
    <w:rsid w:val="001D7401"/>
    <w:rsid w:val="001D748F"/>
    <w:rsid w:val="001D74B6"/>
    <w:rsid w:val="001D74C9"/>
    <w:rsid w:val="001D7531"/>
    <w:rsid w:val="001D75C4"/>
    <w:rsid w:val="001D75D5"/>
    <w:rsid w:val="001D7623"/>
    <w:rsid w:val="001D7647"/>
    <w:rsid w:val="001D764C"/>
    <w:rsid w:val="001D76B7"/>
    <w:rsid w:val="001D76FA"/>
    <w:rsid w:val="001D7842"/>
    <w:rsid w:val="001D7A1C"/>
    <w:rsid w:val="001D7A83"/>
    <w:rsid w:val="001D7D58"/>
    <w:rsid w:val="001D7E19"/>
    <w:rsid w:val="001D7E84"/>
    <w:rsid w:val="001D7EEA"/>
    <w:rsid w:val="001E0077"/>
    <w:rsid w:val="001E0092"/>
    <w:rsid w:val="001E00E5"/>
    <w:rsid w:val="001E00E7"/>
    <w:rsid w:val="001E00FF"/>
    <w:rsid w:val="001E0129"/>
    <w:rsid w:val="001E01E8"/>
    <w:rsid w:val="001E0276"/>
    <w:rsid w:val="001E029B"/>
    <w:rsid w:val="001E031A"/>
    <w:rsid w:val="001E042D"/>
    <w:rsid w:val="001E0551"/>
    <w:rsid w:val="001E0604"/>
    <w:rsid w:val="001E07E2"/>
    <w:rsid w:val="001E0910"/>
    <w:rsid w:val="001E099C"/>
    <w:rsid w:val="001E0A23"/>
    <w:rsid w:val="001E0B02"/>
    <w:rsid w:val="001E0B08"/>
    <w:rsid w:val="001E0B3A"/>
    <w:rsid w:val="001E0B88"/>
    <w:rsid w:val="001E0BAC"/>
    <w:rsid w:val="001E0BE0"/>
    <w:rsid w:val="001E0CBF"/>
    <w:rsid w:val="001E0F03"/>
    <w:rsid w:val="001E0F46"/>
    <w:rsid w:val="001E103B"/>
    <w:rsid w:val="001E106A"/>
    <w:rsid w:val="001E11C7"/>
    <w:rsid w:val="001E1321"/>
    <w:rsid w:val="001E141E"/>
    <w:rsid w:val="001E14A4"/>
    <w:rsid w:val="001E1555"/>
    <w:rsid w:val="001E176F"/>
    <w:rsid w:val="001E183C"/>
    <w:rsid w:val="001E1871"/>
    <w:rsid w:val="001E1975"/>
    <w:rsid w:val="001E1A49"/>
    <w:rsid w:val="001E1AD9"/>
    <w:rsid w:val="001E1B17"/>
    <w:rsid w:val="001E1B60"/>
    <w:rsid w:val="001E1B64"/>
    <w:rsid w:val="001E1B7C"/>
    <w:rsid w:val="001E1C15"/>
    <w:rsid w:val="001E1C48"/>
    <w:rsid w:val="001E1C6B"/>
    <w:rsid w:val="001E1C81"/>
    <w:rsid w:val="001E1D90"/>
    <w:rsid w:val="001E1D94"/>
    <w:rsid w:val="001E1E0C"/>
    <w:rsid w:val="001E1EC4"/>
    <w:rsid w:val="001E1EE8"/>
    <w:rsid w:val="001E1F28"/>
    <w:rsid w:val="001E1F95"/>
    <w:rsid w:val="001E1FAA"/>
    <w:rsid w:val="001E211B"/>
    <w:rsid w:val="001E22A6"/>
    <w:rsid w:val="001E245A"/>
    <w:rsid w:val="001E253C"/>
    <w:rsid w:val="001E25A6"/>
    <w:rsid w:val="001E25DB"/>
    <w:rsid w:val="001E262D"/>
    <w:rsid w:val="001E271B"/>
    <w:rsid w:val="001E274B"/>
    <w:rsid w:val="001E2774"/>
    <w:rsid w:val="001E27CD"/>
    <w:rsid w:val="001E284D"/>
    <w:rsid w:val="001E289A"/>
    <w:rsid w:val="001E2A98"/>
    <w:rsid w:val="001E2B68"/>
    <w:rsid w:val="001E2BFC"/>
    <w:rsid w:val="001E2C34"/>
    <w:rsid w:val="001E2C69"/>
    <w:rsid w:val="001E2C78"/>
    <w:rsid w:val="001E2CA4"/>
    <w:rsid w:val="001E2CCF"/>
    <w:rsid w:val="001E2D84"/>
    <w:rsid w:val="001E2E28"/>
    <w:rsid w:val="001E2EAC"/>
    <w:rsid w:val="001E2EAD"/>
    <w:rsid w:val="001E2EFA"/>
    <w:rsid w:val="001E30E7"/>
    <w:rsid w:val="001E3196"/>
    <w:rsid w:val="001E3367"/>
    <w:rsid w:val="001E33F7"/>
    <w:rsid w:val="001E3452"/>
    <w:rsid w:val="001E349B"/>
    <w:rsid w:val="001E35FD"/>
    <w:rsid w:val="001E3601"/>
    <w:rsid w:val="001E3718"/>
    <w:rsid w:val="001E376A"/>
    <w:rsid w:val="001E3789"/>
    <w:rsid w:val="001E37A0"/>
    <w:rsid w:val="001E37EC"/>
    <w:rsid w:val="001E3827"/>
    <w:rsid w:val="001E3938"/>
    <w:rsid w:val="001E394F"/>
    <w:rsid w:val="001E398D"/>
    <w:rsid w:val="001E3A17"/>
    <w:rsid w:val="001E3AFC"/>
    <w:rsid w:val="001E3B53"/>
    <w:rsid w:val="001E3D1E"/>
    <w:rsid w:val="001E3DC0"/>
    <w:rsid w:val="001E3E7D"/>
    <w:rsid w:val="001E3F5B"/>
    <w:rsid w:val="001E3F78"/>
    <w:rsid w:val="001E3FC6"/>
    <w:rsid w:val="001E3FF7"/>
    <w:rsid w:val="001E41B3"/>
    <w:rsid w:val="001E41F4"/>
    <w:rsid w:val="001E4425"/>
    <w:rsid w:val="001E44ED"/>
    <w:rsid w:val="001E44F0"/>
    <w:rsid w:val="001E4521"/>
    <w:rsid w:val="001E4580"/>
    <w:rsid w:val="001E459B"/>
    <w:rsid w:val="001E45D5"/>
    <w:rsid w:val="001E46D4"/>
    <w:rsid w:val="001E46D7"/>
    <w:rsid w:val="001E47E0"/>
    <w:rsid w:val="001E48D0"/>
    <w:rsid w:val="001E4AE4"/>
    <w:rsid w:val="001E4B4A"/>
    <w:rsid w:val="001E4BF7"/>
    <w:rsid w:val="001E4C68"/>
    <w:rsid w:val="001E4CC5"/>
    <w:rsid w:val="001E4E2A"/>
    <w:rsid w:val="001E4F35"/>
    <w:rsid w:val="001E50FC"/>
    <w:rsid w:val="001E5198"/>
    <w:rsid w:val="001E51C5"/>
    <w:rsid w:val="001E51C8"/>
    <w:rsid w:val="001E5201"/>
    <w:rsid w:val="001E526D"/>
    <w:rsid w:val="001E529C"/>
    <w:rsid w:val="001E52BB"/>
    <w:rsid w:val="001E536D"/>
    <w:rsid w:val="001E53A3"/>
    <w:rsid w:val="001E5403"/>
    <w:rsid w:val="001E5469"/>
    <w:rsid w:val="001E548E"/>
    <w:rsid w:val="001E54E0"/>
    <w:rsid w:val="001E559E"/>
    <w:rsid w:val="001E55A6"/>
    <w:rsid w:val="001E562D"/>
    <w:rsid w:val="001E5648"/>
    <w:rsid w:val="001E56DD"/>
    <w:rsid w:val="001E57FF"/>
    <w:rsid w:val="001E582C"/>
    <w:rsid w:val="001E5971"/>
    <w:rsid w:val="001E5B21"/>
    <w:rsid w:val="001E5B27"/>
    <w:rsid w:val="001E5B3D"/>
    <w:rsid w:val="001E5D09"/>
    <w:rsid w:val="001E5EC5"/>
    <w:rsid w:val="001E5FD2"/>
    <w:rsid w:val="001E607D"/>
    <w:rsid w:val="001E60FA"/>
    <w:rsid w:val="001E6111"/>
    <w:rsid w:val="001E61C8"/>
    <w:rsid w:val="001E6228"/>
    <w:rsid w:val="001E624F"/>
    <w:rsid w:val="001E62AD"/>
    <w:rsid w:val="001E6374"/>
    <w:rsid w:val="001E6384"/>
    <w:rsid w:val="001E643B"/>
    <w:rsid w:val="001E6444"/>
    <w:rsid w:val="001E6465"/>
    <w:rsid w:val="001E646E"/>
    <w:rsid w:val="001E64FB"/>
    <w:rsid w:val="001E6560"/>
    <w:rsid w:val="001E6597"/>
    <w:rsid w:val="001E66AF"/>
    <w:rsid w:val="001E67B0"/>
    <w:rsid w:val="001E67FF"/>
    <w:rsid w:val="001E68DE"/>
    <w:rsid w:val="001E696E"/>
    <w:rsid w:val="001E6985"/>
    <w:rsid w:val="001E69B3"/>
    <w:rsid w:val="001E6AF2"/>
    <w:rsid w:val="001E6C1F"/>
    <w:rsid w:val="001E6CFC"/>
    <w:rsid w:val="001E6D35"/>
    <w:rsid w:val="001E6DA0"/>
    <w:rsid w:val="001E6E7A"/>
    <w:rsid w:val="001E6EF4"/>
    <w:rsid w:val="001E6F46"/>
    <w:rsid w:val="001E6FA5"/>
    <w:rsid w:val="001E6FB4"/>
    <w:rsid w:val="001E6FED"/>
    <w:rsid w:val="001E7042"/>
    <w:rsid w:val="001E70A9"/>
    <w:rsid w:val="001E70B0"/>
    <w:rsid w:val="001E7242"/>
    <w:rsid w:val="001E7246"/>
    <w:rsid w:val="001E7365"/>
    <w:rsid w:val="001E73AA"/>
    <w:rsid w:val="001E73F4"/>
    <w:rsid w:val="001E7618"/>
    <w:rsid w:val="001E76CA"/>
    <w:rsid w:val="001E7708"/>
    <w:rsid w:val="001E77A6"/>
    <w:rsid w:val="001E77AC"/>
    <w:rsid w:val="001E7888"/>
    <w:rsid w:val="001E7898"/>
    <w:rsid w:val="001E795F"/>
    <w:rsid w:val="001E7987"/>
    <w:rsid w:val="001E79B0"/>
    <w:rsid w:val="001E79D8"/>
    <w:rsid w:val="001E7A5C"/>
    <w:rsid w:val="001E7A6C"/>
    <w:rsid w:val="001E7B1A"/>
    <w:rsid w:val="001E7B74"/>
    <w:rsid w:val="001E7BD6"/>
    <w:rsid w:val="001E7C08"/>
    <w:rsid w:val="001E7C12"/>
    <w:rsid w:val="001E7CED"/>
    <w:rsid w:val="001E7CF1"/>
    <w:rsid w:val="001E7D64"/>
    <w:rsid w:val="001E7F4E"/>
    <w:rsid w:val="001F0117"/>
    <w:rsid w:val="001F0179"/>
    <w:rsid w:val="001F022E"/>
    <w:rsid w:val="001F035F"/>
    <w:rsid w:val="001F0389"/>
    <w:rsid w:val="001F0471"/>
    <w:rsid w:val="001F05D0"/>
    <w:rsid w:val="001F06BA"/>
    <w:rsid w:val="001F06E8"/>
    <w:rsid w:val="001F070C"/>
    <w:rsid w:val="001F0755"/>
    <w:rsid w:val="001F087F"/>
    <w:rsid w:val="001F0929"/>
    <w:rsid w:val="001F0991"/>
    <w:rsid w:val="001F0AD0"/>
    <w:rsid w:val="001F0B37"/>
    <w:rsid w:val="001F0BA6"/>
    <w:rsid w:val="001F0C06"/>
    <w:rsid w:val="001F0CDC"/>
    <w:rsid w:val="001F0D16"/>
    <w:rsid w:val="001F0E0F"/>
    <w:rsid w:val="001F0E1F"/>
    <w:rsid w:val="001F0EFA"/>
    <w:rsid w:val="001F0F30"/>
    <w:rsid w:val="001F0FF6"/>
    <w:rsid w:val="001F102C"/>
    <w:rsid w:val="001F1152"/>
    <w:rsid w:val="001F1237"/>
    <w:rsid w:val="001F12C1"/>
    <w:rsid w:val="001F12F5"/>
    <w:rsid w:val="001F1369"/>
    <w:rsid w:val="001F13C8"/>
    <w:rsid w:val="001F14B4"/>
    <w:rsid w:val="001F162E"/>
    <w:rsid w:val="001F1697"/>
    <w:rsid w:val="001F1706"/>
    <w:rsid w:val="001F178D"/>
    <w:rsid w:val="001F17C9"/>
    <w:rsid w:val="001F194A"/>
    <w:rsid w:val="001F1971"/>
    <w:rsid w:val="001F1AA0"/>
    <w:rsid w:val="001F1BB8"/>
    <w:rsid w:val="001F1C16"/>
    <w:rsid w:val="001F1C53"/>
    <w:rsid w:val="001F1C7B"/>
    <w:rsid w:val="001F1CEE"/>
    <w:rsid w:val="001F1CFD"/>
    <w:rsid w:val="001F1DD1"/>
    <w:rsid w:val="001F1E02"/>
    <w:rsid w:val="001F1E75"/>
    <w:rsid w:val="001F1EC4"/>
    <w:rsid w:val="001F1F9D"/>
    <w:rsid w:val="001F1FCC"/>
    <w:rsid w:val="001F1FDE"/>
    <w:rsid w:val="001F1FF1"/>
    <w:rsid w:val="001F201D"/>
    <w:rsid w:val="001F202B"/>
    <w:rsid w:val="001F203A"/>
    <w:rsid w:val="001F209B"/>
    <w:rsid w:val="001F2167"/>
    <w:rsid w:val="001F21B5"/>
    <w:rsid w:val="001F21C0"/>
    <w:rsid w:val="001F2288"/>
    <w:rsid w:val="001F2630"/>
    <w:rsid w:val="001F2730"/>
    <w:rsid w:val="001F274B"/>
    <w:rsid w:val="001F278E"/>
    <w:rsid w:val="001F28B0"/>
    <w:rsid w:val="001F2917"/>
    <w:rsid w:val="001F2920"/>
    <w:rsid w:val="001F29B7"/>
    <w:rsid w:val="001F2AA7"/>
    <w:rsid w:val="001F2ACB"/>
    <w:rsid w:val="001F2BD4"/>
    <w:rsid w:val="001F2CA7"/>
    <w:rsid w:val="001F2CAC"/>
    <w:rsid w:val="001F2D3C"/>
    <w:rsid w:val="001F2E43"/>
    <w:rsid w:val="001F2E62"/>
    <w:rsid w:val="001F2ECF"/>
    <w:rsid w:val="001F2F36"/>
    <w:rsid w:val="001F3180"/>
    <w:rsid w:val="001F31BC"/>
    <w:rsid w:val="001F32A6"/>
    <w:rsid w:val="001F32D9"/>
    <w:rsid w:val="001F3349"/>
    <w:rsid w:val="001F335A"/>
    <w:rsid w:val="001F3555"/>
    <w:rsid w:val="001F3556"/>
    <w:rsid w:val="001F3591"/>
    <w:rsid w:val="001F35AB"/>
    <w:rsid w:val="001F378D"/>
    <w:rsid w:val="001F389A"/>
    <w:rsid w:val="001F3B39"/>
    <w:rsid w:val="001F3C46"/>
    <w:rsid w:val="001F3D20"/>
    <w:rsid w:val="001F3D3E"/>
    <w:rsid w:val="001F3D4F"/>
    <w:rsid w:val="001F3DA3"/>
    <w:rsid w:val="001F3E21"/>
    <w:rsid w:val="001F3E23"/>
    <w:rsid w:val="001F3E7B"/>
    <w:rsid w:val="001F3E82"/>
    <w:rsid w:val="001F3F03"/>
    <w:rsid w:val="001F3FBA"/>
    <w:rsid w:val="001F3FC3"/>
    <w:rsid w:val="001F4145"/>
    <w:rsid w:val="001F4172"/>
    <w:rsid w:val="001F417D"/>
    <w:rsid w:val="001F41C1"/>
    <w:rsid w:val="001F428C"/>
    <w:rsid w:val="001F42C9"/>
    <w:rsid w:val="001F42FA"/>
    <w:rsid w:val="001F4372"/>
    <w:rsid w:val="001F43D1"/>
    <w:rsid w:val="001F4432"/>
    <w:rsid w:val="001F44C8"/>
    <w:rsid w:val="001F456C"/>
    <w:rsid w:val="001F46F5"/>
    <w:rsid w:val="001F47C4"/>
    <w:rsid w:val="001F47ED"/>
    <w:rsid w:val="001F483C"/>
    <w:rsid w:val="001F48CF"/>
    <w:rsid w:val="001F48DC"/>
    <w:rsid w:val="001F49BC"/>
    <w:rsid w:val="001F4A4F"/>
    <w:rsid w:val="001F4B57"/>
    <w:rsid w:val="001F4BA8"/>
    <w:rsid w:val="001F4C23"/>
    <w:rsid w:val="001F4C86"/>
    <w:rsid w:val="001F4D89"/>
    <w:rsid w:val="001F4E1A"/>
    <w:rsid w:val="001F4EBF"/>
    <w:rsid w:val="001F4EC8"/>
    <w:rsid w:val="001F4EF8"/>
    <w:rsid w:val="001F4F53"/>
    <w:rsid w:val="001F513E"/>
    <w:rsid w:val="001F53C9"/>
    <w:rsid w:val="001F552B"/>
    <w:rsid w:val="001F5784"/>
    <w:rsid w:val="001F57BE"/>
    <w:rsid w:val="001F586B"/>
    <w:rsid w:val="001F58D1"/>
    <w:rsid w:val="001F5985"/>
    <w:rsid w:val="001F59EA"/>
    <w:rsid w:val="001F5A00"/>
    <w:rsid w:val="001F5AD7"/>
    <w:rsid w:val="001F5B6C"/>
    <w:rsid w:val="001F5BA8"/>
    <w:rsid w:val="001F5C2F"/>
    <w:rsid w:val="001F5C59"/>
    <w:rsid w:val="001F5CD0"/>
    <w:rsid w:val="001F5CEC"/>
    <w:rsid w:val="001F5D10"/>
    <w:rsid w:val="001F5D21"/>
    <w:rsid w:val="001F5EF3"/>
    <w:rsid w:val="001F5F45"/>
    <w:rsid w:val="001F5F93"/>
    <w:rsid w:val="001F5FA5"/>
    <w:rsid w:val="001F5FCA"/>
    <w:rsid w:val="001F607F"/>
    <w:rsid w:val="001F6122"/>
    <w:rsid w:val="001F6125"/>
    <w:rsid w:val="001F614F"/>
    <w:rsid w:val="001F6197"/>
    <w:rsid w:val="001F61DF"/>
    <w:rsid w:val="001F6212"/>
    <w:rsid w:val="001F6222"/>
    <w:rsid w:val="001F625B"/>
    <w:rsid w:val="001F626C"/>
    <w:rsid w:val="001F6288"/>
    <w:rsid w:val="001F6376"/>
    <w:rsid w:val="001F64B0"/>
    <w:rsid w:val="001F64BB"/>
    <w:rsid w:val="001F64E9"/>
    <w:rsid w:val="001F6501"/>
    <w:rsid w:val="001F6534"/>
    <w:rsid w:val="001F654D"/>
    <w:rsid w:val="001F657E"/>
    <w:rsid w:val="001F6715"/>
    <w:rsid w:val="001F6887"/>
    <w:rsid w:val="001F68B6"/>
    <w:rsid w:val="001F6944"/>
    <w:rsid w:val="001F6973"/>
    <w:rsid w:val="001F6A1A"/>
    <w:rsid w:val="001F6A8F"/>
    <w:rsid w:val="001F6B3B"/>
    <w:rsid w:val="001F6BE0"/>
    <w:rsid w:val="001F6BF5"/>
    <w:rsid w:val="001F6DA8"/>
    <w:rsid w:val="001F6ED8"/>
    <w:rsid w:val="001F6F8C"/>
    <w:rsid w:val="001F6F8D"/>
    <w:rsid w:val="001F6F97"/>
    <w:rsid w:val="001F704A"/>
    <w:rsid w:val="001F70FF"/>
    <w:rsid w:val="001F7153"/>
    <w:rsid w:val="001F71AC"/>
    <w:rsid w:val="001F734F"/>
    <w:rsid w:val="001F73A1"/>
    <w:rsid w:val="001F73A4"/>
    <w:rsid w:val="001F7423"/>
    <w:rsid w:val="001F7646"/>
    <w:rsid w:val="001F7682"/>
    <w:rsid w:val="001F79E0"/>
    <w:rsid w:val="001F7B36"/>
    <w:rsid w:val="001F7B38"/>
    <w:rsid w:val="001F7B4A"/>
    <w:rsid w:val="001F7B86"/>
    <w:rsid w:val="001F7BBA"/>
    <w:rsid w:val="001F7CEF"/>
    <w:rsid w:val="001F7D0F"/>
    <w:rsid w:val="001F7DE6"/>
    <w:rsid w:val="001F7E3E"/>
    <w:rsid w:val="001F7E5B"/>
    <w:rsid w:val="00200029"/>
    <w:rsid w:val="00200069"/>
    <w:rsid w:val="002000BD"/>
    <w:rsid w:val="002001C6"/>
    <w:rsid w:val="002002EC"/>
    <w:rsid w:val="00200300"/>
    <w:rsid w:val="00200373"/>
    <w:rsid w:val="002003EF"/>
    <w:rsid w:val="002003F4"/>
    <w:rsid w:val="002003FC"/>
    <w:rsid w:val="0020044A"/>
    <w:rsid w:val="00200527"/>
    <w:rsid w:val="00200580"/>
    <w:rsid w:val="002005A2"/>
    <w:rsid w:val="002005B4"/>
    <w:rsid w:val="002005FB"/>
    <w:rsid w:val="002006B4"/>
    <w:rsid w:val="00200725"/>
    <w:rsid w:val="00200834"/>
    <w:rsid w:val="00200836"/>
    <w:rsid w:val="00200898"/>
    <w:rsid w:val="00200937"/>
    <w:rsid w:val="002009B5"/>
    <w:rsid w:val="002009E2"/>
    <w:rsid w:val="00200A0A"/>
    <w:rsid w:val="00200B6A"/>
    <w:rsid w:val="00200C84"/>
    <w:rsid w:val="00200CBD"/>
    <w:rsid w:val="00200D17"/>
    <w:rsid w:val="00200D90"/>
    <w:rsid w:val="00200DFC"/>
    <w:rsid w:val="00200E8E"/>
    <w:rsid w:val="00201061"/>
    <w:rsid w:val="002010FE"/>
    <w:rsid w:val="00201124"/>
    <w:rsid w:val="00201153"/>
    <w:rsid w:val="0020116E"/>
    <w:rsid w:val="00201184"/>
    <w:rsid w:val="002011D7"/>
    <w:rsid w:val="002012C8"/>
    <w:rsid w:val="002012D1"/>
    <w:rsid w:val="00201364"/>
    <w:rsid w:val="002013BA"/>
    <w:rsid w:val="0020143B"/>
    <w:rsid w:val="0020147E"/>
    <w:rsid w:val="0020149F"/>
    <w:rsid w:val="00201544"/>
    <w:rsid w:val="0020154A"/>
    <w:rsid w:val="002015BC"/>
    <w:rsid w:val="00201694"/>
    <w:rsid w:val="0020173C"/>
    <w:rsid w:val="00201843"/>
    <w:rsid w:val="00201947"/>
    <w:rsid w:val="00201A25"/>
    <w:rsid w:val="00201B70"/>
    <w:rsid w:val="00201BD2"/>
    <w:rsid w:val="00201C3B"/>
    <w:rsid w:val="00201DC6"/>
    <w:rsid w:val="00201DCC"/>
    <w:rsid w:val="00201DD9"/>
    <w:rsid w:val="00201E05"/>
    <w:rsid w:val="00201E8B"/>
    <w:rsid w:val="00201ED8"/>
    <w:rsid w:val="00201EEA"/>
    <w:rsid w:val="0020206A"/>
    <w:rsid w:val="002020DA"/>
    <w:rsid w:val="00202204"/>
    <w:rsid w:val="0020231E"/>
    <w:rsid w:val="00202359"/>
    <w:rsid w:val="00202490"/>
    <w:rsid w:val="002024C9"/>
    <w:rsid w:val="002024DC"/>
    <w:rsid w:val="0020262F"/>
    <w:rsid w:val="00202726"/>
    <w:rsid w:val="0020272D"/>
    <w:rsid w:val="0020278E"/>
    <w:rsid w:val="002028E3"/>
    <w:rsid w:val="00202909"/>
    <w:rsid w:val="00202A0E"/>
    <w:rsid w:val="00202AF2"/>
    <w:rsid w:val="00202B8A"/>
    <w:rsid w:val="00202C79"/>
    <w:rsid w:val="00202CBA"/>
    <w:rsid w:val="00202CBF"/>
    <w:rsid w:val="00202CC5"/>
    <w:rsid w:val="00202CD5"/>
    <w:rsid w:val="00202D51"/>
    <w:rsid w:val="00202D74"/>
    <w:rsid w:val="00202E32"/>
    <w:rsid w:val="00202E7E"/>
    <w:rsid w:val="00202EE5"/>
    <w:rsid w:val="00202FFB"/>
    <w:rsid w:val="00203112"/>
    <w:rsid w:val="002031A1"/>
    <w:rsid w:val="00203280"/>
    <w:rsid w:val="0020329B"/>
    <w:rsid w:val="002032A2"/>
    <w:rsid w:val="00203342"/>
    <w:rsid w:val="00203398"/>
    <w:rsid w:val="002034C1"/>
    <w:rsid w:val="002034F7"/>
    <w:rsid w:val="002035B5"/>
    <w:rsid w:val="002035C4"/>
    <w:rsid w:val="00203608"/>
    <w:rsid w:val="002036F2"/>
    <w:rsid w:val="00203734"/>
    <w:rsid w:val="00203783"/>
    <w:rsid w:val="00203791"/>
    <w:rsid w:val="00203796"/>
    <w:rsid w:val="002038A2"/>
    <w:rsid w:val="00203964"/>
    <w:rsid w:val="002039C2"/>
    <w:rsid w:val="00203A1A"/>
    <w:rsid w:val="00203B21"/>
    <w:rsid w:val="00203B79"/>
    <w:rsid w:val="00203C54"/>
    <w:rsid w:val="00203CFF"/>
    <w:rsid w:val="00203D3E"/>
    <w:rsid w:val="00203D8F"/>
    <w:rsid w:val="00203DC3"/>
    <w:rsid w:val="00203E29"/>
    <w:rsid w:val="00203EB6"/>
    <w:rsid w:val="00203F39"/>
    <w:rsid w:val="0020422F"/>
    <w:rsid w:val="0020423A"/>
    <w:rsid w:val="002042BD"/>
    <w:rsid w:val="00204343"/>
    <w:rsid w:val="0020434C"/>
    <w:rsid w:val="00204459"/>
    <w:rsid w:val="00204488"/>
    <w:rsid w:val="00204597"/>
    <w:rsid w:val="002045F8"/>
    <w:rsid w:val="00204633"/>
    <w:rsid w:val="00204688"/>
    <w:rsid w:val="002046B2"/>
    <w:rsid w:val="00204725"/>
    <w:rsid w:val="0020472C"/>
    <w:rsid w:val="0020487E"/>
    <w:rsid w:val="002048DD"/>
    <w:rsid w:val="00204A09"/>
    <w:rsid w:val="00204A2C"/>
    <w:rsid w:val="00204AAD"/>
    <w:rsid w:val="00204ADD"/>
    <w:rsid w:val="00204B11"/>
    <w:rsid w:val="00204BFB"/>
    <w:rsid w:val="00204CE4"/>
    <w:rsid w:val="00204E0E"/>
    <w:rsid w:val="00204FA7"/>
    <w:rsid w:val="00204FDB"/>
    <w:rsid w:val="0020502D"/>
    <w:rsid w:val="002050D1"/>
    <w:rsid w:val="002050D5"/>
    <w:rsid w:val="0020510E"/>
    <w:rsid w:val="00205219"/>
    <w:rsid w:val="0020533D"/>
    <w:rsid w:val="00205549"/>
    <w:rsid w:val="00205645"/>
    <w:rsid w:val="00205716"/>
    <w:rsid w:val="00205776"/>
    <w:rsid w:val="002057B7"/>
    <w:rsid w:val="002059CA"/>
    <w:rsid w:val="002059F8"/>
    <w:rsid w:val="00205A6A"/>
    <w:rsid w:val="00205A90"/>
    <w:rsid w:val="00205AE0"/>
    <w:rsid w:val="00205B95"/>
    <w:rsid w:val="00205BBB"/>
    <w:rsid w:val="00205BD8"/>
    <w:rsid w:val="00205C9E"/>
    <w:rsid w:val="00205CB4"/>
    <w:rsid w:val="00205D2A"/>
    <w:rsid w:val="00205D2C"/>
    <w:rsid w:val="002060FE"/>
    <w:rsid w:val="0020615A"/>
    <w:rsid w:val="00206176"/>
    <w:rsid w:val="00206211"/>
    <w:rsid w:val="0020628E"/>
    <w:rsid w:val="002062E5"/>
    <w:rsid w:val="00206376"/>
    <w:rsid w:val="0020637F"/>
    <w:rsid w:val="00206397"/>
    <w:rsid w:val="002063DD"/>
    <w:rsid w:val="002064EE"/>
    <w:rsid w:val="00206507"/>
    <w:rsid w:val="002065AB"/>
    <w:rsid w:val="00206687"/>
    <w:rsid w:val="002067BC"/>
    <w:rsid w:val="00206809"/>
    <w:rsid w:val="00206A76"/>
    <w:rsid w:val="00206ABE"/>
    <w:rsid w:val="00206D22"/>
    <w:rsid w:val="00206D5E"/>
    <w:rsid w:val="00206DA5"/>
    <w:rsid w:val="00206E18"/>
    <w:rsid w:val="00206E48"/>
    <w:rsid w:val="00206E8C"/>
    <w:rsid w:val="00206EEF"/>
    <w:rsid w:val="00206F6C"/>
    <w:rsid w:val="00206F7A"/>
    <w:rsid w:val="00207036"/>
    <w:rsid w:val="0020714B"/>
    <w:rsid w:val="002072BA"/>
    <w:rsid w:val="00207336"/>
    <w:rsid w:val="00207387"/>
    <w:rsid w:val="002074BA"/>
    <w:rsid w:val="0020758C"/>
    <w:rsid w:val="002075C1"/>
    <w:rsid w:val="0020763E"/>
    <w:rsid w:val="002076B4"/>
    <w:rsid w:val="002077B6"/>
    <w:rsid w:val="00207877"/>
    <w:rsid w:val="0020787E"/>
    <w:rsid w:val="00207895"/>
    <w:rsid w:val="002078D5"/>
    <w:rsid w:val="00207902"/>
    <w:rsid w:val="002079BE"/>
    <w:rsid w:val="00207A39"/>
    <w:rsid w:val="00207A57"/>
    <w:rsid w:val="00207A69"/>
    <w:rsid w:val="00207AB4"/>
    <w:rsid w:val="00207AC0"/>
    <w:rsid w:val="00207B2F"/>
    <w:rsid w:val="00207B7C"/>
    <w:rsid w:val="00207BDB"/>
    <w:rsid w:val="00207C43"/>
    <w:rsid w:val="00207C7F"/>
    <w:rsid w:val="00207CA2"/>
    <w:rsid w:val="00207CAB"/>
    <w:rsid w:val="00207D1E"/>
    <w:rsid w:val="00207D81"/>
    <w:rsid w:val="00207E4C"/>
    <w:rsid w:val="002100E9"/>
    <w:rsid w:val="0021025A"/>
    <w:rsid w:val="002102B2"/>
    <w:rsid w:val="002102F7"/>
    <w:rsid w:val="0021071B"/>
    <w:rsid w:val="002107AD"/>
    <w:rsid w:val="0021082C"/>
    <w:rsid w:val="00210880"/>
    <w:rsid w:val="00210916"/>
    <w:rsid w:val="00210946"/>
    <w:rsid w:val="00210949"/>
    <w:rsid w:val="002109A8"/>
    <w:rsid w:val="002109FB"/>
    <w:rsid w:val="00210AA9"/>
    <w:rsid w:val="00210AE0"/>
    <w:rsid w:val="00210B28"/>
    <w:rsid w:val="00210BCB"/>
    <w:rsid w:val="00210BFA"/>
    <w:rsid w:val="00210E59"/>
    <w:rsid w:val="00210F09"/>
    <w:rsid w:val="00210F19"/>
    <w:rsid w:val="00210F25"/>
    <w:rsid w:val="00210FF0"/>
    <w:rsid w:val="0021111D"/>
    <w:rsid w:val="0021112D"/>
    <w:rsid w:val="0021116F"/>
    <w:rsid w:val="002111C3"/>
    <w:rsid w:val="002112D4"/>
    <w:rsid w:val="0021130E"/>
    <w:rsid w:val="0021133A"/>
    <w:rsid w:val="00211392"/>
    <w:rsid w:val="002113B5"/>
    <w:rsid w:val="00211445"/>
    <w:rsid w:val="00211477"/>
    <w:rsid w:val="002114C1"/>
    <w:rsid w:val="002115F9"/>
    <w:rsid w:val="00211630"/>
    <w:rsid w:val="0021174E"/>
    <w:rsid w:val="00211A13"/>
    <w:rsid w:val="00211AD8"/>
    <w:rsid w:val="00211B64"/>
    <w:rsid w:val="00211BFD"/>
    <w:rsid w:val="00211BFF"/>
    <w:rsid w:val="00211C24"/>
    <w:rsid w:val="00211CBD"/>
    <w:rsid w:val="00211D26"/>
    <w:rsid w:val="00211D56"/>
    <w:rsid w:val="00211D60"/>
    <w:rsid w:val="00211DE9"/>
    <w:rsid w:val="00211E0A"/>
    <w:rsid w:val="00211E3B"/>
    <w:rsid w:val="00211EAD"/>
    <w:rsid w:val="00211EDE"/>
    <w:rsid w:val="002120B9"/>
    <w:rsid w:val="002121DE"/>
    <w:rsid w:val="0021220A"/>
    <w:rsid w:val="0021222E"/>
    <w:rsid w:val="00212280"/>
    <w:rsid w:val="002123A8"/>
    <w:rsid w:val="002123C3"/>
    <w:rsid w:val="00212408"/>
    <w:rsid w:val="00212502"/>
    <w:rsid w:val="00212537"/>
    <w:rsid w:val="002125BE"/>
    <w:rsid w:val="0021270A"/>
    <w:rsid w:val="00212780"/>
    <w:rsid w:val="002127B5"/>
    <w:rsid w:val="0021285A"/>
    <w:rsid w:val="00212918"/>
    <w:rsid w:val="00212A6D"/>
    <w:rsid w:val="00212A9F"/>
    <w:rsid w:val="00212AB9"/>
    <w:rsid w:val="00212B95"/>
    <w:rsid w:val="00212BFB"/>
    <w:rsid w:val="00212D83"/>
    <w:rsid w:val="00212DF5"/>
    <w:rsid w:val="00212EEF"/>
    <w:rsid w:val="00212F9B"/>
    <w:rsid w:val="00212FA9"/>
    <w:rsid w:val="00212FAE"/>
    <w:rsid w:val="0021302B"/>
    <w:rsid w:val="0021303E"/>
    <w:rsid w:val="0021325A"/>
    <w:rsid w:val="00213394"/>
    <w:rsid w:val="002134C8"/>
    <w:rsid w:val="002135A3"/>
    <w:rsid w:val="00213616"/>
    <w:rsid w:val="002137CE"/>
    <w:rsid w:val="00213958"/>
    <w:rsid w:val="002139E3"/>
    <w:rsid w:val="00213A32"/>
    <w:rsid w:val="00213A3C"/>
    <w:rsid w:val="00213BA8"/>
    <w:rsid w:val="00213C4A"/>
    <w:rsid w:val="00213DE4"/>
    <w:rsid w:val="00213E1C"/>
    <w:rsid w:val="00213E54"/>
    <w:rsid w:val="00213E79"/>
    <w:rsid w:val="00213ECC"/>
    <w:rsid w:val="00213EEE"/>
    <w:rsid w:val="00213F10"/>
    <w:rsid w:val="00213F12"/>
    <w:rsid w:val="00213F1E"/>
    <w:rsid w:val="002143B8"/>
    <w:rsid w:val="00214458"/>
    <w:rsid w:val="002144AA"/>
    <w:rsid w:val="00214522"/>
    <w:rsid w:val="00214564"/>
    <w:rsid w:val="00214638"/>
    <w:rsid w:val="00214645"/>
    <w:rsid w:val="00214670"/>
    <w:rsid w:val="002146DF"/>
    <w:rsid w:val="002149A3"/>
    <w:rsid w:val="00214ACE"/>
    <w:rsid w:val="00214BC2"/>
    <w:rsid w:val="00214C1A"/>
    <w:rsid w:val="00214C21"/>
    <w:rsid w:val="00214C2B"/>
    <w:rsid w:val="00214C70"/>
    <w:rsid w:val="00214C9B"/>
    <w:rsid w:val="00214CA8"/>
    <w:rsid w:val="00214CFD"/>
    <w:rsid w:val="00214E22"/>
    <w:rsid w:val="00214E97"/>
    <w:rsid w:val="00214FD6"/>
    <w:rsid w:val="0021500D"/>
    <w:rsid w:val="00215036"/>
    <w:rsid w:val="00215102"/>
    <w:rsid w:val="00215206"/>
    <w:rsid w:val="00215234"/>
    <w:rsid w:val="002152F4"/>
    <w:rsid w:val="002153CE"/>
    <w:rsid w:val="002153D9"/>
    <w:rsid w:val="002153FC"/>
    <w:rsid w:val="00215441"/>
    <w:rsid w:val="0021546A"/>
    <w:rsid w:val="00215500"/>
    <w:rsid w:val="0021556F"/>
    <w:rsid w:val="002155B8"/>
    <w:rsid w:val="00215603"/>
    <w:rsid w:val="0021580D"/>
    <w:rsid w:val="002159BA"/>
    <w:rsid w:val="00215A53"/>
    <w:rsid w:val="00215A79"/>
    <w:rsid w:val="00215A80"/>
    <w:rsid w:val="00215C74"/>
    <w:rsid w:val="00215C79"/>
    <w:rsid w:val="00215CA6"/>
    <w:rsid w:val="00215D9C"/>
    <w:rsid w:val="00215DA7"/>
    <w:rsid w:val="00215E63"/>
    <w:rsid w:val="00215EA1"/>
    <w:rsid w:val="00215FC6"/>
    <w:rsid w:val="00216042"/>
    <w:rsid w:val="00216045"/>
    <w:rsid w:val="002160D9"/>
    <w:rsid w:val="00216159"/>
    <w:rsid w:val="00216250"/>
    <w:rsid w:val="0021625F"/>
    <w:rsid w:val="00216307"/>
    <w:rsid w:val="00216313"/>
    <w:rsid w:val="0021634C"/>
    <w:rsid w:val="00216372"/>
    <w:rsid w:val="00216374"/>
    <w:rsid w:val="0021637B"/>
    <w:rsid w:val="002163C5"/>
    <w:rsid w:val="0021643D"/>
    <w:rsid w:val="002164D3"/>
    <w:rsid w:val="00216539"/>
    <w:rsid w:val="0021661D"/>
    <w:rsid w:val="0021665E"/>
    <w:rsid w:val="002166D7"/>
    <w:rsid w:val="00216724"/>
    <w:rsid w:val="00216765"/>
    <w:rsid w:val="002167D6"/>
    <w:rsid w:val="002167FB"/>
    <w:rsid w:val="002169B9"/>
    <w:rsid w:val="00216A5F"/>
    <w:rsid w:val="00216A65"/>
    <w:rsid w:val="00216B5B"/>
    <w:rsid w:val="00216B87"/>
    <w:rsid w:val="00216BE8"/>
    <w:rsid w:val="00216DF0"/>
    <w:rsid w:val="00216E18"/>
    <w:rsid w:val="00216E36"/>
    <w:rsid w:val="00216EA3"/>
    <w:rsid w:val="00216F12"/>
    <w:rsid w:val="00216F66"/>
    <w:rsid w:val="00216FA2"/>
    <w:rsid w:val="00216FCF"/>
    <w:rsid w:val="00217007"/>
    <w:rsid w:val="0021706E"/>
    <w:rsid w:val="00217073"/>
    <w:rsid w:val="0021712A"/>
    <w:rsid w:val="0021712F"/>
    <w:rsid w:val="00217136"/>
    <w:rsid w:val="0021720C"/>
    <w:rsid w:val="00217227"/>
    <w:rsid w:val="0021722E"/>
    <w:rsid w:val="0021725F"/>
    <w:rsid w:val="002174DE"/>
    <w:rsid w:val="002174F4"/>
    <w:rsid w:val="00217686"/>
    <w:rsid w:val="0021769C"/>
    <w:rsid w:val="002178B3"/>
    <w:rsid w:val="002178C6"/>
    <w:rsid w:val="0021790B"/>
    <w:rsid w:val="0021798B"/>
    <w:rsid w:val="002179C9"/>
    <w:rsid w:val="00217A05"/>
    <w:rsid w:val="00217BEC"/>
    <w:rsid w:val="00217D37"/>
    <w:rsid w:val="00217D6B"/>
    <w:rsid w:val="00217DA2"/>
    <w:rsid w:val="00217DC0"/>
    <w:rsid w:val="00217E60"/>
    <w:rsid w:val="00217EAF"/>
    <w:rsid w:val="00220035"/>
    <w:rsid w:val="002200B8"/>
    <w:rsid w:val="002201D9"/>
    <w:rsid w:val="0022023F"/>
    <w:rsid w:val="0022040F"/>
    <w:rsid w:val="00220449"/>
    <w:rsid w:val="00220460"/>
    <w:rsid w:val="0022049D"/>
    <w:rsid w:val="002204B3"/>
    <w:rsid w:val="0022050C"/>
    <w:rsid w:val="002205AD"/>
    <w:rsid w:val="002205E7"/>
    <w:rsid w:val="002206A1"/>
    <w:rsid w:val="002206B9"/>
    <w:rsid w:val="002209C6"/>
    <w:rsid w:val="00220A0E"/>
    <w:rsid w:val="00220A19"/>
    <w:rsid w:val="00220AB9"/>
    <w:rsid w:val="00220AC3"/>
    <w:rsid w:val="00220B2F"/>
    <w:rsid w:val="00220B49"/>
    <w:rsid w:val="00220BDF"/>
    <w:rsid w:val="00220DC1"/>
    <w:rsid w:val="00220E0A"/>
    <w:rsid w:val="00220E81"/>
    <w:rsid w:val="00220F46"/>
    <w:rsid w:val="002210DC"/>
    <w:rsid w:val="002211DB"/>
    <w:rsid w:val="00221577"/>
    <w:rsid w:val="00221787"/>
    <w:rsid w:val="0022179F"/>
    <w:rsid w:val="002217BA"/>
    <w:rsid w:val="002217C7"/>
    <w:rsid w:val="00221918"/>
    <w:rsid w:val="00221994"/>
    <w:rsid w:val="002219FD"/>
    <w:rsid w:val="00221B65"/>
    <w:rsid w:val="00221B95"/>
    <w:rsid w:val="00221BDF"/>
    <w:rsid w:val="00221BE0"/>
    <w:rsid w:val="00221BE4"/>
    <w:rsid w:val="00221C41"/>
    <w:rsid w:val="00221C5E"/>
    <w:rsid w:val="00221DAC"/>
    <w:rsid w:val="00221E55"/>
    <w:rsid w:val="00221F81"/>
    <w:rsid w:val="00222084"/>
    <w:rsid w:val="0022214C"/>
    <w:rsid w:val="0022215B"/>
    <w:rsid w:val="002221C6"/>
    <w:rsid w:val="00222246"/>
    <w:rsid w:val="00222259"/>
    <w:rsid w:val="00222269"/>
    <w:rsid w:val="0022234D"/>
    <w:rsid w:val="002223AF"/>
    <w:rsid w:val="0022245B"/>
    <w:rsid w:val="0022247A"/>
    <w:rsid w:val="002224B7"/>
    <w:rsid w:val="002224ED"/>
    <w:rsid w:val="0022263A"/>
    <w:rsid w:val="00222719"/>
    <w:rsid w:val="00222727"/>
    <w:rsid w:val="00222728"/>
    <w:rsid w:val="0022276C"/>
    <w:rsid w:val="002227BA"/>
    <w:rsid w:val="00222844"/>
    <w:rsid w:val="002228AB"/>
    <w:rsid w:val="002228D9"/>
    <w:rsid w:val="00222A6A"/>
    <w:rsid w:val="00222ADB"/>
    <w:rsid w:val="00222C33"/>
    <w:rsid w:val="00222C3B"/>
    <w:rsid w:val="00222CAF"/>
    <w:rsid w:val="00222CF4"/>
    <w:rsid w:val="00222DF4"/>
    <w:rsid w:val="00222E04"/>
    <w:rsid w:val="00222E4F"/>
    <w:rsid w:val="00222E96"/>
    <w:rsid w:val="00222EF1"/>
    <w:rsid w:val="0022311A"/>
    <w:rsid w:val="00223210"/>
    <w:rsid w:val="00223239"/>
    <w:rsid w:val="002232A0"/>
    <w:rsid w:val="002232AE"/>
    <w:rsid w:val="00223481"/>
    <w:rsid w:val="0022350A"/>
    <w:rsid w:val="0022353A"/>
    <w:rsid w:val="00223542"/>
    <w:rsid w:val="00223735"/>
    <w:rsid w:val="002237FA"/>
    <w:rsid w:val="0022383C"/>
    <w:rsid w:val="002238D6"/>
    <w:rsid w:val="00223920"/>
    <w:rsid w:val="002239A9"/>
    <w:rsid w:val="002239E6"/>
    <w:rsid w:val="00223A3D"/>
    <w:rsid w:val="00223AD4"/>
    <w:rsid w:val="00223B0B"/>
    <w:rsid w:val="00223B79"/>
    <w:rsid w:val="00223BDB"/>
    <w:rsid w:val="00223C4E"/>
    <w:rsid w:val="00223C50"/>
    <w:rsid w:val="00223CCC"/>
    <w:rsid w:val="00223CE1"/>
    <w:rsid w:val="00223D12"/>
    <w:rsid w:val="00223DB3"/>
    <w:rsid w:val="00223DDA"/>
    <w:rsid w:val="00223E8C"/>
    <w:rsid w:val="00223F96"/>
    <w:rsid w:val="00224094"/>
    <w:rsid w:val="002241F8"/>
    <w:rsid w:val="0022420E"/>
    <w:rsid w:val="00224216"/>
    <w:rsid w:val="002242E7"/>
    <w:rsid w:val="00224372"/>
    <w:rsid w:val="002243EE"/>
    <w:rsid w:val="0022440A"/>
    <w:rsid w:val="002244C7"/>
    <w:rsid w:val="002244C9"/>
    <w:rsid w:val="00224503"/>
    <w:rsid w:val="0022451D"/>
    <w:rsid w:val="002245AA"/>
    <w:rsid w:val="00224637"/>
    <w:rsid w:val="002246A1"/>
    <w:rsid w:val="0022474F"/>
    <w:rsid w:val="00224777"/>
    <w:rsid w:val="00224877"/>
    <w:rsid w:val="002249D2"/>
    <w:rsid w:val="00224A23"/>
    <w:rsid w:val="00224AF3"/>
    <w:rsid w:val="00224BE9"/>
    <w:rsid w:val="00224C4C"/>
    <w:rsid w:val="00224D33"/>
    <w:rsid w:val="00224D6F"/>
    <w:rsid w:val="00224DBC"/>
    <w:rsid w:val="00224E04"/>
    <w:rsid w:val="00224FBE"/>
    <w:rsid w:val="00225098"/>
    <w:rsid w:val="0022510B"/>
    <w:rsid w:val="002251D7"/>
    <w:rsid w:val="002252FF"/>
    <w:rsid w:val="002253A3"/>
    <w:rsid w:val="002253B4"/>
    <w:rsid w:val="002254A8"/>
    <w:rsid w:val="00225551"/>
    <w:rsid w:val="002255A6"/>
    <w:rsid w:val="002255ED"/>
    <w:rsid w:val="00225654"/>
    <w:rsid w:val="0022566C"/>
    <w:rsid w:val="00225739"/>
    <w:rsid w:val="00225808"/>
    <w:rsid w:val="002258B3"/>
    <w:rsid w:val="002258E7"/>
    <w:rsid w:val="00225966"/>
    <w:rsid w:val="00225986"/>
    <w:rsid w:val="00225A0E"/>
    <w:rsid w:val="00225B61"/>
    <w:rsid w:val="00225BDB"/>
    <w:rsid w:val="00225D9F"/>
    <w:rsid w:val="00225E69"/>
    <w:rsid w:val="002260B9"/>
    <w:rsid w:val="00226118"/>
    <w:rsid w:val="00226122"/>
    <w:rsid w:val="002261E3"/>
    <w:rsid w:val="002262BA"/>
    <w:rsid w:val="002262D3"/>
    <w:rsid w:val="002263C0"/>
    <w:rsid w:val="00226470"/>
    <w:rsid w:val="0022647E"/>
    <w:rsid w:val="00226484"/>
    <w:rsid w:val="00226532"/>
    <w:rsid w:val="0022653F"/>
    <w:rsid w:val="0022654D"/>
    <w:rsid w:val="00226565"/>
    <w:rsid w:val="002265C2"/>
    <w:rsid w:val="00226611"/>
    <w:rsid w:val="002266B3"/>
    <w:rsid w:val="002267B7"/>
    <w:rsid w:val="00226A61"/>
    <w:rsid w:val="00226B1E"/>
    <w:rsid w:val="00226B69"/>
    <w:rsid w:val="00226B88"/>
    <w:rsid w:val="00226BAB"/>
    <w:rsid w:val="00226C1C"/>
    <w:rsid w:val="00226C35"/>
    <w:rsid w:val="00226C49"/>
    <w:rsid w:val="00226CC3"/>
    <w:rsid w:val="00226D0F"/>
    <w:rsid w:val="00226D93"/>
    <w:rsid w:val="00226DA6"/>
    <w:rsid w:val="00226F1E"/>
    <w:rsid w:val="00226F20"/>
    <w:rsid w:val="00227180"/>
    <w:rsid w:val="0022727D"/>
    <w:rsid w:val="002273E4"/>
    <w:rsid w:val="00227451"/>
    <w:rsid w:val="002274E8"/>
    <w:rsid w:val="00227585"/>
    <w:rsid w:val="002276C3"/>
    <w:rsid w:val="0022782C"/>
    <w:rsid w:val="00227875"/>
    <w:rsid w:val="00227890"/>
    <w:rsid w:val="00227CD0"/>
    <w:rsid w:val="00227CE9"/>
    <w:rsid w:val="00227D3A"/>
    <w:rsid w:val="00227D64"/>
    <w:rsid w:val="00227F19"/>
    <w:rsid w:val="00227F40"/>
    <w:rsid w:val="00230013"/>
    <w:rsid w:val="00230020"/>
    <w:rsid w:val="00230024"/>
    <w:rsid w:val="002300AA"/>
    <w:rsid w:val="002301EB"/>
    <w:rsid w:val="002301EE"/>
    <w:rsid w:val="00230233"/>
    <w:rsid w:val="002302A6"/>
    <w:rsid w:val="00230360"/>
    <w:rsid w:val="002303B0"/>
    <w:rsid w:val="00230417"/>
    <w:rsid w:val="002304A3"/>
    <w:rsid w:val="002304CD"/>
    <w:rsid w:val="00230564"/>
    <w:rsid w:val="0023061F"/>
    <w:rsid w:val="002306FF"/>
    <w:rsid w:val="0023079B"/>
    <w:rsid w:val="002307D9"/>
    <w:rsid w:val="00230820"/>
    <w:rsid w:val="00230836"/>
    <w:rsid w:val="002308C6"/>
    <w:rsid w:val="002308D0"/>
    <w:rsid w:val="00230924"/>
    <w:rsid w:val="0023095C"/>
    <w:rsid w:val="0023097C"/>
    <w:rsid w:val="002309D1"/>
    <w:rsid w:val="00230A48"/>
    <w:rsid w:val="00230A52"/>
    <w:rsid w:val="00230A63"/>
    <w:rsid w:val="00230A80"/>
    <w:rsid w:val="00230AC5"/>
    <w:rsid w:val="00230B58"/>
    <w:rsid w:val="00230B9E"/>
    <w:rsid w:val="00230BAE"/>
    <w:rsid w:val="00230DB1"/>
    <w:rsid w:val="00230F1F"/>
    <w:rsid w:val="00230FA9"/>
    <w:rsid w:val="00230FE9"/>
    <w:rsid w:val="00230FEA"/>
    <w:rsid w:val="0023103A"/>
    <w:rsid w:val="00231079"/>
    <w:rsid w:val="002310D0"/>
    <w:rsid w:val="00231102"/>
    <w:rsid w:val="00231179"/>
    <w:rsid w:val="0023117A"/>
    <w:rsid w:val="0023135B"/>
    <w:rsid w:val="0023171F"/>
    <w:rsid w:val="0023172F"/>
    <w:rsid w:val="00231730"/>
    <w:rsid w:val="0023179D"/>
    <w:rsid w:val="00231851"/>
    <w:rsid w:val="002318C4"/>
    <w:rsid w:val="002318F0"/>
    <w:rsid w:val="0023194A"/>
    <w:rsid w:val="002319BF"/>
    <w:rsid w:val="002319D7"/>
    <w:rsid w:val="002319FE"/>
    <w:rsid w:val="00231A91"/>
    <w:rsid w:val="00231B1B"/>
    <w:rsid w:val="00231BC0"/>
    <w:rsid w:val="00231BC6"/>
    <w:rsid w:val="00231E6F"/>
    <w:rsid w:val="00231E9A"/>
    <w:rsid w:val="00231FFD"/>
    <w:rsid w:val="0023202A"/>
    <w:rsid w:val="0023213A"/>
    <w:rsid w:val="00232342"/>
    <w:rsid w:val="00232433"/>
    <w:rsid w:val="0023248E"/>
    <w:rsid w:val="00232589"/>
    <w:rsid w:val="0023259F"/>
    <w:rsid w:val="002326B4"/>
    <w:rsid w:val="002326F4"/>
    <w:rsid w:val="00232874"/>
    <w:rsid w:val="00232901"/>
    <w:rsid w:val="002329B8"/>
    <w:rsid w:val="00232A8A"/>
    <w:rsid w:val="00232AD5"/>
    <w:rsid w:val="00232B4A"/>
    <w:rsid w:val="00232D05"/>
    <w:rsid w:val="00232DF7"/>
    <w:rsid w:val="00232E61"/>
    <w:rsid w:val="00232E6E"/>
    <w:rsid w:val="00232E93"/>
    <w:rsid w:val="00232F74"/>
    <w:rsid w:val="00232F81"/>
    <w:rsid w:val="00232FFC"/>
    <w:rsid w:val="0023302F"/>
    <w:rsid w:val="00233079"/>
    <w:rsid w:val="0023308A"/>
    <w:rsid w:val="0023312B"/>
    <w:rsid w:val="00233251"/>
    <w:rsid w:val="00233261"/>
    <w:rsid w:val="00233268"/>
    <w:rsid w:val="00233419"/>
    <w:rsid w:val="00233487"/>
    <w:rsid w:val="0023349E"/>
    <w:rsid w:val="002334CE"/>
    <w:rsid w:val="00233558"/>
    <w:rsid w:val="00233559"/>
    <w:rsid w:val="002335A9"/>
    <w:rsid w:val="002336C9"/>
    <w:rsid w:val="00233746"/>
    <w:rsid w:val="0023384D"/>
    <w:rsid w:val="00233858"/>
    <w:rsid w:val="002338B7"/>
    <w:rsid w:val="00233969"/>
    <w:rsid w:val="00233979"/>
    <w:rsid w:val="00233A24"/>
    <w:rsid w:val="00233A5B"/>
    <w:rsid w:val="00233A7E"/>
    <w:rsid w:val="00233AD3"/>
    <w:rsid w:val="00233B32"/>
    <w:rsid w:val="00233B4D"/>
    <w:rsid w:val="00233BC9"/>
    <w:rsid w:val="00233C26"/>
    <w:rsid w:val="00233C2B"/>
    <w:rsid w:val="00233C8D"/>
    <w:rsid w:val="00233DA9"/>
    <w:rsid w:val="00233DDB"/>
    <w:rsid w:val="00233F29"/>
    <w:rsid w:val="00234045"/>
    <w:rsid w:val="00234101"/>
    <w:rsid w:val="0023411B"/>
    <w:rsid w:val="0023417D"/>
    <w:rsid w:val="0023419D"/>
    <w:rsid w:val="00234227"/>
    <w:rsid w:val="0023422D"/>
    <w:rsid w:val="00234272"/>
    <w:rsid w:val="002342C6"/>
    <w:rsid w:val="0023430F"/>
    <w:rsid w:val="0023433E"/>
    <w:rsid w:val="00234400"/>
    <w:rsid w:val="0023448F"/>
    <w:rsid w:val="00234522"/>
    <w:rsid w:val="00234567"/>
    <w:rsid w:val="0023456A"/>
    <w:rsid w:val="00234594"/>
    <w:rsid w:val="002345AB"/>
    <w:rsid w:val="002345CF"/>
    <w:rsid w:val="00234689"/>
    <w:rsid w:val="002346A7"/>
    <w:rsid w:val="00234727"/>
    <w:rsid w:val="0023473C"/>
    <w:rsid w:val="00234780"/>
    <w:rsid w:val="002347AD"/>
    <w:rsid w:val="002347CE"/>
    <w:rsid w:val="0023491D"/>
    <w:rsid w:val="00234981"/>
    <w:rsid w:val="002349E6"/>
    <w:rsid w:val="00234B05"/>
    <w:rsid w:val="00234BF9"/>
    <w:rsid w:val="00234CA0"/>
    <w:rsid w:val="00234CA3"/>
    <w:rsid w:val="00234CF8"/>
    <w:rsid w:val="00234CFB"/>
    <w:rsid w:val="00234D5E"/>
    <w:rsid w:val="00234D90"/>
    <w:rsid w:val="00234DFB"/>
    <w:rsid w:val="00234EB0"/>
    <w:rsid w:val="00234FE5"/>
    <w:rsid w:val="0023502D"/>
    <w:rsid w:val="00235057"/>
    <w:rsid w:val="00235081"/>
    <w:rsid w:val="0023512E"/>
    <w:rsid w:val="0023520A"/>
    <w:rsid w:val="0023524A"/>
    <w:rsid w:val="00235288"/>
    <w:rsid w:val="0023531D"/>
    <w:rsid w:val="00235518"/>
    <w:rsid w:val="002355AD"/>
    <w:rsid w:val="0023564E"/>
    <w:rsid w:val="0023570D"/>
    <w:rsid w:val="0023578B"/>
    <w:rsid w:val="00235945"/>
    <w:rsid w:val="00235960"/>
    <w:rsid w:val="00235982"/>
    <w:rsid w:val="00235A35"/>
    <w:rsid w:val="00235A4F"/>
    <w:rsid w:val="00235A5B"/>
    <w:rsid w:val="00235AB0"/>
    <w:rsid w:val="00235B7F"/>
    <w:rsid w:val="00235C64"/>
    <w:rsid w:val="00235CDA"/>
    <w:rsid w:val="00235D03"/>
    <w:rsid w:val="00235D0A"/>
    <w:rsid w:val="00235D8E"/>
    <w:rsid w:val="00235FCB"/>
    <w:rsid w:val="00235FD0"/>
    <w:rsid w:val="00236087"/>
    <w:rsid w:val="0023625A"/>
    <w:rsid w:val="0023625C"/>
    <w:rsid w:val="002363C6"/>
    <w:rsid w:val="002363E2"/>
    <w:rsid w:val="00236578"/>
    <w:rsid w:val="002365A8"/>
    <w:rsid w:val="002365CE"/>
    <w:rsid w:val="002365D8"/>
    <w:rsid w:val="002366A1"/>
    <w:rsid w:val="00236701"/>
    <w:rsid w:val="00236749"/>
    <w:rsid w:val="0023678E"/>
    <w:rsid w:val="002367DB"/>
    <w:rsid w:val="00236AAB"/>
    <w:rsid w:val="00236AC4"/>
    <w:rsid w:val="00236BE9"/>
    <w:rsid w:val="00236BEE"/>
    <w:rsid w:val="00236C09"/>
    <w:rsid w:val="00236C1A"/>
    <w:rsid w:val="00236D59"/>
    <w:rsid w:val="00236E00"/>
    <w:rsid w:val="00236E11"/>
    <w:rsid w:val="00236E1F"/>
    <w:rsid w:val="00236E8C"/>
    <w:rsid w:val="00236EA5"/>
    <w:rsid w:val="00236EE0"/>
    <w:rsid w:val="00236F26"/>
    <w:rsid w:val="00236F7E"/>
    <w:rsid w:val="00236F9B"/>
    <w:rsid w:val="00237137"/>
    <w:rsid w:val="002371A9"/>
    <w:rsid w:val="002372BC"/>
    <w:rsid w:val="00237328"/>
    <w:rsid w:val="0023746E"/>
    <w:rsid w:val="0023754F"/>
    <w:rsid w:val="002375BA"/>
    <w:rsid w:val="00237869"/>
    <w:rsid w:val="002378E8"/>
    <w:rsid w:val="0023796E"/>
    <w:rsid w:val="00237974"/>
    <w:rsid w:val="00237AA5"/>
    <w:rsid w:val="00237ABD"/>
    <w:rsid w:val="00237B46"/>
    <w:rsid w:val="00237B80"/>
    <w:rsid w:val="00237BBD"/>
    <w:rsid w:val="00237C5A"/>
    <w:rsid w:val="00237C91"/>
    <w:rsid w:val="00237CF2"/>
    <w:rsid w:val="00237D3B"/>
    <w:rsid w:val="00237D77"/>
    <w:rsid w:val="00237EF9"/>
    <w:rsid w:val="00237F22"/>
    <w:rsid w:val="00237FBD"/>
    <w:rsid w:val="00240093"/>
    <w:rsid w:val="00240215"/>
    <w:rsid w:val="002402CE"/>
    <w:rsid w:val="00240361"/>
    <w:rsid w:val="00240371"/>
    <w:rsid w:val="002403E1"/>
    <w:rsid w:val="00240487"/>
    <w:rsid w:val="002405F6"/>
    <w:rsid w:val="002406A7"/>
    <w:rsid w:val="002406DC"/>
    <w:rsid w:val="0024072C"/>
    <w:rsid w:val="002408DC"/>
    <w:rsid w:val="00240914"/>
    <w:rsid w:val="0024091B"/>
    <w:rsid w:val="002409AE"/>
    <w:rsid w:val="002409C4"/>
    <w:rsid w:val="002409E9"/>
    <w:rsid w:val="002409F8"/>
    <w:rsid w:val="00240A21"/>
    <w:rsid w:val="00240AC1"/>
    <w:rsid w:val="00240B62"/>
    <w:rsid w:val="00240BC8"/>
    <w:rsid w:val="00240C1F"/>
    <w:rsid w:val="00240C57"/>
    <w:rsid w:val="00240E0D"/>
    <w:rsid w:val="00240E15"/>
    <w:rsid w:val="00240E82"/>
    <w:rsid w:val="00240F3C"/>
    <w:rsid w:val="00240F56"/>
    <w:rsid w:val="00240F9E"/>
    <w:rsid w:val="00240FE1"/>
    <w:rsid w:val="0024100D"/>
    <w:rsid w:val="00241022"/>
    <w:rsid w:val="0024104D"/>
    <w:rsid w:val="00241084"/>
    <w:rsid w:val="0024108F"/>
    <w:rsid w:val="002410AB"/>
    <w:rsid w:val="002410D6"/>
    <w:rsid w:val="002411D1"/>
    <w:rsid w:val="002412AE"/>
    <w:rsid w:val="0024132E"/>
    <w:rsid w:val="0024133C"/>
    <w:rsid w:val="00241455"/>
    <w:rsid w:val="00241498"/>
    <w:rsid w:val="002414D2"/>
    <w:rsid w:val="00241510"/>
    <w:rsid w:val="00241557"/>
    <w:rsid w:val="0024159E"/>
    <w:rsid w:val="002415A1"/>
    <w:rsid w:val="002415FE"/>
    <w:rsid w:val="0024169F"/>
    <w:rsid w:val="0024174F"/>
    <w:rsid w:val="0024191A"/>
    <w:rsid w:val="00241968"/>
    <w:rsid w:val="00241A45"/>
    <w:rsid w:val="00241AE6"/>
    <w:rsid w:val="00241AFE"/>
    <w:rsid w:val="00241C13"/>
    <w:rsid w:val="00241CF0"/>
    <w:rsid w:val="00241D60"/>
    <w:rsid w:val="00241D93"/>
    <w:rsid w:val="00241DF2"/>
    <w:rsid w:val="00241E08"/>
    <w:rsid w:val="00241FA6"/>
    <w:rsid w:val="00242056"/>
    <w:rsid w:val="0024209D"/>
    <w:rsid w:val="00242111"/>
    <w:rsid w:val="002422D9"/>
    <w:rsid w:val="002422E0"/>
    <w:rsid w:val="0024230C"/>
    <w:rsid w:val="002423A2"/>
    <w:rsid w:val="0024242D"/>
    <w:rsid w:val="00242814"/>
    <w:rsid w:val="002428D7"/>
    <w:rsid w:val="0024293C"/>
    <w:rsid w:val="00242A0E"/>
    <w:rsid w:val="00242B4B"/>
    <w:rsid w:val="00242D32"/>
    <w:rsid w:val="00242D71"/>
    <w:rsid w:val="00242F2A"/>
    <w:rsid w:val="00242F41"/>
    <w:rsid w:val="00242FDB"/>
    <w:rsid w:val="00243062"/>
    <w:rsid w:val="00243247"/>
    <w:rsid w:val="00243344"/>
    <w:rsid w:val="00243429"/>
    <w:rsid w:val="00243552"/>
    <w:rsid w:val="00243580"/>
    <w:rsid w:val="0024363A"/>
    <w:rsid w:val="00243771"/>
    <w:rsid w:val="0024381F"/>
    <w:rsid w:val="0024389A"/>
    <w:rsid w:val="002439A5"/>
    <w:rsid w:val="00243C67"/>
    <w:rsid w:val="00243C72"/>
    <w:rsid w:val="00243DC0"/>
    <w:rsid w:val="00243E63"/>
    <w:rsid w:val="00244123"/>
    <w:rsid w:val="002441CC"/>
    <w:rsid w:val="002442E1"/>
    <w:rsid w:val="0024444D"/>
    <w:rsid w:val="002444A4"/>
    <w:rsid w:val="002445CC"/>
    <w:rsid w:val="002445F9"/>
    <w:rsid w:val="0024471B"/>
    <w:rsid w:val="00244778"/>
    <w:rsid w:val="0024485F"/>
    <w:rsid w:val="0024492F"/>
    <w:rsid w:val="00244999"/>
    <w:rsid w:val="00244A19"/>
    <w:rsid w:val="00244AB2"/>
    <w:rsid w:val="00244AB6"/>
    <w:rsid w:val="00244C7E"/>
    <w:rsid w:val="00244CAB"/>
    <w:rsid w:val="00244D1F"/>
    <w:rsid w:val="00244DAF"/>
    <w:rsid w:val="00244FA6"/>
    <w:rsid w:val="00244FBD"/>
    <w:rsid w:val="00244FF4"/>
    <w:rsid w:val="00245085"/>
    <w:rsid w:val="0024508B"/>
    <w:rsid w:val="002450D8"/>
    <w:rsid w:val="00245285"/>
    <w:rsid w:val="00245298"/>
    <w:rsid w:val="00245335"/>
    <w:rsid w:val="002454CD"/>
    <w:rsid w:val="00245570"/>
    <w:rsid w:val="0024561A"/>
    <w:rsid w:val="0024576A"/>
    <w:rsid w:val="00245786"/>
    <w:rsid w:val="002457AF"/>
    <w:rsid w:val="00245844"/>
    <w:rsid w:val="00245862"/>
    <w:rsid w:val="00245977"/>
    <w:rsid w:val="002459E6"/>
    <w:rsid w:val="00245AA3"/>
    <w:rsid w:val="00245AB5"/>
    <w:rsid w:val="00245B4D"/>
    <w:rsid w:val="00245BB4"/>
    <w:rsid w:val="00245BC1"/>
    <w:rsid w:val="00245C93"/>
    <w:rsid w:val="00245CD9"/>
    <w:rsid w:val="00245D35"/>
    <w:rsid w:val="00245ED1"/>
    <w:rsid w:val="00245F50"/>
    <w:rsid w:val="0024609F"/>
    <w:rsid w:val="002460E6"/>
    <w:rsid w:val="002461E4"/>
    <w:rsid w:val="0024620F"/>
    <w:rsid w:val="00246223"/>
    <w:rsid w:val="002462B8"/>
    <w:rsid w:val="0024637C"/>
    <w:rsid w:val="0024639E"/>
    <w:rsid w:val="002463A2"/>
    <w:rsid w:val="00246407"/>
    <w:rsid w:val="0024644F"/>
    <w:rsid w:val="002465C5"/>
    <w:rsid w:val="00246638"/>
    <w:rsid w:val="00246655"/>
    <w:rsid w:val="002467DF"/>
    <w:rsid w:val="002467E3"/>
    <w:rsid w:val="00246907"/>
    <w:rsid w:val="00246B42"/>
    <w:rsid w:val="00246BA7"/>
    <w:rsid w:val="00246BC1"/>
    <w:rsid w:val="00246C26"/>
    <w:rsid w:val="00246DA5"/>
    <w:rsid w:val="00246DFF"/>
    <w:rsid w:val="00246EA3"/>
    <w:rsid w:val="00246FD7"/>
    <w:rsid w:val="00247103"/>
    <w:rsid w:val="0024710E"/>
    <w:rsid w:val="00247144"/>
    <w:rsid w:val="00247169"/>
    <w:rsid w:val="002471C4"/>
    <w:rsid w:val="00247221"/>
    <w:rsid w:val="00247231"/>
    <w:rsid w:val="00247267"/>
    <w:rsid w:val="002477E4"/>
    <w:rsid w:val="00247972"/>
    <w:rsid w:val="002479AA"/>
    <w:rsid w:val="00247A17"/>
    <w:rsid w:val="00247A39"/>
    <w:rsid w:val="00247A49"/>
    <w:rsid w:val="00247BC4"/>
    <w:rsid w:val="00247BE8"/>
    <w:rsid w:val="00247D33"/>
    <w:rsid w:val="00247DD5"/>
    <w:rsid w:val="00247DED"/>
    <w:rsid w:val="00247E12"/>
    <w:rsid w:val="00247E53"/>
    <w:rsid w:val="00247E6C"/>
    <w:rsid w:val="00247EC3"/>
    <w:rsid w:val="00247F60"/>
    <w:rsid w:val="00250010"/>
    <w:rsid w:val="0025004B"/>
    <w:rsid w:val="002500F9"/>
    <w:rsid w:val="0025014B"/>
    <w:rsid w:val="00250178"/>
    <w:rsid w:val="002502AD"/>
    <w:rsid w:val="00250328"/>
    <w:rsid w:val="00250389"/>
    <w:rsid w:val="002503F0"/>
    <w:rsid w:val="00250442"/>
    <w:rsid w:val="002504A0"/>
    <w:rsid w:val="002504C1"/>
    <w:rsid w:val="002505E6"/>
    <w:rsid w:val="002505E9"/>
    <w:rsid w:val="0025070B"/>
    <w:rsid w:val="00250728"/>
    <w:rsid w:val="0025074E"/>
    <w:rsid w:val="00250A7E"/>
    <w:rsid w:val="00250AE7"/>
    <w:rsid w:val="00250B58"/>
    <w:rsid w:val="00250CBB"/>
    <w:rsid w:val="00250D62"/>
    <w:rsid w:val="00250DE3"/>
    <w:rsid w:val="00250E2D"/>
    <w:rsid w:val="00250E6A"/>
    <w:rsid w:val="00250EBD"/>
    <w:rsid w:val="00250F9F"/>
    <w:rsid w:val="00251032"/>
    <w:rsid w:val="00251064"/>
    <w:rsid w:val="00251132"/>
    <w:rsid w:val="00251148"/>
    <w:rsid w:val="00251156"/>
    <w:rsid w:val="0025119F"/>
    <w:rsid w:val="002511FA"/>
    <w:rsid w:val="002511FE"/>
    <w:rsid w:val="00251248"/>
    <w:rsid w:val="002512E7"/>
    <w:rsid w:val="00251398"/>
    <w:rsid w:val="0025145C"/>
    <w:rsid w:val="0025149B"/>
    <w:rsid w:val="00251550"/>
    <w:rsid w:val="00251553"/>
    <w:rsid w:val="002516DB"/>
    <w:rsid w:val="00251706"/>
    <w:rsid w:val="00251786"/>
    <w:rsid w:val="0025180C"/>
    <w:rsid w:val="00251858"/>
    <w:rsid w:val="0025186A"/>
    <w:rsid w:val="00251956"/>
    <w:rsid w:val="00251B57"/>
    <w:rsid w:val="00251B5C"/>
    <w:rsid w:val="00251CC8"/>
    <w:rsid w:val="00251D35"/>
    <w:rsid w:val="00251D94"/>
    <w:rsid w:val="00251DF7"/>
    <w:rsid w:val="00251E1A"/>
    <w:rsid w:val="00251F68"/>
    <w:rsid w:val="00251FB8"/>
    <w:rsid w:val="00252030"/>
    <w:rsid w:val="00252050"/>
    <w:rsid w:val="002520EE"/>
    <w:rsid w:val="00252107"/>
    <w:rsid w:val="00252224"/>
    <w:rsid w:val="0025229D"/>
    <w:rsid w:val="002523F1"/>
    <w:rsid w:val="002524AA"/>
    <w:rsid w:val="002524D1"/>
    <w:rsid w:val="002524D6"/>
    <w:rsid w:val="002526F4"/>
    <w:rsid w:val="00252715"/>
    <w:rsid w:val="00252904"/>
    <w:rsid w:val="00252905"/>
    <w:rsid w:val="00252AD0"/>
    <w:rsid w:val="00252AE7"/>
    <w:rsid w:val="00252B32"/>
    <w:rsid w:val="00252BF6"/>
    <w:rsid w:val="00252C3C"/>
    <w:rsid w:val="00252CA1"/>
    <w:rsid w:val="00252CD2"/>
    <w:rsid w:val="00252D95"/>
    <w:rsid w:val="00252DB8"/>
    <w:rsid w:val="00252DC7"/>
    <w:rsid w:val="00252ED4"/>
    <w:rsid w:val="00252F11"/>
    <w:rsid w:val="00252F59"/>
    <w:rsid w:val="00253013"/>
    <w:rsid w:val="002530EA"/>
    <w:rsid w:val="00253333"/>
    <w:rsid w:val="002533AF"/>
    <w:rsid w:val="0025344A"/>
    <w:rsid w:val="002534D2"/>
    <w:rsid w:val="00253534"/>
    <w:rsid w:val="002535FC"/>
    <w:rsid w:val="002536B0"/>
    <w:rsid w:val="002537C1"/>
    <w:rsid w:val="00253A8E"/>
    <w:rsid w:val="00253C74"/>
    <w:rsid w:val="00253C7C"/>
    <w:rsid w:val="00253DB3"/>
    <w:rsid w:val="00253F23"/>
    <w:rsid w:val="00253F81"/>
    <w:rsid w:val="00254148"/>
    <w:rsid w:val="0025438B"/>
    <w:rsid w:val="0025458C"/>
    <w:rsid w:val="002546FB"/>
    <w:rsid w:val="002548B0"/>
    <w:rsid w:val="002548C6"/>
    <w:rsid w:val="00254938"/>
    <w:rsid w:val="00254955"/>
    <w:rsid w:val="00254ABA"/>
    <w:rsid w:val="00254ADC"/>
    <w:rsid w:val="00254AF0"/>
    <w:rsid w:val="00254B83"/>
    <w:rsid w:val="00254B97"/>
    <w:rsid w:val="00254BC7"/>
    <w:rsid w:val="00254D74"/>
    <w:rsid w:val="00254EA4"/>
    <w:rsid w:val="00254F00"/>
    <w:rsid w:val="00254F20"/>
    <w:rsid w:val="00254F81"/>
    <w:rsid w:val="0025505F"/>
    <w:rsid w:val="00255076"/>
    <w:rsid w:val="002550ED"/>
    <w:rsid w:val="00255179"/>
    <w:rsid w:val="002551AA"/>
    <w:rsid w:val="002552A6"/>
    <w:rsid w:val="00255302"/>
    <w:rsid w:val="00255411"/>
    <w:rsid w:val="00255487"/>
    <w:rsid w:val="002554AA"/>
    <w:rsid w:val="002554D9"/>
    <w:rsid w:val="002554F0"/>
    <w:rsid w:val="002555A8"/>
    <w:rsid w:val="00255621"/>
    <w:rsid w:val="00255661"/>
    <w:rsid w:val="002557A0"/>
    <w:rsid w:val="00255815"/>
    <w:rsid w:val="00255866"/>
    <w:rsid w:val="002558ED"/>
    <w:rsid w:val="0025598D"/>
    <w:rsid w:val="002559F0"/>
    <w:rsid w:val="00255A17"/>
    <w:rsid w:val="00255AF3"/>
    <w:rsid w:val="00255AFC"/>
    <w:rsid w:val="00255BCD"/>
    <w:rsid w:val="00255BEE"/>
    <w:rsid w:val="00255BFB"/>
    <w:rsid w:val="00255C6D"/>
    <w:rsid w:val="00255D6D"/>
    <w:rsid w:val="00255DAC"/>
    <w:rsid w:val="00255DCA"/>
    <w:rsid w:val="00255EBF"/>
    <w:rsid w:val="00255FAC"/>
    <w:rsid w:val="00255FDA"/>
    <w:rsid w:val="00256078"/>
    <w:rsid w:val="00256138"/>
    <w:rsid w:val="002561FA"/>
    <w:rsid w:val="00256228"/>
    <w:rsid w:val="0025626F"/>
    <w:rsid w:val="0025627B"/>
    <w:rsid w:val="00256292"/>
    <w:rsid w:val="00256293"/>
    <w:rsid w:val="002562CD"/>
    <w:rsid w:val="00256323"/>
    <w:rsid w:val="00256355"/>
    <w:rsid w:val="0025653F"/>
    <w:rsid w:val="00256554"/>
    <w:rsid w:val="002566E3"/>
    <w:rsid w:val="002566E7"/>
    <w:rsid w:val="00256703"/>
    <w:rsid w:val="0025674E"/>
    <w:rsid w:val="00256782"/>
    <w:rsid w:val="002568E3"/>
    <w:rsid w:val="0025699E"/>
    <w:rsid w:val="00256ADA"/>
    <w:rsid w:val="00256BCB"/>
    <w:rsid w:val="00256C14"/>
    <w:rsid w:val="00256CA8"/>
    <w:rsid w:val="00256D4D"/>
    <w:rsid w:val="00256D6F"/>
    <w:rsid w:val="00256DC2"/>
    <w:rsid w:val="00256DF0"/>
    <w:rsid w:val="00256E41"/>
    <w:rsid w:val="00256F2B"/>
    <w:rsid w:val="00256F86"/>
    <w:rsid w:val="002570A8"/>
    <w:rsid w:val="002571D1"/>
    <w:rsid w:val="00257210"/>
    <w:rsid w:val="002572C4"/>
    <w:rsid w:val="002572E0"/>
    <w:rsid w:val="00257310"/>
    <w:rsid w:val="00257366"/>
    <w:rsid w:val="00257485"/>
    <w:rsid w:val="002574D7"/>
    <w:rsid w:val="002574E8"/>
    <w:rsid w:val="002574FF"/>
    <w:rsid w:val="00257525"/>
    <w:rsid w:val="00257638"/>
    <w:rsid w:val="00257639"/>
    <w:rsid w:val="0025767F"/>
    <w:rsid w:val="0025779F"/>
    <w:rsid w:val="002577EA"/>
    <w:rsid w:val="002577FB"/>
    <w:rsid w:val="002578EE"/>
    <w:rsid w:val="002579DE"/>
    <w:rsid w:val="00257B80"/>
    <w:rsid w:val="00257BBF"/>
    <w:rsid w:val="00257C7B"/>
    <w:rsid w:val="00257D34"/>
    <w:rsid w:val="00257DD0"/>
    <w:rsid w:val="00257E2A"/>
    <w:rsid w:val="00257ED1"/>
    <w:rsid w:val="00257F3F"/>
    <w:rsid w:val="00257FC5"/>
    <w:rsid w:val="00257FCA"/>
    <w:rsid w:val="00260024"/>
    <w:rsid w:val="002600AA"/>
    <w:rsid w:val="00260115"/>
    <w:rsid w:val="00260138"/>
    <w:rsid w:val="002602A0"/>
    <w:rsid w:val="002603FA"/>
    <w:rsid w:val="0026050E"/>
    <w:rsid w:val="002605B5"/>
    <w:rsid w:val="00260A42"/>
    <w:rsid w:val="00260B10"/>
    <w:rsid w:val="00260BB5"/>
    <w:rsid w:val="00260C35"/>
    <w:rsid w:val="00260D02"/>
    <w:rsid w:val="00260D1D"/>
    <w:rsid w:val="00260D73"/>
    <w:rsid w:val="00260EB9"/>
    <w:rsid w:val="00260ED8"/>
    <w:rsid w:val="00260F3D"/>
    <w:rsid w:val="002610C5"/>
    <w:rsid w:val="002610D8"/>
    <w:rsid w:val="002611BB"/>
    <w:rsid w:val="002611E7"/>
    <w:rsid w:val="002611FC"/>
    <w:rsid w:val="00261432"/>
    <w:rsid w:val="002614F6"/>
    <w:rsid w:val="0026152F"/>
    <w:rsid w:val="00261532"/>
    <w:rsid w:val="00261538"/>
    <w:rsid w:val="00261562"/>
    <w:rsid w:val="002615E7"/>
    <w:rsid w:val="0026169F"/>
    <w:rsid w:val="002616F3"/>
    <w:rsid w:val="002616F4"/>
    <w:rsid w:val="00261771"/>
    <w:rsid w:val="00261819"/>
    <w:rsid w:val="002618E9"/>
    <w:rsid w:val="0026191A"/>
    <w:rsid w:val="00261949"/>
    <w:rsid w:val="00261959"/>
    <w:rsid w:val="0026196C"/>
    <w:rsid w:val="00261A75"/>
    <w:rsid w:val="00261AA9"/>
    <w:rsid w:val="00261AD8"/>
    <w:rsid w:val="00261AE3"/>
    <w:rsid w:val="00261BE1"/>
    <w:rsid w:val="00261CA4"/>
    <w:rsid w:val="00261CAA"/>
    <w:rsid w:val="00261CFC"/>
    <w:rsid w:val="00261D3D"/>
    <w:rsid w:val="00261DC1"/>
    <w:rsid w:val="00261EA2"/>
    <w:rsid w:val="00261F54"/>
    <w:rsid w:val="00261FDA"/>
    <w:rsid w:val="00262092"/>
    <w:rsid w:val="0026214B"/>
    <w:rsid w:val="00262187"/>
    <w:rsid w:val="002621B0"/>
    <w:rsid w:val="002622C7"/>
    <w:rsid w:val="00262375"/>
    <w:rsid w:val="002623CF"/>
    <w:rsid w:val="002623EF"/>
    <w:rsid w:val="0026248C"/>
    <w:rsid w:val="0026249C"/>
    <w:rsid w:val="002624F5"/>
    <w:rsid w:val="0026258C"/>
    <w:rsid w:val="002625F3"/>
    <w:rsid w:val="0026278D"/>
    <w:rsid w:val="00262894"/>
    <w:rsid w:val="002628AF"/>
    <w:rsid w:val="0026297E"/>
    <w:rsid w:val="002629E8"/>
    <w:rsid w:val="00262A5C"/>
    <w:rsid w:val="00262B2F"/>
    <w:rsid w:val="00262BEE"/>
    <w:rsid w:val="00262C6D"/>
    <w:rsid w:val="00262C96"/>
    <w:rsid w:val="00262CEE"/>
    <w:rsid w:val="00262FD1"/>
    <w:rsid w:val="00262FDF"/>
    <w:rsid w:val="0026301D"/>
    <w:rsid w:val="00263075"/>
    <w:rsid w:val="002630AE"/>
    <w:rsid w:val="002630E6"/>
    <w:rsid w:val="00263172"/>
    <w:rsid w:val="0026322A"/>
    <w:rsid w:val="0026328F"/>
    <w:rsid w:val="002632B2"/>
    <w:rsid w:val="00263458"/>
    <w:rsid w:val="002634BC"/>
    <w:rsid w:val="00263597"/>
    <w:rsid w:val="00263615"/>
    <w:rsid w:val="00263642"/>
    <w:rsid w:val="0026377E"/>
    <w:rsid w:val="0026377F"/>
    <w:rsid w:val="0026378A"/>
    <w:rsid w:val="002638BA"/>
    <w:rsid w:val="0026395C"/>
    <w:rsid w:val="00263965"/>
    <w:rsid w:val="002639C3"/>
    <w:rsid w:val="00263AAE"/>
    <w:rsid w:val="00263AEC"/>
    <w:rsid w:val="00263BDD"/>
    <w:rsid w:val="00263D3F"/>
    <w:rsid w:val="00263E74"/>
    <w:rsid w:val="00264041"/>
    <w:rsid w:val="00264076"/>
    <w:rsid w:val="002640D0"/>
    <w:rsid w:val="002640D7"/>
    <w:rsid w:val="00264105"/>
    <w:rsid w:val="0026413C"/>
    <w:rsid w:val="002641FA"/>
    <w:rsid w:val="002642E0"/>
    <w:rsid w:val="00264440"/>
    <w:rsid w:val="0026448C"/>
    <w:rsid w:val="002644F6"/>
    <w:rsid w:val="00264575"/>
    <w:rsid w:val="002645C4"/>
    <w:rsid w:val="002645CA"/>
    <w:rsid w:val="0026465D"/>
    <w:rsid w:val="00264691"/>
    <w:rsid w:val="00264721"/>
    <w:rsid w:val="002647C5"/>
    <w:rsid w:val="0026482E"/>
    <w:rsid w:val="00264883"/>
    <w:rsid w:val="00264952"/>
    <w:rsid w:val="002649AB"/>
    <w:rsid w:val="002649B4"/>
    <w:rsid w:val="00264A0F"/>
    <w:rsid w:val="00264A8C"/>
    <w:rsid w:val="00264C97"/>
    <w:rsid w:val="00264D25"/>
    <w:rsid w:val="00264D3A"/>
    <w:rsid w:val="00264D9A"/>
    <w:rsid w:val="00264E62"/>
    <w:rsid w:val="00264FD2"/>
    <w:rsid w:val="00265027"/>
    <w:rsid w:val="00265105"/>
    <w:rsid w:val="00265294"/>
    <w:rsid w:val="002652B5"/>
    <w:rsid w:val="00265317"/>
    <w:rsid w:val="00265369"/>
    <w:rsid w:val="002653B4"/>
    <w:rsid w:val="002653F9"/>
    <w:rsid w:val="00265496"/>
    <w:rsid w:val="002654E2"/>
    <w:rsid w:val="0026569A"/>
    <w:rsid w:val="002656D7"/>
    <w:rsid w:val="002656EE"/>
    <w:rsid w:val="002657A1"/>
    <w:rsid w:val="002658D2"/>
    <w:rsid w:val="002658DA"/>
    <w:rsid w:val="002658F6"/>
    <w:rsid w:val="00265944"/>
    <w:rsid w:val="0026595E"/>
    <w:rsid w:val="0026599E"/>
    <w:rsid w:val="002659BD"/>
    <w:rsid w:val="00265B64"/>
    <w:rsid w:val="00265C0A"/>
    <w:rsid w:val="00265C46"/>
    <w:rsid w:val="00265D7A"/>
    <w:rsid w:val="00265DA8"/>
    <w:rsid w:val="00265E04"/>
    <w:rsid w:val="00265E05"/>
    <w:rsid w:val="00265E3D"/>
    <w:rsid w:val="00265E3E"/>
    <w:rsid w:val="00265ECA"/>
    <w:rsid w:val="00265ECD"/>
    <w:rsid w:val="00265F3E"/>
    <w:rsid w:val="00265F9C"/>
    <w:rsid w:val="00265FAD"/>
    <w:rsid w:val="00266129"/>
    <w:rsid w:val="0026621E"/>
    <w:rsid w:val="00266296"/>
    <w:rsid w:val="002663C1"/>
    <w:rsid w:val="002665A6"/>
    <w:rsid w:val="002665D4"/>
    <w:rsid w:val="002665F3"/>
    <w:rsid w:val="002666A8"/>
    <w:rsid w:val="00266751"/>
    <w:rsid w:val="002667AB"/>
    <w:rsid w:val="002667F1"/>
    <w:rsid w:val="002667FF"/>
    <w:rsid w:val="0026680B"/>
    <w:rsid w:val="00266885"/>
    <w:rsid w:val="002668D8"/>
    <w:rsid w:val="00266927"/>
    <w:rsid w:val="00266928"/>
    <w:rsid w:val="00266937"/>
    <w:rsid w:val="0026693A"/>
    <w:rsid w:val="00266945"/>
    <w:rsid w:val="0026694B"/>
    <w:rsid w:val="00266B85"/>
    <w:rsid w:val="00266BDC"/>
    <w:rsid w:val="00266CA0"/>
    <w:rsid w:val="00266D65"/>
    <w:rsid w:val="00266E51"/>
    <w:rsid w:val="00267046"/>
    <w:rsid w:val="0026723E"/>
    <w:rsid w:val="0026727E"/>
    <w:rsid w:val="00267359"/>
    <w:rsid w:val="00267361"/>
    <w:rsid w:val="002674F8"/>
    <w:rsid w:val="002675C4"/>
    <w:rsid w:val="00267634"/>
    <w:rsid w:val="00267760"/>
    <w:rsid w:val="00267840"/>
    <w:rsid w:val="0026784F"/>
    <w:rsid w:val="00267870"/>
    <w:rsid w:val="00267905"/>
    <w:rsid w:val="0026791F"/>
    <w:rsid w:val="002679AF"/>
    <w:rsid w:val="00267A4E"/>
    <w:rsid w:val="00267A72"/>
    <w:rsid w:val="00267B1E"/>
    <w:rsid w:val="00267C37"/>
    <w:rsid w:val="00267CFC"/>
    <w:rsid w:val="00267D2F"/>
    <w:rsid w:val="00267D48"/>
    <w:rsid w:val="00267D4C"/>
    <w:rsid w:val="00267D67"/>
    <w:rsid w:val="00267D8F"/>
    <w:rsid w:val="00267DBA"/>
    <w:rsid w:val="00267E15"/>
    <w:rsid w:val="00267E80"/>
    <w:rsid w:val="00267EF2"/>
    <w:rsid w:val="0027015B"/>
    <w:rsid w:val="0027017F"/>
    <w:rsid w:val="002701A5"/>
    <w:rsid w:val="002701B6"/>
    <w:rsid w:val="002701F2"/>
    <w:rsid w:val="0027047E"/>
    <w:rsid w:val="002704B0"/>
    <w:rsid w:val="00270560"/>
    <w:rsid w:val="002705C6"/>
    <w:rsid w:val="00270689"/>
    <w:rsid w:val="00270749"/>
    <w:rsid w:val="00270758"/>
    <w:rsid w:val="002707B1"/>
    <w:rsid w:val="00270815"/>
    <w:rsid w:val="002708AF"/>
    <w:rsid w:val="002708C1"/>
    <w:rsid w:val="00270997"/>
    <w:rsid w:val="002709AB"/>
    <w:rsid w:val="00270A0E"/>
    <w:rsid w:val="00270B50"/>
    <w:rsid w:val="00270CBA"/>
    <w:rsid w:val="00270D0A"/>
    <w:rsid w:val="00270D31"/>
    <w:rsid w:val="00270E03"/>
    <w:rsid w:val="00270E55"/>
    <w:rsid w:val="00270F25"/>
    <w:rsid w:val="00270F2F"/>
    <w:rsid w:val="00270F71"/>
    <w:rsid w:val="00270F93"/>
    <w:rsid w:val="00270FDA"/>
    <w:rsid w:val="0027107B"/>
    <w:rsid w:val="002710E9"/>
    <w:rsid w:val="00271137"/>
    <w:rsid w:val="0027115D"/>
    <w:rsid w:val="002711ED"/>
    <w:rsid w:val="0027120A"/>
    <w:rsid w:val="00271244"/>
    <w:rsid w:val="002712FF"/>
    <w:rsid w:val="00271376"/>
    <w:rsid w:val="00271384"/>
    <w:rsid w:val="002713AA"/>
    <w:rsid w:val="002713CB"/>
    <w:rsid w:val="002714F8"/>
    <w:rsid w:val="00271515"/>
    <w:rsid w:val="00271651"/>
    <w:rsid w:val="00271652"/>
    <w:rsid w:val="00271714"/>
    <w:rsid w:val="00271732"/>
    <w:rsid w:val="00271740"/>
    <w:rsid w:val="0027186E"/>
    <w:rsid w:val="002719D1"/>
    <w:rsid w:val="00271DB5"/>
    <w:rsid w:val="00271F39"/>
    <w:rsid w:val="00272017"/>
    <w:rsid w:val="00272209"/>
    <w:rsid w:val="0027221D"/>
    <w:rsid w:val="0027236E"/>
    <w:rsid w:val="002723F5"/>
    <w:rsid w:val="0027253A"/>
    <w:rsid w:val="002725A5"/>
    <w:rsid w:val="002725F3"/>
    <w:rsid w:val="0027269D"/>
    <w:rsid w:val="002726B4"/>
    <w:rsid w:val="002726C8"/>
    <w:rsid w:val="002728E5"/>
    <w:rsid w:val="002728E9"/>
    <w:rsid w:val="00272913"/>
    <w:rsid w:val="00272921"/>
    <w:rsid w:val="0027293D"/>
    <w:rsid w:val="00272986"/>
    <w:rsid w:val="002729F8"/>
    <w:rsid w:val="00272A38"/>
    <w:rsid w:val="00272A80"/>
    <w:rsid w:val="00272BC8"/>
    <w:rsid w:val="00272D0A"/>
    <w:rsid w:val="00272D59"/>
    <w:rsid w:val="00272DB1"/>
    <w:rsid w:val="00272F02"/>
    <w:rsid w:val="00272F64"/>
    <w:rsid w:val="00273042"/>
    <w:rsid w:val="00273046"/>
    <w:rsid w:val="002730B0"/>
    <w:rsid w:val="002731AA"/>
    <w:rsid w:val="002731F9"/>
    <w:rsid w:val="00273200"/>
    <w:rsid w:val="00273357"/>
    <w:rsid w:val="00273359"/>
    <w:rsid w:val="00273465"/>
    <w:rsid w:val="002734CD"/>
    <w:rsid w:val="00273520"/>
    <w:rsid w:val="00273548"/>
    <w:rsid w:val="00273586"/>
    <w:rsid w:val="002735BD"/>
    <w:rsid w:val="002735CF"/>
    <w:rsid w:val="002736C4"/>
    <w:rsid w:val="00273861"/>
    <w:rsid w:val="0027388C"/>
    <w:rsid w:val="00273966"/>
    <w:rsid w:val="00273A13"/>
    <w:rsid w:val="00273A4F"/>
    <w:rsid w:val="00273B28"/>
    <w:rsid w:val="00273BD6"/>
    <w:rsid w:val="00273C4D"/>
    <w:rsid w:val="00273C58"/>
    <w:rsid w:val="00273CE3"/>
    <w:rsid w:val="00273DC2"/>
    <w:rsid w:val="00273E33"/>
    <w:rsid w:val="00273EE1"/>
    <w:rsid w:val="00273F41"/>
    <w:rsid w:val="00273F56"/>
    <w:rsid w:val="00273F86"/>
    <w:rsid w:val="00274057"/>
    <w:rsid w:val="002740CC"/>
    <w:rsid w:val="002741C9"/>
    <w:rsid w:val="00274242"/>
    <w:rsid w:val="00274378"/>
    <w:rsid w:val="00274471"/>
    <w:rsid w:val="0027450F"/>
    <w:rsid w:val="00274562"/>
    <w:rsid w:val="002745ED"/>
    <w:rsid w:val="00274753"/>
    <w:rsid w:val="00274783"/>
    <w:rsid w:val="00274850"/>
    <w:rsid w:val="0027496D"/>
    <w:rsid w:val="00274982"/>
    <w:rsid w:val="00274A1F"/>
    <w:rsid w:val="00274A9B"/>
    <w:rsid w:val="00274C19"/>
    <w:rsid w:val="00274C8A"/>
    <w:rsid w:val="00274CA2"/>
    <w:rsid w:val="00274CC2"/>
    <w:rsid w:val="00274D98"/>
    <w:rsid w:val="00274E1A"/>
    <w:rsid w:val="00274E25"/>
    <w:rsid w:val="00274F49"/>
    <w:rsid w:val="00275036"/>
    <w:rsid w:val="00275042"/>
    <w:rsid w:val="00275059"/>
    <w:rsid w:val="002750FA"/>
    <w:rsid w:val="00275175"/>
    <w:rsid w:val="00275187"/>
    <w:rsid w:val="00275397"/>
    <w:rsid w:val="00275471"/>
    <w:rsid w:val="00275515"/>
    <w:rsid w:val="0027562E"/>
    <w:rsid w:val="0027566B"/>
    <w:rsid w:val="00275759"/>
    <w:rsid w:val="0027578A"/>
    <w:rsid w:val="002757F0"/>
    <w:rsid w:val="00275855"/>
    <w:rsid w:val="002758BB"/>
    <w:rsid w:val="0027590B"/>
    <w:rsid w:val="00275A13"/>
    <w:rsid w:val="00275A93"/>
    <w:rsid w:val="00275AC1"/>
    <w:rsid w:val="00275AE3"/>
    <w:rsid w:val="00275B9C"/>
    <w:rsid w:val="00275BA1"/>
    <w:rsid w:val="00275C05"/>
    <w:rsid w:val="00275CF1"/>
    <w:rsid w:val="00275CFD"/>
    <w:rsid w:val="00275DA8"/>
    <w:rsid w:val="00275DFA"/>
    <w:rsid w:val="00275FB8"/>
    <w:rsid w:val="00275FDB"/>
    <w:rsid w:val="00276113"/>
    <w:rsid w:val="0027619F"/>
    <w:rsid w:val="00276224"/>
    <w:rsid w:val="00276293"/>
    <w:rsid w:val="0027630B"/>
    <w:rsid w:val="00276343"/>
    <w:rsid w:val="00276369"/>
    <w:rsid w:val="00276402"/>
    <w:rsid w:val="00276442"/>
    <w:rsid w:val="00276547"/>
    <w:rsid w:val="0027654B"/>
    <w:rsid w:val="002765A1"/>
    <w:rsid w:val="00276614"/>
    <w:rsid w:val="00276745"/>
    <w:rsid w:val="00276756"/>
    <w:rsid w:val="002768FC"/>
    <w:rsid w:val="00276938"/>
    <w:rsid w:val="00276ADA"/>
    <w:rsid w:val="00276B48"/>
    <w:rsid w:val="00276C07"/>
    <w:rsid w:val="00276C42"/>
    <w:rsid w:val="00276C5C"/>
    <w:rsid w:val="00276E4E"/>
    <w:rsid w:val="00276E5F"/>
    <w:rsid w:val="00276F69"/>
    <w:rsid w:val="00276FDD"/>
    <w:rsid w:val="00277027"/>
    <w:rsid w:val="00277171"/>
    <w:rsid w:val="0027721D"/>
    <w:rsid w:val="002772ED"/>
    <w:rsid w:val="002772F5"/>
    <w:rsid w:val="00277327"/>
    <w:rsid w:val="00277344"/>
    <w:rsid w:val="00277414"/>
    <w:rsid w:val="002776F1"/>
    <w:rsid w:val="0027772F"/>
    <w:rsid w:val="00277ABE"/>
    <w:rsid w:val="00277B60"/>
    <w:rsid w:val="00277B6D"/>
    <w:rsid w:val="00277B7A"/>
    <w:rsid w:val="00277BCE"/>
    <w:rsid w:val="00277D68"/>
    <w:rsid w:val="00277F31"/>
    <w:rsid w:val="00277F76"/>
    <w:rsid w:val="00277F9D"/>
    <w:rsid w:val="00277FE7"/>
    <w:rsid w:val="00277FFE"/>
    <w:rsid w:val="0028001E"/>
    <w:rsid w:val="00280062"/>
    <w:rsid w:val="00280102"/>
    <w:rsid w:val="002801DD"/>
    <w:rsid w:val="002801FF"/>
    <w:rsid w:val="002802EB"/>
    <w:rsid w:val="00280309"/>
    <w:rsid w:val="00280325"/>
    <w:rsid w:val="0028032E"/>
    <w:rsid w:val="0028044B"/>
    <w:rsid w:val="0028044D"/>
    <w:rsid w:val="00280464"/>
    <w:rsid w:val="0028046C"/>
    <w:rsid w:val="0028049E"/>
    <w:rsid w:val="002804A8"/>
    <w:rsid w:val="002804B8"/>
    <w:rsid w:val="00280607"/>
    <w:rsid w:val="0028065D"/>
    <w:rsid w:val="0028066E"/>
    <w:rsid w:val="002806CB"/>
    <w:rsid w:val="002806E8"/>
    <w:rsid w:val="00280817"/>
    <w:rsid w:val="00280902"/>
    <w:rsid w:val="00280941"/>
    <w:rsid w:val="0028099B"/>
    <w:rsid w:val="00280A3F"/>
    <w:rsid w:val="00280A78"/>
    <w:rsid w:val="00280A9D"/>
    <w:rsid w:val="00280AD2"/>
    <w:rsid w:val="00280B7D"/>
    <w:rsid w:val="00280C1B"/>
    <w:rsid w:val="00280D08"/>
    <w:rsid w:val="00280D0F"/>
    <w:rsid w:val="00280D85"/>
    <w:rsid w:val="00280DA0"/>
    <w:rsid w:val="00280EA8"/>
    <w:rsid w:val="00280F4C"/>
    <w:rsid w:val="0028104A"/>
    <w:rsid w:val="002810CF"/>
    <w:rsid w:val="00281211"/>
    <w:rsid w:val="00281340"/>
    <w:rsid w:val="0028135A"/>
    <w:rsid w:val="00281374"/>
    <w:rsid w:val="002813E1"/>
    <w:rsid w:val="0028144B"/>
    <w:rsid w:val="00281481"/>
    <w:rsid w:val="0028176A"/>
    <w:rsid w:val="002817BD"/>
    <w:rsid w:val="002817D2"/>
    <w:rsid w:val="0028183C"/>
    <w:rsid w:val="00281989"/>
    <w:rsid w:val="00281AC4"/>
    <w:rsid w:val="00281AE6"/>
    <w:rsid w:val="00281B01"/>
    <w:rsid w:val="00281B52"/>
    <w:rsid w:val="00281BED"/>
    <w:rsid w:val="00281C0A"/>
    <w:rsid w:val="00281E28"/>
    <w:rsid w:val="00281E86"/>
    <w:rsid w:val="00281FE1"/>
    <w:rsid w:val="00282005"/>
    <w:rsid w:val="00282053"/>
    <w:rsid w:val="002820C2"/>
    <w:rsid w:val="002821F9"/>
    <w:rsid w:val="00282263"/>
    <w:rsid w:val="002822CC"/>
    <w:rsid w:val="00282327"/>
    <w:rsid w:val="002823D9"/>
    <w:rsid w:val="00282485"/>
    <w:rsid w:val="0028252B"/>
    <w:rsid w:val="002826AA"/>
    <w:rsid w:val="00282804"/>
    <w:rsid w:val="00282874"/>
    <w:rsid w:val="00282994"/>
    <w:rsid w:val="00282B59"/>
    <w:rsid w:val="00282C31"/>
    <w:rsid w:val="00282D63"/>
    <w:rsid w:val="00282D72"/>
    <w:rsid w:val="00282E00"/>
    <w:rsid w:val="00282FCC"/>
    <w:rsid w:val="00282FEC"/>
    <w:rsid w:val="00283094"/>
    <w:rsid w:val="002830A7"/>
    <w:rsid w:val="002830EB"/>
    <w:rsid w:val="0028347D"/>
    <w:rsid w:val="00283480"/>
    <w:rsid w:val="002834C3"/>
    <w:rsid w:val="00283570"/>
    <w:rsid w:val="002835CC"/>
    <w:rsid w:val="00283615"/>
    <w:rsid w:val="002836A5"/>
    <w:rsid w:val="00283734"/>
    <w:rsid w:val="0028377D"/>
    <w:rsid w:val="0028381B"/>
    <w:rsid w:val="0028382E"/>
    <w:rsid w:val="00283884"/>
    <w:rsid w:val="00283903"/>
    <w:rsid w:val="002839CD"/>
    <w:rsid w:val="002839E6"/>
    <w:rsid w:val="00283A53"/>
    <w:rsid w:val="00283B74"/>
    <w:rsid w:val="00283BDB"/>
    <w:rsid w:val="00283C5F"/>
    <w:rsid w:val="00283D77"/>
    <w:rsid w:val="00283E66"/>
    <w:rsid w:val="00283E82"/>
    <w:rsid w:val="00283E9C"/>
    <w:rsid w:val="00283EC3"/>
    <w:rsid w:val="00283F3C"/>
    <w:rsid w:val="00283F52"/>
    <w:rsid w:val="00283FE0"/>
    <w:rsid w:val="002840DB"/>
    <w:rsid w:val="00284124"/>
    <w:rsid w:val="00284173"/>
    <w:rsid w:val="002841BB"/>
    <w:rsid w:val="002841DB"/>
    <w:rsid w:val="002841F4"/>
    <w:rsid w:val="00284213"/>
    <w:rsid w:val="0028422D"/>
    <w:rsid w:val="0028423A"/>
    <w:rsid w:val="00284324"/>
    <w:rsid w:val="002843F9"/>
    <w:rsid w:val="00284442"/>
    <w:rsid w:val="00284449"/>
    <w:rsid w:val="002844EE"/>
    <w:rsid w:val="00284596"/>
    <w:rsid w:val="002845A7"/>
    <w:rsid w:val="002845CD"/>
    <w:rsid w:val="002845D4"/>
    <w:rsid w:val="002845EC"/>
    <w:rsid w:val="00284707"/>
    <w:rsid w:val="002847DD"/>
    <w:rsid w:val="00284897"/>
    <w:rsid w:val="002848A6"/>
    <w:rsid w:val="002848E4"/>
    <w:rsid w:val="0028496D"/>
    <w:rsid w:val="00284A46"/>
    <w:rsid w:val="00284A9D"/>
    <w:rsid w:val="00284C0B"/>
    <w:rsid w:val="00284CCE"/>
    <w:rsid w:val="00284CD9"/>
    <w:rsid w:val="00284CED"/>
    <w:rsid w:val="00284D55"/>
    <w:rsid w:val="00284DA6"/>
    <w:rsid w:val="00284E6B"/>
    <w:rsid w:val="00284E73"/>
    <w:rsid w:val="0028503B"/>
    <w:rsid w:val="00285125"/>
    <w:rsid w:val="0028523A"/>
    <w:rsid w:val="002855A8"/>
    <w:rsid w:val="002855DF"/>
    <w:rsid w:val="00285851"/>
    <w:rsid w:val="002858D1"/>
    <w:rsid w:val="002859E3"/>
    <w:rsid w:val="00285BEC"/>
    <w:rsid w:val="00285E8C"/>
    <w:rsid w:val="00285EAA"/>
    <w:rsid w:val="00285EF4"/>
    <w:rsid w:val="00285F2F"/>
    <w:rsid w:val="00285F80"/>
    <w:rsid w:val="00285FBF"/>
    <w:rsid w:val="00286049"/>
    <w:rsid w:val="002860A5"/>
    <w:rsid w:val="00286112"/>
    <w:rsid w:val="0028617E"/>
    <w:rsid w:val="002861C6"/>
    <w:rsid w:val="002861E3"/>
    <w:rsid w:val="002861F0"/>
    <w:rsid w:val="002862FB"/>
    <w:rsid w:val="00286336"/>
    <w:rsid w:val="00286341"/>
    <w:rsid w:val="00286374"/>
    <w:rsid w:val="0028638E"/>
    <w:rsid w:val="002863FE"/>
    <w:rsid w:val="00286405"/>
    <w:rsid w:val="002864A0"/>
    <w:rsid w:val="0028650F"/>
    <w:rsid w:val="00286563"/>
    <w:rsid w:val="00286658"/>
    <w:rsid w:val="00286692"/>
    <w:rsid w:val="00286693"/>
    <w:rsid w:val="00286810"/>
    <w:rsid w:val="002868D6"/>
    <w:rsid w:val="00286983"/>
    <w:rsid w:val="0028699D"/>
    <w:rsid w:val="002869A3"/>
    <w:rsid w:val="002869BE"/>
    <w:rsid w:val="002869F0"/>
    <w:rsid w:val="00286A7B"/>
    <w:rsid w:val="00286AA6"/>
    <w:rsid w:val="00286AAF"/>
    <w:rsid w:val="00286C2E"/>
    <w:rsid w:val="00286C93"/>
    <w:rsid w:val="00286D4E"/>
    <w:rsid w:val="00286DC3"/>
    <w:rsid w:val="00286E8E"/>
    <w:rsid w:val="00286EAC"/>
    <w:rsid w:val="0028702E"/>
    <w:rsid w:val="0028705F"/>
    <w:rsid w:val="0028710A"/>
    <w:rsid w:val="00287142"/>
    <w:rsid w:val="00287271"/>
    <w:rsid w:val="00287481"/>
    <w:rsid w:val="002874FE"/>
    <w:rsid w:val="00287513"/>
    <w:rsid w:val="00287528"/>
    <w:rsid w:val="0028764F"/>
    <w:rsid w:val="00287720"/>
    <w:rsid w:val="00287744"/>
    <w:rsid w:val="00287774"/>
    <w:rsid w:val="00287872"/>
    <w:rsid w:val="00287917"/>
    <w:rsid w:val="00287941"/>
    <w:rsid w:val="002879A2"/>
    <w:rsid w:val="00287A75"/>
    <w:rsid w:val="00287AA9"/>
    <w:rsid w:val="00287B49"/>
    <w:rsid w:val="00287B61"/>
    <w:rsid w:val="00287B70"/>
    <w:rsid w:val="00287B82"/>
    <w:rsid w:val="00287BBF"/>
    <w:rsid w:val="00287BEB"/>
    <w:rsid w:val="00287D4F"/>
    <w:rsid w:val="00287D5A"/>
    <w:rsid w:val="00287DB5"/>
    <w:rsid w:val="00287DCA"/>
    <w:rsid w:val="00287E3A"/>
    <w:rsid w:val="00287E52"/>
    <w:rsid w:val="00287E95"/>
    <w:rsid w:val="00287F45"/>
    <w:rsid w:val="00287F66"/>
    <w:rsid w:val="00290046"/>
    <w:rsid w:val="0029010F"/>
    <w:rsid w:val="00290150"/>
    <w:rsid w:val="002901B7"/>
    <w:rsid w:val="002901BD"/>
    <w:rsid w:val="002901E8"/>
    <w:rsid w:val="00290323"/>
    <w:rsid w:val="002903B7"/>
    <w:rsid w:val="002903C2"/>
    <w:rsid w:val="002903DC"/>
    <w:rsid w:val="00290451"/>
    <w:rsid w:val="002904F4"/>
    <w:rsid w:val="00290542"/>
    <w:rsid w:val="002905F0"/>
    <w:rsid w:val="00290665"/>
    <w:rsid w:val="002906FB"/>
    <w:rsid w:val="002908F4"/>
    <w:rsid w:val="00290966"/>
    <w:rsid w:val="002909BC"/>
    <w:rsid w:val="00290AA4"/>
    <w:rsid w:val="00290B05"/>
    <w:rsid w:val="00290C67"/>
    <w:rsid w:val="00290C76"/>
    <w:rsid w:val="00290E07"/>
    <w:rsid w:val="00290E2A"/>
    <w:rsid w:val="00290FF1"/>
    <w:rsid w:val="002911BE"/>
    <w:rsid w:val="002911F3"/>
    <w:rsid w:val="0029128B"/>
    <w:rsid w:val="0029140D"/>
    <w:rsid w:val="00291430"/>
    <w:rsid w:val="00291443"/>
    <w:rsid w:val="002914A3"/>
    <w:rsid w:val="002915D9"/>
    <w:rsid w:val="00291600"/>
    <w:rsid w:val="0029169F"/>
    <w:rsid w:val="00291709"/>
    <w:rsid w:val="0029174D"/>
    <w:rsid w:val="002917B2"/>
    <w:rsid w:val="002917DC"/>
    <w:rsid w:val="0029189B"/>
    <w:rsid w:val="00291A16"/>
    <w:rsid w:val="00291AA8"/>
    <w:rsid w:val="00291C41"/>
    <w:rsid w:val="00291C91"/>
    <w:rsid w:val="00291D54"/>
    <w:rsid w:val="00291D6E"/>
    <w:rsid w:val="00291DB7"/>
    <w:rsid w:val="00291E3E"/>
    <w:rsid w:val="00291FC6"/>
    <w:rsid w:val="00292064"/>
    <w:rsid w:val="0029207C"/>
    <w:rsid w:val="00292137"/>
    <w:rsid w:val="0029217D"/>
    <w:rsid w:val="0029227E"/>
    <w:rsid w:val="00292334"/>
    <w:rsid w:val="002923BF"/>
    <w:rsid w:val="0029243C"/>
    <w:rsid w:val="00292453"/>
    <w:rsid w:val="00292847"/>
    <w:rsid w:val="00292903"/>
    <w:rsid w:val="00292A1D"/>
    <w:rsid w:val="00292C32"/>
    <w:rsid w:val="00292C56"/>
    <w:rsid w:val="00292CA9"/>
    <w:rsid w:val="00292E09"/>
    <w:rsid w:val="00292EA0"/>
    <w:rsid w:val="00292ED0"/>
    <w:rsid w:val="00292EF0"/>
    <w:rsid w:val="0029302B"/>
    <w:rsid w:val="0029302C"/>
    <w:rsid w:val="002930CE"/>
    <w:rsid w:val="0029314E"/>
    <w:rsid w:val="002931A6"/>
    <w:rsid w:val="0029324B"/>
    <w:rsid w:val="00293270"/>
    <w:rsid w:val="00293286"/>
    <w:rsid w:val="0029328F"/>
    <w:rsid w:val="002932F4"/>
    <w:rsid w:val="0029336B"/>
    <w:rsid w:val="002933CA"/>
    <w:rsid w:val="00293425"/>
    <w:rsid w:val="002935FA"/>
    <w:rsid w:val="00293653"/>
    <w:rsid w:val="002936C2"/>
    <w:rsid w:val="002937A4"/>
    <w:rsid w:val="002938AA"/>
    <w:rsid w:val="00293945"/>
    <w:rsid w:val="0029394C"/>
    <w:rsid w:val="00293A43"/>
    <w:rsid w:val="00293A95"/>
    <w:rsid w:val="00293AE8"/>
    <w:rsid w:val="00293B0C"/>
    <w:rsid w:val="00293C68"/>
    <w:rsid w:val="00293D2F"/>
    <w:rsid w:val="00293DF8"/>
    <w:rsid w:val="00293E94"/>
    <w:rsid w:val="00293EAA"/>
    <w:rsid w:val="00293EDA"/>
    <w:rsid w:val="00293F62"/>
    <w:rsid w:val="00294035"/>
    <w:rsid w:val="0029405F"/>
    <w:rsid w:val="00294132"/>
    <w:rsid w:val="0029420A"/>
    <w:rsid w:val="0029420D"/>
    <w:rsid w:val="002942D7"/>
    <w:rsid w:val="002942ED"/>
    <w:rsid w:val="00294382"/>
    <w:rsid w:val="00294462"/>
    <w:rsid w:val="002945F0"/>
    <w:rsid w:val="002946EF"/>
    <w:rsid w:val="0029478F"/>
    <w:rsid w:val="002947B8"/>
    <w:rsid w:val="002948B3"/>
    <w:rsid w:val="002948E8"/>
    <w:rsid w:val="002949F0"/>
    <w:rsid w:val="00294AA0"/>
    <w:rsid w:val="00294AE0"/>
    <w:rsid w:val="00294AF0"/>
    <w:rsid w:val="00294AF8"/>
    <w:rsid w:val="00294B2A"/>
    <w:rsid w:val="00294CEF"/>
    <w:rsid w:val="00294CFD"/>
    <w:rsid w:val="00294D44"/>
    <w:rsid w:val="00294D88"/>
    <w:rsid w:val="00294DA1"/>
    <w:rsid w:val="00294DB9"/>
    <w:rsid w:val="00294DDB"/>
    <w:rsid w:val="00294EB1"/>
    <w:rsid w:val="00294F9E"/>
    <w:rsid w:val="00295153"/>
    <w:rsid w:val="002951AB"/>
    <w:rsid w:val="00295214"/>
    <w:rsid w:val="0029525A"/>
    <w:rsid w:val="00295423"/>
    <w:rsid w:val="00295492"/>
    <w:rsid w:val="002954A2"/>
    <w:rsid w:val="002954AF"/>
    <w:rsid w:val="002954B8"/>
    <w:rsid w:val="00295507"/>
    <w:rsid w:val="0029556D"/>
    <w:rsid w:val="002955CE"/>
    <w:rsid w:val="0029561B"/>
    <w:rsid w:val="0029562B"/>
    <w:rsid w:val="00295640"/>
    <w:rsid w:val="00295780"/>
    <w:rsid w:val="00295916"/>
    <w:rsid w:val="00295926"/>
    <w:rsid w:val="00295B41"/>
    <w:rsid w:val="00295CDC"/>
    <w:rsid w:val="00295DEC"/>
    <w:rsid w:val="00295EB7"/>
    <w:rsid w:val="00295F14"/>
    <w:rsid w:val="00295F19"/>
    <w:rsid w:val="00295F64"/>
    <w:rsid w:val="00295F8F"/>
    <w:rsid w:val="00295FBE"/>
    <w:rsid w:val="002961C0"/>
    <w:rsid w:val="002962A7"/>
    <w:rsid w:val="00296326"/>
    <w:rsid w:val="002963BD"/>
    <w:rsid w:val="00296472"/>
    <w:rsid w:val="00296490"/>
    <w:rsid w:val="002964EA"/>
    <w:rsid w:val="0029654F"/>
    <w:rsid w:val="0029663B"/>
    <w:rsid w:val="00296646"/>
    <w:rsid w:val="0029667E"/>
    <w:rsid w:val="002966A5"/>
    <w:rsid w:val="00296798"/>
    <w:rsid w:val="002968A8"/>
    <w:rsid w:val="00296990"/>
    <w:rsid w:val="002969D6"/>
    <w:rsid w:val="00296A0E"/>
    <w:rsid w:val="00296AFC"/>
    <w:rsid w:val="00296B06"/>
    <w:rsid w:val="00296B25"/>
    <w:rsid w:val="00296DC1"/>
    <w:rsid w:val="00296E3C"/>
    <w:rsid w:val="00297082"/>
    <w:rsid w:val="002970B0"/>
    <w:rsid w:val="002970DE"/>
    <w:rsid w:val="00297115"/>
    <w:rsid w:val="002971FD"/>
    <w:rsid w:val="00297245"/>
    <w:rsid w:val="00297386"/>
    <w:rsid w:val="002973CC"/>
    <w:rsid w:val="00297506"/>
    <w:rsid w:val="0029755B"/>
    <w:rsid w:val="0029757C"/>
    <w:rsid w:val="00297668"/>
    <w:rsid w:val="0029767E"/>
    <w:rsid w:val="002978B2"/>
    <w:rsid w:val="00297954"/>
    <w:rsid w:val="002979FD"/>
    <w:rsid w:val="00297AA0"/>
    <w:rsid w:val="00297AB4"/>
    <w:rsid w:val="00297AD8"/>
    <w:rsid w:val="00297C11"/>
    <w:rsid w:val="00297D11"/>
    <w:rsid w:val="00297DF1"/>
    <w:rsid w:val="00297E24"/>
    <w:rsid w:val="00297F04"/>
    <w:rsid w:val="002A0004"/>
    <w:rsid w:val="002A009D"/>
    <w:rsid w:val="002A010F"/>
    <w:rsid w:val="002A015B"/>
    <w:rsid w:val="002A019F"/>
    <w:rsid w:val="002A01BF"/>
    <w:rsid w:val="002A0271"/>
    <w:rsid w:val="002A02D8"/>
    <w:rsid w:val="002A0463"/>
    <w:rsid w:val="002A0512"/>
    <w:rsid w:val="002A05E1"/>
    <w:rsid w:val="002A0639"/>
    <w:rsid w:val="002A064D"/>
    <w:rsid w:val="002A0691"/>
    <w:rsid w:val="002A0882"/>
    <w:rsid w:val="002A08C8"/>
    <w:rsid w:val="002A09DE"/>
    <w:rsid w:val="002A09ED"/>
    <w:rsid w:val="002A0A81"/>
    <w:rsid w:val="002A0B0B"/>
    <w:rsid w:val="002A0B19"/>
    <w:rsid w:val="002A0B7F"/>
    <w:rsid w:val="002A0BEE"/>
    <w:rsid w:val="002A0C99"/>
    <w:rsid w:val="002A0CC0"/>
    <w:rsid w:val="002A0CED"/>
    <w:rsid w:val="002A0DAE"/>
    <w:rsid w:val="002A0EF6"/>
    <w:rsid w:val="002A0FD1"/>
    <w:rsid w:val="002A10A8"/>
    <w:rsid w:val="002A10D3"/>
    <w:rsid w:val="002A1121"/>
    <w:rsid w:val="002A12A1"/>
    <w:rsid w:val="002A12BA"/>
    <w:rsid w:val="002A12BD"/>
    <w:rsid w:val="002A1395"/>
    <w:rsid w:val="002A141C"/>
    <w:rsid w:val="002A14BB"/>
    <w:rsid w:val="002A15C2"/>
    <w:rsid w:val="002A15DE"/>
    <w:rsid w:val="002A16E1"/>
    <w:rsid w:val="002A1759"/>
    <w:rsid w:val="002A1785"/>
    <w:rsid w:val="002A186F"/>
    <w:rsid w:val="002A1997"/>
    <w:rsid w:val="002A19A6"/>
    <w:rsid w:val="002A1C23"/>
    <w:rsid w:val="002A1C6F"/>
    <w:rsid w:val="002A1C80"/>
    <w:rsid w:val="002A1D4E"/>
    <w:rsid w:val="002A1DE3"/>
    <w:rsid w:val="002A1EE6"/>
    <w:rsid w:val="002A20B6"/>
    <w:rsid w:val="002A20BC"/>
    <w:rsid w:val="002A20BF"/>
    <w:rsid w:val="002A22E3"/>
    <w:rsid w:val="002A2316"/>
    <w:rsid w:val="002A234B"/>
    <w:rsid w:val="002A236D"/>
    <w:rsid w:val="002A2460"/>
    <w:rsid w:val="002A2549"/>
    <w:rsid w:val="002A25B5"/>
    <w:rsid w:val="002A2619"/>
    <w:rsid w:val="002A2637"/>
    <w:rsid w:val="002A275C"/>
    <w:rsid w:val="002A27CE"/>
    <w:rsid w:val="002A2884"/>
    <w:rsid w:val="002A2937"/>
    <w:rsid w:val="002A29FA"/>
    <w:rsid w:val="002A2A31"/>
    <w:rsid w:val="002A2B20"/>
    <w:rsid w:val="002A2B67"/>
    <w:rsid w:val="002A2B73"/>
    <w:rsid w:val="002A2BAA"/>
    <w:rsid w:val="002A2D35"/>
    <w:rsid w:val="002A2DCE"/>
    <w:rsid w:val="002A2E6D"/>
    <w:rsid w:val="002A2EAD"/>
    <w:rsid w:val="002A2FF3"/>
    <w:rsid w:val="002A304A"/>
    <w:rsid w:val="002A3193"/>
    <w:rsid w:val="002A32A0"/>
    <w:rsid w:val="002A32C5"/>
    <w:rsid w:val="002A335D"/>
    <w:rsid w:val="002A33C5"/>
    <w:rsid w:val="002A3448"/>
    <w:rsid w:val="002A3577"/>
    <w:rsid w:val="002A35F8"/>
    <w:rsid w:val="002A361B"/>
    <w:rsid w:val="002A3641"/>
    <w:rsid w:val="002A36D3"/>
    <w:rsid w:val="002A3733"/>
    <w:rsid w:val="002A3738"/>
    <w:rsid w:val="002A380E"/>
    <w:rsid w:val="002A3838"/>
    <w:rsid w:val="002A385A"/>
    <w:rsid w:val="002A39C8"/>
    <w:rsid w:val="002A39D4"/>
    <w:rsid w:val="002A3A03"/>
    <w:rsid w:val="002A3A16"/>
    <w:rsid w:val="002A3A2B"/>
    <w:rsid w:val="002A3A95"/>
    <w:rsid w:val="002A3B05"/>
    <w:rsid w:val="002A3C88"/>
    <w:rsid w:val="002A3D0C"/>
    <w:rsid w:val="002A3DBD"/>
    <w:rsid w:val="002A3EA6"/>
    <w:rsid w:val="002A3EC2"/>
    <w:rsid w:val="002A3FE6"/>
    <w:rsid w:val="002A4044"/>
    <w:rsid w:val="002A4068"/>
    <w:rsid w:val="002A414C"/>
    <w:rsid w:val="002A4234"/>
    <w:rsid w:val="002A4269"/>
    <w:rsid w:val="002A43AA"/>
    <w:rsid w:val="002A4484"/>
    <w:rsid w:val="002A4516"/>
    <w:rsid w:val="002A466A"/>
    <w:rsid w:val="002A467C"/>
    <w:rsid w:val="002A476C"/>
    <w:rsid w:val="002A47B8"/>
    <w:rsid w:val="002A47C5"/>
    <w:rsid w:val="002A4863"/>
    <w:rsid w:val="002A4899"/>
    <w:rsid w:val="002A49AF"/>
    <w:rsid w:val="002A49F4"/>
    <w:rsid w:val="002A4B8C"/>
    <w:rsid w:val="002A4B94"/>
    <w:rsid w:val="002A4BD4"/>
    <w:rsid w:val="002A4BF0"/>
    <w:rsid w:val="002A4C1E"/>
    <w:rsid w:val="002A4CDE"/>
    <w:rsid w:val="002A4D39"/>
    <w:rsid w:val="002A4E5F"/>
    <w:rsid w:val="002A4F15"/>
    <w:rsid w:val="002A4FEF"/>
    <w:rsid w:val="002A5119"/>
    <w:rsid w:val="002A546B"/>
    <w:rsid w:val="002A54B3"/>
    <w:rsid w:val="002A550B"/>
    <w:rsid w:val="002A5685"/>
    <w:rsid w:val="002A570A"/>
    <w:rsid w:val="002A574C"/>
    <w:rsid w:val="002A5766"/>
    <w:rsid w:val="002A5781"/>
    <w:rsid w:val="002A5818"/>
    <w:rsid w:val="002A5884"/>
    <w:rsid w:val="002A58D6"/>
    <w:rsid w:val="002A5A0E"/>
    <w:rsid w:val="002A5A67"/>
    <w:rsid w:val="002A5A68"/>
    <w:rsid w:val="002A5BDD"/>
    <w:rsid w:val="002A5CB0"/>
    <w:rsid w:val="002A5CFD"/>
    <w:rsid w:val="002A5D5A"/>
    <w:rsid w:val="002A5D97"/>
    <w:rsid w:val="002A5DD4"/>
    <w:rsid w:val="002A5DE8"/>
    <w:rsid w:val="002A5EFC"/>
    <w:rsid w:val="002A608F"/>
    <w:rsid w:val="002A60DE"/>
    <w:rsid w:val="002A60ED"/>
    <w:rsid w:val="002A6539"/>
    <w:rsid w:val="002A661A"/>
    <w:rsid w:val="002A676D"/>
    <w:rsid w:val="002A68C8"/>
    <w:rsid w:val="002A6A11"/>
    <w:rsid w:val="002A6B1B"/>
    <w:rsid w:val="002A6D4B"/>
    <w:rsid w:val="002A6E49"/>
    <w:rsid w:val="002A6E67"/>
    <w:rsid w:val="002A6ED0"/>
    <w:rsid w:val="002A6EEF"/>
    <w:rsid w:val="002A7036"/>
    <w:rsid w:val="002A7053"/>
    <w:rsid w:val="002A70E3"/>
    <w:rsid w:val="002A7107"/>
    <w:rsid w:val="002A7177"/>
    <w:rsid w:val="002A71FB"/>
    <w:rsid w:val="002A7257"/>
    <w:rsid w:val="002A7296"/>
    <w:rsid w:val="002A7314"/>
    <w:rsid w:val="002A734C"/>
    <w:rsid w:val="002A747E"/>
    <w:rsid w:val="002A74EF"/>
    <w:rsid w:val="002A75F1"/>
    <w:rsid w:val="002A763B"/>
    <w:rsid w:val="002A7686"/>
    <w:rsid w:val="002A76EB"/>
    <w:rsid w:val="002A7864"/>
    <w:rsid w:val="002A7A15"/>
    <w:rsid w:val="002A7A65"/>
    <w:rsid w:val="002A7AE1"/>
    <w:rsid w:val="002A7D41"/>
    <w:rsid w:val="002A7E05"/>
    <w:rsid w:val="002A7EEC"/>
    <w:rsid w:val="002A7F25"/>
    <w:rsid w:val="002B01F4"/>
    <w:rsid w:val="002B021F"/>
    <w:rsid w:val="002B0225"/>
    <w:rsid w:val="002B033C"/>
    <w:rsid w:val="002B0435"/>
    <w:rsid w:val="002B045F"/>
    <w:rsid w:val="002B0467"/>
    <w:rsid w:val="002B05DA"/>
    <w:rsid w:val="002B0651"/>
    <w:rsid w:val="002B074A"/>
    <w:rsid w:val="002B0796"/>
    <w:rsid w:val="002B0845"/>
    <w:rsid w:val="002B088E"/>
    <w:rsid w:val="002B09B4"/>
    <w:rsid w:val="002B09F6"/>
    <w:rsid w:val="002B0A8C"/>
    <w:rsid w:val="002B0ACB"/>
    <w:rsid w:val="002B0B52"/>
    <w:rsid w:val="002B0BC1"/>
    <w:rsid w:val="002B0C06"/>
    <w:rsid w:val="002B0C13"/>
    <w:rsid w:val="002B0CBA"/>
    <w:rsid w:val="002B0DD9"/>
    <w:rsid w:val="002B0EE6"/>
    <w:rsid w:val="002B1152"/>
    <w:rsid w:val="002B1189"/>
    <w:rsid w:val="002B1232"/>
    <w:rsid w:val="002B129C"/>
    <w:rsid w:val="002B1308"/>
    <w:rsid w:val="002B1339"/>
    <w:rsid w:val="002B134B"/>
    <w:rsid w:val="002B1399"/>
    <w:rsid w:val="002B13D0"/>
    <w:rsid w:val="002B15CA"/>
    <w:rsid w:val="002B16B9"/>
    <w:rsid w:val="002B17DC"/>
    <w:rsid w:val="002B181F"/>
    <w:rsid w:val="002B1827"/>
    <w:rsid w:val="002B1868"/>
    <w:rsid w:val="002B1869"/>
    <w:rsid w:val="002B19A0"/>
    <w:rsid w:val="002B19E3"/>
    <w:rsid w:val="002B1ABB"/>
    <w:rsid w:val="002B1AF2"/>
    <w:rsid w:val="002B1BA3"/>
    <w:rsid w:val="002B1BCD"/>
    <w:rsid w:val="002B1C02"/>
    <w:rsid w:val="002B1C10"/>
    <w:rsid w:val="002B1C89"/>
    <w:rsid w:val="002B1CE3"/>
    <w:rsid w:val="002B1D32"/>
    <w:rsid w:val="002B1DF2"/>
    <w:rsid w:val="002B1E05"/>
    <w:rsid w:val="002B1ED4"/>
    <w:rsid w:val="002B1F0F"/>
    <w:rsid w:val="002B1F32"/>
    <w:rsid w:val="002B2040"/>
    <w:rsid w:val="002B2222"/>
    <w:rsid w:val="002B22BD"/>
    <w:rsid w:val="002B22C4"/>
    <w:rsid w:val="002B22D9"/>
    <w:rsid w:val="002B232A"/>
    <w:rsid w:val="002B2361"/>
    <w:rsid w:val="002B238D"/>
    <w:rsid w:val="002B246C"/>
    <w:rsid w:val="002B256F"/>
    <w:rsid w:val="002B25C2"/>
    <w:rsid w:val="002B262F"/>
    <w:rsid w:val="002B273A"/>
    <w:rsid w:val="002B2934"/>
    <w:rsid w:val="002B29B7"/>
    <w:rsid w:val="002B2BF2"/>
    <w:rsid w:val="002B2C2C"/>
    <w:rsid w:val="002B2CA2"/>
    <w:rsid w:val="002B2F15"/>
    <w:rsid w:val="002B2F18"/>
    <w:rsid w:val="002B2FBC"/>
    <w:rsid w:val="002B3001"/>
    <w:rsid w:val="002B300E"/>
    <w:rsid w:val="002B3081"/>
    <w:rsid w:val="002B30B3"/>
    <w:rsid w:val="002B3168"/>
    <w:rsid w:val="002B316D"/>
    <w:rsid w:val="002B3203"/>
    <w:rsid w:val="002B3205"/>
    <w:rsid w:val="002B3261"/>
    <w:rsid w:val="002B3268"/>
    <w:rsid w:val="002B3296"/>
    <w:rsid w:val="002B32D5"/>
    <w:rsid w:val="002B331A"/>
    <w:rsid w:val="002B3327"/>
    <w:rsid w:val="002B346A"/>
    <w:rsid w:val="002B35E8"/>
    <w:rsid w:val="002B35F0"/>
    <w:rsid w:val="002B3607"/>
    <w:rsid w:val="002B36BE"/>
    <w:rsid w:val="002B3732"/>
    <w:rsid w:val="002B3784"/>
    <w:rsid w:val="002B37DB"/>
    <w:rsid w:val="002B3861"/>
    <w:rsid w:val="002B3871"/>
    <w:rsid w:val="002B3909"/>
    <w:rsid w:val="002B3A02"/>
    <w:rsid w:val="002B3BEF"/>
    <w:rsid w:val="002B3BF3"/>
    <w:rsid w:val="002B3C10"/>
    <w:rsid w:val="002B3C60"/>
    <w:rsid w:val="002B3CB7"/>
    <w:rsid w:val="002B3D8D"/>
    <w:rsid w:val="002B3DAB"/>
    <w:rsid w:val="002B3E7A"/>
    <w:rsid w:val="002B3EBF"/>
    <w:rsid w:val="002B3F4C"/>
    <w:rsid w:val="002B4091"/>
    <w:rsid w:val="002B40B0"/>
    <w:rsid w:val="002B425F"/>
    <w:rsid w:val="002B42B8"/>
    <w:rsid w:val="002B42D0"/>
    <w:rsid w:val="002B437C"/>
    <w:rsid w:val="002B4456"/>
    <w:rsid w:val="002B4500"/>
    <w:rsid w:val="002B45D1"/>
    <w:rsid w:val="002B46DE"/>
    <w:rsid w:val="002B4812"/>
    <w:rsid w:val="002B48ED"/>
    <w:rsid w:val="002B495D"/>
    <w:rsid w:val="002B4964"/>
    <w:rsid w:val="002B49B9"/>
    <w:rsid w:val="002B4A08"/>
    <w:rsid w:val="002B4A3F"/>
    <w:rsid w:val="002B4A7A"/>
    <w:rsid w:val="002B4A7F"/>
    <w:rsid w:val="002B4AC1"/>
    <w:rsid w:val="002B4B03"/>
    <w:rsid w:val="002B4BFC"/>
    <w:rsid w:val="002B4C28"/>
    <w:rsid w:val="002B4E9B"/>
    <w:rsid w:val="002B4EAA"/>
    <w:rsid w:val="002B4F16"/>
    <w:rsid w:val="002B506C"/>
    <w:rsid w:val="002B50C7"/>
    <w:rsid w:val="002B518E"/>
    <w:rsid w:val="002B53C5"/>
    <w:rsid w:val="002B5486"/>
    <w:rsid w:val="002B5691"/>
    <w:rsid w:val="002B5847"/>
    <w:rsid w:val="002B58D2"/>
    <w:rsid w:val="002B5905"/>
    <w:rsid w:val="002B597A"/>
    <w:rsid w:val="002B59B8"/>
    <w:rsid w:val="002B59FB"/>
    <w:rsid w:val="002B5A4E"/>
    <w:rsid w:val="002B5C9A"/>
    <w:rsid w:val="002B5D98"/>
    <w:rsid w:val="002B5E44"/>
    <w:rsid w:val="002B5EE0"/>
    <w:rsid w:val="002B5FAE"/>
    <w:rsid w:val="002B606B"/>
    <w:rsid w:val="002B6105"/>
    <w:rsid w:val="002B61A7"/>
    <w:rsid w:val="002B61FF"/>
    <w:rsid w:val="002B62AC"/>
    <w:rsid w:val="002B63EA"/>
    <w:rsid w:val="002B6505"/>
    <w:rsid w:val="002B6576"/>
    <w:rsid w:val="002B6617"/>
    <w:rsid w:val="002B661E"/>
    <w:rsid w:val="002B667D"/>
    <w:rsid w:val="002B66AC"/>
    <w:rsid w:val="002B6703"/>
    <w:rsid w:val="002B6738"/>
    <w:rsid w:val="002B675D"/>
    <w:rsid w:val="002B6787"/>
    <w:rsid w:val="002B67E7"/>
    <w:rsid w:val="002B6872"/>
    <w:rsid w:val="002B68C3"/>
    <w:rsid w:val="002B6977"/>
    <w:rsid w:val="002B6A12"/>
    <w:rsid w:val="002B6ADB"/>
    <w:rsid w:val="002B6ADD"/>
    <w:rsid w:val="002B6B27"/>
    <w:rsid w:val="002B6C03"/>
    <w:rsid w:val="002B6C2A"/>
    <w:rsid w:val="002B6C4B"/>
    <w:rsid w:val="002B6CF0"/>
    <w:rsid w:val="002B6E14"/>
    <w:rsid w:val="002B6EF9"/>
    <w:rsid w:val="002B6F06"/>
    <w:rsid w:val="002B6F64"/>
    <w:rsid w:val="002B72FF"/>
    <w:rsid w:val="002B7337"/>
    <w:rsid w:val="002B7434"/>
    <w:rsid w:val="002B7470"/>
    <w:rsid w:val="002B7476"/>
    <w:rsid w:val="002B7550"/>
    <w:rsid w:val="002B75E9"/>
    <w:rsid w:val="002B7632"/>
    <w:rsid w:val="002B7713"/>
    <w:rsid w:val="002B7757"/>
    <w:rsid w:val="002B7833"/>
    <w:rsid w:val="002B78EA"/>
    <w:rsid w:val="002B78F2"/>
    <w:rsid w:val="002B7A09"/>
    <w:rsid w:val="002B7B42"/>
    <w:rsid w:val="002B7C93"/>
    <w:rsid w:val="002B7E9A"/>
    <w:rsid w:val="002C003C"/>
    <w:rsid w:val="002C0137"/>
    <w:rsid w:val="002C01AB"/>
    <w:rsid w:val="002C0270"/>
    <w:rsid w:val="002C02C9"/>
    <w:rsid w:val="002C036B"/>
    <w:rsid w:val="002C03B8"/>
    <w:rsid w:val="002C03CB"/>
    <w:rsid w:val="002C042D"/>
    <w:rsid w:val="002C0549"/>
    <w:rsid w:val="002C0743"/>
    <w:rsid w:val="002C080F"/>
    <w:rsid w:val="002C082B"/>
    <w:rsid w:val="002C08C3"/>
    <w:rsid w:val="002C08FD"/>
    <w:rsid w:val="002C0A69"/>
    <w:rsid w:val="002C0A83"/>
    <w:rsid w:val="002C0B64"/>
    <w:rsid w:val="002C0CB7"/>
    <w:rsid w:val="002C0D21"/>
    <w:rsid w:val="002C0D22"/>
    <w:rsid w:val="002C0D42"/>
    <w:rsid w:val="002C0D7B"/>
    <w:rsid w:val="002C0D97"/>
    <w:rsid w:val="002C0DA4"/>
    <w:rsid w:val="002C0E16"/>
    <w:rsid w:val="002C0E89"/>
    <w:rsid w:val="002C0ED8"/>
    <w:rsid w:val="002C0F5D"/>
    <w:rsid w:val="002C105A"/>
    <w:rsid w:val="002C106A"/>
    <w:rsid w:val="002C10EF"/>
    <w:rsid w:val="002C119D"/>
    <w:rsid w:val="002C11E2"/>
    <w:rsid w:val="002C123A"/>
    <w:rsid w:val="002C1243"/>
    <w:rsid w:val="002C1285"/>
    <w:rsid w:val="002C129D"/>
    <w:rsid w:val="002C12A5"/>
    <w:rsid w:val="002C1327"/>
    <w:rsid w:val="002C13A5"/>
    <w:rsid w:val="002C13CC"/>
    <w:rsid w:val="002C140A"/>
    <w:rsid w:val="002C1431"/>
    <w:rsid w:val="002C1440"/>
    <w:rsid w:val="002C1470"/>
    <w:rsid w:val="002C1632"/>
    <w:rsid w:val="002C16A7"/>
    <w:rsid w:val="002C16FE"/>
    <w:rsid w:val="002C1743"/>
    <w:rsid w:val="002C182B"/>
    <w:rsid w:val="002C182F"/>
    <w:rsid w:val="002C18DF"/>
    <w:rsid w:val="002C19FF"/>
    <w:rsid w:val="002C1AC9"/>
    <w:rsid w:val="002C1C5C"/>
    <w:rsid w:val="002C1C6F"/>
    <w:rsid w:val="002C1CBF"/>
    <w:rsid w:val="002C1F5A"/>
    <w:rsid w:val="002C1F82"/>
    <w:rsid w:val="002C201D"/>
    <w:rsid w:val="002C203F"/>
    <w:rsid w:val="002C20C3"/>
    <w:rsid w:val="002C20DB"/>
    <w:rsid w:val="002C2270"/>
    <w:rsid w:val="002C232C"/>
    <w:rsid w:val="002C23CF"/>
    <w:rsid w:val="002C2430"/>
    <w:rsid w:val="002C2450"/>
    <w:rsid w:val="002C2496"/>
    <w:rsid w:val="002C251C"/>
    <w:rsid w:val="002C251E"/>
    <w:rsid w:val="002C2669"/>
    <w:rsid w:val="002C2704"/>
    <w:rsid w:val="002C27C7"/>
    <w:rsid w:val="002C2832"/>
    <w:rsid w:val="002C2885"/>
    <w:rsid w:val="002C28C8"/>
    <w:rsid w:val="002C28D1"/>
    <w:rsid w:val="002C2951"/>
    <w:rsid w:val="002C299A"/>
    <w:rsid w:val="002C29BA"/>
    <w:rsid w:val="002C2A04"/>
    <w:rsid w:val="002C2A31"/>
    <w:rsid w:val="002C2A8A"/>
    <w:rsid w:val="002C2B55"/>
    <w:rsid w:val="002C2B6D"/>
    <w:rsid w:val="002C2C7E"/>
    <w:rsid w:val="002C2E29"/>
    <w:rsid w:val="002C2F16"/>
    <w:rsid w:val="002C2F61"/>
    <w:rsid w:val="002C2F87"/>
    <w:rsid w:val="002C3110"/>
    <w:rsid w:val="002C31CB"/>
    <w:rsid w:val="002C31D4"/>
    <w:rsid w:val="002C31F2"/>
    <w:rsid w:val="002C3232"/>
    <w:rsid w:val="002C3258"/>
    <w:rsid w:val="002C325F"/>
    <w:rsid w:val="002C3296"/>
    <w:rsid w:val="002C349E"/>
    <w:rsid w:val="002C34F8"/>
    <w:rsid w:val="002C35D2"/>
    <w:rsid w:val="002C3679"/>
    <w:rsid w:val="002C3854"/>
    <w:rsid w:val="002C3913"/>
    <w:rsid w:val="002C3B52"/>
    <w:rsid w:val="002C3CCA"/>
    <w:rsid w:val="002C3CD4"/>
    <w:rsid w:val="002C3CF7"/>
    <w:rsid w:val="002C3D6A"/>
    <w:rsid w:val="002C3DD8"/>
    <w:rsid w:val="002C3E5D"/>
    <w:rsid w:val="002C3FF0"/>
    <w:rsid w:val="002C4049"/>
    <w:rsid w:val="002C40F7"/>
    <w:rsid w:val="002C4241"/>
    <w:rsid w:val="002C4255"/>
    <w:rsid w:val="002C4275"/>
    <w:rsid w:val="002C4290"/>
    <w:rsid w:val="002C441A"/>
    <w:rsid w:val="002C4437"/>
    <w:rsid w:val="002C4588"/>
    <w:rsid w:val="002C4767"/>
    <w:rsid w:val="002C4821"/>
    <w:rsid w:val="002C482A"/>
    <w:rsid w:val="002C4876"/>
    <w:rsid w:val="002C4A61"/>
    <w:rsid w:val="002C4AC1"/>
    <w:rsid w:val="002C4AC2"/>
    <w:rsid w:val="002C4B8F"/>
    <w:rsid w:val="002C4C53"/>
    <w:rsid w:val="002C4CAF"/>
    <w:rsid w:val="002C4DE8"/>
    <w:rsid w:val="002C4DED"/>
    <w:rsid w:val="002C4E5A"/>
    <w:rsid w:val="002C4EC6"/>
    <w:rsid w:val="002C5001"/>
    <w:rsid w:val="002C50DB"/>
    <w:rsid w:val="002C511B"/>
    <w:rsid w:val="002C51F7"/>
    <w:rsid w:val="002C52D2"/>
    <w:rsid w:val="002C535B"/>
    <w:rsid w:val="002C5362"/>
    <w:rsid w:val="002C5395"/>
    <w:rsid w:val="002C542F"/>
    <w:rsid w:val="002C54A0"/>
    <w:rsid w:val="002C54FD"/>
    <w:rsid w:val="002C5525"/>
    <w:rsid w:val="002C563A"/>
    <w:rsid w:val="002C5695"/>
    <w:rsid w:val="002C56DF"/>
    <w:rsid w:val="002C572A"/>
    <w:rsid w:val="002C57E2"/>
    <w:rsid w:val="002C5904"/>
    <w:rsid w:val="002C5A54"/>
    <w:rsid w:val="002C5AB7"/>
    <w:rsid w:val="002C5B0F"/>
    <w:rsid w:val="002C5B39"/>
    <w:rsid w:val="002C5BC8"/>
    <w:rsid w:val="002C5C10"/>
    <w:rsid w:val="002C5D0A"/>
    <w:rsid w:val="002C5D46"/>
    <w:rsid w:val="002C5E08"/>
    <w:rsid w:val="002C5E82"/>
    <w:rsid w:val="002C5F88"/>
    <w:rsid w:val="002C636B"/>
    <w:rsid w:val="002C636C"/>
    <w:rsid w:val="002C63CD"/>
    <w:rsid w:val="002C63E0"/>
    <w:rsid w:val="002C64CF"/>
    <w:rsid w:val="002C6519"/>
    <w:rsid w:val="002C656F"/>
    <w:rsid w:val="002C6586"/>
    <w:rsid w:val="002C6660"/>
    <w:rsid w:val="002C66C6"/>
    <w:rsid w:val="002C670A"/>
    <w:rsid w:val="002C6769"/>
    <w:rsid w:val="002C67AE"/>
    <w:rsid w:val="002C67C7"/>
    <w:rsid w:val="002C6891"/>
    <w:rsid w:val="002C68ED"/>
    <w:rsid w:val="002C6A25"/>
    <w:rsid w:val="002C6B21"/>
    <w:rsid w:val="002C6E6B"/>
    <w:rsid w:val="002C6E94"/>
    <w:rsid w:val="002C6EAE"/>
    <w:rsid w:val="002C6F15"/>
    <w:rsid w:val="002C6F48"/>
    <w:rsid w:val="002C6F62"/>
    <w:rsid w:val="002C6FE7"/>
    <w:rsid w:val="002C7067"/>
    <w:rsid w:val="002C7255"/>
    <w:rsid w:val="002C756D"/>
    <w:rsid w:val="002C764C"/>
    <w:rsid w:val="002C764D"/>
    <w:rsid w:val="002C76B2"/>
    <w:rsid w:val="002C76B3"/>
    <w:rsid w:val="002C76D4"/>
    <w:rsid w:val="002C77FE"/>
    <w:rsid w:val="002C782C"/>
    <w:rsid w:val="002C7903"/>
    <w:rsid w:val="002C791F"/>
    <w:rsid w:val="002C7A35"/>
    <w:rsid w:val="002C7AB3"/>
    <w:rsid w:val="002C7BD1"/>
    <w:rsid w:val="002C7CBF"/>
    <w:rsid w:val="002C7D93"/>
    <w:rsid w:val="002C7DD6"/>
    <w:rsid w:val="002C7ED1"/>
    <w:rsid w:val="002D0042"/>
    <w:rsid w:val="002D0087"/>
    <w:rsid w:val="002D0154"/>
    <w:rsid w:val="002D01AF"/>
    <w:rsid w:val="002D01E4"/>
    <w:rsid w:val="002D01EF"/>
    <w:rsid w:val="002D0219"/>
    <w:rsid w:val="002D02D4"/>
    <w:rsid w:val="002D039E"/>
    <w:rsid w:val="002D048D"/>
    <w:rsid w:val="002D04F7"/>
    <w:rsid w:val="002D0611"/>
    <w:rsid w:val="002D063E"/>
    <w:rsid w:val="002D07B2"/>
    <w:rsid w:val="002D0803"/>
    <w:rsid w:val="002D081F"/>
    <w:rsid w:val="002D0856"/>
    <w:rsid w:val="002D0961"/>
    <w:rsid w:val="002D09FC"/>
    <w:rsid w:val="002D0A39"/>
    <w:rsid w:val="002D0A4C"/>
    <w:rsid w:val="002D0AA3"/>
    <w:rsid w:val="002D0ACB"/>
    <w:rsid w:val="002D0B3C"/>
    <w:rsid w:val="002D0C14"/>
    <w:rsid w:val="002D0CC2"/>
    <w:rsid w:val="002D0D54"/>
    <w:rsid w:val="002D0E3C"/>
    <w:rsid w:val="002D0EF6"/>
    <w:rsid w:val="002D0F16"/>
    <w:rsid w:val="002D0F86"/>
    <w:rsid w:val="002D0FB9"/>
    <w:rsid w:val="002D0FEA"/>
    <w:rsid w:val="002D1000"/>
    <w:rsid w:val="002D10EE"/>
    <w:rsid w:val="002D1110"/>
    <w:rsid w:val="002D116E"/>
    <w:rsid w:val="002D1196"/>
    <w:rsid w:val="002D121F"/>
    <w:rsid w:val="002D133D"/>
    <w:rsid w:val="002D141D"/>
    <w:rsid w:val="002D1452"/>
    <w:rsid w:val="002D14A7"/>
    <w:rsid w:val="002D1549"/>
    <w:rsid w:val="002D154C"/>
    <w:rsid w:val="002D1554"/>
    <w:rsid w:val="002D157B"/>
    <w:rsid w:val="002D1626"/>
    <w:rsid w:val="002D1726"/>
    <w:rsid w:val="002D17A6"/>
    <w:rsid w:val="002D19BD"/>
    <w:rsid w:val="002D19C1"/>
    <w:rsid w:val="002D1AEB"/>
    <w:rsid w:val="002D1B05"/>
    <w:rsid w:val="002D1BCA"/>
    <w:rsid w:val="002D1C8D"/>
    <w:rsid w:val="002D1CBD"/>
    <w:rsid w:val="002D1D06"/>
    <w:rsid w:val="002D1DA1"/>
    <w:rsid w:val="002D1EAC"/>
    <w:rsid w:val="002D1F71"/>
    <w:rsid w:val="002D2088"/>
    <w:rsid w:val="002D20DF"/>
    <w:rsid w:val="002D220A"/>
    <w:rsid w:val="002D2289"/>
    <w:rsid w:val="002D236D"/>
    <w:rsid w:val="002D23B1"/>
    <w:rsid w:val="002D2560"/>
    <w:rsid w:val="002D2634"/>
    <w:rsid w:val="002D26C6"/>
    <w:rsid w:val="002D270A"/>
    <w:rsid w:val="002D2724"/>
    <w:rsid w:val="002D2751"/>
    <w:rsid w:val="002D27B5"/>
    <w:rsid w:val="002D2810"/>
    <w:rsid w:val="002D291F"/>
    <w:rsid w:val="002D2A98"/>
    <w:rsid w:val="002D2AC2"/>
    <w:rsid w:val="002D2B76"/>
    <w:rsid w:val="002D2B84"/>
    <w:rsid w:val="002D2BA1"/>
    <w:rsid w:val="002D2DC8"/>
    <w:rsid w:val="002D2F83"/>
    <w:rsid w:val="002D3088"/>
    <w:rsid w:val="002D3141"/>
    <w:rsid w:val="002D31AB"/>
    <w:rsid w:val="002D31C2"/>
    <w:rsid w:val="002D3286"/>
    <w:rsid w:val="002D3411"/>
    <w:rsid w:val="002D35B6"/>
    <w:rsid w:val="002D37ED"/>
    <w:rsid w:val="002D37F8"/>
    <w:rsid w:val="002D3928"/>
    <w:rsid w:val="002D39A2"/>
    <w:rsid w:val="002D3AA6"/>
    <w:rsid w:val="002D3BC0"/>
    <w:rsid w:val="002D3BC3"/>
    <w:rsid w:val="002D3CBB"/>
    <w:rsid w:val="002D3E6E"/>
    <w:rsid w:val="002D3E90"/>
    <w:rsid w:val="002D3FAB"/>
    <w:rsid w:val="002D4076"/>
    <w:rsid w:val="002D40D4"/>
    <w:rsid w:val="002D4324"/>
    <w:rsid w:val="002D43EA"/>
    <w:rsid w:val="002D4491"/>
    <w:rsid w:val="002D44C2"/>
    <w:rsid w:val="002D4561"/>
    <w:rsid w:val="002D45C7"/>
    <w:rsid w:val="002D492B"/>
    <w:rsid w:val="002D4977"/>
    <w:rsid w:val="002D4A2B"/>
    <w:rsid w:val="002D4B89"/>
    <w:rsid w:val="002D4CDE"/>
    <w:rsid w:val="002D4DE0"/>
    <w:rsid w:val="002D4E45"/>
    <w:rsid w:val="002D4E9D"/>
    <w:rsid w:val="002D4EBE"/>
    <w:rsid w:val="002D4EEB"/>
    <w:rsid w:val="002D4EFF"/>
    <w:rsid w:val="002D4F39"/>
    <w:rsid w:val="002D4F81"/>
    <w:rsid w:val="002D4FA2"/>
    <w:rsid w:val="002D4FB3"/>
    <w:rsid w:val="002D5054"/>
    <w:rsid w:val="002D519B"/>
    <w:rsid w:val="002D51D2"/>
    <w:rsid w:val="002D527E"/>
    <w:rsid w:val="002D529A"/>
    <w:rsid w:val="002D5332"/>
    <w:rsid w:val="002D539F"/>
    <w:rsid w:val="002D5418"/>
    <w:rsid w:val="002D55AC"/>
    <w:rsid w:val="002D55E7"/>
    <w:rsid w:val="002D5707"/>
    <w:rsid w:val="002D5776"/>
    <w:rsid w:val="002D5789"/>
    <w:rsid w:val="002D57BF"/>
    <w:rsid w:val="002D5873"/>
    <w:rsid w:val="002D58B6"/>
    <w:rsid w:val="002D5915"/>
    <w:rsid w:val="002D5988"/>
    <w:rsid w:val="002D59D2"/>
    <w:rsid w:val="002D59EA"/>
    <w:rsid w:val="002D5B0D"/>
    <w:rsid w:val="002D5CC2"/>
    <w:rsid w:val="002D5CED"/>
    <w:rsid w:val="002D5D6C"/>
    <w:rsid w:val="002D5DC8"/>
    <w:rsid w:val="002D5F3C"/>
    <w:rsid w:val="002D5FA8"/>
    <w:rsid w:val="002D5FF5"/>
    <w:rsid w:val="002D6134"/>
    <w:rsid w:val="002D619F"/>
    <w:rsid w:val="002D62D5"/>
    <w:rsid w:val="002D6390"/>
    <w:rsid w:val="002D647E"/>
    <w:rsid w:val="002D64E4"/>
    <w:rsid w:val="002D6525"/>
    <w:rsid w:val="002D6570"/>
    <w:rsid w:val="002D6592"/>
    <w:rsid w:val="002D6667"/>
    <w:rsid w:val="002D668D"/>
    <w:rsid w:val="002D66EC"/>
    <w:rsid w:val="002D680C"/>
    <w:rsid w:val="002D6B3C"/>
    <w:rsid w:val="002D6C06"/>
    <w:rsid w:val="002D6DB9"/>
    <w:rsid w:val="002D6DD0"/>
    <w:rsid w:val="002D6E00"/>
    <w:rsid w:val="002D6ED8"/>
    <w:rsid w:val="002D6F50"/>
    <w:rsid w:val="002D7004"/>
    <w:rsid w:val="002D7047"/>
    <w:rsid w:val="002D706F"/>
    <w:rsid w:val="002D70D1"/>
    <w:rsid w:val="002D71A6"/>
    <w:rsid w:val="002D71AE"/>
    <w:rsid w:val="002D7241"/>
    <w:rsid w:val="002D7290"/>
    <w:rsid w:val="002D7473"/>
    <w:rsid w:val="002D7498"/>
    <w:rsid w:val="002D74EF"/>
    <w:rsid w:val="002D75F2"/>
    <w:rsid w:val="002D7679"/>
    <w:rsid w:val="002D7731"/>
    <w:rsid w:val="002D774F"/>
    <w:rsid w:val="002D77A7"/>
    <w:rsid w:val="002D77FF"/>
    <w:rsid w:val="002D7854"/>
    <w:rsid w:val="002D7A11"/>
    <w:rsid w:val="002D7A37"/>
    <w:rsid w:val="002D7ACF"/>
    <w:rsid w:val="002D7C1D"/>
    <w:rsid w:val="002D7C73"/>
    <w:rsid w:val="002D7D5B"/>
    <w:rsid w:val="002D7D97"/>
    <w:rsid w:val="002D7DAC"/>
    <w:rsid w:val="002D7DCF"/>
    <w:rsid w:val="002D7DE5"/>
    <w:rsid w:val="002D7DF7"/>
    <w:rsid w:val="002D7E21"/>
    <w:rsid w:val="002D7E9C"/>
    <w:rsid w:val="002D7ECD"/>
    <w:rsid w:val="002D7F0B"/>
    <w:rsid w:val="002D7F67"/>
    <w:rsid w:val="002D7FDD"/>
    <w:rsid w:val="002E0013"/>
    <w:rsid w:val="002E0063"/>
    <w:rsid w:val="002E0090"/>
    <w:rsid w:val="002E018F"/>
    <w:rsid w:val="002E0200"/>
    <w:rsid w:val="002E0210"/>
    <w:rsid w:val="002E0227"/>
    <w:rsid w:val="002E0251"/>
    <w:rsid w:val="002E03BC"/>
    <w:rsid w:val="002E03D1"/>
    <w:rsid w:val="002E041B"/>
    <w:rsid w:val="002E041E"/>
    <w:rsid w:val="002E048A"/>
    <w:rsid w:val="002E04C3"/>
    <w:rsid w:val="002E058A"/>
    <w:rsid w:val="002E058C"/>
    <w:rsid w:val="002E05C7"/>
    <w:rsid w:val="002E0671"/>
    <w:rsid w:val="002E072B"/>
    <w:rsid w:val="002E078F"/>
    <w:rsid w:val="002E07C6"/>
    <w:rsid w:val="002E08DD"/>
    <w:rsid w:val="002E0A84"/>
    <w:rsid w:val="002E0A89"/>
    <w:rsid w:val="002E0BDE"/>
    <w:rsid w:val="002E0CEF"/>
    <w:rsid w:val="002E0DA5"/>
    <w:rsid w:val="002E0E6E"/>
    <w:rsid w:val="002E0F12"/>
    <w:rsid w:val="002E100A"/>
    <w:rsid w:val="002E11CF"/>
    <w:rsid w:val="002E1280"/>
    <w:rsid w:val="002E12C7"/>
    <w:rsid w:val="002E13A0"/>
    <w:rsid w:val="002E1514"/>
    <w:rsid w:val="002E1526"/>
    <w:rsid w:val="002E15FF"/>
    <w:rsid w:val="002E1654"/>
    <w:rsid w:val="002E16EC"/>
    <w:rsid w:val="002E1785"/>
    <w:rsid w:val="002E17F2"/>
    <w:rsid w:val="002E1898"/>
    <w:rsid w:val="002E1973"/>
    <w:rsid w:val="002E197A"/>
    <w:rsid w:val="002E1D04"/>
    <w:rsid w:val="002E1EB7"/>
    <w:rsid w:val="002E2032"/>
    <w:rsid w:val="002E2064"/>
    <w:rsid w:val="002E220B"/>
    <w:rsid w:val="002E2349"/>
    <w:rsid w:val="002E2417"/>
    <w:rsid w:val="002E2447"/>
    <w:rsid w:val="002E2472"/>
    <w:rsid w:val="002E2641"/>
    <w:rsid w:val="002E2677"/>
    <w:rsid w:val="002E288E"/>
    <w:rsid w:val="002E28EF"/>
    <w:rsid w:val="002E290D"/>
    <w:rsid w:val="002E2AE0"/>
    <w:rsid w:val="002E2B23"/>
    <w:rsid w:val="002E2B34"/>
    <w:rsid w:val="002E2B4F"/>
    <w:rsid w:val="002E2BE1"/>
    <w:rsid w:val="002E2BE9"/>
    <w:rsid w:val="002E2BEC"/>
    <w:rsid w:val="002E2C36"/>
    <w:rsid w:val="002E2C81"/>
    <w:rsid w:val="002E2CED"/>
    <w:rsid w:val="002E2D26"/>
    <w:rsid w:val="002E2D41"/>
    <w:rsid w:val="002E2D67"/>
    <w:rsid w:val="002E2DE9"/>
    <w:rsid w:val="002E2EBB"/>
    <w:rsid w:val="002E2FA8"/>
    <w:rsid w:val="002E304D"/>
    <w:rsid w:val="002E30A7"/>
    <w:rsid w:val="002E3136"/>
    <w:rsid w:val="002E3148"/>
    <w:rsid w:val="002E3168"/>
    <w:rsid w:val="002E3176"/>
    <w:rsid w:val="002E320A"/>
    <w:rsid w:val="002E32F1"/>
    <w:rsid w:val="002E3497"/>
    <w:rsid w:val="002E362B"/>
    <w:rsid w:val="002E3759"/>
    <w:rsid w:val="002E37E2"/>
    <w:rsid w:val="002E3A10"/>
    <w:rsid w:val="002E3A20"/>
    <w:rsid w:val="002E3BCA"/>
    <w:rsid w:val="002E3DB3"/>
    <w:rsid w:val="002E3DD6"/>
    <w:rsid w:val="002E3E71"/>
    <w:rsid w:val="002E3F84"/>
    <w:rsid w:val="002E4046"/>
    <w:rsid w:val="002E4141"/>
    <w:rsid w:val="002E4265"/>
    <w:rsid w:val="002E427C"/>
    <w:rsid w:val="002E4390"/>
    <w:rsid w:val="002E4405"/>
    <w:rsid w:val="002E443A"/>
    <w:rsid w:val="002E44F4"/>
    <w:rsid w:val="002E459A"/>
    <w:rsid w:val="002E463C"/>
    <w:rsid w:val="002E46F4"/>
    <w:rsid w:val="002E47DC"/>
    <w:rsid w:val="002E4805"/>
    <w:rsid w:val="002E486B"/>
    <w:rsid w:val="002E48A8"/>
    <w:rsid w:val="002E48C2"/>
    <w:rsid w:val="002E4966"/>
    <w:rsid w:val="002E4A0B"/>
    <w:rsid w:val="002E4A4A"/>
    <w:rsid w:val="002E4BBC"/>
    <w:rsid w:val="002E4C01"/>
    <w:rsid w:val="002E4C29"/>
    <w:rsid w:val="002E4C76"/>
    <w:rsid w:val="002E4CCC"/>
    <w:rsid w:val="002E4CDE"/>
    <w:rsid w:val="002E4D1D"/>
    <w:rsid w:val="002E4D28"/>
    <w:rsid w:val="002E4D75"/>
    <w:rsid w:val="002E4DE3"/>
    <w:rsid w:val="002E4E46"/>
    <w:rsid w:val="002E4E6A"/>
    <w:rsid w:val="002E4E7B"/>
    <w:rsid w:val="002E4F5F"/>
    <w:rsid w:val="002E4FAF"/>
    <w:rsid w:val="002E4FBA"/>
    <w:rsid w:val="002E4FCC"/>
    <w:rsid w:val="002E4FD1"/>
    <w:rsid w:val="002E50AD"/>
    <w:rsid w:val="002E5128"/>
    <w:rsid w:val="002E5197"/>
    <w:rsid w:val="002E51BE"/>
    <w:rsid w:val="002E53BE"/>
    <w:rsid w:val="002E540D"/>
    <w:rsid w:val="002E5432"/>
    <w:rsid w:val="002E5436"/>
    <w:rsid w:val="002E5686"/>
    <w:rsid w:val="002E5692"/>
    <w:rsid w:val="002E580A"/>
    <w:rsid w:val="002E585E"/>
    <w:rsid w:val="002E58C5"/>
    <w:rsid w:val="002E59E3"/>
    <w:rsid w:val="002E59EB"/>
    <w:rsid w:val="002E5A3F"/>
    <w:rsid w:val="002E5A9D"/>
    <w:rsid w:val="002E5AB6"/>
    <w:rsid w:val="002E5B61"/>
    <w:rsid w:val="002E5D2A"/>
    <w:rsid w:val="002E5DE5"/>
    <w:rsid w:val="002E5E36"/>
    <w:rsid w:val="002E605D"/>
    <w:rsid w:val="002E6095"/>
    <w:rsid w:val="002E60E1"/>
    <w:rsid w:val="002E6116"/>
    <w:rsid w:val="002E6119"/>
    <w:rsid w:val="002E614C"/>
    <w:rsid w:val="002E6177"/>
    <w:rsid w:val="002E6257"/>
    <w:rsid w:val="002E64D8"/>
    <w:rsid w:val="002E64E9"/>
    <w:rsid w:val="002E65F7"/>
    <w:rsid w:val="002E672B"/>
    <w:rsid w:val="002E6785"/>
    <w:rsid w:val="002E67A2"/>
    <w:rsid w:val="002E67EE"/>
    <w:rsid w:val="002E6800"/>
    <w:rsid w:val="002E68C5"/>
    <w:rsid w:val="002E6A18"/>
    <w:rsid w:val="002E6A75"/>
    <w:rsid w:val="002E6ADD"/>
    <w:rsid w:val="002E6C44"/>
    <w:rsid w:val="002E6C7E"/>
    <w:rsid w:val="002E6C89"/>
    <w:rsid w:val="002E6D84"/>
    <w:rsid w:val="002E6DDD"/>
    <w:rsid w:val="002E6E18"/>
    <w:rsid w:val="002E6EC3"/>
    <w:rsid w:val="002E6F4C"/>
    <w:rsid w:val="002E6FE6"/>
    <w:rsid w:val="002E7011"/>
    <w:rsid w:val="002E7027"/>
    <w:rsid w:val="002E7049"/>
    <w:rsid w:val="002E704D"/>
    <w:rsid w:val="002E7059"/>
    <w:rsid w:val="002E716C"/>
    <w:rsid w:val="002E71B3"/>
    <w:rsid w:val="002E7279"/>
    <w:rsid w:val="002E72E7"/>
    <w:rsid w:val="002E736D"/>
    <w:rsid w:val="002E73A1"/>
    <w:rsid w:val="002E741A"/>
    <w:rsid w:val="002E75CC"/>
    <w:rsid w:val="002E7635"/>
    <w:rsid w:val="002E76B3"/>
    <w:rsid w:val="002E776C"/>
    <w:rsid w:val="002E77C5"/>
    <w:rsid w:val="002E7941"/>
    <w:rsid w:val="002E7962"/>
    <w:rsid w:val="002E7991"/>
    <w:rsid w:val="002E7AB2"/>
    <w:rsid w:val="002E7AE1"/>
    <w:rsid w:val="002E7B75"/>
    <w:rsid w:val="002E7C35"/>
    <w:rsid w:val="002E7C95"/>
    <w:rsid w:val="002E7DFB"/>
    <w:rsid w:val="002E7F5E"/>
    <w:rsid w:val="002E7FF5"/>
    <w:rsid w:val="002F0051"/>
    <w:rsid w:val="002F0062"/>
    <w:rsid w:val="002F0113"/>
    <w:rsid w:val="002F01CE"/>
    <w:rsid w:val="002F01F2"/>
    <w:rsid w:val="002F01FF"/>
    <w:rsid w:val="002F020F"/>
    <w:rsid w:val="002F0242"/>
    <w:rsid w:val="002F0249"/>
    <w:rsid w:val="002F02D7"/>
    <w:rsid w:val="002F030B"/>
    <w:rsid w:val="002F03EC"/>
    <w:rsid w:val="002F04E2"/>
    <w:rsid w:val="002F05E2"/>
    <w:rsid w:val="002F06D9"/>
    <w:rsid w:val="002F0758"/>
    <w:rsid w:val="002F075F"/>
    <w:rsid w:val="002F08AF"/>
    <w:rsid w:val="002F0912"/>
    <w:rsid w:val="002F091D"/>
    <w:rsid w:val="002F09C2"/>
    <w:rsid w:val="002F0A02"/>
    <w:rsid w:val="002F0AC6"/>
    <w:rsid w:val="002F0BA0"/>
    <w:rsid w:val="002F0C7D"/>
    <w:rsid w:val="002F0CC1"/>
    <w:rsid w:val="002F0D2B"/>
    <w:rsid w:val="002F0E75"/>
    <w:rsid w:val="002F0F2C"/>
    <w:rsid w:val="002F1071"/>
    <w:rsid w:val="002F10B4"/>
    <w:rsid w:val="002F10DD"/>
    <w:rsid w:val="002F1110"/>
    <w:rsid w:val="002F11D2"/>
    <w:rsid w:val="002F129B"/>
    <w:rsid w:val="002F131A"/>
    <w:rsid w:val="002F139E"/>
    <w:rsid w:val="002F14C5"/>
    <w:rsid w:val="002F15A9"/>
    <w:rsid w:val="002F15C9"/>
    <w:rsid w:val="002F17F3"/>
    <w:rsid w:val="002F1821"/>
    <w:rsid w:val="002F195D"/>
    <w:rsid w:val="002F19C9"/>
    <w:rsid w:val="002F19EA"/>
    <w:rsid w:val="002F1A68"/>
    <w:rsid w:val="002F1BD3"/>
    <w:rsid w:val="002F1C6C"/>
    <w:rsid w:val="002F1CB6"/>
    <w:rsid w:val="002F1D15"/>
    <w:rsid w:val="002F1EF4"/>
    <w:rsid w:val="002F21E3"/>
    <w:rsid w:val="002F22FB"/>
    <w:rsid w:val="002F23E6"/>
    <w:rsid w:val="002F23E7"/>
    <w:rsid w:val="002F240A"/>
    <w:rsid w:val="002F242D"/>
    <w:rsid w:val="002F243E"/>
    <w:rsid w:val="002F24AA"/>
    <w:rsid w:val="002F26F6"/>
    <w:rsid w:val="002F26F9"/>
    <w:rsid w:val="002F27D0"/>
    <w:rsid w:val="002F27F6"/>
    <w:rsid w:val="002F282C"/>
    <w:rsid w:val="002F28AD"/>
    <w:rsid w:val="002F28C5"/>
    <w:rsid w:val="002F29A7"/>
    <w:rsid w:val="002F29DE"/>
    <w:rsid w:val="002F2AEF"/>
    <w:rsid w:val="002F2BAD"/>
    <w:rsid w:val="002F2D2B"/>
    <w:rsid w:val="002F2DC6"/>
    <w:rsid w:val="002F2DE9"/>
    <w:rsid w:val="002F2DFC"/>
    <w:rsid w:val="002F2ED1"/>
    <w:rsid w:val="002F2F78"/>
    <w:rsid w:val="002F3072"/>
    <w:rsid w:val="002F319C"/>
    <w:rsid w:val="002F322C"/>
    <w:rsid w:val="002F3288"/>
    <w:rsid w:val="002F328C"/>
    <w:rsid w:val="002F32C1"/>
    <w:rsid w:val="002F3313"/>
    <w:rsid w:val="002F33CD"/>
    <w:rsid w:val="002F347C"/>
    <w:rsid w:val="002F35B4"/>
    <w:rsid w:val="002F36FC"/>
    <w:rsid w:val="002F3764"/>
    <w:rsid w:val="002F37D3"/>
    <w:rsid w:val="002F389C"/>
    <w:rsid w:val="002F38C8"/>
    <w:rsid w:val="002F39E8"/>
    <w:rsid w:val="002F3AF5"/>
    <w:rsid w:val="002F3BDE"/>
    <w:rsid w:val="002F3C0E"/>
    <w:rsid w:val="002F3C52"/>
    <w:rsid w:val="002F3CA8"/>
    <w:rsid w:val="002F3EB0"/>
    <w:rsid w:val="002F3EC2"/>
    <w:rsid w:val="002F3F7F"/>
    <w:rsid w:val="002F3F82"/>
    <w:rsid w:val="002F4073"/>
    <w:rsid w:val="002F4168"/>
    <w:rsid w:val="002F4289"/>
    <w:rsid w:val="002F4330"/>
    <w:rsid w:val="002F439B"/>
    <w:rsid w:val="002F446B"/>
    <w:rsid w:val="002F456C"/>
    <w:rsid w:val="002F458A"/>
    <w:rsid w:val="002F461F"/>
    <w:rsid w:val="002F4644"/>
    <w:rsid w:val="002F4652"/>
    <w:rsid w:val="002F4719"/>
    <w:rsid w:val="002F4788"/>
    <w:rsid w:val="002F48FF"/>
    <w:rsid w:val="002F492D"/>
    <w:rsid w:val="002F4B1D"/>
    <w:rsid w:val="002F4BDA"/>
    <w:rsid w:val="002F4C2F"/>
    <w:rsid w:val="002F4C9C"/>
    <w:rsid w:val="002F4D27"/>
    <w:rsid w:val="002F4D82"/>
    <w:rsid w:val="002F4F09"/>
    <w:rsid w:val="002F5034"/>
    <w:rsid w:val="002F5097"/>
    <w:rsid w:val="002F51D3"/>
    <w:rsid w:val="002F5226"/>
    <w:rsid w:val="002F5267"/>
    <w:rsid w:val="002F52AB"/>
    <w:rsid w:val="002F539E"/>
    <w:rsid w:val="002F53F8"/>
    <w:rsid w:val="002F5413"/>
    <w:rsid w:val="002F5427"/>
    <w:rsid w:val="002F54EF"/>
    <w:rsid w:val="002F55C9"/>
    <w:rsid w:val="002F5677"/>
    <w:rsid w:val="002F56BC"/>
    <w:rsid w:val="002F58B8"/>
    <w:rsid w:val="002F5AB0"/>
    <w:rsid w:val="002F5B0A"/>
    <w:rsid w:val="002F5BDE"/>
    <w:rsid w:val="002F5C2D"/>
    <w:rsid w:val="002F5C4E"/>
    <w:rsid w:val="002F5CB1"/>
    <w:rsid w:val="002F5D0D"/>
    <w:rsid w:val="002F5D3B"/>
    <w:rsid w:val="002F5DDE"/>
    <w:rsid w:val="002F5DEC"/>
    <w:rsid w:val="002F5E9A"/>
    <w:rsid w:val="002F5F09"/>
    <w:rsid w:val="002F5F9A"/>
    <w:rsid w:val="002F609C"/>
    <w:rsid w:val="002F61E7"/>
    <w:rsid w:val="002F6266"/>
    <w:rsid w:val="002F6347"/>
    <w:rsid w:val="002F63AC"/>
    <w:rsid w:val="002F63F7"/>
    <w:rsid w:val="002F6422"/>
    <w:rsid w:val="002F6529"/>
    <w:rsid w:val="002F6533"/>
    <w:rsid w:val="002F6567"/>
    <w:rsid w:val="002F6612"/>
    <w:rsid w:val="002F6647"/>
    <w:rsid w:val="002F668C"/>
    <w:rsid w:val="002F66D9"/>
    <w:rsid w:val="002F6785"/>
    <w:rsid w:val="002F6874"/>
    <w:rsid w:val="002F689C"/>
    <w:rsid w:val="002F68A8"/>
    <w:rsid w:val="002F6970"/>
    <w:rsid w:val="002F69A6"/>
    <w:rsid w:val="002F6AF1"/>
    <w:rsid w:val="002F6CB9"/>
    <w:rsid w:val="002F6D15"/>
    <w:rsid w:val="002F6F3F"/>
    <w:rsid w:val="002F6FD5"/>
    <w:rsid w:val="002F7027"/>
    <w:rsid w:val="002F7099"/>
    <w:rsid w:val="002F70B7"/>
    <w:rsid w:val="002F7378"/>
    <w:rsid w:val="002F7392"/>
    <w:rsid w:val="002F756C"/>
    <w:rsid w:val="002F756F"/>
    <w:rsid w:val="002F7619"/>
    <w:rsid w:val="002F763F"/>
    <w:rsid w:val="002F768E"/>
    <w:rsid w:val="002F76BB"/>
    <w:rsid w:val="002F7709"/>
    <w:rsid w:val="002F7815"/>
    <w:rsid w:val="002F782B"/>
    <w:rsid w:val="002F784A"/>
    <w:rsid w:val="002F79E9"/>
    <w:rsid w:val="002F7A11"/>
    <w:rsid w:val="002F7A46"/>
    <w:rsid w:val="002F7A90"/>
    <w:rsid w:val="002F7A97"/>
    <w:rsid w:val="002F7C82"/>
    <w:rsid w:val="002F7D70"/>
    <w:rsid w:val="002F7DC0"/>
    <w:rsid w:val="002F7DDC"/>
    <w:rsid w:val="002F7E0E"/>
    <w:rsid w:val="002F7E29"/>
    <w:rsid w:val="002F7E94"/>
    <w:rsid w:val="002F7EA5"/>
    <w:rsid w:val="002F7F44"/>
    <w:rsid w:val="002F7FEB"/>
    <w:rsid w:val="002F7FF1"/>
    <w:rsid w:val="003000AF"/>
    <w:rsid w:val="0030013F"/>
    <w:rsid w:val="00300158"/>
    <w:rsid w:val="003001A1"/>
    <w:rsid w:val="003001B2"/>
    <w:rsid w:val="00300241"/>
    <w:rsid w:val="003003E7"/>
    <w:rsid w:val="00300481"/>
    <w:rsid w:val="0030049A"/>
    <w:rsid w:val="003004A2"/>
    <w:rsid w:val="003004F0"/>
    <w:rsid w:val="0030056B"/>
    <w:rsid w:val="0030072A"/>
    <w:rsid w:val="0030075C"/>
    <w:rsid w:val="00300849"/>
    <w:rsid w:val="00300886"/>
    <w:rsid w:val="0030095C"/>
    <w:rsid w:val="003009B3"/>
    <w:rsid w:val="003009EB"/>
    <w:rsid w:val="00300C12"/>
    <w:rsid w:val="00300C61"/>
    <w:rsid w:val="00300D4D"/>
    <w:rsid w:val="00300DE1"/>
    <w:rsid w:val="00300EC8"/>
    <w:rsid w:val="00301120"/>
    <w:rsid w:val="0030120B"/>
    <w:rsid w:val="0030123F"/>
    <w:rsid w:val="00301299"/>
    <w:rsid w:val="003012C7"/>
    <w:rsid w:val="00301349"/>
    <w:rsid w:val="00301364"/>
    <w:rsid w:val="003013E7"/>
    <w:rsid w:val="003013F5"/>
    <w:rsid w:val="0030144E"/>
    <w:rsid w:val="003015A9"/>
    <w:rsid w:val="0030169E"/>
    <w:rsid w:val="003016FF"/>
    <w:rsid w:val="00301743"/>
    <w:rsid w:val="00301905"/>
    <w:rsid w:val="00301914"/>
    <w:rsid w:val="003019B3"/>
    <w:rsid w:val="003019C2"/>
    <w:rsid w:val="003019EC"/>
    <w:rsid w:val="003019F4"/>
    <w:rsid w:val="00301B5C"/>
    <w:rsid w:val="00301B86"/>
    <w:rsid w:val="00301BAE"/>
    <w:rsid w:val="00301C04"/>
    <w:rsid w:val="00301C97"/>
    <w:rsid w:val="00301CF0"/>
    <w:rsid w:val="00301FE9"/>
    <w:rsid w:val="00302047"/>
    <w:rsid w:val="0030206C"/>
    <w:rsid w:val="003020D4"/>
    <w:rsid w:val="003021A7"/>
    <w:rsid w:val="0030229B"/>
    <w:rsid w:val="003022DB"/>
    <w:rsid w:val="003023A8"/>
    <w:rsid w:val="00302423"/>
    <w:rsid w:val="00302490"/>
    <w:rsid w:val="003024CF"/>
    <w:rsid w:val="0030252A"/>
    <w:rsid w:val="00302569"/>
    <w:rsid w:val="00302575"/>
    <w:rsid w:val="0030266A"/>
    <w:rsid w:val="003027B9"/>
    <w:rsid w:val="003027DD"/>
    <w:rsid w:val="00302800"/>
    <w:rsid w:val="0030297B"/>
    <w:rsid w:val="003029C1"/>
    <w:rsid w:val="00302A4F"/>
    <w:rsid w:val="00302A5C"/>
    <w:rsid w:val="00302B15"/>
    <w:rsid w:val="00302B62"/>
    <w:rsid w:val="00302C2C"/>
    <w:rsid w:val="00302C96"/>
    <w:rsid w:val="00302D75"/>
    <w:rsid w:val="00302E3E"/>
    <w:rsid w:val="00302E53"/>
    <w:rsid w:val="00302EAD"/>
    <w:rsid w:val="00302F0A"/>
    <w:rsid w:val="00302F0F"/>
    <w:rsid w:val="00303012"/>
    <w:rsid w:val="00303064"/>
    <w:rsid w:val="003030F7"/>
    <w:rsid w:val="0030319F"/>
    <w:rsid w:val="0030321F"/>
    <w:rsid w:val="00303361"/>
    <w:rsid w:val="00303380"/>
    <w:rsid w:val="003033B7"/>
    <w:rsid w:val="003033B9"/>
    <w:rsid w:val="003034F5"/>
    <w:rsid w:val="0030361F"/>
    <w:rsid w:val="00303640"/>
    <w:rsid w:val="00303723"/>
    <w:rsid w:val="00303756"/>
    <w:rsid w:val="00303810"/>
    <w:rsid w:val="0030388B"/>
    <w:rsid w:val="003038AB"/>
    <w:rsid w:val="00303904"/>
    <w:rsid w:val="0030395A"/>
    <w:rsid w:val="00303A2F"/>
    <w:rsid w:val="00303B79"/>
    <w:rsid w:val="00303BF3"/>
    <w:rsid w:val="00303C89"/>
    <w:rsid w:val="00303E89"/>
    <w:rsid w:val="00303FF3"/>
    <w:rsid w:val="0030400E"/>
    <w:rsid w:val="00304058"/>
    <w:rsid w:val="00304065"/>
    <w:rsid w:val="003040F6"/>
    <w:rsid w:val="003041BA"/>
    <w:rsid w:val="003041E4"/>
    <w:rsid w:val="00304238"/>
    <w:rsid w:val="00304419"/>
    <w:rsid w:val="003044CD"/>
    <w:rsid w:val="0030464F"/>
    <w:rsid w:val="003046C5"/>
    <w:rsid w:val="00304706"/>
    <w:rsid w:val="00304735"/>
    <w:rsid w:val="00304797"/>
    <w:rsid w:val="00304871"/>
    <w:rsid w:val="0030491F"/>
    <w:rsid w:val="003049B5"/>
    <w:rsid w:val="003049C6"/>
    <w:rsid w:val="00304A0F"/>
    <w:rsid w:val="00304AF9"/>
    <w:rsid w:val="00304BB9"/>
    <w:rsid w:val="00304D19"/>
    <w:rsid w:val="00304DB1"/>
    <w:rsid w:val="00304E1B"/>
    <w:rsid w:val="00304E51"/>
    <w:rsid w:val="00304E5B"/>
    <w:rsid w:val="00304EEA"/>
    <w:rsid w:val="00304EEB"/>
    <w:rsid w:val="00304EFE"/>
    <w:rsid w:val="00304FAD"/>
    <w:rsid w:val="00305013"/>
    <w:rsid w:val="00305086"/>
    <w:rsid w:val="00305219"/>
    <w:rsid w:val="0030521E"/>
    <w:rsid w:val="003052CA"/>
    <w:rsid w:val="00305357"/>
    <w:rsid w:val="0030547B"/>
    <w:rsid w:val="003054B1"/>
    <w:rsid w:val="003054E8"/>
    <w:rsid w:val="0030567E"/>
    <w:rsid w:val="00305802"/>
    <w:rsid w:val="0030586B"/>
    <w:rsid w:val="00305A15"/>
    <w:rsid w:val="00305A57"/>
    <w:rsid w:val="00305B80"/>
    <w:rsid w:val="00305B86"/>
    <w:rsid w:val="00305C1B"/>
    <w:rsid w:val="00305C80"/>
    <w:rsid w:val="00305E3B"/>
    <w:rsid w:val="00305E82"/>
    <w:rsid w:val="00305ECB"/>
    <w:rsid w:val="00305F95"/>
    <w:rsid w:val="00305FC3"/>
    <w:rsid w:val="0030601F"/>
    <w:rsid w:val="0030605D"/>
    <w:rsid w:val="0030612B"/>
    <w:rsid w:val="0030614A"/>
    <w:rsid w:val="00306154"/>
    <w:rsid w:val="00306169"/>
    <w:rsid w:val="00306179"/>
    <w:rsid w:val="003061CD"/>
    <w:rsid w:val="00306211"/>
    <w:rsid w:val="0030621C"/>
    <w:rsid w:val="0030626B"/>
    <w:rsid w:val="003062D6"/>
    <w:rsid w:val="0030639D"/>
    <w:rsid w:val="00306496"/>
    <w:rsid w:val="00306530"/>
    <w:rsid w:val="00306651"/>
    <w:rsid w:val="003067DC"/>
    <w:rsid w:val="00306805"/>
    <w:rsid w:val="0030682C"/>
    <w:rsid w:val="003069C8"/>
    <w:rsid w:val="003069E2"/>
    <w:rsid w:val="00306A2F"/>
    <w:rsid w:val="00306AA3"/>
    <w:rsid w:val="00306AB6"/>
    <w:rsid w:val="00306ABE"/>
    <w:rsid w:val="00306B4F"/>
    <w:rsid w:val="00306B5B"/>
    <w:rsid w:val="00306B96"/>
    <w:rsid w:val="00306BE7"/>
    <w:rsid w:val="00306C6C"/>
    <w:rsid w:val="00306C80"/>
    <w:rsid w:val="00306C97"/>
    <w:rsid w:val="00306D76"/>
    <w:rsid w:val="00306EB3"/>
    <w:rsid w:val="00306FB9"/>
    <w:rsid w:val="00307090"/>
    <w:rsid w:val="00307096"/>
    <w:rsid w:val="003070AB"/>
    <w:rsid w:val="003070C6"/>
    <w:rsid w:val="00307195"/>
    <w:rsid w:val="003072A8"/>
    <w:rsid w:val="003072AB"/>
    <w:rsid w:val="003072EA"/>
    <w:rsid w:val="00307302"/>
    <w:rsid w:val="00307452"/>
    <w:rsid w:val="003075C0"/>
    <w:rsid w:val="00307669"/>
    <w:rsid w:val="003076C4"/>
    <w:rsid w:val="003076F2"/>
    <w:rsid w:val="003076F6"/>
    <w:rsid w:val="0030777A"/>
    <w:rsid w:val="00307849"/>
    <w:rsid w:val="00307966"/>
    <w:rsid w:val="003079E8"/>
    <w:rsid w:val="00307A8F"/>
    <w:rsid w:val="00307ABD"/>
    <w:rsid w:val="00307BDE"/>
    <w:rsid w:val="00307C0F"/>
    <w:rsid w:val="00307C4A"/>
    <w:rsid w:val="00307EF5"/>
    <w:rsid w:val="00307F6D"/>
    <w:rsid w:val="00310203"/>
    <w:rsid w:val="00310225"/>
    <w:rsid w:val="003102BE"/>
    <w:rsid w:val="003103B0"/>
    <w:rsid w:val="00310436"/>
    <w:rsid w:val="00310439"/>
    <w:rsid w:val="00310443"/>
    <w:rsid w:val="0031044B"/>
    <w:rsid w:val="0031045C"/>
    <w:rsid w:val="00310470"/>
    <w:rsid w:val="0031060A"/>
    <w:rsid w:val="00310690"/>
    <w:rsid w:val="003106CF"/>
    <w:rsid w:val="003106D5"/>
    <w:rsid w:val="003106E2"/>
    <w:rsid w:val="00310745"/>
    <w:rsid w:val="003107FB"/>
    <w:rsid w:val="00310819"/>
    <w:rsid w:val="0031084D"/>
    <w:rsid w:val="00310882"/>
    <w:rsid w:val="00310969"/>
    <w:rsid w:val="00310C56"/>
    <w:rsid w:val="00310EAA"/>
    <w:rsid w:val="00310EF8"/>
    <w:rsid w:val="00310F3B"/>
    <w:rsid w:val="00310F67"/>
    <w:rsid w:val="00310FC6"/>
    <w:rsid w:val="00311151"/>
    <w:rsid w:val="003111FF"/>
    <w:rsid w:val="0031121E"/>
    <w:rsid w:val="00311273"/>
    <w:rsid w:val="0031128F"/>
    <w:rsid w:val="003112C4"/>
    <w:rsid w:val="003112FC"/>
    <w:rsid w:val="00311352"/>
    <w:rsid w:val="00311374"/>
    <w:rsid w:val="003114FC"/>
    <w:rsid w:val="0031154E"/>
    <w:rsid w:val="0031155E"/>
    <w:rsid w:val="00311560"/>
    <w:rsid w:val="00311601"/>
    <w:rsid w:val="003116C5"/>
    <w:rsid w:val="003118DE"/>
    <w:rsid w:val="00311959"/>
    <w:rsid w:val="0031198D"/>
    <w:rsid w:val="00311A36"/>
    <w:rsid w:val="00311A55"/>
    <w:rsid w:val="00311A8E"/>
    <w:rsid w:val="00311B7D"/>
    <w:rsid w:val="00311C46"/>
    <w:rsid w:val="00311CB9"/>
    <w:rsid w:val="00311D00"/>
    <w:rsid w:val="00311DB9"/>
    <w:rsid w:val="00311E95"/>
    <w:rsid w:val="00311F40"/>
    <w:rsid w:val="00311FAF"/>
    <w:rsid w:val="0031201F"/>
    <w:rsid w:val="00312031"/>
    <w:rsid w:val="0031203D"/>
    <w:rsid w:val="003120C3"/>
    <w:rsid w:val="00312346"/>
    <w:rsid w:val="0031235B"/>
    <w:rsid w:val="0031252D"/>
    <w:rsid w:val="00312651"/>
    <w:rsid w:val="0031267A"/>
    <w:rsid w:val="0031267C"/>
    <w:rsid w:val="0031283A"/>
    <w:rsid w:val="003129D3"/>
    <w:rsid w:val="00312A1F"/>
    <w:rsid w:val="00312A9A"/>
    <w:rsid w:val="00312B1D"/>
    <w:rsid w:val="00312B79"/>
    <w:rsid w:val="00312D29"/>
    <w:rsid w:val="00312D9C"/>
    <w:rsid w:val="00312EC0"/>
    <w:rsid w:val="00312EE2"/>
    <w:rsid w:val="003130E7"/>
    <w:rsid w:val="00313148"/>
    <w:rsid w:val="003131C4"/>
    <w:rsid w:val="003132C2"/>
    <w:rsid w:val="003132F7"/>
    <w:rsid w:val="00313307"/>
    <w:rsid w:val="0031332E"/>
    <w:rsid w:val="00313364"/>
    <w:rsid w:val="003133C7"/>
    <w:rsid w:val="00313446"/>
    <w:rsid w:val="003134D1"/>
    <w:rsid w:val="00313565"/>
    <w:rsid w:val="0031380F"/>
    <w:rsid w:val="0031383B"/>
    <w:rsid w:val="00313875"/>
    <w:rsid w:val="0031389B"/>
    <w:rsid w:val="003138E3"/>
    <w:rsid w:val="00313A0A"/>
    <w:rsid w:val="00313A22"/>
    <w:rsid w:val="00313A47"/>
    <w:rsid w:val="00313AF4"/>
    <w:rsid w:val="00313B59"/>
    <w:rsid w:val="00313B6C"/>
    <w:rsid w:val="00313C18"/>
    <w:rsid w:val="00313E7D"/>
    <w:rsid w:val="00313F0D"/>
    <w:rsid w:val="00313F3E"/>
    <w:rsid w:val="00313F89"/>
    <w:rsid w:val="00313FC2"/>
    <w:rsid w:val="00314005"/>
    <w:rsid w:val="00314142"/>
    <w:rsid w:val="003141B6"/>
    <w:rsid w:val="0031432E"/>
    <w:rsid w:val="00314358"/>
    <w:rsid w:val="003143A8"/>
    <w:rsid w:val="003144F8"/>
    <w:rsid w:val="003146FA"/>
    <w:rsid w:val="003147CC"/>
    <w:rsid w:val="00314875"/>
    <w:rsid w:val="003148DC"/>
    <w:rsid w:val="00314A5A"/>
    <w:rsid w:val="00314A79"/>
    <w:rsid w:val="00314AA8"/>
    <w:rsid w:val="00314BBA"/>
    <w:rsid w:val="00314BED"/>
    <w:rsid w:val="00314BF2"/>
    <w:rsid w:val="00314D28"/>
    <w:rsid w:val="00314D8C"/>
    <w:rsid w:val="00314DC8"/>
    <w:rsid w:val="00314E20"/>
    <w:rsid w:val="00314F38"/>
    <w:rsid w:val="00314FE3"/>
    <w:rsid w:val="0031504F"/>
    <w:rsid w:val="00315083"/>
    <w:rsid w:val="00315117"/>
    <w:rsid w:val="00315177"/>
    <w:rsid w:val="00315225"/>
    <w:rsid w:val="0031529E"/>
    <w:rsid w:val="00315410"/>
    <w:rsid w:val="00315463"/>
    <w:rsid w:val="003154BA"/>
    <w:rsid w:val="003154FF"/>
    <w:rsid w:val="003155A3"/>
    <w:rsid w:val="003155F1"/>
    <w:rsid w:val="00315713"/>
    <w:rsid w:val="00315732"/>
    <w:rsid w:val="00315740"/>
    <w:rsid w:val="0031574D"/>
    <w:rsid w:val="0031582C"/>
    <w:rsid w:val="00315A40"/>
    <w:rsid w:val="00315A60"/>
    <w:rsid w:val="00315AD4"/>
    <w:rsid w:val="00315AF9"/>
    <w:rsid w:val="00315C4B"/>
    <w:rsid w:val="00315C56"/>
    <w:rsid w:val="00315CD8"/>
    <w:rsid w:val="00315D4C"/>
    <w:rsid w:val="00315DB0"/>
    <w:rsid w:val="00315E03"/>
    <w:rsid w:val="00315E39"/>
    <w:rsid w:val="00315E63"/>
    <w:rsid w:val="00315E9F"/>
    <w:rsid w:val="00315EFE"/>
    <w:rsid w:val="00315F19"/>
    <w:rsid w:val="00315F1C"/>
    <w:rsid w:val="00315F5F"/>
    <w:rsid w:val="00316041"/>
    <w:rsid w:val="00316070"/>
    <w:rsid w:val="003160E3"/>
    <w:rsid w:val="0031611E"/>
    <w:rsid w:val="0031613D"/>
    <w:rsid w:val="003161C6"/>
    <w:rsid w:val="003162BA"/>
    <w:rsid w:val="003162C2"/>
    <w:rsid w:val="003162E5"/>
    <w:rsid w:val="003162F4"/>
    <w:rsid w:val="00316358"/>
    <w:rsid w:val="00316386"/>
    <w:rsid w:val="00316394"/>
    <w:rsid w:val="00316477"/>
    <w:rsid w:val="003164D9"/>
    <w:rsid w:val="003165AA"/>
    <w:rsid w:val="00316657"/>
    <w:rsid w:val="00316833"/>
    <w:rsid w:val="00316968"/>
    <w:rsid w:val="00316A2F"/>
    <w:rsid w:val="00316AB4"/>
    <w:rsid w:val="00316B2E"/>
    <w:rsid w:val="00316C69"/>
    <w:rsid w:val="00316D97"/>
    <w:rsid w:val="00316DB0"/>
    <w:rsid w:val="00316E22"/>
    <w:rsid w:val="00316E37"/>
    <w:rsid w:val="00316E87"/>
    <w:rsid w:val="00316EB7"/>
    <w:rsid w:val="0031705C"/>
    <w:rsid w:val="003171B4"/>
    <w:rsid w:val="00317259"/>
    <w:rsid w:val="00317295"/>
    <w:rsid w:val="00317296"/>
    <w:rsid w:val="003172C9"/>
    <w:rsid w:val="00317334"/>
    <w:rsid w:val="00317368"/>
    <w:rsid w:val="003174A6"/>
    <w:rsid w:val="003174FA"/>
    <w:rsid w:val="00317638"/>
    <w:rsid w:val="0031764D"/>
    <w:rsid w:val="0031777A"/>
    <w:rsid w:val="003177A0"/>
    <w:rsid w:val="0031785C"/>
    <w:rsid w:val="003178C4"/>
    <w:rsid w:val="003178EF"/>
    <w:rsid w:val="0031792D"/>
    <w:rsid w:val="0031795B"/>
    <w:rsid w:val="00317A6F"/>
    <w:rsid w:val="00317A81"/>
    <w:rsid w:val="00317A82"/>
    <w:rsid w:val="00317ACB"/>
    <w:rsid w:val="00317B49"/>
    <w:rsid w:val="00317B96"/>
    <w:rsid w:val="00317C2B"/>
    <w:rsid w:val="00317C57"/>
    <w:rsid w:val="00317C98"/>
    <w:rsid w:val="00317C99"/>
    <w:rsid w:val="00317CF5"/>
    <w:rsid w:val="00317EDF"/>
    <w:rsid w:val="00317EEB"/>
    <w:rsid w:val="00317F9B"/>
    <w:rsid w:val="00320265"/>
    <w:rsid w:val="00320332"/>
    <w:rsid w:val="003203CA"/>
    <w:rsid w:val="003204D7"/>
    <w:rsid w:val="0032065F"/>
    <w:rsid w:val="0032075E"/>
    <w:rsid w:val="003207A6"/>
    <w:rsid w:val="003207EC"/>
    <w:rsid w:val="003207F8"/>
    <w:rsid w:val="00320945"/>
    <w:rsid w:val="0032095E"/>
    <w:rsid w:val="003209B8"/>
    <w:rsid w:val="003209C1"/>
    <w:rsid w:val="00320BA2"/>
    <w:rsid w:val="00320CA3"/>
    <w:rsid w:val="00320F4B"/>
    <w:rsid w:val="0032103B"/>
    <w:rsid w:val="00321092"/>
    <w:rsid w:val="00321106"/>
    <w:rsid w:val="0032119C"/>
    <w:rsid w:val="0032124A"/>
    <w:rsid w:val="00321270"/>
    <w:rsid w:val="003212D9"/>
    <w:rsid w:val="003212E9"/>
    <w:rsid w:val="00321309"/>
    <w:rsid w:val="0032136A"/>
    <w:rsid w:val="003213D1"/>
    <w:rsid w:val="003214D4"/>
    <w:rsid w:val="003214FD"/>
    <w:rsid w:val="003215E4"/>
    <w:rsid w:val="00321737"/>
    <w:rsid w:val="00321773"/>
    <w:rsid w:val="003218BF"/>
    <w:rsid w:val="00321A38"/>
    <w:rsid w:val="00321B3D"/>
    <w:rsid w:val="00321BC4"/>
    <w:rsid w:val="00321CAB"/>
    <w:rsid w:val="00321DD4"/>
    <w:rsid w:val="00321E02"/>
    <w:rsid w:val="00321E54"/>
    <w:rsid w:val="00321EB4"/>
    <w:rsid w:val="00321ED5"/>
    <w:rsid w:val="00321F2C"/>
    <w:rsid w:val="00322021"/>
    <w:rsid w:val="003220E8"/>
    <w:rsid w:val="0032217F"/>
    <w:rsid w:val="0032229C"/>
    <w:rsid w:val="003222CE"/>
    <w:rsid w:val="00322386"/>
    <w:rsid w:val="00322389"/>
    <w:rsid w:val="00322398"/>
    <w:rsid w:val="003223DC"/>
    <w:rsid w:val="00322437"/>
    <w:rsid w:val="003224D8"/>
    <w:rsid w:val="003224DB"/>
    <w:rsid w:val="00322574"/>
    <w:rsid w:val="00322620"/>
    <w:rsid w:val="0032279A"/>
    <w:rsid w:val="0032279C"/>
    <w:rsid w:val="003227DF"/>
    <w:rsid w:val="003227E8"/>
    <w:rsid w:val="0032282E"/>
    <w:rsid w:val="00322A14"/>
    <w:rsid w:val="00322A89"/>
    <w:rsid w:val="00322AC7"/>
    <w:rsid w:val="00322C6B"/>
    <w:rsid w:val="00322DE9"/>
    <w:rsid w:val="00322E87"/>
    <w:rsid w:val="00322E8C"/>
    <w:rsid w:val="00322EDC"/>
    <w:rsid w:val="00322F06"/>
    <w:rsid w:val="00322F1E"/>
    <w:rsid w:val="00323009"/>
    <w:rsid w:val="00323061"/>
    <w:rsid w:val="0032308C"/>
    <w:rsid w:val="00323097"/>
    <w:rsid w:val="00323134"/>
    <w:rsid w:val="0032319B"/>
    <w:rsid w:val="003231AE"/>
    <w:rsid w:val="003231CF"/>
    <w:rsid w:val="0032328B"/>
    <w:rsid w:val="003233D8"/>
    <w:rsid w:val="003234B8"/>
    <w:rsid w:val="003234BC"/>
    <w:rsid w:val="003234E7"/>
    <w:rsid w:val="0032355A"/>
    <w:rsid w:val="003235B4"/>
    <w:rsid w:val="00323702"/>
    <w:rsid w:val="00323754"/>
    <w:rsid w:val="003237FC"/>
    <w:rsid w:val="00323917"/>
    <w:rsid w:val="00323939"/>
    <w:rsid w:val="00323A3E"/>
    <w:rsid w:val="00323A7C"/>
    <w:rsid w:val="00323AA9"/>
    <w:rsid w:val="00323B73"/>
    <w:rsid w:val="00323BE9"/>
    <w:rsid w:val="00323CBF"/>
    <w:rsid w:val="00323D0B"/>
    <w:rsid w:val="00323D28"/>
    <w:rsid w:val="00323D81"/>
    <w:rsid w:val="00323EDA"/>
    <w:rsid w:val="0032417B"/>
    <w:rsid w:val="0032428F"/>
    <w:rsid w:val="003242B4"/>
    <w:rsid w:val="003242CD"/>
    <w:rsid w:val="0032449A"/>
    <w:rsid w:val="00324580"/>
    <w:rsid w:val="003247D1"/>
    <w:rsid w:val="00324802"/>
    <w:rsid w:val="00324893"/>
    <w:rsid w:val="00324962"/>
    <w:rsid w:val="00324AB8"/>
    <w:rsid w:val="00324B6A"/>
    <w:rsid w:val="00324B74"/>
    <w:rsid w:val="00324CA1"/>
    <w:rsid w:val="00324D99"/>
    <w:rsid w:val="00324DA3"/>
    <w:rsid w:val="00324E0E"/>
    <w:rsid w:val="00324E48"/>
    <w:rsid w:val="00324E92"/>
    <w:rsid w:val="00324E95"/>
    <w:rsid w:val="00324EB2"/>
    <w:rsid w:val="00325069"/>
    <w:rsid w:val="00325190"/>
    <w:rsid w:val="003251DC"/>
    <w:rsid w:val="003252AF"/>
    <w:rsid w:val="003252F2"/>
    <w:rsid w:val="003253E5"/>
    <w:rsid w:val="00325523"/>
    <w:rsid w:val="003255B2"/>
    <w:rsid w:val="00325691"/>
    <w:rsid w:val="003256D7"/>
    <w:rsid w:val="00325714"/>
    <w:rsid w:val="00325771"/>
    <w:rsid w:val="003257BA"/>
    <w:rsid w:val="00325809"/>
    <w:rsid w:val="0032582D"/>
    <w:rsid w:val="003258B7"/>
    <w:rsid w:val="003258FA"/>
    <w:rsid w:val="00325A4A"/>
    <w:rsid w:val="00325AB2"/>
    <w:rsid w:val="00325B10"/>
    <w:rsid w:val="00325B24"/>
    <w:rsid w:val="00325BEE"/>
    <w:rsid w:val="00325C64"/>
    <w:rsid w:val="00325D1C"/>
    <w:rsid w:val="00325E5C"/>
    <w:rsid w:val="00325F89"/>
    <w:rsid w:val="00325FBD"/>
    <w:rsid w:val="003260F9"/>
    <w:rsid w:val="00326182"/>
    <w:rsid w:val="0032626C"/>
    <w:rsid w:val="00326308"/>
    <w:rsid w:val="003263AF"/>
    <w:rsid w:val="00326449"/>
    <w:rsid w:val="00326553"/>
    <w:rsid w:val="0032667C"/>
    <w:rsid w:val="00326982"/>
    <w:rsid w:val="003269FD"/>
    <w:rsid w:val="00326A21"/>
    <w:rsid w:val="00326A22"/>
    <w:rsid w:val="00326A43"/>
    <w:rsid w:val="00326AD1"/>
    <w:rsid w:val="00326AFF"/>
    <w:rsid w:val="00326B17"/>
    <w:rsid w:val="00326B51"/>
    <w:rsid w:val="00326B5C"/>
    <w:rsid w:val="00326BF0"/>
    <w:rsid w:val="00326C46"/>
    <w:rsid w:val="00326D0B"/>
    <w:rsid w:val="00326EF4"/>
    <w:rsid w:val="00326F8A"/>
    <w:rsid w:val="003270F6"/>
    <w:rsid w:val="00327340"/>
    <w:rsid w:val="00327344"/>
    <w:rsid w:val="00327452"/>
    <w:rsid w:val="003274AF"/>
    <w:rsid w:val="00327555"/>
    <w:rsid w:val="003275E5"/>
    <w:rsid w:val="00327659"/>
    <w:rsid w:val="00327675"/>
    <w:rsid w:val="00327742"/>
    <w:rsid w:val="00327864"/>
    <w:rsid w:val="0032791A"/>
    <w:rsid w:val="00327923"/>
    <w:rsid w:val="00327A0B"/>
    <w:rsid w:val="00327A0D"/>
    <w:rsid w:val="00327A67"/>
    <w:rsid w:val="00327B94"/>
    <w:rsid w:val="00327DA6"/>
    <w:rsid w:val="00327E2E"/>
    <w:rsid w:val="00327E71"/>
    <w:rsid w:val="00327EFB"/>
    <w:rsid w:val="00330011"/>
    <w:rsid w:val="00330092"/>
    <w:rsid w:val="003300E9"/>
    <w:rsid w:val="003300F3"/>
    <w:rsid w:val="00330131"/>
    <w:rsid w:val="00330265"/>
    <w:rsid w:val="00330353"/>
    <w:rsid w:val="00330443"/>
    <w:rsid w:val="003304EA"/>
    <w:rsid w:val="0033060E"/>
    <w:rsid w:val="0033062D"/>
    <w:rsid w:val="00330756"/>
    <w:rsid w:val="00330836"/>
    <w:rsid w:val="003309B8"/>
    <w:rsid w:val="003309FF"/>
    <w:rsid w:val="00330C5D"/>
    <w:rsid w:val="00330D80"/>
    <w:rsid w:val="00330DF8"/>
    <w:rsid w:val="00330E5E"/>
    <w:rsid w:val="00330E69"/>
    <w:rsid w:val="00330ED3"/>
    <w:rsid w:val="00330F21"/>
    <w:rsid w:val="003311AB"/>
    <w:rsid w:val="00331226"/>
    <w:rsid w:val="0033126D"/>
    <w:rsid w:val="00331275"/>
    <w:rsid w:val="003312CE"/>
    <w:rsid w:val="003312D5"/>
    <w:rsid w:val="00331328"/>
    <w:rsid w:val="00331388"/>
    <w:rsid w:val="0033147D"/>
    <w:rsid w:val="00331594"/>
    <w:rsid w:val="003315D2"/>
    <w:rsid w:val="0033180D"/>
    <w:rsid w:val="003318B1"/>
    <w:rsid w:val="003318E0"/>
    <w:rsid w:val="003318E5"/>
    <w:rsid w:val="003318EF"/>
    <w:rsid w:val="003319A8"/>
    <w:rsid w:val="00331A04"/>
    <w:rsid w:val="00331ABA"/>
    <w:rsid w:val="00331B41"/>
    <w:rsid w:val="00331D27"/>
    <w:rsid w:val="00331D9F"/>
    <w:rsid w:val="00331EDB"/>
    <w:rsid w:val="00331F39"/>
    <w:rsid w:val="00331F76"/>
    <w:rsid w:val="00331F91"/>
    <w:rsid w:val="00331FE9"/>
    <w:rsid w:val="003320B5"/>
    <w:rsid w:val="00332278"/>
    <w:rsid w:val="00332349"/>
    <w:rsid w:val="003323C7"/>
    <w:rsid w:val="00332445"/>
    <w:rsid w:val="00332541"/>
    <w:rsid w:val="0033281E"/>
    <w:rsid w:val="0033283E"/>
    <w:rsid w:val="003328AA"/>
    <w:rsid w:val="0033291C"/>
    <w:rsid w:val="00332AA3"/>
    <w:rsid w:val="00332B3E"/>
    <w:rsid w:val="00332BBE"/>
    <w:rsid w:val="00332C58"/>
    <w:rsid w:val="00332C86"/>
    <w:rsid w:val="00332D14"/>
    <w:rsid w:val="00332D16"/>
    <w:rsid w:val="00332D35"/>
    <w:rsid w:val="00332E42"/>
    <w:rsid w:val="00332E94"/>
    <w:rsid w:val="00332F04"/>
    <w:rsid w:val="00332F11"/>
    <w:rsid w:val="00332F6F"/>
    <w:rsid w:val="00332F87"/>
    <w:rsid w:val="00333065"/>
    <w:rsid w:val="003330A9"/>
    <w:rsid w:val="003330C0"/>
    <w:rsid w:val="003330F1"/>
    <w:rsid w:val="0033326B"/>
    <w:rsid w:val="00333464"/>
    <w:rsid w:val="00333497"/>
    <w:rsid w:val="00333548"/>
    <w:rsid w:val="0033355F"/>
    <w:rsid w:val="003335B1"/>
    <w:rsid w:val="003335CE"/>
    <w:rsid w:val="00333652"/>
    <w:rsid w:val="00333777"/>
    <w:rsid w:val="003337A7"/>
    <w:rsid w:val="003337AC"/>
    <w:rsid w:val="003338E7"/>
    <w:rsid w:val="003338E8"/>
    <w:rsid w:val="0033393A"/>
    <w:rsid w:val="0033396C"/>
    <w:rsid w:val="003339B8"/>
    <w:rsid w:val="003339F1"/>
    <w:rsid w:val="00333A73"/>
    <w:rsid w:val="00333AB7"/>
    <w:rsid w:val="00333AD5"/>
    <w:rsid w:val="00333C52"/>
    <w:rsid w:val="00333C70"/>
    <w:rsid w:val="00333CD8"/>
    <w:rsid w:val="00333D1A"/>
    <w:rsid w:val="00333E26"/>
    <w:rsid w:val="0033405B"/>
    <w:rsid w:val="00334467"/>
    <w:rsid w:val="00334510"/>
    <w:rsid w:val="0033456F"/>
    <w:rsid w:val="0033457A"/>
    <w:rsid w:val="003345BA"/>
    <w:rsid w:val="00334782"/>
    <w:rsid w:val="0033479F"/>
    <w:rsid w:val="0033484B"/>
    <w:rsid w:val="003349E2"/>
    <w:rsid w:val="003349FF"/>
    <w:rsid w:val="00334A87"/>
    <w:rsid w:val="00334BA7"/>
    <w:rsid w:val="00334BD7"/>
    <w:rsid w:val="00334C25"/>
    <w:rsid w:val="00334C3D"/>
    <w:rsid w:val="00334D2A"/>
    <w:rsid w:val="00334D4F"/>
    <w:rsid w:val="00334E62"/>
    <w:rsid w:val="00334F51"/>
    <w:rsid w:val="00335102"/>
    <w:rsid w:val="00335158"/>
    <w:rsid w:val="003351E2"/>
    <w:rsid w:val="003352EF"/>
    <w:rsid w:val="003352F2"/>
    <w:rsid w:val="00335305"/>
    <w:rsid w:val="0033530A"/>
    <w:rsid w:val="0033550A"/>
    <w:rsid w:val="003355A9"/>
    <w:rsid w:val="0033560E"/>
    <w:rsid w:val="00335625"/>
    <w:rsid w:val="003356EC"/>
    <w:rsid w:val="00335749"/>
    <w:rsid w:val="003357C8"/>
    <w:rsid w:val="003357D9"/>
    <w:rsid w:val="0033581B"/>
    <w:rsid w:val="00335880"/>
    <w:rsid w:val="003358D7"/>
    <w:rsid w:val="00335934"/>
    <w:rsid w:val="003359FF"/>
    <w:rsid w:val="00335A06"/>
    <w:rsid w:val="00335A79"/>
    <w:rsid w:val="00335BE7"/>
    <w:rsid w:val="00335BF6"/>
    <w:rsid w:val="00335CAD"/>
    <w:rsid w:val="00335D17"/>
    <w:rsid w:val="00335E05"/>
    <w:rsid w:val="00335E06"/>
    <w:rsid w:val="00335E47"/>
    <w:rsid w:val="00336045"/>
    <w:rsid w:val="0033608D"/>
    <w:rsid w:val="00336247"/>
    <w:rsid w:val="003362B9"/>
    <w:rsid w:val="003362C0"/>
    <w:rsid w:val="0033641F"/>
    <w:rsid w:val="003364B4"/>
    <w:rsid w:val="0033659A"/>
    <w:rsid w:val="0033666B"/>
    <w:rsid w:val="003366E7"/>
    <w:rsid w:val="00336724"/>
    <w:rsid w:val="0033683E"/>
    <w:rsid w:val="00336841"/>
    <w:rsid w:val="003368BF"/>
    <w:rsid w:val="0033696C"/>
    <w:rsid w:val="0033698D"/>
    <w:rsid w:val="00336A3A"/>
    <w:rsid w:val="00336AAE"/>
    <w:rsid w:val="00336ACD"/>
    <w:rsid w:val="00336AFD"/>
    <w:rsid w:val="00336B09"/>
    <w:rsid w:val="00336B44"/>
    <w:rsid w:val="00336BD8"/>
    <w:rsid w:val="00336C62"/>
    <w:rsid w:val="00336D90"/>
    <w:rsid w:val="00336E5E"/>
    <w:rsid w:val="00336F4C"/>
    <w:rsid w:val="00336F4D"/>
    <w:rsid w:val="00336F8C"/>
    <w:rsid w:val="0033704A"/>
    <w:rsid w:val="003370B5"/>
    <w:rsid w:val="00337145"/>
    <w:rsid w:val="0033716B"/>
    <w:rsid w:val="003371E6"/>
    <w:rsid w:val="003372B2"/>
    <w:rsid w:val="00337401"/>
    <w:rsid w:val="003376A6"/>
    <w:rsid w:val="003376C3"/>
    <w:rsid w:val="003376FC"/>
    <w:rsid w:val="003377CE"/>
    <w:rsid w:val="003377DD"/>
    <w:rsid w:val="003378A1"/>
    <w:rsid w:val="003378F7"/>
    <w:rsid w:val="003379CB"/>
    <w:rsid w:val="00337A06"/>
    <w:rsid w:val="00337C91"/>
    <w:rsid w:val="00337CC8"/>
    <w:rsid w:val="00340026"/>
    <w:rsid w:val="00340049"/>
    <w:rsid w:val="0034004A"/>
    <w:rsid w:val="00340086"/>
    <w:rsid w:val="003400B7"/>
    <w:rsid w:val="003400C8"/>
    <w:rsid w:val="0034011B"/>
    <w:rsid w:val="003401E0"/>
    <w:rsid w:val="00340428"/>
    <w:rsid w:val="003405FF"/>
    <w:rsid w:val="0034063E"/>
    <w:rsid w:val="003406D8"/>
    <w:rsid w:val="0034071A"/>
    <w:rsid w:val="00340785"/>
    <w:rsid w:val="0034079D"/>
    <w:rsid w:val="0034089B"/>
    <w:rsid w:val="00340A1B"/>
    <w:rsid w:val="00340A91"/>
    <w:rsid w:val="00340A94"/>
    <w:rsid w:val="00340B2D"/>
    <w:rsid w:val="00340B6D"/>
    <w:rsid w:val="00340BC0"/>
    <w:rsid w:val="00340C48"/>
    <w:rsid w:val="00340C55"/>
    <w:rsid w:val="00340D03"/>
    <w:rsid w:val="00340D49"/>
    <w:rsid w:val="00340DC5"/>
    <w:rsid w:val="00340E23"/>
    <w:rsid w:val="00340F0E"/>
    <w:rsid w:val="00340F73"/>
    <w:rsid w:val="0034102A"/>
    <w:rsid w:val="0034104A"/>
    <w:rsid w:val="003410C7"/>
    <w:rsid w:val="00341173"/>
    <w:rsid w:val="00341333"/>
    <w:rsid w:val="00341420"/>
    <w:rsid w:val="00341487"/>
    <w:rsid w:val="00341538"/>
    <w:rsid w:val="00341555"/>
    <w:rsid w:val="0034158F"/>
    <w:rsid w:val="003415AB"/>
    <w:rsid w:val="003415BD"/>
    <w:rsid w:val="0034172F"/>
    <w:rsid w:val="00341732"/>
    <w:rsid w:val="003419F2"/>
    <w:rsid w:val="00341BF4"/>
    <w:rsid w:val="00341D63"/>
    <w:rsid w:val="00341E18"/>
    <w:rsid w:val="00341E8D"/>
    <w:rsid w:val="00342207"/>
    <w:rsid w:val="00342324"/>
    <w:rsid w:val="003423F2"/>
    <w:rsid w:val="00342479"/>
    <w:rsid w:val="00342606"/>
    <w:rsid w:val="0034260F"/>
    <w:rsid w:val="00342615"/>
    <w:rsid w:val="00342628"/>
    <w:rsid w:val="00342668"/>
    <w:rsid w:val="00342698"/>
    <w:rsid w:val="003426DF"/>
    <w:rsid w:val="0034271B"/>
    <w:rsid w:val="0034279D"/>
    <w:rsid w:val="003429D6"/>
    <w:rsid w:val="00342A1D"/>
    <w:rsid w:val="00342ACD"/>
    <w:rsid w:val="00342B97"/>
    <w:rsid w:val="00342BD8"/>
    <w:rsid w:val="00342BE7"/>
    <w:rsid w:val="00342CA3"/>
    <w:rsid w:val="00342CBF"/>
    <w:rsid w:val="00342CD2"/>
    <w:rsid w:val="00342CD8"/>
    <w:rsid w:val="00342CEC"/>
    <w:rsid w:val="00342DDD"/>
    <w:rsid w:val="00342E32"/>
    <w:rsid w:val="00342E69"/>
    <w:rsid w:val="00342EA7"/>
    <w:rsid w:val="00342ECE"/>
    <w:rsid w:val="00342EF0"/>
    <w:rsid w:val="0034308A"/>
    <w:rsid w:val="003430AE"/>
    <w:rsid w:val="003431B5"/>
    <w:rsid w:val="003431D1"/>
    <w:rsid w:val="00343205"/>
    <w:rsid w:val="0034353D"/>
    <w:rsid w:val="003435DC"/>
    <w:rsid w:val="0034361D"/>
    <w:rsid w:val="00343687"/>
    <w:rsid w:val="003436F8"/>
    <w:rsid w:val="003437B4"/>
    <w:rsid w:val="003437FA"/>
    <w:rsid w:val="0034385B"/>
    <w:rsid w:val="003438F0"/>
    <w:rsid w:val="003439D9"/>
    <w:rsid w:val="00343A0E"/>
    <w:rsid w:val="00343ABD"/>
    <w:rsid w:val="00343B2D"/>
    <w:rsid w:val="00343BCA"/>
    <w:rsid w:val="00343BD2"/>
    <w:rsid w:val="00343D72"/>
    <w:rsid w:val="00343D77"/>
    <w:rsid w:val="00343DDE"/>
    <w:rsid w:val="00343EE0"/>
    <w:rsid w:val="00343FCA"/>
    <w:rsid w:val="00344030"/>
    <w:rsid w:val="00344136"/>
    <w:rsid w:val="00344149"/>
    <w:rsid w:val="00344162"/>
    <w:rsid w:val="003441FC"/>
    <w:rsid w:val="00344202"/>
    <w:rsid w:val="003443A5"/>
    <w:rsid w:val="003443B2"/>
    <w:rsid w:val="003443FD"/>
    <w:rsid w:val="003447F3"/>
    <w:rsid w:val="0034480B"/>
    <w:rsid w:val="003448C3"/>
    <w:rsid w:val="00344910"/>
    <w:rsid w:val="00344A99"/>
    <w:rsid w:val="00344ADC"/>
    <w:rsid w:val="00344BF3"/>
    <w:rsid w:val="00344C49"/>
    <w:rsid w:val="00344C7C"/>
    <w:rsid w:val="00344D82"/>
    <w:rsid w:val="0034501B"/>
    <w:rsid w:val="00345049"/>
    <w:rsid w:val="003450A3"/>
    <w:rsid w:val="0034512C"/>
    <w:rsid w:val="00345252"/>
    <w:rsid w:val="0034530D"/>
    <w:rsid w:val="00345342"/>
    <w:rsid w:val="00345362"/>
    <w:rsid w:val="0034539D"/>
    <w:rsid w:val="0034542B"/>
    <w:rsid w:val="003454B1"/>
    <w:rsid w:val="00345504"/>
    <w:rsid w:val="00345529"/>
    <w:rsid w:val="0034552A"/>
    <w:rsid w:val="00345671"/>
    <w:rsid w:val="003456D4"/>
    <w:rsid w:val="003456E3"/>
    <w:rsid w:val="00345795"/>
    <w:rsid w:val="003457A8"/>
    <w:rsid w:val="0034588A"/>
    <w:rsid w:val="00345895"/>
    <w:rsid w:val="003458DC"/>
    <w:rsid w:val="00345939"/>
    <w:rsid w:val="00345973"/>
    <w:rsid w:val="00345AAD"/>
    <w:rsid w:val="00345B59"/>
    <w:rsid w:val="00345BEC"/>
    <w:rsid w:val="00345CE4"/>
    <w:rsid w:val="00345CFF"/>
    <w:rsid w:val="00345D00"/>
    <w:rsid w:val="00345E75"/>
    <w:rsid w:val="00345E94"/>
    <w:rsid w:val="00345F01"/>
    <w:rsid w:val="00345FD4"/>
    <w:rsid w:val="0034617D"/>
    <w:rsid w:val="00346216"/>
    <w:rsid w:val="00346239"/>
    <w:rsid w:val="00346262"/>
    <w:rsid w:val="00346329"/>
    <w:rsid w:val="00346402"/>
    <w:rsid w:val="0034649A"/>
    <w:rsid w:val="003464DE"/>
    <w:rsid w:val="00346765"/>
    <w:rsid w:val="0034679E"/>
    <w:rsid w:val="0034687F"/>
    <w:rsid w:val="00346923"/>
    <w:rsid w:val="00346939"/>
    <w:rsid w:val="0034694B"/>
    <w:rsid w:val="00346A0A"/>
    <w:rsid w:val="00346A6D"/>
    <w:rsid w:val="00346AF0"/>
    <w:rsid w:val="00346C2C"/>
    <w:rsid w:val="00346CD2"/>
    <w:rsid w:val="00346D65"/>
    <w:rsid w:val="00346D86"/>
    <w:rsid w:val="00346E9A"/>
    <w:rsid w:val="00346F20"/>
    <w:rsid w:val="00346F26"/>
    <w:rsid w:val="00346FF2"/>
    <w:rsid w:val="00347045"/>
    <w:rsid w:val="0034710F"/>
    <w:rsid w:val="0034720E"/>
    <w:rsid w:val="00347226"/>
    <w:rsid w:val="00347232"/>
    <w:rsid w:val="003473B5"/>
    <w:rsid w:val="0034740B"/>
    <w:rsid w:val="0034742A"/>
    <w:rsid w:val="00347441"/>
    <w:rsid w:val="003474A1"/>
    <w:rsid w:val="003474F5"/>
    <w:rsid w:val="00347532"/>
    <w:rsid w:val="00347580"/>
    <w:rsid w:val="003475AD"/>
    <w:rsid w:val="003475D8"/>
    <w:rsid w:val="003475E0"/>
    <w:rsid w:val="0034763E"/>
    <w:rsid w:val="003476EE"/>
    <w:rsid w:val="003478D8"/>
    <w:rsid w:val="003479AE"/>
    <w:rsid w:val="003479D1"/>
    <w:rsid w:val="003479D7"/>
    <w:rsid w:val="00347A1A"/>
    <w:rsid w:val="00347AAF"/>
    <w:rsid w:val="00347AF1"/>
    <w:rsid w:val="00347B89"/>
    <w:rsid w:val="00347BBD"/>
    <w:rsid w:val="00347C1C"/>
    <w:rsid w:val="00347D2D"/>
    <w:rsid w:val="00347D58"/>
    <w:rsid w:val="00347E1E"/>
    <w:rsid w:val="00347E99"/>
    <w:rsid w:val="00347F42"/>
    <w:rsid w:val="00347F60"/>
    <w:rsid w:val="00347FB1"/>
    <w:rsid w:val="00347FEF"/>
    <w:rsid w:val="00350017"/>
    <w:rsid w:val="00350266"/>
    <w:rsid w:val="003502F4"/>
    <w:rsid w:val="00350344"/>
    <w:rsid w:val="00350381"/>
    <w:rsid w:val="00350432"/>
    <w:rsid w:val="0035052C"/>
    <w:rsid w:val="0035057F"/>
    <w:rsid w:val="003505A1"/>
    <w:rsid w:val="003505DC"/>
    <w:rsid w:val="00350644"/>
    <w:rsid w:val="0035080B"/>
    <w:rsid w:val="0035097C"/>
    <w:rsid w:val="003509A1"/>
    <w:rsid w:val="003509A9"/>
    <w:rsid w:val="00350A33"/>
    <w:rsid w:val="00350AFD"/>
    <w:rsid w:val="00350C58"/>
    <w:rsid w:val="00350CBC"/>
    <w:rsid w:val="00350D29"/>
    <w:rsid w:val="00350E00"/>
    <w:rsid w:val="00350E50"/>
    <w:rsid w:val="00351200"/>
    <w:rsid w:val="003513B3"/>
    <w:rsid w:val="003513C5"/>
    <w:rsid w:val="0035141B"/>
    <w:rsid w:val="0035145B"/>
    <w:rsid w:val="0035147A"/>
    <w:rsid w:val="00351628"/>
    <w:rsid w:val="00351676"/>
    <w:rsid w:val="0035170A"/>
    <w:rsid w:val="00351769"/>
    <w:rsid w:val="0035182D"/>
    <w:rsid w:val="00351928"/>
    <w:rsid w:val="00351941"/>
    <w:rsid w:val="00351966"/>
    <w:rsid w:val="00351B17"/>
    <w:rsid w:val="00351B9A"/>
    <w:rsid w:val="00351BA5"/>
    <w:rsid w:val="00351BE4"/>
    <w:rsid w:val="00351BEA"/>
    <w:rsid w:val="00351C8E"/>
    <w:rsid w:val="00351D1C"/>
    <w:rsid w:val="00351EC7"/>
    <w:rsid w:val="00351ED1"/>
    <w:rsid w:val="00352044"/>
    <w:rsid w:val="003520F9"/>
    <w:rsid w:val="00352115"/>
    <w:rsid w:val="003521AF"/>
    <w:rsid w:val="00352279"/>
    <w:rsid w:val="00352282"/>
    <w:rsid w:val="003522ED"/>
    <w:rsid w:val="0035231B"/>
    <w:rsid w:val="0035232D"/>
    <w:rsid w:val="003523EB"/>
    <w:rsid w:val="00352407"/>
    <w:rsid w:val="00352679"/>
    <w:rsid w:val="003526F9"/>
    <w:rsid w:val="00352758"/>
    <w:rsid w:val="00352824"/>
    <w:rsid w:val="003528F0"/>
    <w:rsid w:val="00352910"/>
    <w:rsid w:val="00352A45"/>
    <w:rsid w:val="00352A6D"/>
    <w:rsid w:val="00352BCF"/>
    <w:rsid w:val="00352BE7"/>
    <w:rsid w:val="00352D47"/>
    <w:rsid w:val="00352D54"/>
    <w:rsid w:val="00352D7F"/>
    <w:rsid w:val="00352EAB"/>
    <w:rsid w:val="003530D7"/>
    <w:rsid w:val="0035312A"/>
    <w:rsid w:val="0035314A"/>
    <w:rsid w:val="003532F2"/>
    <w:rsid w:val="00353340"/>
    <w:rsid w:val="0035339A"/>
    <w:rsid w:val="00353410"/>
    <w:rsid w:val="00353428"/>
    <w:rsid w:val="0035345A"/>
    <w:rsid w:val="00353524"/>
    <w:rsid w:val="0035356E"/>
    <w:rsid w:val="003535D1"/>
    <w:rsid w:val="0035360B"/>
    <w:rsid w:val="0035360D"/>
    <w:rsid w:val="00353652"/>
    <w:rsid w:val="003537E4"/>
    <w:rsid w:val="0035388C"/>
    <w:rsid w:val="00353A87"/>
    <w:rsid w:val="00353ABB"/>
    <w:rsid w:val="00353BD1"/>
    <w:rsid w:val="00353BEB"/>
    <w:rsid w:val="00353C50"/>
    <w:rsid w:val="00353E57"/>
    <w:rsid w:val="00353F0A"/>
    <w:rsid w:val="00353F73"/>
    <w:rsid w:val="00354034"/>
    <w:rsid w:val="0035403B"/>
    <w:rsid w:val="003540A5"/>
    <w:rsid w:val="00354214"/>
    <w:rsid w:val="003544D6"/>
    <w:rsid w:val="00354699"/>
    <w:rsid w:val="003546BF"/>
    <w:rsid w:val="00354837"/>
    <w:rsid w:val="003548F9"/>
    <w:rsid w:val="00354933"/>
    <w:rsid w:val="0035495A"/>
    <w:rsid w:val="00354A52"/>
    <w:rsid w:val="00354A5F"/>
    <w:rsid w:val="00354BDE"/>
    <w:rsid w:val="00354CC3"/>
    <w:rsid w:val="00354CD2"/>
    <w:rsid w:val="00354DB1"/>
    <w:rsid w:val="00354E49"/>
    <w:rsid w:val="00354E50"/>
    <w:rsid w:val="00354E53"/>
    <w:rsid w:val="00354F0C"/>
    <w:rsid w:val="00354F8A"/>
    <w:rsid w:val="00354FBB"/>
    <w:rsid w:val="00354FF1"/>
    <w:rsid w:val="0035506B"/>
    <w:rsid w:val="0035511B"/>
    <w:rsid w:val="00355136"/>
    <w:rsid w:val="0035526D"/>
    <w:rsid w:val="00355285"/>
    <w:rsid w:val="00355302"/>
    <w:rsid w:val="0035543C"/>
    <w:rsid w:val="00355443"/>
    <w:rsid w:val="00355474"/>
    <w:rsid w:val="003554F9"/>
    <w:rsid w:val="003555BB"/>
    <w:rsid w:val="003555FA"/>
    <w:rsid w:val="003556C3"/>
    <w:rsid w:val="00355848"/>
    <w:rsid w:val="00355882"/>
    <w:rsid w:val="003558B4"/>
    <w:rsid w:val="003558C0"/>
    <w:rsid w:val="00355912"/>
    <w:rsid w:val="0035593D"/>
    <w:rsid w:val="0035598D"/>
    <w:rsid w:val="00355BBE"/>
    <w:rsid w:val="00355D5A"/>
    <w:rsid w:val="00355E63"/>
    <w:rsid w:val="00355ECD"/>
    <w:rsid w:val="00355F13"/>
    <w:rsid w:val="003560D1"/>
    <w:rsid w:val="00356101"/>
    <w:rsid w:val="003561F1"/>
    <w:rsid w:val="00356237"/>
    <w:rsid w:val="0035631B"/>
    <w:rsid w:val="00356376"/>
    <w:rsid w:val="00356379"/>
    <w:rsid w:val="003563AF"/>
    <w:rsid w:val="00356757"/>
    <w:rsid w:val="003567B0"/>
    <w:rsid w:val="00356816"/>
    <w:rsid w:val="0035684E"/>
    <w:rsid w:val="003568F3"/>
    <w:rsid w:val="00356947"/>
    <w:rsid w:val="0035699D"/>
    <w:rsid w:val="003569BB"/>
    <w:rsid w:val="00356A38"/>
    <w:rsid w:val="00356B05"/>
    <w:rsid w:val="00356B1A"/>
    <w:rsid w:val="00356D46"/>
    <w:rsid w:val="00356DD7"/>
    <w:rsid w:val="00356F47"/>
    <w:rsid w:val="00356F84"/>
    <w:rsid w:val="00357048"/>
    <w:rsid w:val="00357095"/>
    <w:rsid w:val="003570FD"/>
    <w:rsid w:val="003571CB"/>
    <w:rsid w:val="003572B1"/>
    <w:rsid w:val="0035741E"/>
    <w:rsid w:val="00357576"/>
    <w:rsid w:val="00357599"/>
    <w:rsid w:val="003575AF"/>
    <w:rsid w:val="003575F5"/>
    <w:rsid w:val="00357614"/>
    <w:rsid w:val="0035769C"/>
    <w:rsid w:val="003576EB"/>
    <w:rsid w:val="00357709"/>
    <w:rsid w:val="00357741"/>
    <w:rsid w:val="00357817"/>
    <w:rsid w:val="00357A0C"/>
    <w:rsid w:val="00357A50"/>
    <w:rsid w:val="00357A55"/>
    <w:rsid w:val="00357A6E"/>
    <w:rsid w:val="00357AFE"/>
    <w:rsid w:val="00357BA6"/>
    <w:rsid w:val="00357BDE"/>
    <w:rsid w:val="00357C5B"/>
    <w:rsid w:val="00357CE1"/>
    <w:rsid w:val="00357D1B"/>
    <w:rsid w:val="00357DA8"/>
    <w:rsid w:val="00357DDE"/>
    <w:rsid w:val="00357FB6"/>
    <w:rsid w:val="0036004F"/>
    <w:rsid w:val="003600E8"/>
    <w:rsid w:val="00360114"/>
    <w:rsid w:val="00360122"/>
    <w:rsid w:val="0036012F"/>
    <w:rsid w:val="00360196"/>
    <w:rsid w:val="00360202"/>
    <w:rsid w:val="003602C6"/>
    <w:rsid w:val="00360407"/>
    <w:rsid w:val="00360469"/>
    <w:rsid w:val="00360595"/>
    <w:rsid w:val="003605A2"/>
    <w:rsid w:val="00360738"/>
    <w:rsid w:val="003607C4"/>
    <w:rsid w:val="00360844"/>
    <w:rsid w:val="00360972"/>
    <w:rsid w:val="003609EF"/>
    <w:rsid w:val="00360B55"/>
    <w:rsid w:val="00360BD7"/>
    <w:rsid w:val="00360C4E"/>
    <w:rsid w:val="00360D11"/>
    <w:rsid w:val="00360D2B"/>
    <w:rsid w:val="00360D7C"/>
    <w:rsid w:val="00360E00"/>
    <w:rsid w:val="00360EBB"/>
    <w:rsid w:val="00360F3A"/>
    <w:rsid w:val="00360F44"/>
    <w:rsid w:val="00360F80"/>
    <w:rsid w:val="003610E7"/>
    <w:rsid w:val="0036114E"/>
    <w:rsid w:val="0036115A"/>
    <w:rsid w:val="00361186"/>
    <w:rsid w:val="0036119A"/>
    <w:rsid w:val="00361221"/>
    <w:rsid w:val="00361229"/>
    <w:rsid w:val="0036132E"/>
    <w:rsid w:val="0036142B"/>
    <w:rsid w:val="00361430"/>
    <w:rsid w:val="0036147E"/>
    <w:rsid w:val="00361564"/>
    <w:rsid w:val="0036163F"/>
    <w:rsid w:val="0036177F"/>
    <w:rsid w:val="0036178B"/>
    <w:rsid w:val="0036180F"/>
    <w:rsid w:val="0036189F"/>
    <w:rsid w:val="003618F5"/>
    <w:rsid w:val="00361930"/>
    <w:rsid w:val="003619B4"/>
    <w:rsid w:val="00361A76"/>
    <w:rsid w:val="00361AA9"/>
    <w:rsid w:val="00361AC1"/>
    <w:rsid w:val="00361B60"/>
    <w:rsid w:val="00361BCC"/>
    <w:rsid w:val="00361C23"/>
    <w:rsid w:val="00361CEE"/>
    <w:rsid w:val="00361CFC"/>
    <w:rsid w:val="00361D33"/>
    <w:rsid w:val="00361D8C"/>
    <w:rsid w:val="00361DD3"/>
    <w:rsid w:val="00361E4A"/>
    <w:rsid w:val="00361EC9"/>
    <w:rsid w:val="00361F2E"/>
    <w:rsid w:val="00361F48"/>
    <w:rsid w:val="00361F7F"/>
    <w:rsid w:val="0036206C"/>
    <w:rsid w:val="003621B2"/>
    <w:rsid w:val="00362289"/>
    <w:rsid w:val="003622EB"/>
    <w:rsid w:val="00362301"/>
    <w:rsid w:val="0036238B"/>
    <w:rsid w:val="0036238E"/>
    <w:rsid w:val="003623EA"/>
    <w:rsid w:val="003624A8"/>
    <w:rsid w:val="0036254D"/>
    <w:rsid w:val="003625FC"/>
    <w:rsid w:val="00362677"/>
    <w:rsid w:val="003626A9"/>
    <w:rsid w:val="00362768"/>
    <w:rsid w:val="00362855"/>
    <w:rsid w:val="00362892"/>
    <w:rsid w:val="00362911"/>
    <w:rsid w:val="00362923"/>
    <w:rsid w:val="003629C5"/>
    <w:rsid w:val="003629DD"/>
    <w:rsid w:val="00362A60"/>
    <w:rsid w:val="00362A9A"/>
    <w:rsid w:val="00362ADE"/>
    <w:rsid w:val="00362D0E"/>
    <w:rsid w:val="00362D31"/>
    <w:rsid w:val="00362DF5"/>
    <w:rsid w:val="00362E01"/>
    <w:rsid w:val="00362E0C"/>
    <w:rsid w:val="00362E10"/>
    <w:rsid w:val="00363021"/>
    <w:rsid w:val="00363073"/>
    <w:rsid w:val="003630E8"/>
    <w:rsid w:val="0036336D"/>
    <w:rsid w:val="00363402"/>
    <w:rsid w:val="00363486"/>
    <w:rsid w:val="003634B4"/>
    <w:rsid w:val="003634DA"/>
    <w:rsid w:val="0036360A"/>
    <w:rsid w:val="003636E5"/>
    <w:rsid w:val="0036370E"/>
    <w:rsid w:val="00363733"/>
    <w:rsid w:val="0036378F"/>
    <w:rsid w:val="00363943"/>
    <w:rsid w:val="003639BF"/>
    <w:rsid w:val="00363AE6"/>
    <w:rsid w:val="00363BD5"/>
    <w:rsid w:val="00363C3E"/>
    <w:rsid w:val="00363CC9"/>
    <w:rsid w:val="00363CD7"/>
    <w:rsid w:val="00363E88"/>
    <w:rsid w:val="00363EA5"/>
    <w:rsid w:val="00363EB1"/>
    <w:rsid w:val="00363EE6"/>
    <w:rsid w:val="00363F0E"/>
    <w:rsid w:val="00363F18"/>
    <w:rsid w:val="00363F66"/>
    <w:rsid w:val="00363F8B"/>
    <w:rsid w:val="00363FBF"/>
    <w:rsid w:val="00364034"/>
    <w:rsid w:val="00364056"/>
    <w:rsid w:val="003640F0"/>
    <w:rsid w:val="00364129"/>
    <w:rsid w:val="00364148"/>
    <w:rsid w:val="00364199"/>
    <w:rsid w:val="003641E0"/>
    <w:rsid w:val="00364236"/>
    <w:rsid w:val="00364254"/>
    <w:rsid w:val="00364297"/>
    <w:rsid w:val="003642A0"/>
    <w:rsid w:val="003642EA"/>
    <w:rsid w:val="00364315"/>
    <w:rsid w:val="00364337"/>
    <w:rsid w:val="0036433B"/>
    <w:rsid w:val="0036443D"/>
    <w:rsid w:val="0036448F"/>
    <w:rsid w:val="003644BA"/>
    <w:rsid w:val="003644FD"/>
    <w:rsid w:val="00364571"/>
    <w:rsid w:val="003646D8"/>
    <w:rsid w:val="003646FD"/>
    <w:rsid w:val="0036470C"/>
    <w:rsid w:val="003648A6"/>
    <w:rsid w:val="003648AA"/>
    <w:rsid w:val="0036493B"/>
    <w:rsid w:val="00364A80"/>
    <w:rsid w:val="00364AF6"/>
    <w:rsid w:val="00364B5E"/>
    <w:rsid w:val="00364B94"/>
    <w:rsid w:val="00364CD7"/>
    <w:rsid w:val="00364DF8"/>
    <w:rsid w:val="00364F48"/>
    <w:rsid w:val="00364F9D"/>
    <w:rsid w:val="003650A7"/>
    <w:rsid w:val="00365187"/>
    <w:rsid w:val="0036524A"/>
    <w:rsid w:val="003653C8"/>
    <w:rsid w:val="003653CF"/>
    <w:rsid w:val="00365420"/>
    <w:rsid w:val="00365484"/>
    <w:rsid w:val="003654B5"/>
    <w:rsid w:val="0036564C"/>
    <w:rsid w:val="00365691"/>
    <w:rsid w:val="00365698"/>
    <w:rsid w:val="003656A5"/>
    <w:rsid w:val="00365725"/>
    <w:rsid w:val="003657D4"/>
    <w:rsid w:val="003659AB"/>
    <w:rsid w:val="003659DD"/>
    <w:rsid w:val="00365A25"/>
    <w:rsid w:val="00365B2F"/>
    <w:rsid w:val="00365B9C"/>
    <w:rsid w:val="00365C2D"/>
    <w:rsid w:val="00365CDC"/>
    <w:rsid w:val="00365CF7"/>
    <w:rsid w:val="00365D0D"/>
    <w:rsid w:val="00365DAD"/>
    <w:rsid w:val="00365DB1"/>
    <w:rsid w:val="00365E06"/>
    <w:rsid w:val="00365FFC"/>
    <w:rsid w:val="00366007"/>
    <w:rsid w:val="00366101"/>
    <w:rsid w:val="0036610E"/>
    <w:rsid w:val="00366124"/>
    <w:rsid w:val="0036643C"/>
    <w:rsid w:val="00366456"/>
    <w:rsid w:val="003664FF"/>
    <w:rsid w:val="00366654"/>
    <w:rsid w:val="00366684"/>
    <w:rsid w:val="003666FF"/>
    <w:rsid w:val="00366713"/>
    <w:rsid w:val="00366760"/>
    <w:rsid w:val="00366819"/>
    <w:rsid w:val="0036681E"/>
    <w:rsid w:val="00366873"/>
    <w:rsid w:val="0036693B"/>
    <w:rsid w:val="00366994"/>
    <w:rsid w:val="00366999"/>
    <w:rsid w:val="00366A85"/>
    <w:rsid w:val="00366A91"/>
    <w:rsid w:val="00366AD6"/>
    <w:rsid w:val="00366B7F"/>
    <w:rsid w:val="00366B9C"/>
    <w:rsid w:val="00366C04"/>
    <w:rsid w:val="00366C3B"/>
    <w:rsid w:val="00366C3D"/>
    <w:rsid w:val="00366D42"/>
    <w:rsid w:val="0036709D"/>
    <w:rsid w:val="0036714F"/>
    <w:rsid w:val="00367186"/>
    <w:rsid w:val="0036720A"/>
    <w:rsid w:val="0036726B"/>
    <w:rsid w:val="00367423"/>
    <w:rsid w:val="00367428"/>
    <w:rsid w:val="0036769F"/>
    <w:rsid w:val="0036784F"/>
    <w:rsid w:val="00367855"/>
    <w:rsid w:val="00367923"/>
    <w:rsid w:val="00367AF4"/>
    <w:rsid w:val="00367AF6"/>
    <w:rsid w:val="00367B02"/>
    <w:rsid w:val="00367B39"/>
    <w:rsid w:val="00367B3D"/>
    <w:rsid w:val="00367BB3"/>
    <w:rsid w:val="00367CE2"/>
    <w:rsid w:val="00367D2B"/>
    <w:rsid w:val="00367D32"/>
    <w:rsid w:val="00367D4C"/>
    <w:rsid w:val="00367E97"/>
    <w:rsid w:val="00370009"/>
    <w:rsid w:val="00370024"/>
    <w:rsid w:val="00370054"/>
    <w:rsid w:val="003701AB"/>
    <w:rsid w:val="00370212"/>
    <w:rsid w:val="003703F2"/>
    <w:rsid w:val="00370459"/>
    <w:rsid w:val="003706F5"/>
    <w:rsid w:val="00370708"/>
    <w:rsid w:val="0037097B"/>
    <w:rsid w:val="00370AE3"/>
    <w:rsid w:val="00370B02"/>
    <w:rsid w:val="00370B68"/>
    <w:rsid w:val="00370C0D"/>
    <w:rsid w:val="00370C6F"/>
    <w:rsid w:val="00370C98"/>
    <w:rsid w:val="00370DCD"/>
    <w:rsid w:val="00370E3B"/>
    <w:rsid w:val="00370E48"/>
    <w:rsid w:val="00370E75"/>
    <w:rsid w:val="00370E94"/>
    <w:rsid w:val="003710EE"/>
    <w:rsid w:val="0037111C"/>
    <w:rsid w:val="003712CF"/>
    <w:rsid w:val="003714D7"/>
    <w:rsid w:val="003714FA"/>
    <w:rsid w:val="003715B4"/>
    <w:rsid w:val="003715CF"/>
    <w:rsid w:val="0037170A"/>
    <w:rsid w:val="0037172F"/>
    <w:rsid w:val="00371738"/>
    <w:rsid w:val="003717E6"/>
    <w:rsid w:val="003718F2"/>
    <w:rsid w:val="003719DE"/>
    <w:rsid w:val="00371AB4"/>
    <w:rsid w:val="00371B21"/>
    <w:rsid w:val="00371C27"/>
    <w:rsid w:val="00371C30"/>
    <w:rsid w:val="00371CB4"/>
    <w:rsid w:val="00371CE3"/>
    <w:rsid w:val="00371CFC"/>
    <w:rsid w:val="00371E62"/>
    <w:rsid w:val="00371EDA"/>
    <w:rsid w:val="00371FAA"/>
    <w:rsid w:val="003720C1"/>
    <w:rsid w:val="003720DC"/>
    <w:rsid w:val="00372172"/>
    <w:rsid w:val="00372405"/>
    <w:rsid w:val="00372406"/>
    <w:rsid w:val="003724A5"/>
    <w:rsid w:val="00372606"/>
    <w:rsid w:val="0037268B"/>
    <w:rsid w:val="003727BE"/>
    <w:rsid w:val="0037296D"/>
    <w:rsid w:val="003729FF"/>
    <w:rsid w:val="00372B20"/>
    <w:rsid w:val="00372C92"/>
    <w:rsid w:val="00372CC3"/>
    <w:rsid w:val="00372D0F"/>
    <w:rsid w:val="00372DFF"/>
    <w:rsid w:val="00372E38"/>
    <w:rsid w:val="00372E8B"/>
    <w:rsid w:val="00372EAB"/>
    <w:rsid w:val="00372EBC"/>
    <w:rsid w:val="00372EDC"/>
    <w:rsid w:val="00372EE9"/>
    <w:rsid w:val="00372F2B"/>
    <w:rsid w:val="00372FB2"/>
    <w:rsid w:val="00372FC8"/>
    <w:rsid w:val="0037303D"/>
    <w:rsid w:val="0037303F"/>
    <w:rsid w:val="00373054"/>
    <w:rsid w:val="00373116"/>
    <w:rsid w:val="00373138"/>
    <w:rsid w:val="0037315E"/>
    <w:rsid w:val="00373195"/>
    <w:rsid w:val="0037319F"/>
    <w:rsid w:val="00373309"/>
    <w:rsid w:val="00373423"/>
    <w:rsid w:val="00373446"/>
    <w:rsid w:val="00373499"/>
    <w:rsid w:val="00373521"/>
    <w:rsid w:val="00373584"/>
    <w:rsid w:val="00373754"/>
    <w:rsid w:val="0037376D"/>
    <w:rsid w:val="0037381E"/>
    <w:rsid w:val="00373868"/>
    <w:rsid w:val="003738D6"/>
    <w:rsid w:val="003739F8"/>
    <w:rsid w:val="00373AAC"/>
    <w:rsid w:val="00373D7A"/>
    <w:rsid w:val="00373E19"/>
    <w:rsid w:val="00373EC4"/>
    <w:rsid w:val="0037400D"/>
    <w:rsid w:val="003740AD"/>
    <w:rsid w:val="003741C9"/>
    <w:rsid w:val="00374214"/>
    <w:rsid w:val="003742D1"/>
    <w:rsid w:val="003742F7"/>
    <w:rsid w:val="0037432C"/>
    <w:rsid w:val="0037439C"/>
    <w:rsid w:val="00374444"/>
    <w:rsid w:val="003745D7"/>
    <w:rsid w:val="00374640"/>
    <w:rsid w:val="00374666"/>
    <w:rsid w:val="00374699"/>
    <w:rsid w:val="00374738"/>
    <w:rsid w:val="003747CF"/>
    <w:rsid w:val="00374B22"/>
    <w:rsid w:val="00374D5E"/>
    <w:rsid w:val="00374E4F"/>
    <w:rsid w:val="00374FF3"/>
    <w:rsid w:val="0037507A"/>
    <w:rsid w:val="003750DE"/>
    <w:rsid w:val="003750F7"/>
    <w:rsid w:val="0037512E"/>
    <w:rsid w:val="00375296"/>
    <w:rsid w:val="00375334"/>
    <w:rsid w:val="003753C2"/>
    <w:rsid w:val="003754EA"/>
    <w:rsid w:val="00375561"/>
    <w:rsid w:val="003755D1"/>
    <w:rsid w:val="00375635"/>
    <w:rsid w:val="0037564F"/>
    <w:rsid w:val="00375710"/>
    <w:rsid w:val="003757F1"/>
    <w:rsid w:val="00375817"/>
    <w:rsid w:val="0037593F"/>
    <w:rsid w:val="003759F5"/>
    <w:rsid w:val="00375A0E"/>
    <w:rsid w:val="00375A1F"/>
    <w:rsid w:val="00375C59"/>
    <w:rsid w:val="00375CDE"/>
    <w:rsid w:val="00375D10"/>
    <w:rsid w:val="00375D1B"/>
    <w:rsid w:val="00375D4B"/>
    <w:rsid w:val="00375E80"/>
    <w:rsid w:val="00375F4E"/>
    <w:rsid w:val="00375F61"/>
    <w:rsid w:val="00375F7A"/>
    <w:rsid w:val="00376018"/>
    <w:rsid w:val="00376023"/>
    <w:rsid w:val="00376108"/>
    <w:rsid w:val="0037618B"/>
    <w:rsid w:val="0037619A"/>
    <w:rsid w:val="00376213"/>
    <w:rsid w:val="00376288"/>
    <w:rsid w:val="0037629F"/>
    <w:rsid w:val="003762B8"/>
    <w:rsid w:val="00376366"/>
    <w:rsid w:val="0037638B"/>
    <w:rsid w:val="0037640F"/>
    <w:rsid w:val="003765CF"/>
    <w:rsid w:val="00376681"/>
    <w:rsid w:val="00376693"/>
    <w:rsid w:val="003767B0"/>
    <w:rsid w:val="003769BB"/>
    <w:rsid w:val="00376A73"/>
    <w:rsid w:val="00376C43"/>
    <w:rsid w:val="00376C69"/>
    <w:rsid w:val="00376CD0"/>
    <w:rsid w:val="00376D44"/>
    <w:rsid w:val="00376DA5"/>
    <w:rsid w:val="00376E8D"/>
    <w:rsid w:val="003770CA"/>
    <w:rsid w:val="00377115"/>
    <w:rsid w:val="00377122"/>
    <w:rsid w:val="00377189"/>
    <w:rsid w:val="003772A1"/>
    <w:rsid w:val="0037731D"/>
    <w:rsid w:val="0037733B"/>
    <w:rsid w:val="00377411"/>
    <w:rsid w:val="00377438"/>
    <w:rsid w:val="0037748F"/>
    <w:rsid w:val="003774B5"/>
    <w:rsid w:val="003776B5"/>
    <w:rsid w:val="0037770E"/>
    <w:rsid w:val="0037777A"/>
    <w:rsid w:val="0037783E"/>
    <w:rsid w:val="00377912"/>
    <w:rsid w:val="00377939"/>
    <w:rsid w:val="00377A2D"/>
    <w:rsid w:val="00377A6C"/>
    <w:rsid w:val="00377BA7"/>
    <w:rsid w:val="00377BDA"/>
    <w:rsid w:val="00377C05"/>
    <w:rsid w:val="00377C36"/>
    <w:rsid w:val="00377C7C"/>
    <w:rsid w:val="00377DDC"/>
    <w:rsid w:val="00377EA8"/>
    <w:rsid w:val="00377F8F"/>
    <w:rsid w:val="00380030"/>
    <w:rsid w:val="003800FF"/>
    <w:rsid w:val="00380102"/>
    <w:rsid w:val="0038011F"/>
    <w:rsid w:val="00380157"/>
    <w:rsid w:val="0038022A"/>
    <w:rsid w:val="00380261"/>
    <w:rsid w:val="00380278"/>
    <w:rsid w:val="00380290"/>
    <w:rsid w:val="003802A5"/>
    <w:rsid w:val="0038036A"/>
    <w:rsid w:val="00380523"/>
    <w:rsid w:val="00380677"/>
    <w:rsid w:val="00380731"/>
    <w:rsid w:val="00380775"/>
    <w:rsid w:val="003808C1"/>
    <w:rsid w:val="003808DC"/>
    <w:rsid w:val="00380946"/>
    <w:rsid w:val="00380981"/>
    <w:rsid w:val="0038099D"/>
    <w:rsid w:val="00380A3B"/>
    <w:rsid w:val="00380B7D"/>
    <w:rsid w:val="00380BC5"/>
    <w:rsid w:val="00380D36"/>
    <w:rsid w:val="00380D42"/>
    <w:rsid w:val="00380E30"/>
    <w:rsid w:val="00380F48"/>
    <w:rsid w:val="00380F75"/>
    <w:rsid w:val="00380FB8"/>
    <w:rsid w:val="00380FCB"/>
    <w:rsid w:val="00381001"/>
    <w:rsid w:val="0038107B"/>
    <w:rsid w:val="00381197"/>
    <w:rsid w:val="003811CE"/>
    <w:rsid w:val="0038125B"/>
    <w:rsid w:val="003814DD"/>
    <w:rsid w:val="003814F9"/>
    <w:rsid w:val="00381524"/>
    <w:rsid w:val="003815E8"/>
    <w:rsid w:val="00381663"/>
    <w:rsid w:val="003816D5"/>
    <w:rsid w:val="00381733"/>
    <w:rsid w:val="003817FF"/>
    <w:rsid w:val="003819AB"/>
    <w:rsid w:val="003819BD"/>
    <w:rsid w:val="00381A35"/>
    <w:rsid w:val="00381AD3"/>
    <w:rsid w:val="00381B1B"/>
    <w:rsid w:val="00381B60"/>
    <w:rsid w:val="00381BB7"/>
    <w:rsid w:val="00381C93"/>
    <w:rsid w:val="00381D06"/>
    <w:rsid w:val="00381D2B"/>
    <w:rsid w:val="00381DE9"/>
    <w:rsid w:val="00381E4F"/>
    <w:rsid w:val="00381EF3"/>
    <w:rsid w:val="00381FB5"/>
    <w:rsid w:val="00382162"/>
    <w:rsid w:val="00382216"/>
    <w:rsid w:val="0038222E"/>
    <w:rsid w:val="00382240"/>
    <w:rsid w:val="00382259"/>
    <w:rsid w:val="0038227B"/>
    <w:rsid w:val="0038237F"/>
    <w:rsid w:val="003824A0"/>
    <w:rsid w:val="00382575"/>
    <w:rsid w:val="0038258E"/>
    <w:rsid w:val="0038259E"/>
    <w:rsid w:val="0038268C"/>
    <w:rsid w:val="0038268F"/>
    <w:rsid w:val="00382719"/>
    <w:rsid w:val="003827C8"/>
    <w:rsid w:val="00382814"/>
    <w:rsid w:val="00382829"/>
    <w:rsid w:val="003828F6"/>
    <w:rsid w:val="00382918"/>
    <w:rsid w:val="00382AD4"/>
    <w:rsid w:val="00382B08"/>
    <w:rsid w:val="00382B5F"/>
    <w:rsid w:val="00382B7E"/>
    <w:rsid w:val="00382BD8"/>
    <w:rsid w:val="00382BDC"/>
    <w:rsid w:val="00382C3D"/>
    <w:rsid w:val="00382C6F"/>
    <w:rsid w:val="00382D4F"/>
    <w:rsid w:val="00382DCE"/>
    <w:rsid w:val="00382E5D"/>
    <w:rsid w:val="00382F27"/>
    <w:rsid w:val="00382FCE"/>
    <w:rsid w:val="00383045"/>
    <w:rsid w:val="00383056"/>
    <w:rsid w:val="0038311E"/>
    <w:rsid w:val="00383132"/>
    <w:rsid w:val="00383144"/>
    <w:rsid w:val="003832DD"/>
    <w:rsid w:val="00383327"/>
    <w:rsid w:val="00383483"/>
    <w:rsid w:val="003835B2"/>
    <w:rsid w:val="00383603"/>
    <w:rsid w:val="00383634"/>
    <w:rsid w:val="0038365D"/>
    <w:rsid w:val="00383704"/>
    <w:rsid w:val="00383770"/>
    <w:rsid w:val="0038377D"/>
    <w:rsid w:val="003837D4"/>
    <w:rsid w:val="00383827"/>
    <w:rsid w:val="0038382B"/>
    <w:rsid w:val="00383978"/>
    <w:rsid w:val="00383AA8"/>
    <w:rsid w:val="00383AF2"/>
    <w:rsid w:val="00383B23"/>
    <w:rsid w:val="00383C18"/>
    <w:rsid w:val="00383C1B"/>
    <w:rsid w:val="00383C61"/>
    <w:rsid w:val="00383C78"/>
    <w:rsid w:val="00383CC4"/>
    <w:rsid w:val="00383D96"/>
    <w:rsid w:val="00383E34"/>
    <w:rsid w:val="00383E46"/>
    <w:rsid w:val="00383EF0"/>
    <w:rsid w:val="00383FA2"/>
    <w:rsid w:val="0038400E"/>
    <w:rsid w:val="003840D2"/>
    <w:rsid w:val="003840EC"/>
    <w:rsid w:val="00384167"/>
    <w:rsid w:val="0038418A"/>
    <w:rsid w:val="00384240"/>
    <w:rsid w:val="003842B0"/>
    <w:rsid w:val="0038437F"/>
    <w:rsid w:val="00384420"/>
    <w:rsid w:val="003844C0"/>
    <w:rsid w:val="00384676"/>
    <w:rsid w:val="003847D6"/>
    <w:rsid w:val="003847F0"/>
    <w:rsid w:val="00384800"/>
    <w:rsid w:val="0038481C"/>
    <w:rsid w:val="00384852"/>
    <w:rsid w:val="00384909"/>
    <w:rsid w:val="00384AA8"/>
    <w:rsid w:val="00384B07"/>
    <w:rsid w:val="00384B20"/>
    <w:rsid w:val="00384B54"/>
    <w:rsid w:val="00384BC6"/>
    <w:rsid w:val="00384BF6"/>
    <w:rsid w:val="00384C69"/>
    <w:rsid w:val="00384C9C"/>
    <w:rsid w:val="00384D87"/>
    <w:rsid w:val="00384DF5"/>
    <w:rsid w:val="00384E69"/>
    <w:rsid w:val="00384E8C"/>
    <w:rsid w:val="00384F29"/>
    <w:rsid w:val="00384F62"/>
    <w:rsid w:val="00384F6D"/>
    <w:rsid w:val="00385014"/>
    <w:rsid w:val="003850C2"/>
    <w:rsid w:val="003850D1"/>
    <w:rsid w:val="003851CD"/>
    <w:rsid w:val="00385224"/>
    <w:rsid w:val="00385286"/>
    <w:rsid w:val="00385322"/>
    <w:rsid w:val="003853AE"/>
    <w:rsid w:val="00385472"/>
    <w:rsid w:val="00385634"/>
    <w:rsid w:val="00385665"/>
    <w:rsid w:val="00385681"/>
    <w:rsid w:val="003856F1"/>
    <w:rsid w:val="00385738"/>
    <w:rsid w:val="00385762"/>
    <w:rsid w:val="00385774"/>
    <w:rsid w:val="003857B6"/>
    <w:rsid w:val="00385893"/>
    <w:rsid w:val="00385B45"/>
    <w:rsid w:val="00385BAC"/>
    <w:rsid w:val="00385CEB"/>
    <w:rsid w:val="00385DB4"/>
    <w:rsid w:val="00385EA9"/>
    <w:rsid w:val="00385EAC"/>
    <w:rsid w:val="00385FE0"/>
    <w:rsid w:val="00386043"/>
    <w:rsid w:val="003860D8"/>
    <w:rsid w:val="003860F7"/>
    <w:rsid w:val="0038627E"/>
    <w:rsid w:val="003862F7"/>
    <w:rsid w:val="0038632A"/>
    <w:rsid w:val="00386387"/>
    <w:rsid w:val="003863F1"/>
    <w:rsid w:val="003864FC"/>
    <w:rsid w:val="0038652D"/>
    <w:rsid w:val="00386635"/>
    <w:rsid w:val="0038663F"/>
    <w:rsid w:val="003866B0"/>
    <w:rsid w:val="003866F1"/>
    <w:rsid w:val="003868C4"/>
    <w:rsid w:val="0038692C"/>
    <w:rsid w:val="0038699F"/>
    <w:rsid w:val="00386B82"/>
    <w:rsid w:val="00386C29"/>
    <w:rsid w:val="00386C53"/>
    <w:rsid w:val="00386D07"/>
    <w:rsid w:val="00386DA1"/>
    <w:rsid w:val="00386E11"/>
    <w:rsid w:val="00386E57"/>
    <w:rsid w:val="00386F66"/>
    <w:rsid w:val="00386F74"/>
    <w:rsid w:val="00386FC0"/>
    <w:rsid w:val="00387042"/>
    <w:rsid w:val="003870F8"/>
    <w:rsid w:val="00387127"/>
    <w:rsid w:val="00387194"/>
    <w:rsid w:val="00387197"/>
    <w:rsid w:val="003872F6"/>
    <w:rsid w:val="00387317"/>
    <w:rsid w:val="00387377"/>
    <w:rsid w:val="0038737C"/>
    <w:rsid w:val="003873B7"/>
    <w:rsid w:val="003873C2"/>
    <w:rsid w:val="0038751E"/>
    <w:rsid w:val="00387546"/>
    <w:rsid w:val="00387764"/>
    <w:rsid w:val="00387790"/>
    <w:rsid w:val="003878B7"/>
    <w:rsid w:val="003878C8"/>
    <w:rsid w:val="0038799F"/>
    <w:rsid w:val="003879CE"/>
    <w:rsid w:val="00387A2B"/>
    <w:rsid w:val="00387A43"/>
    <w:rsid w:val="00387A56"/>
    <w:rsid w:val="00387B8A"/>
    <w:rsid w:val="00387BC4"/>
    <w:rsid w:val="00387BE8"/>
    <w:rsid w:val="00387C2F"/>
    <w:rsid w:val="00387C67"/>
    <w:rsid w:val="00387CAA"/>
    <w:rsid w:val="00387E11"/>
    <w:rsid w:val="00390090"/>
    <w:rsid w:val="003900AE"/>
    <w:rsid w:val="0039012D"/>
    <w:rsid w:val="0039016F"/>
    <w:rsid w:val="003901ED"/>
    <w:rsid w:val="0039020B"/>
    <w:rsid w:val="0039025A"/>
    <w:rsid w:val="003903EE"/>
    <w:rsid w:val="003904AF"/>
    <w:rsid w:val="00390573"/>
    <w:rsid w:val="00390578"/>
    <w:rsid w:val="00390650"/>
    <w:rsid w:val="0039065C"/>
    <w:rsid w:val="00390660"/>
    <w:rsid w:val="00390746"/>
    <w:rsid w:val="00390772"/>
    <w:rsid w:val="0039079F"/>
    <w:rsid w:val="003907B8"/>
    <w:rsid w:val="00390856"/>
    <w:rsid w:val="00390989"/>
    <w:rsid w:val="00390A83"/>
    <w:rsid w:val="00390B46"/>
    <w:rsid w:val="00390C98"/>
    <w:rsid w:val="00390DFA"/>
    <w:rsid w:val="00390F12"/>
    <w:rsid w:val="0039105F"/>
    <w:rsid w:val="00391156"/>
    <w:rsid w:val="0039126F"/>
    <w:rsid w:val="00391270"/>
    <w:rsid w:val="0039128D"/>
    <w:rsid w:val="00391312"/>
    <w:rsid w:val="0039131E"/>
    <w:rsid w:val="00391390"/>
    <w:rsid w:val="003914D7"/>
    <w:rsid w:val="0039157E"/>
    <w:rsid w:val="00391726"/>
    <w:rsid w:val="00391776"/>
    <w:rsid w:val="003917CD"/>
    <w:rsid w:val="00391922"/>
    <w:rsid w:val="003919C5"/>
    <w:rsid w:val="003919DA"/>
    <w:rsid w:val="00391AB6"/>
    <w:rsid w:val="00391AD2"/>
    <w:rsid w:val="00391B3E"/>
    <w:rsid w:val="00391B3F"/>
    <w:rsid w:val="00391C43"/>
    <w:rsid w:val="00391CDC"/>
    <w:rsid w:val="00391D04"/>
    <w:rsid w:val="00391DE0"/>
    <w:rsid w:val="00391DFC"/>
    <w:rsid w:val="00391E90"/>
    <w:rsid w:val="003920BA"/>
    <w:rsid w:val="0039219F"/>
    <w:rsid w:val="003921B8"/>
    <w:rsid w:val="003921ED"/>
    <w:rsid w:val="00392200"/>
    <w:rsid w:val="0039220D"/>
    <w:rsid w:val="003922D5"/>
    <w:rsid w:val="003922FF"/>
    <w:rsid w:val="00392315"/>
    <w:rsid w:val="00392349"/>
    <w:rsid w:val="0039238C"/>
    <w:rsid w:val="00392415"/>
    <w:rsid w:val="00392531"/>
    <w:rsid w:val="00392585"/>
    <w:rsid w:val="0039258C"/>
    <w:rsid w:val="0039261E"/>
    <w:rsid w:val="0039268F"/>
    <w:rsid w:val="00392727"/>
    <w:rsid w:val="00392743"/>
    <w:rsid w:val="003927D8"/>
    <w:rsid w:val="0039287A"/>
    <w:rsid w:val="00392899"/>
    <w:rsid w:val="0039297F"/>
    <w:rsid w:val="0039298F"/>
    <w:rsid w:val="003929BD"/>
    <w:rsid w:val="00392A83"/>
    <w:rsid w:val="00392B78"/>
    <w:rsid w:val="00392C36"/>
    <w:rsid w:val="00392CA9"/>
    <w:rsid w:val="00392D81"/>
    <w:rsid w:val="00392E4E"/>
    <w:rsid w:val="00392E55"/>
    <w:rsid w:val="00392ED6"/>
    <w:rsid w:val="0039302C"/>
    <w:rsid w:val="00393054"/>
    <w:rsid w:val="00393099"/>
    <w:rsid w:val="003930CA"/>
    <w:rsid w:val="003931CC"/>
    <w:rsid w:val="00393343"/>
    <w:rsid w:val="00393385"/>
    <w:rsid w:val="003933B0"/>
    <w:rsid w:val="003933BA"/>
    <w:rsid w:val="003934C6"/>
    <w:rsid w:val="003934E0"/>
    <w:rsid w:val="003934E5"/>
    <w:rsid w:val="00393662"/>
    <w:rsid w:val="003936B3"/>
    <w:rsid w:val="003936E6"/>
    <w:rsid w:val="003937E3"/>
    <w:rsid w:val="00393806"/>
    <w:rsid w:val="00393932"/>
    <w:rsid w:val="00393A1B"/>
    <w:rsid w:val="00393A21"/>
    <w:rsid w:val="00393A34"/>
    <w:rsid w:val="00393AAC"/>
    <w:rsid w:val="00393BD8"/>
    <w:rsid w:val="00393C21"/>
    <w:rsid w:val="00393C96"/>
    <w:rsid w:val="00393CAA"/>
    <w:rsid w:val="00393CD9"/>
    <w:rsid w:val="00393D34"/>
    <w:rsid w:val="00393EF4"/>
    <w:rsid w:val="00393FE1"/>
    <w:rsid w:val="0039407D"/>
    <w:rsid w:val="0039409B"/>
    <w:rsid w:val="003940D4"/>
    <w:rsid w:val="00394168"/>
    <w:rsid w:val="0039425D"/>
    <w:rsid w:val="003942F4"/>
    <w:rsid w:val="00394346"/>
    <w:rsid w:val="00394476"/>
    <w:rsid w:val="003944A6"/>
    <w:rsid w:val="003944D6"/>
    <w:rsid w:val="003944DB"/>
    <w:rsid w:val="003945CB"/>
    <w:rsid w:val="00394653"/>
    <w:rsid w:val="00394658"/>
    <w:rsid w:val="0039484C"/>
    <w:rsid w:val="003948A0"/>
    <w:rsid w:val="003948A2"/>
    <w:rsid w:val="00394A6D"/>
    <w:rsid w:val="00394A90"/>
    <w:rsid w:val="00394AAD"/>
    <w:rsid w:val="00394AD6"/>
    <w:rsid w:val="00394AF0"/>
    <w:rsid w:val="00394B11"/>
    <w:rsid w:val="00394B20"/>
    <w:rsid w:val="00394B92"/>
    <w:rsid w:val="00394C6B"/>
    <w:rsid w:val="00394D8B"/>
    <w:rsid w:val="00394DA4"/>
    <w:rsid w:val="00394DAB"/>
    <w:rsid w:val="00394F44"/>
    <w:rsid w:val="00394F4E"/>
    <w:rsid w:val="00394FE5"/>
    <w:rsid w:val="0039505C"/>
    <w:rsid w:val="00395130"/>
    <w:rsid w:val="003951C6"/>
    <w:rsid w:val="0039523B"/>
    <w:rsid w:val="003954BA"/>
    <w:rsid w:val="0039559F"/>
    <w:rsid w:val="003956A1"/>
    <w:rsid w:val="003956A7"/>
    <w:rsid w:val="003956D6"/>
    <w:rsid w:val="00395778"/>
    <w:rsid w:val="00395813"/>
    <w:rsid w:val="00395836"/>
    <w:rsid w:val="00395850"/>
    <w:rsid w:val="003958A7"/>
    <w:rsid w:val="003958BB"/>
    <w:rsid w:val="003958FD"/>
    <w:rsid w:val="00395A2B"/>
    <w:rsid w:val="00395AA0"/>
    <w:rsid w:val="00395AC4"/>
    <w:rsid w:val="00395B06"/>
    <w:rsid w:val="00395B76"/>
    <w:rsid w:val="00395C1E"/>
    <w:rsid w:val="00395C80"/>
    <w:rsid w:val="00395CE6"/>
    <w:rsid w:val="00395D28"/>
    <w:rsid w:val="00395F45"/>
    <w:rsid w:val="00395FCD"/>
    <w:rsid w:val="00395FDF"/>
    <w:rsid w:val="003962A8"/>
    <w:rsid w:val="003962F2"/>
    <w:rsid w:val="0039637B"/>
    <w:rsid w:val="003963D0"/>
    <w:rsid w:val="00396578"/>
    <w:rsid w:val="003965D4"/>
    <w:rsid w:val="0039669D"/>
    <w:rsid w:val="003966C2"/>
    <w:rsid w:val="00396774"/>
    <w:rsid w:val="00396886"/>
    <w:rsid w:val="003968FD"/>
    <w:rsid w:val="00396B42"/>
    <w:rsid w:val="00396BD2"/>
    <w:rsid w:val="00396CB4"/>
    <w:rsid w:val="00396D8E"/>
    <w:rsid w:val="00396DAE"/>
    <w:rsid w:val="00396DF9"/>
    <w:rsid w:val="00396ED0"/>
    <w:rsid w:val="0039711F"/>
    <w:rsid w:val="00397271"/>
    <w:rsid w:val="003972E4"/>
    <w:rsid w:val="003972FA"/>
    <w:rsid w:val="0039745F"/>
    <w:rsid w:val="003974AC"/>
    <w:rsid w:val="003975A9"/>
    <w:rsid w:val="00397654"/>
    <w:rsid w:val="0039768F"/>
    <w:rsid w:val="003976DF"/>
    <w:rsid w:val="003976F7"/>
    <w:rsid w:val="00397720"/>
    <w:rsid w:val="0039774B"/>
    <w:rsid w:val="003977EB"/>
    <w:rsid w:val="00397918"/>
    <w:rsid w:val="00397987"/>
    <w:rsid w:val="003979BA"/>
    <w:rsid w:val="003979E9"/>
    <w:rsid w:val="00397A41"/>
    <w:rsid w:val="00397B3C"/>
    <w:rsid w:val="00397C29"/>
    <w:rsid w:val="00397C55"/>
    <w:rsid w:val="00397D94"/>
    <w:rsid w:val="00397DE0"/>
    <w:rsid w:val="00397E35"/>
    <w:rsid w:val="00397E3E"/>
    <w:rsid w:val="00397EEB"/>
    <w:rsid w:val="00397F18"/>
    <w:rsid w:val="00397F57"/>
    <w:rsid w:val="003A01B8"/>
    <w:rsid w:val="003A0283"/>
    <w:rsid w:val="003A043C"/>
    <w:rsid w:val="003A050D"/>
    <w:rsid w:val="003A0536"/>
    <w:rsid w:val="003A0539"/>
    <w:rsid w:val="003A0724"/>
    <w:rsid w:val="003A07AD"/>
    <w:rsid w:val="003A07B2"/>
    <w:rsid w:val="003A07BE"/>
    <w:rsid w:val="003A08AF"/>
    <w:rsid w:val="003A0963"/>
    <w:rsid w:val="003A09BC"/>
    <w:rsid w:val="003A0A45"/>
    <w:rsid w:val="003A0B36"/>
    <w:rsid w:val="003A0C23"/>
    <w:rsid w:val="003A0C2F"/>
    <w:rsid w:val="003A0E6A"/>
    <w:rsid w:val="003A0ED2"/>
    <w:rsid w:val="003A0ED7"/>
    <w:rsid w:val="003A0F5C"/>
    <w:rsid w:val="003A1244"/>
    <w:rsid w:val="003A1323"/>
    <w:rsid w:val="003A1331"/>
    <w:rsid w:val="003A13B2"/>
    <w:rsid w:val="003A13BC"/>
    <w:rsid w:val="003A13C6"/>
    <w:rsid w:val="003A13F0"/>
    <w:rsid w:val="003A14D6"/>
    <w:rsid w:val="003A150D"/>
    <w:rsid w:val="003A15D2"/>
    <w:rsid w:val="003A1670"/>
    <w:rsid w:val="003A16FF"/>
    <w:rsid w:val="003A1797"/>
    <w:rsid w:val="003A192D"/>
    <w:rsid w:val="003A19A2"/>
    <w:rsid w:val="003A19DF"/>
    <w:rsid w:val="003A1A10"/>
    <w:rsid w:val="003A1AB9"/>
    <w:rsid w:val="003A1B30"/>
    <w:rsid w:val="003A1B62"/>
    <w:rsid w:val="003A1B63"/>
    <w:rsid w:val="003A1BA3"/>
    <w:rsid w:val="003A1C7B"/>
    <w:rsid w:val="003A1CDD"/>
    <w:rsid w:val="003A1D3B"/>
    <w:rsid w:val="003A1E01"/>
    <w:rsid w:val="003A1E14"/>
    <w:rsid w:val="003A1E22"/>
    <w:rsid w:val="003A1EFB"/>
    <w:rsid w:val="003A1F46"/>
    <w:rsid w:val="003A1F6C"/>
    <w:rsid w:val="003A1F7F"/>
    <w:rsid w:val="003A1FE8"/>
    <w:rsid w:val="003A205E"/>
    <w:rsid w:val="003A216C"/>
    <w:rsid w:val="003A2221"/>
    <w:rsid w:val="003A2236"/>
    <w:rsid w:val="003A2367"/>
    <w:rsid w:val="003A23E8"/>
    <w:rsid w:val="003A2546"/>
    <w:rsid w:val="003A2675"/>
    <w:rsid w:val="003A281E"/>
    <w:rsid w:val="003A2867"/>
    <w:rsid w:val="003A2871"/>
    <w:rsid w:val="003A2877"/>
    <w:rsid w:val="003A2909"/>
    <w:rsid w:val="003A2991"/>
    <w:rsid w:val="003A29E6"/>
    <w:rsid w:val="003A2A11"/>
    <w:rsid w:val="003A2A21"/>
    <w:rsid w:val="003A2A61"/>
    <w:rsid w:val="003A2AF0"/>
    <w:rsid w:val="003A2B5D"/>
    <w:rsid w:val="003A2B7E"/>
    <w:rsid w:val="003A2C6F"/>
    <w:rsid w:val="003A2D91"/>
    <w:rsid w:val="003A2E74"/>
    <w:rsid w:val="003A306D"/>
    <w:rsid w:val="003A30A0"/>
    <w:rsid w:val="003A30B8"/>
    <w:rsid w:val="003A30CA"/>
    <w:rsid w:val="003A30F9"/>
    <w:rsid w:val="003A324D"/>
    <w:rsid w:val="003A32D8"/>
    <w:rsid w:val="003A3317"/>
    <w:rsid w:val="003A336D"/>
    <w:rsid w:val="003A3405"/>
    <w:rsid w:val="003A3422"/>
    <w:rsid w:val="003A34C4"/>
    <w:rsid w:val="003A34D5"/>
    <w:rsid w:val="003A34E9"/>
    <w:rsid w:val="003A357C"/>
    <w:rsid w:val="003A35AE"/>
    <w:rsid w:val="003A3649"/>
    <w:rsid w:val="003A36D6"/>
    <w:rsid w:val="003A3723"/>
    <w:rsid w:val="003A3736"/>
    <w:rsid w:val="003A37AC"/>
    <w:rsid w:val="003A3845"/>
    <w:rsid w:val="003A39C8"/>
    <w:rsid w:val="003A3A0A"/>
    <w:rsid w:val="003A3A0D"/>
    <w:rsid w:val="003A3B65"/>
    <w:rsid w:val="003A3C0F"/>
    <w:rsid w:val="003A3DB7"/>
    <w:rsid w:val="003A3DDD"/>
    <w:rsid w:val="003A3EE1"/>
    <w:rsid w:val="003A3F80"/>
    <w:rsid w:val="003A3FDB"/>
    <w:rsid w:val="003A400C"/>
    <w:rsid w:val="003A402A"/>
    <w:rsid w:val="003A40BA"/>
    <w:rsid w:val="003A40C8"/>
    <w:rsid w:val="003A4189"/>
    <w:rsid w:val="003A425F"/>
    <w:rsid w:val="003A4261"/>
    <w:rsid w:val="003A426C"/>
    <w:rsid w:val="003A4307"/>
    <w:rsid w:val="003A437E"/>
    <w:rsid w:val="003A4426"/>
    <w:rsid w:val="003A4493"/>
    <w:rsid w:val="003A44AC"/>
    <w:rsid w:val="003A4538"/>
    <w:rsid w:val="003A4560"/>
    <w:rsid w:val="003A45EF"/>
    <w:rsid w:val="003A4658"/>
    <w:rsid w:val="003A4675"/>
    <w:rsid w:val="003A46C3"/>
    <w:rsid w:val="003A4A02"/>
    <w:rsid w:val="003A4AFC"/>
    <w:rsid w:val="003A4B3C"/>
    <w:rsid w:val="003A4D0F"/>
    <w:rsid w:val="003A4D10"/>
    <w:rsid w:val="003A4D49"/>
    <w:rsid w:val="003A4FAE"/>
    <w:rsid w:val="003A4FB9"/>
    <w:rsid w:val="003A5136"/>
    <w:rsid w:val="003A5138"/>
    <w:rsid w:val="003A5178"/>
    <w:rsid w:val="003A51E0"/>
    <w:rsid w:val="003A51E7"/>
    <w:rsid w:val="003A51F1"/>
    <w:rsid w:val="003A5252"/>
    <w:rsid w:val="003A5257"/>
    <w:rsid w:val="003A52D0"/>
    <w:rsid w:val="003A5381"/>
    <w:rsid w:val="003A5438"/>
    <w:rsid w:val="003A5467"/>
    <w:rsid w:val="003A55A3"/>
    <w:rsid w:val="003A567B"/>
    <w:rsid w:val="003A56AD"/>
    <w:rsid w:val="003A56EC"/>
    <w:rsid w:val="003A57E2"/>
    <w:rsid w:val="003A57FE"/>
    <w:rsid w:val="003A580B"/>
    <w:rsid w:val="003A58E4"/>
    <w:rsid w:val="003A5924"/>
    <w:rsid w:val="003A598E"/>
    <w:rsid w:val="003A5A24"/>
    <w:rsid w:val="003A5CD0"/>
    <w:rsid w:val="003A5CFC"/>
    <w:rsid w:val="003A5E7B"/>
    <w:rsid w:val="003A5ECA"/>
    <w:rsid w:val="003A5F90"/>
    <w:rsid w:val="003A5FF9"/>
    <w:rsid w:val="003A6047"/>
    <w:rsid w:val="003A6201"/>
    <w:rsid w:val="003A630F"/>
    <w:rsid w:val="003A6349"/>
    <w:rsid w:val="003A634B"/>
    <w:rsid w:val="003A6352"/>
    <w:rsid w:val="003A6434"/>
    <w:rsid w:val="003A66FE"/>
    <w:rsid w:val="003A6887"/>
    <w:rsid w:val="003A6919"/>
    <w:rsid w:val="003A6AC3"/>
    <w:rsid w:val="003A6CA6"/>
    <w:rsid w:val="003A6D6C"/>
    <w:rsid w:val="003A6DA5"/>
    <w:rsid w:val="003A6DD4"/>
    <w:rsid w:val="003A6F25"/>
    <w:rsid w:val="003A6F5D"/>
    <w:rsid w:val="003A7036"/>
    <w:rsid w:val="003A70C4"/>
    <w:rsid w:val="003A7168"/>
    <w:rsid w:val="003A718D"/>
    <w:rsid w:val="003A738C"/>
    <w:rsid w:val="003A73B8"/>
    <w:rsid w:val="003A746D"/>
    <w:rsid w:val="003A764E"/>
    <w:rsid w:val="003A7671"/>
    <w:rsid w:val="003A76B0"/>
    <w:rsid w:val="003A76E5"/>
    <w:rsid w:val="003A76E9"/>
    <w:rsid w:val="003A76F8"/>
    <w:rsid w:val="003A78BA"/>
    <w:rsid w:val="003A792D"/>
    <w:rsid w:val="003A7A87"/>
    <w:rsid w:val="003A7BAF"/>
    <w:rsid w:val="003A7BC1"/>
    <w:rsid w:val="003A7C10"/>
    <w:rsid w:val="003A7C60"/>
    <w:rsid w:val="003A7CB2"/>
    <w:rsid w:val="003A7CDC"/>
    <w:rsid w:val="003A7D2B"/>
    <w:rsid w:val="003A7EF2"/>
    <w:rsid w:val="003A7F48"/>
    <w:rsid w:val="003A7F64"/>
    <w:rsid w:val="003A7FD3"/>
    <w:rsid w:val="003B0005"/>
    <w:rsid w:val="003B0035"/>
    <w:rsid w:val="003B007D"/>
    <w:rsid w:val="003B03A8"/>
    <w:rsid w:val="003B03B5"/>
    <w:rsid w:val="003B045C"/>
    <w:rsid w:val="003B0464"/>
    <w:rsid w:val="003B04E7"/>
    <w:rsid w:val="003B0500"/>
    <w:rsid w:val="003B0548"/>
    <w:rsid w:val="003B0575"/>
    <w:rsid w:val="003B059D"/>
    <w:rsid w:val="003B07D5"/>
    <w:rsid w:val="003B0895"/>
    <w:rsid w:val="003B0980"/>
    <w:rsid w:val="003B099D"/>
    <w:rsid w:val="003B09AB"/>
    <w:rsid w:val="003B0A21"/>
    <w:rsid w:val="003B0A23"/>
    <w:rsid w:val="003B0A32"/>
    <w:rsid w:val="003B0A3E"/>
    <w:rsid w:val="003B0A40"/>
    <w:rsid w:val="003B0ABD"/>
    <w:rsid w:val="003B0BDF"/>
    <w:rsid w:val="003B0C51"/>
    <w:rsid w:val="003B0D21"/>
    <w:rsid w:val="003B0D72"/>
    <w:rsid w:val="003B0D99"/>
    <w:rsid w:val="003B0ED9"/>
    <w:rsid w:val="003B0EF4"/>
    <w:rsid w:val="003B0EFC"/>
    <w:rsid w:val="003B0F0C"/>
    <w:rsid w:val="003B1049"/>
    <w:rsid w:val="003B117B"/>
    <w:rsid w:val="003B11EC"/>
    <w:rsid w:val="003B120C"/>
    <w:rsid w:val="003B13C6"/>
    <w:rsid w:val="003B153D"/>
    <w:rsid w:val="003B1710"/>
    <w:rsid w:val="003B1731"/>
    <w:rsid w:val="003B1874"/>
    <w:rsid w:val="003B1A7C"/>
    <w:rsid w:val="003B1B15"/>
    <w:rsid w:val="003B1CAD"/>
    <w:rsid w:val="003B1D69"/>
    <w:rsid w:val="003B1DCB"/>
    <w:rsid w:val="003B1EBB"/>
    <w:rsid w:val="003B1F14"/>
    <w:rsid w:val="003B1F35"/>
    <w:rsid w:val="003B1F9A"/>
    <w:rsid w:val="003B204C"/>
    <w:rsid w:val="003B20B0"/>
    <w:rsid w:val="003B22BE"/>
    <w:rsid w:val="003B22ED"/>
    <w:rsid w:val="003B2388"/>
    <w:rsid w:val="003B2398"/>
    <w:rsid w:val="003B2422"/>
    <w:rsid w:val="003B2442"/>
    <w:rsid w:val="003B24C8"/>
    <w:rsid w:val="003B26F2"/>
    <w:rsid w:val="003B2732"/>
    <w:rsid w:val="003B275C"/>
    <w:rsid w:val="003B2787"/>
    <w:rsid w:val="003B285A"/>
    <w:rsid w:val="003B29E2"/>
    <w:rsid w:val="003B2A1D"/>
    <w:rsid w:val="003B2D4E"/>
    <w:rsid w:val="003B2DBC"/>
    <w:rsid w:val="003B2DC5"/>
    <w:rsid w:val="003B2DE8"/>
    <w:rsid w:val="003B2F12"/>
    <w:rsid w:val="003B3079"/>
    <w:rsid w:val="003B32EC"/>
    <w:rsid w:val="003B33E6"/>
    <w:rsid w:val="003B33FF"/>
    <w:rsid w:val="003B3468"/>
    <w:rsid w:val="003B347E"/>
    <w:rsid w:val="003B34F6"/>
    <w:rsid w:val="003B350D"/>
    <w:rsid w:val="003B3601"/>
    <w:rsid w:val="003B36C1"/>
    <w:rsid w:val="003B36E8"/>
    <w:rsid w:val="003B376E"/>
    <w:rsid w:val="003B383F"/>
    <w:rsid w:val="003B387E"/>
    <w:rsid w:val="003B391A"/>
    <w:rsid w:val="003B392B"/>
    <w:rsid w:val="003B392C"/>
    <w:rsid w:val="003B3988"/>
    <w:rsid w:val="003B3A21"/>
    <w:rsid w:val="003B3AB4"/>
    <w:rsid w:val="003B3AB5"/>
    <w:rsid w:val="003B3B12"/>
    <w:rsid w:val="003B3B8A"/>
    <w:rsid w:val="003B3D50"/>
    <w:rsid w:val="003B3E58"/>
    <w:rsid w:val="003B3FD9"/>
    <w:rsid w:val="003B408C"/>
    <w:rsid w:val="003B4091"/>
    <w:rsid w:val="003B40A0"/>
    <w:rsid w:val="003B425A"/>
    <w:rsid w:val="003B4288"/>
    <w:rsid w:val="003B42D1"/>
    <w:rsid w:val="003B43F4"/>
    <w:rsid w:val="003B44FB"/>
    <w:rsid w:val="003B4520"/>
    <w:rsid w:val="003B4522"/>
    <w:rsid w:val="003B45E4"/>
    <w:rsid w:val="003B4784"/>
    <w:rsid w:val="003B47B8"/>
    <w:rsid w:val="003B4839"/>
    <w:rsid w:val="003B486A"/>
    <w:rsid w:val="003B4964"/>
    <w:rsid w:val="003B496B"/>
    <w:rsid w:val="003B49FD"/>
    <w:rsid w:val="003B4A85"/>
    <w:rsid w:val="003B4A8B"/>
    <w:rsid w:val="003B4AC5"/>
    <w:rsid w:val="003B4AEE"/>
    <w:rsid w:val="003B4B44"/>
    <w:rsid w:val="003B4B93"/>
    <w:rsid w:val="003B4BB3"/>
    <w:rsid w:val="003B4C17"/>
    <w:rsid w:val="003B4D1F"/>
    <w:rsid w:val="003B4DB9"/>
    <w:rsid w:val="003B4E2B"/>
    <w:rsid w:val="003B4F2C"/>
    <w:rsid w:val="003B51E0"/>
    <w:rsid w:val="003B51EF"/>
    <w:rsid w:val="003B52F1"/>
    <w:rsid w:val="003B5330"/>
    <w:rsid w:val="003B5349"/>
    <w:rsid w:val="003B53A6"/>
    <w:rsid w:val="003B53AB"/>
    <w:rsid w:val="003B54D8"/>
    <w:rsid w:val="003B550B"/>
    <w:rsid w:val="003B5529"/>
    <w:rsid w:val="003B55EE"/>
    <w:rsid w:val="003B5695"/>
    <w:rsid w:val="003B571B"/>
    <w:rsid w:val="003B578A"/>
    <w:rsid w:val="003B589C"/>
    <w:rsid w:val="003B58E6"/>
    <w:rsid w:val="003B596C"/>
    <w:rsid w:val="003B5A79"/>
    <w:rsid w:val="003B5A81"/>
    <w:rsid w:val="003B5B53"/>
    <w:rsid w:val="003B5B89"/>
    <w:rsid w:val="003B5BA3"/>
    <w:rsid w:val="003B5BCB"/>
    <w:rsid w:val="003B5E2E"/>
    <w:rsid w:val="003B5E49"/>
    <w:rsid w:val="003B5ED0"/>
    <w:rsid w:val="003B60CD"/>
    <w:rsid w:val="003B61FF"/>
    <w:rsid w:val="003B621B"/>
    <w:rsid w:val="003B6341"/>
    <w:rsid w:val="003B63D9"/>
    <w:rsid w:val="003B6577"/>
    <w:rsid w:val="003B659F"/>
    <w:rsid w:val="003B65E8"/>
    <w:rsid w:val="003B65EB"/>
    <w:rsid w:val="003B66EC"/>
    <w:rsid w:val="003B686A"/>
    <w:rsid w:val="003B6A36"/>
    <w:rsid w:val="003B6AD4"/>
    <w:rsid w:val="003B6B79"/>
    <w:rsid w:val="003B6C00"/>
    <w:rsid w:val="003B6D06"/>
    <w:rsid w:val="003B6D75"/>
    <w:rsid w:val="003B6E11"/>
    <w:rsid w:val="003B6EA5"/>
    <w:rsid w:val="003B6FA1"/>
    <w:rsid w:val="003B6FE7"/>
    <w:rsid w:val="003B716B"/>
    <w:rsid w:val="003B726F"/>
    <w:rsid w:val="003B72F9"/>
    <w:rsid w:val="003B738B"/>
    <w:rsid w:val="003B73BA"/>
    <w:rsid w:val="003B7460"/>
    <w:rsid w:val="003B7520"/>
    <w:rsid w:val="003B7563"/>
    <w:rsid w:val="003B7679"/>
    <w:rsid w:val="003B773B"/>
    <w:rsid w:val="003B7760"/>
    <w:rsid w:val="003B77E5"/>
    <w:rsid w:val="003B7814"/>
    <w:rsid w:val="003B7879"/>
    <w:rsid w:val="003B789E"/>
    <w:rsid w:val="003B797D"/>
    <w:rsid w:val="003B7981"/>
    <w:rsid w:val="003B79FA"/>
    <w:rsid w:val="003B7AF8"/>
    <w:rsid w:val="003B7B18"/>
    <w:rsid w:val="003B7C9A"/>
    <w:rsid w:val="003B7D04"/>
    <w:rsid w:val="003B7D14"/>
    <w:rsid w:val="003B7D4A"/>
    <w:rsid w:val="003B7E0C"/>
    <w:rsid w:val="003B7ED5"/>
    <w:rsid w:val="003B7F77"/>
    <w:rsid w:val="003C0196"/>
    <w:rsid w:val="003C0206"/>
    <w:rsid w:val="003C0273"/>
    <w:rsid w:val="003C0325"/>
    <w:rsid w:val="003C0356"/>
    <w:rsid w:val="003C03CA"/>
    <w:rsid w:val="003C041E"/>
    <w:rsid w:val="003C0472"/>
    <w:rsid w:val="003C0485"/>
    <w:rsid w:val="003C04A4"/>
    <w:rsid w:val="003C0658"/>
    <w:rsid w:val="003C06B7"/>
    <w:rsid w:val="003C073B"/>
    <w:rsid w:val="003C077F"/>
    <w:rsid w:val="003C07AC"/>
    <w:rsid w:val="003C09BA"/>
    <w:rsid w:val="003C09E2"/>
    <w:rsid w:val="003C0A64"/>
    <w:rsid w:val="003C0C12"/>
    <w:rsid w:val="003C0C16"/>
    <w:rsid w:val="003C0C48"/>
    <w:rsid w:val="003C0CD2"/>
    <w:rsid w:val="003C0DEF"/>
    <w:rsid w:val="003C0E4D"/>
    <w:rsid w:val="003C0E91"/>
    <w:rsid w:val="003C0F25"/>
    <w:rsid w:val="003C0F5C"/>
    <w:rsid w:val="003C1228"/>
    <w:rsid w:val="003C127A"/>
    <w:rsid w:val="003C132B"/>
    <w:rsid w:val="003C1339"/>
    <w:rsid w:val="003C1377"/>
    <w:rsid w:val="003C139E"/>
    <w:rsid w:val="003C148D"/>
    <w:rsid w:val="003C14C3"/>
    <w:rsid w:val="003C156B"/>
    <w:rsid w:val="003C1603"/>
    <w:rsid w:val="003C173B"/>
    <w:rsid w:val="003C17AD"/>
    <w:rsid w:val="003C17C2"/>
    <w:rsid w:val="003C17FE"/>
    <w:rsid w:val="003C1826"/>
    <w:rsid w:val="003C186B"/>
    <w:rsid w:val="003C18A4"/>
    <w:rsid w:val="003C19A2"/>
    <w:rsid w:val="003C1A33"/>
    <w:rsid w:val="003C1A34"/>
    <w:rsid w:val="003C1AA1"/>
    <w:rsid w:val="003C1AF7"/>
    <w:rsid w:val="003C1AFD"/>
    <w:rsid w:val="003C1CED"/>
    <w:rsid w:val="003C1D4C"/>
    <w:rsid w:val="003C1E82"/>
    <w:rsid w:val="003C1E8B"/>
    <w:rsid w:val="003C1ECC"/>
    <w:rsid w:val="003C1EEF"/>
    <w:rsid w:val="003C203C"/>
    <w:rsid w:val="003C204C"/>
    <w:rsid w:val="003C2209"/>
    <w:rsid w:val="003C239A"/>
    <w:rsid w:val="003C2464"/>
    <w:rsid w:val="003C247D"/>
    <w:rsid w:val="003C24C3"/>
    <w:rsid w:val="003C25B7"/>
    <w:rsid w:val="003C26BC"/>
    <w:rsid w:val="003C270A"/>
    <w:rsid w:val="003C271B"/>
    <w:rsid w:val="003C2908"/>
    <w:rsid w:val="003C292E"/>
    <w:rsid w:val="003C29F8"/>
    <w:rsid w:val="003C29FD"/>
    <w:rsid w:val="003C2AED"/>
    <w:rsid w:val="003C2BA2"/>
    <w:rsid w:val="003C2C5A"/>
    <w:rsid w:val="003C2C70"/>
    <w:rsid w:val="003C2DBA"/>
    <w:rsid w:val="003C2FCB"/>
    <w:rsid w:val="003C309C"/>
    <w:rsid w:val="003C30C1"/>
    <w:rsid w:val="003C3104"/>
    <w:rsid w:val="003C317E"/>
    <w:rsid w:val="003C31A7"/>
    <w:rsid w:val="003C31D2"/>
    <w:rsid w:val="003C31FE"/>
    <w:rsid w:val="003C33B2"/>
    <w:rsid w:val="003C341B"/>
    <w:rsid w:val="003C349C"/>
    <w:rsid w:val="003C34CF"/>
    <w:rsid w:val="003C3562"/>
    <w:rsid w:val="003C365D"/>
    <w:rsid w:val="003C36BB"/>
    <w:rsid w:val="003C374B"/>
    <w:rsid w:val="003C386B"/>
    <w:rsid w:val="003C38C9"/>
    <w:rsid w:val="003C39CB"/>
    <w:rsid w:val="003C39F0"/>
    <w:rsid w:val="003C3AC4"/>
    <w:rsid w:val="003C3ADC"/>
    <w:rsid w:val="003C3B16"/>
    <w:rsid w:val="003C3B42"/>
    <w:rsid w:val="003C3B7B"/>
    <w:rsid w:val="003C3BBC"/>
    <w:rsid w:val="003C3C23"/>
    <w:rsid w:val="003C3DA3"/>
    <w:rsid w:val="003C3DF8"/>
    <w:rsid w:val="003C3ECC"/>
    <w:rsid w:val="003C3F71"/>
    <w:rsid w:val="003C409D"/>
    <w:rsid w:val="003C40AB"/>
    <w:rsid w:val="003C40D8"/>
    <w:rsid w:val="003C40F3"/>
    <w:rsid w:val="003C410F"/>
    <w:rsid w:val="003C4171"/>
    <w:rsid w:val="003C4181"/>
    <w:rsid w:val="003C41A0"/>
    <w:rsid w:val="003C41AA"/>
    <w:rsid w:val="003C41F1"/>
    <w:rsid w:val="003C4220"/>
    <w:rsid w:val="003C4302"/>
    <w:rsid w:val="003C43D7"/>
    <w:rsid w:val="003C43DC"/>
    <w:rsid w:val="003C43E4"/>
    <w:rsid w:val="003C44AB"/>
    <w:rsid w:val="003C460F"/>
    <w:rsid w:val="003C4697"/>
    <w:rsid w:val="003C469D"/>
    <w:rsid w:val="003C479A"/>
    <w:rsid w:val="003C47F4"/>
    <w:rsid w:val="003C48CB"/>
    <w:rsid w:val="003C493F"/>
    <w:rsid w:val="003C495F"/>
    <w:rsid w:val="003C4B7D"/>
    <w:rsid w:val="003C4BAD"/>
    <w:rsid w:val="003C4E6F"/>
    <w:rsid w:val="003C501E"/>
    <w:rsid w:val="003C5043"/>
    <w:rsid w:val="003C507F"/>
    <w:rsid w:val="003C50DE"/>
    <w:rsid w:val="003C5175"/>
    <w:rsid w:val="003C5187"/>
    <w:rsid w:val="003C51DE"/>
    <w:rsid w:val="003C5225"/>
    <w:rsid w:val="003C5231"/>
    <w:rsid w:val="003C5238"/>
    <w:rsid w:val="003C52E4"/>
    <w:rsid w:val="003C5300"/>
    <w:rsid w:val="003C5327"/>
    <w:rsid w:val="003C533F"/>
    <w:rsid w:val="003C5423"/>
    <w:rsid w:val="003C543E"/>
    <w:rsid w:val="003C5522"/>
    <w:rsid w:val="003C5596"/>
    <w:rsid w:val="003C55AA"/>
    <w:rsid w:val="003C55BC"/>
    <w:rsid w:val="003C5620"/>
    <w:rsid w:val="003C56FA"/>
    <w:rsid w:val="003C5727"/>
    <w:rsid w:val="003C5801"/>
    <w:rsid w:val="003C5805"/>
    <w:rsid w:val="003C588C"/>
    <w:rsid w:val="003C5923"/>
    <w:rsid w:val="003C5B47"/>
    <w:rsid w:val="003C5BA7"/>
    <w:rsid w:val="003C5C4F"/>
    <w:rsid w:val="003C5D09"/>
    <w:rsid w:val="003C5D89"/>
    <w:rsid w:val="003C5EDC"/>
    <w:rsid w:val="003C6069"/>
    <w:rsid w:val="003C6095"/>
    <w:rsid w:val="003C60D6"/>
    <w:rsid w:val="003C60E1"/>
    <w:rsid w:val="003C619F"/>
    <w:rsid w:val="003C61A7"/>
    <w:rsid w:val="003C61D0"/>
    <w:rsid w:val="003C621A"/>
    <w:rsid w:val="003C625B"/>
    <w:rsid w:val="003C626C"/>
    <w:rsid w:val="003C63DE"/>
    <w:rsid w:val="003C6452"/>
    <w:rsid w:val="003C646C"/>
    <w:rsid w:val="003C64AA"/>
    <w:rsid w:val="003C65E1"/>
    <w:rsid w:val="003C6706"/>
    <w:rsid w:val="003C6724"/>
    <w:rsid w:val="003C6784"/>
    <w:rsid w:val="003C68D6"/>
    <w:rsid w:val="003C69E9"/>
    <w:rsid w:val="003C6ABE"/>
    <w:rsid w:val="003C6B13"/>
    <w:rsid w:val="003C6BA1"/>
    <w:rsid w:val="003C6BDE"/>
    <w:rsid w:val="003C6D9C"/>
    <w:rsid w:val="003C6DB2"/>
    <w:rsid w:val="003C7026"/>
    <w:rsid w:val="003C71CD"/>
    <w:rsid w:val="003C73C3"/>
    <w:rsid w:val="003C7403"/>
    <w:rsid w:val="003C7427"/>
    <w:rsid w:val="003C74A0"/>
    <w:rsid w:val="003C755C"/>
    <w:rsid w:val="003C75B0"/>
    <w:rsid w:val="003C76B2"/>
    <w:rsid w:val="003C76E8"/>
    <w:rsid w:val="003C7761"/>
    <w:rsid w:val="003C7771"/>
    <w:rsid w:val="003C77B1"/>
    <w:rsid w:val="003C77CE"/>
    <w:rsid w:val="003C77D7"/>
    <w:rsid w:val="003C77E2"/>
    <w:rsid w:val="003C780E"/>
    <w:rsid w:val="003C78D7"/>
    <w:rsid w:val="003C793B"/>
    <w:rsid w:val="003C795B"/>
    <w:rsid w:val="003C7965"/>
    <w:rsid w:val="003C7AE0"/>
    <w:rsid w:val="003C7B0D"/>
    <w:rsid w:val="003C7B74"/>
    <w:rsid w:val="003C7C02"/>
    <w:rsid w:val="003C7CA0"/>
    <w:rsid w:val="003C7CB5"/>
    <w:rsid w:val="003C7DCC"/>
    <w:rsid w:val="003C7E08"/>
    <w:rsid w:val="003C7E5F"/>
    <w:rsid w:val="003C7E85"/>
    <w:rsid w:val="003C7EC5"/>
    <w:rsid w:val="003C7EFD"/>
    <w:rsid w:val="003C7F09"/>
    <w:rsid w:val="003C7F13"/>
    <w:rsid w:val="003C7F2E"/>
    <w:rsid w:val="003C7F9F"/>
    <w:rsid w:val="003C7FD4"/>
    <w:rsid w:val="003D000F"/>
    <w:rsid w:val="003D00D7"/>
    <w:rsid w:val="003D0143"/>
    <w:rsid w:val="003D03C1"/>
    <w:rsid w:val="003D0529"/>
    <w:rsid w:val="003D058D"/>
    <w:rsid w:val="003D05E7"/>
    <w:rsid w:val="003D060E"/>
    <w:rsid w:val="003D065C"/>
    <w:rsid w:val="003D0714"/>
    <w:rsid w:val="003D07B4"/>
    <w:rsid w:val="003D096B"/>
    <w:rsid w:val="003D09A1"/>
    <w:rsid w:val="003D0A00"/>
    <w:rsid w:val="003D0A52"/>
    <w:rsid w:val="003D0B8D"/>
    <w:rsid w:val="003D0B93"/>
    <w:rsid w:val="003D0BFF"/>
    <w:rsid w:val="003D0C7F"/>
    <w:rsid w:val="003D0C99"/>
    <w:rsid w:val="003D0CD2"/>
    <w:rsid w:val="003D0CD7"/>
    <w:rsid w:val="003D0CE4"/>
    <w:rsid w:val="003D0D91"/>
    <w:rsid w:val="003D0DEC"/>
    <w:rsid w:val="003D0DF2"/>
    <w:rsid w:val="003D0E7D"/>
    <w:rsid w:val="003D0E94"/>
    <w:rsid w:val="003D0F1A"/>
    <w:rsid w:val="003D0F2E"/>
    <w:rsid w:val="003D0F76"/>
    <w:rsid w:val="003D100E"/>
    <w:rsid w:val="003D106E"/>
    <w:rsid w:val="003D10EC"/>
    <w:rsid w:val="003D10F4"/>
    <w:rsid w:val="003D11ED"/>
    <w:rsid w:val="003D1299"/>
    <w:rsid w:val="003D14D0"/>
    <w:rsid w:val="003D15EF"/>
    <w:rsid w:val="003D1692"/>
    <w:rsid w:val="003D16AA"/>
    <w:rsid w:val="003D1758"/>
    <w:rsid w:val="003D179C"/>
    <w:rsid w:val="003D19D6"/>
    <w:rsid w:val="003D1A3C"/>
    <w:rsid w:val="003D1B16"/>
    <w:rsid w:val="003D1B29"/>
    <w:rsid w:val="003D1B3F"/>
    <w:rsid w:val="003D1B77"/>
    <w:rsid w:val="003D1BD9"/>
    <w:rsid w:val="003D1C34"/>
    <w:rsid w:val="003D1C35"/>
    <w:rsid w:val="003D1CCB"/>
    <w:rsid w:val="003D1E5A"/>
    <w:rsid w:val="003D1EBE"/>
    <w:rsid w:val="003D1FC2"/>
    <w:rsid w:val="003D1FC5"/>
    <w:rsid w:val="003D202F"/>
    <w:rsid w:val="003D2072"/>
    <w:rsid w:val="003D2169"/>
    <w:rsid w:val="003D235C"/>
    <w:rsid w:val="003D23C6"/>
    <w:rsid w:val="003D23CD"/>
    <w:rsid w:val="003D24C0"/>
    <w:rsid w:val="003D272E"/>
    <w:rsid w:val="003D273F"/>
    <w:rsid w:val="003D290D"/>
    <w:rsid w:val="003D2912"/>
    <w:rsid w:val="003D2A30"/>
    <w:rsid w:val="003D2ACF"/>
    <w:rsid w:val="003D2B27"/>
    <w:rsid w:val="003D2B31"/>
    <w:rsid w:val="003D2B5D"/>
    <w:rsid w:val="003D2B96"/>
    <w:rsid w:val="003D2D40"/>
    <w:rsid w:val="003D2E27"/>
    <w:rsid w:val="003D2E51"/>
    <w:rsid w:val="003D2E73"/>
    <w:rsid w:val="003D2E9D"/>
    <w:rsid w:val="003D2F1C"/>
    <w:rsid w:val="003D3198"/>
    <w:rsid w:val="003D31EF"/>
    <w:rsid w:val="003D3201"/>
    <w:rsid w:val="003D3223"/>
    <w:rsid w:val="003D327D"/>
    <w:rsid w:val="003D335F"/>
    <w:rsid w:val="003D3413"/>
    <w:rsid w:val="003D34D6"/>
    <w:rsid w:val="003D351B"/>
    <w:rsid w:val="003D35AB"/>
    <w:rsid w:val="003D3609"/>
    <w:rsid w:val="003D3610"/>
    <w:rsid w:val="003D36CC"/>
    <w:rsid w:val="003D3715"/>
    <w:rsid w:val="003D37A1"/>
    <w:rsid w:val="003D395A"/>
    <w:rsid w:val="003D3A6B"/>
    <w:rsid w:val="003D3B1E"/>
    <w:rsid w:val="003D3C24"/>
    <w:rsid w:val="003D3CD8"/>
    <w:rsid w:val="003D3D19"/>
    <w:rsid w:val="003D3DEA"/>
    <w:rsid w:val="003D3E2B"/>
    <w:rsid w:val="003D3F78"/>
    <w:rsid w:val="003D406B"/>
    <w:rsid w:val="003D4117"/>
    <w:rsid w:val="003D4124"/>
    <w:rsid w:val="003D4181"/>
    <w:rsid w:val="003D418B"/>
    <w:rsid w:val="003D42A3"/>
    <w:rsid w:val="003D4347"/>
    <w:rsid w:val="003D43DA"/>
    <w:rsid w:val="003D4409"/>
    <w:rsid w:val="003D444B"/>
    <w:rsid w:val="003D445E"/>
    <w:rsid w:val="003D4506"/>
    <w:rsid w:val="003D454E"/>
    <w:rsid w:val="003D4610"/>
    <w:rsid w:val="003D4635"/>
    <w:rsid w:val="003D4658"/>
    <w:rsid w:val="003D4685"/>
    <w:rsid w:val="003D4697"/>
    <w:rsid w:val="003D46C2"/>
    <w:rsid w:val="003D46EB"/>
    <w:rsid w:val="003D4919"/>
    <w:rsid w:val="003D4923"/>
    <w:rsid w:val="003D4925"/>
    <w:rsid w:val="003D4972"/>
    <w:rsid w:val="003D4976"/>
    <w:rsid w:val="003D4A4A"/>
    <w:rsid w:val="003D4AA8"/>
    <w:rsid w:val="003D4AFF"/>
    <w:rsid w:val="003D4B1D"/>
    <w:rsid w:val="003D4B4F"/>
    <w:rsid w:val="003D4BE5"/>
    <w:rsid w:val="003D4C04"/>
    <w:rsid w:val="003D4CB7"/>
    <w:rsid w:val="003D4D30"/>
    <w:rsid w:val="003D4D94"/>
    <w:rsid w:val="003D4E8D"/>
    <w:rsid w:val="003D4FAB"/>
    <w:rsid w:val="003D50D2"/>
    <w:rsid w:val="003D50F0"/>
    <w:rsid w:val="003D514F"/>
    <w:rsid w:val="003D51D0"/>
    <w:rsid w:val="003D5228"/>
    <w:rsid w:val="003D5239"/>
    <w:rsid w:val="003D523C"/>
    <w:rsid w:val="003D5272"/>
    <w:rsid w:val="003D5406"/>
    <w:rsid w:val="003D543B"/>
    <w:rsid w:val="003D545C"/>
    <w:rsid w:val="003D5470"/>
    <w:rsid w:val="003D549C"/>
    <w:rsid w:val="003D5720"/>
    <w:rsid w:val="003D5777"/>
    <w:rsid w:val="003D586E"/>
    <w:rsid w:val="003D589E"/>
    <w:rsid w:val="003D58E7"/>
    <w:rsid w:val="003D59D2"/>
    <w:rsid w:val="003D59F5"/>
    <w:rsid w:val="003D5B18"/>
    <w:rsid w:val="003D5B62"/>
    <w:rsid w:val="003D5BA7"/>
    <w:rsid w:val="003D5BEA"/>
    <w:rsid w:val="003D5CB6"/>
    <w:rsid w:val="003D5E51"/>
    <w:rsid w:val="003D5FB6"/>
    <w:rsid w:val="003D602E"/>
    <w:rsid w:val="003D6138"/>
    <w:rsid w:val="003D6166"/>
    <w:rsid w:val="003D638C"/>
    <w:rsid w:val="003D638F"/>
    <w:rsid w:val="003D63A6"/>
    <w:rsid w:val="003D63DC"/>
    <w:rsid w:val="003D6456"/>
    <w:rsid w:val="003D64DE"/>
    <w:rsid w:val="003D64F0"/>
    <w:rsid w:val="003D65CC"/>
    <w:rsid w:val="003D66D1"/>
    <w:rsid w:val="003D673B"/>
    <w:rsid w:val="003D6829"/>
    <w:rsid w:val="003D6897"/>
    <w:rsid w:val="003D68F3"/>
    <w:rsid w:val="003D6966"/>
    <w:rsid w:val="003D6A24"/>
    <w:rsid w:val="003D6A78"/>
    <w:rsid w:val="003D6C1F"/>
    <w:rsid w:val="003D6C20"/>
    <w:rsid w:val="003D6C31"/>
    <w:rsid w:val="003D6C68"/>
    <w:rsid w:val="003D6EE6"/>
    <w:rsid w:val="003D6F8D"/>
    <w:rsid w:val="003D6FCB"/>
    <w:rsid w:val="003D711A"/>
    <w:rsid w:val="003D71C6"/>
    <w:rsid w:val="003D72D2"/>
    <w:rsid w:val="003D7473"/>
    <w:rsid w:val="003D74C6"/>
    <w:rsid w:val="003D7502"/>
    <w:rsid w:val="003D766C"/>
    <w:rsid w:val="003D766F"/>
    <w:rsid w:val="003D7699"/>
    <w:rsid w:val="003D7701"/>
    <w:rsid w:val="003D7741"/>
    <w:rsid w:val="003D7820"/>
    <w:rsid w:val="003D7938"/>
    <w:rsid w:val="003D7A32"/>
    <w:rsid w:val="003D7AA2"/>
    <w:rsid w:val="003D7CC5"/>
    <w:rsid w:val="003D7CD0"/>
    <w:rsid w:val="003D7D2B"/>
    <w:rsid w:val="003D7E8A"/>
    <w:rsid w:val="003E007E"/>
    <w:rsid w:val="003E008A"/>
    <w:rsid w:val="003E00EC"/>
    <w:rsid w:val="003E0175"/>
    <w:rsid w:val="003E01E1"/>
    <w:rsid w:val="003E02F2"/>
    <w:rsid w:val="003E032F"/>
    <w:rsid w:val="003E034F"/>
    <w:rsid w:val="003E035D"/>
    <w:rsid w:val="003E03F2"/>
    <w:rsid w:val="003E0548"/>
    <w:rsid w:val="003E06BD"/>
    <w:rsid w:val="003E06BE"/>
    <w:rsid w:val="003E0705"/>
    <w:rsid w:val="003E0A27"/>
    <w:rsid w:val="003E0A36"/>
    <w:rsid w:val="003E0AF9"/>
    <w:rsid w:val="003E0BB6"/>
    <w:rsid w:val="003E0BD7"/>
    <w:rsid w:val="003E0E3B"/>
    <w:rsid w:val="003E0E4E"/>
    <w:rsid w:val="003E0F6B"/>
    <w:rsid w:val="003E0F78"/>
    <w:rsid w:val="003E1009"/>
    <w:rsid w:val="003E10D1"/>
    <w:rsid w:val="003E1165"/>
    <w:rsid w:val="003E1178"/>
    <w:rsid w:val="003E118A"/>
    <w:rsid w:val="003E12D6"/>
    <w:rsid w:val="003E12F1"/>
    <w:rsid w:val="003E1486"/>
    <w:rsid w:val="003E14CA"/>
    <w:rsid w:val="003E14DA"/>
    <w:rsid w:val="003E1553"/>
    <w:rsid w:val="003E1594"/>
    <w:rsid w:val="003E1596"/>
    <w:rsid w:val="003E15E8"/>
    <w:rsid w:val="003E1682"/>
    <w:rsid w:val="003E16E8"/>
    <w:rsid w:val="003E1734"/>
    <w:rsid w:val="003E1756"/>
    <w:rsid w:val="003E17B2"/>
    <w:rsid w:val="003E17C7"/>
    <w:rsid w:val="003E1807"/>
    <w:rsid w:val="003E182C"/>
    <w:rsid w:val="003E1973"/>
    <w:rsid w:val="003E1A2D"/>
    <w:rsid w:val="003E1A91"/>
    <w:rsid w:val="003E1B0B"/>
    <w:rsid w:val="003E1C34"/>
    <w:rsid w:val="003E1CAD"/>
    <w:rsid w:val="003E1DFA"/>
    <w:rsid w:val="003E1E61"/>
    <w:rsid w:val="003E1F24"/>
    <w:rsid w:val="003E1F6C"/>
    <w:rsid w:val="003E1F7C"/>
    <w:rsid w:val="003E2026"/>
    <w:rsid w:val="003E2044"/>
    <w:rsid w:val="003E208B"/>
    <w:rsid w:val="003E20BF"/>
    <w:rsid w:val="003E2182"/>
    <w:rsid w:val="003E221C"/>
    <w:rsid w:val="003E224D"/>
    <w:rsid w:val="003E235A"/>
    <w:rsid w:val="003E238A"/>
    <w:rsid w:val="003E23FB"/>
    <w:rsid w:val="003E2402"/>
    <w:rsid w:val="003E242D"/>
    <w:rsid w:val="003E246C"/>
    <w:rsid w:val="003E2526"/>
    <w:rsid w:val="003E26F1"/>
    <w:rsid w:val="003E2701"/>
    <w:rsid w:val="003E2713"/>
    <w:rsid w:val="003E29A3"/>
    <w:rsid w:val="003E29D3"/>
    <w:rsid w:val="003E2A66"/>
    <w:rsid w:val="003E2A70"/>
    <w:rsid w:val="003E2ACB"/>
    <w:rsid w:val="003E2AD5"/>
    <w:rsid w:val="003E2AFD"/>
    <w:rsid w:val="003E2BE0"/>
    <w:rsid w:val="003E2C61"/>
    <w:rsid w:val="003E2CC2"/>
    <w:rsid w:val="003E2D05"/>
    <w:rsid w:val="003E2D22"/>
    <w:rsid w:val="003E2D9F"/>
    <w:rsid w:val="003E2DE5"/>
    <w:rsid w:val="003E2F02"/>
    <w:rsid w:val="003E2F7D"/>
    <w:rsid w:val="003E3026"/>
    <w:rsid w:val="003E3044"/>
    <w:rsid w:val="003E3047"/>
    <w:rsid w:val="003E3054"/>
    <w:rsid w:val="003E3196"/>
    <w:rsid w:val="003E32CF"/>
    <w:rsid w:val="003E3413"/>
    <w:rsid w:val="003E35B8"/>
    <w:rsid w:val="003E35DC"/>
    <w:rsid w:val="003E37DC"/>
    <w:rsid w:val="003E37ED"/>
    <w:rsid w:val="003E38DE"/>
    <w:rsid w:val="003E3970"/>
    <w:rsid w:val="003E3984"/>
    <w:rsid w:val="003E3A22"/>
    <w:rsid w:val="003E3B71"/>
    <w:rsid w:val="003E3C78"/>
    <w:rsid w:val="003E3CB9"/>
    <w:rsid w:val="003E3DC4"/>
    <w:rsid w:val="003E3DCA"/>
    <w:rsid w:val="003E3E97"/>
    <w:rsid w:val="003E3F8B"/>
    <w:rsid w:val="003E407C"/>
    <w:rsid w:val="003E40F1"/>
    <w:rsid w:val="003E40FE"/>
    <w:rsid w:val="003E423E"/>
    <w:rsid w:val="003E428E"/>
    <w:rsid w:val="003E42E7"/>
    <w:rsid w:val="003E4377"/>
    <w:rsid w:val="003E452C"/>
    <w:rsid w:val="003E4589"/>
    <w:rsid w:val="003E45D2"/>
    <w:rsid w:val="003E4610"/>
    <w:rsid w:val="003E4829"/>
    <w:rsid w:val="003E4844"/>
    <w:rsid w:val="003E4A41"/>
    <w:rsid w:val="003E4ABF"/>
    <w:rsid w:val="003E4B00"/>
    <w:rsid w:val="003E4B14"/>
    <w:rsid w:val="003E4B2E"/>
    <w:rsid w:val="003E4D1A"/>
    <w:rsid w:val="003E4E01"/>
    <w:rsid w:val="003E4E3B"/>
    <w:rsid w:val="003E4E56"/>
    <w:rsid w:val="003E4EBE"/>
    <w:rsid w:val="003E4F2C"/>
    <w:rsid w:val="003E4F63"/>
    <w:rsid w:val="003E507A"/>
    <w:rsid w:val="003E50A3"/>
    <w:rsid w:val="003E513B"/>
    <w:rsid w:val="003E51BD"/>
    <w:rsid w:val="003E51FA"/>
    <w:rsid w:val="003E528E"/>
    <w:rsid w:val="003E5292"/>
    <w:rsid w:val="003E5366"/>
    <w:rsid w:val="003E5403"/>
    <w:rsid w:val="003E5422"/>
    <w:rsid w:val="003E55A5"/>
    <w:rsid w:val="003E5674"/>
    <w:rsid w:val="003E568E"/>
    <w:rsid w:val="003E56E4"/>
    <w:rsid w:val="003E56EE"/>
    <w:rsid w:val="003E5742"/>
    <w:rsid w:val="003E574D"/>
    <w:rsid w:val="003E5797"/>
    <w:rsid w:val="003E5819"/>
    <w:rsid w:val="003E584F"/>
    <w:rsid w:val="003E58FA"/>
    <w:rsid w:val="003E5900"/>
    <w:rsid w:val="003E5919"/>
    <w:rsid w:val="003E5978"/>
    <w:rsid w:val="003E59B2"/>
    <w:rsid w:val="003E5A00"/>
    <w:rsid w:val="003E5A0B"/>
    <w:rsid w:val="003E5A3F"/>
    <w:rsid w:val="003E5B24"/>
    <w:rsid w:val="003E5C3E"/>
    <w:rsid w:val="003E5D05"/>
    <w:rsid w:val="003E5D7A"/>
    <w:rsid w:val="003E5E96"/>
    <w:rsid w:val="003E5FB6"/>
    <w:rsid w:val="003E6027"/>
    <w:rsid w:val="003E60F8"/>
    <w:rsid w:val="003E6182"/>
    <w:rsid w:val="003E628D"/>
    <w:rsid w:val="003E6297"/>
    <w:rsid w:val="003E64F5"/>
    <w:rsid w:val="003E6602"/>
    <w:rsid w:val="003E664E"/>
    <w:rsid w:val="003E66C1"/>
    <w:rsid w:val="003E673B"/>
    <w:rsid w:val="003E678C"/>
    <w:rsid w:val="003E687B"/>
    <w:rsid w:val="003E6979"/>
    <w:rsid w:val="003E6988"/>
    <w:rsid w:val="003E6A0E"/>
    <w:rsid w:val="003E6A7C"/>
    <w:rsid w:val="003E6B02"/>
    <w:rsid w:val="003E6B1C"/>
    <w:rsid w:val="003E6F4B"/>
    <w:rsid w:val="003E6FC3"/>
    <w:rsid w:val="003E70AF"/>
    <w:rsid w:val="003E70B0"/>
    <w:rsid w:val="003E7191"/>
    <w:rsid w:val="003E71F7"/>
    <w:rsid w:val="003E72A9"/>
    <w:rsid w:val="003E735F"/>
    <w:rsid w:val="003E742F"/>
    <w:rsid w:val="003E7621"/>
    <w:rsid w:val="003E76A8"/>
    <w:rsid w:val="003E770F"/>
    <w:rsid w:val="003E7717"/>
    <w:rsid w:val="003E77CB"/>
    <w:rsid w:val="003E7871"/>
    <w:rsid w:val="003E7898"/>
    <w:rsid w:val="003E799F"/>
    <w:rsid w:val="003E7A65"/>
    <w:rsid w:val="003E7AF6"/>
    <w:rsid w:val="003E7BE2"/>
    <w:rsid w:val="003E7C0F"/>
    <w:rsid w:val="003E7C20"/>
    <w:rsid w:val="003E7C6B"/>
    <w:rsid w:val="003E7DBA"/>
    <w:rsid w:val="003E7E16"/>
    <w:rsid w:val="003E7E49"/>
    <w:rsid w:val="003E7E79"/>
    <w:rsid w:val="003E7F3E"/>
    <w:rsid w:val="003E7F86"/>
    <w:rsid w:val="003F001C"/>
    <w:rsid w:val="003F0308"/>
    <w:rsid w:val="003F03B6"/>
    <w:rsid w:val="003F0438"/>
    <w:rsid w:val="003F04B9"/>
    <w:rsid w:val="003F0556"/>
    <w:rsid w:val="003F0557"/>
    <w:rsid w:val="003F05E1"/>
    <w:rsid w:val="003F0611"/>
    <w:rsid w:val="003F0647"/>
    <w:rsid w:val="003F06AA"/>
    <w:rsid w:val="003F080B"/>
    <w:rsid w:val="003F0906"/>
    <w:rsid w:val="003F09F5"/>
    <w:rsid w:val="003F0A25"/>
    <w:rsid w:val="003F0A48"/>
    <w:rsid w:val="003F0AF5"/>
    <w:rsid w:val="003F0BF7"/>
    <w:rsid w:val="003F0C72"/>
    <w:rsid w:val="003F0D38"/>
    <w:rsid w:val="003F0DAD"/>
    <w:rsid w:val="003F0E25"/>
    <w:rsid w:val="003F0F6B"/>
    <w:rsid w:val="003F0F88"/>
    <w:rsid w:val="003F0FF7"/>
    <w:rsid w:val="003F10E6"/>
    <w:rsid w:val="003F11D3"/>
    <w:rsid w:val="003F11F2"/>
    <w:rsid w:val="003F13AF"/>
    <w:rsid w:val="003F13E4"/>
    <w:rsid w:val="003F1544"/>
    <w:rsid w:val="003F1563"/>
    <w:rsid w:val="003F1738"/>
    <w:rsid w:val="003F1848"/>
    <w:rsid w:val="003F18A7"/>
    <w:rsid w:val="003F19A6"/>
    <w:rsid w:val="003F19C9"/>
    <w:rsid w:val="003F1A12"/>
    <w:rsid w:val="003F1B03"/>
    <w:rsid w:val="003F1B4A"/>
    <w:rsid w:val="003F1B8F"/>
    <w:rsid w:val="003F1C48"/>
    <w:rsid w:val="003F1D34"/>
    <w:rsid w:val="003F1F31"/>
    <w:rsid w:val="003F1F4C"/>
    <w:rsid w:val="003F1F5F"/>
    <w:rsid w:val="003F1F8A"/>
    <w:rsid w:val="003F21D9"/>
    <w:rsid w:val="003F2269"/>
    <w:rsid w:val="003F22A6"/>
    <w:rsid w:val="003F22B0"/>
    <w:rsid w:val="003F2305"/>
    <w:rsid w:val="003F2336"/>
    <w:rsid w:val="003F2376"/>
    <w:rsid w:val="003F23D9"/>
    <w:rsid w:val="003F2470"/>
    <w:rsid w:val="003F24DA"/>
    <w:rsid w:val="003F26B1"/>
    <w:rsid w:val="003F271F"/>
    <w:rsid w:val="003F2752"/>
    <w:rsid w:val="003F27DC"/>
    <w:rsid w:val="003F2803"/>
    <w:rsid w:val="003F2943"/>
    <w:rsid w:val="003F29F5"/>
    <w:rsid w:val="003F2AF4"/>
    <w:rsid w:val="003F2B91"/>
    <w:rsid w:val="003F2BC7"/>
    <w:rsid w:val="003F2C0F"/>
    <w:rsid w:val="003F2C15"/>
    <w:rsid w:val="003F2CF4"/>
    <w:rsid w:val="003F2D79"/>
    <w:rsid w:val="003F2E6F"/>
    <w:rsid w:val="003F2EAE"/>
    <w:rsid w:val="003F2EB3"/>
    <w:rsid w:val="003F2F02"/>
    <w:rsid w:val="003F3132"/>
    <w:rsid w:val="003F3156"/>
    <w:rsid w:val="003F31B3"/>
    <w:rsid w:val="003F3200"/>
    <w:rsid w:val="003F333C"/>
    <w:rsid w:val="003F346E"/>
    <w:rsid w:val="003F3518"/>
    <w:rsid w:val="003F35E5"/>
    <w:rsid w:val="003F3645"/>
    <w:rsid w:val="003F369C"/>
    <w:rsid w:val="003F36F4"/>
    <w:rsid w:val="003F37A1"/>
    <w:rsid w:val="003F388E"/>
    <w:rsid w:val="003F3964"/>
    <w:rsid w:val="003F3B43"/>
    <w:rsid w:val="003F3C67"/>
    <w:rsid w:val="003F3DD2"/>
    <w:rsid w:val="003F3DD6"/>
    <w:rsid w:val="003F3DDA"/>
    <w:rsid w:val="003F3DE6"/>
    <w:rsid w:val="003F3E8F"/>
    <w:rsid w:val="003F3F57"/>
    <w:rsid w:val="003F3F58"/>
    <w:rsid w:val="003F40AE"/>
    <w:rsid w:val="003F40CB"/>
    <w:rsid w:val="003F4112"/>
    <w:rsid w:val="003F416D"/>
    <w:rsid w:val="003F41F7"/>
    <w:rsid w:val="003F41FC"/>
    <w:rsid w:val="003F426C"/>
    <w:rsid w:val="003F42C9"/>
    <w:rsid w:val="003F44D9"/>
    <w:rsid w:val="003F4789"/>
    <w:rsid w:val="003F4800"/>
    <w:rsid w:val="003F486D"/>
    <w:rsid w:val="003F4955"/>
    <w:rsid w:val="003F495E"/>
    <w:rsid w:val="003F49F3"/>
    <w:rsid w:val="003F4ABC"/>
    <w:rsid w:val="003F4ACC"/>
    <w:rsid w:val="003F4B09"/>
    <w:rsid w:val="003F4B28"/>
    <w:rsid w:val="003F4B31"/>
    <w:rsid w:val="003F4C09"/>
    <w:rsid w:val="003F4CD1"/>
    <w:rsid w:val="003F4D0F"/>
    <w:rsid w:val="003F4DA3"/>
    <w:rsid w:val="003F4E2E"/>
    <w:rsid w:val="003F4ED4"/>
    <w:rsid w:val="003F4FA5"/>
    <w:rsid w:val="003F4FF6"/>
    <w:rsid w:val="003F5039"/>
    <w:rsid w:val="003F50EA"/>
    <w:rsid w:val="003F5150"/>
    <w:rsid w:val="003F5290"/>
    <w:rsid w:val="003F52BD"/>
    <w:rsid w:val="003F530B"/>
    <w:rsid w:val="003F5354"/>
    <w:rsid w:val="003F53D6"/>
    <w:rsid w:val="003F540D"/>
    <w:rsid w:val="003F5570"/>
    <w:rsid w:val="003F5632"/>
    <w:rsid w:val="003F5685"/>
    <w:rsid w:val="003F56FD"/>
    <w:rsid w:val="003F5712"/>
    <w:rsid w:val="003F5798"/>
    <w:rsid w:val="003F579E"/>
    <w:rsid w:val="003F57DD"/>
    <w:rsid w:val="003F5800"/>
    <w:rsid w:val="003F5824"/>
    <w:rsid w:val="003F592D"/>
    <w:rsid w:val="003F59AE"/>
    <w:rsid w:val="003F5A2D"/>
    <w:rsid w:val="003F5A88"/>
    <w:rsid w:val="003F5ADF"/>
    <w:rsid w:val="003F5B3A"/>
    <w:rsid w:val="003F5B49"/>
    <w:rsid w:val="003F5B59"/>
    <w:rsid w:val="003F5B78"/>
    <w:rsid w:val="003F5BC4"/>
    <w:rsid w:val="003F5BC9"/>
    <w:rsid w:val="003F5D99"/>
    <w:rsid w:val="003F5E64"/>
    <w:rsid w:val="003F5E86"/>
    <w:rsid w:val="003F5F43"/>
    <w:rsid w:val="003F5F80"/>
    <w:rsid w:val="003F5FBA"/>
    <w:rsid w:val="003F6007"/>
    <w:rsid w:val="003F604E"/>
    <w:rsid w:val="003F60ED"/>
    <w:rsid w:val="003F6255"/>
    <w:rsid w:val="003F62C9"/>
    <w:rsid w:val="003F6407"/>
    <w:rsid w:val="003F64AF"/>
    <w:rsid w:val="003F64F6"/>
    <w:rsid w:val="003F6520"/>
    <w:rsid w:val="003F65A3"/>
    <w:rsid w:val="003F6791"/>
    <w:rsid w:val="003F69BE"/>
    <w:rsid w:val="003F6A3D"/>
    <w:rsid w:val="003F6B1B"/>
    <w:rsid w:val="003F6C9E"/>
    <w:rsid w:val="003F6FC1"/>
    <w:rsid w:val="003F6FC5"/>
    <w:rsid w:val="003F70EF"/>
    <w:rsid w:val="003F736D"/>
    <w:rsid w:val="003F737D"/>
    <w:rsid w:val="003F7480"/>
    <w:rsid w:val="003F7596"/>
    <w:rsid w:val="003F761C"/>
    <w:rsid w:val="003F76C0"/>
    <w:rsid w:val="003F77E7"/>
    <w:rsid w:val="003F7917"/>
    <w:rsid w:val="003F7944"/>
    <w:rsid w:val="003F79E0"/>
    <w:rsid w:val="003F7CF7"/>
    <w:rsid w:val="003F7D94"/>
    <w:rsid w:val="003F7D9B"/>
    <w:rsid w:val="003F7EC1"/>
    <w:rsid w:val="003F7EE7"/>
    <w:rsid w:val="003F7FDA"/>
    <w:rsid w:val="0040018D"/>
    <w:rsid w:val="004001C2"/>
    <w:rsid w:val="00400272"/>
    <w:rsid w:val="004003F0"/>
    <w:rsid w:val="00400412"/>
    <w:rsid w:val="00400441"/>
    <w:rsid w:val="00400446"/>
    <w:rsid w:val="0040051D"/>
    <w:rsid w:val="00400536"/>
    <w:rsid w:val="00400552"/>
    <w:rsid w:val="004005AA"/>
    <w:rsid w:val="004005D3"/>
    <w:rsid w:val="0040061A"/>
    <w:rsid w:val="00400622"/>
    <w:rsid w:val="00400631"/>
    <w:rsid w:val="00400670"/>
    <w:rsid w:val="004006A3"/>
    <w:rsid w:val="004006B3"/>
    <w:rsid w:val="0040074D"/>
    <w:rsid w:val="00400770"/>
    <w:rsid w:val="004007FD"/>
    <w:rsid w:val="00400849"/>
    <w:rsid w:val="00400A05"/>
    <w:rsid w:val="00400A20"/>
    <w:rsid w:val="00400A84"/>
    <w:rsid w:val="00400ACA"/>
    <w:rsid w:val="00400BC4"/>
    <w:rsid w:val="00400BD0"/>
    <w:rsid w:val="00400BEF"/>
    <w:rsid w:val="00400CA9"/>
    <w:rsid w:val="00400FE5"/>
    <w:rsid w:val="00401182"/>
    <w:rsid w:val="00401184"/>
    <w:rsid w:val="00401259"/>
    <w:rsid w:val="004014B5"/>
    <w:rsid w:val="004016E3"/>
    <w:rsid w:val="0040176C"/>
    <w:rsid w:val="004017B1"/>
    <w:rsid w:val="004017B8"/>
    <w:rsid w:val="004017F4"/>
    <w:rsid w:val="00401802"/>
    <w:rsid w:val="004019F9"/>
    <w:rsid w:val="00401B12"/>
    <w:rsid w:val="00401C89"/>
    <w:rsid w:val="00401DDD"/>
    <w:rsid w:val="00401E36"/>
    <w:rsid w:val="00401ECE"/>
    <w:rsid w:val="00401F2F"/>
    <w:rsid w:val="00401F5D"/>
    <w:rsid w:val="004020DD"/>
    <w:rsid w:val="004020F4"/>
    <w:rsid w:val="00402122"/>
    <w:rsid w:val="00402179"/>
    <w:rsid w:val="004022B0"/>
    <w:rsid w:val="004022C4"/>
    <w:rsid w:val="0040246F"/>
    <w:rsid w:val="0040249E"/>
    <w:rsid w:val="00402511"/>
    <w:rsid w:val="004025D6"/>
    <w:rsid w:val="004026C6"/>
    <w:rsid w:val="00402782"/>
    <w:rsid w:val="0040290A"/>
    <w:rsid w:val="004029D9"/>
    <w:rsid w:val="00402C5E"/>
    <w:rsid w:val="00402C7F"/>
    <w:rsid w:val="00402D0C"/>
    <w:rsid w:val="00402D4D"/>
    <w:rsid w:val="00402D69"/>
    <w:rsid w:val="00402DB0"/>
    <w:rsid w:val="00402DC7"/>
    <w:rsid w:val="00402E0C"/>
    <w:rsid w:val="00402E21"/>
    <w:rsid w:val="00402E51"/>
    <w:rsid w:val="00402EA7"/>
    <w:rsid w:val="00402ECD"/>
    <w:rsid w:val="00402F08"/>
    <w:rsid w:val="00402F42"/>
    <w:rsid w:val="00402F49"/>
    <w:rsid w:val="00402F4F"/>
    <w:rsid w:val="00403045"/>
    <w:rsid w:val="00403091"/>
    <w:rsid w:val="0040309F"/>
    <w:rsid w:val="004030A1"/>
    <w:rsid w:val="004031D2"/>
    <w:rsid w:val="00403230"/>
    <w:rsid w:val="004033E1"/>
    <w:rsid w:val="0040341B"/>
    <w:rsid w:val="004036AE"/>
    <w:rsid w:val="00403761"/>
    <w:rsid w:val="00403952"/>
    <w:rsid w:val="00403ADF"/>
    <w:rsid w:val="00403AF9"/>
    <w:rsid w:val="00403B7A"/>
    <w:rsid w:val="00403B89"/>
    <w:rsid w:val="00403CD5"/>
    <w:rsid w:val="00403CF2"/>
    <w:rsid w:val="00403F16"/>
    <w:rsid w:val="00403F2E"/>
    <w:rsid w:val="00403FB7"/>
    <w:rsid w:val="0040414B"/>
    <w:rsid w:val="00404179"/>
    <w:rsid w:val="00404183"/>
    <w:rsid w:val="00404185"/>
    <w:rsid w:val="004041DD"/>
    <w:rsid w:val="0040429D"/>
    <w:rsid w:val="004042A0"/>
    <w:rsid w:val="004042BF"/>
    <w:rsid w:val="00404323"/>
    <w:rsid w:val="0040441F"/>
    <w:rsid w:val="00404439"/>
    <w:rsid w:val="00404456"/>
    <w:rsid w:val="004044D1"/>
    <w:rsid w:val="00404549"/>
    <w:rsid w:val="00404558"/>
    <w:rsid w:val="00404630"/>
    <w:rsid w:val="00404634"/>
    <w:rsid w:val="00404657"/>
    <w:rsid w:val="00404687"/>
    <w:rsid w:val="004046F0"/>
    <w:rsid w:val="00404856"/>
    <w:rsid w:val="0040496F"/>
    <w:rsid w:val="0040497A"/>
    <w:rsid w:val="00404990"/>
    <w:rsid w:val="004049A7"/>
    <w:rsid w:val="004049AA"/>
    <w:rsid w:val="004049D2"/>
    <w:rsid w:val="00404A02"/>
    <w:rsid w:val="00404A66"/>
    <w:rsid w:val="00404A8D"/>
    <w:rsid w:val="00404A95"/>
    <w:rsid w:val="00404ABB"/>
    <w:rsid w:val="00404B68"/>
    <w:rsid w:val="00404BC0"/>
    <w:rsid w:val="00404C21"/>
    <w:rsid w:val="00404C7D"/>
    <w:rsid w:val="00404CF1"/>
    <w:rsid w:val="00404D2F"/>
    <w:rsid w:val="00404D96"/>
    <w:rsid w:val="00404E28"/>
    <w:rsid w:val="00404F37"/>
    <w:rsid w:val="00405042"/>
    <w:rsid w:val="004050DD"/>
    <w:rsid w:val="004050EF"/>
    <w:rsid w:val="00405151"/>
    <w:rsid w:val="00405201"/>
    <w:rsid w:val="00405270"/>
    <w:rsid w:val="00405294"/>
    <w:rsid w:val="00405301"/>
    <w:rsid w:val="00405313"/>
    <w:rsid w:val="0040538E"/>
    <w:rsid w:val="004053E4"/>
    <w:rsid w:val="00405445"/>
    <w:rsid w:val="00405479"/>
    <w:rsid w:val="004054B4"/>
    <w:rsid w:val="004057E5"/>
    <w:rsid w:val="00405861"/>
    <w:rsid w:val="004059BC"/>
    <w:rsid w:val="00405A43"/>
    <w:rsid w:val="00405A88"/>
    <w:rsid w:val="00405C22"/>
    <w:rsid w:val="00405CDB"/>
    <w:rsid w:val="00405D5F"/>
    <w:rsid w:val="00405DD9"/>
    <w:rsid w:val="00405F34"/>
    <w:rsid w:val="0040605A"/>
    <w:rsid w:val="00406065"/>
    <w:rsid w:val="00406090"/>
    <w:rsid w:val="004060DC"/>
    <w:rsid w:val="004061B3"/>
    <w:rsid w:val="0040621D"/>
    <w:rsid w:val="00406370"/>
    <w:rsid w:val="00406375"/>
    <w:rsid w:val="004063A0"/>
    <w:rsid w:val="004063DD"/>
    <w:rsid w:val="00406487"/>
    <w:rsid w:val="0040652F"/>
    <w:rsid w:val="00406699"/>
    <w:rsid w:val="004066C4"/>
    <w:rsid w:val="0040671B"/>
    <w:rsid w:val="0040673D"/>
    <w:rsid w:val="0040692F"/>
    <w:rsid w:val="00406997"/>
    <w:rsid w:val="00406A07"/>
    <w:rsid w:val="00406A14"/>
    <w:rsid w:val="00406B45"/>
    <w:rsid w:val="00406B4F"/>
    <w:rsid w:val="00406B88"/>
    <w:rsid w:val="00406BDC"/>
    <w:rsid w:val="00406C09"/>
    <w:rsid w:val="00406E80"/>
    <w:rsid w:val="0040707B"/>
    <w:rsid w:val="0040717F"/>
    <w:rsid w:val="00407207"/>
    <w:rsid w:val="00407228"/>
    <w:rsid w:val="0040734D"/>
    <w:rsid w:val="00407374"/>
    <w:rsid w:val="00407384"/>
    <w:rsid w:val="004073E9"/>
    <w:rsid w:val="004074EC"/>
    <w:rsid w:val="0040762F"/>
    <w:rsid w:val="004076D7"/>
    <w:rsid w:val="004077CE"/>
    <w:rsid w:val="0040793B"/>
    <w:rsid w:val="004079D9"/>
    <w:rsid w:val="004079DD"/>
    <w:rsid w:val="00407A0A"/>
    <w:rsid w:val="00407A2F"/>
    <w:rsid w:val="00407A53"/>
    <w:rsid w:val="00407BB9"/>
    <w:rsid w:val="00407CA3"/>
    <w:rsid w:val="00407CCD"/>
    <w:rsid w:val="00407D1B"/>
    <w:rsid w:val="00407D32"/>
    <w:rsid w:val="00407D57"/>
    <w:rsid w:val="00407DB6"/>
    <w:rsid w:val="00407DC0"/>
    <w:rsid w:val="00407EE8"/>
    <w:rsid w:val="00407F51"/>
    <w:rsid w:val="00407F8B"/>
    <w:rsid w:val="00407FC2"/>
    <w:rsid w:val="00410049"/>
    <w:rsid w:val="004100BA"/>
    <w:rsid w:val="004100D3"/>
    <w:rsid w:val="004100E9"/>
    <w:rsid w:val="00410145"/>
    <w:rsid w:val="00410194"/>
    <w:rsid w:val="0041034E"/>
    <w:rsid w:val="004103D5"/>
    <w:rsid w:val="004103DB"/>
    <w:rsid w:val="0041055C"/>
    <w:rsid w:val="0041059E"/>
    <w:rsid w:val="004106AF"/>
    <w:rsid w:val="004107D2"/>
    <w:rsid w:val="0041087C"/>
    <w:rsid w:val="0041089A"/>
    <w:rsid w:val="004108DE"/>
    <w:rsid w:val="00410930"/>
    <w:rsid w:val="00410932"/>
    <w:rsid w:val="00410A26"/>
    <w:rsid w:val="00410A3B"/>
    <w:rsid w:val="00410A53"/>
    <w:rsid w:val="00410B9C"/>
    <w:rsid w:val="00410BB2"/>
    <w:rsid w:val="00410BD4"/>
    <w:rsid w:val="00410BF3"/>
    <w:rsid w:val="00410E93"/>
    <w:rsid w:val="00410EFF"/>
    <w:rsid w:val="00410F3A"/>
    <w:rsid w:val="00410FA9"/>
    <w:rsid w:val="0041106F"/>
    <w:rsid w:val="004110E6"/>
    <w:rsid w:val="004110FB"/>
    <w:rsid w:val="0041115F"/>
    <w:rsid w:val="004112F0"/>
    <w:rsid w:val="00411335"/>
    <w:rsid w:val="00411369"/>
    <w:rsid w:val="0041150E"/>
    <w:rsid w:val="00411679"/>
    <w:rsid w:val="0041169D"/>
    <w:rsid w:val="004116A0"/>
    <w:rsid w:val="0041171F"/>
    <w:rsid w:val="0041172B"/>
    <w:rsid w:val="00411743"/>
    <w:rsid w:val="0041185A"/>
    <w:rsid w:val="00411895"/>
    <w:rsid w:val="00411905"/>
    <w:rsid w:val="00411A7B"/>
    <w:rsid w:val="00411A9B"/>
    <w:rsid w:val="00411D2A"/>
    <w:rsid w:val="00411D2F"/>
    <w:rsid w:val="00411D6D"/>
    <w:rsid w:val="00411D95"/>
    <w:rsid w:val="00411E01"/>
    <w:rsid w:val="00411E2F"/>
    <w:rsid w:val="00411E96"/>
    <w:rsid w:val="00411F7A"/>
    <w:rsid w:val="00412149"/>
    <w:rsid w:val="00412219"/>
    <w:rsid w:val="0041230A"/>
    <w:rsid w:val="00412321"/>
    <w:rsid w:val="0041251D"/>
    <w:rsid w:val="00412537"/>
    <w:rsid w:val="0041262A"/>
    <w:rsid w:val="00412785"/>
    <w:rsid w:val="00412794"/>
    <w:rsid w:val="004127D0"/>
    <w:rsid w:val="00412819"/>
    <w:rsid w:val="00412826"/>
    <w:rsid w:val="004128A3"/>
    <w:rsid w:val="00412934"/>
    <w:rsid w:val="00412945"/>
    <w:rsid w:val="004129A4"/>
    <w:rsid w:val="004129E1"/>
    <w:rsid w:val="00412A6B"/>
    <w:rsid w:val="00412C42"/>
    <w:rsid w:val="00412D27"/>
    <w:rsid w:val="00412D33"/>
    <w:rsid w:val="00412DAC"/>
    <w:rsid w:val="00412DB1"/>
    <w:rsid w:val="00412EE5"/>
    <w:rsid w:val="00412F28"/>
    <w:rsid w:val="00412F5E"/>
    <w:rsid w:val="0041303C"/>
    <w:rsid w:val="00413155"/>
    <w:rsid w:val="004132A0"/>
    <w:rsid w:val="004132C0"/>
    <w:rsid w:val="00413315"/>
    <w:rsid w:val="0041344E"/>
    <w:rsid w:val="00413491"/>
    <w:rsid w:val="004134E1"/>
    <w:rsid w:val="004134E7"/>
    <w:rsid w:val="00413706"/>
    <w:rsid w:val="00413723"/>
    <w:rsid w:val="0041380C"/>
    <w:rsid w:val="0041386C"/>
    <w:rsid w:val="00413884"/>
    <w:rsid w:val="0041388F"/>
    <w:rsid w:val="00413BDF"/>
    <w:rsid w:val="00413BF1"/>
    <w:rsid w:val="00413C34"/>
    <w:rsid w:val="00413C9A"/>
    <w:rsid w:val="00413D4B"/>
    <w:rsid w:val="00413DAB"/>
    <w:rsid w:val="00413E16"/>
    <w:rsid w:val="00413E23"/>
    <w:rsid w:val="00413E57"/>
    <w:rsid w:val="00413E76"/>
    <w:rsid w:val="00413F46"/>
    <w:rsid w:val="00414125"/>
    <w:rsid w:val="004141AF"/>
    <w:rsid w:val="0041433A"/>
    <w:rsid w:val="0041434E"/>
    <w:rsid w:val="004143CD"/>
    <w:rsid w:val="004144A2"/>
    <w:rsid w:val="004144C0"/>
    <w:rsid w:val="00414503"/>
    <w:rsid w:val="0041452D"/>
    <w:rsid w:val="004145E4"/>
    <w:rsid w:val="00414607"/>
    <w:rsid w:val="0041463B"/>
    <w:rsid w:val="0041464E"/>
    <w:rsid w:val="00414685"/>
    <w:rsid w:val="004146C2"/>
    <w:rsid w:val="004146DB"/>
    <w:rsid w:val="00414850"/>
    <w:rsid w:val="00414865"/>
    <w:rsid w:val="00414A61"/>
    <w:rsid w:val="00414B03"/>
    <w:rsid w:val="00414B12"/>
    <w:rsid w:val="00414B86"/>
    <w:rsid w:val="00414C12"/>
    <w:rsid w:val="00414D6F"/>
    <w:rsid w:val="00414DAA"/>
    <w:rsid w:val="00414DE8"/>
    <w:rsid w:val="00414E2F"/>
    <w:rsid w:val="00414F55"/>
    <w:rsid w:val="00414F8F"/>
    <w:rsid w:val="0041503F"/>
    <w:rsid w:val="00415073"/>
    <w:rsid w:val="004150DF"/>
    <w:rsid w:val="00415188"/>
    <w:rsid w:val="004151E8"/>
    <w:rsid w:val="004151F1"/>
    <w:rsid w:val="00415224"/>
    <w:rsid w:val="0041522F"/>
    <w:rsid w:val="00415341"/>
    <w:rsid w:val="00415640"/>
    <w:rsid w:val="0041571B"/>
    <w:rsid w:val="00415721"/>
    <w:rsid w:val="0041573E"/>
    <w:rsid w:val="00415794"/>
    <w:rsid w:val="00415855"/>
    <w:rsid w:val="00415915"/>
    <w:rsid w:val="00415948"/>
    <w:rsid w:val="004159EA"/>
    <w:rsid w:val="00415A5A"/>
    <w:rsid w:val="00415B92"/>
    <w:rsid w:val="00415C1F"/>
    <w:rsid w:val="00415CF0"/>
    <w:rsid w:val="00415D3C"/>
    <w:rsid w:val="00415DCA"/>
    <w:rsid w:val="00415DF7"/>
    <w:rsid w:val="00415E16"/>
    <w:rsid w:val="00415F0E"/>
    <w:rsid w:val="00415F7F"/>
    <w:rsid w:val="00415FD0"/>
    <w:rsid w:val="00415FF1"/>
    <w:rsid w:val="0041606A"/>
    <w:rsid w:val="004160F1"/>
    <w:rsid w:val="0041613C"/>
    <w:rsid w:val="0041616A"/>
    <w:rsid w:val="004161A4"/>
    <w:rsid w:val="00416240"/>
    <w:rsid w:val="0041624E"/>
    <w:rsid w:val="004162B1"/>
    <w:rsid w:val="004162B5"/>
    <w:rsid w:val="0041645E"/>
    <w:rsid w:val="00416485"/>
    <w:rsid w:val="00416536"/>
    <w:rsid w:val="00416542"/>
    <w:rsid w:val="00416639"/>
    <w:rsid w:val="00416755"/>
    <w:rsid w:val="004169A5"/>
    <w:rsid w:val="004169E2"/>
    <w:rsid w:val="00416A7A"/>
    <w:rsid w:val="00416A8D"/>
    <w:rsid w:val="00416B83"/>
    <w:rsid w:val="00416BD5"/>
    <w:rsid w:val="00416BF0"/>
    <w:rsid w:val="00416C78"/>
    <w:rsid w:val="00416DAD"/>
    <w:rsid w:val="00416DDE"/>
    <w:rsid w:val="00416E45"/>
    <w:rsid w:val="00416E55"/>
    <w:rsid w:val="00416ECC"/>
    <w:rsid w:val="00416EF9"/>
    <w:rsid w:val="00416FFA"/>
    <w:rsid w:val="00417199"/>
    <w:rsid w:val="0041720C"/>
    <w:rsid w:val="00417339"/>
    <w:rsid w:val="00417393"/>
    <w:rsid w:val="004173B0"/>
    <w:rsid w:val="004173F8"/>
    <w:rsid w:val="00417449"/>
    <w:rsid w:val="00417696"/>
    <w:rsid w:val="0041769E"/>
    <w:rsid w:val="004176FD"/>
    <w:rsid w:val="0041775B"/>
    <w:rsid w:val="00417A44"/>
    <w:rsid w:val="00417BC2"/>
    <w:rsid w:val="00417BD8"/>
    <w:rsid w:val="00417C0B"/>
    <w:rsid w:val="00417C51"/>
    <w:rsid w:val="00417C77"/>
    <w:rsid w:val="00417CBF"/>
    <w:rsid w:val="00417D2B"/>
    <w:rsid w:val="00417D91"/>
    <w:rsid w:val="00417E9B"/>
    <w:rsid w:val="00417FDB"/>
    <w:rsid w:val="004201C8"/>
    <w:rsid w:val="0042037B"/>
    <w:rsid w:val="004203A0"/>
    <w:rsid w:val="00420415"/>
    <w:rsid w:val="0042047A"/>
    <w:rsid w:val="004204DB"/>
    <w:rsid w:val="0042057F"/>
    <w:rsid w:val="004205E6"/>
    <w:rsid w:val="004205F2"/>
    <w:rsid w:val="004206B7"/>
    <w:rsid w:val="004206E3"/>
    <w:rsid w:val="0042072D"/>
    <w:rsid w:val="0042076E"/>
    <w:rsid w:val="0042084D"/>
    <w:rsid w:val="004208AD"/>
    <w:rsid w:val="0042091A"/>
    <w:rsid w:val="00420A3F"/>
    <w:rsid w:val="00420B31"/>
    <w:rsid w:val="00420C7B"/>
    <w:rsid w:val="00420CAC"/>
    <w:rsid w:val="00420D0D"/>
    <w:rsid w:val="00420D4F"/>
    <w:rsid w:val="00420DE7"/>
    <w:rsid w:val="0042101E"/>
    <w:rsid w:val="004210CD"/>
    <w:rsid w:val="004210EE"/>
    <w:rsid w:val="004211A8"/>
    <w:rsid w:val="00421222"/>
    <w:rsid w:val="00421242"/>
    <w:rsid w:val="004212C0"/>
    <w:rsid w:val="0042137A"/>
    <w:rsid w:val="004213C7"/>
    <w:rsid w:val="004214AA"/>
    <w:rsid w:val="0042155E"/>
    <w:rsid w:val="00421761"/>
    <w:rsid w:val="004217DF"/>
    <w:rsid w:val="0042184E"/>
    <w:rsid w:val="0042196E"/>
    <w:rsid w:val="004219CC"/>
    <w:rsid w:val="004219F4"/>
    <w:rsid w:val="00421A76"/>
    <w:rsid w:val="00421C55"/>
    <w:rsid w:val="00421CA6"/>
    <w:rsid w:val="00421CAC"/>
    <w:rsid w:val="00421EAE"/>
    <w:rsid w:val="00421EE7"/>
    <w:rsid w:val="00421F23"/>
    <w:rsid w:val="00421F3E"/>
    <w:rsid w:val="00421F7D"/>
    <w:rsid w:val="00421FC0"/>
    <w:rsid w:val="0042204C"/>
    <w:rsid w:val="004220C9"/>
    <w:rsid w:val="004221DE"/>
    <w:rsid w:val="004223FD"/>
    <w:rsid w:val="0042262D"/>
    <w:rsid w:val="0042263A"/>
    <w:rsid w:val="0042263B"/>
    <w:rsid w:val="004226EA"/>
    <w:rsid w:val="00422756"/>
    <w:rsid w:val="004227A1"/>
    <w:rsid w:val="004227FF"/>
    <w:rsid w:val="00422802"/>
    <w:rsid w:val="00422849"/>
    <w:rsid w:val="004228C1"/>
    <w:rsid w:val="004229A6"/>
    <w:rsid w:val="00422AA6"/>
    <w:rsid w:val="00422CE2"/>
    <w:rsid w:val="00422CEB"/>
    <w:rsid w:val="00422E1C"/>
    <w:rsid w:val="00422EA0"/>
    <w:rsid w:val="00422F09"/>
    <w:rsid w:val="00422FE3"/>
    <w:rsid w:val="0042306C"/>
    <w:rsid w:val="0042307D"/>
    <w:rsid w:val="004230A5"/>
    <w:rsid w:val="004230E1"/>
    <w:rsid w:val="004231A2"/>
    <w:rsid w:val="004231A7"/>
    <w:rsid w:val="004231BF"/>
    <w:rsid w:val="00423202"/>
    <w:rsid w:val="00423271"/>
    <w:rsid w:val="0042331C"/>
    <w:rsid w:val="00423362"/>
    <w:rsid w:val="00423363"/>
    <w:rsid w:val="004233CB"/>
    <w:rsid w:val="0042340B"/>
    <w:rsid w:val="004234BC"/>
    <w:rsid w:val="004234CD"/>
    <w:rsid w:val="00423557"/>
    <w:rsid w:val="00423610"/>
    <w:rsid w:val="004236B3"/>
    <w:rsid w:val="004236D9"/>
    <w:rsid w:val="0042379B"/>
    <w:rsid w:val="0042381C"/>
    <w:rsid w:val="0042381E"/>
    <w:rsid w:val="00423845"/>
    <w:rsid w:val="0042384E"/>
    <w:rsid w:val="0042385C"/>
    <w:rsid w:val="004239EA"/>
    <w:rsid w:val="00423B31"/>
    <w:rsid w:val="00423BC1"/>
    <w:rsid w:val="00423BCC"/>
    <w:rsid w:val="00423BD1"/>
    <w:rsid w:val="00423F63"/>
    <w:rsid w:val="0042409D"/>
    <w:rsid w:val="0042410C"/>
    <w:rsid w:val="00424140"/>
    <w:rsid w:val="00424168"/>
    <w:rsid w:val="004241D8"/>
    <w:rsid w:val="00424211"/>
    <w:rsid w:val="00424347"/>
    <w:rsid w:val="0042436E"/>
    <w:rsid w:val="0042446C"/>
    <w:rsid w:val="0042446E"/>
    <w:rsid w:val="00424494"/>
    <w:rsid w:val="004244C9"/>
    <w:rsid w:val="004244D0"/>
    <w:rsid w:val="00424622"/>
    <w:rsid w:val="00424673"/>
    <w:rsid w:val="00424734"/>
    <w:rsid w:val="00424772"/>
    <w:rsid w:val="00424787"/>
    <w:rsid w:val="00424901"/>
    <w:rsid w:val="00424929"/>
    <w:rsid w:val="00424938"/>
    <w:rsid w:val="0042497B"/>
    <w:rsid w:val="00424A16"/>
    <w:rsid w:val="00424ADE"/>
    <w:rsid w:val="00424B50"/>
    <w:rsid w:val="00424C18"/>
    <w:rsid w:val="00424C50"/>
    <w:rsid w:val="00424D3F"/>
    <w:rsid w:val="00424D52"/>
    <w:rsid w:val="00424DD2"/>
    <w:rsid w:val="00424DE8"/>
    <w:rsid w:val="00424E70"/>
    <w:rsid w:val="00424F60"/>
    <w:rsid w:val="00425117"/>
    <w:rsid w:val="004252C9"/>
    <w:rsid w:val="00425351"/>
    <w:rsid w:val="00425559"/>
    <w:rsid w:val="00425593"/>
    <w:rsid w:val="004256FA"/>
    <w:rsid w:val="0042572E"/>
    <w:rsid w:val="00425801"/>
    <w:rsid w:val="0042581A"/>
    <w:rsid w:val="0042591A"/>
    <w:rsid w:val="00425956"/>
    <w:rsid w:val="004259D0"/>
    <w:rsid w:val="00425AB0"/>
    <w:rsid w:val="00425B02"/>
    <w:rsid w:val="00425CD7"/>
    <w:rsid w:val="00425DA3"/>
    <w:rsid w:val="00425DEE"/>
    <w:rsid w:val="00425E5A"/>
    <w:rsid w:val="00425F83"/>
    <w:rsid w:val="0042606E"/>
    <w:rsid w:val="0042610B"/>
    <w:rsid w:val="0042612E"/>
    <w:rsid w:val="004261C4"/>
    <w:rsid w:val="004261D2"/>
    <w:rsid w:val="0042623B"/>
    <w:rsid w:val="00426311"/>
    <w:rsid w:val="00426321"/>
    <w:rsid w:val="00426342"/>
    <w:rsid w:val="004263BC"/>
    <w:rsid w:val="004263F6"/>
    <w:rsid w:val="004263FD"/>
    <w:rsid w:val="00426422"/>
    <w:rsid w:val="00426473"/>
    <w:rsid w:val="004264AF"/>
    <w:rsid w:val="004264F0"/>
    <w:rsid w:val="0042656D"/>
    <w:rsid w:val="004267FC"/>
    <w:rsid w:val="00426846"/>
    <w:rsid w:val="00426AAD"/>
    <w:rsid w:val="00426B1C"/>
    <w:rsid w:val="00426B88"/>
    <w:rsid w:val="00426BA2"/>
    <w:rsid w:val="00426BB8"/>
    <w:rsid w:val="00426C05"/>
    <w:rsid w:val="00426D1D"/>
    <w:rsid w:val="00426E98"/>
    <w:rsid w:val="00427071"/>
    <w:rsid w:val="0042708B"/>
    <w:rsid w:val="00427135"/>
    <w:rsid w:val="00427157"/>
    <w:rsid w:val="004271F0"/>
    <w:rsid w:val="0042731F"/>
    <w:rsid w:val="004273CF"/>
    <w:rsid w:val="004273F2"/>
    <w:rsid w:val="00427436"/>
    <w:rsid w:val="004274DD"/>
    <w:rsid w:val="00427582"/>
    <w:rsid w:val="004275AD"/>
    <w:rsid w:val="0042764D"/>
    <w:rsid w:val="00427665"/>
    <w:rsid w:val="004277E5"/>
    <w:rsid w:val="004277FD"/>
    <w:rsid w:val="00427814"/>
    <w:rsid w:val="004279D5"/>
    <w:rsid w:val="00427B10"/>
    <w:rsid w:val="00427C6A"/>
    <w:rsid w:val="00427C71"/>
    <w:rsid w:val="00427DA3"/>
    <w:rsid w:val="00427E2C"/>
    <w:rsid w:val="00427E52"/>
    <w:rsid w:val="00427FA5"/>
    <w:rsid w:val="0043002A"/>
    <w:rsid w:val="00430129"/>
    <w:rsid w:val="00430165"/>
    <w:rsid w:val="004301C1"/>
    <w:rsid w:val="004301E0"/>
    <w:rsid w:val="004301E2"/>
    <w:rsid w:val="0043020C"/>
    <w:rsid w:val="00430226"/>
    <w:rsid w:val="0043032C"/>
    <w:rsid w:val="004303A8"/>
    <w:rsid w:val="004304CE"/>
    <w:rsid w:val="004304DF"/>
    <w:rsid w:val="004304EE"/>
    <w:rsid w:val="0043072E"/>
    <w:rsid w:val="004307F3"/>
    <w:rsid w:val="00430806"/>
    <w:rsid w:val="004308D6"/>
    <w:rsid w:val="004308E5"/>
    <w:rsid w:val="004308FA"/>
    <w:rsid w:val="0043092C"/>
    <w:rsid w:val="00430A0B"/>
    <w:rsid w:val="00430A36"/>
    <w:rsid w:val="00430AFA"/>
    <w:rsid w:val="00430CD7"/>
    <w:rsid w:val="00430D0F"/>
    <w:rsid w:val="00430DEC"/>
    <w:rsid w:val="00430DEE"/>
    <w:rsid w:val="00430EA9"/>
    <w:rsid w:val="00430FC8"/>
    <w:rsid w:val="00430FFF"/>
    <w:rsid w:val="004310AD"/>
    <w:rsid w:val="004311DD"/>
    <w:rsid w:val="00431250"/>
    <w:rsid w:val="004313C3"/>
    <w:rsid w:val="004314AD"/>
    <w:rsid w:val="004316E3"/>
    <w:rsid w:val="0043179A"/>
    <w:rsid w:val="00431915"/>
    <w:rsid w:val="00431A68"/>
    <w:rsid w:val="00431AC3"/>
    <w:rsid w:val="00431AD7"/>
    <w:rsid w:val="00431B78"/>
    <w:rsid w:val="00431BF4"/>
    <w:rsid w:val="00431C4A"/>
    <w:rsid w:val="00431D4D"/>
    <w:rsid w:val="00431D8A"/>
    <w:rsid w:val="00431F25"/>
    <w:rsid w:val="00431F28"/>
    <w:rsid w:val="00431FFF"/>
    <w:rsid w:val="004321B9"/>
    <w:rsid w:val="00432244"/>
    <w:rsid w:val="00432272"/>
    <w:rsid w:val="0043235C"/>
    <w:rsid w:val="00432443"/>
    <w:rsid w:val="004325BF"/>
    <w:rsid w:val="00432633"/>
    <w:rsid w:val="00432681"/>
    <w:rsid w:val="00432733"/>
    <w:rsid w:val="00432770"/>
    <w:rsid w:val="004327B0"/>
    <w:rsid w:val="004327E7"/>
    <w:rsid w:val="0043290F"/>
    <w:rsid w:val="00432A03"/>
    <w:rsid w:val="00432B2A"/>
    <w:rsid w:val="00432B3C"/>
    <w:rsid w:val="00432B5A"/>
    <w:rsid w:val="00432CFB"/>
    <w:rsid w:val="00432DD4"/>
    <w:rsid w:val="00432E44"/>
    <w:rsid w:val="00432EEC"/>
    <w:rsid w:val="00432EEE"/>
    <w:rsid w:val="00432EFA"/>
    <w:rsid w:val="00432F0E"/>
    <w:rsid w:val="004330C3"/>
    <w:rsid w:val="00433174"/>
    <w:rsid w:val="004332E6"/>
    <w:rsid w:val="0043334B"/>
    <w:rsid w:val="0043338D"/>
    <w:rsid w:val="00433405"/>
    <w:rsid w:val="00433503"/>
    <w:rsid w:val="0043351A"/>
    <w:rsid w:val="0043352F"/>
    <w:rsid w:val="004336F7"/>
    <w:rsid w:val="00433741"/>
    <w:rsid w:val="00433832"/>
    <w:rsid w:val="0043385D"/>
    <w:rsid w:val="004338F8"/>
    <w:rsid w:val="00433CAA"/>
    <w:rsid w:val="00433CF5"/>
    <w:rsid w:val="0043406B"/>
    <w:rsid w:val="0043406E"/>
    <w:rsid w:val="0043409F"/>
    <w:rsid w:val="004341D9"/>
    <w:rsid w:val="00434260"/>
    <w:rsid w:val="00434278"/>
    <w:rsid w:val="0043442D"/>
    <w:rsid w:val="00434489"/>
    <w:rsid w:val="004344B1"/>
    <w:rsid w:val="0043450D"/>
    <w:rsid w:val="004345BE"/>
    <w:rsid w:val="0043465C"/>
    <w:rsid w:val="00434661"/>
    <w:rsid w:val="004346C2"/>
    <w:rsid w:val="00434815"/>
    <w:rsid w:val="00434841"/>
    <w:rsid w:val="00434947"/>
    <w:rsid w:val="004349E2"/>
    <w:rsid w:val="004349EF"/>
    <w:rsid w:val="00434A0D"/>
    <w:rsid w:val="00434A11"/>
    <w:rsid w:val="00434C49"/>
    <w:rsid w:val="00434ED1"/>
    <w:rsid w:val="00434F23"/>
    <w:rsid w:val="00434F77"/>
    <w:rsid w:val="00434FC1"/>
    <w:rsid w:val="00435049"/>
    <w:rsid w:val="00435083"/>
    <w:rsid w:val="004351C0"/>
    <w:rsid w:val="004352C1"/>
    <w:rsid w:val="0043531F"/>
    <w:rsid w:val="00435419"/>
    <w:rsid w:val="00435591"/>
    <w:rsid w:val="004355E2"/>
    <w:rsid w:val="00435616"/>
    <w:rsid w:val="0043570B"/>
    <w:rsid w:val="00435739"/>
    <w:rsid w:val="00435783"/>
    <w:rsid w:val="004357C8"/>
    <w:rsid w:val="00435811"/>
    <w:rsid w:val="004358CC"/>
    <w:rsid w:val="00435926"/>
    <w:rsid w:val="004359D9"/>
    <w:rsid w:val="00435BFB"/>
    <w:rsid w:val="00435C6D"/>
    <w:rsid w:val="00435C96"/>
    <w:rsid w:val="00435C98"/>
    <w:rsid w:val="00435CED"/>
    <w:rsid w:val="00435D59"/>
    <w:rsid w:val="00435F38"/>
    <w:rsid w:val="00435FF4"/>
    <w:rsid w:val="0043609B"/>
    <w:rsid w:val="004360A3"/>
    <w:rsid w:val="004362FB"/>
    <w:rsid w:val="0043639A"/>
    <w:rsid w:val="0043642B"/>
    <w:rsid w:val="0043644B"/>
    <w:rsid w:val="0043647F"/>
    <w:rsid w:val="004364BD"/>
    <w:rsid w:val="00436518"/>
    <w:rsid w:val="00436629"/>
    <w:rsid w:val="00436702"/>
    <w:rsid w:val="0043674D"/>
    <w:rsid w:val="00436814"/>
    <w:rsid w:val="0043684E"/>
    <w:rsid w:val="0043690B"/>
    <w:rsid w:val="00436918"/>
    <w:rsid w:val="00436947"/>
    <w:rsid w:val="004369E3"/>
    <w:rsid w:val="00436A14"/>
    <w:rsid w:val="00436A69"/>
    <w:rsid w:val="00436C5E"/>
    <w:rsid w:val="00436CDA"/>
    <w:rsid w:val="00436D13"/>
    <w:rsid w:val="00436D2B"/>
    <w:rsid w:val="00436D32"/>
    <w:rsid w:val="00436D63"/>
    <w:rsid w:val="00436E23"/>
    <w:rsid w:val="00436E4E"/>
    <w:rsid w:val="00436E84"/>
    <w:rsid w:val="00436F37"/>
    <w:rsid w:val="00436F58"/>
    <w:rsid w:val="004370CB"/>
    <w:rsid w:val="00437182"/>
    <w:rsid w:val="0043724C"/>
    <w:rsid w:val="00437381"/>
    <w:rsid w:val="00437432"/>
    <w:rsid w:val="004374D1"/>
    <w:rsid w:val="004374E9"/>
    <w:rsid w:val="004375B4"/>
    <w:rsid w:val="004375BF"/>
    <w:rsid w:val="00437623"/>
    <w:rsid w:val="00437685"/>
    <w:rsid w:val="004376CC"/>
    <w:rsid w:val="00437807"/>
    <w:rsid w:val="00437846"/>
    <w:rsid w:val="004378DD"/>
    <w:rsid w:val="00437948"/>
    <w:rsid w:val="0043794B"/>
    <w:rsid w:val="0043794F"/>
    <w:rsid w:val="00437982"/>
    <w:rsid w:val="004379FA"/>
    <w:rsid w:val="00437A84"/>
    <w:rsid w:val="00437AB5"/>
    <w:rsid w:val="00437B4C"/>
    <w:rsid w:val="00437CA7"/>
    <w:rsid w:val="00437CEB"/>
    <w:rsid w:val="00437D5B"/>
    <w:rsid w:val="00437E4B"/>
    <w:rsid w:val="00437E94"/>
    <w:rsid w:val="00437E9C"/>
    <w:rsid w:val="00437F46"/>
    <w:rsid w:val="00437F93"/>
    <w:rsid w:val="004400FC"/>
    <w:rsid w:val="0044013A"/>
    <w:rsid w:val="00440162"/>
    <w:rsid w:val="00440241"/>
    <w:rsid w:val="00440314"/>
    <w:rsid w:val="00440532"/>
    <w:rsid w:val="00440544"/>
    <w:rsid w:val="0044055A"/>
    <w:rsid w:val="0044057B"/>
    <w:rsid w:val="004406AE"/>
    <w:rsid w:val="004406BA"/>
    <w:rsid w:val="004406FD"/>
    <w:rsid w:val="0044075B"/>
    <w:rsid w:val="004407B8"/>
    <w:rsid w:val="004407C7"/>
    <w:rsid w:val="004407FC"/>
    <w:rsid w:val="00440920"/>
    <w:rsid w:val="004409A0"/>
    <w:rsid w:val="00440B25"/>
    <w:rsid w:val="00440B6C"/>
    <w:rsid w:val="00440B77"/>
    <w:rsid w:val="00440BDE"/>
    <w:rsid w:val="00440C4F"/>
    <w:rsid w:val="00440EAF"/>
    <w:rsid w:val="00440F61"/>
    <w:rsid w:val="00440F9E"/>
    <w:rsid w:val="00440FC5"/>
    <w:rsid w:val="00440FED"/>
    <w:rsid w:val="0044104D"/>
    <w:rsid w:val="004410C3"/>
    <w:rsid w:val="004411CE"/>
    <w:rsid w:val="00441223"/>
    <w:rsid w:val="0044124B"/>
    <w:rsid w:val="00441290"/>
    <w:rsid w:val="004413FB"/>
    <w:rsid w:val="004414A2"/>
    <w:rsid w:val="00441545"/>
    <w:rsid w:val="00441582"/>
    <w:rsid w:val="0044165A"/>
    <w:rsid w:val="00441666"/>
    <w:rsid w:val="00441667"/>
    <w:rsid w:val="00441721"/>
    <w:rsid w:val="00441819"/>
    <w:rsid w:val="004418DA"/>
    <w:rsid w:val="004419D1"/>
    <w:rsid w:val="004419DD"/>
    <w:rsid w:val="00441A22"/>
    <w:rsid w:val="00441AD2"/>
    <w:rsid w:val="00441B38"/>
    <w:rsid w:val="00441B40"/>
    <w:rsid w:val="00441B63"/>
    <w:rsid w:val="00441BC5"/>
    <w:rsid w:val="00441BCF"/>
    <w:rsid w:val="00441C79"/>
    <w:rsid w:val="00441C7C"/>
    <w:rsid w:val="00441CE3"/>
    <w:rsid w:val="00441D68"/>
    <w:rsid w:val="00441F5E"/>
    <w:rsid w:val="0044204E"/>
    <w:rsid w:val="004420BF"/>
    <w:rsid w:val="004421AC"/>
    <w:rsid w:val="0044223D"/>
    <w:rsid w:val="00442277"/>
    <w:rsid w:val="004422B1"/>
    <w:rsid w:val="00442318"/>
    <w:rsid w:val="0044236D"/>
    <w:rsid w:val="0044241E"/>
    <w:rsid w:val="00442433"/>
    <w:rsid w:val="00442A45"/>
    <w:rsid w:val="00442B3D"/>
    <w:rsid w:val="00442BD3"/>
    <w:rsid w:val="00442C0B"/>
    <w:rsid w:val="00442D60"/>
    <w:rsid w:val="00442DCC"/>
    <w:rsid w:val="00442ECB"/>
    <w:rsid w:val="00442FA1"/>
    <w:rsid w:val="00442FC4"/>
    <w:rsid w:val="00443168"/>
    <w:rsid w:val="004431FB"/>
    <w:rsid w:val="0044328F"/>
    <w:rsid w:val="00443336"/>
    <w:rsid w:val="0044341D"/>
    <w:rsid w:val="00443440"/>
    <w:rsid w:val="004434BA"/>
    <w:rsid w:val="004434F1"/>
    <w:rsid w:val="0044351B"/>
    <w:rsid w:val="00443543"/>
    <w:rsid w:val="004436C6"/>
    <w:rsid w:val="004436DF"/>
    <w:rsid w:val="00443707"/>
    <w:rsid w:val="00443719"/>
    <w:rsid w:val="0044372D"/>
    <w:rsid w:val="00443748"/>
    <w:rsid w:val="004437D2"/>
    <w:rsid w:val="00443810"/>
    <w:rsid w:val="004439B8"/>
    <w:rsid w:val="004439BC"/>
    <w:rsid w:val="00443A1B"/>
    <w:rsid w:val="00443B73"/>
    <w:rsid w:val="00443B88"/>
    <w:rsid w:val="00443CE0"/>
    <w:rsid w:val="00443D4D"/>
    <w:rsid w:val="00443E58"/>
    <w:rsid w:val="00443EA4"/>
    <w:rsid w:val="00443EAA"/>
    <w:rsid w:val="00443EE6"/>
    <w:rsid w:val="00443F1E"/>
    <w:rsid w:val="00443F9F"/>
    <w:rsid w:val="00443FCD"/>
    <w:rsid w:val="00444107"/>
    <w:rsid w:val="00444121"/>
    <w:rsid w:val="004442B6"/>
    <w:rsid w:val="004442C0"/>
    <w:rsid w:val="00444301"/>
    <w:rsid w:val="004443AB"/>
    <w:rsid w:val="004443B5"/>
    <w:rsid w:val="004443FA"/>
    <w:rsid w:val="0044467E"/>
    <w:rsid w:val="00444713"/>
    <w:rsid w:val="0044479F"/>
    <w:rsid w:val="00444820"/>
    <w:rsid w:val="00444865"/>
    <w:rsid w:val="004448EC"/>
    <w:rsid w:val="00444990"/>
    <w:rsid w:val="0044499B"/>
    <w:rsid w:val="004449E7"/>
    <w:rsid w:val="00444A0B"/>
    <w:rsid w:val="00444AC9"/>
    <w:rsid w:val="00444B5B"/>
    <w:rsid w:val="00444B89"/>
    <w:rsid w:val="00444CA6"/>
    <w:rsid w:val="00444D50"/>
    <w:rsid w:val="00444ED5"/>
    <w:rsid w:val="00444F18"/>
    <w:rsid w:val="0044505E"/>
    <w:rsid w:val="004450EA"/>
    <w:rsid w:val="00445117"/>
    <w:rsid w:val="004451DB"/>
    <w:rsid w:val="0044524F"/>
    <w:rsid w:val="00445256"/>
    <w:rsid w:val="004453C6"/>
    <w:rsid w:val="00445441"/>
    <w:rsid w:val="00445479"/>
    <w:rsid w:val="0044558B"/>
    <w:rsid w:val="0044566C"/>
    <w:rsid w:val="00445741"/>
    <w:rsid w:val="0044574A"/>
    <w:rsid w:val="004457D2"/>
    <w:rsid w:val="004459B0"/>
    <w:rsid w:val="00445BAC"/>
    <w:rsid w:val="00445DC0"/>
    <w:rsid w:val="00445EAB"/>
    <w:rsid w:val="00445EC1"/>
    <w:rsid w:val="00445EF5"/>
    <w:rsid w:val="0044608F"/>
    <w:rsid w:val="004460C7"/>
    <w:rsid w:val="004461A1"/>
    <w:rsid w:val="00446207"/>
    <w:rsid w:val="004462F0"/>
    <w:rsid w:val="00446301"/>
    <w:rsid w:val="004463B7"/>
    <w:rsid w:val="0044641C"/>
    <w:rsid w:val="00446669"/>
    <w:rsid w:val="004466D6"/>
    <w:rsid w:val="00446729"/>
    <w:rsid w:val="0044688D"/>
    <w:rsid w:val="004468AC"/>
    <w:rsid w:val="004468AF"/>
    <w:rsid w:val="004468BA"/>
    <w:rsid w:val="00446922"/>
    <w:rsid w:val="00446950"/>
    <w:rsid w:val="004469EC"/>
    <w:rsid w:val="00446A39"/>
    <w:rsid w:val="00446B4A"/>
    <w:rsid w:val="00446B99"/>
    <w:rsid w:val="00446C3D"/>
    <w:rsid w:val="00446DF6"/>
    <w:rsid w:val="00446F0B"/>
    <w:rsid w:val="00446F6C"/>
    <w:rsid w:val="00446F9B"/>
    <w:rsid w:val="0044703D"/>
    <w:rsid w:val="00447073"/>
    <w:rsid w:val="0044709B"/>
    <w:rsid w:val="004470D0"/>
    <w:rsid w:val="004471C2"/>
    <w:rsid w:val="0044722F"/>
    <w:rsid w:val="00447264"/>
    <w:rsid w:val="00447332"/>
    <w:rsid w:val="00447370"/>
    <w:rsid w:val="00447602"/>
    <w:rsid w:val="00447695"/>
    <w:rsid w:val="004476D1"/>
    <w:rsid w:val="00447754"/>
    <w:rsid w:val="00447763"/>
    <w:rsid w:val="004477D0"/>
    <w:rsid w:val="00447827"/>
    <w:rsid w:val="0044783C"/>
    <w:rsid w:val="00447910"/>
    <w:rsid w:val="00447A78"/>
    <w:rsid w:val="00447B4B"/>
    <w:rsid w:val="00447BB9"/>
    <w:rsid w:val="00447C6E"/>
    <w:rsid w:val="00447C71"/>
    <w:rsid w:val="00447CDC"/>
    <w:rsid w:val="00447D1F"/>
    <w:rsid w:val="00447E4C"/>
    <w:rsid w:val="00447E50"/>
    <w:rsid w:val="004501C3"/>
    <w:rsid w:val="00450277"/>
    <w:rsid w:val="004502C0"/>
    <w:rsid w:val="00450337"/>
    <w:rsid w:val="0045034C"/>
    <w:rsid w:val="0045043D"/>
    <w:rsid w:val="00450621"/>
    <w:rsid w:val="00450691"/>
    <w:rsid w:val="00450702"/>
    <w:rsid w:val="00450765"/>
    <w:rsid w:val="00450790"/>
    <w:rsid w:val="00450805"/>
    <w:rsid w:val="004508F4"/>
    <w:rsid w:val="00450B00"/>
    <w:rsid w:val="00450C2B"/>
    <w:rsid w:val="00450CBD"/>
    <w:rsid w:val="00450D37"/>
    <w:rsid w:val="00450DD4"/>
    <w:rsid w:val="00450ED9"/>
    <w:rsid w:val="00450F64"/>
    <w:rsid w:val="0045106A"/>
    <w:rsid w:val="00451079"/>
    <w:rsid w:val="00451118"/>
    <w:rsid w:val="004511A0"/>
    <w:rsid w:val="004511ED"/>
    <w:rsid w:val="0045121E"/>
    <w:rsid w:val="00451285"/>
    <w:rsid w:val="004512AD"/>
    <w:rsid w:val="004512E8"/>
    <w:rsid w:val="00451359"/>
    <w:rsid w:val="0045137E"/>
    <w:rsid w:val="004513DC"/>
    <w:rsid w:val="004513F5"/>
    <w:rsid w:val="004516D4"/>
    <w:rsid w:val="00451898"/>
    <w:rsid w:val="00451AAA"/>
    <w:rsid w:val="00451B31"/>
    <w:rsid w:val="00451C02"/>
    <w:rsid w:val="00451D4C"/>
    <w:rsid w:val="00451E08"/>
    <w:rsid w:val="00451E43"/>
    <w:rsid w:val="00451EE2"/>
    <w:rsid w:val="0045205C"/>
    <w:rsid w:val="004520D1"/>
    <w:rsid w:val="00452147"/>
    <w:rsid w:val="0045218F"/>
    <w:rsid w:val="0045220A"/>
    <w:rsid w:val="0045227C"/>
    <w:rsid w:val="004523B4"/>
    <w:rsid w:val="004524A8"/>
    <w:rsid w:val="004524D7"/>
    <w:rsid w:val="00452506"/>
    <w:rsid w:val="004525EE"/>
    <w:rsid w:val="0045264D"/>
    <w:rsid w:val="004526FF"/>
    <w:rsid w:val="00452871"/>
    <w:rsid w:val="004528F2"/>
    <w:rsid w:val="00452939"/>
    <w:rsid w:val="00452944"/>
    <w:rsid w:val="0045295C"/>
    <w:rsid w:val="004529C0"/>
    <w:rsid w:val="00452AA6"/>
    <w:rsid w:val="00452AE1"/>
    <w:rsid w:val="00452BB3"/>
    <w:rsid w:val="00452CFE"/>
    <w:rsid w:val="00452D89"/>
    <w:rsid w:val="00452DAC"/>
    <w:rsid w:val="00452DB2"/>
    <w:rsid w:val="00452DBA"/>
    <w:rsid w:val="00452DF8"/>
    <w:rsid w:val="00452E31"/>
    <w:rsid w:val="00452E5A"/>
    <w:rsid w:val="00452EE4"/>
    <w:rsid w:val="0045313B"/>
    <w:rsid w:val="00453216"/>
    <w:rsid w:val="00453247"/>
    <w:rsid w:val="004532BE"/>
    <w:rsid w:val="004533F7"/>
    <w:rsid w:val="00453531"/>
    <w:rsid w:val="004536A0"/>
    <w:rsid w:val="0045374F"/>
    <w:rsid w:val="00453762"/>
    <w:rsid w:val="004537EB"/>
    <w:rsid w:val="0045388F"/>
    <w:rsid w:val="00453A27"/>
    <w:rsid w:val="00453B14"/>
    <w:rsid w:val="00453B1A"/>
    <w:rsid w:val="00453CE5"/>
    <w:rsid w:val="00453D08"/>
    <w:rsid w:val="00453D25"/>
    <w:rsid w:val="00453E44"/>
    <w:rsid w:val="00453F74"/>
    <w:rsid w:val="0045418F"/>
    <w:rsid w:val="00454247"/>
    <w:rsid w:val="00454263"/>
    <w:rsid w:val="00454311"/>
    <w:rsid w:val="00454330"/>
    <w:rsid w:val="00454597"/>
    <w:rsid w:val="00454690"/>
    <w:rsid w:val="004546E3"/>
    <w:rsid w:val="004546E8"/>
    <w:rsid w:val="0045477E"/>
    <w:rsid w:val="00454929"/>
    <w:rsid w:val="004549A5"/>
    <w:rsid w:val="00454B58"/>
    <w:rsid w:val="00454B98"/>
    <w:rsid w:val="00454BC3"/>
    <w:rsid w:val="00454BC9"/>
    <w:rsid w:val="00454BDC"/>
    <w:rsid w:val="00454BE9"/>
    <w:rsid w:val="00454C0E"/>
    <w:rsid w:val="00454C8B"/>
    <w:rsid w:val="00454CE3"/>
    <w:rsid w:val="00454E29"/>
    <w:rsid w:val="00454E31"/>
    <w:rsid w:val="00454ED1"/>
    <w:rsid w:val="00454EDC"/>
    <w:rsid w:val="00454F27"/>
    <w:rsid w:val="00454F29"/>
    <w:rsid w:val="00454F46"/>
    <w:rsid w:val="00454F47"/>
    <w:rsid w:val="00454F76"/>
    <w:rsid w:val="00454FDC"/>
    <w:rsid w:val="0045509F"/>
    <w:rsid w:val="004551DA"/>
    <w:rsid w:val="0045523C"/>
    <w:rsid w:val="0045524C"/>
    <w:rsid w:val="00455250"/>
    <w:rsid w:val="004553A6"/>
    <w:rsid w:val="004553B2"/>
    <w:rsid w:val="00455477"/>
    <w:rsid w:val="0045548B"/>
    <w:rsid w:val="00455642"/>
    <w:rsid w:val="004556F3"/>
    <w:rsid w:val="004557ED"/>
    <w:rsid w:val="00455909"/>
    <w:rsid w:val="00455A13"/>
    <w:rsid w:val="00455A40"/>
    <w:rsid w:val="00455C19"/>
    <w:rsid w:val="00455C60"/>
    <w:rsid w:val="00455E89"/>
    <w:rsid w:val="00455EAF"/>
    <w:rsid w:val="00455F10"/>
    <w:rsid w:val="00455F4B"/>
    <w:rsid w:val="00455F88"/>
    <w:rsid w:val="0045609C"/>
    <w:rsid w:val="004561A1"/>
    <w:rsid w:val="004563E9"/>
    <w:rsid w:val="0045644F"/>
    <w:rsid w:val="00456475"/>
    <w:rsid w:val="0045649C"/>
    <w:rsid w:val="00456578"/>
    <w:rsid w:val="004566A2"/>
    <w:rsid w:val="004566BA"/>
    <w:rsid w:val="004566D6"/>
    <w:rsid w:val="004566FC"/>
    <w:rsid w:val="004567F9"/>
    <w:rsid w:val="00456848"/>
    <w:rsid w:val="0045686A"/>
    <w:rsid w:val="00456A2E"/>
    <w:rsid w:val="00456AF0"/>
    <w:rsid w:val="00456AF8"/>
    <w:rsid w:val="00456B39"/>
    <w:rsid w:val="00456B6C"/>
    <w:rsid w:val="00456B93"/>
    <w:rsid w:val="00456BCA"/>
    <w:rsid w:val="00456D1C"/>
    <w:rsid w:val="00456D4B"/>
    <w:rsid w:val="00456DCE"/>
    <w:rsid w:val="00456DCF"/>
    <w:rsid w:val="00456E04"/>
    <w:rsid w:val="00456F3A"/>
    <w:rsid w:val="00456FEB"/>
    <w:rsid w:val="00456FEC"/>
    <w:rsid w:val="00457050"/>
    <w:rsid w:val="00457054"/>
    <w:rsid w:val="0045707B"/>
    <w:rsid w:val="004570A4"/>
    <w:rsid w:val="00457140"/>
    <w:rsid w:val="0045719A"/>
    <w:rsid w:val="004571C8"/>
    <w:rsid w:val="00457244"/>
    <w:rsid w:val="00457268"/>
    <w:rsid w:val="0045740E"/>
    <w:rsid w:val="0045748E"/>
    <w:rsid w:val="0045749B"/>
    <w:rsid w:val="00457656"/>
    <w:rsid w:val="00457682"/>
    <w:rsid w:val="0045769D"/>
    <w:rsid w:val="004576A5"/>
    <w:rsid w:val="00457841"/>
    <w:rsid w:val="004578C2"/>
    <w:rsid w:val="004578F4"/>
    <w:rsid w:val="00457905"/>
    <w:rsid w:val="0045792D"/>
    <w:rsid w:val="00457935"/>
    <w:rsid w:val="00457974"/>
    <w:rsid w:val="00457A61"/>
    <w:rsid w:val="00457A86"/>
    <w:rsid w:val="00457B39"/>
    <w:rsid w:val="00457B79"/>
    <w:rsid w:val="00457CDF"/>
    <w:rsid w:val="00457D25"/>
    <w:rsid w:val="00457DD7"/>
    <w:rsid w:val="00457E23"/>
    <w:rsid w:val="00457E79"/>
    <w:rsid w:val="00457EB2"/>
    <w:rsid w:val="00457F88"/>
    <w:rsid w:val="00460185"/>
    <w:rsid w:val="0046041C"/>
    <w:rsid w:val="00460483"/>
    <w:rsid w:val="00460489"/>
    <w:rsid w:val="00460625"/>
    <w:rsid w:val="00460791"/>
    <w:rsid w:val="004607D8"/>
    <w:rsid w:val="004609EF"/>
    <w:rsid w:val="00460AD5"/>
    <w:rsid w:val="00460B1C"/>
    <w:rsid w:val="00460B22"/>
    <w:rsid w:val="00460C8F"/>
    <w:rsid w:val="00460C9A"/>
    <w:rsid w:val="00460CAA"/>
    <w:rsid w:val="00460CC0"/>
    <w:rsid w:val="00460D56"/>
    <w:rsid w:val="00460DC2"/>
    <w:rsid w:val="00460E78"/>
    <w:rsid w:val="00460EDA"/>
    <w:rsid w:val="00461022"/>
    <w:rsid w:val="00461268"/>
    <w:rsid w:val="00461391"/>
    <w:rsid w:val="00461555"/>
    <w:rsid w:val="004615CD"/>
    <w:rsid w:val="0046168A"/>
    <w:rsid w:val="00461735"/>
    <w:rsid w:val="004617BD"/>
    <w:rsid w:val="00461865"/>
    <w:rsid w:val="004618D2"/>
    <w:rsid w:val="00461909"/>
    <w:rsid w:val="0046191E"/>
    <w:rsid w:val="00461929"/>
    <w:rsid w:val="00461937"/>
    <w:rsid w:val="00461946"/>
    <w:rsid w:val="00461A0A"/>
    <w:rsid w:val="00461A66"/>
    <w:rsid w:val="00461A92"/>
    <w:rsid w:val="00461BC3"/>
    <w:rsid w:val="00461C01"/>
    <w:rsid w:val="00461CC5"/>
    <w:rsid w:val="00461D61"/>
    <w:rsid w:val="00461D82"/>
    <w:rsid w:val="00461DCB"/>
    <w:rsid w:val="00461E74"/>
    <w:rsid w:val="00461EF0"/>
    <w:rsid w:val="00461FAB"/>
    <w:rsid w:val="00462007"/>
    <w:rsid w:val="0046200F"/>
    <w:rsid w:val="00462045"/>
    <w:rsid w:val="0046204F"/>
    <w:rsid w:val="0046209B"/>
    <w:rsid w:val="004620A6"/>
    <w:rsid w:val="0046219C"/>
    <w:rsid w:val="004621A5"/>
    <w:rsid w:val="0046221C"/>
    <w:rsid w:val="00462257"/>
    <w:rsid w:val="004622CE"/>
    <w:rsid w:val="004622D1"/>
    <w:rsid w:val="004624A7"/>
    <w:rsid w:val="004624AA"/>
    <w:rsid w:val="0046261F"/>
    <w:rsid w:val="004626C9"/>
    <w:rsid w:val="004627B8"/>
    <w:rsid w:val="0046283D"/>
    <w:rsid w:val="00462979"/>
    <w:rsid w:val="004629B1"/>
    <w:rsid w:val="00462A25"/>
    <w:rsid w:val="00462C8C"/>
    <w:rsid w:val="00462CB5"/>
    <w:rsid w:val="00462D46"/>
    <w:rsid w:val="00462DBF"/>
    <w:rsid w:val="00462E28"/>
    <w:rsid w:val="00462EE8"/>
    <w:rsid w:val="00462F27"/>
    <w:rsid w:val="00463023"/>
    <w:rsid w:val="004630AE"/>
    <w:rsid w:val="0046314E"/>
    <w:rsid w:val="004632B3"/>
    <w:rsid w:val="004634C5"/>
    <w:rsid w:val="0046353B"/>
    <w:rsid w:val="0046365C"/>
    <w:rsid w:val="004638C2"/>
    <w:rsid w:val="004638E6"/>
    <w:rsid w:val="004639B4"/>
    <w:rsid w:val="004639E0"/>
    <w:rsid w:val="00463B9F"/>
    <w:rsid w:val="00463BF9"/>
    <w:rsid w:val="00463C41"/>
    <w:rsid w:val="00463CC4"/>
    <w:rsid w:val="00463CE5"/>
    <w:rsid w:val="00463CFE"/>
    <w:rsid w:val="00463DF4"/>
    <w:rsid w:val="00463E17"/>
    <w:rsid w:val="00464147"/>
    <w:rsid w:val="004641C2"/>
    <w:rsid w:val="004641FC"/>
    <w:rsid w:val="00464335"/>
    <w:rsid w:val="00464375"/>
    <w:rsid w:val="0046444A"/>
    <w:rsid w:val="00464494"/>
    <w:rsid w:val="0046449B"/>
    <w:rsid w:val="00464540"/>
    <w:rsid w:val="00464563"/>
    <w:rsid w:val="004645CD"/>
    <w:rsid w:val="004645F2"/>
    <w:rsid w:val="0046465B"/>
    <w:rsid w:val="00464749"/>
    <w:rsid w:val="0046476B"/>
    <w:rsid w:val="004647D7"/>
    <w:rsid w:val="00464879"/>
    <w:rsid w:val="0046493A"/>
    <w:rsid w:val="004649FF"/>
    <w:rsid w:val="00464A81"/>
    <w:rsid w:val="00464ADA"/>
    <w:rsid w:val="00464BD4"/>
    <w:rsid w:val="00464C0F"/>
    <w:rsid w:val="00464C5E"/>
    <w:rsid w:val="00464C71"/>
    <w:rsid w:val="00464CA0"/>
    <w:rsid w:val="00464CC3"/>
    <w:rsid w:val="00464DEE"/>
    <w:rsid w:val="00464DF1"/>
    <w:rsid w:val="00464E8D"/>
    <w:rsid w:val="00464FBD"/>
    <w:rsid w:val="00464FD1"/>
    <w:rsid w:val="004650D4"/>
    <w:rsid w:val="00465305"/>
    <w:rsid w:val="004653B9"/>
    <w:rsid w:val="004653C4"/>
    <w:rsid w:val="004653F9"/>
    <w:rsid w:val="00465496"/>
    <w:rsid w:val="00465575"/>
    <w:rsid w:val="004655B3"/>
    <w:rsid w:val="004655D4"/>
    <w:rsid w:val="00465605"/>
    <w:rsid w:val="0046566A"/>
    <w:rsid w:val="004656AA"/>
    <w:rsid w:val="0046571C"/>
    <w:rsid w:val="00465991"/>
    <w:rsid w:val="00465A04"/>
    <w:rsid w:val="00465DDB"/>
    <w:rsid w:val="00465ED2"/>
    <w:rsid w:val="00465F3F"/>
    <w:rsid w:val="00465F6F"/>
    <w:rsid w:val="00465FCA"/>
    <w:rsid w:val="00465FE0"/>
    <w:rsid w:val="004660A8"/>
    <w:rsid w:val="0046614A"/>
    <w:rsid w:val="00466214"/>
    <w:rsid w:val="0046621E"/>
    <w:rsid w:val="004662C6"/>
    <w:rsid w:val="00466395"/>
    <w:rsid w:val="004663B7"/>
    <w:rsid w:val="00466442"/>
    <w:rsid w:val="00466491"/>
    <w:rsid w:val="00466564"/>
    <w:rsid w:val="0046668C"/>
    <w:rsid w:val="004666BF"/>
    <w:rsid w:val="00466A06"/>
    <w:rsid w:val="00466A62"/>
    <w:rsid w:val="00466AE1"/>
    <w:rsid w:val="00466C93"/>
    <w:rsid w:val="00466CFB"/>
    <w:rsid w:val="00466D43"/>
    <w:rsid w:val="00466DB7"/>
    <w:rsid w:val="00466DCE"/>
    <w:rsid w:val="00466EAB"/>
    <w:rsid w:val="00466F66"/>
    <w:rsid w:val="00466FC3"/>
    <w:rsid w:val="00467026"/>
    <w:rsid w:val="00467051"/>
    <w:rsid w:val="004670CD"/>
    <w:rsid w:val="00467281"/>
    <w:rsid w:val="004672B3"/>
    <w:rsid w:val="004672B5"/>
    <w:rsid w:val="0046732E"/>
    <w:rsid w:val="00467396"/>
    <w:rsid w:val="004673C8"/>
    <w:rsid w:val="004674FD"/>
    <w:rsid w:val="0046762F"/>
    <w:rsid w:val="00467648"/>
    <w:rsid w:val="0046766B"/>
    <w:rsid w:val="004677DC"/>
    <w:rsid w:val="004678D0"/>
    <w:rsid w:val="004678DB"/>
    <w:rsid w:val="00467902"/>
    <w:rsid w:val="00467949"/>
    <w:rsid w:val="00467997"/>
    <w:rsid w:val="00467A35"/>
    <w:rsid w:val="00467A54"/>
    <w:rsid w:val="00467A73"/>
    <w:rsid w:val="00467A76"/>
    <w:rsid w:val="00467AA7"/>
    <w:rsid w:val="00467AAD"/>
    <w:rsid w:val="00467BA1"/>
    <w:rsid w:val="00467C1E"/>
    <w:rsid w:val="00467C79"/>
    <w:rsid w:val="00467CA5"/>
    <w:rsid w:val="00467CBC"/>
    <w:rsid w:val="00467DF3"/>
    <w:rsid w:val="0047023F"/>
    <w:rsid w:val="004703CF"/>
    <w:rsid w:val="00470446"/>
    <w:rsid w:val="004704A3"/>
    <w:rsid w:val="004704E3"/>
    <w:rsid w:val="004706FC"/>
    <w:rsid w:val="0047071F"/>
    <w:rsid w:val="00470729"/>
    <w:rsid w:val="00470742"/>
    <w:rsid w:val="004707BC"/>
    <w:rsid w:val="0047085C"/>
    <w:rsid w:val="00470921"/>
    <w:rsid w:val="004709A4"/>
    <w:rsid w:val="004709BB"/>
    <w:rsid w:val="00470A0F"/>
    <w:rsid w:val="00470AE1"/>
    <w:rsid w:val="00470B82"/>
    <w:rsid w:val="00470BD9"/>
    <w:rsid w:val="00470CB4"/>
    <w:rsid w:val="00470CE5"/>
    <w:rsid w:val="00470D8B"/>
    <w:rsid w:val="00470D92"/>
    <w:rsid w:val="00470E01"/>
    <w:rsid w:val="00470F42"/>
    <w:rsid w:val="00470F58"/>
    <w:rsid w:val="00470F7D"/>
    <w:rsid w:val="00470F82"/>
    <w:rsid w:val="00471017"/>
    <w:rsid w:val="00471125"/>
    <w:rsid w:val="0047115D"/>
    <w:rsid w:val="00471194"/>
    <w:rsid w:val="004711A9"/>
    <w:rsid w:val="00471224"/>
    <w:rsid w:val="00471235"/>
    <w:rsid w:val="004712DF"/>
    <w:rsid w:val="0047144D"/>
    <w:rsid w:val="0047153F"/>
    <w:rsid w:val="004715A1"/>
    <w:rsid w:val="004715A9"/>
    <w:rsid w:val="00471661"/>
    <w:rsid w:val="00471669"/>
    <w:rsid w:val="00471688"/>
    <w:rsid w:val="0047174C"/>
    <w:rsid w:val="00471821"/>
    <w:rsid w:val="0047186D"/>
    <w:rsid w:val="00471A00"/>
    <w:rsid w:val="00471A7C"/>
    <w:rsid w:val="00471AAE"/>
    <w:rsid w:val="00471C28"/>
    <w:rsid w:val="00471C3E"/>
    <w:rsid w:val="00471C68"/>
    <w:rsid w:val="00471C78"/>
    <w:rsid w:val="00471CBB"/>
    <w:rsid w:val="00471D14"/>
    <w:rsid w:val="00471DAB"/>
    <w:rsid w:val="00471E9C"/>
    <w:rsid w:val="00471FAB"/>
    <w:rsid w:val="00471FE2"/>
    <w:rsid w:val="0047201F"/>
    <w:rsid w:val="0047216A"/>
    <w:rsid w:val="004721CB"/>
    <w:rsid w:val="00472243"/>
    <w:rsid w:val="004722C2"/>
    <w:rsid w:val="00472345"/>
    <w:rsid w:val="004723DB"/>
    <w:rsid w:val="0047242D"/>
    <w:rsid w:val="00472491"/>
    <w:rsid w:val="004724A1"/>
    <w:rsid w:val="004725E4"/>
    <w:rsid w:val="00472659"/>
    <w:rsid w:val="0047265C"/>
    <w:rsid w:val="0047269A"/>
    <w:rsid w:val="004726A2"/>
    <w:rsid w:val="0047276F"/>
    <w:rsid w:val="004727B1"/>
    <w:rsid w:val="004727CA"/>
    <w:rsid w:val="00472879"/>
    <w:rsid w:val="004728F3"/>
    <w:rsid w:val="00472C0C"/>
    <w:rsid w:val="00472C99"/>
    <w:rsid w:val="00472CAE"/>
    <w:rsid w:val="00472DCE"/>
    <w:rsid w:val="00472E35"/>
    <w:rsid w:val="00472E8D"/>
    <w:rsid w:val="00472F8D"/>
    <w:rsid w:val="00472FD6"/>
    <w:rsid w:val="0047310D"/>
    <w:rsid w:val="00473143"/>
    <w:rsid w:val="0047314D"/>
    <w:rsid w:val="004732E4"/>
    <w:rsid w:val="004733F0"/>
    <w:rsid w:val="00473447"/>
    <w:rsid w:val="0047349A"/>
    <w:rsid w:val="00473520"/>
    <w:rsid w:val="004735B8"/>
    <w:rsid w:val="0047369C"/>
    <w:rsid w:val="004736BA"/>
    <w:rsid w:val="0047374C"/>
    <w:rsid w:val="004737B4"/>
    <w:rsid w:val="00473808"/>
    <w:rsid w:val="0047389C"/>
    <w:rsid w:val="004738F3"/>
    <w:rsid w:val="00473908"/>
    <w:rsid w:val="004739EC"/>
    <w:rsid w:val="00473A49"/>
    <w:rsid w:val="00473B33"/>
    <w:rsid w:val="00473B99"/>
    <w:rsid w:val="00473BD1"/>
    <w:rsid w:val="00473CD4"/>
    <w:rsid w:val="00473D96"/>
    <w:rsid w:val="00473E8C"/>
    <w:rsid w:val="00473EC7"/>
    <w:rsid w:val="00473F7E"/>
    <w:rsid w:val="004740BD"/>
    <w:rsid w:val="0047418C"/>
    <w:rsid w:val="00474297"/>
    <w:rsid w:val="0047440E"/>
    <w:rsid w:val="00474459"/>
    <w:rsid w:val="0047446C"/>
    <w:rsid w:val="00474496"/>
    <w:rsid w:val="004744E2"/>
    <w:rsid w:val="00474572"/>
    <w:rsid w:val="004745F8"/>
    <w:rsid w:val="00474614"/>
    <w:rsid w:val="0047461E"/>
    <w:rsid w:val="0047463C"/>
    <w:rsid w:val="0047467C"/>
    <w:rsid w:val="00474693"/>
    <w:rsid w:val="00474750"/>
    <w:rsid w:val="0047475D"/>
    <w:rsid w:val="0047478C"/>
    <w:rsid w:val="004748CF"/>
    <w:rsid w:val="004748D8"/>
    <w:rsid w:val="00474958"/>
    <w:rsid w:val="00474A05"/>
    <w:rsid w:val="00474B0F"/>
    <w:rsid w:val="00474B44"/>
    <w:rsid w:val="00474BA4"/>
    <w:rsid w:val="00474BA6"/>
    <w:rsid w:val="00474C09"/>
    <w:rsid w:val="00474C13"/>
    <w:rsid w:val="00474C18"/>
    <w:rsid w:val="00474C4D"/>
    <w:rsid w:val="00474DE2"/>
    <w:rsid w:val="00474DFE"/>
    <w:rsid w:val="00474E87"/>
    <w:rsid w:val="00474FF4"/>
    <w:rsid w:val="00475056"/>
    <w:rsid w:val="00475179"/>
    <w:rsid w:val="00475180"/>
    <w:rsid w:val="004751A7"/>
    <w:rsid w:val="004751CE"/>
    <w:rsid w:val="0047547F"/>
    <w:rsid w:val="0047553E"/>
    <w:rsid w:val="004756D8"/>
    <w:rsid w:val="0047581C"/>
    <w:rsid w:val="0047589E"/>
    <w:rsid w:val="004759D8"/>
    <w:rsid w:val="00475A3E"/>
    <w:rsid w:val="00475B35"/>
    <w:rsid w:val="00475B56"/>
    <w:rsid w:val="00475C34"/>
    <w:rsid w:val="00475C3F"/>
    <w:rsid w:val="00475C5E"/>
    <w:rsid w:val="00475C6E"/>
    <w:rsid w:val="00475D34"/>
    <w:rsid w:val="00475D39"/>
    <w:rsid w:val="00475D44"/>
    <w:rsid w:val="00475DFE"/>
    <w:rsid w:val="00475E78"/>
    <w:rsid w:val="00475F2E"/>
    <w:rsid w:val="00475F42"/>
    <w:rsid w:val="00475F46"/>
    <w:rsid w:val="00475F89"/>
    <w:rsid w:val="00475FF4"/>
    <w:rsid w:val="0047612E"/>
    <w:rsid w:val="0047613E"/>
    <w:rsid w:val="0047615B"/>
    <w:rsid w:val="0047615C"/>
    <w:rsid w:val="004761C1"/>
    <w:rsid w:val="004761D7"/>
    <w:rsid w:val="004761E8"/>
    <w:rsid w:val="004761F0"/>
    <w:rsid w:val="004764AE"/>
    <w:rsid w:val="004764BD"/>
    <w:rsid w:val="0047655F"/>
    <w:rsid w:val="00476683"/>
    <w:rsid w:val="004766C1"/>
    <w:rsid w:val="0047679B"/>
    <w:rsid w:val="00476985"/>
    <w:rsid w:val="004769A8"/>
    <w:rsid w:val="00476A07"/>
    <w:rsid w:val="00476A51"/>
    <w:rsid w:val="00476A8C"/>
    <w:rsid w:val="00476ACD"/>
    <w:rsid w:val="00476B51"/>
    <w:rsid w:val="00476C15"/>
    <w:rsid w:val="00476C2E"/>
    <w:rsid w:val="00476C86"/>
    <w:rsid w:val="00476CC0"/>
    <w:rsid w:val="00476E48"/>
    <w:rsid w:val="00476E5B"/>
    <w:rsid w:val="00476F0A"/>
    <w:rsid w:val="00476F33"/>
    <w:rsid w:val="00477002"/>
    <w:rsid w:val="00477009"/>
    <w:rsid w:val="00477024"/>
    <w:rsid w:val="0047703C"/>
    <w:rsid w:val="0047712C"/>
    <w:rsid w:val="00477209"/>
    <w:rsid w:val="00477258"/>
    <w:rsid w:val="0047741C"/>
    <w:rsid w:val="00477696"/>
    <w:rsid w:val="00477698"/>
    <w:rsid w:val="004776EB"/>
    <w:rsid w:val="00477764"/>
    <w:rsid w:val="00477787"/>
    <w:rsid w:val="004777CC"/>
    <w:rsid w:val="00477924"/>
    <w:rsid w:val="00477A3B"/>
    <w:rsid w:val="00477A4B"/>
    <w:rsid w:val="00477A57"/>
    <w:rsid w:val="00477B52"/>
    <w:rsid w:val="00477BF6"/>
    <w:rsid w:val="00477C57"/>
    <w:rsid w:val="00477D15"/>
    <w:rsid w:val="00477D26"/>
    <w:rsid w:val="00477E0E"/>
    <w:rsid w:val="00477E38"/>
    <w:rsid w:val="00477F23"/>
    <w:rsid w:val="00477F8B"/>
    <w:rsid w:val="00480097"/>
    <w:rsid w:val="00480139"/>
    <w:rsid w:val="00480289"/>
    <w:rsid w:val="00480328"/>
    <w:rsid w:val="00480333"/>
    <w:rsid w:val="00480404"/>
    <w:rsid w:val="00480561"/>
    <w:rsid w:val="00480690"/>
    <w:rsid w:val="004806E4"/>
    <w:rsid w:val="00480864"/>
    <w:rsid w:val="00480989"/>
    <w:rsid w:val="00480999"/>
    <w:rsid w:val="004809E4"/>
    <w:rsid w:val="004809ED"/>
    <w:rsid w:val="00480A08"/>
    <w:rsid w:val="00480A8B"/>
    <w:rsid w:val="00480B0E"/>
    <w:rsid w:val="00480C9A"/>
    <w:rsid w:val="00480D4C"/>
    <w:rsid w:val="00480D6B"/>
    <w:rsid w:val="00480D6D"/>
    <w:rsid w:val="00480DCB"/>
    <w:rsid w:val="00480E29"/>
    <w:rsid w:val="00480E55"/>
    <w:rsid w:val="00480EF5"/>
    <w:rsid w:val="00480F7F"/>
    <w:rsid w:val="00480FC5"/>
    <w:rsid w:val="00481046"/>
    <w:rsid w:val="00481060"/>
    <w:rsid w:val="004810CB"/>
    <w:rsid w:val="004811FB"/>
    <w:rsid w:val="0048128A"/>
    <w:rsid w:val="004812C3"/>
    <w:rsid w:val="004812E8"/>
    <w:rsid w:val="004813C2"/>
    <w:rsid w:val="00481460"/>
    <w:rsid w:val="00481477"/>
    <w:rsid w:val="00481482"/>
    <w:rsid w:val="004814DF"/>
    <w:rsid w:val="00481555"/>
    <w:rsid w:val="004816E7"/>
    <w:rsid w:val="0048179E"/>
    <w:rsid w:val="004817F1"/>
    <w:rsid w:val="00481807"/>
    <w:rsid w:val="00481885"/>
    <w:rsid w:val="00481921"/>
    <w:rsid w:val="00481954"/>
    <w:rsid w:val="00481AA4"/>
    <w:rsid w:val="00481AF4"/>
    <w:rsid w:val="00481B2B"/>
    <w:rsid w:val="00481B30"/>
    <w:rsid w:val="00481B6F"/>
    <w:rsid w:val="00481BB0"/>
    <w:rsid w:val="00481D05"/>
    <w:rsid w:val="00481D9E"/>
    <w:rsid w:val="00481E7A"/>
    <w:rsid w:val="00481F2B"/>
    <w:rsid w:val="0048218E"/>
    <w:rsid w:val="004822B0"/>
    <w:rsid w:val="00482302"/>
    <w:rsid w:val="00482378"/>
    <w:rsid w:val="004823CF"/>
    <w:rsid w:val="00482415"/>
    <w:rsid w:val="00482449"/>
    <w:rsid w:val="004824CB"/>
    <w:rsid w:val="004825A4"/>
    <w:rsid w:val="004825E2"/>
    <w:rsid w:val="004825F6"/>
    <w:rsid w:val="004825FB"/>
    <w:rsid w:val="00482725"/>
    <w:rsid w:val="0048273A"/>
    <w:rsid w:val="004827CC"/>
    <w:rsid w:val="004827D7"/>
    <w:rsid w:val="004827ED"/>
    <w:rsid w:val="0048286D"/>
    <w:rsid w:val="004828DF"/>
    <w:rsid w:val="004828F2"/>
    <w:rsid w:val="0048294F"/>
    <w:rsid w:val="00482A5B"/>
    <w:rsid w:val="00482A9C"/>
    <w:rsid w:val="00482B86"/>
    <w:rsid w:val="00482BB5"/>
    <w:rsid w:val="00482C43"/>
    <w:rsid w:val="00482C74"/>
    <w:rsid w:val="00482CA9"/>
    <w:rsid w:val="00482DA2"/>
    <w:rsid w:val="00482DAD"/>
    <w:rsid w:val="00482DBA"/>
    <w:rsid w:val="00482E5F"/>
    <w:rsid w:val="00482E71"/>
    <w:rsid w:val="00482ED1"/>
    <w:rsid w:val="00482ED6"/>
    <w:rsid w:val="00482F36"/>
    <w:rsid w:val="00482F51"/>
    <w:rsid w:val="00483066"/>
    <w:rsid w:val="00483084"/>
    <w:rsid w:val="004830A1"/>
    <w:rsid w:val="004830FF"/>
    <w:rsid w:val="004831A0"/>
    <w:rsid w:val="00483296"/>
    <w:rsid w:val="0048333C"/>
    <w:rsid w:val="004833D7"/>
    <w:rsid w:val="00483507"/>
    <w:rsid w:val="004838AA"/>
    <w:rsid w:val="00483ABE"/>
    <w:rsid w:val="00483B87"/>
    <w:rsid w:val="00483B96"/>
    <w:rsid w:val="00483CBC"/>
    <w:rsid w:val="00483CF0"/>
    <w:rsid w:val="00483D44"/>
    <w:rsid w:val="00483DDC"/>
    <w:rsid w:val="00483E4D"/>
    <w:rsid w:val="00483FBD"/>
    <w:rsid w:val="00484040"/>
    <w:rsid w:val="004840B2"/>
    <w:rsid w:val="004840C7"/>
    <w:rsid w:val="00484232"/>
    <w:rsid w:val="00484272"/>
    <w:rsid w:val="00484369"/>
    <w:rsid w:val="004843B4"/>
    <w:rsid w:val="00484463"/>
    <w:rsid w:val="00484647"/>
    <w:rsid w:val="004846B3"/>
    <w:rsid w:val="004846FB"/>
    <w:rsid w:val="004847BB"/>
    <w:rsid w:val="00484868"/>
    <w:rsid w:val="004848BC"/>
    <w:rsid w:val="004848E8"/>
    <w:rsid w:val="00484B1C"/>
    <w:rsid w:val="00484C1D"/>
    <w:rsid w:val="00484C40"/>
    <w:rsid w:val="00484C6F"/>
    <w:rsid w:val="00484C71"/>
    <w:rsid w:val="00484D3E"/>
    <w:rsid w:val="00484D5C"/>
    <w:rsid w:val="00484D8D"/>
    <w:rsid w:val="00484DA7"/>
    <w:rsid w:val="00484EB3"/>
    <w:rsid w:val="00484EC4"/>
    <w:rsid w:val="00484EEC"/>
    <w:rsid w:val="00484F13"/>
    <w:rsid w:val="00484F19"/>
    <w:rsid w:val="00484FF4"/>
    <w:rsid w:val="00485130"/>
    <w:rsid w:val="0048521E"/>
    <w:rsid w:val="0048526C"/>
    <w:rsid w:val="004853C3"/>
    <w:rsid w:val="0048540E"/>
    <w:rsid w:val="004855AF"/>
    <w:rsid w:val="0048570F"/>
    <w:rsid w:val="004857E5"/>
    <w:rsid w:val="004857F5"/>
    <w:rsid w:val="00485800"/>
    <w:rsid w:val="00485828"/>
    <w:rsid w:val="0048587B"/>
    <w:rsid w:val="00485AB2"/>
    <w:rsid w:val="00485AFE"/>
    <w:rsid w:val="00485B29"/>
    <w:rsid w:val="00485B35"/>
    <w:rsid w:val="00485B5C"/>
    <w:rsid w:val="00485BEF"/>
    <w:rsid w:val="00485C95"/>
    <w:rsid w:val="00485CA3"/>
    <w:rsid w:val="00485D05"/>
    <w:rsid w:val="00485D08"/>
    <w:rsid w:val="00485D6D"/>
    <w:rsid w:val="00485DC6"/>
    <w:rsid w:val="00485E1B"/>
    <w:rsid w:val="00485E62"/>
    <w:rsid w:val="00485E99"/>
    <w:rsid w:val="00485FDA"/>
    <w:rsid w:val="00486000"/>
    <w:rsid w:val="004860B1"/>
    <w:rsid w:val="0048615C"/>
    <w:rsid w:val="004861DB"/>
    <w:rsid w:val="00486213"/>
    <w:rsid w:val="0048626B"/>
    <w:rsid w:val="00486303"/>
    <w:rsid w:val="0048641E"/>
    <w:rsid w:val="0048647B"/>
    <w:rsid w:val="0048654D"/>
    <w:rsid w:val="004865C9"/>
    <w:rsid w:val="004865E3"/>
    <w:rsid w:val="00486630"/>
    <w:rsid w:val="00486720"/>
    <w:rsid w:val="00486736"/>
    <w:rsid w:val="00486765"/>
    <w:rsid w:val="00486803"/>
    <w:rsid w:val="0048688C"/>
    <w:rsid w:val="004868CC"/>
    <w:rsid w:val="00486948"/>
    <w:rsid w:val="00486954"/>
    <w:rsid w:val="004869E1"/>
    <w:rsid w:val="004869FF"/>
    <w:rsid w:val="00486A60"/>
    <w:rsid w:val="00486B1C"/>
    <w:rsid w:val="00486CE5"/>
    <w:rsid w:val="00486E5B"/>
    <w:rsid w:val="00486E6D"/>
    <w:rsid w:val="00486E95"/>
    <w:rsid w:val="004870E2"/>
    <w:rsid w:val="00487253"/>
    <w:rsid w:val="004872FA"/>
    <w:rsid w:val="00487331"/>
    <w:rsid w:val="00487378"/>
    <w:rsid w:val="004874EA"/>
    <w:rsid w:val="00487502"/>
    <w:rsid w:val="00487537"/>
    <w:rsid w:val="00487581"/>
    <w:rsid w:val="00487657"/>
    <w:rsid w:val="00487658"/>
    <w:rsid w:val="00487667"/>
    <w:rsid w:val="0048768F"/>
    <w:rsid w:val="004876C6"/>
    <w:rsid w:val="00487749"/>
    <w:rsid w:val="00487783"/>
    <w:rsid w:val="00487830"/>
    <w:rsid w:val="0048787B"/>
    <w:rsid w:val="00487914"/>
    <w:rsid w:val="00487AE3"/>
    <w:rsid w:val="00487AE6"/>
    <w:rsid w:val="00487B04"/>
    <w:rsid w:val="00487CAB"/>
    <w:rsid w:val="00487CCF"/>
    <w:rsid w:val="00487CE3"/>
    <w:rsid w:val="00487CFB"/>
    <w:rsid w:val="00487E15"/>
    <w:rsid w:val="00487ED5"/>
    <w:rsid w:val="00487F35"/>
    <w:rsid w:val="00487F41"/>
    <w:rsid w:val="00490090"/>
    <w:rsid w:val="004900BF"/>
    <w:rsid w:val="004902A7"/>
    <w:rsid w:val="0049033F"/>
    <w:rsid w:val="004903C8"/>
    <w:rsid w:val="0049044A"/>
    <w:rsid w:val="00490450"/>
    <w:rsid w:val="00490473"/>
    <w:rsid w:val="004904AF"/>
    <w:rsid w:val="00490527"/>
    <w:rsid w:val="00490870"/>
    <w:rsid w:val="00490985"/>
    <w:rsid w:val="00490C38"/>
    <w:rsid w:val="00490C9A"/>
    <w:rsid w:val="00490D90"/>
    <w:rsid w:val="00490E2D"/>
    <w:rsid w:val="00490E50"/>
    <w:rsid w:val="00490E56"/>
    <w:rsid w:val="00490E5C"/>
    <w:rsid w:val="00490FE2"/>
    <w:rsid w:val="00491015"/>
    <w:rsid w:val="004910C2"/>
    <w:rsid w:val="0049112C"/>
    <w:rsid w:val="004912C1"/>
    <w:rsid w:val="00491381"/>
    <w:rsid w:val="0049139B"/>
    <w:rsid w:val="004913DB"/>
    <w:rsid w:val="00491400"/>
    <w:rsid w:val="00491470"/>
    <w:rsid w:val="004914A5"/>
    <w:rsid w:val="004914DD"/>
    <w:rsid w:val="004914F9"/>
    <w:rsid w:val="00491529"/>
    <w:rsid w:val="0049153A"/>
    <w:rsid w:val="0049154A"/>
    <w:rsid w:val="004915A3"/>
    <w:rsid w:val="004915DC"/>
    <w:rsid w:val="00491626"/>
    <w:rsid w:val="00491658"/>
    <w:rsid w:val="00491683"/>
    <w:rsid w:val="004916CC"/>
    <w:rsid w:val="004916CE"/>
    <w:rsid w:val="00491705"/>
    <w:rsid w:val="00491723"/>
    <w:rsid w:val="00491753"/>
    <w:rsid w:val="00491820"/>
    <w:rsid w:val="004918BE"/>
    <w:rsid w:val="004918D4"/>
    <w:rsid w:val="004918E6"/>
    <w:rsid w:val="0049196E"/>
    <w:rsid w:val="004919E8"/>
    <w:rsid w:val="00491B3C"/>
    <w:rsid w:val="00491B4E"/>
    <w:rsid w:val="00491B9E"/>
    <w:rsid w:val="00491C64"/>
    <w:rsid w:val="00491D2D"/>
    <w:rsid w:val="00491DB0"/>
    <w:rsid w:val="00491DB9"/>
    <w:rsid w:val="00491ED5"/>
    <w:rsid w:val="00491FC4"/>
    <w:rsid w:val="00491FCB"/>
    <w:rsid w:val="00491FCE"/>
    <w:rsid w:val="0049200C"/>
    <w:rsid w:val="0049204D"/>
    <w:rsid w:val="00492058"/>
    <w:rsid w:val="0049213E"/>
    <w:rsid w:val="004921A6"/>
    <w:rsid w:val="00492312"/>
    <w:rsid w:val="00492329"/>
    <w:rsid w:val="00492372"/>
    <w:rsid w:val="004923C7"/>
    <w:rsid w:val="004924A3"/>
    <w:rsid w:val="0049262B"/>
    <w:rsid w:val="0049264E"/>
    <w:rsid w:val="00492730"/>
    <w:rsid w:val="00492792"/>
    <w:rsid w:val="004927CD"/>
    <w:rsid w:val="004927EC"/>
    <w:rsid w:val="0049283C"/>
    <w:rsid w:val="004928E2"/>
    <w:rsid w:val="004928FD"/>
    <w:rsid w:val="004929A0"/>
    <w:rsid w:val="004929BB"/>
    <w:rsid w:val="00492C38"/>
    <w:rsid w:val="00492CA3"/>
    <w:rsid w:val="00492CBE"/>
    <w:rsid w:val="00492D0A"/>
    <w:rsid w:val="00492D44"/>
    <w:rsid w:val="00492ED1"/>
    <w:rsid w:val="00492F50"/>
    <w:rsid w:val="00492FE3"/>
    <w:rsid w:val="00492FF7"/>
    <w:rsid w:val="00493133"/>
    <w:rsid w:val="0049318D"/>
    <w:rsid w:val="0049326D"/>
    <w:rsid w:val="0049329C"/>
    <w:rsid w:val="00493336"/>
    <w:rsid w:val="0049334E"/>
    <w:rsid w:val="004933A0"/>
    <w:rsid w:val="004933BC"/>
    <w:rsid w:val="00493415"/>
    <w:rsid w:val="004937B7"/>
    <w:rsid w:val="00493803"/>
    <w:rsid w:val="004938F0"/>
    <w:rsid w:val="00493937"/>
    <w:rsid w:val="004939BC"/>
    <w:rsid w:val="00493B09"/>
    <w:rsid w:val="00493BEE"/>
    <w:rsid w:val="00493CD4"/>
    <w:rsid w:val="00493DC8"/>
    <w:rsid w:val="00493E0D"/>
    <w:rsid w:val="00493E25"/>
    <w:rsid w:val="00493E43"/>
    <w:rsid w:val="00493E61"/>
    <w:rsid w:val="00493E68"/>
    <w:rsid w:val="00493E9A"/>
    <w:rsid w:val="00493F2E"/>
    <w:rsid w:val="00493FC2"/>
    <w:rsid w:val="00493FF8"/>
    <w:rsid w:val="00494050"/>
    <w:rsid w:val="004940EB"/>
    <w:rsid w:val="004940F9"/>
    <w:rsid w:val="004941AC"/>
    <w:rsid w:val="00494242"/>
    <w:rsid w:val="00494268"/>
    <w:rsid w:val="00494305"/>
    <w:rsid w:val="0049430A"/>
    <w:rsid w:val="00494327"/>
    <w:rsid w:val="00494559"/>
    <w:rsid w:val="004946AE"/>
    <w:rsid w:val="004947E3"/>
    <w:rsid w:val="00494815"/>
    <w:rsid w:val="004948CE"/>
    <w:rsid w:val="0049495A"/>
    <w:rsid w:val="00494A33"/>
    <w:rsid w:val="00494A42"/>
    <w:rsid w:val="00494AB0"/>
    <w:rsid w:val="00494B02"/>
    <w:rsid w:val="00494D6C"/>
    <w:rsid w:val="00494DCA"/>
    <w:rsid w:val="00494DF1"/>
    <w:rsid w:val="00494F85"/>
    <w:rsid w:val="004951A5"/>
    <w:rsid w:val="004951B5"/>
    <w:rsid w:val="00495434"/>
    <w:rsid w:val="00495487"/>
    <w:rsid w:val="0049554D"/>
    <w:rsid w:val="00495566"/>
    <w:rsid w:val="004955EF"/>
    <w:rsid w:val="0049560A"/>
    <w:rsid w:val="0049561C"/>
    <w:rsid w:val="00495850"/>
    <w:rsid w:val="00495880"/>
    <w:rsid w:val="004958E5"/>
    <w:rsid w:val="00495911"/>
    <w:rsid w:val="004959F6"/>
    <w:rsid w:val="004959FF"/>
    <w:rsid w:val="00495A85"/>
    <w:rsid w:val="00495B38"/>
    <w:rsid w:val="00495BAD"/>
    <w:rsid w:val="00495C58"/>
    <w:rsid w:val="00495DE5"/>
    <w:rsid w:val="00495E14"/>
    <w:rsid w:val="00495EEF"/>
    <w:rsid w:val="00495F93"/>
    <w:rsid w:val="00495FC9"/>
    <w:rsid w:val="00496004"/>
    <w:rsid w:val="0049625E"/>
    <w:rsid w:val="00496307"/>
    <w:rsid w:val="00496640"/>
    <w:rsid w:val="004967F3"/>
    <w:rsid w:val="0049687D"/>
    <w:rsid w:val="004968CE"/>
    <w:rsid w:val="00496903"/>
    <w:rsid w:val="004969C3"/>
    <w:rsid w:val="00496A6C"/>
    <w:rsid w:val="00496C7F"/>
    <w:rsid w:val="00496CAC"/>
    <w:rsid w:val="00496CCB"/>
    <w:rsid w:val="00496D92"/>
    <w:rsid w:val="00496E34"/>
    <w:rsid w:val="00496E72"/>
    <w:rsid w:val="00496EB8"/>
    <w:rsid w:val="00496F86"/>
    <w:rsid w:val="00496F93"/>
    <w:rsid w:val="00496FF7"/>
    <w:rsid w:val="00497164"/>
    <w:rsid w:val="00497188"/>
    <w:rsid w:val="0049724B"/>
    <w:rsid w:val="0049728F"/>
    <w:rsid w:val="004972B6"/>
    <w:rsid w:val="0049735E"/>
    <w:rsid w:val="0049736D"/>
    <w:rsid w:val="004974ED"/>
    <w:rsid w:val="004974FC"/>
    <w:rsid w:val="0049754E"/>
    <w:rsid w:val="00497706"/>
    <w:rsid w:val="00497708"/>
    <w:rsid w:val="00497739"/>
    <w:rsid w:val="004977C4"/>
    <w:rsid w:val="00497819"/>
    <w:rsid w:val="0049781E"/>
    <w:rsid w:val="00497838"/>
    <w:rsid w:val="00497849"/>
    <w:rsid w:val="0049785C"/>
    <w:rsid w:val="004978AE"/>
    <w:rsid w:val="0049793F"/>
    <w:rsid w:val="00497A6B"/>
    <w:rsid w:val="00497B13"/>
    <w:rsid w:val="00497B56"/>
    <w:rsid w:val="00497B8D"/>
    <w:rsid w:val="00497BD4"/>
    <w:rsid w:val="00497C0B"/>
    <w:rsid w:val="00497CAE"/>
    <w:rsid w:val="00497DF3"/>
    <w:rsid w:val="00497E12"/>
    <w:rsid w:val="00497EE2"/>
    <w:rsid w:val="004A0014"/>
    <w:rsid w:val="004A01FC"/>
    <w:rsid w:val="004A02DA"/>
    <w:rsid w:val="004A0417"/>
    <w:rsid w:val="004A0509"/>
    <w:rsid w:val="004A0520"/>
    <w:rsid w:val="004A066A"/>
    <w:rsid w:val="004A066C"/>
    <w:rsid w:val="004A07D3"/>
    <w:rsid w:val="004A07ED"/>
    <w:rsid w:val="004A07F2"/>
    <w:rsid w:val="004A087D"/>
    <w:rsid w:val="004A08A3"/>
    <w:rsid w:val="004A0912"/>
    <w:rsid w:val="004A09A6"/>
    <w:rsid w:val="004A0A8F"/>
    <w:rsid w:val="004A0AD3"/>
    <w:rsid w:val="004A0AE9"/>
    <w:rsid w:val="004A0B56"/>
    <w:rsid w:val="004A0C41"/>
    <w:rsid w:val="004A0D9E"/>
    <w:rsid w:val="004A0DB0"/>
    <w:rsid w:val="004A0DC8"/>
    <w:rsid w:val="004A0E51"/>
    <w:rsid w:val="004A0E56"/>
    <w:rsid w:val="004A0E7F"/>
    <w:rsid w:val="004A0EAF"/>
    <w:rsid w:val="004A0F1B"/>
    <w:rsid w:val="004A0F30"/>
    <w:rsid w:val="004A0F67"/>
    <w:rsid w:val="004A1021"/>
    <w:rsid w:val="004A111C"/>
    <w:rsid w:val="004A11DB"/>
    <w:rsid w:val="004A12BB"/>
    <w:rsid w:val="004A12DC"/>
    <w:rsid w:val="004A139E"/>
    <w:rsid w:val="004A144C"/>
    <w:rsid w:val="004A144D"/>
    <w:rsid w:val="004A1489"/>
    <w:rsid w:val="004A1514"/>
    <w:rsid w:val="004A1591"/>
    <w:rsid w:val="004A15C3"/>
    <w:rsid w:val="004A1629"/>
    <w:rsid w:val="004A1680"/>
    <w:rsid w:val="004A176D"/>
    <w:rsid w:val="004A17CF"/>
    <w:rsid w:val="004A19DE"/>
    <w:rsid w:val="004A1A3E"/>
    <w:rsid w:val="004A1B2D"/>
    <w:rsid w:val="004A1B4C"/>
    <w:rsid w:val="004A1BE5"/>
    <w:rsid w:val="004A1D0C"/>
    <w:rsid w:val="004A1D51"/>
    <w:rsid w:val="004A1DED"/>
    <w:rsid w:val="004A1E3B"/>
    <w:rsid w:val="004A1E7A"/>
    <w:rsid w:val="004A1EF9"/>
    <w:rsid w:val="004A1F46"/>
    <w:rsid w:val="004A2143"/>
    <w:rsid w:val="004A21B3"/>
    <w:rsid w:val="004A2313"/>
    <w:rsid w:val="004A2462"/>
    <w:rsid w:val="004A2712"/>
    <w:rsid w:val="004A2775"/>
    <w:rsid w:val="004A27FA"/>
    <w:rsid w:val="004A2834"/>
    <w:rsid w:val="004A28D8"/>
    <w:rsid w:val="004A2994"/>
    <w:rsid w:val="004A29BB"/>
    <w:rsid w:val="004A29C4"/>
    <w:rsid w:val="004A2A76"/>
    <w:rsid w:val="004A2B24"/>
    <w:rsid w:val="004A2B6F"/>
    <w:rsid w:val="004A2C1B"/>
    <w:rsid w:val="004A2C3A"/>
    <w:rsid w:val="004A2C4E"/>
    <w:rsid w:val="004A2C85"/>
    <w:rsid w:val="004A2C91"/>
    <w:rsid w:val="004A2C97"/>
    <w:rsid w:val="004A2CA4"/>
    <w:rsid w:val="004A2CBF"/>
    <w:rsid w:val="004A2D02"/>
    <w:rsid w:val="004A2D89"/>
    <w:rsid w:val="004A2DE9"/>
    <w:rsid w:val="004A2DF8"/>
    <w:rsid w:val="004A2E7C"/>
    <w:rsid w:val="004A2F11"/>
    <w:rsid w:val="004A30F9"/>
    <w:rsid w:val="004A31F7"/>
    <w:rsid w:val="004A328C"/>
    <w:rsid w:val="004A32DA"/>
    <w:rsid w:val="004A3472"/>
    <w:rsid w:val="004A3480"/>
    <w:rsid w:val="004A3550"/>
    <w:rsid w:val="004A358D"/>
    <w:rsid w:val="004A35EF"/>
    <w:rsid w:val="004A35F7"/>
    <w:rsid w:val="004A3632"/>
    <w:rsid w:val="004A371F"/>
    <w:rsid w:val="004A3826"/>
    <w:rsid w:val="004A3848"/>
    <w:rsid w:val="004A387E"/>
    <w:rsid w:val="004A3A32"/>
    <w:rsid w:val="004A3AAC"/>
    <w:rsid w:val="004A3B8E"/>
    <w:rsid w:val="004A3B90"/>
    <w:rsid w:val="004A3CF9"/>
    <w:rsid w:val="004A3D8A"/>
    <w:rsid w:val="004A3FB0"/>
    <w:rsid w:val="004A3FED"/>
    <w:rsid w:val="004A406F"/>
    <w:rsid w:val="004A40B9"/>
    <w:rsid w:val="004A41C6"/>
    <w:rsid w:val="004A421A"/>
    <w:rsid w:val="004A42D5"/>
    <w:rsid w:val="004A4520"/>
    <w:rsid w:val="004A456E"/>
    <w:rsid w:val="004A45F1"/>
    <w:rsid w:val="004A4721"/>
    <w:rsid w:val="004A47B3"/>
    <w:rsid w:val="004A47FF"/>
    <w:rsid w:val="004A4988"/>
    <w:rsid w:val="004A49A7"/>
    <w:rsid w:val="004A49BE"/>
    <w:rsid w:val="004A4A3E"/>
    <w:rsid w:val="004A4A69"/>
    <w:rsid w:val="004A4A85"/>
    <w:rsid w:val="004A4C19"/>
    <w:rsid w:val="004A4C7E"/>
    <w:rsid w:val="004A4D58"/>
    <w:rsid w:val="004A4D8B"/>
    <w:rsid w:val="004A4EB5"/>
    <w:rsid w:val="004A4ED1"/>
    <w:rsid w:val="004A4EEA"/>
    <w:rsid w:val="004A4EFB"/>
    <w:rsid w:val="004A4F4B"/>
    <w:rsid w:val="004A4F53"/>
    <w:rsid w:val="004A4F5E"/>
    <w:rsid w:val="004A4F9D"/>
    <w:rsid w:val="004A4FDB"/>
    <w:rsid w:val="004A5178"/>
    <w:rsid w:val="004A517E"/>
    <w:rsid w:val="004A5189"/>
    <w:rsid w:val="004A51AF"/>
    <w:rsid w:val="004A51E2"/>
    <w:rsid w:val="004A5258"/>
    <w:rsid w:val="004A5282"/>
    <w:rsid w:val="004A5296"/>
    <w:rsid w:val="004A529E"/>
    <w:rsid w:val="004A5311"/>
    <w:rsid w:val="004A533A"/>
    <w:rsid w:val="004A53E0"/>
    <w:rsid w:val="004A5469"/>
    <w:rsid w:val="004A548A"/>
    <w:rsid w:val="004A553F"/>
    <w:rsid w:val="004A5699"/>
    <w:rsid w:val="004A56EA"/>
    <w:rsid w:val="004A5717"/>
    <w:rsid w:val="004A5742"/>
    <w:rsid w:val="004A57A0"/>
    <w:rsid w:val="004A5809"/>
    <w:rsid w:val="004A5865"/>
    <w:rsid w:val="004A586A"/>
    <w:rsid w:val="004A59A6"/>
    <w:rsid w:val="004A5AB2"/>
    <w:rsid w:val="004A5BA3"/>
    <w:rsid w:val="004A5C86"/>
    <w:rsid w:val="004A5D27"/>
    <w:rsid w:val="004A5ECF"/>
    <w:rsid w:val="004A5F71"/>
    <w:rsid w:val="004A601E"/>
    <w:rsid w:val="004A6081"/>
    <w:rsid w:val="004A625D"/>
    <w:rsid w:val="004A63E7"/>
    <w:rsid w:val="004A654E"/>
    <w:rsid w:val="004A658B"/>
    <w:rsid w:val="004A65B5"/>
    <w:rsid w:val="004A65FC"/>
    <w:rsid w:val="004A660D"/>
    <w:rsid w:val="004A666A"/>
    <w:rsid w:val="004A66B5"/>
    <w:rsid w:val="004A6794"/>
    <w:rsid w:val="004A6865"/>
    <w:rsid w:val="004A699B"/>
    <w:rsid w:val="004A6A3B"/>
    <w:rsid w:val="004A6A7E"/>
    <w:rsid w:val="004A6A9A"/>
    <w:rsid w:val="004A6AC7"/>
    <w:rsid w:val="004A6B3F"/>
    <w:rsid w:val="004A6C22"/>
    <w:rsid w:val="004A6C35"/>
    <w:rsid w:val="004A6C54"/>
    <w:rsid w:val="004A6C9D"/>
    <w:rsid w:val="004A6CAF"/>
    <w:rsid w:val="004A6D86"/>
    <w:rsid w:val="004A6D9B"/>
    <w:rsid w:val="004A6E00"/>
    <w:rsid w:val="004A6E12"/>
    <w:rsid w:val="004A6E28"/>
    <w:rsid w:val="004A6FBC"/>
    <w:rsid w:val="004A6FC1"/>
    <w:rsid w:val="004A70FB"/>
    <w:rsid w:val="004A729B"/>
    <w:rsid w:val="004A7365"/>
    <w:rsid w:val="004A743D"/>
    <w:rsid w:val="004A747D"/>
    <w:rsid w:val="004A7487"/>
    <w:rsid w:val="004A74DA"/>
    <w:rsid w:val="004A75AE"/>
    <w:rsid w:val="004A76C7"/>
    <w:rsid w:val="004A7700"/>
    <w:rsid w:val="004A77D8"/>
    <w:rsid w:val="004A7828"/>
    <w:rsid w:val="004A7843"/>
    <w:rsid w:val="004A78DE"/>
    <w:rsid w:val="004A79FD"/>
    <w:rsid w:val="004A7A2D"/>
    <w:rsid w:val="004A7B32"/>
    <w:rsid w:val="004A7B4C"/>
    <w:rsid w:val="004A7BD0"/>
    <w:rsid w:val="004A7BE0"/>
    <w:rsid w:val="004A7C1C"/>
    <w:rsid w:val="004A7C48"/>
    <w:rsid w:val="004A7C79"/>
    <w:rsid w:val="004A7D18"/>
    <w:rsid w:val="004A7D62"/>
    <w:rsid w:val="004A7DB3"/>
    <w:rsid w:val="004A7F58"/>
    <w:rsid w:val="004A7F96"/>
    <w:rsid w:val="004A7FAB"/>
    <w:rsid w:val="004A7FB8"/>
    <w:rsid w:val="004B004D"/>
    <w:rsid w:val="004B02FE"/>
    <w:rsid w:val="004B0525"/>
    <w:rsid w:val="004B055A"/>
    <w:rsid w:val="004B05DF"/>
    <w:rsid w:val="004B0600"/>
    <w:rsid w:val="004B0695"/>
    <w:rsid w:val="004B074D"/>
    <w:rsid w:val="004B0791"/>
    <w:rsid w:val="004B07AC"/>
    <w:rsid w:val="004B07F4"/>
    <w:rsid w:val="004B07F6"/>
    <w:rsid w:val="004B08C7"/>
    <w:rsid w:val="004B092C"/>
    <w:rsid w:val="004B094E"/>
    <w:rsid w:val="004B0B18"/>
    <w:rsid w:val="004B0B3B"/>
    <w:rsid w:val="004B0B5F"/>
    <w:rsid w:val="004B0BC9"/>
    <w:rsid w:val="004B0D46"/>
    <w:rsid w:val="004B0D82"/>
    <w:rsid w:val="004B0DEA"/>
    <w:rsid w:val="004B0E41"/>
    <w:rsid w:val="004B0F21"/>
    <w:rsid w:val="004B0F8A"/>
    <w:rsid w:val="004B1007"/>
    <w:rsid w:val="004B10BC"/>
    <w:rsid w:val="004B10C4"/>
    <w:rsid w:val="004B110F"/>
    <w:rsid w:val="004B12B3"/>
    <w:rsid w:val="004B1637"/>
    <w:rsid w:val="004B1649"/>
    <w:rsid w:val="004B167D"/>
    <w:rsid w:val="004B186A"/>
    <w:rsid w:val="004B187F"/>
    <w:rsid w:val="004B1880"/>
    <w:rsid w:val="004B1982"/>
    <w:rsid w:val="004B1A0E"/>
    <w:rsid w:val="004B1AD2"/>
    <w:rsid w:val="004B1ADC"/>
    <w:rsid w:val="004B1B03"/>
    <w:rsid w:val="004B1BC9"/>
    <w:rsid w:val="004B1BF9"/>
    <w:rsid w:val="004B1C3D"/>
    <w:rsid w:val="004B1D32"/>
    <w:rsid w:val="004B1DB6"/>
    <w:rsid w:val="004B1FD3"/>
    <w:rsid w:val="004B233D"/>
    <w:rsid w:val="004B2403"/>
    <w:rsid w:val="004B251B"/>
    <w:rsid w:val="004B25C3"/>
    <w:rsid w:val="004B2705"/>
    <w:rsid w:val="004B271D"/>
    <w:rsid w:val="004B272B"/>
    <w:rsid w:val="004B2769"/>
    <w:rsid w:val="004B2802"/>
    <w:rsid w:val="004B287E"/>
    <w:rsid w:val="004B2930"/>
    <w:rsid w:val="004B2A0F"/>
    <w:rsid w:val="004B2A64"/>
    <w:rsid w:val="004B2BC7"/>
    <w:rsid w:val="004B2CCB"/>
    <w:rsid w:val="004B2D29"/>
    <w:rsid w:val="004B2D5C"/>
    <w:rsid w:val="004B2D7A"/>
    <w:rsid w:val="004B2DB2"/>
    <w:rsid w:val="004B2E50"/>
    <w:rsid w:val="004B2F64"/>
    <w:rsid w:val="004B2F87"/>
    <w:rsid w:val="004B2FA7"/>
    <w:rsid w:val="004B3114"/>
    <w:rsid w:val="004B32BD"/>
    <w:rsid w:val="004B33A3"/>
    <w:rsid w:val="004B344D"/>
    <w:rsid w:val="004B3676"/>
    <w:rsid w:val="004B3694"/>
    <w:rsid w:val="004B39D0"/>
    <w:rsid w:val="004B3A6A"/>
    <w:rsid w:val="004B3BAC"/>
    <w:rsid w:val="004B3C5D"/>
    <w:rsid w:val="004B3C64"/>
    <w:rsid w:val="004B3C98"/>
    <w:rsid w:val="004B3D50"/>
    <w:rsid w:val="004B3E52"/>
    <w:rsid w:val="004B3E8A"/>
    <w:rsid w:val="004B3F0F"/>
    <w:rsid w:val="004B3F76"/>
    <w:rsid w:val="004B3FF6"/>
    <w:rsid w:val="004B4084"/>
    <w:rsid w:val="004B40B8"/>
    <w:rsid w:val="004B43A3"/>
    <w:rsid w:val="004B43C8"/>
    <w:rsid w:val="004B445A"/>
    <w:rsid w:val="004B44A2"/>
    <w:rsid w:val="004B4509"/>
    <w:rsid w:val="004B4537"/>
    <w:rsid w:val="004B4570"/>
    <w:rsid w:val="004B4576"/>
    <w:rsid w:val="004B45CC"/>
    <w:rsid w:val="004B4608"/>
    <w:rsid w:val="004B4654"/>
    <w:rsid w:val="004B470B"/>
    <w:rsid w:val="004B4880"/>
    <w:rsid w:val="004B4989"/>
    <w:rsid w:val="004B49A4"/>
    <w:rsid w:val="004B49C0"/>
    <w:rsid w:val="004B4C35"/>
    <w:rsid w:val="004B4C81"/>
    <w:rsid w:val="004B4CEB"/>
    <w:rsid w:val="004B4CEC"/>
    <w:rsid w:val="004B4DC1"/>
    <w:rsid w:val="004B4E6A"/>
    <w:rsid w:val="004B4ED9"/>
    <w:rsid w:val="004B4FA0"/>
    <w:rsid w:val="004B4FFC"/>
    <w:rsid w:val="004B5007"/>
    <w:rsid w:val="004B5031"/>
    <w:rsid w:val="004B504E"/>
    <w:rsid w:val="004B50FA"/>
    <w:rsid w:val="004B5144"/>
    <w:rsid w:val="004B52FB"/>
    <w:rsid w:val="004B54F9"/>
    <w:rsid w:val="004B5510"/>
    <w:rsid w:val="004B5597"/>
    <w:rsid w:val="004B56CB"/>
    <w:rsid w:val="004B5767"/>
    <w:rsid w:val="004B5812"/>
    <w:rsid w:val="004B585F"/>
    <w:rsid w:val="004B588D"/>
    <w:rsid w:val="004B59B6"/>
    <w:rsid w:val="004B5A80"/>
    <w:rsid w:val="004B5DA1"/>
    <w:rsid w:val="004B5E24"/>
    <w:rsid w:val="004B5F25"/>
    <w:rsid w:val="004B5FFB"/>
    <w:rsid w:val="004B6041"/>
    <w:rsid w:val="004B6047"/>
    <w:rsid w:val="004B60CB"/>
    <w:rsid w:val="004B60F5"/>
    <w:rsid w:val="004B63F4"/>
    <w:rsid w:val="004B64BD"/>
    <w:rsid w:val="004B64EC"/>
    <w:rsid w:val="004B6628"/>
    <w:rsid w:val="004B66D3"/>
    <w:rsid w:val="004B6756"/>
    <w:rsid w:val="004B678A"/>
    <w:rsid w:val="004B6885"/>
    <w:rsid w:val="004B689F"/>
    <w:rsid w:val="004B68B6"/>
    <w:rsid w:val="004B6910"/>
    <w:rsid w:val="004B6948"/>
    <w:rsid w:val="004B6A70"/>
    <w:rsid w:val="004B6A9C"/>
    <w:rsid w:val="004B6C13"/>
    <w:rsid w:val="004B6C93"/>
    <w:rsid w:val="004B6CDD"/>
    <w:rsid w:val="004B6DD6"/>
    <w:rsid w:val="004B6DE1"/>
    <w:rsid w:val="004B6E40"/>
    <w:rsid w:val="004B6EE9"/>
    <w:rsid w:val="004B6F96"/>
    <w:rsid w:val="004B70C3"/>
    <w:rsid w:val="004B718E"/>
    <w:rsid w:val="004B719D"/>
    <w:rsid w:val="004B71ED"/>
    <w:rsid w:val="004B7261"/>
    <w:rsid w:val="004B72BE"/>
    <w:rsid w:val="004B72D6"/>
    <w:rsid w:val="004B73B2"/>
    <w:rsid w:val="004B74AC"/>
    <w:rsid w:val="004B74C9"/>
    <w:rsid w:val="004B75FF"/>
    <w:rsid w:val="004B7655"/>
    <w:rsid w:val="004B778D"/>
    <w:rsid w:val="004B77E1"/>
    <w:rsid w:val="004B7865"/>
    <w:rsid w:val="004B7913"/>
    <w:rsid w:val="004B7936"/>
    <w:rsid w:val="004B79F9"/>
    <w:rsid w:val="004B79FE"/>
    <w:rsid w:val="004B7B8A"/>
    <w:rsid w:val="004B7BE4"/>
    <w:rsid w:val="004B7C40"/>
    <w:rsid w:val="004B7DB9"/>
    <w:rsid w:val="004B7FFE"/>
    <w:rsid w:val="004C0031"/>
    <w:rsid w:val="004C00DC"/>
    <w:rsid w:val="004C0203"/>
    <w:rsid w:val="004C0261"/>
    <w:rsid w:val="004C037E"/>
    <w:rsid w:val="004C03A1"/>
    <w:rsid w:val="004C0460"/>
    <w:rsid w:val="004C0618"/>
    <w:rsid w:val="004C0722"/>
    <w:rsid w:val="004C08C0"/>
    <w:rsid w:val="004C09C7"/>
    <w:rsid w:val="004C0C22"/>
    <w:rsid w:val="004C0CED"/>
    <w:rsid w:val="004C0D3B"/>
    <w:rsid w:val="004C0D84"/>
    <w:rsid w:val="004C0E4D"/>
    <w:rsid w:val="004C0E50"/>
    <w:rsid w:val="004C0EF6"/>
    <w:rsid w:val="004C0F08"/>
    <w:rsid w:val="004C0F5B"/>
    <w:rsid w:val="004C0F99"/>
    <w:rsid w:val="004C1004"/>
    <w:rsid w:val="004C100B"/>
    <w:rsid w:val="004C103C"/>
    <w:rsid w:val="004C119D"/>
    <w:rsid w:val="004C1275"/>
    <w:rsid w:val="004C1296"/>
    <w:rsid w:val="004C12B1"/>
    <w:rsid w:val="004C1329"/>
    <w:rsid w:val="004C1417"/>
    <w:rsid w:val="004C144A"/>
    <w:rsid w:val="004C14C2"/>
    <w:rsid w:val="004C1587"/>
    <w:rsid w:val="004C1706"/>
    <w:rsid w:val="004C17C3"/>
    <w:rsid w:val="004C184B"/>
    <w:rsid w:val="004C1854"/>
    <w:rsid w:val="004C1887"/>
    <w:rsid w:val="004C18AB"/>
    <w:rsid w:val="004C18EB"/>
    <w:rsid w:val="004C18F9"/>
    <w:rsid w:val="004C196A"/>
    <w:rsid w:val="004C198F"/>
    <w:rsid w:val="004C1AAC"/>
    <w:rsid w:val="004C1B42"/>
    <w:rsid w:val="004C1C54"/>
    <w:rsid w:val="004C1C6C"/>
    <w:rsid w:val="004C1CAB"/>
    <w:rsid w:val="004C1D7A"/>
    <w:rsid w:val="004C1DC1"/>
    <w:rsid w:val="004C1E33"/>
    <w:rsid w:val="004C202E"/>
    <w:rsid w:val="004C2117"/>
    <w:rsid w:val="004C2181"/>
    <w:rsid w:val="004C2397"/>
    <w:rsid w:val="004C23F4"/>
    <w:rsid w:val="004C2481"/>
    <w:rsid w:val="004C24F0"/>
    <w:rsid w:val="004C2559"/>
    <w:rsid w:val="004C2665"/>
    <w:rsid w:val="004C2906"/>
    <w:rsid w:val="004C2A15"/>
    <w:rsid w:val="004C2A1A"/>
    <w:rsid w:val="004C2AC9"/>
    <w:rsid w:val="004C2B3D"/>
    <w:rsid w:val="004C2CBF"/>
    <w:rsid w:val="004C2D76"/>
    <w:rsid w:val="004C2E08"/>
    <w:rsid w:val="004C2E74"/>
    <w:rsid w:val="004C2EF7"/>
    <w:rsid w:val="004C2F79"/>
    <w:rsid w:val="004C2F93"/>
    <w:rsid w:val="004C2FD1"/>
    <w:rsid w:val="004C30EE"/>
    <w:rsid w:val="004C3164"/>
    <w:rsid w:val="004C3178"/>
    <w:rsid w:val="004C3186"/>
    <w:rsid w:val="004C320B"/>
    <w:rsid w:val="004C33AA"/>
    <w:rsid w:val="004C3596"/>
    <w:rsid w:val="004C36F9"/>
    <w:rsid w:val="004C3767"/>
    <w:rsid w:val="004C37E5"/>
    <w:rsid w:val="004C381A"/>
    <w:rsid w:val="004C3845"/>
    <w:rsid w:val="004C38CF"/>
    <w:rsid w:val="004C3970"/>
    <w:rsid w:val="004C3A0B"/>
    <w:rsid w:val="004C3A25"/>
    <w:rsid w:val="004C3AF4"/>
    <w:rsid w:val="004C3C16"/>
    <w:rsid w:val="004C3C29"/>
    <w:rsid w:val="004C3D66"/>
    <w:rsid w:val="004C3F28"/>
    <w:rsid w:val="004C3F81"/>
    <w:rsid w:val="004C3FEE"/>
    <w:rsid w:val="004C413C"/>
    <w:rsid w:val="004C41E8"/>
    <w:rsid w:val="004C4374"/>
    <w:rsid w:val="004C43AC"/>
    <w:rsid w:val="004C4465"/>
    <w:rsid w:val="004C44C6"/>
    <w:rsid w:val="004C452E"/>
    <w:rsid w:val="004C45E3"/>
    <w:rsid w:val="004C468E"/>
    <w:rsid w:val="004C4730"/>
    <w:rsid w:val="004C47F0"/>
    <w:rsid w:val="004C4839"/>
    <w:rsid w:val="004C4893"/>
    <w:rsid w:val="004C4A1F"/>
    <w:rsid w:val="004C4AA9"/>
    <w:rsid w:val="004C4B88"/>
    <w:rsid w:val="004C4B9B"/>
    <w:rsid w:val="004C4C10"/>
    <w:rsid w:val="004C4C41"/>
    <w:rsid w:val="004C4D43"/>
    <w:rsid w:val="004C4D71"/>
    <w:rsid w:val="004C4D7E"/>
    <w:rsid w:val="004C4DC7"/>
    <w:rsid w:val="004C4E72"/>
    <w:rsid w:val="004C4ECF"/>
    <w:rsid w:val="004C4FAE"/>
    <w:rsid w:val="004C5046"/>
    <w:rsid w:val="004C5068"/>
    <w:rsid w:val="004C5080"/>
    <w:rsid w:val="004C517A"/>
    <w:rsid w:val="004C52BD"/>
    <w:rsid w:val="004C550E"/>
    <w:rsid w:val="004C5677"/>
    <w:rsid w:val="004C56C6"/>
    <w:rsid w:val="004C56FD"/>
    <w:rsid w:val="004C570B"/>
    <w:rsid w:val="004C5718"/>
    <w:rsid w:val="004C57F6"/>
    <w:rsid w:val="004C5875"/>
    <w:rsid w:val="004C58E8"/>
    <w:rsid w:val="004C5A12"/>
    <w:rsid w:val="004C5C65"/>
    <w:rsid w:val="004C5CBD"/>
    <w:rsid w:val="004C5CFF"/>
    <w:rsid w:val="004C5D20"/>
    <w:rsid w:val="004C5D42"/>
    <w:rsid w:val="004C5E93"/>
    <w:rsid w:val="004C5EF9"/>
    <w:rsid w:val="004C5F57"/>
    <w:rsid w:val="004C6063"/>
    <w:rsid w:val="004C60AE"/>
    <w:rsid w:val="004C60D7"/>
    <w:rsid w:val="004C618F"/>
    <w:rsid w:val="004C6194"/>
    <w:rsid w:val="004C6210"/>
    <w:rsid w:val="004C62C8"/>
    <w:rsid w:val="004C62E9"/>
    <w:rsid w:val="004C632E"/>
    <w:rsid w:val="004C6349"/>
    <w:rsid w:val="004C63FE"/>
    <w:rsid w:val="004C6552"/>
    <w:rsid w:val="004C659A"/>
    <w:rsid w:val="004C65CF"/>
    <w:rsid w:val="004C65F6"/>
    <w:rsid w:val="004C6644"/>
    <w:rsid w:val="004C6666"/>
    <w:rsid w:val="004C676A"/>
    <w:rsid w:val="004C6856"/>
    <w:rsid w:val="004C694D"/>
    <w:rsid w:val="004C69F7"/>
    <w:rsid w:val="004C6A79"/>
    <w:rsid w:val="004C6B39"/>
    <w:rsid w:val="004C6B6F"/>
    <w:rsid w:val="004C6BAC"/>
    <w:rsid w:val="004C6BDD"/>
    <w:rsid w:val="004C6D0E"/>
    <w:rsid w:val="004C6D34"/>
    <w:rsid w:val="004C6D7E"/>
    <w:rsid w:val="004C6DA1"/>
    <w:rsid w:val="004C6F83"/>
    <w:rsid w:val="004C6F86"/>
    <w:rsid w:val="004C6FD5"/>
    <w:rsid w:val="004C703F"/>
    <w:rsid w:val="004C708A"/>
    <w:rsid w:val="004C7280"/>
    <w:rsid w:val="004C738B"/>
    <w:rsid w:val="004C73FF"/>
    <w:rsid w:val="004C7401"/>
    <w:rsid w:val="004C743D"/>
    <w:rsid w:val="004C745A"/>
    <w:rsid w:val="004C752C"/>
    <w:rsid w:val="004C7556"/>
    <w:rsid w:val="004C75CA"/>
    <w:rsid w:val="004C75EC"/>
    <w:rsid w:val="004C7635"/>
    <w:rsid w:val="004C763C"/>
    <w:rsid w:val="004C7669"/>
    <w:rsid w:val="004C7725"/>
    <w:rsid w:val="004C776C"/>
    <w:rsid w:val="004C7897"/>
    <w:rsid w:val="004C7906"/>
    <w:rsid w:val="004C7A74"/>
    <w:rsid w:val="004C7B63"/>
    <w:rsid w:val="004C7BE7"/>
    <w:rsid w:val="004C7BF7"/>
    <w:rsid w:val="004C7C18"/>
    <w:rsid w:val="004C7C63"/>
    <w:rsid w:val="004C7D28"/>
    <w:rsid w:val="004C7D2C"/>
    <w:rsid w:val="004C7DE1"/>
    <w:rsid w:val="004C7DE3"/>
    <w:rsid w:val="004D0000"/>
    <w:rsid w:val="004D00A9"/>
    <w:rsid w:val="004D01CE"/>
    <w:rsid w:val="004D0215"/>
    <w:rsid w:val="004D028B"/>
    <w:rsid w:val="004D0337"/>
    <w:rsid w:val="004D03AB"/>
    <w:rsid w:val="004D0501"/>
    <w:rsid w:val="004D0530"/>
    <w:rsid w:val="004D0596"/>
    <w:rsid w:val="004D05AD"/>
    <w:rsid w:val="004D05B1"/>
    <w:rsid w:val="004D05B5"/>
    <w:rsid w:val="004D05C3"/>
    <w:rsid w:val="004D05E2"/>
    <w:rsid w:val="004D06FE"/>
    <w:rsid w:val="004D0861"/>
    <w:rsid w:val="004D0873"/>
    <w:rsid w:val="004D0877"/>
    <w:rsid w:val="004D092F"/>
    <w:rsid w:val="004D0939"/>
    <w:rsid w:val="004D0A66"/>
    <w:rsid w:val="004D0A96"/>
    <w:rsid w:val="004D0B09"/>
    <w:rsid w:val="004D0B57"/>
    <w:rsid w:val="004D0DC7"/>
    <w:rsid w:val="004D10A3"/>
    <w:rsid w:val="004D112B"/>
    <w:rsid w:val="004D121C"/>
    <w:rsid w:val="004D1303"/>
    <w:rsid w:val="004D132A"/>
    <w:rsid w:val="004D165E"/>
    <w:rsid w:val="004D166F"/>
    <w:rsid w:val="004D18D1"/>
    <w:rsid w:val="004D19C2"/>
    <w:rsid w:val="004D19D1"/>
    <w:rsid w:val="004D19F7"/>
    <w:rsid w:val="004D1A02"/>
    <w:rsid w:val="004D1A2E"/>
    <w:rsid w:val="004D1AD4"/>
    <w:rsid w:val="004D1AEA"/>
    <w:rsid w:val="004D1AFE"/>
    <w:rsid w:val="004D1B2D"/>
    <w:rsid w:val="004D1BEE"/>
    <w:rsid w:val="004D1C85"/>
    <w:rsid w:val="004D1D32"/>
    <w:rsid w:val="004D1D3C"/>
    <w:rsid w:val="004D1E00"/>
    <w:rsid w:val="004D1E08"/>
    <w:rsid w:val="004D1E88"/>
    <w:rsid w:val="004D1F3C"/>
    <w:rsid w:val="004D203A"/>
    <w:rsid w:val="004D24A6"/>
    <w:rsid w:val="004D24D6"/>
    <w:rsid w:val="004D25B0"/>
    <w:rsid w:val="004D265D"/>
    <w:rsid w:val="004D2676"/>
    <w:rsid w:val="004D2779"/>
    <w:rsid w:val="004D2790"/>
    <w:rsid w:val="004D27B7"/>
    <w:rsid w:val="004D2891"/>
    <w:rsid w:val="004D2958"/>
    <w:rsid w:val="004D2974"/>
    <w:rsid w:val="004D29A3"/>
    <w:rsid w:val="004D2A3E"/>
    <w:rsid w:val="004D2A49"/>
    <w:rsid w:val="004D2B4F"/>
    <w:rsid w:val="004D2B51"/>
    <w:rsid w:val="004D2C37"/>
    <w:rsid w:val="004D2D5F"/>
    <w:rsid w:val="004D2E0C"/>
    <w:rsid w:val="004D2E6B"/>
    <w:rsid w:val="004D2EAF"/>
    <w:rsid w:val="004D2F33"/>
    <w:rsid w:val="004D2FE7"/>
    <w:rsid w:val="004D301B"/>
    <w:rsid w:val="004D3076"/>
    <w:rsid w:val="004D3128"/>
    <w:rsid w:val="004D315E"/>
    <w:rsid w:val="004D32F5"/>
    <w:rsid w:val="004D3354"/>
    <w:rsid w:val="004D3416"/>
    <w:rsid w:val="004D3500"/>
    <w:rsid w:val="004D35A9"/>
    <w:rsid w:val="004D35EE"/>
    <w:rsid w:val="004D3630"/>
    <w:rsid w:val="004D36D2"/>
    <w:rsid w:val="004D3772"/>
    <w:rsid w:val="004D37B1"/>
    <w:rsid w:val="004D37F4"/>
    <w:rsid w:val="004D3919"/>
    <w:rsid w:val="004D392F"/>
    <w:rsid w:val="004D3A67"/>
    <w:rsid w:val="004D3B1E"/>
    <w:rsid w:val="004D3BF9"/>
    <w:rsid w:val="004D3C20"/>
    <w:rsid w:val="004D3C86"/>
    <w:rsid w:val="004D3DD8"/>
    <w:rsid w:val="004D3EDB"/>
    <w:rsid w:val="004D3FA6"/>
    <w:rsid w:val="004D402C"/>
    <w:rsid w:val="004D4044"/>
    <w:rsid w:val="004D40CC"/>
    <w:rsid w:val="004D412F"/>
    <w:rsid w:val="004D424F"/>
    <w:rsid w:val="004D427F"/>
    <w:rsid w:val="004D429C"/>
    <w:rsid w:val="004D42F7"/>
    <w:rsid w:val="004D42F9"/>
    <w:rsid w:val="004D430E"/>
    <w:rsid w:val="004D4391"/>
    <w:rsid w:val="004D4471"/>
    <w:rsid w:val="004D45BF"/>
    <w:rsid w:val="004D4603"/>
    <w:rsid w:val="004D4677"/>
    <w:rsid w:val="004D46A3"/>
    <w:rsid w:val="004D4717"/>
    <w:rsid w:val="004D4752"/>
    <w:rsid w:val="004D47D3"/>
    <w:rsid w:val="004D47F1"/>
    <w:rsid w:val="004D481F"/>
    <w:rsid w:val="004D482A"/>
    <w:rsid w:val="004D49EC"/>
    <w:rsid w:val="004D49F1"/>
    <w:rsid w:val="004D4A11"/>
    <w:rsid w:val="004D4A2F"/>
    <w:rsid w:val="004D4A3D"/>
    <w:rsid w:val="004D4AF0"/>
    <w:rsid w:val="004D4B1B"/>
    <w:rsid w:val="004D4B97"/>
    <w:rsid w:val="004D4C4A"/>
    <w:rsid w:val="004D4C59"/>
    <w:rsid w:val="004D4C9E"/>
    <w:rsid w:val="004D4D1E"/>
    <w:rsid w:val="004D4DE4"/>
    <w:rsid w:val="004D4E3E"/>
    <w:rsid w:val="004D4E46"/>
    <w:rsid w:val="004D4E58"/>
    <w:rsid w:val="004D4F04"/>
    <w:rsid w:val="004D4F6D"/>
    <w:rsid w:val="004D5005"/>
    <w:rsid w:val="004D501F"/>
    <w:rsid w:val="004D5091"/>
    <w:rsid w:val="004D5135"/>
    <w:rsid w:val="004D51A6"/>
    <w:rsid w:val="004D5335"/>
    <w:rsid w:val="004D5632"/>
    <w:rsid w:val="004D56CC"/>
    <w:rsid w:val="004D578D"/>
    <w:rsid w:val="004D57AD"/>
    <w:rsid w:val="004D5824"/>
    <w:rsid w:val="004D58C9"/>
    <w:rsid w:val="004D58DB"/>
    <w:rsid w:val="004D5A4E"/>
    <w:rsid w:val="004D5A70"/>
    <w:rsid w:val="004D5A9F"/>
    <w:rsid w:val="004D5B3C"/>
    <w:rsid w:val="004D5B5E"/>
    <w:rsid w:val="004D5C8B"/>
    <w:rsid w:val="004D5CB3"/>
    <w:rsid w:val="004D5CCE"/>
    <w:rsid w:val="004D5D03"/>
    <w:rsid w:val="004D5D2F"/>
    <w:rsid w:val="004D5DD8"/>
    <w:rsid w:val="004D5E57"/>
    <w:rsid w:val="004D5F22"/>
    <w:rsid w:val="004D5F54"/>
    <w:rsid w:val="004D60B4"/>
    <w:rsid w:val="004D6129"/>
    <w:rsid w:val="004D61F4"/>
    <w:rsid w:val="004D6500"/>
    <w:rsid w:val="004D65E3"/>
    <w:rsid w:val="004D6673"/>
    <w:rsid w:val="004D6692"/>
    <w:rsid w:val="004D66C2"/>
    <w:rsid w:val="004D67B7"/>
    <w:rsid w:val="004D682E"/>
    <w:rsid w:val="004D686A"/>
    <w:rsid w:val="004D689D"/>
    <w:rsid w:val="004D68F0"/>
    <w:rsid w:val="004D68F6"/>
    <w:rsid w:val="004D693C"/>
    <w:rsid w:val="004D6989"/>
    <w:rsid w:val="004D69DE"/>
    <w:rsid w:val="004D6AA0"/>
    <w:rsid w:val="004D6AED"/>
    <w:rsid w:val="004D6B40"/>
    <w:rsid w:val="004D6BC3"/>
    <w:rsid w:val="004D6C55"/>
    <w:rsid w:val="004D6CED"/>
    <w:rsid w:val="004D6EBF"/>
    <w:rsid w:val="004D6FC4"/>
    <w:rsid w:val="004D6FF1"/>
    <w:rsid w:val="004D7097"/>
    <w:rsid w:val="004D71B6"/>
    <w:rsid w:val="004D7303"/>
    <w:rsid w:val="004D73A5"/>
    <w:rsid w:val="004D7406"/>
    <w:rsid w:val="004D740D"/>
    <w:rsid w:val="004D7680"/>
    <w:rsid w:val="004D772E"/>
    <w:rsid w:val="004D7804"/>
    <w:rsid w:val="004D7805"/>
    <w:rsid w:val="004D79D8"/>
    <w:rsid w:val="004D7A84"/>
    <w:rsid w:val="004D7D01"/>
    <w:rsid w:val="004D7D20"/>
    <w:rsid w:val="004D7D28"/>
    <w:rsid w:val="004D7D88"/>
    <w:rsid w:val="004D7D96"/>
    <w:rsid w:val="004D7EAC"/>
    <w:rsid w:val="004D7ECF"/>
    <w:rsid w:val="004D7F92"/>
    <w:rsid w:val="004E0050"/>
    <w:rsid w:val="004E0100"/>
    <w:rsid w:val="004E01BD"/>
    <w:rsid w:val="004E01FD"/>
    <w:rsid w:val="004E03FA"/>
    <w:rsid w:val="004E0404"/>
    <w:rsid w:val="004E049C"/>
    <w:rsid w:val="004E04AA"/>
    <w:rsid w:val="004E04AC"/>
    <w:rsid w:val="004E0545"/>
    <w:rsid w:val="004E0633"/>
    <w:rsid w:val="004E069C"/>
    <w:rsid w:val="004E06B2"/>
    <w:rsid w:val="004E075B"/>
    <w:rsid w:val="004E080C"/>
    <w:rsid w:val="004E0825"/>
    <w:rsid w:val="004E0891"/>
    <w:rsid w:val="004E08D1"/>
    <w:rsid w:val="004E08D5"/>
    <w:rsid w:val="004E08F3"/>
    <w:rsid w:val="004E0946"/>
    <w:rsid w:val="004E094D"/>
    <w:rsid w:val="004E09B2"/>
    <w:rsid w:val="004E0A36"/>
    <w:rsid w:val="004E0A54"/>
    <w:rsid w:val="004E0B41"/>
    <w:rsid w:val="004E0B6C"/>
    <w:rsid w:val="004E0C96"/>
    <w:rsid w:val="004E0E8D"/>
    <w:rsid w:val="004E1008"/>
    <w:rsid w:val="004E101A"/>
    <w:rsid w:val="004E10C4"/>
    <w:rsid w:val="004E1175"/>
    <w:rsid w:val="004E11EA"/>
    <w:rsid w:val="004E121C"/>
    <w:rsid w:val="004E133E"/>
    <w:rsid w:val="004E13B1"/>
    <w:rsid w:val="004E1462"/>
    <w:rsid w:val="004E14E0"/>
    <w:rsid w:val="004E157E"/>
    <w:rsid w:val="004E164B"/>
    <w:rsid w:val="004E16F7"/>
    <w:rsid w:val="004E1741"/>
    <w:rsid w:val="004E1797"/>
    <w:rsid w:val="004E1925"/>
    <w:rsid w:val="004E19C1"/>
    <w:rsid w:val="004E19FC"/>
    <w:rsid w:val="004E1A7E"/>
    <w:rsid w:val="004E1A7F"/>
    <w:rsid w:val="004E1AB6"/>
    <w:rsid w:val="004E1AEA"/>
    <w:rsid w:val="004E1B3B"/>
    <w:rsid w:val="004E1C19"/>
    <w:rsid w:val="004E1C3D"/>
    <w:rsid w:val="004E1CD0"/>
    <w:rsid w:val="004E1D1D"/>
    <w:rsid w:val="004E1D22"/>
    <w:rsid w:val="004E1D62"/>
    <w:rsid w:val="004E1DB1"/>
    <w:rsid w:val="004E1E80"/>
    <w:rsid w:val="004E1F33"/>
    <w:rsid w:val="004E1F41"/>
    <w:rsid w:val="004E1F7E"/>
    <w:rsid w:val="004E2113"/>
    <w:rsid w:val="004E221D"/>
    <w:rsid w:val="004E22E1"/>
    <w:rsid w:val="004E247A"/>
    <w:rsid w:val="004E2553"/>
    <w:rsid w:val="004E25D5"/>
    <w:rsid w:val="004E2639"/>
    <w:rsid w:val="004E2696"/>
    <w:rsid w:val="004E26FC"/>
    <w:rsid w:val="004E2740"/>
    <w:rsid w:val="004E2850"/>
    <w:rsid w:val="004E286A"/>
    <w:rsid w:val="004E28C3"/>
    <w:rsid w:val="004E2C3F"/>
    <w:rsid w:val="004E2C42"/>
    <w:rsid w:val="004E2CA7"/>
    <w:rsid w:val="004E2D18"/>
    <w:rsid w:val="004E2DEB"/>
    <w:rsid w:val="004E2F15"/>
    <w:rsid w:val="004E2F9A"/>
    <w:rsid w:val="004E2FD7"/>
    <w:rsid w:val="004E2FE4"/>
    <w:rsid w:val="004E3056"/>
    <w:rsid w:val="004E3077"/>
    <w:rsid w:val="004E317D"/>
    <w:rsid w:val="004E319E"/>
    <w:rsid w:val="004E326F"/>
    <w:rsid w:val="004E337E"/>
    <w:rsid w:val="004E341F"/>
    <w:rsid w:val="004E3483"/>
    <w:rsid w:val="004E34D5"/>
    <w:rsid w:val="004E34DB"/>
    <w:rsid w:val="004E358A"/>
    <w:rsid w:val="004E361B"/>
    <w:rsid w:val="004E3699"/>
    <w:rsid w:val="004E38FE"/>
    <w:rsid w:val="004E3959"/>
    <w:rsid w:val="004E3966"/>
    <w:rsid w:val="004E3989"/>
    <w:rsid w:val="004E3994"/>
    <w:rsid w:val="004E3B36"/>
    <w:rsid w:val="004E3B73"/>
    <w:rsid w:val="004E3C80"/>
    <w:rsid w:val="004E3C87"/>
    <w:rsid w:val="004E3D40"/>
    <w:rsid w:val="004E3E80"/>
    <w:rsid w:val="004E3E96"/>
    <w:rsid w:val="004E3EAA"/>
    <w:rsid w:val="004E3EB4"/>
    <w:rsid w:val="004E3F2E"/>
    <w:rsid w:val="004E3FBB"/>
    <w:rsid w:val="004E3FD1"/>
    <w:rsid w:val="004E3FD6"/>
    <w:rsid w:val="004E3FFE"/>
    <w:rsid w:val="004E404B"/>
    <w:rsid w:val="004E41FB"/>
    <w:rsid w:val="004E42B3"/>
    <w:rsid w:val="004E42F9"/>
    <w:rsid w:val="004E4324"/>
    <w:rsid w:val="004E43E3"/>
    <w:rsid w:val="004E43F8"/>
    <w:rsid w:val="004E4578"/>
    <w:rsid w:val="004E4597"/>
    <w:rsid w:val="004E45CD"/>
    <w:rsid w:val="004E4640"/>
    <w:rsid w:val="004E4643"/>
    <w:rsid w:val="004E46C2"/>
    <w:rsid w:val="004E4753"/>
    <w:rsid w:val="004E4874"/>
    <w:rsid w:val="004E48A5"/>
    <w:rsid w:val="004E48D4"/>
    <w:rsid w:val="004E495D"/>
    <w:rsid w:val="004E4A33"/>
    <w:rsid w:val="004E4B73"/>
    <w:rsid w:val="004E4B7D"/>
    <w:rsid w:val="004E4B9E"/>
    <w:rsid w:val="004E4C28"/>
    <w:rsid w:val="004E4C52"/>
    <w:rsid w:val="004E4E32"/>
    <w:rsid w:val="004E4E5A"/>
    <w:rsid w:val="004E4E5D"/>
    <w:rsid w:val="004E4E75"/>
    <w:rsid w:val="004E4EA1"/>
    <w:rsid w:val="004E4EA3"/>
    <w:rsid w:val="004E5000"/>
    <w:rsid w:val="004E5016"/>
    <w:rsid w:val="004E5034"/>
    <w:rsid w:val="004E504B"/>
    <w:rsid w:val="004E5081"/>
    <w:rsid w:val="004E5102"/>
    <w:rsid w:val="004E5103"/>
    <w:rsid w:val="004E52A2"/>
    <w:rsid w:val="004E53FE"/>
    <w:rsid w:val="004E5462"/>
    <w:rsid w:val="004E5490"/>
    <w:rsid w:val="004E54FE"/>
    <w:rsid w:val="004E5550"/>
    <w:rsid w:val="004E5583"/>
    <w:rsid w:val="004E55E9"/>
    <w:rsid w:val="004E565D"/>
    <w:rsid w:val="004E566E"/>
    <w:rsid w:val="004E56C3"/>
    <w:rsid w:val="004E5713"/>
    <w:rsid w:val="004E574E"/>
    <w:rsid w:val="004E5820"/>
    <w:rsid w:val="004E59AC"/>
    <w:rsid w:val="004E5A2F"/>
    <w:rsid w:val="004E5AE6"/>
    <w:rsid w:val="004E5AED"/>
    <w:rsid w:val="004E5B38"/>
    <w:rsid w:val="004E5C25"/>
    <w:rsid w:val="004E5C92"/>
    <w:rsid w:val="004E5CCB"/>
    <w:rsid w:val="004E5DD2"/>
    <w:rsid w:val="004E5E4D"/>
    <w:rsid w:val="004E5E69"/>
    <w:rsid w:val="004E5FF0"/>
    <w:rsid w:val="004E61B2"/>
    <w:rsid w:val="004E61BF"/>
    <w:rsid w:val="004E6238"/>
    <w:rsid w:val="004E62B4"/>
    <w:rsid w:val="004E62D2"/>
    <w:rsid w:val="004E63A9"/>
    <w:rsid w:val="004E6541"/>
    <w:rsid w:val="004E657F"/>
    <w:rsid w:val="004E660D"/>
    <w:rsid w:val="004E6649"/>
    <w:rsid w:val="004E6651"/>
    <w:rsid w:val="004E6747"/>
    <w:rsid w:val="004E67D8"/>
    <w:rsid w:val="004E6802"/>
    <w:rsid w:val="004E68B0"/>
    <w:rsid w:val="004E68EF"/>
    <w:rsid w:val="004E6A1E"/>
    <w:rsid w:val="004E6A7F"/>
    <w:rsid w:val="004E6A8D"/>
    <w:rsid w:val="004E6AF2"/>
    <w:rsid w:val="004E6B07"/>
    <w:rsid w:val="004E6B17"/>
    <w:rsid w:val="004E6B5F"/>
    <w:rsid w:val="004E6BEB"/>
    <w:rsid w:val="004E6BF0"/>
    <w:rsid w:val="004E6C16"/>
    <w:rsid w:val="004E6C8F"/>
    <w:rsid w:val="004E6E50"/>
    <w:rsid w:val="004E6FA7"/>
    <w:rsid w:val="004E712C"/>
    <w:rsid w:val="004E71B9"/>
    <w:rsid w:val="004E725D"/>
    <w:rsid w:val="004E72B0"/>
    <w:rsid w:val="004E74E8"/>
    <w:rsid w:val="004E763B"/>
    <w:rsid w:val="004E76D5"/>
    <w:rsid w:val="004E773A"/>
    <w:rsid w:val="004E7742"/>
    <w:rsid w:val="004E79A3"/>
    <w:rsid w:val="004E79C7"/>
    <w:rsid w:val="004E7A8B"/>
    <w:rsid w:val="004E7B2D"/>
    <w:rsid w:val="004E7BBB"/>
    <w:rsid w:val="004E7BD0"/>
    <w:rsid w:val="004E7C41"/>
    <w:rsid w:val="004E7C50"/>
    <w:rsid w:val="004E7EDD"/>
    <w:rsid w:val="004E7F15"/>
    <w:rsid w:val="004E7F8D"/>
    <w:rsid w:val="004F0146"/>
    <w:rsid w:val="004F0179"/>
    <w:rsid w:val="004F01EE"/>
    <w:rsid w:val="004F0324"/>
    <w:rsid w:val="004F0337"/>
    <w:rsid w:val="004F03B1"/>
    <w:rsid w:val="004F03B7"/>
    <w:rsid w:val="004F0485"/>
    <w:rsid w:val="004F054B"/>
    <w:rsid w:val="004F05FB"/>
    <w:rsid w:val="004F0663"/>
    <w:rsid w:val="004F07D2"/>
    <w:rsid w:val="004F083D"/>
    <w:rsid w:val="004F0924"/>
    <w:rsid w:val="004F0948"/>
    <w:rsid w:val="004F09A4"/>
    <w:rsid w:val="004F09B5"/>
    <w:rsid w:val="004F09E4"/>
    <w:rsid w:val="004F09F2"/>
    <w:rsid w:val="004F0A08"/>
    <w:rsid w:val="004F0B6B"/>
    <w:rsid w:val="004F0C41"/>
    <w:rsid w:val="004F0CDD"/>
    <w:rsid w:val="004F0D63"/>
    <w:rsid w:val="004F0E25"/>
    <w:rsid w:val="004F0E70"/>
    <w:rsid w:val="004F0E97"/>
    <w:rsid w:val="004F0EBD"/>
    <w:rsid w:val="004F0F45"/>
    <w:rsid w:val="004F1055"/>
    <w:rsid w:val="004F109C"/>
    <w:rsid w:val="004F1136"/>
    <w:rsid w:val="004F11AE"/>
    <w:rsid w:val="004F120A"/>
    <w:rsid w:val="004F1264"/>
    <w:rsid w:val="004F126E"/>
    <w:rsid w:val="004F12C7"/>
    <w:rsid w:val="004F13AF"/>
    <w:rsid w:val="004F1501"/>
    <w:rsid w:val="004F1576"/>
    <w:rsid w:val="004F15BA"/>
    <w:rsid w:val="004F15EA"/>
    <w:rsid w:val="004F1610"/>
    <w:rsid w:val="004F16B3"/>
    <w:rsid w:val="004F1786"/>
    <w:rsid w:val="004F178F"/>
    <w:rsid w:val="004F18CF"/>
    <w:rsid w:val="004F18FA"/>
    <w:rsid w:val="004F190C"/>
    <w:rsid w:val="004F1984"/>
    <w:rsid w:val="004F19B6"/>
    <w:rsid w:val="004F19FF"/>
    <w:rsid w:val="004F1A14"/>
    <w:rsid w:val="004F1B8F"/>
    <w:rsid w:val="004F1C71"/>
    <w:rsid w:val="004F1C9F"/>
    <w:rsid w:val="004F1CC0"/>
    <w:rsid w:val="004F1D8C"/>
    <w:rsid w:val="004F1E36"/>
    <w:rsid w:val="004F1E9B"/>
    <w:rsid w:val="004F1EC4"/>
    <w:rsid w:val="004F1EDA"/>
    <w:rsid w:val="004F1F28"/>
    <w:rsid w:val="004F1FB2"/>
    <w:rsid w:val="004F2002"/>
    <w:rsid w:val="004F2085"/>
    <w:rsid w:val="004F20B7"/>
    <w:rsid w:val="004F2115"/>
    <w:rsid w:val="004F2139"/>
    <w:rsid w:val="004F213F"/>
    <w:rsid w:val="004F21C8"/>
    <w:rsid w:val="004F22FD"/>
    <w:rsid w:val="004F2318"/>
    <w:rsid w:val="004F2320"/>
    <w:rsid w:val="004F234C"/>
    <w:rsid w:val="004F2412"/>
    <w:rsid w:val="004F2462"/>
    <w:rsid w:val="004F24A1"/>
    <w:rsid w:val="004F25D7"/>
    <w:rsid w:val="004F25D9"/>
    <w:rsid w:val="004F2719"/>
    <w:rsid w:val="004F276F"/>
    <w:rsid w:val="004F280C"/>
    <w:rsid w:val="004F2848"/>
    <w:rsid w:val="004F29A2"/>
    <w:rsid w:val="004F2A7F"/>
    <w:rsid w:val="004F2AAC"/>
    <w:rsid w:val="004F2AD7"/>
    <w:rsid w:val="004F2CE1"/>
    <w:rsid w:val="004F2D7E"/>
    <w:rsid w:val="004F2DC4"/>
    <w:rsid w:val="004F2E1D"/>
    <w:rsid w:val="004F2E21"/>
    <w:rsid w:val="004F2E43"/>
    <w:rsid w:val="004F2EB1"/>
    <w:rsid w:val="004F2EE4"/>
    <w:rsid w:val="004F2F12"/>
    <w:rsid w:val="004F2F5B"/>
    <w:rsid w:val="004F30A6"/>
    <w:rsid w:val="004F3125"/>
    <w:rsid w:val="004F31A7"/>
    <w:rsid w:val="004F31ED"/>
    <w:rsid w:val="004F3268"/>
    <w:rsid w:val="004F3284"/>
    <w:rsid w:val="004F3383"/>
    <w:rsid w:val="004F3395"/>
    <w:rsid w:val="004F33A0"/>
    <w:rsid w:val="004F33A8"/>
    <w:rsid w:val="004F344B"/>
    <w:rsid w:val="004F3459"/>
    <w:rsid w:val="004F3491"/>
    <w:rsid w:val="004F349C"/>
    <w:rsid w:val="004F369D"/>
    <w:rsid w:val="004F3707"/>
    <w:rsid w:val="004F3754"/>
    <w:rsid w:val="004F383A"/>
    <w:rsid w:val="004F3942"/>
    <w:rsid w:val="004F3956"/>
    <w:rsid w:val="004F3A95"/>
    <w:rsid w:val="004F3AA6"/>
    <w:rsid w:val="004F3B91"/>
    <w:rsid w:val="004F3BDA"/>
    <w:rsid w:val="004F3BEB"/>
    <w:rsid w:val="004F3DB5"/>
    <w:rsid w:val="004F3E4A"/>
    <w:rsid w:val="004F3EC6"/>
    <w:rsid w:val="004F3EE5"/>
    <w:rsid w:val="004F3F35"/>
    <w:rsid w:val="004F3F8D"/>
    <w:rsid w:val="004F3F93"/>
    <w:rsid w:val="004F3FA8"/>
    <w:rsid w:val="004F4083"/>
    <w:rsid w:val="004F40B6"/>
    <w:rsid w:val="004F40F5"/>
    <w:rsid w:val="004F4153"/>
    <w:rsid w:val="004F41C7"/>
    <w:rsid w:val="004F41DD"/>
    <w:rsid w:val="004F41EF"/>
    <w:rsid w:val="004F41FA"/>
    <w:rsid w:val="004F42F7"/>
    <w:rsid w:val="004F4413"/>
    <w:rsid w:val="004F455F"/>
    <w:rsid w:val="004F459B"/>
    <w:rsid w:val="004F45D3"/>
    <w:rsid w:val="004F46BD"/>
    <w:rsid w:val="004F479F"/>
    <w:rsid w:val="004F4828"/>
    <w:rsid w:val="004F4890"/>
    <w:rsid w:val="004F4915"/>
    <w:rsid w:val="004F491B"/>
    <w:rsid w:val="004F495E"/>
    <w:rsid w:val="004F4970"/>
    <w:rsid w:val="004F4978"/>
    <w:rsid w:val="004F497B"/>
    <w:rsid w:val="004F4A87"/>
    <w:rsid w:val="004F4DAF"/>
    <w:rsid w:val="004F4E0F"/>
    <w:rsid w:val="004F4E47"/>
    <w:rsid w:val="004F4E5E"/>
    <w:rsid w:val="004F4F63"/>
    <w:rsid w:val="004F4F87"/>
    <w:rsid w:val="004F4FFE"/>
    <w:rsid w:val="004F50B9"/>
    <w:rsid w:val="004F50F2"/>
    <w:rsid w:val="004F50FC"/>
    <w:rsid w:val="004F5110"/>
    <w:rsid w:val="004F513B"/>
    <w:rsid w:val="004F51B9"/>
    <w:rsid w:val="004F51BE"/>
    <w:rsid w:val="004F520E"/>
    <w:rsid w:val="004F521F"/>
    <w:rsid w:val="004F526F"/>
    <w:rsid w:val="004F5355"/>
    <w:rsid w:val="004F536E"/>
    <w:rsid w:val="004F5374"/>
    <w:rsid w:val="004F5415"/>
    <w:rsid w:val="004F5522"/>
    <w:rsid w:val="004F555C"/>
    <w:rsid w:val="004F5563"/>
    <w:rsid w:val="004F567F"/>
    <w:rsid w:val="004F569B"/>
    <w:rsid w:val="004F56F3"/>
    <w:rsid w:val="004F5989"/>
    <w:rsid w:val="004F5A72"/>
    <w:rsid w:val="004F5ACE"/>
    <w:rsid w:val="004F5AF1"/>
    <w:rsid w:val="004F5B42"/>
    <w:rsid w:val="004F5B9B"/>
    <w:rsid w:val="004F5CC9"/>
    <w:rsid w:val="004F5CFA"/>
    <w:rsid w:val="004F5E42"/>
    <w:rsid w:val="004F5E92"/>
    <w:rsid w:val="004F5EBF"/>
    <w:rsid w:val="004F5EF4"/>
    <w:rsid w:val="004F5F64"/>
    <w:rsid w:val="004F5FDE"/>
    <w:rsid w:val="004F602A"/>
    <w:rsid w:val="004F61B3"/>
    <w:rsid w:val="004F6284"/>
    <w:rsid w:val="004F629E"/>
    <w:rsid w:val="004F62F7"/>
    <w:rsid w:val="004F64A8"/>
    <w:rsid w:val="004F64B7"/>
    <w:rsid w:val="004F6531"/>
    <w:rsid w:val="004F655A"/>
    <w:rsid w:val="004F686B"/>
    <w:rsid w:val="004F6876"/>
    <w:rsid w:val="004F696A"/>
    <w:rsid w:val="004F698B"/>
    <w:rsid w:val="004F6A28"/>
    <w:rsid w:val="004F6B7A"/>
    <w:rsid w:val="004F6B8B"/>
    <w:rsid w:val="004F6BFF"/>
    <w:rsid w:val="004F6C13"/>
    <w:rsid w:val="004F6C5C"/>
    <w:rsid w:val="004F6E44"/>
    <w:rsid w:val="004F6E61"/>
    <w:rsid w:val="004F6FAF"/>
    <w:rsid w:val="004F6FE6"/>
    <w:rsid w:val="004F7041"/>
    <w:rsid w:val="004F70C0"/>
    <w:rsid w:val="004F7183"/>
    <w:rsid w:val="004F7478"/>
    <w:rsid w:val="004F7590"/>
    <w:rsid w:val="004F7632"/>
    <w:rsid w:val="004F7664"/>
    <w:rsid w:val="004F76EB"/>
    <w:rsid w:val="004F7866"/>
    <w:rsid w:val="004F78A9"/>
    <w:rsid w:val="004F79A5"/>
    <w:rsid w:val="004F7AB1"/>
    <w:rsid w:val="004F7B9F"/>
    <w:rsid w:val="004F7BEB"/>
    <w:rsid w:val="004F7C26"/>
    <w:rsid w:val="004F7C8F"/>
    <w:rsid w:val="004F7D60"/>
    <w:rsid w:val="004F7D62"/>
    <w:rsid w:val="004F7EAF"/>
    <w:rsid w:val="0050026E"/>
    <w:rsid w:val="005003C7"/>
    <w:rsid w:val="005003D5"/>
    <w:rsid w:val="0050046C"/>
    <w:rsid w:val="00500489"/>
    <w:rsid w:val="00500523"/>
    <w:rsid w:val="005005D3"/>
    <w:rsid w:val="005006B4"/>
    <w:rsid w:val="005007BA"/>
    <w:rsid w:val="005008FA"/>
    <w:rsid w:val="005009FA"/>
    <w:rsid w:val="00500A34"/>
    <w:rsid w:val="00500A3F"/>
    <w:rsid w:val="00500B1D"/>
    <w:rsid w:val="00500E51"/>
    <w:rsid w:val="00500F5C"/>
    <w:rsid w:val="00500F91"/>
    <w:rsid w:val="0050101F"/>
    <w:rsid w:val="00501036"/>
    <w:rsid w:val="00501063"/>
    <w:rsid w:val="005010D3"/>
    <w:rsid w:val="00501102"/>
    <w:rsid w:val="00501130"/>
    <w:rsid w:val="00501246"/>
    <w:rsid w:val="00501248"/>
    <w:rsid w:val="005012F9"/>
    <w:rsid w:val="00501320"/>
    <w:rsid w:val="005013D5"/>
    <w:rsid w:val="005013D8"/>
    <w:rsid w:val="0050149A"/>
    <w:rsid w:val="005014B5"/>
    <w:rsid w:val="00501564"/>
    <w:rsid w:val="005015A0"/>
    <w:rsid w:val="00501604"/>
    <w:rsid w:val="00501694"/>
    <w:rsid w:val="005017B7"/>
    <w:rsid w:val="005017B8"/>
    <w:rsid w:val="005019D0"/>
    <w:rsid w:val="00501A70"/>
    <w:rsid w:val="00501A98"/>
    <w:rsid w:val="00501AF4"/>
    <w:rsid w:val="00501AF9"/>
    <w:rsid w:val="00501CF3"/>
    <w:rsid w:val="00501E54"/>
    <w:rsid w:val="00501FDA"/>
    <w:rsid w:val="005020A0"/>
    <w:rsid w:val="005020B7"/>
    <w:rsid w:val="0050217C"/>
    <w:rsid w:val="005021FF"/>
    <w:rsid w:val="00502202"/>
    <w:rsid w:val="0050237A"/>
    <w:rsid w:val="0050247B"/>
    <w:rsid w:val="00502504"/>
    <w:rsid w:val="00502507"/>
    <w:rsid w:val="0050255F"/>
    <w:rsid w:val="00502566"/>
    <w:rsid w:val="0050262D"/>
    <w:rsid w:val="0050266F"/>
    <w:rsid w:val="00502776"/>
    <w:rsid w:val="005027A1"/>
    <w:rsid w:val="005027E4"/>
    <w:rsid w:val="00502888"/>
    <w:rsid w:val="005028F3"/>
    <w:rsid w:val="00502937"/>
    <w:rsid w:val="00502941"/>
    <w:rsid w:val="0050294A"/>
    <w:rsid w:val="00502B56"/>
    <w:rsid w:val="00502B9C"/>
    <w:rsid w:val="00502BCE"/>
    <w:rsid w:val="00502C73"/>
    <w:rsid w:val="00502C80"/>
    <w:rsid w:val="00502DEA"/>
    <w:rsid w:val="00502E1C"/>
    <w:rsid w:val="00502FD2"/>
    <w:rsid w:val="0050308A"/>
    <w:rsid w:val="00503198"/>
    <w:rsid w:val="005031C2"/>
    <w:rsid w:val="0050321C"/>
    <w:rsid w:val="0050324C"/>
    <w:rsid w:val="005032E5"/>
    <w:rsid w:val="0050337E"/>
    <w:rsid w:val="0050346D"/>
    <w:rsid w:val="005034CB"/>
    <w:rsid w:val="005034D7"/>
    <w:rsid w:val="005036C5"/>
    <w:rsid w:val="00503720"/>
    <w:rsid w:val="005037C8"/>
    <w:rsid w:val="005037EE"/>
    <w:rsid w:val="005038C4"/>
    <w:rsid w:val="0050393B"/>
    <w:rsid w:val="005039AA"/>
    <w:rsid w:val="00503B2E"/>
    <w:rsid w:val="00503BB7"/>
    <w:rsid w:val="00503C07"/>
    <w:rsid w:val="00503C9C"/>
    <w:rsid w:val="00503C9E"/>
    <w:rsid w:val="00503CA1"/>
    <w:rsid w:val="00503CFA"/>
    <w:rsid w:val="00503D2D"/>
    <w:rsid w:val="00503D30"/>
    <w:rsid w:val="00503DF1"/>
    <w:rsid w:val="00503E42"/>
    <w:rsid w:val="00503E47"/>
    <w:rsid w:val="00503EC0"/>
    <w:rsid w:val="00503EEB"/>
    <w:rsid w:val="00503F06"/>
    <w:rsid w:val="00503F9E"/>
    <w:rsid w:val="00503FAA"/>
    <w:rsid w:val="00503FFF"/>
    <w:rsid w:val="00504008"/>
    <w:rsid w:val="005040FD"/>
    <w:rsid w:val="0050410D"/>
    <w:rsid w:val="00504205"/>
    <w:rsid w:val="0050423B"/>
    <w:rsid w:val="0050433D"/>
    <w:rsid w:val="0050444E"/>
    <w:rsid w:val="005044B6"/>
    <w:rsid w:val="0050455C"/>
    <w:rsid w:val="005045CC"/>
    <w:rsid w:val="0050474A"/>
    <w:rsid w:val="0050480A"/>
    <w:rsid w:val="0050488A"/>
    <w:rsid w:val="005048F3"/>
    <w:rsid w:val="0050492E"/>
    <w:rsid w:val="00504962"/>
    <w:rsid w:val="00504986"/>
    <w:rsid w:val="00504994"/>
    <w:rsid w:val="00504B91"/>
    <w:rsid w:val="00504BEE"/>
    <w:rsid w:val="00504D0B"/>
    <w:rsid w:val="00504D18"/>
    <w:rsid w:val="00504DA3"/>
    <w:rsid w:val="00504E61"/>
    <w:rsid w:val="00504E64"/>
    <w:rsid w:val="00504E91"/>
    <w:rsid w:val="00504FF1"/>
    <w:rsid w:val="005051B7"/>
    <w:rsid w:val="00505322"/>
    <w:rsid w:val="00505390"/>
    <w:rsid w:val="005053E5"/>
    <w:rsid w:val="00505456"/>
    <w:rsid w:val="005054F7"/>
    <w:rsid w:val="00505535"/>
    <w:rsid w:val="00505540"/>
    <w:rsid w:val="0050564F"/>
    <w:rsid w:val="005056DA"/>
    <w:rsid w:val="005057BF"/>
    <w:rsid w:val="00505848"/>
    <w:rsid w:val="005058E7"/>
    <w:rsid w:val="00505AE2"/>
    <w:rsid w:val="00505BEA"/>
    <w:rsid w:val="00505C0C"/>
    <w:rsid w:val="00505C11"/>
    <w:rsid w:val="00505D1D"/>
    <w:rsid w:val="00505D5D"/>
    <w:rsid w:val="00505D71"/>
    <w:rsid w:val="00505E81"/>
    <w:rsid w:val="00505EAD"/>
    <w:rsid w:val="00506044"/>
    <w:rsid w:val="00506085"/>
    <w:rsid w:val="005060FC"/>
    <w:rsid w:val="005061FF"/>
    <w:rsid w:val="00506216"/>
    <w:rsid w:val="0050621E"/>
    <w:rsid w:val="00506239"/>
    <w:rsid w:val="0050630C"/>
    <w:rsid w:val="00506345"/>
    <w:rsid w:val="00506402"/>
    <w:rsid w:val="00506426"/>
    <w:rsid w:val="00506451"/>
    <w:rsid w:val="0050645D"/>
    <w:rsid w:val="00506460"/>
    <w:rsid w:val="0050647D"/>
    <w:rsid w:val="00506483"/>
    <w:rsid w:val="005064B7"/>
    <w:rsid w:val="005064EF"/>
    <w:rsid w:val="00506535"/>
    <w:rsid w:val="00506542"/>
    <w:rsid w:val="00506569"/>
    <w:rsid w:val="005065DB"/>
    <w:rsid w:val="00506829"/>
    <w:rsid w:val="0050685C"/>
    <w:rsid w:val="0050685E"/>
    <w:rsid w:val="005068C9"/>
    <w:rsid w:val="005069EF"/>
    <w:rsid w:val="00506A74"/>
    <w:rsid w:val="00506AA2"/>
    <w:rsid w:val="00506AAA"/>
    <w:rsid w:val="00506B4E"/>
    <w:rsid w:val="00506BA3"/>
    <w:rsid w:val="00506C1C"/>
    <w:rsid w:val="00506C6B"/>
    <w:rsid w:val="00506C88"/>
    <w:rsid w:val="00506DDE"/>
    <w:rsid w:val="00506E3C"/>
    <w:rsid w:val="00506E7E"/>
    <w:rsid w:val="0050700E"/>
    <w:rsid w:val="00507084"/>
    <w:rsid w:val="005070A4"/>
    <w:rsid w:val="005070B2"/>
    <w:rsid w:val="0050711D"/>
    <w:rsid w:val="0050713D"/>
    <w:rsid w:val="00507190"/>
    <w:rsid w:val="00507222"/>
    <w:rsid w:val="0050724A"/>
    <w:rsid w:val="005073E5"/>
    <w:rsid w:val="0050741A"/>
    <w:rsid w:val="00507544"/>
    <w:rsid w:val="0050765A"/>
    <w:rsid w:val="005077CF"/>
    <w:rsid w:val="005078C6"/>
    <w:rsid w:val="0050795F"/>
    <w:rsid w:val="005079BB"/>
    <w:rsid w:val="00507A12"/>
    <w:rsid w:val="00507B6A"/>
    <w:rsid w:val="00507BE9"/>
    <w:rsid w:val="00507F45"/>
    <w:rsid w:val="00510004"/>
    <w:rsid w:val="00510023"/>
    <w:rsid w:val="00510094"/>
    <w:rsid w:val="005100BF"/>
    <w:rsid w:val="005103A0"/>
    <w:rsid w:val="005103AF"/>
    <w:rsid w:val="00510443"/>
    <w:rsid w:val="00510453"/>
    <w:rsid w:val="00510476"/>
    <w:rsid w:val="00510497"/>
    <w:rsid w:val="005104ED"/>
    <w:rsid w:val="00510513"/>
    <w:rsid w:val="0051054A"/>
    <w:rsid w:val="0051067C"/>
    <w:rsid w:val="0051068A"/>
    <w:rsid w:val="005106D4"/>
    <w:rsid w:val="00510778"/>
    <w:rsid w:val="0051082D"/>
    <w:rsid w:val="005108E8"/>
    <w:rsid w:val="00510904"/>
    <w:rsid w:val="0051093B"/>
    <w:rsid w:val="00510A13"/>
    <w:rsid w:val="00510AC6"/>
    <w:rsid w:val="00510B49"/>
    <w:rsid w:val="00510B9D"/>
    <w:rsid w:val="00510BD8"/>
    <w:rsid w:val="00510BDC"/>
    <w:rsid w:val="00510C7C"/>
    <w:rsid w:val="00510C89"/>
    <w:rsid w:val="00510E98"/>
    <w:rsid w:val="00510E99"/>
    <w:rsid w:val="00510EDD"/>
    <w:rsid w:val="00510F60"/>
    <w:rsid w:val="00511038"/>
    <w:rsid w:val="00511078"/>
    <w:rsid w:val="00511107"/>
    <w:rsid w:val="00511172"/>
    <w:rsid w:val="005111BC"/>
    <w:rsid w:val="00511274"/>
    <w:rsid w:val="00511279"/>
    <w:rsid w:val="0051128B"/>
    <w:rsid w:val="00511335"/>
    <w:rsid w:val="0051136B"/>
    <w:rsid w:val="00511449"/>
    <w:rsid w:val="00511535"/>
    <w:rsid w:val="005115DA"/>
    <w:rsid w:val="00511714"/>
    <w:rsid w:val="00511801"/>
    <w:rsid w:val="00511875"/>
    <w:rsid w:val="005119FD"/>
    <w:rsid w:val="00511B3E"/>
    <w:rsid w:val="00511E06"/>
    <w:rsid w:val="00511E1E"/>
    <w:rsid w:val="00511EC1"/>
    <w:rsid w:val="00511F23"/>
    <w:rsid w:val="00511F3B"/>
    <w:rsid w:val="00511FEF"/>
    <w:rsid w:val="00512066"/>
    <w:rsid w:val="0051207C"/>
    <w:rsid w:val="005121A8"/>
    <w:rsid w:val="005121BB"/>
    <w:rsid w:val="005121C8"/>
    <w:rsid w:val="0051238D"/>
    <w:rsid w:val="0051245F"/>
    <w:rsid w:val="005125FE"/>
    <w:rsid w:val="00512658"/>
    <w:rsid w:val="005126CA"/>
    <w:rsid w:val="005127DD"/>
    <w:rsid w:val="0051282C"/>
    <w:rsid w:val="0051285B"/>
    <w:rsid w:val="005128DF"/>
    <w:rsid w:val="0051293E"/>
    <w:rsid w:val="00512965"/>
    <w:rsid w:val="00512988"/>
    <w:rsid w:val="005129C8"/>
    <w:rsid w:val="00512A0B"/>
    <w:rsid w:val="00512AC1"/>
    <w:rsid w:val="00512AE6"/>
    <w:rsid w:val="00512B74"/>
    <w:rsid w:val="00512B95"/>
    <w:rsid w:val="00512C79"/>
    <w:rsid w:val="00512CE3"/>
    <w:rsid w:val="00512D56"/>
    <w:rsid w:val="00512E57"/>
    <w:rsid w:val="00513014"/>
    <w:rsid w:val="00513053"/>
    <w:rsid w:val="00513061"/>
    <w:rsid w:val="0051309D"/>
    <w:rsid w:val="005130CC"/>
    <w:rsid w:val="00513111"/>
    <w:rsid w:val="00513148"/>
    <w:rsid w:val="00513163"/>
    <w:rsid w:val="00513453"/>
    <w:rsid w:val="005136B5"/>
    <w:rsid w:val="00513823"/>
    <w:rsid w:val="0051386F"/>
    <w:rsid w:val="005138C8"/>
    <w:rsid w:val="005138FD"/>
    <w:rsid w:val="00513901"/>
    <w:rsid w:val="005139EC"/>
    <w:rsid w:val="005139FD"/>
    <w:rsid w:val="00513AF7"/>
    <w:rsid w:val="00513C07"/>
    <w:rsid w:val="00513C15"/>
    <w:rsid w:val="00513C7D"/>
    <w:rsid w:val="00513C80"/>
    <w:rsid w:val="00513D29"/>
    <w:rsid w:val="00513E79"/>
    <w:rsid w:val="00513E7F"/>
    <w:rsid w:val="00513E9B"/>
    <w:rsid w:val="00513FBB"/>
    <w:rsid w:val="0051408C"/>
    <w:rsid w:val="005140E2"/>
    <w:rsid w:val="00514297"/>
    <w:rsid w:val="005142CB"/>
    <w:rsid w:val="005143D7"/>
    <w:rsid w:val="005144D1"/>
    <w:rsid w:val="00514770"/>
    <w:rsid w:val="00514784"/>
    <w:rsid w:val="00514888"/>
    <w:rsid w:val="005148A3"/>
    <w:rsid w:val="005148D2"/>
    <w:rsid w:val="00514955"/>
    <w:rsid w:val="00514A88"/>
    <w:rsid w:val="00514ACC"/>
    <w:rsid w:val="00514AE6"/>
    <w:rsid w:val="00514B7F"/>
    <w:rsid w:val="00514B87"/>
    <w:rsid w:val="00514BD7"/>
    <w:rsid w:val="00514E9D"/>
    <w:rsid w:val="00514EC0"/>
    <w:rsid w:val="00514F5A"/>
    <w:rsid w:val="00514F98"/>
    <w:rsid w:val="00514FEB"/>
    <w:rsid w:val="0051501E"/>
    <w:rsid w:val="00515043"/>
    <w:rsid w:val="00515063"/>
    <w:rsid w:val="0051506B"/>
    <w:rsid w:val="00515176"/>
    <w:rsid w:val="00515273"/>
    <w:rsid w:val="005153D8"/>
    <w:rsid w:val="0051542B"/>
    <w:rsid w:val="00515453"/>
    <w:rsid w:val="00515556"/>
    <w:rsid w:val="005155F9"/>
    <w:rsid w:val="00515678"/>
    <w:rsid w:val="005156B4"/>
    <w:rsid w:val="00515720"/>
    <w:rsid w:val="00515800"/>
    <w:rsid w:val="005158A9"/>
    <w:rsid w:val="00515954"/>
    <w:rsid w:val="00515A00"/>
    <w:rsid w:val="00515A14"/>
    <w:rsid w:val="00515BCB"/>
    <w:rsid w:val="00515CDF"/>
    <w:rsid w:val="00515DC4"/>
    <w:rsid w:val="00515E5E"/>
    <w:rsid w:val="00515E6A"/>
    <w:rsid w:val="00515ECB"/>
    <w:rsid w:val="00515F04"/>
    <w:rsid w:val="00515F5C"/>
    <w:rsid w:val="00516061"/>
    <w:rsid w:val="00516261"/>
    <w:rsid w:val="005162B7"/>
    <w:rsid w:val="005163C3"/>
    <w:rsid w:val="005164DB"/>
    <w:rsid w:val="005164EC"/>
    <w:rsid w:val="00516778"/>
    <w:rsid w:val="00516A20"/>
    <w:rsid w:val="00516A4F"/>
    <w:rsid w:val="00516ADB"/>
    <w:rsid w:val="00516B48"/>
    <w:rsid w:val="00516B65"/>
    <w:rsid w:val="00516BEF"/>
    <w:rsid w:val="00516CC5"/>
    <w:rsid w:val="00516CF1"/>
    <w:rsid w:val="00516CFB"/>
    <w:rsid w:val="00516D1B"/>
    <w:rsid w:val="00516D50"/>
    <w:rsid w:val="00516D75"/>
    <w:rsid w:val="00516DBB"/>
    <w:rsid w:val="00516E73"/>
    <w:rsid w:val="005170D1"/>
    <w:rsid w:val="00517102"/>
    <w:rsid w:val="0051716D"/>
    <w:rsid w:val="005171DD"/>
    <w:rsid w:val="00517326"/>
    <w:rsid w:val="00517394"/>
    <w:rsid w:val="005173B2"/>
    <w:rsid w:val="005173E2"/>
    <w:rsid w:val="005173F2"/>
    <w:rsid w:val="005174E5"/>
    <w:rsid w:val="005175AC"/>
    <w:rsid w:val="005175C9"/>
    <w:rsid w:val="005177CC"/>
    <w:rsid w:val="00517B26"/>
    <w:rsid w:val="00517B4A"/>
    <w:rsid w:val="00517B92"/>
    <w:rsid w:val="00517C96"/>
    <w:rsid w:val="00517DAC"/>
    <w:rsid w:val="00517EF3"/>
    <w:rsid w:val="00517F91"/>
    <w:rsid w:val="005201BF"/>
    <w:rsid w:val="005201C3"/>
    <w:rsid w:val="0052035F"/>
    <w:rsid w:val="00520400"/>
    <w:rsid w:val="005204B6"/>
    <w:rsid w:val="005204CA"/>
    <w:rsid w:val="00520559"/>
    <w:rsid w:val="0052068D"/>
    <w:rsid w:val="00520878"/>
    <w:rsid w:val="0052088B"/>
    <w:rsid w:val="0052091F"/>
    <w:rsid w:val="0052092E"/>
    <w:rsid w:val="0052099F"/>
    <w:rsid w:val="005209C0"/>
    <w:rsid w:val="00520B1E"/>
    <w:rsid w:val="00520B4A"/>
    <w:rsid w:val="00520C63"/>
    <w:rsid w:val="00520CC3"/>
    <w:rsid w:val="00520D1A"/>
    <w:rsid w:val="00520EB8"/>
    <w:rsid w:val="00520F41"/>
    <w:rsid w:val="0052102D"/>
    <w:rsid w:val="00521114"/>
    <w:rsid w:val="0052121E"/>
    <w:rsid w:val="00521223"/>
    <w:rsid w:val="00521268"/>
    <w:rsid w:val="00521293"/>
    <w:rsid w:val="0052129C"/>
    <w:rsid w:val="005212B4"/>
    <w:rsid w:val="00521358"/>
    <w:rsid w:val="0052153A"/>
    <w:rsid w:val="00521619"/>
    <w:rsid w:val="005216C7"/>
    <w:rsid w:val="0052177D"/>
    <w:rsid w:val="0052178B"/>
    <w:rsid w:val="00521815"/>
    <w:rsid w:val="005218DC"/>
    <w:rsid w:val="005219B1"/>
    <w:rsid w:val="00521A0A"/>
    <w:rsid w:val="00521A96"/>
    <w:rsid w:val="00521AAD"/>
    <w:rsid w:val="00521ACD"/>
    <w:rsid w:val="00521B80"/>
    <w:rsid w:val="00521BCF"/>
    <w:rsid w:val="00521C0B"/>
    <w:rsid w:val="00521C0D"/>
    <w:rsid w:val="00521D0C"/>
    <w:rsid w:val="00521F13"/>
    <w:rsid w:val="00521F6C"/>
    <w:rsid w:val="00521FA0"/>
    <w:rsid w:val="00522276"/>
    <w:rsid w:val="005222E5"/>
    <w:rsid w:val="0052232F"/>
    <w:rsid w:val="0052246B"/>
    <w:rsid w:val="005224A2"/>
    <w:rsid w:val="00522572"/>
    <w:rsid w:val="0052259F"/>
    <w:rsid w:val="005225DF"/>
    <w:rsid w:val="00522662"/>
    <w:rsid w:val="0052273C"/>
    <w:rsid w:val="005227A3"/>
    <w:rsid w:val="005227C5"/>
    <w:rsid w:val="0052282D"/>
    <w:rsid w:val="00522873"/>
    <w:rsid w:val="00522A68"/>
    <w:rsid w:val="00522A78"/>
    <w:rsid w:val="00522B52"/>
    <w:rsid w:val="00522BB0"/>
    <w:rsid w:val="00522CAD"/>
    <w:rsid w:val="00522CB6"/>
    <w:rsid w:val="00522CB9"/>
    <w:rsid w:val="00522E7A"/>
    <w:rsid w:val="00522FC3"/>
    <w:rsid w:val="00522FF6"/>
    <w:rsid w:val="0052301C"/>
    <w:rsid w:val="005230A0"/>
    <w:rsid w:val="005230F1"/>
    <w:rsid w:val="0052313C"/>
    <w:rsid w:val="0052316C"/>
    <w:rsid w:val="0052317F"/>
    <w:rsid w:val="0052319D"/>
    <w:rsid w:val="00523281"/>
    <w:rsid w:val="005232D1"/>
    <w:rsid w:val="0052333B"/>
    <w:rsid w:val="005234DC"/>
    <w:rsid w:val="00523549"/>
    <w:rsid w:val="005235F8"/>
    <w:rsid w:val="00523613"/>
    <w:rsid w:val="005236E2"/>
    <w:rsid w:val="005236EB"/>
    <w:rsid w:val="00523778"/>
    <w:rsid w:val="00523B21"/>
    <w:rsid w:val="00523B7A"/>
    <w:rsid w:val="00523BF5"/>
    <w:rsid w:val="00523CFD"/>
    <w:rsid w:val="00523DA4"/>
    <w:rsid w:val="00523E6F"/>
    <w:rsid w:val="00524008"/>
    <w:rsid w:val="0052400A"/>
    <w:rsid w:val="005240EC"/>
    <w:rsid w:val="00524131"/>
    <w:rsid w:val="00524289"/>
    <w:rsid w:val="0052428F"/>
    <w:rsid w:val="00524296"/>
    <w:rsid w:val="005243B1"/>
    <w:rsid w:val="0052440B"/>
    <w:rsid w:val="0052451F"/>
    <w:rsid w:val="00524680"/>
    <w:rsid w:val="00524819"/>
    <w:rsid w:val="00524827"/>
    <w:rsid w:val="00524865"/>
    <w:rsid w:val="00524941"/>
    <w:rsid w:val="005249C1"/>
    <w:rsid w:val="005249F5"/>
    <w:rsid w:val="00524A2C"/>
    <w:rsid w:val="00524A94"/>
    <w:rsid w:val="00524B18"/>
    <w:rsid w:val="00524C78"/>
    <w:rsid w:val="00524C82"/>
    <w:rsid w:val="00524D8F"/>
    <w:rsid w:val="00524DFC"/>
    <w:rsid w:val="00524F1C"/>
    <w:rsid w:val="00525065"/>
    <w:rsid w:val="005250A9"/>
    <w:rsid w:val="005250D6"/>
    <w:rsid w:val="00525152"/>
    <w:rsid w:val="0052522B"/>
    <w:rsid w:val="0052526C"/>
    <w:rsid w:val="005252EC"/>
    <w:rsid w:val="00525306"/>
    <w:rsid w:val="0052538E"/>
    <w:rsid w:val="00525503"/>
    <w:rsid w:val="00525507"/>
    <w:rsid w:val="00525594"/>
    <w:rsid w:val="005255A0"/>
    <w:rsid w:val="005255CD"/>
    <w:rsid w:val="005255EE"/>
    <w:rsid w:val="005256C9"/>
    <w:rsid w:val="00525759"/>
    <w:rsid w:val="005257A3"/>
    <w:rsid w:val="005257D1"/>
    <w:rsid w:val="00525855"/>
    <w:rsid w:val="00525B34"/>
    <w:rsid w:val="00525BDC"/>
    <w:rsid w:val="00525BF3"/>
    <w:rsid w:val="00525C06"/>
    <w:rsid w:val="00525C0E"/>
    <w:rsid w:val="00525D27"/>
    <w:rsid w:val="00525D36"/>
    <w:rsid w:val="00525D3F"/>
    <w:rsid w:val="00525DD2"/>
    <w:rsid w:val="00525F04"/>
    <w:rsid w:val="00526056"/>
    <w:rsid w:val="005260D1"/>
    <w:rsid w:val="00526115"/>
    <w:rsid w:val="00526186"/>
    <w:rsid w:val="005261F4"/>
    <w:rsid w:val="0052629A"/>
    <w:rsid w:val="005262B4"/>
    <w:rsid w:val="0052649D"/>
    <w:rsid w:val="0052657C"/>
    <w:rsid w:val="005265EF"/>
    <w:rsid w:val="00526688"/>
    <w:rsid w:val="00526735"/>
    <w:rsid w:val="005267A9"/>
    <w:rsid w:val="00526884"/>
    <w:rsid w:val="005268F8"/>
    <w:rsid w:val="00526A4B"/>
    <w:rsid w:val="00526A76"/>
    <w:rsid w:val="00526B05"/>
    <w:rsid w:val="00526C14"/>
    <w:rsid w:val="00526C5F"/>
    <w:rsid w:val="00526C70"/>
    <w:rsid w:val="00526C9D"/>
    <w:rsid w:val="00526DB7"/>
    <w:rsid w:val="00526EB8"/>
    <w:rsid w:val="00526F1D"/>
    <w:rsid w:val="00526F1E"/>
    <w:rsid w:val="00526F92"/>
    <w:rsid w:val="00526F9B"/>
    <w:rsid w:val="00526FDE"/>
    <w:rsid w:val="00527049"/>
    <w:rsid w:val="00527053"/>
    <w:rsid w:val="00527081"/>
    <w:rsid w:val="005270D1"/>
    <w:rsid w:val="005270FD"/>
    <w:rsid w:val="005271B5"/>
    <w:rsid w:val="00527265"/>
    <w:rsid w:val="00527284"/>
    <w:rsid w:val="00527287"/>
    <w:rsid w:val="005272EA"/>
    <w:rsid w:val="00527481"/>
    <w:rsid w:val="0052748B"/>
    <w:rsid w:val="0052748E"/>
    <w:rsid w:val="005274F7"/>
    <w:rsid w:val="00527513"/>
    <w:rsid w:val="0052755C"/>
    <w:rsid w:val="00527586"/>
    <w:rsid w:val="00527605"/>
    <w:rsid w:val="00527644"/>
    <w:rsid w:val="005276B8"/>
    <w:rsid w:val="00527755"/>
    <w:rsid w:val="0052777F"/>
    <w:rsid w:val="00527839"/>
    <w:rsid w:val="00527889"/>
    <w:rsid w:val="00527899"/>
    <w:rsid w:val="0052791A"/>
    <w:rsid w:val="0052792F"/>
    <w:rsid w:val="0052796E"/>
    <w:rsid w:val="00527992"/>
    <w:rsid w:val="005279AC"/>
    <w:rsid w:val="00527A4A"/>
    <w:rsid w:val="00527AF3"/>
    <w:rsid w:val="00527B08"/>
    <w:rsid w:val="00527B78"/>
    <w:rsid w:val="00527B8B"/>
    <w:rsid w:val="00527BED"/>
    <w:rsid w:val="00527C06"/>
    <w:rsid w:val="00527D0F"/>
    <w:rsid w:val="00527D6F"/>
    <w:rsid w:val="00527DAA"/>
    <w:rsid w:val="00527E3D"/>
    <w:rsid w:val="00527F10"/>
    <w:rsid w:val="00527FC2"/>
    <w:rsid w:val="005300E4"/>
    <w:rsid w:val="00530154"/>
    <w:rsid w:val="00530187"/>
    <w:rsid w:val="005301C1"/>
    <w:rsid w:val="00530206"/>
    <w:rsid w:val="005302D1"/>
    <w:rsid w:val="005302D3"/>
    <w:rsid w:val="00530334"/>
    <w:rsid w:val="00530426"/>
    <w:rsid w:val="0053049D"/>
    <w:rsid w:val="00530646"/>
    <w:rsid w:val="00530849"/>
    <w:rsid w:val="0053092B"/>
    <w:rsid w:val="00530A84"/>
    <w:rsid w:val="00530A87"/>
    <w:rsid w:val="00530AFE"/>
    <w:rsid w:val="00530B15"/>
    <w:rsid w:val="00530BF5"/>
    <w:rsid w:val="00530CF1"/>
    <w:rsid w:val="00530DE3"/>
    <w:rsid w:val="00530DFA"/>
    <w:rsid w:val="00530F8F"/>
    <w:rsid w:val="00530FB3"/>
    <w:rsid w:val="00530FF3"/>
    <w:rsid w:val="00531083"/>
    <w:rsid w:val="0053114E"/>
    <w:rsid w:val="00531226"/>
    <w:rsid w:val="005314C4"/>
    <w:rsid w:val="00531569"/>
    <w:rsid w:val="00531591"/>
    <w:rsid w:val="005315AE"/>
    <w:rsid w:val="00531621"/>
    <w:rsid w:val="00531658"/>
    <w:rsid w:val="0053165B"/>
    <w:rsid w:val="00531693"/>
    <w:rsid w:val="005316E6"/>
    <w:rsid w:val="005317D5"/>
    <w:rsid w:val="005317E4"/>
    <w:rsid w:val="00531830"/>
    <w:rsid w:val="005319EA"/>
    <w:rsid w:val="00531A62"/>
    <w:rsid w:val="00531C66"/>
    <w:rsid w:val="00531D0D"/>
    <w:rsid w:val="00531DEC"/>
    <w:rsid w:val="00531EAB"/>
    <w:rsid w:val="00532032"/>
    <w:rsid w:val="0053204D"/>
    <w:rsid w:val="0053205F"/>
    <w:rsid w:val="005320A4"/>
    <w:rsid w:val="00532115"/>
    <w:rsid w:val="00532191"/>
    <w:rsid w:val="0053220C"/>
    <w:rsid w:val="0053222F"/>
    <w:rsid w:val="005325A3"/>
    <w:rsid w:val="005325DC"/>
    <w:rsid w:val="00532802"/>
    <w:rsid w:val="005328E5"/>
    <w:rsid w:val="00532919"/>
    <w:rsid w:val="005329C3"/>
    <w:rsid w:val="00532A03"/>
    <w:rsid w:val="00532AB3"/>
    <w:rsid w:val="00532AD1"/>
    <w:rsid w:val="00532AE3"/>
    <w:rsid w:val="00532BBB"/>
    <w:rsid w:val="00532DDB"/>
    <w:rsid w:val="00532E42"/>
    <w:rsid w:val="00532ED5"/>
    <w:rsid w:val="00532ED6"/>
    <w:rsid w:val="00532F11"/>
    <w:rsid w:val="00532FD5"/>
    <w:rsid w:val="00532FF8"/>
    <w:rsid w:val="00533044"/>
    <w:rsid w:val="005330B5"/>
    <w:rsid w:val="00533155"/>
    <w:rsid w:val="00533278"/>
    <w:rsid w:val="00533320"/>
    <w:rsid w:val="00533331"/>
    <w:rsid w:val="00533356"/>
    <w:rsid w:val="00533362"/>
    <w:rsid w:val="005334AB"/>
    <w:rsid w:val="005334AE"/>
    <w:rsid w:val="0053350A"/>
    <w:rsid w:val="00533513"/>
    <w:rsid w:val="00533542"/>
    <w:rsid w:val="00533645"/>
    <w:rsid w:val="00533726"/>
    <w:rsid w:val="00533729"/>
    <w:rsid w:val="0053375A"/>
    <w:rsid w:val="0053379F"/>
    <w:rsid w:val="00533814"/>
    <w:rsid w:val="0053397D"/>
    <w:rsid w:val="00533990"/>
    <w:rsid w:val="00533A50"/>
    <w:rsid w:val="00533B6F"/>
    <w:rsid w:val="00533B85"/>
    <w:rsid w:val="00533BEE"/>
    <w:rsid w:val="00533C14"/>
    <w:rsid w:val="00533C2B"/>
    <w:rsid w:val="00533C66"/>
    <w:rsid w:val="00533C80"/>
    <w:rsid w:val="00533CB3"/>
    <w:rsid w:val="00533CDC"/>
    <w:rsid w:val="00533EB1"/>
    <w:rsid w:val="00534073"/>
    <w:rsid w:val="00534078"/>
    <w:rsid w:val="0053416F"/>
    <w:rsid w:val="00534217"/>
    <w:rsid w:val="00534255"/>
    <w:rsid w:val="00534256"/>
    <w:rsid w:val="005342A4"/>
    <w:rsid w:val="0053439D"/>
    <w:rsid w:val="005343BA"/>
    <w:rsid w:val="00534580"/>
    <w:rsid w:val="005345A2"/>
    <w:rsid w:val="005345D0"/>
    <w:rsid w:val="00534636"/>
    <w:rsid w:val="00534726"/>
    <w:rsid w:val="005347EA"/>
    <w:rsid w:val="005347ED"/>
    <w:rsid w:val="0053488E"/>
    <w:rsid w:val="0053491F"/>
    <w:rsid w:val="005349C0"/>
    <w:rsid w:val="00534A06"/>
    <w:rsid w:val="00534A44"/>
    <w:rsid w:val="00534B1E"/>
    <w:rsid w:val="00534C3A"/>
    <w:rsid w:val="00534CFC"/>
    <w:rsid w:val="00534D1F"/>
    <w:rsid w:val="00534DAD"/>
    <w:rsid w:val="00534E33"/>
    <w:rsid w:val="00534E54"/>
    <w:rsid w:val="00534E6F"/>
    <w:rsid w:val="00534F64"/>
    <w:rsid w:val="00534FD7"/>
    <w:rsid w:val="00535067"/>
    <w:rsid w:val="00535092"/>
    <w:rsid w:val="005351C0"/>
    <w:rsid w:val="005351F5"/>
    <w:rsid w:val="00535229"/>
    <w:rsid w:val="00535350"/>
    <w:rsid w:val="005354AC"/>
    <w:rsid w:val="005354EF"/>
    <w:rsid w:val="005355DB"/>
    <w:rsid w:val="00535606"/>
    <w:rsid w:val="00535681"/>
    <w:rsid w:val="00535695"/>
    <w:rsid w:val="005356CE"/>
    <w:rsid w:val="0053571F"/>
    <w:rsid w:val="00535774"/>
    <w:rsid w:val="005357E5"/>
    <w:rsid w:val="005358EF"/>
    <w:rsid w:val="00535B3A"/>
    <w:rsid w:val="00535BFA"/>
    <w:rsid w:val="00535C7B"/>
    <w:rsid w:val="00535D4C"/>
    <w:rsid w:val="00535D70"/>
    <w:rsid w:val="00535E61"/>
    <w:rsid w:val="00535EA9"/>
    <w:rsid w:val="00535EB0"/>
    <w:rsid w:val="00535EB4"/>
    <w:rsid w:val="00535F97"/>
    <w:rsid w:val="00536076"/>
    <w:rsid w:val="005360D4"/>
    <w:rsid w:val="005361BC"/>
    <w:rsid w:val="00536329"/>
    <w:rsid w:val="005363AE"/>
    <w:rsid w:val="0053644D"/>
    <w:rsid w:val="00536536"/>
    <w:rsid w:val="0053657B"/>
    <w:rsid w:val="0053657D"/>
    <w:rsid w:val="005367DD"/>
    <w:rsid w:val="0053687A"/>
    <w:rsid w:val="005368A8"/>
    <w:rsid w:val="00536923"/>
    <w:rsid w:val="00536934"/>
    <w:rsid w:val="00536B79"/>
    <w:rsid w:val="00536B7F"/>
    <w:rsid w:val="00536C0C"/>
    <w:rsid w:val="00536C9F"/>
    <w:rsid w:val="00536D15"/>
    <w:rsid w:val="00536D82"/>
    <w:rsid w:val="00536DDA"/>
    <w:rsid w:val="00536DE3"/>
    <w:rsid w:val="00536F0D"/>
    <w:rsid w:val="00536FA3"/>
    <w:rsid w:val="00536FC4"/>
    <w:rsid w:val="00537054"/>
    <w:rsid w:val="0053707B"/>
    <w:rsid w:val="005370A2"/>
    <w:rsid w:val="005370ED"/>
    <w:rsid w:val="005371A8"/>
    <w:rsid w:val="005371B2"/>
    <w:rsid w:val="005371EE"/>
    <w:rsid w:val="00537218"/>
    <w:rsid w:val="0053721F"/>
    <w:rsid w:val="00537309"/>
    <w:rsid w:val="00537374"/>
    <w:rsid w:val="0053743C"/>
    <w:rsid w:val="00537507"/>
    <w:rsid w:val="0053752B"/>
    <w:rsid w:val="0053764C"/>
    <w:rsid w:val="00537650"/>
    <w:rsid w:val="0053779E"/>
    <w:rsid w:val="0053779F"/>
    <w:rsid w:val="00537801"/>
    <w:rsid w:val="00537A92"/>
    <w:rsid w:val="00537B55"/>
    <w:rsid w:val="00537BA0"/>
    <w:rsid w:val="00537C41"/>
    <w:rsid w:val="00537C55"/>
    <w:rsid w:val="00537E7A"/>
    <w:rsid w:val="00537EB5"/>
    <w:rsid w:val="00537F2D"/>
    <w:rsid w:val="00537FB2"/>
    <w:rsid w:val="005400EA"/>
    <w:rsid w:val="00540122"/>
    <w:rsid w:val="0054013D"/>
    <w:rsid w:val="005401CF"/>
    <w:rsid w:val="0054029F"/>
    <w:rsid w:val="005404A7"/>
    <w:rsid w:val="0054050D"/>
    <w:rsid w:val="00540525"/>
    <w:rsid w:val="0054056B"/>
    <w:rsid w:val="00540593"/>
    <w:rsid w:val="005405F8"/>
    <w:rsid w:val="00540678"/>
    <w:rsid w:val="005406CC"/>
    <w:rsid w:val="005406E6"/>
    <w:rsid w:val="00540760"/>
    <w:rsid w:val="00540858"/>
    <w:rsid w:val="0054092B"/>
    <w:rsid w:val="00540940"/>
    <w:rsid w:val="00540ADD"/>
    <w:rsid w:val="00540AE7"/>
    <w:rsid w:val="00540AE8"/>
    <w:rsid w:val="00540B5F"/>
    <w:rsid w:val="00540C5A"/>
    <w:rsid w:val="00540C6F"/>
    <w:rsid w:val="00540CD0"/>
    <w:rsid w:val="00540D25"/>
    <w:rsid w:val="00540D6E"/>
    <w:rsid w:val="00540E33"/>
    <w:rsid w:val="00540EFF"/>
    <w:rsid w:val="00540FE2"/>
    <w:rsid w:val="00541033"/>
    <w:rsid w:val="005410AB"/>
    <w:rsid w:val="00541292"/>
    <w:rsid w:val="005412D1"/>
    <w:rsid w:val="005412D8"/>
    <w:rsid w:val="00541300"/>
    <w:rsid w:val="0054135D"/>
    <w:rsid w:val="00541380"/>
    <w:rsid w:val="00541537"/>
    <w:rsid w:val="00541693"/>
    <w:rsid w:val="005416A7"/>
    <w:rsid w:val="005416BE"/>
    <w:rsid w:val="0054175C"/>
    <w:rsid w:val="00541879"/>
    <w:rsid w:val="0054191C"/>
    <w:rsid w:val="00541A70"/>
    <w:rsid w:val="00541ACC"/>
    <w:rsid w:val="00541B71"/>
    <w:rsid w:val="00541BEA"/>
    <w:rsid w:val="00541CBF"/>
    <w:rsid w:val="00541D67"/>
    <w:rsid w:val="00541DFD"/>
    <w:rsid w:val="00541EB6"/>
    <w:rsid w:val="00541F61"/>
    <w:rsid w:val="00541FCE"/>
    <w:rsid w:val="00541FE3"/>
    <w:rsid w:val="0054218F"/>
    <w:rsid w:val="005421E4"/>
    <w:rsid w:val="0054221A"/>
    <w:rsid w:val="00542270"/>
    <w:rsid w:val="00542294"/>
    <w:rsid w:val="005422DF"/>
    <w:rsid w:val="00542599"/>
    <w:rsid w:val="00542741"/>
    <w:rsid w:val="005427BF"/>
    <w:rsid w:val="005427F0"/>
    <w:rsid w:val="005428C5"/>
    <w:rsid w:val="005428CD"/>
    <w:rsid w:val="00542903"/>
    <w:rsid w:val="00542931"/>
    <w:rsid w:val="00542A16"/>
    <w:rsid w:val="00542B1D"/>
    <w:rsid w:val="00542BF7"/>
    <w:rsid w:val="00542C0A"/>
    <w:rsid w:val="00542C1D"/>
    <w:rsid w:val="00542DC9"/>
    <w:rsid w:val="00542E8C"/>
    <w:rsid w:val="00542F63"/>
    <w:rsid w:val="00542F8F"/>
    <w:rsid w:val="00543048"/>
    <w:rsid w:val="0054309E"/>
    <w:rsid w:val="00543123"/>
    <w:rsid w:val="00543170"/>
    <w:rsid w:val="005431D8"/>
    <w:rsid w:val="00543295"/>
    <w:rsid w:val="005432E0"/>
    <w:rsid w:val="0054334E"/>
    <w:rsid w:val="005433B9"/>
    <w:rsid w:val="00543477"/>
    <w:rsid w:val="00543593"/>
    <w:rsid w:val="005436A7"/>
    <w:rsid w:val="005436BC"/>
    <w:rsid w:val="00543781"/>
    <w:rsid w:val="00543ABF"/>
    <w:rsid w:val="00543AF4"/>
    <w:rsid w:val="00543B2C"/>
    <w:rsid w:val="00543C4A"/>
    <w:rsid w:val="00543D05"/>
    <w:rsid w:val="00543D3B"/>
    <w:rsid w:val="00543D66"/>
    <w:rsid w:val="00543DD8"/>
    <w:rsid w:val="00543EA1"/>
    <w:rsid w:val="00543EC9"/>
    <w:rsid w:val="00543F85"/>
    <w:rsid w:val="0054417A"/>
    <w:rsid w:val="005441DD"/>
    <w:rsid w:val="00544255"/>
    <w:rsid w:val="00544326"/>
    <w:rsid w:val="00544401"/>
    <w:rsid w:val="0054446E"/>
    <w:rsid w:val="005444C7"/>
    <w:rsid w:val="00544553"/>
    <w:rsid w:val="00544698"/>
    <w:rsid w:val="005446EC"/>
    <w:rsid w:val="00544730"/>
    <w:rsid w:val="005447A1"/>
    <w:rsid w:val="005447BE"/>
    <w:rsid w:val="005447E9"/>
    <w:rsid w:val="00544967"/>
    <w:rsid w:val="0054497B"/>
    <w:rsid w:val="00544A64"/>
    <w:rsid w:val="00544AEA"/>
    <w:rsid w:val="00544D21"/>
    <w:rsid w:val="00544D34"/>
    <w:rsid w:val="00544D86"/>
    <w:rsid w:val="00544E4B"/>
    <w:rsid w:val="00544E6E"/>
    <w:rsid w:val="00544E77"/>
    <w:rsid w:val="00544E9F"/>
    <w:rsid w:val="00544EED"/>
    <w:rsid w:val="00544FA1"/>
    <w:rsid w:val="005452B0"/>
    <w:rsid w:val="005452C9"/>
    <w:rsid w:val="00545380"/>
    <w:rsid w:val="005454A7"/>
    <w:rsid w:val="005454CB"/>
    <w:rsid w:val="00545609"/>
    <w:rsid w:val="00545672"/>
    <w:rsid w:val="005456B2"/>
    <w:rsid w:val="005456B6"/>
    <w:rsid w:val="005456EE"/>
    <w:rsid w:val="005458D4"/>
    <w:rsid w:val="0054594E"/>
    <w:rsid w:val="00545B23"/>
    <w:rsid w:val="00545BED"/>
    <w:rsid w:val="00545CA1"/>
    <w:rsid w:val="00545D5A"/>
    <w:rsid w:val="00545D76"/>
    <w:rsid w:val="00545DDC"/>
    <w:rsid w:val="00545DEE"/>
    <w:rsid w:val="00545DFB"/>
    <w:rsid w:val="00545E10"/>
    <w:rsid w:val="00545EB2"/>
    <w:rsid w:val="00545EB5"/>
    <w:rsid w:val="00545EDC"/>
    <w:rsid w:val="00545F18"/>
    <w:rsid w:val="00545FED"/>
    <w:rsid w:val="005460C2"/>
    <w:rsid w:val="0054610E"/>
    <w:rsid w:val="00546150"/>
    <w:rsid w:val="00546179"/>
    <w:rsid w:val="00546191"/>
    <w:rsid w:val="005462F5"/>
    <w:rsid w:val="00546358"/>
    <w:rsid w:val="005464C5"/>
    <w:rsid w:val="005464F0"/>
    <w:rsid w:val="005464F7"/>
    <w:rsid w:val="005465A1"/>
    <w:rsid w:val="005465E8"/>
    <w:rsid w:val="00546602"/>
    <w:rsid w:val="0054680B"/>
    <w:rsid w:val="00546943"/>
    <w:rsid w:val="00546B1C"/>
    <w:rsid w:val="00546B81"/>
    <w:rsid w:val="00546C17"/>
    <w:rsid w:val="00546D37"/>
    <w:rsid w:val="00546DB7"/>
    <w:rsid w:val="00546E35"/>
    <w:rsid w:val="00546E37"/>
    <w:rsid w:val="00546E41"/>
    <w:rsid w:val="00547040"/>
    <w:rsid w:val="00547059"/>
    <w:rsid w:val="005470FA"/>
    <w:rsid w:val="00547106"/>
    <w:rsid w:val="0054718E"/>
    <w:rsid w:val="00547257"/>
    <w:rsid w:val="005472AD"/>
    <w:rsid w:val="005472FF"/>
    <w:rsid w:val="00547473"/>
    <w:rsid w:val="0054756F"/>
    <w:rsid w:val="00547573"/>
    <w:rsid w:val="00547723"/>
    <w:rsid w:val="00547850"/>
    <w:rsid w:val="00547A89"/>
    <w:rsid w:val="00547CB0"/>
    <w:rsid w:val="00547DD7"/>
    <w:rsid w:val="00547E12"/>
    <w:rsid w:val="00547E77"/>
    <w:rsid w:val="00547EAF"/>
    <w:rsid w:val="00547F8A"/>
    <w:rsid w:val="005501E7"/>
    <w:rsid w:val="0055021E"/>
    <w:rsid w:val="0055026B"/>
    <w:rsid w:val="00550285"/>
    <w:rsid w:val="005502AF"/>
    <w:rsid w:val="00550343"/>
    <w:rsid w:val="00550455"/>
    <w:rsid w:val="00550538"/>
    <w:rsid w:val="00550569"/>
    <w:rsid w:val="0055071E"/>
    <w:rsid w:val="0055074F"/>
    <w:rsid w:val="00550870"/>
    <w:rsid w:val="00550912"/>
    <w:rsid w:val="00550925"/>
    <w:rsid w:val="00550936"/>
    <w:rsid w:val="005509FC"/>
    <w:rsid w:val="00550A21"/>
    <w:rsid w:val="00550AB0"/>
    <w:rsid w:val="00550AB1"/>
    <w:rsid w:val="00550C7A"/>
    <w:rsid w:val="00550CB0"/>
    <w:rsid w:val="00550CD1"/>
    <w:rsid w:val="00550D34"/>
    <w:rsid w:val="00550DCB"/>
    <w:rsid w:val="00550F4E"/>
    <w:rsid w:val="00550F8A"/>
    <w:rsid w:val="00551083"/>
    <w:rsid w:val="00551260"/>
    <w:rsid w:val="005513C3"/>
    <w:rsid w:val="005513DD"/>
    <w:rsid w:val="005513EF"/>
    <w:rsid w:val="0055150A"/>
    <w:rsid w:val="00551582"/>
    <w:rsid w:val="00551668"/>
    <w:rsid w:val="005516E2"/>
    <w:rsid w:val="0055170D"/>
    <w:rsid w:val="0055185D"/>
    <w:rsid w:val="005519E3"/>
    <w:rsid w:val="005519EA"/>
    <w:rsid w:val="00551A4D"/>
    <w:rsid w:val="00551ABD"/>
    <w:rsid w:val="00551C8B"/>
    <w:rsid w:val="00551CEC"/>
    <w:rsid w:val="00551D9A"/>
    <w:rsid w:val="00551E94"/>
    <w:rsid w:val="00551FDE"/>
    <w:rsid w:val="00552007"/>
    <w:rsid w:val="0055201D"/>
    <w:rsid w:val="005520E6"/>
    <w:rsid w:val="00552144"/>
    <w:rsid w:val="00552166"/>
    <w:rsid w:val="00552178"/>
    <w:rsid w:val="00552190"/>
    <w:rsid w:val="0055219A"/>
    <w:rsid w:val="0055221E"/>
    <w:rsid w:val="00552292"/>
    <w:rsid w:val="005523C3"/>
    <w:rsid w:val="00552478"/>
    <w:rsid w:val="00552484"/>
    <w:rsid w:val="005524D9"/>
    <w:rsid w:val="0055259E"/>
    <w:rsid w:val="0055262C"/>
    <w:rsid w:val="0055269E"/>
    <w:rsid w:val="005526B8"/>
    <w:rsid w:val="00552731"/>
    <w:rsid w:val="0055279D"/>
    <w:rsid w:val="00552843"/>
    <w:rsid w:val="005528CC"/>
    <w:rsid w:val="00552962"/>
    <w:rsid w:val="00552ADD"/>
    <w:rsid w:val="00552DFF"/>
    <w:rsid w:val="00552E61"/>
    <w:rsid w:val="00552ED6"/>
    <w:rsid w:val="00552F27"/>
    <w:rsid w:val="00552F39"/>
    <w:rsid w:val="00552F5C"/>
    <w:rsid w:val="00552F88"/>
    <w:rsid w:val="00552FCE"/>
    <w:rsid w:val="0055310C"/>
    <w:rsid w:val="0055313A"/>
    <w:rsid w:val="0055314D"/>
    <w:rsid w:val="00553244"/>
    <w:rsid w:val="00553350"/>
    <w:rsid w:val="005534A0"/>
    <w:rsid w:val="005534B7"/>
    <w:rsid w:val="00553519"/>
    <w:rsid w:val="00553577"/>
    <w:rsid w:val="005535CB"/>
    <w:rsid w:val="00553680"/>
    <w:rsid w:val="005536B2"/>
    <w:rsid w:val="00553803"/>
    <w:rsid w:val="00553915"/>
    <w:rsid w:val="00553939"/>
    <w:rsid w:val="0055398E"/>
    <w:rsid w:val="00553A3C"/>
    <w:rsid w:val="00553A7D"/>
    <w:rsid w:val="00553A82"/>
    <w:rsid w:val="00553B6A"/>
    <w:rsid w:val="00553B9E"/>
    <w:rsid w:val="00553C15"/>
    <w:rsid w:val="00553D0C"/>
    <w:rsid w:val="00553DB9"/>
    <w:rsid w:val="00553E2B"/>
    <w:rsid w:val="00553E59"/>
    <w:rsid w:val="00553EEC"/>
    <w:rsid w:val="00553F18"/>
    <w:rsid w:val="00553F6A"/>
    <w:rsid w:val="00553FC8"/>
    <w:rsid w:val="00553FCA"/>
    <w:rsid w:val="00554010"/>
    <w:rsid w:val="00554012"/>
    <w:rsid w:val="00554030"/>
    <w:rsid w:val="005540A8"/>
    <w:rsid w:val="00554143"/>
    <w:rsid w:val="00554177"/>
    <w:rsid w:val="00554183"/>
    <w:rsid w:val="005542B1"/>
    <w:rsid w:val="005542C3"/>
    <w:rsid w:val="0055434A"/>
    <w:rsid w:val="005544F1"/>
    <w:rsid w:val="005544F9"/>
    <w:rsid w:val="00554527"/>
    <w:rsid w:val="00554548"/>
    <w:rsid w:val="00554550"/>
    <w:rsid w:val="005545AA"/>
    <w:rsid w:val="0055474B"/>
    <w:rsid w:val="00554839"/>
    <w:rsid w:val="005548A3"/>
    <w:rsid w:val="005549BE"/>
    <w:rsid w:val="00554A96"/>
    <w:rsid w:val="00554B09"/>
    <w:rsid w:val="00554B1C"/>
    <w:rsid w:val="00554B51"/>
    <w:rsid w:val="00554C20"/>
    <w:rsid w:val="00554C37"/>
    <w:rsid w:val="00554F27"/>
    <w:rsid w:val="00554FEA"/>
    <w:rsid w:val="00554FF9"/>
    <w:rsid w:val="00555065"/>
    <w:rsid w:val="005550BB"/>
    <w:rsid w:val="005551A0"/>
    <w:rsid w:val="005551AD"/>
    <w:rsid w:val="0055531C"/>
    <w:rsid w:val="00555372"/>
    <w:rsid w:val="005554E8"/>
    <w:rsid w:val="005555C5"/>
    <w:rsid w:val="00555603"/>
    <w:rsid w:val="00555623"/>
    <w:rsid w:val="00555662"/>
    <w:rsid w:val="00555934"/>
    <w:rsid w:val="00555950"/>
    <w:rsid w:val="0055595C"/>
    <w:rsid w:val="00555A33"/>
    <w:rsid w:val="00555A9B"/>
    <w:rsid w:val="00555B41"/>
    <w:rsid w:val="00555C0A"/>
    <w:rsid w:val="00555C25"/>
    <w:rsid w:val="00555C82"/>
    <w:rsid w:val="00555CD4"/>
    <w:rsid w:val="00555D1D"/>
    <w:rsid w:val="00555D90"/>
    <w:rsid w:val="00555EE1"/>
    <w:rsid w:val="00555F11"/>
    <w:rsid w:val="00555F52"/>
    <w:rsid w:val="00555FE5"/>
    <w:rsid w:val="0055605F"/>
    <w:rsid w:val="005560C3"/>
    <w:rsid w:val="0055610A"/>
    <w:rsid w:val="005562B6"/>
    <w:rsid w:val="005562EA"/>
    <w:rsid w:val="0055633F"/>
    <w:rsid w:val="0055635F"/>
    <w:rsid w:val="005563D6"/>
    <w:rsid w:val="005564B4"/>
    <w:rsid w:val="005564C3"/>
    <w:rsid w:val="005565C5"/>
    <w:rsid w:val="005565D2"/>
    <w:rsid w:val="00556624"/>
    <w:rsid w:val="0055678C"/>
    <w:rsid w:val="005567F9"/>
    <w:rsid w:val="00556908"/>
    <w:rsid w:val="0055693F"/>
    <w:rsid w:val="00556A1B"/>
    <w:rsid w:val="00556AA5"/>
    <w:rsid w:val="00556AB9"/>
    <w:rsid w:val="00556AEC"/>
    <w:rsid w:val="00556C2F"/>
    <w:rsid w:val="00556CB9"/>
    <w:rsid w:val="00556D28"/>
    <w:rsid w:val="00556DA7"/>
    <w:rsid w:val="00556EF8"/>
    <w:rsid w:val="00556F35"/>
    <w:rsid w:val="00556F8D"/>
    <w:rsid w:val="00556FA9"/>
    <w:rsid w:val="00557092"/>
    <w:rsid w:val="00557100"/>
    <w:rsid w:val="005571E0"/>
    <w:rsid w:val="0055724C"/>
    <w:rsid w:val="0055726F"/>
    <w:rsid w:val="00557344"/>
    <w:rsid w:val="005573BE"/>
    <w:rsid w:val="0055742D"/>
    <w:rsid w:val="00557438"/>
    <w:rsid w:val="005575B5"/>
    <w:rsid w:val="00557616"/>
    <w:rsid w:val="005576BA"/>
    <w:rsid w:val="0055774D"/>
    <w:rsid w:val="0055776A"/>
    <w:rsid w:val="00557794"/>
    <w:rsid w:val="005577C9"/>
    <w:rsid w:val="0055782F"/>
    <w:rsid w:val="00557873"/>
    <w:rsid w:val="0055793C"/>
    <w:rsid w:val="00557951"/>
    <w:rsid w:val="005579EA"/>
    <w:rsid w:val="00557A4C"/>
    <w:rsid w:val="00557BBF"/>
    <w:rsid w:val="00557BDB"/>
    <w:rsid w:val="00557C1F"/>
    <w:rsid w:val="00557C5D"/>
    <w:rsid w:val="00560012"/>
    <w:rsid w:val="0056002A"/>
    <w:rsid w:val="0056006F"/>
    <w:rsid w:val="0056010F"/>
    <w:rsid w:val="0056011B"/>
    <w:rsid w:val="0056013B"/>
    <w:rsid w:val="00560248"/>
    <w:rsid w:val="0056027E"/>
    <w:rsid w:val="005602A5"/>
    <w:rsid w:val="005603C7"/>
    <w:rsid w:val="0056044D"/>
    <w:rsid w:val="005604DE"/>
    <w:rsid w:val="0056056B"/>
    <w:rsid w:val="005605B1"/>
    <w:rsid w:val="00560600"/>
    <w:rsid w:val="005606A8"/>
    <w:rsid w:val="005607C5"/>
    <w:rsid w:val="00560820"/>
    <w:rsid w:val="00560928"/>
    <w:rsid w:val="00560A17"/>
    <w:rsid w:val="00560A7F"/>
    <w:rsid w:val="00560AE2"/>
    <w:rsid w:val="00560B1D"/>
    <w:rsid w:val="00560B88"/>
    <w:rsid w:val="00560BCA"/>
    <w:rsid w:val="00560CB0"/>
    <w:rsid w:val="00560CEB"/>
    <w:rsid w:val="00560D8D"/>
    <w:rsid w:val="00560DB7"/>
    <w:rsid w:val="00560EA6"/>
    <w:rsid w:val="00560FCA"/>
    <w:rsid w:val="005610B6"/>
    <w:rsid w:val="00561110"/>
    <w:rsid w:val="00561162"/>
    <w:rsid w:val="005611CF"/>
    <w:rsid w:val="0056125F"/>
    <w:rsid w:val="005612CB"/>
    <w:rsid w:val="00561358"/>
    <w:rsid w:val="005613B9"/>
    <w:rsid w:val="00561698"/>
    <w:rsid w:val="005616B8"/>
    <w:rsid w:val="00561796"/>
    <w:rsid w:val="005617BF"/>
    <w:rsid w:val="005617F0"/>
    <w:rsid w:val="00561854"/>
    <w:rsid w:val="005618D6"/>
    <w:rsid w:val="00561973"/>
    <w:rsid w:val="00561A3C"/>
    <w:rsid w:val="00561B24"/>
    <w:rsid w:val="00561B53"/>
    <w:rsid w:val="00561B83"/>
    <w:rsid w:val="00561BFC"/>
    <w:rsid w:val="00561C02"/>
    <w:rsid w:val="00561C61"/>
    <w:rsid w:val="00561CAC"/>
    <w:rsid w:val="00561D91"/>
    <w:rsid w:val="00561D94"/>
    <w:rsid w:val="00561EE6"/>
    <w:rsid w:val="00561F30"/>
    <w:rsid w:val="00561FCA"/>
    <w:rsid w:val="00562081"/>
    <w:rsid w:val="005620E1"/>
    <w:rsid w:val="0056213D"/>
    <w:rsid w:val="00562229"/>
    <w:rsid w:val="00562237"/>
    <w:rsid w:val="005622E0"/>
    <w:rsid w:val="00562426"/>
    <w:rsid w:val="005625E9"/>
    <w:rsid w:val="00562625"/>
    <w:rsid w:val="0056268A"/>
    <w:rsid w:val="00562743"/>
    <w:rsid w:val="005628A6"/>
    <w:rsid w:val="005628C9"/>
    <w:rsid w:val="005628E0"/>
    <w:rsid w:val="00562999"/>
    <w:rsid w:val="005629BA"/>
    <w:rsid w:val="00562A2A"/>
    <w:rsid w:val="00562B4F"/>
    <w:rsid w:val="00562B62"/>
    <w:rsid w:val="00562F62"/>
    <w:rsid w:val="00563007"/>
    <w:rsid w:val="0056300F"/>
    <w:rsid w:val="00563122"/>
    <w:rsid w:val="005631FA"/>
    <w:rsid w:val="00563317"/>
    <w:rsid w:val="00563332"/>
    <w:rsid w:val="005633AD"/>
    <w:rsid w:val="0056352C"/>
    <w:rsid w:val="00563568"/>
    <w:rsid w:val="0056357D"/>
    <w:rsid w:val="00563622"/>
    <w:rsid w:val="00563634"/>
    <w:rsid w:val="0056383C"/>
    <w:rsid w:val="0056385D"/>
    <w:rsid w:val="0056388C"/>
    <w:rsid w:val="005638D7"/>
    <w:rsid w:val="00563A39"/>
    <w:rsid w:val="00563B28"/>
    <w:rsid w:val="00563B5A"/>
    <w:rsid w:val="00563BDF"/>
    <w:rsid w:val="00563D5D"/>
    <w:rsid w:val="00563DC4"/>
    <w:rsid w:val="00563E47"/>
    <w:rsid w:val="00563E4F"/>
    <w:rsid w:val="00563E61"/>
    <w:rsid w:val="00564036"/>
    <w:rsid w:val="00564078"/>
    <w:rsid w:val="005640AF"/>
    <w:rsid w:val="0056416F"/>
    <w:rsid w:val="005641DD"/>
    <w:rsid w:val="0056430E"/>
    <w:rsid w:val="00564352"/>
    <w:rsid w:val="005643F0"/>
    <w:rsid w:val="00564482"/>
    <w:rsid w:val="00564543"/>
    <w:rsid w:val="0056459B"/>
    <w:rsid w:val="005645BB"/>
    <w:rsid w:val="005645E0"/>
    <w:rsid w:val="005645F2"/>
    <w:rsid w:val="0056462E"/>
    <w:rsid w:val="00564640"/>
    <w:rsid w:val="00564688"/>
    <w:rsid w:val="005648A9"/>
    <w:rsid w:val="00564B2E"/>
    <w:rsid w:val="00564B42"/>
    <w:rsid w:val="00564B80"/>
    <w:rsid w:val="00564C6B"/>
    <w:rsid w:val="00564C6C"/>
    <w:rsid w:val="00564C6F"/>
    <w:rsid w:val="00564CCF"/>
    <w:rsid w:val="00564D41"/>
    <w:rsid w:val="00564DB7"/>
    <w:rsid w:val="00564F2F"/>
    <w:rsid w:val="00564F39"/>
    <w:rsid w:val="00564FF9"/>
    <w:rsid w:val="00565095"/>
    <w:rsid w:val="005650F2"/>
    <w:rsid w:val="00565310"/>
    <w:rsid w:val="0056538B"/>
    <w:rsid w:val="005653AF"/>
    <w:rsid w:val="0056547D"/>
    <w:rsid w:val="0056547F"/>
    <w:rsid w:val="005654B5"/>
    <w:rsid w:val="005655C3"/>
    <w:rsid w:val="00565617"/>
    <w:rsid w:val="0056572C"/>
    <w:rsid w:val="00565747"/>
    <w:rsid w:val="00565753"/>
    <w:rsid w:val="005657BD"/>
    <w:rsid w:val="005657FE"/>
    <w:rsid w:val="00565839"/>
    <w:rsid w:val="00565976"/>
    <w:rsid w:val="00565A25"/>
    <w:rsid w:val="00565A87"/>
    <w:rsid w:val="00565B38"/>
    <w:rsid w:val="00565B79"/>
    <w:rsid w:val="00565BFD"/>
    <w:rsid w:val="00565C21"/>
    <w:rsid w:val="00565CCF"/>
    <w:rsid w:val="00565CF8"/>
    <w:rsid w:val="00565E11"/>
    <w:rsid w:val="00565F4D"/>
    <w:rsid w:val="005660D0"/>
    <w:rsid w:val="005660D1"/>
    <w:rsid w:val="0056611E"/>
    <w:rsid w:val="00566213"/>
    <w:rsid w:val="005662CA"/>
    <w:rsid w:val="00566369"/>
    <w:rsid w:val="00566662"/>
    <w:rsid w:val="005666C9"/>
    <w:rsid w:val="0056670C"/>
    <w:rsid w:val="0056670F"/>
    <w:rsid w:val="00566963"/>
    <w:rsid w:val="00566BCE"/>
    <w:rsid w:val="00566C77"/>
    <w:rsid w:val="00566D31"/>
    <w:rsid w:val="00566D7B"/>
    <w:rsid w:val="00566DDD"/>
    <w:rsid w:val="00566DF2"/>
    <w:rsid w:val="00566E61"/>
    <w:rsid w:val="00566E73"/>
    <w:rsid w:val="00566FA1"/>
    <w:rsid w:val="00567024"/>
    <w:rsid w:val="0056718E"/>
    <w:rsid w:val="005672F8"/>
    <w:rsid w:val="0056746A"/>
    <w:rsid w:val="005674A9"/>
    <w:rsid w:val="005674EB"/>
    <w:rsid w:val="005674F3"/>
    <w:rsid w:val="00567505"/>
    <w:rsid w:val="005675A4"/>
    <w:rsid w:val="00567607"/>
    <w:rsid w:val="00567662"/>
    <w:rsid w:val="00567739"/>
    <w:rsid w:val="005677C3"/>
    <w:rsid w:val="00567858"/>
    <w:rsid w:val="00567869"/>
    <w:rsid w:val="005678C8"/>
    <w:rsid w:val="00567932"/>
    <w:rsid w:val="00567982"/>
    <w:rsid w:val="00567A63"/>
    <w:rsid w:val="00567BB2"/>
    <w:rsid w:val="00567BF9"/>
    <w:rsid w:val="00567C41"/>
    <w:rsid w:val="00567CC5"/>
    <w:rsid w:val="00567D80"/>
    <w:rsid w:val="00567D8E"/>
    <w:rsid w:val="00567E4E"/>
    <w:rsid w:val="00567EFE"/>
    <w:rsid w:val="00567F3A"/>
    <w:rsid w:val="0057033C"/>
    <w:rsid w:val="00570346"/>
    <w:rsid w:val="005703DC"/>
    <w:rsid w:val="00570460"/>
    <w:rsid w:val="005704FD"/>
    <w:rsid w:val="00570940"/>
    <w:rsid w:val="0057096B"/>
    <w:rsid w:val="00570ABA"/>
    <w:rsid w:val="00570ABE"/>
    <w:rsid w:val="00570AFA"/>
    <w:rsid w:val="00570BCF"/>
    <w:rsid w:val="00570C4E"/>
    <w:rsid w:val="00570D25"/>
    <w:rsid w:val="00570D3F"/>
    <w:rsid w:val="00570D6A"/>
    <w:rsid w:val="00570D8B"/>
    <w:rsid w:val="00570DBF"/>
    <w:rsid w:val="00570E60"/>
    <w:rsid w:val="00570EDB"/>
    <w:rsid w:val="00570EDF"/>
    <w:rsid w:val="00570F9E"/>
    <w:rsid w:val="00570FD1"/>
    <w:rsid w:val="0057103A"/>
    <w:rsid w:val="005710CF"/>
    <w:rsid w:val="00571123"/>
    <w:rsid w:val="00571133"/>
    <w:rsid w:val="0057114C"/>
    <w:rsid w:val="00571276"/>
    <w:rsid w:val="005712EC"/>
    <w:rsid w:val="00571414"/>
    <w:rsid w:val="0057143E"/>
    <w:rsid w:val="005714F1"/>
    <w:rsid w:val="0057150E"/>
    <w:rsid w:val="00571778"/>
    <w:rsid w:val="00571812"/>
    <w:rsid w:val="00571842"/>
    <w:rsid w:val="005718DA"/>
    <w:rsid w:val="005718F1"/>
    <w:rsid w:val="0057193C"/>
    <w:rsid w:val="0057197E"/>
    <w:rsid w:val="00571A42"/>
    <w:rsid w:val="00571A72"/>
    <w:rsid w:val="00571BCD"/>
    <w:rsid w:val="00571C87"/>
    <w:rsid w:val="00571D1C"/>
    <w:rsid w:val="00571E1E"/>
    <w:rsid w:val="00571E7E"/>
    <w:rsid w:val="00571FDA"/>
    <w:rsid w:val="00572063"/>
    <w:rsid w:val="005720BB"/>
    <w:rsid w:val="005720C0"/>
    <w:rsid w:val="00572114"/>
    <w:rsid w:val="005721E8"/>
    <w:rsid w:val="00572313"/>
    <w:rsid w:val="0057236B"/>
    <w:rsid w:val="005723E9"/>
    <w:rsid w:val="005724A3"/>
    <w:rsid w:val="005724D9"/>
    <w:rsid w:val="005725EE"/>
    <w:rsid w:val="00572645"/>
    <w:rsid w:val="00572768"/>
    <w:rsid w:val="005727C7"/>
    <w:rsid w:val="0057281F"/>
    <w:rsid w:val="005728F4"/>
    <w:rsid w:val="00572A34"/>
    <w:rsid w:val="00572A57"/>
    <w:rsid w:val="00572A61"/>
    <w:rsid w:val="00572B54"/>
    <w:rsid w:val="00572CD3"/>
    <w:rsid w:val="00572D42"/>
    <w:rsid w:val="00572DA2"/>
    <w:rsid w:val="00572E8D"/>
    <w:rsid w:val="00572FAB"/>
    <w:rsid w:val="00573014"/>
    <w:rsid w:val="005731A8"/>
    <w:rsid w:val="0057329C"/>
    <w:rsid w:val="005732B3"/>
    <w:rsid w:val="005733CD"/>
    <w:rsid w:val="00573412"/>
    <w:rsid w:val="005734AC"/>
    <w:rsid w:val="005734C6"/>
    <w:rsid w:val="005734D7"/>
    <w:rsid w:val="005735B3"/>
    <w:rsid w:val="00573667"/>
    <w:rsid w:val="00573900"/>
    <w:rsid w:val="00573940"/>
    <w:rsid w:val="00573976"/>
    <w:rsid w:val="0057399D"/>
    <w:rsid w:val="005739D8"/>
    <w:rsid w:val="00573A17"/>
    <w:rsid w:val="00573B4B"/>
    <w:rsid w:val="00573C19"/>
    <w:rsid w:val="00573D5D"/>
    <w:rsid w:val="00573DAB"/>
    <w:rsid w:val="00573DB8"/>
    <w:rsid w:val="00573DBB"/>
    <w:rsid w:val="00573DC3"/>
    <w:rsid w:val="005740B8"/>
    <w:rsid w:val="005740E3"/>
    <w:rsid w:val="0057413E"/>
    <w:rsid w:val="0057416C"/>
    <w:rsid w:val="005741EA"/>
    <w:rsid w:val="005742DE"/>
    <w:rsid w:val="005743C6"/>
    <w:rsid w:val="00574478"/>
    <w:rsid w:val="005744AD"/>
    <w:rsid w:val="005744F9"/>
    <w:rsid w:val="00574575"/>
    <w:rsid w:val="005745BC"/>
    <w:rsid w:val="00574640"/>
    <w:rsid w:val="00574814"/>
    <w:rsid w:val="005749EE"/>
    <w:rsid w:val="00574A4C"/>
    <w:rsid w:val="00574AAA"/>
    <w:rsid w:val="00574ABE"/>
    <w:rsid w:val="00574AE7"/>
    <w:rsid w:val="00574B11"/>
    <w:rsid w:val="00574B3B"/>
    <w:rsid w:val="00574B87"/>
    <w:rsid w:val="00574BFC"/>
    <w:rsid w:val="00574C05"/>
    <w:rsid w:val="00574D57"/>
    <w:rsid w:val="00574D90"/>
    <w:rsid w:val="00574D92"/>
    <w:rsid w:val="00574DAC"/>
    <w:rsid w:val="00574DAE"/>
    <w:rsid w:val="0057501B"/>
    <w:rsid w:val="00575195"/>
    <w:rsid w:val="00575366"/>
    <w:rsid w:val="00575413"/>
    <w:rsid w:val="00575432"/>
    <w:rsid w:val="00575441"/>
    <w:rsid w:val="00575597"/>
    <w:rsid w:val="0057569F"/>
    <w:rsid w:val="00575803"/>
    <w:rsid w:val="0057581B"/>
    <w:rsid w:val="00575A3F"/>
    <w:rsid w:val="00575AC3"/>
    <w:rsid w:val="00575ACA"/>
    <w:rsid w:val="00575CBA"/>
    <w:rsid w:val="00575D16"/>
    <w:rsid w:val="00575D63"/>
    <w:rsid w:val="00575FB4"/>
    <w:rsid w:val="005760C0"/>
    <w:rsid w:val="005760CD"/>
    <w:rsid w:val="005761DD"/>
    <w:rsid w:val="005761F1"/>
    <w:rsid w:val="00576244"/>
    <w:rsid w:val="0057628F"/>
    <w:rsid w:val="005762AF"/>
    <w:rsid w:val="0057637D"/>
    <w:rsid w:val="00576388"/>
    <w:rsid w:val="00576394"/>
    <w:rsid w:val="005763AC"/>
    <w:rsid w:val="005763FC"/>
    <w:rsid w:val="00576453"/>
    <w:rsid w:val="005764B4"/>
    <w:rsid w:val="005765C8"/>
    <w:rsid w:val="0057692F"/>
    <w:rsid w:val="005769A4"/>
    <w:rsid w:val="005769A5"/>
    <w:rsid w:val="005769ED"/>
    <w:rsid w:val="00576B84"/>
    <w:rsid w:val="00576D42"/>
    <w:rsid w:val="00576D46"/>
    <w:rsid w:val="00576D87"/>
    <w:rsid w:val="00576D95"/>
    <w:rsid w:val="00576E60"/>
    <w:rsid w:val="00576E87"/>
    <w:rsid w:val="00576F58"/>
    <w:rsid w:val="00576F5A"/>
    <w:rsid w:val="00576FDB"/>
    <w:rsid w:val="00577029"/>
    <w:rsid w:val="005770B9"/>
    <w:rsid w:val="00577149"/>
    <w:rsid w:val="0057719D"/>
    <w:rsid w:val="0057731C"/>
    <w:rsid w:val="005773CA"/>
    <w:rsid w:val="005775FC"/>
    <w:rsid w:val="00577668"/>
    <w:rsid w:val="0057767F"/>
    <w:rsid w:val="0057769B"/>
    <w:rsid w:val="00577745"/>
    <w:rsid w:val="0057797E"/>
    <w:rsid w:val="0057798F"/>
    <w:rsid w:val="00577A44"/>
    <w:rsid w:val="00577A72"/>
    <w:rsid w:val="00577AAA"/>
    <w:rsid w:val="00577BA2"/>
    <w:rsid w:val="00577C91"/>
    <w:rsid w:val="00577DB5"/>
    <w:rsid w:val="00577DBF"/>
    <w:rsid w:val="00577F76"/>
    <w:rsid w:val="00580061"/>
    <w:rsid w:val="00580398"/>
    <w:rsid w:val="0058040B"/>
    <w:rsid w:val="00580417"/>
    <w:rsid w:val="00580584"/>
    <w:rsid w:val="00580658"/>
    <w:rsid w:val="005806CD"/>
    <w:rsid w:val="00580715"/>
    <w:rsid w:val="0058077F"/>
    <w:rsid w:val="00580784"/>
    <w:rsid w:val="00580819"/>
    <w:rsid w:val="00580879"/>
    <w:rsid w:val="00580883"/>
    <w:rsid w:val="005808A1"/>
    <w:rsid w:val="00580951"/>
    <w:rsid w:val="0058098F"/>
    <w:rsid w:val="005809E3"/>
    <w:rsid w:val="00580A72"/>
    <w:rsid w:val="00580B05"/>
    <w:rsid w:val="00580B0C"/>
    <w:rsid w:val="00580B82"/>
    <w:rsid w:val="00580B89"/>
    <w:rsid w:val="00580BC6"/>
    <w:rsid w:val="00580BFA"/>
    <w:rsid w:val="00580C8E"/>
    <w:rsid w:val="00580D5D"/>
    <w:rsid w:val="00580E5F"/>
    <w:rsid w:val="00581018"/>
    <w:rsid w:val="005810C7"/>
    <w:rsid w:val="005811D1"/>
    <w:rsid w:val="005811E4"/>
    <w:rsid w:val="0058139F"/>
    <w:rsid w:val="005813E5"/>
    <w:rsid w:val="00581407"/>
    <w:rsid w:val="005814E4"/>
    <w:rsid w:val="00581553"/>
    <w:rsid w:val="00581565"/>
    <w:rsid w:val="0058159D"/>
    <w:rsid w:val="0058162E"/>
    <w:rsid w:val="0058168E"/>
    <w:rsid w:val="005816C6"/>
    <w:rsid w:val="0058179E"/>
    <w:rsid w:val="005817A2"/>
    <w:rsid w:val="005817E6"/>
    <w:rsid w:val="005818B2"/>
    <w:rsid w:val="00581967"/>
    <w:rsid w:val="005819B9"/>
    <w:rsid w:val="00581AD9"/>
    <w:rsid w:val="00581B1D"/>
    <w:rsid w:val="00581D74"/>
    <w:rsid w:val="00581DE8"/>
    <w:rsid w:val="00581E0E"/>
    <w:rsid w:val="00581EDE"/>
    <w:rsid w:val="00581EE0"/>
    <w:rsid w:val="00582108"/>
    <w:rsid w:val="00582171"/>
    <w:rsid w:val="00582244"/>
    <w:rsid w:val="0058232B"/>
    <w:rsid w:val="005823B7"/>
    <w:rsid w:val="005823E7"/>
    <w:rsid w:val="00582401"/>
    <w:rsid w:val="0058241F"/>
    <w:rsid w:val="0058245A"/>
    <w:rsid w:val="0058249B"/>
    <w:rsid w:val="005824E9"/>
    <w:rsid w:val="0058258B"/>
    <w:rsid w:val="005825FF"/>
    <w:rsid w:val="00582665"/>
    <w:rsid w:val="00582697"/>
    <w:rsid w:val="005826BD"/>
    <w:rsid w:val="00582703"/>
    <w:rsid w:val="00582725"/>
    <w:rsid w:val="0058276B"/>
    <w:rsid w:val="0058280C"/>
    <w:rsid w:val="005828A5"/>
    <w:rsid w:val="00582943"/>
    <w:rsid w:val="0058299D"/>
    <w:rsid w:val="00582B20"/>
    <w:rsid w:val="00582BAD"/>
    <w:rsid w:val="00582C35"/>
    <w:rsid w:val="00582E41"/>
    <w:rsid w:val="00582EB5"/>
    <w:rsid w:val="00582EC5"/>
    <w:rsid w:val="00582EEE"/>
    <w:rsid w:val="00582F62"/>
    <w:rsid w:val="00582FB1"/>
    <w:rsid w:val="00582FD5"/>
    <w:rsid w:val="00583076"/>
    <w:rsid w:val="00583143"/>
    <w:rsid w:val="0058314D"/>
    <w:rsid w:val="00583174"/>
    <w:rsid w:val="00583262"/>
    <w:rsid w:val="005832AE"/>
    <w:rsid w:val="0058353C"/>
    <w:rsid w:val="00583540"/>
    <w:rsid w:val="005835F7"/>
    <w:rsid w:val="0058361A"/>
    <w:rsid w:val="00583710"/>
    <w:rsid w:val="00583723"/>
    <w:rsid w:val="005837C2"/>
    <w:rsid w:val="005837C6"/>
    <w:rsid w:val="005837F6"/>
    <w:rsid w:val="0058380E"/>
    <w:rsid w:val="00583892"/>
    <w:rsid w:val="005839F4"/>
    <w:rsid w:val="00583A36"/>
    <w:rsid w:val="00583AC6"/>
    <w:rsid w:val="00583B1C"/>
    <w:rsid w:val="00583C8E"/>
    <w:rsid w:val="00583CB0"/>
    <w:rsid w:val="00583D20"/>
    <w:rsid w:val="00583D37"/>
    <w:rsid w:val="00583D4F"/>
    <w:rsid w:val="00583D64"/>
    <w:rsid w:val="00583D86"/>
    <w:rsid w:val="00583DAB"/>
    <w:rsid w:val="00583DCE"/>
    <w:rsid w:val="00583FDB"/>
    <w:rsid w:val="00584017"/>
    <w:rsid w:val="00584145"/>
    <w:rsid w:val="0058427A"/>
    <w:rsid w:val="005843A9"/>
    <w:rsid w:val="005843F2"/>
    <w:rsid w:val="00584458"/>
    <w:rsid w:val="005844DF"/>
    <w:rsid w:val="00584568"/>
    <w:rsid w:val="0058459C"/>
    <w:rsid w:val="0058465D"/>
    <w:rsid w:val="0058480F"/>
    <w:rsid w:val="005848D9"/>
    <w:rsid w:val="0058492C"/>
    <w:rsid w:val="00584930"/>
    <w:rsid w:val="00584A56"/>
    <w:rsid w:val="00584A7C"/>
    <w:rsid w:val="00584A85"/>
    <w:rsid w:val="00584AEF"/>
    <w:rsid w:val="00584BE1"/>
    <w:rsid w:val="00584C15"/>
    <w:rsid w:val="00584C80"/>
    <w:rsid w:val="00584D9B"/>
    <w:rsid w:val="00584EDF"/>
    <w:rsid w:val="00584EF1"/>
    <w:rsid w:val="00584FC6"/>
    <w:rsid w:val="00584FDB"/>
    <w:rsid w:val="00585057"/>
    <w:rsid w:val="005850F5"/>
    <w:rsid w:val="00585112"/>
    <w:rsid w:val="0058511E"/>
    <w:rsid w:val="005851F5"/>
    <w:rsid w:val="0058523B"/>
    <w:rsid w:val="005852CB"/>
    <w:rsid w:val="00585317"/>
    <w:rsid w:val="0058533B"/>
    <w:rsid w:val="0058543C"/>
    <w:rsid w:val="00585471"/>
    <w:rsid w:val="0058555A"/>
    <w:rsid w:val="005855C7"/>
    <w:rsid w:val="0058565F"/>
    <w:rsid w:val="0058571D"/>
    <w:rsid w:val="0058576F"/>
    <w:rsid w:val="005857C2"/>
    <w:rsid w:val="005857E5"/>
    <w:rsid w:val="005858EA"/>
    <w:rsid w:val="00585A3C"/>
    <w:rsid w:val="00585BE6"/>
    <w:rsid w:val="00585BF8"/>
    <w:rsid w:val="00585C11"/>
    <w:rsid w:val="00585CB8"/>
    <w:rsid w:val="00585D12"/>
    <w:rsid w:val="00585D7C"/>
    <w:rsid w:val="00585EB3"/>
    <w:rsid w:val="00585FD1"/>
    <w:rsid w:val="00585FDD"/>
    <w:rsid w:val="005860DA"/>
    <w:rsid w:val="005860FB"/>
    <w:rsid w:val="00586232"/>
    <w:rsid w:val="00586274"/>
    <w:rsid w:val="005862F0"/>
    <w:rsid w:val="00586406"/>
    <w:rsid w:val="005864E4"/>
    <w:rsid w:val="00586660"/>
    <w:rsid w:val="0058666A"/>
    <w:rsid w:val="005866B1"/>
    <w:rsid w:val="005866F3"/>
    <w:rsid w:val="00586702"/>
    <w:rsid w:val="0058675B"/>
    <w:rsid w:val="0058684C"/>
    <w:rsid w:val="00586A04"/>
    <w:rsid w:val="00586A62"/>
    <w:rsid w:val="00586C39"/>
    <w:rsid w:val="00586CFC"/>
    <w:rsid w:val="00586D13"/>
    <w:rsid w:val="00586D18"/>
    <w:rsid w:val="00586D54"/>
    <w:rsid w:val="00586D98"/>
    <w:rsid w:val="00586F81"/>
    <w:rsid w:val="00586FC8"/>
    <w:rsid w:val="00586FCA"/>
    <w:rsid w:val="00587001"/>
    <w:rsid w:val="0058700E"/>
    <w:rsid w:val="0058701C"/>
    <w:rsid w:val="00587175"/>
    <w:rsid w:val="0058718D"/>
    <w:rsid w:val="005871C3"/>
    <w:rsid w:val="00587211"/>
    <w:rsid w:val="0058727D"/>
    <w:rsid w:val="00587288"/>
    <w:rsid w:val="005872B8"/>
    <w:rsid w:val="005873DD"/>
    <w:rsid w:val="00587456"/>
    <w:rsid w:val="0058768F"/>
    <w:rsid w:val="0058778D"/>
    <w:rsid w:val="005877A7"/>
    <w:rsid w:val="00587816"/>
    <w:rsid w:val="00587847"/>
    <w:rsid w:val="0058791B"/>
    <w:rsid w:val="00587A01"/>
    <w:rsid w:val="00587B35"/>
    <w:rsid w:val="00587E2B"/>
    <w:rsid w:val="00587E85"/>
    <w:rsid w:val="00587E88"/>
    <w:rsid w:val="00587FDF"/>
    <w:rsid w:val="0059007A"/>
    <w:rsid w:val="0059017F"/>
    <w:rsid w:val="005901DE"/>
    <w:rsid w:val="00590257"/>
    <w:rsid w:val="005902D4"/>
    <w:rsid w:val="00590352"/>
    <w:rsid w:val="00590362"/>
    <w:rsid w:val="00590453"/>
    <w:rsid w:val="0059049A"/>
    <w:rsid w:val="00590535"/>
    <w:rsid w:val="00590604"/>
    <w:rsid w:val="0059069B"/>
    <w:rsid w:val="005906E2"/>
    <w:rsid w:val="005908E4"/>
    <w:rsid w:val="005909BB"/>
    <w:rsid w:val="005909F6"/>
    <w:rsid w:val="00590A33"/>
    <w:rsid w:val="00590A46"/>
    <w:rsid w:val="00590ABC"/>
    <w:rsid w:val="00590B0A"/>
    <w:rsid w:val="00590B22"/>
    <w:rsid w:val="00590C84"/>
    <w:rsid w:val="00590CF7"/>
    <w:rsid w:val="00590DA2"/>
    <w:rsid w:val="00590E74"/>
    <w:rsid w:val="00590FA1"/>
    <w:rsid w:val="00590FBE"/>
    <w:rsid w:val="0059102D"/>
    <w:rsid w:val="005911A6"/>
    <w:rsid w:val="005911E5"/>
    <w:rsid w:val="00591350"/>
    <w:rsid w:val="0059135F"/>
    <w:rsid w:val="00591373"/>
    <w:rsid w:val="005913A9"/>
    <w:rsid w:val="00591418"/>
    <w:rsid w:val="005914B9"/>
    <w:rsid w:val="0059150A"/>
    <w:rsid w:val="00591592"/>
    <w:rsid w:val="005915E9"/>
    <w:rsid w:val="005915EC"/>
    <w:rsid w:val="00591689"/>
    <w:rsid w:val="005916C9"/>
    <w:rsid w:val="005917D2"/>
    <w:rsid w:val="005917FB"/>
    <w:rsid w:val="00591822"/>
    <w:rsid w:val="0059182A"/>
    <w:rsid w:val="005918D1"/>
    <w:rsid w:val="005918FF"/>
    <w:rsid w:val="0059190F"/>
    <w:rsid w:val="00591954"/>
    <w:rsid w:val="00591973"/>
    <w:rsid w:val="005919E5"/>
    <w:rsid w:val="00591B08"/>
    <w:rsid w:val="00591B56"/>
    <w:rsid w:val="00591C10"/>
    <w:rsid w:val="00591D17"/>
    <w:rsid w:val="00591DA5"/>
    <w:rsid w:val="00591DA8"/>
    <w:rsid w:val="00591E41"/>
    <w:rsid w:val="00591FB9"/>
    <w:rsid w:val="00591FE6"/>
    <w:rsid w:val="00592215"/>
    <w:rsid w:val="0059228E"/>
    <w:rsid w:val="005922CB"/>
    <w:rsid w:val="005923E8"/>
    <w:rsid w:val="005924A8"/>
    <w:rsid w:val="00592561"/>
    <w:rsid w:val="005925BB"/>
    <w:rsid w:val="005925C5"/>
    <w:rsid w:val="0059265E"/>
    <w:rsid w:val="00592661"/>
    <w:rsid w:val="00592738"/>
    <w:rsid w:val="00592779"/>
    <w:rsid w:val="005927A4"/>
    <w:rsid w:val="005927C5"/>
    <w:rsid w:val="0059289E"/>
    <w:rsid w:val="00592978"/>
    <w:rsid w:val="00592A06"/>
    <w:rsid w:val="00592A62"/>
    <w:rsid w:val="00592B39"/>
    <w:rsid w:val="00592B53"/>
    <w:rsid w:val="00592B63"/>
    <w:rsid w:val="00592BB9"/>
    <w:rsid w:val="00592BC2"/>
    <w:rsid w:val="00592C00"/>
    <w:rsid w:val="00592C2D"/>
    <w:rsid w:val="00592C50"/>
    <w:rsid w:val="00592C78"/>
    <w:rsid w:val="00592CE3"/>
    <w:rsid w:val="00592CFE"/>
    <w:rsid w:val="00592DD3"/>
    <w:rsid w:val="00592DE3"/>
    <w:rsid w:val="00592E44"/>
    <w:rsid w:val="00592E70"/>
    <w:rsid w:val="00592E72"/>
    <w:rsid w:val="00592EE2"/>
    <w:rsid w:val="00593025"/>
    <w:rsid w:val="005930BA"/>
    <w:rsid w:val="0059313A"/>
    <w:rsid w:val="0059317A"/>
    <w:rsid w:val="00593209"/>
    <w:rsid w:val="0059322F"/>
    <w:rsid w:val="0059327F"/>
    <w:rsid w:val="0059332C"/>
    <w:rsid w:val="00593408"/>
    <w:rsid w:val="00593443"/>
    <w:rsid w:val="005934DC"/>
    <w:rsid w:val="0059353D"/>
    <w:rsid w:val="00593549"/>
    <w:rsid w:val="00593611"/>
    <w:rsid w:val="00593649"/>
    <w:rsid w:val="005936A1"/>
    <w:rsid w:val="005936BE"/>
    <w:rsid w:val="005936C7"/>
    <w:rsid w:val="0059375E"/>
    <w:rsid w:val="0059378B"/>
    <w:rsid w:val="0059380C"/>
    <w:rsid w:val="00593859"/>
    <w:rsid w:val="00593870"/>
    <w:rsid w:val="005939C9"/>
    <w:rsid w:val="00593AD4"/>
    <w:rsid w:val="00593AFC"/>
    <w:rsid w:val="00593CBD"/>
    <w:rsid w:val="00593CC0"/>
    <w:rsid w:val="00593D6A"/>
    <w:rsid w:val="00593DFC"/>
    <w:rsid w:val="00593E1F"/>
    <w:rsid w:val="00593E4A"/>
    <w:rsid w:val="0059406E"/>
    <w:rsid w:val="005940BC"/>
    <w:rsid w:val="005941A2"/>
    <w:rsid w:val="005941FE"/>
    <w:rsid w:val="0059423E"/>
    <w:rsid w:val="0059443C"/>
    <w:rsid w:val="00594463"/>
    <w:rsid w:val="0059448A"/>
    <w:rsid w:val="00594522"/>
    <w:rsid w:val="00594699"/>
    <w:rsid w:val="0059487C"/>
    <w:rsid w:val="00594893"/>
    <w:rsid w:val="00594B3A"/>
    <w:rsid w:val="00594B3D"/>
    <w:rsid w:val="00594B56"/>
    <w:rsid w:val="00594BD1"/>
    <w:rsid w:val="00594C25"/>
    <w:rsid w:val="00594CD1"/>
    <w:rsid w:val="00594D8A"/>
    <w:rsid w:val="00594E74"/>
    <w:rsid w:val="00594E9B"/>
    <w:rsid w:val="00594F5A"/>
    <w:rsid w:val="00594FAA"/>
    <w:rsid w:val="0059503B"/>
    <w:rsid w:val="00595091"/>
    <w:rsid w:val="00595120"/>
    <w:rsid w:val="005951DD"/>
    <w:rsid w:val="00595265"/>
    <w:rsid w:val="005953C3"/>
    <w:rsid w:val="005953D4"/>
    <w:rsid w:val="0059552B"/>
    <w:rsid w:val="005955A0"/>
    <w:rsid w:val="005955C8"/>
    <w:rsid w:val="0059561F"/>
    <w:rsid w:val="005956EB"/>
    <w:rsid w:val="00595894"/>
    <w:rsid w:val="00595896"/>
    <w:rsid w:val="0059593F"/>
    <w:rsid w:val="005959B2"/>
    <w:rsid w:val="005959E5"/>
    <w:rsid w:val="00595BAD"/>
    <w:rsid w:val="00595E19"/>
    <w:rsid w:val="00595FA7"/>
    <w:rsid w:val="00596088"/>
    <w:rsid w:val="005960C2"/>
    <w:rsid w:val="005960C5"/>
    <w:rsid w:val="00596102"/>
    <w:rsid w:val="0059615A"/>
    <w:rsid w:val="0059619E"/>
    <w:rsid w:val="005961A6"/>
    <w:rsid w:val="005961C9"/>
    <w:rsid w:val="00596320"/>
    <w:rsid w:val="00596352"/>
    <w:rsid w:val="0059645E"/>
    <w:rsid w:val="005964F2"/>
    <w:rsid w:val="0059667F"/>
    <w:rsid w:val="005966CD"/>
    <w:rsid w:val="005967D1"/>
    <w:rsid w:val="005967FE"/>
    <w:rsid w:val="00596852"/>
    <w:rsid w:val="0059687C"/>
    <w:rsid w:val="00596A50"/>
    <w:rsid w:val="00596A59"/>
    <w:rsid w:val="00596B90"/>
    <w:rsid w:val="00596BDB"/>
    <w:rsid w:val="00596C0B"/>
    <w:rsid w:val="00596C61"/>
    <w:rsid w:val="00596CDF"/>
    <w:rsid w:val="00596D19"/>
    <w:rsid w:val="00596DFF"/>
    <w:rsid w:val="00596E1C"/>
    <w:rsid w:val="00597056"/>
    <w:rsid w:val="005970C6"/>
    <w:rsid w:val="005970E3"/>
    <w:rsid w:val="00597264"/>
    <w:rsid w:val="0059736A"/>
    <w:rsid w:val="00597748"/>
    <w:rsid w:val="005977FE"/>
    <w:rsid w:val="00597900"/>
    <w:rsid w:val="00597A60"/>
    <w:rsid w:val="00597B4D"/>
    <w:rsid w:val="00597B7B"/>
    <w:rsid w:val="00597BB7"/>
    <w:rsid w:val="00597BD8"/>
    <w:rsid w:val="00597D14"/>
    <w:rsid w:val="00597DA3"/>
    <w:rsid w:val="00597DA9"/>
    <w:rsid w:val="00597E14"/>
    <w:rsid w:val="00597EC8"/>
    <w:rsid w:val="00597F71"/>
    <w:rsid w:val="00597FA3"/>
    <w:rsid w:val="005A00B0"/>
    <w:rsid w:val="005A017A"/>
    <w:rsid w:val="005A01D5"/>
    <w:rsid w:val="005A0272"/>
    <w:rsid w:val="005A034B"/>
    <w:rsid w:val="005A0393"/>
    <w:rsid w:val="005A03BE"/>
    <w:rsid w:val="005A042A"/>
    <w:rsid w:val="005A04B2"/>
    <w:rsid w:val="005A0562"/>
    <w:rsid w:val="005A0590"/>
    <w:rsid w:val="005A0595"/>
    <w:rsid w:val="005A0620"/>
    <w:rsid w:val="005A0651"/>
    <w:rsid w:val="005A06BA"/>
    <w:rsid w:val="005A0835"/>
    <w:rsid w:val="005A0964"/>
    <w:rsid w:val="005A09BA"/>
    <w:rsid w:val="005A0A52"/>
    <w:rsid w:val="005A0AE3"/>
    <w:rsid w:val="005A0BC1"/>
    <w:rsid w:val="005A0C0D"/>
    <w:rsid w:val="005A0CE4"/>
    <w:rsid w:val="005A0F7D"/>
    <w:rsid w:val="005A0F8F"/>
    <w:rsid w:val="005A10F8"/>
    <w:rsid w:val="005A1122"/>
    <w:rsid w:val="005A1237"/>
    <w:rsid w:val="005A1385"/>
    <w:rsid w:val="005A138D"/>
    <w:rsid w:val="005A1597"/>
    <w:rsid w:val="005A15A7"/>
    <w:rsid w:val="005A16E0"/>
    <w:rsid w:val="005A16F9"/>
    <w:rsid w:val="005A17FE"/>
    <w:rsid w:val="005A193A"/>
    <w:rsid w:val="005A1A49"/>
    <w:rsid w:val="005A1B88"/>
    <w:rsid w:val="005A1BB7"/>
    <w:rsid w:val="005A1C1B"/>
    <w:rsid w:val="005A1D92"/>
    <w:rsid w:val="005A1DBB"/>
    <w:rsid w:val="005A1F4C"/>
    <w:rsid w:val="005A1F80"/>
    <w:rsid w:val="005A1FB6"/>
    <w:rsid w:val="005A2061"/>
    <w:rsid w:val="005A2108"/>
    <w:rsid w:val="005A217B"/>
    <w:rsid w:val="005A21DA"/>
    <w:rsid w:val="005A2254"/>
    <w:rsid w:val="005A229F"/>
    <w:rsid w:val="005A22CE"/>
    <w:rsid w:val="005A2312"/>
    <w:rsid w:val="005A23EA"/>
    <w:rsid w:val="005A2447"/>
    <w:rsid w:val="005A25B3"/>
    <w:rsid w:val="005A25DA"/>
    <w:rsid w:val="005A2685"/>
    <w:rsid w:val="005A274A"/>
    <w:rsid w:val="005A28EB"/>
    <w:rsid w:val="005A2988"/>
    <w:rsid w:val="005A2ADC"/>
    <w:rsid w:val="005A2B65"/>
    <w:rsid w:val="005A2B9A"/>
    <w:rsid w:val="005A2D1A"/>
    <w:rsid w:val="005A2D1C"/>
    <w:rsid w:val="005A2D4F"/>
    <w:rsid w:val="005A2ECA"/>
    <w:rsid w:val="005A2FD8"/>
    <w:rsid w:val="005A30A6"/>
    <w:rsid w:val="005A311C"/>
    <w:rsid w:val="005A3288"/>
    <w:rsid w:val="005A32E7"/>
    <w:rsid w:val="005A33EA"/>
    <w:rsid w:val="005A347C"/>
    <w:rsid w:val="005A363B"/>
    <w:rsid w:val="005A365B"/>
    <w:rsid w:val="005A36D4"/>
    <w:rsid w:val="005A37D6"/>
    <w:rsid w:val="005A3843"/>
    <w:rsid w:val="005A3880"/>
    <w:rsid w:val="005A38B3"/>
    <w:rsid w:val="005A38C6"/>
    <w:rsid w:val="005A394B"/>
    <w:rsid w:val="005A3997"/>
    <w:rsid w:val="005A39F3"/>
    <w:rsid w:val="005A3A43"/>
    <w:rsid w:val="005A3A68"/>
    <w:rsid w:val="005A3AA7"/>
    <w:rsid w:val="005A3BA5"/>
    <w:rsid w:val="005A3C24"/>
    <w:rsid w:val="005A3C37"/>
    <w:rsid w:val="005A3DCE"/>
    <w:rsid w:val="005A3DFD"/>
    <w:rsid w:val="005A3E27"/>
    <w:rsid w:val="005A3F5D"/>
    <w:rsid w:val="005A3FDE"/>
    <w:rsid w:val="005A40C5"/>
    <w:rsid w:val="005A4194"/>
    <w:rsid w:val="005A41FE"/>
    <w:rsid w:val="005A4282"/>
    <w:rsid w:val="005A4387"/>
    <w:rsid w:val="005A4420"/>
    <w:rsid w:val="005A4441"/>
    <w:rsid w:val="005A444D"/>
    <w:rsid w:val="005A449A"/>
    <w:rsid w:val="005A44A7"/>
    <w:rsid w:val="005A46D3"/>
    <w:rsid w:val="005A46F4"/>
    <w:rsid w:val="005A4BD2"/>
    <w:rsid w:val="005A4BDD"/>
    <w:rsid w:val="005A4C32"/>
    <w:rsid w:val="005A4C6A"/>
    <w:rsid w:val="005A4D12"/>
    <w:rsid w:val="005A4E7B"/>
    <w:rsid w:val="005A4EA5"/>
    <w:rsid w:val="005A4F11"/>
    <w:rsid w:val="005A4F9D"/>
    <w:rsid w:val="005A5040"/>
    <w:rsid w:val="005A5092"/>
    <w:rsid w:val="005A517A"/>
    <w:rsid w:val="005A5280"/>
    <w:rsid w:val="005A5343"/>
    <w:rsid w:val="005A5363"/>
    <w:rsid w:val="005A538F"/>
    <w:rsid w:val="005A53A8"/>
    <w:rsid w:val="005A5436"/>
    <w:rsid w:val="005A54A5"/>
    <w:rsid w:val="005A54DD"/>
    <w:rsid w:val="005A5510"/>
    <w:rsid w:val="005A5556"/>
    <w:rsid w:val="005A5611"/>
    <w:rsid w:val="005A56FE"/>
    <w:rsid w:val="005A5841"/>
    <w:rsid w:val="005A5AC0"/>
    <w:rsid w:val="005A5B28"/>
    <w:rsid w:val="005A5B48"/>
    <w:rsid w:val="005A5BC4"/>
    <w:rsid w:val="005A5CA0"/>
    <w:rsid w:val="005A5CDA"/>
    <w:rsid w:val="005A5D28"/>
    <w:rsid w:val="005A5D59"/>
    <w:rsid w:val="005A5DA9"/>
    <w:rsid w:val="005A5DC5"/>
    <w:rsid w:val="005A5EB8"/>
    <w:rsid w:val="005A5F5C"/>
    <w:rsid w:val="005A5FAB"/>
    <w:rsid w:val="005A5FEC"/>
    <w:rsid w:val="005A605C"/>
    <w:rsid w:val="005A6144"/>
    <w:rsid w:val="005A63C8"/>
    <w:rsid w:val="005A6543"/>
    <w:rsid w:val="005A65A0"/>
    <w:rsid w:val="005A65A1"/>
    <w:rsid w:val="005A6727"/>
    <w:rsid w:val="005A6774"/>
    <w:rsid w:val="005A6865"/>
    <w:rsid w:val="005A68A0"/>
    <w:rsid w:val="005A68DB"/>
    <w:rsid w:val="005A68F0"/>
    <w:rsid w:val="005A6950"/>
    <w:rsid w:val="005A6953"/>
    <w:rsid w:val="005A69B5"/>
    <w:rsid w:val="005A6A0D"/>
    <w:rsid w:val="005A6B7D"/>
    <w:rsid w:val="005A6C49"/>
    <w:rsid w:val="005A6DB7"/>
    <w:rsid w:val="005A6DDE"/>
    <w:rsid w:val="005A6E21"/>
    <w:rsid w:val="005A6E7D"/>
    <w:rsid w:val="005A6F2B"/>
    <w:rsid w:val="005A6FCA"/>
    <w:rsid w:val="005A6FEC"/>
    <w:rsid w:val="005A71B6"/>
    <w:rsid w:val="005A7222"/>
    <w:rsid w:val="005A722C"/>
    <w:rsid w:val="005A727C"/>
    <w:rsid w:val="005A72E3"/>
    <w:rsid w:val="005A7320"/>
    <w:rsid w:val="005A7439"/>
    <w:rsid w:val="005A745F"/>
    <w:rsid w:val="005A749C"/>
    <w:rsid w:val="005A74A8"/>
    <w:rsid w:val="005A74FD"/>
    <w:rsid w:val="005A7507"/>
    <w:rsid w:val="005A755E"/>
    <w:rsid w:val="005A7564"/>
    <w:rsid w:val="005A77CE"/>
    <w:rsid w:val="005A77E5"/>
    <w:rsid w:val="005A7882"/>
    <w:rsid w:val="005A794C"/>
    <w:rsid w:val="005A794D"/>
    <w:rsid w:val="005A7965"/>
    <w:rsid w:val="005A7A6C"/>
    <w:rsid w:val="005A7B86"/>
    <w:rsid w:val="005A7BF9"/>
    <w:rsid w:val="005A7CA7"/>
    <w:rsid w:val="005A7CD5"/>
    <w:rsid w:val="005A7E04"/>
    <w:rsid w:val="005A7F42"/>
    <w:rsid w:val="005A7F60"/>
    <w:rsid w:val="005A7F81"/>
    <w:rsid w:val="005A7FB8"/>
    <w:rsid w:val="005B0128"/>
    <w:rsid w:val="005B013F"/>
    <w:rsid w:val="005B0156"/>
    <w:rsid w:val="005B01A1"/>
    <w:rsid w:val="005B0201"/>
    <w:rsid w:val="005B0284"/>
    <w:rsid w:val="005B02B9"/>
    <w:rsid w:val="005B030B"/>
    <w:rsid w:val="005B03A1"/>
    <w:rsid w:val="005B03EA"/>
    <w:rsid w:val="005B0402"/>
    <w:rsid w:val="005B0466"/>
    <w:rsid w:val="005B059C"/>
    <w:rsid w:val="005B063D"/>
    <w:rsid w:val="005B06E0"/>
    <w:rsid w:val="005B06F0"/>
    <w:rsid w:val="005B0780"/>
    <w:rsid w:val="005B07A4"/>
    <w:rsid w:val="005B07C1"/>
    <w:rsid w:val="005B08A4"/>
    <w:rsid w:val="005B0970"/>
    <w:rsid w:val="005B0AA6"/>
    <w:rsid w:val="005B0AEA"/>
    <w:rsid w:val="005B0B2E"/>
    <w:rsid w:val="005B0F09"/>
    <w:rsid w:val="005B0F88"/>
    <w:rsid w:val="005B1000"/>
    <w:rsid w:val="005B1057"/>
    <w:rsid w:val="005B11FD"/>
    <w:rsid w:val="005B1203"/>
    <w:rsid w:val="005B1237"/>
    <w:rsid w:val="005B129B"/>
    <w:rsid w:val="005B1391"/>
    <w:rsid w:val="005B1447"/>
    <w:rsid w:val="005B158F"/>
    <w:rsid w:val="005B1598"/>
    <w:rsid w:val="005B15F6"/>
    <w:rsid w:val="005B16AC"/>
    <w:rsid w:val="005B16B3"/>
    <w:rsid w:val="005B16BF"/>
    <w:rsid w:val="005B16EF"/>
    <w:rsid w:val="005B17B0"/>
    <w:rsid w:val="005B1870"/>
    <w:rsid w:val="005B18C6"/>
    <w:rsid w:val="005B1980"/>
    <w:rsid w:val="005B19B2"/>
    <w:rsid w:val="005B1A51"/>
    <w:rsid w:val="005B1AE8"/>
    <w:rsid w:val="005B1AF0"/>
    <w:rsid w:val="005B1C76"/>
    <w:rsid w:val="005B1D03"/>
    <w:rsid w:val="005B1E6D"/>
    <w:rsid w:val="005B1EB4"/>
    <w:rsid w:val="005B1F35"/>
    <w:rsid w:val="005B1F7F"/>
    <w:rsid w:val="005B1FB3"/>
    <w:rsid w:val="005B1FB9"/>
    <w:rsid w:val="005B209A"/>
    <w:rsid w:val="005B2211"/>
    <w:rsid w:val="005B223C"/>
    <w:rsid w:val="005B224B"/>
    <w:rsid w:val="005B233D"/>
    <w:rsid w:val="005B2432"/>
    <w:rsid w:val="005B246A"/>
    <w:rsid w:val="005B24B3"/>
    <w:rsid w:val="005B254F"/>
    <w:rsid w:val="005B2565"/>
    <w:rsid w:val="005B25F7"/>
    <w:rsid w:val="005B261F"/>
    <w:rsid w:val="005B2646"/>
    <w:rsid w:val="005B264E"/>
    <w:rsid w:val="005B26CC"/>
    <w:rsid w:val="005B2721"/>
    <w:rsid w:val="005B2750"/>
    <w:rsid w:val="005B279F"/>
    <w:rsid w:val="005B284E"/>
    <w:rsid w:val="005B2A0A"/>
    <w:rsid w:val="005B2BC0"/>
    <w:rsid w:val="005B2BCB"/>
    <w:rsid w:val="005B2D4E"/>
    <w:rsid w:val="005B2D56"/>
    <w:rsid w:val="005B2E15"/>
    <w:rsid w:val="005B3004"/>
    <w:rsid w:val="005B3102"/>
    <w:rsid w:val="005B31CB"/>
    <w:rsid w:val="005B3303"/>
    <w:rsid w:val="005B3323"/>
    <w:rsid w:val="005B353D"/>
    <w:rsid w:val="005B3575"/>
    <w:rsid w:val="005B365F"/>
    <w:rsid w:val="005B3854"/>
    <w:rsid w:val="005B38EC"/>
    <w:rsid w:val="005B3A8F"/>
    <w:rsid w:val="005B3A93"/>
    <w:rsid w:val="005B3B1D"/>
    <w:rsid w:val="005B3B53"/>
    <w:rsid w:val="005B3DB0"/>
    <w:rsid w:val="005B3E3C"/>
    <w:rsid w:val="005B3EBC"/>
    <w:rsid w:val="005B3EF7"/>
    <w:rsid w:val="005B3FBF"/>
    <w:rsid w:val="005B4029"/>
    <w:rsid w:val="005B4041"/>
    <w:rsid w:val="005B4130"/>
    <w:rsid w:val="005B41C6"/>
    <w:rsid w:val="005B422B"/>
    <w:rsid w:val="005B42F2"/>
    <w:rsid w:val="005B43C5"/>
    <w:rsid w:val="005B4526"/>
    <w:rsid w:val="005B4608"/>
    <w:rsid w:val="005B471D"/>
    <w:rsid w:val="005B48A9"/>
    <w:rsid w:val="005B48C4"/>
    <w:rsid w:val="005B493A"/>
    <w:rsid w:val="005B4963"/>
    <w:rsid w:val="005B49F0"/>
    <w:rsid w:val="005B4A7B"/>
    <w:rsid w:val="005B4B46"/>
    <w:rsid w:val="005B4C02"/>
    <w:rsid w:val="005B4C62"/>
    <w:rsid w:val="005B4CDA"/>
    <w:rsid w:val="005B4D1B"/>
    <w:rsid w:val="005B4DFC"/>
    <w:rsid w:val="005B4E99"/>
    <w:rsid w:val="005B4E9D"/>
    <w:rsid w:val="005B4EBA"/>
    <w:rsid w:val="005B4F11"/>
    <w:rsid w:val="005B4FE7"/>
    <w:rsid w:val="005B5006"/>
    <w:rsid w:val="005B5015"/>
    <w:rsid w:val="005B50E6"/>
    <w:rsid w:val="005B514F"/>
    <w:rsid w:val="005B51A1"/>
    <w:rsid w:val="005B5249"/>
    <w:rsid w:val="005B52E3"/>
    <w:rsid w:val="005B5317"/>
    <w:rsid w:val="005B5397"/>
    <w:rsid w:val="005B5499"/>
    <w:rsid w:val="005B5597"/>
    <w:rsid w:val="005B55F8"/>
    <w:rsid w:val="005B5677"/>
    <w:rsid w:val="005B56E2"/>
    <w:rsid w:val="005B5794"/>
    <w:rsid w:val="005B5795"/>
    <w:rsid w:val="005B57CA"/>
    <w:rsid w:val="005B57F0"/>
    <w:rsid w:val="005B5895"/>
    <w:rsid w:val="005B58CD"/>
    <w:rsid w:val="005B5A9E"/>
    <w:rsid w:val="005B5B82"/>
    <w:rsid w:val="005B5BA7"/>
    <w:rsid w:val="005B5BEF"/>
    <w:rsid w:val="005B5BF8"/>
    <w:rsid w:val="005B5C4E"/>
    <w:rsid w:val="005B5CAD"/>
    <w:rsid w:val="005B5CD7"/>
    <w:rsid w:val="005B5D3E"/>
    <w:rsid w:val="005B5E98"/>
    <w:rsid w:val="005B5EB4"/>
    <w:rsid w:val="005B5ED9"/>
    <w:rsid w:val="005B5FF4"/>
    <w:rsid w:val="005B612A"/>
    <w:rsid w:val="005B6154"/>
    <w:rsid w:val="005B619A"/>
    <w:rsid w:val="005B61C2"/>
    <w:rsid w:val="005B61F5"/>
    <w:rsid w:val="005B62A3"/>
    <w:rsid w:val="005B63D9"/>
    <w:rsid w:val="005B6455"/>
    <w:rsid w:val="005B66C6"/>
    <w:rsid w:val="005B66CF"/>
    <w:rsid w:val="005B6733"/>
    <w:rsid w:val="005B675A"/>
    <w:rsid w:val="005B6786"/>
    <w:rsid w:val="005B68B6"/>
    <w:rsid w:val="005B68C6"/>
    <w:rsid w:val="005B68E1"/>
    <w:rsid w:val="005B68F9"/>
    <w:rsid w:val="005B6B29"/>
    <w:rsid w:val="005B6B6C"/>
    <w:rsid w:val="005B6C3C"/>
    <w:rsid w:val="005B6D02"/>
    <w:rsid w:val="005B6D71"/>
    <w:rsid w:val="005B6DC0"/>
    <w:rsid w:val="005B6E04"/>
    <w:rsid w:val="005B6E85"/>
    <w:rsid w:val="005B6EC3"/>
    <w:rsid w:val="005B6F9A"/>
    <w:rsid w:val="005B7077"/>
    <w:rsid w:val="005B70EA"/>
    <w:rsid w:val="005B72D9"/>
    <w:rsid w:val="005B7365"/>
    <w:rsid w:val="005B744C"/>
    <w:rsid w:val="005B74A0"/>
    <w:rsid w:val="005B75C5"/>
    <w:rsid w:val="005B76F6"/>
    <w:rsid w:val="005B7857"/>
    <w:rsid w:val="005B7886"/>
    <w:rsid w:val="005B78AC"/>
    <w:rsid w:val="005B78E6"/>
    <w:rsid w:val="005B78FA"/>
    <w:rsid w:val="005B792C"/>
    <w:rsid w:val="005B79A0"/>
    <w:rsid w:val="005B7C59"/>
    <w:rsid w:val="005B7C89"/>
    <w:rsid w:val="005B7CA2"/>
    <w:rsid w:val="005B7E6C"/>
    <w:rsid w:val="005B7EB5"/>
    <w:rsid w:val="005B7EDA"/>
    <w:rsid w:val="005B7EE8"/>
    <w:rsid w:val="005B7F32"/>
    <w:rsid w:val="005B7FE7"/>
    <w:rsid w:val="005C01A0"/>
    <w:rsid w:val="005C029A"/>
    <w:rsid w:val="005C045F"/>
    <w:rsid w:val="005C04D4"/>
    <w:rsid w:val="005C054E"/>
    <w:rsid w:val="005C05AD"/>
    <w:rsid w:val="005C05BD"/>
    <w:rsid w:val="005C06B5"/>
    <w:rsid w:val="005C073D"/>
    <w:rsid w:val="005C079D"/>
    <w:rsid w:val="005C07D3"/>
    <w:rsid w:val="005C07F6"/>
    <w:rsid w:val="005C0832"/>
    <w:rsid w:val="005C0B48"/>
    <w:rsid w:val="005C0B80"/>
    <w:rsid w:val="005C0BCB"/>
    <w:rsid w:val="005C0BEA"/>
    <w:rsid w:val="005C0BFD"/>
    <w:rsid w:val="005C0C13"/>
    <w:rsid w:val="005C0D2E"/>
    <w:rsid w:val="005C0DB5"/>
    <w:rsid w:val="005C0DD1"/>
    <w:rsid w:val="005C0F05"/>
    <w:rsid w:val="005C1014"/>
    <w:rsid w:val="005C102F"/>
    <w:rsid w:val="005C1353"/>
    <w:rsid w:val="005C1447"/>
    <w:rsid w:val="005C144B"/>
    <w:rsid w:val="005C146E"/>
    <w:rsid w:val="005C1513"/>
    <w:rsid w:val="005C151C"/>
    <w:rsid w:val="005C160A"/>
    <w:rsid w:val="005C18CB"/>
    <w:rsid w:val="005C1A3F"/>
    <w:rsid w:val="005C1D00"/>
    <w:rsid w:val="005C1D32"/>
    <w:rsid w:val="005C1D55"/>
    <w:rsid w:val="005C1F02"/>
    <w:rsid w:val="005C20FE"/>
    <w:rsid w:val="005C2156"/>
    <w:rsid w:val="005C2162"/>
    <w:rsid w:val="005C229B"/>
    <w:rsid w:val="005C2340"/>
    <w:rsid w:val="005C2389"/>
    <w:rsid w:val="005C2503"/>
    <w:rsid w:val="005C250F"/>
    <w:rsid w:val="005C25F9"/>
    <w:rsid w:val="005C2635"/>
    <w:rsid w:val="005C2639"/>
    <w:rsid w:val="005C2679"/>
    <w:rsid w:val="005C26D7"/>
    <w:rsid w:val="005C272E"/>
    <w:rsid w:val="005C27B6"/>
    <w:rsid w:val="005C27B9"/>
    <w:rsid w:val="005C287D"/>
    <w:rsid w:val="005C28E8"/>
    <w:rsid w:val="005C2ACE"/>
    <w:rsid w:val="005C2C1E"/>
    <w:rsid w:val="005C2C86"/>
    <w:rsid w:val="005C2D80"/>
    <w:rsid w:val="005C2FF8"/>
    <w:rsid w:val="005C30C4"/>
    <w:rsid w:val="005C313B"/>
    <w:rsid w:val="005C313E"/>
    <w:rsid w:val="005C3174"/>
    <w:rsid w:val="005C31DE"/>
    <w:rsid w:val="005C320F"/>
    <w:rsid w:val="005C3215"/>
    <w:rsid w:val="005C32DB"/>
    <w:rsid w:val="005C3316"/>
    <w:rsid w:val="005C33CC"/>
    <w:rsid w:val="005C33D4"/>
    <w:rsid w:val="005C33E6"/>
    <w:rsid w:val="005C349A"/>
    <w:rsid w:val="005C352A"/>
    <w:rsid w:val="005C354E"/>
    <w:rsid w:val="005C3569"/>
    <w:rsid w:val="005C3578"/>
    <w:rsid w:val="005C35BA"/>
    <w:rsid w:val="005C35D6"/>
    <w:rsid w:val="005C35EE"/>
    <w:rsid w:val="005C367B"/>
    <w:rsid w:val="005C3733"/>
    <w:rsid w:val="005C378A"/>
    <w:rsid w:val="005C395A"/>
    <w:rsid w:val="005C39E0"/>
    <w:rsid w:val="005C3A08"/>
    <w:rsid w:val="005C3B37"/>
    <w:rsid w:val="005C3B5A"/>
    <w:rsid w:val="005C3B8D"/>
    <w:rsid w:val="005C3C10"/>
    <w:rsid w:val="005C3CC3"/>
    <w:rsid w:val="005C3DAC"/>
    <w:rsid w:val="005C3E5C"/>
    <w:rsid w:val="005C3EEC"/>
    <w:rsid w:val="005C4111"/>
    <w:rsid w:val="005C41AB"/>
    <w:rsid w:val="005C4248"/>
    <w:rsid w:val="005C4327"/>
    <w:rsid w:val="005C433E"/>
    <w:rsid w:val="005C4386"/>
    <w:rsid w:val="005C43C9"/>
    <w:rsid w:val="005C4470"/>
    <w:rsid w:val="005C4549"/>
    <w:rsid w:val="005C4598"/>
    <w:rsid w:val="005C45B8"/>
    <w:rsid w:val="005C465A"/>
    <w:rsid w:val="005C467B"/>
    <w:rsid w:val="005C4708"/>
    <w:rsid w:val="005C471A"/>
    <w:rsid w:val="005C47C9"/>
    <w:rsid w:val="005C47EE"/>
    <w:rsid w:val="005C4832"/>
    <w:rsid w:val="005C486B"/>
    <w:rsid w:val="005C48AA"/>
    <w:rsid w:val="005C4976"/>
    <w:rsid w:val="005C498C"/>
    <w:rsid w:val="005C4B36"/>
    <w:rsid w:val="005C4D69"/>
    <w:rsid w:val="005C4DA6"/>
    <w:rsid w:val="005C4DA7"/>
    <w:rsid w:val="005C50C8"/>
    <w:rsid w:val="005C50D1"/>
    <w:rsid w:val="005C522E"/>
    <w:rsid w:val="005C527B"/>
    <w:rsid w:val="005C5323"/>
    <w:rsid w:val="005C5416"/>
    <w:rsid w:val="005C5506"/>
    <w:rsid w:val="005C5523"/>
    <w:rsid w:val="005C5820"/>
    <w:rsid w:val="005C5826"/>
    <w:rsid w:val="005C5866"/>
    <w:rsid w:val="005C58D4"/>
    <w:rsid w:val="005C5904"/>
    <w:rsid w:val="005C592B"/>
    <w:rsid w:val="005C5944"/>
    <w:rsid w:val="005C59BB"/>
    <w:rsid w:val="005C59C9"/>
    <w:rsid w:val="005C59CA"/>
    <w:rsid w:val="005C59D9"/>
    <w:rsid w:val="005C59F4"/>
    <w:rsid w:val="005C5A32"/>
    <w:rsid w:val="005C5A47"/>
    <w:rsid w:val="005C5B3E"/>
    <w:rsid w:val="005C5B4B"/>
    <w:rsid w:val="005C5BCC"/>
    <w:rsid w:val="005C5C46"/>
    <w:rsid w:val="005C5C63"/>
    <w:rsid w:val="005C5CA9"/>
    <w:rsid w:val="005C5E57"/>
    <w:rsid w:val="005C5EC8"/>
    <w:rsid w:val="005C5FCC"/>
    <w:rsid w:val="005C5FF1"/>
    <w:rsid w:val="005C615D"/>
    <w:rsid w:val="005C6290"/>
    <w:rsid w:val="005C631D"/>
    <w:rsid w:val="005C64C9"/>
    <w:rsid w:val="005C6542"/>
    <w:rsid w:val="005C66DD"/>
    <w:rsid w:val="005C6779"/>
    <w:rsid w:val="005C67E3"/>
    <w:rsid w:val="005C68F7"/>
    <w:rsid w:val="005C6904"/>
    <w:rsid w:val="005C6967"/>
    <w:rsid w:val="005C69A1"/>
    <w:rsid w:val="005C6AF7"/>
    <w:rsid w:val="005C6B1B"/>
    <w:rsid w:val="005C6E01"/>
    <w:rsid w:val="005C6E48"/>
    <w:rsid w:val="005C6EA4"/>
    <w:rsid w:val="005C6F6D"/>
    <w:rsid w:val="005C70B3"/>
    <w:rsid w:val="005C7124"/>
    <w:rsid w:val="005C716B"/>
    <w:rsid w:val="005C7208"/>
    <w:rsid w:val="005C72CB"/>
    <w:rsid w:val="005C730D"/>
    <w:rsid w:val="005C7344"/>
    <w:rsid w:val="005C73ED"/>
    <w:rsid w:val="005C7426"/>
    <w:rsid w:val="005C746F"/>
    <w:rsid w:val="005C7545"/>
    <w:rsid w:val="005C75D1"/>
    <w:rsid w:val="005C75D8"/>
    <w:rsid w:val="005C765A"/>
    <w:rsid w:val="005C76D0"/>
    <w:rsid w:val="005C78CE"/>
    <w:rsid w:val="005C78F6"/>
    <w:rsid w:val="005C79F2"/>
    <w:rsid w:val="005C7AF0"/>
    <w:rsid w:val="005C7B35"/>
    <w:rsid w:val="005C7B6F"/>
    <w:rsid w:val="005C7BB3"/>
    <w:rsid w:val="005C7CF6"/>
    <w:rsid w:val="005C7D22"/>
    <w:rsid w:val="005C7D68"/>
    <w:rsid w:val="005C7D92"/>
    <w:rsid w:val="005C7EBC"/>
    <w:rsid w:val="005C7F78"/>
    <w:rsid w:val="005C7F8E"/>
    <w:rsid w:val="005D0008"/>
    <w:rsid w:val="005D0049"/>
    <w:rsid w:val="005D006D"/>
    <w:rsid w:val="005D00B7"/>
    <w:rsid w:val="005D016E"/>
    <w:rsid w:val="005D01E0"/>
    <w:rsid w:val="005D0319"/>
    <w:rsid w:val="005D040C"/>
    <w:rsid w:val="005D0421"/>
    <w:rsid w:val="005D043E"/>
    <w:rsid w:val="005D0475"/>
    <w:rsid w:val="005D048B"/>
    <w:rsid w:val="005D04ED"/>
    <w:rsid w:val="005D0515"/>
    <w:rsid w:val="005D05A8"/>
    <w:rsid w:val="005D05DD"/>
    <w:rsid w:val="005D06EF"/>
    <w:rsid w:val="005D0877"/>
    <w:rsid w:val="005D087E"/>
    <w:rsid w:val="005D09A4"/>
    <w:rsid w:val="005D0A6D"/>
    <w:rsid w:val="005D0BC7"/>
    <w:rsid w:val="005D0C19"/>
    <w:rsid w:val="005D0D9C"/>
    <w:rsid w:val="005D0EA6"/>
    <w:rsid w:val="005D0F47"/>
    <w:rsid w:val="005D1134"/>
    <w:rsid w:val="005D11A3"/>
    <w:rsid w:val="005D140A"/>
    <w:rsid w:val="005D148E"/>
    <w:rsid w:val="005D15C7"/>
    <w:rsid w:val="005D18FF"/>
    <w:rsid w:val="005D1917"/>
    <w:rsid w:val="005D194B"/>
    <w:rsid w:val="005D1A61"/>
    <w:rsid w:val="005D1B4E"/>
    <w:rsid w:val="005D1B72"/>
    <w:rsid w:val="005D1BB0"/>
    <w:rsid w:val="005D1C16"/>
    <w:rsid w:val="005D1ED1"/>
    <w:rsid w:val="005D1EF1"/>
    <w:rsid w:val="005D1F07"/>
    <w:rsid w:val="005D209B"/>
    <w:rsid w:val="005D2139"/>
    <w:rsid w:val="005D219C"/>
    <w:rsid w:val="005D2399"/>
    <w:rsid w:val="005D2479"/>
    <w:rsid w:val="005D24B4"/>
    <w:rsid w:val="005D24EF"/>
    <w:rsid w:val="005D2516"/>
    <w:rsid w:val="005D254D"/>
    <w:rsid w:val="005D2763"/>
    <w:rsid w:val="005D288B"/>
    <w:rsid w:val="005D290C"/>
    <w:rsid w:val="005D2967"/>
    <w:rsid w:val="005D2977"/>
    <w:rsid w:val="005D2AA1"/>
    <w:rsid w:val="005D2AEC"/>
    <w:rsid w:val="005D2D33"/>
    <w:rsid w:val="005D2E8F"/>
    <w:rsid w:val="005D2EAC"/>
    <w:rsid w:val="005D2F3C"/>
    <w:rsid w:val="005D2F99"/>
    <w:rsid w:val="005D3036"/>
    <w:rsid w:val="005D306E"/>
    <w:rsid w:val="005D306F"/>
    <w:rsid w:val="005D30B1"/>
    <w:rsid w:val="005D32A1"/>
    <w:rsid w:val="005D3354"/>
    <w:rsid w:val="005D336A"/>
    <w:rsid w:val="005D344B"/>
    <w:rsid w:val="005D3543"/>
    <w:rsid w:val="005D364C"/>
    <w:rsid w:val="005D3655"/>
    <w:rsid w:val="005D3656"/>
    <w:rsid w:val="005D368F"/>
    <w:rsid w:val="005D375C"/>
    <w:rsid w:val="005D377A"/>
    <w:rsid w:val="005D3795"/>
    <w:rsid w:val="005D38F6"/>
    <w:rsid w:val="005D3933"/>
    <w:rsid w:val="005D394F"/>
    <w:rsid w:val="005D3CD6"/>
    <w:rsid w:val="005D3D15"/>
    <w:rsid w:val="005D3E8F"/>
    <w:rsid w:val="005D3EBC"/>
    <w:rsid w:val="005D3ED8"/>
    <w:rsid w:val="005D3F5D"/>
    <w:rsid w:val="005D403E"/>
    <w:rsid w:val="005D41EB"/>
    <w:rsid w:val="005D428E"/>
    <w:rsid w:val="005D4307"/>
    <w:rsid w:val="005D432F"/>
    <w:rsid w:val="005D4357"/>
    <w:rsid w:val="005D436D"/>
    <w:rsid w:val="005D43BF"/>
    <w:rsid w:val="005D43E9"/>
    <w:rsid w:val="005D44F1"/>
    <w:rsid w:val="005D4514"/>
    <w:rsid w:val="005D4642"/>
    <w:rsid w:val="005D46D7"/>
    <w:rsid w:val="005D486D"/>
    <w:rsid w:val="005D492C"/>
    <w:rsid w:val="005D4945"/>
    <w:rsid w:val="005D4A17"/>
    <w:rsid w:val="005D4A9D"/>
    <w:rsid w:val="005D4B80"/>
    <w:rsid w:val="005D4C49"/>
    <w:rsid w:val="005D4D36"/>
    <w:rsid w:val="005D4D45"/>
    <w:rsid w:val="005D4DA8"/>
    <w:rsid w:val="005D4DFD"/>
    <w:rsid w:val="005D4EBF"/>
    <w:rsid w:val="005D4F17"/>
    <w:rsid w:val="005D4F2B"/>
    <w:rsid w:val="005D4FDD"/>
    <w:rsid w:val="005D50E7"/>
    <w:rsid w:val="005D513F"/>
    <w:rsid w:val="005D522B"/>
    <w:rsid w:val="005D5290"/>
    <w:rsid w:val="005D5368"/>
    <w:rsid w:val="005D5468"/>
    <w:rsid w:val="005D5489"/>
    <w:rsid w:val="005D54A3"/>
    <w:rsid w:val="005D5627"/>
    <w:rsid w:val="005D5775"/>
    <w:rsid w:val="005D580F"/>
    <w:rsid w:val="005D5819"/>
    <w:rsid w:val="005D582E"/>
    <w:rsid w:val="005D5984"/>
    <w:rsid w:val="005D59D5"/>
    <w:rsid w:val="005D5A23"/>
    <w:rsid w:val="005D5A26"/>
    <w:rsid w:val="005D5A47"/>
    <w:rsid w:val="005D5B44"/>
    <w:rsid w:val="005D5B52"/>
    <w:rsid w:val="005D5B58"/>
    <w:rsid w:val="005D5BA8"/>
    <w:rsid w:val="005D5C51"/>
    <w:rsid w:val="005D5CDA"/>
    <w:rsid w:val="005D5CFD"/>
    <w:rsid w:val="005D5DC6"/>
    <w:rsid w:val="005D5DDA"/>
    <w:rsid w:val="005D5EC5"/>
    <w:rsid w:val="005D5FC7"/>
    <w:rsid w:val="005D60AA"/>
    <w:rsid w:val="005D6142"/>
    <w:rsid w:val="005D615B"/>
    <w:rsid w:val="005D61AB"/>
    <w:rsid w:val="005D6265"/>
    <w:rsid w:val="005D62C6"/>
    <w:rsid w:val="005D6405"/>
    <w:rsid w:val="005D6611"/>
    <w:rsid w:val="005D662B"/>
    <w:rsid w:val="005D662D"/>
    <w:rsid w:val="005D670E"/>
    <w:rsid w:val="005D672D"/>
    <w:rsid w:val="005D6788"/>
    <w:rsid w:val="005D678C"/>
    <w:rsid w:val="005D6846"/>
    <w:rsid w:val="005D68F8"/>
    <w:rsid w:val="005D695E"/>
    <w:rsid w:val="005D6B11"/>
    <w:rsid w:val="005D6B55"/>
    <w:rsid w:val="005D6B9A"/>
    <w:rsid w:val="005D6C25"/>
    <w:rsid w:val="005D6C36"/>
    <w:rsid w:val="005D6FC2"/>
    <w:rsid w:val="005D6FE8"/>
    <w:rsid w:val="005D7022"/>
    <w:rsid w:val="005D7094"/>
    <w:rsid w:val="005D724C"/>
    <w:rsid w:val="005D7250"/>
    <w:rsid w:val="005D7289"/>
    <w:rsid w:val="005D7352"/>
    <w:rsid w:val="005D73F3"/>
    <w:rsid w:val="005D75D0"/>
    <w:rsid w:val="005D7720"/>
    <w:rsid w:val="005D772D"/>
    <w:rsid w:val="005D7747"/>
    <w:rsid w:val="005D7771"/>
    <w:rsid w:val="005D77F4"/>
    <w:rsid w:val="005D7808"/>
    <w:rsid w:val="005D789A"/>
    <w:rsid w:val="005D78B8"/>
    <w:rsid w:val="005D7914"/>
    <w:rsid w:val="005D7961"/>
    <w:rsid w:val="005D7971"/>
    <w:rsid w:val="005D79B6"/>
    <w:rsid w:val="005D79DB"/>
    <w:rsid w:val="005D7A8E"/>
    <w:rsid w:val="005D7C9F"/>
    <w:rsid w:val="005D7CE1"/>
    <w:rsid w:val="005D7CEA"/>
    <w:rsid w:val="005D7D50"/>
    <w:rsid w:val="005D7E09"/>
    <w:rsid w:val="005D7E3F"/>
    <w:rsid w:val="005D7EEF"/>
    <w:rsid w:val="005E0017"/>
    <w:rsid w:val="005E003B"/>
    <w:rsid w:val="005E003C"/>
    <w:rsid w:val="005E0174"/>
    <w:rsid w:val="005E0199"/>
    <w:rsid w:val="005E0277"/>
    <w:rsid w:val="005E02B9"/>
    <w:rsid w:val="005E02EA"/>
    <w:rsid w:val="005E02FE"/>
    <w:rsid w:val="005E047F"/>
    <w:rsid w:val="005E05F1"/>
    <w:rsid w:val="005E06FB"/>
    <w:rsid w:val="005E07D1"/>
    <w:rsid w:val="005E0975"/>
    <w:rsid w:val="005E0A10"/>
    <w:rsid w:val="005E0A43"/>
    <w:rsid w:val="005E0A74"/>
    <w:rsid w:val="005E0AB7"/>
    <w:rsid w:val="005E0B36"/>
    <w:rsid w:val="005E0BBA"/>
    <w:rsid w:val="005E0BE4"/>
    <w:rsid w:val="005E0CC2"/>
    <w:rsid w:val="005E0D9F"/>
    <w:rsid w:val="005E0E12"/>
    <w:rsid w:val="005E0E24"/>
    <w:rsid w:val="005E0E6E"/>
    <w:rsid w:val="005E0E78"/>
    <w:rsid w:val="005E0E95"/>
    <w:rsid w:val="005E0FB6"/>
    <w:rsid w:val="005E10FA"/>
    <w:rsid w:val="005E11BB"/>
    <w:rsid w:val="005E12A0"/>
    <w:rsid w:val="005E12A3"/>
    <w:rsid w:val="005E12F4"/>
    <w:rsid w:val="005E1316"/>
    <w:rsid w:val="005E1331"/>
    <w:rsid w:val="005E1371"/>
    <w:rsid w:val="005E1504"/>
    <w:rsid w:val="005E150C"/>
    <w:rsid w:val="005E1718"/>
    <w:rsid w:val="005E172E"/>
    <w:rsid w:val="005E1766"/>
    <w:rsid w:val="005E1775"/>
    <w:rsid w:val="005E1856"/>
    <w:rsid w:val="005E18A7"/>
    <w:rsid w:val="005E18BA"/>
    <w:rsid w:val="005E19AF"/>
    <w:rsid w:val="005E19BF"/>
    <w:rsid w:val="005E1AEB"/>
    <w:rsid w:val="005E1AF0"/>
    <w:rsid w:val="005E1CEB"/>
    <w:rsid w:val="005E1E31"/>
    <w:rsid w:val="005E1F04"/>
    <w:rsid w:val="005E1F5D"/>
    <w:rsid w:val="005E1FBB"/>
    <w:rsid w:val="005E2060"/>
    <w:rsid w:val="005E20D3"/>
    <w:rsid w:val="005E21E7"/>
    <w:rsid w:val="005E2207"/>
    <w:rsid w:val="005E224C"/>
    <w:rsid w:val="005E2283"/>
    <w:rsid w:val="005E2291"/>
    <w:rsid w:val="005E234A"/>
    <w:rsid w:val="005E2564"/>
    <w:rsid w:val="005E25A7"/>
    <w:rsid w:val="005E2623"/>
    <w:rsid w:val="005E2659"/>
    <w:rsid w:val="005E2681"/>
    <w:rsid w:val="005E26DE"/>
    <w:rsid w:val="005E27A7"/>
    <w:rsid w:val="005E2826"/>
    <w:rsid w:val="005E284B"/>
    <w:rsid w:val="005E284C"/>
    <w:rsid w:val="005E297C"/>
    <w:rsid w:val="005E29DE"/>
    <w:rsid w:val="005E29E1"/>
    <w:rsid w:val="005E2A42"/>
    <w:rsid w:val="005E2B25"/>
    <w:rsid w:val="005E2B8C"/>
    <w:rsid w:val="005E2BFA"/>
    <w:rsid w:val="005E2C0B"/>
    <w:rsid w:val="005E2C54"/>
    <w:rsid w:val="005E2C86"/>
    <w:rsid w:val="005E2D43"/>
    <w:rsid w:val="005E2E2B"/>
    <w:rsid w:val="005E2ECB"/>
    <w:rsid w:val="005E2F39"/>
    <w:rsid w:val="005E2F7B"/>
    <w:rsid w:val="005E2F82"/>
    <w:rsid w:val="005E301D"/>
    <w:rsid w:val="005E3096"/>
    <w:rsid w:val="005E3146"/>
    <w:rsid w:val="005E31F0"/>
    <w:rsid w:val="005E3226"/>
    <w:rsid w:val="005E327A"/>
    <w:rsid w:val="005E32A2"/>
    <w:rsid w:val="005E3401"/>
    <w:rsid w:val="005E3435"/>
    <w:rsid w:val="005E34ED"/>
    <w:rsid w:val="005E379A"/>
    <w:rsid w:val="005E38D0"/>
    <w:rsid w:val="005E3A0D"/>
    <w:rsid w:val="005E3B5E"/>
    <w:rsid w:val="005E3C46"/>
    <w:rsid w:val="005E3CB8"/>
    <w:rsid w:val="005E3CFB"/>
    <w:rsid w:val="005E3D17"/>
    <w:rsid w:val="005E3E0F"/>
    <w:rsid w:val="005E3E14"/>
    <w:rsid w:val="005E3EAE"/>
    <w:rsid w:val="005E3EB0"/>
    <w:rsid w:val="005E401C"/>
    <w:rsid w:val="005E40CD"/>
    <w:rsid w:val="005E412E"/>
    <w:rsid w:val="005E417D"/>
    <w:rsid w:val="005E418B"/>
    <w:rsid w:val="005E41EE"/>
    <w:rsid w:val="005E42D0"/>
    <w:rsid w:val="005E42D3"/>
    <w:rsid w:val="005E4342"/>
    <w:rsid w:val="005E4360"/>
    <w:rsid w:val="005E43C8"/>
    <w:rsid w:val="005E446B"/>
    <w:rsid w:val="005E4495"/>
    <w:rsid w:val="005E461A"/>
    <w:rsid w:val="005E46FE"/>
    <w:rsid w:val="005E472C"/>
    <w:rsid w:val="005E47EB"/>
    <w:rsid w:val="005E480A"/>
    <w:rsid w:val="005E485C"/>
    <w:rsid w:val="005E4982"/>
    <w:rsid w:val="005E4983"/>
    <w:rsid w:val="005E499D"/>
    <w:rsid w:val="005E4B50"/>
    <w:rsid w:val="005E4B76"/>
    <w:rsid w:val="005E4BAC"/>
    <w:rsid w:val="005E4C31"/>
    <w:rsid w:val="005E4D12"/>
    <w:rsid w:val="005E4DF5"/>
    <w:rsid w:val="005E4E4E"/>
    <w:rsid w:val="005E4E63"/>
    <w:rsid w:val="005E4E75"/>
    <w:rsid w:val="005E4ED5"/>
    <w:rsid w:val="005E4F5D"/>
    <w:rsid w:val="005E4FBB"/>
    <w:rsid w:val="005E502C"/>
    <w:rsid w:val="005E50D8"/>
    <w:rsid w:val="005E5136"/>
    <w:rsid w:val="005E52F7"/>
    <w:rsid w:val="005E538A"/>
    <w:rsid w:val="005E5391"/>
    <w:rsid w:val="005E5393"/>
    <w:rsid w:val="005E5422"/>
    <w:rsid w:val="005E544E"/>
    <w:rsid w:val="005E54A6"/>
    <w:rsid w:val="005E5571"/>
    <w:rsid w:val="005E55A4"/>
    <w:rsid w:val="005E5648"/>
    <w:rsid w:val="005E564A"/>
    <w:rsid w:val="005E56E2"/>
    <w:rsid w:val="005E58A8"/>
    <w:rsid w:val="005E590D"/>
    <w:rsid w:val="005E59B5"/>
    <w:rsid w:val="005E59F4"/>
    <w:rsid w:val="005E5A79"/>
    <w:rsid w:val="005E5A8D"/>
    <w:rsid w:val="005E5A92"/>
    <w:rsid w:val="005E5B58"/>
    <w:rsid w:val="005E5C93"/>
    <w:rsid w:val="005E5CD8"/>
    <w:rsid w:val="005E5D32"/>
    <w:rsid w:val="005E5EA7"/>
    <w:rsid w:val="005E6079"/>
    <w:rsid w:val="005E60B9"/>
    <w:rsid w:val="005E60D5"/>
    <w:rsid w:val="005E6134"/>
    <w:rsid w:val="005E6285"/>
    <w:rsid w:val="005E62D5"/>
    <w:rsid w:val="005E62F2"/>
    <w:rsid w:val="005E633F"/>
    <w:rsid w:val="005E637D"/>
    <w:rsid w:val="005E63A7"/>
    <w:rsid w:val="005E6430"/>
    <w:rsid w:val="005E643E"/>
    <w:rsid w:val="005E6474"/>
    <w:rsid w:val="005E647C"/>
    <w:rsid w:val="005E65F1"/>
    <w:rsid w:val="005E6675"/>
    <w:rsid w:val="005E6712"/>
    <w:rsid w:val="005E6739"/>
    <w:rsid w:val="005E6788"/>
    <w:rsid w:val="005E67F2"/>
    <w:rsid w:val="005E688D"/>
    <w:rsid w:val="005E6908"/>
    <w:rsid w:val="005E6A0E"/>
    <w:rsid w:val="005E6A10"/>
    <w:rsid w:val="005E6A71"/>
    <w:rsid w:val="005E6B39"/>
    <w:rsid w:val="005E6B75"/>
    <w:rsid w:val="005E6C4C"/>
    <w:rsid w:val="005E6CCA"/>
    <w:rsid w:val="005E6D0C"/>
    <w:rsid w:val="005E6D22"/>
    <w:rsid w:val="005E6D2D"/>
    <w:rsid w:val="005E6D5A"/>
    <w:rsid w:val="005E6D7B"/>
    <w:rsid w:val="005E6DFD"/>
    <w:rsid w:val="005E6E50"/>
    <w:rsid w:val="005E6E93"/>
    <w:rsid w:val="005E6EBF"/>
    <w:rsid w:val="005E6F6B"/>
    <w:rsid w:val="005E7000"/>
    <w:rsid w:val="005E70AA"/>
    <w:rsid w:val="005E7110"/>
    <w:rsid w:val="005E7152"/>
    <w:rsid w:val="005E7273"/>
    <w:rsid w:val="005E72DA"/>
    <w:rsid w:val="005E7436"/>
    <w:rsid w:val="005E7495"/>
    <w:rsid w:val="005E7499"/>
    <w:rsid w:val="005E756E"/>
    <w:rsid w:val="005E76A2"/>
    <w:rsid w:val="005E76B3"/>
    <w:rsid w:val="005E76C0"/>
    <w:rsid w:val="005E7775"/>
    <w:rsid w:val="005E77B3"/>
    <w:rsid w:val="005E7868"/>
    <w:rsid w:val="005E78D8"/>
    <w:rsid w:val="005E78F4"/>
    <w:rsid w:val="005E7925"/>
    <w:rsid w:val="005E7953"/>
    <w:rsid w:val="005E7971"/>
    <w:rsid w:val="005E7A0E"/>
    <w:rsid w:val="005E7A50"/>
    <w:rsid w:val="005E7AEC"/>
    <w:rsid w:val="005E7B04"/>
    <w:rsid w:val="005E7C24"/>
    <w:rsid w:val="005E7C9C"/>
    <w:rsid w:val="005E7D34"/>
    <w:rsid w:val="005E7E94"/>
    <w:rsid w:val="005E7EB4"/>
    <w:rsid w:val="005E7ED8"/>
    <w:rsid w:val="005E7F63"/>
    <w:rsid w:val="005E7F83"/>
    <w:rsid w:val="005F0144"/>
    <w:rsid w:val="005F0295"/>
    <w:rsid w:val="005F0338"/>
    <w:rsid w:val="005F045E"/>
    <w:rsid w:val="005F0513"/>
    <w:rsid w:val="005F0514"/>
    <w:rsid w:val="005F0563"/>
    <w:rsid w:val="005F0580"/>
    <w:rsid w:val="005F05A0"/>
    <w:rsid w:val="005F05B3"/>
    <w:rsid w:val="005F062E"/>
    <w:rsid w:val="005F06A5"/>
    <w:rsid w:val="005F085C"/>
    <w:rsid w:val="005F0866"/>
    <w:rsid w:val="005F090A"/>
    <w:rsid w:val="005F0A11"/>
    <w:rsid w:val="005F0A6B"/>
    <w:rsid w:val="005F0B2D"/>
    <w:rsid w:val="005F0CB0"/>
    <w:rsid w:val="005F0D72"/>
    <w:rsid w:val="005F0DA6"/>
    <w:rsid w:val="005F0DF7"/>
    <w:rsid w:val="005F0ED4"/>
    <w:rsid w:val="005F0F50"/>
    <w:rsid w:val="005F0FD7"/>
    <w:rsid w:val="005F1159"/>
    <w:rsid w:val="005F12CF"/>
    <w:rsid w:val="005F12D7"/>
    <w:rsid w:val="005F12D9"/>
    <w:rsid w:val="005F13FE"/>
    <w:rsid w:val="005F1495"/>
    <w:rsid w:val="005F167A"/>
    <w:rsid w:val="005F169B"/>
    <w:rsid w:val="005F189C"/>
    <w:rsid w:val="005F1990"/>
    <w:rsid w:val="005F1AC7"/>
    <w:rsid w:val="005F1AE4"/>
    <w:rsid w:val="005F1B30"/>
    <w:rsid w:val="005F1B4B"/>
    <w:rsid w:val="005F1C74"/>
    <w:rsid w:val="005F1D7A"/>
    <w:rsid w:val="005F1DF3"/>
    <w:rsid w:val="005F1E5B"/>
    <w:rsid w:val="005F1E5D"/>
    <w:rsid w:val="005F1E87"/>
    <w:rsid w:val="005F1EE9"/>
    <w:rsid w:val="005F2082"/>
    <w:rsid w:val="005F219B"/>
    <w:rsid w:val="005F21A8"/>
    <w:rsid w:val="005F21DE"/>
    <w:rsid w:val="005F21F2"/>
    <w:rsid w:val="005F2291"/>
    <w:rsid w:val="005F233C"/>
    <w:rsid w:val="005F2449"/>
    <w:rsid w:val="005F2523"/>
    <w:rsid w:val="005F2550"/>
    <w:rsid w:val="005F261D"/>
    <w:rsid w:val="005F262B"/>
    <w:rsid w:val="005F2687"/>
    <w:rsid w:val="005F269C"/>
    <w:rsid w:val="005F2746"/>
    <w:rsid w:val="005F2780"/>
    <w:rsid w:val="005F298E"/>
    <w:rsid w:val="005F29B5"/>
    <w:rsid w:val="005F2AF6"/>
    <w:rsid w:val="005F2B40"/>
    <w:rsid w:val="005F2BFC"/>
    <w:rsid w:val="005F2D2B"/>
    <w:rsid w:val="005F2D36"/>
    <w:rsid w:val="005F2D3F"/>
    <w:rsid w:val="005F2D75"/>
    <w:rsid w:val="005F2D76"/>
    <w:rsid w:val="005F2E11"/>
    <w:rsid w:val="005F2E67"/>
    <w:rsid w:val="005F2ECE"/>
    <w:rsid w:val="005F3188"/>
    <w:rsid w:val="005F322D"/>
    <w:rsid w:val="005F349F"/>
    <w:rsid w:val="005F34B1"/>
    <w:rsid w:val="005F34F8"/>
    <w:rsid w:val="005F36B9"/>
    <w:rsid w:val="005F3704"/>
    <w:rsid w:val="005F370B"/>
    <w:rsid w:val="005F38CB"/>
    <w:rsid w:val="005F38FF"/>
    <w:rsid w:val="005F391A"/>
    <w:rsid w:val="005F3946"/>
    <w:rsid w:val="005F39EE"/>
    <w:rsid w:val="005F3B56"/>
    <w:rsid w:val="005F3C6D"/>
    <w:rsid w:val="005F3C6F"/>
    <w:rsid w:val="005F3D1B"/>
    <w:rsid w:val="005F3DDC"/>
    <w:rsid w:val="005F3E3B"/>
    <w:rsid w:val="005F3FCB"/>
    <w:rsid w:val="005F3FD7"/>
    <w:rsid w:val="005F4040"/>
    <w:rsid w:val="005F4053"/>
    <w:rsid w:val="005F408A"/>
    <w:rsid w:val="005F410F"/>
    <w:rsid w:val="005F416D"/>
    <w:rsid w:val="005F4236"/>
    <w:rsid w:val="005F4251"/>
    <w:rsid w:val="005F43AD"/>
    <w:rsid w:val="005F43D9"/>
    <w:rsid w:val="005F43DD"/>
    <w:rsid w:val="005F4423"/>
    <w:rsid w:val="005F447E"/>
    <w:rsid w:val="005F4490"/>
    <w:rsid w:val="005F4497"/>
    <w:rsid w:val="005F4539"/>
    <w:rsid w:val="005F4549"/>
    <w:rsid w:val="005F4555"/>
    <w:rsid w:val="005F459F"/>
    <w:rsid w:val="005F46D0"/>
    <w:rsid w:val="005F4715"/>
    <w:rsid w:val="005F47EA"/>
    <w:rsid w:val="005F4826"/>
    <w:rsid w:val="005F4894"/>
    <w:rsid w:val="005F48FA"/>
    <w:rsid w:val="005F490F"/>
    <w:rsid w:val="005F49A5"/>
    <w:rsid w:val="005F4B50"/>
    <w:rsid w:val="005F4B74"/>
    <w:rsid w:val="005F4BC4"/>
    <w:rsid w:val="005F4BE9"/>
    <w:rsid w:val="005F4C46"/>
    <w:rsid w:val="005F4CC5"/>
    <w:rsid w:val="005F4D71"/>
    <w:rsid w:val="005F4DA6"/>
    <w:rsid w:val="005F4E5F"/>
    <w:rsid w:val="005F4F1B"/>
    <w:rsid w:val="005F5139"/>
    <w:rsid w:val="005F51BD"/>
    <w:rsid w:val="005F51FD"/>
    <w:rsid w:val="005F526A"/>
    <w:rsid w:val="005F52A4"/>
    <w:rsid w:val="005F5311"/>
    <w:rsid w:val="005F5356"/>
    <w:rsid w:val="005F5447"/>
    <w:rsid w:val="005F54F3"/>
    <w:rsid w:val="005F5563"/>
    <w:rsid w:val="005F55C0"/>
    <w:rsid w:val="005F5610"/>
    <w:rsid w:val="005F57D4"/>
    <w:rsid w:val="005F582B"/>
    <w:rsid w:val="005F589A"/>
    <w:rsid w:val="005F58D8"/>
    <w:rsid w:val="005F5954"/>
    <w:rsid w:val="005F595D"/>
    <w:rsid w:val="005F5A44"/>
    <w:rsid w:val="005F5AB5"/>
    <w:rsid w:val="005F5ADD"/>
    <w:rsid w:val="005F5AE0"/>
    <w:rsid w:val="005F5B66"/>
    <w:rsid w:val="005F5C40"/>
    <w:rsid w:val="005F5C48"/>
    <w:rsid w:val="005F5CAD"/>
    <w:rsid w:val="005F5CB0"/>
    <w:rsid w:val="005F5CDD"/>
    <w:rsid w:val="005F5D1B"/>
    <w:rsid w:val="005F5E85"/>
    <w:rsid w:val="005F6094"/>
    <w:rsid w:val="005F60EF"/>
    <w:rsid w:val="005F649D"/>
    <w:rsid w:val="005F64B8"/>
    <w:rsid w:val="005F651A"/>
    <w:rsid w:val="005F6575"/>
    <w:rsid w:val="005F6648"/>
    <w:rsid w:val="005F6652"/>
    <w:rsid w:val="005F66B1"/>
    <w:rsid w:val="005F66B2"/>
    <w:rsid w:val="005F698C"/>
    <w:rsid w:val="005F69C6"/>
    <w:rsid w:val="005F6AE3"/>
    <w:rsid w:val="005F6B3A"/>
    <w:rsid w:val="005F6B6B"/>
    <w:rsid w:val="005F6B82"/>
    <w:rsid w:val="005F6B89"/>
    <w:rsid w:val="005F6C75"/>
    <w:rsid w:val="005F6C8B"/>
    <w:rsid w:val="005F6D02"/>
    <w:rsid w:val="005F6EF1"/>
    <w:rsid w:val="005F6F68"/>
    <w:rsid w:val="005F6FC4"/>
    <w:rsid w:val="005F70AC"/>
    <w:rsid w:val="005F70D7"/>
    <w:rsid w:val="005F71D3"/>
    <w:rsid w:val="005F720A"/>
    <w:rsid w:val="005F7256"/>
    <w:rsid w:val="005F725D"/>
    <w:rsid w:val="005F7307"/>
    <w:rsid w:val="005F7347"/>
    <w:rsid w:val="005F7354"/>
    <w:rsid w:val="005F73F8"/>
    <w:rsid w:val="005F7521"/>
    <w:rsid w:val="005F756F"/>
    <w:rsid w:val="005F75E2"/>
    <w:rsid w:val="005F75FB"/>
    <w:rsid w:val="005F7659"/>
    <w:rsid w:val="005F7667"/>
    <w:rsid w:val="005F768E"/>
    <w:rsid w:val="005F76E7"/>
    <w:rsid w:val="005F76ED"/>
    <w:rsid w:val="005F7799"/>
    <w:rsid w:val="005F77BE"/>
    <w:rsid w:val="005F7879"/>
    <w:rsid w:val="005F7910"/>
    <w:rsid w:val="005F793F"/>
    <w:rsid w:val="005F799C"/>
    <w:rsid w:val="005F7A8C"/>
    <w:rsid w:val="005F7B01"/>
    <w:rsid w:val="005F7BBC"/>
    <w:rsid w:val="005F7C08"/>
    <w:rsid w:val="005F7C94"/>
    <w:rsid w:val="005F7C95"/>
    <w:rsid w:val="005F7D02"/>
    <w:rsid w:val="005F7DF8"/>
    <w:rsid w:val="005F7E7D"/>
    <w:rsid w:val="005F7F44"/>
    <w:rsid w:val="0060004D"/>
    <w:rsid w:val="00600214"/>
    <w:rsid w:val="00600220"/>
    <w:rsid w:val="006002D7"/>
    <w:rsid w:val="00600306"/>
    <w:rsid w:val="0060034B"/>
    <w:rsid w:val="00600379"/>
    <w:rsid w:val="006003B8"/>
    <w:rsid w:val="00600591"/>
    <w:rsid w:val="00600667"/>
    <w:rsid w:val="006006E3"/>
    <w:rsid w:val="006006F8"/>
    <w:rsid w:val="00600762"/>
    <w:rsid w:val="0060084D"/>
    <w:rsid w:val="00600A12"/>
    <w:rsid w:val="00600A13"/>
    <w:rsid w:val="00600A2B"/>
    <w:rsid w:val="00600AC8"/>
    <w:rsid w:val="00600B1B"/>
    <w:rsid w:val="00600B1C"/>
    <w:rsid w:val="00600B5A"/>
    <w:rsid w:val="00600BC9"/>
    <w:rsid w:val="00600BCC"/>
    <w:rsid w:val="00600BDF"/>
    <w:rsid w:val="00600D6B"/>
    <w:rsid w:val="00600D78"/>
    <w:rsid w:val="00600E76"/>
    <w:rsid w:val="00600EB8"/>
    <w:rsid w:val="00600F41"/>
    <w:rsid w:val="00601090"/>
    <w:rsid w:val="006010AE"/>
    <w:rsid w:val="006010CE"/>
    <w:rsid w:val="00601138"/>
    <w:rsid w:val="00601158"/>
    <w:rsid w:val="00601179"/>
    <w:rsid w:val="00601255"/>
    <w:rsid w:val="00601418"/>
    <w:rsid w:val="006014D9"/>
    <w:rsid w:val="00601542"/>
    <w:rsid w:val="00601677"/>
    <w:rsid w:val="00601705"/>
    <w:rsid w:val="00601799"/>
    <w:rsid w:val="006017BA"/>
    <w:rsid w:val="006018AF"/>
    <w:rsid w:val="00601921"/>
    <w:rsid w:val="006019AE"/>
    <w:rsid w:val="00601A81"/>
    <w:rsid w:val="00601AF4"/>
    <w:rsid w:val="00601B4F"/>
    <w:rsid w:val="00601C5F"/>
    <w:rsid w:val="00601CDB"/>
    <w:rsid w:val="00601D09"/>
    <w:rsid w:val="00601DC0"/>
    <w:rsid w:val="00601DDD"/>
    <w:rsid w:val="00601F04"/>
    <w:rsid w:val="00602108"/>
    <w:rsid w:val="006021DE"/>
    <w:rsid w:val="0060226A"/>
    <w:rsid w:val="00602337"/>
    <w:rsid w:val="0060251E"/>
    <w:rsid w:val="00602544"/>
    <w:rsid w:val="00602641"/>
    <w:rsid w:val="006026C9"/>
    <w:rsid w:val="006027A2"/>
    <w:rsid w:val="00602857"/>
    <w:rsid w:val="0060291E"/>
    <w:rsid w:val="0060294E"/>
    <w:rsid w:val="00602964"/>
    <w:rsid w:val="006029BE"/>
    <w:rsid w:val="00602A2C"/>
    <w:rsid w:val="00602A47"/>
    <w:rsid w:val="00602DF2"/>
    <w:rsid w:val="00602ED9"/>
    <w:rsid w:val="00602F36"/>
    <w:rsid w:val="00602F3D"/>
    <w:rsid w:val="00602F9A"/>
    <w:rsid w:val="0060312F"/>
    <w:rsid w:val="0060313F"/>
    <w:rsid w:val="006031D8"/>
    <w:rsid w:val="006033B8"/>
    <w:rsid w:val="00603411"/>
    <w:rsid w:val="0060344F"/>
    <w:rsid w:val="006034DD"/>
    <w:rsid w:val="0060353F"/>
    <w:rsid w:val="0060357A"/>
    <w:rsid w:val="006035E3"/>
    <w:rsid w:val="006035F9"/>
    <w:rsid w:val="00603606"/>
    <w:rsid w:val="006036F3"/>
    <w:rsid w:val="00603708"/>
    <w:rsid w:val="00603859"/>
    <w:rsid w:val="0060388F"/>
    <w:rsid w:val="006038C4"/>
    <w:rsid w:val="00603934"/>
    <w:rsid w:val="006039E0"/>
    <w:rsid w:val="00603A04"/>
    <w:rsid w:val="00603A40"/>
    <w:rsid w:val="00603A61"/>
    <w:rsid w:val="00603AAC"/>
    <w:rsid w:val="00603B28"/>
    <w:rsid w:val="00603B43"/>
    <w:rsid w:val="00603B96"/>
    <w:rsid w:val="00603BA5"/>
    <w:rsid w:val="00603C0B"/>
    <w:rsid w:val="00603C0C"/>
    <w:rsid w:val="00603C9E"/>
    <w:rsid w:val="00603CAA"/>
    <w:rsid w:val="00603D12"/>
    <w:rsid w:val="00603D44"/>
    <w:rsid w:val="00603DFB"/>
    <w:rsid w:val="00603E4F"/>
    <w:rsid w:val="00603F29"/>
    <w:rsid w:val="0060410C"/>
    <w:rsid w:val="0060412D"/>
    <w:rsid w:val="00604158"/>
    <w:rsid w:val="006041AC"/>
    <w:rsid w:val="00604262"/>
    <w:rsid w:val="006042AD"/>
    <w:rsid w:val="006043A1"/>
    <w:rsid w:val="006043C0"/>
    <w:rsid w:val="00604508"/>
    <w:rsid w:val="0060452C"/>
    <w:rsid w:val="006045AC"/>
    <w:rsid w:val="006046D0"/>
    <w:rsid w:val="0060471D"/>
    <w:rsid w:val="0060473E"/>
    <w:rsid w:val="006047BB"/>
    <w:rsid w:val="00604820"/>
    <w:rsid w:val="00604940"/>
    <w:rsid w:val="00604998"/>
    <w:rsid w:val="00604A05"/>
    <w:rsid w:val="00604ADA"/>
    <w:rsid w:val="00604B5D"/>
    <w:rsid w:val="00604C3D"/>
    <w:rsid w:val="00604C4D"/>
    <w:rsid w:val="00604CDF"/>
    <w:rsid w:val="00604D87"/>
    <w:rsid w:val="00604DB6"/>
    <w:rsid w:val="00604DC0"/>
    <w:rsid w:val="00604DC4"/>
    <w:rsid w:val="00604DFA"/>
    <w:rsid w:val="00604E53"/>
    <w:rsid w:val="00604EA2"/>
    <w:rsid w:val="00604EBE"/>
    <w:rsid w:val="00604FC0"/>
    <w:rsid w:val="00604FFE"/>
    <w:rsid w:val="006051D3"/>
    <w:rsid w:val="006051DF"/>
    <w:rsid w:val="0060522D"/>
    <w:rsid w:val="00605278"/>
    <w:rsid w:val="006052A6"/>
    <w:rsid w:val="00605381"/>
    <w:rsid w:val="006053E4"/>
    <w:rsid w:val="006054BC"/>
    <w:rsid w:val="00605559"/>
    <w:rsid w:val="006057AA"/>
    <w:rsid w:val="006058E0"/>
    <w:rsid w:val="0060592F"/>
    <w:rsid w:val="00605947"/>
    <w:rsid w:val="00605A10"/>
    <w:rsid w:val="00605A6F"/>
    <w:rsid w:val="00605A9A"/>
    <w:rsid w:val="00605ABB"/>
    <w:rsid w:val="00605AC1"/>
    <w:rsid w:val="00605AE9"/>
    <w:rsid w:val="00605B0F"/>
    <w:rsid w:val="00605B4E"/>
    <w:rsid w:val="00605C3A"/>
    <w:rsid w:val="00605D98"/>
    <w:rsid w:val="00605E6F"/>
    <w:rsid w:val="00605E71"/>
    <w:rsid w:val="00605EB1"/>
    <w:rsid w:val="00605EE9"/>
    <w:rsid w:val="00605F6A"/>
    <w:rsid w:val="00606047"/>
    <w:rsid w:val="006060FA"/>
    <w:rsid w:val="006062CD"/>
    <w:rsid w:val="0060637C"/>
    <w:rsid w:val="006065A0"/>
    <w:rsid w:val="006066E1"/>
    <w:rsid w:val="0060670F"/>
    <w:rsid w:val="00606755"/>
    <w:rsid w:val="00606812"/>
    <w:rsid w:val="0060695B"/>
    <w:rsid w:val="006069EC"/>
    <w:rsid w:val="00606A35"/>
    <w:rsid w:val="00606C61"/>
    <w:rsid w:val="00606D13"/>
    <w:rsid w:val="00606D7B"/>
    <w:rsid w:val="00606DA4"/>
    <w:rsid w:val="00606E65"/>
    <w:rsid w:val="00606EC4"/>
    <w:rsid w:val="00606ECF"/>
    <w:rsid w:val="00606F55"/>
    <w:rsid w:val="00607244"/>
    <w:rsid w:val="00607297"/>
    <w:rsid w:val="0060729A"/>
    <w:rsid w:val="00607326"/>
    <w:rsid w:val="0060740B"/>
    <w:rsid w:val="0060742C"/>
    <w:rsid w:val="006075D5"/>
    <w:rsid w:val="00607627"/>
    <w:rsid w:val="00607658"/>
    <w:rsid w:val="00607682"/>
    <w:rsid w:val="006077FD"/>
    <w:rsid w:val="006078E6"/>
    <w:rsid w:val="00607908"/>
    <w:rsid w:val="00607A17"/>
    <w:rsid w:val="00607A1E"/>
    <w:rsid w:val="00607B3A"/>
    <w:rsid w:val="00607B4E"/>
    <w:rsid w:val="00607BBF"/>
    <w:rsid w:val="00607C34"/>
    <w:rsid w:val="00607C53"/>
    <w:rsid w:val="00607C5E"/>
    <w:rsid w:val="00607C6A"/>
    <w:rsid w:val="00607E9F"/>
    <w:rsid w:val="00607EB3"/>
    <w:rsid w:val="00607F35"/>
    <w:rsid w:val="00607F51"/>
    <w:rsid w:val="00607FE3"/>
    <w:rsid w:val="00610015"/>
    <w:rsid w:val="006102FF"/>
    <w:rsid w:val="0061050A"/>
    <w:rsid w:val="00610557"/>
    <w:rsid w:val="006105E0"/>
    <w:rsid w:val="00610619"/>
    <w:rsid w:val="00610639"/>
    <w:rsid w:val="0061070A"/>
    <w:rsid w:val="00610727"/>
    <w:rsid w:val="0061077A"/>
    <w:rsid w:val="006107B6"/>
    <w:rsid w:val="006107F5"/>
    <w:rsid w:val="006108A7"/>
    <w:rsid w:val="006108D1"/>
    <w:rsid w:val="00610934"/>
    <w:rsid w:val="006109D9"/>
    <w:rsid w:val="00610A4B"/>
    <w:rsid w:val="00610AA0"/>
    <w:rsid w:val="00610AF1"/>
    <w:rsid w:val="00610B5E"/>
    <w:rsid w:val="00610B63"/>
    <w:rsid w:val="00610CAF"/>
    <w:rsid w:val="00610D86"/>
    <w:rsid w:val="00610E5D"/>
    <w:rsid w:val="00610EE2"/>
    <w:rsid w:val="00610F1F"/>
    <w:rsid w:val="00610F46"/>
    <w:rsid w:val="00610F7D"/>
    <w:rsid w:val="0061109C"/>
    <w:rsid w:val="00611179"/>
    <w:rsid w:val="00611223"/>
    <w:rsid w:val="0061127F"/>
    <w:rsid w:val="00611281"/>
    <w:rsid w:val="00611291"/>
    <w:rsid w:val="00611317"/>
    <w:rsid w:val="00611333"/>
    <w:rsid w:val="00611429"/>
    <w:rsid w:val="00611441"/>
    <w:rsid w:val="0061181D"/>
    <w:rsid w:val="0061199F"/>
    <w:rsid w:val="00611A6E"/>
    <w:rsid w:val="00611AE6"/>
    <w:rsid w:val="00611B99"/>
    <w:rsid w:val="00611BEE"/>
    <w:rsid w:val="00611C42"/>
    <w:rsid w:val="00611C46"/>
    <w:rsid w:val="00611C47"/>
    <w:rsid w:val="00611C90"/>
    <w:rsid w:val="00611D10"/>
    <w:rsid w:val="00611D2E"/>
    <w:rsid w:val="00611D5B"/>
    <w:rsid w:val="00611DF9"/>
    <w:rsid w:val="00611FAE"/>
    <w:rsid w:val="00611FC2"/>
    <w:rsid w:val="0061204D"/>
    <w:rsid w:val="006120EA"/>
    <w:rsid w:val="00612180"/>
    <w:rsid w:val="00612194"/>
    <w:rsid w:val="006121C3"/>
    <w:rsid w:val="006121E9"/>
    <w:rsid w:val="006121F3"/>
    <w:rsid w:val="006124F2"/>
    <w:rsid w:val="006125C7"/>
    <w:rsid w:val="00612623"/>
    <w:rsid w:val="0061272A"/>
    <w:rsid w:val="00612863"/>
    <w:rsid w:val="006128A2"/>
    <w:rsid w:val="006128FA"/>
    <w:rsid w:val="00612A36"/>
    <w:rsid w:val="00612A8E"/>
    <w:rsid w:val="00612AF0"/>
    <w:rsid w:val="00612B3B"/>
    <w:rsid w:val="00612BCA"/>
    <w:rsid w:val="00612C66"/>
    <w:rsid w:val="00612D40"/>
    <w:rsid w:val="00612D4D"/>
    <w:rsid w:val="00612DE3"/>
    <w:rsid w:val="00612E4D"/>
    <w:rsid w:val="00612E69"/>
    <w:rsid w:val="00612FC4"/>
    <w:rsid w:val="00613158"/>
    <w:rsid w:val="006131A0"/>
    <w:rsid w:val="00613223"/>
    <w:rsid w:val="0061339E"/>
    <w:rsid w:val="00613439"/>
    <w:rsid w:val="0061351C"/>
    <w:rsid w:val="0061364F"/>
    <w:rsid w:val="00613692"/>
    <w:rsid w:val="00613743"/>
    <w:rsid w:val="00613762"/>
    <w:rsid w:val="00613798"/>
    <w:rsid w:val="00613950"/>
    <w:rsid w:val="00613A15"/>
    <w:rsid w:val="00613DB0"/>
    <w:rsid w:val="00613ECC"/>
    <w:rsid w:val="00613F75"/>
    <w:rsid w:val="00613F85"/>
    <w:rsid w:val="0061402A"/>
    <w:rsid w:val="0061409C"/>
    <w:rsid w:val="006140AD"/>
    <w:rsid w:val="006141A6"/>
    <w:rsid w:val="00614370"/>
    <w:rsid w:val="00614371"/>
    <w:rsid w:val="0061441E"/>
    <w:rsid w:val="00614452"/>
    <w:rsid w:val="006144B7"/>
    <w:rsid w:val="006144BB"/>
    <w:rsid w:val="006144C9"/>
    <w:rsid w:val="006144EC"/>
    <w:rsid w:val="0061466B"/>
    <w:rsid w:val="0061473C"/>
    <w:rsid w:val="006147CB"/>
    <w:rsid w:val="00614863"/>
    <w:rsid w:val="006148AE"/>
    <w:rsid w:val="00614920"/>
    <w:rsid w:val="00614922"/>
    <w:rsid w:val="00614A75"/>
    <w:rsid w:val="00614A79"/>
    <w:rsid w:val="00614AA4"/>
    <w:rsid w:val="00614B8F"/>
    <w:rsid w:val="00614BB3"/>
    <w:rsid w:val="00614C1D"/>
    <w:rsid w:val="00614CFC"/>
    <w:rsid w:val="00614F7E"/>
    <w:rsid w:val="00615083"/>
    <w:rsid w:val="00615092"/>
    <w:rsid w:val="0061518A"/>
    <w:rsid w:val="006151B4"/>
    <w:rsid w:val="00615445"/>
    <w:rsid w:val="006155E1"/>
    <w:rsid w:val="006155F8"/>
    <w:rsid w:val="00615742"/>
    <w:rsid w:val="0061574F"/>
    <w:rsid w:val="00615755"/>
    <w:rsid w:val="006157C1"/>
    <w:rsid w:val="00615815"/>
    <w:rsid w:val="0061584A"/>
    <w:rsid w:val="0061585A"/>
    <w:rsid w:val="0061586A"/>
    <w:rsid w:val="0061589E"/>
    <w:rsid w:val="006158BD"/>
    <w:rsid w:val="006158DD"/>
    <w:rsid w:val="00615920"/>
    <w:rsid w:val="006159E4"/>
    <w:rsid w:val="00615A5D"/>
    <w:rsid w:val="00615A88"/>
    <w:rsid w:val="00615BC7"/>
    <w:rsid w:val="00615D4E"/>
    <w:rsid w:val="00615D5C"/>
    <w:rsid w:val="00615E44"/>
    <w:rsid w:val="00615E4B"/>
    <w:rsid w:val="00615E61"/>
    <w:rsid w:val="00615E7E"/>
    <w:rsid w:val="00615EE1"/>
    <w:rsid w:val="00616115"/>
    <w:rsid w:val="0061612A"/>
    <w:rsid w:val="0061615D"/>
    <w:rsid w:val="006161EB"/>
    <w:rsid w:val="006162BD"/>
    <w:rsid w:val="006164A0"/>
    <w:rsid w:val="0061651C"/>
    <w:rsid w:val="00616533"/>
    <w:rsid w:val="00616556"/>
    <w:rsid w:val="0061659A"/>
    <w:rsid w:val="006165EA"/>
    <w:rsid w:val="006166A3"/>
    <w:rsid w:val="00616756"/>
    <w:rsid w:val="00616988"/>
    <w:rsid w:val="006169DF"/>
    <w:rsid w:val="00616A27"/>
    <w:rsid w:val="00616A3A"/>
    <w:rsid w:val="00616A96"/>
    <w:rsid w:val="00616BF9"/>
    <w:rsid w:val="00616C83"/>
    <w:rsid w:val="00616D10"/>
    <w:rsid w:val="00616D12"/>
    <w:rsid w:val="00616D73"/>
    <w:rsid w:val="00616E3A"/>
    <w:rsid w:val="00616EB4"/>
    <w:rsid w:val="00616EB5"/>
    <w:rsid w:val="00616F13"/>
    <w:rsid w:val="0061704B"/>
    <w:rsid w:val="0061706C"/>
    <w:rsid w:val="006170BA"/>
    <w:rsid w:val="00617312"/>
    <w:rsid w:val="00617455"/>
    <w:rsid w:val="006174DD"/>
    <w:rsid w:val="0061762C"/>
    <w:rsid w:val="00617706"/>
    <w:rsid w:val="0061786B"/>
    <w:rsid w:val="00617928"/>
    <w:rsid w:val="0061799A"/>
    <w:rsid w:val="006179D5"/>
    <w:rsid w:val="00617A7F"/>
    <w:rsid w:val="00617A83"/>
    <w:rsid w:val="00617B18"/>
    <w:rsid w:val="00617B66"/>
    <w:rsid w:val="00617BBE"/>
    <w:rsid w:val="00617BF6"/>
    <w:rsid w:val="00617CA6"/>
    <w:rsid w:val="00617D5F"/>
    <w:rsid w:val="00617F0E"/>
    <w:rsid w:val="00617F4F"/>
    <w:rsid w:val="00617F62"/>
    <w:rsid w:val="00620117"/>
    <w:rsid w:val="00620241"/>
    <w:rsid w:val="00620338"/>
    <w:rsid w:val="00620379"/>
    <w:rsid w:val="006203A7"/>
    <w:rsid w:val="00620451"/>
    <w:rsid w:val="00620816"/>
    <w:rsid w:val="00620854"/>
    <w:rsid w:val="006208F5"/>
    <w:rsid w:val="0062091B"/>
    <w:rsid w:val="00620941"/>
    <w:rsid w:val="00620A08"/>
    <w:rsid w:val="00620B7D"/>
    <w:rsid w:val="00620BFF"/>
    <w:rsid w:val="00620C1D"/>
    <w:rsid w:val="00620CE8"/>
    <w:rsid w:val="00620D29"/>
    <w:rsid w:val="00620D6C"/>
    <w:rsid w:val="00620E4A"/>
    <w:rsid w:val="00620ED4"/>
    <w:rsid w:val="00620F70"/>
    <w:rsid w:val="00621039"/>
    <w:rsid w:val="006210A4"/>
    <w:rsid w:val="006210BF"/>
    <w:rsid w:val="006210FD"/>
    <w:rsid w:val="006211DD"/>
    <w:rsid w:val="006211F7"/>
    <w:rsid w:val="006212C9"/>
    <w:rsid w:val="006212D9"/>
    <w:rsid w:val="006212F4"/>
    <w:rsid w:val="0062164F"/>
    <w:rsid w:val="00621697"/>
    <w:rsid w:val="006216E5"/>
    <w:rsid w:val="00621789"/>
    <w:rsid w:val="006217C0"/>
    <w:rsid w:val="006218CC"/>
    <w:rsid w:val="00621A55"/>
    <w:rsid w:val="00621B75"/>
    <w:rsid w:val="00621BA5"/>
    <w:rsid w:val="00621BF2"/>
    <w:rsid w:val="00621C75"/>
    <w:rsid w:val="00621D58"/>
    <w:rsid w:val="00621D6E"/>
    <w:rsid w:val="00621DBB"/>
    <w:rsid w:val="00621EA5"/>
    <w:rsid w:val="00621EC6"/>
    <w:rsid w:val="00621EDF"/>
    <w:rsid w:val="00621F18"/>
    <w:rsid w:val="00621F25"/>
    <w:rsid w:val="00621FAF"/>
    <w:rsid w:val="00622071"/>
    <w:rsid w:val="006220DA"/>
    <w:rsid w:val="006221F0"/>
    <w:rsid w:val="006222A3"/>
    <w:rsid w:val="006222EC"/>
    <w:rsid w:val="006222ED"/>
    <w:rsid w:val="00622321"/>
    <w:rsid w:val="0062235B"/>
    <w:rsid w:val="00622383"/>
    <w:rsid w:val="006223F8"/>
    <w:rsid w:val="00622401"/>
    <w:rsid w:val="006224B6"/>
    <w:rsid w:val="00622549"/>
    <w:rsid w:val="006225DD"/>
    <w:rsid w:val="0062267B"/>
    <w:rsid w:val="006227FF"/>
    <w:rsid w:val="00622836"/>
    <w:rsid w:val="00622894"/>
    <w:rsid w:val="00622A15"/>
    <w:rsid w:val="00622A26"/>
    <w:rsid w:val="00622B53"/>
    <w:rsid w:val="00622CC1"/>
    <w:rsid w:val="00622CCA"/>
    <w:rsid w:val="00622CE9"/>
    <w:rsid w:val="00622ED4"/>
    <w:rsid w:val="006230B5"/>
    <w:rsid w:val="00623168"/>
    <w:rsid w:val="006231C0"/>
    <w:rsid w:val="006233A8"/>
    <w:rsid w:val="0062344E"/>
    <w:rsid w:val="0062345F"/>
    <w:rsid w:val="00623471"/>
    <w:rsid w:val="006234AF"/>
    <w:rsid w:val="006234D4"/>
    <w:rsid w:val="0062350F"/>
    <w:rsid w:val="00623523"/>
    <w:rsid w:val="0062352B"/>
    <w:rsid w:val="006235B6"/>
    <w:rsid w:val="0062374E"/>
    <w:rsid w:val="006237CB"/>
    <w:rsid w:val="006238BE"/>
    <w:rsid w:val="006238C9"/>
    <w:rsid w:val="00623A00"/>
    <w:rsid w:val="00623A1E"/>
    <w:rsid w:val="00623AC4"/>
    <w:rsid w:val="00623B3D"/>
    <w:rsid w:val="00623B7C"/>
    <w:rsid w:val="00623BDE"/>
    <w:rsid w:val="00623C27"/>
    <w:rsid w:val="00623C94"/>
    <w:rsid w:val="00623F60"/>
    <w:rsid w:val="00624021"/>
    <w:rsid w:val="00624070"/>
    <w:rsid w:val="00624149"/>
    <w:rsid w:val="0062415E"/>
    <w:rsid w:val="006241A6"/>
    <w:rsid w:val="00624291"/>
    <w:rsid w:val="00624347"/>
    <w:rsid w:val="00624349"/>
    <w:rsid w:val="00624351"/>
    <w:rsid w:val="0062440D"/>
    <w:rsid w:val="006244C2"/>
    <w:rsid w:val="006245A5"/>
    <w:rsid w:val="006247EA"/>
    <w:rsid w:val="00624A6C"/>
    <w:rsid w:val="00624B26"/>
    <w:rsid w:val="00624B45"/>
    <w:rsid w:val="00624B79"/>
    <w:rsid w:val="00624C82"/>
    <w:rsid w:val="00624C8B"/>
    <w:rsid w:val="00624CB6"/>
    <w:rsid w:val="00624CF1"/>
    <w:rsid w:val="00624E14"/>
    <w:rsid w:val="00624F4A"/>
    <w:rsid w:val="0062508A"/>
    <w:rsid w:val="006250B9"/>
    <w:rsid w:val="00625219"/>
    <w:rsid w:val="006253EC"/>
    <w:rsid w:val="00625434"/>
    <w:rsid w:val="00625494"/>
    <w:rsid w:val="006254A0"/>
    <w:rsid w:val="006254A8"/>
    <w:rsid w:val="00625504"/>
    <w:rsid w:val="0062551E"/>
    <w:rsid w:val="0062555A"/>
    <w:rsid w:val="00625637"/>
    <w:rsid w:val="0062563B"/>
    <w:rsid w:val="00625658"/>
    <w:rsid w:val="0062571A"/>
    <w:rsid w:val="00625728"/>
    <w:rsid w:val="00625847"/>
    <w:rsid w:val="006258DD"/>
    <w:rsid w:val="00625901"/>
    <w:rsid w:val="0062592A"/>
    <w:rsid w:val="0062597A"/>
    <w:rsid w:val="006259B3"/>
    <w:rsid w:val="00625A62"/>
    <w:rsid w:val="00625A74"/>
    <w:rsid w:val="00625AD6"/>
    <w:rsid w:val="00625B1C"/>
    <w:rsid w:val="00625B36"/>
    <w:rsid w:val="00625B8F"/>
    <w:rsid w:val="00625C42"/>
    <w:rsid w:val="00625CB1"/>
    <w:rsid w:val="00625CB7"/>
    <w:rsid w:val="00625DA5"/>
    <w:rsid w:val="00625E80"/>
    <w:rsid w:val="006260D7"/>
    <w:rsid w:val="0062615F"/>
    <w:rsid w:val="00626193"/>
    <w:rsid w:val="006261B7"/>
    <w:rsid w:val="0062621A"/>
    <w:rsid w:val="00626307"/>
    <w:rsid w:val="00626332"/>
    <w:rsid w:val="00626457"/>
    <w:rsid w:val="006264FA"/>
    <w:rsid w:val="00626528"/>
    <w:rsid w:val="00626574"/>
    <w:rsid w:val="006265A7"/>
    <w:rsid w:val="006265D4"/>
    <w:rsid w:val="0062663A"/>
    <w:rsid w:val="006267BD"/>
    <w:rsid w:val="006267CA"/>
    <w:rsid w:val="006267F7"/>
    <w:rsid w:val="006267FF"/>
    <w:rsid w:val="006268B4"/>
    <w:rsid w:val="00626988"/>
    <w:rsid w:val="00626B8B"/>
    <w:rsid w:val="00626BAD"/>
    <w:rsid w:val="00626BCF"/>
    <w:rsid w:val="00626C00"/>
    <w:rsid w:val="00626C93"/>
    <w:rsid w:val="00626CDD"/>
    <w:rsid w:val="00626D82"/>
    <w:rsid w:val="00626DE6"/>
    <w:rsid w:val="00626F24"/>
    <w:rsid w:val="00626F31"/>
    <w:rsid w:val="00626F57"/>
    <w:rsid w:val="00626FBC"/>
    <w:rsid w:val="00627012"/>
    <w:rsid w:val="00627096"/>
    <w:rsid w:val="0062709A"/>
    <w:rsid w:val="006270D6"/>
    <w:rsid w:val="0062712D"/>
    <w:rsid w:val="006272B1"/>
    <w:rsid w:val="006274C4"/>
    <w:rsid w:val="00627552"/>
    <w:rsid w:val="006275AA"/>
    <w:rsid w:val="006275B4"/>
    <w:rsid w:val="006275DA"/>
    <w:rsid w:val="00627686"/>
    <w:rsid w:val="0062769F"/>
    <w:rsid w:val="006276C2"/>
    <w:rsid w:val="006277BA"/>
    <w:rsid w:val="0062788B"/>
    <w:rsid w:val="00627AD2"/>
    <w:rsid w:val="00627ADE"/>
    <w:rsid w:val="00627BD3"/>
    <w:rsid w:val="00627CB0"/>
    <w:rsid w:val="00627CE3"/>
    <w:rsid w:val="00627D55"/>
    <w:rsid w:val="00627D7F"/>
    <w:rsid w:val="00627DA8"/>
    <w:rsid w:val="00627EC9"/>
    <w:rsid w:val="00627FC9"/>
    <w:rsid w:val="00630010"/>
    <w:rsid w:val="00630065"/>
    <w:rsid w:val="00630392"/>
    <w:rsid w:val="006303B3"/>
    <w:rsid w:val="00630408"/>
    <w:rsid w:val="00630438"/>
    <w:rsid w:val="0063044F"/>
    <w:rsid w:val="006304DE"/>
    <w:rsid w:val="006304FC"/>
    <w:rsid w:val="006304FD"/>
    <w:rsid w:val="00630619"/>
    <w:rsid w:val="006306FD"/>
    <w:rsid w:val="00630734"/>
    <w:rsid w:val="00630788"/>
    <w:rsid w:val="006308CB"/>
    <w:rsid w:val="006308D1"/>
    <w:rsid w:val="00630997"/>
    <w:rsid w:val="006309A1"/>
    <w:rsid w:val="00630A75"/>
    <w:rsid w:val="00630B1E"/>
    <w:rsid w:val="00630B4A"/>
    <w:rsid w:val="00630D68"/>
    <w:rsid w:val="00630DDC"/>
    <w:rsid w:val="00630ED6"/>
    <w:rsid w:val="00630F19"/>
    <w:rsid w:val="00630F82"/>
    <w:rsid w:val="00630FD2"/>
    <w:rsid w:val="006310FD"/>
    <w:rsid w:val="00631218"/>
    <w:rsid w:val="0063123E"/>
    <w:rsid w:val="00631276"/>
    <w:rsid w:val="00631394"/>
    <w:rsid w:val="006313E2"/>
    <w:rsid w:val="0063142F"/>
    <w:rsid w:val="00631450"/>
    <w:rsid w:val="006314A1"/>
    <w:rsid w:val="006314B2"/>
    <w:rsid w:val="00631555"/>
    <w:rsid w:val="0063173F"/>
    <w:rsid w:val="0063174F"/>
    <w:rsid w:val="00631790"/>
    <w:rsid w:val="00631806"/>
    <w:rsid w:val="00631849"/>
    <w:rsid w:val="00631899"/>
    <w:rsid w:val="006318C9"/>
    <w:rsid w:val="00631B39"/>
    <w:rsid w:val="00631B90"/>
    <w:rsid w:val="00631CAF"/>
    <w:rsid w:val="00631D0A"/>
    <w:rsid w:val="00631F2A"/>
    <w:rsid w:val="00631F2E"/>
    <w:rsid w:val="00631FED"/>
    <w:rsid w:val="00632086"/>
    <w:rsid w:val="006320CE"/>
    <w:rsid w:val="006320D6"/>
    <w:rsid w:val="0063212C"/>
    <w:rsid w:val="006321D2"/>
    <w:rsid w:val="00632221"/>
    <w:rsid w:val="006322FC"/>
    <w:rsid w:val="0063230C"/>
    <w:rsid w:val="0063232A"/>
    <w:rsid w:val="006324C4"/>
    <w:rsid w:val="00632574"/>
    <w:rsid w:val="0063257F"/>
    <w:rsid w:val="00632581"/>
    <w:rsid w:val="00632656"/>
    <w:rsid w:val="00632698"/>
    <w:rsid w:val="0063269B"/>
    <w:rsid w:val="0063279A"/>
    <w:rsid w:val="006327C2"/>
    <w:rsid w:val="006327F8"/>
    <w:rsid w:val="006327FF"/>
    <w:rsid w:val="0063287C"/>
    <w:rsid w:val="00632963"/>
    <w:rsid w:val="00632ABC"/>
    <w:rsid w:val="00632ADD"/>
    <w:rsid w:val="00632C57"/>
    <w:rsid w:val="00632D3C"/>
    <w:rsid w:val="00632E21"/>
    <w:rsid w:val="00632F29"/>
    <w:rsid w:val="00632F7F"/>
    <w:rsid w:val="00632F9B"/>
    <w:rsid w:val="0063305A"/>
    <w:rsid w:val="00633107"/>
    <w:rsid w:val="00633160"/>
    <w:rsid w:val="00633224"/>
    <w:rsid w:val="00633238"/>
    <w:rsid w:val="00633311"/>
    <w:rsid w:val="0063333A"/>
    <w:rsid w:val="006333D6"/>
    <w:rsid w:val="00633468"/>
    <w:rsid w:val="006334C9"/>
    <w:rsid w:val="006335BA"/>
    <w:rsid w:val="0063361E"/>
    <w:rsid w:val="00633760"/>
    <w:rsid w:val="006338C9"/>
    <w:rsid w:val="00633982"/>
    <w:rsid w:val="006339ED"/>
    <w:rsid w:val="00633A5D"/>
    <w:rsid w:val="00633A9F"/>
    <w:rsid w:val="00633B4F"/>
    <w:rsid w:val="00633B9E"/>
    <w:rsid w:val="00633BC9"/>
    <w:rsid w:val="00633C39"/>
    <w:rsid w:val="00633C4A"/>
    <w:rsid w:val="00633D12"/>
    <w:rsid w:val="00633D54"/>
    <w:rsid w:val="00633D9F"/>
    <w:rsid w:val="00634092"/>
    <w:rsid w:val="006340CC"/>
    <w:rsid w:val="006340DB"/>
    <w:rsid w:val="0063419C"/>
    <w:rsid w:val="006341D4"/>
    <w:rsid w:val="006341E1"/>
    <w:rsid w:val="0063421D"/>
    <w:rsid w:val="00634261"/>
    <w:rsid w:val="006342C5"/>
    <w:rsid w:val="00634333"/>
    <w:rsid w:val="00634465"/>
    <w:rsid w:val="0063456C"/>
    <w:rsid w:val="006346E3"/>
    <w:rsid w:val="006346E9"/>
    <w:rsid w:val="00634703"/>
    <w:rsid w:val="006347AF"/>
    <w:rsid w:val="006347EB"/>
    <w:rsid w:val="00634893"/>
    <w:rsid w:val="006348E3"/>
    <w:rsid w:val="00634901"/>
    <w:rsid w:val="00634945"/>
    <w:rsid w:val="00634983"/>
    <w:rsid w:val="00634A0D"/>
    <w:rsid w:val="00634A61"/>
    <w:rsid w:val="00634B90"/>
    <w:rsid w:val="00634BD0"/>
    <w:rsid w:val="00634CE8"/>
    <w:rsid w:val="00634D13"/>
    <w:rsid w:val="00634E6E"/>
    <w:rsid w:val="00634F4E"/>
    <w:rsid w:val="0063503D"/>
    <w:rsid w:val="006350C9"/>
    <w:rsid w:val="006350CD"/>
    <w:rsid w:val="00635132"/>
    <w:rsid w:val="0063513C"/>
    <w:rsid w:val="006351EB"/>
    <w:rsid w:val="0063523E"/>
    <w:rsid w:val="00635368"/>
    <w:rsid w:val="00635434"/>
    <w:rsid w:val="00635441"/>
    <w:rsid w:val="00635457"/>
    <w:rsid w:val="0063548F"/>
    <w:rsid w:val="00635628"/>
    <w:rsid w:val="00635676"/>
    <w:rsid w:val="006356C9"/>
    <w:rsid w:val="006357EA"/>
    <w:rsid w:val="0063587A"/>
    <w:rsid w:val="00635AB2"/>
    <w:rsid w:val="00635ACE"/>
    <w:rsid w:val="00635BE1"/>
    <w:rsid w:val="00635C68"/>
    <w:rsid w:val="00635CB3"/>
    <w:rsid w:val="00635D63"/>
    <w:rsid w:val="00635DCE"/>
    <w:rsid w:val="00635ED7"/>
    <w:rsid w:val="0063607B"/>
    <w:rsid w:val="006361A7"/>
    <w:rsid w:val="006361F2"/>
    <w:rsid w:val="006362E7"/>
    <w:rsid w:val="00636342"/>
    <w:rsid w:val="0063634A"/>
    <w:rsid w:val="00636388"/>
    <w:rsid w:val="006363BA"/>
    <w:rsid w:val="006363BC"/>
    <w:rsid w:val="006363C5"/>
    <w:rsid w:val="00636414"/>
    <w:rsid w:val="00636445"/>
    <w:rsid w:val="0063649C"/>
    <w:rsid w:val="00636587"/>
    <w:rsid w:val="00636625"/>
    <w:rsid w:val="0063668E"/>
    <w:rsid w:val="006366DB"/>
    <w:rsid w:val="006366E1"/>
    <w:rsid w:val="0063673F"/>
    <w:rsid w:val="0063679F"/>
    <w:rsid w:val="006367C9"/>
    <w:rsid w:val="0063681F"/>
    <w:rsid w:val="00636943"/>
    <w:rsid w:val="00636998"/>
    <w:rsid w:val="006369C0"/>
    <w:rsid w:val="006369C4"/>
    <w:rsid w:val="00636A3E"/>
    <w:rsid w:val="00636ABC"/>
    <w:rsid w:val="00636D15"/>
    <w:rsid w:val="00636DB0"/>
    <w:rsid w:val="00636E02"/>
    <w:rsid w:val="00636F54"/>
    <w:rsid w:val="00637048"/>
    <w:rsid w:val="006370D9"/>
    <w:rsid w:val="0063710A"/>
    <w:rsid w:val="00637144"/>
    <w:rsid w:val="00637158"/>
    <w:rsid w:val="0063718C"/>
    <w:rsid w:val="0063718D"/>
    <w:rsid w:val="006371B0"/>
    <w:rsid w:val="0063721F"/>
    <w:rsid w:val="0063728E"/>
    <w:rsid w:val="006372D1"/>
    <w:rsid w:val="006372E8"/>
    <w:rsid w:val="0063736E"/>
    <w:rsid w:val="006373AD"/>
    <w:rsid w:val="0063745F"/>
    <w:rsid w:val="00637484"/>
    <w:rsid w:val="00637498"/>
    <w:rsid w:val="00637536"/>
    <w:rsid w:val="006375D2"/>
    <w:rsid w:val="0063762D"/>
    <w:rsid w:val="0063773C"/>
    <w:rsid w:val="00637741"/>
    <w:rsid w:val="0063785B"/>
    <w:rsid w:val="006378A5"/>
    <w:rsid w:val="006378E9"/>
    <w:rsid w:val="0063790A"/>
    <w:rsid w:val="00637982"/>
    <w:rsid w:val="00637B13"/>
    <w:rsid w:val="00637B3B"/>
    <w:rsid w:val="00637C56"/>
    <w:rsid w:val="00637CA7"/>
    <w:rsid w:val="00637DFD"/>
    <w:rsid w:val="00637E29"/>
    <w:rsid w:val="00637E2C"/>
    <w:rsid w:val="00637E3A"/>
    <w:rsid w:val="00637F0C"/>
    <w:rsid w:val="00637F28"/>
    <w:rsid w:val="00637F3F"/>
    <w:rsid w:val="006400ED"/>
    <w:rsid w:val="0064015E"/>
    <w:rsid w:val="006402C1"/>
    <w:rsid w:val="006402C6"/>
    <w:rsid w:val="0064035A"/>
    <w:rsid w:val="00640387"/>
    <w:rsid w:val="0064045F"/>
    <w:rsid w:val="0064051D"/>
    <w:rsid w:val="00640665"/>
    <w:rsid w:val="006406BE"/>
    <w:rsid w:val="00640724"/>
    <w:rsid w:val="0064078C"/>
    <w:rsid w:val="006407BA"/>
    <w:rsid w:val="006407F5"/>
    <w:rsid w:val="00640805"/>
    <w:rsid w:val="0064085B"/>
    <w:rsid w:val="00640874"/>
    <w:rsid w:val="006408F1"/>
    <w:rsid w:val="0064097F"/>
    <w:rsid w:val="00640A03"/>
    <w:rsid w:val="00640B22"/>
    <w:rsid w:val="00640BD4"/>
    <w:rsid w:val="00640BEF"/>
    <w:rsid w:val="00640C1A"/>
    <w:rsid w:val="00640C49"/>
    <w:rsid w:val="00640D12"/>
    <w:rsid w:val="00640D3A"/>
    <w:rsid w:val="00640D41"/>
    <w:rsid w:val="00640F3C"/>
    <w:rsid w:val="00641022"/>
    <w:rsid w:val="0064107D"/>
    <w:rsid w:val="006410B8"/>
    <w:rsid w:val="00641111"/>
    <w:rsid w:val="00641135"/>
    <w:rsid w:val="00641175"/>
    <w:rsid w:val="006411AB"/>
    <w:rsid w:val="006412D6"/>
    <w:rsid w:val="0064137D"/>
    <w:rsid w:val="0064142B"/>
    <w:rsid w:val="006414C2"/>
    <w:rsid w:val="006414CA"/>
    <w:rsid w:val="00641528"/>
    <w:rsid w:val="0064152D"/>
    <w:rsid w:val="006415C0"/>
    <w:rsid w:val="006415D7"/>
    <w:rsid w:val="0064162B"/>
    <w:rsid w:val="0064164C"/>
    <w:rsid w:val="006417C6"/>
    <w:rsid w:val="00641820"/>
    <w:rsid w:val="006418F3"/>
    <w:rsid w:val="0064199A"/>
    <w:rsid w:val="006419B3"/>
    <w:rsid w:val="006419F5"/>
    <w:rsid w:val="00641ABC"/>
    <w:rsid w:val="00641AE2"/>
    <w:rsid w:val="00641B4E"/>
    <w:rsid w:val="00641C29"/>
    <w:rsid w:val="00641C75"/>
    <w:rsid w:val="00641C98"/>
    <w:rsid w:val="00641CAB"/>
    <w:rsid w:val="00641D85"/>
    <w:rsid w:val="00641DF3"/>
    <w:rsid w:val="00641F0E"/>
    <w:rsid w:val="00641F4C"/>
    <w:rsid w:val="00641F5F"/>
    <w:rsid w:val="00641FB3"/>
    <w:rsid w:val="00641FB8"/>
    <w:rsid w:val="00641FF5"/>
    <w:rsid w:val="00642018"/>
    <w:rsid w:val="00642151"/>
    <w:rsid w:val="0064216A"/>
    <w:rsid w:val="00642221"/>
    <w:rsid w:val="00642276"/>
    <w:rsid w:val="006422AB"/>
    <w:rsid w:val="006422AC"/>
    <w:rsid w:val="006422F4"/>
    <w:rsid w:val="006423F9"/>
    <w:rsid w:val="00642401"/>
    <w:rsid w:val="0064245A"/>
    <w:rsid w:val="00642465"/>
    <w:rsid w:val="006424A7"/>
    <w:rsid w:val="006424AC"/>
    <w:rsid w:val="006424D9"/>
    <w:rsid w:val="00642511"/>
    <w:rsid w:val="00642590"/>
    <w:rsid w:val="006425DA"/>
    <w:rsid w:val="00642650"/>
    <w:rsid w:val="006426F7"/>
    <w:rsid w:val="006427FD"/>
    <w:rsid w:val="00642AA7"/>
    <w:rsid w:val="00642B34"/>
    <w:rsid w:val="00642B3B"/>
    <w:rsid w:val="00642CCE"/>
    <w:rsid w:val="00642D21"/>
    <w:rsid w:val="00642D48"/>
    <w:rsid w:val="00642D6C"/>
    <w:rsid w:val="00642D77"/>
    <w:rsid w:val="00642F04"/>
    <w:rsid w:val="0064306B"/>
    <w:rsid w:val="0064307A"/>
    <w:rsid w:val="00643169"/>
    <w:rsid w:val="0064325E"/>
    <w:rsid w:val="006433C3"/>
    <w:rsid w:val="00643407"/>
    <w:rsid w:val="00643417"/>
    <w:rsid w:val="0064357A"/>
    <w:rsid w:val="006435B1"/>
    <w:rsid w:val="0064361E"/>
    <w:rsid w:val="0064364E"/>
    <w:rsid w:val="006436D6"/>
    <w:rsid w:val="00643786"/>
    <w:rsid w:val="00643793"/>
    <w:rsid w:val="00643938"/>
    <w:rsid w:val="00643A09"/>
    <w:rsid w:val="00643A75"/>
    <w:rsid w:val="00643AF5"/>
    <w:rsid w:val="00643C2C"/>
    <w:rsid w:val="00643CA8"/>
    <w:rsid w:val="00643D41"/>
    <w:rsid w:val="00643DA3"/>
    <w:rsid w:val="00643DAD"/>
    <w:rsid w:val="00643F59"/>
    <w:rsid w:val="00643FB4"/>
    <w:rsid w:val="00643FE4"/>
    <w:rsid w:val="00643FEC"/>
    <w:rsid w:val="006440C0"/>
    <w:rsid w:val="0064410D"/>
    <w:rsid w:val="0064416F"/>
    <w:rsid w:val="00644195"/>
    <w:rsid w:val="006442D2"/>
    <w:rsid w:val="00644452"/>
    <w:rsid w:val="00644468"/>
    <w:rsid w:val="00644510"/>
    <w:rsid w:val="0064467F"/>
    <w:rsid w:val="00644697"/>
    <w:rsid w:val="00644705"/>
    <w:rsid w:val="00644708"/>
    <w:rsid w:val="0064485A"/>
    <w:rsid w:val="00644950"/>
    <w:rsid w:val="00644B2E"/>
    <w:rsid w:val="00644BC6"/>
    <w:rsid w:val="00644C1F"/>
    <w:rsid w:val="00644C50"/>
    <w:rsid w:val="00644C61"/>
    <w:rsid w:val="00644C80"/>
    <w:rsid w:val="00644C92"/>
    <w:rsid w:val="00644DEC"/>
    <w:rsid w:val="00644F63"/>
    <w:rsid w:val="00644F71"/>
    <w:rsid w:val="00644FD6"/>
    <w:rsid w:val="00645004"/>
    <w:rsid w:val="00645087"/>
    <w:rsid w:val="006450A4"/>
    <w:rsid w:val="006450BE"/>
    <w:rsid w:val="006451FA"/>
    <w:rsid w:val="006452D5"/>
    <w:rsid w:val="00645386"/>
    <w:rsid w:val="0064558D"/>
    <w:rsid w:val="0064565F"/>
    <w:rsid w:val="006457E2"/>
    <w:rsid w:val="006457E3"/>
    <w:rsid w:val="00645879"/>
    <w:rsid w:val="00645AE2"/>
    <w:rsid w:val="00645B53"/>
    <w:rsid w:val="00645C1B"/>
    <w:rsid w:val="00645D0F"/>
    <w:rsid w:val="00645D10"/>
    <w:rsid w:val="00645D11"/>
    <w:rsid w:val="00645E75"/>
    <w:rsid w:val="00645EEA"/>
    <w:rsid w:val="00645F62"/>
    <w:rsid w:val="00646083"/>
    <w:rsid w:val="00646146"/>
    <w:rsid w:val="0064615F"/>
    <w:rsid w:val="00646172"/>
    <w:rsid w:val="0064621C"/>
    <w:rsid w:val="00646332"/>
    <w:rsid w:val="00646364"/>
    <w:rsid w:val="00646405"/>
    <w:rsid w:val="00646541"/>
    <w:rsid w:val="006465B3"/>
    <w:rsid w:val="006466D1"/>
    <w:rsid w:val="00646702"/>
    <w:rsid w:val="006467C9"/>
    <w:rsid w:val="00646868"/>
    <w:rsid w:val="006468E2"/>
    <w:rsid w:val="0064693B"/>
    <w:rsid w:val="006469CB"/>
    <w:rsid w:val="006469E3"/>
    <w:rsid w:val="00646AF7"/>
    <w:rsid w:val="00646B36"/>
    <w:rsid w:val="00646BAF"/>
    <w:rsid w:val="00646C89"/>
    <w:rsid w:val="00646CAF"/>
    <w:rsid w:val="00646D7F"/>
    <w:rsid w:val="00647150"/>
    <w:rsid w:val="00647289"/>
    <w:rsid w:val="00647360"/>
    <w:rsid w:val="006473BA"/>
    <w:rsid w:val="006473E0"/>
    <w:rsid w:val="00647528"/>
    <w:rsid w:val="00647596"/>
    <w:rsid w:val="00647598"/>
    <w:rsid w:val="006475D5"/>
    <w:rsid w:val="00647601"/>
    <w:rsid w:val="00647667"/>
    <w:rsid w:val="00647748"/>
    <w:rsid w:val="00647794"/>
    <w:rsid w:val="006477EC"/>
    <w:rsid w:val="00647868"/>
    <w:rsid w:val="0064786F"/>
    <w:rsid w:val="0064788F"/>
    <w:rsid w:val="006478EC"/>
    <w:rsid w:val="00647B18"/>
    <w:rsid w:val="00647B56"/>
    <w:rsid w:val="00647CA2"/>
    <w:rsid w:val="00647CD0"/>
    <w:rsid w:val="00647D22"/>
    <w:rsid w:val="00647D88"/>
    <w:rsid w:val="00647DA0"/>
    <w:rsid w:val="00647DB1"/>
    <w:rsid w:val="00647E70"/>
    <w:rsid w:val="0065009D"/>
    <w:rsid w:val="006500A4"/>
    <w:rsid w:val="006502CF"/>
    <w:rsid w:val="006502DF"/>
    <w:rsid w:val="006503E9"/>
    <w:rsid w:val="006503F1"/>
    <w:rsid w:val="00650425"/>
    <w:rsid w:val="0065054A"/>
    <w:rsid w:val="006506CE"/>
    <w:rsid w:val="0065074D"/>
    <w:rsid w:val="00650752"/>
    <w:rsid w:val="00650767"/>
    <w:rsid w:val="00650791"/>
    <w:rsid w:val="00650892"/>
    <w:rsid w:val="00650A1A"/>
    <w:rsid w:val="00650ACF"/>
    <w:rsid w:val="00650B62"/>
    <w:rsid w:val="00650BC8"/>
    <w:rsid w:val="00650CB2"/>
    <w:rsid w:val="00650D29"/>
    <w:rsid w:val="00650D48"/>
    <w:rsid w:val="00650D4F"/>
    <w:rsid w:val="00650D5D"/>
    <w:rsid w:val="00650FEC"/>
    <w:rsid w:val="00651114"/>
    <w:rsid w:val="00651169"/>
    <w:rsid w:val="00651191"/>
    <w:rsid w:val="00651192"/>
    <w:rsid w:val="00651245"/>
    <w:rsid w:val="006512E7"/>
    <w:rsid w:val="0065136D"/>
    <w:rsid w:val="0065137E"/>
    <w:rsid w:val="006514A0"/>
    <w:rsid w:val="006514A8"/>
    <w:rsid w:val="006514FF"/>
    <w:rsid w:val="00651541"/>
    <w:rsid w:val="006515A9"/>
    <w:rsid w:val="006515E5"/>
    <w:rsid w:val="006517C6"/>
    <w:rsid w:val="006517E3"/>
    <w:rsid w:val="006517E4"/>
    <w:rsid w:val="00651938"/>
    <w:rsid w:val="00651A6C"/>
    <w:rsid w:val="00651A99"/>
    <w:rsid w:val="00651BE6"/>
    <w:rsid w:val="00651CA2"/>
    <w:rsid w:val="00651CF0"/>
    <w:rsid w:val="00651D9A"/>
    <w:rsid w:val="00651DF3"/>
    <w:rsid w:val="00651E67"/>
    <w:rsid w:val="006520A5"/>
    <w:rsid w:val="006520D5"/>
    <w:rsid w:val="0065214E"/>
    <w:rsid w:val="00652220"/>
    <w:rsid w:val="00652244"/>
    <w:rsid w:val="0065232B"/>
    <w:rsid w:val="006523AB"/>
    <w:rsid w:val="006523DE"/>
    <w:rsid w:val="0065241B"/>
    <w:rsid w:val="006524A4"/>
    <w:rsid w:val="006524E0"/>
    <w:rsid w:val="0065250F"/>
    <w:rsid w:val="00652601"/>
    <w:rsid w:val="006527CD"/>
    <w:rsid w:val="00652906"/>
    <w:rsid w:val="00652A30"/>
    <w:rsid w:val="00652A5E"/>
    <w:rsid w:val="00652AF2"/>
    <w:rsid w:val="00652BC4"/>
    <w:rsid w:val="00652C27"/>
    <w:rsid w:val="00652C9B"/>
    <w:rsid w:val="00652C9D"/>
    <w:rsid w:val="00652E5A"/>
    <w:rsid w:val="00652EA9"/>
    <w:rsid w:val="006530C0"/>
    <w:rsid w:val="006530ED"/>
    <w:rsid w:val="006530F6"/>
    <w:rsid w:val="00653125"/>
    <w:rsid w:val="00653186"/>
    <w:rsid w:val="006532D8"/>
    <w:rsid w:val="0065335B"/>
    <w:rsid w:val="006533A2"/>
    <w:rsid w:val="006533E3"/>
    <w:rsid w:val="006534C0"/>
    <w:rsid w:val="00653566"/>
    <w:rsid w:val="00653617"/>
    <w:rsid w:val="00653659"/>
    <w:rsid w:val="00653678"/>
    <w:rsid w:val="006536B7"/>
    <w:rsid w:val="006538A8"/>
    <w:rsid w:val="00653A34"/>
    <w:rsid w:val="00653A49"/>
    <w:rsid w:val="00653BC4"/>
    <w:rsid w:val="00653CA7"/>
    <w:rsid w:val="00653F79"/>
    <w:rsid w:val="00653FA2"/>
    <w:rsid w:val="00653FA9"/>
    <w:rsid w:val="00654084"/>
    <w:rsid w:val="006540AD"/>
    <w:rsid w:val="006540F2"/>
    <w:rsid w:val="00654184"/>
    <w:rsid w:val="006541A0"/>
    <w:rsid w:val="006542F7"/>
    <w:rsid w:val="00654462"/>
    <w:rsid w:val="00654479"/>
    <w:rsid w:val="006544C0"/>
    <w:rsid w:val="0065456A"/>
    <w:rsid w:val="006546E3"/>
    <w:rsid w:val="0065471F"/>
    <w:rsid w:val="00654721"/>
    <w:rsid w:val="006548B3"/>
    <w:rsid w:val="006548F2"/>
    <w:rsid w:val="00654964"/>
    <w:rsid w:val="00654969"/>
    <w:rsid w:val="00654B9B"/>
    <w:rsid w:val="00654B9D"/>
    <w:rsid w:val="00654C92"/>
    <w:rsid w:val="00654CC2"/>
    <w:rsid w:val="00654CC7"/>
    <w:rsid w:val="00654CCA"/>
    <w:rsid w:val="00654EB7"/>
    <w:rsid w:val="00654EFC"/>
    <w:rsid w:val="00654EFD"/>
    <w:rsid w:val="00654F23"/>
    <w:rsid w:val="006550A3"/>
    <w:rsid w:val="00655110"/>
    <w:rsid w:val="00655148"/>
    <w:rsid w:val="00655280"/>
    <w:rsid w:val="006552D7"/>
    <w:rsid w:val="006553E4"/>
    <w:rsid w:val="00655525"/>
    <w:rsid w:val="00655561"/>
    <w:rsid w:val="0065557A"/>
    <w:rsid w:val="00655606"/>
    <w:rsid w:val="00655639"/>
    <w:rsid w:val="006558C1"/>
    <w:rsid w:val="00655907"/>
    <w:rsid w:val="0065591F"/>
    <w:rsid w:val="00655A99"/>
    <w:rsid w:val="00655AD3"/>
    <w:rsid w:val="00655AFA"/>
    <w:rsid w:val="00655BBA"/>
    <w:rsid w:val="00655C81"/>
    <w:rsid w:val="00655DA2"/>
    <w:rsid w:val="00655DE8"/>
    <w:rsid w:val="00655E65"/>
    <w:rsid w:val="00655EF2"/>
    <w:rsid w:val="00655F13"/>
    <w:rsid w:val="00655F20"/>
    <w:rsid w:val="00655F7D"/>
    <w:rsid w:val="00655F7E"/>
    <w:rsid w:val="00655FE2"/>
    <w:rsid w:val="00656075"/>
    <w:rsid w:val="00656098"/>
    <w:rsid w:val="006560DA"/>
    <w:rsid w:val="0065618E"/>
    <w:rsid w:val="0065619C"/>
    <w:rsid w:val="006561C5"/>
    <w:rsid w:val="00656309"/>
    <w:rsid w:val="0065636C"/>
    <w:rsid w:val="006563AC"/>
    <w:rsid w:val="0065647A"/>
    <w:rsid w:val="0065647D"/>
    <w:rsid w:val="006564FC"/>
    <w:rsid w:val="0065668D"/>
    <w:rsid w:val="006566A4"/>
    <w:rsid w:val="006567AE"/>
    <w:rsid w:val="006567C9"/>
    <w:rsid w:val="0065688D"/>
    <w:rsid w:val="006568BF"/>
    <w:rsid w:val="00656941"/>
    <w:rsid w:val="00656A5E"/>
    <w:rsid w:val="00656FCC"/>
    <w:rsid w:val="006570AB"/>
    <w:rsid w:val="006570F0"/>
    <w:rsid w:val="006571C9"/>
    <w:rsid w:val="00657264"/>
    <w:rsid w:val="00657396"/>
    <w:rsid w:val="00657526"/>
    <w:rsid w:val="00657631"/>
    <w:rsid w:val="00657635"/>
    <w:rsid w:val="00657753"/>
    <w:rsid w:val="006579C3"/>
    <w:rsid w:val="00657A19"/>
    <w:rsid w:val="00657A36"/>
    <w:rsid w:val="00657A83"/>
    <w:rsid w:val="00657BA2"/>
    <w:rsid w:val="00657D3C"/>
    <w:rsid w:val="00657D50"/>
    <w:rsid w:val="00657E34"/>
    <w:rsid w:val="00657E57"/>
    <w:rsid w:val="00657E70"/>
    <w:rsid w:val="00657EB7"/>
    <w:rsid w:val="00657F97"/>
    <w:rsid w:val="00660069"/>
    <w:rsid w:val="00660155"/>
    <w:rsid w:val="006601B0"/>
    <w:rsid w:val="006601D0"/>
    <w:rsid w:val="006601E3"/>
    <w:rsid w:val="00660208"/>
    <w:rsid w:val="00660289"/>
    <w:rsid w:val="006602A7"/>
    <w:rsid w:val="006602AE"/>
    <w:rsid w:val="006602CD"/>
    <w:rsid w:val="00660343"/>
    <w:rsid w:val="006603C9"/>
    <w:rsid w:val="006603CF"/>
    <w:rsid w:val="006605C5"/>
    <w:rsid w:val="00660849"/>
    <w:rsid w:val="00660885"/>
    <w:rsid w:val="0066088B"/>
    <w:rsid w:val="00660986"/>
    <w:rsid w:val="006609CD"/>
    <w:rsid w:val="00660BCE"/>
    <w:rsid w:val="00660C87"/>
    <w:rsid w:val="00660CEC"/>
    <w:rsid w:val="00660DAD"/>
    <w:rsid w:val="00660E88"/>
    <w:rsid w:val="00660F7E"/>
    <w:rsid w:val="00661123"/>
    <w:rsid w:val="0066117E"/>
    <w:rsid w:val="00661287"/>
    <w:rsid w:val="00661317"/>
    <w:rsid w:val="00661364"/>
    <w:rsid w:val="0066136E"/>
    <w:rsid w:val="0066138A"/>
    <w:rsid w:val="00661391"/>
    <w:rsid w:val="006613C6"/>
    <w:rsid w:val="0066140F"/>
    <w:rsid w:val="006615E0"/>
    <w:rsid w:val="00661644"/>
    <w:rsid w:val="006616B7"/>
    <w:rsid w:val="00661826"/>
    <w:rsid w:val="00661AD5"/>
    <w:rsid w:val="00661ADB"/>
    <w:rsid w:val="00661C08"/>
    <w:rsid w:val="00661D11"/>
    <w:rsid w:val="00661D84"/>
    <w:rsid w:val="00661E10"/>
    <w:rsid w:val="00661E13"/>
    <w:rsid w:val="00661E1A"/>
    <w:rsid w:val="00661FB7"/>
    <w:rsid w:val="006620E2"/>
    <w:rsid w:val="006620E8"/>
    <w:rsid w:val="00662110"/>
    <w:rsid w:val="0066224A"/>
    <w:rsid w:val="00662298"/>
    <w:rsid w:val="006622E5"/>
    <w:rsid w:val="00662310"/>
    <w:rsid w:val="006623B2"/>
    <w:rsid w:val="006623CA"/>
    <w:rsid w:val="006623CC"/>
    <w:rsid w:val="006623F3"/>
    <w:rsid w:val="0066252B"/>
    <w:rsid w:val="006625F6"/>
    <w:rsid w:val="006626E8"/>
    <w:rsid w:val="0066273D"/>
    <w:rsid w:val="00662757"/>
    <w:rsid w:val="0066275C"/>
    <w:rsid w:val="00662781"/>
    <w:rsid w:val="00662861"/>
    <w:rsid w:val="006628C6"/>
    <w:rsid w:val="006629FC"/>
    <w:rsid w:val="00662A94"/>
    <w:rsid w:val="00662ACB"/>
    <w:rsid w:val="00662ADB"/>
    <w:rsid w:val="00662B2A"/>
    <w:rsid w:val="00662BF8"/>
    <w:rsid w:val="00662C24"/>
    <w:rsid w:val="00662DA9"/>
    <w:rsid w:val="00662E1A"/>
    <w:rsid w:val="00662E21"/>
    <w:rsid w:val="00662EEC"/>
    <w:rsid w:val="00662F35"/>
    <w:rsid w:val="00662FC1"/>
    <w:rsid w:val="00662FC4"/>
    <w:rsid w:val="00663093"/>
    <w:rsid w:val="0066319E"/>
    <w:rsid w:val="00663243"/>
    <w:rsid w:val="0066326B"/>
    <w:rsid w:val="006633EF"/>
    <w:rsid w:val="0066340F"/>
    <w:rsid w:val="00663455"/>
    <w:rsid w:val="00663564"/>
    <w:rsid w:val="0066361B"/>
    <w:rsid w:val="00663668"/>
    <w:rsid w:val="0066366C"/>
    <w:rsid w:val="00663676"/>
    <w:rsid w:val="00663678"/>
    <w:rsid w:val="00663683"/>
    <w:rsid w:val="0066379A"/>
    <w:rsid w:val="006637D8"/>
    <w:rsid w:val="0066395B"/>
    <w:rsid w:val="0066396A"/>
    <w:rsid w:val="006639B2"/>
    <w:rsid w:val="006639F4"/>
    <w:rsid w:val="00663A6B"/>
    <w:rsid w:val="00663B58"/>
    <w:rsid w:val="00663B78"/>
    <w:rsid w:val="00663BEE"/>
    <w:rsid w:val="00663CBF"/>
    <w:rsid w:val="00663CC1"/>
    <w:rsid w:val="00663CDE"/>
    <w:rsid w:val="00663CE0"/>
    <w:rsid w:val="00663DEE"/>
    <w:rsid w:val="00663E55"/>
    <w:rsid w:val="00663F01"/>
    <w:rsid w:val="00663FC4"/>
    <w:rsid w:val="00664084"/>
    <w:rsid w:val="00664135"/>
    <w:rsid w:val="00664197"/>
    <w:rsid w:val="006641E2"/>
    <w:rsid w:val="0066427E"/>
    <w:rsid w:val="006643FF"/>
    <w:rsid w:val="00664453"/>
    <w:rsid w:val="006644A0"/>
    <w:rsid w:val="00664504"/>
    <w:rsid w:val="0066453E"/>
    <w:rsid w:val="0066457A"/>
    <w:rsid w:val="00664639"/>
    <w:rsid w:val="006646C9"/>
    <w:rsid w:val="006646DC"/>
    <w:rsid w:val="00664799"/>
    <w:rsid w:val="006647A1"/>
    <w:rsid w:val="006647D4"/>
    <w:rsid w:val="00664919"/>
    <w:rsid w:val="006649F7"/>
    <w:rsid w:val="00664B89"/>
    <w:rsid w:val="00664B9F"/>
    <w:rsid w:val="00664C19"/>
    <w:rsid w:val="00664C4C"/>
    <w:rsid w:val="00664CE0"/>
    <w:rsid w:val="00664D98"/>
    <w:rsid w:val="00664EFE"/>
    <w:rsid w:val="00664FA1"/>
    <w:rsid w:val="00665053"/>
    <w:rsid w:val="00665061"/>
    <w:rsid w:val="006650A4"/>
    <w:rsid w:val="0066512F"/>
    <w:rsid w:val="0066514F"/>
    <w:rsid w:val="00665251"/>
    <w:rsid w:val="006652A4"/>
    <w:rsid w:val="006652AB"/>
    <w:rsid w:val="0066549B"/>
    <w:rsid w:val="006655B4"/>
    <w:rsid w:val="0066573C"/>
    <w:rsid w:val="00665742"/>
    <w:rsid w:val="006657BC"/>
    <w:rsid w:val="006658EA"/>
    <w:rsid w:val="006658EE"/>
    <w:rsid w:val="0066590E"/>
    <w:rsid w:val="006659B9"/>
    <w:rsid w:val="00665A1A"/>
    <w:rsid w:val="00665A45"/>
    <w:rsid w:val="00665A4F"/>
    <w:rsid w:val="00665AC9"/>
    <w:rsid w:val="00665ADC"/>
    <w:rsid w:val="00665BA7"/>
    <w:rsid w:val="00665DC7"/>
    <w:rsid w:val="00665E39"/>
    <w:rsid w:val="00665E90"/>
    <w:rsid w:val="00665EC7"/>
    <w:rsid w:val="00665EED"/>
    <w:rsid w:val="00665F06"/>
    <w:rsid w:val="00665F89"/>
    <w:rsid w:val="00665FA4"/>
    <w:rsid w:val="006661C1"/>
    <w:rsid w:val="00666238"/>
    <w:rsid w:val="00666333"/>
    <w:rsid w:val="0066654A"/>
    <w:rsid w:val="00666677"/>
    <w:rsid w:val="00666818"/>
    <w:rsid w:val="006668D4"/>
    <w:rsid w:val="006668E5"/>
    <w:rsid w:val="00666A95"/>
    <w:rsid w:val="00666B6A"/>
    <w:rsid w:val="00666B81"/>
    <w:rsid w:val="00666D01"/>
    <w:rsid w:val="00666D64"/>
    <w:rsid w:val="00666E07"/>
    <w:rsid w:val="00666E69"/>
    <w:rsid w:val="00666E98"/>
    <w:rsid w:val="00666EA1"/>
    <w:rsid w:val="00666FA4"/>
    <w:rsid w:val="00666FFE"/>
    <w:rsid w:val="006671A0"/>
    <w:rsid w:val="006671C0"/>
    <w:rsid w:val="0066725A"/>
    <w:rsid w:val="006672CA"/>
    <w:rsid w:val="00667314"/>
    <w:rsid w:val="00667534"/>
    <w:rsid w:val="0066757A"/>
    <w:rsid w:val="00667721"/>
    <w:rsid w:val="00667736"/>
    <w:rsid w:val="0066774D"/>
    <w:rsid w:val="00667791"/>
    <w:rsid w:val="006677B3"/>
    <w:rsid w:val="00667922"/>
    <w:rsid w:val="00667951"/>
    <w:rsid w:val="00667960"/>
    <w:rsid w:val="006679CC"/>
    <w:rsid w:val="00667A20"/>
    <w:rsid w:val="00667ABA"/>
    <w:rsid w:val="00667AF9"/>
    <w:rsid w:val="00667B8F"/>
    <w:rsid w:val="00667BBA"/>
    <w:rsid w:val="00667BED"/>
    <w:rsid w:val="00667C6F"/>
    <w:rsid w:val="00667CC6"/>
    <w:rsid w:val="00667CF6"/>
    <w:rsid w:val="00667D92"/>
    <w:rsid w:val="00667F2D"/>
    <w:rsid w:val="0067002D"/>
    <w:rsid w:val="00670057"/>
    <w:rsid w:val="00670062"/>
    <w:rsid w:val="006700B1"/>
    <w:rsid w:val="0067010B"/>
    <w:rsid w:val="0067013D"/>
    <w:rsid w:val="0067025B"/>
    <w:rsid w:val="006702F1"/>
    <w:rsid w:val="0067040C"/>
    <w:rsid w:val="00670416"/>
    <w:rsid w:val="00670512"/>
    <w:rsid w:val="006705FE"/>
    <w:rsid w:val="0067069E"/>
    <w:rsid w:val="0067080B"/>
    <w:rsid w:val="0067095D"/>
    <w:rsid w:val="00670971"/>
    <w:rsid w:val="0067098E"/>
    <w:rsid w:val="00670A5B"/>
    <w:rsid w:val="00670A5C"/>
    <w:rsid w:val="00670B52"/>
    <w:rsid w:val="00670BE0"/>
    <w:rsid w:val="00670D69"/>
    <w:rsid w:val="00670DD6"/>
    <w:rsid w:val="00670DFF"/>
    <w:rsid w:val="00670F33"/>
    <w:rsid w:val="00670F54"/>
    <w:rsid w:val="00670F67"/>
    <w:rsid w:val="00671036"/>
    <w:rsid w:val="006711ED"/>
    <w:rsid w:val="00671214"/>
    <w:rsid w:val="00671295"/>
    <w:rsid w:val="006713E3"/>
    <w:rsid w:val="006715E7"/>
    <w:rsid w:val="006715F9"/>
    <w:rsid w:val="0067172F"/>
    <w:rsid w:val="00671736"/>
    <w:rsid w:val="0067175B"/>
    <w:rsid w:val="00671810"/>
    <w:rsid w:val="00671822"/>
    <w:rsid w:val="00671971"/>
    <w:rsid w:val="00671A09"/>
    <w:rsid w:val="00671A47"/>
    <w:rsid w:val="00671B13"/>
    <w:rsid w:val="00671B15"/>
    <w:rsid w:val="00671CF7"/>
    <w:rsid w:val="00671EB2"/>
    <w:rsid w:val="00671EBF"/>
    <w:rsid w:val="00671F06"/>
    <w:rsid w:val="00671F68"/>
    <w:rsid w:val="00671FDC"/>
    <w:rsid w:val="00672026"/>
    <w:rsid w:val="0067209F"/>
    <w:rsid w:val="006721B1"/>
    <w:rsid w:val="0067226D"/>
    <w:rsid w:val="00672283"/>
    <w:rsid w:val="006722C8"/>
    <w:rsid w:val="006722FA"/>
    <w:rsid w:val="00672406"/>
    <w:rsid w:val="00672464"/>
    <w:rsid w:val="006726A7"/>
    <w:rsid w:val="006726FD"/>
    <w:rsid w:val="00672751"/>
    <w:rsid w:val="006727D5"/>
    <w:rsid w:val="0067283D"/>
    <w:rsid w:val="00672843"/>
    <w:rsid w:val="00672889"/>
    <w:rsid w:val="006728DB"/>
    <w:rsid w:val="00672993"/>
    <w:rsid w:val="006729C4"/>
    <w:rsid w:val="006729FA"/>
    <w:rsid w:val="00672A21"/>
    <w:rsid w:val="00672AEF"/>
    <w:rsid w:val="00672B0F"/>
    <w:rsid w:val="00672BDC"/>
    <w:rsid w:val="00672C3C"/>
    <w:rsid w:val="00672C63"/>
    <w:rsid w:val="00672E2A"/>
    <w:rsid w:val="00672EA2"/>
    <w:rsid w:val="00672F93"/>
    <w:rsid w:val="00672FAD"/>
    <w:rsid w:val="00672FBE"/>
    <w:rsid w:val="00673163"/>
    <w:rsid w:val="006732A5"/>
    <w:rsid w:val="00673496"/>
    <w:rsid w:val="0067355A"/>
    <w:rsid w:val="00673614"/>
    <w:rsid w:val="00673685"/>
    <w:rsid w:val="00673880"/>
    <w:rsid w:val="006738AD"/>
    <w:rsid w:val="006738E3"/>
    <w:rsid w:val="00673957"/>
    <w:rsid w:val="006739BC"/>
    <w:rsid w:val="00673AA4"/>
    <w:rsid w:val="00673B4E"/>
    <w:rsid w:val="006740BB"/>
    <w:rsid w:val="00674250"/>
    <w:rsid w:val="0067429B"/>
    <w:rsid w:val="00674336"/>
    <w:rsid w:val="006743B5"/>
    <w:rsid w:val="0067451A"/>
    <w:rsid w:val="00674587"/>
    <w:rsid w:val="006745F9"/>
    <w:rsid w:val="006746A5"/>
    <w:rsid w:val="0067476C"/>
    <w:rsid w:val="00674909"/>
    <w:rsid w:val="006749B0"/>
    <w:rsid w:val="00674A37"/>
    <w:rsid w:val="00674A44"/>
    <w:rsid w:val="00674A55"/>
    <w:rsid w:val="00674A9F"/>
    <w:rsid w:val="00674AB9"/>
    <w:rsid w:val="00674AFF"/>
    <w:rsid w:val="00674CBE"/>
    <w:rsid w:val="00674CC1"/>
    <w:rsid w:val="00674D42"/>
    <w:rsid w:val="00674D81"/>
    <w:rsid w:val="00674E58"/>
    <w:rsid w:val="00674EC6"/>
    <w:rsid w:val="00674EE0"/>
    <w:rsid w:val="00674F06"/>
    <w:rsid w:val="00674FBF"/>
    <w:rsid w:val="00675031"/>
    <w:rsid w:val="00675108"/>
    <w:rsid w:val="006751F1"/>
    <w:rsid w:val="00675284"/>
    <w:rsid w:val="00675341"/>
    <w:rsid w:val="00675362"/>
    <w:rsid w:val="00675368"/>
    <w:rsid w:val="006753B3"/>
    <w:rsid w:val="0067543A"/>
    <w:rsid w:val="0067547A"/>
    <w:rsid w:val="006754E5"/>
    <w:rsid w:val="006754F5"/>
    <w:rsid w:val="0067550F"/>
    <w:rsid w:val="006755C2"/>
    <w:rsid w:val="006756B6"/>
    <w:rsid w:val="0067579D"/>
    <w:rsid w:val="006757A7"/>
    <w:rsid w:val="006758BF"/>
    <w:rsid w:val="00675901"/>
    <w:rsid w:val="00675972"/>
    <w:rsid w:val="006759C8"/>
    <w:rsid w:val="00675A51"/>
    <w:rsid w:val="00675AA1"/>
    <w:rsid w:val="00675BEB"/>
    <w:rsid w:val="00675BED"/>
    <w:rsid w:val="00675C13"/>
    <w:rsid w:val="00675C27"/>
    <w:rsid w:val="00675D52"/>
    <w:rsid w:val="00675D5D"/>
    <w:rsid w:val="006760A9"/>
    <w:rsid w:val="006760BA"/>
    <w:rsid w:val="006760EA"/>
    <w:rsid w:val="00676166"/>
    <w:rsid w:val="0067617B"/>
    <w:rsid w:val="006761F3"/>
    <w:rsid w:val="006762D3"/>
    <w:rsid w:val="006762D8"/>
    <w:rsid w:val="0067633A"/>
    <w:rsid w:val="006764FF"/>
    <w:rsid w:val="006765E3"/>
    <w:rsid w:val="00676611"/>
    <w:rsid w:val="00676670"/>
    <w:rsid w:val="00676732"/>
    <w:rsid w:val="0067674A"/>
    <w:rsid w:val="0067676A"/>
    <w:rsid w:val="0067685B"/>
    <w:rsid w:val="006768FC"/>
    <w:rsid w:val="00676955"/>
    <w:rsid w:val="00676A0B"/>
    <w:rsid w:val="00676A3B"/>
    <w:rsid w:val="00676A6D"/>
    <w:rsid w:val="00676AE7"/>
    <w:rsid w:val="00676B12"/>
    <w:rsid w:val="00676B1B"/>
    <w:rsid w:val="00676BD8"/>
    <w:rsid w:val="00676F74"/>
    <w:rsid w:val="00676FE5"/>
    <w:rsid w:val="0067703E"/>
    <w:rsid w:val="006771CF"/>
    <w:rsid w:val="006771D2"/>
    <w:rsid w:val="00677241"/>
    <w:rsid w:val="0067739D"/>
    <w:rsid w:val="00677437"/>
    <w:rsid w:val="00677455"/>
    <w:rsid w:val="006774A5"/>
    <w:rsid w:val="006774E6"/>
    <w:rsid w:val="006775EC"/>
    <w:rsid w:val="0067777B"/>
    <w:rsid w:val="00677810"/>
    <w:rsid w:val="00677817"/>
    <w:rsid w:val="00677822"/>
    <w:rsid w:val="00677898"/>
    <w:rsid w:val="00677936"/>
    <w:rsid w:val="00677939"/>
    <w:rsid w:val="0067797E"/>
    <w:rsid w:val="00677BB4"/>
    <w:rsid w:val="00677BE6"/>
    <w:rsid w:val="00677CF8"/>
    <w:rsid w:val="00677D1D"/>
    <w:rsid w:val="00677D25"/>
    <w:rsid w:val="00677D6D"/>
    <w:rsid w:val="00677DA0"/>
    <w:rsid w:val="00677E4D"/>
    <w:rsid w:val="00677E67"/>
    <w:rsid w:val="00677F00"/>
    <w:rsid w:val="00677F92"/>
    <w:rsid w:val="00680142"/>
    <w:rsid w:val="00680199"/>
    <w:rsid w:val="006802C1"/>
    <w:rsid w:val="006802F1"/>
    <w:rsid w:val="00680332"/>
    <w:rsid w:val="0068036A"/>
    <w:rsid w:val="006803BF"/>
    <w:rsid w:val="00680459"/>
    <w:rsid w:val="00680460"/>
    <w:rsid w:val="006804F1"/>
    <w:rsid w:val="0068052B"/>
    <w:rsid w:val="0068065E"/>
    <w:rsid w:val="00680662"/>
    <w:rsid w:val="0068069C"/>
    <w:rsid w:val="006806F8"/>
    <w:rsid w:val="006806F9"/>
    <w:rsid w:val="00680863"/>
    <w:rsid w:val="006808E4"/>
    <w:rsid w:val="006808FE"/>
    <w:rsid w:val="00680925"/>
    <w:rsid w:val="00680974"/>
    <w:rsid w:val="00680A67"/>
    <w:rsid w:val="00680C09"/>
    <w:rsid w:val="00680DD4"/>
    <w:rsid w:val="00680EB4"/>
    <w:rsid w:val="00680EC7"/>
    <w:rsid w:val="00680F92"/>
    <w:rsid w:val="00680FDA"/>
    <w:rsid w:val="006810FD"/>
    <w:rsid w:val="00681181"/>
    <w:rsid w:val="0068120E"/>
    <w:rsid w:val="0068126E"/>
    <w:rsid w:val="006812BA"/>
    <w:rsid w:val="006812D0"/>
    <w:rsid w:val="0068138A"/>
    <w:rsid w:val="006813A0"/>
    <w:rsid w:val="006813E8"/>
    <w:rsid w:val="006814B4"/>
    <w:rsid w:val="00681504"/>
    <w:rsid w:val="0068169B"/>
    <w:rsid w:val="006816A6"/>
    <w:rsid w:val="006816FC"/>
    <w:rsid w:val="0068172C"/>
    <w:rsid w:val="006818BA"/>
    <w:rsid w:val="006818FB"/>
    <w:rsid w:val="00681933"/>
    <w:rsid w:val="006819D2"/>
    <w:rsid w:val="00681A87"/>
    <w:rsid w:val="00681AA2"/>
    <w:rsid w:val="00681AAF"/>
    <w:rsid w:val="00681B79"/>
    <w:rsid w:val="00681BDB"/>
    <w:rsid w:val="00681CF0"/>
    <w:rsid w:val="00681DA8"/>
    <w:rsid w:val="00681E59"/>
    <w:rsid w:val="006820D4"/>
    <w:rsid w:val="0068219B"/>
    <w:rsid w:val="006821D9"/>
    <w:rsid w:val="00682242"/>
    <w:rsid w:val="00682338"/>
    <w:rsid w:val="00682351"/>
    <w:rsid w:val="0068235C"/>
    <w:rsid w:val="00682419"/>
    <w:rsid w:val="0068246C"/>
    <w:rsid w:val="0068251E"/>
    <w:rsid w:val="00682643"/>
    <w:rsid w:val="00682711"/>
    <w:rsid w:val="0068278C"/>
    <w:rsid w:val="006827D0"/>
    <w:rsid w:val="00682846"/>
    <w:rsid w:val="006828B2"/>
    <w:rsid w:val="006829A6"/>
    <w:rsid w:val="006829CD"/>
    <w:rsid w:val="006829E7"/>
    <w:rsid w:val="00682ABB"/>
    <w:rsid w:val="00682B1A"/>
    <w:rsid w:val="00682BC3"/>
    <w:rsid w:val="00682CBB"/>
    <w:rsid w:val="00682CFD"/>
    <w:rsid w:val="00682D3E"/>
    <w:rsid w:val="00682F5D"/>
    <w:rsid w:val="00682F75"/>
    <w:rsid w:val="00682FD2"/>
    <w:rsid w:val="006830AA"/>
    <w:rsid w:val="006830F4"/>
    <w:rsid w:val="00683124"/>
    <w:rsid w:val="00683145"/>
    <w:rsid w:val="00683271"/>
    <w:rsid w:val="00683418"/>
    <w:rsid w:val="0068342F"/>
    <w:rsid w:val="006834B6"/>
    <w:rsid w:val="006834D9"/>
    <w:rsid w:val="0068366E"/>
    <w:rsid w:val="006836D7"/>
    <w:rsid w:val="006837B8"/>
    <w:rsid w:val="006837C9"/>
    <w:rsid w:val="0068381C"/>
    <w:rsid w:val="006838AC"/>
    <w:rsid w:val="006838CA"/>
    <w:rsid w:val="00683A0B"/>
    <w:rsid w:val="00683A1D"/>
    <w:rsid w:val="00683A8E"/>
    <w:rsid w:val="00683A90"/>
    <w:rsid w:val="00683B0E"/>
    <w:rsid w:val="00683B4C"/>
    <w:rsid w:val="00683B4E"/>
    <w:rsid w:val="00683BBE"/>
    <w:rsid w:val="00683C12"/>
    <w:rsid w:val="00683D92"/>
    <w:rsid w:val="00684074"/>
    <w:rsid w:val="00684166"/>
    <w:rsid w:val="006841C7"/>
    <w:rsid w:val="00684266"/>
    <w:rsid w:val="006843D2"/>
    <w:rsid w:val="0068442B"/>
    <w:rsid w:val="00684436"/>
    <w:rsid w:val="006844E1"/>
    <w:rsid w:val="00684557"/>
    <w:rsid w:val="0068456D"/>
    <w:rsid w:val="006846F7"/>
    <w:rsid w:val="006847F9"/>
    <w:rsid w:val="0068481E"/>
    <w:rsid w:val="0068482E"/>
    <w:rsid w:val="00684885"/>
    <w:rsid w:val="0068488D"/>
    <w:rsid w:val="00684A65"/>
    <w:rsid w:val="00684AFD"/>
    <w:rsid w:val="00684B4F"/>
    <w:rsid w:val="00684BD3"/>
    <w:rsid w:val="00684BFF"/>
    <w:rsid w:val="00684CD3"/>
    <w:rsid w:val="00684D82"/>
    <w:rsid w:val="00684E19"/>
    <w:rsid w:val="00684E25"/>
    <w:rsid w:val="00684F31"/>
    <w:rsid w:val="00684FDD"/>
    <w:rsid w:val="00685033"/>
    <w:rsid w:val="006850E1"/>
    <w:rsid w:val="006850F9"/>
    <w:rsid w:val="006851A9"/>
    <w:rsid w:val="006851DD"/>
    <w:rsid w:val="006851E0"/>
    <w:rsid w:val="0068526C"/>
    <w:rsid w:val="0068528D"/>
    <w:rsid w:val="00685350"/>
    <w:rsid w:val="00685438"/>
    <w:rsid w:val="0068546C"/>
    <w:rsid w:val="00685483"/>
    <w:rsid w:val="00685498"/>
    <w:rsid w:val="0068558E"/>
    <w:rsid w:val="006855BA"/>
    <w:rsid w:val="0068563A"/>
    <w:rsid w:val="00685668"/>
    <w:rsid w:val="006859E0"/>
    <w:rsid w:val="006859E9"/>
    <w:rsid w:val="00685A00"/>
    <w:rsid w:val="00685A9A"/>
    <w:rsid w:val="00685AE7"/>
    <w:rsid w:val="00685B0B"/>
    <w:rsid w:val="00685B47"/>
    <w:rsid w:val="00685B7B"/>
    <w:rsid w:val="00685C16"/>
    <w:rsid w:val="00685D45"/>
    <w:rsid w:val="00685E44"/>
    <w:rsid w:val="00685E5F"/>
    <w:rsid w:val="00685EFD"/>
    <w:rsid w:val="00685FD2"/>
    <w:rsid w:val="00686027"/>
    <w:rsid w:val="00686051"/>
    <w:rsid w:val="0068607F"/>
    <w:rsid w:val="006861B0"/>
    <w:rsid w:val="0068621F"/>
    <w:rsid w:val="00686263"/>
    <w:rsid w:val="006862D8"/>
    <w:rsid w:val="006862EB"/>
    <w:rsid w:val="00686314"/>
    <w:rsid w:val="00686332"/>
    <w:rsid w:val="00686381"/>
    <w:rsid w:val="00686410"/>
    <w:rsid w:val="00686481"/>
    <w:rsid w:val="00686528"/>
    <w:rsid w:val="0068663F"/>
    <w:rsid w:val="0068677E"/>
    <w:rsid w:val="006868B6"/>
    <w:rsid w:val="006868B8"/>
    <w:rsid w:val="0068698A"/>
    <w:rsid w:val="00686A7D"/>
    <w:rsid w:val="00686AAD"/>
    <w:rsid w:val="00686B29"/>
    <w:rsid w:val="00686B72"/>
    <w:rsid w:val="00686C5D"/>
    <w:rsid w:val="00686E6F"/>
    <w:rsid w:val="00686EB5"/>
    <w:rsid w:val="00686F31"/>
    <w:rsid w:val="00686F55"/>
    <w:rsid w:val="00687011"/>
    <w:rsid w:val="00687162"/>
    <w:rsid w:val="006871C5"/>
    <w:rsid w:val="006871F9"/>
    <w:rsid w:val="00687214"/>
    <w:rsid w:val="006873C0"/>
    <w:rsid w:val="006873C3"/>
    <w:rsid w:val="006874B9"/>
    <w:rsid w:val="00687533"/>
    <w:rsid w:val="00687605"/>
    <w:rsid w:val="00687687"/>
    <w:rsid w:val="006876BC"/>
    <w:rsid w:val="0068775E"/>
    <w:rsid w:val="00687867"/>
    <w:rsid w:val="006879F1"/>
    <w:rsid w:val="00687A3A"/>
    <w:rsid w:val="00687A66"/>
    <w:rsid w:val="00687AC9"/>
    <w:rsid w:val="00687B11"/>
    <w:rsid w:val="00687B1E"/>
    <w:rsid w:val="00687B68"/>
    <w:rsid w:val="00687C4B"/>
    <w:rsid w:val="00687CC0"/>
    <w:rsid w:val="00687D31"/>
    <w:rsid w:val="00687D3D"/>
    <w:rsid w:val="00687D46"/>
    <w:rsid w:val="00687DB5"/>
    <w:rsid w:val="00687E70"/>
    <w:rsid w:val="00687E84"/>
    <w:rsid w:val="00687EE9"/>
    <w:rsid w:val="00687FBE"/>
    <w:rsid w:val="00687FE7"/>
    <w:rsid w:val="00687FF3"/>
    <w:rsid w:val="00690077"/>
    <w:rsid w:val="006900E3"/>
    <w:rsid w:val="00690124"/>
    <w:rsid w:val="0069016A"/>
    <w:rsid w:val="006901EC"/>
    <w:rsid w:val="00690225"/>
    <w:rsid w:val="00690226"/>
    <w:rsid w:val="0069026A"/>
    <w:rsid w:val="00690352"/>
    <w:rsid w:val="0069046D"/>
    <w:rsid w:val="006904A4"/>
    <w:rsid w:val="006904F8"/>
    <w:rsid w:val="00690592"/>
    <w:rsid w:val="0069072D"/>
    <w:rsid w:val="00690877"/>
    <w:rsid w:val="006908C2"/>
    <w:rsid w:val="00690918"/>
    <w:rsid w:val="006909B2"/>
    <w:rsid w:val="00690A0D"/>
    <w:rsid w:val="00690A12"/>
    <w:rsid w:val="00690A82"/>
    <w:rsid w:val="00690A8C"/>
    <w:rsid w:val="00690B0F"/>
    <w:rsid w:val="00690B7F"/>
    <w:rsid w:val="00690E62"/>
    <w:rsid w:val="0069102E"/>
    <w:rsid w:val="0069111C"/>
    <w:rsid w:val="0069124C"/>
    <w:rsid w:val="00691285"/>
    <w:rsid w:val="0069129D"/>
    <w:rsid w:val="00691327"/>
    <w:rsid w:val="0069132C"/>
    <w:rsid w:val="006913BB"/>
    <w:rsid w:val="006913D6"/>
    <w:rsid w:val="006913F8"/>
    <w:rsid w:val="00691408"/>
    <w:rsid w:val="006915F5"/>
    <w:rsid w:val="0069161C"/>
    <w:rsid w:val="006916F3"/>
    <w:rsid w:val="00691738"/>
    <w:rsid w:val="00691751"/>
    <w:rsid w:val="00691764"/>
    <w:rsid w:val="00691812"/>
    <w:rsid w:val="00691AAC"/>
    <w:rsid w:val="00691B1A"/>
    <w:rsid w:val="00691B35"/>
    <w:rsid w:val="00691C5D"/>
    <w:rsid w:val="00691D8F"/>
    <w:rsid w:val="00691DE1"/>
    <w:rsid w:val="00691E48"/>
    <w:rsid w:val="00691E57"/>
    <w:rsid w:val="00691E84"/>
    <w:rsid w:val="00691F66"/>
    <w:rsid w:val="00691F94"/>
    <w:rsid w:val="00691FB3"/>
    <w:rsid w:val="00692033"/>
    <w:rsid w:val="0069208B"/>
    <w:rsid w:val="0069236E"/>
    <w:rsid w:val="0069237C"/>
    <w:rsid w:val="00692443"/>
    <w:rsid w:val="00692535"/>
    <w:rsid w:val="0069254C"/>
    <w:rsid w:val="0069262A"/>
    <w:rsid w:val="00692656"/>
    <w:rsid w:val="00692845"/>
    <w:rsid w:val="00692912"/>
    <w:rsid w:val="00692920"/>
    <w:rsid w:val="0069299A"/>
    <w:rsid w:val="006929CA"/>
    <w:rsid w:val="00692A40"/>
    <w:rsid w:val="00692B17"/>
    <w:rsid w:val="00692B78"/>
    <w:rsid w:val="00692B99"/>
    <w:rsid w:val="00692BC9"/>
    <w:rsid w:val="00692BDD"/>
    <w:rsid w:val="00692C84"/>
    <w:rsid w:val="00692D0D"/>
    <w:rsid w:val="00692E75"/>
    <w:rsid w:val="00692E77"/>
    <w:rsid w:val="00692FA7"/>
    <w:rsid w:val="006930A7"/>
    <w:rsid w:val="00693183"/>
    <w:rsid w:val="00693220"/>
    <w:rsid w:val="0069326F"/>
    <w:rsid w:val="0069329B"/>
    <w:rsid w:val="006932B9"/>
    <w:rsid w:val="0069345E"/>
    <w:rsid w:val="0069351F"/>
    <w:rsid w:val="00693522"/>
    <w:rsid w:val="0069372D"/>
    <w:rsid w:val="00693779"/>
    <w:rsid w:val="00693807"/>
    <w:rsid w:val="006938F7"/>
    <w:rsid w:val="006939FB"/>
    <w:rsid w:val="00693A8C"/>
    <w:rsid w:val="00693A90"/>
    <w:rsid w:val="00693AAE"/>
    <w:rsid w:val="00693ABB"/>
    <w:rsid w:val="00693AC1"/>
    <w:rsid w:val="00693AEE"/>
    <w:rsid w:val="00693B12"/>
    <w:rsid w:val="00693C9F"/>
    <w:rsid w:val="00693D0E"/>
    <w:rsid w:val="00693E1F"/>
    <w:rsid w:val="0069403C"/>
    <w:rsid w:val="00694243"/>
    <w:rsid w:val="006943B7"/>
    <w:rsid w:val="006943E0"/>
    <w:rsid w:val="00694446"/>
    <w:rsid w:val="0069446B"/>
    <w:rsid w:val="00694493"/>
    <w:rsid w:val="006944FB"/>
    <w:rsid w:val="00694675"/>
    <w:rsid w:val="006946E4"/>
    <w:rsid w:val="006947A6"/>
    <w:rsid w:val="006947D4"/>
    <w:rsid w:val="006947DE"/>
    <w:rsid w:val="006948F7"/>
    <w:rsid w:val="0069492C"/>
    <w:rsid w:val="0069498D"/>
    <w:rsid w:val="00694A5B"/>
    <w:rsid w:val="00694A88"/>
    <w:rsid w:val="00694AA9"/>
    <w:rsid w:val="00694C0A"/>
    <w:rsid w:val="00694C17"/>
    <w:rsid w:val="00694C76"/>
    <w:rsid w:val="00694CF9"/>
    <w:rsid w:val="00694D20"/>
    <w:rsid w:val="00694D47"/>
    <w:rsid w:val="00694DEB"/>
    <w:rsid w:val="00694DEE"/>
    <w:rsid w:val="00694E63"/>
    <w:rsid w:val="00694E64"/>
    <w:rsid w:val="00694E93"/>
    <w:rsid w:val="00694E9A"/>
    <w:rsid w:val="00694F5F"/>
    <w:rsid w:val="00694F8A"/>
    <w:rsid w:val="0069506E"/>
    <w:rsid w:val="006950DB"/>
    <w:rsid w:val="006950FB"/>
    <w:rsid w:val="00695105"/>
    <w:rsid w:val="0069519B"/>
    <w:rsid w:val="006951B4"/>
    <w:rsid w:val="00695246"/>
    <w:rsid w:val="0069526B"/>
    <w:rsid w:val="00695320"/>
    <w:rsid w:val="0069540B"/>
    <w:rsid w:val="00695422"/>
    <w:rsid w:val="00695430"/>
    <w:rsid w:val="00695552"/>
    <w:rsid w:val="006955B1"/>
    <w:rsid w:val="00695609"/>
    <w:rsid w:val="00695640"/>
    <w:rsid w:val="00695707"/>
    <w:rsid w:val="0069570E"/>
    <w:rsid w:val="00695753"/>
    <w:rsid w:val="00695811"/>
    <w:rsid w:val="006958FC"/>
    <w:rsid w:val="00695972"/>
    <w:rsid w:val="00695A8F"/>
    <w:rsid w:val="00695B09"/>
    <w:rsid w:val="00695B5E"/>
    <w:rsid w:val="00695B78"/>
    <w:rsid w:val="00695C23"/>
    <w:rsid w:val="00695C58"/>
    <w:rsid w:val="00695C9A"/>
    <w:rsid w:val="00695D02"/>
    <w:rsid w:val="00695DBF"/>
    <w:rsid w:val="00695DCF"/>
    <w:rsid w:val="00695EB7"/>
    <w:rsid w:val="00695FB1"/>
    <w:rsid w:val="00696098"/>
    <w:rsid w:val="006960BD"/>
    <w:rsid w:val="00696231"/>
    <w:rsid w:val="0069623D"/>
    <w:rsid w:val="0069628B"/>
    <w:rsid w:val="00696488"/>
    <w:rsid w:val="006964FA"/>
    <w:rsid w:val="00696540"/>
    <w:rsid w:val="00696595"/>
    <w:rsid w:val="006965BE"/>
    <w:rsid w:val="00696642"/>
    <w:rsid w:val="00696704"/>
    <w:rsid w:val="006967D7"/>
    <w:rsid w:val="006967F4"/>
    <w:rsid w:val="00696834"/>
    <w:rsid w:val="006968E5"/>
    <w:rsid w:val="00696981"/>
    <w:rsid w:val="00696A17"/>
    <w:rsid w:val="00696AA9"/>
    <w:rsid w:val="00696B3C"/>
    <w:rsid w:val="00696B5A"/>
    <w:rsid w:val="00696BA5"/>
    <w:rsid w:val="00696C27"/>
    <w:rsid w:val="00696C38"/>
    <w:rsid w:val="00696CBF"/>
    <w:rsid w:val="00696DDF"/>
    <w:rsid w:val="00696F4F"/>
    <w:rsid w:val="00697121"/>
    <w:rsid w:val="00697180"/>
    <w:rsid w:val="0069718B"/>
    <w:rsid w:val="006972BA"/>
    <w:rsid w:val="006972E1"/>
    <w:rsid w:val="00697433"/>
    <w:rsid w:val="00697435"/>
    <w:rsid w:val="00697514"/>
    <w:rsid w:val="00697623"/>
    <w:rsid w:val="0069765A"/>
    <w:rsid w:val="006976CA"/>
    <w:rsid w:val="0069778F"/>
    <w:rsid w:val="006978B9"/>
    <w:rsid w:val="00697B09"/>
    <w:rsid w:val="00697B30"/>
    <w:rsid w:val="00697B51"/>
    <w:rsid w:val="00697B5B"/>
    <w:rsid w:val="00697CCA"/>
    <w:rsid w:val="00697D01"/>
    <w:rsid w:val="00697EE2"/>
    <w:rsid w:val="00697FC8"/>
    <w:rsid w:val="006A0276"/>
    <w:rsid w:val="006A0287"/>
    <w:rsid w:val="006A0363"/>
    <w:rsid w:val="006A0414"/>
    <w:rsid w:val="006A0484"/>
    <w:rsid w:val="006A04D9"/>
    <w:rsid w:val="006A0528"/>
    <w:rsid w:val="006A05C8"/>
    <w:rsid w:val="006A05DD"/>
    <w:rsid w:val="006A0611"/>
    <w:rsid w:val="006A06DD"/>
    <w:rsid w:val="006A06F7"/>
    <w:rsid w:val="006A0740"/>
    <w:rsid w:val="006A0849"/>
    <w:rsid w:val="006A0969"/>
    <w:rsid w:val="006A0A5F"/>
    <w:rsid w:val="006A0A8D"/>
    <w:rsid w:val="006A0BC1"/>
    <w:rsid w:val="006A0C73"/>
    <w:rsid w:val="006A0D2A"/>
    <w:rsid w:val="006A0DE2"/>
    <w:rsid w:val="006A0E07"/>
    <w:rsid w:val="006A0E75"/>
    <w:rsid w:val="006A1070"/>
    <w:rsid w:val="006A1174"/>
    <w:rsid w:val="006A119F"/>
    <w:rsid w:val="006A128A"/>
    <w:rsid w:val="006A12B3"/>
    <w:rsid w:val="006A12BE"/>
    <w:rsid w:val="006A136A"/>
    <w:rsid w:val="006A1377"/>
    <w:rsid w:val="006A1500"/>
    <w:rsid w:val="006A1593"/>
    <w:rsid w:val="006A15B0"/>
    <w:rsid w:val="006A1602"/>
    <w:rsid w:val="006A162B"/>
    <w:rsid w:val="006A1872"/>
    <w:rsid w:val="006A193D"/>
    <w:rsid w:val="006A1A2E"/>
    <w:rsid w:val="006A1A76"/>
    <w:rsid w:val="006A1A91"/>
    <w:rsid w:val="006A1B14"/>
    <w:rsid w:val="006A1B27"/>
    <w:rsid w:val="006A1BB7"/>
    <w:rsid w:val="006A1D4F"/>
    <w:rsid w:val="006A1DBB"/>
    <w:rsid w:val="006A1DC4"/>
    <w:rsid w:val="006A1E43"/>
    <w:rsid w:val="006A1F10"/>
    <w:rsid w:val="006A1F99"/>
    <w:rsid w:val="006A20B9"/>
    <w:rsid w:val="006A210A"/>
    <w:rsid w:val="006A2188"/>
    <w:rsid w:val="006A2248"/>
    <w:rsid w:val="006A22AE"/>
    <w:rsid w:val="006A22F0"/>
    <w:rsid w:val="006A237F"/>
    <w:rsid w:val="006A2391"/>
    <w:rsid w:val="006A23C1"/>
    <w:rsid w:val="006A24EF"/>
    <w:rsid w:val="006A258D"/>
    <w:rsid w:val="006A25BE"/>
    <w:rsid w:val="006A277F"/>
    <w:rsid w:val="006A284F"/>
    <w:rsid w:val="006A2853"/>
    <w:rsid w:val="006A28AC"/>
    <w:rsid w:val="006A293C"/>
    <w:rsid w:val="006A29DF"/>
    <w:rsid w:val="006A2AFF"/>
    <w:rsid w:val="006A2BC7"/>
    <w:rsid w:val="006A2C43"/>
    <w:rsid w:val="006A2C6C"/>
    <w:rsid w:val="006A2D85"/>
    <w:rsid w:val="006A2D91"/>
    <w:rsid w:val="006A2E5C"/>
    <w:rsid w:val="006A2E9F"/>
    <w:rsid w:val="006A2EDB"/>
    <w:rsid w:val="006A311E"/>
    <w:rsid w:val="006A31DD"/>
    <w:rsid w:val="006A31F1"/>
    <w:rsid w:val="006A321D"/>
    <w:rsid w:val="006A3225"/>
    <w:rsid w:val="006A328A"/>
    <w:rsid w:val="006A32C3"/>
    <w:rsid w:val="006A337F"/>
    <w:rsid w:val="006A34A8"/>
    <w:rsid w:val="006A34C1"/>
    <w:rsid w:val="006A352D"/>
    <w:rsid w:val="006A3539"/>
    <w:rsid w:val="006A35E5"/>
    <w:rsid w:val="006A35EC"/>
    <w:rsid w:val="006A362C"/>
    <w:rsid w:val="006A3692"/>
    <w:rsid w:val="006A3693"/>
    <w:rsid w:val="006A3716"/>
    <w:rsid w:val="006A3739"/>
    <w:rsid w:val="006A3A0B"/>
    <w:rsid w:val="006A3A19"/>
    <w:rsid w:val="006A3AC8"/>
    <w:rsid w:val="006A3B17"/>
    <w:rsid w:val="006A3B1D"/>
    <w:rsid w:val="006A3B41"/>
    <w:rsid w:val="006A3B9F"/>
    <w:rsid w:val="006A3C33"/>
    <w:rsid w:val="006A3CB3"/>
    <w:rsid w:val="006A3E85"/>
    <w:rsid w:val="006A3ECD"/>
    <w:rsid w:val="006A3F53"/>
    <w:rsid w:val="006A3FBF"/>
    <w:rsid w:val="006A4182"/>
    <w:rsid w:val="006A41FB"/>
    <w:rsid w:val="006A422A"/>
    <w:rsid w:val="006A4286"/>
    <w:rsid w:val="006A42D3"/>
    <w:rsid w:val="006A4359"/>
    <w:rsid w:val="006A442B"/>
    <w:rsid w:val="006A4756"/>
    <w:rsid w:val="006A480A"/>
    <w:rsid w:val="006A48DD"/>
    <w:rsid w:val="006A4907"/>
    <w:rsid w:val="006A492D"/>
    <w:rsid w:val="006A4953"/>
    <w:rsid w:val="006A4968"/>
    <w:rsid w:val="006A4A12"/>
    <w:rsid w:val="006A4A68"/>
    <w:rsid w:val="006A4AB9"/>
    <w:rsid w:val="006A4B21"/>
    <w:rsid w:val="006A4B4E"/>
    <w:rsid w:val="006A4BE1"/>
    <w:rsid w:val="006A4CB2"/>
    <w:rsid w:val="006A4D62"/>
    <w:rsid w:val="006A4DC9"/>
    <w:rsid w:val="006A4DCD"/>
    <w:rsid w:val="006A4E98"/>
    <w:rsid w:val="006A4EF3"/>
    <w:rsid w:val="006A4F7A"/>
    <w:rsid w:val="006A4F8C"/>
    <w:rsid w:val="006A5229"/>
    <w:rsid w:val="006A52A2"/>
    <w:rsid w:val="006A5385"/>
    <w:rsid w:val="006A53A3"/>
    <w:rsid w:val="006A53A6"/>
    <w:rsid w:val="006A548F"/>
    <w:rsid w:val="006A5571"/>
    <w:rsid w:val="006A55C5"/>
    <w:rsid w:val="006A5618"/>
    <w:rsid w:val="006A561A"/>
    <w:rsid w:val="006A5820"/>
    <w:rsid w:val="006A5906"/>
    <w:rsid w:val="006A5959"/>
    <w:rsid w:val="006A5A8A"/>
    <w:rsid w:val="006A5AA7"/>
    <w:rsid w:val="006A5BC1"/>
    <w:rsid w:val="006A5C7E"/>
    <w:rsid w:val="006A5CCF"/>
    <w:rsid w:val="006A5DA2"/>
    <w:rsid w:val="006A5F6B"/>
    <w:rsid w:val="006A6033"/>
    <w:rsid w:val="006A611B"/>
    <w:rsid w:val="006A630C"/>
    <w:rsid w:val="006A6381"/>
    <w:rsid w:val="006A6386"/>
    <w:rsid w:val="006A63BE"/>
    <w:rsid w:val="006A64C9"/>
    <w:rsid w:val="006A6547"/>
    <w:rsid w:val="006A6548"/>
    <w:rsid w:val="006A656C"/>
    <w:rsid w:val="006A65B7"/>
    <w:rsid w:val="006A669C"/>
    <w:rsid w:val="006A6746"/>
    <w:rsid w:val="006A6806"/>
    <w:rsid w:val="006A68D2"/>
    <w:rsid w:val="006A68DD"/>
    <w:rsid w:val="006A6ABD"/>
    <w:rsid w:val="006A6AE6"/>
    <w:rsid w:val="006A6B15"/>
    <w:rsid w:val="006A6B16"/>
    <w:rsid w:val="006A6BAA"/>
    <w:rsid w:val="006A6BB2"/>
    <w:rsid w:val="006A6BC9"/>
    <w:rsid w:val="006A6D25"/>
    <w:rsid w:val="006A6E4E"/>
    <w:rsid w:val="006A6F47"/>
    <w:rsid w:val="006A7088"/>
    <w:rsid w:val="006A716F"/>
    <w:rsid w:val="006A720F"/>
    <w:rsid w:val="006A7282"/>
    <w:rsid w:val="006A73A1"/>
    <w:rsid w:val="006A74D6"/>
    <w:rsid w:val="006A74F2"/>
    <w:rsid w:val="006A75A1"/>
    <w:rsid w:val="006A763A"/>
    <w:rsid w:val="006A764E"/>
    <w:rsid w:val="006A76B1"/>
    <w:rsid w:val="006A7730"/>
    <w:rsid w:val="006A776A"/>
    <w:rsid w:val="006A78A4"/>
    <w:rsid w:val="006A7921"/>
    <w:rsid w:val="006A7935"/>
    <w:rsid w:val="006A7976"/>
    <w:rsid w:val="006A797C"/>
    <w:rsid w:val="006A79A1"/>
    <w:rsid w:val="006A7A5D"/>
    <w:rsid w:val="006A7A9A"/>
    <w:rsid w:val="006A7B25"/>
    <w:rsid w:val="006A7B41"/>
    <w:rsid w:val="006A7C7D"/>
    <w:rsid w:val="006A7CFD"/>
    <w:rsid w:val="006A7DA7"/>
    <w:rsid w:val="006A7DF9"/>
    <w:rsid w:val="006A7E96"/>
    <w:rsid w:val="006A7F95"/>
    <w:rsid w:val="006A7FA6"/>
    <w:rsid w:val="006A7FD4"/>
    <w:rsid w:val="006B00E0"/>
    <w:rsid w:val="006B012E"/>
    <w:rsid w:val="006B014E"/>
    <w:rsid w:val="006B01AD"/>
    <w:rsid w:val="006B023B"/>
    <w:rsid w:val="006B024D"/>
    <w:rsid w:val="006B0383"/>
    <w:rsid w:val="006B0414"/>
    <w:rsid w:val="006B043B"/>
    <w:rsid w:val="006B04E6"/>
    <w:rsid w:val="006B0500"/>
    <w:rsid w:val="006B0508"/>
    <w:rsid w:val="006B0533"/>
    <w:rsid w:val="006B066C"/>
    <w:rsid w:val="006B0A94"/>
    <w:rsid w:val="006B0AF1"/>
    <w:rsid w:val="006B0B0E"/>
    <w:rsid w:val="006B0B67"/>
    <w:rsid w:val="006B0C68"/>
    <w:rsid w:val="006B0C91"/>
    <w:rsid w:val="006B0CCC"/>
    <w:rsid w:val="006B0D46"/>
    <w:rsid w:val="006B0D62"/>
    <w:rsid w:val="006B0E98"/>
    <w:rsid w:val="006B0EBE"/>
    <w:rsid w:val="006B0FD4"/>
    <w:rsid w:val="006B1041"/>
    <w:rsid w:val="006B10C3"/>
    <w:rsid w:val="006B12BD"/>
    <w:rsid w:val="006B12D1"/>
    <w:rsid w:val="006B150C"/>
    <w:rsid w:val="006B1598"/>
    <w:rsid w:val="006B16AF"/>
    <w:rsid w:val="006B16D8"/>
    <w:rsid w:val="006B1762"/>
    <w:rsid w:val="006B18F1"/>
    <w:rsid w:val="006B199C"/>
    <w:rsid w:val="006B1A1B"/>
    <w:rsid w:val="006B1A7E"/>
    <w:rsid w:val="006B1AB3"/>
    <w:rsid w:val="006B1B1F"/>
    <w:rsid w:val="006B1D2E"/>
    <w:rsid w:val="006B1F45"/>
    <w:rsid w:val="006B1F99"/>
    <w:rsid w:val="006B1F9D"/>
    <w:rsid w:val="006B2019"/>
    <w:rsid w:val="006B20A3"/>
    <w:rsid w:val="006B218A"/>
    <w:rsid w:val="006B228C"/>
    <w:rsid w:val="006B228E"/>
    <w:rsid w:val="006B2311"/>
    <w:rsid w:val="006B25E6"/>
    <w:rsid w:val="006B2646"/>
    <w:rsid w:val="006B26CB"/>
    <w:rsid w:val="006B26D8"/>
    <w:rsid w:val="006B2729"/>
    <w:rsid w:val="006B2783"/>
    <w:rsid w:val="006B2835"/>
    <w:rsid w:val="006B28A1"/>
    <w:rsid w:val="006B28F7"/>
    <w:rsid w:val="006B29D7"/>
    <w:rsid w:val="006B2A02"/>
    <w:rsid w:val="006B2A2A"/>
    <w:rsid w:val="006B2A3C"/>
    <w:rsid w:val="006B2AD3"/>
    <w:rsid w:val="006B2BC1"/>
    <w:rsid w:val="006B2C49"/>
    <w:rsid w:val="006B2C83"/>
    <w:rsid w:val="006B2DB0"/>
    <w:rsid w:val="006B2DC5"/>
    <w:rsid w:val="006B2DCD"/>
    <w:rsid w:val="006B2EF1"/>
    <w:rsid w:val="006B2F38"/>
    <w:rsid w:val="006B3300"/>
    <w:rsid w:val="006B3390"/>
    <w:rsid w:val="006B3444"/>
    <w:rsid w:val="006B35B0"/>
    <w:rsid w:val="006B3695"/>
    <w:rsid w:val="006B3749"/>
    <w:rsid w:val="006B37F9"/>
    <w:rsid w:val="006B396F"/>
    <w:rsid w:val="006B3A03"/>
    <w:rsid w:val="006B3A63"/>
    <w:rsid w:val="006B3CA1"/>
    <w:rsid w:val="006B3CEE"/>
    <w:rsid w:val="006B3D1D"/>
    <w:rsid w:val="006B3D55"/>
    <w:rsid w:val="006B3DA7"/>
    <w:rsid w:val="006B3DC7"/>
    <w:rsid w:val="006B3DFC"/>
    <w:rsid w:val="006B3E1C"/>
    <w:rsid w:val="006B3E2F"/>
    <w:rsid w:val="006B3EBF"/>
    <w:rsid w:val="006B3F14"/>
    <w:rsid w:val="006B3F22"/>
    <w:rsid w:val="006B3F25"/>
    <w:rsid w:val="006B3FE8"/>
    <w:rsid w:val="006B4045"/>
    <w:rsid w:val="006B40CF"/>
    <w:rsid w:val="006B40D3"/>
    <w:rsid w:val="006B4176"/>
    <w:rsid w:val="006B42E4"/>
    <w:rsid w:val="006B4465"/>
    <w:rsid w:val="006B4495"/>
    <w:rsid w:val="006B44BA"/>
    <w:rsid w:val="006B45F1"/>
    <w:rsid w:val="006B465C"/>
    <w:rsid w:val="006B46A6"/>
    <w:rsid w:val="006B4739"/>
    <w:rsid w:val="006B475F"/>
    <w:rsid w:val="006B4771"/>
    <w:rsid w:val="006B4810"/>
    <w:rsid w:val="006B4824"/>
    <w:rsid w:val="006B487E"/>
    <w:rsid w:val="006B491C"/>
    <w:rsid w:val="006B49B8"/>
    <w:rsid w:val="006B4A3F"/>
    <w:rsid w:val="006B4BD1"/>
    <w:rsid w:val="006B4C89"/>
    <w:rsid w:val="006B4CFB"/>
    <w:rsid w:val="006B4CFD"/>
    <w:rsid w:val="006B4D46"/>
    <w:rsid w:val="006B4D94"/>
    <w:rsid w:val="006B4E22"/>
    <w:rsid w:val="006B4E78"/>
    <w:rsid w:val="006B4F0C"/>
    <w:rsid w:val="006B4F79"/>
    <w:rsid w:val="006B5063"/>
    <w:rsid w:val="006B50AF"/>
    <w:rsid w:val="006B5186"/>
    <w:rsid w:val="006B51C4"/>
    <w:rsid w:val="006B51D0"/>
    <w:rsid w:val="006B52AC"/>
    <w:rsid w:val="006B52AE"/>
    <w:rsid w:val="006B52B4"/>
    <w:rsid w:val="006B53BA"/>
    <w:rsid w:val="006B53CA"/>
    <w:rsid w:val="006B549B"/>
    <w:rsid w:val="006B562F"/>
    <w:rsid w:val="006B568A"/>
    <w:rsid w:val="006B572D"/>
    <w:rsid w:val="006B579C"/>
    <w:rsid w:val="006B594C"/>
    <w:rsid w:val="006B5957"/>
    <w:rsid w:val="006B5A3E"/>
    <w:rsid w:val="006B5AB6"/>
    <w:rsid w:val="006B5B28"/>
    <w:rsid w:val="006B5C4E"/>
    <w:rsid w:val="006B5D7B"/>
    <w:rsid w:val="006B5E4B"/>
    <w:rsid w:val="006B5EE8"/>
    <w:rsid w:val="006B5F77"/>
    <w:rsid w:val="006B5FA2"/>
    <w:rsid w:val="006B6042"/>
    <w:rsid w:val="006B604A"/>
    <w:rsid w:val="006B6147"/>
    <w:rsid w:val="006B6317"/>
    <w:rsid w:val="006B66F5"/>
    <w:rsid w:val="006B6723"/>
    <w:rsid w:val="006B672C"/>
    <w:rsid w:val="006B6875"/>
    <w:rsid w:val="006B68FB"/>
    <w:rsid w:val="006B6A27"/>
    <w:rsid w:val="006B6A80"/>
    <w:rsid w:val="006B6BA9"/>
    <w:rsid w:val="006B6BEF"/>
    <w:rsid w:val="006B6C6D"/>
    <w:rsid w:val="006B6D0B"/>
    <w:rsid w:val="006B6E4F"/>
    <w:rsid w:val="006B6E68"/>
    <w:rsid w:val="006B6E8D"/>
    <w:rsid w:val="006B6EBD"/>
    <w:rsid w:val="006B6F34"/>
    <w:rsid w:val="006B6F61"/>
    <w:rsid w:val="006B6FB2"/>
    <w:rsid w:val="006B7063"/>
    <w:rsid w:val="006B715F"/>
    <w:rsid w:val="006B71E9"/>
    <w:rsid w:val="006B71F6"/>
    <w:rsid w:val="006B71FD"/>
    <w:rsid w:val="006B724C"/>
    <w:rsid w:val="006B72FD"/>
    <w:rsid w:val="006B731F"/>
    <w:rsid w:val="006B73A2"/>
    <w:rsid w:val="006B73D9"/>
    <w:rsid w:val="006B73FB"/>
    <w:rsid w:val="006B7589"/>
    <w:rsid w:val="006B75C6"/>
    <w:rsid w:val="006B7741"/>
    <w:rsid w:val="006B7766"/>
    <w:rsid w:val="006B7792"/>
    <w:rsid w:val="006B78D2"/>
    <w:rsid w:val="006B791F"/>
    <w:rsid w:val="006B7A24"/>
    <w:rsid w:val="006B7ADB"/>
    <w:rsid w:val="006B7BB4"/>
    <w:rsid w:val="006B7BC3"/>
    <w:rsid w:val="006B7C4E"/>
    <w:rsid w:val="006B7D03"/>
    <w:rsid w:val="006B7D42"/>
    <w:rsid w:val="006B7D78"/>
    <w:rsid w:val="006B7DB0"/>
    <w:rsid w:val="006B7FB5"/>
    <w:rsid w:val="006C00CA"/>
    <w:rsid w:val="006C01BF"/>
    <w:rsid w:val="006C02C5"/>
    <w:rsid w:val="006C030F"/>
    <w:rsid w:val="006C03AA"/>
    <w:rsid w:val="006C054C"/>
    <w:rsid w:val="006C05D2"/>
    <w:rsid w:val="006C07CF"/>
    <w:rsid w:val="006C082C"/>
    <w:rsid w:val="006C0853"/>
    <w:rsid w:val="006C08DA"/>
    <w:rsid w:val="006C08F3"/>
    <w:rsid w:val="006C0946"/>
    <w:rsid w:val="006C094F"/>
    <w:rsid w:val="006C09DE"/>
    <w:rsid w:val="006C0A7B"/>
    <w:rsid w:val="006C0A9C"/>
    <w:rsid w:val="006C0B0C"/>
    <w:rsid w:val="006C0B5F"/>
    <w:rsid w:val="006C0B64"/>
    <w:rsid w:val="006C0C9B"/>
    <w:rsid w:val="006C0D2A"/>
    <w:rsid w:val="006C0D41"/>
    <w:rsid w:val="006C0E2A"/>
    <w:rsid w:val="006C0E83"/>
    <w:rsid w:val="006C0FB9"/>
    <w:rsid w:val="006C0FFC"/>
    <w:rsid w:val="006C100D"/>
    <w:rsid w:val="006C108F"/>
    <w:rsid w:val="006C12C5"/>
    <w:rsid w:val="006C1364"/>
    <w:rsid w:val="006C1375"/>
    <w:rsid w:val="006C13F1"/>
    <w:rsid w:val="006C1490"/>
    <w:rsid w:val="006C149D"/>
    <w:rsid w:val="006C14FD"/>
    <w:rsid w:val="006C1598"/>
    <w:rsid w:val="006C15CB"/>
    <w:rsid w:val="006C1676"/>
    <w:rsid w:val="006C1707"/>
    <w:rsid w:val="006C1837"/>
    <w:rsid w:val="006C19E3"/>
    <w:rsid w:val="006C1A34"/>
    <w:rsid w:val="006C1AA0"/>
    <w:rsid w:val="006C1AE6"/>
    <w:rsid w:val="006C1B5D"/>
    <w:rsid w:val="006C1B80"/>
    <w:rsid w:val="006C1CC5"/>
    <w:rsid w:val="006C1D0A"/>
    <w:rsid w:val="006C1D3A"/>
    <w:rsid w:val="006C1DA2"/>
    <w:rsid w:val="006C1F11"/>
    <w:rsid w:val="006C1FB4"/>
    <w:rsid w:val="006C201E"/>
    <w:rsid w:val="006C2046"/>
    <w:rsid w:val="006C2227"/>
    <w:rsid w:val="006C2234"/>
    <w:rsid w:val="006C229E"/>
    <w:rsid w:val="006C22A7"/>
    <w:rsid w:val="006C22D0"/>
    <w:rsid w:val="006C22EA"/>
    <w:rsid w:val="006C2497"/>
    <w:rsid w:val="006C25A7"/>
    <w:rsid w:val="006C260E"/>
    <w:rsid w:val="006C2646"/>
    <w:rsid w:val="006C2660"/>
    <w:rsid w:val="006C2684"/>
    <w:rsid w:val="006C2731"/>
    <w:rsid w:val="006C2817"/>
    <w:rsid w:val="006C284C"/>
    <w:rsid w:val="006C28A1"/>
    <w:rsid w:val="006C2970"/>
    <w:rsid w:val="006C29DA"/>
    <w:rsid w:val="006C2A28"/>
    <w:rsid w:val="006C2A2D"/>
    <w:rsid w:val="006C2AF4"/>
    <w:rsid w:val="006C2AF6"/>
    <w:rsid w:val="006C2CEE"/>
    <w:rsid w:val="006C2D7C"/>
    <w:rsid w:val="006C2DCC"/>
    <w:rsid w:val="006C2DD2"/>
    <w:rsid w:val="006C2DF8"/>
    <w:rsid w:val="006C2E6E"/>
    <w:rsid w:val="006C2E6F"/>
    <w:rsid w:val="006C2E98"/>
    <w:rsid w:val="006C2F7C"/>
    <w:rsid w:val="006C301E"/>
    <w:rsid w:val="006C314D"/>
    <w:rsid w:val="006C316D"/>
    <w:rsid w:val="006C31F0"/>
    <w:rsid w:val="006C32C5"/>
    <w:rsid w:val="006C33FA"/>
    <w:rsid w:val="006C3450"/>
    <w:rsid w:val="006C349C"/>
    <w:rsid w:val="006C34B7"/>
    <w:rsid w:val="006C3538"/>
    <w:rsid w:val="006C3584"/>
    <w:rsid w:val="006C35CA"/>
    <w:rsid w:val="006C3612"/>
    <w:rsid w:val="006C3671"/>
    <w:rsid w:val="006C3709"/>
    <w:rsid w:val="006C3734"/>
    <w:rsid w:val="006C3745"/>
    <w:rsid w:val="006C37E6"/>
    <w:rsid w:val="006C3A1C"/>
    <w:rsid w:val="006C3A46"/>
    <w:rsid w:val="006C3AF9"/>
    <w:rsid w:val="006C3B23"/>
    <w:rsid w:val="006C3B58"/>
    <w:rsid w:val="006C3B60"/>
    <w:rsid w:val="006C3B75"/>
    <w:rsid w:val="006C3CF2"/>
    <w:rsid w:val="006C3D12"/>
    <w:rsid w:val="006C3DF2"/>
    <w:rsid w:val="006C3E00"/>
    <w:rsid w:val="006C3ECF"/>
    <w:rsid w:val="006C3ED9"/>
    <w:rsid w:val="006C4020"/>
    <w:rsid w:val="006C40D2"/>
    <w:rsid w:val="006C41FD"/>
    <w:rsid w:val="006C433E"/>
    <w:rsid w:val="006C44EE"/>
    <w:rsid w:val="006C45B2"/>
    <w:rsid w:val="006C46A5"/>
    <w:rsid w:val="006C47C7"/>
    <w:rsid w:val="006C4881"/>
    <w:rsid w:val="006C4894"/>
    <w:rsid w:val="006C48BA"/>
    <w:rsid w:val="006C48E6"/>
    <w:rsid w:val="006C495F"/>
    <w:rsid w:val="006C4A06"/>
    <w:rsid w:val="006C4A93"/>
    <w:rsid w:val="006C4B6A"/>
    <w:rsid w:val="006C4BCB"/>
    <w:rsid w:val="006C4D84"/>
    <w:rsid w:val="006C4DCC"/>
    <w:rsid w:val="006C4E0B"/>
    <w:rsid w:val="006C4F43"/>
    <w:rsid w:val="006C50DE"/>
    <w:rsid w:val="006C51EC"/>
    <w:rsid w:val="006C51F1"/>
    <w:rsid w:val="006C524B"/>
    <w:rsid w:val="006C52A8"/>
    <w:rsid w:val="006C538E"/>
    <w:rsid w:val="006C540B"/>
    <w:rsid w:val="006C542C"/>
    <w:rsid w:val="006C54B8"/>
    <w:rsid w:val="006C5630"/>
    <w:rsid w:val="006C5636"/>
    <w:rsid w:val="006C56A7"/>
    <w:rsid w:val="006C5722"/>
    <w:rsid w:val="006C57AC"/>
    <w:rsid w:val="006C5839"/>
    <w:rsid w:val="006C5987"/>
    <w:rsid w:val="006C59D9"/>
    <w:rsid w:val="006C5A00"/>
    <w:rsid w:val="006C5AA0"/>
    <w:rsid w:val="006C5AB4"/>
    <w:rsid w:val="006C5ABA"/>
    <w:rsid w:val="006C5CD6"/>
    <w:rsid w:val="006C5D0A"/>
    <w:rsid w:val="006C5D7E"/>
    <w:rsid w:val="006C5DBD"/>
    <w:rsid w:val="006C5E2D"/>
    <w:rsid w:val="006C5E61"/>
    <w:rsid w:val="006C5F1E"/>
    <w:rsid w:val="006C5F8D"/>
    <w:rsid w:val="006C6090"/>
    <w:rsid w:val="006C6153"/>
    <w:rsid w:val="006C6224"/>
    <w:rsid w:val="006C62C7"/>
    <w:rsid w:val="006C6344"/>
    <w:rsid w:val="006C6408"/>
    <w:rsid w:val="006C6480"/>
    <w:rsid w:val="006C6556"/>
    <w:rsid w:val="006C65BA"/>
    <w:rsid w:val="006C666D"/>
    <w:rsid w:val="006C66A8"/>
    <w:rsid w:val="006C686B"/>
    <w:rsid w:val="006C68F1"/>
    <w:rsid w:val="006C6994"/>
    <w:rsid w:val="006C69AC"/>
    <w:rsid w:val="006C6A11"/>
    <w:rsid w:val="006C6AD2"/>
    <w:rsid w:val="006C6B0C"/>
    <w:rsid w:val="006C6BC6"/>
    <w:rsid w:val="006C6D34"/>
    <w:rsid w:val="006C6D44"/>
    <w:rsid w:val="006C6E24"/>
    <w:rsid w:val="006C6E66"/>
    <w:rsid w:val="006C6EC4"/>
    <w:rsid w:val="006C6F63"/>
    <w:rsid w:val="006C6F97"/>
    <w:rsid w:val="006C6FE3"/>
    <w:rsid w:val="006C7022"/>
    <w:rsid w:val="006C7030"/>
    <w:rsid w:val="006C7132"/>
    <w:rsid w:val="006C717E"/>
    <w:rsid w:val="006C71B8"/>
    <w:rsid w:val="006C7229"/>
    <w:rsid w:val="006C722D"/>
    <w:rsid w:val="006C7258"/>
    <w:rsid w:val="006C73BF"/>
    <w:rsid w:val="006C76E9"/>
    <w:rsid w:val="006C7773"/>
    <w:rsid w:val="006C7895"/>
    <w:rsid w:val="006C7B4D"/>
    <w:rsid w:val="006C7B62"/>
    <w:rsid w:val="006C7B8F"/>
    <w:rsid w:val="006C7CD9"/>
    <w:rsid w:val="006C7CDF"/>
    <w:rsid w:val="006C7D83"/>
    <w:rsid w:val="006C7EDC"/>
    <w:rsid w:val="006C7F0B"/>
    <w:rsid w:val="006C7F0D"/>
    <w:rsid w:val="006C7FD9"/>
    <w:rsid w:val="006D008C"/>
    <w:rsid w:val="006D012F"/>
    <w:rsid w:val="006D0164"/>
    <w:rsid w:val="006D0228"/>
    <w:rsid w:val="006D023F"/>
    <w:rsid w:val="006D026A"/>
    <w:rsid w:val="006D0297"/>
    <w:rsid w:val="006D0358"/>
    <w:rsid w:val="006D0437"/>
    <w:rsid w:val="006D05AB"/>
    <w:rsid w:val="006D06B2"/>
    <w:rsid w:val="006D0755"/>
    <w:rsid w:val="006D0759"/>
    <w:rsid w:val="006D0762"/>
    <w:rsid w:val="006D081A"/>
    <w:rsid w:val="006D0851"/>
    <w:rsid w:val="006D094F"/>
    <w:rsid w:val="006D09AA"/>
    <w:rsid w:val="006D0A37"/>
    <w:rsid w:val="006D0A85"/>
    <w:rsid w:val="006D0A9E"/>
    <w:rsid w:val="006D0BCE"/>
    <w:rsid w:val="006D0BE2"/>
    <w:rsid w:val="006D0BFE"/>
    <w:rsid w:val="006D0C12"/>
    <w:rsid w:val="006D0D9D"/>
    <w:rsid w:val="006D0E9C"/>
    <w:rsid w:val="006D0F66"/>
    <w:rsid w:val="006D103C"/>
    <w:rsid w:val="006D107A"/>
    <w:rsid w:val="006D10C3"/>
    <w:rsid w:val="006D10DC"/>
    <w:rsid w:val="006D1244"/>
    <w:rsid w:val="006D12A2"/>
    <w:rsid w:val="006D12E7"/>
    <w:rsid w:val="006D12F4"/>
    <w:rsid w:val="006D12FD"/>
    <w:rsid w:val="006D13D1"/>
    <w:rsid w:val="006D14B3"/>
    <w:rsid w:val="006D1566"/>
    <w:rsid w:val="006D15DC"/>
    <w:rsid w:val="006D16E2"/>
    <w:rsid w:val="006D16EF"/>
    <w:rsid w:val="006D1720"/>
    <w:rsid w:val="006D1815"/>
    <w:rsid w:val="006D190C"/>
    <w:rsid w:val="006D19C2"/>
    <w:rsid w:val="006D19F4"/>
    <w:rsid w:val="006D1A08"/>
    <w:rsid w:val="006D1A82"/>
    <w:rsid w:val="006D1A87"/>
    <w:rsid w:val="006D1A96"/>
    <w:rsid w:val="006D1B63"/>
    <w:rsid w:val="006D1B9F"/>
    <w:rsid w:val="006D1CE0"/>
    <w:rsid w:val="006D1DDF"/>
    <w:rsid w:val="006D1DFE"/>
    <w:rsid w:val="006D1F5E"/>
    <w:rsid w:val="006D2052"/>
    <w:rsid w:val="006D219D"/>
    <w:rsid w:val="006D21BA"/>
    <w:rsid w:val="006D2359"/>
    <w:rsid w:val="006D2368"/>
    <w:rsid w:val="006D23E7"/>
    <w:rsid w:val="006D2408"/>
    <w:rsid w:val="006D24A6"/>
    <w:rsid w:val="006D2509"/>
    <w:rsid w:val="006D258E"/>
    <w:rsid w:val="006D2785"/>
    <w:rsid w:val="006D278F"/>
    <w:rsid w:val="006D2855"/>
    <w:rsid w:val="006D287F"/>
    <w:rsid w:val="006D2941"/>
    <w:rsid w:val="006D2A57"/>
    <w:rsid w:val="006D2A78"/>
    <w:rsid w:val="006D2B9B"/>
    <w:rsid w:val="006D2BCF"/>
    <w:rsid w:val="006D2C74"/>
    <w:rsid w:val="006D2CEC"/>
    <w:rsid w:val="006D2D9D"/>
    <w:rsid w:val="006D2E85"/>
    <w:rsid w:val="006D2ED0"/>
    <w:rsid w:val="006D2F01"/>
    <w:rsid w:val="006D2F6D"/>
    <w:rsid w:val="006D2F8F"/>
    <w:rsid w:val="006D2FA3"/>
    <w:rsid w:val="006D3004"/>
    <w:rsid w:val="006D30A8"/>
    <w:rsid w:val="006D3185"/>
    <w:rsid w:val="006D321F"/>
    <w:rsid w:val="006D32A7"/>
    <w:rsid w:val="006D32CD"/>
    <w:rsid w:val="006D32E3"/>
    <w:rsid w:val="006D33E5"/>
    <w:rsid w:val="006D340F"/>
    <w:rsid w:val="006D34BB"/>
    <w:rsid w:val="006D3601"/>
    <w:rsid w:val="006D3640"/>
    <w:rsid w:val="006D365E"/>
    <w:rsid w:val="006D371C"/>
    <w:rsid w:val="006D3724"/>
    <w:rsid w:val="006D3867"/>
    <w:rsid w:val="006D38B8"/>
    <w:rsid w:val="006D38CB"/>
    <w:rsid w:val="006D39DB"/>
    <w:rsid w:val="006D3A3D"/>
    <w:rsid w:val="006D3A99"/>
    <w:rsid w:val="006D3BC7"/>
    <w:rsid w:val="006D3C10"/>
    <w:rsid w:val="006D3CFB"/>
    <w:rsid w:val="006D3DCB"/>
    <w:rsid w:val="006D3DD3"/>
    <w:rsid w:val="006D3DD7"/>
    <w:rsid w:val="006D3E90"/>
    <w:rsid w:val="006D3EC0"/>
    <w:rsid w:val="006D3EE2"/>
    <w:rsid w:val="006D3F2A"/>
    <w:rsid w:val="006D3FB1"/>
    <w:rsid w:val="006D40B3"/>
    <w:rsid w:val="006D41D2"/>
    <w:rsid w:val="006D427E"/>
    <w:rsid w:val="006D4592"/>
    <w:rsid w:val="006D45FB"/>
    <w:rsid w:val="006D4666"/>
    <w:rsid w:val="006D4764"/>
    <w:rsid w:val="006D47B7"/>
    <w:rsid w:val="006D4845"/>
    <w:rsid w:val="006D499F"/>
    <w:rsid w:val="006D49E3"/>
    <w:rsid w:val="006D4A42"/>
    <w:rsid w:val="006D4A7E"/>
    <w:rsid w:val="006D4B14"/>
    <w:rsid w:val="006D4C39"/>
    <w:rsid w:val="006D4C7F"/>
    <w:rsid w:val="006D4CB5"/>
    <w:rsid w:val="006D4DE3"/>
    <w:rsid w:val="006D4E31"/>
    <w:rsid w:val="006D4E3A"/>
    <w:rsid w:val="006D4EE0"/>
    <w:rsid w:val="006D4F9B"/>
    <w:rsid w:val="006D4FAE"/>
    <w:rsid w:val="006D506F"/>
    <w:rsid w:val="006D5082"/>
    <w:rsid w:val="006D50BA"/>
    <w:rsid w:val="006D50EB"/>
    <w:rsid w:val="006D5103"/>
    <w:rsid w:val="006D513F"/>
    <w:rsid w:val="006D5142"/>
    <w:rsid w:val="006D516F"/>
    <w:rsid w:val="006D5197"/>
    <w:rsid w:val="006D51CB"/>
    <w:rsid w:val="006D5248"/>
    <w:rsid w:val="006D5301"/>
    <w:rsid w:val="006D5513"/>
    <w:rsid w:val="006D5560"/>
    <w:rsid w:val="006D5599"/>
    <w:rsid w:val="006D55E9"/>
    <w:rsid w:val="006D563A"/>
    <w:rsid w:val="006D56C2"/>
    <w:rsid w:val="006D57CE"/>
    <w:rsid w:val="006D57ED"/>
    <w:rsid w:val="006D5910"/>
    <w:rsid w:val="006D5BD1"/>
    <w:rsid w:val="006D5C81"/>
    <w:rsid w:val="006D5D46"/>
    <w:rsid w:val="006D5D97"/>
    <w:rsid w:val="006D5D9F"/>
    <w:rsid w:val="006D5E85"/>
    <w:rsid w:val="006D5E8F"/>
    <w:rsid w:val="006D5F52"/>
    <w:rsid w:val="006D6033"/>
    <w:rsid w:val="006D61CA"/>
    <w:rsid w:val="006D6422"/>
    <w:rsid w:val="006D6445"/>
    <w:rsid w:val="006D6536"/>
    <w:rsid w:val="006D653C"/>
    <w:rsid w:val="006D6572"/>
    <w:rsid w:val="006D6591"/>
    <w:rsid w:val="006D65EF"/>
    <w:rsid w:val="006D66DD"/>
    <w:rsid w:val="006D66EF"/>
    <w:rsid w:val="006D674B"/>
    <w:rsid w:val="006D6855"/>
    <w:rsid w:val="006D6893"/>
    <w:rsid w:val="006D69ED"/>
    <w:rsid w:val="006D6A85"/>
    <w:rsid w:val="006D6DD0"/>
    <w:rsid w:val="006D6E32"/>
    <w:rsid w:val="006D6ED7"/>
    <w:rsid w:val="006D6EED"/>
    <w:rsid w:val="006D6F25"/>
    <w:rsid w:val="006D6F7C"/>
    <w:rsid w:val="006D6FD3"/>
    <w:rsid w:val="006D7017"/>
    <w:rsid w:val="006D704C"/>
    <w:rsid w:val="006D70BA"/>
    <w:rsid w:val="006D710D"/>
    <w:rsid w:val="006D712D"/>
    <w:rsid w:val="006D7155"/>
    <w:rsid w:val="006D7234"/>
    <w:rsid w:val="006D737F"/>
    <w:rsid w:val="006D73B9"/>
    <w:rsid w:val="006D73BE"/>
    <w:rsid w:val="006D7408"/>
    <w:rsid w:val="006D7411"/>
    <w:rsid w:val="006D74EA"/>
    <w:rsid w:val="006D7548"/>
    <w:rsid w:val="006D778D"/>
    <w:rsid w:val="006D7809"/>
    <w:rsid w:val="006D79E9"/>
    <w:rsid w:val="006D7A15"/>
    <w:rsid w:val="006D7A8F"/>
    <w:rsid w:val="006D7B4D"/>
    <w:rsid w:val="006D7BE9"/>
    <w:rsid w:val="006D7C61"/>
    <w:rsid w:val="006D7D0A"/>
    <w:rsid w:val="006D7D13"/>
    <w:rsid w:val="006D7D74"/>
    <w:rsid w:val="006D7E48"/>
    <w:rsid w:val="006D7F28"/>
    <w:rsid w:val="006D7F89"/>
    <w:rsid w:val="006D7FA7"/>
    <w:rsid w:val="006E00D3"/>
    <w:rsid w:val="006E0144"/>
    <w:rsid w:val="006E01C9"/>
    <w:rsid w:val="006E0201"/>
    <w:rsid w:val="006E0205"/>
    <w:rsid w:val="006E0265"/>
    <w:rsid w:val="006E0368"/>
    <w:rsid w:val="006E0423"/>
    <w:rsid w:val="006E0519"/>
    <w:rsid w:val="006E054E"/>
    <w:rsid w:val="006E0735"/>
    <w:rsid w:val="006E0757"/>
    <w:rsid w:val="006E08CA"/>
    <w:rsid w:val="006E0909"/>
    <w:rsid w:val="006E090F"/>
    <w:rsid w:val="006E098B"/>
    <w:rsid w:val="006E09C4"/>
    <w:rsid w:val="006E0A0C"/>
    <w:rsid w:val="006E0B44"/>
    <w:rsid w:val="006E0BFB"/>
    <w:rsid w:val="006E0C5B"/>
    <w:rsid w:val="006E0D81"/>
    <w:rsid w:val="006E0DD0"/>
    <w:rsid w:val="006E0E13"/>
    <w:rsid w:val="006E0E21"/>
    <w:rsid w:val="006E0F76"/>
    <w:rsid w:val="006E0F8B"/>
    <w:rsid w:val="006E0FF1"/>
    <w:rsid w:val="006E1153"/>
    <w:rsid w:val="006E1256"/>
    <w:rsid w:val="006E13B3"/>
    <w:rsid w:val="006E145C"/>
    <w:rsid w:val="006E1462"/>
    <w:rsid w:val="006E1532"/>
    <w:rsid w:val="006E15DB"/>
    <w:rsid w:val="006E15DD"/>
    <w:rsid w:val="006E1779"/>
    <w:rsid w:val="006E18A0"/>
    <w:rsid w:val="006E199A"/>
    <w:rsid w:val="006E19BE"/>
    <w:rsid w:val="006E1A34"/>
    <w:rsid w:val="006E1AA0"/>
    <w:rsid w:val="006E1B20"/>
    <w:rsid w:val="006E1B5D"/>
    <w:rsid w:val="006E1BE6"/>
    <w:rsid w:val="006E1C07"/>
    <w:rsid w:val="006E1C33"/>
    <w:rsid w:val="006E1C79"/>
    <w:rsid w:val="006E1D02"/>
    <w:rsid w:val="006E1D59"/>
    <w:rsid w:val="006E1E75"/>
    <w:rsid w:val="006E204A"/>
    <w:rsid w:val="006E2164"/>
    <w:rsid w:val="006E2185"/>
    <w:rsid w:val="006E21C5"/>
    <w:rsid w:val="006E21FB"/>
    <w:rsid w:val="006E2390"/>
    <w:rsid w:val="006E23D3"/>
    <w:rsid w:val="006E2405"/>
    <w:rsid w:val="006E2460"/>
    <w:rsid w:val="006E248D"/>
    <w:rsid w:val="006E249A"/>
    <w:rsid w:val="006E25EB"/>
    <w:rsid w:val="006E2720"/>
    <w:rsid w:val="006E2747"/>
    <w:rsid w:val="006E275D"/>
    <w:rsid w:val="006E2789"/>
    <w:rsid w:val="006E27A2"/>
    <w:rsid w:val="006E283B"/>
    <w:rsid w:val="006E285E"/>
    <w:rsid w:val="006E28C9"/>
    <w:rsid w:val="006E29BF"/>
    <w:rsid w:val="006E2A1E"/>
    <w:rsid w:val="006E2A5E"/>
    <w:rsid w:val="006E2A8C"/>
    <w:rsid w:val="006E2B18"/>
    <w:rsid w:val="006E2B64"/>
    <w:rsid w:val="006E2B86"/>
    <w:rsid w:val="006E2BF0"/>
    <w:rsid w:val="006E2C15"/>
    <w:rsid w:val="006E2C37"/>
    <w:rsid w:val="006E2D4C"/>
    <w:rsid w:val="006E2E06"/>
    <w:rsid w:val="006E2E1A"/>
    <w:rsid w:val="006E2E9F"/>
    <w:rsid w:val="006E2ED8"/>
    <w:rsid w:val="006E2F30"/>
    <w:rsid w:val="006E3055"/>
    <w:rsid w:val="006E30C7"/>
    <w:rsid w:val="006E315E"/>
    <w:rsid w:val="006E318D"/>
    <w:rsid w:val="006E32A0"/>
    <w:rsid w:val="006E32D9"/>
    <w:rsid w:val="006E3561"/>
    <w:rsid w:val="006E3659"/>
    <w:rsid w:val="006E369E"/>
    <w:rsid w:val="006E3774"/>
    <w:rsid w:val="006E37AB"/>
    <w:rsid w:val="006E37B7"/>
    <w:rsid w:val="006E38A4"/>
    <w:rsid w:val="006E392B"/>
    <w:rsid w:val="006E3AC1"/>
    <w:rsid w:val="006E3B55"/>
    <w:rsid w:val="006E3CF9"/>
    <w:rsid w:val="006E3D5C"/>
    <w:rsid w:val="006E3E31"/>
    <w:rsid w:val="006E3F57"/>
    <w:rsid w:val="006E4044"/>
    <w:rsid w:val="006E41AD"/>
    <w:rsid w:val="006E423C"/>
    <w:rsid w:val="006E4354"/>
    <w:rsid w:val="006E4456"/>
    <w:rsid w:val="006E44C6"/>
    <w:rsid w:val="006E44E8"/>
    <w:rsid w:val="006E45A4"/>
    <w:rsid w:val="006E45DD"/>
    <w:rsid w:val="006E4683"/>
    <w:rsid w:val="006E473E"/>
    <w:rsid w:val="006E47C4"/>
    <w:rsid w:val="006E4858"/>
    <w:rsid w:val="006E4906"/>
    <w:rsid w:val="006E4992"/>
    <w:rsid w:val="006E49E2"/>
    <w:rsid w:val="006E4A0D"/>
    <w:rsid w:val="006E4AF5"/>
    <w:rsid w:val="006E4B2A"/>
    <w:rsid w:val="006E4CC8"/>
    <w:rsid w:val="006E4CEC"/>
    <w:rsid w:val="006E4D76"/>
    <w:rsid w:val="006E4D9F"/>
    <w:rsid w:val="006E4E3B"/>
    <w:rsid w:val="006E4FD9"/>
    <w:rsid w:val="006E509F"/>
    <w:rsid w:val="006E50C3"/>
    <w:rsid w:val="006E51A3"/>
    <w:rsid w:val="006E5222"/>
    <w:rsid w:val="006E5256"/>
    <w:rsid w:val="006E5266"/>
    <w:rsid w:val="006E52F0"/>
    <w:rsid w:val="006E5371"/>
    <w:rsid w:val="006E5385"/>
    <w:rsid w:val="006E5487"/>
    <w:rsid w:val="006E54C8"/>
    <w:rsid w:val="006E550B"/>
    <w:rsid w:val="006E5682"/>
    <w:rsid w:val="006E56AA"/>
    <w:rsid w:val="006E575F"/>
    <w:rsid w:val="006E57F7"/>
    <w:rsid w:val="006E5845"/>
    <w:rsid w:val="006E58BF"/>
    <w:rsid w:val="006E592B"/>
    <w:rsid w:val="006E59E7"/>
    <w:rsid w:val="006E5A5E"/>
    <w:rsid w:val="006E5AC1"/>
    <w:rsid w:val="006E5B2F"/>
    <w:rsid w:val="006E5B6A"/>
    <w:rsid w:val="006E5E6F"/>
    <w:rsid w:val="006E5EE8"/>
    <w:rsid w:val="006E5F02"/>
    <w:rsid w:val="006E5F6D"/>
    <w:rsid w:val="006E6086"/>
    <w:rsid w:val="006E609F"/>
    <w:rsid w:val="006E61CC"/>
    <w:rsid w:val="006E620A"/>
    <w:rsid w:val="006E62FB"/>
    <w:rsid w:val="006E632C"/>
    <w:rsid w:val="006E6559"/>
    <w:rsid w:val="006E6583"/>
    <w:rsid w:val="006E664B"/>
    <w:rsid w:val="006E665B"/>
    <w:rsid w:val="006E66BF"/>
    <w:rsid w:val="006E66D7"/>
    <w:rsid w:val="006E66EE"/>
    <w:rsid w:val="006E6763"/>
    <w:rsid w:val="006E6783"/>
    <w:rsid w:val="006E67A0"/>
    <w:rsid w:val="006E67E6"/>
    <w:rsid w:val="006E6846"/>
    <w:rsid w:val="006E691F"/>
    <w:rsid w:val="006E69EF"/>
    <w:rsid w:val="006E6B0E"/>
    <w:rsid w:val="006E6B80"/>
    <w:rsid w:val="006E6C76"/>
    <w:rsid w:val="006E6C8E"/>
    <w:rsid w:val="006E6CAF"/>
    <w:rsid w:val="006E6E11"/>
    <w:rsid w:val="006E6F81"/>
    <w:rsid w:val="006E6FB6"/>
    <w:rsid w:val="006E734D"/>
    <w:rsid w:val="006E7353"/>
    <w:rsid w:val="006E737D"/>
    <w:rsid w:val="006E7386"/>
    <w:rsid w:val="006E7436"/>
    <w:rsid w:val="006E74A4"/>
    <w:rsid w:val="006E751B"/>
    <w:rsid w:val="006E75D0"/>
    <w:rsid w:val="006E75F6"/>
    <w:rsid w:val="006E75F7"/>
    <w:rsid w:val="006E7694"/>
    <w:rsid w:val="006E773B"/>
    <w:rsid w:val="006E775F"/>
    <w:rsid w:val="006E7763"/>
    <w:rsid w:val="006E77F8"/>
    <w:rsid w:val="006E780B"/>
    <w:rsid w:val="006E785C"/>
    <w:rsid w:val="006E797A"/>
    <w:rsid w:val="006E7A39"/>
    <w:rsid w:val="006E7AE5"/>
    <w:rsid w:val="006E7B56"/>
    <w:rsid w:val="006E7B98"/>
    <w:rsid w:val="006E7C0E"/>
    <w:rsid w:val="006E7C51"/>
    <w:rsid w:val="006E7CD7"/>
    <w:rsid w:val="006E7CDE"/>
    <w:rsid w:val="006E7DF2"/>
    <w:rsid w:val="006E7E45"/>
    <w:rsid w:val="006E7E85"/>
    <w:rsid w:val="006E7EC1"/>
    <w:rsid w:val="006E7F93"/>
    <w:rsid w:val="006F0006"/>
    <w:rsid w:val="006F0048"/>
    <w:rsid w:val="006F0077"/>
    <w:rsid w:val="006F0086"/>
    <w:rsid w:val="006F018B"/>
    <w:rsid w:val="006F01C4"/>
    <w:rsid w:val="006F01E2"/>
    <w:rsid w:val="006F0257"/>
    <w:rsid w:val="006F0285"/>
    <w:rsid w:val="006F039C"/>
    <w:rsid w:val="006F040C"/>
    <w:rsid w:val="006F04AD"/>
    <w:rsid w:val="006F053A"/>
    <w:rsid w:val="006F0598"/>
    <w:rsid w:val="006F059D"/>
    <w:rsid w:val="006F05B3"/>
    <w:rsid w:val="006F05BB"/>
    <w:rsid w:val="006F05F6"/>
    <w:rsid w:val="006F0607"/>
    <w:rsid w:val="006F0692"/>
    <w:rsid w:val="006F06A0"/>
    <w:rsid w:val="006F06F2"/>
    <w:rsid w:val="006F07C1"/>
    <w:rsid w:val="006F0813"/>
    <w:rsid w:val="006F08C5"/>
    <w:rsid w:val="006F0952"/>
    <w:rsid w:val="006F0AE7"/>
    <w:rsid w:val="006F0BBA"/>
    <w:rsid w:val="006F0BD1"/>
    <w:rsid w:val="006F0EF3"/>
    <w:rsid w:val="006F0F57"/>
    <w:rsid w:val="006F0F79"/>
    <w:rsid w:val="006F0FAF"/>
    <w:rsid w:val="006F10B7"/>
    <w:rsid w:val="006F10C2"/>
    <w:rsid w:val="006F121E"/>
    <w:rsid w:val="006F12A1"/>
    <w:rsid w:val="006F12BD"/>
    <w:rsid w:val="006F12F7"/>
    <w:rsid w:val="006F13C7"/>
    <w:rsid w:val="006F1492"/>
    <w:rsid w:val="006F1539"/>
    <w:rsid w:val="006F1555"/>
    <w:rsid w:val="006F1753"/>
    <w:rsid w:val="006F1763"/>
    <w:rsid w:val="006F1800"/>
    <w:rsid w:val="006F182E"/>
    <w:rsid w:val="006F1866"/>
    <w:rsid w:val="006F187C"/>
    <w:rsid w:val="006F1894"/>
    <w:rsid w:val="006F18D1"/>
    <w:rsid w:val="006F19C1"/>
    <w:rsid w:val="006F1A44"/>
    <w:rsid w:val="006F1B7C"/>
    <w:rsid w:val="006F1B89"/>
    <w:rsid w:val="006F1C0E"/>
    <w:rsid w:val="006F1C72"/>
    <w:rsid w:val="006F1CCA"/>
    <w:rsid w:val="006F1CEC"/>
    <w:rsid w:val="006F1D05"/>
    <w:rsid w:val="006F1E0B"/>
    <w:rsid w:val="006F1E77"/>
    <w:rsid w:val="006F1EAD"/>
    <w:rsid w:val="006F1F01"/>
    <w:rsid w:val="006F1F38"/>
    <w:rsid w:val="006F1FCA"/>
    <w:rsid w:val="006F2026"/>
    <w:rsid w:val="006F2029"/>
    <w:rsid w:val="006F2048"/>
    <w:rsid w:val="006F2075"/>
    <w:rsid w:val="006F209D"/>
    <w:rsid w:val="006F21EC"/>
    <w:rsid w:val="006F224A"/>
    <w:rsid w:val="006F2290"/>
    <w:rsid w:val="006F22A9"/>
    <w:rsid w:val="006F231F"/>
    <w:rsid w:val="006F2331"/>
    <w:rsid w:val="006F2508"/>
    <w:rsid w:val="006F2591"/>
    <w:rsid w:val="006F25B1"/>
    <w:rsid w:val="006F25E6"/>
    <w:rsid w:val="006F26C8"/>
    <w:rsid w:val="006F26ED"/>
    <w:rsid w:val="006F2879"/>
    <w:rsid w:val="006F28DF"/>
    <w:rsid w:val="006F28E8"/>
    <w:rsid w:val="006F28F1"/>
    <w:rsid w:val="006F2965"/>
    <w:rsid w:val="006F2984"/>
    <w:rsid w:val="006F2A99"/>
    <w:rsid w:val="006F2AA5"/>
    <w:rsid w:val="006F2B40"/>
    <w:rsid w:val="006F2C98"/>
    <w:rsid w:val="006F2D62"/>
    <w:rsid w:val="006F2DCB"/>
    <w:rsid w:val="006F2E46"/>
    <w:rsid w:val="006F2F0B"/>
    <w:rsid w:val="006F2F5E"/>
    <w:rsid w:val="006F2F83"/>
    <w:rsid w:val="006F2FDD"/>
    <w:rsid w:val="006F301A"/>
    <w:rsid w:val="006F305E"/>
    <w:rsid w:val="006F30D6"/>
    <w:rsid w:val="006F3149"/>
    <w:rsid w:val="006F31C1"/>
    <w:rsid w:val="006F32B3"/>
    <w:rsid w:val="006F32DD"/>
    <w:rsid w:val="006F3307"/>
    <w:rsid w:val="006F3334"/>
    <w:rsid w:val="006F333F"/>
    <w:rsid w:val="006F335F"/>
    <w:rsid w:val="006F338D"/>
    <w:rsid w:val="006F33D2"/>
    <w:rsid w:val="006F33EC"/>
    <w:rsid w:val="006F34CC"/>
    <w:rsid w:val="006F35E2"/>
    <w:rsid w:val="006F35F6"/>
    <w:rsid w:val="006F36A8"/>
    <w:rsid w:val="006F36AF"/>
    <w:rsid w:val="006F37EC"/>
    <w:rsid w:val="006F38D3"/>
    <w:rsid w:val="006F38FB"/>
    <w:rsid w:val="006F392C"/>
    <w:rsid w:val="006F39A3"/>
    <w:rsid w:val="006F3A5F"/>
    <w:rsid w:val="006F3AE0"/>
    <w:rsid w:val="006F3B6B"/>
    <w:rsid w:val="006F3B73"/>
    <w:rsid w:val="006F3C67"/>
    <w:rsid w:val="006F3C7C"/>
    <w:rsid w:val="006F3C80"/>
    <w:rsid w:val="006F3E11"/>
    <w:rsid w:val="006F3F52"/>
    <w:rsid w:val="006F3FBE"/>
    <w:rsid w:val="006F4042"/>
    <w:rsid w:val="006F4043"/>
    <w:rsid w:val="006F417B"/>
    <w:rsid w:val="006F422F"/>
    <w:rsid w:val="006F428C"/>
    <w:rsid w:val="006F43D1"/>
    <w:rsid w:val="006F4461"/>
    <w:rsid w:val="006F46B5"/>
    <w:rsid w:val="006F470D"/>
    <w:rsid w:val="006F47D8"/>
    <w:rsid w:val="006F47E1"/>
    <w:rsid w:val="006F4800"/>
    <w:rsid w:val="006F484E"/>
    <w:rsid w:val="006F4894"/>
    <w:rsid w:val="006F48E1"/>
    <w:rsid w:val="006F497F"/>
    <w:rsid w:val="006F4999"/>
    <w:rsid w:val="006F49C9"/>
    <w:rsid w:val="006F4A03"/>
    <w:rsid w:val="006F4AFB"/>
    <w:rsid w:val="006F4B19"/>
    <w:rsid w:val="006F4BD8"/>
    <w:rsid w:val="006F4C13"/>
    <w:rsid w:val="006F4CD3"/>
    <w:rsid w:val="006F4D29"/>
    <w:rsid w:val="006F4E42"/>
    <w:rsid w:val="006F4EBA"/>
    <w:rsid w:val="006F50AE"/>
    <w:rsid w:val="006F50E7"/>
    <w:rsid w:val="006F510C"/>
    <w:rsid w:val="006F519D"/>
    <w:rsid w:val="006F5207"/>
    <w:rsid w:val="006F520A"/>
    <w:rsid w:val="006F5248"/>
    <w:rsid w:val="006F5285"/>
    <w:rsid w:val="006F528E"/>
    <w:rsid w:val="006F5339"/>
    <w:rsid w:val="006F54C9"/>
    <w:rsid w:val="006F5512"/>
    <w:rsid w:val="006F5783"/>
    <w:rsid w:val="006F57BD"/>
    <w:rsid w:val="006F57D9"/>
    <w:rsid w:val="006F5835"/>
    <w:rsid w:val="006F5843"/>
    <w:rsid w:val="006F5854"/>
    <w:rsid w:val="006F5990"/>
    <w:rsid w:val="006F59DF"/>
    <w:rsid w:val="006F5AA4"/>
    <w:rsid w:val="006F5C61"/>
    <w:rsid w:val="006F5EED"/>
    <w:rsid w:val="006F5EEF"/>
    <w:rsid w:val="006F5F5A"/>
    <w:rsid w:val="006F5FF7"/>
    <w:rsid w:val="006F6000"/>
    <w:rsid w:val="006F6020"/>
    <w:rsid w:val="006F60EE"/>
    <w:rsid w:val="006F610B"/>
    <w:rsid w:val="006F611D"/>
    <w:rsid w:val="006F6152"/>
    <w:rsid w:val="006F6293"/>
    <w:rsid w:val="006F62ED"/>
    <w:rsid w:val="006F63FA"/>
    <w:rsid w:val="006F6410"/>
    <w:rsid w:val="006F643E"/>
    <w:rsid w:val="006F6472"/>
    <w:rsid w:val="006F65DC"/>
    <w:rsid w:val="006F6849"/>
    <w:rsid w:val="006F69D2"/>
    <w:rsid w:val="006F6ADF"/>
    <w:rsid w:val="006F6B0F"/>
    <w:rsid w:val="006F6C08"/>
    <w:rsid w:val="006F6C16"/>
    <w:rsid w:val="006F6C28"/>
    <w:rsid w:val="006F6C50"/>
    <w:rsid w:val="006F6C9A"/>
    <w:rsid w:val="006F6ED4"/>
    <w:rsid w:val="006F6F00"/>
    <w:rsid w:val="006F6F7E"/>
    <w:rsid w:val="006F70B0"/>
    <w:rsid w:val="006F723B"/>
    <w:rsid w:val="006F728C"/>
    <w:rsid w:val="006F7331"/>
    <w:rsid w:val="006F73DF"/>
    <w:rsid w:val="006F7662"/>
    <w:rsid w:val="006F76AF"/>
    <w:rsid w:val="006F7788"/>
    <w:rsid w:val="006F77B0"/>
    <w:rsid w:val="006F77E7"/>
    <w:rsid w:val="006F784E"/>
    <w:rsid w:val="006F78D3"/>
    <w:rsid w:val="006F78F4"/>
    <w:rsid w:val="006F798C"/>
    <w:rsid w:val="006F79BC"/>
    <w:rsid w:val="006F79C9"/>
    <w:rsid w:val="006F7A1E"/>
    <w:rsid w:val="006F7A61"/>
    <w:rsid w:val="006F7A68"/>
    <w:rsid w:val="006F7C23"/>
    <w:rsid w:val="006F7D9E"/>
    <w:rsid w:val="006F7E37"/>
    <w:rsid w:val="006F7E74"/>
    <w:rsid w:val="006F7E78"/>
    <w:rsid w:val="006F7F3E"/>
    <w:rsid w:val="006F7F92"/>
    <w:rsid w:val="00700096"/>
    <w:rsid w:val="0070015E"/>
    <w:rsid w:val="00700276"/>
    <w:rsid w:val="00700290"/>
    <w:rsid w:val="007002E2"/>
    <w:rsid w:val="00700451"/>
    <w:rsid w:val="00700477"/>
    <w:rsid w:val="007004DA"/>
    <w:rsid w:val="0070064E"/>
    <w:rsid w:val="0070065F"/>
    <w:rsid w:val="007006D6"/>
    <w:rsid w:val="00700722"/>
    <w:rsid w:val="0070078B"/>
    <w:rsid w:val="00700866"/>
    <w:rsid w:val="00700970"/>
    <w:rsid w:val="00700BF7"/>
    <w:rsid w:val="00700C46"/>
    <w:rsid w:val="00700CE1"/>
    <w:rsid w:val="00700DCF"/>
    <w:rsid w:val="00700E04"/>
    <w:rsid w:val="00700E5F"/>
    <w:rsid w:val="00700FC8"/>
    <w:rsid w:val="007010D4"/>
    <w:rsid w:val="007010EA"/>
    <w:rsid w:val="007010EF"/>
    <w:rsid w:val="007010F8"/>
    <w:rsid w:val="00701107"/>
    <w:rsid w:val="00701142"/>
    <w:rsid w:val="007011BF"/>
    <w:rsid w:val="007012A4"/>
    <w:rsid w:val="007012EE"/>
    <w:rsid w:val="007013FA"/>
    <w:rsid w:val="0070155F"/>
    <w:rsid w:val="00701560"/>
    <w:rsid w:val="00701602"/>
    <w:rsid w:val="007016A5"/>
    <w:rsid w:val="007017CA"/>
    <w:rsid w:val="007018B3"/>
    <w:rsid w:val="0070191A"/>
    <w:rsid w:val="00701948"/>
    <w:rsid w:val="00701967"/>
    <w:rsid w:val="00701AD0"/>
    <w:rsid w:val="00701AE4"/>
    <w:rsid w:val="00701AE6"/>
    <w:rsid w:val="00701CA1"/>
    <w:rsid w:val="00701CA7"/>
    <w:rsid w:val="00701E0F"/>
    <w:rsid w:val="00701E36"/>
    <w:rsid w:val="00701E4D"/>
    <w:rsid w:val="00701E53"/>
    <w:rsid w:val="00701F37"/>
    <w:rsid w:val="00702045"/>
    <w:rsid w:val="0070225B"/>
    <w:rsid w:val="00702340"/>
    <w:rsid w:val="0070234E"/>
    <w:rsid w:val="0070249D"/>
    <w:rsid w:val="00702504"/>
    <w:rsid w:val="00702527"/>
    <w:rsid w:val="00702538"/>
    <w:rsid w:val="00702595"/>
    <w:rsid w:val="0070259C"/>
    <w:rsid w:val="007025F2"/>
    <w:rsid w:val="00702658"/>
    <w:rsid w:val="00702702"/>
    <w:rsid w:val="0070278A"/>
    <w:rsid w:val="007027D0"/>
    <w:rsid w:val="00702810"/>
    <w:rsid w:val="007028BC"/>
    <w:rsid w:val="00702931"/>
    <w:rsid w:val="0070296B"/>
    <w:rsid w:val="007029A9"/>
    <w:rsid w:val="00702B4B"/>
    <w:rsid w:val="00702BD3"/>
    <w:rsid w:val="00702C01"/>
    <w:rsid w:val="00702C08"/>
    <w:rsid w:val="00702D65"/>
    <w:rsid w:val="00702E6B"/>
    <w:rsid w:val="00702EBC"/>
    <w:rsid w:val="00702EBD"/>
    <w:rsid w:val="00702EDF"/>
    <w:rsid w:val="007030A6"/>
    <w:rsid w:val="00703139"/>
    <w:rsid w:val="00703152"/>
    <w:rsid w:val="007031EF"/>
    <w:rsid w:val="007035D9"/>
    <w:rsid w:val="007035F2"/>
    <w:rsid w:val="00703639"/>
    <w:rsid w:val="00703646"/>
    <w:rsid w:val="00703653"/>
    <w:rsid w:val="0070367D"/>
    <w:rsid w:val="007036C9"/>
    <w:rsid w:val="007036D2"/>
    <w:rsid w:val="00703701"/>
    <w:rsid w:val="0070373C"/>
    <w:rsid w:val="007037CA"/>
    <w:rsid w:val="007037DF"/>
    <w:rsid w:val="0070382F"/>
    <w:rsid w:val="00703831"/>
    <w:rsid w:val="007038B0"/>
    <w:rsid w:val="007038D1"/>
    <w:rsid w:val="007039EA"/>
    <w:rsid w:val="00703A02"/>
    <w:rsid w:val="00703A47"/>
    <w:rsid w:val="00703A52"/>
    <w:rsid w:val="00703AE7"/>
    <w:rsid w:val="00703B71"/>
    <w:rsid w:val="00703BC0"/>
    <w:rsid w:val="00703BF6"/>
    <w:rsid w:val="00703D9C"/>
    <w:rsid w:val="00703DA6"/>
    <w:rsid w:val="00703DF9"/>
    <w:rsid w:val="00703F27"/>
    <w:rsid w:val="00703F28"/>
    <w:rsid w:val="00703FA1"/>
    <w:rsid w:val="00703FBB"/>
    <w:rsid w:val="00703FBC"/>
    <w:rsid w:val="0070401F"/>
    <w:rsid w:val="00704245"/>
    <w:rsid w:val="00704383"/>
    <w:rsid w:val="007043D0"/>
    <w:rsid w:val="0070444F"/>
    <w:rsid w:val="00704546"/>
    <w:rsid w:val="00704565"/>
    <w:rsid w:val="00704566"/>
    <w:rsid w:val="007045E3"/>
    <w:rsid w:val="007047ED"/>
    <w:rsid w:val="00704977"/>
    <w:rsid w:val="00704B5A"/>
    <w:rsid w:val="00704B6B"/>
    <w:rsid w:val="00704C33"/>
    <w:rsid w:val="00704C5E"/>
    <w:rsid w:val="00704C61"/>
    <w:rsid w:val="00704CDB"/>
    <w:rsid w:val="00704E24"/>
    <w:rsid w:val="00704F04"/>
    <w:rsid w:val="00704F26"/>
    <w:rsid w:val="00704F36"/>
    <w:rsid w:val="00704FAE"/>
    <w:rsid w:val="007050CF"/>
    <w:rsid w:val="00705134"/>
    <w:rsid w:val="0070526C"/>
    <w:rsid w:val="00705322"/>
    <w:rsid w:val="00705324"/>
    <w:rsid w:val="0070532A"/>
    <w:rsid w:val="00705342"/>
    <w:rsid w:val="007053DB"/>
    <w:rsid w:val="00705454"/>
    <w:rsid w:val="0070548B"/>
    <w:rsid w:val="0070548D"/>
    <w:rsid w:val="007054BB"/>
    <w:rsid w:val="0070556E"/>
    <w:rsid w:val="0070561E"/>
    <w:rsid w:val="007056F9"/>
    <w:rsid w:val="0070575A"/>
    <w:rsid w:val="00705769"/>
    <w:rsid w:val="00705781"/>
    <w:rsid w:val="00705908"/>
    <w:rsid w:val="0070596C"/>
    <w:rsid w:val="007059C9"/>
    <w:rsid w:val="00705A84"/>
    <w:rsid w:val="00705AFA"/>
    <w:rsid w:val="00705BCF"/>
    <w:rsid w:val="00705C89"/>
    <w:rsid w:val="00705CDD"/>
    <w:rsid w:val="00705D6A"/>
    <w:rsid w:val="00705DC1"/>
    <w:rsid w:val="00705DD8"/>
    <w:rsid w:val="00705DEE"/>
    <w:rsid w:val="00705DF6"/>
    <w:rsid w:val="00705E9E"/>
    <w:rsid w:val="00706039"/>
    <w:rsid w:val="00706143"/>
    <w:rsid w:val="0070618F"/>
    <w:rsid w:val="007061D6"/>
    <w:rsid w:val="00706209"/>
    <w:rsid w:val="0070623B"/>
    <w:rsid w:val="007062D6"/>
    <w:rsid w:val="0070647E"/>
    <w:rsid w:val="007066C5"/>
    <w:rsid w:val="007066EC"/>
    <w:rsid w:val="00706B97"/>
    <w:rsid w:val="00706BC6"/>
    <w:rsid w:val="00706BDC"/>
    <w:rsid w:val="00706F1E"/>
    <w:rsid w:val="00706F20"/>
    <w:rsid w:val="00706F8B"/>
    <w:rsid w:val="00706FFC"/>
    <w:rsid w:val="0070701D"/>
    <w:rsid w:val="0070704F"/>
    <w:rsid w:val="00707278"/>
    <w:rsid w:val="0070729F"/>
    <w:rsid w:val="0070733C"/>
    <w:rsid w:val="007073B9"/>
    <w:rsid w:val="00707417"/>
    <w:rsid w:val="00707472"/>
    <w:rsid w:val="007074B8"/>
    <w:rsid w:val="0070755A"/>
    <w:rsid w:val="0070761B"/>
    <w:rsid w:val="007076B9"/>
    <w:rsid w:val="007076E8"/>
    <w:rsid w:val="007078A9"/>
    <w:rsid w:val="007078D7"/>
    <w:rsid w:val="007078EA"/>
    <w:rsid w:val="00707A75"/>
    <w:rsid w:val="00707AF3"/>
    <w:rsid w:val="00707B38"/>
    <w:rsid w:val="00707B66"/>
    <w:rsid w:val="00707BAC"/>
    <w:rsid w:val="00707C63"/>
    <w:rsid w:val="00707C9B"/>
    <w:rsid w:val="00707CA6"/>
    <w:rsid w:val="00707CCA"/>
    <w:rsid w:val="00707D03"/>
    <w:rsid w:val="00707D46"/>
    <w:rsid w:val="00707D78"/>
    <w:rsid w:val="00707E8B"/>
    <w:rsid w:val="00707F24"/>
    <w:rsid w:val="00707F36"/>
    <w:rsid w:val="00710065"/>
    <w:rsid w:val="007100D9"/>
    <w:rsid w:val="00710197"/>
    <w:rsid w:val="00710239"/>
    <w:rsid w:val="007103C8"/>
    <w:rsid w:val="0071040D"/>
    <w:rsid w:val="0071046E"/>
    <w:rsid w:val="0071048D"/>
    <w:rsid w:val="007104C0"/>
    <w:rsid w:val="00710522"/>
    <w:rsid w:val="00710564"/>
    <w:rsid w:val="0071057A"/>
    <w:rsid w:val="00710647"/>
    <w:rsid w:val="007108B4"/>
    <w:rsid w:val="0071096C"/>
    <w:rsid w:val="007109EA"/>
    <w:rsid w:val="00710A1B"/>
    <w:rsid w:val="00710A8D"/>
    <w:rsid w:val="00710BFE"/>
    <w:rsid w:val="00710C62"/>
    <w:rsid w:val="00710D89"/>
    <w:rsid w:val="00710E01"/>
    <w:rsid w:val="00711071"/>
    <w:rsid w:val="007110D7"/>
    <w:rsid w:val="00711292"/>
    <w:rsid w:val="007112C1"/>
    <w:rsid w:val="0071134F"/>
    <w:rsid w:val="00711380"/>
    <w:rsid w:val="0071150F"/>
    <w:rsid w:val="00711604"/>
    <w:rsid w:val="00711854"/>
    <w:rsid w:val="007118DA"/>
    <w:rsid w:val="00711A3B"/>
    <w:rsid w:val="00711A9E"/>
    <w:rsid w:val="00711AC9"/>
    <w:rsid w:val="00711AD2"/>
    <w:rsid w:val="00711B77"/>
    <w:rsid w:val="00711C26"/>
    <w:rsid w:val="00711CB3"/>
    <w:rsid w:val="00711D17"/>
    <w:rsid w:val="00711E2F"/>
    <w:rsid w:val="00711F59"/>
    <w:rsid w:val="00711F7D"/>
    <w:rsid w:val="00711FB9"/>
    <w:rsid w:val="00711FC8"/>
    <w:rsid w:val="00711FDC"/>
    <w:rsid w:val="00711FF7"/>
    <w:rsid w:val="00712051"/>
    <w:rsid w:val="0071208C"/>
    <w:rsid w:val="007120E9"/>
    <w:rsid w:val="00712141"/>
    <w:rsid w:val="00712252"/>
    <w:rsid w:val="007122A6"/>
    <w:rsid w:val="007122B4"/>
    <w:rsid w:val="00712316"/>
    <w:rsid w:val="0071231B"/>
    <w:rsid w:val="00712335"/>
    <w:rsid w:val="00712341"/>
    <w:rsid w:val="007123C2"/>
    <w:rsid w:val="007123C5"/>
    <w:rsid w:val="007125F6"/>
    <w:rsid w:val="007126D3"/>
    <w:rsid w:val="0071271F"/>
    <w:rsid w:val="00712761"/>
    <w:rsid w:val="00712805"/>
    <w:rsid w:val="00712893"/>
    <w:rsid w:val="007128A5"/>
    <w:rsid w:val="007128A7"/>
    <w:rsid w:val="00712A36"/>
    <w:rsid w:val="00712A5E"/>
    <w:rsid w:val="00712A67"/>
    <w:rsid w:val="00712ACB"/>
    <w:rsid w:val="00712B1E"/>
    <w:rsid w:val="00712B21"/>
    <w:rsid w:val="00712BAF"/>
    <w:rsid w:val="00712C32"/>
    <w:rsid w:val="00712CCB"/>
    <w:rsid w:val="00712CD1"/>
    <w:rsid w:val="00712CED"/>
    <w:rsid w:val="00712D00"/>
    <w:rsid w:val="00712DDA"/>
    <w:rsid w:val="00712ED0"/>
    <w:rsid w:val="00712FC5"/>
    <w:rsid w:val="00712FFA"/>
    <w:rsid w:val="007130B2"/>
    <w:rsid w:val="007130E2"/>
    <w:rsid w:val="007132C8"/>
    <w:rsid w:val="007133B2"/>
    <w:rsid w:val="007134DD"/>
    <w:rsid w:val="0071360F"/>
    <w:rsid w:val="00713626"/>
    <w:rsid w:val="00713692"/>
    <w:rsid w:val="007136B0"/>
    <w:rsid w:val="00713722"/>
    <w:rsid w:val="0071374B"/>
    <w:rsid w:val="00713754"/>
    <w:rsid w:val="00713781"/>
    <w:rsid w:val="00713930"/>
    <w:rsid w:val="00713956"/>
    <w:rsid w:val="007139F8"/>
    <w:rsid w:val="00713A19"/>
    <w:rsid w:val="00713AD0"/>
    <w:rsid w:val="00713B65"/>
    <w:rsid w:val="00713B7C"/>
    <w:rsid w:val="00713C61"/>
    <w:rsid w:val="00713C93"/>
    <w:rsid w:val="00713CCD"/>
    <w:rsid w:val="00713D1D"/>
    <w:rsid w:val="00713D1F"/>
    <w:rsid w:val="00713E73"/>
    <w:rsid w:val="00713F55"/>
    <w:rsid w:val="00714257"/>
    <w:rsid w:val="00714366"/>
    <w:rsid w:val="007144CE"/>
    <w:rsid w:val="00714585"/>
    <w:rsid w:val="00714617"/>
    <w:rsid w:val="007146F4"/>
    <w:rsid w:val="00714799"/>
    <w:rsid w:val="0071489E"/>
    <w:rsid w:val="00714980"/>
    <w:rsid w:val="00714A93"/>
    <w:rsid w:val="00714AF1"/>
    <w:rsid w:val="00714AFA"/>
    <w:rsid w:val="00714B33"/>
    <w:rsid w:val="00714CF6"/>
    <w:rsid w:val="00714D18"/>
    <w:rsid w:val="00714E47"/>
    <w:rsid w:val="00714F3D"/>
    <w:rsid w:val="007150B7"/>
    <w:rsid w:val="007151E7"/>
    <w:rsid w:val="0071523D"/>
    <w:rsid w:val="00715329"/>
    <w:rsid w:val="0071534A"/>
    <w:rsid w:val="00715449"/>
    <w:rsid w:val="0071549C"/>
    <w:rsid w:val="00715539"/>
    <w:rsid w:val="00715551"/>
    <w:rsid w:val="00715569"/>
    <w:rsid w:val="007155E2"/>
    <w:rsid w:val="007156D8"/>
    <w:rsid w:val="007156FA"/>
    <w:rsid w:val="00715711"/>
    <w:rsid w:val="00715770"/>
    <w:rsid w:val="0071577F"/>
    <w:rsid w:val="007157E6"/>
    <w:rsid w:val="0071580A"/>
    <w:rsid w:val="0071593A"/>
    <w:rsid w:val="007159A0"/>
    <w:rsid w:val="007159B1"/>
    <w:rsid w:val="00715AAD"/>
    <w:rsid w:val="00715AC2"/>
    <w:rsid w:val="00715ADE"/>
    <w:rsid w:val="00715B6C"/>
    <w:rsid w:val="00715B82"/>
    <w:rsid w:val="00715BCA"/>
    <w:rsid w:val="00715BE3"/>
    <w:rsid w:val="00715CD4"/>
    <w:rsid w:val="00715CE9"/>
    <w:rsid w:val="00715D9C"/>
    <w:rsid w:val="00715DC3"/>
    <w:rsid w:val="00715DDF"/>
    <w:rsid w:val="00715EB4"/>
    <w:rsid w:val="00715FBB"/>
    <w:rsid w:val="00716098"/>
    <w:rsid w:val="007160B6"/>
    <w:rsid w:val="0071619D"/>
    <w:rsid w:val="007161E6"/>
    <w:rsid w:val="007164CB"/>
    <w:rsid w:val="00716707"/>
    <w:rsid w:val="00716747"/>
    <w:rsid w:val="00716748"/>
    <w:rsid w:val="0071674E"/>
    <w:rsid w:val="00716850"/>
    <w:rsid w:val="0071696D"/>
    <w:rsid w:val="007169A0"/>
    <w:rsid w:val="00716AC4"/>
    <w:rsid w:val="00716B2A"/>
    <w:rsid w:val="00716C0B"/>
    <w:rsid w:val="00716C3A"/>
    <w:rsid w:val="00716C7B"/>
    <w:rsid w:val="00716D0E"/>
    <w:rsid w:val="00716D20"/>
    <w:rsid w:val="00716D3E"/>
    <w:rsid w:val="00716FD4"/>
    <w:rsid w:val="007170BC"/>
    <w:rsid w:val="00717224"/>
    <w:rsid w:val="00717305"/>
    <w:rsid w:val="00717346"/>
    <w:rsid w:val="00717370"/>
    <w:rsid w:val="00717385"/>
    <w:rsid w:val="00717469"/>
    <w:rsid w:val="007174A1"/>
    <w:rsid w:val="0071768A"/>
    <w:rsid w:val="0071770E"/>
    <w:rsid w:val="00717771"/>
    <w:rsid w:val="0071779B"/>
    <w:rsid w:val="0071780C"/>
    <w:rsid w:val="007178C7"/>
    <w:rsid w:val="007178F2"/>
    <w:rsid w:val="007179A7"/>
    <w:rsid w:val="007179C9"/>
    <w:rsid w:val="00717ADF"/>
    <w:rsid w:val="00717B90"/>
    <w:rsid w:val="00717B94"/>
    <w:rsid w:val="00717C2D"/>
    <w:rsid w:val="00717CD1"/>
    <w:rsid w:val="00717D32"/>
    <w:rsid w:val="00717D40"/>
    <w:rsid w:val="00717F14"/>
    <w:rsid w:val="00717F5A"/>
    <w:rsid w:val="00720012"/>
    <w:rsid w:val="00720030"/>
    <w:rsid w:val="00720283"/>
    <w:rsid w:val="007203C2"/>
    <w:rsid w:val="00720405"/>
    <w:rsid w:val="0072041E"/>
    <w:rsid w:val="00720497"/>
    <w:rsid w:val="007206C4"/>
    <w:rsid w:val="007207E6"/>
    <w:rsid w:val="00720860"/>
    <w:rsid w:val="00720873"/>
    <w:rsid w:val="00720875"/>
    <w:rsid w:val="00720879"/>
    <w:rsid w:val="007208D0"/>
    <w:rsid w:val="0072091E"/>
    <w:rsid w:val="007209C7"/>
    <w:rsid w:val="007209D2"/>
    <w:rsid w:val="00720A4C"/>
    <w:rsid w:val="00720B6A"/>
    <w:rsid w:val="00720DA3"/>
    <w:rsid w:val="00720DDA"/>
    <w:rsid w:val="00720DDE"/>
    <w:rsid w:val="00720E09"/>
    <w:rsid w:val="00720E0F"/>
    <w:rsid w:val="00720E68"/>
    <w:rsid w:val="00720E9D"/>
    <w:rsid w:val="00720EDB"/>
    <w:rsid w:val="00720FD6"/>
    <w:rsid w:val="00720FF6"/>
    <w:rsid w:val="00721002"/>
    <w:rsid w:val="00721100"/>
    <w:rsid w:val="00721186"/>
    <w:rsid w:val="0072130E"/>
    <w:rsid w:val="007213F5"/>
    <w:rsid w:val="00721460"/>
    <w:rsid w:val="007214F8"/>
    <w:rsid w:val="0072154B"/>
    <w:rsid w:val="0072154E"/>
    <w:rsid w:val="00721646"/>
    <w:rsid w:val="0072164E"/>
    <w:rsid w:val="007216B9"/>
    <w:rsid w:val="007216CC"/>
    <w:rsid w:val="0072170F"/>
    <w:rsid w:val="00721794"/>
    <w:rsid w:val="007217D1"/>
    <w:rsid w:val="007218A0"/>
    <w:rsid w:val="0072197A"/>
    <w:rsid w:val="007219B4"/>
    <w:rsid w:val="007219DE"/>
    <w:rsid w:val="00721A82"/>
    <w:rsid w:val="00721A87"/>
    <w:rsid w:val="00721ACD"/>
    <w:rsid w:val="00721B94"/>
    <w:rsid w:val="00721BBB"/>
    <w:rsid w:val="00721BF2"/>
    <w:rsid w:val="00721C2E"/>
    <w:rsid w:val="00721C41"/>
    <w:rsid w:val="00721C4C"/>
    <w:rsid w:val="00721C7C"/>
    <w:rsid w:val="00721C98"/>
    <w:rsid w:val="00721D49"/>
    <w:rsid w:val="00721DC1"/>
    <w:rsid w:val="00721E08"/>
    <w:rsid w:val="00721E62"/>
    <w:rsid w:val="00721EB5"/>
    <w:rsid w:val="00721F1A"/>
    <w:rsid w:val="00721F46"/>
    <w:rsid w:val="00722036"/>
    <w:rsid w:val="007220C2"/>
    <w:rsid w:val="007220D5"/>
    <w:rsid w:val="00722105"/>
    <w:rsid w:val="00722127"/>
    <w:rsid w:val="0072214A"/>
    <w:rsid w:val="00722157"/>
    <w:rsid w:val="00722247"/>
    <w:rsid w:val="0072232F"/>
    <w:rsid w:val="0072237B"/>
    <w:rsid w:val="007223D5"/>
    <w:rsid w:val="00722478"/>
    <w:rsid w:val="007224E9"/>
    <w:rsid w:val="00722546"/>
    <w:rsid w:val="00722553"/>
    <w:rsid w:val="0072264F"/>
    <w:rsid w:val="0072275A"/>
    <w:rsid w:val="00722844"/>
    <w:rsid w:val="007228CC"/>
    <w:rsid w:val="007228E0"/>
    <w:rsid w:val="007229BD"/>
    <w:rsid w:val="00722A1E"/>
    <w:rsid w:val="00722A34"/>
    <w:rsid w:val="00722A5E"/>
    <w:rsid w:val="00722AB0"/>
    <w:rsid w:val="00722ABA"/>
    <w:rsid w:val="00722ACD"/>
    <w:rsid w:val="00722B09"/>
    <w:rsid w:val="00722BF8"/>
    <w:rsid w:val="00722CB9"/>
    <w:rsid w:val="00722DE5"/>
    <w:rsid w:val="00722E0E"/>
    <w:rsid w:val="00722E37"/>
    <w:rsid w:val="00722E72"/>
    <w:rsid w:val="00722EDA"/>
    <w:rsid w:val="00722F08"/>
    <w:rsid w:val="00722FE8"/>
    <w:rsid w:val="00722FF9"/>
    <w:rsid w:val="007230CD"/>
    <w:rsid w:val="007230DF"/>
    <w:rsid w:val="007231E6"/>
    <w:rsid w:val="0072333D"/>
    <w:rsid w:val="00723349"/>
    <w:rsid w:val="00723403"/>
    <w:rsid w:val="007234E0"/>
    <w:rsid w:val="00723562"/>
    <w:rsid w:val="0072368B"/>
    <w:rsid w:val="007236B6"/>
    <w:rsid w:val="00723910"/>
    <w:rsid w:val="00723916"/>
    <w:rsid w:val="00723924"/>
    <w:rsid w:val="00723A11"/>
    <w:rsid w:val="00723A84"/>
    <w:rsid w:val="00723A8C"/>
    <w:rsid w:val="00723AEF"/>
    <w:rsid w:val="00723B85"/>
    <w:rsid w:val="00723BD3"/>
    <w:rsid w:val="00723C03"/>
    <w:rsid w:val="00723C59"/>
    <w:rsid w:val="00723E17"/>
    <w:rsid w:val="00723E6D"/>
    <w:rsid w:val="00723ECB"/>
    <w:rsid w:val="00723EEF"/>
    <w:rsid w:val="00724007"/>
    <w:rsid w:val="007240DF"/>
    <w:rsid w:val="0072418B"/>
    <w:rsid w:val="007243A5"/>
    <w:rsid w:val="007243DD"/>
    <w:rsid w:val="0072447C"/>
    <w:rsid w:val="00724481"/>
    <w:rsid w:val="00724584"/>
    <w:rsid w:val="0072458F"/>
    <w:rsid w:val="00724600"/>
    <w:rsid w:val="00724802"/>
    <w:rsid w:val="00724879"/>
    <w:rsid w:val="007249B3"/>
    <w:rsid w:val="007249F4"/>
    <w:rsid w:val="007249F6"/>
    <w:rsid w:val="00724A3D"/>
    <w:rsid w:val="00724A80"/>
    <w:rsid w:val="00724A97"/>
    <w:rsid w:val="00724AB1"/>
    <w:rsid w:val="00724AFC"/>
    <w:rsid w:val="00724B19"/>
    <w:rsid w:val="00724BAF"/>
    <w:rsid w:val="00724BB9"/>
    <w:rsid w:val="00724C49"/>
    <w:rsid w:val="00724CEE"/>
    <w:rsid w:val="00724DD2"/>
    <w:rsid w:val="00724F8C"/>
    <w:rsid w:val="00724FEC"/>
    <w:rsid w:val="00725027"/>
    <w:rsid w:val="0072506D"/>
    <w:rsid w:val="007250A6"/>
    <w:rsid w:val="007252A6"/>
    <w:rsid w:val="0072536B"/>
    <w:rsid w:val="007253A9"/>
    <w:rsid w:val="007255FF"/>
    <w:rsid w:val="0072560F"/>
    <w:rsid w:val="0072578A"/>
    <w:rsid w:val="0072588B"/>
    <w:rsid w:val="00725893"/>
    <w:rsid w:val="007258FF"/>
    <w:rsid w:val="00725919"/>
    <w:rsid w:val="007259A0"/>
    <w:rsid w:val="00725A70"/>
    <w:rsid w:val="00725AF4"/>
    <w:rsid w:val="00725C31"/>
    <w:rsid w:val="00725C48"/>
    <w:rsid w:val="00725CBC"/>
    <w:rsid w:val="00725D09"/>
    <w:rsid w:val="00725DDD"/>
    <w:rsid w:val="00725DEB"/>
    <w:rsid w:val="00726049"/>
    <w:rsid w:val="0072607D"/>
    <w:rsid w:val="007260C4"/>
    <w:rsid w:val="00726198"/>
    <w:rsid w:val="007261A1"/>
    <w:rsid w:val="007261A3"/>
    <w:rsid w:val="007261A6"/>
    <w:rsid w:val="0072625B"/>
    <w:rsid w:val="007262D7"/>
    <w:rsid w:val="0072642D"/>
    <w:rsid w:val="00726469"/>
    <w:rsid w:val="0072656A"/>
    <w:rsid w:val="007265F5"/>
    <w:rsid w:val="00726636"/>
    <w:rsid w:val="007266A5"/>
    <w:rsid w:val="0072676C"/>
    <w:rsid w:val="00726845"/>
    <w:rsid w:val="00726869"/>
    <w:rsid w:val="00726921"/>
    <w:rsid w:val="007269D9"/>
    <w:rsid w:val="00726B3E"/>
    <w:rsid w:val="00726B79"/>
    <w:rsid w:val="00726C0A"/>
    <w:rsid w:val="00726C21"/>
    <w:rsid w:val="00726CFB"/>
    <w:rsid w:val="00726D79"/>
    <w:rsid w:val="00726DAB"/>
    <w:rsid w:val="00726DF8"/>
    <w:rsid w:val="00726E49"/>
    <w:rsid w:val="00726E93"/>
    <w:rsid w:val="00726FC2"/>
    <w:rsid w:val="007270AC"/>
    <w:rsid w:val="00727144"/>
    <w:rsid w:val="0072715E"/>
    <w:rsid w:val="007271CA"/>
    <w:rsid w:val="00727216"/>
    <w:rsid w:val="00727222"/>
    <w:rsid w:val="00727399"/>
    <w:rsid w:val="007273E3"/>
    <w:rsid w:val="0072749A"/>
    <w:rsid w:val="007274A4"/>
    <w:rsid w:val="00727552"/>
    <w:rsid w:val="00727569"/>
    <w:rsid w:val="007275BD"/>
    <w:rsid w:val="007275FE"/>
    <w:rsid w:val="00727604"/>
    <w:rsid w:val="00727632"/>
    <w:rsid w:val="007276AC"/>
    <w:rsid w:val="007276B2"/>
    <w:rsid w:val="00727717"/>
    <w:rsid w:val="0072774C"/>
    <w:rsid w:val="00727790"/>
    <w:rsid w:val="007277CE"/>
    <w:rsid w:val="007278B8"/>
    <w:rsid w:val="0072791F"/>
    <w:rsid w:val="007279B3"/>
    <w:rsid w:val="00727A1A"/>
    <w:rsid w:val="00727A73"/>
    <w:rsid w:val="00727B98"/>
    <w:rsid w:val="00727CA4"/>
    <w:rsid w:val="00727D94"/>
    <w:rsid w:val="00727E30"/>
    <w:rsid w:val="0073008D"/>
    <w:rsid w:val="00730095"/>
    <w:rsid w:val="007300C7"/>
    <w:rsid w:val="007300DE"/>
    <w:rsid w:val="0073019E"/>
    <w:rsid w:val="00730237"/>
    <w:rsid w:val="007303B6"/>
    <w:rsid w:val="00730440"/>
    <w:rsid w:val="007304E7"/>
    <w:rsid w:val="00730523"/>
    <w:rsid w:val="00730540"/>
    <w:rsid w:val="007305C2"/>
    <w:rsid w:val="00730601"/>
    <w:rsid w:val="007306D1"/>
    <w:rsid w:val="00730785"/>
    <w:rsid w:val="007307C5"/>
    <w:rsid w:val="00730823"/>
    <w:rsid w:val="00730859"/>
    <w:rsid w:val="00730994"/>
    <w:rsid w:val="007309F1"/>
    <w:rsid w:val="007309F8"/>
    <w:rsid w:val="00730A2A"/>
    <w:rsid w:val="00730A6E"/>
    <w:rsid w:val="00730AD6"/>
    <w:rsid w:val="00730B17"/>
    <w:rsid w:val="00730D92"/>
    <w:rsid w:val="00730DCA"/>
    <w:rsid w:val="007310C9"/>
    <w:rsid w:val="00731172"/>
    <w:rsid w:val="0073119A"/>
    <w:rsid w:val="007314BD"/>
    <w:rsid w:val="007315C8"/>
    <w:rsid w:val="0073161A"/>
    <w:rsid w:val="00731659"/>
    <w:rsid w:val="007316A9"/>
    <w:rsid w:val="0073175C"/>
    <w:rsid w:val="007318B1"/>
    <w:rsid w:val="007318CA"/>
    <w:rsid w:val="007318ED"/>
    <w:rsid w:val="0073197F"/>
    <w:rsid w:val="00731A45"/>
    <w:rsid w:val="00731A97"/>
    <w:rsid w:val="00731B1E"/>
    <w:rsid w:val="00731B49"/>
    <w:rsid w:val="00731C9A"/>
    <w:rsid w:val="00731EEF"/>
    <w:rsid w:val="00731F11"/>
    <w:rsid w:val="00731F50"/>
    <w:rsid w:val="00731FFF"/>
    <w:rsid w:val="00732097"/>
    <w:rsid w:val="007320F8"/>
    <w:rsid w:val="007320FD"/>
    <w:rsid w:val="007320FE"/>
    <w:rsid w:val="007321DF"/>
    <w:rsid w:val="00732229"/>
    <w:rsid w:val="007323D5"/>
    <w:rsid w:val="00732678"/>
    <w:rsid w:val="0073268F"/>
    <w:rsid w:val="007326E6"/>
    <w:rsid w:val="007326FD"/>
    <w:rsid w:val="00732798"/>
    <w:rsid w:val="007327EB"/>
    <w:rsid w:val="007327F0"/>
    <w:rsid w:val="00732816"/>
    <w:rsid w:val="00732841"/>
    <w:rsid w:val="0073286B"/>
    <w:rsid w:val="00732899"/>
    <w:rsid w:val="007328DE"/>
    <w:rsid w:val="00732936"/>
    <w:rsid w:val="00732941"/>
    <w:rsid w:val="0073296B"/>
    <w:rsid w:val="0073297A"/>
    <w:rsid w:val="00732AB4"/>
    <w:rsid w:val="00732BC1"/>
    <w:rsid w:val="00732BEC"/>
    <w:rsid w:val="00732EAB"/>
    <w:rsid w:val="00732EB3"/>
    <w:rsid w:val="00732FAE"/>
    <w:rsid w:val="00733041"/>
    <w:rsid w:val="007330D7"/>
    <w:rsid w:val="007330DD"/>
    <w:rsid w:val="0073310E"/>
    <w:rsid w:val="007331C1"/>
    <w:rsid w:val="007332AD"/>
    <w:rsid w:val="00733338"/>
    <w:rsid w:val="00733379"/>
    <w:rsid w:val="0073337D"/>
    <w:rsid w:val="007333F9"/>
    <w:rsid w:val="00733439"/>
    <w:rsid w:val="00733477"/>
    <w:rsid w:val="00733499"/>
    <w:rsid w:val="007334FE"/>
    <w:rsid w:val="00733527"/>
    <w:rsid w:val="0073363E"/>
    <w:rsid w:val="0073377F"/>
    <w:rsid w:val="0073395B"/>
    <w:rsid w:val="0073396A"/>
    <w:rsid w:val="007339C9"/>
    <w:rsid w:val="007339F9"/>
    <w:rsid w:val="007339FF"/>
    <w:rsid w:val="00733AAF"/>
    <w:rsid w:val="00733C08"/>
    <w:rsid w:val="00733C15"/>
    <w:rsid w:val="00733C18"/>
    <w:rsid w:val="00733D21"/>
    <w:rsid w:val="00733E9D"/>
    <w:rsid w:val="00733F6E"/>
    <w:rsid w:val="00734220"/>
    <w:rsid w:val="0073422C"/>
    <w:rsid w:val="00734278"/>
    <w:rsid w:val="00734293"/>
    <w:rsid w:val="007342C4"/>
    <w:rsid w:val="007343B4"/>
    <w:rsid w:val="007343C9"/>
    <w:rsid w:val="00734458"/>
    <w:rsid w:val="0073448F"/>
    <w:rsid w:val="007344A6"/>
    <w:rsid w:val="00734562"/>
    <w:rsid w:val="00734576"/>
    <w:rsid w:val="007345AD"/>
    <w:rsid w:val="007346FE"/>
    <w:rsid w:val="00734781"/>
    <w:rsid w:val="00734789"/>
    <w:rsid w:val="0073478C"/>
    <w:rsid w:val="00734903"/>
    <w:rsid w:val="0073490D"/>
    <w:rsid w:val="00734928"/>
    <w:rsid w:val="0073498D"/>
    <w:rsid w:val="00734A6F"/>
    <w:rsid w:val="00734AF7"/>
    <w:rsid w:val="00734B35"/>
    <w:rsid w:val="00734D85"/>
    <w:rsid w:val="00734E73"/>
    <w:rsid w:val="00734E98"/>
    <w:rsid w:val="00734F68"/>
    <w:rsid w:val="007350BE"/>
    <w:rsid w:val="00735101"/>
    <w:rsid w:val="0073510E"/>
    <w:rsid w:val="00735123"/>
    <w:rsid w:val="0073522A"/>
    <w:rsid w:val="00735235"/>
    <w:rsid w:val="0073527F"/>
    <w:rsid w:val="00735298"/>
    <w:rsid w:val="00735359"/>
    <w:rsid w:val="00735435"/>
    <w:rsid w:val="007354E5"/>
    <w:rsid w:val="0073554C"/>
    <w:rsid w:val="00735717"/>
    <w:rsid w:val="0073572F"/>
    <w:rsid w:val="0073575F"/>
    <w:rsid w:val="007357B8"/>
    <w:rsid w:val="00735833"/>
    <w:rsid w:val="00735884"/>
    <w:rsid w:val="00735893"/>
    <w:rsid w:val="00735991"/>
    <w:rsid w:val="00735C1E"/>
    <w:rsid w:val="00735C2C"/>
    <w:rsid w:val="00735CAB"/>
    <w:rsid w:val="00735D2D"/>
    <w:rsid w:val="00735E02"/>
    <w:rsid w:val="00735EEA"/>
    <w:rsid w:val="00735F58"/>
    <w:rsid w:val="00735F63"/>
    <w:rsid w:val="0073604F"/>
    <w:rsid w:val="007360C6"/>
    <w:rsid w:val="0073610C"/>
    <w:rsid w:val="00736114"/>
    <w:rsid w:val="007362A9"/>
    <w:rsid w:val="0073637D"/>
    <w:rsid w:val="007363F7"/>
    <w:rsid w:val="0073658C"/>
    <w:rsid w:val="007365A7"/>
    <w:rsid w:val="00736601"/>
    <w:rsid w:val="0073667B"/>
    <w:rsid w:val="007366B4"/>
    <w:rsid w:val="007366C6"/>
    <w:rsid w:val="007366C9"/>
    <w:rsid w:val="00736737"/>
    <w:rsid w:val="0073675D"/>
    <w:rsid w:val="00736852"/>
    <w:rsid w:val="00736A01"/>
    <w:rsid w:val="00736A8F"/>
    <w:rsid w:val="00736ABE"/>
    <w:rsid w:val="00736AD6"/>
    <w:rsid w:val="00736B9F"/>
    <w:rsid w:val="00736C87"/>
    <w:rsid w:val="00736D05"/>
    <w:rsid w:val="00736E14"/>
    <w:rsid w:val="00736E27"/>
    <w:rsid w:val="00736FD0"/>
    <w:rsid w:val="00736FF9"/>
    <w:rsid w:val="00737174"/>
    <w:rsid w:val="00737201"/>
    <w:rsid w:val="00737252"/>
    <w:rsid w:val="00737258"/>
    <w:rsid w:val="0073744B"/>
    <w:rsid w:val="00737681"/>
    <w:rsid w:val="007376B3"/>
    <w:rsid w:val="007376C5"/>
    <w:rsid w:val="007379F3"/>
    <w:rsid w:val="007379FC"/>
    <w:rsid w:val="00737ACA"/>
    <w:rsid w:val="00737D94"/>
    <w:rsid w:val="00737DF9"/>
    <w:rsid w:val="00737E22"/>
    <w:rsid w:val="00737EE0"/>
    <w:rsid w:val="00737F4B"/>
    <w:rsid w:val="00740100"/>
    <w:rsid w:val="007402AC"/>
    <w:rsid w:val="00740312"/>
    <w:rsid w:val="0074043D"/>
    <w:rsid w:val="00740497"/>
    <w:rsid w:val="0074049A"/>
    <w:rsid w:val="007404B5"/>
    <w:rsid w:val="007404D7"/>
    <w:rsid w:val="007404ED"/>
    <w:rsid w:val="00740571"/>
    <w:rsid w:val="0074071D"/>
    <w:rsid w:val="0074075B"/>
    <w:rsid w:val="007407B2"/>
    <w:rsid w:val="00740836"/>
    <w:rsid w:val="0074086F"/>
    <w:rsid w:val="00740881"/>
    <w:rsid w:val="00740A33"/>
    <w:rsid w:val="00740BB7"/>
    <w:rsid w:val="00740BBB"/>
    <w:rsid w:val="00740C1F"/>
    <w:rsid w:val="00740C9F"/>
    <w:rsid w:val="00740D1C"/>
    <w:rsid w:val="00740D86"/>
    <w:rsid w:val="00740EFA"/>
    <w:rsid w:val="00741076"/>
    <w:rsid w:val="00741113"/>
    <w:rsid w:val="0074111D"/>
    <w:rsid w:val="00741139"/>
    <w:rsid w:val="0074131F"/>
    <w:rsid w:val="00741323"/>
    <w:rsid w:val="007413BE"/>
    <w:rsid w:val="007415DC"/>
    <w:rsid w:val="00741669"/>
    <w:rsid w:val="00741676"/>
    <w:rsid w:val="0074167E"/>
    <w:rsid w:val="007416EB"/>
    <w:rsid w:val="00741717"/>
    <w:rsid w:val="007418B8"/>
    <w:rsid w:val="00741934"/>
    <w:rsid w:val="0074195E"/>
    <w:rsid w:val="0074196D"/>
    <w:rsid w:val="0074199D"/>
    <w:rsid w:val="00741B65"/>
    <w:rsid w:val="00741DC4"/>
    <w:rsid w:val="0074205A"/>
    <w:rsid w:val="00742094"/>
    <w:rsid w:val="0074216F"/>
    <w:rsid w:val="00742173"/>
    <w:rsid w:val="007421D0"/>
    <w:rsid w:val="00742283"/>
    <w:rsid w:val="007422A8"/>
    <w:rsid w:val="0074232A"/>
    <w:rsid w:val="00742420"/>
    <w:rsid w:val="00742519"/>
    <w:rsid w:val="0074268A"/>
    <w:rsid w:val="00742815"/>
    <w:rsid w:val="0074287D"/>
    <w:rsid w:val="007429C3"/>
    <w:rsid w:val="00742A8A"/>
    <w:rsid w:val="00742B75"/>
    <w:rsid w:val="00742D5A"/>
    <w:rsid w:val="00742D7A"/>
    <w:rsid w:val="00742E5B"/>
    <w:rsid w:val="00742E66"/>
    <w:rsid w:val="00742E93"/>
    <w:rsid w:val="00742F9B"/>
    <w:rsid w:val="00743034"/>
    <w:rsid w:val="007432B7"/>
    <w:rsid w:val="007432D6"/>
    <w:rsid w:val="007432E9"/>
    <w:rsid w:val="00743387"/>
    <w:rsid w:val="007433AF"/>
    <w:rsid w:val="00743406"/>
    <w:rsid w:val="0074344A"/>
    <w:rsid w:val="007434F5"/>
    <w:rsid w:val="007434F6"/>
    <w:rsid w:val="007434FD"/>
    <w:rsid w:val="00743670"/>
    <w:rsid w:val="00743722"/>
    <w:rsid w:val="00743747"/>
    <w:rsid w:val="00743755"/>
    <w:rsid w:val="0074388D"/>
    <w:rsid w:val="007438D9"/>
    <w:rsid w:val="00743AC7"/>
    <w:rsid w:val="00743C15"/>
    <w:rsid w:val="00743C37"/>
    <w:rsid w:val="00743C81"/>
    <w:rsid w:val="00743CC5"/>
    <w:rsid w:val="00743EAE"/>
    <w:rsid w:val="00744054"/>
    <w:rsid w:val="00744110"/>
    <w:rsid w:val="007441BB"/>
    <w:rsid w:val="00744244"/>
    <w:rsid w:val="00744303"/>
    <w:rsid w:val="00744313"/>
    <w:rsid w:val="00744316"/>
    <w:rsid w:val="007443DA"/>
    <w:rsid w:val="00744411"/>
    <w:rsid w:val="00744425"/>
    <w:rsid w:val="00744429"/>
    <w:rsid w:val="007444DD"/>
    <w:rsid w:val="0074450C"/>
    <w:rsid w:val="007445C8"/>
    <w:rsid w:val="007445FB"/>
    <w:rsid w:val="0074460D"/>
    <w:rsid w:val="007446D2"/>
    <w:rsid w:val="007446E8"/>
    <w:rsid w:val="007447A4"/>
    <w:rsid w:val="00744A3D"/>
    <w:rsid w:val="00744A6B"/>
    <w:rsid w:val="00744A6D"/>
    <w:rsid w:val="00744A75"/>
    <w:rsid w:val="00744A78"/>
    <w:rsid w:val="00744A93"/>
    <w:rsid w:val="00744B5C"/>
    <w:rsid w:val="00744BA0"/>
    <w:rsid w:val="00744BAE"/>
    <w:rsid w:val="00744C0A"/>
    <w:rsid w:val="00744C2B"/>
    <w:rsid w:val="00744C4D"/>
    <w:rsid w:val="00744C6A"/>
    <w:rsid w:val="00744CE3"/>
    <w:rsid w:val="00744D4A"/>
    <w:rsid w:val="00744D8B"/>
    <w:rsid w:val="00744DB0"/>
    <w:rsid w:val="00744E11"/>
    <w:rsid w:val="00744F10"/>
    <w:rsid w:val="00744F95"/>
    <w:rsid w:val="00745059"/>
    <w:rsid w:val="007450CF"/>
    <w:rsid w:val="007450E9"/>
    <w:rsid w:val="00745225"/>
    <w:rsid w:val="0074532E"/>
    <w:rsid w:val="007455B9"/>
    <w:rsid w:val="007455D2"/>
    <w:rsid w:val="00745600"/>
    <w:rsid w:val="007456F0"/>
    <w:rsid w:val="0074571E"/>
    <w:rsid w:val="0074572F"/>
    <w:rsid w:val="007457C0"/>
    <w:rsid w:val="007458B7"/>
    <w:rsid w:val="00745ABB"/>
    <w:rsid w:val="00745AFE"/>
    <w:rsid w:val="00745B05"/>
    <w:rsid w:val="00745B58"/>
    <w:rsid w:val="00745BD1"/>
    <w:rsid w:val="00745BFD"/>
    <w:rsid w:val="00745C66"/>
    <w:rsid w:val="00745D31"/>
    <w:rsid w:val="00745D81"/>
    <w:rsid w:val="00745DD2"/>
    <w:rsid w:val="00745E1D"/>
    <w:rsid w:val="00745EB0"/>
    <w:rsid w:val="00745FDF"/>
    <w:rsid w:val="0074606F"/>
    <w:rsid w:val="007460C6"/>
    <w:rsid w:val="00746218"/>
    <w:rsid w:val="0074621E"/>
    <w:rsid w:val="00746296"/>
    <w:rsid w:val="007463AF"/>
    <w:rsid w:val="00746512"/>
    <w:rsid w:val="00746581"/>
    <w:rsid w:val="007465F1"/>
    <w:rsid w:val="007465FA"/>
    <w:rsid w:val="00746603"/>
    <w:rsid w:val="007466C6"/>
    <w:rsid w:val="007466ED"/>
    <w:rsid w:val="00746741"/>
    <w:rsid w:val="00746760"/>
    <w:rsid w:val="00746790"/>
    <w:rsid w:val="00746852"/>
    <w:rsid w:val="007468BE"/>
    <w:rsid w:val="007468D1"/>
    <w:rsid w:val="007468E9"/>
    <w:rsid w:val="007469A1"/>
    <w:rsid w:val="00746AD7"/>
    <w:rsid w:val="00746BF3"/>
    <w:rsid w:val="00746CC0"/>
    <w:rsid w:val="00746CF2"/>
    <w:rsid w:val="00746D06"/>
    <w:rsid w:val="00746D29"/>
    <w:rsid w:val="00746D81"/>
    <w:rsid w:val="00746DA7"/>
    <w:rsid w:val="00746F00"/>
    <w:rsid w:val="00746F68"/>
    <w:rsid w:val="00746F7F"/>
    <w:rsid w:val="00746F9F"/>
    <w:rsid w:val="007470F4"/>
    <w:rsid w:val="0074714D"/>
    <w:rsid w:val="007472A8"/>
    <w:rsid w:val="007472DC"/>
    <w:rsid w:val="00747473"/>
    <w:rsid w:val="0074751D"/>
    <w:rsid w:val="00747589"/>
    <w:rsid w:val="007475B9"/>
    <w:rsid w:val="007475D8"/>
    <w:rsid w:val="007475E6"/>
    <w:rsid w:val="0074765B"/>
    <w:rsid w:val="0074768B"/>
    <w:rsid w:val="00747692"/>
    <w:rsid w:val="00747870"/>
    <w:rsid w:val="0074790A"/>
    <w:rsid w:val="00747998"/>
    <w:rsid w:val="007479B1"/>
    <w:rsid w:val="00747BEC"/>
    <w:rsid w:val="00747C57"/>
    <w:rsid w:val="00747D77"/>
    <w:rsid w:val="00747EFB"/>
    <w:rsid w:val="00747F9A"/>
    <w:rsid w:val="0075002A"/>
    <w:rsid w:val="0075002F"/>
    <w:rsid w:val="00750151"/>
    <w:rsid w:val="00750369"/>
    <w:rsid w:val="00750586"/>
    <w:rsid w:val="00750628"/>
    <w:rsid w:val="0075076D"/>
    <w:rsid w:val="007507B7"/>
    <w:rsid w:val="00750801"/>
    <w:rsid w:val="00750915"/>
    <w:rsid w:val="00750A18"/>
    <w:rsid w:val="00750ABE"/>
    <w:rsid w:val="00750AFC"/>
    <w:rsid w:val="00750BFC"/>
    <w:rsid w:val="00750D68"/>
    <w:rsid w:val="00750E3A"/>
    <w:rsid w:val="00750FC6"/>
    <w:rsid w:val="00750FE8"/>
    <w:rsid w:val="00751018"/>
    <w:rsid w:val="00751115"/>
    <w:rsid w:val="007511BE"/>
    <w:rsid w:val="007512F3"/>
    <w:rsid w:val="0075134D"/>
    <w:rsid w:val="00751417"/>
    <w:rsid w:val="0075146E"/>
    <w:rsid w:val="00751559"/>
    <w:rsid w:val="0075158D"/>
    <w:rsid w:val="00751689"/>
    <w:rsid w:val="007516E5"/>
    <w:rsid w:val="00751710"/>
    <w:rsid w:val="007517BD"/>
    <w:rsid w:val="0075182E"/>
    <w:rsid w:val="007519F0"/>
    <w:rsid w:val="007519FC"/>
    <w:rsid w:val="00751A43"/>
    <w:rsid w:val="00751B6D"/>
    <w:rsid w:val="00751C1A"/>
    <w:rsid w:val="00751C2C"/>
    <w:rsid w:val="00751CD4"/>
    <w:rsid w:val="00751D7C"/>
    <w:rsid w:val="00751D9D"/>
    <w:rsid w:val="00751DFD"/>
    <w:rsid w:val="00751E25"/>
    <w:rsid w:val="00751F65"/>
    <w:rsid w:val="00751FF2"/>
    <w:rsid w:val="007520F2"/>
    <w:rsid w:val="007521F8"/>
    <w:rsid w:val="007523A6"/>
    <w:rsid w:val="00752423"/>
    <w:rsid w:val="00752460"/>
    <w:rsid w:val="00752480"/>
    <w:rsid w:val="00752493"/>
    <w:rsid w:val="0075263A"/>
    <w:rsid w:val="00752691"/>
    <w:rsid w:val="007527BA"/>
    <w:rsid w:val="007527DD"/>
    <w:rsid w:val="00752888"/>
    <w:rsid w:val="007528D4"/>
    <w:rsid w:val="007529D9"/>
    <w:rsid w:val="00752A6D"/>
    <w:rsid w:val="00752A73"/>
    <w:rsid w:val="00752C01"/>
    <w:rsid w:val="00752E2E"/>
    <w:rsid w:val="00752EA6"/>
    <w:rsid w:val="007530B8"/>
    <w:rsid w:val="007531E1"/>
    <w:rsid w:val="00753260"/>
    <w:rsid w:val="0075328A"/>
    <w:rsid w:val="0075329D"/>
    <w:rsid w:val="00753458"/>
    <w:rsid w:val="007534E0"/>
    <w:rsid w:val="007534ED"/>
    <w:rsid w:val="007536AE"/>
    <w:rsid w:val="007537DD"/>
    <w:rsid w:val="00753864"/>
    <w:rsid w:val="007538E6"/>
    <w:rsid w:val="007538F3"/>
    <w:rsid w:val="007538F5"/>
    <w:rsid w:val="00753A87"/>
    <w:rsid w:val="00753B3E"/>
    <w:rsid w:val="00753BB8"/>
    <w:rsid w:val="00753C2D"/>
    <w:rsid w:val="00753DB8"/>
    <w:rsid w:val="00753E00"/>
    <w:rsid w:val="00753EB1"/>
    <w:rsid w:val="00753F52"/>
    <w:rsid w:val="0075403C"/>
    <w:rsid w:val="007540B1"/>
    <w:rsid w:val="00754183"/>
    <w:rsid w:val="00754227"/>
    <w:rsid w:val="00754262"/>
    <w:rsid w:val="007542C3"/>
    <w:rsid w:val="007542C5"/>
    <w:rsid w:val="0075439B"/>
    <w:rsid w:val="007543AF"/>
    <w:rsid w:val="00754439"/>
    <w:rsid w:val="0075449F"/>
    <w:rsid w:val="007544DC"/>
    <w:rsid w:val="00754507"/>
    <w:rsid w:val="0075458E"/>
    <w:rsid w:val="00754763"/>
    <w:rsid w:val="00754871"/>
    <w:rsid w:val="007548B3"/>
    <w:rsid w:val="007548D9"/>
    <w:rsid w:val="007548E5"/>
    <w:rsid w:val="00754900"/>
    <w:rsid w:val="00754A89"/>
    <w:rsid w:val="00754AA3"/>
    <w:rsid w:val="00754B12"/>
    <w:rsid w:val="00754C3E"/>
    <w:rsid w:val="00754CAB"/>
    <w:rsid w:val="00754D9F"/>
    <w:rsid w:val="00754FBA"/>
    <w:rsid w:val="00755058"/>
    <w:rsid w:val="00755119"/>
    <w:rsid w:val="00755343"/>
    <w:rsid w:val="00755397"/>
    <w:rsid w:val="007553B2"/>
    <w:rsid w:val="00755413"/>
    <w:rsid w:val="00755444"/>
    <w:rsid w:val="0075545D"/>
    <w:rsid w:val="00755495"/>
    <w:rsid w:val="007554D0"/>
    <w:rsid w:val="0075556D"/>
    <w:rsid w:val="007555FF"/>
    <w:rsid w:val="007556E0"/>
    <w:rsid w:val="00755769"/>
    <w:rsid w:val="0075579B"/>
    <w:rsid w:val="007558B8"/>
    <w:rsid w:val="00755968"/>
    <w:rsid w:val="007559D0"/>
    <w:rsid w:val="007559EA"/>
    <w:rsid w:val="00755AC4"/>
    <w:rsid w:val="00755B15"/>
    <w:rsid w:val="00755B4D"/>
    <w:rsid w:val="00755BC3"/>
    <w:rsid w:val="00755C34"/>
    <w:rsid w:val="00755C42"/>
    <w:rsid w:val="00755C5F"/>
    <w:rsid w:val="00755C69"/>
    <w:rsid w:val="00755CD1"/>
    <w:rsid w:val="00755EB7"/>
    <w:rsid w:val="00755EC8"/>
    <w:rsid w:val="00755F24"/>
    <w:rsid w:val="00755FE6"/>
    <w:rsid w:val="00756062"/>
    <w:rsid w:val="007560BD"/>
    <w:rsid w:val="007561D2"/>
    <w:rsid w:val="0075620B"/>
    <w:rsid w:val="00756240"/>
    <w:rsid w:val="007562BF"/>
    <w:rsid w:val="007562E3"/>
    <w:rsid w:val="007562ED"/>
    <w:rsid w:val="00756389"/>
    <w:rsid w:val="007564F9"/>
    <w:rsid w:val="00756572"/>
    <w:rsid w:val="007565BF"/>
    <w:rsid w:val="007566B3"/>
    <w:rsid w:val="00756720"/>
    <w:rsid w:val="0075683B"/>
    <w:rsid w:val="007568C2"/>
    <w:rsid w:val="00756977"/>
    <w:rsid w:val="0075699E"/>
    <w:rsid w:val="007569FA"/>
    <w:rsid w:val="00756A07"/>
    <w:rsid w:val="00756AFA"/>
    <w:rsid w:val="00756B0F"/>
    <w:rsid w:val="00756BC0"/>
    <w:rsid w:val="00756BED"/>
    <w:rsid w:val="00756C89"/>
    <w:rsid w:val="00756D87"/>
    <w:rsid w:val="00756DF0"/>
    <w:rsid w:val="00756E2D"/>
    <w:rsid w:val="00756E56"/>
    <w:rsid w:val="00756EAB"/>
    <w:rsid w:val="00756EF0"/>
    <w:rsid w:val="007570E6"/>
    <w:rsid w:val="00757118"/>
    <w:rsid w:val="0075713D"/>
    <w:rsid w:val="007571B0"/>
    <w:rsid w:val="00757213"/>
    <w:rsid w:val="0075722F"/>
    <w:rsid w:val="007572BB"/>
    <w:rsid w:val="007572D4"/>
    <w:rsid w:val="00757371"/>
    <w:rsid w:val="007573A9"/>
    <w:rsid w:val="007573AC"/>
    <w:rsid w:val="00757516"/>
    <w:rsid w:val="00757553"/>
    <w:rsid w:val="0075756E"/>
    <w:rsid w:val="007575F6"/>
    <w:rsid w:val="00757735"/>
    <w:rsid w:val="00757815"/>
    <w:rsid w:val="00757AAB"/>
    <w:rsid w:val="00757AC4"/>
    <w:rsid w:val="00757AE5"/>
    <w:rsid w:val="00757CD8"/>
    <w:rsid w:val="00757D06"/>
    <w:rsid w:val="00757E23"/>
    <w:rsid w:val="00757E38"/>
    <w:rsid w:val="00760106"/>
    <w:rsid w:val="00760319"/>
    <w:rsid w:val="00760332"/>
    <w:rsid w:val="00760376"/>
    <w:rsid w:val="00760378"/>
    <w:rsid w:val="00760386"/>
    <w:rsid w:val="00760391"/>
    <w:rsid w:val="0076040B"/>
    <w:rsid w:val="00760465"/>
    <w:rsid w:val="0076046F"/>
    <w:rsid w:val="00760544"/>
    <w:rsid w:val="0076064A"/>
    <w:rsid w:val="007606D8"/>
    <w:rsid w:val="00760783"/>
    <w:rsid w:val="007608E3"/>
    <w:rsid w:val="007608FB"/>
    <w:rsid w:val="007608FD"/>
    <w:rsid w:val="0076090C"/>
    <w:rsid w:val="007609E3"/>
    <w:rsid w:val="00760A68"/>
    <w:rsid w:val="00760B43"/>
    <w:rsid w:val="00760B74"/>
    <w:rsid w:val="00760B98"/>
    <w:rsid w:val="00760C2F"/>
    <w:rsid w:val="00760C89"/>
    <w:rsid w:val="00760CF7"/>
    <w:rsid w:val="00760D12"/>
    <w:rsid w:val="00760D29"/>
    <w:rsid w:val="00760D89"/>
    <w:rsid w:val="00760DA5"/>
    <w:rsid w:val="00760E82"/>
    <w:rsid w:val="00760EAD"/>
    <w:rsid w:val="00760EF2"/>
    <w:rsid w:val="00760F55"/>
    <w:rsid w:val="00761064"/>
    <w:rsid w:val="0076109C"/>
    <w:rsid w:val="00761134"/>
    <w:rsid w:val="00761180"/>
    <w:rsid w:val="0076126C"/>
    <w:rsid w:val="00761324"/>
    <w:rsid w:val="0076133D"/>
    <w:rsid w:val="007614AB"/>
    <w:rsid w:val="007615B9"/>
    <w:rsid w:val="0076163A"/>
    <w:rsid w:val="00761731"/>
    <w:rsid w:val="00761818"/>
    <w:rsid w:val="00761864"/>
    <w:rsid w:val="00761872"/>
    <w:rsid w:val="00761898"/>
    <w:rsid w:val="007618F6"/>
    <w:rsid w:val="0076191C"/>
    <w:rsid w:val="007619CD"/>
    <w:rsid w:val="00761A2D"/>
    <w:rsid w:val="00761AC3"/>
    <w:rsid w:val="00761ADD"/>
    <w:rsid w:val="00761B90"/>
    <w:rsid w:val="00761DAA"/>
    <w:rsid w:val="00761DE1"/>
    <w:rsid w:val="00761DF8"/>
    <w:rsid w:val="00761E3D"/>
    <w:rsid w:val="00761E94"/>
    <w:rsid w:val="00761F00"/>
    <w:rsid w:val="00761F9F"/>
    <w:rsid w:val="00761FA6"/>
    <w:rsid w:val="00762028"/>
    <w:rsid w:val="00762087"/>
    <w:rsid w:val="00762142"/>
    <w:rsid w:val="00762166"/>
    <w:rsid w:val="0076217D"/>
    <w:rsid w:val="00762206"/>
    <w:rsid w:val="0076222E"/>
    <w:rsid w:val="00762284"/>
    <w:rsid w:val="00762429"/>
    <w:rsid w:val="0076251E"/>
    <w:rsid w:val="00762577"/>
    <w:rsid w:val="0076258B"/>
    <w:rsid w:val="007625C5"/>
    <w:rsid w:val="007626C4"/>
    <w:rsid w:val="00762764"/>
    <w:rsid w:val="0076279A"/>
    <w:rsid w:val="007627E7"/>
    <w:rsid w:val="00762846"/>
    <w:rsid w:val="00762895"/>
    <w:rsid w:val="007628F6"/>
    <w:rsid w:val="007629AC"/>
    <w:rsid w:val="00762B11"/>
    <w:rsid w:val="00762B5E"/>
    <w:rsid w:val="00762BFC"/>
    <w:rsid w:val="00762DE4"/>
    <w:rsid w:val="00762DEE"/>
    <w:rsid w:val="00762E2A"/>
    <w:rsid w:val="00762F7E"/>
    <w:rsid w:val="00762FED"/>
    <w:rsid w:val="0076304C"/>
    <w:rsid w:val="00763053"/>
    <w:rsid w:val="007630A4"/>
    <w:rsid w:val="00763151"/>
    <w:rsid w:val="007631D2"/>
    <w:rsid w:val="00763269"/>
    <w:rsid w:val="00763311"/>
    <w:rsid w:val="00763355"/>
    <w:rsid w:val="00763363"/>
    <w:rsid w:val="00763374"/>
    <w:rsid w:val="007633E0"/>
    <w:rsid w:val="007633F4"/>
    <w:rsid w:val="0076350F"/>
    <w:rsid w:val="007635D5"/>
    <w:rsid w:val="0076365C"/>
    <w:rsid w:val="007636AB"/>
    <w:rsid w:val="007637C7"/>
    <w:rsid w:val="007639A6"/>
    <w:rsid w:val="007639C3"/>
    <w:rsid w:val="00763A2A"/>
    <w:rsid w:val="00763A85"/>
    <w:rsid w:val="00763B2C"/>
    <w:rsid w:val="00763B34"/>
    <w:rsid w:val="00763B60"/>
    <w:rsid w:val="00763DD5"/>
    <w:rsid w:val="00763EAD"/>
    <w:rsid w:val="00763EB6"/>
    <w:rsid w:val="00763FD9"/>
    <w:rsid w:val="0076404D"/>
    <w:rsid w:val="0076409D"/>
    <w:rsid w:val="007640EF"/>
    <w:rsid w:val="007641B2"/>
    <w:rsid w:val="007641D5"/>
    <w:rsid w:val="00764267"/>
    <w:rsid w:val="007643A5"/>
    <w:rsid w:val="0076448F"/>
    <w:rsid w:val="007644B5"/>
    <w:rsid w:val="007645AB"/>
    <w:rsid w:val="00764614"/>
    <w:rsid w:val="007646EB"/>
    <w:rsid w:val="00764720"/>
    <w:rsid w:val="00764728"/>
    <w:rsid w:val="007647D8"/>
    <w:rsid w:val="007647DD"/>
    <w:rsid w:val="00764885"/>
    <w:rsid w:val="00764921"/>
    <w:rsid w:val="0076495B"/>
    <w:rsid w:val="0076498A"/>
    <w:rsid w:val="00764ACE"/>
    <w:rsid w:val="00764AE8"/>
    <w:rsid w:val="00764B37"/>
    <w:rsid w:val="00764C5A"/>
    <w:rsid w:val="00764CE8"/>
    <w:rsid w:val="00764EAD"/>
    <w:rsid w:val="00764ED4"/>
    <w:rsid w:val="00764EE3"/>
    <w:rsid w:val="00764F37"/>
    <w:rsid w:val="00764F8A"/>
    <w:rsid w:val="00764FB2"/>
    <w:rsid w:val="00765080"/>
    <w:rsid w:val="007650C5"/>
    <w:rsid w:val="007650C7"/>
    <w:rsid w:val="007650CF"/>
    <w:rsid w:val="007650E8"/>
    <w:rsid w:val="0076516F"/>
    <w:rsid w:val="0076521B"/>
    <w:rsid w:val="007652A3"/>
    <w:rsid w:val="007652AF"/>
    <w:rsid w:val="007652FB"/>
    <w:rsid w:val="0076531B"/>
    <w:rsid w:val="00765361"/>
    <w:rsid w:val="007653D3"/>
    <w:rsid w:val="00765400"/>
    <w:rsid w:val="0076540C"/>
    <w:rsid w:val="00765413"/>
    <w:rsid w:val="007654B3"/>
    <w:rsid w:val="007656EC"/>
    <w:rsid w:val="007657B8"/>
    <w:rsid w:val="0076583B"/>
    <w:rsid w:val="00765A66"/>
    <w:rsid w:val="00765ABF"/>
    <w:rsid w:val="00765B0E"/>
    <w:rsid w:val="00765B13"/>
    <w:rsid w:val="00765C31"/>
    <w:rsid w:val="00765C44"/>
    <w:rsid w:val="00765CFD"/>
    <w:rsid w:val="00765E94"/>
    <w:rsid w:val="00765F6D"/>
    <w:rsid w:val="00766004"/>
    <w:rsid w:val="00766030"/>
    <w:rsid w:val="0076610B"/>
    <w:rsid w:val="00766122"/>
    <w:rsid w:val="0076614E"/>
    <w:rsid w:val="007662AC"/>
    <w:rsid w:val="00766322"/>
    <w:rsid w:val="0076633B"/>
    <w:rsid w:val="0076646D"/>
    <w:rsid w:val="00766500"/>
    <w:rsid w:val="00766575"/>
    <w:rsid w:val="00766626"/>
    <w:rsid w:val="00766705"/>
    <w:rsid w:val="0076673C"/>
    <w:rsid w:val="00766783"/>
    <w:rsid w:val="007667E1"/>
    <w:rsid w:val="0076686F"/>
    <w:rsid w:val="00766990"/>
    <w:rsid w:val="0076699E"/>
    <w:rsid w:val="00766A20"/>
    <w:rsid w:val="00766A9E"/>
    <w:rsid w:val="00766B28"/>
    <w:rsid w:val="00766BD4"/>
    <w:rsid w:val="00766D53"/>
    <w:rsid w:val="00766FD9"/>
    <w:rsid w:val="00766FDB"/>
    <w:rsid w:val="00766FFA"/>
    <w:rsid w:val="007670EB"/>
    <w:rsid w:val="007670F2"/>
    <w:rsid w:val="00767160"/>
    <w:rsid w:val="007671BF"/>
    <w:rsid w:val="00767212"/>
    <w:rsid w:val="00767254"/>
    <w:rsid w:val="00767330"/>
    <w:rsid w:val="00767350"/>
    <w:rsid w:val="007673B9"/>
    <w:rsid w:val="007673F7"/>
    <w:rsid w:val="007674B3"/>
    <w:rsid w:val="007674F3"/>
    <w:rsid w:val="007674F9"/>
    <w:rsid w:val="0076760A"/>
    <w:rsid w:val="00767652"/>
    <w:rsid w:val="007676B6"/>
    <w:rsid w:val="00767778"/>
    <w:rsid w:val="00767785"/>
    <w:rsid w:val="007677C6"/>
    <w:rsid w:val="0076787B"/>
    <w:rsid w:val="007678A4"/>
    <w:rsid w:val="007679FE"/>
    <w:rsid w:val="00767A17"/>
    <w:rsid w:val="00767ADB"/>
    <w:rsid w:val="00767BD9"/>
    <w:rsid w:val="00767C53"/>
    <w:rsid w:val="00767C67"/>
    <w:rsid w:val="00767D30"/>
    <w:rsid w:val="00767D49"/>
    <w:rsid w:val="00767D65"/>
    <w:rsid w:val="00767E63"/>
    <w:rsid w:val="00767F76"/>
    <w:rsid w:val="00770074"/>
    <w:rsid w:val="0077017E"/>
    <w:rsid w:val="007701D5"/>
    <w:rsid w:val="00770252"/>
    <w:rsid w:val="0077029D"/>
    <w:rsid w:val="007702E8"/>
    <w:rsid w:val="0077030A"/>
    <w:rsid w:val="007703FE"/>
    <w:rsid w:val="0077040F"/>
    <w:rsid w:val="00770419"/>
    <w:rsid w:val="00770446"/>
    <w:rsid w:val="00770463"/>
    <w:rsid w:val="007704C2"/>
    <w:rsid w:val="00770587"/>
    <w:rsid w:val="0077062D"/>
    <w:rsid w:val="007706DD"/>
    <w:rsid w:val="00770754"/>
    <w:rsid w:val="0077079A"/>
    <w:rsid w:val="007707AB"/>
    <w:rsid w:val="007707D9"/>
    <w:rsid w:val="0077080B"/>
    <w:rsid w:val="00770817"/>
    <w:rsid w:val="00770819"/>
    <w:rsid w:val="0077087F"/>
    <w:rsid w:val="007708E0"/>
    <w:rsid w:val="007708E7"/>
    <w:rsid w:val="0077091D"/>
    <w:rsid w:val="00770994"/>
    <w:rsid w:val="00770A82"/>
    <w:rsid w:val="00770B5C"/>
    <w:rsid w:val="00770B99"/>
    <w:rsid w:val="00770BF4"/>
    <w:rsid w:val="00770C46"/>
    <w:rsid w:val="00770CCB"/>
    <w:rsid w:val="00770CE0"/>
    <w:rsid w:val="00770D2D"/>
    <w:rsid w:val="00770DB0"/>
    <w:rsid w:val="00770FCA"/>
    <w:rsid w:val="00771168"/>
    <w:rsid w:val="007711E7"/>
    <w:rsid w:val="007711F6"/>
    <w:rsid w:val="0077122F"/>
    <w:rsid w:val="00771245"/>
    <w:rsid w:val="00771294"/>
    <w:rsid w:val="007712A5"/>
    <w:rsid w:val="007712C2"/>
    <w:rsid w:val="00771368"/>
    <w:rsid w:val="00771481"/>
    <w:rsid w:val="007714C9"/>
    <w:rsid w:val="0077155A"/>
    <w:rsid w:val="00771565"/>
    <w:rsid w:val="00771569"/>
    <w:rsid w:val="00771588"/>
    <w:rsid w:val="007715AE"/>
    <w:rsid w:val="00771616"/>
    <w:rsid w:val="00771737"/>
    <w:rsid w:val="0077175B"/>
    <w:rsid w:val="00771762"/>
    <w:rsid w:val="0077176F"/>
    <w:rsid w:val="00771868"/>
    <w:rsid w:val="007719C4"/>
    <w:rsid w:val="007719D0"/>
    <w:rsid w:val="00771A0A"/>
    <w:rsid w:val="00771A36"/>
    <w:rsid w:val="00771A7A"/>
    <w:rsid w:val="00771CA2"/>
    <w:rsid w:val="00771CF4"/>
    <w:rsid w:val="00771D25"/>
    <w:rsid w:val="00771F1C"/>
    <w:rsid w:val="00772018"/>
    <w:rsid w:val="007720DA"/>
    <w:rsid w:val="007720E9"/>
    <w:rsid w:val="0077211A"/>
    <w:rsid w:val="00772164"/>
    <w:rsid w:val="007721A7"/>
    <w:rsid w:val="00772245"/>
    <w:rsid w:val="007722B4"/>
    <w:rsid w:val="007722CB"/>
    <w:rsid w:val="00772472"/>
    <w:rsid w:val="00772502"/>
    <w:rsid w:val="0077253C"/>
    <w:rsid w:val="00772706"/>
    <w:rsid w:val="007727DA"/>
    <w:rsid w:val="007729A6"/>
    <w:rsid w:val="007729D6"/>
    <w:rsid w:val="007729FC"/>
    <w:rsid w:val="00772AE3"/>
    <w:rsid w:val="00772B5C"/>
    <w:rsid w:val="00772C04"/>
    <w:rsid w:val="00772CD6"/>
    <w:rsid w:val="00772D04"/>
    <w:rsid w:val="00772D87"/>
    <w:rsid w:val="00772E80"/>
    <w:rsid w:val="00772F07"/>
    <w:rsid w:val="00772F64"/>
    <w:rsid w:val="00772F95"/>
    <w:rsid w:val="00773026"/>
    <w:rsid w:val="00773027"/>
    <w:rsid w:val="0077305F"/>
    <w:rsid w:val="007730C0"/>
    <w:rsid w:val="007730C5"/>
    <w:rsid w:val="0077321A"/>
    <w:rsid w:val="0077323B"/>
    <w:rsid w:val="00773335"/>
    <w:rsid w:val="007733E3"/>
    <w:rsid w:val="0077345A"/>
    <w:rsid w:val="007734F4"/>
    <w:rsid w:val="0077357E"/>
    <w:rsid w:val="007735BA"/>
    <w:rsid w:val="00773644"/>
    <w:rsid w:val="00773656"/>
    <w:rsid w:val="007736BC"/>
    <w:rsid w:val="00773746"/>
    <w:rsid w:val="0077375A"/>
    <w:rsid w:val="007737E5"/>
    <w:rsid w:val="007737EE"/>
    <w:rsid w:val="00773847"/>
    <w:rsid w:val="007738DA"/>
    <w:rsid w:val="007738DD"/>
    <w:rsid w:val="007739D3"/>
    <w:rsid w:val="00773A5C"/>
    <w:rsid w:val="00773BB9"/>
    <w:rsid w:val="00773C0A"/>
    <w:rsid w:val="00773CD6"/>
    <w:rsid w:val="00773D0D"/>
    <w:rsid w:val="00773D26"/>
    <w:rsid w:val="00773D42"/>
    <w:rsid w:val="00773D4A"/>
    <w:rsid w:val="00773D74"/>
    <w:rsid w:val="00773EB8"/>
    <w:rsid w:val="00773F67"/>
    <w:rsid w:val="007740BB"/>
    <w:rsid w:val="0077413E"/>
    <w:rsid w:val="0077423A"/>
    <w:rsid w:val="00774398"/>
    <w:rsid w:val="007743A9"/>
    <w:rsid w:val="0077444B"/>
    <w:rsid w:val="0077449E"/>
    <w:rsid w:val="007744D7"/>
    <w:rsid w:val="007746A1"/>
    <w:rsid w:val="007746F9"/>
    <w:rsid w:val="0077485A"/>
    <w:rsid w:val="0077488B"/>
    <w:rsid w:val="0077497A"/>
    <w:rsid w:val="007749E2"/>
    <w:rsid w:val="007749F3"/>
    <w:rsid w:val="00774BCF"/>
    <w:rsid w:val="00774C84"/>
    <w:rsid w:val="00774CBC"/>
    <w:rsid w:val="00774F0B"/>
    <w:rsid w:val="00774FCF"/>
    <w:rsid w:val="00774FF1"/>
    <w:rsid w:val="00775055"/>
    <w:rsid w:val="00775174"/>
    <w:rsid w:val="00775177"/>
    <w:rsid w:val="0077517F"/>
    <w:rsid w:val="007751AA"/>
    <w:rsid w:val="007751CB"/>
    <w:rsid w:val="007752D3"/>
    <w:rsid w:val="00775319"/>
    <w:rsid w:val="0077534D"/>
    <w:rsid w:val="00775358"/>
    <w:rsid w:val="0077554F"/>
    <w:rsid w:val="00775611"/>
    <w:rsid w:val="0077562D"/>
    <w:rsid w:val="00775721"/>
    <w:rsid w:val="007758AB"/>
    <w:rsid w:val="0077591C"/>
    <w:rsid w:val="00775926"/>
    <w:rsid w:val="00775970"/>
    <w:rsid w:val="007759C2"/>
    <w:rsid w:val="00775A7A"/>
    <w:rsid w:val="00775AC1"/>
    <w:rsid w:val="00775AD9"/>
    <w:rsid w:val="00775B06"/>
    <w:rsid w:val="00775B7B"/>
    <w:rsid w:val="00775E89"/>
    <w:rsid w:val="00775EA8"/>
    <w:rsid w:val="00775FF7"/>
    <w:rsid w:val="0077604C"/>
    <w:rsid w:val="00776090"/>
    <w:rsid w:val="007760CE"/>
    <w:rsid w:val="0077616C"/>
    <w:rsid w:val="00776182"/>
    <w:rsid w:val="0077624B"/>
    <w:rsid w:val="0077625C"/>
    <w:rsid w:val="007762BA"/>
    <w:rsid w:val="00776390"/>
    <w:rsid w:val="00776413"/>
    <w:rsid w:val="00776678"/>
    <w:rsid w:val="00776698"/>
    <w:rsid w:val="00776712"/>
    <w:rsid w:val="00776877"/>
    <w:rsid w:val="0077699B"/>
    <w:rsid w:val="0077699F"/>
    <w:rsid w:val="00776AC7"/>
    <w:rsid w:val="00776BA7"/>
    <w:rsid w:val="00776CB3"/>
    <w:rsid w:val="00776CBB"/>
    <w:rsid w:val="00776E9A"/>
    <w:rsid w:val="00776F29"/>
    <w:rsid w:val="00776FE4"/>
    <w:rsid w:val="00777011"/>
    <w:rsid w:val="00777074"/>
    <w:rsid w:val="0077708A"/>
    <w:rsid w:val="007770D8"/>
    <w:rsid w:val="007771B2"/>
    <w:rsid w:val="0077730E"/>
    <w:rsid w:val="00777485"/>
    <w:rsid w:val="00777541"/>
    <w:rsid w:val="00777587"/>
    <w:rsid w:val="007775DB"/>
    <w:rsid w:val="0077761B"/>
    <w:rsid w:val="00777636"/>
    <w:rsid w:val="007776C9"/>
    <w:rsid w:val="007776F6"/>
    <w:rsid w:val="0077773C"/>
    <w:rsid w:val="0077780E"/>
    <w:rsid w:val="00777A35"/>
    <w:rsid w:val="00777AEA"/>
    <w:rsid w:val="00777B9E"/>
    <w:rsid w:val="00777C8A"/>
    <w:rsid w:val="00777CBB"/>
    <w:rsid w:val="00777DD1"/>
    <w:rsid w:val="00777DFC"/>
    <w:rsid w:val="00777FE8"/>
    <w:rsid w:val="00780113"/>
    <w:rsid w:val="00780114"/>
    <w:rsid w:val="007801BD"/>
    <w:rsid w:val="007801E8"/>
    <w:rsid w:val="00780202"/>
    <w:rsid w:val="0078024D"/>
    <w:rsid w:val="00780359"/>
    <w:rsid w:val="00780366"/>
    <w:rsid w:val="00780380"/>
    <w:rsid w:val="007805CB"/>
    <w:rsid w:val="00780622"/>
    <w:rsid w:val="00780671"/>
    <w:rsid w:val="007806A8"/>
    <w:rsid w:val="00780711"/>
    <w:rsid w:val="0078082E"/>
    <w:rsid w:val="0078086A"/>
    <w:rsid w:val="00780909"/>
    <w:rsid w:val="007809FE"/>
    <w:rsid w:val="00780A43"/>
    <w:rsid w:val="00780AB0"/>
    <w:rsid w:val="00780AB7"/>
    <w:rsid w:val="00780B44"/>
    <w:rsid w:val="00780B8D"/>
    <w:rsid w:val="00780B90"/>
    <w:rsid w:val="00780CF6"/>
    <w:rsid w:val="00780CFA"/>
    <w:rsid w:val="00780E66"/>
    <w:rsid w:val="00780E7E"/>
    <w:rsid w:val="00780EC9"/>
    <w:rsid w:val="00780EE9"/>
    <w:rsid w:val="00780F35"/>
    <w:rsid w:val="00780FBF"/>
    <w:rsid w:val="00780FC9"/>
    <w:rsid w:val="00781052"/>
    <w:rsid w:val="0078108A"/>
    <w:rsid w:val="007810A6"/>
    <w:rsid w:val="007810D4"/>
    <w:rsid w:val="00781185"/>
    <w:rsid w:val="007812E7"/>
    <w:rsid w:val="007812F6"/>
    <w:rsid w:val="007814C1"/>
    <w:rsid w:val="00781577"/>
    <w:rsid w:val="00781653"/>
    <w:rsid w:val="007816E0"/>
    <w:rsid w:val="00781742"/>
    <w:rsid w:val="0078178D"/>
    <w:rsid w:val="007817AD"/>
    <w:rsid w:val="007817E1"/>
    <w:rsid w:val="00781831"/>
    <w:rsid w:val="00781958"/>
    <w:rsid w:val="00781AB4"/>
    <w:rsid w:val="00781AD5"/>
    <w:rsid w:val="00781AF3"/>
    <w:rsid w:val="00781B8D"/>
    <w:rsid w:val="00781BA5"/>
    <w:rsid w:val="00781C23"/>
    <w:rsid w:val="00781C52"/>
    <w:rsid w:val="00781C56"/>
    <w:rsid w:val="00781D24"/>
    <w:rsid w:val="00781D25"/>
    <w:rsid w:val="00781D38"/>
    <w:rsid w:val="00781ECC"/>
    <w:rsid w:val="00781F47"/>
    <w:rsid w:val="00782000"/>
    <w:rsid w:val="0078209B"/>
    <w:rsid w:val="0078209E"/>
    <w:rsid w:val="007820F2"/>
    <w:rsid w:val="007821BF"/>
    <w:rsid w:val="007821F4"/>
    <w:rsid w:val="007821FE"/>
    <w:rsid w:val="0078224F"/>
    <w:rsid w:val="00782250"/>
    <w:rsid w:val="007822BF"/>
    <w:rsid w:val="007822C4"/>
    <w:rsid w:val="007822E9"/>
    <w:rsid w:val="00782360"/>
    <w:rsid w:val="0078245E"/>
    <w:rsid w:val="00782551"/>
    <w:rsid w:val="0078266C"/>
    <w:rsid w:val="007826CA"/>
    <w:rsid w:val="007826DA"/>
    <w:rsid w:val="00782797"/>
    <w:rsid w:val="007827D7"/>
    <w:rsid w:val="0078284B"/>
    <w:rsid w:val="0078291A"/>
    <w:rsid w:val="007829D4"/>
    <w:rsid w:val="007829EC"/>
    <w:rsid w:val="00782A04"/>
    <w:rsid w:val="00782A23"/>
    <w:rsid w:val="00782A3D"/>
    <w:rsid w:val="00782A8E"/>
    <w:rsid w:val="00782B2C"/>
    <w:rsid w:val="00782BE4"/>
    <w:rsid w:val="00782C7F"/>
    <w:rsid w:val="00782D33"/>
    <w:rsid w:val="00782E34"/>
    <w:rsid w:val="00782EEF"/>
    <w:rsid w:val="00782F84"/>
    <w:rsid w:val="0078301B"/>
    <w:rsid w:val="007830D9"/>
    <w:rsid w:val="0078310B"/>
    <w:rsid w:val="007832A4"/>
    <w:rsid w:val="007832CD"/>
    <w:rsid w:val="0078338D"/>
    <w:rsid w:val="00783395"/>
    <w:rsid w:val="00783412"/>
    <w:rsid w:val="00783483"/>
    <w:rsid w:val="007834C5"/>
    <w:rsid w:val="0078358C"/>
    <w:rsid w:val="00783597"/>
    <w:rsid w:val="00783664"/>
    <w:rsid w:val="007836A3"/>
    <w:rsid w:val="007836C6"/>
    <w:rsid w:val="00783760"/>
    <w:rsid w:val="00783907"/>
    <w:rsid w:val="00783A20"/>
    <w:rsid w:val="00783A49"/>
    <w:rsid w:val="00783A54"/>
    <w:rsid w:val="00783B25"/>
    <w:rsid w:val="00783B80"/>
    <w:rsid w:val="00783C44"/>
    <w:rsid w:val="00783C71"/>
    <w:rsid w:val="00783EB7"/>
    <w:rsid w:val="00783F05"/>
    <w:rsid w:val="00783FB8"/>
    <w:rsid w:val="00784161"/>
    <w:rsid w:val="00784232"/>
    <w:rsid w:val="007842C9"/>
    <w:rsid w:val="00784408"/>
    <w:rsid w:val="0078440E"/>
    <w:rsid w:val="00784442"/>
    <w:rsid w:val="0078449E"/>
    <w:rsid w:val="00784552"/>
    <w:rsid w:val="00784590"/>
    <w:rsid w:val="00784628"/>
    <w:rsid w:val="00784641"/>
    <w:rsid w:val="0078473D"/>
    <w:rsid w:val="0078478A"/>
    <w:rsid w:val="007847E3"/>
    <w:rsid w:val="00784852"/>
    <w:rsid w:val="007848E1"/>
    <w:rsid w:val="0078490D"/>
    <w:rsid w:val="0078492F"/>
    <w:rsid w:val="00784A16"/>
    <w:rsid w:val="00784A78"/>
    <w:rsid w:val="00784A8E"/>
    <w:rsid w:val="00784AF9"/>
    <w:rsid w:val="00784BDA"/>
    <w:rsid w:val="00784CC9"/>
    <w:rsid w:val="00784D99"/>
    <w:rsid w:val="00784DD5"/>
    <w:rsid w:val="00784DE8"/>
    <w:rsid w:val="00784E73"/>
    <w:rsid w:val="00784EEB"/>
    <w:rsid w:val="00784F2B"/>
    <w:rsid w:val="00784F7B"/>
    <w:rsid w:val="00784FFD"/>
    <w:rsid w:val="007850EA"/>
    <w:rsid w:val="00785138"/>
    <w:rsid w:val="007852E8"/>
    <w:rsid w:val="00785352"/>
    <w:rsid w:val="00785360"/>
    <w:rsid w:val="00785487"/>
    <w:rsid w:val="00785517"/>
    <w:rsid w:val="0078552A"/>
    <w:rsid w:val="0078553F"/>
    <w:rsid w:val="0078555F"/>
    <w:rsid w:val="00785609"/>
    <w:rsid w:val="007856D6"/>
    <w:rsid w:val="00785929"/>
    <w:rsid w:val="007859C4"/>
    <w:rsid w:val="00785A0B"/>
    <w:rsid w:val="00785A39"/>
    <w:rsid w:val="00785A68"/>
    <w:rsid w:val="00785A9A"/>
    <w:rsid w:val="00785ABA"/>
    <w:rsid w:val="00785B9E"/>
    <w:rsid w:val="00785BB9"/>
    <w:rsid w:val="00785C3E"/>
    <w:rsid w:val="00785E0E"/>
    <w:rsid w:val="00785E3E"/>
    <w:rsid w:val="00785E8B"/>
    <w:rsid w:val="00785E9A"/>
    <w:rsid w:val="00785EFC"/>
    <w:rsid w:val="00785F03"/>
    <w:rsid w:val="00785FD6"/>
    <w:rsid w:val="007860D2"/>
    <w:rsid w:val="007861F9"/>
    <w:rsid w:val="0078625D"/>
    <w:rsid w:val="00786295"/>
    <w:rsid w:val="007862E1"/>
    <w:rsid w:val="00786326"/>
    <w:rsid w:val="00786394"/>
    <w:rsid w:val="00786403"/>
    <w:rsid w:val="00786411"/>
    <w:rsid w:val="00786482"/>
    <w:rsid w:val="007865A5"/>
    <w:rsid w:val="007867FC"/>
    <w:rsid w:val="00786821"/>
    <w:rsid w:val="007868AB"/>
    <w:rsid w:val="00786937"/>
    <w:rsid w:val="00786956"/>
    <w:rsid w:val="007869BB"/>
    <w:rsid w:val="00786A20"/>
    <w:rsid w:val="00786A2E"/>
    <w:rsid w:val="00786AC7"/>
    <w:rsid w:val="00786AEC"/>
    <w:rsid w:val="00786AFF"/>
    <w:rsid w:val="00786B28"/>
    <w:rsid w:val="00786B82"/>
    <w:rsid w:val="00786C21"/>
    <w:rsid w:val="00786C36"/>
    <w:rsid w:val="00786C38"/>
    <w:rsid w:val="00786D04"/>
    <w:rsid w:val="00786D33"/>
    <w:rsid w:val="00786D47"/>
    <w:rsid w:val="00786D86"/>
    <w:rsid w:val="00786D8D"/>
    <w:rsid w:val="00786F15"/>
    <w:rsid w:val="00786F5E"/>
    <w:rsid w:val="00786FDB"/>
    <w:rsid w:val="00786FE7"/>
    <w:rsid w:val="00787032"/>
    <w:rsid w:val="00787118"/>
    <w:rsid w:val="00787119"/>
    <w:rsid w:val="007871C1"/>
    <w:rsid w:val="00787205"/>
    <w:rsid w:val="0078726C"/>
    <w:rsid w:val="00787371"/>
    <w:rsid w:val="00787427"/>
    <w:rsid w:val="007874C5"/>
    <w:rsid w:val="007874CB"/>
    <w:rsid w:val="007875AB"/>
    <w:rsid w:val="00787948"/>
    <w:rsid w:val="00787A92"/>
    <w:rsid w:val="00787AF6"/>
    <w:rsid w:val="00787C3C"/>
    <w:rsid w:val="00787C5E"/>
    <w:rsid w:val="00787CAF"/>
    <w:rsid w:val="00787CBA"/>
    <w:rsid w:val="00787CE3"/>
    <w:rsid w:val="00787D9F"/>
    <w:rsid w:val="00787DA6"/>
    <w:rsid w:val="00787EA6"/>
    <w:rsid w:val="00787F52"/>
    <w:rsid w:val="00787F57"/>
    <w:rsid w:val="007900C5"/>
    <w:rsid w:val="0079010B"/>
    <w:rsid w:val="00790160"/>
    <w:rsid w:val="007902A5"/>
    <w:rsid w:val="00790313"/>
    <w:rsid w:val="00790352"/>
    <w:rsid w:val="0079038E"/>
    <w:rsid w:val="007903B2"/>
    <w:rsid w:val="0079041A"/>
    <w:rsid w:val="00790436"/>
    <w:rsid w:val="00790556"/>
    <w:rsid w:val="00790624"/>
    <w:rsid w:val="00790640"/>
    <w:rsid w:val="0079070E"/>
    <w:rsid w:val="00790717"/>
    <w:rsid w:val="00790742"/>
    <w:rsid w:val="007907F7"/>
    <w:rsid w:val="00790AC4"/>
    <w:rsid w:val="00790AFD"/>
    <w:rsid w:val="00790BBE"/>
    <w:rsid w:val="00790BEF"/>
    <w:rsid w:val="00790D0E"/>
    <w:rsid w:val="00790DB3"/>
    <w:rsid w:val="00790E77"/>
    <w:rsid w:val="00790EAC"/>
    <w:rsid w:val="00790F54"/>
    <w:rsid w:val="00790FAF"/>
    <w:rsid w:val="0079109F"/>
    <w:rsid w:val="00791203"/>
    <w:rsid w:val="00791343"/>
    <w:rsid w:val="0079135B"/>
    <w:rsid w:val="00791416"/>
    <w:rsid w:val="007915B4"/>
    <w:rsid w:val="007915FF"/>
    <w:rsid w:val="0079160D"/>
    <w:rsid w:val="00791639"/>
    <w:rsid w:val="00791673"/>
    <w:rsid w:val="0079176C"/>
    <w:rsid w:val="0079179C"/>
    <w:rsid w:val="007917AB"/>
    <w:rsid w:val="007917C5"/>
    <w:rsid w:val="00791909"/>
    <w:rsid w:val="00791952"/>
    <w:rsid w:val="00791956"/>
    <w:rsid w:val="007919DF"/>
    <w:rsid w:val="00791AD5"/>
    <w:rsid w:val="00791C29"/>
    <w:rsid w:val="00791C7B"/>
    <w:rsid w:val="00791D80"/>
    <w:rsid w:val="00791DF8"/>
    <w:rsid w:val="00791E11"/>
    <w:rsid w:val="00791E28"/>
    <w:rsid w:val="00791E3D"/>
    <w:rsid w:val="00791E9A"/>
    <w:rsid w:val="00791F19"/>
    <w:rsid w:val="00792084"/>
    <w:rsid w:val="007920FF"/>
    <w:rsid w:val="00792152"/>
    <w:rsid w:val="00792330"/>
    <w:rsid w:val="00792340"/>
    <w:rsid w:val="00792417"/>
    <w:rsid w:val="0079242F"/>
    <w:rsid w:val="00792468"/>
    <w:rsid w:val="007924D9"/>
    <w:rsid w:val="00792783"/>
    <w:rsid w:val="007927A2"/>
    <w:rsid w:val="007927FC"/>
    <w:rsid w:val="00792A4C"/>
    <w:rsid w:val="00792B01"/>
    <w:rsid w:val="00792F42"/>
    <w:rsid w:val="00792FDE"/>
    <w:rsid w:val="00792FE3"/>
    <w:rsid w:val="0079301A"/>
    <w:rsid w:val="00793049"/>
    <w:rsid w:val="00793064"/>
    <w:rsid w:val="007930D2"/>
    <w:rsid w:val="00793157"/>
    <w:rsid w:val="007931F0"/>
    <w:rsid w:val="007931F4"/>
    <w:rsid w:val="00793239"/>
    <w:rsid w:val="0079327E"/>
    <w:rsid w:val="007932C1"/>
    <w:rsid w:val="007932E3"/>
    <w:rsid w:val="00793321"/>
    <w:rsid w:val="00793367"/>
    <w:rsid w:val="00793381"/>
    <w:rsid w:val="007933AA"/>
    <w:rsid w:val="0079342C"/>
    <w:rsid w:val="00793431"/>
    <w:rsid w:val="007934A5"/>
    <w:rsid w:val="0079354C"/>
    <w:rsid w:val="007935BD"/>
    <w:rsid w:val="00793641"/>
    <w:rsid w:val="007936D8"/>
    <w:rsid w:val="00793727"/>
    <w:rsid w:val="00793743"/>
    <w:rsid w:val="0079378D"/>
    <w:rsid w:val="007937F4"/>
    <w:rsid w:val="007937F7"/>
    <w:rsid w:val="007938B4"/>
    <w:rsid w:val="00793906"/>
    <w:rsid w:val="0079390C"/>
    <w:rsid w:val="00793A39"/>
    <w:rsid w:val="00793A7E"/>
    <w:rsid w:val="00793A84"/>
    <w:rsid w:val="00793AC5"/>
    <w:rsid w:val="00793BF8"/>
    <w:rsid w:val="00793C87"/>
    <w:rsid w:val="00793C8D"/>
    <w:rsid w:val="00793E84"/>
    <w:rsid w:val="00793F98"/>
    <w:rsid w:val="00794021"/>
    <w:rsid w:val="007940B2"/>
    <w:rsid w:val="0079411B"/>
    <w:rsid w:val="0079446A"/>
    <w:rsid w:val="007944D6"/>
    <w:rsid w:val="00794531"/>
    <w:rsid w:val="0079453B"/>
    <w:rsid w:val="00794543"/>
    <w:rsid w:val="00794599"/>
    <w:rsid w:val="0079459B"/>
    <w:rsid w:val="007945E6"/>
    <w:rsid w:val="007946F5"/>
    <w:rsid w:val="007947C8"/>
    <w:rsid w:val="00794820"/>
    <w:rsid w:val="00794834"/>
    <w:rsid w:val="00794850"/>
    <w:rsid w:val="007948AD"/>
    <w:rsid w:val="007948BE"/>
    <w:rsid w:val="00794900"/>
    <w:rsid w:val="00794A41"/>
    <w:rsid w:val="00794A59"/>
    <w:rsid w:val="00794A6B"/>
    <w:rsid w:val="00794AD7"/>
    <w:rsid w:val="00794AD8"/>
    <w:rsid w:val="00794BFF"/>
    <w:rsid w:val="00794C64"/>
    <w:rsid w:val="00794CEE"/>
    <w:rsid w:val="00794D6A"/>
    <w:rsid w:val="00794D7E"/>
    <w:rsid w:val="00794DBE"/>
    <w:rsid w:val="00794DE4"/>
    <w:rsid w:val="00794E45"/>
    <w:rsid w:val="00794E93"/>
    <w:rsid w:val="00794F05"/>
    <w:rsid w:val="00794F87"/>
    <w:rsid w:val="00794FCF"/>
    <w:rsid w:val="00795037"/>
    <w:rsid w:val="0079505F"/>
    <w:rsid w:val="0079517F"/>
    <w:rsid w:val="007951DB"/>
    <w:rsid w:val="00795344"/>
    <w:rsid w:val="00795363"/>
    <w:rsid w:val="0079540D"/>
    <w:rsid w:val="00795488"/>
    <w:rsid w:val="007954DE"/>
    <w:rsid w:val="00795517"/>
    <w:rsid w:val="00795536"/>
    <w:rsid w:val="00795576"/>
    <w:rsid w:val="00795598"/>
    <w:rsid w:val="00795633"/>
    <w:rsid w:val="00795697"/>
    <w:rsid w:val="00795752"/>
    <w:rsid w:val="007957A7"/>
    <w:rsid w:val="00795838"/>
    <w:rsid w:val="007958AF"/>
    <w:rsid w:val="007959D9"/>
    <w:rsid w:val="007959DE"/>
    <w:rsid w:val="00795A87"/>
    <w:rsid w:val="00795B50"/>
    <w:rsid w:val="00795B94"/>
    <w:rsid w:val="00795C1C"/>
    <w:rsid w:val="00795C43"/>
    <w:rsid w:val="00795C51"/>
    <w:rsid w:val="00795D44"/>
    <w:rsid w:val="00795D68"/>
    <w:rsid w:val="00795F15"/>
    <w:rsid w:val="00795F9B"/>
    <w:rsid w:val="00796004"/>
    <w:rsid w:val="00796017"/>
    <w:rsid w:val="007962D4"/>
    <w:rsid w:val="0079635D"/>
    <w:rsid w:val="00796397"/>
    <w:rsid w:val="007963F7"/>
    <w:rsid w:val="0079644F"/>
    <w:rsid w:val="00796515"/>
    <w:rsid w:val="0079658A"/>
    <w:rsid w:val="007965B5"/>
    <w:rsid w:val="00796606"/>
    <w:rsid w:val="007966F3"/>
    <w:rsid w:val="007966FA"/>
    <w:rsid w:val="007967B2"/>
    <w:rsid w:val="00796821"/>
    <w:rsid w:val="00796971"/>
    <w:rsid w:val="007969E5"/>
    <w:rsid w:val="00796A1B"/>
    <w:rsid w:val="00796AB8"/>
    <w:rsid w:val="00796C81"/>
    <w:rsid w:val="00796D39"/>
    <w:rsid w:val="00796E19"/>
    <w:rsid w:val="00796E2F"/>
    <w:rsid w:val="007970E2"/>
    <w:rsid w:val="007970EA"/>
    <w:rsid w:val="007970F2"/>
    <w:rsid w:val="00797150"/>
    <w:rsid w:val="007971F8"/>
    <w:rsid w:val="0079721C"/>
    <w:rsid w:val="007972A4"/>
    <w:rsid w:val="00797443"/>
    <w:rsid w:val="007974D4"/>
    <w:rsid w:val="007974EF"/>
    <w:rsid w:val="007975AA"/>
    <w:rsid w:val="007975C6"/>
    <w:rsid w:val="007975E1"/>
    <w:rsid w:val="00797654"/>
    <w:rsid w:val="0079768E"/>
    <w:rsid w:val="00797721"/>
    <w:rsid w:val="00797732"/>
    <w:rsid w:val="0079774A"/>
    <w:rsid w:val="007977D5"/>
    <w:rsid w:val="007977DA"/>
    <w:rsid w:val="00797804"/>
    <w:rsid w:val="0079780E"/>
    <w:rsid w:val="007978FC"/>
    <w:rsid w:val="0079792A"/>
    <w:rsid w:val="00797991"/>
    <w:rsid w:val="00797A58"/>
    <w:rsid w:val="00797B21"/>
    <w:rsid w:val="00797B85"/>
    <w:rsid w:val="00797BCE"/>
    <w:rsid w:val="00797C60"/>
    <w:rsid w:val="00797C7E"/>
    <w:rsid w:val="00797D2C"/>
    <w:rsid w:val="00797E6A"/>
    <w:rsid w:val="00797F0D"/>
    <w:rsid w:val="007A007A"/>
    <w:rsid w:val="007A00AF"/>
    <w:rsid w:val="007A00F3"/>
    <w:rsid w:val="007A0105"/>
    <w:rsid w:val="007A012D"/>
    <w:rsid w:val="007A0187"/>
    <w:rsid w:val="007A01C5"/>
    <w:rsid w:val="007A01DB"/>
    <w:rsid w:val="007A01FD"/>
    <w:rsid w:val="007A02A5"/>
    <w:rsid w:val="007A0350"/>
    <w:rsid w:val="007A0355"/>
    <w:rsid w:val="007A0424"/>
    <w:rsid w:val="007A04BA"/>
    <w:rsid w:val="007A04C1"/>
    <w:rsid w:val="007A04D4"/>
    <w:rsid w:val="007A06D1"/>
    <w:rsid w:val="007A07A9"/>
    <w:rsid w:val="007A080A"/>
    <w:rsid w:val="007A080B"/>
    <w:rsid w:val="007A087C"/>
    <w:rsid w:val="007A095F"/>
    <w:rsid w:val="007A0965"/>
    <w:rsid w:val="007A098A"/>
    <w:rsid w:val="007A0A49"/>
    <w:rsid w:val="007A0D9C"/>
    <w:rsid w:val="007A0DF2"/>
    <w:rsid w:val="007A0E3B"/>
    <w:rsid w:val="007A0EEA"/>
    <w:rsid w:val="007A0F44"/>
    <w:rsid w:val="007A0F63"/>
    <w:rsid w:val="007A0FAD"/>
    <w:rsid w:val="007A0FEB"/>
    <w:rsid w:val="007A1063"/>
    <w:rsid w:val="007A111A"/>
    <w:rsid w:val="007A1181"/>
    <w:rsid w:val="007A11F3"/>
    <w:rsid w:val="007A1256"/>
    <w:rsid w:val="007A1315"/>
    <w:rsid w:val="007A1378"/>
    <w:rsid w:val="007A145D"/>
    <w:rsid w:val="007A151A"/>
    <w:rsid w:val="007A1564"/>
    <w:rsid w:val="007A1579"/>
    <w:rsid w:val="007A1663"/>
    <w:rsid w:val="007A18DF"/>
    <w:rsid w:val="007A1B08"/>
    <w:rsid w:val="007A1B72"/>
    <w:rsid w:val="007A1D0F"/>
    <w:rsid w:val="007A1E28"/>
    <w:rsid w:val="007A1E72"/>
    <w:rsid w:val="007A1F50"/>
    <w:rsid w:val="007A1F58"/>
    <w:rsid w:val="007A20DE"/>
    <w:rsid w:val="007A211E"/>
    <w:rsid w:val="007A21A6"/>
    <w:rsid w:val="007A21CF"/>
    <w:rsid w:val="007A223A"/>
    <w:rsid w:val="007A22D8"/>
    <w:rsid w:val="007A23D1"/>
    <w:rsid w:val="007A253E"/>
    <w:rsid w:val="007A25CC"/>
    <w:rsid w:val="007A273B"/>
    <w:rsid w:val="007A2762"/>
    <w:rsid w:val="007A27A0"/>
    <w:rsid w:val="007A2BEA"/>
    <w:rsid w:val="007A2C2A"/>
    <w:rsid w:val="007A2CC9"/>
    <w:rsid w:val="007A2DB5"/>
    <w:rsid w:val="007A2E55"/>
    <w:rsid w:val="007A2EC7"/>
    <w:rsid w:val="007A3057"/>
    <w:rsid w:val="007A3066"/>
    <w:rsid w:val="007A30E2"/>
    <w:rsid w:val="007A3330"/>
    <w:rsid w:val="007A33AF"/>
    <w:rsid w:val="007A345F"/>
    <w:rsid w:val="007A35A6"/>
    <w:rsid w:val="007A3727"/>
    <w:rsid w:val="007A37A1"/>
    <w:rsid w:val="007A38B8"/>
    <w:rsid w:val="007A38D1"/>
    <w:rsid w:val="007A3B30"/>
    <w:rsid w:val="007A3B78"/>
    <w:rsid w:val="007A3BD6"/>
    <w:rsid w:val="007A3CA5"/>
    <w:rsid w:val="007A3CDB"/>
    <w:rsid w:val="007A3D42"/>
    <w:rsid w:val="007A3DCC"/>
    <w:rsid w:val="007A3E0B"/>
    <w:rsid w:val="007A3E80"/>
    <w:rsid w:val="007A3E8D"/>
    <w:rsid w:val="007A4092"/>
    <w:rsid w:val="007A40F3"/>
    <w:rsid w:val="007A41B2"/>
    <w:rsid w:val="007A41D9"/>
    <w:rsid w:val="007A42B1"/>
    <w:rsid w:val="007A436F"/>
    <w:rsid w:val="007A4510"/>
    <w:rsid w:val="007A45DD"/>
    <w:rsid w:val="007A4648"/>
    <w:rsid w:val="007A46EF"/>
    <w:rsid w:val="007A4758"/>
    <w:rsid w:val="007A4925"/>
    <w:rsid w:val="007A4935"/>
    <w:rsid w:val="007A494D"/>
    <w:rsid w:val="007A4964"/>
    <w:rsid w:val="007A497B"/>
    <w:rsid w:val="007A49EE"/>
    <w:rsid w:val="007A4A96"/>
    <w:rsid w:val="007A4AE6"/>
    <w:rsid w:val="007A4BBF"/>
    <w:rsid w:val="007A4BE4"/>
    <w:rsid w:val="007A4C82"/>
    <w:rsid w:val="007A4DB4"/>
    <w:rsid w:val="007A4E09"/>
    <w:rsid w:val="007A4E3C"/>
    <w:rsid w:val="007A4EB2"/>
    <w:rsid w:val="007A4F51"/>
    <w:rsid w:val="007A5092"/>
    <w:rsid w:val="007A5167"/>
    <w:rsid w:val="007A5289"/>
    <w:rsid w:val="007A55A4"/>
    <w:rsid w:val="007A55F9"/>
    <w:rsid w:val="007A56F8"/>
    <w:rsid w:val="007A5776"/>
    <w:rsid w:val="007A5857"/>
    <w:rsid w:val="007A5895"/>
    <w:rsid w:val="007A589B"/>
    <w:rsid w:val="007A5955"/>
    <w:rsid w:val="007A5998"/>
    <w:rsid w:val="007A5A15"/>
    <w:rsid w:val="007A5A6D"/>
    <w:rsid w:val="007A5BE3"/>
    <w:rsid w:val="007A5D20"/>
    <w:rsid w:val="007A5D4C"/>
    <w:rsid w:val="007A5D88"/>
    <w:rsid w:val="007A5EB8"/>
    <w:rsid w:val="007A5EDC"/>
    <w:rsid w:val="007A5F48"/>
    <w:rsid w:val="007A6017"/>
    <w:rsid w:val="007A6243"/>
    <w:rsid w:val="007A628D"/>
    <w:rsid w:val="007A62C6"/>
    <w:rsid w:val="007A630C"/>
    <w:rsid w:val="007A6385"/>
    <w:rsid w:val="007A6417"/>
    <w:rsid w:val="007A643E"/>
    <w:rsid w:val="007A6467"/>
    <w:rsid w:val="007A6505"/>
    <w:rsid w:val="007A6535"/>
    <w:rsid w:val="007A656E"/>
    <w:rsid w:val="007A66B1"/>
    <w:rsid w:val="007A66C2"/>
    <w:rsid w:val="007A6705"/>
    <w:rsid w:val="007A67D2"/>
    <w:rsid w:val="007A681F"/>
    <w:rsid w:val="007A6859"/>
    <w:rsid w:val="007A68C4"/>
    <w:rsid w:val="007A6A9D"/>
    <w:rsid w:val="007A6B37"/>
    <w:rsid w:val="007A6C25"/>
    <w:rsid w:val="007A6CFC"/>
    <w:rsid w:val="007A6E74"/>
    <w:rsid w:val="007A6F10"/>
    <w:rsid w:val="007A6F75"/>
    <w:rsid w:val="007A6FE7"/>
    <w:rsid w:val="007A7283"/>
    <w:rsid w:val="007A72F7"/>
    <w:rsid w:val="007A7360"/>
    <w:rsid w:val="007A7492"/>
    <w:rsid w:val="007A749B"/>
    <w:rsid w:val="007A75C7"/>
    <w:rsid w:val="007A7606"/>
    <w:rsid w:val="007A76C0"/>
    <w:rsid w:val="007A7737"/>
    <w:rsid w:val="007A777A"/>
    <w:rsid w:val="007A7791"/>
    <w:rsid w:val="007A7834"/>
    <w:rsid w:val="007A789A"/>
    <w:rsid w:val="007A78BA"/>
    <w:rsid w:val="007A78D4"/>
    <w:rsid w:val="007A7919"/>
    <w:rsid w:val="007A7920"/>
    <w:rsid w:val="007A7986"/>
    <w:rsid w:val="007A79C9"/>
    <w:rsid w:val="007A7B3E"/>
    <w:rsid w:val="007A7B62"/>
    <w:rsid w:val="007A7B8D"/>
    <w:rsid w:val="007A7BC6"/>
    <w:rsid w:val="007A7CFA"/>
    <w:rsid w:val="007A7D41"/>
    <w:rsid w:val="007A7E4C"/>
    <w:rsid w:val="007B003C"/>
    <w:rsid w:val="007B010A"/>
    <w:rsid w:val="007B0139"/>
    <w:rsid w:val="007B01A3"/>
    <w:rsid w:val="007B01B4"/>
    <w:rsid w:val="007B020C"/>
    <w:rsid w:val="007B03A5"/>
    <w:rsid w:val="007B03A9"/>
    <w:rsid w:val="007B03BF"/>
    <w:rsid w:val="007B042B"/>
    <w:rsid w:val="007B0498"/>
    <w:rsid w:val="007B04B9"/>
    <w:rsid w:val="007B07EF"/>
    <w:rsid w:val="007B0801"/>
    <w:rsid w:val="007B0930"/>
    <w:rsid w:val="007B097C"/>
    <w:rsid w:val="007B09A5"/>
    <w:rsid w:val="007B0A46"/>
    <w:rsid w:val="007B0A5E"/>
    <w:rsid w:val="007B0AFB"/>
    <w:rsid w:val="007B0B55"/>
    <w:rsid w:val="007B0BA5"/>
    <w:rsid w:val="007B0BB9"/>
    <w:rsid w:val="007B0C7B"/>
    <w:rsid w:val="007B0F2C"/>
    <w:rsid w:val="007B0F84"/>
    <w:rsid w:val="007B1065"/>
    <w:rsid w:val="007B10BE"/>
    <w:rsid w:val="007B10D6"/>
    <w:rsid w:val="007B1122"/>
    <w:rsid w:val="007B1160"/>
    <w:rsid w:val="007B11A8"/>
    <w:rsid w:val="007B11B0"/>
    <w:rsid w:val="007B11D3"/>
    <w:rsid w:val="007B11F9"/>
    <w:rsid w:val="007B1209"/>
    <w:rsid w:val="007B1246"/>
    <w:rsid w:val="007B12A5"/>
    <w:rsid w:val="007B13CA"/>
    <w:rsid w:val="007B165A"/>
    <w:rsid w:val="007B1709"/>
    <w:rsid w:val="007B1747"/>
    <w:rsid w:val="007B1909"/>
    <w:rsid w:val="007B191E"/>
    <w:rsid w:val="007B1ADB"/>
    <w:rsid w:val="007B1B37"/>
    <w:rsid w:val="007B1B45"/>
    <w:rsid w:val="007B1C30"/>
    <w:rsid w:val="007B1D4A"/>
    <w:rsid w:val="007B1DBD"/>
    <w:rsid w:val="007B1DC4"/>
    <w:rsid w:val="007B1E19"/>
    <w:rsid w:val="007B1EAB"/>
    <w:rsid w:val="007B1FAF"/>
    <w:rsid w:val="007B20C0"/>
    <w:rsid w:val="007B216B"/>
    <w:rsid w:val="007B21D8"/>
    <w:rsid w:val="007B21DA"/>
    <w:rsid w:val="007B2204"/>
    <w:rsid w:val="007B224F"/>
    <w:rsid w:val="007B2276"/>
    <w:rsid w:val="007B22AD"/>
    <w:rsid w:val="007B22CB"/>
    <w:rsid w:val="007B23DF"/>
    <w:rsid w:val="007B2428"/>
    <w:rsid w:val="007B2457"/>
    <w:rsid w:val="007B2515"/>
    <w:rsid w:val="007B2594"/>
    <w:rsid w:val="007B265D"/>
    <w:rsid w:val="007B2761"/>
    <w:rsid w:val="007B294C"/>
    <w:rsid w:val="007B2B96"/>
    <w:rsid w:val="007B2BE9"/>
    <w:rsid w:val="007B2C0C"/>
    <w:rsid w:val="007B2D31"/>
    <w:rsid w:val="007B2D35"/>
    <w:rsid w:val="007B2DD2"/>
    <w:rsid w:val="007B2FF3"/>
    <w:rsid w:val="007B3005"/>
    <w:rsid w:val="007B3055"/>
    <w:rsid w:val="007B3068"/>
    <w:rsid w:val="007B3097"/>
    <w:rsid w:val="007B30D2"/>
    <w:rsid w:val="007B3112"/>
    <w:rsid w:val="007B3195"/>
    <w:rsid w:val="007B3242"/>
    <w:rsid w:val="007B32C3"/>
    <w:rsid w:val="007B32DE"/>
    <w:rsid w:val="007B32EC"/>
    <w:rsid w:val="007B338E"/>
    <w:rsid w:val="007B342D"/>
    <w:rsid w:val="007B3648"/>
    <w:rsid w:val="007B3761"/>
    <w:rsid w:val="007B3833"/>
    <w:rsid w:val="007B38CA"/>
    <w:rsid w:val="007B3917"/>
    <w:rsid w:val="007B3980"/>
    <w:rsid w:val="007B3A44"/>
    <w:rsid w:val="007B3B16"/>
    <w:rsid w:val="007B3B30"/>
    <w:rsid w:val="007B3B5F"/>
    <w:rsid w:val="007B3BC2"/>
    <w:rsid w:val="007B3D16"/>
    <w:rsid w:val="007B3DEE"/>
    <w:rsid w:val="007B3FF3"/>
    <w:rsid w:val="007B402D"/>
    <w:rsid w:val="007B4066"/>
    <w:rsid w:val="007B40D3"/>
    <w:rsid w:val="007B4118"/>
    <w:rsid w:val="007B41D3"/>
    <w:rsid w:val="007B4218"/>
    <w:rsid w:val="007B42E3"/>
    <w:rsid w:val="007B4317"/>
    <w:rsid w:val="007B4336"/>
    <w:rsid w:val="007B4342"/>
    <w:rsid w:val="007B4370"/>
    <w:rsid w:val="007B468A"/>
    <w:rsid w:val="007B470D"/>
    <w:rsid w:val="007B4715"/>
    <w:rsid w:val="007B47AA"/>
    <w:rsid w:val="007B47C7"/>
    <w:rsid w:val="007B4982"/>
    <w:rsid w:val="007B4C1F"/>
    <w:rsid w:val="007B4E00"/>
    <w:rsid w:val="007B4E7F"/>
    <w:rsid w:val="007B4EF7"/>
    <w:rsid w:val="007B5029"/>
    <w:rsid w:val="007B5067"/>
    <w:rsid w:val="007B50B0"/>
    <w:rsid w:val="007B5153"/>
    <w:rsid w:val="007B51C2"/>
    <w:rsid w:val="007B5210"/>
    <w:rsid w:val="007B5279"/>
    <w:rsid w:val="007B532A"/>
    <w:rsid w:val="007B533A"/>
    <w:rsid w:val="007B5389"/>
    <w:rsid w:val="007B53EE"/>
    <w:rsid w:val="007B546F"/>
    <w:rsid w:val="007B54F0"/>
    <w:rsid w:val="007B558A"/>
    <w:rsid w:val="007B5602"/>
    <w:rsid w:val="007B56CC"/>
    <w:rsid w:val="007B575C"/>
    <w:rsid w:val="007B5783"/>
    <w:rsid w:val="007B583C"/>
    <w:rsid w:val="007B58D4"/>
    <w:rsid w:val="007B58DE"/>
    <w:rsid w:val="007B5903"/>
    <w:rsid w:val="007B59AB"/>
    <w:rsid w:val="007B59EC"/>
    <w:rsid w:val="007B5A3A"/>
    <w:rsid w:val="007B5B00"/>
    <w:rsid w:val="007B5B5E"/>
    <w:rsid w:val="007B5B64"/>
    <w:rsid w:val="007B5B87"/>
    <w:rsid w:val="007B5C6D"/>
    <w:rsid w:val="007B5C8A"/>
    <w:rsid w:val="007B5C9E"/>
    <w:rsid w:val="007B5DBC"/>
    <w:rsid w:val="007B5DBD"/>
    <w:rsid w:val="007B5DCE"/>
    <w:rsid w:val="007B5E5D"/>
    <w:rsid w:val="007B5EF9"/>
    <w:rsid w:val="007B5FDD"/>
    <w:rsid w:val="007B6099"/>
    <w:rsid w:val="007B60E1"/>
    <w:rsid w:val="007B61AD"/>
    <w:rsid w:val="007B6279"/>
    <w:rsid w:val="007B636D"/>
    <w:rsid w:val="007B6381"/>
    <w:rsid w:val="007B6467"/>
    <w:rsid w:val="007B647F"/>
    <w:rsid w:val="007B6483"/>
    <w:rsid w:val="007B6484"/>
    <w:rsid w:val="007B648F"/>
    <w:rsid w:val="007B6492"/>
    <w:rsid w:val="007B64CD"/>
    <w:rsid w:val="007B6636"/>
    <w:rsid w:val="007B6670"/>
    <w:rsid w:val="007B676F"/>
    <w:rsid w:val="007B693B"/>
    <w:rsid w:val="007B699C"/>
    <w:rsid w:val="007B6AB4"/>
    <w:rsid w:val="007B6AE9"/>
    <w:rsid w:val="007B6B1E"/>
    <w:rsid w:val="007B6B3C"/>
    <w:rsid w:val="007B6B46"/>
    <w:rsid w:val="007B6BB2"/>
    <w:rsid w:val="007B6C14"/>
    <w:rsid w:val="007B6CE5"/>
    <w:rsid w:val="007B6D4B"/>
    <w:rsid w:val="007B6DBA"/>
    <w:rsid w:val="007B6E30"/>
    <w:rsid w:val="007B6E52"/>
    <w:rsid w:val="007B6F5E"/>
    <w:rsid w:val="007B6FBB"/>
    <w:rsid w:val="007B702C"/>
    <w:rsid w:val="007B7043"/>
    <w:rsid w:val="007B70A7"/>
    <w:rsid w:val="007B7156"/>
    <w:rsid w:val="007B7348"/>
    <w:rsid w:val="007B7405"/>
    <w:rsid w:val="007B742D"/>
    <w:rsid w:val="007B747A"/>
    <w:rsid w:val="007B7543"/>
    <w:rsid w:val="007B75A7"/>
    <w:rsid w:val="007B75F7"/>
    <w:rsid w:val="007B7684"/>
    <w:rsid w:val="007B770B"/>
    <w:rsid w:val="007B7721"/>
    <w:rsid w:val="007B7743"/>
    <w:rsid w:val="007B78CE"/>
    <w:rsid w:val="007B7943"/>
    <w:rsid w:val="007B79A1"/>
    <w:rsid w:val="007B79B3"/>
    <w:rsid w:val="007B79DF"/>
    <w:rsid w:val="007B7B08"/>
    <w:rsid w:val="007B7BB2"/>
    <w:rsid w:val="007B7D53"/>
    <w:rsid w:val="007B7E9E"/>
    <w:rsid w:val="007B7EAC"/>
    <w:rsid w:val="007B7F57"/>
    <w:rsid w:val="007B7F71"/>
    <w:rsid w:val="007B7FA4"/>
    <w:rsid w:val="007C0036"/>
    <w:rsid w:val="007C0276"/>
    <w:rsid w:val="007C02E4"/>
    <w:rsid w:val="007C0309"/>
    <w:rsid w:val="007C0325"/>
    <w:rsid w:val="007C03DE"/>
    <w:rsid w:val="007C045D"/>
    <w:rsid w:val="007C04B2"/>
    <w:rsid w:val="007C04D4"/>
    <w:rsid w:val="007C0522"/>
    <w:rsid w:val="007C0674"/>
    <w:rsid w:val="007C0693"/>
    <w:rsid w:val="007C06BA"/>
    <w:rsid w:val="007C0753"/>
    <w:rsid w:val="007C07EA"/>
    <w:rsid w:val="007C07F5"/>
    <w:rsid w:val="007C0902"/>
    <w:rsid w:val="007C0A71"/>
    <w:rsid w:val="007C0A83"/>
    <w:rsid w:val="007C0C77"/>
    <w:rsid w:val="007C0DCD"/>
    <w:rsid w:val="007C0F75"/>
    <w:rsid w:val="007C0F85"/>
    <w:rsid w:val="007C0F89"/>
    <w:rsid w:val="007C101B"/>
    <w:rsid w:val="007C1217"/>
    <w:rsid w:val="007C128D"/>
    <w:rsid w:val="007C12E8"/>
    <w:rsid w:val="007C1390"/>
    <w:rsid w:val="007C1449"/>
    <w:rsid w:val="007C14A3"/>
    <w:rsid w:val="007C14CE"/>
    <w:rsid w:val="007C1580"/>
    <w:rsid w:val="007C1583"/>
    <w:rsid w:val="007C164C"/>
    <w:rsid w:val="007C16E4"/>
    <w:rsid w:val="007C173C"/>
    <w:rsid w:val="007C1777"/>
    <w:rsid w:val="007C17DE"/>
    <w:rsid w:val="007C186F"/>
    <w:rsid w:val="007C1A57"/>
    <w:rsid w:val="007C1AA0"/>
    <w:rsid w:val="007C1B82"/>
    <w:rsid w:val="007C1BF0"/>
    <w:rsid w:val="007C1C06"/>
    <w:rsid w:val="007C1DAF"/>
    <w:rsid w:val="007C1DEC"/>
    <w:rsid w:val="007C1E8A"/>
    <w:rsid w:val="007C1EAF"/>
    <w:rsid w:val="007C1FDE"/>
    <w:rsid w:val="007C2145"/>
    <w:rsid w:val="007C220D"/>
    <w:rsid w:val="007C229F"/>
    <w:rsid w:val="007C24C7"/>
    <w:rsid w:val="007C24FB"/>
    <w:rsid w:val="007C2597"/>
    <w:rsid w:val="007C26F2"/>
    <w:rsid w:val="007C26FC"/>
    <w:rsid w:val="007C2723"/>
    <w:rsid w:val="007C2740"/>
    <w:rsid w:val="007C27E5"/>
    <w:rsid w:val="007C2844"/>
    <w:rsid w:val="007C2863"/>
    <w:rsid w:val="007C290D"/>
    <w:rsid w:val="007C29A0"/>
    <w:rsid w:val="007C2A30"/>
    <w:rsid w:val="007C2A32"/>
    <w:rsid w:val="007C2A66"/>
    <w:rsid w:val="007C2B92"/>
    <w:rsid w:val="007C2BEC"/>
    <w:rsid w:val="007C2C6A"/>
    <w:rsid w:val="007C2CEA"/>
    <w:rsid w:val="007C2CF1"/>
    <w:rsid w:val="007C2E0E"/>
    <w:rsid w:val="007C3007"/>
    <w:rsid w:val="007C30EF"/>
    <w:rsid w:val="007C3103"/>
    <w:rsid w:val="007C3125"/>
    <w:rsid w:val="007C312E"/>
    <w:rsid w:val="007C3149"/>
    <w:rsid w:val="007C314E"/>
    <w:rsid w:val="007C3171"/>
    <w:rsid w:val="007C31A7"/>
    <w:rsid w:val="007C322D"/>
    <w:rsid w:val="007C3242"/>
    <w:rsid w:val="007C32A5"/>
    <w:rsid w:val="007C33B5"/>
    <w:rsid w:val="007C3407"/>
    <w:rsid w:val="007C347F"/>
    <w:rsid w:val="007C34E1"/>
    <w:rsid w:val="007C3557"/>
    <w:rsid w:val="007C3568"/>
    <w:rsid w:val="007C3619"/>
    <w:rsid w:val="007C36C5"/>
    <w:rsid w:val="007C3765"/>
    <w:rsid w:val="007C37B7"/>
    <w:rsid w:val="007C37DF"/>
    <w:rsid w:val="007C387B"/>
    <w:rsid w:val="007C3927"/>
    <w:rsid w:val="007C394B"/>
    <w:rsid w:val="007C398E"/>
    <w:rsid w:val="007C3A6C"/>
    <w:rsid w:val="007C3AE0"/>
    <w:rsid w:val="007C3BF2"/>
    <w:rsid w:val="007C3CC3"/>
    <w:rsid w:val="007C3E86"/>
    <w:rsid w:val="007C3E9A"/>
    <w:rsid w:val="007C3EFD"/>
    <w:rsid w:val="007C3F57"/>
    <w:rsid w:val="007C3F7B"/>
    <w:rsid w:val="007C3FA9"/>
    <w:rsid w:val="007C404F"/>
    <w:rsid w:val="007C407A"/>
    <w:rsid w:val="007C4086"/>
    <w:rsid w:val="007C4110"/>
    <w:rsid w:val="007C4139"/>
    <w:rsid w:val="007C415E"/>
    <w:rsid w:val="007C4181"/>
    <w:rsid w:val="007C42E4"/>
    <w:rsid w:val="007C42F9"/>
    <w:rsid w:val="007C4347"/>
    <w:rsid w:val="007C43A0"/>
    <w:rsid w:val="007C43E0"/>
    <w:rsid w:val="007C445E"/>
    <w:rsid w:val="007C44CE"/>
    <w:rsid w:val="007C456F"/>
    <w:rsid w:val="007C45DE"/>
    <w:rsid w:val="007C4626"/>
    <w:rsid w:val="007C46FC"/>
    <w:rsid w:val="007C4718"/>
    <w:rsid w:val="007C4795"/>
    <w:rsid w:val="007C4A3D"/>
    <w:rsid w:val="007C4AA5"/>
    <w:rsid w:val="007C4BAD"/>
    <w:rsid w:val="007C4C8D"/>
    <w:rsid w:val="007C4E02"/>
    <w:rsid w:val="007C4E35"/>
    <w:rsid w:val="007C4E57"/>
    <w:rsid w:val="007C4E7C"/>
    <w:rsid w:val="007C4F74"/>
    <w:rsid w:val="007C501D"/>
    <w:rsid w:val="007C51DE"/>
    <w:rsid w:val="007C52BB"/>
    <w:rsid w:val="007C52E4"/>
    <w:rsid w:val="007C530E"/>
    <w:rsid w:val="007C541C"/>
    <w:rsid w:val="007C5548"/>
    <w:rsid w:val="007C5568"/>
    <w:rsid w:val="007C55B9"/>
    <w:rsid w:val="007C55DD"/>
    <w:rsid w:val="007C55F9"/>
    <w:rsid w:val="007C562A"/>
    <w:rsid w:val="007C5675"/>
    <w:rsid w:val="007C56B7"/>
    <w:rsid w:val="007C56F1"/>
    <w:rsid w:val="007C5844"/>
    <w:rsid w:val="007C584F"/>
    <w:rsid w:val="007C59A8"/>
    <w:rsid w:val="007C59D0"/>
    <w:rsid w:val="007C59D4"/>
    <w:rsid w:val="007C5A05"/>
    <w:rsid w:val="007C5A4C"/>
    <w:rsid w:val="007C5AA4"/>
    <w:rsid w:val="007C5DD2"/>
    <w:rsid w:val="007C6073"/>
    <w:rsid w:val="007C608E"/>
    <w:rsid w:val="007C60DF"/>
    <w:rsid w:val="007C60FF"/>
    <w:rsid w:val="007C618F"/>
    <w:rsid w:val="007C61E9"/>
    <w:rsid w:val="007C6223"/>
    <w:rsid w:val="007C635C"/>
    <w:rsid w:val="007C6378"/>
    <w:rsid w:val="007C6390"/>
    <w:rsid w:val="007C63C3"/>
    <w:rsid w:val="007C65F6"/>
    <w:rsid w:val="007C6711"/>
    <w:rsid w:val="007C68CF"/>
    <w:rsid w:val="007C6995"/>
    <w:rsid w:val="007C69FF"/>
    <w:rsid w:val="007C6ABF"/>
    <w:rsid w:val="007C6C0B"/>
    <w:rsid w:val="007C6C52"/>
    <w:rsid w:val="007C6C99"/>
    <w:rsid w:val="007C6C9D"/>
    <w:rsid w:val="007C6D39"/>
    <w:rsid w:val="007C6E67"/>
    <w:rsid w:val="007C6F43"/>
    <w:rsid w:val="007C6FAA"/>
    <w:rsid w:val="007C6FFC"/>
    <w:rsid w:val="007C7074"/>
    <w:rsid w:val="007C70B3"/>
    <w:rsid w:val="007C71B1"/>
    <w:rsid w:val="007C71DB"/>
    <w:rsid w:val="007C71EF"/>
    <w:rsid w:val="007C7221"/>
    <w:rsid w:val="007C7389"/>
    <w:rsid w:val="007C73B1"/>
    <w:rsid w:val="007C7415"/>
    <w:rsid w:val="007C750B"/>
    <w:rsid w:val="007C7579"/>
    <w:rsid w:val="007C7603"/>
    <w:rsid w:val="007C7620"/>
    <w:rsid w:val="007C76C7"/>
    <w:rsid w:val="007C76F3"/>
    <w:rsid w:val="007C77AE"/>
    <w:rsid w:val="007C77CB"/>
    <w:rsid w:val="007C7852"/>
    <w:rsid w:val="007C7930"/>
    <w:rsid w:val="007C7993"/>
    <w:rsid w:val="007C799C"/>
    <w:rsid w:val="007C7A8C"/>
    <w:rsid w:val="007C7B38"/>
    <w:rsid w:val="007C7CE6"/>
    <w:rsid w:val="007C7E59"/>
    <w:rsid w:val="007C7E6C"/>
    <w:rsid w:val="007C7EC6"/>
    <w:rsid w:val="007C7EDE"/>
    <w:rsid w:val="007C7FE2"/>
    <w:rsid w:val="007D0039"/>
    <w:rsid w:val="007D0128"/>
    <w:rsid w:val="007D0221"/>
    <w:rsid w:val="007D0433"/>
    <w:rsid w:val="007D049F"/>
    <w:rsid w:val="007D04F3"/>
    <w:rsid w:val="007D06A8"/>
    <w:rsid w:val="007D0856"/>
    <w:rsid w:val="007D0ADF"/>
    <w:rsid w:val="007D0B20"/>
    <w:rsid w:val="007D0BDB"/>
    <w:rsid w:val="007D0C2F"/>
    <w:rsid w:val="007D0DF4"/>
    <w:rsid w:val="007D0F9A"/>
    <w:rsid w:val="007D0FE7"/>
    <w:rsid w:val="007D109A"/>
    <w:rsid w:val="007D10F4"/>
    <w:rsid w:val="007D1191"/>
    <w:rsid w:val="007D1302"/>
    <w:rsid w:val="007D13A5"/>
    <w:rsid w:val="007D1555"/>
    <w:rsid w:val="007D16A7"/>
    <w:rsid w:val="007D16DB"/>
    <w:rsid w:val="007D17A7"/>
    <w:rsid w:val="007D18E9"/>
    <w:rsid w:val="007D1976"/>
    <w:rsid w:val="007D1ACD"/>
    <w:rsid w:val="007D1B3D"/>
    <w:rsid w:val="007D1B7A"/>
    <w:rsid w:val="007D1CE9"/>
    <w:rsid w:val="007D1CF1"/>
    <w:rsid w:val="007D1CF9"/>
    <w:rsid w:val="007D1D5A"/>
    <w:rsid w:val="007D1D91"/>
    <w:rsid w:val="007D1DDA"/>
    <w:rsid w:val="007D1DE0"/>
    <w:rsid w:val="007D1E46"/>
    <w:rsid w:val="007D1EA5"/>
    <w:rsid w:val="007D1FC4"/>
    <w:rsid w:val="007D20AD"/>
    <w:rsid w:val="007D2147"/>
    <w:rsid w:val="007D2192"/>
    <w:rsid w:val="007D21A1"/>
    <w:rsid w:val="007D21C4"/>
    <w:rsid w:val="007D221A"/>
    <w:rsid w:val="007D23DE"/>
    <w:rsid w:val="007D2467"/>
    <w:rsid w:val="007D248C"/>
    <w:rsid w:val="007D2594"/>
    <w:rsid w:val="007D25F9"/>
    <w:rsid w:val="007D261C"/>
    <w:rsid w:val="007D26D6"/>
    <w:rsid w:val="007D2762"/>
    <w:rsid w:val="007D27A4"/>
    <w:rsid w:val="007D27C6"/>
    <w:rsid w:val="007D28C6"/>
    <w:rsid w:val="007D28FD"/>
    <w:rsid w:val="007D292D"/>
    <w:rsid w:val="007D29E7"/>
    <w:rsid w:val="007D2ABF"/>
    <w:rsid w:val="007D2C2A"/>
    <w:rsid w:val="007D2CA6"/>
    <w:rsid w:val="007D2D2E"/>
    <w:rsid w:val="007D2E73"/>
    <w:rsid w:val="007D2E7E"/>
    <w:rsid w:val="007D2F5D"/>
    <w:rsid w:val="007D2FA5"/>
    <w:rsid w:val="007D30D3"/>
    <w:rsid w:val="007D30D4"/>
    <w:rsid w:val="007D3155"/>
    <w:rsid w:val="007D3156"/>
    <w:rsid w:val="007D31CD"/>
    <w:rsid w:val="007D3298"/>
    <w:rsid w:val="007D32B8"/>
    <w:rsid w:val="007D3317"/>
    <w:rsid w:val="007D33CD"/>
    <w:rsid w:val="007D34BB"/>
    <w:rsid w:val="007D361A"/>
    <w:rsid w:val="007D373C"/>
    <w:rsid w:val="007D37D6"/>
    <w:rsid w:val="007D3845"/>
    <w:rsid w:val="007D38C0"/>
    <w:rsid w:val="007D39F7"/>
    <w:rsid w:val="007D3A4B"/>
    <w:rsid w:val="007D3AC2"/>
    <w:rsid w:val="007D3D4E"/>
    <w:rsid w:val="007D3D5E"/>
    <w:rsid w:val="007D3DAB"/>
    <w:rsid w:val="007D3DB0"/>
    <w:rsid w:val="007D3DE9"/>
    <w:rsid w:val="007D3E09"/>
    <w:rsid w:val="007D3E11"/>
    <w:rsid w:val="007D3EA5"/>
    <w:rsid w:val="007D3F1F"/>
    <w:rsid w:val="007D3F94"/>
    <w:rsid w:val="007D3FD6"/>
    <w:rsid w:val="007D402B"/>
    <w:rsid w:val="007D4083"/>
    <w:rsid w:val="007D40CA"/>
    <w:rsid w:val="007D40FF"/>
    <w:rsid w:val="007D4100"/>
    <w:rsid w:val="007D412E"/>
    <w:rsid w:val="007D4167"/>
    <w:rsid w:val="007D41D1"/>
    <w:rsid w:val="007D4202"/>
    <w:rsid w:val="007D422C"/>
    <w:rsid w:val="007D4418"/>
    <w:rsid w:val="007D44FE"/>
    <w:rsid w:val="007D4506"/>
    <w:rsid w:val="007D45D4"/>
    <w:rsid w:val="007D4608"/>
    <w:rsid w:val="007D4635"/>
    <w:rsid w:val="007D46B8"/>
    <w:rsid w:val="007D477B"/>
    <w:rsid w:val="007D47B9"/>
    <w:rsid w:val="007D4807"/>
    <w:rsid w:val="007D4876"/>
    <w:rsid w:val="007D4903"/>
    <w:rsid w:val="007D49CD"/>
    <w:rsid w:val="007D4C2C"/>
    <w:rsid w:val="007D4DCF"/>
    <w:rsid w:val="007D4F06"/>
    <w:rsid w:val="007D50DB"/>
    <w:rsid w:val="007D5109"/>
    <w:rsid w:val="007D53B1"/>
    <w:rsid w:val="007D53D3"/>
    <w:rsid w:val="007D5697"/>
    <w:rsid w:val="007D56D3"/>
    <w:rsid w:val="007D579D"/>
    <w:rsid w:val="007D5822"/>
    <w:rsid w:val="007D583F"/>
    <w:rsid w:val="007D58BD"/>
    <w:rsid w:val="007D59A5"/>
    <w:rsid w:val="007D59BC"/>
    <w:rsid w:val="007D5ADB"/>
    <w:rsid w:val="007D5B42"/>
    <w:rsid w:val="007D5B49"/>
    <w:rsid w:val="007D5C78"/>
    <w:rsid w:val="007D5C9D"/>
    <w:rsid w:val="007D5D06"/>
    <w:rsid w:val="007D5D56"/>
    <w:rsid w:val="007D5DE7"/>
    <w:rsid w:val="007D5DEE"/>
    <w:rsid w:val="007D5DF6"/>
    <w:rsid w:val="007D5E13"/>
    <w:rsid w:val="007D5E86"/>
    <w:rsid w:val="007D5F22"/>
    <w:rsid w:val="007D6120"/>
    <w:rsid w:val="007D6162"/>
    <w:rsid w:val="007D6202"/>
    <w:rsid w:val="007D6475"/>
    <w:rsid w:val="007D6479"/>
    <w:rsid w:val="007D64D5"/>
    <w:rsid w:val="007D652F"/>
    <w:rsid w:val="007D6606"/>
    <w:rsid w:val="007D66E6"/>
    <w:rsid w:val="007D6717"/>
    <w:rsid w:val="007D675F"/>
    <w:rsid w:val="007D67E9"/>
    <w:rsid w:val="007D67F2"/>
    <w:rsid w:val="007D6841"/>
    <w:rsid w:val="007D685A"/>
    <w:rsid w:val="007D68A4"/>
    <w:rsid w:val="007D6969"/>
    <w:rsid w:val="007D6975"/>
    <w:rsid w:val="007D69D9"/>
    <w:rsid w:val="007D6A2D"/>
    <w:rsid w:val="007D6AB6"/>
    <w:rsid w:val="007D6AD4"/>
    <w:rsid w:val="007D6AEB"/>
    <w:rsid w:val="007D6BF3"/>
    <w:rsid w:val="007D6D29"/>
    <w:rsid w:val="007D6D58"/>
    <w:rsid w:val="007D6D76"/>
    <w:rsid w:val="007D6D98"/>
    <w:rsid w:val="007D6D9E"/>
    <w:rsid w:val="007D6DAD"/>
    <w:rsid w:val="007D6E0D"/>
    <w:rsid w:val="007D6E34"/>
    <w:rsid w:val="007D6E77"/>
    <w:rsid w:val="007D6E7A"/>
    <w:rsid w:val="007D6F01"/>
    <w:rsid w:val="007D7006"/>
    <w:rsid w:val="007D705B"/>
    <w:rsid w:val="007D705D"/>
    <w:rsid w:val="007D7267"/>
    <w:rsid w:val="007D7294"/>
    <w:rsid w:val="007D72D7"/>
    <w:rsid w:val="007D72E5"/>
    <w:rsid w:val="007D734C"/>
    <w:rsid w:val="007D7370"/>
    <w:rsid w:val="007D7377"/>
    <w:rsid w:val="007D73A5"/>
    <w:rsid w:val="007D73F7"/>
    <w:rsid w:val="007D7598"/>
    <w:rsid w:val="007D75AD"/>
    <w:rsid w:val="007D75DD"/>
    <w:rsid w:val="007D768A"/>
    <w:rsid w:val="007D76AB"/>
    <w:rsid w:val="007D76E0"/>
    <w:rsid w:val="007D77B3"/>
    <w:rsid w:val="007D797F"/>
    <w:rsid w:val="007D7A80"/>
    <w:rsid w:val="007D7A9A"/>
    <w:rsid w:val="007D7C41"/>
    <w:rsid w:val="007D7F5E"/>
    <w:rsid w:val="007E0136"/>
    <w:rsid w:val="007E02D2"/>
    <w:rsid w:val="007E03FA"/>
    <w:rsid w:val="007E057B"/>
    <w:rsid w:val="007E059A"/>
    <w:rsid w:val="007E0745"/>
    <w:rsid w:val="007E087B"/>
    <w:rsid w:val="007E0930"/>
    <w:rsid w:val="007E0953"/>
    <w:rsid w:val="007E09C1"/>
    <w:rsid w:val="007E0A74"/>
    <w:rsid w:val="007E0A87"/>
    <w:rsid w:val="007E0ACF"/>
    <w:rsid w:val="007E0BAA"/>
    <w:rsid w:val="007E0E41"/>
    <w:rsid w:val="007E0F6C"/>
    <w:rsid w:val="007E1047"/>
    <w:rsid w:val="007E104D"/>
    <w:rsid w:val="007E10C7"/>
    <w:rsid w:val="007E1122"/>
    <w:rsid w:val="007E11E4"/>
    <w:rsid w:val="007E127E"/>
    <w:rsid w:val="007E13EB"/>
    <w:rsid w:val="007E14A6"/>
    <w:rsid w:val="007E14E1"/>
    <w:rsid w:val="007E14EC"/>
    <w:rsid w:val="007E1513"/>
    <w:rsid w:val="007E151C"/>
    <w:rsid w:val="007E164F"/>
    <w:rsid w:val="007E1695"/>
    <w:rsid w:val="007E16E7"/>
    <w:rsid w:val="007E16ED"/>
    <w:rsid w:val="007E1709"/>
    <w:rsid w:val="007E1763"/>
    <w:rsid w:val="007E199A"/>
    <w:rsid w:val="007E1A5D"/>
    <w:rsid w:val="007E1A63"/>
    <w:rsid w:val="007E1A81"/>
    <w:rsid w:val="007E1AAC"/>
    <w:rsid w:val="007E1B02"/>
    <w:rsid w:val="007E1C22"/>
    <w:rsid w:val="007E1C44"/>
    <w:rsid w:val="007E1C5C"/>
    <w:rsid w:val="007E1CEE"/>
    <w:rsid w:val="007E1D4E"/>
    <w:rsid w:val="007E1DB9"/>
    <w:rsid w:val="007E1E82"/>
    <w:rsid w:val="007E1FAC"/>
    <w:rsid w:val="007E1FD8"/>
    <w:rsid w:val="007E202F"/>
    <w:rsid w:val="007E2086"/>
    <w:rsid w:val="007E20B6"/>
    <w:rsid w:val="007E20FC"/>
    <w:rsid w:val="007E2181"/>
    <w:rsid w:val="007E21E6"/>
    <w:rsid w:val="007E221E"/>
    <w:rsid w:val="007E2338"/>
    <w:rsid w:val="007E2581"/>
    <w:rsid w:val="007E259B"/>
    <w:rsid w:val="007E26FF"/>
    <w:rsid w:val="007E2799"/>
    <w:rsid w:val="007E2937"/>
    <w:rsid w:val="007E2969"/>
    <w:rsid w:val="007E29C2"/>
    <w:rsid w:val="007E29D6"/>
    <w:rsid w:val="007E2A0D"/>
    <w:rsid w:val="007E2A34"/>
    <w:rsid w:val="007E2A3B"/>
    <w:rsid w:val="007E2A6F"/>
    <w:rsid w:val="007E2A74"/>
    <w:rsid w:val="007E2AA9"/>
    <w:rsid w:val="007E2B5F"/>
    <w:rsid w:val="007E2C58"/>
    <w:rsid w:val="007E2EC4"/>
    <w:rsid w:val="007E2F0E"/>
    <w:rsid w:val="007E2F25"/>
    <w:rsid w:val="007E2F30"/>
    <w:rsid w:val="007E2F54"/>
    <w:rsid w:val="007E2F59"/>
    <w:rsid w:val="007E2F64"/>
    <w:rsid w:val="007E3049"/>
    <w:rsid w:val="007E30B9"/>
    <w:rsid w:val="007E3166"/>
    <w:rsid w:val="007E318D"/>
    <w:rsid w:val="007E31D9"/>
    <w:rsid w:val="007E3365"/>
    <w:rsid w:val="007E3402"/>
    <w:rsid w:val="007E3417"/>
    <w:rsid w:val="007E34A5"/>
    <w:rsid w:val="007E35DC"/>
    <w:rsid w:val="007E35E6"/>
    <w:rsid w:val="007E3611"/>
    <w:rsid w:val="007E369F"/>
    <w:rsid w:val="007E3AC7"/>
    <w:rsid w:val="007E3AF0"/>
    <w:rsid w:val="007E3C46"/>
    <w:rsid w:val="007E3C7B"/>
    <w:rsid w:val="007E3C7F"/>
    <w:rsid w:val="007E3D13"/>
    <w:rsid w:val="007E3D90"/>
    <w:rsid w:val="007E3F57"/>
    <w:rsid w:val="007E4119"/>
    <w:rsid w:val="007E4155"/>
    <w:rsid w:val="007E4236"/>
    <w:rsid w:val="007E4248"/>
    <w:rsid w:val="007E4351"/>
    <w:rsid w:val="007E446B"/>
    <w:rsid w:val="007E44D7"/>
    <w:rsid w:val="007E471F"/>
    <w:rsid w:val="007E480D"/>
    <w:rsid w:val="007E4885"/>
    <w:rsid w:val="007E48C4"/>
    <w:rsid w:val="007E48D5"/>
    <w:rsid w:val="007E49C0"/>
    <w:rsid w:val="007E4B8A"/>
    <w:rsid w:val="007E4B8F"/>
    <w:rsid w:val="007E4BB1"/>
    <w:rsid w:val="007E4BD9"/>
    <w:rsid w:val="007E4D23"/>
    <w:rsid w:val="007E4D94"/>
    <w:rsid w:val="007E4DF9"/>
    <w:rsid w:val="007E4E74"/>
    <w:rsid w:val="007E4F99"/>
    <w:rsid w:val="007E4FF8"/>
    <w:rsid w:val="007E5229"/>
    <w:rsid w:val="007E5286"/>
    <w:rsid w:val="007E532F"/>
    <w:rsid w:val="007E5355"/>
    <w:rsid w:val="007E5389"/>
    <w:rsid w:val="007E53D6"/>
    <w:rsid w:val="007E5625"/>
    <w:rsid w:val="007E56EE"/>
    <w:rsid w:val="007E58B6"/>
    <w:rsid w:val="007E5964"/>
    <w:rsid w:val="007E5A60"/>
    <w:rsid w:val="007E5A92"/>
    <w:rsid w:val="007E5AD5"/>
    <w:rsid w:val="007E5AE1"/>
    <w:rsid w:val="007E5B11"/>
    <w:rsid w:val="007E5BB7"/>
    <w:rsid w:val="007E5BBE"/>
    <w:rsid w:val="007E5BC0"/>
    <w:rsid w:val="007E5C26"/>
    <w:rsid w:val="007E5C4F"/>
    <w:rsid w:val="007E5CFE"/>
    <w:rsid w:val="007E5D16"/>
    <w:rsid w:val="007E5EC5"/>
    <w:rsid w:val="007E606F"/>
    <w:rsid w:val="007E60CF"/>
    <w:rsid w:val="007E62AB"/>
    <w:rsid w:val="007E62FC"/>
    <w:rsid w:val="007E6349"/>
    <w:rsid w:val="007E639A"/>
    <w:rsid w:val="007E640D"/>
    <w:rsid w:val="007E647C"/>
    <w:rsid w:val="007E66BB"/>
    <w:rsid w:val="007E673E"/>
    <w:rsid w:val="007E6819"/>
    <w:rsid w:val="007E68B1"/>
    <w:rsid w:val="007E68CE"/>
    <w:rsid w:val="007E68F5"/>
    <w:rsid w:val="007E69FE"/>
    <w:rsid w:val="007E6A21"/>
    <w:rsid w:val="007E6A28"/>
    <w:rsid w:val="007E6AB1"/>
    <w:rsid w:val="007E6B5A"/>
    <w:rsid w:val="007E6BCB"/>
    <w:rsid w:val="007E6C69"/>
    <w:rsid w:val="007E6CBC"/>
    <w:rsid w:val="007E6E17"/>
    <w:rsid w:val="007E6E71"/>
    <w:rsid w:val="007E6EE4"/>
    <w:rsid w:val="007E6F4C"/>
    <w:rsid w:val="007E6F4F"/>
    <w:rsid w:val="007E6F8C"/>
    <w:rsid w:val="007E7076"/>
    <w:rsid w:val="007E70BA"/>
    <w:rsid w:val="007E716A"/>
    <w:rsid w:val="007E718F"/>
    <w:rsid w:val="007E71BA"/>
    <w:rsid w:val="007E72A6"/>
    <w:rsid w:val="007E72CE"/>
    <w:rsid w:val="007E7332"/>
    <w:rsid w:val="007E7383"/>
    <w:rsid w:val="007E743D"/>
    <w:rsid w:val="007E74E5"/>
    <w:rsid w:val="007E753F"/>
    <w:rsid w:val="007E75EF"/>
    <w:rsid w:val="007E7689"/>
    <w:rsid w:val="007E7873"/>
    <w:rsid w:val="007E7946"/>
    <w:rsid w:val="007E7956"/>
    <w:rsid w:val="007E79F9"/>
    <w:rsid w:val="007E7A41"/>
    <w:rsid w:val="007E7AAC"/>
    <w:rsid w:val="007E7AAF"/>
    <w:rsid w:val="007E7BA5"/>
    <w:rsid w:val="007E7BF2"/>
    <w:rsid w:val="007E7C02"/>
    <w:rsid w:val="007E7C27"/>
    <w:rsid w:val="007E7E39"/>
    <w:rsid w:val="007E7E94"/>
    <w:rsid w:val="007E7E98"/>
    <w:rsid w:val="007E7F4A"/>
    <w:rsid w:val="007E7F77"/>
    <w:rsid w:val="007E7F9A"/>
    <w:rsid w:val="007E7FE9"/>
    <w:rsid w:val="007F005F"/>
    <w:rsid w:val="007F0065"/>
    <w:rsid w:val="007F00F0"/>
    <w:rsid w:val="007F02CE"/>
    <w:rsid w:val="007F060D"/>
    <w:rsid w:val="007F062F"/>
    <w:rsid w:val="007F06D6"/>
    <w:rsid w:val="007F07D1"/>
    <w:rsid w:val="007F07DF"/>
    <w:rsid w:val="007F08E1"/>
    <w:rsid w:val="007F0963"/>
    <w:rsid w:val="007F0983"/>
    <w:rsid w:val="007F098B"/>
    <w:rsid w:val="007F0A17"/>
    <w:rsid w:val="007F0A21"/>
    <w:rsid w:val="007F0A67"/>
    <w:rsid w:val="007F0CA8"/>
    <w:rsid w:val="007F0CFD"/>
    <w:rsid w:val="007F0D16"/>
    <w:rsid w:val="007F0D73"/>
    <w:rsid w:val="007F0E0D"/>
    <w:rsid w:val="007F0E11"/>
    <w:rsid w:val="007F0E31"/>
    <w:rsid w:val="007F0EC3"/>
    <w:rsid w:val="007F0FD8"/>
    <w:rsid w:val="007F0FE1"/>
    <w:rsid w:val="007F109C"/>
    <w:rsid w:val="007F10A6"/>
    <w:rsid w:val="007F1159"/>
    <w:rsid w:val="007F11E5"/>
    <w:rsid w:val="007F124C"/>
    <w:rsid w:val="007F13B1"/>
    <w:rsid w:val="007F141E"/>
    <w:rsid w:val="007F1455"/>
    <w:rsid w:val="007F155C"/>
    <w:rsid w:val="007F157F"/>
    <w:rsid w:val="007F15A4"/>
    <w:rsid w:val="007F15DC"/>
    <w:rsid w:val="007F175C"/>
    <w:rsid w:val="007F17DC"/>
    <w:rsid w:val="007F1807"/>
    <w:rsid w:val="007F19B5"/>
    <w:rsid w:val="007F19EB"/>
    <w:rsid w:val="007F1A5A"/>
    <w:rsid w:val="007F1B5A"/>
    <w:rsid w:val="007F1B5B"/>
    <w:rsid w:val="007F1C4C"/>
    <w:rsid w:val="007F1C57"/>
    <w:rsid w:val="007F1DC4"/>
    <w:rsid w:val="007F1E2F"/>
    <w:rsid w:val="007F1E34"/>
    <w:rsid w:val="007F1EB4"/>
    <w:rsid w:val="007F1F79"/>
    <w:rsid w:val="007F211B"/>
    <w:rsid w:val="007F2179"/>
    <w:rsid w:val="007F21C8"/>
    <w:rsid w:val="007F21D7"/>
    <w:rsid w:val="007F21FA"/>
    <w:rsid w:val="007F223B"/>
    <w:rsid w:val="007F2254"/>
    <w:rsid w:val="007F22A8"/>
    <w:rsid w:val="007F2341"/>
    <w:rsid w:val="007F2469"/>
    <w:rsid w:val="007F2553"/>
    <w:rsid w:val="007F25B2"/>
    <w:rsid w:val="007F271A"/>
    <w:rsid w:val="007F2752"/>
    <w:rsid w:val="007F27EF"/>
    <w:rsid w:val="007F280D"/>
    <w:rsid w:val="007F2830"/>
    <w:rsid w:val="007F283E"/>
    <w:rsid w:val="007F286A"/>
    <w:rsid w:val="007F28A7"/>
    <w:rsid w:val="007F2932"/>
    <w:rsid w:val="007F2939"/>
    <w:rsid w:val="007F2979"/>
    <w:rsid w:val="007F2995"/>
    <w:rsid w:val="007F2AE1"/>
    <w:rsid w:val="007F2B17"/>
    <w:rsid w:val="007F2BD3"/>
    <w:rsid w:val="007F2BE3"/>
    <w:rsid w:val="007F2C34"/>
    <w:rsid w:val="007F2C7B"/>
    <w:rsid w:val="007F2CA7"/>
    <w:rsid w:val="007F2CCD"/>
    <w:rsid w:val="007F2CFD"/>
    <w:rsid w:val="007F2DA1"/>
    <w:rsid w:val="007F2E40"/>
    <w:rsid w:val="007F2F26"/>
    <w:rsid w:val="007F3175"/>
    <w:rsid w:val="007F3178"/>
    <w:rsid w:val="007F3180"/>
    <w:rsid w:val="007F31CF"/>
    <w:rsid w:val="007F3227"/>
    <w:rsid w:val="007F32A3"/>
    <w:rsid w:val="007F3330"/>
    <w:rsid w:val="007F3398"/>
    <w:rsid w:val="007F343C"/>
    <w:rsid w:val="007F35B4"/>
    <w:rsid w:val="007F3648"/>
    <w:rsid w:val="007F3679"/>
    <w:rsid w:val="007F36DC"/>
    <w:rsid w:val="007F36FC"/>
    <w:rsid w:val="007F3737"/>
    <w:rsid w:val="007F384E"/>
    <w:rsid w:val="007F3874"/>
    <w:rsid w:val="007F3934"/>
    <w:rsid w:val="007F393F"/>
    <w:rsid w:val="007F399F"/>
    <w:rsid w:val="007F3B39"/>
    <w:rsid w:val="007F3BFF"/>
    <w:rsid w:val="007F3C04"/>
    <w:rsid w:val="007F3C38"/>
    <w:rsid w:val="007F3C62"/>
    <w:rsid w:val="007F3CB9"/>
    <w:rsid w:val="007F3CE2"/>
    <w:rsid w:val="007F3E1A"/>
    <w:rsid w:val="007F3EBD"/>
    <w:rsid w:val="007F3F25"/>
    <w:rsid w:val="007F4007"/>
    <w:rsid w:val="007F4092"/>
    <w:rsid w:val="007F4192"/>
    <w:rsid w:val="007F41F2"/>
    <w:rsid w:val="007F43FB"/>
    <w:rsid w:val="007F44AC"/>
    <w:rsid w:val="007F4690"/>
    <w:rsid w:val="007F479D"/>
    <w:rsid w:val="007F49A7"/>
    <w:rsid w:val="007F49B5"/>
    <w:rsid w:val="007F49F1"/>
    <w:rsid w:val="007F49F6"/>
    <w:rsid w:val="007F4A39"/>
    <w:rsid w:val="007F4A70"/>
    <w:rsid w:val="007F4AE0"/>
    <w:rsid w:val="007F4B11"/>
    <w:rsid w:val="007F4B61"/>
    <w:rsid w:val="007F4BB8"/>
    <w:rsid w:val="007F4C40"/>
    <w:rsid w:val="007F4CB1"/>
    <w:rsid w:val="007F4CED"/>
    <w:rsid w:val="007F4D12"/>
    <w:rsid w:val="007F4D89"/>
    <w:rsid w:val="007F4DB7"/>
    <w:rsid w:val="007F4DF6"/>
    <w:rsid w:val="007F4E71"/>
    <w:rsid w:val="007F4EB1"/>
    <w:rsid w:val="007F5103"/>
    <w:rsid w:val="007F518D"/>
    <w:rsid w:val="007F524C"/>
    <w:rsid w:val="007F5288"/>
    <w:rsid w:val="007F528D"/>
    <w:rsid w:val="007F5401"/>
    <w:rsid w:val="007F54C8"/>
    <w:rsid w:val="007F5570"/>
    <w:rsid w:val="007F56CB"/>
    <w:rsid w:val="007F56F0"/>
    <w:rsid w:val="007F576B"/>
    <w:rsid w:val="007F57BE"/>
    <w:rsid w:val="007F57EC"/>
    <w:rsid w:val="007F5840"/>
    <w:rsid w:val="007F5844"/>
    <w:rsid w:val="007F5870"/>
    <w:rsid w:val="007F595D"/>
    <w:rsid w:val="007F59A3"/>
    <w:rsid w:val="007F59B8"/>
    <w:rsid w:val="007F59EB"/>
    <w:rsid w:val="007F5A0E"/>
    <w:rsid w:val="007F5A58"/>
    <w:rsid w:val="007F5B78"/>
    <w:rsid w:val="007F5C1D"/>
    <w:rsid w:val="007F5CB6"/>
    <w:rsid w:val="007F5CD6"/>
    <w:rsid w:val="007F5D1B"/>
    <w:rsid w:val="007F5D57"/>
    <w:rsid w:val="007F5DC4"/>
    <w:rsid w:val="007F5E1E"/>
    <w:rsid w:val="007F6077"/>
    <w:rsid w:val="007F624B"/>
    <w:rsid w:val="007F6377"/>
    <w:rsid w:val="007F6453"/>
    <w:rsid w:val="007F645B"/>
    <w:rsid w:val="007F64EE"/>
    <w:rsid w:val="007F6546"/>
    <w:rsid w:val="007F654D"/>
    <w:rsid w:val="007F660D"/>
    <w:rsid w:val="007F6630"/>
    <w:rsid w:val="007F668A"/>
    <w:rsid w:val="007F669F"/>
    <w:rsid w:val="007F671B"/>
    <w:rsid w:val="007F672B"/>
    <w:rsid w:val="007F6733"/>
    <w:rsid w:val="007F6765"/>
    <w:rsid w:val="007F67D6"/>
    <w:rsid w:val="007F6856"/>
    <w:rsid w:val="007F690A"/>
    <w:rsid w:val="007F695E"/>
    <w:rsid w:val="007F6A3A"/>
    <w:rsid w:val="007F6AD0"/>
    <w:rsid w:val="007F6DEF"/>
    <w:rsid w:val="007F6E93"/>
    <w:rsid w:val="007F6F0B"/>
    <w:rsid w:val="007F6F32"/>
    <w:rsid w:val="007F6F64"/>
    <w:rsid w:val="007F6FD0"/>
    <w:rsid w:val="007F6FD3"/>
    <w:rsid w:val="007F6FD6"/>
    <w:rsid w:val="007F700E"/>
    <w:rsid w:val="007F7012"/>
    <w:rsid w:val="007F7089"/>
    <w:rsid w:val="007F7139"/>
    <w:rsid w:val="007F71FE"/>
    <w:rsid w:val="007F7230"/>
    <w:rsid w:val="007F724D"/>
    <w:rsid w:val="007F7317"/>
    <w:rsid w:val="007F7557"/>
    <w:rsid w:val="007F7569"/>
    <w:rsid w:val="007F761A"/>
    <w:rsid w:val="007F766D"/>
    <w:rsid w:val="007F76F6"/>
    <w:rsid w:val="007F7721"/>
    <w:rsid w:val="007F7738"/>
    <w:rsid w:val="007F780E"/>
    <w:rsid w:val="007F7810"/>
    <w:rsid w:val="007F7833"/>
    <w:rsid w:val="007F78FC"/>
    <w:rsid w:val="007F7920"/>
    <w:rsid w:val="007F795A"/>
    <w:rsid w:val="007F7A24"/>
    <w:rsid w:val="007F7A81"/>
    <w:rsid w:val="007F7D77"/>
    <w:rsid w:val="007F7DBF"/>
    <w:rsid w:val="007F7E78"/>
    <w:rsid w:val="007F7E8F"/>
    <w:rsid w:val="007F7EBE"/>
    <w:rsid w:val="007F7EBF"/>
    <w:rsid w:val="007F7F60"/>
    <w:rsid w:val="007F7FE4"/>
    <w:rsid w:val="007F7FFA"/>
    <w:rsid w:val="00800012"/>
    <w:rsid w:val="008000E0"/>
    <w:rsid w:val="008000F7"/>
    <w:rsid w:val="0080017C"/>
    <w:rsid w:val="008002E9"/>
    <w:rsid w:val="008003F2"/>
    <w:rsid w:val="00800508"/>
    <w:rsid w:val="00800512"/>
    <w:rsid w:val="00800574"/>
    <w:rsid w:val="008006B5"/>
    <w:rsid w:val="008007AB"/>
    <w:rsid w:val="008007D4"/>
    <w:rsid w:val="0080088B"/>
    <w:rsid w:val="008008EF"/>
    <w:rsid w:val="008009E7"/>
    <w:rsid w:val="00800B1F"/>
    <w:rsid w:val="00800B94"/>
    <w:rsid w:val="00800B9A"/>
    <w:rsid w:val="00800C23"/>
    <w:rsid w:val="00800D42"/>
    <w:rsid w:val="00800D72"/>
    <w:rsid w:val="00800D92"/>
    <w:rsid w:val="00800E11"/>
    <w:rsid w:val="00800E91"/>
    <w:rsid w:val="00800EA2"/>
    <w:rsid w:val="00800EB4"/>
    <w:rsid w:val="00800F9C"/>
    <w:rsid w:val="00801046"/>
    <w:rsid w:val="00801065"/>
    <w:rsid w:val="008010E6"/>
    <w:rsid w:val="00801116"/>
    <w:rsid w:val="00801120"/>
    <w:rsid w:val="008011B6"/>
    <w:rsid w:val="00801210"/>
    <w:rsid w:val="00801257"/>
    <w:rsid w:val="00801350"/>
    <w:rsid w:val="008013CE"/>
    <w:rsid w:val="008013F0"/>
    <w:rsid w:val="00801414"/>
    <w:rsid w:val="008014A1"/>
    <w:rsid w:val="008014DC"/>
    <w:rsid w:val="00801542"/>
    <w:rsid w:val="008017D9"/>
    <w:rsid w:val="008017FE"/>
    <w:rsid w:val="00801820"/>
    <w:rsid w:val="008018BD"/>
    <w:rsid w:val="00801916"/>
    <w:rsid w:val="00801A06"/>
    <w:rsid w:val="00801B22"/>
    <w:rsid w:val="00801B81"/>
    <w:rsid w:val="00801C2C"/>
    <w:rsid w:val="00801CB6"/>
    <w:rsid w:val="00801D91"/>
    <w:rsid w:val="00801EA1"/>
    <w:rsid w:val="00801EE1"/>
    <w:rsid w:val="00801F44"/>
    <w:rsid w:val="00801F71"/>
    <w:rsid w:val="00801FD6"/>
    <w:rsid w:val="00802158"/>
    <w:rsid w:val="00802233"/>
    <w:rsid w:val="00802276"/>
    <w:rsid w:val="008022C5"/>
    <w:rsid w:val="008022E6"/>
    <w:rsid w:val="00802306"/>
    <w:rsid w:val="0080230E"/>
    <w:rsid w:val="00802320"/>
    <w:rsid w:val="0080238A"/>
    <w:rsid w:val="0080239D"/>
    <w:rsid w:val="008023E5"/>
    <w:rsid w:val="00802419"/>
    <w:rsid w:val="00802488"/>
    <w:rsid w:val="00802520"/>
    <w:rsid w:val="0080258A"/>
    <w:rsid w:val="0080266F"/>
    <w:rsid w:val="0080269F"/>
    <w:rsid w:val="00802731"/>
    <w:rsid w:val="008027EC"/>
    <w:rsid w:val="00802965"/>
    <w:rsid w:val="00802B4F"/>
    <w:rsid w:val="00802B94"/>
    <w:rsid w:val="00802D7E"/>
    <w:rsid w:val="00802D80"/>
    <w:rsid w:val="00802E04"/>
    <w:rsid w:val="00802E17"/>
    <w:rsid w:val="00802E25"/>
    <w:rsid w:val="00802E90"/>
    <w:rsid w:val="00802EE0"/>
    <w:rsid w:val="00802EE7"/>
    <w:rsid w:val="0080301E"/>
    <w:rsid w:val="00803029"/>
    <w:rsid w:val="008030DC"/>
    <w:rsid w:val="00803289"/>
    <w:rsid w:val="008032FE"/>
    <w:rsid w:val="00803350"/>
    <w:rsid w:val="00803410"/>
    <w:rsid w:val="0080344F"/>
    <w:rsid w:val="0080354D"/>
    <w:rsid w:val="0080357A"/>
    <w:rsid w:val="008035D0"/>
    <w:rsid w:val="008036DB"/>
    <w:rsid w:val="008036EE"/>
    <w:rsid w:val="00803846"/>
    <w:rsid w:val="00803977"/>
    <w:rsid w:val="00803A70"/>
    <w:rsid w:val="00803AA1"/>
    <w:rsid w:val="00803AE9"/>
    <w:rsid w:val="00803BD3"/>
    <w:rsid w:val="00803C0B"/>
    <w:rsid w:val="00803D3B"/>
    <w:rsid w:val="00803DFB"/>
    <w:rsid w:val="00803E16"/>
    <w:rsid w:val="00803E32"/>
    <w:rsid w:val="00803ED2"/>
    <w:rsid w:val="0080404C"/>
    <w:rsid w:val="00804135"/>
    <w:rsid w:val="00804229"/>
    <w:rsid w:val="0080426F"/>
    <w:rsid w:val="008043DF"/>
    <w:rsid w:val="008043F8"/>
    <w:rsid w:val="00804402"/>
    <w:rsid w:val="00804407"/>
    <w:rsid w:val="008044C0"/>
    <w:rsid w:val="00804595"/>
    <w:rsid w:val="00804597"/>
    <w:rsid w:val="008045D3"/>
    <w:rsid w:val="00804614"/>
    <w:rsid w:val="0080467F"/>
    <w:rsid w:val="008046A7"/>
    <w:rsid w:val="008046BD"/>
    <w:rsid w:val="00804749"/>
    <w:rsid w:val="0080476F"/>
    <w:rsid w:val="00804778"/>
    <w:rsid w:val="00804829"/>
    <w:rsid w:val="0080491E"/>
    <w:rsid w:val="00804925"/>
    <w:rsid w:val="0080497C"/>
    <w:rsid w:val="00804A73"/>
    <w:rsid w:val="00804AB9"/>
    <w:rsid w:val="00804BB8"/>
    <w:rsid w:val="00804BCD"/>
    <w:rsid w:val="00804BD0"/>
    <w:rsid w:val="00804BDC"/>
    <w:rsid w:val="00804C2E"/>
    <w:rsid w:val="00804C5C"/>
    <w:rsid w:val="00804C8D"/>
    <w:rsid w:val="00804C97"/>
    <w:rsid w:val="00804CB2"/>
    <w:rsid w:val="00804E04"/>
    <w:rsid w:val="00804F51"/>
    <w:rsid w:val="00805016"/>
    <w:rsid w:val="00805057"/>
    <w:rsid w:val="00805090"/>
    <w:rsid w:val="008051EB"/>
    <w:rsid w:val="00805213"/>
    <w:rsid w:val="0080527F"/>
    <w:rsid w:val="00805399"/>
    <w:rsid w:val="008053CE"/>
    <w:rsid w:val="00805479"/>
    <w:rsid w:val="0080554C"/>
    <w:rsid w:val="008055A9"/>
    <w:rsid w:val="00805645"/>
    <w:rsid w:val="00805714"/>
    <w:rsid w:val="008058D6"/>
    <w:rsid w:val="00805900"/>
    <w:rsid w:val="00805970"/>
    <w:rsid w:val="00805ABA"/>
    <w:rsid w:val="00805B18"/>
    <w:rsid w:val="00805DEF"/>
    <w:rsid w:val="00805E88"/>
    <w:rsid w:val="00805EE0"/>
    <w:rsid w:val="00805F91"/>
    <w:rsid w:val="00805F98"/>
    <w:rsid w:val="00805FDA"/>
    <w:rsid w:val="00805FF8"/>
    <w:rsid w:val="00806081"/>
    <w:rsid w:val="0080614E"/>
    <w:rsid w:val="00806311"/>
    <w:rsid w:val="0080633A"/>
    <w:rsid w:val="008063BD"/>
    <w:rsid w:val="008063C5"/>
    <w:rsid w:val="008063CF"/>
    <w:rsid w:val="008063DA"/>
    <w:rsid w:val="00806498"/>
    <w:rsid w:val="008064C8"/>
    <w:rsid w:val="008065A9"/>
    <w:rsid w:val="008066D4"/>
    <w:rsid w:val="008067A0"/>
    <w:rsid w:val="00806876"/>
    <w:rsid w:val="008069FD"/>
    <w:rsid w:val="00806B27"/>
    <w:rsid w:val="00806B32"/>
    <w:rsid w:val="00806B40"/>
    <w:rsid w:val="00806BC5"/>
    <w:rsid w:val="00806C2A"/>
    <w:rsid w:val="00806C74"/>
    <w:rsid w:val="00806CB7"/>
    <w:rsid w:val="00806CDA"/>
    <w:rsid w:val="00806EA9"/>
    <w:rsid w:val="00806EE8"/>
    <w:rsid w:val="00806F6C"/>
    <w:rsid w:val="00806F78"/>
    <w:rsid w:val="00806FB6"/>
    <w:rsid w:val="0080709A"/>
    <w:rsid w:val="0080711D"/>
    <w:rsid w:val="00807272"/>
    <w:rsid w:val="00807336"/>
    <w:rsid w:val="008074A3"/>
    <w:rsid w:val="008074AD"/>
    <w:rsid w:val="00807573"/>
    <w:rsid w:val="0080757E"/>
    <w:rsid w:val="00807775"/>
    <w:rsid w:val="0080789F"/>
    <w:rsid w:val="008078C9"/>
    <w:rsid w:val="00807A4E"/>
    <w:rsid w:val="00807AD2"/>
    <w:rsid w:val="00807B8B"/>
    <w:rsid w:val="00807D84"/>
    <w:rsid w:val="00807E42"/>
    <w:rsid w:val="00807EEA"/>
    <w:rsid w:val="008100F1"/>
    <w:rsid w:val="0081012E"/>
    <w:rsid w:val="008101BA"/>
    <w:rsid w:val="0081037E"/>
    <w:rsid w:val="0081039C"/>
    <w:rsid w:val="0081041D"/>
    <w:rsid w:val="0081043C"/>
    <w:rsid w:val="00810443"/>
    <w:rsid w:val="0081051C"/>
    <w:rsid w:val="008105C8"/>
    <w:rsid w:val="00810648"/>
    <w:rsid w:val="00810654"/>
    <w:rsid w:val="00810681"/>
    <w:rsid w:val="0081068D"/>
    <w:rsid w:val="008106B1"/>
    <w:rsid w:val="008107B7"/>
    <w:rsid w:val="0081080F"/>
    <w:rsid w:val="00810895"/>
    <w:rsid w:val="008108C9"/>
    <w:rsid w:val="00810994"/>
    <w:rsid w:val="00810A3B"/>
    <w:rsid w:val="00810B36"/>
    <w:rsid w:val="00810BBF"/>
    <w:rsid w:val="00810CE6"/>
    <w:rsid w:val="00810D2F"/>
    <w:rsid w:val="00810E4D"/>
    <w:rsid w:val="00810EAA"/>
    <w:rsid w:val="00810F3F"/>
    <w:rsid w:val="0081100F"/>
    <w:rsid w:val="00811045"/>
    <w:rsid w:val="00811054"/>
    <w:rsid w:val="00811115"/>
    <w:rsid w:val="00811134"/>
    <w:rsid w:val="00811169"/>
    <w:rsid w:val="0081117B"/>
    <w:rsid w:val="00811200"/>
    <w:rsid w:val="00811268"/>
    <w:rsid w:val="0081129E"/>
    <w:rsid w:val="00811312"/>
    <w:rsid w:val="008113D0"/>
    <w:rsid w:val="008113FA"/>
    <w:rsid w:val="00811456"/>
    <w:rsid w:val="00811504"/>
    <w:rsid w:val="00811662"/>
    <w:rsid w:val="0081168B"/>
    <w:rsid w:val="008116F7"/>
    <w:rsid w:val="0081174B"/>
    <w:rsid w:val="008117BC"/>
    <w:rsid w:val="008118AE"/>
    <w:rsid w:val="008119A7"/>
    <w:rsid w:val="00811A43"/>
    <w:rsid w:val="00811BB0"/>
    <w:rsid w:val="00811D1D"/>
    <w:rsid w:val="00811F79"/>
    <w:rsid w:val="00811FF5"/>
    <w:rsid w:val="00812000"/>
    <w:rsid w:val="008120BD"/>
    <w:rsid w:val="008120C1"/>
    <w:rsid w:val="008121B3"/>
    <w:rsid w:val="0081228E"/>
    <w:rsid w:val="008123C8"/>
    <w:rsid w:val="008123E3"/>
    <w:rsid w:val="00812669"/>
    <w:rsid w:val="008126B6"/>
    <w:rsid w:val="008127A9"/>
    <w:rsid w:val="0081287D"/>
    <w:rsid w:val="008128E0"/>
    <w:rsid w:val="00812979"/>
    <w:rsid w:val="00812993"/>
    <w:rsid w:val="00812A33"/>
    <w:rsid w:val="00812AB0"/>
    <w:rsid w:val="00812B0D"/>
    <w:rsid w:val="00812BDD"/>
    <w:rsid w:val="00812CA4"/>
    <w:rsid w:val="00812CDC"/>
    <w:rsid w:val="00812FF9"/>
    <w:rsid w:val="00813165"/>
    <w:rsid w:val="008131CA"/>
    <w:rsid w:val="0081322D"/>
    <w:rsid w:val="008133BB"/>
    <w:rsid w:val="008133E5"/>
    <w:rsid w:val="00813414"/>
    <w:rsid w:val="00813567"/>
    <w:rsid w:val="00813655"/>
    <w:rsid w:val="00813693"/>
    <w:rsid w:val="008136B1"/>
    <w:rsid w:val="00813749"/>
    <w:rsid w:val="00813759"/>
    <w:rsid w:val="008138A3"/>
    <w:rsid w:val="008138D7"/>
    <w:rsid w:val="00813962"/>
    <w:rsid w:val="00813AA6"/>
    <w:rsid w:val="00813BE0"/>
    <w:rsid w:val="00813C12"/>
    <w:rsid w:val="00813CAE"/>
    <w:rsid w:val="00813EFE"/>
    <w:rsid w:val="00813F15"/>
    <w:rsid w:val="00813F2D"/>
    <w:rsid w:val="00813F34"/>
    <w:rsid w:val="008140BA"/>
    <w:rsid w:val="00814277"/>
    <w:rsid w:val="008142DC"/>
    <w:rsid w:val="008143C8"/>
    <w:rsid w:val="008143D0"/>
    <w:rsid w:val="008143F6"/>
    <w:rsid w:val="00814468"/>
    <w:rsid w:val="008144AF"/>
    <w:rsid w:val="00814579"/>
    <w:rsid w:val="008145C2"/>
    <w:rsid w:val="008146A1"/>
    <w:rsid w:val="00814785"/>
    <w:rsid w:val="00814794"/>
    <w:rsid w:val="0081479F"/>
    <w:rsid w:val="008147AB"/>
    <w:rsid w:val="008147DC"/>
    <w:rsid w:val="00814826"/>
    <w:rsid w:val="00814869"/>
    <w:rsid w:val="008148BC"/>
    <w:rsid w:val="008148CB"/>
    <w:rsid w:val="008148D5"/>
    <w:rsid w:val="00814A00"/>
    <w:rsid w:val="00814AF0"/>
    <w:rsid w:val="00814B31"/>
    <w:rsid w:val="00814B3D"/>
    <w:rsid w:val="00814B55"/>
    <w:rsid w:val="00814B98"/>
    <w:rsid w:val="00814B9A"/>
    <w:rsid w:val="00814C37"/>
    <w:rsid w:val="00814CB6"/>
    <w:rsid w:val="00814CDC"/>
    <w:rsid w:val="00814D0D"/>
    <w:rsid w:val="00814D20"/>
    <w:rsid w:val="00814D4B"/>
    <w:rsid w:val="00814E53"/>
    <w:rsid w:val="00814F3C"/>
    <w:rsid w:val="00814F59"/>
    <w:rsid w:val="008151D2"/>
    <w:rsid w:val="008152A4"/>
    <w:rsid w:val="008152E1"/>
    <w:rsid w:val="0081531E"/>
    <w:rsid w:val="0081537F"/>
    <w:rsid w:val="008153A4"/>
    <w:rsid w:val="008153C3"/>
    <w:rsid w:val="008154C7"/>
    <w:rsid w:val="00815554"/>
    <w:rsid w:val="008156FA"/>
    <w:rsid w:val="0081571B"/>
    <w:rsid w:val="00815772"/>
    <w:rsid w:val="0081579C"/>
    <w:rsid w:val="008157E7"/>
    <w:rsid w:val="00815868"/>
    <w:rsid w:val="00815896"/>
    <w:rsid w:val="008159D0"/>
    <w:rsid w:val="00815A25"/>
    <w:rsid w:val="00815A2F"/>
    <w:rsid w:val="00815B86"/>
    <w:rsid w:val="00815BD0"/>
    <w:rsid w:val="00815BEA"/>
    <w:rsid w:val="00815C2D"/>
    <w:rsid w:val="00815D71"/>
    <w:rsid w:val="00815E6B"/>
    <w:rsid w:val="00815E9C"/>
    <w:rsid w:val="00815EBE"/>
    <w:rsid w:val="00815FD8"/>
    <w:rsid w:val="00815FE2"/>
    <w:rsid w:val="0081604F"/>
    <w:rsid w:val="00816066"/>
    <w:rsid w:val="0081610F"/>
    <w:rsid w:val="0081616E"/>
    <w:rsid w:val="008161F0"/>
    <w:rsid w:val="00816336"/>
    <w:rsid w:val="008163EE"/>
    <w:rsid w:val="0081648D"/>
    <w:rsid w:val="00816657"/>
    <w:rsid w:val="008166D2"/>
    <w:rsid w:val="0081675A"/>
    <w:rsid w:val="008167AE"/>
    <w:rsid w:val="0081682C"/>
    <w:rsid w:val="008168E4"/>
    <w:rsid w:val="00816A40"/>
    <w:rsid w:val="00816AA2"/>
    <w:rsid w:val="00816ABD"/>
    <w:rsid w:val="00816B20"/>
    <w:rsid w:val="00816BAF"/>
    <w:rsid w:val="00816C01"/>
    <w:rsid w:val="00816C25"/>
    <w:rsid w:val="00816CE6"/>
    <w:rsid w:val="00816DFE"/>
    <w:rsid w:val="00816E71"/>
    <w:rsid w:val="0081705D"/>
    <w:rsid w:val="0081709B"/>
    <w:rsid w:val="008170A1"/>
    <w:rsid w:val="008170B5"/>
    <w:rsid w:val="008170D7"/>
    <w:rsid w:val="00817116"/>
    <w:rsid w:val="0081712D"/>
    <w:rsid w:val="00817160"/>
    <w:rsid w:val="008173B3"/>
    <w:rsid w:val="0081740D"/>
    <w:rsid w:val="008174F6"/>
    <w:rsid w:val="008175A9"/>
    <w:rsid w:val="00817693"/>
    <w:rsid w:val="008176EB"/>
    <w:rsid w:val="00817795"/>
    <w:rsid w:val="008177EB"/>
    <w:rsid w:val="008178A3"/>
    <w:rsid w:val="008178C9"/>
    <w:rsid w:val="008178FC"/>
    <w:rsid w:val="0081794F"/>
    <w:rsid w:val="00817AF0"/>
    <w:rsid w:val="00817BC8"/>
    <w:rsid w:val="00817C86"/>
    <w:rsid w:val="00817D43"/>
    <w:rsid w:val="00817DDD"/>
    <w:rsid w:val="00817F0B"/>
    <w:rsid w:val="00817F67"/>
    <w:rsid w:val="00817FA2"/>
    <w:rsid w:val="00820068"/>
    <w:rsid w:val="008200BC"/>
    <w:rsid w:val="008200E6"/>
    <w:rsid w:val="0082011B"/>
    <w:rsid w:val="00820137"/>
    <w:rsid w:val="0082034C"/>
    <w:rsid w:val="0082054D"/>
    <w:rsid w:val="008205E1"/>
    <w:rsid w:val="008206BB"/>
    <w:rsid w:val="008207D2"/>
    <w:rsid w:val="008207EE"/>
    <w:rsid w:val="008208DF"/>
    <w:rsid w:val="008209C9"/>
    <w:rsid w:val="008209ED"/>
    <w:rsid w:val="008209F6"/>
    <w:rsid w:val="00820A5E"/>
    <w:rsid w:val="00820C40"/>
    <w:rsid w:val="00820C48"/>
    <w:rsid w:val="00820C67"/>
    <w:rsid w:val="00820C7A"/>
    <w:rsid w:val="00820C9E"/>
    <w:rsid w:val="00820D25"/>
    <w:rsid w:val="00820D99"/>
    <w:rsid w:val="00820DC8"/>
    <w:rsid w:val="00820E2E"/>
    <w:rsid w:val="00820E7F"/>
    <w:rsid w:val="00820F10"/>
    <w:rsid w:val="00820F54"/>
    <w:rsid w:val="008210D4"/>
    <w:rsid w:val="0082114B"/>
    <w:rsid w:val="0082120F"/>
    <w:rsid w:val="00821267"/>
    <w:rsid w:val="008212CC"/>
    <w:rsid w:val="008212ED"/>
    <w:rsid w:val="00821337"/>
    <w:rsid w:val="008213F4"/>
    <w:rsid w:val="00821491"/>
    <w:rsid w:val="008214A6"/>
    <w:rsid w:val="008214C0"/>
    <w:rsid w:val="008214E7"/>
    <w:rsid w:val="0082157A"/>
    <w:rsid w:val="0082168A"/>
    <w:rsid w:val="008216DA"/>
    <w:rsid w:val="00821746"/>
    <w:rsid w:val="00821756"/>
    <w:rsid w:val="008217EB"/>
    <w:rsid w:val="00821851"/>
    <w:rsid w:val="0082185C"/>
    <w:rsid w:val="008218B4"/>
    <w:rsid w:val="00821917"/>
    <w:rsid w:val="0082191A"/>
    <w:rsid w:val="0082192B"/>
    <w:rsid w:val="008219B7"/>
    <w:rsid w:val="00821B74"/>
    <w:rsid w:val="00821C02"/>
    <w:rsid w:val="00821C57"/>
    <w:rsid w:val="00821D0E"/>
    <w:rsid w:val="00821E19"/>
    <w:rsid w:val="00821E1F"/>
    <w:rsid w:val="00821EAF"/>
    <w:rsid w:val="00821EC3"/>
    <w:rsid w:val="00821EE6"/>
    <w:rsid w:val="00821F31"/>
    <w:rsid w:val="00821F3D"/>
    <w:rsid w:val="00821F89"/>
    <w:rsid w:val="00822094"/>
    <w:rsid w:val="00822302"/>
    <w:rsid w:val="00822304"/>
    <w:rsid w:val="0082238A"/>
    <w:rsid w:val="0082238D"/>
    <w:rsid w:val="008224E0"/>
    <w:rsid w:val="00822506"/>
    <w:rsid w:val="0082251B"/>
    <w:rsid w:val="008226B1"/>
    <w:rsid w:val="008226DC"/>
    <w:rsid w:val="008226F0"/>
    <w:rsid w:val="00822705"/>
    <w:rsid w:val="008227CE"/>
    <w:rsid w:val="00822822"/>
    <w:rsid w:val="008228A6"/>
    <w:rsid w:val="0082293F"/>
    <w:rsid w:val="0082294B"/>
    <w:rsid w:val="00822973"/>
    <w:rsid w:val="00822996"/>
    <w:rsid w:val="008229A6"/>
    <w:rsid w:val="00822B6A"/>
    <w:rsid w:val="00822B8C"/>
    <w:rsid w:val="00822BF3"/>
    <w:rsid w:val="00822C13"/>
    <w:rsid w:val="00822C47"/>
    <w:rsid w:val="00822C7B"/>
    <w:rsid w:val="00822D4A"/>
    <w:rsid w:val="00822D63"/>
    <w:rsid w:val="00822D73"/>
    <w:rsid w:val="00822DB4"/>
    <w:rsid w:val="00822F9C"/>
    <w:rsid w:val="00822F9F"/>
    <w:rsid w:val="00823166"/>
    <w:rsid w:val="00823301"/>
    <w:rsid w:val="0082330D"/>
    <w:rsid w:val="00823336"/>
    <w:rsid w:val="0082335E"/>
    <w:rsid w:val="0082336B"/>
    <w:rsid w:val="0082339B"/>
    <w:rsid w:val="00823417"/>
    <w:rsid w:val="0082346A"/>
    <w:rsid w:val="00823483"/>
    <w:rsid w:val="00823526"/>
    <w:rsid w:val="008235DA"/>
    <w:rsid w:val="00823739"/>
    <w:rsid w:val="008237E5"/>
    <w:rsid w:val="0082384E"/>
    <w:rsid w:val="008238AD"/>
    <w:rsid w:val="008239DA"/>
    <w:rsid w:val="00823A66"/>
    <w:rsid w:val="00823A79"/>
    <w:rsid w:val="00823AA5"/>
    <w:rsid w:val="00823B45"/>
    <w:rsid w:val="00823C22"/>
    <w:rsid w:val="00823CE6"/>
    <w:rsid w:val="00823D60"/>
    <w:rsid w:val="00823D77"/>
    <w:rsid w:val="00823E28"/>
    <w:rsid w:val="00823E63"/>
    <w:rsid w:val="00823E7D"/>
    <w:rsid w:val="00823EF8"/>
    <w:rsid w:val="00823F0D"/>
    <w:rsid w:val="00823F2C"/>
    <w:rsid w:val="00823F2F"/>
    <w:rsid w:val="00824147"/>
    <w:rsid w:val="008241A7"/>
    <w:rsid w:val="008241EA"/>
    <w:rsid w:val="0082422A"/>
    <w:rsid w:val="00824260"/>
    <w:rsid w:val="00824276"/>
    <w:rsid w:val="00824435"/>
    <w:rsid w:val="0082450B"/>
    <w:rsid w:val="008245C2"/>
    <w:rsid w:val="00824610"/>
    <w:rsid w:val="008246C0"/>
    <w:rsid w:val="00824750"/>
    <w:rsid w:val="00824765"/>
    <w:rsid w:val="0082478C"/>
    <w:rsid w:val="008247E6"/>
    <w:rsid w:val="0082482B"/>
    <w:rsid w:val="00824845"/>
    <w:rsid w:val="008248AA"/>
    <w:rsid w:val="00824943"/>
    <w:rsid w:val="0082495B"/>
    <w:rsid w:val="008249FF"/>
    <w:rsid w:val="00824A1E"/>
    <w:rsid w:val="00824A6E"/>
    <w:rsid w:val="00824A72"/>
    <w:rsid w:val="00824A91"/>
    <w:rsid w:val="00824BD8"/>
    <w:rsid w:val="00824C03"/>
    <w:rsid w:val="00824D1B"/>
    <w:rsid w:val="00824D71"/>
    <w:rsid w:val="00824D92"/>
    <w:rsid w:val="00824E31"/>
    <w:rsid w:val="00824E52"/>
    <w:rsid w:val="00824E92"/>
    <w:rsid w:val="00824F9A"/>
    <w:rsid w:val="0082500A"/>
    <w:rsid w:val="00825056"/>
    <w:rsid w:val="008250AE"/>
    <w:rsid w:val="00825142"/>
    <w:rsid w:val="00825160"/>
    <w:rsid w:val="00825221"/>
    <w:rsid w:val="0082524F"/>
    <w:rsid w:val="008252C0"/>
    <w:rsid w:val="00825300"/>
    <w:rsid w:val="008253C8"/>
    <w:rsid w:val="008254FA"/>
    <w:rsid w:val="008256A6"/>
    <w:rsid w:val="00825851"/>
    <w:rsid w:val="00825930"/>
    <w:rsid w:val="00825965"/>
    <w:rsid w:val="008259D3"/>
    <w:rsid w:val="00825A50"/>
    <w:rsid w:val="00825A82"/>
    <w:rsid w:val="00825AF3"/>
    <w:rsid w:val="00825B08"/>
    <w:rsid w:val="00825B0D"/>
    <w:rsid w:val="00825C5D"/>
    <w:rsid w:val="00825CCD"/>
    <w:rsid w:val="00825CD4"/>
    <w:rsid w:val="00825CF2"/>
    <w:rsid w:val="00825D23"/>
    <w:rsid w:val="00825D6A"/>
    <w:rsid w:val="00825E9C"/>
    <w:rsid w:val="00825EC7"/>
    <w:rsid w:val="00825ECF"/>
    <w:rsid w:val="00825F05"/>
    <w:rsid w:val="00825FC9"/>
    <w:rsid w:val="00826069"/>
    <w:rsid w:val="00826216"/>
    <w:rsid w:val="00826434"/>
    <w:rsid w:val="008266C4"/>
    <w:rsid w:val="008266D7"/>
    <w:rsid w:val="00826750"/>
    <w:rsid w:val="008267DA"/>
    <w:rsid w:val="00826810"/>
    <w:rsid w:val="00826869"/>
    <w:rsid w:val="008268BF"/>
    <w:rsid w:val="0082692F"/>
    <w:rsid w:val="008269B0"/>
    <w:rsid w:val="008269B7"/>
    <w:rsid w:val="008269CE"/>
    <w:rsid w:val="00826A12"/>
    <w:rsid w:val="00826A1C"/>
    <w:rsid w:val="00826A45"/>
    <w:rsid w:val="00826ABC"/>
    <w:rsid w:val="00826B46"/>
    <w:rsid w:val="00826B63"/>
    <w:rsid w:val="00826C60"/>
    <w:rsid w:val="00826CF1"/>
    <w:rsid w:val="00826D26"/>
    <w:rsid w:val="00826E3F"/>
    <w:rsid w:val="00826ED7"/>
    <w:rsid w:val="00826FAA"/>
    <w:rsid w:val="00827165"/>
    <w:rsid w:val="00827168"/>
    <w:rsid w:val="008271F9"/>
    <w:rsid w:val="008272BB"/>
    <w:rsid w:val="00827401"/>
    <w:rsid w:val="0082751D"/>
    <w:rsid w:val="0082757E"/>
    <w:rsid w:val="008276EF"/>
    <w:rsid w:val="008276F0"/>
    <w:rsid w:val="0082770D"/>
    <w:rsid w:val="008277CD"/>
    <w:rsid w:val="0082796D"/>
    <w:rsid w:val="00827A0B"/>
    <w:rsid w:val="00827B9C"/>
    <w:rsid w:val="00827BBA"/>
    <w:rsid w:val="00827BC1"/>
    <w:rsid w:val="00827C13"/>
    <w:rsid w:val="00827C83"/>
    <w:rsid w:val="00827C87"/>
    <w:rsid w:val="00827CD3"/>
    <w:rsid w:val="00827D0E"/>
    <w:rsid w:val="00827D41"/>
    <w:rsid w:val="00827D5D"/>
    <w:rsid w:val="00827DDD"/>
    <w:rsid w:val="00827DF2"/>
    <w:rsid w:val="00827EE3"/>
    <w:rsid w:val="00827FED"/>
    <w:rsid w:val="00830006"/>
    <w:rsid w:val="0083012A"/>
    <w:rsid w:val="008301F8"/>
    <w:rsid w:val="008302DD"/>
    <w:rsid w:val="00830347"/>
    <w:rsid w:val="0083040A"/>
    <w:rsid w:val="00830497"/>
    <w:rsid w:val="0083063D"/>
    <w:rsid w:val="008306A3"/>
    <w:rsid w:val="00830880"/>
    <w:rsid w:val="00830A46"/>
    <w:rsid w:val="00830A75"/>
    <w:rsid w:val="00830A8A"/>
    <w:rsid w:val="00830AA9"/>
    <w:rsid w:val="00830B4B"/>
    <w:rsid w:val="00830B4D"/>
    <w:rsid w:val="00830B5E"/>
    <w:rsid w:val="00830B8A"/>
    <w:rsid w:val="00830C63"/>
    <w:rsid w:val="00830CE8"/>
    <w:rsid w:val="00830D69"/>
    <w:rsid w:val="00830D6A"/>
    <w:rsid w:val="00830E85"/>
    <w:rsid w:val="00830EE4"/>
    <w:rsid w:val="00830F12"/>
    <w:rsid w:val="00830F8C"/>
    <w:rsid w:val="00830F92"/>
    <w:rsid w:val="008310BB"/>
    <w:rsid w:val="00831182"/>
    <w:rsid w:val="008311B8"/>
    <w:rsid w:val="00831270"/>
    <w:rsid w:val="008312B3"/>
    <w:rsid w:val="008314B6"/>
    <w:rsid w:val="0083151D"/>
    <w:rsid w:val="00831547"/>
    <w:rsid w:val="008315AF"/>
    <w:rsid w:val="008315B9"/>
    <w:rsid w:val="008315CF"/>
    <w:rsid w:val="0083163A"/>
    <w:rsid w:val="0083166A"/>
    <w:rsid w:val="008316B3"/>
    <w:rsid w:val="008317DC"/>
    <w:rsid w:val="008317DD"/>
    <w:rsid w:val="008317E1"/>
    <w:rsid w:val="008317EC"/>
    <w:rsid w:val="00831808"/>
    <w:rsid w:val="008318E1"/>
    <w:rsid w:val="008318EE"/>
    <w:rsid w:val="00831A2E"/>
    <w:rsid w:val="00831A91"/>
    <w:rsid w:val="00831B11"/>
    <w:rsid w:val="00831C3C"/>
    <w:rsid w:val="00831D1F"/>
    <w:rsid w:val="00831DC2"/>
    <w:rsid w:val="00831DE8"/>
    <w:rsid w:val="00831EE2"/>
    <w:rsid w:val="00831EE9"/>
    <w:rsid w:val="00831F88"/>
    <w:rsid w:val="00831F8C"/>
    <w:rsid w:val="008320E5"/>
    <w:rsid w:val="008320ED"/>
    <w:rsid w:val="00832118"/>
    <w:rsid w:val="0083217C"/>
    <w:rsid w:val="00832194"/>
    <w:rsid w:val="008321A9"/>
    <w:rsid w:val="008321E3"/>
    <w:rsid w:val="008321ED"/>
    <w:rsid w:val="00832213"/>
    <w:rsid w:val="00832214"/>
    <w:rsid w:val="00832274"/>
    <w:rsid w:val="008322E5"/>
    <w:rsid w:val="0083236F"/>
    <w:rsid w:val="0083238F"/>
    <w:rsid w:val="008323FD"/>
    <w:rsid w:val="0083241F"/>
    <w:rsid w:val="008324A0"/>
    <w:rsid w:val="00832572"/>
    <w:rsid w:val="008326A7"/>
    <w:rsid w:val="00832826"/>
    <w:rsid w:val="0083286C"/>
    <w:rsid w:val="00832D3F"/>
    <w:rsid w:val="00832F83"/>
    <w:rsid w:val="00832FD5"/>
    <w:rsid w:val="00832FE7"/>
    <w:rsid w:val="008331D9"/>
    <w:rsid w:val="008331EE"/>
    <w:rsid w:val="00833284"/>
    <w:rsid w:val="0083328B"/>
    <w:rsid w:val="008332BD"/>
    <w:rsid w:val="008332CC"/>
    <w:rsid w:val="008334C7"/>
    <w:rsid w:val="00833546"/>
    <w:rsid w:val="00833629"/>
    <w:rsid w:val="0083362F"/>
    <w:rsid w:val="0083369C"/>
    <w:rsid w:val="008337E4"/>
    <w:rsid w:val="00833829"/>
    <w:rsid w:val="008338B8"/>
    <w:rsid w:val="008338BC"/>
    <w:rsid w:val="008338BD"/>
    <w:rsid w:val="0083396A"/>
    <w:rsid w:val="00833995"/>
    <w:rsid w:val="00833BB5"/>
    <w:rsid w:val="00833BF3"/>
    <w:rsid w:val="00833C00"/>
    <w:rsid w:val="00833C31"/>
    <w:rsid w:val="00833C6F"/>
    <w:rsid w:val="00833CB6"/>
    <w:rsid w:val="00833DEB"/>
    <w:rsid w:val="00833E14"/>
    <w:rsid w:val="00833F22"/>
    <w:rsid w:val="00833F61"/>
    <w:rsid w:val="00833FD1"/>
    <w:rsid w:val="00834030"/>
    <w:rsid w:val="00834040"/>
    <w:rsid w:val="0083407E"/>
    <w:rsid w:val="00834245"/>
    <w:rsid w:val="008342E9"/>
    <w:rsid w:val="008342F5"/>
    <w:rsid w:val="00834397"/>
    <w:rsid w:val="00834405"/>
    <w:rsid w:val="00834461"/>
    <w:rsid w:val="00834497"/>
    <w:rsid w:val="008344F7"/>
    <w:rsid w:val="008347C7"/>
    <w:rsid w:val="00834828"/>
    <w:rsid w:val="0083484F"/>
    <w:rsid w:val="00834857"/>
    <w:rsid w:val="008348F7"/>
    <w:rsid w:val="008349FA"/>
    <w:rsid w:val="00834A58"/>
    <w:rsid w:val="00834B70"/>
    <w:rsid w:val="00834C0D"/>
    <w:rsid w:val="00834C48"/>
    <w:rsid w:val="00834D1A"/>
    <w:rsid w:val="00834D25"/>
    <w:rsid w:val="00834D7C"/>
    <w:rsid w:val="00834D7D"/>
    <w:rsid w:val="00834D9C"/>
    <w:rsid w:val="00834DA5"/>
    <w:rsid w:val="00834DB9"/>
    <w:rsid w:val="00834EC4"/>
    <w:rsid w:val="00834EFD"/>
    <w:rsid w:val="00834F5B"/>
    <w:rsid w:val="00834F86"/>
    <w:rsid w:val="00834FC8"/>
    <w:rsid w:val="00835012"/>
    <w:rsid w:val="00835115"/>
    <w:rsid w:val="008351DC"/>
    <w:rsid w:val="008351EB"/>
    <w:rsid w:val="00835330"/>
    <w:rsid w:val="008353C1"/>
    <w:rsid w:val="0083569B"/>
    <w:rsid w:val="0083579E"/>
    <w:rsid w:val="008357D0"/>
    <w:rsid w:val="00835822"/>
    <w:rsid w:val="00835824"/>
    <w:rsid w:val="008358D0"/>
    <w:rsid w:val="008358FE"/>
    <w:rsid w:val="0083592B"/>
    <w:rsid w:val="00835967"/>
    <w:rsid w:val="008359DC"/>
    <w:rsid w:val="008359E8"/>
    <w:rsid w:val="00835ADC"/>
    <w:rsid w:val="00835BC8"/>
    <w:rsid w:val="00835C0B"/>
    <w:rsid w:val="00835C46"/>
    <w:rsid w:val="00835C6A"/>
    <w:rsid w:val="00835CE2"/>
    <w:rsid w:val="00835D8A"/>
    <w:rsid w:val="00835DB6"/>
    <w:rsid w:val="00835DD0"/>
    <w:rsid w:val="00835EFA"/>
    <w:rsid w:val="00835F2A"/>
    <w:rsid w:val="00835F2B"/>
    <w:rsid w:val="00835FC6"/>
    <w:rsid w:val="008361D2"/>
    <w:rsid w:val="0083621C"/>
    <w:rsid w:val="0083626B"/>
    <w:rsid w:val="0083627B"/>
    <w:rsid w:val="0083627F"/>
    <w:rsid w:val="008362E5"/>
    <w:rsid w:val="0083631B"/>
    <w:rsid w:val="008363EF"/>
    <w:rsid w:val="0083647C"/>
    <w:rsid w:val="0083647E"/>
    <w:rsid w:val="008364DA"/>
    <w:rsid w:val="00836513"/>
    <w:rsid w:val="008365AB"/>
    <w:rsid w:val="008367CF"/>
    <w:rsid w:val="0083682F"/>
    <w:rsid w:val="00836885"/>
    <w:rsid w:val="00836949"/>
    <w:rsid w:val="0083697F"/>
    <w:rsid w:val="0083698F"/>
    <w:rsid w:val="00836B44"/>
    <w:rsid w:val="00836B78"/>
    <w:rsid w:val="00836BAC"/>
    <w:rsid w:val="00836C92"/>
    <w:rsid w:val="00836CF9"/>
    <w:rsid w:val="00836D8A"/>
    <w:rsid w:val="00836DC3"/>
    <w:rsid w:val="00836DE8"/>
    <w:rsid w:val="00836E19"/>
    <w:rsid w:val="00836E66"/>
    <w:rsid w:val="00836E68"/>
    <w:rsid w:val="00836EAD"/>
    <w:rsid w:val="00837111"/>
    <w:rsid w:val="0083712C"/>
    <w:rsid w:val="008371D8"/>
    <w:rsid w:val="0083729A"/>
    <w:rsid w:val="008372AA"/>
    <w:rsid w:val="008372B9"/>
    <w:rsid w:val="008372F7"/>
    <w:rsid w:val="008373B0"/>
    <w:rsid w:val="0083743A"/>
    <w:rsid w:val="00837559"/>
    <w:rsid w:val="0083763D"/>
    <w:rsid w:val="008377BF"/>
    <w:rsid w:val="00837855"/>
    <w:rsid w:val="00837971"/>
    <w:rsid w:val="0083797A"/>
    <w:rsid w:val="00837B28"/>
    <w:rsid w:val="00837BFD"/>
    <w:rsid w:val="00837C0D"/>
    <w:rsid w:val="00837C40"/>
    <w:rsid w:val="00837C6D"/>
    <w:rsid w:val="00837C93"/>
    <w:rsid w:val="00837D22"/>
    <w:rsid w:val="00837D32"/>
    <w:rsid w:val="00837D6F"/>
    <w:rsid w:val="00837ECB"/>
    <w:rsid w:val="00837F4C"/>
    <w:rsid w:val="0084000F"/>
    <w:rsid w:val="0084002F"/>
    <w:rsid w:val="00840045"/>
    <w:rsid w:val="00840049"/>
    <w:rsid w:val="00840050"/>
    <w:rsid w:val="0084020F"/>
    <w:rsid w:val="00840248"/>
    <w:rsid w:val="00840295"/>
    <w:rsid w:val="0084029B"/>
    <w:rsid w:val="008403B4"/>
    <w:rsid w:val="008404F6"/>
    <w:rsid w:val="00840572"/>
    <w:rsid w:val="00840574"/>
    <w:rsid w:val="00840629"/>
    <w:rsid w:val="008406B4"/>
    <w:rsid w:val="00840970"/>
    <w:rsid w:val="00840A6A"/>
    <w:rsid w:val="00840A6B"/>
    <w:rsid w:val="00840ACA"/>
    <w:rsid w:val="00840B2D"/>
    <w:rsid w:val="00840BB4"/>
    <w:rsid w:val="00840C1E"/>
    <w:rsid w:val="00840C2E"/>
    <w:rsid w:val="00840C93"/>
    <w:rsid w:val="00840DAD"/>
    <w:rsid w:val="00840DEE"/>
    <w:rsid w:val="00840DF4"/>
    <w:rsid w:val="00840EE4"/>
    <w:rsid w:val="00840F15"/>
    <w:rsid w:val="00841021"/>
    <w:rsid w:val="008410CC"/>
    <w:rsid w:val="008412D0"/>
    <w:rsid w:val="008412EA"/>
    <w:rsid w:val="00841379"/>
    <w:rsid w:val="008413FF"/>
    <w:rsid w:val="00841412"/>
    <w:rsid w:val="0084141C"/>
    <w:rsid w:val="00841425"/>
    <w:rsid w:val="0084147D"/>
    <w:rsid w:val="008414AA"/>
    <w:rsid w:val="008414EF"/>
    <w:rsid w:val="00841565"/>
    <w:rsid w:val="0084157C"/>
    <w:rsid w:val="008415D6"/>
    <w:rsid w:val="008415E8"/>
    <w:rsid w:val="008415F8"/>
    <w:rsid w:val="0084178B"/>
    <w:rsid w:val="00841794"/>
    <w:rsid w:val="008417A5"/>
    <w:rsid w:val="00841892"/>
    <w:rsid w:val="008418B3"/>
    <w:rsid w:val="0084199A"/>
    <w:rsid w:val="008419F5"/>
    <w:rsid w:val="00841B20"/>
    <w:rsid w:val="00841C77"/>
    <w:rsid w:val="00841CCF"/>
    <w:rsid w:val="00841D3D"/>
    <w:rsid w:val="00841D55"/>
    <w:rsid w:val="00841DDF"/>
    <w:rsid w:val="00841E34"/>
    <w:rsid w:val="00842051"/>
    <w:rsid w:val="00842170"/>
    <w:rsid w:val="00842238"/>
    <w:rsid w:val="008422F8"/>
    <w:rsid w:val="0084234B"/>
    <w:rsid w:val="0084248A"/>
    <w:rsid w:val="008424B9"/>
    <w:rsid w:val="0084258B"/>
    <w:rsid w:val="008425E6"/>
    <w:rsid w:val="00842659"/>
    <w:rsid w:val="008426B1"/>
    <w:rsid w:val="00842868"/>
    <w:rsid w:val="008428E6"/>
    <w:rsid w:val="008428EC"/>
    <w:rsid w:val="00842952"/>
    <w:rsid w:val="00842987"/>
    <w:rsid w:val="00842ABB"/>
    <w:rsid w:val="00842AC0"/>
    <w:rsid w:val="00842AD2"/>
    <w:rsid w:val="00842AE3"/>
    <w:rsid w:val="00842B3B"/>
    <w:rsid w:val="00842B49"/>
    <w:rsid w:val="00842BCF"/>
    <w:rsid w:val="00842C03"/>
    <w:rsid w:val="00842D22"/>
    <w:rsid w:val="00842E98"/>
    <w:rsid w:val="00842EB5"/>
    <w:rsid w:val="00842EEC"/>
    <w:rsid w:val="00842FFC"/>
    <w:rsid w:val="00843086"/>
    <w:rsid w:val="00843335"/>
    <w:rsid w:val="0084335B"/>
    <w:rsid w:val="0084336B"/>
    <w:rsid w:val="008433E5"/>
    <w:rsid w:val="008433FA"/>
    <w:rsid w:val="0084355B"/>
    <w:rsid w:val="00843567"/>
    <w:rsid w:val="00843598"/>
    <w:rsid w:val="008436BD"/>
    <w:rsid w:val="008436E0"/>
    <w:rsid w:val="008436EE"/>
    <w:rsid w:val="008439D4"/>
    <w:rsid w:val="00843A15"/>
    <w:rsid w:val="00843B7B"/>
    <w:rsid w:val="00843CFE"/>
    <w:rsid w:val="00843D8D"/>
    <w:rsid w:val="00843DB2"/>
    <w:rsid w:val="00843E1B"/>
    <w:rsid w:val="00843EE2"/>
    <w:rsid w:val="00843F50"/>
    <w:rsid w:val="00843F9F"/>
    <w:rsid w:val="00843FA7"/>
    <w:rsid w:val="0084407A"/>
    <w:rsid w:val="00844086"/>
    <w:rsid w:val="008440CC"/>
    <w:rsid w:val="0084421C"/>
    <w:rsid w:val="00844285"/>
    <w:rsid w:val="008442B4"/>
    <w:rsid w:val="008442BB"/>
    <w:rsid w:val="008443AF"/>
    <w:rsid w:val="00844443"/>
    <w:rsid w:val="00844465"/>
    <w:rsid w:val="0084465E"/>
    <w:rsid w:val="0084468B"/>
    <w:rsid w:val="0084477F"/>
    <w:rsid w:val="00844867"/>
    <w:rsid w:val="00844961"/>
    <w:rsid w:val="00844A4B"/>
    <w:rsid w:val="00844A69"/>
    <w:rsid w:val="00844A83"/>
    <w:rsid w:val="00844B1E"/>
    <w:rsid w:val="00844B64"/>
    <w:rsid w:val="00844B78"/>
    <w:rsid w:val="00844CB0"/>
    <w:rsid w:val="00844D44"/>
    <w:rsid w:val="00844D72"/>
    <w:rsid w:val="00844DBF"/>
    <w:rsid w:val="00844F09"/>
    <w:rsid w:val="00844F46"/>
    <w:rsid w:val="0084504F"/>
    <w:rsid w:val="00845167"/>
    <w:rsid w:val="008451C3"/>
    <w:rsid w:val="00845269"/>
    <w:rsid w:val="0084526E"/>
    <w:rsid w:val="008453A6"/>
    <w:rsid w:val="008454BD"/>
    <w:rsid w:val="0084553C"/>
    <w:rsid w:val="008455AA"/>
    <w:rsid w:val="008457EA"/>
    <w:rsid w:val="00845809"/>
    <w:rsid w:val="00845861"/>
    <w:rsid w:val="008458C5"/>
    <w:rsid w:val="00845A75"/>
    <w:rsid w:val="00845BFA"/>
    <w:rsid w:val="00845BFF"/>
    <w:rsid w:val="00845C11"/>
    <w:rsid w:val="00845C24"/>
    <w:rsid w:val="00845C76"/>
    <w:rsid w:val="00845CCB"/>
    <w:rsid w:val="00845D25"/>
    <w:rsid w:val="00845DB7"/>
    <w:rsid w:val="00845E73"/>
    <w:rsid w:val="00845EE4"/>
    <w:rsid w:val="00845EF0"/>
    <w:rsid w:val="00846120"/>
    <w:rsid w:val="00846183"/>
    <w:rsid w:val="00846261"/>
    <w:rsid w:val="008462E4"/>
    <w:rsid w:val="008464C3"/>
    <w:rsid w:val="008466CD"/>
    <w:rsid w:val="00846750"/>
    <w:rsid w:val="00846925"/>
    <w:rsid w:val="00846A94"/>
    <w:rsid w:val="00846B7C"/>
    <w:rsid w:val="00846BCE"/>
    <w:rsid w:val="00846C33"/>
    <w:rsid w:val="00846D31"/>
    <w:rsid w:val="00846DB9"/>
    <w:rsid w:val="00846DF7"/>
    <w:rsid w:val="008470D6"/>
    <w:rsid w:val="008470E2"/>
    <w:rsid w:val="00847231"/>
    <w:rsid w:val="0084723E"/>
    <w:rsid w:val="0084728C"/>
    <w:rsid w:val="008472B1"/>
    <w:rsid w:val="0084735D"/>
    <w:rsid w:val="008473CF"/>
    <w:rsid w:val="008474EE"/>
    <w:rsid w:val="0084754C"/>
    <w:rsid w:val="008477E6"/>
    <w:rsid w:val="00847800"/>
    <w:rsid w:val="008478B0"/>
    <w:rsid w:val="00847908"/>
    <w:rsid w:val="00847A05"/>
    <w:rsid w:val="00847A3D"/>
    <w:rsid w:val="00847A42"/>
    <w:rsid w:val="00847A73"/>
    <w:rsid w:val="00847A81"/>
    <w:rsid w:val="00847B5F"/>
    <w:rsid w:val="00847BB1"/>
    <w:rsid w:val="00847C15"/>
    <w:rsid w:val="00847C2C"/>
    <w:rsid w:val="00847CA2"/>
    <w:rsid w:val="00847CAD"/>
    <w:rsid w:val="00847CFB"/>
    <w:rsid w:val="00847D85"/>
    <w:rsid w:val="00847E51"/>
    <w:rsid w:val="00847E5C"/>
    <w:rsid w:val="00847EA1"/>
    <w:rsid w:val="00847F09"/>
    <w:rsid w:val="00847F8C"/>
    <w:rsid w:val="00850006"/>
    <w:rsid w:val="00850104"/>
    <w:rsid w:val="00850136"/>
    <w:rsid w:val="00850149"/>
    <w:rsid w:val="00850289"/>
    <w:rsid w:val="0085030F"/>
    <w:rsid w:val="008503BB"/>
    <w:rsid w:val="008505C9"/>
    <w:rsid w:val="0085064A"/>
    <w:rsid w:val="0085066D"/>
    <w:rsid w:val="0085069A"/>
    <w:rsid w:val="008506EA"/>
    <w:rsid w:val="008507CE"/>
    <w:rsid w:val="008507D3"/>
    <w:rsid w:val="00850831"/>
    <w:rsid w:val="008509A1"/>
    <w:rsid w:val="008509C1"/>
    <w:rsid w:val="00850AA7"/>
    <w:rsid w:val="00850AFE"/>
    <w:rsid w:val="00850BDC"/>
    <w:rsid w:val="00850CFC"/>
    <w:rsid w:val="00850D63"/>
    <w:rsid w:val="00850DB6"/>
    <w:rsid w:val="00850DBD"/>
    <w:rsid w:val="00850E02"/>
    <w:rsid w:val="00850E1F"/>
    <w:rsid w:val="00850E6C"/>
    <w:rsid w:val="00850E97"/>
    <w:rsid w:val="00850EEB"/>
    <w:rsid w:val="00850F03"/>
    <w:rsid w:val="00850F74"/>
    <w:rsid w:val="00851105"/>
    <w:rsid w:val="00851176"/>
    <w:rsid w:val="008511E1"/>
    <w:rsid w:val="0085137D"/>
    <w:rsid w:val="00851474"/>
    <w:rsid w:val="008515A1"/>
    <w:rsid w:val="00851830"/>
    <w:rsid w:val="00851874"/>
    <w:rsid w:val="008518A7"/>
    <w:rsid w:val="008518F2"/>
    <w:rsid w:val="0085193A"/>
    <w:rsid w:val="0085196C"/>
    <w:rsid w:val="008519B2"/>
    <w:rsid w:val="00851A4A"/>
    <w:rsid w:val="00851B2E"/>
    <w:rsid w:val="00851B5B"/>
    <w:rsid w:val="00851CB9"/>
    <w:rsid w:val="00851CD4"/>
    <w:rsid w:val="00851CEA"/>
    <w:rsid w:val="00851CF2"/>
    <w:rsid w:val="00851D2C"/>
    <w:rsid w:val="00851D62"/>
    <w:rsid w:val="00851D9F"/>
    <w:rsid w:val="00852342"/>
    <w:rsid w:val="0085238F"/>
    <w:rsid w:val="008523F7"/>
    <w:rsid w:val="0085242B"/>
    <w:rsid w:val="00852469"/>
    <w:rsid w:val="008524B0"/>
    <w:rsid w:val="00852549"/>
    <w:rsid w:val="008525EA"/>
    <w:rsid w:val="00852632"/>
    <w:rsid w:val="0085285F"/>
    <w:rsid w:val="008528A6"/>
    <w:rsid w:val="008528F2"/>
    <w:rsid w:val="0085299B"/>
    <w:rsid w:val="008529AE"/>
    <w:rsid w:val="00852A49"/>
    <w:rsid w:val="00852A7C"/>
    <w:rsid w:val="00852AAA"/>
    <w:rsid w:val="00852AE2"/>
    <w:rsid w:val="00852B2E"/>
    <w:rsid w:val="00852B77"/>
    <w:rsid w:val="00852B9D"/>
    <w:rsid w:val="00852BFD"/>
    <w:rsid w:val="00852CE5"/>
    <w:rsid w:val="00852D1C"/>
    <w:rsid w:val="00852D3B"/>
    <w:rsid w:val="00852E10"/>
    <w:rsid w:val="00852E5E"/>
    <w:rsid w:val="00852EA9"/>
    <w:rsid w:val="00852F2A"/>
    <w:rsid w:val="00853034"/>
    <w:rsid w:val="00853080"/>
    <w:rsid w:val="0085308C"/>
    <w:rsid w:val="008530D7"/>
    <w:rsid w:val="008530FC"/>
    <w:rsid w:val="0085317E"/>
    <w:rsid w:val="0085320D"/>
    <w:rsid w:val="008533B9"/>
    <w:rsid w:val="00853419"/>
    <w:rsid w:val="00853563"/>
    <w:rsid w:val="008536EC"/>
    <w:rsid w:val="00853766"/>
    <w:rsid w:val="0085377F"/>
    <w:rsid w:val="008537F1"/>
    <w:rsid w:val="00853824"/>
    <w:rsid w:val="0085389D"/>
    <w:rsid w:val="008538B5"/>
    <w:rsid w:val="00853908"/>
    <w:rsid w:val="00853A86"/>
    <w:rsid w:val="00853B4C"/>
    <w:rsid w:val="00853B5F"/>
    <w:rsid w:val="00853CA6"/>
    <w:rsid w:val="00853D3E"/>
    <w:rsid w:val="00853DF2"/>
    <w:rsid w:val="00853F15"/>
    <w:rsid w:val="00853F37"/>
    <w:rsid w:val="008540C9"/>
    <w:rsid w:val="008540CC"/>
    <w:rsid w:val="008540E2"/>
    <w:rsid w:val="008541C8"/>
    <w:rsid w:val="00854308"/>
    <w:rsid w:val="00854310"/>
    <w:rsid w:val="008544AC"/>
    <w:rsid w:val="008544F8"/>
    <w:rsid w:val="0085450F"/>
    <w:rsid w:val="008546DB"/>
    <w:rsid w:val="0085483F"/>
    <w:rsid w:val="008548EF"/>
    <w:rsid w:val="0085494C"/>
    <w:rsid w:val="00854979"/>
    <w:rsid w:val="00854BB2"/>
    <w:rsid w:val="00854BE1"/>
    <w:rsid w:val="00854C5C"/>
    <w:rsid w:val="00854D02"/>
    <w:rsid w:val="00854EF2"/>
    <w:rsid w:val="00854FEA"/>
    <w:rsid w:val="00855014"/>
    <w:rsid w:val="0085505E"/>
    <w:rsid w:val="008551CA"/>
    <w:rsid w:val="0085549A"/>
    <w:rsid w:val="0085552B"/>
    <w:rsid w:val="0085552D"/>
    <w:rsid w:val="00855547"/>
    <w:rsid w:val="00855749"/>
    <w:rsid w:val="00855794"/>
    <w:rsid w:val="0085579E"/>
    <w:rsid w:val="00855809"/>
    <w:rsid w:val="008558B3"/>
    <w:rsid w:val="008559F4"/>
    <w:rsid w:val="00855A02"/>
    <w:rsid w:val="00855A1C"/>
    <w:rsid w:val="00855A94"/>
    <w:rsid w:val="00855B1D"/>
    <w:rsid w:val="00855BBC"/>
    <w:rsid w:val="00855C2A"/>
    <w:rsid w:val="00855D16"/>
    <w:rsid w:val="00855DD4"/>
    <w:rsid w:val="00855EEE"/>
    <w:rsid w:val="00856085"/>
    <w:rsid w:val="00856096"/>
    <w:rsid w:val="008561A1"/>
    <w:rsid w:val="008561D5"/>
    <w:rsid w:val="00856222"/>
    <w:rsid w:val="00856362"/>
    <w:rsid w:val="008563AF"/>
    <w:rsid w:val="008563F4"/>
    <w:rsid w:val="0085644A"/>
    <w:rsid w:val="00856486"/>
    <w:rsid w:val="008564B0"/>
    <w:rsid w:val="0085650E"/>
    <w:rsid w:val="0085651C"/>
    <w:rsid w:val="00856536"/>
    <w:rsid w:val="00856556"/>
    <w:rsid w:val="0085668D"/>
    <w:rsid w:val="00856879"/>
    <w:rsid w:val="0085688A"/>
    <w:rsid w:val="00856907"/>
    <w:rsid w:val="00856922"/>
    <w:rsid w:val="0085698E"/>
    <w:rsid w:val="00856B3F"/>
    <w:rsid w:val="00856BB7"/>
    <w:rsid w:val="00856BC7"/>
    <w:rsid w:val="00856C28"/>
    <w:rsid w:val="00856E32"/>
    <w:rsid w:val="00856F84"/>
    <w:rsid w:val="008570CC"/>
    <w:rsid w:val="00857128"/>
    <w:rsid w:val="00857171"/>
    <w:rsid w:val="00857261"/>
    <w:rsid w:val="008574D7"/>
    <w:rsid w:val="008575CF"/>
    <w:rsid w:val="008576B5"/>
    <w:rsid w:val="00857851"/>
    <w:rsid w:val="008578AD"/>
    <w:rsid w:val="00857926"/>
    <w:rsid w:val="00857BE7"/>
    <w:rsid w:val="00857C34"/>
    <w:rsid w:val="00857C47"/>
    <w:rsid w:val="00857C5E"/>
    <w:rsid w:val="00857C97"/>
    <w:rsid w:val="00857CA5"/>
    <w:rsid w:val="00857D05"/>
    <w:rsid w:val="00857D54"/>
    <w:rsid w:val="00857F6F"/>
    <w:rsid w:val="00860021"/>
    <w:rsid w:val="0086008B"/>
    <w:rsid w:val="008601BA"/>
    <w:rsid w:val="0086020F"/>
    <w:rsid w:val="0086028A"/>
    <w:rsid w:val="008603A1"/>
    <w:rsid w:val="00860419"/>
    <w:rsid w:val="008604FD"/>
    <w:rsid w:val="0086050F"/>
    <w:rsid w:val="008605B1"/>
    <w:rsid w:val="008605ED"/>
    <w:rsid w:val="00860618"/>
    <w:rsid w:val="00860660"/>
    <w:rsid w:val="00860671"/>
    <w:rsid w:val="008606A9"/>
    <w:rsid w:val="00860724"/>
    <w:rsid w:val="0086075D"/>
    <w:rsid w:val="0086085D"/>
    <w:rsid w:val="008608E7"/>
    <w:rsid w:val="008608FC"/>
    <w:rsid w:val="00860956"/>
    <w:rsid w:val="0086095C"/>
    <w:rsid w:val="008609A3"/>
    <w:rsid w:val="008609B1"/>
    <w:rsid w:val="00860A0F"/>
    <w:rsid w:val="00860A30"/>
    <w:rsid w:val="00860A8D"/>
    <w:rsid w:val="00860AC0"/>
    <w:rsid w:val="00860CFD"/>
    <w:rsid w:val="00860D14"/>
    <w:rsid w:val="00860E57"/>
    <w:rsid w:val="00860F19"/>
    <w:rsid w:val="00860F5A"/>
    <w:rsid w:val="00860FE1"/>
    <w:rsid w:val="00861002"/>
    <w:rsid w:val="00861011"/>
    <w:rsid w:val="00861027"/>
    <w:rsid w:val="00861041"/>
    <w:rsid w:val="00861078"/>
    <w:rsid w:val="008610C6"/>
    <w:rsid w:val="00861146"/>
    <w:rsid w:val="0086118E"/>
    <w:rsid w:val="00861279"/>
    <w:rsid w:val="008612A0"/>
    <w:rsid w:val="008612D1"/>
    <w:rsid w:val="0086135B"/>
    <w:rsid w:val="0086154D"/>
    <w:rsid w:val="0086178F"/>
    <w:rsid w:val="008617AD"/>
    <w:rsid w:val="00861823"/>
    <w:rsid w:val="00861890"/>
    <w:rsid w:val="008618E8"/>
    <w:rsid w:val="008618E9"/>
    <w:rsid w:val="008619B5"/>
    <w:rsid w:val="00861AEA"/>
    <w:rsid w:val="00861AF0"/>
    <w:rsid w:val="00861B8B"/>
    <w:rsid w:val="00861B9B"/>
    <w:rsid w:val="00861CA0"/>
    <w:rsid w:val="00861CC9"/>
    <w:rsid w:val="00861DD7"/>
    <w:rsid w:val="00861DE1"/>
    <w:rsid w:val="00861F26"/>
    <w:rsid w:val="00862116"/>
    <w:rsid w:val="008621F1"/>
    <w:rsid w:val="008622AC"/>
    <w:rsid w:val="00862326"/>
    <w:rsid w:val="008624A4"/>
    <w:rsid w:val="00862542"/>
    <w:rsid w:val="0086258A"/>
    <w:rsid w:val="00862708"/>
    <w:rsid w:val="00862736"/>
    <w:rsid w:val="00862768"/>
    <w:rsid w:val="00862816"/>
    <w:rsid w:val="00862858"/>
    <w:rsid w:val="008628ED"/>
    <w:rsid w:val="0086292E"/>
    <w:rsid w:val="00862948"/>
    <w:rsid w:val="00862970"/>
    <w:rsid w:val="008629B1"/>
    <w:rsid w:val="00862A02"/>
    <w:rsid w:val="00862A82"/>
    <w:rsid w:val="00862B07"/>
    <w:rsid w:val="00862B3C"/>
    <w:rsid w:val="00862C16"/>
    <w:rsid w:val="00862C3F"/>
    <w:rsid w:val="00862D18"/>
    <w:rsid w:val="00862DD4"/>
    <w:rsid w:val="00862E3F"/>
    <w:rsid w:val="00862EA9"/>
    <w:rsid w:val="00862EBB"/>
    <w:rsid w:val="00862ED5"/>
    <w:rsid w:val="00862F35"/>
    <w:rsid w:val="00862F81"/>
    <w:rsid w:val="00863032"/>
    <w:rsid w:val="00863068"/>
    <w:rsid w:val="008630B6"/>
    <w:rsid w:val="008630D9"/>
    <w:rsid w:val="00863165"/>
    <w:rsid w:val="00863171"/>
    <w:rsid w:val="00863246"/>
    <w:rsid w:val="00863253"/>
    <w:rsid w:val="008633AF"/>
    <w:rsid w:val="008634CA"/>
    <w:rsid w:val="0086354F"/>
    <w:rsid w:val="0086362B"/>
    <w:rsid w:val="00863662"/>
    <w:rsid w:val="0086395A"/>
    <w:rsid w:val="00863983"/>
    <w:rsid w:val="00863A9D"/>
    <w:rsid w:val="00863AEE"/>
    <w:rsid w:val="00863B47"/>
    <w:rsid w:val="00863B98"/>
    <w:rsid w:val="00863BCD"/>
    <w:rsid w:val="00863CA6"/>
    <w:rsid w:val="00863D11"/>
    <w:rsid w:val="00863D56"/>
    <w:rsid w:val="00863D64"/>
    <w:rsid w:val="00863FD2"/>
    <w:rsid w:val="00864053"/>
    <w:rsid w:val="00864108"/>
    <w:rsid w:val="0086413B"/>
    <w:rsid w:val="0086414E"/>
    <w:rsid w:val="0086423C"/>
    <w:rsid w:val="00864360"/>
    <w:rsid w:val="00864430"/>
    <w:rsid w:val="008645BD"/>
    <w:rsid w:val="00864663"/>
    <w:rsid w:val="00864800"/>
    <w:rsid w:val="0086487D"/>
    <w:rsid w:val="008648C3"/>
    <w:rsid w:val="00864907"/>
    <w:rsid w:val="00864A58"/>
    <w:rsid w:val="00864A68"/>
    <w:rsid w:val="00864AB6"/>
    <w:rsid w:val="00864B2E"/>
    <w:rsid w:val="00864BAD"/>
    <w:rsid w:val="00864BB2"/>
    <w:rsid w:val="00864CF7"/>
    <w:rsid w:val="00864D0F"/>
    <w:rsid w:val="00864D30"/>
    <w:rsid w:val="00864D87"/>
    <w:rsid w:val="00864E30"/>
    <w:rsid w:val="00864E8C"/>
    <w:rsid w:val="00864FEC"/>
    <w:rsid w:val="00865001"/>
    <w:rsid w:val="0086507A"/>
    <w:rsid w:val="008650B1"/>
    <w:rsid w:val="008650D5"/>
    <w:rsid w:val="008651BC"/>
    <w:rsid w:val="00865210"/>
    <w:rsid w:val="00865329"/>
    <w:rsid w:val="008653EC"/>
    <w:rsid w:val="00865607"/>
    <w:rsid w:val="008656D8"/>
    <w:rsid w:val="0086570F"/>
    <w:rsid w:val="008657C9"/>
    <w:rsid w:val="0086584A"/>
    <w:rsid w:val="008658FD"/>
    <w:rsid w:val="00865AED"/>
    <w:rsid w:val="00865B55"/>
    <w:rsid w:val="00865B5A"/>
    <w:rsid w:val="00865BB8"/>
    <w:rsid w:val="00865BF9"/>
    <w:rsid w:val="00865C1B"/>
    <w:rsid w:val="00865D6D"/>
    <w:rsid w:val="00865EE7"/>
    <w:rsid w:val="00866079"/>
    <w:rsid w:val="0086609D"/>
    <w:rsid w:val="008660B7"/>
    <w:rsid w:val="008660EB"/>
    <w:rsid w:val="0086613D"/>
    <w:rsid w:val="008661CA"/>
    <w:rsid w:val="008662C1"/>
    <w:rsid w:val="0086640B"/>
    <w:rsid w:val="0086661E"/>
    <w:rsid w:val="008666AA"/>
    <w:rsid w:val="00866839"/>
    <w:rsid w:val="008668D7"/>
    <w:rsid w:val="008669BD"/>
    <w:rsid w:val="00866B00"/>
    <w:rsid w:val="00866BA2"/>
    <w:rsid w:val="00866BB1"/>
    <w:rsid w:val="00866BDB"/>
    <w:rsid w:val="00866C38"/>
    <w:rsid w:val="00866E02"/>
    <w:rsid w:val="00866F56"/>
    <w:rsid w:val="00866F85"/>
    <w:rsid w:val="00866F87"/>
    <w:rsid w:val="00866FE8"/>
    <w:rsid w:val="00866FEF"/>
    <w:rsid w:val="00867068"/>
    <w:rsid w:val="0086718D"/>
    <w:rsid w:val="00867284"/>
    <w:rsid w:val="00867452"/>
    <w:rsid w:val="00867486"/>
    <w:rsid w:val="00867496"/>
    <w:rsid w:val="008674BD"/>
    <w:rsid w:val="0086754E"/>
    <w:rsid w:val="0086765B"/>
    <w:rsid w:val="0086769E"/>
    <w:rsid w:val="00867781"/>
    <w:rsid w:val="008677C1"/>
    <w:rsid w:val="0086792B"/>
    <w:rsid w:val="00867AA1"/>
    <w:rsid w:val="00867AC1"/>
    <w:rsid w:val="00867C4C"/>
    <w:rsid w:val="00867C88"/>
    <w:rsid w:val="00867EE1"/>
    <w:rsid w:val="00870038"/>
    <w:rsid w:val="0087006C"/>
    <w:rsid w:val="008700C1"/>
    <w:rsid w:val="00870111"/>
    <w:rsid w:val="00870197"/>
    <w:rsid w:val="00870234"/>
    <w:rsid w:val="0087028C"/>
    <w:rsid w:val="008702C4"/>
    <w:rsid w:val="00870358"/>
    <w:rsid w:val="00870389"/>
    <w:rsid w:val="0087038A"/>
    <w:rsid w:val="008703BC"/>
    <w:rsid w:val="0087040B"/>
    <w:rsid w:val="00870419"/>
    <w:rsid w:val="00870518"/>
    <w:rsid w:val="008705B0"/>
    <w:rsid w:val="008705C4"/>
    <w:rsid w:val="008706C7"/>
    <w:rsid w:val="00870745"/>
    <w:rsid w:val="00870874"/>
    <w:rsid w:val="008709BE"/>
    <w:rsid w:val="00870B20"/>
    <w:rsid w:val="00870B85"/>
    <w:rsid w:val="00870BAB"/>
    <w:rsid w:val="00870BE3"/>
    <w:rsid w:val="00870BED"/>
    <w:rsid w:val="00870DEC"/>
    <w:rsid w:val="00870DF3"/>
    <w:rsid w:val="00870F6A"/>
    <w:rsid w:val="00871093"/>
    <w:rsid w:val="008710B7"/>
    <w:rsid w:val="008710F6"/>
    <w:rsid w:val="0087118E"/>
    <w:rsid w:val="00871262"/>
    <w:rsid w:val="00871313"/>
    <w:rsid w:val="008713DE"/>
    <w:rsid w:val="0087141C"/>
    <w:rsid w:val="0087147C"/>
    <w:rsid w:val="008714A6"/>
    <w:rsid w:val="008714C3"/>
    <w:rsid w:val="00871661"/>
    <w:rsid w:val="008716D6"/>
    <w:rsid w:val="0087173F"/>
    <w:rsid w:val="00871789"/>
    <w:rsid w:val="008718C2"/>
    <w:rsid w:val="0087193D"/>
    <w:rsid w:val="0087194D"/>
    <w:rsid w:val="008719F7"/>
    <w:rsid w:val="00871A0E"/>
    <w:rsid w:val="00871B66"/>
    <w:rsid w:val="00871BDC"/>
    <w:rsid w:val="00871D72"/>
    <w:rsid w:val="00871F4F"/>
    <w:rsid w:val="00871FF3"/>
    <w:rsid w:val="0087216E"/>
    <w:rsid w:val="008721A1"/>
    <w:rsid w:val="008721F4"/>
    <w:rsid w:val="008723DF"/>
    <w:rsid w:val="00872435"/>
    <w:rsid w:val="00872462"/>
    <w:rsid w:val="008724CF"/>
    <w:rsid w:val="008725D6"/>
    <w:rsid w:val="008725DA"/>
    <w:rsid w:val="008726A3"/>
    <w:rsid w:val="0087272B"/>
    <w:rsid w:val="00872813"/>
    <w:rsid w:val="008728A7"/>
    <w:rsid w:val="008728BB"/>
    <w:rsid w:val="008728ED"/>
    <w:rsid w:val="008728F3"/>
    <w:rsid w:val="00872900"/>
    <w:rsid w:val="00872A48"/>
    <w:rsid w:val="00872B1D"/>
    <w:rsid w:val="00872C15"/>
    <w:rsid w:val="00872D40"/>
    <w:rsid w:val="00872D5A"/>
    <w:rsid w:val="00872D7B"/>
    <w:rsid w:val="00873069"/>
    <w:rsid w:val="00873090"/>
    <w:rsid w:val="0087309F"/>
    <w:rsid w:val="008733E9"/>
    <w:rsid w:val="00873413"/>
    <w:rsid w:val="00873471"/>
    <w:rsid w:val="00873490"/>
    <w:rsid w:val="00873500"/>
    <w:rsid w:val="0087355D"/>
    <w:rsid w:val="00873624"/>
    <w:rsid w:val="00873663"/>
    <w:rsid w:val="008736B7"/>
    <w:rsid w:val="008736F6"/>
    <w:rsid w:val="008737BE"/>
    <w:rsid w:val="008737DC"/>
    <w:rsid w:val="00873BC1"/>
    <w:rsid w:val="00873C1E"/>
    <w:rsid w:val="00873C35"/>
    <w:rsid w:val="00873CC1"/>
    <w:rsid w:val="00873CC5"/>
    <w:rsid w:val="00873CCC"/>
    <w:rsid w:val="00873D70"/>
    <w:rsid w:val="00873F3D"/>
    <w:rsid w:val="00873FC7"/>
    <w:rsid w:val="00874025"/>
    <w:rsid w:val="0087403E"/>
    <w:rsid w:val="0087407C"/>
    <w:rsid w:val="00874094"/>
    <w:rsid w:val="008740AA"/>
    <w:rsid w:val="00874110"/>
    <w:rsid w:val="0087447E"/>
    <w:rsid w:val="008747BA"/>
    <w:rsid w:val="008747EC"/>
    <w:rsid w:val="0087484C"/>
    <w:rsid w:val="00874858"/>
    <w:rsid w:val="00874883"/>
    <w:rsid w:val="00874940"/>
    <w:rsid w:val="00874A7C"/>
    <w:rsid w:val="00874AA6"/>
    <w:rsid w:val="00874AB0"/>
    <w:rsid w:val="00874AF5"/>
    <w:rsid w:val="00874BAC"/>
    <w:rsid w:val="00874D72"/>
    <w:rsid w:val="00874E65"/>
    <w:rsid w:val="00874F2A"/>
    <w:rsid w:val="00874F60"/>
    <w:rsid w:val="0087531B"/>
    <w:rsid w:val="00875430"/>
    <w:rsid w:val="00875548"/>
    <w:rsid w:val="0087579C"/>
    <w:rsid w:val="008757B6"/>
    <w:rsid w:val="008757F6"/>
    <w:rsid w:val="00875833"/>
    <w:rsid w:val="008758FE"/>
    <w:rsid w:val="00875ABD"/>
    <w:rsid w:val="00875BB5"/>
    <w:rsid w:val="00875CE8"/>
    <w:rsid w:val="00875CFC"/>
    <w:rsid w:val="00875D47"/>
    <w:rsid w:val="00875E12"/>
    <w:rsid w:val="00875F8B"/>
    <w:rsid w:val="00875F9F"/>
    <w:rsid w:val="00875FBC"/>
    <w:rsid w:val="008760CD"/>
    <w:rsid w:val="008761FE"/>
    <w:rsid w:val="00876204"/>
    <w:rsid w:val="0087632F"/>
    <w:rsid w:val="008763E4"/>
    <w:rsid w:val="00876441"/>
    <w:rsid w:val="00876453"/>
    <w:rsid w:val="0087645C"/>
    <w:rsid w:val="008764F8"/>
    <w:rsid w:val="00876557"/>
    <w:rsid w:val="0087666E"/>
    <w:rsid w:val="008766D8"/>
    <w:rsid w:val="008768C9"/>
    <w:rsid w:val="0087692D"/>
    <w:rsid w:val="008769E7"/>
    <w:rsid w:val="00876C36"/>
    <w:rsid w:val="00876E64"/>
    <w:rsid w:val="00876E65"/>
    <w:rsid w:val="00876EEA"/>
    <w:rsid w:val="00876F12"/>
    <w:rsid w:val="00877151"/>
    <w:rsid w:val="00877179"/>
    <w:rsid w:val="008771E0"/>
    <w:rsid w:val="0087720A"/>
    <w:rsid w:val="0087728E"/>
    <w:rsid w:val="00877360"/>
    <w:rsid w:val="00877399"/>
    <w:rsid w:val="0087753A"/>
    <w:rsid w:val="008775AB"/>
    <w:rsid w:val="00877774"/>
    <w:rsid w:val="00877A36"/>
    <w:rsid w:val="00877AC7"/>
    <w:rsid w:val="00877ACE"/>
    <w:rsid w:val="00877B77"/>
    <w:rsid w:val="00877DC9"/>
    <w:rsid w:val="00877DE1"/>
    <w:rsid w:val="00877EDD"/>
    <w:rsid w:val="00877F38"/>
    <w:rsid w:val="008800B9"/>
    <w:rsid w:val="00880106"/>
    <w:rsid w:val="0088011A"/>
    <w:rsid w:val="00880121"/>
    <w:rsid w:val="00880178"/>
    <w:rsid w:val="00880195"/>
    <w:rsid w:val="008801A9"/>
    <w:rsid w:val="008801F2"/>
    <w:rsid w:val="00880288"/>
    <w:rsid w:val="00880319"/>
    <w:rsid w:val="0088031F"/>
    <w:rsid w:val="0088034C"/>
    <w:rsid w:val="0088035C"/>
    <w:rsid w:val="008803FD"/>
    <w:rsid w:val="008804D0"/>
    <w:rsid w:val="008804E9"/>
    <w:rsid w:val="008805A4"/>
    <w:rsid w:val="00880819"/>
    <w:rsid w:val="00880827"/>
    <w:rsid w:val="008808FF"/>
    <w:rsid w:val="0088093E"/>
    <w:rsid w:val="0088099A"/>
    <w:rsid w:val="00880AFB"/>
    <w:rsid w:val="00880B45"/>
    <w:rsid w:val="00880C02"/>
    <w:rsid w:val="00880E45"/>
    <w:rsid w:val="00881033"/>
    <w:rsid w:val="00881098"/>
    <w:rsid w:val="008810BF"/>
    <w:rsid w:val="008810C1"/>
    <w:rsid w:val="008810E6"/>
    <w:rsid w:val="0088111A"/>
    <w:rsid w:val="00881126"/>
    <w:rsid w:val="00881168"/>
    <w:rsid w:val="008811AF"/>
    <w:rsid w:val="00881203"/>
    <w:rsid w:val="0088120E"/>
    <w:rsid w:val="00881217"/>
    <w:rsid w:val="0088139B"/>
    <w:rsid w:val="008813FA"/>
    <w:rsid w:val="00881508"/>
    <w:rsid w:val="0088160F"/>
    <w:rsid w:val="008817BD"/>
    <w:rsid w:val="00881AF3"/>
    <w:rsid w:val="00881AF8"/>
    <w:rsid w:val="00881C00"/>
    <w:rsid w:val="00881C93"/>
    <w:rsid w:val="00881DE4"/>
    <w:rsid w:val="00881EAC"/>
    <w:rsid w:val="00881F8E"/>
    <w:rsid w:val="0088204F"/>
    <w:rsid w:val="00882056"/>
    <w:rsid w:val="00882079"/>
    <w:rsid w:val="0088210A"/>
    <w:rsid w:val="0088213E"/>
    <w:rsid w:val="008821A0"/>
    <w:rsid w:val="008821AA"/>
    <w:rsid w:val="008822D4"/>
    <w:rsid w:val="00882389"/>
    <w:rsid w:val="008823DE"/>
    <w:rsid w:val="0088251E"/>
    <w:rsid w:val="00882524"/>
    <w:rsid w:val="00882639"/>
    <w:rsid w:val="00882668"/>
    <w:rsid w:val="008826D1"/>
    <w:rsid w:val="0088271C"/>
    <w:rsid w:val="0088280B"/>
    <w:rsid w:val="00882810"/>
    <w:rsid w:val="00882834"/>
    <w:rsid w:val="008828BD"/>
    <w:rsid w:val="00882955"/>
    <w:rsid w:val="00882BEA"/>
    <w:rsid w:val="00882C85"/>
    <w:rsid w:val="00882C97"/>
    <w:rsid w:val="00883009"/>
    <w:rsid w:val="0088300B"/>
    <w:rsid w:val="008832D1"/>
    <w:rsid w:val="008832D7"/>
    <w:rsid w:val="008833B8"/>
    <w:rsid w:val="008834BF"/>
    <w:rsid w:val="008834E7"/>
    <w:rsid w:val="008834FE"/>
    <w:rsid w:val="008836BB"/>
    <w:rsid w:val="0088370E"/>
    <w:rsid w:val="008838EA"/>
    <w:rsid w:val="00883962"/>
    <w:rsid w:val="0088398A"/>
    <w:rsid w:val="008839AE"/>
    <w:rsid w:val="008839D8"/>
    <w:rsid w:val="00883B12"/>
    <w:rsid w:val="00883B99"/>
    <w:rsid w:val="00883BAD"/>
    <w:rsid w:val="00883D2C"/>
    <w:rsid w:val="00883DAD"/>
    <w:rsid w:val="00883E4B"/>
    <w:rsid w:val="00883E72"/>
    <w:rsid w:val="00883F35"/>
    <w:rsid w:val="0088406B"/>
    <w:rsid w:val="008840CE"/>
    <w:rsid w:val="008840E4"/>
    <w:rsid w:val="00884361"/>
    <w:rsid w:val="00884458"/>
    <w:rsid w:val="008844E8"/>
    <w:rsid w:val="008844FB"/>
    <w:rsid w:val="008845E4"/>
    <w:rsid w:val="008846F1"/>
    <w:rsid w:val="008847D6"/>
    <w:rsid w:val="00884864"/>
    <w:rsid w:val="008848BA"/>
    <w:rsid w:val="008848FB"/>
    <w:rsid w:val="00884915"/>
    <w:rsid w:val="00884A78"/>
    <w:rsid w:val="00884ADA"/>
    <w:rsid w:val="00884BF7"/>
    <w:rsid w:val="00884C33"/>
    <w:rsid w:val="00884D06"/>
    <w:rsid w:val="00884D59"/>
    <w:rsid w:val="00884D8A"/>
    <w:rsid w:val="00884D90"/>
    <w:rsid w:val="00884DB1"/>
    <w:rsid w:val="00884DE7"/>
    <w:rsid w:val="00884E35"/>
    <w:rsid w:val="00884E93"/>
    <w:rsid w:val="00884EA4"/>
    <w:rsid w:val="00884F09"/>
    <w:rsid w:val="0088509D"/>
    <w:rsid w:val="008850BD"/>
    <w:rsid w:val="00885178"/>
    <w:rsid w:val="008851F9"/>
    <w:rsid w:val="0088524F"/>
    <w:rsid w:val="0088530E"/>
    <w:rsid w:val="00885420"/>
    <w:rsid w:val="00885466"/>
    <w:rsid w:val="008854EC"/>
    <w:rsid w:val="00885718"/>
    <w:rsid w:val="0088574A"/>
    <w:rsid w:val="008858A9"/>
    <w:rsid w:val="00885923"/>
    <w:rsid w:val="008859E4"/>
    <w:rsid w:val="00885A73"/>
    <w:rsid w:val="00885B9E"/>
    <w:rsid w:val="00885C12"/>
    <w:rsid w:val="00885C39"/>
    <w:rsid w:val="00885D1A"/>
    <w:rsid w:val="00885D59"/>
    <w:rsid w:val="00885D97"/>
    <w:rsid w:val="00885DBB"/>
    <w:rsid w:val="008860ED"/>
    <w:rsid w:val="00886191"/>
    <w:rsid w:val="008861BC"/>
    <w:rsid w:val="008864BB"/>
    <w:rsid w:val="00886585"/>
    <w:rsid w:val="00886591"/>
    <w:rsid w:val="008865B1"/>
    <w:rsid w:val="008866EE"/>
    <w:rsid w:val="0088676E"/>
    <w:rsid w:val="008867CC"/>
    <w:rsid w:val="00886824"/>
    <w:rsid w:val="00886918"/>
    <w:rsid w:val="00886A43"/>
    <w:rsid w:val="00886B25"/>
    <w:rsid w:val="00886B2B"/>
    <w:rsid w:val="00886C13"/>
    <w:rsid w:val="00886C94"/>
    <w:rsid w:val="00886CA1"/>
    <w:rsid w:val="00886CEE"/>
    <w:rsid w:val="00886D01"/>
    <w:rsid w:val="00886D06"/>
    <w:rsid w:val="00886D08"/>
    <w:rsid w:val="00886D38"/>
    <w:rsid w:val="00886EB9"/>
    <w:rsid w:val="00886F51"/>
    <w:rsid w:val="00886F96"/>
    <w:rsid w:val="0088707A"/>
    <w:rsid w:val="00887150"/>
    <w:rsid w:val="0088721C"/>
    <w:rsid w:val="0088748C"/>
    <w:rsid w:val="008874CD"/>
    <w:rsid w:val="0088756F"/>
    <w:rsid w:val="008875C4"/>
    <w:rsid w:val="00887712"/>
    <w:rsid w:val="00887768"/>
    <w:rsid w:val="008877DD"/>
    <w:rsid w:val="00887805"/>
    <w:rsid w:val="00887833"/>
    <w:rsid w:val="0088786D"/>
    <w:rsid w:val="008878A4"/>
    <w:rsid w:val="0088799E"/>
    <w:rsid w:val="008879EB"/>
    <w:rsid w:val="00887A5A"/>
    <w:rsid w:val="00887C25"/>
    <w:rsid w:val="00887C44"/>
    <w:rsid w:val="00887DE4"/>
    <w:rsid w:val="00887F14"/>
    <w:rsid w:val="00887F8F"/>
    <w:rsid w:val="0089005B"/>
    <w:rsid w:val="008901B6"/>
    <w:rsid w:val="008901CF"/>
    <w:rsid w:val="008901F1"/>
    <w:rsid w:val="00890216"/>
    <w:rsid w:val="00890263"/>
    <w:rsid w:val="008902A0"/>
    <w:rsid w:val="008902B4"/>
    <w:rsid w:val="0089030E"/>
    <w:rsid w:val="008903A3"/>
    <w:rsid w:val="008903DC"/>
    <w:rsid w:val="0089045C"/>
    <w:rsid w:val="00890664"/>
    <w:rsid w:val="00890672"/>
    <w:rsid w:val="00890769"/>
    <w:rsid w:val="0089082F"/>
    <w:rsid w:val="008909D0"/>
    <w:rsid w:val="00890A1F"/>
    <w:rsid w:val="00890AAE"/>
    <w:rsid w:val="00890B0B"/>
    <w:rsid w:val="00890BDB"/>
    <w:rsid w:val="00890BEF"/>
    <w:rsid w:val="00890BF1"/>
    <w:rsid w:val="00890C31"/>
    <w:rsid w:val="00890C7F"/>
    <w:rsid w:val="00890F17"/>
    <w:rsid w:val="00890FA9"/>
    <w:rsid w:val="00890FBD"/>
    <w:rsid w:val="00890FF8"/>
    <w:rsid w:val="0089106B"/>
    <w:rsid w:val="0089108C"/>
    <w:rsid w:val="00891097"/>
    <w:rsid w:val="008910C6"/>
    <w:rsid w:val="008911EB"/>
    <w:rsid w:val="00891203"/>
    <w:rsid w:val="008912E6"/>
    <w:rsid w:val="008912F8"/>
    <w:rsid w:val="0089134B"/>
    <w:rsid w:val="0089136B"/>
    <w:rsid w:val="00891387"/>
    <w:rsid w:val="008913AD"/>
    <w:rsid w:val="0089149F"/>
    <w:rsid w:val="008914EA"/>
    <w:rsid w:val="00891552"/>
    <w:rsid w:val="00891ABA"/>
    <w:rsid w:val="00891BB3"/>
    <w:rsid w:val="00891C47"/>
    <w:rsid w:val="00891CDA"/>
    <w:rsid w:val="00891DC8"/>
    <w:rsid w:val="00891E07"/>
    <w:rsid w:val="00891EE8"/>
    <w:rsid w:val="00891F15"/>
    <w:rsid w:val="00891F71"/>
    <w:rsid w:val="00892042"/>
    <w:rsid w:val="0089204F"/>
    <w:rsid w:val="0089214C"/>
    <w:rsid w:val="008921B0"/>
    <w:rsid w:val="008921B8"/>
    <w:rsid w:val="008921C1"/>
    <w:rsid w:val="00892240"/>
    <w:rsid w:val="008922CC"/>
    <w:rsid w:val="00892321"/>
    <w:rsid w:val="008925E7"/>
    <w:rsid w:val="008926FB"/>
    <w:rsid w:val="00892748"/>
    <w:rsid w:val="008927A4"/>
    <w:rsid w:val="008927E8"/>
    <w:rsid w:val="00892846"/>
    <w:rsid w:val="008928ED"/>
    <w:rsid w:val="00892958"/>
    <w:rsid w:val="00892ACD"/>
    <w:rsid w:val="00892B47"/>
    <w:rsid w:val="00892C48"/>
    <w:rsid w:val="00892CB6"/>
    <w:rsid w:val="00892CFE"/>
    <w:rsid w:val="00892D01"/>
    <w:rsid w:val="00892D15"/>
    <w:rsid w:val="00892D41"/>
    <w:rsid w:val="00892D45"/>
    <w:rsid w:val="00892D54"/>
    <w:rsid w:val="00892DCD"/>
    <w:rsid w:val="00892E5E"/>
    <w:rsid w:val="00892F2C"/>
    <w:rsid w:val="00892F6B"/>
    <w:rsid w:val="00892FE3"/>
    <w:rsid w:val="0089301F"/>
    <w:rsid w:val="00893179"/>
    <w:rsid w:val="00893222"/>
    <w:rsid w:val="008932D0"/>
    <w:rsid w:val="0089331E"/>
    <w:rsid w:val="008933B1"/>
    <w:rsid w:val="00893443"/>
    <w:rsid w:val="0089346F"/>
    <w:rsid w:val="008934F2"/>
    <w:rsid w:val="0089352C"/>
    <w:rsid w:val="00893577"/>
    <w:rsid w:val="008935E4"/>
    <w:rsid w:val="0089360E"/>
    <w:rsid w:val="008936A4"/>
    <w:rsid w:val="00893732"/>
    <w:rsid w:val="00893788"/>
    <w:rsid w:val="0089383A"/>
    <w:rsid w:val="008938FB"/>
    <w:rsid w:val="008939C2"/>
    <w:rsid w:val="00893A9D"/>
    <w:rsid w:val="00893A9F"/>
    <w:rsid w:val="00893B19"/>
    <w:rsid w:val="00893C4E"/>
    <w:rsid w:val="00893C50"/>
    <w:rsid w:val="00893C5F"/>
    <w:rsid w:val="00893D0D"/>
    <w:rsid w:val="00893D41"/>
    <w:rsid w:val="00893D59"/>
    <w:rsid w:val="00893DDD"/>
    <w:rsid w:val="00893E8C"/>
    <w:rsid w:val="00893F18"/>
    <w:rsid w:val="00893F37"/>
    <w:rsid w:val="00893F4E"/>
    <w:rsid w:val="00893F8F"/>
    <w:rsid w:val="008940C6"/>
    <w:rsid w:val="008940D8"/>
    <w:rsid w:val="00894123"/>
    <w:rsid w:val="00894250"/>
    <w:rsid w:val="0089428D"/>
    <w:rsid w:val="008942D8"/>
    <w:rsid w:val="008943D6"/>
    <w:rsid w:val="008943EE"/>
    <w:rsid w:val="008944A6"/>
    <w:rsid w:val="008945BC"/>
    <w:rsid w:val="008947F7"/>
    <w:rsid w:val="00894857"/>
    <w:rsid w:val="00894978"/>
    <w:rsid w:val="008949A1"/>
    <w:rsid w:val="00894A9D"/>
    <w:rsid w:val="00894ADC"/>
    <w:rsid w:val="00894B11"/>
    <w:rsid w:val="00894BB0"/>
    <w:rsid w:val="00894BE0"/>
    <w:rsid w:val="00894BE2"/>
    <w:rsid w:val="00894C74"/>
    <w:rsid w:val="00894ED0"/>
    <w:rsid w:val="00894F1C"/>
    <w:rsid w:val="00894F36"/>
    <w:rsid w:val="00894FE4"/>
    <w:rsid w:val="00894FF1"/>
    <w:rsid w:val="0089500A"/>
    <w:rsid w:val="0089504F"/>
    <w:rsid w:val="00895074"/>
    <w:rsid w:val="00895088"/>
    <w:rsid w:val="0089513C"/>
    <w:rsid w:val="00895168"/>
    <w:rsid w:val="008951E8"/>
    <w:rsid w:val="00895218"/>
    <w:rsid w:val="008952C6"/>
    <w:rsid w:val="00895303"/>
    <w:rsid w:val="008953B3"/>
    <w:rsid w:val="00895430"/>
    <w:rsid w:val="008954A8"/>
    <w:rsid w:val="00895622"/>
    <w:rsid w:val="00895652"/>
    <w:rsid w:val="0089565D"/>
    <w:rsid w:val="008956D9"/>
    <w:rsid w:val="008957AA"/>
    <w:rsid w:val="00895960"/>
    <w:rsid w:val="008959C4"/>
    <w:rsid w:val="00895A94"/>
    <w:rsid w:val="00895B1A"/>
    <w:rsid w:val="00895C68"/>
    <w:rsid w:val="00895C84"/>
    <w:rsid w:val="00895CB3"/>
    <w:rsid w:val="00895D23"/>
    <w:rsid w:val="00895D66"/>
    <w:rsid w:val="00895D71"/>
    <w:rsid w:val="00895E69"/>
    <w:rsid w:val="00895F30"/>
    <w:rsid w:val="00895F55"/>
    <w:rsid w:val="00895F9B"/>
    <w:rsid w:val="00895FC1"/>
    <w:rsid w:val="00895FD7"/>
    <w:rsid w:val="00896018"/>
    <w:rsid w:val="0089618E"/>
    <w:rsid w:val="0089619D"/>
    <w:rsid w:val="008961EA"/>
    <w:rsid w:val="008962BF"/>
    <w:rsid w:val="0089643B"/>
    <w:rsid w:val="00896459"/>
    <w:rsid w:val="00896567"/>
    <w:rsid w:val="008965B3"/>
    <w:rsid w:val="008965B7"/>
    <w:rsid w:val="008965D4"/>
    <w:rsid w:val="0089668E"/>
    <w:rsid w:val="008966AF"/>
    <w:rsid w:val="008966E0"/>
    <w:rsid w:val="008967A0"/>
    <w:rsid w:val="00896827"/>
    <w:rsid w:val="00896966"/>
    <w:rsid w:val="0089698F"/>
    <w:rsid w:val="008969DF"/>
    <w:rsid w:val="00896A50"/>
    <w:rsid w:val="00896AA8"/>
    <w:rsid w:val="00896AAA"/>
    <w:rsid w:val="00896ACC"/>
    <w:rsid w:val="00896B03"/>
    <w:rsid w:val="00896B18"/>
    <w:rsid w:val="00896B64"/>
    <w:rsid w:val="00896C34"/>
    <w:rsid w:val="00896CC8"/>
    <w:rsid w:val="00896D1B"/>
    <w:rsid w:val="00896E04"/>
    <w:rsid w:val="00896F34"/>
    <w:rsid w:val="00896FD1"/>
    <w:rsid w:val="00897019"/>
    <w:rsid w:val="00897054"/>
    <w:rsid w:val="00897063"/>
    <w:rsid w:val="0089726A"/>
    <w:rsid w:val="008973A5"/>
    <w:rsid w:val="00897498"/>
    <w:rsid w:val="008974B0"/>
    <w:rsid w:val="0089753B"/>
    <w:rsid w:val="00897599"/>
    <w:rsid w:val="008976C1"/>
    <w:rsid w:val="00897720"/>
    <w:rsid w:val="00897766"/>
    <w:rsid w:val="00897780"/>
    <w:rsid w:val="008977DC"/>
    <w:rsid w:val="0089784F"/>
    <w:rsid w:val="00897880"/>
    <w:rsid w:val="0089796D"/>
    <w:rsid w:val="00897987"/>
    <w:rsid w:val="00897A1B"/>
    <w:rsid w:val="00897AFC"/>
    <w:rsid w:val="00897B1A"/>
    <w:rsid w:val="00897B41"/>
    <w:rsid w:val="00897BC0"/>
    <w:rsid w:val="00897BD7"/>
    <w:rsid w:val="00897C22"/>
    <w:rsid w:val="00897EDF"/>
    <w:rsid w:val="00897EEA"/>
    <w:rsid w:val="008A0013"/>
    <w:rsid w:val="008A0092"/>
    <w:rsid w:val="008A0115"/>
    <w:rsid w:val="008A01A6"/>
    <w:rsid w:val="008A021F"/>
    <w:rsid w:val="008A025B"/>
    <w:rsid w:val="008A02B6"/>
    <w:rsid w:val="008A02DB"/>
    <w:rsid w:val="008A03E8"/>
    <w:rsid w:val="008A0433"/>
    <w:rsid w:val="008A0619"/>
    <w:rsid w:val="008A073B"/>
    <w:rsid w:val="008A074A"/>
    <w:rsid w:val="008A0788"/>
    <w:rsid w:val="008A0794"/>
    <w:rsid w:val="008A07A8"/>
    <w:rsid w:val="008A07DA"/>
    <w:rsid w:val="008A0830"/>
    <w:rsid w:val="008A08AC"/>
    <w:rsid w:val="008A08B8"/>
    <w:rsid w:val="008A0921"/>
    <w:rsid w:val="008A0992"/>
    <w:rsid w:val="008A099D"/>
    <w:rsid w:val="008A0A14"/>
    <w:rsid w:val="008A0A46"/>
    <w:rsid w:val="008A0ABA"/>
    <w:rsid w:val="008A0B57"/>
    <w:rsid w:val="008A0D58"/>
    <w:rsid w:val="008A0EBE"/>
    <w:rsid w:val="008A0FAA"/>
    <w:rsid w:val="008A101D"/>
    <w:rsid w:val="008A1074"/>
    <w:rsid w:val="008A10A3"/>
    <w:rsid w:val="008A10C5"/>
    <w:rsid w:val="008A1137"/>
    <w:rsid w:val="008A1178"/>
    <w:rsid w:val="008A11A0"/>
    <w:rsid w:val="008A11E4"/>
    <w:rsid w:val="008A127E"/>
    <w:rsid w:val="008A12C4"/>
    <w:rsid w:val="008A1329"/>
    <w:rsid w:val="008A1341"/>
    <w:rsid w:val="008A13E0"/>
    <w:rsid w:val="008A1442"/>
    <w:rsid w:val="008A14A7"/>
    <w:rsid w:val="008A14BD"/>
    <w:rsid w:val="008A14E1"/>
    <w:rsid w:val="008A1562"/>
    <w:rsid w:val="008A15B9"/>
    <w:rsid w:val="008A15C9"/>
    <w:rsid w:val="008A15CF"/>
    <w:rsid w:val="008A16AA"/>
    <w:rsid w:val="008A16C3"/>
    <w:rsid w:val="008A1711"/>
    <w:rsid w:val="008A188C"/>
    <w:rsid w:val="008A18FF"/>
    <w:rsid w:val="008A1921"/>
    <w:rsid w:val="008A1976"/>
    <w:rsid w:val="008A198C"/>
    <w:rsid w:val="008A19ED"/>
    <w:rsid w:val="008A1A5D"/>
    <w:rsid w:val="008A1B67"/>
    <w:rsid w:val="008A1C92"/>
    <w:rsid w:val="008A1D7A"/>
    <w:rsid w:val="008A1DE2"/>
    <w:rsid w:val="008A1FDA"/>
    <w:rsid w:val="008A209B"/>
    <w:rsid w:val="008A21A4"/>
    <w:rsid w:val="008A23E0"/>
    <w:rsid w:val="008A23F0"/>
    <w:rsid w:val="008A2444"/>
    <w:rsid w:val="008A2460"/>
    <w:rsid w:val="008A24EF"/>
    <w:rsid w:val="008A2598"/>
    <w:rsid w:val="008A25A2"/>
    <w:rsid w:val="008A25D9"/>
    <w:rsid w:val="008A25F0"/>
    <w:rsid w:val="008A2703"/>
    <w:rsid w:val="008A2740"/>
    <w:rsid w:val="008A2753"/>
    <w:rsid w:val="008A27EC"/>
    <w:rsid w:val="008A283E"/>
    <w:rsid w:val="008A28D5"/>
    <w:rsid w:val="008A28F8"/>
    <w:rsid w:val="008A2AA6"/>
    <w:rsid w:val="008A2AAC"/>
    <w:rsid w:val="008A2B00"/>
    <w:rsid w:val="008A2B4F"/>
    <w:rsid w:val="008A2D91"/>
    <w:rsid w:val="008A2DC3"/>
    <w:rsid w:val="008A2DE9"/>
    <w:rsid w:val="008A2DF4"/>
    <w:rsid w:val="008A2E5F"/>
    <w:rsid w:val="008A2F76"/>
    <w:rsid w:val="008A3039"/>
    <w:rsid w:val="008A30A4"/>
    <w:rsid w:val="008A30A5"/>
    <w:rsid w:val="008A30D0"/>
    <w:rsid w:val="008A30DA"/>
    <w:rsid w:val="008A31AB"/>
    <w:rsid w:val="008A3393"/>
    <w:rsid w:val="008A33C7"/>
    <w:rsid w:val="008A33D5"/>
    <w:rsid w:val="008A34D2"/>
    <w:rsid w:val="008A3573"/>
    <w:rsid w:val="008A377B"/>
    <w:rsid w:val="008A3781"/>
    <w:rsid w:val="008A384F"/>
    <w:rsid w:val="008A38D9"/>
    <w:rsid w:val="008A3B06"/>
    <w:rsid w:val="008A3B20"/>
    <w:rsid w:val="008A3B2E"/>
    <w:rsid w:val="008A3B51"/>
    <w:rsid w:val="008A3D2A"/>
    <w:rsid w:val="008A3D7D"/>
    <w:rsid w:val="008A3ECA"/>
    <w:rsid w:val="008A3ED2"/>
    <w:rsid w:val="008A3F3E"/>
    <w:rsid w:val="008A3F93"/>
    <w:rsid w:val="008A3F9E"/>
    <w:rsid w:val="008A3FE3"/>
    <w:rsid w:val="008A4013"/>
    <w:rsid w:val="008A401D"/>
    <w:rsid w:val="008A4040"/>
    <w:rsid w:val="008A4057"/>
    <w:rsid w:val="008A419E"/>
    <w:rsid w:val="008A41CD"/>
    <w:rsid w:val="008A4241"/>
    <w:rsid w:val="008A430C"/>
    <w:rsid w:val="008A4345"/>
    <w:rsid w:val="008A43BF"/>
    <w:rsid w:val="008A44DC"/>
    <w:rsid w:val="008A4542"/>
    <w:rsid w:val="008A4644"/>
    <w:rsid w:val="008A468E"/>
    <w:rsid w:val="008A4818"/>
    <w:rsid w:val="008A48E8"/>
    <w:rsid w:val="008A4931"/>
    <w:rsid w:val="008A4A14"/>
    <w:rsid w:val="008A4B67"/>
    <w:rsid w:val="008A4B81"/>
    <w:rsid w:val="008A4C55"/>
    <w:rsid w:val="008A4C7C"/>
    <w:rsid w:val="008A4CBF"/>
    <w:rsid w:val="008A4CD8"/>
    <w:rsid w:val="008A4CF9"/>
    <w:rsid w:val="008A4D18"/>
    <w:rsid w:val="008A4DCD"/>
    <w:rsid w:val="008A4E39"/>
    <w:rsid w:val="008A4E7F"/>
    <w:rsid w:val="008A4E8A"/>
    <w:rsid w:val="008A4F03"/>
    <w:rsid w:val="008A4FDB"/>
    <w:rsid w:val="008A5009"/>
    <w:rsid w:val="008A508E"/>
    <w:rsid w:val="008A50AF"/>
    <w:rsid w:val="008A510F"/>
    <w:rsid w:val="008A5226"/>
    <w:rsid w:val="008A53AE"/>
    <w:rsid w:val="008A53D0"/>
    <w:rsid w:val="008A5426"/>
    <w:rsid w:val="008A551A"/>
    <w:rsid w:val="008A562E"/>
    <w:rsid w:val="008A577D"/>
    <w:rsid w:val="008A57C9"/>
    <w:rsid w:val="008A5985"/>
    <w:rsid w:val="008A59A7"/>
    <w:rsid w:val="008A59D2"/>
    <w:rsid w:val="008A5C0D"/>
    <w:rsid w:val="008A5D62"/>
    <w:rsid w:val="008A5E13"/>
    <w:rsid w:val="008A60F2"/>
    <w:rsid w:val="008A612C"/>
    <w:rsid w:val="008A619E"/>
    <w:rsid w:val="008A62CA"/>
    <w:rsid w:val="008A62E4"/>
    <w:rsid w:val="008A64B4"/>
    <w:rsid w:val="008A6515"/>
    <w:rsid w:val="008A651F"/>
    <w:rsid w:val="008A6536"/>
    <w:rsid w:val="008A6571"/>
    <w:rsid w:val="008A66AA"/>
    <w:rsid w:val="008A66E0"/>
    <w:rsid w:val="008A67BE"/>
    <w:rsid w:val="008A67D7"/>
    <w:rsid w:val="008A6834"/>
    <w:rsid w:val="008A689F"/>
    <w:rsid w:val="008A6937"/>
    <w:rsid w:val="008A6978"/>
    <w:rsid w:val="008A6AA6"/>
    <w:rsid w:val="008A6BBB"/>
    <w:rsid w:val="008A6C27"/>
    <w:rsid w:val="008A6C88"/>
    <w:rsid w:val="008A6CC4"/>
    <w:rsid w:val="008A6D79"/>
    <w:rsid w:val="008A6D89"/>
    <w:rsid w:val="008A6DC8"/>
    <w:rsid w:val="008A6DDD"/>
    <w:rsid w:val="008A6E2D"/>
    <w:rsid w:val="008A6F0D"/>
    <w:rsid w:val="008A6F66"/>
    <w:rsid w:val="008A6F7E"/>
    <w:rsid w:val="008A7016"/>
    <w:rsid w:val="008A7042"/>
    <w:rsid w:val="008A7080"/>
    <w:rsid w:val="008A712C"/>
    <w:rsid w:val="008A712F"/>
    <w:rsid w:val="008A72A6"/>
    <w:rsid w:val="008A72FF"/>
    <w:rsid w:val="008A7433"/>
    <w:rsid w:val="008A749B"/>
    <w:rsid w:val="008A74CF"/>
    <w:rsid w:val="008A7512"/>
    <w:rsid w:val="008A7526"/>
    <w:rsid w:val="008A77AC"/>
    <w:rsid w:val="008A77B4"/>
    <w:rsid w:val="008A7854"/>
    <w:rsid w:val="008A787E"/>
    <w:rsid w:val="008A7A7E"/>
    <w:rsid w:val="008A7AB8"/>
    <w:rsid w:val="008A7ADD"/>
    <w:rsid w:val="008A7AFE"/>
    <w:rsid w:val="008A7B50"/>
    <w:rsid w:val="008A7BD9"/>
    <w:rsid w:val="008A7C4A"/>
    <w:rsid w:val="008A7C73"/>
    <w:rsid w:val="008A7E0C"/>
    <w:rsid w:val="008B007C"/>
    <w:rsid w:val="008B00BF"/>
    <w:rsid w:val="008B021B"/>
    <w:rsid w:val="008B021F"/>
    <w:rsid w:val="008B0276"/>
    <w:rsid w:val="008B02CF"/>
    <w:rsid w:val="008B02E9"/>
    <w:rsid w:val="008B0315"/>
    <w:rsid w:val="008B0392"/>
    <w:rsid w:val="008B03D8"/>
    <w:rsid w:val="008B0483"/>
    <w:rsid w:val="008B04C2"/>
    <w:rsid w:val="008B054B"/>
    <w:rsid w:val="008B0640"/>
    <w:rsid w:val="008B064E"/>
    <w:rsid w:val="008B066A"/>
    <w:rsid w:val="008B06B8"/>
    <w:rsid w:val="008B076F"/>
    <w:rsid w:val="008B078E"/>
    <w:rsid w:val="008B07B6"/>
    <w:rsid w:val="008B07E3"/>
    <w:rsid w:val="008B0805"/>
    <w:rsid w:val="008B084A"/>
    <w:rsid w:val="008B0873"/>
    <w:rsid w:val="008B0904"/>
    <w:rsid w:val="008B0A6D"/>
    <w:rsid w:val="008B0B70"/>
    <w:rsid w:val="008B0C0B"/>
    <w:rsid w:val="008B0C90"/>
    <w:rsid w:val="008B0CAD"/>
    <w:rsid w:val="008B0FEE"/>
    <w:rsid w:val="008B102A"/>
    <w:rsid w:val="008B11A5"/>
    <w:rsid w:val="008B1214"/>
    <w:rsid w:val="008B121E"/>
    <w:rsid w:val="008B12B3"/>
    <w:rsid w:val="008B12D7"/>
    <w:rsid w:val="008B12F5"/>
    <w:rsid w:val="008B136A"/>
    <w:rsid w:val="008B1486"/>
    <w:rsid w:val="008B15ED"/>
    <w:rsid w:val="008B15EF"/>
    <w:rsid w:val="008B1612"/>
    <w:rsid w:val="008B163D"/>
    <w:rsid w:val="008B1664"/>
    <w:rsid w:val="008B1796"/>
    <w:rsid w:val="008B18B4"/>
    <w:rsid w:val="008B1A22"/>
    <w:rsid w:val="008B1A95"/>
    <w:rsid w:val="008B1C05"/>
    <w:rsid w:val="008B1D8A"/>
    <w:rsid w:val="008B1DC6"/>
    <w:rsid w:val="008B1E3A"/>
    <w:rsid w:val="008B1EBD"/>
    <w:rsid w:val="008B1F16"/>
    <w:rsid w:val="008B1F6C"/>
    <w:rsid w:val="008B20BF"/>
    <w:rsid w:val="008B20EC"/>
    <w:rsid w:val="008B227C"/>
    <w:rsid w:val="008B2414"/>
    <w:rsid w:val="008B2419"/>
    <w:rsid w:val="008B244E"/>
    <w:rsid w:val="008B24DD"/>
    <w:rsid w:val="008B254F"/>
    <w:rsid w:val="008B255F"/>
    <w:rsid w:val="008B278D"/>
    <w:rsid w:val="008B28C5"/>
    <w:rsid w:val="008B2911"/>
    <w:rsid w:val="008B29C0"/>
    <w:rsid w:val="008B2A09"/>
    <w:rsid w:val="008B2A2E"/>
    <w:rsid w:val="008B2C35"/>
    <w:rsid w:val="008B2CD2"/>
    <w:rsid w:val="008B2D1E"/>
    <w:rsid w:val="008B2D75"/>
    <w:rsid w:val="008B2D88"/>
    <w:rsid w:val="008B2DF8"/>
    <w:rsid w:val="008B2E48"/>
    <w:rsid w:val="008B2EE8"/>
    <w:rsid w:val="008B2EFB"/>
    <w:rsid w:val="008B2F6B"/>
    <w:rsid w:val="008B3081"/>
    <w:rsid w:val="008B30A8"/>
    <w:rsid w:val="008B30BE"/>
    <w:rsid w:val="008B3251"/>
    <w:rsid w:val="008B32AF"/>
    <w:rsid w:val="008B32B6"/>
    <w:rsid w:val="008B3480"/>
    <w:rsid w:val="008B3640"/>
    <w:rsid w:val="008B3642"/>
    <w:rsid w:val="008B36A0"/>
    <w:rsid w:val="008B3723"/>
    <w:rsid w:val="008B37E2"/>
    <w:rsid w:val="008B3806"/>
    <w:rsid w:val="008B3894"/>
    <w:rsid w:val="008B38B3"/>
    <w:rsid w:val="008B38C7"/>
    <w:rsid w:val="008B3980"/>
    <w:rsid w:val="008B3A08"/>
    <w:rsid w:val="008B3A1E"/>
    <w:rsid w:val="008B3A41"/>
    <w:rsid w:val="008B3AA9"/>
    <w:rsid w:val="008B3ABB"/>
    <w:rsid w:val="008B3BF9"/>
    <w:rsid w:val="008B3C1B"/>
    <w:rsid w:val="008B3D0D"/>
    <w:rsid w:val="008B3D86"/>
    <w:rsid w:val="008B3F08"/>
    <w:rsid w:val="008B3F13"/>
    <w:rsid w:val="008B3F37"/>
    <w:rsid w:val="008B3FE1"/>
    <w:rsid w:val="008B404E"/>
    <w:rsid w:val="008B407D"/>
    <w:rsid w:val="008B409E"/>
    <w:rsid w:val="008B40E7"/>
    <w:rsid w:val="008B412F"/>
    <w:rsid w:val="008B43C0"/>
    <w:rsid w:val="008B4409"/>
    <w:rsid w:val="008B4433"/>
    <w:rsid w:val="008B44F9"/>
    <w:rsid w:val="008B457A"/>
    <w:rsid w:val="008B46C5"/>
    <w:rsid w:val="008B47EC"/>
    <w:rsid w:val="008B481B"/>
    <w:rsid w:val="008B4859"/>
    <w:rsid w:val="008B485B"/>
    <w:rsid w:val="008B48F7"/>
    <w:rsid w:val="008B4952"/>
    <w:rsid w:val="008B4965"/>
    <w:rsid w:val="008B49BF"/>
    <w:rsid w:val="008B4C12"/>
    <w:rsid w:val="008B4C35"/>
    <w:rsid w:val="008B4C7F"/>
    <w:rsid w:val="008B4E05"/>
    <w:rsid w:val="008B4E97"/>
    <w:rsid w:val="008B4F71"/>
    <w:rsid w:val="008B4FC8"/>
    <w:rsid w:val="008B5092"/>
    <w:rsid w:val="008B50C1"/>
    <w:rsid w:val="008B515E"/>
    <w:rsid w:val="008B51DD"/>
    <w:rsid w:val="008B527A"/>
    <w:rsid w:val="008B5288"/>
    <w:rsid w:val="008B52D2"/>
    <w:rsid w:val="008B5349"/>
    <w:rsid w:val="008B5427"/>
    <w:rsid w:val="008B5446"/>
    <w:rsid w:val="008B544E"/>
    <w:rsid w:val="008B552C"/>
    <w:rsid w:val="008B5549"/>
    <w:rsid w:val="008B5581"/>
    <w:rsid w:val="008B55F6"/>
    <w:rsid w:val="008B5641"/>
    <w:rsid w:val="008B579A"/>
    <w:rsid w:val="008B57D2"/>
    <w:rsid w:val="008B5891"/>
    <w:rsid w:val="008B5987"/>
    <w:rsid w:val="008B5BD5"/>
    <w:rsid w:val="008B5C13"/>
    <w:rsid w:val="008B5D0C"/>
    <w:rsid w:val="008B5D5F"/>
    <w:rsid w:val="008B5D97"/>
    <w:rsid w:val="008B5E33"/>
    <w:rsid w:val="008B5E4D"/>
    <w:rsid w:val="008B5F27"/>
    <w:rsid w:val="008B5F54"/>
    <w:rsid w:val="008B5F7E"/>
    <w:rsid w:val="008B6008"/>
    <w:rsid w:val="008B60CB"/>
    <w:rsid w:val="008B61EF"/>
    <w:rsid w:val="008B6225"/>
    <w:rsid w:val="008B628E"/>
    <w:rsid w:val="008B6364"/>
    <w:rsid w:val="008B63AC"/>
    <w:rsid w:val="008B663E"/>
    <w:rsid w:val="008B66FB"/>
    <w:rsid w:val="008B6762"/>
    <w:rsid w:val="008B683E"/>
    <w:rsid w:val="008B6877"/>
    <w:rsid w:val="008B69D9"/>
    <w:rsid w:val="008B6A1B"/>
    <w:rsid w:val="008B6A7E"/>
    <w:rsid w:val="008B6B08"/>
    <w:rsid w:val="008B6B61"/>
    <w:rsid w:val="008B6B9E"/>
    <w:rsid w:val="008B6BD2"/>
    <w:rsid w:val="008B6C5D"/>
    <w:rsid w:val="008B6CFF"/>
    <w:rsid w:val="008B6D7D"/>
    <w:rsid w:val="008B6DE3"/>
    <w:rsid w:val="008B6E3F"/>
    <w:rsid w:val="008B6E46"/>
    <w:rsid w:val="008B6EA5"/>
    <w:rsid w:val="008B6ECE"/>
    <w:rsid w:val="008B6F48"/>
    <w:rsid w:val="008B6FF7"/>
    <w:rsid w:val="008B7024"/>
    <w:rsid w:val="008B7065"/>
    <w:rsid w:val="008B7137"/>
    <w:rsid w:val="008B719F"/>
    <w:rsid w:val="008B71C3"/>
    <w:rsid w:val="008B7204"/>
    <w:rsid w:val="008B7275"/>
    <w:rsid w:val="008B7295"/>
    <w:rsid w:val="008B7482"/>
    <w:rsid w:val="008B760E"/>
    <w:rsid w:val="008B7610"/>
    <w:rsid w:val="008B78BA"/>
    <w:rsid w:val="008B78FD"/>
    <w:rsid w:val="008B7A3C"/>
    <w:rsid w:val="008B7A77"/>
    <w:rsid w:val="008B7B4C"/>
    <w:rsid w:val="008B7C14"/>
    <w:rsid w:val="008B7CB7"/>
    <w:rsid w:val="008B7D06"/>
    <w:rsid w:val="008B7DF9"/>
    <w:rsid w:val="008B7E15"/>
    <w:rsid w:val="008B7E62"/>
    <w:rsid w:val="008B7E6E"/>
    <w:rsid w:val="008B7F1D"/>
    <w:rsid w:val="008B7F8E"/>
    <w:rsid w:val="008C012B"/>
    <w:rsid w:val="008C0140"/>
    <w:rsid w:val="008C0152"/>
    <w:rsid w:val="008C0160"/>
    <w:rsid w:val="008C0168"/>
    <w:rsid w:val="008C050D"/>
    <w:rsid w:val="008C0777"/>
    <w:rsid w:val="008C077E"/>
    <w:rsid w:val="008C07A6"/>
    <w:rsid w:val="008C0875"/>
    <w:rsid w:val="008C089A"/>
    <w:rsid w:val="008C08D8"/>
    <w:rsid w:val="008C0910"/>
    <w:rsid w:val="008C09CA"/>
    <w:rsid w:val="008C09D1"/>
    <w:rsid w:val="008C0B27"/>
    <w:rsid w:val="008C0BAB"/>
    <w:rsid w:val="008C0CA3"/>
    <w:rsid w:val="008C0D0B"/>
    <w:rsid w:val="008C0D9F"/>
    <w:rsid w:val="008C0E75"/>
    <w:rsid w:val="008C0F0C"/>
    <w:rsid w:val="008C0F60"/>
    <w:rsid w:val="008C115C"/>
    <w:rsid w:val="008C1204"/>
    <w:rsid w:val="008C12A8"/>
    <w:rsid w:val="008C142B"/>
    <w:rsid w:val="008C153E"/>
    <w:rsid w:val="008C15F0"/>
    <w:rsid w:val="008C16D6"/>
    <w:rsid w:val="008C1816"/>
    <w:rsid w:val="008C1963"/>
    <w:rsid w:val="008C1998"/>
    <w:rsid w:val="008C1A72"/>
    <w:rsid w:val="008C1BBF"/>
    <w:rsid w:val="008C1C7D"/>
    <w:rsid w:val="008C1CE9"/>
    <w:rsid w:val="008C1D18"/>
    <w:rsid w:val="008C1D83"/>
    <w:rsid w:val="008C1DF7"/>
    <w:rsid w:val="008C1DFD"/>
    <w:rsid w:val="008C1ECB"/>
    <w:rsid w:val="008C21F2"/>
    <w:rsid w:val="008C22E1"/>
    <w:rsid w:val="008C2420"/>
    <w:rsid w:val="008C2451"/>
    <w:rsid w:val="008C248C"/>
    <w:rsid w:val="008C254A"/>
    <w:rsid w:val="008C257B"/>
    <w:rsid w:val="008C2654"/>
    <w:rsid w:val="008C26A1"/>
    <w:rsid w:val="008C26A3"/>
    <w:rsid w:val="008C27AE"/>
    <w:rsid w:val="008C2809"/>
    <w:rsid w:val="008C2A63"/>
    <w:rsid w:val="008C2A93"/>
    <w:rsid w:val="008C2B49"/>
    <w:rsid w:val="008C2D04"/>
    <w:rsid w:val="008C2D43"/>
    <w:rsid w:val="008C2E8F"/>
    <w:rsid w:val="008C2EBA"/>
    <w:rsid w:val="008C2F59"/>
    <w:rsid w:val="008C2F8F"/>
    <w:rsid w:val="008C3014"/>
    <w:rsid w:val="008C310F"/>
    <w:rsid w:val="008C315F"/>
    <w:rsid w:val="008C3163"/>
    <w:rsid w:val="008C3170"/>
    <w:rsid w:val="008C3180"/>
    <w:rsid w:val="008C323B"/>
    <w:rsid w:val="008C33A1"/>
    <w:rsid w:val="008C34C3"/>
    <w:rsid w:val="008C34E5"/>
    <w:rsid w:val="008C35A4"/>
    <w:rsid w:val="008C35AE"/>
    <w:rsid w:val="008C37BC"/>
    <w:rsid w:val="008C3851"/>
    <w:rsid w:val="008C3876"/>
    <w:rsid w:val="008C387F"/>
    <w:rsid w:val="008C38D9"/>
    <w:rsid w:val="008C3912"/>
    <w:rsid w:val="008C3A75"/>
    <w:rsid w:val="008C3A9A"/>
    <w:rsid w:val="008C3AE4"/>
    <w:rsid w:val="008C3B04"/>
    <w:rsid w:val="008C3C53"/>
    <w:rsid w:val="008C3C9B"/>
    <w:rsid w:val="008C3CAE"/>
    <w:rsid w:val="008C3CBA"/>
    <w:rsid w:val="008C3CE7"/>
    <w:rsid w:val="008C3D1E"/>
    <w:rsid w:val="008C3D7D"/>
    <w:rsid w:val="008C3F21"/>
    <w:rsid w:val="008C3F32"/>
    <w:rsid w:val="008C3F33"/>
    <w:rsid w:val="008C3F50"/>
    <w:rsid w:val="008C3FE4"/>
    <w:rsid w:val="008C40CD"/>
    <w:rsid w:val="008C4199"/>
    <w:rsid w:val="008C4225"/>
    <w:rsid w:val="008C4266"/>
    <w:rsid w:val="008C430A"/>
    <w:rsid w:val="008C434E"/>
    <w:rsid w:val="008C44AA"/>
    <w:rsid w:val="008C4603"/>
    <w:rsid w:val="008C48BD"/>
    <w:rsid w:val="008C499C"/>
    <w:rsid w:val="008C49BD"/>
    <w:rsid w:val="008C49ED"/>
    <w:rsid w:val="008C4AEC"/>
    <w:rsid w:val="008C4BCC"/>
    <w:rsid w:val="008C4E1B"/>
    <w:rsid w:val="008C4EFB"/>
    <w:rsid w:val="008C4F0D"/>
    <w:rsid w:val="008C4F4C"/>
    <w:rsid w:val="008C4F5C"/>
    <w:rsid w:val="008C4FB1"/>
    <w:rsid w:val="008C4FBD"/>
    <w:rsid w:val="008C5011"/>
    <w:rsid w:val="008C5028"/>
    <w:rsid w:val="008C5056"/>
    <w:rsid w:val="008C51BF"/>
    <w:rsid w:val="008C51DE"/>
    <w:rsid w:val="008C53B3"/>
    <w:rsid w:val="008C53DF"/>
    <w:rsid w:val="008C5424"/>
    <w:rsid w:val="008C5669"/>
    <w:rsid w:val="008C5761"/>
    <w:rsid w:val="008C578A"/>
    <w:rsid w:val="008C586B"/>
    <w:rsid w:val="008C5897"/>
    <w:rsid w:val="008C58A5"/>
    <w:rsid w:val="008C58A9"/>
    <w:rsid w:val="008C58BD"/>
    <w:rsid w:val="008C5931"/>
    <w:rsid w:val="008C5951"/>
    <w:rsid w:val="008C5A5C"/>
    <w:rsid w:val="008C5ABC"/>
    <w:rsid w:val="008C5C69"/>
    <w:rsid w:val="008C5CDA"/>
    <w:rsid w:val="008C5D6A"/>
    <w:rsid w:val="008C5D92"/>
    <w:rsid w:val="008C5DD0"/>
    <w:rsid w:val="008C5DE8"/>
    <w:rsid w:val="008C5EC3"/>
    <w:rsid w:val="008C6001"/>
    <w:rsid w:val="008C6046"/>
    <w:rsid w:val="008C6127"/>
    <w:rsid w:val="008C612C"/>
    <w:rsid w:val="008C6151"/>
    <w:rsid w:val="008C61C8"/>
    <w:rsid w:val="008C61E3"/>
    <w:rsid w:val="008C625A"/>
    <w:rsid w:val="008C63E3"/>
    <w:rsid w:val="008C647F"/>
    <w:rsid w:val="008C655A"/>
    <w:rsid w:val="008C659E"/>
    <w:rsid w:val="008C6605"/>
    <w:rsid w:val="008C663A"/>
    <w:rsid w:val="008C6643"/>
    <w:rsid w:val="008C66A3"/>
    <w:rsid w:val="008C66D0"/>
    <w:rsid w:val="008C6708"/>
    <w:rsid w:val="008C67AE"/>
    <w:rsid w:val="008C67C1"/>
    <w:rsid w:val="008C6863"/>
    <w:rsid w:val="008C6904"/>
    <w:rsid w:val="008C6905"/>
    <w:rsid w:val="008C6974"/>
    <w:rsid w:val="008C6AD1"/>
    <w:rsid w:val="008C6B62"/>
    <w:rsid w:val="008C6BD6"/>
    <w:rsid w:val="008C6C64"/>
    <w:rsid w:val="008C6CA2"/>
    <w:rsid w:val="008C6F3C"/>
    <w:rsid w:val="008C704A"/>
    <w:rsid w:val="008C705C"/>
    <w:rsid w:val="008C71F2"/>
    <w:rsid w:val="008C72B5"/>
    <w:rsid w:val="008C733C"/>
    <w:rsid w:val="008C7364"/>
    <w:rsid w:val="008C7482"/>
    <w:rsid w:val="008C74B1"/>
    <w:rsid w:val="008C7504"/>
    <w:rsid w:val="008C751B"/>
    <w:rsid w:val="008C7520"/>
    <w:rsid w:val="008C7817"/>
    <w:rsid w:val="008C784B"/>
    <w:rsid w:val="008C7952"/>
    <w:rsid w:val="008C7A9B"/>
    <w:rsid w:val="008C7AEF"/>
    <w:rsid w:val="008C7BCA"/>
    <w:rsid w:val="008C7C65"/>
    <w:rsid w:val="008C7C70"/>
    <w:rsid w:val="008C7D4F"/>
    <w:rsid w:val="008C7EDC"/>
    <w:rsid w:val="008C7F12"/>
    <w:rsid w:val="008C7F73"/>
    <w:rsid w:val="008C7F76"/>
    <w:rsid w:val="008C7FBA"/>
    <w:rsid w:val="008D003D"/>
    <w:rsid w:val="008D0101"/>
    <w:rsid w:val="008D01D7"/>
    <w:rsid w:val="008D0270"/>
    <w:rsid w:val="008D03EE"/>
    <w:rsid w:val="008D0457"/>
    <w:rsid w:val="008D04C8"/>
    <w:rsid w:val="008D0539"/>
    <w:rsid w:val="008D05BB"/>
    <w:rsid w:val="008D05C9"/>
    <w:rsid w:val="008D05FD"/>
    <w:rsid w:val="008D0715"/>
    <w:rsid w:val="008D08E5"/>
    <w:rsid w:val="008D0980"/>
    <w:rsid w:val="008D0AD4"/>
    <w:rsid w:val="008D0B07"/>
    <w:rsid w:val="008D0B68"/>
    <w:rsid w:val="008D0BC7"/>
    <w:rsid w:val="008D0DBB"/>
    <w:rsid w:val="008D0F19"/>
    <w:rsid w:val="008D0F9C"/>
    <w:rsid w:val="008D10BD"/>
    <w:rsid w:val="008D10EF"/>
    <w:rsid w:val="008D1154"/>
    <w:rsid w:val="008D1224"/>
    <w:rsid w:val="008D1237"/>
    <w:rsid w:val="008D124F"/>
    <w:rsid w:val="008D1254"/>
    <w:rsid w:val="008D136D"/>
    <w:rsid w:val="008D138B"/>
    <w:rsid w:val="008D15F9"/>
    <w:rsid w:val="008D1734"/>
    <w:rsid w:val="008D17DD"/>
    <w:rsid w:val="008D18F7"/>
    <w:rsid w:val="008D1943"/>
    <w:rsid w:val="008D19F2"/>
    <w:rsid w:val="008D1A06"/>
    <w:rsid w:val="008D1A30"/>
    <w:rsid w:val="008D1AAE"/>
    <w:rsid w:val="008D1ADF"/>
    <w:rsid w:val="008D1AF5"/>
    <w:rsid w:val="008D1B28"/>
    <w:rsid w:val="008D1B64"/>
    <w:rsid w:val="008D1BA4"/>
    <w:rsid w:val="008D1BD2"/>
    <w:rsid w:val="008D1BDD"/>
    <w:rsid w:val="008D1E61"/>
    <w:rsid w:val="008D1E97"/>
    <w:rsid w:val="008D1FDF"/>
    <w:rsid w:val="008D20CC"/>
    <w:rsid w:val="008D2156"/>
    <w:rsid w:val="008D21BE"/>
    <w:rsid w:val="008D21D4"/>
    <w:rsid w:val="008D2293"/>
    <w:rsid w:val="008D22F5"/>
    <w:rsid w:val="008D2335"/>
    <w:rsid w:val="008D2356"/>
    <w:rsid w:val="008D2527"/>
    <w:rsid w:val="008D2535"/>
    <w:rsid w:val="008D254B"/>
    <w:rsid w:val="008D25A6"/>
    <w:rsid w:val="008D25A8"/>
    <w:rsid w:val="008D26E4"/>
    <w:rsid w:val="008D2700"/>
    <w:rsid w:val="008D270A"/>
    <w:rsid w:val="008D271D"/>
    <w:rsid w:val="008D2795"/>
    <w:rsid w:val="008D27E3"/>
    <w:rsid w:val="008D2892"/>
    <w:rsid w:val="008D28C7"/>
    <w:rsid w:val="008D2A11"/>
    <w:rsid w:val="008D2A64"/>
    <w:rsid w:val="008D2BA1"/>
    <w:rsid w:val="008D2D83"/>
    <w:rsid w:val="008D2F12"/>
    <w:rsid w:val="008D2F40"/>
    <w:rsid w:val="008D3065"/>
    <w:rsid w:val="008D3072"/>
    <w:rsid w:val="008D3077"/>
    <w:rsid w:val="008D3090"/>
    <w:rsid w:val="008D30B3"/>
    <w:rsid w:val="008D30F3"/>
    <w:rsid w:val="008D3109"/>
    <w:rsid w:val="008D31B3"/>
    <w:rsid w:val="008D31C6"/>
    <w:rsid w:val="008D31FB"/>
    <w:rsid w:val="008D328C"/>
    <w:rsid w:val="008D32FC"/>
    <w:rsid w:val="008D330A"/>
    <w:rsid w:val="008D332B"/>
    <w:rsid w:val="008D33A4"/>
    <w:rsid w:val="008D33E8"/>
    <w:rsid w:val="008D3617"/>
    <w:rsid w:val="008D362D"/>
    <w:rsid w:val="008D363E"/>
    <w:rsid w:val="008D3970"/>
    <w:rsid w:val="008D3AA4"/>
    <w:rsid w:val="008D3AFB"/>
    <w:rsid w:val="008D3B0E"/>
    <w:rsid w:val="008D3B98"/>
    <w:rsid w:val="008D3C7D"/>
    <w:rsid w:val="008D3C8A"/>
    <w:rsid w:val="008D3E77"/>
    <w:rsid w:val="008D3EFC"/>
    <w:rsid w:val="008D3F10"/>
    <w:rsid w:val="008D3F86"/>
    <w:rsid w:val="008D3F8B"/>
    <w:rsid w:val="008D3FF9"/>
    <w:rsid w:val="008D4049"/>
    <w:rsid w:val="008D40BE"/>
    <w:rsid w:val="008D41DB"/>
    <w:rsid w:val="008D4216"/>
    <w:rsid w:val="008D429C"/>
    <w:rsid w:val="008D42F0"/>
    <w:rsid w:val="008D43EE"/>
    <w:rsid w:val="008D448C"/>
    <w:rsid w:val="008D44A3"/>
    <w:rsid w:val="008D4550"/>
    <w:rsid w:val="008D46C1"/>
    <w:rsid w:val="008D473E"/>
    <w:rsid w:val="008D48E7"/>
    <w:rsid w:val="008D4A39"/>
    <w:rsid w:val="008D4A9D"/>
    <w:rsid w:val="008D4AC8"/>
    <w:rsid w:val="008D4B05"/>
    <w:rsid w:val="008D4C44"/>
    <w:rsid w:val="008D4C69"/>
    <w:rsid w:val="008D4D79"/>
    <w:rsid w:val="008D4DB7"/>
    <w:rsid w:val="008D4DBD"/>
    <w:rsid w:val="008D4DC9"/>
    <w:rsid w:val="008D4DD1"/>
    <w:rsid w:val="008D4E32"/>
    <w:rsid w:val="008D4E61"/>
    <w:rsid w:val="008D4E67"/>
    <w:rsid w:val="008D4EE1"/>
    <w:rsid w:val="008D505D"/>
    <w:rsid w:val="008D5212"/>
    <w:rsid w:val="008D5282"/>
    <w:rsid w:val="008D5284"/>
    <w:rsid w:val="008D52C2"/>
    <w:rsid w:val="008D52F1"/>
    <w:rsid w:val="008D5330"/>
    <w:rsid w:val="008D53A8"/>
    <w:rsid w:val="008D549B"/>
    <w:rsid w:val="008D54A7"/>
    <w:rsid w:val="008D5512"/>
    <w:rsid w:val="008D561A"/>
    <w:rsid w:val="008D56E3"/>
    <w:rsid w:val="008D573D"/>
    <w:rsid w:val="008D57A4"/>
    <w:rsid w:val="008D587C"/>
    <w:rsid w:val="008D58E6"/>
    <w:rsid w:val="008D593C"/>
    <w:rsid w:val="008D59A4"/>
    <w:rsid w:val="008D59CC"/>
    <w:rsid w:val="008D5C08"/>
    <w:rsid w:val="008D5C1A"/>
    <w:rsid w:val="008D5C30"/>
    <w:rsid w:val="008D5C36"/>
    <w:rsid w:val="008D5C4A"/>
    <w:rsid w:val="008D5C4E"/>
    <w:rsid w:val="008D5CF3"/>
    <w:rsid w:val="008D5D41"/>
    <w:rsid w:val="008D5DD4"/>
    <w:rsid w:val="008D5DE3"/>
    <w:rsid w:val="008D5EAD"/>
    <w:rsid w:val="008D5EFD"/>
    <w:rsid w:val="008D5F04"/>
    <w:rsid w:val="008D6012"/>
    <w:rsid w:val="008D6058"/>
    <w:rsid w:val="008D62A8"/>
    <w:rsid w:val="008D6322"/>
    <w:rsid w:val="008D6327"/>
    <w:rsid w:val="008D6331"/>
    <w:rsid w:val="008D638D"/>
    <w:rsid w:val="008D6390"/>
    <w:rsid w:val="008D63E6"/>
    <w:rsid w:val="008D648C"/>
    <w:rsid w:val="008D649F"/>
    <w:rsid w:val="008D6512"/>
    <w:rsid w:val="008D6519"/>
    <w:rsid w:val="008D6521"/>
    <w:rsid w:val="008D655F"/>
    <w:rsid w:val="008D6598"/>
    <w:rsid w:val="008D666E"/>
    <w:rsid w:val="008D66D6"/>
    <w:rsid w:val="008D67E5"/>
    <w:rsid w:val="008D682D"/>
    <w:rsid w:val="008D686B"/>
    <w:rsid w:val="008D6877"/>
    <w:rsid w:val="008D68E1"/>
    <w:rsid w:val="008D6A34"/>
    <w:rsid w:val="008D6A3F"/>
    <w:rsid w:val="008D6B99"/>
    <w:rsid w:val="008D6CAA"/>
    <w:rsid w:val="008D6CC8"/>
    <w:rsid w:val="008D6D23"/>
    <w:rsid w:val="008D6ED1"/>
    <w:rsid w:val="008D6F83"/>
    <w:rsid w:val="008D6FB4"/>
    <w:rsid w:val="008D70C8"/>
    <w:rsid w:val="008D7161"/>
    <w:rsid w:val="008D7437"/>
    <w:rsid w:val="008D7484"/>
    <w:rsid w:val="008D74D8"/>
    <w:rsid w:val="008D75B3"/>
    <w:rsid w:val="008D7776"/>
    <w:rsid w:val="008D7797"/>
    <w:rsid w:val="008D77AD"/>
    <w:rsid w:val="008D78F4"/>
    <w:rsid w:val="008D79DC"/>
    <w:rsid w:val="008D7AAA"/>
    <w:rsid w:val="008D7AEA"/>
    <w:rsid w:val="008D7B2F"/>
    <w:rsid w:val="008D7C20"/>
    <w:rsid w:val="008D7CCF"/>
    <w:rsid w:val="008D7D07"/>
    <w:rsid w:val="008D7F36"/>
    <w:rsid w:val="008D7F56"/>
    <w:rsid w:val="008E003A"/>
    <w:rsid w:val="008E0041"/>
    <w:rsid w:val="008E00F6"/>
    <w:rsid w:val="008E01A5"/>
    <w:rsid w:val="008E0297"/>
    <w:rsid w:val="008E0437"/>
    <w:rsid w:val="008E048B"/>
    <w:rsid w:val="008E062D"/>
    <w:rsid w:val="008E07D0"/>
    <w:rsid w:val="008E0838"/>
    <w:rsid w:val="008E0CCF"/>
    <w:rsid w:val="008E0D31"/>
    <w:rsid w:val="008E0DFB"/>
    <w:rsid w:val="008E0EDB"/>
    <w:rsid w:val="008E0F16"/>
    <w:rsid w:val="008E1008"/>
    <w:rsid w:val="008E10C4"/>
    <w:rsid w:val="008E119F"/>
    <w:rsid w:val="008E11AD"/>
    <w:rsid w:val="008E11C7"/>
    <w:rsid w:val="008E126B"/>
    <w:rsid w:val="008E1272"/>
    <w:rsid w:val="008E12D4"/>
    <w:rsid w:val="008E13A9"/>
    <w:rsid w:val="008E1410"/>
    <w:rsid w:val="008E1483"/>
    <w:rsid w:val="008E14F7"/>
    <w:rsid w:val="008E14FE"/>
    <w:rsid w:val="008E15F2"/>
    <w:rsid w:val="008E1601"/>
    <w:rsid w:val="008E1665"/>
    <w:rsid w:val="008E1742"/>
    <w:rsid w:val="008E17AE"/>
    <w:rsid w:val="008E17F0"/>
    <w:rsid w:val="008E18B5"/>
    <w:rsid w:val="008E1926"/>
    <w:rsid w:val="008E1950"/>
    <w:rsid w:val="008E199D"/>
    <w:rsid w:val="008E19D0"/>
    <w:rsid w:val="008E1B0E"/>
    <w:rsid w:val="008E1CD4"/>
    <w:rsid w:val="008E1E10"/>
    <w:rsid w:val="008E1EBC"/>
    <w:rsid w:val="008E1EE9"/>
    <w:rsid w:val="008E1EFE"/>
    <w:rsid w:val="008E20C3"/>
    <w:rsid w:val="008E20CC"/>
    <w:rsid w:val="008E2110"/>
    <w:rsid w:val="008E24F6"/>
    <w:rsid w:val="008E25D2"/>
    <w:rsid w:val="008E2665"/>
    <w:rsid w:val="008E26B0"/>
    <w:rsid w:val="008E299B"/>
    <w:rsid w:val="008E2ADB"/>
    <w:rsid w:val="008E2B79"/>
    <w:rsid w:val="008E2BAD"/>
    <w:rsid w:val="008E2C97"/>
    <w:rsid w:val="008E2CD8"/>
    <w:rsid w:val="008E2CE3"/>
    <w:rsid w:val="008E2D53"/>
    <w:rsid w:val="008E2D8D"/>
    <w:rsid w:val="008E2F58"/>
    <w:rsid w:val="008E30D7"/>
    <w:rsid w:val="008E3131"/>
    <w:rsid w:val="008E320A"/>
    <w:rsid w:val="008E327A"/>
    <w:rsid w:val="008E33B6"/>
    <w:rsid w:val="008E341C"/>
    <w:rsid w:val="008E34AC"/>
    <w:rsid w:val="008E3536"/>
    <w:rsid w:val="008E355C"/>
    <w:rsid w:val="008E359D"/>
    <w:rsid w:val="008E360F"/>
    <w:rsid w:val="008E380B"/>
    <w:rsid w:val="008E3825"/>
    <w:rsid w:val="008E394D"/>
    <w:rsid w:val="008E3951"/>
    <w:rsid w:val="008E39A3"/>
    <w:rsid w:val="008E3A55"/>
    <w:rsid w:val="008E3BDA"/>
    <w:rsid w:val="008E3BFE"/>
    <w:rsid w:val="008E3E24"/>
    <w:rsid w:val="008E404D"/>
    <w:rsid w:val="008E40C0"/>
    <w:rsid w:val="008E410D"/>
    <w:rsid w:val="008E414A"/>
    <w:rsid w:val="008E4159"/>
    <w:rsid w:val="008E4183"/>
    <w:rsid w:val="008E4238"/>
    <w:rsid w:val="008E42AE"/>
    <w:rsid w:val="008E42F0"/>
    <w:rsid w:val="008E43BF"/>
    <w:rsid w:val="008E443C"/>
    <w:rsid w:val="008E4489"/>
    <w:rsid w:val="008E4500"/>
    <w:rsid w:val="008E4576"/>
    <w:rsid w:val="008E4631"/>
    <w:rsid w:val="008E4677"/>
    <w:rsid w:val="008E47FE"/>
    <w:rsid w:val="008E487D"/>
    <w:rsid w:val="008E48A1"/>
    <w:rsid w:val="008E498D"/>
    <w:rsid w:val="008E49EA"/>
    <w:rsid w:val="008E4A1A"/>
    <w:rsid w:val="008E4A43"/>
    <w:rsid w:val="008E4A4F"/>
    <w:rsid w:val="008E4A7F"/>
    <w:rsid w:val="008E4AA2"/>
    <w:rsid w:val="008E4AD0"/>
    <w:rsid w:val="008E4B05"/>
    <w:rsid w:val="008E4B0D"/>
    <w:rsid w:val="008E4C5E"/>
    <w:rsid w:val="008E4CF1"/>
    <w:rsid w:val="008E4D05"/>
    <w:rsid w:val="008E4D29"/>
    <w:rsid w:val="008E4D2A"/>
    <w:rsid w:val="008E4D45"/>
    <w:rsid w:val="008E4DF9"/>
    <w:rsid w:val="008E4E17"/>
    <w:rsid w:val="008E4E76"/>
    <w:rsid w:val="008E4F14"/>
    <w:rsid w:val="008E4F44"/>
    <w:rsid w:val="008E50CC"/>
    <w:rsid w:val="008E514C"/>
    <w:rsid w:val="008E51D7"/>
    <w:rsid w:val="008E526B"/>
    <w:rsid w:val="008E5389"/>
    <w:rsid w:val="008E548B"/>
    <w:rsid w:val="008E5699"/>
    <w:rsid w:val="008E56A2"/>
    <w:rsid w:val="008E57A3"/>
    <w:rsid w:val="008E57C4"/>
    <w:rsid w:val="008E57D2"/>
    <w:rsid w:val="008E58D1"/>
    <w:rsid w:val="008E591F"/>
    <w:rsid w:val="008E595A"/>
    <w:rsid w:val="008E59D7"/>
    <w:rsid w:val="008E5A1A"/>
    <w:rsid w:val="008E5A6C"/>
    <w:rsid w:val="008E5B44"/>
    <w:rsid w:val="008E5B68"/>
    <w:rsid w:val="008E5B76"/>
    <w:rsid w:val="008E5B94"/>
    <w:rsid w:val="008E5C5C"/>
    <w:rsid w:val="008E5CA9"/>
    <w:rsid w:val="008E5D08"/>
    <w:rsid w:val="008E5D6E"/>
    <w:rsid w:val="008E5DD5"/>
    <w:rsid w:val="008E5DF1"/>
    <w:rsid w:val="008E5E52"/>
    <w:rsid w:val="008E5ED8"/>
    <w:rsid w:val="008E5F96"/>
    <w:rsid w:val="008E60B8"/>
    <w:rsid w:val="008E6178"/>
    <w:rsid w:val="008E6200"/>
    <w:rsid w:val="008E6264"/>
    <w:rsid w:val="008E631E"/>
    <w:rsid w:val="008E6665"/>
    <w:rsid w:val="008E6686"/>
    <w:rsid w:val="008E6700"/>
    <w:rsid w:val="008E6708"/>
    <w:rsid w:val="008E6A35"/>
    <w:rsid w:val="008E6B0F"/>
    <w:rsid w:val="008E6BEB"/>
    <w:rsid w:val="008E6CC6"/>
    <w:rsid w:val="008E6D19"/>
    <w:rsid w:val="008E6D8B"/>
    <w:rsid w:val="008E6E6B"/>
    <w:rsid w:val="008E6E70"/>
    <w:rsid w:val="008E6F72"/>
    <w:rsid w:val="008E7062"/>
    <w:rsid w:val="008E7154"/>
    <w:rsid w:val="008E7233"/>
    <w:rsid w:val="008E738F"/>
    <w:rsid w:val="008E73B8"/>
    <w:rsid w:val="008E73E1"/>
    <w:rsid w:val="008E75FC"/>
    <w:rsid w:val="008E7665"/>
    <w:rsid w:val="008E7697"/>
    <w:rsid w:val="008E76C4"/>
    <w:rsid w:val="008E76D4"/>
    <w:rsid w:val="008E7792"/>
    <w:rsid w:val="008E77C4"/>
    <w:rsid w:val="008E7838"/>
    <w:rsid w:val="008E7933"/>
    <w:rsid w:val="008E79B2"/>
    <w:rsid w:val="008E7A4E"/>
    <w:rsid w:val="008E7AFB"/>
    <w:rsid w:val="008E7B1E"/>
    <w:rsid w:val="008E7B1F"/>
    <w:rsid w:val="008E7B7F"/>
    <w:rsid w:val="008E7C16"/>
    <w:rsid w:val="008E7C21"/>
    <w:rsid w:val="008E7D1E"/>
    <w:rsid w:val="008E7D30"/>
    <w:rsid w:val="008E7D4A"/>
    <w:rsid w:val="008E7DF4"/>
    <w:rsid w:val="008E7EA2"/>
    <w:rsid w:val="008E7EE1"/>
    <w:rsid w:val="008F0034"/>
    <w:rsid w:val="008F003E"/>
    <w:rsid w:val="008F00BD"/>
    <w:rsid w:val="008F00DF"/>
    <w:rsid w:val="008F0168"/>
    <w:rsid w:val="008F0279"/>
    <w:rsid w:val="008F02C3"/>
    <w:rsid w:val="008F02D2"/>
    <w:rsid w:val="008F03D1"/>
    <w:rsid w:val="008F0479"/>
    <w:rsid w:val="008F056B"/>
    <w:rsid w:val="008F06A8"/>
    <w:rsid w:val="008F07B9"/>
    <w:rsid w:val="008F07E6"/>
    <w:rsid w:val="008F0937"/>
    <w:rsid w:val="008F09FE"/>
    <w:rsid w:val="008F0A30"/>
    <w:rsid w:val="008F0AC5"/>
    <w:rsid w:val="008F0B03"/>
    <w:rsid w:val="008F0B22"/>
    <w:rsid w:val="008F0CF9"/>
    <w:rsid w:val="008F0DB6"/>
    <w:rsid w:val="008F0DDF"/>
    <w:rsid w:val="008F0E4D"/>
    <w:rsid w:val="008F0EBE"/>
    <w:rsid w:val="008F0F1C"/>
    <w:rsid w:val="008F0FDF"/>
    <w:rsid w:val="008F1030"/>
    <w:rsid w:val="008F1038"/>
    <w:rsid w:val="008F10FD"/>
    <w:rsid w:val="008F11B5"/>
    <w:rsid w:val="008F11F9"/>
    <w:rsid w:val="008F124B"/>
    <w:rsid w:val="008F13D1"/>
    <w:rsid w:val="008F156C"/>
    <w:rsid w:val="008F1643"/>
    <w:rsid w:val="008F1659"/>
    <w:rsid w:val="008F16FF"/>
    <w:rsid w:val="008F17B1"/>
    <w:rsid w:val="008F1943"/>
    <w:rsid w:val="008F19F3"/>
    <w:rsid w:val="008F1ADB"/>
    <w:rsid w:val="008F1C27"/>
    <w:rsid w:val="008F1D57"/>
    <w:rsid w:val="008F1EF8"/>
    <w:rsid w:val="008F1F44"/>
    <w:rsid w:val="008F1F8F"/>
    <w:rsid w:val="008F20F0"/>
    <w:rsid w:val="008F2120"/>
    <w:rsid w:val="008F21A7"/>
    <w:rsid w:val="008F21C9"/>
    <w:rsid w:val="008F2232"/>
    <w:rsid w:val="008F22F0"/>
    <w:rsid w:val="008F24DA"/>
    <w:rsid w:val="008F278F"/>
    <w:rsid w:val="008F27B6"/>
    <w:rsid w:val="008F2890"/>
    <w:rsid w:val="008F296A"/>
    <w:rsid w:val="008F2975"/>
    <w:rsid w:val="008F29DC"/>
    <w:rsid w:val="008F2B64"/>
    <w:rsid w:val="008F2BFE"/>
    <w:rsid w:val="008F2C4D"/>
    <w:rsid w:val="008F2D25"/>
    <w:rsid w:val="008F2D47"/>
    <w:rsid w:val="008F2F0D"/>
    <w:rsid w:val="008F2F15"/>
    <w:rsid w:val="008F2FAB"/>
    <w:rsid w:val="008F2FCD"/>
    <w:rsid w:val="008F3056"/>
    <w:rsid w:val="008F317B"/>
    <w:rsid w:val="008F3200"/>
    <w:rsid w:val="008F3261"/>
    <w:rsid w:val="008F3313"/>
    <w:rsid w:val="008F33A1"/>
    <w:rsid w:val="008F3434"/>
    <w:rsid w:val="008F34B8"/>
    <w:rsid w:val="008F34E7"/>
    <w:rsid w:val="008F3793"/>
    <w:rsid w:val="008F37EC"/>
    <w:rsid w:val="008F385F"/>
    <w:rsid w:val="008F38B9"/>
    <w:rsid w:val="008F38C0"/>
    <w:rsid w:val="008F3984"/>
    <w:rsid w:val="008F399E"/>
    <w:rsid w:val="008F3A01"/>
    <w:rsid w:val="008F3A40"/>
    <w:rsid w:val="008F3A8D"/>
    <w:rsid w:val="008F3B5F"/>
    <w:rsid w:val="008F3B80"/>
    <w:rsid w:val="008F3C3D"/>
    <w:rsid w:val="008F3D5C"/>
    <w:rsid w:val="008F3D7A"/>
    <w:rsid w:val="008F3E3E"/>
    <w:rsid w:val="008F3E96"/>
    <w:rsid w:val="008F4001"/>
    <w:rsid w:val="008F4029"/>
    <w:rsid w:val="008F41F3"/>
    <w:rsid w:val="008F43E9"/>
    <w:rsid w:val="008F448B"/>
    <w:rsid w:val="008F4491"/>
    <w:rsid w:val="008F44ED"/>
    <w:rsid w:val="008F4557"/>
    <w:rsid w:val="008F46BC"/>
    <w:rsid w:val="008F47EF"/>
    <w:rsid w:val="008F4867"/>
    <w:rsid w:val="008F498E"/>
    <w:rsid w:val="008F4A3C"/>
    <w:rsid w:val="008F4B62"/>
    <w:rsid w:val="008F4BAA"/>
    <w:rsid w:val="008F4C39"/>
    <w:rsid w:val="008F4C4A"/>
    <w:rsid w:val="008F4C59"/>
    <w:rsid w:val="008F4C5C"/>
    <w:rsid w:val="008F4C6E"/>
    <w:rsid w:val="008F4CE3"/>
    <w:rsid w:val="008F4D48"/>
    <w:rsid w:val="008F4DB5"/>
    <w:rsid w:val="008F4DE4"/>
    <w:rsid w:val="008F4F23"/>
    <w:rsid w:val="008F516F"/>
    <w:rsid w:val="008F5226"/>
    <w:rsid w:val="008F5321"/>
    <w:rsid w:val="008F5334"/>
    <w:rsid w:val="008F53CC"/>
    <w:rsid w:val="008F54D2"/>
    <w:rsid w:val="008F5501"/>
    <w:rsid w:val="008F56F6"/>
    <w:rsid w:val="008F583D"/>
    <w:rsid w:val="008F58AD"/>
    <w:rsid w:val="008F5958"/>
    <w:rsid w:val="008F5990"/>
    <w:rsid w:val="008F59C6"/>
    <w:rsid w:val="008F5AD0"/>
    <w:rsid w:val="008F5ADD"/>
    <w:rsid w:val="008F5B0C"/>
    <w:rsid w:val="008F5B18"/>
    <w:rsid w:val="008F5BFA"/>
    <w:rsid w:val="008F5CFB"/>
    <w:rsid w:val="008F5DB4"/>
    <w:rsid w:val="008F5DC8"/>
    <w:rsid w:val="008F5E24"/>
    <w:rsid w:val="008F5E2A"/>
    <w:rsid w:val="008F5EDE"/>
    <w:rsid w:val="008F604D"/>
    <w:rsid w:val="008F60C1"/>
    <w:rsid w:val="008F6142"/>
    <w:rsid w:val="008F6156"/>
    <w:rsid w:val="008F6313"/>
    <w:rsid w:val="008F6328"/>
    <w:rsid w:val="008F6388"/>
    <w:rsid w:val="008F6444"/>
    <w:rsid w:val="008F646E"/>
    <w:rsid w:val="008F6526"/>
    <w:rsid w:val="008F6541"/>
    <w:rsid w:val="008F66B4"/>
    <w:rsid w:val="008F671A"/>
    <w:rsid w:val="008F6792"/>
    <w:rsid w:val="008F6989"/>
    <w:rsid w:val="008F6A39"/>
    <w:rsid w:val="008F6A43"/>
    <w:rsid w:val="008F6A91"/>
    <w:rsid w:val="008F6B29"/>
    <w:rsid w:val="008F6B9C"/>
    <w:rsid w:val="008F6BE6"/>
    <w:rsid w:val="008F6C40"/>
    <w:rsid w:val="008F6D2A"/>
    <w:rsid w:val="008F6D86"/>
    <w:rsid w:val="008F6DDB"/>
    <w:rsid w:val="008F6E67"/>
    <w:rsid w:val="008F7019"/>
    <w:rsid w:val="008F727B"/>
    <w:rsid w:val="008F73AE"/>
    <w:rsid w:val="008F746E"/>
    <w:rsid w:val="008F7486"/>
    <w:rsid w:val="008F7496"/>
    <w:rsid w:val="008F74E0"/>
    <w:rsid w:val="008F751E"/>
    <w:rsid w:val="008F7578"/>
    <w:rsid w:val="008F7846"/>
    <w:rsid w:val="008F786E"/>
    <w:rsid w:val="008F793D"/>
    <w:rsid w:val="008F7A1F"/>
    <w:rsid w:val="008F7AE2"/>
    <w:rsid w:val="008F7B14"/>
    <w:rsid w:val="008F7B7C"/>
    <w:rsid w:val="008F7BB5"/>
    <w:rsid w:val="008F7D2B"/>
    <w:rsid w:val="008F7D4B"/>
    <w:rsid w:val="008F7E24"/>
    <w:rsid w:val="008F7EB2"/>
    <w:rsid w:val="008F7EDD"/>
    <w:rsid w:val="008F7F50"/>
    <w:rsid w:val="008F7F62"/>
    <w:rsid w:val="00900004"/>
    <w:rsid w:val="00900088"/>
    <w:rsid w:val="009000F0"/>
    <w:rsid w:val="0090013E"/>
    <w:rsid w:val="0090016E"/>
    <w:rsid w:val="00900356"/>
    <w:rsid w:val="0090036A"/>
    <w:rsid w:val="009003F3"/>
    <w:rsid w:val="009004A2"/>
    <w:rsid w:val="009004EB"/>
    <w:rsid w:val="009005EF"/>
    <w:rsid w:val="00900651"/>
    <w:rsid w:val="0090073F"/>
    <w:rsid w:val="00900773"/>
    <w:rsid w:val="009008BC"/>
    <w:rsid w:val="00900A10"/>
    <w:rsid w:val="00900B13"/>
    <w:rsid w:val="00900BBF"/>
    <w:rsid w:val="00900BD8"/>
    <w:rsid w:val="00900C07"/>
    <w:rsid w:val="00900C79"/>
    <w:rsid w:val="00900C82"/>
    <w:rsid w:val="00900D52"/>
    <w:rsid w:val="00900EBD"/>
    <w:rsid w:val="00900F26"/>
    <w:rsid w:val="00900F42"/>
    <w:rsid w:val="0090112F"/>
    <w:rsid w:val="00901232"/>
    <w:rsid w:val="00901244"/>
    <w:rsid w:val="00901367"/>
    <w:rsid w:val="0090150F"/>
    <w:rsid w:val="0090158E"/>
    <w:rsid w:val="00901598"/>
    <w:rsid w:val="009015AF"/>
    <w:rsid w:val="009015E2"/>
    <w:rsid w:val="009015FA"/>
    <w:rsid w:val="00901825"/>
    <w:rsid w:val="0090187A"/>
    <w:rsid w:val="0090190F"/>
    <w:rsid w:val="0090195E"/>
    <w:rsid w:val="00901A7F"/>
    <w:rsid w:val="00901A8E"/>
    <w:rsid w:val="00901AE8"/>
    <w:rsid w:val="00901B0D"/>
    <w:rsid w:val="00901C50"/>
    <w:rsid w:val="00901D2B"/>
    <w:rsid w:val="00901F54"/>
    <w:rsid w:val="00901FDF"/>
    <w:rsid w:val="0090204C"/>
    <w:rsid w:val="00902073"/>
    <w:rsid w:val="00902140"/>
    <w:rsid w:val="0090216B"/>
    <w:rsid w:val="009021E6"/>
    <w:rsid w:val="009022AD"/>
    <w:rsid w:val="0090232A"/>
    <w:rsid w:val="0090242F"/>
    <w:rsid w:val="009024C4"/>
    <w:rsid w:val="00902547"/>
    <w:rsid w:val="00902569"/>
    <w:rsid w:val="009026CA"/>
    <w:rsid w:val="009026EE"/>
    <w:rsid w:val="009027F9"/>
    <w:rsid w:val="009029A0"/>
    <w:rsid w:val="009029D8"/>
    <w:rsid w:val="00902AEC"/>
    <w:rsid w:val="00902E0E"/>
    <w:rsid w:val="00902E2F"/>
    <w:rsid w:val="00902EA7"/>
    <w:rsid w:val="00902F02"/>
    <w:rsid w:val="00902F1E"/>
    <w:rsid w:val="00902FA4"/>
    <w:rsid w:val="00903010"/>
    <w:rsid w:val="00903023"/>
    <w:rsid w:val="0090315A"/>
    <w:rsid w:val="0090319C"/>
    <w:rsid w:val="009031F7"/>
    <w:rsid w:val="00903218"/>
    <w:rsid w:val="00903336"/>
    <w:rsid w:val="00903380"/>
    <w:rsid w:val="0090342A"/>
    <w:rsid w:val="00903433"/>
    <w:rsid w:val="00903484"/>
    <w:rsid w:val="009034F6"/>
    <w:rsid w:val="0090354B"/>
    <w:rsid w:val="00903565"/>
    <w:rsid w:val="0090359D"/>
    <w:rsid w:val="00903611"/>
    <w:rsid w:val="00903650"/>
    <w:rsid w:val="00903718"/>
    <w:rsid w:val="0090389C"/>
    <w:rsid w:val="00903996"/>
    <w:rsid w:val="009039C4"/>
    <w:rsid w:val="009039E9"/>
    <w:rsid w:val="00903AB6"/>
    <w:rsid w:val="00903AC0"/>
    <w:rsid w:val="00903AC1"/>
    <w:rsid w:val="00903B93"/>
    <w:rsid w:val="00903BA5"/>
    <w:rsid w:val="00903CF3"/>
    <w:rsid w:val="00903D3D"/>
    <w:rsid w:val="00903DA3"/>
    <w:rsid w:val="00903F2B"/>
    <w:rsid w:val="00903F85"/>
    <w:rsid w:val="00903FD7"/>
    <w:rsid w:val="0090407D"/>
    <w:rsid w:val="00904094"/>
    <w:rsid w:val="009040D9"/>
    <w:rsid w:val="009040F4"/>
    <w:rsid w:val="009040FC"/>
    <w:rsid w:val="0090415A"/>
    <w:rsid w:val="00904192"/>
    <w:rsid w:val="009041DD"/>
    <w:rsid w:val="009042C9"/>
    <w:rsid w:val="00904356"/>
    <w:rsid w:val="0090438A"/>
    <w:rsid w:val="009043CA"/>
    <w:rsid w:val="00904457"/>
    <w:rsid w:val="00904502"/>
    <w:rsid w:val="0090451E"/>
    <w:rsid w:val="009045BC"/>
    <w:rsid w:val="0090460E"/>
    <w:rsid w:val="009046E1"/>
    <w:rsid w:val="0090473A"/>
    <w:rsid w:val="00904806"/>
    <w:rsid w:val="0090481A"/>
    <w:rsid w:val="00904841"/>
    <w:rsid w:val="0090486F"/>
    <w:rsid w:val="0090491A"/>
    <w:rsid w:val="0090499D"/>
    <w:rsid w:val="00904AD3"/>
    <w:rsid w:val="00904C0C"/>
    <w:rsid w:val="00904E14"/>
    <w:rsid w:val="00904F8F"/>
    <w:rsid w:val="0090505C"/>
    <w:rsid w:val="00905110"/>
    <w:rsid w:val="0090512B"/>
    <w:rsid w:val="009051AE"/>
    <w:rsid w:val="009051CC"/>
    <w:rsid w:val="00905205"/>
    <w:rsid w:val="00905229"/>
    <w:rsid w:val="00905271"/>
    <w:rsid w:val="009052C7"/>
    <w:rsid w:val="00905313"/>
    <w:rsid w:val="0090532F"/>
    <w:rsid w:val="0090552C"/>
    <w:rsid w:val="009056A0"/>
    <w:rsid w:val="009056CE"/>
    <w:rsid w:val="0090577E"/>
    <w:rsid w:val="009058D0"/>
    <w:rsid w:val="00905923"/>
    <w:rsid w:val="0090598A"/>
    <w:rsid w:val="009059D4"/>
    <w:rsid w:val="00905A06"/>
    <w:rsid w:val="00905AC2"/>
    <w:rsid w:val="00905B12"/>
    <w:rsid w:val="00905B78"/>
    <w:rsid w:val="00905D3A"/>
    <w:rsid w:val="00905D50"/>
    <w:rsid w:val="00905D52"/>
    <w:rsid w:val="00905DF0"/>
    <w:rsid w:val="00905F91"/>
    <w:rsid w:val="00905FBF"/>
    <w:rsid w:val="00905FF8"/>
    <w:rsid w:val="00906029"/>
    <w:rsid w:val="00906103"/>
    <w:rsid w:val="00906186"/>
    <w:rsid w:val="00906271"/>
    <w:rsid w:val="009062AE"/>
    <w:rsid w:val="009062B2"/>
    <w:rsid w:val="009062E6"/>
    <w:rsid w:val="0090651B"/>
    <w:rsid w:val="009066B5"/>
    <w:rsid w:val="0090672A"/>
    <w:rsid w:val="0090681F"/>
    <w:rsid w:val="00906887"/>
    <w:rsid w:val="009068AD"/>
    <w:rsid w:val="00906A79"/>
    <w:rsid w:val="00906B92"/>
    <w:rsid w:val="00906BF6"/>
    <w:rsid w:val="00906D55"/>
    <w:rsid w:val="00906D93"/>
    <w:rsid w:val="00906E8E"/>
    <w:rsid w:val="00906F57"/>
    <w:rsid w:val="00906F69"/>
    <w:rsid w:val="00906FA8"/>
    <w:rsid w:val="00907074"/>
    <w:rsid w:val="009070C6"/>
    <w:rsid w:val="009070EB"/>
    <w:rsid w:val="0090714C"/>
    <w:rsid w:val="009071A2"/>
    <w:rsid w:val="00907394"/>
    <w:rsid w:val="009073AB"/>
    <w:rsid w:val="009073DB"/>
    <w:rsid w:val="00907494"/>
    <w:rsid w:val="0090752A"/>
    <w:rsid w:val="00907575"/>
    <w:rsid w:val="00907592"/>
    <w:rsid w:val="009075E2"/>
    <w:rsid w:val="00907602"/>
    <w:rsid w:val="0090771B"/>
    <w:rsid w:val="00907745"/>
    <w:rsid w:val="00907753"/>
    <w:rsid w:val="0090780F"/>
    <w:rsid w:val="00907843"/>
    <w:rsid w:val="009078DF"/>
    <w:rsid w:val="009078E0"/>
    <w:rsid w:val="009079E3"/>
    <w:rsid w:val="009079FB"/>
    <w:rsid w:val="00907A15"/>
    <w:rsid w:val="00907A61"/>
    <w:rsid w:val="00907A78"/>
    <w:rsid w:val="00907B94"/>
    <w:rsid w:val="00907B9B"/>
    <w:rsid w:val="00907BA0"/>
    <w:rsid w:val="00907C43"/>
    <w:rsid w:val="00907C5B"/>
    <w:rsid w:val="00907E71"/>
    <w:rsid w:val="00907EEE"/>
    <w:rsid w:val="00907F2B"/>
    <w:rsid w:val="00907F54"/>
    <w:rsid w:val="00907FB2"/>
    <w:rsid w:val="00907FCD"/>
    <w:rsid w:val="00910092"/>
    <w:rsid w:val="00910098"/>
    <w:rsid w:val="00910167"/>
    <w:rsid w:val="00910187"/>
    <w:rsid w:val="00910188"/>
    <w:rsid w:val="009101DC"/>
    <w:rsid w:val="00910265"/>
    <w:rsid w:val="009103D7"/>
    <w:rsid w:val="009104BA"/>
    <w:rsid w:val="009104BB"/>
    <w:rsid w:val="0091079A"/>
    <w:rsid w:val="00910838"/>
    <w:rsid w:val="0091088F"/>
    <w:rsid w:val="00910988"/>
    <w:rsid w:val="00910A0B"/>
    <w:rsid w:val="00910AA1"/>
    <w:rsid w:val="00910B95"/>
    <w:rsid w:val="00910B9A"/>
    <w:rsid w:val="00910CA0"/>
    <w:rsid w:val="00910E88"/>
    <w:rsid w:val="00910EEA"/>
    <w:rsid w:val="00910F35"/>
    <w:rsid w:val="0091105B"/>
    <w:rsid w:val="00911137"/>
    <w:rsid w:val="009111FC"/>
    <w:rsid w:val="00911241"/>
    <w:rsid w:val="00911299"/>
    <w:rsid w:val="0091136A"/>
    <w:rsid w:val="0091138B"/>
    <w:rsid w:val="00911451"/>
    <w:rsid w:val="009114B0"/>
    <w:rsid w:val="009114BE"/>
    <w:rsid w:val="00911596"/>
    <w:rsid w:val="009115ED"/>
    <w:rsid w:val="00911657"/>
    <w:rsid w:val="00911670"/>
    <w:rsid w:val="00911708"/>
    <w:rsid w:val="0091170A"/>
    <w:rsid w:val="0091190D"/>
    <w:rsid w:val="00911AE4"/>
    <w:rsid w:val="00911B1E"/>
    <w:rsid w:val="00911BA4"/>
    <w:rsid w:val="00911BEA"/>
    <w:rsid w:val="00911C0C"/>
    <w:rsid w:val="00911C96"/>
    <w:rsid w:val="00911D49"/>
    <w:rsid w:val="00911D7E"/>
    <w:rsid w:val="00911DE1"/>
    <w:rsid w:val="00911E16"/>
    <w:rsid w:val="00911E8F"/>
    <w:rsid w:val="00911EE5"/>
    <w:rsid w:val="00911EFA"/>
    <w:rsid w:val="00911F8A"/>
    <w:rsid w:val="00911FF8"/>
    <w:rsid w:val="009120BC"/>
    <w:rsid w:val="00912104"/>
    <w:rsid w:val="0091225A"/>
    <w:rsid w:val="00912371"/>
    <w:rsid w:val="00912387"/>
    <w:rsid w:val="0091242C"/>
    <w:rsid w:val="009124A1"/>
    <w:rsid w:val="009124A2"/>
    <w:rsid w:val="0091272A"/>
    <w:rsid w:val="00912756"/>
    <w:rsid w:val="00912759"/>
    <w:rsid w:val="00912900"/>
    <w:rsid w:val="0091293B"/>
    <w:rsid w:val="0091294B"/>
    <w:rsid w:val="00912956"/>
    <w:rsid w:val="009129A1"/>
    <w:rsid w:val="00912B51"/>
    <w:rsid w:val="00912BBC"/>
    <w:rsid w:val="00912C6B"/>
    <w:rsid w:val="00912D1D"/>
    <w:rsid w:val="00912DF2"/>
    <w:rsid w:val="00912E53"/>
    <w:rsid w:val="00912F3B"/>
    <w:rsid w:val="00912F6C"/>
    <w:rsid w:val="00913077"/>
    <w:rsid w:val="00913231"/>
    <w:rsid w:val="00913341"/>
    <w:rsid w:val="009133AD"/>
    <w:rsid w:val="00913489"/>
    <w:rsid w:val="009136B2"/>
    <w:rsid w:val="00913771"/>
    <w:rsid w:val="0091384F"/>
    <w:rsid w:val="00913898"/>
    <w:rsid w:val="009139E6"/>
    <w:rsid w:val="00913A62"/>
    <w:rsid w:val="00913A66"/>
    <w:rsid w:val="00913BA9"/>
    <w:rsid w:val="00913BC8"/>
    <w:rsid w:val="00913BF5"/>
    <w:rsid w:val="00913C87"/>
    <w:rsid w:val="00913D0B"/>
    <w:rsid w:val="00913DBE"/>
    <w:rsid w:val="00913EBD"/>
    <w:rsid w:val="00913F4E"/>
    <w:rsid w:val="00913FE5"/>
    <w:rsid w:val="009140FA"/>
    <w:rsid w:val="00914114"/>
    <w:rsid w:val="009142F7"/>
    <w:rsid w:val="0091432B"/>
    <w:rsid w:val="00914332"/>
    <w:rsid w:val="00914336"/>
    <w:rsid w:val="00914432"/>
    <w:rsid w:val="0091479D"/>
    <w:rsid w:val="00914820"/>
    <w:rsid w:val="0091483E"/>
    <w:rsid w:val="0091488B"/>
    <w:rsid w:val="009148B3"/>
    <w:rsid w:val="00914936"/>
    <w:rsid w:val="00914942"/>
    <w:rsid w:val="00914A79"/>
    <w:rsid w:val="00914AA4"/>
    <w:rsid w:val="00914C07"/>
    <w:rsid w:val="00914C3C"/>
    <w:rsid w:val="00914E68"/>
    <w:rsid w:val="00914F84"/>
    <w:rsid w:val="00914FA6"/>
    <w:rsid w:val="00914FD7"/>
    <w:rsid w:val="00915027"/>
    <w:rsid w:val="00915081"/>
    <w:rsid w:val="0091509F"/>
    <w:rsid w:val="00915295"/>
    <w:rsid w:val="0091530A"/>
    <w:rsid w:val="0091539C"/>
    <w:rsid w:val="009153DD"/>
    <w:rsid w:val="0091549C"/>
    <w:rsid w:val="0091567D"/>
    <w:rsid w:val="009156A5"/>
    <w:rsid w:val="009156E9"/>
    <w:rsid w:val="00915749"/>
    <w:rsid w:val="00915756"/>
    <w:rsid w:val="009157F7"/>
    <w:rsid w:val="00915A1A"/>
    <w:rsid w:val="00915B88"/>
    <w:rsid w:val="00915C31"/>
    <w:rsid w:val="00915C96"/>
    <w:rsid w:val="00915D5E"/>
    <w:rsid w:val="00915E55"/>
    <w:rsid w:val="00915F6A"/>
    <w:rsid w:val="00915FAA"/>
    <w:rsid w:val="00916056"/>
    <w:rsid w:val="00916080"/>
    <w:rsid w:val="009160F9"/>
    <w:rsid w:val="0091618B"/>
    <w:rsid w:val="009161C6"/>
    <w:rsid w:val="00916215"/>
    <w:rsid w:val="00916275"/>
    <w:rsid w:val="00916276"/>
    <w:rsid w:val="009162A3"/>
    <w:rsid w:val="00916306"/>
    <w:rsid w:val="0091630B"/>
    <w:rsid w:val="00916313"/>
    <w:rsid w:val="0091636E"/>
    <w:rsid w:val="009163AC"/>
    <w:rsid w:val="009163E5"/>
    <w:rsid w:val="009163F0"/>
    <w:rsid w:val="00916672"/>
    <w:rsid w:val="009166B1"/>
    <w:rsid w:val="0091684E"/>
    <w:rsid w:val="00916898"/>
    <w:rsid w:val="009168BC"/>
    <w:rsid w:val="009169BF"/>
    <w:rsid w:val="009169EB"/>
    <w:rsid w:val="00916A28"/>
    <w:rsid w:val="00916C37"/>
    <w:rsid w:val="00916C9D"/>
    <w:rsid w:val="00916D03"/>
    <w:rsid w:val="00916D38"/>
    <w:rsid w:val="00916E32"/>
    <w:rsid w:val="00916EFA"/>
    <w:rsid w:val="00916F7B"/>
    <w:rsid w:val="00917035"/>
    <w:rsid w:val="00917142"/>
    <w:rsid w:val="00917195"/>
    <w:rsid w:val="009171C3"/>
    <w:rsid w:val="009171F6"/>
    <w:rsid w:val="0091726D"/>
    <w:rsid w:val="00917282"/>
    <w:rsid w:val="00917295"/>
    <w:rsid w:val="009172BC"/>
    <w:rsid w:val="00917371"/>
    <w:rsid w:val="009173AF"/>
    <w:rsid w:val="009174C4"/>
    <w:rsid w:val="009174E7"/>
    <w:rsid w:val="0091759A"/>
    <w:rsid w:val="009175D7"/>
    <w:rsid w:val="009175EC"/>
    <w:rsid w:val="0091769F"/>
    <w:rsid w:val="0091776B"/>
    <w:rsid w:val="00917862"/>
    <w:rsid w:val="00917B13"/>
    <w:rsid w:val="00917B19"/>
    <w:rsid w:val="00917B72"/>
    <w:rsid w:val="00917BA1"/>
    <w:rsid w:val="00917C67"/>
    <w:rsid w:val="00917CA6"/>
    <w:rsid w:val="00917D85"/>
    <w:rsid w:val="00917DA8"/>
    <w:rsid w:val="00917E20"/>
    <w:rsid w:val="00917EFB"/>
    <w:rsid w:val="00917F3F"/>
    <w:rsid w:val="00917F50"/>
    <w:rsid w:val="00917F6B"/>
    <w:rsid w:val="00917FA1"/>
    <w:rsid w:val="009200D5"/>
    <w:rsid w:val="009200E9"/>
    <w:rsid w:val="00920177"/>
    <w:rsid w:val="009201D0"/>
    <w:rsid w:val="009202ED"/>
    <w:rsid w:val="009203C1"/>
    <w:rsid w:val="0092047D"/>
    <w:rsid w:val="00920541"/>
    <w:rsid w:val="00920600"/>
    <w:rsid w:val="0092060C"/>
    <w:rsid w:val="00920867"/>
    <w:rsid w:val="00920A12"/>
    <w:rsid w:val="00920B9C"/>
    <w:rsid w:val="00920C10"/>
    <w:rsid w:val="00920C6B"/>
    <w:rsid w:val="00920C73"/>
    <w:rsid w:val="00920D65"/>
    <w:rsid w:val="00920F0D"/>
    <w:rsid w:val="00920FB5"/>
    <w:rsid w:val="00920FE7"/>
    <w:rsid w:val="00921085"/>
    <w:rsid w:val="00921133"/>
    <w:rsid w:val="00921420"/>
    <w:rsid w:val="0092145F"/>
    <w:rsid w:val="0092167B"/>
    <w:rsid w:val="009217D8"/>
    <w:rsid w:val="009217E6"/>
    <w:rsid w:val="0092181E"/>
    <w:rsid w:val="009218DB"/>
    <w:rsid w:val="00921916"/>
    <w:rsid w:val="0092193D"/>
    <w:rsid w:val="00921B62"/>
    <w:rsid w:val="00921C01"/>
    <w:rsid w:val="00921D57"/>
    <w:rsid w:val="00921E61"/>
    <w:rsid w:val="00921E91"/>
    <w:rsid w:val="009221BB"/>
    <w:rsid w:val="00922281"/>
    <w:rsid w:val="00922353"/>
    <w:rsid w:val="0092247C"/>
    <w:rsid w:val="009224D9"/>
    <w:rsid w:val="0092250D"/>
    <w:rsid w:val="00922536"/>
    <w:rsid w:val="009227AA"/>
    <w:rsid w:val="009227D9"/>
    <w:rsid w:val="0092283A"/>
    <w:rsid w:val="00922850"/>
    <w:rsid w:val="00922851"/>
    <w:rsid w:val="00922882"/>
    <w:rsid w:val="00922894"/>
    <w:rsid w:val="00922AB3"/>
    <w:rsid w:val="00922ABC"/>
    <w:rsid w:val="00922B18"/>
    <w:rsid w:val="00922B46"/>
    <w:rsid w:val="00922B69"/>
    <w:rsid w:val="00922BDE"/>
    <w:rsid w:val="00922D77"/>
    <w:rsid w:val="00922ED4"/>
    <w:rsid w:val="00922EE0"/>
    <w:rsid w:val="00922F89"/>
    <w:rsid w:val="00922F93"/>
    <w:rsid w:val="00923019"/>
    <w:rsid w:val="00923042"/>
    <w:rsid w:val="009230F1"/>
    <w:rsid w:val="0092320E"/>
    <w:rsid w:val="00923264"/>
    <w:rsid w:val="009233E7"/>
    <w:rsid w:val="00923425"/>
    <w:rsid w:val="009234C4"/>
    <w:rsid w:val="009235C6"/>
    <w:rsid w:val="009235EC"/>
    <w:rsid w:val="0092361E"/>
    <w:rsid w:val="00923792"/>
    <w:rsid w:val="009237B4"/>
    <w:rsid w:val="009237DC"/>
    <w:rsid w:val="009237F9"/>
    <w:rsid w:val="0092392E"/>
    <w:rsid w:val="00923BA5"/>
    <w:rsid w:val="00923C8D"/>
    <w:rsid w:val="00923CB2"/>
    <w:rsid w:val="00923D2D"/>
    <w:rsid w:val="00923E63"/>
    <w:rsid w:val="00923E8E"/>
    <w:rsid w:val="00923EAD"/>
    <w:rsid w:val="00923ECE"/>
    <w:rsid w:val="00923FE4"/>
    <w:rsid w:val="00923FE7"/>
    <w:rsid w:val="00923FF7"/>
    <w:rsid w:val="0092407B"/>
    <w:rsid w:val="00924091"/>
    <w:rsid w:val="0092420C"/>
    <w:rsid w:val="00924214"/>
    <w:rsid w:val="00924239"/>
    <w:rsid w:val="00924258"/>
    <w:rsid w:val="0092435E"/>
    <w:rsid w:val="009243DA"/>
    <w:rsid w:val="00924534"/>
    <w:rsid w:val="0092456C"/>
    <w:rsid w:val="00924580"/>
    <w:rsid w:val="00924BA4"/>
    <w:rsid w:val="00924D2E"/>
    <w:rsid w:val="00924D5B"/>
    <w:rsid w:val="00924D80"/>
    <w:rsid w:val="00924E6E"/>
    <w:rsid w:val="00924E81"/>
    <w:rsid w:val="00924EA0"/>
    <w:rsid w:val="00924EB4"/>
    <w:rsid w:val="00924F9F"/>
    <w:rsid w:val="009250E5"/>
    <w:rsid w:val="00925109"/>
    <w:rsid w:val="0092512A"/>
    <w:rsid w:val="00925163"/>
    <w:rsid w:val="0092517B"/>
    <w:rsid w:val="0092519D"/>
    <w:rsid w:val="0092522C"/>
    <w:rsid w:val="0092537C"/>
    <w:rsid w:val="009253DC"/>
    <w:rsid w:val="0092552B"/>
    <w:rsid w:val="009255D0"/>
    <w:rsid w:val="009256AC"/>
    <w:rsid w:val="009256B8"/>
    <w:rsid w:val="009257A7"/>
    <w:rsid w:val="009257C8"/>
    <w:rsid w:val="00925941"/>
    <w:rsid w:val="00925A46"/>
    <w:rsid w:val="00925B2F"/>
    <w:rsid w:val="00925B90"/>
    <w:rsid w:val="00925CFE"/>
    <w:rsid w:val="00925D0C"/>
    <w:rsid w:val="00925D1D"/>
    <w:rsid w:val="00925E0E"/>
    <w:rsid w:val="00925E67"/>
    <w:rsid w:val="00925FAD"/>
    <w:rsid w:val="00926072"/>
    <w:rsid w:val="009260F2"/>
    <w:rsid w:val="00926151"/>
    <w:rsid w:val="00926333"/>
    <w:rsid w:val="00926337"/>
    <w:rsid w:val="00926405"/>
    <w:rsid w:val="0092644C"/>
    <w:rsid w:val="00926509"/>
    <w:rsid w:val="009265E1"/>
    <w:rsid w:val="0092665A"/>
    <w:rsid w:val="00926962"/>
    <w:rsid w:val="009269C5"/>
    <w:rsid w:val="009269F7"/>
    <w:rsid w:val="00926A56"/>
    <w:rsid w:val="00926A76"/>
    <w:rsid w:val="00926AE8"/>
    <w:rsid w:val="00926B10"/>
    <w:rsid w:val="00926C08"/>
    <w:rsid w:val="00926C6B"/>
    <w:rsid w:val="00926C81"/>
    <w:rsid w:val="00926D7A"/>
    <w:rsid w:val="00926DCB"/>
    <w:rsid w:val="00926E9E"/>
    <w:rsid w:val="00926EEA"/>
    <w:rsid w:val="00926FB4"/>
    <w:rsid w:val="0092715E"/>
    <w:rsid w:val="009271AF"/>
    <w:rsid w:val="009271B1"/>
    <w:rsid w:val="00927223"/>
    <w:rsid w:val="0092726D"/>
    <w:rsid w:val="00927272"/>
    <w:rsid w:val="009272AC"/>
    <w:rsid w:val="009272B0"/>
    <w:rsid w:val="009272C7"/>
    <w:rsid w:val="0092734D"/>
    <w:rsid w:val="0092754E"/>
    <w:rsid w:val="0092758F"/>
    <w:rsid w:val="009275D8"/>
    <w:rsid w:val="009276A6"/>
    <w:rsid w:val="0092773E"/>
    <w:rsid w:val="00927891"/>
    <w:rsid w:val="00927A3F"/>
    <w:rsid w:val="00927A6D"/>
    <w:rsid w:val="00927B07"/>
    <w:rsid w:val="00927B74"/>
    <w:rsid w:val="00927BBC"/>
    <w:rsid w:val="00927C1D"/>
    <w:rsid w:val="00927D25"/>
    <w:rsid w:val="00927DA4"/>
    <w:rsid w:val="00927E19"/>
    <w:rsid w:val="00927E95"/>
    <w:rsid w:val="00927F33"/>
    <w:rsid w:val="009301CD"/>
    <w:rsid w:val="0093020B"/>
    <w:rsid w:val="00930243"/>
    <w:rsid w:val="00930248"/>
    <w:rsid w:val="00930261"/>
    <w:rsid w:val="00930335"/>
    <w:rsid w:val="0093035B"/>
    <w:rsid w:val="0093041F"/>
    <w:rsid w:val="009304BB"/>
    <w:rsid w:val="009304C4"/>
    <w:rsid w:val="009305CF"/>
    <w:rsid w:val="009305FF"/>
    <w:rsid w:val="00930610"/>
    <w:rsid w:val="009307BC"/>
    <w:rsid w:val="009308EC"/>
    <w:rsid w:val="00930955"/>
    <w:rsid w:val="009309F4"/>
    <w:rsid w:val="00930BFB"/>
    <w:rsid w:val="00930CAC"/>
    <w:rsid w:val="00930CCD"/>
    <w:rsid w:val="00930E15"/>
    <w:rsid w:val="00930F50"/>
    <w:rsid w:val="00930F5A"/>
    <w:rsid w:val="00930F96"/>
    <w:rsid w:val="00930FC1"/>
    <w:rsid w:val="0093104C"/>
    <w:rsid w:val="009310EE"/>
    <w:rsid w:val="00931136"/>
    <w:rsid w:val="00931191"/>
    <w:rsid w:val="00931209"/>
    <w:rsid w:val="00931235"/>
    <w:rsid w:val="00931261"/>
    <w:rsid w:val="0093129E"/>
    <w:rsid w:val="009312A3"/>
    <w:rsid w:val="0093130E"/>
    <w:rsid w:val="0093131C"/>
    <w:rsid w:val="00931400"/>
    <w:rsid w:val="00931628"/>
    <w:rsid w:val="0093164F"/>
    <w:rsid w:val="009316D7"/>
    <w:rsid w:val="00931755"/>
    <w:rsid w:val="00931781"/>
    <w:rsid w:val="009317A8"/>
    <w:rsid w:val="0093197B"/>
    <w:rsid w:val="009319E8"/>
    <w:rsid w:val="00931A84"/>
    <w:rsid w:val="00931AB5"/>
    <w:rsid w:val="00931B2D"/>
    <w:rsid w:val="00931CB3"/>
    <w:rsid w:val="00931D22"/>
    <w:rsid w:val="00931E4A"/>
    <w:rsid w:val="00931E58"/>
    <w:rsid w:val="00931ECE"/>
    <w:rsid w:val="00931EEF"/>
    <w:rsid w:val="00931EFF"/>
    <w:rsid w:val="00931F9A"/>
    <w:rsid w:val="00931FAC"/>
    <w:rsid w:val="0093212F"/>
    <w:rsid w:val="0093213A"/>
    <w:rsid w:val="00932143"/>
    <w:rsid w:val="009321B8"/>
    <w:rsid w:val="009321BE"/>
    <w:rsid w:val="0093223B"/>
    <w:rsid w:val="009322A5"/>
    <w:rsid w:val="0093231A"/>
    <w:rsid w:val="00932366"/>
    <w:rsid w:val="009323DA"/>
    <w:rsid w:val="009324B4"/>
    <w:rsid w:val="009324BE"/>
    <w:rsid w:val="009324F0"/>
    <w:rsid w:val="009324FD"/>
    <w:rsid w:val="00932715"/>
    <w:rsid w:val="00932893"/>
    <w:rsid w:val="009328A3"/>
    <w:rsid w:val="009328E1"/>
    <w:rsid w:val="00932A07"/>
    <w:rsid w:val="00932AC9"/>
    <w:rsid w:val="00932B19"/>
    <w:rsid w:val="00932B1E"/>
    <w:rsid w:val="00932C21"/>
    <w:rsid w:val="00932C96"/>
    <w:rsid w:val="00932DA9"/>
    <w:rsid w:val="00932E02"/>
    <w:rsid w:val="00932EA3"/>
    <w:rsid w:val="00933072"/>
    <w:rsid w:val="00933078"/>
    <w:rsid w:val="00933116"/>
    <w:rsid w:val="0093317D"/>
    <w:rsid w:val="009331C6"/>
    <w:rsid w:val="00933218"/>
    <w:rsid w:val="0093322C"/>
    <w:rsid w:val="009332EF"/>
    <w:rsid w:val="00933315"/>
    <w:rsid w:val="0093333E"/>
    <w:rsid w:val="0093336F"/>
    <w:rsid w:val="009333D2"/>
    <w:rsid w:val="009335A5"/>
    <w:rsid w:val="009335A9"/>
    <w:rsid w:val="009335AC"/>
    <w:rsid w:val="009335ED"/>
    <w:rsid w:val="00933655"/>
    <w:rsid w:val="009337EA"/>
    <w:rsid w:val="00933953"/>
    <w:rsid w:val="00933A12"/>
    <w:rsid w:val="00933A4E"/>
    <w:rsid w:val="00933AE0"/>
    <w:rsid w:val="00933CED"/>
    <w:rsid w:val="00933CF5"/>
    <w:rsid w:val="00933D3F"/>
    <w:rsid w:val="00933D8D"/>
    <w:rsid w:val="00933E41"/>
    <w:rsid w:val="00933EEB"/>
    <w:rsid w:val="00933F52"/>
    <w:rsid w:val="00934070"/>
    <w:rsid w:val="009340B0"/>
    <w:rsid w:val="009341D4"/>
    <w:rsid w:val="009341E2"/>
    <w:rsid w:val="00934292"/>
    <w:rsid w:val="009342A7"/>
    <w:rsid w:val="00934363"/>
    <w:rsid w:val="00934383"/>
    <w:rsid w:val="009345DC"/>
    <w:rsid w:val="0093467D"/>
    <w:rsid w:val="009346B0"/>
    <w:rsid w:val="009346DD"/>
    <w:rsid w:val="009346E4"/>
    <w:rsid w:val="009346FC"/>
    <w:rsid w:val="00934743"/>
    <w:rsid w:val="0093479E"/>
    <w:rsid w:val="009348CE"/>
    <w:rsid w:val="0093490C"/>
    <w:rsid w:val="009349F4"/>
    <w:rsid w:val="00934A28"/>
    <w:rsid w:val="00934A87"/>
    <w:rsid w:val="00934BDB"/>
    <w:rsid w:val="00934C70"/>
    <w:rsid w:val="00934CB9"/>
    <w:rsid w:val="00934E35"/>
    <w:rsid w:val="00934E3F"/>
    <w:rsid w:val="00934F3B"/>
    <w:rsid w:val="00934F87"/>
    <w:rsid w:val="0093510B"/>
    <w:rsid w:val="00935182"/>
    <w:rsid w:val="00935216"/>
    <w:rsid w:val="00935358"/>
    <w:rsid w:val="00935384"/>
    <w:rsid w:val="0093544D"/>
    <w:rsid w:val="009359B6"/>
    <w:rsid w:val="00935B0A"/>
    <w:rsid w:val="00935B63"/>
    <w:rsid w:val="00935BE9"/>
    <w:rsid w:val="00935C0B"/>
    <w:rsid w:val="00935CC0"/>
    <w:rsid w:val="00935CC5"/>
    <w:rsid w:val="00935DFC"/>
    <w:rsid w:val="00935EA7"/>
    <w:rsid w:val="00935F3D"/>
    <w:rsid w:val="00935F95"/>
    <w:rsid w:val="00936039"/>
    <w:rsid w:val="00936108"/>
    <w:rsid w:val="00936216"/>
    <w:rsid w:val="00936411"/>
    <w:rsid w:val="00936420"/>
    <w:rsid w:val="009364BA"/>
    <w:rsid w:val="0093653C"/>
    <w:rsid w:val="00936543"/>
    <w:rsid w:val="009365E6"/>
    <w:rsid w:val="00936616"/>
    <w:rsid w:val="00936787"/>
    <w:rsid w:val="009367B0"/>
    <w:rsid w:val="009368E1"/>
    <w:rsid w:val="009368F5"/>
    <w:rsid w:val="00936925"/>
    <w:rsid w:val="009369C2"/>
    <w:rsid w:val="009369F8"/>
    <w:rsid w:val="00936A94"/>
    <w:rsid w:val="00936A9F"/>
    <w:rsid w:val="00936BC8"/>
    <w:rsid w:val="00936CD6"/>
    <w:rsid w:val="00936E31"/>
    <w:rsid w:val="00936E75"/>
    <w:rsid w:val="00936F52"/>
    <w:rsid w:val="00936F6E"/>
    <w:rsid w:val="00937077"/>
    <w:rsid w:val="00937176"/>
    <w:rsid w:val="00937182"/>
    <w:rsid w:val="009371D7"/>
    <w:rsid w:val="00937333"/>
    <w:rsid w:val="009374F8"/>
    <w:rsid w:val="009375C9"/>
    <w:rsid w:val="009375E8"/>
    <w:rsid w:val="0093763E"/>
    <w:rsid w:val="0093767E"/>
    <w:rsid w:val="009378A2"/>
    <w:rsid w:val="0093790D"/>
    <w:rsid w:val="00937A88"/>
    <w:rsid w:val="00937B5A"/>
    <w:rsid w:val="00937C23"/>
    <w:rsid w:val="00937CC8"/>
    <w:rsid w:val="00937D6E"/>
    <w:rsid w:val="00937E8E"/>
    <w:rsid w:val="00937ED1"/>
    <w:rsid w:val="00940043"/>
    <w:rsid w:val="00940060"/>
    <w:rsid w:val="009400AB"/>
    <w:rsid w:val="009400B0"/>
    <w:rsid w:val="009400E4"/>
    <w:rsid w:val="00940271"/>
    <w:rsid w:val="0094029F"/>
    <w:rsid w:val="0094033C"/>
    <w:rsid w:val="009403E5"/>
    <w:rsid w:val="0094043A"/>
    <w:rsid w:val="009404CB"/>
    <w:rsid w:val="0094050E"/>
    <w:rsid w:val="0094063D"/>
    <w:rsid w:val="00940649"/>
    <w:rsid w:val="00940679"/>
    <w:rsid w:val="0094082B"/>
    <w:rsid w:val="009409B5"/>
    <w:rsid w:val="00940AB9"/>
    <w:rsid w:val="00940C3A"/>
    <w:rsid w:val="00940CD4"/>
    <w:rsid w:val="00940CDE"/>
    <w:rsid w:val="00940D79"/>
    <w:rsid w:val="00940DBF"/>
    <w:rsid w:val="00940F08"/>
    <w:rsid w:val="00940F51"/>
    <w:rsid w:val="00940FC1"/>
    <w:rsid w:val="00941038"/>
    <w:rsid w:val="00941116"/>
    <w:rsid w:val="00941218"/>
    <w:rsid w:val="009412EA"/>
    <w:rsid w:val="009412FC"/>
    <w:rsid w:val="0094130A"/>
    <w:rsid w:val="009413C1"/>
    <w:rsid w:val="0094147E"/>
    <w:rsid w:val="009414A2"/>
    <w:rsid w:val="009414D9"/>
    <w:rsid w:val="009415DE"/>
    <w:rsid w:val="009415E4"/>
    <w:rsid w:val="0094169A"/>
    <w:rsid w:val="009416FB"/>
    <w:rsid w:val="00941767"/>
    <w:rsid w:val="00941771"/>
    <w:rsid w:val="009417AE"/>
    <w:rsid w:val="00941833"/>
    <w:rsid w:val="009418C7"/>
    <w:rsid w:val="0094199A"/>
    <w:rsid w:val="009419E5"/>
    <w:rsid w:val="00941B21"/>
    <w:rsid w:val="00941B2C"/>
    <w:rsid w:val="00941B38"/>
    <w:rsid w:val="00941BA7"/>
    <w:rsid w:val="00941BC7"/>
    <w:rsid w:val="00941CAF"/>
    <w:rsid w:val="00941D7C"/>
    <w:rsid w:val="00941E3B"/>
    <w:rsid w:val="009420B1"/>
    <w:rsid w:val="00942248"/>
    <w:rsid w:val="00942262"/>
    <w:rsid w:val="0094228F"/>
    <w:rsid w:val="00942621"/>
    <w:rsid w:val="009426F6"/>
    <w:rsid w:val="0094274B"/>
    <w:rsid w:val="009427BE"/>
    <w:rsid w:val="009427FA"/>
    <w:rsid w:val="009428E7"/>
    <w:rsid w:val="00942985"/>
    <w:rsid w:val="009429A1"/>
    <w:rsid w:val="009429F0"/>
    <w:rsid w:val="009429F3"/>
    <w:rsid w:val="00942A93"/>
    <w:rsid w:val="00942AA0"/>
    <w:rsid w:val="00942BAB"/>
    <w:rsid w:val="00942BB8"/>
    <w:rsid w:val="00942BF4"/>
    <w:rsid w:val="00942C12"/>
    <w:rsid w:val="00942C3D"/>
    <w:rsid w:val="00942CE3"/>
    <w:rsid w:val="00942DD3"/>
    <w:rsid w:val="00942DE0"/>
    <w:rsid w:val="00942DF3"/>
    <w:rsid w:val="00942F45"/>
    <w:rsid w:val="00942FFB"/>
    <w:rsid w:val="00943058"/>
    <w:rsid w:val="0094308B"/>
    <w:rsid w:val="0094309C"/>
    <w:rsid w:val="009430A9"/>
    <w:rsid w:val="009432E4"/>
    <w:rsid w:val="00943304"/>
    <w:rsid w:val="00943417"/>
    <w:rsid w:val="0094352D"/>
    <w:rsid w:val="0094355C"/>
    <w:rsid w:val="0094364F"/>
    <w:rsid w:val="009436BE"/>
    <w:rsid w:val="00943763"/>
    <w:rsid w:val="009437C2"/>
    <w:rsid w:val="009437F2"/>
    <w:rsid w:val="00943813"/>
    <w:rsid w:val="0094383E"/>
    <w:rsid w:val="0094393C"/>
    <w:rsid w:val="009439FA"/>
    <w:rsid w:val="00943ABE"/>
    <w:rsid w:val="00943E6F"/>
    <w:rsid w:val="00943E84"/>
    <w:rsid w:val="00943EC1"/>
    <w:rsid w:val="00944047"/>
    <w:rsid w:val="0094409F"/>
    <w:rsid w:val="00944134"/>
    <w:rsid w:val="0094415A"/>
    <w:rsid w:val="0094471D"/>
    <w:rsid w:val="00944780"/>
    <w:rsid w:val="009447B5"/>
    <w:rsid w:val="00944930"/>
    <w:rsid w:val="00944949"/>
    <w:rsid w:val="00944A3A"/>
    <w:rsid w:val="00944B30"/>
    <w:rsid w:val="00944B42"/>
    <w:rsid w:val="00944B44"/>
    <w:rsid w:val="00944C8B"/>
    <w:rsid w:val="00944E6C"/>
    <w:rsid w:val="00944F49"/>
    <w:rsid w:val="0094502E"/>
    <w:rsid w:val="009450BD"/>
    <w:rsid w:val="009450C8"/>
    <w:rsid w:val="0094521A"/>
    <w:rsid w:val="009452FF"/>
    <w:rsid w:val="00945332"/>
    <w:rsid w:val="0094547C"/>
    <w:rsid w:val="0094552D"/>
    <w:rsid w:val="00945555"/>
    <w:rsid w:val="0094565A"/>
    <w:rsid w:val="0094565F"/>
    <w:rsid w:val="009457FA"/>
    <w:rsid w:val="0094582E"/>
    <w:rsid w:val="00945881"/>
    <w:rsid w:val="00945A93"/>
    <w:rsid w:val="00945AB4"/>
    <w:rsid w:val="00945ABB"/>
    <w:rsid w:val="00945AF8"/>
    <w:rsid w:val="00945BA2"/>
    <w:rsid w:val="00945C1D"/>
    <w:rsid w:val="00945DDE"/>
    <w:rsid w:val="00945E06"/>
    <w:rsid w:val="00945ED7"/>
    <w:rsid w:val="00945F92"/>
    <w:rsid w:val="00946031"/>
    <w:rsid w:val="00946034"/>
    <w:rsid w:val="0094609B"/>
    <w:rsid w:val="009460B1"/>
    <w:rsid w:val="009460DF"/>
    <w:rsid w:val="009461BB"/>
    <w:rsid w:val="009461E3"/>
    <w:rsid w:val="00946357"/>
    <w:rsid w:val="009464AD"/>
    <w:rsid w:val="00946570"/>
    <w:rsid w:val="00946709"/>
    <w:rsid w:val="009467AD"/>
    <w:rsid w:val="009467BA"/>
    <w:rsid w:val="009468DC"/>
    <w:rsid w:val="00946C8F"/>
    <w:rsid w:val="00946CFE"/>
    <w:rsid w:val="00946D05"/>
    <w:rsid w:val="00946D90"/>
    <w:rsid w:val="00946DA0"/>
    <w:rsid w:val="00946DC5"/>
    <w:rsid w:val="00946E26"/>
    <w:rsid w:val="00946E38"/>
    <w:rsid w:val="00946EE6"/>
    <w:rsid w:val="00946FCB"/>
    <w:rsid w:val="00947060"/>
    <w:rsid w:val="00947089"/>
    <w:rsid w:val="00947105"/>
    <w:rsid w:val="00947122"/>
    <w:rsid w:val="00947136"/>
    <w:rsid w:val="0094717F"/>
    <w:rsid w:val="00947292"/>
    <w:rsid w:val="009472BC"/>
    <w:rsid w:val="009472DF"/>
    <w:rsid w:val="0094731B"/>
    <w:rsid w:val="00947369"/>
    <w:rsid w:val="00947432"/>
    <w:rsid w:val="00947454"/>
    <w:rsid w:val="0094747D"/>
    <w:rsid w:val="00947560"/>
    <w:rsid w:val="009475BA"/>
    <w:rsid w:val="00947604"/>
    <w:rsid w:val="0094765E"/>
    <w:rsid w:val="00947668"/>
    <w:rsid w:val="009476FA"/>
    <w:rsid w:val="00947743"/>
    <w:rsid w:val="00947759"/>
    <w:rsid w:val="00947815"/>
    <w:rsid w:val="00947824"/>
    <w:rsid w:val="0094782A"/>
    <w:rsid w:val="0094783A"/>
    <w:rsid w:val="0094784F"/>
    <w:rsid w:val="0094788E"/>
    <w:rsid w:val="009478D2"/>
    <w:rsid w:val="00947900"/>
    <w:rsid w:val="0094791C"/>
    <w:rsid w:val="0094797C"/>
    <w:rsid w:val="00947980"/>
    <w:rsid w:val="0094798E"/>
    <w:rsid w:val="00947A2F"/>
    <w:rsid w:val="00947A41"/>
    <w:rsid w:val="00947A91"/>
    <w:rsid w:val="00947B36"/>
    <w:rsid w:val="00947B62"/>
    <w:rsid w:val="00947BE2"/>
    <w:rsid w:val="00947CF8"/>
    <w:rsid w:val="00947D1C"/>
    <w:rsid w:val="00947E65"/>
    <w:rsid w:val="00947E9D"/>
    <w:rsid w:val="00947F50"/>
    <w:rsid w:val="00947F5F"/>
    <w:rsid w:val="00947FAB"/>
    <w:rsid w:val="00947FDC"/>
    <w:rsid w:val="0095026A"/>
    <w:rsid w:val="0095030F"/>
    <w:rsid w:val="009503EE"/>
    <w:rsid w:val="00950478"/>
    <w:rsid w:val="009504CA"/>
    <w:rsid w:val="00950576"/>
    <w:rsid w:val="009505A7"/>
    <w:rsid w:val="0095066D"/>
    <w:rsid w:val="0095067A"/>
    <w:rsid w:val="009506AF"/>
    <w:rsid w:val="009506B6"/>
    <w:rsid w:val="0095070D"/>
    <w:rsid w:val="0095073E"/>
    <w:rsid w:val="009507A7"/>
    <w:rsid w:val="0095084E"/>
    <w:rsid w:val="0095089C"/>
    <w:rsid w:val="0095091A"/>
    <w:rsid w:val="00950AF2"/>
    <w:rsid w:val="00950B42"/>
    <w:rsid w:val="00950B4C"/>
    <w:rsid w:val="00950C92"/>
    <w:rsid w:val="00950CEC"/>
    <w:rsid w:val="00950DEE"/>
    <w:rsid w:val="00950E23"/>
    <w:rsid w:val="00950E5D"/>
    <w:rsid w:val="00950E7E"/>
    <w:rsid w:val="00950FE9"/>
    <w:rsid w:val="0095113B"/>
    <w:rsid w:val="009511FC"/>
    <w:rsid w:val="00951319"/>
    <w:rsid w:val="0095133B"/>
    <w:rsid w:val="009513AA"/>
    <w:rsid w:val="009515F7"/>
    <w:rsid w:val="0095167D"/>
    <w:rsid w:val="009516ED"/>
    <w:rsid w:val="009517D7"/>
    <w:rsid w:val="009517EA"/>
    <w:rsid w:val="009517FD"/>
    <w:rsid w:val="00951801"/>
    <w:rsid w:val="009518CE"/>
    <w:rsid w:val="00951A92"/>
    <w:rsid w:val="00951AD8"/>
    <w:rsid w:val="00951B20"/>
    <w:rsid w:val="00951BA4"/>
    <w:rsid w:val="00951C35"/>
    <w:rsid w:val="00951C77"/>
    <w:rsid w:val="00951ED7"/>
    <w:rsid w:val="00951F61"/>
    <w:rsid w:val="00951FBA"/>
    <w:rsid w:val="0095201C"/>
    <w:rsid w:val="00952093"/>
    <w:rsid w:val="00952107"/>
    <w:rsid w:val="0095216F"/>
    <w:rsid w:val="009521DF"/>
    <w:rsid w:val="0095222A"/>
    <w:rsid w:val="0095222E"/>
    <w:rsid w:val="0095225A"/>
    <w:rsid w:val="009522C9"/>
    <w:rsid w:val="009522EE"/>
    <w:rsid w:val="00952302"/>
    <w:rsid w:val="00952363"/>
    <w:rsid w:val="009524A7"/>
    <w:rsid w:val="009524BF"/>
    <w:rsid w:val="00952558"/>
    <w:rsid w:val="009526C3"/>
    <w:rsid w:val="009526C8"/>
    <w:rsid w:val="00952723"/>
    <w:rsid w:val="0095277E"/>
    <w:rsid w:val="00952795"/>
    <w:rsid w:val="0095288C"/>
    <w:rsid w:val="00952897"/>
    <w:rsid w:val="009528E4"/>
    <w:rsid w:val="00952BF1"/>
    <w:rsid w:val="00952C52"/>
    <w:rsid w:val="00952D0E"/>
    <w:rsid w:val="00952D54"/>
    <w:rsid w:val="00952DE7"/>
    <w:rsid w:val="00952ED9"/>
    <w:rsid w:val="00952FDA"/>
    <w:rsid w:val="009530C8"/>
    <w:rsid w:val="009530E3"/>
    <w:rsid w:val="009531EC"/>
    <w:rsid w:val="00953218"/>
    <w:rsid w:val="0095329D"/>
    <w:rsid w:val="009532F4"/>
    <w:rsid w:val="0095344B"/>
    <w:rsid w:val="00953478"/>
    <w:rsid w:val="00953498"/>
    <w:rsid w:val="0095368C"/>
    <w:rsid w:val="009536CD"/>
    <w:rsid w:val="00953751"/>
    <w:rsid w:val="00953773"/>
    <w:rsid w:val="00953809"/>
    <w:rsid w:val="009538AC"/>
    <w:rsid w:val="00953927"/>
    <w:rsid w:val="00953945"/>
    <w:rsid w:val="00953C07"/>
    <w:rsid w:val="00953C24"/>
    <w:rsid w:val="00953CDD"/>
    <w:rsid w:val="00953D39"/>
    <w:rsid w:val="00953D4B"/>
    <w:rsid w:val="00953DBA"/>
    <w:rsid w:val="00953F63"/>
    <w:rsid w:val="00953FC6"/>
    <w:rsid w:val="009541C0"/>
    <w:rsid w:val="00954286"/>
    <w:rsid w:val="009542D7"/>
    <w:rsid w:val="00954495"/>
    <w:rsid w:val="009544F8"/>
    <w:rsid w:val="00954511"/>
    <w:rsid w:val="00954669"/>
    <w:rsid w:val="0095487C"/>
    <w:rsid w:val="0095490D"/>
    <w:rsid w:val="00954922"/>
    <w:rsid w:val="009549A3"/>
    <w:rsid w:val="00954A28"/>
    <w:rsid w:val="00954B2A"/>
    <w:rsid w:val="00954BFA"/>
    <w:rsid w:val="00954C25"/>
    <w:rsid w:val="00954D15"/>
    <w:rsid w:val="00954D2F"/>
    <w:rsid w:val="00954D56"/>
    <w:rsid w:val="00954F2B"/>
    <w:rsid w:val="00955019"/>
    <w:rsid w:val="009551A2"/>
    <w:rsid w:val="0095526F"/>
    <w:rsid w:val="00955278"/>
    <w:rsid w:val="00955376"/>
    <w:rsid w:val="0095541C"/>
    <w:rsid w:val="0095543D"/>
    <w:rsid w:val="0095547C"/>
    <w:rsid w:val="00955507"/>
    <w:rsid w:val="0095555C"/>
    <w:rsid w:val="0095563C"/>
    <w:rsid w:val="00955742"/>
    <w:rsid w:val="00955853"/>
    <w:rsid w:val="009558C7"/>
    <w:rsid w:val="009558E6"/>
    <w:rsid w:val="00955911"/>
    <w:rsid w:val="00955AFB"/>
    <w:rsid w:val="00955C4C"/>
    <w:rsid w:val="00955CCC"/>
    <w:rsid w:val="00955D0A"/>
    <w:rsid w:val="00955D3E"/>
    <w:rsid w:val="00955E81"/>
    <w:rsid w:val="00955ECF"/>
    <w:rsid w:val="00955FE4"/>
    <w:rsid w:val="00956096"/>
    <w:rsid w:val="009560B9"/>
    <w:rsid w:val="00956115"/>
    <w:rsid w:val="00956242"/>
    <w:rsid w:val="009562BC"/>
    <w:rsid w:val="009562CE"/>
    <w:rsid w:val="009563D4"/>
    <w:rsid w:val="009564A2"/>
    <w:rsid w:val="009564DF"/>
    <w:rsid w:val="00956567"/>
    <w:rsid w:val="009565B4"/>
    <w:rsid w:val="009565BE"/>
    <w:rsid w:val="0095660A"/>
    <w:rsid w:val="00956712"/>
    <w:rsid w:val="00956722"/>
    <w:rsid w:val="00956845"/>
    <w:rsid w:val="0095690E"/>
    <w:rsid w:val="009569F3"/>
    <w:rsid w:val="00956A5B"/>
    <w:rsid w:val="00956A6B"/>
    <w:rsid w:val="00956B04"/>
    <w:rsid w:val="00956C6C"/>
    <w:rsid w:val="00956CBF"/>
    <w:rsid w:val="00956D29"/>
    <w:rsid w:val="00956D39"/>
    <w:rsid w:val="00956DAB"/>
    <w:rsid w:val="00956E40"/>
    <w:rsid w:val="00956F79"/>
    <w:rsid w:val="00956FCB"/>
    <w:rsid w:val="0095701C"/>
    <w:rsid w:val="00957050"/>
    <w:rsid w:val="0095709F"/>
    <w:rsid w:val="00957131"/>
    <w:rsid w:val="0095718A"/>
    <w:rsid w:val="00957220"/>
    <w:rsid w:val="00957225"/>
    <w:rsid w:val="0095725F"/>
    <w:rsid w:val="009572AD"/>
    <w:rsid w:val="0095739E"/>
    <w:rsid w:val="009573EB"/>
    <w:rsid w:val="0095740A"/>
    <w:rsid w:val="00957471"/>
    <w:rsid w:val="00957478"/>
    <w:rsid w:val="009574FF"/>
    <w:rsid w:val="00957559"/>
    <w:rsid w:val="009575B1"/>
    <w:rsid w:val="009575D2"/>
    <w:rsid w:val="009576BE"/>
    <w:rsid w:val="0095786C"/>
    <w:rsid w:val="00957939"/>
    <w:rsid w:val="009579E2"/>
    <w:rsid w:val="00957A8D"/>
    <w:rsid w:val="00957B37"/>
    <w:rsid w:val="00957CC4"/>
    <w:rsid w:val="00957CD0"/>
    <w:rsid w:val="00957DE4"/>
    <w:rsid w:val="00957E6B"/>
    <w:rsid w:val="00957E94"/>
    <w:rsid w:val="00957FDB"/>
    <w:rsid w:val="00960092"/>
    <w:rsid w:val="0096017B"/>
    <w:rsid w:val="00960201"/>
    <w:rsid w:val="00960226"/>
    <w:rsid w:val="00960232"/>
    <w:rsid w:val="009602FB"/>
    <w:rsid w:val="00960323"/>
    <w:rsid w:val="009603F6"/>
    <w:rsid w:val="00960485"/>
    <w:rsid w:val="009606CD"/>
    <w:rsid w:val="0096083F"/>
    <w:rsid w:val="009608F3"/>
    <w:rsid w:val="009609C8"/>
    <w:rsid w:val="009609D9"/>
    <w:rsid w:val="009609F8"/>
    <w:rsid w:val="00960A61"/>
    <w:rsid w:val="00960ADB"/>
    <w:rsid w:val="00960B02"/>
    <w:rsid w:val="00960B94"/>
    <w:rsid w:val="00960BDC"/>
    <w:rsid w:val="00960BFB"/>
    <w:rsid w:val="00960C50"/>
    <w:rsid w:val="00960CD8"/>
    <w:rsid w:val="00960CF4"/>
    <w:rsid w:val="00960DAF"/>
    <w:rsid w:val="00960DCA"/>
    <w:rsid w:val="00960E14"/>
    <w:rsid w:val="00960EA4"/>
    <w:rsid w:val="00960EFA"/>
    <w:rsid w:val="00960F24"/>
    <w:rsid w:val="00960FE2"/>
    <w:rsid w:val="009610FA"/>
    <w:rsid w:val="0096110A"/>
    <w:rsid w:val="0096114C"/>
    <w:rsid w:val="00961173"/>
    <w:rsid w:val="00961185"/>
    <w:rsid w:val="00961299"/>
    <w:rsid w:val="0096139E"/>
    <w:rsid w:val="009613FD"/>
    <w:rsid w:val="00961438"/>
    <w:rsid w:val="00961442"/>
    <w:rsid w:val="0096154F"/>
    <w:rsid w:val="00961646"/>
    <w:rsid w:val="009616FC"/>
    <w:rsid w:val="00961759"/>
    <w:rsid w:val="00961770"/>
    <w:rsid w:val="00961812"/>
    <w:rsid w:val="00961998"/>
    <w:rsid w:val="009619A5"/>
    <w:rsid w:val="00961B78"/>
    <w:rsid w:val="00961B9A"/>
    <w:rsid w:val="00961BFD"/>
    <w:rsid w:val="00961CA8"/>
    <w:rsid w:val="00961CD8"/>
    <w:rsid w:val="00961DBE"/>
    <w:rsid w:val="00961E1D"/>
    <w:rsid w:val="00961E4D"/>
    <w:rsid w:val="00961F11"/>
    <w:rsid w:val="0096208A"/>
    <w:rsid w:val="009620B5"/>
    <w:rsid w:val="009620B6"/>
    <w:rsid w:val="0096217A"/>
    <w:rsid w:val="009621A8"/>
    <w:rsid w:val="009621B3"/>
    <w:rsid w:val="009622B2"/>
    <w:rsid w:val="009622D6"/>
    <w:rsid w:val="009622E7"/>
    <w:rsid w:val="009623E1"/>
    <w:rsid w:val="009623E4"/>
    <w:rsid w:val="009623F4"/>
    <w:rsid w:val="009624CE"/>
    <w:rsid w:val="0096262B"/>
    <w:rsid w:val="00962696"/>
    <w:rsid w:val="009626B7"/>
    <w:rsid w:val="009626E4"/>
    <w:rsid w:val="0096272F"/>
    <w:rsid w:val="00962771"/>
    <w:rsid w:val="0096290D"/>
    <w:rsid w:val="00962927"/>
    <w:rsid w:val="009629B4"/>
    <w:rsid w:val="00962A24"/>
    <w:rsid w:val="00962A74"/>
    <w:rsid w:val="00962A7D"/>
    <w:rsid w:val="00962AD5"/>
    <w:rsid w:val="00962B00"/>
    <w:rsid w:val="00962B42"/>
    <w:rsid w:val="00962C58"/>
    <w:rsid w:val="00962CBD"/>
    <w:rsid w:val="00962D23"/>
    <w:rsid w:val="00962DDF"/>
    <w:rsid w:val="00962DFB"/>
    <w:rsid w:val="00962F0D"/>
    <w:rsid w:val="00962F15"/>
    <w:rsid w:val="0096307F"/>
    <w:rsid w:val="00963153"/>
    <w:rsid w:val="009631D9"/>
    <w:rsid w:val="009631E7"/>
    <w:rsid w:val="00963286"/>
    <w:rsid w:val="009632B4"/>
    <w:rsid w:val="00963433"/>
    <w:rsid w:val="0096348C"/>
    <w:rsid w:val="00963532"/>
    <w:rsid w:val="0096357D"/>
    <w:rsid w:val="009635B1"/>
    <w:rsid w:val="009635EC"/>
    <w:rsid w:val="00963634"/>
    <w:rsid w:val="00963659"/>
    <w:rsid w:val="009636BF"/>
    <w:rsid w:val="009636E5"/>
    <w:rsid w:val="00963749"/>
    <w:rsid w:val="0096379E"/>
    <w:rsid w:val="00963870"/>
    <w:rsid w:val="009638FF"/>
    <w:rsid w:val="0096399C"/>
    <w:rsid w:val="00963AAA"/>
    <w:rsid w:val="00963B23"/>
    <w:rsid w:val="00963B66"/>
    <w:rsid w:val="00963B73"/>
    <w:rsid w:val="00963CA3"/>
    <w:rsid w:val="00963E3F"/>
    <w:rsid w:val="00963F6B"/>
    <w:rsid w:val="00964088"/>
    <w:rsid w:val="0096409F"/>
    <w:rsid w:val="009640F0"/>
    <w:rsid w:val="0096420C"/>
    <w:rsid w:val="0096432C"/>
    <w:rsid w:val="0096432D"/>
    <w:rsid w:val="00964345"/>
    <w:rsid w:val="009643DA"/>
    <w:rsid w:val="0096442C"/>
    <w:rsid w:val="00964431"/>
    <w:rsid w:val="0096453D"/>
    <w:rsid w:val="009645A6"/>
    <w:rsid w:val="009645EA"/>
    <w:rsid w:val="009646F4"/>
    <w:rsid w:val="009646F8"/>
    <w:rsid w:val="00964714"/>
    <w:rsid w:val="00964737"/>
    <w:rsid w:val="009647D4"/>
    <w:rsid w:val="009647E0"/>
    <w:rsid w:val="00964819"/>
    <w:rsid w:val="0096481A"/>
    <w:rsid w:val="00964B1C"/>
    <w:rsid w:val="00964B2B"/>
    <w:rsid w:val="00964CC3"/>
    <w:rsid w:val="00964CD3"/>
    <w:rsid w:val="00964D21"/>
    <w:rsid w:val="00964DDF"/>
    <w:rsid w:val="00964E02"/>
    <w:rsid w:val="00964E14"/>
    <w:rsid w:val="00964EA3"/>
    <w:rsid w:val="00964F48"/>
    <w:rsid w:val="009650D3"/>
    <w:rsid w:val="009650E1"/>
    <w:rsid w:val="009650E9"/>
    <w:rsid w:val="0096513A"/>
    <w:rsid w:val="0096514F"/>
    <w:rsid w:val="009652B1"/>
    <w:rsid w:val="00965618"/>
    <w:rsid w:val="0096563A"/>
    <w:rsid w:val="009656AC"/>
    <w:rsid w:val="00965773"/>
    <w:rsid w:val="009657D4"/>
    <w:rsid w:val="009658A4"/>
    <w:rsid w:val="009658C6"/>
    <w:rsid w:val="009658CE"/>
    <w:rsid w:val="00965A56"/>
    <w:rsid w:val="00965B1B"/>
    <w:rsid w:val="00965B3C"/>
    <w:rsid w:val="00965BAF"/>
    <w:rsid w:val="00965C16"/>
    <w:rsid w:val="00965E38"/>
    <w:rsid w:val="00965F29"/>
    <w:rsid w:val="009661F7"/>
    <w:rsid w:val="00966230"/>
    <w:rsid w:val="0096623E"/>
    <w:rsid w:val="0096624C"/>
    <w:rsid w:val="00966257"/>
    <w:rsid w:val="0096630C"/>
    <w:rsid w:val="00966323"/>
    <w:rsid w:val="009663E8"/>
    <w:rsid w:val="0096646A"/>
    <w:rsid w:val="0096656A"/>
    <w:rsid w:val="0096667A"/>
    <w:rsid w:val="00966714"/>
    <w:rsid w:val="0096687B"/>
    <w:rsid w:val="00966956"/>
    <w:rsid w:val="00966997"/>
    <w:rsid w:val="009669BF"/>
    <w:rsid w:val="00966B3A"/>
    <w:rsid w:val="00966BA5"/>
    <w:rsid w:val="00966C55"/>
    <w:rsid w:val="00966C8D"/>
    <w:rsid w:val="00966CB6"/>
    <w:rsid w:val="00966D1A"/>
    <w:rsid w:val="009670C1"/>
    <w:rsid w:val="009671A4"/>
    <w:rsid w:val="00967206"/>
    <w:rsid w:val="00967225"/>
    <w:rsid w:val="00967278"/>
    <w:rsid w:val="0096729D"/>
    <w:rsid w:val="009672B9"/>
    <w:rsid w:val="009672F9"/>
    <w:rsid w:val="009674F6"/>
    <w:rsid w:val="00967528"/>
    <w:rsid w:val="0096752C"/>
    <w:rsid w:val="00967541"/>
    <w:rsid w:val="00967705"/>
    <w:rsid w:val="0096771C"/>
    <w:rsid w:val="0096773E"/>
    <w:rsid w:val="009677E0"/>
    <w:rsid w:val="00967829"/>
    <w:rsid w:val="009678BB"/>
    <w:rsid w:val="009678C2"/>
    <w:rsid w:val="009678FC"/>
    <w:rsid w:val="00967945"/>
    <w:rsid w:val="0096794D"/>
    <w:rsid w:val="00967987"/>
    <w:rsid w:val="0096798A"/>
    <w:rsid w:val="009679A9"/>
    <w:rsid w:val="00967A02"/>
    <w:rsid w:val="00967B2C"/>
    <w:rsid w:val="00967C0D"/>
    <w:rsid w:val="00967C5C"/>
    <w:rsid w:val="00967D2A"/>
    <w:rsid w:val="00967D36"/>
    <w:rsid w:val="00967DC6"/>
    <w:rsid w:val="00967E1E"/>
    <w:rsid w:val="00967EB8"/>
    <w:rsid w:val="00967F1F"/>
    <w:rsid w:val="00967FE3"/>
    <w:rsid w:val="0097009B"/>
    <w:rsid w:val="009700C4"/>
    <w:rsid w:val="00970107"/>
    <w:rsid w:val="009701F9"/>
    <w:rsid w:val="00970412"/>
    <w:rsid w:val="0097043E"/>
    <w:rsid w:val="0097048C"/>
    <w:rsid w:val="009704ED"/>
    <w:rsid w:val="0097059B"/>
    <w:rsid w:val="009705AA"/>
    <w:rsid w:val="009707AD"/>
    <w:rsid w:val="00970815"/>
    <w:rsid w:val="0097094A"/>
    <w:rsid w:val="00970958"/>
    <w:rsid w:val="0097095A"/>
    <w:rsid w:val="0097095E"/>
    <w:rsid w:val="00970A04"/>
    <w:rsid w:val="00970B51"/>
    <w:rsid w:val="00970B9B"/>
    <w:rsid w:val="00970BCD"/>
    <w:rsid w:val="00970D3B"/>
    <w:rsid w:val="00970D81"/>
    <w:rsid w:val="00970E26"/>
    <w:rsid w:val="00970E56"/>
    <w:rsid w:val="00970F11"/>
    <w:rsid w:val="00970F4E"/>
    <w:rsid w:val="00970FDD"/>
    <w:rsid w:val="00970FEF"/>
    <w:rsid w:val="00971002"/>
    <w:rsid w:val="0097101D"/>
    <w:rsid w:val="009710C1"/>
    <w:rsid w:val="009710E1"/>
    <w:rsid w:val="00971159"/>
    <w:rsid w:val="0097124F"/>
    <w:rsid w:val="00971377"/>
    <w:rsid w:val="0097142D"/>
    <w:rsid w:val="0097144F"/>
    <w:rsid w:val="0097163F"/>
    <w:rsid w:val="0097164B"/>
    <w:rsid w:val="00971909"/>
    <w:rsid w:val="0097194B"/>
    <w:rsid w:val="00971952"/>
    <w:rsid w:val="0097197E"/>
    <w:rsid w:val="00971ABA"/>
    <w:rsid w:val="00971AEC"/>
    <w:rsid w:val="00971B08"/>
    <w:rsid w:val="00971B51"/>
    <w:rsid w:val="00971B81"/>
    <w:rsid w:val="00971C04"/>
    <w:rsid w:val="00971C37"/>
    <w:rsid w:val="00971CB5"/>
    <w:rsid w:val="00971DD0"/>
    <w:rsid w:val="00971E0C"/>
    <w:rsid w:val="00971EEE"/>
    <w:rsid w:val="00971F6F"/>
    <w:rsid w:val="00971F95"/>
    <w:rsid w:val="009720D0"/>
    <w:rsid w:val="00972283"/>
    <w:rsid w:val="0097233E"/>
    <w:rsid w:val="009723BA"/>
    <w:rsid w:val="00972478"/>
    <w:rsid w:val="009724E9"/>
    <w:rsid w:val="009727E9"/>
    <w:rsid w:val="009727F4"/>
    <w:rsid w:val="00972827"/>
    <w:rsid w:val="00972862"/>
    <w:rsid w:val="00972A39"/>
    <w:rsid w:val="00972AC2"/>
    <w:rsid w:val="00972AC5"/>
    <w:rsid w:val="00972B06"/>
    <w:rsid w:val="00972B8B"/>
    <w:rsid w:val="00972C08"/>
    <w:rsid w:val="00972CAE"/>
    <w:rsid w:val="00972D46"/>
    <w:rsid w:val="00972ECB"/>
    <w:rsid w:val="00972F34"/>
    <w:rsid w:val="0097303A"/>
    <w:rsid w:val="00973090"/>
    <w:rsid w:val="0097316D"/>
    <w:rsid w:val="0097321B"/>
    <w:rsid w:val="00973229"/>
    <w:rsid w:val="00973292"/>
    <w:rsid w:val="00973299"/>
    <w:rsid w:val="009732E2"/>
    <w:rsid w:val="00973354"/>
    <w:rsid w:val="0097335B"/>
    <w:rsid w:val="009733A0"/>
    <w:rsid w:val="009733D5"/>
    <w:rsid w:val="009733E6"/>
    <w:rsid w:val="00973465"/>
    <w:rsid w:val="00973549"/>
    <w:rsid w:val="009735FC"/>
    <w:rsid w:val="0097366B"/>
    <w:rsid w:val="009736E3"/>
    <w:rsid w:val="00973735"/>
    <w:rsid w:val="00973749"/>
    <w:rsid w:val="009738E4"/>
    <w:rsid w:val="009739A4"/>
    <w:rsid w:val="00973A8D"/>
    <w:rsid w:val="00973A93"/>
    <w:rsid w:val="00973C05"/>
    <w:rsid w:val="00973D74"/>
    <w:rsid w:val="00973E2C"/>
    <w:rsid w:val="00973EE8"/>
    <w:rsid w:val="00973EEB"/>
    <w:rsid w:val="00973F2A"/>
    <w:rsid w:val="00973FC9"/>
    <w:rsid w:val="00974099"/>
    <w:rsid w:val="009740A2"/>
    <w:rsid w:val="00974123"/>
    <w:rsid w:val="009741DE"/>
    <w:rsid w:val="0097430C"/>
    <w:rsid w:val="0097430E"/>
    <w:rsid w:val="00974391"/>
    <w:rsid w:val="009743A5"/>
    <w:rsid w:val="009743B3"/>
    <w:rsid w:val="0097452F"/>
    <w:rsid w:val="00974721"/>
    <w:rsid w:val="00974A29"/>
    <w:rsid w:val="00974A62"/>
    <w:rsid w:val="00974B32"/>
    <w:rsid w:val="00974CCB"/>
    <w:rsid w:val="00974D91"/>
    <w:rsid w:val="00974E22"/>
    <w:rsid w:val="00974E64"/>
    <w:rsid w:val="00974E9B"/>
    <w:rsid w:val="00974EAD"/>
    <w:rsid w:val="00974F1A"/>
    <w:rsid w:val="00974F43"/>
    <w:rsid w:val="00974F4B"/>
    <w:rsid w:val="0097501B"/>
    <w:rsid w:val="00975176"/>
    <w:rsid w:val="009751FA"/>
    <w:rsid w:val="0097520A"/>
    <w:rsid w:val="00975215"/>
    <w:rsid w:val="0097521B"/>
    <w:rsid w:val="0097528E"/>
    <w:rsid w:val="009752D4"/>
    <w:rsid w:val="009752FE"/>
    <w:rsid w:val="0097532D"/>
    <w:rsid w:val="009753AA"/>
    <w:rsid w:val="009753F8"/>
    <w:rsid w:val="00975456"/>
    <w:rsid w:val="009755CF"/>
    <w:rsid w:val="00975625"/>
    <w:rsid w:val="00975656"/>
    <w:rsid w:val="009756D2"/>
    <w:rsid w:val="009756F8"/>
    <w:rsid w:val="00975773"/>
    <w:rsid w:val="0097580A"/>
    <w:rsid w:val="0097580E"/>
    <w:rsid w:val="0097584B"/>
    <w:rsid w:val="00975908"/>
    <w:rsid w:val="00975921"/>
    <w:rsid w:val="00975958"/>
    <w:rsid w:val="0097598C"/>
    <w:rsid w:val="009759D8"/>
    <w:rsid w:val="00975A8C"/>
    <w:rsid w:val="00975B23"/>
    <w:rsid w:val="00975BE0"/>
    <w:rsid w:val="00975BED"/>
    <w:rsid w:val="00975D32"/>
    <w:rsid w:val="00975D33"/>
    <w:rsid w:val="00975D67"/>
    <w:rsid w:val="00975D6C"/>
    <w:rsid w:val="0097610E"/>
    <w:rsid w:val="00976209"/>
    <w:rsid w:val="00976362"/>
    <w:rsid w:val="0097648D"/>
    <w:rsid w:val="00976519"/>
    <w:rsid w:val="00976557"/>
    <w:rsid w:val="0097664F"/>
    <w:rsid w:val="0097665F"/>
    <w:rsid w:val="009768CE"/>
    <w:rsid w:val="0097696B"/>
    <w:rsid w:val="0097696E"/>
    <w:rsid w:val="009769C0"/>
    <w:rsid w:val="00976AFA"/>
    <w:rsid w:val="00976BBA"/>
    <w:rsid w:val="00976C25"/>
    <w:rsid w:val="00976CEC"/>
    <w:rsid w:val="00976D04"/>
    <w:rsid w:val="00976D69"/>
    <w:rsid w:val="00976D7F"/>
    <w:rsid w:val="00976D90"/>
    <w:rsid w:val="00976D9D"/>
    <w:rsid w:val="00976E8A"/>
    <w:rsid w:val="00976EFF"/>
    <w:rsid w:val="00976FEE"/>
    <w:rsid w:val="00976FF4"/>
    <w:rsid w:val="00977086"/>
    <w:rsid w:val="009771DB"/>
    <w:rsid w:val="00977229"/>
    <w:rsid w:val="00977364"/>
    <w:rsid w:val="009773AD"/>
    <w:rsid w:val="009773B2"/>
    <w:rsid w:val="00977448"/>
    <w:rsid w:val="00977496"/>
    <w:rsid w:val="00977508"/>
    <w:rsid w:val="00977528"/>
    <w:rsid w:val="00977559"/>
    <w:rsid w:val="00977699"/>
    <w:rsid w:val="009777CA"/>
    <w:rsid w:val="0097780A"/>
    <w:rsid w:val="00977820"/>
    <w:rsid w:val="0097799D"/>
    <w:rsid w:val="00977B39"/>
    <w:rsid w:val="00977B5D"/>
    <w:rsid w:val="00977BEF"/>
    <w:rsid w:val="00977C24"/>
    <w:rsid w:val="00977C8A"/>
    <w:rsid w:val="00977CF4"/>
    <w:rsid w:val="00977D11"/>
    <w:rsid w:val="00977D94"/>
    <w:rsid w:val="00977DD0"/>
    <w:rsid w:val="00977E4D"/>
    <w:rsid w:val="00977EB6"/>
    <w:rsid w:val="00977EB8"/>
    <w:rsid w:val="00977EF7"/>
    <w:rsid w:val="009800C2"/>
    <w:rsid w:val="009801C1"/>
    <w:rsid w:val="009801D9"/>
    <w:rsid w:val="00980392"/>
    <w:rsid w:val="009803AC"/>
    <w:rsid w:val="009803D6"/>
    <w:rsid w:val="00980424"/>
    <w:rsid w:val="00980593"/>
    <w:rsid w:val="0098060E"/>
    <w:rsid w:val="00980759"/>
    <w:rsid w:val="009807BA"/>
    <w:rsid w:val="009807DF"/>
    <w:rsid w:val="0098085D"/>
    <w:rsid w:val="00980862"/>
    <w:rsid w:val="009809B7"/>
    <w:rsid w:val="00980B49"/>
    <w:rsid w:val="00980BD4"/>
    <w:rsid w:val="00980BF8"/>
    <w:rsid w:val="00980D05"/>
    <w:rsid w:val="00980D15"/>
    <w:rsid w:val="00980D68"/>
    <w:rsid w:val="00980DFB"/>
    <w:rsid w:val="00980EAC"/>
    <w:rsid w:val="00980F71"/>
    <w:rsid w:val="00980FD1"/>
    <w:rsid w:val="00981101"/>
    <w:rsid w:val="00981151"/>
    <w:rsid w:val="0098115A"/>
    <w:rsid w:val="0098115E"/>
    <w:rsid w:val="009811F5"/>
    <w:rsid w:val="00981222"/>
    <w:rsid w:val="009812E0"/>
    <w:rsid w:val="00981312"/>
    <w:rsid w:val="00981365"/>
    <w:rsid w:val="009813C7"/>
    <w:rsid w:val="0098146C"/>
    <w:rsid w:val="009814A4"/>
    <w:rsid w:val="00981501"/>
    <w:rsid w:val="009815BD"/>
    <w:rsid w:val="00981642"/>
    <w:rsid w:val="00981655"/>
    <w:rsid w:val="00981689"/>
    <w:rsid w:val="0098178A"/>
    <w:rsid w:val="009818A4"/>
    <w:rsid w:val="0098191A"/>
    <w:rsid w:val="00981A6A"/>
    <w:rsid w:val="00981A73"/>
    <w:rsid w:val="00981AFD"/>
    <w:rsid w:val="00981D12"/>
    <w:rsid w:val="00981EA6"/>
    <w:rsid w:val="00981F62"/>
    <w:rsid w:val="00982300"/>
    <w:rsid w:val="00982498"/>
    <w:rsid w:val="009824D4"/>
    <w:rsid w:val="009824DA"/>
    <w:rsid w:val="009825A2"/>
    <w:rsid w:val="009825DD"/>
    <w:rsid w:val="009826B0"/>
    <w:rsid w:val="009826BD"/>
    <w:rsid w:val="009826FC"/>
    <w:rsid w:val="0098271C"/>
    <w:rsid w:val="0098273C"/>
    <w:rsid w:val="00982750"/>
    <w:rsid w:val="00982770"/>
    <w:rsid w:val="009827F7"/>
    <w:rsid w:val="00982955"/>
    <w:rsid w:val="009829CF"/>
    <w:rsid w:val="00982BD7"/>
    <w:rsid w:val="00982C3F"/>
    <w:rsid w:val="00982D3B"/>
    <w:rsid w:val="00982F4A"/>
    <w:rsid w:val="00983011"/>
    <w:rsid w:val="009830B1"/>
    <w:rsid w:val="009830D8"/>
    <w:rsid w:val="00983138"/>
    <w:rsid w:val="00983177"/>
    <w:rsid w:val="009831D9"/>
    <w:rsid w:val="009832F3"/>
    <w:rsid w:val="009833B3"/>
    <w:rsid w:val="0098343C"/>
    <w:rsid w:val="0098357B"/>
    <w:rsid w:val="00983717"/>
    <w:rsid w:val="009837F7"/>
    <w:rsid w:val="009838C1"/>
    <w:rsid w:val="009839B7"/>
    <w:rsid w:val="009839D7"/>
    <w:rsid w:val="00983A79"/>
    <w:rsid w:val="00983AD3"/>
    <w:rsid w:val="00983B00"/>
    <w:rsid w:val="00983B18"/>
    <w:rsid w:val="00983B83"/>
    <w:rsid w:val="00983BF6"/>
    <w:rsid w:val="00983C09"/>
    <w:rsid w:val="00983CFD"/>
    <w:rsid w:val="00983D0F"/>
    <w:rsid w:val="00983D1C"/>
    <w:rsid w:val="00983D6E"/>
    <w:rsid w:val="00983DBD"/>
    <w:rsid w:val="00983DE0"/>
    <w:rsid w:val="00984048"/>
    <w:rsid w:val="009840F2"/>
    <w:rsid w:val="009843D6"/>
    <w:rsid w:val="0098440B"/>
    <w:rsid w:val="0098456C"/>
    <w:rsid w:val="009845B2"/>
    <w:rsid w:val="0098475E"/>
    <w:rsid w:val="009847AC"/>
    <w:rsid w:val="00984879"/>
    <w:rsid w:val="009848F2"/>
    <w:rsid w:val="009849B1"/>
    <w:rsid w:val="00984A77"/>
    <w:rsid w:val="00984AFB"/>
    <w:rsid w:val="00984B28"/>
    <w:rsid w:val="00984B4B"/>
    <w:rsid w:val="00984D56"/>
    <w:rsid w:val="00984D81"/>
    <w:rsid w:val="00984D87"/>
    <w:rsid w:val="00984E0B"/>
    <w:rsid w:val="00984E59"/>
    <w:rsid w:val="00984E94"/>
    <w:rsid w:val="00984EA1"/>
    <w:rsid w:val="00984EFD"/>
    <w:rsid w:val="00984F31"/>
    <w:rsid w:val="00984F96"/>
    <w:rsid w:val="00984FAB"/>
    <w:rsid w:val="009850CC"/>
    <w:rsid w:val="009851C3"/>
    <w:rsid w:val="0098524B"/>
    <w:rsid w:val="009852B3"/>
    <w:rsid w:val="009852CC"/>
    <w:rsid w:val="0098532E"/>
    <w:rsid w:val="009853C9"/>
    <w:rsid w:val="009853D2"/>
    <w:rsid w:val="009854A1"/>
    <w:rsid w:val="00985514"/>
    <w:rsid w:val="0098551B"/>
    <w:rsid w:val="009855F0"/>
    <w:rsid w:val="009856A3"/>
    <w:rsid w:val="009857DE"/>
    <w:rsid w:val="009857EC"/>
    <w:rsid w:val="00985828"/>
    <w:rsid w:val="0098585E"/>
    <w:rsid w:val="0098589B"/>
    <w:rsid w:val="009858EE"/>
    <w:rsid w:val="009858FC"/>
    <w:rsid w:val="00985955"/>
    <w:rsid w:val="00985A4A"/>
    <w:rsid w:val="00985A6E"/>
    <w:rsid w:val="00985AD8"/>
    <w:rsid w:val="00985BCE"/>
    <w:rsid w:val="00985CCD"/>
    <w:rsid w:val="00985E4E"/>
    <w:rsid w:val="00985E98"/>
    <w:rsid w:val="00985ED7"/>
    <w:rsid w:val="00985F19"/>
    <w:rsid w:val="00985FBC"/>
    <w:rsid w:val="009860DD"/>
    <w:rsid w:val="00986135"/>
    <w:rsid w:val="009863F4"/>
    <w:rsid w:val="0098645A"/>
    <w:rsid w:val="009864A4"/>
    <w:rsid w:val="00986595"/>
    <w:rsid w:val="0098661B"/>
    <w:rsid w:val="00986665"/>
    <w:rsid w:val="0098667C"/>
    <w:rsid w:val="00986781"/>
    <w:rsid w:val="009867B7"/>
    <w:rsid w:val="00986809"/>
    <w:rsid w:val="00986810"/>
    <w:rsid w:val="00986942"/>
    <w:rsid w:val="0098699B"/>
    <w:rsid w:val="009869B4"/>
    <w:rsid w:val="00986C3D"/>
    <w:rsid w:val="00986CF8"/>
    <w:rsid w:val="00986E65"/>
    <w:rsid w:val="00986E7D"/>
    <w:rsid w:val="00986EAC"/>
    <w:rsid w:val="00986EB5"/>
    <w:rsid w:val="00986EDF"/>
    <w:rsid w:val="00986FFE"/>
    <w:rsid w:val="00987096"/>
    <w:rsid w:val="009870AF"/>
    <w:rsid w:val="00987182"/>
    <w:rsid w:val="0098729A"/>
    <w:rsid w:val="009872A1"/>
    <w:rsid w:val="009872AA"/>
    <w:rsid w:val="009872AC"/>
    <w:rsid w:val="00987374"/>
    <w:rsid w:val="0098741C"/>
    <w:rsid w:val="00987470"/>
    <w:rsid w:val="00987477"/>
    <w:rsid w:val="0098754A"/>
    <w:rsid w:val="00987553"/>
    <w:rsid w:val="009875BD"/>
    <w:rsid w:val="00987686"/>
    <w:rsid w:val="009876D2"/>
    <w:rsid w:val="00987705"/>
    <w:rsid w:val="009877D7"/>
    <w:rsid w:val="00987836"/>
    <w:rsid w:val="00987949"/>
    <w:rsid w:val="009879E3"/>
    <w:rsid w:val="00987B09"/>
    <w:rsid w:val="00987BBE"/>
    <w:rsid w:val="00987CDA"/>
    <w:rsid w:val="00987DCE"/>
    <w:rsid w:val="00987DEC"/>
    <w:rsid w:val="00987EE8"/>
    <w:rsid w:val="00987F7D"/>
    <w:rsid w:val="00990024"/>
    <w:rsid w:val="00990034"/>
    <w:rsid w:val="0099007E"/>
    <w:rsid w:val="00990089"/>
    <w:rsid w:val="009902F8"/>
    <w:rsid w:val="00990454"/>
    <w:rsid w:val="00990462"/>
    <w:rsid w:val="0099049B"/>
    <w:rsid w:val="009905A4"/>
    <w:rsid w:val="00990606"/>
    <w:rsid w:val="0099061D"/>
    <w:rsid w:val="009907AC"/>
    <w:rsid w:val="0099080C"/>
    <w:rsid w:val="00990816"/>
    <w:rsid w:val="00990817"/>
    <w:rsid w:val="009908B8"/>
    <w:rsid w:val="00990A49"/>
    <w:rsid w:val="00990A51"/>
    <w:rsid w:val="00990AB8"/>
    <w:rsid w:val="00990C6E"/>
    <w:rsid w:val="00990D3B"/>
    <w:rsid w:val="00990D60"/>
    <w:rsid w:val="00990D7F"/>
    <w:rsid w:val="00990EF4"/>
    <w:rsid w:val="00990F36"/>
    <w:rsid w:val="00990FC7"/>
    <w:rsid w:val="00990FE9"/>
    <w:rsid w:val="00991020"/>
    <w:rsid w:val="0099102B"/>
    <w:rsid w:val="00991034"/>
    <w:rsid w:val="0099103A"/>
    <w:rsid w:val="00991130"/>
    <w:rsid w:val="00991145"/>
    <w:rsid w:val="00991162"/>
    <w:rsid w:val="0099117F"/>
    <w:rsid w:val="009911F3"/>
    <w:rsid w:val="0099122B"/>
    <w:rsid w:val="009912CE"/>
    <w:rsid w:val="0099131A"/>
    <w:rsid w:val="0099165C"/>
    <w:rsid w:val="0099167E"/>
    <w:rsid w:val="00991743"/>
    <w:rsid w:val="00991843"/>
    <w:rsid w:val="00991891"/>
    <w:rsid w:val="0099192A"/>
    <w:rsid w:val="009919CB"/>
    <w:rsid w:val="00991C48"/>
    <w:rsid w:val="00991C84"/>
    <w:rsid w:val="00991CD7"/>
    <w:rsid w:val="00991DB8"/>
    <w:rsid w:val="00991E43"/>
    <w:rsid w:val="00991F20"/>
    <w:rsid w:val="00991F56"/>
    <w:rsid w:val="00991F8C"/>
    <w:rsid w:val="00991FC7"/>
    <w:rsid w:val="00991FE3"/>
    <w:rsid w:val="00991FFC"/>
    <w:rsid w:val="0099200B"/>
    <w:rsid w:val="00992143"/>
    <w:rsid w:val="0099215C"/>
    <w:rsid w:val="009921D9"/>
    <w:rsid w:val="009921E1"/>
    <w:rsid w:val="009922D4"/>
    <w:rsid w:val="009923E1"/>
    <w:rsid w:val="009924E4"/>
    <w:rsid w:val="00992568"/>
    <w:rsid w:val="009925A2"/>
    <w:rsid w:val="009925C9"/>
    <w:rsid w:val="0099260C"/>
    <w:rsid w:val="00992650"/>
    <w:rsid w:val="0099265D"/>
    <w:rsid w:val="00992688"/>
    <w:rsid w:val="00992769"/>
    <w:rsid w:val="009927A1"/>
    <w:rsid w:val="00992829"/>
    <w:rsid w:val="0099290A"/>
    <w:rsid w:val="00992954"/>
    <w:rsid w:val="009929DA"/>
    <w:rsid w:val="00992AA8"/>
    <w:rsid w:val="00992BA9"/>
    <w:rsid w:val="00992BD3"/>
    <w:rsid w:val="00992BDA"/>
    <w:rsid w:val="00992C12"/>
    <w:rsid w:val="00992D0F"/>
    <w:rsid w:val="00992E50"/>
    <w:rsid w:val="00992E9B"/>
    <w:rsid w:val="00992F73"/>
    <w:rsid w:val="00992FC1"/>
    <w:rsid w:val="00992FEF"/>
    <w:rsid w:val="0099302A"/>
    <w:rsid w:val="009930F8"/>
    <w:rsid w:val="00993110"/>
    <w:rsid w:val="00993123"/>
    <w:rsid w:val="0099341F"/>
    <w:rsid w:val="009934AA"/>
    <w:rsid w:val="0099350C"/>
    <w:rsid w:val="009936EB"/>
    <w:rsid w:val="00993780"/>
    <w:rsid w:val="0099379C"/>
    <w:rsid w:val="009937C9"/>
    <w:rsid w:val="009937EF"/>
    <w:rsid w:val="00993901"/>
    <w:rsid w:val="009939DD"/>
    <w:rsid w:val="009939FE"/>
    <w:rsid w:val="00993A42"/>
    <w:rsid w:val="00993B53"/>
    <w:rsid w:val="00993DC1"/>
    <w:rsid w:val="00993EF6"/>
    <w:rsid w:val="00993EF8"/>
    <w:rsid w:val="00993FBB"/>
    <w:rsid w:val="00993FD8"/>
    <w:rsid w:val="00993FFE"/>
    <w:rsid w:val="00994033"/>
    <w:rsid w:val="0099407F"/>
    <w:rsid w:val="009940BF"/>
    <w:rsid w:val="009940E9"/>
    <w:rsid w:val="00994113"/>
    <w:rsid w:val="00994375"/>
    <w:rsid w:val="0099451E"/>
    <w:rsid w:val="00994521"/>
    <w:rsid w:val="0099460D"/>
    <w:rsid w:val="0099463B"/>
    <w:rsid w:val="009946F9"/>
    <w:rsid w:val="009947FE"/>
    <w:rsid w:val="00994AED"/>
    <w:rsid w:val="00994B0F"/>
    <w:rsid w:val="00994B4B"/>
    <w:rsid w:val="00994C4E"/>
    <w:rsid w:val="00994C58"/>
    <w:rsid w:val="00994C90"/>
    <w:rsid w:val="00994C91"/>
    <w:rsid w:val="00994D03"/>
    <w:rsid w:val="00994D05"/>
    <w:rsid w:val="00994DA2"/>
    <w:rsid w:val="00994F73"/>
    <w:rsid w:val="00994F96"/>
    <w:rsid w:val="00994FF3"/>
    <w:rsid w:val="009950C3"/>
    <w:rsid w:val="009951B1"/>
    <w:rsid w:val="009951FE"/>
    <w:rsid w:val="00995287"/>
    <w:rsid w:val="009952B0"/>
    <w:rsid w:val="009953C3"/>
    <w:rsid w:val="0099545E"/>
    <w:rsid w:val="009955B3"/>
    <w:rsid w:val="0099562A"/>
    <w:rsid w:val="00995834"/>
    <w:rsid w:val="009959EF"/>
    <w:rsid w:val="00995A12"/>
    <w:rsid w:val="00995A55"/>
    <w:rsid w:val="00995A5F"/>
    <w:rsid w:val="00995AE4"/>
    <w:rsid w:val="00995AF0"/>
    <w:rsid w:val="00995B16"/>
    <w:rsid w:val="00995C1C"/>
    <w:rsid w:val="00995C43"/>
    <w:rsid w:val="00995CB1"/>
    <w:rsid w:val="00995EA0"/>
    <w:rsid w:val="00995F2D"/>
    <w:rsid w:val="00995FA0"/>
    <w:rsid w:val="00995FE4"/>
    <w:rsid w:val="00996031"/>
    <w:rsid w:val="0099619F"/>
    <w:rsid w:val="009961FE"/>
    <w:rsid w:val="009961FF"/>
    <w:rsid w:val="0099621A"/>
    <w:rsid w:val="0099621B"/>
    <w:rsid w:val="00996280"/>
    <w:rsid w:val="009962E9"/>
    <w:rsid w:val="0099630B"/>
    <w:rsid w:val="0099631C"/>
    <w:rsid w:val="0099635B"/>
    <w:rsid w:val="009963A7"/>
    <w:rsid w:val="009963FF"/>
    <w:rsid w:val="00996412"/>
    <w:rsid w:val="0099667D"/>
    <w:rsid w:val="0099669D"/>
    <w:rsid w:val="009966F3"/>
    <w:rsid w:val="00996755"/>
    <w:rsid w:val="0099675F"/>
    <w:rsid w:val="00996879"/>
    <w:rsid w:val="00996882"/>
    <w:rsid w:val="009968CB"/>
    <w:rsid w:val="00996945"/>
    <w:rsid w:val="009969F3"/>
    <w:rsid w:val="00996A5E"/>
    <w:rsid w:val="00996B9C"/>
    <w:rsid w:val="00996BBD"/>
    <w:rsid w:val="00996BCA"/>
    <w:rsid w:val="00996C6F"/>
    <w:rsid w:val="00996D02"/>
    <w:rsid w:val="00996D13"/>
    <w:rsid w:val="00996D42"/>
    <w:rsid w:val="00996E68"/>
    <w:rsid w:val="00996E71"/>
    <w:rsid w:val="00996E7C"/>
    <w:rsid w:val="00996F22"/>
    <w:rsid w:val="00996F9F"/>
    <w:rsid w:val="00996FCB"/>
    <w:rsid w:val="00997166"/>
    <w:rsid w:val="00997194"/>
    <w:rsid w:val="009972BB"/>
    <w:rsid w:val="009972DD"/>
    <w:rsid w:val="009973C5"/>
    <w:rsid w:val="009973DE"/>
    <w:rsid w:val="009974F6"/>
    <w:rsid w:val="00997517"/>
    <w:rsid w:val="009975DE"/>
    <w:rsid w:val="00997616"/>
    <w:rsid w:val="00997722"/>
    <w:rsid w:val="009977A2"/>
    <w:rsid w:val="009977A5"/>
    <w:rsid w:val="00997835"/>
    <w:rsid w:val="00997894"/>
    <w:rsid w:val="00997B86"/>
    <w:rsid w:val="00997BB7"/>
    <w:rsid w:val="00997C12"/>
    <w:rsid w:val="00997C91"/>
    <w:rsid w:val="00997E64"/>
    <w:rsid w:val="00997E77"/>
    <w:rsid w:val="00997E87"/>
    <w:rsid w:val="00997EE9"/>
    <w:rsid w:val="009A01B9"/>
    <w:rsid w:val="009A01BF"/>
    <w:rsid w:val="009A031E"/>
    <w:rsid w:val="009A0400"/>
    <w:rsid w:val="009A059F"/>
    <w:rsid w:val="009A0600"/>
    <w:rsid w:val="009A0624"/>
    <w:rsid w:val="009A06AD"/>
    <w:rsid w:val="009A0807"/>
    <w:rsid w:val="009A0822"/>
    <w:rsid w:val="009A0879"/>
    <w:rsid w:val="009A08E2"/>
    <w:rsid w:val="009A08ED"/>
    <w:rsid w:val="009A09D4"/>
    <w:rsid w:val="009A0A39"/>
    <w:rsid w:val="009A0AE0"/>
    <w:rsid w:val="009A0AEF"/>
    <w:rsid w:val="009A0C25"/>
    <w:rsid w:val="009A0F40"/>
    <w:rsid w:val="009A0F51"/>
    <w:rsid w:val="009A0FA7"/>
    <w:rsid w:val="009A1030"/>
    <w:rsid w:val="009A1061"/>
    <w:rsid w:val="009A10C3"/>
    <w:rsid w:val="009A11D6"/>
    <w:rsid w:val="009A1436"/>
    <w:rsid w:val="009A154D"/>
    <w:rsid w:val="009A15F3"/>
    <w:rsid w:val="009A16B5"/>
    <w:rsid w:val="009A16F7"/>
    <w:rsid w:val="009A171A"/>
    <w:rsid w:val="009A183A"/>
    <w:rsid w:val="009A1935"/>
    <w:rsid w:val="009A19FF"/>
    <w:rsid w:val="009A1C4A"/>
    <w:rsid w:val="009A1CF9"/>
    <w:rsid w:val="009A1E5C"/>
    <w:rsid w:val="009A1E9C"/>
    <w:rsid w:val="009A1EDA"/>
    <w:rsid w:val="009A1EDD"/>
    <w:rsid w:val="009A2132"/>
    <w:rsid w:val="009A216D"/>
    <w:rsid w:val="009A218E"/>
    <w:rsid w:val="009A222F"/>
    <w:rsid w:val="009A229C"/>
    <w:rsid w:val="009A22C8"/>
    <w:rsid w:val="009A230E"/>
    <w:rsid w:val="009A23F9"/>
    <w:rsid w:val="009A24E3"/>
    <w:rsid w:val="009A251F"/>
    <w:rsid w:val="009A252C"/>
    <w:rsid w:val="009A256B"/>
    <w:rsid w:val="009A25F3"/>
    <w:rsid w:val="009A2672"/>
    <w:rsid w:val="009A27A7"/>
    <w:rsid w:val="009A27B3"/>
    <w:rsid w:val="009A27B5"/>
    <w:rsid w:val="009A2853"/>
    <w:rsid w:val="009A28EB"/>
    <w:rsid w:val="009A2BFD"/>
    <w:rsid w:val="009A2C66"/>
    <w:rsid w:val="009A2C72"/>
    <w:rsid w:val="009A2D84"/>
    <w:rsid w:val="009A2DB1"/>
    <w:rsid w:val="009A2E7E"/>
    <w:rsid w:val="009A2E84"/>
    <w:rsid w:val="009A2F88"/>
    <w:rsid w:val="009A31A4"/>
    <w:rsid w:val="009A31E8"/>
    <w:rsid w:val="009A321A"/>
    <w:rsid w:val="009A3250"/>
    <w:rsid w:val="009A325E"/>
    <w:rsid w:val="009A3272"/>
    <w:rsid w:val="009A32D6"/>
    <w:rsid w:val="009A3335"/>
    <w:rsid w:val="009A3577"/>
    <w:rsid w:val="009A3600"/>
    <w:rsid w:val="009A373B"/>
    <w:rsid w:val="009A37B2"/>
    <w:rsid w:val="009A395B"/>
    <w:rsid w:val="009A3A0A"/>
    <w:rsid w:val="009A3A1B"/>
    <w:rsid w:val="009A3A3C"/>
    <w:rsid w:val="009A3A6B"/>
    <w:rsid w:val="009A3BE1"/>
    <w:rsid w:val="009A3CC5"/>
    <w:rsid w:val="009A3E2F"/>
    <w:rsid w:val="009A3EA2"/>
    <w:rsid w:val="009A3ECC"/>
    <w:rsid w:val="009A401A"/>
    <w:rsid w:val="009A4151"/>
    <w:rsid w:val="009A4163"/>
    <w:rsid w:val="009A4179"/>
    <w:rsid w:val="009A42CA"/>
    <w:rsid w:val="009A433D"/>
    <w:rsid w:val="009A437D"/>
    <w:rsid w:val="009A43B4"/>
    <w:rsid w:val="009A44EF"/>
    <w:rsid w:val="009A450B"/>
    <w:rsid w:val="009A45BD"/>
    <w:rsid w:val="009A46B0"/>
    <w:rsid w:val="009A46B3"/>
    <w:rsid w:val="009A473E"/>
    <w:rsid w:val="009A47B1"/>
    <w:rsid w:val="009A482E"/>
    <w:rsid w:val="009A487C"/>
    <w:rsid w:val="009A48AD"/>
    <w:rsid w:val="009A4921"/>
    <w:rsid w:val="009A4B95"/>
    <w:rsid w:val="009A4BFC"/>
    <w:rsid w:val="009A4BFF"/>
    <w:rsid w:val="009A4C19"/>
    <w:rsid w:val="009A4CAD"/>
    <w:rsid w:val="009A4CD4"/>
    <w:rsid w:val="009A4D4D"/>
    <w:rsid w:val="009A4D9E"/>
    <w:rsid w:val="009A4F2C"/>
    <w:rsid w:val="009A50BE"/>
    <w:rsid w:val="009A50F5"/>
    <w:rsid w:val="009A510F"/>
    <w:rsid w:val="009A5114"/>
    <w:rsid w:val="009A5140"/>
    <w:rsid w:val="009A51D9"/>
    <w:rsid w:val="009A5257"/>
    <w:rsid w:val="009A547B"/>
    <w:rsid w:val="009A550C"/>
    <w:rsid w:val="009A5550"/>
    <w:rsid w:val="009A572A"/>
    <w:rsid w:val="009A576C"/>
    <w:rsid w:val="009A5774"/>
    <w:rsid w:val="009A58BA"/>
    <w:rsid w:val="009A58C0"/>
    <w:rsid w:val="009A5940"/>
    <w:rsid w:val="009A5956"/>
    <w:rsid w:val="009A59D0"/>
    <w:rsid w:val="009A5AB4"/>
    <w:rsid w:val="009A5AB8"/>
    <w:rsid w:val="009A5B4B"/>
    <w:rsid w:val="009A5BF0"/>
    <w:rsid w:val="009A5C1C"/>
    <w:rsid w:val="009A5C37"/>
    <w:rsid w:val="009A5CD0"/>
    <w:rsid w:val="009A5D2C"/>
    <w:rsid w:val="009A5DC9"/>
    <w:rsid w:val="009A5ED0"/>
    <w:rsid w:val="009A5F42"/>
    <w:rsid w:val="009A5FAF"/>
    <w:rsid w:val="009A6064"/>
    <w:rsid w:val="009A6079"/>
    <w:rsid w:val="009A60F7"/>
    <w:rsid w:val="009A610C"/>
    <w:rsid w:val="009A636B"/>
    <w:rsid w:val="009A639B"/>
    <w:rsid w:val="009A6427"/>
    <w:rsid w:val="009A6439"/>
    <w:rsid w:val="009A6528"/>
    <w:rsid w:val="009A6571"/>
    <w:rsid w:val="009A6628"/>
    <w:rsid w:val="009A6644"/>
    <w:rsid w:val="009A664A"/>
    <w:rsid w:val="009A6663"/>
    <w:rsid w:val="009A666B"/>
    <w:rsid w:val="009A6733"/>
    <w:rsid w:val="009A6A65"/>
    <w:rsid w:val="009A6A9B"/>
    <w:rsid w:val="009A6B79"/>
    <w:rsid w:val="009A6BA4"/>
    <w:rsid w:val="009A6BB0"/>
    <w:rsid w:val="009A6CBE"/>
    <w:rsid w:val="009A6D17"/>
    <w:rsid w:val="009A6E25"/>
    <w:rsid w:val="009A6EA8"/>
    <w:rsid w:val="009A6FDD"/>
    <w:rsid w:val="009A6FFA"/>
    <w:rsid w:val="009A7076"/>
    <w:rsid w:val="009A7160"/>
    <w:rsid w:val="009A7212"/>
    <w:rsid w:val="009A7222"/>
    <w:rsid w:val="009A727E"/>
    <w:rsid w:val="009A7348"/>
    <w:rsid w:val="009A734D"/>
    <w:rsid w:val="009A7376"/>
    <w:rsid w:val="009A73E2"/>
    <w:rsid w:val="009A7420"/>
    <w:rsid w:val="009A7468"/>
    <w:rsid w:val="009A747F"/>
    <w:rsid w:val="009A7518"/>
    <w:rsid w:val="009A7522"/>
    <w:rsid w:val="009A757B"/>
    <w:rsid w:val="009A758C"/>
    <w:rsid w:val="009A7623"/>
    <w:rsid w:val="009A7665"/>
    <w:rsid w:val="009A7675"/>
    <w:rsid w:val="009A7679"/>
    <w:rsid w:val="009A76AC"/>
    <w:rsid w:val="009A7796"/>
    <w:rsid w:val="009A7822"/>
    <w:rsid w:val="009A787A"/>
    <w:rsid w:val="009A78BB"/>
    <w:rsid w:val="009A7A54"/>
    <w:rsid w:val="009A7B56"/>
    <w:rsid w:val="009A7C08"/>
    <w:rsid w:val="009A7C16"/>
    <w:rsid w:val="009A7CE5"/>
    <w:rsid w:val="009A7D24"/>
    <w:rsid w:val="009A7D38"/>
    <w:rsid w:val="009A7E42"/>
    <w:rsid w:val="009B00CB"/>
    <w:rsid w:val="009B0125"/>
    <w:rsid w:val="009B014A"/>
    <w:rsid w:val="009B0179"/>
    <w:rsid w:val="009B0216"/>
    <w:rsid w:val="009B0320"/>
    <w:rsid w:val="009B039C"/>
    <w:rsid w:val="009B0428"/>
    <w:rsid w:val="009B056A"/>
    <w:rsid w:val="009B0724"/>
    <w:rsid w:val="009B074A"/>
    <w:rsid w:val="009B0790"/>
    <w:rsid w:val="009B09CB"/>
    <w:rsid w:val="009B0A35"/>
    <w:rsid w:val="009B0B71"/>
    <w:rsid w:val="009B0B80"/>
    <w:rsid w:val="009B0D0E"/>
    <w:rsid w:val="009B0D6F"/>
    <w:rsid w:val="009B0E2B"/>
    <w:rsid w:val="009B0E55"/>
    <w:rsid w:val="009B0EA2"/>
    <w:rsid w:val="009B1061"/>
    <w:rsid w:val="009B10AA"/>
    <w:rsid w:val="009B10CB"/>
    <w:rsid w:val="009B1109"/>
    <w:rsid w:val="009B11A9"/>
    <w:rsid w:val="009B11F4"/>
    <w:rsid w:val="009B1222"/>
    <w:rsid w:val="009B1270"/>
    <w:rsid w:val="009B14A8"/>
    <w:rsid w:val="009B150A"/>
    <w:rsid w:val="009B1545"/>
    <w:rsid w:val="009B1572"/>
    <w:rsid w:val="009B1574"/>
    <w:rsid w:val="009B159D"/>
    <w:rsid w:val="009B15B0"/>
    <w:rsid w:val="009B162D"/>
    <w:rsid w:val="009B166A"/>
    <w:rsid w:val="009B170A"/>
    <w:rsid w:val="009B1713"/>
    <w:rsid w:val="009B1723"/>
    <w:rsid w:val="009B174F"/>
    <w:rsid w:val="009B1774"/>
    <w:rsid w:val="009B1963"/>
    <w:rsid w:val="009B1A10"/>
    <w:rsid w:val="009B1A1C"/>
    <w:rsid w:val="009B1ACD"/>
    <w:rsid w:val="009B1B23"/>
    <w:rsid w:val="009B1CBA"/>
    <w:rsid w:val="009B1D1C"/>
    <w:rsid w:val="009B1D2F"/>
    <w:rsid w:val="009B1D98"/>
    <w:rsid w:val="009B1E81"/>
    <w:rsid w:val="009B1F1D"/>
    <w:rsid w:val="009B1FAB"/>
    <w:rsid w:val="009B1FD9"/>
    <w:rsid w:val="009B1FDA"/>
    <w:rsid w:val="009B206D"/>
    <w:rsid w:val="009B2088"/>
    <w:rsid w:val="009B2165"/>
    <w:rsid w:val="009B21A5"/>
    <w:rsid w:val="009B22B0"/>
    <w:rsid w:val="009B2306"/>
    <w:rsid w:val="009B236D"/>
    <w:rsid w:val="009B2377"/>
    <w:rsid w:val="009B2412"/>
    <w:rsid w:val="009B24E8"/>
    <w:rsid w:val="009B260A"/>
    <w:rsid w:val="009B2700"/>
    <w:rsid w:val="009B274F"/>
    <w:rsid w:val="009B2913"/>
    <w:rsid w:val="009B295B"/>
    <w:rsid w:val="009B2A5A"/>
    <w:rsid w:val="009B2A64"/>
    <w:rsid w:val="009B2A84"/>
    <w:rsid w:val="009B2AF5"/>
    <w:rsid w:val="009B2BD1"/>
    <w:rsid w:val="009B2BD5"/>
    <w:rsid w:val="009B2BEC"/>
    <w:rsid w:val="009B2C20"/>
    <w:rsid w:val="009B2E08"/>
    <w:rsid w:val="009B2E97"/>
    <w:rsid w:val="009B2F13"/>
    <w:rsid w:val="009B2F43"/>
    <w:rsid w:val="009B2F62"/>
    <w:rsid w:val="009B2F71"/>
    <w:rsid w:val="009B2F8B"/>
    <w:rsid w:val="009B2FEB"/>
    <w:rsid w:val="009B3036"/>
    <w:rsid w:val="009B3055"/>
    <w:rsid w:val="009B3097"/>
    <w:rsid w:val="009B30D6"/>
    <w:rsid w:val="009B3124"/>
    <w:rsid w:val="009B322E"/>
    <w:rsid w:val="009B3230"/>
    <w:rsid w:val="009B330E"/>
    <w:rsid w:val="009B334F"/>
    <w:rsid w:val="009B3368"/>
    <w:rsid w:val="009B33AF"/>
    <w:rsid w:val="009B33E8"/>
    <w:rsid w:val="009B33F6"/>
    <w:rsid w:val="009B3416"/>
    <w:rsid w:val="009B34B6"/>
    <w:rsid w:val="009B352D"/>
    <w:rsid w:val="009B3543"/>
    <w:rsid w:val="009B35D3"/>
    <w:rsid w:val="009B3703"/>
    <w:rsid w:val="009B37D9"/>
    <w:rsid w:val="009B3833"/>
    <w:rsid w:val="009B3846"/>
    <w:rsid w:val="009B386E"/>
    <w:rsid w:val="009B399D"/>
    <w:rsid w:val="009B39A4"/>
    <w:rsid w:val="009B3A0D"/>
    <w:rsid w:val="009B3AC9"/>
    <w:rsid w:val="009B3ACE"/>
    <w:rsid w:val="009B3B0B"/>
    <w:rsid w:val="009B3BF4"/>
    <w:rsid w:val="009B3C32"/>
    <w:rsid w:val="009B3C73"/>
    <w:rsid w:val="009B3CA7"/>
    <w:rsid w:val="009B3D16"/>
    <w:rsid w:val="009B3D2A"/>
    <w:rsid w:val="009B3DAF"/>
    <w:rsid w:val="009B3EC6"/>
    <w:rsid w:val="009B4078"/>
    <w:rsid w:val="009B424C"/>
    <w:rsid w:val="009B4379"/>
    <w:rsid w:val="009B4400"/>
    <w:rsid w:val="009B451F"/>
    <w:rsid w:val="009B46C6"/>
    <w:rsid w:val="009B478C"/>
    <w:rsid w:val="009B47A6"/>
    <w:rsid w:val="009B4832"/>
    <w:rsid w:val="009B49A2"/>
    <w:rsid w:val="009B49F5"/>
    <w:rsid w:val="009B4A30"/>
    <w:rsid w:val="009B4A94"/>
    <w:rsid w:val="009B4C12"/>
    <w:rsid w:val="009B4C28"/>
    <w:rsid w:val="009B4D56"/>
    <w:rsid w:val="009B4D5A"/>
    <w:rsid w:val="009B4D5F"/>
    <w:rsid w:val="009B4D7B"/>
    <w:rsid w:val="009B4F4C"/>
    <w:rsid w:val="009B4FDE"/>
    <w:rsid w:val="009B4FFD"/>
    <w:rsid w:val="009B5000"/>
    <w:rsid w:val="009B5187"/>
    <w:rsid w:val="009B5192"/>
    <w:rsid w:val="009B519E"/>
    <w:rsid w:val="009B53B7"/>
    <w:rsid w:val="009B53E1"/>
    <w:rsid w:val="009B5415"/>
    <w:rsid w:val="009B5576"/>
    <w:rsid w:val="009B5587"/>
    <w:rsid w:val="009B575E"/>
    <w:rsid w:val="009B5774"/>
    <w:rsid w:val="009B580A"/>
    <w:rsid w:val="009B5913"/>
    <w:rsid w:val="009B5963"/>
    <w:rsid w:val="009B59DD"/>
    <w:rsid w:val="009B5A1F"/>
    <w:rsid w:val="009B5A52"/>
    <w:rsid w:val="009B5A6B"/>
    <w:rsid w:val="009B5AAF"/>
    <w:rsid w:val="009B5AC0"/>
    <w:rsid w:val="009B5B18"/>
    <w:rsid w:val="009B5B8F"/>
    <w:rsid w:val="009B5D46"/>
    <w:rsid w:val="009B5D9F"/>
    <w:rsid w:val="009B5E68"/>
    <w:rsid w:val="009B5FCF"/>
    <w:rsid w:val="009B615F"/>
    <w:rsid w:val="009B6162"/>
    <w:rsid w:val="009B621D"/>
    <w:rsid w:val="009B6290"/>
    <w:rsid w:val="009B63AC"/>
    <w:rsid w:val="009B63EA"/>
    <w:rsid w:val="009B63FF"/>
    <w:rsid w:val="009B648A"/>
    <w:rsid w:val="009B64D6"/>
    <w:rsid w:val="009B65E0"/>
    <w:rsid w:val="009B6651"/>
    <w:rsid w:val="009B68E2"/>
    <w:rsid w:val="009B699D"/>
    <w:rsid w:val="009B6A9E"/>
    <w:rsid w:val="009B6B73"/>
    <w:rsid w:val="009B6CED"/>
    <w:rsid w:val="009B6CFF"/>
    <w:rsid w:val="009B6DF1"/>
    <w:rsid w:val="009B6F9D"/>
    <w:rsid w:val="009B709C"/>
    <w:rsid w:val="009B7198"/>
    <w:rsid w:val="009B71FF"/>
    <w:rsid w:val="009B72C6"/>
    <w:rsid w:val="009B730C"/>
    <w:rsid w:val="009B73CE"/>
    <w:rsid w:val="009B742E"/>
    <w:rsid w:val="009B75EC"/>
    <w:rsid w:val="009B7601"/>
    <w:rsid w:val="009B770D"/>
    <w:rsid w:val="009B777C"/>
    <w:rsid w:val="009B79A1"/>
    <w:rsid w:val="009B79D6"/>
    <w:rsid w:val="009B7AB7"/>
    <w:rsid w:val="009B7AFB"/>
    <w:rsid w:val="009B7B21"/>
    <w:rsid w:val="009B7BA5"/>
    <w:rsid w:val="009B7C94"/>
    <w:rsid w:val="009B7D53"/>
    <w:rsid w:val="009B7DD6"/>
    <w:rsid w:val="009B7E2B"/>
    <w:rsid w:val="009B7E53"/>
    <w:rsid w:val="009B7EF1"/>
    <w:rsid w:val="009B7F2D"/>
    <w:rsid w:val="009B7FC6"/>
    <w:rsid w:val="009B7FF4"/>
    <w:rsid w:val="009C0010"/>
    <w:rsid w:val="009C0018"/>
    <w:rsid w:val="009C008E"/>
    <w:rsid w:val="009C00B2"/>
    <w:rsid w:val="009C00F8"/>
    <w:rsid w:val="009C01E5"/>
    <w:rsid w:val="009C02D1"/>
    <w:rsid w:val="009C0354"/>
    <w:rsid w:val="009C05E0"/>
    <w:rsid w:val="009C05E9"/>
    <w:rsid w:val="009C060A"/>
    <w:rsid w:val="009C0692"/>
    <w:rsid w:val="009C06ED"/>
    <w:rsid w:val="009C09B4"/>
    <w:rsid w:val="009C0A0F"/>
    <w:rsid w:val="009C0A8C"/>
    <w:rsid w:val="009C0AD9"/>
    <w:rsid w:val="009C0B1A"/>
    <w:rsid w:val="009C0BE8"/>
    <w:rsid w:val="009C0C40"/>
    <w:rsid w:val="009C0C93"/>
    <w:rsid w:val="009C0E87"/>
    <w:rsid w:val="009C0F94"/>
    <w:rsid w:val="009C0FEE"/>
    <w:rsid w:val="009C10C0"/>
    <w:rsid w:val="009C1189"/>
    <w:rsid w:val="009C11B6"/>
    <w:rsid w:val="009C11ED"/>
    <w:rsid w:val="009C122C"/>
    <w:rsid w:val="009C1246"/>
    <w:rsid w:val="009C130D"/>
    <w:rsid w:val="009C1597"/>
    <w:rsid w:val="009C15F5"/>
    <w:rsid w:val="009C160C"/>
    <w:rsid w:val="009C171D"/>
    <w:rsid w:val="009C184F"/>
    <w:rsid w:val="009C18A8"/>
    <w:rsid w:val="009C1919"/>
    <w:rsid w:val="009C1982"/>
    <w:rsid w:val="009C19F1"/>
    <w:rsid w:val="009C1A38"/>
    <w:rsid w:val="009C1A61"/>
    <w:rsid w:val="009C1ACE"/>
    <w:rsid w:val="009C1AD7"/>
    <w:rsid w:val="009C1B3B"/>
    <w:rsid w:val="009C1B92"/>
    <w:rsid w:val="009C1C05"/>
    <w:rsid w:val="009C1C1D"/>
    <w:rsid w:val="009C1C2D"/>
    <w:rsid w:val="009C1D71"/>
    <w:rsid w:val="009C1D7D"/>
    <w:rsid w:val="009C1DC4"/>
    <w:rsid w:val="009C1E30"/>
    <w:rsid w:val="009C1E8A"/>
    <w:rsid w:val="009C1E8F"/>
    <w:rsid w:val="009C1EF2"/>
    <w:rsid w:val="009C1FEB"/>
    <w:rsid w:val="009C224E"/>
    <w:rsid w:val="009C271C"/>
    <w:rsid w:val="009C27C4"/>
    <w:rsid w:val="009C289F"/>
    <w:rsid w:val="009C2965"/>
    <w:rsid w:val="009C2A63"/>
    <w:rsid w:val="009C2AA4"/>
    <w:rsid w:val="009C2B2C"/>
    <w:rsid w:val="009C2BDF"/>
    <w:rsid w:val="009C2CD5"/>
    <w:rsid w:val="009C2D2B"/>
    <w:rsid w:val="009C2D69"/>
    <w:rsid w:val="009C2E0A"/>
    <w:rsid w:val="009C2FD6"/>
    <w:rsid w:val="009C307B"/>
    <w:rsid w:val="009C30A1"/>
    <w:rsid w:val="009C30F4"/>
    <w:rsid w:val="009C3211"/>
    <w:rsid w:val="009C32B9"/>
    <w:rsid w:val="009C33BB"/>
    <w:rsid w:val="009C34E5"/>
    <w:rsid w:val="009C350A"/>
    <w:rsid w:val="009C3523"/>
    <w:rsid w:val="009C3600"/>
    <w:rsid w:val="009C3668"/>
    <w:rsid w:val="009C36B9"/>
    <w:rsid w:val="009C3913"/>
    <w:rsid w:val="009C39B8"/>
    <w:rsid w:val="009C3A39"/>
    <w:rsid w:val="009C3B2D"/>
    <w:rsid w:val="009C3C44"/>
    <w:rsid w:val="009C3E9C"/>
    <w:rsid w:val="009C3F8F"/>
    <w:rsid w:val="009C4065"/>
    <w:rsid w:val="009C40EA"/>
    <w:rsid w:val="009C410F"/>
    <w:rsid w:val="009C4259"/>
    <w:rsid w:val="009C42C9"/>
    <w:rsid w:val="009C43EC"/>
    <w:rsid w:val="009C4410"/>
    <w:rsid w:val="009C441E"/>
    <w:rsid w:val="009C45B0"/>
    <w:rsid w:val="009C45C5"/>
    <w:rsid w:val="009C468E"/>
    <w:rsid w:val="009C4713"/>
    <w:rsid w:val="009C4738"/>
    <w:rsid w:val="009C478C"/>
    <w:rsid w:val="009C4871"/>
    <w:rsid w:val="009C4894"/>
    <w:rsid w:val="009C4959"/>
    <w:rsid w:val="009C4993"/>
    <w:rsid w:val="009C4B31"/>
    <w:rsid w:val="009C4B49"/>
    <w:rsid w:val="009C4B8F"/>
    <w:rsid w:val="009C4BCF"/>
    <w:rsid w:val="009C4BD2"/>
    <w:rsid w:val="009C4C84"/>
    <w:rsid w:val="009C4CEB"/>
    <w:rsid w:val="009C4D18"/>
    <w:rsid w:val="009C4D8B"/>
    <w:rsid w:val="009C4F80"/>
    <w:rsid w:val="009C5047"/>
    <w:rsid w:val="009C50D6"/>
    <w:rsid w:val="009C50EE"/>
    <w:rsid w:val="009C5111"/>
    <w:rsid w:val="009C517C"/>
    <w:rsid w:val="009C5241"/>
    <w:rsid w:val="009C53B1"/>
    <w:rsid w:val="009C551A"/>
    <w:rsid w:val="009C5562"/>
    <w:rsid w:val="009C5599"/>
    <w:rsid w:val="009C55A8"/>
    <w:rsid w:val="009C55AF"/>
    <w:rsid w:val="009C5607"/>
    <w:rsid w:val="009C5626"/>
    <w:rsid w:val="009C56AB"/>
    <w:rsid w:val="009C576A"/>
    <w:rsid w:val="009C5823"/>
    <w:rsid w:val="009C58E4"/>
    <w:rsid w:val="009C59A0"/>
    <w:rsid w:val="009C5A2B"/>
    <w:rsid w:val="009C5B9C"/>
    <w:rsid w:val="009C5BC7"/>
    <w:rsid w:val="009C5CD4"/>
    <w:rsid w:val="009C5E06"/>
    <w:rsid w:val="009C5E19"/>
    <w:rsid w:val="009C5EE0"/>
    <w:rsid w:val="009C5F1B"/>
    <w:rsid w:val="009C6020"/>
    <w:rsid w:val="009C607B"/>
    <w:rsid w:val="009C612C"/>
    <w:rsid w:val="009C6132"/>
    <w:rsid w:val="009C62B0"/>
    <w:rsid w:val="009C64B9"/>
    <w:rsid w:val="009C64F8"/>
    <w:rsid w:val="009C650C"/>
    <w:rsid w:val="009C6524"/>
    <w:rsid w:val="009C666C"/>
    <w:rsid w:val="009C66A4"/>
    <w:rsid w:val="009C66FF"/>
    <w:rsid w:val="009C677C"/>
    <w:rsid w:val="009C698D"/>
    <w:rsid w:val="009C6A41"/>
    <w:rsid w:val="009C6B1B"/>
    <w:rsid w:val="009C6C5C"/>
    <w:rsid w:val="009C6C8B"/>
    <w:rsid w:val="009C6D13"/>
    <w:rsid w:val="009C6DBE"/>
    <w:rsid w:val="009C6E75"/>
    <w:rsid w:val="009C6EA8"/>
    <w:rsid w:val="009C6EDD"/>
    <w:rsid w:val="009C6F6F"/>
    <w:rsid w:val="009C70DE"/>
    <w:rsid w:val="009C710A"/>
    <w:rsid w:val="009C71E1"/>
    <w:rsid w:val="009C7239"/>
    <w:rsid w:val="009C72A9"/>
    <w:rsid w:val="009C72BA"/>
    <w:rsid w:val="009C7339"/>
    <w:rsid w:val="009C73D9"/>
    <w:rsid w:val="009C7431"/>
    <w:rsid w:val="009C75D7"/>
    <w:rsid w:val="009C7628"/>
    <w:rsid w:val="009C76DE"/>
    <w:rsid w:val="009C780F"/>
    <w:rsid w:val="009C7821"/>
    <w:rsid w:val="009C7869"/>
    <w:rsid w:val="009C7907"/>
    <w:rsid w:val="009C79E0"/>
    <w:rsid w:val="009C7A76"/>
    <w:rsid w:val="009C7CE3"/>
    <w:rsid w:val="009C7D71"/>
    <w:rsid w:val="009C7E18"/>
    <w:rsid w:val="009C7E84"/>
    <w:rsid w:val="009D0004"/>
    <w:rsid w:val="009D0069"/>
    <w:rsid w:val="009D0106"/>
    <w:rsid w:val="009D0120"/>
    <w:rsid w:val="009D0167"/>
    <w:rsid w:val="009D01FE"/>
    <w:rsid w:val="009D0274"/>
    <w:rsid w:val="009D02B6"/>
    <w:rsid w:val="009D0344"/>
    <w:rsid w:val="009D034D"/>
    <w:rsid w:val="009D03AA"/>
    <w:rsid w:val="009D040B"/>
    <w:rsid w:val="009D0410"/>
    <w:rsid w:val="009D0431"/>
    <w:rsid w:val="009D043A"/>
    <w:rsid w:val="009D04A7"/>
    <w:rsid w:val="009D04D4"/>
    <w:rsid w:val="009D04F4"/>
    <w:rsid w:val="009D0532"/>
    <w:rsid w:val="009D054F"/>
    <w:rsid w:val="009D0565"/>
    <w:rsid w:val="009D063C"/>
    <w:rsid w:val="009D06D0"/>
    <w:rsid w:val="009D06EC"/>
    <w:rsid w:val="009D086F"/>
    <w:rsid w:val="009D088F"/>
    <w:rsid w:val="009D09A6"/>
    <w:rsid w:val="009D09AC"/>
    <w:rsid w:val="009D09D8"/>
    <w:rsid w:val="009D09E2"/>
    <w:rsid w:val="009D09E4"/>
    <w:rsid w:val="009D09FA"/>
    <w:rsid w:val="009D0B63"/>
    <w:rsid w:val="009D0E3B"/>
    <w:rsid w:val="009D0E7C"/>
    <w:rsid w:val="009D0F5F"/>
    <w:rsid w:val="009D1198"/>
    <w:rsid w:val="009D1263"/>
    <w:rsid w:val="009D1300"/>
    <w:rsid w:val="009D135E"/>
    <w:rsid w:val="009D1389"/>
    <w:rsid w:val="009D149A"/>
    <w:rsid w:val="009D14BE"/>
    <w:rsid w:val="009D157C"/>
    <w:rsid w:val="009D16B0"/>
    <w:rsid w:val="009D1712"/>
    <w:rsid w:val="009D1785"/>
    <w:rsid w:val="009D17D9"/>
    <w:rsid w:val="009D1819"/>
    <w:rsid w:val="009D18FB"/>
    <w:rsid w:val="009D19CA"/>
    <w:rsid w:val="009D1A5C"/>
    <w:rsid w:val="009D1BAF"/>
    <w:rsid w:val="009D1CF7"/>
    <w:rsid w:val="009D1DBA"/>
    <w:rsid w:val="009D1E22"/>
    <w:rsid w:val="009D1E7D"/>
    <w:rsid w:val="009D1E95"/>
    <w:rsid w:val="009D1E9A"/>
    <w:rsid w:val="009D1EB3"/>
    <w:rsid w:val="009D1EF6"/>
    <w:rsid w:val="009D20C6"/>
    <w:rsid w:val="009D21B8"/>
    <w:rsid w:val="009D21F0"/>
    <w:rsid w:val="009D220E"/>
    <w:rsid w:val="009D227F"/>
    <w:rsid w:val="009D232A"/>
    <w:rsid w:val="009D237D"/>
    <w:rsid w:val="009D23A2"/>
    <w:rsid w:val="009D2577"/>
    <w:rsid w:val="009D2607"/>
    <w:rsid w:val="009D2729"/>
    <w:rsid w:val="009D276A"/>
    <w:rsid w:val="009D2811"/>
    <w:rsid w:val="009D28AC"/>
    <w:rsid w:val="009D28C2"/>
    <w:rsid w:val="009D28E5"/>
    <w:rsid w:val="009D29A1"/>
    <w:rsid w:val="009D29BC"/>
    <w:rsid w:val="009D2A57"/>
    <w:rsid w:val="009D2A78"/>
    <w:rsid w:val="009D2AB9"/>
    <w:rsid w:val="009D2B4A"/>
    <w:rsid w:val="009D2C52"/>
    <w:rsid w:val="009D2CED"/>
    <w:rsid w:val="009D2EDD"/>
    <w:rsid w:val="009D2F5E"/>
    <w:rsid w:val="009D2FB3"/>
    <w:rsid w:val="009D2FC0"/>
    <w:rsid w:val="009D3093"/>
    <w:rsid w:val="009D30D3"/>
    <w:rsid w:val="009D3127"/>
    <w:rsid w:val="009D3153"/>
    <w:rsid w:val="009D3290"/>
    <w:rsid w:val="009D32BC"/>
    <w:rsid w:val="009D33B9"/>
    <w:rsid w:val="009D33EB"/>
    <w:rsid w:val="009D35BF"/>
    <w:rsid w:val="009D35F7"/>
    <w:rsid w:val="009D3649"/>
    <w:rsid w:val="009D379C"/>
    <w:rsid w:val="009D3A0C"/>
    <w:rsid w:val="009D3ADE"/>
    <w:rsid w:val="009D3E77"/>
    <w:rsid w:val="009D3FAA"/>
    <w:rsid w:val="009D3FC6"/>
    <w:rsid w:val="009D4003"/>
    <w:rsid w:val="009D4018"/>
    <w:rsid w:val="009D403C"/>
    <w:rsid w:val="009D4198"/>
    <w:rsid w:val="009D41EA"/>
    <w:rsid w:val="009D433E"/>
    <w:rsid w:val="009D43C5"/>
    <w:rsid w:val="009D43C7"/>
    <w:rsid w:val="009D47B2"/>
    <w:rsid w:val="009D4812"/>
    <w:rsid w:val="009D492F"/>
    <w:rsid w:val="009D499D"/>
    <w:rsid w:val="009D49B8"/>
    <w:rsid w:val="009D4ADD"/>
    <w:rsid w:val="009D4CD5"/>
    <w:rsid w:val="009D4D55"/>
    <w:rsid w:val="009D4DB1"/>
    <w:rsid w:val="009D4DF5"/>
    <w:rsid w:val="009D4E76"/>
    <w:rsid w:val="009D4ECA"/>
    <w:rsid w:val="009D4F69"/>
    <w:rsid w:val="009D5000"/>
    <w:rsid w:val="009D50A2"/>
    <w:rsid w:val="009D5114"/>
    <w:rsid w:val="009D5141"/>
    <w:rsid w:val="009D51D3"/>
    <w:rsid w:val="009D5205"/>
    <w:rsid w:val="009D53E8"/>
    <w:rsid w:val="009D54C1"/>
    <w:rsid w:val="009D552A"/>
    <w:rsid w:val="009D55B3"/>
    <w:rsid w:val="009D5657"/>
    <w:rsid w:val="009D56EF"/>
    <w:rsid w:val="009D5756"/>
    <w:rsid w:val="009D57C6"/>
    <w:rsid w:val="009D5807"/>
    <w:rsid w:val="009D584F"/>
    <w:rsid w:val="009D59FC"/>
    <w:rsid w:val="009D5A69"/>
    <w:rsid w:val="009D5A76"/>
    <w:rsid w:val="009D5C0B"/>
    <w:rsid w:val="009D5C2B"/>
    <w:rsid w:val="009D5C8B"/>
    <w:rsid w:val="009D5CE7"/>
    <w:rsid w:val="009D5DF9"/>
    <w:rsid w:val="009D5E4E"/>
    <w:rsid w:val="009D5E69"/>
    <w:rsid w:val="009D5EFD"/>
    <w:rsid w:val="009D5F85"/>
    <w:rsid w:val="009D5FFF"/>
    <w:rsid w:val="009D6036"/>
    <w:rsid w:val="009D60BF"/>
    <w:rsid w:val="009D60E7"/>
    <w:rsid w:val="009D6227"/>
    <w:rsid w:val="009D6343"/>
    <w:rsid w:val="009D63AC"/>
    <w:rsid w:val="009D6522"/>
    <w:rsid w:val="009D6596"/>
    <w:rsid w:val="009D661E"/>
    <w:rsid w:val="009D66B2"/>
    <w:rsid w:val="009D66C7"/>
    <w:rsid w:val="009D66F8"/>
    <w:rsid w:val="009D682A"/>
    <w:rsid w:val="009D6848"/>
    <w:rsid w:val="009D6921"/>
    <w:rsid w:val="009D6983"/>
    <w:rsid w:val="009D69A5"/>
    <w:rsid w:val="009D6A0F"/>
    <w:rsid w:val="009D6B9C"/>
    <w:rsid w:val="009D6C03"/>
    <w:rsid w:val="009D6C12"/>
    <w:rsid w:val="009D6D09"/>
    <w:rsid w:val="009D6D2E"/>
    <w:rsid w:val="009D6D59"/>
    <w:rsid w:val="009D6DE9"/>
    <w:rsid w:val="009D6E17"/>
    <w:rsid w:val="009D6E2D"/>
    <w:rsid w:val="009D6F56"/>
    <w:rsid w:val="009D6FA8"/>
    <w:rsid w:val="009D70A4"/>
    <w:rsid w:val="009D70D2"/>
    <w:rsid w:val="009D70FA"/>
    <w:rsid w:val="009D71DC"/>
    <w:rsid w:val="009D729A"/>
    <w:rsid w:val="009D7358"/>
    <w:rsid w:val="009D753B"/>
    <w:rsid w:val="009D75BF"/>
    <w:rsid w:val="009D75FD"/>
    <w:rsid w:val="009D789F"/>
    <w:rsid w:val="009D78A1"/>
    <w:rsid w:val="009D7941"/>
    <w:rsid w:val="009D7975"/>
    <w:rsid w:val="009D7BB6"/>
    <w:rsid w:val="009D7C6A"/>
    <w:rsid w:val="009D7CAC"/>
    <w:rsid w:val="009D7CE0"/>
    <w:rsid w:val="009D7E28"/>
    <w:rsid w:val="009E0028"/>
    <w:rsid w:val="009E002C"/>
    <w:rsid w:val="009E00F4"/>
    <w:rsid w:val="009E0123"/>
    <w:rsid w:val="009E0175"/>
    <w:rsid w:val="009E01BE"/>
    <w:rsid w:val="009E0279"/>
    <w:rsid w:val="009E029A"/>
    <w:rsid w:val="009E05E0"/>
    <w:rsid w:val="009E0683"/>
    <w:rsid w:val="009E06E6"/>
    <w:rsid w:val="009E06F2"/>
    <w:rsid w:val="009E0725"/>
    <w:rsid w:val="009E0885"/>
    <w:rsid w:val="009E0923"/>
    <w:rsid w:val="009E0A22"/>
    <w:rsid w:val="009E0AD9"/>
    <w:rsid w:val="009E0B97"/>
    <w:rsid w:val="009E0C35"/>
    <w:rsid w:val="009E0C9E"/>
    <w:rsid w:val="009E0CBA"/>
    <w:rsid w:val="009E0D72"/>
    <w:rsid w:val="009E0E9E"/>
    <w:rsid w:val="009E0ED1"/>
    <w:rsid w:val="009E0FE0"/>
    <w:rsid w:val="009E10D7"/>
    <w:rsid w:val="009E111C"/>
    <w:rsid w:val="009E1124"/>
    <w:rsid w:val="009E1126"/>
    <w:rsid w:val="009E1198"/>
    <w:rsid w:val="009E1261"/>
    <w:rsid w:val="009E13BB"/>
    <w:rsid w:val="009E13BD"/>
    <w:rsid w:val="009E14AB"/>
    <w:rsid w:val="009E1634"/>
    <w:rsid w:val="009E1768"/>
    <w:rsid w:val="009E1788"/>
    <w:rsid w:val="009E179C"/>
    <w:rsid w:val="009E17C9"/>
    <w:rsid w:val="009E1861"/>
    <w:rsid w:val="009E188B"/>
    <w:rsid w:val="009E188E"/>
    <w:rsid w:val="009E1906"/>
    <w:rsid w:val="009E1BFD"/>
    <w:rsid w:val="009E1C3E"/>
    <w:rsid w:val="009E1DAF"/>
    <w:rsid w:val="009E1F10"/>
    <w:rsid w:val="009E1F96"/>
    <w:rsid w:val="009E1FBE"/>
    <w:rsid w:val="009E200A"/>
    <w:rsid w:val="009E2135"/>
    <w:rsid w:val="009E21AF"/>
    <w:rsid w:val="009E21DE"/>
    <w:rsid w:val="009E223F"/>
    <w:rsid w:val="009E2366"/>
    <w:rsid w:val="009E2436"/>
    <w:rsid w:val="009E2471"/>
    <w:rsid w:val="009E24F9"/>
    <w:rsid w:val="009E2506"/>
    <w:rsid w:val="009E2576"/>
    <w:rsid w:val="009E257E"/>
    <w:rsid w:val="009E261C"/>
    <w:rsid w:val="009E268E"/>
    <w:rsid w:val="009E26F2"/>
    <w:rsid w:val="009E26F5"/>
    <w:rsid w:val="009E272B"/>
    <w:rsid w:val="009E27A3"/>
    <w:rsid w:val="009E28C2"/>
    <w:rsid w:val="009E28C8"/>
    <w:rsid w:val="009E2935"/>
    <w:rsid w:val="009E2937"/>
    <w:rsid w:val="009E2A37"/>
    <w:rsid w:val="009E2AC2"/>
    <w:rsid w:val="009E2BCC"/>
    <w:rsid w:val="009E2C09"/>
    <w:rsid w:val="009E2D13"/>
    <w:rsid w:val="009E2EB5"/>
    <w:rsid w:val="009E2ECD"/>
    <w:rsid w:val="009E2F14"/>
    <w:rsid w:val="009E2F17"/>
    <w:rsid w:val="009E2F28"/>
    <w:rsid w:val="009E2F9B"/>
    <w:rsid w:val="009E2F9F"/>
    <w:rsid w:val="009E3023"/>
    <w:rsid w:val="009E3120"/>
    <w:rsid w:val="009E313E"/>
    <w:rsid w:val="009E326C"/>
    <w:rsid w:val="009E32C0"/>
    <w:rsid w:val="009E33A9"/>
    <w:rsid w:val="009E34CF"/>
    <w:rsid w:val="009E360A"/>
    <w:rsid w:val="009E363A"/>
    <w:rsid w:val="009E3874"/>
    <w:rsid w:val="009E38E3"/>
    <w:rsid w:val="009E390E"/>
    <w:rsid w:val="009E3977"/>
    <w:rsid w:val="009E3A71"/>
    <w:rsid w:val="009E3B76"/>
    <w:rsid w:val="009E3C6D"/>
    <w:rsid w:val="009E3CA9"/>
    <w:rsid w:val="009E3DC0"/>
    <w:rsid w:val="009E3EF2"/>
    <w:rsid w:val="009E3F3A"/>
    <w:rsid w:val="009E3F5A"/>
    <w:rsid w:val="009E4035"/>
    <w:rsid w:val="009E4092"/>
    <w:rsid w:val="009E40A8"/>
    <w:rsid w:val="009E4132"/>
    <w:rsid w:val="009E41C6"/>
    <w:rsid w:val="009E41DB"/>
    <w:rsid w:val="009E4344"/>
    <w:rsid w:val="009E43A0"/>
    <w:rsid w:val="009E43DD"/>
    <w:rsid w:val="009E4561"/>
    <w:rsid w:val="009E46B9"/>
    <w:rsid w:val="009E488F"/>
    <w:rsid w:val="009E498A"/>
    <w:rsid w:val="009E49B3"/>
    <w:rsid w:val="009E4A49"/>
    <w:rsid w:val="009E4A7D"/>
    <w:rsid w:val="009E4AA5"/>
    <w:rsid w:val="009E4ACB"/>
    <w:rsid w:val="009E4BAE"/>
    <w:rsid w:val="009E4C83"/>
    <w:rsid w:val="009E4CFA"/>
    <w:rsid w:val="009E4E9C"/>
    <w:rsid w:val="009E4EED"/>
    <w:rsid w:val="009E4F88"/>
    <w:rsid w:val="009E4F92"/>
    <w:rsid w:val="009E504A"/>
    <w:rsid w:val="009E507C"/>
    <w:rsid w:val="009E51BB"/>
    <w:rsid w:val="009E523C"/>
    <w:rsid w:val="009E5285"/>
    <w:rsid w:val="009E5396"/>
    <w:rsid w:val="009E5407"/>
    <w:rsid w:val="009E5545"/>
    <w:rsid w:val="009E5555"/>
    <w:rsid w:val="009E556D"/>
    <w:rsid w:val="009E557A"/>
    <w:rsid w:val="009E5580"/>
    <w:rsid w:val="009E5696"/>
    <w:rsid w:val="009E571C"/>
    <w:rsid w:val="009E579D"/>
    <w:rsid w:val="009E579F"/>
    <w:rsid w:val="009E585A"/>
    <w:rsid w:val="009E5865"/>
    <w:rsid w:val="009E588C"/>
    <w:rsid w:val="009E5898"/>
    <w:rsid w:val="009E5A00"/>
    <w:rsid w:val="009E5B3C"/>
    <w:rsid w:val="009E5C4E"/>
    <w:rsid w:val="009E5DB2"/>
    <w:rsid w:val="009E5DDC"/>
    <w:rsid w:val="009E5E09"/>
    <w:rsid w:val="009E5E18"/>
    <w:rsid w:val="009E5F46"/>
    <w:rsid w:val="009E608F"/>
    <w:rsid w:val="009E60AC"/>
    <w:rsid w:val="009E60FC"/>
    <w:rsid w:val="009E6166"/>
    <w:rsid w:val="009E617C"/>
    <w:rsid w:val="009E61CD"/>
    <w:rsid w:val="009E61F5"/>
    <w:rsid w:val="009E6326"/>
    <w:rsid w:val="009E6342"/>
    <w:rsid w:val="009E63C5"/>
    <w:rsid w:val="009E6482"/>
    <w:rsid w:val="009E64A1"/>
    <w:rsid w:val="009E64F7"/>
    <w:rsid w:val="009E64FA"/>
    <w:rsid w:val="009E64FE"/>
    <w:rsid w:val="009E6503"/>
    <w:rsid w:val="009E65C7"/>
    <w:rsid w:val="009E65DE"/>
    <w:rsid w:val="009E6644"/>
    <w:rsid w:val="009E6729"/>
    <w:rsid w:val="009E678C"/>
    <w:rsid w:val="009E679C"/>
    <w:rsid w:val="009E67F3"/>
    <w:rsid w:val="009E67F5"/>
    <w:rsid w:val="009E6847"/>
    <w:rsid w:val="009E6852"/>
    <w:rsid w:val="009E6928"/>
    <w:rsid w:val="009E6933"/>
    <w:rsid w:val="009E69E8"/>
    <w:rsid w:val="009E69ED"/>
    <w:rsid w:val="009E6A1E"/>
    <w:rsid w:val="009E6A61"/>
    <w:rsid w:val="009E6B06"/>
    <w:rsid w:val="009E6B83"/>
    <w:rsid w:val="009E6C24"/>
    <w:rsid w:val="009E6C92"/>
    <w:rsid w:val="009E6DB4"/>
    <w:rsid w:val="009E6E1D"/>
    <w:rsid w:val="009E6E90"/>
    <w:rsid w:val="009E6F62"/>
    <w:rsid w:val="009E6F74"/>
    <w:rsid w:val="009E6F77"/>
    <w:rsid w:val="009E7020"/>
    <w:rsid w:val="009E7033"/>
    <w:rsid w:val="009E70C3"/>
    <w:rsid w:val="009E70F5"/>
    <w:rsid w:val="009E711D"/>
    <w:rsid w:val="009E72B2"/>
    <w:rsid w:val="009E735B"/>
    <w:rsid w:val="009E754C"/>
    <w:rsid w:val="009E755A"/>
    <w:rsid w:val="009E7592"/>
    <w:rsid w:val="009E75AF"/>
    <w:rsid w:val="009E7654"/>
    <w:rsid w:val="009E76B4"/>
    <w:rsid w:val="009E76DC"/>
    <w:rsid w:val="009E7857"/>
    <w:rsid w:val="009E78D3"/>
    <w:rsid w:val="009E7978"/>
    <w:rsid w:val="009E79AA"/>
    <w:rsid w:val="009E7AD3"/>
    <w:rsid w:val="009E7AD5"/>
    <w:rsid w:val="009E7B9B"/>
    <w:rsid w:val="009E7BFD"/>
    <w:rsid w:val="009E7E5E"/>
    <w:rsid w:val="009E7E88"/>
    <w:rsid w:val="009E7ECC"/>
    <w:rsid w:val="009E7F6D"/>
    <w:rsid w:val="009F0157"/>
    <w:rsid w:val="009F01A0"/>
    <w:rsid w:val="009F01C5"/>
    <w:rsid w:val="009F0251"/>
    <w:rsid w:val="009F0255"/>
    <w:rsid w:val="009F027E"/>
    <w:rsid w:val="009F033D"/>
    <w:rsid w:val="009F03A0"/>
    <w:rsid w:val="009F0589"/>
    <w:rsid w:val="009F0619"/>
    <w:rsid w:val="009F0663"/>
    <w:rsid w:val="009F080C"/>
    <w:rsid w:val="009F08B4"/>
    <w:rsid w:val="009F08FF"/>
    <w:rsid w:val="009F094E"/>
    <w:rsid w:val="009F0B82"/>
    <w:rsid w:val="009F0B8D"/>
    <w:rsid w:val="009F0C04"/>
    <w:rsid w:val="009F0C0B"/>
    <w:rsid w:val="009F0C73"/>
    <w:rsid w:val="009F0D35"/>
    <w:rsid w:val="009F0DE6"/>
    <w:rsid w:val="009F0FB7"/>
    <w:rsid w:val="009F1019"/>
    <w:rsid w:val="009F111D"/>
    <w:rsid w:val="009F1157"/>
    <w:rsid w:val="009F137F"/>
    <w:rsid w:val="009F140D"/>
    <w:rsid w:val="009F142D"/>
    <w:rsid w:val="009F14F2"/>
    <w:rsid w:val="009F1729"/>
    <w:rsid w:val="009F1773"/>
    <w:rsid w:val="009F17B1"/>
    <w:rsid w:val="009F186E"/>
    <w:rsid w:val="009F1914"/>
    <w:rsid w:val="009F199D"/>
    <w:rsid w:val="009F1A14"/>
    <w:rsid w:val="009F1A1B"/>
    <w:rsid w:val="009F1A7A"/>
    <w:rsid w:val="009F1AC0"/>
    <w:rsid w:val="009F1BF7"/>
    <w:rsid w:val="009F1C07"/>
    <w:rsid w:val="009F1DA3"/>
    <w:rsid w:val="009F1DB7"/>
    <w:rsid w:val="009F1DD8"/>
    <w:rsid w:val="009F1E72"/>
    <w:rsid w:val="009F1EB2"/>
    <w:rsid w:val="009F1EDA"/>
    <w:rsid w:val="009F1F1B"/>
    <w:rsid w:val="009F1FD0"/>
    <w:rsid w:val="009F2047"/>
    <w:rsid w:val="009F2091"/>
    <w:rsid w:val="009F22D7"/>
    <w:rsid w:val="009F23BA"/>
    <w:rsid w:val="009F246C"/>
    <w:rsid w:val="009F24BA"/>
    <w:rsid w:val="009F250C"/>
    <w:rsid w:val="009F25A2"/>
    <w:rsid w:val="009F262E"/>
    <w:rsid w:val="009F267A"/>
    <w:rsid w:val="009F26F2"/>
    <w:rsid w:val="009F27E4"/>
    <w:rsid w:val="009F2962"/>
    <w:rsid w:val="009F2A65"/>
    <w:rsid w:val="009F2B2D"/>
    <w:rsid w:val="009F2BF3"/>
    <w:rsid w:val="009F2CA9"/>
    <w:rsid w:val="009F2CC0"/>
    <w:rsid w:val="009F2CCE"/>
    <w:rsid w:val="009F2D26"/>
    <w:rsid w:val="009F2F63"/>
    <w:rsid w:val="009F2FCA"/>
    <w:rsid w:val="009F303B"/>
    <w:rsid w:val="009F30A9"/>
    <w:rsid w:val="009F30C6"/>
    <w:rsid w:val="009F31FD"/>
    <w:rsid w:val="009F3234"/>
    <w:rsid w:val="009F33B1"/>
    <w:rsid w:val="009F33C3"/>
    <w:rsid w:val="009F344C"/>
    <w:rsid w:val="009F34AF"/>
    <w:rsid w:val="009F350B"/>
    <w:rsid w:val="009F353A"/>
    <w:rsid w:val="009F364A"/>
    <w:rsid w:val="009F3754"/>
    <w:rsid w:val="009F37C1"/>
    <w:rsid w:val="009F3822"/>
    <w:rsid w:val="009F384C"/>
    <w:rsid w:val="009F3A04"/>
    <w:rsid w:val="009F3B3D"/>
    <w:rsid w:val="009F3B46"/>
    <w:rsid w:val="009F3B51"/>
    <w:rsid w:val="009F3B6D"/>
    <w:rsid w:val="009F3C00"/>
    <w:rsid w:val="009F3C35"/>
    <w:rsid w:val="009F3C51"/>
    <w:rsid w:val="009F3D4F"/>
    <w:rsid w:val="009F3E1B"/>
    <w:rsid w:val="009F3E9E"/>
    <w:rsid w:val="009F3EBC"/>
    <w:rsid w:val="009F3EC0"/>
    <w:rsid w:val="009F414E"/>
    <w:rsid w:val="009F41FE"/>
    <w:rsid w:val="009F4446"/>
    <w:rsid w:val="009F448D"/>
    <w:rsid w:val="009F461F"/>
    <w:rsid w:val="009F46AA"/>
    <w:rsid w:val="009F471F"/>
    <w:rsid w:val="009F47CD"/>
    <w:rsid w:val="009F4977"/>
    <w:rsid w:val="009F4A18"/>
    <w:rsid w:val="009F4ACD"/>
    <w:rsid w:val="009F4AF3"/>
    <w:rsid w:val="009F4B70"/>
    <w:rsid w:val="009F4BB2"/>
    <w:rsid w:val="009F4BF0"/>
    <w:rsid w:val="009F4C69"/>
    <w:rsid w:val="009F4C7D"/>
    <w:rsid w:val="009F4CF4"/>
    <w:rsid w:val="009F4D10"/>
    <w:rsid w:val="009F4D4A"/>
    <w:rsid w:val="009F4D7B"/>
    <w:rsid w:val="009F4F65"/>
    <w:rsid w:val="009F4F75"/>
    <w:rsid w:val="009F4FD0"/>
    <w:rsid w:val="009F5052"/>
    <w:rsid w:val="009F50A7"/>
    <w:rsid w:val="009F5109"/>
    <w:rsid w:val="009F53A7"/>
    <w:rsid w:val="009F544F"/>
    <w:rsid w:val="009F5610"/>
    <w:rsid w:val="009F5698"/>
    <w:rsid w:val="009F56D2"/>
    <w:rsid w:val="009F586B"/>
    <w:rsid w:val="009F5961"/>
    <w:rsid w:val="009F5A12"/>
    <w:rsid w:val="009F5A1A"/>
    <w:rsid w:val="009F5C6A"/>
    <w:rsid w:val="009F5CBF"/>
    <w:rsid w:val="009F5CC6"/>
    <w:rsid w:val="009F5D79"/>
    <w:rsid w:val="009F5DB5"/>
    <w:rsid w:val="009F5E44"/>
    <w:rsid w:val="009F5F08"/>
    <w:rsid w:val="009F604C"/>
    <w:rsid w:val="009F6108"/>
    <w:rsid w:val="009F62DD"/>
    <w:rsid w:val="009F6307"/>
    <w:rsid w:val="009F6310"/>
    <w:rsid w:val="009F6327"/>
    <w:rsid w:val="009F63B7"/>
    <w:rsid w:val="009F6543"/>
    <w:rsid w:val="009F65AF"/>
    <w:rsid w:val="009F6702"/>
    <w:rsid w:val="009F6847"/>
    <w:rsid w:val="009F68A8"/>
    <w:rsid w:val="009F6914"/>
    <w:rsid w:val="009F6916"/>
    <w:rsid w:val="009F6948"/>
    <w:rsid w:val="009F699B"/>
    <w:rsid w:val="009F6A13"/>
    <w:rsid w:val="009F6C72"/>
    <w:rsid w:val="009F6C90"/>
    <w:rsid w:val="009F6D64"/>
    <w:rsid w:val="009F6DD5"/>
    <w:rsid w:val="009F6E8D"/>
    <w:rsid w:val="009F6F0C"/>
    <w:rsid w:val="009F6F10"/>
    <w:rsid w:val="009F6F3C"/>
    <w:rsid w:val="009F6FC1"/>
    <w:rsid w:val="009F7089"/>
    <w:rsid w:val="009F721F"/>
    <w:rsid w:val="009F7264"/>
    <w:rsid w:val="009F7338"/>
    <w:rsid w:val="009F73AD"/>
    <w:rsid w:val="009F7523"/>
    <w:rsid w:val="009F75BB"/>
    <w:rsid w:val="009F7642"/>
    <w:rsid w:val="009F769B"/>
    <w:rsid w:val="009F76EA"/>
    <w:rsid w:val="009F7792"/>
    <w:rsid w:val="009F7796"/>
    <w:rsid w:val="009F77FD"/>
    <w:rsid w:val="009F782C"/>
    <w:rsid w:val="009F7854"/>
    <w:rsid w:val="009F78C8"/>
    <w:rsid w:val="009F7A9F"/>
    <w:rsid w:val="009F7AA2"/>
    <w:rsid w:val="009F7B26"/>
    <w:rsid w:val="009F7BA3"/>
    <w:rsid w:val="009F7C63"/>
    <w:rsid w:val="009F7CD4"/>
    <w:rsid w:val="009F7E26"/>
    <w:rsid w:val="009F7E46"/>
    <w:rsid w:val="009F7ED4"/>
    <w:rsid w:val="009F7F56"/>
    <w:rsid w:val="009F7FA4"/>
    <w:rsid w:val="00A00052"/>
    <w:rsid w:val="00A00167"/>
    <w:rsid w:val="00A00357"/>
    <w:rsid w:val="00A0036F"/>
    <w:rsid w:val="00A003F5"/>
    <w:rsid w:val="00A00459"/>
    <w:rsid w:val="00A0054E"/>
    <w:rsid w:val="00A00551"/>
    <w:rsid w:val="00A0056B"/>
    <w:rsid w:val="00A005A3"/>
    <w:rsid w:val="00A005CF"/>
    <w:rsid w:val="00A005DA"/>
    <w:rsid w:val="00A006F4"/>
    <w:rsid w:val="00A0076F"/>
    <w:rsid w:val="00A007D5"/>
    <w:rsid w:val="00A00845"/>
    <w:rsid w:val="00A008D6"/>
    <w:rsid w:val="00A00961"/>
    <w:rsid w:val="00A00976"/>
    <w:rsid w:val="00A00984"/>
    <w:rsid w:val="00A009E1"/>
    <w:rsid w:val="00A009E6"/>
    <w:rsid w:val="00A00AB7"/>
    <w:rsid w:val="00A00AF9"/>
    <w:rsid w:val="00A00B06"/>
    <w:rsid w:val="00A00B58"/>
    <w:rsid w:val="00A00BB0"/>
    <w:rsid w:val="00A00CCA"/>
    <w:rsid w:val="00A00CF9"/>
    <w:rsid w:val="00A00DCA"/>
    <w:rsid w:val="00A00E66"/>
    <w:rsid w:val="00A00F38"/>
    <w:rsid w:val="00A0102F"/>
    <w:rsid w:val="00A010C0"/>
    <w:rsid w:val="00A01211"/>
    <w:rsid w:val="00A01285"/>
    <w:rsid w:val="00A01487"/>
    <w:rsid w:val="00A0160F"/>
    <w:rsid w:val="00A01623"/>
    <w:rsid w:val="00A01670"/>
    <w:rsid w:val="00A01689"/>
    <w:rsid w:val="00A01759"/>
    <w:rsid w:val="00A01765"/>
    <w:rsid w:val="00A0179F"/>
    <w:rsid w:val="00A017BD"/>
    <w:rsid w:val="00A01805"/>
    <w:rsid w:val="00A0195C"/>
    <w:rsid w:val="00A01973"/>
    <w:rsid w:val="00A019FD"/>
    <w:rsid w:val="00A01AB3"/>
    <w:rsid w:val="00A01B67"/>
    <w:rsid w:val="00A01BB2"/>
    <w:rsid w:val="00A01D30"/>
    <w:rsid w:val="00A01D44"/>
    <w:rsid w:val="00A01D72"/>
    <w:rsid w:val="00A01D7D"/>
    <w:rsid w:val="00A01D80"/>
    <w:rsid w:val="00A01DE3"/>
    <w:rsid w:val="00A01F24"/>
    <w:rsid w:val="00A01FA5"/>
    <w:rsid w:val="00A0204E"/>
    <w:rsid w:val="00A0205F"/>
    <w:rsid w:val="00A02067"/>
    <w:rsid w:val="00A020B6"/>
    <w:rsid w:val="00A0216D"/>
    <w:rsid w:val="00A021BE"/>
    <w:rsid w:val="00A021EC"/>
    <w:rsid w:val="00A02268"/>
    <w:rsid w:val="00A0231A"/>
    <w:rsid w:val="00A02336"/>
    <w:rsid w:val="00A023ED"/>
    <w:rsid w:val="00A02428"/>
    <w:rsid w:val="00A02560"/>
    <w:rsid w:val="00A02564"/>
    <w:rsid w:val="00A0256F"/>
    <w:rsid w:val="00A02691"/>
    <w:rsid w:val="00A02752"/>
    <w:rsid w:val="00A027BC"/>
    <w:rsid w:val="00A0280C"/>
    <w:rsid w:val="00A0291D"/>
    <w:rsid w:val="00A02995"/>
    <w:rsid w:val="00A029EE"/>
    <w:rsid w:val="00A02A7B"/>
    <w:rsid w:val="00A02B80"/>
    <w:rsid w:val="00A02BB9"/>
    <w:rsid w:val="00A02C22"/>
    <w:rsid w:val="00A02C68"/>
    <w:rsid w:val="00A02C6F"/>
    <w:rsid w:val="00A02CFF"/>
    <w:rsid w:val="00A02D6F"/>
    <w:rsid w:val="00A02E9F"/>
    <w:rsid w:val="00A02EE2"/>
    <w:rsid w:val="00A02EEE"/>
    <w:rsid w:val="00A02F0C"/>
    <w:rsid w:val="00A02F35"/>
    <w:rsid w:val="00A0305B"/>
    <w:rsid w:val="00A03096"/>
    <w:rsid w:val="00A030EE"/>
    <w:rsid w:val="00A031D1"/>
    <w:rsid w:val="00A03320"/>
    <w:rsid w:val="00A0332F"/>
    <w:rsid w:val="00A03392"/>
    <w:rsid w:val="00A033C4"/>
    <w:rsid w:val="00A034AB"/>
    <w:rsid w:val="00A034E5"/>
    <w:rsid w:val="00A03589"/>
    <w:rsid w:val="00A0371C"/>
    <w:rsid w:val="00A03791"/>
    <w:rsid w:val="00A038DE"/>
    <w:rsid w:val="00A038FE"/>
    <w:rsid w:val="00A03990"/>
    <w:rsid w:val="00A039C9"/>
    <w:rsid w:val="00A039F9"/>
    <w:rsid w:val="00A03A79"/>
    <w:rsid w:val="00A03AA3"/>
    <w:rsid w:val="00A03B65"/>
    <w:rsid w:val="00A03C01"/>
    <w:rsid w:val="00A03C67"/>
    <w:rsid w:val="00A03CC4"/>
    <w:rsid w:val="00A03CFB"/>
    <w:rsid w:val="00A03D37"/>
    <w:rsid w:val="00A03E1A"/>
    <w:rsid w:val="00A03E2E"/>
    <w:rsid w:val="00A03EBB"/>
    <w:rsid w:val="00A040AE"/>
    <w:rsid w:val="00A041DD"/>
    <w:rsid w:val="00A041E6"/>
    <w:rsid w:val="00A04210"/>
    <w:rsid w:val="00A04273"/>
    <w:rsid w:val="00A042CD"/>
    <w:rsid w:val="00A04411"/>
    <w:rsid w:val="00A0443C"/>
    <w:rsid w:val="00A0444A"/>
    <w:rsid w:val="00A044D1"/>
    <w:rsid w:val="00A04597"/>
    <w:rsid w:val="00A045ED"/>
    <w:rsid w:val="00A045F9"/>
    <w:rsid w:val="00A0482A"/>
    <w:rsid w:val="00A04920"/>
    <w:rsid w:val="00A0497B"/>
    <w:rsid w:val="00A04A4C"/>
    <w:rsid w:val="00A04A5B"/>
    <w:rsid w:val="00A04B4D"/>
    <w:rsid w:val="00A04BC4"/>
    <w:rsid w:val="00A04C31"/>
    <w:rsid w:val="00A04C60"/>
    <w:rsid w:val="00A04D4F"/>
    <w:rsid w:val="00A04DDE"/>
    <w:rsid w:val="00A04E46"/>
    <w:rsid w:val="00A0507E"/>
    <w:rsid w:val="00A050FD"/>
    <w:rsid w:val="00A052BF"/>
    <w:rsid w:val="00A0545D"/>
    <w:rsid w:val="00A05503"/>
    <w:rsid w:val="00A0558C"/>
    <w:rsid w:val="00A055FD"/>
    <w:rsid w:val="00A05627"/>
    <w:rsid w:val="00A05643"/>
    <w:rsid w:val="00A05714"/>
    <w:rsid w:val="00A0571D"/>
    <w:rsid w:val="00A057FC"/>
    <w:rsid w:val="00A05937"/>
    <w:rsid w:val="00A059F2"/>
    <w:rsid w:val="00A05A15"/>
    <w:rsid w:val="00A05BF5"/>
    <w:rsid w:val="00A05C2F"/>
    <w:rsid w:val="00A05C57"/>
    <w:rsid w:val="00A05CC1"/>
    <w:rsid w:val="00A05DB4"/>
    <w:rsid w:val="00A05E42"/>
    <w:rsid w:val="00A05EA5"/>
    <w:rsid w:val="00A05EAE"/>
    <w:rsid w:val="00A05ECD"/>
    <w:rsid w:val="00A06018"/>
    <w:rsid w:val="00A060B0"/>
    <w:rsid w:val="00A06138"/>
    <w:rsid w:val="00A0624E"/>
    <w:rsid w:val="00A062D2"/>
    <w:rsid w:val="00A0634C"/>
    <w:rsid w:val="00A06381"/>
    <w:rsid w:val="00A064AB"/>
    <w:rsid w:val="00A064F1"/>
    <w:rsid w:val="00A065A8"/>
    <w:rsid w:val="00A065F9"/>
    <w:rsid w:val="00A06677"/>
    <w:rsid w:val="00A066CA"/>
    <w:rsid w:val="00A06728"/>
    <w:rsid w:val="00A06813"/>
    <w:rsid w:val="00A0681B"/>
    <w:rsid w:val="00A069BA"/>
    <w:rsid w:val="00A06ADB"/>
    <w:rsid w:val="00A06C83"/>
    <w:rsid w:val="00A06CB9"/>
    <w:rsid w:val="00A06D0E"/>
    <w:rsid w:val="00A06D34"/>
    <w:rsid w:val="00A06D38"/>
    <w:rsid w:val="00A06EC0"/>
    <w:rsid w:val="00A06EE2"/>
    <w:rsid w:val="00A06F18"/>
    <w:rsid w:val="00A06F21"/>
    <w:rsid w:val="00A0708B"/>
    <w:rsid w:val="00A07187"/>
    <w:rsid w:val="00A0718D"/>
    <w:rsid w:val="00A071B0"/>
    <w:rsid w:val="00A072A0"/>
    <w:rsid w:val="00A072F9"/>
    <w:rsid w:val="00A0745F"/>
    <w:rsid w:val="00A074AB"/>
    <w:rsid w:val="00A0760B"/>
    <w:rsid w:val="00A0767F"/>
    <w:rsid w:val="00A0768D"/>
    <w:rsid w:val="00A076A8"/>
    <w:rsid w:val="00A076A9"/>
    <w:rsid w:val="00A0774B"/>
    <w:rsid w:val="00A07760"/>
    <w:rsid w:val="00A07783"/>
    <w:rsid w:val="00A07913"/>
    <w:rsid w:val="00A07923"/>
    <w:rsid w:val="00A0792E"/>
    <w:rsid w:val="00A0794C"/>
    <w:rsid w:val="00A079C0"/>
    <w:rsid w:val="00A079D3"/>
    <w:rsid w:val="00A079FA"/>
    <w:rsid w:val="00A07AFB"/>
    <w:rsid w:val="00A07B3C"/>
    <w:rsid w:val="00A07C26"/>
    <w:rsid w:val="00A07D1A"/>
    <w:rsid w:val="00A07DF2"/>
    <w:rsid w:val="00A07E05"/>
    <w:rsid w:val="00A07F47"/>
    <w:rsid w:val="00A07FE2"/>
    <w:rsid w:val="00A10035"/>
    <w:rsid w:val="00A100C7"/>
    <w:rsid w:val="00A1014D"/>
    <w:rsid w:val="00A101E0"/>
    <w:rsid w:val="00A101F7"/>
    <w:rsid w:val="00A10216"/>
    <w:rsid w:val="00A10278"/>
    <w:rsid w:val="00A10368"/>
    <w:rsid w:val="00A103E9"/>
    <w:rsid w:val="00A1045D"/>
    <w:rsid w:val="00A10507"/>
    <w:rsid w:val="00A106C7"/>
    <w:rsid w:val="00A1073D"/>
    <w:rsid w:val="00A107E5"/>
    <w:rsid w:val="00A10953"/>
    <w:rsid w:val="00A1098F"/>
    <w:rsid w:val="00A109B1"/>
    <w:rsid w:val="00A10A23"/>
    <w:rsid w:val="00A10A67"/>
    <w:rsid w:val="00A10A8C"/>
    <w:rsid w:val="00A10B25"/>
    <w:rsid w:val="00A10B33"/>
    <w:rsid w:val="00A10B4D"/>
    <w:rsid w:val="00A10B60"/>
    <w:rsid w:val="00A10B86"/>
    <w:rsid w:val="00A10B90"/>
    <w:rsid w:val="00A10CCA"/>
    <w:rsid w:val="00A10D2C"/>
    <w:rsid w:val="00A10DB2"/>
    <w:rsid w:val="00A10F33"/>
    <w:rsid w:val="00A10FDE"/>
    <w:rsid w:val="00A11249"/>
    <w:rsid w:val="00A112BE"/>
    <w:rsid w:val="00A11368"/>
    <w:rsid w:val="00A1142D"/>
    <w:rsid w:val="00A11514"/>
    <w:rsid w:val="00A115F5"/>
    <w:rsid w:val="00A116C8"/>
    <w:rsid w:val="00A11724"/>
    <w:rsid w:val="00A11829"/>
    <w:rsid w:val="00A11898"/>
    <w:rsid w:val="00A1191D"/>
    <w:rsid w:val="00A1193F"/>
    <w:rsid w:val="00A119D1"/>
    <w:rsid w:val="00A11AB5"/>
    <w:rsid w:val="00A11AC6"/>
    <w:rsid w:val="00A11B7A"/>
    <w:rsid w:val="00A11C5B"/>
    <w:rsid w:val="00A11CF5"/>
    <w:rsid w:val="00A11E45"/>
    <w:rsid w:val="00A11F68"/>
    <w:rsid w:val="00A11F99"/>
    <w:rsid w:val="00A12013"/>
    <w:rsid w:val="00A12086"/>
    <w:rsid w:val="00A1216D"/>
    <w:rsid w:val="00A12175"/>
    <w:rsid w:val="00A12248"/>
    <w:rsid w:val="00A122BC"/>
    <w:rsid w:val="00A12352"/>
    <w:rsid w:val="00A12427"/>
    <w:rsid w:val="00A1243D"/>
    <w:rsid w:val="00A124B4"/>
    <w:rsid w:val="00A124D7"/>
    <w:rsid w:val="00A12528"/>
    <w:rsid w:val="00A12692"/>
    <w:rsid w:val="00A1270E"/>
    <w:rsid w:val="00A127DB"/>
    <w:rsid w:val="00A127E8"/>
    <w:rsid w:val="00A128BD"/>
    <w:rsid w:val="00A128D2"/>
    <w:rsid w:val="00A12AC7"/>
    <w:rsid w:val="00A12BA9"/>
    <w:rsid w:val="00A12C3A"/>
    <w:rsid w:val="00A12D9D"/>
    <w:rsid w:val="00A12DA3"/>
    <w:rsid w:val="00A12DA4"/>
    <w:rsid w:val="00A12DA7"/>
    <w:rsid w:val="00A12DB1"/>
    <w:rsid w:val="00A12DD6"/>
    <w:rsid w:val="00A12F0A"/>
    <w:rsid w:val="00A12FDE"/>
    <w:rsid w:val="00A13092"/>
    <w:rsid w:val="00A130D3"/>
    <w:rsid w:val="00A130DB"/>
    <w:rsid w:val="00A1316E"/>
    <w:rsid w:val="00A1324F"/>
    <w:rsid w:val="00A132D5"/>
    <w:rsid w:val="00A13373"/>
    <w:rsid w:val="00A133AE"/>
    <w:rsid w:val="00A133FB"/>
    <w:rsid w:val="00A13434"/>
    <w:rsid w:val="00A1349A"/>
    <w:rsid w:val="00A1349E"/>
    <w:rsid w:val="00A13523"/>
    <w:rsid w:val="00A1354E"/>
    <w:rsid w:val="00A1356A"/>
    <w:rsid w:val="00A135D9"/>
    <w:rsid w:val="00A135E3"/>
    <w:rsid w:val="00A13785"/>
    <w:rsid w:val="00A13908"/>
    <w:rsid w:val="00A13957"/>
    <w:rsid w:val="00A13A5E"/>
    <w:rsid w:val="00A13A87"/>
    <w:rsid w:val="00A13B57"/>
    <w:rsid w:val="00A13C0F"/>
    <w:rsid w:val="00A13C6B"/>
    <w:rsid w:val="00A13D1B"/>
    <w:rsid w:val="00A13DA9"/>
    <w:rsid w:val="00A13E80"/>
    <w:rsid w:val="00A13F62"/>
    <w:rsid w:val="00A1402C"/>
    <w:rsid w:val="00A140C9"/>
    <w:rsid w:val="00A141DF"/>
    <w:rsid w:val="00A1420E"/>
    <w:rsid w:val="00A1430D"/>
    <w:rsid w:val="00A14380"/>
    <w:rsid w:val="00A1438B"/>
    <w:rsid w:val="00A14424"/>
    <w:rsid w:val="00A1448E"/>
    <w:rsid w:val="00A144A3"/>
    <w:rsid w:val="00A144C4"/>
    <w:rsid w:val="00A145B5"/>
    <w:rsid w:val="00A14680"/>
    <w:rsid w:val="00A14691"/>
    <w:rsid w:val="00A146BF"/>
    <w:rsid w:val="00A14730"/>
    <w:rsid w:val="00A147A5"/>
    <w:rsid w:val="00A148F6"/>
    <w:rsid w:val="00A1491C"/>
    <w:rsid w:val="00A14940"/>
    <w:rsid w:val="00A14A54"/>
    <w:rsid w:val="00A14ABA"/>
    <w:rsid w:val="00A14B71"/>
    <w:rsid w:val="00A14CF0"/>
    <w:rsid w:val="00A14D8A"/>
    <w:rsid w:val="00A14E1E"/>
    <w:rsid w:val="00A14E57"/>
    <w:rsid w:val="00A14EBB"/>
    <w:rsid w:val="00A14F4D"/>
    <w:rsid w:val="00A14FC3"/>
    <w:rsid w:val="00A15104"/>
    <w:rsid w:val="00A1537D"/>
    <w:rsid w:val="00A15395"/>
    <w:rsid w:val="00A153A8"/>
    <w:rsid w:val="00A154B8"/>
    <w:rsid w:val="00A154BF"/>
    <w:rsid w:val="00A15585"/>
    <w:rsid w:val="00A155FC"/>
    <w:rsid w:val="00A15613"/>
    <w:rsid w:val="00A15658"/>
    <w:rsid w:val="00A15663"/>
    <w:rsid w:val="00A1567F"/>
    <w:rsid w:val="00A15683"/>
    <w:rsid w:val="00A15723"/>
    <w:rsid w:val="00A157C0"/>
    <w:rsid w:val="00A15885"/>
    <w:rsid w:val="00A158F1"/>
    <w:rsid w:val="00A15B6E"/>
    <w:rsid w:val="00A15BC1"/>
    <w:rsid w:val="00A15C9F"/>
    <w:rsid w:val="00A15D12"/>
    <w:rsid w:val="00A15D71"/>
    <w:rsid w:val="00A15DA3"/>
    <w:rsid w:val="00A15DDF"/>
    <w:rsid w:val="00A15EC7"/>
    <w:rsid w:val="00A15F0A"/>
    <w:rsid w:val="00A15FAB"/>
    <w:rsid w:val="00A160AA"/>
    <w:rsid w:val="00A1615C"/>
    <w:rsid w:val="00A16242"/>
    <w:rsid w:val="00A16249"/>
    <w:rsid w:val="00A162A8"/>
    <w:rsid w:val="00A162AE"/>
    <w:rsid w:val="00A1630E"/>
    <w:rsid w:val="00A163AF"/>
    <w:rsid w:val="00A1641C"/>
    <w:rsid w:val="00A164AC"/>
    <w:rsid w:val="00A16561"/>
    <w:rsid w:val="00A165F4"/>
    <w:rsid w:val="00A1670D"/>
    <w:rsid w:val="00A16750"/>
    <w:rsid w:val="00A167A6"/>
    <w:rsid w:val="00A1692C"/>
    <w:rsid w:val="00A169CE"/>
    <w:rsid w:val="00A16B6F"/>
    <w:rsid w:val="00A16E1E"/>
    <w:rsid w:val="00A16E34"/>
    <w:rsid w:val="00A17043"/>
    <w:rsid w:val="00A17054"/>
    <w:rsid w:val="00A170BF"/>
    <w:rsid w:val="00A1716B"/>
    <w:rsid w:val="00A17569"/>
    <w:rsid w:val="00A176A9"/>
    <w:rsid w:val="00A176AF"/>
    <w:rsid w:val="00A17711"/>
    <w:rsid w:val="00A17715"/>
    <w:rsid w:val="00A17747"/>
    <w:rsid w:val="00A17859"/>
    <w:rsid w:val="00A178BB"/>
    <w:rsid w:val="00A17957"/>
    <w:rsid w:val="00A1797D"/>
    <w:rsid w:val="00A17A04"/>
    <w:rsid w:val="00A17AB0"/>
    <w:rsid w:val="00A17AED"/>
    <w:rsid w:val="00A17AEE"/>
    <w:rsid w:val="00A17B0B"/>
    <w:rsid w:val="00A17C8F"/>
    <w:rsid w:val="00A17C9E"/>
    <w:rsid w:val="00A17CF2"/>
    <w:rsid w:val="00A17E28"/>
    <w:rsid w:val="00A17EBB"/>
    <w:rsid w:val="00A17F95"/>
    <w:rsid w:val="00A17FC2"/>
    <w:rsid w:val="00A20097"/>
    <w:rsid w:val="00A201C7"/>
    <w:rsid w:val="00A201DF"/>
    <w:rsid w:val="00A202CC"/>
    <w:rsid w:val="00A20475"/>
    <w:rsid w:val="00A20581"/>
    <w:rsid w:val="00A205DA"/>
    <w:rsid w:val="00A2062A"/>
    <w:rsid w:val="00A20639"/>
    <w:rsid w:val="00A2067E"/>
    <w:rsid w:val="00A20703"/>
    <w:rsid w:val="00A20834"/>
    <w:rsid w:val="00A20844"/>
    <w:rsid w:val="00A20966"/>
    <w:rsid w:val="00A20974"/>
    <w:rsid w:val="00A20A60"/>
    <w:rsid w:val="00A20AAE"/>
    <w:rsid w:val="00A20B30"/>
    <w:rsid w:val="00A20C0B"/>
    <w:rsid w:val="00A20C16"/>
    <w:rsid w:val="00A20C1B"/>
    <w:rsid w:val="00A20C1F"/>
    <w:rsid w:val="00A20C2B"/>
    <w:rsid w:val="00A20D3B"/>
    <w:rsid w:val="00A20EB5"/>
    <w:rsid w:val="00A20EC3"/>
    <w:rsid w:val="00A20F63"/>
    <w:rsid w:val="00A21066"/>
    <w:rsid w:val="00A2109D"/>
    <w:rsid w:val="00A210CA"/>
    <w:rsid w:val="00A21165"/>
    <w:rsid w:val="00A212C4"/>
    <w:rsid w:val="00A2141A"/>
    <w:rsid w:val="00A21511"/>
    <w:rsid w:val="00A21608"/>
    <w:rsid w:val="00A2171C"/>
    <w:rsid w:val="00A217E8"/>
    <w:rsid w:val="00A21992"/>
    <w:rsid w:val="00A21A4D"/>
    <w:rsid w:val="00A21AC9"/>
    <w:rsid w:val="00A21BA9"/>
    <w:rsid w:val="00A21BD7"/>
    <w:rsid w:val="00A21BDB"/>
    <w:rsid w:val="00A21D2A"/>
    <w:rsid w:val="00A21D42"/>
    <w:rsid w:val="00A21DF2"/>
    <w:rsid w:val="00A21E07"/>
    <w:rsid w:val="00A21E10"/>
    <w:rsid w:val="00A21EAA"/>
    <w:rsid w:val="00A21ED8"/>
    <w:rsid w:val="00A21F01"/>
    <w:rsid w:val="00A21F2E"/>
    <w:rsid w:val="00A21F5D"/>
    <w:rsid w:val="00A22200"/>
    <w:rsid w:val="00A2232F"/>
    <w:rsid w:val="00A22357"/>
    <w:rsid w:val="00A2246A"/>
    <w:rsid w:val="00A2255A"/>
    <w:rsid w:val="00A2255C"/>
    <w:rsid w:val="00A2259A"/>
    <w:rsid w:val="00A225E2"/>
    <w:rsid w:val="00A22822"/>
    <w:rsid w:val="00A228C3"/>
    <w:rsid w:val="00A228C6"/>
    <w:rsid w:val="00A22947"/>
    <w:rsid w:val="00A22A5F"/>
    <w:rsid w:val="00A22AC9"/>
    <w:rsid w:val="00A22B9E"/>
    <w:rsid w:val="00A22C4C"/>
    <w:rsid w:val="00A22C6E"/>
    <w:rsid w:val="00A22D30"/>
    <w:rsid w:val="00A22D3D"/>
    <w:rsid w:val="00A2300C"/>
    <w:rsid w:val="00A2303D"/>
    <w:rsid w:val="00A23073"/>
    <w:rsid w:val="00A231A2"/>
    <w:rsid w:val="00A231BC"/>
    <w:rsid w:val="00A2328E"/>
    <w:rsid w:val="00A23342"/>
    <w:rsid w:val="00A23359"/>
    <w:rsid w:val="00A23430"/>
    <w:rsid w:val="00A234B1"/>
    <w:rsid w:val="00A23503"/>
    <w:rsid w:val="00A23584"/>
    <w:rsid w:val="00A235BE"/>
    <w:rsid w:val="00A2360C"/>
    <w:rsid w:val="00A23638"/>
    <w:rsid w:val="00A236BD"/>
    <w:rsid w:val="00A236EB"/>
    <w:rsid w:val="00A237D9"/>
    <w:rsid w:val="00A238A6"/>
    <w:rsid w:val="00A239A8"/>
    <w:rsid w:val="00A239AC"/>
    <w:rsid w:val="00A23A11"/>
    <w:rsid w:val="00A23B7C"/>
    <w:rsid w:val="00A23B99"/>
    <w:rsid w:val="00A23D27"/>
    <w:rsid w:val="00A23DB2"/>
    <w:rsid w:val="00A23EA7"/>
    <w:rsid w:val="00A23ED8"/>
    <w:rsid w:val="00A23EE3"/>
    <w:rsid w:val="00A23F16"/>
    <w:rsid w:val="00A23FB9"/>
    <w:rsid w:val="00A24078"/>
    <w:rsid w:val="00A240B7"/>
    <w:rsid w:val="00A241AF"/>
    <w:rsid w:val="00A241E5"/>
    <w:rsid w:val="00A241EC"/>
    <w:rsid w:val="00A241FC"/>
    <w:rsid w:val="00A24291"/>
    <w:rsid w:val="00A242FD"/>
    <w:rsid w:val="00A243BC"/>
    <w:rsid w:val="00A2453B"/>
    <w:rsid w:val="00A24568"/>
    <w:rsid w:val="00A24692"/>
    <w:rsid w:val="00A246D0"/>
    <w:rsid w:val="00A24762"/>
    <w:rsid w:val="00A2488B"/>
    <w:rsid w:val="00A2488E"/>
    <w:rsid w:val="00A248B7"/>
    <w:rsid w:val="00A248C4"/>
    <w:rsid w:val="00A2494C"/>
    <w:rsid w:val="00A24959"/>
    <w:rsid w:val="00A2495A"/>
    <w:rsid w:val="00A24A93"/>
    <w:rsid w:val="00A24B25"/>
    <w:rsid w:val="00A24B4C"/>
    <w:rsid w:val="00A24B5B"/>
    <w:rsid w:val="00A24BF6"/>
    <w:rsid w:val="00A24C7B"/>
    <w:rsid w:val="00A24D62"/>
    <w:rsid w:val="00A24DD2"/>
    <w:rsid w:val="00A24F43"/>
    <w:rsid w:val="00A25099"/>
    <w:rsid w:val="00A250AB"/>
    <w:rsid w:val="00A2516B"/>
    <w:rsid w:val="00A251BA"/>
    <w:rsid w:val="00A251DF"/>
    <w:rsid w:val="00A2527B"/>
    <w:rsid w:val="00A25281"/>
    <w:rsid w:val="00A25339"/>
    <w:rsid w:val="00A25398"/>
    <w:rsid w:val="00A253AD"/>
    <w:rsid w:val="00A25431"/>
    <w:rsid w:val="00A25457"/>
    <w:rsid w:val="00A254E9"/>
    <w:rsid w:val="00A2552A"/>
    <w:rsid w:val="00A25606"/>
    <w:rsid w:val="00A25627"/>
    <w:rsid w:val="00A25643"/>
    <w:rsid w:val="00A2564C"/>
    <w:rsid w:val="00A256E4"/>
    <w:rsid w:val="00A2585D"/>
    <w:rsid w:val="00A259B7"/>
    <w:rsid w:val="00A259FF"/>
    <w:rsid w:val="00A25AC2"/>
    <w:rsid w:val="00A25D2F"/>
    <w:rsid w:val="00A25DA8"/>
    <w:rsid w:val="00A25E25"/>
    <w:rsid w:val="00A25F91"/>
    <w:rsid w:val="00A25FEB"/>
    <w:rsid w:val="00A2624C"/>
    <w:rsid w:val="00A26277"/>
    <w:rsid w:val="00A2632A"/>
    <w:rsid w:val="00A264F7"/>
    <w:rsid w:val="00A26695"/>
    <w:rsid w:val="00A26697"/>
    <w:rsid w:val="00A266F4"/>
    <w:rsid w:val="00A267B1"/>
    <w:rsid w:val="00A2682C"/>
    <w:rsid w:val="00A268F0"/>
    <w:rsid w:val="00A26909"/>
    <w:rsid w:val="00A26958"/>
    <w:rsid w:val="00A26991"/>
    <w:rsid w:val="00A2699A"/>
    <w:rsid w:val="00A269A4"/>
    <w:rsid w:val="00A269C4"/>
    <w:rsid w:val="00A26ADE"/>
    <w:rsid w:val="00A26B6A"/>
    <w:rsid w:val="00A26BCE"/>
    <w:rsid w:val="00A26C3C"/>
    <w:rsid w:val="00A26C59"/>
    <w:rsid w:val="00A26C6A"/>
    <w:rsid w:val="00A26D59"/>
    <w:rsid w:val="00A26D61"/>
    <w:rsid w:val="00A26DB5"/>
    <w:rsid w:val="00A26DFD"/>
    <w:rsid w:val="00A26E9F"/>
    <w:rsid w:val="00A26F3E"/>
    <w:rsid w:val="00A26F6B"/>
    <w:rsid w:val="00A26FA4"/>
    <w:rsid w:val="00A26FC9"/>
    <w:rsid w:val="00A27158"/>
    <w:rsid w:val="00A27171"/>
    <w:rsid w:val="00A27183"/>
    <w:rsid w:val="00A2718E"/>
    <w:rsid w:val="00A2720F"/>
    <w:rsid w:val="00A2722E"/>
    <w:rsid w:val="00A27270"/>
    <w:rsid w:val="00A272AA"/>
    <w:rsid w:val="00A27373"/>
    <w:rsid w:val="00A2738F"/>
    <w:rsid w:val="00A273F8"/>
    <w:rsid w:val="00A273F9"/>
    <w:rsid w:val="00A27403"/>
    <w:rsid w:val="00A275E1"/>
    <w:rsid w:val="00A27617"/>
    <w:rsid w:val="00A2776F"/>
    <w:rsid w:val="00A27865"/>
    <w:rsid w:val="00A27886"/>
    <w:rsid w:val="00A278CB"/>
    <w:rsid w:val="00A27A72"/>
    <w:rsid w:val="00A27AA4"/>
    <w:rsid w:val="00A27AEF"/>
    <w:rsid w:val="00A27AF0"/>
    <w:rsid w:val="00A27B68"/>
    <w:rsid w:val="00A27B81"/>
    <w:rsid w:val="00A27C6F"/>
    <w:rsid w:val="00A27CF6"/>
    <w:rsid w:val="00A27D8E"/>
    <w:rsid w:val="00A27E3E"/>
    <w:rsid w:val="00A27FE9"/>
    <w:rsid w:val="00A27FF7"/>
    <w:rsid w:val="00A300F9"/>
    <w:rsid w:val="00A3015D"/>
    <w:rsid w:val="00A30195"/>
    <w:rsid w:val="00A30247"/>
    <w:rsid w:val="00A3032B"/>
    <w:rsid w:val="00A30485"/>
    <w:rsid w:val="00A304AA"/>
    <w:rsid w:val="00A306DF"/>
    <w:rsid w:val="00A30704"/>
    <w:rsid w:val="00A30709"/>
    <w:rsid w:val="00A3077A"/>
    <w:rsid w:val="00A307A0"/>
    <w:rsid w:val="00A3084A"/>
    <w:rsid w:val="00A30907"/>
    <w:rsid w:val="00A309FB"/>
    <w:rsid w:val="00A30A30"/>
    <w:rsid w:val="00A30AE3"/>
    <w:rsid w:val="00A30AF8"/>
    <w:rsid w:val="00A30B1D"/>
    <w:rsid w:val="00A30B34"/>
    <w:rsid w:val="00A30B5A"/>
    <w:rsid w:val="00A30BA1"/>
    <w:rsid w:val="00A30C34"/>
    <w:rsid w:val="00A30C4D"/>
    <w:rsid w:val="00A30D45"/>
    <w:rsid w:val="00A30E0F"/>
    <w:rsid w:val="00A30F4B"/>
    <w:rsid w:val="00A3105D"/>
    <w:rsid w:val="00A310B4"/>
    <w:rsid w:val="00A31162"/>
    <w:rsid w:val="00A31170"/>
    <w:rsid w:val="00A3133F"/>
    <w:rsid w:val="00A31344"/>
    <w:rsid w:val="00A31356"/>
    <w:rsid w:val="00A3143A"/>
    <w:rsid w:val="00A31495"/>
    <w:rsid w:val="00A3154A"/>
    <w:rsid w:val="00A315EE"/>
    <w:rsid w:val="00A31678"/>
    <w:rsid w:val="00A3167C"/>
    <w:rsid w:val="00A316E5"/>
    <w:rsid w:val="00A3173B"/>
    <w:rsid w:val="00A317B0"/>
    <w:rsid w:val="00A31857"/>
    <w:rsid w:val="00A31920"/>
    <w:rsid w:val="00A31934"/>
    <w:rsid w:val="00A319B4"/>
    <w:rsid w:val="00A31DA1"/>
    <w:rsid w:val="00A31E60"/>
    <w:rsid w:val="00A31E8D"/>
    <w:rsid w:val="00A31EBF"/>
    <w:rsid w:val="00A32013"/>
    <w:rsid w:val="00A3216F"/>
    <w:rsid w:val="00A32235"/>
    <w:rsid w:val="00A32515"/>
    <w:rsid w:val="00A325D0"/>
    <w:rsid w:val="00A326CE"/>
    <w:rsid w:val="00A3285C"/>
    <w:rsid w:val="00A329DA"/>
    <w:rsid w:val="00A329E0"/>
    <w:rsid w:val="00A329FD"/>
    <w:rsid w:val="00A32A2B"/>
    <w:rsid w:val="00A32A92"/>
    <w:rsid w:val="00A32ABB"/>
    <w:rsid w:val="00A32B0F"/>
    <w:rsid w:val="00A32B48"/>
    <w:rsid w:val="00A32B95"/>
    <w:rsid w:val="00A32BE0"/>
    <w:rsid w:val="00A32CBC"/>
    <w:rsid w:val="00A32D7E"/>
    <w:rsid w:val="00A32E10"/>
    <w:rsid w:val="00A32E1D"/>
    <w:rsid w:val="00A32E3A"/>
    <w:rsid w:val="00A32E55"/>
    <w:rsid w:val="00A32F08"/>
    <w:rsid w:val="00A32FB7"/>
    <w:rsid w:val="00A3303D"/>
    <w:rsid w:val="00A33211"/>
    <w:rsid w:val="00A332BC"/>
    <w:rsid w:val="00A33355"/>
    <w:rsid w:val="00A333AF"/>
    <w:rsid w:val="00A3342A"/>
    <w:rsid w:val="00A33489"/>
    <w:rsid w:val="00A33539"/>
    <w:rsid w:val="00A33594"/>
    <w:rsid w:val="00A335BC"/>
    <w:rsid w:val="00A335D3"/>
    <w:rsid w:val="00A3370D"/>
    <w:rsid w:val="00A33773"/>
    <w:rsid w:val="00A3378F"/>
    <w:rsid w:val="00A33790"/>
    <w:rsid w:val="00A337F2"/>
    <w:rsid w:val="00A33C37"/>
    <w:rsid w:val="00A33C50"/>
    <w:rsid w:val="00A33DBB"/>
    <w:rsid w:val="00A33DE9"/>
    <w:rsid w:val="00A33E25"/>
    <w:rsid w:val="00A33E55"/>
    <w:rsid w:val="00A33F03"/>
    <w:rsid w:val="00A33FBA"/>
    <w:rsid w:val="00A33FDC"/>
    <w:rsid w:val="00A34047"/>
    <w:rsid w:val="00A34267"/>
    <w:rsid w:val="00A342E3"/>
    <w:rsid w:val="00A34578"/>
    <w:rsid w:val="00A345FA"/>
    <w:rsid w:val="00A3461E"/>
    <w:rsid w:val="00A3463E"/>
    <w:rsid w:val="00A34707"/>
    <w:rsid w:val="00A348BA"/>
    <w:rsid w:val="00A348CE"/>
    <w:rsid w:val="00A348FA"/>
    <w:rsid w:val="00A34964"/>
    <w:rsid w:val="00A34A73"/>
    <w:rsid w:val="00A34B0C"/>
    <w:rsid w:val="00A34C39"/>
    <w:rsid w:val="00A34CF1"/>
    <w:rsid w:val="00A34DEE"/>
    <w:rsid w:val="00A34EBC"/>
    <w:rsid w:val="00A34F92"/>
    <w:rsid w:val="00A3500D"/>
    <w:rsid w:val="00A350E5"/>
    <w:rsid w:val="00A35165"/>
    <w:rsid w:val="00A351D4"/>
    <w:rsid w:val="00A351D6"/>
    <w:rsid w:val="00A35519"/>
    <w:rsid w:val="00A35586"/>
    <w:rsid w:val="00A355BD"/>
    <w:rsid w:val="00A357ED"/>
    <w:rsid w:val="00A357FF"/>
    <w:rsid w:val="00A3587C"/>
    <w:rsid w:val="00A35910"/>
    <w:rsid w:val="00A35A55"/>
    <w:rsid w:val="00A35AA1"/>
    <w:rsid w:val="00A35AE3"/>
    <w:rsid w:val="00A35AFD"/>
    <w:rsid w:val="00A35BD1"/>
    <w:rsid w:val="00A35D1D"/>
    <w:rsid w:val="00A35D2A"/>
    <w:rsid w:val="00A35E7B"/>
    <w:rsid w:val="00A35EB6"/>
    <w:rsid w:val="00A35F0A"/>
    <w:rsid w:val="00A35F2C"/>
    <w:rsid w:val="00A35F2F"/>
    <w:rsid w:val="00A3609C"/>
    <w:rsid w:val="00A360E4"/>
    <w:rsid w:val="00A36104"/>
    <w:rsid w:val="00A3612B"/>
    <w:rsid w:val="00A361E7"/>
    <w:rsid w:val="00A362F8"/>
    <w:rsid w:val="00A36375"/>
    <w:rsid w:val="00A36499"/>
    <w:rsid w:val="00A36541"/>
    <w:rsid w:val="00A3663C"/>
    <w:rsid w:val="00A367C9"/>
    <w:rsid w:val="00A367D5"/>
    <w:rsid w:val="00A36875"/>
    <w:rsid w:val="00A368DB"/>
    <w:rsid w:val="00A36938"/>
    <w:rsid w:val="00A36955"/>
    <w:rsid w:val="00A369CE"/>
    <w:rsid w:val="00A36A3E"/>
    <w:rsid w:val="00A36B27"/>
    <w:rsid w:val="00A36C86"/>
    <w:rsid w:val="00A36C8D"/>
    <w:rsid w:val="00A36CAB"/>
    <w:rsid w:val="00A36CFD"/>
    <w:rsid w:val="00A36D13"/>
    <w:rsid w:val="00A36E7C"/>
    <w:rsid w:val="00A36F65"/>
    <w:rsid w:val="00A36F81"/>
    <w:rsid w:val="00A36FF3"/>
    <w:rsid w:val="00A3713D"/>
    <w:rsid w:val="00A37144"/>
    <w:rsid w:val="00A37186"/>
    <w:rsid w:val="00A371C3"/>
    <w:rsid w:val="00A37230"/>
    <w:rsid w:val="00A372AF"/>
    <w:rsid w:val="00A373DE"/>
    <w:rsid w:val="00A374E2"/>
    <w:rsid w:val="00A3756B"/>
    <w:rsid w:val="00A3758D"/>
    <w:rsid w:val="00A375F8"/>
    <w:rsid w:val="00A376FA"/>
    <w:rsid w:val="00A37840"/>
    <w:rsid w:val="00A378F5"/>
    <w:rsid w:val="00A3794E"/>
    <w:rsid w:val="00A37965"/>
    <w:rsid w:val="00A379CD"/>
    <w:rsid w:val="00A37A2C"/>
    <w:rsid w:val="00A37A35"/>
    <w:rsid w:val="00A37A50"/>
    <w:rsid w:val="00A37A90"/>
    <w:rsid w:val="00A37D3A"/>
    <w:rsid w:val="00A37E19"/>
    <w:rsid w:val="00A37F36"/>
    <w:rsid w:val="00A37F49"/>
    <w:rsid w:val="00A37F81"/>
    <w:rsid w:val="00A37FC6"/>
    <w:rsid w:val="00A37FD5"/>
    <w:rsid w:val="00A400DB"/>
    <w:rsid w:val="00A400E9"/>
    <w:rsid w:val="00A40185"/>
    <w:rsid w:val="00A401DB"/>
    <w:rsid w:val="00A40245"/>
    <w:rsid w:val="00A4031C"/>
    <w:rsid w:val="00A403E6"/>
    <w:rsid w:val="00A40422"/>
    <w:rsid w:val="00A40473"/>
    <w:rsid w:val="00A40508"/>
    <w:rsid w:val="00A40534"/>
    <w:rsid w:val="00A40599"/>
    <w:rsid w:val="00A405AB"/>
    <w:rsid w:val="00A40678"/>
    <w:rsid w:val="00A40829"/>
    <w:rsid w:val="00A408B4"/>
    <w:rsid w:val="00A408BA"/>
    <w:rsid w:val="00A408BD"/>
    <w:rsid w:val="00A408C8"/>
    <w:rsid w:val="00A408FB"/>
    <w:rsid w:val="00A408FD"/>
    <w:rsid w:val="00A40904"/>
    <w:rsid w:val="00A4090D"/>
    <w:rsid w:val="00A40996"/>
    <w:rsid w:val="00A409CF"/>
    <w:rsid w:val="00A409D3"/>
    <w:rsid w:val="00A40A70"/>
    <w:rsid w:val="00A40A86"/>
    <w:rsid w:val="00A40AC9"/>
    <w:rsid w:val="00A40B1E"/>
    <w:rsid w:val="00A40B35"/>
    <w:rsid w:val="00A40C01"/>
    <w:rsid w:val="00A40CA2"/>
    <w:rsid w:val="00A40D5E"/>
    <w:rsid w:val="00A40EAC"/>
    <w:rsid w:val="00A40FA2"/>
    <w:rsid w:val="00A40FFA"/>
    <w:rsid w:val="00A41033"/>
    <w:rsid w:val="00A41071"/>
    <w:rsid w:val="00A410A2"/>
    <w:rsid w:val="00A410AD"/>
    <w:rsid w:val="00A410D7"/>
    <w:rsid w:val="00A411CD"/>
    <w:rsid w:val="00A4120F"/>
    <w:rsid w:val="00A41251"/>
    <w:rsid w:val="00A412A9"/>
    <w:rsid w:val="00A412E0"/>
    <w:rsid w:val="00A412FB"/>
    <w:rsid w:val="00A413A2"/>
    <w:rsid w:val="00A4140A"/>
    <w:rsid w:val="00A41426"/>
    <w:rsid w:val="00A41430"/>
    <w:rsid w:val="00A41509"/>
    <w:rsid w:val="00A4167C"/>
    <w:rsid w:val="00A416AA"/>
    <w:rsid w:val="00A417A4"/>
    <w:rsid w:val="00A417BC"/>
    <w:rsid w:val="00A4180B"/>
    <w:rsid w:val="00A41839"/>
    <w:rsid w:val="00A41959"/>
    <w:rsid w:val="00A41A3F"/>
    <w:rsid w:val="00A41A4B"/>
    <w:rsid w:val="00A41A66"/>
    <w:rsid w:val="00A41AF0"/>
    <w:rsid w:val="00A41B7C"/>
    <w:rsid w:val="00A41BD7"/>
    <w:rsid w:val="00A41D5F"/>
    <w:rsid w:val="00A41DBE"/>
    <w:rsid w:val="00A41DD1"/>
    <w:rsid w:val="00A41E59"/>
    <w:rsid w:val="00A41EA0"/>
    <w:rsid w:val="00A41ED1"/>
    <w:rsid w:val="00A41F39"/>
    <w:rsid w:val="00A41FC8"/>
    <w:rsid w:val="00A42264"/>
    <w:rsid w:val="00A422B8"/>
    <w:rsid w:val="00A424C2"/>
    <w:rsid w:val="00A42595"/>
    <w:rsid w:val="00A425EC"/>
    <w:rsid w:val="00A42806"/>
    <w:rsid w:val="00A4286B"/>
    <w:rsid w:val="00A42A59"/>
    <w:rsid w:val="00A42C30"/>
    <w:rsid w:val="00A42C87"/>
    <w:rsid w:val="00A42E26"/>
    <w:rsid w:val="00A43036"/>
    <w:rsid w:val="00A4319A"/>
    <w:rsid w:val="00A43273"/>
    <w:rsid w:val="00A43361"/>
    <w:rsid w:val="00A433DF"/>
    <w:rsid w:val="00A43496"/>
    <w:rsid w:val="00A4354A"/>
    <w:rsid w:val="00A437E2"/>
    <w:rsid w:val="00A438A2"/>
    <w:rsid w:val="00A438D5"/>
    <w:rsid w:val="00A43907"/>
    <w:rsid w:val="00A4394F"/>
    <w:rsid w:val="00A43994"/>
    <w:rsid w:val="00A43AB0"/>
    <w:rsid w:val="00A43C38"/>
    <w:rsid w:val="00A43C59"/>
    <w:rsid w:val="00A43D04"/>
    <w:rsid w:val="00A43D5F"/>
    <w:rsid w:val="00A43E74"/>
    <w:rsid w:val="00A43F42"/>
    <w:rsid w:val="00A43FE0"/>
    <w:rsid w:val="00A43FE9"/>
    <w:rsid w:val="00A44168"/>
    <w:rsid w:val="00A441AA"/>
    <w:rsid w:val="00A44245"/>
    <w:rsid w:val="00A443E1"/>
    <w:rsid w:val="00A4446B"/>
    <w:rsid w:val="00A444A9"/>
    <w:rsid w:val="00A44639"/>
    <w:rsid w:val="00A44812"/>
    <w:rsid w:val="00A44877"/>
    <w:rsid w:val="00A448C8"/>
    <w:rsid w:val="00A44913"/>
    <w:rsid w:val="00A44A00"/>
    <w:rsid w:val="00A44A9B"/>
    <w:rsid w:val="00A44C13"/>
    <w:rsid w:val="00A45053"/>
    <w:rsid w:val="00A45055"/>
    <w:rsid w:val="00A4507E"/>
    <w:rsid w:val="00A4516E"/>
    <w:rsid w:val="00A451EC"/>
    <w:rsid w:val="00A451EF"/>
    <w:rsid w:val="00A452D0"/>
    <w:rsid w:val="00A452E2"/>
    <w:rsid w:val="00A45306"/>
    <w:rsid w:val="00A4533E"/>
    <w:rsid w:val="00A454C2"/>
    <w:rsid w:val="00A454E5"/>
    <w:rsid w:val="00A45715"/>
    <w:rsid w:val="00A45746"/>
    <w:rsid w:val="00A457FA"/>
    <w:rsid w:val="00A45827"/>
    <w:rsid w:val="00A45837"/>
    <w:rsid w:val="00A45890"/>
    <w:rsid w:val="00A45984"/>
    <w:rsid w:val="00A45A0A"/>
    <w:rsid w:val="00A45B92"/>
    <w:rsid w:val="00A45BA2"/>
    <w:rsid w:val="00A45BA5"/>
    <w:rsid w:val="00A45C4A"/>
    <w:rsid w:val="00A45C69"/>
    <w:rsid w:val="00A45CAA"/>
    <w:rsid w:val="00A45E1E"/>
    <w:rsid w:val="00A45FA9"/>
    <w:rsid w:val="00A46093"/>
    <w:rsid w:val="00A46132"/>
    <w:rsid w:val="00A46147"/>
    <w:rsid w:val="00A46192"/>
    <w:rsid w:val="00A4624F"/>
    <w:rsid w:val="00A46337"/>
    <w:rsid w:val="00A46376"/>
    <w:rsid w:val="00A463A9"/>
    <w:rsid w:val="00A46411"/>
    <w:rsid w:val="00A465C2"/>
    <w:rsid w:val="00A465C8"/>
    <w:rsid w:val="00A46617"/>
    <w:rsid w:val="00A4663D"/>
    <w:rsid w:val="00A46682"/>
    <w:rsid w:val="00A46699"/>
    <w:rsid w:val="00A466C6"/>
    <w:rsid w:val="00A466EF"/>
    <w:rsid w:val="00A46732"/>
    <w:rsid w:val="00A46764"/>
    <w:rsid w:val="00A467CC"/>
    <w:rsid w:val="00A468AA"/>
    <w:rsid w:val="00A468BD"/>
    <w:rsid w:val="00A46940"/>
    <w:rsid w:val="00A469DE"/>
    <w:rsid w:val="00A46A86"/>
    <w:rsid w:val="00A46B4A"/>
    <w:rsid w:val="00A46B96"/>
    <w:rsid w:val="00A46BC9"/>
    <w:rsid w:val="00A46D77"/>
    <w:rsid w:val="00A46DBD"/>
    <w:rsid w:val="00A46ED3"/>
    <w:rsid w:val="00A46F2D"/>
    <w:rsid w:val="00A46F68"/>
    <w:rsid w:val="00A46FB0"/>
    <w:rsid w:val="00A47022"/>
    <w:rsid w:val="00A47175"/>
    <w:rsid w:val="00A472F0"/>
    <w:rsid w:val="00A47318"/>
    <w:rsid w:val="00A47365"/>
    <w:rsid w:val="00A47442"/>
    <w:rsid w:val="00A474C4"/>
    <w:rsid w:val="00A474E5"/>
    <w:rsid w:val="00A475B3"/>
    <w:rsid w:val="00A4760E"/>
    <w:rsid w:val="00A4768B"/>
    <w:rsid w:val="00A4770C"/>
    <w:rsid w:val="00A47792"/>
    <w:rsid w:val="00A4782B"/>
    <w:rsid w:val="00A4783A"/>
    <w:rsid w:val="00A4787A"/>
    <w:rsid w:val="00A4799B"/>
    <w:rsid w:val="00A4799D"/>
    <w:rsid w:val="00A479A9"/>
    <w:rsid w:val="00A479BB"/>
    <w:rsid w:val="00A47A0B"/>
    <w:rsid w:val="00A47C79"/>
    <w:rsid w:val="00A47CCD"/>
    <w:rsid w:val="00A47E59"/>
    <w:rsid w:val="00A47E8F"/>
    <w:rsid w:val="00A47FDD"/>
    <w:rsid w:val="00A503A6"/>
    <w:rsid w:val="00A50448"/>
    <w:rsid w:val="00A504B0"/>
    <w:rsid w:val="00A505E0"/>
    <w:rsid w:val="00A5062D"/>
    <w:rsid w:val="00A5064D"/>
    <w:rsid w:val="00A5068F"/>
    <w:rsid w:val="00A5069F"/>
    <w:rsid w:val="00A506A4"/>
    <w:rsid w:val="00A50853"/>
    <w:rsid w:val="00A509D2"/>
    <w:rsid w:val="00A509D4"/>
    <w:rsid w:val="00A50B39"/>
    <w:rsid w:val="00A50C8F"/>
    <w:rsid w:val="00A50CC4"/>
    <w:rsid w:val="00A50D2A"/>
    <w:rsid w:val="00A50D6E"/>
    <w:rsid w:val="00A50D85"/>
    <w:rsid w:val="00A50D87"/>
    <w:rsid w:val="00A50DA6"/>
    <w:rsid w:val="00A50EEF"/>
    <w:rsid w:val="00A50FA4"/>
    <w:rsid w:val="00A51058"/>
    <w:rsid w:val="00A510EC"/>
    <w:rsid w:val="00A51281"/>
    <w:rsid w:val="00A51361"/>
    <w:rsid w:val="00A513C3"/>
    <w:rsid w:val="00A513DD"/>
    <w:rsid w:val="00A5146E"/>
    <w:rsid w:val="00A5167E"/>
    <w:rsid w:val="00A5170D"/>
    <w:rsid w:val="00A5178C"/>
    <w:rsid w:val="00A51853"/>
    <w:rsid w:val="00A51995"/>
    <w:rsid w:val="00A519EE"/>
    <w:rsid w:val="00A51A4B"/>
    <w:rsid w:val="00A51A75"/>
    <w:rsid w:val="00A51ACC"/>
    <w:rsid w:val="00A51B02"/>
    <w:rsid w:val="00A51B14"/>
    <w:rsid w:val="00A51BE2"/>
    <w:rsid w:val="00A51C15"/>
    <w:rsid w:val="00A51C1A"/>
    <w:rsid w:val="00A51C5A"/>
    <w:rsid w:val="00A51CE4"/>
    <w:rsid w:val="00A51D86"/>
    <w:rsid w:val="00A51E0D"/>
    <w:rsid w:val="00A51E43"/>
    <w:rsid w:val="00A51E6E"/>
    <w:rsid w:val="00A51ED6"/>
    <w:rsid w:val="00A51F37"/>
    <w:rsid w:val="00A51F40"/>
    <w:rsid w:val="00A52170"/>
    <w:rsid w:val="00A52194"/>
    <w:rsid w:val="00A52331"/>
    <w:rsid w:val="00A52332"/>
    <w:rsid w:val="00A523D6"/>
    <w:rsid w:val="00A523E5"/>
    <w:rsid w:val="00A524F6"/>
    <w:rsid w:val="00A52641"/>
    <w:rsid w:val="00A5273A"/>
    <w:rsid w:val="00A5277A"/>
    <w:rsid w:val="00A52816"/>
    <w:rsid w:val="00A528B7"/>
    <w:rsid w:val="00A528BE"/>
    <w:rsid w:val="00A5290C"/>
    <w:rsid w:val="00A5298B"/>
    <w:rsid w:val="00A52A2F"/>
    <w:rsid w:val="00A52B14"/>
    <w:rsid w:val="00A52B21"/>
    <w:rsid w:val="00A52B49"/>
    <w:rsid w:val="00A52C35"/>
    <w:rsid w:val="00A52CAE"/>
    <w:rsid w:val="00A52CFD"/>
    <w:rsid w:val="00A52DBC"/>
    <w:rsid w:val="00A52DC4"/>
    <w:rsid w:val="00A52F38"/>
    <w:rsid w:val="00A52F4B"/>
    <w:rsid w:val="00A52FB6"/>
    <w:rsid w:val="00A53066"/>
    <w:rsid w:val="00A530A2"/>
    <w:rsid w:val="00A530C6"/>
    <w:rsid w:val="00A53117"/>
    <w:rsid w:val="00A53308"/>
    <w:rsid w:val="00A5340A"/>
    <w:rsid w:val="00A5349F"/>
    <w:rsid w:val="00A534D1"/>
    <w:rsid w:val="00A53642"/>
    <w:rsid w:val="00A53691"/>
    <w:rsid w:val="00A536BF"/>
    <w:rsid w:val="00A53788"/>
    <w:rsid w:val="00A53841"/>
    <w:rsid w:val="00A53861"/>
    <w:rsid w:val="00A5389E"/>
    <w:rsid w:val="00A538EF"/>
    <w:rsid w:val="00A53A10"/>
    <w:rsid w:val="00A53AC5"/>
    <w:rsid w:val="00A53AF8"/>
    <w:rsid w:val="00A53B24"/>
    <w:rsid w:val="00A53D20"/>
    <w:rsid w:val="00A53DAE"/>
    <w:rsid w:val="00A53F0E"/>
    <w:rsid w:val="00A53F40"/>
    <w:rsid w:val="00A53FAC"/>
    <w:rsid w:val="00A54108"/>
    <w:rsid w:val="00A54158"/>
    <w:rsid w:val="00A541A3"/>
    <w:rsid w:val="00A5421D"/>
    <w:rsid w:val="00A54225"/>
    <w:rsid w:val="00A5445E"/>
    <w:rsid w:val="00A54462"/>
    <w:rsid w:val="00A545C3"/>
    <w:rsid w:val="00A54689"/>
    <w:rsid w:val="00A54832"/>
    <w:rsid w:val="00A548EC"/>
    <w:rsid w:val="00A54A69"/>
    <w:rsid w:val="00A54A93"/>
    <w:rsid w:val="00A54B02"/>
    <w:rsid w:val="00A54B0D"/>
    <w:rsid w:val="00A54B17"/>
    <w:rsid w:val="00A54B5E"/>
    <w:rsid w:val="00A54B61"/>
    <w:rsid w:val="00A54B86"/>
    <w:rsid w:val="00A54D53"/>
    <w:rsid w:val="00A54DA7"/>
    <w:rsid w:val="00A54DC2"/>
    <w:rsid w:val="00A54DC7"/>
    <w:rsid w:val="00A54EB9"/>
    <w:rsid w:val="00A54ECE"/>
    <w:rsid w:val="00A54F83"/>
    <w:rsid w:val="00A55005"/>
    <w:rsid w:val="00A55013"/>
    <w:rsid w:val="00A5509E"/>
    <w:rsid w:val="00A550B8"/>
    <w:rsid w:val="00A550ED"/>
    <w:rsid w:val="00A550FD"/>
    <w:rsid w:val="00A55184"/>
    <w:rsid w:val="00A5519B"/>
    <w:rsid w:val="00A551B8"/>
    <w:rsid w:val="00A552C0"/>
    <w:rsid w:val="00A5531E"/>
    <w:rsid w:val="00A55420"/>
    <w:rsid w:val="00A55435"/>
    <w:rsid w:val="00A554AC"/>
    <w:rsid w:val="00A554B3"/>
    <w:rsid w:val="00A55595"/>
    <w:rsid w:val="00A5563D"/>
    <w:rsid w:val="00A55724"/>
    <w:rsid w:val="00A55778"/>
    <w:rsid w:val="00A55796"/>
    <w:rsid w:val="00A557B0"/>
    <w:rsid w:val="00A55815"/>
    <w:rsid w:val="00A55856"/>
    <w:rsid w:val="00A558B8"/>
    <w:rsid w:val="00A55945"/>
    <w:rsid w:val="00A5594D"/>
    <w:rsid w:val="00A5599E"/>
    <w:rsid w:val="00A559FF"/>
    <w:rsid w:val="00A55A49"/>
    <w:rsid w:val="00A55ADF"/>
    <w:rsid w:val="00A55C7C"/>
    <w:rsid w:val="00A55D4E"/>
    <w:rsid w:val="00A55DD8"/>
    <w:rsid w:val="00A55DEE"/>
    <w:rsid w:val="00A55FDE"/>
    <w:rsid w:val="00A5605E"/>
    <w:rsid w:val="00A560D8"/>
    <w:rsid w:val="00A560F4"/>
    <w:rsid w:val="00A5615C"/>
    <w:rsid w:val="00A56262"/>
    <w:rsid w:val="00A5627D"/>
    <w:rsid w:val="00A562AE"/>
    <w:rsid w:val="00A562C1"/>
    <w:rsid w:val="00A5636D"/>
    <w:rsid w:val="00A5638E"/>
    <w:rsid w:val="00A5646D"/>
    <w:rsid w:val="00A564A5"/>
    <w:rsid w:val="00A565D0"/>
    <w:rsid w:val="00A565E3"/>
    <w:rsid w:val="00A5669B"/>
    <w:rsid w:val="00A566F8"/>
    <w:rsid w:val="00A56700"/>
    <w:rsid w:val="00A5676B"/>
    <w:rsid w:val="00A567F6"/>
    <w:rsid w:val="00A5682E"/>
    <w:rsid w:val="00A56964"/>
    <w:rsid w:val="00A56A1A"/>
    <w:rsid w:val="00A56B38"/>
    <w:rsid w:val="00A56B79"/>
    <w:rsid w:val="00A56D04"/>
    <w:rsid w:val="00A56D93"/>
    <w:rsid w:val="00A56D9B"/>
    <w:rsid w:val="00A56E59"/>
    <w:rsid w:val="00A56F45"/>
    <w:rsid w:val="00A56F59"/>
    <w:rsid w:val="00A56F75"/>
    <w:rsid w:val="00A56FC0"/>
    <w:rsid w:val="00A57044"/>
    <w:rsid w:val="00A57155"/>
    <w:rsid w:val="00A57195"/>
    <w:rsid w:val="00A571EE"/>
    <w:rsid w:val="00A572C1"/>
    <w:rsid w:val="00A572CC"/>
    <w:rsid w:val="00A573A9"/>
    <w:rsid w:val="00A573B5"/>
    <w:rsid w:val="00A5751E"/>
    <w:rsid w:val="00A575D4"/>
    <w:rsid w:val="00A576CB"/>
    <w:rsid w:val="00A57827"/>
    <w:rsid w:val="00A5787D"/>
    <w:rsid w:val="00A57893"/>
    <w:rsid w:val="00A5790A"/>
    <w:rsid w:val="00A579C6"/>
    <w:rsid w:val="00A579FE"/>
    <w:rsid w:val="00A57A15"/>
    <w:rsid w:val="00A57A85"/>
    <w:rsid w:val="00A57A88"/>
    <w:rsid w:val="00A57B88"/>
    <w:rsid w:val="00A57BA3"/>
    <w:rsid w:val="00A57BE4"/>
    <w:rsid w:val="00A57CAA"/>
    <w:rsid w:val="00A57CE4"/>
    <w:rsid w:val="00A57D66"/>
    <w:rsid w:val="00A57F4D"/>
    <w:rsid w:val="00A57FF4"/>
    <w:rsid w:val="00A60023"/>
    <w:rsid w:val="00A600F4"/>
    <w:rsid w:val="00A601B5"/>
    <w:rsid w:val="00A601C2"/>
    <w:rsid w:val="00A6022A"/>
    <w:rsid w:val="00A6028B"/>
    <w:rsid w:val="00A603EF"/>
    <w:rsid w:val="00A6055D"/>
    <w:rsid w:val="00A60588"/>
    <w:rsid w:val="00A60605"/>
    <w:rsid w:val="00A6066B"/>
    <w:rsid w:val="00A60766"/>
    <w:rsid w:val="00A607BC"/>
    <w:rsid w:val="00A60864"/>
    <w:rsid w:val="00A608A1"/>
    <w:rsid w:val="00A60901"/>
    <w:rsid w:val="00A6094A"/>
    <w:rsid w:val="00A609E8"/>
    <w:rsid w:val="00A60AF2"/>
    <w:rsid w:val="00A60BCF"/>
    <w:rsid w:val="00A60DE3"/>
    <w:rsid w:val="00A60E47"/>
    <w:rsid w:val="00A60ECA"/>
    <w:rsid w:val="00A6116A"/>
    <w:rsid w:val="00A61182"/>
    <w:rsid w:val="00A611D5"/>
    <w:rsid w:val="00A61271"/>
    <w:rsid w:val="00A6132B"/>
    <w:rsid w:val="00A61335"/>
    <w:rsid w:val="00A6135B"/>
    <w:rsid w:val="00A613A2"/>
    <w:rsid w:val="00A613E3"/>
    <w:rsid w:val="00A61458"/>
    <w:rsid w:val="00A614C5"/>
    <w:rsid w:val="00A61533"/>
    <w:rsid w:val="00A61599"/>
    <w:rsid w:val="00A615DB"/>
    <w:rsid w:val="00A61669"/>
    <w:rsid w:val="00A61761"/>
    <w:rsid w:val="00A617A8"/>
    <w:rsid w:val="00A61809"/>
    <w:rsid w:val="00A61876"/>
    <w:rsid w:val="00A6187C"/>
    <w:rsid w:val="00A61960"/>
    <w:rsid w:val="00A6198A"/>
    <w:rsid w:val="00A619F1"/>
    <w:rsid w:val="00A61AD6"/>
    <w:rsid w:val="00A61AF4"/>
    <w:rsid w:val="00A61B63"/>
    <w:rsid w:val="00A61B71"/>
    <w:rsid w:val="00A61C2A"/>
    <w:rsid w:val="00A61C37"/>
    <w:rsid w:val="00A61D6E"/>
    <w:rsid w:val="00A61E01"/>
    <w:rsid w:val="00A61EAE"/>
    <w:rsid w:val="00A61EE2"/>
    <w:rsid w:val="00A61FF7"/>
    <w:rsid w:val="00A62076"/>
    <w:rsid w:val="00A620A4"/>
    <w:rsid w:val="00A62109"/>
    <w:rsid w:val="00A62118"/>
    <w:rsid w:val="00A6219D"/>
    <w:rsid w:val="00A621AE"/>
    <w:rsid w:val="00A62261"/>
    <w:rsid w:val="00A6228F"/>
    <w:rsid w:val="00A62583"/>
    <w:rsid w:val="00A62592"/>
    <w:rsid w:val="00A626D5"/>
    <w:rsid w:val="00A62890"/>
    <w:rsid w:val="00A628A0"/>
    <w:rsid w:val="00A62A08"/>
    <w:rsid w:val="00A62C49"/>
    <w:rsid w:val="00A62C5F"/>
    <w:rsid w:val="00A62D11"/>
    <w:rsid w:val="00A62DBF"/>
    <w:rsid w:val="00A62DD2"/>
    <w:rsid w:val="00A62F02"/>
    <w:rsid w:val="00A62F28"/>
    <w:rsid w:val="00A62FBC"/>
    <w:rsid w:val="00A6302F"/>
    <w:rsid w:val="00A63094"/>
    <w:rsid w:val="00A630C1"/>
    <w:rsid w:val="00A630E7"/>
    <w:rsid w:val="00A63113"/>
    <w:rsid w:val="00A63147"/>
    <w:rsid w:val="00A63240"/>
    <w:rsid w:val="00A6329A"/>
    <w:rsid w:val="00A63344"/>
    <w:rsid w:val="00A633A8"/>
    <w:rsid w:val="00A6346E"/>
    <w:rsid w:val="00A634D8"/>
    <w:rsid w:val="00A635A0"/>
    <w:rsid w:val="00A63632"/>
    <w:rsid w:val="00A63686"/>
    <w:rsid w:val="00A63708"/>
    <w:rsid w:val="00A6378A"/>
    <w:rsid w:val="00A637A8"/>
    <w:rsid w:val="00A637B5"/>
    <w:rsid w:val="00A637B7"/>
    <w:rsid w:val="00A63864"/>
    <w:rsid w:val="00A6391C"/>
    <w:rsid w:val="00A63A1C"/>
    <w:rsid w:val="00A63A90"/>
    <w:rsid w:val="00A63A92"/>
    <w:rsid w:val="00A63AD8"/>
    <w:rsid w:val="00A63B06"/>
    <w:rsid w:val="00A63B10"/>
    <w:rsid w:val="00A63C9C"/>
    <w:rsid w:val="00A63CD2"/>
    <w:rsid w:val="00A63CE8"/>
    <w:rsid w:val="00A63E2D"/>
    <w:rsid w:val="00A63E73"/>
    <w:rsid w:val="00A63ECD"/>
    <w:rsid w:val="00A640A6"/>
    <w:rsid w:val="00A6418E"/>
    <w:rsid w:val="00A6418F"/>
    <w:rsid w:val="00A642C8"/>
    <w:rsid w:val="00A643A4"/>
    <w:rsid w:val="00A643BA"/>
    <w:rsid w:val="00A643D8"/>
    <w:rsid w:val="00A64625"/>
    <w:rsid w:val="00A64690"/>
    <w:rsid w:val="00A646F8"/>
    <w:rsid w:val="00A647F1"/>
    <w:rsid w:val="00A64854"/>
    <w:rsid w:val="00A6488E"/>
    <w:rsid w:val="00A6495A"/>
    <w:rsid w:val="00A649D2"/>
    <w:rsid w:val="00A649E6"/>
    <w:rsid w:val="00A64A7C"/>
    <w:rsid w:val="00A64AE4"/>
    <w:rsid w:val="00A64B7A"/>
    <w:rsid w:val="00A64B7E"/>
    <w:rsid w:val="00A64BD1"/>
    <w:rsid w:val="00A64DF8"/>
    <w:rsid w:val="00A64E00"/>
    <w:rsid w:val="00A64F10"/>
    <w:rsid w:val="00A64F1A"/>
    <w:rsid w:val="00A64FD0"/>
    <w:rsid w:val="00A65076"/>
    <w:rsid w:val="00A651D6"/>
    <w:rsid w:val="00A6521B"/>
    <w:rsid w:val="00A652D3"/>
    <w:rsid w:val="00A6534C"/>
    <w:rsid w:val="00A65358"/>
    <w:rsid w:val="00A65456"/>
    <w:rsid w:val="00A65459"/>
    <w:rsid w:val="00A654D3"/>
    <w:rsid w:val="00A654FA"/>
    <w:rsid w:val="00A65515"/>
    <w:rsid w:val="00A655EC"/>
    <w:rsid w:val="00A65640"/>
    <w:rsid w:val="00A65656"/>
    <w:rsid w:val="00A6590B"/>
    <w:rsid w:val="00A6596C"/>
    <w:rsid w:val="00A659CD"/>
    <w:rsid w:val="00A659F6"/>
    <w:rsid w:val="00A65B43"/>
    <w:rsid w:val="00A65B88"/>
    <w:rsid w:val="00A65BB9"/>
    <w:rsid w:val="00A65C11"/>
    <w:rsid w:val="00A65CD5"/>
    <w:rsid w:val="00A65E01"/>
    <w:rsid w:val="00A65E68"/>
    <w:rsid w:val="00A65ECE"/>
    <w:rsid w:val="00A65ED8"/>
    <w:rsid w:val="00A661CA"/>
    <w:rsid w:val="00A6627C"/>
    <w:rsid w:val="00A66315"/>
    <w:rsid w:val="00A663A3"/>
    <w:rsid w:val="00A6657C"/>
    <w:rsid w:val="00A6658D"/>
    <w:rsid w:val="00A665BB"/>
    <w:rsid w:val="00A6664C"/>
    <w:rsid w:val="00A667F8"/>
    <w:rsid w:val="00A66855"/>
    <w:rsid w:val="00A668D7"/>
    <w:rsid w:val="00A66900"/>
    <w:rsid w:val="00A66954"/>
    <w:rsid w:val="00A669FC"/>
    <w:rsid w:val="00A66B7B"/>
    <w:rsid w:val="00A66B80"/>
    <w:rsid w:val="00A66D1D"/>
    <w:rsid w:val="00A66D68"/>
    <w:rsid w:val="00A66DC1"/>
    <w:rsid w:val="00A67102"/>
    <w:rsid w:val="00A671B1"/>
    <w:rsid w:val="00A671B6"/>
    <w:rsid w:val="00A671F7"/>
    <w:rsid w:val="00A67261"/>
    <w:rsid w:val="00A67282"/>
    <w:rsid w:val="00A6740B"/>
    <w:rsid w:val="00A674A1"/>
    <w:rsid w:val="00A674A8"/>
    <w:rsid w:val="00A674CB"/>
    <w:rsid w:val="00A6751A"/>
    <w:rsid w:val="00A67571"/>
    <w:rsid w:val="00A67597"/>
    <w:rsid w:val="00A6760C"/>
    <w:rsid w:val="00A67677"/>
    <w:rsid w:val="00A676F2"/>
    <w:rsid w:val="00A67719"/>
    <w:rsid w:val="00A677D6"/>
    <w:rsid w:val="00A6781E"/>
    <w:rsid w:val="00A678DF"/>
    <w:rsid w:val="00A67A34"/>
    <w:rsid w:val="00A67A42"/>
    <w:rsid w:val="00A67A90"/>
    <w:rsid w:val="00A67AAE"/>
    <w:rsid w:val="00A67B23"/>
    <w:rsid w:val="00A67B63"/>
    <w:rsid w:val="00A67B65"/>
    <w:rsid w:val="00A67CA1"/>
    <w:rsid w:val="00A67CCA"/>
    <w:rsid w:val="00A67CFB"/>
    <w:rsid w:val="00A67CFF"/>
    <w:rsid w:val="00A67D19"/>
    <w:rsid w:val="00A67DDA"/>
    <w:rsid w:val="00A67DDF"/>
    <w:rsid w:val="00A67EEB"/>
    <w:rsid w:val="00A67F24"/>
    <w:rsid w:val="00A67F87"/>
    <w:rsid w:val="00A67FB8"/>
    <w:rsid w:val="00A67FE1"/>
    <w:rsid w:val="00A700A1"/>
    <w:rsid w:val="00A700F4"/>
    <w:rsid w:val="00A700FB"/>
    <w:rsid w:val="00A70196"/>
    <w:rsid w:val="00A70278"/>
    <w:rsid w:val="00A70329"/>
    <w:rsid w:val="00A7032A"/>
    <w:rsid w:val="00A703BB"/>
    <w:rsid w:val="00A70471"/>
    <w:rsid w:val="00A70504"/>
    <w:rsid w:val="00A7051D"/>
    <w:rsid w:val="00A7055B"/>
    <w:rsid w:val="00A7056B"/>
    <w:rsid w:val="00A70750"/>
    <w:rsid w:val="00A707A6"/>
    <w:rsid w:val="00A707BC"/>
    <w:rsid w:val="00A7081A"/>
    <w:rsid w:val="00A7085E"/>
    <w:rsid w:val="00A70A12"/>
    <w:rsid w:val="00A70A26"/>
    <w:rsid w:val="00A70A2A"/>
    <w:rsid w:val="00A70C31"/>
    <w:rsid w:val="00A70C6F"/>
    <w:rsid w:val="00A70D72"/>
    <w:rsid w:val="00A70DBA"/>
    <w:rsid w:val="00A70F00"/>
    <w:rsid w:val="00A70F88"/>
    <w:rsid w:val="00A70FD3"/>
    <w:rsid w:val="00A70FF7"/>
    <w:rsid w:val="00A7114A"/>
    <w:rsid w:val="00A71245"/>
    <w:rsid w:val="00A7125C"/>
    <w:rsid w:val="00A71285"/>
    <w:rsid w:val="00A7129A"/>
    <w:rsid w:val="00A712D2"/>
    <w:rsid w:val="00A7131F"/>
    <w:rsid w:val="00A7143D"/>
    <w:rsid w:val="00A714B7"/>
    <w:rsid w:val="00A714C0"/>
    <w:rsid w:val="00A715FD"/>
    <w:rsid w:val="00A7173A"/>
    <w:rsid w:val="00A71790"/>
    <w:rsid w:val="00A717DF"/>
    <w:rsid w:val="00A71829"/>
    <w:rsid w:val="00A7184A"/>
    <w:rsid w:val="00A71A44"/>
    <w:rsid w:val="00A71A53"/>
    <w:rsid w:val="00A71A68"/>
    <w:rsid w:val="00A71A6C"/>
    <w:rsid w:val="00A71B9D"/>
    <w:rsid w:val="00A71BB5"/>
    <w:rsid w:val="00A71CCE"/>
    <w:rsid w:val="00A71CE8"/>
    <w:rsid w:val="00A71DDD"/>
    <w:rsid w:val="00A71DE8"/>
    <w:rsid w:val="00A71ED5"/>
    <w:rsid w:val="00A71F71"/>
    <w:rsid w:val="00A71F93"/>
    <w:rsid w:val="00A72044"/>
    <w:rsid w:val="00A7219B"/>
    <w:rsid w:val="00A722C6"/>
    <w:rsid w:val="00A722F6"/>
    <w:rsid w:val="00A72327"/>
    <w:rsid w:val="00A723C3"/>
    <w:rsid w:val="00A723E3"/>
    <w:rsid w:val="00A72472"/>
    <w:rsid w:val="00A72551"/>
    <w:rsid w:val="00A72574"/>
    <w:rsid w:val="00A725DC"/>
    <w:rsid w:val="00A72603"/>
    <w:rsid w:val="00A7263B"/>
    <w:rsid w:val="00A726BF"/>
    <w:rsid w:val="00A727A5"/>
    <w:rsid w:val="00A728B4"/>
    <w:rsid w:val="00A728B7"/>
    <w:rsid w:val="00A728F9"/>
    <w:rsid w:val="00A72A55"/>
    <w:rsid w:val="00A72A65"/>
    <w:rsid w:val="00A72B83"/>
    <w:rsid w:val="00A72B92"/>
    <w:rsid w:val="00A72BAE"/>
    <w:rsid w:val="00A72C48"/>
    <w:rsid w:val="00A72C6E"/>
    <w:rsid w:val="00A72DA1"/>
    <w:rsid w:val="00A72DE2"/>
    <w:rsid w:val="00A72EA7"/>
    <w:rsid w:val="00A72F47"/>
    <w:rsid w:val="00A73193"/>
    <w:rsid w:val="00A731FA"/>
    <w:rsid w:val="00A73202"/>
    <w:rsid w:val="00A732C7"/>
    <w:rsid w:val="00A7349C"/>
    <w:rsid w:val="00A734F5"/>
    <w:rsid w:val="00A73602"/>
    <w:rsid w:val="00A7363C"/>
    <w:rsid w:val="00A73680"/>
    <w:rsid w:val="00A736D4"/>
    <w:rsid w:val="00A73714"/>
    <w:rsid w:val="00A73875"/>
    <w:rsid w:val="00A73949"/>
    <w:rsid w:val="00A73984"/>
    <w:rsid w:val="00A73A00"/>
    <w:rsid w:val="00A73A5D"/>
    <w:rsid w:val="00A73AC0"/>
    <w:rsid w:val="00A73ACF"/>
    <w:rsid w:val="00A73BAB"/>
    <w:rsid w:val="00A73BC1"/>
    <w:rsid w:val="00A73BF6"/>
    <w:rsid w:val="00A73C9E"/>
    <w:rsid w:val="00A73D05"/>
    <w:rsid w:val="00A73D72"/>
    <w:rsid w:val="00A73E24"/>
    <w:rsid w:val="00A73E77"/>
    <w:rsid w:val="00A73F38"/>
    <w:rsid w:val="00A73F7D"/>
    <w:rsid w:val="00A73FDA"/>
    <w:rsid w:val="00A73FFC"/>
    <w:rsid w:val="00A7406B"/>
    <w:rsid w:val="00A740BC"/>
    <w:rsid w:val="00A740FE"/>
    <w:rsid w:val="00A7416F"/>
    <w:rsid w:val="00A741FB"/>
    <w:rsid w:val="00A7426B"/>
    <w:rsid w:val="00A742E0"/>
    <w:rsid w:val="00A74319"/>
    <w:rsid w:val="00A74355"/>
    <w:rsid w:val="00A743ED"/>
    <w:rsid w:val="00A74400"/>
    <w:rsid w:val="00A74457"/>
    <w:rsid w:val="00A74461"/>
    <w:rsid w:val="00A74499"/>
    <w:rsid w:val="00A744C4"/>
    <w:rsid w:val="00A745F2"/>
    <w:rsid w:val="00A74640"/>
    <w:rsid w:val="00A7465F"/>
    <w:rsid w:val="00A7468A"/>
    <w:rsid w:val="00A74709"/>
    <w:rsid w:val="00A7499D"/>
    <w:rsid w:val="00A749B3"/>
    <w:rsid w:val="00A74A66"/>
    <w:rsid w:val="00A74A99"/>
    <w:rsid w:val="00A74AA0"/>
    <w:rsid w:val="00A74B22"/>
    <w:rsid w:val="00A74BE7"/>
    <w:rsid w:val="00A74BF4"/>
    <w:rsid w:val="00A74D7C"/>
    <w:rsid w:val="00A74D82"/>
    <w:rsid w:val="00A74D8F"/>
    <w:rsid w:val="00A74DA4"/>
    <w:rsid w:val="00A74DC2"/>
    <w:rsid w:val="00A74F7E"/>
    <w:rsid w:val="00A74F83"/>
    <w:rsid w:val="00A74FAD"/>
    <w:rsid w:val="00A75004"/>
    <w:rsid w:val="00A75064"/>
    <w:rsid w:val="00A751AB"/>
    <w:rsid w:val="00A7535F"/>
    <w:rsid w:val="00A7536D"/>
    <w:rsid w:val="00A75373"/>
    <w:rsid w:val="00A7542F"/>
    <w:rsid w:val="00A75450"/>
    <w:rsid w:val="00A7546F"/>
    <w:rsid w:val="00A754F3"/>
    <w:rsid w:val="00A756EA"/>
    <w:rsid w:val="00A75821"/>
    <w:rsid w:val="00A75838"/>
    <w:rsid w:val="00A7586A"/>
    <w:rsid w:val="00A7589E"/>
    <w:rsid w:val="00A75936"/>
    <w:rsid w:val="00A75998"/>
    <w:rsid w:val="00A75AE1"/>
    <w:rsid w:val="00A75AF6"/>
    <w:rsid w:val="00A75B46"/>
    <w:rsid w:val="00A75BDB"/>
    <w:rsid w:val="00A75C1F"/>
    <w:rsid w:val="00A75CBE"/>
    <w:rsid w:val="00A75D15"/>
    <w:rsid w:val="00A75D54"/>
    <w:rsid w:val="00A75D7C"/>
    <w:rsid w:val="00A75DE2"/>
    <w:rsid w:val="00A75DFA"/>
    <w:rsid w:val="00A75E65"/>
    <w:rsid w:val="00A75F14"/>
    <w:rsid w:val="00A75F27"/>
    <w:rsid w:val="00A75FA5"/>
    <w:rsid w:val="00A7603A"/>
    <w:rsid w:val="00A760A2"/>
    <w:rsid w:val="00A762CC"/>
    <w:rsid w:val="00A762E7"/>
    <w:rsid w:val="00A7646D"/>
    <w:rsid w:val="00A764E8"/>
    <w:rsid w:val="00A76529"/>
    <w:rsid w:val="00A765E1"/>
    <w:rsid w:val="00A76649"/>
    <w:rsid w:val="00A766B1"/>
    <w:rsid w:val="00A76704"/>
    <w:rsid w:val="00A76714"/>
    <w:rsid w:val="00A76840"/>
    <w:rsid w:val="00A7687E"/>
    <w:rsid w:val="00A76927"/>
    <w:rsid w:val="00A7699A"/>
    <w:rsid w:val="00A76AC9"/>
    <w:rsid w:val="00A76B6A"/>
    <w:rsid w:val="00A76BB1"/>
    <w:rsid w:val="00A76BDD"/>
    <w:rsid w:val="00A76C4E"/>
    <w:rsid w:val="00A76CD4"/>
    <w:rsid w:val="00A76CEA"/>
    <w:rsid w:val="00A76DD9"/>
    <w:rsid w:val="00A76E37"/>
    <w:rsid w:val="00A76F20"/>
    <w:rsid w:val="00A7718A"/>
    <w:rsid w:val="00A772B5"/>
    <w:rsid w:val="00A772C0"/>
    <w:rsid w:val="00A772D7"/>
    <w:rsid w:val="00A77301"/>
    <w:rsid w:val="00A77371"/>
    <w:rsid w:val="00A773BA"/>
    <w:rsid w:val="00A7747C"/>
    <w:rsid w:val="00A774D4"/>
    <w:rsid w:val="00A77506"/>
    <w:rsid w:val="00A77522"/>
    <w:rsid w:val="00A77701"/>
    <w:rsid w:val="00A77750"/>
    <w:rsid w:val="00A77761"/>
    <w:rsid w:val="00A77799"/>
    <w:rsid w:val="00A777BD"/>
    <w:rsid w:val="00A777F3"/>
    <w:rsid w:val="00A778D0"/>
    <w:rsid w:val="00A778EB"/>
    <w:rsid w:val="00A77ABE"/>
    <w:rsid w:val="00A77AC8"/>
    <w:rsid w:val="00A77B14"/>
    <w:rsid w:val="00A77B93"/>
    <w:rsid w:val="00A77B9D"/>
    <w:rsid w:val="00A77C7A"/>
    <w:rsid w:val="00A77D88"/>
    <w:rsid w:val="00A77EEA"/>
    <w:rsid w:val="00A8000B"/>
    <w:rsid w:val="00A800A6"/>
    <w:rsid w:val="00A80118"/>
    <w:rsid w:val="00A80140"/>
    <w:rsid w:val="00A80157"/>
    <w:rsid w:val="00A80188"/>
    <w:rsid w:val="00A8023A"/>
    <w:rsid w:val="00A8029A"/>
    <w:rsid w:val="00A80351"/>
    <w:rsid w:val="00A803A0"/>
    <w:rsid w:val="00A804BA"/>
    <w:rsid w:val="00A8052C"/>
    <w:rsid w:val="00A805E7"/>
    <w:rsid w:val="00A80620"/>
    <w:rsid w:val="00A806D9"/>
    <w:rsid w:val="00A808BA"/>
    <w:rsid w:val="00A80B6D"/>
    <w:rsid w:val="00A80C9C"/>
    <w:rsid w:val="00A80D91"/>
    <w:rsid w:val="00A80E0B"/>
    <w:rsid w:val="00A80E13"/>
    <w:rsid w:val="00A8106E"/>
    <w:rsid w:val="00A81108"/>
    <w:rsid w:val="00A81146"/>
    <w:rsid w:val="00A81177"/>
    <w:rsid w:val="00A8119F"/>
    <w:rsid w:val="00A81325"/>
    <w:rsid w:val="00A8137B"/>
    <w:rsid w:val="00A815D3"/>
    <w:rsid w:val="00A81635"/>
    <w:rsid w:val="00A8167C"/>
    <w:rsid w:val="00A816B1"/>
    <w:rsid w:val="00A816C0"/>
    <w:rsid w:val="00A8172F"/>
    <w:rsid w:val="00A81732"/>
    <w:rsid w:val="00A817AE"/>
    <w:rsid w:val="00A8180E"/>
    <w:rsid w:val="00A81872"/>
    <w:rsid w:val="00A819FC"/>
    <w:rsid w:val="00A81AFB"/>
    <w:rsid w:val="00A81B1D"/>
    <w:rsid w:val="00A81C01"/>
    <w:rsid w:val="00A81C38"/>
    <w:rsid w:val="00A81D87"/>
    <w:rsid w:val="00A81E2D"/>
    <w:rsid w:val="00A81E64"/>
    <w:rsid w:val="00A81EFD"/>
    <w:rsid w:val="00A81F8D"/>
    <w:rsid w:val="00A82056"/>
    <w:rsid w:val="00A82120"/>
    <w:rsid w:val="00A8215D"/>
    <w:rsid w:val="00A8215F"/>
    <w:rsid w:val="00A8229D"/>
    <w:rsid w:val="00A822E9"/>
    <w:rsid w:val="00A82304"/>
    <w:rsid w:val="00A82307"/>
    <w:rsid w:val="00A823A1"/>
    <w:rsid w:val="00A8241A"/>
    <w:rsid w:val="00A82574"/>
    <w:rsid w:val="00A82635"/>
    <w:rsid w:val="00A826C7"/>
    <w:rsid w:val="00A82798"/>
    <w:rsid w:val="00A827F0"/>
    <w:rsid w:val="00A8289C"/>
    <w:rsid w:val="00A828B1"/>
    <w:rsid w:val="00A828B9"/>
    <w:rsid w:val="00A828C6"/>
    <w:rsid w:val="00A828E8"/>
    <w:rsid w:val="00A829B1"/>
    <w:rsid w:val="00A829F7"/>
    <w:rsid w:val="00A829FE"/>
    <w:rsid w:val="00A82A1B"/>
    <w:rsid w:val="00A82AA9"/>
    <w:rsid w:val="00A82B17"/>
    <w:rsid w:val="00A82B63"/>
    <w:rsid w:val="00A82D31"/>
    <w:rsid w:val="00A82D36"/>
    <w:rsid w:val="00A82E75"/>
    <w:rsid w:val="00A82EBB"/>
    <w:rsid w:val="00A82FBB"/>
    <w:rsid w:val="00A8307D"/>
    <w:rsid w:val="00A83185"/>
    <w:rsid w:val="00A83309"/>
    <w:rsid w:val="00A83364"/>
    <w:rsid w:val="00A834EA"/>
    <w:rsid w:val="00A8353D"/>
    <w:rsid w:val="00A83550"/>
    <w:rsid w:val="00A83554"/>
    <w:rsid w:val="00A835B4"/>
    <w:rsid w:val="00A835CE"/>
    <w:rsid w:val="00A83609"/>
    <w:rsid w:val="00A837D5"/>
    <w:rsid w:val="00A837DA"/>
    <w:rsid w:val="00A8381C"/>
    <w:rsid w:val="00A838A2"/>
    <w:rsid w:val="00A8396A"/>
    <w:rsid w:val="00A839BF"/>
    <w:rsid w:val="00A83A9B"/>
    <w:rsid w:val="00A83B6E"/>
    <w:rsid w:val="00A83B8D"/>
    <w:rsid w:val="00A83BCC"/>
    <w:rsid w:val="00A83D18"/>
    <w:rsid w:val="00A83E62"/>
    <w:rsid w:val="00A83F03"/>
    <w:rsid w:val="00A8405B"/>
    <w:rsid w:val="00A8408E"/>
    <w:rsid w:val="00A840F7"/>
    <w:rsid w:val="00A841B9"/>
    <w:rsid w:val="00A842DD"/>
    <w:rsid w:val="00A842F4"/>
    <w:rsid w:val="00A8438C"/>
    <w:rsid w:val="00A843C1"/>
    <w:rsid w:val="00A8445E"/>
    <w:rsid w:val="00A844EC"/>
    <w:rsid w:val="00A845B1"/>
    <w:rsid w:val="00A845C8"/>
    <w:rsid w:val="00A845E8"/>
    <w:rsid w:val="00A84603"/>
    <w:rsid w:val="00A8462B"/>
    <w:rsid w:val="00A8470E"/>
    <w:rsid w:val="00A8473E"/>
    <w:rsid w:val="00A84757"/>
    <w:rsid w:val="00A84770"/>
    <w:rsid w:val="00A849B5"/>
    <w:rsid w:val="00A84B03"/>
    <w:rsid w:val="00A84B28"/>
    <w:rsid w:val="00A84B9E"/>
    <w:rsid w:val="00A84BDC"/>
    <w:rsid w:val="00A84CE9"/>
    <w:rsid w:val="00A84CF4"/>
    <w:rsid w:val="00A84CFE"/>
    <w:rsid w:val="00A84D1F"/>
    <w:rsid w:val="00A84D73"/>
    <w:rsid w:val="00A84DD8"/>
    <w:rsid w:val="00A850DF"/>
    <w:rsid w:val="00A850FF"/>
    <w:rsid w:val="00A85229"/>
    <w:rsid w:val="00A852E8"/>
    <w:rsid w:val="00A8549E"/>
    <w:rsid w:val="00A854DE"/>
    <w:rsid w:val="00A8555A"/>
    <w:rsid w:val="00A85604"/>
    <w:rsid w:val="00A857A4"/>
    <w:rsid w:val="00A857B0"/>
    <w:rsid w:val="00A85819"/>
    <w:rsid w:val="00A85857"/>
    <w:rsid w:val="00A8585C"/>
    <w:rsid w:val="00A85972"/>
    <w:rsid w:val="00A85982"/>
    <w:rsid w:val="00A859A5"/>
    <w:rsid w:val="00A859E2"/>
    <w:rsid w:val="00A85A33"/>
    <w:rsid w:val="00A85A74"/>
    <w:rsid w:val="00A85B57"/>
    <w:rsid w:val="00A85BF5"/>
    <w:rsid w:val="00A85C3B"/>
    <w:rsid w:val="00A85CFE"/>
    <w:rsid w:val="00A85D19"/>
    <w:rsid w:val="00A85D2F"/>
    <w:rsid w:val="00A85D86"/>
    <w:rsid w:val="00A85F3E"/>
    <w:rsid w:val="00A86053"/>
    <w:rsid w:val="00A86096"/>
    <w:rsid w:val="00A860E5"/>
    <w:rsid w:val="00A86158"/>
    <w:rsid w:val="00A86197"/>
    <w:rsid w:val="00A8619C"/>
    <w:rsid w:val="00A8621C"/>
    <w:rsid w:val="00A862DE"/>
    <w:rsid w:val="00A86369"/>
    <w:rsid w:val="00A863E3"/>
    <w:rsid w:val="00A86438"/>
    <w:rsid w:val="00A864E6"/>
    <w:rsid w:val="00A865C7"/>
    <w:rsid w:val="00A865DD"/>
    <w:rsid w:val="00A866B9"/>
    <w:rsid w:val="00A86781"/>
    <w:rsid w:val="00A8682B"/>
    <w:rsid w:val="00A869BA"/>
    <w:rsid w:val="00A86A64"/>
    <w:rsid w:val="00A86CD1"/>
    <w:rsid w:val="00A86CF1"/>
    <w:rsid w:val="00A86E30"/>
    <w:rsid w:val="00A86E57"/>
    <w:rsid w:val="00A86F53"/>
    <w:rsid w:val="00A86FB7"/>
    <w:rsid w:val="00A86FCC"/>
    <w:rsid w:val="00A8706D"/>
    <w:rsid w:val="00A87094"/>
    <w:rsid w:val="00A87196"/>
    <w:rsid w:val="00A87392"/>
    <w:rsid w:val="00A8744F"/>
    <w:rsid w:val="00A874D8"/>
    <w:rsid w:val="00A875C0"/>
    <w:rsid w:val="00A876FB"/>
    <w:rsid w:val="00A8771F"/>
    <w:rsid w:val="00A87726"/>
    <w:rsid w:val="00A8776E"/>
    <w:rsid w:val="00A877A4"/>
    <w:rsid w:val="00A879EC"/>
    <w:rsid w:val="00A87A36"/>
    <w:rsid w:val="00A87ACE"/>
    <w:rsid w:val="00A87C48"/>
    <w:rsid w:val="00A87E0F"/>
    <w:rsid w:val="00A87E33"/>
    <w:rsid w:val="00A87E9D"/>
    <w:rsid w:val="00A87F15"/>
    <w:rsid w:val="00A900D6"/>
    <w:rsid w:val="00A900F5"/>
    <w:rsid w:val="00A90187"/>
    <w:rsid w:val="00A90211"/>
    <w:rsid w:val="00A90244"/>
    <w:rsid w:val="00A90261"/>
    <w:rsid w:val="00A90287"/>
    <w:rsid w:val="00A9028D"/>
    <w:rsid w:val="00A902C6"/>
    <w:rsid w:val="00A90355"/>
    <w:rsid w:val="00A90532"/>
    <w:rsid w:val="00A90540"/>
    <w:rsid w:val="00A905DF"/>
    <w:rsid w:val="00A9070C"/>
    <w:rsid w:val="00A908E3"/>
    <w:rsid w:val="00A90979"/>
    <w:rsid w:val="00A90983"/>
    <w:rsid w:val="00A90989"/>
    <w:rsid w:val="00A909AD"/>
    <w:rsid w:val="00A909B9"/>
    <w:rsid w:val="00A90A4B"/>
    <w:rsid w:val="00A90AC2"/>
    <w:rsid w:val="00A90AD7"/>
    <w:rsid w:val="00A90B26"/>
    <w:rsid w:val="00A90D4F"/>
    <w:rsid w:val="00A91034"/>
    <w:rsid w:val="00A910AA"/>
    <w:rsid w:val="00A910BE"/>
    <w:rsid w:val="00A91126"/>
    <w:rsid w:val="00A9122F"/>
    <w:rsid w:val="00A91262"/>
    <w:rsid w:val="00A914CA"/>
    <w:rsid w:val="00A91624"/>
    <w:rsid w:val="00A9167D"/>
    <w:rsid w:val="00A91779"/>
    <w:rsid w:val="00A917E3"/>
    <w:rsid w:val="00A91844"/>
    <w:rsid w:val="00A918EB"/>
    <w:rsid w:val="00A919C4"/>
    <w:rsid w:val="00A91A03"/>
    <w:rsid w:val="00A91AA6"/>
    <w:rsid w:val="00A91B58"/>
    <w:rsid w:val="00A91BC6"/>
    <w:rsid w:val="00A91D01"/>
    <w:rsid w:val="00A91D27"/>
    <w:rsid w:val="00A91D6E"/>
    <w:rsid w:val="00A91F92"/>
    <w:rsid w:val="00A91F99"/>
    <w:rsid w:val="00A91FB9"/>
    <w:rsid w:val="00A92129"/>
    <w:rsid w:val="00A9214B"/>
    <w:rsid w:val="00A921CB"/>
    <w:rsid w:val="00A92225"/>
    <w:rsid w:val="00A9226F"/>
    <w:rsid w:val="00A922C6"/>
    <w:rsid w:val="00A92366"/>
    <w:rsid w:val="00A92384"/>
    <w:rsid w:val="00A923B3"/>
    <w:rsid w:val="00A923F8"/>
    <w:rsid w:val="00A924B1"/>
    <w:rsid w:val="00A92579"/>
    <w:rsid w:val="00A9260D"/>
    <w:rsid w:val="00A92665"/>
    <w:rsid w:val="00A926AD"/>
    <w:rsid w:val="00A926EA"/>
    <w:rsid w:val="00A9275D"/>
    <w:rsid w:val="00A92780"/>
    <w:rsid w:val="00A9288A"/>
    <w:rsid w:val="00A9289F"/>
    <w:rsid w:val="00A928B2"/>
    <w:rsid w:val="00A92957"/>
    <w:rsid w:val="00A92B8E"/>
    <w:rsid w:val="00A92CB1"/>
    <w:rsid w:val="00A92D2D"/>
    <w:rsid w:val="00A92DB3"/>
    <w:rsid w:val="00A92DD7"/>
    <w:rsid w:val="00A92E07"/>
    <w:rsid w:val="00A92F66"/>
    <w:rsid w:val="00A92F69"/>
    <w:rsid w:val="00A92FBA"/>
    <w:rsid w:val="00A92FD9"/>
    <w:rsid w:val="00A930DA"/>
    <w:rsid w:val="00A9313C"/>
    <w:rsid w:val="00A93183"/>
    <w:rsid w:val="00A93191"/>
    <w:rsid w:val="00A9336D"/>
    <w:rsid w:val="00A933FA"/>
    <w:rsid w:val="00A934B9"/>
    <w:rsid w:val="00A934E0"/>
    <w:rsid w:val="00A935BC"/>
    <w:rsid w:val="00A935C6"/>
    <w:rsid w:val="00A936D8"/>
    <w:rsid w:val="00A93744"/>
    <w:rsid w:val="00A93793"/>
    <w:rsid w:val="00A937AC"/>
    <w:rsid w:val="00A93882"/>
    <w:rsid w:val="00A9391F"/>
    <w:rsid w:val="00A93925"/>
    <w:rsid w:val="00A93BB7"/>
    <w:rsid w:val="00A93BF8"/>
    <w:rsid w:val="00A93EB5"/>
    <w:rsid w:val="00A9403E"/>
    <w:rsid w:val="00A94071"/>
    <w:rsid w:val="00A940D4"/>
    <w:rsid w:val="00A94198"/>
    <w:rsid w:val="00A941C0"/>
    <w:rsid w:val="00A941C6"/>
    <w:rsid w:val="00A94408"/>
    <w:rsid w:val="00A9440E"/>
    <w:rsid w:val="00A94444"/>
    <w:rsid w:val="00A94447"/>
    <w:rsid w:val="00A94498"/>
    <w:rsid w:val="00A944CB"/>
    <w:rsid w:val="00A94531"/>
    <w:rsid w:val="00A946ED"/>
    <w:rsid w:val="00A94770"/>
    <w:rsid w:val="00A947C5"/>
    <w:rsid w:val="00A94834"/>
    <w:rsid w:val="00A9492C"/>
    <w:rsid w:val="00A9493B"/>
    <w:rsid w:val="00A94945"/>
    <w:rsid w:val="00A94AAB"/>
    <w:rsid w:val="00A94CAB"/>
    <w:rsid w:val="00A94CF6"/>
    <w:rsid w:val="00A94E7B"/>
    <w:rsid w:val="00A94ECB"/>
    <w:rsid w:val="00A94FBA"/>
    <w:rsid w:val="00A94FF6"/>
    <w:rsid w:val="00A95017"/>
    <w:rsid w:val="00A95019"/>
    <w:rsid w:val="00A950E9"/>
    <w:rsid w:val="00A95118"/>
    <w:rsid w:val="00A95204"/>
    <w:rsid w:val="00A9523C"/>
    <w:rsid w:val="00A952D8"/>
    <w:rsid w:val="00A95303"/>
    <w:rsid w:val="00A95396"/>
    <w:rsid w:val="00A954A1"/>
    <w:rsid w:val="00A954D3"/>
    <w:rsid w:val="00A95641"/>
    <w:rsid w:val="00A956D6"/>
    <w:rsid w:val="00A956DB"/>
    <w:rsid w:val="00A9574C"/>
    <w:rsid w:val="00A957E5"/>
    <w:rsid w:val="00A958BA"/>
    <w:rsid w:val="00A958D8"/>
    <w:rsid w:val="00A95942"/>
    <w:rsid w:val="00A95A24"/>
    <w:rsid w:val="00A95A4E"/>
    <w:rsid w:val="00A95BCA"/>
    <w:rsid w:val="00A95BCB"/>
    <w:rsid w:val="00A95C31"/>
    <w:rsid w:val="00A95C58"/>
    <w:rsid w:val="00A95CE9"/>
    <w:rsid w:val="00A95D59"/>
    <w:rsid w:val="00A95D9D"/>
    <w:rsid w:val="00A95DB2"/>
    <w:rsid w:val="00A95E02"/>
    <w:rsid w:val="00A95E55"/>
    <w:rsid w:val="00A95E8F"/>
    <w:rsid w:val="00A95EF7"/>
    <w:rsid w:val="00A95FDD"/>
    <w:rsid w:val="00A96014"/>
    <w:rsid w:val="00A96038"/>
    <w:rsid w:val="00A96040"/>
    <w:rsid w:val="00A960F4"/>
    <w:rsid w:val="00A96170"/>
    <w:rsid w:val="00A96208"/>
    <w:rsid w:val="00A9625F"/>
    <w:rsid w:val="00A96289"/>
    <w:rsid w:val="00A9628C"/>
    <w:rsid w:val="00A963BF"/>
    <w:rsid w:val="00A96486"/>
    <w:rsid w:val="00A9653F"/>
    <w:rsid w:val="00A967CA"/>
    <w:rsid w:val="00A96826"/>
    <w:rsid w:val="00A96875"/>
    <w:rsid w:val="00A968E8"/>
    <w:rsid w:val="00A969A8"/>
    <w:rsid w:val="00A969C1"/>
    <w:rsid w:val="00A96A30"/>
    <w:rsid w:val="00A96B25"/>
    <w:rsid w:val="00A96BF1"/>
    <w:rsid w:val="00A96CDD"/>
    <w:rsid w:val="00A96CF1"/>
    <w:rsid w:val="00A96CF7"/>
    <w:rsid w:val="00A96D1F"/>
    <w:rsid w:val="00A96D49"/>
    <w:rsid w:val="00A96D67"/>
    <w:rsid w:val="00A96DE6"/>
    <w:rsid w:val="00A96EC8"/>
    <w:rsid w:val="00A96FF8"/>
    <w:rsid w:val="00A96FFB"/>
    <w:rsid w:val="00A97054"/>
    <w:rsid w:val="00A970FA"/>
    <w:rsid w:val="00A971D5"/>
    <w:rsid w:val="00A972BF"/>
    <w:rsid w:val="00A972D9"/>
    <w:rsid w:val="00A97513"/>
    <w:rsid w:val="00A975CA"/>
    <w:rsid w:val="00A976A9"/>
    <w:rsid w:val="00A976D9"/>
    <w:rsid w:val="00A97766"/>
    <w:rsid w:val="00A97795"/>
    <w:rsid w:val="00A977AB"/>
    <w:rsid w:val="00A977FB"/>
    <w:rsid w:val="00A9781F"/>
    <w:rsid w:val="00A9786E"/>
    <w:rsid w:val="00A978FA"/>
    <w:rsid w:val="00A97A63"/>
    <w:rsid w:val="00A97B27"/>
    <w:rsid w:val="00A97BB1"/>
    <w:rsid w:val="00A97BD8"/>
    <w:rsid w:val="00A97BDD"/>
    <w:rsid w:val="00A97C29"/>
    <w:rsid w:val="00A97CEB"/>
    <w:rsid w:val="00A97DA1"/>
    <w:rsid w:val="00A97DB0"/>
    <w:rsid w:val="00A97E10"/>
    <w:rsid w:val="00A97E1D"/>
    <w:rsid w:val="00A97EFB"/>
    <w:rsid w:val="00A97F3B"/>
    <w:rsid w:val="00A97F3E"/>
    <w:rsid w:val="00AA0073"/>
    <w:rsid w:val="00AA00AA"/>
    <w:rsid w:val="00AA00B1"/>
    <w:rsid w:val="00AA00DA"/>
    <w:rsid w:val="00AA0156"/>
    <w:rsid w:val="00AA0192"/>
    <w:rsid w:val="00AA02DC"/>
    <w:rsid w:val="00AA03BD"/>
    <w:rsid w:val="00AA0532"/>
    <w:rsid w:val="00AA053F"/>
    <w:rsid w:val="00AA0582"/>
    <w:rsid w:val="00AA05D2"/>
    <w:rsid w:val="00AA062A"/>
    <w:rsid w:val="00AA0746"/>
    <w:rsid w:val="00AA080F"/>
    <w:rsid w:val="00AA0827"/>
    <w:rsid w:val="00AA08DC"/>
    <w:rsid w:val="00AA08F7"/>
    <w:rsid w:val="00AA0976"/>
    <w:rsid w:val="00AA0BCD"/>
    <w:rsid w:val="00AA0E4F"/>
    <w:rsid w:val="00AA0F9C"/>
    <w:rsid w:val="00AA0FF4"/>
    <w:rsid w:val="00AA1020"/>
    <w:rsid w:val="00AA11D6"/>
    <w:rsid w:val="00AA1305"/>
    <w:rsid w:val="00AA1322"/>
    <w:rsid w:val="00AA149C"/>
    <w:rsid w:val="00AA14AD"/>
    <w:rsid w:val="00AA1677"/>
    <w:rsid w:val="00AA1678"/>
    <w:rsid w:val="00AA16B0"/>
    <w:rsid w:val="00AA177C"/>
    <w:rsid w:val="00AA17EA"/>
    <w:rsid w:val="00AA18D8"/>
    <w:rsid w:val="00AA1A61"/>
    <w:rsid w:val="00AA1A8F"/>
    <w:rsid w:val="00AA1B26"/>
    <w:rsid w:val="00AA1BEA"/>
    <w:rsid w:val="00AA1C16"/>
    <w:rsid w:val="00AA1CAF"/>
    <w:rsid w:val="00AA1CD6"/>
    <w:rsid w:val="00AA1CEC"/>
    <w:rsid w:val="00AA1D59"/>
    <w:rsid w:val="00AA1D7F"/>
    <w:rsid w:val="00AA1DF2"/>
    <w:rsid w:val="00AA1F1E"/>
    <w:rsid w:val="00AA2004"/>
    <w:rsid w:val="00AA200E"/>
    <w:rsid w:val="00AA2053"/>
    <w:rsid w:val="00AA2060"/>
    <w:rsid w:val="00AA20D8"/>
    <w:rsid w:val="00AA20DA"/>
    <w:rsid w:val="00AA2109"/>
    <w:rsid w:val="00AA21DB"/>
    <w:rsid w:val="00AA2215"/>
    <w:rsid w:val="00AA226E"/>
    <w:rsid w:val="00AA2362"/>
    <w:rsid w:val="00AA2399"/>
    <w:rsid w:val="00AA2521"/>
    <w:rsid w:val="00AA256B"/>
    <w:rsid w:val="00AA2577"/>
    <w:rsid w:val="00AA268D"/>
    <w:rsid w:val="00AA2851"/>
    <w:rsid w:val="00AA29C9"/>
    <w:rsid w:val="00AA2A26"/>
    <w:rsid w:val="00AA2B51"/>
    <w:rsid w:val="00AA2C15"/>
    <w:rsid w:val="00AA2DFE"/>
    <w:rsid w:val="00AA2F2E"/>
    <w:rsid w:val="00AA3006"/>
    <w:rsid w:val="00AA32BF"/>
    <w:rsid w:val="00AA3375"/>
    <w:rsid w:val="00AA341A"/>
    <w:rsid w:val="00AA3481"/>
    <w:rsid w:val="00AA34D2"/>
    <w:rsid w:val="00AA3521"/>
    <w:rsid w:val="00AA365C"/>
    <w:rsid w:val="00AA3780"/>
    <w:rsid w:val="00AA379A"/>
    <w:rsid w:val="00AA37BB"/>
    <w:rsid w:val="00AA3907"/>
    <w:rsid w:val="00AA3987"/>
    <w:rsid w:val="00AA39FE"/>
    <w:rsid w:val="00AA3ABE"/>
    <w:rsid w:val="00AA3AE3"/>
    <w:rsid w:val="00AA3B91"/>
    <w:rsid w:val="00AA3C01"/>
    <w:rsid w:val="00AA3C12"/>
    <w:rsid w:val="00AA3C33"/>
    <w:rsid w:val="00AA3CD0"/>
    <w:rsid w:val="00AA3CFD"/>
    <w:rsid w:val="00AA3D71"/>
    <w:rsid w:val="00AA3DAC"/>
    <w:rsid w:val="00AA3DDF"/>
    <w:rsid w:val="00AA3E92"/>
    <w:rsid w:val="00AA3EFB"/>
    <w:rsid w:val="00AA3F43"/>
    <w:rsid w:val="00AA3F4D"/>
    <w:rsid w:val="00AA3FAA"/>
    <w:rsid w:val="00AA409C"/>
    <w:rsid w:val="00AA4140"/>
    <w:rsid w:val="00AA4192"/>
    <w:rsid w:val="00AA4250"/>
    <w:rsid w:val="00AA42B8"/>
    <w:rsid w:val="00AA42FB"/>
    <w:rsid w:val="00AA434F"/>
    <w:rsid w:val="00AA436C"/>
    <w:rsid w:val="00AA43E3"/>
    <w:rsid w:val="00AA4433"/>
    <w:rsid w:val="00AA4478"/>
    <w:rsid w:val="00AA44F6"/>
    <w:rsid w:val="00AA45ED"/>
    <w:rsid w:val="00AA46BC"/>
    <w:rsid w:val="00AA4743"/>
    <w:rsid w:val="00AA47BE"/>
    <w:rsid w:val="00AA47DC"/>
    <w:rsid w:val="00AA480C"/>
    <w:rsid w:val="00AA4826"/>
    <w:rsid w:val="00AA4876"/>
    <w:rsid w:val="00AA4911"/>
    <w:rsid w:val="00AA4912"/>
    <w:rsid w:val="00AA49CC"/>
    <w:rsid w:val="00AA49DB"/>
    <w:rsid w:val="00AA49E7"/>
    <w:rsid w:val="00AA49FC"/>
    <w:rsid w:val="00AA4B2F"/>
    <w:rsid w:val="00AA4BB9"/>
    <w:rsid w:val="00AA4C2D"/>
    <w:rsid w:val="00AA4C60"/>
    <w:rsid w:val="00AA4C71"/>
    <w:rsid w:val="00AA4D00"/>
    <w:rsid w:val="00AA4DCB"/>
    <w:rsid w:val="00AA4E34"/>
    <w:rsid w:val="00AA4F20"/>
    <w:rsid w:val="00AA4F9E"/>
    <w:rsid w:val="00AA4FB8"/>
    <w:rsid w:val="00AA4FE9"/>
    <w:rsid w:val="00AA504D"/>
    <w:rsid w:val="00AA508D"/>
    <w:rsid w:val="00AA50B9"/>
    <w:rsid w:val="00AA51B1"/>
    <w:rsid w:val="00AA53F7"/>
    <w:rsid w:val="00AA5400"/>
    <w:rsid w:val="00AA5436"/>
    <w:rsid w:val="00AA5499"/>
    <w:rsid w:val="00AA54C2"/>
    <w:rsid w:val="00AA55D3"/>
    <w:rsid w:val="00AA55F2"/>
    <w:rsid w:val="00AA56E0"/>
    <w:rsid w:val="00AA5737"/>
    <w:rsid w:val="00AA57EF"/>
    <w:rsid w:val="00AA581A"/>
    <w:rsid w:val="00AA585C"/>
    <w:rsid w:val="00AA58BA"/>
    <w:rsid w:val="00AA58DF"/>
    <w:rsid w:val="00AA59A3"/>
    <w:rsid w:val="00AA59C2"/>
    <w:rsid w:val="00AA5A55"/>
    <w:rsid w:val="00AA5A73"/>
    <w:rsid w:val="00AA5A90"/>
    <w:rsid w:val="00AA5AB1"/>
    <w:rsid w:val="00AA5C69"/>
    <w:rsid w:val="00AA5C89"/>
    <w:rsid w:val="00AA5CA5"/>
    <w:rsid w:val="00AA5CF5"/>
    <w:rsid w:val="00AA5D14"/>
    <w:rsid w:val="00AA5F22"/>
    <w:rsid w:val="00AA5F45"/>
    <w:rsid w:val="00AA5FE0"/>
    <w:rsid w:val="00AA6185"/>
    <w:rsid w:val="00AA6221"/>
    <w:rsid w:val="00AA62AF"/>
    <w:rsid w:val="00AA636E"/>
    <w:rsid w:val="00AA6567"/>
    <w:rsid w:val="00AA67FD"/>
    <w:rsid w:val="00AA6972"/>
    <w:rsid w:val="00AA6B0E"/>
    <w:rsid w:val="00AA6C0B"/>
    <w:rsid w:val="00AA6CC1"/>
    <w:rsid w:val="00AA6D28"/>
    <w:rsid w:val="00AA6DCC"/>
    <w:rsid w:val="00AA6EB7"/>
    <w:rsid w:val="00AA6F3F"/>
    <w:rsid w:val="00AA6F8B"/>
    <w:rsid w:val="00AA6FAB"/>
    <w:rsid w:val="00AA6FE9"/>
    <w:rsid w:val="00AA7019"/>
    <w:rsid w:val="00AA701C"/>
    <w:rsid w:val="00AA7030"/>
    <w:rsid w:val="00AA7038"/>
    <w:rsid w:val="00AA7146"/>
    <w:rsid w:val="00AA7224"/>
    <w:rsid w:val="00AA7329"/>
    <w:rsid w:val="00AA7391"/>
    <w:rsid w:val="00AA73EE"/>
    <w:rsid w:val="00AA7423"/>
    <w:rsid w:val="00AA7489"/>
    <w:rsid w:val="00AA7639"/>
    <w:rsid w:val="00AA766A"/>
    <w:rsid w:val="00AA7729"/>
    <w:rsid w:val="00AA78AF"/>
    <w:rsid w:val="00AA78F3"/>
    <w:rsid w:val="00AA78FC"/>
    <w:rsid w:val="00AA79AA"/>
    <w:rsid w:val="00AA7B11"/>
    <w:rsid w:val="00AA7B8D"/>
    <w:rsid w:val="00AA7C95"/>
    <w:rsid w:val="00AA7D8E"/>
    <w:rsid w:val="00AA7E33"/>
    <w:rsid w:val="00AA7E6A"/>
    <w:rsid w:val="00AA7EC8"/>
    <w:rsid w:val="00AA7F43"/>
    <w:rsid w:val="00AA7FE2"/>
    <w:rsid w:val="00AA7FF6"/>
    <w:rsid w:val="00AB0308"/>
    <w:rsid w:val="00AB0319"/>
    <w:rsid w:val="00AB0346"/>
    <w:rsid w:val="00AB03AA"/>
    <w:rsid w:val="00AB03BC"/>
    <w:rsid w:val="00AB043D"/>
    <w:rsid w:val="00AB04CC"/>
    <w:rsid w:val="00AB04D9"/>
    <w:rsid w:val="00AB0586"/>
    <w:rsid w:val="00AB05AC"/>
    <w:rsid w:val="00AB05B7"/>
    <w:rsid w:val="00AB0653"/>
    <w:rsid w:val="00AB07D0"/>
    <w:rsid w:val="00AB07F0"/>
    <w:rsid w:val="00AB07FD"/>
    <w:rsid w:val="00AB0889"/>
    <w:rsid w:val="00AB08BF"/>
    <w:rsid w:val="00AB0955"/>
    <w:rsid w:val="00AB09D7"/>
    <w:rsid w:val="00AB0A66"/>
    <w:rsid w:val="00AB0A6A"/>
    <w:rsid w:val="00AB0ABD"/>
    <w:rsid w:val="00AB0B48"/>
    <w:rsid w:val="00AB0B64"/>
    <w:rsid w:val="00AB0BD5"/>
    <w:rsid w:val="00AB0CB9"/>
    <w:rsid w:val="00AB0FA9"/>
    <w:rsid w:val="00AB1068"/>
    <w:rsid w:val="00AB10EF"/>
    <w:rsid w:val="00AB122E"/>
    <w:rsid w:val="00AB1276"/>
    <w:rsid w:val="00AB12E4"/>
    <w:rsid w:val="00AB1308"/>
    <w:rsid w:val="00AB13FA"/>
    <w:rsid w:val="00AB143E"/>
    <w:rsid w:val="00AB1592"/>
    <w:rsid w:val="00AB15B6"/>
    <w:rsid w:val="00AB1609"/>
    <w:rsid w:val="00AB1649"/>
    <w:rsid w:val="00AB16B1"/>
    <w:rsid w:val="00AB16F3"/>
    <w:rsid w:val="00AB1715"/>
    <w:rsid w:val="00AB17D5"/>
    <w:rsid w:val="00AB1982"/>
    <w:rsid w:val="00AB19B3"/>
    <w:rsid w:val="00AB1A2F"/>
    <w:rsid w:val="00AB1A53"/>
    <w:rsid w:val="00AB1A7E"/>
    <w:rsid w:val="00AB1AA2"/>
    <w:rsid w:val="00AB1BC5"/>
    <w:rsid w:val="00AB1C31"/>
    <w:rsid w:val="00AB1C41"/>
    <w:rsid w:val="00AB1C7D"/>
    <w:rsid w:val="00AB1CA8"/>
    <w:rsid w:val="00AB1D94"/>
    <w:rsid w:val="00AB1EA9"/>
    <w:rsid w:val="00AB1EC1"/>
    <w:rsid w:val="00AB1F64"/>
    <w:rsid w:val="00AB1F8D"/>
    <w:rsid w:val="00AB20BC"/>
    <w:rsid w:val="00AB2202"/>
    <w:rsid w:val="00AB224C"/>
    <w:rsid w:val="00AB226B"/>
    <w:rsid w:val="00AB2392"/>
    <w:rsid w:val="00AB2469"/>
    <w:rsid w:val="00AB24B2"/>
    <w:rsid w:val="00AB24B8"/>
    <w:rsid w:val="00AB24BB"/>
    <w:rsid w:val="00AB259D"/>
    <w:rsid w:val="00AB2634"/>
    <w:rsid w:val="00AB2765"/>
    <w:rsid w:val="00AB27C3"/>
    <w:rsid w:val="00AB2875"/>
    <w:rsid w:val="00AB28F2"/>
    <w:rsid w:val="00AB28F4"/>
    <w:rsid w:val="00AB298F"/>
    <w:rsid w:val="00AB2A72"/>
    <w:rsid w:val="00AB2B2B"/>
    <w:rsid w:val="00AB2B2E"/>
    <w:rsid w:val="00AB2BDE"/>
    <w:rsid w:val="00AB2C17"/>
    <w:rsid w:val="00AB2C72"/>
    <w:rsid w:val="00AB2C77"/>
    <w:rsid w:val="00AB2CA0"/>
    <w:rsid w:val="00AB2CC5"/>
    <w:rsid w:val="00AB2E86"/>
    <w:rsid w:val="00AB2F4C"/>
    <w:rsid w:val="00AB2FB5"/>
    <w:rsid w:val="00AB30F8"/>
    <w:rsid w:val="00AB31DB"/>
    <w:rsid w:val="00AB3219"/>
    <w:rsid w:val="00AB32A2"/>
    <w:rsid w:val="00AB33B5"/>
    <w:rsid w:val="00AB3565"/>
    <w:rsid w:val="00AB35F1"/>
    <w:rsid w:val="00AB3692"/>
    <w:rsid w:val="00AB3720"/>
    <w:rsid w:val="00AB3727"/>
    <w:rsid w:val="00AB37EA"/>
    <w:rsid w:val="00AB381B"/>
    <w:rsid w:val="00AB38FA"/>
    <w:rsid w:val="00AB3A1A"/>
    <w:rsid w:val="00AB3AB3"/>
    <w:rsid w:val="00AB3B5F"/>
    <w:rsid w:val="00AB3DB4"/>
    <w:rsid w:val="00AB3DC5"/>
    <w:rsid w:val="00AB3E32"/>
    <w:rsid w:val="00AB3E69"/>
    <w:rsid w:val="00AB3E7F"/>
    <w:rsid w:val="00AB3F12"/>
    <w:rsid w:val="00AB3F4F"/>
    <w:rsid w:val="00AB3F51"/>
    <w:rsid w:val="00AB3F58"/>
    <w:rsid w:val="00AB3FDB"/>
    <w:rsid w:val="00AB401F"/>
    <w:rsid w:val="00AB406B"/>
    <w:rsid w:val="00AB4140"/>
    <w:rsid w:val="00AB4165"/>
    <w:rsid w:val="00AB43E2"/>
    <w:rsid w:val="00AB4414"/>
    <w:rsid w:val="00AB45B1"/>
    <w:rsid w:val="00AB45EE"/>
    <w:rsid w:val="00AB47DA"/>
    <w:rsid w:val="00AB4918"/>
    <w:rsid w:val="00AB49D4"/>
    <w:rsid w:val="00AB49E7"/>
    <w:rsid w:val="00AB4A82"/>
    <w:rsid w:val="00AB4A8B"/>
    <w:rsid w:val="00AB4B18"/>
    <w:rsid w:val="00AB4BF3"/>
    <w:rsid w:val="00AB4BF9"/>
    <w:rsid w:val="00AB4C6F"/>
    <w:rsid w:val="00AB4E1B"/>
    <w:rsid w:val="00AB4E31"/>
    <w:rsid w:val="00AB4E45"/>
    <w:rsid w:val="00AB4F12"/>
    <w:rsid w:val="00AB4F2B"/>
    <w:rsid w:val="00AB50F3"/>
    <w:rsid w:val="00AB50FA"/>
    <w:rsid w:val="00AB5193"/>
    <w:rsid w:val="00AB51A1"/>
    <w:rsid w:val="00AB51D8"/>
    <w:rsid w:val="00AB526A"/>
    <w:rsid w:val="00AB559C"/>
    <w:rsid w:val="00AB55FA"/>
    <w:rsid w:val="00AB576A"/>
    <w:rsid w:val="00AB5840"/>
    <w:rsid w:val="00AB58BC"/>
    <w:rsid w:val="00AB58CD"/>
    <w:rsid w:val="00AB5BA1"/>
    <w:rsid w:val="00AB5BF2"/>
    <w:rsid w:val="00AB5C61"/>
    <w:rsid w:val="00AB5EE6"/>
    <w:rsid w:val="00AB603C"/>
    <w:rsid w:val="00AB6067"/>
    <w:rsid w:val="00AB619F"/>
    <w:rsid w:val="00AB61D3"/>
    <w:rsid w:val="00AB62C7"/>
    <w:rsid w:val="00AB6331"/>
    <w:rsid w:val="00AB636B"/>
    <w:rsid w:val="00AB63E5"/>
    <w:rsid w:val="00AB6442"/>
    <w:rsid w:val="00AB64BC"/>
    <w:rsid w:val="00AB65CD"/>
    <w:rsid w:val="00AB6661"/>
    <w:rsid w:val="00AB6674"/>
    <w:rsid w:val="00AB6677"/>
    <w:rsid w:val="00AB6690"/>
    <w:rsid w:val="00AB678D"/>
    <w:rsid w:val="00AB68C3"/>
    <w:rsid w:val="00AB6A7E"/>
    <w:rsid w:val="00AB6A95"/>
    <w:rsid w:val="00AB6BF1"/>
    <w:rsid w:val="00AB6C97"/>
    <w:rsid w:val="00AB6CBF"/>
    <w:rsid w:val="00AB6CD0"/>
    <w:rsid w:val="00AB6DB3"/>
    <w:rsid w:val="00AB6E41"/>
    <w:rsid w:val="00AB6E49"/>
    <w:rsid w:val="00AB6E55"/>
    <w:rsid w:val="00AB6EF2"/>
    <w:rsid w:val="00AB6F6D"/>
    <w:rsid w:val="00AB6FD7"/>
    <w:rsid w:val="00AB7024"/>
    <w:rsid w:val="00AB70B5"/>
    <w:rsid w:val="00AB72B3"/>
    <w:rsid w:val="00AB72F8"/>
    <w:rsid w:val="00AB7349"/>
    <w:rsid w:val="00AB739C"/>
    <w:rsid w:val="00AB73E0"/>
    <w:rsid w:val="00AB73E6"/>
    <w:rsid w:val="00AB741B"/>
    <w:rsid w:val="00AB74BD"/>
    <w:rsid w:val="00AB75B9"/>
    <w:rsid w:val="00AB761D"/>
    <w:rsid w:val="00AB76CD"/>
    <w:rsid w:val="00AB7807"/>
    <w:rsid w:val="00AB7865"/>
    <w:rsid w:val="00AB78BA"/>
    <w:rsid w:val="00AB79A9"/>
    <w:rsid w:val="00AB7B39"/>
    <w:rsid w:val="00AB7B72"/>
    <w:rsid w:val="00AB7B8A"/>
    <w:rsid w:val="00AB7B9E"/>
    <w:rsid w:val="00AB7D1D"/>
    <w:rsid w:val="00AB7D25"/>
    <w:rsid w:val="00AB7D3D"/>
    <w:rsid w:val="00AB7D69"/>
    <w:rsid w:val="00AB7E34"/>
    <w:rsid w:val="00AB7E3E"/>
    <w:rsid w:val="00AB7E45"/>
    <w:rsid w:val="00AB7E61"/>
    <w:rsid w:val="00AB7F33"/>
    <w:rsid w:val="00AB7FC4"/>
    <w:rsid w:val="00AC000C"/>
    <w:rsid w:val="00AC001F"/>
    <w:rsid w:val="00AC0030"/>
    <w:rsid w:val="00AC012B"/>
    <w:rsid w:val="00AC0148"/>
    <w:rsid w:val="00AC015E"/>
    <w:rsid w:val="00AC029B"/>
    <w:rsid w:val="00AC0355"/>
    <w:rsid w:val="00AC03FA"/>
    <w:rsid w:val="00AC04AB"/>
    <w:rsid w:val="00AC061A"/>
    <w:rsid w:val="00AC066E"/>
    <w:rsid w:val="00AC06AC"/>
    <w:rsid w:val="00AC0725"/>
    <w:rsid w:val="00AC07EF"/>
    <w:rsid w:val="00AC084D"/>
    <w:rsid w:val="00AC098B"/>
    <w:rsid w:val="00AC09D7"/>
    <w:rsid w:val="00AC0BF4"/>
    <w:rsid w:val="00AC0C03"/>
    <w:rsid w:val="00AC0CF5"/>
    <w:rsid w:val="00AC0D56"/>
    <w:rsid w:val="00AC0D6D"/>
    <w:rsid w:val="00AC0F4C"/>
    <w:rsid w:val="00AC10BB"/>
    <w:rsid w:val="00AC11FF"/>
    <w:rsid w:val="00AC1295"/>
    <w:rsid w:val="00AC1316"/>
    <w:rsid w:val="00AC133E"/>
    <w:rsid w:val="00AC1365"/>
    <w:rsid w:val="00AC1417"/>
    <w:rsid w:val="00AC1511"/>
    <w:rsid w:val="00AC1556"/>
    <w:rsid w:val="00AC1581"/>
    <w:rsid w:val="00AC162C"/>
    <w:rsid w:val="00AC162E"/>
    <w:rsid w:val="00AC1668"/>
    <w:rsid w:val="00AC1698"/>
    <w:rsid w:val="00AC16A0"/>
    <w:rsid w:val="00AC16BC"/>
    <w:rsid w:val="00AC1734"/>
    <w:rsid w:val="00AC17EC"/>
    <w:rsid w:val="00AC191A"/>
    <w:rsid w:val="00AC1981"/>
    <w:rsid w:val="00AC1BC7"/>
    <w:rsid w:val="00AC1BE2"/>
    <w:rsid w:val="00AC1C04"/>
    <w:rsid w:val="00AC1C13"/>
    <w:rsid w:val="00AC1CC4"/>
    <w:rsid w:val="00AC1DF4"/>
    <w:rsid w:val="00AC1E2D"/>
    <w:rsid w:val="00AC1E4A"/>
    <w:rsid w:val="00AC1E7D"/>
    <w:rsid w:val="00AC1EBF"/>
    <w:rsid w:val="00AC1F66"/>
    <w:rsid w:val="00AC1F84"/>
    <w:rsid w:val="00AC20F3"/>
    <w:rsid w:val="00AC211F"/>
    <w:rsid w:val="00AC21A4"/>
    <w:rsid w:val="00AC21A5"/>
    <w:rsid w:val="00AC2204"/>
    <w:rsid w:val="00AC2233"/>
    <w:rsid w:val="00AC2297"/>
    <w:rsid w:val="00AC22DB"/>
    <w:rsid w:val="00AC23D8"/>
    <w:rsid w:val="00AC2406"/>
    <w:rsid w:val="00AC28AB"/>
    <w:rsid w:val="00AC28AF"/>
    <w:rsid w:val="00AC291F"/>
    <w:rsid w:val="00AC2A57"/>
    <w:rsid w:val="00AC2A67"/>
    <w:rsid w:val="00AC2AE9"/>
    <w:rsid w:val="00AC2B4F"/>
    <w:rsid w:val="00AC2B8F"/>
    <w:rsid w:val="00AC2C11"/>
    <w:rsid w:val="00AC2E64"/>
    <w:rsid w:val="00AC2ED9"/>
    <w:rsid w:val="00AC2F09"/>
    <w:rsid w:val="00AC2F2E"/>
    <w:rsid w:val="00AC2F80"/>
    <w:rsid w:val="00AC2FE5"/>
    <w:rsid w:val="00AC302D"/>
    <w:rsid w:val="00AC3124"/>
    <w:rsid w:val="00AC316C"/>
    <w:rsid w:val="00AC3251"/>
    <w:rsid w:val="00AC326B"/>
    <w:rsid w:val="00AC331E"/>
    <w:rsid w:val="00AC33C7"/>
    <w:rsid w:val="00AC3402"/>
    <w:rsid w:val="00AC3434"/>
    <w:rsid w:val="00AC3452"/>
    <w:rsid w:val="00AC346D"/>
    <w:rsid w:val="00AC3488"/>
    <w:rsid w:val="00AC352D"/>
    <w:rsid w:val="00AC36F4"/>
    <w:rsid w:val="00AC36F7"/>
    <w:rsid w:val="00AC3708"/>
    <w:rsid w:val="00AC37EF"/>
    <w:rsid w:val="00AC3927"/>
    <w:rsid w:val="00AC3985"/>
    <w:rsid w:val="00AC39E0"/>
    <w:rsid w:val="00AC3A39"/>
    <w:rsid w:val="00AC3B3D"/>
    <w:rsid w:val="00AC3BA3"/>
    <w:rsid w:val="00AC3BB6"/>
    <w:rsid w:val="00AC3C4F"/>
    <w:rsid w:val="00AC3E06"/>
    <w:rsid w:val="00AC3F75"/>
    <w:rsid w:val="00AC3F86"/>
    <w:rsid w:val="00AC3FCB"/>
    <w:rsid w:val="00AC3FCC"/>
    <w:rsid w:val="00AC40C0"/>
    <w:rsid w:val="00AC40FB"/>
    <w:rsid w:val="00AC42B7"/>
    <w:rsid w:val="00AC42BD"/>
    <w:rsid w:val="00AC430C"/>
    <w:rsid w:val="00AC433A"/>
    <w:rsid w:val="00AC4353"/>
    <w:rsid w:val="00AC436B"/>
    <w:rsid w:val="00AC43A0"/>
    <w:rsid w:val="00AC43E3"/>
    <w:rsid w:val="00AC4411"/>
    <w:rsid w:val="00AC44B3"/>
    <w:rsid w:val="00AC451B"/>
    <w:rsid w:val="00AC4597"/>
    <w:rsid w:val="00AC4B36"/>
    <w:rsid w:val="00AC4C58"/>
    <w:rsid w:val="00AC4C90"/>
    <w:rsid w:val="00AC4CFD"/>
    <w:rsid w:val="00AC4D4D"/>
    <w:rsid w:val="00AC4D6D"/>
    <w:rsid w:val="00AC4D87"/>
    <w:rsid w:val="00AC4DB4"/>
    <w:rsid w:val="00AC4E09"/>
    <w:rsid w:val="00AC4E78"/>
    <w:rsid w:val="00AC4EBE"/>
    <w:rsid w:val="00AC4F56"/>
    <w:rsid w:val="00AC4FE7"/>
    <w:rsid w:val="00AC50B6"/>
    <w:rsid w:val="00AC5199"/>
    <w:rsid w:val="00AC52A2"/>
    <w:rsid w:val="00AC53ED"/>
    <w:rsid w:val="00AC53FA"/>
    <w:rsid w:val="00AC5439"/>
    <w:rsid w:val="00AC5479"/>
    <w:rsid w:val="00AC548D"/>
    <w:rsid w:val="00AC5529"/>
    <w:rsid w:val="00AC5580"/>
    <w:rsid w:val="00AC5660"/>
    <w:rsid w:val="00AC57D1"/>
    <w:rsid w:val="00AC5843"/>
    <w:rsid w:val="00AC594D"/>
    <w:rsid w:val="00AC598C"/>
    <w:rsid w:val="00AC59A8"/>
    <w:rsid w:val="00AC5A9F"/>
    <w:rsid w:val="00AC5B6B"/>
    <w:rsid w:val="00AC5C00"/>
    <w:rsid w:val="00AC5C64"/>
    <w:rsid w:val="00AC5D6E"/>
    <w:rsid w:val="00AC60AD"/>
    <w:rsid w:val="00AC616A"/>
    <w:rsid w:val="00AC61E3"/>
    <w:rsid w:val="00AC6238"/>
    <w:rsid w:val="00AC635A"/>
    <w:rsid w:val="00AC643D"/>
    <w:rsid w:val="00AC659D"/>
    <w:rsid w:val="00AC6793"/>
    <w:rsid w:val="00AC67A0"/>
    <w:rsid w:val="00AC67C9"/>
    <w:rsid w:val="00AC67D1"/>
    <w:rsid w:val="00AC6839"/>
    <w:rsid w:val="00AC685E"/>
    <w:rsid w:val="00AC686E"/>
    <w:rsid w:val="00AC68F8"/>
    <w:rsid w:val="00AC696E"/>
    <w:rsid w:val="00AC6A0C"/>
    <w:rsid w:val="00AC6A14"/>
    <w:rsid w:val="00AC6B28"/>
    <w:rsid w:val="00AC6BA1"/>
    <w:rsid w:val="00AC6D1F"/>
    <w:rsid w:val="00AC6D2E"/>
    <w:rsid w:val="00AC6DA3"/>
    <w:rsid w:val="00AC6E2F"/>
    <w:rsid w:val="00AC6EEF"/>
    <w:rsid w:val="00AC6F45"/>
    <w:rsid w:val="00AC6F82"/>
    <w:rsid w:val="00AC7035"/>
    <w:rsid w:val="00AC7143"/>
    <w:rsid w:val="00AC714A"/>
    <w:rsid w:val="00AC71E1"/>
    <w:rsid w:val="00AC71F8"/>
    <w:rsid w:val="00AC71FF"/>
    <w:rsid w:val="00AC7200"/>
    <w:rsid w:val="00AC75D9"/>
    <w:rsid w:val="00AC775E"/>
    <w:rsid w:val="00AC77E7"/>
    <w:rsid w:val="00AC780A"/>
    <w:rsid w:val="00AC7823"/>
    <w:rsid w:val="00AC7863"/>
    <w:rsid w:val="00AC78A4"/>
    <w:rsid w:val="00AC7A00"/>
    <w:rsid w:val="00AC7A28"/>
    <w:rsid w:val="00AC7AD6"/>
    <w:rsid w:val="00AC7B32"/>
    <w:rsid w:val="00AC7B57"/>
    <w:rsid w:val="00AC7B71"/>
    <w:rsid w:val="00AC7C21"/>
    <w:rsid w:val="00AC7D09"/>
    <w:rsid w:val="00AC7DB2"/>
    <w:rsid w:val="00AC7EB7"/>
    <w:rsid w:val="00AC7F39"/>
    <w:rsid w:val="00AC7F61"/>
    <w:rsid w:val="00AD002E"/>
    <w:rsid w:val="00AD00EA"/>
    <w:rsid w:val="00AD0147"/>
    <w:rsid w:val="00AD02BB"/>
    <w:rsid w:val="00AD0592"/>
    <w:rsid w:val="00AD05D9"/>
    <w:rsid w:val="00AD060E"/>
    <w:rsid w:val="00AD0668"/>
    <w:rsid w:val="00AD06DD"/>
    <w:rsid w:val="00AD09E7"/>
    <w:rsid w:val="00AD0AB1"/>
    <w:rsid w:val="00AD0B18"/>
    <w:rsid w:val="00AD0C27"/>
    <w:rsid w:val="00AD0E24"/>
    <w:rsid w:val="00AD0E89"/>
    <w:rsid w:val="00AD0FC9"/>
    <w:rsid w:val="00AD1175"/>
    <w:rsid w:val="00AD1263"/>
    <w:rsid w:val="00AD12C4"/>
    <w:rsid w:val="00AD12C9"/>
    <w:rsid w:val="00AD1757"/>
    <w:rsid w:val="00AD179D"/>
    <w:rsid w:val="00AD1813"/>
    <w:rsid w:val="00AD186E"/>
    <w:rsid w:val="00AD18F7"/>
    <w:rsid w:val="00AD192F"/>
    <w:rsid w:val="00AD1B0B"/>
    <w:rsid w:val="00AD1BB1"/>
    <w:rsid w:val="00AD1C41"/>
    <w:rsid w:val="00AD1D2F"/>
    <w:rsid w:val="00AD1E22"/>
    <w:rsid w:val="00AD1E67"/>
    <w:rsid w:val="00AD1EDD"/>
    <w:rsid w:val="00AD1F2D"/>
    <w:rsid w:val="00AD2025"/>
    <w:rsid w:val="00AD2062"/>
    <w:rsid w:val="00AD207A"/>
    <w:rsid w:val="00AD20ED"/>
    <w:rsid w:val="00AD219B"/>
    <w:rsid w:val="00AD21EA"/>
    <w:rsid w:val="00AD2233"/>
    <w:rsid w:val="00AD22A7"/>
    <w:rsid w:val="00AD2375"/>
    <w:rsid w:val="00AD240F"/>
    <w:rsid w:val="00AD2485"/>
    <w:rsid w:val="00AD25F8"/>
    <w:rsid w:val="00AD267B"/>
    <w:rsid w:val="00AD26A9"/>
    <w:rsid w:val="00AD27C9"/>
    <w:rsid w:val="00AD2818"/>
    <w:rsid w:val="00AD285C"/>
    <w:rsid w:val="00AD288B"/>
    <w:rsid w:val="00AD2915"/>
    <w:rsid w:val="00AD2944"/>
    <w:rsid w:val="00AD2A29"/>
    <w:rsid w:val="00AD2A4A"/>
    <w:rsid w:val="00AD2A97"/>
    <w:rsid w:val="00AD2BEF"/>
    <w:rsid w:val="00AD2C0B"/>
    <w:rsid w:val="00AD2C0F"/>
    <w:rsid w:val="00AD2C2D"/>
    <w:rsid w:val="00AD2C77"/>
    <w:rsid w:val="00AD2D71"/>
    <w:rsid w:val="00AD2DFB"/>
    <w:rsid w:val="00AD2E36"/>
    <w:rsid w:val="00AD2E87"/>
    <w:rsid w:val="00AD2EBE"/>
    <w:rsid w:val="00AD353F"/>
    <w:rsid w:val="00AD3573"/>
    <w:rsid w:val="00AD3734"/>
    <w:rsid w:val="00AD373C"/>
    <w:rsid w:val="00AD3769"/>
    <w:rsid w:val="00AD3924"/>
    <w:rsid w:val="00AD39F7"/>
    <w:rsid w:val="00AD3A32"/>
    <w:rsid w:val="00AD3A35"/>
    <w:rsid w:val="00AD3A8A"/>
    <w:rsid w:val="00AD3AAE"/>
    <w:rsid w:val="00AD3CDF"/>
    <w:rsid w:val="00AD3DCE"/>
    <w:rsid w:val="00AD3FEB"/>
    <w:rsid w:val="00AD4096"/>
    <w:rsid w:val="00AD40AF"/>
    <w:rsid w:val="00AD41F2"/>
    <w:rsid w:val="00AD4213"/>
    <w:rsid w:val="00AD42B2"/>
    <w:rsid w:val="00AD4309"/>
    <w:rsid w:val="00AD440C"/>
    <w:rsid w:val="00AD45ED"/>
    <w:rsid w:val="00AD4654"/>
    <w:rsid w:val="00AD46A8"/>
    <w:rsid w:val="00AD46F3"/>
    <w:rsid w:val="00AD47A2"/>
    <w:rsid w:val="00AD47D0"/>
    <w:rsid w:val="00AD47D2"/>
    <w:rsid w:val="00AD4811"/>
    <w:rsid w:val="00AD4821"/>
    <w:rsid w:val="00AD4875"/>
    <w:rsid w:val="00AD48CA"/>
    <w:rsid w:val="00AD48E9"/>
    <w:rsid w:val="00AD4926"/>
    <w:rsid w:val="00AD496B"/>
    <w:rsid w:val="00AD49E0"/>
    <w:rsid w:val="00AD4B1B"/>
    <w:rsid w:val="00AD4BD8"/>
    <w:rsid w:val="00AD4C12"/>
    <w:rsid w:val="00AD4CD3"/>
    <w:rsid w:val="00AD4CE7"/>
    <w:rsid w:val="00AD4D40"/>
    <w:rsid w:val="00AD4E89"/>
    <w:rsid w:val="00AD4ED3"/>
    <w:rsid w:val="00AD4FED"/>
    <w:rsid w:val="00AD50A9"/>
    <w:rsid w:val="00AD510D"/>
    <w:rsid w:val="00AD51AA"/>
    <w:rsid w:val="00AD520A"/>
    <w:rsid w:val="00AD5210"/>
    <w:rsid w:val="00AD523B"/>
    <w:rsid w:val="00AD53EE"/>
    <w:rsid w:val="00AD5461"/>
    <w:rsid w:val="00AD54F3"/>
    <w:rsid w:val="00AD55E8"/>
    <w:rsid w:val="00AD5736"/>
    <w:rsid w:val="00AD5911"/>
    <w:rsid w:val="00AD5A1D"/>
    <w:rsid w:val="00AD5B84"/>
    <w:rsid w:val="00AD5BB2"/>
    <w:rsid w:val="00AD5CBB"/>
    <w:rsid w:val="00AD5D4D"/>
    <w:rsid w:val="00AD5D76"/>
    <w:rsid w:val="00AD5E07"/>
    <w:rsid w:val="00AD5E1B"/>
    <w:rsid w:val="00AD5E41"/>
    <w:rsid w:val="00AD5F3F"/>
    <w:rsid w:val="00AD5F63"/>
    <w:rsid w:val="00AD5F6D"/>
    <w:rsid w:val="00AD602C"/>
    <w:rsid w:val="00AD60AF"/>
    <w:rsid w:val="00AD60DD"/>
    <w:rsid w:val="00AD60E9"/>
    <w:rsid w:val="00AD6273"/>
    <w:rsid w:val="00AD6426"/>
    <w:rsid w:val="00AD6488"/>
    <w:rsid w:val="00AD6495"/>
    <w:rsid w:val="00AD6512"/>
    <w:rsid w:val="00AD6603"/>
    <w:rsid w:val="00AD6633"/>
    <w:rsid w:val="00AD6640"/>
    <w:rsid w:val="00AD6663"/>
    <w:rsid w:val="00AD667C"/>
    <w:rsid w:val="00AD6752"/>
    <w:rsid w:val="00AD6828"/>
    <w:rsid w:val="00AD683E"/>
    <w:rsid w:val="00AD6852"/>
    <w:rsid w:val="00AD68AE"/>
    <w:rsid w:val="00AD68DF"/>
    <w:rsid w:val="00AD693F"/>
    <w:rsid w:val="00AD694A"/>
    <w:rsid w:val="00AD697E"/>
    <w:rsid w:val="00AD6982"/>
    <w:rsid w:val="00AD698A"/>
    <w:rsid w:val="00AD6A08"/>
    <w:rsid w:val="00AD6BF9"/>
    <w:rsid w:val="00AD6C62"/>
    <w:rsid w:val="00AD6CD5"/>
    <w:rsid w:val="00AD6D93"/>
    <w:rsid w:val="00AD6E25"/>
    <w:rsid w:val="00AD6EC6"/>
    <w:rsid w:val="00AD6F1A"/>
    <w:rsid w:val="00AD7092"/>
    <w:rsid w:val="00AD70CF"/>
    <w:rsid w:val="00AD7212"/>
    <w:rsid w:val="00AD7330"/>
    <w:rsid w:val="00AD7408"/>
    <w:rsid w:val="00AD7426"/>
    <w:rsid w:val="00AD7476"/>
    <w:rsid w:val="00AD75F2"/>
    <w:rsid w:val="00AD764C"/>
    <w:rsid w:val="00AD7716"/>
    <w:rsid w:val="00AD778B"/>
    <w:rsid w:val="00AD77FF"/>
    <w:rsid w:val="00AD78C1"/>
    <w:rsid w:val="00AD7990"/>
    <w:rsid w:val="00AD7A4A"/>
    <w:rsid w:val="00AD7BAD"/>
    <w:rsid w:val="00AD7BDF"/>
    <w:rsid w:val="00AD7C38"/>
    <w:rsid w:val="00AD7DBA"/>
    <w:rsid w:val="00AD7E27"/>
    <w:rsid w:val="00AD7FAD"/>
    <w:rsid w:val="00AE003B"/>
    <w:rsid w:val="00AE013B"/>
    <w:rsid w:val="00AE0145"/>
    <w:rsid w:val="00AE0171"/>
    <w:rsid w:val="00AE0431"/>
    <w:rsid w:val="00AE046B"/>
    <w:rsid w:val="00AE0556"/>
    <w:rsid w:val="00AE05D7"/>
    <w:rsid w:val="00AE0713"/>
    <w:rsid w:val="00AE0770"/>
    <w:rsid w:val="00AE07CD"/>
    <w:rsid w:val="00AE0AB5"/>
    <w:rsid w:val="00AE0ADE"/>
    <w:rsid w:val="00AE0B25"/>
    <w:rsid w:val="00AE0B58"/>
    <w:rsid w:val="00AE0C29"/>
    <w:rsid w:val="00AE0D3B"/>
    <w:rsid w:val="00AE0E9E"/>
    <w:rsid w:val="00AE0F00"/>
    <w:rsid w:val="00AE0F25"/>
    <w:rsid w:val="00AE0FFC"/>
    <w:rsid w:val="00AE1011"/>
    <w:rsid w:val="00AE10F4"/>
    <w:rsid w:val="00AE1280"/>
    <w:rsid w:val="00AE12A1"/>
    <w:rsid w:val="00AE1318"/>
    <w:rsid w:val="00AE1349"/>
    <w:rsid w:val="00AE135C"/>
    <w:rsid w:val="00AE1419"/>
    <w:rsid w:val="00AE14AA"/>
    <w:rsid w:val="00AE14AD"/>
    <w:rsid w:val="00AE1566"/>
    <w:rsid w:val="00AE1700"/>
    <w:rsid w:val="00AE179E"/>
    <w:rsid w:val="00AE17F6"/>
    <w:rsid w:val="00AE183D"/>
    <w:rsid w:val="00AE184A"/>
    <w:rsid w:val="00AE18D2"/>
    <w:rsid w:val="00AE19EF"/>
    <w:rsid w:val="00AE1A41"/>
    <w:rsid w:val="00AE1A73"/>
    <w:rsid w:val="00AE1AB7"/>
    <w:rsid w:val="00AE1B7A"/>
    <w:rsid w:val="00AE1BC7"/>
    <w:rsid w:val="00AE1CE3"/>
    <w:rsid w:val="00AE1D1D"/>
    <w:rsid w:val="00AE1D4F"/>
    <w:rsid w:val="00AE1D5A"/>
    <w:rsid w:val="00AE1DCB"/>
    <w:rsid w:val="00AE1DD1"/>
    <w:rsid w:val="00AE1DEF"/>
    <w:rsid w:val="00AE1EC5"/>
    <w:rsid w:val="00AE1F3B"/>
    <w:rsid w:val="00AE1F63"/>
    <w:rsid w:val="00AE20B8"/>
    <w:rsid w:val="00AE238B"/>
    <w:rsid w:val="00AE23AF"/>
    <w:rsid w:val="00AE248D"/>
    <w:rsid w:val="00AE2526"/>
    <w:rsid w:val="00AE2540"/>
    <w:rsid w:val="00AE2545"/>
    <w:rsid w:val="00AE262F"/>
    <w:rsid w:val="00AE27CF"/>
    <w:rsid w:val="00AE2804"/>
    <w:rsid w:val="00AE2841"/>
    <w:rsid w:val="00AE2920"/>
    <w:rsid w:val="00AE2970"/>
    <w:rsid w:val="00AE29C7"/>
    <w:rsid w:val="00AE2AED"/>
    <w:rsid w:val="00AE2C10"/>
    <w:rsid w:val="00AE2D31"/>
    <w:rsid w:val="00AE2D8E"/>
    <w:rsid w:val="00AE2DB8"/>
    <w:rsid w:val="00AE2E14"/>
    <w:rsid w:val="00AE2E32"/>
    <w:rsid w:val="00AE2EC7"/>
    <w:rsid w:val="00AE2EE3"/>
    <w:rsid w:val="00AE3011"/>
    <w:rsid w:val="00AE309D"/>
    <w:rsid w:val="00AE316C"/>
    <w:rsid w:val="00AE3196"/>
    <w:rsid w:val="00AE31B6"/>
    <w:rsid w:val="00AE3201"/>
    <w:rsid w:val="00AE343D"/>
    <w:rsid w:val="00AE34C1"/>
    <w:rsid w:val="00AE34E7"/>
    <w:rsid w:val="00AE3575"/>
    <w:rsid w:val="00AE3690"/>
    <w:rsid w:val="00AE3692"/>
    <w:rsid w:val="00AE3703"/>
    <w:rsid w:val="00AE3789"/>
    <w:rsid w:val="00AE38F4"/>
    <w:rsid w:val="00AE38FE"/>
    <w:rsid w:val="00AE391F"/>
    <w:rsid w:val="00AE3A0F"/>
    <w:rsid w:val="00AE3B33"/>
    <w:rsid w:val="00AE3B34"/>
    <w:rsid w:val="00AE3B78"/>
    <w:rsid w:val="00AE3BF7"/>
    <w:rsid w:val="00AE3C00"/>
    <w:rsid w:val="00AE3C5D"/>
    <w:rsid w:val="00AE3C89"/>
    <w:rsid w:val="00AE3C8E"/>
    <w:rsid w:val="00AE3D0E"/>
    <w:rsid w:val="00AE3D2E"/>
    <w:rsid w:val="00AE3DD0"/>
    <w:rsid w:val="00AE4008"/>
    <w:rsid w:val="00AE405D"/>
    <w:rsid w:val="00AE408F"/>
    <w:rsid w:val="00AE417D"/>
    <w:rsid w:val="00AE4197"/>
    <w:rsid w:val="00AE41DC"/>
    <w:rsid w:val="00AE41F3"/>
    <w:rsid w:val="00AE421F"/>
    <w:rsid w:val="00AE42A5"/>
    <w:rsid w:val="00AE42B1"/>
    <w:rsid w:val="00AE42BA"/>
    <w:rsid w:val="00AE4330"/>
    <w:rsid w:val="00AE4339"/>
    <w:rsid w:val="00AE4344"/>
    <w:rsid w:val="00AE4396"/>
    <w:rsid w:val="00AE43BC"/>
    <w:rsid w:val="00AE4417"/>
    <w:rsid w:val="00AE4467"/>
    <w:rsid w:val="00AE4472"/>
    <w:rsid w:val="00AE45AE"/>
    <w:rsid w:val="00AE46B8"/>
    <w:rsid w:val="00AE4737"/>
    <w:rsid w:val="00AE4741"/>
    <w:rsid w:val="00AE478A"/>
    <w:rsid w:val="00AE47F8"/>
    <w:rsid w:val="00AE4835"/>
    <w:rsid w:val="00AE486E"/>
    <w:rsid w:val="00AE4988"/>
    <w:rsid w:val="00AE49AA"/>
    <w:rsid w:val="00AE4A88"/>
    <w:rsid w:val="00AE4C0A"/>
    <w:rsid w:val="00AE4C73"/>
    <w:rsid w:val="00AE4D0F"/>
    <w:rsid w:val="00AE4DA1"/>
    <w:rsid w:val="00AE4DB4"/>
    <w:rsid w:val="00AE50B2"/>
    <w:rsid w:val="00AE5117"/>
    <w:rsid w:val="00AE5319"/>
    <w:rsid w:val="00AE53C3"/>
    <w:rsid w:val="00AE5420"/>
    <w:rsid w:val="00AE5530"/>
    <w:rsid w:val="00AE554E"/>
    <w:rsid w:val="00AE5553"/>
    <w:rsid w:val="00AE5569"/>
    <w:rsid w:val="00AE55AF"/>
    <w:rsid w:val="00AE565A"/>
    <w:rsid w:val="00AE5665"/>
    <w:rsid w:val="00AE5688"/>
    <w:rsid w:val="00AE576A"/>
    <w:rsid w:val="00AE57C7"/>
    <w:rsid w:val="00AE582B"/>
    <w:rsid w:val="00AE5885"/>
    <w:rsid w:val="00AE5983"/>
    <w:rsid w:val="00AE5A98"/>
    <w:rsid w:val="00AE5AF8"/>
    <w:rsid w:val="00AE5C26"/>
    <w:rsid w:val="00AE5CD8"/>
    <w:rsid w:val="00AE5D13"/>
    <w:rsid w:val="00AE5E48"/>
    <w:rsid w:val="00AE5E96"/>
    <w:rsid w:val="00AE5EDC"/>
    <w:rsid w:val="00AE5F6B"/>
    <w:rsid w:val="00AE5F8A"/>
    <w:rsid w:val="00AE5FD8"/>
    <w:rsid w:val="00AE6002"/>
    <w:rsid w:val="00AE602A"/>
    <w:rsid w:val="00AE60C3"/>
    <w:rsid w:val="00AE60E5"/>
    <w:rsid w:val="00AE634B"/>
    <w:rsid w:val="00AE63AE"/>
    <w:rsid w:val="00AE6421"/>
    <w:rsid w:val="00AE64AE"/>
    <w:rsid w:val="00AE6518"/>
    <w:rsid w:val="00AE6792"/>
    <w:rsid w:val="00AE68CE"/>
    <w:rsid w:val="00AE68DB"/>
    <w:rsid w:val="00AE6974"/>
    <w:rsid w:val="00AE6A57"/>
    <w:rsid w:val="00AE6A6C"/>
    <w:rsid w:val="00AE6B19"/>
    <w:rsid w:val="00AE6B43"/>
    <w:rsid w:val="00AE6B9E"/>
    <w:rsid w:val="00AE6BB2"/>
    <w:rsid w:val="00AE6D82"/>
    <w:rsid w:val="00AE6DE1"/>
    <w:rsid w:val="00AE6F1E"/>
    <w:rsid w:val="00AE6F8C"/>
    <w:rsid w:val="00AE70B1"/>
    <w:rsid w:val="00AE70E6"/>
    <w:rsid w:val="00AE7152"/>
    <w:rsid w:val="00AE71BA"/>
    <w:rsid w:val="00AE7244"/>
    <w:rsid w:val="00AE726A"/>
    <w:rsid w:val="00AE7304"/>
    <w:rsid w:val="00AE7323"/>
    <w:rsid w:val="00AE73E8"/>
    <w:rsid w:val="00AE7474"/>
    <w:rsid w:val="00AE74FB"/>
    <w:rsid w:val="00AE75C5"/>
    <w:rsid w:val="00AE760E"/>
    <w:rsid w:val="00AE762D"/>
    <w:rsid w:val="00AE762E"/>
    <w:rsid w:val="00AE78A0"/>
    <w:rsid w:val="00AE7929"/>
    <w:rsid w:val="00AE7B0D"/>
    <w:rsid w:val="00AE7B37"/>
    <w:rsid w:val="00AE7BF2"/>
    <w:rsid w:val="00AE7D44"/>
    <w:rsid w:val="00AE7D60"/>
    <w:rsid w:val="00AE7DB2"/>
    <w:rsid w:val="00AE7E58"/>
    <w:rsid w:val="00AE7E8C"/>
    <w:rsid w:val="00AE7F87"/>
    <w:rsid w:val="00AF003B"/>
    <w:rsid w:val="00AF0077"/>
    <w:rsid w:val="00AF01CF"/>
    <w:rsid w:val="00AF0329"/>
    <w:rsid w:val="00AF047D"/>
    <w:rsid w:val="00AF052B"/>
    <w:rsid w:val="00AF0533"/>
    <w:rsid w:val="00AF0553"/>
    <w:rsid w:val="00AF057F"/>
    <w:rsid w:val="00AF0599"/>
    <w:rsid w:val="00AF0697"/>
    <w:rsid w:val="00AF06BB"/>
    <w:rsid w:val="00AF0721"/>
    <w:rsid w:val="00AF07A9"/>
    <w:rsid w:val="00AF0876"/>
    <w:rsid w:val="00AF0899"/>
    <w:rsid w:val="00AF08FB"/>
    <w:rsid w:val="00AF0A53"/>
    <w:rsid w:val="00AF0A5A"/>
    <w:rsid w:val="00AF0AFA"/>
    <w:rsid w:val="00AF0B6E"/>
    <w:rsid w:val="00AF0C26"/>
    <w:rsid w:val="00AF0CC5"/>
    <w:rsid w:val="00AF0FD7"/>
    <w:rsid w:val="00AF1051"/>
    <w:rsid w:val="00AF1076"/>
    <w:rsid w:val="00AF109D"/>
    <w:rsid w:val="00AF1189"/>
    <w:rsid w:val="00AF1235"/>
    <w:rsid w:val="00AF12DC"/>
    <w:rsid w:val="00AF1368"/>
    <w:rsid w:val="00AF1384"/>
    <w:rsid w:val="00AF1401"/>
    <w:rsid w:val="00AF145B"/>
    <w:rsid w:val="00AF1752"/>
    <w:rsid w:val="00AF175E"/>
    <w:rsid w:val="00AF18B8"/>
    <w:rsid w:val="00AF18D8"/>
    <w:rsid w:val="00AF18F5"/>
    <w:rsid w:val="00AF1946"/>
    <w:rsid w:val="00AF1973"/>
    <w:rsid w:val="00AF1A17"/>
    <w:rsid w:val="00AF1B6A"/>
    <w:rsid w:val="00AF1BF1"/>
    <w:rsid w:val="00AF1D4D"/>
    <w:rsid w:val="00AF1D51"/>
    <w:rsid w:val="00AF1D6B"/>
    <w:rsid w:val="00AF1DCF"/>
    <w:rsid w:val="00AF1F85"/>
    <w:rsid w:val="00AF1F99"/>
    <w:rsid w:val="00AF1FB0"/>
    <w:rsid w:val="00AF1FFF"/>
    <w:rsid w:val="00AF21FB"/>
    <w:rsid w:val="00AF2286"/>
    <w:rsid w:val="00AF234B"/>
    <w:rsid w:val="00AF23F8"/>
    <w:rsid w:val="00AF24B3"/>
    <w:rsid w:val="00AF24C6"/>
    <w:rsid w:val="00AF24E1"/>
    <w:rsid w:val="00AF24EE"/>
    <w:rsid w:val="00AF2511"/>
    <w:rsid w:val="00AF2702"/>
    <w:rsid w:val="00AF2860"/>
    <w:rsid w:val="00AF28C2"/>
    <w:rsid w:val="00AF2A06"/>
    <w:rsid w:val="00AF2A3A"/>
    <w:rsid w:val="00AF2ACC"/>
    <w:rsid w:val="00AF2B78"/>
    <w:rsid w:val="00AF2BE0"/>
    <w:rsid w:val="00AF2E0C"/>
    <w:rsid w:val="00AF2EA0"/>
    <w:rsid w:val="00AF2EF1"/>
    <w:rsid w:val="00AF304C"/>
    <w:rsid w:val="00AF30D2"/>
    <w:rsid w:val="00AF3153"/>
    <w:rsid w:val="00AF3208"/>
    <w:rsid w:val="00AF3267"/>
    <w:rsid w:val="00AF337E"/>
    <w:rsid w:val="00AF3395"/>
    <w:rsid w:val="00AF34B9"/>
    <w:rsid w:val="00AF3631"/>
    <w:rsid w:val="00AF3682"/>
    <w:rsid w:val="00AF3759"/>
    <w:rsid w:val="00AF376C"/>
    <w:rsid w:val="00AF37EA"/>
    <w:rsid w:val="00AF386B"/>
    <w:rsid w:val="00AF3875"/>
    <w:rsid w:val="00AF38A2"/>
    <w:rsid w:val="00AF3A36"/>
    <w:rsid w:val="00AF3A8D"/>
    <w:rsid w:val="00AF3AA0"/>
    <w:rsid w:val="00AF3BB4"/>
    <w:rsid w:val="00AF3BBD"/>
    <w:rsid w:val="00AF3CF9"/>
    <w:rsid w:val="00AF3D1A"/>
    <w:rsid w:val="00AF3D35"/>
    <w:rsid w:val="00AF3E3D"/>
    <w:rsid w:val="00AF3ECB"/>
    <w:rsid w:val="00AF3F7A"/>
    <w:rsid w:val="00AF401B"/>
    <w:rsid w:val="00AF40CD"/>
    <w:rsid w:val="00AF430C"/>
    <w:rsid w:val="00AF4357"/>
    <w:rsid w:val="00AF43BB"/>
    <w:rsid w:val="00AF44BB"/>
    <w:rsid w:val="00AF4647"/>
    <w:rsid w:val="00AF46EB"/>
    <w:rsid w:val="00AF475B"/>
    <w:rsid w:val="00AF47BF"/>
    <w:rsid w:val="00AF47E8"/>
    <w:rsid w:val="00AF488E"/>
    <w:rsid w:val="00AF4915"/>
    <w:rsid w:val="00AF49AC"/>
    <w:rsid w:val="00AF49D5"/>
    <w:rsid w:val="00AF4B85"/>
    <w:rsid w:val="00AF4B9D"/>
    <w:rsid w:val="00AF4C50"/>
    <w:rsid w:val="00AF4C62"/>
    <w:rsid w:val="00AF4CE7"/>
    <w:rsid w:val="00AF4CFB"/>
    <w:rsid w:val="00AF4D5A"/>
    <w:rsid w:val="00AF4D66"/>
    <w:rsid w:val="00AF4E0E"/>
    <w:rsid w:val="00AF4FF6"/>
    <w:rsid w:val="00AF50F4"/>
    <w:rsid w:val="00AF5138"/>
    <w:rsid w:val="00AF5184"/>
    <w:rsid w:val="00AF51A2"/>
    <w:rsid w:val="00AF5283"/>
    <w:rsid w:val="00AF530A"/>
    <w:rsid w:val="00AF53B4"/>
    <w:rsid w:val="00AF54B2"/>
    <w:rsid w:val="00AF55B3"/>
    <w:rsid w:val="00AF55FE"/>
    <w:rsid w:val="00AF568E"/>
    <w:rsid w:val="00AF56DC"/>
    <w:rsid w:val="00AF572D"/>
    <w:rsid w:val="00AF576F"/>
    <w:rsid w:val="00AF578A"/>
    <w:rsid w:val="00AF5848"/>
    <w:rsid w:val="00AF584A"/>
    <w:rsid w:val="00AF5869"/>
    <w:rsid w:val="00AF5897"/>
    <w:rsid w:val="00AF5984"/>
    <w:rsid w:val="00AF598A"/>
    <w:rsid w:val="00AF59A3"/>
    <w:rsid w:val="00AF5A2C"/>
    <w:rsid w:val="00AF5A8E"/>
    <w:rsid w:val="00AF5B5D"/>
    <w:rsid w:val="00AF5B87"/>
    <w:rsid w:val="00AF5C4A"/>
    <w:rsid w:val="00AF5CA4"/>
    <w:rsid w:val="00AF5CA5"/>
    <w:rsid w:val="00AF5CEF"/>
    <w:rsid w:val="00AF5DCB"/>
    <w:rsid w:val="00AF5E91"/>
    <w:rsid w:val="00AF6053"/>
    <w:rsid w:val="00AF60BD"/>
    <w:rsid w:val="00AF611B"/>
    <w:rsid w:val="00AF6212"/>
    <w:rsid w:val="00AF6272"/>
    <w:rsid w:val="00AF62DE"/>
    <w:rsid w:val="00AF62E5"/>
    <w:rsid w:val="00AF63F6"/>
    <w:rsid w:val="00AF6479"/>
    <w:rsid w:val="00AF6569"/>
    <w:rsid w:val="00AF6647"/>
    <w:rsid w:val="00AF6734"/>
    <w:rsid w:val="00AF679F"/>
    <w:rsid w:val="00AF67C8"/>
    <w:rsid w:val="00AF68D3"/>
    <w:rsid w:val="00AF6921"/>
    <w:rsid w:val="00AF6B89"/>
    <w:rsid w:val="00AF6C01"/>
    <w:rsid w:val="00AF6D7E"/>
    <w:rsid w:val="00AF6DA3"/>
    <w:rsid w:val="00AF6DB1"/>
    <w:rsid w:val="00AF6E15"/>
    <w:rsid w:val="00AF6E44"/>
    <w:rsid w:val="00AF6E48"/>
    <w:rsid w:val="00AF6FD4"/>
    <w:rsid w:val="00AF7072"/>
    <w:rsid w:val="00AF70BB"/>
    <w:rsid w:val="00AF7131"/>
    <w:rsid w:val="00AF7168"/>
    <w:rsid w:val="00AF71E5"/>
    <w:rsid w:val="00AF71F1"/>
    <w:rsid w:val="00AF7248"/>
    <w:rsid w:val="00AF72F4"/>
    <w:rsid w:val="00AF739A"/>
    <w:rsid w:val="00AF73E0"/>
    <w:rsid w:val="00AF741D"/>
    <w:rsid w:val="00AF7436"/>
    <w:rsid w:val="00AF7498"/>
    <w:rsid w:val="00AF74F9"/>
    <w:rsid w:val="00AF7579"/>
    <w:rsid w:val="00AF760B"/>
    <w:rsid w:val="00AF76DE"/>
    <w:rsid w:val="00AF77E9"/>
    <w:rsid w:val="00AF78ED"/>
    <w:rsid w:val="00AF791A"/>
    <w:rsid w:val="00AF7BA1"/>
    <w:rsid w:val="00AF7BCE"/>
    <w:rsid w:val="00AF7BD1"/>
    <w:rsid w:val="00AF7CB2"/>
    <w:rsid w:val="00AF7EB6"/>
    <w:rsid w:val="00AF7F0E"/>
    <w:rsid w:val="00B000D5"/>
    <w:rsid w:val="00B00159"/>
    <w:rsid w:val="00B001D5"/>
    <w:rsid w:val="00B003B7"/>
    <w:rsid w:val="00B003D4"/>
    <w:rsid w:val="00B003FE"/>
    <w:rsid w:val="00B00481"/>
    <w:rsid w:val="00B004E2"/>
    <w:rsid w:val="00B00555"/>
    <w:rsid w:val="00B00698"/>
    <w:rsid w:val="00B006A0"/>
    <w:rsid w:val="00B006A1"/>
    <w:rsid w:val="00B00754"/>
    <w:rsid w:val="00B0079E"/>
    <w:rsid w:val="00B00915"/>
    <w:rsid w:val="00B00941"/>
    <w:rsid w:val="00B00A6E"/>
    <w:rsid w:val="00B00AB4"/>
    <w:rsid w:val="00B00B66"/>
    <w:rsid w:val="00B00BDC"/>
    <w:rsid w:val="00B00C0F"/>
    <w:rsid w:val="00B00D73"/>
    <w:rsid w:val="00B00DD9"/>
    <w:rsid w:val="00B00E9F"/>
    <w:rsid w:val="00B00F21"/>
    <w:rsid w:val="00B00F58"/>
    <w:rsid w:val="00B00F83"/>
    <w:rsid w:val="00B00F9F"/>
    <w:rsid w:val="00B00FEA"/>
    <w:rsid w:val="00B01186"/>
    <w:rsid w:val="00B011DD"/>
    <w:rsid w:val="00B013EE"/>
    <w:rsid w:val="00B0144B"/>
    <w:rsid w:val="00B014C9"/>
    <w:rsid w:val="00B014E4"/>
    <w:rsid w:val="00B0154D"/>
    <w:rsid w:val="00B0157E"/>
    <w:rsid w:val="00B01693"/>
    <w:rsid w:val="00B016BD"/>
    <w:rsid w:val="00B016C2"/>
    <w:rsid w:val="00B017D5"/>
    <w:rsid w:val="00B01868"/>
    <w:rsid w:val="00B0188B"/>
    <w:rsid w:val="00B01919"/>
    <w:rsid w:val="00B01A96"/>
    <w:rsid w:val="00B01B1E"/>
    <w:rsid w:val="00B01C47"/>
    <w:rsid w:val="00B01CA7"/>
    <w:rsid w:val="00B01D81"/>
    <w:rsid w:val="00B01DA4"/>
    <w:rsid w:val="00B01E1E"/>
    <w:rsid w:val="00B020E6"/>
    <w:rsid w:val="00B021AB"/>
    <w:rsid w:val="00B021E6"/>
    <w:rsid w:val="00B0228B"/>
    <w:rsid w:val="00B022CA"/>
    <w:rsid w:val="00B02304"/>
    <w:rsid w:val="00B02326"/>
    <w:rsid w:val="00B023A3"/>
    <w:rsid w:val="00B0240F"/>
    <w:rsid w:val="00B02433"/>
    <w:rsid w:val="00B02447"/>
    <w:rsid w:val="00B026CA"/>
    <w:rsid w:val="00B02729"/>
    <w:rsid w:val="00B0275C"/>
    <w:rsid w:val="00B02822"/>
    <w:rsid w:val="00B02843"/>
    <w:rsid w:val="00B02908"/>
    <w:rsid w:val="00B02971"/>
    <w:rsid w:val="00B02AAA"/>
    <w:rsid w:val="00B02B0A"/>
    <w:rsid w:val="00B02BAC"/>
    <w:rsid w:val="00B02C50"/>
    <w:rsid w:val="00B02C99"/>
    <w:rsid w:val="00B02D47"/>
    <w:rsid w:val="00B02DDD"/>
    <w:rsid w:val="00B02EDA"/>
    <w:rsid w:val="00B02EEF"/>
    <w:rsid w:val="00B02F49"/>
    <w:rsid w:val="00B03132"/>
    <w:rsid w:val="00B032AE"/>
    <w:rsid w:val="00B032CB"/>
    <w:rsid w:val="00B03332"/>
    <w:rsid w:val="00B0345F"/>
    <w:rsid w:val="00B0368B"/>
    <w:rsid w:val="00B036D5"/>
    <w:rsid w:val="00B0376E"/>
    <w:rsid w:val="00B0389D"/>
    <w:rsid w:val="00B038DA"/>
    <w:rsid w:val="00B038FC"/>
    <w:rsid w:val="00B03970"/>
    <w:rsid w:val="00B039AC"/>
    <w:rsid w:val="00B03A5C"/>
    <w:rsid w:val="00B03B5D"/>
    <w:rsid w:val="00B03BF1"/>
    <w:rsid w:val="00B03C1B"/>
    <w:rsid w:val="00B03C82"/>
    <w:rsid w:val="00B03CDB"/>
    <w:rsid w:val="00B03CF9"/>
    <w:rsid w:val="00B03D34"/>
    <w:rsid w:val="00B03DFB"/>
    <w:rsid w:val="00B03E41"/>
    <w:rsid w:val="00B03F87"/>
    <w:rsid w:val="00B03FC8"/>
    <w:rsid w:val="00B03FF5"/>
    <w:rsid w:val="00B040D5"/>
    <w:rsid w:val="00B04159"/>
    <w:rsid w:val="00B042C3"/>
    <w:rsid w:val="00B043BD"/>
    <w:rsid w:val="00B043D0"/>
    <w:rsid w:val="00B043E3"/>
    <w:rsid w:val="00B04430"/>
    <w:rsid w:val="00B044CE"/>
    <w:rsid w:val="00B0454B"/>
    <w:rsid w:val="00B04597"/>
    <w:rsid w:val="00B045DE"/>
    <w:rsid w:val="00B04610"/>
    <w:rsid w:val="00B046F2"/>
    <w:rsid w:val="00B04ABE"/>
    <w:rsid w:val="00B04B30"/>
    <w:rsid w:val="00B04C64"/>
    <w:rsid w:val="00B04E12"/>
    <w:rsid w:val="00B04F0B"/>
    <w:rsid w:val="00B04F13"/>
    <w:rsid w:val="00B04F1F"/>
    <w:rsid w:val="00B04F3E"/>
    <w:rsid w:val="00B04FAA"/>
    <w:rsid w:val="00B04FB9"/>
    <w:rsid w:val="00B0504E"/>
    <w:rsid w:val="00B05086"/>
    <w:rsid w:val="00B05203"/>
    <w:rsid w:val="00B05274"/>
    <w:rsid w:val="00B052AD"/>
    <w:rsid w:val="00B052DF"/>
    <w:rsid w:val="00B0532C"/>
    <w:rsid w:val="00B0535B"/>
    <w:rsid w:val="00B05445"/>
    <w:rsid w:val="00B054BD"/>
    <w:rsid w:val="00B054E4"/>
    <w:rsid w:val="00B055BB"/>
    <w:rsid w:val="00B055E8"/>
    <w:rsid w:val="00B05704"/>
    <w:rsid w:val="00B05743"/>
    <w:rsid w:val="00B05767"/>
    <w:rsid w:val="00B0577E"/>
    <w:rsid w:val="00B057F3"/>
    <w:rsid w:val="00B05931"/>
    <w:rsid w:val="00B05951"/>
    <w:rsid w:val="00B0599D"/>
    <w:rsid w:val="00B05B02"/>
    <w:rsid w:val="00B05C42"/>
    <w:rsid w:val="00B05D14"/>
    <w:rsid w:val="00B05E3E"/>
    <w:rsid w:val="00B05E88"/>
    <w:rsid w:val="00B05E8B"/>
    <w:rsid w:val="00B05F5B"/>
    <w:rsid w:val="00B060D2"/>
    <w:rsid w:val="00B060E1"/>
    <w:rsid w:val="00B061C6"/>
    <w:rsid w:val="00B06347"/>
    <w:rsid w:val="00B063B9"/>
    <w:rsid w:val="00B06471"/>
    <w:rsid w:val="00B064FB"/>
    <w:rsid w:val="00B06565"/>
    <w:rsid w:val="00B06894"/>
    <w:rsid w:val="00B068C1"/>
    <w:rsid w:val="00B069E3"/>
    <w:rsid w:val="00B06A12"/>
    <w:rsid w:val="00B06A55"/>
    <w:rsid w:val="00B06A7E"/>
    <w:rsid w:val="00B06A82"/>
    <w:rsid w:val="00B06B75"/>
    <w:rsid w:val="00B06BD5"/>
    <w:rsid w:val="00B06C36"/>
    <w:rsid w:val="00B06DBB"/>
    <w:rsid w:val="00B0704E"/>
    <w:rsid w:val="00B0708E"/>
    <w:rsid w:val="00B070EE"/>
    <w:rsid w:val="00B07107"/>
    <w:rsid w:val="00B0713C"/>
    <w:rsid w:val="00B07224"/>
    <w:rsid w:val="00B07338"/>
    <w:rsid w:val="00B07379"/>
    <w:rsid w:val="00B073A6"/>
    <w:rsid w:val="00B0741C"/>
    <w:rsid w:val="00B074B0"/>
    <w:rsid w:val="00B07503"/>
    <w:rsid w:val="00B07560"/>
    <w:rsid w:val="00B07582"/>
    <w:rsid w:val="00B07669"/>
    <w:rsid w:val="00B076C4"/>
    <w:rsid w:val="00B07726"/>
    <w:rsid w:val="00B07808"/>
    <w:rsid w:val="00B0781B"/>
    <w:rsid w:val="00B07864"/>
    <w:rsid w:val="00B07868"/>
    <w:rsid w:val="00B078C6"/>
    <w:rsid w:val="00B079AA"/>
    <w:rsid w:val="00B07A01"/>
    <w:rsid w:val="00B07A45"/>
    <w:rsid w:val="00B07A4F"/>
    <w:rsid w:val="00B07A66"/>
    <w:rsid w:val="00B07B57"/>
    <w:rsid w:val="00B07BE5"/>
    <w:rsid w:val="00B07C4C"/>
    <w:rsid w:val="00B07C76"/>
    <w:rsid w:val="00B07CEE"/>
    <w:rsid w:val="00B07D5D"/>
    <w:rsid w:val="00B07D5E"/>
    <w:rsid w:val="00B07DB0"/>
    <w:rsid w:val="00B07E3A"/>
    <w:rsid w:val="00B07EA3"/>
    <w:rsid w:val="00B07F76"/>
    <w:rsid w:val="00B07FD0"/>
    <w:rsid w:val="00B10024"/>
    <w:rsid w:val="00B100FA"/>
    <w:rsid w:val="00B10159"/>
    <w:rsid w:val="00B1022C"/>
    <w:rsid w:val="00B10281"/>
    <w:rsid w:val="00B10356"/>
    <w:rsid w:val="00B1043A"/>
    <w:rsid w:val="00B10467"/>
    <w:rsid w:val="00B105A5"/>
    <w:rsid w:val="00B105F5"/>
    <w:rsid w:val="00B106DC"/>
    <w:rsid w:val="00B106E3"/>
    <w:rsid w:val="00B107A7"/>
    <w:rsid w:val="00B107B7"/>
    <w:rsid w:val="00B10936"/>
    <w:rsid w:val="00B109FE"/>
    <w:rsid w:val="00B10BF0"/>
    <w:rsid w:val="00B10F00"/>
    <w:rsid w:val="00B10F13"/>
    <w:rsid w:val="00B10FAA"/>
    <w:rsid w:val="00B1101C"/>
    <w:rsid w:val="00B110B4"/>
    <w:rsid w:val="00B111C5"/>
    <w:rsid w:val="00B11320"/>
    <w:rsid w:val="00B1138C"/>
    <w:rsid w:val="00B1139C"/>
    <w:rsid w:val="00B1139F"/>
    <w:rsid w:val="00B113CD"/>
    <w:rsid w:val="00B114C5"/>
    <w:rsid w:val="00B1171F"/>
    <w:rsid w:val="00B1178B"/>
    <w:rsid w:val="00B117EB"/>
    <w:rsid w:val="00B11891"/>
    <w:rsid w:val="00B118A8"/>
    <w:rsid w:val="00B118DE"/>
    <w:rsid w:val="00B11929"/>
    <w:rsid w:val="00B11961"/>
    <w:rsid w:val="00B1196E"/>
    <w:rsid w:val="00B11A11"/>
    <w:rsid w:val="00B11A30"/>
    <w:rsid w:val="00B11A42"/>
    <w:rsid w:val="00B11AD1"/>
    <w:rsid w:val="00B11B82"/>
    <w:rsid w:val="00B11CC5"/>
    <w:rsid w:val="00B11CE6"/>
    <w:rsid w:val="00B11D6F"/>
    <w:rsid w:val="00B11DB7"/>
    <w:rsid w:val="00B11DC8"/>
    <w:rsid w:val="00B11E01"/>
    <w:rsid w:val="00B1201F"/>
    <w:rsid w:val="00B1207B"/>
    <w:rsid w:val="00B120AC"/>
    <w:rsid w:val="00B12111"/>
    <w:rsid w:val="00B12135"/>
    <w:rsid w:val="00B122B4"/>
    <w:rsid w:val="00B1239F"/>
    <w:rsid w:val="00B12409"/>
    <w:rsid w:val="00B12464"/>
    <w:rsid w:val="00B1251C"/>
    <w:rsid w:val="00B125C6"/>
    <w:rsid w:val="00B126E5"/>
    <w:rsid w:val="00B12732"/>
    <w:rsid w:val="00B12942"/>
    <w:rsid w:val="00B12A04"/>
    <w:rsid w:val="00B12C72"/>
    <w:rsid w:val="00B12C94"/>
    <w:rsid w:val="00B12C95"/>
    <w:rsid w:val="00B12CFF"/>
    <w:rsid w:val="00B12EA3"/>
    <w:rsid w:val="00B1300E"/>
    <w:rsid w:val="00B13019"/>
    <w:rsid w:val="00B13112"/>
    <w:rsid w:val="00B133A1"/>
    <w:rsid w:val="00B133E0"/>
    <w:rsid w:val="00B1348C"/>
    <w:rsid w:val="00B134D9"/>
    <w:rsid w:val="00B1354E"/>
    <w:rsid w:val="00B135DC"/>
    <w:rsid w:val="00B13605"/>
    <w:rsid w:val="00B136C9"/>
    <w:rsid w:val="00B13774"/>
    <w:rsid w:val="00B137B1"/>
    <w:rsid w:val="00B137F9"/>
    <w:rsid w:val="00B138A4"/>
    <w:rsid w:val="00B13904"/>
    <w:rsid w:val="00B13925"/>
    <w:rsid w:val="00B1399C"/>
    <w:rsid w:val="00B139BE"/>
    <w:rsid w:val="00B139E3"/>
    <w:rsid w:val="00B139FE"/>
    <w:rsid w:val="00B13A0A"/>
    <w:rsid w:val="00B13B2B"/>
    <w:rsid w:val="00B13B94"/>
    <w:rsid w:val="00B13C26"/>
    <w:rsid w:val="00B13C5E"/>
    <w:rsid w:val="00B13C71"/>
    <w:rsid w:val="00B13CDF"/>
    <w:rsid w:val="00B1402E"/>
    <w:rsid w:val="00B14149"/>
    <w:rsid w:val="00B1421B"/>
    <w:rsid w:val="00B14281"/>
    <w:rsid w:val="00B142A6"/>
    <w:rsid w:val="00B14307"/>
    <w:rsid w:val="00B14336"/>
    <w:rsid w:val="00B14342"/>
    <w:rsid w:val="00B143E2"/>
    <w:rsid w:val="00B1444C"/>
    <w:rsid w:val="00B144BB"/>
    <w:rsid w:val="00B144F7"/>
    <w:rsid w:val="00B1451A"/>
    <w:rsid w:val="00B14554"/>
    <w:rsid w:val="00B146A7"/>
    <w:rsid w:val="00B1474C"/>
    <w:rsid w:val="00B1477F"/>
    <w:rsid w:val="00B148D4"/>
    <w:rsid w:val="00B1498D"/>
    <w:rsid w:val="00B149D8"/>
    <w:rsid w:val="00B149F9"/>
    <w:rsid w:val="00B14A08"/>
    <w:rsid w:val="00B14A1A"/>
    <w:rsid w:val="00B14B1D"/>
    <w:rsid w:val="00B14CD6"/>
    <w:rsid w:val="00B14D48"/>
    <w:rsid w:val="00B14D64"/>
    <w:rsid w:val="00B14DDB"/>
    <w:rsid w:val="00B14E93"/>
    <w:rsid w:val="00B14F5A"/>
    <w:rsid w:val="00B14FC1"/>
    <w:rsid w:val="00B15055"/>
    <w:rsid w:val="00B15068"/>
    <w:rsid w:val="00B15079"/>
    <w:rsid w:val="00B1509C"/>
    <w:rsid w:val="00B15124"/>
    <w:rsid w:val="00B15142"/>
    <w:rsid w:val="00B1529F"/>
    <w:rsid w:val="00B152B1"/>
    <w:rsid w:val="00B152E3"/>
    <w:rsid w:val="00B153FE"/>
    <w:rsid w:val="00B15406"/>
    <w:rsid w:val="00B1542D"/>
    <w:rsid w:val="00B15776"/>
    <w:rsid w:val="00B157AA"/>
    <w:rsid w:val="00B159B7"/>
    <w:rsid w:val="00B159BE"/>
    <w:rsid w:val="00B15AAB"/>
    <w:rsid w:val="00B15C0E"/>
    <w:rsid w:val="00B15F27"/>
    <w:rsid w:val="00B15F36"/>
    <w:rsid w:val="00B1607A"/>
    <w:rsid w:val="00B160B7"/>
    <w:rsid w:val="00B160FD"/>
    <w:rsid w:val="00B1611B"/>
    <w:rsid w:val="00B16185"/>
    <w:rsid w:val="00B16187"/>
    <w:rsid w:val="00B16207"/>
    <w:rsid w:val="00B16298"/>
    <w:rsid w:val="00B16318"/>
    <w:rsid w:val="00B16468"/>
    <w:rsid w:val="00B1657D"/>
    <w:rsid w:val="00B16589"/>
    <w:rsid w:val="00B165AF"/>
    <w:rsid w:val="00B165C6"/>
    <w:rsid w:val="00B1660C"/>
    <w:rsid w:val="00B16644"/>
    <w:rsid w:val="00B16697"/>
    <w:rsid w:val="00B16699"/>
    <w:rsid w:val="00B1669E"/>
    <w:rsid w:val="00B1673D"/>
    <w:rsid w:val="00B16817"/>
    <w:rsid w:val="00B1689D"/>
    <w:rsid w:val="00B1696F"/>
    <w:rsid w:val="00B169B9"/>
    <w:rsid w:val="00B16C01"/>
    <w:rsid w:val="00B16CD7"/>
    <w:rsid w:val="00B16E24"/>
    <w:rsid w:val="00B170A4"/>
    <w:rsid w:val="00B17268"/>
    <w:rsid w:val="00B17280"/>
    <w:rsid w:val="00B172FB"/>
    <w:rsid w:val="00B17369"/>
    <w:rsid w:val="00B1752A"/>
    <w:rsid w:val="00B17637"/>
    <w:rsid w:val="00B17656"/>
    <w:rsid w:val="00B17679"/>
    <w:rsid w:val="00B1769B"/>
    <w:rsid w:val="00B176EA"/>
    <w:rsid w:val="00B17742"/>
    <w:rsid w:val="00B177CF"/>
    <w:rsid w:val="00B177DA"/>
    <w:rsid w:val="00B177F9"/>
    <w:rsid w:val="00B17821"/>
    <w:rsid w:val="00B1786B"/>
    <w:rsid w:val="00B178F5"/>
    <w:rsid w:val="00B17A22"/>
    <w:rsid w:val="00B17A31"/>
    <w:rsid w:val="00B17AE3"/>
    <w:rsid w:val="00B17B99"/>
    <w:rsid w:val="00B17CC6"/>
    <w:rsid w:val="00B17CF9"/>
    <w:rsid w:val="00B17ED7"/>
    <w:rsid w:val="00B17F1C"/>
    <w:rsid w:val="00B17F98"/>
    <w:rsid w:val="00B17FC9"/>
    <w:rsid w:val="00B17FDE"/>
    <w:rsid w:val="00B20018"/>
    <w:rsid w:val="00B2006D"/>
    <w:rsid w:val="00B200C6"/>
    <w:rsid w:val="00B200D7"/>
    <w:rsid w:val="00B200DA"/>
    <w:rsid w:val="00B20194"/>
    <w:rsid w:val="00B20207"/>
    <w:rsid w:val="00B20333"/>
    <w:rsid w:val="00B203A5"/>
    <w:rsid w:val="00B203DC"/>
    <w:rsid w:val="00B203E1"/>
    <w:rsid w:val="00B20451"/>
    <w:rsid w:val="00B2048D"/>
    <w:rsid w:val="00B205E0"/>
    <w:rsid w:val="00B205EA"/>
    <w:rsid w:val="00B206CB"/>
    <w:rsid w:val="00B206E1"/>
    <w:rsid w:val="00B2072A"/>
    <w:rsid w:val="00B207E9"/>
    <w:rsid w:val="00B20876"/>
    <w:rsid w:val="00B208CB"/>
    <w:rsid w:val="00B209C3"/>
    <w:rsid w:val="00B20A20"/>
    <w:rsid w:val="00B20A5D"/>
    <w:rsid w:val="00B20AF4"/>
    <w:rsid w:val="00B20B79"/>
    <w:rsid w:val="00B20B93"/>
    <w:rsid w:val="00B20B94"/>
    <w:rsid w:val="00B20C68"/>
    <w:rsid w:val="00B20D0F"/>
    <w:rsid w:val="00B20DB3"/>
    <w:rsid w:val="00B20DB4"/>
    <w:rsid w:val="00B20DEE"/>
    <w:rsid w:val="00B20EC2"/>
    <w:rsid w:val="00B21153"/>
    <w:rsid w:val="00B211B2"/>
    <w:rsid w:val="00B211FD"/>
    <w:rsid w:val="00B2120F"/>
    <w:rsid w:val="00B21280"/>
    <w:rsid w:val="00B21317"/>
    <w:rsid w:val="00B21462"/>
    <w:rsid w:val="00B21498"/>
    <w:rsid w:val="00B214C2"/>
    <w:rsid w:val="00B214FC"/>
    <w:rsid w:val="00B21563"/>
    <w:rsid w:val="00B21565"/>
    <w:rsid w:val="00B21863"/>
    <w:rsid w:val="00B21868"/>
    <w:rsid w:val="00B218F8"/>
    <w:rsid w:val="00B21942"/>
    <w:rsid w:val="00B21A71"/>
    <w:rsid w:val="00B21B82"/>
    <w:rsid w:val="00B21BC1"/>
    <w:rsid w:val="00B21C99"/>
    <w:rsid w:val="00B21CD3"/>
    <w:rsid w:val="00B21DB9"/>
    <w:rsid w:val="00B21DCC"/>
    <w:rsid w:val="00B21EB9"/>
    <w:rsid w:val="00B21ED1"/>
    <w:rsid w:val="00B21EE2"/>
    <w:rsid w:val="00B21FA6"/>
    <w:rsid w:val="00B21FC6"/>
    <w:rsid w:val="00B21FFA"/>
    <w:rsid w:val="00B22058"/>
    <w:rsid w:val="00B220AB"/>
    <w:rsid w:val="00B220FF"/>
    <w:rsid w:val="00B22108"/>
    <w:rsid w:val="00B22109"/>
    <w:rsid w:val="00B2224A"/>
    <w:rsid w:val="00B2224B"/>
    <w:rsid w:val="00B222EA"/>
    <w:rsid w:val="00B22322"/>
    <w:rsid w:val="00B2233C"/>
    <w:rsid w:val="00B223FC"/>
    <w:rsid w:val="00B22432"/>
    <w:rsid w:val="00B225E2"/>
    <w:rsid w:val="00B225FE"/>
    <w:rsid w:val="00B22762"/>
    <w:rsid w:val="00B22814"/>
    <w:rsid w:val="00B228A5"/>
    <w:rsid w:val="00B228B8"/>
    <w:rsid w:val="00B22964"/>
    <w:rsid w:val="00B22ABD"/>
    <w:rsid w:val="00B22B13"/>
    <w:rsid w:val="00B22B37"/>
    <w:rsid w:val="00B22B72"/>
    <w:rsid w:val="00B22B75"/>
    <w:rsid w:val="00B22BE8"/>
    <w:rsid w:val="00B22C9F"/>
    <w:rsid w:val="00B22CCB"/>
    <w:rsid w:val="00B22CE4"/>
    <w:rsid w:val="00B22E2C"/>
    <w:rsid w:val="00B22E9E"/>
    <w:rsid w:val="00B22FF5"/>
    <w:rsid w:val="00B230C9"/>
    <w:rsid w:val="00B23227"/>
    <w:rsid w:val="00B232CB"/>
    <w:rsid w:val="00B232DC"/>
    <w:rsid w:val="00B232FB"/>
    <w:rsid w:val="00B234C6"/>
    <w:rsid w:val="00B2350C"/>
    <w:rsid w:val="00B2363A"/>
    <w:rsid w:val="00B2371B"/>
    <w:rsid w:val="00B23746"/>
    <w:rsid w:val="00B2377C"/>
    <w:rsid w:val="00B2379B"/>
    <w:rsid w:val="00B2395D"/>
    <w:rsid w:val="00B23980"/>
    <w:rsid w:val="00B239E2"/>
    <w:rsid w:val="00B23A0D"/>
    <w:rsid w:val="00B23C93"/>
    <w:rsid w:val="00B23CB5"/>
    <w:rsid w:val="00B23CD4"/>
    <w:rsid w:val="00B23D72"/>
    <w:rsid w:val="00B23E0D"/>
    <w:rsid w:val="00B23EE7"/>
    <w:rsid w:val="00B23F82"/>
    <w:rsid w:val="00B24074"/>
    <w:rsid w:val="00B2409F"/>
    <w:rsid w:val="00B240DA"/>
    <w:rsid w:val="00B240DB"/>
    <w:rsid w:val="00B243D1"/>
    <w:rsid w:val="00B243EF"/>
    <w:rsid w:val="00B24406"/>
    <w:rsid w:val="00B245E9"/>
    <w:rsid w:val="00B246B8"/>
    <w:rsid w:val="00B2471D"/>
    <w:rsid w:val="00B2477E"/>
    <w:rsid w:val="00B24801"/>
    <w:rsid w:val="00B2483F"/>
    <w:rsid w:val="00B24882"/>
    <w:rsid w:val="00B24962"/>
    <w:rsid w:val="00B249A9"/>
    <w:rsid w:val="00B249D5"/>
    <w:rsid w:val="00B249ED"/>
    <w:rsid w:val="00B24A87"/>
    <w:rsid w:val="00B24B51"/>
    <w:rsid w:val="00B24C31"/>
    <w:rsid w:val="00B24CAF"/>
    <w:rsid w:val="00B24CED"/>
    <w:rsid w:val="00B24D7F"/>
    <w:rsid w:val="00B24DC1"/>
    <w:rsid w:val="00B24DF3"/>
    <w:rsid w:val="00B24FD7"/>
    <w:rsid w:val="00B25018"/>
    <w:rsid w:val="00B2501B"/>
    <w:rsid w:val="00B250A0"/>
    <w:rsid w:val="00B250DA"/>
    <w:rsid w:val="00B251AE"/>
    <w:rsid w:val="00B251C5"/>
    <w:rsid w:val="00B2526B"/>
    <w:rsid w:val="00B252E8"/>
    <w:rsid w:val="00B253DA"/>
    <w:rsid w:val="00B2541B"/>
    <w:rsid w:val="00B25442"/>
    <w:rsid w:val="00B254AA"/>
    <w:rsid w:val="00B254DD"/>
    <w:rsid w:val="00B25560"/>
    <w:rsid w:val="00B255BF"/>
    <w:rsid w:val="00B255D4"/>
    <w:rsid w:val="00B2570F"/>
    <w:rsid w:val="00B257CA"/>
    <w:rsid w:val="00B257CD"/>
    <w:rsid w:val="00B25826"/>
    <w:rsid w:val="00B25925"/>
    <w:rsid w:val="00B2593C"/>
    <w:rsid w:val="00B2594E"/>
    <w:rsid w:val="00B25971"/>
    <w:rsid w:val="00B25992"/>
    <w:rsid w:val="00B259BD"/>
    <w:rsid w:val="00B25A60"/>
    <w:rsid w:val="00B25BD6"/>
    <w:rsid w:val="00B25BE9"/>
    <w:rsid w:val="00B25D55"/>
    <w:rsid w:val="00B25DFA"/>
    <w:rsid w:val="00B25FB7"/>
    <w:rsid w:val="00B25FC4"/>
    <w:rsid w:val="00B26022"/>
    <w:rsid w:val="00B26076"/>
    <w:rsid w:val="00B260B5"/>
    <w:rsid w:val="00B261A2"/>
    <w:rsid w:val="00B262F2"/>
    <w:rsid w:val="00B26357"/>
    <w:rsid w:val="00B2637B"/>
    <w:rsid w:val="00B263DA"/>
    <w:rsid w:val="00B2643B"/>
    <w:rsid w:val="00B264BD"/>
    <w:rsid w:val="00B264E4"/>
    <w:rsid w:val="00B2650C"/>
    <w:rsid w:val="00B26584"/>
    <w:rsid w:val="00B2678F"/>
    <w:rsid w:val="00B269AD"/>
    <w:rsid w:val="00B26A51"/>
    <w:rsid w:val="00B26B00"/>
    <w:rsid w:val="00B26BD1"/>
    <w:rsid w:val="00B26C17"/>
    <w:rsid w:val="00B26CCB"/>
    <w:rsid w:val="00B26D93"/>
    <w:rsid w:val="00B26DBB"/>
    <w:rsid w:val="00B26E40"/>
    <w:rsid w:val="00B26EAD"/>
    <w:rsid w:val="00B26FB3"/>
    <w:rsid w:val="00B271A0"/>
    <w:rsid w:val="00B271FC"/>
    <w:rsid w:val="00B2723E"/>
    <w:rsid w:val="00B2728C"/>
    <w:rsid w:val="00B272AD"/>
    <w:rsid w:val="00B27328"/>
    <w:rsid w:val="00B273AE"/>
    <w:rsid w:val="00B2747E"/>
    <w:rsid w:val="00B2748E"/>
    <w:rsid w:val="00B27494"/>
    <w:rsid w:val="00B276D4"/>
    <w:rsid w:val="00B27759"/>
    <w:rsid w:val="00B2776A"/>
    <w:rsid w:val="00B27861"/>
    <w:rsid w:val="00B27864"/>
    <w:rsid w:val="00B2788B"/>
    <w:rsid w:val="00B2792C"/>
    <w:rsid w:val="00B2798C"/>
    <w:rsid w:val="00B279CE"/>
    <w:rsid w:val="00B279E5"/>
    <w:rsid w:val="00B27AD2"/>
    <w:rsid w:val="00B27AE6"/>
    <w:rsid w:val="00B27C35"/>
    <w:rsid w:val="00B27D91"/>
    <w:rsid w:val="00B27DA5"/>
    <w:rsid w:val="00B27E9B"/>
    <w:rsid w:val="00B27EF0"/>
    <w:rsid w:val="00B27F2C"/>
    <w:rsid w:val="00B27F8C"/>
    <w:rsid w:val="00B27FF2"/>
    <w:rsid w:val="00B27FF4"/>
    <w:rsid w:val="00B30094"/>
    <w:rsid w:val="00B301A7"/>
    <w:rsid w:val="00B301CB"/>
    <w:rsid w:val="00B301E1"/>
    <w:rsid w:val="00B3021D"/>
    <w:rsid w:val="00B303D1"/>
    <w:rsid w:val="00B30413"/>
    <w:rsid w:val="00B30438"/>
    <w:rsid w:val="00B304F6"/>
    <w:rsid w:val="00B306FD"/>
    <w:rsid w:val="00B30736"/>
    <w:rsid w:val="00B30905"/>
    <w:rsid w:val="00B3090B"/>
    <w:rsid w:val="00B309E2"/>
    <w:rsid w:val="00B309FE"/>
    <w:rsid w:val="00B30ABB"/>
    <w:rsid w:val="00B30CD3"/>
    <w:rsid w:val="00B30D9A"/>
    <w:rsid w:val="00B30E08"/>
    <w:rsid w:val="00B30E72"/>
    <w:rsid w:val="00B30E73"/>
    <w:rsid w:val="00B3108F"/>
    <w:rsid w:val="00B311AE"/>
    <w:rsid w:val="00B31249"/>
    <w:rsid w:val="00B31269"/>
    <w:rsid w:val="00B312AB"/>
    <w:rsid w:val="00B31326"/>
    <w:rsid w:val="00B313A4"/>
    <w:rsid w:val="00B314AB"/>
    <w:rsid w:val="00B3157C"/>
    <w:rsid w:val="00B315FD"/>
    <w:rsid w:val="00B31608"/>
    <w:rsid w:val="00B31668"/>
    <w:rsid w:val="00B31870"/>
    <w:rsid w:val="00B31A5C"/>
    <w:rsid w:val="00B31B08"/>
    <w:rsid w:val="00B31BD7"/>
    <w:rsid w:val="00B31F9F"/>
    <w:rsid w:val="00B320AD"/>
    <w:rsid w:val="00B320C3"/>
    <w:rsid w:val="00B320CC"/>
    <w:rsid w:val="00B32104"/>
    <w:rsid w:val="00B32218"/>
    <w:rsid w:val="00B322AE"/>
    <w:rsid w:val="00B32442"/>
    <w:rsid w:val="00B32507"/>
    <w:rsid w:val="00B3253E"/>
    <w:rsid w:val="00B326B2"/>
    <w:rsid w:val="00B326E6"/>
    <w:rsid w:val="00B32705"/>
    <w:rsid w:val="00B328A1"/>
    <w:rsid w:val="00B328CF"/>
    <w:rsid w:val="00B328E0"/>
    <w:rsid w:val="00B329A6"/>
    <w:rsid w:val="00B329F0"/>
    <w:rsid w:val="00B32B5B"/>
    <w:rsid w:val="00B32B6B"/>
    <w:rsid w:val="00B32BA4"/>
    <w:rsid w:val="00B32C68"/>
    <w:rsid w:val="00B32CCB"/>
    <w:rsid w:val="00B32DB6"/>
    <w:rsid w:val="00B32F32"/>
    <w:rsid w:val="00B32F4A"/>
    <w:rsid w:val="00B32F6E"/>
    <w:rsid w:val="00B33157"/>
    <w:rsid w:val="00B331E3"/>
    <w:rsid w:val="00B331EA"/>
    <w:rsid w:val="00B332A8"/>
    <w:rsid w:val="00B333A3"/>
    <w:rsid w:val="00B333CD"/>
    <w:rsid w:val="00B33520"/>
    <w:rsid w:val="00B335C4"/>
    <w:rsid w:val="00B335E0"/>
    <w:rsid w:val="00B33652"/>
    <w:rsid w:val="00B33661"/>
    <w:rsid w:val="00B336B5"/>
    <w:rsid w:val="00B33817"/>
    <w:rsid w:val="00B338A0"/>
    <w:rsid w:val="00B33986"/>
    <w:rsid w:val="00B339CE"/>
    <w:rsid w:val="00B33A6E"/>
    <w:rsid w:val="00B33A7F"/>
    <w:rsid w:val="00B33F41"/>
    <w:rsid w:val="00B33FFA"/>
    <w:rsid w:val="00B34197"/>
    <w:rsid w:val="00B34248"/>
    <w:rsid w:val="00B342A7"/>
    <w:rsid w:val="00B342C1"/>
    <w:rsid w:val="00B34338"/>
    <w:rsid w:val="00B3433D"/>
    <w:rsid w:val="00B3437F"/>
    <w:rsid w:val="00B343BE"/>
    <w:rsid w:val="00B344B1"/>
    <w:rsid w:val="00B34510"/>
    <w:rsid w:val="00B34591"/>
    <w:rsid w:val="00B347B2"/>
    <w:rsid w:val="00B347BA"/>
    <w:rsid w:val="00B3488E"/>
    <w:rsid w:val="00B349BE"/>
    <w:rsid w:val="00B34A69"/>
    <w:rsid w:val="00B34A7D"/>
    <w:rsid w:val="00B34B31"/>
    <w:rsid w:val="00B34B59"/>
    <w:rsid w:val="00B34C5F"/>
    <w:rsid w:val="00B34C68"/>
    <w:rsid w:val="00B3512B"/>
    <w:rsid w:val="00B35157"/>
    <w:rsid w:val="00B35187"/>
    <w:rsid w:val="00B35291"/>
    <w:rsid w:val="00B35304"/>
    <w:rsid w:val="00B353FE"/>
    <w:rsid w:val="00B35472"/>
    <w:rsid w:val="00B354B7"/>
    <w:rsid w:val="00B354ED"/>
    <w:rsid w:val="00B35512"/>
    <w:rsid w:val="00B3554B"/>
    <w:rsid w:val="00B35569"/>
    <w:rsid w:val="00B3560A"/>
    <w:rsid w:val="00B35795"/>
    <w:rsid w:val="00B35895"/>
    <w:rsid w:val="00B35897"/>
    <w:rsid w:val="00B35938"/>
    <w:rsid w:val="00B35947"/>
    <w:rsid w:val="00B35A2E"/>
    <w:rsid w:val="00B35A94"/>
    <w:rsid w:val="00B35AA0"/>
    <w:rsid w:val="00B35AE6"/>
    <w:rsid w:val="00B35B2C"/>
    <w:rsid w:val="00B35C1B"/>
    <w:rsid w:val="00B35C62"/>
    <w:rsid w:val="00B35D12"/>
    <w:rsid w:val="00B35D73"/>
    <w:rsid w:val="00B35D7C"/>
    <w:rsid w:val="00B35E02"/>
    <w:rsid w:val="00B35E25"/>
    <w:rsid w:val="00B35EA9"/>
    <w:rsid w:val="00B35EE9"/>
    <w:rsid w:val="00B35FEE"/>
    <w:rsid w:val="00B35FFA"/>
    <w:rsid w:val="00B360F1"/>
    <w:rsid w:val="00B36117"/>
    <w:rsid w:val="00B3626B"/>
    <w:rsid w:val="00B36335"/>
    <w:rsid w:val="00B36368"/>
    <w:rsid w:val="00B3636E"/>
    <w:rsid w:val="00B363F6"/>
    <w:rsid w:val="00B36449"/>
    <w:rsid w:val="00B365BC"/>
    <w:rsid w:val="00B366B2"/>
    <w:rsid w:val="00B366CC"/>
    <w:rsid w:val="00B367B9"/>
    <w:rsid w:val="00B36858"/>
    <w:rsid w:val="00B3685C"/>
    <w:rsid w:val="00B36867"/>
    <w:rsid w:val="00B368A4"/>
    <w:rsid w:val="00B3693E"/>
    <w:rsid w:val="00B36965"/>
    <w:rsid w:val="00B36B1F"/>
    <w:rsid w:val="00B36B90"/>
    <w:rsid w:val="00B36C3D"/>
    <w:rsid w:val="00B36CDE"/>
    <w:rsid w:val="00B36D9A"/>
    <w:rsid w:val="00B36FB2"/>
    <w:rsid w:val="00B37167"/>
    <w:rsid w:val="00B3716A"/>
    <w:rsid w:val="00B371BD"/>
    <w:rsid w:val="00B371CE"/>
    <w:rsid w:val="00B372D7"/>
    <w:rsid w:val="00B372D9"/>
    <w:rsid w:val="00B3730D"/>
    <w:rsid w:val="00B37385"/>
    <w:rsid w:val="00B37460"/>
    <w:rsid w:val="00B37603"/>
    <w:rsid w:val="00B376BF"/>
    <w:rsid w:val="00B376E9"/>
    <w:rsid w:val="00B377F2"/>
    <w:rsid w:val="00B378DD"/>
    <w:rsid w:val="00B37927"/>
    <w:rsid w:val="00B37998"/>
    <w:rsid w:val="00B379A7"/>
    <w:rsid w:val="00B37AA2"/>
    <w:rsid w:val="00B37AC5"/>
    <w:rsid w:val="00B37AF6"/>
    <w:rsid w:val="00B37B20"/>
    <w:rsid w:val="00B37B3A"/>
    <w:rsid w:val="00B37B88"/>
    <w:rsid w:val="00B37BDD"/>
    <w:rsid w:val="00B37BFE"/>
    <w:rsid w:val="00B37D2C"/>
    <w:rsid w:val="00B37D69"/>
    <w:rsid w:val="00B37D7A"/>
    <w:rsid w:val="00B37DF0"/>
    <w:rsid w:val="00B37F5C"/>
    <w:rsid w:val="00B402F2"/>
    <w:rsid w:val="00B40339"/>
    <w:rsid w:val="00B405D2"/>
    <w:rsid w:val="00B40682"/>
    <w:rsid w:val="00B406A0"/>
    <w:rsid w:val="00B40714"/>
    <w:rsid w:val="00B407ED"/>
    <w:rsid w:val="00B40853"/>
    <w:rsid w:val="00B40942"/>
    <w:rsid w:val="00B40961"/>
    <w:rsid w:val="00B40A62"/>
    <w:rsid w:val="00B40A9F"/>
    <w:rsid w:val="00B40ADE"/>
    <w:rsid w:val="00B40AF4"/>
    <w:rsid w:val="00B40B2F"/>
    <w:rsid w:val="00B40EE2"/>
    <w:rsid w:val="00B40F2E"/>
    <w:rsid w:val="00B40F4A"/>
    <w:rsid w:val="00B4108F"/>
    <w:rsid w:val="00B410C7"/>
    <w:rsid w:val="00B4110B"/>
    <w:rsid w:val="00B411CD"/>
    <w:rsid w:val="00B41271"/>
    <w:rsid w:val="00B412F5"/>
    <w:rsid w:val="00B41301"/>
    <w:rsid w:val="00B4134D"/>
    <w:rsid w:val="00B4139C"/>
    <w:rsid w:val="00B413E2"/>
    <w:rsid w:val="00B414B4"/>
    <w:rsid w:val="00B41711"/>
    <w:rsid w:val="00B41797"/>
    <w:rsid w:val="00B419DE"/>
    <w:rsid w:val="00B41AA1"/>
    <w:rsid w:val="00B41D3C"/>
    <w:rsid w:val="00B41DE7"/>
    <w:rsid w:val="00B41DEF"/>
    <w:rsid w:val="00B41ED6"/>
    <w:rsid w:val="00B41FA1"/>
    <w:rsid w:val="00B41FA6"/>
    <w:rsid w:val="00B42001"/>
    <w:rsid w:val="00B42004"/>
    <w:rsid w:val="00B4209D"/>
    <w:rsid w:val="00B420FE"/>
    <w:rsid w:val="00B42396"/>
    <w:rsid w:val="00B423B7"/>
    <w:rsid w:val="00B423CC"/>
    <w:rsid w:val="00B4245D"/>
    <w:rsid w:val="00B424BD"/>
    <w:rsid w:val="00B424C6"/>
    <w:rsid w:val="00B42516"/>
    <w:rsid w:val="00B42534"/>
    <w:rsid w:val="00B4274F"/>
    <w:rsid w:val="00B42862"/>
    <w:rsid w:val="00B4297D"/>
    <w:rsid w:val="00B429D0"/>
    <w:rsid w:val="00B429E2"/>
    <w:rsid w:val="00B429EB"/>
    <w:rsid w:val="00B42A69"/>
    <w:rsid w:val="00B42BBF"/>
    <w:rsid w:val="00B42C11"/>
    <w:rsid w:val="00B42D55"/>
    <w:rsid w:val="00B42E08"/>
    <w:rsid w:val="00B42F22"/>
    <w:rsid w:val="00B42F66"/>
    <w:rsid w:val="00B42FBA"/>
    <w:rsid w:val="00B42FE5"/>
    <w:rsid w:val="00B4307B"/>
    <w:rsid w:val="00B43273"/>
    <w:rsid w:val="00B432A5"/>
    <w:rsid w:val="00B432B5"/>
    <w:rsid w:val="00B432BA"/>
    <w:rsid w:val="00B43322"/>
    <w:rsid w:val="00B433B2"/>
    <w:rsid w:val="00B43466"/>
    <w:rsid w:val="00B436A1"/>
    <w:rsid w:val="00B437B7"/>
    <w:rsid w:val="00B43849"/>
    <w:rsid w:val="00B43870"/>
    <w:rsid w:val="00B43961"/>
    <w:rsid w:val="00B43997"/>
    <w:rsid w:val="00B43999"/>
    <w:rsid w:val="00B439C0"/>
    <w:rsid w:val="00B43A88"/>
    <w:rsid w:val="00B43B52"/>
    <w:rsid w:val="00B43BA4"/>
    <w:rsid w:val="00B43CBD"/>
    <w:rsid w:val="00B43CD0"/>
    <w:rsid w:val="00B43D40"/>
    <w:rsid w:val="00B43D79"/>
    <w:rsid w:val="00B43DC0"/>
    <w:rsid w:val="00B43EE4"/>
    <w:rsid w:val="00B43F4E"/>
    <w:rsid w:val="00B44271"/>
    <w:rsid w:val="00B4427C"/>
    <w:rsid w:val="00B442CF"/>
    <w:rsid w:val="00B4437F"/>
    <w:rsid w:val="00B443F5"/>
    <w:rsid w:val="00B443F7"/>
    <w:rsid w:val="00B444A9"/>
    <w:rsid w:val="00B44515"/>
    <w:rsid w:val="00B4453C"/>
    <w:rsid w:val="00B44568"/>
    <w:rsid w:val="00B445BD"/>
    <w:rsid w:val="00B445C2"/>
    <w:rsid w:val="00B447C9"/>
    <w:rsid w:val="00B44832"/>
    <w:rsid w:val="00B449C8"/>
    <w:rsid w:val="00B44AC6"/>
    <w:rsid w:val="00B44B39"/>
    <w:rsid w:val="00B44B67"/>
    <w:rsid w:val="00B44E9C"/>
    <w:rsid w:val="00B44F49"/>
    <w:rsid w:val="00B44F7F"/>
    <w:rsid w:val="00B4503D"/>
    <w:rsid w:val="00B4514C"/>
    <w:rsid w:val="00B452D5"/>
    <w:rsid w:val="00B45333"/>
    <w:rsid w:val="00B4540A"/>
    <w:rsid w:val="00B4543A"/>
    <w:rsid w:val="00B454D8"/>
    <w:rsid w:val="00B4555E"/>
    <w:rsid w:val="00B45576"/>
    <w:rsid w:val="00B455DF"/>
    <w:rsid w:val="00B45669"/>
    <w:rsid w:val="00B45724"/>
    <w:rsid w:val="00B457CC"/>
    <w:rsid w:val="00B4580A"/>
    <w:rsid w:val="00B45840"/>
    <w:rsid w:val="00B458B3"/>
    <w:rsid w:val="00B459C6"/>
    <w:rsid w:val="00B45A04"/>
    <w:rsid w:val="00B45A46"/>
    <w:rsid w:val="00B45A6F"/>
    <w:rsid w:val="00B45AB8"/>
    <w:rsid w:val="00B45AC7"/>
    <w:rsid w:val="00B45C16"/>
    <w:rsid w:val="00B45C7C"/>
    <w:rsid w:val="00B45C7D"/>
    <w:rsid w:val="00B45C91"/>
    <w:rsid w:val="00B45CD7"/>
    <w:rsid w:val="00B45D06"/>
    <w:rsid w:val="00B45DD5"/>
    <w:rsid w:val="00B45E6C"/>
    <w:rsid w:val="00B45F46"/>
    <w:rsid w:val="00B45F63"/>
    <w:rsid w:val="00B45FE8"/>
    <w:rsid w:val="00B4607B"/>
    <w:rsid w:val="00B460E9"/>
    <w:rsid w:val="00B460FC"/>
    <w:rsid w:val="00B4618A"/>
    <w:rsid w:val="00B462FF"/>
    <w:rsid w:val="00B4643C"/>
    <w:rsid w:val="00B4646C"/>
    <w:rsid w:val="00B464EE"/>
    <w:rsid w:val="00B4663E"/>
    <w:rsid w:val="00B466E3"/>
    <w:rsid w:val="00B46705"/>
    <w:rsid w:val="00B4673D"/>
    <w:rsid w:val="00B46779"/>
    <w:rsid w:val="00B46780"/>
    <w:rsid w:val="00B46785"/>
    <w:rsid w:val="00B467C3"/>
    <w:rsid w:val="00B467DC"/>
    <w:rsid w:val="00B4683C"/>
    <w:rsid w:val="00B468D7"/>
    <w:rsid w:val="00B46976"/>
    <w:rsid w:val="00B46999"/>
    <w:rsid w:val="00B46AA2"/>
    <w:rsid w:val="00B46B02"/>
    <w:rsid w:val="00B46B15"/>
    <w:rsid w:val="00B46BCB"/>
    <w:rsid w:val="00B46BF7"/>
    <w:rsid w:val="00B46C91"/>
    <w:rsid w:val="00B46D50"/>
    <w:rsid w:val="00B46D53"/>
    <w:rsid w:val="00B46D64"/>
    <w:rsid w:val="00B46EDA"/>
    <w:rsid w:val="00B4700A"/>
    <w:rsid w:val="00B472A0"/>
    <w:rsid w:val="00B472E3"/>
    <w:rsid w:val="00B47382"/>
    <w:rsid w:val="00B473D9"/>
    <w:rsid w:val="00B47428"/>
    <w:rsid w:val="00B474FB"/>
    <w:rsid w:val="00B47544"/>
    <w:rsid w:val="00B47564"/>
    <w:rsid w:val="00B47592"/>
    <w:rsid w:val="00B475D7"/>
    <w:rsid w:val="00B47720"/>
    <w:rsid w:val="00B47727"/>
    <w:rsid w:val="00B4779F"/>
    <w:rsid w:val="00B47843"/>
    <w:rsid w:val="00B478BA"/>
    <w:rsid w:val="00B478C8"/>
    <w:rsid w:val="00B47A00"/>
    <w:rsid w:val="00B47A22"/>
    <w:rsid w:val="00B47AC6"/>
    <w:rsid w:val="00B47B87"/>
    <w:rsid w:val="00B47BEB"/>
    <w:rsid w:val="00B47CE2"/>
    <w:rsid w:val="00B47F8D"/>
    <w:rsid w:val="00B50103"/>
    <w:rsid w:val="00B501E6"/>
    <w:rsid w:val="00B50471"/>
    <w:rsid w:val="00B504CA"/>
    <w:rsid w:val="00B504FF"/>
    <w:rsid w:val="00B50618"/>
    <w:rsid w:val="00B50629"/>
    <w:rsid w:val="00B506CF"/>
    <w:rsid w:val="00B50726"/>
    <w:rsid w:val="00B5072B"/>
    <w:rsid w:val="00B5080F"/>
    <w:rsid w:val="00B50912"/>
    <w:rsid w:val="00B5096D"/>
    <w:rsid w:val="00B50A4D"/>
    <w:rsid w:val="00B50A5C"/>
    <w:rsid w:val="00B50D5F"/>
    <w:rsid w:val="00B50D7F"/>
    <w:rsid w:val="00B50F8B"/>
    <w:rsid w:val="00B51033"/>
    <w:rsid w:val="00B5116D"/>
    <w:rsid w:val="00B51239"/>
    <w:rsid w:val="00B51260"/>
    <w:rsid w:val="00B512DD"/>
    <w:rsid w:val="00B512E3"/>
    <w:rsid w:val="00B513A9"/>
    <w:rsid w:val="00B5140A"/>
    <w:rsid w:val="00B51471"/>
    <w:rsid w:val="00B514FD"/>
    <w:rsid w:val="00B5151F"/>
    <w:rsid w:val="00B516A1"/>
    <w:rsid w:val="00B516C1"/>
    <w:rsid w:val="00B51731"/>
    <w:rsid w:val="00B5173D"/>
    <w:rsid w:val="00B51794"/>
    <w:rsid w:val="00B51849"/>
    <w:rsid w:val="00B51861"/>
    <w:rsid w:val="00B5187A"/>
    <w:rsid w:val="00B518D0"/>
    <w:rsid w:val="00B5190E"/>
    <w:rsid w:val="00B51917"/>
    <w:rsid w:val="00B51A0B"/>
    <w:rsid w:val="00B51A30"/>
    <w:rsid w:val="00B51AB3"/>
    <w:rsid w:val="00B51B79"/>
    <w:rsid w:val="00B51BDE"/>
    <w:rsid w:val="00B51C07"/>
    <w:rsid w:val="00B51C39"/>
    <w:rsid w:val="00B51C80"/>
    <w:rsid w:val="00B51DC4"/>
    <w:rsid w:val="00B51DD4"/>
    <w:rsid w:val="00B51DE5"/>
    <w:rsid w:val="00B51EEA"/>
    <w:rsid w:val="00B51EF7"/>
    <w:rsid w:val="00B51F4F"/>
    <w:rsid w:val="00B51F55"/>
    <w:rsid w:val="00B51FAF"/>
    <w:rsid w:val="00B51FF3"/>
    <w:rsid w:val="00B51FFB"/>
    <w:rsid w:val="00B5204E"/>
    <w:rsid w:val="00B52126"/>
    <w:rsid w:val="00B52183"/>
    <w:rsid w:val="00B52228"/>
    <w:rsid w:val="00B5228C"/>
    <w:rsid w:val="00B523E1"/>
    <w:rsid w:val="00B523FA"/>
    <w:rsid w:val="00B5240D"/>
    <w:rsid w:val="00B52489"/>
    <w:rsid w:val="00B524CF"/>
    <w:rsid w:val="00B5252B"/>
    <w:rsid w:val="00B5254E"/>
    <w:rsid w:val="00B52575"/>
    <w:rsid w:val="00B5261B"/>
    <w:rsid w:val="00B526A2"/>
    <w:rsid w:val="00B5273F"/>
    <w:rsid w:val="00B528A7"/>
    <w:rsid w:val="00B5291B"/>
    <w:rsid w:val="00B529D1"/>
    <w:rsid w:val="00B529D8"/>
    <w:rsid w:val="00B52A28"/>
    <w:rsid w:val="00B52AEA"/>
    <w:rsid w:val="00B52B38"/>
    <w:rsid w:val="00B52C1A"/>
    <w:rsid w:val="00B52C50"/>
    <w:rsid w:val="00B52C5F"/>
    <w:rsid w:val="00B52C97"/>
    <w:rsid w:val="00B52CCB"/>
    <w:rsid w:val="00B52D7E"/>
    <w:rsid w:val="00B52DB5"/>
    <w:rsid w:val="00B52DCF"/>
    <w:rsid w:val="00B52F76"/>
    <w:rsid w:val="00B52FC9"/>
    <w:rsid w:val="00B53072"/>
    <w:rsid w:val="00B53138"/>
    <w:rsid w:val="00B53169"/>
    <w:rsid w:val="00B531FC"/>
    <w:rsid w:val="00B5324C"/>
    <w:rsid w:val="00B532A9"/>
    <w:rsid w:val="00B5331A"/>
    <w:rsid w:val="00B5331B"/>
    <w:rsid w:val="00B53681"/>
    <w:rsid w:val="00B53687"/>
    <w:rsid w:val="00B53694"/>
    <w:rsid w:val="00B5369D"/>
    <w:rsid w:val="00B538BB"/>
    <w:rsid w:val="00B53919"/>
    <w:rsid w:val="00B53996"/>
    <w:rsid w:val="00B539DC"/>
    <w:rsid w:val="00B53A62"/>
    <w:rsid w:val="00B53B45"/>
    <w:rsid w:val="00B53B8D"/>
    <w:rsid w:val="00B53D82"/>
    <w:rsid w:val="00B53DB2"/>
    <w:rsid w:val="00B53E08"/>
    <w:rsid w:val="00B53F93"/>
    <w:rsid w:val="00B53FC7"/>
    <w:rsid w:val="00B54081"/>
    <w:rsid w:val="00B541F9"/>
    <w:rsid w:val="00B542FB"/>
    <w:rsid w:val="00B5430B"/>
    <w:rsid w:val="00B54473"/>
    <w:rsid w:val="00B54561"/>
    <w:rsid w:val="00B54A85"/>
    <w:rsid w:val="00B54B08"/>
    <w:rsid w:val="00B54BBB"/>
    <w:rsid w:val="00B54BC1"/>
    <w:rsid w:val="00B54C7F"/>
    <w:rsid w:val="00B54CCB"/>
    <w:rsid w:val="00B55144"/>
    <w:rsid w:val="00B55169"/>
    <w:rsid w:val="00B552A7"/>
    <w:rsid w:val="00B55324"/>
    <w:rsid w:val="00B553DA"/>
    <w:rsid w:val="00B553EE"/>
    <w:rsid w:val="00B554E2"/>
    <w:rsid w:val="00B55520"/>
    <w:rsid w:val="00B5558D"/>
    <w:rsid w:val="00B55844"/>
    <w:rsid w:val="00B558FC"/>
    <w:rsid w:val="00B55AB9"/>
    <w:rsid w:val="00B55C51"/>
    <w:rsid w:val="00B55C97"/>
    <w:rsid w:val="00B55DCD"/>
    <w:rsid w:val="00B55DDD"/>
    <w:rsid w:val="00B55E1B"/>
    <w:rsid w:val="00B55E84"/>
    <w:rsid w:val="00B55EEB"/>
    <w:rsid w:val="00B55F06"/>
    <w:rsid w:val="00B55F4A"/>
    <w:rsid w:val="00B55F4D"/>
    <w:rsid w:val="00B55F63"/>
    <w:rsid w:val="00B560CF"/>
    <w:rsid w:val="00B5630E"/>
    <w:rsid w:val="00B5636B"/>
    <w:rsid w:val="00B563D6"/>
    <w:rsid w:val="00B563DF"/>
    <w:rsid w:val="00B56427"/>
    <w:rsid w:val="00B56473"/>
    <w:rsid w:val="00B56478"/>
    <w:rsid w:val="00B56521"/>
    <w:rsid w:val="00B566D4"/>
    <w:rsid w:val="00B56703"/>
    <w:rsid w:val="00B56763"/>
    <w:rsid w:val="00B568D2"/>
    <w:rsid w:val="00B56921"/>
    <w:rsid w:val="00B56925"/>
    <w:rsid w:val="00B5694B"/>
    <w:rsid w:val="00B569B1"/>
    <w:rsid w:val="00B56A6F"/>
    <w:rsid w:val="00B56AD1"/>
    <w:rsid w:val="00B56C9F"/>
    <w:rsid w:val="00B56CE1"/>
    <w:rsid w:val="00B56EC8"/>
    <w:rsid w:val="00B56ECE"/>
    <w:rsid w:val="00B56EE2"/>
    <w:rsid w:val="00B56FC6"/>
    <w:rsid w:val="00B570BB"/>
    <w:rsid w:val="00B57131"/>
    <w:rsid w:val="00B57247"/>
    <w:rsid w:val="00B572BA"/>
    <w:rsid w:val="00B57337"/>
    <w:rsid w:val="00B5734F"/>
    <w:rsid w:val="00B573BE"/>
    <w:rsid w:val="00B573F3"/>
    <w:rsid w:val="00B57424"/>
    <w:rsid w:val="00B5751C"/>
    <w:rsid w:val="00B57538"/>
    <w:rsid w:val="00B575B6"/>
    <w:rsid w:val="00B5761E"/>
    <w:rsid w:val="00B5774D"/>
    <w:rsid w:val="00B57859"/>
    <w:rsid w:val="00B5788B"/>
    <w:rsid w:val="00B57A96"/>
    <w:rsid w:val="00B57ADC"/>
    <w:rsid w:val="00B57C12"/>
    <w:rsid w:val="00B57CD5"/>
    <w:rsid w:val="00B57D74"/>
    <w:rsid w:val="00B57D78"/>
    <w:rsid w:val="00B57F3F"/>
    <w:rsid w:val="00B60039"/>
    <w:rsid w:val="00B6003F"/>
    <w:rsid w:val="00B6022B"/>
    <w:rsid w:val="00B602E3"/>
    <w:rsid w:val="00B60450"/>
    <w:rsid w:val="00B604A7"/>
    <w:rsid w:val="00B604DC"/>
    <w:rsid w:val="00B6058D"/>
    <w:rsid w:val="00B60735"/>
    <w:rsid w:val="00B60834"/>
    <w:rsid w:val="00B60926"/>
    <w:rsid w:val="00B6099C"/>
    <w:rsid w:val="00B609FB"/>
    <w:rsid w:val="00B60A07"/>
    <w:rsid w:val="00B60A5E"/>
    <w:rsid w:val="00B60A70"/>
    <w:rsid w:val="00B60AEB"/>
    <w:rsid w:val="00B60B89"/>
    <w:rsid w:val="00B60BC0"/>
    <w:rsid w:val="00B60C0D"/>
    <w:rsid w:val="00B60C4F"/>
    <w:rsid w:val="00B60D09"/>
    <w:rsid w:val="00B60F2E"/>
    <w:rsid w:val="00B61066"/>
    <w:rsid w:val="00B61190"/>
    <w:rsid w:val="00B61319"/>
    <w:rsid w:val="00B61365"/>
    <w:rsid w:val="00B61414"/>
    <w:rsid w:val="00B61423"/>
    <w:rsid w:val="00B61434"/>
    <w:rsid w:val="00B61549"/>
    <w:rsid w:val="00B615D4"/>
    <w:rsid w:val="00B615EF"/>
    <w:rsid w:val="00B61619"/>
    <w:rsid w:val="00B6162D"/>
    <w:rsid w:val="00B6162E"/>
    <w:rsid w:val="00B616FC"/>
    <w:rsid w:val="00B6171E"/>
    <w:rsid w:val="00B61840"/>
    <w:rsid w:val="00B61A0D"/>
    <w:rsid w:val="00B61A1E"/>
    <w:rsid w:val="00B61B18"/>
    <w:rsid w:val="00B61B65"/>
    <w:rsid w:val="00B61CD4"/>
    <w:rsid w:val="00B61D71"/>
    <w:rsid w:val="00B61DD1"/>
    <w:rsid w:val="00B62010"/>
    <w:rsid w:val="00B621ED"/>
    <w:rsid w:val="00B622CB"/>
    <w:rsid w:val="00B622EC"/>
    <w:rsid w:val="00B6230B"/>
    <w:rsid w:val="00B6234F"/>
    <w:rsid w:val="00B623DD"/>
    <w:rsid w:val="00B623EC"/>
    <w:rsid w:val="00B6244A"/>
    <w:rsid w:val="00B6245D"/>
    <w:rsid w:val="00B6259E"/>
    <w:rsid w:val="00B625A6"/>
    <w:rsid w:val="00B625AB"/>
    <w:rsid w:val="00B625D5"/>
    <w:rsid w:val="00B625EA"/>
    <w:rsid w:val="00B62603"/>
    <w:rsid w:val="00B62656"/>
    <w:rsid w:val="00B6266F"/>
    <w:rsid w:val="00B62677"/>
    <w:rsid w:val="00B62695"/>
    <w:rsid w:val="00B62746"/>
    <w:rsid w:val="00B627A7"/>
    <w:rsid w:val="00B62937"/>
    <w:rsid w:val="00B629CE"/>
    <w:rsid w:val="00B629D6"/>
    <w:rsid w:val="00B62A3B"/>
    <w:rsid w:val="00B62AFB"/>
    <w:rsid w:val="00B62B53"/>
    <w:rsid w:val="00B62B6A"/>
    <w:rsid w:val="00B62BC0"/>
    <w:rsid w:val="00B62C8F"/>
    <w:rsid w:val="00B62D5D"/>
    <w:rsid w:val="00B62DE6"/>
    <w:rsid w:val="00B6308A"/>
    <w:rsid w:val="00B63106"/>
    <w:rsid w:val="00B6317E"/>
    <w:rsid w:val="00B6319C"/>
    <w:rsid w:val="00B632D9"/>
    <w:rsid w:val="00B63573"/>
    <w:rsid w:val="00B635B5"/>
    <w:rsid w:val="00B6367F"/>
    <w:rsid w:val="00B636ED"/>
    <w:rsid w:val="00B637BF"/>
    <w:rsid w:val="00B63810"/>
    <w:rsid w:val="00B63819"/>
    <w:rsid w:val="00B6381C"/>
    <w:rsid w:val="00B63835"/>
    <w:rsid w:val="00B63851"/>
    <w:rsid w:val="00B63A4B"/>
    <w:rsid w:val="00B63ADA"/>
    <w:rsid w:val="00B63BC9"/>
    <w:rsid w:val="00B63CF5"/>
    <w:rsid w:val="00B63D3D"/>
    <w:rsid w:val="00B63EC1"/>
    <w:rsid w:val="00B63F5E"/>
    <w:rsid w:val="00B63F85"/>
    <w:rsid w:val="00B64007"/>
    <w:rsid w:val="00B64099"/>
    <w:rsid w:val="00B64129"/>
    <w:rsid w:val="00B64144"/>
    <w:rsid w:val="00B641A5"/>
    <w:rsid w:val="00B6423A"/>
    <w:rsid w:val="00B64262"/>
    <w:rsid w:val="00B642E9"/>
    <w:rsid w:val="00B642FE"/>
    <w:rsid w:val="00B64335"/>
    <w:rsid w:val="00B64401"/>
    <w:rsid w:val="00B64458"/>
    <w:rsid w:val="00B644C4"/>
    <w:rsid w:val="00B645B7"/>
    <w:rsid w:val="00B64612"/>
    <w:rsid w:val="00B64638"/>
    <w:rsid w:val="00B6473B"/>
    <w:rsid w:val="00B64777"/>
    <w:rsid w:val="00B648AA"/>
    <w:rsid w:val="00B649F1"/>
    <w:rsid w:val="00B64A78"/>
    <w:rsid w:val="00B64A9D"/>
    <w:rsid w:val="00B64ABD"/>
    <w:rsid w:val="00B64AE3"/>
    <w:rsid w:val="00B64B37"/>
    <w:rsid w:val="00B64BFA"/>
    <w:rsid w:val="00B64C61"/>
    <w:rsid w:val="00B64CB7"/>
    <w:rsid w:val="00B64D3D"/>
    <w:rsid w:val="00B64DE3"/>
    <w:rsid w:val="00B64E10"/>
    <w:rsid w:val="00B64F33"/>
    <w:rsid w:val="00B64FD1"/>
    <w:rsid w:val="00B64FF9"/>
    <w:rsid w:val="00B65003"/>
    <w:rsid w:val="00B65128"/>
    <w:rsid w:val="00B65171"/>
    <w:rsid w:val="00B65223"/>
    <w:rsid w:val="00B652BA"/>
    <w:rsid w:val="00B654BB"/>
    <w:rsid w:val="00B65563"/>
    <w:rsid w:val="00B655BB"/>
    <w:rsid w:val="00B6565D"/>
    <w:rsid w:val="00B65751"/>
    <w:rsid w:val="00B65838"/>
    <w:rsid w:val="00B658E5"/>
    <w:rsid w:val="00B659D0"/>
    <w:rsid w:val="00B65B0E"/>
    <w:rsid w:val="00B65B7B"/>
    <w:rsid w:val="00B65BFF"/>
    <w:rsid w:val="00B65C08"/>
    <w:rsid w:val="00B65C32"/>
    <w:rsid w:val="00B65C9C"/>
    <w:rsid w:val="00B65CB9"/>
    <w:rsid w:val="00B65D34"/>
    <w:rsid w:val="00B65D6A"/>
    <w:rsid w:val="00B65E6F"/>
    <w:rsid w:val="00B65F2E"/>
    <w:rsid w:val="00B65F5A"/>
    <w:rsid w:val="00B65FCE"/>
    <w:rsid w:val="00B66028"/>
    <w:rsid w:val="00B660C2"/>
    <w:rsid w:val="00B6614B"/>
    <w:rsid w:val="00B66279"/>
    <w:rsid w:val="00B662AD"/>
    <w:rsid w:val="00B662DB"/>
    <w:rsid w:val="00B664EB"/>
    <w:rsid w:val="00B66571"/>
    <w:rsid w:val="00B665B0"/>
    <w:rsid w:val="00B6667A"/>
    <w:rsid w:val="00B666F4"/>
    <w:rsid w:val="00B66909"/>
    <w:rsid w:val="00B669E9"/>
    <w:rsid w:val="00B669EA"/>
    <w:rsid w:val="00B66A7B"/>
    <w:rsid w:val="00B66B84"/>
    <w:rsid w:val="00B66C28"/>
    <w:rsid w:val="00B66C54"/>
    <w:rsid w:val="00B66C97"/>
    <w:rsid w:val="00B66CF7"/>
    <w:rsid w:val="00B66D14"/>
    <w:rsid w:val="00B66D54"/>
    <w:rsid w:val="00B66D9E"/>
    <w:rsid w:val="00B66E26"/>
    <w:rsid w:val="00B66EAE"/>
    <w:rsid w:val="00B66F4A"/>
    <w:rsid w:val="00B66F89"/>
    <w:rsid w:val="00B67008"/>
    <w:rsid w:val="00B67022"/>
    <w:rsid w:val="00B67026"/>
    <w:rsid w:val="00B67039"/>
    <w:rsid w:val="00B6711C"/>
    <w:rsid w:val="00B671FD"/>
    <w:rsid w:val="00B672FB"/>
    <w:rsid w:val="00B6738E"/>
    <w:rsid w:val="00B67419"/>
    <w:rsid w:val="00B67434"/>
    <w:rsid w:val="00B6755F"/>
    <w:rsid w:val="00B67588"/>
    <w:rsid w:val="00B67778"/>
    <w:rsid w:val="00B67A9E"/>
    <w:rsid w:val="00B67B0D"/>
    <w:rsid w:val="00B67BD8"/>
    <w:rsid w:val="00B67CB7"/>
    <w:rsid w:val="00B67E13"/>
    <w:rsid w:val="00B67E91"/>
    <w:rsid w:val="00B70055"/>
    <w:rsid w:val="00B7016C"/>
    <w:rsid w:val="00B701BB"/>
    <w:rsid w:val="00B70232"/>
    <w:rsid w:val="00B7027F"/>
    <w:rsid w:val="00B702A2"/>
    <w:rsid w:val="00B70313"/>
    <w:rsid w:val="00B7031B"/>
    <w:rsid w:val="00B70350"/>
    <w:rsid w:val="00B703A2"/>
    <w:rsid w:val="00B70413"/>
    <w:rsid w:val="00B7054F"/>
    <w:rsid w:val="00B705AA"/>
    <w:rsid w:val="00B705B6"/>
    <w:rsid w:val="00B7060B"/>
    <w:rsid w:val="00B70649"/>
    <w:rsid w:val="00B70659"/>
    <w:rsid w:val="00B70670"/>
    <w:rsid w:val="00B7068D"/>
    <w:rsid w:val="00B7074C"/>
    <w:rsid w:val="00B707A8"/>
    <w:rsid w:val="00B707AE"/>
    <w:rsid w:val="00B707D5"/>
    <w:rsid w:val="00B7085A"/>
    <w:rsid w:val="00B70996"/>
    <w:rsid w:val="00B709BB"/>
    <w:rsid w:val="00B70AA6"/>
    <w:rsid w:val="00B70B0B"/>
    <w:rsid w:val="00B70CAA"/>
    <w:rsid w:val="00B70CBB"/>
    <w:rsid w:val="00B70CF5"/>
    <w:rsid w:val="00B70D4B"/>
    <w:rsid w:val="00B70D6E"/>
    <w:rsid w:val="00B70E6E"/>
    <w:rsid w:val="00B70E94"/>
    <w:rsid w:val="00B70EB7"/>
    <w:rsid w:val="00B70F0A"/>
    <w:rsid w:val="00B70F6B"/>
    <w:rsid w:val="00B70F88"/>
    <w:rsid w:val="00B70FD3"/>
    <w:rsid w:val="00B7102F"/>
    <w:rsid w:val="00B711A2"/>
    <w:rsid w:val="00B711E5"/>
    <w:rsid w:val="00B71290"/>
    <w:rsid w:val="00B712E1"/>
    <w:rsid w:val="00B71322"/>
    <w:rsid w:val="00B7133F"/>
    <w:rsid w:val="00B7143C"/>
    <w:rsid w:val="00B71469"/>
    <w:rsid w:val="00B714D8"/>
    <w:rsid w:val="00B7158B"/>
    <w:rsid w:val="00B7161B"/>
    <w:rsid w:val="00B71688"/>
    <w:rsid w:val="00B716D4"/>
    <w:rsid w:val="00B71725"/>
    <w:rsid w:val="00B7179E"/>
    <w:rsid w:val="00B71865"/>
    <w:rsid w:val="00B71933"/>
    <w:rsid w:val="00B719F4"/>
    <w:rsid w:val="00B71A46"/>
    <w:rsid w:val="00B71AB9"/>
    <w:rsid w:val="00B71B5F"/>
    <w:rsid w:val="00B71C59"/>
    <w:rsid w:val="00B71DA7"/>
    <w:rsid w:val="00B71E4D"/>
    <w:rsid w:val="00B71ECF"/>
    <w:rsid w:val="00B71F18"/>
    <w:rsid w:val="00B71FD8"/>
    <w:rsid w:val="00B71FF7"/>
    <w:rsid w:val="00B72050"/>
    <w:rsid w:val="00B7209C"/>
    <w:rsid w:val="00B720ED"/>
    <w:rsid w:val="00B72197"/>
    <w:rsid w:val="00B7221D"/>
    <w:rsid w:val="00B72248"/>
    <w:rsid w:val="00B72258"/>
    <w:rsid w:val="00B72292"/>
    <w:rsid w:val="00B723B5"/>
    <w:rsid w:val="00B723CF"/>
    <w:rsid w:val="00B72483"/>
    <w:rsid w:val="00B7249B"/>
    <w:rsid w:val="00B72536"/>
    <w:rsid w:val="00B72613"/>
    <w:rsid w:val="00B72841"/>
    <w:rsid w:val="00B728B0"/>
    <w:rsid w:val="00B72A36"/>
    <w:rsid w:val="00B72B47"/>
    <w:rsid w:val="00B72BB8"/>
    <w:rsid w:val="00B72BBD"/>
    <w:rsid w:val="00B72BC0"/>
    <w:rsid w:val="00B72BE2"/>
    <w:rsid w:val="00B72BE4"/>
    <w:rsid w:val="00B72D0D"/>
    <w:rsid w:val="00B72D5B"/>
    <w:rsid w:val="00B72DBD"/>
    <w:rsid w:val="00B72DD3"/>
    <w:rsid w:val="00B72F26"/>
    <w:rsid w:val="00B73078"/>
    <w:rsid w:val="00B73123"/>
    <w:rsid w:val="00B73140"/>
    <w:rsid w:val="00B73202"/>
    <w:rsid w:val="00B7329C"/>
    <w:rsid w:val="00B7334E"/>
    <w:rsid w:val="00B735CE"/>
    <w:rsid w:val="00B735CF"/>
    <w:rsid w:val="00B73639"/>
    <w:rsid w:val="00B73651"/>
    <w:rsid w:val="00B73760"/>
    <w:rsid w:val="00B73AD9"/>
    <w:rsid w:val="00B73AFF"/>
    <w:rsid w:val="00B73B56"/>
    <w:rsid w:val="00B73C73"/>
    <w:rsid w:val="00B73E2A"/>
    <w:rsid w:val="00B74075"/>
    <w:rsid w:val="00B740C2"/>
    <w:rsid w:val="00B7416C"/>
    <w:rsid w:val="00B74216"/>
    <w:rsid w:val="00B74281"/>
    <w:rsid w:val="00B7432D"/>
    <w:rsid w:val="00B7438C"/>
    <w:rsid w:val="00B743D8"/>
    <w:rsid w:val="00B7446B"/>
    <w:rsid w:val="00B74527"/>
    <w:rsid w:val="00B74542"/>
    <w:rsid w:val="00B745DD"/>
    <w:rsid w:val="00B74624"/>
    <w:rsid w:val="00B74688"/>
    <w:rsid w:val="00B746C1"/>
    <w:rsid w:val="00B74859"/>
    <w:rsid w:val="00B7485D"/>
    <w:rsid w:val="00B74911"/>
    <w:rsid w:val="00B74979"/>
    <w:rsid w:val="00B74998"/>
    <w:rsid w:val="00B749B8"/>
    <w:rsid w:val="00B749BB"/>
    <w:rsid w:val="00B74A19"/>
    <w:rsid w:val="00B74AF7"/>
    <w:rsid w:val="00B74B30"/>
    <w:rsid w:val="00B74CA4"/>
    <w:rsid w:val="00B74CB3"/>
    <w:rsid w:val="00B74D34"/>
    <w:rsid w:val="00B74D6C"/>
    <w:rsid w:val="00B74DFC"/>
    <w:rsid w:val="00B74E16"/>
    <w:rsid w:val="00B74E81"/>
    <w:rsid w:val="00B74EAB"/>
    <w:rsid w:val="00B74F8B"/>
    <w:rsid w:val="00B74FCA"/>
    <w:rsid w:val="00B74FD0"/>
    <w:rsid w:val="00B75172"/>
    <w:rsid w:val="00B751DF"/>
    <w:rsid w:val="00B7527A"/>
    <w:rsid w:val="00B752DD"/>
    <w:rsid w:val="00B75308"/>
    <w:rsid w:val="00B7549E"/>
    <w:rsid w:val="00B75502"/>
    <w:rsid w:val="00B755DE"/>
    <w:rsid w:val="00B755E9"/>
    <w:rsid w:val="00B756BD"/>
    <w:rsid w:val="00B75704"/>
    <w:rsid w:val="00B757B9"/>
    <w:rsid w:val="00B7583D"/>
    <w:rsid w:val="00B75891"/>
    <w:rsid w:val="00B758A7"/>
    <w:rsid w:val="00B75910"/>
    <w:rsid w:val="00B7596E"/>
    <w:rsid w:val="00B759D0"/>
    <w:rsid w:val="00B75A45"/>
    <w:rsid w:val="00B75B04"/>
    <w:rsid w:val="00B75B54"/>
    <w:rsid w:val="00B75BC9"/>
    <w:rsid w:val="00B75BD2"/>
    <w:rsid w:val="00B75BF3"/>
    <w:rsid w:val="00B75C53"/>
    <w:rsid w:val="00B75C71"/>
    <w:rsid w:val="00B75D1F"/>
    <w:rsid w:val="00B75D34"/>
    <w:rsid w:val="00B75D66"/>
    <w:rsid w:val="00B75DB7"/>
    <w:rsid w:val="00B75EBB"/>
    <w:rsid w:val="00B7604D"/>
    <w:rsid w:val="00B7618E"/>
    <w:rsid w:val="00B7629E"/>
    <w:rsid w:val="00B762D5"/>
    <w:rsid w:val="00B76318"/>
    <w:rsid w:val="00B76571"/>
    <w:rsid w:val="00B766BF"/>
    <w:rsid w:val="00B76714"/>
    <w:rsid w:val="00B76755"/>
    <w:rsid w:val="00B767C2"/>
    <w:rsid w:val="00B76881"/>
    <w:rsid w:val="00B76890"/>
    <w:rsid w:val="00B76A21"/>
    <w:rsid w:val="00B76AB2"/>
    <w:rsid w:val="00B76AE6"/>
    <w:rsid w:val="00B76BDB"/>
    <w:rsid w:val="00B76C6A"/>
    <w:rsid w:val="00B76CDA"/>
    <w:rsid w:val="00B76CE8"/>
    <w:rsid w:val="00B76D02"/>
    <w:rsid w:val="00B76D86"/>
    <w:rsid w:val="00B76E47"/>
    <w:rsid w:val="00B76F6C"/>
    <w:rsid w:val="00B76F89"/>
    <w:rsid w:val="00B7707E"/>
    <w:rsid w:val="00B7708C"/>
    <w:rsid w:val="00B770AB"/>
    <w:rsid w:val="00B770C6"/>
    <w:rsid w:val="00B770FA"/>
    <w:rsid w:val="00B773B5"/>
    <w:rsid w:val="00B7744C"/>
    <w:rsid w:val="00B774AD"/>
    <w:rsid w:val="00B7755A"/>
    <w:rsid w:val="00B775C6"/>
    <w:rsid w:val="00B7764C"/>
    <w:rsid w:val="00B776D3"/>
    <w:rsid w:val="00B776D4"/>
    <w:rsid w:val="00B778A0"/>
    <w:rsid w:val="00B7798B"/>
    <w:rsid w:val="00B7799C"/>
    <w:rsid w:val="00B779C2"/>
    <w:rsid w:val="00B77B06"/>
    <w:rsid w:val="00B77B90"/>
    <w:rsid w:val="00B77BF3"/>
    <w:rsid w:val="00B77CCC"/>
    <w:rsid w:val="00B77DD8"/>
    <w:rsid w:val="00B77F3F"/>
    <w:rsid w:val="00B77F47"/>
    <w:rsid w:val="00B77F63"/>
    <w:rsid w:val="00B800F0"/>
    <w:rsid w:val="00B8012E"/>
    <w:rsid w:val="00B80197"/>
    <w:rsid w:val="00B8021C"/>
    <w:rsid w:val="00B80258"/>
    <w:rsid w:val="00B802A2"/>
    <w:rsid w:val="00B802A8"/>
    <w:rsid w:val="00B802ED"/>
    <w:rsid w:val="00B802F2"/>
    <w:rsid w:val="00B803A7"/>
    <w:rsid w:val="00B803CF"/>
    <w:rsid w:val="00B8046F"/>
    <w:rsid w:val="00B8050B"/>
    <w:rsid w:val="00B8054D"/>
    <w:rsid w:val="00B8056B"/>
    <w:rsid w:val="00B80691"/>
    <w:rsid w:val="00B80819"/>
    <w:rsid w:val="00B80884"/>
    <w:rsid w:val="00B808D7"/>
    <w:rsid w:val="00B808EE"/>
    <w:rsid w:val="00B809A6"/>
    <w:rsid w:val="00B809E7"/>
    <w:rsid w:val="00B80AC1"/>
    <w:rsid w:val="00B80B5D"/>
    <w:rsid w:val="00B80B78"/>
    <w:rsid w:val="00B80BB2"/>
    <w:rsid w:val="00B80BC0"/>
    <w:rsid w:val="00B80C03"/>
    <w:rsid w:val="00B80C09"/>
    <w:rsid w:val="00B80CB9"/>
    <w:rsid w:val="00B80CDF"/>
    <w:rsid w:val="00B80CF4"/>
    <w:rsid w:val="00B80DFE"/>
    <w:rsid w:val="00B80E1B"/>
    <w:rsid w:val="00B80E8B"/>
    <w:rsid w:val="00B80EFA"/>
    <w:rsid w:val="00B80F50"/>
    <w:rsid w:val="00B810F4"/>
    <w:rsid w:val="00B81108"/>
    <w:rsid w:val="00B811B8"/>
    <w:rsid w:val="00B812F6"/>
    <w:rsid w:val="00B812FD"/>
    <w:rsid w:val="00B81359"/>
    <w:rsid w:val="00B8147C"/>
    <w:rsid w:val="00B81494"/>
    <w:rsid w:val="00B814FA"/>
    <w:rsid w:val="00B81530"/>
    <w:rsid w:val="00B81599"/>
    <w:rsid w:val="00B81703"/>
    <w:rsid w:val="00B81746"/>
    <w:rsid w:val="00B8176F"/>
    <w:rsid w:val="00B81805"/>
    <w:rsid w:val="00B8188D"/>
    <w:rsid w:val="00B81966"/>
    <w:rsid w:val="00B81A25"/>
    <w:rsid w:val="00B81AB1"/>
    <w:rsid w:val="00B81BBA"/>
    <w:rsid w:val="00B81CB2"/>
    <w:rsid w:val="00B81CBF"/>
    <w:rsid w:val="00B81EFA"/>
    <w:rsid w:val="00B81F6E"/>
    <w:rsid w:val="00B81FBA"/>
    <w:rsid w:val="00B820F1"/>
    <w:rsid w:val="00B820F3"/>
    <w:rsid w:val="00B820F9"/>
    <w:rsid w:val="00B821E1"/>
    <w:rsid w:val="00B821F3"/>
    <w:rsid w:val="00B8234F"/>
    <w:rsid w:val="00B82350"/>
    <w:rsid w:val="00B8247C"/>
    <w:rsid w:val="00B8248A"/>
    <w:rsid w:val="00B8249C"/>
    <w:rsid w:val="00B824B8"/>
    <w:rsid w:val="00B825BC"/>
    <w:rsid w:val="00B82602"/>
    <w:rsid w:val="00B8280D"/>
    <w:rsid w:val="00B82889"/>
    <w:rsid w:val="00B828AA"/>
    <w:rsid w:val="00B828E2"/>
    <w:rsid w:val="00B8298C"/>
    <w:rsid w:val="00B82A74"/>
    <w:rsid w:val="00B82ACB"/>
    <w:rsid w:val="00B82B8D"/>
    <w:rsid w:val="00B82D3D"/>
    <w:rsid w:val="00B82DB4"/>
    <w:rsid w:val="00B82DC4"/>
    <w:rsid w:val="00B82DDC"/>
    <w:rsid w:val="00B82F19"/>
    <w:rsid w:val="00B82F7D"/>
    <w:rsid w:val="00B83039"/>
    <w:rsid w:val="00B8303E"/>
    <w:rsid w:val="00B830A1"/>
    <w:rsid w:val="00B830B4"/>
    <w:rsid w:val="00B8311D"/>
    <w:rsid w:val="00B8316D"/>
    <w:rsid w:val="00B83268"/>
    <w:rsid w:val="00B83327"/>
    <w:rsid w:val="00B8333D"/>
    <w:rsid w:val="00B83366"/>
    <w:rsid w:val="00B8345B"/>
    <w:rsid w:val="00B834AF"/>
    <w:rsid w:val="00B83574"/>
    <w:rsid w:val="00B8362B"/>
    <w:rsid w:val="00B8364F"/>
    <w:rsid w:val="00B8370B"/>
    <w:rsid w:val="00B83789"/>
    <w:rsid w:val="00B837BB"/>
    <w:rsid w:val="00B83872"/>
    <w:rsid w:val="00B83897"/>
    <w:rsid w:val="00B839FE"/>
    <w:rsid w:val="00B83B08"/>
    <w:rsid w:val="00B83B2E"/>
    <w:rsid w:val="00B83C2D"/>
    <w:rsid w:val="00B83CCC"/>
    <w:rsid w:val="00B83D1D"/>
    <w:rsid w:val="00B83D5C"/>
    <w:rsid w:val="00B83DB5"/>
    <w:rsid w:val="00B83ED8"/>
    <w:rsid w:val="00B83F5C"/>
    <w:rsid w:val="00B83FF1"/>
    <w:rsid w:val="00B8402E"/>
    <w:rsid w:val="00B84043"/>
    <w:rsid w:val="00B8408D"/>
    <w:rsid w:val="00B840BD"/>
    <w:rsid w:val="00B84196"/>
    <w:rsid w:val="00B8432B"/>
    <w:rsid w:val="00B843F5"/>
    <w:rsid w:val="00B844A6"/>
    <w:rsid w:val="00B845D1"/>
    <w:rsid w:val="00B84688"/>
    <w:rsid w:val="00B84B19"/>
    <w:rsid w:val="00B84B3A"/>
    <w:rsid w:val="00B84B65"/>
    <w:rsid w:val="00B84B84"/>
    <w:rsid w:val="00B84D11"/>
    <w:rsid w:val="00B84E3B"/>
    <w:rsid w:val="00B84F7B"/>
    <w:rsid w:val="00B84F93"/>
    <w:rsid w:val="00B8502A"/>
    <w:rsid w:val="00B8507F"/>
    <w:rsid w:val="00B850B4"/>
    <w:rsid w:val="00B850F2"/>
    <w:rsid w:val="00B8511C"/>
    <w:rsid w:val="00B8515E"/>
    <w:rsid w:val="00B851C4"/>
    <w:rsid w:val="00B851EF"/>
    <w:rsid w:val="00B85312"/>
    <w:rsid w:val="00B853C0"/>
    <w:rsid w:val="00B853EC"/>
    <w:rsid w:val="00B8542F"/>
    <w:rsid w:val="00B8545B"/>
    <w:rsid w:val="00B85468"/>
    <w:rsid w:val="00B85498"/>
    <w:rsid w:val="00B854EB"/>
    <w:rsid w:val="00B855D2"/>
    <w:rsid w:val="00B85690"/>
    <w:rsid w:val="00B858DE"/>
    <w:rsid w:val="00B858FE"/>
    <w:rsid w:val="00B8593F"/>
    <w:rsid w:val="00B85998"/>
    <w:rsid w:val="00B85A39"/>
    <w:rsid w:val="00B85AE8"/>
    <w:rsid w:val="00B85B1D"/>
    <w:rsid w:val="00B85BFE"/>
    <w:rsid w:val="00B85C29"/>
    <w:rsid w:val="00B85C78"/>
    <w:rsid w:val="00B85CAB"/>
    <w:rsid w:val="00B85D12"/>
    <w:rsid w:val="00B85D46"/>
    <w:rsid w:val="00B85DE8"/>
    <w:rsid w:val="00B85E3B"/>
    <w:rsid w:val="00B85E62"/>
    <w:rsid w:val="00B85EB3"/>
    <w:rsid w:val="00B85F3A"/>
    <w:rsid w:val="00B85F7B"/>
    <w:rsid w:val="00B85FA6"/>
    <w:rsid w:val="00B86070"/>
    <w:rsid w:val="00B86080"/>
    <w:rsid w:val="00B861E5"/>
    <w:rsid w:val="00B862CC"/>
    <w:rsid w:val="00B86331"/>
    <w:rsid w:val="00B86396"/>
    <w:rsid w:val="00B863C2"/>
    <w:rsid w:val="00B863F1"/>
    <w:rsid w:val="00B864E4"/>
    <w:rsid w:val="00B86576"/>
    <w:rsid w:val="00B865DC"/>
    <w:rsid w:val="00B867B4"/>
    <w:rsid w:val="00B86818"/>
    <w:rsid w:val="00B868FD"/>
    <w:rsid w:val="00B869F9"/>
    <w:rsid w:val="00B86A53"/>
    <w:rsid w:val="00B86CEF"/>
    <w:rsid w:val="00B86DF5"/>
    <w:rsid w:val="00B86EA0"/>
    <w:rsid w:val="00B86EB2"/>
    <w:rsid w:val="00B86F15"/>
    <w:rsid w:val="00B86F19"/>
    <w:rsid w:val="00B86FD0"/>
    <w:rsid w:val="00B86FEA"/>
    <w:rsid w:val="00B8705C"/>
    <w:rsid w:val="00B8712B"/>
    <w:rsid w:val="00B871AE"/>
    <w:rsid w:val="00B8724E"/>
    <w:rsid w:val="00B873E8"/>
    <w:rsid w:val="00B87481"/>
    <w:rsid w:val="00B8748E"/>
    <w:rsid w:val="00B874A2"/>
    <w:rsid w:val="00B874E2"/>
    <w:rsid w:val="00B875C3"/>
    <w:rsid w:val="00B875D6"/>
    <w:rsid w:val="00B875F9"/>
    <w:rsid w:val="00B8765E"/>
    <w:rsid w:val="00B877E6"/>
    <w:rsid w:val="00B877FC"/>
    <w:rsid w:val="00B87832"/>
    <w:rsid w:val="00B87936"/>
    <w:rsid w:val="00B87950"/>
    <w:rsid w:val="00B8795A"/>
    <w:rsid w:val="00B87BA1"/>
    <w:rsid w:val="00B87BCB"/>
    <w:rsid w:val="00B87C66"/>
    <w:rsid w:val="00B87D2D"/>
    <w:rsid w:val="00B87D66"/>
    <w:rsid w:val="00B87E4E"/>
    <w:rsid w:val="00B87E6D"/>
    <w:rsid w:val="00B87FA7"/>
    <w:rsid w:val="00B9007D"/>
    <w:rsid w:val="00B901AB"/>
    <w:rsid w:val="00B90239"/>
    <w:rsid w:val="00B9024F"/>
    <w:rsid w:val="00B90284"/>
    <w:rsid w:val="00B902CD"/>
    <w:rsid w:val="00B903C3"/>
    <w:rsid w:val="00B90569"/>
    <w:rsid w:val="00B9061D"/>
    <w:rsid w:val="00B908F4"/>
    <w:rsid w:val="00B90A06"/>
    <w:rsid w:val="00B90A0C"/>
    <w:rsid w:val="00B90A93"/>
    <w:rsid w:val="00B90B3B"/>
    <w:rsid w:val="00B90BD5"/>
    <w:rsid w:val="00B90BF3"/>
    <w:rsid w:val="00B90E91"/>
    <w:rsid w:val="00B90F4F"/>
    <w:rsid w:val="00B91098"/>
    <w:rsid w:val="00B910CD"/>
    <w:rsid w:val="00B9111F"/>
    <w:rsid w:val="00B9113B"/>
    <w:rsid w:val="00B91162"/>
    <w:rsid w:val="00B9118A"/>
    <w:rsid w:val="00B912C3"/>
    <w:rsid w:val="00B912EC"/>
    <w:rsid w:val="00B91399"/>
    <w:rsid w:val="00B913D1"/>
    <w:rsid w:val="00B914AD"/>
    <w:rsid w:val="00B914F4"/>
    <w:rsid w:val="00B91611"/>
    <w:rsid w:val="00B9166E"/>
    <w:rsid w:val="00B916AF"/>
    <w:rsid w:val="00B91747"/>
    <w:rsid w:val="00B91895"/>
    <w:rsid w:val="00B918CB"/>
    <w:rsid w:val="00B91901"/>
    <w:rsid w:val="00B9198D"/>
    <w:rsid w:val="00B91AC8"/>
    <w:rsid w:val="00B91B45"/>
    <w:rsid w:val="00B91BB7"/>
    <w:rsid w:val="00B91CAC"/>
    <w:rsid w:val="00B91CD9"/>
    <w:rsid w:val="00B91D06"/>
    <w:rsid w:val="00B91D75"/>
    <w:rsid w:val="00B920DE"/>
    <w:rsid w:val="00B920FD"/>
    <w:rsid w:val="00B92200"/>
    <w:rsid w:val="00B92234"/>
    <w:rsid w:val="00B92329"/>
    <w:rsid w:val="00B923D4"/>
    <w:rsid w:val="00B923EA"/>
    <w:rsid w:val="00B9240E"/>
    <w:rsid w:val="00B9250F"/>
    <w:rsid w:val="00B925D1"/>
    <w:rsid w:val="00B925EB"/>
    <w:rsid w:val="00B9266F"/>
    <w:rsid w:val="00B9268B"/>
    <w:rsid w:val="00B928E1"/>
    <w:rsid w:val="00B92A5D"/>
    <w:rsid w:val="00B92B47"/>
    <w:rsid w:val="00B92B4E"/>
    <w:rsid w:val="00B92B81"/>
    <w:rsid w:val="00B92C89"/>
    <w:rsid w:val="00B92C90"/>
    <w:rsid w:val="00B92CA9"/>
    <w:rsid w:val="00B92CF6"/>
    <w:rsid w:val="00B92D13"/>
    <w:rsid w:val="00B92D2A"/>
    <w:rsid w:val="00B92D2F"/>
    <w:rsid w:val="00B92E3C"/>
    <w:rsid w:val="00B92E97"/>
    <w:rsid w:val="00B92EAD"/>
    <w:rsid w:val="00B92FB4"/>
    <w:rsid w:val="00B93122"/>
    <w:rsid w:val="00B9314D"/>
    <w:rsid w:val="00B93249"/>
    <w:rsid w:val="00B93284"/>
    <w:rsid w:val="00B93293"/>
    <w:rsid w:val="00B932E7"/>
    <w:rsid w:val="00B93323"/>
    <w:rsid w:val="00B9333E"/>
    <w:rsid w:val="00B9334C"/>
    <w:rsid w:val="00B933D1"/>
    <w:rsid w:val="00B93540"/>
    <w:rsid w:val="00B93583"/>
    <w:rsid w:val="00B935F9"/>
    <w:rsid w:val="00B93675"/>
    <w:rsid w:val="00B93746"/>
    <w:rsid w:val="00B93791"/>
    <w:rsid w:val="00B937D5"/>
    <w:rsid w:val="00B9392F"/>
    <w:rsid w:val="00B9394B"/>
    <w:rsid w:val="00B93962"/>
    <w:rsid w:val="00B93A7D"/>
    <w:rsid w:val="00B93AFA"/>
    <w:rsid w:val="00B93C06"/>
    <w:rsid w:val="00B93C39"/>
    <w:rsid w:val="00B93C6E"/>
    <w:rsid w:val="00B93E9C"/>
    <w:rsid w:val="00B93EC1"/>
    <w:rsid w:val="00B9406D"/>
    <w:rsid w:val="00B940BC"/>
    <w:rsid w:val="00B940F6"/>
    <w:rsid w:val="00B94156"/>
    <w:rsid w:val="00B94238"/>
    <w:rsid w:val="00B942AD"/>
    <w:rsid w:val="00B942BC"/>
    <w:rsid w:val="00B942CB"/>
    <w:rsid w:val="00B9435B"/>
    <w:rsid w:val="00B9453A"/>
    <w:rsid w:val="00B9464E"/>
    <w:rsid w:val="00B9468D"/>
    <w:rsid w:val="00B94694"/>
    <w:rsid w:val="00B946F8"/>
    <w:rsid w:val="00B9481A"/>
    <w:rsid w:val="00B948B4"/>
    <w:rsid w:val="00B948C4"/>
    <w:rsid w:val="00B949BE"/>
    <w:rsid w:val="00B94A05"/>
    <w:rsid w:val="00B94A13"/>
    <w:rsid w:val="00B94AD1"/>
    <w:rsid w:val="00B94AD9"/>
    <w:rsid w:val="00B94B1B"/>
    <w:rsid w:val="00B94B23"/>
    <w:rsid w:val="00B94C44"/>
    <w:rsid w:val="00B94C5A"/>
    <w:rsid w:val="00B94CE2"/>
    <w:rsid w:val="00B94D25"/>
    <w:rsid w:val="00B94DE5"/>
    <w:rsid w:val="00B94DEA"/>
    <w:rsid w:val="00B94F6E"/>
    <w:rsid w:val="00B950BF"/>
    <w:rsid w:val="00B95150"/>
    <w:rsid w:val="00B95162"/>
    <w:rsid w:val="00B95178"/>
    <w:rsid w:val="00B951F5"/>
    <w:rsid w:val="00B95313"/>
    <w:rsid w:val="00B95371"/>
    <w:rsid w:val="00B953A7"/>
    <w:rsid w:val="00B9543F"/>
    <w:rsid w:val="00B95497"/>
    <w:rsid w:val="00B9558A"/>
    <w:rsid w:val="00B955A0"/>
    <w:rsid w:val="00B955AB"/>
    <w:rsid w:val="00B9578D"/>
    <w:rsid w:val="00B95794"/>
    <w:rsid w:val="00B9586B"/>
    <w:rsid w:val="00B95889"/>
    <w:rsid w:val="00B958F7"/>
    <w:rsid w:val="00B959F5"/>
    <w:rsid w:val="00B95A73"/>
    <w:rsid w:val="00B95ABA"/>
    <w:rsid w:val="00B95B30"/>
    <w:rsid w:val="00B95B6C"/>
    <w:rsid w:val="00B95B90"/>
    <w:rsid w:val="00B95BFC"/>
    <w:rsid w:val="00B95C71"/>
    <w:rsid w:val="00B95CEC"/>
    <w:rsid w:val="00B95DBE"/>
    <w:rsid w:val="00B95EA1"/>
    <w:rsid w:val="00B96070"/>
    <w:rsid w:val="00B960D7"/>
    <w:rsid w:val="00B9613F"/>
    <w:rsid w:val="00B961B3"/>
    <w:rsid w:val="00B961DE"/>
    <w:rsid w:val="00B96217"/>
    <w:rsid w:val="00B96496"/>
    <w:rsid w:val="00B964D7"/>
    <w:rsid w:val="00B964DD"/>
    <w:rsid w:val="00B9650B"/>
    <w:rsid w:val="00B965B5"/>
    <w:rsid w:val="00B965C1"/>
    <w:rsid w:val="00B96637"/>
    <w:rsid w:val="00B967A7"/>
    <w:rsid w:val="00B967DC"/>
    <w:rsid w:val="00B9682C"/>
    <w:rsid w:val="00B96862"/>
    <w:rsid w:val="00B9698F"/>
    <w:rsid w:val="00B969EB"/>
    <w:rsid w:val="00B96A43"/>
    <w:rsid w:val="00B96A7F"/>
    <w:rsid w:val="00B96B45"/>
    <w:rsid w:val="00B96B6E"/>
    <w:rsid w:val="00B96C1A"/>
    <w:rsid w:val="00B96C6F"/>
    <w:rsid w:val="00B96C72"/>
    <w:rsid w:val="00B96CD6"/>
    <w:rsid w:val="00B96E25"/>
    <w:rsid w:val="00B96E43"/>
    <w:rsid w:val="00B96EAF"/>
    <w:rsid w:val="00B96EBB"/>
    <w:rsid w:val="00B96FB0"/>
    <w:rsid w:val="00B96FCA"/>
    <w:rsid w:val="00B97033"/>
    <w:rsid w:val="00B97159"/>
    <w:rsid w:val="00B97226"/>
    <w:rsid w:val="00B9738E"/>
    <w:rsid w:val="00B973C4"/>
    <w:rsid w:val="00B97531"/>
    <w:rsid w:val="00B975F6"/>
    <w:rsid w:val="00B97606"/>
    <w:rsid w:val="00B97668"/>
    <w:rsid w:val="00B9767D"/>
    <w:rsid w:val="00B97729"/>
    <w:rsid w:val="00B978F9"/>
    <w:rsid w:val="00B97949"/>
    <w:rsid w:val="00B97C15"/>
    <w:rsid w:val="00B97DD8"/>
    <w:rsid w:val="00B97E29"/>
    <w:rsid w:val="00B97EBE"/>
    <w:rsid w:val="00B97EFA"/>
    <w:rsid w:val="00B97F29"/>
    <w:rsid w:val="00B97F37"/>
    <w:rsid w:val="00B97F71"/>
    <w:rsid w:val="00B97F87"/>
    <w:rsid w:val="00BA00EA"/>
    <w:rsid w:val="00BA00EC"/>
    <w:rsid w:val="00BA0292"/>
    <w:rsid w:val="00BA0298"/>
    <w:rsid w:val="00BA0348"/>
    <w:rsid w:val="00BA03A7"/>
    <w:rsid w:val="00BA04D4"/>
    <w:rsid w:val="00BA0575"/>
    <w:rsid w:val="00BA059F"/>
    <w:rsid w:val="00BA06E5"/>
    <w:rsid w:val="00BA0860"/>
    <w:rsid w:val="00BA086A"/>
    <w:rsid w:val="00BA08E8"/>
    <w:rsid w:val="00BA0A58"/>
    <w:rsid w:val="00BA0A7A"/>
    <w:rsid w:val="00BA0AC4"/>
    <w:rsid w:val="00BA0B4C"/>
    <w:rsid w:val="00BA0D18"/>
    <w:rsid w:val="00BA0E85"/>
    <w:rsid w:val="00BA0EA3"/>
    <w:rsid w:val="00BA1051"/>
    <w:rsid w:val="00BA10CF"/>
    <w:rsid w:val="00BA1255"/>
    <w:rsid w:val="00BA13BA"/>
    <w:rsid w:val="00BA1481"/>
    <w:rsid w:val="00BA16B1"/>
    <w:rsid w:val="00BA1755"/>
    <w:rsid w:val="00BA17F1"/>
    <w:rsid w:val="00BA1837"/>
    <w:rsid w:val="00BA1845"/>
    <w:rsid w:val="00BA1863"/>
    <w:rsid w:val="00BA1AB4"/>
    <w:rsid w:val="00BA1DB9"/>
    <w:rsid w:val="00BA1E08"/>
    <w:rsid w:val="00BA1E5A"/>
    <w:rsid w:val="00BA1F78"/>
    <w:rsid w:val="00BA1F84"/>
    <w:rsid w:val="00BA2022"/>
    <w:rsid w:val="00BA204C"/>
    <w:rsid w:val="00BA2192"/>
    <w:rsid w:val="00BA21D9"/>
    <w:rsid w:val="00BA21F9"/>
    <w:rsid w:val="00BA2284"/>
    <w:rsid w:val="00BA23ED"/>
    <w:rsid w:val="00BA2445"/>
    <w:rsid w:val="00BA25E6"/>
    <w:rsid w:val="00BA265B"/>
    <w:rsid w:val="00BA2676"/>
    <w:rsid w:val="00BA2728"/>
    <w:rsid w:val="00BA280B"/>
    <w:rsid w:val="00BA2945"/>
    <w:rsid w:val="00BA2958"/>
    <w:rsid w:val="00BA29FB"/>
    <w:rsid w:val="00BA2A78"/>
    <w:rsid w:val="00BA2AEC"/>
    <w:rsid w:val="00BA2AEF"/>
    <w:rsid w:val="00BA2B6F"/>
    <w:rsid w:val="00BA2BC3"/>
    <w:rsid w:val="00BA2C35"/>
    <w:rsid w:val="00BA2C99"/>
    <w:rsid w:val="00BA2CC9"/>
    <w:rsid w:val="00BA2CE5"/>
    <w:rsid w:val="00BA2D4B"/>
    <w:rsid w:val="00BA2D8B"/>
    <w:rsid w:val="00BA2DF4"/>
    <w:rsid w:val="00BA2FFB"/>
    <w:rsid w:val="00BA320A"/>
    <w:rsid w:val="00BA3220"/>
    <w:rsid w:val="00BA32E4"/>
    <w:rsid w:val="00BA3429"/>
    <w:rsid w:val="00BA349C"/>
    <w:rsid w:val="00BA3571"/>
    <w:rsid w:val="00BA361F"/>
    <w:rsid w:val="00BA36C0"/>
    <w:rsid w:val="00BA37B5"/>
    <w:rsid w:val="00BA3853"/>
    <w:rsid w:val="00BA3916"/>
    <w:rsid w:val="00BA39AD"/>
    <w:rsid w:val="00BA3A4B"/>
    <w:rsid w:val="00BA3BFB"/>
    <w:rsid w:val="00BA3C04"/>
    <w:rsid w:val="00BA3CEE"/>
    <w:rsid w:val="00BA3D56"/>
    <w:rsid w:val="00BA3D90"/>
    <w:rsid w:val="00BA3DB8"/>
    <w:rsid w:val="00BA3E78"/>
    <w:rsid w:val="00BA4000"/>
    <w:rsid w:val="00BA401D"/>
    <w:rsid w:val="00BA405F"/>
    <w:rsid w:val="00BA4084"/>
    <w:rsid w:val="00BA40FF"/>
    <w:rsid w:val="00BA414F"/>
    <w:rsid w:val="00BA41A8"/>
    <w:rsid w:val="00BA424E"/>
    <w:rsid w:val="00BA430A"/>
    <w:rsid w:val="00BA4324"/>
    <w:rsid w:val="00BA43A7"/>
    <w:rsid w:val="00BA43D5"/>
    <w:rsid w:val="00BA4415"/>
    <w:rsid w:val="00BA44DE"/>
    <w:rsid w:val="00BA451B"/>
    <w:rsid w:val="00BA4689"/>
    <w:rsid w:val="00BA482D"/>
    <w:rsid w:val="00BA482E"/>
    <w:rsid w:val="00BA4903"/>
    <w:rsid w:val="00BA49A4"/>
    <w:rsid w:val="00BA4A42"/>
    <w:rsid w:val="00BA4A51"/>
    <w:rsid w:val="00BA4B17"/>
    <w:rsid w:val="00BA4BDE"/>
    <w:rsid w:val="00BA4C86"/>
    <w:rsid w:val="00BA4D40"/>
    <w:rsid w:val="00BA4D8B"/>
    <w:rsid w:val="00BA4D93"/>
    <w:rsid w:val="00BA4E57"/>
    <w:rsid w:val="00BA4E80"/>
    <w:rsid w:val="00BA4E96"/>
    <w:rsid w:val="00BA4F00"/>
    <w:rsid w:val="00BA4FC4"/>
    <w:rsid w:val="00BA4FD8"/>
    <w:rsid w:val="00BA5188"/>
    <w:rsid w:val="00BA5208"/>
    <w:rsid w:val="00BA5324"/>
    <w:rsid w:val="00BA5355"/>
    <w:rsid w:val="00BA53C5"/>
    <w:rsid w:val="00BA53C8"/>
    <w:rsid w:val="00BA545E"/>
    <w:rsid w:val="00BA54C2"/>
    <w:rsid w:val="00BA5519"/>
    <w:rsid w:val="00BA5687"/>
    <w:rsid w:val="00BA56E5"/>
    <w:rsid w:val="00BA5714"/>
    <w:rsid w:val="00BA574F"/>
    <w:rsid w:val="00BA577C"/>
    <w:rsid w:val="00BA57B8"/>
    <w:rsid w:val="00BA588C"/>
    <w:rsid w:val="00BA58B0"/>
    <w:rsid w:val="00BA58FA"/>
    <w:rsid w:val="00BA59D9"/>
    <w:rsid w:val="00BA59E9"/>
    <w:rsid w:val="00BA5AE9"/>
    <w:rsid w:val="00BA5B6F"/>
    <w:rsid w:val="00BA5B79"/>
    <w:rsid w:val="00BA5BC2"/>
    <w:rsid w:val="00BA5BDA"/>
    <w:rsid w:val="00BA5BEC"/>
    <w:rsid w:val="00BA5C70"/>
    <w:rsid w:val="00BA5CA7"/>
    <w:rsid w:val="00BA5D2A"/>
    <w:rsid w:val="00BA5D33"/>
    <w:rsid w:val="00BA5DD7"/>
    <w:rsid w:val="00BA5E22"/>
    <w:rsid w:val="00BA5EB4"/>
    <w:rsid w:val="00BA5EC4"/>
    <w:rsid w:val="00BA5EDC"/>
    <w:rsid w:val="00BA5F8C"/>
    <w:rsid w:val="00BA60CF"/>
    <w:rsid w:val="00BA6211"/>
    <w:rsid w:val="00BA6372"/>
    <w:rsid w:val="00BA63BF"/>
    <w:rsid w:val="00BA6422"/>
    <w:rsid w:val="00BA64A4"/>
    <w:rsid w:val="00BA6553"/>
    <w:rsid w:val="00BA664D"/>
    <w:rsid w:val="00BA66F3"/>
    <w:rsid w:val="00BA68D0"/>
    <w:rsid w:val="00BA694C"/>
    <w:rsid w:val="00BA6A73"/>
    <w:rsid w:val="00BA6AC1"/>
    <w:rsid w:val="00BA6B76"/>
    <w:rsid w:val="00BA6C81"/>
    <w:rsid w:val="00BA6CEE"/>
    <w:rsid w:val="00BA6D2C"/>
    <w:rsid w:val="00BA6E4B"/>
    <w:rsid w:val="00BA6E50"/>
    <w:rsid w:val="00BA6EFD"/>
    <w:rsid w:val="00BA702B"/>
    <w:rsid w:val="00BA70DE"/>
    <w:rsid w:val="00BA713A"/>
    <w:rsid w:val="00BA71CD"/>
    <w:rsid w:val="00BA7271"/>
    <w:rsid w:val="00BA73BF"/>
    <w:rsid w:val="00BA7477"/>
    <w:rsid w:val="00BA74F0"/>
    <w:rsid w:val="00BA751F"/>
    <w:rsid w:val="00BA77F8"/>
    <w:rsid w:val="00BA7891"/>
    <w:rsid w:val="00BA78B1"/>
    <w:rsid w:val="00BA78B4"/>
    <w:rsid w:val="00BA78BF"/>
    <w:rsid w:val="00BA78C9"/>
    <w:rsid w:val="00BA7919"/>
    <w:rsid w:val="00BA7982"/>
    <w:rsid w:val="00BA7B63"/>
    <w:rsid w:val="00BA7B65"/>
    <w:rsid w:val="00BA7BD9"/>
    <w:rsid w:val="00BA7C4B"/>
    <w:rsid w:val="00BA7C64"/>
    <w:rsid w:val="00BA7CA2"/>
    <w:rsid w:val="00BA7CE1"/>
    <w:rsid w:val="00BA7D53"/>
    <w:rsid w:val="00BA7F7A"/>
    <w:rsid w:val="00BA7FB5"/>
    <w:rsid w:val="00BB0062"/>
    <w:rsid w:val="00BB00E3"/>
    <w:rsid w:val="00BB0247"/>
    <w:rsid w:val="00BB0282"/>
    <w:rsid w:val="00BB031B"/>
    <w:rsid w:val="00BB03F4"/>
    <w:rsid w:val="00BB05C9"/>
    <w:rsid w:val="00BB05D0"/>
    <w:rsid w:val="00BB0631"/>
    <w:rsid w:val="00BB0639"/>
    <w:rsid w:val="00BB0687"/>
    <w:rsid w:val="00BB072E"/>
    <w:rsid w:val="00BB07D6"/>
    <w:rsid w:val="00BB07FD"/>
    <w:rsid w:val="00BB0942"/>
    <w:rsid w:val="00BB0A51"/>
    <w:rsid w:val="00BB0A77"/>
    <w:rsid w:val="00BB0ADA"/>
    <w:rsid w:val="00BB0BAC"/>
    <w:rsid w:val="00BB0BCE"/>
    <w:rsid w:val="00BB0BEE"/>
    <w:rsid w:val="00BB0C1B"/>
    <w:rsid w:val="00BB0CA0"/>
    <w:rsid w:val="00BB0DBA"/>
    <w:rsid w:val="00BB0E09"/>
    <w:rsid w:val="00BB0F22"/>
    <w:rsid w:val="00BB0FD9"/>
    <w:rsid w:val="00BB0FE2"/>
    <w:rsid w:val="00BB10F4"/>
    <w:rsid w:val="00BB1201"/>
    <w:rsid w:val="00BB13BF"/>
    <w:rsid w:val="00BB1432"/>
    <w:rsid w:val="00BB1493"/>
    <w:rsid w:val="00BB14AA"/>
    <w:rsid w:val="00BB14B5"/>
    <w:rsid w:val="00BB1575"/>
    <w:rsid w:val="00BB158F"/>
    <w:rsid w:val="00BB15C3"/>
    <w:rsid w:val="00BB1663"/>
    <w:rsid w:val="00BB1695"/>
    <w:rsid w:val="00BB1705"/>
    <w:rsid w:val="00BB1771"/>
    <w:rsid w:val="00BB1A1C"/>
    <w:rsid w:val="00BB1A27"/>
    <w:rsid w:val="00BB1AE4"/>
    <w:rsid w:val="00BB1B41"/>
    <w:rsid w:val="00BB1B42"/>
    <w:rsid w:val="00BB1B44"/>
    <w:rsid w:val="00BB1BA9"/>
    <w:rsid w:val="00BB1BB2"/>
    <w:rsid w:val="00BB1CC4"/>
    <w:rsid w:val="00BB1D3F"/>
    <w:rsid w:val="00BB1D8E"/>
    <w:rsid w:val="00BB1E81"/>
    <w:rsid w:val="00BB1EF8"/>
    <w:rsid w:val="00BB1F61"/>
    <w:rsid w:val="00BB2022"/>
    <w:rsid w:val="00BB2043"/>
    <w:rsid w:val="00BB2111"/>
    <w:rsid w:val="00BB21E2"/>
    <w:rsid w:val="00BB2241"/>
    <w:rsid w:val="00BB237F"/>
    <w:rsid w:val="00BB23B5"/>
    <w:rsid w:val="00BB2488"/>
    <w:rsid w:val="00BB26D4"/>
    <w:rsid w:val="00BB2784"/>
    <w:rsid w:val="00BB2865"/>
    <w:rsid w:val="00BB292C"/>
    <w:rsid w:val="00BB2C2A"/>
    <w:rsid w:val="00BB2C73"/>
    <w:rsid w:val="00BB2C74"/>
    <w:rsid w:val="00BB2ECB"/>
    <w:rsid w:val="00BB2EE2"/>
    <w:rsid w:val="00BB2F88"/>
    <w:rsid w:val="00BB2FCA"/>
    <w:rsid w:val="00BB2FCB"/>
    <w:rsid w:val="00BB3021"/>
    <w:rsid w:val="00BB30AF"/>
    <w:rsid w:val="00BB3202"/>
    <w:rsid w:val="00BB321A"/>
    <w:rsid w:val="00BB326A"/>
    <w:rsid w:val="00BB328E"/>
    <w:rsid w:val="00BB36BB"/>
    <w:rsid w:val="00BB36BD"/>
    <w:rsid w:val="00BB37C0"/>
    <w:rsid w:val="00BB381E"/>
    <w:rsid w:val="00BB384F"/>
    <w:rsid w:val="00BB3958"/>
    <w:rsid w:val="00BB39C5"/>
    <w:rsid w:val="00BB3A01"/>
    <w:rsid w:val="00BB3A7D"/>
    <w:rsid w:val="00BB3A99"/>
    <w:rsid w:val="00BB3AAE"/>
    <w:rsid w:val="00BB3ACF"/>
    <w:rsid w:val="00BB3BC9"/>
    <w:rsid w:val="00BB3DAB"/>
    <w:rsid w:val="00BB3DAE"/>
    <w:rsid w:val="00BB3ED8"/>
    <w:rsid w:val="00BB3F8C"/>
    <w:rsid w:val="00BB3FA5"/>
    <w:rsid w:val="00BB3FF1"/>
    <w:rsid w:val="00BB4071"/>
    <w:rsid w:val="00BB413F"/>
    <w:rsid w:val="00BB4235"/>
    <w:rsid w:val="00BB4245"/>
    <w:rsid w:val="00BB4329"/>
    <w:rsid w:val="00BB43B8"/>
    <w:rsid w:val="00BB43BB"/>
    <w:rsid w:val="00BB43F2"/>
    <w:rsid w:val="00BB44A2"/>
    <w:rsid w:val="00BB4509"/>
    <w:rsid w:val="00BB459A"/>
    <w:rsid w:val="00BB4605"/>
    <w:rsid w:val="00BB4690"/>
    <w:rsid w:val="00BB46D1"/>
    <w:rsid w:val="00BB4975"/>
    <w:rsid w:val="00BB4A7D"/>
    <w:rsid w:val="00BB4D79"/>
    <w:rsid w:val="00BB4DAA"/>
    <w:rsid w:val="00BB4E72"/>
    <w:rsid w:val="00BB4EA1"/>
    <w:rsid w:val="00BB4F68"/>
    <w:rsid w:val="00BB4FEB"/>
    <w:rsid w:val="00BB500E"/>
    <w:rsid w:val="00BB504A"/>
    <w:rsid w:val="00BB5082"/>
    <w:rsid w:val="00BB50D9"/>
    <w:rsid w:val="00BB50DD"/>
    <w:rsid w:val="00BB50E7"/>
    <w:rsid w:val="00BB510D"/>
    <w:rsid w:val="00BB51DF"/>
    <w:rsid w:val="00BB522D"/>
    <w:rsid w:val="00BB52A5"/>
    <w:rsid w:val="00BB52FB"/>
    <w:rsid w:val="00BB5312"/>
    <w:rsid w:val="00BB53D6"/>
    <w:rsid w:val="00BB53F4"/>
    <w:rsid w:val="00BB5439"/>
    <w:rsid w:val="00BB5672"/>
    <w:rsid w:val="00BB576D"/>
    <w:rsid w:val="00BB579A"/>
    <w:rsid w:val="00BB57CF"/>
    <w:rsid w:val="00BB57DC"/>
    <w:rsid w:val="00BB590C"/>
    <w:rsid w:val="00BB5948"/>
    <w:rsid w:val="00BB5A6A"/>
    <w:rsid w:val="00BB5A71"/>
    <w:rsid w:val="00BB5AA5"/>
    <w:rsid w:val="00BB5B5F"/>
    <w:rsid w:val="00BB5B6A"/>
    <w:rsid w:val="00BB5BB0"/>
    <w:rsid w:val="00BB5C8D"/>
    <w:rsid w:val="00BB5CBB"/>
    <w:rsid w:val="00BB5CD4"/>
    <w:rsid w:val="00BB5D72"/>
    <w:rsid w:val="00BB5E7A"/>
    <w:rsid w:val="00BB5E7C"/>
    <w:rsid w:val="00BB5EE7"/>
    <w:rsid w:val="00BB5FD1"/>
    <w:rsid w:val="00BB60EA"/>
    <w:rsid w:val="00BB6265"/>
    <w:rsid w:val="00BB63C8"/>
    <w:rsid w:val="00BB63FC"/>
    <w:rsid w:val="00BB6494"/>
    <w:rsid w:val="00BB64EE"/>
    <w:rsid w:val="00BB65A2"/>
    <w:rsid w:val="00BB661F"/>
    <w:rsid w:val="00BB662B"/>
    <w:rsid w:val="00BB6726"/>
    <w:rsid w:val="00BB6892"/>
    <w:rsid w:val="00BB68B1"/>
    <w:rsid w:val="00BB68B3"/>
    <w:rsid w:val="00BB690A"/>
    <w:rsid w:val="00BB6912"/>
    <w:rsid w:val="00BB6AEB"/>
    <w:rsid w:val="00BB6B3F"/>
    <w:rsid w:val="00BB6BE1"/>
    <w:rsid w:val="00BB6C0D"/>
    <w:rsid w:val="00BB6C72"/>
    <w:rsid w:val="00BB6D07"/>
    <w:rsid w:val="00BB6D9F"/>
    <w:rsid w:val="00BB6E6D"/>
    <w:rsid w:val="00BB6EC3"/>
    <w:rsid w:val="00BB6EC9"/>
    <w:rsid w:val="00BB6ECE"/>
    <w:rsid w:val="00BB6FCE"/>
    <w:rsid w:val="00BB7032"/>
    <w:rsid w:val="00BB7247"/>
    <w:rsid w:val="00BB737A"/>
    <w:rsid w:val="00BB73CE"/>
    <w:rsid w:val="00BB73EE"/>
    <w:rsid w:val="00BB749D"/>
    <w:rsid w:val="00BB7673"/>
    <w:rsid w:val="00BB77F2"/>
    <w:rsid w:val="00BB77F4"/>
    <w:rsid w:val="00BB781E"/>
    <w:rsid w:val="00BB78C4"/>
    <w:rsid w:val="00BB790D"/>
    <w:rsid w:val="00BB7986"/>
    <w:rsid w:val="00BB798F"/>
    <w:rsid w:val="00BB7A03"/>
    <w:rsid w:val="00BB7B6E"/>
    <w:rsid w:val="00BB7C22"/>
    <w:rsid w:val="00BB7CBB"/>
    <w:rsid w:val="00BB7D4D"/>
    <w:rsid w:val="00BB7DCE"/>
    <w:rsid w:val="00BB7E34"/>
    <w:rsid w:val="00BB7E3C"/>
    <w:rsid w:val="00BB7EA7"/>
    <w:rsid w:val="00BB7F01"/>
    <w:rsid w:val="00BB7F7A"/>
    <w:rsid w:val="00BB7FB1"/>
    <w:rsid w:val="00BC0146"/>
    <w:rsid w:val="00BC015B"/>
    <w:rsid w:val="00BC01AC"/>
    <w:rsid w:val="00BC0306"/>
    <w:rsid w:val="00BC048F"/>
    <w:rsid w:val="00BC05C6"/>
    <w:rsid w:val="00BC0639"/>
    <w:rsid w:val="00BC06E1"/>
    <w:rsid w:val="00BC06F4"/>
    <w:rsid w:val="00BC076C"/>
    <w:rsid w:val="00BC0783"/>
    <w:rsid w:val="00BC080C"/>
    <w:rsid w:val="00BC08AB"/>
    <w:rsid w:val="00BC0907"/>
    <w:rsid w:val="00BC09BC"/>
    <w:rsid w:val="00BC09F6"/>
    <w:rsid w:val="00BC0A4D"/>
    <w:rsid w:val="00BC0A5F"/>
    <w:rsid w:val="00BC0A62"/>
    <w:rsid w:val="00BC0B21"/>
    <w:rsid w:val="00BC0B88"/>
    <w:rsid w:val="00BC0B92"/>
    <w:rsid w:val="00BC0BDD"/>
    <w:rsid w:val="00BC0CCF"/>
    <w:rsid w:val="00BC0D8A"/>
    <w:rsid w:val="00BC0F16"/>
    <w:rsid w:val="00BC0F19"/>
    <w:rsid w:val="00BC0F86"/>
    <w:rsid w:val="00BC101E"/>
    <w:rsid w:val="00BC1151"/>
    <w:rsid w:val="00BC1166"/>
    <w:rsid w:val="00BC117E"/>
    <w:rsid w:val="00BC11AA"/>
    <w:rsid w:val="00BC11B7"/>
    <w:rsid w:val="00BC11BF"/>
    <w:rsid w:val="00BC129B"/>
    <w:rsid w:val="00BC1337"/>
    <w:rsid w:val="00BC13F0"/>
    <w:rsid w:val="00BC1640"/>
    <w:rsid w:val="00BC166E"/>
    <w:rsid w:val="00BC1725"/>
    <w:rsid w:val="00BC19BA"/>
    <w:rsid w:val="00BC1A78"/>
    <w:rsid w:val="00BC1C17"/>
    <w:rsid w:val="00BC1C29"/>
    <w:rsid w:val="00BC1C3B"/>
    <w:rsid w:val="00BC1D4A"/>
    <w:rsid w:val="00BC1D72"/>
    <w:rsid w:val="00BC1E4F"/>
    <w:rsid w:val="00BC1ED0"/>
    <w:rsid w:val="00BC1F0F"/>
    <w:rsid w:val="00BC1F78"/>
    <w:rsid w:val="00BC1F88"/>
    <w:rsid w:val="00BC1F8C"/>
    <w:rsid w:val="00BC2002"/>
    <w:rsid w:val="00BC208B"/>
    <w:rsid w:val="00BC20A7"/>
    <w:rsid w:val="00BC2178"/>
    <w:rsid w:val="00BC2241"/>
    <w:rsid w:val="00BC229A"/>
    <w:rsid w:val="00BC2323"/>
    <w:rsid w:val="00BC233E"/>
    <w:rsid w:val="00BC2469"/>
    <w:rsid w:val="00BC24DE"/>
    <w:rsid w:val="00BC2512"/>
    <w:rsid w:val="00BC2753"/>
    <w:rsid w:val="00BC2757"/>
    <w:rsid w:val="00BC27D9"/>
    <w:rsid w:val="00BC283D"/>
    <w:rsid w:val="00BC293D"/>
    <w:rsid w:val="00BC2973"/>
    <w:rsid w:val="00BC2977"/>
    <w:rsid w:val="00BC29BE"/>
    <w:rsid w:val="00BC2AC3"/>
    <w:rsid w:val="00BC2AE3"/>
    <w:rsid w:val="00BC2C00"/>
    <w:rsid w:val="00BC2C3D"/>
    <w:rsid w:val="00BC2CA4"/>
    <w:rsid w:val="00BC2CB8"/>
    <w:rsid w:val="00BC2CE7"/>
    <w:rsid w:val="00BC2D59"/>
    <w:rsid w:val="00BC2DC7"/>
    <w:rsid w:val="00BC2DD2"/>
    <w:rsid w:val="00BC2DDC"/>
    <w:rsid w:val="00BC2E1A"/>
    <w:rsid w:val="00BC2E36"/>
    <w:rsid w:val="00BC2EF9"/>
    <w:rsid w:val="00BC3023"/>
    <w:rsid w:val="00BC3065"/>
    <w:rsid w:val="00BC3135"/>
    <w:rsid w:val="00BC3163"/>
    <w:rsid w:val="00BC31F8"/>
    <w:rsid w:val="00BC321B"/>
    <w:rsid w:val="00BC32F3"/>
    <w:rsid w:val="00BC3395"/>
    <w:rsid w:val="00BC33B4"/>
    <w:rsid w:val="00BC33F5"/>
    <w:rsid w:val="00BC343E"/>
    <w:rsid w:val="00BC3558"/>
    <w:rsid w:val="00BC3662"/>
    <w:rsid w:val="00BC376D"/>
    <w:rsid w:val="00BC3851"/>
    <w:rsid w:val="00BC38B7"/>
    <w:rsid w:val="00BC3BEE"/>
    <w:rsid w:val="00BC3C12"/>
    <w:rsid w:val="00BC3C1C"/>
    <w:rsid w:val="00BC3C99"/>
    <w:rsid w:val="00BC3CFC"/>
    <w:rsid w:val="00BC3D48"/>
    <w:rsid w:val="00BC400E"/>
    <w:rsid w:val="00BC4108"/>
    <w:rsid w:val="00BC424D"/>
    <w:rsid w:val="00BC4298"/>
    <w:rsid w:val="00BC4381"/>
    <w:rsid w:val="00BC43B1"/>
    <w:rsid w:val="00BC4496"/>
    <w:rsid w:val="00BC44A2"/>
    <w:rsid w:val="00BC456A"/>
    <w:rsid w:val="00BC4577"/>
    <w:rsid w:val="00BC45DC"/>
    <w:rsid w:val="00BC45F7"/>
    <w:rsid w:val="00BC45FB"/>
    <w:rsid w:val="00BC466C"/>
    <w:rsid w:val="00BC468D"/>
    <w:rsid w:val="00BC46CA"/>
    <w:rsid w:val="00BC4760"/>
    <w:rsid w:val="00BC47F3"/>
    <w:rsid w:val="00BC4908"/>
    <w:rsid w:val="00BC4993"/>
    <w:rsid w:val="00BC49CF"/>
    <w:rsid w:val="00BC4A32"/>
    <w:rsid w:val="00BC4ADE"/>
    <w:rsid w:val="00BC4B53"/>
    <w:rsid w:val="00BC4B74"/>
    <w:rsid w:val="00BC4C94"/>
    <w:rsid w:val="00BC4CEE"/>
    <w:rsid w:val="00BC4D6E"/>
    <w:rsid w:val="00BC4E2B"/>
    <w:rsid w:val="00BC4E91"/>
    <w:rsid w:val="00BC4E9D"/>
    <w:rsid w:val="00BC4FE3"/>
    <w:rsid w:val="00BC506A"/>
    <w:rsid w:val="00BC5094"/>
    <w:rsid w:val="00BC51BB"/>
    <w:rsid w:val="00BC5223"/>
    <w:rsid w:val="00BC5314"/>
    <w:rsid w:val="00BC53C5"/>
    <w:rsid w:val="00BC55F8"/>
    <w:rsid w:val="00BC562E"/>
    <w:rsid w:val="00BC5660"/>
    <w:rsid w:val="00BC59E6"/>
    <w:rsid w:val="00BC5BAF"/>
    <w:rsid w:val="00BC5C7F"/>
    <w:rsid w:val="00BC5CAC"/>
    <w:rsid w:val="00BC5D3C"/>
    <w:rsid w:val="00BC5D84"/>
    <w:rsid w:val="00BC5DAD"/>
    <w:rsid w:val="00BC5EAD"/>
    <w:rsid w:val="00BC5EF2"/>
    <w:rsid w:val="00BC5F1B"/>
    <w:rsid w:val="00BC5F35"/>
    <w:rsid w:val="00BC5F4B"/>
    <w:rsid w:val="00BC5F8C"/>
    <w:rsid w:val="00BC5FD7"/>
    <w:rsid w:val="00BC5FDA"/>
    <w:rsid w:val="00BC60C8"/>
    <w:rsid w:val="00BC614F"/>
    <w:rsid w:val="00BC615D"/>
    <w:rsid w:val="00BC623F"/>
    <w:rsid w:val="00BC6265"/>
    <w:rsid w:val="00BC6267"/>
    <w:rsid w:val="00BC62A1"/>
    <w:rsid w:val="00BC62B6"/>
    <w:rsid w:val="00BC6359"/>
    <w:rsid w:val="00BC6491"/>
    <w:rsid w:val="00BC65C7"/>
    <w:rsid w:val="00BC6605"/>
    <w:rsid w:val="00BC6687"/>
    <w:rsid w:val="00BC66F6"/>
    <w:rsid w:val="00BC6713"/>
    <w:rsid w:val="00BC678A"/>
    <w:rsid w:val="00BC68A3"/>
    <w:rsid w:val="00BC692A"/>
    <w:rsid w:val="00BC694E"/>
    <w:rsid w:val="00BC6A79"/>
    <w:rsid w:val="00BC6A7E"/>
    <w:rsid w:val="00BC6A96"/>
    <w:rsid w:val="00BC6AD9"/>
    <w:rsid w:val="00BC6B75"/>
    <w:rsid w:val="00BC6B7A"/>
    <w:rsid w:val="00BC6C46"/>
    <w:rsid w:val="00BC6C4D"/>
    <w:rsid w:val="00BC6D02"/>
    <w:rsid w:val="00BC6D12"/>
    <w:rsid w:val="00BC6D95"/>
    <w:rsid w:val="00BC6E40"/>
    <w:rsid w:val="00BC6E56"/>
    <w:rsid w:val="00BC6EE4"/>
    <w:rsid w:val="00BC6F28"/>
    <w:rsid w:val="00BC6F92"/>
    <w:rsid w:val="00BC70CC"/>
    <w:rsid w:val="00BC70D1"/>
    <w:rsid w:val="00BC70E1"/>
    <w:rsid w:val="00BC70ED"/>
    <w:rsid w:val="00BC710C"/>
    <w:rsid w:val="00BC7335"/>
    <w:rsid w:val="00BC73C9"/>
    <w:rsid w:val="00BC7467"/>
    <w:rsid w:val="00BC762F"/>
    <w:rsid w:val="00BC76FF"/>
    <w:rsid w:val="00BC773A"/>
    <w:rsid w:val="00BC783B"/>
    <w:rsid w:val="00BC78F2"/>
    <w:rsid w:val="00BC7927"/>
    <w:rsid w:val="00BC797A"/>
    <w:rsid w:val="00BC79A7"/>
    <w:rsid w:val="00BC79C7"/>
    <w:rsid w:val="00BC7A19"/>
    <w:rsid w:val="00BC7B30"/>
    <w:rsid w:val="00BC7B33"/>
    <w:rsid w:val="00BC7D2E"/>
    <w:rsid w:val="00BD00BD"/>
    <w:rsid w:val="00BD00D6"/>
    <w:rsid w:val="00BD0108"/>
    <w:rsid w:val="00BD01CB"/>
    <w:rsid w:val="00BD0210"/>
    <w:rsid w:val="00BD0260"/>
    <w:rsid w:val="00BD03E8"/>
    <w:rsid w:val="00BD0487"/>
    <w:rsid w:val="00BD0561"/>
    <w:rsid w:val="00BD0576"/>
    <w:rsid w:val="00BD0593"/>
    <w:rsid w:val="00BD0615"/>
    <w:rsid w:val="00BD0649"/>
    <w:rsid w:val="00BD0670"/>
    <w:rsid w:val="00BD0829"/>
    <w:rsid w:val="00BD08C1"/>
    <w:rsid w:val="00BD0913"/>
    <w:rsid w:val="00BD09CF"/>
    <w:rsid w:val="00BD09DE"/>
    <w:rsid w:val="00BD09E6"/>
    <w:rsid w:val="00BD0A9E"/>
    <w:rsid w:val="00BD0B73"/>
    <w:rsid w:val="00BD0BCA"/>
    <w:rsid w:val="00BD0CD3"/>
    <w:rsid w:val="00BD0E21"/>
    <w:rsid w:val="00BD0F10"/>
    <w:rsid w:val="00BD0F5F"/>
    <w:rsid w:val="00BD1065"/>
    <w:rsid w:val="00BD107B"/>
    <w:rsid w:val="00BD11E0"/>
    <w:rsid w:val="00BD1257"/>
    <w:rsid w:val="00BD135B"/>
    <w:rsid w:val="00BD1397"/>
    <w:rsid w:val="00BD1450"/>
    <w:rsid w:val="00BD1466"/>
    <w:rsid w:val="00BD1479"/>
    <w:rsid w:val="00BD15C1"/>
    <w:rsid w:val="00BD1650"/>
    <w:rsid w:val="00BD17FD"/>
    <w:rsid w:val="00BD188F"/>
    <w:rsid w:val="00BD1A14"/>
    <w:rsid w:val="00BD1A5A"/>
    <w:rsid w:val="00BD1A65"/>
    <w:rsid w:val="00BD1AFF"/>
    <w:rsid w:val="00BD1B15"/>
    <w:rsid w:val="00BD1B45"/>
    <w:rsid w:val="00BD1B92"/>
    <w:rsid w:val="00BD1C44"/>
    <w:rsid w:val="00BD1C7E"/>
    <w:rsid w:val="00BD1CCB"/>
    <w:rsid w:val="00BD1D84"/>
    <w:rsid w:val="00BD1DF3"/>
    <w:rsid w:val="00BD1E79"/>
    <w:rsid w:val="00BD1EE9"/>
    <w:rsid w:val="00BD1F0F"/>
    <w:rsid w:val="00BD1F1E"/>
    <w:rsid w:val="00BD1F44"/>
    <w:rsid w:val="00BD209D"/>
    <w:rsid w:val="00BD218D"/>
    <w:rsid w:val="00BD22AF"/>
    <w:rsid w:val="00BD2364"/>
    <w:rsid w:val="00BD2381"/>
    <w:rsid w:val="00BD2398"/>
    <w:rsid w:val="00BD2416"/>
    <w:rsid w:val="00BD24F6"/>
    <w:rsid w:val="00BD25C6"/>
    <w:rsid w:val="00BD2649"/>
    <w:rsid w:val="00BD267E"/>
    <w:rsid w:val="00BD26F7"/>
    <w:rsid w:val="00BD278E"/>
    <w:rsid w:val="00BD279B"/>
    <w:rsid w:val="00BD27AC"/>
    <w:rsid w:val="00BD289E"/>
    <w:rsid w:val="00BD29C8"/>
    <w:rsid w:val="00BD2A54"/>
    <w:rsid w:val="00BD2C7C"/>
    <w:rsid w:val="00BD2C9D"/>
    <w:rsid w:val="00BD2CB8"/>
    <w:rsid w:val="00BD2CF5"/>
    <w:rsid w:val="00BD2D21"/>
    <w:rsid w:val="00BD2D6F"/>
    <w:rsid w:val="00BD2D70"/>
    <w:rsid w:val="00BD2D92"/>
    <w:rsid w:val="00BD2DA3"/>
    <w:rsid w:val="00BD2E36"/>
    <w:rsid w:val="00BD2E44"/>
    <w:rsid w:val="00BD2E5E"/>
    <w:rsid w:val="00BD3020"/>
    <w:rsid w:val="00BD3115"/>
    <w:rsid w:val="00BD3375"/>
    <w:rsid w:val="00BD3544"/>
    <w:rsid w:val="00BD3553"/>
    <w:rsid w:val="00BD35F9"/>
    <w:rsid w:val="00BD3630"/>
    <w:rsid w:val="00BD36F0"/>
    <w:rsid w:val="00BD37E6"/>
    <w:rsid w:val="00BD381F"/>
    <w:rsid w:val="00BD3938"/>
    <w:rsid w:val="00BD396D"/>
    <w:rsid w:val="00BD396F"/>
    <w:rsid w:val="00BD3975"/>
    <w:rsid w:val="00BD39BF"/>
    <w:rsid w:val="00BD3A45"/>
    <w:rsid w:val="00BD3AFA"/>
    <w:rsid w:val="00BD3B28"/>
    <w:rsid w:val="00BD3B2E"/>
    <w:rsid w:val="00BD3DA4"/>
    <w:rsid w:val="00BD3F18"/>
    <w:rsid w:val="00BD3F2B"/>
    <w:rsid w:val="00BD3FBB"/>
    <w:rsid w:val="00BD3FC7"/>
    <w:rsid w:val="00BD4031"/>
    <w:rsid w:val="00BD43E5"/>
    <w:rsid w:val="00BD444F"/>
    <w:rsid w:val="00BD453F"/>
    <w:rsid w:val="00BD457F"/>
    <w:rsid w:val="00BD45E7"/>
    <w:rsid w:val="00BD476A"/>
    <w:rsid w:val="00BD4787"/>
    <w:rsid w:val="00BD47E9"/>
    <w:rsid w:val="00BD48E1"/>
    <w:rsid w:val="00BD4A61"/>
    <w:rsid w:val="00BD4BBB"/>
    <w:rsid w:val="00BD4C5D"/>
    <w:rsid w:val="00BD4CF0"/>
    <w:rsid w:val="00BD4DC3"/>
    <w:rsid w:val="00BD4F54"/>
    <w:rsid w:val="00BD4F70"/>
    <w:rsid w:val="00BD4FD2"/>
    <w:rsid w:val="00BD5054"/>
    <w:rsid w:val="00BD50B0"/>
    <w:rsid w:val="00BD5199"/>
    <w:rsid w:val="00BD5217"/>
    <w:rsid w:val="00BD523B"/>
    <w:rsid w:val="00BD5320"/>
    <w:rsid w:val="00BD534B"/>
    <w:rsid w:val="00BD539C"/>
    <w:rsid w:val="00BD53F7"/>
    <w:rsid w:val="00BD5418"/>
    <w:rsid w:val="00BD5476"/>
    <w:rsid w:val="00BD54F6"/>
    <w:rsid w:val="00BD550C"/>
    <w:rsid w:val="00BD5527"/>
    <w:rsid w:val="00BD5533"/>
    <w:rsid w:val="00BD557A"/>
    <w:rsid w:val="00BD55A2"/>
    <w:rsid w:val="00BD55AD"/>
    <w:rsid w:val="00BD55F7"/>
    <w:rsid w:val="00BD5845"/>
    <w:rsid w:val="00BD5985"/>
    <w:rsid w:val="00BD5A2B"/>
    <w:rsid w:val="00BD5C30"/>
    <w:rsid w:val="00BD5C46"/>
    <w:rsid w:val="00BD5CC1"/>
    <w:rsid w:val="00BD5D25"/>
    <w:rsid w:val="00BD5DC1"/>
    <w:rsid w:val="00BD5E13"/>
    <w:rsid w:val="00BD5E14"/>
    <w:rsid w:val="00BD5EB7"/>
    <w:rsid w:val="00BD5F1E"/>
    <w:rsid w:val="00BD5F5C"/>
    <w:rsid w:val="00BD6077"/>
    <w:rsid w:val="00BD6339"/>
    <w:rsid w:val="00BD6359"/>
    <w:rsid w:val="00BD63B9"/>
    <w:rsid w:val="00BD63CD"/>
    <w:rsid w:val="00BD6439"/>
    <w:rsid w:val="00BD64FD"/>
    <w:rsid w:val="00BD6568"/>
    <w:rsid w:val="00BD6669"/>
    <w:rsid w:val="00BD66C3"/>
    <w:rsid w:val="00BD67B6"/>
    <w:rsid w:val="00BD695F"/>
    <w:rsid w:val="00BD69AD"/>
    <w:rsid w:val="00BD69B9"/>
    <w:rsid w:val="00BD69E0"/>
    <w:rsid w:val="00BD69ED"/>
    <w:rsid w:val="00BD6ABA"/>
    <w:rsid w:val="00BD6B75"/>
    <w:rsid w:val="00BD6BAB"/>
    <w:rsid w:val="00BD6BAD"/>
    <w:rsid w:val="00BD6BDC"/>
    <w:rsid w:val="00BD6D58"/>
    <w:rsid w:val="00BD6DD3"/>
    <w:rsid w:val="00BD6EBA"/>
    <w:rsid w:val="00BD6ECD"/>
    <w:rsid w:val="00BD70B8"/>
    <w:rsid w:val="00BD7195"/>
    <w:rsid w:val="00BD71C3"/>
    <w:rsid w:val="00BD71CB"/>
    <w:rsid w:val="00BD7201"/>
    <w:rsid w:val="00BD7211"/>
    <w:rsid w:val="00BD7260"/>
    <w:rsid w:val="00BD72A3"/>
    <w:rsid w:val="00BD730B"/>
    <w:rsid w:val="00BD73D9"/>
    <w:rsid w:val="00BD743E"/>
    <w:rsid w:val="00BD7462"/>
    <w:rsid w:val="00BD746D"/>
    <w:rsid w:val="00BD74B7"/>
    <w:rsid w:val="00BD7578"/>
    <w:rsid w:val="00BD759C"/>
    <w:rsid w:val="00BD75A7"/>
    <w:rsid w:val="00BD75B9"/>
    <w:rsid w:val="00BD761D"/>
    <w:rsid w:val="00BD7632"/>
    <w:rsid w:val="00BD7643"/>
    <w:rsid w:val="00BD7644"/>
    <w:rsid w:val="00BD7762"/>
    <w:rsid w:val="00BD7863"/>
    <w:rsid w:val="00BD794B"/>
    <w:rsid w:val="00BD79A9"/>
    <w:rsid w:val="00BD7A3F"/>
    <w:rsid w:val="00BD7B2B"/>
    <w:rsid w:val="00BD7CB0"/>
    <w:rsid w:val="00BD7D85"/>
    <w:rsid w:val="00BD7E7E"/>
    <w:rsid w:val="00BD7F0F"/>
    <w:rsid w:val="00BE0040"/>
    <w:rsid w:val="00BE004F"/>
    <w:rsid w:val="00BE0186"/>
    <w:rsid w:val="00BE0188"/>
    <w:rsid w:val="00BE01A2"/>
    <w:rsid w:val="00BE01AA"/>
    <w:rsid w:val="00BE01C4"/>
    <w:rsid w:val="00BE0293"/>
    <w:rsid w:val="00BE0294"/>
    <w:rsid w:val="00BE03D3"/>
    <w:rsid w:val="00BE0451"/>
    <w:rsid w:val="00BE05F7"/>
    <w:rsid w:val="00BE0602"/>
    <w:rsid w:val="00BE069B"/>
    <w:rsid w:val="00BE075D"/>
    <w:rsid w:val="00BE08B5"/>
    <w:rsid w:val="00BE0A29"/>
    <w:rsid w:val="00BE0B80"/>
    <w:rsid w:val="00BE0D3D"/>
    <w:rsid w:val="00BE0DC2"/>
    <w:rsid w:val="00BE0DE0"/>
    <w:rsid w:val="00BE0E9E"/>
    <w:rsid w:val="00BE0F8A"/>
    <w:rsid w:val="00BE0FB9"/>
    <w:rsid w:val="00BE1024"/>
    <w:rsid w:val="00BE103C"/>
    <w:rsid w:val="00BE1255"/>
    <w:rsid w:val="00BE1354"/>
    <w:rsid w:val="00BE1405"/>
    <w:rsid w:val="00BE14F5"/>
    <w:rsid w:val="00BE150C"/>
    <w:rsid w:val="00BE15B0"/>
    <w:rsid w:val="00BE1629"/>
    <w:rsid w:val="00BE1646"/>
    <w:rsid w:val="00BE168A"/>
    <w:rsid w:val="00BE16EA"/>
    <w:rsid w:val="00BE1776"/>
    <w:rsid w:val="00BE17B0"/>
    <w:rsid w:val="00BE17B7"/>
    <w:rsid w:val="00BE197C"/>
    <w:rsid w:val="00BE19AE"/>
    <w:rsid w:val="00BE19B4"/>
    <w:rsid w:val="00BE19C1"/>
    <w:rsid w:val="00BE19D9"/>
    <w:rsid w:val="00BE1A4F"/>
    <w:rsid w:val="00BE1AC2"/>
    <w:rsid w:val="00BE1C6D"/>
    <w:rsid w:val="00BE1CB0"/>
    <w:rsid w:val="00BE1CBE"/>
    <w:rsid w:val="00BE1DBB"/>
    <w:rsid w:val="00BE1DF8"/>
    <w:rsid w:val="00BE20D3"/>
    <w:rsid w:val="00BE20E4"/>
    <w:rsid w:val="00BE20F4"/>
    <w:rsid w:val="00BE2169"/>
    <w:rsid w:val="00BE21BE"/>
    <w:rsid w:val="00BE227B"/>
    <w:rsid w:val="00BE23B7"/>
    <w:rsid w:val="00BE25B0"/>
    <w:rsid w:val="00BE25BC"/>
    <w:rsid w:val="00BE25FD"/>
    <w:rsid w:val="00BE269C"/>
    <w:rsid w:val="00BE276B"/>
    <w:rsid w:val="00BE28EC"/>
    <w:rsid w:val="00BE29E5"/>
    <w:rsid w:val="00BE29F0"/>
    <w:rsid w:val="00BE2AFD"/>
    <w:rsid w:val="00BE2CA7"/>
    <w:rsid w:val="00BE2CF9"/>
    <w:rsid w:val="00BE2D27"/>
    <w:rsid w:val="00BE2D35"/>
    <w:rsid w:val="00BE2D42"/>
    <w:rsid w:val="00BE2EB2"/>
    <w:rsid w:val="00BE2ED6"/>
    <w:rsid w:val="00BE2EE3"/>
    <w:rsid w:val="00BE2FB6"/>
    <w:rsid w:val="00BE2FC1"/>
    <w:rsid w:val="00BE2FC9"/>
    <w:rsid w:val="00BE3000"/>
    <w:rsid w:val="00BE30B1"/>
    <w:rsid w:val="00BE3269"/>
    <w:rsid w:val="00BE32D2"/>
    <w:rsid w:val="00BE3481"/>
    <w:rsid w:val="00BE348E"/>
    <w:rsid w:val="00BE34F0"/>
    <w:rsid w:val="00BE3579"/>
    <w:rsid w:val="00BE35FA"/>
    <w:rsid w:val="00BE3688"/>
    <w:rsid w:val="00BE379D"/>
    <w:rsid w:val="00BE3818"/>
    <w:rsid w:val="00BE3843"/>
    <w:rsid w:val="00BE38B3"/>
    <w:rsid w:val="00BE39E8"/>
    <w:rsid w:val="00BE3A59"/>
    <w:rsid w:val="00BE3B27"/>
    <w:rsid w:val="00BE3B4C"/>
    <w:rsid w:val="00BE3BB5"/>
    <w:rsid w:val="00BE3CFC"/>
    <w:rsid w:val="00BE3D39"/>
    <w:rsid w:val="00BE3D49"/>
    <w:rsid w:val="00BE3F49"/>
    <w:rsid w:val="00BE3FDF"/>
    <w:rsid w:val="00BE4129"/>
    <w:rsid w:val="00BE42B3"/>
    <w:rsid w:val="00BE431C"/>
    <w:rsid w:val="00BE4359"/>
    <w:rsid w:val="00BE43DC"/>
    <w:rsid w:val="00BE4463"/>
    <w:rsid w:val="00BE44A6"/>
    <w:rsid w:val="00BE44C5"/>
    <w:rsid w:val="00BE45FD"/>
    <w:rsid w:val="00BE46FC"/>
    <w:rsid w:val="00BE4718"/>
    <w:rsid w:val="00BE47B7"/>
    <w:rsid w:val="00BE48B1"/>
    <w:rsid w:val="00BE48CE"/>
    <w:rsid w:val="00BE492C"/>
    <w:rsid w:val="00BE493D"/>
    <w:rsid w:val="00BE4978"/>
    <w:rsid w:val="00BE49A1"/>
    <w:rsid w:val="00BE4A2C"/>
    <w:rsid w:val="00BE4B38"/>
    <w:rsid w:val="00BE4BD3"/>
    <w:rsid w:val="00BE4BFF"/>
    <w:rsid w:val="00BE4C1A"/>
    <w:rsid w:val="00BE4C7E"/>
    <w:rsid w:val="00BE4C8B"/>
    <w:rsid w:val="00BE4CD7"/>
    <w:rsid w:val="00BE4CED"/>
    <w:rsid w:val="00BE4EA7"/>
    <w:rsid w:val="00BE4F93"/>
    <w:rsid w:val="00BE5101"/>
    <w:rsid w:val="00BE51E6"/>
    <w:rsid w:val="00BE5235"/>
    <w:rsid w:val="00BE5267"/>
    <w:rsid w:val="00BE52A0"/>
    <w:rsid w:val="00BE52A3"/>
    <w:rsid w:val="00BE5300"/>
    <w:rsid w:val="00BE53AD"/>
    <w:rsid w:val="00BE53E0"/>
    <w:rsid w:val="00BE54EF"/>
    <w:rsid w:val="00BE55CD"/>
    <w:rsid w:val="00BE5624"/>
    <w:rsid w:val="00BE56F4"/>
    <w:rsid w:val="00BE570B"/>
    <w:rsid w:val="00BE5847"/>
    <w:rsid w:val="00BE58DD"/>
    <w:rsid w:val="00BE58F3"/>
    <w:rsid w:val="00BE5928"/>
    <w:rsid w:val="00BE5941"/>
    <w:rsid w:val="00BE59F5"/>
    <w:rsid w:val="00BE5A07"/>
    <w:rsid w:val="00BE5A43"/>
    <w:rsid w:val="00BE5AF3"/>
    <w:rsid w:val="00BE5B1D"/>
    <w:rsid w:val="00BE5C6C"/>
    <w:rsid w:val="00BE5CDD"/>
    <w:rsid w:val="00BE5D91"/>
    <w:rsid w:val="00BE5DA9"/>
    <w:rsid w:val="00BE5F32"/>
    <w:rsid w:val="00BE5F9F"/>
    <w:rsid w:val="00BE6119"/>
    <w:rsid w:val="00BE6127"/>
    <w:rsid w:val="00BE616D"/>
    <w:rsid w:val="00BE61D6"/>
    <w:rsid w:val="00BE6240"/>
    <w:rsid w:val="00BE634B"/>
    <w:rsid w:val="00BE6357"/>
    <w:rsid w:val="00BE659A"/>
    <w:rsid w:val="00BE65BB"/>
    <w:rsid w:val="00BE66EA"/>
    <w:rsid w:val="00BE6733"/>
    <w:rsid w:val="00BE678E"/>
    <w:rsid w:val="00BE67FB"/>
    <w:rsid w:val="00BE6850"/>
    <w:rsid w:val="00BE685F"/>
    <w:rsid w:val="00BE6872"/>
    <w:rsid w:val="00BE6B88"/>
    <w:rsid w:val="00BE6B9A"/>
    <w:rsid w:val="00BE6C70"/>
    <w:rsid w:val="00BE6D0A"/>
    <w:rsid w:val="00BE6D0E"/>
    <w:rsid w:val="00BE6D32"/>
    <w:rsid w:val="00BE6D88"/>
    <w:rsid w:val="00BE6DE5"/>
    <w:rsid w:val="00BE6F90"/>
    <w:rsid w:val="00BE7113"/>
    <w:rsid w:val="00BE7136"/>
    <w:rsid w:val="00BE7153"/>
    <w:rsid w:val="00BE718D"/>
    <w:rsid w:val="00BE7255"/>
    <w:rsid w:val="00BE7264"/>
    <w:rsid w:val="00BE72F8"/>
    <w:rsid w:val="00BE73C2"/>
    <w:rsid w:val="00BE748D"/>
    <w:rsid w:val="00BE751B"/>
    <w:rsid w:val="00BE75C8"/>
    <w:rsid w:val="00BE76D7"/>
    <w:rsid w:val="00BE7744"/>
    <w:rsid w:val="00BE77E2"/>
    <w:rsid w:val="00BE785D"/>
    <w:rsid w:val="00BE790B"/>
    <w:rsid w:val="00BE795F"/>
    <w:rsid w:val="00BE7A2A"/>
    <w:rsid w:val="00BE7A4B"/>
    <w:rsid w:val="00BE7A85"/>
    <w:rsid w:val="00BE7AE1"/>
    <w:rsid w:val="00BE7AE2"/>
    <w:rsid w:val="00BE7AE6"/>
    <w:rsid w:val="00BE7B3D"/>
    <w:rsid w:val="00BE7BA0"/>
    <w:rsid w:val="00BE7CA7"/>
    <w:rsid w:val="00BE7FD3"/>
    <w:rsid w:val="00BF0006"/>
    <w:rsid w:val="00BF0008"/>
    <w:rsid w:val="00BF0289"/>
    <w:rsid w:val="00BF0465"/>
    <w:rsid w:val="00BF04C0"/>
    <w:rsid w:val="00BF04C5"/>
    <w:rsid w:val="00BF051D"/>
    <w:rsid w:val="00BF059B"/>
    <w:rsid w:val="00BF063E"/>
    <w:rsid w:val="00BF06FD"/>
    <w:rsid w:val="00BF0715"/>
    <w:rsid w:val="00BF07ED"/>
    <w:rsid w:val="00BF08B3"/>
    <w:rsid w:val="00BF095C"/>
    <w:rsid w:val="00BF0A9E"/>
    <w:rsid w:val="00BF0B0B"/>
    <w:rsid w:val="00BF0CAC"/>
    <w:rsid w:val="00BF0CBA"/>
    <w:rsid w:val="00BF0CC1"/>
    <w:rsid w:val="00BF0D41"/>
    <w:rsid w:val="00BF0D48"/>
    <w:rsid w:val="00BF0DA7"/>
    <w:rsid w:val="00BF0E30"/>
    <w:rsid w:val="00BF0EF3"/>
    <w:rsid w:val="00BF0F6C"/>
    <w:rsid w:val="00BF0F6E"/>
    <w:rsid w:val="00BF107B"/>
    <w:rsid w:val="00BF119B"/>
    <w:rsid w:val="00BF11E1"/>
    <w:rsid w:val="00BF11F6"/>
    <w:rsid w:val="00BF11FD"/>
    <w:rsid w:val="00BF1312"/>
    <w:rsid w:val="00BF13C3"/>
    <w:rsid w:val="00BF146C"/>
    <w:rsid w:val="00BF165C"/>
    <w:rsid w:val="00BF16A2"/>
    <w:rsid w:val="00BF173C"/>
    <w:rsid w:val="00BF17B7"/>
    <w:rsid w:val="00BF1822"/>
    <w:rsid w:val="00BF192F"/>
    <w:rsid w:val="00BF19B5"/>
    <w:rsid w:val="00BF19FB"/>
    <w:rsid w:val="00BF1A56"/>
    <w:rsid w:val="00BF1C16"/>
    <w:rsid w:val="00BF1C56"/>
    <w:rsid w:val="00BF1C68"/>
    <w:rsid w:val="00BF1D10"/>
    <w:rsid w:val="00BF1D24"/>
    <w:rsid w:val="00BF1ED4"/>
    <w:rsid w:val="00BF1F6E"/>
    <w:rsid w:val="00BF1FEB"/>
    <w:rsid w:val="00BF2059"/>
    <w:rsid w:val="00BF214C"/>
    <w:rsid w:val="00BF2194"/>
    <w:rsid w:val="00BF21E3"/>
    <w:rsid w:val="00BF225F"/>
    <w:rsid w:val="00BF2366"/>
    <w:rsid w:val="00BF23D5"/>
    <w:rsid w:val="00BF23EC"/>
    <w:rsid w:val="00BF2405"/>
    <w:rsid w:val="00BF2432"/>
    <w:rsid w:val="00BF24B7"/>
    <w:rsid w:val="00BF2586"/>
    <w:rsid w:val="00BF2597"/>
    <w:rsid w:val="00BF25D0"/>
    <w:rsid w:val="00BF2693"/>
    <w:rsid w:val="00BF2720"/>
    <w:rsid w:val="00BF2749"/>
    <w:rsid w:val="00BF276C"/>
    <w:rsid w:val="00BF27C1"/>
    <w:rsid w:val="00BF28FE"/>
    <w:rsid w:val="00BF2968"/>
    <w:rsid w:val="00BF29DC"/>
    <w:rsid w:val="00BF2CB0"/>
    <w:rsid w:val="00BF2D00"/>
    <w:rsid w:val="00BF2D6A"/>
    <w:rsid w:val="00BF2DA5"/>
    <w:rsid w:val="00BF2DAA"/>
    <w:rsid w:val="00BF2E9A"/>
    <w:rsid w:val="00BF2F52"/>
    <w:rsid w:val="00BF2FAB"/>
    <w:rsid w:val="00BF3006"/>
    <w:rsid w:val="00BF3009"/>
    <w:rsid w:val="00BF30E7"/>
    <w:rsid w:val="00BF31BA"/>
    <w:rsid w:val="00BF3225"/>
    <w:rsid w:val="00BF3226"/>
    <w:rsid w:val="00BF35F4"/>
    <w:rsid w:val="00BF3603"/>
    <w:rsid w:val="00BF372C"/>
    <w:rsid w:val="00BF373C"/>
    <w:rsid w:val="00BF3782"/>
    <w:rsid w:val="00BF382B"/>
    <w:rsid w:val="00BF3843"/>
    <w:rsid w:val="00BF38ED"/>
    <w:rsid w:val="00BF3A7C"/>
    <w:rsid w:val="00BF3AA8"/>
    <w:rsid w:val="00BF3B09"/>
    <w:rsid w:val="00BF3B7F"/>
    <w:rsid w:val="00BF3C30"/>
    <w:rsid w:val="00BF3C81"/>
    <w:rsid w:val="00BF3E12"/>
    <w:rsid w:val="00BF3E96"/>
    <w:rsid w:val="00BF3EF3"/>
    <w:rsid w:val="00BF3FD7"/>
    <w:rsid w:val="00BF4019"/>
    <w:rsid w:val="00BF405B"/>
    <w:rsid w:val="00BF40F1"/>
    <w:rsid w:val="00BF4129"/>
    <w:rsid w:val="00BF4132"/>
    <w:rsid w:val="00BF41A2"/>
    <w:rsid w:val="00BF4294"/>
    <w:rsid w:val="00BF43D9"/>
    <w:rsid w:val="00BF4452"/>
    <w:rsid w:val="00BF450A"/>
    <w:rsid w:val="00BF45F4"/>
    <w:rsid w:val="00BF467B"/>
    <w:rsid w:val="00BF4729"/>
    <w:rsid w:val="00BF4876"/>
    <w:rsid w:val="00BF4A2A"/>
    <w:rsid w:val="00BF4A94"/>
    <w:rsid w:val="00BF4B0E"/>
    <w:rsid w:val="00BF4B5A"/>
    <w:rsid w:val="00BF4C81"/>
    <w:rsid w:val="00BF4D12"/>
    <w:rsid w:val="00BF4D32"/>
    <w:rsid w:val="00BF5230"/>
    <w:rsid w:val="00BF524A"/>
    <w:rsid w:val="00BF5294"/>
    <w:rsid w:val="00BF52F3"/>
    <w:rsid w:val="00BF5397"/>
    <w:rsid w:val="00BF5454"/>
    <w:rsid w:val="00BF5471"/>
    <w:rsid w:val="00BF547D"/>
    <w:rsid w:val="00BF5496"/>
    <w:rsid w:val="00BF5513"/>
    <w:rsid w:val="00BF5551"/>
    <w:rsid w:val="00BF556B"/>
    <w:rsid w:val="00BF569B"/>
    <w:rsid w:val="00BF56CF"/>
    <w:rsid w:val="00BF56E6"/>
    <w:rsid w:val="00BF578E"/>
    <w:rsid w:val="00BF584E"/>
    <w:rsid w:val="00BF5857"/>
    <w:rsid w:val="00BF592E"/>
    <w:rsid w:val="00BF5A5D"/>
    <w:rsid w:val="00BF5A94"/>
    <w:rsid w:val="00BF5B45"/>
    <w:rsid w:val="00BF5B62"/>
    <w:rsid w:val="00BF5BD1"/>
    <w:rsid w:val="00BF5C91"/>
    <w:rsid w:val="00BF5D0B"/>
    <w:rsid w:val="00BF5EF0"/>
    <w:rsid w:val="00BF5F29"/>
    <w:rsid w:val="00BF5F6F"/>
    <w:rsid w:val="00BF5FCD"/>
    <w:rsid w:val="00BF60A4"/>
    <w:rsid w:val="00BF60B3"/>
    <w:rsid w:val="00BF60CC"/>
    <w:rsid w:val="00BF6189"/>
    <w:rsid w:val="00BF61B0"/>
    <w:rsid w:val="00BF61C9"/>
    <w:rsid w:val="00BF6265"/>
    <w:rsid w:val="00BF6278"/>
    <w:rsid w:val="00BF62DA"/>
    <w:rsid w:val="00BF6332"/>
    <w:rsid w:val="00BF634B"/>
    <w:rsid w:val="00BF6372"/>
    <w:rsid w:val="00BF63A5"/>
    <w:rsid w:val="00BF63D0"/>
    <w:rsid w:val="00BF6485"/>
    <w:rsid w:val="00BF6530"/>
    <w:rsid w:val="00BF6557"/>
    <w:rsid w:val="00BF6698"/>
    <w:rsid w:val="00BF66AD"/>
    <w:rsid w:val="00BF6724"/>
    <w:rsid w:val="00BF675D"/>
    <w:rsid w:val="00BF676E"/>
    <w:rsid w:val="00BF67B7"/>
    <w:rsid w:val="00BF6814"/>
    <w:rsid w:val="00BF6922"/>
    <w:rsid w:val="00BF69A3"/>
    <w:rsid w:val="00BF69AD"/>
    <w:rsid w:val="00BF69BF"/>
    <w:rsid w:val="00BF69D6"/>
    <w:rsid w:val="00BF6A63"/>
    <w:rsid w:val="00BF6C4A"/>
    <w:rsid w:val="00BF6CAA"/>
    <w:rsid w:val="00BF6D1F"/>
    <w:rsid w:val="00BF6DBC"/>
    <w:rsid w:val="00BF6E2A"/>
    <w:rsid w:val="00BF6F41"/>
    <w:rsid w:val="00BF71A5"/>
    <w:rsid w:val="00BF71E9"/>
    <w:rsid w:val="00BF7221"/>
    <w:rsid w:val="00BF730C"/>
    <w:rsid w:val="00BF733C"/>
    <w:rsid w:val="00BF73BC"/>
    <w:rsid w:val="00BF754C"/>
    <w:rsid w:val="00BF757E"/>
    <w:rsid w:val="00BF75A0"/>
    <w:rsid w:val="00BF7872"/>
    <w:rsid w:val="00BF78A8"/>
    <w:rsid w:val="00BF79B8"/>
    <w:rsid w:val="00BF79F0"/>
    <w:rsid w:val="00BF7A17"/>
    <w:rsid w:val="00BF7A3A"/>
    <w:rsid w:val="00BF7A8D"/>
    <w:rsid w:val="00BF7BF3"/>
    <w:rsid w:val="00BF7D09"/>
    <w:rsid w:val="00BF7D65"/>
    <w:rsid w:val="00BF7DA2"/>
    <w:rsid w:val="00BF7E2A"/>
    <w:rsid w:val="00BF7E33"/>
    <w:rsid w:val="00C00061"/>
    <w:rsid w:val="00C000A5"/>
    <w:rsid w:val="00C00242"/>
    <w:rsid w:val="00C0029E"/>
    <w:rsid w:val="00C003C6"/>
    <w:rsid w:val="00C004DF"/>
    <w:rsid w:val="00C004F1"/>
    <w:rsid w:val="00C00596"/>
    <w:rsid w:val="00C00662"/>
    <w:rsid w:val="00C00687"/>
    <w:rsid w:val="00C0068C"/>
    <w:rsid w:val="00C00811"/>
    <w:rsid w:val="00C0082E"/>
    <w:rsid w:val="00C00847"/>
    <w:rsid w:val="00C00940"/>
    <w:rsid w:val="00C00971"/>
    <w:rsid w:val="00C009E7"/>
    <w:rsid w:val="00C00A0C"/>
    <w:rsid w:val="00C00A21"/>
    <w:rsid w:val="00C00A60"/>
    <w:rsid w:val="00C00D42"/>
    <w:rsid w:val="00C00DEA"/>
    <w:rsid w:val="00C00F4C"/>
    <w:rsid w:val="00C00F80"/>
    <w:rsid w:val="00C00F8B"/>
    <w:rsid w:val="00C0106C"/>
    <w:rsid w:val="00C0115A"/>
    <w:rsid w:val="00C011C7"/>
    <w:rsid w:val="00C0129E"/>
    <w:rsid w:val="00C013E3"/>
    <w:rsid w:val="00C01552"/>
    <w:rsid w:val="00C015DE"/>
    <w:rsid w:val="00C015FA"/>
    <w:rsid w:val="00C01615"/>
    <w:rsid w:val="00C01751"/>
    <w:rsid w:val="00C01753"/>
    <w:rsid w:val="00C0179B"/>
    <w:rsid w:val="00C017B1"/>
    <w:rsid w:val="00C017DD"/>
    <w:rsid w:val="00C01810"/>
    <w:rsid w:val="00C01871"/>
    <w:rsid w:val="00C018D4"/>
    <w:rsid w:val="00C0198A"/>
    <w:rsid w:val="00C01A58"/>
    <w:rsid w:val="00C01C8B"/>
    <w:rsid w:val="00C01CEC"/>
    <w:rsid w:val="00C01DAC"/>
    <w:rsid w:val="00C01DB5"/>
    <w:rsid w:val="00C01DDC"/>
    <w:rsid w:val="00C01DF4"/>
    <w:rsid w:val="00C01E77"/>
    <w:rsid w:val="00C01EA5"/>
    <w:rsid w:val="00C01F28"/>
    <w:rsid w:val="00C01F66"/>
    <w:rsid w:val="00C01FA5"/>
    <w:rsid w:val="00C02045"/>
    <w:rsid w:val="00C020C7"/>
    <w:rsid w:val="00C0212F"/>
    <w:rsid w:val="00C021D0"/>
    <w:rsid w:val="00C022DC"/>
    <w:rsid w:val="00C022FE"/>
    <w:rsid w:val="00C0232E"/>
    <w:rsid w:val="00C023F0"/>
    <w:rsid w:val="00C0243F"/>
    <w:rsid w:val="00C024DF"/>
    <w:rsid w:val="00C02517"/>
    <w:rsid w:val="00C02588"/>
    <w:rsid w:val="00C026D8"/>
    <w:rsid w:val="00C02715"/>
    <w:rsid w:val="00C027DA"/>
    <w:rsid w:val="00C02805"/>
    <w:rsid w:val="00C02814"/>
    <w:rsid w:val="00C02894"/>
    <w:rsid w:val="00C028E0"/>
    <w:rsid w:val="00C029F6"/>
    <w:rsid w:val="00C02ADC"/>
    <w:rsid w:val="00C02B24"/>
    <w:rsid w:val="00C02D25"/>
    <w:rsid w:val="00C02D68"/>
    <w:rsid w:val="00C02DA3"/>
    <w:rsid w:val="00C02F3E"/>
    <w:rsid w:val="00C02F57"/>
    <w:rsid w:val="00C02FD3"/>
    <w:rsid w:val="00C0303E"/>
    <w:rsid w:val="00C030D5"/>
    <w:rsid w:val="00C03138"/>
    <w:rsid w:val="00C0314B"/>
    <w:rsid w:val="00C031F2"/>
    <w:rsid w:val="00C032A2"/>
    <w:rsid w:val="00C032DF"/>
    <w:rsid w:val="00C03340"/>
    <w:rsid w:val="00C0334F"/>
    <w:rsid w:val="00C0336C"/>
    <w:rsid w:val="00C03372"/>
    <w:rsid w:val="00C03414"/>
    <w:rsid w:val="00C03613"/>
    <w:rsid w:val="00C03634"/>
    <w:rsid w:val="00C03658"/>
    <w:rsid w:val="00C03664"/>
    <w:rsid w:val="00C036C5"/>
    <w:rsid w:val="00C037F3"/>
    <w:rsid w:val="00C0386C"/>
    <w:rsid w:val="00C03880"/>
    <w:rsid w:val="00C0389D"/>
    <w:rsid w:val="00C038D1"/>
    <w:rsid w:val="00C0394C"/>
    <w:rsid w:val="00C03A3B"/>
    <w:rsid w:val="00C03A97"/>
    <w:rsid w:val="00C03AF9"/>
    <w:rsid w:val="00C03C5E"/>
    <w:rsid w:val="00C03D7A"/>
    <w:rsid w:val="00C03D89"/>
    <w:rsid w:val="00C03E0D"/>
    <w:rsid w:val="00C03E22"/>
    <w:rsid w:val="00C03F00"/>
    <w:rsid w:val="00C03F5A"/>
    <w:rsid w:val="00C03FBD"/>
    <w:rsid w:val="00C03FEA"/>
    <w:rsid w:val="00C03FFD"/>
    <w:rsid w:val="00C04091"/>
    <w:rsid w:val="00C0413B"/>
    <w:rsid w:val="00C041DB"/>
    <w:rsid w:val="00C04296"/>
    <w:rsid w:val="00C0429B"/>
    <w:rsid w:val="00C04307"/>
    <w:rsid w:val="00C0437A"/>
    <w:rsid w:val="00C04413"/>
    <w:rsid w:val="00C04419"/>
    <w:rsid w:val="00C0447A"/>
    <w:rsid w:val="00C044E3"/>
    <w:rsid w:val="00C0458A"/>
    <w:rsid w:val="00C0463A"/>
    <w:rsid w:val="00C0466B"/>
    <w:rsid w:val="00C0466D"/>
    <w:rsid w:val="00C04689"/>
    <w:rsid w:val="00C046E7"/>
    <w:rsid w:val="00C04832"/>
    <w:rsid w:val="00C048F3"/>
    <w:rsid w:val="00C04A52"/>
    <w:rsid w:val="00C04AAC"/>
    <w:rsid w:val="00C04AD2"/>
    <w:rsid w:val="00C04AFA"/>
    <w:rsid w:val="00C04BA0"/>
    <w:rsid w:val="00C04BD1"/>
    <w:rsid w:val="00C04C00"/>
    <w:rsid w:val="00C04C8A"/>
    <w:rsid w:val="00C04D19"/>
    <w:rsid w:val="00C04D73"/>
    <w:rsid w:val="00C04D7E"/>
    <w:rsid w:val="00C04DAE"/>
    <w:rsid w:val="00C04E2B"/>
    <w:rsid w:val="00C04E41"/>
    <w:rsid w:val="00C04E80"/>
    <w:rsid w:val="00C04E8D"/>
    <w:rsid w:val="00C04F3C"/>
    <w:rsid w:val="00C04FAB"/>
    <w:rsid w:val="00C05075"/>
    <w:rsid w:val="00C0507E"/>
    <w:rsid w:val="00C050B0"/>
    <w:rsid w:val="00C05152"/>
    <w:rsid w:val="00C051C2"/>
    <w:rsid w:val="00C0525D"/>
    <w:rsid w:val="00C05326"/>
    <w:rsid w:val="00C05368"/>
    <w:rsid w:val="00C0546D"/>
    <w:rsid w:val="00C05475"/>
    <w:rsid w:val="00C0548D"/>
    <w:rsid w:val="00C05506"/>
    <w:rsid w:val="00C0556D"/>
    <w:rsid w:val="00C05603"/>
    <w:rsid w:val="00C05672"/>
    <w:rsid w:val="00C0567A"/>
    <w:rsid w:val="00C057B3"/>
    <w:rsid w:val="00C057D1"/>
    <w:rsid w:val="00C0583B"/>
    <w:rsid w:val="00C0588D"/>
    <w:rsid w:val="00C058A0"/>
    <w:rsid w:val="00C05906"/>
    <w:rsid w:val="00C059BC"/>
    <w:rsid w:val="00C05A30"/>
    <w:rsid w:val="00C05A4A"/>
    <w:rsid w:val="00C05CCF"/>
    <w:rsid w:val="00C05D42"/>
    <w:rsid w:val="00C0608E"/>
    <w:rsid w:val="00C0616B"/>
    <w:rsid w:val="00C0619E"/>
    <w:rsid w:val="00C06323"/>
    <w:rsid w:val="00C0638B"/>
    <w:rsid w:val="00C0646A"/>
    <w:rsid w:val="00C0657F"/>
    <w:rsid w:val="00C065AD"/>
    <w:rsid w:val="00C0664C"/>
    <w:rsid w:val="00C066B0"/>
    <w:rsid w:val="00C066B4"/>
    <w:rsid w:val="00C0676C"/>
    <w:rsid w:val="00C06793"/>
    <w:rsid w:val="00C06794"/>
    <w:rsid w:val="00C067A1"/>
    <w:rsid w:val="00C067D0"/>
    <w:rsid w:val="00C068EF"/>
    <w:rsid w:val="00C068FF"/>
    <w:rsid w:val="00C06951"/>
    <w:rsid w:val="00C06A3B"/>
    <w:rsid w:val="00C06A68"/>
    <w:rsid w:val="00C06AB1"/>
    <w:rsid w:val="00C06BDB"/>
    <w:rsid w:val="00C06C5F"/>
    <w:rsid w:val="00C06CB9"/>
    <w:rsid w:val="00C06EEA"/>
    <w:rsid w:val="00C06F16"/>
    <w:rsid w:val="00C06F32"/>
    <w:rsid w:val="00C06FB1"/>
    <w:rsid w:val="00C07024"/>
    <w:rsid w:val="00C0708C"/>
    <w:rsid w:val="00C07096"/>
    <w:rsid w:val="00C070D6"/>
    <w:rsid w:val="00C07138"/>
    <w:rsid w:val="00C07172"/>
    <w:rsid w:val="00C071D2"/>
    <w:rsid w:val="00C071E5"/>
    <w:rsid w:val="00C072C3"/>
    <w:rsid w:val="00C07318"/>
    <w:rsid w:val="00C073F3"/>
    <w:rsid w:val="00C0742D"/>
    <w:rsid w:val="00C07445"/>
    <w:rsid w:val="00C074C3"/>
    <w:rsid w:val="00C07547"/>
    <w:rsid w:val="00C0754A"/>
    <w:rsid w:val="00C0755D"/>
    <w:rsid w:val="00C075BF"/>
    <w:rsid w:val="00C07614"/>
    <w:rsid w:val="00C07616"/>
    <w:rsid w:val="00C0772F"/>
    <w:rsid w:val="00C07776"/>
    <w:rsid w:val="00C07933"/>
    <w:rsid w:val="00C07946"/>
    <w:rsid w:val="00C07947"/>
    <w:rsid w:val="00C07A48"/>
    <w:rsid w:val="00C07A90"/>
    <w:rsid w:val="00C07A9F"/>
    <w:rsid w:val="00C07AA6"/>
    <w:rsid w:val="00C07B62"/>
    <w:rsid w:val="00C07B69"/>
    <w:rsid w:val="00C07BBB"/>
    <w:rsid w:val="00C07BD8"/>
    <w:rsid w:val="00C07BFD"/>
    <w:rsid w:val="00C07C85"/>
    <w:rsid w:val="00C07CA0"/>
    <w:rsid w:val="00C07E37"/>
    <w:rsid w:val="00C07F93"/>
    <w:rsid w:val="00C07FB6"/>
    <w:rsid w:val="00C100C5"/>
    <w:rsid w:val="00C100D3"/>
    <w:rsid w:val="00C1025B"/>
    <w:rsid w:val="00C103A6"/>
    <w:rsid w:val="00C103C4"/>
    <w:rsid w:val="00C103C9"/>
    <w:rsid w:val="00C103E3"/>
    <w:rsid w:val="00C10493"/>
    <w:rsid w:val="00C10593"/>
    <w:rsid w:val="00C106CC"/>
    <w:rsid w:val="00C1073B"/>
    <w:rsid w:val="00C107D0"/>
    <w:rsid w:val="00C1089E"/>
    <w:rsid w:val="00C10A9C"/>
    <w:rsid w:val="00C10B4B"/>
    <w:rsid w:val="00C10BF9"/>
    <w:rsid w:val="00C10CF4"/>
    <w:rsid w:val="00C10D0D"/>
    <w:rsid w:val="00C10E97"/>
    <w:rsid w:val="00C10F4F"/>
    <w:rsid w:val="00C10FBF"/>
    <w:rsid w:val="00C11038"/>
    <w:rsid w:val="00C1104B"/>
    <w:rsid w:val="00C11142"/>
    <w:rsid w:val="00C111CB"/>
    <w:rsid w:val="00C111EB"/>
    <w:rsid w:val="00C11331"/>
    <w:rsid w:val="00C1137E"/>
    <w:rsid w:val="00C11388"/>
    <w:rsid w:val="00C11389"/>
    <w:rsid w:val="00C113BB"/>
    <w:rsid w:val="00C1162C"/>
    <w:rsid w:val="00C116D8"/>
    <w:rsid w:val="00C116EB"/>
    <w:rsid w:val="00C117AE"/>
    <w:rsid w:val="00C117D7"/>
    <w:rsid w:val="00C11961"/>
    <w:rsid w:val="00C11AE1"/>
    <w:rsid w:val="00C11BA8"/>
    <w:rsid w:val="00C11C22"/>
    <w:rsid w:val="00C11CDC"/>
    <w:rsid w:val="00C11EF6"/>
    <w:rsid w:val="00C11F43"/>
    <w:rsid w:val="00C12073"/>
    <w:rsid w:val="00C120C9"/>
    <w:rsid w:val="00C12247"/>
    <w:rsid w:val="00C12532"/>
    <w:rsid w:val="00C1255F"/>
    <w:rsid w:val="00C125B2"/>
    <w:rsid w:val="00C125D0"/>
    <w:rsid w:val="00C128DB"/>
    <w:rsid w:val="00C12924"/>
    <w:rsid w:val="00C1294B"/>
    <w:rsid w:val="00C1297C"/>
    <w:rsid w:val="00C129A3"/>
    <w:rsid w:val="00C12AA2"/>
    <w:rsid w:val="00C12AA4"/>
    <w:rsid w:val="00C12B4E"/>
    <w:rsid w:val="00C12B58"/>
    <w:rsid w:val="00C12B9C"/>
    <w:rsid w:val="00C12C09"/>
    <w:rsid w:val="00C12C0E"/>
    <w:rsid w:val="00C12CA8"/>
    <w:rsid w:val="00C12D52"/>
    <w:rsid w:val="00C12EAD"/>
    <w:rsid w:val="00C13118"/>
    <w:rsid w:val="00C13131"/>
    <w:rsid w:val="00C13447"/>
    <w:rsid w:val="00C1352B"/>
    <w:rsid w:val="00C1353F"/>
    <w:rsid w:val="00C13554"/>
    <w:rsid w:val="00C13576"/>
    <w:rsid w:val="00C13611"/>
    <w:rsid w:val="00C13626"/>
    <w:rsid w:val="00C13644"/>
    <w:rsid w:val="00C138C8"/>
    <w:rsid w:val="00C138CD"/>
    <w:rsid w:val="00C138F8"/>
    <w:rsid w:val="00C13953"/>
    <w:rsid w:val="00C13978"/>
    <w:rsid w:val="00C13995"/>
    <w:rsid w:val="00C139B1"/>
    <w:rsid w:val="00C13A11"/>
    <w:rsid w:val="00C13AAA"/>
    <w:rsid w:val="00C13ABE"/>
    <w:rsid w:val="00C13B9B"/>
    <w:rsid w:val="00C13BA0"/>
    <w:rsid w:val="00C13BAC"/>
    <w:rsid w:val="00C13E05"/>
    <w:rsid w:val="00C13EE2"/>
    <w:rsid w:val="00C13F35"/>
    <w:rsid w:val="00C14081"/>
    <w:rsid w:val="00C14138"/>
    <w:rsid w:val="00C14139"/>
    <w:rsid w:val="00C1421F"/>
    <w:rsid w:val="00C1422A"/>
    <w:rsid w:val="00C142CC"/>
    <w:rsid w:val="00C142FB"/>
    <w:rsid w:val="00C14323"/>
    <w:rsid w:val="00C143C3"/>
    <w:rsid w:val="00C14553"/>
    <w:rsid w:val="00C1456B"/>
    <w:rsid w:val="00C1458F"/>
    <w:rsid w:val="00C14702"/>
    <w:rsid w:val="00C147AC"/>
    <w:rsid w:val="00C147D8"/>
    <w:rsid w:val="00C148D2"/>
    <w:rsid w:val="00C1490C"/>
    <w:rsid w:val="00C149D1"/>
    <w:rsid w:val="00C149FA"/>
    <w:rsid w:val="00C14A5E"/>
    <w:rsid w:val="00C14D92"/>
    <w:rsid w:val="00C14DC9"/>
    <w:rsid w:val="00C14FB3"/>
    <w:rsid w:val="00C151B7"/>
    <w:rsid w:val="00C151F4"/>
    <w:rsid w:val="00C15218"/>
    <w:rsid w:val="00C153D5"/>
    <w:rsid w:val="00C1540C"/>
    <w:rsid w:val="00C154D7"/>
    <w:rsid w:val="00C15582"/>
    <w:rsid w:val="00C155C2"/>
    <w:rsid w:val="00C155E9"/>
    <w:rsid w:val="00C15634"/>
    <w:rsid w:val="00C156D2"/>
    <w:rsid w:val="00C158BA"/>
    <w:rsid w:val="00C158C5"/>
    <w:rsid w:val="00C1590C"/>
    <w:rsid w:val="00C15A6A"/>
    <w:rsid w:val="00C15BF8"/>
    <w:rsid w:val="00C15C39"/>
    <w:rsid w:val="00C15C4E"/>
    <w:rsid w:val="00C15E29"/>
    <w:rsid w:val="00C1601E"/>
    <w:rsid w:val="00C16129"/>
    <w:rsid w:val="00C1629B"/>
    <w:rsid w:val="00C16421"/>
    <w:rsid w:val="00C16486"/>
    <w:rsid w:val="00C164C0"/>
    <w:rsid w:val="00C1653A"/>
    <w:rsid w:val="00C16603"/>
    <w:rsid w:val="00C1668D"/>
    <w:rsid w:val="00C1669B"/>
    <w:rsid w:val="00C16717"/>
    <w:rsid w:val="00C168F1"/>
    <w:rsid w:val="00C169A2"/>
    <w:rsid w:val="00C169A4"/>
    <w:rsid w:val="00C16A8A"/>
    <w:rsid w:val="00C16B0B"/>
    <w:rsid w:val="00C16BD1"/>
    <w:rsid w:val="00C16BFB"/>
    <w:rsid w:val="00C16C4F"/>
    <w:rsid w:val="00C16CDD"/>
    <w:rsid w:val="00C16D7B"/>
    <w:rsid w:val="00C16DB9"/>
    <w:rsid w:val="00C16E45"/>
    <w:rsid w:val="00C16EBA"/>
    <w:rsid w:val="00C16EC2"/>
    <w:rsid w:val="00C16EDF"/>
    <w:rsid w:val="00C16F8C"/>
    <w:rsid w:val="00C17008"/>
    <w:rsid w:val="00C1702B"/>
    <w:rsid w:val="00C170C2"/>
    <w:rsid w:val="00C17117"/>
    <w:rsid w:val="00C171D6"/>
    <w:rsid w:val="00C1739E"/>
    <w:rsid w:val="00C173B7"/>
    <w:rsid w:val="00C17522"/>
    <w:rsid w:val="00C175A5"/>
    <w:rsid w:val="00C1760E"/>
    <w:rsid w:val="00C177CC"/>
    <w:rsid w:val="00C17809"/>
    <w:rsid w:val="00C178A5"/>
    <w:rsid w:val="00C1794B"/>
    <w:rsid w:val="00C1798C"/>
    <w:rsid w:val="00C17A30"/>
    <w:rsid w:val="00C17A46"/>
    <w:rsid w:val="00C17A54"/>
    <w:rsid w:val="00C17B1A"/>
    <w:rsid w:val="00C17C1A"/>
    <w:rsid w:val="00C17D68"/>
    <w:rsid w:val="00C17DA0"/>
    <w:rsid w:val="00C17DA8"/>
    <w:rsid w:val="00C17DBD"/>
    <w:rsid w:val="00C17DEF"/>
    <w:rsid w:val="00C17DFD"/>
    <w:rsid w:val="00C17E25"/>
    <w:rsid w:val="00C17EB9"/>
    <w:rsid w:val="00C17EF2"/>
    <w:rsid w:val="00C17F61"/>
    <w:rsid w:val="00C17FF5"/>
    <w:rsid w:val="00C20043"/>
    <w:rsid w:val="00C20061"/>
    <w:rsid w:val="00C2010F"/>
    <w:rsid w:val="00C2011B"/>
    <w:rsid w:val="00C2012D"/>
    <w:rsid w:val="00C20362"/>
    <w:rsid w:val="00C20479"/>
    <w:rsid w:val="00C204D5"/>
    <w:rsid w:val="00C204F2"/>
    <w:rsid w:val="00C205D9"/>
    <w:rsid w:val="00C205E5"/>
    <w:rsid w:val="00C206AF"/>
    <w:rsid w:val="00C2075C"/>
    <w:rsid w:val="00C20821"/>
    <w:rsid w:val="00C20825"/>
    <w:rsid w:val="00C208B5"/>
    <w:rsid w:val="00C2090A"/>
    <w:rsid w:val="00C209E3"/>
    <w:rsid w:val="00C209F0"/>
    <w:rsid w:val="00C209F3"/>
    <w:rsid w:val="00C20A0E"/>
    <w:rsid w:val="00C20AE4"/>
    <w:rsid w:val="00C20BB8"/>
    <w:rsid w:val="00C20DD8"/>
    <w:rsid w:val="00C20E38"/>
    <w:rsid w:val="00C2109D"/>
    <w:rsid w:val="00C21276"/>
    <w:rsid w:val="00C21291"/>
    <w:rsid w:val="00C21466"/>
    <w:rsid w:val="00C21498"/>
    <w:rsid w:val="00C21512"/>
    <w:rsid w:val="00C21605"/>
    <w:rsid w:val="00C21705"/>
    <w:rsid w:val="00C217EA"/>
    <w:rsid w:val="00C21845"/>
    <w:rsid w:val="00C218C7"/>
    <w:rsid w:val="00C219A1"/>
    <w:rsid w:val="00C219F0"/>
    <w:rsid w:val="00C21A25"/>
    <w:rsid w:val="00C21AE4"/>
    <w:rsid w:val="00C21B21"/>
    <w:rsid w:val="00C21B23"/>
    <w:rsid w:val="00C21B7B"/>
    <w:rsid w:val="00C21CD8"/>
    <w:rsid w:val="00C21D92"/>
    <w:rsid w:val="00C21DD7"/>
    <w:rsid w:val="00C21DE3"/>
    <w:rsid w:val="00C21E1B"/>
    <w:rsid w:val="00C21F20"/>
    <w:rsid w:val="00C21F76"/>
    <w:rsid w:val="00C21FD2"/>
    <w:rsid w:val="00C21FDC"/>
    <w:rsid w:val="00C21FE2"/>
    <w:rsid w:val="00C2219A"/>
    <w:rsid w:val="00C223C4"/>
    <w:rsid w:val="00C2243C"/>
    <w:rsid w:val="00C22482"/>
    <w:rsid w:val="00C22484"/>
    <w:rsid w:val="00C22591"/>
    <w:rsid w:val="00C225BD"/>
    <w:rsid w:val="00C22601"/>
    <w:rsid w:val="00C22636"/>
    <w:rsid w:val="00C226ED"/>
    <w:rsid w:val="00C228F4"/>
    <w:rsid w:val="00C228F7"/>
    <w:rsid w:val="00C22A74"/>
    <w:rsid w:val="00C22B2F"/>
    <w:rsid w:val="00C22C35"/>
    <w:rsid w:val="00C22C8D"/>
    <w:rsid w:val="00C22CEB"/>
    <w:rsid w:val="00C22DB6"/>
    <w:rsid w:val="00C22E43"/>
    <w:rsid w:val="00C22EC1"/>
    <w:rsid w:val="00C22ED9"/>
    <w:rsid w:val="00C22F88"/>
    <w:rsid w:val="00C2302D"/>
    <w:rsid w:val="00C2318B"/>
    <w:rsid w:val="00C231B6"/>
    <w:rsid w:val="00C23206"/>
    <w:rsid w:val="00C232C2"/>
    <w:rsid w:val="00C232DD"/>
    <w:rsid w:val="00C2338B"/>
    <w:rsid w:val="00C2342C"/>
    <w:rsid w:val="00C234B3"/>
    <w:rsid w:val="00C236C5"/>
    <w:rsid w:val="00C238E7"/>
    <w:rsid w:val="00C2395A"/>
    <w:rsid w:val="00C23992"/>
    <w:rsid w:val="00C239C2"/>
    <w:rsid w:val="00C23A6E"/>
    <w:rsid w:val="00C23A8B"/>
    <w:rsid w:val="00C23AC7"/>
    <w:rsid w:val="00C23B19"/>
    <w:rsid w:val="00C23E1B"/>
    <w:rsid w:val="00C23E4A"/>
    <w:rsid w:val="00C23FA1"/>
    <w:rsid w:val="00C24065"/>
    <w:rsid w:val="00C24078"/>
    <w:rsid w:val="00C2419C"/>
    <w:rsid w:val="00C242A0"/>
    <w:rsid w:val="00C2439C"/>
    <w:rsid w:val="00C2442B"/>
    <w:rsid w:val="00C24441"/>
    <w:rsid w:val="00C24474"/>
    <w:rsid w:val="00C244A0"/>
    <w:rsid w:val="00C244AA"/>
    <w:rsid w:val="00C244C9"/>
    <w:rsid w:val="00C244CC"/>
    <w:rsid w:val="00C244DF"/>
    <w:rsid w:val="00C24655"/>
    <w:rsid w:val="00C24670"/>
    <w:rsid w:val="00C2474C"/>
    <w:rsid w:val="00C247CA"/>
    <w:rsid w:val="00C247F1"/>
    <w:rsid w:val="00C2487A"/>
    <w:rsid w:val="00C248E4"/>
    <w:rsid w:val="00C249A6"/>
    <w:rsid w:val="00C24A26"/>
    <w:rsid w:val="00C24A63"/>
    <w:rsid w:val="00C24B81"/>
    <w:rsid w:val="00C24BA2"/>
    <w:rsid w:val="00C24BD5"/>
    <w:rsid w:val="00C24D72"/>
    <w:rsid w:val="00C24D77"/>
    <w:rsid w:val="00C24E1A"/>
    <w:rsid w:val="00C24E5A"/>
    <w:rsid w:val="00C24FF5"/>
    <w:rsid w:val="00C2502C"/>
    <w:rsid w:val="00C2502E"/>
    <w:rsid w:val="00C2507A"/>
    <w:rsid w:val="00C251AA"/>
    <w:rsid w:val="00C252BF"/>
    <w:rsid w:val="00C25357"/>
    <w:rsid w:val="00C2538B"/>
    <w:rsid w:val="00C253EC"/>
    <w:rsid w:val="00C25410"/>
    <w:rsid w:val="00C25414"/>
    <w:rsid w:val="00C254A8"/>
    <w:rsid w:val="00C25578"/>
    <w:rsid w:val="00C256B5"/>
    <w:rsid w:val="00C256C0"/>
    <w:rsid w:val="00C25744"/>
    <w:rsid w:val="00C25796"/>
    <w:rsid w:val="00C25845"/>
    <w:rsid w:val="00C25888"/>
    <w:rsid w:val="00C258E7"/>
    <w:rsid w:val="00C25991"/>
    <w:rsid w:val="00C259B4"/>
    <w:rsid w:val="00C259EA"/>
    <w:rsid w:val="00C25AAD"/>
    <w:rsid w:val="00C25AD9"/>
    <w:rsid w:val="00C25B29"/>
    <w:rsid w:val="00C25B77"/>
    <w:rsid w:val="00C25C17"/>
    <w:rsid w:val="00C25C50"/>
    <w:rsid w:val="00C25EB8"/>
    <w:rsid w:val="00C25EC7"/>
    <w:rsid w:val="00C25EC8"/>
    <w:rsid w:val="00C25F4A"/>
    <w:rsid w:val="00C25F8F"/>
    <w:rsid w:val="00C2603A"/>
    <w:rsid w:val="00C26274"/>
    <w:rsid w:val="00C262AB"/>
    <w:rsid w:val="00C2631C"/>
    <w:rsid w:val="00C26358"/>
    <w:rsid w:val="00C263CF"/>
    <w:rsid w:val="00C263F7"/>
    <w:rsid w:val="00C26401"/>
    <w:rsid w:val="00C2647F"/>
    <w:rsid w:val="00C26566"/>
    <w:rsid w:val="00C266AD"/>
    <w:rsid w:val="00C26754"/>
    <w:rsid w:val="00C267DA"/>
    <w:rsid w:val="00C267F5"/>
    <w:rsid w:val="00C2680C"/>
    <w:rsid w:val="00C268C5"/>
    <w:rsid w:val="00C268ED"/>
    <w:rsid w:val="00C2698D"/>
    <w:rsid w:val="00C269DD"/>
    <w:rsid w:val="00C26AA8"/>
    <w:rsid w:val="00C26D4F"/>
    <w:rsid w:val="00C26D97"/>
    <w:rsid w:val="00C26E1E"/>
    <w:rsid w:val="00C26E84"/>
    <w:rsid w:val="00C26EEB"/>
    <w:rsid w:val="00C26EEC"/>
    <w:rsid w:val="00C26F3D"/>
    <w:rsid w:val="00C26F49"/>
    <w:rsid w:val="00C27156"/>
    <w:rsid w:val="00C2737C"/>
    <w:rsid w:val="00C2738E"/>
    <w:rsid w:val="00C274CA"/>
    <w:rsid w:val="00C274D1"/>
    <w:rsid w:val="00C275EE"/>
    <w:rsid w:val="00C275F5"/>
    <w:rsid w:val="00C275F7"/>
    <w:rsid w:val="00C27639"/>
    <w:rsid w:val="00C27655"/>
    <w:rsid w:val="00C27750"/>
    <w:rsid w:val="00C2778A"/>
    <w:rsid w:val="00C27836"/>
    <w:rsid w:val="00C27884"/>
    <w:rsid w:val="00C2789F"/>
    <w:rsid w:val="00C27909"/>
    <w:rsid w:val="00C2792C"/>
    <w:rsid w:val="00C27937"/>
    <w:rsid w:val="00C27A37"/>
    <w:rsid w:val="00C27BC7"/>
    <w:rsid w:val="00C27C83"/>
    <w:rsid w:val="00C27CD4"/>
    <w:rsid w:val="00C27D81"/>
    <w:rsid w:val="00C301A1"/>
    <w:rsid w:val="00C301E1"/>
    <w:rsid w:val="00C301ED"/>
    <w:rsid w:val="00C30249"/>
    <w:rsid w:val="00C3033D"/>
    <w:rsid w:val="00C30367"/>
    <w:rsid w:val="00C30400"/>
    <w:rsid w:val="00C30432"/>
    <w:rsid w:val="00C30508"/>
    <w:rsid w:val="00C305BD"/>
    <w:rsid w:val="00C306A0"/>
    <w:rsid w:val="00C306AE"/>
    <w:rsid w:val="00C307A0"/>
    <w:rsid w:val="00C307D1"/>
    <w:rsid w:val="00C3089E"/>
    <w:rsid w:val="00C308F0"/>
    <w:rsid w:val="00C30945"/>
    <w:rsid w:val="00C3094B"/>
    <w:rsid w:val="00C30979"/>
    <w:rsid w:val="00C309AC"/>
    <w:rsid w:val="00C30A46"/>
    <w:rsid w:val="00C30B3D"/>
    <w:rsid w:val="00C30B4D"/>
    <w:rsid w:val="00C30C56"/>
    <w:rsid w:val="00C30ECA"/>
    <w:rsid w:val="00C31084"/>
    <w:rsid w:val="00C311DE"/>
    <w:rsid w:val="00C311EF"/>
    <w:rsid w:val="00C3120E"/>
    <w:rsid w:val="00C31271"/>
    <w:rsid w:val="00C31286"/>
    <w:rsid w:val="00C312A5"/>
    <w:rsid w:val="00C312A9"/>
    <w:rsid w:val="00C31335"/>
    <w:rsid w:val="00C31349"/>
    <w:rsid w:val="00C31377"/>
    <w:rsid w:val="00C31417"/>
    <w:rsid w:val="00C3152C"/>
    <w:rsid w:val="00C31580"/>
    <w:rsid w:val="00C315D1"/>
    <w:rsid w:val="00C31626"/>
    <w:rsid w:val="00C31647"/>
    <w:rsid w:val="00C3164A"/>
    <w:rsid w:val="00C316C2"/>
    <w:rsid w:val="00C31739"/>
    <w:rsid w:val="00C31874"/>
    <w:rsid w:val="00C319F5"/>
    <w:rsid w:val="00C31B18"/>
    <w:rsid w:val="00C31B93"/>
    <w:rsid w:val="00C31BF8"/>
    <w:rsid w:val="00C31CC7"/>
    <w:rsid w:val="00C31E8A"/>
    <w:rsid w:val="00C31EA3"/>
    <w:rsid w:val="00C31EE9"/>
    <w:rsid w:val="00C31FC2"/>
    <w:rsid w:val="00C320EF"/>
    <w:rsid w:val="00C32107"/>
    <w:rsid w:val="00C3215F"/>
    <w:rsid w:val="00C321F8"/>
    <w:rsid w:val="00C32305"/>
    <w:rsid w:val="00C323E0"/>
    <w:rsid w:val="00C32436"/>
    <w:rsid w:val="00C32444"/>
    <w:rsid w:val="00C324F8"/>
    <w:rsid w:val="00C32515"/>
    <w:rsid w:val="00C32518"/>
    <w:rsid w:val="00C325FC"/>
    <w:rsid w:val="00C32694"/>
    <w:rsid w:val="00C32771"/>
    <w:rsid w:val="00C327A4"/>
    <w:rsid w:val="00C3285F"/>
    <w:rsid w:val="00C328D9"/>
    <w:rsid w:val="00C3292A"/>
    <w:rsid w:val="00C32B18"/>
    <w:rsid w:val="00C32C4B"/>
    <w:rsid w:val="00C32CCB"/>
    <w:rsid w:val="00C32D90"/>
    <w:rsid w:val="00C32E2F"/>
    <w:rsid w:val="00C32EDE"/>
    <w:rsid w:val="00C32FE8"/>
    <w:rsid w:val="00C330B9"/>
    <w:rsid w:val="00C330F8"/>
    <w:rsid w:val="00C331DD"/>
    <w:rsid w:val="00C33382"/>
    <w:rsid w:val="00C333B8"/>
    <w:rsid w:val="00C333FF"/>
    <w:rsid w:val="00C33475"/>
    <w:rsid w:val="00C337BF"/>
    <w:rsid w:val="00C33871"/>
    <w:rsid w:val="00C33928"/>
    <w:rsid w:val="00C33953"/>
    <w:rsid w:val="00C33A74"/>
    <w:rsid w:val="00C33A80"/>
    <w:rsid w:val="00C33BB4"/>
    <w:rsid w:val="00C33C35"/>
    <w:rsid w:val="00C33C6E"/>
    <w:rsid w:val="00C33C73"/>
    <w:rsid w:val="00C33CAC"/>
    <w:rsid w:val="00C33ECC"/>
    <w:rsid w:val="00C33F38"/>
    <w:rsid w:val="00C33FB1"/>
    <w:rsid w:val="00C341BD"/>
    <w:rsid w:val="00C343A6"/>
    <w:rsid w:val="00C343B2"/>
    <w:rsid w:val="00C343E2"/>
    <w:rsid w:val="00C34441"/>
    <w:rsid w:val="00C34515"/>
    <w:rsid w:val="00C345E8"/>
    <w:rsid w:val="00C345EE"/>
    <w:rsid w:val="00C34728"/>
    <w:rsid w:val="00C347CA"/>
    <w:rsid w:val="00C347D4"/>
    <w:rsid w:val="00C3499A"/>
    <w:rsid w:val="00C349C3"/>
    <w:rsid w:val="00C34A17"/>
    <w:rsid w:val="00C34A62"/>
    <w:rsid w:val="00C34ACC"/>
    <w:rsid w:val="00C34ADE"/>
    <w:rsid w:val="00C34C51"/>
    <w:rsid w:val="00C34CDE"/>
    <w:rsid w:val="00C34D20"/>
    <w:rsid w:val="00C34D66"/>
    <w:rsid w:val="00C34DA3"/>
    <w:rsid w:val="00C34F53"/>
    <w:rsid w:val="00C35030"/>
    <w:rsid w:val="00C35032"/>
    <w:rsid w:val="00C35093"/>
    <w:rsid w:val="00C3509D"/>
    <w:rsid w:val="00C350E4"/>
    <w:rsid w:val="00C3517A"/>
    <w:rsid w:val="00C351C3"/>
    <w:rsid w:val="00C352EA"/>
    <w:rsid w:val="00C353D6"/>
    <w:rsid w:val="00C353E8"/>
    <w:rsid w:val="00C354B8"/>
    <w:rsid w:val="00C354F1"/>
    <w:rsid w:val="00C35616"/>
    <w:rsid w:val="00C35693"/>
    <w:rsid w:val="00C356CE"/>
    <w:rsid w:val="00C357AE"/>
    <w:rsid w:val="00C357D5"/>
    <w:rsid w:val="00C357DA"/>
    <w:rsid w:val="00C358E6"/>
    <w:rsid w:val="00C358FF"/>
    <w:rsid w:val="00C35950"/>
    <w:rsid w:val="00C35956"/>
    <w:rsid w:val="00C359C3"/>
    <w:rsid w:val="00C359CB"/>
    <w:rsid w:val="00C35A93"/>
    <w:rsid w:val="00C35B2F"/>
    <w:rsid w:val="00C35B37"/>
    <w:rsid w:val="00C35BB3"/>
    <w:rsid w:val="00C35C74"/>
    <w:rsid w:val="00C35D66"/>
    <w:rsid w:val="00C35DD6"/>
    <w:rsid w:val="00C35F40"/>
    <w:rsid w:val="00C35FAD"/>
    <w:rsid w:val="00C35FE8"/>
    <w:rsid w:val="00C360DD"/>
    <w:rsid w:val="00C3617B"/>
    <w:rsid w:val="00C361B7"/>
    <w:rsid w:val="00C36370"/>
    <w:rsid w:val="00C363E1"/>
    <w:rsid w:val="00C36469"/>
    <w:rsid w:val="00C36625"/>
    <w:rsid w:val="00C36678"/>
    <w:rsid w:val="00C36748"/>
    <w:rsid w:val="00C3674F"/>
    <w:rsid w:val="00C36848"/>
    <w:rsid w:val="00C369BC"/>
    <w:rsid w:val="00C36A71"/>
    <w:rsid w:val="00C36B12"/>
    <w:rsid w:val="00C36B42"/>
    <w:rsid w:val="00C36BD2"/>
    <w:rsid w:val="00C36DF1"/>
    <w:rsid w:val="00C36E91"/>
    <w:rsid w:val="00C36ED9"/>
    <w:rsid w:val="00C36EF1"/>
    <w:rsid w:val="00C36F8B"/>
    <w:rsid w:val="00C36F96"/>
    <w:rsid w:val="00C36FB3"/>
    <w:rsid w:val="00C36FBF"/>
    <w:rsid w:val="00C37018"/>
    <w:rsid w:val="00C372B4"/>
    <w:rsid w:val="00C372EE"/>
    <w:rsid w:val="00C3733C"/>
    <w:rsid w:val="00C37345"/>
    <w:rsid w:val="00C373EF"/>
    <w:rsid w:val="00C37403"/>
    <w:rsid w:val="00C3743D"/>
    <w:rsid w:val="00C3747A"/>
    <w:rsid w:val="00C374E3"/>
    <w:rsid w:val="00C3753D"/>
    <w:rsid w:val="00C37551"/>
    <w:rsid w:val="00C375AC"/>
    <w:rsid w:val="00C375D0"/>
    <w:rsid w:val="00C3760D"/>
    <w:rsid w:val="00C3763A"/>
    <w:rsid w:val="00C37674"/>
    <w:rsid w:val="00C37675"/>
    <w:rsid w:val="00C376C3"/>
    <w:rsid w:val="00C376C7"/>
    <w:rsid w:val="00C37766"/>
    <w:rsid w:val="00C3783A"/>
    <w:rsid w:val="00C37927"/>
    <w:rsid w:val="00C37973"/>
    <w:rsid w:val="00C37A63"/>
    <w:rsid w:val="00C37A77"/>
    <w:rsid w:val="00C37AD2"/>
    <w:rsid w:val="00C37C34"/>
    <w:rsid w:val="00C37C80"/>
    <w:rsid w:val="00C37DB6"/>
    <w:rsid w:val="00C37E4E"/>
    <w:rsid w:val="00C37E83"/>
    <w:rsid w:val="00C37F27"/>
    <w:rsid w:val="00C40080"/>
    <w:rsid w:val="00C400A8"/>
    <w:rsid w:val="00C400EF"/>
    <w:rsid w:val="00C40121"/>
    <w:rsid w:val="00C40138"/>
    <w:rsid w:val="00C401C2"/>
    <w:rsid w:val="00C401C5"/>
    <w:rsid w:val="00C401FC"/>
    <w:rsid w:val="00C40220"/>
    <w:rsid w:val="00C402A9"/>
    <w:rsid w:val="00C40366"/>
    <w:rsid w:val="00C403BA"/>
    <w:rsid w:val="00C4049C"/>
    <w:rsid w:val="00C405A0"/>
    <w:rsid w:val="00C40756"/>
    <w:rsid w:val="00C407AA"/>
    <w:rsid w:val="00C407B5"/>
    <w:rsid w:val="00C40888"/>
    <w:rsid w:val="00C408A6"/>
    <w:rsid w:val="00C409CE"/>
    <w:rsid w:val="00C409FF"/>
    <w:rsid w:val="00C40A4D"/>
    <w:rsid w:val="00C40A5E"/>
    <w:rsid w:val="00C40A92"/>
    <w:rsid w:val="00C40BC9"/>
    <w:rsid w:val="00C40CC6"/>
    <w:rsid w:val="00C40CD4"/>
    <w:rsid w:val="00C40D94"/>
    <w:rsid w:val="00C40E0F"/>
    <w:rsid w:val="00C40E4A"/>
    <w:rsid w:val="00C40EB2"/>
    <w:rsid w:val="00C40EC7"/>
    <w:rsid w:val="00C41200"/>
    <w:rsid w:val="00C41312"/>
    <w:rsid w:val="00C4147E"/>
    <w:rsid w:val="00C41521"/>
    <w:rsid w:val="00C4157F"/>
    <w:rsid w:val="00C416A7"/>
    <w:rsid w:val="00C416DF"/>
    <w:rsid w:val="00C416FA"/>
    <w:rsid w:val="00C41711"/>
    <w:rsid w:val="00C417AC"/>
    <w:rsid w:val="00C41845"/>
    <w:rsid w:val="00C4191F"/>
    <w:rsid w:val="00C41A65"/>
    <w:rsid w:val="00C41A82"/>
    <w:rsid w:val="00C41A83"/>
    <w:rsid w:val="00C41AC9"/>
    <w:rsid w:val="00C41B45"/>
    <w:rsid w:val="00C41B7D"/>
    <w:rsid w:val="00C41D03"/>
    <w:rsid w:val="00C41D79"/>
    <w:rsid w:val="00C41D83"/>
    <w:rsid w:val="00C41E38"/>
    <w:rsid w:val="00C41FA6"/>
    <w:rsid w:val="00C4200A"/>
    <w:rsid w:val="00C4202A"/>
    <w:rsid w:val="00C42070"/>
    <w:rsid w:val="00C42130"/>
    <w:rsid w:val="00C421D8"/>
    <w:rsid w:val="00C421F8"/>
    <w:rsid w:val="00C42215"/>
    <w:rsid w:val="00C42252"/>
    <w:rsid w:val="00C422A3"/>
    <w:rsid w:val="00C422B4"/>
    <w:rsid w:val="00C42300"/>
    <w:rsid w:val="00C423C2"/>
    <w:rsid w:val="00C42433"/>
    <w:rsid w:val="00C42547"/>
    <w:rsid w:val="00C42601"/>
    <w:rsid w:val="00C4265E"/>
    <w:rsid w:val="00C42708"/>
    <w:rsid w:val="00C427C8"/>
    <w:rsid w:val="00C4285D"/>
    <w:rsid w:val="00C428AB"/>
    <w:rsid w:val="00C4293B"/>
    <w:rsid w:val="00C4299A"/>
    <w:rsid w:val="00C42A80"/>
    <w:rsid w:val="00C42AC2"/>
    <w:rsid w:val="00C42C39"/>
    <w:rsid w:val="00C42C9A"/>
    <w:rsid w:val="00C42D45"/>
    <w:rsid w:val="00C42D65"/>
    <w:rsid w:val="00C42DA6"/>
    <w:rsid w:val="00C42DCE"/>
    <w:rsid w:val="00C42DD8"/>
    <w:rsid w:val="00C42DDF"/>
    <w:rsid w:val="00C42EC5"/>
    <w:rsid w:val="00C42EF7"/>
    <w:rsid w:val="00C4307D"/>
    <w:rsid w:val="00C431A3"/>
    <w:rsid w:val="00C4323B"/>
    <w:rsid w:val="00C43316"/>
    <w:rsid w:val="00C4333B"/>
    <w:rsid w:val="00C434C9"/>
    <w:rsid w:val="00C43520"/>
    <w:rsid w:val="00C4354D"/>
    <w:rsid w:val="00C4361F"/>
    <w:rsid w:val="00C4372D"/>
    <w:rsid w:val="00C43766"/>
    <w:rsid w:val="00C43B53"/>
    <w:rsid w:val="00C43B57"/>
    <w:rsid w:val="00C43B74"/>
    <w:rsid w:val="00C43B80"/>
    <w:rsid w:val="00C43B8F"/>
    <w:rsid w:val="00C43BA4"/>
    <w:rsid w:val="00C43BF2"/>
    <w:rsid w:val="00C43E5B"/>
    <w:rsid w:val="00C43E74"/>
    <w:rsid w:val="00C43F25"/>
    <w:rsid w:val="00C43FD3"/>
    <w:rsid w:val="00C44041"/>
    <w:rsid w:val="00C44071"/>
    <w:rsid w:val="00C44075"/>
    <w:rsid w:val="00C441AD"/>
    <w:rsid w:val="00C441D0"/>
    <w:rsid w:val="00C4431F"/>
    <w:rsid w:val="00C4432B"/>
    <w:rsid w:val="00C4438D"/>
    <w:rsid w:val="00C44514"/>
    <w:rsid w:val="00C44585"/>
    <w:rsid w:val="00C445FA"/>
    <w:rsid w:val="00C44650"/>
    <w:rsid w:val="00C44680"/>
    <w:rsid w:val="00C44718"/>
    <w:rsid w:val="00C44749"/>
    <w:rsid w:val="00C44769"/>
    <w:rsid w:val="00C4478C"/>
    <w:rsid w:val="00C44814"/>
    <w:rsid w:val="00C44943"/>
    <w:rsid w:val="00C449CE"/>
    <w:rsid w:val="00C44A9D"/>
    <w:rsid w:val="00C44ABA"/>
    <w:rsid w:val="00C44AEC"/>
    <w:rsid w:val="00C44B0F"/>
    <w:rsid w:val="00C44C19"/>
    <w:rsid w:val="00C44D5C"/>
    <w:rsid w:val="00C44D93"/>
    <w:rsid w:val="00C44DB5"/>
    <w:rsid w:val="00C44E9D"/>
    <w:rsid w:val="00C44F77"/>
    <w:rsid w:val="00C45151"/>
    <w:rsid w:val="00C45192"/>
    <w:rsid w:val="00C451AD"/>
    <w:rsid w:val="00C451D9"/>
    <w:rsid w:val="00C4523B"/>
    <w:rsid w:val="00C4524F"/>
    <w:rsid w:val="00C45300"/>
    <w:rsid w:val="00C45319"/>
    <w:rsid w:val="00C45352"/>
    <w:rsid w:val="00C4536E"/>
    <w:rsid w:val="00C453AE"/>
    <w:rsid w:val="00C453BA"/>
    <w:rsid w:val="00C453C3"/>
    <w:rsid w:val="00C4545C"/>
    <w:rsid w:val="00C45504"/>
    <w:rsid w:val="00C4556E"/>
    <w:rsid w:val="00C455EF"/>
    <w:rsid w:val="00C455F0"/>
    <w:rsid w:val="00C456C7"/>
    <w:rsid w:val="00C45752"/>
    <w:rsid w:val="00C45795"/>
    <w:rsid w:val="00C457BB"/>
    <w:rsid w:val="00C458A8"/>
    <w:rsid w:val="00C4592A"/>
    <w:rsid w:val="00C4598C"/>
    <w:rsid w:val="00C45A1E"/>
    <w:rsid w:val="00C45A58"/>
    <w:rsid w:val="00C45B4D"/>
    <w:rsid w:val="00C45B85"/>
    <w:rsid w:val="00C45BBD"/>
    <w:rsid w:val="00C45BE7"/>
    <w:rsid w:val="00C45BF8"/>
    <w:rsid w:val="00C45C13"/>
    <w:rsid w:val="00C45D52"/>
    <w:rsid w:val="00C45D67"/>
    <w:rsid w:val="00C45E08"/>
    <w:rsid w:val="00C45E1D"/>
    <w:rsid w:val="00C45E43"/>
    <w:rsid w:val="00C45E63"/>
    <w:rsid w:val="00C45F62"/>
    <w:rsid w:val="00C460AD"/>
    <w:rsid w:val="00C4617D"/>
    <w:rsid w:val="00C4633F"/>
    <w:rsid w:val="00C46347"/>
    <w:rsid w:val="00C46482"/>
    <w:rsid w:val="00C464D0"/>
    <w:rsid w:val="00C464F4"/>
    <w:rsid w:val="00C466D8"/>
    <w:rsid w:val="00C466FA"/>
    <w:rsid w:val="00C4675D"/>
    <w:rsid w:val="00C4686D"/>
    <w:rsid w:val="00C468C5"/>
    <w:rsid w:val="00C468DE"/>
    <w:rsid w:val="00C46999"/>
    <w:rsid w:val="00C46A32"/>
    <w:rsid w:val="00C46B29"/>
    <w:rsid w:val="00C46B55"/>
    <w:rsid w:val="00C46BDB"/>
    <w:rsid w:val="00C46BDD"/>
    <w:rsid w:val="00C46C1A"/>
    <w:rsid w:val="00C46C4D"/>
    <w:rsid w:val="00C46D66"/>
    <w:rsid w:val="00C46D6D"/>
    <w:rsid w:val="00C46D81"/>
    <w:rsid w:val="00C46F38"/>
    <w:rsid w:val="00C470DC"/>
    <w:rsid w:val="00C4722D"/>
    <w:rsid w:val="00C4736D"/>
    <w:rsid w:val="00C47388"/>
    <w:rsid w:val="00C4739F"/>
    <w:rsid w:val="00C473D2"/>
    <w:rsid w:val="00C47457"/>
    <w:rsid w:val="00C475C9"/>
    <w:rsid w:val="00C475FB"/>
    <w:rsid w:val="00C47769"/>
    <w:rsid w:val="00C4782B"/>
    <w:rsid w:val="00C4788B"/>
    <w:rsid w:val="00C47896"/>
    <w:rsid w:val="00C478AC"/>
    <w:rsid w:val="00C47942"/>
    <w:rsid w:val="00C4796C"/>
    <w:rsid w:val="00C4797E"/>
    <w:rsid w:val="00C47998"/>
    <w:rsid w:val="00C47A34"/>
    <w:rsid w:val="00C47C72"/>
    <w:rsid w:val="00C47C8A"/>
    <w:rsid w:val="00C47E08"/>
    <w:rsid w:val="00C47E57"/>
    <w:rsid w:val="00C47F84"/>
    <w:rsid w:val="00C47FC0"/>
    <w:rsid w:val="00C47FEC"/>
    <w:rsid w:val="00C50128"/>
    <w:rsid w:val="00C501A7"/>
    <w:rsid w:val="00C501DF"/>
    <w:rsid w:val="00C501FB"/>
    <w:rsid w:val="00C50225"/>
    <w:rsid w:val="00C502CF"/>
    <w:rsid w:val="00C504AB"/>
    <w:rsid w:val="00C504AD"/>
    <w:rsid w:val="00C504FC"/>
    <w:rsid w:val="00C50533"/>
    <w:rsid w:val="00C50543"/>
    <w:rsid w:val="00C50740"/>
    <w:rsid w:val="00C50741"/>
    <w:rsid w:val="00C507C2"/>
    <w:rsid w:val="00C50900"/>
    <w:rsid w:val="00C50A54"/>
    <w:rsid w:val="00C50A67"/>
    <w:rsid w:val="00C50A95"/>
    <w:rsid w:val="00C50A96"/>
    <w:rsid w:val="00C50AE4"/>
    <w:rsid w:val="00C50B77"/>
    <w:rsid w:val="00C50BBE"/>
    <w:rsid w:val="00C50C5F"/>
    <w:rsid w:val="00C50CD5"/>
    <w:rsid w:val="00C50E1A"/>
    <w:rsid w:val="00C50E41"/>
    <w:rsid w:val="00C50E69"/>
    <w:rsid w:val="00C50E73"/>
    <w:rsid w:val="00C5101C"/>
    <w:rsid w:val="00C5106A"/>
    <w:rsid w:val="00C51081"/>
    <w:rsid w:val="00C513AE"/>
    <w:rsid w:val="00C513D4"/>
    <w:rsid w:val="00C5145D"/>
    <w:rsid w:val="00C515BC"/>
    <w:rsid w:val="00C516BE"/>
    <w:rsid w:val="00C516E0"/>
    <w:rsid w:val="00C5171F"/>
    <w:rsid w:val="00C517B1"/>
    <w:rsid w:val="00C517C4"/>
    <w:rsid w:val="00C51806"/>
    <w:rsid w:val="00C51979"/>
    <w:rsid w:val="00C519DF"/>
    <w:rsid w:val="00C51A93"/>
    <w:rsid w:val="00C51ADA"/>
    <w:rsid w:val="00C51B1F"/>
    <w:rsid w:val="00C51B36"/>
    <w:rsid w:val="00C51B7D"/>
    <w:rsid w:val="00C51BE8"/>
    <w:rsid w:val="00C51C88"/>
    <w:rsid w:val="00C51CC2"/>
    <w:rsid w:val="00C51CD7"/>
    <w:rsid w:val="00C51D3B"/>
    <w:rsid w:val="00C51DB5"/>
    <w:rsid w:val="00C51DD3"/>
    <w:rsid w:val="00C51DDB"/>
    <w:rsid w:val="00C51DE8"/>
    <w:rsid w:val="00C51E5A"/>
    <w:rsid w:val="00C51E7B"/>
    <w:rsid w:val="00C51FBA"/>
    <w:rsid w:val="00C52280"/>
    <w:rsid w:val="00C522F0"/>
    <w:rsid w:val="00C52353"/>
    <w:rsid w:val="00C52441"/>
    <w:rsid w:val="00C5268D"/>
    <w:rsid w:val="00C526BF"/>
    <w:rsid w:val="00C52756"/>
    <w:rsid w:val="00C527AE"/>
    <w:rsid w:val="00C52802"/>
    <w:rsid w:val="00C52817"/>
    <w:rsid w:val="00C5283C"/>
    <w:rsid w:val="00C528DD"/>
    <w:rsid w:val="00C5297C"/>
    <w:rsid w:val="00C529D5"/>
    <w:rsid w:val="00C52A98"/>
    <w:rsid w:val="00C52AC8"/>
    <w:rsid w:val="00C52BF8"/>
    <w:rsid w:val="00C52CF5"/>
    <w:rsid w:val="00C52E44"/>
    <w:rsid w:val="00C52EE3"/>
    <w:rsid w:val="00C52F04"/>
    <w:rsid w:val="00C52F0E"/>
    <w:rsid w:val="00C52F39"/>
    <w:rsid w:val="00C52F99"/>
    <w:rsid w:val="00C52FA6"/>
    <w:rsid w:val="00C530AA"/>
    <w:rsid w:val="00C53137"/>
    <w:rsid w:val="00C532F1"/>
    <w:rsid w:val="00C532F5"/>
    <w:rsid w:val="00C5335F"/>
    <w:rsid w:val="00C533FE"/>
    <w:rsid w:val="00C5343D"/>
    <w:rsid w:val="00C53570"/>
    <w:rsid w:val="00C535C0"/>
    <w:rsid w:val="00C53696"/>
    <w:rsid w:val="00C53709"/>
    <w:rsid w:val="00C53842"/>
    <w:rsid w:val="00C53A40"/>
    <w:rsid w:val="00C53AD4"/>
    <w:rsid w:val="00C53B05"/>
    <w:rsid w:val="00C53B21"/>
    <w:rsid w:val="00C53B44"/>
    <w:rsid w:val="00C53E6F"/>
    <w:rsid w:val="00C53ECC"/>
    <w:rsid w:val="00C53F08"/>
    <w:rsid w:val="00C53F14"/>
    <w:rsid w:val="00C5402A"/>
    <w:rsid w:val="00C54039"/>
    <w:rsid w:val="00C54191"/>
    <w:rsid w:val="00C54272"/>
    <w:rsid w:val="00C543A7"/>
    <w:rsid w:val="00C544A9"/>
    <w:rsid w:val="00C544B9"/>
    <w:rsid w:val="00C544C2"/>
    <w:rsid w:val="00C544EB"/>
    <w:rsid w:val="00C544FD"/>
    <w:rsid w:val="00C54539"/>
    <w:rsid w:val="00C54816"/>
    <w:rsid w:val="00C5495F"/>
    <w:rsid w:val="00C549F0"/>
    <w:rsid w:val="00C54A28"/>
    <w:rsid w:val="00C54A76"/>
    <w:rsid w:val="00C54A9B"/>
    <w:rsid w:val="00C54BA8"/>
    <w:rsid w:val="00C54BCD"/>
    <w:rsid w:val="00C54C89"/>
    <w:rsid w:val="00C54D05"/>
    <w:rsid w:val="00C54F0D"/>
    <w:rsid w:val="00C54FCB"/>
    <w:rsid w:val="00C55019"/>
    <w:rsid w:val="00C55064"/>
    <w:rsid w:val="00C55078"/>
    <w:rsid w:val="00C55203"/>
    <w:rsid w:val="00C55290"/>
    <w:rsid w:val="00C552E7"/>
    <w:rsid w:val="00C553E9"/>
    <w:rsid w:val="00C55416"/>
    <w:rsid w:val="00C55434"/>
    <w:rsid w:val="00C5545B"/>
    <w:rsid w:val="00C554CA"/>
    <w:rsid w:val="00C554DA"/>
    <w:rsid w:val="00C55531"/>
    <w:rsid w:val="00C55578"/>
    <w:rsid w:val="00C55637"/>
    <w:rsid w:val="00C5568B"/>
    <w:rsid w:val="00C55701"/>
    <w:rsid w:val="00C55822"/>
    <w:rsid w:val="00C5582A"/>
    <w:rsid w:val="00C558C0"/>
    <w:rsid w:val="00C55A51"/>
    <w:rsid w:val="00C55ACB"/>
    <w:rsid w:val="00C55B07"/>
    <w:rsid w:val="00C55BC6"/>
    <w:rsid w:val="00C55BCB"/>
    <w:rsid w:val="00C55C08"/>
    <w:rsid w:val="00C55C4F"/>
    <w:rsid w:val="00C55CC4"/>
    <w:rsid w:val="00C55DFA"/>
    <w:rsid w:val="00C55E05"/>
    <w:rsid w:val="00C55E79"/>
    <w:rsid w:val="00C55F40"/>
    <w:rsid w:val="00C5609A"/>
    <w:rsid w:val="00C560E3"/>
    <w:rsid w:val="00C56101"/>
    <w:rsid w:val="00C56138"/>
    <w:rsid w:val="00C5622E"/>
    <w:rsid w:val="00C562F2"/>
    <w:rsid w:val="00C562FF"/>
    <w:rsid w:val="00C56309"/>
    <w:rsid w:val="00C563F8"/>
    <w:rsid w:val="00C565C3"/>
    <w:rsid w:val="00C565D8"/>
    <w:rsid w:val="00C56909"/>
    <w:rsid w:val="00C56B70"/>
    <w:rsid w:val="00C56CA2"/>
    <w:rsid w:val="00C56D00"/>
    <w:rsid w:val="00C56D54"/>
    <w:rsid w:val="00C56E63"/>
    <w:rsid w:val="00C56F27"/>
    <w:rsid w:val="00C56F4D"/>
    <w:rsid w:val="00C56F78"/>
    <w:rsid w:val="00C56F8C"/>
    <w:rsid w:val="00C57060"/>
    <w:rsid w:val="00C57080"/>
    <w:rsid w:val="00C57093"/>
    <w:rsid w:val="00C5724A"/>
    <w:rsid w:val="00C57274"/>
    <w:rsid w:val="00C5738E"/>
    <w:rsid w:val="00C573A3"/>
    <w:rsid w:val="00C573B2"/>
    <w:rsid w:val="00C573E5"/>
    <w:rsid w:val="00C5746A"/>
    <w:rsid w:val="00C57478"/>
    <w:rsid w:val="00C574FD"/>
    <w:rsid w:val="00C57594"/>
    <w:rsid w:val="00C575B9"/>
    <w:rsid w:val="00C575D9"/>
    <w:rsid w:val="00C576D2"/>
    <w:rsid w:val="00C5784B"/>
    <w:rsid w:val="00C57919"/>
    <w:rsid w:val="00C5792B"/>
    <w:rsid w:val="00C57B08"/>
    <w:rsid w:val="00C57CD7"/>
    <w:rsid w:val="00C57E3E"/>
    <w:rsid w:val="00C57EE4"/>
    <w:rsid w:val="00C57FC3"/>
    <w:rsid w:val="00C60015"/>
    <w:rsid w:val="00C600A9"/>
    <w:rsid w:val="00C600B7"/>
    <w:rsid w:val="00C6017D"/>
    <w:rsid w:val="00C6024A"/>
    <w:rsid w:val="00C602E9"/>
    <w:rsid w:val="00C6040F"/>
    <w:rsid w:val="00C60538"/>
    <w:rsid w:val="00C605D7"/>
    <w:rsid w:val="00C606FE"/>
    <w:rsid w:val="00C6071E"/>
    <w:rsid w:val="00C60A16"/>
    <w:rsid w:val="00C60AB2"/>
    <w:rsid w:val="00C60B34"/>
    <w:rsid w:val="00C60B39"/>
    <w:rsid w:val="00C60B47"/>
    <w:rsid w:val="00C60B8D"/>
    <w:rsid w:val="00C60C36"/>
    <w:rsid w:val="00C60CEB"/>
    <w:rsid w:val="00C60D05"/>
    <w:rsid w:val="00C60D3B"/>
    <w:rsid w:val="00C60D89"/>
    <w:rsid w:val="00C60DB8"/>
    <w:rsid w:val="00C60DD7"/>
    <w:rsid w:val="00C60E0D"/>
    <w:rsid w:val="00C60E3A"/>
    <w:rsid w:val="00C60ED3"/>
    <w:rsid w:val="00C60F75"/>
    <w:rsid w:val="00C60FAC"/>
    <w:rsid w:val="00C60FB8"/>
    <w:rsid w:val="00C60FCD"/>
    <w:rsid w:val="00C6115C"/>
    <w:rsid w:val="00C612B9"/>
    <w:rsid w:val="00C61613"/>
    <w:rsid w:val="00C61632"/>
    <w:rsid w:val="00C61722"/>
    <w:rsid w:val="00C617EF"/>
    <w:rsid w:val="00C617F6"/>
    <w:rsid w:val="00C6188F"/>
    <w:rsid w:val="00C61A1B"/>
    <w:rsid w:val="00C61A6E"/>
    <w:rsid w:val="00C61B80"/>
    <w:rsid w:val="00C61BB8"/>
    <w:rsid w:val="00C61BD4"/>
    <w:rsid w:val="00C61C81"/>
    <w:rsid w:val="00C61CC1"/>
    <w:rsid w:val="00C61CC5"/>
    <w:rsid w:val="00C61D82"/>
    <w:rsid w:val="00C61E4B"/>
    <w:rsid w:val="00C61EC6"/>
    <w:rsid w:val="00C61EDA"/>
    <w:rsid w:val="00C61EF5"/>
    <w:rsid w:val="00C61F9A"/>
    <w:rsid w:val="00C61FC5"/>
    <w:rsid w:val="00C62097"/>
    <w:rsid w:val="00C6211B"/>
    <w:rsid w:val="00C6212A"/>
    <w:rsid w:val="00C621D9"/>
    <w:rsid w:val="00C6223B"/>
    <w:rsid w:val="00C62246"/>
    <w:rsid w:val="00C62266"/>
    <w:rsid w:val="00C622EE"/>
    <w:rsid w:val="00C62312"/>
    <w:rsid w:val="00C62318"/>
    <w:rsid w:val="00C623E2"/>
    <w:rsid w:val="00C624F0"/>
    <w:rsid w:val="00C62508"/>
    <w:rsid w:val="00C625A5"/>
    <w:rsid w:val="00C62635"/>
    <w:rsid w:val="00C6266A"/>
    <w:rsid w:val="00C6268E"/>
    <w:rsid w:val="00C62742"/>
    <w:rsid w:val="00C627FD"/>
    <w:rsid w:val="00C62959"/>
    <w:rsid w:val="00C62A43"/>
    <w:rsid w:val="00C62AF1"/>
    <w:rsid w:val="00C62B1A"/>
    <w:rsid w:val="00C62B52"/>
    <w:rsid w:val="00C62CE8"/>
    <w:rsid w:val="00C62D26"/>
    <w:rsid w:val="00C62D83"/>
    <w:rsid w:val="00C62E70"/>
    <w:rsid w:val="00C62EFB"/>
    <w:rsid w:val="00C62F03"/>
    <w:rsid w:val="00C62F92"/>
    <w:rsid w:val="00C62FB2"/>
    <w:rsid w:val="00C62FE4"/>
    <w:rsid w:val="00C62FED"/>
    <w:rsid w:val="00C62FF8"/>
    <w:rsid w:val="00C6301A"/>
    <w:rsid w:val="00C63053"/>
    <w:rsid w:val="00C63111"/>
    <w:rsid w:val="00C6314C"/>
    <w:rsid w:val="00C6329A"/>
    <w:rsid w:val="00C6339F"/>
    <w:rsid w:val="00C633D5"/>
    <w:rsid w:val="00C633FD"/>
    <w:rsid w:val="00C63441"/>
    <w:rsid w:val="00C63538"/>
    <w:rsid w:val="00C635B6"/>
    <w:rsid w:val="00C63670"/>
    <w:rsid w:val="00C636E0"/>
    <w:rsid w:val="00C6370B"/>
    <w:rsid w:val="00C6376F"/>
    <w:rsid w:val="00C63861"/>
    <w:rsid w:val="00C638CA"/>
    <w:rsid w:val="00C638D3"/>
    <w:rsid w:val="00C63A40"/>
    <w:rsid w:val="00C63C41"/>
    <w:rsid w:val="00C63DD2"/>
    <w:rsid w:val="00C63E4D"/>
    <w:rsid w:val="00C63EEE"/>
    <w:rsid w:val="00C63F21"/>
    <w:rsid w:val="00C64022"/>
    <w:rsid w:val="00C64034"/>
    <w:rsid w:val="00C64050"/>
    <w:rsid w:val="00C64111"/>
    <w:rsid w:val="00C64174"/>
    <w:rsid w:val="00C641E0"/>
    <w:rsid w:val="00C6422B"/>
    <w:rsid w:val="00C6425D"/>
    <w:rsid w:val="00C643B7"/>
    <w:rsid w:val="00C6452E"/>
    <w:rsid w:val="00C64589"/>
    <w:rsid w:val="00C64592"/>
    <w:rsid w:val="00C646CD"/>
    <w:rsid w:val="00C6476F"/>
    <w:rsid w:val="00C64836"/>
    <w:rsid w:val="00C6485A"/>
    <w:rsid w:val="00C64903"/>
    <w:rsid w:val="00C649C4"/>
    <w:rsid w:val="00C64A32"/>
    <w:rsid w:val="00C64AC8"/>
    <w:rsid w:val="00C64AE8"/>
    <w:rsid w:val="00C64B2F"/>
    <w:rsid w:val="00C64BEB"/>
    <w:rsid w:val="00C64DA4"/>
    <w:rsid w:val="00C64DFF"/>
    <w:rsid w:val="00C64FF2"/>
    <w:rsid w:val="00C65023"/>
    <w:rsid w:val="00C6517E"/>
    <w:rsid w:val="00C6519B"/>
    <w:rsid w:val="00C65278"/>
    <w:rsid w:val="00C652EB"/>
    <w:rsid w:val="00C65364"/>
    <w:rsid w:val="00C65431"/>
    <w:rsid w:val="00C655EE"/>
    <w:rsid w:val="00C6562B"/>
    <w:rsid w:val="00C656CF"/>
    <w:rsid w:val="00C65739"/>
    <w:rsid w:val="00C6574D"/>
    <w:rsid w:val="00C65AF8"/>
    <w:rsid w:val="00C65B12"/>
    <w:rsid w:val="00C65B6D"/>
    <w:rsid w:val="00C65BDC"/>
    <w:rsid w:val="00C65C84"/>
    <w:rsid w:val="00C65CFC"/>
    <w:rsid w:val="00C65D3F"/>
    <w:rsid w:val="00C65D59"/>
    <w:rsid w:val="00C65DEB"/>
    <w:rsid w:val="00C66029"/>
    <w:rsid w:val="00C6607E"/>
    <w:rsid w:val="00C6609C"/>
    <w:rsid w:val="00C6613E"/>
    <w:rsid w:val="00C66144"/>
    <w:rsid w:val="00C661F9"/>
    <w:rsid w:val="00C662BF"/>
    <w:rsid w:val="00C664AB"/>
    <w:rsid w:val="00C66515"/>
    <w:rsid w:val="00C665EE"/>
    <w:rsid w:val="00C6668C"/>
    <w:rsid w:val="00C666E7"/>
    <w:rsid w:val="00C6670A"/>
    <w:rsid w:val="00C6671B"/>
    <w:rsid w:val="00C6679F"/>
    <w:rsid w:val="00C667B4"/>
    <w:rsid w:val="00C669AF"/>
    <w:rsid w:val="00C669B9"/>
    <w:rsid w:val="00C669CD"/>
    <w:rsid w:val="00C66A37"/>
    <w:rsid w:val="00C66B04"/>
    <w:rsid w:val="00C66F76"/>
    <w:rsid w:val="00C66FB8"/>
    <w:rsid w:val="00C66FCC"/>
    <w:rsid w:val="00C6709D"/>
    <w:rsid w:val="00C670B6"/>
    <w:rsid w:val="00C670CD"/>
    <w:rsid w:val="00C6711F"/>
    <w:rsid w:val="00C6713B"/>
    <w:rsid w:val="00C6733B"/>
    <w:rsid w:val="00C674D9"/>
    <w:rsid w:val="00C6754D"/>
    <w:rsid w:val="00C6764F"/>
    <w:rsid w:val="00C6768E"/>
    <w:rsid w:val="00C67695"/>
    <w:rsid w:val="00C676F5"/>
    <w:rsid w:val="00C67750"/>
    <w:rsid w:val="00C678BE"/>
    <w:rsid w:val="00C679D0"/>
    <w:rsid w:val="00C679DC"/>
    <w:rsid w:val="00C67BAC"/>
    <w:rsid w:val="00C67BFB"/>
    <w:rsid w:val="00C67E6B"/>
    <w:rsid w:val="00C67E7D"/>
    <w:rsid w:val="00C67ED7"/>
    <w:rsid w:val="00C67F2F"/>
    <w:rsid w:val="00C67FF3"/>
    <w:rsid w:val="00C70030"/>
    <w:rsid w:val="00C70055"/>
    <w:rsid w:val="00C700C9"/>
    <w:rsid w:val="00C70238"/>
    <w:rsid w:val="00C702D4"/>
    <w:rsid w:val="00C70360"/>
    <w:rsid w:val="00C7038B"/>
    <w:rsid w:val="00C70418"/>
    <w:rsid w:val="00C70517"/>
    <w:rsid w:val="00C70529"/>
    <w:rsid w:val="00C7057B"/>
    <w:rsid w:val="00C7059C"/>
    <w:rsid w:val="00C70706"/>
    <w:rsid w:val="00C7070C"/>
    <w:rsid w:val="00C707A5"/>
    <w:rsid w:val="00C7080F"/>
    <w:rsid w:val="00C70845"/>
    <w:rsid w:val="00C70980"/>
    <w:rsid w:val="00C709D9"/>
    <w:rsid w:val="00C709F8"/>
    <w:rsid w:val="00C70A01"/>
    <w:rsid w:val="00C70B7D"/>
    <w:rsid w:val="00C70BAC"/>
    <w:rsid w:val="00C70C70"/>
    <w:rsid w:val="00C70C81"/>
    <w:rsid w:val="00C70D9D"/>
    <w:rsid w:val="00C70DBD"/>
    <w:rsid w:val="00C70E13"/>
    <w:rsid w:val="00C70E32"/>
    <w:rsid w:val="00C70F7F"/>
    <w:rsid w:val="00C70F9B"/>
    <w:rsid w:val="00C70FAC"/>
    <w:rsid w:val="00C7101F"/>
    <w:rsid w:val="00C71021"/>
    <w:rsid w:val="00C7104C"/>
    <w:rsid w:val="00C71073"/>
    <w:rsid w:val="00C71099"/>
    <w:rsid w:val="00C7111B"/>
    <w:rsid w:val="00C7112C"/>
    <w:rsid w:val="00C71340"/>
    <w:rsid w:val="00C71524"/>
    <w:rsid w:val="00C71593"/>
    <w:rsid w:val="00C715E7"/>
    <w:rsid w:val="00C71813"/>
    <w:rsid w:val="00C718D7"/>
    <w:rsid w:val="00C71B6F"/>
    <w:rsid w:val="00C71B90"/>
    <w:rsid w:val="00C71BFB"/>
    <w:rsid w:val="00C71D57"/>
    <w:rsid w:val="00C71D58"/>
    <w:rsid w:val="00C71E10"/>
    <w:rsid w:val="00C71E46"/>
    <w:rsid w:val="00C71F0D"/>
    <w:rsid w:val="00C71F65"/>
    <w:rsid w:val="00C71FBC"/>
    <w:rsid w:val="00C721E4"/>
    <w:rsid w:val="00C722F6"/>
    <w:rsid w:val="00C7234D"/>
    <w:rsid w:val="00C72375"/>
    <w:rsid w:val="00C72436"/>
    <w:rsid w:val="00C72497"/>
    <w:rsid w:val="00C724C7"/>
    <w:rsid w:val="00C72543"/>
    <w:rsid w:val="00C72600"/>
    <w:rsid w:val="00C72678"/>
    <w:rsid w:val="00C72681"/>
    <w:rsid w:val="00C72714"/>
    <w:rsid w:val="00C72792"/>
    <w:rsid w:val="00C727D2"/>
    <w:rsid w:val="00C72836"/>
    <w:rsid w:val="00C72889"/>
    <w:rsid w:val="00C728CF"/>
    <w:rsid w:val="00C72998"/>
    <w:rsid w:val="00C72AF4"/>
    <w:rsid w:val="00C72C44"/>
    <w:rsid w:val="00C72CCA"/>
    <w:rsid w:val="00C72D78"/>
    <w:rsid w:val="00C72DA0"/>
    <w:rsid w:val="00C72E5A"/>
    <w:rsid w:val="00C72EC3"/>
    <w:rsid w:val="00C73039"/>
    <w:rsid w:val="00C7307F"/>
    <w:rsid w:val="00C730ED"/>
    <w:rsid w:val="00C730F4"/>
    <w:rsid w:val="00C7326F"/>
    <w:rsid w:val="00C732A6"/>
    <w:rsid w:val="00C732C0"/>
    <w:rsid w:val="00C73331"/>
    <w:rsid w:val="00C73413"/>
    <w:rsid w:val="00C734D6"/>
    <w:rsid w:val="00C73669"/>
    <w:rsid w:val="00C736EA"/>
    <w:rsid w:val="00C7375D"/>
    <w:rsid w:val="00C7383F"/>
    <w:rsid w:val="00C73975"/>
    <w:rsid w:val="00C73A03"/>
    <w:rsid w:val="00C73A1D"/>
    <w:rsid w:val="00C73A78"/>
    <w:rsid w:val="00C73AD1"/>
    <w:rsid w:val="00C73B29"/>
    <w:rsid w:val="00C73B81"/>
    <w:rsid w:val="00C73C1C"/>
    <w:rsid w:val="00C73C5E"/>
    <w:rsid w:val="00C73C98"/>
    <w:rsid w:val="00C73D92"/>
    <w:rsid w:val="00C73DA5"/>
    <w:rsid w:val="00C73F44"/>
    <w:rsid w:val="00C740C3"/>
    <w:rsid w:val="00C740C5"/>
    <w:rsid w:val="00C742F3"/>
    <w:rsid w:val="00C74363"/>
    <w:rsid w:val="00C743C4"/>
    <w:rsid w:val="00C74419"/>
    <w:rsid w:val="00C74440"/>
    <w:rsid w:val="00C74476"/>
    <w:rsid w:val="00C74572"/>
    <w:rsid w:val="00C74583"/>
    <w:rsid w:val="00C7459C"/>
    <w:rsid w:val="00C74633"/>
    <w:rsid w:val="00C747EF"/>
    <w:rsid w:val="00C7483F"/>
    <w:rsid w:val="00C74883"/>
    <w:rsid w:val="00C748CB"/>
    <w:rsid w:val="00C74961"/>
    <w:rsid w:val="00C749BA"/>
    <w:rsid w:val="00C749BB"/>
    <w:rsid w:val="00C74A44"/>
    <w:rsid w:val="00C74B6D"/>
    <w:rsid w:val="00C74B8C"/>
    <w:rsid w:val="00C74C33"/>
    <w:rsid w:val="00C74C80"/>
    <w:rsid w:val="00C74D70"/>
    <w:rsid w:val="00C74E4A"/>
    <w:rsid w:val="00C74FC1"/>
    <w:rsid w:val="00C74FD3"/>
    <w:rsid w:val="00C74FD5"/>
    <w:rsid w:val="00C7503D"/>
    <w:rsid w:val="00C75075"/>
    <w:rsid w:val="00C75180"/>
    <w:rsid w:val="00C7537E"/>
    <w:rsid w:val="00C7537F"/>
    <w:rsid w:val="00C753A1"/>
    <w:rsid w:val="00C753F1"/>
    <w:rsid w:val="00C75409"/>
    <w:rsid w:val="00C75427"/>
    <w:rsid w:val="00C75454"/>
    <w:rsid w:val="00C754B0"/>
    <w:rsid w:val="00C7550C"/>
    <w:rsid w:val="00C75623"/>
    <w:rsid w:val="00C75762"/>
    <w:rsid w:val="00C757A3"/>
    <w:rsid w:val="00C757CC"/>
    <w:rsid w:val="00C75870"/>
    <w:rsid w:val="00C758B9"/>
    <w:rsid w:val="00C75A91"/>
    <w:rsid w:val="00C75AFD"/>
    <w:rsid w:val="00C75B81"/>
    <w:rsid w:val="00C75B96"/>
    <w:rsid w:val="00C75C39"/>
    <w:rsid w:val="00C75D4A"/>
    <w:rsid w:val="00C75E73"/>
    <w:rsid w:val="00C75F1B"/>
    <w:rsid w:val="00C75F32"/>
    <w:rsid w:val="00C76105"/>
    <w:rsid w:val="00C761D1"/>
    <w:rsid w:val="00C761EC"/>
    <w:rsid w:val="00C7627A"/>
    <w:rsid w:val="00C762B2"/>
    <w:rsid w:val="00C76438"/>
    <w:rsid w:val="00C764FD"/>
    <w:rsid w:val="00C76517"/>
    <w:rsid w:val="00C765F4"/>
    <w:rsid w:val="00C7666C"/>
    <w:rsid w:val="00C766A7"/>
    <w:rsid w:val="00C7683D"/>
    <w:rsid w:val="00C768D7"/>
    <w:rsid w:val="00C769CC"/>
    <w:rsid w:val="00C76AAC"/>
    <w:rsid w:val="00C76AC2"/>
    <w:rsid w:val="00C76D0B"/>
    <w:rsid w:val="00C76D7A"/>
    <w:rsid w:val="00C76E17"/>
    <w:rsid w:val="00C76E30"/>
    <w:rsid w:val="00C76E7F"/>
    <w:rsid w:val="00C76EA4"/>
    <w:rsid w:val="00C76FAF"/>
    <w:rsid w:val="00C770B9"/>
    <w:rsid w:val="00C771B3"/>
    <w:rsid w:val="00C771D6"/>
    <w:rsid w:val="00C77279"/>
    <w:rsid w:val="00C7727E"/>
    <w:rsid w:val="00C77351"/>
    <w:rsid w:val="00C773BB"/>
    <w:rsid w:val="00C773CE"/>
    <w:rsid w:val="00C77458"/>
    <w:rsid w:val="00C774ED"/>
    <w:rsid w:val="00C775AC"/>
    <w:rsid w:val="00C775C2"/>
    <w:rsid w:val="00C77601"/>
    <w:rsid w:val="00C77631"/>
    <w:rsid w:val="00C77642"/>
    <w:rsid w:val="00C776C5"/>
    <w:rsid w:val="00C77767"/>
    <w:rsid w:val="00C7797B"/>
    <w:rsid w:val="00C779F3"/>
    <w:rsid w:val="00C77AE7"/>
    <w:rsid w:val="00C77BAB"/>
    <w:rsid w:val="00C77E0D"/>
    <w:rsid w:val="00C77E1F"/>
    <w:rsid w:val="00C77EA6"/>
    <w:rsid w:val="00C77EB9"/>
    <w:rsid w:val="00C77F8F"/>
    <w:rsid w:val="00C77FDD"/>
    <w:rsid w:val="00C80038"/>
    <w:rsid w:val="00C80063"/>
    <w:rsid w:val="00C80074"/>
    <w:rsid w:val="00C80143"/>
    <w:rsid w:val="00C80202"/>
    <w:rsid w:val="00C80290"/>
    <w:rsid w:val="00C80372"/>
    <w:rsid w:val="00C8038C"/>
    <w:rsid w:val="00C8039D"/>
    <w:rsid w:val="00C80403"/>
    <w:rsid w:val="00C8054D"/>
    <w:rsid w:val="00C8058F"/>
    <w:rsid w:val="00C805F6"/>
    <w:rsid w:val="00C8062A"/>
    <w:rsid w:val="00C806D3"/>
    <w:rsid w:val="00C8073F"/>
    <w:rsid w:val="00C808B7"/>
    <w:rsid w:val="00C808D6"/>
    <w:rsid w:val="00C80C8A"/>
    <w:rsid w:val="00C80D16"/>
    <w:rsid w:val="00C80D2C"/>
    <w:rsid w:val="00C80DCE"/>
    <w:rsid w:val="00C80E1E"/>
    <w:rsid w:val="00C80E7B"/>
    <w:rsid w:val="00C80EE0"/>
    <w:rsid w:val="00C810BE"/>
    <w:rsid w:val="00C81198"/>
    <w:rsid w:val="00C811A4"/>
    <w:rsid w:val="00C811DF"/>
    <w:rsid w:val="00C81313"/>
    <w:rsid w:val="00C813A9"/>
    <w:rsid w:val="00C813BB"/>
    <w:rsid w:val="00C813EA"/>
    <w:rsid w:val="00C81403"/>
    <w:rsid w:val="00C814AC"/>
    <w:rsid w:val="00C81500"/>
    <w:rsid w:val="00C81517"/>
    <w:rsid w:val="00C81570"/>
    <w:rsid w:val="00C815B4"/>
    <w:rsid w:val="00C815BA"/>
    <w:rsid w:val="00C815BB"/>
    <w:rsid w:val="00C8160B"/>
    <w:rsid w:val="00C81655"/>
    <w:rsid w:val="00C81687"/>
    <w:rsid w:val="00C816CD"/>
    <w:rsid w:val="00C81835"/>
    <w:rsid w:val="00C81917"/>
    <w:rsid w:val="00C81AB5"/>
    <w:rsid w:val="00C81B9D"/>
    <w:rsid w:val="00C81BDB"/>
    <w:rsid w:val="00C81C47"/>
    <w:rsid w:val="00C81D3D"/>
    <w:rsid w:val="00C81D9C"/>
    <w:rsid w:val="00C81DD8"/>
    <w:rsid w:val="00C81E31"/>
    <w:rsid w:val="00C81F6E"/>
    <w:rsid w:val="00C81F8C"/>
    <w:rsid w:val="00C82017"/>
    <w:rsid w:val="00C8203E"/>
    <w:rsid w:val="00C820A7"/>
    <w:rsid w:val="00C82187"/>
    <w:rsid w:val="00C82199"/>
    <w:rsid w:val="00C8219F"/>
    <w:rsid w:val="00C8226F"/>
    <w:rsid w:val="00C82293"/>
    <w:rsid w:val="00C82315"/>
    <w:rsid w:val="00C823D7"/>
    <w:rsid w:val="00C823FC"/>
    <w:rsid w:val="00C82412"/>
    <w:rsid w:val="00C82453"/>
    <w:rsid w:val="00C82486"/>
    <w:rsid w:val="00C82515"/>
    <w:rsid w:val="00C82575"/>
    <w:rsid w:val="00C82596"/>
    <w:rsid w:val="00C8264B"/>
    <w:rsid w:val="00C82685"/>
    <w:rsid w:val="00C828CE"/>
    <w:rsid w:val="00C828EE"/>
    <w:rsid w:val="00C82936"/>
    <w:rsid w:val="00C8294F"/>
    <w:rsid w:val="00C82A6A"/>
    <w:rsid w:val="00C82AA1"/>
    <w:rsid w:val="00C82ABD"/>
    <w:rsid w:val="00C82ACF"/>
    <w:rsid w:val="00C82AED"/>
    <w:rsid w:val="00C82C70"/>
    <w:rsid w:val="00C82C93"/>
    <w:rsid w:val="00C82D47"/>
    <w:rsid w:val="00C82D61"/>
    <w:rsid w:val="00C82EF4"/>
    <w:rsid w:val="00C82FAA"/>
    <w:rsid w:val="00C82FF1"/>
    <w:rsid w:val="00C83049"/>
    <w:rsid w:val="00C83096"/>
    <w:rsid w:val="00C831EA"/>
    <w:rsid w:val="00C832ED"/>
    <w:rsid w:val="00C8332D"/>
    <w:rsid w:val="00C83407"/>
    <w:rsid w:val="00C835D8"/>
    <w:rsid w:val="00C83664"/>
    <w:rsid w:val="00C8366A"/>
    <w:rsid w:val="00C8369B"/>
    <w:rsid w:val="00C83701"/>
    <w:rsid w:val="00C8379B"/>
    <w:rsid w:val="00C8379C"/>
    <w:rsid w:val="00C83832"/>
    <w:rsid w:val="00C838DD"/>
    <w:rsid w:val="00C83A5F"/>
    <w:rsid w:val="00C83AA3"/>
    <w:rsid w:val="00C83AB1"/>
    <w:rsid w:val="00C83C82"/>
    <w:rsid w:val="00C83CD5"/>
    <w:rsid w:val="00C83DD5"/>
    <w:rsid w:val="00C83E20"/>
    <w:rsid w:val="00C83EC9"/>
    <w:rsid w:val="00C84182"/>
    <w:rsid w:val="00C84204"/>
    <w:rsid w:val="00C84296"/>
    <w:rsid w:val="00C84353"/>
    <w:rsid w:val="00C845A8"/>
    <w:rsid w:val="00C8461E"/>
    <w:rsid w:val="00C84813"/>
    <w:rsid w:val="00C84831"/>
    <w:rsid w:val="00C84853"/>
    <w:rsid w:val="00C84891"/>
    <w:rsid w:val="00C849D7"/>
    <w:rsid w:val="00C84A75"/>
    <w:rsid w:val="00C84C10"/>
    <w:rsid w:val="00C84C37"/>
    <w:rsid w:val="00C84C41"/>
    <w:rsid w:val="00C84D60"/>
    <w:rsid w:val="00C84D76"/>
    <w:rsid w:val="00C84E13"/>
    <w:rsid w:val="00C84E9B"/>
    <w:rsid w:val="00C84F33"/>
    <w:rsid w:val="00C84FD5"/>
    <w:rsid w:val="00C8502F"/>
    <w:rsid w:val="00C85155"/>
    <w:rsid w:val="00C851C6"/>
    <w:rsid w:val="00C851DE"/>
    <w:rsid w:val="00C851E6"/>
    <w:rsid w:val="00C85244"/>
    <w:rsid w:val="00C852FB"/>
    <w:rsid w:val="00C85450"/>
    <w:rsid w:val="00C854DB"/>
    <w:rsid w:val="00C85507"/>
    <w:rsid w:val="00C8550A"/>
    <w:rsid w:val="00C85559"/>
    <w:rsid w:val="00C855D3"/>
    <w:rsid w:val="00C85636"/>
    <w:rsid w:val="00C856AB"/>
    <w:rsid w:val="00C85786"/>
    <w:rsid w:val="00C85879"/>
    <w:rsid w:val="00C85935"/>
    <w:rsid w:val="00C859B8"/>
    <w:rsid w:val="00C859C6"/>
    <w:rsid w:val="00C859F8"/>
    <w:rsid w:val="00C85CC1"/>
    <w:rsid w:val="00C860A5"/>
    <w:rsid w:val="00C86104"/>
    <w:rsid w:val="00C86133"/>
    <w:rsid w:val="00C8619F"/>
    <w:rsid w:val="00C86222"/>
    <w:rsid w:val="00C86292"/>
    <w:rsid w:val="00C862CC"/>
    <w:rsid w:val="00C86334"/>
    <w:rsid w:val="00C863D8"/>
    <w:rsid w:val="00C863DC"/>
    <w:rsid w:val="00C863FE"/>
    <w:rsid w:val="00C86483"/>
    <w:rsid w:val="00C86574"/>
    <w:rsid w:val="00C86583"/>
    <w:rsid w:val="00C865CD"/>
    <w:rsid w:val="00C86684"/>
    <w:rsid w:val="00C86694"/>
    <w:rsid w:val="00C866C3"/>
    <w:rsid w:val="00C867D1"/>
    <w:rsid w:val="00C8681F"/>
    <w:rsid w:val="00C86888"/>
    <w:rsid w:val="00C868B3"/>
    <w:rsid w:val="00C86959"/>
    <w:rsid w:val="00C86B62"/>
    <w:rsid w:val="00C86B7E"/>
    <w:rsid w:val="00C86BB1"/>
    <w:rsid w:val="00C86C16"/>
    <w:rsid w:val="00C86C29"/>
    <w:rsid w:val="00C86C56"/>
    <w:rsid w:val="00C86CCD"/>
    <w:rsid w:val="00C86CDC"/>
    <w:rsid w:val="00C86D81"/>
    <w:rsid w:val="00C86D8A"/>
    <w:rsid w:val="00C86D94"/>
    <w:rsid w:val="00C86E62"/>
    <w:rsid w:val="00C86F87"/>
    <w:rsid w:val="00C8705C"/>
    <w:rsid w:val="00C87061"/>
    <w:rsid w:val="00C8708F"/>
    <w:rsid w:val="00C87126"/>
    <w:rsid w:val="00C8716E"/>
    <w:rsid w:val="00C871F4"/>
    <w:rsid w:val="00C872F4"/>
    <w:rsid w:val="00C873D0"/>
    <w:rsid w:val="00C873E2"/>
    <w:rsid w:val="00C873EA"/>
    <w:rsid w:val="00C8746A"/>
    <w:rsid w:val="00C87651"/>
    <w:rsid w:val="00C876D6"/>
    <w:rsid w:val="00C87782"/>
    <w:rsid w:val="00C8785D"/>
    <w:rsid w:val="00C878DD"/>
    <w:rsid w:val="00C878EB"/>
    <w:rsid w:val="00C8791C"/>
    <w:rsid w:val="00C879E5"/>
    <w:rsid w:val="00C87A23"/>
    <w:rsid w:val="00C87A81"/>
    <w:rsid w:val="00C87A98"/>
    <w:rsid w:val="00C87AE4"/>
    <w:rsid w:val="00C87BD3"/>
    <w:rsid w:val="00C87BEA"/>
    <w:rsid w:val="00C87EE7"/>
    <w:rsid w:val="00C87F39"/>
    <w:rsid w:val="00C87F7A"/>
    <w:rsid w:val="00C87F7C"/>
    <w:rsid w:val="00C87F9B"/>
    <w:rsid w:val="00C87FB2"/>
    <w:rsid w:val="00C87FCB"/>
    <w:rsid w:val="00C9002C"/>
    <w:rsid w:val="00C90051"/>
    <w:rsid w:val="00C900EF"/>
    <w:rsid w:val="00C90116"/>
    <w:rsid w:val="00C902D2"/>
    <w:rsid w:val="00C902D6"/>
    <w:rsid w:val="00C903D8"/>
    <w:rsid w:val="00C903DD"/>
    <w:rsid w:val="00C90421"/>
    <w:rsid w:val="00C904B4"/>
    <w:rsid w:val="00C904CB"/>
    <w:rsid w:val="00C90597"/>
    <w:rsid w:val="00C905A3"/>
    <w:rsid w:val="00C905E4"/>
    <w:rsid w:val="00C90659"/>
    <w:rsid w:val="00C906C6"/>
    <w:rsid w:val="00C90826"/>
    <w:rsid w:val="00C908F8"/>
    <w:rsid w:val="00C9091B"/>
    <w:rsid w:val="00C9092A"/>
    <w:rsid w:val="00C909A0"/>
    <w:rsid w:val="00C90A2E"/>
    <w:rsid w:val="00C90A5A"/>
    <w:rsid w:val="00C90C1A"/>
    <w:rsid w:val="00C90D01"/>
    <w:rsid w:val="00C90D4C"/>
    <w:rsid w:val="00C90DCC"/>
    <w:rsid w:val="00C90DD3"/>
    <w:rsid w:val="00C90E7C"/>
    <w:rsid w:val="00C90EBF"/>
    <w:rsid w:val="00C90EC1"/>
    <w:rsid w:val="00C9101D"/>
    <w:rsid w:val="00C91076"/>
    <w:rsid w:val="00C910A6"/>
    <w:rsid w:val="00C91100"/>
    <w:rsid w:val="00C91146"/>
    <w:rsid w:val="00C9124B"/>
    <w:rsid w:val="00C9125C"/>
    <w:rsid w:val="00C9133E"/>
    <w:rsid w:val="00C91655"/>
    <w:rsid w:val="00C916A2"/>
    <w:rsid w:val="00C916BF"/>
    <w:rsid w:val="00C91791"/>
    <w:rsid w:val="00C9179F"/>
    <w:rsid w:val="00C917C4"/>
    <w:rsid w:val="00C9181D"/>
    <w:rsid w:val="00C91916"/>
    <w:rsid w:val="00C91A02"/>
    <w:rsid w:val="00C91A5E"/>
    <w:rsid w:val="00C91ADA"/>
    <w:rsid w:val="00C91B38"/>
    <w:rsid w:val="00C91B3B"/>
    <w:rsid w:val="00C91B46"/>
    <w:rsid w:val="00C91CB5"/>
    <w:rsid w:val="00C91CC6"/>
    <w:rsid w:val="00C91D78"/>
    <w:rsid w:val="00C91E15"/>
    <w:rsid w:val="00C91EC6"/>
    <w:rsid w:val="00C91F4F"/>
    <w:rsid w:val="00C91F6B"/>
    <w:rsid w:val="00C92131"/>
    <w:rsid w:val="00C9214E"/>
    <w:rsid w:val="00C92152"/>
    <w:rsid w:val="00C9230C"/>
    <w:rsid w:val="00C9240F"/>
    <w:rsid w:val="00C92436"/>
    <w:rsid w:val="00C9247E"/>
    <w:rsid w:val="00C9252A"/>
    <w:rsid w:val="00C9265C"/>
    <w:rsid w:val="00C92846"/>
    <w:rsid w:val="00C928E3"/>
    <w:rsid w:val="00C92A2C"/>
    <w:rsid w:val="00C92A48"/>
    <w:rsid w:val="00C92B4C"/>
    <w:rsid w:val="00C92B51"/>
    <w:rsid w:val="00C92B61"/>
    <w:rsid w:val="00C92BA1"/>
    <w:rsid w:val="00C92BE7"/>
    <w:rsid w:val="00C92C2D"/>
    <w:rsid w:val="00C92C6D"/>
    <w:rsid w:val="00C92CA0"/>
    <w:rsid w:val="00C92D8D"/>
    <w:rsid w:val="00C92DC6"/>
    <w:rsid w:val="00C92F1A"/>
    <w:rsid w:val="00C93136"/>
    <w:rsid w:val="00C931B4"/>
    <w:rsid w:val="00C932CB"/>
    <w:rsid w:val="00C932F5"/>
    <w:rsid w:val="00C933A9"/>
    <w:rsid w:val="00C933BA"/>
    <w:rsid w:val="00C933BC"/>
    <w:rsid w:val="00C9345F"/>
    <w:rsid w:val="00C93464"/>
    <w:rsid w:val="00C934AE"/>
    <w:rsid w:val="00C934E2"/>
    <w:rsid w:val="00C9353E"/>
    <w:rsid w:val="00C93598"/>
    <w:rsid w:val="00C9361B"/>
    <w:rsid w:val="00C93692"/>
    <w:rsid w:val="00C93782"/>
    <w:rsid w:val="00C938C6"/>
    <w:rsid w:val="00C939F7"/>
    <w:rsid w:val="00C93A0E"/>
    <w:rsid w:val="00C93BF5"/>
    <w:rsid w:val="00C93C3F"/>
    <w:rsid w:val="00C93CEB"/>
    <w:rsid w:val="00C93D68"/>
    <w:rsid w:val="00C93D8F"/>
    <w:rsid w:val="00C93E0D"/>
    <w:rsid w:val="00C93E8B"/>
    <w:rsid w:val="00C93EA8"/>
    <w:rsid w:val="00C93F4F"/>
    <w:rsid w:val="00C940CE"/>
    <w:rsid w:val="00C9422E"/>
    <w:rsid w:val="00C94335"/>
    <w:rsid w:val="00C943A7"/>
    <w:rsid w:val="00C943D7"/>
    <w:rsid w:val="00C94417"/>
    <w:rsid w:val="00C9449B"/>
    <w:rsid w:val="00C944CA"/>
    <w:rsid w:val="00C9457D"/>
    <w:rsid w:val="00C9458B"/>
    <w:rsid w:val="00C94656"/>
    <w:rsid w:val="00C94689"/>
    <w:rsid w:val="00C947E8"/>
    <w:rsid w:val="00C94809"/>
    <w:rsid w:val="00C948AE"/>
    <w:rsid w:val="00C94966"/>
    <w:rsid w:val="00C94980"/>
    <w:rsid w:val="00C94A65"/>
    <w:rsid w:val="00C94A8F"/>
    <w:rsid w:val="00C94AD4"/>
    <w:rsid w:val="00C94AEA"/>
    <w:rsid w:val="00C94B1E"/>
    <w:rsid w:val="00C94BE3"/>
    <w:rsid w:val="00C94BE6"/>
    <w:rsid w:val="00C94CB7"/>
    <w:rsid w:val="00C94DB8"/>
    <w:rsid w:val="00C94DD7"/>
    <w:rsid w:val="00C94E4A"/>
    <w:rsid w:val="00C94EE4"/>
    <w:rsid w:val="00C94F66"/>
    <w:rsid w:val="00C95007"/>
    <w:rsid w:val="00C95032"/>
    <w:rsid w:val="00C950C9"/>
    <w:rsid w:val="00C950EA"/>
    <w:rsid w:val="00C95241"/>
    <w:rsid w:val="00C9524E"/>
    <w:rsid w:val="00C9527C"/>
    <w:rsid w:val="00C95293"/>
    <w:rsid w:val="00C952EA"/>
    <w:rsid w:val="00C9531D"/>
    <w:rsid w:val="00C953AA"/>
    <w:rsid w:val="00C953C9"/>
    <w:rsid w:val="00C9544D"/>
    <w:rsid w:val="00C95577"/>
    <w:rsid w:val="00C955B6"/>
    <w:rsid w:val="00C955C7"/>
    <w:rsid w:val="00C955C9"/>
    <w:rsid w:val="00C9568F"/>
    <w:rsid w:val="00C958D8"/>
    <w:rsid w:val="00C959B2"/>
    <w:rsid w:val="00C95A02"/>
    <w:rsid w:val="00C95B7E"/>
    <w:rsid w:val="00C95BB0"/>
    <w:rsid w:val="00C95C45"/>
    <w:rsid w:val="00C95CD4"/>
    <w:rsid w:val="00C95E83"/>
    <w:rsid w:val="00C95E9B"/>
    <w:rsid w:val="00C95F48"/>
    <w:rsid w:val="00C9607D"/>
    <w:rsid w:val="00C963B7"/>
    <w:rsid w:val="00C963C6"/>
    <w:rsid w:val="00C964C4"/>
    <w:rsid w:val="00C964F8"/>
    <w:rsid w:val="00C9669D"/>
    <w:rsid w:val="00C966A6"/>
    <w:rsid w:val="00C966E7"/>
    <w:rsid w:val="00C96723"/>
    <w:rsid w:val="00C96737"/>
    <w:rsid w:val="00C9696A"/>
    <w:rsid w:val="00C96C93"/>
    <w:rsid w:val="00C96DC0"/>
    <w:rsid w:val="00C96DDD"/>
    <w:rsid w:val="00C96E10"/>
    <w:rsid w:val="00C96E81"/>
    <w:rsid w:val="00C96EA2"/>
    <w:rsid w:val="00C96F63"/>
    <w:rsid w:val="00C96F6F"/>
    <w:rsid w:val="00C96FB3"/>
    <w:rsid w:val="00C97007"/>
    <w:rsid w:val="00C97049"/>
    <w:rsid w:val="00C97074"/>
    <w:rsid w:val="00C97196"/>
    <w:rsid w:val="00C97246"/>
    <w:rsid w:val="00C97252"/>
    <w:rsid w:val="00C97299"/>
    <w:rsid w:val="00C97326"/>
    <w:rsid w:val="00C9735D"/>
    <w:rsid w:val="00C97449"/>
    <w:rsid w:val="00C97527"/>
    <w:rsid w:val="00C97594"/>
    <w:rsid w:val="00C97715"/>
    <w:rsid w:val="00C9775C"/>
    <w:rsid w:val="00C97761"/>
    <w:rsid w:val="00C9784A"/>
    <w:rsid w:val="00C97986"/>
    <w:rsid w:val="00C979A3"/>
    <w:rsid w:val="00C979CA"/>
    <w:rsid w:val="00C979DE"/>
    <w:rsid w:val="00C979E2"/>
    <w:rsid w:val="00C97A7C"/>
    <w:rsid w:val="00C97B4F"/>
    <w:rsid w:val="00C97C21"/>
    <w:rsid w:val="00C97CB3"/>
    <w:rsid w:val="00C97CDD"/>
    <w:rsid w:val="00C97CF1"/>
    <w:rsid w:val="00C97E1E"/>
    <w:rsid w:val="00C97EC3"/>
    <w:rsid w:val="00C97F4E"/>
    <w:rsid w:val="00C97FA2"/>
    <w:rsid w:val="00CA0068"/>
    <w:rsid w:val="00CA027C"/>
    <w:rsid w:val="00CA02CE"/>
    <w:rsid w:val="00CA03C9"/>
    <w:rsid w:val="00CA0410"/>
    <w:rsid w:val="00CA041B"/>
    <w:rsid w:val="00CA0477"/>
    <w:rsid w:val="00CA052D"/>
    <w:rsid w:val="00CA056A"/>
    <w:rsid w:val="00CA062F"/>
    <w:rsid w:val="00CA079E"/>
    <w:rsid w:val="00CA081F"/>
    <w:rsid w:val="00CA0838"/>
    <w:rsid w:val="00CA08EC"/>
    <w:rsid w:val="00CA0A0D"/>
    <w:rsid w:val="00CA0A22"/>
    <w:rsid w:val="00CA0A4F"/>
    <w:rsid w:val="00CA0A6F"/>
    <w:rsid w:val="00CA0A77"/>
    <w:rsid w:val="00CA0AE6"/>
    <w:rsid w:val="00CA0BB1"/>
    <w:rsid w:val="00CA0C24"/>
    <w:rsid w:val="00CA0C74"/>
    <w:rsid w:val="00CA0C85"/>
    <w:rsid w:val="00CA0CF5"/>
    <w:rsid w:val="00CA0D8E"/>
    <w:rsid w:val="00CA0D94"/>
    <w:rsid w:val="00CA0E52"/>
    <w:rsid w:val="00CA0ED0"/>
    <w:rsid w:val="00CA0EEE"/>
    <w:rsid w:val="00CA0F0C"/>
    <w:rsid w:val="00CA13D7"/>
    <w:rsid w:val="00CA1427"/>
    <w:rsid w:val="00CA1449"/>
    <w:rsid w:val="00CA1462"/>
    <w:rsid w:val="00CA149E"/>
    <w:rsid w:val="00CA14D4"/>
    <w:rsid w:val="00CA150E"/>
    <w:rsid w:val="00CA1619"/>
    <w:rsid w:val="00CA1666"/>
    <w:rsid w:val="00CA16BF"/>
    <w:rsid w:val="00CA177E"/>
    <w:rsid w:val="00CA1786"/>
    <w:rsid w:val="00CA1876"/>
    <w:rsid w:val="00CA1910"/>
    <w:rsid w:val="00CA19F9"/>
    <w:rsid w:val="00CA1AA1"/>
    <w:rsid w:val="00CA1C2C"/>
    <w:rsid w:val="00CA1D0D"/>
    <w:rsid w:val="00CA1D42"/>
    <w:rsid w:val="00CA1E0E"/>
    <w:rsid w:val="00CA1E39"/>
    <w:rsid w:val="00CA1E8E"/>
    <w:rsid w:val="00CA1EDD"/>
    <w:rsid w:val="00CA1EE1"/>
    <w:rsid w:val="00CA2060"/>
    <w:rsid w:val="00CA2066"/>
    <w:rsid w:val="00CA20A5"/>
    <w:rsid w:val="00CA211A"/>
    <w:rsid w:val="00CA2184"/>
    <w:rsid w:val="00CA21C5"/>
    <w:rsid w:val="00CA229E"/>
    <w:rsid w:val="00CA22DE"/>
    <w:rsid w:val="00CA231A"/>
    <w:rsid w:val="00CA2394"/>
    <w:rsid w:val="00CA23A7"/>
    <w:rsid w:val="00CA23D6"/>
    <w:rsid w:val="00CA242E"/>
    <w:rsid w:val="00CA260B"/>
    <w:rsid w:val="00CA2640"/>
    <w:rsid w:val="00CA264A"/>
    <w:rsid w:val="00CA2706"/>
    <w:rsid w:val="00CA278C"/>
    <w:rsid w:val="00CA288D"/>
    <w:rsid w:val="00CA28DF"/>
    <w:rsid w:val="00CA28FB"/>
    <w:rsid w:val="00CA296E"/>
    <w:rsid w:val="00CA2AA3"/>
    <w:rsid w:val="00CA2C9D"/>
    <w:rsid w:val="00CA2CF3"/>
    <w:rsid w:val="00CA2D02"/>
    <w:rsid w:val="00CA2D19"/>
    <w:rsid w:val="00CA2D33"/>
    <w:rsid w:val="00CA2E60"/>
    <w:rsid w:val="00CA2E91"/>
    <w:rsid w:val="00CA2F03"/>
    <w:rsid w:val="00CA2F4B"/>
    <w:rsid w:val="00CA2F4F"/>
    <w:rsid w:val="00CA3068"/>
    <w:rsid w:val="00CA3072"/>
    <w:rsid w:val="00CA30CF"/>
    <w:rsid w:val="00CA31F5"/>
    <w:rsid w:val="00CA32CA"/>
    <w:rsid w:val="00CA33D1"/>
    <w:rsid w:val="00CA349D"/>
    <w:rsid w:val="00CA36B1"/>
    <w:rsid w:val="00CA370D"/>
    <w:rsid w:val="00CA373A"/>
    <w:rsid w:val="00CA376D"/>
    <w:rsid w:val="00CA37F2"/>
    <w:rsid w:val="00CA38BB"/>
    <w:rsid w:val="00CA3968"/>
    <w:rsid w:val="00CA39F0"/>
    <w:rsid w:val="00CA39FD"/>
    <w:rsid w:val="00CA3A49"/>
    <w:rsid w:val="00CA3BD6"/>
    <w:rsid w:val="00CA3E08"/>
    <w:rsid w:val="00CA3E3E"/>
    <w:rsid w:val="00CA3EDB"/>
    <w:rsid w:val="00CA3F90"/>
    <w:rsid w:val="00CA4032"/>
    <w:rsid w:val="00CA40CA"/>
    <w:rsid w:val="00CA41E9"/>
    <w:rsid w:val="00CA4307"/>
    <w:rsid w:val="00CA437B"/>
    <w:rsid w:val="00CA440A"/>
    <w:rsid w:val="00CA4417"/>
    <w:rsid w:val="00CA447B"/>
    <w:rsid w:val="00CA44CF"/>
    <w:rsid w:val="00CA4532"/>
    <w:rsid w:val="00CA4535"/>
    <w:rsid w:val="00CA453A"/>
    <w:rsid w:val="00CA4667"/>
    <w:rsid w:val="00CA46A2"/>
    <w:rsid w:val="00CA478A"/>
    <w:rsid w:val="00CA47D4"/>
    <w:rsid w:val="00CA4860"/>
    <w:rsid w:val="00CA4999"/>
    <w:rsid w:val="00CA49D2"/>
    <w:rsid w:val="00CA4B76"/>
    <w:rsid w:val="00CA4B9B"/>
    <w:rsid w:val="00CA4C46"/>
    <w:rsid w:val="00CA4D21"/>
    <w:rsid w:val="00CA4D31"/>
    <w:rsid w:val="00CA4D6C"/>
    <w:rsid w:val="00CA4EA9"/>
    <w:rsid w:val="00CA4F78"/>
    <w:rsid w:val="00CA50CF"/>
    <w:rsid w:val="00CA516C"/>
    <w:rsid w:val="00CA519B"/>
    <w:rsid w:val="00CA531B"/>
    <w:rsid w:val="00CA539B"/>
    <w:rsid w:val="00CA53C7"/>
    <w:rsid w:val="00CA5405"/>
    <w:rsid w:val="00CA54EC"/>
    <w:rsid w:val="00CA550E"/>
    <w:rsid w:val="00CA5550"/>
    <w:rsid w:val="00CA5612"/>
    <w:rsid w:val="00CA5620"/>
    <w:rsid w:val="00CA562B"/>
    <w:rsid w:val="00CA5673"/>
    <w:rsid w:val="00CA5787"/>
    <w:rsid w:val="00CA584F"/>
    <w:rsid w:val="00CA5870"/>
    <w:rsid w:val="00CA58D7"/>
    <w:rsid w:val="00CA591B"/>
    <w:rsid w:val="00CA59A3"/>
    <w:rsid w:val="00CA5A80"/>
    <w:rsid w:val="00CA5ADC"/>
    <w:rsid w:val="00CA5B0D"/>
    <w:rsid w:val="00CA5B47"/>
    <w:rsid w:val="00CA5BA2"/>
    <w:rsid w:val="00CA5E60"/>
    <w:rsid w:val="00CA5EC1"/>
    <w:rsid w:val="00CA5EFE"/>
    <w:rsid w:val="00CA5FDF"/>
    <w:rsid w:val="00CA5FFC"/>
    <w:rsid w:val="00CA6129"/>
    <w:rsid w:val="00CA6149"/>
    <w:rsid w:val="00CA6179"/>
    <w:rsid w:val="00CA61D7"/>
    <w:rsid w:val="00CA62D7"/>
    <w:rsid w:val="00CA63BB"/>
    <w:rsid w:val="00CA641B"/>
    <w:rsid w:val="00CA64E8"/>
    <w:rsid w:val="00CA6523"/>
    <w:rsid w:val="00CA6575"/>
    <w:rsid w:val="00CA65D7"/>
    <w:rsid w:val="00CA6655"/>
    <w:rsid w:val="00CA670A"/>
    <w:rsid w:val="00CA671D"/>
    <w:rsid w:val="00CA69D9"/>
    <w:rsid w:val="00CA6A1D"/>
    <w:rsid w:val="00CA6A53"/>
    <w:rsid w:val="00CA6C4B"/>
    <w:rsid w:val="00CA6CA7"/>
    <w:rsid w:val="00CA6E04"/>
    <w:rsid w:val="00CA6E26"/>
    <w:rsid w:val="00CA6E45"/>
    <w:rsid w:val="00CA6E5D"/>
    <w:rsid w:val="00CA6E9C"/>
    <w:rsid w:val="00CA7216"/>
    <w:rsid w:val="00CA722B"/>
    <w:rsid w:val="00CA7394"/>
    <w:rsid w:val="00CA745F"/>
    <w:rsid w:val="00CA74F3"/>
    <w:rsid w:val="00CA75E3"/>
    <w:rsid w:val="00CA767D"/>
    <w:rsid w:val="00CA768B"/>
    <w:rsid w:val="00CA7703"/>
    <w:rsid w:val="00CA781A"/>
    <w:rsid w:val="00CA793A"/>
    <w:rsid w:val="00CA79DF"/>
    <w:rsid w:val="00CA79F7"/>
    <w:rsid w:val="00CA7A2D"/>
    <w:rsid w:val="00CA7B61"/>
    <w:rsid w:val="00CA7BBD"/>
    <w:rsid w:val="00CA7BF2"/>
    <w:rsid w:val="00CA7DDE"/>
    <w:rsid w:val="00CA7E23"/>
    <w:rsid w:val="00CA7FB7"/>
    <w:rsid w:val="00CA7FBF"/>
    <w:rsid w:val="00CB0134"/>
    <w:rsid w:val="00CB01A1"/>
    <w:rsid w:val="00CB01F7"/>
    <w:rsid w:val="00CB0227"/>
    <w:rsid w:val="00CB03DD"/>
    <w:rsid w:val="00CB04BC"/>
    <w:rsid w:val="00CB0504"/>
    <w:rsid w:val="00CB0524"/>
    <w:rsid w:val="00CB0617"/>
    <w:rsid w:val="00CB0658"/>
    <w:rsid w:val="00CB0686"/>
    <w:rsid w:val="00CB06F0"/>
    <w:rsid w:val="00CB0750"/>
    <w:rsid w:val="00CB08FA"/>
    <w:rsid w:val="00CB0B6D"/>
    <w:rsid w:val="00CB0DFB"/>
    <w:rsid w:val="00CB0E91"/>
    <w:rsid w:val="00CB0EAC"/>
    <w:rsid w:val="00CB0ECA"/>
    <w:rsid w:val="00CB1169"/>
    <w:rsid w:val="00CB128E"/>
    <w:rsid w:val="00CB12C8"/>
    <w:rsid w:val="00CB135B"/>
    <w:rsid w:val="00CB1440"/>
    <w:rsid w:val="00CB1456"/>
    <w:rsid w:val="00CB1461"/>
    <w:rsid w:val="00CB1628"/>
    <w:rsid w:val="00CB1678"/>
    <w:rsid w:val="00CB1682"/>
    <w:rsid w:val="00CB16A2"/>
    <w:rsid w:val="00CB17C0"/>
    <w:rsid w:val="00CB185B"/>
    <w:rsid w:val="00CB186A"/>
    <w:rsid w:val="00CB18E3"/>
    <w:rsid w:val="00CB1A23"/>
    <w:rsid w:val="00CB1A6C"/>
    <w:rsid w:val="00CB1BA5"/>
    <w:rsid w:val="00CB1C37"/>
    <w:rsid w:val="00CB1CD3"/>
    <w:rsid w:val="00CB1D9E"/>
    <w:rsid w:val="00CB2021"/>
    <w:rsid w:val="00CB208A"/>
    <w:rsid w:val="00CB220B"/>
    <w:rsid w:val="00CB2223"/>
    <w:rsid w:val="00CB2224"/>
    <w:rsid w:val="00CB2348"/>
    <w:rsid w:val="00CB23DC"/>
    <w:rsid w:val="00CB244E"/>
    <w:rsid w:val="00CB24AE"/>
    <w:rsid w:val="00CB255D"/>
    <w:rsid w:val="00CB262F"/>
    <w:rsid w:val="00CB2678"/>
    <w:rsid w:val="00CB2687"/>
    <w:rsid w:val="00CB27DD"/>
    <w:rsid w:val="00CB2903"/>
    <w:rsid w:val="00CB2938"/>
    <w:rsid w:val="00CB29CC"/>
    <w:rsid w:val="00CB2A94"/>
    <w:rsid w:val="00CB2C5E"/>
    <w:rsid w:val="00CB2CBA"/>
    <w:rsid w:val="00CB2D68"/>
    <w:rsid w:val="00CB2DC9"/>
    <w:rsid w:val="00CB2DF2"/>
    <w:rsid w:val="00CB2DF6"/>
    <w:rsid w:val="00CB2E36"/>
    <w:rsid w:val="00CB2EAC"/>
    <w:rsid w:val="00CB2F14"/>
    <w:rsid w:val="00CB2F72"/>
    <w:rsid w:val="00CB2FB1"/>
    <w:rsid w:val="00CB2FB2"/>
    <w:rsid w:val="00CB3054"/>
    <w:rsid w:val="00CB30D2"/>
    <w:rsid w:val="00CB30DE"/>
    <w:rsid w:val="00CB30EF"/>
    <w:rsid w:val="00CB312B"/>
    <w:rsid w:val="00CB3221"/>
    <w:rsid w:val="00CB324F"/>
    <w:rsid w:val="00CB33F8"/>
    <w:rsid w:val="00CB3484"/>
    <w:rsid w:val="00CB3492"/>
    <w:rsid w:val="00CB3580"/>
    <w:rsid w:val="00CB3694"/>
    <w:rsid w:val="00CB371B"/>
    <w:rsid w:val="00CB3795"/>
    <w:rsid w:val="00CB37CD"/>
    <w:rsid w:val="00CB39F7"/>
    <w:rsid w:val="00CB3A96"/>
    <w:rsid w:val="00CB3BDC"/>
    <w:rsid w:val="00CB3C44"/>
    <w:rsid w:val="00CB3C59"/>
    <w:rsid w:val="00CB3D33"/>
    <w:rsid w:val="00CB3DE7"/>
    <w:rsid w:val="00CB3DF6"/>
    <w:rsid w:val="00CB3DF9"/>
    <w:rsid w:val="00CB3DFC"/>
    <w:rsid w:val="00CB4020"/>
    <w:rsid w:val="00CB414B"/>
    <w:rsid w:val="00CB4344"/>
    <w:rsid w:val="00CB44E4"/>
    <w:rsid w:val="00CB457D"/>
    <w:rsid w:val="00CB4599"/>
    <w:rsid w:val="00CB459B"/>
    <w:rsid w:val="00CB45D3"/>
    <w:rsid w:val="00CB46A1"/>
    <w:rsid w:val="00CB46AD"/>
    <w:rsid w:val="00CB46B0"/>
    <w:rsid w:val="00CB46B1"/>
    <w:rsid w:val="00CB46C4"/>
    <w:rsid w:val="00CB47F5"/>
    <w:rsid w:val="00CB4835"/>
    <w:rsid w:val="00CB48EC"/>
    <w:rsid w:val="00CB4947"/>
    <w:rsid w:val="00CB4965"/>
    <w:rsid w:val="00CB4A2D"/>
    <w:rsid w:val="00CB4A5E"/>
    <w:rsid w:val="00CB4C45"/>
    <w:rsid w:val="00CB4D41"/>
    <w:rsid w:val="00CB4E07"/>
    <w:rsid w:val="00CB4F2F"/>
    <w:rsid w:val="00CB50F0"/>
    <w:rsid w:val="00CB51CE"/>
    <w:rsid w:val="00CB5254"/>
    <w:rsid w:val="00CB5289"/>
    <w:rsid w:val="00CB52E1"/>
    <w:rsid w:val="00CB5386"/>
    <w:rsid w:val="00CB53BB"/>
    <w:rsid w:val="00CB53C1"/>
    <w:rsid w:val="00CB5686"/>
    <w:rsid w:val="00CB56C2"/>
    <w:rsid w:val="00CB575A"/>
    <w:rsid w:val="00CB576B"/>
    <w:rsid w:val="00CB57EB"/>
    <w:rsid w:val="00CB58FB"/>
    <w:rsid w:val="00CB596A"/>
    <w:rsid w:val="00CB59F6"/>
    <w:rsid w:val="00CB5C06"/>
    <w:rsid w:val="00CB5C34"/>
    <w:rsid w:val="00CB5CB9"/>
    <w:rsid w:val="00CB5CCB"/>
    <w:rsid w:val="00CB5D6A"/>
    <w:rsid w:val="00CB5DEA"/>
    <w:rsid w:val="00CB5E81"/>
    <w:rsid w:val="00CB5F21"/>
    <w:rsid w:val="00CB60C1"/>
    <w:rsid w:val="00CB60DA"/>
    <w:rsid w:val="00CB61F8"/>
    <w:rsid w:val="00CB6216"/>
    <w:rsid w:val="00CB6241"/>
    <w:rsid w:val="00CB625C"/>
    <w:rsid w:val="00CB628E"/>
    <w:rsid w:val="00CB6315"/>
    <w:rsid w:val="00CB631D"/>
    <w:rsid w:val="00CB63CE"/>
    <w:rsid w:val="00CB6471"/>
    <w:rsid w:val="00CB6473"/>
    <w:rsid w:val="00CB6493"/>
    <w:rsid w:val="00CB653E"/>
    <w:rsid w:val="00CB6632"/>
    <w:rsid w:val="00CB66C7"/>
    <w:rsid w:val="00CB6702"/>
    <w:rsid w:val="00CB678B"/>
    <w:rsid w:val="00CB67FD"/>
    <w:rsid w:val="00CB6858"/>
    <w:rsid w:val="00CB68C0"/>
    <w:rsid w:val="00CB68E3"/>
    <w:rsid w:val="00CB698C"/>
    <w:rsid w:val="00CB6A3A"/>
    <w:rsid w:val="00CB6C73"/>
    <w:rsid w:val="00CB6D39"/>
    <w:rsid w:val="00CB6D67"/>
    <w:rsid w:val="00CB6FB8"/>
    <w:rsid w:val="00CB6FEF"/>
    <w:rsid w:val="00CB7067"/>
    <w:rsid w:val="00CB7089"/>
    <w:rsid w:val="00CB7143"/>
    <w:rsid w:val="00CB717C"/>
    <w:rsid w:val="00CB71E2"/>
    <w:rsid w:val="00CB71FE"/>
    <w:rsid w:val="00CB72E4"/>
    <w:rsid w:val="00CB731B"/>
    <w:rsid w:val="00CB736A"/>
    <w:rsid w:val="00CB73FB"/>
    <w:rsid w:val="00CB74B4"/>
    <w:rsid w:val="00CB76C4"/>
    <w:rsid w:val="00CB77BA"/>
    <w:rsid w:val="00CB7879"/>
    <w:rsid w:val="00CB78C0"/>
    <w:rsid w:val="00CB7959"/>
    <w:rsid w:val="00CB7BF5"/>
    <w:rsid w:val="00CB7CCC"/>
    <w:rsid w:val="00CB7DC8"/>
    <w:rsid w:val="00CB7F9E"/>
    <w:rsid w:val="00CB7FB5"/>
    <w:rsid w:val="00CB7FCD"/>
    <w:rsid w:val="00CC0005"/>
    <w:rsid w:val="00CC002C"/>
    <w:rsid w:val="00CC00BD"/>
    <w:rsid w:val="00CC016D"/>
    <w:rsid w:val="00CC01E7"/>
    <w:rsid w:val="00CC029F"/>
    <w:rsid w:val="00CC02FE"/>
    <w:rsid w:val="00CC03B8"/>
    <w:rsid w:val="00CC0410"/>
    <w:rsid w:val="00CC04D0"/>
    <w:rsid w:val="00CC054E"/>
    <w:rsid w:val="00CC055A"/>
    <w:rsid w:val="00CC0673"/>
    <w:rsid w:val="00CC08F6"/>
    <w:rsid w:val="00CC0906"/>
    <w:rsid w:val="00CC09CC"/>
    <w:rsid w:val="00CC09CE"/>
    <w:rsid w:val="00CC0A1D"/>
    <w:rsid w:val="00CC0A75"/>
    <w:rsid w:val="00CC0AF6"/>
    <w:rsid w:val="00CC0AF8"/>
    <w:rsid w:val="00CC0BE1"/>
    <w:rsid w:val="00CC0C0E"/>
    <w:rsid w:val="00CC0CA8"/>
    <w:rsid w:val="00CC0D01"/>
    <w:rsid w:val="00CC0D89"/>
    <w:rsid w:val="00CC0DA6"/>
    <w:rsid w:val="00CC0E29"/>
    <w:rsid w:val="00CC0E91"/>
    <w:rsid w:val="00CC0EA3"/>
    <w:rsid w:val="00CC0EAD"/>
    <w:rsid w:val="00CC0EB5"/>
    <w:rsid w:val="00CC0EC7"/>
    <w:rsid w:val="00CC0EDA"/>
    <w:rsid w:val="00CC0FB7"/>
    <w:rsid w:val="00CC0FC5"/>
    <w:rsid w:val="00CC0FF7"/>
    <w:rsid w:val="00CC111D"/>
    <w:rsid w:val="00CC11E8"/>
    <w:rsid w:val="00CC1247"/>
    <w:rsid w:val="00CC1428"/>
    <w:rsid w:val="00CC1506"/>
    <w:rsid w:val="00CC155A"/>
    <w:rsid w:val="00CC15BE"/>
    <w:rsid w:val="00CC15CA"/>
    <w:rsid w:val="00CC1696"/>
    <w:rsid w:val="00CC16F5"/>
    <w:rsid w:val="00CC172B"/>
    <w:rsid w:val="00CC17EC"/>
    <w:rsid w:val="00CC1898"/>
    <w:rsid w:val="00CC1930"/>
    <w:rsid w:val="00CC1A0C"/>
    <w:rsid w:val="00CC1A39"/>
    <w:rsid w:val="00CC1A90"/>
    <w:rsid w:val="00CC1B36"/>
    <w:rsid w:val="00CC1BB1"/>
    <w:rsid w:val="00CC1CA4"/>
    <w:rsid w:val="00CC1DB7"/>
    <w:rsid w:val="00CC1E11"/>
    <w:rsid w:val="00CC1ED7"/>
    <w:rsid w:val="00CC1F01"/>
    <w:rsid w:val="00CC2008"/>
    <w:rsid w:val="00CC20D0"/>
    <w:rsid w:val="00CC2144"/>
    <w:rsid w:val="00CC2182"/>
    <w:rsid w:val="00CC2183"/>
    <w:rsid w:val="00CC228A"/>
    <w:rsid w:val="00CC231E"/>
    <w:rsid w:val="00CC2587"/>
    <w:rsid w:val="00CC2634"/>
    <w:rsid w:val="00CC2722"/>
    <w:rsid w:val="00CC2787"/>
    <w:rsid w:val="00CC27D5"/>
    <w:rsid w:val="00CC280D"/>
    <w:rsid w:val="00CC2860"/>
    <w:rsid w:val="00CC2940"/>
    <w:rsid w:val="00CC2A22"/>
    <w:rsid w:val="00CC2B20"/>
    <w:rsid w:val="00CC2B22"/>
    <w:rsid w:val="00CC2B2E"/>
    <w:rsid w:val="00CC2B5C"/>
    <w:rsid w:val="00CC2BD1"/>
    <w:rsid w:val="00CC2C5F"/>
    <w:rsid w:val="00CC2D5E"/>
    <w:rsid w:val="00CC2E97"/>
    <w:rsid w:val="00CC2EDD"/>
    <w:rsid w:val="00CC2F03"/>
    <w:rsid w:val="00CC301E"/>
    <w:rsid w:val="00CC3105"/>
    <w:rsid w:val="00CC3140"/>
    <w:rsid w:val="00CC3292"/>
    <w:rsid w:val="00CC331F"/>
    <w:rsid w:val="00CC3330"/>
    <w:rsid w:val="00CC3404"/>
    <w:rsid w:val="00CC346B"/>
    <w:rsid w:val="00CC34DB"/>
    <w:rsid w:val="00CC3592"/>
    <w:rsid w:val="00CC35DE"/>
    <w:rsid w:val="00CC3697"/>
    <w:rsid w:val="00CC3731"/>
    <w:rsid w:val="00CC391E"/>
    <w:rsid w:val="00CC3964"/>
    <w:rsid w:val="00CC3A4B"/>
    <w:rsid w:val="00CC3B77"/>
    <w:rsid w:val="00CC3B94"/>
    <w:rsid w:val="00CC3BFF"/>
    <w:rsid w:val="00CC3CD5"/>
    <w:rsid w:val="00CC3D92"/>
    <w:rsid w:val="00CC3FE1"/>
    <w:rsid w:val="00CC4015"/>
    <w:rsid w:val="00CC4051"/>
    <w:rsid w:val="00CC40B3"/>
    <w:rsid w:val="00CC40F6"/>
    <w:rsid w:val="00CC4193"/>
    <w:rsid w:val="00CC425A"/>
    <w:rsid w:val="00CC4295"/>
    <w:rsid w:val="00CC42C1"/>
    <w:rsid w:val="00CC42CE"/>
    <w:rsid w:val="00CC42EC"/>
    <w:rsid w:val="00CC4401"/>
    <w:rsid w:val="00CC4475"/>
    <w:rsid w:val="00CC4484"/>
    <w:rsid w:val="00CC4518"/>
    <w:rsid w:val="00CC4533"/>
    <w:rsid w:val="00CC473D"/>
    <w:rsid w:val="00CC4801"/>
    <w:rsid w:val="00CC480A"/>
    <w:rsid w:val="00CC4935"/>
    <w:rsid w:val="00CC499B"/>
    <w:rsid w:val="00CC4A46"/>
    <w:rsid w:val="00CC4B16"/>
    <w:rsid w:val="00CC4C25"/>
    <w:rsid w:val="00CC4C8F"/>
    <w:rsid w:val="00CC4D10"/>
    <w:rsid w:val="00CC4E4D"/>
    <w:rsid w:val="00CC4F0A"/>
    <w:rsid w:val="00CC4F22"/>
    <w:rsid w:val="00CC4F89"/>
    <w:rsid w:val="00CC4FF6"/>
    <w:rsid w:val="00CC5037"/>
    <w:rsid w:val="00CC5059"/>
    <w:rsid w:val="00CC5134"/>
    <w:rsid w:val="00CC514B"/>
    <w:rsid w:val="00CC5150"/>
    <w:rsid w:val="00CC518B"/>
    <w:rsid w:val="00CC528E"/>
    <w:rsid w:val="00CC52D2"/>
    <w:rsid w:val="00CC5313"/>
    <w:rsid w:val="00CC5347"/>
    <w:rsid w:val="00CC536F"/>
    <w:rsid w:val="00CC555D"/>
    <w:rsid w:val="00CC55D8"/>
    <w:rsid w:val="00CC56CC"/>
    <w:rsid w:val="00CC56EB"/>
    <w:rsid w:val="00CC5759"/>
    <w:rsid w:val="00CC57A4"/>
    <w:rsid w:val="00CC580F"/>
    <w:rsid w:val="00CC5837"/>
    <w:rsid w:val="00CC58D1"/>
    <w:rsid w:val="00CC5937"/>
    <w:rsid w:val="00CC598D"/>
    <w:rsid w:val="00CC5A54"/>
    <w:rsid w:val="00CC5BC0"/>
    <w:rsid w:val="00CC5C2F"/>
    <w:rsid w:val="00CC5C3D"/>
    <w:rsid w:val="00CC5CCF"/>
    <w:rsid w:val="00CC5D1D"/>
    <w:rsid w:val="00CC5E04"/>
    <w:rsid w:val="00CC5E64"/>
    <w:rsid w:val="00CC5E75"/>
    <w:rsid w:val="00CC5EC3"/>
    <w:rsid w:val="00CC5EF8"/>
    <w:rsid w:val="00CC5EF9"/>
    <w:rsid w:val="00CC5F09"/>
    <w:rsid w:val="00CC5F92"/>
    <w:rsid w:val="00CC60AF"/>
    <w:rsid w:val="00CC6104"/>
    <w:rsid w:val="00CC6110"/>
    <w:rsid w:val="00CC6169"/>
    <w:rsid w:val="00CC622E"/>
    <w:rsid w:val="00CC6250"/>
    <w:rsid w:val="00CC62B1"/>
    <w:rsid w:val="00CC6389"/>
    <w:rsid w:val="00CC66B5"/>
    <w:rsid w:val="00CC67FA"/>
    <w:rsid w:val="00CC6869"/>
    <w:rsid w:val="00CC687E"/>
    <w:rsid w:val="00CC68D4"/>
    <w:rsid w:val="00CC691D"/>
    <w:rsid w:val="00CC6A04"/>
    <w:rsid w:val="00CC6AA4"/>
    <w:rsid w:val="00CC6BBD"/>
    <w:rsid w:val="00CC6BC7"/>
    <w:rsid w:val="00CC6C09"/>
    <w:rsid w:val="00CC6D21"/>
    <w:rsid w:val="00CC6D91"/>
    <w:rsid w:val="00CC6DBA"/>
    <w:rsid w:val="00CC6EA6"/>
    <w:rsid w:val="00CC6F50"/>
    <w:rsid w:val="00CC722B"/>
    <w:rsid w:val="00CC7253"/>
    <w:rsid w:val="00CC7272"/>
    <w:rsid w:val="00CC7278"/>
    <w:rsid w:val="00CC752F"/>
    <w:rsid w:val="00CC755B"/>
    <w:rsid w:val="00CC7580"/>
    <w:rsid w:val="00CC7605"/>
    <w:rsid w:val="00CC762A"/>
    <w:rsid w:val="00CC76CA"/>
    <w:rsid w:val="00CC77B7"/>
    <w:rsid w:val="00CC77F8"/>
    <w:rsid w:val="00CC7802"/>
    <w:rsid w:val="00CC78DA"/>
    <w:rsid w:val="00CC7A0E"/>
    <w:rsid w:val="00CC7B77"/>
    <w:rsid w:val="00CC7CF9"/>
    <w:rsid w:val="00CC7DF5"/>
    <w:rsid w:val="00CC7E2E"/>
    <w:rsid w:val="00CC7EA5"/>
    <w:rsid w:val="00CC7EC4"/>
    <w:rsid w:val="00CC7FA6"/>
    <w:rsid w:val="00CC7FE2"/>
    <w:rsid w:val="00CD00E1"/>
    <w:rsid w:val="00CD0119"/>
    <w:rsid w:val="00CD03C3"/>
    <w:rsid w:val="00CD0480"/>
    <w:rsid w:val="00CD04D9"/>
    <w:rsid w:val="00CD04E0"/>
    <w:rsid w:val="00CD0526"/>
    <w:rsid w:val="00CD0683"/>
    <w:rsid w:val="00CD072B"/>
    <w:rsid w:val="00CD0833"/>
    <w:rsid w:val="00CD0917"/>
    <w:rsid w:val="00CD0964"/>
    <w:rsid w:val="00CD09A8"/>
    <w:rsid w:val="00CD09E7"/>
    <w:rsid w:val="00CD0A45"/>
    <w:rsid w:val="00CD0A61"/>
    <w:rsid w:val="00CD0B40"/>
    <w:rsid w:val="00CD0BED"/>
    <w:rsid w:val="00CD0CC7"/>
    <w:rsid w:val="00CD0CFD"/>
    <w:rsid w:val="00CD0D30"/>
    <w:rsid w:val="00CD0D63"/>
    <w:rsid w:val="00CD0DC9"/>
    <w:rsid w:val="00CD0F0D"/>
    <w:rsid w:val="00CD0F2E"/>
    <w:rsid w:val="00CD0FB3"/>
    <w:rsid w:val="00CD0FC8"/>
    <w:rsid w:val="00CD10A5"/>
    <w:rsid w:val="00CD12BB"/>
    <w:rsid w:val="00CD1300"/>
    <w:rsid w:val="00CD133E"/>
    <w:rsid w:val="00CD1436"/>
    <w:rsid w:val="00CD1553"/>
    <w:rsid w:val="00CD1580"/>
    <w:rsid w:val="00CD165D"/>
    <w:rsid w:val="00CD16E5"/>
    <w:rsid w:val="00CD177D"/>
    <w:rsid w:val="00CD17BF"/>
    <w:rsid w:val="00CD180F"/>
    <w:rsid w:val="00CD190A"/>
    <w:rsid w:val="00CD1A28"/>
    <w:rsid w:val="00CD1A34"/>
    <w:rsid w:val="00CD1AC4"/>
    <w:rsid w:val="00CD1AC6"/>
    <w:rsid w:val="00CD1B15"/>
    <w:rsid w:val="00CD1B62"/>
    <w:rsid w:val="00CD1CAD"/>
    <w:rsid w:val="00CD1CBD"/>
    <w:rsid w:val="00CD1D18"/>
    <w:rsid w:val="00CD1E10"/>
    <w:rsid w:val="00CD1E1A"/>
    <w:rsid w:val="00CD1E7F"/>
    <w:rsid w:val="00CD1E9C"/>
    <w:rsid w:val="00CD1F9D"/>
    <w:rsid w:val="00CD20F7"/>
    <w:rsid w:val="00CD210A"/>
    <w:rsid w:val="00CD2160"/>
    <w:rsid w:val="00CD21BB"/>
    <w:rsid w:val="00CD220A"/>
    <w:rsid w:val="00CD2230"/>
    <w:rsid w:val="00CD227B"/>
    <w:rsid w:val="00CD22DE"/>
    <w:rsid w:val="00CD264F"/>
    <w:rsid w:val="00CD268F"/>
    <w:rsid w:val="00CD278F"/>
    <w:rsid w:val="00CD2815"/>
    <w:rsid w:val="00CD288C"/>
    <w:rsid w:val="00CD289F"/>
    <w:rsid w:val="00CD2907"/>
    <w:rsid w:val="00CD293A"/>
    <w:rsid w:val="00CD2A06"/>
    <w:rsid w:val="00CD2A29"/>
    <w:rsid w:val="00CD2A96"/>
    <w:rsid w:val="00CD2B05"/>
    <w:rsid w:val="00CD2B1E"/>
    <w:rsid w:val="00CD2B51"/>
    <w:rsid w:val="00CD2C35"/>
    <w:rsid w:val="00CD2C54"/>
    <w:rsid w:val="00CD2C78"/>
    <w:rsid w:val="00CD2CA8"/>
    <w:rsid w:val="00CD2CAD"/>
    <w:rsid w:val="00CD2D08"/>
    <w:rsid w:val="00CD2E26"/>
    <w:rsid w:val="00CD2EB5"/>
    <w:rsid w:val="00CD2EDA"/>
    <w:rsid w:val="00CD2FB5"/>
    <w:rsid w:val="00CD30FE"/>
    <w:rsid w:val="00CD3150"/>
    <w:rsid w:val="00CD3238"/>
    <w:rsid w:val="00CD325B"/>
    <w:rsid w:val="00CD3341"/>
    <w:rsid w:val="00CD3621"/>
    <w:rsid w:val="00CD3666"/>
    <w:rsid w:val="00CD3678"/>
    <w:rsid w:val="00CD36B4"/>
    <w:rsid w:val="00CD37F9"/>
    <w:rsid w:val="00CD3896"/>
    <w:rsid w:val="00CD389C"/>
    <w:rsid w:val="00CD38E2"/>
    <w:rsid w:val="00CD390E"/>
    <w:rsid w:val="00CD3B4F"/>
    <w:rsid w:val="00CD3B7C"/>
    <w:rsid w:val="00CD3B85"/>
    <w:rsid w:val="00CD3C60"/>
    <w:rsid w:val="00CD3CDF"/>
    <w:rsid w:val="00CD3D79"/>
    <w:rsid w:val="00CD3DC0"/>
    <w:rsid w:val="00CD3DF0"/>
    <w:rsid w:val="00CD3E23"/>
    <w:rsid w:val="00CD3E2D"/>
    <w:rsid w:val="00CD3FB1"/>
    <w:rsid w:val="00CD3FDC"/>
    <w:rsid w:val="00CD4058"/>
    <w:rsid w:val="00CD413E"/>
    <w:rsid w:val="00CD42F6"/>
    <w:rsid w:val="00CD4517"/>
    <w:rsid w:val="00CD4589"/>
    <w:rsid w:val="00CD45E2"/>
    <w:rsid w:val="00CD462A"/>
    <w:rsid w:val="00CD4685"/>
    <w:rsid w:val="00CD472B"/>
    <w:rsid w:val="00CD48C2"/>
    <w:rsid w:val="00CD491B"/>
    <w:rsid w:val="00CD498F"/>
    <w:rsid w:val="00CD4A4C"/>
    <w:rsid w:val="00CD4A67"/>
    <w:rsid w:val="00CD4A72"/>
    <w:rsid w:val="00CD4ACB"/>
    <w:rsid w:val="00CD4B51"/>
    <w:rsid w:val="00CD4BB4"/>
    <w:rsid w:val="00CD4C16"/>
    <w:rsid w:val="00CD4C7A"/>
    <w:rsid w:val="00CD4CF3"/>
    <w:rsid w:val="00CD4CFA"/>
    <w:rsid w:val="00CD4D8A"/>
    <w:rsid w:val="00CD4D8E"/>
    <w:rsid w:val="00CD4F6B"/>
    <w:rsid w:val="00CD4FD4"/>
    <w:rsid w:val="00CD508E"/>
    <w:rsid w:val="00CD5292"/>
    <w:rsid w:val="00CD52F6"/>
    <w:rsid w:val="00CD535B"/>
    <w:rsid w:val="00CD5593"/>
    <w:rsid w:val="00CD568C"/>
    <w:rsid w:val="00CD569D"/>
    <w:rsid w:val="00CD56ED"/>
    <w:rsid w:val="00CD5747"/>
    <w:rsid w:val="00CD576C"/>
    <w:rsid w:val="00CD57BD"/>
    <w:rsid w:val="00CD5825"/>
    <w:rsid w:val="00CD5845"/>
    <w:rsid w:val="00CD58B5"/>
    <w:rsid w:val="00CD59EF"/>
    <w:rsid w:val="00CD5B38"/>
    <w:rsid w:val="00CD5BA5"/>
    <w:rsid w:val="00CD5CEA"/>
    <w:rsid w:val="00CD5D04"/>
    <w:rsid w:val="00CD5D14"/>
    <w:rsid w:val="00CD5D38"/>
    <w:rsid w:val="00CD5DEB"/>
    <w:rsid w:val="00CD5ECD"/>
    <w:rsid w:val="00CD5F6C"/>
    <w:rsid w:val="00CD5F6F"/>
    <w:rsid w:val="00CD5FE8"/>
    <w:rsid w:val="00CD60A1"/>
    <w:rsid w:val="00CD610D"/>
    <w:rsid w:val="00CD6132"/>
    <w:rsid w:val="00CD6203"/>
    <w:rsid w:val="00CD626E"/>
    <w:rsid w:val="00CD62E2"/>
    <w:rsid w:val="00CD6374"/>
    <w:rsid w:val="00CD64A7"/>
    <w:rsid w:val="00CD64E7"/>
    <w:rsid w:val="00CD6718"/>
    <w:rsid w:val="00CD6762"/>
    <w:rsid w:val="00CD67EE"/>
    <w:rsid w:val="00CD681D"/>
    <w:rsid w:val="00CD6825"/>
    <w:rsid w:val="00CD6836"/>
    <w:rsid w:val="00CD6959"/>
    <w:rsid w:val="00CD6A28"/>
    <w:rsid w:val="00CD6A64"/>
    <w:rsid w:val="00CD6A86"/>
    <w:rsid w:val="00CD6B12"/>
    <w:rsid w:val="00CD6BC6"/>
    <w:rsid w:val="00CD6C95"/>
    <w:rsid w:val="00CD6CC9"/>
    <w:rsid w:val="00CD6ED2"/>
    <w:rsid w:val="00CD7105"/>
    <w:rsid w:val="00CD7269"/>
    <w:rsid w:val="00CD726F"/>
    <w:rsid w:val="00CD7273"/>
    <w:rsid w:val="00CD7278"/>
    <w:rsid w:val="00CD74AC"/>
    <w:rsid w:val="00CD74E5"/>
    <w:rsid w:val="00CD757A"/>
    <w:rsid w:val="00CD75EA"/>
    <w:rsid w:val="00CD762D"/>
    <w:rsid w:val="00CD7687"/>
    <w:rsid w:val="00CD7690"/>
    <w:rsid w:val="00CD76CA"/>
    <w:rsid w:val="00CD7759"/>
    <w:rsid w:val="00CD78B9"/>
    <w:rsid w:val="00CD7908"/>
    <w:rsid w:val="00CD7A04"/>
    <w:rsid w:val="00CD7A53"/>
    <w:rsid w:val="00CD7ADA"/>
    <w:rsid w:val="00CD7B5A"/>
    <w:rsid w:val="00CD7C67"/>
    <w:rsid w:val="00CD7CD4"/>
    <w:rsid w:val="00CD7DB0"/>
    <w:rsid w:val="00CD7DCF"/>
    <w:rsid w:val="00CD7E1D"/>
    <w:rsid w:val="00CE00C2"/>
    <w:rsid w:val="00CE01E6"/>
    <w:rsid w:val="00CE01F9"/>
    <w:rsid w:val="00CE023A"/>
    <w:rsid w:val="00CE034C"/>
    <w:rsid w:val="00CE0389"/>
    <w:rsid w:val="00CE0444"/>
    <w:rsid w:val="00CE0474"/>
    <w:rsid w:val="00CE0477"/>
    <w:rsid w:val="00CE054A"/>
    <w:rsid w:val="00CE05D9"/>
    <w:rsid w:val="00CE05FE"/>
    <w:rsid w:val="00CE0693"/>
    <w:rsid w:val="00CE0755"/>
    <w:rsid w:val="00CE080F"/>
    <w:rsid w:val="00CE083C"/>
    <w:rsid w:val="00CE0A30"/>
    <w:rsid w:val="00CE0A82"/>
    <w:rsid w:val="00CE0A93"/>
    <w:rsid w:val="00CE0B7D"/>
    <w:rsid w:val="00CE0BE1"/>
    <w:rsid w:val="00CE0C7B"/>
    <w:rsid w:val="00CE0D09"/>
    <w:rsid w:val="00CE0DE8"/>
    <w:rsid w:val="00CE0E63"/>
    <w:rsid w:val="00CE0F2B"/>
    <w:rsid w:val="00CE0FEC"/>
    <w:rsid w:val="00CE103B"/>
    <w:rsid w:val="00CE10E6"/>
    <w:rsid w:val="00CE10FC"/>
    <w:rsid w:val="00CE124B"/>
    <w:rsid w:val="00CE1371"/>
    <w:rsid w:val="00CE1378"/>
    <w:rsid w:val="00CE1383"/>
    <w:rsid w:val="00CE13BC"/>
    <w:rsid w:val="00CE13FA"/>
    <w:rsid w:val="00CE14EF"/>
    <w:rsid w:val="00CE14F1"/>
    <w:rsid w:val="00CE1582"/>
    <w:rsid w:val="00CE165B"/>
    <w:rsid w:val="00CE16C5"/>
    <w:rsid w:val="00CE1724"/>
    <w:rsid w:val="00CE1771"/>
    <w:rsid w:val="00CE1774"/>
    <w:rsid w:val="00CE197C"/>
    <w:rsid w:val="00CE1B0C"/>
    <w:rsid w:val="00CE1BEB"/>
    <w:rsid w:val="00CE1C2F"/>
    <w:rsid w:val="00CE1C6F"/>
    <w:rsid w:val="00CE1DCA"/>
    <w:rsid w:val="00CE1E35"/>
    <w:rsid w:val="00CE1EAA"/>
    <w:rsid w:val="00CE1EE0"/>
    <w:rsid w:val="00CE1FF1"/>
    <w:rsid w:val="00CE205D"/>
    <w:rsid w:val="00CE2207"/>
    <w:rsid w:val="00CE243D"/>
    <w:rsid w:val="00CE2463"/>
    <w:rsid w:val="00CE248B"/>
    <w:rsid w:val="00CE250E"/>
    <w:rsid w:val="00CE268F"/>
    <w:rsid w:val="00CE26CC"/>
    <w:rsid w:val="00CE28BE"/>
    <w:rsid w:val="00CE28F8"/>
    <w:rsid w:val="00CE29FB"/>
    <w:rsid w:val="00CE2A8B"/>
    <w:rsid w:val="00CE2BC3"/>
    <w:rsid w:val="00CE2BFD"/>
    <w:rsid w:val="00CE2CA6"/>
    <w:rsid w:val="00CE2D9D"/>
    <w:rsid w:val="00CE2DB0"/>
    <w:rsid w:val="00CE2ED0"/>
    <w:rsid w:val="00CE2EDB"/>
    <w:rsid w:val="00CE2F03"/>
    <w:rsid w:val="00CE2F18"/>
    <w:rsid w:val="00CE30D1"/>
    <w:rsid w:val="00CE31C2"/>
    <w:rsid w:val="00CE32FD"/>
    <w:rsid w:val="00CE3344"/>
    <w:rsid w:val="00CE338E"/>
    <w:rsid w:val="00CE341E"/>
    <w:rsid w:val="00CE34CF"/>
    <w:rsid w:val="00CE35C2"/>
    <w:rsid w:val="00CE36AC"/>
    <w:rsid w:val="00CE36FF"/>
    <w:rsid w:val="00CE3744"/>
    <w:rsid w:val="00CE3760"/>
    <w:rsid w:val="00CE3763"/>
    <w:rsid w:val="00CE37EB"/>
    <w:rsid w:val="00CE3884"/>
    <w:rsid w:val="00CE39A2"/>
    <w:rsid w:val="00CE3AFF"/>
    <w:rsid w:val="00CE3BF5"/>
    <w:rsid w:val="00CE3C0D"/>
    <w:rsid w:val="00CE3C74"/>
    <w:rsid w:val="00CE3D9A"/>
    <w:rsid w:val="00CE3FFF"/>
    <w:rsid w:val="00CE4062"/>
    <w:rsid w:val="00CE4104"/>
    <w:rsid w:val="00CE412C"/>
    <w:rsid w:val="00CE4187"/>
    <w:rsid w:val="00CE4206"/>
    <w:rsid w:val="00CE430B"/>
    <w:rsid w:val="00CE43CC"/>
    <w:rsid w:val="00CE43D9"/>
    <w:rsid w:val="00CE43F8"/>
    <w:rsid w:val="00CE443F"/>
    <w:rsid w:val="00CE4495"/>
    <w:rsid w:val="00CE4511"/>
    <w:rsid w:val="00CE4557"/>
    <w:rsid w:val="00CE464B"/>
    <w:rsid w:val="00CE4660"/>
    <w:rsid w:val="00CE467E"/>
    <w:rsid w:val="00CE46B1"/>
    <w:rsid w:val="00CE4874"/>
    <w:rsid w:val="00CE48B2"/>
    <w:rsid w:val="00CE4966"/>
    <w:rsid w:val="00CE4995"/>
    <w:rsid w:val="00CE49D4"/>
    <w:rsid w:val="00CE49E2"/>
    <w:rsid w:val="00CE49F8"/>
    <w:rsid w:val="00CE4A8F"/>
    <w:rsid w:val="00CE4AC1"/>
    <w:rsid w:val="00CE4B0B"/>
    <w:rsid w:val="00CE4B1D"/>
    <w:rsid w:val="00CE4B1F"/>
    <w:rsid w:val="00CE4B84"/>
    <w:rsid w:val="00CE4C0E"/>
    <w:rsid w:val="00CE4CF8"/>
    <w:rsid w:val="00CE4D99"/>
    <w:rsid w:val="00CE4E01"/>
    <w:rsid w:val="00CE4F13"/>
    <w:rsid w:val="00CE4F38"/>
    <w:rsid w:val="00CE50A2"/>
    <w:rsid w:val="00CE50A5"/>
    <w:rsid w:val="00CE50AF"/>
    <w:rsid w:val="00CE50E0"/>
    <w:rsid w:val="00CE50EB"/>
    <w:rsid w:val="00CE515F"/>
    <w:rsid w:val="00CE520A"/>
    <w:rsid w:val="00CE521F"/>
    <w:rsid w:val="00CE5248"/>
    <w:rsid w:val="00CE5479"/>
    <w:rsid w:val="00CE5594"/>
    <w:rsid w:val="00CE5622"/>
    <w:rsid w:val="00CE56D7"/>
    <w:rsid w:val="00CE582E"/>
    <w:rsid w:val="00CE5843"/>
    <w:rsid w:val="00CE5844"/>
    <w:rsid w:val="00CE5858"/>
    <w:rsid w:val="00CE5A53"/>
    <w:rsid w:val="00CE5AEC"/>
    <w:rsid w:val="00CE5B07"/>
    <w:rsid w:val="00CE5BA3"/>
    <w:rsid w:val="00CE5BFD"/>
    <w:rsid w:val="00CE5D60"/>
    <w:rsid w:val="00CE5D90"/>
    <w:rsid w:val="00CE5DB6"/>
    <w:rsid w:val="00CE5E99"/>
    <w:rsid w:val="00CE5F8D"/>
    <w:rsid w:val="00CE5F96"/>
    <w:rsid w:val="00CE60C7"/>
    <w:rsid w:val="00CE615C"/>
    <w:rsid w:val="00CE620A"/>
    <w:rsid w:val="00CE6238"/>
    <w:rsid w:val="00CE6249"/>
    <w:rsid w:val="00CE6288"/>
    <w:rsid w:val="00CE6466"/>
    <w:rsid w:val="00CE65C0"/>
    <w:rsid w:val="00CE6647"/>
    <w:rsid w:val="00CE66CB"/>
    <w:rsid w:val="00CE66F8"/>
    <w:rsid w:val="00CE6756"/>
    <w:rsid w:val="00CE6827"/>
    <w:rsid w:val="00CE68AB"/>
    <w:rsid w:val="00CE69B6"/>
    <w:rsid w:val="00CE6A3B"/>
    <w:rsid w:val="00CE6ABB"/>
    <w:rsid w:val="00CE6B68"/>
    <w:rsid w:val="00CE6CE7"/>
    <w:rsid w:val="00CE6D98"/>
    <w:rsid w:val="00CE6E58"/>
    <w:rsid w:val="00CE6ED2"/>
    <w:rsid w:val="00CE6FC9"/>
    <w:rsid w:val="00CE7058"/>
    <w:rsid w:val="00CE722A"/>
    <w:rsid w:val="00CE72F2"/>
    <w:rsid w:val="00CE7397"/>
    <w:rsid w:val="00CE7399"/>
    <w:rsid w:val="00CE73E0"/>
    <w:rsid w:val="00CE740E"/>
    <w:rsid w:val="00CE7437"/>
    <w:rsid w:val="00CE7509"/>
    <w:rsid w:val="00CE75A8"/>
    <w:rsid w:val="00CE766A"/>
    <w:rsid w:val="00CE768F"/>
    <w:rsid w:val="00CE76A0"/>
    <w:rsid w:val="00CE76F2"/>
    <w:rsid w:val="00CE771B"/>
    <w:rsid w:val="00CE772E"/>
    <w:rsid w:val="00CE783B"/>
    <w:rsid w:val="00CE794D"/>
    <w:rsid w:val="00CE7A65"/>
    <w:rsid w:val="00CE7A8D"/>
    <w:rsid w:val="00CE7AA8"/>
    <w:rsid w:val="00CE7AB5"/>
    <w:rsid w:val="00CE7B29"/>
    <w:rsid w:val="00CE7B68"/>
    <w:rsid w:val="00CE7BA8"/>
    <w:rsid w:val="00CE7C60"/>
    <w:rsid w:val="00CE7CA4"/>
    <w:rsid w:val="00CE7D6E"/>
    <w:rsid w:val="00CE7DAC"/>
    <w:rsid w:val="00CE7F5D"/>
    <w:rsid w:val="00CF000B"/>
    <w:rsid w:val="00CF01E3"/>
    <w:rsid w:val="00CF0249"/>
    <w:rsid w:val="00CF0352"/>
    <w:rsid w:val="00CF049A"/>
    <w:rsid w:val="00CF04C9"/>
    <w:rsid w:val="00CF0512"/>
    <w:rsid w:val="00CF05A1"/>
    <w:rsid w:val="00CF0659"/>
    <w:rsid w:val="00CF0684"/>
    <w:rsid w:val="00CF069D"/>
    <w:rsid w:val="00CF06C3"/>
    <w:rsid w:val="00CF0785"/>
    <w:rsid w:val="00CF079B"/>
    <w:rsid w:val="00CF0826"/>
    <w:rsid w:val="00CF0948"/>
    <w:rsid w:val="00CF0998"/>
    <w:rsid w:val="00CF0AE7"/>
    <w:rsid w:val="00CF0B6B"/>
    <w:rsid w:val="00CF0BDB"/>
    <w:rsid w:val="00CF0C57"/>
    <w:rsid w:val="00CF0C63"/>
    <w:rsid w:val="00CF0C80"/>
    <w:rsid w:val="00CF0D1B"/>
    <w:rsid w:val="00CF0D5C"/>
    <w:rsid w:val="00CF0D6F"/>
    <w:rsid w:val="00CF1077"/>
    <w:rsid w:val="00CF11A6"/>
    <w:rsid w:val="00CF11F2"/>
    <w:rsid w:val="00CF1213"/>
    <w:rsid w:val="00CF126D"/>
    <w:rsid w:val="00CF12F8"/>
    <w:rsid w:val="00CF132F"/>
    <w:rsid w:val="00CF13A2"/>
    <w:rsid w:val="00CF13A4"/>
    <w:rsid w:val="00CF13B9"/>
    <w:rsid w:val="00CF13FC"/>
    <w:rsid w:val="00CF146B"/>
    <w:rsid w:val="00CF1592"/>
    <w:rsid w:val="00CF15A1"/>
    <w:rsid w:val="00CF1636"/>
    <w:rsid w:val="00CF1644"/>
    <w:rsid w:val="00CF1739"/>
    <w:rsid w:val="00CF17E3"/>
    <w:rsid w:val="00CF1845"/>
    <w:rsid w:val="00CF1860"/>
    <w:rsid w:val="00CF19BC"/>
    <w:rsid w:val="00CF1B5F"/>
    <w:rsid w:val="00CF1B6A"/>
    <w:rsid w:val="00CF1F18"/>
    <w:rsid w:val="00CF1F32"/>
    <w:rsid w:val="00CF2027"/>
    <w:rsid w:val="00CF2030"/>
    <w:rsid w:val="00CF2142"/>
    <w:rsid w:val="00CF2168"/>
    <w:rsid w:val="00CF2247"/>
    <w:rsid w:val="00CF226A"/>
    <w:rsid w:val="00CF2331"/>
    <w:rsid w:val="00CF24C4"/>
    <w:rsid w:val="00CF2504"/>
    <w:rsid w:val="00CF2695"/>
    <w:rsid w:val="00CF26C4"/>
    <w:rsid w:val="00CF26EB"/>
    <w:rsid w:val="00CF26F2"/>
    <w:rsid w:val="00CF2792"/>
    <w:rsid w:val="00CF283A"/>
    <w:rsid w:val="00CF28A3"/>
    <w:rsid w:val="00CF2959"/>
    <w:rsid w:val="00CF2A5B"/>
    <w:rsid w:val="00CF2A67"/>
    <w:rsid w:val="00CF2A68"/>
    <w:rsid w:val="00CF2B24"/>
    <w:rsid w:val="00CF2B35"/>
    <w:rsid w:val="00CF2BBE"/>
    <w:rsid w:val="00CF2C44"/>
    <w:rsid w:val="00CF2C5E"/>
    <w:rsid w:val="00CF2C83"/>
    <w:rsid w:val="00CF2CF7"/>
    <w:rsid w:val="00CF2CFF"/>
    <w:rsid w:val="00CF2ECF"/>
    <w:rsid w:val="00CF2ED6"/>
    <w:rsid w:val="00CF2F7C"/>
    <w:rsid w:val="00CF30C8"/>
    <w:rsid w:val="00CF30FD"/>
    <w:rsid w:val="00CF3150"/>
    <w:rsid w:val="00CF32C5"/>
    <w:rsid w:val="00CF32E6"/>
    <w:rsid w:val="00CF33BE"/>
    <w:rsid w:val="00CF343D"/>
    <w:rsid w:val="00CF34D6"/>
    <w:rsid w:val="00CF35BB"/>
    <w:rsid w:val="00CF385D"/>
    <w:rsid w:val="00CF39DA"/>
    <w:rsid w:val="00CF3AA0"/>
    <w:rsid w:val="00CF3AD8"/>
    <w:rsid w:val="00CF3C9A"/>
    <w:rsid w:val="00CF3DB5"/>
    <w:rsid w:val="00CF3E38"/>
    <w:rsid w:val="00CF3E8D"/>
    <w:rsid w:val="00CF3ED2"/>
    <w:rsid w:val="00CF3F00"/>
    <w:rsid w:val="00CF4000"/>
    <w:rsid w:val="00CF404E"/>
    <w:rsid w:val="00CF4063"/>
    <w:rsid w:val="00CF4136"/>
    <w:rsid w:val="00CF413A"/>
    <w:rsid w:val="00CF4141"/>
    <w:rsid w:val="00CF4192"/>
    <w:rsid w:val="00CF4194"/>
    <w:rsid w:val="00CF4226"/>
    <w:rsid w:val="00CF4267"/>
    <w:rsid w:val="00CF42EB"/>
    <w:rsid w:val="00CF431A"/>
    <w:rsid w:val="00CF43EF"/>
    <w:rsid w:val="00CF4414"/>
    <w:rsid w:val="00CF4582"/>
    <w:rsid w:val="00CF468C"/>
    <w:rsid w:val="00CF4837"/>
    <w:rsid w:val="00CF4864"/>
    <w:rsid w:val="00CF4870"/>
    <w:rsid w:val="00CF49AB"/>
    <w:rsid w:val="00CF49CA"/>
    <w:rsid w:val="00CF4A50"/>
    <w:rsid w:val="00CF4BF8"/>
    <w:rsid w:val="00CF4D3E"/>
    <w:rsid w:val="00CF4DE0"/>
    <w:rsid w:val="00CF4EA1"/>
    <w:rsid w:val="00CF4EB1"/>
    <w:rsid w:val="00CF4F46"/>
    <w:rsid w:val="00CF4F8F"/>
    <w:rsid w:val="00CF504E"/>
    <w:rsid w:val="00CF5203"/>
    <w:rsid w:val="00CF52CD"/>
    <w:rsid w:val="00CF53C2"/>
    <w:rsid w:val="00CF53F8"/>
    <w:rsid w:val="00CF5404"/>
    <w:rsid w:val="00CF54A2"/>
    <w:rsid w:val="00CF54E8"/>
    <w:rsid w:val="00CF554E"/>
    <w:rsid w:val="00CF5559"/>
    <w:rsid w:val="00CF555D"/>
    <w:rsid w:val="00CF579C"/>
    <w:rsid w:val="00CF57E3"/>
    <w:rsid w:val="00CF58BA"/>
    <w:rsid w:val="00CF5A05"/>
    <w:rsid w:val="00CF5A38"/>
    <w:rsid w:val="00CF5A52"/>
    <w:rsid w:val="00CF5AFD"/>
    <w:rsid w:val="00CF5B9D"/>
    <w:rsid w:val="00CF5BA5"/>
    <w:rsid w:val="00CF5BB5"/>
    <w:rsid w:val="00CF5BD6"/>
    <w:rsid w:val="00CF5D37"/>
    <w:rsid w:val="00CF5D45"/>
    <w:rsid w:val="00CF5E63"/>
    <w:rsid w:val="00CF5F04"/>
    <w:rsid w:val="00CF5F99"/>
    <w:rsid w:val="00CF5FA6"/>
    <w:rsid w:val="00CF6025"/>
    <w:rsid w:val="00CF6080"/>
    <w:rsid w:val="00CF6085"/>
    <w:rsid w:val="00CF60BA"/>
    <w:rsid w:val="00CF6107"/>
    <w:rsid w:val="00CF6184"/>
    <w:rsid w:val="00CF6193"/>
    <w:rsid w:val="00CF61AE"/>
    <w:rsid w:val="00CF61C0"/>
    <w:rsid w:val="00CF61EA"/>
    <w:rsid w:val="00CF62C3"/>
    <w:rsid w:val="00CF62C8"/>
    <w:rsid w:val="00CF638E"/>
    <w:rsid w:val="00CF6463"/>
    <w:rsid w:val="00CF65E9"/>
    <w:rsid w:val="00CF669E"/>
    <w:rsid w:val="00CF6713"/>
    <w:rsid w:val="00CF683A"/>
    <w:rsid w:val="00CF68EA"/>
    <w:rsid w:val="00CF6A06"/>
    <w:rsid w:val="00CF6A5A"/>
    <w:rsid w:val="00CF6B2A"/>
    <w:rsid w:val="00CF6B3D"/>
    <w:rsid w:val="00CF6B4D"/>
    <w:rsid w:val="00CF6D23"/>
    <w:rsid w:val="00CF6E0E"/>
    <w:rsid w:val="00CF6F1A"/>
    <w:rsid w:val="00CF708D"/>
    <w:rsid w:val="00CF70D1"/>
    <w:rsid w:val="00CF7157"/>
    <w:rsid w:val="00CF71B7"/>
    <w:rsid w:val="00CF721B"/>
    <w:rsid w:val="00CF7390"/>
    <w:rsid w:val="00CF73D4"/>
    <w:rsid w:val="00CF741E"/>
    <w:rsid w:val="00CF7447"/>
    <w:rsid w:val="00CF74C6"/>
    <w:rsid w:val="00CF75DA"/>
    <w:rsid w:val="00CF7738"/>
    <w:rsid w:val="00CF77F7"/>
    <w:rsid w:val="00CF7885"/>
    <w:rsid w:val="00CF797C"/>
    <w:rsid w:val="00CF7982"/>
    <w:rsid w:val="00CF7B01"/>
    <w:rsid w:val="00CF7CE6"/>
    <w:rsid w:val="00CF7E33"/>
    <w:rsid w:val="00CF7E71"/>
    <w:rsid w:val="00CF7EE7"/>
    <w:rsid w:val="00CF7FF8"/>
    <w:rsid w:val="00D00020"/>
    <w:rsid w:val="00D0005A"/>
    <w:rsid w:val="00D000AC"/>
    <w:rsid w:val="00D000EC"/>
    <w:rsid w:val="00D00161"/>
    <w:rsid w:val="00D00385"/>
    <w:rsid w:val="00D0046F"/>
    <w:rsid w:val="00D004C2"/>
    <w:rsid w:val="00D00507"/>
    <w:rsid w:val="00D005FA"/>
    <w:rsid w:val="00D00676"/>
    <w:rsid w:val="00D00796"/>
    <w:rsid w:val="00D007FB"/>
    <w:rsid w:val="00D0082E"/>
    <w:rsid w:val="00D00854"/>
    <w:rsid w:val="00D0085D"/>
    <w:rsid w:val="00D0092E"/>
    <w:rsid w:val="00D00A42"/>
    <w:rsid w:val="00D00AA7"/>
    <w:rsid w:val="00D00AE1"/>
    <w:rsid w:val="00D00B9D"/>
    <w:rsid w:val="00D00BA3"/>
    <w:rsid w:val="00D00C02"/>
    <w:rsid w:val="00D00C14"/>
    <w:rsid w:val="00D00CCB"/>
    <w:rsid w:val="00D00CE7"/>
    <w:rsid w:val="00D00D06"/>
    <w:rsid w:val="00D00D65"/>
    <w:rsid w:val="00D00DAD"/>
    <w:rsid w:val="00D00EC6"/>
    <w:rsid w:val="00D00F00"/>
    <w:rsid w:val="00D00F22"/>
    <w:rsid w:val="00D00F73"/>
    <w:rsid w:val="00D01089"/>
    <w:rsid w:val="00D010A0"/>
    <w:rsid w:val="00D010A2"/>
    <w:rsid w:val="00D01120"/>
    <w:rsid w:val="00D01160"/>
    <w:rsid w:val="00D011B6"/>
    <w:rsid w:val="00D011BE"/>
    <w:rsid w:val="00D01314"/>
    <w:rsid w:val="00D013BB"/>
    <w:rsid w:val="00D014BE"/>
    <w:rsid w:val="00D01579"/>
    <w:rsid w:val="00D015BC"/>
    <w:rsid w:val="00D016A9"/>
    <w:rsid w:val="00D01945"/>
    <w:rsid w:val="00D01AB6"/>
    <w:rsid w:val="00D01B43"/>
    <w:rsid w:val="00D01B5F"/>
    <w:rsid w:val="00D01B80"/>
    <w:rsid w:val="00D01BB4"/>
    <w:rsid w:val="00D01BF3"/>
    <w:rsid w:val="00D01C5C"/>
    <w:rsid w:val="00D01D5B"/>
    <w:rsid w:val="00D01D94"/>
    <w:rsid w:val="00D01EA2"/>
    <w:rsid w:val="00D01F0B"/>
    <w:rsid w:val="00D01FAD"/>
    <w:rsid w:val="00D02000"/>
    <w:rsid w:val="00D02002"/>
    <w:rsid w:val="00D02054"/>
    <w:rsid w:val="00D0213F"/>
    <w:rsid w:val="00D02195"/>
    <w:rsid w:val="00D022ED"/>
    <w:rsid w:val="00D0231F"/>
    <w:rsid w:val="00D0248F"/>
    <w:rsid w:val="00D02496"/>
    <w:rsid w:val="00D02608"/>
    <w:rsid w:val="00D02678"/>
    <w:rsid w:val="00D0267E"/>
    <w:rsid w:val="00D02806"/>
    <w:rsid w:val="00D02811"/>
    <w:rsid w:val="00D0282A"/>
    <w:rsid w:val="00D0285C"/>
    <w:rsid w:val="00D02878"/>
    <w:rsid w:val="00D029EF"/>
    <w:rsid w:val="00D029FF"/>
    <w:rsid w:val="00D02A56"/>
    <w:rsid w:val="00D02B58"/>
    <w:rsid w:val="00D02BEB"/>
    <w:rsid w:val="00D02C3F"/>
    <w:rsid w:val="00D02C9C"/>
    <w:rsid w:val="00D02DFA"/>
    <w:rsid w:val="00D02E55"/>
    <w:rsid w:val="00D02E6F"/>
    <w:rsid w:val="00D02FF8"/>
    <w:rsid w:val="00D03074"/>
    <w:rsid w:val="00D03095"/>
    <w:rsid w:val="00D030F4"/>
    <w:rsid w:val="00D03184"/>
    <w:rsid w:val="00D0329A"/>
    <w:rsid w:val="00D032F0"/>
    <w:rsid w:val="00D034BD"/>
    <w:rsid w:val="00D035AB"/>
    <w:rsid w:val="00D03680"/>
    <w:rsid w:val="00D03698"/>
    <w:rsid w:val="00D03702"/>
    <w:rsid w:val="00D03725"/>
    <w:rsid w:val="00D03729"/>
    <w:rsid w:val="00D03759"/>
    <w:rsid w:val="00D03820"/>
    <w:rsid w:val="00D0383C"/>
    <w:rsid w:val="00D038B8"/>
    <w:rsid w:val="00D0391C"/>
    <w:rsid w:val="00D039E4"/>
    <w:rsid w:val="00D03A7D"/>
    <w:rsid w:val="00D03B10"/>
    <w:rsid w:val="00D03B15"/>
    <w:rsid w:val="00D03B95"/>
    <w:rsid w:val="00D03BDF"/>
    <w:rsid w:val="00D03C6B"/>
    <w:rsid w:val="00D03C88"/>
    <w:rsid w:val="00D03C8E"/>
    <w:rsid w:val="00D03E54"/>
    <w:rsid w:val="00D03E58"/>
    <w:rsid w:val="00D03EE9"/>
    <w:rsid w:val="00D03F3A"/>
    <w:rsid w:val="00D04113"/>
    <w:rsid w:val="00D041C4"/>
    <w:rsid w:val="00D0424B"/>
    <w:rsid w:val="00D0425B"/>
    <w:rsid w:val="00D0428A"/>
    <w:rsid w:val="00D0430C"/>
    <w:rsid w:val="00D0431E"/>
    <w:rsid w:val="00D04404"/>
    <w:rsid w:val="00D045A5"/>
    <w:rsid w:val="00D045B3"/>
    <w:rsid w:val="00D0460E"/>
    <w:rsid w:val="00D04873"/>
    <w:rsid w:val="00D049D5"/>
    <w:rsid w:val="00D04A1A"/>
    <w:rsid w:val="00D04BB3"/>
    <w:rsid w:val="00D04C59"/>
    <w:rsid w:val="00D04C62"/>
    <w:rsid w:val="00D04CAD"/>
    <w:rsid w:val="00D04D18"/>
    <w:rsid w:val="00D04D2F"/>
    <w:rsid w:val="00D04DAE"/>
    <w:rsid w:val="00D04E96"/>
    <w:rsid w:val="00D04ED5"/>
    <w:rsid w:val="00D04FC9"/>
    <w:rsid w:val="00D0501C"/>
    <w:rsid w:val="00D05065"/>
    <w:rsid w:val="00D0508D"/>
    <w:rsid w:val="00D05148"/>
    <w:rsid w:val="00D051A3"/>
    <w:rsid w:val="00D05222"/>
    <w:rsid w:val="00D052BA"/>
    <w:rsid w:val="00D05457"/>
    <w:rsid w:val="00D054A4"/>
    <w:rsid w:val="00D054C6"/>
    <w:rsid w:val="00D054DE"/>
    <w:rsid w:val="00D05516"/>
    <w:rsid w:val="00D05577"/>
    <w:rsid w:val="00D0562F"/>
    <w:rsid w:val="00D0563A"/>
    <w:rsid w:val="00D057EE"/>
    <w:rsid w:val="00D05AD0"/>
    <w:rsid w:val="00D05B37"/>
    <w:rsid w:val="00D05BC4"/>
    <w:rsid w:val="00D05C20"/>
    <w:rsid w:val="00D05C7A"/>
    <w:rsid w:val="00D05CFF"/>
    <w:rsid w:val="00D05D23"/>
    <w:rsid w:val="00D05E70"/>
    <w:rsid w:val="00D05EEA"/>
    <w:rsid w:val="00D05F0C"/>
    <w:rsid w:val="00D05F7F"/>
    <w:rsid w:val="00D06070"/>
    <w:rsid w:val="00D0614C"/>
    <w:rsid w:val="00D06199"/>
    <w:rsid w:val="00D06259"/>
    <w:rsid w:val="00D063FF"/>
    <w:rsid w:val="00D0646C"/>
    <w:rsid w:val="00D06520"/>
    <w:rsid w:val="00D0659E"/>
    <w:rsid w:val="00D06673"/>
    <w:rsid w:val="00D06676"/>
    <w:rsid w:val="00D0669F"/>
    <w:rsid w:val="00D06737"/>
    <w:rsid w:val="00D06775"/>
    <w:rsid w:val="00D067BF"/>
    <w:rsid w:val="00D06809"/>
    <w:rsid w:val="00D06971"/>
    <w:rsid w:val="00D06AE9"/>
    <w:rsid w:val="00D06B5C"/>
    <w:rsid w:val="00D06CA5"/>
    <w:rsid w:val="00D06CCD"/>
    <w:rsid w:val="00D06DB7"/>
    <w:rsid w:val="00D06DBD"/>
    <w:rsid w:val="00D06F05"/>
    <w:rsid w:val="00D06F4B"/>
    <w:rsid w:val="00D06F54"/>
    <w:rsid w:val="00D06FF0"/>
    <w:rsid w:val="00D07013"/>
    <w:rsid w:val="00D07120"/>
    <w:rsid w:val="00D0712B"/>
    <w:rsid w:val="00D071B6"/>
    <w:rsid w:val="00D07251"/>
    <w:rsid w:val="00D072D2"/>
    <w:rsid w:val="00D07347"/>
    <w:rsid w:val="00D07406"/>
    <w:rsid w:val="00D07460"/>
    <w:rsid w:val="00D074C5"/>
    <w:rsid w:val="00D07587"/>
    <w:rsid w:val="00D075B5"/>
    <w:rsid w:val="00D0761D"/>
    <w:rsid w:val="00D07675"/>
    <w:rsid w:val="00D0767A"/>
    <w:rsid w:val="00D07692"/>
    <w:rsid w:val="00D07837"/>
    <w:rsid w:val="00D078BA"/>
    <w:rsid w:val="00D07902"/>
    <w:rsid w:val="00D0799D"/>
    <w:rsid w:val="00D07A18"/>
    <w:rsid w:val="00D07AA2"/>
    <w:rsid w:val="00D07AF7"/>
    <w:rsid w:val="00D07CEC"/>
    <w:rsid w:val="00D07D20"/>
    <w:rsid w:val="00D07DBB"/>
    <w:rsid w:val="00D07ED2"/>
    <w:rsid w:val="00D07EF9"/>
    <w:rsid w:val="00D07FA9"/>
    <w:rsid w:val="00D07FF0"/>
    <w:rsid w:val="00D100F9"/>
    <w:rsid w:val="00D1012B"/>
    <w:rsid w:val="00D10289"/>
    <w:rsid w:val="00D1031F"/>
    <w:rsid w:val="00D10322"/>
    <w:rsid w:val="00D10329"/>
    <w:rsid w:val="00D103FF"/>
    <w:rsid w:val="00D104C1"/>
    <w:rsid w:val="00D105C3"/>
    <w:rsid w:val="00D106B5"/>
    <w:rsid w:val="00D1081F"/>
    <w:rsid w:val="00D10B8E"/>
    <w:rsid w:val="00D10C03"/>
    <w:rsid w:val="00D10C46"/>
    <w:rsid w:val="00D10D0E"/>
    <w:rsid w:val="00D10D7B"/>
    <w:rsid w:val="00D10E36"/>
    <w:rsid w:val="00D10E44"/>
    <w:rsid w:val="00D10E4A"/>
    <w:rsid w:val="00D10E66"/>
    <w:rsid w:val="00D10E73"/>
    <w:rsid w:val="00D10EB7"/>
    <w:rsid w:val="00D10EFD"/>
    <w:rsid w:val="00D10FDD"/>
    <w:rsid w:val="00D1102C"/>
    <w:rsid w:val="00D11149"/>
    <w:rsid w:val="00D1115E"/>
    <w:rsid w:val="00D11258"/>
    <w:rsid w:val="00D1127F"/>
    <w:rsid w:val="00D1131D"/>
    <w:rsid w:val="00D11443"/>
    <w:rsid w:val="00D114D5"/>
    <w:rsid w:val="00D114DC"/>
    <w:rsid w:val="00D11538"/>
    <w:rsid w:val="00D1157C"/>
    <w:rsid w:val="00D116B4"/>
    <w:rsid w:val="00D116E1"/>
    <w:rsid w:val="00D116E8"/>
    <w:rsid w:val="00D11884"/>
    <w:rsid w:val="00D11B14"/>
    <w:rsid w:val="00D11B3E"/>
    <w:rsid w:val="00D11BA0"/>
    <w:rsid w:val="00D11BA1"/>
    <w:rsid w:val="00D11BA2"/>
    <w:rsid w:val="00D11D88"/>
    <w:rsid w:val="00D11DD1"/>
    <w:rsid w:val="00D11DF3"/>
    <w:rsid w:val="00D11EB1"/>
    <w:rsid w:val="00D11F36"/>
    <w:rsid w:val="00D11F7F"/>
    <w:rsid w:val="00D11FE2"/>
    <w:rsid w:val="00D1200B"/>
    <w:rsid w:val="00D12186"/>
    <w:rsid w:val="00D121EE"/>
    <w:rsid w:val="00D12262"/>
    <w:rsid w:val="00D122CE"/>
    <w:rsid w:val="00D12374"/>
    <w:rsid w:val="00D12388"/>
    <w:rsid w:val="00D12389"/>
    <w:rsid w:val="00D12460"/>
    <w:rsid w:val="00D124C8"/>
    <w:rsid w:val="00D1256C"/>
    <w:rsid w:val="00D1259E"/>
    <w:rsid w:val="00D12711"/>
    <w:rsid w:val="00D1278E"/>
    <w:rsid w:val="00D127F4"/>
    <w:rsid w:val="00D12803"/>
    <w:rsid w:val="00D12822"/>
    <w:rsid w:val="00D12843"/>
    <w:rsid w:val="00D12862"/>
    <w:rsid w:val="00D128CE"/>
    <w:rsid w:val="00D1291C"/>
    <w:rsid w:val="00D12953"/>
    <w:rsid w:val="00D129C5"/>
    <w:rsid w:val="00D129DC"/>
    <w:rsid w:val="00D12A00"/>
    <w:rsid w:val="00D12AD3"/>
    <w:rsid w:val="00D12BC3"/>
    <w:rsid w:val="00D12C2E"/>
    <w:rsid w:val="00D12C50"/>
    <w:rsid w:val="00D12CBE"/>
    <w:rsid w:val="00D12D2F"/>
    <w:rsid w:val="00D12D40"/>
    <w:rsid w:val="00D12D9A"/>
    <w:rsid w:val="00D12DB4"/>
    <w:rsid w:val="00D12EB8"/>
    <w:rsid w:val="00D13057"/>
    <w:rsid w:val="00D13091"/>
    <w:rsid w:val="00D13177"/>
    <w:rsid w:val="00D1319A"/>
    <w:rsid w:val="00D13279"/>
    <w:rsid w:val="00D132A7"/>
    <w:rsid w:val="00D132BD"/>
    <w:rsid w:val="00D13559"/>
    <w:rsid w:val="00D13586"/>
    <w:rsid w:val="00D13678"/>
    <w:rsid w:val="00D13750"/>
    <w:rsid w:val="00D1390F"/>
    <w:rsid w:val="00D13B05"/>
    <w:rsid w:val="00D13B0C"/>
    <w:rsid w:val="00D13C46"/>
    <w:rsid w:val="00D13CB1"/>
    <w:rsid w:val="00D13CC0"/>
    <w:rsid w:val="00D13DE5"/>
    <w:rsid w:val="00D13E4F"/>
    <w:rsid w:val="00D13F0A"/>
    <w:rsid w:val="00D13F4C"/>
    <w:rsid w:val="00D13F5D"/>
    <w:rsid w:val="00D13F83"/>
    <w:rsid w:val="00D13FF9"/>
    <w:rsid w:val="00D14172"/>
    <w:rsid w:val="00D14185"/>
    <w:rsid w:val="00D141E9"/>
    <w:rsid w:val="00D142B7"/>
    <w:rsid w:val="00D142BA"/>
    <w:rsid w:val="00D1433B"/>
    <w:rsid w:val="00D14384"/>
    <w:rsid w:val="00D1439F"/>
    <w:rsid w:val="00D143D3"/>
    <w:rsid w:val="00D14449"/>
    <w:rsid w:val="00D14505"/>
    <w:rsid w:val="00D145FA"/>
    <w:rsid w:val="00D14615"/>
    <w:rsid w:val="00D14655"/>
    <w:rsid w:val="00D14710"/>
    <w:rsid w:val="00D14760"/>
    <w:rsid w:val="00D147A7"/>
    <w:rsid w:val="00D147EC"/>
    <w:rsid w:val="00D148C4"/>
    <w:rsid w:val="00D148DE"/>
    <w:rsid w:val="00D14942"/>
    <w:rsid w:val="00D14A73"/>
    <w:rsid w:val="00D14A8D"/>
    <w:rsid w:val="00D14A94"/>
    <w:rsid w:val="00D14BAC"/>
    <w:rsid w:val="00D14D58"/>
    <w:rsid w:val="00D14DBF"/>
    <w:rsid w:val="00D14DD4"/>
    <w:rsid w:val="00D14E36"/>
    <w:rsid w:val="00D14FC0"/>
    <w:rsid w:val="00D15094"/>
    <w:rsid w:val="00D15319"/>
    <w:rsid w:val="00D15323"/>
    <w:rsid w:val="00D154CB"/>
    <w:rsid w:val="00D15514"/>
    <w:rsid w:val="00D1558A"/>
    <w:rsid w:val="00D1558E"/>
    <w:rsid w:val="00D15635"/>
    <w:rsid w:val="00D1565F"/>
    <w:rsid w:val="00D1578D"/>
    <w:rsid w:val="00D1585F"/>
    <w:rsid w:val="00D15891"/>
    <w:rsid w:val="00D158A4"/>
    <w:rsid w:val="00D15914"/>
    <w:rsid w:val="00D159C8"/>
    <w:rsid w:val="00D15ABB"/>
    <w:rsid w:val="00D15C57"/>
    <w:rsid w:val="00D15CC6"/>
    <w:rsid w:val="00D15D49"/>
    <w:rsid w:val="00D15E73"/>
    <w:rsid w:val="00D15E75"/>
    <w:rsid w:val="00D15EC6"/>
    <w:rsid w:val="00D15FD1"/>
    <w:rsid w:val="00D15FF0"/>
    <w:rsid w:val="00D16015"/>
    <w:rsid w:val="00D16018"/>
    <w:rsid w:val="00D160E5"/>
    <w:rsid w:val="00D1615A"/>
    <w:rsid w:val="00D161F8"/>
    <w:rsid w:val="00D16204"/>
    <w:rsid w:val="00D16210"/>
    <w:rsid w:val="00D162A9"/>
    <w:rsid w:val="00D16315"/>
    <w:rsid w:val="00D16485"/>
    <w:rsid w:val="00D16498"/>
    <w:rsid w:val="00D164CE"/>
    <w:rsid w:val="00D1651A"/>
    <w:rsid w:val="00D1655D"/>
    <w:rsid w:val="00D1656E"/>
    <w:rsid w:val="00D16581"/>
    <w:rsid w:val="00D1667B"/>
    <w:rsid w:val="00D16770"/>
    <w:rsid w:val="00D16773"/>
    <w:rsid w:val="00D167C5"/>
    <w:rsid w:val="00D16836"/>
    <w:rsid w:val="00D168FF"/>
    <w:rsid w:val="00D1691E"/>
    <w:rsid w:val="00D16A05"/>
    <w:rsid w:val="00D16A4C"/>
    <w:rsid w:val="00D16A50"/>
    <w:rsid w:val="00D16A52"/>
    <w:rsid w:val="00D16A62"/>
    <w:rsid w:val="00D16B59"/>
    <w:rsid w:val="00D16C82"/>
    <w:rsid w:val="00D16D0F"/>
    <w:rsid w:val="00D16DC0"/>
    <w:rsid w:val="00D16E50"/>
    <w:rsid w:val="00D16E68"/>
    <w:rsid w:val="00D16E73"/>
    <w:rsid w:val="00D16E74"/>
    <w:rsid w:val="00D16E87"/>
    <w:rsid w:val="00D16EA7"/>
    <w:rsid w:val="00D16EDC"/>
    <w:rsid w:val="00D16F65"/>
    <w:rsid w:val="00D16FB3"/>
    <w:rsid w:val="00D17132"/>
    <w:rsid w:val="00D171B7"/>
    <w:rsid w:val="00D17202"/>
    <w:rsid w:val="00D17248"/>
    <w:rsid w:val="00D1739A"/>
    <w:rsid w:val="00D173DF"/>
    <w:rsid w:val="00D173E5"/>
    <w:rsid w:val="00D17475"/>
    <w:rsid w:val="00D17493"/>
    <w:rsid w:val="00D175BE"/>
    <w:rsid w:val="00D175F2"/>
    <w:rsid w:val="00D17600"/>
    <w:rsid w:val="00D176F6"/>
    <w:rsid w:val="00D17779"/>
    <w:rsid w:val="00D17A09"/>
    <w:rsid w:val="00D17A50"/>
    <w:rsid w:val="00D17AC8"/>
    <w:rsid w:val="00D17AD4"/>
    <w:rsid w:val="00D17B38"/>
    <w:rsid w:val="00D17B4F"/>
    <w:rsid w:val="00D17B6E"/>
    <w:rsid w:val="00D17D0F"/>
    <w:rsid w:val="00D17D7E"/>
    <w:rsid w:val="00D17DEB"/>
    <w:rsid w:val="00D17F5D"/>
    <w:rsid w:val="00D17F70"/>
    <w:rsid w:val="00D17F89"/>
    <w:rsid w:val="00D17F95"/>
    <w:rsid w:val="00D201BE"/>
    <w:rsid w:val="00D2022A"/>
    <w:rsid w:val="00D2034E"/>
    <w:rsid w:val="00D20487"/>
    <w:rsid w:val="00D2075B"/>
    <w:rsid w:val="00D2075F"/>
    <w:rsid w:val="00D207D5"/>
    <w:rsid w:val="00D20814"/>
    <w:rsid w:val="00D208FB"/>
    <w:rsid w:val="00D20A0B"/>
    <w:rsid w:val="00D20A42"/>
    <w:rsid w:val="00D20A6E"/>
    <w:rsid w:val="00D20A77"/>
    <w:rsid w:val="00D20C38"/>
    <w:rsid w:val="00D20CD1"/>
    <w:rsid w:val="00D20CD6"/>
    <w:rsid w:val="00D20CFE"/>
    <w:rsid w:val="00D2104C"/>
    <w:rsid w:val="00D2113A"/>
    <w:rsid w:val="00D21218"/>
    <w:rsid w:val="00D212D8"/>
    <w:rsid w:val="00D214BA"/>
    <w:rsid w:val="00D217D4"/>
    <w:rsid w:val="00D218B0"/>
    <w:rsid w:val="00D218F2"/>
    <w:rsid w:val="00D218F3"/>
    <w:rsid w:val="00D21903"/>
    <w:rsid w:val="00D2192E"/>
    <w:rsid w:val="00D219E5"/>
    <w:rsid w:val="00D21A33"/>
    <w:rsid w:val="00D21AB1"/>
    <w:rsid w:val="00D21B35"/>
    <w:rsid w:val="00D21BBC"/>
    <w:rsid w:val="00D21C33"/>
    <w:rsid w:val="00D21C4B"/>
    <w:rsid w:val="00D21CD7"/>
    <w:rsid w:val="00D21D03"/>
    <w:rsid w:val="00D21D5E"/>
    <w:rsid w:val="00D21D9A"/>
    <w:rsid w:val="00D21DB2"/>
    <w:rsid w:val="00D21E1F"/>
    <w:rsid w:val="00D21F7A"/>
    <w:rsid w:val="00D21FA8"/>
    <w:rsid w:val="00D21FAC"/>
    <w:rsid w:val="00D22093"/>
    <w:rsid w:val="00D220A1"/>
    <w:rsid w:val="00D22276"/>
    <w:rsid w:val="00D22451"/>
    <w:rsid w:val="00D22478"/>
    <w:rsid w:val="00D22489"/>
    <w:rsid w:val="00D2261E"/>
    <w:rsid w:val="00D226C6"/>
    <w:rsid w:val="00D226F3"/>
    <w:rsid w:val="00D22853"/>
    <w:rsid w:val="00D2287F"/>
    <w:rsid w:val="00D22900"/>
    <w:rsid w:val="00D22A16"/>
    <w:rsid w:val="00D22A31"/>
    <w:rsid w:val="00D22A99"/>
    <w:rsid w:val="00D22B20"/>
    <w:rsid w:val="00D22B65"/>
    <w:rsid w:val="00D22C02"/>
    <w:rsid w:val="00D22CB9"/>
    <w:rsid w:val="00D22D64"/>
    <w:rsid w:val="00D22E89"/>
    <w:rsid w:val="00D22EBE"/>
    <w:rsid w:val="00D230A1"/>
    <w:rsid w:val="00D23127"/>
    <w:rsid w:val="00D2313A"/>
    <w:rsid w:val="00D23168"/>
    <w:rsid w:val="00D23232"/>
    <w:rsid w:val="00D23267"/>
    <w:rsid w:val="00D2335C"/>
    <w:rsid w:val="00D233F3"/>
    <w:rsid w:val="00D2357B"/>
    <w:rsid w:val="00D23652"/>
    <w:rsid w:val="00D2365F"/>
    <w:rsid w:val="00D236C2"/>
    <w:rsid w:val="00D236E7"/>
    <w:rsid w:val="00D2372A"/>
    <w:rsid w:val="00D23858"/>
    <w:rsid w:val="00D2393D"/>
    <w:rsid w:val="00D23A5E"/>
    <w:rsid w:val="00D23AEC"/>
    <w:rsid w:val="00D23BDE"/>
    <w:rsid w:val="00D23C43"/>
    <w:rsid w:val="00D23C57"/>
    <w:rsid w:val="00D23CD1"/>
    <w:rsid w:val="00D23DF6"/>
    <w:rsid w:val="00D23E84"/>
    <w:rsid w:val="00D23F0A"/>
    <w:rsid w:val="00D23F15"/>
    <w:rsid w:val="00D23F2C"/>
    <w:rsid w:val="00D23FCE"/>
    <w:rsid w:val="00D2417D"/>
    <w:rsid w:val="00D241C8"/>
    <w:rsid w:val="00D242CF"/>
    <w:rsid w:val="00D2431D"/>
    <w:rsid w:val="00D24361"/>
    <w:rsid w:val="00D244A0"/>
    <w:rsid w:val="00D24538"/>
    <w:rsid w:val="00D24597"/>
    <w:rsid w:val="00D245D5"/>
    <w:rsid w:val="00D24648"/>
    <w:rsid w:val="00D2479E"/>
    <w:rsid w:val="00D24815"/>
    <w:rsid w:val="00D24872"/>
    <w:rsid w:val="00D2490E"/>
    <w:rsid w:val="00D2499E"/>
    <w:rsid w:val="00D249D1"/>
    <w:rsid w:val="00D24A45"/>
    <w:rsid w:val="00D24A50"/>
    <w:rsid w:val="00D24A6A"/>
    <w:rsid w:val="00D24ABA"/>
    <w:rsid w:val="00D24DA1"/>
    <w:rsid w:val="00D24DA8"/>
    <w:rsid w:val="00D24E76"/>
    <w:rsid w:val="00D24F31"/>
    <w:rsid w:val="00D24F3A"/>
    <w:rsid w:val="00D24FB7"/>
    <w:rsid w:val="00D250EF"/>
    <w:rsid w:val="00D251D4"/>
    <w:rsid w:val="00D25243"/>
    <w:rsid w:val="00D25250"/>
    <w:rsid w:val="00D25269"/>
    <w:rsid w:val="00D253CB"/>
    <w:rsid w:val="00D253CC"/>
    <w:rsid w:val="00D253D0"/>
    <w:rsid w:val="00D254F6"/>
    <w:rsid w:val="00D25665"/>
    <w:rsid w:val="00D256AF"/>
    <w:rsid w:val="00D2582D"/>
    <w:rsid w:val="00D2583C"/>
    <w:rsid w:val="00D258AA"/>
    <w:rsid w:val="00D258D8"/>
    <w:rsid w:val="00D259BE"/>
    <w:rsid w:val="00D25A3B"/>
    <w:rsid w:val="00D25A81"/>
    <w:rsid w:val="00D25AA3"/>
    <w:rsid w:val="00D25B41"/>
    <w:rsid w:val="00D25C5D"/>
    <w:rsid w:val="00D25D68"/>
    <w:rsid w:val="00D25DE2"/>
    <w:rsid w:val="00D25E2E"/>
    <w:rsid w:val="00D25E50"/>
    <w:rsid w:val="00D25EEF"/>
    <w:rsid w:val="00D25F18"/>
    <w:rsid w:val="00D26019"/>
    <w:rsid w:val="00D26043"/>
    <w:rsid w:val="00D2604C"/>
    <w:rsid w:val="00D260ED"/>
    <w:rsid w:val="00D261E2"/>
    <w:rsid w:val="00D26231"/>
    <w:rsid w:val="00D262F8"/>
    <w:rsid w:val="00D2632C"/>
    <w:rsid w:val="00D263BE"/>
    <w:rsid w:val="00D2647D"/>
    <w:rsid w:val="00D264AB"/>
    <w:rsid w:val="00D26563"/>
    <w:rsid w:val="00D265C8"/>
    <w:rsid w:val="00D26621"/>
    <w:rsid w:val="00D26641"/>
    <w:rsid w:val="00D266D3"/>
    <w:rsid w:val="00D26815"/>
    <w:rsid w:val="00D2681F"/>
    <w:rsid w:val="00D26884"/>
    <w:rsid w:val="00D2696D"/>
    <w:rsid w:val="00D26A62"/>
    <w:rsid w:val="00D26AA4"/>
    <w:rsid w:val="00D26AE4"/>
    <w:rsid w:val="00D26E8C"/>
    <w:rsid w:val="00D26EAF"/>
    <w:rsid w:val="00D26F48"/>
    <w:rsid w:val="00D26F52"/>
    <w:rsid w:val="00D2707D"/>
    <w:rsid w:val="00D270D6"/>
    <w:rsid w:val="00D270E6"/>
    <w:rsid w:val="00D27112"/>
    <w:rsid w:val="00D271AB"/>
    <w:rsid w:val="00D271FD"/>
    <w:rsid w:val="00D27276"/>
    <w:rsid w:val="00D272CF"/>
    <w:rsid w:val="00D273C3"/>
    <w:rsid w:val="00D27529"/>
    <w:rsid w:val="00D2756C"/>
    <w:rsid w:val="00D27609"/>
    <w:rsid w:val="00D27822"/>
    <w:rsid w:val="00D27913"/>
    <w:rsid w:val="00D2792F"/>
    <w:rsid w:val="00D279BC"/>
    <w:rsid w:val="00D27A19"/>
    <w:rsid w:val="00D27A85"/>
    <w:rsid w:val="00D27AC2"/>
    <w:rsid w:val="00D27B09"/>
    <w:rsid w:val="00D27C02"/>
    <w:rsid w:val="00D27DBD"/>
    <w:rsid w:val="00D27DDC"/>
    <w:rsid w:val="00D27DFE"/>
    <w:rsid w:val="00D27EC4"/>
    <w:rsid w:val="00D27F4A"/>
    <w:rsid w:val="00D27F7D"/>
    <w:rsid w:val="00D27FAD"/>
    <w:rsid w:val="00D27FE3"/>
    <w:rsid w:val="00D27FF8"/>
    <w:rsid w:val="00D3005C"/>
    <w:rsid w:val="00D3006A"/>
    <w:rsid w:val="00D30171"/>
    <w:rsid w:val="00D301B4"/>
    <w:rsid w:val="00D3030D"/>
    <w:rsid w:val="00D3031C"/>
    <w:rsid w:val="00D30395"/>
    <w:rsid w:val="00D3051B"/>
    <w:rsid w:val="00D30559"/>
    <w:rsid w:val="00D307E9"/>
    <w:rsid w:val="00D30897"/>
    <w:rsid w:val="00D3098E"/>
    <w:rsid w:val="00D309B6"/>
    <w:rsid w:val="00D30BE4"/>
    <w:rsid w:val="00D30CC2"/>
    <w:rsid w:val="00D30CCF"/>
    <w:rsid w:val="00D30DC6"/>
    <w:rsid w:val="00D30E68"/>
    <w:rsid w:val="00D30F82"/>
    <w:rsid w:val="00D30F93"/>
    <w:rsid w:val="00D31037"/>
    <w:rsid w:val="00D31193"/>
    <w:rsid w:val="00D31242"/>
    <w:rsid w:val="00D31267"/>
    <w:rsid w:val="00D313B1"/>
    <w:rsid w:val="00D313DB"/>
    <w:rsid w:val="00D31442"/>
    <w:rsid w:val="00D314B4"/>
    <w:rsid w:val="00D314CF"/>
    <w:rsid w:val="00D315A5"/>
    <w:rsid w:val="00D315DA"/>
    <w:rsid w:val="00D31698"/>
    <w:rsid w:val="00D316AD"/>
    <w:rsid w:val="00D316C8"/>
    <w:rsid w:val="00D316E8"/>
    <w:rsid w:val="00D317C2"/>
    <w:rsid w:val="00D3183B"/>
    <w:rsid w:val="00D3187B"/>
    <w:rsid w:val="00D318A5"/>
    <w:rsid w:val="00D318BC"/>
    <w:rsid w:val="00D319DA"/>
    <w:rsid w:val="00D31B4C"/>
    <w:rsid w:val="00D31C10"/>
    <w:rsid w:val="00D31CD2"/>
    <w:rsid w:val="00D31D52"/>
    <w:rsid w:val="00D31EA1"/>
    <w:rsid w:val="00D31F35"/>
    <w:rsid w:val="00D31F77"/>
    <w:rsid w:val="00D31FA6"/>
    <w:rsid w:val="00D31FBB"/>
    <w:rsid w:val="00D320B0"/>
    <w:rsid w:val="00D320B4"/>
    <w:rsid w:val="00D321E0"/>
    <w:rsid w:val="00D32229"/>
    <w:rsid w:val="00D32326"/>
    <w:rsid w:val="00D323EC"/>
    <w:rsid w:val="00D32495"/>
    <w:rsid w:val="00D3249A"/>
    <w:rsid w:val="00D3249B"/>
    <w:rsid w:val="00D32566"/>
    <w:rsid w:val="00D326A5"/>
    <w:rsid w:val="00D32794"/>
    <w:rsid w:val="00D32910"/>
    <w:rsid w:val="00D32BAC"/>
    <w:rsid w:val="00D32BAD"/>
    <w:rsid w:val="00D32BF2"/>
    <w:rsid w:val="00D32BFD"/>
    <w:rsid w:val="00D32C7D"/>
    <w:rsid w:val="00D32C9B"/>
    <w:rsid w:val="00D32CC7"/>
    <w:rsid w:val="00D32D5F"/>
    <w:rsid w:val="00D32D80"/>
    <w:rsid w:val="00D32DA4"/>
    <w:rsid w:val="00D32F30"/>
    <w:rsid w:val="00D32F89"/>
    <w:rsid w:val="00D32F91"/>
    <w:rsid w:val="00D32F9A"/>
    <w:rsid w:val="00D32FC5"/>
    <w:rsid w:val="00D33019"/>
    <w:rsid w:val="00D3306D"/>
    <w:rsid w:val="00D3318D"/>
    <w:rsid w:val="00D33255"/>
    <w:rsid w:val="00D332FF"/>
    <w:rsid w:val="00D33302"/>
    <w:rsid w:val="00D33380"/>
    <w:rsid w:val="00D333E5"/>
    <w:rsid w:val="00D33454"/>
    <w:rsid w:val="00D33471"/>
    <w:rsid w:val="00D335BA"/>
    <w:rsid w:val="00D33789"/>
    <w:rsid w:val="00D337AA"/>
    <w:rsid w:val="00D337DF"/>
    <w:rsid w:val="00D3381A"/>
    <w:rsid w:val="00D33994"/>
    <w:rsid w:val="00D33BAB"/>
    <w:rsid w:val="00D33C12"/>
    <w:rsid w:val="00D33C17"/>
    <w:rsid w:val="00D33C29"/>
    <w:rsid w:val="00D33C43"/>
    <w:rsid w:val="00D33C9A"/>
    <w:rsid w:val="00D33CA2"/>
    <w:rsid w:val="00D33D69"/>
    <w:rsid w:val="00D33E62"/>
    <w:rsid w:val="00D33EB8"/>
    <w:rsid w:val="00D33F26"/>
    <w:rsid w:val="00D33FCD"/>
    <w:rsid w:val="00D3406C"/>
    <w:rsid w:val="00D3410E"/>
    <w:rsid w:val="00D3426B"/>
    <w:rsid w:val="00D342C0"/>
    <w:rsid w:val="00D342D9"/>
    <w:rsid w:val="00D3468D"/>
    <w:rsid w:val="00D346C8"/>
    <w:rsid w:val="00D346F4"/>
    <w:rsid w:val="00D3478C"/>
    <w:rsid w:val="00D3481A"/>
    <w:rsid w:val="00D348C8"/>
    <w:rsid w:val="00D34922"/>
    <w:rsid w:val="00D34A0D"/>
    <w:rsid w:val="00D34A59"/>
    <w:rsid w:val="00D34AE6"/>
    <w:rsid w:val="00D34AF1"/>
    <w:rsid w:val="00D34B92"/>
    <w:rsid w:val="00D34B94"/>
    <w:rsid w:val="00D34CFA"/>
    <w:rsid w:val="00D34D07"/>
    <w:rsid w:val="00D34D8C"/>
    <w:rsid w:val="00D34F28"/>
    <w:rsid w:val="00D34F7D"/>
    <w:rsid w:val="00D35113"/>
    <w:rsid w:val="00D35146"/>
    <w:rsid w:val="00D35185"/>
    <w:rsid w:val="00D352B0"/>
    <w:rsid w:val="00D35374"/>
    <w:rsid w:val="00D3538A"/>
    <w:rsid w:val="00D35416"/>
    <w:rsid w:val="00D35432"/>
    <w:rsid w:val="00D3553D"/>
    <w:rsid w:val="00D3560D"/>
    <w:rsid w:val="00D35642"/>
    <w:rsid w:val="00D357E4"/>
    <w:rsid w:val="00D357FA"/>
    <w:rsid w:val="00D35972"/>
    <w:rsid w:val="00D359C9"/>
    <w:rsid w:val="00D359DE"/>
    <w:rsid w:val="00D35A2E"/>
    <w:rsid w:val="00D35B48"/>
    <w:rsid w:val="00D35C2E"/>
    <w:rsid w:val="00D35DFD"/>
    <w:rsid w:val="00D35F6C"/>
    <w:rsid w:val="00D35FA5"/>
    <w:rsid w:val="00D35FB5"/>
    <w:rsid w:val="00D35FD9"/>
    <w:rsid w:val="00D35FE3"/>
    <w:rsid w:val="00D360FB"/>
    <w:rsid w:val="00D36169"/>
    <w:rsid w:val="00D361AA"/>
    <w:rsid w:val="00D3621B"/>
    <w:rsid w:val="00D36311"/>
    <w:rsid w:val="00D363C9"/>
    <w:rsid w:val="00D363D1"/>
    <w:rsid w:val="00D36482"/>
    <w:rsid w:val="00D364D4"/>
    <w:rsid w:val="00D36619"/>
    <w:rsid w:val="00D36654"/>
    <w:rsid w:val="00D366C3"/>
    <w:rsid w:val="00D367F3"/>
    <w:rsid w:val="00D36805"/>
    <w:rsid w:val="00D3689D"/>
    <w:rsid w:val="00D3691D"/>
    <w:rsid w:val="00D36BAF"/>
    <w:rsid w:val="00D36BC1"/>
    <w:rsid w:val="00D36C5F"/>
    <w:rsid w:val="00D36C79"/>
    <w:rsid w:val="00D36C97"/>
    <w:rsid w:val="00D36CC2"/>
    <w:rsid w:val="00D36CC9"/>
    <w:rsid w:val="00D36D81"/>
    <w:rsid w:val="00D36D95"/>
    <w:rsid w:val="00D36EA3"/>
    <w:rsid w:val="00D36EAF"/>
    <w:rsid w:val="00D36EB4"/>
    <w:rsid w:val="00D36F0B"/>
    <w:rsid w:val="00D36FA5"/>
    <w:rsid w:val="00D36FDD"/>
    <w:rsid w:val="00D3703E"/>
    <w:rsid w:val="00D37044"/>
    <w:rsid w:val="00D370D7"/>
    <w:rsid w:val="00D37209"/>
    <w:rsid w:val="00D37325"/>
    <w:rsid w:val="00D3733C"/>
    <w:rsid w:val="00D375A4"/>
    <w:rsid w:val="00D37670"/>
    <w:rsid w:val="00D376C4"/>
    <w:rsid w:val="00D376DC"/>
    <w:rsid w:val="00D37782"/>
    <w:rsid w:val="00D377D2"/>
    <w:rsid w:val="00D37925"/>
    <w:rsid w:val="00D37958"/>
    <w:rsid w:val="00D379A1"/>
    <w:rsid w:val="00D379C9"/>
    <w:rsid w:val="00D37B08"/>
    <w:rsid w:val="00D37B56"/>
    <w:rsid w:val="00D37BF7"/>
    <w:rsid w:val="00D37C60"/>
    <w:rsid w:val="00D37C84"/>
    <w:rsid w:val="00D37CE6"/>
    <w:rsid w:val="00D37DD5"/>
    <w:rsid w:val="00D37E5B"/>
    <w:rsid w:val="00D37E88"/>
    <w:rsid w:val="00D37F1D"/>
    <w:rsid w:val="00D4012B"/>
    <w:rsid w:val="00D4018E"/>
    <w:rsid w:val="00D4020D"/>
    <w:rsid w:val="00D40268"/>
    <w:rsid w:val="00D402A5"/>
    <w:rsid w:val="00D40399"/>
    <w:rsid w:val="00D403A6"/>
    <w:rsid w:val="00D40466"/>
    <w:rsid w:val="00D4046A"/>
    <w:rsid w:val="00D40476"/>
    <w:rsid w:val="00D4049C"/>
    <w:rsid w:val="00D405BF"/>
    <w:rsid w:val="00D405F9"/>
    <w:rsid w:val="00D4063C"/>
    <w:rsid w:val="00D4063D"/>
    <w:rsid w:val="00D4072F"/>
    <w:rsid w:val="00D4087E"/>
    <w:rsid w:val="00D409D1"/>
    <w:rsid w:val="00D40B18"/>
    <w:rsid w:val="00D40B57"/>
    <w:rsid w:val="00D40B9E"/>
    <w:rsid w:val="00D40BBB"/>
    <w:rsid w:val="00D40C45"/>
    <w:rsid w:val="00D40CF4"/>
    <w:rsid w:val="00D40EAA"/>
    <w:rsid w:val="00D40EAB"/>
    <w:rsid w:val="00D40F69"/>
    <w:rsid w:val="00D40FDA"/>
    <w:rsid w:val="00D4104C"/>
    <w:rsid w:val="00D4108D"/>
    <w:rsid w:val="00D4127C"/>
    <w:rsid w:val="00D41402"/>
    <w:rsid w:val="00D41433"/>
    <w:rsid w:val="00D415C0"/>
    <w:rsid w:val="00D415C4"/>
    <w:rsid w:val="00D41605"/>
    <w:rsid w:val="00D41708"/>
    <w:rsid w:val="00D41859"/>
    <w:rsid w:val="00D418F5"/>
    <w:rsid w:val="00D419E1"/>
    <w:rsid w:val="00D41A7D"/>
    <w:rsid w:val="00D41AA2"/>
    <w:rsid w:val="00D41DD1"/>
    <w:rsid w:val="00D41E22"/>
    <w:rsid w:val="00D41F89"/>
    <w:rsid w:val="00D41F8C"/>
    <w:rsid w:val="00D4201E"/>
    <w:rsid w:val="00D42043"/>
    <w:rsid w:val="00D42070"/>
    <w:rsid w:val="00D42071"/>
    <w:rsid w:val="00D4207F"/>
    <w:rsid w:val="00D4226C"/>
    <w:rsid w:val="00D423B7"/>
    <w:rsid w:val="00D42574"/>
    <w:rsid w:val="00D4269B"/>
    <w:rsid w:val="00D4270D"/>
    <w:rsid w:val="00D42754"/>
    <w:rsid w:val="00D42763"/>
    <w:rsid w:val="00D427DD"/>
    <w:rsid w:val="00D4282E"/>
    <w:rsid w:val="00D42851"/>
    <w:rsid w:val="00D4289C"/>
    <w:rsid w:val="00D42965"/>
    <w:rsid w:val="00D42B07"/>
    <w:rsid w:val="00D42B38"/>
    <w:rsid w:val="00D42C34"/>
    <w:rsid w:val="00D42C86"/>
    <w:rsid w:val="00D42D2D"/>
    <w:rsid w:val="00D42EB2"/>
    <w:rsid w:val="00D42FCD"/>
    <w:rsid w:val="00D43042"/>
    <w:rsid w:val="00D43148"/>
    <w:rsid w:val="00D431A0"/>
    <w:rsid w:val="00D4320A"/>
    <w:rsid w:val="00D43229"/>
    <w:rsid w:val="00D4327F"/>
    <w:rsid w:val="00D432CF"/>
    <w:rsid w:val="00D43379"/>
    <w:rsid w:val="00D433DB"/>
    <w:rsid w:val="00D43412"/>
    <w:rsid w:val="00D434BA"/>
    <w:rsid w:val="00D43512"/>
    <w:rsid w:val="00D43557"/>
    <w:rsid w:val="00D43686"/>
    <w:rsid w:val="00D436F2"/>
    <w:rsid w:val="00D43760"/>
    <w:rsid w:val="00D4377E"/>
    <w:rsid w:val="00D437A4"/>
    <w:rsid w:val="00D4385F"/>
    <w:rsid w:val="00D4395C"/>
    <w:rsid w:val="00D43B02"/>
    <w:rsid w:val="00D43B3C"/>
    <w:rsid w:val="00D43C3E"/>
    <w:rsid w:val="00D43C79"/>
    <w:rsid w:val="00D43E17"/>
    <w:rsid w:val="00D43EC6"/>
    <w:rsid w:val="00D43FD1"/>
    <w:rsid w:val="00D4429C"/>
    <w:rsid w:val="00D4440B"/>
    <w:rsid w:val="00D444B6"/>
    <w:rsid w:val="00D444FB"/>
    <w:rsid w:val="00D445AD"/>
    <w:rsid w:val="00D445BE"/>
    <w:rsid w:val="00D446F4"/>
    <w:rsid w:val="00D44706"/>
    <w:rsid w:val="00D4476D"/>
    <w:rsid w:val="00D447B6"/>
    <w:rsid w:val="00D447B8"/>
    <w:rsid w:val="00D447CF"/>
    <w:rsid w:val="00D44803"/>
    <w:rsid w:val="00D44820"/>
    <w:rsid w:val="00D44825"/>
    <w:rsid w:val="00D44941"/>
    <w:rsid w:val="00D4496B"/>
    <w:rsid w:val="00D449E2"/>
    <w:rsid w:val="00D44A82"/>
    <w:rsid w:val="00D44AD4"/>
    <w:rsid w:val="00D44C6A"/>
    <w:rsid w:val="00D44D48"/>
    <w:rsid w:val="00D44E33"/>
    <w:rsid w:val="00D44EEE"/>
    <w:rsid w:val="00D44F22"/>
    <w:rsid w:val="00D44F56"/>
    <w:rsid w:val="00D45057"/>
    <w:rsid w:val="00D45060"/>
    <w:rsid w:val="00D45126"/>
    <w:rsid w:val="00D451DE"/>
    <w:rsid w:val="00D452C7"/>
    <w:rsid w:val="00D453F1"/>
    <w:rsid w:val="00D455B6"/>
    <w:rsid w:val="00D455D3"/>
    <w:rsid w:val="00D455E7"/>
    <w:rsid w:val="00D45683"/>
    <w:rsid w:val="00D45755"/>
    <w:rsid w:val="00D4578A"/>
    <w:rsid w:val="00D457F5"/>
    <w:rsid w:val="00D4595C"/>
    <w:rsid w:val="00D45A74"/>
    <w:rsid w:val="00D45B5E"/>
    <w:rsid w:val="00D45B70"/>
    <w:rsid w:val="00D45B8E"/>
    <w:rsid w:val="00D45B9B"/>
    <w:rsid w:val="00D45BA4"/>
    <w:rsid w:val="00D45E19"/>
    <w:rsid w:val="00D45FE7"/>
    <w:rsid w:val="00D45FED"/>
    <w:rsid w:val="00D4605D"/>
    <w:rsid w:val="00D460F4"/>
    <w:rsid w:val="00D46164"/>
    <w:rsid w:val="00D46237"/>
    <w:rsid w:val="00D4668C"/>
    <w:rsid w:val="00D46768"/>
    <w:rsid w:val="00D46828"/>
    <w:rsid w:val="00D468F9"/>
    <w:rsid w:val="00D469E3"/>
    <w:rsid w:val="00D46AE6"/>
    <w:rsid w:val="00D46AEE"/>
    <w:rsid w:val="00D46B09"/>
    <w:rsid w:val="00D46B93"/>
    <w:rsid w:val="00D46BDA"/>
    <w:rsid w:val="00D46C18"/>
    <w:rsid w:val="00D46C49"/>
    <w:rsid w:val="00D46C5B"/>
    <w:rsid w:val="00D46E12"/>
    <w:rsid w:val="00D46F22"/>
    <w:rsid w:val="00D46FAB"/>
    <w:rsid w:val="00D46FD5"/>
    <w:rsid w:val="00D4700C"/>
    <w:rsid w:val="00D47019"/>
    <w:rsid w:val="00D47099"/>
    <w:rsid w:val="00D470E1"/>
    <w:rsid w:val="00D4712F"/>
    <w:rsid w:val="00D471F5"/>
    <w:rsid w:val="00D47270"/>
    <w:rsid w:val="00D474D4"/>
    <w:rsid w:val="00D4754C"/>
    <w:rsid w:val="00D47644"/>
    <w:rsid w:val="00D476A9"/>
    <w:rsid w:val="00D476FA"/>
    <w:rsid w:val="00D47759"/>
    <w:rsid w:val="00D4793D"/>
    <w:rsid w:val="00D47981"/>
    <w:rsid w:val="00D47B0C"/>
    <w:rsid w:val="00D47B6A"/>
    <w:rsid w:val="00D47C41"/>
    <w:rsid w:val="00D47C84"/>
    <w:rsid w:val="00D47D70"/>
    <w:rsid w:val="00D47D71"/>
    <w:rsid w:val="00D47DA6"/>
    <w:rsid w:val="00D47E17"/>
    <w:rsid w:val="00D47E31"/>
    <w:rsid w:val="00D47E98"/>
    <w:rsid w:val="00D47F85"/>
    <w:rsid w:val="00D500A1"/>
    <w:rsid w:val="00D500FD"/>
    <w:rsid w:val="00D5021E"/>
    <w:rsid w:val="00D502B6"/>
    <w:rsid w:val="00D50397"/>
    <w:rsid w:val="00D503CB"/>
    <w:rsid w:val="00D5047F"/>
    <w:rsid w:val="00D50615"/>
    <w:rsid w:val="00D506C1"/>
    <w:rsid w:val="00D506CC"/>
    <w:rsid w:val="00D50741"/>
    <w:rsid w:val="00D5082E"/>
    <w:rsid w:val="00D508F0"/>
    <w:rsid w:val="00D5092F"/>
    <w:rsid w:val="00D5098C"/>
    <w:rsid w:val="00D509A1"/>
    <w:rsid w:val="00D50A0A"/>
    <w:rsid w:val="00D50B0D"/>
    <w:rsid w:val="00D50C19"/>
    <w:rsid w:val="00D50C6E"/>
    <w:rsid w:val="00D50C89"/>
    <w:rsid w:val="00D50D14"/>
    <w:rsid w:val="00D50F64"/>
    <w:rsid w:val="00D5105B"/>
    <w:rsid w:val="00D510A1"/>
    <w:rsid w:val="00D510CE"/>
    <w:rsid w:val="00D512D0"/>
    <w:rsid w:val="00D512F2"/>
    <w:rsid w:val="00D51428"/>
    <w:rsid w:val="00D5142B"/>
    <w:rsid w:val="00D5150F"/>
    <w:rsid w:val="00D515BE"/>
    <w:rsid w:val="00D5166C"/>
    <w:rsid w:val="00D516EE"/>
    <w:rsid w:val="00D5174C"/>
    <w:rsid w:val="00D51778"/>
    <w:rsid w:val="00D51789"/>
    <w:rsid w:val="00D517CC"/>
    <w:rsid w:val="00D517FD"/>
    <w:rsid w:val="00D5182F"/>
    <w:rsid w:val="00D51939"/>
    <w:rsid w:val="00D51A73"/>
    <w:rsid w:val="00D51BC7"/>
    <w:rsid w:val="00D51C02"/>
    <w:rsid w:val="00D51C72"/>
    <w:rsid w:val="00D51CF3"/>
    <w:rsid w:val="00D51D1A"/>
    <w:rsid w:val="00D51D20"/>
    <w:rsid w:val="00D51E13"/>
    <w:rsid w:val="00D51F0B"/>
    <w:rsid w:val="00D51FC8"/>
    <w:rsid w:val="00D5208C"/>
    <w:rsid w:val="00D520FA"/>
    <w:rsid w:val="00D520FB"/>
    <w:rsid w:val="00D52120"/>
    <w:rsid w:val="00D52252"/>
    <w:rsid w:val="00D5226A"/>
    <w:rsid w:val="00D5231A"/>
    <w:rsid w:val="00D52486"/>
    <w:rsid w:val="00D524D6"/>
    <w:rsid w:val="00D525C2"/>
    <w:rsid w:val="00D52602"/>
    <w:rsid w:val="00D52614"/>
    <w:rsid w:val="00D52679"/>
    <w:rsid w:val="00D526F8"/>
    <w:rsid w:val="00D5281F"/>
    <w:rsid w:val="00D5282F"/>
    <w:rsid w:val="00D52833"/>
    <w:rsid w:val="00D52909"/>
    <w:rsid w:val="00D5293D"/>
    <w:rsid w:val="00D52A6B"/>
    <w:rsid w:val="00D52A76"/>
    <w:rsid w:val="00D52AB2"/>
    <w:rsid w:val="00D52BE9"/>
    <w:rsid w:val="00D52C04"/>
    <w:rsid w:val="00D52C23"/>
    <w:rsid w:val="00D52C3E"/>
    <w:rsid w:val="00D52C8A"/>
    <w:rsid w:val="00D52CED"/>
    <w:rsid w:val="00D52D3E"/>
    <w:rsid w:val="00D52DA3"/>
    <w:rsid w:val="00D52DC1"/>
    <w:rsid w:val="00D52E1E"/>
    <w:rsid w:val="00D52F14"/>
    <w:rsid w:val="00D53057"/>
    <w:rsid w:val="00D530D7"/>
    <w:rsid w:val="00D5312B"/>
    <w:rsid w:val="00D5317D"/>
    <w:rsid w:val="00D531F6"/>
    <w:rsid w:val="00D533C4"/>
    <w:rsid w:val="00D533C8"/>
    <w:rsid w:val="00D53484"/>
    <w:rsid w:val="00D534F1"/>
    <w:rsid w:val="00D53527"/>
    <w:rsid w:val="00D5352C"/>
    <w:rsid w:val="00D5355C"/>
    <w:rsid w:val="00D535BA"/>
    <w:rsid w:val="00D53618"/>
    <w:rsid w:val="00D536D2"/>
    <w:rsid w:val="00D53703"/>
    <w:rsid w:val="00D53716"/>
    <w:rsid w:val="00D538A3"/>
    <w:rsid w:val="00D538DD"/>
    <w:rsid w:val="00D5393C"/>
    <w:rsid w:val="00D539AB"/>
    <w:rsid w:val="00D53B79"/>
    <w:rsid w:val="00D53DA7"/>
    <w:rsid w:val="00D53E22"/>
    <w:rsid w:val="00D53F6C"/>
    <w:rsid w:val="00D53FF0"/>
    <w:rsid w:val="00D540EC"/>
    <w:rsid w:val="00D54144"/>
    <w:rsid w:val="00D5417C"/>
    <w:rsid w:val="00D5419E"/>
    <w:rsid w:val="00D5420F"/>
    <w:rsid w:val="00D54218"/>
    <w:rsid w:val="00D54374"/>
    <w:rsid w:val="00D5442B"/>
    <w:rsid w:val="00D54562"/>
    <w:rsid w:val="00D545AA"/>
    <w:rsid w:val="00D54614"/>
    <w:rsid w:val="00D5466F"/>
    <w:rsid w:val="00D546BF"/>
    <w:rsid w:val="00D548B1"/>
    <w:rsid w:val="00D548BB"/>
    <w:rsid w:val="00D54969"/>
    <w:rsid w:val="00D54992"/>
    <w:rsid w:val="00D54A5E"/>
    <w:rsid w:val="00D54B60"/>
    <w:rsid w:val="00D54C34"/>
    <w:rsid w:val="00D54CF3"/>
    <w:rsid w:val="00D54D3E"/>
    <w:rsid w:val="00D54DA0"/>
    <w:rsid w:val="00D54E5D"/>
    <w:rsid w:val="00D54F38"/>
    <w:rsid w:val="00D54F49"/>
    <w:rsid w:val="00D54FCA"/>
    <w:rsid w:val="00D5519D"/>
    <w:rsid w:val="00D55260"/>
    <w:rsid w:val="00D552AA"/>
    <w:rsid w:val="00D55414"/>
    <w:rsid w:val="00D55493"/>
    <w:rsid w:val="00D5556F"/>
    <w:rsid w:val="00D556D8"/>
    <w:rsid w:val="00D556E6"/>
    <w:rsid w:val="00D557B0"/>
    <w:rsid w:val="00D55810"/>
    <w:rsid w:val="00D558FF"/>
    <w:rsid w:val="00D55946"/>
    <w:rsid w:val="00D5596D"/>
    <w:rsid w:val="00D55A60"/>
    <w:rsid w:val="00D55B0C"/>
    <w:rsid w:val="00D55C8E"/>
    <w:rsid w:val="00D55C90"/>
    <w:rsid w:val="00D55D6C"/>
    <w:rsid w:val="00D55DBB"/>
    <w:rsid w:val="00D55E39"/>
    <w:rsid w:val="00D55FA3"/>
    <w:rsid w:val="00D55FBD"/>
    <w:rsid w:val="00D56067"/>
    <w:rsid w:val="00D5606F"/>
    <w:rsid w:val="00D56166"/>
    <w:rsid w:val="00D56216"/>
    <w:rsid w:val="00D56246"/>
    <w:rsid w:val="00D5626E"/>
    <w:rsid w:val="00D5639C"/>
    <w:rsid w:val="00D563B6"/>
    <w:rsid w:val="00D56583"/>
    <w:rsid w:val="00D566AD"/>
    <w:rsid w:val="00D56738"/>
    <w:rsid w:val="00D567D2"/>
    <w:rsid w:val="00D5681D"/>
    <w:rsid w:val="00D56866"/>
    <w:rsid w:val="00D5689C"/>
    <w:rsid w:val="00D56975"/>
    <w:rsid w:val="00D5699E"/>
    <w:rsid w:val="00D569B3"/>
    <w:rsid w:val="00D569CD"/>
    <w:rsid w:val="00D56B2F"/>
    <w:rsid w:val="00D56B52"/>
    <w:rsid w:val="00D56C13"/>
    <w:rsid w:val="00D56D20"/>
    <w:rsid w:val="00D56D5A"/>
    <w:rsid w:val="00D56D70"/>
    <w:rsid w:val="00D56D9F"/>
    <w:rsid w:val="00D56DB2"/>
    <w:rsid w:val="00D56EE7"/>
    <w:rsid w:val="00D56F6A"/>
    <w:rsid w:val="00D5709F"/>
    <w:rsid w:val="00D57246"/>
    <w:rsid w:val="00D572C7"/>
    <w:rsid w:val="00D572C9"/>
    <w:rsid w:val="00D572E5"/>
    <w:rsid w:val="00D573BF"/>
    <w:rsid w:val="00D573C3"/>
    <w:rsid w:val="00D57404"/>
    <w:rsid w:val="00D5750C"/>
    <w:rsid w:val="00D5772D"/>
    <w:rsid w:val="00D57868"/>
    <w:rsid w:val="00D5788C"/>
    <w:rsid w:val="00D57915"/>
    <w:rsid w:val="00D57A53"/>
    <w:rsid w:val="00D57A5A"/>
    <w:rsid w:val="00D57C4E"/>
    <w:rsid w:val="00D57CEB"/>
    <w:rsid w:val="00D57E4D"/>
    <w:rsid w:val="00D57E4F"/>
    <w:rsid w:val="00D57ED2"/>
    <w:rsid w:val="00D57F72"/>
    <w:rsid w:val="00D57F89"/>
    <w:rsid w:val="00D57FB9"/>
    <w:rsid w:val="00D57FE6"/>
    <w:rsid w:val="00D57FF1"/>
    <w:rsid w:val="00D602EA"/>
    <w:rsid w:val="00D60316"/>
    <w:rsid w:val="00D603C5"/>
    <w:rsid w:val="00D60408"/>
    <w:rsid w:val="00D6044D"/>
    <w:rsid w:val="00D604A5"/>
    <w:rsid w:val="00D605DC"/>
    <w:rsid w:val="00D60776"/>
    <w:rsid w:val="00D60781"/>
    <w:rsid w:val="00D6087A"/>
    <w:rsid w:val="00D608A9"/>
    <w:rsid w:val="00D609EF"/>
    <w:rsid w:val="00D60A61"/>
    <w:rsid w:val="00D60A87"/>
    <w:rsid w:val="00D60AB5"/>
    <w:rsid w:val="00D60B2E"/>
    <w:rsid w:val="00D60C99"/>
    <w:rsid w:val="00D60D7E"/>
    <w:rsid w:val="00D60DBA"/>
    <w:rsid w:val="00D60F81"/>
    <w:rsid w:val="00D61000"/>
    <w:rsid w:val="00D61230"/>
    <w:rsid w:val="00D6124E"/>
    <w:rsid w:val="00D612F2"/>
    <w:rsid w:val="00D613E0"/>
    <w:rsid w:val="00D61691"/>
    <w:rsid w:val="00D618BE"/>
    <w:rsid w:val="00D61928"/>
    <w:rsid w:val="00D61952"/>
    <w:rsid w:val="00D61A35"/>
    <w:rsid w:val="00D61A40"/>
    <w:rsid w:val="00D61A9D"/>
    <w:rsid w:val="00D61F42"/>
    <w:rsid w:val="00D61F6A"/>
    <w:rsid w:val="00D61FD2"/>
    <w:rsid w:val="00D61FF2"/>
    <w:rsid w:val="00D62042"/>
    <w:rsid w:val="00D6205D"/>
    <w:rsid w:val="00D620DB"/>
    <w:rsid w:val="00D620E2"/>
    <w:rsid w:val="00D62107"/>
    <w:rsid w:val="00D6228A"/>
    <w:rsid w:val="00D622B6"/>
    <w:rsid w:val="00D622CC"/>
    <w:rsid w:val="00D62334"/>
    <w:rsid w:val="00D624CA"/>
    <w:rsid w:val="00D6255B"/>
    <w:rsid w:val="00D62597"/>
    <w:rsid w:val="00D625F2"/>
    <w:rsid w:val="00D625F9"/>
    <w:rsid w:val="00D6264C"/>
    <w:rsid w:val="00D626CD"/>
    <w:rsid w:val="00D6275B"/>
    <w:rsid w:val="00D62816"/>
    <w:rsid w:val="00D62891"/>
    <w:rsid w:val="00D62957"/>
    <w:rsid w:val="00D629BB"/>
    <w:rsid w:val="00D62A71"/>
    <w:rsid w:val="00D62BAE"/>
    <w:rsid w:val="00D62C4C"/>
    <w:rsid w:val="00D62CAB"/>
    <w:rsid w:val="00D62D2E"/>
    <w:rsid w:val="00D62DE8"/>
    <w:rsid w:val="00D62E85"/>
    <w:rsid w:val="00D62EC2"/>
    <w:rsid w:val="00D63103"/>
    <w:rsid w:val="00D63185"/>
    <w:rsid w:val="00D6325D"/>
    <w:rsid w:val="00D6328D"/>
    <w:rsid w:val="00D63310"/>
    <w:rsid w:val="00D633EA"/>
    <w:rsid w:val="00D63528"/>
    <w:rsid w:val="00D63545"/>
    <w:rsid w:val="00D63552"/>
    <w:rsid w:val="00D63827"/>
    <w:rsid w:val="00D63876"/>
    <w:rsid w:val="00D63A05"/>
    <w:rsid w:val="00D63A3A"/>
    <w:rsid w:val="00D63A44"/>
    <w:rsid w:val="00D63AF0"/>
    <w:rsid w:val="00D63B21"/>
    <w:rsid w:val="00D63BCB"/>
    <w:rsid w:val="00D63BCD"/>
    <w:rsid w:val="00D63BD7"/>
    <w:rsid w:val="00D63C45"/>
    <w:rsid w:val="00D63C5C"/>
    <w:rsid w:val="00D63C91"/>
    <w:rsid w:val="00D63D61"/>
    <w:rsid w:val="00D63D76"/>
    <w:rsid w:val="00D63F02"/>
    <w:rsid w:val="00D63FD2"/>
    <w:rsid w:val="00D63FE9"/>
    <w:rsid w:val="00D640E9"/>
    <w:rsid w:val="00D64125"/>
    <w:rsid w:val="00D64179"/>
    <w:rsid w:val="00D6418D"/>
    <w:rsid w:val="00D641B2"/>
    <w:rsid w:val="00D641B3"/>
    <w:rsid w:val="00D6443B"/>
    <w:rsid w:val="00D644CC"/>
    <w:rsid w:val="00D64648"/>
    <w:rsid w:val="00D64650"/>
    <w:rsid w:val="00D64705"/>
    <w:rsid w:val="00D647C6"/>
    <w:rsid w:val="00D647EE"/>
    <w:rsid w:val="00D64827"/>
    <w:rsid w:val="00D64848"/>
    <w:rsid w:val="00D6484F"/>
    <w:rsid w:val="00D6486A"/>
    <w:rsid w:val="00D648E0"/>
    <w:rsid w:val="00D649CE"/>
    <w:rsid w:val="00D64AA0"/>
    <w:rsid w:val="00D64B0E"/>
    <w:rsid w:val="00D64B40"/>
    <w:rsid w:val="00D64BA1"/>
    <w:rsid w:val="00D64C0F"/>
    <w:rsid w:val="00D64C83"/>
    <w:rsid w:val="00D64D20"/>
    <w:rsid w:val="00D64D5C"/>
    <w:rsid w:val="00D64D89"/>
    <w:rsid w:val="00D64DA5"/>
    <w:rsid w:val="00D64E09"/>
    <w:rsid w:val="00D64EA3"/>
    <w:rsid w:val="00D64EB0"/>
    <w:rsid w:val="00D64FA8"/>
    <w:rsid w:val="00D6506B"/>
    <w:rsid w:val="00D650E5"/>
    <w:rsid w:val="00D65176"/>
    <w:rsid w:val="00D6522F"/>
    <w:rsid w:val="00D6525A"/>
    <w:rsid w:val="00D652AC"/>
    <w:rsid w:val="00D652B3"/>
    <w:rsid w:val="00D652E1"/>
    <w:rsid w:val="00D654B9"/>
    <w:rsid w:val="00D65504"/>
    <w:rsid w:val="00D65631"/>
    <w:rsid w:val="00D656A1"/>
    <w:rsid w:val="00D656B6"/>
    <w:rsid w:val="00D657AC"/>
    <w:rsid w:val="00D6589B"/>
    <w:rsid w:val="00D65A29"/>
    <w:rsid w:val="00D65AD9"/>
    <w:rsid w:val="00D65AE0"/>
    <w:rsid w:val="00D65C11"/>
    <w:rsid w:val="00D65D6F"/>
    <w:rsid w:val="00D65D85"/>
    <w:rsid w:val="00D65DE2"/>
    <w:rsid w:val="00D65E68"/>
    <w:rsid w:val="00D65FE4"/>
    <w:rsid w:val="00D66019"/>
    <w:rsid w:val="00D66022"/>
    <w:rsid w:val="00D66120"/>
    <w:rsid w:val="00D6615B"/>
    <w:rsid w:val="00D6617D"/>
    <w:rsid w:val="00D66188"/>
    <w:rsid w:val="00D661C7"/>
    <w:rsid w:val="00D66281"/>
    <w:rsid w:val="00D66469"/>
    <w:rsid w:val="00D6649B"/>
    <w:rsid w:val="00D6651A"/>
    <w:rsid w:val="00D666BB"/>
    <w:rsid w:val="00D66745"/>
    <w:rsid w:val="00D667B1"/>
    <w:rsid w:val="00D66840"/>
    <w:rsid w:val="00D66856"/>
    <w:rsid w:val="00D668A3"/>
    <w:rsid w:val="00D66A40"/>
    <w:rsid w:val="00D66A6D"/>
    <w:rsid w:val="00D66A77"/>
    <w:rsid w:val="00D66BBA"/>
    <w:rsid w:val="00D66BBE"/>
    <w:rsid w:val="00D66C18"/>
    <w:rsid w:val="00D66E6A"/>
    <w:rsid w:val="00D66F65"/>
    <w:rsid w:val="00D66F9A"/>
    <w:rsid w:val="00D66FFC"/>
    <w:rsid w:val="00D67050"/>
    <w:rsid w:val="00D671EE"/>
    <w:rsid w:val="00D67430"/>
    <w:rsid w:val="00D6745A"/>
    <w:rsid w:val="00D674C0"/>
    <w:rsid w:val="00D674E9"/>
    <w:rsid w:val="00D676B9"/>
    <w:rsid w:val="00D676F7"/>
    <w:rsid w:val="00D676FD"/>
    <w:rsid w:val="00D67711"/>
    <w:rsid w:val="00D677BC"/>
    <w:rsid w:val="00D677CE"/>
    <w:rsid w:val="00D679F6"/>
    <w:rsid w:val="00D67A8E"/>
    <w:rsid w:val="00D67BBE"/>
    <w:rsid w:val="00D67C78"/>
    <w:rsid w:val="00D67CCC"/>
    <w:rsid w:val="00D67DB0"/>
    <w:rsid w:val="00D67E28"/>
    <w:rsid w:val="00D67E64"/>
    <w:rsid w:val="00D67E77"/>
    <w:rsid w:val="00D67E7A"/>
    <w:rsid w:val="00D67E80"/>
    <w:rsid w:val="00D67EF1"/>
    <w:rsid w:val="00D67F6A"/>
    <w:rsid w:val="00D7010F"/>
    <w:rsid w:val="00D703FD"/>
    <w:rsid w:val="00D70427"/>
    <w:rsid w:val="00D704ED"/>
    <w:rsid w:val="00D70572"/>
    <w:rsid w:val="00D70658"/>
    <w:rsid w:val="00D70686"/>
    <w:rsid w:val="00D70747"/>
    <w:rsid w:val="00D707D6"/>
    <w:rsid w:val="00D70876"/>
    <w:rsid w:val="00D70924"/>
    <w:rsid w:val="00D70971"/>
    <w:rsid w:val="00D70ABB"/>
    <w:rsid w:val="00D70AC8"/>
    <w:rsid w:val="00D70B7A"/>
    <w:rsid w:val="00D70B85"/>
    <w:rsid w:val="00D70BF1"/>
    <w:rsid w:val="00D70C03"/>
    <w:rsid w:val="00D70CF3"/>
    <w:rsid w:val="00D70D80"/>
    <w:rsid w:val="00D70DB8"/>
    <w:rsid w:val="00D70DCA"/>
    <w:rsid w:val="00D70EB7"/>
    <w:rsid w:val="00D70EDB"/>
    <w:rsid w:val="00D70F1B"/>
    <w:rsid w:val="00D70F46"/>
    <w:rsid w:val="00D70F93"/>
    <w:rsid w:val="00D710D7"/>
    <w:rsid w:val="00D71126"/>
    <w:rsid w:val="00D71150"/>
    <w:rsid w:val="00D71163"/>
    <w:rsid w:val="00D711C0"/>
    <w:rsid w:val="00D712A2"/>
    <w:rsid w:val="00D7133F"/>
    <w:rsid w:val="00D713D9"/>
    <w:rsid w:val="00D7145A"/>
    <w:rsid w:val="00D714C2"/>
    <w:rsid w:val="00D714F6"/>
    <w:rsid w:val="00D7167C"/>
    <w:rsid w:val="00D7173E"/>
    <w:rsid w:val="00D717A3"/>
    <w:rsid w:val="00D718AD"/>
    <w:rsid w:val="00D7190B"/>
    <w:rsid w:val="00D71937"/>
    <w:rsid w:val="00D719D2"/>
    <w:rsid w:val="00D71A17"/>
    <w:rsid w:val="00D71ADC"/>
    <w:rsid w:val="00D71C27"/>
    <w:rsid w:val="00D71C64"/>
    <w:rsid w:val="00D71C82"/>
    <w:rsid w:val="00D71DB2"/>
    <w:rsid w:val="00D71DBF"/>
    <w:rsid w:val="00D71E54"/>
    <w:rsid w:val="00D71EA5"/>
    <w:rsid w:val="00D71F17"/>
    <w:rsid w:val="00D71F6D"/>
    <w:rsid w:val="00D71F82"/>
    <w:rsid w:val="00D71FC8"/>
    <w:rsid w:val="00D72094"/>
    <w:rsid w:val="00D7215F"/>
    <w:rsid w:val="00D72186"/>
    <w:rsid w:val="00D72332"/>
    <w:rsid w:val="00D723EE"/>
    <w:rsid w:val="00D723FE"/>
    <w:rsid w:val="00D72429"/>
    <w:rsid w:val="00D72463"/>
    <w:rsid w:val="00D724EB"/>
    <w:rsid w:val="00D725F6"/>
    <w:rsid w:val="00D725FD"/>
    <w:rsid w:val="00D72638"/>
    <w:rsid w:val="00D72673"/>
    <w:rsid w:val="00D72767"/>
    <w:rsid w:val="00D72798"/>
    <w:rsid w:val="00D72874"/>
    <w:rsid w:val="00D72974"/>
    <w:rsid w:val="00D7297D"/>
    <w:rsid w:val="00D729DC"/>
    <w:rsid w:val="00D729EC"/>
    <w:rsid w:val="00D72A16"/>
    <w:rsid w:val="00D72B36"/>
    <w:rsid w:val="00D72C79"/>
    <w:rsid w:val="00D72CD3"/>
    <w:rsid w:val="00D72D43"/>
    <w:rsid w:val="00D72DA0"/>
    <w:rsid w:val="00D72E14"/>
    <w:rsid w:val="00D72F53"/>
    <w:rsid w:val="00D72F90"/>
    <w:rsid w:val="00D72FDA"/>
    <w:rsid w:val="00D73044"/>
    <w:rsid w:val="00D73150"/>
    <w:rsid w:val="00D7317C"/>
    <w:rsid w:val="00D73269"/>
    <w:rsid w:val="00D7327C"/>
    <w:rsid w:val="00D73399"/>
    <w:rsid w:val="00D733D6"/>
    <w:rsid w:val="00D734DA"/>
    <w:rsid w:val="00D735A9"/>
    <w:rsid w:val="00D7364B"/>
    <w:rsid w:val="00D73718"/>
    <w:rsid w:val="00D7371E"/>
    <w:rsid w:val="00D737DD"/>
    <w:rsid w:val="00D737F1"/>
    <w:rsid w:val="00D73814"/>
    <w:rsid w:val="00D73A39"/>
    <w:rsid w:val="00D73A71"/>
    <w:rsid w:val="00D73B2B"/>
    <w:rsid w:val="00D73B2F"/>
    <w:rsid w:val="00D73B3D"/>
    <w:rsid w:val="00D73BE4"/>
    <w:rsid w:val="00D73C65"/>
    <w:rsid w:val="00D73DD6"/>
    <w:rsid w:val="00D73EA5"/>
    <w:rsid w:val="00D73EAB"/>
    <w:rsid w:val="00D73F2F"/>
    <w:rsid w:val="00D74001"/>
    <w:rsid w:val="00D742BD"/>
    <w:rsid w:val="00D74303"/>
    <w:rsid w:val="00D7447D"/>
    <w:rsid w:val="00D744CB"/>
    <w:rsid w:val="00D74589"/>
    <w:rsid w:val="00D74803"/>
    <w:rsid w:val="00D7484E"/>
    <w:rsid w:val="00D748C9"/>
    <w:rsid w:val="00D74917"/>
    <w:rsid w:val="00D749E4"/>
    <w:rsid w:val="00D74A13"/>
    <w:rsid w:val="00D74AF7"/>
    <w:rsid w:val="00D74AFE"/>
    <w:rsid w:val="00D74B94"/>
    <w:rsid w:val="00D74BBD"/>
    <w:rsid w:val="00D74CD9"/>
    <w:rsid w:val="00D74D06"/>
    <w:rsid w:val="00D74DEF"/>
    <w:rsid w:val="00D74E90"/>
    <w:rsid w:val="00D74EB2"/>
    <w:rsid w:val="00D74ECA"/>
    <w:rsid w:val="00D74ED7"/>
    <w:rsid w:val="00D74F9B"/>
    <w:rsid w:val="00D74F9C"/>
    <w:rsid w:val="00D75039"/>
    <w:rsid w:val="00D7506F"/>
    <w:rsid w:val="00D75097"/>
    <w:rsid w:val="00D75165"/>
    <w:rsid w:val="00D75277"/>
    <w:rsid w:val="00D75294"/>
    <w:rsid w:val="00D752C4"/>
    <w:rsid w:val="00D752DC"/>
    <w:rsid w:val="00D7536A"/>
    <w:rsid w:val="00D753EF"/>
    <w:rsid w:val="00D7549D"/>
    <w:rsid w:val="00D754F3"/>
    <w:rsid w:val="00D75509"/>
    <w:rsid w:val="00D7553A"/>
    <w:rsid w:val="00D75584"/>
    <w:rsid w:val="00D75586"/>
    <w:rsid w:val="00D755B4"/>
    <w:rsid w:val="00D75620"/>
    <w:rsid w:val="00D756B2"/>
    <w:rsid w:val="00D756EA"/>
    <w:rsid w:val="00D75793"/>
    <w:rsid w:val="00D757AC"/>
    <w:rsid w:val="00D758D7"/>
    <w:rsid w:val="00D75987"/>
    <w:rsid w:val="00D759BB"/>
    <w:rsid w:val="00D75B43"/>
    <w:rsid w:val="00D75C38"/>
    <w:rsid w:val="00D75CE2"/>
    <w:rsid w:val="00D75CFB"/>
    <w:rsid w:val="00D75D23"/>
    <w:rsid w:val="00D75D47"/>
    <w:rsid w:val="00D75FC1"/>
    <w:rsid w:val="00D76019"/>
    <w:rsid w:val="00D76075"/>
    <w:rsid w:val="00D760EA"/>
    <w:rsid w:val="00D76121"/>
    <w:rsid w:val="00D76213"/>
    <w:rsid w:val="00D7629E"/>
    <w:rsid w:val="00D76356"/>
    <w:rsid w:val="00D76456"/>
    <w:rsid w:val="00D7648A"/>
    <w:rsid w:val="00D7649A"/>
    <w:rsid w:val="00D76560"/>
    <w:rsid w:val="00D766DD"/>
    <w:rsid w:val="00D767ED"/>
    <w:rsid w:val="00D7680B"/>
    <w:rsid w:val="00D7684D"/>
    <w:rsid w:val="00D76A12"/>
    <w:rsid w:val="00D76A47"/>
    <w:rsid w:val="00D76B13"/>
    <w:rsid w:val="00D76B58"/>
    <w:rsid w:val="00D76B89"/>
    <w:rsid w:val="00D76BC2"/>
    <w:rsid w:val="00D76BF6"/>
    <w:rsid w:val="00D76EAE"/>
    <w:rsid w:val="00D76EB8"/>
    <w:rsid w:val="00D76F42"/>
    <w:rsid w:val="00D76F7B"/>
    <w:rsid w:val="00D77056"/>
    <w:rsid w:val="00D77069"/>
    <w:rsid w:val="00D77074"/>
    <w:rsid w:val="00D770B9"/>
    <w:rsid w:val="00D770C8"/>
    <w:rsid w:val="00D770FA"/>
    <w:rsid w:val="00D77147"/>
    <w:rsid w:val="00D77174"/>
    <w:rsid w:val="00D77190"/>
    <w:rsid w:val="00D77195"/>
    <w:rsid w:val="00D771DC"/>
    <w:rsid w:val="00D77231"/>
    <w:rsid w:val="00D772BF"/>
    <w:rsid w:val="00D772CB"/>
    <w:rsid w:val="00D7732D"/>
    <w:rsid w:val="00D77420"/>
    <w:rsid w:val="00D7743D"/>
    <w:rsid w:val="00D77477"/>
    <w:rsid w:val="00D7756A"/>
    <w:rsid w:val="00D775BB"/>
    <w:rsid w:val="00D775BC"/>
    <w:rsid w:val="00D7766E"/>
    <w:rsid w:val="00D776FC"/>
    <w:rsid w:val="00D7772B"/>
    <w:rsid w:val="00D777AC"/>
    <w:rsid w:val="00D7798A"/>
    <w:rsid w:val="00D77AE3"/>
    <w:rsid w:val="00D77AF4"/>
    <w:rsid w:val="00D77C1D"/>
    <w:rsid w:val="00D77CCA"/>
    <w:rsid w:val="00D77CEE"/>
    <w:rsid w:val="00D77D10"/>
    <w:rsid w:val="00D77D25"/>
    <w:rsid w:val="00D77EE3"/>
    <w:rsid w:val="00D77F10"/>
    <w:rsid w:val="00D77FC1"/>
    <w:rsid w:val="00D80131"/>
    <w:rsid w:val="00D8013F"/>
    <w:rsid w:val="00D80211"/>
    <w:rsid w:val="00D80354"/>
    <w:rsid w:val="00D80368"/>
    <w:rsid w:val="00D803E0"/>
    <w:rsid w:val="00D803E7"/>
    <w:rsid w:val="00D80545"/>
    <w:rsid w:val="00D80734"/>
    <w:rsid w:val="00D807E6"/>
    <w:rsid w:val="00D80831"/>
    <w:rsid w:val="00D80846"/>
    <w:rsid w:val="00D808BE"/>
    <w:rsid w:val="00D80938"/>
    <w:rsid w:val="00D80941"/>
    <w:rsid w:val="00D80972"/>
    <w:rsid w:val="00D80AA1"/>
    <w:rsid w:val="00D80AAE"/>
    <w:rsid w:val="00D80B33"/>
    <w:rsid w:val="00D80B88"/>
    <w:rsid w:val="00D80BF3"/>
    <w:rsid w:val="00D80D77"/>
    <w:rsid w:val="00D80DA1"/>
    <w:rsid w:val="00D80E0B"/>
    <w:rsid w:val="00D80EA9"/>
    <w:rsid w:val="00D80F87"/>
    <w:rsid w:val="00D80F8F"/>
    <w:rsid w:val="00D80FE6"/>
    <w:rsid w:val="00D81014"/>
    <w:rsid w:val="00D810A6"/>
    <w:rsid w:val="00D8121E"/>
    <w:rsid w:val="00D81339"/>
    <w:rsid w:val="00D813E3"/>
    <w:rsid w:val="00D814E5"/>
    <w:rsid w:val="00D81505"/>
    <w:rsid w:val="00D8152B"/>
    <w:rsid w:val="00D815AC"/>
    <w:rsid w:val="00D81739"/>
    <w:rsid w:val="00D8179A"/>
    <w:rsid w:val="00D818A9"/>
    <w:rsid w:val="00D81906"/>
    <w:rsid w:val="00D81AAE"/>
    <w:rsid w:val="00D81B17"/>
    <w:rsid w:val="00D81B71"/>
    <w:rsid w:val="00D81BC4"/>
    <w:rsid w:val="00D81E55"/>
    <w:rsid w:val="00D81E84"/>
    <w:rsid w:val="00D81EE3"/>
    <w:rsid w:val="00D81F79"/>
    <w:rsid w:val="00D8201A"/>
    <w:rsid w:val="00D8201C"/>
    <w:rsid w:val="00D8206A"/>
    <w:rsid w:val="00D8232C"/>
    <w:rsid w:val="00D8233E"/>
    <w:rsid w:val="00D82372"/>
    <w:rsid w:val="00D823D6"/>
    <w:rsid w:val="00D8245A"/>
    <w:rsid w:val="00D824E4"/>
    <w:rsid w:val="00D8259E"/>
    <w:rsid w:val="00D825DC"/>
    <w:rsid w:val="00D82638"/>
    <w:rsid w:val="00D82671"/>
    <w:rsid w:val="00D826EE"/>
    <w:rsid w:val="00D826F7"/>
    <w:rsid w:val="00D8270A"/>
    <w:rsid w:val="00D82884"/>
    <w:rsid w:val="00D82921"/>
    <w:rsid w:val="00D82970"/>
    <w:rsid w:val="00D82C49"/>
    <w:rsid w:val="00D82CB0"/>
    <w:rsid w:val="00D82DBB"/>
    <w:rsid w:val="00D82DBE"/>
    <w:rsid w:val="00D83288"/>
    <w:rsid w:val="00D83335"/>
    <w:rsid w:val="00D83339"/>
    <w:rsid w:val="00D833EC"/>
    <w:rsid w:val="00D83416"/>
    <w:rsid w:val="00D83427"/>
    <w:rsid w:val="00D835A0"/>
    <w:rsid w:val="00D83613"/>
    <w:rsid w:val="00D8377A"/>
    <w:rsid w:val="00D837BB"/>
    <w:rsid w:val="00D83800"/>
    <w:rsid w:val="00D8382C"/>
    <w:rsid w:val="00D8384F"/>
    <w:rsid w:val="00D83850"/>
    <w:rsid w:val="00D83868"/>
    <w:rsid w:val="00D83956"/>
    <w:rsid w:val="00D83973"/>
    <w:rsid w:val="00D839A9"/>
    <w:rsid w:val="00D83A1C"/>
    <w:rsid w:val="00D83A9A"/>
    <w:rsid w:val="00D83B0E"/>
    <w:rsid w:val="00D83B14"/>
    <w:rsid w:val="00D83B93"/>
    <w:rsid w:val="00D83C54"/>
    <w:rsid w:val="00D83E70"/>
    <w:rsid w:val="00D83EAD"/>
    <w:rsid w:val="00D83F2C"/>
    <w:rsid w:val="00D83F55"/>
    <w:rsid w:val="00D83F62"/>
    <w:rsid w:val="00D8408E"/>
    <w:rsid w:val="00D84093"/>
    <w:rsid w:val="00D840C3"/>
    <w:rsid w:val="00D841A3"/>
    <w:rsid w:val="00D84245"/>
    <w:rsid w:val="00D8431E"/>
    <w:rsid w:val="00D84328"/>
    <w:rsid w:val="00D84392"/>
    <w:rsid w:val="00D8443B"/>
    <w:rsid w:val="00D845EF"/>
    <w:rsid w:val="00D84606"/>
    <w:rsid w:val="00D84620"/>
    <w:rsid w:val="00D8467B"/>
    <w:rsid w:val="00D847CE"/>
    <w:rsid w:val="00D84807"/>
    <w:rsid w:val="00D849E3"/>
    <w:rsid w:val="00D849E6"/>
    <w:rsid w:val="00D84A64"/>
    <w:rsid w:val="00D84AA0"/>
    <w:rsid w:val="00D84B56"/>
    <w:rsid w:val="00D84B98"/>
    <w:rsid w:val="00D84BBE"/>
    <w:rsid w:val="00D84C04"/>
    <w:rsid w:val="00D84C92"/>
    <w:rsid w:val="00D84CA9"/>
    <w:rsid w:val="00D84D22"/>
    <w:rsid w:val="00D84E7E"/>
    <w:rsid w:val="00D84EEF"/>
    <w:rsid w:val="00D84FE0"/>
    <w:rsid w:val="00D85052"/>
    <w:rsid w:val="00D850C8"/>
    <w:rsid w:val="00D85192"/>
    <w:rsid w:val="00D851A8"/>
    <w:rsid w:val="00D851F5"/>
    <w:rsid w:val="00D8528D"/>
    <w:rsid w:val="00D8529F"/>
    <w:rsid w:val="00D85369"/>
    <w:rsid w:val="00D8536F"/>
    <w:rsid w:val="00D8549D"/>
    <w:rsid w:val="00D854C7"/>
    <w:rsid w:val="00D85569"/>
    <w:rsid w:val="00D85687"/>
    <w:rsid w:val="00D85690"/>
    <w:rsid w:val="00D85773"/>
    <w:rsid w:val="00D858FB"/>
    <w:rsid w:val="00D859B5"/>
    <w:rsid w:val="00D85AB7"/>
    <w:rsid w:val="00D85ACB"/>
    <w:rsid w:val="00D85ACF"/>
    <w:rsid w:val="00D85BBD"/>
    <w:rsid w:val="00D85C41"/>
    <w:rsid w:val="00D85CE9"/>
    <w:rsid w:val="00D85CF3"/>
    <w:rsid w:val="00D85D32"/>
    <w:rsid w:val="00D85EA0"/>
    <w:rsid w:val="00D85EAB"/>
    <w:rsid w:val="00D860BE"/>
    <w:rsid w:val="00D860DE"/>
    <w:rsid w:val="00D86103"/>
    <w:rsid w:val="00D8616F"/>
    <w:rsid w:val="00D8617C"/>
    <w:rsid w:val="00D861D3"/>
    <w:rsid w:val="00D8620C"/>
    <w:rsid w:val="00D8628F"/>
    <w:rsid w:val="00D862D7"/>
    <w:rsid w:val="00D86305"/>
    <w:rsid w:val="00D8630A"/>
    <w:rsid w:val="00D86367"/>
    <w:rsid w:val="00D863E3"/>
    <w:rsid w:val="00D8642E"/>
    <w:rsid w:val="00D86518"/>
    <w:rsid w:val="00D8652D"/>
    <w:rsid w:val="00D86562"/>
    <w:rsid w:val="00D865F8"/>
    <w:rsid w:val="00D8662E"/>
    <w:rsid w:val="00D86632"/>
    <w:rsid w:val="00D866EC"/>
    <w:rsid w:val="00D86751"/>
    <w:rsid w:val="00D867AA"/>
    <w:rsid w:val="00D869CC"/>
    <w:rsid w:val="00D869E1"/>
    <w:rsid w:val="00D86A6D"/>
    <w:rsid w:val="00D86A8D"/>
    <w:rsid w:val="00D86BB6"/>
    <w:rsid w:val="00D86CFC"/>
    <w:rsid w:val="00D86DC7"/>
    <w:rsid w:val="00D86DF5"/>
    <w:rsid w:val="00D86E13"/>
    <w:rsid w:val="00D86E9B"/>
    <w:rsid w:val="00D86EC2"/>
    <w:rsid w:val="00D86ECB"/>
    <w:rsid w:val="00D871DE"/>
    <w:rsid w:val="00D87229"/>
    <w:rsid w:val="00D87244"/>
    <w:rsid w:val="00D872B6"/>
    <w:rsid w:val="00D8738C"/>
    <w:rsid w:val="00D8742D"/>
    <w:rsid w:val="00D8755A"/>
    <w:rsid w:val="00D875EB"/>
    <w:rsid w:val="00D87678"/>
    <w:rsid w:val="00D876D1"/>
    <w:rsid w:val="00D876EB"/>
    <w:rsid w:val="00D877F2"/>
    <w:rsid w:val="00D877F4"/>
    <w:rsid w:val="00D878DD"/>
    <w:rsid w:val="00D87A44"/>
    <w:rsid w:val="00D87A75"/>
    <w:rsid w:val="00D87AC5"/>
    <w:rsid w:val="00D87B38"/>
    <w:rsid w:val="00D87C3F"/>
    <w:rsid w:val="00D87CA6"/>
    <w:rsid w:val="00D87E4A"/>
    <w:rsid w:val="00D87E5F"/>
    <w:rsid w:val="00D87F5B"/>
    <w:rsid w:val="00D87F81"/>
    <w:rsid w:val="00D87FA8"/>
    <w:rsid w:val="00D87FF7"/>
    <w:rsid w:val="00D9010F"/>
    <w:rsid w:val="00D90130"/>
    <w:rsid w:val="00D9014A"/>
    <w:rsid w:val="00D9023A"/>
    <w:rsid w:val="00D90484"/>
    <w:rsid w:val="00D904BD"/>
    <w:rsid w:val="00D9063E"/>
    <w:rsid w:val="00D907B4"/>
    <w:rsid w:val="00D907F0"/>
    <w:rsid w:val="00D90878"/>
    <w:rsid w:val="00D908CD"/>
    <w:rsid w:val="00D90A21"/>
    <w:rsid w:val="00D90AA8"/>
    <w:rsid w:val="00D90AFA"/>
    <w:rsid w:val="00D90B6C"/>
    <w:rsid w:val="00D90BE2"/>
    <w:rsid w:val="00D90C08"/>
    <w:rsid w:val="00D90C95"/>
    <w:rsid w:val="00D90CB7"/>
    <w:rsid w:val="00D90CE1"/>
    <w:rsid w:val="00D90D2C"/>
    <w:rsid w:val="00D90D8E"/>
    <w:rsid w:val="00D90E51"/>
    <w:rsid w:val="00D90E54"/>
    <w:rsid w:val="00D90F4F"/>
    <w:rsid w:val="00D91008"/>
    <w:rsid w:val="00D91047"/>
    <w:rsid w:val="00D9107D"/>
    <w:rsid w:val="00D91091"/>
    <w:rsid w:val="00D910C6"/>
    <w:rsid w:val="00D9110B"/>
    <w:rsid w:val="00D91130"/>
    <w:rsid w:val="00D91270"/>
    <w:rsid w:val="00D91394"/>
    <w:rsid w:val="00D91416"/>
    <w:rsid w:val="00D91442"/>
    <w:rsid w:val="00D91576"/>
    <w:rsid w:val="00D91603"/>
    <w:rsid w:val="00D91665"/>
    <w:rsid w:val="00D9174B"/>
    <w:rsid w:val="00D91781"/>
    <w:rsid w:val="00D91792"/>
    <w:rsid w:val="00D919C4"/>
    <w:rsid w:val="00D919D1"/>
    <w:rsid w:val="00D91A12"/>
    <w:rsid w:val="00D91A29"/>
    <w:rsid w:val="00D91A3F"/>
    <w:rsid w:val="00D91BEF"/>
    <w:rsid w:val="00D91BFB"/>
    <w:rsid w:val="00D91C70"/>
    <w:rsid w:val="00D91D6B"/>
    <w:rsid w:val="00D91D9C"/>
    <w:rsid w:val="00D91DF2"/>
    <w:rsid w:val="00D91DF5"/>
    <w:rsid w:val="00D91E06"/>
    <w:rsid w:val="00D91E71"/>
    <w:rsid w:val="00D91F1D"/>
    <w:rsid w:val="00D91FB8"/>
    <w:rsid w:val="00D91FEF"/>
    <w:rsid w:val="00D920FA"/>
    <w:rsid w:val="00D92127"/>
    <w:rsid w:val="00D92173"/>
    <w:rsid w:val="00D9220F"/>
    <w:rsid w:val="00D922AE"/>
    <w:rsid w:val="00D92339"/>
    <w:rsid w:val="00D9236B"/>
    <w:rsid w:val="00D923A6"/>
    <w:rsid w:val="00D923D4"/>
    <w:rsid w:val="00D9247C"/>
    <w:rsid w:val="00D925CA"/>
    <w:rsid w:val="00D926F3"/>
    <w:rsid w:val="00D92710"/>
    <w:rsid w:val="00D92792"/>
    <w:rsid w:val="00D927A7"/>
    <w:rsid w:val="00D928B1"/>
    <w:rsid w:val="00D92988"/>
    <w:rsid w:val="00D92A44"/>
    <w:rsid w:val="00D92B2D"/>
    <w:rsid w:val="00D92C4C"/>
    <w:rsid w:val="00D92D53"/>
    <w:rsid w:val="00D92DB3"/>
    <w:rsid w:val="00D92EA3"/>
    <w:rsid w:val="00D92F1C"/>
    <w:rsid w:val="00D92F43"/>
    <w:rsid w:val="00D92FDC"/>
    <w:rsid w:val="00D92FF9"/>
    <w:rsid w:val="00D9301D"/>
    <w:rsid w:val="00D93073"/>
    <w:rsid w:val="00D9308E"/>
    <w:rsid w:val="00D93117"/>
    <w:rsid w:val="00D931CD"/>
    <w:rsid w:val="00D93242"/>
    <w:rsid w:val="00D93255"/>
    <w:rsid w:val="00D9325C"/>
    <w:rsid w:val="00D93289"/>
    <w:rsid w:val="00D93294"/>
    <w:rsid w:val="00D932E9"/>
    <w:rsid w:val="00D93361"/>
    <w:rsid w:val="00D933FA"/>
    <w:rsid w:val="00D935CF"/>
    <w:rsid w:val="00D93644"/>
    <w:rsid w:val="00D9364F"/>
    <w:rsid w:val="00D937B0"/>
    <w:rsid w:val="00D937B5"/>
    <w:rsid w:val="00D937EC"/>
    <w:rsid w:val="00D937F5"/>
    <w:rsid w:val="00D937FE"/>
    <w:rsid w:val="00D938C9"/>
    <w:rsid w:val="00D93921"/>
    <w:rsid w:val="00D93AC9"/>
    <w:rsid w:val="00D93BCE"/>
    <w:rsid w:val="00D93C93"/>
    <w:rsid w:val="00D93D20"/>
    <w:rsid w:val="00D93D23"/>
    <w:rsid w:val="00D93EC9"/>
    <w:rsid w:val="00D93F64"/>
    <w:rsid w:val="00D93FA3"/>
    <w:rsid w:val="00D94062"/>
    <w:rsid w:val="00D940B9"/>
    <w:rsid w:val="00D94195"/>
    <w:rsid w:val="00D94304"/>
    <w:rsid w:val="00D9430F"/>
    <w:rsid w:val="00D9438C"/>
    <w:rsid w:val="00D94390"/>
    <w:rsid w:val="00D943C4"/>
    <w:rsid w:val="00D946BD"/>
    <w:rsid w:val="00D946D8"/>
    <w:rsid w:val="00D947A1"/>
    <w:rsid w:val="00D947AB"/>
    <w:rsid w:val="00D94820"/>
    <w:rsid w:val="00D94843"/>
    <w:rsid w:val="00D94860"/>
    <w:rsid w:val="00D948A3"/>
    <w:rsid w:val="00D948FA"/>
    <w:rsid w:val="00D949D5"/>
    <w:rsid w:val="00D94AA2"/>
    <w:rsid w:val="00D94B3F"/>
    <w:rsid w:val="00D94BDF"/>
    <w:rsid w:val="00D94C1C"/>
    <w:rsid w:val="00D94C5A"/>
    <w:rsid w:val="00D94DE5"/>
    <w:rsid w:val="00D94E7A"/>
    <w:rsid w:val="00D94E7C"/>
    <w:rsid w:val="00D94E95"/>
    <w:rsid w:val="00D94F85"/>
    <w:rsid w:val="00D94FDB"/>
    <w:rsid w:val="00D95074"/>
    <w:rsid w:val="00D9515C"/>
    <w:rsid w:val="00D95162"/>
    <w:rsid w:val="00D95181"/>
    <w:rsid w:val="00D951F6"/>
    <w:rsid w:val="00D9525A"/>
    <w:rsid w:val="00D953A0"/>
    <w:rsid w:val="00D953EF"/>
    <w:rsid w:val="00D954F2"/>
    <w:rsid w:val="00D955A2"/>
    <w:rsid w:val="00D956B2"/>
    <w:rsid w:val="00D956C0"/>
    <w:rsid w:val="00D9577A"/>
    <w:rsid w:val="00D957C4"/>
    <w:rsid w:val="00D957CB"/>
    <w:rsid w:val="00D9582B"/>
    <w:rsid w:val="00D95898"/>
    <w:rsid w:val="00D958DD"/>
    <w:rsid w:val="00D959BF"/>
    <w:rsid w:val="00D95A3B"/>
    <w:rsid w:val="00D95A4E"/>
    <w:rsid w:val="00D95A66"/>
    <w:rsid w:val="00D95AC6"/>
    <w:rsid w:val="00D95B4E"/>
    <w:rsid w:val="00D95B58"/>
    <w:rsid w:val="00D95C5C"/>
    <w:rsid w:val="00D95C6F"/>
    <w:rsid w:val="00D95C72"/>
    <w:rsid w:val="00D95CB8"/>
    <w:rsid w:val="00D95D18"/>
    <w:rsid w:val="00D95E33"/>
    <w:rsid w:val="00D96040"/>
    <w:rsid w:val="00D9604A"/>
    <w:rsid w:val="00D96056"/>
    <w:rsid w:val="00D960C2"/>
    <w:rsid w:val="00D960E8"/>
    <w:rsid w:val="00D9613C"/>
    <w:rsid w:val="00D9615E"/>
    <w:rsid w:val="00D9634D"/>
    <w:rsid w:val="00D96387"/>
    <w:rsid w:val="00D9640E"/>
    <w:rsid w:val="00D9640F"/>
    <w:rsid w:val="00D96419"/>
    <w:rsid w:val="00D964A3"/>
    <w:rsid w:val="00D964BB"/>
    <w:rsid w:val="00D965C3"/>
    <w:rsid w:val="00D965C6"/>
    <w:rsid w:val="00D965C8"/>
    <w:rsid w:val="00D96614"/>
    <w:rsid w:val="00D967A5"/>
    <w:rsid w:val="00D96871"/>
    <w:rsid w:val="00D96A83"/>
    <w:rsid w:val="00D96B3C"/>
    <w:rsid w:val="00D96C1F"/>
    <w:rsid w:val="00D96C89"/>
    <w:rsid w:val="00D96C95"/>
    <w:rsid w:val="00D96D88"/>
    <w:rsid w:val="00D96DA1"/>
    <w:rsid w:val="00D96EDB"/>
    <w:rsid w:val="00D96EF5"/>
    <w:rsid w:val="00D96F1D"/>
    <w:rsid w:val="00D96F4F"/>
    <w:rsid w:val="00D96F65"/>
    <w:rsid w:val="00D97070"/>
    <w:rsid w:val="00D970A2"/>
    <w:rsid w:val="00D970D7"/>
    <w:rsid w:val="00D97137"/>
    <w:rsid w:val="00D97190"/>
    <w:rsid w:val="00D971B6"/>
    <w:rsid w:val="00D971FA"/>
    <w:rsid w:val="00D9722F"/>
    <w:rsid w:val="00D97303"/>
    <w:rsid w:val="00D9731B"/>
    <w:rsid w:val="00D974A5"/>
    <w:rsid w:val="00D974D3"/>
    <w:rsid w:val="00D97598"/>
    <w:rsid w:val="00D976AF"/>
    <w:rsid w:val="00D97700"/>
    <w:rsid w:val="00D97705"/>
    <w:rsid w:val="00D97719"/>
    <w:rsid w:val="00D9772F"/>
    <w:rsid w:val="00D97737"/>
    <w:rsid w:val="00D97867"/>
    <w:rsid w:val="00D978EF"/>
    <w:rsid w:val="00D9792E"/>
    <w:rsid w:val="00D97A4E"/>
    <w:rsid w:val="00D97C02"/>
    <w:rsid w:val="00D97C42"/>
    <w:rsid w:val="00D97C46"/>
    <w:rsid w:val="00D97CD6"/>
    <w:rsid w:val="00D97D93"/>
    <w:rsid w:val="00D97DB4"/>
    <w:rsid w:val="00D97DEF"/>
    <w:rsid w:val="00D97E00"/>
    <w:rsid w:val="00D97FAF"/>
    <w:rsid w:val="00D97FB5"/>
    <w:rsid w:val="00DA0059"/>
    <w:rsid w:val="00DA007A"/>
    <w:rsid w:val="00DA0165"/>
    <w:rsid w:val="00DA019E"/>
    <w:rsid w:val="00DA0236"/>
    <w:rsid w:val="00DA027A"/>
    <w:rsid w:val="00DA02DE"/>
    <w:rsid w:val="00DA03F5"/>
    <w:rsid w:val="00DA0436"/>
    <w:rsid w:val="00DA0528"/>
    <w:rsid w:val="00DA052A"/>
    <w:rsid w:val="00DA0533"/>
    <w:rsid w:val="00DA057D"/>
    <w:rsid w:val="00DA06E4"/>
    <w:rsid w:val="00DA07BF"/>
    <w:rsid w:val="00DA07EC"/>
    <w:rsid w:val="00DA08FE"/>
    <w:rsid w:val="00DA09AB"/>
    <w:rsid w:val="00DA0A46"/>
    <w:rsid w:val="00DA0BCA"/>
    <w:rsid w:val="00DA0C6A"/>
    <w:rsid w:val="00DA0CAB"/>
    <w:rsid w:val="00DA0CF8"/>
    <w:rsid w:val="00DA0D09"/>
    <w:rsid w:val="00DA0DA0"/>
    <w:rsid w:val="00DA0DD8"/>
    <w:rsid w:val="00DA0E2D"/>
    <w:rsid w:val="00DA0E2F"/>
    <w:rsid w:val="00DA0E9C"/>
    <w:rsid w:val="00DA0F46"/>
    <w:rsid w:val="00DA0F4E"/>
    <w:rsid w:val="00DA0FC5"/>
    <w:rsid w:val="00DA11FF"/>
    <w:rsid w:val="00DA136C"/>
    <w:rsid w:val="00DA13AE"/>
    <w:rsid w:val="00DA14A0"/>
    <w:rsid w:val="00DA14D8"/>
    <w:rsid w:val="00DA14E3"/>
    <w:rsid w:val="00DA153D"/>
    <w:rsid w:val="00DA15D0"/>
    <w:rsid w:val="00DA15D3"/>
    <w:rsid w:val="00DA1775"/>
    <w:rsid w:val="00DA17DC"/>
    <w:rsid w:val="00DA1808"/>
    <w:rsid w:val="00DA180E"/>
    <w:rsid w:val="00DA1884"/>
    <w:rsid w:val="00DA18BC"/>
    <w:rsid w:val="00DA19CA"/>
    <w:rsid w:val="00DA1A4C"/>
    <w:rsid w:val="00DA1A7F"/>
    <w:rsid w:val="00DA1ABA"/>
    <w:rsid w:val="00DA1AE2"/>
    <w:rsid w:val="00DA1AFB"/>
    <w:rsid w:val="00DA1B43"/>
    <w:rsid w:val="00DA1B47"/>
    <w:rsid w:val="00DA1C66"/>
    <w:rsid w:val="00DA1C73"/>
    <w:rsid w:val="00DA1CEF"/>
    <w:rsid w:val="00DA1DD4"/>
    <w:rsid w:val="00DA1EAC"/>
    <w:rsid w:val="00DA1EBC"/>
    <w:rsid w:val="00DA1EE8"/>
    <w:rsid w:val="00DA1FEA"/>
    <w:rsid w:val="00DA200E"/>
    <w:rsid w:val="00DA2081"/>
    <w:rsid w:val="00DA2177"/>
    <w:rsid w:val="00DA217F"/>
    <w:rsid w:val="00DA2182"/>
    <w:rsid w:val="00DA21B1"/>
    <w:rsid w:val="00DA22D7"/>
    <w:rsid w:val="00DA22E9"/>
    <w:rsid w:val="00DA22EF"/>
    <w:rsid w:val="00DA22F1"/>
    <w:rsid w:val="00DA241B"/>
    <w:rsid w:val="00DA245C"/>
    <w:rsid w:val="00DA254D"/>
    <w:rsid w:val="00DA2577"/>
    <w:rsid w:val="00DA27B7"/>
    <w:rsid w:val="00DA2832"/>
    <w:rsid w:val="00DA2834"/>
    <w:rsid w:val="00DA2846"/>
    <w:rsid w:val="00DA2907"/>
    <w:rsid w:val="00DA2928"/>
    <w:rsid w:val="00DA2949"/>
    <w:rsid w:val="00DA2AEB"/>
    <w:rsid w:val="00DA2B11"/>
    <w:rsid w:val="00DA2C50"/>
    <w:rsid w:val="00DA2CB4"/>
    <w:rsid w:val="00DA2CC2"/>
    <w:rsid w:val="00DA2DAF"/>
    <w:rsid w:val="00DA2E65"/>
    <w:rsid w:val="00DA2E89"/>
    <w:rsid w:val="00DA2E90"/>
    <w:rsid w:val="00DA2ED5"/>
    <w:rsid w:val="00DA2EDD"/>
    <w:rsid w:val="00DA2F12"/>
    <w:rsid w:val="00DA2F57"/>
    <w:rsid w:val="00DA2FD0"/>
    <w:rsid w:val="00DA2FF6"/>
    <w:rsid w:val="00DA3033"/>
    <w:rsid w:val="00DA30CD"/>
    <w:rsid w:val="00DA312B"/>
    <w:rsid w:val="00DA3132"/>
    <w:rsid w:val="00DA327B"/>
    <w:rsid w:val="00DA32AD"/>
    <w:rsid w:val="00DA32D1"/>
    <w:rsid w:val="00DA3315"/>
    <w:rsid w:val="00DA3383"/>
    <w:rsid w:val="00DA33CF"/>
    <w:rsid w:val="00DA34D7"/>
    <w:rsid w:val="00DA355D"/>
    <w:rsid w:val="00DA356A"/>
    <w:rsid w:val="00DA36E6"/>
    <w:rsid w:val="00DA37D3"/>
    <w:rsid w:val="00DA3839"/>
    <w:rsid w:val="00DA3886"/>
    <w:rsid w:val="00DA38E5"/>
    <w:rsid w:val="00DA3915"/>
    <w:rsid w:val="00DA3A38"/>
    <w:rsid w:val="00DA3A7E"/>
    <w:rsid w:val="00DA3A84"/>
    <w:rsid w:val="00DA3ADD"/>
    <w:rsid w:val="00DA3B89"/>
    <w:rsid w:val="00DA3BC4"/>
    <w:rsid w:val="00DA3C53"/>
    <w:rsid w:val="00DA3D71"/>
    <w:rsid w:val="00DA3EA9"/>
    <w:rsid w:val="00DA3FC8"/>
    <w:rsid w:val="00DA3FF5"/>
    <w:rsid w:val="00DA401D"/>
    <w:rsid w:val="00DA406E"/>
    <w:rsid w:val="00DA40F0"/>
    <w:rsid w:val="00DA4169"/>
    <w:rsid w:val="00DA421E"/>
    <w:rsid w:val="00DA4246"/>
    <w:rsid w:val="00DA429A"/>
    <w:rsid w:val="00DA4326"/>
    <w:rsid w:val="00DA4347"/>
    <w:rsid w:val="00DA434C"/>
    <w:rsid w:val="00DA445D"/>
    <w:rsid w:val="00DA4477"/>
    <w:rsid w:val="00DA4497"/>
    <w:rsid w:val="00DA4529"/>
    <w:rsid w:val="00DA4536"/>
    <w:rsid w:val="00DA4539"/>
    <w:rsid w:val="00DA4768"/>
    <w:rsid w:val="00DA4798"/>
    <w:rsid w:val="00DA48FD"/>
    <w:rsid w:val="00DA4962"/>
    <w:rsid w:val="00DA49A7"/>
    <w:rsid w:val="00DA4B76"/>
    <w:rsid w:val="00DA4BEB"/>
    <w:rsid w:val="00DA4C4C"/>
    <w:rsid w:val="00DA4D33"/>
    <w:rsid w:val="00DA4D4E"/>
    <w:rsid w:val="00DA4D74"/>
    <w:rsid w:val="00DA4DA5"/>
    <w:rsid w:val="00DA4E39"/>
    <w:rsid w:val="00DA4E7F"/>
    <w:rsid w:val="00DA4E9A"/>
    <w:rsid w:val="00DA4F88"/>
    <w:rsid w:val="00DA4F8E"/>
    <w:rsid w:val="00DA503A"/>
    <w:rsid w:val="00DA504A"/>
    <w:rsid w:val="00DA50C8"/>
    <w:rsid w:val="00DA519D"/>
    <w:rsid w:val="00DA51D5"/>
    <w:rsid w:val="00DA523E"/>
    <w:rsid w:val="00DA5261"/>
    <w:rsid w:val="00DA52B8"/>
    <w:rsid w:val="00DA52D8"/>
    <w:rsid w:val="00DA53C1"/>
    <w:rsid w:val="00DA5592"/>
    <w:rsid w:val="00DA564A"/>
    <w:rsid w:val="00DA56C1"/>
    <w:rsid w:val="00DA56E3"/>
    <w:rsid w:val="00DA5780"/>
    <w:rsid w:val="00DA57B7"/>
    <w:rsid w:val="00DA57EF"/>
    <w:rsid w:val="00DA57FD"/>
    <w:rsid w:val="00DA582E"/>
    <w:rsid w:val="00DA58A3"/>
    <w:rsid w:val="00DA58AD"/>
    <w:rsid w:val="00DA5A72"/>
    <w:rsid w:val="00DA5B2C"/>
    <w:rsid w:val="00DA5B3B"/>
    <w:rsid w:val="00DA5B50"/>
    <w:rsid w:val="00DA5B73"/>
    <w:rsid w:val="00DA5B7C"/>
    <w:rsid w:val="00DA5B8B"/>
    <w:rsid w:val="00DA5BD9"/>
    <w:rsid w:val="00DA5CAD"/>
    <w:rsid w:val="00DA5CCD"/>
    <w:rsid w:val="00DA5CF2"/>
    <w:rsid w:val="00DA5DE7"/>
    <w:rsid w:val="00DA5DF3"/>
    <w:rsid w:val="00DA5E62"/>
    <w:rsid w:val="00DA5E9A"/>
    <w:rsid w:val="00DA5F1D"/>
    <w:rsid w:val="00DA5F26"/>
    <w:rsid w:val="00DA5FC5"/>
    <w:rsid w:val="00DA6140"/>
    <w:rsid w:val="00DA618B"/>
    <w:rsid w:val="00DA61AA"/>
    <w:rsid w:val="00DA620E"/>
    <w:rsid w:val="00DA6243"/>
    <w:rsid w:val="00DA631F"/>
    <w:rsid w:val="00DA6544"/>
    <w:rsid w:val="00DA662C"/>
    <w:rsid w:val="00DA66C4"/>
    <w:rsid w:val="00DA67AA"/>
    <w:rsid w:val="00DA6909"/>
    <w:rsid w:val="00DA690C"/>
    <w:rsid w:val="00DA69BF"/>
    <w:rsid w:val="00DA6B7A"/>
    <w:rsid w:val="00DA6C64"/>
    <w:rsid w:val="00DA6CA1"/>
    <w:rsid w:val="00DA6CAB"/>
    <w:rsid w:val="00DA6CC9"/>
    <w:rsid w:val="00DA6CD0"/>
    <w:rsid w:val="00DA6CD2"/>
    <w:rsid w:val="00DA6D0B"/>
    <w:rsid w:val="00DA6D50"/>
    <w:rsid w:val="00DA6D8C"/>
    <w:rsid w:val="00DA7087"/>
    <w:rsid w:val="00DA71D5"/>
    <w:rsid w:val="00DA71DE"/>
    <w:rsid w:val="00DA71F5"/>
    <w:rsid w:val="00DA7276"/>
    <w:rsid w:val="00DA72B3"/>
    <w:rsid w:val="00DA7442"/>
    <w:rsid w:val="00DA747A"/>
    <w:rsid w:val="00DA74B5"/>
    <w:rsid w:val="00DA752D"/>
    <w:rsid w:val="00DA754C"/>
    <w:rsid w:val="00DA75DB"/>
    <w:rsid w:val="00DA763C"/>
    <w:rsid w:val="00DA7682"/>
    <w:rsid w:val="00DA76D8"/>
    <w:rsid w:val="00DA7703"/>
    <w:rsid w:val="00DA7705"/>
    <w:rsid w:val="00DA7736"/>
    <w:rsid w:val="00DA788B"/>
    <w:rsid w:val="00DA79DD"/>
    <w:rsid w:val="00DA7A14"/>
    <w:rsid w:val="00DA7B5E"/>
    <w:rsid w:val="00DA7C3D"/>
    <w:rsid w:val="00DA7D84"/>
    <w:rsid w:val="00DA7E91"/>
    <w:rsid w:val="00DA7F4A"/>
    <w:rsid w:val="00DA7F85"/>
    <w:rsid w:val="00DB0094"/>
    <w:rsid w:val="00DB0142"/>
    <w:rsid w:val="00DB020A"/>
    <w:rsid w:val="00DB021A"/>
    <w:rsid w:val="00DB02AC"/>
    <w:rsid w:val="00DB02DA"/>
    <w:rsid w:val="00DB03F9"/>
    <w:rsid w:val="00DB0445"/>
    <w:rsid w:val="00DB0476"/>
    <w:rsid w:val="00DB04D8"/>
    <w:rsid w:val="00DB055B"/>
    <w:rsid w:val="00DB05AA"/>
    <w:rsid w:val="00DB05DF"/>
    <w:rsid w:val="00DB0615"/>
    <w:rsid w:val="00DB061C"/>
    <w:rsid w:val="00DB0667"/>
    <w:rsid w:val="00DB0726"/>
    <w:rsid w:val="00DB0736"/>
    <w:rsid w:val="00DB077D"/>
    <w:rsid w:val="00DB079B"/>
    <w:rsid w:val="00DB07B5"/>
    <w:rsid w:val="00DB0821"/>
    <w:rsid w:val="00DB089F"/>
    <w:rsid w:val="00DB08A5"/>
    <w:rsid w:val="00DB08CF"/>
    <w:rsid w:val="00DB0987"/>
    <w:rsid w:val="00DB09FB"/>
    <w:rsid w:val="00DB0AE8"/>
    <w:rsid w:val="00DB0B03"/>
    <w:rsid w:val="00DB0B6D"/>
    <w:rsid w:val="00DB0D16"/>
    <w:rsid w:val="00DB0D25"/>
    <w:rsid w:val="00DB0F84"/>
    <w:rsid w:val="00DB0F90"/>
    <w:rsid w:val="00DB102C"/>
    <w:rsid w:val="00DB105F"/>
    <w:rsid w:val="00DB10E9"/>
    <w:rsid w:val="00DB12AF"/>
    <w:rsid w:val="00DB1306"/>
    <w:rsid w:val="00DB132C"/>
    <w:rsid w:val="00DB137C"/>
    <w:rsid w:val="00DB138A"/>
    <w:rsid w:val="00DB13AB"/>
    <w:rsid w:val="00DB1710"/>
    <w:rsid w:val="00DB1781"/>
    <w:rsid w:val="00DB17CA"/>
    <w:rsid w:val="00DB1866"/>
    <w:rsid w:val="00DB1879"/>
    <w:rsid w:val="00DB18A2"/>
    <w:rsid w:val="00DB18DF"/>
    <w:rsid w:val="00DB1B34"/>
    <w:rsid w:val="00DB1BF9"/>
    <w:rsid w:val="00DB1C6E"/>
    <w:rsid w:val="00DB1D6D"/>
    <w:rsid w:val="00DB1DC6"/>
    <w:rsid w:val="00DB1DCC"/>
    <w:rsid w:val="00DB1DE8"/>
    <w:rsid w:val="00DB1E0A"/>
    <w:rsid w:val="00DB1EE4"/>
    <w:rsid w:val="00DB1FBF"/>
    <w:rsid w:val="00DB1FEE"/>
    <w:rsid w:val="00DB213E"/>
    <w:rsid w:val="00DB2189"/>
    <w:rsid w:val="00DB224F"/>
    <w:rsid w:val="00DB2331"/>
    <w:rsid w:val="00DB240D"/>
    <w:rsid w:val="00DB246E"/>
    <w:rsid w:val="00DB258F"/>
    <w:rsid w:val="00DB2746"/>
    <w:rsid w:val="00DB2955"/>
    <w:rsid w:val="00DB29A3"/>
    <w:rsid w:val="00DB29B8"/>
    <w:rsid w:val="00DB29F3"/>
    <w:rsid w:val="00DB2A1E"/>
    <w:rsid w:val="00DB2A27"/>
    <w:rsid w:val="00DB2A57"/>
    <w:rsid w:val="00DB2B08"/>
    <w:rsid w:val="00DB2B72"/>
    <w:rsid w:val="00DB2BF9"/>
    <w:rsid w:val="00DB2C1E"/>
    <w:rsid w:val="00DB2CC1"/>
    <w:rsid w:val="00DB2D79"/>
    <w:rsid w:val="00DB2E07"/>
    <w:rsid w:val="00DB2EEF"/>
    <w:rsid w:val="00DB2EFD"/>
    <w:rsid w:val="00DB2F03"/>
    <w:rsid w:val="00DB2FCB"/>
    <w:rsid w:val="00DB3080"/>
    <w:rsid w:val="00DB30BF"/>
    <w:rsid w:val="00DB31E8"/>
    <w:rsid w:val="00DB3223"/>
    <w:rsid w:val="00DB3362"/>
    <w:rsid w:val="00DB35A3"/>
    <w:rsid w:val="00DB35BB"/>
    <w:rsid w:val="00DB363D"/>
    <w:rsid w:val="00DB367B"/>
    <w:rsid w:val="00DB3684"/>
    <w:rsid w:val="00DB3691"/>
    <w:rsid w:val="00DB36DF"/>
    <w:rsid w:val="00DB374E"/>
    <w:rsid w:val="00DB3810"/>
    <w:rsid w:val="00DB381B"/>
    <w:rsid w:val="00DB3837"/>
    <w:rsid w:val="00DB38AA"/>
    <w:rsid w:val="00DB38F8"/>
    <w:rsid w:val="00DB39B9"/>
    <w:rsid w:val="00DB3BFA"/>
    <w:rsid w:val="00DB3CAC"/>
    <w:rsid w:val="00DB3D5B"/>
    <w:rsid w:val="00DB3DCE"/>
    <w:rsid w:val="00DB3E5E"/>
    <w:rsid w:val="00DB3EA9"/>
    <w:rsid w:val="00DB3F7E"/>
    <w:rsid w:val="00DB4012"/>
    <w:rsid w:val="00DB4036"/>
    <w:rsid w:val="00DB4037"/>
    <w:rsid w:val="00DB406E"/>
    <w:rsid w:val="00DB40D6"/>
    <w:rsid w:val="00DB413B"/>
    <w:rsid w:val="00DB4271"/>
    <w:rsid w:val="00DB437D"/>
    <w:rsid w:val="00DB452A"/>
    <w:rsid w:val="00DB455C"/>
    <w:rsid w:val="00DB4642"/>
    <w:rsid w:val="00DB4788"/>
    <w:rsid w:val="00DB4818"/>
    <w:rsid w:val="00DB4901"/>
    <w:rsid w:val="00DB49CC"/>
    <w:rsid w:val="00DB4A7A"/>
    <w:rsid w:val="00DB4AE0"/>
    <w:rsid w:val="00DB4C2F"/>
    <w:rsid w:val="00DB4C74"/>
    <w:rsid w:val="00DB4CA2"/>
    <w:rsid w:val="00DB4D2E"/>
    <w:rsid w:val="00DB4D4E"/>
    <w:rsid w:val="00DB4D7D"/>
    <w:rsid w:val="00DB4E0A"/>
    <w:rsid w:val="00DB4E47"/>
    <w:rsid w:val="00DB4FB2"/>
    <w:rsid w:val="00DB4FC5"/>
    <w:rsid w:val="00DB5241"/>
    <w:rsid w:val="00DB53EB"/>
    <w:rsid w:val="00DB5532"/>
    <w:rsid w:val="00DB55C9"/>
    <w:rsid w:val="00DB55DA"/>
    <w:rsid w:val="00DB56F5"/>
    <w:rsid w:val="00DB5722"/>
    <w:rsid w:val="00DB579E"/>
    <w:rsid w:val="00DB57A2"/>
    <w:rsid w:val="00DB57C6"/>
    <w:rsid w:val="00DB58BA"/>
    <w:rsid w:val="00DB5907"/>
    <w:rsid w:val="00DB595D"/>
    <w:rsid w:val="00DB5AB8"/>
    <w:rsid w:val="00DB5B2E"/>
    <w:rsid w:val="00DB5CBA"/>
    <w:rsid w:val="00DB5DD3"/>
    <w:rsid w:val="00DB5DE7"/>
    <w:rsid w:val="00DB5FE5"/>
    <w:rsid w:val="00DB60A4"/>
    <w:rsid w:val="00DB60DD"/>
    <w:rsid w:val="00DB6210"/>
    <w:rsid w:val="00DB6393"/>
    <w:rsid w:val="00DB641A"/>
    <w:rsid w:val="00DB6447"/>
    <w:rsid w:val="00DB6492"/>
    <w:rsid w:val="00DB64E8"/>
    <w:rsid w:val="00DB65AC"/>
    <w:rsid w:val="00DB6690"/>
    <w:rsid w:val="00DB68A4"/>
    <w:rsid w:val="00DB68CE"/>
    <w:rsid w:val="00DB6A6C"/>
    <w:rsid w:val="00DB6B0F"/>
    <w:rsid w:val="00DB6B7F"/>
    <w:rsid w:val="00DB6C03"/>
    <w:rsid w:val="00DB6C97"/>
    <w:rsid w:val="00DB6DC0"/>
    <w:rsid w:val="00DB6DE7"/>
    <w:rsid w:val="00DB6ED6"/>
    <w:rsid w:val="00DB6FA5"/>
    <w:rsid w:val="00DB7020"/>
    <w:rsid w:val="00DB7077"/>
    <w:rsid w:val="00DB7089"/>
    <w:rsid w:val="00DB70D3"/>
    <w:rsid w:val="00DB70E2"/>
    <w:rsid w:val="00DB7220"/>
    <w:rsid w:val="00DB7298"/>
    <w:rsid w:val="00DB72D0"/>
    <w:rsid w:val="00DB7407"/>
    <w:rsid w:val="00DB749F"/>
    <w:rsid w:val="00DB74CA"/>
    <w:rsid w:val="00DB7638"/>
    <w:rsid w:val="00DB763F"/>
    <w:rsid w:val="00DB776A"/>
    <w:rsid w:val="00DB77D0"/>
    <w:rsid w:val="00DB77DA"/>
    <w:rsid w:val="00DB7803"/>
    <w:rsid w:val="00DB7846"/>
    <w:rsid w:val="00DB7943"/>
    <w:rsid w:val="00DB7985"/>
    <w:rsid w:val="00DB79FD"/>
    <w:rsid w:val="00DB7A48"/>
    <w:rsid w:val="00DB7B66"/>
    <w:rsid w:val="00DB7B7E"/>
    <w:rsid w:val="00DB7D80"/>
    <w:rsid w:val="00DB7DCD"/>
    <w:rsid w:val="00DB7E33"/>
    <w:rsid w:val="00DB7E9C"/>
    <w:rsid w:val="00DB7F43"/>
    <w:rsid w:val="00DB7F70"/>
    <w:rsid w:val="00DB7FD2"/>
    <w:rsid w:val="00DC0027"/>
    <w:rsid w:val="00DC0077"/>
    <w:rsid w:val="00DC00EC"/>
    <w:rsid w:val="00DC0277"/>
    <w:rsid w:val="00DC038C"/>
    <w:rsid w:val="00DC0447"/>
    <w:rsid w:val="00DC0493"/>
    <w:rsid w:val="00DC0880"/>
    <w:rsid w:val="00DC0915"/>
    <w:rsid w:val="00DC0B01"/>
    <w:rsid w:val="00DC0B59"/>
    <w:rsid w:val="00DC0B64"/>
    <w:rsid w:val="00DC0BD3"/>
    <w:rsid w:val="00DC0BFE"/>
    <w:rsid w:val="00DC0CB3"/>
    <w:rsid w:val="00DC0CC6"/>
    <w:rsid w:val="00DC0CF4"/>
    <w:rsid w:val="00DC0D0E"/>
    <w:rsid w:val="00DC0EAF"/>
    <w:rsid w:val="00DC0FD2"/>
    <w:rsid w:val="00DC1059"/>
    <w:rsid w:val="00DC10F9"/>
    <w:rsid w:val="00DC1134"/>
    <w:rsid w:val="00DC1151"/>
    <w:rsid w:val="00DC115B"/>
    <w:rsid w:val="00DC116D"/>
    <w:rsid w:val="00DC123F"/>
    <w:rsid w:val="00DC12AB"/>
    <w:rsid w:val="00DC149D"/>
    <w:rsid w:val="00DC157C"/>
    <w:rsid w:val="00DC15E9"/>
    <w:rsid w:val="00DC167E"/>
    <w:rsid w:val="00DC16B7"/>
    <w:rsid w:val="00DC16F4"/>
    <w:rsid w:val="00DC1704"/>
    <w:rsid w:val="00DC1874"/>
    <w:rsid w:val="00DC18B5"/>
    <w:rsid w:val="00DC194D"/>
    <w:rsid w:val="00DC19A8"/>
    <w:rsid w:val="00DC19D7"/>
    <w:rsid w:val="00DC1A78"/>
    <w:rsid w:val="00DC1AA9"/>
    <w:rsid w:val="00DC1BD5"/>
    <w:rsid w:val="00DC1D21"/>
    <w:rsid w:val="00DC1D24"/>
    <w:rsid w:val="00DC1DEF"/>
    <w:rsid w:val="00DC1DFA"/>
    <w:rsid w:val="00DC1DFD"/>
    <w:rsid w:val="00DC1E76"/>
    <w:rsid w:val="00DC1F2A"/>
    <w:rsid w:val="00DC1FF4"/>
    <w:rsid w:val="00DC2001"/>
    <w:rsid w:val="00DC20BA"/>
    <w:rsid w:val="00DC21AD"/>
    <w:rsid w:val="00DC22AE"/>
    <w:rsid w:val="00DC22E8"/>
    <w:rsid w:val="00DC2429"/>
    <w:rsid w:val="00DC24A5"/>
    <w:rsid w:val="00DC2670"/>
    <w:rsid w:val="00DC26A3"/>
    <w:rsid w:val="00DC298F"/>
    <w:rsid w:val="00DC2A29"/>
    <w:rsid w:val="00DC2B73"/>
    <w:rsid w:val="00DC2D2A"/>
    <w:rsid w:val="00DC2D66"/>
    <w:rsid w:val="00DC2DB9"/>
    <w:rsid w:val="00DC2EAC"/>
    <w:rsid w:val="00DC3057"/>
    <w:rsid w:val="00DC30BF"/>
    <w:rsid w:val="00DC30FC"/>
    <w:rsid w:val="00DC3137"/>
    <w:rsid w:val="00DC3159"/>
    <w:rsid w:val="00DC316A"/>
    <w:rsid w:val="00DC3185"/>
    <w:rsid w:val="00DC3190"/>
    <w:rsid w:val="00DC31DC"/>
    <w:rsid w:val="00DC32FB"/>
    <w:rsid w:val="00DC3342"/>
    <w:rsid w:val="00DC3349"/>
    <w:rsid w:val="00DC33A8"/>
    <w:rsid w:val="00DC33DC"/>
    <w:rsid w:val="00DC340F"/>
    <w:rsid w:val="00DC341A"/>
    <w:rsid w:val="00DC345E"/>
    <w:rsid w:val="00DC34A6"/>
    <w:rsid w:val="00DC35A4"/>
    <w:rsid w:val="00DC3617"/>
    <w:rsid w:val="00DC3686"/>
    <w:rsid w:val="00DC368D"/>
    <w:rsid w:val="00DC36D5"/>
    <w:rsid w:val="00DC37A2"/>
    <w:rsid w:val="00DC37AD"/>
    <w:rsid w:val="00DC3913"/>
    <w:rsid w:val="00DC3977"/>
    <w:rsid w:val="00DC3AB8"/>
    <w:rsid w:val="00DC3B78"/>
    <w:rsid w:val="00DC3C92"/>
    <w:rsid w:val="00DC3E47"/>
    <w:rsid w:val="00DC3E69"/>
    <w:rsid w:val="00DC40CC"/>
    <w:rsid w:val="00DC41E7"/>
    <w:rsid w:val="00DC424C"/>
    <w:rsid w:val="00DC42D2"/>
    <w:rsid w:val="00DC43A6"/>
    <w:rsid w:val="00DC4488"/>
    <w:rsid w:val="00DC44C0"/>
    <w:rsid w:val="00DC4545"/>
    <w:rsid w:val="00DC4563"/>
    <w:rsid w:val="00DC4592"/>
    <w:rsid w:val="00DC4655"/>
    <w:rsid w:val="00DC465A"/>
    <w:rsid w:val="00DC465B"/>
    <w:rsid w:val="00DC4723"/>
    <w:rsid w:val="00DC477C"/>
    <w:rsid w:val="00DC47A4"/>
    <w:rsid w:val="00DC47A6"/>
    <w:rsid w:val="00DC49AD"/>
    <w:rsid w:val="00DC4A7B"/>
    <w:rsid w:val="00DC4AB0"/>
    <w:rsid w:val="00DC4AF1"/>
    <w:rsid w:val="00DC4B94"/>
    <w:rsid w:val="00DC4BFA"/>
    <w:rsid w:val="00DC4CB3"/>
    <w:rsid w:val="00DC4CBF"/>
    <w:rsid w:val="00DC4CC0"/>
    <w:rsid w:val="00DC4CF7"/>
    <w:rsid w:val="00DC4D61"/>
    <w:rsid w:val="00DC4D8F"/>
    <w:rsid w:val="00DC4DAF"/>
    <w:rsid w:val="00DC4DB5"/>
    <w:rsid w:val="00DC4E54"/>
    <w:rsid w:val="00DC4E5D"/>
    <w:rsid w:val="00DC4E62"/>
    <w:rsid w:val="00DC4EBE"/>
    <w:rsid w:val="00DC4F2C"/>
    <w:rsid w:val="00DC520A"/>
    <w:rsid w:val="00DC5222"/>
    <w:rsid w:val="00DC5270"/>
    <w:rsid w:val="00DC52E7"/>
    <w:rsid w:val="00DC5305"/>
    <w:rsid w:val="00DC5364"/>
    <w:rsid w:val="00DC538E"/>
    <w:rsid w:val="00DC548B"/>
    <w:rsid w:val="00DC54DF"/>
    <w:rsid w:val="00DC5512"/>
    <w:rsid w:val="00DC55B3"/>
    <w:rsid w:val="00DC568D"/>
    <w:rsid w:val="00DC5977"/>
    <w:rsid w:val="00DC5A7C"/>
    <w:rsid w:val="00DC5B09"/>
    <w:rsid w:val="00DC5B11"/>
    <w:rsid w:val="00DC5C3A"/>
    <w:rsid w:val="00DC5CA0"/>
    <w:rsid w:val="00DC5DD9"/>
    <w:rsid w:val="00DC5E6C"/>
    <w:rsid w:val="00DC5F15"/>
    <w:rsid w:val="00DC5FBB"/>
    <w:rsid w:val="00DC5FBC"/>
    <w:rsid w:val="00DC5FE7"/>
    <w:rsid w:val="00DC6019"/>
    <w:rsid w:val="00DC6047"/>
    <w:rsid w:val="00DC6056"/>
    <w:rsid w:val="00DC60DF"/>
    <w:rsid w:val="00DC6130"/>
    <w:rsid w:val="00DC6131"/>
    <w:rsid w:val="00DC61FC"/>
    <w:rsid w:val="00DC6206"/>
    <w:rsid w:val="00DC6272"/>
    <w:rsid w:val="00DC6422"/>
    <w:rsid w:val="00DC652F"/>
    <w:rsid w:val="00DC660A"/>
    <w:rsid w:val="00DC6654"/>
    <w:rsid w:val="00DC6655"/>
    <w:rsid w:val="00DC667A"/>
    <w:rsid w:val="00DC66B5"/>
    <w:rsid w:val="00DC6787"/>
    <w:rsid w:val="00DC68B9"/>
    <w:rsid w:val="00DC68FA"/>
    <w:rsid w:val="00DC6A15"/>
    <w:rsid w:val="00DC6A8B"/>
    <w:rsid w:val="00DC6AA3"/>
    <w:rsid w:val="00DC6C43"/>
    <w:rsid w:val="00DC6C8C"/>
    <w:rsid w:val="00DC6DCD"/>
    <w:rsid w:val="00DC6E6C"/>
    <w:rsid w:val="00DC6EB4"/>
    <w:rsid w:val="00DC6ECC"/>
    <w:rsid w:val="00DC7077"/>
    <w:rsid w:val="00DC72A1"/>
    <w:rsid w:val="00DC73D0"/>
    <w:rsid w:val="00DC73DB"/>
    <w:rsid w:val="00DC7446"/>
    <w:rsid w:val="00DC744B"/>
    <w:rsid w:val="00DC764F"/>
    <w:rsid w:val="00DC76C1"/>
    <w:rsid w:val="00DC7704"/>
    <w:rsid w:val="00DC7730"/>
    <w:rsid w:val="00DC7809"/>
    <w:rsid w:val="00DC7846"/>
    <w:rsid w:val="00DC7903"/>
    <w:rsid w:val="00DC793A"/>
    <w:rsid w:val="00DC7953"/>
    <w:rsid w:val="00DC799F"/>
    <w:rsid w:val="00DC79DF"/>
    <w:rsid w:val="00DC79F6"/>
    <w:rsid w:val="00DC7AD5"/>
    <w:rsid w:val="00DC7CEB"/>
    <w:rsid w:val="00DC7DAC"/>
    <w:rsid w:val="00DC7DB8"/>
    <w:rsid w:val="00DC7DEE"/>
    <w:rsid w:val="00DC7DF5"/>
    <w:rsid w:val="00DC7EB1"/>
    <w:rsid w:val="00DC7F5D"/>
    <w:rsid w:val="00DC7FBB"/>
    <w:rsid w:val="00DD0092"/>
    <w:rsid w:val="00DD01CE"/>
    <w:rsid w:val="00DD0212"/>
    <w:rsid w:val="00DD028A"/>
    <w:rsid w:val="00DD02A0"/>
    <w:rsid w:val="00DD02CB"/>
    <w:rsid w:val="00DD03CF"/>
    <w:rsid w:val="00DD04AD"/>
    <w:rsid w:val="00DD0691"/>
    <w:rsid w:val="00DD0693"/>
    <w:rsid w:val="00DD0766"/>
    <w:rsid w:val="00DD07D8"/>
    <w:rsid w:val="00DD07D9"/>
    <w:rsid w:val="00DD07E8"/>
    <w:rsid w:val="00DD0918"/>
    <w:rsid w:val="00DD095A"/>
    <w:rsid w:val="00DD096E"/>
    <w:rsid w:val="00DD0A27"/>
    <w:rsid w:val="00DD0A61"/>
    <w:rsid w:val="00DD0B4C"/>
    <w:rsid w:val="00DD0BEB"/>
    <w:rsid w:val="00DD0C3F"/>
    <w:rsid w:val="00DD0C4F"/>
    <w:rsid w:val="00DD0D3E"/>
    <w:rsid w:val="00DD0D6F"/>
    <w:rsid w:val="00DD0D97"/>
    <w:rsid w:val="00DD0D9B"/>
    <w:rsid w:val="00DD0E52"/>
    <w:rsid w:val="00DD0E6B"/>
    <w:rsid w:val="00DD0FC5"/>
    <w:rsid w:val="00DD1032"/>
    <w:rsid w:val="00DD111E"/>
    <w:rsid w:val="00DD1136"/>
    <w:rsid w:val="00DD1164"/>
    <w:rsid w:val="00DD12E8"/>
    <w:rsid w:val="00DD135A"/>
    <w:rsid w:val="00DD1364"/>
    <w:rsid w:val="00DD13D4"/>
    <w:rsid w:val="00DD145A"/>
    <w:rsid w:val="00DD1627"/>
    <w:rsid w:val="00DD1683"/>
    <w:rsid w:val="00DD1702"/>
    <w:rsid w:val="00DD1761"/>
    <w:rsid w:val="00DD1822"/>
    <w:rsid w:val="00DD188B"/>
    <w:rsid w:val="00DD188F"/>
    <w:rsid w:val="00DD1894"/>
    <w:rsid w:val="00DD1983"/>
    <w:rsid w:val="00DD1A46"/>
    <w:rsid w:val="00DD1AEC"/>
    <w:rsid w:val="00DD1C2D"/>
    <w:rsid w:val="00DD1CAC"/>
    <w:rsid w:val="00DD1E16"/>
    <w:rsid w:val="00DD1EC2"/>
    <w:rsid w:val="00DD1EC9"/>
    <w:rsid w:val="00DD1F0A"/>
    <w:rsid w:val="00DD1F85"/>
    <w:rsid w:val="00DD210C"/>
    <w:rsid w:val="00DD2118"/>
    <w:rsid w:val="00DD21A5"/>
    <w:rsid w:val="00DD221B"/>
    <w:rsid w:val="00DD22E3"/>
    <w:rsid w:val="00DD2328"/>
    <w:rsid w:val="00DD2384"/>
    <w:rsid w:val="00DD23A1"/>
    <w:rsid w:val="00DD2478"/>
    <w:rsid w:val="00DD2697"/>
    <w:rsid w:val="00DD26A9"/>
    <w:rsid w:val="00DD2754"/>
    <w:rsid w:val="00DD284F"/>
    <w:rsid w:val="00DD289C"/>
    <w:rsid w:val="00DD28CB"/>
    <w:rsid w:val="00DD296E"/>
    <w:rsid w:val="00DD2A5F"/>
    <w:rsid w:val="00DD2AF1"/>
    <w:rsid w:val="00DD2B87"/>
    <w:rsid w:val="00DD2C36"/>
    <w:rsid w:val="00DD2E85"/>
    <w:rsid w:val="00DD2FDD"/>
    <w:rsid w:val="00DD30F4"/>
    <w:rsid w:val="00DD31EF"/>
    <w:rsid w:val="00DD3210"/>
    <w:rsid w:val="00DD32F6"/>
    <w:rsid w:val="00DD343A"/>
    <w:rsid w:val="00DD346A"/>
    <w:rsid w:val="00DD3484"/>
    <w:rsid w:val="00DD35A1"/>
    <w:rsid w:val="00DD3680"/>
    <w:rsid w:val="00DD36DA"/>
    <w:rsid w:val="00DD3712"/>
    <w:rsid w:val="00DD3772"/>
    <w:rsid w:val="00DD3773"/>
    <w:rsid w:val="00DD38E6"/>
    <w:rsid w:val="00DD3A58"/>
    <w:rsid w:val="00DD3A8B"/>
    <w:rsid w:val="00DD3B15"/>
    <w:rsid w:val="00DD3BEF"/>
    <w:rsid w:val="00DD3C32"/>
    <w:rsid w:val="00DD3D1E"/>
    <w:rsid w:val="00DD3D76"/>
    <w:rsid w:val="00DD3D82"/>
    <w:rsid w:val="00DD3E05"/>
    <w:rsid w:val="00DD3E6E"/>
    <w:rsid w:val="00DD3ED3"/>
    <w:rsid w:val="00DD3F77"/>
    <w:rsid w:val="00DD4015"/>
    <w:rsid w:val="00DD416E"/>
    <w:rsid w:val="00DD4200"/>
    <w:rsid w:val="00DD421C"/>
    <w:rsid w:val="00DD4224"/>
    <w:rsid w:val="00DD429D"/>
    <w:rsid w:val="00DD42CF"/>
    <w:rsid w:val="00DD42E6"/>
    <w:rsid w:val="00DD4416"/>
    <w:rsid w:val="00DD44BD"/>
    <w:rsid w:val="00DD44D8"/>
    <w:rsid w:val="00DD451B"/>
    <w:rsid w:val="00DD45FE"/>
    <w:rsid w:val="00DD47A5"/>
    <w:rsid w:val="00DD47D0"/>
    <w:rsid w:val="00DD47D7"/>
    <w:rsid w:val="00DD4876"/>
    <w:rsid w:val="00DD4970"/>
    <w:rsid w:val="00DD4972"/>
    <w:rsid w:val="00DD4A45"/>
    <w:rsid w:val="00DD4A89"/>
    <w:rsid w:val="00DD4A8E"/>
    <w:rsid w:val="00DD4BE9"/>
    <w:rsid w:val="00DD4D21"/>
    <w:rsid w:val="00DD4D2A"/>
    <w:rsid w:val="00DD4E93"/>
    <w:rsid w:val="00DD4ED7"/>
    <w:rsid w:val="00DD4F18"/>
    <w:rsid w:val="00DD4F4E"/>
    <w:rsid w:val="00DD4F66"/>
    <w:rsid w:val="00DD4FF4"/>
    <w:rsid w:val="00DD50CD"/>
    <w:rsid w:val="00DD5254"/>
    <w:rsid w:val="00DD530B"/>
    <w:rsid w:val="00DD531E"/>
    <w:rsid w:val="00DD5376"/>
    <w:rsid w:val="00DD5438"/>
    <w:rsid w:val="00DD54DB"/>
    <w:rsid w:val="00DD5520"/>
    <w:rsid w:val="00DD5605"/>
    <w:rsid w:val="00DD563E"/>
    <w:rsid w:val="00DD565C"/>
    <w:rsid w:val="00DD56AD"/>
    <w:rsid w:val="00DD56F3"/>
    <w:rsid w:val="00DD57D3"/>
    <w:rsid w:val="00DD5868"/>
    <w:rsid w:val="00DD5908"/>
    <w:rsid w:val="00DD5978"/>
    <w:rsid w:val="00DD59D8"/>
    <w:rsid w:val="00DD5A17"/>
    <w:rsid w:val="00DD5A1B"/>
    <w:rsid w:val="00DD5A1D"/>
    <w:rsid w:val="00DD5AE9"/>
    <w:rsid w:val="00DD5BB9"/>
    <w:rsid w:val="00DD5BEC"/>
    <w:rsid w:val="00DD5C97"/>
    <w:rsid w:val="00DD5CFE"/>
    <w:rsid w:val="00DD5D64"/>
    <w:rsid w:val="00DD5DC2"/>
    <w:rsid w:val="00DD5DF1"/>
    <w:rsid w:val="00DD5E5D"/>
    <w:rsid w:val="00DD60E1"/>
    <w:rsid w:val="00DD60E9"/>
    <w:rsid w:val="00DD6235"/>
    <w:rsid w:val="00DD6254"/>
    <w:rsid w:val="00DD62CB"/>
    <w:rsid w:val="00DD63B2"/>
    <w:rsid w:val="00DD63FA"/>
    <w:rsid w:val="00DD642E"/>
    <w:rsid w:val="00DD6435"/>
    <w:rsid w:val="00DD64C0"/>
    <w:rsid w:val="00DD680D"/>
    <w:rsid w:val="00DD68D9"/>
    <w:rsid w:val="00DD6A53"/>
    <w:rsid w:val="00DD6B4A"/>
    <w:rsid w:val="00DD6B6E"/>
    <w:rsid w:val="00DD6B77"/>
    <w:rsid w:val="00DD6BB2"/>
    <w:rsid w:val="00DD6BD3"/>
    <w:rsid w:val="00DD6C1F"/>
    <w:rsid w:val="00DD6C8F"/>
    <w:rsid w:val="00DD6CA1"/>
    <w:rsid w:val="00DD6CA2"/>
    <w:rsid w:val="00DD6E44"/>
    <w:rsid w:val="00DD6EC9"/>
    <w:rsid w:val="00DD7026"/>
    <w:rsid w:val="00DD702D"/>
    <w:rsid w:val="00DD7130"/>
    <w:rsid w:val="00DD714F"/>
    <w:rsid w:val="00DD71E8"/>
    <w:rsid w:val="00DD7204"/>
    <w:rsid w:val="00DD7245"/>
    <w:rsid w:val="00DD72F4"/>
    <w:rsid w:val="00DD733B"/>
    <w:rsid w:val="00DD7383"/>
    <w:rsid w:val="00DD739F"/>
    <w:rsid w:val="00DD744B"/>
    <w:rsid w:val="00DD74B0"/>
    <w:rsid w:val="00DD74D0"/>
    <w:rsid w:val="00DD7583"/>
    <w:rsid w:val="00DD761A"/>
    <w:rsid w:val="00DD7635"/>
    <w:rsid w:val="00DD769B"/>
    <w:rsid w:val="00DD7732"/>
    <w:rsid w:val="00DD777A"/>
    <w:rsid w:val="00DD77C2"/>
    <w:rsid w:val="00DD782F"/>
    <w:rsid w:val="00DD788B"/>
    <w:rsid w:val="00DD78EB"/>
    <w:rsid w:val="00DD798F"/>
    <w:rsid w:val="00DD79B2"/>
    <w:rsid w:val="00DD7ABD"/>
    <w:rsid w:val="00DD7CEF"/>
    <w:rsid w:val="00DD7CF3"/>
    <w:rsid w:val="00DD7DBD"/>
    <w:rsid w:val="00DD7E72"/>
    <w:rsid w:val="00DD7E8B"/>
    <w:rsid w:val="00DD7EB0"/>
    <w:rsid w:val="00DD7EFF"/>
    <w:rsid w:val="00DD7F73"/>
    <w:rsid w:val="00DD7FA1"/>
    <w:rsid w:val="00DD7FE3"/>
    <w:rsid w:val="00DE003C"/>
    <w:rsid w:val="00DE0076"/>
    <w:rsid w:val="00DE0143"/>
    <w:rsid w:val="00DE01E4"/>
    <w:rsid w:val="00DE026A"/>
    <w:rsid w:val="00DE0274"/>
    <w:rsid w:val="00DE027E"/>
    <w:rsid w:val="00DE0282"/>
    <w:rsid w:val="00DE028B"/>
    <w:rsid w:val="00DE02B9"/>
    <w:rsid w:val="00DE0394"/>
    <w:rsid w:val="00DE0629"/>
    <w:rsid w:val="00DE0669"/>
    <w:rsid w:val="00DE077F"/>
    <w:rsid w:val="00DE07CE"/>
    <w:rsid w:val="00DE07F8"/>
    <w:rsid w:val="00DE092F"/>
    <w:rsid w:val="00DE09E4"/>
    <w:rsid w:val="00DE0A2E"/>
    <w:rsid w:val="00DE0A46"/>
    <w:rsid w:val="00DE0A81"/>
    <w:rsid w:val="00DE0A83"/>
    <w:rsid w:val="00DE0ABF"/>
    <w:rsid w:val="00DE0B98"/>
    <w:rsid w:val="00DE0BD7"/>
    <w:rsid w:val="00DE0CFA"/>
    <w:rsid w:val="00DE0E07"/>
    <w:rsid w:val="00DE0EC3"/>
    <w:rsid w:val="00DE0F90"/>
    <w:rsid w:val="00DE0FA1"/>
    <w:rsid w:val="00DE1079"/>
    <w:rsid w:val="00DE10CD"/>
    <w:rsid w:val="00DE1132"/>
    <w:rsid w:val="00DE11D9"/>
    <w:rsid w:val="00DE12C9"/>
    <w:rsid w:val="00DE12D0"/>
    <w:rsid w:val="00DE12D4"/>
    <w:rsid w:val="00DE1329"/>
    <w:rsid w:val="00DE1533"/>
    <w:rsid w:val="00DE156C"/>
    <w:rsid w:val="00DE15C9"/>
    <w:rsid w:val="00DE1610"/>
    <w:rsid w:val="00DE16B1"/>
    <w:rsid w:val="00DE16B8"/>
    <w:rsid w:val="00DE1820"/>
    <w:rsid w:val="00DE199F"/>
    <w:rsid w:val="00DE19DF"/>
    <w:rsid w:val="00DE1A60"/>
    <w:rsid w:val="00DE1AC5"/>
    <w:rsid w:val="00DE1B7E"/>
    <w:rsid w:val="00DE1BB7"/>
    <w:rsid w:val="00DE1BE0"/>
    <w:rsid w:val="00DE1C78"/>
    <w:rsid w:val="00DE1C7B"/>
    <w:rsid w:val="00DE1C81"/>
    <w:rsid w:val="00DE1D01"/>
    <w:rsid w:val="00DE1E08"/>
    <w:rsid w:val="00DE1E0A"/>
    <w:rsid w:val="00DE1E52"/>
    <w:rsid w:val="00DE1EC0"/>
    <w:rsid w:val="00DE1EC2"/>
    <w:rsid w:val="00DE1F6B"/>
    <w:rsid w:val="00DE1F93"/>
    <w:rsid w:val="00DE210D"/>
    <w:rsid w:val="00DE219B"/>
    <w:rsid w:val="00DE21EB"/>
    <w:rsid w:val="00DE2281"/>
    <w:rsid w:val="00DE2313"/>
    <w:rsid w:val="00DE23A0"/>
    <w:rsid w:val="00DE23DD"/>
    <w:rsid w:val="00DE2458"/>
    <w:rsid w:val="00DE24D3"/>
    <w:rsid w:val="00DE2518"/>
    <w:rsid w:val="00DE2672"/>
    <w:rsid w:val="00DE267A"/>
    <w:rsid w:val="00DE2753"/>
    <w:rsid w:val="00DE27A4"/>
    <w:rsid w:val="00DE283F"/>
    <w:rsid w:val="00DE2A04"/>
    <w:rsid w:val="00DE2A28"/>
    <w:rsid w:val="00DE2AA9"/>
    <w:rsid w:val="00DE2AEB"/>
    <w:rsid w:val="00DE2C56"/>
    <w:rsid w:val="00DE2E38"/>
    <w:rsid w:val="00DE2E3C"/>
    <w:rsid w:val="00DE2E6F"/>
    <w:rsid w:val="00DE2EDB"/>
    <w:rsid w:val="00DE2EF9"/>
    <w:rsid w:val="00DE2F48"/>
    <w:rsid w:val="00DE2F72"/>
    <w:rsid w:val="00DE2FD1"/>
    <w:rsid w:val="00DE2FE9"/>
    <w:rsid w:val="00DE3007"/>
    <w:rsid w:val="00DE3037"/>
    <w:rsid w:val="00DE303B"/>
    <w:rsid w:val="00DE30B6"/>
    <w:rsid w:val="00DE338F"/>
    <w:rsid w:val="00DE33DD"/>
    <w:rsid w:val="00DE3412"/>
    <w:rsid w:val="00DE3485"/>
    <w:rsid w:val="00DE351D"/>
    <w:rsid w:val="00DE3658"/>
    <w:rsid w:val="00DE36D6"/>
    <w:rsid w:val="00DE374F"/>
    <w:rsid w:val="00DE3758"/>
    <w:rsid w:val="00DE3772"/>
    <w:rsid w:val="00DE377B"/>
    <w:rsid w:val="00DE382F"/>
    <w:rsid w:val="00DE38F0"/>
    <w:rsid w:val="00DE3945"/>
    <w:rsid w:val="00DE39A7"/>
    <w:rsid w:val="00DE39B1"/>
    <w:rsid w:val="00DE3A02"/>
    <w:rsid w:val="00DE3A89"/>
    <w:rsid w:val="00DE3ADB"/>
    <w:rsid w:val="00DE3AFB"/>
    <w:rsid w:val="00DE3B16"/>
    <w:rsid w:val="00DE3B2E"/>
    <w:rsid w:val="00DE3B7B"/>
    <w:rsid w:val="00DE3BD4"/>
    <w:rsid w:val="00DE3C0B"/>
    <w:rsid w:val="00DE3DAA"/>
    <w:rsid w:val="00DE3F27"/>
    <w:rsid w:val="00DE3FD7"/>
    <w:rsid w:val="00DE4035"/>
    <w:rsid w:val="00DE40F4"/>
    <w:rsid w:val="00DE411A"/>
    <w:rsid w:val="00DE4162"/>
    <w:rsid w:val="00DE4253"/>
    <w:rsid w:val="00DE425B"/>
    <w:rsid w:val="00DE4363"/>
    <w:rsid w:val="00DE4372"/>
    <w:rsid w:val="00DE445C"/>
    <w:rsid w:val="00DE44E3"/>
    <w:rsid w:val="00DE4531"/>
    <w:rsid w:val="00DE4631"/>
    <w:rsid w:val="00DE4655"/>
    <w:rsid w:val="00DE46BA"/>
    <w:rsid w:val="00DE4776"/>
    <w:rsid w:val="00DE4844"/>
    <w:rsid w:val="00DE4918"/>
    <w:rsid w:val="00DE492D"/>
    <w:rsid w:val="00DE49E2"/>
    <w:rsid w:val="00DE49F9"/>
    <w:rsid w:val="00DE4A79"/>
    <w:rsid w:val="00DE4B98"/>
    <w:rsid w:val="00DE4C52"/>
    <w:rsid w:val="00DE4C72"/>
    <w:rsid w:val="00DE4D33"/>
    <w:rsid w:val="00DE4D6D"/>
    <w:rsid w:val="00DE4DAC"/>
    <w:rsid w:val="00DE4DE8"/>
    <w:rsid w:val="00DE4DF7"/>
    <w:rsid w:val="00DE4E20"/>
    <w:rsid w:val="00DE4E67"/>
    <w:rsid w:val="00DE4E7E"/>
    <w:rsid w:val="00DE4EE5"/>
    <w:rsid w:val="00DE4F98"/>
    <w:rsid w:val="00DE5034"/>
    <w:rsid w:val="00DE508A"/>
    <w:rsid w:val="00DE522C"/>
    <w:rsid w:val="00DE5294"/>
    <w:rsid w:val="00DE533E"/>
    <w:rsid w:val="00DE5412"/>
    <w:rsid w:val="00DE5569"/>
    <w:rsid w:val="00DE55F7"/>
    <w:rsid w:val="00DE5605"/>
    <w:rsid w:val="00DE563D"/>
    <w:rsid w:val="00DE56CD"/>
    <w:rsid w:val="00DE56F0"/>
    <w:rsid w:val="00DE574C"/>
    <w:rsid w:val="00DE585E"/>
    <w:rsid w:val="00DE596E"/>
    <w:rsid w:val="00DE5976"/>
    <w:rsid w:val="00DE5A50"/>
    <w:rsid w:val="00DE5A9D"/>
    <w:rsid w:val="00DE5AE3"/>
    <w:rsid w:val="00DE5BD4"/>
    <w:rsid w:val="00DE5C2C"/>
    <w:rsid w:val="00DE5C2F"/>
    <w:rsid w:val="00DE5CEA"/>
    <w:rsid w:val="00DE5D12"/>
    <w:rsid w:val="00DE5DFD"/>
    <w:rsid w:val="00DE5EBF"/>
    <w:rsid w:val="00DE5ECB"/>
    <w:rsid w:val="00DE5F8A"/>
    <w:rsid w:val="00DE5F8D"/>
    <w:rsid w:val="00DE5FB1"/>
    <w:rsid w:val="00DE6045"/>
    <w:rsid w:val="00DE60B4"/>
    <w:rsid w:val="00DE612E"/>
    <w:rsid w:val="00DE613D"/>
    <w:rsid w:val="00DE6193"/>
    <w:rsid w:val="00DE61D7"/>
    <w:rsid w:val="00DE6205"/>
    <w:rsid w:val="00DE62D6"/>
    <w:rsid w:val="00DE63B1"/>
    <w:rsid w:val="00DE64F5"/>
    <w:rsid w:val="00DE6522"/>
    <w:rsid w:val="00DE6531"/>
    <w:rsid w:val="00DE658C"/>
    <w:rsid w:val="00DE658F"/>
    <w:rsid w:val="00DE6611"/>
    <w:rsid w:val="00DE667C"/>
    <w:rsid w:val="00DE66D1"/>
    <w:rsid w:val="00DE676D"/>
    <w:rsid w:val="00DE69F4"/>
    <w:rsid w:val="00DE6A0B"/>
    <w:rsid w:val="00DE6B0A"/>
    <w:rsid w:val="00DE6B90"/>
    <w:rsid w:val="00DE6BD8"/>
    <w:rsid w:val="00DE6D03"/>
    <w:rsid w:val="00DE6D7F"/>
    <w:rsid w:val="00DE6E01"/>
    <w:rsid w:val="00DE6E6C"/>
    <w:rsid w:val="00DE6EFF"/>
    <w:rsid w:val="00DE6F6B"/>
    <w:rsid w:val="00DE6F72"/>
    <w:rsid w:val="00DE6FA9"/>
    <w:rsid w:val="00DE7116"/>
    <w:rsid w:val="00DE717B"/>
    <w:rsid w:val="00DE733E"/>
    <w:rsid w:val="00DE7485"/>
    <w:rsid w:val="00DE7499"/>
    <w:rsid w:val="00DE754B"/>
    <w:rsid w:val="00DE75B8"/>
    <w:rsid w:val="00DE75FF"/>
    <w:rsid w:val="00DE772F"/>
    <w:rsid w:val="00DE777E"/>
    <w:rsid w:val="00DE7811"/>
    <w:rsid w:val="00DE79EA"/>
    <w:rsid w:val="00DE7A67"/>
    <w:rsid w:val="00DE7A8B"/>
    <w:rsid w:val="00DE7AAE"/>
    <w:rsid w:val="00DE7ACF"/>
    <w:rsid w:val="00DE7AEA"/>
    <w:rsid w:val="00DE7AEB"/>
    <w:rsid w:val="00DE7B23"/>
    <w:rsid w:val="00DE7BC4"/>
    <w:rsid w:val="00DE7C8F"/>
    <w:rsid w:val="00DE7E34"/>
    <w:rsid w:val="00DE7E84"/>
    <w:rsid w:val="00DE7EA9"/>
    <w:rsid w:val="00DE7F5B"/>
    <w:rsid w:val="00DF0001"/>
    <w:rsid w:val="00DF00CF"/>
    <w:rsid w:val="00DF00E4"/>
    <w:rsid w:val="00DF018C"/>
    <w:rsid w:val="00DF022D"/>
    <w:rsid w:val="00DF026F"/>
    <w:rsid w:val="00DF034A"/>
    <w:rsid w:val="00DF0498"/>
    <w:rsid w:val="00DF056F"/>
    <w:rsid w:val="00DF05CC"/>
    <w:rsid w:val="00DF05E1"/>
    <w:rsid w:val="00DF06B2"/>
    <w:rsid w:val="00DF0761"/>
    <w:rsid w:val="00DF0885"/>
    <w:rsid w:val="00DF089D"/>
    <w:rsid w:val="00DF0945"/>
    <w:rsid w:val="00DF09B2"/>
    <w:rsid w:val="00DF09DA"/>
    <w:rsid w:val="00DF09ED"/>
    <w:rsid w:val="00DF0A39"/>
    <w:rsid w:val="00DF0A41"/>
    <w:rsid w:val="00DF0ABB"/>
    <w:rsid w:val="00DF0B02"/>
    <w:rsid w:val="00DF0B4A"/>
    <w:rsid w:val="00DF0C0E"/>
    <w:rsid w:val="00DF0CAC"/>
    <w:rsid w:val="00DF0CDE"/>
    <w:rsid w:val="00DF0CEF"/>
    <w:rsid w:val="00DF0D49"/>
    <w:rsid w:val="00DF0DFA"/>
    <w:rsid w:val="00DF0E26"/>
    <w:rsid w:val="00DF0E83"/>
    <w:rsid w:val="00DF0EE6"/>
    <w:rsid w:val="00DF0F2B"/>
    <w:rsid w:val="00DF1046"/>
    <w:rsid w:val="00DF118D"/>
    <w:rsid w:val="00DF11B2"/>
    <w:rsid w:val="00DF11BF"/>
    <w:rsid w:val="00DF1233"/>
    <w:rsid w:val="00DF1324"/>
    <w:rsid w:val="00DF13E8"/>
    <w:rsid w:val="00DF13FD"/>
    <w:rsid w:val="00DF1410"/>
    <w:rsid w:val="00DF1425"/>
    <w:rsid w:val="00DF1459"/>
    <w:rsid w:val="00DF145D"/>
    <w:rsid w:val="00DF14FE"/>
    <w:rsid w:val="00DF1729"/>
    <w:rsid w:val="00DF179D"/>
    <w:rsid w:val="00DF18ED"/>
    <w:rsid w:val="00DF1973"/>
    <w:rsid w:val="00DF197A"/>
    <w:rsid w:val="00DF19CE"/>
    <w:rsid w:val="00DF1A1B"/>
    <w:rsid w:val="00DF1A7E"/>
    <w:rsid w:val="00DF1AE8"/>
    <w:rsid w:val="00DF1AEB"/>
    <w:rsid w:val="00DF1C5B"/>
    <w:rsid w:val="00DF1C69"/>
    <w:rsid w:val="00DF1CBC"/>
    <w:rsid w:val="00DF1CC2"/>
    <w:rsid w:val="00DF1CC9"/>
    <w:rsid w:val="00DF1CF1"/>
    <w:rsid w:val="00DF1E66"/>
    <w:rsid w:val="00DF1E71"/>
    <w:rsid w:val="00DF1E83"/>
    <w:rsid w:val="00DF1EB2"/>
    <w:rsid w:val="00DF1EBB"/>
    <w:rsid w:val="00DF1F08"/>
    <w:rsid w:val="00DF1F67"/>
    <w:rsid w:val="00DF1FD0"/>
    <w:rsid w:val="00DF1FDD"/>
    <w:rsid w:val="00DF2198"/>
    <w:rsid w:val="00DF225E"/>
    <w:rsid w:val="00DF2269"/>
    <w:rsid w:val="00DF25A0"/>
    <w:rsid w:val="00DF261A"/>
    <w:rsid w:val="00DF2730"/>
    <w:rsid w:val="00DF273E"/>
    <w:rsid w:val="00DF2772"/>
    <w:rsid w:val="00DF2775"/>
    <w:rsid w:val="00DF2793"/>
    <w:rsid w:val="00DF27BB"/>
    <w:rsid w:val="00DF294A"/>
    <w:rsid w:val="00DF2B22"/>
    <w:rsid w:val="00DF2BF5"/>
    <w:rsid w:val="00DF2C57"/>
    <w:rsid w:val="00DF2DCC"/>
    <w:rsid w:val="00DF2E8B"/>
    <w:rsid w:val="00DF2EAC"/>
    <w:rsid w:val="00DF2EE3"/>
    <w:rsid w:val="00DF2FB7"/>
    <w:rsid w:val="00DF302C"/>
    <w:rsid w:val="00DF305A"/>
    <w:rsid w:val="00DF30BF"/>
    <w:rsid w:val="00DF3185"/>
    <w:rsid w:val="00DF323D"/>
    <w:rsid w:val="00DF32BF"/>
    <w:rsid w:val="00DF3374"/>
    <w:rsid w:val="00DF3388"/>
    <w:rsid w:val="00DF339A"/>
    <w:rsid w:val="00DF339D"/>
    <w:rsid w:val="00DF3423"/>
    <w:rsid w:val="00DF3450"/>
    <w:rsid w:val="00DF348A"/>
    <w:rsid w:val="00DF3631"/>
    <w:rsid w:val="00DF36B1"/>
    <w:rsid w:val="00DF3772"/>
    <w:rsid w:val="00DF37C6"/>
    <w:rsid w:val="00DF37DC"/>
    <w:rsid w:val="00DF38FB"/>
    <w:rsid w:val="00DF395C"/>
    <w:rsid w:val="00DF3B68"/>
    <w:rsid w:val="00DF3C0E"/>
    <w:rsid w:val="00DF3CF2"/>
    <w:rsid w:val="00DF3D3E"/>
    <w:rsid w:val="00DF3D45"/>
    <w:rsid w:val="00DF3D88"/>
    <w:rsid w:val="00DF3DB4"/>
    <w:rsid w:val="00DF3E33"/>
    <w:rsid w:val="00DF3EF3"/>
    <w:rsid w:val="00DF3F78"/>
    <w:rsid w:val="00DF3FD3"/>
    <w:rsid w:val="00DF4052"/>
    <w:rsid w:val="00DF4059"/>
    <w:rsid w:val="00DF417F"/>
    <w:rsid w:val="00DF419D"/>
    <w:rsid w:val="00DF4268"/>
    <w:rsid w:val="00DF42A3"/>
    <w:rsid w:val="00DF42C4"/>
    <w:rsid w:val="00DF43C3"/>
    <w:rsid w:val="00DF445C"/>
    <w:rsid w:val="00DF4463"/>
    <w:rsid w:val="00DF44F3"/>
    <w:rsid w:val="00DF45DC"/>
    <w:rsid w:val="00DF4663"/>
    <w:rsid w:val="00DF46B4"/>
    <w:rsid w:val="00DF47CD"/>
    <w:rsid w:val="00DF488E"/>
    <w:rsid w:val="00DF49A0"/>
    <w:rsid w:val="00DF4A3A"/>
    <w:rsid w:val="00DF4AE3"/>
    <w:rsid w:val="00DF4AE8"/>
    <w:rsid w:val="00DF4B1D"/>
    <w:rsid w:val="00DF4B7E"/>
    <w:rsid w:val="00DF4C35"/>
    <w:rsid w:val="00DF4D6B"/>
    <w:rsid w:val="00DF4D7A"/>
    <w:rsid w:val="00DF4EB0"/>
    <w:rsid w:val="00DF4F19"/>
    <w:rsid w:val="00DF5157"/>
    <w:rsid w:val="00DF517B"/>
    <w:rsid w:val="00DF5180"/>
    <w:rsid w:val="00DF5233"/>
    <w:rsid w:val="00DF52BB"/>
    <w:rsid w:val="00DF52DD"/>
    <w:rsid w:val="00DF5313"/>
    <w:rsid w:val="00DF5399"/>
    <w:rsid w:val="00DF5400"/>
    <w:rsid w:val="00DF5457"/>
    <w:rsid w:val="00DF5480"/>
    <w:rsid w:val="00DF54F0"/>
    <w:rsid w:val="00DF566D"/>
    <w:rsid w:val="00DF56E8"/>
    <w:rsid w:val="00DF5833"/>
    <w:rsid w:val="00DF5A68"/>
    <w:rsid w:val="00DF5ABF"/>
    <w:rsid w:val="00DF5B47"/>
    <w:rsid w:val="00DF5C0E"/>
    <w:rsid w:val="00DF5C3F"/>
    <w:rsid w:val="00DF5C5E"/>
    <w:rsid w:val="00DF5D7C"/>
    <w:rsid w:val="00DF5EB4"/>
    <w:rsid w:val="00DF5F76"/>
    <w:rsid w:val="00DF5F9F"/>
    <w:rsid w:val="00DF5FD5"/>
    <w:rsid w:val="00DF62E3"/>
    <w:rsid w:val="00DF6332"/>
    <w:rsid w:val="00DF6358"/>
    <w:rsid w:val="00DF6386"/>
    <w:rsid w:val="00DF63A5"/>
    <w:rsid w:val="00DF63C6"/>
    <w:rsid w:val="00DF63D0"/>
    <w:rsid w:val="00DF64F5"/>
    <w:rsid w:val="00DF6582"/>
    <w:rsid w:val="00DF65DA"/>
    <w:rsid w:val="00DF679B"/>
    <w:rsid w:val="00DF69E2"/>
    <w:rsid w:val="00DF69E6"/>
    <w:rsid w:val="00DF6A99"/>
    <w:rsid w:val="00DF6AAD"/>
    <w:rsid w:val="00DF6B1B"/>
    <w:rsid w:val="00DF6B99"/>
    <w:rsid w:val="00DF6BF5"/>
    <w:rsid w:val="00DF6C5B"/>
    <w:rsid w:val="00DF6CB2"/>
    <w:rsid w:val="00DF6CEB"/>
    <w:rsid w:val="00DF6D1A"/>
    <w:rsid w:val="00DF6D38"/>
    <w:rsid w:val="00DF6DEC"/>
    <w:rsid w:val="00DF6E25"/>
    <w:rsid w:val="00DF6E7C"/>
    <w:rsid w:val="00DF710E"/>
    <w:rsid w:val="00DF7173"/>
    <w:rsid w:val="00DF719F"/>
    <w:rsid w:val="00DF71BA"/>
    <w:rsid w:val="00DF723F"/>
    <w:rsid w:val="00DF724C"/>
    <w:rsid w:val="00DF7259"/>
    <w:rsid w:val="00DF72EC"/>
    <w:rsid w:val="00DF735D"/>
    <w:rsid w:val="00DF73F1"/>
    <w:rsid w:val="00DF7498"/>
    <w:rsid w:val="00DF754F"/>
    <w:rsid w:val="00DF76EA"/>
    <w:rsid w:val="00DF7749"/>
    <w:rsid w:val="00DF7847"/>
    <w:rsid w:val="00DF7875"/>
    <w:rsid w:val="00DF7A18"/>
    <w:rsid w:val="00DF7A1A"/>
    <w:rsid w:val="00DF7AED"/>
    <w:rsid w:val="00DF7BA6"/>
    <w:rsid w:val="00DF7C59"/>
    <w:rsid w:val="00DF7C7C"/>
    <w:rsid w:val="00DF7CDE"/>
    <w:rsid w:val="00DF7CF7"/>
    <w:rsid w:val="00DF7D37"/>
    <w:rsid w:val="00DF7DBD"/>
    <w:rsid w:val="00DF7DEF"/>
    <w:rsid w:val="00DF7E48"/>
    <w:rsid w:val="00DF7E9C"/>
    <w:rsid w:val="00E000D4"/>
    <w:rsid w:val="00E00155"/>
    <w:rsid w:val="00E001C8"/>
    <w:rsid w:val="00E00243"/>
    <w:rsid w:val="00E002BC"/>
    <w:rsid w:val="00E003DE"/>
    <w:rsid w:val="00E0051E"/>
    <w:rsid w:val="00E00602"/>
    <w:rsid w:val="00E0060D"/>
    <w:rsid w:val="00E0072D"/>
    <w:rsid w:val="00E00872"/>
    <w:rsid w:val="00E00914"/>
    <w:rsid w:val="00E00A1F"/>
    <w:rsid w:val="00E00A5B"/>
    <w:rsid w:val="00E00AA6"/>
    <w:rsid w:val="00E00C41"/>
    <w:rsid w:val="00E00CFA"/>
    <w:rsid w:val="00E00DD6"/>
    <w:rsid w:val="00E00ECD"/>
    <w:rsid w:val="00E00EED"/>
    <w:rsid w:val="00E00F5D"/>
    <w:rsid w:val="00E00FA6"/>
    <w:rsid w:val="00E00FD4"/>
    <w:rsid w:val="00E0104E"/>
    <w:rsid w:val="00E01078"/>
    <w:rsid w:val="00E010FE"/>
    <w:rsid w:val="00E01209"/>
    <w:rsid w:val="00E012C0"/>
    <w:rsid w:val="00E01321"/>
    <w:rsid w:val="00E0134E"/>
    <w:rsid w:val="00E013C0"/>
    <w:rsid w:val="00E013C6"/>
    <w:rsid w:val="00E015AE"/>
    <w:rsid w:val="00E01644"/>
    <w:rsid w:val="00E01663"/>
    <w:rsid w:val="00E0179E"/>
    <w:rsid w:val="00E017DB"/>
    <w:rsid w:val="00E01888"/>
    <w:rsid w:val="00E018C5"/>
    <w:rsid w:val="00E018FA"/>
    <w:rsid w:val="00E0190B"/>
    <w:rsid w:val="00E0197E"/>
    <w:rsid w:val="00E01A0C"/>
    <w:rsid w:val="00E01B0C"/>
    <w:rsid w:val="00E01B47"/>
    <w:rsid w:val="00E01BF2"/>
    <w:rsid w:val="00E01C02"/>
    <w:rsid w:val="00E01D28"/>
    <w:rsid w:val="00E01D60"/>
    <w:rsid w:val="00E01E8E"/>
    <w:rsid w:val="00E01FE7"/>
    <w:rsid w:val="00E02091"/>
    <w:rsid w:val="00E020A0"/>
    <w:rsid w:val="00E020D6"/>
    <w:rsid w:val="00E020FF"/>
    <w:rsid w:val="00E0211C"/>
    <w:rsid w:val="00E02236"/>
    <w:rsid w:val="00E022B7"/>
    <w:rsid w:val="00E022C0"/>
    <w:rsid w:val="00E02331"/>
    <w:rsid w:val="00E023F8"/>
    <w:rsid w:val="00E02441"/>
    <w:rsid w:val="00E02481"/>
    <w:rsid w:val="00E024AB"/>
    <w:rsid w:val="00E02773"/>
    <w:rsid w:val="00E0285F"/>
    <w:rsid w:val="00E0291C"/>
    <w:rsid w:val="00E0297F"/>
    <w:rsid w:val="00E02982"/>
    <w:rsid w:val="00E029F8"/>
    <w:rsid w:val="00E02C19"/>
    <w:rsid w:val="00E02CC7"/>
    <w:rsid w:val="00E02CD6"/>
    <w:rsid w:val="00E02D5D"/>
    <w:rsid w:val="00E02DC9"/>
    <w:rsid w:val="00E02DE0"/>
    <w:rsid w:val="00E02E7A"/>
    <w:rsid w:val="00E02FD1"/>
    <w:rsid w:val="00E0303F"/>
    <w:rsid w:val="00E03040"/>
    <w:rsid w:val="00E0317E"/>
    <w:rsid w:val="00E031FD"/>
    <w:rsid w:val="00E03202"/>
    <w:rsid w:val="00E0344E"/>
    <w:rsid w:val="00E03464"/>
    <w:rsid w:val="00E035EE"/>
    <w:rsid w:val="00E03632"/>
    <w:rsid w:val="00E03652"/>
    <w:rsid w:val="00E0366D"/>
    <w:rsid w:val="00E03690"/>
    <w:rsid w:val="00E037B3"/>
    <w:rsid w:val="00E03844"/>
    <w:rsid w:val="00E03878"/>
    <w:rsid w:val="00E03A01"/>
    <w:rsid w:val="00E03B31"/>
    <w:rsid w:val="00E03B97"/>
    <w:rsid w:val="00E03DAE"/>
    <w:rsid w:val="00E03DC5"/>
    <w:rsid w:val="00E03DFA"/>
    <w:rsid w:val="00E03E09"/>
    <w:rsid w:val="00E03E35"/>
    <w:rsid w:val="00E03E47"/>
    <w:rsid w:val="00E03E85"/>
    <w:rsid w:val="00E03EDE"/>
    <w:rsid w:val="00E03F80"/>
    <w:rsid w:val="00E03F97"/>
    <w:rsid w:val="00E04031"/>
    <w:rsid w:val="00E04143"/>
    <w:rsid w:val="00E041E3"/>
    <w:rsid w:val="00E04277"/>
    <w:rsid w:val="00E043BE"/>
    <w:rsid w:val="00E04522"/>
    <w:rsid w:val="00E0457B"/>
    <w:rsid w:val="00E045F5"/>
    <w:rsid w:val="00E04803"/>
    <w:rsid w:val="00E04914"/>
    <w:rsid w:val="00E04D6A"/>
    <w:rsid w:val="00E04E6E"/>
    <w:rsid w:val="00E04E9D"/>
    <w:rsid w:val="00E04EB5"/>
    <w:rsid w:val="00E04EBB"/>
    <w:rsid w:val="00E05099"/>
    <w:rsid w:val="00E05224"/>
    <w:rsid w:val="00E052DD"/>
    <w:rsid w:val="00E0532B"/>
    <w:rsid w:val="00E05485"/>
    <w:rsid w:val="00E05491"/>
    <w:rsid w:val="00E05568"/>
    <w:rsid w:val="00E05705"/>
    <w:rsid w:val="00E05797"/>
    <w:rsid w:val="00E0590F"/>
    <w:rsid w:val="00E05939"/>
    <w:rsid w:val="00E059DB"/>
    <w:rsid w:val="00E05A0C"/>
    <w:rsid w:val="00E05A71"/>
    <w:rsid w:val="00E05ADE"/>
    <w:rsid w:val="00E05B2C"/>
    <w:rsid w:val="00E05BB0"/>
    <w:rsid w:val="00E05BCE"/>
    <w:rsid w:val="00E05CA2"/>
    <w:rsid w:val="00E05EDB"/>
    <w:rsid w:val="00E05F4F"/>
    <w:rsid w:val="00E0604F"/>
    <w:rsid w:val="00E0606F"/>
    <w:rsid w:val="00E06254"/>
    <w:rsid w:val="00E062A7"/>
    <w:rsid w:val="00E0633A"/>
    <w:rsid w:val="00E06346"/>
    <w:rsid w:val="00E064B7"/>
    <w:rsid w:val="00E06562"/>
    <w:rsid w:val="00E06727"/>
    <w:rsid w:val="00E0676B"/>
    <w:rsid w:val="00E067E0"/>
    <w:rsid w:val="00E067E1"/>
    <w:rsid w:val="00E0681B"/>
    <w:rsid w:val="00E068BB"/>
    <w:rsid w:val="00E068E6"/>
    <w:rsid w:val="00E06B10"/>
    <w:rsid w:val="00E06B62"/>
    <w:rsid w:val="00E06B7E"/>
    <w:rsid w:val="00E06C8A"/>
    <w:rsid w:val="00E06DAF"/>
    <w:rsid w:val="00E06DE7"/>
    <w:rsid w:val="00E06EC2"/>
    <w:rsid w:val="00E06EC5"/>
    <w:rsid w:val="00E06EDC"/>
    <w:rsid w:val="00E06F65"/>
    <w:rsid w:val="00E06FB7"/>
    <w:rsid w:val="00E07082"/>
    <w:rsid w:val="00E070E3"/>
    <w:rsid w:val="00E0710D"/>
    <w:rsid w:val="00E07241"/>
    <w:rsid w:val="00E07245"/>
    <w:rsid w:val="00E072B7"/>
    <w:rsid w:val="00E0731E"/>
    <w:rsid w:val="00E073B4"/>
    <w:rsid w:val="00E074B6"/>
    <w:rsid w:val="00E074C0"/>
    <w:rsid w:val="00E07537"/>
    <w:rsid w:val="00E075F1"/>
    <w:rsid w:val="00E07672"/>
    <w:rsid w:val="00E076DC"/>
    <w:rsid w:val="00E078AA"/>
    <w:rsid w:val="00E078B9"/>
    <w:rsid w:val="00E078EA"/>
    <w:rsid w:val="00E07921"/>
    <w:rsid w:val="00E07935"/>
    <w:rsid w:val="00E07997"/>
    <w:rsid w:val="00E07A92"/>
    <w:rsid w:val="00E07B75"/>
    <w:rsid w:val="00E07BB8"/>
    <w:rsid w:val="00E07C12"/>
    <w:rsid w:val="00E07C5D"/>
    <w:rsid w:val="00E07E40"/>
    <w:rsid w:val="00E07F8A"/>
    <w:rsid w:val="00E1006B"/>
    <w:rsid w:val="00E100E2"/>
    <w:rsid w:val="00E10110"/>
    <w:rsid w:val="00E1013A"/>
    <w:rsid w:val="00E1014C"/>
    <w:rsid w:val="00E1018D"/>
    <w:rsid w:val="00E1018E"/>
    <w:rsid w:val="00E101B6"/>
    <w:rsid w:val="00E10274"/>
    <w:rsid w:val="00E102BE"/>
    <w:rsid w:val="00E104E7"/>
    <w:rsid w:val="00E104F0"/>
    <w:rsid w:val="00E104FF"/>
    <w:rsid w:val="00E1057E"/>
    <w:rsid w:val="00E10597"/>
    <w:rsid w:val="00E10646"/>
    <w:rsid w:val="00E10698"/>
    <w:rsid w:val="00E107E8"/>
    <w:rsid w:val="00E108A1"/>
    <w:rsid w:val="00E108E7"/>
    <w:rsid w:val="00E10910"/>
    <w:rsid w:val="00E1091E"/>
    <w:rsid w:val="00E109BF"/>
    <w:rsid w:val="00E109D8"/>
    <w:rsid w:val="00E109F2"/>
    <w:rsid w:val="00E10AA3"/>
    <w:rsid w:val="00E10B3B"/>
    <w:rsid w:val="00E10BC0"/>
    <w:rsid w:val="00E10C03"/>
    <w:rsid w:val="00E10CE7"/>
    <w:rsid w:val="00E10D50"/>
    <w:rsid w:val="00E10D95"/>
    <w:rsid w:val="00E10DB3"/>
    <w:rsid w:val="00E10E1E"/>
    <w:rsid w:val="00E10E8A"/>
    <w:rsid w:val="00E10E9E"/>
    <w:rsid w:val="00E10EBE"/>
    <w:rsid w:val="00E10EC5"/>
    <w:rsid w:val="00E10F30"/>
    <w:rsid w:val="00E1100E"/>
    <w:rsid w:val="00E11052"/>
    <w:rsid w:val="00E1107A"/>
    <w:rsid w:val="00E110CF"/>
    <w:rsid w:val="00E11112"/>
    <w:rsid w:val="00E11289"/>
    <w:rsid w:val="00E11447"/>
    <w:rsid w:val="00E114CD"/>
    <w:rsid w:val="00E11663"/>
    <w:rsid w:val="00E11826"/>
    <w:rsid w:val="00E1184D"/>
    <w:rsid w:val="00E1186C"/>
    <w:rsid w:val="00E11954"/>
    <w:rsid w:val="00E119BD"/>
    <w:rsid w:val="00E11A2F"/>
    <w:rsid w:val="00E11BDA"/>
    <w:rsid w:val="00E11C58"/>
    <w:rsid w:val="00E11D6E"/>
    <w:rsid w:val="00E11DE6"/>
    <w:rsid w:val="00E11EFA"/>
    <w:rsid w:val="00E11F07"/>
    <w:rsid w:val="00E11F50"/>
    <w:rsid w:val="00E11F73"/>
    <w:rsid w:val="00E11F93"/>
    <w:rsid w:val="00E12262"/>
    <w:rsid w:val="00E1228E"/>
    <w:rsid w:val="00E12415"/>
    <w:rsid w:val="00E12422"/>
    <w:rsid w:val="00E12436"/>
    <w:rsid w:val="00E124E5"/>
    <w:rsid w:val="00E12573"/>
    <w:rsid w:val="00E125F5"/>
    <w:rsid w:val="00E1265B"/>
    <w:rsid w:val="00E12755"/>
    <w:rsid w:val="00E1278C"/>
    <w:rsid w:val="00E127AB"/>
    <w:rsid w:val="00E128FC"/>
    <w:rsid w:val="00E12912"/>
    <w:rsid w:val="00E1294D"/>
    <w:rsid w:val="00E12953"/>
    <w:rsid w:val="00E12A07"/>
    <w:rsid w:val="00E12A66"/>
    <w:rsid w:val="00E12D84"/>
    <w:rsid w:val="00E12EEC"/>
    <w:rsid w:val="00E12F9D"/>
    <w:rsid w:val="00E1300C"/>
    <w:rsid w:val="00E130BA"/>
    <w:rsid w:val="00E130E7"/>
    <w:rsid w:val="00E13126"/>
    <w:rsid w:val="00E1321A"/>
    <w:rsid w:val="00E13361"/>
    <w:rsid w:val="00E133A7"/>
    <w:rsid w:val="00E133AD"/>
    <w:rsid w:val="00E133D0"/>
    <w:rsid w:val="00E133F9"/>
    <w:rsid w:val="00E134D4"/>
    <w:rsid w:val="00E13672"/>
    <w:rsid w:val="00E136D5"/>
    <w:rsid w:val="00E137C6"/>
    <w:rsid w:val="00E13873"/>
    <w:rsid w:val="00E138B7"/>
    <w:rsid w:val="00E138E2"/>
    <w:rsid w:val="00E13931"/>
    <w:rsid w:val="00E13A5D"/>
    <w:rsid w:val="00E13B02"/>
    <w:rsid w:val="00E13B20"/>
    <w:rsid w:val="00E13B3D"/>
    <w:rsid w:val="00E13C02"/>
    <w:rsid w:val="00E13C61"/>
    <w:rsid w:val="00E13CB7"/>
    <w:rsid w:val="00E13D01"/>
    <w:rsid w:val="00E13D78"/>
    <w:rsid w:val="00E13D7E"/>
    <w:rsid w:val="00E13DAF"/>
    <w:rsid w:val="00E13EAC"/>
    <w:rsid w:val="00E13EBE"/>
    <w:rsid w:val="00E13F25"/>
    <w:rsid w:val="00E13F4A"/>
    <w:rsid w:val="00E13FA3"/>
    <w:rsid w:val="00E141EC"/>
    <w:rsid w:val="00E1422F"/>
    <w:rsid w:val="00E142BD"/>
    <w:rsid w:val="00E142CC"/>
    <w:rsid w:val="00E14340"/>
    <w:rsid w:val="00E14403"/>
    <w:rsid w:val="00E14433"/>
    <w:rsid w:val="00E144DE"/>
    <w:rsid w:val="00E148BD"/>
    <w:rsid w:val="00E1497A"/>
    <w:rsid w:val="00E149C8"/>
    <w:rsid w:val="00E14ADC"/>
    <w:rsid w:val="00E14B0F"/>
    <w:rsid w:val="00E14B5F"/>
    <w:rsid w:val="00E14C56"/>
    <w:rsid w:val="00E14C69"/>
    <w:rsid w:val="00E14C95"/>
    <w:rsid w:val="00E14D2A"/>
    <w:rsid w:val="00E14D30"/>
    <w:rsid w:val="00E14D82"/>
    <w:rsid w:val="00E14F22"/>
    <w:rsid w:val="00E14F45"/>
    <w:rsid w:val="00E14F46"/>
    <w:rsid w:val="00E14F94"/>
    <w:rsid w:val="00E1502A"/>
    <w:rsid w:val="00E15046"/>
    <w:rsid w:val="00E150A5"/>
    <w:rsid w:val="00E150C9"/>
    <w:rsid w:val="00E15309"/>
    <w:rsid w:val="00E155C7"/>
    <w:rsid w:val="00E15603"/>
    <w:rsid w:val="00E156AC"/>
    <w:rsid w:val="00E158A8"/>
    <w:rsid w:val="00E15913"/>
    <w:rsid w:val="00E15954"/>
    <w:rsid w:val="00E159E3"/>
    <w:rsid w:val="00E15C66"/>
    <w:rsid w:val="00E15CB8"/>
    <w:rsid w:val="00E15EB0"/>
    <w:rsid w:val="00E15F8F"/>
    <w:rsid w:val="00E16002"/>
    <w:rsid w:val="00E16247"/>
    <w:rsid w:val="00E16277"/>
    <w:rsid w:val="00E16335"/>
    <w:rsid w:val="00E16405"/>
    <w:rsid w:val="00E164A6"/>
    <w:rsid w:val="00E1652C"/>
    <w:rsid w:val="00E1659B"/>
    <w:rsid w:val="00E165C8"/>
    <w:rsid w:val="00E165EB"/>
    <w:rsid w:val="00E16726"/>
    <w:rsid w:val="00E1675E"/>
    <w:rsid w:val="00E167A6"/>
    <w:rsid w:val="00E167D5"/>
    <w:rsid w:val="00E167D6"/>
    <w:rsid w:val="00E1696C"/>
    <w:rsid w:val="00E16A97"/>
    <w:rsid w:val="00E16B51"/>
    <w:rsid w:val="00E16B5F"/>
    <w:rsid w:val="00E16BFF"/>
    <w:rsid w:val="00E16CBA"/>
    <w:rsid w:val="00E16D51"/>
    <w:rsid w:val="00E16D5A"/>
    <w:rsid w:val="00E16D77"/>
    <w:rsid w:val="00E16EDA"/>
    <w:rsid w:val="00E17023"/>
    <w:rsid w:val="00E17102"/>
    <w:rsid w:val="00E17103"/>
    <w:rsid w:val="00E17176"/>
    <w:rsid w:val="00E171A0"/>
    <w:rsid w:val="00E17255"/>
    <w:rsid w:val="00E17333"/>
    <w:rsid w:val="00E17493"/>
    <w:rsid w:val="00E174B6"/>
    <w:rsid w:val="00E175AE"/>
    <w:rsid w:val="00E1765A"/>
    <w:rsid w:val="00E177DA"/>
    <w:rsid w:val="00E17898"/>
    <w:rsid w:val="00E1793C"/>
    <w:rsid w:val="00E17951"/>
    <w:rsid w:val="00E17987"/>
    <w:rsid w:val="00E179D5"/>
    <w:rsid w:val="00E17B28"/>
    <w:rsid w:val="00E17C94"/>
    <w:rsid w:val="00E17D37"/>
    <w:rsid w:val="00E20080"/>
    <w:rsid w:val="00E200D8"/>
    <w:rsid w:val="00E2011E"/>
    <w:rsid w:val="00E2023D"/>
    <w:rsid w:val="00E202BE"/>
    <w:rsid w:val="00E20329"/>
    <w:rsid w:val="00E20384"/>
    <w:rsid w:val="00E203AD"/>
    <w:rsid w:val="00E204F8"/>
    <w:rsid w:val="00E20616"/>
    <w:rsid w:val="00E2070F"/>
    <w:rsid w:val="00E2074E"/>
    <w:rsid w:val="00E207B0"/>
    <w:rsid w:val="00E20838"/>
    <w:rsid w:val="00E20846"/>
    <w:rsid w:val="00E20863"/>
    <w:rsid w:val="00E209F9"/>
    <w:rsid w:val="00E20AC0"/>
    <w:rsid w:val="00E20B9C"/>
    <w:rsid w:val="00E20C0E"/>
    <w:rsid w:val="00E20C4B"/>
    <w:rsid w:val="00E20CE9"/>
    <w:rsid w:val="00E20E33"/>
    <w:rsid w:val="00E20E57"/>
    <w:rsid w:val="00E20E5D"/>
    <w:rsid w:val="00E20ED9"/>
    <w:rsid w:val="00E20F44"/>
    <w:rsid w:val="00E21088"/>
    <w:rsid w:val="00E210BE"/>
    <w:rsid w:val="00E21147"/>
    <w:rsid w:val="00E21217"/>
    <w:rsid w:val="00E21480"/>
    <w:rsid w:val="00E214BA"/>
    <w:rsid w:val="00E214F7"/>
    <w:rsid w:val="00E2156A"/>
    <w:rsid w:val="00E21711"/>
    <w:rsid w:val="00E2171E"/>
    <w:rsid w:val="00E21794"/>
    <w:rsid w:val="00E21812"/>
    <w:rsid w:val="00E21842"/>
    <w:rsid w:val="00E218A2"/>
    <w:rsid w:val="00E218C9"/>
    <w:rsid w:val="00E21934"/>
    <w:rsid w:val="00E21A8B"/>
    <w:rsid w:val="00E21AAC"/>
    <w:rsid w:val="00E21C5B"/>
    <w:rsid w:val="00E21C78"/>
    <w:rsid w:val="00E21CC0"/>
    <w:rsid w:val="00E21D07"/>
    <w:rsid w:val="00E21D35"/>
    <w:rsid w:val="00E21E6F"/>
    <w:rsid w:val="00E21EA4"/>
    <w:rsid w:val="00E21EB5"/>
    <w:rsid w:val="00E21EC2"/>
    <w:rsid w:val="00E21F59"/>
    <w:rsid w:val="00E21FF2"/>
    <w:rsid w:val="00E220E9"/>
    <w:rsid w:val="00E22145"/>
    <w:rsid w:val="00E22187"/>
    <w:rsid w:val="00E22287"/>
    <w:rsid w:val="00E222DD"/>
    <w:rsid w:val="00E222DF"/>
    <w:rsid w:val="00E2235B"/>
    <w:rsid w:val="00E223B3"/>
    <w:rsid w:val="00E223DF"/>
    <w:rsid w:val="00E22466"/>
    <w:rsid w:val="00E2254C"/>
    <w:rsid w:val="00E225D8"/>
    <w:rsid w:val="00E225F7"/>
    <w:rsid w:val="00E2267F"/>
    <w:rsid w:val="00E22814"/>
    <w:rsid w:val="00E2283B"/>
    <w:rsid w:val="00E2283D"/>
    <w:rsid w:val="00E22846"/>
    <w:rsid w:val="00E2284D"/>
    <w:rsid w:val="00E22865"/>
    <w:rsid w:val="00E228D2"/>
    <w:rsid w:val="00E2293C"/>
    <w:rsid w:val="00E22941"/>
    <w:rsid w:val="00E22972"/>
    <w:rsid w:val="00E229B0"/>
    <w:rsid w:val="00E22AD6"/>
    <w:rsid w:val="00E22B35"/>
    <w:rsid w:val="00E22B65"/>
    <w:rsid w:val="00E22BA1"/>
    <w:rsid w:val="00E22BA4"/>
    <w:rsid w:val="00E22BCC"/>
    <w:rsid w:val="00E22C9F"/>
    <w:rsid w:val="00E22CCA"/>
    <w:rsid w:val="00E22D27"/>
    <w:rsid w:val="00E22D7B"/>
    <w:rsid w:val="00E22E57"/>
    <w:rsid w:val="00E22ED2"/>
    <w:rsid w:val="00E22EEC"/>
    <w:rsid w:val="00E23143"/>
    <w:rsid w:val="00E2314F"/>
    <w:rsid w:val="00E23201"/>
    <w:rsid w:val="00E23211"/>
    <w:rsid w:val="00E23285"/>
    <w:rsid w:val="00E23292"/>
    <w:rsid w:val="00E232AA"/>
    <w:rsid w:val="00E232F3"/>
    <w:rsid w:val="00E23456"/>
    <w:rsid w:val="00E23595"/>
    <w:rsid w:val="00E23666"/>
    <w:rsid w:val="00E236FA"/>
    <w:rsid w:val="00E23816"/>
    <w:rsid w:val="00E23823"/>
    <w:rsid w:val="00E238D4"/>
    <w:rsid w:val="00E23930"/>
    <w:rsid w:val="00E239AE"/>
    <w:rsid w:val="00E239F0"/>
    <w:rsid w:val="00E23A02"/>
    <w:rsid w:val="00E23AE2"/>
    <w:rsid w:val="00E23B91"/>
    <w:rsid w:val="00E23B9F"/>
    <w:rsid w:val="00E23C97"/>
    <w:rsid w:val="00E23D09"/>
    <w:rsid w:val="00E23DC4"/>
    <w:rsid w:val="00E23E0E"/>
    <w:rsid w:val="00E23F2C"/>
    <w:rsid w:val="00E23FAD"/>
    <w:rsid w:val="00E24067"/>
    <w:rsid w:val="00E240E9"/>
    <w:rsid w:val="00E240FB"/>
    <w:rsid w:val="00E24178"/>
    <w:rsid w:val="00E24184"/>
    <w:rsid w:val="00E242F3"/>
    <w:rsid w:val="00E2434B"/>
    <w:rsid w:val="00E24386"/>
    <w:rsid w:val="00E243AA"/>
    <w:rsid w:val="00E244F6"/>
    <w:rsid w:val="00E24545"/>
    <w:rsid w:val="00E245BB"/>
    <w:rsid w:val="00E245FD"/>
    <w:rsid w:val="00E24852"/>
    <w:rsid w:val="00E24869"/>
    <w:rsid w:val="00E2489B"/>
    <w:rsid w:val="00E24973"/>
    <w:rsid w:val="00E2497B"/>
    <w:rsid w:val="00E249D4"/>
    <w:rsid w:val="00E24A4C"/>
    <w:rsid w:val="00E24B16"/>
    <w:rsid w:val="00E24B61"/>
    <w:rsid w:val="00E24BCB"/>
    <w:rsid w:val="00E24BE1"/>
    <w:rsid w:val="00E24C6D"/>
    <w:rsid w:val="00E24CF0"/>
    <w:rsid w:val="00E24D0D"/>
    <w:rsid w:val="00E24DDF"/>
    <w:rsid w:val="00E24FDE"/>
    <w:rsid w:val="00E25215"/>
    <w:rsid w:val="00E25382"/>
    <w:rsid w:val="00E2545A"/>
    <w:rsid w:val="00E2569B"/>
    <w:rsid w:val="00E256FC"/>
    <w:rsid w:val="00E25773"/>
    <w:rsid w:val="00E257DF"/>
    <w:rsid w:val="00E257E9"/>
    <w:rsid w:val="00E25800"/>
    <w:rsid w:val="00E25807"/>
    <w:rsid w:val="00E25877"/>
    <w:rsid w:val="00E25889"/>
    <w:rsid w:val="00E258FC"/>
    <w:rsid w:val="00E25A8E"/>
    <w:rsid w:val="00E25AEF"/>
    <w:rsid w:val="00E25B1C"/>
    <w:rsid w:val="00E25BB2"/>
    <w:rsid w:val="00E25C27"/>
    <w:rsid w:val="00E25C29"/>
    <w:rsid w:val="00E25C33"/>
    <w:rsid w:val="00E25D6E"/>
    <w:rsid w:val="00E25D96"/>
    <w:rsid w:val="00E25DB8"/>
    <w:rsid w:val="00E25DF6"/>
    <w:rsid w:val="00E25E75"/>
    <w:rsid w:val="00E26002"/>
    <w:rsid w:val="00E2606E"/>
    <w:rsid w:val="00E261B2"/>
    <w:rsid w:val="00E262B7"/>
    <w:rsid w:val="00E262DF"/>
    <w:rsid w:val="00E2637B"/>
    <w:rsid w:val="00E263FA"/>
    <w:rsid w:val="00E265AB"/>
    <w:rsid w:val="00E265FA"/>
    <w:rsid w:val="00E266B9"/>
    <w:rsid w:val="00E26780"/>
    <w:rsid w:val="00E26789"/>
    <w:rsid w:val="00E26842"/>
    <w:rsid w:val="00E268E2"/>
    <w:rsid w:val="00E26AD8"/>
    <w:rsid w:val="00E26B1F"/>
    <w:rsid w:val="00E26BB8"/>
    <w:rsid w:val="00E26C2A"/>
    <w:rsid w:val="00E26CD4"/>
    <w:rsid w:val="00E26D5A"/>
    <w:rsid w:val="00E26D60"/>
    <w:rsid w:val="00E26D86"/>
    <w:rsid w:val="00E26E27"/>
    <w:rsid w:val="00E26EC8"/>
    <w:rsid w:val="00E26F88"/>
    <w:rsid w:val="00E26F93"/>
    <w:rsid w:val="00E2705C"/>
    <w:rsid w:val="00E270D6"/>
    <w:rsid w:val="00E271BE"/>
    <w:rsid w:val="00E271FE"/>
    <w:rsid w:val="00E27225"/>
    <w:rsid w:val="00E2727B"/>
    <w:rsid w:val="00E2732B"/>
    <w:rsid w:val="00E27391"/>
    <w:rsid w:val="00E273A5"/>
    <w:rsid w:val="00E2744A"/>
    <w:rsid w:val="00E274EC"/>
    <w:rsid w:val="00E274FC"/>
    <w:rsid w:val="00E2758A"/>
    <w:rsid w:val="00E275FD"/>
    <w:rsid w:val="00E27633"/>
    <w:rsid w:val="00E2771D"/>
    <w:rsid w:val="00E2779E"/>
    <w:rsid w:val="00E277A8"/>
    <w:rsid w:val="00E2783E"/>
    <w:rsid w:val="00E278E9"/>
    <w:rsid w:val="00E279C7"/>
    <w:rsid w:val="00E279EC"/>
    <w:rsid w:val="00E27B37"/>
    <w:rsid w:val="00E27B3C"/>
    <w:rsid w:val="00E27C23"/>
    <w:rsid w:val="00E27C71"/>
    <w:rsid w:val="00E27CBD"/>
    <w:rsid w:val="00E27CE2"/>
    <w:rsid w:val="00E27D73"/>
    <w:rsid w:val="00E27E37"/>
    <w:rsid w:val="00E27EB4"/>
    <w:rsid w:val="00E27EFB"/>
    <w:rsid w:val="00E27F0E"/>
    <w:rsid w:val="00E27F5D"/>
    <w:rsid w:val="00E27F8A"/>
    <w:rsid w:val="00E27FFB"/>
    <w:rsid w:val="00E30089"/>
    <w:rsid w:val="00E30152"/>
    <w:rsid w:val="00E30211"/>
    <w:rsid w:val="00E30214"/>
    <w:rsid w:val="00E302FE"/>
    <w:rsid w:val="00E3032B"/>
    <w:rsid w:val="00E30373"/>
    <w:rsid w:val="00E30484"/>
    <w:rsid w:val="00E30486"/>
    <w:rsid w:val="00E3065B"/>
    <w:rsid w:val="00E3066C"/>
    <w:rsid w:val="00E30678"/>
    <w:rsid w:val="00E308E0"/>
    <w:rsid w:val="00E308E8"/>
    <w:rsid w:val="00E3096E"/>
    <w:rsid w:val="00E30A05"/>
    <w:rsid w:val="00E30A63"/>
    <w:rsid w:val="00E30B4C"/>
    <w:rsid w:val="00E30B85"/>
    <w:rsid w:val="00E30C14"/>
    <w:rsid w:val="00E30C8E"/>
    <w:rsid w:val="00E30F18"/>
    <w:rsid w:val="00E30FFB"/>
    <w:rsid w:val="00E311CE"/>
    <w:rsid w:val="00E31222"/>
    <w:rsid w:val="00E3124F"/>
    <w:rsid w:val="00E3127C"/>
    <w:rsid w:val="00E312AD"/>
    <w:rsid w:val="00E313F8"/>
    <w:rsid w:val="00E31400"/>
    <w:rsid w:val="00E31460"/>
    <w:rsid w:val="00E31531"/>
    <w:rsid w:val="00E315DA"/>
    <w:rsid w:val="00E3170E"/>
    <w:rsid w:val="00E31762"/>
    <w:rsid w:val="00E3183B"/>
    <w:rsid w:val="00E3189A"/>
    <w:rsid w:val="00E318C6"/>
    <w:rsid w:val="00E31903"/>
    <w:rsid w:val="00E319FA"/>
    <w:rsid w:val="00E31ABD"/>
    <w:rsid w:val="00E31AFE"/>
    <w:rsid w:val="00E31B7F"/>
    <w:rsid w:val="00E31C5A"/>
    <w:rsid w:val="00E31D18"/>
    <w:rsid w:val="00E31D1E"/>
    <w:rsid w:val="00E31D6D"/>
    <w:rsid w:val="00E31D8E"/>
    <w:rsid w:val="00E31E4D"/>
    <w:rsid w:val="00E31E6A"/>
    <w:rsid w:val="00E31E98"/>
    <w:rsid w:val="00E31EFE"/>
    <w:rsid w:val="00E32015"/>
    <w:rsid w:val="00E32159"/>
    <w:rsid w:val="00E32196"/>
    <w:rsid w:val="00E321F0"/>
    <w:rsid w:val="00E3223A"/>
    <w:rsid w:val="00E32254"/>
    <w:rsid w:val="00E323B6"/>
    <w:rsid w:val="00E325EB"/>
    <w:rsid w:val="00E3261D"/>
    <w:rsid w:val="00E32628"/>
    <w:rsid w:val="00E32631"/>
    <w:rsid w:val="00E3289C"/>
    <w:rsid w:val="00E328EE"/>
    <w:rsid w:val="00E32922"/>
    <w:rsid w:val="00E32928"/>
    <w:rsid w:val="00E3297E"/>
    <w:rsid w:val="00E32B8B"/>
    <w:rsid w:val="00E32B8E"/>
    <w:rsid w:val="00E32BAB"/>
    <w:rsid w:val="00E32BCA"/>
    <w:rsid w:val="00E32BE1"/>
    <w:rsid w:val="00E32C9C"/>
    <w:rsid w:val="00E32CE7"/>
    <w:rsid w:val="00E32D29"/>
    <w:rsid w:val="00E32EC7"/>
    <w:rsid w:val="00E32ED1"/>
    <w:rsid w:val="00E32F24"/>
    <w:rsid w:val="00E32F74"/>
    <w:rsid w:val="00E32F80"/>
    <w:rsid w:val="00E33067"/>
    <w:rsid w:val="00E33127"/>
    <w:rsid w:val="00E33179"/>
    <w:rsid w:val="00E332DA"/>
    <w:rsid w:val="00E33402"/>
    <w:rsid w:val="00E334D2"/>
    <w:rsid w:val="00E3352E"/>
    <w:rsid w:val="00E335C4"/>
    <w:rsid w:val="00E33681"/>
    <w:rsid w:val="00E3378D"/>
    <w:rsid w:val="00E3386E"/>
    <w:rsid w:val="00E3389A"/>
    <w:rsid w:val="00E338EF"/>
    <w:rsid w:val="00E33976"/>
    <w:rsid w:val="00E3397A"/>
    <w:rsid w:val="00E33A0A"/>
    <w:rsid w:val="00E33A1D"/>
    <w:rsid w:val="00E33A21"/>
    <w:rsid w:val="00E33A6A"/>
    <w:rsid w:val="00E33AAD"/>
    <w:rsid w:val="00E33BA9"/>
    <w:rsid w:val="00E33BAE"/>
    <w:rsid w:val="00E33BEC"/>
    <w:rsid w:val="00E33CA7"/>
    <w:rsid w:val="00E33CCE"/>
    <w:rsid w:val="00E33D3F"/>
    <w:rsid w:val="00E33DC2"/>
    <w:rsid w:val="00E33DDD"/>
    <w:rsid w:val="00E33E6A"/>
    <w:rsid w:val="00E33F71"/>
    <w:rsid w:val="00E34041"/>
    <w:rsid w:val="00E34065"/>
    <w:rsid w:val="00E340E4"/>
    <w:rsid w:val="00E3415E"/>
    <w:rsid w:val="00E3419B"/>
    <w:rsid w:val="00E342D6"/>
    <w:rsid w:val="00E34306"/>
    <w:rsid w:val="00E343D0"/>
    <w:rsid w:val="00E343FC"/>
    <w:rsid w:val="00E34401"/>
    <w:rsid w:val="00E345AB"/>
    <w:rsid w:val="00E3465A"/>
    <w:rsid w:val="00E34682"/>
    <w:rsid w:val="00E3468E"/>
    <w:rsid w:val="00E34694"/>
    <w:rsid w:val="00E34727"/>
    <w:rsid w:val="00E3474B"/>
    <w:rsid w:val="00E34924"/>
    <w:rsid w:val="00E349C6"/>
    <w:rsid w:val="00E34A19"/>
    <w:rsid w:val="00E34B9C"/>
    <w:rsid w:val="00E34BC9"/>
    <w:rsid w:val="00E34C83"/>
    <w:rsid w:val="00E34D56"/>
    <w:rsid w:val="00E34E81"/>
    <w:rsid w:val="00E34EB8"/>
    <w:rsid w:val="00E34F7C"/>
    <w:rsid w:val="00E35059"/>
    <w:rsid w:val="00E352EF"/>
    <w:rsid w:val="00E3531C"/>
    <w:rsid w:val="00E35418"/>
    <w:rsid w:val="00E35489"/>
    <w:rsid w:val="00E3576A"/>
    <w:rsid w:val="00E357D8"/>
    <w:rsid w:val="00E357DD"/>
    <w:rsid w:val="00E358B5"/>
    <w:rsid w:val="00E359DC"/>
    <w:rsid w:val="00E35A76"/>
    <w:rsid w:val="00E35AC5"/>
    <w:rsid w:val="00E35B06"/>
    <w:rsid w:val="00E35B91"/>
    <w:rsid w:val="00E35BED"/>
    <w:rsid w:val="00E35EF9"/>
    <w:rsid w:val="00E35FA2"/>
    <w:rsid w:val="00E36085"/>
    <w:rsid w:val="00E360A4"/>
    <w:rsid w:val="00E360DD"/>
    <w:rsid w:val="00E360F9"/>
    <w:rsid w:val="00E3610C"/>
    <w:rsid w:val="00E36129"/>
    <w:rsid w:val="00E3616F"/>
    <w:rsid w:val="00E3625C"/>
    <w:rsid w:val="00E3631A"/>
    <w:rsid w:val="00E36337"/>
    <w:rsid w:val="00E363A2"/>
    <w:rsid w:val="00E3643B"/>
    <w:rsid w:val="00E364F5"/>
    <w:rsid w:val="00E365A4"/>
    <w:rsid w:val="00E365CE"/>
    <w:rsid w:val="00E36688"/>
    <w:rsid w:val="00E36704"/>
    <w:rsid w:val="00E3673C"/>
    <w:rsid w:val="00E367B3"/>
    <w:rsid w:val="00E367C5"/>
    <w:rsid w:val="00E36958"/>
    <w:rsid w:val="00E369FA"/>
    <w:rsid w:val="00E36B50"/>
    <w:rsid w:val="00E36B79"/>
    <w:rsid w:val="00E36C61"/>
    <w:rsid w:val="00E36EB5"/>
    <w:rsid w:val="00E36ECC"/>
    <w:rsid w:val="00E370AF"/>
    <w:rsid w:val="00E37174"/>
    <w:rsid w:val="00E37228"/>
    <w:rsid w:val="00E3727C"/>
    <w:rsid w:val="00E372AD"/>
    <w:rsid w:val="00E37507"/>
    <w:rsid w:val="00E37623"/>
    <w:rsid w:val="00E376BB"/>
    <w:rsid w:val="00E377B1"/>
    <w:rsid w:val="00E377E9"/>
    <w:rsid w:val="00E37818"/>
    <w:rsid w:val="00E378D0"/>
    <w:rsid w:val="00E37948"/>
    <w:rsid w:val="00E37952"/>
    <w:rsid w:val="00E37A3F"/>
    <w:rsid w:val="00E37AE0"/>
    <w:rsid w:val="00E37AED"/>
    <w:rsid w:val="00E37E66"/>
    <w:rsid w:val="00E37E95"/>
    <w:rsid w:val="00E37F1B"/>
    <w:rsid w:val="00E37F5E"/>
    <w:rsid w:val="00E37FC2"/>
    <w:rsid w:val="00E40035"/>
    <w:rsid w:val="00E400B4"/>
    <w:rsid w:val="00E400E7"/>
    <w:rsid w:val="00E40107"/>
    <w:rsid w:val="00E40220"/>
    <w:rsid w:val="00E402E0"/>
    <w:rsid w:val="00E402ED"/>
    <w:rsid w:val="00E40312"/>
    <w:rsid w:val="00E4031D"/>
    <w:rsid w:val="00E40340"/>
    <w:rsid w:val="00E40426"/>
    <w:rsid w:val="00E40436"/>
    <w:rsid w:val="00E40471"/>
    <w:rsid w:val="00E404B1"/>
    <w:rsid w:val="00E4053D"/>
    <w:rsid w:val="00E405A4"/>
    <w:rsid w:val="00E405F7"/>
    <w:rsid w:val="00E406AA"/>
    <w:rsid w:val="00E406FF"/>
    <w:rsid w:val="00E407C9"/>
    <w:rsid w:val="00E40896"/>
    <w:rsid w:val="00E4089E"/>
    <w:rsid w:val="00E4096B"/>
    <w:rsid w:val="00E40998"/>
    <w:rsid w:val="00E409B3"/>
    <w:rsid w:val="00E40A96"/>
    <w:rsid w:val="00E40B40"/>
    <w:rsid w:val="00E40C08"/>
    <w:rsid w:val="00E40C29"/>
    <w:rsid w:val="00E40CCE"/>
    <w:rsid w:val="00E40CD2"/>
    <w:rsid w:val="00E40CEF"/>
    <w:rsid w:val="00E40D2B"/>
    <w:rsid w:val="00E40DAB"/>
    <w:rsid w:val="00E40F70"/>
    <w:rsid w:val="00E40F9D"/>
    <w:rsid w:val="00E40FF7"/>
    <w:rsid w:val="00E4102A"/>
    <w:rsid w:val="00E410E8"/>
    <w:rsid w:val="00E410F5"/>
    <w:rsid w:val="00E4111C"/>
    <w:rsid w:val="00E41147"/>
    <w:rsid w:val="00E41200"/>
    <w:rsid w:val="00E41207"/>
    <w:rsid w:val="00E41236"/>
    <w:rsid w:val="00E413BD"/>
    <w:rsid w:val="00E41463"/>
    <w:rsid w:val="00E414B2"/>
    <w:rsid w:val="00E415DA"/>
    <w:rsid w:val="00E41659"/>
    <w:rsid w:val="00E41668"/>
    <w:rsid w:val="00E416F9"/>
    <w:rsid w:val="00E417D8"/>
    <w:rsid w:val="00E41866"/>
    <w:rsid w:val="00E41886"/>
    <w:rsid w:val="00E418A8"/>
    <w:rsid w:val="00E418C8"/>
    <w:rsid w:val="00E4197C"/>
    <w:rsid w:val="00E419B8"/>
    <w:rsid w:val="00E41A17"/>
    <w:rsid w:val="00E41B02"/>
    <w:rsid w:val="00E41D3D"/>
    <w:rsid w:val="00E41F4A"/>
    <w:rsid w:val="00E41F94"/>
    <w:rsid w:val="00E420A0"/>
    <w:rsid w:val="00E420E2"/>
    <w:rsid w:val="00E42361"/>
    <w:rsid w:val="00E4239F"/>
    <w:rsid w:val="00E423A0"/>
    <w:rsid w:val="00E4244C"/>
    <w:rsid w:val="00E424DE"/>
    <w:rsid w:val="00E42539"/>
    <w:rsid w:val="00E4261E"/>
    <w:rsid w:val="00E4267D"/>
    <w:rsid w:val="00E426B6"/>
    <w:rsid w:val="00E426BA"/>
    <w:rsid w:val="00E427A8"/>
    <w:rsid w:val="00E42857"/>
    <w:rsid w:val="00E428BF"/>
    <w:rsid w:val="00E4292C"/>
    <w:rsid w:val="00E429D7"/>
    <w:rsid w:val="00E42A9B"/>
    <w:rsid w:val="00E42ABE"/>
    <w:rsid w:val="00E42B51"/>
    <w:rsid w:val="00E42B73"/>
    <w:rsid w:val="00E42CDB"/>
    <w:rsid w:val="00E42DCB"/>
    <w:rsid w:val="00E42DD9"/>
    <w:rsid w:val="00E42E0A"/>
    <w:rsid w:val="00E42E3B"/>
    <w:rsid w:val="00E42F0D"/>
    <w:rsid w:val="00E42F77"/>
    <w:rsid w:val="00E4305E"/>
    <w:rsid w:val="00E4309F"/>
    <w:rsid w:val="00E433D6"/>
    <w:rsid w:val="00E434DB"/>
    <w:rsid w:val="00E434F5"/>
    <w:rsid w:val="00E43503"/>
    <w:rsid w:val="00E43598"/>
    <w:rsid w:val="00E436CF"/>
    <w:rsid w:val="00E437A9"/>
    <w:rsid w:val="00E4380D"/>
    <w:rsid w:val="00E43828"/>
    <w:rsid w:val="00E43852"/>
    <w:rsid w:val="00E43866"/>
    <w:rsid w:val="00E438B0"/>
    <w:rsid w:val="00E43931"/>
    <w:rsid w:val="00E43951"/>
    <w:rsid w:val="00E4399C"/>
    <w:rsid w:val="00E439CC"/>
    <w:rsid w:val="00E43B63"/>
    <w:rsid w:val="00E43B7A"/>
    <w:rsid w:val="00E43CEA"/>
    <w:rsid w:val="00E43D16"/>
    <w:rsid w:val="00E43DA6"/>
    <w:rsid w:val="00E43E00"/>
    <w:rsid w:val="00E43E35"/>
    <w:rsid w:val="00E43E53"/>
    <w:rsid w:val="00E43E95"/>
    <w:rsid w:val="00E44021"/>
    <w:rsid w:val="00E440A6"/>
    <w:rsid w:val="00E440C1"/>
    <w:rsid w:val="00E440C7"/>
    <w:rsid w:val="00E440F6"/>
    <w:rsid w:val="00E44222"/>
    <w:rsid w:val="00E44231"/>
    <w:rsid w:val="00E4427F"/>
    <w:rsid w:val="00E44361"/>
    <w:rsid w:val="00E443B0"/>
    <w:rsid w:val="00E444B5"/>
    <w:rsid w:val="00E44566"/>
    <w:rsid w:val="00E4458F"/>
    <w:rsid w:val="00E445AE"/>
    <w:rsid w:val="00E44634"/>
    <w:rsid w:val="00E44657"/>
    <w:rsid w:val="00E4471F"/>
    <w:rsid w:val="00E44966"/>
    <w:rsid w:val="00E449D1"/>
    <w:rsid w:val="00E44AF9"/>
    <w:rsid w:val="00E44B10"/>
    <w:rsid w:val="00E44BB9"/>
    <w:rsid w:val="00E44C00"/>
    <w:rsid w:val="00E44C37"/>
    <w:rsid w:val="00E44CB1"/>
    <w:rsid w:val="00E44DD8"/>
    <w:rsid w:val="00E44F03"/>
    <w:rsid w:val="00E44F14"/>
    <w:rsid w:val="00E44F22"/>
    <w:rsid w:val="00E44FE1"/>
    <w:rsid w:val="00E450AC"/>
    <w:rsid w:val="00E450D0"/>
    <w:rsid w:val="00E450D3"/>
    <w:rsid w:val="00E4514C"/>
    <w:rsid w:val="00E4517D"/>
    <w:rsid w:val="00E451BE"/>
    <w:rsid w:val="00E45274"/>
    <w:rsid w:val="00E452B8"/>
    <w:rsid w:val="00E45385"/>
    <w:rsid w:val="00E4538E"/>
    <w:rsid w:val="00E4550D"/>
    <w:rsid w:val="00E4553B"/>
    <w:rsid w:val="00E4557B"/>
    <w:rsid w:val="00E455A0"/>
    <w:rsid w:val="00E455CD"/>
    <w:rsid w:val="00E45648"/>
    <w:rsid w:val="00E4566C"/>
    <w:rsid w:val="00E45679"/>
    <w:rsid w:val="00E45721"/>
    <w:rsid w:val="00E45768"/>
    <w:rsid w:val="00E458B8"/>
    <w:rsid w:val="00E458E2"/>
    <w:rsid w:val="00E458ED"/>
    <w:rsid w:val="00E459D2"/>
    <w:rsid w:val="00E45A2E"/>
    <w:rsid w:val="00E45B96"/>
    <w:rsid w:val="00E45BE7"/>
    <w:rsid w:val="00E45C8E"/>
    <w:rsid w:val="00E45D2D"/>
    <w:rsid w:val="00E45D2F"/>
    <w:rsid w:val="00E45DB3"/>
    <w:rsid w:val="00E45DDE"/>
    <w:rsid w:val="00E45E7C"/>
    <w:rsid w:val="00E45F0C"/>
    <w:rsid w:val="00E45F6C"/>
    <w:rsid w:val="00E45F87"/>
    <w:rsid w:val="00E46040"/>
    <w:rsid w:val="00E460C1"/>
    <w:rsid w:val="00E46181"/>
    <w:rsid w:val="00E46215"/>
    <w:rsid w:val="00E46253"/>
    <w:rsid w:val="00E4626B"/>
    <w:rsid w:val="00E46339"/>
    <w:rsid w:val="00E46382"/>
    <w:rsid w:val="00E463D0"/>
    <w:rsid w:val="00E46490"/>
    <w:rsid w:val="00E464AE"/>
    <w:rsid w:val="00E46501"/>
    <w:rsid w:val="00E4659E"/>
    <w:rsid w:val="00E465BE"/>
    <w:rsid w:val="00E4660E"/>
    <w:rsid w:val="00E466D6"/>
    <w:rsid w:val="00E466EB"/>
    <w:rsid w:val="00E46761"/>
    <w:rsid w:val="00E4677C"/>
    <w:rsid w:val="00E4678D"/>
    <w:rsid w:val="00E467F0"/>
    <w:rsid w:val="00E46850"/>
    <w:rsid w:val="00E46880"/>
    <w:rsid w:val="00E468E1"/>
    <w:rsid w:val="00E46C22"/>
    <w:rsid w:val="00E46C45"/>
    <w:rsid w:val="00E46D5D"/>
    <w:rsid w:val="00E46D66"/>
    <w:rsid w:val="00E46DFC"/>
    <w:rsid w:val="00E46E14"/>
    <w:rsid w:val="00E46EE9"/>
    <w:rsid w:val="00E46EFF"/>
    <w:rsid w:val="00E46F37"/>
    <w:rsid w:val="00E470A9"/>
    <w:rsid w:val="00E470C9"/>
    <w:rsid w:val="00E47187"/>
    <w:rsid w:val="00E471B2"/>
    <w:rsid w:val="00E4727D"/>
    <w:rsid w:val="00E47393"/>
    <w:rsid w:val="00E474CA"/>
    <w:rsid w:val="00E47678"/>
    <w:rsid w:val="00E476CF"/>
    <w:rsid w:val="00E4772D"/>
    <w:rsid w:val="00E47854"/>
    <w:rsid w:val="00E478BB"/>
    <w:rsid w:val="00E478D3"/>
    <w:rsid w:val="00E478D6"/>
    <w:rsid w:val="00E4791F"/>
    <w:rsid w:val="00E47958"/>
    <w:rsid w:val="00E4797C"/>
    <w:rsid w:val="00E47A35"/>
    <w:rsid w:val="00E47A96"/>
    <w:rsid w:val="00E47AB6"/>
    <w:rsid w:val="00E47B9E"/>
    <w:rsid w:val="00E47CF9"/>
    <w:rsid w:val="00E47DAA"/>
    <w:rsid w:val="00E47DB2"/>
    <w:rsid w:val="00E47DC7"/>
    <w:rsid w:val="00E47E53"/>
    <w:rsid w:val="00E47FBC"/>
    <w:rsid w:val="00E47FD6"/>
    <w:rsid w:val="00E50079"/>
    <w:rsid w:val="00E500B0"/>
    <w:rsid w:val="00E50103"/>
    <w:rsid w:val="00E50262"/>
    <w:rsid w:val="00E50294"/>
    <w:rsid w:val="00E502C7"/>
    <w:rsid w:val="00E5045D"/>
    <w:rsid w:val="00E504E0"/>
    <w:rsid w:val="00E5050E"/>
    <w:rsid w:val="00E50510"/>
    <w:rsid w:val="00E5052C"/>
    <w:rsid w:val="00E50579"/>
    <w:rsid w:val="00E505B5"/>
    <w:rsid w:val="00E50636"/>
    <w:rsid w:val="00E5067B"/>
    <w:rsid w:val="00E506B4"/>
    <w:rsid w:val="00E5079C"/>
    <w:rsid w:val="00E50873"/>
    <w:rsid w:val="00E5093C"/>
    <w:rsid w:val="00E50955"/>
    <w:rsid w:val="00E50AEC"/>
    <w:rsid w:val="00E50BA8"/>
    <w:rsid w:val="00E50BF8"/>
    <w:rsid w:val="00E50C5D"/>
    <w:rsid w:val="00E50CB3"/>
    <w:rsid w:val="00E50D24"/>
    <w:rsid w:val="00E50D63"/>
    <w:rsid w:val="00E50F42"/>
    <w:rsid w:val="00E50F77"/>
    <w:rsid w:val="00E50F91"/>
    <w:rsid w:val="00E50F99"/>
    <w:rsid w:val="00E5101E"/>
    <w:rsid w:val="00E510D7"/>
    <w:rsid w:val="00E51134"/>
    <w:rsid w:val="00E51167"/>
    <w:rsid w:val="00E511C2"/>
    <w:rsid w:val="00E511E9"/>
    <w:rsid w:val="00E511FB"/>
    <w:rsid w:val="00E5134F"/>
    <w:rsid w:val="00E51465"/>
    <w:rsid w:val="00E51600"/>
    <w:rsid w:val="00E51697"/>
    <w:rsid w:val="00E5196F"/>
    <w:rsid w:val="00E51A72"/>
    <w:rsid w:val="00E51B41"/>
    <w:rsid w:val="00E51B65"/>
    <w:rsid w:val="00E51B94"/>
    <w:rsid w:val="00E51BED"/>
    <w:rsid w:val="00E51C20"/>
    <w:rsid w:val="00E51C28"/>
    <w:rsid w:val="00E51C5D"/>
    <w:rsid w:val="00E51D1B"/>
    <w:rsid w:val="00E51D53"/>
    <w:rsid w:val="00E51F3E"/>
    <w:rsid w:val="00E51F73"/>
    <w:rsid w:val="00E52098"/>
    <w:rsid w:val="00E520FA"/>
    <w:rsid w:val="00E52218"/>
    <w:rsid w:val="00E5222A"/>
    <w:rsid w:val="00E5225A"/>
    <w:rsid w:val="00E5229A"/>
    <w:rsid w:val="00E52322"/>
    <w:rsid w:val="00E523E0"/>
    <w:rsid w:val="00E5248E"/>
    <w:rsid w:val="00E52490"/>
    <w:rsid w:val="00E526B1"/>
    <w:rsid w:val="00E5271A"/>
    <w:rsid w:val="00E52778"/>
    <w:rsid w:val="00E527FF"/>
    <w:rsid w:val="00E52808"/>
    <w:rsid w:val="00E5287E"/>
    <w:rsid w:val="00E52903"/>
    <w:rsid w:val="00E52966"/>
    <w:rsid w:val="00E529AC"/>
    <w:rsid w:val="00E52C4B"/>
    <w:rsid w:val="00E52E01"/>
    <w:rsid w:val="00E52E17"/>
    <w:rsid w:val="00E53039"/>
    <w:rsid w:val="00E5357A"/>
    <w:rsid w:val="00E535E3"/>
    <w:rsid w:val="00E535EB"/>
    <w:rsid w:val="00E536C3"/>
    <w:rsid w:val="00E537BA"/>
    <w:rsid w:val="00E53810"/>
    <w:rsid w:val="00E539B9"/>
    <w:rsid w:val="00E539CB"/>
    <w:rsid w:val="00E53A16"/>
    <w:rsid w:val="00E53A1E"/>
    <w:rsid w:val="00E53A2D"/>
    <w:rsid w:val="00E53A70"/>
    <w:rsid w:val="00E53ABA"/>
    <w:rsid w:val="00E53B43"/>
    <w:rsid w:val="00E53D19"/>
    <w:rsid w:val="00E53D3E"/>
    <w:rsid w:val="00E53DAA"/>
    <w:rsid w:val="00E53E57"/>
    <w:rsid w:val="00E53E73"/>
    <w:rsid w:val="00E53F51"/>
    <w:rsid w:val="00E53F57"/>
    <w:rsid w:val="00E53F86"/>
    <w:rsid w:val="00E53F94"/>
    <w:rsid w:val="00E53FE7"/>
    <w:rsid w:val="00E540C4"/>
    <w:rsid w:val="00E54259"/>
    <w:rsid w:val="00E5429A"/>
    <w:rsid w:val="00E542A3"/>
    <w:rsid w:val="00E54344"/>
    <w:rsid w:val="00E5441F"/>
    <w:rsid w:val="00E5447E"/>
    <w:rsid w:val="00E545F1"/>
    <w:rsid w:val="00E545F9"/>
    <w:rsid w:val="00E54696"/>
    <w:rsid w:val="00E5469F"/>
    <w:rsid w:val="00E5476F"/>
    <w:rsid w:val="00E5477F"/>
    <w:rsid w:val="00E54872"/>
    <w:rsid w:val="00E548B5"/>
    <w:rsid w:val="00E5499B"/>
    <w:rsid w:val="00E54A7A"/>
    <w:rsid w:val="00E54C81"/>
    <w:rsid w:val="00E54CEE"/>
    <w:rsid w:val="00E54D7F"/>
    <w:rsid w:val="00E54D9A"/>
    <w:rsid w:val="00E54F64"/>
    <w:rsid w:val="00E54F7B"/>
    <w:rsid w:val="00E5515B"/>
    <w:rsid w:val="00E551B6"/>
    <w:rsid w:val="00E55263"/>
    <w:rsid w:val="00E5528A"/>
    <w:rsid w:val="00E552D1"/>
    <w:rsid w:val="00E5533B"/>
    <w:rsid w:val="00E554AA"/>
    <w:rsid w:val="00E555D5"/>
    <w:rsid w:val="00E55668"/>
    <w:rsid w:val="00E556AF"/>
    <w:rsid w:val="00E556D9"/>
    <w:rsid w:val="00E55701"/>
    <w:rsid w:val="00E55837"/>
    <w:rsid w:val="00E558D6"/>
    <w:rsid w:val="00E558DE"/>
    <w:rsid w:val="00E558FE"/>
    <w:rsid w:val="00E55914"/>
    <w:rsid w:val="00E55972"/>
    <w:rsid w:val="00E55994"/>
    <w:rsid w:val="00E559AA"/>
    <w:rsid w:val="00E559C2"/>
    <w:rsid w:val="00E55B70"/>
    <w:rsid w:val="00E55B9E"/>
    <w:rsid w:val="00E55BC9"/>
    <w:rsid w:val="00E55C1F"/>
    <w:rsid w:val="00E55CBA"/>
    <w:rsid w:val="00E55CDA"/>
    <w:rsid w:val="00E55CF1"/>
    <w:rsid w:val="00E55D33"/>
    <w:rsid w:val="00E55DA2"/>
    <w:rsid w:val="00E55DDE"/>
    <w:rsid w:val="00E55EE3"/>
    <w:rsid w:val="00E55F53"/>
    <w:rsid w:val="00E55FBB"/>
    <w:rsid w:val="00E561A1"/>
    <w:rsid w:val="00E563BB"/>
    <w:rsid w:val="00E56496"/>
    <w:rsid w:val="00E56531"/>
    <w:rsid w:val="00E5653A"/>
    <w:rsid w:val="00E56562"/>
    <w:rsid w:val="00E56579"/>
    <w:rsid w:val="00E56608"/>
    <w:rsid w:val="00E566B9"/>
    <w:rsid w:val="00E566C4"/>
    <w:rsid w:val="00E56714"/>
    <w:rsid w:val="00E5677F"/>
    <w:rsid w:val="00E567A9"/>
    <w:rsid w:val="00E567AF"/>
    <w:rsid w:val="00E567D1"/>
    <w:rsid w:val="00E567E0"/>
    <w:rsid w:val="00E568E1"/>
    <w:rsid w:val="00E568E4"/>
    <w:rsid w:val="00E5695E"/>
    <w:rsid w:val="00E569E0"/>
    <w:rsid w:val="00E56A86"/>
    <w:rsid w:val="00E56B0A"/>
    <w:rsid w:val="00E56B20"/>
    <w:rsid w:val="00E56B6E"/>
    <w:rsid w:val="00E56C08"/>
    <w:rsid w:val="00E56CAA"/>
    <w:rsid w:val="00E56CE1"/>
    <w:rsid w:val="00E56DFD"/>
    <w:rsid w:val="00E56E09"/>
    <w:rsid w:val="00E56E17"/>
    <w:rsid w:val="00E56E45"/>
    <w:rsid w:val="00E56EB6"/>
    <w:rsid w:val="00E56FA6"/>
    <w:rsid w:val="00E5709B"/>
    <w:rsid w:val="00E570AD"/>
    <w:rsid w:val="00E570FE"/>
    <w:rsid w:val="00E571B8"/>
    <w:rsid w:val="00E571DF"/>
    <w:rsid w:val="00E57314"/>
    <w:rsid w:val="00E573AC"/>
    <w:rsid w:val="00E57401"/>
    <w:rsid w:val="00E5746A"/>
    <w:rsid w:val="00E57505"/>
    <w:rsid w:val="00E57563"/>
    <w:rsid w:val="00E575C0"/>
    <w:rsid w:val="00E575E5"/>
    <w:rsid w:val="00E5760C"/>
    <w:rsid w:val="00E576A9"/>
    <w:rsid w:val="00E578AA"/>
    <w:rsid w:val="00E579BD"/>
    <w:rsid w:val="00E57A53"/>
    <w:rsid w:val="00E57B42"/>
    <w:rsid w:val="00E57B8C"/>
    <w:rsid w:val="00E57BB5"/>
    <w:rsid w:val="00E57BF1"/>
    <w:rsid w:val="00E57D00"/>
    <w:rsid w:val="00E57D07"/>
    <w:rsid w:val="00E57DDA"/>
    <w:rsid w:val="00E57E64"/>
    <w:rsid w:val="00E57E97"/>
    <w:rsid w:val="00E57F2D"/>
    <w:rsid w:val="00E57F96"/>
    <w:rsid w:val="00E6000B"/>
    <w:rsid w:val="00E6013D"/>
    <w:rsid w:val="00E60159"/>
    <w:rsid w:val="00E60235"/>
    <w:rsid w:val="00E60236"/>
    <w:rsid w:val="00E6025C"/>
    <w:rsid w:val="00E602CE"/>
    <w:rsid w:val="00E602E0"/>
    <w:rsid w:val="00E6034D"/>
    <w:rsid w:val="00E6036C"/>
    <w:rsid w:val="00E60383"/>
    <w:rsid w:val="00E603C4"/>
    <w:rsid w:val="00E60524"/>
    <w:rsid w:val="00E605A2"/>
    <w:rsid w:val="00E605A3"/>
    <w:rsid w:val="00E605E6"/>
    <w:rsid w:val="00E606CA"/>
    <w:rsid w:val="00E60779"/>
    <w:rsid w:val="00E608AD"/>
    <w:rsid w:val="00E608F3"/>
    <w:rsid w:val="00E60922"/>
    <w:rsid w:val="00E60929"/>
    <w:rsid w:val="00E60949"/>
    <w:rsid w:val="00E60985"/>
    <w:rsid w:val="00E60AB4"/>
    <w:rsid w:val="00E60C5A"/>
    <w:rsid w:val="00E60CB4"/>
    <w:rsid w:val="00E60CD3"/>
    <w:rsid w:val="00E60D7B"/>
    <w:rsid w:val="00E610C3"/>
    <w:rsid w:val="00E61117"/>
    <w:rsid w:val="00E611D5"/>
    <w:rsid w:val="00E611E9"/>
    <w:rsid w:val="00E6125C"/>
    <w:rsid w:val="00E612ED"/>
    <w:rsid w:val="00E61404"/>
    <w:rsid w:val="00E61457"/>
    <w:rsid w:val="00E615A3"/>
    <w:rsid w:val="00E6168B"/>
    <w:rsid w:val="00E61698"/>
    <w:rsid w:val="00E616CE"/>
    <w:rsid w:val="00E61801"/>
    <w:rsid w:val="00E61805"/>
    <w:rsid w:val="00E61901"/>
    <w:rsid w:val="00E61B96"/>
    <w:rsid w:val="00E61C96"/>
    <w:rsid w:val="00E61D39"/>
    <w:rsid w:val="00E61E69"/>
    <w:rsid w:val="00E61ED2"/>
    <w:rsid w:val="00E61ED4"/>
    <w:rsid w:val="00E61EE0"/>
    <w:rsid w:val="00E61F4B"/>
    <w:rsid w:val="00E620B6"/>
    <w:rsid w:val="00E620EB"/>
    <w:rsid w:val="00E62141"/>
    <w:rsid w:val="00E62189"/>
    <w:rsid w:val="00E6219C"/>
    <w:rsid w:val="00E621E1"/>
    <w:rsid w:val="00E62282"/>
    <w:rsid w:val="00E62293"/>
    <w:rsid w:val="00E622EB"/>
    <w:rsid w:val="00E6244C"/>
    <w:rsid w:val="00E624DE"/>
    <w:rsid w:val="00E6252C"/>
    <w:rsid w:val="00E62581"/>
    <w:rsid w:val="00E62661"/>
    <w:rsid w:val="00E626A6"/>
    <w:rsid w:val="00E626D1"/>
    <w:rsid w:val="00E62721"/>
    <w:rsid w:val="00E627C9"/>
    <w:rsid w:val="00E62826"/>
    <w:rsid w:val="00E62994"/>
    <w:rsid w:val="00E629AE"/>
    <w:rsid w:val="00E62AAD"/>
    <w:rsid w:val="00E62AD9"/>
    <w:rsid w:val="00E62B1A"/>
    <w:rsid w:val="00E62B7B"/>
    <w:rsid w:val="00E62C57"/>
    <w:rsid w:val="00E62C74"/>
    <w:rsid w:val="00E62CCE"/>
    <w:rsid w:val="00E62D08"/>
    <w:rsid w:val="00E62D94"/>
    <w:rsid w:val="00E62E65"/>
    <w:rsid w:val="00E62E7C"/>
    <w:rsid w:val="00E62E91"/>
    <w:rsid w:val="00E62F46"/>
    <w:rsid w:val="00E62FC2"/>
    <w:rsid w:val="00E63045"/>
    <w:rsid w:val="00E6305A"/>
    <w:rsid w:val="00E6310A"/>
    <w:rsid w:val="00E631DC"/>
    <w:rsid w:val="00E632F9"/>
    <w:rsid w:val="00E63371"/>
    <w:rsid w:val="00E633AA"/>
    <w:rsid w:val="00E633B4"/>
    <w:rsid w:val="00E6348A"/>
    <w:rsid w:val="00E63582"/>
    <w:rsid w:val="00E6362F"/>
    <w:rsid w:val="00E63668"/>
    <w:rsid w:val="00E6372F"/>
    <w:rsid w:val="00E63741"/>
    <w:rsid w:val="00E6385A"/>
    <w:rsid w:val="00E638CC"/>
    <w:rsid w:val="00E6395E"/>
    <w:rsid w:val="00E639F6"/>
    <w:rsid w:val="00E63A33"/>
    <w:rsid w:val="00E63A3E"/>
    <w:rsid w:val="00E63A8D"/>
    <w:rsid w:val="00E63ADA"/>
    <w:rsid w:val="00E63B19"/>
    <w:rsid w:val="00E63BCC"/>
    <w:rsid w:val="00E63BD4"/>
    <w:rsid w:val="00E63D37"/>
    <w:rsid w:val="00E63D38"/>
    <w:rsid w:val="00E63DFD"/>
    <w:rsid w:val="00E63FDD"/>
    <w:rsid w:val="00E640BA"/>
    <w:rsid w:val="00E641BD"/>
    <w:rsid w:val="00E641E8"/>
    <w:rsid w:val="00E64253"/>
    <w:rsid w:val="00E64276"/>
    <w:rsid w:val="00E64368"/>
    <w:rsid w:val="00E643CE"/>
    <w:rsid w:val="00E6445E"/>
    <w:rsid w:val="00E6457B"/>
    <w:rsid w:val="00E64642"/>
    <w:rsid w:val="00E64721"/>
    <w:rsid w:val="00E6480E"/>
    <w:rsid w:val="00E6491A"/>
    <w:rsid w:val="00E64AB3"/>
    <w:rsid w:val="00E64B2A"/>
    <w:rsid w:val="00E64BC7"/>
    <w:rsid w:val="00E64BFB"/>
    <w:rsid w:val="00E64D25"/>
    <w:rsid w:val="00E64E55"/>
    <w:rsid w:val="00E64E6F"/>
    <w:rsid w:val="00E64E78"/>
    <w:rsid w:val="00E64E8E"/>
    <w:rsid w:val="00E64F2C"/>
    <w:rsid w:val="00E64F7D"/>
    <w:rsid w:val="00E64F83"/>
    <w:rsid w:val="00E64FA1"/>
    <w:rsid w:val="00E64FB5"/>
    <w:rsid w:val="00E64FE2"/>
    <w:rsid w:val="00E65012"/>
    <w:rsid w:val="00E6517D"/>
    <w:rsid w:val="00E65299"/>
    <w:rsid w:val="00E652D0"/>
    <w:rsid w:val="00E65309"/>
    <w:rsid w:val="00E655EB"/>
    <w:rsid w:val="00E6565C"/>
    <w:rsid w:val="00E6569B"/>
    <w:rsid w:val="00E656AD"/>
    <w:rsid w:val="00E65941"/>
    <w:rsid w:val="00E65942"/>
    <w:rsid w:val="00E659AA"/>
    <w:rsid w:val="00E659C5"/>
    <w:rsid w:val="00E659D9"/>
    <w:rsid w:val="00E65AD5"/>
    <w:rsid w:val="00E65AE2"/>
    <w:rsid w:val="00E65C09"/>
    <w:rsid w:val="00E65C7E"/>
    <w:rsid w:val="00E65D5F"/>
    <w:rsid w:val="00E65DA3"/>
    <w:rsid w:val="00E65DF4"/>
    <w:rsid w:val="00E65E51"/>
    <w:rsid w:val="00E65EBD"/>
    <w:rsid w:val="00E65EE3"/>
    <w:rsid w:val="00E65EF2"/>
    <w:rsid w:val="00E6600E"/>
    <w:rsid w:val="00E660E3"/>
    <w:rsid w:val="00E6613E"/>
    <w:rsid w:val="00E661D2"/>
    <w:rsid w:val="00E6627E"/>
    <w:rsid w:val="00E662A6"/>
    <w:rsid w:val="00E662CD"/>
    <w:rsid w:val="00E66394"/>
    <w:rsid w:val="00E6641B"/>
    <w:rsid w:val="00E6645A"/>
    <w:rsid w:val="00E66467"/>
    <w:rsid w:val="00E664B5"/>
    <w:rsid w:val="00E6660B"/>
    <w:rsid w:val="00E666A7"/>
    <w:rsid w:val="00E666C6"/>
    <w:rsid w:val="00E66730"/>
    <w:rsid w:val="00E66825"/>
    <w:rsid w:val="00E6685E"/>
    <w:rsid w:val="00E668A1"/>
    <w:rsid w:val="00E668B5"/>
    <w:rsid w:val="00E66994"/>
    <w:rsid w:val="00E66A11"/>
    <w:rsid w:val="00E66B30"/>
    <w:rsid w:val="00E66B96"/>
    <w:rsid w:val="00E66B97"/>
    <w:rsid w:val="00E66C9A"/>
    <w:rsid w:val="00E66DAB"/>
    <w:rsid w:val="00E66ED1"/>
    <w:rsid w:val="00E66FA5"/>
    <w:rsid w:val="00E670AB"/>
    <w:rsid w:val="00E671DA"/>
    <w:rsid w:val="00E6722B"/>
    <w:rsid w:val="00E6742A"/>
    <w:rsid w:val="00E67457"/>
    <w:rsid w:val="00E6745F"/>
    <w:rsid w:val="00E675D3"/>
    <w:rsid w:val="00E67611"/>
    <w:rsid w:val="00E67653"/>
    <w:rsid w:val="00E6765B"/>
    <w:rsid w:val="00E67722"/>
    <w:rsid w:val="00E67792"/>
    <w:rsid w:val="00E6797A"/>
    <w:rsid w:val="00E67993"/>
    <w:rsid w:val="00E67ACC"/>
    <w:rsid w:val="00E67B0B"/>
    <w:rsid w:val="00E67B2B"/>
    <w:rsid w:val="00E67BE2"/>
    <w:rsid w:val="00E67C5C"/>
    <w:rsid w:val="00E67C6E"/>
    <w:rsid w:val="00E67C7C"/>
    <w:rsid w:val="00E67E06"/>
    <w:rsid w:val="00E67EB2"/>
    <w:rsid w:val="00E67FF1"/>
    <w:rsid w:val="00E70104"/>
    <w:rsid w:val="00E70237"/>
    <w:rsid w:val="00E702BD"/>
    <w:rsid w:val="00E7043B"/>
    <w:rsid w:val="00E70551"/>
    <w:rsid w:val="00E705FC"/>
    <w:rsid w:val="00E70634"/>
    <w:rsid w:val="00E7067B"/>
    <w:rsid w:val="00E706A6"/>
    <w:rsid w:val="00E706B1"/>
    <w:rsid w:val="00E706CD"/>
    <w:rsid w:val="00E706ED"/>
    <w:rsid w:val="00E7072D"/>
    <w:rsid w:val="00E70793"/>
    <w:rsid w:val="00E707DF"/>
    <w:rsid w:val="00E707E3"/>
    <w:rsid w:val="00E70839"/>
    <w:rsid w:val="00E70863"/>
    <w:rsid w:val="00E708B3"/>
    <w:rsid w:val="00E708C6"/>
    <w:rsid w:val="00E70A15"/>
    <w:rsid w:val="00E70AD6"/>
    <w:rsid w:val="00E70B40"/>
    <w:rsid w:val="00E70B52"/>
    <w:rsid w:val="00E70BE5"/>
    <w:rsid w:val="00E70C06"/>
    <w:rsid w:val="00E70D13"/>
    <w:rsid w:val="00E70D31"/>
    <w:rsid w:val="00E70DE8"/>
    <w:rsid w:val="00E70FC0"/>
    <w:rsid w:val="00E70FD8"/>
    <w:rsid w:val="00E7104D"/>
    <w:rsid w:val="00E71217"/>
    <w:rsid w:val="00E712CE"/>
    <w:rsid w:val="00E7130D"/>
    <w:rsid w:val="00E713B3"/>
    <w:rsid w:val="00E7149A"/>
    <w:rsid w:val="00E7152D"/>
    <w:rsid w:val="00E71617"/>
    <w:rsid w:val="00E71678"/>
    <w:rsid w:val="00E71686"/>
    <w:rsid w:val="00E71704"/>
    <w:rsid w:val="00E717AA"/>
    <w:rsid w:val="00E7184D"/>
    <w:rsid w:val="00E7186F"/>
    <w:rsid w:val="00E71900"/>
    <w:rsid w:val="00E7190F"/>
    <w:rsid w:val="00E71990"/>
    <w:rsid w:val="00E71A04"/>
    <w:rsid w:val="00E71B01"/>
    <w:rsid w:val="00E71BAF"/>
    <w:rsid w:val="00E71BD8"/>
    <w:rsid w:val="00E71C2D"/>
    <w:rsid w:val="00E71CA3"/>
    <w:rsid w:val="00E71CC3"/>
    <w:rsid w:val="00E71D05"/>
    <w:rsid w:val="00E71D59"/>
    <w:rsid w:val="00E71D69"/>
    <w:rsid w:val="00E71DF6"/>
    <w:rsid w:val="00E71F14"/>
    <w:rsid w:val="00E71F23"/>
    <w:rsid w:val="00E71F57"/>
    <w:rsid w:val="00E71F75"/>
    <w:rsid w:val="00E71FB9"/>
    <w:rsid w:val="00E720EB"/>
    <w:rsid w:val="00E7218D"/>
    <w:rsid w:val="00E722F2"/>
    <w:rsid w:val="00E723A6"/>
    <w:rsid w:val="00E724A2"/>
    <w:rsid w:val="00E72620"/>
    <w:rsid w:val="00E7267B"/>
    <w:rsid w:val="00E72699"/>
    <w:rsid w:val="00E7272E"/>
    <w:rsid w:val="00E727F2"/>
    <w:rsid w:val="00E72888"/>
    <w:rsid w:val="00E728B3"/>
    <w:rsid w:val="00E728F9"/>
    <w:rsid w:val="00E72A16"/>
    <w:rsid w:val="00E72AC7"/>
    <w:rsid w:val="00E72B45"/>
    <w:rsid w:val="00E72B70"/>
    <w:rsid w:val="00E72C79"/>
    <w:rsid w:val="00E72ECC"/>
    <w:rsid w:val="00E72EED"/>
    <w:rsid w:val="00E73082"/>
    <w:rsid w:val="00E732CC"/>
    <w:rsid w:val="00E735A6"/>
    <w:rsid w:val="00E735B0"/>
    <w:rsid w:val="00E735C3"/>
    <w:rsid w:val="00E735E0"/>
    <w:rsid w:val="00E73653"/>
    <w:rsid w:val="00E7376B"/>
    <w:rsid w:val="00E7378A"/>
    <w:rsid w:val="00E7378C"/>
    <w:rsid w:val="00E7383A"/>
    <w:rsid w:val="00E7387C"/>
    <w:rsid w:val="00E738E3"/>
    <w:rsid w:val="00E739A3"/>
    <w:rsid w:val="00E73A02"/>
    <w:rsid w:val="00E73B63"/>
    <w:rsid w:val="00E73BBF"/>
    <w:rsid w:val="00E73CC9"/>
    <w:rsid w:val="00E73D2D"/>
    <w:rsid w:val="00E73D96"/>
    <w:rsid w:val="00E73DB6"/>
    <w:rsid w:val="00E73DEB"/>
    <w:rsid w:val="00E73E4E"/>
    <w:rsid w:val="00E73E62"/>
    <w:rsid w:val="00E73E90"/>
    <w:rsid w:val="00E73E9E"/>
    <w:rsid w:val="00E73EC1"/>
    <w:rsid w:val="00E73ED7"/>
    <w:rsid w:val="00E73FCF"/>
    <w:rsid w:val="00E73FE0"/>
    <w:rsid w:val="00E74029"/>
    <w:rsid w:val="00E74067"/>
    <w:rsid w:val="00E74111"/>
    <w:rsid w:val="00E7417B"/>
    <w:rsid w:val="00E74215"/>
    <w:rsid w:val="00E74269"/>
    <w:rsid w:val="00E7429A"/>
    <w:rsid w:val="00E7432F"/>
    <w:rsid w:val="00E743D0"/>
    <w:rsid w:val="00E74407"/>
    <w:rsid w:val="00E74472"/>
    <w:rsid w:val="00E7454D"/>
    <w:rsid w:val="00E74575"/>
    <w:rsid w:val="00E745AE"/>
    <w:rsid w:val="00E746B0"/>
    <w:rsid w:val="00E74756"/>
    <w:rsid w:val="00E74820"/>
    <w:rsid w:val="00E7485C"/>
    <w:rsid w:val="00E74900"/>
    <w:rsid w:val="00E74A2B"/>
    <w:rsid w:val="00E74A44"/>
    <w:rsid w:val="00E74B1B"/>
    <w:rsid w:val="00E74C50"/>
    <w:rsid w:val="00E74C87"/>
    <w:rsid w:val="00E74D21"/>
    <w:rsid w:val="00E74D28"/>
    <w:rsid w:val="00E74D49"/>
    <w:rsid w:val="00E74DD8"/>
    <w:rsid w:val="00E74F0B"/>
    <w:rsid w:val="00E7506D"/>
    <w:rsid w:val="00E750C7"/>
    <w:rsid w:val="00E750FB"/>
    <w:rsid w:val="00E75137"/>
    <w:rsid w:val="00E7513C"/>
    <w:rsid w:val="00E75219"/>
    <w:rsid w:val="00E75390"/>
    <w:rsid w:val="00E75391"/>
    <w:rsid w:val="00E753ED"/>
    <w:rsid w:val="00E7541D"/>
    <w:rsid w:val="00E754E7"/>
    <w:rsid w:val="00E756C1"/>
    <w:rsid w:val="00E756DE"/>
    <w:rsid w:val="00E756DF"/>
    <w:rsid w:val="00E75768"/>
    <w:rsid w:val="00E75A01"/>
    <w:rsid w:val="00E75A0F"/>
    <w:rsid w:val="00E75A59"/>
    <w:rsid w:val="00E75AB7"/>
    <w:rsid w:val="00E75B1C"/>
    <w:rsid w:val="00E75B1D"/>
    <w:rsid w:val="00E75B46"/>
    <w:rsid w:val="00E75BBE"/>
    <w:rsid w:val="00E75BF0"/>
    <w:rsid w:val="00E75D24"/>
    <w:rsid w:val="00E75D83"/>
    <w:rsid w:val="00E75F07"/>
    <w:rsid w:val="00E75F5B"/>
    <w:rsid w:val="00E75F88"/>
    <w:rsid w:val="00E75FFC"/>
    <w:rsid w:val="00E76042"/>
    <w:rsid w:val="00E760C1"/>
    <w:rsid w:val="00E76194"/>
    <w:rsid w:val="00E761B1"/>
    <w:rsid w:val="00E7621F"/>
    <w:rsid w:val="00E76234"/>
    <w:rsid w:val="00E762EC"/>
    <w:rsid w:val="00E762FA"/>
    <w:rsid w:val="00E76408"/>
    <w:rsid w:val="00E7649A"/>
    <w:rsid w:val="00E764A2"/>
    <w:rsid w:val="00E764CE"/>
    <w:rsid w:val="00E7650D"/>
    <w:rsid w:val="00E76653"/>
    <w:rsid w:val="00E76670"/>
    <w:rsid w:val="00E7668A"/>
    <w:rsid w:val="00E766EE"/>
    <w:rsid w:val="00E7670C"/>
    <w:rsid w:val="00E769DA"/>
    <w:rsid w:val="00E769F5"/>
    <w:rsid w:val="00E76ADF"/>
    <w:rsid w:val="00E76C3B"/>
    <w:rsid w:val="00E76C4C"/>
    <w:rsid w:val="00E76CCB"/>
    <w:rsid w:val="00E76E63"/>
    <w:rsid w:val="00E76F12"/>
    <w:rsid w:val="00E76F90"/>
    <w:rsid w:val="00E76FF0"/>
    <w:rsid w:val="00E77026"/>
    <w:rsid w:val="00E7747C"/>
    <w:rsid w:val="00E775A6"/>
    <w:rsid w:val="00E77600"/>
    <w:rsid w:val="00E77653"/>
    <w:rsid w:val="00E77715"/>
    <w:rsid w:val="00E777E4"/>
    <w:rsid w:val="00E77812"/>
    <w:rsid w:val="00E77985"/>
    <w:rsid w:val="00E77A87"/>
    <w:rsid w:val="00E77A9B"/>
    <w:rsid w:val="00E77AEB"/>
    <w:rsid w:val="00E77B10"/>
    <w:rsid w:val="00E77B3A"/>
    <w:rsid w:val="00E77C4A"/>
    <w:rsid w:val="00E77CB4"/>
    <w:rsid w:val="00E77D36"/>
    <w:rsid w:val="00E77DC2"/>
    <w:rsid w:val="00E77E1E"/>
    <w:rsid w:val="00E77E46"/>
    <w:rsid w:val="00E77F8E"/>
    <w:rsid w:val="00E77FCB"/>
    <w:rsid w:val="00E80067"/>
    <w:rsid w:val="00E80074"/>
    <w:rsid w:val="00E80091"/>
    <w:rsid w:val="00E80140"/>
    <w:rsid w:val="00E8017A"/>
    <w:rsid w:val="00E801DD"/>
    <w:rsid w:val="00E8033B"/>
    <w:rsid w:val="00E80357"/>
    <w:rsid w:val="00E80398"/>
    <w:rsid w:val="00E803CC"/>
    <w:rsid w:val="00E80499"/>
    <w:rsid w:val="00E80508"/>
    <w:rsid w:val="00E8056D"/>
    <w:rsid w:val="00E80637"/>
    <w:rsid w:val="00E8081A"/>
    <w:rsid w:val="00E80912"/>
    <w:rsid w:val="00E80AB6"/>
    <w:rsid w:val="00E80BB2"/>
    <w:rsid w:val="00E80C96"/>
    <w:rsid w:val="00E80D84"/>
    <w:rsid w:val="00E80E03"/>
    <w:rsid w:val="00E80E31"/>
    <w:rsid w:val="00E80ECF"/>
    <w:rsid w:val="00E80F2E"/>
    <w:rsid w:val="00E80FF3"/>
    <w:rsid w:val="00E8100D"/>
    <w:rsid w:val="00E81065"/>
    <w:rsid w:val="00E810D5"/>
    <w:rsid w:val="00E811C0"/>
    <w:rsid w:val="00E811E7"/>
    <w:rsid w:val="00E811F8"/>
    <w:rsid w:val="00E8126C"/>
    <w:rsid w:val="00E812FF"/>
    <w:rsid w:val="00E81436"/>
    <w:rsid w:val="00E81490"/>
    <w:rsid w:val="00E81516"/>
    <w:rsid w:val="00E815A7"/>
    <w:rsid w:val="00E817A1"/>
    <w:rsid w:val="00E817A6"/>
    <w:rsid w:val="00E81850"/>
    <w:rsid w:val="00E818AB"/>
    <w:rsid w:val="00E81952"/>
    <w:rsid w:val="00E819FE"/>
    <w:rsid w:val="00E81AC5"/>
    <w:rsid w:val="00E81B57"/>
    <w:rsid w:val="00E81B89"/>
    <w:rsid w:val="00E81BFF"/>
    <w:rsid w:val="00E81C4C"/>
    <w:rsid w:val="00E81CB8"/>
    <w:rsid w:val="00E81CDC"/>
    <w:rsid w:val="00E81DFF"/>
    <w:rsid w:val="00E8208D"/>
    <w:rsid w:val="00E8211D"/>
    <w:rsid w:val="00E8219D"/>
    <w:rsid w:val="00E821AD"/>
    <w:rsid w:val="00E8224E"/>
    <w:rsid w:val="00E822E9"/>
    <w:rsid w:val="00E82349"/>
    <w:rsid w:val="00E82375"/>
    <w:rsid w:val="00E823C4"/>
    <w:rsid w:val="00E82533"/>
    <w:rsid w:val="00E82575"/>
    <w:rsid w:val="00E825E6"/>
    <w:rsid w:val="00E82621"/>
    <w:rsid w:val="00E826B7"/>
    <w:rsid w:val="00E826D9"/>
    <w:rsid w:val="00E826EC"/>
    <w:rsid w:val="00E82741"/>
    <w:rsid w:val="00E8277E"/>
    <w:rsid w:val="00E82788"/>
    <w:rsid w:val="00E827B6"/>
    <w:rsid w:val="00E8287F"/>
    <w:rsid w:val="00E8291B"/>
    <w:rsid w:val="00E829E4"/>
    <w:rsid w:val="00E82B5A"/>
    <w:rsid w:val="00E82CCC"/>
    <w:rsid w:val="00E82DD2"/>
    <w:rsid w:val="00E82DDF"/>
    <w:rsid w:val="00E82E4A"/>
    <w:rsid w:val="00E82E6E"/>
    <w:rsid w:val="00E82F04"/>
    <w:rsid w:val="00E82F69"/>
    <w:rsid w:val="00E83097"/>
    <w:rsid w:val="00E83176"/>
    <w:rsid w:val="00E83223"/>
    <w:rsid w:val="00E8328F"/>
    <w:rsid w:val="00E832A7"/>
    <w:rsid w:val="00E832C1"/>
    <w:rsid w:val="00E83304"/>
    <w:rsid w:val="00E83421"/>
    <w:rsid w:val="00E83502"/>
    <w:rsid w:val="00E8352C"/>
    <w:rsid w:val="00E83542"/>
    <w:rsid w:val="00E8355C"/>
    <w:rsid w:val="00E83584"/>
    <w:rsid w:val="00E83627"/>
    <w:rsid w:val="00E837A0"/>
    <w:rsid w:val="00E83910"/>
    <w:rsid w:val="00E839B1"/>
    <w:rsid w:val="00E83A25"/>
    <w:rsid w:val="00E83A4E"/>
    <w:rsid w:val="00E83BD7"/>
    <w:rsid w:val="00E83C7A"/>
    <w:rsid w:val="00E83CCB"/>
    <w:rsid w:val="00E83E51"/>
    <w:rsid w:val="00E83F37"/>
    <w:rsid w:val="00E83F82"/>
    <w:rsid w:val="00E83F94"/>
    <w:rsid w:val="00E83FA8"/>
    <w:rsid w:val="00E83FF8"/>
    <w:rsid w:val="00E84055"/>
    <w:rsid w:val="00E8406A"/>
    <w:rsid w:val="00E840A7"/>
    <w:rsid w:val="00E840FF"/>
    <w:rsid w:val="00E84176"/>
    <w:rsid w:val="00E841E6"/>
    <w:rsid w:val="00E8424A"/>
    <w:rsid w:val="00E842F1"/>
    <w:rsid w:val="00E844C2"/>
    <w:rsid w:val="00E844F4"/>
    <w:rsid w:val="00E8455D"/>
    <w:rsid w:val="00E84574"/>
    <w:rsid w:val="00E84580"/>
    <w:rsid w:val="00E845C5"/>
    <w:rsid w:val="00E84620"/>
    <w:rsid w:val="00E84642"/>
    <w:rsid w:val="00E84707"/>
    <w:rsid w:val="00E8470A"/>
    <w:rsid w:val="00E84722"/>
    <w:rsid w:val="00E847D2"/>
    <w:rsid w:val="00E84851"/>
    <w:rsid w:val="00E848E9"/>
    <w:rsid w:val="00E84968"/>
    <w:rsid w:val="00E84B05"/>
    <w:rsid w:val="00E84B91"/>
    <w:rsid w:val="00E84B97"/>
    <w:rsid w:val="00E84C0D"/>
    <w:rsid w:val="00E84D58"/>
    <w:rsid w:val="00E84DA5"/>
    <w:rsid w:val="00E84DE0"/>
    <w:rsid w:val="00E84E1F"/>
    <w:rsid w:val="00E84E86"/>
    <w:rsid w:val="00E84EA6"/>
    <w:rsid w:val="00E84F8F"/>
    <w:rsid w:val="00E84F94"/>
    <w:rsid w:val="00E84FEE"/>
    <w:rsid w:val="00E85092"/>
    <w:rsid w:val="00E8516D"/>
    <w:rsid w:val="00E851A8"/>
    <w:rsid w:val="00E851D2"/>
    <w:rsid w:val="00E85228"/>
    <w:rsid w:val="00E852A9"/>
    <w:rsid w:val="00E85497"/>
    <w:rsid w:val="00E85506"/>
    <w:rsid w:val="00E85669"/>
    <w:rsid w:val="00E8568D"/>
    <w:rsid w:val="00E8571B"/>
    <w:rsid w:val="00E857BC"/>
    <w:rsid w:val="00E857C3"/>
    <w:rsid w:val="00E857F1"/>
    <w:rsid w:val="00E85908"/>
    <w:rsid w:val="00E8591C"/>
    <w:rsid w:val="00E85968"/>
    <w:rsid w:val="00E85A8C"/>
    <w:rsid w:val="00E85B75"/>
    <w:rsid w:val="00E85BD9"/>
    <w:rsid w:val="00E85C7F"/>
    <w:rsid w:val="00E85F22"/>
    <w:rsid w:val="00E85F5E"/>
    <w:rsid w:val="00E85FF7"/>
    <w:rsid w:val="00E86061"/>
    <w:rsid w:val="00E860D0"/>
    <w:rsid w:val="00E86192"/>
    <w:rsid w:val="00E863B3"/>
    <w:rsid w:val="00E8641E"/>
    <w:rsid w:val="00E864C6"/>
    <w:rsid w:val="00E865FF"/>
    <w:rsid w:val="00E86618"/>
    <w:rsid w:val="00E8669F"/>
    <w:rsid w:val="00E866A6"/>
    <w:rsid w:val="00E867BE"/>
    <w:rsid w:val="00E8682C"/>
    <w:rsid w:val="00E869D6"/>
    <w:rsid w:val="00E86B3D"/>
    <w:rsid w:val="00E86BBA"/>
    <w:rsid w:val="00E86D0B"/>
    <w:rsid w:val="00E86DDA"/>
    <w:rsid w:val="00E86E27"/>
    <w:rsid w:val="00E86E4C"/>
    <w:rsid w:val="00E86E65"/>
    <w:rsid w:val="00E8700A"/>
    <w:rsid w:val="00E8710B"/>
    <w:rsid w:val="00E87125"/>
    <w:rsid w:val="00E871E6"/>
    <w:rsid w:val="00E87262"/>
    <w:rsid w:val="00E8738D"/>
    <w:rsid w:val="00E8743B"/>
    <w:rsid w:val="00E8745F"/>
    <w:rsid w:val="00E87466"/>
    <w:rsid w:val="00E8747F"/>
    <w:rsid w:val="00E87506"/>
    <w:rsid w:val="00E87576"/>
    <w:rsid w:val="00E87621"/>
    <w:rsid w:val="00E87636"/>
    <w:rsid w:val="00E87689"/>
    <w:rsid w:val="00E876FB"/>
    <w:rsid w:val="00E8774B"/>
    <w:rsid w:val="00E8785F"/>
    <w:rsid w:val="00E87ABE"/>
    <w:rsid w:val="00E87B55"/>
    <w:rsid w:val="00E87C16"/>
    <w:rsid w:val="00E87C30"/>
    <w:rsid w:val="00E87D18"/>
    <w:rsid w:val="00E87EEC"/>
    <w:rsid w:val="00E87FA9"/>
    <w:rsid w:val="00E87FB9"/>
    <w:rsid w:val="00E90059"/>
    <w:rsid w:val="00E90070"/>
    <w:rsid w:val="00E900A2"/>
    <w:rsid w:val="00E900E6"/>
    <w:rsid w:val="00E901FD"/>
    <w:rsid w:val="00E902D6"/>
    <w:rsid w:val="00E904C1"/>
    <w:rsid w:val="00E90595"/>
    <w:rsid w:val="00E905CD"/>
    <w:rsid w:val="00E90624"/>
    <w:rsid w:val="00E90694"/>
    <w:rsid w:val="00E90725"/>
    <w:rsid w:val="00E908A1"/>
    <w:rsid w:val="00E908D5"/>
    <w:rsid w:val="00E908ED"/>
    <w:rsid w:val="00E908F1"/>
    <w:rsid w:val="00E908F7"/>
    <w:rsid w:val="00E90AC3"/>
    <w:rsid w:val="00E90ADC"/>
    <w:rsid w:val="00E90B2D"/>
    <w:rsid w:val="00E90C62"/>
    <w:rsid w:val="00E90CBB"/>
    <w:rsid w:val="00E90DEA"/>
    <w:rsid w:val="00E90EAD"/>
    <w:rsid w:val="00E90F39"/>
    <w:rsid w:val="00E90F44"/>
    <w:rsid w:val="00E90FA5"/>
    <w:rsid w:val="00E90FB3"/>
    <w:rsid w:val="00E90FD0"/>
    <w:rsid w:val="00E90FE8"/>
    <w:rsid w:val="00E9107A"/>
    <w:rsid w:val="00E910C1"/>
    <w:rsid w:val="00E91384"/>
    <w:rsid w:val="00E913F1"/>
    <w:rsid w:val="00E914C0"/>
    <w:rsid w:val="00E9153D"/>
    <w:rsid w:val="00E9156D"/>
    <w:rsid w:val="00E915D2"/>
    <w:rsid w:val="00E91618"/>
    <w:rsid w:val="00E9163E"/>
    <w:rsid w:val="00E917F0"/>
    <w:rsid w:val="00E91826"/>
    <w:rsid w:val="00E91886"/>
    <w:rsid w:val="00E918F7"/>
    <w:rsid w:val="00E91986"/>
    <w:rsid w:val="00E919A5"/>
    <w:rsid w:val="00E91ABA"/>
    <w:rsid w:val="00E91AC5"/>
    <w:rsid w:val="00E91B2D"/>
    <w:rsid w:val="00E91B6A"/>
    <w:rsid w:val="00E91D29"/>
    <w:rsid w:val="00E91D71"/>
    <w:rsid w:val="00E91D87"/>
    <w:rsid w:val="00E91E44"/>
    <w:rsid w:val="00E91E52"/>
    <w:rsid w:val="00E91F6A"/>
    <w:rsid w:val="00E92005"/>
    <w:rsid w:val="00E9203B"/>
    <w:rsid w:val="00E92080"/>
    <w:rsid w:val="00E92081"/>
    <w:rsid w:val="00E9210E"/>
    <w:rsid w:val="00E921F1"/>
    <w:rsid w:val="00E92220"/>
    <w:rsid w:val="00E9226F"/>
    <w:rsid w:val="00E922BE"/>
    <w:rsid w:val="00E923B8"/>
    <w:rsid w:val="00E92423"/>
    <w:rsid w:val="00E924D3"/>
    <w:rsid w:val="00E92603"/>
    <w:rsid w:val="00E92612"/>
    <w:rsid w:val="00E92641"/>
    <w:rsid w:val="00E92643"/>
    <w:rsid w:val="00E9289C"/>
    <w:rsid w:val="00E928F5"/>
    <w:rsid w:val="00E92A31"/>
    <w:rsid w:val="00E92ABA"/>
    <w:rsid w:val="00E92B25"/>
    <w:rsid w:val="00E92B5F"/>
    <w:rsid w:val="00E92C67"/>
    <w:rsid w:val="00E92CAD"/>
    <w:rsid w:val="00E92D88"/>
    <w:rsid w:val="00E92EB4"/>
    <w:rsid w:val="00E92EC6"/>
    <w:rsid w:val="00E930C7"/>
    <w:rsid w:val="00E931E4"/>
    <w:rsid w:val="00E932EA"/>
    <w:rsid w:val="00E93350"/>
    <w:rsid w:val="00E93397"/>
    <w:rsid w:val="00E933D3"/>
    <w:rsid w:val="00E934E0"/>
    <w:rsid w:val="00E93529"/>
    <w:rsid w:val="00E9352A"/>
    <w:rsid w:val="00E93567"/>
    <w:rsid w:val="00E9359A"/>
    <w:rsid w:val="00E93701"/>
    <w:rsid w:val="00E937E0"/>
    <w:rsid w:val="00E939E4"/>
    <w:rsid w:val="00E93AF0"/>
    <w:rsid w:val="00E93B4D"/>
    <w:rsid w:val="00E93B66"/>
    <w:rsid w:val="00E93BFA"/>
    <w:rsid w:val="00E93C90"/>
    <w:rsid w:val="00E93E3F"/>
    <w:rsid w:val="00E93E8A"/>
    <w:rsid w:val="00E93FFC"/>
    <w:rsid w:val="00E94075"/>
    <w:rsid w:val="00E941A0"/>
    <w:rsid w:val="00E941E1"/>
    <w:rsid w:val="00E94318"/>
    <w:rsid w:val="00E9432C"/>
    <w:rsid w:val="00E943D9"/>
    <w:rsid w:val="00E943F4"/>
    <w:rsid w:val="00E944E3"/>
    <w:rsid w:val="00E94501"/>
    <w:rsid w:val="00E9452D"/>
    <w:rsid w:val="00E94564"/>
    <w:rsid w:val="00E9459F"/>
    <w:rsid w:val="00E946E0"/>
    <w:rsid w:val="00E94710"/>
    <w:rsid w:val="00E9476F"/>
    <w:rsid w:val="00E9483A"/>
    <w:rsid w:val="00E948AF"/>
    <w:rsid w:val="00E94937"/>
    <w:rsid w:val="00E949E4"/>
    <w:rsid w:val="00E949FF"/>
    <w:rsid w:val="00E94A12"/>
    <w:rsid w:val="00E94A4D"/>
    <w:rsid w:val="00E94AAA"/>
    <w:rsid w:val="00E94B44"/>
    <w:rsid w:val="00E94CCE"/>
    <w:rsid w:val="00E94D0D"/>
    <w:rsid w:val="00E94D16"/>
    <w:rsid w:val="00E94D31"/>
    <w:rsid w:val="00E94D4C"/>
    <w:rsid w:val="00E94D87"/>
    <w:rsid w:val="00E94DA4"/>
    <w:rsid w:val="00E94DAB"/>
    <w:rsid w:val="00E94DFA"/>
    <w:rsid w:val="00E94ECF"/>
    <w:rsid w:val="00E94F1F"/>
    <w:rsid w:val="00E94F36"/>
    <w:rsid w:val="00E94F37"/>
    <w:rsid w:val="00E94F65"/>
    <w:rsid w:val="00E950B5"/>
    <w:rsid w:val="00E95188"/>
    <w:rsid w:val="00E9523D"/>
    <w:rsid w:val="00E95244"/>
    <w:rsid w:val="00E95351"/>
    <w:rsid w:val="00E954EA"/>
    <w:rsid w:val="00E9558D"/>
    <w:rsid w:val="00E955C2"/>
    <w:rsid w:val="00E955D9"/>
    <w:rsid w:val="00E955F1"/>
    <w:rsid w:val="00E95610"/>
    <w:rsid w:val="00E956FE"/>
    <w:rsid w:val="00E9570F"/>
    <w:rsid w:val="00E95779"/>
    <w:rsid w:val="00E957BB"/>
    <w:rsid w:val="00E9581A"/>
    <w:rsid w:val="00E9581D"/>
    <w:rsid w:val="00E95870"/>
    <w:rsid w:val="00E958DE"/>
    <w:rsid w:val="00E9597B"/>
    <w:rsid w:val="00E959B1"/>
    <w:rsid w:val="00E959DE"/>
    <w:rsid w:val="00E95AD8"/>
    <w:rsid w:val="00E95C3D"/>
    <w:rsid w:val="00E95C86"/>
    <w:rsid w:val="00E95CD1"/>
    <w:rsid w:val="00E96001"/>
    <w:rsid w:val="00E96039"/>
    <w:rsid w:val="00E96047"/>
    <w:rsid w:val="00E96094"/>
    <w:rsid w:val="00E960D3"/>
    <w:rsid w:val="00E96105"/>
    <w:rsid w:val="00E9629A"/>
    <w:rsid w:val="00E962C0"/>
    <w:rsid w:val="00E962D1"/>
    <w:rsid w:val="00E962E6"/>
    <w:rsid w:val="00E964EC"/>
    <w:rsid w:val="00E965B1"/>
    <w:rsid w:val="00E965D9"/>
    <w:rsid w:val="00E965DD"/>
    <w:rsid w:val="00E9661A"/>
    <w:rsid w:val="00E9664C"/>
    <w:rsid w:val="00E966F6"/>
    <w:rsid w:val="00E96703"/>
    <w:rsid w:val="00E9670F"/>
    <w:rsid w:val="00E967AF"/>
    <w:rsid w:val="00E969BA"/>
    <w:rsid w:val="00E96A1A"/>
    <w:rsid w:val="00E96C20"/>
    <w:rsid w:val="00E96DA6"/>
    <w:rsid w:val="00E96DCC"/>
    <w:rsid w:val="00E96DCF"/>
    <w:rsid w:val="00E96DFA"/>
    <w:rsid w:val="00E96E4D"/>
    <w:rsid w:val="00E970D1"/>
    <w:rsid w:val="00E97135"/>
    <w:rsid w:val="00E97164"/>
    <w:rsid w:val="00E97200"/>
    <w:rsid w:val="00E9726A"/>
    <w:rsid w:val="00E97292"/>
    <w:rsid w:val="00E972A9"/>
    <w:rsid w:val="00E972F9"/>
    <w:rsid w:val="00E9736E"/>
    <w:rsid w:val="00E9739C"/>
    <w:rsid w:val="00E97520"/>
    <w:rsid w:val="00E975B3"/>
    <w:rsid w:val="00E975EC"/>
    <w:rsid w:val="00E9765B"/>
    <w:rsid w:val="00E977E6"/>
    <w:rsid w:val="00E97801"/>
    <w:rsid w:val="00E97864"/>
    <w:rsid w:val="00E9786B"/>
    <w:rsid w:val="00E97882"/>
    <w:rsid w:val="00E978C2"/>
    <w:rsid w:val="00E979A2"/>
    <w:rsid w:val="00E97A37"/>
    <w:rsid w:val="00E97AAD"/>
    <w:rsid w:val="00E97BA8"/>
    <w:rsid w:val="00E97C9B"/>
    <w:rsid w:val="00E97CA7"/>
    <w:rsid w:val="00E97D58"/>
    <w:rsid w:val="00E97E56"/>
    <w:rsid w:val="00E97E8E"/>
    <w:rsid w:val="00E97F3B"/>
    <w:rsid w:val="00E97F5E"/>
    <w:rsid w:val="00E97FD8"/>
    <w:rsid w:val="00EA0032"/>
    <w:rsid w:val="00EA0066"/>
    <w:rsid w:val="00EA01FF"/>
    <w:rsid w:val="00EA032B"/>
    <w:rsid w:val="00EA032C"/>
    <w:rsid w:val="00EA035C"/>
    <w:rsid w:val="00EA040B"/>
    <w:rsid w:val="00EA043F"/>
    <w:rsid w:val="00EA0449"/>
    <w:rsid w:val="00EA047C"/>
    <w:rsid w:val="00EA04C9"/>
    <w:rsid w:val="00EA052A"/>
    <w:rsid w:val="00EA054C"/>
    <w:rsid w:val="00EA059F"/>
    <w:rsid w:val="00EA05ED"/>
    <w:rsid w:val="00EA06A2"/>
    <w:rsid w:val="00EA06AD"/>
    <w:rsid w:val="00EA075F"/>
    <w:rsid w:val="00EA084F"/>
    <w:rsid w:val="00EA0867"/>
    <w:rsid w:val="00EA08C1"/>
    <w:rsid w:val="00EA093D"/>
    <w:rsid w:val="00EA09C8"/>
    <w:rsid w:val="00EA0A63"/>
    <w:rsid w:val="00EA0BA7"/>
    <w:rsid w:val="00EA0C04"/>
    <w:rsid w:val="00EA0C25"/>
    <w:rsid w:val="00EA0D75"/>
    <w:rsid w:val="00EA0EEE"/>
    <w:rsid w:val="00EA0F1A"/>
    <w:rsid w:val="00EA1019"/>
    <w:rsid w:val="00EA1029"/>
    <w:rsid w:val="00EA10EB"/>
    <w:rsid w:val="00EA10EE"/>
    <w:rsid w:val="00EA1171"/>
    <w:rsid w:val="00EA1172"/>
    <w:rsid w:val="00EA1178"/>
    <w:rsid w:val="00EA125C"/>
    <w:rsid w:val="00EA12FA"/>
    <w:rsid w:val="00EA1323"/>
    <w:rsid w:val="00EA13C4"/>
    <w:rsid w:val="00EA15E7"/>
    <w:rsid w:val="00EA160D"/>
    <w:rsid w:val="00EA1644"/>
    <w:rsid w:val="00EA16F0"/>
    <w:rsid w:val="00EA1734"/>
    <w:rsid w:val="00EA18E4"/>
    <w:rsid w:val="00EA1912"/>
    <w:rsid w:val="00EA1953"/>
    <w:rsid w:val="00EA195D"/>
    <w:rsid w:val="00EA1A48"/>
    <w:rsid w:val="00EA1A78"/>
    <w:rsid w:val="00EA1A86"/>
    <w:rsid w:val="00EA1BAB"/>
    <w:rsid w:val="00EA1BC5"/>
    <w:rsid w:val="00EA1CD2"/>
    <w:rsid w:val="00EA1CE2"/>
    <w:rsid w:val="00EA1D28"/>
    <w:rsid w:val="00EA1D6F"/>
    <w:rsid w:val="00EA1E70"/>
    <w:rsid w:val="00EA1E78"/>
    <w:rsid w:val="00EA1E8B"/>
    <w:rsid w:val="00EA1EF3"/>
    <w:rsid w:val="00EA1F1C"/>
    <w:rsid w:val="00EA1F72"/>
    <w:rsid w:val="00EA2086"/>
    <w:rsid w:val="00EA217A"/>
    <w:rsid w:val="00EA21A1"/>
    <w:rsid w:val="00EA2245"/>
    <w:rsid w:val="00EA2270"/>
    <w:rsid w:val="00EA2288"/>
    <w:rsid w:val="00EA229C"/>
    <w:rsid w:val="00EA2413"/>
    <w:rsid w:val="00EA243E"/>
    <w:rsid w:val="00EA251F"/>
    <w:rsid w:val="00EA256B"/>
    <w:rsid w:val="00EA261B"/>
    <w:rsid w:val="00EA2632"/>
    <w:rsid w:val="00EA263B"/>
    <w:rsid w:val="00EA265E"/>
    <w:rsid w:val="00EA26AB"/>
    <w:rsid w:val="00EA2716"/>
    <w:rsid w:val="00EA2BEB"/>
    <w:rsid w:val="00EA2C86"/>
    <w:rsid w:val="00EA2CBA"/>
    <w:rsid w:val="00EA2DE7"/>
    <w:rsid w:val="00EA2F52"/>
    <w:rsid w:val="00EA2F5A"/>
    <w:rsid w:val="00EA302C"/>
    <w:rsid w:val="00EA302E"/>
    <w:rsid w:val="00EA3040"/>
    <w:rsid w:val="00EA304E"/>
    <w:rsid w:val="00EA30AC"/>
    <w:rsid w:val="00EA3117"/>
    <w:rsid w:val="00EA3181"/>
    <w:rsid w:val="00EA31B0"/>
    <w:rsid w:val="00EA328F"/>
    <w:rsid w:val="00EA32BC"/>
    <w:rsid w:val="00EA33F3"/>
    <w:rsid w:val="00EA34EF"/>
    <w:rsid w:val="00EA3535"/>
    <w:rsid w:val="00EA35FF"/>
    <w:rsid w:val="00EA3648"/>
    <w:rsid w:val="00EA3663"/>
    <w:rsid w:val="00EA36C2"/>
    <w:rsid w:val="00EA36DB"/>
    <w:rsid w:val="00EA3749"/>
    <w:rsid w:val="00EA3979"/>
    <w:rsid w:val="00EA397B"/>
    <w:rsid w:val="00EA39F2"/>
    <w:rsid w:val="00EA3A3B"/>
    <w:rsid w:val="00EA3B0F"/>
    <w:rsid w:val="00EA3B5B"/>
    <w:rsid w:val="00EA3BA7"/>
    <w:rsid w:val="00EA3C8E"/>
    <w:rsid w:val="00EA3D04"/>
    <w:rsid w:val="00EA3DE3"/>
    <w:rsid w:val="00EA3DEF"/>
    <w:rsid w:val="00EA3E2E"/>
    <w:rsid w:val="00EA3E6D"/>
    <w:rsid w:val="00EA3EA4"/>
    <w:rsid w:val="00EA3EC9"/>
    <w:rsid w:val="00EA3F7A"/>
    <w:rsid w:val="00EA3FFE"/>
    <w:rsid w:val="00EA401C"/>
    <w:rsid w:val="00EA40C8"/>
    <w:rsid w:val="00EA41C7"/>
    <w:rsid w:val="00EA42D7"/>
    <w:rsid w:val="00EA431A"/>
    <w:rsid w:val="00EA4325"/>
    <w:rsid w:val="00EA43AE"/>
    <w:rsid w:val="00EA43BB"/>
    <w:rsid w:val="00EA43BE"/>
    <w:rsid w:val="00EA4476"/>
    <w:rsid w:val="00EA4508"/>
    <w:rsid w:val="00EA4665"/>
    <w:rsid w:val="00EA47E4"/>
    <w:rsid w:val="00EA483D"/>
    <w:rsid w:val="00EA4856"/>
    <w:rsid w:val="00EA48FB"/>
    <w:rsid w:val="00EA49A0"/>
    <w:rsid w:val="00EA49C6"/>
    <w:rsid w:val="00EA49CB"/>
    <w:rsid w:val="00EA4A14"/>
    <w:rsid w:val="00EA4A61"/>
    <w:rsid w:val="00EA4AA1"/>
    <w:rsid w:val="00EA4B4B"/>
    <w:rsid w:val="00EA4BA2"/>
    <w:rsid w:val="00EA4C5E"/>
    <w:rsid w:val="00EA4D5F"/>
    <w:rsid w:val="00EA4DEB"/>
    <w:rsid w:val="00EA4FAE"/>
    <w:rsid w:val="00EA4FEF"/>
    <w:rsid w:val="00EA4FF3"/>
    <w:rsid w:val="00EA50C4"/>
    <w:rsid w:val="00EA5113"/>
    <w:rsid w:val="00EA521A"/>
    <w:rsid w:val="00EA532F"/>
    <w:rsid w:val="00EA534A"/>
    <w:rsid w:val="00EA53B8"/>
    <w:rsid w:val="00EA5550"/>
    <w:rsid w:val="00EA559B"/>
    <w:rsid w:val="00EA55AA"/>
    <w:rsid w:val="00EA55F2"/>
    <w:rsid w:val="00EA5822"/>
    <w:rsid w:val="00EA5848"/>
    <w:rsid w:val="00EA58B5"/>
    <w:rsid w:val="00EA5AA9"/>
    <w:rsid w:val="00EA5AE2"/>
    <w:rsid w:val="00EA5BCD"/>
    <w:rsid w:val="00EA5D3C"/>
    <w:rsid w:val="00EA5D5A"/>
    <w:rsid w:val="00EA5D74"/>
    <w:rsid w:val="00EA5DC9"/>
    <w:rsid w:val="00EA5E70"/>
    <w:rsid w:val="00EA5EAC"/>
    <w:rsid w:val="00EA604F"/>
    <w:rsid w:val="00EA60A7"/>
    <w:rsid w:val="00EA613C"/>
    <w:rsid w:val="00EA61CA"/>
    <w:rsid w:val="00EA6215"/>
    <w:rsid w:val="00EA64A2"/>
    <w:rsid w:val="00EA6531"/>
    <w:rsid w:val="00EA654F"/>
    <w:rsid w:val="00EA65B8"/>
    <w:rsid w:val="00EA668B"/>
    <w:rsid w:val="00EA66CB"/>
    <w:rsid w:val="00EA66E8"/>
    <w:rsid w:val="00EA6740"/>
    <w:rsid w:val="00EA6752"/>
    <w:rsid w:val="00EA6814"/>
    <w:rsid w:val="00EA687D"/>
    <w:rsid w:val="00EA6886"/>
    <w:rsid w:val="00EA6BF9"/>
    <w:rsid w:val="00EA6CF2"/>
    <w:rsid w:val="00EA6D25"/>
    <w:rsid w:val="00EA6D99"/>
    <w:rsid w:val="00EA6F58"/>
    <w:rsid w:val="00EA6FD5"/>
    <w:rsid w:val="00EA6FD9"/>
    <w:rsid w:val="00EA7143"/>
    <w:rsid w:val="00EA7179"/>
    <w:rsid w:val="00EA72A3"/>
    <w:rsid w:val="00EA7397"/>
    <w:rsid w:val="00EA75DE"/>
    <w:rsid w:val="00EA769F"/>
    <w:rsid w:val="00EA77D4"/>
    <w:rsid w:val="00EA77FB"/>
    <w:rsid w:val="00EA7965"/>
    <w:rsid w:val="00EA79EE"/>
    <w:rsid w:val="00EA7CB3"/>
    <w:rsid w:val="00EA7DA6"/>
    <w:rsid w:val="00EA7DEF"/>
    <w:rsid w:val="00EA7E15"/>
    <w:rsid w:val="00EA7EA3"/>
    <w:rsid w:val="00EA7FCB"/>
    <w:rsid w:val="00EB00AD"/>
    <w:rsid w:val="00EB01CE"/>
    <w:rsid w:val="00EB0227"/>
    <w:rsid w:val="00EB0278"/>
    <w:rsid w:val="00EB03E9"/>
    <w:rsid w:val="00EB03F1"/>
    <w:rsid w:val="00EB05D4"/>
    <w:rsid w:val="00EB05DD"/>
    <w:rsid w:val="00EB069C"/>
    <w:rsid w:val="00EB06A1"/>
    <w:rsid w:val="00EB0763"/>
    <w:rsid w:val="00EB0812"/>
    <w:rsid w:val="00EB0853"/>
    <w:rsid w:val="00EB08B4"/>
    <w:rsid w:val="00EB08BE"/>
    <w:rsid w:val="00EB08D2"/>
    <w:rsid w:val="00EB0939"/>
    <w:rsid w:val="00EB096E"/>
    <w:rsid w:val="00EB09F3"/>
    <w:rsid w:val="00EB0B14"/>
    <w:rsid w:val="00EB0B3E"/>
    <w:rsid w:val="00EB0B60"/>
    <w:rsid w:val="00EB0D2A"/>
    <w:rsid w:val="00EB0D68"/>
    <w:rsid w:val="00EB0D9A"/>
    <w:rsid w:val="00EB0DEE"/>
    <w:rsid w:val="00EB0E51"/>
    <w:rsid w:val="00EB0EDF"/>
    <w:rsid w:val="00EB0FAB"/>
    <w:rsid w:val="00EB0FDF"/>
    <w:rsid w:val="00EB10B4"/>
    <w:rsid w:val="00EB115B"/>
    <w:rsid w:val="00EB1178"/>
    <w:rsid w:val="00EB11AD"/>
    <w:rsid w:val="00EB12D3"/>
    <w:rsid w:val="00EB12DB"/>
    <w:rsid w:val="00EB1353"/>
    <w:rsid w:val="00EB1357"/>
    <w:rsid w:val="00EB141B"/>
    <w:rsid w:val="00EB14CB"/>
    <w:rsid w:val="00EB1676"/>
    <w:rsid w:val="00EB17BE"/>
    <w:rsid w:val="00EB17C0"/>
    <w:rsid w:val="00EB17E3"/>
    <w:rsid w:val="00EB17E9"/>
    <w:rsid w:val="00EB1825"/>
    <w:rsid w:val="00EB1953"/>
    <w:rsid w:val="00EB1975"/>
    <w:rsid w:val="00EB197E"/>
    <w:rsid w:val="00EB19F3"/>
    <w:rsid w:val="00EB1B19"/>
    <w:rsid w:val="00EB1C3F"/>
    <w:rsid w:val="00EB1D07"/>
    <w:rsid w:val="00EB1DC5"/>
    <w:rsid w:val="00EB1E2D"/>
    <w:rsid w:val="00EB1E3C"/>
    <w:rsid w:val="00EB1F13"/>
    <w:rsid w:val="00EB1F6B"/>
    <w:rsid w:val="00EB1FAE"/>
    <w:rsid w:val="00EB1FC4"/>
    <w:rsid w:val="00EB1FEF"/>
    <w:rsid w:val="00EB204E"/>
    <w:rsid w:val="00EB2075"/>
    <w:rsid w:val="00EB20E4"/>
    <w:rsid w:val="00EB20FD"/>
    <w:rsid w:val="00EB2125"/>
    <w:rsid w:val="00EB2202"/>
    <w:rsid w:val="00EB2235"/>
    <w:rsid w:val="00EB2258"/>
    <w:rsid w:val="00EB226C"/>
    <w:rsid w:val="00EB2293"/>
    <w:rsid w:val="00EB2345"/>
    <w:rsid w:val="00EB23EC"/>
    <w:rsid w:val="00EB2434"/>
    <w:rsid w:val="00EB2502"/>
    <w:rsid w:val="00EB2508"/>
    <w:rsid w:val="00EB251A"/>
    <w:rsid w:val="00EB257F"/>
    <w:rsid w:val="00EB259C"/>
    <w:rsid w:val="00EB26A6"/>
    <w:rsid w:val="00EB279D"/>
    <w:rsid w:val="00EB286E"/>
    <w:rsid w:val="00EB288A"/>
    <w:rsid w:val="00EB2896"/>
    <w:rsid w:val="00EB28BB"/>
    <w:rsid w:val="00EB28F6"/>
    <w:rsid w:val="00EB2A2C"/>
    <w:rsid w:val="00EB2A2D"/>
    <w:rsid w:val="00EB2A7A"/>
    <w:rsid w:val="00EB2B01"/>
    <w:rsid w:val="00EB2B8C"/>
    <w:rsid w:val="00EB2C1B"/>
    <w:rsid w:val="00EB2D9D"/>
    <w:rsid w:val="00EB2D9F"/>
    <w:rsid w:val="00EB2E7E"/>
    <w:rsid w:val="00EB2EB4"/>
    <w:rsid w:val="00EB2ED7"/>
    <w:rsid w:val="00EB2F39"/>
    <w:rsid w:val="00EB2F4B"/>
    <w:rsid w:val="00EB2FBE"/>
    <w:rsid w:val="00EB2FE4"/>
    <w:rsid w:val="00EB3052"/>
    <w:rsid w:val="00EB30C7"/>
    <w:rsid w:val="00EB311F"/>
    <w:rsid w:val="00EB3133"/>
    <w:rsid w:val="00EB31AC"/>
    <w:rsid w:val="00EB32AB"/>
    <w:rsid w:val="00EB32D1"/>
    <w:rsid w:val="00EB32FA"/>
    <w:rsid w:val="00EB3361"/>
    <w:rsid w:val="00EB33A2"/>
    <w:rsid w:val="00EB33DA"/>
    <w:rsid w:val="00EB34A6"/>
    <w:rsid w:val="00EB34C4"/>
    <w:rsid w:val="00EB3518"/>
    <w:rsid w:val="00EB3549"/>
    <w:rsid w:val="00EB357E"/>
    <w:rsid w:val="00EB36F9"/>
    <w:rsid w:val="00EB3860"/>
    <w:rsid w:val="00EB38AC"/>
    <w:rsid w:val="00EB38CC"/>
    <w:rsid w:val="00EB38F5"/>
    <w:rsid w:val="00EB3AC4"/>
    <w:rsid w:val="00EB3B35"/>
    <w:rsid w:val="00EB3B82"/>
    <w:rsid w:val="00EB3B87"/>
    <w:rsid w:val="00EB3B91"/>
    <w:rsid w:val="00EB3C40"/>
    <w:rsid w:val="00EB3C81"/>
    <w:rsid w:val="00EB3EAE"/>
    <w:rsid w:val="00EB3F18"/>
    <w:rsid w:val="00EB3F1E"/>
    <w:rsid w:val="00EB3F5E"/>
    <w:rsid w:val="00EB3FEF"/>
    <w:rsid w:val="00EB400F"/>
    <w:rsid w:val="00EB4011"/>
    <w:rsid w:val="00EB414D"/>
    <w:rsid w:val="00EB422E"/>
    <w:rsid w:val="00EB4364"/>
    <w:rsid w:val="00EB4373"/>
    <w:rsid w:val="00EB45B3"/>
    <w:rsid w:val="00EB45DD"/>
    <w:rsid w:val="00EB4682"/>
    <w:rsid w:val="00EB4687"/>
    <w:rsid w:val="00EB4A5B"/>
    <w:rsid w:val="00EB4B05"/>
    <w:rsid w:val="00EB4B10"/>
    <w:rsid w:val="00EB4B3D"/>
    <w:rsid w:val="00EB4B7B"/>
    <w:rsid w:val="00EB4C3C"/>
    <w:rsid w:val="00EB4C74"/>
    <w:rsid w:val="00EB4CEB"/>
    <w:rsid w:val="00EB4D1C"/>
    <w:rsid w:val="00EB4DD5"/>
    <w:rsid w:val="00EB4DDD"/>
    <w:rsid w:val="00EB4E2D"/>
    <w:rsid w:val="00EB4E61"/>
    <w:rsid w:val="00EB4FAF"/>
    <w:rsid w:val="00EB4FC3"/>
    <w:rsid w:val="00EB500A"/>
    <w:rsid w:val="00EB50F9"/>
    <w:rsid w:val="00EB5248"/>
    <w:rsid w:val="00EB5277"/>
    <w:rsid w:val="00EB536E"/>
    <w:rsid w:val="00EB537C"/>
    <w:rsid w:val="00EB53E5"/>
    <w:rsid w:val="00EB53EF"/>
    <w:rsid w:val="00EB549D"/>
    <w:rsid w:val="00EB5574"/>
    <w:rsid w:val="00EB55F6"/>
    <w:rsid w:val="00EB5604"/>
    <w:rsid w:val="00EB5608"/>
    <w:rsid w:val="00EB56B2"/>
    <w:rsid w:val="00EB56E3"/>
    <w:rsid w:val="00EB5714"/>
    <w:rsid w:val="00EB5733"/>
    <w:rsid w:val="00EB57DD"/>
    <w:rsid w:val="00EB57F0"/>
    <w:rsid w:val="00EB5812"/>
    <w:rsid w:val="00EB5991"/>
    <w:rsid w:val="00EB5AB8"/>
    <w:rsid w:val="00EB5B5D"/>
    <w:rsid w:val="00EB5B75"/>
    <w:rsid w:val="00EB5BF0"/>
    <w:rsid w:val="00EB5C36"/>
    <w:rsid w:val="00EB5C44"/>
    <w:rsid w:val="00EB5DAF"/>
    <w:rsid w:val="00EB5E99"/>
    <w:rsid w:val="00EB5EF9"/>
    <w:rsid w:val="00EB6054"/>
    <w:rsid w:val="00EB6059"/>
    <w:rsid w:val="00EB60A6"/>
    <w:rsid w:val="00EB615A"/>
    <w:rsid w:val="00EB61E2"/>
    <w:rsid w:val="00EB62D3"/>
    <w:rsid w:val="00EB642D"/>
    <w:rsid w:val="00EB64D0"/>
    <w:rsid w:val="00EB6783"/>
    <w:rsid w:val="00EB6798"/>
    <w:rsid w:val="00EB6A23"/>
    <w:rsid w:val="00EB6B6B"/>
    <w:rsid w:val="00EB6C92"/>
    <w:rsid w:val="00EB6CBD"/>
    <w:rsid w:val="00EB6D40"/>
    <w:rsid w:val="00EB6E79"/>
    <w:rsid w:val="00EB6F64"/>
    <w:rsid w:val="00EB6F8F"/>
    <w:rsid w:val="00EB6F90"/>
    <w:rsid w:val="00EB71BF"/>
    <w:rsid w:val="00EB71CF"/>
    <w:rsid w:val="00EB7214"/>
    <w:rsid w:val="00EB72A8"/>
    <w:rsid w:val="00EB7313"/>
    <w:rsid w:val="00EB73B2"/>
    <w:rsid w:val="00EB73F8"/>
    <w:rsid w:val="00EB7402"/>
    <w:rsid w:val="00EB748A"/>
    <w:rsid w:val="00EB75B3"/>
    <w:rsid w:val="00EB7616"/>
    <w:rsid w:val="00EB7721"/>
    <w:rsid w:val="00EB7779"/>
    <w:rsid w:val="00EB778B"/>
    <w:rsid w:val="00EB7860"/>
    <w:rsid w:val="00EB79D1"/>
    <w:rsid w:val="00EB79EB"/>
    <w:rsid w:val="00EB7A25"/>
    <w:rsid w:val="00EB7A9B"/>
    <w:rsid w:val="00EB7ABC"/>
    <w:rsid w:val="00EB7AF1"/>
    <w:rsid w:val="00EB7B50"/>
    <w:rsid w:val="00EB7E4D"/>
    <w:rsid w:val="00EB7FFB"/>
    <w:rsid w:val="00EC0056"/>
    <w:rsid w:val="00EC011D"/>
    <w:rsid w:val="00EC0302"/>
    <w:rsid w:val="00EC04F5"/>
    <w:rsid w:val="00EC052E"/>
    <w:rsid w:val="00EC05D8"/>
    <w:rsid w:val="00EC066E"/>
    <w:rsid w:val="00EC06BD"/>
    <w:rsid w:val="00EC084C"/>
    <w:rsid w:val="00EC097D"/>
    <w:rsid w:val="00EC09E8"/>
    <w:rsid w:val="00EC0B12"/>
    <w:rsid w:val="00EC0B69"/>
    <w:rsid w:val="00EC0CA9"/>
    <w:rsid w:val="00EC0CAA"/>
    <w:rsid w:val="00EC0CE0"/>
    <w:rsid w:val="00EC0D28"/>
    <w:rsid w:val="00EC0D4E"/>
    <w:rsid w:val="00EC0E12"/>
    <w:rsid w:val="00EC0E31"/>
    <w:rsid w:val="00EC0F0A"/>
    <w:rsid w:val="00EC0F2E"/>
    <w:rsid w:val="00EC0FA9"/>
    <w:rsid w:val="00EC113A"/>
    <w:rsid w:val="00EC114B"/>
    <w:rsid w:val="00EC1185"/>
    <w:rsid w:val="00EC124F"/>
    <w:rsid w:val="00EC134C"/>
    <w:rsid w:val="00EC1371"/>
    <w:rsid w:val="00EC1376"/>
    <w:rsid w:val="00EC13CF"/>
    <w:rsid w:val="00EC13FC"/>
    <w:rsid w:val="00EC14A8"/>
    <w:rsid w:val="00EC15F4"/>
    <w:rsid w:val="00EC163C"/>
    <w:rsid w:val="00EC17A5"/>
    <w:rsid w:val="00EC17A6"/>
    <w:rsid w:val="00EC17CD"/>
    <w:rsid w:val="00EC1818"/>
    <w:rsid w:val="00EC18CA"/>
    <w:rsid w:val="00EC193F"/>
    <w:rsid w:val="00EC19F0"/>
    <w:rsid w:val="00EC1AC6"/>
    <w:rsid w:val="00EC1B3D"/>
    <w:rsid w:val="00EC1B46"/>
    <w:rsid w:val="00EC1B73"/>
    <w:rsid w:val="00EC1B78"/>
    <w:rsid w:val="00EC1BEC"/>
    <w:rsid w:val="00EC1D45"/>
    <w:rsid w:val="00EC1E28"/>
    <w:rsid w:val="00EC1EAE"/>
    <w:rsid w:val="00EC1F01"/>
    <w:rsid w:val="00EC1F84"/>
    <w:rsid w:val="00EC2072"/>
    <w:rsid w:val="00EC2146"/>
    <w:rsid w:val="00EC227C"/>
    <w:rsid w:val="00EC238D"/>
    <w:rsid w:val="00EC23AA"/>
    <w:rsid w:val="00EC24CB"/>
    <w:rsid w:val="00EC2509"/>
    <w:rsid w:val="00EC2538"/>
    <w:rsid w:val="00EC2694"/>
    <w:rsid w:val="00EC2751"/>
    <w:rsid w:val="00EC2788"/>
    <w:rsid w:val="00EC2869"/>
    <w:rsid w:val="00EC2977"/>
    <w:rsid w:val="00EC2A0A"/>
    <w:rsid w:val="00EC2A80"/>
    <w:rsid w:val="00EC2C23"/>
    <w:rsid w:val="00EC2C59"/>
    <w:rsid w:val="00EC2E8B"/>
    <w:rsid w:val="00EC2EE9"/>
    <w:rsid w:val="00EC3009"/>
    <w:rsid w:val="00EC3032"/>
    <w:rsid w:val="00EC303B"/>
    <w:rsid w:val="00EC304A"/>
    <w:rsid w:val="00EC30A5"/>
    <w:rsid w:val="00EC318A"/>
    <w:rsid w:val="00EC324A"/>
    <w:rsid w:val="00EC32B0"/>
    <w:rsid w:val="00EC32B7"/>
    <w:rsid w:val="00EC32D3"/>
    <w:rsid w:val="00EC332C"/>
    <w:rsid w:val="00EC33AE"/>
    <w:rsid w:val="00EC354D"/>
    <w:rsid w:val="00EC35D7"/>
    <w:rsid w:val="00EC364B"/>
    <w:rsid w:val="00EC36DC"/>
    <w:rsid w:val="00EC36FE"/>
    <w:rsid w:val="00EC370C"/>
    <w:rsid w:val="00EC3739"/>
    <w:rsid w:val="00EC374D"/>
    <w:rsid w:val="00EC3769"/>
    <w:rsid w:val="00EC37AF"/>
    <w:rsid w:val="00EC37E7"/>
    <w:rsid w:val="00EC37F1"/>
    <w:rsid w:val="00EC3839"/>
    <w:rsid w:val="00EC38D8"/>
    <w:rsid w:val="00EC39F3"/>
    <w:rsid w:val="00EC3A5E"/>
    <w:rsid w:val="00EC3A84"/>
    <w:rsid w:val="00EC3ABC"/>
    <w:rsid w:val="00EC3AEC"/>
    <w:rsid w:val="00EC3C53"/>
    <w:rsid w:val="00EC3D34"/>
    <w:rsid w:val="00EC3D6C"/>
    <w:rsid w:val="00EC3D98"/>
    <w:rsid w:val="00EC3E97"/>
    <w:rsid w:val="00EC3EE9"/>
    <w:rsid w:val="00EC3F2D"/>
    <w:rsid w:val="00EC4040"/>
    <w:rsid w:val="00EC4113"/>
    <w:rsid w:val="00EC415D"/>
    <w:rsid w:val="00EC4238"/>
    <w:rsid w:val="00EC4303"/>
    <w:rsid w:val="00EC4389"/>
    <w:rsid w:val="00EC4396"/>
    <w:rsid w:val="00EC450E"/>
    <w:rsid w:val="00EC4547"/>
    <w:rsid w:val="00EC4604"/>
    <w:rsid w:val="00EC4630"/>
    <w:rsid w:val="00EC465F"/>
    <w:rsid w:val="00EC46F2"/>
    <w:rsid w:val="00EC4737"/>
    <w:rsid w:val="00EC47BA"/>
    <w:rsid w:val="00EC48AF"/>
    <w:rsid w:val="00EC48C9"/>
    <w:rsid w:val="00EC4921"/>
    <w:rsid w:val="00EC4926"/>
    <w:rsid w:val="00EC4957"/>
    <w:rsid w:val="00EC495A"/>
    <w:rsid w:val="00EC4B35"/>
    <w:rsid w:val="00EC4B82"/>
    <w:rsid w:val="00EC4B98"/>
    <w:rsid w:val="00EC4BBD"/>
    <w:rsid w:val="00EC4BD5"/>
    <w:rsid w:val="00EC4BFB"/>
    <w:rsid w:val="00EC4CC7"/>
    <w:rsid w:val="00EC4CED"/>
    <w:rsid w:val="00EC4D15"/>
    <w:rsid w:val="00EC4D37"/>
    <w:rsid w:val="00EC4D76"/>
    <w:rsid w:val="00EC4F4C"/>
    <w:rsid w:val="00EC5123"/>
    <w:rsid w:val="00EC524B"/>
    <w:rsid w:val="00EC52AD"/>
    <w:rsid w:val="00EC542D"/>
    <w:rsid w:val="00EC5529"/>
    <w:rsid w:val="00EC5603"/>
    <w:rsid w:val="00EC569A"/>
    <w:rsid w:val="00EC56CC"/>
    <w:rsid w:val="00EC5707"/>
    <w:rsid w:val="00EC574B"/>
    <w:rsid w:val="00EC57B6"/>
    <w:rsid w:val="00EC5850"/>
    <w:rsid w:val="00EC5890"/>
    <w:rsid w:val="00EC5B51"/>
    <w:rsid w:val="00EC5BB6"/>
    <w:rsid w:val="00EC5BD4"/>
    <w:rsid w:val="00EC5C67"/>
    <w:rsid w:val="00EC5C73"/>
    <w:rsid w:val="00EC5E93"/>
    <w:rsid w:val="00EC5F9D"/>
    <w:rsid w:val="00EC5FAB"/>
    <w:rsid w:val="00EC5FC5"/>
    <w:rsid w:val="00EC60B6"/>
    <w:rsid w:val="00EC60EC"/>
    <w:rsid w:val="00EC6168"/>
    <w:rsid w:val="00EC62A8"/>
    <w:rsid w:val="00EC62EE"/>
    <w:rsid w:val="00EC6378"/>
    <w:rsid w:val="00EC63BF"/>
    <w:rsid w:val="00EC63C8"/>
    <w:rsid w:val="00EC643B"/>
    <w:rsid w:val="00EC643C"/>
    <w:rsid w:val="00EC6487"/>
    <w:rsid w:val="00EC6490"/>
    <w:rsid w:val="00EC655A"/>
    <w:rsid w:val="00EC6584"/>
    <w:rsid w:val="00EC683B"/>
    <w:rsid w:val="00EC6858"/>
    <w:rsid w:val="00EC688B"/>
    <w:rsid w:val="00EC6994"/>
    <w:rsid w:val="00EC69F9"/>
    <w:rsid w:val="00EC6A16"/>
    <w:rsid w:val="00EC6A4C"/>
    <w:rsid w:val="00EC6B25"/>
    <w:rsid w:val="00EC6B3E"/>
    <w:rsid w:val="00EC6B5D"/>
    <w:rsid w:val="00EC6C59"/>
    <w:rsid w:val="00EC6C9B"/>
    <w:rsid w:val="00EC6C9D"/>
    <w:rsid w:val="00EC6CDE"/>
    <w:rsid w:val="00EC6D61"/>
    <w:rsid w:val="00EC6DEC"/>
    <w:rsid w:val="00EC6E19"/>
    <w:rsid w:val="00EC6E73"/>
    <w:rsid w:val="00EC6E8B"/>
    <w:rsid w:val="00EC6F36"/>
    <w:rsid w:val="00EC6F9B"/>
    <w:rsid w:val="00EC7032"/>
    <w:rsid w:val="00EC7143"/>
    <w:rsid w:val="00EC71AA"/>
    <w:rsid w:val="00EC7220"/>
    <w:rsid w:val="00EC7246"/>
    <w:rsid w:val="00EC7286"/>
    <w:rsid w:val="00EC7333"/>
    <w:rsid w:val="00EC73E0"/>
    <w:rsid w:val="00EC73E5"/>
    <w:rsid w:val="00EC7516"/>
    <w:rsid w:val="00EC7557"/>
    <w:rsid w:val="00EC759D"/>
    <w:rsid w:val="00EC75E8"/>
    <w:rsid w:val="00EC767A"/>
    <w:rsid w:val="00EC76A0"/>
    <w:rsid w:val="00EC76F8"/>
    <w:rsid w:val="00EC772B"/>
    <w:rsid w:val="00EC77DE"/>
    <w:rsid w:val="00EC7B85"/>
    <w:rsid w:val="00EC7BC8"/>
    <w:rsid w:val="00EC7CD8"/>
    <w:rsid w:val="00EC7FE4"/>
    <w:rsid w:val="00ED0022"/>
    <w:rsid w:val="00ED00AE"/>
    <w:rsid w:val="00ED0112"/>
    <w:rsid w:val="00ED0284"/>
    <w:rsid w:val="00ED028A"/>
    <w:rsid w:val="00ED02DB"/>
    <w:rsid w:val="00ED030A"/>
    <w:rsid w:val="00ED03CB"/>
    <w:rsid w:val="00ED042B"/>
    <w:rsid w:val="00ED053A"/>
    <w:rsid w:val="00ED0567"/>
    <w:rsid w:val="00ED068E"/>
    <w:rsid w:val="00ED0697"/>
    <w:rsid w:val="00ED06FF"/>
    <w:rsid w:val="00ED077A"/>
    <w:rsid w:val="00ED07DD"/>
    <w:rsid w:val="00ED07F0"/>
    <w:rsid w:val="00ED0849"/>
    <w:rsid w:val="00ED0906"/>
    <w:rsid w:val="00ED0A88"/>
    <w:rsid w:val="00ED0A9C"/>
    <w:rsid w:val="00ED0B66"/>
    <w:rsid w:val="00ED0C3E"/>
    <w:rsid w:val="00ED0D31"/>
    <w:rsid w:val="00ED0DB6"/>
    <w:rsid w:val="00ED0F33"/>
    <w:rsid w:val="00ED11BF"/>
    <w:rsid w:val="00ED11DC"/>
    <w:rsid w:val="00ED11DF"/>
    <w:rsid w:val="00ED11F5"/>
    <w:rsid w:val="00ED1249"/>
    <w:rsid w:val="00ED12EE"/>
    <w:rsid w:val="00ED1389"/>
    <w:rsid w:val="00ED13FF"/>
    <w:rsid w:val="00ED149B"/>
    <w:rsid w:val="00ED1543"/>
    <w:rsid w:val="00ED15E0"/>
    <w:rsid w:val="00ED1647"/>
    <w:rsid w:val="00ED183C"/>
    <w:rsid w:val="00ED1852"/>
    <w:rsid w:val="00ED1866"/>
    <w:rsid w:val="00ED18E7"/>
    <w:rsid w:val="00ED1923"/>
    <w:rsid w:val="00ED1B97"/>
    <w:rsid w:val="00ED1CFE"/>
    <w:rsid w:val="00ED1DD7"/>
    <w:rsid w:val="00ED1DFE"/>
    <w:rsid w:val="00ED1E2B"/>
    <w:rsid w:val="00ED1F05"/>
    <w:rsid w:val="00ED1F36"/>
    <w:rsid w:val="00ED2004"/>
    <w:rsid w:val="00ED204F"/>
    <w:rsid w:val="00ED2065"/>
    <w:rsid w:val="00ED218B"/>
    <w:rsid w:val="00ED21C1"/>
    <w:rsid w:val="00ED2208"/>
    <w:rsid w:val="00ED2240"/>
    <w:rsid w:val="00ED2286"/>
    <w:rsid w:val="00ED2344"/>
    <w:rsid w:val="00ED2561"/>
    <w:rsid w:val="00ED2596"/>
    <w:rsid w:val="00ED25E0"/>
    <w:rsid w:val="00ED265C"/>
    <w:rsid w:val="00ED2681"/>
    <w:rsid w:val="00ED26A9"/>
    <w:rsid w:val="00ED2751"/>
    <w:rsid w:val="00ED2796"/>
    <w:rsid w:val="00ED27E8"/>
    <w:rsid w:val="00ED289D"/>
    <w:rsid w:val="00ED28D7"/>
    <w:rsid w:val="00ED2B02"/>
    <w:rsid w:val="00ED2C32"/>
    <w:rsid w:val="00ED2C49"/>
    <w:rsid w:val="00ED2C93"/>
    <w:rsid w:val="00ED2D1B"/>
    <w:rsid w:val="00ED2D4E"/>
    <w:rsid w:val="00ED2DAC"/>
    <w:rsid w:val="00ED2E39"/>
    <w:rsid w:val="00ED2F20"/>
    <w:rsid w:val="00ED309D"/>
    <w:rsid w:val="00ED314A"/>
    <w:rsid w:val="00ED33F5"/>
    <w:rsid w:val="00ED3462"/>
    <w:rsid w:val="00ED359F"/>
    <w:rsid w:val="00ED3608"/>
    <w:rsid w:val="00ED369C"/>
    <w:rsid w:val="00ED36D3"/>
    <w:rsid w:val="00ED3705"/>
    <w:rsid w:val="00ED38C7"/>
    <w:rsid w:val="00ED3976"/>
    <w:rsid w:val="00ED3AB2"/>
    <w:rsid w:val="00ED3ACA"/>
    <w:rsid w:val="00ED3B45"/>
    <w:rsid w:val="00ED3BC4"/>
    <w:rsid w:val="00ED3C35"/>
    <w:rsid w:val="00ED3D48"/>
    <w:rsid w:val="00ED3D63"/>
    <w:rsid w:val="00ED3EC0"/>
    <w:rsid w:val="00ED3EF3"/>
    <w:rsid w:val="00ED3FF9"/>
    <w:rsid w:val="00ED4038"/>
    <w:rsid w:val="00ED40FA"/>
    <w:rsid w:val="00ED414F"/>
    <w:rsid w:val="00ED41C6"/>
    <w:rsid w:val="00ED4208"/>
    <w:rsid w:val="00ED4223"/>
    <w:rsid w:val="00ED4233"/>
    <w:rsid w:val="00ED4272"/>
    <w:rsid w:val="00ED42D5"/>
    <w:rsid w:val="00ED439A"/>
    <w:rsid w:val="00ED43DB"/>
    <w:rsid w:val="00ED43E7"/>
    <w:rsid w:val="00ED43F5"/>
    <w:rsid w:val="00ED4465"/>
    <w:rsid w:val="00ED44CF"/>
    <w:rsid w:val="00ED452C"/>
    <w:rsid w:val="00ED4674"/>
    <w:rsid w:val="00ED4679"/>
    <w:rsid w:val="00ED469B"/>
    <w:rsid w:val="00ED4703"/>
    <w:rsid w:val="00ED4726"/>
    <w:rsid w:val="00ED4761"/>
    <w:rsid w:val="00ED4763"/>
    <w:rsid w:val="00ED49CE"/>
    <w:rsid w:val="00ED49F1"/>
    <w:rsid w:val="00ED4A1A"/>
    <w:rsid w:val="00ED4B96"/>
    <w:rsid w:val="00ED4B9B"/>
    <w:rsid w:val="00ED4BE4"/>
    <w:rsid w:val="00ED4C4B"/>
    <w:rsid w:val="00ED4CBA"/>
    <w:rsid w:val="00ED4D76"/>
    <w:rsid w:val="00ED4D8F"/>
    <w:rsid w:val="00ED4D97"/>
    <w:rsid w:val="00ED4E4D"/>
    <w:rsid w:val="00ED4F85"/>
    <w:rsid w:val="00ED506B"/>
    <w:rsid w:val="00ED517E"/>
    <w:rsid w:val="00ED5219"/>
    <w:rsid w:val="00ED52AF"/>
    <w:rsid w:val="00ED52EC"/>
    <w:rsid w:val="00ED536E"/>
    <w:rsid w:val="00ED5373"/>
    <w:rsid w:val="00ED5437"/>
    <w:rsid w:val="00ED5487"/>
    <w:rsid w:val="00ED54F4"/>
    <w:rsid w:val="00ED55D6"/>
    <w:rsid w:val="00ED561C"/>
    <w:rsid w:val="00ED562D"/>
    <w:rsid w:val="00ED569E"/>
    <w:rsid w:val="00ED56B0"/>
    <w:rsid w:val="00ED56B2"/>
    <w:rsid w:val="00ED56CC"/>
    <w:rsid w:val="00ED57EF"/>
    <w:rsid w:val="00ED590E"/>
    <w:rsid w:val="00ED5914"/>
    <w:rsid w:val="00ED59A0"/>
    <w:rsid w:val="00ED5AC7"/>
    <w:rsid w:val="00ED5AD3"/>
    <w:rsid w:val="00ED5C96"/>
    <w:rsid w:val="00ED5CFC"/>
    <w:rsid w:val="00ED5D50"/>
    <w:rsid w:val="00ED5DF9"/>
    <w:rsid w:val="00ED5E64"/>
    <w:rsid w:val="00ED5F2B"/>
    <w:rsid w:val="00ED5F38"/>
    <w:rsid w:val="00ED5F3C"/>
    <w:rsid w:val="00ED6006"/>
    <w:rsid w:val="00ED6009"/>
    <w:rsid w:val="00ED60D9"/>
    <w:rsid w:val="00ED60F2"/>
    <w:rsid w:val="00ED6172"/>
    <w:rsid w:val="00ED61BA"/>
    <w:rsid w:val="00ED6267"/>
    <w:rsid w:val="00ED62D6"/>
    <w:rsid w:val="00ED633C"/>
    <w:rsid w:val="00ED640C"/>
    <w:rsid w:val="00ED6442"/>
    <w:rsid w:val="00ED6472"/>
    <w:rsid w:val="00ED649E"/>
    <w:rsid w:val="00ED64F2"/>
    <w:rsid w:val="00ED6562"/>
    <w:rsid w:val="00ED6576"/>
    <w:rsid w:val="00ED6624"/>
    <w:rsid w:val="00ED66FF"/>
    <w:rsid w:val="00ED67F4"/>
    <w:rsid w:val="00ED6807"/>
    <w:rsid w:val="00ED683D"/>
    <w:rsid w:val="00ED68B0"/>
    <w:rsid w:val="00ED6AD9"/>
    <w:rsid w:val="00ED6B2F"/>
    <w:rsid w:val="00ED6EC7"/>
    <w:rsid w:val="00ED6F18"/>
    <w:rsid w:val="00ED6FDC"/>
    <w:rsid w:val="00ED7262"/>
    <w:rsid w:val="00ED730C"/>
    <w:rsid w:val="00ED73E5"/>
    <w:rsid w:val="00ED74A4"/>
    <w:rsid w:val="00ED7589"/>
    <w:rsid w:val="00ED75CB"/>
    <w:rsid w:val="00ED7722"/>
    <w:rsid w:val="00ED787A"/>
    <w:rsid w:val="00ED78CE"/>
    <w:rsid w:val="00ED7AF3"/>
    <w:rsid w:val="00ED7B4E"/>
    <w:rsid w:val="00ED7BF3"/>
    <w:rsid w:val="00ED7C69"/>
    <w:rsid w:val="00ED7E62"/>
    <w:rsid w:val="00ED7EB8"/>
    <w:rsid w:val="00ED7ED6"/>
    <w:rsid w:val="00EE0064"/>
    <w:rsid w:val="00EE009C"/>
    <w:rsid w:val="00EE00E0"/>
    <w:rsid w:val="00EE00E9"/>
    <w:rsid w:val="00EE015B"/>
    <w:rsid w:val="00EE0180"/>
    <w:rsid w:val="00EE01B7"/>
    <w:rsid w:val="00EE0247"/>
    <w:rsid w:val="00EE02DC"/>
    <w:rsid w:val="00EE0321"/>
    <w:rsid w:val="00EE03CA"/>
    <w:rsid w:val="00EE03DA"/>
    <w:rsid w:val="00EE04EC"/>
    <w:rsid w:val="00EE04FC"/>
    <w:rsid w:val="00EE050B"/>
    <w:rsid w:val="00EE05A5"/>
    <w:rsid w:val="00EE065C"/>
    <w:rsid w:val="00EE077D"/>
    <w:rsid w:val="00EE079C"/>
    <w:rsid w:val="00EE07E1"/>
    <w:rsid w:val="00EE08B8"/>
    <w:rsid w:val="00EE08BE"/>
    <w:rsid w:val="00EE08C1"/>
    <w:rsid w:val="00EE0AFF"/>
    <w:rsid w:val="00EE0B55"/>
    <w:rsid w:val="00EE0BDB"/>
    <w:rsid w:val="00EE0C76"/>
    <w:rsid w:val="00EE0CEE"/>
    <w:rsid w:val="00EE0D14"/>
    <w:rsid w:val="00EE0FD4"/>
    <w:rsid w:val="00EE1018"/>
    <w:rsid w:val="00EE1063"/>
    <w:rsid w:val="00EE106B"/>
    <w:rsid w:val="00EE1075"/>
    <w:rsid w:val="00EE108A"/>
    <w:rsid w:val="00EE10C4"/>
    <w:rsid w:val="00EE1195"/>
    <w:rsid w:val="00EE11EA"/>
    <w:rsid w:val="00EE1376"/>
    <w:rsid w:val="00EE1394"/>
    <w:rsid w:val="00EE13DA"/>
    <w:rsid w:val="00EE1416"/>
    <w:rsid w:val="00EE148B"/>
    <w:rsid w:val="00EE152A"/>
    <w:rsid w:val="00EE153D"/>
    <w:rsid w:val="00EE1629"/>
    <w:rsid w:val="00EE164F"/>
    <w:rsid w:val="00EE1748"/>
    <w:rsid w:val="00EE1795"/>
    <w:rsid w:val="00EE17F6"/>
    <w:rsid w:val="00EE1933"/>
    <w:rsid w:val="00EE1AE6"/>
    <w:rsid w:val="00EE1B0F"/>
    <w:rsid w:val="00EE1B6C"/>
    <w:rsid w:val="00EE1C31"/>
    <w:rsid w:val="00EE1C83"/>
    <w:rsid w:val="00EE1CCF"/>
    <w:rsid w:val="00EE1CF3"/>
    <w:rsid w:val="00EE1E3B"/>
    <w:rsid w:val="00EE1E3C"/>
    <w:rsid w:val="00EE1EE1"/>
    <w:rsid w:val="00EE1F04"/>
    <w:rsid w:val="00EE1F53"/>
    <w:rsid w:val="00EE2041"/>
    <w:rsid w:val="00EE2089"/>
    <w:rsid w:val="00EE20AF"/>
    <w:rsid w:val="00EE20B0"/>
    <w:rsid w:val="00EE217D"/>
    <w:rsid w:val="00EE2195"/>
    <w:rsid w:val="00EE23DE"/>
    <w:rsid w:val="00EE23E8"/>
    <w:rsid w:val="00EE2417"/>
    <w:rsid w:val="00EE2421"/>
    <w:rsid w:val="00EE251C"/>
    <w:rsid w:val="00EE2529"/>
    <w:rsid w:val="00EE2608"/>
    <w:rsid w:val="00EE263D"/>
    <w:rsid w:val="00EE267B"/>
    <w:rsid w:val="00EE26A3"/>
    <w:rsid w:val="00EE26CA"/>
    <w:rsid w:val="00EE2808"/>
    <w:rsid w:val="00EE2A83"/>
    <w:rsid w:val="00EE2AF1"/>
    <w:rsid w:val="00EE2B03"/>
    <w:rsid w:val="00EE2B7F"/>
    <w:rsid w:val="00EE2BD6"/>
    <w:rsid w:val="00EE2C10"/>
    <w:rsid w:val="00EE2D44"/>
    <w:rsid w:val="00EE2E02"/>
    <w:rsid w:val="00EE2F27"/>
    <w:rsid w:val="00EE2FB7"/>
    <w:rsid w:val="00EE2FC5"/>
    <w:rsid w:val="00EE31A0"/>
    <w:rsid w:val="00EE3402"/>
    <w:rsid w:val="00EE34C9"/>
    <w:rsid w:val="00EE354C"/>
    <w:rsid w:val="00EE3560"/>
    <w:rsid w:val="00EE356A"/>
    <w:rsid w:val="00EE3690"/>
    <w:rsid w:val="00EE370A"/>
    <w:rsid w:val="00EE3AE8"/>
    <w:rsid w:val="00EE3AF8"/>
    <w:rsid w:val="00EE3D77"/>
    <w:rsid w:val="00EE3E33"/>
    <w:rsid w:val="00EE3E55"/>
    <w:rsid w:val="00EE4032"/>
    <w:rsid w:val="00EE4081"/>
    <w:rsid w:val="00EE4082"/>
    <w:rsid w:val="00EE4104"/>
    <w:rsid w:val="00EE4146"/>
    <w:rsid w:val="00EE4204"/>
    <w:rsid w:val="00EE427A"/>
    <w:rsid w:val="00EE427F"/>
    <w:rsid w:val="00EE4297"/>
    <w:rsid w:val="00EE44D4"/>
    <w:rsid w:val="00EE4511"/>
    <w:rsid w:val="00EE4598"/>
    <w:rsid w:val="00EE4736"/>
    <w:rsid w:val="00EE47F1"/>
    <w:rsid w:val="00EE483F"/>
    <w:rsid w:val="00EE4865"/>
    <w:rsid w:val="00EE4AAB"/>
    <w:rsid w:val="00EE4C28"/>
    <w:rsid w:val="00EE4C48"/>
    <w:rsid w:val="00EE4D02"/>
    <w:rsid w:val="00EE4DDA"/>
    <w:rsid w:val="00EE4E35"/>
    <w:rsid w:val="00EE4E8E"/>
    <w:rsid w:val="00EE4EB0"/>
    <w:rsid w:val="00EE4FD5"/>
    <w:rsid w:val="00EE5063"/>
    <w:rsid w:val="00EE510B"/>
    <w:rsid w:val="00EE51C5"/>
    <w:rsid w:val="00EE51E1"/>
    <w:rsid w:val="00EE5235"/>
    <w:rsid w:val="00EE52B1"/>
    <w:rsid w:val="00EE5303"/>
    <w:rsid w:val="00EE53D2"/>
    <w:rsid w:val="00EE55CB"/>
    <w:rsid w:val="00EE5714"/>
    <w:rsid w:val="00EE574C"/>
    <w:rsid w:val="00EE59AA"/>
    <w:rsid w:val="00EE5A37"/>
    <w:rsid w:val="00EE5AA7"/>
    <w:rsid w:val="00EE5B1A"/>
    <w:rsid w:val="00EE5BD3"/>
    <w:rsid w:val="00EE5C31"/>
    <w:rsid w:val="00EE5CC3"/>
    <w:rsid w:val="00EE6006"/>
    <w:rsid w:val="00EE6022"/>
    <w:rsid w:val="00EE60A9"/>
    <w:rsid w:val="00EE6118"/>
    <w:rsid w:val="00EE6212"/>
    <w:rsid w:val="00EE6230"/>
    <w:rsid w:val="00EE624F"/>
    <w:rsid w:val="00EE6331"/>
    <w:rsid w:val="00EE6356"/>
    <w:rsid w:val="00EE637B"/>
    <w:rsid w:val="00EE643F"/>
    <w:rsid w:val="00EE6440"/>
    <w:rsid w:val="00EE64CD"/>
    <w:rsid w:val="00EE64EF"/>
    <w:rsid w:val="00EE6551"/>
    <w:rsid w:val="00EE6617"/>
    <w:rsid w:val="00EE6699"/>
    <w:rsid w:val="00EE66B8"/>
    <w:rsid w:val="00EE66BA"/>
    <w:rsid w:val="00EE67A2"/>
    <w:rsid w:val="00EE67BC"/>
    <w:rsid w:val="00EE67FA"/>
    <w:rsid w:val="00EE6867"/>
    <w:rsid w:val="00EE6892"/>
    <w:rsid w:val="00EE68D5"/>
    <w:rsid w:val="00EE6944"/>
    <w:rsid w:val="00EE6990"/>
    <w:rsid w:val="00EE6B16"/>
    <w:rsid w:val="00EE6B40"/>
    <w:rsid w:val="00EE6BD5"/>
    <w:rsid w:val="00EE6C62"/>
    <w:rsid w:val="00EE6CCA"/>
    <w:rsid w:val="00EE6D28"/>
    <w:rsid w:val="00EE6E0A"/>
    <w:rsid w:val="00EE6E86"/>
    <w:rsid w:val="00EE6EAC"/>
    <w:rsid w:val="00EE6EBB"/>
    <w:rsid w:val="00EE6EC5"/>
    <w:rsid w:val="00EE6ECC"/>
    <w:rsid w:val="00EE6F73"/>
    <w:rsid w:val="00EE7050"/>
    <w:rsid w:val="00EE70AB"/>
    <w:rsid w:val="00EE70FF"/>
    <w:rsid w:val="00EE7188"/>
    <w:rsid w:val="00EE7240"/>
    <w:rsid w:val="00EE7287"/>
    <w:rsid w:val="00EE72BE"/>
    <w:rsid w:val="00EE72DA"/>
    <w:rsid w:val="00EE73CA"/>
    <w:rsid w:val="00EE741A"/>
    <w:rsid w:val="00EE77C9"/>
    <w:rsid w:val="00EE7840"/>
    <w:rsid w:val="00EE78D3"/>
    <w:rsid w:val="00EE7B25"/>
    <w:rsid w:val="00EE7B7C"/>
    <w:rsid w:val="00EE7BE8"/>
    <w:rsid w:val="00EE7D1A"/>
    <w:rsid w:val="00EE7DAA"/>
    <w:rsid w:val="00EE7DDA"/>
    <w:rsid w:val="00EE7DE6"/>
    <w:rsid w:val="00EE7E03"/>
    <w:rsid w:val="00EE7EB0"/>
    <w:rsid w:val="00EE7ED5"/>
    <w:rsid w:val="00EE7F2C"/>
    <w:rsid w:val="00EE7F42"/>
    <w:rsid w:val="00EE7FBF"/>
    <w:rsid w:val="00EF0006"/>
    <w:rsid w:val="00EF002E"/>
    <w:rsid w:val="00EF00F5"/>
    <w:rsid w:val="00EF0258"/>
    <w:rsid w:val="00EF02DD"/>
    <w:rsid w:val="00EF02DF"/>
    <w:rsid w:val="00EF032D"/>
    <w:rsid w:val="00EF03F8"/>
    <w:rsid w:val="00EF0427"/>
    <w:rsid w:val="00EF051E"/>
    <w:rsid w:val="00EF0557"/>
    <w:rsid w:val="00EF061F"/>
    <w:rsid w:val="00EF0681"/>
    <w:rsid w:val="00EF078C"/>
    <w:rsid w:val="00EF084A"/>
    <w:rsid w:val="00EF0858"/>
    <w:rsid w:val="00EF08C8"/>
    <w:rsid w:val="00EF09B8"/>
    <w:rsid w:val="00EF09D5"/>
    <w:rsid w:val="00EF0A52"/>
    <w:rsid w:val="00EF0ADB"/>
    <w:rsid w:val="00EF0AEA"/>
    <w:rsid w:val="00EF0CC5"/>
    <w:rsid w:val="00EF0D4E"/>
    <w:rsid w:val="00EF105E"/>
    <w:rsid w:val="00EF10E2"/>
    <w:rsid w:val="00EF1132"/>
    <w:rsid w:val="00EF11FA"/>
    <w:rsid w:val="00EF121C"/>
    <w:rsid w:val="00EF1283"/>
    <w:rsid w:val="00EF13D7"/>
    <w:rsid w:val="00EF13E1"/>
    <w:rsid w:val="00EF15C5"/>
    <w:rsid w:val="00EF16DF"/>
    <w:rsid w:val="00EF16F5"/>
    <w:rsid w:val="00EF1751"/>
    <w:rsid w:val="00EF1760"/>
    <w:rsid w:val="00EF191D"/>
    <w:rsid w:val="00EF19C4"/>
    <w:rsid w:val="00EF1A01"/>
    <w:rsid w:val="00EF1A6B"/>
    <w:rsid w:val="00EF1A8E"/>
    <w:rsid w:val="00EF1BC0"/>
    <w:rsid w:val="00EF1BE9"/>
    <w:rsid w:val="00EF1C03"/>
    <w:rsid w:val="00EF1C04"/>
    <w:rsid w:val="00EF1C2D"/>
    <w:rsid w:val="00EF1CF0"/>
    <w:rsid w:val="00EF1CF3"/>
    <w:rsid w:val="00EF1F9E"/>
    <w:rsid w:val="00EF1FE5"/>
    <w:rsid w:val="00EF2298"/>
    <w:rsid w:val="00EF2314"/>
    <w:rsid w:val="00EF23B8"/>
    <w:rsid w:val="00EF23C0"/>
    <w:rsid w:val="00EF23FA"/>
    <w:rsid w:val="00EF2439"/>
    <w:rsid w:val="00EF24DD"/>
    <w:rsid w:val="00EF25AD"/>
    <w:rsid w:val="00EF2650"/>
    <w:rsid w:val="00EF265D"/>
    <w:rsid w:val="00EF273A"/>
    <w:rsid w:val="00EF27B1"/>
    <w:rsid w:val="00EF2804"/>
    <w:rsid w:val="00EF2812"/>
    <w:rsid w:val="00EF28B7"/>
    <w:rsid w:val="00EF28EA"/>
    <w:rsid w:val="00EF2972"/>
    <w:rsid w:val="00EF2974"/>
    <w:rsid w:val="00EF29AE"/>
    <w:rsid w:val="00EF2C8C"/>
    <w:rsid w:val="00EF2CAC"/>
    <w:rsid w:val="00EF2D50"/>
    <w:rsid w:val="00EF2D5F"/>
    <w:rsid w:val="00EF2D7C"/>
    <w:rsid w:val="00EF2D8D"/>
    <w:rsid w:val="00EF2DB2"/>
    <w:rsid w:val="00EF2E3C"/>
    <w:rsid w:val="00EF2F85"/>
    <w:rsid w:val="00EF2FAB"/>
    <w:rsid w:val="00EF3055"/>
    <w:rsid w:val="00EF319E"/>
    <w:rsid w:val="00EF31F2"/>
    <w:rsid w:val="00EF3207"/>
    <w:rsid w:val="00EF329A"/>
    <w:rsid w:val="00EF32C9"/>
    <w:rsid w:val="00EF32CF"/>
    <w:rsid w:val="00EF3381"/>
    <w:rsid w:val="00EF3471"/>
    <w:rsid w:val="00EF3601"/>
    <w:rsid w:val="00EF378B"/>
    <w:rsid w:val="00EF3A8C"/>
    <w:rsid w:val="00EF3B84"/>
    <w:rsid w:val="00EF3C49"/>
    <w:rsid w:val="00EF3CC5"/>
    <w:rsid w:val="00EF3D55"/>
    <w:rsid w:val="00EF3ECB"/>
    <w:rsid w:val="00EF3ED6"/>
    <w:rsid w:val="00EF3F0C"/>
    <w:rsid w:val="00EF3FF4"/>
    <w:rsid w:val="00EF4155"/>
    <w:rsid w:val="00EF4179"/>
    <w:rsid w:val="00EF4406"/>
    <w:rsid w:val="00EF456B"/>
    <w:rsid w:val="00EF456E"/>
    <w:rsid w:val="00EF4634"/>
    <w:rsid w:val="00EF4671"/>
    <w:rsid w:val="00EF467C"/>
    <w:rsid w:val="00EF46E3"/>
    <w:rsid w:val="00EF472F"/>
    <w:rsid w:val="00EF4735"/>
    <w:rsid w:val="00EF4799"/>
    <w:rsid w:val="00EF4868"/>
    <w:rsid w:val="00EF48E7"/>
    <w:rsid w:val="00EF494C"/>
    <w:rsid w:val="00EF4970"/>
    <w:rsid w:val="00EF4A22"/>
    <w:rsid w:val="00EF4A2F"/>
    <w:rsid w:val="00EF4A4F"/>
    <w:rsid w:val="00EF4B33"/>
    <w:rsid w:val="00EF4C67"/>
    <w:rsid w:val="00EF4CF1"/>
    <w:rsid w:val="00EF4D59"/>
    <w:rsid w:val="00EF4D90"/>
    <w:rsid w:val="00EF4E0A"/>
    <w:rsid w:val="00EF4F85"/>
    <w:rsid w:val="00EF510D"/>
    <w:rsid w:val="00EF5224"/>
    <w:rsid w:val="00EF524C"/>
    <w:rsid w:val="00EF5327"/>
    <w:rsid w:val="00EF539D"/>
    <w:rsid w:val="00EF5501"/>
    <w:rsid w:val="00EF566D"/>
    <w:rsid w:val="00EF5695"/>
    <w:rsid w:val="00EF576A"/>
    <w:rsid w:val="00EF57A1"/>
    <w:rsid w:val="00EF5882"/>
    <w:rsid w:val="00EF593C"/>
    <w:rsid w:val="00EF59C8"/>
    <w:rsid w:val="00EF5A21"/>
    <w:rsid w:val="00EF5B4D"/>
    <w:rsid w:val="00EF5C64"/>
    <w:rsid w:val="00EF5CC3"/>
    <w:rsid w:val="00EF5CC9"/>
    <w:rsid w:val="00EF5D29"/>
    <w:rsid w:val="00EF5D50"/>
    <w:rsid w:val="00EF5DB7"/>
    <w:rsid w:val="00EF5E74"/>
    <w:rsid w:val="00EF5E82"/>
    <w:rsid w:val="00EF5F62"/>
    <w:rsid w:val="00EF6040"/>
    <w:rsid w:val="00EF60A5"/>
    <w:rsid w:val="00EF6100"/>
    <w:rsid w:val="00EF6108"/>
    <w:rsid w:val="00EF617D"/>
    <w:rsid w:val="00EF61A7"/>
    <w:rsid w:val="00EF61AA"/>
    <w:rsid w:val="00EF61B3"/>
    <w:rsid w:val="00EF61CB"/>
    <w:rsid w:val="00EF62F1"/>
    <w:rsid w:val="00EF6302"/>
    <w:rsid w:val="00EF634D"/>
    <w:rsid w:val="00EF64A0"/>
    <w:rsid w:val="00EF6502"/>
    <w:rsid w:val="00EF6519"/>
    <w:rsid w:val="00EF6571"/>
    <w:rsid w:val="00EF6590"/>
    <w:rsid w:val="00EF65CE"/>
    <w:rsid w:val="00EF6645"/>
    <w:rsid w:val="00EF665B"/>
    <w:rsid w:val="00EF66C2"/>
    <w:rsid w:val="00EF6700"/>
    <w:rsid w:val="00EF6779"/>
    <w:rsid w:val="00EF6783"/>
    <w:rsid w:val="00EF6799"/>
    <w:rsid w:val="00EF683D"/>
    <w:rsid w:val="00EF688C"/>
    <w:rsid w:val="00EF68FF"/>
    <w:rsid w:val="00EF6931"/>
    <w:rsid w:val="00EF6A4E"/>
    <w:rsid w:val="00EF6A64"/>
    <w:rsid w:val="00EF6A67"/>
    <w:rsid w:val="00EF6AC3"/>
    <w:rsid w:val="00EF6AD9"/>
    <w:rsid w:val="00EF6CE2"/>
    <w:rsid w:val="00EF6D0F"/>
    <w:rsid w:val="00EF6DA3"/>
    <w:rsid w:val="00EF6E01"/>
    <w:rsid w:val="00EF6E22"/>
    <w:rsid w:val="00EF6E97"/>
    <w:rsid w:val="00EF6EBD"/>
    <w:rsid w:val="00EF70F1"/>
    <w:rsid w:val="00EF7184"/>
    <w:rsid w:val="00EF71F0"/>
    <w:rsid w:val="00EF71F3"/>
    <w:rsid w:val="00EF7222"/>
    <w:rsid w:val="00EF7223"/>
    <w:rsid w:val="00EF7386"/>
    <w:rsid w:val="00EF738B"/>
    <w:rsid w:val="00EF73E2"/>
    <w:rsid w:val="00EF74F9"/>
    <w:rsid w:val="00EF7511"/>
    <w:rsid w:val="00EF7612"/>
    <w:rsid w:val="00EF76AA"/>
    <w:rsid w:val="00EF76C0"/>
    <w:rsid w:val="00EF772A"/>
    <w:rsid w:val="00EF7836"/>
    <w:rsid w:val="00EF793F"/>
    <w:rsid w:val="00EF797B"/>
    <w:rsid w:val="00EF79A7"/>
    <w:rsid w:val="00EF79E5"/>
    <w:rsid w:val="00EF7B1E"/>
    <w:rsid w:val="00EF7C83"/>
    <w:rsid w:val="00EF7C9C"/>
    <w:rsid w:val="00EF7CCC"/>
    <w:rsid w:val="00EF7CE4"/>
    <w:rsid w:val="00EF7CF3"/>
    <w:rsid w:val="00EF7E66"/>
    <w:rsid w:val="00EF7EC9"/>
    <w:rsid w:val="00F000F4"/>
    <w:rsid w:val="00F00211"/>
    <w:rsid w:val="00F00244"/>
    <w:rsid w:val="00F002F1"/>
    <w:rsid w:val="00F0039B"/>
    <w:rsid w:val="00F0041B"/>
    <w:rsid w:val="00F0043D"/>
    <w:rsid w:val="00F00462"/>
    <w:rsid w:val="00F00504"/>
    <w:rsid w:val="00F0065A"/>
    <w:rsid w:val="00F0073C"/>
    <w:rsid w:val="00F007ED"/>
    <w:rsid w:val="00F008A7"/>
    <w:rsid w:val="00F008DA"/>
    <w:rsid w:val="00F00953"/>
    <w:rsid w:val="00F009B0"/>
    <w:rsid w:val="00F009F2"/>
    <w:rsid w:val="00F00A16"/>
    <w:rsid w:val="00F00A4F"/>
    <w:rsid w:val="00F00A5F"/>
    <w:rsid w:val="00F00A8B"/>
    <w:rsid w:val="00F00B6A"/>
    <w:rsid w:val="00F00B6E"/>
    <w:rsid w:val="00F00BEA"/>
    <w:rsid w:val="00F00C71"/>
    <w:rsid w:val="00F00C75"/>
    <w:rsid w:val="00F00CE4"/>
    <w:rsid w:val="00F00DA0"/>
    <w:rsid w:val="00F00DF2"/>
    <w:rsid w:val="00F00E25"/>
    <w:rsid w:val="00F00EE5"/>
    <w:rsid w:val="00F00FBD"/>
    <w:rsid w:val="00F010EC"/>
    <w:rsid w:val="00F01228"/>
    <w:rsid w:val="00F0128C"/>
    <w:rsid w:val="00F01452"/>
    <w:rsid w:val="00F0146D"/>
    <w:rsid w:val="00F0154B"/>
    <w:rsid w:val="00F01761"/>
    <w:rsid w:val="00F017FF"/>
    <w:rsid w:val="00F01947"/>
    <w:rsid w:val="00F019B1"/>
    <w:rsid w:val="00F019CE"/>
    <w:rsid w:val="00F01AFF"/>
    <w:rsid w:val="00F01BD5"/>
    <w:rsid w:val="00F01BD7"/>
    <w:rsid w:val="00F01C1D"/>
    <w:rsid w:val="00F01D10"/>
    <w:rsid w:val="00F01D49"/>
    <w:rsid w:val="00F01D65"/>
    <w:rsid w:val="00F01DC9"/>
    <w:rsid w:val="00F01E0D"/>
    <w:rsid w:val="00F01E66"/>
    <w:rsid w:val="00F01ED1"/>
    <w:rsid w:val="00F01F27"/>
    <w:rsid w:val="00F02070"/>
    <w:rsid w:val="00F02119"/>
    <w:rsid w:val="00F0217B"/>
    <w:rsid w:val="00F02197"/>
    <w:rsid w:val="00F02314"/>
    <w:rsid w:val="00F025C7"/>
    <w:rsid w:val="00F02696"/>
    <w:rsid w:val="00F026C8"/>
    <w:rsid w:val="00F027C8"/>
    <w:rsid w:val="00F0291B"/>
    <w:rsid w:val="00F0294F"/>
    <w:rsid w:val="00F029ED"/>
    <w:rsid w:val="00F02A07"/>
    <w:rsid w:val="00F02AE2"/>
    <w:rsid w:val="00F02B16"/>
    <w:rsid w:val="00F02B84"/>
    <w:rsid w:val="00F02C8E"/>
    <w:rsid w:val="00F02CEF"/>
    <w:rsid w:val="00F02D29"/>
    <w:rsid w:val="00F02ED2"/>
    <w:rsid w:val="00F02F24"/>
    <w:rsid w:val="00F02F40"/>
    <w:rsid w:val="00F02FB5"/>
    <w:rsid w:val="00F02FC7"/>
    <w:rsid w:val="00F02FE1"/>
    <w:rsid w:val="00F03000"/>
    <w:rsid w:val="00F030D2"/>
    <w:rsid w:val="00F0329F"/>
    <w:rsid w:val="00F03336"/>
    <w:rsid w:val="00F03363"/>
    <w:rsid w:val="00F03391"/>
    <w:rsid w:val="00F033C3"/>
    <w:rsid w:val="00F033CB"/>
    <w:rsid w:val="00F03465"/>
    <w:rsid w:val="00F0347C"/>
    <w:rsid w:val="00F034E4"/>
    <w:rsid w:val="00F035A1"/>
    <w:rsid w:val="00F035CF"/>
    <w:rsid w:val="00F035EE"/>
    <w:rsid w:val="00F0368B"/>
    <w:rsid w:val="00F03722"/>
    <w:rsid w:val="00F03844"/>
    <w:rsid w:val="00F0398B"/>
    <w:rsid w:val="00F03AF0"/>
    <w:rsid w:val="00F03B22"/>
    <w:rsid w:val="00F03B55"/>
    <w:rsid w:val="00F03C4D"/>
    <w:rsid w:val="00F03C71"/>
    <w:rsid w:val="00F03D10"/>
    <w:rsid w:val="00F03DC8"/>
    <w:rsid w:val="00F03FAB"/>
    <w:rsid w:val="00F03FBE"/>
    <w:rsid w:val="00F0409A"/>
    <w:rsid w:val="00F04125"/>
    <w:rsid w:val="00F04293"/>
    <w:rsid w:val="00F04335"/>
    <w:rsid w:val="00F043EC"/>
    <w:rsid w:val="00F04406"/>
    <w:rsid w:val="00F04452"/>
    <w:rsid w:val="00F04473"/>
    <w:rsid w:val="00F04509"/>
    <w:rsid w:val="00F04630"/>
    <w:rsid w:val="00F04636"/>
    <w:rsid w:val="00F048EE"/>
    <w:rsid w:val="00F0492E"/>
    <w:rsid w:val="00F04A3C"/>
    <w:rsid w:val="00F04B00"/>
    <w:rsid w:val="00F04C53"/>
    <w:rsid w:val="00F04C77"/>
    <w:rsid w:val="00F04CF1"/>
    <w:rsid w:val="00F04DD5"/>
    <w:rsid w:val="00F04DE7"/>
    <w:rsid w:val="00F04ECD"/>
    <w:rsid w:val="00F04ED5"/>
    <w:rsid w:val="00F04F5D"/>
    <w:rsid w:val="00F04F73"/>
    <w:rsid w:val="00F050E8"/>
    <w:rsid w:val="00F05181"/>
    <w:rsid w:val="00F05325"/>
    <w:rsid w:val="00F05327"/>
    <w:rsid w:val="00F0538F"/>
    <w:rsid w:val="00F0541E"/>
    <w:rsid w:val="00F0546D"/>
    <w:rsid w:val="00F054B6"/>
    <w:rsid w:val="00F054CE"/>
    <w:rsid w:val="00F05546"/>
    <w:rsid w:val="00F055AE"/>
    <w:rsid w:val="00F056CA"/>
    <w:rsid w:val="00F056CB"/>
    <w:rsid w:val="00F056F4"/>
    <w:rsid w:val="00F057DE"/>
    <w:rsid w:val="00F05831"/>
    <w:rsid w:val="00F0587C"/>
    <w:rsid w:val="00F059B5"/>
    <w:rsid w:val="00F05A46"/>
    <w:rsid w:val="00F05B85"/>
    <w:rsid w:val="00F05C0A"/>
    <w:rsid w:val="00F05C0C"/>
    <w:rsid w:val="00F05CF9"/>
    <w:rsid w:val="00F05EDD"/>
    <w:rsid w:val="00F05F02"/>
    <w:rsid w:val="00F05F8A"/>
    <w:rsid w:val="00F0607F"/>
    <w:rsid w:val="00F062E0"/>
    <w:rsid w:val="00F063FC"/>
    <w:rsid w:val="00F0646B"/>
    <w:rsid w:val="00F064CB"/>
    <w:rsid w:val="00F065AB"/>
    <w:rsid w:val="00F065CB"/>
    <w:rsid w:val="00F06615"/>
    <w:rsid w:val="00F066CD"/>
    <w:rsid w:val="00F06797"/>
    <w:rsid w:val="00F067BC"/>
    <w:rsid w:val="00F067BE"/>
    <w:rsid w:val="00F0680C"/>
    <w:rsid w:val="00F0687D"/>
    <w:rsid w:val="00F0688F"/>
    <w:rsid w:val="00F06961"/>
    <w:rsid w:val="00F0698E"/>
    <w:rsid w:val="00F06999"/>
    <w:rsid w:val="00F069B1"/>
    <w:rsid w:val="00F06A7B"/>
    <w:rsid w:val="00F06ABC"/>
    <w:rsid w:val="00F06AD3"/>
    <w:rsid w:val="00F06B88"/>
    <w:rsid w:val="00F06BE4"/>
    <w:rsid w:val="00F06BF6"/>
    <w:rsid w:val="00F06C18"/>
    <w:rsid w:val="00F06D58"/>
    <w:rsid w:val="00F06D75"/>
    <w:rsid w:val="00F06D81"/>
    <w:rsid w:val="00F06DCD"/>
    <w:rsid w:val="00F070E9"/>
    <w:rsid w:val="00F07115"/>
    <w:rsid w:val="00F07270"/>
    <w:rsid w:val="00F072C1"/>
    <w:rsid w:val="00F0736D"/>
    <w:rsid w:val="00F0738D"/>
    <w:rsid w:val="00F0746A"/>
    <w:rsid w:val="00F0748E"/>
    <w:rsid w:val="00F075C1"/>
    <w:rsid w:val="00F075ED"/>
    <w:rsid w:val="00F075F6"/>
    <w:rsid w:val="00F075F8"/>
    <w:rsid w:val="00F07763"/>
    <w:rsid w:val="00F07879"/>
    <w:rsid w:val="00F0796F"/>
    <w:rsid w:val="00F079CC"/>
    <w:rsid w:val="00F079D9"/>
    <w:rsid w:val="00F079ED"/>
    <w:rsid w:val="00F07AF4"/>
    <w:rsid w:val="00F07C6E"/>
    <w:rsid w:val="00F07CC5"/>
    <w:rsid w:val="00F07CE4"/>
    <w:rsid w:val="00F07D1B"/>
    <w:rsid w:val="00F07D85"/>
    <w:rsid w:val="00F07E2A"/>
    <w:rsid w:val="00F07E7E"/>
    <w:rsid w:val="00F07EFA"/>
    <w:rsid w:val="00F07EFC"/>
    <w:rsid w:val="00F07F62"/>
    <w:rsid w:val="00F07FBC"/>
    <w:rsid w:val="00F07FEF"/>
    <w:rsid w:val="00F10175"/>
    <w:rsid w:val="00F102A7"/>
    <w:rsid w:val="00F10381"/>
    <w:rsid w:val="00F10390"/>
    <w:rsid w:val="00F1039F"/>
    <w:rsid w:val="00F1042B"/>
    <w:rsid w:val="00F1049F"/>
    <w:rsid w:val="00F10525"/>
    <w:rsid w:val="00F105D7"/>
    <w:rsid w:val="00F10683"/>
    <w:rsid w:val="00F106A6"/>
    <w:rsid w:val="00F106F1"/>
    <w:rsid w:val="00F10849"/>
    <w:rsid w:val="00F10960"/>
    <w:rsid w:val="00F10982"/>
    <w:rsid w:val="00F109F7"/>
    <w:rsid w:val="00F10B2D"/>
    <w:rsid w:val="00F10BE3"/>
    <w:rsid w:val="00F10C00"/>
    <w:rsid w:val="00F10C3B"/>
    <w:rsid w:val="00F10EB0"/>
    <w:rsid w:val="00F110C0"/>
    <w:rsid w:val="00F1112F"/>
    <w:rsid w:val="00F1118F"/>
    <w:rsid w:val="00F11329"/>
    <w:rsid w:val="00F114C6"/>
    <w:rsid w:val="00F114CA"/>
    <w:rsid w:val="00F114E6"/>
    <w:rsid w:val="00F1155F"/>
    <w:rsid w:val="00F115D9"/>
    <w:rsid w:val="00F116B8"/>
    <w:rsid w:val="00F116DE"/>
    <w:rsid w:val="00F11722"/>
    <w:rsid w:val="00F11726"/>
    <w:rsid w:val="00F11814"/>
    <w:rsid w:val="00F118D3"/>
    <w:rsid w:val="00F11922"/>
    <w:rsid w:val="00F11A20"/>
    <w:rsid w:val="00F11A6A"/>
    <w:rsid w:val="00F11B04"/>
    <w:rsid w:val="00F11C1B"/>
    <w:rsid w:val="00F11C8D"/>
    <w:rsid w:val="00F11DDE"/>
    <w:rsid w:val="00F11E01"/>
    <w:rsid w:val="00F11E1E"/>
    <w:rsid w:val="00F11E53"/>
    <w:rsid w:val="00F11EDA"/>
    <w:rsid w:val="00F11EF1"/>
    <w:rsid w:val="00F11F36"/>
    <w:rsid w:val="00F11F91"/>
    <w:rsid w:val="00F11FBC"/>
    <w:rsid w:val="00F11FEE"/>
    <w:rsid w:val="00F121B3"/>
    <w:rsid w:val="00F12223"/>
    <w:rsid w:val="00F12248"/>
    <w:rsid w:val="00F122B8"/>
    <w:rsid w:val="00F12366"/>
    <w:rsid w:val="00F12463"/>
    <w:rsid w:val="00F124AC"/>
    <w:rsid w:val="00F12632"/>
    <w:rsid w:val="00F126D8"/>
    <w:rsid w:val="00F126E7"/>
    <w:rsid w:val="00F12863"/>
    <w:rsid w:val="00F128E8"/>
    <w:rsid w:val="00F12A39"/>
    <w:rsid w:val="00F12AB9"/>
    <w:rsid w:val="00F12AFC"/>
    <w:rsid w:val="00F12BC1"/>
    <w:rsid w:val="00F12BD3"/>
    <w:rsid w:val="00F12BF3"/>
    <w:rsid w:val="00F12C77"/>
    <w:rsid w:val="00F12C8C"/>
    <w:rsid w:val="00F12CEC"/>
    <w:rsid w:val="00F12D68"/>
    <w:rsid w:val="00F12D72"/>
    <w:rsid w:val="00F12F0F"/>
    <w:rsid w:val="00F12F1E"/>
    <w:rsid w:val="00F12F95"/>
    <w:rsid w:val="00F12F97"/>
    <w:rsid w:val="00F12F9C"/>
    <w:rsid w:val="00F1308E"/>
    <w:rsid w:val="00F130E6"/>
    <w:rsid w:val="00F1317F"/>
    <w:rsid w:val="00F131F2"/>
    <w:rsid w:val="00F1324A"/>
    <w:rsid w:val="00F133D0"/>
    <w:rsid w:val="00F133F5"/>
    <w:rsid w:val="00F13474"/>
    <w:rsid w:val="00F13487"/>
    <w:rsid w:val="00F13513"/>
    <w:rsid w:val="00F13535"/>
    <w:rsid w:val="00F13625"/>
    <w:rsid w:val="00F13697"/>
    <w:rsid w:val="00F136A1"/>
    <w:rsid w:val="00F1380B"/>
    <w:rsid w:val="00F13922"/>
    <w:rsid w:val="00F1392D"/>
    <w:rsid w:val="00F139F5"/>
    <w:rsid w:val="00F13B25"/>
    <w:rsid w:val="00F13C83"/>
    <w:rsid w:val="00F13C9D"/>
    <w:rsid w:val="00F13D2F"/>
    <w:rsid w:val="00F13D78"/>
    <w:rsid w:val="00F13D8F"/>
    <w:rsid w:val="00F13E49"/>
    <w:rsid w:val="00F13E85"/>
    <w:rsid w:val="00F13F96"/>
    <w:rsid w:val="00F13FF4"/>
    <w:rsid w:val="00F14025"/>
    <w:rsid w:val="00F14080"/>
    <w:rsid w:val="00F1410D"/>
    <w:rsid w:val="00F141F5"/>
    <w:rsid w:val="00F142A8"/>
    <w:rsid w:val="00F14353"/>
    <w:rsid w:val="00F14397"/>
    <w:rsid w:val="00F14458"/>
    <w:rsid w:val="00F14476"/>
    <w:rsid w:val="00F14508"/>
    <w:rsid w:val="00F1450B"/>
    <w:rsid w:val="00F14645"/>
    <w:rsid w:val="00F14732"/>
    <w:rsid w:val="00F14814"/>
    <w:rsid w:val="00F1488D"/>
    <w:rsid w:val="00F14927"/>
    <w:rsid w:val="00F14945"/>
    <w:rsid w:val="00F14A89"/>
    <w:rsid w:val="00F14B24"/>
    <w:rsid w:val="00F14B2E"/>
    <w:rsid w:val="00F14BCB"/>
    <w:rsid w:val="00F14C1B"/>
    <w:rsid w:val="00F14C7D"/>
    <w:rsid w:val="00F14C80"/>
    <w:rsid w:val="00F14D47"/>
    <w:rsid w:val="00F14D58"/>
    <w:rsid w:val="00F14D8C"/>
    <w:rsid w:val="00F14E1F"/>
    <w:rsid w:val="00F14E3A"/>
    <w:rsid w:val="00F14E56"/>
    <w:rsid w:val="00F14EA9"/>
    <w:rsid w:val="00F14EBD"/>
    <w:rsid w:val="00F14F25"/>
    <w:rsid w:val="00F14FF5"/>
    <w:rsid w:val="00F15044"/>
    <w:rsid w:val="00F150E1"/>
    <w:rsid w:val="00F151B9"/>
    <w:rsid w:val="00F1521A"/>
    <w:rsid w:val="00F1529D"/>
    <w:rsid w:val="00F1529E"/>
    <w:rsid w:val="00F152CA"/>
    <w:rsid w:val="00F15342"/>
    <w:rsid w:val="00F1534B"/>
    <w:rsid w:val="00F153FD"/>
    <w:rsid w:val="00F154E0"/>
    <w:rsid w:val="00F154EC"/>
    <w:rsid w:val="00F15539"/>
    <w:rsid w:val="00F155AF"/>
    <w:rsid w:val="00F15600"/>
    <w:rsid w:val="00F15790"/>
    <w:rsid w:val="00F157F1"/>
    <w:rsid w:val="00F158D1"/>
    <w:rsid w:val="00F1595E"/>
    <w:rsid w:val="00F1598F"/>
    <w:rsid w:val="00F15A6A"/>
    <w:rsid w:val="00F15A7B"/>
    <w:rsid w:val="00F15C5D"/>
    <w:rsid w:val="00F15D72"/>
    <w:rsid w:val="00F15DA0"/>
    <w:rsid w:val="00F15DBA"/>
    <w:rsid w:val="00F15DCF"/>
    <w:rsid w:val="00F15EE9"/>
    <w:rsid w:val="00F160DF"/>
    <w:rsid w:val="00F16377"/>
    <w:rsid w:val="00F16393"/>
    <w:rsid w:val="00F163B8"/>
    <w:rsid w:val="00F164CD"/>
    <w:rsid w:val="00F164F2"/>
    <w:rsid w:val="00F165AD"/>
    <w:rsid w:val="00F165F0"/>
    <w:rsid w:val="00F165FE"/>
    <w:rsid w:val="00F166BC"/>
    <w:rsid w:val="00F166D8"/>
    <w:rsid w:val="00F1672A"/>
    <w:rsid w:val="00F16731"/>
    <w:rsid w:val="00F1675C"/>
    <w:rsid w:val="00F16878"/>
    <w:rsid w:val="00F16AD6"/>
    <w:rsid w:val="00F16B70"/>
    <w:rsid w:val="00F16B84"/>
    <w:rsid w:val="00F16BF3"/>
    <w:rsid w:val="00F16C5A"/>
    <w:rsid w:val="00F16D9D"/>
    <w:rsid w:val="00F16EA0"/>
    <w:rsid w:val="00F16FA1"/>
    <w:rsid w:val="00F16FFA"/>
    <w:rsid w:val="00F1700B"/>
    <w:rsid w:val="00F17044"/>
    <w:rsid w:val="00F170B3"/>
    <w:rsid w:val="00F1711A"/>
    <w:rsid w:val="00F171DA"/>
    <w:rsid w:val="00F17381"/>
    <w:rsid w:val="00F17382"/>
    <w:rsid w:val="00F173D4"/>
    <w:rsid w:val="00F1742F"/>
    <w:rsid w:val="00F17585"/>
    <w:rsid w:val="00F1758B"/>
    <w:rsid w:val="00F175FA"/>
    <w:rsid w:val="00F1777C"/>
    <w:rsid w:val="00F177CE"/>
    <w:rsid w:val="00F17A60"/>
    <w:rsid w:val="00F17B17"/>
    <w:rsid w:val="00F17BDC"/>
    <w:rsid w:val="00F17CE8"/>
    <w:rsid w:val="00F17D51"/>
    <w:rsid w:val="00F17E26"/>
    <w:rsid w:val="00F17E83"/>
    <w:rsid w:val="00F17FA2"/>
    <w:rsid w:val="00F17FFB"/>
    <w:rsid w:val="00F2030D"/>
    <w:rsid w:val="00F2035D"/>
    <w:rsid w:val="00F203FB"/>
    <w:rsid w:val="00F20448"/>
    <w:rsid w:val="00F2049E"/>
    <w:rsid w:val="00F204A7"/>
    <w:rsid w:val="00F204B1"/>
    <w:rsid w:val="00F204DD"/>
    <w:rsid w:val="00F204E2"/>
    <w:rsid w:val="00F20509"/>
    <w:rsid w:val="00F206BE"/>
    <w:rsid w:val="00F206D2"/>
    <w:rsid w:val="00F208B2"/>
    <w:rsid w:val="00F208EC"/>
    <w:rsid w:val="00F20915"/>
    <w:rsid w:val="00F209AB"/>
    <w:rsid w:val="00F20A08"/>
    <w:rsid w:val="00F20B4F"/>
    <w:rsid w:val="00F20C09"/>
    <w:rsid w:val="00F20C43"/>
    <w:rsid w:val="00F20CAC"/>
    <w:rsid w:val="00F20CD2"/>
    <w:rsid w:val="00F20D29"/>
    <w:rsid w:val="00F20D37"/>
    <w:rsid w:val="00F20E53"/>
    <w:rsid w:val="00F20E90"/>
    <w:rsid w:val="00F20F57"/>
    <w:rsid w:val="00F20F69"/>
    <w:rsid w:val="00F20FFD"/>
    <w:rsid w:val="00F21077"/>
    <w:rsid w:val="00F2108E"/>
    <w:rsid w:val="00F210AC"/>
    <w:rsid w:val="00F21119"/>
    <w:rsid w:val="00F21155"/>
    <w:rsid w:val="00F211FD"/>
    <w:rsid w:val="00F2123F"/>
    <w:rsid w:val="00F21288"/>
    <w:rsid w:val="00F212AB"/>
    <w:rsid w:val="00F214F2"/>
    <w:rsid w:val="00F21518"/>
    <w:rsid w:val="00F2153D"/>
    <w:rsid w:val="00F215C2"/>
    <w:rsid w:val="00F216C9"/>
    <w:rsid w:val="00F216D3"/>
    <w:rsid w:val="00F21708"/>
    <w:rsid w:val="00F21751"/>
    <w:rsid w:val="00F21885"/>
    <w:rsid w:val="00F219CF"/>
    <w:rsid w:val="00F21A74"/>
    <w:rsid w:val="00F21B36"/>
    <w:rsid w:val="00F21CB6"/>
    <w:rsid w:val="00F21CD3"/>
    <w:rsid w:val="00F21D60"/>
    <w:rsid w:val="00F21D63"/>
    <w:rsid w:val="00F21D6E"/>
    <w:rsid w:val="00F21DA1"/>
    <w:rsid w:val="00F21EA8"/>
    <w:rsid w:val="00F21F0D"/>
    <w:rsid w:val="00F21F26"/>
    <w:rsid w:val="00F21F78"/>
    <w:rsid w:val="00F21F98"/>
    <w:rsid w:val="00F21FD0"/>
    <w:rsid w:val="00F220A7"/>
    <w:rsid w:val="00F220D7"/>
    <w:rsid w:val="00F22113"/>
    <w:rsid w:val="00F22458"/>
    <w:rsid w:val="00F2258A"/>
    <w:rsid w:val="00F22631"/>
    <w:rsid w:val="00F2280D"/>
    <w:rsid w:val="00F2282E"/>
    <w:rsid w:val="00F22837"/>
    <w:rsid w:val="00F228D3"/>
    <w:rsid w:val="00F228E5"/>
    <w:rsid w:val="00F2297B"/>
    <w:rsid w:val="00F229CD"/>
    <w:rsid w:val="00F229D3"/>
    <w:rsid w:val="00F22A3C"/>
    <w:rsid w:val="00F22A8E"/>
    <w:rsid w:val="00F22B8D"/>
    <w:rsid w:val="00F22BB8"/>
    <w:rsid w:val="00F22C7B"/>
    <w:rsid w:val="00F22CF2"/>
    <w:rsid w:val="00F22DAB"/>
    <w:rsid w:val="00F22E72"/>
    <w:rsid w:val="00F22E86"/>
    <w:rsid w:val="00F2309B"/>
    <w:rsid w:val="00F230DC"/>
    <w:rsid w:val="00F230F4"/>
    <w:rsid w:val="00F231CC"/>
    <w:rsid w:val="00F23263"/>
    <w:rsid w:val="00F23297"/>
    <w:rsid w:val="00F232B4"/>
    <w:rsid w:val="00F2335D"/>
    <w:rsid w:val="00F233C9"/>
    <w:rsid w:val="00F233ED"/>
    <w:rsid w:val="00F23436"/>
    <w:rsid w:val="00F23464"/>
    <w:rsid w:val="00F23781"/>
    <w:rsid w:val="00F237AE"/>
    <w:rsid w:val="00F23895"/>
    <w:rsid w:val="00F23BA6"/>
    <w:rsid w:val="00F23BC1"/>
    <w:rsid w:val="00F23C3E"/>
    <w:rsid w:val="00F23DB1"/>
    <w:rsid w:val="00F23F5E"/>
    <w:rsid w:val="00F23F86"/>
    <w:rsid w:val="00F24031"/>
    <w:rsid w:val="00F24050"/>
    <w:rsid w:val="00F2405E"/>
    <w:rsid w:val="00F24083"/>
    <w:rsid w:val="00F244BC"/>
    <w:rsid w:val="00F24583"/>
    <w:rsid w:val="00F2466C"/>
    <w:rsid w:val="00F24708"/>
    <w:rsid w:val="00F247D6"/>
    <w:rsid w:val="00F24846"/>
    <w:rsid w:val="00F248A5"/>
    <w:rsid w:val="00F24B50"/>
    <w:rsid w:val="00F24B77"/>
    <w:rsid w:val="00F24C5D"/>
    <w:rsid w:val="00F24D91"/>
    <w:rsid w:val="00F24DB7"/>
    <w:rsid w:val="00F24DE6"/>
    <w:rsid w:val="00F24E54"/>
    <w:rsid w:val="00F24E78"/>
    <w:rsid w:val="00F25042"/>
    <w:rsid w:val="00F25107"/>
    <w:rsid w:val="00F2519C"/>
    <w:rsid w:val="00F251BD"/>
    <w:rsid w:val="00F2520F"/>
    <w:rsid w:val="00F25251"/>
    <w:rsid w:val="00F253A4"/>
    <w:rsid w:val="00F253E7"/>
    <w:rsid w:val="00F2548E"/>
    <w:rsid w:val="00F255AB"/>
    <w:rsid w:val="00F25637"/>
    <w:rsid w:val="00F256B5"/>
    <w:rsid w:val="00F256B7"/>
    <w:rsid w:val="00F256CB"/>
    <w:rsid w:val="00F2575B"/>
    <w:rsid w:val="00F25879"/>
    <w:rsid w:val="00F25941"/>
    <w:rsid w:val="00F25B87"/>
    <w:rsid w:val="00F25C1B"/>
    <w:rsid w:val="00F25C94"/>
    <w:rsid w:val="00F25CFB"/>
    <w:rsid w:val="00F25E25"/>
    <w:rsid w:val="00F25EB5"/>
    <w:rsid w:val="00F25ED6"/>
    <w:rsid w:val="00F26055"/>
    <w:rsid w:val="00F26058"/>
    <w:rsid w:val="00F26087"/>
    <w:rsid w:val="00F2608A"/>
    <w:rsid w:val="00F262C0"/>
    <w:rsid w:val="00F262C1"/>
    <w:rsid w:val="00F262D6"/>
    <w:rsid w:val="00F2631C"/>
    <w:rsid w:val="00F26383"/>
    <w:rsid w:val="00F264E5"/>
    <w:rsid w:val="00F26674"/>
    <w:rsid w:val="00F26786"/>
    <w:rsid w:val="00F2696D"/>
    <w:rsid w:val="00F2698C"/>
    <w:rsid w:val="00F26A82"/>
    <w:rsid w:val="00F26B78"/>
    <w:rsid w:val="00F26BA6"/>
    <w:rsid w:val="00F26BC3"/>
    <w:rsid w:val="00F26C8D"/>
    <w:rsid w:val="00F26CEA"/>
    <w:rsid w:val="00F26DC3"/>
    <w:rsid w:val="00F26E10"/>
    <w:rsid w:val="00F26E54"/>
    <w:rsid w:val="00F26E71"/>
    <w:rsid w:val="00F26EA5"/>
    <w:rsid w:val="00F26F1C"/>
    <w:rsid w:val="00F26F7C"/>
    <w:rsid w:val="00F2703C"/>
    <w:rsid w:val="00F270B4"/>
    <w:rsid w:val="00F27114"/>
    <w:rsid w:val="00F27179"/>
    <w:rsid w:val="00F2730C"/>
    <w:rsid w:val="00F2734F"/>
    <w:rsid w:val="00F27364"/>
    <w:rsid w:val="00F2740F"/>
    <w:rsid w:val="00F2743F"/>
    <w:rsid w:val="00F27445"/>
    <w:rsid w:val="00F27459"/>
    <w:rsid w:val="00F27495"/>
    <w:rsid w:val="00F27636"/>
    <w:rsid w:val="00F27763"/>
    <w:rsid w:val="00F27773"/>
    <w:rsid w:val="00F278FE"/>
    <w:rsid w:val="00F27984"/>
    <w:rsid w:val="00F279CC"/>
    <w:rsid w:val="00F27A6B"/>
    <w:rsid w:val="00F27BB3"/>
    <w:rsid w:val="00F27CF6"/>
    <w:rsid w:val="00F27D5D"/>
    <w:rsid w:val="00F27DD0"/>
    <w:rsid w:val="00F27DF8"/>
    <w:rsid w:val="00F27E2F"/>
    <w:rsid w:val="00F27FAC"/>
    <w:rsid w:val="00F30104"/>
    <w:rsid w:val="00F30107"/>
    <w:rsid w:val="00F30122"/>
    <w:rsid w:val="00F30214"/>
    <w:rsid w:val="00F3026C"/>
    <w:rsid w:val="00F302EC"/>
    <w:rsid w:val="00F304C7"/>
    <w:rsid w:val="00F30599"/>
    <w:rsid w:val="00F306DE"/>
    <w:rsid w:val="00F307A0"/>
    <w:rsid w:val="00F30938"/>
    <w:rsid w:val="00F3095A"/>
    <w:rsid w:val="00F3095D"/>
    <w:rsid w:val="00F309CA"/>
    <w:rsid w:val="00F30A86"/>
    <w:rsid w:val="00F30A8F"/>
    <w:rsid w:val="00F30B02"/>
    <w:rsid w:val="00F30B08"/>
    <w:rsid w:val="00F30B16"/>
    <w:rsid w:val="00F30B40"/>
    <w:rsid w:val="00F30B54"/>
    <w:rsid w:val="00F30F89"/>
    <w:rsid w:val="00F30F9C"/>
    <w:rsid w:val="00F31042"/>
    <w:rsid w:val="00F31069"/>
    <w:rsid w:val="00F3106E"/>
    <w:rsid w:val="00F31265"/>
    <w:rsid w:val="00F312B9"/>
    <w:rsid w:val="00F31369"/>
    <w:rsid w:val="00F313BB"/>
    <w:rsid w:val="00F31420"/>
    <w:rsid w:val="00F31424"/>
    <w:rsid w:val="00F31437"/>
    <w:rsid w:val="00F3144E"/>
    <w:rsid w:val="00F3165F"/>
    <w:rsid w:val="00F3167D"/>
    <w:rsid w:val="00F3172B"/>
    <w:rsid w:val="00F3174D"/>
    <w:rsid w:val="00F3180F"/>
    <w:rsid w:val="00F31AEA"/>
    <w:rsid w:val="00F31B0A"/>
    <w:rsid w:val="00F31BA5"/>
    <w:rsid w:val="00F31BDC"/>
    <w:rsid w:val="00F31CAF"/>
    <w:rsid w:val="00F31D19"/>
    <w:rsid w:val="00F31D9C"/>
    <w:rsid w:val="00F31DCF"/>
    <w:rsid w:val="00F3202D"/>
    <w:rsid w:val="00F320E2"/>
    <w:rsid w:val="00F32112"/>
    <w:rsid w:val="00F3212B"/>
    <w:rsid w:val="00F32219"/>
    <w:rsid w:val="00F3225E"/>
    <w:rsid w:val="00F322CD"/>
    <w:rsid w:val="00F322DF"/>
    <w:rsid w:val="00F32353"/>
    <w:rsid w:val="00F32357"/>
    <w:rsid w:val="00F32381"/>
    <w:rsid w:val="00F323C4"/>
    <w:rsid w:val="00F32410"/>
    <w:rsid w:val="00F32460"/>
    <w:rsid w:val="00F32499"/>
    <w:rsid w:val="00F324F7"/>
    <w:rsid w:val="00F3253B"/>
    <w:rsid w:val="00F326F8"/>
    <w:rsid w:val="00F3272A"/>
    <w:rsid w:val="00F327A8"/>
    <w:rsid w:val="00F327B7"/>
    <w:rsid w:val="00F327E2"/>
    <w:rsid w:val="00F3294D"/>
    <w:rsid w:val="00F329BA"/>
    <w:rsid w:val="00F32A39"/>
    <w:rsid w:val="00F32A3E"/>
    <w:rsid w:val="00F32A41"/>
    <w:rsid w:val="00F32AFF"/>
    <w:rsid w:val="00F32BC4"/>
    <w:rsid w:val="00F32C82"/>
    <w:rsid w:val="00F32E52"/>
    <w:rsid w:val="00F32E72"/>
    <w:rsid w:val="00F32EAF"/>
    <w:rsid w:val="00F32EF4"/>
    <w:rsid w:val="00F32F51"/>
    <w:rsid w:val="00F32FE5"/>
    <w:rsid w:val="00F32FFF"/>
    <w:rsid w:val="00F33015"/>
    <w:rsid w:val="00F3302F"/>
    <w:rsid w:val="00F33078"/>
    <w:rsid w:val="00F33141"/>
    <w:rsid w:val="00F331B4"/>
    <w:rsid w:val="00F33221"/>
    <w:rsid w:val="00F3327B"/>
    <w:rsid w:val="00F332D1"/>
    <w:rsid w:val="00F332F6"/>
    <w:rsid w:val="00F3333D"/>
    <w:rsid w:val="00F33384"/>
    <w:rsid w:val="00F333E5"/>
    <w:rsid w:val="00F334DE"/>
    <w:rsid w:val="00F335AF"/>
    <w:rsid w:val="00F337A3"/>
    <w:rsid w:val="00F337B5"/>
    <w:rsid w:val="00F337EC"/>
    <w:rsid w:val="00F337EE"/>
    <w:rsid w:val="00F33848"/>
    <w:rsid w:val="00F33883"/>
    <w:rsid w:val="00F33A74"/>
    <w:rsid w:val="00F33AD4"/>
    <w:rsid w:val="00F33B01"/>
    <w:rsid w:val="00F33B16"/>
    <w:rsid w:val="00F33B1F"/>
    <w:rsid w:val="00F33B56"/>
    <w:rsid w:val="00F33B64"/>
    <w:rsid w:val="00F33BD2"/>
    <w:rsid w:val="00F33CF0"/>
    <w:rsid w:val="00F33DB2"/>
    <w:rsid w:val="00F33DC2"/>
    <w:rsid w:val="00F33DF4"/>
    <w:rsid w:val="00F33E5E"/>
    <w:rsid w:val="00F33F81"/>
    <w:rsid w:val="00F33FFC"/>
    <w:rsid w:val="00F34064"/>
    <w:rsid w:val="00F3421D"/>
    <w:rsid w:val="00F34294"/>
    <w:rsid w:val="00F34437"/>
    <w:rsid w:val="00F3459C"/>
    <w:rsid w:val="00F346E2"/>
    <w:rsid w:val="00F3485B"/>
    <w:rsid w:val="00F348F5"/>
    <w:rsid w:val="00F349C4"/>
    <w:rsid w:val="00F34A4D"/>
    <w:rsid w:val="00F34B23"/>
    <w:rsid w:val="00F34BA5"/>
    <w:rsid w:val="00F34C9E"/>
    <w:rsid w:val="00F34CF0"/>
    <w:rsid w:val="00F34D0F"/>
    <w:rsid w:val="00F34E59"/>
    <w:rsid w:val="00F34F9D"/>
    <w:rsid w:val="00F35148"/>
    <w:rsid w:val="00F351FC"/>
    <w:rsid w:val="00F35293"/>
    <w:rsid w:val="00F35462"/>
    <w:rsid w:val="00F35480"/>
    <w:rsid w:val="00F35562"/>
    <w:rsid w:val="00F35571"/>
    <w:rsid w:val="00F35681"/>
    <w:rsid w:val="00F35769"/>
    <w:rsid w:val="00F358FA"/>
    <w:rsid w:val="00F359D5"/>
    <w:rsid w:val="00F35B60"/>
    <w:rsid w:val="00F35BC6"/>
    <w:rsid w:val="00F35BE4"/>
    <w:rsid w:val="00F35C11"/>
    <w:rsid w:val="00F35C35"/>
    <w:rsid w:val="00F35C41"/>
    <w:rsid w:val="00F35CCF"/>
    <w:rsid w:val="00F35DC5"/>
    <w:rsid w:val="00F35DCC"/>
    <w:rsid w:val="00F35E4C"/>
    <w:rsid w:val="00F35EB6"/>
    <w:rsid w:val="00F35F11"/>
    <w:rsid w:val="00F35FB8"/>
    <w:rsid w:val="00F35FF8"/>
    <w:rsid w:val="00F3608C"/>
    <w:rsid w:val="00F36103"/>
    <w:rsid w:val="00F3617A"/>
    <w:rsid w:val="00F361AF"/>
    <w:rsid w:val="00F3621C"/>
    <w:rsid w:val="00F36238"/>
    <w:rsid w:val="00F36242"/>
    <w:rsid w:val="00F362F3"/>
    <w:rsid w:val="00F36320"/>
    <w:rsid w:val="00F3633C"/>
    <w:rsid w:val="00F3634C"/>
    <w:rsid w:val="00F36373"/>
    <w:rsid w:val="00F363AA"/>
    <w:rsid w:val="00F36473"/>
    <w:rsid w:val="00F3647C"/>
    <w:rsid w:val="00F36499"/>
    <w:rsid w:val="00F3650E"/>
    <w:rsid w:val="00F365EC"/>
    <w:rsid w:val="00F36641"/>
    <w:rsid w:val="00F366EB"/>
    <w:rsid w:val="00F3671B"/>
    <w:rsid w:val="00F36767"/>
    <w:rsid w:val="00F367D1"/>
    <w:rsid w:val="00F36894"/>
    <w:rsid w:val="00F369F0"/>
    <w:rsid w:val="00F36B86"/>
    <w:rsid w:val="00F36BA3"/>
    <w:rsid w:val="00F36BF4"/>
    <w:rsid w:val="00F36C2D"/>
    <w:rsid w:val="00F36CEC"/>
    <w:rsid w:val="00F36D94"/>
    <w:rsid w:val="00F36DC9"/>
    <w:rsid w:val="00F36E5E"/>
    <w:rsid w:val="00F36E6F"/>
    <w:rsid w:val="00F36FAF"/>
    <w:rsid w:val="00F370DD"/>
    <w:rsid w:val="00F37104"/>
    <w:rsid w:val="00F3716B"/>
    <w:rsid w:val="00F37269"/>
    <w:rsid w:val="00F37352"/>
    <w:rsid w:val="00F373B3"/>
    <w:rsid w:val="00F37465"/>
    <w:rsid w:val="00F374AC"/>
    <w:rsid w:val="00F3753E"/>
    <w:rsid w:val="00F3754F"/>
    <w:rsid w:val="00F3756B"/>
    <w:rsid w:val="00F375AA"/>
    <w:rsid w:val="00F37602"/>
    <w:rsid w:val="00F37762"/>
    <w:rsid w:val="00F37774"/>
    <w:rsid w:val="00F37810"/>
    <w:rsid w:val="00F37965"/>
    <w:rsid w:val="00F3796F"/>
    <w:rsid w:val="00F37A91"/>
    <w:rsid w:val="00F37B22"/>
    <w:rsid w:val="00F37BBA"/>
    <w:rsid w:val="00F37E83"/>
    <w:rsid w:val="00F37EFF"/>
    <w:rsid w:val="00F4001D"/>
    <w:rsid w:val="00F400B1"/>
    <w:rsid w:val="00F40120"/>
    <w:rsid w:val="00F401FB"/>
    <w:rsid w:val="00F40233"/>
    <w:rsid w:val="00F4025F"/>
    <w:rsid w:val="00F402A9"/>
    <w:rsid w:val="00F403FE"/>
    <w:rsid w:val="00F40506"/>
    <w:rsid w:val="00F4057C"/>
    <w:rsid w:val="00F40582"/>
    <w:rsid w:val="00F40714"/>
    <w:rsid w:val="00F40770"/>
    <w:rsid w:val="00F407C6"/>
    <w:rsid w:val="00F407EF"/>
    <w:rsid w:val="00F408B8"/>
    <w:rsid w:val="00F40935"/>
    <w:rsid w:val="00F409E4"/>
    <w:rsid w:val="00F40A3C"/>
    <w:rsid w:val="00F40A97"/>
    <w:rsid w:val="00F40ADD"/>
    <w:rsid w:val="00F40B20"/>
    <w:rsid w:val="00F40BE4"/>
    <w:rsid w:val="00F40C51"/>
    <w:rsid w:val="00F40C65"/>
    <w:rsid w:val="00F40D68"/>
    <w:rsid w:val="00F40D73"/>
    <w:rsid w:val="00F40DBD"/>
    <w:rsid w:val="00F40E37"/>
    <w:rsid w:val="00F40F9B"/>
    <w:rsid w:val="00F40FF9"/>
    <w:rsid w:val="00F4105A"/>
    <w:rsid w:val="00F41070"/>
    <w:rsid w:val="00F41101"/>
    <w:rsid w:val="00F4110B"/>
    <w:rsid w:val="00F4115B"/>
    <w:rsid w:val="00F4117F"/>
    <w:rsid w:val="00F41186"/>
    <w:rsid w:val="00F411F6"/>
    <w:rsid w:val="00F413FA"/>
    <w:rsid w:val="00F41428"/>
    <w:rsid w:val="00F414EA"/>
    <w:rsid w:val="00F41657"/>
    <w:rsid w:val="00F41685"/>
    <w:rsid w:val="00F41693"/>
    <w:rsid w:val="00F416D1"/>
    <w:rsid w:val="00F416D7"/>
    <w:rsid w:val="00F418FA"/>
    <w:rsid w:val="00F418FC"/>
    <w:rsid w:val="00F41941"/>
    <w:rsid w:val="00F41991"/>
    <w:rsid w:val="00F419D5"/>
    <w:rsid w:val="00F41A04"/>
    <w:rsid w:val="00F41B2C"/>
    <w:rsid w:val="00F41B3C"/>
    <w:rsid w:val="00F41BAA"/>
    <w:rsid w:val="00F41C37"/>
    <w:rsid w:val="00F41CBF"/>
    <w:rsid w:val="00F41D9F"/>
    <w:rsid w:val="00F41DA8"/>
    <w:rsid w:val="00F41E03"/>
    <w:rsid w:val="00F41E97"/>
    <w:rsid w:val="00F41F36"/>
    <w:rsid w:val="00F41F55"/>
    <w:rsid w:val="00F420CA"/>
    <w:rsid w:val="00F420ED"/>
    <w:rsid w:val="00F42257"/>
    <w:rsid w:val="00F422BE"/>
    <w:rsid w:val="00F4241B"/>
    <w:rsid w:val="00F427C8"/>
    <w:rsid w:val="00F4289E"/>
    <w:rsid w:val="00F42944"/>
    <w:rsid w:val="00F42958"/>
    <w:rsid w:val="00F42AF7"/>
    <w:rsid w:val="00F42C82"/>
    <w:rsid w:val="00F42E7A"/>
    <w:rsid w:val="00F42EBF"/>
    <w:rsid w:val="00F42EC4"/>
    <w:rsid w:val="00F42F3A"/>
    <w:rsid w:val="00F42FEB"/>
    <w:rsid w:val="00F43053"/>
    <w:rsid w:val="00F43069"/>
    <w:rsid w:val="00F4308A"/>
    <w:rsid w:val="00F430A8"/>
    <w:rsid w:val="00F4319B"/>
    <w:rsid w:val="00F431A2"/>
    <w:rsid w:val="00F43264"/>
    <w:rsid w:val="00F43378"/>
    <w:rsid w:val="00F433AE"/>
    <w:rsid w:val="00F433C5"/>
    <w:rsid w:val="00F434A4"/>
    <w:rsid w:val="00F43585"/>
    <w:rsid w:val="00F4358F"/>
    <w:rsid w:val="00F435C8"/>
    <w:rsid w:val="00F43636"/>
    <w:rsid w:val="00F43675"/>
    <w:rsid w:val="00F4367B"/>
    <w:rsid w:val="00F4377D"/>
    <w:rsid w:val="00F437ED"/>
    <w:rsid w:val="00F43818"/>
    <w:rsid w:val="00F43963"/>
    <w:rsid w:val="00F43A25"/>
    <w:rsid w:val="00F43A58"/>
    <w:rsid w:val="00F43B37"/>
    <w:rsid w:val="00F43B75"/>
    <w:rsid w:val="00F43B79"/>
    <w:rsid w:val="00F43C0C"/>
    <w:rsid w:val="00F43CDF"/>
    <w:rsid w:val="00F43D58"/>
    <w:rsid w:val="00F43E46"/>
    <w:rsid w:val="00F43E7C"/>
    <w:rsid w:val="00F43E98"/>
    <w:rsid w:val="00F43ED1"/>
    <w:rsid w:val="00F43F4B"/>
    <w:rsid w:val="00F43F98"/>
    <w:rsid w:val="00F43FBD"/>
    <w:rsid w:val="00F440C1"/>
    <w:rsid w:val="00F440DB"/>
    <w:rsid w:val="00F44177"/>
    <w:rsid w:val="00F441DB"/>
    <w:rsid w:val="00F441F9"/>
    <w:rsid w:val="00F44207"/>
    <w:rsid w:val="00F4424C"/>
    <w:rsid w:val="00F4426D"/>
    <w:rsid w:val="00F4427B"/>
    <w:rsid w:val="00F4429C"/>
    <w:rsid w:val="00F442C8"/>
    <w:rsid w:val="00F44322"/>
    <w:rsid w:val="00F44386"/>
    <w:rsid w:val="00F445F4"/>
    <w:rsid w:val="00F446E2"/>
    <w:rsid w:val="00F446F9"/>
    <w:rsid w:val="00F4477B"/>
    <w:rsid w:val="00F4480E"/>
    <w:rsid w:val="00F44875"/>
    <w:rsid w:val="00F44880"/>
    <w:rsid w:val="00F44A31"/>
    <w:rsid w:val="00F44B75"/>
    <w:rsid w:val="00F44B93"/>
    <w:rsid w:val="00F44BB2"/>
    <w:rsid w:val="00F44C80"/>
    <w:rsid w:val="00F44D8D"/>
    <w:rsid w:val="00F44E31"/>
    <w:rsid w:val="00F44E70"/>
    <w:rsid w:val="00F4502C"/>
    <w:rsid w:val="00F451A4"/>
    <w:rsid w:val="00F45202"/>
    <w:rsid w:val="00F45215"/>
    <w:rsid w:val="00F45322"/>
    <w:rsid w:val="00F45426"/>
    <w:rsid w:val="00F45458"/>
    <w:rsid w:val="00F455B2"/>
    <w:rsid w:val="00F45611"/>
    <w:rsid w:val="00F4571D"/>
    <w:rsid w:val="00F457C3"/>
    <w:rsid w:val="00F45854"/>
    <w:rsid w:val="00F45856"/>
    <w:rsid w:val="00F45860"/>
    <w:rsid w:val="00F45AF8"/>
    <w:rsid w:val="00F45B28"/>
    <w:rsid w:val="00F45C71"/>
    <w:rsid w:val="00F45D66"/>
    <w:rsid w:val="00F45D8B"/>
    <w:rsid w:val="00F45DAC"/>
    <w:rsid w:val="00F45DB3"/>
    <w:rsid w:val="00F45E56"/>
    <w:rsid w:val="00F45F52"/>
    <w:rsid w:val="00F460A4"/>
    <w:rsid w:val="00F460AF"/>
    <w:rsid w:val="00F461AD"/>
    <w:rsid w:val="00F461B0"/>
    <w:rsid w:val="00F4624E"/>
    <w:rsid w:val="00F46296"/>
    <w:rsid w:val="00F46308"/>
    <w:rsid w:val="00F4631D"/>
    <w:rsid w:val="00F46339"/>
    <w:rsid w:val="00F46396"/>
    <w:rsid w:val="00F46405"/>
    <w:rsid w:val="00F46473"/>
    <w:rsid w:val="00F464A4"/>
    <w:rsid w:val="00F4650C"/>
    <w:rsid w:val="00F465A7"/>
    <w:rsid w:val="00F465CA"/>
    <w:rsid w:val="00F466D7"/>
    <w:rsid w:val="00F46765"/>
    <w:rsid w:val="00F46881"/>
    <w:rsid w:val="00F46891"/>
    <w:rsid w:val="00F468D9"/>
    <w:rsid w:val="00F468E7"/>
    <w:rsid w:val="00F46926"/>
    <w:rsid w:val="00F46967"/>
    <w:rsid w:val="00F46979"/>
    <w:rsid w:val="00F46A99"/>
    <w:rsid w:val="00F46AC9"/>
    <w:rsid w:val="00F46B20"/>
    <w:rsid w:val="00F46B6B"/>
    <w:rsid w:val="00F46CBE"/>
    <w:rsid w:val="00F46CFA"/>
    <w:rsid w:val="00F46D62"/>
    <w:rsid w:val="00F46D71"/>
    <w:rsid w:val="00F47156"/>
    <w:rsid w:val="00F471F7"/>
    <w:rsid w:val="00F47278"/>
    <w:rsid w:val="00F47399"/>
    <w:rsid w:val="00F474F1"/>
    <w:rsid w:val="00F47594"/>
    <w:rsid w:val="00F475AD"/>
    <w:rsid w:val="00F476A3"/>
    <w:rsid w:val="00F476A9"/>
    <w:rsid w:val="00F476FE"/>
    <w:rsid w:val="00F47729"/>
    <w:rsid w:val="00F4789C"/>
    <w:rsid w:val="00F47910"/>
    <w:rsid w:val="00F47939"/>
    <w:rsid w:val="00F47975"/>
    <w:rsid w:val="00F47A4B"/>
    <w:rsid w:val="00F47A9A"/>
    <w:rsid w:val="00F47AA9"/>
    <w:rsid w:val="00F47AE2"/>
    <w:rsid w:val="00F47C0A"/>
    <w:rsid w:val="00F47C5B"/>
    <w:rsid w:val="00F47C64"/>
    <w:rsid w:val="00F47C7F"/>
    <w:rsid w:val="00F47C9D"/>
    <w:rsid w:val="00F47CEC"/>
    <w:rsid w:val="00F47E87"/>
    <w:rsid w:val="00F47F06"/>
    <w:rsid w:val="00F47F63"/>
    <w:rsid w:val="00F500CE"/>
    <w:rsid w:val="00F5016A"/>
    <w:rsid w:val="00F50181"/>
    <w:rsid w:val="00F50183"/>
    <w:rsid w:val="00F501D1"/>
    <w:rsid w:val="00F50267"/>
    <w:rsid w:val="00F503EA"/>
    <w:rsid w:val="00F5041F"/>
    <w:rsid w:val="00F50552"/>
    <w:rsid w:val="00F507A9"/>
    <w:rsid w:val="00F5092D"/>
    <w:rsid w:val="00F5096E"/>
    <w:rsid w:val="00F509EF"/>
    <w:rsid w:val="00F509F8"/>
    <w:rsid w:val="00F50A2C"/>
    <w:rsid w:val="00F50A44"/>
    <w:rsid w:val="00F50AAF"/>
    <w:rsid w:val="00F50AEA"/>
    <w:rsid w:val="00F50B9C"/>
    <w:rsid w:val="00F50CC9"/>
    <w:rsid w:val="00F50D7C"/>
    <w:rsid w:val="00F50D9A"/>
    <w:rsid w:val="00F51080"/>
    <w:rsid w:val="00F51101"/>
    <w:rsid w:val="00F51144"/>
    <w:rsid w:val="00F5114B"/>
    <w:rsid w:val="00F5119A"/>
    <w:rsid w:val="00F5123F"/>
    <w:rsid w:val="00F51240"/>
    <w:rsid w:val="00F51254"/>
    <w:rsid w:val="00F512E9"/>
    <w:rsid w:val="00F51369"/>
    <w:rsid w:val="00F513E7"/>
    <w:rsid w:val="00F51456"/>
    <w:rsid w:val="00F51593"/>
    <w:rsid w:val="00F5159A"/>
    <w:rsid w:val="00F515B6"/>
    <w:rsid w:val="00F515CD"/>
    <w:rsid w:val="00F516A5"/>
    <w:rsid w:val="00F51708"/>
    <w:rsid w:val="00F517AA"/>
    <w:rsid w:val="00F51816"/>
    <w:rsid w:val="00F5187E"/>
    <w:rsid w:val="00F51909"/>
    <w:rsid w:val="00F51910"/>
    <w:rsid w:val="00F51922"/>
    <w:rsid w:val="00F51A19"/>
    <w:rsid w:val="00F51A24"/>
    <w:rsid w:val="00F51A94"/>
    <w:rsid w:val="00F51AAB"/>
    <w:rsid w:val="00F51AD5"/>
    <w:rsid w:val="00F51B25"/>
    <w:rsid w:val="00F51BF9"/>
    <w:rsid w:val="00F51CA0"/>
    <w:rsid w:val="00F51CCD"/>
    <w:rsid w:val="00F51D0C"/>
    <w:rsid w:val="00F51D2E"/>
    <w:rsid w:val="00F51DFE"/>
    <w:rsid w:val="00F520A7"/>
    <w:rsid w:val="00F520C9"/>
    <w:rsid w:val="00F521C0"/>
    <w:rsid w:val="00F5230C"/>
    <w:rsid w:val="00F52441"/>
    <w:rsid w:val="00F524C0"/>
    <w:rsid w:val="00F524CB"/>
    <w:rsid w:val="00F5269B"/>
    <w:rsid w:val="00F52738"/>
    <w:rsid w:val="00F52787"/>
    <w:rsid w:val="00F527B8"/>
    <w:rsid w:val="00F528BA"/>
    <w:rsid w:val="00F528D6"/>
    <w:rsid w:val="00F52954"/>
    <w:rsid w:val="00F529C3"/>
    <w:rsid w:val="00F529C5"/>
    <w:rsid w:val="00F52A11"/>
    <w:rsid w:val="00F52A13"/>
    <w:rsid w:val="00F52A32"/>
    <w:rsid w:val="00F52A3D"/>
    <w:rsid w:val="00F52AA2"/>
    <w:rsid w:val="00F52B15"/>
    <w:rsid w:val="00F52B7B"/>
    <w:rsid w:val="00F52C76"/>
    <w:rsid w:val="00F52DCC"/>
    <w:rsid w:val="00F52F39"/>
    <w:rsid w:val="00F52FC8"/>
    <w:rsid w:val="00F530EF"/>
    <w:rsid w:val="00F53128"/>
    <w:rsid w:val="00F53179"/>
    <w:rsid w:val="00F53278"/>
    <w:rsid w:val="00F532DF"/>
    <w:rsid w:val="00F53318"/>
    <w:rsid w:val="00F5333A"/>
    <w:rsid w:val="00F533F1"/>
    <w:rsid w:val="00F53463"/>
    <w:rsid w:val="00F5365A"/>
    <w:rsid w:val="00F536F0"/>
    <w:rsid w:val="00F53723"/>
    <w:rsid w:val="00F537E1"/>
    <w:rsid w:val="00F5385A"/>
    <w:rsid w:val="00F5385B"/>
    <w:rsid w:val="00F539C5"/>
    <w:rsid w:val="00F539E7"/>
    <w:rsid w:val="00F539F4"/>
    <w:rsid w:val="00F53A3C"/>
    <w:rsid w:val="00F53AF1"/>
    <w:rsid w:val="00F53BA9"/>
    <w:rsid w:val="00F53BE6"/>
    <w:rsid w:val="00F53BF4"/>
    <w:rsid w:val="00F53CA8"/>
    <w:rsid w:val="00F53CF6"/>
    <w:rsid w:val="00F53E9D"/>
    <w:rsid w:val="00F53EB9"/>
    <w:rsid w:val="00F54232"/>
    <w:rsid w:val="00F5428D"/>
    <w:rsid w:val="00F543B5"/>
    <w:rsid w:val="00F543F8"/>
    <w:rsid w:val="00F54509"/>
    <w:rsid w:val="00F54593"/>
    <w:rsid w:val="00F5465F"/>
    <w:rsid w:val="00F546E2"/>
    <w:rsid w:val="00F54762"/>
    <w:rsid w:val="00F548C6"/>
    <w:rsid w:val="00F549D6"/>
    <w:rsid w:val="00F54B0F"/>
    <w:rsid w:val="00F54B7B"/>
    <w:rsid w:val="00F54C11"/>
    <w:rsid w:val="00F54C53"/>
    <w:rsid w:val="00F54CC4"/>
    <w:rsid w:val="00F54D18"/>
    <w:rsid w:val="00F54D32"/>
    <w:rsid w:val="00F54DDF"/>
    <w:rsid w:val="00F54DE0"/>
    <w:rsid w:val="00F54E23"/>
    <w:rsid w:val="00F54F82"/>
    <w:rsid w:val="00F5515C"/>
    <w:rsid w:val="00F55176"/>
    <w:rsid w:val="00F55182"/>
    <w:rsid w:val="00F551F0"/>
    <w:rsid w:val="00F551FE"/>
    <w:rsid w:val="00F55351"/>
    <w:rsid w:val="00F55579"/>
    <w:rsid w:val="00F55629"/>
    <w:rsid w:val="00F5562D"/>
    <w:rsid w:val="00F55663"/>
    <w:rsid w:val="00F55713"/>
    <w:rsid w:val="00F557DC"/>
    <w:rsid w:val="00F5587E"/>
    <w:rsid w:val="00F5592B"/>
    <w:rsid w:val="00F55A26"/>
    <w:rsid w:val="00F55A88"/>
    <w:rsid w:val="00F55AB5"/>
    <w:rsid w:val="00F55B3D"/>
    <w:rsid w:val="00F55B4E"/>
    <w:rsid w:val="00F55DE7"/>
    <w:rsid w:val="00F55E02"/>
    <w:rsid w:val="00F55F0C"/>
    <w:rsid w:val="00F56011"/>
    <w:rsid w:val="00F5615D"/>
    <w:rsid w:val="00F56187"/>
    <w:rsid w:val="00F56199"/>
    <w:rsid w:val="00F56201"/>
    <w:rsid w:val="00F56278"/>
    <w:rsid w:val="00F562B8"/>
    <w:rsid w:val="00F56331"/>
    <w:rsid w:val="00F56339"/>
    <w:rsid w:val="00F56353"/>
    <w:rsid w:val="00F563A7"/>
    <w:rsid w:val="00F56426"/>
    <w:rsid w:val="00F56499"/>
    <w:rsid w:val="00F56528"/>
    <w:rsid w:val="00F565A0"/>
    <w:rsid w:val="00F565CE"/>
    <w:rsid w:val="00F566E2"/>
    <w:rsid w:val="00F56774"/>
    <w:rsid w:val="00F56780"/>
    <w:rsid w:val="00F5684A"/>
    <w:rsid w:val="00F568BC"/>
    <w:rsid w:val="00F5694E"/>
    <w:rsid w:val="00F56967"/>
    <w:rsid w:val="00F56A53"/>
    <w:rsid w:val="00F56AA4"/>
    <w:rsid w:val="00F56ABE"/>
    <w:rsid w:val="00F56B05"/>
    <w:rsid w:val="00F56BE6"/>
    <w:rsid w:val="00F56CFD"/>
    <w:rsid w:val="00F56E2B"/>
    <w:rsid w:val="00F56EBE"/>
    <w:rsid w:val="00F56F15"/>
    <w:rsid w:val="00F56F6E"/>
    <w:rsid w:val="00F56FA8"/>
    <w:rsid w:val="00F570D1"/>
    <w:rsid w:val="00F570E9"/>
    <w:rsid w:val="00F57113"/>
    <w:rsid w:val="00F5730F"/>
    <w:rsid w:val="00F573C8"/>
    <w:rsid w:val="00F57409"/>
    <w:rsid w:val="00F57451"/>
    <w:rsid w:val="00F5754F"/>
    <w:rsid w:val="00F575B5"/>
    <w:rsid w:val="00F575BB"/>
    <w:rsid w:val="00F576CD"/>
    <w:rsid w:val="00F57732"/>
    <w:rsid w:val="00F57771"/>
    <w:rsid w:val="00F577E5"/>
    <w:rsid w:val="00F57814"/>
    <w:rsid w:val="00F5785B"/>
    <w:rsid w:val="00F5789F"/>
    <w:rsid w:val="00F578B8"/>
    <w:rsid w:val="00F5794F"/>
    <w:rsid w:val="00F57C51"/>
    <w:rsid w:val="00F57C67"/>
    <w:rsid w:val="00F57D9F"/>
    <w:rsid w:val="00F57E88"/>
    <w:rsid w:val="00F57EBC"/>
    <w:rsid w:val="00F57EC6"/>
    <w:rsid w:val="00F57ECD"/>
    <w:rsid w:val="00F57F47"/>
    <w:rsid w:val="00F57F61"/>
    <w:rsid w:val="00F57FA9"/>
    <w:rsid w:val="00F60108"/>
    <w:rsid w:val="00F6011D"/>
    <w:rsid w:val="00F6019A"/>
    <w:rsid w:val="00F601B7"/>
    <w:rsid w:val="00F6038A"/>
    <w:rsid w:val="00F603A0"/>
    <w:rsid w:val="00F603C4"/>
    <w:rsid w:val="00F604FE"/>
    <w:rsid w:val="00F60535"/>
    <w:rsid w:val="00F60610"/>
    <w:rsid w:val="00F60729"/>
    <w:rsid w:val="00F6074D"/>
    <w:rsid w:val="00F608F1"/>
    <w:rsid w:val="00F60903"/>
    <w:rsid w:val="00F60928"/>
    <w:rsid w:val="00F60B01"/>
    <w:rsid w:val="00F60C98"/>
    <w:rsid w:val="00F60CCD"/>
    <w:rsid w:val="00F60CEB"/>
    <w:rsid w:val="00F60DFE"/>
    <w:rsid w:val="00F60E5E"/>
    <w:rsid w:val="00F60F04"/>
    <w:rsid w:val="00F60FB3"/>
    <w:rsid w:val="00F61178"/>
    <w:rsid w:val="00F61215"/>
    <w:rsid w:val="00F6127F"/>
    <w:rsid w:val="00F61390"/>
    <w:rsid w:val="00F61449"/>
    <w:rsid w:val="00F615D2"/>
    <w:rsid w:val="00F6166A"/>
    <w:rsid w:val="00F616B0"/>
    <w:rsid w:val="00F61868"/>
    <w:rsid w:val="00F61958"/>
    <w:rsid w:val="00F619E2"/>
    <w:rsid w:val="00F61B04"/>
    <w:rsid w:val="00F61CBC"/>
    <w:rsid w:val="00F61D01"/>
    <w:rsid w:val="00F61E27"/>
    <w:rsid w:val="00F61F2D"/>
    <w:rsid w:val="00F61FF7"/>
    <w:rsid w:val="00F6206C"/>
    <w:rsid w:val="00F620ED"/>
    <w:rsid w:val="00F621CD"/>
    <w:rsid w:val="00F62218"/>
    <w:rsid w:val="00F6239D"/>
    <w:rsid w:val="00F62494"/>
    <w:rsid w:val="00F624CB"/>
    <w:rsid w:val="00F624F7"/>
    <w:rsid w:val="00F62537"/>
    <w:rsid w:val="00F6257F"/>
    <w:rsid w:val="00F6260C"/>
    <w:rsid w:val="00F62692"/>
    <w:rsid w:val="00F626E7"/>
    <w:rsid w:val="00F62731"/>
    <w:rsid w:val="00F62755"/>
    <w:rsid w:val="00F6275B"/>
    <w:rsid w:val="00F628C4"/>
    <w:rsid w:val="00F628D2"/>
    <w:rsid w:val="00F62903"/>
    <w:rsid w:val="00F6290D"/>
    <w:rsid w:val="00F62931"/>
    <w:rsid w:val="00F62A56"/>
    <w:rsid w:val="00F62A7B"/>
    <w:rsid w:val="00F62AD0"/>
    <w:rsid w:val="00F62AE3"/>
    <w:rsid w:val="00F62AE4"/>
    <w:rsid w:val="00F62B51"/>
    <w:rsid w:val="00F62BB6"/>
    <w:rsid w:val="00F62C16"/>
    <w:rsid w:val="00F62CCC"/>
    <w:rsid w:val="00F62EAD"/>
    <w:rsid w:val="00F62ED9"/>
    <w:rsid w:val="00F630A8"/>
    <w:rsid w:val="00F6315D"/>
    <w:rsid w:val="00F6318D"/>
    <w:rsid w:val="00F6318E"/>
    <w:rsid w:val="00F631C5"/>
    <w:rsid w:val="00F63214"/>
    <w:rsid w:val="00F63295"/>
    <w:rsid w:val="00F63379"/>
    <w:rsid w:val="00F63396"/>
    <w:rsid w:val="00F633CA"/>
    <w:rsid w:val="00F633E2"/>
    <w:rsid w:val="00F6355F"/>
    <w:rsid w:val="00F63599"/>
    <w:rsid w:val="00F635BF"/>
    <w:rsid w:val="00F635E2"/>
    <w:rsid w:val="00F636AE"/>
    <w:rsid w:val="00F6375B"/>
    <w:rsid w:val="00F637EB"/>
    <w:rsid w:val="00F63803"/>
    <w:rsid w:val="00F63839"/>
    <w:rsid w:val="00F638E6"/>
    <w:rsid w:val="00F63932"/>
    <w:rsid w:val="00F6394B"/>
    <w:rsid w:val="00F639AF"/>
    <w:rsid w:val="00F63A81"/>
    <w:rsid w:val="00F63B32"/>
    <w:rsid w:val="00F63BA3"/>
    <w:rsid w:val="00F63D28"/>
    <w:rsid w:val="00F63D33"/>
    <w:rsid w:val="00F63E35"/>
    <w:rsid w:val="00F63E6D"/>
    <w:rsid w:val="00F63E6E"/>
    <w:rsid w:val="00F63FEC"/>
    <w:rsid w:val="00F6404E"/>
    <w:rsid w:val="00F64086"/>
    <w:rsid w:val="00F64169"/>
    <w:rsid w:val="00F641E8"/>
    <w:rsid w:val="00F64226"/>
    <w:rsid w:val="00F6441C"/>
    <w:rsid w:val="00F6444B"/>
    <w:rsid w:val="00F64515"/>
    <w:rsid w:val="00F6457C"/>
    <w:rsid w:val="00F645D3"/>
    <w:rsid w:val="00F64757"/>
    <w:rsid w:val="00F64843"/>
    <w:rsid w:val="00F648D6"/>
    <w:rsid w:val="00F6494B"/>
    <w:rsid w:val="00F64980"/>
    <w:rsid w:val="00F64A24"/>
    <w:rsid w:val="00F64ABC"/>
    <w:rsid w:val="00F64B5A"/>
    <w:rsid w:val="00F64C0A"/>
    <w:rsid w:val="00F64D79"/>
    <w:rsid w:val="00F64D9E"/>
    <w:rsid w:val="00F64DA3"/>
    <w:rsid w:val="00F64DC3"/>
    <w:rsid w:val="00F64E2E"/>
    <w:rsid w:val="00F64E38"/>
    <w:rsid w:val="00F64F09"/>
    <w:rsid w:val="00F6511E"/>
    <w:rsid w:val="00F6518A"/>
    <w:rsid w:val="00F65276"/>
    <w:rsid w:val="00F652C9"/>
    <w:rsid w:val="00F65434"/>
    <w:rsid w:val="00F65594"/>
    <w:rsid w:val="00F6566D"/>
    <w:rsid w:val="00F657E6"/>
    <w:rsid w:val="00F658D7"/>
    <w:rsid w:val="00F65985"/>
    <w:rsid w:val="00F65A35"/>
    <w:rsid w:val="00F65ACC"/>
    <w:rsid w:val="00F65B88"/>
    <w:rsid w:val="00F65BD7"/>
    <w:rsid w:val="00F65BF3"/>
    <w:rsid w:val="00F65BF8"/>
    <w:rsid w:val="00F65C43"/>
    <w:rsid w:val="00F65C8B"/>
    <w:rsid w:val="00F65D3F"/>
    <w:rsid w:val="00F65DE7"/>
    <w:rsid w:val="00F65E32"/>
    <w:rsid w:val="00F65E69"/>
    <w:rsid w:val="00F65EB5"/>
    <w:rsid w:val="00F65FD9"/>
    <w:rsid w:val="00F660E5"/>
    <w:rsid w:val="00F66178"/>
    <w:rsid w:val="00F663D7"/>
    <w:rsid w:val="00F66413"/>
    <w:rsid w:val="00F6653E"/>
    <w:rsid w:val="00F66558"/>
    <w:rsid w:val="00F666B0"/>
    <w:rsid w:val="00F666E0"/>
    <w:rsid w:val="00F66747"/>
    <w:rsid w:val="00F667AA"/>
    <w:rsid w:val="00F667CB"/>
    <w:rsid w:val="00F6689C"/>
    <w:rsid w:val="00F66A1D"/>
    <w:rsid w:val="00F66A6F"/>
    <w:rsid w:val="00F66AA2"/>
    <w:rsid w:val="00F66C7A"/>
    <w:rsid w:val="00F66E34"/>
    <w:rsid w:val="00F66E8F"/>
    <w:rsid w:val="00F66E93"/>
    <w:rsid w:val="00F66EC3"/>
    <w:rsid w:val="00F66EE8"/>
    <w:rsid w:val="00F66F2C"/>
    <w:rsid w:val="00F66F36"/>
    <w:rsid w:val="00F66F72"/>
    <w:rsid w:val="00F66FF8"/>
    <w:rsid w:val="00F6707D"/>
    <w:rsid w:val="00F67105"/>
    <w:rsid w:val="00F672BA"/>
    <w:rsid w:val="00F672F9"/>
    <w:rsid w:val="00F6731C"/>
    <w:rsid w:val="00F67328"/>
    <w:rsid w:val="00F6733C"/>
    <w:rsid w:val="00F67383"/>
    <w:rsid w:val="00F673A4"/>
    <w:rsid w:val="00F673DC"/>
    <w:rsid w:val="00F6743F"/>
    <w:rsid w:val="00F67488"/>
    <w:rsid w:val="00F674F0"/>
    <w:rsid w:val="00F678F7"/>
    <w:rsid w:val="00F679B2"/>
    <w:rsid w:val="00F67A32"/>
    <w:rsid w:val="00F67A52"/>
    <w:rsid w:val="00F67B1E"/>
    <w:rsid w:val="00F67C39"/>
    <w:rsid w:val="00F67C6E"/>
    <w:rsid w:val="00F67C9E"/>
    <w:rsid w:val="00F67EC6"/>
    <w:rsid w:val="00F67F2B"/>
    <w:rsid w:val="00F67F53"/>
    <w:rsid w:val="00F7000B"/>
    <w:rsid w:val="00F70025"/>
    <w:rsid w:val="00F70063"/>
    <w:rsid w:val="00F700F9"/>
    <w:rsid w:val="00F70157"/>
    <w:rsid w:val="00F70170"/>
    <w:rsid w:val="00F70179"/>
    <w:rsid w:val="00F7018F"/>
    <w:rsid w:val="00F70218"/>
    <w:rsid w:val="00F70224"/>
    <w:rsid w:val="00F70242"/>
    <w:rsid w:val="00F70299"/>
    <w:rsid w:val="00F7039F"/>
    <w:rsid w:val="00F703E6"/>
    <w:rsid w:val="00F7049D"/>
    <w:rsid w:val="00F70537"/>
    <w:rsid w:val="00F7059C"/>
    <w:rsid w:val="00F70655"/>
    <w:rsid w:val="00F70715"/>
    <w:rsid w:val="00F70716"/>
    <w:rsid w:val="00F70729"/>
    <w:rsid w:val="00F708CD"/>
    <w:rsid w:val="00F70913"/>
    <w:rsid w:val="00F70B2B"/>
    <w:rsid w:val="00F70B65"/>
    <w:rsid w:val="00F70B89"/>
    <w:rsid w:val="00F70BE9"/>
    <w:rsid w:val="00F70D55"/>
    <w:rsid w:val="00F70E8A"/>
    <w:rsid w:val="00F70F15"/>
    <w:rsid w:val="00F71050"/>
    <w:rsid w:val="00F710FE"/>
    <w:rsid w:val="00F71126"/>
    <w:rsid w:val="00F71201"/>
    <w:rsid w:val="00F71233"/>
    <w:rsid w:val="00F71238"/>
    <w:rsid w:val="00F71253"/>
    <w:rsid w:val="00F71330"/>
    <w:rsid w:val="00F71339"/>
    <w:rsid w:val="00F71392"/>
    <w:rsid w:val="00F71446"/>
    <w:rsid w:val="00F714DB"/>
    <w:rsid w:val="00F7157A"/>
    <w:rsid w:val="00F716DE"/>
    <w:rsid w:val="00F71764"/>
    <w:rsid w:val="00F7180D"/>
    <w:rsid w:val="00F71852"/>
    <w:rsid w:val="00F7186D"/>
    <w:rsid w:val="00F71967"/>
    <w:rsid w:val="00F71989"/>
    <w:rsid w:val="00F719C0"/>
    <w:rsid w:val="00F71C77"/>
    <w:rsid w:val="00F71C98"/>
    <w:rsid w:val="00F71CC1"/>
    <w:rsid w:val="00F71D24"/>
    <w:rsid w:val="00F71DBC"/>
    <w:rsid w:val="00F71E2E"/>
    <w:rsid w:val="00F71EAE"/>
    <w:rsid w:val="00F71FAC"/>
    <w:rsid w:val="00F72046"/>
    <w:rsid w:val="00F72138"/>
    <w:rsid w:val="00F7213D"/>
    <w:rsid w:val="00F721AB"/>
    <w:rsid w:val="00F72244"/>
    <w:rsid w:val="00F7224D"/>
    <w:rsid w:val="00F7227D"/>
    <w:rsid w:val="00F7228C"/>
    <w:rsid w:val="00F72317"/>
    <w:rsid w:val="00F7236C"/>
    <w:rsid w:val="00F72481"/>
    <w:rsid w:val="00F724B0"/>
    <w:rsid w:val="00F724CF"/>
    <w:rsid w:val="00F72532"/>
    <w:rsid w:val="00F725AA"/>
    <w:rsid w:val="00F726AE"/>
    <w:rsid w:val="00F7277E"/>
    <w:rsid w:val="00F727CA"/>
    <w:rsid w:val="00F727D8"/>
    <w:rsid w:val="00F72857"/>
    <w:rsid w:val="00F728B5"/>
    <w:rsid w:val="00F72904"/>
    <w:rsid w:val="00F72AA1"/>
    <w:rsid w:val="00F72AA3"/>
    <w:rsid w:val="00F72BAE"/>
    <w:rsid w:val="00F72C2D"/>
    <w:rsid w:val="00F72D64"/>
    <w:rsid w:val="00F72DB6"/>
    <w:rsid w:val="00F72DD0"/>
    <w:rsid w:val="00F72DFB"/>
    <w:rsid w:val="00F72E76"/>
    <w:rsid w:val="00F72EFB"/>
    <w:rsid w:val="00F72F07"/>
    <w:rsid w:val="00F72F61"/>
    <w:rsid w:val="00F72FDE"/>
    <w:rsid w:val="00F7300B"/>
    <w:rsid w:val="00F73086"/>
    <w:rsid w:val="00F730CF"/>
    <w:rsid w:val="00F73165"/>
    <w:rsid w:val="00F732D6"/>
    <w:rsid w:val="00F732D9"/>
    <w:rsid w:val="00F73303"/>
    <w:rsid w:val="00F73361"/>
    <w:rsid w:val="00F7338A"/>
    <w:rsid w:val="00F73480"/>
    <w:rsid w:val="00F73545"/>
    <w:rsid w:val="00F735E6"/>
    <w:rsid w:val="00F73669"/>
    <w:rsid w:val="00F73691"/>
    <w:rsid w:val="00F73712"/>
    <w:rsid w:val="00F737A1"/>
    <w:rsid w:val="00F7387A"/>
    <w:rsid w:val="00F7387B"/>
    <w:rsid w:val="00F739D8"/>
    <w:rsid w:val="00F73AA0"/>
    <w:rsid w:val="00F73AC0"/>
    <w:rsid w:val="00F73B30"/>
    <w:rsid w:val="00F73BAB"/>
    <w:rsid w:val="00F73CE5"/>
    <w:rsid w:val="00F73DCA"/>
    <w:rsid w:val="00F73E98"/>
    <w:rsid w:val="00F73ED7"/>
    <w:rsid w:val="00F73F36"/>
    <w:rsid w:val="00F73FA6"/>
    <w:rsid w:val="00F73FD8"/>
    <w:rsid w:val="00F74076"/>
    <w:rsid w:val="00F740BF"/>
    <w:rsid w:val="00F74156"/>
    <w:rsid w:val="00F741E3"/>
    <w:rsid w:val="00F7432B"/>
    <w:rsid w:val="00F74360"/>
    <w:rsid w:val="00F7444E"/>
    <w:rsid w:val="00F7444F"/>
    <w:rsid w:val="00F744AA"/>
    <w:rsid w:val="00F7474B"/>
    <w:rsid w:val="00F7485F"/>
    <w:rsid w:val="00F74A25"/>
    <w:rsid w:val="00F74ABE"/>
    <w:rsid w:val="00F74B23"/>
    <w:rsid w:val="00F74B29"/>
    <w:rsid w:val="00F74BB3"/>
    <w:rsid w:val="00F74CEC"/>
    <w:rsid w:val="00F74D65"/>
    <w:rsid w:val="00F74F0A"/>
    <w:rsid w:val="00F74F0C"/>
    <w:rsid w:val="00F74FA4"/>
    <w:rsid w:val="00F74FF2"/>
    <w:rsid w:val="00F750AE"/>
    <w:rsid w:val="00F751D4"/>
    <w:rsid w:val="00F751D9"/>
    <w:rsid w:val="00F7521B"/>
    <w:rsid w:val="00F752B8"/>
    <w:rsid w:val="00F75338"/>
    <w:rsid w:val="00F75512"/>
    <w:rsid w:val="00F7554F"/>
    <w:rsid w:val="00F7557D"/>
    <w:rsid w:val="00F755EA"/>
    <w:rsid w:val="00F75611"/>
    <w:rsid w:val="00F756AD"/>
    <w:rsid w:val="00F757AE"/>
    <w:rsid w:val="00F75860"/>
    <w:rsid w:val="00F75AA6"/>
    <w:rsid w:val="00F75AD8"/>
    <w:rsid w:val="00F75C48"/>
    <w:rsid w:val="00F75C68"/>
    <w:rsid w:val="00F75CAC"/>
    <w:rsid w:val="00F75CB3"/>
    <w:rsid w:val="00F75CED"/>
    <w:rsid w:val="00F75EF0"/>
    <w:rsid w:val="00F75F9A"/>
    <w:rsid w:val="00F75FC6"/>
    <w:rsid w:val="00F75FE3"/>
    <w:rsid w:val="00F76001"/>
    <w:rsid w:val="00F7607F"/>
    <w:rsid w:val="00F760CC"/>
    <w:rsid w:val="00F761C2"/>
    <w:rsid w:val="00F7630A"/>
    <w:rsid w:val="00F763EF"/>
    <w:rsid w:val="00F764BC"/>
    <w:rsid w:val="00F76543"/>
    <w:rsid w:val="00F765AD"/>
    <w:rsid w:val="00F766F9"/>
    <w:rsid w:val="00F76700"/>
    <w:rsid w:val="00F7674F"/>
    <w:rsid w:val="00F76999"/>
    <w:rsid w:val="00F769E7"/>
    <w:rsid w:val="00F769EB"/>
    <w:rsid w:val="00F76A69"/>
    <w:rsid w:val="00F76B30"/>
    <w:rsid w:val="00F76B8C"/>
    <w:rsid w:val="00F76C73"/>
    <w:rsid w:val="00F76CCE"/>
    <w:rsid w:val="00F76D30"/>
    <w:rsid w:val="00F76D5D"/>
    <w:rsid w:val="00F76E03"/>
    <w:rsid w:val="00F76E3E"/>
    <w:rsid w:val="00F76ECF"/>
    <w:rsid w:val="00F7705E"/>
    <w:rsid w:val="00F771DC"/>
    <w:rsid w:val="00F771E2"/>
    <w:rsid w:val="00F7732B"/>
    <w:rsid w:val="00F77642"/>
    <w:rsid w:val="00F77696"/>
    <w:rsid w:val="00F776A8"/>
    <w:rsid w:val="00F776AC"/>
    <w:rsid w:val="00F776BE"/>
    <w:rsid w:val="00F777CA"/>
    <w:rsid w:val="00F77870"/>
    <w:rsid w:val="00F778BD"/>
    <w:rsid w:val="00F77AE9"/>
    <w:rsid w:val="00F77B93"/>
    <w:rsid w:val="00F77D30"/>
    <w:rsid w:val="00F77D52"/>
    <w:rsid w:val="00F77D68"/>
    <w:rsid w:val="00F77D6C"/>
    <w:rsid w:val="00F77DBE"/>
    <w:rsid w:val="00F77E38"/>
    <w:rsid w:val="00F77E6D"/>
    <w:rsid w:val="00F77E89"/>
    <w:rsid w:val="00F77F56"/>
    <w:rsid w:val="00F80027"/>
    <w:rsid w:val="00F80055"/>
    <w:rsid w:val="00F8013F"/>
    <w:rsid w:val="00F8014C"/>
    <w:rsid w:val="00F8026B"/>
    <w:rsid w:val="00F802C0"/>
    <w:rsid w:val="00F802CC"/>
    <w:rsid w:val="00F8032B"/>
    <w:rsid w:val="00F80373"/>
    <w:rsid w:val="00F80580"/>
    <w:rsid w:val="00F8058A"/>
    <w:rsid w:val="00F805DA"/>
    <w:rsid w:val="00F805DB"/>
    <w:rsid w:val="00F80606"/>
    <w:rsid w:val="00F80653"/>
    <w:rsid w:val="00F80780"/>
    <w:rsid w:val="00F807B9"/>
    <w:rsid w:val="00F80950"/>
    <w:rsid w:val="00F80B03"/>
    <w:rsid w:val="00F80BDA"/>
    <w:rsid w:val="00F80C1D"/>
    <w:rsid w:val="00F80C64"/>
    <w:rsid w:val="00F80D06"/>
    <w:rsid w:val="00F80D67"/>
    <w:rsid w:val="00F80D7C"/>
    <w:rsid w:val="00F80DDB"/>
    <w:rsid w:val="00F80E0F"/>
    <w:rsid w:val="00F80EB1"/>
    <w:rsid w:val="00F80F69"/>
    <w:rsid w:val="00F80FA7"/>
    <w:rsid w:val="00F81025"/>
    <w:rsid w:val="00F81096"/>
    <w:rsid w:val="00F81112"/>
    <w:rsid w:val="00F8112A"/>
    <w:rsid w:val="00F812EB"/>
    <w:rsid w:val="00F81363"/>
    <w:rsid w:val="00F813B6"/>
    <w:rsid w:val="00F81421"/>
    <w:rsid w:val="00F81435"/>
    <w:rsid w:val="00F815A2"/>
    <w:rsid w:val="00F8163C"/>
    <w:rsid w:val="00F816E3"/>
    <w:rsid w:val="00F81733"/>
    <w:rsid w:val="00F817ED"/>
    <w:rsid w:val="00F8182A"/>
    <w:rsid w:val="00F818C5"/>
    <w:rsid w:val="00F819BF"/>
    <w:rsid w:val="00F81A91"/>
    <w:rsid w:val="00F81ADE"/>
    <w:rsid w:val="00F81C3C"/>
    <w:rsid w:val="00F81CCF"/>
    <w:rsid w:val="00F81F4C"/>
    <w:rsid w:val="00F81F94"/>
    <w:rsid w:val="00F82007"/>
    <w:rsid w:val="00F8200D"/>
    <w:rsid w:val="00F82073"/>
    <w:rsid w:val="00F82092"/>
    <w:rsid w:val="00F8209A"/>
    <w:rsid w:val="00F8218E"/>
    <w:rsid w:val="00F82269"/>
    <w:rsid w:val="00F822A2"/>
    <w:rsid w:val="00F82313"/>
    <w:rsid w:val="00F823AE"/>
    <w:rsid w:val="00F82462"/>
    <w:rsid w:val="00F82543"/>
    <w:rsid w:val="00F82552"/>
    <w:rsid w:val="00F82673"/>
    <w:rsid w:val="00F826E2"/>
    <w:rsid w:val="00F82754"/>
    <w:rsid w:val="00F8290F"/>
    <w:rsid w:val="00F82972"/>
    <w:rsid w:val="00F8297D"/>
    <w:rsid w:val="00F82993"/>
    <w:rsid w:val="00F829BA"/>
    <w:rsid w:val="00F829D5"/>
    <w:rsid w:val="00F82A49"/>
    <w:rsid w:val="00F82A91"/>
    <w:rsid w:val="00F82BD7"/>
    <w:rsid w:val="00F82C37"/>
    <w:rsid w:val="00F82C6E"/>
    <w:rsid w:val="00F82CAB"/>
    <w:rsid w:val="00F83051"/>
    <w:rsid w:val="00F83107"/>
    <w:rsid w:val="00F83150"/>
    <w:rsid w:val="00F83202"/>
    <w:rsid w:val="00F83254"/>
    <w:rsid w:val="00F83289"/>
    <w:rsid w:val="00F832D7"/>
    <w:rsid w:val="00F833D0"/>
    <w:rsid w:val="00F835AA"/>
    <w:rsid w:val="00F835FD"/>
    <w:rsid w:val="00F83659"/>
    <w:rsid w:val="00F8371E"/>
    <w:rsid w:val="00F83737"/>
    <w:rsid w:val="00F837ED"/>
    <w:rsid w:val="00F838AD"/>
    <w:rsid w:val="00F83A7F"/>
    <w:rsid w:val="00F83A82"/>
    <w:rsid w:val="00F83B2B"/>
    <w:rsid w:val="00F83B82"/>
    <w:rsid w:val="00F83BBA"/>
    <w:rsid w:val="00F83C06"/>
    <w:rsid w:val="00F83D5B"/>
    <w:rsid w:val="00F83D84"/>
    <w:rsid w:val="00F83DF7"/>
    <w:rsid w:val="00F83F03"/>
    <w:rsid w:val="00F83F4E"/>
    <w:rsid w:val="00F83F73"/>
    <w:rsid w:val="00F83FDE"/>
    <w:rsid w:val="00F83FE8"/>
    <w:rsid w:val="00F84110"/>
    <w:rsid w:val="00F84130"/>
    <w:rsid w:val="00F8415F"/>
    <w:rsid w:val="00F841C6"/>
    <w:rsid w:val="00F84206"/>
    <w:rsid w:val="00F8438C"/>
    <w:rsid w:val="00F843F9"/>
    <w:rsid w:val="00F84499"/>
    <w:rsid w:val="00F84655"/>
    <w:rsid w:val="00F8468D"/>
    <w:rsid w:val="00F84697"/>
    <w:rsid w:val="00F8477F"/>
    <w:rsid w:val="00F847EB"/>
    <w:rsid w:val="00F848E3"/>
    <w:rsid w:val="00F84990"/>
    <w:rsid w:val="00F849B0"/>
    <w:rsid w:val="00F84A1A"/>
    <w:rsid w:val="00F84A3F"/>
    <w:rsid w:val="00F84ACD"/>
    <w:rsid w:val="00F84AF6"/>
    <w:rsid w:val="00F84BAD"/>
    <w:rsid w:val="00F84BC2"/>
    <w:rsid w:val="00F84BEB"/>
    <w:rsid w:val="00F84C4E"/>
    <w:rsid w:val="00F84C4F"/>
    <w:rsid w:val="00F84D34"/>
    <w:rsid w:val="00F850DB"/>
    <w:rsid w:val="00F85104"/>
    <w:rsid w:val="00F851A8"/>
    <w:rsid w:val="00F85331"/>
    <w:rsid w:val="00F8534E"/>
    <w:rsid w:val="00F8536B"/>
    <w:rsid w:val="00F853AB"/>
    <w:rsid w:val="00F855C0"/>
    <w:rsid w:val="00F85677"/>
    <w:rsid w:val="00F856CD"/>
    <w:rsid w:val="00F85733"/>
    <w:rsid w:val="00F858F4"/>
    <w:rsid w:val="00F8592F"/>
    <w:rsid w:val="00F85934"/>
    <w:rsid w:val="00F85958"/>
    <w:rsid w:val="00F85991"/>
    <w:rsid w:val="00F859DE"/>
    <w:rsid w:val="00F85B24"/>
    <w:rsid w:val="00F85B70"/>
    <w:rsid w:val="00F85C75"/>
    <w:rsid w:val="00F85D2D"/>
    <w:rsid w:val="00F85D53"/>
    <w:rsid w:val="00F85D95"/>
    <w:rsid w:val="00F85F15"/>
    <w:rsid w:val="00F85FF7"/>
    <w:rsid w:val="00F86001"/>
    <w:rsid w:val="00F86008"/>
    <w:rsid w:val="00F8606A"/>
    <w:rsid w:val="00F86173"/>
    <w:rsid w:val="00F86183"/>
    <w:rsid w:val="00F8618D"/>
    <w:rsid w:val="00F86200"/>
    <w:rsid w:val="00F8623F"/>
    <w:rsid w:val="00F8626E"/>
    <w:rsid w:val="00F862B3"/>
    <w:rsid w:val="00F862B6"/>
    <w:rsid w:val="00F86361"/>
    <w:rsid w:val="00F86363"/>
    <w:rsid w:val="00F8640C"/>
    <w:rsid w:val="00F86428"/>
    <w:rsid w:val="00F86497"/>
    <w:rsid w:val="00F864B8"/>
    <w:rsid w:val="00F86652"/>
    <w:rsid w:val="00F8668B"/>
    <w:rsid w:val="00F866A0"/>
    <w:rsid w:val="00F8672F"/>
    <w:rsid w:val="00F86760"/>
    <w:rsid w:val="00F86892"/>
    <w:rsid w:val="00F8690F"/>
    <w:rsid w:val="00F869B5"/>
    <w:rsid w:val="00F869CE"/>
    <w:rsid w:val="00F869E7"/>
    <w:rsid w:val="00F86B07"/>
    <w:rsid w:val="00F86BB7"/>
    <w:rsid w:val="00F86C1E"/>
    <w:rsid w:val="00F86CA7"/>
    <w:rsid w:val="00F86DA7"/>
    <w:rsid w:val="00F86E59"/>
    <w:rsid w:val="00F86EB8"/>
    <w:rsid w:val="00F86EE8"/>
    <w:rsid w:val="00F86F62"/>
    <w:rsid w:val="00F86F8A"/>
    <w:rsid w:val="00F87085"/>
    <w:rsid w:val="00F87136"/>
    <w:rsid w:val="00F8718D"/>
    <w:rsid w:val="00F87198"/>
    <w:rsid w:val="00F871F6"/>
    <w:rsid w:val="00F87200"/>
    <w:rsid w:val="00F8721B"/>
    <w:rsid w:val="00F87229"/>
    <w:rsid w:val="00F87387"/>
    <w:rsid w:val="00F87505"/>
    <w:rsid w:val="00F87568"/>
    <w:rsid w:val="00F875D5"/>
    <w:rsid w:val="00F8770F"/>
    <w:rsid w:val="00F87711"/>
    <w:rsid w:val="00F87744"/>
    <w:rsid w:val="00F877EE"/>
    <w:rsid w:val="00F8795B"/>
    <w:rsid w:val="00F879AA"/>
    <w:rsid w:val="00F87AAF"/>
    <w:rsid w:val="00F87AEF"/>
    <w:rsid w:val="00F87BDE"/>
    <w:rsid w:val="00F87C3A"/>
    <w:rsid w:val="00F87D16"/>
    <w:rsid w:val="00F87E77"/>
    <w:rsid w:val="00F87EBE"/>
    <w:rsid w:val="00F87F07"/>
    <w:rsid w:val="00F87F1F"/>
    <w:rsid w:val="00F87F65"/>
    <w:rsid w:val="00F87F96"/>
    <w:rsid w:val="00F90000"/>
    <w:rsid w:val="00F901AC"/>
    <w:rsid w:val="00F90223"/>
    <w:rsid w:val="00F9028A"/>
    <w:rsid w:val="00F902D3"/>
    <w:rsid w:val="00F903A8"/>
    <w:rsid w:val="00F903CA"/>
    <w:rsid w:val="00F903ED"/>
    <w:rsid w:val="00F90472"/>
    <w:rsid w:val="00F904BA"/>
    <w:rsid w:val="00F904D9"/>
    <w:rsid w:val="00F90514"/>
    <w:rsid w:val="00F90663"/>
    <w:rsid w:val="00F906A7"/>
    <w:rsid w:val="00F906FE"/>
    <w:rsid w:val="00F90740"/>
    <w:rsid w:val="00F907FB"/>
    <w:rsid w:val="00F909B7"/>
    <w:rsid w:val="00F909EF"/>
    <w:rsid w:val="00F90A08"/>
    <w:rsid w:val="00F90AB4"/>
    <w:rsid w:val="00F90BA6"/>
    <w:rsid w:val="00F90C71"/>
    <w:rsid w:val="00F90C73"/>
    <w:rsid w:val="00F90CB3"/>
    <w:rsid w:val="00F90D5A"/>
    <w:rsid w:val="00F90D90"/>
    <w:rsid w:val="00F90EFE"/>
    <w:rsid w:val="00F90F5A"/>
    <w:rsid w:val="00F9102A"/>
    <w:rsid w:val="00F910B7"/>
    <w:rsid w:val="00F911D8"/>
    <w:rsid w:val="00F91235"/>
    <w:rsid w:val="00F91320"/>
    <w:rsid w:val="00F91410"/>
    <w:rsid w:val="00F91449"/>
    <w:rsid w:val="00F91489"/>
    <w:rsid w:val="00F91493"/>
    <w:rsid w:val="00F91512"/>
    <w:rsid w:val="00F91611"/>
    <w:rsid w:val="00F91618"/>
    <w:rsid w:val="00F916EC"/>
    <w:rsid w:val="00F917A8"/>
    <w:rsid w:val="00F917C7"/>
    <w:rsid w:val="00F91850"/>
    <w:rsid w:val="00F918B5"/>
    <w:rsid w:val="00F91971"/>
    <w:rsid w:val="00F91996"/>
    <w:rsid w:val="00F919CB"/>
    <w:rsid w:val="00F91A64"/>
    <w:rsid w:val="00F91A77"/>
    <w:rsid w:val="00F91AC9"/>
    <w:rsid w:val="00F91AEA"/>
    <w:rsid w:val="00F91B58"/>
    <w:rsid w:val="00F91CAB"/>
    <w:rsid w:val="00F91CD2"/>
    <w:rsid w:val="00F91CDF"/>
    <w:rsid w:val="00F91D08"/>
    <w:rsid w:val="00F91D79"/>
    <w:rsid w:val="00F91F5F"/>
    <w:rsid w:val="00F91F60"/>
    <w:rsid w:val="00F91FDE"/>
    <w:rsid w:val="00F92018"/>
    <w:rsid w:val="00F9208F"/>
    <w:rsid w:val="00F920A2"/>
    <w:rsid w:val="00F92163"/>
    <w:rsid w:val="00F92227"/>
    <w:rsid w:val="00F9222D"/>
    <w:rsid w:val="00F9236E"/>
    <w:rsid w:val="00F92660"/>
    <w:rsid w:val="00F926C7"/>
    <w:rsid w:val="00F9278B"/>
    <w:rsid w:val="00F927A8"/>
    <w:rsid w:val="00F927B1"/>
    <w:rsid w:val="00F9281B"/>
    <w:rsid w:val="00F92842"/>
    <w:rsid w:val="00F92852"/>
    <w:rsid w:val="00F92864"/>
    <w:rsid w:val="00F928E2"/>
    <w:rsid w:val="00F928F3"/>
    <w:rsid w:val="00F928F9"/>
    <w:rsid w:val="00F9296A"/>
    <w:rsid w:val="00F9297A"/>
    <w:rsid w:val="00F92A5D"/>
    <w:rsid w:val="00F92A90"/>
    <w:rsid w:val="00F92AF0"/>
    <w:rsid w:val="00F92BBF"/>
    <w:rsid w:val="00F92CA3"/>
    <w:rsid w:val="00F92D4D"/>
    <w:rsid w:val="00F92D8D"/>
    <w:rsid w:val="00F92E5A"/>
    <w:rsid w:val="00F92F46"/>
    <w:rsid w:val="00F92F62"/>
    <w:rsid w:val="00F92F8D"/>
    <w:rsid w:val="00F9300E"/>
    <w:rsid w:val="00F93058"/>
    <w:rsid w:val="00F930CE"/>
    <w:rsid w:val="00F9317B"/>
    <w:rsid w:val="00F9317E"/>
    <w:rsid w:val="00F93263"/>
    <w:rsid w:val="00F933C2"/>
    <w:rsid w:val="00F933D0"/>
    <w:rsid w:val="00F93448"/>
    <w:rsid w:val="00F9348D"/>
    <w:rsid w:val="00F93797"/>
    <w:rsid w:val="00F93863"/>
    <w:rsid w:val="00F93A0F"/>
    <w:rsid w:val="00F93A60"/>
    <w:rsid w:val="00F93B79"/>
    <w:rsid w:val="00F93CB9"/>
    <w:rsid w:val="00F94025"/>
    <w:rsid w:val="00F940F0"/>
    <w:rsid w:val="00F941A4"/>
    <w:rsid w:val="00F942D2"/>
    <w:rsid w:val="00F9432F"/>
    <w:rsid w:val="00F94384"/>
    <w:rsid w:val="00F94414"/>
    <w:rsid w:val="00F94418"/>
    <w:rsid w:val="00F94421"/>
    <w:rsid w:val="00F94583"/>
    <w:rsid w:val="00F9459F"/>
    <w:rsid w:val="00F945D0"/>
    <w:rsid w:val="00F946DB"/>
    <w:rsid w:val="00F946EC"/>
    <w:rsid w:val="00F94775"/>
    <w:rsid w:val="00F94783"/>
    <w:rsid w:val="00F947A0"/>
    <w:rsid w:val="00F94847"/>
    <w:rsid w:val="00F9485F"/>
    <w:rsid w:val="00F948D0"/>
    <w:rsid w:val="00F94A3E"/>
    <w:rsid w:val="00F94B6D"/>
    <w:rsid w:val="00F94BA7"/>
    <w:rsid w:val="00F94C98"/>
    <w:rsid w:val="00F94DC9"/>
    <w:rsid w:val="00F95060"/>
    <w:rsid w:val="00F95345"/>
    <w:rsid w:val="00F9538D"/>
    <w:rsid w:val="00F953C9"/>
    <w:rsid w:val="00F953DB"/>
    <w:rsid w:val="00F95413"/>
    <w:rsid w:val="00F954A3"/>
    <w:rsid w:val="00F954AA"/>
    <w:rsid w:val="00F955D1"/>
    <w:rsid w:val="00F9568F"/>
    <w:rsid w:val="00F956F9"/>
    <w:rsid w:val="00F957BE"/>
    <w:rsid w:val="00F95A8F"/>
    <w:rsid w:val="00F95B03"/>
    <w:rsid w:val="00F95BCD"/>
    <w:rsid w:val="00F95C1B"/>
    <w:rsid w:val="00F95C74"/>
    <w:rsid w:val="00F95CD9"/>
    <w:rsid w:val="00F95D0C"/>
    <w:rsid w:val="00F95E25"/>
    <w:rsid w:val="00F95EDE"/>
    <w:rsid w:val="00F96013"/>
    <w:rsid w:val="00F9624C"/>
    <w:rsid w:val="00F96264"/>
    <w:rsid w:val="00F96274"/>
    <w:rsid w:val="00F962C5"/>
    <w:rsid w:val="00F963A7"/>
    <w:rsid w:val="00F9643F"/>
    <w:rsid w:val="00F964C9"/>
    <w:rsid w:val="00F966BA"/>
    <w:rsid w:val="00F96704"/>
    <w:rsid w:val="00F96764"/>
    <w:rsid w:val="00F967AA"/>
    <w:rsid w:val="00F96881"/>
    <w:rsid w:val="00F968AA"/>
    <w:rsid w:val="00F968C5"/>
    <w:rsid w:val="00F9693A"/>
    <w:rsid w:val="00F96AD0"/>
    <w:rsid w:val="00F96AF7"/>
    <w:rsid w:val="00F96B1A"/>
    <w:rsid w:val="00F96B57"/>
    <w:rsid w:val="00F96BB2"/>
    <w:rsid w:val="00F96BEA"/>
    <w:rsid w:val="00F96C9B"/>
    <w:rsid w:val="00F96D81"/>
    <w:rsid w:val="00F96D9D"/>
    <w:rsid w:val="00F96E80"/>
    <w:rsid w:val="00F96F3F"/>
    <w:rsid w:val="00F9702D"/>
    <w:rsid w:val="00F97065"/>
    <w:rsid w:val="00F9706E"/>
    <w:rsid w:val="00F971FC"/>
    <w:rsid w:val="00F97202"/>
    <w:rsid w:val="00F97210"/>
    <w:rsid w:val="00F972AC"/>
    <w:rsid w:val="00F972F1"/>
    <w:rsid w:val="00F97364"/>
    <w:rsid w:val="00F9737E"/>
    <w:rsid w:val="00F9738D"/>
    <w:rsid w:val="00F97403"/>
    <w:rsid w:val="00F97426"/>
    <w:rsid w:val="00F97481"/>
    <w:rsid w:val="00F9772C"/>
    <w:rsid w:val="00F97738"/>
    <w:rsid w:val="00F97797"/>
    <w:rsid w:val="00F977BC"/>
    <w:rsid w:val="00F978BA"/>
    <w:rsid w:val="00F97A11"/>
    <w:rsid w:val="00F97BC5"/>
    <w:rsid w:val="00F97BED"/>
    <w:rsid w:val="00F97C38"/>
    <w:rsid w:val="00F97CA9"/>
    <w:rsid w:val="00F97D44"/>
    <w:rsid w:val="00F97E9B"/>
    <w:rsid w:val="00F97EFF"/>
    <w:rsid w:val="00FA003C"/>
    <w:rsid w:val="00FA0162"/>
    <w:rsid w:val="00FA02E7"/>
    <w:rsid w:val="00FA0365"/>
    <w:rsid w:val="00FA0376"/>
    <w:rsid w:val="00FA03DE"/>
    <w:rsid w:val="00FA04A5"/>
    <w:rsid w:val="00FA0561"/>
    <w:rsid w:val="00FA058D"/>
    <w:rsid w:val="00FA05B2"/>
    <w:rsid w:val="00FA063A"/>
    <w:rsid w:val="00FA064D"/>
    <w:rsid w:val="00FA06BA"/>
    <w:rsid w:val="00FA072A"/>
    <w:rsid w:val="00FA0760"/>
    <w:rsid w:val="00FA077E"/>
    <w:rsid w:val="00FA07E0"/>
    <w:rsid w:val="00FA0910"/>
    <w:rsid w:val="00FA09AD"/>
    <w:rsid w:val="00FA0AA3"/>
    <w:rsid w:val="00FA0AB6"/>
    <w:rsid w:val="00FA0AD9"/>
    <w:rsid w:val="00FA0B31"/>
    <w:rsid w:val="00FA0B8E"/>
    <w:rsid w:val="00FA0BAB"/>
    <w:rsid w:val="00FA0C29"/>
    <w:rsid w:val="00FA0CBC"/>
    <w:rsid w:val="00FA0CD7"/>
    <w:rsid w:val="00FA0D6E"/>
    <w:rsid w:val="00FA0D96"/>
    <w:rsid w:val="00FA0E84"/>
    <w:rsid w:val="00FA0EAA"/>
    <w:rsid w:val="00FA0EE4"/>
    <w:rsid w:val="00FA0EF1"/>
    <w:rsid w:val="00FA0F1A"/>
    <w:rsid w:val="00FA0F7B"/>
    <w:rsid w:val="00FA1251"/>
    <w:rsid w:val="00FA12AE"/>
    <w:rsid w:val="00FA12F6"/>
    <w:rsid w:val="00FA1349"/>
    <w:rsid w:val="00FA1366"/>
    <w:rsid w:val="00FA149F"/>
    <w:rsid w:val="00FA1580"/>
    <w:rsid w:val="00FA16C6"/>
    <w:rsid w:val="00FA171C"/>
    <w:rsid w:val="00FA1721"/>
    <w:rsid w:val="00FA1762"/>
    <w:rsid w:val="00FA1872"/>
    <w:rsid w:val="00FA19BC"/>
    <w:rsid w:val="00FA1B9B"/>
    <w:rsid w:val="00FA1BBC"/>
    <w:rsid w:val="00FA1CD7"/>
    <w:rsid w:val="00FA1D69"/>
    <w:rsid w:val="00FA1ED6"/>
    <w:rsid w:val="00FA1F2C"/>
    <w:rsid w:val="00FA1F9F"/>
    <w:rsid w:val="00FA20C7"/>
    <w:rsid w:val="00FA21CD"/>
    <w:rsid w:val="00FA21D1"/>
    <w:rsid w:val="00FA21D5"/>
    <w:rsid w:val="00FA2211"/>
    <w:rsid w:val="00FA22EB"/>
    <w:rsid w:val="00FA2316"/>
    <w:rsid w:val="00FA2355"/>
    <w:rsid w:val="00FA2484"/>
    <w:rsid w:val="00FA2538"/>
    <w:rsid w:val="00FA25D0"/>
    <w:rsid w:val="00FA266F"/>
    <w:rsid w:val="00FA26B9"/>
    <w:rsid w:val="00FA270D"/>
    <w:rsid w:val="00FA271F"/>
    <w:rsid w:val="00FA2723"/>
    <w:rsid w:val="00FA27A3"/>
    <w:rsid w:val="00FA27F1"/>
    <w:rsid w:val="00FA283B"/>
    <w:rsid w:val="00FA28F5"/>
    <w:rsid w:val="00FA2944"/>
    <w:rsid w:val="00FA2995"/>
    <w:rsid w:val="00FA29B4"/>
    <w:rsid w:val="00FA2A80"/>
    <w:rsid w:val="00FA2A90"/>
    <w:rsid w:val="00FA2B4E"/>
    <w:rsid w:val="00FA2BA6"/>
    <w:rsid w:val="00FA2CBC"/>
    <w:rsid w:val="00FA2E0E"/>
    <w:rsid w:val="00FA2EAD"/>
    <w:rsid w:val="00FA2EB1"/>
    <w:rsid w:val="00FA2F74"/>
    <w:rsid w:val="00FA2F8A"/>
    <w:rsid w:val="00FA3029"/>
    <w:rsid w:val="00FA3088"/>
    <w:rsid w:val="00FA315C"/>
    <w:rsid w:val="00FA3180"/>
    <w:rsid w:val="00FA335A"/>
    <w:rsid w:val="00FA33CA"/>
    <w:rsid w:val="00FA33EF"/>
    <w:rsid w:val="00FA341E"/>
    <w:rsid w:val="00FA35B8"/>
    <w:rsid w:val="00FA38D1"/>
    <w:rsid w:val="00FA390C"/>
    <w:rsid w:val="00FA3932"/>
    <w:rsid w:val="00FA39A2"/>
    <w:rsid w:val="00FA3AD7"/>
    <w:rsid w:val="00FA3AF6"/>
    <w:rsid w:val="00FA3AFB"/>
    <w:rsid w:val="00FA3C31"/>
    <w:rsid w:val="00FA3C51"/>
    <w:rsid w:val="00FA3D3E"/>
    <w:rsid w:val="00FA3E22"/>
    <w:rsid w:val="00FA3E2F"/>
    <w:rsid w:val="00FA3F3A"/>
    <w:rsid w:val="00FA4093"/>
    <w:rsid w:val="00FA40C2"/>
    <w:rsid w:val="00FA4131"/>
    <w:rsid w:val="00FA415C"/>
    <w:rsid w:val="00FA4272"/>
    <w:rsid w:val="00FA4274"/>
    <w:rsid w:val="00FA4320"/>
    <w:rsid w:val="00FA4392"/>
    <w:rsid w:val="00FA441F"/>
    <w:rsid w:val="00FA4478"/>
    <w:rsid w:val="00FA44D1"/>
    <w:rsid w:val="00FA44F7"/>
    <w:rsid w:val="00FA451C"/>
    <w:rsid w:val="00FA45A0"/>
    <w:rsid w:val="00FA45D7"/>
    <w:rsid w:val="00FA4623"/>
    <w:rsid w:val="00FA46C7"/>
    <w:rsid w:val="00FA4712"/>
    <w:rsid w:val="00FA47DA"/>
    <w:rsid w:val="00FA4B3A"/>
    <w:rsid w:val="00FA4CB5"/>
    <w:rsid w:val="00FA4CD5"/>
    <w:rsid w:val="00FA4CDD"/>
    <w:rsid w:val="00FA4DFE"/>
    <w:rsid w:val="00FA4EC6"/>
    <w:rsid w:val="00FA4ED3"/>
    <w:rsid w:val="00FA4F2F"/>
    <w:rsid w:val="00FA4FCA"/>
    <w:rsid w:val="00FA5138"/>
    <w:rsid w:val="00FA52C0"/>
    <w:rsid w:val="00FA53A1"/>
    <w:rsid w:val="00FA53A8"/>
    <w:rsid w:val="00FA54BE"/>
    <w:rsid w:val="00FA54FF"/>
    <w:rsid w:val="00FA560F"/>
    <w:rsid w:val="00FA56D5"/>
    <w:rsid w:val="00FA570D"/>
    <w:rsid w:val="00FA57D8"/>
    <w:rsid w:val="00FA5859"/>
    <w:rsid w:val="00FA5891"/>
    <w:rsid w:val="00FA5904"/>
    <w:rsid w:val="00FA5969"/>
    <w:rsid w:val="00FA59D2"/>
    <w:rsid w:val="00FA5B08"/>
    <w:rsid w:val="00FA5B65"/>
    <w:rsid w:val="00FA5B8F"/>
    <w:rsid w:val="00FA5D22"/>
    <w:rsid w:val="00FA5D60"/>
    <w:rsid w:val="00FA5D62"/>
    <w:rsid w:val="00FA5E0F"/>
    <w:rsid w:val="00FA5E65"/>
    <w:rsid w:val="00FA5ECA"/>
    <w:rsid w:val="00FA5EEE"/>
    <w:rsid w:val="00FA5FF6"/>
    <w:rsid w:val="00FA6185"/>
    <w:rsid w:val="00FA6194"/>
    <w:rsid w:val="00FA6214"/>
    <w:rsid w:val="00FA6228"/>
    <w:rsid w:val="00FA6367"/>
    <w:rsid w:val="00FA63C2"/>
    <w:rsid w:val="00FA646F"/>
    <w:rsid w:val="00FA6492"/>
    <w:rsid w:val="00FA6498"/>
    <w:rsid w:val="00FA65A5"/>
    <w:rsid w:val="00FA65AA"/>
    <w:rsid w:val="00FA66C7"/>
    <w:rsid w:val="00FA6711"/>
    <w:rsid w:val="00FA676F"/>
    <w:rsid w:val="00FA6817"/>
    <w:rsid w:val="00FA6935"/>
    <w:rsid w:val="00FA6945"/>
    <w:rsid w:val="00FA698B"/>
    <w:rsid w:val="00FA69BA"/>
    <w:rsid w:val="00FA6A12"/>
    <w:rsid w:val="00FA6A8E"/>
    <w:rsid w:val="00FA6AA5"/>
    <w:rsid w:val="00FA6B82"/>
    <w:rsid w:val="00FA6BCC"/>
    <w:rsid w:val="00FA6BDA"/>
    <w:rsid w:val="00FA6BE8"/>
    <w:rsid w:val="00FA6C28"/>
    <w:rsid w:val="00FA6CCC"/>
    <w:rsid w:val="00FA6CCD"/>
    <w:rsid w:val="00FA6D97"/>
    <w:rsid w:val="00FA6EAA"/>
    <w:rsid w:val="00FA6F64"/>
    <w:rsid w:val="00FA7053"/>
    <w:rsid w:val="00FA708C"/>
    <w:rsid w:val="00FA70E3"/>
    <w:rsid w:val="00FA7148"/>
    <w:rsid w:val="00FA71E2"/>
    <w:rsid w:val="00FA7249"/>
    <w:rsid w:val="00FA7270"/>
    <w:rsid w:val="00FA728C"/>
    <w:rsid w:val="00FA72AB"/>
    <w:rsid w:val="00FA730F"/>
    <w:rsid w:val="00FA7335"/>
    <w:rsid w:val="00FA7383"/>
    <w:rsid w:val="00FA7389"/>
    <w:rsid w:val="00FA74FB"/>
    <w:rsid w:val="00FA7502"/>
    <w:rsid w:val="00FA756A"/>
    <w:rsid w:val="00FA78D1"/>
    <w:rsid w:val="00FA78F3"/>
    <w:rsid w:val="00FA78FE"/>
    <w:rsid w:val="00FA7950"/>
    <w:rsid w:val="00FA79A5"/>
    <w:rsid w:val="00FA79C7"/>
    <w:rsid w:val="00FA79C9"/>
    <w:rsid w:val="00FA7B51"/>
    <w:rsid w:val="00FA7B8F"/>
    <w:rsid w:val="00FA7BBF"/>
    <w:rsid w:val="00FA7BCD"/>
    <w:rsid w:val="00FA7BEC"/>
    <w:rsid w:val="00FA7C25"/>
    <w:rsid w:val="00FA7C3A"/>
    <w:rsid w:val="00FA7C40"/>
    <w:rsid w:val="00FA7CB2"/>
    <w:rsid w:val="00FA7CD4"/>
    <w:rsid w:val="00FA7D36"/>
    <w:rsid w:val="00FA7FE0"/>
    <w:rsid w:val="00FB0024"/>
    <w:rsid w:val="00FB0075"/>
    <w:rsid w:val="00FB00C2"/>
    <w:rsid w:val="00FB0113"/>
    <w:rsid w:val="00FB0154"/>
    <w:rsid w:val="00FB02C1"/>
    <w:rsid w:val="00FB03F8"/>
    <w:rsid w:val="00FB0428"/>
    <w:rsid w:val="00FB050F"/>
    <w:rsid w:val="00FB05AC"/>
    <w:rsid w:val="00FB06A1"/>
    <w:rsid w:val="00FB06B3"/>
    <w:rsid w:val="00FB06C3"/>
    <w:rsid w:val="00FB06DB"/>
    <w:rsid w:val="00FB0750"/>
    <w:rsid w:val="00FB07D1"/>
    <w:rsid w:val="00FB07D8"/>
    <w:rsid w:val="00FB0877"/>
    <w:rsid w:val="00FB0C46"/>
    <w:rsid w:val="00FB0C69"/>
    <w:rsid w:val="00FB0F26"/>
    <w:rsid w:val="00FB0FB2"/>
    <w:rsid w:val="00FB1061"/>
    <w:rsid w:val="00FB10B9"/>
    <w:rsid w:val="00FB10EB"/>
    <w:rsid w:val="00FB11D3"/>
    <w:rsid w:val="00FB130A"/>
    <w:rsid w:val="00FB1314"/>
    <w:rsid w:val="00FB13CB"/>
    <w:rsid w:val="00FB13D3"/>
    <w:rsid w:val="00FB147A"/>
    <w:rsid w:val="00FB14D2"/>
    <w:rsid w:val="00FB154F"/>
    <w:rsid w:val="00FB1577"/>
    <w:rsid w:val="00FB1757"/>
    <w:rsid w:val="00FB1789"/>
    <w:rsid w:val="00FB18A3"/>
    <w:rsid w:val="00FB1906"/>
    <w:rsid w:val="00FB194B"/>
    <w:rsid w:val="00FB19BD"/>
    <w:rsid w:val="00FB19C6"/>
    <w:rsid w:val="00FB19F6"/>
    <w:rsid w:val="00FB1A08"/>
    <w:rsid w:val="00FB1B00"/>
    <w:rsid w:val="00FB1B93"/>
    <w:rsid w:val="00FB1DA6"/>
    <w:rsid w:val="00FB1E40"/>
    <w:rsid w:val="00FB1E70"/>
    <w:rsid w:val="00FB1E84"/>
    <w:rsid w:val="00FB2090"/>
    <w:rsid w:val="00FB222C"/>
    <w:rsid w:val="00FB223A"/>
    <w:rsid w:val="00FB2249"/>
    <w:rsid w:val="00FB2309"/>
    <w:rsid w:val="00FB2313"/>
    <w:rsid w:val="00FB2449"/>
    <w:rsid w:val="00FB277D"/>
    <w:rsid w:val="00FB2789"/>
    <w:rsid w:val="00FB27F4"/>
    <w:rsid w:val="00FB28B7"/>
    <w:rsid w:val="00FB28DE"/>
    <w:rsid w:val="00FB28EC"/>
    <w:rsid w:val="00FB290D"/>
    <w:rsid w:val="00FB29A1"/>
    <w:rsid w:val="00FB2A62"/>
    <w:rsid w:val="00FB2A66"/>
    <w:rsid w:val="00FB2AAE"/>
    <w:rsid w:val="00FB2AC8"/>
    <w:rsid w:val="00FB2B17"/>
    <w:rsid w:val="00FB2B4F"/>
    <w:rsid w:val="00FB2B69"/>
    <w:rsid w:val="00FB2C08"/>
    <w:rsid w:val="00FB2C73"/>
    <w:rsid w:val="00FB2DCB"/>
    <w:rsid w:val="00FB2E3E"/>
    <w:rsid w:val="00FB2EC9"/>
    <w:rsid w:val="00FB2F87"/>
    <w:rsid w:val="00FB2F91"/>
    <w:rsid w:val="00FB2FA0"/>
    <w:rsid w:val="00FB2FFE"/>
    <w:rsid w:val="00FB3095"/>
    <w:rsid w:val="00FB318E"/>
    <w:rsid w:val="00FB31B9"/>
    <w:rsid w:val="00FB35DA"/>
    <w:rsid w:val="00FB3619"/>
    <w:rsid w:val="00FB36E3"/>
    <w:rsid w:val="00FB3751"/>
    <w:rsid w:val="00FB37C3"/>
    <w:rsid w:val="00FB39A8"/>
    <w:rsid w:val="00FB3A39"/>
    <w:rsid w:val="00FB3AE8"/>
    <w:rsid w:val="00FB3B03"/>
    <w:rsid w:val="00FB3B86"/>
    <w:rsid w:val="00FB3D31"/>
    <w:rsid w:val="00FB3DDA"/>
    <w:rsid w:val="00FB3E12"/>
    <w:rsid w:val="00FB3EC4"/>
    <w:rsid w:val="00FB3F05"/>
    <w:rsid w:val="00FB41B1"/>
    <w:rsid w:val="00FB4290"/>
    <w:rsid w:val="00FB42CC"/>
    <w:rsid w:val="00FB443A"/>
    <w:rsid w:val="00FB44A7"/>
    <w:rsid w:val="00FB44C6"/>
    <w:rsid w:val="00FB44F4"/>
    <w:rsid w:val="00FB4543"/>
    <w:rsid w:val="00FB45D0"/>
    <w:rsid w:val="00FB45F2"/>
    <w:rsid w:val="00FB4656"/>
    <w:rsid w:val="00FB4798"/>
    <w:rsid w:val="00FB4799"/>
    <w:rsid w:val="00FB47F0"/>
    <w:rsid w:val="00FB4879"/>
    <w:rsid w:val="00FB488A"/>
    <w:rsid w:val="00FB496B"/>
    <w:rsid w:val="00FB49A1"/>
    <w:rsid w:val="00FB49B3"/>
    <w:rsid w:val="00FB4A7F"/>
    <w:rsid w:val="00FB4C13"/>
    <w:rsid w:val="00FB4CD7"/>
    <w:rsid w:val="00FB4D7D"/>
    <w:rsid w:val="00FB4D86"/>
    <w:rsid w:val="00FB4E4A"/>
    <w:rsid w:val="00FB4E63"/>
    <w:rsid w:val="00FB4E80"/>
    <w:rsid w:val="00FB4E88"/>
    <w:rsid w:val="00FB4E90"/>
    <w:rsid w:val="00FB4F4D"/>
    <w:rsid w:val="00FB513F"/>
    <w:rsid w:val="00FB52A4"/>
    <w:rsid w:val="00FB535D"/>
    <w:rsid w:val="00FB53A1"/>
    <w:rsid w:val="00FB53E0"/>
    <w:rsid w:val="00FB547D"/>
    <w:rsid w:val="00FB5499"/>
    <w:rsid w:val="00FB552B"/>
    <w:rsid w:val="00FB558F"/>
    <w:rsid w:val="00FB57C2"/>
    <w:rsid w:val="00FB57DF"/>
    <w:rsid w:val="00FB57E6"/>
    <w:rsid w:val="00FB5903"/>
    <w:rsid w:val="00FB590B"/>
    <w:rsid w:val="00FB5938"/>
    <w:rsid w:val="00FB5A1A"/>
    <w:rsid w:val="00FB5A2A"/>
    <w:rsid w:val="00FB5A2D"/>
    <w:rsid w:val="00FB5AA1"/>
    <w:rsid w:val="00FB5AF4"/>
    <w:rsid w:val="00FB5BC6"/>
    <w:rsid w:val="00FB5BD3"/>
    <w:rsid w:val="00FB5C12"/>
    <w:rsid w:val="00FB5CE4"/>
    <w:rsid w:val="00FB5CF6"/>
    <w:rsid w:val="00FB5D79"/>
    <w:rsid w:val="00FB5DF7"/>
    <w:rsid w:val="00FB5E45"/>
    <w:rsid w:val="00FB5E94"/>
    <w:rsid w:val="00FB5EDF"/>
    <w:rsid w:val="00FB5F3A"/>
    <w:rsid w:val="00FB5F8E"/>
    <w:rsid w:val="00FB6066"/>
    <w:rsid w:val="00FB608A"/>
    <w:rsid w:val="00FB60B8"/>
    <w:rsid w:val="00FB61D9"/>
    <w:rsid w:val="00FB636E"/>
    <w:rsid w:val="00FB63EA"/>
    <w:rsid w:val="00FB649A"/>
    <w:rsid w:val="00FB64C5"/>
    <w:rsid w:val="00FB65E5"/>
    <w:rsid w:val="00FB65EC"/>
    <w:rsid w:val="00FB66A4"/>
    <w:rsid w:val="00FB67B9"/>
    <w:rsid w:val="00FB693F"/>
    <w:rsid w:val="00FB6981"/>
    <w:rsid w:val="00FB6A99"/>
    <w:rsid w:val="00FB6AF0"/>
    <w:rsid w:val="00FB6B94"/>
    <w:rsid w:val="00FB6BA4"/>
    <w:rsid w:val="00FB6BD7"/>
    <w:rsid w:val="00FB6EB0"/>
    <w:rsid w:val="00FB6F66"/>
    <w:rsid w:val="00FB7067"/>
    <w:rsid w:val="00FB70CA"/>
    <w:rsid w:val="00FB711A"/>
    <w:rsid w:val="00FB7196"/>
    <w:rsid w:val="00FB73F0"/>
    <w:rsid w:val="00FB7458"/>
    <w:rsid w:val="00FB758C"/>
    <w:rsid w:val="00FB75CD"/>
    <w:rsid w:val="00FB75F4"/>
    <w:rsid w:val="00FB764F"/>
    <w:rsid w:val="00FB7707"/>
    <w:rsid w:val="00FB773F"/>
    <w:rsid w:val="00FB77CD"/>
    <w:rsid w:val="00FB77EF"/>
    <w:rsid w:val="00FB7810"/>
    <w:rsid w:val="00FB7825"/>
    <w:rsid w:val="00FB7B54"/>
    <w:rsid w:val="00FB7B65"/>
    <w:rsid w:val="00FB7BF6"/>
    <w:rsid w:val="00FB7E54"/>
    <w:rsid w:val="00FB7E9D"/>
    <w:rsid w:val="00FB7EA6"/>
    <w:rsid w:val="00FB7F2E"/>
    <w:rsid w:val="00FC0007"/>
    <w:rsid w:val="00FC0174"/>
    <w:rsid w:val="00FC0276"/>
    <w:rsid w:val="00FC032D"/>
    <w:rsid w:val="00FC04BD"/>
    <w:rsid w:val="00FC064E"/>
    <w:rsid w:val="00FC0679"/>
    <w:rsid w:val="00FC068A"/>
    <w:rsid w:val="00FC0752"/>
    <w:rsid w:val="00FC079A"/>
    <w:rsid w:val="00FC07C5"/>
    <w:rsid w:val="00FC08FA"/>
    <w:rsid w:val="00FC0936"/>
    <w:rsid w:val="00FC0954"/>
    <w:rsid w:val="00FC097B"/>
    <w:rsid w:val="00FC0A64"/>
    <w:rsid w:val="00FC0A8C"/>
    <w:rsid w:val="00FC0B33"/>
    <w:rsid w:val="00FC0B8B"/>
    <w:rsid w:val="00FC0BA8"/>
    <w:rsid w:val="00FC0BC4"/>
    <w:rsid w:val="00FC0BE6"/>
    <w:rsid w:val="00FC0C3A"/>
    <w:rsid w:val="00FC0C49"/>
    <w:rsid w:val="00FC0C61"/>
    <w:rsid w:val="00FC0D70"/>
    <w:rsid w:val="00FC0DE7"/>
    <w:rsid w:val="00FC0E24"/>
    <w:rsid w:val="00FC0E37"/>
    <w:rsid w:val="00FC0E48"/>
    <w:rsid w:val="00FC0EB3"/>
    <w:rsid w:val="00FC0F32"/>
    <w:rsid w:val="00FC0F5A"/>
    <w:rsid w:val="00FC0F73"/>
    <w:rsid w:val="00FC1079"/>
    <w:rsid w:val="00FC1114"/>
    <w:rsid w:val="00FC113E"/>
    <w:rsid w:val="00FC12DD"/>
    <w:rsid w:val="00FC133C"/>
    <w:rsid w:val="00FC13F9"/>
    <w:rsid w:val="00FC145B"/>
    <w:rsid w:val="00FC14C7"/>
    <w:rsid w:val="00FC151D"/>
    <w:rsid w:val="00FC155C"/>
    <w:rsid w:val="00FC1628"/>
    <w:rsid w:val="00FC16BC"/>
    <w:rsid w:val="00FC1715"/>
    <w:rsid w:val="00FC17A6"/>
    <w:rsid w:val="00FC18A3"/>
    <w:rsid w:val="00FC18D1"/>
    <w:rsid w:val="00FC1963"/>
    <w:rsid w:val="00FC19D7"/>
    <w:rsid w:val="00FC1A5D"/>
    <w:rsid w:val="00FC1A5E"/>
    <w:rsid w:val="00FC1A71"/>
    <w:rsid w:val="00FC1BEE"/>
    <w:rsid w:val="00FC1CA4"/>
    <w:rsid w:val="00FC1D0B"/>
    <w:rsid w:val="00FC1F1E"/>
    <w:rsid w:val="00FC1F21"/>
    <w:rsid w:val="00FC1F2E"/>
    <w:rsid w:val="00FC1FE9"/>
    <w:rsid w:val="00FC2090"/>
    <w:rsid w:val="00FC20BE"/>
    <w:rsid w:val="00FC20E3"/>
    <w:rsid w:val="00FC2503"/>
    <w:rsid w:val="00FC250B"/>
    <w:rsid w:val="00FC25F8"/>
    <w:rsid w:val="00FC267B"/>
    <w:rsid w:val="00FC26DD"/>
    <w:rsid w:val="00FC27A8"/>
    <w:rsid w:val="00FC27AB"/>
    <w:rsid w:val="00FC27E1"/>
    <w:rsid w:val="00FC286A"/>
    <w:rsid w:val="00FC29C9"/>
    <w:rsid w:val="00FC2A04"/>
    <w:rsid w:val="00FC2A66"/>
    <w:rsid w:val="00FC2AE7"/>
    <w:rsid w:val="00FC2BF4"/>
    <w:rsid w:val="00FC2D21"/>
    <w:rsid w:val="00FC2D8C"/>
    <w:rsid w:val="00FC2DA0"/>
    <w:rsid w:val="00FC2EBD"/>
    <w:rsid w:val="00FC2FFB"/>
    <w:rsid w:val="00FC3027"/>
    <w:rsid w:val="00FC3060"/>
    <w:rsid w:val="00FC310D"/>
    <w:rsid w:val="00FC31DF"/>
    <w:rsid w:val="00FC31E9"/>
    <w:rsid w:val="00FC31EA"/>
    <w:rsid w:val="00FC32D1"/>
    <w:rsid w:val="00FC32FB"/>
    <w:rsid w:val="00FC3348"/>
    <w:rsid w:val="00FC34BF"/>
    <w:rsid w:val="00FC3676"/>
    <w:rsid w:val="00FC370C"/>
    <w:rsid w:val="00FC3885"/>
    <w:rsid w:val="00FC38E7"/>
    <w:rsid w:val="00FC39E2"/>
    <w:rsid w:val="00FC3A40"/>
    <w:rsid w:val="00FC3ACD"/>
    <w:rsid w:val="00FC3C34"/>
    <w:rsid w:val="00FC3C54"/>
    <w:rsid w:val="00FC3C9D"/>
    <w:rsid w:val="00FC3C9F"/>
    <w:rsid w:val="00FC3D0B"/>
    <w:rsid w:val="00FC3D4C"/>
    <w:rsid w:val="00FC3D6E"/>
    <w:rsid w:val="00FC3DC6"/>
    <w:rsid w:val="00FC4212"/>
    <w:rsid w:val="00FC4250"/>
    <w:rsid w:val="00FC42A9"/>
    <w:rsid w:val="00FC42DA"/>
    <w:rsid w:val="00FC4344"/>
    <w:rsid w:val="00FC43E5"/>
    <w:rsid w:val="00FC4407"/>
    <w:rsid w:val="00FC469C"/>
    <w:rsid w:val="00FC46DD"/>
    <w:rsid w:val="00FC4719"/>
    <w:rsid w:val="00FC476F"/>
    <w:rsid w:val="00FC47A4"/>
    <w:rsid w:val="00FC485F"/>
    <w:rsid w:val="00FC493D"/>
    <w:rsid w:val="00FC4996"/>
    <w:rsid w:val="00FC4AB3"/>
    <w:rsid w:val="00FC4BCD"/>
    <w:rsid w:val="00FC4BDC"/>
    <w:rsid w:val="00FC4C24"/>
    <w:rsid w:val="00FC4C26"/>
    <w:rsid w:val="00FC4C5A"/>
    <w:rsid w:val="00FC4C5E"/>
    <w:rsid w:val="00FC4CFA"/>
    <w:rsid w:val="00FC4ECA"/>
    <w:rsid w:val="00FC4EE0"/>
    <w:rsid w:val="00FC4EEC"/>
    <w:rsid w:val="00FC4F54"/>
    <w:rsid w:val="00FC522C"/>
    <w:rsid w:val="00FC531D"/>
    <w:rsid w:val="00FC54F7"/>
    <w:rsid w:val="00FC5567"/>
    <w:rsid w:val="00FC55F3"/>
    <w:rsid w:val="00FC5726"/>
    <w:rsid w:val="00FC5773"/>
    <w:rsid w:val="00FC578A"/>
    <w:rsid w:val="00FC57B5"/>
    <w:rsid w:val="00FC57E6"/>
    <w:rsid w:val="00FC5846"/>
    <w:rsid w:val="00FC5ACB"/>
    <w:rsid w:val="00FC5B24"/>
    <w:rsid w:val="00FC5BC6"/>
    <w:rsid w:val="00FC5C63"/>
    <w:rsid w:val="00FC5CEB"/>
    <w:rsid w:val="00FC5D1B"/>
    <w:rsid w:val="00FC5D4D"/>
    <w:rsid w:val="00FC5D96"/>
    <w:rsid w:val="00FC5DAE"/>
    <w:rsid w:val="00FC5E2A"/>
    <w:rsid w:val="00FC5F30"/>
    <w:rsid w:val="00FC60A5"/>
    <w:rsid w:val="00FC60D3"/>
    <w:rsid w:val="00FC61B8"/>
    <w:rsid w:val="00FC6211"/>
    <w:rsid w:val="00FC62A1"/>
    <w:rsid w:val="00FC62B5"/>
    <w:rsid w:val="00FC62F4"/>
    <w:rsid w:val="00FC6310"/>
    <w:rsid w:val="00FC6420"/>
    <w:rsid w:val="00FC651C"/>
    <w:rsid w:val="00FC652B"/>
    <w:rsid w:val="00FC6575"/>
    <w:rsid w:val="00FC66FD"/>
    <w:rsid w:val="00FC67AE"/>
    <w:rsid w:val="00FC6AE1"/>
    <w:rsid w:val="00FC6BAA"/>
    <w:rsid w:val="00FC6BCA"/>
    <w:rsid w:val="00FC6C79"/>
    <w:rsid w:val="00FC6D6B"/>
    <w:rsid w:val="00FC6DBF"/>
    <w:rsid w:val="00FC6E5B"/>
    <w:rsid w:val="00FC6E68"/>
    <w:rsid w:val="00FC6E83"/>
    <w:rsid w:val="00FC6ECF"/>
    <w:rsid w:val="00FC6F3D"/>
    <w:rsid w:val="00FC6F55"/>
    <w:rsid w:val="00FC705A"/>
    <w:rsid w:val="00FC706B"/>
    <w:rsid w:val="00FC70EC"/>
    <w:rsid w:val="00FC7110"/>
    <w:rsid w:val="00FC71FB"/>
    <w:rsid w:val="00FC7233"/>
    <w:rsid w:val="00FC7256"/>
    <w:rsid w:val="00FC730C"/>
    <w:rsid w:val="00FC7382"/>
    <w:rsid w:val="00FC7384"/>
    <w:rsid w:val="00FC73E2"/>
    <w:rsid w:val="00FC74ED"/>
    <w:rsid w:val="00FC7534"/>
    <w:rsid w:val="00FC75E8"/>
    <w:rsid w:val="00FC75F3"/>
    <w:rsid w:val="00FC7672"/>
    <w:rsid w:val="00FC775B"/>
    <w:rsid w:val="00FC77B5"/>
    <w:rsid w:val="00FC77CC"/>
    <w:rsid w:val="00FC78FE"/>
    <w:rsid w:val="00FC795F"/>
    <w:rsid w:val="00FC7A24"/>
    <w:rsid w:val="00FC7A32"/>
    <w:rsid w:val="00FC7A42"/>
    <w:rsid w:val="00FC7B69"/>
    <w:rsid w:val="00FC7E23"/>
    <w:rsid w:val="00FC7E2D"/>
    <w:rsid w:val="00FC7E36"/>
    <w:rsid w:val="00FC7EAB"/>
    <w:rsid w:val="00FD003F"/>
    <w:rsid w:val="00FD007D"/>
    <w:rsid w:val="00FD020A"/>
    <w:rsid w:val="00FD0277"/>
    <w:rsid w:val="00FD0304"/>
    <w:rsid w:val="00FD03C3"/>
    <w:rsid w:val="00FD040E"/>
    <w:rsid w:val="00FD0454"/>
    <w:rsid w:val="00FD04D6"/>
    <w:rsid w:val="00FD05DB"/>
    <w:rsid w:val="00FD0698"/>
    <w:rsid w:val="00FD06E9"/>
    <w:rsid w:val="00FD06F8"/>
    <w:rsid w:val="00FD070B"/>
    <w:rsid w:val="00FD07D1"/>
    <w:rsid w:val="00FD0875"/>
    <w:rsid w:val="00FD09C6"/>
    <w:rsid w:val="00FD09E8"/>
    <w:rsid w:val="00FD0B6F"/>
    <w:rsid w:val="00FD0CD1"/>
    <w:rsid w:val="00FD0D2D"/>
    <w:rsid w:val="00FD0D2F"/>
    <w:rsid w:val="00FD0D44"/>
    <w:rsid w:val="00FD0E4F"/>
    <w:rsid w:val="00FD0E56"/>
    <w:rsid w:val="00FD0E6B"/>
    <w:rsid w:val="00FD1003"/>
    <w:rsid w:val="00FD100E"/>
    <w:rsid w:val="00FD1024"/>
    <w:rsid w:val="00FD1070"/>
    <w:rsid w:val="00FD10AF"/>
    <w:rsid w:val="00FD1171"/>
    <w:rsid w:val="00FD11AE"/>
    <w:rsid w:val="00FD1207"/>
    <w:rsid w:val="00FD1283"/>
    <w:rsid w:val="00FD131B"/>
    <w:rsid w:val="00FD1352"/>
    <w:rsid w:val="00FD13ED"/>
    <w:rsid w:val="00FD15CA"/>
    <w:rsid w:val="00FD1630"/>
    <w:rsid w:val="00FD1694"/>
    <w:rsid w:val="00FD170A"/>
    <w:rsid w:val="00FD1747"/>
    <w:rsid w:val="00FD1792"/>
    <w:rsid w:val="00FD1901"/>
    <w:rsid w:val="00FD19A3"/>
    <w:rsid w:val="00FD1A23"/>
    <w:rsid w:val="00FD1AA2"/>
    <w:rsid w:val="00FD1AA4"/>
    <w:rsid w:val="00FD1B05"/>
    <w:rsid w:val="00FD1B14"/>
    <w:rsid w:val="00FD1C24"/>
    <w:rsid w:val="00FD1C2A"/>
    <w:rsid w:val="00FD1CC0"/>
    <w:rsid w:val="00FD1CEB"/>
    <w:rsid w:val="00FD1D28"/>
    <w:rsid w:val="00FD1E16"/>
    <w:rsid w:val="00FD1F4F"/>
    <w:rsid w:val="00FD1F62"/>
    <w:rsid w:val="00FD2011"/>
    <w:rsid w:val="00FD2148"/>
    <w:rsid w:val="00FD21BE"/>
    <w:rsid w:val="00FD22F4"/>
    <w:rsid w:val="00FD2366"/>
    <w:rsid w:val="00FD23E4"/>
    <w:rsid w:val="00FD243D"/>
    <w:rsid w:val="00FD264D"/>
    <w:rsid w:val="00FD26FE"/>
    <w:rsid w:val="00FD271A"/>
    <w:rsid w:val="00FD275E"/>
    <w:rsid w:val="00FD27DB"/>
    <w:rsid w:val="00FD2829"/>
    <w:rsid w:val="00FD28AA"/>
    <w:rsid w:val="00FD29C4"/>
    <w:rsid w:val="00FD29E3"/>
    <w:rsid w:val="00FD29F4"/>
    <w:rsid w:val="00FD2A57"/>
    <w:rsid w:val="00FD2A9C"/>
    <w:rsid w:val="00FD2AEB"/>
    <w:rsid w:val="00FD2C18"/>
    <w:rsid w:val="00FD2C20"/>
    <w:rsid w:val="00FD2C51"/>
    <w:rsid w:val="00FD2C5A"/>
    <w:rsid w:val="00FD2D02"/>
    <w:rsid w:val="00FD2DD3"/>
    <w:rsid w:val="00FD2DEF"/>
    <w:rsid w:val="00FD2E1E"/>
    <w:rsid w:val="00FD2E37"/>
    <w:rsid w:val="00FD2F1A"/>
    <w:rsid w:val="00FD2FEB"/>
    <w:rsid w:val="00FD2FFA"/>
    <w:rsid w:val="00FD3025"/>
    <w:rsid w:val="00FD3035"/>
    <w:rsid w:val="00FD3049"/>
    <w:rsid w:val="00FD30BF"/>
    <w:rsid w:val="00FD312A"/>
    <w:rsid w:val="00FD3194"/>
    <w:rsid w:val="00FD3205"/>
    <w:rsid w:val="00FD3223"/>
    <w:rsid w:val="00FD32E8"/>
    <w:rsid w:val="00FD330D"/>
    <w:rsid w:val="00FD3411"/>
    <w:rsid w:val="00FD3605"/>
    <w:rsid w:val="00FD3688"/>
    <w:rsid w:val="00FD3765"/>
    <w:rsid w:val="00FD3850"/>
    <w:rsid w:val="00FD38A6"/>
    <w:rsid w:val="00FD38FA"/>
    <w:rsid w:val="00FD390F"/>
    <w:rsid w:val="00FD3A24"/>
    <w:rsid w:val="00FD3A4F"/>
    <w:rsid w:val="00FD3ADC"/>
    <w:rsid w:val="00FD3B01"/>
    <w:rsid w:val="00FD3BEB"/>
    <w:rsid w:val="00FD3CE1"/>
    <w:rsid w:val="00FD3D68"/>
    <w:rsid w:val="00FD40A5"/>
    <w:rsid w:val="00FD40C3"/>
    <w:rsid w:val="00FD40C4"/>
    <w:rsid w:val="00FD4267"/>
    <w:rsid w:val="00FD42B8"/>
    <w:rsid w:val="00FD4368"/>
    <w:rsid w:val="00FD439F"/>
    <w:rsid w:val="00FD44A5"/>
    <w:rsid w:val="00FD4527"/>
    <w:rsid w:val="00FD4579"/>
    <w:rsid w:val="00FD45A2"/>
    <w:rsid w:val="00FD463F"/>
    <w:rsid w:val="00FD46C2"/>
    <w:rsid w:val="00FD47D5"/>
    <w:rsid w:val="00FD49B4"/>
    <w:rsid w:val="00FD4AA9"/>
    <w:rsid w:val="00FD4B0E"/>
    <w:rsid w:val="00FD4B48"/>
    <w:rsid w:val="00FD4C8E"/>
    <w:rsid w:val="00FD4D4C"/>
    <w:rsid w:val="00FD4D53"/>
    <w:rsid w:val="00FD4D97"/>
    <w:rsid w:val="00FD4E61"/>
    <w:rsid w:val="00FD4EC7"/>
    <w:rsid w:val="00FD4F69"/>
    <w:rsid w:val="00FD4F9B"/>
    <w:rsid w:val="00FD51D0"/>
    <w:rsid w:val="00FD51F0"/>
    <w:rsid w:val="00FD52A3"/>
    <w:rsid w:val="00FD52D8"/>
    <w:rsid w:val="00FD539E"/>
    <w:rsid w:val="00FD53A4"/>
    <w:rsid w:val="00FD548A"/>
    <w:rsid w:val="00FD54A7"/>
    <w:rsid w:val="00FD54C5"/>
    <w:rsid w:val="00FD54CA"/>
    <w:rsid w:val="00FD554E"/>
    <w:rsid w:val="00FD5598"/>
    <w:rsid w:val="00FD576E"/>
    <w:rsid w:val="00FD5776"/>
    <w:rsid w:val="00FD5799"/>
    <w:rsid w:val="00FD5889"/>
    <w:rsid w:val="00FD58BB"/>
    <w:rsid w:val="00FD58FE"/>
    <w:rsid w:val="00FD5A01"/>
    <w:rsid w:val="00FD5BE5"/>
    <w:rsid w:val="00FD5E89"/>
    <w:rsid w:val="00FD5EB8"/>
    <w:rsid w:val="00FD5EC0"/>
    <w:rsid w:val="00FD5F26"/>
    <w:rsid w:val="00FD5F33"/>
    <w:rsid w:val="00FD5F3F"/>
    <w:rsid w:val="00FD5FAD"/>
    <w:rsid w:val="00FD600F"/>
    <w:rsid w:val="00FD60E3"/>
    <w:rsid w:val="00FD60E6"/>
    <w:rsid w:val="00FD6179"/>
    <w:rsid w:val="00FD61CF"/>
    <w:rsid w:val="00FD6294"/>
    <w:rsid w:val="00FD64B1"/>
    <w:rsid w:val="00FD6691"/>
    <w:rsid w:val="00FD66FD"/>
    <w:rsid w:val="00FD67BA"/>
    <w:rsid w:val="00FD684C"/>
    <w:rsid w:val="00FD6879"/>
    <w:rsid w:val="00FD692A"/>
    <w:rsid w:val="00FD6960"/>
    <w:rsid w:val="00FD69C8"/>
    <w:rsid w:val="00FD6BCB"/>
    <w:rsid w:val="00FD6CC0"/>
    <w:rsid w:val="00FD6EAE"/>
    <w:rsid w:val="00FD6F32"/>
    <w:rsid w:val="00FD6FB0"/>
    <w:rsid w:val="00FD6FFF"/>
    <w:rsid w:val="00FD7014"/>
    <w:rsid w:val="00FD706A"/>
    <w:rsid w:val="00FD70A1"/>
    <w:rsid w:val="00FD70B6"/>
    <w:rsid w:val="00FD70DB"/>
    <w:rsid w:val="00FD7260"/>
    <w:rsid w:val="00FD72C7"/>
    <w:rsid w:val="00FD72F1"/>
    <w:rsid w:val="00FD7385"/>
    <w:rsid w:val="00FD7420"/>
    <w:rsid w:val="00FD7432"/>
    <w:rsid w:val="00FD74D2"/>
    <w:rsid w:val="00FD74F0"/>
    <w:rsid w:val="00FD7588"/>
    <w:rsid w:val="00FD75CC"/>
    <w:rsid w:val="00FD7623"/>
    <w:rsid w:val="00FD777E"/>
    <w:rsid w:val="00FD7799"/>
    <w:rsid w:val="00FD7987"/>
    <w:rsid w:val="00FD79D0"/>
    <w:rsid w:val="00FD79EA"/>
    <w:rsid w:val="00FD7A43"/>
    <w:rsid w:val="00FD7AA9"/>
    <w:rsid w:val="00FD7ABF"/>
    <w:rsid w:val="00FD7AF7"/>
    <w:rsid w:val="00FD7B22"/>
    <w:rsid w:val="00FD7B38"/>
    <w:rsid w:val="00FD7BD8"/>
    <w:rsid w:val="00FD7DEC"/>
    <w:rsid w:val="00FD7E43"/>
    <w:rsid w:val="00FD7E88"/>
    <w:rsid w:val="00FD7EEF"/>
    <w:rsid w:val="00FD7F55"/>
    <w:rsid w:val="00FD7F90"/>
    <w:rsid w:val="00FE008C"/>
    <w:rsid w:val="00FE0221"/>
    <w:rsid w:val="00FE027E"/>
    <w:rsid w:val="00FE0373"/>
    <w:rsid w:val="00FE03F3"/>
    <w:rsid w:val="00FE041D"/>
    <w:rsid w:val="00FE0466"/>
    <w:rsid w:val="00FE04DC"/>
    <w:rsid w:val="00FE0589"/>
    <w:rsid w:val="00FE0590"/>
    <w:rsid w:val="00FE0805"/>
    <w:rsid w:val="00FE0852"/>
    <w:rsid w:val="00FE0854"/>
    <w:rsid w:val="00FE0866"/>
    <w:rsid w:val="00FE086B"/>
    <w:rsid w:val="00FE08D9"/>
    <w:rsid w:val="00FE0905"/>
    <w:rsid w:val="00FE099A"/>
    <w:rsid w:val="00FE0AA7"/>
    <w:rsid w:val="00FE0AE3"/>
    <w:rsid w:val="00FE0B6E"/>
    <w:rsid w:val="00FE0BAA"/>
    <w:rsid w:val="00FE0BB9"/>
    <w:rsid w:val="00FE0BC0"/>
    <w:rsid w:val="00FE0C23"/>
    <w:rsid w:val="00FE0C5D"/>
    <w:rsid w:val="00FE0D1F"/>
    <w:rsid w:val="00FE0D5D"/>
    <w:rsid w:val="00FE0E09"/>
    <w:rsid w:val="00FE0E5F"/>
    <w:rsid w:val="00FE0F7B"/>
    <w:rsid w:val="00FE0FAA"/>
    <w:rsid w:val="00FE1153"/>
    <w:rsid w:val="00FE119C"/>
    <w:rsid w:val="00FE11BC"/>
    <w:rsid w:val="00FE11DB"/>
    <w:rsid w:val="00FE1299"/>
    <w:rsid w:val="00FE12C9"/>
    <w:rsid w:val="00FE15B4"/>
    <w:rsid w:val="00FE15F6"/>
    <w:rsid w:val="00FE16E4"/>
    <w:rsid w:val="00FE16E9"/>
    <w:rsid w:val="00FE1796"/>
    <w:rsid w:val="00FE1849"/>
    <w:rsid w:val="00FE18BC"/>
    <w:rsid w:val="00FE190A"/>
    <w:rsid w:val="00FE192F"/>
    <w:rsid w:val="00FE1945"/>
    <w:rsid w:val="00FE1A03"/>
    <w:rsid w:val="00FE1A3E"/>
    <w:rsid w:val="00FE1B66"/>
    <w:rsid w:val="00FE1B87"/>
    <w:rsid w:val="00FE1C72"/>
    <w:rsid w:val="00FE1CE7"/>
    <w:rsid w:val="00FE1CF6"/>
    <w:rsid w:val="00FE1D43"/>
    <w:rsid w:val="00FE1D4B"/>
    <w:rsid w:val="00FE1D7B"/>
    <w:rsid w:val="00FE1E3F"/>
    <w:rsid w:val="00FE1F9E"/>
    <w:rsid w:val="00FE2003"/>
    <w:rsid w:val="00FE20FB"/>
    <w:rsid w:val="00FE2141"/>
    <w:rsid w:val="00FE2180"/>
    <w:rsid w:val="00FE2323"/>
    <w:rsid w:val="00FE236A"/>
    <w:rsid w:val="00FE2432"/>
    <w:rsid w:val="00FE2446"/>
    <w:rsid w:val="00FE24C9"/>
    <w:rsid w:val="00FE25E2"/>
    <w:rsid w:val="00FE265C"/>
    <w:rsid w:val="00FE2690"/>
    <w:rsid w:val="00FE2710"/>
    <w:rsid w:val="00FE2733"/>
    <w:rsid w:val="00FE2739"/>
    <w:rsid w:val="00FE2783"/>
    <w:rsid w:val="00FE28E6"/>
    <w:rsid w:val="00FE28FE"/>
    <w:rsid w:val="00FE2932"/>
    <w:rsid w:val="00FE2A13"/>
    <w:rsid w:val="00FE2A4F"/>
    <w:rsid w:val="00FE2B82"/>
    <w:rsid w:val="00FE2C19"/>
    <w:rsid w:val="00FE2C61"/>
    <w:rsid w:val="00FE2CD7"/>
    <w:rsid w:val="00FE2CFA"/>
    <w:rsid w:val="00FE2D8A"/>
    <w:rsid w:val="00FE2D9A"/>
    <w:rsid w:val="00FE2F36"/>
    <w:rsid w:val="00FE30A2"/>
    <w:rsid w:val="00FE30F5"/>
    <w:rsid w:val="00FE30FD"/>
    <w:rsid w:val="00FE3113"/>
    <w:rsid w:val="00FE315B"/>
    <w:rsid w:val="00FE31F1"/>
    <w:rsid w:val="00FE3206"/>
    <w:rsid w:val="00FE3283"/>
    <w:rsid w:val="00FE3363"/>
    <w:rsid w:val="00FE3416"/>
    <w:rsid w:val="00FE3434"/>
    <w:rsid w:val="00FE344F"/>
    <w:rsid w:val="00FE349A"/>
    <w:rsid w:val="00FE3595"/>
    <w:rsid w:val="00FE359A"/>
    <w:rsid w:val="00FE35F6"/>
    <w:rsid w:val="00FE3630"/>
    <w:rsid w:val="00FE3778"/>
    <w:rsid w:val="00FE3781"/>
    <w:rsid w:val="00FE37E6"/>
    <w:rsid w:val="00FE3837"/>
    <w:rsid w:val="00FE38CE"/>
    <w:rsid w:val="00FE3A6E"/>
    <w:rsid w:val="00FE3C3F"/>
    <w:rsid w:val="00FE3D25"/>
    <w:rsid w:val="00FE3F64"/>
    <w:rsid w:val="00FE3F67"/>
    <w:rsid w:val="00FE3FC4"/>
    <w:rsid w:val="00FE4033"/>
    <w:rsid w:val="00FE4071"/>
    <w:rsid w:val="00FE417F"/>
    <w:rsid w:val="00FE429F"/>
    <w:rsid w:val="00FE42F9"/>
    <w:rsid w:val="00FE4309"/>
    <w:rsid w:val="00FE4368"/>
    <w:rsid w:val="00FE437D"/>
    <w:rsid w:val="00FE43E0"/>
    <w:rsid w:val="00FE4491"/>
    <w:rsid w:val="00FE453A"/>
    <w:rsid w:val="00FE4586"/>
    <w:rsid w:val="00FE45E2"/>
    <w:rsid w:val="00FE46BC"/>
    <w:rsid w:val="00FE4722"/>
    <w:rsid w:val="00FE4777"/>
    <w:rsid w:val="00FE4821"/>
    <w:rsid w:val="00FE48BE"/>
    <w:rsid w:val="00FE48C1"/>
    <w:rsid w:val="00FE48CA"/>
    <w:rsid w:val="00FE49A0"/>
    <w:rsid w:val="00FE49E4"/>
    <w:rsid w:val="00FE4ABC"/>
    <w:rsid w:val="00FE4B08"/>
    <w:rsid w:val="00FE4B9F"/>
    <w:rsid w:val="00FE4D07"/>
    <w:rsid w:val="00FE4D1E"/>
    <w:rsid w:val="00FE4D37"/>
    <w:rsid w:val="00FE4DCB"/>
    <w:rsid w:val="00FE4DF3"/>
    <w:rsid w:val="00FE4E5C"/>
    <w:rsid w:val="00FE4EFE"/>
    <w:rsid w:val="00FE4F11"/>
    <w:rsid w:val="00FE4F7D"/>
    <w:rsid w:val="00FE4F84"/>
    <w:rsid w:val="00FE4FB0"/>
    <w:rsid w:val="00FE5035"/>
    <w:rsid w:val="00FE504F"/>
    <w:rsid w:val="00FE50A9"/>
    <w:rsid w:val="00FE511E"/>
    <w:rsid w:val="00FE5123"/>
    <w:rsid w:val="00FE51A6"/>
    <w:rsid w:val="00FE51C2"/>
    <w:rsid w:val="00FE5204"/>
    <w:rsid w:val="00FE53A9"/>
    <w:rsid w:val="00FE5457"/>
    <w:rsid w:val="00FE5504"/>
    <w:rsid w:val="00FE556D"/>
    <w:rsid w:val="00FE574A"/>
    <w:rsid w:val="00FE5827"/>
    <w:rsid w:val="00FE5835"/>
    <w:rsid w:val="00FE5846"/>
    <w:rsid w:val="00FE5877"/>
    <w:rsid w:val="00FE58EE"/>
    <w:rsid w:val="00FE5990"/>
    <w:rsid w:val="00FE5A7D"/>
    <w:rsid w:val="00FE5A8A"/>
    <w:rsid w:val="00FE5AD8"/>
    <w:rsid w:val="00FE5AF6"/>
    <w:rsid w:val="00FE5B6C"/>
    <w:rsid w:val="00FE5C0A"/>
    <w:rsid w:val="00FE5CC0"/>
    <w:rsid w:val="00FE5CF6"/>
    <w:rsid w:val="00FE5E15"/>
    <w:rsid w:val="00FE5E8A"/>
    <w:rsid w:val="00FE5EE2"/>
    <w:rsid w:val="00FE5EF1"/>
    <w:rsid w:val="00FE5FBC"/>
    <w:rsid w:val="00FE5FD5"/>
    <w:rsid w:val="00FE60A4"/>
    <w:rsid w:val="00FE60C0"/>
    <w:rsid w:val="00FE616D"/>
    <w:rsid w:val="00FE6185"/>
    <w:rsid w:val="00FE61A1"/>
    <w:rsid w:val="00FE61A2"/>
    <w:rsid w:val="00FE6215"/>
    <w:rsid w:val="00FE635E"/>
    <w:rsid w:val="00FE6457"/>
    <w:rsid w:val="00FE64BC"/>
    <w:rsid w:val="00FE65A7"/>
    <w:rsid w:val="00FE65B7"/>
    <w:rsid w:val="00FE65DA"/>
    <w:rsid w:val="00FE663D"/>
    <w:rsid w:val="00FE667D"/>
    <w:rsid w:val="00FE66D9"/>
    <w:rsid w:val="00FE6756"/>
    <w:rsid w:val="00FE6771"/>
    <w:rsid w:val="00FE678D"/>
    <w:rsid w:val="00FE67D3"/>
    <w:rsid w:val="00FE6840"/>
    <w:rsid w:val="00FE6A76"/>
    <w:rsid w:val="00FE6AB3"/>
    <w:rsid w:val="00FE6AB5"/>
    <w:rsid w:val="00FE6AE4"/>
    <w:rsid w:val="00FE6BA0"/>
    <w:rsid w:val="00FE6BE8"/>
    <w:rsid w:val="00FE6E1B"/>
    <w:rsid w:val="00FE6E1D"/>
    <w:rsid w:val="00FE6E35"/>
    <w:rsid w:val="00FE6E5A"/>
    <w:rsid w:val="00FE6EC4"/>
    <w:rsid w:val="00FE6F28"/>
    <w:rsid w:val="00FE6F75"/>
    <w:rsid w:val="00FE7009"/>
    <w:rsid w:val="00FE7025"/>
    <w:rsid w:val="00FE702A"/>
    <w:rsid w:val="00FE704D"/>
    <w:rsid w:val="00FE7382"/>
    <w:rsid w:val="00FE73CF"/>
    <w:rsid w:val="00FE7412"/>
    <w:rsid w:val="00FE7431"/>
    <w:rsid w:val="00FE74E0"/>
    <w:rsid w:val="00FE754E"/>
    <w:rsid w:val="00FE787F"/>
    <w:rsid w:val="00FE7886"/>
    <w:rsid w:val="00FE78DD"/>
    <w:rsid w:val="00FE78F3"/>
    <w:rsid w:val="00FE792D"/>
    <w:rsid w:val="00FE79AB"/>
    <w:rsid w:val="00FE7A1A"/>
    <w:rsid w:val="00FE7A36"/>
    <w:rsid w:val="00FE7A7F"/>
    <w:rsid w:val="00FE7B4D"/>
    <w:rsid w:val="00FE7B6E"/>
    <w:rsid w:val="00FE7C0A"/>
    <w:rsid w:val="00FE7CA9"/>
    <w:rsid w:val="00FE7E56"/>
    <w:rsid w:val="00FE7E70"/>
    <w:rsid w:val="00FE7F31"/>
    <w:rsid w:val="00FF001C"/>
    <w:rsid w:val="00FF0157"/>
    <w:rsid w:val="00FF01D5"/>
    <w:rsid w:val="00FF0278"/>
    <w:rsid w:val="00FF0337"/>
    <w:rsid w:val="00FF040B"/>
    <w:rsid w:val="00FF043A"/>
    <w:rsid w:val="00FF04DF"/>
    <w:rsid w:val="00FF04FA"/>
    <w:rsid w:val="00FF0526"/>
    <w:rsid w:val="00FF0865"/>
    <w:rsid w:val="00FF08FB"/>
    <w:rsid w:val="00FF0924"/>
    <w:rsid w:val="00FF097E"/>
    <w:rsid w:val="00FF09A4"/>
    <w:rsid w:val="00FF0AD5"/>
    <w:rsid w:val="00FF0AF6"/>
    <w:rsid w:val="00FF0B5D"/>
    <w:rsid w:val="00FF0B66"/>
    <w:rsid w:val="00FF0C3E"/>
    <w:rsid w:val="00FF0C52"/>
    <w:rsid w:val="00FF0CA1"/>
    <w:rsid w:val="00FF0D78"/>
    <w:rsid w:val="00FF0E5F"/>
    <w:rsid w:val="00FF0ECC"/>
    <w:rsid w:val="00FF0FD9"/>
    <w:rsid w:val="00FF1072"/>
    <w:rsid w:val="00FF10F7"/>
    <w:rsid w:val="00FF1179"/>
    <w:rsid w:val="00FF127C"/>
    <w:rsid w:val="00FF1316"/>
    <w:rsid w:val="00FF1458"/>
    <w:rsid w:val="00FF15F1"/>
    <w:rsid w:val="00FF16B9"/>
    <w:rsid w:val="00FF1705"/>
    <w:rsid w:val="00FF179B"/>
    <w:rsid w:val="00FF17EA"/>
    <w:rsid w:val="00FF1842"/>
    <w:rsid w:val="00FF19A3"/>
    <w:rsid w:val="00FF1A6D"/>
    <w:rsid w:val="00FF1AB2"/>
    <w:rsid w:val="00FF1C7D"/>
    <w:rsid w:val="00FF1C90"/>
    <w:rsid w:val="00FF1DD1"/>
    <w:rsid w:val="00FF1DD9"/>
    <w:rsid w:val="00FF1E33"/>
    <w:rsid w:val="00FF2019"/>
    <w:rsid w:val="00FF203C"/>
    <w:rsid w:val="00FF2090"/>
    <w:rsid w:val="00FF20B4"/>
    <w:rsid w:val="00FF2146"/>
    <w:rsid w:val="00FF2188"/>
    <w:rsid w:val="00FF2297"/>
    <w:rsid w:val="00FF22CD"/>
    <w:rsid w:val="00FF22D3"/>
    <w:rsid w:val="00FF2341"/>
    <w:rsid w:val="00FF2370"/>
    <w:rsid w:val="00FF2462"/>
    <w:rsid w:val="00FF249F"/>
    <w:rsid w:val="00FF2581"/>
    <w:rsid w:val="00FF2622"/>
    <w:rsid w:val="00FF26E0"/>
    <w:rsid w:val="00FF26EE"/>
    <w:rsid w:val="00FF2761"/>
    <w:rsid w:val="00FF27A1"/>
    <w:rsid w:val="00FF27A6"/>
    <w:rsid w:val="00FF27B3"/>
    <w:rsid w:val="00FF28C0"/>
    <w:rsid w:val="00FF29D5"/>
    <w:rsid w:val="00FF2A11"/>
    <w:rsid w:val="00FF2B01"/>
    <w:rsid w:val="00FF2C47"/>
    <w:rsid w:val="00FF2D53"/>
    <w:rsid w:val="00FF2DA5"/>
    <w:rsid w:val="00FF2EF9"/>
    <w:rsid w:val="00FF2F35"/>
    <w:rsid w:val="00FF305B"/>
    <w:rsid w:val="00FF30C4"/>
    <w:rsid w:val="00FF3150"/>
    <w:rsid w:val="00FF31D5"/>
    <w:rsid w:val="00FF3268"/>
    <w:rsid w:val="00FF3294"/>
    <w:rsid w:val="00FF32DB"/>
    <w:rsid w:val="00FF32EE"/>
    <w:rsid w:val="00FF3480"/>
    <w:rsid w:val="00FF357A"/>
    <w:rsid w:val="00FF361C"/>
    <w:rsid w:val="00FF3689"/>
    <w:rsid w:val="00FF36D6"/>
    <w:rsid w:val="00FF38E7"/>
    <w:rsid w:val="00FF3A29"/>
    <w:rsid w:val="00FF3B63"/>
    <w:rsid w:val="00FF3BCF"/>
    <w:rsid w:val="00FF3CBE"/>
    <w:rsid w:val="00FF3EB0"/>
    <w:rsid w:val="00FF3F46"/>
    <w:rsid w:val="00FF4009"/>
    <w:rsid w:val="00FF40C3"/>
    <w:rsid w:val="00FF40F0"/>
    <w:rsid w:val="00FF4171"/>
    <w:rsid w:val="00FF4492"/>
    <w:rsid w:val="00FF467D"/>
    <w:rsid w:val="00FF48EF"/>
    <w:rsid w:val="00FF4928"/>
    <w:rsid w:val="00FF4A2C"/>
    <w:rsid w:val="00FF4B04"/>
    <w:rsid w:val="00FF4BE5"/>
    <w:rsid w:val="00FF4C06"/>
    <w:rsid w:val="00FF4C46"/>
    <w:rsid w:val="00FF4DC9"/>
    <w:rsid w:val="00FF4DE8"/>
    <w:rsid w:val="00FF4E5F"/>
    <w:rsid w:val="00FF4E61"/>
    <w:rsid w:val="00FF4F1E"/>
    <w:rsid w:val="00FF4F3D"/>
    <w:rsid w:val="00FF4FBF"/>
    <w:rsid w:val="00FF5077"/>
    <w:rsid w:val="00FF50B3"/>
    <w:rsid w:val="00FF519F"/>
    <w:rsid w:val="00FF5200"/>
    <w:rsid w:val="00FF525A"/>
    <w:rsid w:val="00FF5296"/>
    <w:rsid w:val="00FF52AF"/>
    <w:rsid w:val="00FF52DA"/>
    <w:rsid w:val="00FF5302"/>
    <w:rsid w:val="00FF53D0"/>
    <w:rsid w:val="00FF53DF"/>
    <w:rsid w:val="00FF5404"/>
    <w:rsid w:val="00FF541F"/>
    <w:rsid w:val="00FF5531"/>
    <w:rsid w:val="00FF5568"/>
    <w:rsid w:val="00FF5593"/>
    <w:rsid w:val="00FF56C2"/>
    <w:rsid w:val="00FF56F6"/>
    <w:rsid w:val="00FF5726"/>
    <w:rsid w:val="00FF57A2"/>
    <w:rsid w:val="00FF583F"/>
    <w:rsid w:val="00FF5850"/>
    <w:rsid w:val="00FF59B7"/>
    <w:rsid w:val="00FF5AFC"/>
    <w:rsid w:val="00FF5B44"/>
    <w:rsid w:val="00FF5B87"/>
    <w:rsid w:val="00FF5B9D"/>
    <w:rsid w:val="00FF5BAA"/>
    <w:rsid w:val="00FF5EC5"/>
    <w:rsid w:val="00FF60E7"/>
    <w:rsid w:val="00FF617D"/>
    <w:rsid w:val="00FF618B"/>
    <w:rsid w:val="00FF61D4"/>
    <w:rsid w:val="00FF61E9"/>
    <w:rsid w:val="00FF61FB"/>
    <w:rsid w:val="00FF6257"/>
    <w:rsid w:val="00FF6343"/>
    <w:rsid w:val="00FF637E"/>
    <w:rsid w:val="00FF63BE"/>
    <w:rsid w:val="00FF63F5"/>
    <w:rsid w:val="00FF6421"/>
    <w:rsid w:val="00FF6522"/>
    <w:rsid w:val="00FF665F"/>
    <w:rsid w:val="00FF6705"/>
    <w:rsid w:val="00FF6795"/>
    <w:rsid w:val="00FF684C"/>
    <w:rsid w:val="00FF6928"/>
    <w:rsid w:val="00FF69CE"/>
    <w:rsid w:val="00FF6B04"/>
    <w:rsid w:val="00FF6B4D"/>
    <w:rsid w:val="00FF6C51"/>
    <w:rsid w:val="00FF6C94"/>
    <w:rsid w:val="00FF6CC9"/>
    <w:rsid w:val="00FF6D7C"/>
    <w:rsid w:val="00FF6DC9"/>
    <w:rsid w:val="00FF6DD4"/>
    <w:rsid w:val="00FF6E5B"/>
    <w:rsid w:val="00FF704D"/>
    <w:rsid w:val="00FF7125"/>
    <w:rsid w:val="00FF71DD"/>
    <w:rsid w:val="00FF71F1"/>
    <w:rsid w:val="00FF7317"/>
    <w:rsid w:val="00FF73AB"/>
    <w:rsid w:val="00FF740A"/>
    <w:rsid w:val="00FF7437"/>
    <w:rsid w:val="00FF7570"/>
    <w:rsid w:val="00FF75B5"/>
    <w:rsid w:val="00FF75E2"/>
    <w:rsid w:val="00FF75E6"/>
    <w:rsid w:val="00FF75FA"/>
    <w:rsid w:val="00FF778C"/>
    <w:rsid w:val="00FF77C0"/>
    <w:rsid w:val="00FF77EA"/>
    <w:rsid w:val="00FF795D"/>
    <w:rsid w:val="00FF7964"/>
    <w:rsid w:val="00FF7A13"/>
    <w:rsid w:val="00FF7AFB"/>
    <w:rsid w:val="00FF7B3D"/>
    <w:rsid w:val="00FF7B71"/>
    <w:rsid w:val="00FF7C23"/>
    <w:rsid w:val="00FF7C27"/>
    <w:rsid w:val="00FF7F6D"/>
    <w:rsid w:val="00FF7F96"/>
    <w:rsid w:val="00FF7FDC"/>
  </w:rsids>
  <m:mathPr>
    <m:mathFont m:val="Cambria Math"/>
    <m:brkBin m:val="before"/>
    <m:brkBinSub m:val="--"/>
    <m:smallFrac m:val="0"/>
    <m:dispDef/>
    <m:lMargin m:val="0"/>
    <m:rMargin m:val="0"/>
    <m:defJc m:val="centerGroup"/>
    <m:wrapIndent m:val="1440"/>
    <m:intLim m:val="subSup"/>
    <m:naryLim m:val="undOvr"/>
  </m:mathPr>
  <w:attachedSchema w:val="http://www.facebook.com/2008/fbml"/>
  <w:attachedSchema w:val="http://ogp.me/ns/fb#"/>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CD1DA"/>
  <w15:chartTrackingRefBased/>
  <w15:docId w15:val="{E4A19CAD-7645-4AE6-B37C-C9D550D59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semiHidden="1" w:unhideWhenUsed="1" w:qFormat="1"/>
    <w:lsdException w:name="footnote reference" w:uiPriority="99"/>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9417D"/>
    <w:rPr>
      <w:sz w:val="24"/>
      <w:szCs w:val="24"/>
    </w:rPr>
  </w:style>
  <w:style w:type="paragraph" w:styleId="Titolo1">
    <w:name w:val="heading 1"/>
    <w:basedOn w:val="Normale"/>
    <w:next w:val="Normale"/>
    <w:link w:val="Titolo1Carattere"/>
    <w:qFormat/>
    <w:rsid w:val="007932C1"/>
    <w:pPr>
      <w:keepNext/>
      <w:spacing w:before="100" w:beforeAutospacing="1" w:after="100" w:afterAutospacing="1"/>
      <w:jc w:val="both"/>
      <w:outlineLvl w:val="0"/>
    </w:pPr>
    <w:rPr>
      <w:b/>
      <w:bCs/>
      <w:lang w:val="x-none" w:eastAsia="x-none"/>
    </w:rPr>
  </w:style>
  <w:style w:type="paragraph" w:styleId="Titolo3">
    <w:name w:val="heading 3"/>
    <w:basedOn w:val="Normale"/>
    <w:next w:val="Normale"/>
    <w:link w:val="Titolo3Carattere"/>
    <w:qFormat/>
    <w:rsid w:val="00223C50"/>
    <w:pPr>
      <w:keepNext/>
      <w:spacing w:before="240" w:after="60"/>
      <w:outlineLvl w:val="2"/>
    </w:pPr>
    <w:rPr>
      <w:rFonts w:ascii="Arial" w:hAnsi="Arial"/>
      <w:b/>
      <w:bCs/>
      <w:sz w:val="26"/>
      <w:szCs w:val="26"/>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sid w:val="002E288E"/>
    <w:rPr>
      <w:b/>
      <w:bCs/>
      <w:sz w:val="24"/>
      <w:szCs w:val="24"/>
    </w:rPr>
  </w:style>
  <w:style w:type="character" w:customStyle="1" w:styleId="Titolo3Carattere">
    <w:name w:val="Titolo 3 Carattere"/>
    <w:link w:val="Titolo3"/>
    <w:rsid w:val="00C35D66"/>
    <w:rPr>
      <w:rFonts w:ascii="Arial" w:hAnsi="Arial" w:cs="Arial"/>
      <w:b/>
      <w:bCs/>
      <w:sz w:val="26"/>
      <w:szCs w:val="26"/>
    </w:rPr>
  </w:style>
  <w:style w:type="paragraph" w:customStyle="1" w:styleId="foots1">
    <w:name w:val="foots_1"/>
    <w:uiPriority w:val="99"/>
    <w:rsid w:val="007932C1"/>
    <w:pPr>
      <w:autoSpaceDE w:val="0"/>
      <w:autoSpaceDN w:val="0"/>
      <w:adjustRightInd w:val="0"/>
      <w:jc w:val="both"/>
    </w:pPr>
    <w:rPr>
      <w:sz w:val="17"/>
      <w:szCs w:val="17"/>
      <w:lang w:val="en-US"/>
    </w:rPr>
  </w:style>
  <w:style w:type="paragraph" w:customStyle="1" w:styleId="nota1">
    <w:name w:val="nota_1"/>
    <w:uiPriority w:val="99"/>
    <w:rsid w:val="007932C1"/>
    <w:pPr>
      <w:autoSpaceDE w:val="0"/>
      <w:autoSpaceDN w:val="0"/>
      <w:adjustRightInd w:val="0"/>
      <w:ind w:firstLine="385"/>
      <w:jc w:val="both"/>
    </w:pPr>
    <w:rPr>
      <w:sz w:val="17"/>
      <w:szCs w:val="17"/>
      <w:lang w:val="en-US"/>
    </w:rPr>
  </w:style>
  <w:style w:type="paragraph" w:customStyle="1" w:styleId="nota2">
    <w:name w:val="nota_2"/>
    <w:rsid w:val="007932C1"/>
    <w:pPr>
      <w:autoSpaceDE w:val="0"/>
      <w:autoSpaceDN w:val="0"/>
      <w:adjustRightInd w:val="0"/>
      <w:ind w:firstLine="385"/>
      <w:jc w:val="both"/>
    </w:pPr>
    <w:rPr>
      <w:sz w:val="17"/>
      <w:szCs w:val="17"/>
      <w:lang w:val="en-US"/>
    </w:rPr>
  </w:style>
  <w:style w:type="paragraph" w:customStyle="1" w:styleId="tit21">
    <w:name w:val="tit2_1"/>
    <w:uiPriority w:val="99"/>
    <w:rsid w:val="007932C1"/>
    <w:pPr>
      <w:autoSpaceDE w:val="0"/>
      <w:autoSpaceDN w:val="0"/>
      <w:adjustRightInd w:val="0"/>
      <w:spacing w:before="385"/>
      <w:jc w:val="both"/>
    </w:pPr>
    <w:rPr>
      <w:sz w:val="22"/>
      <w:szCs w:val="22"/>
      <w:lang w:val="en-US"/>
    </w:rPr>
  </w:style>
  <w:style w:type="paragraph" w:customStyle="1" w:styleId="tit22">
    <w:name w:val="tit2_2"/>
    <w:uiPriority w:val="99"/>
    <w:rsid w:val="007932C1"/>
    <w:pPr>
      <w:autoSpaceDE w:val="0"/>
      <w:autoSpaceDN w:val="0"/>
      <w:adjustRightInd w:val="0"/>
      <w:spacing w:before="171"/>
      <w:ind w:firstLine="385"/>
      <w:jc w:val="both"/>
    </w:pPr>
    <w:rPr>
      <w:sz w:val="22"/>
      <w:szCs w:val="22"/>
      <w:lang w:val="en-US"/>
    </w:rPr>
  </w:style>
  <w:style w:type="paragraph" w:customStyle="1" w:styleId="tit23">
    <w:name w:val="tit2_3"/>
    <w:uiPriority w:val="99"/>
    <w:rsid w:val="007932C1"/>
    <w:pPr>
      <w:autoSpaceDE w:val="0"/>
      <w:autoSpaceDN w:val="0"/>
      <w:adjustRightInd w:val="0"/>
      <w:ind w:firstLine="385"/>
      <w:jc w:val="both"/>
    </w:pPr>
    <w:rPr>
      <w:sz w:val="22"/>
      <w:szCs w:val="22"/>
      <w:lang w:val="en-US"/>
    </w:rPr>
  </w:style>
  <w:style w:type="paragraph" w:customStyle="1" w:styleId="som1">
    <w:name w:val="som_1"/>
    <w:rsid w:val="007932C1"/>
    <w:pPr>
      <w:autoSpaceDE w:val="0"/>
      <w:autoSpaceDN w:val="0"/>
      <w:adjustRightInd w:val="0"/>
      <w:spacing w:before="513"/>
      <w:ind w:left="385"/>
      <w:jc w:val="both"/>
    </w:pPr>
    <w:rPr>
      <w:sz w:val="17"/>
      <w:szCs w:val="17"/>
      <w:lang w:val="en-US"/>
    </w:rPr>
  </w:style>
  <w:style w:type="paragraph" w:styleId="Testonotaapidipagina">
    <w:name w:val="footnote text"/>
    <w:basedOn w:val="Normale"/>
    <w:link w:val="TestonotaapidipaginaCarattere"/>
    <w:uiPriority w:val="99"/>
    <w:rsid w:val="007932C1"/>
    <w:rPr>
      <w:sz w:val="20"/>
      <w:szCs w:val="20"/>
    </w:rPr>
  </w:style>
  <w:style w:type="character" w:customStyle="1" w:styleId="TestonotaapidipaginaCarattere">
    <w:name w:val="Testo nota a piè di pagina Carattere"/>
    <w:link w:val="Testonotaapidipagina"/>
    <w:uiPriority w:val="99"/>
    <w:locked/>
    <w:rsid w:val="007932C1"/>
    <w:rPr>
      <w:lang w:val="it-IT" w:eastAsia="it-IT" w:bidi="ar-SA"/>
    </w:rPr>
  </w:style>
  <w:style w:type="character" w:styleId="Rimandonotaapidipagina">
    <w:name w:val="footnote reference"/>
    <w:uiPriority w:val="99"/>
    <w:semiHidden/>
    <w:rsid w:val="007932C1"/>
    <w:rPr>
      <w:rFonts w:cs="Times New Roman"/>
      <w:vertAlign w:val="superscript"/>
    </w:rPr>
  </w:style>
  <w:style w:type="paragraph" w:styleId="Pidipagina">
    <w:name w:val="footer"/>
    <w:basedOn w:val="Normale"/>
    <w:link w:val="PidipaginaCarattere"/>
    <w:rsid w:val="007932C1"/>
    <w:pPr>
      <w:tabs>
        <w:tab w:val="center" w:pos="4819"/>
        <w:tab w:val="right" w:pos="9638"/>
      </w:tabs>
    </w:pPr>
    <w:rPr>
      <w:lang w:val="x-none" w:eastAsia="x-none"/>
    </w:rPr>
  </w:style>
  <w:style w:type="character" w:customStyle="1" w:styleId="PidipaginaCarattere">
    <w:name w:val="Piè di pagina Carattere"/>
    <w:link w:val="Pidipagina"/>
    <w:rsid w:val="002E288E"/>
    <w:rPr>
      <w:sz w:val="24"/>
      <w:szCs w:val="24"/>
    </w:rPr>
  </w:style>
  <w:style w:type="character" w:styleId="Numeropagina">
    <w:name w:val="page number"/>
    <w:rsid w:val="007932C1"/>
    <w:rPr>
      <w:rFonts w:cs="Times New Roman"/>
    </w:rPr>
  </w:style>
  <w:style w:type="paragraph" w:styleId="Corpotesto">
    <w:name w:val="Body Text"/>
    <w:aliases w:val="Corpo del testo"/>
    <w:basedOn w:val="Normale"/>
    <w:link w:val="CorpotestoCarattere"/>
    <w:rsid w:val="007932C1"/>
    <w:pPr>
      <w:spacing w:after="120"/>
    </w:pPr>
    <w:rPr>
      <w:lang w:val="x-none" w:eastAsia="x-none"/>
    </w:rPr>
  </w:style>
  <w:style w:type="character" w:customStyle="1" w:styleId="CorpotestoCarattere">
    <w:name w:val="Corpo testo Carattere"/>
    <w:aliases w:val="Corpo del testo Carattere"/>
    <w:link w:val="Corpotesto"/>
    <w:rsid w:val="002E288E"/>
    <w:rPr>
      <w:sz w:val="24"/>
      <w:szCs w:val="24"/>
    </w:rPr>
  </w:style>
  <w:style w:type="paragraph" w:styleId="Testofumetto">
    <w:name w:val="Balloon Text"/>
    <w:basedOn w:val="Normale"/>
    <w:link w:val="TestofumettoCarattere"/>
    <w:semiHidden/>
    <w:rsid w:val="007932C1"/>
    <w:rPr>
      <w:rFonts w:ascii="Tahoma" w:hAnsi="Tahoma"/>
      <w:sz w:val="16"/>
      <w:szCs w:val="16"/>
      <w:lang w:val="x-none" w:eastAsia="x-none"/>
    </w:rPr>
  </w:style>
  <w:style w:type="character" w:customStyle="1" w:styleId="TestofumettoCarattere">
    <w:name w:val="Testo fumetto Carattere"/>
    <w:link w:val="Testofumetto"/>
    <w:semiHidden/>
    <w:rsid w:val="002E288E"/>
    <w:rPr>
      <w:rFonts w:ascii="Tahoma" w:hAnsi="Tahoma" w:cs="Tahoma"/>
      <w:sz w:val="16"/>
      <w:szCs w:val="16"/>
    </w:rPr>
  </w:style>
  <w:style w:type="character" w:styleId="Rimandocommento">
    <w:name w:val="annotation reference"/>
    <w:semiHidden/>
    <w:rsid w:val="007932C1"/>
    <w:rPr>
      <w:rFonts w:cs="Times New Roman"/>
      <w:sz w:val="16"/>
      <w:szCs w:val="16"/>
    </w:rPr>
  </w:style>
  <w:style w:type="paragraph" w:styleId="Testocommento">
    <w:name w:val="annotation text"/>
    <w:basedOn w:val="Normale"/>
    <w:link w:val="TestocommentoCarattere"/>
    <w:semiHidden/>
    <w:rsid w:val="007932C1"/>
    <w:rPr>
      <w:sz w:val="20"/>
      <w:szCs w:val="20"/>
    </w:rPr>
  </w:style>
  <w:style w:type="character" w:customStyle="1" w:styleId="TestocommentoCarattere">
    <w:name w:val="Testo commento Carattere"/>
    <w:basedOn w:val="Carpredefinitoparagrafo"/>
    <w:link w:val="Testocommento"/>
    <w:semiHidden/>
    <w:rsid w:val="007039EA"/>
  </w:style>
  <w:style w:type="paragraph" w:styleId="Sommario1">
    <w:name w:val="toc 1"/>
    <w:basedOn w:val="Normale"/>
    <w:next w:val="Normale"/>
    <w:autoRedefine/>
    <w:uiPriority w:val="39"/>
    <w:rsid w:val="007932C1"/>
    <w:pPr>
      <w:spacing w:before="120" w:after="120"/>
    </w:pPr>
    <w:rPr>
      <w:b/>
      <w:bCs/>
      <w:caps/>
      <w:sz w:val="20"/>
      <w:szCs w:val="20"/>
    </w:rPr>
  </w:style>
  <w:style w:type="paragraph" w:styleId="Sommario3">
    <w:name w:val="toc 3"/>
    <w:basedOn w:val="Normale"/>
    <w:next w:val="Normale"/>
    <w:autoRedefine/>
    <w:uiPriority w:val="39"/>
    <w:rsid w:val="00003911"/>
    <w:pPr>
      <w:ind w:left="480"/>
    </w:pPr>
    <w:rPr>
      <w:i/>
      <w:iCs/>
      <w:sz w:val="20"/>
      <w:szCs w:val="20"/>
    </w:rPr>
  </w:style>
  <w:style w:type="paragraph" w:styleId="Mappadocumento">
    <w:name w:val="Document Map"/>
    <w:basedOn w:val="Normale"/>
    <w:link w:val="MappadocumentoCarattere"/>
    <w:semiHidden/>
    <w:rsid w:val="00E91ABA"/>
    <w:pPr>
      <w:shd w:val="clear" w:color="auto" w:fill="000080"/>
    </w:pPr>
    <w:rPr>
      <w:rFonts w:ascii="Tahoma" w:hAnsi="Tahoma"/>
      <w:sz w:val="20"/>
      <w:szCs w:val="20"/>
      <w:lang w:val="x-none" w:eastAsia="x-none"/>
    </w:rPr>
  </w:style>
  <w:style w:type="character" w:customStyle="1" w:styleId="MappadocumentoCarattere">
    <w:name w:val="Mappa documento Carattere"/>
    <w:link w:val="Mappadocumento"/>
    <w:semiHidden/>
    <w:rsid w:val="002E288E"/>
    <w:rPr>
      <w:rFonts w:ascii="Tahoma" w:hAnsi="Tahoma" w:cs="Tahoma"/>
      <w:shd w:val="clear" w:color="auto" w:fill="000080"/>
    </w:rPr>
  </w:style>
  <w:style w:type="paragraph" w:styleId="Sommario2">
    <w:name w:val="toc 2"/>
    <w:basedOn w:val="Normale"/>
    <w:next w:val="Normale"/>
    <w:autoRedefine/>
    <w:uiPriority w:val="39"/>
    <w:rsid w:val="00B25A60"/>
    <w:pPr>
      <w:ind w:left="240"/>
    </w:pPr>
    <w:rPr>
      <w:smallCaps/>
      <w:sz w:val="20"/>
      <w:szCs w:val="20"/>
    </w:rPr>
  </w:style>
  <w:style w:type="paragraph" w:styleId="Sommario4">
    <w:name w:val="toc 4"/>
    <w:basedOn w:val="Normale"/>
    <w:next w:val="Normale"/>
    <w:autoRedefine/>
    <w:uiPriority w:val="39"/>
    <w:rsid w:val="00B25A60"/>
    <w:pPr>
      <w:ind w:left="720"/>
    </w:pPr>
    <w:rPr>
      <w:sz w:val="18"/>
      <w:szCs w:val="18"/>
    </w:rPr>
  </w:style>
  <w:style w:type="paragraph" w:styleId="Sommario5">
    <w:name w:val="toc 5"/>
    <w:basedOn w:val="Normale"/>
    <w:next w:val="Normale"/>
    <w:autoRedefine/>
    <w:uiPriority w:val="39"/>
    <w:rsid w:val="00B25A60"/>
    <w:pPr>
      <w:ind w:left="960"/>
    </w:pPr>
    <w:rPr>
      <w:sz w:val="18"/>
      <w:szCs w:val="18"/>
    </w:rPr>
  </w:style>
  <w:style w:type="paragraph" w:styleId="Sommario6">
    <w:name w:val="toc 6"/>
    <w:basedOn w:val="Normale"/>
    <w:next w:val="Normale"/>
    <w:autoRedefine/>
    <w:uiPriority w:val="39"/>
    <w:rsid w:val="00B25A60"/>
    <w:pPr>
      <w:ind w:left="1200"/>
    </w:pPr>
    <w:rPr>
      <w:sz w:val="18"/>
      <w:szCs w:val="18"/>
    </w:rPr>
  </w:style>
  <w:style w:type="paragraph" w:styleId="Sommario7">
    <w:name w:val="toc 7"/>
    <w:basedOn w:val="Normale"/>
    <w:next w:val="Normale"/>
    <w:autoRedefine/>
    <w:uiPriority w:val="39"/>
    <w:rsid w:val="00B25A60"/>
    <w:pPr>
      <w:ind w:left="1440"/>
    </w:pPr>
    <w:rPr>
      <w:sz w:val="18"/>
      <w:szCs w:val="18"/>
    </w:rPr>
  </w:style>
  <w:style w:type="paragraph" w:styleId="Sommario8">
    <w:name w:val="toc 8"/>
    <w:basedOn w:val="Normale"/>
    <w:next w:val="Normale"/>
    <w:autoRedefine/>
    <w:uiPriority w:val="39"/>
    <w:rsid w:val="00B25A60"/>
    <w:pPr>
      <w:ind w:left="1680"/>
    </w:pPr>
    <w:rPr>
      <w:sz w:val="18"/>
      <w:szCs w:val="18"/>
    </w:rPr>
  </w:style>
  <w:style w:type="paragraph" w:styleId="Sommario9">
    <w:name w:val="toc 9"/>
    <w:basedOn w:val="Normale"/>
    <w:next w:val="Normale"/>
    <w:autoRedefine/>
    <w:uiPriority w:val="39"/>
    <w:rsid w:val="00B25A60"/>
    <w:pPr>
      <w:ind w:left="1920"/>
    </w:pPr>
    <w:rPr>
      <w:sz w:val="18"/>
      <w:szCs w:val="18"/>
    </w:rPr>
  </w:style>
  <w:style w:type="character" w:styleId="Collegamentoipertestuale">
    <w:name w:val="Hyperlink"/>
    <w:uiPriority w:val="99"/>
    <w:rsid w:val="00B25A60"/>
    <w:rPr>
      <w:color w:val="0000FF"/>
      <w:u w:val="single"/>
    </w:rPr>
  </w:style>
  <w:style w:type="paragraph" w:styleId="Intestazione">
    <w:name w:val="header"/>
    <w:basedOn w:val="Normale"/>
    <w:link w:val="IntestazioneCarattere"/>
    <w:rsid w:val="008147AB"/>
    <w:pPr>
      <w:tabs>
        <w:tab w:val="center" w:pos="4819"/>
        <w:tab w:val="right" w:pos="9638"/>
      </w:tabs>
    </w:pPr>
    <w:rPr>
      <w:lang w:val="x-none" w:eastAsia="x-none"/>
    </w:rPr>
  </w:style>
  <w:style w:type="character" w:customStyle="1" w:styleId="IntestazioneCarattere">
    <w:name w:val="Intestazione Carattere"/>
    <w:link w:val="Intestazione"/>
    <w:rsid w:val="008147AB"/>
    <w:rPr>
      <w:sz w:val="24"/>
      <w:szCs w:val="24"/>
    </w:rPr>
  </w:style>
  <w:style w:type="paragraph" w:customStyle="1" w:styleId="tx">
    <w:name w:val="tx"/>
    <w:basedOn w:val="Normale"/>
    <w:link w:val="txCarattere1"/>
    <w:rsid w:val="0021637B"/>
    <w:pPr>
      <w:jc w:val="both"/>
    </w:pPr>
    <w:rPr>
      <w:rFonts w:ascii="Garamond" w:hAnsi="Garamond"/>
      <w:spacing w:val="2"/>
      <w:sz w:val="23"/>
      <w:szCs w:val="23"/>
      <w:lang w:val="x-none" w:eastAsia="x-none"/>
    </w:rPr>
  </w:style>
  <w:style w:type="character" w:customStyle="1" w:styleId="txCarattere1">
    <w:name w:val="tx Carattere1"/>
    <w:link w:val="tx"/>
    <w:rsid w:val="0021637B"/>
    <w:rPr>
      <w:rFonts w:ascii="Garamond" w:hAnsi="Garamond"/>
      <w:spacing w:val="2"/>
      <w:sz w:val="23"/>
      <w:szCs w:val="23"/>
    </w:rPr>
  </w:style>
  <w:style w:type="paragraph" w:styleId="Puntoelenco">
    <w:name w:val="List Bullet"/>
    <w:basedOn w:val="Normale"/>
    <w:rsid w:val="00CB53C1"/>
    <w:pPr>
      <w:numPr>
        <w:numId w:val="1"/>
      </w:numPr>
      <w:contextualSpacing/>
    </w:pPr>
  </w:style>
  <w:style w:type="paragraph" w:customStyle="1" w:styleId="para11">
    <w:name w:val="para1_1"/>
    <w:uiPriority w:val="99"/>
    <w:rsid w:val="0096217A"/>
    <w:pPr>
      <w:autoSpaceDE w:val="0"/>
      <w:autoSpaceDN w:val="0"/>
      <w:adjustRightInd w:val="0"/>
      <w:spacing w:before="256"/>
      <w:ind w:firstLine="385"/>
      <w:jc w:val="both"/>
    </w:pPr>
    <w:rPr>
      <w:sz w:val="18"/>
      <w:szCs w:val="18"/>
      <w:lang w:val="en-US"/>
    </w:rPr>
  </w:style>
  <w:style w:type="paragraph" w:customStyle="1" w:styleId="para12">
    <w:name w:val="para1_2"/>
    <w:uiPriority w:val="99"/>
    <w:rsid w:val="0096217A"/>
    <w:pPr>
      <w:autoSpaceDE w:val="0"/>
      <w:autoSpaceDN w:val="0"/>
      <w:adjustRightInd w:val="0"/>
      <w:ind w:firstLine="385"/>
      <w:jc w:val="both"/>
    </w:pPr>
    <w:rPr>
      <w:sz w:val="18"/>
      <w:szCs w:val="18"/>
      <w:lang w:val="en-US"/>
    </w:rPr>
  </w:style>
  <w:style w:type="paragraph" w:customStyle="1" w:styleId="para21">
    <w:name w:val="para2_1"/>
    <w:uiPriority w:val="99"/>
    <w:rsid w:val="0096217A"/>
    <w:pPr>
      <w:autoSpaceDE w:val="0"/>
      <w:autoSpaceDN w:val="0"/>
      <w:adjustRightInd w:val="0"/>
      <w:spacing w:before="256"/>
      <w:ind w:firstLine="385"/>
      <w:jc w:val="both"/>
    </w:pPr>
    <w:rPr>
      <w:sz w:val="22"/>
      <w:szCs w:val="22"/>
      <w:lang w:val="en-US"/>
    </w:rPr>
  </w:style>
  <w:style w:type="paragraph" w:customStyle="1" w:styleId="para22">
    <w:name w:val="para2_2"/>
    <w:uiPriority w:val="99"/>
    <w:rsid w:val="0096217A"/>
    <w:pPr>
      <w:autoSpaceDE w:val="0"/>
      <w:autoSpaceDN w:val="0"/>
      <w:adjustRightInd w:val="0"/>
      <w:ind w:firstLine="385"/>
      <w:jc w:val="both"/>
    </w:pPr>
    <w:rPr>
      <w:sz w:val="22"/>
      <w:szCs w:val="22"/>
      <w:lang w:val="en-US"/>
    </w:rPr>
  </w:style>
  <w:style w:type="paragraph" w:styleId="Testonotadichiusura">
    <w:name w:val="endnote text"/>
    <w:basedOn w:val="Normale"/>
    <w:link w:val="TestonotadichiusuraCarattere"/>
    <w:rsid w:val="00AD288B"/>
    <w:rPr>
      <w:sz w:val="20"/>
      <w:szCs w:val="20"/>
    </w:rPr>
  </w:style>
  <w:style w:type="character" w:customStyle="1" w:styleId="TestonotadichiusuraCarattere">
    <w:name w:val="Testo nota di chiusura Carattere"/>
    <w:basedOn w:val="Carpredefinitoparagrafo"/>
    <w:link w:val="Testonotadichiusura"/>
    <w:rsid w:val="00AD288B"/>
  </w:style>
  <w:style w:type="character" w:styleId="Rimandonotadichiusura">
    <w:name w:val="endnote reference"/>
    <w:rsid w:val="00AD288B"/>
    <w:rPr>
      <w:vertAlign w:val="superscript"/>
    </w:rPr>
  </w:style>
  <w:style w:type="paragraph" w:customStyle="1" w:styleId="PAG">
    <w:name w:val="PAG"/>
    <w:basedOn w:val="Normale"/>
    <w:rsid w:val="00F60FB3"/>
    <w:pPr>
      <w:widowControl w:val="0"/>
      <w:autoSpaceDE w:val="0"/>
      <w:autoSpaceDN w:val="0"/>
      <w:adjustRightInd w:val="0"/>
      <w:spacing w:line="220" w:lineRule="exact"/>
      <w:ind w:left="1361"/>
      <w:jc w:val="right"/>
    </w:pPr>
    <w:rPr>
      <w:rFonts w:ascii="Arial" w:hAnsi="Arial"/>
      <w:b/>
      <w:bCs/>
      <w:noProof/>
      <w:color w:val="5F5F5F"/>
      <w:szCs w:val="20"/>
    </w:rPr>
  </w:style>
  <w:style w:type="paragraph" w:styleId="NormaleWeb">
    <w:name w:val="Normal (Web)"/>
    <w:basedOn w:val="Normale"/>
    <w:uiPriority w:val="99"/>
    <w:unhideWhenUsed/>
    <w:rsid w:val="00C94EE4"/>
  </w:style>
  <w:style w:type="character" w:styleId="Collegamentovisitato">
    <w:name w:val="FollowedHyperlink"/>
    <w:uiPriority w:val="99"/>
    <w:unhideWhenUsed/>
    <w:rsid w:val="002E288E"/>
    <w:rPr>
      <w:color w:val="800080"/>
      <w:u w:val="single"/>
    </w:rPr>
  </w:style>
  <w:style w:type="character" w:customStyle="1" w:styleId="apple-converted-space">
    <w:name w:val="apple-converted-space"/>
    <w:basedOn w:val="Carpredefinitoparagrafo"/>
    <w:rsid w:val="0035145B"/>
  </w:style>
  <w:style w:type="paragraph" w:customStyle="1" w:styleId="Paragrafo">
    <w:name w:val="Paragrafo"/>
    <w:basedOn w:val="Normale"/>
    <w:uiPriority w:val="99"/>
    <w:rsid w:val="009415DE"/>
    <w:pPr>
      <w:widowControl w:val="0"/>
      <w:autoSpaceDE w:val="0"/>
      <w:autoSpaceDN w:val="0"/>
      <w:adjustRightInd w:val="0"/>
      <w:spacing w:before="351" w:after="261" w:line="288" w:lineRule="auto"/>
      <w:ind w:left="510" w:hanging="510"/>
      <w:jc w:val="both"/>
      <w:textAlignment w:val="center"/>
    </w:pPr>
    <w:rPr>
      <w:rFonts w:ascii="Times-Bold" w:hAnsi="Times-Bold" w:cs="Times-Bold"/>
      <w:b/>
      <w:bCs/>
      <w:color w:val="000000"/>
    </w:rPr>
  </w:style>
  <w:style w:type="paragraph" w:customStyle="1" w:styleId="Testorientro">
    <w:name w:val="Testo rientro"/>
    <w:basedOn w:val="Normale"/>
    <w:uiPriority w:val="99"/>
    <w:rsid w:val="009415DE"/>
    <w:pPr>
      <w:widowControl w:val="0"/>
      <w:tabs>
        <w:tab w:val="left" w:pos="283"/>
      </w:tabs>
      <w:autoSpaceDE w:val="0"/>
      <w:autoSpaceDN w:val="0"/>
      <w:adjustRightInd w:val="0"/>
      <w:spacing w:line="264" w:lineRule="atLeast"/>
      <w:ind w:firstLine="283"/>
      <w:jc w:val="both"/>
      <w:textAlignment w:val="center"/>
    </w:pPr>
    <w:rPr>
      <w:rFonts w:ascii="Bembo" w:hAnsi="Bembo" w:cs="Bembo"/>
      <w:color w:val="000000"/>
      <w:sz w:val="22"/>
      <w:szCs w:val="22"/>
    </w:rPr>
  </w:style>
  <w:style w:type="paragraph" w:styleId="Paragrafoelenco">
    <w:name w:val="List Paragraph"/>
    <w:basedOn w:val="Normale"/>
    <w:uiPriority w:val="34"/>
    <w:qFormat/>
    <w:rsid w:val="00F904BA"/>
    <w:pPr>
      <w:spacing w:after="200" w:line="276" w:lineRule="auto"/>
      <w:ind w:left="720"/>
      <w:contextualSpacing/>
    </w:pPr>
    <w:rPr>
      <w:rFonts w:ascii="Calibri" w:eastAsia="Calibri" w:hAnsi="Calibri"/>
      <w:sz w:val="22"/>
      <w:szCs w:val="22"/>
      <w:lang w:eastAsia="en-US"/>
    </w:rPr>
  </w:style>
  <w:style w:type="paragraph" w:customStyle="1" w:styleId="note1">
    <w:name w:val="note_1"/>
    <w:autoRedefine/>
    <w:uiPriority w:val="99"/>
    <w:rsid w:val="00547E12"/>
    <w:pPr>
      <w:autoSpaceDE w:val="0"/>
      <w:autoSpaceDN w:val="0"/>
      <w:adjustRightInd w:val="0"/>
      <w:ind w:firstLine="470"/>
      <w:jc w:val="both"/>
    </w:pPr>
    <w:rPr>
      <w:sz w:val="17"/>
      <w:szCs w:val="17"/>
      <w:lang w:val="en-US"/>
    </w:rPr>
  </w:style>
  <w:style w:type="paragraph" w:customStyle="1" w:styleId="testo2">
    <w:name w:val="testo_2"/>
    <w:uiPriority w:val="99"/>
    <w:rsid w:val="00547E12"/>
    <w:pPr>
      <w:autoSpaceDE w:val="0"/>
      <w:autoSpaceDN w:val="0"/>
      <w:adjustRightInd w:val="0"/>
      <w:ind w:firstLine="470"/>
      <w:jc w:val="both"/>
    </w:pPr>
    <w:rPr>
      <w:sz w:val="22"/>
      <w:szCs w:val="22"/>
      <w:lang w:val="en-US"/>
    </w:rPr>
  </w:style>
  <w:style w:type="paragraph" w:styleId="Sottotitolo">
    <w:name w:val="Subtitle"/>
    <w:basedOn w:val="Normale"/>
    <w:next w:val="Normale"/>
    <w:link w:val="SottotitoloCarattere"/>
    <w:qFormat/>
    <w:rsid w:val="0040051D"/>
    <w:pPr>
      <w:spacing w:after="60"/>
      <w:jc w:val="center"/>
      <w:outlineLvl w:val="1"/>
    </w:pPr>
    <w:rPr>
      <w:rFonts w:ascii="Cambria" w:hAnsi="Cambria"/>
      <w:lang w:val="x-none" w:eastAsia="x-none"/>
    </w:rPr>
  </w:style>
  <w:style w:type="character" w:customStyle="1" w:styleId="SottotitoloCarattere">
    <w:name w:val="Sottotitolo Carattere"/>
    <w:link w:val="Sottotitolo"/>
    <w:rsid w:val="0040051D"/>
    <w:rPr>
      <w:rFonts w:ascii="Cambria" w:eastAsia="Times New Roman" w:hAnsi="Cambria" w:cs="Times New Roman"/>
      <w:sz w:val="24"/>
      <w:szCs w:val="24"/>
    </w:rPr>
  </w:style>
  <w:style w:type="character" w:customStyle="1" w:styleId="Menzionenonrisolta1">
    <w:name w:val="Menzione non risolta1"/>
    <w:uiPriority w:val="99"/>
    <w:semiHidden/>
    <w:unhideWhenUsed/>
    <w:rsid w:val="007C77AE"/>
    <w:rPr>
      <w:color w:val="808080"/>
      <w:shd w:val="clear" w:color="auto" w:fill="E6E6E6"/>
    </w:rPr>
  </w:style>
  <w:style w:type="paragraph" w:customStyle="1" w:styleId="ox-6db5ecf62e-msolistparagraph">
    <w:name w:val="ox-6db5ecf62e-msolistparagraph"/>
    <w:basedOn w:val="Normale"/>
    <w:rsid w:val="00D34B92"/>
    <w:pPr>
      <w:spacing w:before="100" w:beforeAutospacing="1" w:after="100" w:afterAutospacing="1"/>
    </w:pPr>
  </w:style>
  <w:style w:type="paragraph" w:customStyle="1" w:styleId="ox-6db5ecf62e-msonormal">
    <w:name w:val="ox-6db5ecf62e-msonormal"/>
    <w:basedOn w:val="Normale"/>
    <w:rsid w:val="00D34B92"/>
    <w:pPr>
      <w:spacing w:before="100" w:beforeAutospacing="1" w:after="100" w:afterAutospacing="1"/>
    </w:pPr>
  </w:style>
  <w:style w:type="paragraph" w:styleId="Soggettocommento">
    <w:name w:val="annotation subject"/>
    <w:basedOn w:val="Testocommento"/>
    <w:next w:val="Testocommento"/>
    <w:link w:val="SoggettocommentoCarattere"/>
    <w:rsid w:val="00A44877"/>
    <w:rPr>
      <w:b/>
      <w:bCs/>
    </w:rPr>
  </w:style>
  <w:style w:type="character" w:customStyle="1" w:styleId="SoggettocommentoCarattere">
    <w:name w:val="Soggetto commento Carattere"/>
    <w:basedOn w:val="TestocommentoCarattere"/>
    <w:link w:val="Soggettocommento"/>
    <w:rsid w:val="00A44877"/>
    <w:rPr>
      <w:b/>
      <w:bCs/>
    </w:rPr>
  </w:style>
  <w:style w:type="character" w:styleId="Menzionenonrisolta">
    <w:name w:val="Unresolved Mention"/>
    <w:basedOn w:val="Carpredefinitoparagrafo"/>
    <w:uiPriority w:val="99"/>
    <w:semiHidden/>
    <w:unhideWhenUsed/>
    <w:rsid w:val="00447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202">
      <w:bodyDiv w:val="1"/>
      <w:marLeft w:val="0"/>
      <w:marRight w:val="0"/>
      <w:marTop w:val="0"/>
      <w:marBottom w:val="0"/>
      <w:divBdr>
        <w:top w:val="none" w:sz="0" w:space="0" w:color="auto"/>
        <w:left w:val="none" w:sz="0" w:space="0" w:color="auto"/>
        <w:bottom w:val="none" w:sz="0" w:space="0" w:color="auto"/>
        <w:right w:val="none" w:sz="0" w:space="0" w:color="auto"/>
      </w:divBdr>
    </w:div>
    <w:div w:id="1130878">
      <w:bodyDiv w:val="1"/>
      <w:marLeft w:val="0"/>
      <w:marRight w:val="0"/>
      <w:marTop w:val="0"/>
      <w:marBottom w:val="0"/>
      <w:divBdr>
        <w:top w:val="none" w:sz="0" w:space="0" w:color="auto"/>
        <w:left w:val="none" w:sz="0" w:space="0" w:color="auto"/>
        <w:bottom w:val="none" w:sz="0" w:space="0" w:color="auto"/>
        <w:right w:val="none" w:sz="0" w:space="0" w:color="auto"/>
      </w:divBdr>
    </w:div>
    <w:div w:id="1323785">
      <w:bodyDiv w:val="1"/>
      <w:marLeft w:val="0"/>
      <w:marRight w:val="0"/>
      <w:marTop w:val="0"/>
      <w:marBottom w:val="0"/>
      <w:divBdr>
        <w:top w:val="none" w:sz="0" w:space="0" w:color="auto"/>
        <w:left w:val="none" w:sz="0" w:space="0" w:color="auto"/>
        <w:bottom w:val="none" w:sz="0" w:space="0" w:color="auto"/>
        <w:right w:val="none" w:sz="0" w:space="0" w:color="auto"/>
      </w:divBdr>
    </w:div>
    <w:div w:id="1787042">
      <w:bodyDiv w:val="1"/>
      <w:marLeft w:val="0"/>
      <w:marRight w:val="0"/>
      <w:marTop w:val="0"/>
      <w:marBottom w:val="0"/>
      <w:divBdr>
        <w:top w:val="none" w:sz="0" w:space="0" w:color="auto"/>
        <w:left w:val="none" w:sz="0" w:space="0" w:color="auto"/>
        <w:bottom w:val="none" w:sz="0" w:space="0" w:color="auto"/>
        <w:right w:val="none" w:sz="0" w:space="0" w:color="auto"/>
      </w:divBdr>
    </w:div>
    <w:div w:id="2513235">
      <w:bodyDiv w:val="1"/>
      <w:marLeft w:val="0"/>
      <w:marRight w:val="0"/>
      <w:marTop w:val="0"/>
      <w:marBottom w:val="0"/>
      <w:divBdr>
        <w:top w:val="none" w:sz="0" w:space="0" w:color="auto"/>
        <w:left w:val="none" w:sz="0" w:space="0" w:color="auto"/>
        <w:bottom w:val="none" w:sz="0" w:space="0" w:color="auto"/>
        <w:right w:val="none" w:sz="0" w:space="0" w:color="auto"/>
      </w:divBdr>
    </w:div>
    <w:div w:id="2634143">
      <w:bodyDiv w:val="1"/>
      <w:marLeft w:val="0"/>
      <w:marRight w:val="0"/>
      <w:marTop w:val="0"/>
      <w:marBottom w:val="0"/>
      <w:divBdr>
        <w:top w:val="none" w:sz="0" w:space="0" w:color="auto"/>
        <w:left w:val="none" w:sz="0" w:space="0" w:color="auto"/>
        <w:bottom w:val="none" w:sz="0" w:space="0" w:color="auto"/>
        <w:right w:val="none" w:sz="0" w:space="0" w:color="auto"/>
      </w:divBdr>
    </w:div>
    <w:div w:id="3216605">
      <w:bodyDiv w:val="1"/>
      <w:marLeft w:val="0"/>
      <w:marRight w:val="0"/>
      <w:marTop w:val="0"/>
      <w:marBottom w:val="0"/>
      <w:divBdr>
        <w:top w:val="none" w:sz="0" w:space="0" w:color="auto"/>
        <w:left w:val="none" w:sz="0" w:space="0" w:color="auto"/>
        <w:bottom w:val="none" w:sz="0" w:space="0" w:color="auto"/>
        <w:right w:val="none" w:sz="0" w:space="0" w:color="auto"/>
      </w:divBdr>
    </w:div>
    <w:div w:id="3629999">
      <w:bodyDiv w:val="1"/>
      <w:marLeft w:val="0"/>
      <w:marRight w:val="0"/>
      <w:marTop w:val="0"/>
      <w:marBottom w:val="0"/>
      <w:divBdr>
        <w:top w:val="none" w:sz="0" w:space="0" w:color="auto"/>
        <w:left w:val="none" w:sz="0" w:space="0" w:color="auto"/>
        <w:bottom w:val="none" w:sz="0" w:space="0" w:color="auto"/>
        <w:right w:val="none" w:sz="0" w:space="0" w:color="auto"/>
      </w:divBdr>
    </w:div>
    <w:div w:id="3674621">
      <w:bodyDiv w:val="1"/>
      <w:marLeft w:val="0"/>
      <w:marRight w:val="0"/>
      <w:marTop w:val="0"/>
      <w:marBottom w:val="0"/>
      <w:divBdr>
        <w:top w:val="none" w:sz="0" w:space="0" w:color="auto"/>
        <w:left w:val="none" w:sz="0" w:space="0" w:color="auto"/>
        <w:bottom w:val="none" w:sz="0" w:space="0" w:color="auto"/>
        <w:right w:val="none" w:sz="0" w:space="0" w:color="auto"/>
      </w:divBdr>
    </w:div>
    <w:div w:id="3942072">
      <w:bodyDiv w:val="1"/>
      <w:marLeft w:val="0"/>
      <w:marRight w:val="0"/>
      <w:marTop w:val="0"/>
      <w:marBottom w:val="0"/>
      <w:divBdr>
        <w:top w:val="none" w:sz="0" w:space="0" w:color="auto"/>
        <w:left w:val="none" w:sz="0" w:space="0" w:color="auto"/>
        <w:bottom w:val="none" w:sz="0" w:space="0" w:color="auto"/>
        <w:right w:val="none" w:sz="0" w:space="0" w:color="auto"/>
      </w:divBdr>
    </w:div>
    <w:div w:id="4485516">
      <w:bodyDiv w:val="1"/>
      <w:marLeft w:val="0"/>
      <w:marRight w:val="0"/>
      <w:marTop w:val="0"/>
      <w:marBottom w:val="0"/>
      <w:divBdr>
        <w:top w:val="none" w:sz="0" w:space="0" w:color="auto"/>
        <w:left w:val="none" w:sz="0" w:space="0" w:color="auto"/>
        <w:bottom w:val="none" w:sz="0" w:space="0" w:color="auto"/>
        <w:right w:val="none" w:sz="0" w:space="0" w:color="auto"/>
      </w:divBdr>
    </w:div>
    <w:div w:id="5711320">
      <w:bodyDiv w:val="1"/>
      <w:marLeft w:val="0"/>
      <w:marRight w:val="0"/>
      <w:marTop w:val="0"/>
      <w:marBottom w:val="0"/>
      <w:divBdr>
        <w:top w:val="none" w:sz="0" w:space="0" w:color="auto"/>
        <w:left w:val="none" w:sz="0" w:space="0" w:color="auto"/>
        <w:bottom w:val="none" w:sz="0" w:space="0" w:color="auto"/>
        <w:right w:val="none" w:sz="0" w:space="0" w:color="auto"/>
      </w:divBdr>
    </w:div>
    <w:div w:id="5909356">
      <w:bodyDiv w:val="1"/>
      <w:marLeft w:val="0"/>
      <w:marRight w:val="0"/>
      <w:marTop w:val="0"/>
      <w:marBottom w:val="0"/>
      <w:divBdr>
        <w:top w:val="none" w:sz="0" w:space="0" w:color="auto"/>
        <w:left w:val="none" w:sz="0" w:space="0" w:color="auto"/>
        <w:bottom w:val="none" w:sz="0" w:space="0" w:color="auto"/>
        <w:right w:val="none" w:sz="0" w:space="0" w:color="auto"/>
      </w:divBdr>
    </w:div>
    <w:div w:id="6298528">
      <w:bodyDiv w:val="1"/>
      <w:marLeft w:val="0"/>
      <w:marRight w:val="0"/>
      <w:marTop w:val="0"/>
      <w:marBottom w:val="0"/>
      <w:divBdr>
        <w:top w:val="none" w:sz="0" w:space="0" w:color="auto"/>
        <w:left w:val="none" w:sz="0" w:space="0" w:color="auto"/>
        <w:bottom w:val="none" w:sz="0" w:space="0" w:color="auto"/>
        <w:right w:val="none" w:sz="0" w:space="0" w:color="auto"/>
      </w:divBdr>
    </w:div>
    <w:div w:id="6489189">
      <w:bodyDiv w:val="1"/>
      <w:marLeft w:val="0"/>
      <w:marRight w:val="0"/>
      <w:marTop w:val="0"/>
      <w:marBottom w:val="0"/>
      <w:divBdr>
        <w:top w:val="none" w:sz="0" w:space="0" w:color="auto"/>
        <w:left w:val="none" w:sz="0" w:space="0" w:color="auto"/>
        <w:bottom w:val="none" w:sz="0" w:space="0" w:color="auto"/>
        <w:right w:val="none" w:sz="0" w:space="0" w:color="auto"/>
      </w:divBdr>
    </w:div>
    <w:div w:id="6641865">
      <w:bodyDiv w:val="1"/>
      <w:marLeft w:val="0"/>
      <w:marRight w:val="0"/>
      <w:marTop w:val="0"/>
      <w:marBottom w:val="0"/>
      <w:divBdr>
        <w:top w:val="none" w:sz="0" w:space="0" w:color="auto"/>
        <w:left w:val="none" w:sz="0" w:space="0" w:color="auto"/>
        <w:bottom w:val="none" w:sz="0" w:space="0" w:color="auto"/>
        <w:right w:val="none" w:sz="0" w:space="0" w:color="auto"/>
      </w:divBdr>
    </w:div>
    <w:div w:id="6715620">
      <w:bodyDiv w:val="1"/>
      <w:marLeft w:val="0"/>
      <w:marRight w:val="0"/>
      <w:marTop w:val="0"/>
      <w:marBottom w:val="0"/>
      <w:divBdr>
        <w:top w:val="none" w:sz="0" w:space="0" w:color="auto"/>
        <w:left w:val="none" w:sz="0" w:space="0" w:color="auto"/>
        <w:bottom w:val="none" w:sz="0" w:space="0" w:color="auto"/>
        <w:right w:val="none" w:sz="0" w:space="0" w:color="auto"/>
      </w:divBdr>
    </w:div>
    <w:div w:id="6829624">
      <w:bodyDiv w:val="1"/>
      <w:marLeft w:val="0"/>
      <w:marRight w:val="0"/>
      <w:marTop w:val="0"/>
      <w:marBottom w:val="0"/>
      <w:divBdr>
        <w:top w:val="none" w:sz="0" w:space="0" w:color="auto"/>
        <w:left w:val="none" w:sz="0" w:space="0" w:color="auto"/>
        <w:bottom w:val="none" w:sz="0" w:space="0" w:color="auto"/>
        <w:right w:val="none" w:sz="0" w:space="0" w:color="auto"/>
      </w:divBdr>
    </w:div>
    <w:div w:id="7606558">
      <w:bodyDiv w:val="1"/>
      <w:marLeft w:val="0"/>
      <w:marRight w:val="0"/>
      <w:marTop w:val="0"/>
      <w:marBottom w:val="0"/>
      <w:divBdr>
        <w:top w:val="none" w:sz="0" w:space="0" w:color="auto"/>
        <w:left w:val="none" w:sz="0" w:space="0" w:color="auto"/>
        <w:bottom w:val="none" w:sz="0" w:space="0" w:color="auto"/>
        <w:right w:val="none" w:sz="0" w:space="0" w:color="auto"/>
      </w:divBdr>
    </w:div>
    <w:div w:id="7802953">
      <w:bodyDiv w:val="1"/>
      <w:marLeft w:val="0"/>
      <w:marRight w:val="0"/>
      <w:marTop w:val="0"/>
      <w:marBottom w:val="0"/>
      <w:divBdr>
        <w:top w:val="none" w:sz="0" w:space="0" w:color="auto"/>
        <w:left w:val="none" w:sz="0" w:space="0" w:color="auto"/>
        <w:bottom w:val="none" w:sz="0" w:space="0" w:color="auto"/>
        <w:right w:val="none" w:sz="0" w:space="0" w:color="auto"/>
      </w:divBdr>
    </w:div>
    <w:div w:id="8143834">
      <w:bodyDiv w:val="1"/>
      <w:marLeft w:val="0"/>
      <w:marRight w:val="0"/>
      <w:marTop w:val="0"/>
      <w:marBottom w:val="0"/>
      <w:divBdr>
        <w:top w:val="none" w:sz="0" w:space="0" w:color="auto"/>
        <w:left w:val="none" w:sz="0" w:space="0" w:color="auto"/>
        <w:bottom w:val="none" w:sz="0" w:space="0" w:color="auto"/>
        <w:right w:val="none" w:sz="0" w:space="0" w:color="auto"/>
      </w:divBdr>
    </w:div>
    <w:div w:id="8917982">
      <w:bodyDiv w:val="1"/>
      <w:marLeft w:val="0"/>
      <w:marRight w:val="0"/>
      <w:marTop w:val="0"/>
      <w:marBottom w:val="0"/>
      <w:divBdr>
        <w:top w:val="none" w:sz="0" w:space="0" w:color="auto"/>
        <w:left w:val="none" w:sz="0" w:space="0" w:color="auto"/>
        <w:bottom w:val="none" w:sz="0" w:space="0" w:color="auto"/>
        <w:right w:val="none" w:sz="0" w:space="0" w:color="auto"/>
      </w:divBdr>
    </w:div>
    <w:div w:id="9335771">
      <w:bodyDiv w:val="1"/>
      <w:marLeft w:val="0"/>
      <w:marRight w:val="0"/>
      <w:marTop w:val="0"/>
      <w:marBottom w:val="0"/>
      <w:divBdr>
        <w:top w:val="none" w:sz="0" w:space="0" w:color="auto"/>
        <w:left w:val="none" w:sz="0" w:space="0" w:color="auto"/>
        <w:bottom w:val="none" w:sz="0" w:space="0" w:color="auto"/>
        <w:right w:val="none" w:sz="0" w:space="0" w:color="auto"/>
      </w:divBdr>
    </w:div>
    <w:div w:id="9963576">
      <w:bodyDiv w:val="1"/>
      <w:marLeft w:val="0"/>
      <w:marRight w:val="0"/>
      <w:marTop w:val="0"/>
      <w:marBottom w:val="0"/>
      <w:divBdr>
        <w:top w:val="none" w:sz="0" w:space="0" w:color="auto"/>
        <w:left w:val="none" w:sz="0" w:space="0" w:color="auto"/>
        <w:bottom w:val="none" w:sz="0" w:space="0" w:color="auto"/>
        <w:right w:val="none" w:sz="0" w:space="0" w:color="auto"/>
      </w:divBdr>
    </w:div>
    <w:div w:id="11154296">
      <w:bodyDiv w:val="1"/>
      <w:marLeft w:val="0"/>
      <w:marRight w:val="0"/>
      <w:marTop w:val="0"/>
      <w:marBottom w:val="0"/>
      <w:divBdr>
        <w:top w:val="none" w:sz="0" w:space="0" w:color="auto"/>
        <w:left w:val="none" w:sz="0" w:space="0" w:color="auto"/>
        <w:bottom w:val="none" w:sz="0" w:space="0" w:color="auto"/>
        <w:right w:val="none" w:sz="0" w:space="0" w:color="auto"/>
      </w:divBdr>
    </w:div>
    <w:div w:id="11226019">
      <w:bodyDiv w:val="1"/>
      <w:marLeft w:val="0"/>
      <w:marRight w:val="0"/>
      <w:marTop w:val="0"/>
      <w:marBottom w:val="0"/>
      <w:divBdr>
        <w:top w:val="none" w:sz="0" w:space="0" w:color="auto"/>
        <w:left w:val="none" w:sz="0" w:space="0" w:color="auto"/>
        <w:bottom w:val="none" w:sz="0" w:space="0" w:color="auto"/>
        <w:right w:val="none" w:sz="0" w:space="0" w:color="auto"/>
      </w:divBdr>
    </w:div>
    <w:div w:id="11803611">
      <w:bodyDiv w:val="1"/>
      <w:marLeft w:val="0"/>
      <w:marRight w:val="0"/>
      <w:marTop w:val="0"/>
      <w:marBottom w:val="0"/>
      <w:divBdr>
        <w:top w:val="none" w:sz="0" w:space="0" w:color="auto"/>
        <w:left w:val="none" w:sz="0" w:space="0" w:color="auto"/>
        <w:bottom w:val="none" w:sz="0" w:space="0" w:color="auto"/>
        <w:right w:val="none" w:sz="0" w:space="0" w:color="auto"/>
      </w:divBdr>
    </w:div>
    <w:div w:id="11881797">
      <w:bodyDiv w:val="1"/>
      <w:marLeft w:val="0"/>
      <w:marRight w:val="0"/>
      <w:marTop w:val="0"/>
      <w:marBottom w:val="0"/>
      <w:divBdr>
        <w:top w:val="none" w:sz="0" w:space="0" w:color="auto"/>
        <w:left w:val="none" w:sz="0" w:space="0" w:color="auto"/>
        <w:bottom w:val="none" w:sz="0" w:space="0" w:color="auto"/>
        <w:right w:val="none" w:sz="0" w:space="0" w:color="auto"/>
      </w:divBdr>
    </w:div>
    <w:div w:id="12997255">
      <w:bodyDiv w:val="1"/>
      <w:marLeft w:val="0"/>
      <w:marRight w:val="0"/>
      <w:marTop w:val="0"/>
      <w:marBottom w:val="0"/>
      <w:divBdr>
        <w:top w:val="none" w:sz="0" w:space="0" w:color="auto"/>
        <w:left w:val="none" w:sz="0" w:space="0" w:color="auto"/>
        <w:bottom w:val="none" w:sz="0" w:space="0" w:color="auto"/>
        <w:right w:val="none" w:sz="0" w:space="0" w:color="auto"/>
      </w:divBdr>
    </w:div>
    <w:div w:id="13775508">
      <w:bodyDiv w:val="1"/>
      <w:marLeft w:val="0"/>
      <w:marRight w:val="0"/>
      <w:marTop w:val="0"/>
      <w:marBottom w:val="0"/>
      <w:divBdr>
        <w:top w:val="none" w:sz="0" w:space="0" w:color="auto"/>
        <w:left w:val="none" w:sz="0" w:space="0" w:color="auto"/>
        <w:bottom w:val="none" w:sz="0" w:space="0" w:color="auto"/>
        <w:right w:val="none" w:sz="0" w:space="0" w:color="auto"/>
      </w:divBdr>
    </w:div>
    <w:div w:id="14499383">
      <w:bodyDiv w:val="1"/>
      <w:marLeft w:val="0"/>
      <w:marRight w:val="0"/>
      <w:marTop w:val="0"/>
      <w:marBottom w:val="0"/>
      <w:divBdr>
        <w:top w:val="none" w:sz="0" w:space="0" w:color="auto"/>
        <w:left w:val="none" w:sz="0" w:space="0" w:color="auto"/>
        <w:bottom w:val="none" w:sz="0" w:space="0" w:color="auto"/>
        <w:right w:val="none" w:sz="0" w:space="0" w:color="auto"/>
      </w:divBdr>
    </w:div>
    <w:div w:id="14769354">
      <w:bodyDiv w:val="1"/>
      <w:marLeft w:val="0"/>
      <w:marRight w:val="0"/>
      <w:marTop w:val="0"/>
      <w:marBottom w:val="0"/>
      <w:divBdr>
        <w:top w:val="none" w:sz="0" w:space="0" w:color="auto"/>
        <w:left w:val="none" w:sz="0" w:space="0" w:color="auto"/>
        <w:bottom w:val="none" w:sz="0" w:space="0" w:color="auto"/>
        <w:right w:val="none" w:sz="0" w:space="0" w:color="auto"/>
      </w:divBdr>
    </w:div>
    <w:div w:id="14843083">
      <w:bodyDiv w:val="1"/>
      <w:marLeft w:val="0"/>
      <w:marRight w:val="0"/>
      <w:marTop w:val="0"/>
      <w:marBottom w:val="0"/>
      <w:divBdr>
        <w:top w:val="none" w:sz="0" w:space="0" w:color="auto"/>
        <w:left w:val="none" w:sz="0" w:space="0" w:color="auto"/>
        <w:bottom w:val="none" w:sz="0" w:space="0" w:color="auto"/>
        <w:right w:val="none" w:sz="0" w:space="0" w:color="auto"/>
      </w:divBdr>
    </w:div>
    <w:div w:id="16280250">
      <w:bodyDiv w:val="1"/>
      <w:marLeft w:val="0"/>
      <w:marRight w:val="0"/>
      <w:marTop w:val="0"/>
      <w:marBottom w:val="0"/>
      <w:divBdr>
        <w:top w:val="none" w:sz="0" w:space="0" w:color="auto"/>
        <w:left w:val="none" w:sz="0" w:space="0" w:color="auto"/>
        <w:bottom w:val="none" w:sz="0" w:space="0" w:color="auto"/>
        <w:right w:val="none" w:sz="0" w:space="0" w:color="auto"/>
      </w:divBdr>
    </w:div>
    <w:div w:id="17439236">
      <w:bodyDiv w:val="1"/>
      <w:marLeft w:val="0"/>
      <w:marRight w:val="0"/>
      <w:marTop w:val="0"/>
      <w:marBottom w:val="0"/>
      <w:divBdr>
        <w:top w:val="none" w:sz="0" w:space="0" w:color="auto"/>
        <w:left w:val="none" w:sz="0" w:space="0" w:color="auto"/>
        <w:bottom w:val="none" w:sz="0" w:space="0" w:color="auto"/>
        <w:right w:val="none" w:sz="0" w:space="0" w:color="auto"/>
      </w:divBdr>
    </w:div>
    <w:div w:id="17584439">
      <w:bodyDiv w:val="1"/>
      <w:marLeft w:val="0"/>
      <w:marRight w:val="0"/>
      <w:marTop w:val="0"/>
      <w:marBottom w:val="0"/>
      <w:divBdr>
        <w:top w:val="none" w:sz="0" w:space="0" w:color="auto"/>
        <w:left w:val="none" w:sz="0" w:space="0" w:color="auto"/>
        <w:bottom w:val="none" w:sz="0" w:space="0" w:color="auto"/>
        <w:right w:val="none" w:sz="0" w:space="0" w:color="auto"/>
      </w:divBdr>
    </w:div>
    <w:div w:id="17590566">
      <w:bodyDiv w:val="1"/>
      <w:marLeft w:val="0"/>
      <w:marRight w:val="0"/>
      <w:marTop w:val="0"/>
      <w:marBottom w:val="0"/>
      <w:divBdr>
        <w:top w:val="none" w:sz="0" w:space="0" w:color="auto"/>
        <w:left w:val="none" w:sz="0" w:space="0" w:color="auto"/>
        <w:bottom w:val="none" w:sz="0" w:space="0" w:color="auto"/>
        <w:right w:val="none" w:sz="0" w:space="0" w:color="auto"/>
      </w:divBdr>
    </w:div>
    <w:div w:id="18316210">
      <w:bodyDiv w:val="1"/>
      <w:marLeft w:val="0"/>
      <w:marRight w:val="0"/>
      <w:marTop w:val="0"/>
      <w:marBottom w:val="0"/>
      <w:divBdr>
        <w:top w:val="none" w:sz="0" w:space="0" w:color="auto"/>
        <w:left w:val="none" w:sz="0" w:space="0" w:color="auto"/>
        <w:bottom w:val="none" w:sz="0" w:space="0" w:color="auto"/>
        <w:right w:val="none" w:sz="0" w:space="0" w:color="auto"/>
      </w:divBdr>
    </w:div>
    <w:div w:id="18818725">
      <w:bodyDiv w:val="1"/>
      <w:marLeft w:val="0"/>
      <w:marRight w:val="0"/>
      <w:marTop w:val="0"/>
      <w:marBottom w:val="0"/>
      <w:divBdr>
        <w:top w:val="none" w:sz="0" w:space="0" w:color="auto"/>
        <w:left w:val="none" w:sz="0" w:space="0" w:color="auto"/>
        <w:bottom w:val="none" w:sz="0" w:space="0" w:color="auto"/>
        <w:right w:val="none" w:sz="0" w:space="0" w:color="auto"/>
      </w:divBdr>
    </w:div>
    <w:div w:id="20864499">
      <w:bodyDiv w:val="1"/>
      <w:marLeft w:val="0"/>
      <w:marRight w:val="0"/>
      <w:marTop w:val="0"/>
      <w:marBottom w:val="0"/>
      <w:divBdr>
        <w:top w:val="none" w:sz="0" w:space="0" w:color="auto"/>
        <w:left w:val="none" w:sz="0" w:space="0" w:color="auto"/>
        <w:bottom w:val="none" w:sz="0" w:space="0" w:color="auto"/>
        <w:right w:val="none" w:sz="0" w:space="0" w:color="auto"/>
      </w:divBdr>
    </w:div>
    <w:div w:id="21058648">
      <w:bodyDiv w:val="1"/>
      <w:marLeft w:val="0"/>
      <w:marRight w:val="0"/>
      <w:marTop w:val="0"/>
      <w:marBottom w:val="0"/>
      <w:divBdr>
        <w:top w:val="none" w:sz="0" w:space="0" w:color="auto"/>
        <w:left w:val="none" w:sz="0" w:space="0" w:color="auto"/>
        <w:bottom w:val="none" w:sz="0" w:space="0" w:color="auto"/>
        <w:right w:val="none" w:sz="0" w:space="0" w:color="auto"/>
      </w:divBdr>
    </w:div>
    <w:div w:id="21786265">
      <w:bodyDiv w:val="1"/>
      <w:marLeft w:val="0"/>
      <w:marRight w:val="0"/>
      <w:marTop w:val="0"/>
      <w:marBottom w:val="0"/>
      <w:divBdr>
        <w:top w:val="none" w:sz="0" w:space="0" w:color="auto"/>
        <w:left w:val="none" w:sz="0" w:space="0" w:color="auto"/>
        <w:bottom w:val="none" w:sz="0" w:space="0" w:color="auto"/>
        <w:right w:val="none" w:sz="0" w:space="0" w:color="auto"/>
      </w:divBdr>
    </w:div>
    <w:div w:id="23021338">
      <w:bodyDiv w:val="1"/>
      <w:marLeft w:val="0"/>
      <w:marRight w:val="0"/>
      <w:marTop w:val="0"/>
      <w:marBottom w:val="0"/>
      <w:divBdr>
        <w:top w:val="none" w:sz="0" w:space="0" w:color="auto"/>
        <w:left w:val="none" w:sz="0" w:space="0" w:color="auto"/>
        <w:bottom w:val="none" w:sz="0" w:space="0" w:color="auto"/>
        <w:right w:val="none" w:sz="0" w:space="0" w:color="auto"/>
      </w:divBdr>
    </w:div>
    <w:div w:id="23291975">
      <w:bodyDiv w:val="1"/>
      <w:marLeft w:val="0"/>
      <w:marRight w:val="0"/>
      <w:marTop w:val="0"/>
      <w:marBottom w:val="0"/>
      <w:divBdr>
        <w:top w:val="none" w:sz="0" w:space="0" w:color="auto"/>
        <w:left w:val="none" w:sz="0" w:space="0" w:color="auto"/>
        <w:bottom w:val="none" w:sz="0" w:space="0" w:color="auto"/>
        <w:right w:val="none" w:sz="0" w:space="0" w:color="auto"/>
      </w:divBdr>
    </w:div>
    <w:div w:id="24672461">
      <w:bodyDiv w:val="1"/>
      <w:marLeft w:val="0"/>
      <w:marRight w:val="0"/>
      <w:marTop w:val="0"/>
      <w:marBottom w:val="0"/>
      <w:divBdr>
        <w:top w:val="none" w:sz="0" w:space="0" w:color="auto"/>
        <w:left w:val="none" w:sz="0" w:space="0" w:color="auto"/>
        <w:bottom w:val="none" w:sz="0" w:space="0" w:color="auto"/>
        <w:right w:val="none" w:sz="0" w:space="0" w:color="auto"/>
      </w:divBdr>
    </w:div>
    <w:div w:id="24913736">
      <w:bodyDiv w:val="1"/>
      <w:marLeft w:val="0"/>
      <w:marRight w:val="0"/>
      <w:marTop w:val="0"/>
      <w:marBottom w:val="0"/>
      <w:divBdr>
        <w:top w:val="none" w:sz="0" w:space="0" w:color="auto"/>
        <w:left w:val="none" w:sz="0" w:space="0" w:color="auto"/>
        <w:bottom w:val="none" w:sz="0" w:space="0" w:color="auto"/>
        <w:right w:val="none" w:sz="0" w:space="0" w:color="auto"/>
      </w:divBdr>
    </w:div>
    <w:div w:id="25061494">
      <w:bodyDiv w:val="1"/>
      <w:marLeft w:val="0"/>
      <w:marRight w:val="0"/>
      <w:marTop w:val="0"/>
      <w:marBottom w:val="0"/>
      <w:divBdr>
        <w:top w:val="none" w:sz="0" w:space="0" w:color="auto"/>
        <w:left w:val="none" w:sz="0" w:space="0" w:color="auto"/>
        <w:bottom w:val="none" w:sz="0" w:space="0" w:color="auto"/>
        <w:right w:val="none" w:sz="0" w:space="0" w:color="auto"/>
      </w:divBdr>
    </w:div>
    <w:div w:id="25521483">
      <w:bodyDiv w:val="1"/>
      <w:marLeft w:val="0"/>
      <w:marRight w:val="0"/>
      <w:marTop w:val="0"/>
      <w:marBottom w:val="0"/>
      <w:divBdr>
        <w:top w:val="none" w:sz="0" w:space="0" w:color="auto"/>
        <w:left w:val="none" w:sz="0" w:space="0" w:color="auto"/>
        <w:bottom w:val="none" w:sz="0" w:space="0" w:color="auto"/>
        <w:right w:val="none" w:sz="0" w:space="0" w:color="auto"/>
      </w:divBdr>
    </w:div>
    <w:div w:id="25645693">
      <w:bodyDiv w:val="1"/>
      <w:marLeft w:val="0"/>
      <w:marRight w:val="0"/>
      <w:marTop w:val="0"/>
      <w:marBottom w:val="0"/>
      <w:divBdr>
        <w:top w:val="none" w:sz="0" w:space="0" w:color="auto"/>
        <w:left w:val="none" w:sz="0" w:space="0" w:color="auto"/>
        <w:bottom w:val="none" w:sz="0" w:space="0" w:color="auto"/>
        <w:right w:val="none" w:sz="0" w:space="0" w:color="auto"/>
      </w:divBdr>
    </w:div>
    <w:div w:id="25913131">
      <w:bodyDiv w:val="1"/>
      <w:marLeft w:val="0"/>
      <w:marRight w:val="0"/>
      <w:marTop w:val="0"/>
      <w:marBottom w:val="0"/>
      <w:divBdr>
        <w:top w:val="none" w:sz="0" w:space="0" w:color="auto"/>
        <w:left w:val="none" w:sz="0" w:space="0" w:color="auto"/>
        <w:bottom w:val="none" w:sz="0" w:space="0" w:color="auto"/>
        <w:right w:val="none" w:sz="0" w:space="0" w:color="auto"/>
      </w:divBdr>
    </w:div>
    <w:div w:id="26102665">
      <w:bodyDiv w:val="1"/>
      <w:marLeft w:val="0"/>
      <w:marRight w:val="0"/>
      <w:marTop w:val="0"/>
      <w:marBottom w:val="0"/>
      <w:divBdr>
        <w:top w:val="none" w:sz="0" w:space="0" w:color="auto"/>
        <w:left w:val="none" w:sz="0" w:space="0" w:color="auto"/>
        <w:bottom w:val="none" w:sz="0" w:space="0" w:color="auto"/>
        <w:right w:val="none" w:sz="0" w:space="0" w:color="auto"/>
      </w:divBdr>
    </w:div>
    <w:div w:id="26760832">
      <w:bodyDiv w:val="1"/>
      <w:marLeft w:val="0"/>
      <w:marRight w:val="0"/>
      <w:marTop w:val="0"/>
      <w:marBottom w:val="0"/>
      <w:divBdr>
        <w:top w:val="none" w:sz="0" w:space="0" w:color="auto"/>
        <w:left w:val="none" w:sz="0" w:space="0" w:color="auto"/>
        <w:bottom w:val="none" w:sz="0" w:space="0" w:color="auto"/>
        <w:right w:val="none" w:sz="0" w:space="0" w:color="auto"/>
      </w:divBdr>
    </w:div>
    <w:div w:id="26834167">
      <w:bodyDiv w:val="1"/>
      <w:marLeft w:val="0"/>
      <w:marRight w:val="0"/>
      <w:marTop w:val="0"/>
      <w:marBottom w:val="0"/>
      <w:divBdr>
        <w:top w:val="none" w:sz="0" w:space="0" w:color="auto"/>
        <w:left w:val="none" w:sz="0" w:space="0" w:color="auto"/>
        <w:bottom w:val="none" w:sz="0" w:space="0" w:color="auto"/>
        <w:right w:val="none" w:sz="0" w:space="0" w:color="auto"/>
      </w:divBdr>
    </w:div>
    <w:div w:id="27488970">
      <w:bodyDiv w:val="1"/>
      <w:marLeft w:val="0"/>
      <w:marRight w:val="0"/>
      <w:marTop w:val="0"/>
      <w:marBottom w:val="0"/>
      <w:divBdr>
        <w:top w:val="none" w:sz="0" w:space="0" w:color="auto"/>
        <w:left w:val="none" w:sz="0" w:space="0" w:color="auto"/>
        <w:bottom w:val="none" w:sz="0" w:space="0" w:color="auto"/>
        <w:right w:val="none" w:sz="0" w:space="0" w:color="auto"/>
      </w:divBdr>
    </w:div>
    <w:div w:id="28340550">
      <w:bodyDiv w:val="1"/>
      <w:marLeft w:val="0"/>
      <w:marRight w:val="0"/>
      <w:marTop w:val="0"/>
      <w:marBottom w:val="0"/>
      <w:divBdr>
        <w:top w:val="none" w:sz="0" w:space="0" w:color="auto"/>
        <w:left w:val="none" w:sz="0" w:space="0" w:color="auto"/>
        <w:bottom w:val="none" w:sz="0" w:space="0" w:color="auto"/>
        <w:right w:val="none" w:sz="0" w:space="0" w:color="auto"/>
      </w:divBdr>
    </w:div>
    <w:div w:id="28534856">
      <w:bodyDiv w:val="1"/>
      <w:marLeft w:val="0"/>
      <w:marRight w:val="0"/>
      <w:marTop w:val="0"/>
      <w:marBottom w:val="0"/>
      <w:divBdr>
        <w:top w:val="none" w:sz="0" w:space="0" w:color="auto"/>
        <w:left w:val="none" w:sz="0" w:space="0" w:color="auto"/>
        <w:bottom w:val="none" w:sz="0" w:space="0" w:color="auto"/>
        <w:right w:val="none" w:sz="0" w:space="0" w:color="auto"/>
      </w:divBdr>
    </w:div>
    <w:div w:id="28842651">
      <w:bodyDiv w:val="1"/>
      <w:marLeft w:val="0"/>
      <w:marRight w:val="0"/>
      <w:marTop w:val="0"/>
      <w:marBottom w:val="0"/>
      <w:divBdr>
        <w:top w:val="none" w:sz="0" w:space="0" w:color="auto"/>
        <w:left w:val="none" w:sz="0" w:space="0" w:color="auto"/>
        <w:bottom w:val="none" w:sz="0" w:space="0" w:color="auto"/>
        <w:right w:val="none" w:sz="0" w:space="0" w:color="auto"/>
      </w:divBdr>
    </w:div>
    <w:div w:id="29041765">
      <w:bodyDiv w:val="1"/>
      <w:marLeft w:val="0"/>
      <w:marRight w:val="0"/>
      <w:marTop w:val="0"/>
      <w:marBottom w:val="0"/>
      <w:divBdr>
        <w:top w:val="none" w:sz="0" w:space="0" w:color="auto"/>
        <w:left w:val="none" w:sz="0" w:space="0" w:color="auto"/>
        <w:bottom w:val="none" w:sz="0" w:space="0" w:color="auto"/>
        <w:right w:val="none" w:sz="0" w:space="0" w:color="auto"/>
      </w:divBdr>
    </w:div>
    <w:div w:id="29956790">
      <w:bodyDiv w:val="1"/>
      <w:marLeft w:val="0"/>
      <w:marRight w:val="0"/>
      <w:marTop w:val="0"/>
      <w:marBottom w:val="0"/>
      <w:divBdr>
        <w:top w:val="none" w:sz="0" w:space="0" w:color="auto"/>
        <w:left w:val="none" w:sz="0" w:space="0" w:color="auto"/>
        <w:bottom w:val="none" w:sz="0" w:space="0" w:color="auto"/>
        <w:right w:val="none" w:sz="0" w:space="0" w:color="auto"/>
      </w:divBdr>
    </w:div>
    <w:div w:id="30737271">
      <w:bodyDiv w:val="1"/>
      <w:marLeft w:val="0"/>
      <w:marRight w:val="0"/>
      <w:marTop w:val="0"/>
      <w:marBottom w:val="0"/>
      <w:divBdr>
        <w:top w:val="none" w:sz="0" w:space="0" w:color="auto"/>
        <w:left w:val="none" w:sz="0" w:space="0" w:color="auto"/>
        <w:bottom w:val="none" w:sz="0" w:space="0" w:color="auto"/>
        <w:right w:val="none" w:sz="0" w:space="0" w:color="auto"/>
      </w:divBdr>
    </w:div>
    <w:div w:id="30958376">
      <w:bodyDiv w:val="1"/>
      <w:marLeft w:val="0"/>
      <w:marRight w:val="0"/>
      <w:marTop w:val="0"/>
      <w:marBottom w:val="0"/>
      <w:divBdr>
        <w:top w:val="none" w:sz="0" w:space="0" w:color="auto"/>
        <w:left w:val="none" w:sz="0" w:space="0" w:color="auto"/>
        <w:bottom w:val="none" w:sz="0" w:space="0" w:color="auto"/>
        <w:right w:val="none" w:sz="0" w:space="0" w:color="auto"/>
      </w:divBdr>
    </w:div>
    <w:div w:id="31344064">
      <w:bodyDiv w:val="1"/>
      <w:marLeft w:val="0"/>
      <w:marRight w:val="0"/>
      <w:marTop w:val="0"/>
      <w:marBottom w:val="0"/>
      <w:divBdr>
        <w:top w:val="none" w:sz="0" w:space="0" w:color="auto"/>
        <w:left w:val="none" w:sz="0" w:space="0" w:color="auto"/>
        <w:bottom w:val="none" w:sz="0" w:space="0" w:color="auto"/>
        <w:right w:val="none" w:sz="0" w:space="0" w:color="auto"/>
      </w:divBdr>
    </w:div>
    <w:div w:id="33044994">
      <w:bodyDiv w:val="1"/>
      <w:marLeft w:val="0"/>
      <w:marRight w:val="0"/>
      <w:marTop w:val="0"/>
      <w:marBottom w:val="0"/>
      <w:divBdr>
        <w:top w:val="none" w:sz="0" w:space="0" w:color="auto"/>
        <w:left w:val="none" w:sz="0" w:space="0" w:color="auto"/>
        <w:bottom w:val="none" w:sz="0" w:space="0" w:color="auto"/>
        <w:right w:val="none" w:sz="0" w:space="0" w:color="auto"/>
      </w:divBdr>
    </w:div>
    <w:div w:id="33624507">
      <w:bodyDiv w:val="1"/>
      <w:marLeft w:val="0"/>
      <w:marRight w:val="0"/>
      <w:marTop w:val="0"/>
      <w:marBottom w:val="0"/>
      <w:divBdr>
        <w:top w:val="none" w:sz="0" w:space="0" w:color="auto"/>
        <w:left w:val="none" w:sz="0" w:space="0" w:color="auto"/>
        <w:bottom w:val="none" w:sz="0" w:space="0" w:color="auto"/>
        <w:right w:val="none" w:sz="0" w:space="0" w:color="auto"/>
      </w:divBdr>
    </w:div>
    <w:div w:id="35127714">
      <w:bodyDiv w:val="1"/>
      <w:marLeft w:val="0"/>
      <w:marRight w:val="0"/>
      <w:marTop w:val="0"/>
      <w:marBottom w:val="0"/>
      <w:divBdr>
        <w:top w:val="none" w:sz="0" w:space="0" w:color="auto"/>
        <w:left w:val="none" w:sz="0" w:space="0" w:color="auto"/>
        <w:bottom w:val="none" w:sz="0" w:space="0" w:color="auto"/>
        <w:right w:val="none" w:sz="0" w:space="0" w:color="auto"/>
      </w:divBdr>
    </w:div>
    <w:div w:id="35592034">
      <w:bodyDiv w:val="1"/>
      <w:marLeft w:val="0"/>
      <w:marRight w:val="0"/>
      <w:marTop w:val="0"/>
      <w:marBottom w:val="0"/>
      <w:divBdr>
        <w:top w:val="none" w:sz="0" w:space="0" w:color="auto"/>
        <w:left w:val="none" w:sz="0" w:space="0" w:color="auto"/>
        <w:bottom w:val="none" w:sz="0" w:space="0" w:color="auto"/>
        <w:right w:val="none" w:sz="0" w:space="0" w:color="auto"/>
      </w:divBdr>
    </w:div>
    <w:div w:id="35859941">
      <w:bodyDiv w:val="1"/>
      <w:marLeft w:val="0"/>
      <w:marRight w:val="0"/>
      <w:marTop w:val="0"/>
      <w:marBottom w:val="0"/>
      <w:divBdr>
        <w:top w:val="none" w:sz="0" w:space="0" w:color="auto"/>
        <w:left w:val="none" w:sz="0" w:space="0" w:color="auto"/>
        <w:bottom w:val="none" w:sz="0" w:space="0" w:color="auto"/>
        <w:right w:val="none" w:sz="0" w:space="0" w:color="auto"/>
      </w:divBdr>
    </w:div>
    <w:div w:id="36518266">
      <w:bodyDiv w:val="1"/>
      <w:marLeft w:val="0"/>
      <w:marRight w:val="0"/>
      <w:marTop w:val="0"/>
      <w:marBottom w:val="0"/>
      <w:divBdr>
        <w:top w:val="none" w:sz="0" w:space="0" w:color="auto"/>
        <w:left w:val="none" w:sz="0" w:space="0" w:color="auto"/>
        <w:bottom w:val="none" w:sz="0" w:space="0" w:color="auto"/>
        <w:right w:val="none" w:sz="0" w:space="0" w:color="auto"/>
      </w:divBdr>
    </w:div>
    <w:div w:id="36783213">
      <w:bodyDiv w:val="1"/>
      <w:marLeft w:val="0"/>
      <w:marRight w:val="0"/>
      <w:marTop w:val="0"/>
      <w:marBottom w:val="0"/>
      <w:divBdr>
        <w:top w:val="none" w:sz="0" w:space="0" w:color="auto"/>
        <w:left w:val="none" w:sz="0" w:space="0" w:color="auto"/>
        <w:bottom w:val="none" w:sz="0" w:space="0" w:color="auto"/>
        <w:right w:val="none" w:sz="0" w:space="0" w:color="auto"/>
      </w:divBdr>
    </w:div>
    <w:div w:id="37972679">
      <w:bodyDiv w:val="1"/>
      <w:marLeft w:val="0"/>
      <w:marRight w:val="0"/>
      <w:marTop w:val="0"/>
      <w:marBottom w:val="0"/>
      <w:divBdr>
        <w:top w:val="none" w:sz="0" w:space="0" w:color="auto"/>
        <w:left w:val="none" w:sz="0" w:space="0" w:color="auto"/>
        <w:bottom w:val="none" w:sz="0" w:space="0" w:color="auto"/>
        <w:right w:val="none" w:sz="0" w:space="0" w:color="auto"/>
      </w:divBdr>
    </w:div>
    <w:div w:id="37975020">
      <w:bodyDiv w:val="1"/>
      <w:marLeft w:val="0"/>
      <w:marRight w:val="0"/>
      <w:marTop w:val="0"/>
      <w:marBottom w:val="0"/>
      <w:divBdr>
        <w:top w:val="none" w:sz="0" w:space="0" w:color="auto"/>
        <w:left w:val="none" w:sz="0" w:space="0" w:color="auto"/>
        <w:bottom w:val="none" w:sz="0" w:space="0" w:color="auto"/>
        <w:right w:val="none" w:sz="0" w:space="0" w:color="auto"/>
      </w:divBdr>
    </w:div>
    <w:div w:id="39860685">
      <w:bodyDiv w:val="1"/>
      <w:marLeft w:val="0"/>
      <w:marRight w:val="0"/>
      <w:marTop w:val="0"/>
      <w:marBottom w:val="0"/>
      <w:divBdr>
        <w:top w:val="none" w:sz="0" w:space="0" w:color="auto"/>
        <w:left w:val="none" w:sz="0" w:space="0" w:color="auto"/>
        <w:bottom w:val="none" w:sz="0" w:space="0" w:color="auto"/>
        <w:right w:val="none" w:sz="0" w:space="0" w:color="auto"/>
      </w:divBdr>
    </w:div>
    <w:div w:id="40829158">
      <w:bodyDiv w:val="1"/>
      <w:marLeft w:val="0"/>
      <w:marRight w:val="0"/>
      <w:marTop w:val="0"/>
      <w:marBottom w:val="0"/>
      <w:divBdr>
        <w:top w:val="none" w:sz="0" w:space="0" w:color="auto"/>
        <w:left w:val="none" w:sz="0" w:space="0" w:color="auto"/>
        <w:bottom w:val="none" w:sz="0" w:space="0" w:color="auto"/>
        <w:right w:val="none" w:sz="0" w:space="0" w:color="auto"/>
      </w:divBdr>
    </w:div>
    <w:div w:id="41446801">
      <w:bodyDiv w:val="1"/>
      <w:marLeft w:val="0"/>
      <w:marRight w:val="0"/>
      <w:marTop w:val="0"/>
      <w:marBottom w:val="0"/>
      <w:divBdr>
        <w:top w:val="none" w:sz="0" w:space="0" w:color="auto"/>
        <w:left w:val="none" w:sz="0" w:space="0" w:color="auto"/>
        <w:bottom w:val="none" w:sz="0" w:space="0" w:color="auto"/>
        <w:right w:val="none" w:sz="0" w:space="0" w:color="auto"/>
      </w:divBdr>
    </w:div>
    <w:div w:id="41753014">
      <w:bodyDiv w:val="1"/>
      <w:marLeft w:val="0"/>
      <w:marRight w:val="0"/>
      <w:marTop w:val="0"/>
      <w:marBottom w:val="0"/>
      <w:divBdr>
        <w:top w:val="none" w:sz="0" w:space="0" w:color="auto"/>
        <w:left w:val="none" w:sz="0" w:space="0" w:color="auto"/>
        <w:bottom w:val="none" w:sz="0" w:space="0" w:color="auto"/>
        <w:right w:val="none" w:sz="0" w:space="0" w:color="auto"/>
      </w:divBdr>
    </w:div>
    <w:div w:id="41826274">
      <w:bodyDiv w:val="1"/>
      <w:marLeft w:val="0"/>
      <w:marRight w:val="0"/>
      <w:marTop w:val="0"/>
      <w:marBottom w:val="0"/>
      <w:divBdr>
        <w:top w:val="none" w:sz="0" w:space="0" w:color="auto"/>
        <w:left w:val="none" w:sz="0" w:space="0" w:color="auto"/>
        <w:bottom w:val="none" w:sz="0" w:space="0" w:color="auto"/>
        <w:right w:val="none" w:sz="0" w:space="0" w:color="auto"/>
      </w:divBdr>
    </w:div>
    <w:div w:id="42294854">
      <w:bodyDiv w:val="1"/>
      <w:marLeft w:val="0"/>
      <w:marRight w:val="0"/>
      <w:marTop w:val="0"/>
      <w:marBottom w:val="0"/>
      <w:divBdr>
        <w:top w:val="none" w:sz="0" w:space="0" w:color="auto"/>
        <w:left w:val="none" w:sz="0" w:space="0" w:color="auto"/>
        <w:bottom w:val="none" w:sz="0" w:space="0" w:color="auto"/>
        <w:right w:val="none" w:sz="0" w:space="0" w:color="auto"/>
      </w:divBdr>
    </w:div>
    <w:div w:id="42339713">
      <w:bodyDiv w:val="1"/>
      <w:marLeft w:val="0"/>
      <w:marRight w:val="0"/>
      <w:marTop w:val="0"/>
      <w:marBottom w:val="0"/>
      <w:divBdr>
        <w:top w:val="none" w:sz="0" w:space="0" w:color="auto"/>
        <w:left w:val="none" w:sz="0" w:space="0" w:color="auto"/>
        <w:bottom w:val="none" w:sz="0" w:space="0" w:color="auto"/>
        <w:right w:val="none" w:sz="0" w:space="0" w:color="auto"/>
      </w:divBdr>
    </w:div>
    <w:div w:id="42488453">
      <w:bodyDiv w:val="1"/>
      <w:marLeft w:val="0"/>
      <w:marRight w:val="0"/>
      <w:marTop w:val="0"/>
      <w:marBottom w:val="0"/>
      <w:divBdr>
        <w:top w:val="none" w:sz="0" w:space="0" w:color="auto"/>
        <w:left w:val="none" w:sz="0" w:space="0" w:color="auto"/>
        <w:bottom w:val="none" w:sz="0" w:space="0" w:color="auto"/>
        <w:right w:val="none" w:sz="0" w:space="0" w:color="auto"/>
      </w:divBdr>
    </w:div>
    <w:div w:id="43531504">
      <w:bodyDiv w:val="1"/>
      <w:marLeft w:val="0"/>
      <w:marRight w:val="0"/>
      <w:marTop w:val="0"/>
      <w:marBottom w:val="0"/>
      <w:divBdr>
        <w:top w:val="none" w:sz="0" w:space="0" w:color="auto"/>
        <w:left w:val="none" w:sz="0" w:space="0" w:color="auto"/>
        <w:bottom w:val="none" w:sz="0" w:space="0" w:color="auto"/>
        <w:right w:val="none" w:sz="0" w:space="0" w:color="auto"/>
      </w:divBdr>
    </w:div>
    <w:div w:id="43919712">
      <w:bodyDiv w:val="1"/>
      <w:marLeft w:val="0"/>
      <w:marRight w:val="0"/>
      <w:marTop w:val="0"/>
      <w:marBottom w:val="0"/>
      <w:divBdr>
        <w:top w:val="none" w:sz="0" w:space="0" w:color="auto"/>
        <w:left w:val="none" w:sz="0" w:space="0" w:color="auto"/>
        <w:bottom w:val="none" w:sz="0" w:space="0" w:color="auto"/>
        <w:right w:val="none" w:sz="0" w:space="0" w:color="auto"/>
      </w:divBdr>
    </w:div>
    <w:div w:id="44961095">
      <w:bodyDiv w:val="1"/>
      <w:marLeft w:val="0"/>
      <w:marRight w:val="0"/>
      <w:marTop w:val="0"/>
      <w:marBottom w:val="0"/>
      <w:divBdr>
        <w:top w:val="none" w:sz="0" w:space="0" w:color="auto"/>
        <w:left w:val="none" w:sz="0" w:space="0" w:color="auto"/>
        <w:bottom w:val="none" w:sz="0" w:space="0" w:color="auto"/>
        <w:right w:val="none" w:sz="0" w:space="0" w:color="auto"/>
      </w:divBdr>
    </w:div>
    <w:div w:id="45229299">
      <w:bodyDiv w:val="1"/>
      <w:marLeft w:val="0"/>
      <w:marRight w:val="0"/>
      <w:marTop w:val="0"/>
      <w:marBottom w:val="0"/>
      <w:divBdr>
        <w:top w:val="none" w:sz="0" w:space="0" w:color="auto"/>
        <w:left w:val="none" w:sz="0" w:space="0" w:color="auto"/>
        <w:bottom w:val="none" w:sz="0" w:space="0" w:color="auto"/>
        <w:right w:val="none" w:sz="0" w:space="0" w:color="auto"/>
      </w:divBdr>
    </w:div>
    <w:div w:id="46073713">
      <w:bodyDiv w:val="1"/>
      <w:marLeft w:val="0"/>
      <w:marRight w:val="0"/>
      <w:marTop w:val="0"/>
      <w:marBottom w:val="0"/>
      <w:divBdr>
        <w:top w:val="none" w:sz="0" w:space="0" w:color="auto"/>
        <w:left w:val="none" w:sz="0" w:space="0" w:color="auto"/>
        <w:bottom w:val="none" w:sz="0" w:space="0" w:color="auto"/>
        <w:right w:val="none" w:sz="0" w:space="0" w:color="auto"/>
      </w:divBdr>
    </w:div>
    <w:div w:id="46076935">
      <w:bodyDiv w:val="1"/>
      <w:marLeft w:val="0"/>
      <w:marRight w:val="0"/>
      <w:marTop w:val="0"/>
      <w:marBottom w:val="0"/>
      <w:divBdr>
        <w:top w:val="none" w:sz="0" w:space="0" w:color="auto"/>
        <w:left w:val="none" w:sz="0" w:space="0" w:color="auto"/>
        <w:bottom w:val="none" w:sz="0" w:space="0" w:color="auto"/>
        <w:right w:val="none" w:sz="0" w:space="0" w:color="auto"/>
      </w:divBdr>
    </w:div>
    <w:div w:id="46338065">
      <w:bodyDiv w:val="1"/>
      <w:marLeft w:val="0"/>
      <w:marRight w:val="0"/>
      <w:marTop w:val="0"/>
      <w:marBottom w:val="0"/>
      <w:divBdr>
        <w:top w:val="none" w:sz="0" w:space="0" w:color="auto"/>
        <w:left w:val="none" w:sz="0" w:space="0" w:color="auto"/>
        <w:bottom w:val="none" w:sz="0" w:space="0" w:color="auto"/>
        <w:right w:val="none" w:sz="0" w:space="0" w:color="auto"/>
      </w:divBdr>
    </w:div>
    <w:div w:id="46419483">
      <w:bodyDiv w:val="1"/>
      <w:marLeft w:val="0"/>
      <w:marRight w:val="0"/>
      <w:marTop w:val="0"/>
      <w:marBottom w:val="0"/>
      <w:divBdr>
        <w:top w:val="none" w:sz="0" w:space="0" w:color="auto"/>
        <w:left w:val="none" w:sz="0" w:space="0" w:color="auto"/>
        <w:bottom w:val="none" w:sz="0" w:space="0" w:color="auto"/>
        <w:right w:val="none" w:sz="0" w:space="0" w:color="auto"/>
      </w:divBdr>
    </w:div>
    <w:div w:id="46540077">
      <w:bodyDiv w:val="1"/>
      <w:marLeft w:val="0"/>
      <w:marRight w:val="0"/>
      <w:marTop w:val="0"/>
      <w:marBottom w:val="0"/>
      <w:divBdr>
        <w:top w:val="none" w:sz="0" w:space="0" w:color="auto"/>
        <w:left w:val="none" w:sz="0" w:space="0" w:color="auto"/>
        <w:bottom w:val="none" w:sz="0" w:space="0" w:color="auto"/>
        <w:right w:val="none" w:sz="0" w:space="0" w:color="auto"/>
      </w:divBdr>
    </w:div>
    <w:div w:id="46882382">
      <w:bodyDiv w:val="1"/>
      <w:marLeft w:val="0"/>
      <w:marRight w:val="0"/>
      <w:marTop w:val="0"/>
      <w:marBottom w:val="0"/>
      <w:divBdr>
        <w:top w:val="none" w:sz="0" w:space="0" w:color="auto"/>
        <w:left w:val="none" w:sz="0" w:space="0" w:color="auto"/>
        <w:bottom w:val="none" w:sz="0" w:space="0" w:color="auto"/>
        <w:right w:val="none" w:sz="0" w:space="0" w:color="auto"/>
      </w:divBdr>
    </w:div>
    <w:div w:id="49115945">
      <w:bodyDiv w:val="1"/>
      <w:marLeft w:val="0"/>
      <w:marRight w:val="0"/>
      <w:marTop w:val="0"/>
      <w:marBottom w:val="0"/>
      <w:divBdr>
        <w:top w:val="none" w:sz="0" w:space="0" w:color="auto"/>
        <w:left w:val="none" w:sz="0" w:space="0" w:color="auto"/>
        <w:bottom w:val="none" w:sz="0" w:space="0" w:color="auto"/>
        <w:right w:val="none" w:sz="0" w:space="0" w:color="auto"/>
      </w:divBdr>
    </w:div>
    <w:div w:id="49887502">
      <w:bodyDiv w:val="1"/>
      <w:marLeft w:val="0"/>
      <w:marRight w:val="0"/>
      <w:marTop w:val="0"/>
      <w:marBottom w:val="0"/>
      <w:divBdr>
        <w:top w:val="none" w:sz="0" w:space="0" w:color="auto"/>
        <w:left w:val="none" w:sz="0" w:space="0" w:color="auto"/>
        <w:bottom w:val="none" w:sz="0" w:space="0" w:color="auto"/>
        <w:right w:val="none" w:sz="0" w:space="0" w:color="auto"/>
      </w:divBdr>
    </w:div>
    <w:div w:id="50663184">
      <w:bodyDiv w:val="1"/>
      <w:marLeft w:val="0"/>
      <w:marRight w:val="0"/>
      <w:marTop w:val="0"/>
      <w:marBottom w:val="0"/>
      <w:divBdr>
        <w:top w:val="none" w:sz="0" w:space="0" w:color="auto"/>
        <w:left w:val="none" w:sz="0" w:space="0" w:color="auto"/>
        <w:bottom w:val="none" w:sz="0" w:space="0" w:color="auto"/>
        <w:right w:val="none" w:sz="0" w:space="0" w:color="auto"/>
      </w:divBdr>
    </w:div>
    <w:div w:id="51320474">
      <w:bodyDiv w:val="1"/>
      <w:marLeft w:val="0"/>
      <w:marRight w:val="0"/>
      <w:marTop w:val="0"/>
      <w:marBottom w:val="0"/>
      <w:divBdr>
        <w:top w:val="none" w:sz="0" w:space="0" w:color="auto"/>
        <w:left w:val="none" w:sz="0" w:space="0" w:color="auto"/>
        <w:bottom w:val="none" w:sz="0" w:space="0" w:color="auto"/>
        <w:right w:val="none" w:sz="0" w:space="0" w:color="auto"/>
      </w:divBdr>
    </w:div>
    <w:div w:id="51542928">
      <w:bodyDiv w:val="1"/>
      <w:marLeft w:val="0"/>
      <w:marRight w:val="0"/>
      <w:marTop w:val="0"/>
      <w:marBottom w:val="0"/>
      <w:divBdr>
        <w:top w:val="none" w:sz="0" w:space="0" w:color="auto"/>
        <w:left w:val="none" w:sz="0" w:space="0" w:color="auto"/>
        <w:bottom w:val="none" w:sz="0" w:space="0" w:color="auto"/>
        <w:right w:val="none" w:sz="0" w:space="0" w:color="auto"/>
      </w:divBdr>
    </w:div>
    <w:div w:id="52627661">
      <w:bodyDiv w:val="1"/>
      <w:marLeft w:val="0"/>
      <w:marRight w:val="0"/>
      <w:marTop w:val="0"/>
      <w:marBottom w:val="0"/>
      <w:divBdr>
        <w:top w:val="none" w:sz="0" w:space="0" w:color="auto"/>
        <w:left w:val="none" w:sz="0" w:space="0" w:color="auto"/>
        <w:bottom w:val="none" w:sz="0" w:space="0" w:color="auto"/>
        <w:right w:val="none" w:sz="0" w:space="0" w:color="auto"/>
      </w:divBdr>
    </w:div>
    <w:div w:id="53281578">
      <w:bodyDiv w:val="1"/>
      <w:marLeft w:val="0"/>
      <w:marRight w:val="0"/>
      <w:marTop w:val="0"/>
      <w:marBottom w:val="0"/>
      <w:divBdr>
        <w:top w:val="none" w:sz="0" w:space="0" w:color="auto"/>
        <w:left w:val="none" w:sz="0" w:space="0" w:color="auto"/>
        <w:bottom w:val="none" w:sz="0" w:space="0" w:color="auto"/>
        <w:right w:val="none" w:sz="0" w:space="0" w:color="auto"/>
      </w:divBdr>
    </w:div>
    <w:div w:id="53354966">
      <w:bodyDiv w:val="1"/>
      <w:marLeft w:val="0"/>
      <w:marRight w:val="0"/>
      <w:marTop w:val="0"/>
      <w:marBottom w:val="0"/>
      <w:divBdr>
        <w:top w:val="none" w:sz="0" w:space="0" w:color="auto"/>
        <w:left w:val="none" w:sz="0" w:space="0" w:color="auto"/>
        <w:bottom w:val="none" w:sz="0" w:space="0" w:color="auto"/>
        <w:right w:val="none" w:sz="0" w:space="0" w:color="auto"/>
      </w:divBdr>
    </w:div>
    <w:div w:id="53699690">
      <w:bodyDiv w:val="1"/>
      <w:marLeft w:val="0"/>
      <w:marRight w:val="0"/>
      <w:marTop w:val="0"/>
      <w:marBottom w:val="0"/>
      <w:divBdr>
        <w:top w:val="none" w:sz="0" w:space="0" w:color="auto"/>
        <w:left w:val="none" w:sz="0" w:space="0" w:color="auto"/>
        <w:bottom w:val="none" w:sz="0" w:space="0" w:color="auto"/>
        <w:right w:val="none" w:sz="0" w:space="0" w:color="auto"/>
      </w:divBdr>
    </w:div>
    <w:div w:id="53822448">
      <w:bodyDiv w:val="1"/>
      <w:marLeft w:val="0"/>
      <w:marRight w:val="0"/>
      <w:marTop w:val="0"/>
      <w:marBottom w:val="0"/>
      <w:divBdr>
        <w:top w:val="none" w:sz="0" w:space="0" w:color="auto"/>
        <w:left w:val="none" w:sz="0" w:space="0" w:color="auto"/>
        <w:bottom w:val="none" w:sz="0" w:space="0" w:color="auto"/>
        <w:right w:val="none" w:sz="0" w:space="0" w:color="auto"/>
      </w:divBdr>
    </w:div>
    <w:div w:id="55126405">
      <w:bodyDiv w:val="1"/>
      <w:marLeft w:val="0"/>
      <w:marRight w:val="0"/>
      <w:marTop w:val="0"/>
      <w:marBottom w:val="0"/>
      <w:divBdr>
        <w:top w:val="none" w:sz="0" w:space="0" w:color="auto"/>
        <w:left w:val="none" w:sz="0" w:space="0" w:color="auto"/>
        <w:bottom w:val="none" w:sz="0" w:space="0" w:color="auto"/>
        <w:right w:val="none" w:sz="0" w:space="0" w:color="auto"/>
      </w:divBdr>
    </w:div>
    <w:div w:id="55592114">
      <w:bodyDiv w:val="1"/>
      <w:marLeft w:val="0"/>
      <w:marRight w:val="0"/>
      <w:marTop w:val="0"/>
      <w:marBottom w:val="0"/>
      <w:divBdr>
        <w:top w:val="none" w:sz="0" w:space="0" w:color="auto"/>
        <w:left w:val="none" w:sz="0" w:space="0" w:color="auto"/>
        <w:bottom w:val="none" w:sz="0" w:space="0" w:color="auto"/>
        <w:right w:val="none" w:sz="0" w:space="0" w:color="auto"/>
      </w:divBdr>
    </w:div>
    <w:div w:id="55671135">
      <w:bodyDiv w:val="1"/>
      <w:marLeft w:val="0"/>
      <w:marRight w:val="0"/>
      <w:marTop w:val="0"/>
      <w:marBottom w:val="0"/>
      <w:divBdr>
        <w:top w:val="none" w:sz="0" w:space="0" w:color="auto"/>
        <w:left w:val="none" w:sz="0" w:space="0" w:color="auto"/>
        <w:bottom w:val="none" w:sz="0" w:space="0" w:color="auto"/>
        <w:right w:val="none" w:sz="0" w:space="0" w:color="auto"/>
      </w:divBdr>
    </w:div>
    <w:div w:id="55855785">
      <w:bodyDiv w:val="1"/>
      <w:marLeft w:val="0"/>
      <w:marRight w:val="0"/>
      <w:marTop w:val="0"/>
      <w:marBottom w:val="0"/>
      <w:divBdr>
        <w:top w:val="none" w:sz="0" w:space="0" w:color="auto"/>
        <w:left w:val="none" w:sz="0" w:space="0" w:color="auto"/>
        <w:bottom w:val="none" w:sz="0" w:space="0" w:color="auto"/>
        <w:right w:val="none" w:sz="0" w:space="0" w:color="auto"/>
      </w:divBdr>
    </w:div>
    <w:div w:id="56435920">
      <w:bodyDiv w:val="1"/>
      <w:marLeft w:val="0"/>
      <w:marRight w:val="0"/>
      <w:marTop w:val="0"/>
      <w:marBottom w:val="0"/>
      <w:divBdr>
        <w:top w:val="none" w:sz="0" w:space="0" w:color="auto"/>
        <w:left w:val="none" w:sz="0" w:space="0" w:color="auto"/>
        <w:bottom w:val="none" w:sz="0" w:space="0" w:color="auto"/>
        <w:right w:val="none" w:sz="0" w:space="0" w:color="auto"/>
      </w:divBdr>
    </w:div>
    <w:div w:id="56586544">
      <w:bodyDiv w:val="1"/>
      <w:marLeft w:val="0"/>
      <w:marRight w:val="0"/>
      <w:marTop w:val="0"/>
      <w:marBottom w:val="0"/>
      <w:divBdr>
        <w:top w:val="none" w:sz="0" w:space="0" w:color="auto"/>
        <w:left w:val="none" w:sz="0" w:space="0" w:color="auto"/>
        <w:bottom w:val="none" w:sz="0" w:space="0" w:color="auto"/>
        <w:right w:val="none" w:sz="0" w:space="0" w:color="auto"/>
      </w:divBdr>
    </w:div>
    <w:div w:id="57435527">
      <w:bodyDiv w:val="1"/>
      <w:marLeft w:val="0"/>
      <w:marRight w:val="0"/>
      <w:marTop w:val="0"/>
      <w:marBottom w:val="0"/>
      <w:divBdr>
        <w:top w:val="none" w:sz="0" w:space="0" w:color="auto"/>
        <w:left w:val="none" w:sz="0" w:space="0" w:color="auto"/>
        <w:bottom w:val="none" w:sz="0" w:space="0" w:color="auto"/>
        <w:right w:val="none" w:sz="0" w:space="0" w:color="auto"/>
      </w:divBdr>
    </w:div>
    <w:div w:id="57943089">
      <w:bodyDiv w:val="1"/>
      <w:marLeft w:val="0"/>
      <w:marRight w:val="0"/>
      <w:marTop w:val="0"/>
      <w:marBottom w:val="0"/>
      <w:divBdr>
        <w:top w:val="none" w:sz="0" w:space="0" w:color="auto"/>
        <w:left w:val="none" w:sz="0" w:space="0" w:color="auto"/>
        <w:bottom w:val="none" w:sz="0" w:space="0" w:color="auto"/>
        <w:right w:val="none" w:sz="0" w:space="0" w:color="auto"/>
      </w:divBdr>
    </w:div>
    <w:div w:id="58291591">
      <w:bodyDiv w:val="1"/>
      <w:marLeft w:val="0"/>
      <w:marRight w:val="0"/>
      <w:marTop w:val="0"/>
      <w:marBottom w:val="0"/>
      <w:divBdr>
        <w:top w:val="none" w:sz="0" w:space="0" w:color="auto"/>
        <w:left w:val="none" w:sz="0" w:space="0" w:color="auto"/>
        <w:bottom w:val="none" w:sz="0" w:space="0" w:color="auto"/>
        <w:right w:val="none" w:sz="0" w:space="0" w:color="auto"/>
      </w:divBdr>
    </w:div>
    <w:div w:id="58406416">
      <w:bodyDiv w:val="1"/>
      <w:marLeft w:val="0"/>
      <w:marRight w:val="0"/>
      <w:marTop w:val="0"/>
      <w:marBottom w:val="0"/>
      <w:divBdr>
        <w:top w:val="none" w:sz="0" w:space="0" w:color="auto"/>
        <w:left w:val="none" w:sz="0" w:space="0" w:color="auto"/>
        <w:bottom w:val="none" w:sz="0" w:space="0" w:color="auto"/>
        <w:right w:val="none" w:sz="0" w:space="0" w:color="auto"/>
      </w:divBdr>
    </w:div>
    <w:div w:id="58990564">
      <w:bodyDiv w:val="1"/>
      <w:marLeft w:val="0"/>
      <w:marRight w:val="0"/>
      <w:marTop w:val="0"/>
      <w:marBottom w:val="0"/>
      <w:divBdr>
        <w:top w:val="none" w:sz="0" w:space="0" w:color="auto"/>
        <w:left w:val="none" w:sz="0" w:space="0" w:color="auto"/>
        <w:bottom w:val="none" w:sz="0" w:space="0" w:color="auto"/>
        <w:right w:val="none" w:sz="0" w:space="0" w:color="auto"/>
      </w:divBdr>
    </w:div>
    <w:div w:id="59132707">
      <w:bodyDiv w:val="1"/>
      <w:marLeft w:val="0"/>
      <w:marRight w:val="0"/>
      <w:marTop w:val="0"/>
      <w:marBottom w:val="0"/>
      <w:divBdr>
        <w:top w:val="none" w:sz="0" w:space="0" w:color="auto"/>
        <w:left w:val="none" w:sz="0" w:space="0" w:color="auto"/>
        <w:bottom w:val="none" w:sz="0" w:space="0" w:color="auto"/>
        <w:right w:val="none" w:sz="0" w:space="0" w:color="auto"/>
      </w:divBdr>
    </w:div>
    <w:div w:id="60376580">
      <w:bodyDiv w:val="1"/>
      <w:marLeft w:val="0"/>
      <w:marRight w:val="0"/>
      <w:marTop w:val="0"/>
      <w:marBottom w:val="0"/>
      <w:divBdr>
        <w:top w:val="none" w:sz="0" w:space="0" w:color="auto"/>
        <w:left w:val="none" w:sz="0" w:space="0" w:color="auto"/>
        <w:bottom w:val="none" w:sz="0" w:space="0" w:color="auto"/>
        <w:right w:val="none" w:sz="0" w:space="0" w:color="auto"/>
      </w:divBdr>
    </w:div>
    <w:div w:id="60757013">
      <w:bodyDiv w:val="1"/>
      <w:marLeft w:val="0"/>
      <w:marRight w:val="0"/>
      <w:marTop w:val="0"/>
      <w:marBottom w:val="0"/>
      <w:divBdr>
        <w:top w:val="none" w:sz="0" w:space="0" w:color="auto"/>
        <w:left w:val="none" w:sz="0" w:space="0" w:color="auto"/>
        <w:bottom w:val="none" w:sz="0" w:space="0" w:color="auto"/>
        <w:right w:val="none" w:sz="0" w:space="0" w:color="auto"/>
      </w:divBdr>
    </w:div>
    <w:div w:id="61371056">
      <w:bodyDiv w:val="1"/>
      <w:marLeft w:val="0"/>
      <w:marRight w:val="0"/>
      <w:marTop w:val="0"/>
      <w:marBottom w:val="0"/>
      <w:divBdr>
        <w:top w:val="none" w:sz="0" w:space="0" w:color="auto"/>
        <w:left w:val="none" w:sz="0" w:space="0" w:color="auto"/>
        <w:bottom w:val="none" w:sz="0" w:space="0" w:color="auto"/>
        <w:right w:val="none" w:sz="0" w:space="0" w:color="auto"/>
      </w:divBdr>
    </w:div>
    <w:div w:id="61607124">
      <w:bodyDiv w:val="1"/>
      <w:marLeft w:val="0"/>
      <w:marRight w:val="0"/>
      <w:marTop w:val="0"/>
      <w:marBottom w:val="0"/>
      <w:divBdr>
        <w:top w:val="none" w:sz="0" w:space="0" w:color="auto"/>
        <w:left w:val="none" w:sz="0" w:space="0" w:color="auto"/>
        <w:bottom w:val="none" w:sz="0" w:space="0" w:color="auto"/>
        <w:right w:val="none" w:sz="0" w:space="0" w:color="auto"/>
      </w:divBdr>
    </w:div>
    <w:div w:id="62070497">
      <w:bodyDiv w:val="1"/>
      <w:marLeft w:val="0"/>
      <w:marRight w:val="0"/>
      <w:marTop w:val="0"/>
      <w:marBottom w:val="0"/>
      <w:divBdr>
        <w:top w:val="none" w:sz="0" w:space="0" w:color="auto"/>
        <w:left w:val="none" w:sz="0" w:space="0" w:color="auto"/>
        <w:bottom w:val="none" w:sz="0" w:space="0" w:color="auto"/>
        <w:right w:val="none" w:sz="0" w:space="0" w:color="auto"/>
      </w:divBdr>
    </w:div>
    <w:div w:id="62607081">
      <w:bodyDiv w:val="1"/>
      <w:marLeft w:val="0"/>
      <w:marRight w:val="0"/>
      <w:marTop w:val="0"/>
      <w:marBottom w:val="0"/>
      <w:divBdr>
        <w:top w:val="none" w:sz="0" w:space="0" w:color="auto"/>
        <w:left w:val="none" w:sz="0" w:space="0" w:color="auto"/>
        <w:bottom w:val="none" w:sz="0" w:space="0" w:color="auto"/>
        <w:right w:val="none" w:sz="0" w:space="0" w:color="auto"/>
      </w:divBdr>
    </w:div>
    <w:div w:id="62873098">
      <w:bodyDiv w:val="1"/>
      <w:marLeft w:val="0"/>
      <w:marRight w:val="0"/>
      <w:marTop w:val="0"/>
      <w:marBottom w:val="0"/>
      <w:divBdr>
        <w:top w:val="none" w:sz="0" w:space="0" w:color="auto"/>
        <w:left w:val="none" w:sz="0" w:space="0" w:color="auto"/>
        <w:bottom w:val="none" w:sz="0" w:space="0" w:color="auto"/>
        <w:right w:val="none" w:sz="0" w:space="0" w:color="auto"/>
      </w:divBdr>
    </w:div>
    <w:div w:id="62997322">
      <w:bodyDiv w:val="1"/>
      <w:marLeft w:val="0"/>
      <w:marRight w:val="0"/>
      <w:marTop w:val="0"/>
      <w:marBottom w:val="0"/>
      <w:divBdr>
        <w:top w:val="none" w:sz="0" w:space="0" w:color="auto"/>
        <w:left w:val="none" w:sz="0" w:space="0" w:color="auto"/>
        <w:bottom w:val="none" w:sz="0" w:space="0" w:color="auto"/>
        <w:right w:val="none" w:sz="0" w:space="0" w:color="auto"/>
      </w:divBdr>
    </w:div>
    <w:div w:id="63842420">
      <w:bodyDiv w:val="1"/>
      <w:marLeft w:val="0"/>
      <w:marRight w:val="0"/>
      <w:marTop w:val="0"/>
      <w:marBottom w:val="0"/>
      <w:divBdr>
        <w:top w:val="none" w:sz="0" w:space="0" w:color="auto"/>
        <w:left w:val="none" w:sz="0" w:space="0" w:color="auto"/>
        <w:bottom w:val="none" w:sz="0" w:space="0" w:color="auto"/>
        <w:right w:val="none" w:sz="0" w:space="0" w:color="auto"/>
      </w:divBdr>
    </w:div>
    <w:div w:id="64913157">
      <w:bodyDiv w:val="1"/>
      <w:marLeft w:val="0"/>
      <w:marRight w:val="0"/>
      <w:marTop w:val="0"/>
      <w:marBottom w:val="0"/>
      <w:divBdr>
        <w:top w:val="none" w:sz="0" w:space="0" w:color="auto"/>
        <w:left w:val="none" w:sz="0" w:space="0" w:color="auto"/>
        <w:bottom w:val="none" w:sz="0" w:space="0" w:color="auto"/>
        <w:right w:val="none" w:sz="0" w:space="0" w:color="auto"/>
      </w:divBdr>
    </w:div>
    <w:div w:id="65033445">
      <w:bodyDiv w:val="1"/>
      <w:marLeft w:val="0"/>
      <w:marRight w:val="0"/>
      <w:marTop w:val="0"/>
      <w:marBottom w:val="0"/>
      <w:divBdr>
        <w:top w:val="none" w:sz="0" w:space="0" w:color="auto"/>
        <w:left w:val="none" w:sz="0" w:space="0" w:color="auto"/>
        <w:bottom w:val="none" w:sz="0" w:space="0" w:color="auto"/>
        <w:right w:val="none" w:sz="0" w:space="0" w:color="auto"/>
      </w:divBdr>
    </w:div>
    <w:div w:id="65499658">
      <w:bodyDiv w:val="1"/>
      <w:marLeft w:val="0"/>
      <w:marRight w:val="0"/>
      <w:marTop w:val="0"/>
      <w:marBottom w:val="0"/>
      <w:divBdr>
        <w:top w:val="none" w:sz="0" w:space="0" w:color="auto"/>
        <w:left w:val="none" w:sz="0" w:space="0" w:color="auto"/>
        <w:bottom w:val="none" w:sz="0" w:space="0" w:color="auto"/>
        <w:right w:val="none" w:sz="0" w:space="0" w:color="auto"/>
      </w:divBdr>
    </w:div>
    <w:div w:id="66077223">
      <w:bodyDiv w:val="1"/>
      <w:marLeft w:val="0"/>
      <w:marRight w:val="0"/>
      <w:marTop w:val="0"/>
      <w:marBottom w:val="0"/>
      <w:divBdr>
        <w:top w:val="none" w:sz="0" w:space="0" w:color="auto"/>
        <w:left w:val="none" w:sz="0" w:space="0" w:color="auto"/>
        <w:bottom w:val="none" w:sz="0" w:space="0" w:color="auto"/>
        <w:right w:val="none" w:sz="0" w:space="0" w:color="auto"/>
      </w:divBdr>
    </w:div>
    <w:div w:id="66542065">
      <w:bodyDiv w:val="1"/>
      <w:marLeft w:val="0"/>
      <w:marRight w:val="0"/>
      <w:marTop w:val="0"/>
      <w:marBottom w:val="0"/>
      <w:divBdr>
        <w:top w:val="none" w:sz="0" w:space="0" w:color="auto"/>
        <w:left w:val="none" w:sz="0" w:space="0" w:color="auto"/>
        <w:bottom w:val="none" w:sz="0" w:space="0" w:color="auto"/>
        <w:right w:val="none" w:sz="0" w:space="0" w:color="auto"/>
      </w:divBdr>
    </w:div>
    <w:div w:id="66923729">
      <w:bodyDiv w:val="1"/>
      <w:marLeft w:val="0"/>
      <w:marRight w:val="0"/>
      <w:marTop w:val="0"/>
      <w:marBottom w:val="0"/>
      <w:divBdr>
        <w:top w:val="none" w:sz="0" w:space="0" w:color="auto"/>
        <w:left w:val="none" w:sz="0" w:space="0" w:color="auto"/>
        <w:bottom w:val="none" w:sz="0" w:space="0" w:color="auto"/>
        <w:right w:val="none" w:sz="0" w:space="0" w:color="auto"/>
      </w:divBdr>
    </w:div>
    <w:div w:id="68355976">
      <w:bodyDiv w:val="1"/>
      <w:marLeft w:val="0"/>
      <w:marRight w:val="0"/>
      <w:marTop w:val="0"/>
      <w:marBottom w:val="0"/>
      <w:divBdr>
        <w:top w:val="none" w:sz="0" w:space="0" w:color="auto"/>
        <w:left w:val="none" w:sz="0" w:space="0" w:color="auto"/>
        <w:bottom w:val="none" w:sz="0" w:space="0" w:color="auto"/>
        <w:right w:val="none" w:sz="0" w:space="0" w:color="auto"/>
      </w:divBdr>
    </w:div>
    <w:div w:id="68427653">
      <w:bodyDiv w:val="1"/>
      <w:marLeft w:val="0"/>
      <w:marRight w:val="0"/>
      <w:marTop w:val="0"/>
      <w:marBottom w:val="0"/>
      <w:divBdr>
        <w:top w:val="none" w:sz="0" w:space="0" w:color="auto"/>
        <w:left w:val="none" w:sz="0" w:space="0" w:color="auto"/>
        <w:bottom w:val="none" w:sz="0" w:space="0" w:color="auto"/>
        <w:right w:val="none" w:sz="0" w:space="0" w:color="auto"/>
      </w:divBdr>
    </w:div>
    <w:div w:id="69155699">
      <w:bodyDiv w:val="1"/>
      <w:marLeft w:val="0"/>
      <w:marRight w:val="0"/>
      <w:marTop w:val="0"/>
      <w:marBottom w:val="0"/>
      <w:divBdr>
        <w:top w:val="none" w:sz="0" w:space="0" w:color="auto"/>
        <w:left w:val="none" w:sz="0" w:space="0" w:color="auto"/>
        <w:bottom w:val="none" w:sz="0" w:space="0" w:color="auto"/>
        <w:right w:val="none" w:sz="0" w:space="0" w:color="auto"/>
      </w:divBdr>
    </w:div>
    <w:div w:id="69666708">
      <w:bodyDiv w:val="1"/>
      <w:marLeft w:val="0"/>
      <w:marRight w:val="0"/>
      <w:marTop w:val="0"/>
      <w:marBottom w:val="0"/>
      <w:divBdr>
        <w:top w:val="none" w:sz="0" w:space="0" w:color="auto"/>
        <w:left w:val="none" w:sz="0" w:space="0" w:color="auto"/>
        <w:bottom w:val="none" w:sz="0" w:space="0" w:color="auto"/>
        <w:right w:val="none" w:sz="0" w:space="0" w:color="auto"/>
      </w:divBdr>
    </w:div>
    <w:div w:id="71005292">
      <w:bodyDiv w:val="1"/>
      <w:marLeft w:val="0"/>
      <w:marRight w:val="0"/>
      <w:marTop w:val="0"/>
      <w:marBottom w:val="0"/>
      <w:divBdr>
        <w:top w:val="none" w:sz="0" w:space="0" w:color="auto"/>
        <w:left w:val="none" w:sz="0" w:space="0" w:color="auto"/>
        <w:bottom w:val="none" w:sz="0" w:space="0" w:color="auto"/>
        <w:right w:val="none" w:sz="0" w:space="0" w:color="auto"/>
      </w:divBdr>
    </w:div>
    <w:div w:id="71127609">
      <w:bodyDiv w:val="1"/>
      <w:marLeft w:val="0"/>
      <w:marRight w:val="0"/>
      <w:marTop w:val="0"/>
      <w:marBottom w:val="0"/>
      <w:divBdr>
        <w:top w:val="none" w:sz="0" w:space="0" w:color="auto"/>
        <w:left w:val="none" w:sz="0" w:space="0" w:color="auto"/>
        <w:bottom w:val="none" w:sz="0" w:space="0" w:color="auto"/>
        <w:right w:val="none" w:sz="0" w:space="0" w:color="auto"/>
      </w:divBdr>
    </w:div>
    <w:div w:id="71780135">
      <w:bodyDiv w:val="1"/>
      <w:marLeft w:val="0"/>
      <w:marRight w:val="0"/>
      <w:marTop w:val="0"/>
      <w:marBottom w:val="0"/>
      <w:divBdr>
        <w:top w:val="none" w:sz="0" w:space="0" w:color="auto"/>
        <w:left w:val="none" w:sz="0" w:space="0" w:color="auto"/>
        <w:bottom w:val="none" w:sz="0" w:space="0" w:color="auto"/>
        <w:right w:val="none" w:sz="0" w:space="0" w:color="auto"/>
      </w:divBdr>
    </w:div>
    <w:div w:id="72045249">
      <w:bodyDiv w:val="1"/>
      <w:marLeft w:val="0"/>
      <w:marRight w:val="0"/>
      <w:marTop w:val="0"/>
      <w:marBottom w:val="0"/>
      <w:divBdr>
        <w:top w:val="none" w:sz="0" w:space="0" w:color="auto"/>
        <w:left w:val="none" w:sz="0" w:space="0" w:color="auto"/>
        <w:bottom w:val="none" w:sz="0" w:space="0" w:color="auto"/>
        <w:right w:val="none" w:sz="0" w:space="0" w:color="auto"/>
      </w:divBdr>
    </w:div>
    <w:div w:id="72120365">
      <w:bodyDiv w:val="1"/>
      <w:marLeft w:val="0"/>
      <w:marRight w:val="0"/>
      <w:marTop w:val="0"/>
      <w:marBottom w:val="0"/>
      <w:divBdr>
        <w:top w:val="none" w:sz="0" w:space="0" w:color="auto"/>
        <w:left w:val="none" w:sz="0" w:space="0" w:color="auto"/>
        <w:bottom w:val="none" w:sz="0" w:space="0" w:color="auto"/>
        <w:right w:val="none" w:sz="0" w:space="0" w:color="auto"/>
      </w:divBdr>
    </w:div>
    <w:div w:id="72432369">
      <w:bodyDiv w:val="1"/>
      <w:marLeft w:val="0"/>
      <w:marRight w:val="0"/>
      <w:marTop w:val="0"/>
      <w:marBottom w:val="0"/>
      <w:divBdr>
        <w:top w:val="none" w:sz="0" w:space="0" w:color="auto"/>
        <w:left w:val="none" w:sz="0" w:space="0" w:color="auto"/>
        <w:bottom w:val="none" w:sz="0" w:space="0" w:color="auto"/>
        <w:right w:val="none" w:sz="0" w:space="0" w:color="auto"/>
      </w:divBdr>
    </w:div>
    <w:div w:id="73547813">
      <w:bodyDiv w:val="1"/>
      <w:marLeft w:val="0"/>
      <w:marRight w:val="0"/>
      <w:marTop w:val="0"/>
      <w:marBottom w:val="0"/>
      <w:divBdr>
        <w:top w:val="none" w:sz="0" w:space="0" w:color="auto"/>
        <w:left w:val="none" w:sz="0" w:space="0" w:color="auto"/>
        <w:bottom w:val="none" w:sz="0" w:space="0" w:color="auto"/>
        <w:right w:val="none" w:sz="0" w:space="0" w:color="auto"/>
      </w:divBdr>
    </w:div>
    <w:div w:id="74211833">
      <w:bodyDiv w:val="1"/>
      <w:marLeft w:val="0"/>
      <w:marRight w:val="0"/>
      <w:marTop w:val="0"/>
      <w:marBottom w:val="0"/>
      <w:divBdr>
        <w:top w:val="none" w:sz="0" w:space="0" w:color="auto"/>
        <w:left w:val="none" w:sz="0" w:space="0" w:color="auto"/>
        <w:bottom w:val="none" w:sz="0" w:space="0" w:color="auto"/>
        <w:right w:val="none" w:sz="0" w:space="0" w:color="auto"/>
      </w:divBdr>
    </w:div>
    <w:div w:id="74403458">
      <w:bodyDiv w:val="1"/>
      <w:marLeft w:val="0"/>
      <w:marRight w:val="0"/>
      <w:marTop w:val="0"/>
      <w:marBottom w:val="0"/>
      <w:divBdr>
        <w:top w:val="none" w:sz="0" w:space="0" w:color="auto"/>
        <w:left w:val="none" w:sz="0" w:space="0" w:color="auto"/>
        <w:bottom w:val="none" w:sz="0" w:space="0" w:color="auto"/>
        <w:right w:val="none" w:sz="0" w:space="0" w:color="auto"/>
      </w:divBdr>
    </w:div>
    <w:div w:id="74595762">
      <w:bodyDiv w:val="1"/>
      <w:marLeft w:val="0"/>
      <w:marRight w:val="0"/>
      <w:marTop w:val="0"/>
      <w:marBottom w:val="0"/>
      <w:divBdr>
        <w:top w:val="none" w:sz="0" w:space="0" w:color="auto"/>
        <w:left w:val="none" w:sz="0" w:space="0" w:color="auto"/>
        <w:bottom w:val="none" w:sz="0" w:space="0" w:color="auto"/>
        <w:right w:val="none" w:sz="0" w:space="0" w:color="auto"/>
      </w:divBdr>
    </w:div>
    <w:div w:id="74981643">
      <w:bodyDiv w:val="1"/>
      <w:marLeft w:val="0"/>
      <w:marRight w:val="0"/>
      <w:marTop w:val="0"/>
      <w:marBottom w:val="0"/>
      <w:divBdr>
        <w:top w:val="none" w:sz="0" w:space="0" w:color="auto"/>
        <w:left w:val="none" w:sz="0" w:space="0" w:color="auto"/>
        <w:bottom w:val="none" w:sz="0" w:space="0" w:color="auto"/>
        <w:right w:val="none" w:sz="0" w:space="0" w:color="auto"/>
      </w:divBdr>
    </w:div>
    <w:div w:id="74984791">
      <w:bodyDiv w:val="1"/>
      <w:marLeft w:val="0"/>
      <w:marRight w:val="0"/>
      <w:marTop w:val="0"/>
      <w:marBottom w:val="0"/>
      <w:divBdr>
        <w:top w:val="none" w:sz="0" w:space="0" w:color="auto"/>
        <w:left w:val="none" w:sz="0" w:space="0" w:color="auto"/>
        <w:bottom w:val="none" w:sz="0" w:space="0" w:color="auto"/>
        <w:right w:val="none" w:sz="0" w:space="0" w:color="auto"/>
      </w:divBdr>
    </w:div>
    <w:div w:id="75057761">
      <w:bodyDiv w:val="1"/>
      <w:marLeft w:val="0"/>
      <w:marRight w:val="0"/>
      <w:marTop w:val="0"/>
      <w:marBottom w:val="0"/>
      <w:divBdr>
        <w:top w:val="none" w:sz="0" w:space="0" w:color="auto"/>
        <w:left w:val="none" w:sz="0" w:space="0" w:color="auto"/>
        <w:bottom w:val="none" w:sz="0" w:space="0" w:color="auto"/>
        <w:right w:val="none" w:sz="0" w:space="0" w:color="auto"/>
      </w:divBdr>
    </w:div>
    <w:div w:id="75253138">
      <w:bodyDiv w:val="1"/>
      <w:marLeft w:val="0"/>
      <w:marRight w:val="0"/>
      <w:marTop w:val="0"/>
      <w:marBottom w:val="0"/>
      <w:divBdr>
        <w:top w:val="none" w:sz="0" w:space="0" w:color="auto"/>
        <w:left w:val="none" w:sz="0" w:space="0" w:color="auto"/>
        <w:bottom w:val="none" w:sz="0" w:space="0" w:color="auto"/>
        <w:right w:val="none" w:sz="0" w:space="0" w:color="auto"/>
      </w:divBdr>
    </w:div>
    <w:div w:id="75443043">
      <w:bodyDiv w:val="1"/>
      <w:marLeft w:val="0"/>
      <w:marRight w:val="0"/>
      <w:marTop w:val="0"/>
      <w:marBottom w:val="0"/>
      <w:divBdr>
        <w:top w:val="none" w:sz="0" w:space="0" w:color="auto"/>
        <w:left w:val="none" w:sz="0" w:space="0" w:color="auto"/>
        <w:bottom w:val="none" w:sz="0" w:space="0" w:color="auto"/>
        <w:right w:val="none" w:sz="0" w:space="0" w:color="auto"/>
      </w:divBdr>
    </w:div>
    <w:div w:id="75514399">
      <w:bodyDiv w:val="1"/>
      <w:marLeft w:val="0"/>
      <w:marRight w:val="0"/>
      <w:marTop w:val="0"/>
      <w:marBottom w:val="0"/>
      <w:divBdr>
        <w:top w:val="none" w:sz="0" w:space="0" w:color="auto"/>
        <w:left w:val="none" w:sz="0" w:space="0" w:color="auto"/>
        <w:bottom w:val="none" w:sz="0" w:space="0" w:color="auto"/>
        <w:right w:val="none" w:sz="0" w:space="0" w:color="auto"/>
      </w:divBdr>
    </w:div>
    <w:div w:id="75902488">
      <w:bodyDiv w:val="1"/>
      <w:marLeft w:val="0"/>
      <w:marRight w:val="0"/>
      <w:marTop w:val="0"/>
      <w:marBottom w:val="0"/>
      <w:divBdr>
        <w:top w:val="none" w:sz="0" w:space="0" w:color="auto"/>
        <w:left w:val="none" w:sz="0" w:space="0" w:color="auto"/>
        <w:bottom w:val="none" w:sz="0" w:space="0" w:color="auto"/>
        <w:right w:val="none" w:sz="0" w:space="0" w:color="auto"/>
      </w:divBdr>
    </w:div>
    <w:div w:id="75908102">
      <w:bodyDiv w:val="1"/>
      <w:marLeft w:val="0"/>
      <w:marRight w:val="0"/>
      <w:marTop w:val="0"/>
      <w:marBottom w:val="0"/>
      <w:divBdr>
        <w:top w:val="none" w:sz="0" w:space="0" w:color="auto"/>
        <w:left w:val="none" w:sz="0" w:space="0" w:color="auto"/>
        <w:bottom w:val="none" w:sz="0" w:space="0" w:color="auto"/>
        <w:right w:val="none" w:sz="0" w:space="0" w:color="auto"/>
      </w:divBdr>
    </w:div>
    <w:div w:id="76481147">
      <w:bodyDiv w:val="1"/>
      <w:marLeft w:val="0"/>
      <w:marRight w:val="0"/>
      <w:marTop w:val="0"/>
      <w:marBottom w:val="0"/>
      <w:divBdr>
        <w:top w:val="none" w:sz="0" w:space="0" w:color="auto"/>
        <w:left w:val="none" w:sz="0" w:space="0" w:color="auto"/>
        <w:bottom w:val="none" w:sz="0" w:space="0" w:color="auto"/>
        <w:right w:val="none" w:sz="0" w:space="0" w:color="auto"/>
      </w:divBdr>
    </w:div>
    <w:div w:id="76640624">
      <w:bodyDiv w:val="1"/>
      <w:marLeft w:val="0"/>
      <w:marRight w:val="0"/>
      <w:marTop w:val="0"/>
      <w:marBottom w:val="0"/>
      <w:divBdr>
        <w:top w:val="none" w:sz="0" w:space="0" w:color="auto"/>
        <w:left w:val="none" w:sz="0" w:space="0" w:color="auto"/>
        <w:bottom w:val="none" w:sz="0" w:space="0" w:color="auto"/>
        <w:right w:val="none" w:sz="0" w:space="0" w:color="auto"/>
      </w:divBdr>
    </w:div>
    <w:div w:id="76681935">
      <w:bodyDiv w:val="1"/>
      <w:marLeft w:val="0"/>
      <w:marRight w:val="0"/>
      <w:marTop w:val="0"/>
      <w:marBottom w:val="0"/>
      <w:divBdr>
        <w:top w:val="none" w:sz="0" w:space="0" w:color="auto"/>
        <w:left w:val="none" w:sz="0" w:space="0" w:color="auto"/>
        <w:bottom w:val="none" w:sz="0" w:space="0" w:color="auto"/>
        <w:right w:val="none" w:sz="0" w:space="0" w:color="auto"/>
      </w:divBdr>
      <w:divsChild>
        <w:div w:id="1439134338">
          <w:marLeft w:val="0"/>
          <w:marRight w:val="0"/>
          <w:marTop w:val="1195"/>
          <w:marBottom w:val="100"/>
          <w:divBdr>
            <w:top w:val="none" w:sz="0" w:space="0" w:color="auto"/>
            <w:left w:val="none" w:sz="0" w:space="0" w:color="auto"/>
            <w:bottom w:val="none" w:sz="0" w:space="0" w:color="auto"/>
            <w:right w:val="none" w:sz="0" w:space="0" w:color="auto"/>
          </w:divBdr>
          <w:divsChild>
            <w:div w:id="1363167112">
              <w:marLeft w:val="0"/>
              <w:marRight w:val="0"/>
              <w:marTop w:val="100"/>
              <w:marBottom w:val="100"/>
              <w:divBdr>
                <w:top w:val="none" w:sz="0" w:space="0" w:color="auto"/>
                <w:left w:val="none" w:sz="0" w:space="0" w:color="auto"/>
                <w:bottom w:val="none" w:sz="0" w:space="0" w:color="auto"/>
                <w:right w:val="none" w:sz="0" w:space="0" w:color="auto"/>
              </w:divBdr>
              <w:divsChild>
                <w:div w:id="1013150110">
                  <w:marLeft w:val="0"/>
                  <w:marRight w:val="0"/>
                  <w:marTop w:val="0"/>
                  <w:marBottom w:val="0"/>
                  <w:divBdr>
                    <w:top w:val="none" w:sz="0" w:space="0" w:color="auto"/>
                    <w:left w:val="none" w:sz="0" w:space="0" w:color="auto"/>
                    <w:bottom w:val="none" w:sz="0" w:space="0" w:color="auto"/>
                    <w:right w:val="none" w:sz="0" w:space="0" w:color="auto"/>
                  </w:divBdr>
                  <w:divsChild>
                    <w:div w:id="1757286186">
                      <w:marLeft w:val="0"/>
                      <w:marRight w:val="0"/>
                      <w:marTop w:val="0"/>
                      <w:marBottom w:val="0"/>
                      <w:divBdr>
                        <w:top w:val="none" w:sz="0" w:space="0" w:color="auto"/>
                        <w:left w:val="none" w:sz="0" w:space="0" w:color="auto"/>
                        <w:bottom w:val="none" w:sz="0" w:space="0" w:color="auto"/>
                        <w:right w:val="none" w:sz="0" w:space="0" w:color="auto"/>
                      </w:divBdr>
                      <w:divsChild>
                        <w:div w:id="1546483693">
                          <w:marLeft w:val="0"/>
                          <w:marRight w:val="0"/>
                          <w:marTop w:val="0"/>
                          <w:marBottom w:val="0"/>
                          <w:divBdr>
                            <w:top w:val="none" w:sz="0" w:space="0" w:color="auto"/>
                            <w:left w:val="none" w:sz="0" w:space="0" w:color="auto"/>
                            <w:bottom w:val="none" w:sz="0" w:space="0" w:color="auto"/>
                            <w:right w:val="none" w:sz="0" w:space="0" w:color="auto"/>
                          </w:divBdr>
                          <w:divsChild>
                            <w:div w:id="436407791">
                              <w:marLeft w:val="0"/>
                              <w:marRight w:val="0"/>
                              <w:marTop w:val="0"/>
                              <w:marBottom w:val="0"/>
                              <w:divBdr>
                                <w:top w:val="none" w:sz="0" w:space="0" w:color="auto"/>
                                <w:left w:val="none" w:sz="0" w:space="0" w:color="auto"/>
                                <w:bottom w:val="none" w:sz="0" w:space="0" w:color="auto"/>
                                <w:right w:val="none" w:sz="0" w:space="0" w:color="auto"/>
                              </w:divBdr>
                              <w:divsChild>
                                <w:div w:id="779446738">
                                  <w:marLeft w:val="0"/>
                                  <w:marRight w:val="0"/>
                                  <w:marTop w:val="0"/>
                                  <w:marBottom w:val="136"/>
                                  <w:divBdr>
                                    <w:top w:val="none" w:sz="0" w:space="0" w:color="auto"/>
                                    <w:left w:val="none" w:sz="0" w:space="0" w:color="auto"/>
                                    <w:bottom w:val="none" w:sz="0" w:space="0" w:color="auto"/>
                                    <w:right w:val="none" w:sz="0" w:space="0" w:color="auto"/>
                                  </w:divBdr>
                                  <w:divsChild>
                                    <w:div w:id="1267037303">
                                      <w:marLeft w:val="0"/>
                                      <w:marRight w:val="136"/>
                                      <w:marTop w:val="0"/>
                                      <w:marBottom w:val="0"/>
                                      <w:divBdr>
                                        <w:top w:val="none" w:sz="0" w:space="0" w:color="auto"/>
                                        <w:left w:val="none" w:sz="0" w:space="0" w:color="auto"/>
                                        <w:bottom w:val="none" w:sz="0" w:space="0" w:color="auto"/>
                                        <w:right w:val="none" w:sz="0" w:space="0" w:color="auto"/>
                                      </w:divBdr>
                                    </w:div>
                                  </w:divsChild>
                                </w:div>
                                <w:div w:id="898200895">
                                  <w:marLeft w:val="0"/>
                                  <w:marRight w:val="0"/>
                                  <w:marTop w:val="0"/>
                                  <w:marBottom w:val="0"/>
                                  <w:divBdr>
                                    <w:top w:val="none" w:sz="0" w:space="0" w:color="auto"/>
                                    <w:left w:val="none" w:sz="0" w:space="0" w:color="auto"/>
                                    <w:bottom w:val="none" w:sz="0" w:space="0" w:color="auto"/>
                                    <w:right w:val="none" w:sz="0" w:space="0" w:color="auto"/>
                                  </w:divBdr>
                                </w:div>
                                <w:div w:id="1177773311">
                                  <w:marLeft w:val="0"/>
                                  <w:marRight w:val="0"/>
                                  <w:marTop w:val="68"/>
                                  <w:marBottom w:val="0"/>
                                  <w:divBdr>
                                    <w:top w:val="none" w:sz="0" w:space="0" w:color="auto"/>
                                    <w:left w:val="none" w:sz="0" w:space="0" w:color="auto"/>
                                    <w:bottom w:val="none" w:sz="0" w:space="0" w:color="auto"/>
                                    <w:right w:val="none" w:sz="0" w:space="0" w:color="auto"/>
                                  </w:divBdr>
                                </w:div>
                              </w:divsChild>
                            </w:div>
                            <w:div w:id="909191413">
                              <w:marLeft w:val="0"/>
                              <w:marRight w:val="0"/>
                              <w:marTop w:val="0"/>
                              <w:marBottom w:val="272"/>
                              <w:divBdr>
                                <w:top w:val="none" w:sz="0" w:space="0" w:color="auto"/>
                                <w:left w:val="none" w:sz="0" w:space="0" w:color="auto"/>
                                <w:bottom w:val="none" w:sz="0" w:space="0" w:color="auto"/>
                                <w:right w:val="none" w:sz="0" w:space="0" w:color="auto"/>
                              </w:divBdr>
                            </w:div>
                            <w:div w:id="1946619180">
                              <w:marLeft w:val="0"/>
                              <w:marRight w:val="0"/>
                              <w:marTop w:val="0"/>
                              <w:marBottom w:val="0"/>
                              <w:divBdr>
                                <w:top w:val="none" w:sz="0" w:space="0" w:color="auto"/>
                                <w:left w:val="none" w:sz="0" w:space="0" w:color="auto"/>
                                <w:bottom w:val="none" w:sz="0" w:space="0" w:color="auto"/>
                                <w:right w:val="none" w:sz="0" w:space="0" w:color="auto"/>
                              </w:divBdr>
                              <w:divsChild>
                                <w:div w:id="433020994">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82828">
      <w:bodyDiv w:val="1"/>
      <w:marLeft w:val="0"/>
      <w:marRight w:val="0"/>
      <w:marTop w:val="0"/>
      <w:marBottom w:val="0"/>
      <w:divBdr>
        <w:top w:val="none" w:sz="0" w:space="0" w:color="auto"/>
        <w:left w:val="none" w:sz="0" w:space="0" w:color="auto"/>
        <w:bottom w:val="none" w:sz="0" w:space="0" w:color="auto"/>
        <w:right w:val="none" w:sz="0" w:space="0" w:color="auto"/>
      </w:divBdr>
    </w:div>
    <w:div w:id="77679254">
      <w:bodyDiv w:val="1"/>
      <w:marLeft w:val="0"/>
      <w:marRight w:val="0"/>
      <w:marTop w:val="0"/>
      <w:marBottom w:val="0"/>
      <w:divBdr>
        <w:top w:val="none" w:sz="0" w:space="0" w:color="auto"/>
        <w:left w:val="none" w:sz="0" w:space="0" w:color="auto"/>
        <w:bottom w:val="none" w:sz="0" w:space="0" w:color="auto"/>
        <w:right w:val="none" w:sz="0" w:space="0" w:color="auto"/>
      </w:divBdr>
    </w:div>
    <w:div w:id="78332713">
      <w:bodyDiv w:val="1"/>
      <w:marLeft w:val="0"/>
      <w:marRight w:val="0"/>
      <w:marTop w:val="0"/>
      <w:marBottom w:val="0"/>
      <w:divBdr>
        <w:top w:val="none" w:sz="0" w:space="0" w:color="auto"/>
        <w:left w:val="none" w:sz="0" w:space="0" w:color="auto"/>
        <w:bottom w:val="none" w:sz="0" w:space="0" w:color="auto"/>
        <w:right w:val="none" w:sz="0" w:space="0" w:color="auto"/>
      </w:divBdr>
    </w:div>
    <w:div w:id="78916283">
      <w:bodyDiv w:val="1"/>
      <w:marLeft w:val="0"/>
      <w:marRight w:val="0"/>
      <w:marTop w:val="0"/>
      <w:marBottom w:val="0"/>
      <w:divBdr>
        <w:top w:val="none" w:sz="0" w:space="0" w:color="auto"/>
        <w:left w:val="none" w:sz="0" w:space="0" w:color="auto"/>
        <w:bottom w:val="none" w:sz="0" w:space="0" w:color="auto"/>
        <w:right w:val="none" w:sz="0" w:space="0" w:color="auto"/>
      </w:divBdr>
    </w:div>
    <w:div w:id="82848607">
      <w:bodyDiv w:val="1"/>
      <w:marLeft w:val="0"/>
      <w:marRight w:val="0"/>
      <w:marTop w:val="0"/>
      <w:marBottom w:val="0"/>
      <w:divBdr>
        <w:top w:val="none" w:sz="0" w:space="0" w:color="auto"/>
        <w:left w:val="none" w:sz="0" w:space="0" w:color="auto"/>
        <w:bottom w:val="none" w:sz="0" w:space="0" w:color="auto"/>
        <w:right w:val="none" w:sz="0" w:space="0" w:color="auto"/>
      </w:divBdr>
      <w:divsChild>
        <w:div w:id="283384911">
          <w:marLeft w:val="430"/>
          <w:marRight w:val="430"/>
          <w:marTop w:val="0"/>
          <w:marBottom w:val="215"/>
          <w:divBdr>
            <w:top w:val="none" w:sz="0" w:space="31" w:color="auto"/>
            <w:left w:val="none" w:sz="0" w:space="0" w:color="auto"/>
            <w:bottom w:val="dotted" w:sz="8" w:space="6" w:color="888888"/>
            <w:right w:val="none" w:sz="0" w:space="0" w:color="auto"/>
          </w:divBdr>
        </w:div>
        <w:div w:id="423190509">
          <w:marLeft w:val="0"/>
          <w:marRight w:val="0"/>
          <w:marTop w:val="0"/>
          <w:marBottom w:val="0"/>
          <w:divBdr>
            <w:top w:val="none" w:sz="0" w:space="0" w:color="auto"/>
            <w:left w:val="none" w:sz="0" w:space="0" w:color="auto"/>
            <w:bottom w:val="none" w:sz="0" w:space="0" w:color="auto"/>
            <w:right w:val="none" w:sz="0" w:space="0" w:color="auto"/>
          </w:divBdr>
          <w:divsChild>
            <w:div w:id="571157401">
              <w:marLeft w:val="0"/>
              <w:marRight w:val="0"/>
              <w:marTop w:val="0"/>
              <w:marBottom w:val="0"/>
              <w:divBdr>
                <w:top w:val="none" w:sz="0" w:space="0" w:color="auto"/>
                <w:left w:val="none" w:sz="0" w:space="0" w:color="auto"/>
                <w:bottom w:val="none" w:sz="0" w:space="0" w:color="auto"/>
                <w:right w:val="none" w:sz="0" w:space="0" w:color="auto"/>
              </w:divBdr>
            </w:div>
          </w:divsChild>
        </w:div>
        <w:div w:id="1017654559">
          <w:marLeft w:val="0"/>
          <w:marRight w:val="0"/>
          <w:marTop w:val="0"/>
          <w:marBottom w:val="0"/>
          <w:divBdr>
            <w:top w:val="none" w:sz="0" w:space="0" w:color="auto"/>
            <w:left w:val="none" w:sz="0" w:space="0" w:color="auto"/>
            <w:bottom w:val="none" w:sz="0" w:space="0" w:color="auto"/>
            <w:right w:val="none" w:sz="0" w:space="0" w:color="auto"/>
          </w:divBdr>
          <w:divsChild>
            <w:div w:id="587615542">
              <w:marLeft w:val="0"/>
              <w:marRight w:val="0"/>
              <w:marTop w:val="0"/>
              <w:marBottom w:val="0"/>
              <w:divBdr>
                <w:top w:val="none" w:sz="0" w:space="0" w:color="auto"/>
                <w:left w:val="none" w:sz="0" w:space="0" w:color="auto"/>
                <w:bottom w:val="none" w:sz="0" w:space="0" w:color="auto"/>
                <w:right w:val="none" w:sz="0" w:space="0" w:color="auto"/>
              </w:divBdr>
            </w:div>
          </w:divsChild>
        </w:div>
        <w:div w:id="1486360167">
          <w:marLeft w:val="430"/>
          <w:marRight w:val="430"/>
          <w:marTop w:val="537"/>
          <w:marBottom w:val="0"/>
          <w:divBdr>
            <w:top w:val="none" w:sz="0" w:space="0" w:color="auto"/>
            <w:left w:val="none" w:sz="0" w:space="0" w:color="auto"/>
            <w:bottom w:val="none" w:sz="0" w:space="0" w:color="auto"/>
            <w:right w:val="none" w:sz="0" w:space="0" w:color="auto"/>
          </w:divBdr>
          <w:divsChild>
            <w:div w:id="27419217">
              <w:marLeft w:val="0"/>
              <w:marRight w:val="0"/>
              <w:marTop w:val="0"/>
              <w:marBottom w:val="0"/>
              <w:divBdr>
                <w:top w:val="none" w:sz="0" w:space="0" w:color="auto"/>
                <w:left w:val="none" w:sz="0" w:space="0" w:color="auto"/>
                <w:bottom w:val="none" w:sz="0" w:space="0" w:color="auto"/>
                <w:right w:val="none" w:sz="0" w:space="0" w:color="auto"/>
              </w:divBdr>
            </w:div>
          </w:divsChild>
        </w:div>
        <w:div w:id="1938512316">
          <w:marLeft w:val="0"/>
          <w:marRight w:val="0"/>
          <w:marTop w:val="0"/>
          <w:marBottom w:val="0"/>
          <w:divBdr>
            <w:top w:val="none" w:sz="0" w:space="0" w:color="auto"/>
            <w:left w:val="none" w:sz="0" w:space="0" w:color="auto"/>
            <w:bottom w:val="none" w:sz="0" w:space="0" w:color="auto"/>
            <w:right w:val="none" w:sz="0" w:space="0" w:color="auto"/>
          </w:divBdr>
          <w:divsChild>
            <w:div w:id="90257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9122">
      <w:bodyDiv w:val="1"/>
      <w:marLeft w:val="0"/>
      <w:marRight w:val="0"/>
      <w:marTop w:val="0"/>
      <w:marBottom w:val="0"/>
      <w:divBdr>
        <w:top w:val="none" w:sz="0" w:space="0" w:color="auto"/>
        <w:left w:val="none" w:sz="0" w:space="0" w:color="auto"/>
        <w:bottom w:val="none" w:sz="0" w:space="0" w:color="auto"/>
        <w:right w:val="none" w:sz="0" w:space="0" w:color="auto"/>
      </w:divBdr>
      <w:divsChild>
        <w:div w:id="1649171249">
          <w:marLeft w:val="0"/>
          <w:marRight w:val="0"/>
          <w:marTop w:val="0"/>
          <w:marBottom w:val="0"/>
          <w:divBdr>
            <w:top w:val="none" w:sz="0" w:space="0" w:color="auto"/>
            <w:left w:val="none" w:sz="0" w:space="0" w:color="auto"/>
            <w:bottom w:val="none" w:sz="0" w:space="0" w:color="auto"/>
            <w:right w:val="none" w:sz="0" w:space="0" w:color="auto"/>
          </w:divBdr>
        </w:div>
      </w:divsChild>
    </w:div>
    <w:div w:id="83380804">
      <w:bodyDiv w:val="1"/>
      <w:marLeft w:val="0"/>
      <w:marRight w:val="0"/>
      <w:marTop w:val="0"/>
      <w:marBottom w:val="0"/>
      <w:divBdr>
        <w:top w:val="none" w:sz="0" w:space="0" w:color="auto"/>
        <w:left w:val="none" w:sz="0" w:space="0" w:color="auto"/>
        <w:bottom w:val="none" w:sz="0" w:space="0" w:color="auto"/>
        <w:right w:val="none" w:sz="0" w:space="0" w:color="auto"/>
      </w:divBdr>
    </w:div>
    <w:div w:id="84229446">
      <w:bodyDiv w:val="1"/>
      <w:marLeft w:val="0"/>
      <w:marRight w:val="0"/>
      <w:marTop w:val="0"/>
      <w:marBottom w:val="0"/>
      <w:divBdr>
        <w:top w:val="none" w:sz="0" w:space="0" w:color="auto"/>
        <w:left w:val="none" w:sz="0" w:space="0" w:color="auto"/>
        <w:bottom w:val="none" w:sz="0" w:space="0" w:color="auto"/>
        <w:right w:val="none" w:sz="0" w:space="0" w:color="auto"/>
      </w:divBdr>
    </w:div>
    <w:div w:id="84958482">
      <w:bodyDiv w:val="1"/>
      <w:marLeft w:val="0"/>
      <w:marRight w:val="0"/>
      <w:marTop w:val="0"/>
      <w:marBottom w:val="0"/>
      <w:divBdr>
        <w:top w:val="none" w:sz="0" w:space="0" w:color="auto"/>
        <w:left w:val="none" w:sz="0" w:space="0" w:color="auto"/>
        <w:bottom w:val="none" w:sz="0" w:space="0" w:color="auto"/>
        <w:right w:val="none" w:sz="0" w:space="0" w:color="auto"/>
      </w:divBdr>
    </w:div>
    <w:div w:id="86193418">
      <w:bodyDiv w:val="1"/>
      <w:marLeft w:val="0"/>
      <w:marRight w:val="0"/>
      <w:marTop w:val="0"/>
      <w:marBottom w:val="0"/>
      <w:divBdr>
        <w:top w:val="none" w:sz="0" w:space="0" w:color="auto"/>
        <w:left w:val="none" w:sz="0" w:space="0" w:color="auto"/>
        <w:bottom w:val="none" w:sz="0" w:space="0" w:color="auto"/>
        <w:right w:val="none" w:sz="0" w:space="0" w:color="auto"/>
      </w:divBdr>
    </w:div>
    <w:div w:id="87194622">
      <w:bodyDiv w:val="1"/>
      <w:marLeft w:val="0"/>
      <w:marRight w:val="0"/>
      <w:marTop w:val="0"/>
      <w:marBottom w:val="0"/>
      <w:divBdr>
        <w:top w:val="none" w:sz="0" w:space="0" w:color="auto"/>
        <w:left w:val="none" w:sz="0" w:space="0" w:color="auto"/>
        <w:bottom w:val="none" w:sz="0" w:space="0" w:color="auto"/>
        <w:right w:val="none" w:sz="0" w:space="0" w:color="auto"/>
      </w:divBdr>
    </w:div>
    <w:div w:id="87434121">
      <w:bodyDiv w:val="1"/>
      <w:marLeft w:val="0"/>
      <w:marRight w:val="0"/>
      <w:marTop w:val="0"/>
      <w:marBottom w:val="0"/>
      <w:divBdr>
        <w:top w:val="none" w:sz="0" w:space="0" w:color="auto"/>
        <w:left w:val="none" w:sz="0" w:space="0" w:color="auto"/>
        <w:bottom w:val="none" w:sz="0" w:space="0" w:color="auto"/>
        <w:right w:val="none" w:sz="0" w:space="0" w:color="auto"/>
      </w:divBdr>
    </w:div>
    <w:div w:id="88503120">
      <w:bodyDiv w:val="1"/>
      <w:marLeft w:val="0"/>
      <w:marRight w:val="0"/>
      <w:marTop w:val="0"/>
      <w:marBottom w:val="0"/>
      <w:divBdr>
        <w:top w:val="none" w:sz="0" w:space="0" w:color="auto"/>
        <w:left w:val="none" w:sz="0" w:space="0" w:color="auto"/>
        <w:bottom w:val="none" w:sz="0" w:space="0" w:color="auto"/>
        <w:right w:val="none" w:sz="0" w:space="0" w:color="auto"/>
      </w:divBdr>
    </w:div>
    <w:div w:id="88626788">
      <w:bodyDiv w:val="1"/>
      <w:marLeft w:val="0"/>
      <w:marRight w:val="0"/>
      <w:marTop w:val="0"/>
      <w:marBottom w:val="0"/>
      <w:divBdr>
        <w:top w:val="none" w:sz="0" w:space="0" w:color="auto"/>
        <w:left w:val="none" w:sz="0" w:space="0" w:color="auto"/>
        <w:bottom w:val="none" w:sz="0" w:space="0" w:color="auto"/>
        <w:right w:val="none" w:sz="0" w:space="0" w:color="auto"/>
      </w:divBdr>
    </w:div>
    <w:div w:id="89350693">
      <w:bodyDiv w:val="1"/>
      <w:marLeft w:val="0"/>
      <w:marRight w:val="0"/>
      <w:marTop w:val="0"/>
      <w:marBottom w:val="0"/>
      <w:divBdr>
        <w:top w:val="none" w:sz="0" w:space="0" w:color="auto"/>
        <w:left w:val="none" w:sz="0" w:space="0" w:color="auto"/>
        <w:bottom w:val="none" w:sz="0" w:space="0" w:color="auto"/>
        <w:right w:val="none" w:sz="0" w:space="0" w:color="auto"/>
      </w:divBdr>
    </w:div>
    <w:div w:id="89816643">
      <w:bodyDiv w:val="1"/>
      <w:marLeft w:val="0"/>
      <w:marRight w:val="0"/>
      <w:marTop w:val="0"/>
      <w:marBottom w:val="0"/>
      <w:divBdr>
        <w:top w:val="none" w:sz="0" w:space="0" w:color="auto"/>
        <w:left w:val="none" w:sz="0" w:space="0" w:color="auto"/>
        <w:bottom w:val="none" w:sz="0" w:space="0" w:color="auto"/>
        <w:right w:val="none" w:sz="0" w:space="0" w:color="auto"/>
      </w:divBdr>
    </w:div>
    <w:div w:id="90439748">
      <w:bodyDiv w:val="1"/>
      <w:marLeft w:val="0"/>
      <w:marRight w:val="0"/>
      <w:marTop w:val="0"/>
      <w:marBottom w:val="0"/>
      <w:divBdr>
        <w:top w:val="none" w:sz="0" w:space="0" w:color="auto"/>
        <w:left w:val="none" w:sz="0" w:space="0" w:color="auto"/>
        <w:bottom w:val="none" w:sz="0" w:space="0" w:color="auto"/>
        <w:right w:val="none" w:sz="0" w:space="0" w:color="auto"/>
      </w:divBdr>
    </w:div>
    <w:div w:id="90469888">
      <w:bodyDiv w:val="1"/>
      <w:marLeft w:val="0"/>
      <w:marRight w:val="0"/>
      <w:marTop w:val="0"/>
      <w:marBottom w:val="0"/>
      <w:divBdr>
        <w:top w:val="none" w:sz="0" w:space="0" w:color="auto"/>
        <w:left w:val="none" w:sz="0" w:space="0" w:color="auto"/>
        <w:bottom w:val="none" w:sz="0" w:space="0" w:color="auto"/>
        <w:right w:val="none" w:sz="0" w:space="0" w:color="auto"/>
      </w:divBdr>
    </w:div>
    <w:div w:id="90707756">
      <w:bodyDiv w:val="1"/>
      <w:marLeft w:val="0"/>
      <w:marRight w:val="0"/>
      <w:marTop w:val="0"/>
      <w:marBottom w:val="0"/>
      <w:divBdr>
        <w:top w:val="none" w:sz="0" w:space="0" w:color="auto"/>
        <w:left w:val="none" w:sz="0" w:space="0" w:color="auto"/>
        <w:bottom w:val="none" w:sz="0" w:space="0" w:color="auto"/>
        <w:right w:val="none" w:sz="0" w:space="0" w:color="auto"/>
      </w:divBdr>
    </w:div>
    <w:div w:id="91516321">
      <w:bodyDiv w:val="1"/>
      <w:marLeft w:val="0"/>
      <w:marRight w:val="0"/>
      <w:marTop w:val="0"/>
      <w:marBottom w:val="0"/>
      <w:divBdr>
        <w:top w:val="none" w:sz="0" w:space="0" w:color="auto"/>
        <w:left w:val="none" w:sz="0" w:space="0" w:color="auto"/>
        <w:bottom w:val="none" w:sz="0" w:space="0" w:color="auto"/>
        <w:right w:val="none" w:sz="0" w:space="0" w:color="auto"/>
      </w:divBdr>
    </w:div>
    <w:div w:id="92484712">
      <w:bodyDiv w:val="1"/>
      <w:marLeft w:val="0"/>
      <w:marRight w:val="0"/>
      <w:marTop w:val="0"/>
      <w:marBottom w:val="0"/>
      <w:divBdr>
        <w:top w:val="none" w:sz="0" w:space="0" w:color="auto"/>
        <w:left w:val="none" w:sz="0" w:space="0" w:color="auto"/>
        <w:bottom w:val="none" w:sz="0" w:space="0" w:color="auto"/>
        <w:right w:val="none" w:sz="0" w:space="0" w:color="auto"/>
      </w:divBdr>
    </w:div>
    <w:div w:id="92824242">
      <w:bodyDiv w:val="1"/>
      <w:marLeft w:val="0"/>
      <w:marRight w:val="0"/>
      <w:marTop w:val="0"/>
      <w:marBottom w:val="0"/>
      <w:divBdr>
        <w:top w:val="none" w:sz="0" w:space="0" w:color="auto"/>
        <w:left w:val="none" w:sz="0" w:space="0" w:color="auto"/>
        <w:bottom w:val="none" w:sz="0" w:space="0" w:color="auto"/>
        <w:right w:val="none" w:sz="0" w:space="0" w:color="auto"/>
      </w:divBdr>
    </w:div>
    <w:div w:id="92866896">
      <w:bodyDiv w:val="1"/>
      <w:marLeft w:val="0"/>
      <w:marRight w:val="0"/>
      <w:marTop w:val="0"/>
      <w:marBottom w:val="0"/>
      <w:divBdr>
        <w:top w:val="none" w:sz="0" w:space="0" w:color="auto"/>
        <w:left w:val="none" w:sz="0" w:space="0" w:color="auto"/>
        <w:bottom w:val="none" w:sz="0" w:space="0" w:color="auto"/>
        <w:right w:val="none" w:sz="0" w:space="0" w:color="auto"/>
      </w:divBdr>
    </w:div>
    <w:div w:id="92946785">
      <w:bodyDiv w:val="1"/>
      <w:marLeft w:val="0"/>
      <w:marRight w:val="0"/>
      <w:marTop w:val="0"/>
      <w:marBottom w:val="0"/>
      <w:divBdr>
        <w:top w:val="none" w:sz="0" w:space="0" w:color="auto"/>
        <w:left w:val="none" w:sz="0" w:space="0" w:color="auto"/>
        <w:bottom w:val="none" w:sz="0" w:space="0" w:color="auto"/>
        <w:right w:val="none" w:sz="0" w:space="0" w:color="auto"/>
      </w:divBdr>
    </w:div>
    <w:div w:id="93015082">
      <w:bodyDiv w:val="1"/>
      <w:marLeft w:val="0"/>
      <w:marRight w:val="0"/>
      <w:marTop w:val="0"/>
      <w:marBottom w:val="0"/>
      <w:divBdr>
        <w:top w:val="none" w:sz="0" w:space="0" w:color="auto"/>
        <w:left w:val="none" w:sz="0" w:space="0" w:color="auto"/>
        <w:bottom w:val="none" w:sz="0" w:space="0" w:color="auto"/>
        <w:right w:val="none" w:sz="0" w:space="0" w:color="auto"/>
      </w:divBdr>
    </w:div>
    <w:div w:id="93210819">
      <w:bodyDiv w:val="1"/>
      <w:marLeft w:val="0"/>
      <w:marRight w:val="0"/>
      <w:marTop w:val="0"/>
      <w:marBottom w:val="0"/>
      <w:divBdr>
        <w:top w:val="none" w:sz="0" w:space="0" w:color="auto"/>
        <w:left w:val="none" w:sz="0" w:space="0" w:color="auto"/>
        <w:bottom w:val="none" w:sz="0" w:space="0" w:color="auto"/>
        <w:right w:val="none" w:sz="0" w:space="0" w:color="auto"/>
      </w:divBdr>
    </w:div>
    <w:div w:id="93286981">
      <w:bodyDiv w:val="1"/>
      <w:marLeft w:val="0"/>
      <w:marRight w:val="0"/>
      <w:marTop w:val="0"/>
      <w:marBottom w:val="0"/>
      <w:divBdr>
        <w:top w:val="none" w:sz="0" w:space="0" w:color="auto"/>
        <w:left w:val="none" w:sz="0" w:space="0" w:color="auto"/>
        <w:bottom w:val="none" w:sz="0" w:space="0" w:color="auto"/>
        <w:right w:val="none" w:sz="0" w:space="0" w:color="auto"/>
      </w:divBdr>
    </w:div>
    <w:div w:id="93746351">
      <w:bodyDiv w:val="1"/>
      <w:marLeft w:val="0"/>
      <w:marRight w:val="0"/>
      <w:marTop w:val="0"/>
      <w:marBottom w:val="0"/>
      <w:divBdr>
        <w:top w:val="none" w:sz="0" w:space="0" w:color="auto"/>
        <w:left w:val="none" w:sz="0" w:space="0" w:color="auto"/>
        <w:bottom w:val="none" w:sz="0" w:space="0" w:color="auto"/>
        <w:right w:val="none" w:sz="0" w:space="0" w:color="auto"/>
      </w:divBdr>
    </w:div>
    <w:div w:id="93794949">
      <w:bodyDiv w:val="1"/>
      <w:marLeft w:val="0"/>
      <w:marRight w:val="0"/>
      <w:marTop w:val="0"/>
      <w:marBottom w:val="0"/>
      <w:divBdr>
        <w:top w:val="none" w:sz="0" w:space="0" w:color="auto"/>
        <w:left w:val="none" w:sz="0" w:space="0" w:color="auto"/>
        <w:bottom w:val="none" w:sz="0" w:space="0" w:color="auto"/>
        <w:right w:val="none" w:sz="0" w:space="0" w:color="auto"/>
      </w:divBdr>
    </w:div>
    <w:div w:id="94133620">
      <w:bodyDiv w:val="1"/>
      <w:marLeft w:val="0"/>
      <w:marRight w:val="0"/>
      <w:marTop w:val="0"/>
      <w:marBottom w:val="0"/>
      <w:divBdr>
        <w:top w:val="none" w:sz="0" w:space="0" w:color="auto"/>
        <w:left w:val="none" w:sz="0" w:space="0" w:color="auto"/>
        <w:bottom w:val="none" w:sz="0" w:space="0" w:color="auto"/>
        <w:right w:val="none" w:sz="0" w:space="0" w:color="auto"/>
      </w:divBdr>
    </w:div>
    <w:div w:id="94596510">
      <w:bodyDiv w:val="1"/>
      <w:marLeft w:val="0"/>
      <w:marRight w:val="0"/>
      <w:marTop w:val="0"/>
      <w:marBottom w:val="0"/>
      <w:divBdr>
        <w:top w:val="none" w:sz="0" w:space="0" w:color="auto"/>
        <w:left w:val="none" w:sz="0" w:space="0" w:color="auto"/>
        <w:bottom w:val="none" w:sz="0" w:space="0" w:color="auto"/>
        <w:right w:val="none" w:sz="0" w:space="0" w:color="auto"/>
      </w:divBdr>
    </w:div>
    <w:div w:id="94907441">
      <w:bodyDiv w:val="1"/>
      <w:marLeft w:val="0"/>
      <w:marRight w:val="0"/>
      <w:marTop w:val="0"/>
      <w:marBottom w:val="0"/>
      <w:divBdr>
        <w:top w:val="none" w:sz="0" w:space="0" w:color="auto"/>
        <w:left w:val="none" w:sz="0" w:space="0" w:color="auto"/>
        <w:bottom w:val="none" w:sz="0" w:space="0" w:color="auto"/>
        <w:right w:val="none" w:sz="0" w:space="0" w:color="auto"/>
      </w:divBdr>
    </w:div>
    <w:div w:id="96681302">
      <w:bodyDiv w:val="1"/>
      <w:marLeft w:val="0"/>
      <w:marRight w:val="0"/>
      <w:marTop w:val="0"/>
      <w:marBottom w:val="0"/>
      <w:divBdr>
        <w:top w:val="none" w:sz="0" w:space="0" w:color="auto"/>
        <w:left w:val="none" w:sz="0" w:space="0" w:color="auto"/>
        <w:bottom w:val="none" w:sz="0" w:space="0" w:color="auto"/>
        <w:right w:val="none" w:sz="0" w:space="0" w:color="auto"/>
      </w:divBdr>
    </w:div>
    <w:div w:id="97066601">
      <w:bodyDiv w:val="1"/>
      <w:marLeft w:val="0"/>
      <w:marRight w:val="0"/>
      <w:marTop w:val="0"/>
      <w:marBottom w:val="0"/>
      <w:divBdr>
        <w:top w:val="none" w:sz="0" w:space="0" w:color="auto"/>
        <w:left w:val="none" w:sz="0" w:space="0" w:color="auto"/>
        <w:bottom w:val="none" w:sz="0" w:space="0" w:color="auto"/>
        <w:right w:val="none" w:sz="0" w:space="0" w:color="auto"/>
      </w:divBdr>
    </w:div>
    <w:div w:id="97221384">
      <w:bodyDiv w:val="1"/>
      <w:marLeft w:val="0"/>
      <w:marRight w:val="0"/>
      <w:marTop w:val="0"/>
      <w:marBottom w:val="0"/>
      <w:divBdr>
        <w:top w:val="none" w:sz="0" w:space="0" w:color="auto"/>
        <w:left w:val="none" w:sz="0" w:space="0" w:color="auto"/>
        <w:bottom w:val="none" w:sz="0" w:space="0" w:color="auto"/>
        <w:right w:val="none" w:sz="0" w:space="0" w:color="auto"/>
      </w:divBdr>
    </w:div>
    <w:div w:id="97415419">
      <w:bodyDiv w:val="1"/>
      <w:marLeft w:val="0"/>
      <w:marRight w:val="0"/>
      <w:marTop w:val="0"/>
      <w:marBottom w:val="0"/>
      <w:divBdr>
        <w:top w:val="none" w:sz="0" w:space="0" w:color="auto"/>
        <w:left w:val="none" w:sz="0" w:space="0" w:color="auto"/>
        <w:bottom w:val="none" w:sz="0" w:space="0" w:color="auto"/>
        <w:right w:val="none" w:sz="0" w:space="0" w:color="auto"/>
      </w:divBdr>
    </w:div>
    <w:div w:id="97524809">
      <w:bodyDiv w:val="1"/>
      <w:marLeft w:val="0"/>
      <w:marRight w:val="0"/>
      <w:marTop w:val="0"/>
      <w:marBottom w:val="0"/>
      <w:divBdr>
        <w:top w:val="none" w:sz="0" w:space="0" w:color="auto"/>
        <w:left w:val="none" w:sz="0" w:space="0" w:color="auto"/>
        <w:bottom w:val="none" w:sz="0" w:space="0" w:color="auto"/>
        <w:right w:val="none" w:sz="0" w:space="0" w:color="auto"/>
      </w:divBdr>
    </w:div>
    <w:div w:id="97607231">
      <w:bodyDiv w:val="1"/>
      <w:marLeft w:val="0"/>
      <w:marRight w:val="0"/>
      <w:marTop w:val="0"/>
      <w:marBottom w:val="0"/>
      <w:divBdr>
        <w:top w:val="none" w:sz="0" w:space="0" w:color="auto"/>
        <w:left w:val="none" w:sz="0" w:space="0" w:color="auto"/>
        <w:bottom w:val="none" w:sz="0" w:space="0" w:color="auto"/>
        <w:right w:val="none" w:sz="0" w:space="0" w:color="auto"/>
      </w:divBdr>
    </w:div>
    <w:div w:id="97796564">
      <w:bodyDiv w:val="1"/>
      <w:marLeft w:val="0"/>
      <w:marRight w:val="0"/>
      <w:marTop w:val="0"/>
      <w:marBottom w:val="0"/>
      <w:divBdr>
        <w:top w:val="none" w:sz="0" w:space="0" w:color="auto"/>
        <w:left w:val="none" w:sz="0" w:space="0" w:color="auto"/>
        <w:bottom w:val="none" w:sz="0" w:space="0" w:color="auto"/>
        <w:right w:val="none" w:sz="0" w:space="0" w:color="auto"/>
      </w:divBdr>
    </w:div>
    <w:div w:id="99029904">
      <w:bodyDiv w:val="1"/>
      <w:marLeft w:val="0"/>
      <w:marRight w:val="0"/>
      <w:marTop w:val="0"/>
      <w:marBottom w:val="0"/>
      <w:divBdr>
        <w:top w:val="none" w:sz="0" w:space="0" w:color="auto"/>
        <w:left w:val="none" w:sz="0" w:space="0" w:color="auto"/>
        <w:bottom w:val="none" w:sz="0" w:space="0" w:color="auto"/>
        <w:right w:val="none" w:sz="0" w:space="0" w:color="auto"/>
      </w:divBdr>
    </w:div>
    <w:div w:id="99418787">
      <w:bodyDiv w:val="1"/>
      <w:marLeft w:val="0"/>
      <w:marRight w:val="0"/>
      <w:marTop w:val="0"/>
      <w:marBottom w:val="0"/>
      <w:divBdr>
        <w:top w:val="none" w:sz="0" w:space="0" w:color="auto"/>
        <w:left w:val="none" w:sz="0" w:space="0" w:color="auto"/>
        <w:bottom w:val="none" w:sz="0" w:space="0" w:color="auto"/>
        <w:right w:val="none" w:sz="0" w:space="0" w:color="auto"/>
      </w:divBdr>
    </w:div>
    <w:div w:id="99877421">
      <w:bodyDiv w:val="1"/>
      <w:marLeft w:val="0"/>
      <w:marRight w:val="0"/>
      <w:marTop w:val="0"/>
      <w:marBottom w:val="0"/>
      <w:divBdr>
        <w:top w:val="none" w:sz="0" w:space="0" w:color="auto"/>
        <w:left w:val="none" w:sz="0" w:space="0" w:color="auto"/>
        <w:bottom w:val="none" w:sz="0" w:space="0" w:color="auto"/>
        <w:right w:val="none" w:sz="0" w:space="0" w:color="auto"/>
      </w:divBdr>
    </w:div>
    <w:div w:id="100957441">
      <w:bodyDiv w:val="1"/>
      <w:marLeft w:val="0"/>
      <w:marRight w:val="0"/>
      <w:marTop w:val="0"/>
      <w:marBottom w:val="0"/>
      <w:divBdr>
        <w:top w:val="none" w:sz="0" w:space="0" w:color="auto"/>
        <w:left w:val="none" w:sz="0" w:space="0" w:color="auto"/>
        <w:bottom w:val="none" w:sz="0" w:space="0" w:color="auto"/>
        <w:right w:val="none" w:sz="0" w:space="0" w:color="auto"/>
      </w:divBdr>
    </w:div>
    <w:div w:id="102120196">
      <w:bodyDiv w:val="1"/>
      <w:marLeft w:val="0"/>
      <w:marRight w:val="0"/>
      <w:marTop w:val="0"/>
      <w:marBottom w:val="0"/>
      <w:divBdr>
        <w:top w:val="none" w:sz="0" w:space="0" w:color="auto"/>
        <w:left w:val="none" w:sz="0" w:space="0" w:color="auto"/>
        <w:bottom w:val="none" w:sz="0" w:space="0" w:color="auto"/>
        <w:right w:val="none" w:sz="0" w:space="0" w:color="auto"/>
      </w:divBdr>
    </w:div>
    <w:div w:id="102575292">
      <w:bodyDiv w:val="1"/>
      <w:marLeft w:val="0"/>
      <w:marRight w:val="0"/>
      <w:marTop w:val="0"/>
      <w:marBottom w:val="0"/>
      <w:divBdr>
        <w:top w:val="none" w:sz="0" w:space="0" w:color="auto"/>
        <w:left w:val="none" w:sz="0" w:space="0" w:color="auto"/>
        <w:bottom w:val="none" w:sz="0" w:space="0" w:color="auto"/>
        <w:right w:val="none" w:sz="0" w:space="0" w:color="auto"/>
      </w:divBdr>
    </w:div>
    <w:div w:id="102965636">
      <w:bodyDiv w:val="1"/>
      <w:marLeft w:val="0"/>
      <w:marRight w:val="0"/>
      <w:marTop w:val="0"/>
      <w:marBottom w:val="0"/>
      <w:divBdr>
        <w:top w:val="none" w:sz="0" w:space="0" w:color="auto"/>
        <w:left w:val="none" w:sz="0" w:space="0" w:color="auto"/>
        <w:bottom w:val="none" w:sz="0" w:space="0" w:color="auto"/>
        <w:right w:val="none" w:sz="0" w:space="0" w:color="auto"/>
      </w:divBdr>
    </w:div>
    <w:div w:id="103312845">
      <w:bodyDiv w:val="1"/>
      <w:marLeft w:val="0"/>
      <w:marRight w:val="0"/>
      <w:marTop w:val="0"/>
      <w:marBottom w:val="0"/>
      <w:divBdr>
        <w:top w:val="none" w:sz="0" w:space="0" w:color="auto"/>
        <w:left w:val="none" w:sz="0" w:space="0" w:color="auto"/>
        <w:bottom w:val="none" w:sz="0" w:space="0" w:color="auto"/>
        <w:right w:val="none" w:sz="0" w:space="0" w:color="auto"/>
      </w:divBdr>
    </w:div>
    <w:div w:id="103423642">
      <w:bodyDiv w:val="1"/>
      <w:marLeft w:val="0"/>
      <w:marRight w:val="0"/>
      <w:marTop w:val="0"/>
      <w:marBottom w:val="0"/>
      <w:divBdr>
        <w:top w:val="none" w:sz="0" w:space="0" w:color="auto"/>
        <w:left w:val="none" w:sz="0" w:space="0" w:color="auto"/>
        <w:bottom w:val="none" w:sz="0" w:space="0" w:color="auto"/>
        <w:right w:val="none" w:sz="0" w:space="0" w:color="auto"/>
      </w:divBdr>
    </w:div>
    <w:div w:id="103772019">
      <w:bodyDiv w:val="1"/>
      <w:marLeft w:val="0"/>
      <w:marRight w:val="0"/>
      <w:marTop w:val="0"/>
      <w:marBottom w:val="0"/>
      <w:divBdr>
        <w:top w:val="none" w:sz="0" w:space="0" w:color="auto"/>
        <w:left w:val="none" w:sz="0" w:space="0" w:color="auto"/>
        <w:bottom w:val="none" w:sz="0" w:space="0" w:color="auto"/>
        <w:right w:val="none" w:sz="0" w:space="0" w:color="auto"/>
      </w:divBdr>
    </w:div>
    <w:div w:id="103965645">
      <w:bodyDiv w:val="1"/>
      <w:marLeft w:val="0"/>
      <w:marRight w:val="0"/>
      <w:marTop w:val="0"/>
      <w:marBottom w:val="0"/>
      <w:divBdr>
        <w:top w:val="none" w:sz="0" w:space="0" w:color="auto"/>
        <w:left w:val="none" w:sz="0" w:space="0" w:color="auto"/>
        <w:bottom w:val="none" w:sz="0" w:space="0" w:color="auto"/>
        <w:right w:val="none" w:sz="0" w:space="0" w:color="auto"/>
      </w:divBdr>
    </w:div>
    <w:div w:id="104157185">
      <w:bodyDiv w:val="1"/>
      <w:marLeft w:val="0"/>
      <w:marRight w:val="0"/>
      <w:marTop w:val="0"/>
      <w:marBottom w:val="0"/>
      <w:divBdr>
        <w:top w:val="none" w:sz="0" w:space="0" w:color="auto"/>
        <w:left w:val="none" w:sz="0" w:space="0" w:color="auto"/>
        <w:bottom w:val="none" w:sz="0" w:space="0" w:color="auto"/>
        <w:right w:val="none" w:sz="0" w:space="0" w:color="auto"/>
      </w:divBdr>
    </w:div>
    <w:div w:id="104231888">
      <w:bodyDiv w:val="1"/>
      <w:marLeft w:val="0"/>
      <w:marRight w:val="0"/>
      <w:marTop w:val="0"/>
      <w:marBottom w:val="0"/>
      <w:divBdr>
        <w:top w:val="none" w:sz="0" w:space="0" w:color="auto"/>
        <w:left w:val="none" w:sz="0" w:space="0" w:color="auto"/>
        <w:bottom w:val="none" w:sz="0" w:space="0" w:color="auto"/>
        <w:right w:val="none" w:sz="0" w:space="0" w:color="auto"/>
      </w:divBdr>
    </w:div>
    <w:div w:id="104810358">
      <w:bodyDiv w:val="1"/>
      <w:marLeft w:val="0"/>
      <w:marRight w:val="0"/>
      <w:marTop w:val="0"/>
      <w:marBottom w:val="0"/>
      <w:divBdr>
        <w:top w:val="none" w:sz="0" w:space="0" w:color="auto"/>
        <w:left w:val="none" w:sz="0" w:space="0" w:color="auto"/>
        <w:bottom w:val="none" w:sz="0" w:space="0" w:color="auto"/>
        <w:right w:val="none" w:sz="0" w:space="0" w:color="auto"/>
      </w:divBdr>
    </w:div>
    <w:div w:id="105545467">
      <w:bodyDiv w:val="1"/>
      <w:marLeft w:val="0"/>
      <w:marRight w:val="0"/>
      <w:marTop w:val="0"/>
      <w:marBottom w:val="0"/>
      <w:divBdr>
        <w:top w:val="none" w:sz="0" w:space="0" w:color="auto"/>
        <w:left w:val="none" w:sz="0" w:space="0" w:color="auto"/>
        <w:bottom w:val="none" w:sz="0" w:space="0" w:color="auto"/>
        <w:right w:val="none" w:sz="0" w:space="0" w:color="auto"/>
      </w:divBdr>
    </w:div>
    <w:div w:id="106052008">
      <w:bodyDiv w:val="1"/>
      <w:marLeft w:val="0"/>
      <w:marRight w:val="0"/>
      <w:marTop w:val="0"/>
      <w:marBottom w:val="0"/>
      <w:divBdr>
        <w:top w:val="none" w:sz="0" w:space="0" w:color="auto"/>
        <w:left w:val="none" w:sz="0" w:space="0" w:color="auto"/>
        <w:bottom w:val="none" w:sz="0" w:space="0" w:color="auto"/>
        <w:right w:val="none" w:sz="0" w:space="0" w:color="auto"/>
      </w:divBdr>
    </w:div>
    <w:div w:id="106707043">
      <w:bodyDiv w:val="1"/>
      <w:marLeft w:val="0"/>
      <w:marRight w:val="0"/>
      <w:marTop w:val="0"/>
      <w:marBottom w:val="0"/>
      <w:divBdr>
        <w:top w:val="none" w:sz="0" w:space="0" w:color="auto"/>
        <w:left w:val="none" w:sz="0" w:space="0" w:color="auto"/>
        <w:bottom w:val="none" w:sz="0" w:space="0" w:color="auto"/>
        <w:right w:val="none" w:sz="0" w:space="0" w:color="auto"/>
      </w:divBdr>
    </w:div>
    <w:div w:id="107821348">
      <w:bodyDiv w:val="1"/>
      <w:marLeft w:val="0"/>
      <w:marRight w:val="0"/>
      <w:marTop w:val="0"/>
      <w:marBottom w:val="0"/>
      <w:divBdr>
        <w:top w:val="none" w:sz="0" w:space="0" w:color="auto"/>
        <w:left w:val="none" w:sz="0" w:space="0" w:color="auto"/>
        <w:bottom w:val="none" w:sz="0" w:space="0" w:color="auto"/>
        <w:right w:val="none" w:sz="0" w:space="0" w:color="auto"/>
      </w:divBdr>
    </w:div>
    <w:div w:id="108013514">
      <w:bodyDiv w:val="1"/>
      <w:marLeft w:val="0"/>
      <w:marRight w:val="0"/>
      <w:marTop w:val="0"/>
      <w:marBottom w:val="0"/>
      <w:divBdr>
        <w:top w:val="none" w:sz="0" w:space="0" w:color="auto"/>
        <w:left w:val="none" w:sz="0" w:space="0" w:color="auto"/>
        <w:bottom w:val="none" w:sz="0" w:space="0" w:color="auto"/>
        <w:right w:val="none" w:sz="0" w:space="0" w:color="auto"/>
      </w:divBdr>
    </w:div>
    <w:div w:id="108164200">
      <w:bodyDiv w:val="1"/>
      <w:marLeft w:val="0"/>
      <w:marRight w:val="0"/>
      <w:marTop w:val="0"/>
      <w:marBottom w:val="0"/>
      <w:divBdr>
        <w:top w:val="none" w:sz="0" w:space="0" w:color="auto"/>
        <w:left w:val="none" w:sz="0" w:space="0" w:color="auto"/>
        <w:bottom w:val="none" w:sz="0" w:space="0" w:color="auto"/>
        <w:right w:val="none" w:sz="0" w:space="0" w:color="auto"/>
      </w:divBdr>
    </w:div>
    <w:div w:id="108551379">
      <w:bodyDiv w:val="1"/>
      <w:marLeft w:val="0"/>
      <w:marRight w:val="0"/>
      <w:marTop w:val="0"/>
      <w:marBottom w:val="0"/>
      <w:divBdr>
        <w:top w:val="none" w:sz="0" w:space="0" w:color="auto"/>
        <w:left w:val="none" w:sz="0" w:space="0" w:color="auto"/>
        <w:bottom w:val="none" w:sz="0" w:space="0" w:color="auto"/>
        <w:right w:val="none" w:sz="0" w:space="0" w:color="auto"/>
      </w:divBdr>
    </w:div>
    <w:div w:id="110056870">
      <w:bodyDiv w:val="1"/>
      <w:marLeft w:val="0"/>
      <w:marRight w:val="0"/>
      <w:marTop w:val="0"/>
      <w:marBottom w:val="0"/>
      <w:divBdr>
        <w:top w:val="none" w:sz="0" w:space="0" w:color="auto"/>
        <w:left w:val="none" w:sz="0" w:space="0" w:color="auto"/>
        <w:bottom w:val="none" w:sz="0" w:space="0" w:color="auto"/>
        <w:right w:val="none" w:sz="0" w:space="0" w:color="auto"/>
      </w:divBdr>
    </w:div>
    <w:div w:id="110519758">
      <w:bodyDiv w:val="1"/>
      <w:marLeft w:val="0"/>
      <w:marRight w:val="0"/>
      <w:marTop w:val="0"/>
      <w:marBottom w:val="0"/>
      <w:divBdr>
        <w:top w:val="none" w:sz="0" w:space="0" w:color="auto"/>
        <w:left w:val="none" w:sz="0" w:space="0" w:color="auto"/>
        <w:bottom w:val="none" w:sz="0" w:space="0" w:color="auto"/>
        <w:right w:val="none" w:sz="0" w:space="0" w:color="auto"/>
      </w:divBdr>
    </w:div>
    <w:div w:id="110705276">
      <w:bodyDiv w:val="1"/>
      <w:marLeft w:val="0"/>
      <w:marRight w:val="0"/>
      <w:marTop w:val="0"/>
      <w:marBottom w:val="0"/>
      <w:divBdr>
        <w:top w:val="none" w:sz="0" w:space="0" w:color="auto"/>
        <w:left w:val="none" w:sz="0" w:space="0" w:color="auto"/>
        <w:bottom w:val="none" w:sz="0" w:space="0" w:color="auto"/>
        <w:right w:val="none" w:sz="0" w:space="0" w:color="auto"/>
      </w:divBdr>
    </w:div>
    <w:div w:id="111092080">
      <w:bodyDiv w:val="1"/>
      <w:marLeft w:val="0"/>
      <w:marRight w:val="0"/>
      <w:marTop w:val="0"/>
      <w:marBottom w:val="0"/>
      <w:divBdr>
        <w:top w:val="none" w:sz="0" w:space="0" w:color="auto"/>
        <w:left w:val="none" w:sz="0" w:space="0" w:color="auto"/>
        <w:bottom w:val="none" w:sz="0" w:space="0" w:color="auto"/>
        <w:right w:val="none" w:sz="0" w:space="0" w:color="auto"/>
      </w:divBdr>
    </w:div>
    <w:div w:id="111174100">
      <w:bodyDiv w:val="1"/>
      <w:marLeft w:val="0"/>
      <w:marRight w:val="0"/>
      <w:marTop w:val="0"/>
      <w:marBottom w:val="0"/>
      <w:divBdr>
        <w:top w:val="none" w:sz="0" w:space="0" w:color="auto"/>
        <w:left w:val="none" w:sz="0" w:space="0" w:color="auto"/>
        <w:bottom w:val="none" w:sz="0" w:space="0" w:color="auto"/>
        <w:right w:val="none" w:sz="0" w:space="0" w:color="auto"/>
      </w:divBdr>
    </w:div>
    <w:div w:id="111216600">
      <w:bodyDiv w:val="1"/>
      <w:marLeft w:val="0"/>
      <w:marRight w:val="0"/>
      <w:marTop w:val="0"/>
      <w:marBottom w:val="0"/>
      <w:divBdr>
        <w:top w:val="none" w:sz="0" w:space="0" w:color="auto"/>
        <w:left w:val="none" w:sz="0" w:space="0" w:color="auto"/>
        <w:bottom w:val="none" w:sz="0" w:space="0" w:color="auto"/>
        <w:right w:val="none" w:sz="0" w:space="0" w:color="auto"/>
      </w:divBdr>
    </w:div>
    <w:div w:id="111481754">
      <w:bodyDiv w:val="1"/>
      <w:marLeft w:val="0"/>
      <w:marRight w:val="0"/>
      <w:marTop w:val="0"/>
      <w:marBottom w:val="0"/>
      <w:divBdr>
        <w:top w:val="none" w:sz="0" w:space="0" w:color="auto"/>
        <w:left w:val="none" w:sz="0" w:space="0" w:color="auto"/>
        <w:bottom w:val="none" w:sz="0" w:space="0" w:color="auto"/>
        <w:right w:val="none" w:sz="0" w:space="0" w:color="auto"/>
      </w:divBdr>
    </w:div>
    <w:div w:id="111747709">
      <w:bodyDiv w:val="1"/>
      <w:marLeft w:val="0"/>
      <w:marRight w:val="0"/>
      <w:marTop w:val="0"/>
      <w:marBottom w:val="0"/>
      <w:divBdr>
        <w:top w:val="none" w:sz="0" w:space="0" w:color="auto"/>
        <w:left w:val="none" w:sz="0" w:space="0" w:color="auto"/>
        <w:bottom w:val="none" w:sz="0" w:space="0" w:color="auto"/>
        <w:right w:val="none" w:sz="0" w:space="0" w:color="auto"/>
      </w:divBdr>
    </w:div>
    <w:div w:id="112525474">
      <w:bodyDiv w:val="1"/>
      <w:marLeft w:val="0"/>
      <w:marRight w:val="0"/>
      <w:marTop w:val="0"/>
      <w:marBottom w:val="0"/>
      <w:divBdr>
        <w:top w:val="none" w:sz="0" w:space="0" w:color="auto"/>
        <w:left w:val="none" w:sz="0" w:space="0" w:color="auto"/>
        <w:bottom w:val="none" w:sz="0" w:space="0" w:color="auto"/>
        <w:right w:val="none" w:sz="0" w:space="0" w:color="auto"/>
      </w:divBdr>
    </w:div>
    <w:div w:id="112555543">
      <w:bodyDiv w:val="1"/>
      <w:marLeft w:val="0"/>
      <w:marRight w:val="0"/>
      <w:marTop w:val="0"/>
      <w:marBottom w:val="0"/>
      <w:divBdr>
        <w:top w:val="none" w:sz="0" w:space="0" w:color="auto"/>
        <w:left w:val="none" w:sz="0" w:space="0" w:color="auto"/>
        <w:bottom w:val="none" w:sz="0" w:space="0" w:color="auto"/>
        <w:right w:val="none" w:sz="0" w:space="0" w:color="auto"/>
      </w:divBdr>
    </w:div>
    <w:div w:id="112722890">
      <w:bodyDiv w:val="1"/>
      <w:marLeft w:val="0"/>
      <w:marRight w:val="0"/>
      <w:marTop w:val="0"/>
      <w:marBottom w:val="0"/>
      <w:divBdr>
        <w:top w:val="none" w:sz="0" w:space="0" w:color="auto"/>
        <w:left w:val="none" w:sz="0" w:space="0" w:color="auto"/>
        <w:bottom w:val="none" w:sz="0" w:space="0" w:color="auto"/>
        <w:right w:val="none" w:sz="0" w:space="0" w:color="auto"/>
      </w:divBdr>
    </w:div>
    <w:div w:id="113448624">
      <w:bodyDiv w:val="1"/>
      <w:marLeft w:val="0"/>
      <w:marRight w:val="0"/>
      <w:marTop w:val="0"/>
      <w:marBottom w:val="0"/>
      <w:divBdr>
        <w:top w:val="none" w:sz="0" w:space="0" w:color="auto"/>
        <w:left w:val="none" w:sz="0" w:space="0" w:color="auto"/>
        <w:bottom w:val="none" w:sz="0" w:space="0" w:color="auto"/>
        <w:right w:val="none" w:sz="0" w:space="0" w:color="auto"/>
      </w:divBdr>
    </w:div>
    <w:div w:id="113598333">
      <w:bodyDiv w:val="1"/>
      <w:marLeft w:val="0"/>
      <w:marRight w:val="0"/>
      <w:marTop w:val="0"/>
      <w:marBottom w:val="0"/>
      <w:divBdr>
        <w:top w:val="none" w:sz="0" w:space="0" w:color="auto"/>
        <w:left w:val="none" w:sz="0" w:space="0" w:color="auto"/>
        <w:bottom w:val="none" w:sz="0" w:space="0" w:color="auto"/>
        <w:right w:val="none" w:sz="0" w:space="0" w:color="auto"/>
      </w:divBdr>
    </w:div>
    <w:div w:id="113913946">
      <w:bodyDiv w:val="1"/>
      <w:marLeft w:val="0"/>
      <w:marRight w:val="0"/>
      <w:marTop w:val="0"/>
      <w:marBottom w:val="0"/>
      <w:divBdr>
        <w:top w:val="none" w:sz="0" w:space="0" w:color="auto"/>
        <w:left w:val="none" w:sz="0" w:space="0" w:color="auto"/>
        <w:bottom w:val="none" w:sz="0" w:space="0" w:color="auto"/>
        <w:right w:val="none" w:sz="0" w:space="0" w:color="auto"/>
      </w:divBdr>
    </w:div>
    <w:div w:id="114062650">
      <w:bodyDiv w:val="1"/>
      <w:marLeft w:val="0"/>
      <w:marRight w:val="0"/>
      <w:marTop w:val="0"/>
      <w:marBottom w:val="0"/>
      <w:divBdr>
        <w:top w:val="none" w:sz="0" w:space="0" w:color="auto"/>
        <w:left w:val="none" w:sz="0" w:space="0" w:color="auto"/>
        <w:bottom w:val="none" w:sz="0" w:space="0" w:color="auto"/>
        <w:right w:val="none" w:sz="0" w:space="0" w:color="auto"/>
      </w:divBdr>
    </w:div>
    <w:div w:id="114254560">
      <w:bodyDiv w:val="1"/>
      <w:marLeft w:val="0"/>
      <w:marRight w:val="0"/>
      <w:marTop w:val="0"/>
      <w:marBottom w:val="0"/>
      <w:divBdr>
        <w:top w:val="none" w:sz="0" w:space="0" w:color="auto"/>
        <w:left w:val="none" w:sz="0" w:space="0" w:color="auto"/>
        <w:bottom w:val="none" w:sz="0" w:space="0" w:color="auto"/>
        <w:right w:val="none" w:sz="0" w:space="0" w:color="auto"/>
      </w:divBdr>
    </w:div>
    <w:div w:id="115491636">
      <w:bodyDiv w:val="1"/>
      <w:marLeft w:val="0"/>
      <w:marRight w:val="0"/>
      <w:marTop w:val="0"/>
      <w:marBottom w:val="0"/>
      <w:divBdr>
        <w:top w:val="none" w:sz="0" w:space="0" w:color="auto"/>
        <w:left w:val="none" w:sz="0" w:space="0" w:color="auto"/>
        <w:bottom w:val="none" w:sz="0" w:space="0" w:color="auto"/>
        <w:right w:val="none" w:sz="0" w:space="0" w:color="auto"/>
      </w:divBdr>
    </w:div>
    <w:div w:id="116604891">
      <w:bodyDiv w:val="1"/>
      <w:marLeft w:val="0"/>
      <w:marRight w:val="0"/>
      <w:marTop w:val="0"/>
      <w:marBottom w:val="0"/>
      <w:divBdr>
        <w:top w:val="none" w:sz="0" w:space="0" w:color="auto"/>
        <w:left w:val="none" w:sz="0" w:space="0" w:color="auto"/>
        <w:bottom w:val="none" w:sz="0" w:space="0" w:color="auto"/>
        <w:right w:val="none" w:sz="0" w:space="0" w:color="auto"/>
      </w:divBdr>
      <w:divsChild>
        <w:div w:id="1188561086">
          <w:marLeft w:val="0"/>
          <w:marRight w:val="0"/>
          <w:marTop w:val="0"/>
          <w:marBottom w:val="0"/>
          <w:divBdr>
            <w:top w:val="none" w:sz="0" w:space="0" w:color="auto"/>
            <w:left w:val="none" w:sz="0" w:space="0" w:color="auto"/>
            <w:bottom w:val="none" w:sz="0" w:space="0" w:color="auto"/>
            <w:right w:val="none" w:sz="0" w:space="0" w:color="auto"/>
          </w:divBdr>
          <w:divsChild>
            <w:div w:id="254552933">
              <w:marLeft w:val="1"/>
              <w:marRight w:val="1"/>
              <w:marTop w:val="0"/>
              <w:marBottom w:val="0"/>
              <w:divBdr>
                <w:top w:val="none" w:sz="0" w:space="0" w:color="auto"/>
                <w:left w:val="none" w:sz="0" w:space="0" w:color="auto"/>
                <w:bottom w:val="none" w:sz="0" w:space="0" w:color="auto"/>
                <w:right w:val="none" w:sz="0" w:space="0" w:color="auto"/>
              </w:divBdr>
              <w:divsChild>
                <w:div w:id="829642328">
                  <w:marLeft w:val="0"/>
                  <w:marRight w:val="0"/>
                  <w:marTop w:val="0"/>
                  <w:marBottom w:val="0"/>
                  <w:divBdr>
                    <w:top w:val="none" w:sz="0" w:space="0" w:color="auto"/>
                    <w:left w:val="none" w:sz="0" w:space="0" w:color="auto"/>
                    <w:bottom w:val="none" w:sz="0" w:space="0" w:color="auto"/>
                    <w:right w:val="none" w:sz="0" w:space="0" w:color="auto"/>
                  </w:divBdr>
                  <w:divsChild>
                    <w:div w:id="1188716205">
                      <w:marLeft w:val="0"/>
                      <w:marRight w:val="0"/>
                      <w:marTop w:val="0"/>
                      <w:marBottom w:val="645"/>
                      <w:divBdr>
                        <w:top w:val="none" w:sz="0" w:space="0" w:color="auto"/>
                        <w:left w:val="none" w:sz="0" w:space="0" w:color="auto"/>
                        <w:bottom w:val="none" w:sz="0" w:space="0" w:color="auto"/>
                        <w:right w:val="none" w:sz="0" w:space="0" w:color="auto"/>
                      </w:divBdr>
                    </w:div>
                  </w:divsChild>
                </w:div>
              </w:divsChild>
            </w:div>
          </w:divsChild>
        </w:div>
      </w:divsChild>
    </w:div>
    <w:div w:id="116922655">
      <w:bodyDiv w:val="1"/>
      <w:marLeft w:val="0"/>
      <w:marRight w:val="0"/>
      <w:marTop w:val="0"/>
      <w:marBottom w:val="0"/>
      <w:divBdr>
        <w:top w:val="none" w:sz="0" w:space="0" w:color="auto"/>
        <w:left w:val="none" w:sz="0" w:space="0" w:color="auto"/>
        <w:bottom w:val="none" w:sz="0" w:space="0" w:color="auto"/>
        <w:right w:val="none" w:sz="0" w:space="0" w:color="auto"/>
      </w:divBdr>
    </w:div>
    <w:div w:id="117338762">
      <w:bodyDiv w:val="1"/>
      <w:marLeft w:val="0"/>
      <w:marRight w:val="0"/>
      <w:marTop w:val="0"/>
      <w:marBottom w:val="0"/>
      <w:divBdr>
        <w:top w:val="none" w:sz="0" w:space="0" w:color="auto"/>
        <w:left w:val="none" w:sz="0" w:space="0" w:color="auto"/>
        <w:bottom w:val="none" w:sz="0" w:space="0" w:color="auto"/>
        <w:right w:val="none" w:sz="0" w:space="0" w:color="auto"/>
      </w:divBdr>
    </w:div>
    <w:div w:id="117572948">
      <w:bodyDiv w:val="1"/>
      <w:marLeft w:val="0"/>
      <w:marRight w:val="0"/>
      <w:marTop w:val="0"/>
      <w:marBottom w:val="0"/>
      <w:divBdr>
        <w:top w:val="none" w:sz="0" w:space="0" w:color="auto"/>
        <w:left w:val="none" w:sz="0" w:space="0" w:color="auto"/>
        <w:bottom w:val="none" w:sz="0" w:space="0" w:color="auto"/>
        <w:right w:val="none" w:sz="0" w:space="0" w:color="auto"/>
      </w:divBdr>
    </w:div>
    <w:div w:id="117603840">
      <w:bodyDiv w:val="1"/>
      <w:marLeft w:val="0"/>
      <w:marRight w:val="0"/>
      <w:marTop w:val="0"/>
      <w:marBottom w:val="0"/>
      <w:divBdr>
        <w:top w:val="none" w:sz="0" w:space="0" w:color="auto"/>
        <w:left w:val="none" w:sz="0" w:space="0" w:color="auto"/>
        <w:bottom w:val="none" w:sz="0" w:space="0" w:color="auto"/>
        <w:right w:val="none" w:sz="0" w:space="0" w:color="auto"/>
      </w:divBdr>
    </w:div>
    <w:div w:id="118687933">
      <w:bodyDiv w:val="1"/>
      <w:marLeft w:val="0"/>
      <w:marRight w:val="0"/>
      <w:marTop w:val="0"/>
      <w:marBottom w:val="0"/>
      <w:divBdr>
        <w:top w:val="none" w:sz="0" w:space="0" w:color="auto"/>
        <w:left w:val="none" w:sz="0" w:space="0" w:color="auto"/>
        <w:bottom w:val="none" w:sz="0" w:space="0" w:color="auto"/>
        <w:right w:val="none" w:sz="0" w:space="0" w:color="auto"/>
      </w:divBdr>
    </w:div>
    <w:div w:id="121464944">
      <w:bodyDiv w:val="1"/>
      <w:marLeft w:val="0"/>
      <w:marRight w:val="0"/>
      <w:marTop w:val="0"/>
      <w:marBottom w:val="0"/>
      <w:divBdr>
        <w:top w:val="none" w:sz="0" w:space="0" w:color="auto"/>
        <w:left w:val="none" w:sz="0" w:space="0" w:color="auto"/>
        <w:bottom w:val="none" w:sz="0" w:space="0" w:color="auto"/>
        <w:right w:val="none" w:sz="0" w:space="0" w:color="auto"/>
      </w:divBdr>
    </w:div>
    <w:div w:id="121969509">
      <w:bodyDiv w:val="1"/>
      <w:marLeft w:val="0"/>
      <w:marRight w:val="0"/>
      <w:marTop w:val="0"/>
      <w:marBottom w:val="0"/>
      <w:divBdr>
        <w:top w:val="none" w:sz="0" w:space="0" w:color="auto"/>
        <w:left w:val="none" w:sz="0" w:space="0" w:color="auto"/>
        <w:bottom w:val="none" w:sz="0" w:space="0" w:color="auto"/>
        <w:right w:val="none" w:sz="0" w:space="0" w:color="auto"/>
      </w:divBdr>
    </w:div>
    <w:div w:id="121969987">
      <w:bodyDiv w:val="1"/>
      <w:marLeft w:val="0"/>
      <w:marRight w:val="0"/>
      <w:marTop w:val="0"/>
      <w:marBottom w:val="0"/>
      <w:divBdr>
        <w:top w:val="none" w:sz="0" w:space="0" w:color="auto"/>
        <w:left w:val="none" w:sz="0" w:space="0" w:color="auto"/>
        <w:bottom w:val="none" w:sz="0" w:space="0" w:color="auto"/>
        <w:right w:val="none" w:sz="0" w:space="0" w:color="auto"/>
      </w:divBdr>
    </w:div>
    <w:div w:id="122770426">
      <w:bodyDiv w:val="1"/>
      <w:marLeft w:val="0"/>
      <w:marRight w:val="0"/>
      <w:marTop w:val="0"/>
      <w:marBottom w:val="0"/>
      <w:divBdr>
        <w:top w:val="none" w:sz="0" w:space="0" w:color="auto"/>
        <w:left w:val="none" w:sz="0" w:space="0" w:color="auto"/>
        <w:bottom w:val="none" w:sz="0" w:space="0" w:color="auto"/>
        <w:right w:val="none" w:sz="0" w:space="0" w:color="auto"/>
      </w:divBdr>
    </w:div>
    <w:div w:id="123474882">
      <w:bodyDiv w:val="1"/>
      <w:marLeft w:val="0"/>
      <w:marRight w:val="0"/>
      <w:marTop w:val="0"/>
      <w:marBottom w:val="0"/>
      <w:divBdr>
        <w:top w:val="none" w:sz="0" w:space="0" w:color="auto"/>
        <w:left w:val="none" w:sz="0" w:space="0" w:color="auto"/>
        <w:bottom w:val="none" w:sz="0" w:space="0" w:color="auto"/>
        <w:right w:val="none" w:sz="0" w:space="0" w:color="auto"/>
      </w:divBdr>
    </w:div>
    <w:div w:id="123815797">
      <w:bodyDiv w:val="1"/>
      <w:marLeft w:val="0"/>
      <w:marRight w:val="0"/>
      <w:marTop w:val="0"/>
      <w:marBottom w:val="0"/>
      <w:divBdr>
        <w:top w:val="none" w:sz="0" w:space="0" w:color="auto"/>
        <w:left w:val="none" w:sz="0" w:space="0" w:color="auto"/>
        <w:bottom w:val="none" w:sz="0" w:space="0" w:color="auto"/>
        <w:right w:val="none" w:sz="0" w:space="0" w:color="auto"/>
      </w:divBdr>
    </w:div>
    <w:div w:id="123816949">
      <w:bodyDiv w:val="1"/>
      <w:marLeft w:val="0"/>
      <w:marRight w:val="0"/>
      <w:marTop w:val="0"/>
      <w:marBottom w:val="0"/>
      <w:divBdr>
        <w:top w:val="none" w:sz="0" w:space="0" w:color="auto"/>
        <w:left w:val="none" w:sz="0" w:space="0" w:color="auto"/>
        <w:bottom w:val="none" w:sz="0" w:space="0" w:color="auto"/>
        <w:right w:val="none" w:sz="0" w:space="0" w:color="auto"/>
      </w:divBdr>
    </w:div>
    <w:div w:id="124662453">
      <w:bodyDiv w:val="1"/>
      <w:marLeft w:val="0"/>
      <w:marRight w:val="0"/>
      <w:marTop w:val="0"/>
      <w:marBottom w:val="0"/>
      <w:divBdr>
        <w:top w:val="none" w:sz="0" w:space="0" w:color="auto"/>
        <w:left w:val="none" w:sz="0" w:space="0" w:color="auto"/>
        <w:bottom w:val="none" w:sz="0" w:space="0" w:color="auto"/>
        <w:right w:val="none" w:sz="0" w:space="0" w:color="auto"/>
      </w:divBdr>
    </w:div>
    <w:div w:id="125197814">
      <w:bodyDiv w:val="1"/>
      <w:marLeft w:val="0"/>
      <w:marRight w:val="0"/>
      <w:marTop w:val="0"/>
      <w:marBottom w:val="0"/>
      <w:divBdr>
        <w:top w:val="none" w:sz="0" w:space="0" w:color="auto"/>
        <w:left w:val="none" w:sz="0" w:space="0" w:color="auto"/>
        <w:bottom w:val="none" w:sz="0" w:space="0" w:color="auto"/>
        <w:right w:val="none" w:sz="0" w:space="0" w:color="auto"/>
      </w:divBdr>
    </w:div>
    <w:div w:id="125321731">
      <w:bodyDiv w:val="1"/>
      <w:marLeft w:val="0"/>
      <w:marRight w:val="0"/>
      <w:marTop w:val="0"/>
      <w:marBottom w:val="0"/>
      <w:divBdr>
        <w:top w:val="none" w:sz="0" w:space="0" w:color="auto"/>
        <w:left w:val="none" w:sz="0" w:space="0" w:color="auto"/>
        <w:bottom w:val="none" w:sz="0" w:space="0" w:color="auto"/>
        <w:right w:val="none" w:sz="0" w:space="0" w:color="auto"/>
      </w:divBdr>
    </w:div>
    <w:div w:id="125587088">
      <w:bodyDiv w:val="1"/>
      <w:marLeft w:val="0"/>
      <w:marRight w:val="0"/>
      <w:marTop w:val="0"/>
      <w:marBottom w:val="0"/>
      <w:divBdr>
        <w:top w:val="none" w:sz="0" w:space="0" w:color="auto"/>
        <w:left w:val="none" w:sz="0" w:space="0" w:color="auto"/>
        <w:bottom w:val="none" w:sz="0" w:space="0" w:color="auto"/>
        <w:right w:val="none" w:sz="0" w:space="0" w:color="auto"/>
      </w:divBdr>
    </w:div>
    <w:div w:id="126288935">
      <w:bodyDiv w:val="1"/>
      <w:marLeft w:val="0"/>
      <w:marRight w:val="0"/>
      <w:marTop w:val="0"/>
      <w:marBottom w:val="0"/>
      <w:divBdr>
        <w:top w:val="none" w:sz="0" w:space="0" w:color="auto"/>
        <w:left w:val="none" w:sz="0" w:space="0" w:color="auto"/>
        <w:bottom w:val="none" w:sz="0" w:space="0" w:color="auto"/>
        <w:right w:val="none" w:sz="0" w:space="0" w:color="auto"/>
      </w:divBdr>
    </w:div>
    <w:div w:id="126508858">
      <w:bodyDiv w:val="1"/>
      <w:marLeft w:val="0"/>
      <w:marRight w:val="0"/>
      <w:marTop w:val="0"/>
      <w:marBottom w:val="0"/>
      <w:divBdr>
        <w:top w:val="none" w:sz="0" w:space="0" w:color="auto"/>
        <w:left w:val="none" w:sz="0" w:space="0" w:color="auto"/>
        <w:bottom w:val="none" w:sz="0" w:space="0" w:color="auto"/>
        <w:right w:val="none" w:sz="0" w:space="0" w:color="auto"/>
      </w:divBdr>
    </w:div>
    <w:div w:id="127088345">
      <w:bodyDiv w:val="1"/>
      <w:marLeft w:val="0"/>
      <w:marRight w:val="0"/>
      <w:marTop w:val="0"/>
      <w:marBottom w:val="0"/>
      <w:divBdr>
        <w:top w:val="none" w:sz="0" w:space="0" w:color="auto"/>
        <w:left w:val="none" w:sz="0" w:space="0" w:color="auto"/>
        <w:bottom w:val="none" w:sz="0" w:space="0" w:color="auto"/>
        <w:right w:val="none" w:sz="0" w:space="0" w:color="auto"/>
      </w:divBdr>
    </w:div>
    <w:div w:id="127211113">
      <w:bodyDiv w:val="1"/>
      <w:marLeft w:val="0"/>
      <w:marRight w:val="0"/>
      <w:marTop w:val="0"/>
      <w:marBottom w:val="0"/>
      <w:divBdr>
        <w:top w:val="none" w:sz="0" w:space="0" w:color="auto"/>
        <w:left w:val="none" w:sz="0" w:space="0" w:color="auto"/>
        <w:bottom w:val="none" w:sz="0" w:space="0" w:color="auto"/>
        <w:right w:val="none" w:sz="0" w:space="0" w:color="auto"/>
      </w:divBdr>
    </w:div>
    <w:div w:id="127283369">
      <w:bodyDiv w:val="1"/>
      <w:marLeft w:val="0"/>
      <w:marRight w:val="0"/>
      <w:marTop w:val="0"/>
      <w:marBottom w:val="0"/>
      <w:divBdr>
        <w:top w:val="none" w:sz="0" w:space="0" w:color="auto"/>
        <w:left w:val="none" w:sz="0" w:space="0" w:color="auto"/>
        <w:bottom w:val="none" w:sz="0" w:space="0" w:color="auto"/>
        <w:right w:val="none" w:sz="0" w:space="0" w:color="auto"/>
      </w:divBdr>
    </w:div>
    <w:div w:id="127825403">
      <w:bodyDiv w:val="1"/>
      <w:marLeft w:val="0"/>
      <w:marRight w:val="0"/>
      <w:marTop w:val="0"/>
      <w:marBottom w:val="0"/>
      <w:divBdr>
        <w:top w:val="none" w:sz="0" w:space="0" w:color="auto"/>
        <w:left w:val="none" w:sz="0" w:space="0" w:color="auto"/>
        <w:bottom w:val="none" w:sz="0" w:space="0" w:color="auto"/>
        <w:right w:val="none" w:sz="0" w:space="0" w:color="auto"/>
      </w:divBdr>
    </w:div>
    <w:div w:id="129175757">
      <w:bodyDiv w:val="1"/>
      <w:marLeft w:val="0"/>
      <w:marRight w:val="0"/>
      <w:marTop w:val="0"/>
      <w:marBottom w:val="0"/>
      <w:divBdr>
        <w:top w:val="none" w:sz="0" w:space="0" w:color="auto"/>
        <w:left w:val="none" w:sz="0" w:space="0" w:color="auto"/>
        <w:bottom w:val="none" w:sz="0" w:space="0" w:color="auto"/>
        <w:right w:val="none" w:sz="0" w:space="0" w:color="auto"/>
      </w:divBdr>
    </w:div>
    <w:div w:id="132061429">
      <w:bodyDiv w:val="1"/>
      <w:marLeft w:val="0"/>
      <w:marRight w:val="0"/>
      <w:marTop w:val="0"/>
      <w:marBottom w:val="0"/>
      <w:divBdr>
        <w:top w:val="none" w:sz="0" w:space="0" w:color="auto"/>
        <w:left w:val="none" w:sz="0" w:space="0" w:color="auto"/>
        <w:bottom w:val="none" w:sz="0" w:space="0" w:color="auto"/>
        <w:right w:val="none" w:sz="0" w:space="0" w:color="auto"/>
      </w:divBdr>
    </w:div>
    <w:div w:id="132649308">
      <w:bodyDiv w:val="1"/>
      <w:marLeft w:val="0"/>
      <w:marRight w:val="0"/>
      <w:marTop w:val="0"/>
      <w:marBottom w:val="0"/>
      <w:divBdr>
        <w:top w:val="none" w:sz="0" w:space="0" w:color="auto"/>
        <w:left w:val="none" w:sz="0" w:space="0" w:color="auto"/>
        <w:bottom w:val="none" w:sz="0" w:space="0" w:color="auto"/>
        <w:right w:val="none" w:sz="0" w:space="0" w:color="auto"/>
      </w:divBdr>
    </w:div>
    <w:div w:id="133067224">
      <w:bodyDiv w:val="1"/>
      <w:marLeft w:val="0"/>
      <w:marRight w:val="0"/>
      <w:marTop w:val="0"/>
      <w:marBottom w:val="0"/>
      <w:divBdr>
        <w:top w:val="none" w:sz="0" w:space="0" w:color="auto"/>
        <w:left w:val="none" w:sz="0" w:space="0" w:color="auto"/>
        <w:bottom w:val="none" w:sz="0" w:space="0" w:color="auto"/>
        <w:right w:val="none" w:sz="0" w:space="0" w:color="auto"/>
      </w:divBdr>
    </w:div>
    <w:div w:id="133184860">
      <w:bodyDiv w:val="1"/>
      <w:marLeft w:val="0"/>
      <w:marRight w:val="0"/>
      <w:marTop w:val="0"/>
      <w:marBottom w:val="0"/>
      <w:divBdr>
        <w:top w:val="none" w:sz="0" w:space="0" w:color="auto"/>
        <w:left w:val="none" w:sz="0" w:space="0" w:color="auto"/>
        <w:bottom w:val="none" w:sz="0" w:space="0" w:color="auto"/>
        <w:right w:val="none" w:sz="0" w:space="0" w:color="auto"/>
      </w:divBdr>
    </w:div>
    <w:div w:id="133377554">
      <w:bodyDiv w:val="1"/>
      <w:marLeft w:val="0"/>
      <w:marRight w:val="0"/>
      <w:marTop w:val="0"/>
      <w:marBottom w:val="0"/>
      <w:divBdr>
        <w:top w:val="none" w:sz="0" w:space="0" w:color="auto"/>
        <w:left w:val="none" w:sz="0" w:space="0" w:color="auto"/>
        <w:bottom w:val="none" w:sz="0" w:space="0" w:color="auto"/>
        <w:right w:val="none" w:sz="0" w:space="0" w:color="auto"/>
      </w:divBdr>
    </w:div>
    <w:div w:id="133840888">
      <w:bodyDiv w:val="1"/>
      <w:marLeft w:val="0"/>
      <w:marRight w:val="0"/>
      <w:marTop w:val="0"/>
      <w:marBottom w:val="0"/>
      <w:divBdr>
        <w:top w:val="none" w:sz="0" w:space="0" w:color="auto"/>
        <w:left w:val="none" w:sz="0" w:space="0" w:color="auto"/>
        <w:bottom w:val="none" w:sz="0" w:space="0" w:color="auto"/>
        <w:right w:val="none" w:sz="0" w:space="0" w:color="auto"/>
      </w:divBdr>
    </w:div>
    <w:div w:id="134421268">
      <w:bodyDiv w:val="1"/>
      <w:marLeft w:val="0"/>
      <w:marRight w:val="0"/>
      <w:marTop w:val="0"/>
      <w:marBottom w:val="0"/>
      <w:divBdr>
        <w:top w:val="none" w:sz="0" w:space="0" w:color="auto"/>
        <w:left w:val="none" w:sz="0" w:space="0" w:color="auto"/>
        <w:bottom w:val="none" w:sz="0" w:space="0" w:color="auto"/>
        <w:right w:val="none" w:sz="0" w:space="0" w:color="auto"/>
      </w:divBdr>
    </w:div>
    <w:div w:id="134488758">
      <w:bodyDiv w:val="1"/>
      <w:marLeft w:val="0"/>
      <w:marRight w:val="0"/>
      <w:marTop w:val="0"/>
      <w:marBottom w:val="0"/>
      <w:divBdr>
        <w:top w:val="none" w:sz="0" w:space="0" w:color="auto"/>
        <w:left w:val="none" w:sz="0" w:space="0" w:color="auto"/>
        <w:bottom w:val="none" w:sz="0" w:space="0" w:color="auto"/>
        <w:right w:val="none" w:sz="0" w:space="0" w:color="auto"/>
      </w:divBdr>
    </w:div>
    <w:div w:id="134880311">
      <w:bodyDiv w:val="1"/>
      <w:marLeft w:val="0"/>
      <w:marRight w:val="0"/>
      <w:marTop w:val="0"/>
      <w:marBottom w:val="0"/>
      <w:divBdr>
        <w:top w:val="none" w:sz="0" w:space="0" w:color="auto"/>
        <w:left w:val="none" w:sz="0" w:space="0" w:color="auto"/>
        <w:bottom w:val="none" w:sz="0" w:space="0" w:color="auto"/>
        <w:right w:val="none" w:sz="0" w:space="0" w:color="auto"/>
      </w:divBdr>
    </w:div>
    <w:div w:id="135802131">
      <w:bodyDiv w:val="1"/>
      <w:marLeft w:val="0"/>
      <w:marRight w:val="0"/>
      <w:marTop w:val="0"/>
      <w:marBottom w:val="0"/>
      <w:divBdr>
        <w:top w:val="none" w:sz="0" w:space="0" w:color="auto"/>
        <w:left w:val="none" w:sz="0" w:space="0" w:color="auto"/>
        <w:bottom w:val="none" w:sz="0" w:space="0" w:color="auto"/>
        <w:right w:val="none" w:sz="0" w:space="0" w:color="auto"/>
      </w:divBdr>
    </w:div>
    <w:div w:id="135994313">
      <w:bodyDiv w:val="1"/>
      <w:marLeft w:val="0"/>
      <w:marRight w:val="0"/>
      <w:marTop w:val="0"/>
      <w:marBottom w:val="0"/>
      <w:divBdr>
        <w:top w:val="none" w:sz="0" w:space="0" w:color="auto"/>
        <w:left w:val="none" w:sz="0" w:space="0" w:color="auto"/>
        <w:bottom w:val="none" w:sz="0" w:space="0" w:color="auto"/>
        <w:right w:val="none" w:sz="0" w:space="0" w:color="auto"/>
      </w:divBdr>
    </w:div>
    <w:div w:id="136266106">
      <w:bodyDiv w:val="1"/>
      <w:marLeft w:val="0"/>
      <w:marRight w:val="0"/>
      <w:marTop w:val="0"/>
      <w:marBottom w:val="0"/>
      <w:divBdr>
        <w:top w:val="none" w:sz="0" w:space="0" w:color="auto"/>
        <w:left w:val="none" w:sz="0" w:space="0" w:color="auto"/>
        <w:bottom w:val="none" w:sz="0" w:space="0" w:color="auto"/>
        <w:right w:val="none" w:sz="0" w:space="0" w:color="auto"/>
      </w:divBdr>
    </w:div>
    <w:div w:id="137192561">
      <w:bodyDiv w:val="1"/>
      <w:marLeft w:val="0"/>
      <w:marRight w:val="0"/>
      <w:marTop w:val="0"/>
      <w:marBottom w:val="0"/>
      <w:divBdr>
        <w:top w:val="none" w:sz="0" w:space="0" w:color="auto"/>
        <w:left w:val="none" w:sz="0" w:space="0" w:color="auto"/>
        <w:bottom w:val="none" w:sz="0" w:space="0" w:color="auto"/>
        <w:right w:val="none" w:sz="0" w:space="0" w:color="auto"/>
      </w:divBdr>
    </w:div>
    <w:div w:id="137265110">
      <w:bodyDiv w:val="1"/>
      <w:marLeft w:val="0"/>
      <w:marRight w:val="0"/>
      <w:marTop w:val="0"/>
      <w:marBottom w:val="0"/>
      <w:divBdr>
        <w:top w:val="none" w:sz="0" w:space="0" w:color="auto"/>
        <w:left w:val="none" w:sz="0" w:space="0" w:color="auto"/>
        <w:bottom w:val="none" w:sz="0" w:space="0" w:color="auto"/>
        <w:right w:val="none" w:sz="0" w:space="0" w:color="auto"/>
      </w:divBdr>
    </w:div>
    <w:div w:id="137503620">
      <w:bodyDiv w:val="1"/>
      <w:marLeft w:val="0"/>
      <w:marRight w:val="0"/>
      <w:marTop w:val="0"/>
      <w:marBottom w:val="0"/>
      <w:divBdr>
        <w:top w:val="none" w:sz="0" w:space="0" w:color="auto"/>
        <w:left w:val="none" w:sz="0" w:space="0" w:color="auto"/>
        <w:bottom w:val="none" w:sz="0" w:space="0" w:color="auto"/>
        <w:right w:val="none" w:sz="0" w:space="0" w:color="auto"/>
      </w:divBdr>
    </w:div>
    <w:div w:id="137917959">
      <w:bodyDiv w:val="1"/>
      <w:marLeft w:val="0"/>
      <w:marRight w:val="0"/>
      <w:marTop w:val="0"/>
      <w:marBottom w:val="0"/>
      <w:divBdr>
        <w:top w:val="none" w:sz="0" w:space="0" w:color="auto"/>
        <w:left w:val="none" w:sz="0" w:space="0" w:color="auto"/>
        <w:bottom w:val="none" w:sz="0" w:space="0" w:color="auto"/>
        <w:right w:val="none" w:sz="0" w:space="0" w:color="auto"/>
      </w:divBdr>
    </w:div>
    <w:div w:id="138962461">
      <w:bodyDiv w:val="1"/>
      <w:marLeft w:val="0"/>
      <w:marRight w:val="0"/>
      <w:marTop w:val="0"/>
      <w:marBottom w:val="0"/>
      <w:divBdr>
        <w:top w:val="none" w:sz="0" w:space="0" w:color="auto"/>
        <w:left w:val="none" w:sz="0" w:space="0" w:color="auto"/>
        <w:bottom w:val="none" w:sz="0" w:space="0" w:color="auto"/>
        <w:right w:val="none" w:sz="0" w:space="0" w:color="auto"/>
      </w:divBdr>
    </w:div>
    <w:div w:id="140853297">
      <w:bodyDiv w:val="1"/>
      <w:marLeft w:val="0"/>
      <w:marRight w:val="0"/>
      <w:marTop w:val="0"/>
      <w:marBottom w:val="0"/>
      <w:divBdr>
        <w:top w:val="none" w:sz="0" w:space="0" w:color="auto"/>
        <w:left w:val="none" w:sz="0" w:space="0" w:color="auto"/>
        <w:bottom w:val="none" w:sz="0" w:space="0" w:color="auto"/>
        <w:right w:val="none" w:sz="0" w:space="0" w:color="auto"/>
      </w:divBdr>
    </w:div>
    <w:div w:id="143013593">
      <w:bodyDiv w:val="1"/>
      <w:marLeft w:val="0"/>
      <w:marRight w:val="0"/>
      <w:marTop w:val="0"/>
      <w:marBottom w:val="0"/>
      <w:divBdr>
        <w:top w:val="none" w:sz="0" w:space="0" w:color="auto"/>
        <w:left w:val="none" w:sz="0" w:space="0" w:color="auto"/>
        <w:bottom w:val="none" w:sz="0" w:space="0" w:color="auto"/>
        <w:right w:val="none" w:sz="0" w:space="0" w:color="auto"/>
      </w:divBdr>
    </w:div>
    <w:div w:id="143667544">
      <w:bodyDiv w:val="1"/>
      <w:marLeft w:val="0"/>
      <w:marRight w:val="0"/>
      <w:marTop w:val="0"/>
      <w:marBottom w:val="0"/>
      <w:divBdr>
        <w:top w:val="none" w:sz="0" w:space="0" w:color="auto"/>
        <w:left w:val="none" w:sz="0" w:space="0" w:color="auto"/>
        <w:bottom w:val="none" w:sz="0" w:space="0" w:color="auto"/>
        <w:right w:val="none" w:sz="0" w:space="0" w:color="auto"/>
      </w:divBdr>
    </w:div>
    <w:div w:id="144206296">
      <w:bodyDiv w:val="1"/>
      <w:marLeft w:val="0"/>
      <w:marRight w:val="0"/>
      <w:marTop w:val="0"/>
      <w:marBottom w:val="0"/>
      <w:divBdr>
        <w:top w:val="none" w:sz="0" w:space="0" w:color="auto"/>
        <w:left w:val="none" w:sz="0" w:space="0" w:color="auto"/>
        <w:bottom w:val="none" w:sz="0" w:space="0" w:color="auto"/>
        <w:right w:val="none" w:sz="0" w:space="0" w:color="auto"/>
      </w:divBdr>
    </w:div>
    <w:div w:id="144274524">
      <w:bodyDiv w:val="1"/>
      <w:marLeft w:val="0"/>
      <w:marRight w:val="0"/>
      <w:marTop w:val="0"/>
      <w:marBottom w:val="0"/>
      <w:divBdr>
        <w:top w:val="none" w:sz="0" w:space="0" w:color="auto"/>
        <w:left w:val="none" w:sz="0" w:space="0" w:color="auto"/>
        <w:bottom w:val="none" w:sz="0" w:space="0" w:color="auto"/>
        <w:right w:val="none" w:sz="0" w:space="0" w:color="auto"/>
      </w:divBdr>
    </w:div>
    <w:div w:id="144670108">
      <w:bodyDiv w:val="1"/>
      <w:marLeft w:val="0"/>
      <w:marRight w:val="0"/>
      <w:marTop w:val="0"/>
      <w:marBottom w:val="0"/>
      <w:divBdr>
        <w:top w:val="none" w:sz="0" w:space="0" w:color="auto"/>
        <w:left w:val="none" w:sz="0" w:space="0" w:color="auto"/>
        <w:bottom w:val="none" w:sz="0" w:space="0" w:color="auto"/>
        <w:right w:val="none" w:sz="0" w:space="0" w:color="auto"/>
      </w:divBdr>
    </w:div>
    <w:div w:id="145362452">
      <w:bodyDiv w:val="1"/>
      <w:marLeft w:val="0"/>
      <w:marRight w:val="0"/>
      <w:marTop w:val="0"/>
      <w:marBottom w:val="0"/>
      <w:divBdr>
        <w:top w:val="none" w:sz="0" w:space="0" w:color="auto"/>
        <w:left w:val="none" w:sz="0" w:space="0" w:color="auto"/>
        <w:bottom w:val="none" w:sz="0" w:space="0" w:color="auto"/>
        <w:right w:val="none" w:sz="0" w:space="0" w:color="auto"/>
      </w:divBdr>
    </w:div>
    <w:div w:id="145509977">
      <w:bodyDiv w:val="1"/>
      <w:marLeft w:val="0"/>
      <w:marRight w:val="0"/>
      <w:marTop w:val="0"/>
      <w:marBottom w:val="0"/>
      <w:divBdr>
        <w:top w:val="none" w:sz="0" w:space="0" w:color="auto"/>
        <w:left w:val="none" w:sz="0" w:space="0" w:color="auto"/>
        <w:bottom w:val="none" w:sz="0" w:space="0" w:color="auto"/>
        <w:right w:val="none" w:sz="0" w:space="0" w:color="auto"/>
      </w:divBdr>
    </w:div>
    <w:div w:id="146170908">
      <w:bodyDiv w:val="1"/>
      <w:marLeft w:val="0"/>
      <w:marRight w:val="0"/>
      <w:marTop w:val="0"/>
      <w:marBottom w:val="0"/>
      <w:divBdr>
        <w:top w:val="none" w:sz="0" w:space="0" w:color="auto"/>
        <w:left w:val="none" w:sz="0" w:space="0" w:color="auto"/>
        <w:bottom w:val="none" w:sz="0" w:space="0" w:color="auto"/>
        <w:right w:val="none" w:sz="0" w:space="0" w:color="auto"/>
      </w:divBdr>
    </w:div>
    <w:div w:id="146363725">
      <w:bodyDiv w:val="1"/>
      <w:marLeft w:val="0"/>
      <w:marRight w:val="0"/>
      <w:marTop w:val="0"/>
      <w:marBottom w:val="0"/>
      <w:divBdr>
        <w:top w:val="none" w:sz="0" w:space="0" w:color="auto"/>
        <w:left w:val="none" w:sz="0" w:space="0" w:color="auto"/>
        <w:bottom w:val="none" w:sz="0" w:space="0" w:color="auto"/>
        <w:right w:val="none" w:sz="0" w:space="0" w:color="auto"/>
      </w:divBdr>
    </w:div>
    <w:div w:id="147014903">
      <w:bodyDiv w:val="1"/>
      <w:marLeft w:val="0"/>
      <w:marRight w:val="0"/>
      <w:marTop w:val="0"/>
      <w:marBottom w:val="0"/>
      <w:divBdr>
        <w:top w:val="none" w:sz="0" w:space="0" w:color="auto"/>
        <w:left w:val="none" w:sz="0" w:space="0" w:color="auto"/>
        <w:bottom w:val="none" w:sz="0" w:space="0" w:color="auto"/>
        <w:right w:val="none" w:sz="0" w:space="0" w:color="auto"/>
      </w:divBdr>
    </w:div>
    <w:div w:id="147019256">
      <w:bodyDiv w:val="1"/>
      <w:marLeft w:val="0"/>
      <w:marRight w:val="0"/>
      <w:marTop w:val="0"/>
      <w:marBottom w:val="0"/>
      <w:divBdr>
        <w:top w:val="none" w:sz="0" w:space="0" w:color="auto"/>
        <w:left w:val="none" w:sz="0" w:space="0" w:color="auto"/>
        <w:bottom w:val="none" w:sz="0" w:space="0" w:color="auto"/>
        <w:right w:val="none" w:sz="0" w:space="0" w:color="auto"/>
      </w:divBdr>
    </w:div>
    <w:div w:id="147594194">
      <w:bodyDiv w:val="1"/>
      <w:marLeft w:val="0"/>
      <w:marRight w:val="0"/>
      <w:marTop w:val="0"/>
      <w:marBottom w:val="0"/>
      <w:divBdr>
        <w:top w:val="none" w:sz="0" w:space="0" w:color="auto"/>
        <w:left w:val="none" w:sz="0" w:space="0" w:color="auto"/>
        <w:bottom w:val="none" w:sz="0" w:space="0" w:color="auto"/>
        <w:right w:val="none" w:sz="0" w:space="0" w:color="auto"/>
      </w:divBdr>
    </w:div>
    <w:div w:id="147786802">
      <w:bodyDiv w:val="1"/>
      <w:marLeft w:val="0"/>
      <w:marRight w:val="0"/>
      <w:marTop w:val="0"/>
      <w:marBottom w:val="0"/>
      <w:divBdr>
        <w:top w:val="none" w:sz="0" w:space="0" w:color="auto"/>
        <w:left w:val="none" w:sz="0" w:space="0" w:color="auto"/>
        <w:bottom w:val="none" w:sz="0" w:space="0" w:color="auto"/>
        <w:right w:val="none" w:sz="0" w:space="0" w:color="auto"/>
      </w:divBdr>
    </w:div>
    <w:div w:id="148206311">
      <w:bodyDiv w:val="1"/>
      <w:marLeft w:val="0"/>
      <w:marRight w:val="0"/>
      <w:marTop w:val="0"/>
      <w:marBottom w:val="0"/>
      <w:divBdr>
        <w:top w:val="none" w:sz="0" w:space="0" w:color="auto"/>
        <w:left w:val="none" w:sz="0" w:space="0" w:color="auto"/>
        <w:bottom w:val="none" w:sz="0" w:space="0" w:color="auto"/>
        <w:right w:val="none" w:sz="0" w:space="0" w:color="auto"/>
      </w:divBdr>
    </w:div>
    <w:div w:id="148330733">
      <w:bodyDiv w:val="1"/>
      <w:marLeft w:val="0"/>
      <w:marRight w:val="0"/>
      <w:marTop w:val="0"/>
      <w:marBottom w:val="0"/>
      <w:divBdr>
        <w:top w:val="none" w:sz="0" w:space="0" w:color="auto"/>
        <w:left w:val="none" w:sz="0" w:space="0" w:color="auto"/>
        <w:bottom w:val="none" w:sz="0" w:space="0" w:color="auto"/>
        <w:right w:val="none" w:sz="0" w:space="0" w:color="auto"/>
      </w:divBdr>
    </w:div>
    <w:div w:id="148592485">
      <w:bodyDiv w:val="1"/>
      <w:marLeft w:val="0"/>
      <w:marRight w:val="0"/>
      <w:marTop w:val="0"/>
      <w:marBottom w:val="0"/>
      <w:divBdr>
        <w:top w:val="none" w:sz="0" w:space="0" w:color="auto"/>
        <w:left w:val="none" w:sz="0" w:space="0" w:color="auto"/>
        <w:bottom w:val="none" w:sz="0" w:space="0" w:color="auto"/>
        <w:right w:val="none" w:sz="0" w:space="0" w:color="auto"/>
      </w:divBdr>
    </w:div>
    <w:div w:id="149642670">
      <w:bodyDiv w:val="1"/>
      <w:marLeft w:val="0"/>
      <w:marRight w:val="0"/>
      <w:marTop w:val="0"/>
      <w:marBottom w:val="0"/>
      <w:divBdr>
        <w:top w:val="none" w:sz="0" w:space="0" w:color="auto"/>
        <w:left w:val="none" w:sz="0" w:space="0" w:color="auto"/>
        <w:bottom w:val="none" w:sz="0" w:space="0" w:color="auto"/>
        <w:right w:val="none" w:sz="0" w:space="0" w:color="auto"/>
      </w:divBdr>
    </w:div>
    <w:div w:id="152643352">
      <w:bodyDiv w:val="1"/>
      <w:marLeft w:val="0"/>
      <w:marRight w:val="0"/>
      <w:marTop w:val="0"/>
      <w:marBottom w:val="0"/>
      <w:divBdr>
        <w:top w:val="none" w:sz="0" w:space="0" w:color="auto"/>
        <w:left w:val="none" w:sz="0" w:space="0" w:color="auto"/>
        <w:bottom w:val="none" w:sz="0" w:space="0" w:color="auto"/>
        <w:right w:val="none" w:sz="0" w:space="0" w:color="auto"/>
      </w:divBdr>
    </w:div>
    <w:div w:id="153298732">
      <w:bodyDiv w:val="1"/>
      <w:marLeft w:val="0"/>
      <w:marRight w:val="0"/>
      <w:marTop w:val="0"/>
      <w:marBottom w:val="0"/>
      <w:divBdr>
        <w:top w:val="none" w:sz="0" w:space="0" w:color="auto"/>
        <w:left w:val="none" w:sz="0" w:space="0" w:color="auto"/>
        <w:bottom w:val="none" w:sz="0" w:space="0" w:color="auto"/>
        <w:right w:val="none" w:sz="0" w:space="0" w:color="auto"/>
      </w:divBdr>
    </w:div>
    <w:div w:id="153377116">
      <w:bodyDiv w:val="1"/>
      <w:marLeft w:val="0"/>
      <w:marRight w:val="0"/>
      <w:marTop w:val="0"/>
      <w:marBottom w:val="0"/>
      <w:divBdr>
        <w:top w:val="none" w:sz="0" w:space="0" w:color="auto"/>
        <w:left w:val="none" w:sz="0" w:space="0" w:color="auto"/>
        <w:bottom w:val="none" w:sz="0" w:space="0" w:color="auto"/>
        <w:right w:val="none" w:sz="0" w:space="0" w:color="auto"/>
      </w:divBdr>
    </w:div>
    <w:div w:id="154688930">
      <w:bodyDiv w:val="1"/>
      <w:marLeft w:val="0"/>
      <w:marRight w:val="0"/>
      <w:marTop w:val="0"/>
      <w:marBottom w:val="0"/>
      <w:divBdr>
        <w:top w:val="none" w:sz="0" w:space="0" w:color="auto"/>
        <w:left w:val="none" w:sz="0" w:space="0" w:color="auto"/>
        <w:bottom w:val="none" w:sz="0" w:space="0" w:color="auto"/>
        <w:right w:val="none" w:sz="0" w:space="0" w:color="auto"/>
      </w:divBdr>
    </w:div>
    <w:div w:id="154732977">
      <w:bodyDiv w:val="1"/>
      <w:marLeft w:val="0"/>
      <w:marRight w:val="0"/>
      <w:marTop w:val="0"/>
      <w:marBottom w:val="0"/>
      <w:divBdr>
        <w:top w:val="none" w:sz="0" w:space="0" w:color="auto"/>
        <w:left w:val="none" w:sz="0" w:space="0" w:color="auto"/>
        <w:bottom w:val="none" w:sz="0" w:space="0" w:color="auto"/>
        <w:right w:val="none" w:sz="0" w:space="0" w:color="auto"/>
      </w:divBdr>
    </w:div>
    <w:div w:id="154801981">
      <w:bodyDiv w:val="1"/>
      <w:marLeft w:val="0"/>
      <w:marRight w:val="0"/>
      <w:marTop w:val="0"/>
      <w:marBottom w:val="0"/>
      <w:divBdr>
        <w:top w:val="none" w:sz="0" w:space="0" w:color="auto"/>
        <w:left w:val="none" w:sz="0" w:space="0" w:color="auto"/>
        <w:bottom w:val="none" w:sz="0" w:space="0" w:color="auto"/>
        <w:right w:val="none" w:sz="0" w:space="0" w:color="auto"/>
      </w:divBdr>
    </w:div>
    <w:div w:id="155728937">
      <w:bodyDiv w:val="1"/>
      <w:marLeft w:val="0"/>
      <w:marRight w:val="0"/>
      <w:marTop w:val="0"/>
      <w:marBottom w:val="0"/>
      <w:divBdr>
        <w:top w:val="none" w:sz="0" w:space="0" w:color="auto"/>
        <w:left w:val="none" w:sz="0" w:space="0" w:color="auto"/>
        <w:bottom w:val="none" w:sz="0" w:space="0" w:color="auto"/>
        <w:right w:val="none" w:sz="0" w:space="0" w:color="auto"/>
      </w:divBdr>
    </w:div>
    <w:div w:id="156573766">
      <w:bodyDiv w:val="1"/>
      <w:marLeft w:val="0"/>
      <w:marRight w:val="0"/>
      <w:marTop w:val="0"/>
      <w:marBottom w:val="0"/>
      <w:divBdr>
        <w:top w:val="none" w:sz="0" w:space="0" w:color="auto"/>
        <w:left w:val="none" w:sz="0" w:space="0" w:color="auto"/>
        <w:bottom w:val="none" w:sz="0" w:space="0" w:color="auto"/>
        <w:right w:val="none" w:sz="0" w:space="0" w:color="auto"/>
      </w:divBdr>
    </w:div>
    <w:div w:id="157842807">
      <w:bodyDiv w:val="1"/>
      <w:marLeft w:val="0"/>
      <w:marRight w:val="0"/>
      <w:marTop w:val="0"/>
      <w:marBottom w:val="0"/>
      <w:divBdr>
        <w:top w:val="none" w:sz="0" w:space="0" w:color="auto"/>
        <w:left w:val="none" w:sz="0" w:space="0" w:color="auto"/>
        <w:bottom w:val="none" w:sz="0" w:space="0" w:color="auto"/>
        <w:right w:val="none" w:sz="0" w:space="0" w:color="auto"/>
      </w:divBdr>
    </w:div>
    <w:div w:id="158233429">
      <w:bodyDiv w:val="1"/>
      <w:marLeft w:val="0"/>
      <w:marRight w:val="0"/>
      <w:marTop w:val="0"/>
      <w:marBottom w:val="0"/>
      <w:divBdr>
        <w:top w:val="none" w:sz="0" w:space="0" w:color="auto"/>
        <w:left w:val="none" w:sz="0" w:space="0" w:color="auto"/>
        <w:bottom w:val="none" w:sz="0" w:space="0" w:color="auto"/>
        <w:right w:val="none" w:sz="0" w:space="0" w:color="auto"/>
      </w:divBdr>
    </w:div>
    <w:div w:id="159006232">
      <w:bodyDiv w:val="1"/>
      <w:marLeft w:val="0"/>
      <w:marRight w:val="0"/>
      <w:marTop w:val="0"/>
      <w:marBottom w:val="0"/>
      <w:divBdr>
        <w:top w:val="none" w:sz="0" w:space="0" w:color="auto"/>
        <w:left w:val="none" w:sz="0" w:space="0" w:color="auto"/>
        <w:bottom w:val="none" w:sz="0" w:space="0" w:color="auto"/>
        <w:right w:val="none" w:sz="0" w:space="0" w:color="auto"/>
      </w:divBdr>
    </w:div>
    <w:div w:id="159275462">
      <w:bodyDiv w:val="1"/>
      <w:marLeft w:val="0"/>
      <w:marRight w:val="0"/>
      <w:marTop w:val="0"/>
      <w:marBottom w:val="0"/>
      <w:divBdr>
        <w:top w:val="none" w:sz="0" w:space="0" w:color="auto"/>
        <w:left w:val="none" w:sz="0" w:space="0" w:color="auto"/>
        <w:bottom w:val="none" w:sz="0" w:space="0" w:color="auto"/>
        <w:right w:val="none" w:sz="0" w:space="0" w:color="auto"/>
      </w:divBdr>
    </w:div>
    <w:div w:id="159932158">
      <w:bodyDiv w:val="1"/>
      <w:marLeft w:val="0"/>
      <w:marRight w:val="0"/>
      <w:marTop w:val="0"/>
      <w:marBottom w:val="0"/>
      <w:divBdr>
        <w:top w:val="none" w:sz="0" w:space="0" w:color="auto"/>
        <w:left w:val="none" w:sz="0" w:space="0" w:color="auto"/>
        <w:bottom w:val="none" w:sz="0" w:space="0" w:color="auto"/>
        <w:right w:val="none" w:sz="0" w:space="0" w:color="auto"/>
      </w:divBdr>
    </w:div>
    <w:div w:id="160126395">
      <w:bodyDiv w:val="1"/>
      <w:marLeft w:val="0"/>
      <w:marRight w:val="0"/>
      <w:marTop w:val="0"/>
      <w:marBottom w:val="0"/>
      <w:divBdr>
        <w:top w:val="none" w:sz="0" w:space="0" w:color="auto"/>
        <w:left w:val="none" w:sz="0" w:space="0" w:color="auto"/>
        <w:bottom w:val="none" w:sz="0" w:space="0" w:color="auto"/>
        <w:right w:val="none" w:sz="0" w:space="0" w:color="auto"/>
      </w:divBdr>
    </w:div>
    <w:div w:id="160245368">
      <w:bodyDiv w:val="1"/>
      <w:marLeft w:val="0"/>
      <w:marRight w:val="0"/>
      <w:marTop w:val="0"/>
      <w:marBottom w:val="0"/>
      <w:divBdr>
        <w:top w:val="none" w:sz="0" w:space="0" w:color="auto"/>
        <w:left w:val="none" w:sz="0" w:space="0" w:color="auto"/>
        <w:bottom w:val="none" w:sz="0" w:space="0" w:color="auto"/>
        <w:right w:val="none" w:sz="0" w:space="0" w:color="auto"/>
      </w:divBdr>
    </w:div>
    <w:div w:id="160433358">
      <w:bodyDiv w:val="1"/>
      <w:marLeft w:val="0"/>
      <w:marRight w:val="0"/>
      <w:marTop w:val="0"/>
      <w:marBottom w:val="0"/>
      <w:divBdr>
        <w:top w:val="none" w:sz="0" w:space="0" w:color="auto"/>
        <w:left w:val="none" w:sz="0" w:space="0" w:color="auto"/>
        <w:bottom w:val="none" w:sz="0" w:space="0" w:color="auto"/>
        <w:right w:val="none" w:sz="0" w:space="0" w:color="auto"/>
      </w:divBdr>
    </w:div>
    <w:div w:id="160582668">
      <w:bodyDiv w:val="1"/>
      <w:marLeft w:val="0"/>
      <w:marRight w:val="0"/>
      <w:marTop w:val="0"/>
      <w:marBottom w:val="0"/>
      <w:divBdr>
        <w:top w:val="none" w:sz="0" w:space="0" w:color="auto"/>
        <w:left w:val="none" w:sz="0" w:space="0" w:color="auto"/>
        <w:bottom w:val="none" w:sz="0" w:space="0" w:color="auto"/>
        <w:right w:val="none" w:sz="0" w:space="0" w:color="auto"/>
      </w:divBdr>
    </w:div>
    <w:div w:id="161361628">
      <w:bodyDiv w:val="1"/>
      <w:marLeft w:val="0"/>
      <w:marRight w:val="0"/>
      <w:marTop w:val="0"/>
      <w:marBottom w:val="0"/>
      <w:divBdr>
        <w:top w:val="none" w:sz="0" w:space="0" w:color="auto"/>
        <w:left w:val="none" w:sz="0" w:space="0" w:color="auto"/>
        <w:bottom w:val="none" w:sz="0" w:space="0" w:color="auto"/>
        <w:right w:val="none" w:sz="0" w:space="0" w:color="auto"/>
      </w:divBdr>
    </w:div>
    <w:div w:id="162203181">
      <w:bodyDiv w:val="1"/>
      <w:marLeft w:val="0"/>
      <w:marRight w:val="0"/>
      <w:marTop w:val="0"/>
      <w:marBottom w:val="0"/>
      <w:divBdr>
        <w:top w:val="none" w:sz="0" w:space="0" w:color="auto"/>
        <w:left w:val="none" w:sz="0" w:space="0" w:color="auto"/>
        <w:bottom w:val="none" w:sz="0" w:space="0" w:color="auto"/>
        <w:right w:val="none" w:sz="0" w:space="0" w:color="auto"/>
      </w:divBdr>
    </w:div>
    <w:div w:id="163011449">
      <w:bodyDiv w:val="1"/>
      <w:marLeft w:val="0"/>
      <w:marRight w:val="0"/>
      <w:marTop w:val="0"/>
      <w:marBottom w:val="0"/>
      <w:divBdr>
        <w:top w:val="none" w:sz="0" w:space="0" w:color="auto"/>
        <w:left w:val="none" w:sz="0" w:space="0" w:color="auto"/>
        <w:bottom w:val="none" w:sz="0" w:space="0" w:color="auto"/>
        <w:right w:val="none" w:sz="0" w:space="0" w:color="auto"/>
      </w:divBdr>
    </w:div>
    <w:div w:id="163203021">
      <w:bodyDiv w:val="1"/>
      <w:marLeft w:val="0"/>
      <w:marRight w:val="0"/>
      <w:marTop w:val="0"/>
      <w:marBottom w:val="0"/>
      <w:divBdr>
        <w:top w:val="none" w:sz="0" w:space="0" w:color="auto"/>
        <w:left w:val="none" w:sz="0" w:space="0" w:color="auto"/>
        <w:bottom w:val="none" w:sz="0" w:space="0" w:color="auto"/>
        <w:right w:val="none" w:sz="0" w:space="0" w:color="auto"/>
      </w:divBdr>
    </w:div>
    <w:div w:id="163741197">
      <w:bodyDiv w:val="1"/>
      <w:marLeft w:val="0"/>
      <w:marRight w:val="0"/>
      <w:marTop w:val="0"/>
      <w:marBottom w:val="0"/>
      <w:divBdr>
        <w:top w:val="none" w:sz="0" w:space="0" w:color="auto"/>
        <w:left w:val="none" w:sz="0" w:space="0" w:color="auto"/>
        <w:bottom w:val="none" w:sz="0" w:space="0" w:color="auto"/>
        <w:right w:val="none" w:sz="0" w:space="0" w:color="auto"/>
      </w:divBdr>
    </w:div>
    <w:div w:id="165560717">
      <w:bodyDiv w:val="1"/>
      <w:marLeft w:val="0"/>
      <w:marRight w:val="0"/>
      <w:marTop w:val="0"/>
      <w:marBottom w:val="0"/>
      <w:divBdr>
        <w:top w:val="none" w:sz="0" w:space="0" w:color="auto"/>
        <w:left w:val="none" w:sz="0" w:space="0" w:color="auto"/>
        <w:bottom w:val="none" w:sz="0" w:space="0" w:color="auto"/>
        <w:right w:val="none" w:sz="0" w:space="0" w:color="auto"/>
      </w:divBdr>
    </w:div>
    <w:div w:id="166096817">
      <w:bodyDiv w:val="1"/>
      <w:marLeft w:val="0"/>
      <w:marRight w:val="0"/>
      <w:marTop w:val="0"/>
      <w:marBottom w:val="0"/>
      <w:divBdr>
        <w:top w:val="none" w:sz="0" w:space="0" w:color="auto"/>
        <w:left w:val="none" w:sz="0" w:space="0" w:color="auto"/>
        <w:bottom w:val="none" w:sz="0" w:space="0" w:color="auto"/>
        <w:right w:val="none" w:sz="0" w:space="0" w:color="auto"/>
      </w:divBdr>
    </w:div>
    <w:div w:id="166289526">
      <w:bodyDiv w:val="1"/>
      <w:marLeft w:val="0"/>
      <w:marRight w:val="0"/>
      <w:marTop w:val="0"/>
      <w:marBottom w:val="0"/>
      <w:divBdr>
        <w:top w:val="none" w:sz="0" w:space="0" w:color="auto"/>
        <w:left w:val="none" w:sz="0" w:space="0" w:color="auto"/>
        <w:bottom w:val="none" w:sz="0" w:space="0" w:color="auto"/>
        <w:right w:val="none" w:sz="0" w:space="0" w:color="auto"/>
      </w:divBdr>
    </w:div>
    <w:div w:id="166333367">
      <w:bodyDiv w:val="1"/>
      <w:marLeft w:val="0"/>
      <w:marRight w:val="0"/>
      <w:marTop w:val="0"/>
      <w:marBottom w:val="0"/>
      <w:divBdr>
        <w:top w:val="none" w:sz="0" w:space="0" w:color="auto"/>
        <w:left w:val="none" w:sz="0" w:space="0" w:color="auto"/>
        <w:bottom w:val="none" w:sz="0" w:space="0" w:color="auto"/>
        <w:right w:val="none" w:sz="0" w:space="0" w:color="auto"/>
      </w:divBdr>
    </w:div>
    <w:div w:id="166598080">
      <w:bodyDiv w:val="1"/>
      <w:marLeft w:val="0"/>
      <w:marRight w:val="0"/>
      <w:marTop w:val="0"/>
      <w:marBottom w:val="0"/>
      <w:divBdr>
        <w:top w:val="none" w:sz="0" w:space="0" w:color="auto"/>
        <w:left w:val="none" w:sz="0" w:space="0" w:color="auto"/>
        <w:bottom w:val="none" w:sz="0" w:space="0" w:color="auto"/>
        <w:right w:val="none" w:sz="0" w:space="0" w:color="auto"/>
      </w:divBdr>
    </w:div>
    <w:div w:id="167671245">
      <w:bodyDiv w:val="1"/>
      <w:marLeft w:val="0"/>
      <w:marRight w:val="0"/>
      <w:marTop w:val="0"/>
      <w:marBottom w:val="0"/>
      <w:divBdr>
        <w:top w:val="none" w:sz="0" w:space="0" w:color="auto"/>
        <w:left w:val="none" w:sz="0" w:space="0" w:color="auto"/>
        <w:bottom w:val="none" w:sz="0" w:space="0" w:color="auto"/>
        <w:right w:val="none" w:sz="0" w:space="0" w:color="auto"/>
      </w:divBdr>
    </w:div>
    <w:div w:id="168640973">
      <w:bodyDiv w:val="1"/>
      <w:marLeft w:val="0"/>
      <w:marRight w:val="0"/>
      <w:marTop w:val="0"/>
      <w:marBottom w:val="0"/>
      <w:divBdr>
        <w:top w:val="none" w:sz="0" w:space="0" w:color="auto"/>
        <w:left w:val="none" w:sz="0" w:space="0" w:color="auto"/>
        <w:bottom w:val="none" w:sz="0" w:space="0" w:color="auto"/>
        <w:right w:val="none" w:sz="0" w:space="0" w:color="auto"/>
      </w:divBdr>
    </w:div>
    <w:div w:id="168906026">
      <w:bodyDiv w:val="1"/>
      <w:marLeft w:val="0"/>
      <w:marRight w:val="0"/>
      <w:marTop w:val="0"/>
      <w:marBottom w:val="0"/>
      <w:divBdr>
        <w:top w:val="none" w:sz="0" w:space="0" w:color="auto"/>
        <w:left w:val="none" w:sz="0" w:space="0" w:color="auto"/>
        <w:bottom w:val="none" w:sz="0" w:space="0" w:color="auto"/>
        <w:right w:val="none" w:sz="0" w:space="0" w:color="auto"/>
      </w:divBdr>
    </w:div>
    <w:div w:id="168908894">
      <w:bodyDiv w:val="1"/>
      <w:marLeft w:val="0"/>
      <w:marRight w:val="0"/>
      <w:marTop w:val="0"/>
      <w:marBottom w:val="0"/>
      <w:divBdr>
        <w:top w:val="none" w:sz="0" w:space="0" w:color="auto"/>
        <w:left w:val="none" w:sz="0" w:space="0" w:color="auto"/>
        <w:bottom w:val="none" w:sz="0" w:space="0" w:color="auto"/>
        <w:right w:val="none" w:sz="0" w:space="0" w:color="auto"/>
      </w:divBdr>
    </w:div>
    <w:div w:id="170217386">
      <w:bodyDiv w:val="1"/>
      <w:marLeft w:val="0"/>
      <w:marRight w:val="0"/>
      <w:marTop w:val="0"/>
      <w:marBottom w:val="0"/>
      <w:divBdr>
        <w:top w:val="none" w:sz="0" w:space="0" w:color="auto"/>
        <w:left w:val="none" w:sz="0" w:space="0" w:color="auto"/>
        <w:bottom w:val="none" w:sz="0" w:space="0" w:color="auto"/>
        <w:right w:val="none" w:sz="0" w:space="0" w:color="auto"/>
      </w:divBdr>
    </w:div>
    <w:div w:id="170221770">
      <w:bodyDiv w:val="1"/>
      <w:marLeft w:val="0"/>
      <w:marRight w:val="0"/>
      <w:marTop w:val="0"/>
      <w:marBottom w:val="0"/>
      <w:divBdr>
        <w:top w:val="none" w:sz="0" w:space="0" w:color="auto"/>
        <w:left w:val="none" w:sz="0" w:space="0" w:color="auto"/>
        <w:bottom w:val="none" w:sz="0" w:space="0" w:color="auto"/>
        <w:right w:val="none" w:sz="0" w:space="0" w:color="auto"/>
      </w:divBdr>
    </w:div>
    <w:div w:id="170265390">
      <w:bodyDiv w:val="1"/>
      <w:marLeft w:val="0"/>
      <w:marRight w:val="0"/>
      <w:marTop w:val="0"/>
      <w:marBottom w:val="0"/>
      <w:divBdr>
        <w:top w:val="none" w:sz="0" w:space="0" w:color="auto"/>
        <w:left w:val="none" w:sz="0" w:space="0" w:color="auto"/>
        <w:bottom w:val="none" w:sz="0" w:space="0" w:color="auto"/>
        <w:right w:val="none" w:sz="0" w:space="0" w:color="auto"/>
      </w:divBdr>
    </w:div>
    <w:div w:id="170797634">
      <w:bodyDiv w:val="1"/>
      <w:marLeft w:val="0"/>
      <w:marRight w:val="0"/>
      <w:marTop w:val="0"/>
      <w:marBottom w:val="0"/>
      <w:divBdr>
        <w:top w:val="none" w:sz="0" w:space="0" w:color="auto"/>
        <w:left w:val="none" w:sz="0" w:space="0" w:color="auto"/>
        <w:bottom w:val="none" w:sz="0" w:space="0" w:color="auto"/>
        <w:right w:val="none" w:sz="0" w:space="0" w:color="auto"/>
      </w:divBdr>
    </w:div>
    <w:div w:id="170994473">
      <w:bodyDiv w:val="1"/>
      <w:marLeft w:val="0"/>
      <w:marRight w:val="0"/>
      <w:marTop w:val="0"/>
      <w:marBottom w:val="0"/>
      <w:divBdr>
        <w:top w:val="none" w:sz="0" w:space="0" w:color="auto"/>
        <w:left w:val="none" w:sz="0" w:space="0" w:color="auto"/>
        <w:bottom w:val="none" w:sz="0" w:space="0" w:color="auto"/>
        <w:right w:val="none" w:sz="0" w:space="0" w:color="auto"/>
      </w:divBdr>
    </w:div>
    <w:div w:id="171533227">
      <w:bodyDiv w:val="1"/>
      <w:marLeft w:val="0"/>
      <w:marRight w:val="0"/>
      <w:marTop w:val="0"/>
      <w:marBottom w:val="0"/>
      <w:divBdr>
        <w:top w:val="none" w:sz="0" w:space="0" w:color="auto"/>
        <w:left w:val="none" w:sz="0" w:space="0" w:color="auto"/>
        <w:bottom w:val="none" w:sz="0" w:space="0" w:color="auto"/>
        <w:right w:val="none" w:sz="0" w:space="0" w:color="auto"/>
      </w:divBdr>
    </w:div>
    <w:div w:id="171998323">
      <w:bodyDiv w:val="1"/>
      <w:marLeft w:val="0"/>
      <w:marRight w:val="0"/>
      <w:marTop w:val="0"/>
      <w:marBottom w:val="0"/>
      <w:divBdr>
        <w:top w:val="none" w:sz="0" w:space="0" w:color="auto"/>
        <w:left w:val="none" w:sz="0" w:space="0" w:color="auto"/>
        <w:bottom w:val="none" w:sz="0" w:space="0" w:color="auto"/>
        <w:right w:val="none" w:sz="0" w:space="0" w:color="auto"/>
      </w:divBdr>
    </w:div>
    <w:div w:id="172957583">
      <w:bodyDiv w:val="1"/>
      <w:marLeft w:val="0"/>
      <w:marRight w:val="0"/>
      <w:marTop w:val="0"/>
      <w:marBottom w:val="0"/>
      <w:divBdr>
        <w:top w:val="none" w:sz="0" w:space="0" w:color="auto"/>
        <w:left w:val="none" w:sz="0" w:space="0" w:color="auto"/>
        <w:bottom w:val="none" w:sz="0" w:space="0" w:color="auto"/>
        <w:right w:val="none" w:sz="0" w:space="0" w:color="auto"/>
      </w:divBdr>
    </w:div>
    <w:div w:id="174077909">
      <w:bodyDiv w:val="1"/>
      <w:marLeft w:val="0"/>
      <w:marRight w:val="0"/>
      <w:marTop w:val="0"/>
      <w:marBottom w:val="0"/>
      <w:divBdr>
        <w:top w:val="none" w:sz="0" w:space="0" w:color="auto"/>
        <w:left w:val="none" w:sz="0" w:space="0" w:color="auto"/>
        <w:bottom w:val="none" w:sz="0" w:space="0" w:color="auto"/>
        <w:right w:val="none" w:sz="0" w:space="0" w:color="auto"/>
      </w:divBdr>
    </w:div>
    <w:div w:id="175269267">
      <w:bodyDiv w:val="1"/>
      <w:marLeft w:val="0"/>
      <w:marRight w:val="0"/>
      <w:marTop w:val="0"/>
      <w:marBottom w:val="0"/>
      <w:divBdr>
        <w:top w:val="none" w:sz="0" w:space="0" w:color="auto"/>
        <w:left w:val="none" w:sz="0" w:space="0" w:color="auto"/>
        <w:bottom w:val="none" w:sz="0" w:space="0" w:color="auto"/>
        <w:right w:val="none" w:sz="0" w:space="0" w:color="auto"/>
      </w:divBdr>
    </w:div>
    <w:div w:id="176309130">
      <w:bodyDiv w:val="1"/>
      <w:marLeft w:val="0"/>
      <w:marRight w:val="0"/>
      <w:marTop w:val="0"/>
      <w:marBottom w:val="0"/>
      <w:divBdr>
        <w:top w:val="none" w:sz="0" w:space="0" w:color="auto"/>
        <w:left w:val="none" w:sz="0" w:space="0" w:color="auto"/>
        <w:bottom w:val="none" w:sz="0" w:space="0" w:color="auto"/>
        <w:right w:val="none" w:sz="0" w:space="0" w:color="auto"/>
      </w:divBdr>
    </w:div>
    <w:div w:id="176501783">
      <w:bodyDiv w:val="1"/>
      <w:marLeft w:val="0"/>
      <w:marRight w:val="0"/>
      <w:marTop w:val="0"/>
      <w:marBottom w:val="0"/>
      <w:divBdr>
        <w:top w:val="none" w:sz="0" w:space="0" w:color="auto"/>
        <w:left w:val="none" w:sz="0" w:space="0" w:color="auto"/>
        <w:bottom w:val="none" w:sz="0" w:space="0" w:color="auto"/>
        <w:right w:val="none" w:sz="0" w:space="0" w:color="auto"/>
      </w:divBdr>
    </w:div>
    <w:div w:id="176620323">
      <w:bodyDiv w:val="1"/>
      <w:marLeft w:val="0"/>
      <w:marRight w:val="0"/>
      <w:marTop w:val="0"/>
      <w:marBottom w:val="0"/>
      <w:divBdr>
        <w:top w:val="none" w:sz="0" w:space="0" w:color="auto"/>
        <w:left w:val="none" w:sz="0" w:space="0" w:color="auto"/>
        <w:bottom w:val="none" w:sz="0" w:space="0" w:color="auto"/>
        <w:right w:val="none" w:sz="0" w:space="0" w:color="auto"/>
      </w:divBdr>
    </w:div>
    <w:div w:id="177039739">
      <w:bodyDiv w:val="1"/>
      <w:marLeft w:val="0"/>
      <w:marRight w:val="0"/>
      <w:marTop w:val="0"/>
      <w:marBottom w:val="0"/>
      <w:divBdr>
        <w:top w:val="none" w:sz="0" w:space="0" w:color="auto"/>
        <w:left w:val="none" w:sz="0" w:space="0" w:color="auto"/>
        <w:bottom w:val="none" w:sz="0" w:space="0" w:color="auto"/>
        <w:right w:val="none" w:sz="0" w:space="0" w:color="auto"/>
      </w:divBdr>
    </w:div>
    <w:div w:id="177622234">
      <w:bodyDiv w:val="1"/>
      <w:marLeft w:val="0"/>
      <w:marRight w:val="0"/>
      <w:marTop w:val="0"/>
      <w:marBottom w:val="0"/>
      <w:divBdr>
        <w:top w:val="none" w:sz="0" w:space="0" w:color="auto"/>
        <w:left w:val="none" w:sz="0" w:space="0" w:color="auto"/>
        <w:bottom w:val="none" w:sz="0" w:space="0" w:color="auto"/>
        <w:right w:val="none" w:sz="0" w:space="0" w:color="auto"/>
      </w:divBdr>
    </w:div>
    <w:div w:id="178202072">
      <w:bodyDiv w:val="1"/>
      <w:marLeft w:val="0"/>
      <w:marRight w:val="0"/>
      <w:marTop w:val="0"/>
      <w:marBottom w:val="0"/>
      <w:divBdr>
        <w:top w:val="none" w:sz="0" w:space="0" w:color="auto"/>
        <w:left w:val="none" w:sz="0" w:space="0" w:color="auto"/>
        <w:bottom w:val="none" w:sz="0" w:space="0" w:color="auto"/>
        <w:right w:val="none" w:sz="0" w:space="0" w:color="auto"/>
      </w:divBdr>
    </w:div>
    <w:div w:id="178353416">
      <w:bodyDiv w:val="1"/>
      <w:marLeft w:val="0"/>
      <w:marRight w:val="0"/>
      <w:marTop w:val="0"/>
      <w:marBottom w:val="0"/>
      <w:divBdr>
        <w:top w:val="none" w:sz="0" w:space="0" w:color="auto"/>
        <w:left w:val="none" w:sz="0" w:space="0" w:color="auto"/>
        <w:bottom w:val="none" w:sz="0" w:space="0" w:color="auto"/>
        <w:right w:val="none" w:sz="0" w:space="0" w:color="auto"/>
      </w:divBdr>
    </w:div>
    <w:div w:id="178742602">
      <w:bodyDiv w:val="1"/>
      <w:marLeft w:val="0"/>
      <w:marRight w:val="0"/>
      <w:marTop w:val="0"/>
      <w:marBottom w:val="0"/>
      <w:divBdr>
        <w:top w:val="none" w:sz="0" w:space="0" w:color="auto"/>
        <w:left w:val="none" w:sz="0" w:space="0" w:color="auto"/>
        <w:bottom w:val="none" w:sz="0" w:space="0" w:color="auto"/>
        <w:right w:val="none" w:sz="0" w:space="0" w:color="auto"/>
      </w:divBdr>
    </w:div>
    <w:div w:id="179244527">
      <w:bodyDiv w:val="1"/>
      <w:marLeft w:val="0"/>
      <w:marRight w:val="0"/>
      <w:marTop w:val="0"/>
      <w:marBottom w:val="0"/>
      <w:divBdr>
        <w:top w:val="none" w:sz="0" w:space="0" w:color="auto"/>
        <w:left w:val="none" w:sz="0" w:space="0" w:color="auto"/>
        <w:bottom w:val="none" w:sz="0" w:space="0" w:color="auto"/>
        <w:right w:val="none" w:sz="0" w:space="0" w:color="auto"/>
      </w:divBdr>
    </w:div>
    <w:div w:id="179315181">
      <w:bodyDiv w:val="1"/>
      <w:marLeft w:val="0"/>
      <w:marRight w:val="0"/>
      <w:marTop w:val="0"/>
      <w:marBottom w:val="0"/>
      <w:divBdr>
        <w:top w:val="none" w:sz="0" w:space="0" w:color="auto"/>
        <w:left w:val="none" w:sz="0" w:space="0" w:color="auto"/>
        <w:bottom w:val="none" w:sz="0" w:space="0" w:color="auto"/>
        <w:right w:val="none" w:sz="0" w:space="0" w:color="auto"/>
      </w:divBdr>
    </w:div>
    <w:div w:id="179903571">
      <w:bodyDiv w:val="1"/>
      <w:marLeft w:val="0"/>
      <w:marRight w:val="0"/>
      <w:marTop w:val="0"/>
      <w:marBottom w:val="0"/>
      <w:divBdr>
        <w:top w:val="none" w:sz="0" w:space="0" w:color="auto"/>
        <w:left w:val="none" w:sz="0" w:space="0" w:color="auto"/>
        <w:bottom w:val="none" w:sz="0" w:space="0" w:color="auto"/>
        <w:right w:val="none" w:sz="0" w:space="0" w:color="auto"/>
      </w:divBdr>
    </w:div>
    <w:div w:id="180164062">
      <w:bodyDiv w:val="1"/>
      <w:marLeft w:val="0"/>
      <w:marRight w:val="0"/>
      <w:marTop w:val="0"/>
      <w:marBottom w:val="0"/>
      <w:divBdr>
        <w:top w:val="none" w:sz="0" w:space="0" w:color="auto"/>
        <w:left w:val="none" w:sz="0" w:space="0" w:color="auto"/>
        <w:bottom w:val="none" w:sz="0" w:space="0" w:color="auto"/>
        <w:right w:val="none" w:sz="0" w:space="0" w:color="auto"/>
      </w:divBdr>
    </w:div>
    <w:div w:id="180509752">
      <w:bodyDiv w:val="1"/>
      <w:marLeft w:val="0"/>
      <w:marRight w:val="0"/>
      <w:marTop w:val="0"/>
      <w:marBottom w:val="0"/>
      <w:divBdr>
        <w:top w:val="none" w:sz="0" w:space="0" w:color="auto"/>
        <w:left w:val="none" w:sz="0" w:space="0" w:color="auto"/>
        <w:bottom w:val="none" w:sz="0" w:space="0" w:color="auto"/>
        <w:right w:val="none" w:sz="0" w:space="0" w:color="auto"/>
      </w:divBdr>
    </w:div>
    <w:div w:id="181163039">
      <w:bodyDiv w:val="1"/>
      <w:marLeft w:val="0"/>
      <w:marRight w:val="0"/>
      <w:marTop w:val="0"/>
      <w:marBottom w:val="0"/>
      <w:divBdr>
        <w:top w:val="none" w:sz="0" w:space="0" w:color="auto"/>
        <w:left w:val="none" w:sz="0" w:space="0" w:color="auto"/>
        <w:bottom w:val="none" w:sz="0" w:space="0" w:color="auto"/>
        <w:right w:val="none" w:sz="0" w:space="0" w:color="auto"/>
      </w:divBdr>
    </w:div>
    <w:div w:id="181431435">
      <w:bodyDiv w:val="1"/>
      <w:marLeft w:val="0"/>
      <w:marRight w:val="0"/>
      <w:marTop w:val="0"/>
      <w:marBottom w:val="0"/>
      <w:divBdr>
        <w:top w:val="none" w:sz="0" w:space="0" w:color="auto"/>
        <w:left w:val="none" w:sz="0" w:space="0" w:color="auto"/>
        <w:bottom w:val="none" w:sz="0" w:space="0" w:color="auto"/>
        <w:right w:val="none" w:sz="0" w:space="0" w:color="auto"/>
      </w:divBdr>
    </w:div>
    <w:div w:id="182667770">
      <w:bodyDiv w:val="1"/>
      <w:marLeft w:val="0"/>
      <w:marRight w:val="0"/>
      <w:marTop w:val="0"/>
      <w:marBottom w:val="0"/>
      <w:divBdr>
        <w:top w:val="none" w:sz="0" w:space="0" w:color="auto"/>
        <w:left w:val="none" w:sz="0" w:space="0" w:color="auto"/>
        <w:bottom w:val="none" w:sz="0" w:space="0" w:color="auto"/>
        <w:right w:val="none" w:sz="0" w:space="0" w:color="auto"/>
      </w:divBdr>
    </w:div>
    <w:div w:id="182744273">
      <w:bodyDiv w:val="1"/>
      <w:marLeft w:val="0"/>
      <w:marRight w:val="0"/>
      <w:marTop w:val="0"/>
      <w:marBottom w:val="0"/>
      <w:divBdr>
        <w:top w:val="none" w:sz="0" w:space="0" w:color="auto"/>
        <w:left w:val="none" w:sz="0" w:space="0" w:color="auto"/>
        <w:bottom w:val="none" w:sz="0" w:space="0" w:color="auto"/>
        <w:right w:val="none" w:sz="0" w:space="0" w:color="auto"/>
      </w:divBdr>
    </w:div>
    <w:div w:id="185605769">
      <w:bodyDiv w:val="1"/>
      <w:marLeft w:val="0"/>
      <w:marRight w:val="0"/>
      <w:marTop w:val="0"/>
      <w:marBottom w:val="0"/>
      <w:divBdr>
        <w:top w:val="none" w:sz="0" w:space="0" w:color="auto"/>
        <w:left w:val="none" w:sz="0" w:space="0" w:color="auto"/>
        <w:bottom w:val="none" w:sz="0" w:space="0" w:color="auto"/>
        <w:right w:val="none" w:sz="0" w:space="0" w:color="auto"/>
      </w:divBdr>
    </w:div>
    <w:div w:id="185754350">
      <w:bodyDiv w:val="1"/>
      <w:marLeft w:val="0"/>
      <w:marRight w:val="0"/>
      <w:marTop w:val="0"/>
      <w:marBottom w:val="0"/>
      <w:divBdr>
        <w:top w:val="none" w:sz="0" w:space="0" w:color="auto"/>
        <w:left w:val="none" w:sz="0" w:space="0" w:color="auto"/>
        <w:bottom w:val="none" w:sz="0" w:space="0" w:color="auto"/>
        <w:right w:val="none" w:sz="0" w:space="0" w:color="auto"/>
      </w:divBdr>
    </w:div>
    <w:div w:id="186481284">
      <w:bodyDiv w:val="1"/>
      <w:marLeft w:val="0"/>
      <w:marRight w:val="0"/>
      <w:marTop w:val="0"/>
      <w:marBottom w:val="0"/>
      <w:divBdr>
        <w:top w:val="none" w:sz="0" w:space="0" w:color="auto"/>
        <w:left w:val="none" w:sz="0" w:space="0" w:color="auto"/>
        <w:bottom w:val="none" w:sz="0" w:space="0" w:color="auto"/>
        <w:right w:val="none" w:sz="0" w:space="0" w:color="auto"/>
      </w:divBdr>
    </w:div>
    <w:div w:id="187062245">
      <w:bodyDiv w:val="1"/>
      <w:marLeft w:val="0"/>
      <w:marRight w:val="0"/>
      <w:marTop w:val="0"/>
      <w:marBottom w:val="0"/>
      <w:divBdr>
        <w:top w:val="none" w:sz="0" w:space="0" w:color="auto"/>
        <w:left w:val="none" w:sz="0" w:space="0" w:color="auto"/>
        <w:bottom w:val="none" w:sz="0" w:space="0" w:color="auto"/>
        <w:right w:val="none" w:sz="0" w:space="0" w:color="auto"/>
      </w:divBdr>
    </w:div>
    <w:div w:id="188490492">
      <w:bodyDiv w:val="1"/>
      <w:marLeft w:val="0"/>
      <w:marRight w:val="0"/>
      <w:marTop w:val="0"/>
      <w:marBottom w:val="0"/>
      <w:divBdr>
        <w:top w:val="none" w:sz="0" w:space="0" w:color="auto"/>
        <w:left w:val="none" w:sz="0" w:space="0" w:color="auto"/>
        <w:bottom w:val="none" w:sz="0" w:space="0" w:color="auto"/>
        <w:right w:val="none" w:sz="0" w:space="0" w:color="auto"/>
      </w:divBdr>
    </w:div>
    <w:div w:id="188572951">
      <w:bodyDiv w:val="1"/>
      <w:marLeft w:val="0"/>
      <w:marRight w:val="0"/>
      <w:marTop w:val="0"/>
      <w:marBottom w:val="0"/>
      <w:divBdr>
        <w:top w:val="none" w:sz="0" w:space="0" w:color="auto"/>
        <w:left w:val="none" w:sz="0" w:space="0" w:color="auto"/>
        <w:bottom w:val="none" w:sz="0" w:space="0" w:color="auto"/>
        <w:right w:val="none" w:sz="0" w:space="0" w:color="auto"/>
      </w:divBdr>
    </w:div>
    <w:div w:id="188880008">
      <w:bodyDiv w:val="1"/>
      <w:marLeft w:val="0"/>
      <w:marRight w:val="0"/>
      <w:marTop w:val="0"/>
      <w:marBottom w:val="0"/>
      <w:divBdr>
        <w:top w:val="none" w:sz="0" w:space="0" w:color="auto"/>
        <w:left w:val="none" w:sz="0" w:space="0" w:color="auto"/>
        <w:bottom w:val="none" w:sz="0" w:space="0" w:color="auto"/>
        <w:right w:val="none" w:sz="0" w:space="0" w:color="auto"/>
      </w:divBdr>
    </w:div>
    <w:div w:id="189151427">
      <w:bodyDiv w:val="1"/>
      <w:marLeft w:val="0"/>
      <w:marRight w:val="0"/>
      <w:marTop w:val="0"/>
      <w:marBottom w:val="0"/>
      <w:divBdr>
        <w:top w:val="none" w:sz="0" w:space="0" w:color="auto"/>
        <w:left w:val="none" w:sz="0" w:space="0" w:color="auto"/>
        <w:bottom w:val="none" w:sz="0" w:space="0" w:color="auto"/>
        <w:right w:val="none" w:sz="0" w:space="0" w:color="auto"/>
      </w:divBdr>
    </w:div>
    <w:div w:id="189151650">
      <w:bodyDiv w:val="1"/>
      <w:marLeft w:val="0"/>
      <w:marRight w:val="0"/>
      <w:marTop w:val="0"/>
      <w:marBottom w:val="0"/>
      <w:divBdr>
        <w:top w:val="none" w:sz="0" w:space="0" w:color="auto"/>
        <w:left w:val="none" w:sz="0" w:space="0" w:color="auto"/>
        <w:bottom w:val="none" w:sz="0" w:space="0" w:color="auto"/>
        <w:right w:val="none" w:sz="0" w:space="0" w:color="auto"/>
      </w:divBdr>
    </w:div>
    <w:div w:id="189297716">
      <w:bodyDiv w:val="1"/>
      <w:marLeft w:val="0"/>
      <w:marRight w:val="0"/>
      <w:marTop w:val="0"/>
      <w:marBottom w:val="0"/>
      <w:divBdr>
        <w:top w:val="none" w:sz="0" w:space="0" w:color="auto"/>
        <w:left w:val="none" w:sz="0" w:space="0" w:color="auto"/>
        <w:bottom w:val="none" w:sz="0" w:space="0" w:color="auto"/>
        <w:right w:val="none" w:sz="0" w:space="0" w:color="auto"/>
      </w:divBdr>
    </w:div>
    <w:div w:id="190193044">
      <w:bodyDiv w:val="1"/>
      <w:marLeft w:val="0"/>
      <w:marRight w:val="0"/>
      <w:marTop w:val="0"/>
      <w:marBottom w:val="0"/>
      <w:divBdr>
        <w:top w:val="none" w:sz="0" w:space="0" w:color="auto"/>
        <w:left w:val="none" w:sz="0" w:space="0" w:color="auto"/>
        <w:bottom w:val="none" w:sz="0" w:space="0" w:color="auto"/>
        <w:right w:val="none" w:sz="0" w:space="0" w:color="auto"/>
      </w:divBdr>
    </w:div>
    <w:div w:id="190579920">
      <w:bodyDiv w:val="1"/>
      <w:marLeft w:val="0"/>
      <w:marRight w:val="0"/>
      <w:marTop w:val="0"/>
      <w:marBottom w:val="0"/>
      <w:divBdr>
        <w:top w:val="none" w:sz="0" w:space="0" w:color="auto"/>
        <w:left w:val="none" w:sz="0" w:space="0" w:color="auto"/>
        <w:bottom w:val="none" w:sz="0" w:space="0" w:color="auto"/>
        <w:right w:val="none" w:sz="0" w:space="0" w:color="auto"/>
      </w:divBdr>
    </w:div>
    <w:div w:id="190994400">
      <w:bodyDiv w:val="1"/>
      <w:marLeft w:val="0"/>
      <w:marRight w:val="0"/>
      <w:marTop w:val="0"/>
      <w:marBottom w:val="0"/>
      <w:divBdr>
        <w:top w:val="none" w:sz="0" w:space="0" w:color="auto"/>
        <w:left w:val="none" w:sz="0" w:space="0" w:color="auto"/>
        <w:bottom w:val="none" w:sz="0" w:space="0" w:color="auto"/>
        <w:right w:val="none" w:sz="0" w:space="0" w:color="auto"/>
      </w:divBdr>
    </w:div>
    <w:div w:id="191304756">
      <w:bodyDiv w:val="1"/>
      <w:marLeft w:val="0"/>
      <w:marRight w:val="0"/>
      <w:marTop w:val="0"/>
      <w:marBottom w:val="0"/>
      <w:divBdr>
        <w:top w:val="none" w:sz="0" w:space="0" w:color="auto"/>
        <w:left w:val="none" w:sz="0" w:space="0" w:color="auto"/>
        <w:bottom w:val="none" w:sz="0" w:space="0" w:color="auto"/>
        <w:right w:val="none" w:sz="0" w:space="0" w:color="auto"/>
      </w:divBdr>
    </w:div>
    <w:div w:id="191653388">
      <w:bodyDiv w:val="1"/>
      <w:marLeft w:val="0"/>
      <w:marRight w:val="0"/>
      <w:marTop w:val="0"/>
      <w:marBottom w:val="0"/>
      <w:divBdr>
        <w:top w:val="none" w:sz="0" w:space="0" w:color="auto"/>
        <w:left w:val="none" w:sz="0" w:space="0" w:color="auto"/>
        <w:bottom w:val="none" w:sz="0" w:space="0" w:color="auto"/>
        <w:right w:val="none" w:sz="0" w:space="0" w:color="auto"/>
      </w:divBdr>
    </w:div>
    <w:div w:id="192495829">
      <w:bodyDiv w:val="1"/>
      <w:marLeft w:val="0"/>
      <w:marRight w:val="0"/>
      <w:marTop w:val="0"/>
      <w:marBottom w:val="0"/>
      <w:divBdr>
        <w:top w:val="none" w:sz="0" w:space="0" w:color="auto"/>
        <w:left w:val="none" w:sz="0" w:space="0" w:color="auto"/>
        <w:bottom w:val="none" w:sz="0" w:space="0" w:color="auto"/>
        <w:right w:val="none" w:sz="0" w:space="0" w:color="auto"/>
      </w:divBdr>
    </w:div>
    <w:div w:id="192615838">
      <w:bodyDiv w:val="1"/>
      <w:marLeft w:val="0"/>
      <w:marRight w:val="0"/>
      <w:marTop w:val="0"/>
      <w:marBottom w:val="0"/>
      <w:divBdr>
        <w:top w:val="none" w:sz="0" w:space="0" w:color="auto"/>
        <w:left w:val="none" w:sz="0" w:space="0" w:color="auto"/>
        <w:bottom w:val="none" w:sz="0" w:space="0" w:color="auto"/>
        <w:right w:val="none" w:sz="0" w:space="0" w:color="auto"/>
      </w:divBdr>
    </w:div>
    <w:div w:id="192621425">
      <w:bodyDiv w:val="1"/>
      <w:marLeft w:val="0"/>
      <w:marRight w:val="0"/>
      <w:marTop w:val="0"/>
      <w:marBottom w:val="0"/>
      <w:divBdr>
        <w:top w:val="none" w:sz="0" w:space="0" w:color="auto"/>
        <w:left w:val="none" w:sz="0" w:space="0" w:color="auto"/>
        <w:bottom w:val="none" w:sz="0" w:space="0" w:color="auto"/>
        <w:right w:val="none" w:sz="0" w:space="0" w:color="auto"/>
      </w:divBdr>
    </w:div>
    <w:div w:id="193203067">
      <w:bodyDiv w:val="1"/>
      <w:marLeft w:val="0"/>
      <w:marRight w:val="0"/>
      <w:marTop w:val="0"/>
      <w:marBottom w:val="0"/>
      <w:divBdr>
        <w:top w:val="none" w:sz="0" w:space="0" w:color="auto"/>
        <w:left w:val="none" w:sz="0" w:space="0" w:color="auto"/>
        <w:bottom w:val="none" w:sz="0" w:space="0" w:color="auto"/>
        <w:right w:val="none" w:sz="0" w:space="0" w:color="auto"/>
      </w:divBdr>
    </w:div>
    <w:div w:id="193424059">
      <w:bodyDiv w:val="1"/>
      <w:marLeft w:val="0"/>
      <w:marRight w:val="0"/>
      <w:marTop w:val="0"/>
      <w:marBottom w:val="0"/>
      <w:divBdr>
        <w:top w:val="none" w:sz="0" w:space="0" w:color="auto"/>
        <w:left w:val="none" w:sz="0" w:space="0" w:color="auto"/>
        <w:bottom w:val="none" w:sz="0" w:space="0" w:color="auto"/>
        <w:right w:val="none" w:sz="0" w:space="0" w:color="auto"/>
      </w:divBdr>
    </w:div>
    <w:div w:id="193543705">
      <w:bodyDiv w:val="1"/>
      <w:marLeft w:val="0"/>
      <w:marRight w:val="0"/>
      <w:marTop w:val="0"/>
      <w:marBottom w:val="0"/>
      <w:divBdr>
        <w:top w:val="none" w:sz="0" w:space="0" w:color="auto"/>
        <w:left w:val="none" w:sz="0" w:space="0" w:color="auto"/>
        <w:bottom w:val="none" w:sz="0" w:space="0" w:color="auto"/>
        <w:right w:val="none" w:sz="0" w:space="0" w:color="auto"/>
      </w:divBdr>
    </w:div>
    <w:div w:id="194000334">
      <w:bodyDiv w:val="1"/>
      <w:marLeft w:val="0"/>
      <w:marRight w:val="0"/>
      <w:marTop w:val="0"/>
      <w:marBottom w:val="0"/>
      <w:divBdr>
        <w:top w:val="none" w:sz="0" w:space="0" w:color="auto"/>
        <w:left w:val="none" w:sz="0" w:space="0" w:color="auto"/>
        <w:bottom w:val="none" w:sz="0" w:space="0" w:color="auto"/>
        <w:right w:val="none" w:sz="0" w:space="0" w:color="auto"/>
      </w:divBdr>
    </w:div>
    <w:div w:id="196622414">
      <w:bodyDiv w:val="1"/>
      <w:marLeft w:val="0"/>
      <w:marRight w:val="0"/>
      <w:marTop w:val="0"/>
      <w:marBottom w:val="0"/>
      <w:divBdr>
        <w:top w:val="none" w:sz="0" w:space="0" w:color="auto"/>
        <w:left w:val="none" w:sz="0" w:space="0" w:color="auto"/>
        <w:bottom w:val="none" w:sz="0" w:space="0" w:color="auto"/>
        <w:right w:val="none" w:sz="0" w:space="0" w:color="auto"/>
      </w:divBdr>
    </w:div>
    <w:div w:id="196740240">
      <w:bodyDiv w:val="1"/>
      <w:marLeft w:val="0"/>
      <w:marRight w:val="0"/>
      <w:marTop w:val="0"/>
      <w:marBottom w:val="0"/>
      <w:divBdr>
        <w:top w:val="none" w:sz="0" w:space="0" w:color="auto"/>
        <w:left w:val="none" w:sz="0" w:space="0" w:color="auto"/>
        <w:bottom w:val="none" w:sz="0" w:space="0" w:color="auto"/>
        <w:right w:val="none" w:sz="0" w:space="0" w:color="auto"/>
      </w:divBdr>
    </w:div>
    <w:div w:id="197133723">
      <w:bodyDiv w:val="1"/>
      <w:marLeft w:val="0"/>
      <w:marRight w:val="0"/>
      <w:marTop w:val="0"/>
      <w:marBottom w:val="0"/>
      <w:divBdr>
        <w:top w:val="none" w:sz="0" w:space="0" w:color="auto"/>
        <w:left w:val="none" w:sz="0" w:space="0" w:color="auto"/>
        <w:bottom w:val="none" w:sz="0" w:space="0" w:color="auto"/>
        <w:right w:val="none" w:sz="0" w:space="0" w:color="auto"/>
      </w:divBdr>
    </w:div>
    <w:div w:id="197206676">
      <w:bodyDiv w:val="1"/>
      <w:marLeft w:val="0"/>
      <w:marRight w:val="0"/>
      <w:marTop w:val="0"/>
      <w:marBottom w:val="0"/>
      <w:divBdr>
        <w:top w:val="none" w:sz="0" w:space="0" w:color="auto"/>
        <w:left w:val="none" w:sz="0" w:space="0" w:color="auto"/>
        <w:bottom w:val="none" w:sz="0" w:space="0" w:color="auto"/>
        <w:right w:val="none" w:sz="0" w:space="0" w:color="auto"/>
      </w:divBdr>
    </w:div>
    <w:div w:id="197940345">
      <w:bodyDiv w:val="1"/>
      <w:marLeft w:val="0"/>
      <w:marRight w:val="0"/>
      <w:marTop w:val="0"/>
      <w:marBottom w:val="0"/>
      <w:divBdr>
        <w:top w:val="none" w:sz="0" w:space="0" w:color="auto"/>
        <w:left w:val="none" w:sz="0" w:space="0" w:color="auto"/>
        <w:bottom w:val="none" w:sz="0" w:space="0" w:color="auto"/>
        <w:right w:val="none" w:sz="0" w:space="0" w:color="auto"/>
      </w:divBdr>
    </w:div>
    <w:div w:id="198979532">
      <w:bodyDiv w:val="1"/>
      <w:marLeft w:val="0"/>
      <w:marRight w:val="0"/>
      <w:marTop w:val="0"/>
      <w:marBottom w:val="0"/>
      <w:divBdr>
        <w:top w:val="none" w:sz="0" w:space="0" w:color="auto"/>
        <w:left w:val="none" w:sz="0" w:space="0" w:color="auto"/>
        <w:bottom w:val="none" w:sz="0" w:space="0" w:color="auto"/>
        <w:right w:val="none" w:sz="0" w:space="0" w:color="auto"/>
      </w:divBdr>
    </w:div>
    <w:div w:id="200099149">
      <w:bodyDiv w:val="1"/>
      <w:marLeft w:val="0"/>
      <w:marRight w:val="0"/>
      <w:marTop w:val="0"/>
      <w:marBottom w:val="0"/>
      <w:divBdr>
        <w:top w:val="none" w:sz="0" w:space="0" w:color="auto"/>
        <w:left w:val="none" w:sz="0" w:space="0" w:color="auto"/>
        <w:bottom w:val="none" w:sz="0" w:space="0" w:color="auto"/>
        <w:right w:val="none" w:sz="0" w:space="0" w:color="auto"/>
      </w:divBdr>
    </w:div>
    <w:div w:id="200169765">
      <w:bodyDiv w:val="1"/>
      <w:marLeft w:val="0"/>
      <w:marRight w:val="0"/>
      <w:marTop w:val="0"/>
      <w:marBottom w:val="0"/>
      <w:divBdr>
        <w:top w:val="none" w:sz="0" w:space="0" w:color="auto"/>
        <w:left w:val="none" w:sz="0" w:space="0" w:color="auto"/>
        <w:bottom w:val="none" w:sz="0" w:space="0" w:color="auto"/>
        <w:right w:val="none" w:sz="0" w:space="0" w:color="auto"/>
      </w:divBdr>
    </w:div>
    <w:div w:id="200636068">
      <w:bodyDiv w:val="1"/>
      <w:marLeft w:val="0"/>
      <w:marRight w:val="0"/>
      <w:marTop w:val="0"/>
      <w:marBottom w:val="0"/>
      <w:divBdr>
        <w:top w:val="none" w:sz="0" w:space="0" w:color="auto"/>
        <w:left w:val="none" w:sz="0" w:space="0" w:color="auto"/>
        <w:bottom w:val="none" w:sz="0" w:space="0" w:color="auto"/>
        <w:right w:val="none" w:sz="0" w:space="0" w:color="auto"/>
      </w:divBdr>
    </w:div>
    <w:div w:id="200822991">
      <w:bodyDiv w:val="1"/>
      <w:marLeft w:val="0"/>
      <w:marRight w:val="0"/>
      <w:marTop w:val="0"/>
      <w:marBottom w:val="0"/>
      <w:divBdr>
        <w:top w:val="none" w:sz="0" w:space="0" w:color="auto"/>
        <w:left w:val="none" w:sz="0" w:space="0" w:color="auto"/>
        <w:bottom w:val="none" w:sz="0" w:space="0" w:color="auto"/>
        <w:right w:val="none" w:sz="0" w:space="0" w:color="auto"/>
      </w:divBdr>
    </w:div>
    <w:div w:id="201989867">
      <w:bodyDiv w:val="1"/>
      <w:marLeft w:val="0"/>
      <w:marRight w:val="0"/>
      <w:marTop w:val="0"/>
      <w:marBottom w:val="0"/>
      <w:divBdr>
        <w:top w:val="none" w:sz="0" w:space="0" w:color="auto"/>
        <w:left w:val="none" w:sz="0" w:space="0" w:color="auto"/>
        <w:bottom w:val="none" w:sz="0" w:space="0" w:color="auto"/>
        <w:right w:val="none" w:sz="0" w:space="0" w:color="auto"/>
      </w:divBdr>
    </w:div>
    <w:div w:id="202452175">
      <w:bodyDiv w:val="1"/>
      <w:marLeft w:val="0"/>
      <w:marRight w:val="0"/>
      <w:marTop w:val="0"/>
      <w:marBottom w:val="0"/>
      <w:divBdr>
        <w:top w:val="none" w:sz="0" w:space="0" w:color="auto"/>
        <w:left w:val="none" w:sz="0" w:space="0" w:color="auto"/>
        <w:bottom w:val="none" w:sz="0" w:space="0" w:color="auto"/>
        <w:right w:val="none" w:sz="0" w:space="0" w:color="auto"/>
      </w:divBdr>
    </w:div>
    <w:div w:id="202989179">
      <w:bodyDiv w:val="1"/>
      <w:marLeft w:val="0"/>
      <w:marRight w:val="0"/>
      <w:marTop w:val="0"/>
      <w:marBottom w:val="0"/>
      <w:divBdr>
        <w:top w:val="none" w:sz="0" w:space="0" w:color="auto"/>
        <w:left w:val="none" w:sz="0" w:space="0" w:color="auto"/>
        <w:bottom w:val="none" w:sz="0" w:space="0" w:color="auto"/>
        <w:right w:val="none" w:sz="0" w:space="0" w:color="auto"/>
      </w:divBdr>
    </w:div>
    <w:div w:id="203829124">
      <w:bodyDiv w:val="1"/>
      <w:marLeft w:val="0"/>
      <w:marRight w:val="0"/>
      <w:marTop w:val="0"/>
      <w:marBottom w:val="0"/>
      <w:divBdr>
        <w:top w:val="none" w:sz="0" w:space="0" w:color="auto"/>
        <w:left w:val="none" w:sz="0" w:space="0" w:color="auto"/>
        <w:bottom w:val="none" w:sz="0" w:space="0" w:color="auto"/>
        <w:right w:val="none" w:sz="0" w:space="0" w:color="auto"/>
      </w:divBdr>
    </w:div>
    <w:div w:id="207305594">
      <w:bodyDiv w:val="1"/>
      <w:marLeft w:val="0"/>
      <w:marRight w:val="0"/>
      <w:marTop w:val="0"/>
      <w:marBottom w:val="0"/>
      <w:divBdr>
        <w:top w:val="none" w:sz="0" w:space="0" w:color="auto"/>
        <w:left w:val="none" w:sz="0" w:space="0" w:color="auto"/>
        <w:bottom w:val="none" w:sz="0" w:space="0" w:color="auto"/>
        <w:right w:val="none" w:sz="0" w:space="0" w:color="auto"/>
      </w:divBdr>
    </w:div>
    <w:div w:id="208339933">
      <w:bodyDiv w:val="1"/>
      <w:marLeft w:val="0"/>
      <w:marRight w:val="0"/>
      <w:marTop w:val="0"/>
      <w:marBottom w:val="0"/>
      <w:divBdr>
        <w:top w:val="none" w:sz="0" w:space="0" w:color="auto"/>
        <w:left w:val="none" w:sz="0" w:space="0" w:color="auto"/>
        <w:bottom w:val="none" w:sz="0" w:space="0" w:color="auto"/>
        <w:right w:val="none" w:sz="0" w:space="0" w:color="auto"/>
      </w:divBdr>
    </w:div>
    <w:div w:id="208418918">
      <w:bodyDiv w:val="1"/>
      <w:marLeft w:val="0"/>
      <w:marRight w:val="0"/>
      <w:marTop w:val="0"/>
      <w:marBottom w:val="0"/>
      <w:divBdr>
        <w:top w:val="none" w:sz="0" w:space="0" w:color="auto"/>
        <w:left w:val="none" w:sz="0" w:space="0" w:color="auto"/>
        <w:bottom w:val="none" w:sz="0" w:space="0" w:color="auto"/>
        <w:right w:val="none" w:sz="0" w:space="0" w:color="auto"/>
      </w:divBdr>
    </w:div>
    <w:div w:id="208498599">
      <w:bodyDiv w:val="1"/>
      <w:marLeft w:val="0"/>
      <w:marRight w:val="0"/>
      <w:marTop w:val="0"/>
      <w:marBottom w:val="0"/>
      <w:divBdr>
        <w:top w:val="none" w:sz="0" w:space="0" w:color="auto"/>
        <w:left w:val="none" w:sz="0" w:space="0" w:color="auto"/>
        <w:bottom w:val="none" w:sz="0" w:space="0" w:color="auto"/>
        <w:right w:val="none" w:sz="0" w:space="0" w:color="auto"/>
      </w:divBdr>
    </w:div>
    <w:div w:id="209198181">
      <w:bodyDiv w:val="1"/>
      <w:marLeft w:val="0"/>
      <w:marRight w:val="0"/>
      <w:marTop w:val="0"/>
      <w:marBottom w:val="0"/>
      <w:divBdr>
        <w:top w:val="none" w:sz="0" w:space="0" w:color="auto"/>
        <w:left w:val="none" w:sz="0" w:space="0" w:color="auto"/>
        <w:bottom w:val="none" w:sz="0" w:space="0" w:color="auto"/>
        <w:right w:val="none" w:sz="0" w:space="0" w:color="auto"/>
      </w:divBdr>
    </w:div>
    <w:div w:id="209651028">
      <w:bodyDiv w:val="1"/>
      <w:marLeft w:val="0"/>
      <w:marRight w:val="0"/>
      <w:marTop w:val="0"/>
      <w:marBottom w:val="0"/>
      <w:divBdr>
        <w:top w:val="none" w:sz="0" w:space="0" w:color="auto"/>
        <w:left w:val="none" w:sz="0" w:space="0" w:color="auto"/>
        <w:bottom w:val="none" w:sz="0" w:space="0" w:color="auto"/>
        <w:right w:val="none" w:sz="0" w:space="0" w:color="auto"/>
      </w:divBdr>
    </w:div>
    <w:div w:id="210389944">
      <w:bodyDiv w:val="1"/>
      <w:marLeft w:val="0"/>
      <w:marRight w:val="0"/>
      <w:marTop w:val="0"/>
      <w:marBottom w:val="0"/>
      <w:divBdr>
        <w:top w:val="none" w:sz="0" w:space="0" w:color="auto"/>
        <w:left w:val="none" w:sz="0" w:space="0" w:color="auto"/>
        <w:bottom w:val="none" w:sz="0" w:space="0" w:color="auto"/>
        <w:right w:val="none" w:sz="0" w:space="0" w:color="auto"/>
      </w:divBdr>
    </w:div>
    <w:div w:id="211887546">
      <w:bodyDiv w:val="1"/>
      <w:marLeft w:val="0"/>
      <w:marRight w:val="0"/>
      <w:marTop w:val="0"/>
      <w:marBottom w:val="0"/>
      <w:divBdr>
        <w:top w:val="none" w:sz="0" w:space="0" w:color="auto"/>
        <w:left w:val="none" w:sz="0" w:space="0" w:color="auto"/>
        <w:bottom w:val="none" w:sz="0" w:space="0" w:color="auto"/>
        <w:right w:val="none" w:sz="0" w:space="0" w:color="auto"/>
      </w:divBdr>
    </w:div>
    <w:div w:id="212615664">
      <w:bodyDiv w:val="1"/>
      <w:marLeft w:val="0"/>
      <w:marRight w:val="0"/>
      <w:marTop w:val="0"/>
      <w:marBottom w:val="0"/>
      <w:divBdr>
        <w:top w:val="none" w:sz="0" w:space="0" w:color="auto"/>
        <w:left w:val="none" w:sz="0" w:space="0" w:color="auto"/>
        <w:bottom w:val="none" w:sz="0" w:space="0" w:color="auto"/>
        <w:right w:val="none" w:sz="0" w:space="0" w:color="auto"/>
      </w:divBdr>
    </w:div>
    <w:div w:id="214050905">
      <w:bodyDiv w:val="1"/>
      <w:marLeft w:val="0"/>
      <w:marRight w:val="0"/>
      <w:marTop w:val="0"/>
      <w:marBottom w:val="0"/>
      <w:divBdr>
        <w:top w:val="none" w:sz="0" w:space="0" w:color="auto"/>
        <w:left w:val="none" w:sz="0" w:space="0" w:color="auto"/>
        <w:bottom w:val="none" w:sz="0" w:space="0" w:color="auto"/>
        <w:right w:val="none" w:sz="0" w:space="0" w:color="auto"/>
      </w:divBdr>
    </w:div>
    <w:div w:id="214243683">
      <w:bodyDiv w:val="1"/>
      <w:marLeft w:val="0"/>
      <w:marRight w:val="0"/>
      <w:marTop w:val="0"/>
      <w:marBottom w:val="0"/>
      <w:divBdr>
        <w:top w:val="none" w:sz="0" w:space="0" w:color="auto"/>
        <w:left w:val="none" w:sz="0" w:space="0" w:color="auto"/>
        <w:bottom w:val="none" w:sz="0" w:space="0" w:color="auto"/>
        <w:right w:val="none" w:sz="0" w:space="0" w:color="auto"/>
      </w:divBdr>
    </w:div>
    <w:div w:id="214781830">
      <w:bodyDiv w:val="1"/>
      <w:marLeft w:val="0"/>
      <w:marRight w:val="0"/>
      <w:marTop w:val="0"/>
      <w:marBottom w:val="0"/>
      <w:divBdr>
        <w:top w:val="none" w:sz="0" w:space="0" w:color="auto"/>
        <w:left w:val="none" w:sz="0" w:space="0" w:color="auto"/>
        <w:bottom w:val="none" w:sz="0" w:space="0" w:color="auto"/>
        <w:right w:val="none" w:sz="0" w:space="0" w:color="auto"/>
      </w:divBdr>
    </w:div>
    <w:div w:id="215243416">
      <w:bodyDiv w:val="1"/>
      <w:marLeft w:val="0"/>
      <w:marRight w:val="0"/>
      <w:marTop w:val="0"/>
      <w:marBottom w:val="0"/>
      <w:divBdr>
        <w:top w:val="none" w:sz="0" w:space="0" w:color="auto"/>
        <w:left w:val="none" w:sz="0" w:space="0" w:color="auto"/>
        <w:bottom w:val="none" w:sz="0" w:space="0" w:color="auto"/>
        <w:right w:val="none" w:sz="0" w:space="0" w:color="auto"/>
      </w:divBdr>
    </w:div>
    <w:div w:id="215746322">
      <w:bodyDiv w:val="1"/>
      <w:marLeft w:val="0"/>
      <w:marRight w:val="0"/>
      <w:marTop w:val="0"/>
      <w:marBottom w:val="0"/>
      <w:divBdr>
        <w:top w:val="none" w:sz="0" w:space="0" w:color="auto"/>
        <w:left w:val="none" w:sz="0" w:space="0" w:color="auto"/>
        <w:bottom w:val="none" w:sz="0" w:space="0" w:color="auto"/>
        <w:right w:val="none" w:sz="0" w:space="0" w:color="auto"/>
      </w:divBdr>
    </w:div>
    <w:div w:id="215776571">
      <w:bodyDiv w:val="1"/>
      <w:marLeft w:val="0"/>
      <w:marRight w:val="0"/>
      <w:marTop w:val="0"/>
      <w:marBottom w:val="0"/>
      <w:divBdr>
        <w:top w:val="none" w:sz="0" w:space="0" w:color="auto"/>
        <w:left w:val="none" w:sz="0" w:space="0" w:color="auto"/>
        <w:bottom w:val="none" w:sz="0" w:space="0" w:color="auto"/>
        <w:right w:val="none" w:sz="0" w:space="0" w:color="auto"/>
      </w:divBdr>
    </w:div>
    <w:div w:id="215816759">
      <w:bodyDiv w:val="1"/>
      <w:marLeft w:val="0"/>
      <w:marRight w:val="0"/>
      <w:marTop w:val="0"/>
      <w:marBottom w:val="0"/>
      <w:divBdr>
        <w:top w:val="none" w:sz="0" w:space="0" w:color="auto"/>
        <w:left w:val="none" w:sz="0" w:space="0" w:color="auto"/>
        <w:bottom w:val="none" w:sz="0" w:space="0" w:color="auto"/>
        <w:right w:val="none" w:sz="0" w:space="0" w:color="auto"/>
      </w:divBdr>
    </w:div>
    <w:div w:id="216359200">
      <w:bodyDiv w:val="1"/>
      <w:marLeft w:val="0"/>
      <w:marRight w:val="0"/>
      <w:marTop w:val="0"/>
      <w:marBottom w:val="0"/>
      <w:divBdr>
        <w:top w:val="none" w:sz="0" w:space="0" w:color="auto"/>
        <w:left w:val="none" w:sz="0" w:space="0" w:color="auto"/>
        <w:bottom w:val="none" w:sz="0" w:space="0" w:color="auto"/>
        <w:right w:val="none" w:sz="0" w:space="0" w:color="auto"/>
      </w:divBdr>
    </w:div>
    <w:div w:id="216401834">
      <w:bodyDiv w:val="1"/>
      <w:marLeft w:val="0"/>
      <w:marRight w:val="0"/>
      <w:marTop w:val="0"/>
      <w:marBottom w:val="0"/>
      <w:divBdr>
        <w:top w:val="none" w:sz="0" w:space="0" w:color="auto"/>
        <w:left w:val="none" w:sz="0" w:space="0" w:color="auto"/>
        <w:bottom w:val="none" w:sz="0" w:space="0" w:color="auto"/>
        <w:right w:val="none" w:sz="0" w:space="0" w:color="auto"/>
      </w:divBdr>
    </w:div>
    <w:div w:id="216817131">
      <w:bodyDiv w:val="1"/>
      <w:marLeft w:val="0"/>
      <w:marRight w:val="0"/>
      <w:marTop w:val="0"/>
      <w:marBottom w:val="0"/>
      <w:divBdr>
        <w:top w:val="none" w:sz="0" w:space="0" w:color="auto"/>
        <w:left w:val="none" w:sz="0" w:space="0" w:color="auto"/>
        <w:bottom w:val="none" w:sz="0" w:space="0" w:color="auto"/>
        <w:right w:val="none" w:sz="0" w:space="0" w:color="auto"/>
      </w:divBdr>
    </w:div>
    <w:div w:id="217404258">
      <w:bodyDiv w:val="1"/>
      <w:marLeft w:val="0"/>
      <w:marRight w:val="0"/>
      <w:marTop w:val="0"/>
      <w:marBottom w:val="0"/>
      <w:divBdr>
        <w:top w:val="none" w:sz="0" w:space="0" w:color="auto"/>
        <w:left w:val="none" w:sz="0" w:space="0" w:color="auto"/>
        <w:bottom w:val="none" w:sz="0" w:space="0" w:color="auto"/>
        <w:right w:val="none" w:sz="0" w:space="0" w:color="auto"/>
      </w:divBdr>
    </w:div>
    <w:div w:id="217670196">
      <w:bodyDiv w:val="1"/>
      <w:marLeft w:val="0"/>
      <w:marRight w:val="0"/>
      <w:marTop w:val="0"/>
      <w:marBottom w:val="0"/>
      <w:divBdr>
        <w:top w:val="none" w:sz="0" w:space="0" w:color="auto"/>
        <w:left w:val="none" w:sz="0" w:space="0" w:color="auto"/>
        <w:bottom w:val="none" w:sz="0" w:space="0" w:color="auto"/>
        <w:right w:val="none" w:sz="0" w:space="0" w:color="auto"/>
      </w:divBdr>
    </w:div>
    <w:div w:id="218785864">
      <w:bodyDiv w:val="1"/>
      <w:marLeft w:val="0"/>
      <w:marRight w:val="0"/>
      <w:marTop w:val="0"/>
      <w:marBottom w:val="0"/>
      <w:divBdr>
        <w:top w:val="none" w:sz="0" w:space="0" w:color="auto"/>
        <w:left w:val="none" w:sz="0" w:space="0" w:color="auto"/>
        <w:bottom w:val="none" w:sz="0" w:space="0" w:color="auto"/>
        <w:right w:val="none" w:sz="0" w:space="0" w:color="auto"/>
      </w:divBdr>
    </w:div>
    <w:div w:id="220218347">
      <w:bodyDiv w:val="1"/>
      <w:marLeft w:val="0"/>
      <w:marRight w:val="0"/>
      <w:marTop w:val="0"/>
      <w:marBottom w:val="0"/>
      <w:divBdr>
        <w:top w:val="none" w:sz="0" w:space="0" w:color="auto"/>
        <w:left w:val="none" w:sz="0" w:space="0" w:color="auto"/>
        <w:bottom w:val="none" w:sz="0" w:space="0" w:color="auto"/>
        <w:right w:val="none" w:sz="0" w:space="0" w:color="auto"/>
      </w:divBdr>
    </w:div>
    <w:div w:id="221018559">
      <w:bodyDiv w:val="1"/>
      <w:marLeft w:val="0"/>
      <w:marRight w:val="0"/>
      <w:marTop w:val="0"/>
      <w:marBottom w:val="0"/>
      <w:divBdr>
        <w:top w:val="none" w:sz="0" w:space="0" w:color="auto"/>
        <w:left w:val="none" w:sz="0" w:space="0" w:color="auto"/>
        <w:bottom w:val="none" w:sz="0" w:space="0" w:color="auto"/>
        <w:right w:val="none" w:sz="0" w:space="0" w:color="auto"/>
      </w:divBdr>
    </w:div>
    <w:div w:id="221066060">
      <w:bodyDiv w:val="1"/>
      <w:marLeft w:val="0"/>
      <w:marRight w:val="0"/>
      <w:marTop w:val="0"/>
      <w:marBottom w:val="0"/>
      <w:divBdr>
        <w:top w:val="none" w:sz="0" w:space="0" w:color="auto"/>
        <w:left w:val="none" w:sz="0" w:space="0" w:color="auto"/>
        <w:bottom w:val="none" w:sz="0" w:space="0" w:color="auto"/>
        <w:right w:val="none" w:sz="0" w:space="0" w:color="auto"/>
      </w:divBdr>
    </w:div>
    <w:div w:id="222327630">
      <w:bodyDiv w:val="1"/>
      <w:marLeft w:val="0"/>
      <w:marRight w:val="0"/>
      <w:marTop w:val="0"/>
      <w:marBottom w:val="0"/>
      <w:divBdr>
        <w:top w:val="none" w:sz="0" w:space="0" w:color="auto"/>
        <w:left w:val="none" w:sz="0" w:space="0" w:color="auto"/>
        <w:bottom w:val="none" w:sz="0" w:space="0" w:color="auto"/>
        <w:right w:val="none" w:sz="0" w:space="0" w:color="auto"/>
      </w:divBdr>
    </w:div>
    <w:div w:id="222762520">
      <w:bodyDiv w:val="1"/>
      <w:marLeft w:val="0"/>
      <w:marRight w:val="0"/>
      <w:marTop w:val="0"/>
      <w:marBottom w:val="0"/>
      <w:divBdr>
        <w:top w:val="none" w:sz="0" w:space="0" w:color="auto"/>
        <w:left w:val="none" w:sz="0" w:space="0" w:color="auto"/>
        <w:bottom w:val="none" w:sz="0" w:space="0" w:color="auto"/>
        <w:right w:val="none" w:sz="0" w:space="0" w:color="auto"/>
      </w:divBdr>
    </w:div>
    <w:div w:id="222839211">
      <w:bodyDiv w:val="1"/>
      <w:marLeft w:val="0"/>
      <w:marRight w:val="0"/>
      <w:marTop w:val="0"/>
      <w:marBottom w:val="0"/>
      <w:divBdr>
        <w:top w:val="none" w:sz="0" w:space="0" w:color="auto"/>
        <w:left w:val="none" w:sz="0" w:space="0" w:color="auto"/>
        <w:bottom w:val="none" w:sz="0" w:space="0" w:color="auto"/>
        <w:right w:val="none" w:sz="0" w:space="0" w:color="auto"/>
      </w:divBdr>
    </w:div>
    <w:div w:id="223830504">
      <w:bodyDiv w:val="1"/>
      <w:marLeft w:val="0"/>
      <w:marRight w:val="0"/>
      <w:marTop w:val="0"/>
      <w:marBottom w:val="0"/>
      <w:divBdr>
        <w:top w:val="none" w:sz="0" w:space="0" w:color="auto"/>
        <w:left w:val="none" w:sz="0" w:space="0" w:color="auto"/>
        <w:bottom w:val="none" w:sz="0" w:space="0" w:color="auto"/>
        <w:right w:val="none" w:sz="0" w:space="0" w:color="auto"/>
      </w:divBdr>
    </w:div>
    <w:div w:id="224727517">
      <w:bodyDiv w:val="1"/>
      <w:marLeft w:val="0"/>
      <w:marRight w:val="0"/>
      <w:marTop w:val="0"/>
      <w:marBottom w:val="0"/>
      <w:divBdr>
        <w:top w:val="none" w:sz="0" w:space="0" w:color="auto"/>
        <w:left w:val="none" w:sz="0" w:space="0" w:color="auto"/>
        <w:bottom w:val="none" w:sz="0" w:space="0" w:color="auto"/>
        <w:right w:val="none" w:sz="0" w:space="0" w:color="auto"/>
      </w:divBdr>
    </w:div>
    <w:div w:id="225074244">
      <w:bodyDiv w:val="1"/>
      <w:marLeft w:val="0"/>
      <w:marRight w:val="0"/>
      <w:marTop w:val="0"/>
      <w:marBottom w:val="0"/>
      <w:divBdr>
        <w:top w:val="none" w:sz="0" w:space="0" w:color="auto"/>
        <w:left w:val="none" w:sz="0" w:space="0" w:color="auto"/>
        <w:bottom w:val="none" w:sz="0" w:space="0" w:color="auto"/>
        <w:right w:val="none" w:sz="0" w:space="0" w:color="auto"/>
      </w:divBdr>
    </w:div>
    <w:div w:id="225187903">
      <w:bodyDiv w:val="1"/>
      <w:marLeft w:val="0"/>
      <w:marRight w:val="0"/>
      <w:marTop w:val="0"/>
      <w:marBottom w:val="0"/>
      <w:divBdr>
        <w:top w:val="none" w:sz="0" w:space="0" w:color="auto"/>
        <w:left w:val="none" w:sz="0" w:space="0" w:color="auto"/>
        <w:bottom w:val="none" w:sz="0" w:space="0" w:color="auto"/>
        <w:right w:val="none" w:sz="0" w:space="0" w:color="auto"/>
      </w:divBdr>
    </w:div>
    <w:div w:id="225653270">
      <w:bodyDiv w:val="1"/>
      <w:marLeft w:val="0"/>
      <w:marRight w:val="0"/>
      <w:marTop w:val="0"/>
      <w:marBottom w:val="0"/>
      <w:divBdr>
        <w:top w:val="none" w:sz="0" w:space="0" w:color="auto"/>
        <w:left w:val="none" w:sz="0" w:space="0" w:color="auto"/>
        <w:bottom w:val="none" w:sz="0" w:space="0" w:color="auto"/>
        <w:right w:val="none" w:sz="0" w:space="0" w:color="auto"/>
      </w:divBdr>
    </w:div>
    <w:div w:id="226455474">
      <w:bodyDiv w:val="1"/>
      <w:marLeft w:val="0"/>
      <w:marRight w:val="0"/>
      <w:marTop w:val="0"/>
      <w:marBottom w:val="0"/>
      <w:divBdr>
        <w:top w:val="none" w:sz="0" w:space="0" w:color="auto"/>
        <w:left w:val="none" w:sz="0" w:space="0" w:color="auto"/>
        <w:bottom w:val="none" w:sz="0" w:space="0" w:color="auto"/>
        <w:right w:val="none" w:sz="0" w:space="0" w:color="auto"/>
      </w:divBdr>
    </w:div>
    <w:div w:id="226914963">
      <w:bodyDiv w:val="1"/>
      <w:marLeft w:val="0"/>
      <w:marRight w:val="0"/>
      <w:marTop w:val="0"/>
      <w:marBottom w:val="0"/>
      <w:divBdr>
        <w:top w:val="none" w:sz="0" w:space="0" w:color="auto"/>
        <w:left w:val="none" w:sz="0" w:space="0" w:color="auto"/>
        <w:bottom w:val="none" w:sz="0" w:space="0" w:color="auto"/>
        <w:right w:val="none" w:sz="0" w:space="0" w:color="auto"/>
      </w:divBdr>
    </w:div>
    <w:div w:id="227497696">
      <w:bodyDiv w:val="1"/>
      <w:marLeft w:val="0"/>
      <w:marRight w:val="0"/>
      <w:marTop w:val="0"/>
      <w:marBottom w:val="0"/>
      <w:divBdr>
        <w:top w:val="none" w:sz="0" w:space="0" w:color="auto"/>
        <w:left w:val="none" w:sz="0" w:space="0" w:color="auto"/>
        <w:bottom w:val="none" w:sz="0" w:space="0" w:color="auto"/>
        <w:right w:val="none" w:sz="0" w:space="0" w:color="auto"/>
      </w:divBdr>
    </w:div>
    <w:div w:id="229924041">
      <w:bodyDiv w:val="1"/>
      <w:marLeft w:val="0"/>
      <w:marRight w:val="0"/>
      <w:marTop w:val="0"/>
      <w:marBottom w:val="0"/>
      <w:divBdr>
        <w:top w:val="none" w:sz="0" w:space="0" w:color="auto"/>
        <w:left w:val="none" w:sz="0" w:space="0" w:color="auto"/>
        <w:bottom w:val="none" w:sz="0" w:space="0" w:color="auto"/>
        <w:right w:val="none" w:sz="0" w:space="0" w:color="auto"/>
      </w:divBdr>
    </w:div>
    <w:div w:id="230119520">
      <w:bodyDiv w:val="1"/>
      <w:marLeft w:val="0"/>
      <w:marRight w:val="0"/>
      <w:marTop w:val="0"/>
      <w:marBottom w:val="0"/>
      <w:divBdr>
        <w:top w:val="none" w:sz="0" w:space="0" w:color="auto"/>
        <w:left w:val="none" w:sz="0" w:space="0" w:color="auto"/>
        <w:bottom w:val="none" w:sz="0" w:space="0" w:color="auto"/>
        <w:right w:val="none" w:sz="0" w:space="0" w:color="auto"/>
      </w:divBdr>
    </w:div>
    <w:div w:id="231236619">
      <w:bodyDiv w:val="1"/>
      <w:marLeft w:val="0"/>
      <w:marRight w:val="0"/>
      <w:marTop w:val="0"/>
      <w:marBottom w:val="0"/>
      <w:divBdr>
        <w:top w:val="none" w:sz="0" w:space="0" w:color="auto"/>
        <w:left w:val="none" w:sz="0" w:space="0" w:color="auto"/>
        <w:bottom w:val="none" w:sz="0" w:space="0" w:color="auto"/>
        <w:right w:val="none" w:sz="0" w:space="0" w:color="auto"/>
      </w:divBdr>
    </w:div>
    <w:div w:id="231350425">
      <w:bodyDiv w:val="1"/>
      <w:marLeft w:val="0"/>
      <w:marRight w:val="0"/>
      <w:marTop w:val="0"/>
      <w:marBottom w:val="0"/>
      <w:divBdr>
        <w:top w:val="none" w:sz="0" w:space="0" w:color="auto"/>
        <w:left w:val="none" w:sz="0" w:space="0" w:color="auto"/>
        <w:bottom w:val="none" w:sz="0" w:space="0" w:color="auto"/>
        <w:right w:val="none" w:sz="0" w:space="0" w:color="auto"/>
      </w:divBdr>
    </w:div>
    <w:div w:id="231819319">
      <w:bodyDiv w:val="1"/>
      <w:marLeft w:val="0"/>
      <w:marRight w:val="0"/>
      <w:marTop w:val="0"/>
      <w:marBottom w:val="0"/>
      <w:divBdr>
        <w:top w:val="none" w:sz="0" w:space="0" w:color="auto"/>
        <w:left w:val="none" w:sz="0" w:space="0" w:color="auto"/>
        <w:bottom w:val="none" w:sz="0" w:space="0" w:color="auto"/>
        <w:right w:val="none" w:sz="0" w:space="0" w:color="auto"/>
      </w:divBdr>
    </w:div>
    <w:div w:id="231888036">
      <w:bodyDiv w:val="1"/>
      <w:marLeft w:val="0"/>
      <w:marRight w:val="0"/>
      <w:marTop w:val="0"/>
      <w:marBottom w:val="0"/>
      <w:divBdr>
        <w:top w:val="none" w:sz="0" w:space="0" w:color="auto"/>
        <w:left w:val="none" w:sz="0" w:space="0" w:color="auto"/>
        <w:bottom w:val="none" w:sz="0" w:space="0" w:color="auto"/>
        <w:right w:val="none" w:sz="0" w:space="0" w:color="auto"/>
      </w:divBdr>
    </w:div>
    <w:div w:id="231963715">
      <w:bodyDiv w:val="1"/>
      <w:marLeft w:val="0"/>
      <w:marRight w:val="0"/>
      <w:marTop w:val="0"/>
      <w:marBottom w:val="0"/>
      <w:divBdr>
        <w:top w:val="none" w:sz="0" w:space="0" w:color="auto"/>
        <w:left w:val="none" w:sz="0" w:space="0" w:color="auto"/>
        <w:bottom w:val="none" w:sz="0" w:space="0" w:color="auto"/>
        <w:right w:val="none" w:sz="0" w:space="0" w:color="auto"/>
      </w:divBdr>
    </w:div>
    <w:div w:id="232009236">
      <w:bodyDiv w:val="1"/>
      <w:marLeft w:val="0"/>
      <w:marRight w:val="0"/>
      <w:marTop w:val="0"/>
      <w:marBottom w:val="0"/>
      <w:divBdr>
        <w:top w:val="none" w:sz="0" w:space="0" w:color="auto"/>
        <w:left w:val="none" w:sz="0" w:space="0" w:color="auto"/>
        <w:bottom w:val="none" w:sz="0" w:space="0" w:color="auto"/>
        <w:right w:val="none" w:sz="0" w:space="0" w:color="auto"/>
      </w:divBdr>
    </w:div>
    <w:div w:id="232080689">
      <w:bodyDiv w:val="1"/>
      <w:marLeft w:val="0"/>
      <w:marRight w:val="0"/>
      <w:marTop w:val="0"/>
      <w:marBottom w:val="0"/>
      <w:divBdr>
        <w:top w:val="none" w:sz="0" w:space="0" w:color="auto"/>
        <w:left w:val="none" w:sz="0" w:space="0" w:color="auto"/>
        <w:bottom w:val="none" w:sz="0" w:space="0" w:color="auto"/>
        <w:right w:val="none" w:sz="0" w:space="0" w:color="auto"/>
      </w:divBdr>
    </w:div>
    <w:div w:id="232391604">
      <w:bodyDiv w:val="1"/>
      <w:marLeft w:val="0"/>
      <w:marRight w:val="0"/>
      <w:marTop w:val="0"/>
      <w:marBottom w:val="0"/>
      <w:divBdr>
        <w:top w:val="none" w:sz="0" w:space="0" w:color="auto"/>
        <w:left w:val="none" w:sz="0" w:space="0" w:color="auto"/>
        <w:bottom w:val="none" w:sz="0" w:space="0" w:color="auto"/>
        <w:right w:val="none" w:sz="0" w:space="0" w:color="auto"/>
      </w:divBdr>
    </w:div>
    <w:div w:id="235825643">
      <w:bodyDiv w:val="1"/>
      <w:marLeft w:val="0"/>
      <w:marRight w:val="0"/>
      <w:marTop w:val="0"/>
      <w:marBottom w:val="0"/>
      <w:divBdr>
        <w:top w:val="none" w:sz="0" w:space="0" w:color="auto"/>
        <w:left w:val="none" w:sz="0" w:space="0" w:color="auto"/>
        <w:bottom w:val="none" w:sz="0" w:space="0" w:color="auto"/>
        <w:right w:val="none" w:sz="0" w:space="0" w:color="auto"/>
      </w:divBdr>
    </w:div>
    <w:div w:id="236866770">
      <w:bodyDiv w:val="1"/>
      <w:marLeft w:val="0"/>
      <w:marRight w:val="0"/>
      <w:marTop w:val="0"/>
      <w:marBottom w:val="0"/>
      <w:divBdr>
        <w:top w:val="none" w:sz="0" w:space="0" w:color="auto"/>
        <w:left w:val="none" w:sz="0" w:space="0" w:color="auto"/>
        <w:bottom w:val="none" w:sz="0" w:space="0" w:color="auto"/>
        <w:right w:val="none" w:sz="0" w:space="0" w:color="auto"/>
      </w:divBdr>
    </w:div>
    <w:div w:id="237249403">
      <w:bodyDiv w:val="1"/>
      <w:marLeft w:val="0"/>
      <w:marRight w:val="0"/>
      <w:marTop w:val="0"/>
      <w:marBottom w:val="0"/>
      <w:divBdr>
        <w:top w:val="none" w:sz="0" w:space="0" w:color="auto"/>
        <w:left w:val="none" w:sz="0" w:space="0" w:color="auto"/>
        <w:bottom w:val="none" w:sz="0" w:space="0" w:color="auto"/>
        <w:right w:val="none" w:sz="0" w:space="0" w:color="auto"/>
      </w:divBdr>
      <w:divsChild>
        <w:div w:id="1355031678">
          <w:marLeft w:val="0"/>
          <w:marRight w:val="0"/>
          <w:marTop w:val="0"/>
          <w:marBottom w:val="0"/>
          <w:divBdr>
            <w:top w:val="none" w:sz="0" w:space="0" w:color="auto"/>
            <w:left w:val="none" w:sz="0" w:space="0" w:color="auto"/>
            <w:bottom w:val="none" w:sz="0" w:space="0" w:color="auto"/>
            <w:right w:val="none" w:sz="0" w:space="0" w:color="auto"/>
          </w:divBdr>
          <w:divsChild>
            <w:div w:id="1867061182">
              <w:marLeft w:val="0"/>
              <w:marRight w:val="0"/>
              <w:marTop w:val="0"/>
              <w:marBottom w:val="0"/>
              <w:divBdr>
                <w:top w:val="none" w:sz="0" w:space="0" w:color="auto"/>
                <w:left w:val="none" w:sz="0" w:space="0" w:color="auto"/>
                <w:bottom w:val="none" w:sz="0" w:space="0" w:color="auto"/>
                <w:right w:val="none" w:sz="0" w:space="0" w:color="auto"/>
              </w:divBdr>
              <w:divsChild>
                <w:div w:id="1992637804">
                  <w:marLeft w:val="0"/>
                  <w:marRight w:val="0"/>
                  <w:marTop w:val="0"/>
                  <w:marBottom w:val="0"/>
                  <w:divBdr>
                    <w:top w:val="none" w:sz="0" w:space="0" w:color="auto"/>
                    <w:left w:val="none" w:sz="0" w:space="0" w:color="auto"/>
                    <w:bottom w:val="none" w:sz="0" w:space="0" w:color="auto"/>
                    <w:right w:val="none" w:sz="0" w:space="0" w:color="auto"/>
                  </w:divBdr>
                  <w:divsChild>
                    <w:div w:id="1395734084">
                      <w:marLeft w:val="0"/>
                      <w:marRight w:val="0"/>
                      <w:marTop w:val="0"/>
                      <w:marBottom w:val="0"/>
                      <w:divBdr>
                        <w:top w:val="none" w:sz="0" w:space="0" w:color="auto"/>
                        <w:left w:val="none" w:sz="0" w:space="0" w:color="auto"/>
                        <w:bottom w:val="none" w:sz="0" w:space="0" w:color="auto"/>
                        <w:right w:val="none" w:sz="0" w:space="0" w:color="auto"/>
                      </w:divBdr>
                      <w:divsChild>
                        <w:div w:id="101018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8372259">
      <w:bodyDiv w:val="1"/>
      <w:marLeft w:val="0"/>
      <w:marRight w:val="0"/>
      <w:marTop w:val="0"/>
      <w:marBottom w:val="0"/>
      <w:divBdr>
        <w:top w:val="none" w:sz="0" w:space="0" w:color="auto"/>
        <w:left w:val="none" w:sz="0" w:space="0" w:color="auto"/>
        <w:bottom w:val="none" w:sz="0" w:space="0" w:color="auto"/>
        <w:right w:val="none" w:sz="0" w:space="0" w:color="auto"/>
      </w:divBdr>
    </w:div>
    <w:div w:id="238447833">
      <w:bodyDiv w:val="1"/>
      <w:marLeft w:val="0"/>
      <w:marRight w:val="0"/>
      <w:marTop w:val="0"/>
      <w:marBottom w:val="0"/>
      <w:divBdr>
        <w:top w:val="none" w:sz="0" w:space="0" w:color="auto"/>
        <w:left w:val="none" w:sz="0" w:space="0" w:color="auto"/>
        <w:bottom w:val="none" w:sz="0" w:space="0" w:color="auto"/>
        <w:right w:val="none" w:sz="0" w:space="0" w:color="auto"/>
      </w:divBdr>
    </w:div>
    <w:div w:id="239295420">
      <w:bodyDiv w:val="1"/>
      <w:marLeft w:val="0"/>
      <w:marRight w:val="0"/>
      <w:marTop w:val="0"/>
      <w:marBottom w:val="0"/>
      <w:divBdr>
        <w:top w:val="none" w:sz="0" w:space="0" w:color="auto"/>
        <w:left w:val="none" w:sz="0" w:space="0" w:color="auto"/>
        <w:bottom w:val="none" w:sz="0" w:space="0" w:color="auto"/>
        <w:right w:val="none" w:sz="0" w:space="0" w:color="auto"/>
      </w:divBdr>
    </w:div>
    <w:div w:id="239481781">
      <w:bodyDiv w:val="1"/>
      <w:marLeft w:val="0"/>
      <w:marRight w:val="0"/>
      <w:marTop w:val="0"/>
      <w:marBottom w:val="0"/>
      <w:divBdr>
        <w:top w:val="none" w:sz="0" w:space="0" w:color="auto"/>
        <w:left w:val="none" w:sz="0" w:space="0" w:color="auto"/>
        <w:bottom w:val="none" w:sz="0" w:space="0" w:color="auto"/>
        <w:right w:val="none" w:sz="0" w:space="0" w:color="auto"/>
      </w:divBdr>
    </w:div>
    <w:div w:id="239753486">
      <w:bodyDiv w:val="1"/>
      <w:marLeft w:val="0"/>
      <w:marRight w:val="0"/>
      <w:marTop w:val="0"/>
      <w:marBottom w:val="0"/>
      <w:divBdr>
        <w:top w:val="none" w:sz="0" w:space="0" w:color="auto"/>
        <w:left w:val="none" w:sz="0" w:space="0" w:color="auto"/>
        <w:bottom w:val="none" w:sz="0" w:space="0" w:color="auto"/>
        <w:right w:val="none" w:sz="0" w:space="0" w:color="auto"/>
      </w:divBdr>
    </w:div>
    <w:div w:id="240215473">
      <w:bodyDiv w:val="1"/>
      <w:marLeft w:val="0"/>
      <w:marRight w:val="0"/>
      <w:marTop w:val="0"/>
      <w:marBottom w:val="0"/>
      <w:divBdr>
        <w:top w:val="none" w:sz="0" w:space="0" w:color="auto"/>
        <w:left w:val="none" w:sz="0" w:space="0" w:color="auto"/>
        <w:bottom w:val="none" w:sz="0" w:space="0" w:color="auto"/>
        <w:right w:val="none" w:sz="0" w:space="0" w:color="auto"/>
      </w:divBdr>
    </w:div>
    <w:div w:id="240455629">
      <w:bodyDiv w:val="1"/>
      <w:marLeft w:val="0"/>
      <w:marRight w:val="0"/>
      <w:marTop w:val="0"/>
      <w:marBottom w:val="0"/>
      <w:divBdr>
        <w:top w:val="none" w:sz="0" w:space="0" w:color="auto"/>
        <w:left w:val="none" w:sz="0" w:space="0" w:color="auto"/>
        <w:bottom w:val="none" w:sz="0" w:space="0" w:color="auto"/>
        <w:right w:val="none" w:sz="0" w:space="0" w:color="auto"/>
      </w:divBdr>
    </w:div>
    <w:div w:id="240603527">
      <w:bodyDiv w:val="1"/>
      <w:marLeft w:val="0"/>
      <w:marRight w:val="0"/>
      <w:marTop w:val="0"/>
      <w:marBottom w:val="0"/>
      <w:divBdr>
        <w:top w:val="none" w:sz="0" w:space="0" w:color="auto"/>
        <w:left w:val="none" w:sz="0" w:space="0" w:color="auto"/>
        <w:bottom w:val="none" w:sz="0" w:space="0" w:color="auto"/>
        <w:right w:val="none" w:sz="0" w:space="0" w:color="auto"/>
      </w:divBdr>
    </w:div>
    <w:div w:id="241188029">
      <w:bodyDiv w:val="1"/>
      <w:marLeft w:val="0"/>
      <w:marRight w:val="0"/>
      <w:marTop w:val="0"/>
      <w:marBottom w:val="0"/>
      <w:divBdr>
        <w:top w:val="none" w:sz="0" w:space="0" w:color="auto"/>
        <w:left w:val="none" w:sz="0" w:space="0" w:color="auto"/>
        <w:bottom w:val="none" w:sz="0" w:space="0" w:color="auto"/>
        <w:right w:val="none" w:sz="0" w:space="0" w:color="auto"/>
      </w:divBdr>
    </w:div>
    <w:div w:id="241256277">
      <w:bodyDiv w:val="1"/>
      <w:marLeft w:val="0"/>
      <w:marRight w:val="0"/>
      <w:marTop w:val="0"/>
      <w:marBottom w:val="0"/>
      <w:divBdr>
        <w:top w:val="none" w:sz="0" w:space="0" w:color="auto"/>
        <w:left w:val="none" w:sz="0" w:space="0" w:color="auto"/>
        <w:bottom w:val="none" w:sz="0" w:space="0" w:color="auto"/>
        <w:right w:val="none" w:sz="0" w:space="0" w:color="auto"/>
      </w:divBdr>
    </w:div>
    <w:div w:id="241378303">
      <w:bodyDiv w:val="1"/>
      <w:marLeft w:val="0"/>
      <w:marRight w:val="0"/>
      <w:marTop w:val="0"/>
      <w:marBottom w:val="0"/>
      <w:divBdr>
        <w:top w:val="none" w:sz="0" w:space="0" w:color="auto"/>
        <w:left w:val="none" w:sz="0" w:space="0" w:color="auto"/>
        <w:bottom w:val="none" w:sz="0" w:space="0" w:color="auto"/>
        <w:right w:val="none" w:sz="0" w:space="0" w:color="auto"/>
      </w:divBdr>
    </w:div>
    <w:div w:id="241455698">
      <w:bodyDiv w:val="1"/>
      <w:marLeft w:val="0"/>
      <w:marRight w:val="0"/>
      <w:marTop w:val="0"/>
      <w:marBottom w:val="0"/>
      <w:divBdr>
        <w:top w:val="none" w:sz="0" w:space="0" w:color="auto"/>
        <w:left w:val="none" w:sz="0" w:space="0" w:color="auto"/>
        <w:bottom w:val="none" w:sz="0" w:space="0" w:color="auto"/>
        <w:right w:val="none" w:sz="0" w:space="0" w:color="auto"/>
      </w:divBdr>
    </w:div>
    <w:div w:id="241643534">
      <w:bodyDiv w:val="1"/>
      <w:marLeft w:val="0"/>
      <w:marRight w:val="0"/>
      <w:marTop w:val="0"/>
      <w:marBottom w:val="0"/>
      <w:divBdr>
        <w:top w:val="none" w:sz="0" w:space="0" w:color="auto"/>
        <w:left w:val="none" w:sz="0" w:space="0" w:color="auto"/>
        <w:bottom w:val="none" w:sz="0" w:space="0" w:color="auto"/>
        <w:right w:val="none" w:sz="0" w:space="0" w:color="auto"/>
      </w:divBdr>
    </w:div>
    <w:div w:id="241723116">
      <w:bodyDiv w:val="1"/>
      <w:marLeft w:val="0"/>
      <w:marRight w:val="0"/>
      <w:marTop w:val="0"/>
      <w:marBottom w:val="0"/>
      <w:divBdr>
        <w:top w:val="none" w:sz="0" w:space="0" w:color="auto"/>
        <w:left w:val="none" w:sz="0" w:space="0" w:color="auto"/>
        <w:bottom w:val="none" w:sz="0" w:space="0" w:color="auto"/>
        <w:right w:val="none" w:sz="0" w:space="0" w:color="auto"/>
      </w:divBdr>
    </w:div>
    <w:div w:id="241836851">
      <w:bodyDiv w:val="1"/>
      <w:marLeft w:val="0"/>
      <w:marRight w:val="0"/>
      <w:marTop w:val="0"/>
      <w:marBottom w:val="0"/>
      <w:divBdr>
        <w:top w:val="none" w:sz="0" w:space="0" w:color="auto"/>
        <w:left w:val="none" w:sz="0" w:space="0" w:color="auto"/>
        <w:bottom w:val="none" w:sz="0" w:space="0" w:color="auto"/>
        <w:right w:val="none" w:sz="0" w:space="0" w:color="auto"/>
      </w:divBdr>
    </w:div>
    <w:div w:id="241838255">
      <w:bodyDiv w:val="1"/>
      <w:marLeft w:val="0"/>
      <w:marRight w:val="0"/>
      <w:marTop w:val="0"/>
      <w:marBottom w:val="0"/>
      <w:divBdr>
        <w:top w:val="none" w:sz="0" w:space="0" w:color="auto"/>
        <w:left w:val="none" w:sz="0" w:space="0" w:color="auto"/>
        <w:bottom w:val="none" w:sz="0" w:space="0" w:color="auto"/>
        <w:right w:val="none" w:sz="0" w:space="0" w:color="auto"/>
      </w:divBdr>
    </w:div>
    <w:div w:id="242299163">
      <w:bodyDiv w:val="1"/>
      <w:marLeft w:val="0"/>
      <w:marRight w:val="0"/>
      <w:marTop w:val="0"/>
      <w:marBottom w:val="0"/>
      <w:divBdr>
        <w:top w:val="none" w:sz="0" w:space="0" w:color="auto"/>
        <w:left w:val="none" w:sz="0" w:space="0" w:color="auto"/>
        <w:bottom w:val="none" w:sz="0" w:space="0" w:color="auto"/>
        <w:right w:val="none" w:sz="0" w:space="0" w:color="auto"/>
      </w:divBdr>
    </w:div>
    <w:div w:id="242421236">
      <w:bodyDiv w:val="1"/>
      <w:marLeft w:val="0"/>
      <w:marRight w:val="0"/>
      <w:marTop w:val="0"/>
      <w:marBottom w:val="0"/>
      <w:divBdr>
        <w:top w:val="none" w:sz="0" w:space="0" w:color="auto"/>
        <w:left w:val="none" w:sz="0" w:space="0" w:color="auto"/>
        <w:bottom w:val="none" w:sz="0" w:space="0" w:color="auto"/>
        <w:right w:val="none" w:sz="0" w:space="0" w:color="auto"/>
      </w:divBdr>
    </w:div>
    <w:div w:id="242766338">
      <w:bodyDiv w:val="1"/>
      <w:marLeft w:val="0"/>
      <w:marRight w:val="0"/>
      <w:marTop w:val="0"/>
      <w:marBottom w:val="0"/>
      <w:divBdr>
        <w:top w:val="none" w:sz="0" w:space="0" w:color="auto"/>
        <w:left w:val="none" w:sz="0" w:space="0" w:color="auto"/>
        <w:bottom w:val="none" w:sz="0" w:space="0" w:color="auto"/>
        <w:right w:val="none" w:sz="0" w:space="0" w:color="auto"/>
      </w:divBdr>
    </w:div>
    <w:div w:id="243684898">
      <w:bodyDiv w:val="1"/>
      <w:marLeft w:val="0"/>
      <w:marRight w:val="0"/>
      <w:marTop w:val="0"/>
      <w:marBottom w:val="0"/>
      <w:divBdr>
        <w:top w:val="none" w:sz="0" w:space="0" w:color="auto"/>
        <w:left w:val="none" w:sz="0" w:space="0" w:color="auto"/>
        <w:bottom w:val="none" w:sz="0" w:space="0" w:color="auto"/>
        <w:right w:val="none" w:sz="0" w:space="0" w:color="auto"/>
      </w:divBdr>
    </w:div>
    <w:div w:id="243804543">
      <w:bodyDiv w:val="1"/>
      <w:marLeft w:val="0"/>
      <w:marRight w:val="0"/>
      <w:marTop w:val="0"/>
      <w:marBottom w:val="0"/>
      <w:divBdr>
        <w:top w:val="none" w:sz="0" w:space="0" w:color="auto"/>
        <w:left w:val="none" w:sz="0" w:space="0" w:color="auto"/>
        <w:bottom w:val="none" w:sz="0" w:space="0" w:color="auto"/>
        <w:right w:val="none" w:sz="0" w:space="0" w:color="auto"/>
      </w:divBdr>
    </w:div>
    <w:div w:id="244845919">
      <w:bodyDiv w:val="1"/>
      <w:marLeft w:val="0"/>
      <w:marRight w:val="0"/>
      <w:marTop w:val="0"/>
      <w:marBottom w:val="0"/>
      <w:divBdr>
        <w:top w:val="none" w:sz="0" w:space="0" w:color="auto"/>
        <w:left w:val="none" w:sz="0" w:space="0" w:color="auto"/>
        <w:bottom w:val="none" w:sz="0" w:space="0" w:color="auto"/>
        <w:right w:val="none" w:sz="0" w:space="0" w:color="auto"/>
      </w:divBdr>
    </w:div>
    <w:div w:id="245069731">
      <w:bodyDiv w:val="1"/>
      <w:marLeft w:val="0"/>
      <w:marRight w:val="0"/>
      <w:marTop w:val="0"/>
      <w:marBottom w:val="0"/>
      <w:divBdr>
        <w:top w:val="none" w:sz="0" w:space="0" w:color="auto"/>
        <w:left w:val="none" w:sz="0" w:space="0" w:color="auto"/>
        <w:bottom w:val="none" w:sz="0" w:space="0" w:color="auto"/>
        <w:right w:val="none" w:sz="0" w:space="0" w:color="auto"/>
      </w:divBdr>
    </w:div>
    <w:div w:id="245656612">
      <w:bodyDiv w:val="1"/>
      <w:marLeft w:val="0"/>
      <w:marRight w:val="0"/>
      <w:marTop w:val="0"/>
      <w:marBottom w:val="0"/>
      <w:divBdr>
        <w:top w:val="none" w:sz="0" w:space="0" w:color="auto"/>
        <w:left w:val="none" w:sz="0" w:space="0" w:color="auto"/>
        <w:bottom w:val="none" w:sz="0" w:space="0" w:color="auto"/>
        <w:right w:val="none" w:sz="0" w:space="0" w:color="auto"/>
      </w:divBdr>
    </w:div>
    <w:div w:id="245772688">
      <w:bodyDiv w:val="1"/>
      <w:marLeft w:val="0"/>
      <w:marRight w:val="0"/>
      <w:marTop w:val="0"/>
      <w:marBottom w:val="0"/>
      <w:divBdr>
        <w:top w:val="none" w:sz="0" w:space="0" w:color="auto"/>
        <w:left w:val="none" w:sz="0" w:space="0" w:color="auto"/>
        <w:bottom w:val="none" w:sz="0" w:space="0" w:color="auto"/>
        <w:right w:val="none" w:sz="0" w:space="0" w:color="auto"/>
      </w:divBdr>
    </w:div>
    <w:div w:id="245891369">
      <w:bodyDiv w:val="1"/>
      <w:marLeft w:val="0"/>
      <w:marRight w:val="0"/>
      <w:marTop w:val="0"/>
      <w:marBottom w:val="0"/>
      <w:divBdr>
        <w:top w:val="none" w:sz="0" w:space="0" w:color="auto"/>
        <w:left w:val="none" w:sz="0" w:space="0" w:color="auto"/>
        <w:bottom w:val="none" w:sz="0" w:space="0" w:color="auto"/>
        <w:right w:val="none" w:sz="0" w:space="0" w:color="auto"/>
      </w:divBdr>
    </w:div>
    <w:div w:id="245959316">
      <w:bodyDiv w:val="1"/>
      <w:marLeft w:val="0"/>
      <w:marRight w:val="0"/>
      <w:marTop w:val="0"/>
      <w:marBottom w:val="0"/>
      <w:divBdr>
        <w:top w:val="none" w:sz="0" w:space="0" w:color="auto"/>
        <w:left w:val="none" w:sz="0" w:space="0" w:color="auto"/>
        <w:bottom w:val="none" w:sz="0" w:space="0" w:color="auto"/>
        <w:right w:val="none" w:sz="0" w:space="0" w:color="auto"/>
      </w:divBdr>
    </w:div>
    <w:div w:id="246156644">
      <w:bodyDiv w:val="1"/>
      <w:marLeft w:val="0"/>
      <w:marRight w:val="0"/>
      <w:marTop w:val="0"/>
      <w:marBottom w:val="0"/>
      <w:divBdr>
        <w:top w:val="none" w:sz="0" w:space="0" w:color="auto"/>
        <w:left w:val="none" w:sz="0" w:space="0" w:color="auto"/>
        <w:bottom w:val="none" w:sz="0" w:space="0" w:color="auto"/>
        <w:right w:val="none" w:sz="0" w:space="0" w:color="auto"/>
      </w:divBdr>
    </w:div>
    <w:div w:id="246350657">
      <w:bodyDiv w:val="1"/>
      <w:marLeft w:val="0"/>
      <w:marRight w:val="0"/>
      <w:marTop w:val="0"/>
      <w:marBottom w:val="0"/>
      <w:divBdr>
        <w:top w:val="none" w:sz="0" w:space="0" w:color="auto"/>
        <w:left w:val="none" w:sz="0" w:space="0" w:color="auto"/>
        <w:bottom w:val="none" w:sz="0" w:space="0" w:color="auto"/>
        <w:right w:val="none" w:sz="0" w:space="0" w:color="auto"/>
      </w:divBdr>
    </w:div>
    <w:div w:id="248462229">
      <w:bodyDiv w:val="1"/>
      <w:marLeft w:val="0"/>
      <w:marRight w:val="0"/>
      <w:marTop w:val="0"/>
      <w:marBottom w:val="0"/>
      <w:divBdr>
        <w:top w:val="none" w:sz="0" w:space="0" w:color="auto"/>
        <w:left w:val="none" w:sz="0" w:space="0" w:color="auto"/>
        <w:bottom w:val="none" w:sz="0" w:space="0" w:color="auto"/>
        <w:right w:val="none" w:sz="0" w:space="0" w:color="auto"/>
      </w:divBdr>
    </w:div>
    <w:div w:id="248462702">
      <w:bodyDiv w:val="1"/>
      <w:marLeft w:val="0"/>
      <w:marRight w:val="0"/>
      <w:marTop w:val="0"/>
      <w:marBottom w:val="0"/>
      <w:divBdr>
        <w:top w:val="none" w:sz="0" w:space="0" w:color="auto"/>
        <w:left w:val="none" w:sz="0" w:space="0" w:color="auto"/>
        <w:bottom w:val="none" w:sz="0" w:space="0" w:color="auto"/>
        <w:right w:val="none" w:sz="0" w:space="0" w:color="auto"/>
      </w:divBdr>
    </w:div>
    <w:div w:id="248928215">
      <w:bodyDiv w:val="1"/>
      <w:marLeft w:val="0"/>
      <w:marRight w:val="0"/>
      <w:marTop w:val="0"/>
      <w:marBottom w:val="0"/>
      <w:divBdr>
        <w:top w:val="none" w:sz="0" w:space="0" w:color="auto"/>
        <w:left w:val="none" w:sz="0" w:space="0" w:color="auto"/>
        <w:bottom w:val="none" w:sz="0" w:space="0" w:color="auto"/>
        <w:right w:val="none" w:sz="0" w:space="0" w:color="auto"/>
      </w:divBdr>
    </w:div>
    <w:div w:id="249852991">
      <w:bodyDiv w:val="1"/>
      <w:marLeft w:val="0"/>
      <w:marRight w:val="0"/>
      <w:marTop w:val="0"/>
      <w:marBottom w:val="0"/>
      <w:divBdr>
        <w:top w:val="none" w:sz="0" w:space="0" w:color="auto"/>
        <w:left w:val="none" w:sz="0" w:space="0" w:color="auto"/>
        <w:bottom w:val="none" w:sz="0" w:space="0" w:color="auto"/>
        <w:right w:val="none" w:sz="0" w:space="0" w:color="auto"/>
      </w:divBdr>
    </w:div>
    <w:div w:id="250090272">
      <w:bodyDiv w:val="1"/>
      <w:marLeft w:val="0"/>
      <w:marRight w:val="0"/>
      <w:marTop w:val="0"/>
      <w:marBottom w:val="0"/>
      <w:divBdr>
        <w:top w:val="none" w:sz="0" w:space="0" w:color="auto"/>
        <w:left w:val="none" w:sz="0" w:space="0" w:color="auto"/>
        <w:bottom w:val="none" w:sz="0" w:space="0" w:color="auto"/>
        <w:right w:val="none" w:sz="0" w:space="0" w:color="auto"/>
      </w:divBdr>
    </w:div>
    <w:div w:id="250239034">
      <w:bodyDiv w:val="1"/>
      <w:marLeft w:val="0"/>
      <w:marRight w:val="0"/>
      <w:marTop w:val="0"/>
      <w:marBottom w:val="0"/>
      <w:divBdr>
        <w:top w:val="none" w:sz="0" w:space="0" w:color="auto"/>
        <w:left w:val="none" w:sz="0" w:space="0" w:color="auto"/>
        <w:bottom w:val="none" w:sz="0" w:space="0" w:color="auto"/>
        <w:right w:val="none" w:sz="0" w:space="0" w:color="auto"/>
      </w:divBdr>
    </w:div>
    <w:div w:id="251355753">
      <w:bodyDiv w:val="1"/>
      <w:marLeft w:val="0"/>
      <w:marRight w:val="0"/>
      <w:marTop w:val="0"/>
      <w:marBottom w:val="0"/>
      <w:divBdr>
        <w:top w:val="none" w:sz="0" w:space="0" w:color="auto"/>
        <w:left w:val="none" w:sz="0" w:space="0" w:color="auto"/>
        <w:bottom w:val="none" w:sz="0" w:space="0" w:color="auto"/>
        <w:right w:val="none" w:sz="0" w:space="0" w:color="auto"/>
      </w:divBdr>
    </w:div>
    <w:div w:id="252517164">
      <w:bodyDiv w:val="1"/>
      <w:marLeft w:val="0"/>
      <w:marRight w:val="0"/>
      <w:marTop w:val="0"/>
      <w:marBottom w:val="0"/>
      <w:divBdr>
        <w:top w:val="none" w:sz="0" w:space="0" w:color="auto"/>
        <w:left w:val="none" w:sz="0" w:space="0" w:color="auto"/>
        <w:bottom w:val="none" w:sz="0" w:space="0" w:color="auto"/>
        <w:right w:val="none" w:sz="0" w:space="0" w:color="auto"/>
      </w:divBdr>
    </w:div>
    <w:div w:id="252590988">
      <w:bodyDiv w:val="1"/>
      <w:marLeft w:val="0"/>
      <w:marRight w:val="0"/>
      <w:marTop w:val="0"/>
      <w:marBottom w:val="0"/>
      <w:divBdr>
        <w:top w:val="none" w:sz="0" w:space="0" w:color="auto"/>
        <w:left w:val="none" w:sz="0" w:space="0" w:color="auto"/>
        <w:bottom w:val="none" w:sz="0" w:space="0" w:color="auto"/>
        <w:right w:val="none" w:sz="0" w:space="0" w:color="auto"/>
      </w:divBdr>
    </w:div>
    <w:div w:id="253519012">
      <w:bodyDiv w:val="1"/>
      <w:marLeft w:val="0"/>
      <w:marRight w:val="0"/>
      <w:marTop w:val="0"/>
      <w:marBottom w:val="0"/>
      <w:divBdr>
        <w:top w:val="none" w:sz="0" w:space="0" w:color="auto"/>
        <w:left w:val="none" w:sz="0" w:space="0" w:color="auto"/>
        <w:bottom w:val="none" w:sz="0" w:space="0" w:color="auto"/>
        <w:right w:val="none" w:sz="0" w:space="0" w:color="auto"/>
      </w:divBdr>
    </w:div>
    <w:div w:id="254246727">
      <w:bodyDiv w:val="1"/>
      <w:marLeft w:val="0"/>
      <w:marRight w:val="0"/>
      <w:marTop w:val="0"/>
      <w:marBottom w:val="0"/>
      <w:divBdr>
        <w:top w:val="none" w:sz="0" w:space="0" w:color="auto"/>
        <w:left w:val="none" w:sz="0" w:space="0" w:color="auto"/>
        <w:bottom w:val="none" w:sz="0" w:space="0" w:color="auto"/>
        <w:right w:val="none" w:sz="0" w:space="0" w:color="auto"/>
      </w:divBdr>
    </w:div>
    <w:div w:id="254361796">
      <w:bodyDiv w:val="1"/>
      <w:marLeft w:val="0"/>
      <w:marRight w:val="0"/>
      <w:marTop w:val="0"/>
      <w:marBottom w:val="0"/>
      <w:divBdr>
        <w:top w:val="none" w:sz="0" w:space="0" w:color="auto"/>
        <w:left w:val="none" w:sz="0" w:space="0" w:color="auto"/>
        <w:bottom w:val="none" w:sz="0" w:space="0" w:color="auto"/>
        <w:right w:val="none" w:sz="0" w:space="0" w:color="auto"/>
      </w:divBdr>
    </w:div>
    <w:div w:id="254364980">
      <w:bodyDiv w:val="1"/>
      <w:marLeft w:val="0"/>
      <w:marRight w:val="0"/>
      <w:marTop w:val="0"/>
      <w:marBottom w:val="0"/>
      <w:divBdr>
        <w:top w:val="none" w:sz="0" w:space="0" w:color="auto"/>
        <w:left w:val="none" w:sz="0" w:space="0" w:color="auto"/>
        <w:bottom w:val="none" w:sz="0" w:space="0" w:color="auto"/>
        <w:right w:val="none" w:sz="0" w:space="0" w:color="auto"/>
      </w:divBdr>
    </w:div>
    <w:div w:id="255555579">
      <w:bodyDiv w:val="1"/>
      <w:marLeft w:val="0"/>
      <w:marRight w:val="0"/>
      <w:marTop w:val="0"/>
      <w:marBottom w:val="0"/>
      <w:divBdr>
        <w:top w:val="none" w:sz="0" w:space="0" w:color="auto"/>
        <w:left w:val="none" w:sz="0" w:space="0" w:color="auto"/>
        <w:bottom w:val="none" w:sz="0" w:space="0" w:color="auto"/>
        <w:right w:val="none" w:sz="0" w:space="0" w:color="auto"/>
      </w:divBdr>
    </w:div>
    <w:div w:id="256444906">
      <w:bodyDiv w:val="1"/>
      <w:marLeft w:val="0"/>
      <w:marRight w:val="0"/>
      <w:marTop w:val="0"/>
      <w:marBottom w:val="0"/>
      <w:divBdr>
        <w:top w:val="none" w:sz="0" w:space="0" w:color="auto"/>
        <w:left w:val="none" w:sz="0" w:space="0" w:color="auto"/>
        <w:bottom w:val="none" w:sz="0" w:space="0" w:color="auto"/>
        <w:right w:val="none" w:sz="0" w:space="0" w:color="auto"/>
      </w:divBdr>
    </w:div>
    <w:div w:id="257256505">
      <w:bodyDiv w:val="1"/>
      <w:marLeft w:val="0"/>
      <w:marRight w:val="0"/>
      <w:marTop w:val="0"/>
      <w:marBottom w:val="0"/>
      <w:divBdr>
        <w:top w:val="none" w:sz="0" w:space="0" w:color="auto"/>
        <w:left w:val="none" w:sz="0" w:space="0" w:color="auto"/>
        <w:bottom w:val="none" w:sz="0" w:space="0" w:color="auto"/>
        <w:right w:val="none" w:sz="0" w:space="0" w:color="auto"/>
      </w:divBdr>
    </w:div>
    <w:div w:id="257298999">
      <w:bodyDiv w:val="1"/>
      <w:marLeft w:val="0"/>
      <w:marRight w:val="0"/>
      <w:marTop w:val="0"/>
      <w:marBottom w:val="0"/>
      <w:divBdr>
        <w:top w:val="none" w:sz="0" w:space="0" w:color="auto"/>
        <w:left w:val="none" w:sz="0" w:space="0" w:color="auto"/>
        <w:bottom w:val="none" w:sz="0" w:space="0" w:color="auto"/>
        <w:right w:val="none" w:sz="0" w:space="0" w:color="auto"/>
      </w:divBdr>
    </w:div>
    <w:div w:id="257952141">
      <w:bodyDiv w:val="1"/>
      <w:marLeft w:val="0"/>
      <w:marRight w:val="0"/>
      <w:marTop w:val="0"/>
      <w:marBottom w:val="0"/>
      <w:divBdr>
        <w:top w:val="none" w:sz="0" w:space="0" w:color="auto"/>
        <w:left w:val="none" w:sz="0" w:space="0" w:color="auto"/>
        <w:bottom w:val="none" w:sz="0" w:space="0" w:color="auto"/>
        <w:right w:val="none" w:sz="0" w:space="0" w:color="auto"/>
      </w:divBdr>
    </w:div>
    <w:div w:id="258176559">
      <w:bodyDiv w:val="1"/>
      <w:marLeft w:val="0"/>
      <w:marRight w:val="0"/>
      <w:marTop w:val="0"/>
      <w:marBottom w:val="0"/>
      <w:divBdr>
        <w:top w:val="none" w:sz="0" w:space="0" w:color="auto"/>
        <w:left w:val="none" w:sz="0" w:space="0" w:color="auto"/>
        <w:bottom w:val="none" w:sz="0" w:space="0" w:color="auto"/>
        <w:right w:val="none" w:sz="0" w:space="0" w:color="auto"/>
      </w:divBdr>
    </w:div>
    <w:div w:id="258411502">
      <w:bodyDiv w:val="1"/>
      <w:marLeft w:val="0"/>
      <w:marRight w:val="0"/>
      <w:marTop w:val="0"/>
      <w:marBottom w:val="0"/>
      <w:divBdr>
        <w:top w:val="none" w:sz="0" w:space="0" w:color="auto"/>
        <w:left w:val="none" w:sz="0" w:space="0" w:color="auto"/>
        <w:bottom w:val="none" w:sz="0" w:space="0" w:color="auto"/>
        <w:right w:val="none" w:sz="0" w:space="0" w:color="auto"/>
      </w:divBdr>
    </w:div>
    <w:div w:id="258880438">
      <w:bodyDiv w:val="1"/>
      <w:marLeft w:val="0"/>
      <w:marRight w:val="0"/>
      <w:marTop w:val="0"/>
      <w:marBottom w:val="0"/>
      <w:divBdr>
        <w:top w:val="none" w:sz="0" w:space="0" w:color="auto"/>
        <w:left w:val="none" w:sz="0" w:space="0" w:color="auto"/>
        <w:bottom w:val="none" w:sz="0" w:space="0" w:color="auto"/>
        <w:right w:val="none" w:sz="0" w:space="0" w:color="auto"/>
      </w:divBdr>
    </w:div>
    <w:div w:id="259946277">
      <w:bodyDiv w:val="1"/>
      <w:marLeft w:val="0"/>
      <w:marRight w:val="0"/>
      <w:marTop w:val="0"/>
      <w:marBottom w:val="0"/>
      <w:divBdr>
        <w:top w:val="none" w:sz="0" w:space="0" w:color="auto"/>
        <w:left w:val="none" w:sz="0" w:space="0" w:color="auto"/>
        <w:bottom w:val="none" w:sz="0" w:space="0" w:color="auto"/>
        <w:right w:val="none" w:sz="0" w:space="0" w:color="auto"/>
      </w:divBdr>
    </w:div>
    <w:div w:id="260921349">
      <w:bodyDiv w:val="1"/>
      <w:marLeft w:val="0"/>
      <w:marRight w:val="0"/>
      <w:marTop w:val="0"/>
      <w:marBottom w:val="0"/>
      <w:divBdr>
        <w:top w:val="none" w:sz="0" w:space="0" w:color="auto"/>
        <w:left w:val="none" w:sz="0" w:space="0" w:color="auto"/>
        <w:bottom w:val="none" w:sz="0" w:space="0" w:color="auto"/>
        <w:right w:val="none" w:sz="0" w:space="0" w:color="auto"/>
      </w:divBdr>
    </w:div>
    <w:div w:id="260921630">
      <w:bodyDiv w:val="1"/>
      <w:marLeft w:val="0"/>
      <w:marRight w:val="0"/>
      <w:marTop w:val="0"/>
      <w:marBottom w:val="0"/>
      <w:divBdr>
        <w:top w:val="none" w:sz="0" w:space="0" w:color="auto"/>
        <w:left w:val="none" w:sz="0" w:space="0" w:color="auto"/>
        <w:bottom w:val="none" w:sz="0" w:space="0" w:color="auto"/>
        <w:right w:val="none" w:sz="0" w:space="0" w:color="auto"/>
      </w:divBdr>
    </w:div>
    <w:div w:id="261184955">
      <w:bodyDiv w:val="1"/>
      <w:marLeft w:val="0"/>
      <w:marRight w:val="0"/>
      <w:marTop w:val="0"/>
      <w:marBottom w:val="0"/>
      <w:divBdr>
        <w:top w:val="none" w:sz="0" w:space="0" w:color="auto"/>
        <w:left w:val="none" w:sz="0" w:space="0" w:color="auto"/>
        <w:bottom w:val="none" w:sz="0" w:space="0" w:color="auto"/>
        <w:right w:val="none" w:sz="0" w:space="0" w:color="auto"/>
      </w:divBdr>
      <w:divsChild>
        <w:div w:id="447822579">
          <w:marLeft w:val="0"/>
          <w:marRight w:val="0"/>
          <w:marTop w:val="0"/>
          <w:marBottom w:val="0"/>
          <w:divBdr>
            <w:top w:val="none" w:sz="0" w:space="0" w:color="auto"/>
            <w:left w:val="none" w:sz="0" w:space="0" w:color="auto"/>
            <w:bottom w:val="none" w:sz="0" w:space="0" w:color="auto"/>
            <w:right w:val="none" w:sz="0" w:space="0" w:color="auto"/>
          </w:divBdr>
          <w:divsChild>
            <w:div w:id="190534729">
              <w:marLeft w:val="0"/>
              <w:marRight w:val="0"/>
              <w:marTop w:val="0"/>
              <w:marBottom w:val="0"/>
              <w:divBdr>
                <w:top w:val="none" w:sz="0" w:space="0" w:color="auto"/>
                <w:left w:val="none" w:sz="0" w:space="0" w:color="auto"/>
                <w:bottom w:val="none" w:sz="0" w:space="0" w:color="auto"/>
                <w:right w:val="none" w:sz="0" w:space="0" w:color="auto"/>
              </w:divBdr>
              <w:divsChild>
                <w:div w:id="369231999">
                  <w:marLeft w:val="0"/>
                  <w:marRight w:val="0"/>
                  <w:marTop w:val="0"/>
                  <w:marBottom w:val="0"/>
                  <w:divBdr>
                    <w:top w:val="none" w:sz="0" w:space="0" w:color="auto"/>
                    <w:left w:val="none" w:sz="0" w:space="0" w:color="auto"/>
                    <w:bottom w:val="none" w:sz="0" w:space="0" w:color="auto"/>
                    <w:right w:val="none" w:sz="0" w:space="0" w:color="auto"/>
                  </w:divBdr>
                </w:div>
                <w:div w:id="1056125806">
                  <w:marLeft w:val="0"/>
                  <w:marRight w:val="0"/>
                  <w:marTop w:val="0"/>
                  <w:marBottom w:val="0"/>
                  <w:divBdr>
                    <w:top w:val="none" w:sz="0" w:space="0" w:color="auto"/>
                    <w:left w:val="none" w:sz="0" w:space="0" w:color="auto"/>
                    <w:bottom w:val="none" w:sz="0" w:space="0" w:color="auto"/>
                    <w:right w:val="none" w:sz="0" w:space="0" w:color="auto"/>
                  </w:divBdr>
                </w:div>
                <w:div w:id="1718703947">
                  <w:marLeft w:val="0"/>
                  <w:marRight w:val="0"/>
                  <w:marTop w:val="0"/>
                  <w:marBottom w:val="0"/>
                  <w:divBdr>
                    <w:top w:val="none" w:sz="0" w:space="0" w:color="auto"/>
                    <w:left w:val="none" w:sz="0" w:space="0" w:color="auto"/>
                    <w:bottom w:val="none" w:sz="0" w:space="0" w:color="auto"/>
                    <w:right w:val="none" w:sz="0" w:space="0" w:color="auto"/>
                  </w:divBdr>
                  <w:divsChild>
                    <w:div w:id="130654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450622">
      <w:bodyDiv w:val="1"/>
      <w:marLeft w:val="0"/>
      <w:marRight w:val="0"/>
      <w:marTop w:val="0"/>
      <w:marBottom w:val="0"/>
      <w:divBdr>
        <w:top w:val="none" w:sz="0" w:space="0" w:color="auto"/>
        <w:left w:val="none" w:sz="0" w:space="0" w:color="auto"/>
        <w:bottom w:val="none" w:sz="0" w:space="0" w:color="auto"/>
        <w:right w:val="none" w:sz="0" w:space="0" w:color="auto"/>
      </w:divBdr>
    </w:div>
    <w:div w:id="261957377">
      <w:bodyDiv w:val="1"/>
      <w:marLeft w:val="0"/>
      <w:marRight w:val="0"/>
      <w:marTop w:val="0"/>
      <w:marBottom w:val="0"/>
      <w:divBdr>
        <w:top w:val="none" w:sz="0" w:space="0" w:color="auto"/>
        <w:left w:val="none" w:sz="0" w:space="0" w:color="auto"/>
        <w:bottom w:val="none" w:sz="0" w:space="0" w:color="auto"/>
        <w:right w:val="none" w:sz="0" w:space="0" w:color="auto"/>
      </w:divBdr>
    </w:div>
    <w:div w:id="263653816">
      <w:bodyDiv w:val="1"/>
      <w:marLeft w:val="0"/>
      <w:marRight w:val="0"/>
      <w:marTop w:val="0"/>
      <w:marBottom w:val="0"/>
      <w:divBdr>
        <w:top w:val="none" w:sz="0" w:space="0" w:color="auto"/>
        <w:left w:val="none" w:sz="0" w:space="0" w:color="auto"/>
        <w:bottom w:val="none" w:sz="0" w:space="0" w:color="auto"/>
        <w:right w:val="none" w:sz="0" w:space="0" w:color="auto"/>
      </w:divBdr>
    </w:div>
    <w:div w:id="264508523">
      <w:bodyDiv w:val="1"/>
      <w:marLeft w:val="0"/>
      <w:marRight w:val="0"/>
      <w:marTop w:val="0"/>
      <w:marBottom w:val="0"/>
      <w:divBdr>
        <w:top w:val="none" w:sz="0" w:space="0" w:color="auto"/>
        <w:left w:val="none" w:sz="0" w:space="0" w:color="auto"/>
        <w:bottom w:val="none" w:sz="0" w:space="0" w:color="auto"/>
        <w:right w:val="none" w:sz="0" w:space="0" w:color="auto"/>
      </w:divBdr>
    </w:div>
    <w:div w:id="264654827">
      <w:bodyDiv w:val="1"/>
      <w:marLeft w:val="0"/>
      <w:marRight w:val="0"/>
      <w:marTop w:val="0"/>
      <w:marBottom w:val="0"/>
      <w:divBdr>
        <w:top w:val="none" w:sz="0" w:space="0" w:color="auto"/>
        <w:left w:val="none" w:sz="0" w:space="0" w:color="auto"/>
        <w:bottom w:val="none" w:sz="0" w:space="0" w:color="auto"/>
        <w:right w:val="none" w:sz="0" w:space="0" w:color="auto"/>
      </w:divBdr>
    </w:div>
    <w:div w:id="264773813">
      <w:bodyDiv w:val="1"/>
      <w:marLeft w:val="0"/>
      <w:marRight w:val="0"/>
      <w:marTop w:val="0"/>
      <w:marBottom w:val="0"/>
      <w:divBdr>
        <w:top w:val="none" w:sz="0" w:space="0" w:color="auto"/>
        <w:left w:val="none" w:sz="0" w:space="0" w:color="auto"/>
        <w:bottom w:val="none" w:sz="0" w:space="0" w:color="auto"/>
        <w:right w:val="none" w:sz="0" w:space="0" w:color="auto"/>
      </w:divBdr>
    </w:div>
    <w:div w:id="265619147">
      <w:bodyDiv w:val="1"/>
      <w:marLeft w:val="0"/>
      <w:marRight w:val="0"/>
      <w:marTop w:val="0"/>
      <w:marBottom w:val="0"/>
      <w:divBdr>
        <w:top w:val="none" w:sz="0" w:space="0" w:color="auto"/>
        <w:left w:val="none" w:sz="0" w:space="0" w:color="auto"/>
        <w:bottom w:val="none" w:sz="0" w:space="0" w:color="auto"/>
        <w:right w:val="none" w:sz="0" w:space="0" w:color="auto"/>
      </w:divBdr>
    </w:div>
    <w:div w:id="265814501">
      <w:bodyDiv w:val="1"/>
      <w:marLeft w:val="0"/>
      <w:marRight w:val="0"/>
      <w:marTop w:val="0"/>
      <w:marBottom w:val="0"/>
      <w:divBdr>
        <w:top w:val="none" w:sz="0" w:space="0" w:color="auto"/>
        <w:left w:val="none" w:sz="0" w:space="0" w:color="auto"/>
        <w:bottom w:val="none" w:sz="0" w:space="0" w:color="auto"/>
        <w:right w:val="none" w:sz="0" w:space="0" w:color="auto"/>
      </w:divBdr>
    </w:div>
    <w:div w:id="266423750">
      <w:bodyDiv w:val="1"/>
      <w:marLeft w:val="0"/>
      <w:marRight w:val="0"/>
      <w:marTop w:val="0"/>
      <w:marBottom w:val="0"/>
      <w:divBdr>
        <w:top w:val="none" w:sz="0" w:space="0" w:color="auto"/>
        <w:left w:val="none" w:sz="0" w:space="0" w:color="auto"/>
        <w:bottom w:val="none" w:sz="0" w:space="0" w:color="auto"/>
        <w:right w:val="none" w:sz="0" w:space="0" w:color="auto"/>
      </w:divBdr>
    </w:div>
    <w:div w:id="266473106">
      <w:bodyDiv w:val="1"/>
      <w:marLeft w:val="0"/>
      <w:marRight w:val="0"/>
      <w:marTop w:val="0"/>
      <w:marBottom w:val="0"/>
      <w:divBdr>
        <w:top w:val="none" w:sz="0" w:space="0" w:color="auto"/>
        <w:left w:val="none" w:sz="0" w:space="0" w:color="auto"/>
        <w:bottom w:val="none" w:sz="0" w:space="0" w:color="auto"/>
        <w:right w:val="none" w:sz="0" w:space="0" w:color="auto"/>
      </w:divBdr>
    </w:div>
    <w:div w:id="266694243">
      <w:bodyDiv w:val="1"/>
      <w:marLeft w:val="0"/>
      <w:marRight w:val="0"/>
      <w:marTop w:val="0"/>
      <w:marBottom w:val="0"/>
      <w:divBdr>
        <w:top w:val="none" w:sz="0" w:space="0" w:color="auto"/>
        <w:left w:val="none" w:sz="0" w:space="0" w:color="auto"/>
        <w:bottom w:val="none" w:sz="0" w:space="0" w:color="auto"/>
        <w:right w:val="none" w:sz="0" w:space="0" w:color="auto"/>
      </w:divBdr>
    </w:div>
    <w:div w:id="266735739">
      <w:bodyDiv w:val="1"/>
      <w:marLeft w:val="0"/>
      <w:marRight w:val="0"/>
      <w:marTop w:val="0"/>
      <w:marBottom w:val="0"/>
      <w:divBdr>
        <w:top w:val="none" w:sz="0" w:space="0" w:color="auto"/>
        <w:left w:val="none" w:sz="0" w:space="0" w:color="auto"/>
        <w:bottom w:val="none" w:sz="0" w:space="0" w:color="auto"/>
        <w:right w:val="none" w:sz="0" w:space="0" w:color="auto"/>
      </w:divBdr>
    </w:div>
    <w:div w:id="266814239">
      <w:bodyDiv w:val="1"/>
      <w:marLeft w:val="0"/>
      <w:marRight w:val="0"/>
      <w:marTop w:val="0"/>
      <w:marBottom w:val="0"/>
      <w:divBdr>
        <w:top w:val="none" w:sz="0" w:space="0" w:color="auto"/>
        <w:left w:val="none" w:sz="0" w:space="0" w:color="auto"/>
        <w:bottom w:val="none" w:sz="0" w:space="0" w:color="auto"/>
        <w:right w:val="none" w:sz="0" w:space="0" w:color="auto"/>
      </w:divBdr>
    </w:div>
    <w:div w:id="266887146">
      <w:bodyDiv w:val="1"/>
      <w:marLeft w:val="0"/>
      <w:marRight w:val="0"/>
      <w:marTop w:val="0"/>
      <w:marBottom w:val="0"/>
      <w:divBdr>
        <w:top w:val="none" w:sz="0" w:space="0" w:color="auto"/>
        <w:left w:val="none" w:sz="0" w:space="0" w:color="auto"/>
        <w:bottom w:val="none" w:sz="0" w:space="0" w:color="auto"/>
        <w:right w:val="none" w:sz="0" w:space="0" w:color="auto"/>
      </w:divBdr>
    </w:div>
    <w:div w:id="267667228">
      <w:bodyDiv w:val="1"/>
      <w:marLeft w:val="0"/>
      <w:marRight w:val="0"/>
      <w:marTop w:val="0"/>
      <w:marBottom w:val="0"/>
      <w:divBdr>
        <w:top w:val="none" w:sz="0" w:space="0" w:color="auto"/>
        <w:left w:val="none" w:sz="0" w:space="0" w:color="auto"/>
        <w:bottom w:val="none" w:sz="0" w:space="0" w:color="auto"/>
        <w:right w:val="none" w:sz="0" w:space="0" w:color="auto"/>
      </w:divBdr>
    </w:div>
    <w:div w:id="268852178">
      <w:bodyDiv w:val="1"/>
      <w:marLeft w:val="0"/>
      <w:marRight w:val="0"/>
      <w:marTop w:val="0"/>
      <w:marBottom w:val="0"/>
      <w:divBdr>
        <w:top w:val="none" w:sz="0" w:space="0" w:color="auto"/>
        <w:left w:val="none" w:sz="0" w:space="0" w:color="auto"/>
        <w:bottom w:val="none" w:sz="0" w:space="0" w:color="auto"/>
        <w:right w:val="none" w:sz="0" w:space="0" w:color="auto"/>
      </w:divBdr>
    </w:div>
    <w:div w:id="269362771">
      <w:bodyDiv w:val="1"/>
      <w:marLeft w:val="0"/>
      <w:marRight w:val="0"/>
      <w:marTop w:val="0"/>
      <w:marBottom w:val="0"/>
      <w:divBdr>
        <w:top w:val="none" w:sz="0" w:space="0" w:color="auto"/>
        <w:left w:val="none" w:sz="0" w:space="0" w:color="auto"/>
        <w:bottom w:val="none" w:sz="0" w:space="0" w:color="auto"/>
        <w:right w:val="none" w:sz="0" w:space="0" w:color="auto"/>
      </w:divBdr>
    </w:div>
    <w:div w:id="269703507">
      <w:bodyDiv w:val="1"/>
      <w:marLeft w:val="0"/>
      <w:marRight w:val="0"/>
      <w:marTop w:val="0"/>
      <w:marBottom w:val="0"/>
      <w:divBdr>
        <w:top w:val="none" w:sz="0" w:space="0" w:color="auto"/>
        <w:left w:val="none" w:sz="0" w:space="0" w:color="auto"/>
        <w:bottom w:val="none" w:sz="0" w:space="0" w:color="auto"/>
        <w:right w:val="none" w:sz="0" w:space="0" w:color="auto"/>
      </w:divBdr>
    </w:div>
    <w:div w:id="269899096">
      <w:bodyDiv w:val="1"/>
      <w:marLeft w:val="0"/>
      <w:marRight w:val="0"/>
      <w:marTop w:val="0"/>
      <w:marBottom w:val="0"/>
      <w:divBdr>
        <w:top w:val="none" w:sz="0" w:space="0" w:color="auto"/>
        <w:left w:val="none" w:sz="0" w:space="0" w:color="auto"/>
        <w:bottom w:val="none" w:sz="0" w:space="0" w:color="auto"/>
        <w:right w:val="none" w:sz="0" w:space="0" w:color="auto"/>
      </w:divBdr>
    </w:div>
    <w:div w:id="271598975">
      <w:bodyDiv w:val="1"/>
      <w:marLeft w:val="0"/>
      <w:marRight w:val="0"/>
      <w:marTop w:val="0"/>
      <w:marBottom w:val="0"/>
      <w:divBdr>
        <w:top w:val="none" w:sz="0" w:space="0" w:color="auto"/>
        <w:left w:val="none" w:sz="0" w:space="0" w:color="auto"/>
        <w:bottom w:val="none" w:sz="0" w:space="0" w:color="auto"/>
        <w:right w:val="none" w:sz="0" w:space="0" w:color="auto"/>
      </w:divBdr>
    </w:div>
    <w:div w:id="271672717">
      <w:bodyDiv w:val="1"/>
      <w:marLeft w:val="0"/>
      <w:marRight w:val="0"/>
      <w:marTop w:val="0"/>
      <w:marBottom w:val="0"/>
      <w:divBdr>
        <w:top w:val="none" w:sz="0" w:space="0" w:color="auto"/>
        <w:left w:val="none" w:sz="0" w:space="0" w:color="auto"/>
        <w:bottom w:val="none" w:sz="0" w:space="0" w:color="auto"/>
        <w:right w:val="none" w:sz="0" w:space="0" w:color="auto"/>
      </w:divBdr>
    </w:div>
    <w:div w:id="271712653">
      <w:bodyDiv w:val="1"/>
      <w:marLeft w:val="0"/>
      <w:marRight w:val="0"/>
      <w:marTop w:val="0"/>
      <w:marBottom w:val="0"/>
      <w:divBdr>
        <w:top w:val="none" w:sz="0" w:space="0" w:color="auto"/>
        <w:left w:val="none" w:sz="0" w:space="0" w:color="auto"/>
        <w:bottom w:val="none" w:sz="0" w:space="0" w:color="auto"/>
        <w:right w:val="none" w:sz="0" w:space="0" w:color="auto"/>
      </w:divBdr>
    </w:div>
    <w:div w:id="272442519">
      <w:bodyDiv w:val="1"/>
      <w:marLeft w:val="0"/>
      <w:marRight w:val="0"/>
      <w:marTop w:val="0"/>
      <w:marBottom w:val="0"/>
      <w:divBdr>
        <w:top w:val="none" w:sz="0" w:space="0" w:color="auto"/>
        <w:left w:val="none" w:sz="0" w:space="0" w:color="auto"/>
        <w:bottom w:val="none" w:sz="0" w:space="0" w:color="auto"/>
        <w:right w:val="none" w:sz="0" w:space="0" w:color="auto"/>
      </w:divBdr>
    </w:div>
    <w:div w:id="272520536">
      <w:bodyDiv w:val="1"/>
      <w:marLeft w:val="0"/>
      <w:marRight w:val="0"/>
      <w:marTop w:val="0"/>
      <w:marBottom w:val="0"/>
      <w:divBdr>
        <w:top w:val="none" w:sz="0" w:space="0" w:color="auto"/>
        <w:left w:val="none" w:sz="0" w:space="0" w:color="auto"/>
        <w:bottom w:val="none" w:sz="0" w:space="0" w:color="auto"/>
        <w:right w:val="none" w:sz="0" w:space="0" w:color="auto"/>
      </w:divBdr>
    </w:div>
    <w:div w:id="272909253">
      <w:bodyDiv w:val="1"/>
      <w:marLeft w:val="0"/>
      <w:marRight w:val="0"/>
      <w:marTop w:val="0"/>
      <w:marBottom w:val="0"/>
      <w:divBdr>
        <w:top w:val="none" w:sz="0" w:space="0" w:color="auto"/>
        <w:left w:val="none" w:sz="0" w:space="0" w:color="auto"/>
        <w:bottom w:val="none" w:sz="0" w:space="0" w:color="auto"/>
        <w:right w:val="none" w:sz="0" w:space="0" w:color="auto"/>
      </w:divBdr>
    </w:div>
    <w:div w:id="273245757">
      <w:bodyDiv w:val="1"/>
      <w:marLeft w:val="0"/>
      <w:marRight w:val="0"/>
      <w:marTop w:val="0"/>
      <w:marBottom w:val="0"/>
      <w:divBdr>
        <w:top w:val="none" w:sz="0" w:space="0" w:color="auto"/>
        <w:left w:val="none" w:sz="0" w:space="0" w:color="auto"/>
        <w:bottom w:val="none" w:sz="0" w:space="0" w:color="auto"/>
        <w:right w:val="none" w:sz="0" w:space="0" w:color="auto"/>
      </w:divBdr>
    </w:div>
    <w:div w:id="273905032">
      <w:bodyDiv w:val="1"/>
      <w:marLeft w:val="0"/>
      <w:marRight w:val="0"/>
      <w:marTop w:val="0"/>
      <w:marBottom w:val="0"/>
      <w:divBdr>
        <w:top w:val="none" w:sz="0" w:space="0" w:color="auto"/>
        <w:left w:val="none" w:sz="0" w:space="0" w:color="auto"/>
        <w:bottom w:val="none" w:sz="0" w:space="0" w:color="auto"/>
        <w:right w:val="none" w:sz="0" w:space="0" w:color="auto"/>
      </w:divBdr>
    </w:div>
    <w:div w:id="274219318">
      <w:bodyDiv w:val="1"/>
      <w:marLeft w:val="0"/>
      <w:marRight w:val="0"/>
      <w:marTop w:val="0"/>
      <w:marBottom w:val="0"/>
      <w:divBdr>
        <w:top w:val="none" w:sz="0" w:space="0" w:color="auto"/>
        <w:left w:val="none" w:sz="0" w:space="0" w:color="auto"/>
        <w:bottom w:val="none" w:sz="0" w:space="0" w:color="auto"/>
        <w:right w:val="none" w:sz="0" w:space="0" w:color="auto"/>
      </w:divBdr>
    </w:div>
    <w:div w:id="275137380">
      <w:bodyDiv w:val="1"/>
      <w:marLeft w:val="0"/>
      <w:marRight w:val="0"/>
      <w:marTop w:val="0"/>
      <w:marBottom w:val="0"/>
      <w:divBdr>
        <w:top w:val="none" w:sz="0" w:space="0" w:color="auto"/>
        <w:left w:val="none" w:sz="0" w:space="0" w:color="auto"/>
        <w:bottom w:val="none" w:sz="0" w:space="0" w:color="auto"/>
        <w:right w:val="none" w:sz="0" w:space="0" w:color="auto"/>
      </w:divBdr>
    </w:div>
    <w:div w:id="275531116">
      <w:bodyDiv w:val="1"/>
      <w:marLeft w:val="0"/>
      <w:marRight w:val="0"/>
      <w:marTop w:val="0"/>
      <w:marBottom w:val="0"/>
      <w:divBdr>
        <w:top w:val="none" w:sz="0" w:space="0" w:color="auto"/>
        <w:left w:val="none" w:sz="0" w:space="0" w:color="auto"/>
        <w:bottom w:val="none" w:sz="0" w:space="0" w:color="auto"/>
        <w:right w:val="none" w:sz="0" w:space="0" w:color="auto"/>
      </w:divBdr>
    </w:div>
    <w:div w:id="276258683">
      <w:bodyDiv w:val="1"/>
      <w:marLeft w:val="0"/>
      <w:marRight w:val="0"/>
      <w:marTop w:val="0"/>
      <w:marBottom w:val="0"/>
      <w:divBdr>
        <w:top w:val="none" w:sz="0" w:space="0" w:color="auto"/>
        <w:left w:val="none" w:sz="0" w:space="0" w:color="auto"/>
        <w:bottom w:val="none" w:sz="0" w:space="0" w:color="auto"/>
        <w:right w:val="none" w:sz="0" w:space="0" w:color="auto"/>
      </w:divBdr>
    </w:div>
    <w:div w:id="277100797">
      <w:bodyDiv w:val="1"/>
      <w:marLeft w:val="0"/>
      <w:marRight w:val="0"/>
      <w:marTop w:val="0"/>
      <w:marBottom w:val="0"/>
      <w:divBdr>
        <w:top w:val="none" w:sz="0" w:space="0" w:color="auto"/>
        <w:left w:val="none" w:sz="0" w:space="0" w:color="auto"/>
        <w:bottom w:val="none" w:sz="0" w:space="0" w:color="auto"/>
        <w:right w:val="none" w:sz="0" w:space="0" w:color="auto"/>
      </w:divBdr>
    </w:div>
    <w:div w:id="277415484">
      <w:bodyDiv w:val="1"/>
      <w:marLeft w:val="0"/>
      <w:marRight w:val="0"/>
      <w:marTop w:val="0"/>
      <w:marBottom w:val="0"/>
      <w:divBdr>
        <w:top w:val="none" w:sz="0" w:space="0" w:color="auto"/>
        <w:left w:val="none" w:sz="0" w:space="0" w:color="auto"/>
        <w:bottom w:val="none" w:sz="0" w:space="0" w:color="auto"/>
        <w:right w:val="none" w:sz="0" w:space="0" w:color="auto"/>
      </w:divBdr>
    </w:div>
    <w:div w:id="278024837">
      <w:bodyDiv w:val="1"/>
      <w:marLeft w:val="0"/>
      <w:marRight w:val="0"/>
      <w:marTop w:val="0"/>
      <w:marBottom w:val="0"/>
      <w:divBdr>
        <w:top w:val="none" w:sz="0" w:space="0" w:color="auto"/>
        <w:left w:val="none" w:sz="0" w:space="0" w:color="auto"/>
        <w:bottom w:val="none" w:sz="0" w:space="0" w:color="auto"/>
        <w:right w:val="none" w:sz="0" w:space="0" w:color="auto"/>
      </w:divBdr>
    </w:div>
    <w:div w:id="278535727">
      <w:bodyDiv w:val="1"/>
      <w:marLeft w:val="0"/>
      <w:marRight w:val="0"/>
      <w:marTop w:val="0"/>
      <w:marBottom w:val="0"/>
      <w:divBdr>
        <w:top w:val="none" w:sz="0" w:space="0" w:color="auto"/>
        <w:left w:val="none" w:sz="0" w:space="0" w:color="auto"/>
        <w:bottom w:val="none" w:sz="0" w:space="0" w:color="auto"/>
        <w:right w:val="none" w:sz="0" w:space="0" w:color="auto"/>
      </w:divBdr>
    </w:div>
    <w:div w:id="278727536">
      <w:bodyDiv w:val="1"/>
      <w:marLeft w:val="0"/>
      <w:marRight w:val="0"/>
      <w:marTop w:val="0"/>
      <w:marBottom w:val="0"/>
      <w:divBdr>
        <w:top w:val="none" w:sz="0" w:space="0" w:color="auto"/>
        <w:left w:val="none" w:sz="0" w:space="0" w:color="auto"/>
        <w:bottom w:val="none" w:sz="0" w:space="0" w:color="auto"/>
        <w:right w:val="none" w:sz="0" w:space="0" w:color="auto"/>
      </w:divBdr>
    </w:div>
    <w:div w:id="279340045">
      <w:bodyDiv w:val="1"/>
      <w:marLeft w:val="0"/>
      <w:marRight w:val="0"/>
      <w:marTop w:val="0"/>
      <w:marBottom w:val="0"/>
      <w:divBdr>
        <w:top w:val="none" w:sz="0" w:space="0" w:color="auto"/>
        <w:left w:val="none" w:sz="0" w:space="0" w:color="auto"/>
        <w:bottom w:val="none" w:sz="0" w:space="0" w:color="auto"/>
        <w:right w:val="none" w:sz="0" w:space="0" w:color="auto"/>
      </w:divBdr>
    </w:div>
    <w:div w:id="279344230">
      <w:bodyDiv w:val="1"/>
      <w:marLeft w:val="0"/>
      <w:marRight w:val="0"/>
      <w:marTop w:val="0"/>
      <w:marBottom w:val="0"/>
      <w:divBdr>
        <w:top w:val="none" w:sz="0" w:space="0" w:color="auto"/>
        <w:left w:val="none" w:sz="0" w:space="0" w:color="auto"/>
        <w:bottom w:val="none" w:sz="0" w:space="0" w:color="auto"/>
        <w:right w:val="none" w:sz="0" w:space="0" w:color="auto"/>
      </w:divBdr>
    </w:div>
    <w:div w:id="279799381">
      <w:bodyDiv w:val="1"/>
      <w:marLeft w:val="0"/>
      <w:marRight w:val="0"/>
      <w:marTop w:val="0"/>
      <w:marBottom w:val="0"/>
      <w:divBdr>
        <w:top w:val="none" w:sz="0" w:space="0" w:color="auto"/>
        <w:left w:val="none" w:sz="0" w:space="0" w:color="auto"/>
        <w:bottom w:val="none" w:sz="0" w:space="0" w:color="auto"/>
        <w:right w:val="none" w:sz="0" w:space="0" w:color="auto"/>
      </w:divBdr>
    </w:div>
    <w:div w:id="281419168">
      <w:bodyDiv w:val="1"/>
      <w:marLeft w:val="0"/>
      <w:marRight w:val="0"/>
      <w:marTop w:val="0"/>
      <w:marBottom w:val="0"/>
      <w:divBdr>
        <w:top w:val="none" w:sz="0" w:space="0" w:color="auto"/>
        <w:left w:val="none" w:sz="0" w:space="0" w:color="auto"/>
        <w:bottom w:val="none" w:sz="0" w:space="0" w:color="auto"/>
        <w:right w:val="none" w:sz="0" w:space="0" w:color="auto"/>
      </w:divBdr>
    </w:div>
    <w:div w:id="281619428">
      <w:bodyDiv w:val="1"/>
      <w:marLeft w:val="0"/>
      <w:marRight w:val="0"/>
      <w:marTop w:val="0"/>
      <w:marBottom w:val="0"/>
      <w:divBdr>
        <w:top w:val="none" w:sz="0" w:space="0" w:color="auto"/>
        <w:left w:val="none" w:sz="0" w:space="0" w:color="auto"/>
        <w:bottom w:val="none" w:sz="0" w:space="0" w:color="auto"/>
        <w:right w:val="none" w:sz="0" w:space="0" w:color="auto"/>
      </w:divBdr>
    </w:div>
    <w:div w:id="282273567">
      <w:bodyDiv w:val="1"/>
      <w:marLeft w:val="0"/>
      <w:marRight w:val="0"/>
      <w:marTop w:val="0"/>
      <w:marBottom w:val="0"/>
      <w:divBdr>
        <w:top w:val="none" w:sz="0" w:space="0" w:color="auto"/>
        <w:left w:val="none" w:sz="0" w:space="0" w:color="auto"/>
        <w:bottom w:val="none" w:sz="0" w:space="0" w:color="auto"/>
        <w:right w:val="none" w:sz="0" w:space="0" w:color="auto"/>
      </w:divBdr>
    </w:div>
    <w:div w:id="282425941">
      <w:bodyDiv w:val="1"/>
      <w:marLeft w:val="0"/>
      <w:marRight w:val="0"/>
      <w:marTop w:val="0"/>
      <w:marBottom w:val="0"/>
      <w:divBdr>
        <w:top w:val="none" w:sz="0" w:space="0" w:color="auto"/>
        <w:left w:val="none" w:sz="0" w:space="0" w:color="auto"/>
        <w:bottom w:val="none" w:sz="0" w:space="0" w:color="auto"/>
        <w:right w:val="none" w:sz="0" w:space="0" w:color="auto"/>
      </w:divBdr>
    </w:div>
    <w:div w:id="283125592">
      <w:bodyDiv w:val="1"/>
      <w:marLeft w:val="0"/>
      <w:marRight w:val="0"/>
      <w:marTop w:val="0"/>
      <w:marBottom w:val="0"/>
      <w:divBdr>
        <w:top w:val="none" w:sz="0" w:space="0" w:color="auto"/>
        <w:left w:val="none" w:sz="0" w:space="0" w:color="auto"/>
        <w:bottom w:val="none" w:sz="0" w:space="0" w:color="auto"/>
        <w:right w:val="none" w:sz="0" w:space="0" w:color="auto"/>
      </w:divBdr>
    </w:div>
    <w:div w:id="283538521">
      <w:bodyDiv w:val="1"/>
      <w:marLeft w:val="0"/>
      <w:marRight w:val="0"/>
      <w:marTop w:val="0"/>
      <w:marBottom w:val="0"/>
      <w:divBdr>
        <w:top w:val="none" w:sz="0" w:space="0" w:color="auto"/>
        <w:left w:val="none" w:sz="0" w:space="0" w:color="auto"/>
        <w:bottom w:val="none" w:sz="0" w:space="0" w:color="auto"/>
        <w:right w:val="none" w:sz="0" w:space="0" w:color="auto"/>
      </w:divBdr>
    </w:div>
    <w:div w:id="284427628">
      <w:bodyDiv w:val="1"/>
      <w:marLeft w:val="0"/>
      <w:marRight w:val="0"/>
      <w:marTop w:val="0"/>
      <w:marBottom w:val="0"/>
      <w:divBdr>
        <w:top w:val="none" w:sz="0" w:space="0" w:color="auto"/>
        <w:left w:val="none" w:sz="0" w:space="0" w:color="auto"/>
        <w:bottom w:val="none" w:sz="0" w:space="0" w:color="auto"/>
        <w:right w:val="none" w:sz="0" w:space="0" w:color="auto"/>
      </w:divBdr>
    </w:div>
    <w:div w:id="285047009">
      <w:bodyDiv w:val="1"/>
      <w:marLeft w:val="0"/>
      <w:marRight w:val="0"/>
      <w:marTop w:val="0"/>
      <w:marBottom w:val="0"/>
      <w:divBdr>
        <w:top w:val="none" w:sz="0" w:space="0" w:color="auto"/>
        <w:left w:val="none" w:sz="0" w:space="0" w:color="auto"/>
        <w:bottom w:val="none" w:sz="0" w:space="0" w:color="auto"/>
        <w:right w:val="none" w:sz="0" w:space="0" w:color="auto"/>
      </w:divBdr>
    </w:div>
    <w:div w:id="285089573">
      <w:bodyDiv w:val="1"/>
      <w:marLeft w:val="0"/>
      <w:marRight w:val="0"/>
      <w:marTop w:val="0"/>
      <w:marBottom w:val="0"/>
      <w:divBdr>
        <w:top w:val="none" w:sz="0" w:space="0" w:color="auto"/>
        <w:left w:val="none" w:sz="0" w:space="0" w:color="auto"/>
        <w:bottom w:val="none" w:sz="0" w:space="0" w:color="auto"/>
        <w:right w:val="none" w:sz="0" w:space="0" w:color="auto"/>
      </w:divBdr>
    </w:div>
    <w:div w:id="285627301">
      <w:bodyDiv w:val="1"/>
      <w:marLeft w:val="0"/>
      <w:marRight w:val="0"/>
      <w:marTop w:val="0"/>
      <w:marBottom w:val="0"/>
      <w:divBdr>
        <w:top w:val="none" w:sz="0" w:space="0" w:color="auto"/>
        <w:left w:val="none" w:sz="0" w:space="0" w:color="auto"/>
        <w:bottom w:val="none" w:sz="0" w:space="0" w:color="auto"/>
        <w:right w:val="none" w:sz="0" w:space="0" w:color="auto"/>
      </w:divBdr>
    </w:div>
    <w:div w:id="286474799">
      <w:bodyDiv w:val="1"/>
      <w:marLeft w:val="0"/>
      <w:marRight w:val="0"/>
      <w:marTop w:val="0"/>
      <w:marBottom w:val="0"/>
      <w:divBdr>
        <w:top w:val="none" w:sz="0" w:space="0" w:color="auto"/>
        <w:left w:val="none" w:sz="0" w:space="0" w:color="auto"/>
        <w:bottom w:val="none" w:sz="0" w:space="0" w:color="auto"/>
        <w:right w:val="none" w:sz="0" w:space="0" w:color="auto"/>
      </w:divBdr>
    </w:div>
    <w:div w:id="286817172">
      <w:bodyDiv w:val="1"/>
      <w:marLeft w:val="0"/>
      <w:marRight w:val="0"/>
      <w:marTop w:val="0"/>
      <w:marBottom w:val="0"/>
      <w:divBdr>
        <w:top w:val="none" w:sz="0" w:space="0" w:color="auto"/>
        <w:left w:val="none" w:sz="0" w:space="0" w:color="auto"/>
        <w:bottom w:val="none" w:sz="0" w:space="0" w:color="auto"/>
        <w:right w:val="none" w:sz="0" w:space="0" w:color="auto"/>
      </w:divBdr>
    </w:div>
    <w:div w:id="287050786">
      <w:bodyDiv w:val="1"/>
      <w:marLeft w:val="0"/>
      <w:marRight w:val="0"/>
      <w:marTop w:val="0"/>
      <w:marBottom w:val="0"/>
      <w:divBdr>
        <w:top w:val="none" w:sz="0" w:space="0" w:color="auto"/>
        <w:left w:val="none" w:sz="0" w:space="0" w:color="auto"/>
        <w:bottom w:val="none" w:sz="0" w:space="0" w:color="auto"/>
        <w:right w:val="none" w:sz="0" w:space="0" w:color="auto"/>
      </w:divBdr>
    </w:div>
    <w:div w:id="288366691">
      <w:bodyDiv w:val="1"/>
      <w:marLeft w:val="0"/>
      <w:marRight w:val="0"/>
      <w:marTop w:val="0"/>
      <w:marBottom w:val="0"/>
      <w:divBdr>
        <w:top w:val="none" w:sz="0" w:space="0" w:color="auto"/>
        <w:left w:val="none" w:sz="0" w:space="0" w:color="auto"/>
        <w:bottom w:val="none" w:sz="0" w:space="0" w:color="auto"/>
        <w:right w:val="none" w:sz="0" w:space="0" w:color="auto"/>
      </w:divBdr>
    </w:div>
    <w:div w:id="288902297">
      <w:bodyDiv w:val="1"/>
      <w:marLeft w:val="0"/>
      <w:marRight w:val="0"/>
      <w:marTop w:val="0"/>
      <w:marBottom w:val="0"/>
      <w:divBdr>
        <w:top w:val="none" w:sz="0" w:space="0" w:color="auto"/>
        <w:left w:val="none" w:sz="0" w:space="0" w:color="auto"/>
        <w:bottom w:val="none" w:sz="0" w:space="0" w:color="auto"/>
        <w:right w:val="none" w:sz="0" w:space="0" w:color="auto"/>
      </w:divBdr>
    </w:div>
    <w:div w:id="289291003">
      <w:bodyDiv w:val="1"/>
      <w:marLeft w:val="0"/>
      <w:marRight w:val="0"/>
      <w:marTop w:val="0"/>
      <w:marBottom w:val="0"/>
      <w:divBdr>
        <w:top w:val="none" w:sz="0" w:space="0" w:color="auto"/>
        <w:left w:val="none" w:sz="0" w:space="0" w:color="auto"/>
        <w:bottom w:val="none" w:sz="0" w:space="0" w:color="auto"/>
        <w:right w:val="none" w:sz="0" w:space="0" w:color="auto"/>
      </w:divBdr>
    </w:div>
    <w:div w:id="289365518">
      <w:bodyDiv w:val="1"/>
      <w:marLeft w:val="0"/>
      <w:marRight w:val="0"/>
      <w:marTop w:val="0"/>
      <w:marBottom w:val="0"/>
      <w:divBdr>
        <w:top w:val="none" w:sz="0" w:space="0" w:color="auto"/>
        <w:left w:val="none" w:sz="0" w:space="0" w:color="auto"/>
        <w:bottom w:val="none" w:sz="0" w:space="0" w:color="auto"/>
        <w:right w:val="none" w:sz="0" w:space="0" w:color="auto"/>
      </w:divBdr>
    </w:div>
    <w:div w:id="289628243">
      <w:bodyDiv w:val="1"/>
      <w:marLeft w:val="0"/>
      <w:marRight w:val="0"/>
      <w:marTop w:val="0"/>
      <w:marBottom w:val="0"/>
      <w:divBdr>
        <w:top w:val="none" w:sz="0" w:space="0" w:color="auto"/>
        <w:left w:val="none" w:sz="0" w:space="0" w:color="auto"/>
        <w:bottom w:val="none" w:sz="0" w:space="0" w:color="auto"/>
        <w:right w:val="none" w:sz="0" w:space="0" w:color="auto"/>
      </w:divBdr>
    </w:div>
    <w:div w:id="290019633">
      <w:bodyDiv w:val="1"/>
      <w:marLeft w:val="0"/>
      <w:marRight w:val="0"/>
      <w:marTop w:val="0"/>
      <w:marBottom w:val="0"/>
      <w:divBdr>
        <w:top w:val="none" w:sz="0" w:space="0" w:color="auto"/>
        <w:left w:val="none" w:sz="0" w:space="0" w:color="auto"/>
        <w:bottom w:val="none" w:sz="0" w:space="0" w:color="auto"/>
        <w:right w:val="none" w:sz="0" w:space="0" w:color="auto"/>
      </w:divBdr>
    </w:div>
    <w:div w:id="290326761">
      <w:bodyDiv w:val="1"/>
      <w:marLeft w:val="0"/>
      <w:marRight w:val="0"/>
      <w:marTop w:val="0"/>
      <w:marBottom w:val="0"/>
      <w:divBdr>
        <w:top w:val="none" w:sz="0" w:space="0" w:color="auto"/>
        <w:left w:val="none" w:sz="0" w:space="0" w:color="auto"/>
        <w:bottom w:val="none" w:sz="0" w:space="0" w:color="auto"/>
        <w:right w:val="none" w:sz="0" w:space="0" w:color="auto"/>
      </w:divBdr>
    </w:div>
    <w:div w:id="293491182">
      <w:bodyDiv w:val="1"/>
      <w:marLeft w:val="0"/>
      <w:marRight w:val="0"/>
      <w:marTop w:val="0"/>
      <w:marBottom w:val="0"/>
      <w:divBdr>
        <w:top w:val="none" w:sz="0" w:space="0" w:color="auto"/>
        <w:left w:val="none" w:sz="0" w:space="0" w:color="auto"/>
        <w:bottom w:val="none" w:sz="0" w:space="0" w:color="auto"/>
        <w:right w:val="none" w:sz="0" w:space="0" w:color="auto"/>
      </w:divBdr>
    </w:div>
    <w:div w:id="294944102">
      <w:bodyDiv w:val="1"/>
      <w:marLeft w:val="0"/>
      <w:marRight w:val="0"/>
      <w:marTop w:val="0"/>
      <w:marBottom w:val="0"/>
      <w:divBdr>
        <w:top w:val="none" w:sz="0" w:space="0" w:color="auto"/>
        <w:left w:val="none" w:sz="0" w:space="0" w:color="auto"/>
        <w:bottom w:val="none" w:sz="0" w:space="0" w:color="auto"/>
        <w:right w:val="none" w:sz="0" w:space="0" w:color="auto"/>
      </w:divBdr>
    </w:div>
    <w:div w:id="295379581">
      <w:bodyDiv w:val="1"/>
      <w:marLeft w:val="0"/>
      <w:marRight w:val="0"/>
      <w:marTop w:val="0"/>
      <w:marBottom w:val="0"/>
      <w:divBdr>
        <w:top w:val="none" w:sz="0" w:space="0" w:color="auto"/>
        <w:left w:val="none" w:sz="0" w:space="0" w:color="auto"/>
        <w:bottom w:val="none" w:sz="0" w:space="0" w:color="auto"/>
        <w:right w:val="none" w:sz="0" w:space="0" w:color="auto"/>
      </w:divBdr>
    </w:div>
    <w:div w:id="297154950">
      <w:bodyDiv w:val="1"/>
      <w:marLeft w:val="0"/>
      <w:marRight w:val="0"/>
      <w:marTop w:val="0"/>
      <w:marBottom w:val="0"/>
      <w:divBdr>
        <w:top w:val="none" w:sz="0" w:space="0" w:color="auto"/>
        <w:left w:val="none" w:sz="0" w:space="0" w:color="auto"/>
        <w:bottom w:val="none" w:sz="0" w:space="0" w:color="auto"/>
        <w:right w:val="none" w:sz="0" w:space="0" w:color="auto"/>
      </w:divBdr>
    </w:div>
    <w:div w:id="297877626">
      <w:bodyDiv w:val="1"/>
      <w:marLeft w:val="0"/>
      <w:marRight w:val="0"/>
      <w:marTop w:val="0"/>
      <w:marBottom w:val="0"/>
      <w:divBdr>
        <w:top w:val="none" w:sz="0" w:space="0" w:color="auto"/>
        <w:left w:val="none" w:sz="0" w:space="0" w:color="auto"/>
        <w:bottom w:val="none" w:sz="0" w:space="0" w:color="auto"/>
        <w:right w:val="none" w:sz="0" w:space="0" w:color="auto"/>
      </w:divBdr>
    </w:div>
    <w:div w:id="298000447">
      <w:bodyDiv w:val="1"/>
      <w:marLeft w:val="0"/>
      <w:marRight w:val="0"/>
      <w:marTop w:val="0"/>
      <w:marBottom w:val="0"/>
      <w:divBdr>
        <w:top w:val="none" w:sz="0" w:space="0" w:color="auto"/>
        <w:left w:val="none" w:sz="0" w:space="0" w:color="auto"/>
        <w:bottom w:val="none" w:sz="0" w:space="0" w:color="auto"/>
        <w:right w:val="none" w:sz="0" w:space="0" w:color="auto"/>
      </w:divBdr>
    </w:div>
    <w:div w:id="298802751">
      <w:bodyDiv w:val="1"/>
      <w:marLeft w:val="0"/>
      <w:marRight w:val="0"/>
      <w:marTop w:val="0"/>
      <w:marBottom w:val="0"/>
      <w:divBdr>
        <w:top w:val="none" w:sz="0" w:space="0" w:color="auto"/>
        <w:left w:val="none" w:sz="0" w:space="0" w:color="auto"/>
        <w:bottom w:val="none" w:sz="0" w:space="0" w:color="auto"/>
        <w:right w:val="none" w:sz="0" w:space="0" w:color="auto"/>
      </w:divBdr>
    </w:div>
    <w:div w:id="298803454">
      <w:bodyDiv w:val="1"/>
      <w:marLeft w:val="0"/>
      <w:marRight w:val="0"/>
      <w:marTop w:val="0"/>
      <w:marBottom w:val="0"/>
      <w:divBdr>
        <w:top w:val="none" w:sz="0" w:space="0" w:color="auto"/>
        <w:left w:val="none" w:sz="0" w:space="0" w:color="auto"/>
        <w:bottom w:val="none" w:sz="0" w:space="0" w:color="auto"/>
        <w:right w:val="none" w:sz="0" w:space="0" w:color="auto"/>
      </w:divBdr>
    </w:div>
    <w:div w:id="298999120">
      <w:bodyDiv w:val="1"/>
      <w:marLeft w:val="0"/>
      <w:marRight w:val="0"/>
      <w:marTop w:val="0"/>
      <w:marBottom w:val="0"/>
      <w:divBdr>
        <w:top w:val="none" w:sz="0" w:space="0" w:color="auto"/>
        <w:left w:val="none" w:sz="0" w:space="0" w:color="auto"/>
        <w:bottom w:val="none" w:sz="0" w:space="0" w:color="auto"/>
        <w:right w:val="none" w:sz="0" w:space="0" w:color="auto"/>
      </w:divBdr>
    </w:div>
    <w:div w:id="299312555">
      <w:bodyDiv w:val="1"/>
      <w:marLeft w:val="0"/>
      <w:marRight w:val="0"/>
      <w:marTop w:val="0"/>
      <w:marBottom w:val="0"/>
      <w:divBdr>
        <w:top w:val="none" w:sz="0" w:space="0" w:color="auto"/>
        <w:left w:val="none" w:sz="0" w:space="0" w:color="auto"/>
        <w:bottom w:val="none" w:sz="0" w:space="0" w:color="auto"/>
        <w:right w:val="none" w:sz="0" w:space="0" w:color="auto"/>
      </w:divBdr>
    </w:div>
    <w:div w:id="300155086">
      <w:bodyDiv w:val="1"/>
      <w:marLeft w:val="0"/>
      <w:marRight w:val="0"/>
      <w:marTop w:val="0"/>
      <w:marBottom w:val="0"/>
      <w:divBdr>
        <w:top w:val="none" w:sz="0" w:space="0" w:color="auto"/>
        <w:left w:val="none" w:sz="0" w:space="0" w:color="auto"/>
        <w:bottom w:val="none" w:sz="0" w:space="0" w:color="auto"/>
        <w:right w:val="none" w:sz="0" w:space="0" w:color="auto"/>
      </w:divBdr>
    </w:div>
    <w:div w:id="301423404">
      <w:bodyDiv w:val="1"/>
      <w:marLeft w:val="0"/>
      <w:marRight w:val="0"/>
      <w:marTop w:val="0"/>
      <w:marBottom w:val="0"/>
      <w:divBdr>
        <w:top w:val="none" w:sz="0" w:space="0" w:color="auto"/>
        <w:left w:val="none" w:sz="0" w:space="0" w:color="auto"/>
        <w:bottom w:val="none" w:sz="0" w:space="0" w:color="auto"/>
        <w:right w:val="none" w:sz="0" w:space="0" w:color="auto"/>
      </w:divBdr>
    </w:div>
    <w:div w:id="301546167">
      <w:bodyDiv w:val="1"/>
      <w:marLeft w:val="0"/>
      <w:marRight w:val="0"/>
      <w:marTop w:val="0"/>
      <w:marBottom w:val="0"/>
      <w:divBdr>
        <w:top w:val="none" w:sz="0" w:space="0" w:color="auto"/>
        <w:left w:val="none" w:sz="0" w:space="0" w:color="auto"/>
        <w:bottom w:val="none" w:sz="0" w:space="0" w:color="auto"/>
        <w:right w:val="none" w:sz="0" w:space="0" w:color="auto"/>
      </w:divBdr>
    </w:div>
    <w:div w:id="302737792">
      <w:bodyDiv w:val="1"/>
      <w:marLeft w:val="0"/>
      <w:marRight w:val="0"/>
      <w:marTop w:val="0"/>
      <w:marBottom w:val="0"/>
      <w:divBdr>
        <w:top w:val="none" w:sz="0" w:space="0" w:color="auto"/>
        <w:left w:val="none" w:sz="0" w:space="0" w:color="auto"/>
        <w:bottom w:val="none" w:sz="0" w:space="0" w:color="auto"/>
        <w:right w:val="none" w:sz="0" w:space="0" w:color="auto"/>
      </w:divBdr>
    </w:div>
    <w:div w:id="303391111">
      <w:bodyDiv w:val="1"/>
      <w:marLeft w:val="0"/>
      <w:marRight w:val="0"/>
      <w:marTop w:val="0"/>
      <w:marBottom w:val="0"/>
      <w:divBdr>
        <w:top w:val="none" w:sz="0" w:space="0" w:color="auto"/>
        <w:left w:val="none" w:sz="0" w:space="0" w:color="auto"/>
        <w:bottom w:val="none" w:sz="0" w:space="0" w:color="auto"/>
        <w:right w:val="none" w:sz="0" w:space="0" w:color="auto"/>
      </w:divBdr>
    </w:div>
    <w:div w:id="304555997">
      <w:bodyDiv w:val="1"/>
      <w:marLeft w:val="0"/>
      <w:marRight w:val="0"/>
      <w:marTop w:val="0"/>
      <w:marBottom w:val="0"/>
      <w:divBdr>
        <w:top w:val="none" w:sz="0" w:space="0" w:color="auto"/>
        <w:left w:val="none" w:sz="0" w:space="0" w:color="auto"/>
        <w:bottom w:val="none" w:sz="0" w:space="0" w:color="auto"/>
        <w:right w:val="none" w:sz="0" w:space="0" w:color="auto"/>
      </w:divBdr>
    </w:div>
    <w:div w:id="305550546">
      <w:bodyDiv w:val="1"/>
      <w:marLeft w:val="0"/>
      <w:marRight w:val="0"/>
      <w:marTop w:val="0"/>
      <w:marBottom w:val="0"/>
      <w:divBdr>
        <w:top w:val="none" w:sz="0" w:space="0" w:color="auto"/>
        <w:left w:val="none" w:sz="0" w:space="0" w:color="auto"/>
        <w:bottom w:val="none" w:sz="0" w:space="0" w:color="auto"/>
        <w:right w:val="none" w:sz="0" w:space="0" w:color="auto"/>
      </w:divBdr>
    </w:div>
    <w:div w:id="305625480">
      <w:bodyDiv w:val="1"/>
      <w:marLeft w:val="0"/>
      <w:marRight w:val="0"/>
      <w:marTop w:val="0"/>
      <w:marBottom w:val="0"/>
      <w:divBdr>
        <w:top w:val="none" w:sz="0" w:space="0" w:color="auto"/>
        <w:left w:val="none" w:sz="0" w:space="0" w:color="auto"/>
        <w:bottom w:val="none" w:sz="0" w:space="0" w:color="auto"/>
        <w:right w:val="none" w:sz="0" w:space="0" w:color="auto"/>
      </w:divBdr>
    </w:div>
    <w:div w:id="306472212">
      <w:bodyDiv w:val="1"/>
      <w:marLeft w:val="0"/>
      <w:marRight w:val="0"/>
      <w:marTop w:val="0"/>
      <w:marBottom w:val="0"/>
      <w:divBdr>
        <w:top w:val="none" w:sz="0" w:space="0" w:color="auto"/>
        <w:left w:val="none" w:sz="0" w:space="0" w:color="auto"/>
        <w:bottom w:val="none" w:sz="0" w:space="0" w:color="auto"/>
        <w:right w:val="none" w:sz="0" w:space="0" w:color="auto"/>
      </w:divBdr>
    </w:div>
    <w:div w:id="307131365">
      <w:bodyDiv w:val="1"/>
      <w:marLeft w:val="0"/>
      <w:marRight w:val="0"/>
      <w:marTop w:val="0"/>
      <w:marBottom w:val="0"/>
      <w:divBdr>
        <w:top w:val="none" w:sz="0" w:space="0" w:color="auto"/>
        <w:left w:val="none" w:sz="0" w:space="0" w:color="auto"/>
        <w:bottom w:val="none" w:sz="0" w:space="0" w:color="auto"/>
        <w:right w:val="none" w:sz="0" w:space="0" w:color="auto"/>
      </w:divBdr>
    </w:div>
    <w:div w:id="307440352">
      <w:bodyDiv w:val="1"/>
      <w:marLeft w:val="0"/>
      <w:marRight w:val="0"/>
      <w:marTop w:val="0"/>
      <w:marBottom w:val="0"/>
      <w:divBdr>
        <w:top w:val="none" w:sz="0" w:space="0" w:color="auto"/>
        <w:left w:val="none" w:sz="0" w:space="0" w:color="auto"/>
        <w:bottom w:val="none" w:sz="0" w:space="0" w:color="auto"/>
        <w:right w:val="none" w:sz="0" w:space="0" w:color="auto"/>
      </w:divBdr>
    </w:div>
    <w:div w:id="307441650">
      <w:bodyDiv w:val="1"/>
      <w:marLeft w:val="0"/>
      <w:marRight w:val="0"/>
      <w:marTop w:val="0"/>
      <w:marBottom w:val="0"/>
      <w:divBdr>
        <w:top w:val="none" w:sz="0" w:space="0" w:color="auto"/>
        <w:left w:val="none" w:sz="0" w:space="0" w:color="auto"/>
        <w:bottom w:val="none" w:sz="0" w:space="0" w:color="auto"/>
        <w:right w:val="none" w:sz="0" w:space="0" w:color="auto"/>
      </w:divBdr>
    </w:div>
    <w:div w:id="307982617">
      <w:bodyDiv w:val="1"/>
      <w:marLeft w:val="0"/>
      <w:marRight w:val="0"/>
      <w:marTop w:val="0"/>
      <w:marBottom w:val="0"/>
      <w:divBdr>
        <w:top w:val="none" w:sz="0" w:space="0" w:color="auto"/>
        <w:left w:val="none" w:sz="0" w:space="0" w:color="auto"/>
        <w:bottom w:val="none" w:sz="0" w:space="0" w:color="auto"/>
        <w:right w:val="none" w:sz="0" w:space="0" w:color="auto"/>
      </w:divBdr>
    </w:div>
    <w:div w:id="308680206">
      <w:bodyDiv w:val="1"/>
      <w:marLeft w:val="0"/>
      <w:marRight w:val="0"/>
      <w:marTop w:val="0"/>
      <w:marBottom w:val="0"/>
      <w:divBdr>
        <w:top w:val="none" w:sz="0" w:space="0" w:color="auto"/>
        <w:left w:val="none" w:sz="0" w:space="0" w:color="auto"/>
        <w:bottom w:val="none" w:sz="0" w:space="0" w:color="auto"/>
        <w:right w:val="none" w:sz="0" w:space="0" w:color="auto"/>
      </w:divBdr>
    </w:div>
    <w:div w:id="309134335">
      <w:bodyDiv w:val="1"/>
      <w:marLeft w:val="0"/>
      <w:marRight w:val="0"/>
      <w:marTop w:val="0"/>
      <w:marBottom w:val="0"/>
      <w:divBdr>
        <w:top w:val="none" w:sz="0" w:space="0" w:color="auto"/>
        <w:left w:val="none" w:sz="0" w:space="0" w:color="auto"/>
        <w:bottom w:val="none" w:sz="0" w:space="0" w:color="auto"/>
        <w:right w:val="none" w:sz="0" w:space="0" w:color="auto"/>
      </w:divBdr>
    </w:div>
    <w:div w:id="309291671">
      <w:bodyDiv w:val="1"/>
      <w:marLeft w:val="0"/>
      <w:marRight w:val="0"/>
      <w:marTop w:val="0"/>
      <w:marBottom w:val="0"/>
      <w:divBdr>
        <w:top w:val="none" w:sz="0" w:space="0" w:color="auto"/>
        <w:left w:val="none" w:sz="0" w:space="0" w:color="auto"/>
        <w:bottom w:val="none" w:sz="0" w:space="0" w:color="auto"/>
        <w:right w:val="none" w:sz="0" w:space="0" w:color="auto"/>
      </w:divBdr>
    </w:div>
    <w:div w:id="311373674">
      <w:bodyDiv w:val="1"/>
      <w:marLeft w:val="0"/>
      <w:marRight w:val="0"/>
      <w:marTop w:val="0"/>
      <w:marBottom w:val="0"/>
      <w:divBdr>
        <w:top w:val="none" w:sz="0" w:space="0" w:color="auto"/>
        <w:left w:val="none" w:sz="0" w:space="0" w:color="auto"/>
        <w:bottom w:val="none" w:sz="0" w:space="0" w:color="auto"/>
        <w:right w:val="none" w:sz="0" w:space="0" w:color="auto"/>
      </w:divBdr>
    </w:div>
    <w:div w:id="312607484">
      <w:bodyDiv w:val="1"/>
      <w:marLeft w:val="0"/>
      <w:marRight w:val="0"/>
      <w:marTop w:val="0"/>
      <w:marBottom w:val="0"/>
      <w:divBdr>
        <w:top w:val="none" w:sz="0" w:space="0" w:color="auto"/>
        <w:left w:val="none" w:sz="0" w:space="0" w:color="auto"/>
        <w:bottom w:val="none" w:sz="0" w:space="0" w:color="auto"/>
        <w:right w:val="none" w:sz="0" w:space="0" w:color="auto"/>
      </w:divBdr>
    </w:div>
    <w:div w:id="312950387">
      <w:bodyDiv w:val="1"/>
      <w:marLeft w:val="0"/>
      <w:marRight w:val="0"/>
      <w:marTop w:val="0"/>
      <w:marBottom w:val="0"/>
      <w:divBdr>
        <w:top w:val="none" w:sz="0" w:space="0" w:color="auto"/>
        <w:left w:val="none" w:sz="0" w:space="0" w:color="auto"/>
        <w:bottom w:val="none" w:sz="0" w:space="0" w:color="auto"/>
        <w:right w:val="none" w:sz="0" w:space="0" w:color="auto"/>
      </w:divBdr>
    </w:div>
    <w:div w:id="313412586">
      <w:bodyDiv w:val="1"/>
      <w:marLeft w:val="0"/>
      <w:marRight w:val="0"/>
      <w:marTop w:val="0"/>
      <w:marBottom w:val="0"/>
      <w:divBdr>
        <w:top w:val="none" w:sz="0" w:space="0" w:color="auto"/>
        <w:left w:val="none" w:sz="0" w:space="0" w:color="auto"/>
        <w:bottom w:val="none" w:sz="0" w:space="0" w:color="auto"/>
        <w:right w:val="none" w:sz="0" w:space="0" w:color="auto"/>
      </w:divBdr>
    </w:div>
    <w:div w:id="314265272">
      <w:bodyDiv w:val="1"/>
      <w:marLeft w:val="0"/>
      <w:marRight w:val="0"/>
      <w:marTop w:val="0"/>
      <w:marBottom w:val="0"/>
      <w:divBdr>
        <w:top w:val="none" w:sz="0" w:space="0" w:color="auto"/>
        <w:left w:val="none" w:sz="0" w:space="0" w:color="auto"/>
        <w:bottom w:val="none" w:sz="0" w:space="0" w:color="auto"/>
        <w:right w:val="none" w:sz="0" w:space="0" w:color="auto"/>
      </w:divBdr>
    </w:div>
    <w:div w:id="314266080">
      <w:bodyDiv w:val="1"/>
      <w:marLeft w:val="0"/>
      <w:marRight w:val="0"/>
      <w:marTop w:val="0"/>
      <w:marBottom w:val="0"/>
      <w:divBdr>
        <w:top w:val="none" w:sz="0" w:space="0" w:color="auto"/>
        <w:left w:val="none" w:sz="0" w:space="0" w:color="auto"/>
        <w:bottom w:val="none" w:sz="0" w:space="0" w:color="auto"/>
        <w:right w:val="none" w:sz="0" w:space="0" w:color="auto"/>
      </w:divBdr>
    </w:div>
    <w:div w:id="315114617">
      <w:bodyDiv w:val="1"/>
      <w:marLeft w:val="0"/>
      <w:marRight w:val="0"/>
      <w:marTop w:val="0"/>
      <w:marBottom w:val="0"/>
      <w:divBdr>
        <w:top w:val="none" w:sz="0" w:space="0" w:color="auto"/>
        <w:left w:val="none" w:sz="0" w:space="0" w:color="auto"/>
        <w:bottom w:val="none" w:sz="0" w:space="0" w:color="auto"/>
        <w:right w:val="none" w:sz="0" w:space="0" w:color="auto"/>
      </w:divBdr>
    </w:div>
    <w:div w:id="315839219">
      <w:bodyDiv w:val="1"/>
      <w:marLeft w:val="0"/>
      <w:marRight w:val="0"/>
      <w:marTop w:val="0"/>
      <w:marBottom w:val="0"/>
      <w:divBdr>
        <w:top w:val="none" w:sz="0" w:space="0" w:color="auto"/>
        <w:left w:val="none" w:sz="0" w:space="0" w:color="auto"/>
        <w:bottom w:val="none" w:sz="0" w:space="0" w:color="auto"/>
        <w:right w:val="none" w:sz="0" w:space="0" w:color="auto"/>
      </w:divBdr>
    </w:div>
    <w:div w:id="315839699">
      <w:bodyDiv w:val="1"/>
      <w:marLeft w:val="0"/>
      <w:marRight w:val="0"/>
      <w:marTop w:val="0"/>
      <w:marBottom w:val="0"/>
      <w:divBdr>
        <w:top w:val="none" w:sz="0" w:space="0" w:color="auto"/>
        <w:left w:val="none" w:sz="0" w:space="0" w:color="auto"/>
        <w:bottom w:val="none" w:sz="0" w:space="0" w:color="auto"/>
        <w:right w:val="none" w:sz="0" w:space="0" w:color="auto"/>
      </w:divBdr>
    </w:div>
    <w:div w:id="315884497">
      <w:bodyDiv w:val="1"/>
      <w:marLeft w:val="0"/>
      <w:marRight w:val="0"/>
      <w:marTop w:val="0"/>
      <w:marBottom w:val="0"/>
      <w:divBdr>
        <w:top w:val="none" w:sz="0" w:space="0" w:color="auto"/>
        <w:left w:val="none" w:sz="0" w:space="0" w:color="auto"/>
        <w:bottom w:val="none" w:sz="0" w:space="0" w:color="auto"/>
        <w:right w:val="none" w:sz="0" w:space="0" w:color="auto"/>
      </w:divBdr>
    </w:div>
    <w:div w:id="318195952">
      <w:bodyDiv w:val="1"/>
      <w:marLeft w:val="0"/>
      <w:marRight w:val="0"/>
      <w:marTop w:val="0"/>
      <w:marBottom w:val="0"/>
      <w:divBdr>
        <w:top w:val="none" w:sz="0" w:space="0" w:color="auto"/>
        <w:left w:val="none" w:sz="0" w:space="0" w:color="auto"/>
        <w:bottom w:val="none" w:sz="0" w:space="0" w:color="auto"/>
        <w:right w:val="none" w:sz="0" w:space="0" w:color="auto"/>
      </w:divBdr>
    </w:div>
    <w:div w:id="318849098">
      <w:bodyDiv w:val="1"/>
      <w:marLeft w:val="0"/>
      <w:marRight w:val="0"/>
      <w:marTop w:val="0"/>
      <w:marBottom w:val="0"/>
      <w:divBdr>
        <w:top w:val="none" w:sz="0" w:space="0" w:color="auto"/>
        <w:left w:val="none" w:sz="0" w:space="0" w:color="auto"/>
        <w:bottom w:val="none" w:sz="0" w:space="0" w:color="auto"/>
        <w:right w:val="none" w:sz="0" w:space="0" w:color="auto"/>
      </w:divBdr>
    </w:div>
    <w:div w:id="320547409">
      <w:bodyDiv w:val="1"/>
      <w:marLeft w:val="0"/>
      <w:marRight w:val="0"/>
      <w:marTop w:val="0"/>
      <w:marBottom w:val="0"/>
      <w:divBdr>
        <w:top w:val="none" w:sz="0" w:space="0" w:color="auto"/>
        <w:left w:val="none" w:sz="0" w:space="0" w:color="auto"/>
        <w:bottom w:val="none" w:sz="0" w:space="0" w:color="auto"/>
        <w:right w:val="none" w:sz="0" w:space="0" w:color="auto"/>
      </w:divBdr>
    </w:div>
    <w:div w:id="321004424">
      <w:bodyDiv w:val="1"/>
      <w:marLeft w:val="0"/>
      <w:marRight w:val="0"/>
      <w:marTop w:val="0"/>
      <w:marBottom w:val="0"/>
      <w:divBdr>
        <w:top w:val="none" w:sz="0" w:space="0" w:color="auto"/>
        <w:left w:val="none" w:sz="0" w:space="0" w:color="auto"/>
        <w:bottom w:val="none" w:sz="0" w:space="0" w:color="auto"/>
        <w:right w:val="none" w:sz="0" w:space="0" w:color="auto"/>
      </w:divBdr>
    </w:div>
    <w:div w:id="322706372">
      <w:bodyDiv w:val="1"/>
      <w:marLeft w:val="0"/>
      <w:marRight w:val="0"/>
      <w:marTop w:val="0"/>
      <w:marBottom w:val="0"/>
      <w:divBdr>
        <w:top w:val="none" w:sz="0" w:space="0" w:color="auto"/>
        <w:left w:val="none" w:sz="0" w:space="0" w:color="auto"/>
        <w:bottom w:val="none" w:sz="0" w:space="0" w:color="auto"/>
        <w:right w:val="none" w:sz="0" w:space="0" w:color="auto"/>
      </w:divBdr>
    </w:div>
    <w:div w:id="323433217">
      <w:bodyDiv w:val="1"/>
      <w:marLeft w:val="0"/>
      <w:marRight w:val="0"/>
      <w:marTop w:val="0"/>
      <w:marBottom w:val="0"/>
      <w:divBdr>
        <w:top w:val="none" w:sz="0" w:space="0" w:color="auto"/>
        <w:left w:val="none" w:sz="0" w:space="0" w:color="auto"/>
        <w:bottom w:val="none" w:sz="0" w:space="0" w:color="auto"/>
        <w:right w:val="none" w:sz="0" w:space="0" w:color="auto"/>
      </w:divBdr>
    </w:div>
    <w:div w:id="324360115">
      <w:bodyDiv w:val="1"/>
      <w:marLeft w:val="0"/>
      <w:marRight w:val="0"/>
      <w:marTop w:val="0"/>
      <w:marBottom w:val="0"/>
      <w:divBdr>
        <w:top w:val="none" w:sz="0" w:space="0" w:color="auto"/>
        <w:left w:val="none" w:sz="0" w:space="0" w:color="auto"/>
        <w:bottom w:val="none" w:sz="0" w:space="0" w:color="auto"/>
        <w:right w:val="none" w:sz="0" w:space="0" w:color="auto"/>
      </w:divBdr>
    </w:div>
    <w:div w:id="324551346">
      <w:bodyDiv w:val="1"/>
      <w:marLeft w:val="0"/>
      <w:marRight w:val="0"/>
      <w:marTop w:val="0"/>
      <w:marBottom w:val="0"/>
      <w:divBdr>
        <w:top w:val="none" w:sz="0" w:space="0" w:color="auto"/>
        <w:left w:val="none" w:sz="0" w:space="0" w:color="auto"/>
        <w:bottom w:val="none" w:sz="0" w:space="0" w:color="auto"/>
        <w:right w:val="none" w:sz="0" w:space="0" w:color="auto"/>
      </w:divBdr>
    </w:div>
    <w:div w:id="325204632">
      <w:bodyDiv w:val="1"/>
      <w:marLeft w:val="0"/>
      <w:marRight w:val="0"/>
      <w:marTop w:val="0"/>
      <w:marBottom w:val="0"/>
      <w:divBdr>
        <w:top w:val="none" w:sz="0" w:space="0" w:color="auto"/>
        <w:left w:val="none" w:sz="0" w:space="0" w:color="auto"/>
        <w:bottom w:val="none" w:sz="0" w:space="0" w:color="auto"/>
        <w:right w:val="none" w:sz="0" w:space="0" w:color="auto"/>
      </w:divBdr>
    </w:div>
    <w:div w:id="325207216">
      <w:bodyDiv w:val="1"/>
      <w:marLeft w:val="0"/>
      <w:marRight w:val="0"/>
      <w:marTop w:val="0"/>
      <w:marBottom w:val="0"/>
      <w:divBdr>
        <w:top w:val="none" w:sz="0" w:space="0" w:color="auto"/>
        <w:left w:val="none" w:sz="0" w:space="0" w:color="auto"/>
        <w:bottom w:val="none" w:sz="0" w:space="0" w:color="auto"/>
        <w:right w:val="none" w:sz="0" w:space="0" w:color="auto"/>
      </w:divBdr>
    </w:div>
    <w:div w:id="325208090">
      <w:bodyDiv w:val="1"/>
      <w:marLeft w:val="0"/>
      <w:marRight w:val="0"/>
      <w:marTop w:val="0"/>
      <w:marBottom w:val="0"/>
      <w:divBdr>
        <w:top w:val="none" w:sz="0" w:space="0" w:color="auto"/>
        <w:left w:val="none" w:sz="0" w:space="0" w:color="auto"/>
        <w:bottom w:val="none" w:sz="0" w:space="0" w:color="auto"/>
        <w:right w:val="none" w:sz="0" w:space="0" w:color="auto"/>
      </w:divBdr>
    </w:div>
    <w:div w:id="325406884">
      <w:bodyDiv w:val="1"/>
      <w:marLeft w:val="0"/>
      <w:marRight w:val="0"/>
      <w:marTop w:val="0"/>
      <w:marBottom w:val="0"/>
      <w:divBdr>
        <w:top w:val="none" w:sz="0" w:space="0" w:color="auto"/>
        <w:left w:val="none" w:sz="0" w:space="0" w:color="auto"/>
        <w:bottom w:val="none" w:sz="0" w:space="0" w:color="auto"/>
        <w:right w:val="none" w:sz="0" w:space="0" w:color="auto"/>
      </w:divBdr>
    </w:div>
    <w:div w:id="325787269">
      <w:bodyDiv w:val="1"/>
      <w:marLeft w:val="0"/>
      <w:marRight w:val="0"/>
      <w:marTop w:val="0"/>
      <w:marBottom w:val="0"/>
      <w:divBdr>
        <w:top w:val="none" w:sz="0" w:space="0" w:color="auto"/>
        <w:left w:val="none" w:sz="0" w:space="0" w:color="auto"/>
        <w:bottom w:val="none" w:sz="0" w:space="0" w:color="auto"/>
        <w:right w:val="none" w:sz="0" w:space="0" w:color="auto"/>
      </w:divBdr>
    </w:div>
    <w:div w:id="326179314">
      <w:bodyDiv w:val="1"/>
      <w:marLeft w:val="0"/>
      <w:marRight w:val="0"/>
      <w:marTop w:val="0"/>
      <w:marBottom w:val="0"/>
      <w:divBdr>
        <w:top w:val="none" w:sz="0" w:space="0" w:color="auto"/>
        <w:left w:val="none" w:sz="0" w:space="0" w:color="auto"/>
        <w:bottom w:val="none" w:sz="0" w:space="0" w:color="auto"/>
        <w:right w:val="none" w:sz="0" w:space="0" w:color="auto"/>
      </w:divBdr>
    </w:div>
    <w:div w:id="326369973">
      <w:bodyDiv w:val="1"/>
      <w:marLeft w:val="0"/>
      <w:marRight w:val="0"/>
      <w:marTop w:val="0"/>
      <w:marBottom w:val="0"/>
      <w:divBdr>
        <w:top w:val="none" w:sz="0" w:space="0" w:color="auto"/>
        <w:left w:val="none" w:sz="0" w:space="0" w:color="auto"/>
        <w:bottom w:val="none" w:sz="0" w:space="0" w:color="auto"/>
        <w:right w:val="none" w:sz="0" w:space="0" w:color="auto"/>
      </w:divBdr>
    </w:div>
    <w:div w:id="327288089">
      <w:bodyDiv w:val="1"/>
      <w:marLeft w:val="0"/>
      <w:marRight w:val="0"/>
      <w:marTop w:val="0"/>
      <w:marBottom w:val="0"/>
      <w:divBdr>
        <w:top w:val="none" w:sz="0" w:space="0" w:color="auto"/>
        <w:left w:val="none" w:sz="0" w:space="0" w:color="auto"/>
        <w:bottom w:val="none" w:sz="0" w:space="0" w:color="auto"/>
        <w:right w:val="none" w:sz="0" w:space="0" w:color="auto"/>
      </w:divBdr>
    </w:div>
    <w:div w:id="327288413">
      <w:bodyDiv w:val="1"/>
      <w:marLeft w:val="0"/>
      <w:marRight w:val="0"/>
      <w:marTop w:val="0"/>
      <w:marBottom w:val="0"/>
      <w:divBdr>
        <w:top w:val="none" w:sz="0" w:space="0" w:color="auto"/>
        <w:left w:val="none" w:sz="0" w:space="0" w:color="auto"/>
        <w:bottom w:val="none" w:sz="0" w:space="0" w:color="auto"/>
        <w:right w:val="none" w:sz="0" w:space="0" w:color="auto"/>
      </w:divBdr>
    </w:div>
    <w:div w:id="327950205">
      <w:bodyDiv w:val="1"/>
      <w:marLeft w:val="0"/>
      <w:marRight w:val="0"/>
      <w:marTop w:val="0"/>
      <w:marBottom w:val="0"/>
      <w:divBdr>
        <w:top w:val="none" w:sz="0" w:space="0" w:color="auto"/>
        <w:left w:val="none" w:sz="0" w:space="0" w:color="auto"/>
        <w:bottom w:val="none" w:sz="0" w:space="0" w:color="auto"/>
        <w:right w:val="none" w:sz="0" w:space="0" w:color="auto"/>
      </w:divBdr>
    </w:div>
    <w:div w:id="328874072">
      <w:bodyDiv w:val="1"/>
      <w:marLeft w:val="0"/>
      <w:marRight w:val="0"/>
      <w:marTop w:val="0"/>
      <w:marBottom w:val="0"/>
      <w:divBdr>
        <w:top w:val="none" w:sz="0" w:space="0" w:color="auto"/>
        <w:left w:val="none" w:sz="0" w:space="0" w:color="auto"/>
        <w:bottom w:val="none" w:sz="0" w:space="0" w:color="auto"/>
        <w:right w:val="none" w:sz="0" w:space="0" w:color="auto"/>
      </w:divBdr>
    </w:div>
    <w:div w:id="329601197">
      <w:bodyDiv w:val="1"/>
      <w:marLeft w:val="0"/>
      <w:marRight w:val="0"/>
      <w:marTop w:val="0"/>
      <w:marBottom w:val="0"/>
      <w:divBdr>
        <w:top w:val="none" w:sz="0" w:space="0" w:color="auto"/>
        <w:left w:val="none" w:sz="0" w:space="0" w:color="auto"/>
        <w:bottom w:val="none" w:sz="0" w:space="0" w:color="auto"/>
        <w:right w:val="none" w:sz="0" w:space="0" w:color="auto"/>
      </w:divBdr>
    </w:div>
    <w:div w:id="330261447">
      <w:bodyDiv w:val="1"/>
      <w:marLeft w:val="0"/>
      <w:marRight w:val="0"/>
      <w:marTop w:val="0"/>
      <w:marBottom w:val="0"/>
      <w:divBdr>
        <w:top w:val="none" w:sz="0" w:space="0" w:color="auto"/>
        <w:left w:val="none" w:sz="0" w:space="0" w:color="auto"/>
        <w:bottom w:val="none" w:sz="0" w:space="0" w:color="auto"/>
        <w:right w:val="none" w:sz="0" w:space="0" w:color="auto"/>
      </w:divBdr>
    </w:div>
    <w:div w:id="330646861">
      <w:bodyDiv w:val="1"/>
      <w:marLeft w:val="0"/>
      <w:marRight w:val="0"/>
      <w:marTop w:val="0"/>
      <w:marBottom w:val="0"/>
      <w:divBdr>
        <w:top w:val="none" w:sz="0" w:space="0" w:color="auto"/>
        <w:left w:val="none" w:sz="0" w:space="0" w:color="auto"/>
        <w:bottom w:val="none" w:sz="0" w:space="0" w:color="auto"/>
        <w:right w:val="none" w:sz="0" w:space="0" w:color="auto"/>
      </w:divBdr>
    </w:div>
    <w:div w:id="331105278">
      <w:bodyDiv w:val="1"/>
      <w:marLeft w:val="0"/>
      <w:marRight w:val="0"/>
      <w:marTop w:val="0"/>
      <w:marBottom w:val="0"/>
      <w:divBdr>
        <w:top w:val="none" w:sz="0" w:space="0" w:color="auto"/>
        <w:left w:val="none" w:sz="0" w:space="0" w:color="auto"/>
        <w:bottom w:val="none" w:sz="0" w:space="0" w:color="auto"/>
        <w:right w:val="none" w:sz="0" w:space="0" w:color="auto"/>
      </w:divBdr>
    </w:div>
    <w:div w:id="331105286">
      <w:bodyDiv w:val="1"/>
      <w:marLeft w:val="0"/>
      <w:marRight w:val="0"/>
      <w:marTop w:val="0"/>
      <w:marBottom w:val="0"/>
      <w:divBdr>
        <w:top w:val="none" w:sz="0" w:space="0" w:color="auto"/>
        <w:left w:val="none" w:sz="0" w:space="0" w:color="auto"/>
        <w:bottom w:val="none" w:sz="0" w:space="0" w:color="auto"/>
        <w:right w:val="none" w:sz="0" w:space="0" w:color="auto"/>
      </w:divBdr>
    </w:div>
    <w:div w:id="331874784">
      <w:bodyDiv w:val="1"/>
      <w:marLeft w:val="0"/>
      <w:marRight w:val="0"/>
      <w:marTop w:val="0"/>
      <w:marBottom w:val="0"/>
      <w:divBdr>
        <w:top w:val="none" w:sz="0" w:space="0" w:color="auto"/>
        <w:left w:val="none" w:sz="0" w:space="0" w:color="auto"/>
        <w:bottom w:val="none" w:sz="0" w:space="0" w:color="auto"/>
        <w:right w:val="none" w:sz="0" w:space="0" w:color="auto"/>
      </w:divBdr>
    </w:div>
    <w:div w:id="332294585">
      <w:bodyDiv w:val="1"/>
      <w:marLeft w:val="0"/>
      <w:marRight w:val="0"/>
      <w:marTop w:val="0"/>
      <w:marBottom w:val="0"/>
      <w:divBdr>
        <w:top w:val="none" w:sz="0" w:space="0" w:color="auto"/>
        <w:left w:val="none" w:sz="0" w:space="0" w:color="auto"/>
        <w:bottom w:val="none" w:sz="0" w:space="0" w:color="auto"/>
        <w:right w:val="none" w:sz="0" w:space="0" w:color="auto"/>
      </w:divBdr>
    </w:div>
    <w:div w:id="334113441">
      <w:bodyDiv w:val="1"/>
      <w:marLeft w:val="0"/>
      <w:marRight w:val="0"/>
      <w:marTop w:val="0"/>
      <w:marBottom w:val="0"/>
      <w:divBdr>
        <w:top w:val="none" w:sz="0" w:space="0" w:color="auto"/>
        <w:left w:val="none" w:sz="0" w:space="0" w:color="auto"/>
        <w:bottom w:val="none" w:sz="0" w:space="0" w:color="auto"/>
        <w:right w:val="none" w:sz="0" w:space="0" w:color="auto"/>
      </w:divBdr>
    </w:div>
    <w:div w:id="334381283">
      <w:bodyDiv w:val="1"/>
      <w:marLeft w:val="0"/>
      <w:marRight w:val="0"/>
      <w:marTop w:val="0"/>
      <w:marBottom w:val="0"/>
      <w:divBdr>
        <w:top w:val="none" w:sz="0" w:space="0" w:color="auto"/>
        <w:left w:val="none" w:sz="0" w:space="0" w:color="auto"/>
        <w:bottom w:val="none" w:sz="0" w:space="0" w:color="auto"/>
        <w:right w:val="none" w:sz="0" w:space="0" w:color="auto"/>
      </w:divBdr>
    </w:div>
    <w:div w:id="334769333">
      <w:bodyDiv w:val="1"/>
      <w:marLeft w:val="0"/>
      <w:marRight w:val="0"/>
      <w:marTop w:val="0"/>
      <w:marBottom w:val="0"/>
      <w:divBdr>
        <w:top w:val="none" w:sz="0" w:space="0" w:color="auto"/>
        <w:left w:val="none" w:sz="0" w:space="0" w:color="auto"/>
        <w:bottom w:val="none" w:sz="0" w:space="0" w:color="auto"/>
        <w:right w:val="none" w:sz="0" w:space="0" w:color="auto"/>
      </w:divBdr>
    </w:div>
    <w:div w:id="335575532">
      <w:bodyDiv w:val="1"/>
      <w:marLeft w:val="0"/>
      <w:marRight w:val="0"/>
      <w:marTop w:val="0"/>
      <w:marBottom w:val="0"/>
      <w:divBdr>
        <w:top w:val="none" w:sz="0" w:space="0" w:color="auto"/>
        <w:left w:val="none" w:sz="0" w:space="0" w:color="auto"/>
        <w:bottom w:val="none" w:sz="0" w:space="0" w:color="auto"/>
        <w:right w:val="none" w:sz="0" w:space="0" w:color="auto"/>
      </w:divBdr>
    </w:div>
    <w:div w:id="335764199">
      <w:bodyDiv w:val="1"/>
      <w:marLeft w:val="0"/>
      <w:marRight w:val="0"/>
      <w:marTop w:val="0"/>
      <w:marBottom w:val="0"/>
      <w:divBdr>
        <w:top w:val="none" w:sz="0" w:space="0" w:color="auto"/>
        <w:left w:val="none" w:sz="0" w:space="0" w:color="auto"/>
        <w:bottom w:val="none" w:sz="0" w:space="0" w:color="auto"/>
        <w:right w:val="none" w:sz="0" w:space="0" w:color="auto"/>
      </w:divBdr>
    </w:div>
    <w:div w:id="335765475">
      <w:bodyDiv w:val="1"/>
      <w:marLeft w:val="0"/>
      <w:marRight w:val="0"/>
      <w:marTop w:val="0"/>
      <w:marBottom w:val="0"/>
      <w:divBdr>
        <w:top w:val="none" w:sz="0" w:space="0" w:color="auto"/>
        <w:left w:val="none" w:sz="0" w:space="0" w:color="auto"/>
        <w:bottom w:val="none" w:sz="0" w:space="0" w:color="auto"/>
        <w:right w:val="none" w:sz="0" w:space="0" w:color="auto"/>
      </w:divBdr>
    </w:div>
    <w:div w:id="336153724">
      <w:bodyDiv w:val="1"/>
      <w:marLeft w:val="0"/>
      <w:marRight w:val="0"/>
      <w:marTop w:val="0"/>
      <w:marBottom w:val="0"/>
      <w:divBdr>
        <w:top w:val="none" w:sz="0" w:space="0" w:color="auto"/>
        <w:left w:val="none" w:sz="0" w:space="0" w:color="auto"/>
        <w:bottom w:val="none" w:sz="0" w:space="0" w:color="auto"/>
        <w:right w:val="none" w:sz="0" w:space="0" w:color="auto"/>
      </w:divBdr>
    </w:div>
    <w:div w:id="339310328">
      <w:bodyDiv w:val="1"/>
      <w:marLeft w:val="0"/>
      <w:marRight w:val="0"/>
      <w:marTop w:val="0"/>
      <w:marBottom w:val="0"/>
      <w:divBdr>
        <w:top w:val="none" w:sz="0" w:space="0" w:color="auto"/>
        <w:left w:val="none" w:sz="0" w:space="0" w:color="auto"/>
        <w:bottom w:val="none" w:sz="0" w:space="0" w:color="auto"/>
        <w:right w:val="none" w:sz="0" w:space="0" w:color="auto"/>
      </w:divBdr>
    </w:div>
    <w:div w:id="340207527">
      <w:bodyDiv w:val="1"/>
      <w:marLeft w:val="0"/>
      <w:marRight w:val="0"/>
      <w:marTop w:val="0"/>
      <w:marBottom w:val="0"/>
      <w:divBdr>
        <w:top w:val="none" w:sz="0" w:space="0" w:color="auto"/>
        <w:left w:val="none" w:sz="0" w:space="0" w:color="auto"/>
        <w:bottom w:val="none" w:sz="0" w:space="0" w:color="auto"/>
        <w:right w:val="none" w:sz="0" w:space="0" w:color="auto"/>
      </w:divBdr>
    </w:div>
    <w:div w:id="341005759">
      <w:bodyDiv w:val="1"/>
      <w:marLeft w:val="0"/>
      <w:marRight w:val="0"/>
      <w:marTop w:val="0"/>
      <w:marBottom w:val="0"/>
      <w:divBdr>
        <w:top w:val="none" w:sz="0" w:space="0" w:color="auto"/>
        <w:left w:val="none" w:sz="0" w:space="0" w:color="auto"/>
        <w:bottom w:val="none" w:sz="0" w:space="0" w:color="auto"/>
        <w:right w:val="none" w:sz="0" w:space="0" w:color="auto"/>
      </w:divBdr>
    </w:div>
    <w:div w:id="341275814">
      <w:bodyDiv w:val="1"/>
      <w:marLeft w:val="0"/>
      <w:marRight w:val="0"/>
      <w:marTop w:val="0"/>
      <w:marBottom w:val="0"/>
      <w:divBdr>
        <w:top w:val="none" w:sz="0" w:space="0" w:color="auto"/>
        <w:left w:val="none" w:sz="0" w:space="0" w:color="auto"/>
        <w:bottom w:val="none" w:sz="0" w:space="0" w:color="auto"/>
        <w:right w:val="none" w:sz="0" w:space="0" w:color="auto"/>
      </w:divBdr>
    </w:div>
    <w:div w:id="341317983">
      <w:bodyDiv w:val="1"/>
      <w:marLeft w:val="0"/>
      <w:marRight w:val="0"/>
      <w:marTop w:val="0"/>
      <w:marBottom w:val="0"/>
      <w:divBdr>
        <w:top w:val="none" w:sz="0" w:space="0" w:color="auto"/>
        <w:left w:val="none" w:sz="0" w:space="0" w:color="auto"/>
        <w:bottom w:val="none" w:sz="0" w:space="0" w:color="auto"/>
        <w:right w:val="none" w:sz="0" w:space="0" w:color="auto"/>
      </w:divBdr>
    </w:div>
    <w:div w:id="341856464">
      <w:bodyDiv w:val="1"/>
      <w:marLeft w:val="0"/>
      <w:marRight w:val="0"/>
      <w:marTop w:val="0"/>
      <w:marBottom w:val="0"/>
      <w:divBdr>
        <w:top w:val="none" w:sz="0" w:space="0" w:color="auto"/>
        <w:left w:val="none" w:sz="0" w:space="0" w:color="auto"/>
        <w:bottom w:val="none" w:sz="0" w:space="0" w:color="auto"/>
        <w:right w:val="none" w:sz="0" w:space="0" w:color="auto"/>
      </w:divBdr>
    </w:div>
    <w:div w:id="342125576">
      <w:bodyDiv w:val="1"/>
      <w:marLeft w:val="0"/>
      <w:marRight w:val="0"/>
      <w:marTop w:val="0"/>
      <w:marBottom w:val="0"/>
      <w:divBdr>
        <w:top w:val="none" w:sz="0" w:space="0" w:color="auto"/>
        <w:left w:val="none" w:sz="0" w:space="0" w:color="auto"/>
        <w:bottom w:val="none" w:sz="0" w:space="0" w:color="auto"/>
        <w:right w:val="none" w:sz="0" w:space="0" w:color="auto"/>
      </w:divBdr>
    </w:div>
    <w:div w:id="343242252">
      <w:bodyDiv w:val="1"/>
      <w:marLeft w:val="0"/>
      <w:marRight w:val="0"/>
      <w:marTop w:val="0"/>
      <w:marBottom w:val="0"/>
      <w:divBdr>
        <w:top w:val="none" w:sz="0" w:space="0" w:color="auto"/>
        <w:left w:val="none" w:sz="0" w:space="0" w:color="auto"/>
        <w:bottom w:val="none" w:sz="0" w:space="0" w:color="auto"/>
        <w:right w:val="none" w:sz="0" w:space="0" w:color="auto"/>
      </w:divBdr>
    </w:div>
    <w:div w:id="344483047">
      <w:bodyDiv w:val="1"/>
      <w:marLeft w:val="0"/>
      <w:marRight w:val="0"/>
      <w:marTop w:val="0"/>
      <w:marBottom w:val="0"/>
      <w:divBdr>
        <w:top w:val="none" w:sz="0" w:space="0" w:color="auto"/>
        <w:left w:val="none" w:sz="0" w:space="0" w:color="auto"/>
        <w:bottom w:val="none" w:sz="0" w:space="0" w:color="auto"/>
        <w:right w:val="none" w:sz="0" w:space="0" w:color="auto"/>
      </w:divBdr>
    </w:div>
    <w:div w:id="344746033">
      <w:bodyDiv w:val="1"/>
      <w:marLeft w:val="0"/>
      <w:marRight w:val="0"/>
      <w:marTop w:val="0"/>
      <w:marBottom w:val="0"/>
      <w:divBdr>
        <w:top w:val="none" w:sz="0" w:space="0" w:color="auto"/>
        <w:left w:val="none" w:sz="0" w:space="0" w:color="auto"/>
        <w:bottom w:val="none" w:sz="0" w:space="0" w:color="auto"/>
        <w:right w:val="none" w:sz="0" w:space="0" w:color="auto"/>
      </w:divBdr>
    </w:div>
    <w:div w:id="345445758">
      <w:bodyDiv w:val="1"/>
      <w:marLeft w:val="0"/>
      <w:marRight w:val="0"/>
      <w:marTop w:val="0"/>
      <w:marBottom w:val="0"/>
      <w:divBdr>
        <w:top w:val="none" w:sz="0" w:space="0" w:color="auto"/>
        <w:left w:val="none" w:sz="0" w:space="0" w:color="auto"/>
        <w:bottom w:val="none" w:sz="0" w:space="0" w:color="auto"/>
        <w:right w:val="none" w:sz="0" w:space="0" w:color="auto"/>
      </w:divBdr>
    </w:div>
    <w:div w:id="345717210">
      <w:bodyDiv w:val="1"/>
      <w:marLeft w:val="0"/>
      <w:marRight w:val="0"/>
      <w:marTop w:val="0"/>
      <w:marBottom w:val="0"/>
      <w:divBdr>
        <w:top w:val="none" w:sz="0" w:space="0" w:color="auto"/>
        <w:left w:val="none" w:sz="0" w:space="0" w:color="auto"/>
        <w:bottom w:val="none" w:sz="0" w:space="0" w:color="auto"/>
        <w:right w:val="none" w:sz="0" w:space="0" w:color="auto"/>
      </w:divBdr>
    </w:div>
    <w:div w:id="347684955">
      <w:bodyDiv w:val="1"/>
      <w:marLeft w:val="0"/>
      <w:marRight w:val="0"/>
      <w:marTop w:val="0"/>
      <w:marBottom w:val="0"/>
      <w:divBdr>
        <w:top w:val="none" w:sz="0" w:space="0" w:color="auto"/>
        <w:left w:val="none" w:sz="0" w:space="0" w:color="auto"/>
        <w:bottom w:val="none" w:sz="0" w:space="0" w:color="auto"/>
        <w:right w:val="none" w:sz="0" w:space="0" w:color="auto"/>
      </w:divBdr>
    </w:div>
    <w:div w:id="348793634">
      <w:bodyDiv w:val="1"/>
      <w:marLeft w:val="0"/>
      <w:marRight w:val="0"/>
      <w:marTop w:val="0"/>
      <w:marBottom w:val="0"/>
      <w:divBdr>
        <w:top w:val="none" w:sz="0" w:space="0" w:color="auto"/>
        <w:left w:val="none" w:sz="0" w:space="0" w:color="auto"/>
        <w:bottom w:val="none" w:sz="0" w:space="0" w:color="auto"/>
        <w:right w:val="none" w:sz="0" w:space="0" w:color="auto"/>
      </w:divBdr>
    </w:div>
    <w:div w:id="350689604">
      <w:bodyDiv w:val="1"/>
      <w:marLeft w:val="0"/>
      <w:marRight w:val="0"/>
      <w:marTop w:val="0"/>
      <w:marBottom w:val="0"/>
      <w:divBdr>
        <w:top w:val="none" w:sz="0" w:space="0" w:color="auto"/>
        <w:left w:val="none" w:sz="0" w:space="0" w:color="auto"/>
        <w:bottom w:val="none" w:sz="0" w:space="0" w:color="auto"/>
        <w:right w:val="none" w:sz="0" w:space="0" w:color="auto"/>
      </w:divBdr>
    </w:div>
    <w:div w:id="350693380">
      <w:bodyDiv w:val="1"/>
      <w:marLeft w:val="0"/>
      <w:marRight w:val="0"/>
      <w:marTop w:val="0"/>
      <w:marBottom w:val="0"/>
      <w:divBdr>
        <w:top w:val="none" w:sz="0" w:space="0" w:color="auto"/>
        <w:left w:val="none" w:sz="0" w:space="0" w:color="auto"/>
        <w:bottom w:val="none" w:sz="0" w:space="0" w:color="auto"/>
        <w:right w:val="none" w:sz="0" w:space="0" w:color="auto"/>
      </w:divBdr>
    </w:div>
    <w:div w:id="351955053">
      <w:bodyDiv w:val="1"/>
      <w:marLeft w:val="0"/>
      <w:marRight w:val="0"/>
      <w:marTop w:val="0"/>
      <w:marBottom w:val="0"/>
      <w:divBdr>
        <w:top w:val="none" w:sz="0" w:space="0" w:color="auto"/>
        <w:left w:val="none" w:sz="0" w:space="0" w:color="auto"/>
        <w:bottom w:val="none" w:sz="0" w:space="0" w:color="auto"/>
        <w:right w:val="none" w:sz="0" w:space="0" w:color="auto"/>
      </w:divBdr>
    </w:div>
    <w:div w:id="353001990">
      <w:bodyDiv w:val="1"/>
      <w:marLeft w:val="0"/>
      <w:marRight w:val="0"/>
      <w:marTop w:val="0"/>
      <w:marBottom w:val="0"/>
      <w:divBdr>
        <w:top w:val="none" w:sz="0" w:space="0" w:color="auto"/>
        <w:left w:val="none" w:sz="0" w:space="0" w:color="auto"/>
        <w:bottom w:val="none" w:sz="0" w:space="0" w:color="auto"/>
        <w:right w:val="none" w:sz="0" w:space="0" w:color="auto"/>
      </w:divBdr>
    </w:div>
    <w:div w:id="353071634">
      <w:bodyDiv w:val="1"/>
      <w:marLeft w:val="0"/>
      <w:marRight w:val="0"/>
      <w:marTop w:val="0"/>
      <w:marBottom w:val="0"/>
      <w:divBdr>
        <w:top w:val="none" w:sz="0" w:space="0" w:color="auto"/>
        <w:left w:val="none" w:sz="0" w:space="0" w:color="auto"/>
        <w:bottom w:val="none" w:sz="0" w:space="0" w:color="auto"/>
        <w:right w:val="none" w:sz="0" w:space="0" w:color="auto"/>
      </w:divBdr>
    </w:div>
    <w:div w:id="353457783">
      <w:bodyDiv w:val="1"/>
      <w:marLeft w:val="0"/>
      <w:marRight w:val="0"/>
      <w:marTop w:val="0"/>
      <w:marBottom w:val="0"/>
      <w:divBdr>
        <w:top w:val="none" w:sz="0" w:space="0" w:color="auto"/>
        <w:left w:val="none" w:sz="0" w:space="0" w:color="auto"/>
        <w:bottom w:val="none" w:sz="0" w:space="0" w:color="auto"/>
        <w:right w:val="none" w:sz="0" w:space="0" w:color="auto"/>
      </w:divBdr>
    </w:div>
    <w:div w:id="353574083">
      <w:bodyDiv w:val="1"/>
      <w:marLeft w:val="0"/>
      <w:marRight w:val="0"/>
      <w:marTop w:val="0"/>
      <w:marBottom w:val="0"/>
      <w:divBdr>
        <w:top w:val="none" w:sz="0" w:space="0" w:color="auto"/>
        <w:left w:val="none" w:sz="0" w:space="0" w:color="auto"/>
        <w:bottom w:val="none" w:sz="0" w:space="0" w:color="auto"/>
        <w:right w:val="none" w:sz="0" w:space="0" w:color="auto"/>
      </w:divBdr>
    </w:div>
    <w:div w:id="354310390">
      <w:bodyDiv w:val="1"/>
      <w:marLeft w:val="0"/>
      <w:marRight w:val="0"/>
      <w:marTop w:val="0"/>
      <w:marBottom w:val="0"/>
      <w:divBdr>
        <w:top w:val="none" w:sz="0" w:space="0" w:color="auto"/>
        <w:left w:val="none" w:sz="0" w:space="0" w:color="auto"/>
        <w:bottom w:val="none" w:sz="0" w:space="0" w:color="auto"/>
        <w:right w:val="none" w:sz="0" w:space="0" w:color="auto"/>
      </w:divBdr>
    </w:div>
    <w:div w:id="354843433">
      <w:bodyDiv w:val="1"/>
      <w:marLeft w:val="0"/>
      <w:marRight w:val="0"/>
      <w:marTop w:val="0"/>
      <w:marBottom w:val="0"/>
      <w:divBdr>
        <w:top w:val="none" w:sz="0" w:space="0" w:color="auto"/>
        <w:left w:val="none" w:sz="0" w:space="0" w:color="auto"/>
        <w:bottom w:val="none" w:sz="0" w:space="0" w:color="auto"/>
        <w:right w:val="none" w:sz="0" w:space="0" w:color="auto"/>
      </w:divBdr>
    </w:div>
    <w:div w:id="355010331">
      <w:bodyDiv w:val="1"/>
      <w:marLeft w:val="0"/>
      <w:marRight w:val="0"/>
      <w:marTop w:val="0"/>
      <w:marBottom w:val="0"/>
      <w:divBdr>
        <w:top w:val="none" w:sz="0" w:space="0" w:color="auto"/>
        <w:left w:val="none" w:sz="0" w:space="0" w:color="auto"/>
        <w:bottom w:val="none" w:sz="0" w:space="0" w:color="auto"/>
        <w:right w:val="none" w:sz="0" w:space="0" w:color="auto"/>
      </w:divBdr>
    </w:div>
    <w:div w:id="355035679">
      <w:bodyDiv w:val="1"/>
      <w:marLeft w:val="0"/>
      <w:marRight w:val="0"/>
      <w:marTop w:val="0"/>
      <w:marBottom w:val="0"/>
      <w:divBdr>
        <w:top w:val="none" w:sz="0" w:space="0" w:color="auto"/>
        <w:left w:val="none" w:sz="0" w:space="0" w:color="auto"/>
        <w:bottom w:val="none" w:sz="0" w:space="0" w:color="auto"/>
        <w:right w:val="none" w:sz="0" w:space="0" w:color="auto"/>
      </w:divBdr>
    </w:div>
    <w:div w:id="355035832">
      <w:bodyDiv w:val="1"/>
      <w:marLeft w:val="0"/>
      <w:marRight w:val="0"/>
      <w:marTop w:val="0"/>
      <w:marBottom w:val="0"/>
      <w:divBdr>
        <w:top w:val="none" w:sz="0" w:space="0" w:color="auto"/>
        <w:left w:val="none" w:sz="0" w:space="0" w:color="auto"/>
        <w:bottom w:val="none" w:sz="0" w:space="0" w:color="auto"/>
        <w:right w:val="none" w:sz="0" w:space="0" w:color="auto"/>
      </w:divBdr>
    </w:div>
    <w:div w:id="357321070">
      <w:bodyDiv w:val="1"/>
      <w:marLeft w:val="0"/>
      <w:marRight w:val="0"/>
      <w:marTop w:val="0"/>
      <w:marBottom w:val="0"/>
      <w:divBdr>
        <w:top w:val="none" w:sz="0" w:space="0" w:color="auto"/>
        <w:left w:val="none" w:sz="0" w:space="0" w:color="auto"/>
        <w:bottom w:val="none" w:sz="0" w:space="0" w:color="auto"/>
        <w:right w:val="none" w:sz="0" w:space="0" w:color="auto"/>
      </w:divBdr>
    </w:div>
    <w:div w:id="357657411">
      <w:bodyDiv w:val="1"/>
      <w:marLeft w:val="0"/>
      <w:marRight w:val="0"/>
      <w:marTop w:val="0"/>
      <w:marBottom w:val="0"/>
      <w:divBdr>
        <w:top w:val="none" w:sz="0" w:space="0" w:color="auto"/>
        <w:left w:val="none" w:sz="0" w:space="0" w:color="auto"/>
        <w:bottom w:val="none" w:sz="0" w:space="0" w:color="auto"/>
        <w:right w:val="none" w:sz="0" w:space="0" w:color="auto"/>
      </w:divBdr>
    </w:div>
    <w:div w:id="358550861">
      <w:bodyDiv w:val="1"/>
      <w:marLeft w:val="0"/>
      <w:marRight w:val="0"/>
      <w:marTop w:val="0"/>
      <w:marBottom w:val="0"/>
      <w:divBdr>
        <w:top w:val="none" w:sz="0" w:space="0" w:color="auto"/>
        <w:left w:val="none" w:sz="0" w:space="0" w:color="auto"/>
        <w:bottom w:val="none" w:sz="0" w:space="0" w:color="auto"/>
        <w:right w:val="none" w:sz="0" w:space="0" w:color="auto"/>
      </w:divBdr>
    </w:div>
    <w:div w:id="359203290">
      <w:bodyDiv w:val="1"/>
      <w:marLeft w:val="0"/>
      <w:marRight w:val="0"/>
      <w:marTop w:val="0"/>
      <w:marBottom w:val="0"/>
      <w:divBdr>
        <w:top w:val="none" w:sz="0" w:space="0" w:color="auto"/>
        <w:left w:val="none" w:sz="0" w:space="0" w:color="auto"/>
        <w:bottom w:val="none" w:sz="0" w:space="0" w:color="auto"/>
        <w:right w:val="none" w:sz="0" w:space="0" w:color="auto"/>
      </w:divBdr>
    </w:div>
    <w:div w:id="359668285">
      <w:bodyDiv w:val="1"/>
      <w:marLeft w:val="0"/>
      <w:marRight w:val="0"/>
      <w:marTop w:val="0"/>
      <w:marBottom w:val="0"/>
      <w:divBdr>
        <w:top w:val="none" w:sz="0" w:space="0" w:color="auto"/>
        <w:left w:val="none" w:sz="0" w:space="0" w:color="auto"/>
        <w:bottom w:val="none" w:sz="0" w:space="0" w:color="auto"/>
        <w:right w:val="none" w:sz="0" w:space="0" w:color="auto"/>
      </w:divBdr>
    </w:div>
    <w:div w:id="361446546">
      <w:bodyDiv w:val="1"/>
      <w:marLeft w:val="0"/>
      <w:marRight w:val="0"/>
      <w:marTop w:val="0"/>
      <w:marBottom w:val="0"/>
      <w:divBdr>
        <w:top w:val="none" w:sz="0" w:space="0" w:color="auto"/>
        <w:left w:val="none" w:sz="0" w:space="0" w:color="auto"/>
        <w:bottom w:val="none" w:sz="0" w:space="0" w:color="auto"/>
        <w:right w:val="none" w:sz="0" w:space="0" w:color="auto"/>
      </w:divBdr>
    </w:div>
    <w:div w:id="361588942">
      <w:bodyDiv w:val="1"/>
      <w:marLeft w:val="0"/>
      <w:marRight w:val="0"/>
      <w:marTop w:val="0"/>
      <w:marBottom w:val="0"/>
      <w:divBdr>
        <w:top w:val="none" w:sz="0" w:space="0" w:color="auto"/>
        <w:left w:val="none" w:sz="0" w:space="0" w:color="auto"/>
        <w:bottom w:val="none" w:sz="0" w:space="0" w:color="auto"/>
        <w:right w:val="none" w:sz="0" w:space="0" w:color="auto"/>
      </w:divBdr>
    </w:div>
    <w:div w:id="361781370">
      <w:bodyDiv w:val="1"/>
      <w:marLeft w:val="0"/>
      <w:marRight w:val="0"/>
      <w:marTop w:val="0"/>
      <w:marBottom w:val="0"/>
      <w:divBdr>
        <w:top w:val="none" w:sz="0" w:space="0" w:color="auto"/>
        <w:left w:val="none" w:sz="0" w:space="0" w:color="auto"/>
        <w:bottom w:val="none" w:sz="0" w:space="0" w:color="auto"/>
        <w:right w:val="none" w:sz="0" w:space="0" w:color="auto"/>
      </w:divBdr>
    </w:div>
    <w:div w:id="362094947">
      <w:bodyDiv w:val="1"/>
      <w:marLeft w:val="0"/>
      <w:marRight w:val="0"/>
      <w:marTop w:val="0"/>
      <w:marBottom w:val="0"/>
      <w:divBdr>
        <w:top w:val="none" w:sz="0" w:space="0" w:color="auto"/>
        <w:left w:val="none" w:sz="0" w:space="0" w:color="auto"/>
        <w:bottom w:val="none" w:sz="0" w:space="0" w:color="auto"/>
        <w:right w:val="none" w:sz="0" w:space="0" w:color="auto"/>
      </w:divBdr>
    </w:div>
    <w:div w:id="362829661">
      <w:bodyDiv w:val="1"/>
      <w:marLeft w:val="0"/>
      <w:marRight w:val="0"/>
      <w:marTop w:val="0"/>
      <w:marBottom w:val="0"/>
      <w:divBdr>
        <w:top w:val="none" w:sz="0" w:space="0" w:color="auto"/>
        <w:left w:val="none" w:sz="0" w:space="0" w:color="auto"/>
        <w:bottom w:val="none" w:sz="0" w:space="0" w:color="auto"/>
        <w:right w:val="none" w:sz="0" w:space="0" w:color="auto"/>
      </w:divBdr>
    </w:div>
    <w:div w:id="362830127">
      <w:bodyDiv w:val="1"/>
      <w:marLeft w:val="0"/>
      <w:marRight w:val="0"/>
      <w:marTop w:val="0"/>
      <w:marBottom w:val="0"/>
      <w:divBdr>
        <w:top w:val="none" w:sz="0" w:space="0" w:color="auto"/>
        <w:left w:val="none" w:sz="0" w:space="0" w:color="auto"/>
        <w:bottom w:val="none" w:sz="0" w:space="0" w:color="auto"/>
        <w:right w:val="none" w:sz="0" w:space="0" w:color="auto"/>
      </w:divBdr>
    </w:div>
    <w:div w:id="363332512">
      <w:bodyDiv w:val="1"/>
      <w:marLeft w:val="0"/>
      <w:marRight w:val="0"/>
      <w:marTop w:val="0"/>
      <w:marBottom w:val="0"/>
      <w:divBdr>
        <w:top w:val="none" w:sz="0" w:space="0" w:color="auto"/>
        <w:left w:val="none" w:sz="0" w:space="0" w:color="auto"/>
        <w:bottom w:val="none" w:sz="0" w:space="0" w:color="auto"/>
        <w:right w:val="none" w:sz="0" w:space="0" w:color="auto"/>
      </w:divBdr>
    </w:div>
    <w:div w:id="365302996">
      <w:bodyDiv w:val="1"/>
      <w:marLeft w:val="0"/>
      <w:marRight w:val="0"/>
      <w:marTop w:val="0"/>
      <w:marBottom w:val="0"/>
      <w:divBdr>
        <w:top w:val="none" w:sz="0" w:space="0" w:color="auto"/>
        <w:left w:val="none" w:sz="0" w:space="0" w:color="auto"/>
        <w:bottom w:val="none" w:sz="0" w:space="0" w:color="auto"/>
        <w:right w:val="none" w:sz="0" w:space="0" w:color="auto"/>
      </w:divBdr>
    </w:div>
    <w:div w:id="365644274">
      <w:bodyDiv w:val="1"/>
      <w:marLeft w:val="0"/>
      <w:marRight w:val="0"/>
      <w:marTop w:val="0"/>
      <w:marBottom w:val="0"/>
      <w:divBdr>
        <w:top w:val="none" w:sz="0" w:space="0" w:color="auto"/>
        <w:left w:val="none" w:sz="0" w:space="0" w:color="auto"/>
        <w:bottom w:val="none" w:sz="0" w:space="0" w:color="auto"/>
        <w:right w:val="none" w:sz="0" w:space="0" w:color="auto"/>
      </w:divBdr>
    </w:div>
    <w:div w:id="367220121">
      <w:bodyDiv w:val="1"/>
      <w:marLeft w:val="0"/>
      <w:marRight w:val="0"/>
      <w:marTop w:val="0"/>
      <w:marBottom w:val="0"/>
      <w:divBdr>
        <w:top w:val="none" w:sz="0" w:space="0" w:color="auto"/>
        <w:left w:val="none" w:sz="0" w:space="0" w:color="auto"/>
        <w:bottom w:val="none" w:sz="0" w:space="0" w:color="auto"/>
        <w:right w:val="none" w:sz="0" w:space="0" w:color="auto"/>
      </w:divBdr>
    </w:div>
    <w:div w:id="367993773">
      <w:bodyDiv w:val="1"/>
      <w:marLeft w:val="0"/>
      <w:marRight w:val="0"/>
      <w:marTop w:val="0"/>
      <w:marBottom w:val="0"/>
      <w:divBdr>
        <w:top w:val="none" w:sz="0" w:space="0" w:color="auto"/>
        <w:left w:val="none" w:sz="0" w:space="0" w:color="auto"/>
        <w:bottom w:val="none" w:sz="0" w:space="0" w:color="auto"/>
        <w:right w:val="none" w:sz="0" w:space="0" w:color="auto"/>
      </w:divBdr>
    </w:div>
    <w:div w:id="369645548">
      <w:bodyDiv w:val="1"/>
      <w:marLeft w:val="0"/>
      <w:marRight w:val="0"/>
      <w:marTop w:val="0"/>
      <w:marBottom w:val="0"/>
      <w:divBdr>
        <w:top w:val="none" w:sz="0" w:space="0" w:color="auto"/>
        <w:left w:val="none" w:sz="0" w:space="0" w:color="auto"/>
        <w:bottom w:val="none" w:sz="0" w:space="0" w:color="auto"/>
        <w:right w:val="none" w:sz="0" w:space="0" w:color="auto"/>
      </w:divBdr>
    </w:div>
    <w:div w:id="369962597">
      <w:bodyDiv w:val="1"/>
      <w:marLeft w:val="0"/>
      <w:marRight w:val="0"/>
      <w:marTop w:val="0"/>
      <w:marBottom w:val="0"/>
      <w:divBdr>
        <w:top w:val="none" w:sz="0" w:space="0" w:color="auto"/>
        <w:left w:val="none" w:sz="0" w:space="0" w:color="auto"/>
        <w:bottom w:val="none" w:sz="0" w:space="0" w:color="auto"/>
        <w:right w:val="none" w:sz="0" w:space="0" w:color="auto"/>
      </w:divBdr>
    </w:div>
    <w:div w:id="371926894">
      <w:bodyDiv w:val="1"/>
      <w:marLeft w:val="0"/>
      <w:marRight w:val="0"/>
      <w:marTop w:val="0"/>
      <w:marBottom w:val="0"/>
      <w:divBdr>
        <w:top w:val="none" w:sz="0" w:space="0" w:color="auto"/>
        <w:left w:val="none" w:sz="0" w:space="0" w:color="auto"/>
        <w:bottom w:val="none" w:sz="0" w:space="0" w:color="auto"/>
        <w:right w:val="none" w:sz="0" w:space="0" w:color="auto"/>
      </w:divBdr>
    </w:div>
    <w:div w:id="372536900">
      <w:bodyDiv w:val="1"/>
      <w:marLeft w:val="0"/>
      <w:marRight w:val="0"/>
      <w:marTop w:val="0"/>
      <w:marBottom w:val="0"/>
      <w:divBdr>
        <w:top w:val="none" w:sz="0" w:space="0" w:color="auto"/>
        <w:left w:val="none" w:sz="0" w:space="0" w:color="auto"/>
        <w:bottom w:val="none" w:sz="0" w:space="0" w:color="auto"/>
        <w:right w:val="none" w:sz="0" w:space="0" w:color="auto"/>
      </w:divBdr>
    </w:div>
    <w:div w:id="373584886">
      <w:bodyDiv w:val="1"/>
      <w:marLeft w:val="0"/>
      <w:marRight w:val="0"/>
      <w:marTop w:val="0"/>
      <w:marBottom w:val="0"/>
      <w:divBdr>
        <w:top w:val="none" w:sz="0" w:space="0" w:color="auto"/>
        <w:left w:val="none" w:sz="0" w:space="0" w:color="auto"/>
        <w:bottom w:val="none" w:sz="0" w:space="0" w:color="auto"/>
        <w:right w:val="none" w:sz="0" w:space="0" w:color="auto"/>
      </w:divBdr>
    </w:div>
    <w:div w:id="373623021">
      <w:bodyDiv w:val="1"/>
      <w:marLeft w:val="0"/>
      <w:marRight w:val="0"/>
      <w:marTop w:val="0"/>
      <w:marBottom w:val="0"/>
      <w:divBdr>
        <w:top w:val="none" w:sz="0" w:space="0" w:color="auto"/>
        <w:left w:val="none" w:sz="0" w:space="0" w:color="auto"/>
        <w:bottom w:val="none" w:sz="0" w:space="0" w:color="auto"/>
        <w:right w:val="none" w:sz="0" w:space="0" w:color="auto"/>
      </w:divBdr>
    </w:div>
    <w:div w:id="373888514">
      <w:bodyDiv w:val="1"/>
      <w:marLeft w:val="0"/>
      <w:marRight w:val="0"/>
      <w:marTop w:val="0"/>
      <w:marBottom w:val="0"/>
      <w:divBdr>
        <w:top w:val="none" w:sz="0" w:space="0" w:color="auto"/>
        <w:left w:val="none" w:sz="0" w:space="0" w:color="auto"/>
        <w:bottom w:val="none" w:sz="0" w:space="0" w:color="auto"/>
        <w:right w:val="none" w:sz="0" w:space="0" w:color="auto"/>
      </w:divBdr>
    </w:div>
    <w:div w:id="374165115">
      <w:bodyDiv w:val="1"/>
      <w:marLeft w:val="0"/>
      <w:marRight w:val="0"/>
      <w:marTop w:val="0"/>
      <w:marBottom w:val="0"/>
      <w:divBdr>
        <w:top w:val="none" w:sz="0" w:space="0" w:color="auto"/>
        <w:left w:val="none" w:sz="0" w:space="0" w:color="auto"/>
        <w:bottom w:val="none" w:sz="0" w:space="0" w:color="auto"/>
        <w:right w:val="none" w:sz="0" w:space="0" w:color="auto"/>
      </w:divBdr>
    </w:div>
    <w:div w:id="374700140">
      <w:bodyDiv w:val="1"/>
      <w:marLeft w:val="0"/>
      <w:marRight w:val="0"/>
      <w:marTop w:val="0"/>
      <w:marBottom w:val="0"/>
      <w:divBdr>
        <w:top w:val="none" w:sz="0" w:space="0" w:color="auto"/>
        <w:left w:val="none" w:sz="0" w:space="0" w:color="auto"/>
        <w:bottom w:val="none" w:sz="0" w:space="0" w:color="auto"/>
        <w:right w:val="none" w:sz="0" w:space="0" w:color="auto"/>
      </w:divBdr>
    </w:div>
    <w:div w:id="375589386">
      <w:bodyDiv w:val="1"/>
      <w:marLeft w:val="0"/>
      <w:marRight w:val="0"/>
      <w:marTop w:val="0"/>
      <w:marBottom w:val="0"/>
      <w:divBdr>
        <w:top w:val="none" w:sz="0" w:space="0" w:color="auto"/>
        <w:left w:val="none" w:sz="0" w:space="0" w:color="auto"/>
        <w:bottom w:val="none" w:sz="0" w:space="0" w:color="auto"/>
        <w:right w:val="none" w:sz="0" w:space="0" w:color="auto"/>
      </w:divBdr>
    </w:div>
    <w:div w:id="375736250">
      <w:bodyDiv w:val="1"/>
      <w:marLeft w:val="0"/>
      <w:marRight w:val="0"/>
      <w:marTop w:val="0"/>
      <w:marBottom w:val="0"/>
      <w:divBdr>
        <w:top w:val="none" w:sz="0" w:space="0" w:color="auto"/>
        <w:left w:val="none" w:sz="0" w:space="0" w:color="auto"/>
        <w:bottom w:val="none" w:sz="0" w:space="0" w:color="auto"/>
        <w:right w:val="none" w:sz="0" w:space="0" w:color="auto"/>
      </w:divBdr>
    </w:div>
    <w:div w:id="375857956">
      <w:bodyDiv w:val="1"/>
      <w:marLeft w:val="0"/>
      <w:marRight w:val="0"/>
      <w:marTop w:val="0"/>
      <w:marBottom w:val="0"/>
      <w:divBdr>
        <w:top w:val="none" w:sz="0" w:space="0" w:color="auto"/>
        <w:left w:val="none" w:sz="0" w:space="0" w:color="auto"/>
        <w:bottom w:val="none" w:sz="0" w:space="0" w:color="auto"/>
        <w:right w:val="none" w:sz="0" w:space="0" w:color="auto"/>
      </w:divBdr>
    </w:div>
    <w:div w:id="376979609">
      <w:bodyDiv w:val="1"/>
      <w:marLeft w:val="0"/>
      <w:marRight w:val="0"/>
      <w:marTop w:val="0"/>
      <w:marBottom w:val="0"/>
      <w:divBdr>
        <w:top w:val="none" w:sz="0" w:space="0" w:color="auto"/>
        <w:left w:val="none" w:sz="0" w:space="0" w:color="auto"/>
        <w:bottom w:val="none" w:sz="0" w:space="0" w:color="auto"/>
        <w:right w:val="none" w:sz="0" w:space="0" w:color="auto"/>
      </w:divBdr>
    </w:div>
    <w:div w:id="377974095">
      <w:bodyDiv w:val="1"/>
      <w:marLeft w:val="0"/>
      <w:marRight w:val="0"/>
      <w:marTop w:val="0"/>
      <w:marBottom w:val="0"/>
      <w:divBdr>
        <w:top w:val="none" w:sz="0" w:space="0" w:color="auto"/>
        <w:left w:val="none" w:sz="0" w:space="0" w:color="auto"/>
        <w:bottom w:val="none" w:sz="0" w:space="0" w:color="auto"/>
        <w:right w:val="none" w:sz="0" w:space="0" w:color="auto"/>
      </w:divBdr>
    </w:div>
    <w:div w:id="379743910">
      <w:bodyDiv w:val="1"/>
      <w:marLeft w:val="0"/>
      <w:marRight w:val="0"/>
      <w:marTop w:val="0"/>
      <w:marBottom w:val="0"/>
      <w:divBdr>
        <w:top w:val="none" w:sz="0" w:space="0" w:color="auto"/>
        <w:left w:val="none" w:sz="0" w:space="0" w:color="auto"/>
        <w:bottom w:val="none" w:sz="0" w:space="0" w:color="auto"/>
        <w:right w:val="none" w:sz="0" w:space="0" w:color="auto"/>
      </w:divBdr>
    </w:div>
    <w:div w:id="380062403">
      <w:bodyDiv w:val="1"/>
      <w:marLeft w:val="0"/>
      <w:marRight w:val="0"/>
      <w:marTop w:val="0"/>
      <w:marBottom w:val="0"/>
      <w:divBdr>
        <w:top w:val="none" w:sz="0" w:space="0" w:color="auto"/>
        <w:left w:val="none" w:sz="0" w:space="0" w:color="auto"/>
        <w:bottom w:val="none" w:sz="0" w:space="0" w:color="auto"/>
        <w:right w:val="none" w:sz="0" w:space="0" w:color="auto"/>
      </w:divBdr>
    </w:div>
    <w:div w:id="380132071">
      <w:bodyDiv w:val="1"/>
      <w:marLeft w:val="0"/>
      <w:marRight w:val="0"/>
      <w:marTop w:val="0"/>
      <w:marBottom w:val="0"/>
      <w:divBdr>
        <w:top w:val="none" w:sz="0" w:space="0" w:color="auto"/>
        <w:left w:val="none" w:sz="0" w:space="0" w:color="auto"/>
        <w:bottom w:val="none" w:sz="0" w:space="0" w:color="auto"/>
        <w:right w:val="none" w:sz="0" w:space="0" w:color="auto"/>
      </w:divBdr>
    </w:div>
    <w:div w:id="380329489">
      <w:bodyDiv w:val="1"/>
      <w:marLeft w:val="0"/>
      <w:marRight w:val="0"/>
      <w:marTop w:val="0"/>
      <w:marBottom w:val="0"/>
      <w:divBdr>
        <w:top w:val="none" w:sz="0" w:space="0" w:color="auto"/>
        <w:left w:val="none" w:sz="0" w:space="0" w:color="auto"/>
        <w:bottom w:val="none" w:sz="0" w:space="0" w:color="auto"/>
        <w:right w:val="none" w:sz="0" w:space="0" w:color="auto"/>
      </w:divBdr>
    </w:div>
    <w:div w:id="381247666">
      <w:bodyDiv w:val="1"/>
      <w:marLeft w:val="0"/>
      <w:marRight w:val="0"/>
      <w:marTop w:val="0"/>
      <w:marBottom w:val="0"/>
      <w:divBdr>
        <w:top w:val="none" w:sz="0" w:space="0" w:color="auto"/>
        <w:left w:val="none" w:sz="0" w:space="0" w:color="auto"/>
        <w:bottom w:val="none" w:sz="0" w:space="0" w:color="auto"/>
        <w:right w:val="none" w:sz="0" w:space="0" w:color="auto"/>
      </w:divBdr>
    </w:div>
    <w:div w:id="382028741">
      <w:bodyDiv w:val="1"/>
      <w:marLeft w:val="0"/>
      <w:marRight w:val="0"/>
      <w:marTop w:val="0"/>
      <w:marBottom w:val="0"/>
      <w:divBdr>
        <w:top w:val="none" w:sz="0" w:space="0" w:color="auto"/>
        <w:left w:val="none" w:sz="0" w:space="0" w:color="auto"/>
        <w:bottom w:val="none" w:sz="0" w:space="0" w:color="auto"/>
        <w:right w:val="none" w:sz="0" w:space="0" w:color="auto"/>
      </w:divBdr>
    </w:div>
    <w:div w:id="382098836">
      <w:bodyDiv w:val="1"/>
      <w:marLeft w:val="0"/>
      <w:marRight w:val="0"/>
      <w:marTop w:val="0"/>
      <w:marBottom w:val="0"/>
      <w:divBdr>
        <w:top w:val="none" w:sz="0" w:space="0" w:color="auto"/>
        <w:left w:val="none" w:sz="0" w:space="0" w:color="auto"/>
        <w:bottom w:val="none" w:sz="0" w:space="0" w:color="auto"/>
        <w:right w:val="none" w:sz="0" w:space="0" w:color="auto"/>
      </w:divBdr>
    </w:div>
    <w:div w:id="382868345">
      <w:bodyDiv w:val="1"/>
      <w:marLeft w:val="0"/>
      <w:marRight w:val="0"/>
      <w:marTop w:val="0"/>
      <w:marBottom w:val="0"/>
      <w:divBdr>
        <w:top w:val="none" w:sz="0" w:space="0" w:color="auto"/>
        <w:left w:val="none" w:sz="0" w:space="0" w:color="auto"/>
        <w:bottom w:val="none" w:sz="0" w:space="0" w:color="auto"/>
        <w:right w:val="none" w:sz="0" w:space="0" w:color="auto"/>
      </w:divBdr>
    </w:div>
    <w:div w:id="386148678">
      <w:bodyDiv w:val="1"/>
      <w:marLeft w:val="0"/>
      <w:marRight w:val="0"/>
      <w:marTop w:val="0"/>
      <w:marBottom w:val="0"/>
      <w:divBdr>
        <w:top w:val="none" w:sz="0" w:space="0" w:color="auto"/>
        <w:left w:val="none" w:sz="0" w:space="0" w:color="auto"/>
        <w:bottom w:val="none" w:sz="0" w:space="0" w:color="auto"/>
        <w:right w:val="none" w:sz="0" w:space="0" w:color="auto"/>
      </w:divBdr>
    </w:div>
    <w:div w:id="386269490">
      <w:bodyDiv w:val="1"/>
      <w:marLeft w:val="0"/>
      <w:marRight w:val="0"/>
      <w:marTop w:val="0"/>
      <w:marBottom w:val="0"/>
      <w:divBdr>
        <w:top w:val="none" w:sz="0" w:space="0" w:color="auto"/>
        <w:left w:val="none" w:sz="0" w:space="0" w:color="auto"/>
        <w:bottom w:val="none" w:sz="0" w:space="0" w:color="auto"/>
        <w:right w:val="none" w:sz="0" w:space="0" w:color="auto"/>
      </w:divBdr>
    </w:div>
    <w:div w:id="386536338">
      <w:bodyDiv w:val="1"/>
      <w:marLeft w:val="0"/>
      <w:marRight w:val="0"/>
      <w:marTop w:val="0"/>
      <w:marBottom w:val="0"/>
      <w:divBdr>
        <w:top w:val="none" w:sz="0" w:space="0" w:color="auto"/>
        <w:left w:val="none" w:sz="0" w:space="0" w:color="auto"/>
        <w:bottom w:val="none" w:sz="0" w:space="0" w:color="auto"/>
        <w:right w:val="none" w:sz="0" w:space="0" w:color="auto"/>
      </w:divBdr>
    </w:div>
    <w:div w:id="386758146">
      <w:bodyDiv w:val="1"/>
      <w:marLeft w:val="0"/>
      <w:marRight w:val="0"/>
      <w:marTop w:val="0"/>
      <w:marBottom w:val="0"/>
      <w:divBdr>
        <w:top w:val="none" w:sz="0" w:space="0" w:color="auto"/>
        <w:left w:val="none" w:sz="0" w:space="0" w:color="auto"/>
        <w:bottom w:val="none" w:sz="0" w:space="0" w:color="auto"/>
        <w:right w:val="none" w:sz="0" w:space="0" w:color="auto"/>
      </w:divBdr>
    </w:div>
    <w:div w:id="386952800">
      <w:bodyDiv w:val="1"/>
      <w:marLeft w:val="0"/>
      <w:marRight w:val="0"/>
      <w:marTop w:val="0"/>
      <w:marBottom w:val="0"/>
      <w:divBdr>
        <w:top w:val="none" w:sz="0" w:space="0" w:color="auto"/>
        <w:left w:val="none" w:sz="0" w:space="0" w:color="auto"/>
        <w:bottom w:val="none" w:sz="0" w:space="0" w:color="auto"/>
        <w:right w:val="none" w:sz="0" w:space="0" w:color="auto"/>
      </w:divBdr>
    </w:div>
    <w:div w:id="387338050">
      <w:bodyDiv w:val="1"/>
      <w:marLeft w:val="0"/>
      <w:marRight w:val="0"/>
      <w:marTop w:val="0"/>
      <w:marBottom w:val="0"/>
      <w:divBdr>
        <w:top w:val="none" w:sz="0" w:space="0" w:color="auto"/>
        <w:left w:val="none" w:sz="0" w:space="0" w:color="auto"/>
        <w:bottom w:val="none" w:sz="0" w:space="0" w:color="auto"/>
        <w:right w:val="none" w:sz="0" w:space="0" w:color="auto"/>
      </w:divBdr>
    </w:div>
    <w:div w:id="387807436">
      <w:bodyDiv w:val="1"/>
      <w:marLeft w:val="0"/>
      <w:marRight w:val="0"/>
      <w:marTop w:val="0"/>
      <w:marBottom w:val="0"/>
      <w:divBdr>
        <w:top w:val="none" w:sz="0" w:space="0" w:color="auto"/>
        <w:left w:val="none" w:sz="0" w:space="0" w:color="auto"/>
        <w:bottom w:val="none" w:sz="0" w:space="0" w:color="auto"/>
        <w:right w:val="none" w:sz="0" w:space="0" w:color="auto"/>
      </w:divBdr>
    </w:div>
    <w:div w:id="387920412">
      <w:bodyDiv w:val="1"/>
      <w:marLeft w:val="0"/>
      <w:marRight w:val="0"/>
      <w:marTop w:val="0"/>
      <w:marBottom w:val="0"/>
      <w:divBdr>
        <w:top w:val="none" w:sz="0" w:space="0" w:color="auto"/>
        <w:left w:val="none" w:sz="0" w:space="0" w:color="auto"/>
        <w:bottom w:val="none" w:sz="0" w:space="0" w:color="auto"/>
        <w:right w:val="none" w:sz="0" w:space="0" w:color="auto"/>
      </w:divBdr>
    </w:div>
    <w:div w:id="388110773">
      <w:bodyDiv w:val="1"/>
      <w:marLeft w:val="0"/>
      <w:marRight w:val="0"/>
      <w:marTop w:val="0"/>
      <w:marBottom w:val="0"/>
      <w:divBdr>
        <w:top w:val="none" w:sz="0" w:space="0" w:color="auto"/>
        <w:left w:val="none" w:sz="0" w:space="0" w:color="auto"/>
        <w:bottom w:val="none" w:sz="0" w:space="0" w:color="auto"/>
        <w:right w:val="none" w:sz="0" w:space="0" w:color="auto"/>
      </w:divBdr>
    </w:div>
    <w:div w:id="388312093">
      <w:bodyDiv w:val="1"/>
      <w:marLeft w:val="0"/>
      <w:marRight w:val="0"/>
      <w:marTop w:val="0"/>
      <w:marBottom w:val="0"/>
      <w:divBdr>
        <w:top w:val="none" w:sz="0" w:space="0" w:color="auto"/>
        <w:left w:val="none" w:sz="0" w:space="0" w:color="auto"/>
        <w:bottom w:val="none" w:sz="0" w:space="0" w:color="auto"/>
        <w:right w:val="none" w:sz="0" w:space="0" w:color="auto"/>
      </w:divBdr>
    </w:div>
    <w:div w:id="388844794">
      <w:bodyDiv w:val="1"/>
      <w:marLeft w:val="0"/>
      <w:marRight w:val="0"/>
      <w:marTop w:val="0"/>
      <w:marBottom w:val="0"/>
      <w:divBdr>
        <w:top w:val="none" w:sz="0" w:space="0" w:color="auto"/>
        <w:left w:val="none" w:sz="0" w:space="0" w:color="auto"/>
        <w:bottom w:val="none" w:sz="0" w:space="0" w:color="auto"/>
        <w:right w:val="none" w:sz="0" w:space="0" w:color="auto"/>
      </w:divBdr>
    </w:div>
    <w:div w:id="389814362">
      <w:bodyDiv w:val="1"/>
      <w:marLeft w:val="0"/>
      <w:marRight w:val="0"/>
      <w:marTop w:val="0"/>
      <w:marBottom w:val="0"/>
      <w:divBdr>
        <w:top w:val="none" w:sz="0" w:space="0" w:color="auto"/>
        <w:left w:val="none" w:sz="0" w:space="0" w:color="auto"/>
        <w:bottom w:val="none" w:sz="0" w:space="0" w:color="auto"/>
        <w:right w:val="none" w:sz="0" w:space="0" w:color="auto"/>
      </w:divBdr>
      <w:divsChild>
        <w:div w:id="2138261036">
          <w:marLeft w:val="187"/>
          <w:marRight w:val="187"/>
          <w:marTop w:val="0"/>
          <w:marBottom w:val="0"/>
          <w:divBdr>
            <w:top w:val="none" w:sz="0" w:space="0" w:color="auto"/>
            <w:left w:val="none" w:sz="0" w:space="0" w:color="auto"/>
            <w:bottom w:val="none" w:sz="0" w:space="0" w:color="auto"/>
            <w:right w:val="none" w:sz="0" w:space="0" w:color="auto"/>
          </w:divBdr>
          <w:divsChild>
            <w:div w:id="817301878">
              <w:marLeft w:val="0"/>
              <w:marRight w:val="0"/>
              <w:marTop w:val="0"/>
              <w:marBottom w:val="0"/>
              <w:divBdr>
                <w:top w:val="none" w:sz="0" w:space="0" w:color="auto"/>
                <w:left w:val="none" w:sz="0" w:space="0" w:color="auto"/>
                <w:bottom w:val="none" w:sz="0" w:space="0" w:color="auto"/>
                <w:right w:val="none" w:sz="0" w:space="0" w:color="auto"/>
              </w:divBdr>
              <w:divsChild>
                <w:div w:id="1291326840">
                  <w:marLeft w:val="0"/>
                  <w:marRight w:val="0"/>
                  <w:marTop w:val="0"/>
                  <w:marBottom w:val="0"/>
                  <w:divBdr>
                    <w:top w:val="none" w:sz="0" w:space="0" w:color="auto"/>
                    <w:left w:val="none" w:sz="0" w:space="0" w:color="auto"/>
                    <w:bottom w:val="none" w:sz="0" w:space="0" w:color="auto"/>
                    <w:right w:val="none" w:sz="0" w:space="0" w:color="auto"/>
                  </w:divBdr>
                  <w:divsChild>
                    <w:div w:id="792090265">
                      <w:marLeft w:val="0"/>
                      <w:marRight w:val="0"/>
                      <w:marTop w:val="0"/>
                      <w:marBottom w:val="0"/>
                      <w:divBdr>
                        <w:top w:val="none" w:sz="0" w:space="0" w:color="auto"/>
                        <w:left w:val="none" w:sz="0" w:space="0" w:color="auto"/>
                        <w:bottom w:val="none" w:sz="0" w:space="0" w:color="auto"/>
                        <w:right w:val="none" w:sz="0" w:space="0" w:color="auto"/>
                      </w:divBdr>
                      <w:divsChild>
                        <w:div w:id="447625725">
                          <w:marLeft w:val="0"/>
                          <w:marRight w:val="187"/>
                          <w:marTop w:val="0"/>
                          <w:marBottom w:val="94"/>
                          <w:divBdr>
                            <w:top w:val="none" w:sz="0" w:space="0" w:color="auto"/>
                            <w:left w:val="none" w:sz="0" w:space="0" w:color="auto"/>
                            <w:bottom w:val="none" w:sz="0" w:space="0" w:color="auto"/>
                            <w:right w:val="none" w:sz="0" w:space="0" w:color="auto"/>
                          </w:divBdr>
                        </w:div>
                        <w:div w:id="60275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2847365">
      <w:bodyDiv w:val="1"/>
      <w:marLeft w:val="0"/>
      <w:marRight w:val="0"/>
      <w:marTop w:val="0"/>
      <w:marBottom w:val="0"/>
      <w:divBdr>
        <w:top w:val="none" w:sz="0" w:space="0" w:color="auto"/>
        <w:left w:val="none" w:sz="0" w:space="0" w:color="auto"/>
        <w:bottom w:val="none" w:sz="0" w:space="0" w:color="auto"/>
        <w:right w:val="none" w:sz="0" w:space="0" w:color="auto"/>
      </w:divBdr>
    </w:div>
    <w:div w:id="393479402">
      <w:bodyDiv w:val="1"/>
      <w:marLeft w:val="0"/>
      <w:marRight w:val="0"/>
      <w:marTop w:val="0"/>
      <w:marBottom w:val="0"/>
      <w:divBdr>
        <w:top w:val="none" w:sz="0" w:space="0" w:color="auto"/>
        <w:left w:val="none" w:sz="0" w:space="0" w:color="auto"/>
        <w:bottom w:val="none" w:sz="0" w:space="0" w:color="auto"/>
        <w:right w:val="none" w:sz="0" w:space="0" w:color="auto"/>
      </w:divBdr>
    </w:div>
    <w:div w:id="393814177">
      <w:bodyDiv w:val="1"/>
      <w:marLeft w:val="0"/>
      <w:marRight w:val="0"/>
      <w:marTop w:val="0"/>
      <w:marBottom w:val="0"/>
      <w:divBdr>
        <w:top w:val="none" w:sz="0" w:space="0" w:color="auto"/>
        <w:left w:val="none" w:sz="0" w:space="0" w:color="auto"/>
        <w:bottom w:val="none" w:sz="0" w:space="0" w:color="auto"/>
        <w:right w:val="none" w:sz="0" w:space="0" w:color="auto"/>
      </w:divBdr>
    </w:div>
    <w:div w:id="394091056">
      <w:bodyDiv w:val="1"/>
      <w:marLeft w:val="0"/>
      <w:marRight w:val="0"/>
      <w:marTop w:val="0"/>
      <w:marBottom w:val="0"/>
      <w:divBdr>
        <w:top w:val="none" w:sz="0" w:space="0" w:color="auto"/>
        <w:left w:val="none" w:sz="0" w:space="0" w:color="auto"/>
        <w:bottom w:val="none" w:sz="0" w:space="0" w:color="auto"/>
        <w:right w:val="none" w:sz="0" w:space="0" w:color="auto"/>
      </w:divBdr>
    </w:div>
    <w:div w:id="395008482">
      <w:bodyDiv w:val="1"/>
      <w:marLeft w:val="0"/>
      <w:marRight w:val="0"/>
      <w:marTop w:val="0"/>
      <w:marBottom w:val="0"/>
      <w:divBdr>
        <w:top w:val="none" w:sz="0" w:space="0" w:color="auto"/>
        <w:left w:val="none" w:sz="0" w:space="0" w:color="auto"/>
        <w:bottom w:val="none" w:sz="0" w:space="0" w:color="auto"/>
        <w:right w:val="none" w:sz="0" w:space="0" w:color="auto"/>
      </w:divBdr>
    </w:div>
    <w:div w:id="396167814">
      <w:bodyDiv w:val="1"/>
      <w:marLeft w:val="0"/>
      <w:marRight w:val="0"/>
      <w:marTop w:val="0"/>
      <w:marBottom w:val="0"/>
      <w:divBdr>
        <w:top w:val="none" w:sz="0" w:space="0" w:color="auto"/>
        <w:left w:val="none" w:sz="0" w:space="0" w:color="auto"/>
        <w:bottom w:val="none" w:sz="0" w:space="0" w:color="auto"/>
        <w:right w:val="none" w:sz="0" w:space="0" w:color="auto"/>
      </w:divBdr>
    </w:div>
    <w:div w:id="397214537">
      <w:bodyDiv w:val="1"/>
      <w:marLeft w:val="0"/>
      <w:marRight w:val="0"/>
      <w:marTop w:val="0"/>
      <w:marBottom w:val="0"/>
      <w:divBdr>
        <w:top w:val="none" w:sz="0" w:space="0" w:color="auto"/>
        <w:left w:val="none" w:sz="0" w:space="0" w:color="auto"/>
        <w:bottom w:val="none" w:sz="0" w:space="0" w:color="auto"/>
        <w:right w:val="none" w:sz="0" w:space="0" w:color="auto"/>
      </w:divBdr>
    </w:div>
    <w:div w:id="397358956">
      <w:bodyDiv w:val="1"/>
      <w:marLeft w:val="0"/>
      <w:marRight w:val="0"/>
      <w:marTop w:val="0"/>
      <w:marBottom w:val="0"/>
      <w:divBdr>
        <w:top w:val="none" w:sz="0" w:space="0" w:color="auto"/>
        <w:left w:val="none" w:sz="0" w:space="0" w:color="auto"/>
        <w:bottom w:val="none" w:sz="0" w:space="0" w:color="auto"/>
        <w:right w:val="none" w:sz="0" w:space="0" w:color="auto"/>
      </w:divBdr>
    </w:div>
    <w:div w:id="398215528">
      <w:bodyDiv w:val="1"/>
      <w:marLeft w:val="0"/>
      <w:marRight w:val="0"/>
      <w:marTop w:val="0"/>
      <w:marBottom w:val="0"/>
      <w:divBdr>
        <w:top w:val="none" w:sz="0" w:space="0" w:color="auto"/>
        <w:left w:val="none" w:sz="0" w:space="0" w:color="auto"/>
        <w:bottom w:val="none" w:sz="0" w:space="0" w:color="auto"/>
        <w:right w:val="none" w:sz="0" w:space="0" w:color="auto"/>
      </w:divBdr>
    </w:div>
    <w:div w:id="398940965">
      <w:bodyDiv w:val="1"/>
      <w:marLeft w:val="0"/>
      <w:marRight w:val="0"/>
      <w:marTop w:val="0"/>
      <w:marBottom w:val="0"/>
      <w:divBdr>
        <w:top w:val="none" w:sz="0" w:space="0" w:color="auto"/>
        <w:left w:val="none" w:sz="0" w:space="0" w:color="auto"/>
        <w:bottom w:val="none" w:sz="0" w:space="0" w:color="auto"/>
        <w:right w:val="none" w:sz="0" w:space="0" w:color="auto"/>
      </w:divBdr>
    </w:div>
    <w:div w:id="399181738">
      <w:bodyDiv w:val="1"/>
      <w:marLeft w:val="0"/>
      <w:marRight w:val="0"/>
      <w:marTop w:val="0"/>
      <w:marBottom w:val="0"/>
      <w:divBdr>
        <w:top w:val="none" w:sz="0" w:space="0" w:color="auto"/>
        <w:left w:val="none" w:sz="0" w:space="0" w:color="auto"/>
        <w:bottom w:val="none" w:sz="0" w:space="0" w:color="auto"/>
        <w:right w:val="none" w:sz="0" w:space="0" w:color="auto"/>
      </w:divBdr>
    </w:div>
    <w:div w:id="399408352">
      <w:bodyDiv w:val="1"/>
      <w:marLeft w:val="0"/>
      <w:marRight w:val="0"/>
      <w:marTop w:val="0"/>
      <w:marBottom w:val="0"/>
      <w:divBdr>
        <w:top w:val="none" w:sz="0" w:space="0" w:color="auto"/>
        <w:left w:val="none" w:sz="0" w:space="0" w:color="auto"/>
        <w:bottom w:val="none" w:sz="0" w:space="0" w:color="auto"/>
        <w:right w:val="none" w:sz="0" w:space="0" w:color="auto"/>
      </w:divBdr>
    </w:div>
    <w:div w:id="399985765">
      <w:bodyDiv w:val="1"/>
      <w:marLeft w:val="0"/>
      <w:marRight w:val="0"/>
      <w:marTop w:val="0"/>
      <w:marBottom w:val="0"/>
      <w:divBdr>
        <w:top w:val="none" w:sz="0" w:space="0" w:color="auto"/>
        <w:left w:val="none" w:sz="0" w:space="0" w:color="auto"/>
        <w:bottom w:val="none" w:sz="0" w:space="0" w:color="auto"/>
        <w:right w:val="none" w:sz="0" w:space="0" w:color="auto"/>
      </w:divBdr>
    </w:div>
    <w:div w:id="401022758">
      <w:bodyDiv w:val="1"/>
      <w:marLeft w:val="0"/>
      <w:marRight w:val="0"/>
      <w:marTop w:val="0"/>
      <w:marBottom w:val="0"/>
      <w:divBdr>
        <w:top w:val="none" w:sz="0" w:space="0" w:color="auto"/>
        <w:left w:val="none" w:sz="0" w:space="0" w:color="auto"/>
        <w:bottom w:val="none" w:sz="0" w:space="0" w:color="auto"/>
        <w:right w:val="none" w:sz="0" w:space="0" w:color="auto"/>
      </w:divBdr>
    </w:div>
    <w:div w:id="401373848">
      <w:bodyDiv w:val="1"/>
      <w:marLeft w:val="0"/>
      <w:marRight w:val="0"/>
      <w:marTop w:val="0"/>
      <w:marBottom w:val="0"/>
      <w:divBdr>
        <w:top w:val="none" w:sz="0" w:space="0" w:color="auto"/>
        <w:left w:val="none" w:sz="0" w:space="0" w:color="auto"/>
        <w:bottom w:val="none" w:sz="0" w:space="0" w:color="auto"/>
        <w:right w:val="none" w:sz="0" w:space="0" w:color="auto"/>
      </w:divBdr>
    </w:div>
    <w:div w:id="401871610">
      <w:bodyDiv w:val="1"/>
      <w:marLeft w:val="0"/>
      <w:marRight w:val="0"/>
      <w:marTop w:val="0"/>
      <w:marBottom w:val="0"/>
      <w:divBdr>
        <w:top w:val="none" w:sz="0" w:space="0" w:color="auto"/>
        <w:left w:val="none" w:sz="0" w:space="0" w:color="auto"/>
        <w:bottom w:val="none" w:sz="0" w:space="0" w:color="auto"/>
        <w:right w:val="none" w:sz="0" w:space="0" w:color="auto"/>
      </w:divBdr>
    </w:div>
    <w:div w:id="402029250">
      <w:bodyDiv w:val="1"/>
      <w:marLeft w:val="0"/>
      <w:marRight w:val="0"/>
      <w:marTop w:val="0"/>
      <w:marBottom w:val="0"/>
      <w:divBdr>
        <w:top w:val="none" w:sz="0" w:space="0" w:color="auto"/>
        <w:left w:val="none" w:sz="0" w:space="0" w:color="auto"/>
        <w:bottom w:val="none" w:sz="0" w:space="0" w:color="auto"/>
        <w:right w:val="none" w:sz="0" w:space="0" w:color="auto"/>
      </w:divBdr>
    </w:div>
    <w:div w:id="402065006">
      <w:bodyDiv w:val="1"/>
      <w:marLeft w:val="0"/>
      <w:marRight w:val="0"/>
      <w:marTop w:val="0"/>
      <w:marBottom w:val="0"/>
      <w:divBdr>
        <w:top w:val="none" w:sz="0" w:space="0" w:color="auto"/>
        <w:left w:val="none" w:sz="0" w:space="0" w:color="auto"/>
        <w:bottom w:val="none" w:sz="0" w:space="0" w:color="auto"/>
        <w:right w:val="none" w:sz="0" w:space="0" w:color="auto"/>
      </w:divBdr>
    </w:div>
    <w:div w:id="403336415">
      <w:bodyDiv w:val="1"/>
      <w:marLeft w:val="0"/>
      <w:marRight w:val="0"/>
      <w:marTop w:val="0"/>
      <w:marBottom w:val="0"/>
      <w:divBdr>
        <w:top w:val="none" w:sz="0" w:space="0" w:color="auto"/>
        <w:left w:val="none" w:sz="0" w:space="0" w:color="auto"/>
        <w:bottom w:val="none" w:sz="0" w:space="0" w:color="auto"/>
        <w:right w:val="none" w:sz="0" w:space="0" w:color="auto"/>
      </w:divBdr>
    </w:div>
    <w:div w:id="403381211">
      <w:bodyDiv w:val="1"/>
      <w:marLeft w:val="0"/>
      <w:marRight w:val="0"/>
      <w:marTop w:val="0"/>
      <w:marBottom w:val="0"/>
      <w:divBdr>
        <w:top w:val="none" w:sz="0" w:space="0" w:color="auto"/>
        <w:left w:val="none" w:sz="0" w:space="0" w:color="auto"/>
        <w:bottom w:val="none" w:sz="0" w:space="0" w:color="auto"/>
        <w:right w:val="none" w:sz="0" w:space="0" w:color="auto"/>
      </w:divBdr>
    </w:div>
    <w:div w:id="404109665">
      <w:bodyDiv w:val="1"/>
      <w:marLeft w:val="0"/>
      <w:marRight w:val="0"/>
      <w:marTop w:val="0"/>
      <w:marBottom w:val="0"/>
      <w:divBdr>
        <w:top w:val="none" w:sz="0" w:space="0" w:color="auto"/>
        <w:left w:val="none" w:sz="0" w:space="0" w:color="auto"/>
        <w:bottom w:val="none" w:sz="0" w:space="0" w:color="auto"/>
        <w:right w:val="none" w:sz="0" w:space="0" w:color="auto"/>
      </w:divBdr>
    </w:div>
    <w:div w:id="404768439">
      <w:bodyDiv w:val="1"/>
      <w:marLeft w:val="0"/>
      <w:marRight w:val="0"/>
      <w:marTop w:val="0"/>
      <w:marBottom w:val="0"/>
      <w:divBdr>
        <w:top w:val="none" w:sz="0" w:space="0" w:color="auto"/>
        <w:left w:val="none" w:sz="0" w:space="0" w:color="auto"/>
        <w:bottom w:val="none" w:sz="0" w:space="0" w:color="auto"/>
        <w:right w:val="none" w:sz="0" w:space="0" w:color="auto"/>
      </w:divBdr>
    </w:div>
    <w:div w:id="404882099">
      <w:bodyDiv w:val="1"/>
      <w:marLeft w:val="0"/>
      <w:marRight w:val="0"/>
      <w:marTop w:val="0"/>
      <w:marBottom w:val="0"/>
      <w:divBdr>
        <w:top w:val="none" w:sz="0" w:space="0" w:color="auto"/>
        <w:left w:val="none" w:sz="0" w:space="0" w:color="auto"/>
        <w:bottom w:val="none" w:sz="0" w:space="0" w:color="auto"/>
        <w:right w:val="none" w:sz="0" w:space="0" w:color="auto"/>
      </w:divBdr>
    </w:div>
    <w:div w:id="405420948">
      <w:bodyDiv w:val="1"/>
      <w:marLeft w:val="0"/>
      <w:marRight w:val="0"/>
      <w:marTop w:val="0"/>
      <w:marBottom w:val="0"/>
      <w:divBdr>
        <w:top w:val="none" w:sz="0" w:space="0" w:color="auto"/>
        <w:left w:val="none" w:sz="0" w:space="0" w:color="auto"/>
        <w:bottom w:val="none" w:sz="0" w:space="0" w:color="auto"/>
        <w:right w:val="none" w:sz="0" w:space="0" w:color="auto"/>
      </w:divBdr>
    </w:div>
    <w:div w:id="405953653">
      <w:bodyDiv w:val="1"/>
      <w:marLeft w:val="0"/>
      <w:marRight w:val="0"/>
      <w:marTop w:val="0"/>
      <w:marBottom w:val="0"/>
      <w:divBdr>
        <w:top w:val="none" w:sz="0" w:space="0" w:color="auto"/>
        <w:left w:val="none" w:sz="0" w:space="0" w:color="auto"/>
        <w:bottom w:val="none" w:sz="0" w:space="0" w:color="auto"/>
        <w:right w:val="none" w:sz="0" w:space="0" w:color="auto"/>
      </w:divBdr>
    </w:div>
    <w:div w:id="406419150">
      <w:bodyDiv w:val="1"/>
      <w:marLeft w:val="0"/>
      <w:marRight w:val="0"/>
      <w:marTop w:val="0"/>
      <w:marBottom w:val="0"/>
      <w:divBdr>
        <w:top w:val="none" w:sz="0" w:space="0" w:color="auto"/>
        <w:left w:val="none" w:sz="0" w:space="0" w:color="auto"/>
        <w:bottom w:val="none" w:sz="0" w:space="0" w:color="auto"/>
        <w:right w:val="none" w:sz="0" w:space="0" w:color="auto"/>
      </w:divBdr>
    </w:div>
    <w:div w:id="406921269">
      <w:bodyDiv w:val="1"/>
      <w:marLeft w:val="0"/>
      <w:marRight w:val="0"/>
      <w:marTop w:val="0"/>
      <w:marBottom w:val="0"/>
      <w:divBdr>
        <w:top w:val="none" w:sz="0" w:space="0" w:color="auto"/>
        <w:left w:val="none" w:sz="0" w:space="0" w:color="auto"/>
        <w:bottom w:val="none" w:sz="0" w:space="0" w:color="auto"/>
        <w:right w:val="none" w:sz="0" w:space="0" w:color="auto"/>
      </w:divBdr>
    </w:div>
    <w:div w:id="407583490">
      <w:bodyDiv w:val="1"/>
      <w:marLeft w:val="0"/>
      <w:marRight w:val="0"/>
      <w:marTop w:val="0"/>
      <w:marBottom w:val="0"/>
      <w:divBdr>
        <w:top w:val="none" w:sz="0" w:space="0" w:color="auto"/>
        <w:left w:val="none" w:sz="0" w:space="0" w:color="auto"/>
        <w:bottom w:val="none" w:sz="0" w:space="0" w:color="auto"/>
        <w:right w:val="none" w:sz="0" w:space="0" w:color="auto"/>
      </w:divBdr>
    </w:div>
    <w:div w:id="408040502">
      <w:bodyDiv w:val="1"/>
      <w:marLeft w:val="0"/>
      <w:marRight w:val="0"/>
      <w:marTop w:val="0"/>
      <w:marBottom w:val="0"/>
      <w:divBdr>
        <w:top w:val="none" w:sz="0" w:space="0" w:color="auto"/>
        <w:left w:val="none" w:sz="0" w:space="0" w:color="auto"/>
        <w:bottom w:val="none" w:sz="0" w:space="0" w:color="auto"/>
        <w:right w:val="none" w:sz="0" w:space="0" w:color="auto"/>
      </w:divBdr>
    </w:div>
    <w:div w:id="409078369">
      <w:bodyDiv w:val="1"/>
      <w:marLeft w:val="0"/>
      <w:marRight w:val="0"/>
      <w:marTop w:val="0"/>
      <w:marBottom w:val="0"/>
      <w:divBdr>
        <w:top w:val="none" w:sz="0" w:space="0" w:color="auto"/>
        <w:left w:val="none" w:sz="0" w:space="0" w:color="auto"/>
        <w:bottom w:val="none" w:sz="0" w:space="0" w:color="auto"/>
        <w:right w:val="none" w:sz="0" w:space="0" w:color="auto"/>
      </w:divBdr>
    </w:div>
    <w:div w:id="409086730">
      <w:bodyDiv w:val="1"/>
      <w:marLeft w:val="0"/>
      <w:marRight w:val="0"/>
      <w:marTop w:val="0"/>
      <w:marBottom w:val="0"/>
      <w:divBdr>
        <w:top w:val="none" w:sz="0" w:space="0" w:color="auto"/>
        <w:left w:val="none" w:sz="0" w:space="0" w:color="auto"/>
        <w:bottom w:val="none" w:sz="0" w:space="0" w:color="auto"/>
        <w:right w:val="none" w:sz="0" w:space="0" w:color="auto"/>
      </w:divBdr>
    </w:div>
    <w:div w:id="409304768">
      <w:bodyDiv w:val="1"/>
      <w:marLeft w:val="0"/>
      <w:marRight w:val="0"/>
      <w:marTop w:val="0"/>
      <w:marBottom w:val="0"/>
      <w:divBdr>
        <w:top w:val="none" w:sz="0" w:space="0" w:color="auto"/>
        <w:left w:val="none" w:sz="0" w:space="0" w:color="auto"/>
        <w:bottom w:val="none" w:sz="0" w:space="0" w:color="auto"/>
        <w:right w:val="none" w:sz="0" w:space="0" w:color="auto"/>
      </w:divBdr>
    </w:div>
    <w:div w:id="409423439">
      <w:bodyDiv w:val="1"/>
      <w:marLeft w:val="0"/>
      <w:marRight w:val="0"/>
      <w:marTop w:val="0"/>
      <w:marBottom w:val="0"/>
      <w:divBdr>
        <w:top w:val="none" w:sz="0" w:space="0" w:color="auto"/>
        <w:left w:val="none" w:sz="0" w:space="0" w:color="auto"/>
        <w:bottom w:val="none" w:sz="0" w:space="0" w:color="auto"/>
        <w:right w:val="none" w:sz="0" w:space="0" w:color="auto"/>
      </w:divBdr>
    </w:div>
    <w:div w:id="410201933">
      <w:bodyDiv w:val="1"/>
      <w:marLeft w:val="0"/>
      <w:marRight w:val="0"/>
      <w:marTop w:val="0"/>
      <w:marBottom w:val="0"/>
      <w:divBdr>
        <w:top w:val="none" w:sz="0" w:space="0" w:color="auto"/>
        <w:left w:val="none" w:sz="0" w:space="0" w:color="auto"/>
        <w:bottom w:val="none" w:sz="0" w:space="0" w:color="auto"/>
        <w:right w:val="none" w:sz="0" w:space="0" w:color="auto"/>
      </w:divBdr>
    </w:div>
    <w:div w:id="410273018">
      <w:bodyDiv w:val="1"/>
      <w:marLeft w:val="0"/>
      <w:marRight w:val="0"/>
      <w:marTop w:val="0"/>
      <w:marBottom w:val="0"/>
      <w:divBdr>
        <w:top w:val="none" w:sz="0" w:space="0" w:color="auto"/>
        <w:left w:val="none" w:sz="0" w:space="0" w:color="auto"/>
        <w:bottom w:val="none" w:sz="0" w:space="0" w:color="auto"/>
        <w:right w:val="none" w:sz="0" w:space="0" w:color="auto"/>
      </w:divBdr>
    </w:div>
    <w:div w:id="410588053">
      <w:bodyDiv w:val="1"/>
      <w:marLeft w:val="0"/>
      <w:marRight w:val="0"/>
      <w:marTop w:val="0"/>
      <w:marBottom w:val="0"/>
      <w:divBdr>
        <w:top w:val="none" w:sz="0" w:space="0" w:color="auto"/>
        <w:left w:val="none" w:sz="0" w:space="0" w:color="auto"/>
        <w:bottom w:val="none" w:sz="0" w:space="0" w:color="auto"/>
        <w:right w:val="none" w:sz="0" w:space="0" w:color="auto"/>
      </w:divBdr>
    </w:div>
    <w:div w:id="410667168">
      <w:bodyDiv w:val="1"/>
      <w:marLeft w:val="0"/>
      <w:marRight w:val="0"/>
      <w:marTop w:val="0"/>
      <w:marBottom w:val="0"/>
      <w:divBdr>
        <w:top w:val="none" w:sz="0" w:space="0" w:color="auto"/>
        <w:left w:val="none" w:sz="0" w:space="0" w:color="auto"/>
        <w:bottom w:val="none" w:sz="0" w:space="0" w:color="auto"/>
        <w:right w:val="none" w:sz="0" w:space="0" w:color="auto"/>
      </w:divBdr>
    </w:div>
    <w:div w:id="410934554">
      <w:bodyDiv w:val="1"/>
      <w:marLeft w:val="0"/>
      <w:marRight w:val="0"/>
      <w:marTop w:val="0"/>
      <w:marBottom w:val="0"/>
      <w:divBdr>
        <w:top w:val="none" w:sz="0" w:space="0" w:color="auto"/>
        <w:left w:val="none" w:sz="0" w:space="0" w:color="auto"/>
        <w:bottom w:val="none" w:sz="0" w:space="0" w:color="auto"/>
        <w:right w:val="none" w:sz="0" w:space="0" w:color="auto"/>
      </w:divBdr>
    </w:div>
    <w:div w:id="411247158">
      <w:bodyDiv w:val="1"/>
      <w:marLeft w:val="0"/>
      <w:marRight w:val="0"/>
      <w:marTop w:val="0"/>
      <w:marBottom w:val="0"/>
      <w:divBdr>
        <w:top w:val="none" w:sz="0" w:space="0" w:color="auto"/>
        <w:left w:val="none" w:sz="0" w:space="0" w:color="auto"/>
        <w:bottom w:val="none" w:sz="0" w:space="0" w:color="auto"/>
        <w:right w:val="none" w:sz="0" w:space="0" w:color="auto"/>
      </w:divBdr>
    </w:div>
    <w:div w:id="412093877">
      <w:bodyDiv w:val="1"/>
      <w:marLeft w:val="0"/>
      <w:marRight w:val="0"/>
      <w:marTop w:val="0"/>
      <w:marBottom w:val="0"/>
      <w:divBdr>
        <w:top w:val="none" w:sz="0" w:space="0" w:color="auto"/>
        <w:left w:val="none" w:sz="0" w:space="0" w:color="auto"/>
        <w:bottom w:val="none" w:sz="0" w:space="0" w:color="auto"/>
        <w:right w:val="none" w:sz="0" w:space="0" w:color="auto"/>
      </w:divBdr>
    </w:div>
    <w:div w:id="413862998">
      <w:bodyDiv w:val="1"/>
      <w:marLeft w:val="0"/>
      <w:marRight w:val="0"/>
      <w:marTop w:val="0"/>
      <w:marBottom w:val="0"/>
      <w:divBdr>
        <w:top w:val="none" w:sz="0" w:space="0" w:color="auto"/>
        <w:left w:val="none" w:sz="0" w:space="0" w:color="auto"/>
        <w:bottom w:val="none" w:sz="0" w:space="0" w:color="auto"/>
        <w:right w:val="none" w:sz="0" w:space="0" w:color="auto"/>
      </w:divBdr>
    </w:div>
    <w:div w:id="414279420">
      <w:bodyDiv w:val="1"/>
      <w:marLeft w:val="0"/>
      <w:marRight w:val="0"/>
      <w:marTop w:val="0"/>
      <w:marBottom w:val="0"/>
      <w:divBdr>
        <w:top w:val="none" w:sz="0" w:space="0" w:color="auto"/>
        <w:left w:val="none" w:sz="0" w:space="0" w:color="auto"/>
        <w:bottom w:val="none" w:sz="0" w:space="0" w:color="auto"/>
        <w:right w:val="none" w:sz="0" w:space="0" w:color="auto"/>
      </w:divBdr>
    </w:div>
    <w:div w:id="414520853">
      <w:bodyDiv w:val="1"/>
      <w:marLeft w:val="0"/>
      <w:marRight w:val="0"/>
      <w:marTop w:val="0"/>
      <w:marBottom w:val="0"/>
      <w:divBdr>
        <w:top w:val="none" w:sz="0" w:space="0" w:color="auto"/>
        <w:left w:val="none" w:sz="0" w:space="0" w:color="auto"/>
        <w:bottom w:val="none" w:sz="0" w:space="0" w:color="auto"/>
        <w:right w:val="none" w:sz="0" w:space="0" w:color="auto"/>
      </w:divBdr>
    </w:div>
    <w:div w:id="414978803">
      <w:bodyDiv w:val="1"/>
      <w:marLeft w:val="0"/>
      <w:marRight w:val="0"/>
      <w:marTop w:val="0"/>
      <w:marBottom w:val="0"/>
      <w:divBdr>
        <w:top w:val="none" w:sz="0" w:space="0" w:color="auto"/>
        <w:left w:val="none" w:sz="0" w:space="0" w:color="auto"/>
        <w:bottom w:val="none" w:sz="0" w:space="0" w:color="auto"/>
        <w:right w:val="none" w:sz="0" w:space="0" w:color="auto"/>
      </w:divBdr>
    </w:div>
    <w:div w:id="415132272">
      <w:bodyDiv w:val="1"/>
      <w:marLeft w:val="0"/>
      <w:marRight w:val="0"/>
      <w:marTop w:val="0"/>
      <w:marBottom w:val="0"/>
      <w:divBdr>
        <w:top w:val="none" w:sz="0" w:space="0" w:color="auto"/>
        <w:left w:val="none" w:sz="0" w:space="0" w:color="auto"/>
        <w:bottom w:val="none" w:sz="0" w:space="0" w:color="auto"/>
        <w:right w:val="none" w:sz="0" w:space="0" w:color="auto"/>
      </w:divBdr>
    </w:div>
    <w:div w:id="415252625">
      <w:bodyDiv w:val="1"/>
      <w:marLeft w:val="0"/>
      <w:marRight w:val="0"/>
      <w:marTop w:val="0"/>
      <w:marBottom w:val="0"/>
      <w:divBdr>
        <w:top w:val="none" w:sz="0" w:space="0" w:color="auto"/>
        <w:left w:val="none" w:sz="0" w:space="0" w:color="auto"/>
        <w:bottom w:val="none" w:sz="0" w:space="0" w:color="auto"/>
        <w:right w:val="none" w:sz="0" w:space="0" w:color="auto"/>
      </w:divBdr>
    </w:div>
    <w:div w:id="415446874">
      <w:bodyDiv w:val="1"/>
      <w:marLeft w:val="0"/>
      <w:marRight w:val="0"/>
      <w:marTop w:val="0"/>
      <w:marBottom w:val="0"/>
      <w:divBdr>
        <w:top w:val="none" w:sz="0" w:space="0" w:color="auto"/>
        <w:left w:val="none" w:sz="0" w:space="0" w:color="auto"/>
        <w:bottom w:val="none" w:sz="0" w:space="0" w:color="auto"/>
        <w:right w:val="none" w:sz="0" w:space="0" w:color="auto"/>
      </w:divBdr>
      <w:divsChild>
        <w:div w:id="1088694886">
          <w:marLeft w:val="0"/>
          <w:marRight w:val="0"/>
          <w:marTop w:val="0"/>
          <w:marBottom w:val="0"/>
          <w:divBdr>
            <w:top w:val="none" w:sz="0" w:space="0" w:color="auto"/>
            <w:left w:val="none" w:sz="0" w:space="0" w:color="auto"/>
            <w:bottom w:val="none" w:sz="0" w:space="0" w:color="auto"/>
            <w:right w:val="none" w:sz="0" w:space="0" w:color="auto"/>
          </w:divBdr>
          <w:divsChild>
            <w:div w:id="893542211">
              <w:marLeft w:val="0"/>
              <w:marRight w:val="0"/>
              <w:marTop w:val="0"/>
              <w:marBottom w:val="0"/>
              <w:divBdr>
                <w:top w:val="none" w:sz="0" w:space="0" w:color="auto"/>
                <w:left w:val="none" w:sz="0" w:space="0" w:color="auto"/>
                <w:bottom w:val="none" w:sz="0" w:space="0" w:color="auto"/>
                <w:right w:val="none" w:sz="0" w:space="0" w:color="auto"/>
              </w:divBdr>
              <w:divsChild>
                <w:div w:id="168338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517414">
      <w:bodyDiv w:val="1"/>
      <w:marLeft w:val="0"/>
      <w:marRight w:val="0"/>
      <w:marTop w:val="0"/>
      <w:marBottom w:val="0"/>
      <w:divBdr>
        <w:top w:val="none" w:sz="0" w:space="0" w:color="auto"/>
        <w:left w:val="none" w:sz="0" w:space="0" w:color="auto"/>
        <w:bottom w:val="none" w:sz="0" w:space="0" w:color="auto"/>
        <w:right w:val="none" w:sz="0" w:space="0" w:color="auto"/>
      </w:divBdr>
    </w:div>
    <w:div w:id="415831371">
      <w:bodyDiv w:val="1"/>
      <w:marLeft w:val="0"/>
      <w:marRight w:val="0"/>
      <w:marTop w:val="0"/>
      <w:marBottom w:val="0"/>
      <w:divBdr>
        <w:top w:val="none" w:sz="0" w:space="0" w:color="auto"/>
        <w:left w:val="none" w:sz="0" w:space="0" w:color="auto"/>
        <w:bottom w:val="none" w:sz="0" w:space="0" w:color="auto"/>
        <w:right w:val="none" w:sz="0" w:space="0" w:color="auto"/>
      </w:divBdr>
    </w:div>
    <w:div w:id="416826109">
      <w:bodyDiv w:val="1"/>
      <w:marLeft w:val="0"/>
      <w:marRight w:val="0"/>
      <w:marTop w:val="0"/>
      <w:marBottom w:val="0"/>
      <w:divBdr>
        <w:top w:val="none" w:sz="0" w:space="0" w:color="auto"/>
        <w:left w:val="none" w:sz="0" w:space="0" w:color="auto"/>
        <w:bottom w:val="none" w:sz="0" w:space="0" w:color="auto"/>
        <w:right w:val="none" w:sz="0" w:space="0" w:color="auto"/>
      </w:divBdr>
    </w:div>
    <w:div w:id="417211056">
      <w:bodyDiv w:val="1"/>
      <w:marLeft w:val="0"/>
      <w:marRight w:val="0"/>
      <w:marTop w:val="0"/>
      <w:marBottom w:val="0"/>
      <w:divBdr>
        <w:top w:val="none" w:sz="0" w:space="0" w:color="auto"/>
        <w:left w:val="none" w:sz="0" w:space="0" w:color="auto"/>
        <w:bottom w:val="none" w:sz="0" w:space="0" w:color="auto"/>
        <w:right w:val="none" w:sz="0" w:space="0" w:color="auto"/>
      </w:divBdr>
    </w:div>
    <w:div w:id="418066711">
      <w:bodyDiv w:val="1"/>
      <w:marLeft w:val="0"/>
      <w:marRight w:val="0"/>
      <w:marTop w:val="0"/>
      <w:marBottom w:val="0"/>
      <w:divBdr>
        <w:top w:val="none" w:sz="0" w:space="0" w:color="auto"/>
        <w:left w:val="none" w:sz="0" w:space="0" w:color="auto"/>
        <w:bottom w:val="none" w:sz="0" w:space="0" w:color="auto"/>
        <w:right w:val="none" w:sz="0" w:space="0" w:color="auto"/>
      </w:divBdr>
    </w:div>
    <w:div w:id="418529311">
      <w:bodyDiv w:val="1"/>
      <w:marLeft w:val="0"/>
      <w:marRight w:val="0"/>
      <w:marTop w:val="0"/>
      <w:marBottom w:val="0"/>
      <w:divBdr>
        <w:top w:val="none" w:sz="0" w:space="0" w:color="auto"/>
        <w:left w:val="none" w:sz="0" w:space="0" w:color="auto"/>
        <w:bottom w:val="none" w:sz="0" w:space="0" w:color="auto"/>
        <w:right w:val="none" w:sz="0" w:space="0" w:color="auto"/>
      </w:divBdr>
    </w:div>
    <w:div w:id="418990011">
      <w:bodyDiv w:val="1"/>
      <w:marLeft w:val="0"/>
      <w:marRight w:val="0"/>
      <w:marTop w:val="0"/>
      <w:marBottom w:val="0"/>
      <w:divBdr>
        <w:top w:val="none" w:sz="0" w:space="0" w:color="auto"/>
        <w:left w:val="none" w:sz="0" w:space="0" w:color="auto"/>
        <w:bottom w:val="none" w:sz="0" w:space="0" w:color="auto"/>
        <w:right w:val="none" w:sz="0" w:space="0" w:color="auto"/>
      </w:divBdr>
    </w:div>
    <w:div w:id="419717101">
      <w:bodyDiv w:val="1"/>
      <w:marLeft w:val="0"/>
      <w:marRight w:val="0"/>
      <w:marTop w:val="0"/>
      <w:marBottom w:val="0"/>
      <w:divBdr>
        <w:top w:val="none" w:sz="0" w:space="0" w:color="auto"/>
        <w:left w:val="none" w:sz="0" w:space="0" w:color="auto"/>
        <w:bottom w:val="none" w:sz="0" w:space="0" w:color="auto"/>
        <w:right w:val="none" w:sz="0" w:space="0" w:color="auto"/>
      </w:divBdr>
    </w:div>
    <w:div w:id="421613088">
      <w:bodyDiv w:val="1"/>
      <w:marLeft w:val="0"/>
      <w:marRight w:val="0"/>
      <w:marTop w:val="0"/>
      <w:marBottom w:val="0"/>
      <w:divBdr>
        <w:top w:val="none" w:sz="0" w:space="0" w:color="auto"/>
        <w:left w:val="none" w:sz="0" w:space="0" w:color="auto"/>
        <w:bottom w:val="none" w:sz="0" w:space="0" w:color="auto"/>
        <w:right w:val="none" w:sz="0" w:space="0" w:color="auto"/>
      </w:divBdr>
    </w:div>
    <w:div w:id="422072068">
      <w:bodyDiv w:val="1"/>
      <w:marLeft w:val="0"/>
      <w:marRight w:val="0"/>
      <w:marTop w:val="0"/>
      <w:marBottom w:val="0"/>
      <w:divBdr>
        <w:top w:val="none" w:sz="0" w:space="0" w:color="auto"/>
        <w:left w:val="none" w:sz="0" w:space="0" w:color="auto"/>
        <w:bottom w:val="none" w:sz="0" w:space="0" w:color="auto"/>
        <w:right w:val="none" w:sz="0" w:space="0" w:color="auto"/>
      </w:divBdr>
    </w:div>
    <w:div w:id="422799256">
      <w:bodyDiv w:val="1"/>
      <w:marLeft w:val="0"/>
      <w:marRight w:val="0"/>
      <w:marTop w:val="0"/>
      <w:marBottom w:val="0"/>
      <w:divBdr>
        <w:top w:val="none" w:sz="0" w:space="0" w:color="auto"/>
        <w:left w:val="none" w:sz="0" w:space="0" w:color="auto"/>
        <w:bottom w:val="none" w:sz="0" w:space="0" w:color="auto"/>
        <w:right w:val="none" w:sz="0" w:space="0" w:color="auto"/>
      </w:divBdr>
    </w:div>
    <w:div w:id="423846741">
      <w:bodyDiv w:val="1"/>
      <w:marLeft w:val="0"/>
      <w:marRight w:val="0"/>
      <w:marTop w:val="0"/>
      <w:marBottom w:val="0"/>
      <w:divBdr>
        <w:top w:val="none" w:sz="0" w:space="0" w:color="auto"/>
        <w:left w:val="none" w:sz="0" w:space="0" w:color="auto"/>
        <w:bottom w:val="none" w:sz="0" w:space="0" w:color="auto"/>
        <w:right w:val="none" w:sz="0" w:space="0" w:color="auto"/>
      </w:divBdr>
    </w:div>
    <w:div w:id="423958946">
      <w:bodyDiv w:val="1"/>
      <w:marLeft w:val="0"/>
      <w:marRight w:val="0"/>
      <w:marTop w:val="0"/>
      <w:marBottom w:val="0"/>
      <w:divBdr>
        <w:top w:val="none" w:sz="0" w:space="0" w:color="auto"/>
        <w:left w:val="none" w:sz="0" w:space="0" w:color="auto"/>
        <w:bottom w:val="none" w:sz="0" w:space="0" w:color="auto"/>
        <w:right w:val="none" w:sz="0" w:space="0" w:color="auto"/>
      </w:divBdr>
    </w:div>
    <w:div w:id="424110649">
      <w:bodyDiv w:val="1"/>
      <w:marLeft w:val="0"/>
      <w:marRight w:val="0"/>
      <w:marTop w:val="0"/>
      <w:marBottom w:val="0"/>
      <w:divBdr>
        <w:top w:val="none" w:sz="0" w:space="0" w:color="auto"/>
        <w:left w:val="none" w:sz="0" w:space="0" w:color="auto"/>
        <w:bottom w:val="none" w:sz="0" w:space="0" w:color="auto"/>
        <w:right w:val="none" w:sz="0" w:space="0" w:color="auto"/>
      </w:divBdr>
    </w:div>
    <w:div w:id="425880582">
      <w:bodyDiv w:val="1"/>
      <w:marLeft w:val="0"/>
      <w:marRight w:val="0"/>
      <w:marTop w:val="0"/>
      <w:marBottom w:val="0"/>
      <w:divBdr>
        <w:top w:val="none" w:sz="0" w:space="0" w:color="auto"/>
        <w:left w:val="none" w:sz="0" w:space="0" w:color="auto"/>
        <w:bottom w:val="none" w:sz="0" w:space="0" w:color="auto"/>
        <w:right w:val="none" w:sz="0" w:space="0" w:color="auto"/>
      </w:divBdr>
    </w:div>
    <w:div w:id="426076555">
      <w:bodyDiv w:val="1"/>
      <w:marLeft w:val="0"/>
      <w:marRight w:val="0"/>
      <w:marTop w:val="0"/>
      <w:marBottom w:val="0"/>
      <w:divBdr>
        <w:top w:val="none" w:sz="0" w:space="0" w:color="auto"/>
        <w:left w:val="none" w:sz="0" w:space="0" w:color="auto"/>
        <w:bottom w:val="none" w:sz="0" w:space="0" w:color="auto"/>
        <w:right w:val="none" w:sz="0" w:space="0" w:color="auto"/>
      </w:divBdr>
    </w:div>
    <w:div w:id="426344085">
      <w:bodyDiv w:val="1"/>
      <w:marLeft w:val="0"/>
      <w:marRight w:val="0"/>
      <w:marTop w:val="0"/>
      <w:marBottom w:val="0"/>
      <w:divBdr>
        <w:top w:val="none" w:sz="0" w:space="0" w:color="auto"/>
        <w:left w:val="none" w:sz="0" w:space="0" w:color="auto"/>
        <w:bottom w:val="none" w:sz="0" w:space="0" w:color="auto"/>
        <w:right w:val="none" w:sz="0" w:space="0" w:color="auto"/>
      </w:divBdr>
    </w:div>
    <w:div w:id="426772685">
      <w:bodyDiv w:val="1"/>
      <w:marLeft w:val="0"/>
      <w:marRight w:val="0"/>
      <w:marTop w:val="0"/>
      <w:marBottom w:val="0"/>
      <w:divBdr>
        <w:top w:val="none" w:sz="0" w:space="0" w:color="auto"/>
        <w:left w:val="none" w:sz="0" w:space="0" w:color="auto"/>
        <w:bottom w:val="none" w:sz="0" w:space="0" w:color="auto"/>
        <w:right w:val="none" w:sz="0" w:space="0" w:color="auto"/>
      </w:divBdr>
    </w:div>
    <w:div w:id="427391451">
      <w:bodyDiv w:val="1"/>
      <w:marLeft w:val="0"/>
      <w:marRight w:val="0"/>
      <w:marTop w:val="0"/>
      <w:marBottom w:val="0"/>
      <w:divBdr>
        <w:top w:val="none" w:sz="0" w:space="0" w:color="auto"/>
        <w:left w:val="none" w:sz="0" w:space="0" w:color="auto"/>
        <w:bottom w:val="none" w:sz="0" w:space="0" w:color="auto"/>
        <w:right w:val="none" w:sz="0" w:space="0" w:color="auto"/>
      </w:divBdr>
    </w:div>
    <w:div w:id="427579034">
      <w:bodyDiv w:val="1"/>
      <w:marLeft w:val="0"/>
      <w:marRight w:val="0"/>
      <w:marTop w:val="0"/>
      <w:marBottom w:val="0"/>
      <w:divBdr>
        <w:top w:val="none" w:sz="0" w:space="0" w:color="auto"/>
        <w:left w:val="none" w:sz="0" w:space="0" w:color="auto"/>
        <w:bottom w:val="none" w:sz="0" w:space="0" w:color="auto"/>
        <w:right w:val="none" w:sz="0" w:space="0" w:color="auto"/>
      </w:divBdr>
    </w:div>
    <w:div w:id="427779223">
      <w:bodyDiv w:val="1"/>
      <w:marLeft w:val="0"/>
      <w:marRight w:val="0"/>
      <w:marTop w:val="0"/>
      <w:marBottom w:val="0"/>
      <w:divBdr>
        <w:top w:val="none" w:sz="0" w:space="0" w:color="auto"/>
        <w:left w:val="none" w:sz="0" w:space="0" w:color="auto"/>
        <w:bottom w:val="none" w:sz="0" w:space="0" w:color="auto"/>
        <w:right w:val="none" w:sz="0" w:space="0" w:color="auto"/>
      </w:divBdr>
    </w:div>
    <w:div w:id="428700617">
      <w:bodyDiv w:val="1"/>
      <w:marLeft w:val="0"/>
      <w:marRight w:val="0"/>
      <w:marTop w:val="0"/>
      <w:marBottom w:val="0"/>
      <w:divBdr>
        <w:top w:val="none" w:sz="0" w:space="0" w:color="auto"/>
        <w:left w:val="none" w:sz="0" w:space="0" w:color="auto"/>
        <w:bottom w:val="none" w:sz="0" w:space="0" w:color="auto"/>
        <w:right w:val="none" w:sz="0" w:space="0" w:color="auto"/>
      </w:divBdr>
    </w:div>
    <w:div w:id="429208068">
      <w:bodyDiv w:val="1"/>
      <w:marLeft w:val="0"/>
      <w:marRight w:val="0"/>
      <w:marTop w:val="0"/>
      <w:marBottom w:val="0"/>
      <w:divBdr>
        <w:top w:val="none" w:sz="0" w:space="0" w:color="auto"/>
        <w:left w:val="none" w:sz="0" w:space="0" w:color="auto"/>
        <w:bottom w:val="none" w:sz="0" w:space="0" w:color="auto"/>
        <w:right w:val="none" w:sz="0" w:space="0" w:color="auto"/>
      </w:divBdr>
    </w:div>
    <w:div w:id="430248132">
      <w:bodyDiv w:val="1"/>
      <w:marLeft w:val="0"/>
      <w:marRight w:val="0"/>
      <w:marTop w:val="0"/>
      <w:marBottom w:val="0"/>
      <w:divBdr>
        <w:top w:val="none" w:sz="0" w:space="0" w:color="auto"/>
        <w:left w:val="none" w:sz="0" w:space="0" w:color="auto"/>
        <w:bottom w:val="none" w:sz="0" w:space="0" w:color="auto"/>
        <w:right w:val="none" w:sz="0" w:space="0" w:color="auto"/>
      </w:divBdr>
    </w:div>
    <w:div w:id="430977170">
      <w:bodyDiv w:val="1"/>
      <w:marLeft w:val="0"/>
      <w:marRight w:val="0"/>
      <w:marTop w:val="0"/>
      <w:marBottom w:val="0"/>
      <w:divBdr>
        <w:top w:val="none" w:sz="0" w:space="0" w:color="auto"/>
        <w:left w:val="none" w:sz="0" w:space="0" w:color="auto"/>
        <w:bottom w:val="none" w:sz="0" w:space="0" w:color="auto"/>
        <w:right w:val="none" w:sz="0" w:space="0" w:color="auto"/>
      </w:divBdr>
    </w:div>
    <w:div w:id="430978919">
      <w:bodyDiv w:val="1"/>
      <w:marLeft w:val="0"/>
      <w:marRight w:val="0"/>
      <w:marTop w:val="0"/>
      <w:marBottom w:val="0"/>
      <w:divBdr>
        <w:top w:val="none" w:sz="0" w:space="0" w:color="auto"/>
        <w:left w:val="none" w:sz="0" w:space="0" w:color="auto"/>
        <w:bottom w:val="none" w:sz="0" w:space="0" w:color="auto"/>
        <w:right w:val="none" w:sz="0" w:space="0" w:color="auto"/>
      </w:divBdr>
    </w:div>
    <w:div w:id="431435647">
      <w:bodyDiv w:val="1"/>
      <w:marLeft w:val="0"/>
      <w:marRight w:val="0"/>
      <w:marTop w:val="0"/>
      <w:marBottom w:val="0"/>
      <w:divBdr>
        <w:top w:val="none" w:sz="0" w:space="0" w:color="auto"/>
        <w:left w:val="none" w:sz="0" w:space="0" w:color="auto"/>
        <w:bottom w:val="none" w:sz="0" w:space="0" w:color="auto"/>
        <w:right w:val="none" w:sz="0" w:space="0" w:color="auto"/>
      </w:divBdr>
    </w:div>
    <w:div w:id="432938333">
      <w:bodyDiv w:val="1"/>
      <w:marLeft w:val="0"/>
      <w:marRight w:val="0"/>
      <w:marTop w:val="0"/>
      <w:marBottom w:val="0"/>
      <w:divBdr>
        <w:top w:val="none" w:sz="0" w:space="0" w:color="auto"/>
        <w:left w:val="none" w:sz="0" w:space="0" w:color="auto"/>
        <w:bottom w:val="none" w:sz="0" w:space="0" w:color="auto"/>
        <w:right w:val="none" w:sz="0" w:space="0" w:color="auto"/>
      </w:divBdr>
    </w:div>
    <w:div w:id="433328149">
      <w:bodyDiv w:val="1"/>
      <w:marLeft w:val="0"/>
      <w:marRight w:val="0"/>
      <w:marTop w:val="0"/>
      <w:marBottom w:val="0"/>
      <w:divBdr>
        <w:top w:val="none" w:sz="0" w:space="0" w:color="auto"/>
        <w:left w:val="none" w:sz="0" w:space="0" w:color="auto"/>
        <w:bottom w:val="none" w:sz="0" w:space="0" w:color="auto"/>
        <w:right w:val="none" w:sz="0" w:space="0" w:color="auto"/>
      </w:divBdr>
    </w:div>
    <w:div w:id="433595460">
      <w:bodyDiv w:val="1"/>
      <w:marLeft w:val="0"/>
      <w:marRight w:val="0"/>
      <w:marTop w:val="0"/>
      <w:marBottom w:val="0"/>
      <w:divBdr>
        <w:top w:val="none" w:sz="0" w:space="0" w:color="auto"/>
        <w:left w:val="none" w:sz="0" w:space="0" w:color="auto"/>
        <w:bottom w:val="none" w:sz="0" w:space="0" w:color="auto"/>
        <w:right w:val="none" w:sz="0" w:space="0" w:color="auto"/>
      </w:divBdr>
    </w:div>
    <w:div w:id="434524654">
      <w:bodyDiv w:val="1"/>
      <w:marLeft w:val="0"/>
      <w:marRight w:val="0"/>
      <w:marTop w:val="0"/>
      <w:marBottom w:val="0"/>
      <w:divBdr>
        <w:top w:val="none" w:sz="0" w:space="0" w:color="auto"/>
        <w:left w:val="none" w:sz="0" w:space="0" w:color="auto"/>
        <w:bottom w:val="none" w:sz="0" w:space="0" w:color="auto"/>
        <w:right w:val="none" w:sz="0" w:space="0" w:color="auto"/>
      </w:divBdr>
    </w:div>
    <w:div w:id="434904689">
      <w:bodyDiv w:val="1"/>
      <w:marLeft w:val="0"/>
      <w:marRight w:val="0"/>
      <w:marTop w:val="0"/>
      <w:marBottom w:val="0"/>
      <w:divBdr>
        <w:top w:val="none" w:sz="0" w:space="0" w:color="auto"/>
        <w:left w:val="none" w:sz="0" w:space="0" w:color="auto"/>
        <w:bottom w:val="none" w:sz="0" w:space="0" w:color="auto"/>
        <w:right w:val="none" w:sz="0" w:space="0" w:color="auto"/>
      </w:divBdr>
    </w:div>
    <w:div w:id="435179575">
      <w:bodyDiv w:val="1"/>
      <w:marLeft w:val="0"/>
      <w:marRight w:val="0"/>
      <w:marTop w:val="0"/>
      <w:marBottom w:val="0"/>
      <w:divBdr>
        <w:top w:val="none" w:sz="0" w:space="0" w:color="auto"/>
        <w:left w:val="none" w:sz="0" w:space="0" w:color="auto"/>
        <w:bottom w:val="none" w:sz="0" w:space="0" w:color="auto"/>
        <w:right w:val="none" w:sz="0" w:space="0" w:color="auto"/>
      </w:divBdr>
    </w:div>
    <w:div w:id="436213466">
      <w:bodyDiv w:val="1"/>
      <w:marLeft w:val="0"/>
      <w:marRight w:val="0"/>
      <w:marTop w:val="0"/>
      <w:marBottom w:val="0"/>
      <w:divBdr>
        <w:top w:val="none" w:sz="0" w:space="0" w:color="auto"/>
        <w:left w:val="none" w:sz="0" w:space="0" w:color="auto"/>
        <w:bottom w:val="none" w:sz="0" w:space="0" w:color="auto"/>
        <w:right w:val="none" w:sz="0" w:space="0" w:color="auto"/>
      </w:divBdr>
    </w:div>
    <w:div w:id="436799854">
      <w:bodyDiv w:val="1"/>
      <w:marLeft w:val="0"/>
      <w:marRight w:val="0"/>
      <w:marTop w:val="0"/>
      <w:marBottom w:val="0"/>
      <w:divBdr>
        <w:top w:val="none" w:sz="0" w:space="0" w:color="auto"/>
        <w:left w:val="none" w:sz="0" w:space="0" w:color="auto"/>
        <w:bottom w:val="none" w:sz="0" w:space="0" w:color="auto"/>
        <w:right w:val="none" w:sz="0" w:space="0" w:color="auto"/>
      </w:divBdr>
    </w:div>
    <w:div w:id="436826498">
      <w:bodyDiv w:val="1"/>
      <w:marLeft w:val="0"/>
      <w:marRight w:val="0"/>
      <w:marTop w:val="0"/>
      <w:marBottom w:val="0"/>
      <w:divBdr>
        <w:top w:val="none" w:sz="0" w:space="0" w:color="auto"/>
        <w:left w:val="none" w:sz="0" w:space="0" w:color="auto"/>
        <w:bottom w:val="none" w:sz="0" w:space="0" w:color="auto"/>
        <w:right w:val="none" w:sz="0" w:space="0" w:color="auto"/>
      </w:divBdr>
    </w:div>
    <w:div w:id="437412251">
      <w:bodyDiv w:val="1"/>
      <w:marLeft w:val="0"/>
      <w:marRight w:val="0"/>
      <w:marTop w:val="0"/>
      <w:marBottom w:val="0"/>
      <w:divBdr>
        <w:top w:val="none" w:sz="0" w:space="0" w:color="auto"/>
        <w:left w:val="none" w:sz="0" w:space="0" w:color="auto"/>
        <w:bottom w:val="none" w:sz="0" w:space="0" w:color="auto"/>
        <w:right w:val="none" w:sz="0" w:space="0" w:color="auto"/>
      </w:divBdr>
    </w:div>
    <w:div w:id="438062535">
      <w:bodyDiv w:val="1"/>
      <w:marLeft w:val="0"/>
      <w:marRight w:val="0"/>
      <w:marTop w:val="0"/>
      <w:marBottom w:val="0"/>
      <w:divBdr>
        <w:top w:val="none" w:sz="0" w:space="0" w:color="auto"/>
        <w:left w:val="none" w:sz="0" w:space="0" w:color="auto"/>
        <w:bottom w:val="none" w:sz="0" w:space="0" w:color="auto"/>
        <w:right w:val="none" w:sz="0" w:space="0" w:color="auto"/>
      </w:divBdr>
    </w:div>
    <w:div w:id="439565028">
      <w:bodyDiv w:val="1"/>
      <w:marLeft w:val="0"/>
      <w:marRight w:val="0"/>
      <w:marTop w:val="0"/>
      <w:marBottom w:val="0"/>
      <w:divBdr>
        <w:top w:val="none" w:sz="0" w:space="0" w:color="auto"/>
        <w:left w:val="none" w:sz="0" w:space="0" w:color="auto"/>
        <w:bottom w:val="none" w:sz="0" w:space="0" w:color="auto"/>
        <w:right w:val="none" w:sz="0" w:space="0" w:color="auto"/>
      </w:divBdr>
    </w:div>
    <w:div w:id="440761637">
      <w:bodyDiv w:val="1"/>
      <w:marLeft w:val="0"/>
      <w:marRight w:val="0"/>
      <w:marTop w:val="0"/>
      <w:marBottom w:val="0"/>
      <w:divBdr>
        <w:top w:val="none" w:sz="0" w:space="0" w:color="auto"/>
        <w:left w:val="none" w:sz="0" w:space="0" w:color="auto"/>
        <w:bottom w:val="none" w:sz="0" w:space="0" w:color="auto"/>
        <w:right w:val="none" w:sz="0" w:space="0" w:color="auto"/>
      </w:divBdr>
    </w:div>
    <w:div w:id="440807811">
      <w:bodyDiv w:val="1"/>
      <w:marLeft w:val="0"/>
      <w:marRight w:val="0"/>
      <w:marTop w:val="0"/>
      <w:marBottom w:val="0"/>
      <w:divBdr>
        <w:top w:val="none" w:sz="0" w:space="0" w:color="auto"/>
        <w:left w:val="none" w:sz="0" w:space="0" w:color="auto"/>
        <w:bottom w:val="none" w:sz="0" w:space="0" w:color="auto"/>
        <w:right w:val="none" w:sz="0" w:space="0" w:color="auto"/>
      </w:divBdr>
    </w:div>
    <w:div w:id="441001362">
      <w:bodyDiv w:val="1"/>
      <w:marLeft w:val="0"/>
      <w:marRight w:val="0"/>
      <w:marTop w:val="0"/>
      <w:marBottom w:val="0"/>
      <w:divBdr>
        <w:top w:val="none" w:sz="0" w:space="0" w:color="auto"/>
        <w:left w:val="none" w:sz="0" w:space="0" w:color="auto"/>
        <w:bottom w:val="none" w:sz="0" w:space="0" w:color="auto"/>
        <w:right w:val="none" w:sz="0" w:space="0" w:color="auto"/>
      </w:divBdr>
    </w:div>
    <w:div w:id="441728670">
      <w:bodyDiv w:val="1"/>
      <w:marLeft w:val="0"/>
      <w:marRight w:val="0"/>
      <w:marTop w:val="0"/>
      <w:marBottom w:val="0"/>
      <w:divBdr>
        <w:top w:val="none" w:sz="0" w:space="0" w:color="auto"/>
        <w:left w:val="none" w:sz="0" w:space="0" w:color="auto"/>
        <w:bottom w:val="none" w:sz="0" w:space="0" w:color="auto"/>
        <w:right w:val="none" w:sz="0" w:space="0" w:color="auto"/>
      </w:divBdr>
    </w:div>
    <w:div w:id="442001303">
      <w:bodyDiv w:val="1"/>
      <w:marLeft w:val="0"/>
      <w:marRight w:val="0"/>
      <w:marTop w:val="0"/>
      <w:marBottom w:val="0"/>
      <w:divBdr>
        <w:top w:val="none" w:sz="0" w:space="0" w:color="auto"/>
        <w:left w:val="none" w:sz="0" w:space="0" w:color="auto"/>
        <w:bottom w:val="none" w:sz="0" w:space="0" w:color="auto"/>
        <w:right w:val="none" w:sz="0" w:space="0" w:color="auto"/>
      </w:divBdr>
    </w:div>
    <w:div w:id="443381598">
      <w:bodyDiv w:val="1"/>
      <w:marLeft w:val="0"/>
      <w:marRight w:val="0"/>
      <w:marTop w:val="0"/>
      <w:marBottom w:val="0"/>
      <w:divBdr>
        <w:top w:val="none" w:sz="0" w:space="0" w:color="auto"/>
        <w:left w:val="none" w:sz="0" w:space="0" w:color="auto"/>
        <w:bottom w:val="none" w:sz="0" w:space="0" w:color="auto"/>
        <w:right w:val="none" w:sz="0" w:space="0" w:color="auto"/>
      </w:divBdr>
    </w:div>
    <w:div w:id="443504222">
      <w:bodyDiv w:val="1"/>
      <w:marLeft w:val="0"/>
      <w:marRight w:val="0"/>
      <w:marTop w:val="0"/>
      <w:marBottom w:val="0"/>
      <w:divBdr>
        <w:top w:val="none" w:sz="0" w:space="0" w:color="auto"/>
        <w:left w:val="none" w:sz="0" w:space="0" w:color="auto"/>
        <w:bottom w:val="none" w:sz="0" w:space="0" w:color="auto"/>
        <w:right w:val="none" w:sz="0" w:space="0" w:color="auto"/>
      </w:divBdr>
    </w:div>
    <w:div w:id="445127266">
      <w:bodyDiv w:val="1"/>
      <w:marLeft w:val="0"/>
      <w:marRight w:val="0"/>
      <w:marTop w:val="0"/>
      <w:marBottom w:val="0"/>
      <w:divBdr>
        <w:top w:val="none" w:sz="0" w:space="0" w:color="auto"/>
        <w:left w:val="none" w:sz="0" w:space="0" w:color="auto"/>
        <w:bottom w:val="none" w:sz="0" w:space="0" w:color="auto"/>
        <w:right w:val="none" w:sz="0" w:space="0" w:color="auto"/>
      </w:divBdr>
    </w:div>
    <w:div w:id="445318214">
      <w:bodyDiv w:val="1"/>
      <w:marLeft w:val="0"/>
      <w:marRight w:val="0"/>
      <w:marTop w:val="0"/>
      <w:marBottom w:val="0"/>
      <w:divBdr>
        <w:top w:val="none" w:sz="0" w:space="0" w:color="auto"/>
        <w:left w:val="none" w:sz="0" w:space="0" w:color="auto"/>
        <w:bottom w:val="none" w:sz="0" w:space="0" w:color="auto"/>
        <w:right w:val="none" w:sz="0" w:space="0" w:color="auto"/>
      </w:divBdr>
    </w:div>
    <w:div w:id="445737533">
      <w:bodyDiv w:val="1"/>
      <w:marLeft w:val="0"/>
      <w:marRight w:val="0"/>
      <w:marTop w:val="0"/>
      <w:marBottom w:val="0"/>
      <w:divBdr>
        <w:top w:val="none" w:sz="0" w:space="0" w:color="auto"/>
        <w:left w:val="none" w:sz="0" w:space="0" w:color="auto"/>
        <w:bottom w:val="none" w:sz="0" w:space="0" w:color="auto"/>
        <w:right w:val="none" w:sz="0" w:space="0" w:color="auto"/>
      </w:divBdr>
    </w:div>
    <w:div w:id="445807232">
      <w:bodyDiv w:val="1"/>
      <w:marLeft w:val="0"/>
      <w:marRight w:val="0"/>
      <w:marTop w:val="0"/>
      <w:marBottom w:val="0"/>
      <w:divBdr>
        <w:top w:val="none" w:sz="0" w:space="0" w:color="auto"/>
        <w:left w:val="none" w:sz="0" w:space="0" w:color="auto"/>
        <w:bottom w:val="none" w:sz="0" w:space="0" w:color="auto"/>
        <w:right w:val="none" w:sz="0" w:space="0" w:color="auto"/>
      </w:divBdr>
    </w:div>
    <w:div w:id="446004401">
      <w:bodyDiv w:val="1"/>
      <w:marLeft w:val="0"/>
      <w:marRight w:val="0"/>
      <w:marTop w:val="0"/>
      <w:marBottom w:val="0"/>
      <w:divBdr>
        <w:top w:val="none" w:sz="0" w:space="0" w:color="auto"/>
        <w:left w:val="none" w:sz="0" w:space="0" w:color="auto"/>
        <w:bottom w:val="none" w:sz="0" w:space="0" w:color="auto"/>
        <w:right w:val="none" w:sz="0" w:space="0" w:color="auto"/>
      </w:divBdr>
    </w:div>
    <w:div w:id="446042701">
      <w:bodyDiv w:val="1"/>
      <w:marLeft w:val="0"/>
      <w:marRight w:val="0"/>
      <w:marTop w:val="0"/>
      <w:marBottom w:val="0"/>
      <w:divBdr>
        <w:top w:val="none" w:sz="0" w:space="0" w:color="auto"/>
        <w:left w:val="none" w:sz="0" w:space="0" w:color="auto"/>
        <w:bottom w:val="none" w:sz="0" w:space="0" w:color="auto"/>
        <w:right w:val="none" w:sz="0" w:space="0" w:color="auto"/>
      </w:divBdr>
    </w:div>
    <w:div w:id="446512710">
      <w:bodyDiv w:val="1"/>
      <w:marLeft w:val="0"/>
      <w:marRight w:val="0"/>
      <w:marTop w:val="0"/>
      <w:marBottom w:val="0"/>
      <w:divBdr>
        <w:top w:val="none" w:sz="0" w:space="0" w:color="auto"/>
        <w:left w:val="none" w:sz="0" w:space="0" w:color="auto"/>
        <w:bottom w:val="none" w:sz="0" w:space="0" w:color="auto"/>
        <w:right w:val="none" w:sz="0" w:space="0" w:color="auto"/>
      </w:divBdr>
    </w:div>
    <w:div w:id="446580680">
      <w:bodyDiv w:val="1"/>
      <w:marLeft w:val="0"/>
      <w:marRight w:val="0"/>
      <w:marTop w:val="0"/>
      <w:marBottom w:val="0"/>
      <w:divBdr>
        <w:top w:val="none" w:sz="0" w:space="0" w:color="auto"/>
        <w:left w:val="none" w:sz="0" w:space="0" w:color="auto"/>
        <w:bottom w:val="none" w:sz="0" w:space="0" w:color="auto"/>
        <w:right w:val="none" w:sz="0" w:space="0" w:color="auto"/>
      </w:divBdr>
    </w:div>
    <w:div w:id="446779540">
      <w:bodyDiv w:val="1"/>
      <w:marLeft w:val="0"/>
      <w:marRight w:val="0"/>
      <w:marTop w:val="0"/>
      <w:marBottom w:val="0"/>
      <w:divBdr>
        <w:top w:val="none" w:sz="0" w:space="0" w:color="auto"/>
        <w:left w:val="none" w:sz="0" w:space="0" w:color="auto"/>
        <w:bottom w:val="none" w:sz="0" w:space="0" w:color="auto"/>
        <w:right w:val="none" w:sz="0" w:space="0" w:color="auto"/>
      </w:divBdr>
    </w:div>
    <w:div w:id="448283789">
      <w:bodyDiv w:val="1"/>
      <w:marLeft w:val="0"/>
      <w:marRight w:val="0"/>
      <w:marTop w:val="0"/>
      <w:marBottom w:val="0"/>
      <w:divBdr>
        <w:top w:val="none" w:sz="0" w:space="0" w:color="auto"/>
        <w:left w:val="none" w:sz="0" w:space="0" w:color="auto"/>
        <w:bottom w:val="none" w:sz="0" w:space="0" w:color="auto"/>
        <w:right w:val="none" w:sz="0" w:space="0" w:color="auto"/>
      </w:divBdr>
    </w:div>
    <w:div w:id="449126418">
      <w:bodyDiv w:val="1"/>
      <w:marLeft w:val="0"/>
      <w:marRight w:val="0"/>
      <w:marTop w:val="0"/>
      <w:marBottom w:val="0"/>
      <w:divBdr>
        <w:top w:val="none" w:sz="0" w:space="0" w:color="auto"/>
        <w:left w:val="none" w:sz="0" w:space="0" w:color="auto"/>
        <w:bottom w:val="none" w:sz="0" w:space="0" w:color="auto"/>
        <w:right w:val="none" w:sz="0" w:space="0" w:color="auto"/>
      </w:divBdr>
    </w:div>
    <w:div w:id="449129751">
      <w:bodyDiv w:val="1"/>
      <w:marLeft w:val="0"/>
      <w:marRight w:val="0"/>
      <w:marTop w:val="0"/>
      <w:marBottom w:val="0"/>
      <w:divBdr>
        <w:top w:val="none" w:sz="0" w:space="0" w:color="auto"/>
        <w:left w:val="none" w:sz="0" w:space="0" w:color="auto"/>
        <w:bottom w:val="none" w:sz="0" w:space="0" w:color="auto"/>
        <w:right w:val="none" w:sz="0" w:space="0" w:color="auto"/>
      </w:divBdr>
    </w:div>
    <w:div w:id="450905649">
      <w:bodyDiv w:val="1"/>
      <w:marLeft w:val="0"/>
      <w:marRight w:val="0"/>
      <w:marTop w:val="0"/>
      <w:marBottom w:val="0"/>
      <w:divBdr>
        <w:top w:val="none" w:sz="0" w:space="0" w:color="auto"/>
        <w:left w:val="none" w:sz="0" w:space="0" w:color="auto"/>
        <w:bottom w:val="none" w:sz="0" w:space="0" w:color="auto"/>
        <w:right w:val="none" w:sz="0" w:space="0" w:color="auto"/>
      </w:divBdr>
    </w:div>
    <w:div w:id="452019388">
      <w:bodyDiv w:val="1"/>
      <w:marLeft w:val="0"/>
      <w:marRight w:val="0"/>
      <w:marTop w:val="0"/>
      <w:marBottom w:val="0"/>
      <w:divBdr>
        <w:top w:val="none" w:sz="0" w:space="0" w:color="auto"/>
        <w:left w:val="none" w:sz="0" w:space="0" w:color="auto"/>
        <w:bottom w:val="none" w:sz="0" w:space="0" w:color="auto"/>
        <w:right w:val="none" w:sz="0" w:space="0" w:color="auto"/>
      </w:divBdr>
    </w:div>
    <w:div w:id="452214989">
      <w:bodyDiv w:val="1"/>
      <w:marLeft w:val="0"/>
      <w:marRight w:val="0"/>
      <w:marTop w:val="0"/>
      <w:marBottom w:val="0"/>
      <w:divBdr>
        <w:top w:val="none" w:sz="0" w:space="0" w:color="auto"/>
        <w:left w:val="none" w:sz="0" w:space="0" w:color="auto"/>
        <w:bottom w:val="none" w:sz="0" w:space="0" w:color="auto"/>
        <w:right w:val="none" w:sz="0" w:space="0" w:color="auto"/>
      </w:divBdr>
    </w:div>
    <w:div w:id="452678781">
      <w:bodyDiv w:val="1"/>
      <w:marLeft w:val="0"/>
      <w:marRight w:val="0"/>
      <w:marTop w:val="0"/>
      <w:marBottom w:val="0"/>
      <w:divBdr>
        <w:top w:val="none" w:sz="0" w:space="0" w:color="auto"/>
        <w:left w:val="none" w:sz="0" w:space="0" w:color="auto"/>
        <w:bottom w:val="none" w:sz="0" w:space="0" w:color="auto"/>
        <w:right w:val="none" w:sz="0" w:space="0" w:color="auto"/>
      </w:divBdr>
    </w:div>
    <w:div w:id="453720457">
      <w:bodyDiv w:val="1"/>
      <w:marLeft w:val="0"/>
      <w:marRight w:val="0"/>
      <w:marTop w:val="0"/>
      <w:marBottom w:val="0"/>
      <w:divBdr>
        <w:top w:val="none" w:sz="0" w:space="0" w:color="auto"/>
        <w:left w:val="none" w:sz="0" w:space="0" w:color="auto"/>
        <w:bottom w:val="none" w:sz="0" w:space="0" w:color="auto"/>
        <w:right w:val="none" w:sz="0" w:space="0" w:color="auto"/>
      </w:divBdr>
    </w:div>
    <w:div w:id="455029716">
      <w:bodyDiv w:val="1"/>
      <w:marLeft w:val="0"/>
      <w:marRight w:val="0"/>
      <w:marTop w:val="0"/>
      <w:marBottom w:val="0"/>
      <w:divBdr>
        <w:top w:val="none" w:sz="0" w:space="0" w:color="auto"/>
        <w:left w:val="none" w:sz="0" w:space="0" w:color="auto"/>
        <w:bottom w:val="none" w:sz="0" w:space="0" w:color="auto"/>
        <w:right w:val="none" w:sz="0" w:space="0" w:color="auto"/>
      </w:divBdr>
    </w:div>
    <w:div w:id="455567505">
      <w:bodyDiv w:val="1"/>
      <w:marLeft w:val="0"/>
      <w:marRight w:val="0"/>
      <w:marTop w:val="0"/>
      <w:marBottom w:val="0"/>
      <w:divBdr>
        <w:top w:val="none" w:sz="0" w:space="0" w:color="auto"/>
        <w:left w:val="none" w:sz="0" w:space="0" w:color="auto"/>
        <w:bottom w:val="none" w:sz="0" w:space="0" w:color="auto"/>
        <w:right w:val="none" w:sz="0" w:space="0" w:color="auto"/>
      </w:divBdr>
    </w:div>
    <w:div w:id="455804267">
      <w:bodyDiv w:val="1"/>
      <w:marLeft w:val="0"/>
      <w:marRight w:val="0"/>
      <w:marTop w:val="0"/>
      <w:marBottom w:val="0"/>
      <w:divBdr>
        <w:top w:val="none" w:sz="0" w:space="0" w:color="auto"/>
        <w:left w:val="none" w:sz="0" w:space="0" w:color="auto"/>
        <w:bottom w:val="none" w:sz="0" w:space="0" w:color="auto"/>
        <w:right w:val="none" w:sz="0" w:space="0" w:color="auto"/>
      </w:divBdr>
    </w:div>
    <w:div w:id="456607778">
      <w:bodyDiv w:val="1"/>
      <w:marLeft w:val="0"/>
      <w:marRight w:val="0"/>
      <w:marTop w:val="0"/>
      <w:marBottom w:val="0"/>
      <w:divBdr>
        <w:top w:val="none" w:sz="0" w:space="0" w:color="auto"/>
        <w:left w:val="none" w:sz="0" w:space="0" w:color="auto"/>
        <w:bottom w:val="none" w:sz="0" w:space="0" w:color="auto"/>
        <w:right w:val="none" w:sz="0" w:space="0" w:color="auto"/>
      </w:divBdr>
    </w:div>
    <w:div w:id="456720644">
      <w:bodyDiv w:val="1"/>
      <w:marLeft w:val="0"/>
      <w:marRight w:val="0"/>
      <w:marTop w:val="0"/>
      <w:marBottom w:val="0"/>
      <w:divBdr>
        <w:top w:val="none" w:sz="0" w:space="0" w:color="auto"/>
        <w:left w:val="none" w:sz="0" w:space="0" w:color="auto"/>
        <w:bottom w:val="none" w:sz="0" w:space="0" w:color="auto"/>
        <w:right w:val="none" w:sz="0" w:space="0" w:color="auto"/>
      </w:divBdr>
    </w:div>
    <w:div w:id="457260966">
      <w:bodyDiv w:val="1"/>
      <w:marLeft w:val="0"/>
      <w:marRight w:val="0"/>
      <w:marTop w:val="0"/>
      <w:marBottom w:val="0"/>
      <w:divBdr>
        <w:top w:val="none" w:sz="0" w:space="0" w:color="auto"/>
        <w:left w:val="none" w:sz="0" w:space="0" w:color="auto"/>
        <w:bottom w:val="none" w:sz="0" w:space="0" w:color="auto"/>
        <w:right w:val="none" w:sz="0" w:space="0" w:color="auto"/>
      </w:divBdr>
      <w:divsChild>
        <w:div w:id="553273159">
          <w:marLeft w:val="0"/>
          <w:marRight w:val="0"/>
          <w:marTop w:val="0"/>
          <w:marBottom w:val="0"/>
          <w:divBdr>
            <w:top w:val="none" w:sz="0" w:space="0" w:color="auto"/>
            <w:left w:val="none" w:sz="0" w:space="0" w:color="auto"/>
            <w:bottom w:val="none" w:sz="0" w:space="0" w:color="auto"/>
            <w:right w:val="none" w:sz="0" w:space="0" w:color="auto"/>
          </w:divBdr>
          <w:divsChild>
            <w:div w:id="993484854">
              <w:marLeft w:val="0"/>
              <w:marRight w:val="0"/>
              <w:marTop w:val="0"/>
              <w:marBottom w:val="0"/>
              <w:divBdr>
                <w:top w:val="none" w:sz="0" w:space="0" w:color="auto"/>
                <w:left w:val="none" w:sz="0" w:space="0" w:color="auto"/>
                <w:bottom w:val="none" w:sz="0" w:space="0" w:color="auto"/>
                <w:right w:val="none" w:sz="0" w:space="0" w:color="auto"/>
              </w:divBdr>
              <w:divsChild>
                <w:div w:id="1332180491">
                  <w:marLeft w:val="0"/>
                  <w:marRight w:val="0"/>
                  <w:marTop w:val="0"/>
                  <w:marBottom w:val="0"/>
                  <w:divBdr>
                    <w:top w:val="none" w:sz="0" w:space="0" w:color="auto"/>
                    <w:left w:val="none" w:sz="0" w:space="0" w:color="auto"/>
                    <w:bottom w:val="none" w:sz="0" w:space="0" w:color="auto"/>
                    <w:right w:val="none" w:sz="0" w:space="0" w:color="auto"/>
                  </w:divBdr>
                  <w:divsChild>
                    <w:div w:id="1739396997">
                      <w:marLeft w:val="0"/>
                      <w:marRight w:val="0"/>
                      <w:marTop w:val="0"/>
                      <w:marBottom w:val="0"/>
                      <w:divBdr>
                        <w:top w:val="none" w:sz="0" w:space="0" w:color="auto"/>
                        <w:left w:val="none" w:sz="0" w:space="0" w:color="auto"/>
                        <w:bottom w:val="none" w:sz="0" w:space="0" w:color="auto"/>
                        <w:right w:val="none" w:sz="0" w:space="0" w:color="auto"/>
                      </w:divBdr>
                      <w:divsChild>
                        <w:div w:id="385226743">
                          <w:marLeft w:val="0"/>
                          <w:marRight w:val="0"/>
                          <w:marTop w:val="0"/>
                          <w:marBottom w:val="0"/>
                          <w:divBdr>
                            <w:top w:val="none" w:sz="0" w:space="0" w:color="auto"/>
                            <w:left w:val="none" w:sz="0" w:space="0" w:color="auto"/>
                            <w:bottom w:val="none" w:sz="0" w:space="0" w:color="auto"/>
                            <w:right w:val="none" w:sz="0" w:space="0" w:color="auto"/>
                          </w:divBdr>
                          <w:divsChild>
                            <w:div w:id="1763333593">
                              <w:marLeft w:val="0"/>
                              <w:marRight w:val="0"/>
                              <w:marTop w:val="0"/>
                              <w:marBottom w:val="0"/>
                              <w:divBdr>
                                <w:top w:val="none" w:sz="0" w:space="0" w:color="auto"/>
                                <w:left w:val="none" w:sz="0" w:space="0" w:color="auto"/>
                                <w:bottom w:val="none" w:sz="0" w:space="0" w:color="auto"/>
                                <w:right w:val="none" w:sz="0" w:space="0" w:color="auto"/>
                              </w:divBdr>
                              <w:divsChild>
                                <w:div w:id="202185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7337013">
      <w:bodyDiv w:val="1"/>
      <w:marLeft w:val="0"/>
      <w:marRight w:val="0"/>
      <w:marTop w:val="0"/>
      <w:marBottom w:val="0"/>
      <w:divBdr>
        <w:top w:val="none" w:sz="0" w:space="0" w:color="auto"/>
        <w:left w:val="none" w:sz="0" w:space="0" w:color="auto"/>
        <w:bottom w:val="none" w:sz="0" w:space="0" w:color="auto"/>
        <w:right w:val="none" w:sz="0" w:space="0" w:color="auto"/>
      </w:divBdr>
    </w:div>
    <w:div w:id="457532391">
      <w:bodyDiv w:val="1"/>
      <w:marLeft w:val="0"/>
      <w:marRight w:val="0"/>
      <w:marTop w:val="0"/>
      <w:marBottom w:val="0"/>
      <w:divBdr>
        <w:top w:val="none" w:sz="0" w:space="0" w:color="auto"/>
        <w:left w:val="none" w:sz="0" w:space="0" w:color="auto"/>
        <w:bottom w:val="none" w:sz="0" w:space="0" w:color="auto"/>
        <w:right w:val="none" w:sz="0" w:space="0" w:color="auto"/>
      </w:divBdr>
    </w:div>
    <w:div w:id="457601570">
      <w:bodyDiv w:val="1"/>
      <w:marLeft w:val="0"/>
      <w:marRight w:val="0"/>
      <w:marTop w:val="0"/>
      <w:marBottom w:val="0"/>
      <w:divBdr>
        <w:top w:val="none" w:sz="0" w:space="0" w:color="auto"/>
        <w:left w:val="none" w:sz="0" w:space="0" w:color="auto"/>
        <w:bottom w:val="none" w:sz="0" w:space="0" w:color="auto"/>
        <w:right w:val="none" w:sz="0" w:space="0" w:color="auto"/>
      </w:divBdr>
    </w:div>
    <w:div w:id="457838285">
      <w:bodyDiv w:val="1"/>
      <w:marLeft w:val="0"/>
      <w:marRight w:val="0"/>
      <w:marTop w:val="0"/>
      <w:marBottom w:val="0"/>
      <w:divBdr>
        <w:top w:val="none" w:sz="0" w:space="0" w:color="auto"/>
        <w:left w:val="none" w:sz="0" w:space="0" w:color="auto"/>
        <w:bottom w:val="none" w:sz="0" w:space="0" w:color="auto"/>
        <w:right w:val="none" w:sz="0" w:space="0" w:color="auto"/>
      </w:divBdr>
    </w:div>
    <w:div w:id="458845281">
      <w:bodyDiv w:val="1"/>
      <w:marLeft w:val="0"/>
      <w:marRight w:val="0"/>
      <w:marTop w:val="0"/>
      <w:marBottom w:val="0"/>
      <w:divBdr>
        <w:top w:val="none" w:sz="0" w:space="0" w:color="auto"/>
        <w:left w:val="none" w:sz="0" w:space="0" w:color="auto"/>
        <w:bottom w:val="none" w:sz="0" w:space="0" w:color="auto"/>
        <w:right w:val="none" w:sz="0" w:space="0" w:color="auto"/>
      </w:divBdr>
    </w:div>
    <w:div w:id="459299043">
      <w:bodyDiv w:val="1"/>
      <w:marLeft w:val="0"/>
      <w:marRight w:val="0"/>
      <w:marTop w:val="0"/>
      <w:marBottom w:val="0"/>
      <w:divBdr>
        <w:top w:val="none" w:sz="0" w:space="0" w:color="auto"/>
        <w:left w:val="none" w:sz="0" w:space="0" w:color="auto"/>
        <w:bottom w:val="none" w:sz="0" w:space="0" w:color="auto"/>
        <w:right w:val="none" w:sz="0" w:space="0" w:color="auto"/>
      </w:divBdr>
    </w:div>
    <w:div w:id="459955453">
      <w:bodyDiv w:val="1"/>
      <w:marLeft w:val="0"/>
      <w:marRight w:val="0"/>
      <w:marTop w:val="0"/>
      <w:marBottom w:val="0"/>
      <w:divBdr>
        <w:top w:val="none" w:sz="0" w:space="0" w:color="auto"/>
        <w:left w:val="none" w:sz="0" w:space="0" w:color="auto"/>
        <w:bottom w:val="none" w:sz="0" w:space="0" w:color="auto"/>
        <w:right w:val="none" w:sz="0" w:space="0" w:color="auto"/>
      </w:divBdr>
    </w:div>
    <w:div w:id="460081096">
      <w:bodyDiv w:val="1"/>
      <w:marLeft w:val="0"/>
      <w:marRight w:val="0"/>
      <w:marTop w:val="0"/>
      <w:marBottom w:val="0"/>
      <w:divBdr>
        <w:top w:val="none" w:sz="0" w:space="0" w:color="auto"/>
        <w:left w:val="none" w:sz="0" w:space="0" w:color="auto"/>
        <w:bottom w:val="none" w:sz="0" w:space="0" w:color="auto"/>
        <w:right w:val="none" w:sz="0" w:space="0" w:color="auto"/>
      </w:divBdr>
    </w:div>
    <w:div w:id="460265814">
      <w:bodyDiv w:val="1"/>
      <w:marLeft w:val="0"/>
      <w:marRight w:val="0"/>
      <w:marTop w:val="0"/>
      <w:marBottom w:val="0"/>
      <w:divBdr>
        <w:top w:val="none" w:sz="0" w:space="0" w:color="auto"/>
        <w:left w:val="none" w:sz="0" w:space="0" w:color="auto"/>
        <w:bottom w:val="none" w:sz="0" w:space="0" w:color="auto"/>
        <w:right w:val="none" w:sz="0" w:space="0" w:color="auto"/>
      </w:divBdr>
    </w:div>
    <w:div w:id="460415651">
      <w:bodyDiv w:val="1"/>
      <w:marLeft w:val="0"/>
      <w:marRight w:val="0"/>
      <w:marTop w:val="0"/>
      <w:marBottom w:val="0"/>
      <w:divBdr>
        <w:top w:val="none" w:sz="0" w:space="0" w:color="auto"/>
        <w:left w:val="none" w:sz="0" w:space="0" w:color="auto"/>
        <w:bottom w:val="none" w:sz="0" w:space="0" w:color="auto"/>
        <w:right w:val="none" w:sz="0" w:space="0" w:color="auto"/>
      </w:divBdr>
    </w:div>
    <w:div w:id="460616159">
      <w:bodyDiv w:val="1"/>
      <w:marLeft w:val="0"/>
      <w:marRight w:val="0"/>
      <w:marTop w:val="0"/>
      <w:marBottom w:val="0"/>
      <w:divBdr>
        <w:top w:val="none" w:sz="0" w:space="0" w:color="auto"/>
        <w:left w:val="none" w:sz="0" w:space="0" w:color="auto"/>
        <w:bottom w:val="none" w:sz="0" w:space="0" w:color="auto"/>
        <w:right w:val="none" w:sz="0" w:space="0" w:color="auto"/>
      </w:divBdr>
    </w:div>
    <w:div w:id="461265834">
      <w:bodyDiv w:val="1"/>
      <w:marLeft w:val="0"/>
      <w:marRight w:val="0"/>
      <w:marTop w:val="0"/>
      <w:marBottom w:val="0"/>
      <w:divBdr>
        <w:top w:val="none" w:sz="0" w:space="0" w:color="auto"/>
        <w:left w:val="none" w:sz="0" w:space="0" w:color="auto"/>
        <w:bottom w:val="none" w:sz="0" w:space="0" w:color="auto"/>
        <w:right w:val="none" w:sz="0" w:space="0" w:color="auto"/>
      </w:divBdr>
    </w:div>
    <w:div w:id="461312551">
      <w:bodyDiv w:val="1"/>
      <w:marLeft w:val="0"/>
      <w:marRight w:val="0"/>
      <w:marTop w:val="0"/>
      <w:marBottom w:val="0"/>
      <w:divBdr>
        <w:top w:val="none" w:sz="0" w:space="0" w:color="auto"/>
        <w:left w:val="none" w:sz="0" w:space="0" w:color="auto"/>
        <w:bottom w:val="none" w:sz="0" w:space="0" w:color="auto"/>
        <w:right w:val="none" w:sz="0" w:space="0" w:color="auto"/>
      </w:divBdr>
    </w:div>
    <w:div w:id="462237755">
      <w:bodyDiv w:val="1"/>
      <w:marLeft w:val="0"/>
      <w:marRight w:val="0"/>
      <w:marTop w:val="0"/>
      <w:marBottom w:val="0"/>
      <w:divBdr>
        <w:top w:val="none" w:sz="0" w:space="0" w:color="auto"/>
        <w:left w:val="none" w:sz="0" w:space="0" w:color="auto"/>
        <w:bottom w:val="none" w:sz="0" w:space="0" w:color="auto"/>
        <w:right w:val="none" w:sz="0" w:space="0" w:color="auto"/>
      </w:divBdr>
    </w:div>
    <w:div w:id="462312346">
      <w:bodyDiv w:val="1"/>
      <w:marLeft w:val="0"/>
      <w:marRight w:val="0"/>
      <w:marTop w:val="0"/>
      <w:marBottom w:val="0"/>
      <w:divBdr>
        <w:top w:val="none" w:sz="0" w:space="0" w:color="auto"/>
        <w:left w:val="none" w:sz="0" w:space="0" w:color="auto"/>
        <w:bottom w:val="none" w:sz="0" w:space="0" w:color="auto"/>
        <w:right w:val="none" w:sz="0" w:space="0" w:color="auto"/>
      </w:divBdr>
    </w:div>
    <w:div w:id="463158431">
      <w:bodyDiv w:val="1"/>
      <w:marLeft w:val="0"/>
      <w:marRight w:val="0"/>
      <w:marTop w:val="0"/>
      <w:marBottom w:val="0"/>
      <w:divBdr>
        <w:top w:val="none" w:sz="0" w:space="0" w:color="auto"/>
        <w:left w:val="none" w:sz="0" w:space="0" w:color="auto"/>
        <w:bottom w:val="none" w:sz="0" w:space="0" w:color="auto"/>
        <w:right w:val="none" w:sz="0" w:space="0" w:color="auto"/>
      </w:divBdr>
    </w:div>
    <w:div w:id="463275262">
      <w:bodyDiv w:val="1"/>
      <w:marLeft w:val="0"/>
      <w:marRight w:val="0"/>
      <w:marTop w:val="0"/>
      <w:marBottom w:val="0"/>
      <w:divBdr>
        <w:top w:val="none" w:sz="0" w:space="0" w:color="auto"/>
        <w:left w:val="none" w:sz="0" w:space="0" w:color="auto"/>
        <w:bottom w:val="none" w:sz="0" w:space="0" w:color="auto"/>
        <w:right w:val="none" w:sz="0" w:space="0" w:color="auto"/>
      </w:divBdr>
    </w:div>
    <w:div w:id="463351530">
      <w:bodyDiv w:val="1"/>
      <w:marLeft w:val="0"/>
      <w:marRight w:val="0"/>
      <w:marTop w:val="0"/>
      <w:marBottom w:val="0"/>
      <w:divBdr>
        <w:top w:val="none" w:sz="0" w:space="0" w:color="auto"/>
        <w:left w:val="none" w:sz="0" w:space="0" w:color="auto"/>
        <w:bottom w:val="none" w:sz="0" w:space="0" w:color="auto"/>
        <w:right w:val="none" w:sz="0" w:space="0" w:color="auto"/>
      </w:divBdr>
    </w:div>
    <w:div w:id="463735206">
      <w:bodyDiv w:val="1"/>
      <w:marLeft w:val="0"/>
      <w:marRight w:val="0"/>
      <w:marTop w:val="0"/>
      <w:marBottom w:val="0"/>
      <w:divBdr>
        <w:top w:val="none" w:sz="0" w:space="0" w:color="auto"/>
        <w:left w:val="none" w:sz="0" w:space="0" w:color="auto"/>
        <w:bottom w:val="none" w:sz="0" w:space="0" w:color="auto"/>
        <w:right w:val="none" w:sz="0" w:space="0" w:color="auto"/>
      </w:divBdr>
    </w:div>
    <w:div w:id="464087347">
      <w:bodyDiv w:val="1"/>
      <w:marLeft w:val="0"/>
      <w:marRight w:val="0"/>
      <w:marTop w:val="0"/>
      <w:marBottom w:val="0"/>
      <w:divBdr>
        <w:top w:val="none" w:sz="0" w:space="0" w:color="auto"/>
        <w:left w:val="none" w:sz="0" w:space="0" w:color="auto"/>
        <w:bottom w:val="none" w:sz="0" w:space="0" w:color="auto"/>
        <w:right w:val="none" w:sz="0" w:space="0" w:color="auto"/>
      </w:divBdr>
    </w:div>
    <w:div w:id="464279587">
      <w:bodyDiv w:val="1"/>
      <w:marLeft w:val="0"/>
      <w:marRight w:val="0"/>
      <w:marTop w:val="0"/>
      <w:marBottom w:val="0"/>
      <w:divBdr>
        <w:top w:val="none" w:sz="0" w:space="0" w:color="auto"/>
        <w:left w:val="none" w:sz="0" w:space="0" w:color="auto"/>
        <w:bottom w:val="none" w:sz="0" w:space="0" w:color="auto"/>
        <w:right w:val="none" w:sz="0" w:space="0" w:color="auto"/>
      </w:divBdr>
    </w:div>
    <w:div w:id="464398784">
      <w:bodyDiv w:val="1"/>
      <w:marLeft w:val="0"/>
      <w:marRight w:val="0"/>
      <w:marTop w:val="0"/>
      <w:marBottom w:val="0"/>
      <w:divBdr>
        <w:top w:val="none" w:sz="0" w:space="0" w:color="auto"/>
        <w:left w:val="none" w:sz="0" w:space="0" w:color="auto"/>
        <w:bottom w:val="none" w:sz="0" w:space="0" w:color="auto"/>
        <w:right w:val="none" w:sz="0" w:space="0" w:color="auto"/>
      </w:divBdr>
    </w:div>
    <w:div w:id="464471679">
      <w:bodyDiv w:val="1"/>
      <w:marLeft w:val="0"/>
      <w:marRight w:val="0"/>
      <w:marTop w:val="0"/>
      <w:marBottom w:val="0"/>
      <w:divBdr>
        <w:top w:val="none" w:sz="0" w:space="0" w:color="auto"/>
        <w:left w:val="none" w:sz="0" w:space="0" w:color="auto"/>
        <w:bottom w:val="none" w:sz="0" w:space="0" w:color="auto"/>
        <w:right w:val="none" w:sz="0" w:space="0" w:color="auto"/>
      </w:divBdr>
    </w:div>
    <w:div w:id="465002621">
      <w:bodyDiv w:val="1"/>
      <w:marLeft w:val="0"/>
      <w:marRight w:val="0"/>
      <w:marTop w:val="0"/>
      <w:marBottom w:val="0"/>
      <w:divBdr>
        <w:top w:val="none" w:sz="0" w:space="0" w:color="auto"/>
        <w:left w:val="none" w:sz="0" w:space="0" w:color="auto"/>
        <w:bottom w:val="none" w:sz="0" w:space="0" w:color="auto"/>
        <w:right w:val="none" w:sz="0" w:space="0" w:color="auto"/>
      </w:divBdr>
    </w:div>
    <w:div w:id="465245212">
      <w:bodyDiv w:val="1"/>
      <w:marLeft w:val="0"/>
      <w:marRight w:val="0"/>
      <w:marTop w:val="0"/>
      <w:marBottom w:val="0"/>
      <w:divBdr>
        <w:top w:val="none" w:sz="0" w:space="0" w:color="auto"/>
        <w:left w:val="none" w:sz="0" w:space="0" w:color="auto"/>
        <w:bottom w:val="none" w:sz="0" w:space="0" w:color="auto"/>
        <w:right w:val="none" w:sz="0" w:space="0" w:color="auto"/>
      </w:divBdr>
    </w:div>
    <w:div w:id="466314754">
      <w:bodyDiv w:val="1"/>
      <w:marLeft w:val="0"/>
      <w:marRight w:val="0"/>
      <w:marTop w:val="0"/>
      <w:marBottom w:val="0"/>
      <w:divBdr>
        <w:top w:val="none" w:sz="0" w:space="0" w:color="auto"/>
        <w:left w:val="none" w:sz="0" w:space="0" w:color="auto"/>
        <w:bottom w:val="none" w:sz="0" w:space="0" w:color="auto"/>
        <w:right w:val="none" w:sz="0" w:space="0" w:color="auto"/>
      </w:divBdr>
    </w:div>
    <w:div w:id="466437877">
      <w:bodyDiv w:val="1"/>
      <w:marLeft w:val="0"/>
      <w:marRight w:val="0"/>
      <w:marTop w:val="0"/>
      <w:marBottom w:val="0"/>
      <w:divBdr>
        <w:top w:val="none" w:sz="0" w:space="0" w:color="auto"/>
        <w:left w:val="none" w:sz="0" w:space="0" w:color="auto"/>
        <w:bottom w:val="none" w:sz="0" w:space="0" w:color="auto"/>
        <w:right w:val="none" w:sz="0" w:space="0" w:color="auto"/>
      </w:divBdr>
    </w:div>
    <w:div w:id="467627600">
      <w:bodyDiv w:val="1"/>
      <w:marLeft w:val="0"/>
      <w:marRight w:val="0"/>
      <w:marTop w:val="0"/>
      <w:marBottom w:val="0"/>
      <w:divBdr>
        <w:top w:val="none" w:sz="0" w:space="0" w:color="auto"/>
        <w:left w:val="none" w:sz="0" w:space="0" w:color="auto"/>
        <w:bottom w:val="none" w:sz="0" w:space="0" w:color="auto"/>
        <w:right w:val="none" w:sz="0" w:space="0" w:color="auto"/>
      </w:divBdr>
    </w:div>
    <w:div w:id="468087055">
      <w:bodyDiv w:val="1"/>
      <w:marLeft w:val="0"/>
      <w:marRight w:val="0"/>
      <w:marTop w:val="0"/>
      <w:marBottom w:val="0"/>
      <w:divBdr>
        <w:top w:val="none" w:sz="0" w:space="0" w:color="auto"/>
        <w:left w:val="none" w:sz="0" w:space="0" w:color="auto"/>
        <w:bottom w:val="none" w:sz="0" w:space="0" w:color="auto"/>
        <w:right w:val="none" w:sz="0" w:space="0" w:color="auto"/>
      </w:divBdr>
    </w:div>
    <w:div w:id="468477604">
      <w:bodyDiv w:val="1"/>
      <w:marLeft w:val="0"/>
      <w:marRight w:val="0"/>
      <w:marTop w:val="0"/>
      <w:marBottom w:val="0"/>
      <w:divBdr>
        <w:top w:val="none" w:sz="0" w:space="0" w:color="auto"/>
        <w:left w:val="none" w:sz="0" w:space="0" w:color="auto"/>
        <w:bottom w:val="none" w:sz="0" w:space="0" w:color="auto"/>
        <w:right w:val="none" w:sz="0" w:space="0" w:color="auto"/>
      </w:divBdr>
    </w:div>
    <w:div w:id="470052849">
      <w:bodyDiv w:val="1"/>
      <w:marLeft w:val="0"/>
      <w:marRight w:val="0"/>
      <w:marTop w:val="0"/>
      <w:marBottom w:val="0"/>
      <w:divBdr>
        <w:top w:val="none" w:sz="0" w:space="0" w:color="auto"/>
        <w:left w:val="none" w:sz="0" w:space="0" w:color="auto"/>
        <w:bottom w:val="none" w:sz="0" w:space="0" w:color="auto"/>
        <w:right w:val="none" w:sz="0" w:space="0" w:color="auto"/>
      </w:divBdr>
    </w:div>
    <w:div w:id="470102012">
      <w:bodyDiv w:val="1"/>
      <w:marLeft w:val="0"/>
      <w:marRight w:val="0"/>
      <w:marTop w:val="0"/>
      <w:marBottom w:val="0"/>
      <w:divBdr>
        <w:top w:val="none" w:sz="0" w:space="0" w:color="auto"/>
        <w:left w:val="none" w:sz="0" w:space="0" w:color="auto"/>
        <w:bottom w:val="none" w:sz="0" w:space="0" w:color="auto"/>
        <w:right w:val="none" w:sz="0" w:space="0" w:color="auto"/>
      </w:divBdr>
    </w:div>
    <w:div w:id="470563112">
      <w:bodyDiv w:val="1"/>
      <w:marLeft w:val="0"/>
      <w:marRight w:val="0"/>
      <w:marTop w:val="0"/>
      <w:marBottom w:val="0"/>
      <w:divBdr>
        <w:top w:val="none" w:sz="0" w:space="0" w:color="auto"/>
        <w:left w:val="none" w:sz="0" w:space="0" w:color="auto"/>
        <w:bottom w:val="none" w:sz="0" w:space="0" w:color="auto"/>
        <w:right w:val="none" w:sz="0" w:space="0" w:color="auto"/>
      </w:divBdr>
    </w:div>
    <w:div w:id="470639491">
      <w:bodyDiv w:val="1"/>
      <w:marLeft w:val="0"/>
      <w:marRight w:val="0"/>
      <w:marTop w:val="0"/>
      <w:marBottom w:val="0"/>
      <w:divBdr>
        <w:top w:val="none" w:sz="0" w:space="0" w:color="auto"/>
        <w:left w:val="none" w:sz="0" w:space="0" w:color="auto"/>
        <w:bottom w:val="none" w:sz="0" w:space="0" w:color="auto"/>
        <w:right w:val="none" w:sz="0" w:space="0" w:color="auto"/>
      </w:divBdr>
    </w:div>
    <w:div w:id="471287144">
      <w:bodyDiv w:val="1"/>
      <w:marLeft w:val="0"/>
      <w:marRight w:val="0"/>
      <w:marTop w:val="0"/>
      <w:marBottom w:val="0"/>
      <w:divBdr>
        <w:top w:val="none" w:sz="0" w:space="0" w:color="auto"/>
        <w:left w:val="none" w:sz="0" w:space="0" w:color="auto"/>
        <w:bottom w:val="none" w:sz="0" w:space="0" w:color="auto"/>
        <w:right w:val="none" w:sz="0" w:space="0" w:color="auto"/>
      </w:divBdr>
    </w:div>
    <w:div w:id="471336884">
      <w:bodyDiv w:val="1"/>
      <w:marLeft w:val="0"/>
      <w:marRight w:val="0"/>
      <w:marTop w:val="0"/>
      <w:marBottom w:val="0"/>
      <w:divBdr>
        <w:top w:val="none" w:sz="0" w:space="0" w:color="auto"/>
        <w:left w:val="none" w:sz="0" w:space="0" w:color="auto"/>
        <w:bottom w:val="none" w:sz="0" w:space="0" w:color="auto"/>
        <w:right w:val="none" w:sz="0" w:space="0" w:color="auto"/>
      </w:divBdr>
    </w:div>
    <w:div w:id="472059561">
      <w:bodyDiv w:val="1"/>
      <w:marLeft w:val="0"/>
      <w:marRight w:val="0"/>
      <w:marTop w:val="0"/>
      <w:marBottom w:val="0"/>
      <w:divBdr>
        <w:top w:val="none" w:sz="0" w:space="0" w:color="auto"/>
        <w:left w:val="none" w:sz="0" w:space="0" w:color="auto"/>
        <w:bottom w:val="none" w:sz="0" w:space="0" w:color="auto"/>
        <w:right w:val="none" w:sz="0" w:space="0" w:color="auto"/>
      </w:divBdr>
    </w:div>
    <w:div w:id="472330354">
      <w:bodyDiv w:val="1"/>
      <w:marLeft w:val="0"/>
      <w:marRight w:val="0"/>
      <w:marTop w:val="0"/>
      <w:marBottom w:val="0"/>
      <w:divBdr>
        <w:top w:val="none" w:sz="0" w:space="0" w:color="auto"/>
        <w:left w:val="none" w:sz="0" w:space="0" w:color="auto"/>
        <w:bottom w:val="none" w:sz="0" w:space="0" w:color="auto"/>
        <w:right w:val="none" w:sz="0" w:space="0" w:color="auto"/>
      </w:divBdr>
    </w:div>
    <w:div w:id="473719535">
      <w:bodyDiv w:val="1"/>
      <w:marLeft w:val="0"/>
      <w:marRight w:val="0"/>
      <w:marTop w:val="0"/>
      <w:marBottom w:val="0"/>
      <w:divBdr>
        <w:top w:val="none" w:sz="0" w:space="0" w:color="auto"/>
        <w:left w:val="none" w:sz="0" w:space="0" w:color="auto"/>
        <w:bottom w:val="none" w:sz="0" w:space="0" w:color="auto"/>
        <w:right w:val="none" w:sz="0" w:space="0" w:color="auto"/>
      </w:divBdr>
    </w:div>
    <w:div w:id="474638508">
      <w:bodyDiv w:val="1"/>
      <w:marLeft w:val="0"/>
      <w:marRight w:val="0"/>
      <w:marTop w:val="0"/>
      <w:marBottom w:val="0"/>
      <w:divBdr>
        <w:top w:val="none" w:sz="0" w:space="0" w:color="auto"/>
        <w:left w:val="none" w:sz="0" w:space="0" w:color="auto"/>
        <w:bottom w:val="none" w:sz="0" w:space="0" w:color="auto"/>
        <w:right w:val="none" w:sz="0" w:space="0" w:color="auto"/>
      </w:divBdr>
    </w:div>
    <w:div w:id="474643634">
      <w:bodyDiv w:val="1"/>
      <w:marLeft w:val="0"/>
      <w:marRight w:val="0"/>
      <w:marTop w:val="0"/>
      <w:marBottom w:val="0"/>
      <w:divBdr>
        <w:top w:val="none" w:sz="0" w:space="0" w:color="auto"/>
        <w:left w:val="none" w:sz="0" w:space="0" w:color="auto"/>
        <w:bottom w:val="none" w:sz="0" w:space="0" w:color="auto"/>
        <w:right w:val="none" w:sz="0" w:space="0" w:color="auto"/>
      </w:divBdr>
    </w:div>
    <w:div w:id="475608535">
      <w:bodyDiv w:val="1"/>
      <w:marLeft w:val="0"/>
      <w:marRight w:val="0"/>
      <w:marTop w:val="0"/>
      <w:marBottom w:val="0"/>
      <w:divBdr>
        <w:top w:val="none" w:sz="0" w:space="0" w:color="auto"/>
        <w:left w:val="none" w:sz="0" w:space="0" w:color="auto"/>
        <w:bottom w:val="none" w:sz="0" w:space="0" w:color="auto"/>
        <w:right w:val="none" w:sz="0" w:space="0" w:color="auto"/>
      </w:divBdr>
    </w:div>
    <w:div w:id="476454160">
      <w:bodyDiv w:val="1"/>
      <w:marLeft w:val="0"/>
      <w:marRight w:val="0"/>
      <w:marTop w:val="0"/>
      <w:marBottom w:val="0"/>
      <w:divBdr>
        <w:top w:val="none" w:sz="0" w:space="0" w:color="auto"/>
        <w:left w:val="none" w:sz="0" w:space="0" w:color="auto"/>
        <w:bottom w:val="none" w:sz="0" w:space="0" w:color="auto"/>
        <w:right w:val="none" w:sz="0" w:space="0" w:color="auto"/>
      </w:divBdr>
    </w:div>
    <w:div w:id="477309918">
      <w:bodyDiv w:val="1"/>
      <w:marLeft w:val="0"/>
      <w:marRight w:val="0"/>
      <w:marTop w:val="0"/>
      <w:marBottom w:val="0"/>
      <w:divBdr>
        <w:top w:val="none" w:sz="0" w:space="0" w:color="auto"/>
        <w:left w:val="none" w:sz="0" w:space="0" w:color="auto"/>
        <w:bottom w:val="none" w:sz="0" w:space="0" w:color="auto"/>
        <w:right w:val="none" w:sz="0" w:space="0" w:color="auto"/>
      </w:divBdr>
    </w:div>
    <w:div w:id="477579692">
      <w:bodyDiv w:val="1"/>
      <w:marLeft w:val="0"/>
      <w:marRight w:val="0"/>
      <w:marTop w:val="0"/>
      <w:marBottom w:val="0"/>
      <w:divBdr>
        <w:top w:val="none" w:sz="0" w:space="0" w:color="auto"/>
        <w:left w:val="none" w:sz="0" w:space="0" w:color="auto"/>
        <w:bottom w:val="none" w:sz="0" w:space="0" w:color="auto"/>
        <w:right w:val="none" w:sz="0" w:space="0" w:color="auto"/>
      </w:divBdr>
    </w:div>
    <w:div w:id="478225573">
      <w:bodyDiv w:val="1"/>
      <w:marLeft w:val="0"/>
      <w:marRight w:val="0"/>
      <w:marTop w:val="0"/>
      <w:marBottom w:val="0"/>
      <w:divBdr>
        <w:top w:val="none" w:sz="0" w:space="0" w:color="auto"/>
        <w:left w:val="none" w:sz="0" w:space="0" w:color="auto"/>
        <w:bottom w:val="none" w:sz="0" w:space="0" w:color="auto"/>
        <w:right w:val="none" w:sz="0" w:space="0" w:color="auto"/>
      </w:divBdr>
    </w:div>
    <w:div w:id="478887688">
      <w:bodyDiv w:val="1"/>
      <w:marLeft w:val="0"/>
      <w:marRight w:val="0"/>
      <w:marTop w:val="0"/>
      <w:marBottom w:val="0"/>
      <w:divBdr>
        <w:top w:val="none" w:sz="0" w:space="0" w:color="auto"/>
        <w:left w:val="none" w:sz="0" w:space="0" w:color="auto"/>
        <w:bottom w:val="none" w:sz="0" w:space="0" w:color="auto"/>
        <w:right w:val="none" w:sz="0" w:space="0" w:color="auto"/>
      </w:divBdr>
    </w:div>
    <w:div w:id="479199563">
      <w:bodyDiv w:val="1"/>
      <w:marLeft w:val="0"/>
      <w:marRight w:val="0"/>
      <w:marTop w:val="0"/>
      <w:marBottom w:val="0"/>
      <w:divBdr>
        <w:top w:val="none" w:sz="0" w:space="0" w:color="auto"/>
        <w:left w:val="none" w:sz="0" w:space="0" w:color="auto"/>
        <w:bottom w:val="none" w:sz="0" w:space="0" w:color="auto"/>
        <w:right w:val="none" w:sz="0" w:space="0" w:color="auto"/>
      </w:divBdr>
    </w:div>
    <w:div w:id="479229585">
      <w:bodyDiv w:val="1"/>
      <w:marLeft w:val="0"/>
      <w:marRight w:val="0"/>
      <w:marTop w:val="0"/>
      <w:marBottom w:val="0"/>
      <w:divBdr>
        <w:top w:val="none" w:sz="0" w:space="0" w:color="auto"/>
        <w:left w:val="none" w:sz="0" w:space="0" w:color="auto"/>
        <w:bottom w:val="none" w:sz="0" w:space="0" w:color="auto"/>
        <w:right w:val="none" w:sz="0" w:space="0" w:color="auto"/>
      </w:divBdr>
    </w:div>
    <w:div w:id="480387849">
      <w:bodyDiv w:val="1"/>
      <w:marLeft w:val="0"/>
      <w:marRight w:val="0"/>
      <w:marTop w:val="0"/>
      <w:marBottom w:val="0"/>
      <w:divBdr>
        <w:top w:val="none" w:sz="0" w:space="0" w:color="auto"/>
        <w:left w:val="none" w:sz="0" w:space="0" w:color="auto"/>
        <w:bottom w:val="none" w:sz="0" w:space="0" w:color="auto"/>
        <w:right w:val="none" w:sz="0" w:space="0" w:color="auto"/>
      </w:divBdr>
    </w:div>
    <w:div w:id="481586711">
      <w:bodyDiv w:val="1"/>
      <w:marLeft w:val="0"/>
      <w:marRight w:val="0"/>
      <w:marTop w:val="0"/>
      <w:marBottom w:val="0"/>
      <w:divBdr>
        <w:top w:val="none" w:sz="0" w:space="0" w:color="auto"/>
        <w:left w:val="none" w:sz="0" w:space="0" w:color="auto"/>
        <w:bottom w:val="none" w:sz="0" w:space="0" w:color="auto"/>
        <w:right w:val="none" w:sz="0" w:space="0" w:color="auto"/>
      </w:divBdr>
    </w:div>
    <w:div w:id="482504089">
      <w:bodyDiv w:val="1"/>
      <w:marLeft w:val="0"/>
      <w:marRight w:val="0"/>
      <w:marTop w:val="0"/>
      <w:marBottom w:val="0"/>
      <w:divBdr>
        <w:top w:val="none" w:sz="0" w:space="0" w:color="auto"/>
        <w:left w:val="none" w:sz="0" w:space="0" w:color="auto"/>
        <w:bottom w:val="none" w:sz="0" w:space="0" w:color="auto"/>
        <w:right w:val="none" w:sz="0" w:space="0" w:color="auto"/>
      </w:divBdr>
    </w:div>
    <w:div w:id="482744320">
      <w:bodyDiv w:val="1"/>
      <w:marLeft w:val="0"/>
      <w:marRight w:val="0"/>
      <w:marTop w:val="0"/>
      <w:marBottom w:val="0"/>
      <w:divBdr>
        <w:top w:val="none" w:sz="0" w:space="0" w:color="auto"/>
        <w:left w:val="none" w:sz="0" w:space="0" w:color="auto"/>
        <w:bottom w:val="none" w:sz="0" w:space="0" w:color="auto"/>
        <w:right w:val="none" w:sz="0" w:space="0" w:color="auto"/>
      </w:divBdr>
    </w:div>
    <w:div w:id="482818738">
      <w:bodyDiv w:val="1"/>
      <w:marLeft w:val="0"/>
      <w:marRight w:val="0"/>
      <w:marTop w:val="0"/>
      <w:marBottom w:val="0"/>
      <w:divBdr>
        <w:top w:val="none" w:sz="0" w:space="0" w:color="auto"/>
        <w:left w:val="none" w:sz="0" w:space="0" w:color="auto"/>
        <w:bottom w:val="none" w:sz="0" w:space="0" w:color="auto"/>
        <w:right w:val="none" w:sz="0" w:space="0" w:color="auto"/>
      </w:divBdr>
    </w:div>
    <w:div w:id="483006894">
      <w:bodyDiv w:val="1"/>
      <w:marLeft w:val="0"/>
      <w:marRight w:val="0"/>
      <w:marTop w:val="0"/>
      <w:marBottom w:val="0"/>
      <w:divBdr>
        <w:top w:val="none" w:sz="0" w:space="0" w:color="auto"/>
        <w:left w:val="none" w:sz="0" w:space="0" w:color="auto"/>
        <w:bottom w:val="none" w:sz="0" w:space="0" w:color="auto"/>
        <w:right w:val="none" w:sz="0" w:space="0" w:color="auto"/>
      </w:divBdr>
    </w:div>
    <w:div w:id="483275274">
      <w:bodyDiv w:val="1"/>
      <w:marLeft w:val="0"/>
      <w:marRight w:val="0"/>
      <w:marTop w:val="0"/>
      <w:marBottom w:val="0"/>
      <w:divBdr>
        <w:top w:val="none" w:sz="0" w:space="0" w:color="auto"/>
        <w:left w:val="none" w:sz="0" w:space="0" w:color="auto"/>
        <w:bottom w:val="none" w:sz="0" w:space="0" w:color="auto"/>
        <w:right w:val="none" w:sz="0" w:space="0" w:color="auto"/>
      </w:divBdr>
    </w:div>
    <w:div w:id="484859511">
      <w:bodyDiv w:val="1"/>
      <w:marLeft w:val="0"/>
      <w:marRight w:val="0"/>
      <w:marTop w:val="0"/>
      <w:marBottom w:val="0"/>
      <w:divBdr>
        <w:top w:val="none" w:sz="0" w:space="0" w:color="auto"/>
        <w:left w:val="none" w:sz="0" w:space="0" w:color="auto"/>
        <w:bottom w:val="none" w:sz="0" w:space="0" w:color="auto"/>
        <w:right w:val="none" w:sz="0" w:space="0" w:color="auto"/>
      </w:divBdr>
    </w:div>
    <w:div w:id="485630433">
      <w:bodyDiv w:val="1"/>
      <w:marLeft w:val="0"/>
      <w:marRight w:val="0"/>
      <w:marTop w:val="0"/>
      <w:marBottom w:val="0"/>
      <w:divBdr>
        <w:top w:val="none" w:sz="0" w:space="0" w:color="auto"/>
        <w:left w:val="none" w:sz="0" w:space="0" w:color="auto"/>
        <w:bottom w:val="none" w:sz="0" w:space="0" w:color="auto"/>
        <w:right w:val="none" w:sz="0" w:space="0" w:color="auto"/>
      </w:divBdr>
    </w:div>
    <w:div w:id="486291362">
      <w:bodyDiv w:val="1"/>
      <w:marLeft w:val="0"/>
      <w:marRight w:val="0"/>
      <w:marTop w:val="0"/>
      <w:marBottom w:val="0"/>
      <w:divBdr>
        <w:top w:val="none" w:sz="0" w:space="0" w:color="auto"/>
        <w:left w:val="none" w:sz="0" w:space="0" w:color="auto"/>
        <w:bottom w:val="none" w:sz="0" w:space="0" w:color="auto"/>
        <w:right w:val="none" w:sz="0" w:space="0" w:color="auto"/>
      </w:divBdr>
    </w:div>
    <w:div w:id="488593282">
      <w:bodyDiv w:val="1"/>
      <w:marLeft w:val="0"/>
      <w:marRight w:val="0"/>
      <w:marTop w:val="0"/>
      <w:marBottom w:val="0"/>
      <w:divBdr>
        <w:top w:val="none" w:sz="0" w:space="0" w:color="auto"/>
        <w:left w:val="none" w:sz="0" w:space="0" w:color="auto"/>
        <w:bottom w:val="none" w:sz="0" w:space="0" w:color="auto"/>
        <w:right w:val="none" w:sz="0" w:space="0" w:color="auto"/>
      </w:divBdr>
    </w:div>
    <w:div w:id="490103963">
      <w:bodyDiv w:val="1"/>
      <w:marLeft w:val="0"/>
      <w:marRight w:val="0"/>
      <w:marTop w:val="0"/>
      <w:marBottom w:val="0"/>
      <w:divBdr>
        <w:top w:val="none" w:sz="0" w:space="0" w:color="auto"/>
        <w:left w:val="none" w:sz="0" w:space="0" w:color="auto"/>
        <w:bottom w:val="none" w:sz="0" w:space="0" w:color="auto"/>
        <w:right w:val="none" w:sz="0" w:space="0" w:color="auto"/>
      </w:divBdr>
    </w:div>
    <w:div w:id="490215091">
      <w:bodyDiv w:val="1"/>
      <w:marLeft w:val="0"/>
      <w:marRight w:val="0"/>
      <w:marTop w:val="0"/>
      <w:marBottom w:val="0"/>
      <w:divBdr>
        <w:top w:val="none" w:sz="0" w:space="0" w:color="auto"/>
        <w:left w:val="none" w:sz="0" w:space="0" w:color="auto"/>
        <w:bottom w:val="none" w:sz="0" w:space="0" w:color="auto"/>
        <w:right w:val="none" w:sz="0" w:space="0" w:color="auto"/>
      </w:divBdr>
    </w:div>
    <w:div w:id="491028275">
      <w:bodyDiv w:val="1"/>
      <w:marLeft w:val="0"/>
      <w:marRight w:val="0"/>
      <w:marTop w:val="0"/>
      <w:marBottom w:val="0"/>
      <w:divBdr>
        <w:top w:val="none" w:sz="0" w:space="0" w:color="auto"/>
        <w:left w:val="none" w:sz="0" w:space="0" w:color="auto"/>
        <w:bottom w:val="none" w:sz="0" w:space="0" w:color="auto"/>
        <w:right w:val="none" w:sz="0" w:space="0" w:color="auto"/>
      </w:divBdr>
    </w:div>
    <w:div w:id="493109638">
      <w:bodyDiv w:val="1"/>
      <w:marLeft w:val="0"/>
      <w:marRight w:val="0"/>
      <w:marTop w:val="0"/>
      <w:marBottom w:val="0"/>
      <w:divBdr>
        <w:top w:val="none" w:sz="0" w:space="0" w:color="auto"/>
        <w:left w:val="none" w:sz="0" w:space="0" w:color="auto"/>
        <w:bottom w:val="none" w:sz="0" w:space="0" w:color="auto"/>
        <w:right w:val="none" w:sz="0" w:space="0" w:color="auto"/>
      </w:divBdr>
    </w:div>
    <w:div w:id="495190186">
      <w:bodyDiv w:val="1"/>
      <w:marLeft w:val="0"/>
      <w:marRight w:val="0"/>
      <w:marTop w:val="0"/>
      <w:marBottom w:val="0"/>
      <w:divBdr>
        <w:top w:val="none" w:sz="0" w:space="0" w:color="auto"/>
        <w:left w:val="none" w:sz="0" w:space="0" w:color="auto"/>
        <w:bottom w:val="none" w:sz="0" w:space="0" w:color="auto"/>
        <w:right w:val="none" w:sz="0" w:space="0" w:color="auto"/>
      </w:divBdr>
    </w:div>
    <w:div w:id="496002047">
      <w:bodyDiv w:val="1"/>
      <w:marLeft w:val="0"/>
      <w:marRight w:val="0"/>
      <w:marTop w:val="0"/>
      <w:marBottom w:val="0"/>
      <w:divBdr>
        <w:top w:val="none" w:sz="0" w:space="0" w:color="auto"/>
        <w:left w:val="none" w:sz="0" w:space="0" w:color="auto"/>
        <w:bottom w:val="none" w:sz="0" w:space="0" w:color="auto"/>
        <w:right w:val="none" w:sz="0" w:space="0" w:color="auto"/>
      </w:divBdr>
    </w:div>
    <w:div w:id="496848539">
      <w:bodyDiv w:val="1"/>
      <w:marLeft w:val="0"/>
      <w:marRight w:val="0"/>
      <w:marTop w:val="0"/>
      <w:marBottom w:val="0"/>
      <w:divBdr>
        <w:top w:val="none" w:sz="0" w:space="0" w:color="auto"/>
        <w:left w:val="none" w:sz="0" w:space="0" w:color="auto"/>
        <w:bottom w:val="none" w:sz="0" w:space="0" w:color="auto"/>
        <w:right w:val="none" w:sz="0" w:space="0" w:color="auto"/>
      </w:divBdr>
    </w:div>
    <w:div w:id="496963965">
      <w:bodyDiv w:val="1"/>
      <w:marLeft w:val="0"/>
      <w:marRight w:val="0"/>
      <w:marTop w:val="0"/>
      <w:marBottom w:val="0"/>
      <w:divBdr>
        <w:top w:val="none" w:sz="0" w:space="0" w:color="auto"/>
        <w:left w:val="none" w:sz="0" w:space="0" w:color="auto"/>
        <w:bottom w:val="none" w:sz="0" w:space="0" w:color="auto"/>
        <w:right w:val="none" w:sz="0" w:space="0" w:color="auto"/>
      </w:divBdr>
    </w:div>
    <w:div w:id="497429284">
      <w:bodyDiv w:val="1"/>
      <w:marLeft w:val="0"/>
      <w:marRight w:val="0"/>
      <w:marTop w:val="0"/>
      <w:marBottom w:val="0"/>
      <w:divBdr>
        <w:top w:val="none" w:sz="0" w:space="0" w:color="auto"/>
        <w:left w:val="none" w:sz="0" w:space="0" w:color="auto"/>
        <w:bottom w:val="none" w:sz="0" w:space="0" w:color="auto"/>
        <w:right w:val="none" w:sz="0" w:space="0" w:color="auto"/>
      </w:divBdr>
    </w:div>
    <w:div w:id="498540920">
      <w:bodyDiv w:val="1"/>
      <w:marLeft w:val="0"/>
      <w:marRight w:val="0"/>
      <w:marTop w:val="0"/>
      <w:marBottom w:val="0"/>
      <w:divBdr>
        <w:top w:val="none" w:sz="0" w:space="0" w:color="auto"/>
        <w:left w:val="none" w:sz="0" w:space="0" w:color="auto"/>
        <w:bottom w:val="none" w:sz="0" w:space="0" w:color="auto"/>
        <w:right w:val="none" w:sz="0" w:space="0" w:color="auto"/>
      </w:divBdr>
    </w:div>
    <w:div w:id="498618245">
      <w:bodyDiv w:val="1"/>
      <w:marLeft w:val="0"/>
      <w:marRight w:val="0"/>
      <w:marTop w:val="0"/>
      <w:marBottom w:val="0"/>
      <w:divBdr>
        <w:top w:val="none" w:sz="0" w:space="0" w:color="auto"/>
        <w:left w:val="none" w:sz="0" w:space="0" w:color="auto"/>
        <w:bottom w:val="none" w:sz="0" w:space="0" w:color="auto"/>
        <w:right w:val="none" w:sz="0" w:space="0" w:color="auto"/>
      </w:divBdr>
    </w:div>
    <w:div w:id="499462997">
      <w:bodyDiv w:val="1"/>
      <w:marLeft w:val="0"/>
      <w:marRight w:val="0"/>
      <w:marTop w:val="0"/>
      <w:marBottom w:val="0"/>
      <w:divBdr>
        <w:top w:val="none" w:sz="0" w:space="0" w:color="auto"/>
        <w:left w:val="none" w:sz="0" w:space="0" w:color="auto"/>
        <w:bottom w:val="none" w:sz="0" w:space="0" w:color="auto"/>
        <w:right w:val="none" w:sz="0" w:space="0" w:color="auto"/>
      </w:divBdr>
    </w:div>
    <w:div w:id="499740211">
      <w:bodyDiv w:val="1"/>
      <w:marLeft w:val="0"/>
      <w:marRight w:val="0"/>
      <w:marTop w:val="0"/>
      <w:marBottom w:val="0"/>
      <w:divBdr>
        <w:top w:val="none" w:sz="0" w:space="0" w:color="auto"/>
        <w:left w:val="none" w:sz="0" w:space="0" w:color="auto"/>
        <w:bottom w:val="none" w:sz="0" w:space="0" w:color="auto"/>
        <w:right w:val="none" w:sz="0" w:space="0" w:color="auto"/>
      </w:divBdr>
    </w:div>
    <w:div w:id="500659098">
      <w:bodyDiv w:val="1"/>
      <w:marLeft w:val="0"/>
      <w:marRight w:val="0"/>
      <w:marTop w:val="0"/>
      <w:marBottom w:val="0"/>
      <w:divBdr>
        <w:top w:val="none" w:sz="0" w:space="0" w:color="auto"/>
        <w:left w:val="none" w:sz="0" w:space="0" w:color="auto"/>
        <w:bottom w:val="none" w:sz="0" w:space="0" w:color="auto"/>
        <w:right w:val="none" w:sz="0" w:space="0" w:color="auto"/>
      </w:divBdr>
    </w:div>
    <w:div w:id="500702368">
      <w:bodyDiv w:val="1"/>
      <w:marLeft w:val="0"/>
      <w:marRight w:val="0"/>
      <w:marTop w:val="0"/>
      <w:marBottom w:val="0"/>
      <w:divBdr>
        <w:top w:val="none" w:sz="0" w:space="0" w:color="auto"/>
        <w:left w:val="none" w:sz="0" w:space="0" w:color="auto"/>
        <w:bottom w:val="none" w:sz="0" w:space="0" w:color="auto"/>
        <w:right w:val="none" w:sz="0" w:space="0" w:color="auto"/>
      </w:divBdr>
    </w:div>
    <w:div w:id="501088869">
      <w:bodyDiv w:val="1"/>
      <w:marLeft w:val="0"/>
      <w:marRight w:val="0"/>
      <w:marTop w:val="0"/>
      <w:marBottom w:val="0"/>
      <w:divBdr>
        <w:top w:val="none" w:sz="0" w:space="0" w:color="auto"/>
        <w:left w:val="none" w:sz="0" w:space="0" w:color="auto"/>
        <w:bottom w:val="none" w:sz="0" w:space="0" w:color="auto"/>
        <w:right w:val="none" w:sz="0" w:space="0" w:color="auto"/>
      </w:divBdr>
    </w:div>
    <w:div w:id="501285711">
      <w:bodyDiv w:val="1"/>
      <w:marLeft w:val="0"/>
      <w:marRight w:val="0"/>
      <w:marTop w:val="0"/>
      <w:marBottom w:val="0"/>
      <w:divBdr>
        <w:top w:val="none" w:sz="0" w:space="0" w:color="auto"/>
        <w:left w:val="none" w:sz="0" w:space="0" w:color="auto"/>
        <w:bottom w:val="none" w:sz="0" w:space="0" w:color="auto"/>
        <w:right w:val="none" w:sz="0" w:space="0" w:color="auto"/>
      </w:divBdr>
    </w:div>
    <w:div w:id="501704462">
      <w:bodyDiv w:val="1"/>
      <w:marLeft w:val="0"/>
      <w:marRight w:val="0"/>
      <w:marTop w:val="0"/>
      <w:marBottom w:val="0"/>
      <w:divBdr>
        <w:top w:val="none" w:sz="0" w:space="0" w:color="auto"/>
        <w:left w:val="none" w:sz="0" w:space="0" w:color="auto"/>
        <w:bottom w:val="none" w:sz="0" w:space="0" w:color="auto"/>
        <w:right w:val="none" w:sz="0" w:space="0" w:color="auto"/>
      </w:divBdr>
    </w:div>
    <w:div w:id="502627397">
      <w:bodyDiv w:val="1"/>
      <w:marLeft w:val="0"/>
      <w:marRight w:val="0"/>
      <w:marTop w:val="0"/>
      <w:marBottom w:val="0"/>
      <w:divBdr>
        <w:top w:val="none" w:sz="0" w:space="0" w:color="auto"/>
        <w:left w:val="none" w:sz="0" w:space="0" w:color="auto"/>
        <w:bottom w:val="none" w:sz="0" w:space="0" w:color="auto"/>
        <w:right w:val="none" w:sz="0" w:space="0" w:color="auto"/>
      </w:divBdr>
    </w:div>
    <w:div w:id="503276947">
      <w:bodyDiv w:val="1"/>
      <w:marLeft w:val="0"/>
      <w:marRight w:val="0"/>
      <w:marTop w:val="0"/>
      <w:marBottom w:val="0"/>
      <w:divBdr>
        <w:top w:val="none" w:sz="0" w:space="0" w:color="auto"/>
        <w:left w:val="none" w:sz="0" w:space="0" w:color="auto"/>
        <w:bottom w:val="none" w:sz="0" w:space="0" w:color="auto"/>
        <w:right w:val="none" w:sz="0" w:space="0" w:color="auto"/>
      </w:divBdr>
    </w:div>
    <w:div w:id="503402285">
      <w:bodyDiv w:val="1"/>
      <w:marLeft w:val="0"/>
      <w:marRight w:val="0"/>
      <w:marTop w:val="0"/>
      <w:marBottom w:val="0"/>
      <w:divBdr>
        <w:top w:val="none" w:sz="0" w:space="0" w:color="auto"/>
        <w:left w:val="none" w:sz="0" w:space="0" w:color="auto"/>
        <w:bottom w:val="none" w:sz="0" w:space="0" w:color="auto"/>
        <w:right w:val="none" w:sz="0" w:space="0" w:color="auto"/>
      </w:divBdr>
    </w:div>
    <w:div w:id="503938404">
      <w:bodyDiv w:val="1"/>
      <w:marLeft w:val="0"/>
      <w:marRight w:val="0"/>
      <w:marTop w:val="0"/>
      <w:marBottom w:val="0"/>
      <w:divBdr>
        <w:top w:val="none" w:sz="0" w:space="0" w:color="auto"/>
        <w:left w:val="none" w:sz="0" w:space="0" w:color="auto"/>
        <w:bottom w:val="none" w:sz="0" w:space="0" w:color="auto"/>
        <w:right w:val="none" w:sz="0" w:space="0" w:color="auto"/>
      </w:divBdr>
    </w:div>
    <w:div w:id="503980813">
      <w:bodyDiv w:val="1"/>
      <w:marLeft w:val="0"/>
      <w:marRight w:val="0"/>
      <w:marTop w:val="0"/>
      <w:marBottom w:val="0"/>
      <w:divBdr>
        <w:top w:val="none" w:sz="0" w:space="0" w:color="auto"/>
        <w:left w:val="none" w:sz="0" w:space="0" w:color="auto"/>
        <w:bottom w:val="none" w:sz="0" w:space="0" w:color="auto"/>
        <w:right w:val="none" w:sz="0" w:space="0" w:color="auto"/>
      </w:divBdr>
    </w:div>
    <w:div w:id="504174734">
      <w:bodyDiv w:val="1"/>
      <w:marLeft w:val="0"/>
      <w:marRight w:val="0"/>
      <w:marTop w:val="0"/>
      <w:marBottom w:val="0"/>
      <w:divBdr>
        <w:top w:val="none" w:sz="0" w:space="0" w:color="auto"/>
        <w:left w:val="none" w:sz="0" w:space="0" w:color="auto"/>
        <w:bottom w:val="none" w:sz="0" w:space="0" w:color="auto"/>
        <w:right w:val="none" w:sz="0" w:space="0" w:color="auto"/>
      </w:divBdr>
    </w:div>
    <w:div w:id="504394615">
      <w:bodyDiv w:val="1"/>
      <w:marLeft w:val="0"/>
      <w:marRight w:val="0"/>
      <w:marTop w:val="0"/>
      <w:marBottom w:val="0"/>
      <w:divBdr>
        <w:top w:val="none" w:sz="0" w:space="0" w:color="auto"/>
        <w:left w:val="none" w:sz="0" w:space="0" w:color="auto"/>
        <w:bottom w:val="none" w:sz="0" w:space="0" w:color="auto"/>
        <w:right w:val="none" w:sz="0" w:space="0" w:color="auto"/>
      </w:divBdr>
    </w:div>
    <w:div w:id="504907529">
      <w:bodyDiv w:val="1"/>
      <w:marLeft w:val="0"/>
      <w:marRight w:val="0"/>
      <w:marTop w:val="0"/>
      <w:marBottom w:val="0"/>
      <w:divBdr>
        <w:top w:val="none" w:sz="0" w:space="0" w:color="auto"/>
        <w:left w:val="none" w:sz="0" w:space="0" w:color="auto"/>
        <w:bottom w:val="none" w:sz="0" w:space="0" w:color="auto"/>
        <w:right w:val="none" w:sz="0" w:space="0" w:color="auto"/>
      </w:divBdr>
    </w:div>
    <w:div w:id="505511643">
      <w:bodyDiv w:val="1"/>
      <w:marLeft w:val="0"/>
      <w:marRight w:val="0"/>
      <w:marTop w:val="0"/>
      <w:marBottom w:val="0"/>
      <w:divBdr>
        <w:top w:val="none" w:sz="0" w:space="0" w:color="auto"/>
        <w:left w:val="none" w:sz="0" w:space="0" w:color="auto"/>
        <w:bottom w:val="none" w:sz="0" w:space="0" w:color="auto"/>
        <w:right w:val="none" w:sz="0" w:space="0" w:color="auto"/>
      </w:divBdr>
    </w:div>
    <w:div w:id="506794270">
      <w:bodyDiv w:val="1"/>
      <w:marLeft w:val="0"/>
      <w:marRight w:val="0"/>
      <w:marTop w:val="0"/>
      <w:marBottom w:val="0"/>
      <w:divBdr>
        <w:top w:val="none" w:sz="0" w:space="0" w:color="auto"/>
        <w:left w:val="none" w:sz="0" w:space="0" w:color="auto"/>
        <w:bottom w:val="none" w:sz="0" w:space="0" w:color="auto"/>
        <w:right w:val="none" w:sz="0" w:space="0" w:color="auto"/>
      </w:divBdr>
    </w:div>
    <w:div w:id="506872579">
      <w:bodyDiv w:val="1"/>
      <w:marLeft w:val="0"/>
      <w:marRight w:val="0"/>
      <w:marTop w:val="0"/>
      <w:marBottom w:val="0"/>
      <w:divBdr>
        <w:top w:val="none" w:sz="0" w:space="0" w:color="auto"/>
        <w:left w:val="none" w:sz="0" w:space="0" w:color="auto"/>
        <w:bottom w:val="none" w:sz="0" w:space="0" w:color="auto"/>
        <w:right w:val="none" w:sz="0" w:space="0" w:color="auto"/>
      </w:divBdr>
    </w:div>
    <w:div w:id="507256623">
      <w:bodyDiv w:val="1"/>
      <w:marLeft w:val="0"/>
      <w:marRight w:val="0"/>
      <w:marTop w:val="0"/>
      <w:marBottom w:val="0"/>
      <w:divBdr>
        <w:top w:val="none" w:sz="0" w:space="0" w:color="auto"/>
        <w:left w:val="none" w:sz="0" w:space="0" w:color="auto"/>
        <w:bottom w:val="none" w:sz="0" w:space="0" w:color="auto"/>
        <w:right w:val="none" w:sz="0" w:space="0" w:color="auto"/>
      </w:divBdr>
    </w:div>
    <w:div w:id="507529134">
      <w:bodyDiv w:val="1"/>
      <w:marLeft w:val="0"/>
      <w:marRight w:val="0"/>
      <w:marTop w:val="0"/>
      <w:marBottom w:val="0"/>
      <w:divBdr>
        <w:top w:val="none" w:sz="0" w:space="0" w:color="auto"/>
        <w:left w:val="none" w:sz="0" w:space="0" w:color="auto"/>
        <w:bottom w:val="none" w:sz="0" w:space="0" w:color="auto"/>
        <w:right w:val="none" w:sz="0" w:space="0" w:color="auto"/>
      </w:divBdr>
    </w:div>
    <w:div w:id="508180985">
      <w:bodyDiv w:val="1"/>
      <w:marLeft w:val="0"/>
      <w:marRight w:val="0"/>
      <w:marTop w:val="0"/>
      <w:marBottom w:val="0"/>
      <w:divBdr>
        <w:top w:val="none" w:sz="0" w:space="0" w:color="auto"/>
        <w:left w:val="none" w:sz="0" w:space="0" w:color="auto"/>
        <w:bottom w:val="none" w:sz="0" w:space="0" w:color="auto"/>
        <w:right w:val="none" w:sz="0" w:space="0" w:color="auto"/>
      </w:divBdr>
    </w:div>
    <w:div w:id="508519345">
      <w:bodyDiv w:val="1"/>
      <w:marLeft w:val="0"/>
      <w:marRight w:val="0"/>
      <w:marTop w:val="0"/>
      <w:marBottom w:val="0"/>
      <w:divBdr>
        <w:top w:val="none" w:sz="0" w:space="0" w:color="auto"/>
        <w:left w:val="none" w:sz="0" w:space="0" w:color="auto"/>
        <w:bottom w:val="none" w:sz="0" w:space="0" w:color="auto"/>
        <w:right w:val="none" w:sz="0" w:space="0" w:color="auto"/>
      </w:divBdr>
    </w:div>
    <w:div w:id="508905878">
      <w:bodyDiv w:val="1"/>
      <w:marLeft w:val="0"/>
      <w:marRight w:val="0"/>
      <w:marTop w:val="0"/>
      <w:marBottom w:val="0"/>
      <w:divBdr>
        <w:top w:val="none" w:sz="0" w:space="0" w:color="auto"/>
        <w:left w:val="none" w:sz="0" w:space="0" w:color="auto"/>
        <w:bottom w:val="none" w:sz="0" w:space="0" w:color="auto"/>
        <w:right w:val="none" w:sz="0" w:space="0" w:color="auto"/>
      </w:divBdr>
    </w:div>
    <w:div w:id="510144028">
      <w:bodyDiv w:val="1"/>
      <w:marLeft w:val="0"/>
      <w:marRight w:val="0"/>
      <w:marTop w:val="0"/>
      <w:marBottom w:val="0"/>
      <w:divBdr>
        <w:top w:val="none" w:sz="0" w:space="0" w:color="auto"/>
        <w:left w:val="none" w:sz="0" w:space="0" w:color="auto"/>
        <w:bottom w:val="none" w:sz="0" w:space="0" w:color="auto"/>
        <w:right w:val="none" w:sz="0" w:space="0" w:color="auto"/>
      </w:divBdr>
    </w:div>
    <w:div w:id="510460382">
      <w:bodyDiv w:val="1"/>
      <w:marLeft w:val="0"/>
      <w:marRight w:val="0"/>
      <w:marTop w:val="0"/>
      <w:marBottom w:val="0"/>
      <w:divBdr>
        <w:top w:val="none" w:sz="0" w:space="0" w:color="auto"/>
        <w:left w:val="none" w:sz="0" w:space="0" w:color="auto"/>
        <w:bottom w:val="none" w:sz="0" w:space="0" w:color="auto"/>
        <w:right w:val="none" w:sz="0" w:space="0" w:color="auto"/>
      </w:divBdr>
    </w:div>
    <w:div w:id="510486513">
      <w:bodyDiv w:val="1"/>
      <w:marLeft w:val="0"/>
      <w:marRight w:val="0"/>
      <w:marTop w:val="0"/>
      <w:marBottom w:val="0"/>
      <w:divBdr>
        <w:top w:val="none" w:sz="0" w:space="0" w:color="auto"/>
        <w:left w:val="none" w:sz="0" w:space="0" w:color="auto"/>
        <w:bottom w:val="none" w:sz="0" w:space="0" w:color="auto"/>
        <w:right w:val="none" w:sz="0" w:space="0" w:color="auto"/>
      </w:divBdr>
    </w:div>
    <w:div w:id="510797642">
      <w:bodyDiv w:val="1"/>
      <w:marLeft w:val="0"/>
      <w:marRight w:val="0"/>
      <w:marTop w:val="0"/>
      <w:marBottom w:val="0"/>
      <w:divBdr>
        <w:top w:val="none" w:sz="0" w:space="0" w:color="auto"/>
        <w:left w:val="none" w:sz="0" w:space="0" w:color="auto"/>
        <w:bottom w:val="none" w:sz="0" w:space="0" w:color="auto"/>
        <w:right w:val="none" w:sz="0" w:space="0" w:color="auto"/>
      </w:divBdr>
    </w:div>
    <w:div w:id="510950129">
      <w:bodyDiv w:val="1"/>
      <w:marLeft w:val="0"/>
      <w:marRight w:val="0"/>
      <w:marTop w:val="0"/>
      <w:marBottom w:val="0"/>
      <w:divBdr>
        <w:top w:val="none" w:sz="0" w:space="0" w:color="auto"/>
        <w:left w:val="none" w:sz="0" w:space="0" w:color="auto"/>
        <w:bottom w:val="none" w:sz="0" w:space="0" w:color="auto"/>
        <w:right w:val="none" w:sz="0" w:space="0" w:color="auto"/>
      </w:divBdr>
    </w:div>
    <w:div w:id="510998308">
      <w:bodyDiv w:val="1"/>
      <w:marLeft w:val="0"/>
      <w:marRight w:val="0"/>
      <w:marTop w:val="0"/>
      <w:marBottom w:val="0"/>
      <w:divBdr>
        <w:top w:val="none" w:sz="0" w:space="0" w:color="auto"/>
        <w:left w:val="none" w:sz="0" w:space="0" w:color="auto"/>
        <w:bottom w:val="none" w:sz="0" w:space="0" w:color="auto"/>
        <w:right w:val="none" w:sz="0" w:space="0" w:color="auto"/>
      </w:divBdr>
    </w:div>
    <w:div w:id="512182648">
      <w:bodyDiv w:val="1"/>
      <w:marLeft w:val="0"/>
      <w:marRight w:val="0"/>
      <w:marTop w:val="0"/>
      <w:marBottom w:val="0"/>
      <w:divBdr>
        <w:top w:val="none" w:sz="0" w:space="0" w:color="auto"/>
        <w:left w:val="none" w:sz="0" w:space="0" w:color="auto"/>
        <w:bottom w:val="none" w:sz="0" w:space="0" w:color="auto"/>
        <w:right w:val="none" w:sz="0" w:space="0" w:color="auto"/>
      </w:divBdr>
    </w:div>
    <w:div w:id="512301705">
      <w:bodyDiv w:val="1"/>
      <w:marLeft w:val="0"/>
      <w:marRight w:val="0"/>
      <w:marTop w:val="0"/>
      <w:marBottom w:val="0"/>
      <w:divBdr>
        <w:top w:val="none" w:sz="0" w:space="0" w:color="auto"/>
        <w:left w:val="none" w:sz="0" w:space="0" w:color="auto"/>
        <w:bottom w:val="none" w:sz="0" w:space="0" w:color="auto"/>
        <w:right w:val="none" w:sz="0" w:space="0" w:color="auto"/>
      </w:divBdr>
    </w:div>
    <w:div w:id="515314130">
      <w:bodyDiv w:val="1"/>
      <w:marLeft w:val="0"/>
      <w:marRight w:val="0"/>
      <w:marTop w:val="0"/>
      <w:marBottom w:val="0"/>
      <w:divBdr>
        <w:top w:val="none" w:sz="0" w:space="0" w:color="auto"/>
        <w:left w:val="none" w:sz="0" w:space="0" w:color="auto"/>
        <w:bottom w:val="none" w:sz="0" w:space="0" w:color="auto"/>
        <w:right w:val="none" w:sz="0" w:space="0" w:color="auto"/>
      </w:divBdr>
    </w:div>
    <w:div w:id="515583062">
      <w:bodyDiv w:val="1"/>
      <w:marLeft w:val="0"/>
      <w:marRight w:val="0"/>
      <w:marTop w:val="0"/>
      <w:marBottom w:val="0"/>
      <w:divBdr>
        <w:top w:val="none" w:sz="0" w:space="0" w:color="auto"/>
        <w:left w:val="none" w:sz="0" w:space="0" w:color="auto"/>
        <w:bottom w:val="none" w:sz="0" w:space="0" w:color="auto"/>
        <w:right w:val="none" w:sz="0" w:space="0" w:color="auto"/>
      </w:divBdr>
    </w:div>
    <w:div w:id="517237391">
      <w:bodyDiv w:val="1"/>
      <w:marLeft w:val="0"/>
      <w:marRight w:val="0"/>
      <w:marTop w:val="0"/>
      <w:marBottom w:val="0"/>
      <w:divBdr>
        <w:top w:val="none" w:sz="0" w:space="0" w:color="auto"/>
        <w:left w:val="none" w:sz="0" w:space="0" w:color="auto"/>
        <w:bottom w:val="none" w:sz="0" w:space="0" w:color="auto"/>
        <w:right w:val="none" w:sz="0" w:space="0" w:color="auto"/>
      </w:divBdr>
    </w:div>
    <w:div w:id="518204463">
      <w:bodyDiv w:val="1"/>
      <w:marLeft w:val="0"/>
      <w:marRight w:val="0"/>
      <w:marTop w:val="0"/>
      <w:marBottom w:val="0"/>
      <w:divBdr>
        <w:top w:val="none" w:sz="0" w:space="0" w:color="auto"/>
        <w:left w:val="none" w:sz="0" w:space="0" w:color="auto"/>
        <w:bottom w:val="none" w:sz="0" w:space="0" w:color="auto"/>
        <w:right w:val="none" w:sz="0" w:space="0" w:color="auto"/>
      </w:divBdr>
    </w:div>
    <w:div w:id="521013422">
      <w:bodyDiv w:val="1"/>
      <w:marLeft w:val="0"/>
      <w:marRight w:val="0"/>
      <w:marTop w:val="0"/>
      <w:marBottom w:val="0"/>
      <w:divBdr>
        <w:top w:val="none" w:sz="0" w:space="0" w:color="auto"/>
        <w:left w:val="none" w:sz="0" w:space="0" w:color="auto"/>
        <w:bottom w:val="none" w:sz="0" w:space="0" w:color="auto"/>
        <w:right w:val="none" w:sz="0" w:space="0" w:color="auto"/>
      </w:divBdr>
    </w:div>
    <w:div w:id="521626109">
      <w:bodyDiv w:val="1"/>
      <w:marLeft w:val="0"/>
      <w:marRight w:val="0"/>
      <w:marTop w:val="0"/>
      <w:marBottom w:val="0"/>
      <w:divBdr>
        <w:top w:val="none" w:sz="0" w:space="0" w:color="auto"/>
        <w:left w:val="none" w:sz="0" w:space="0" w:color="auto"/>
        <w:bottom w:val="none" w:sz="0" w:space="0" w:color="auto"/>
        <w:right w:val="none" w:sz="0" w:space="0" w:color="auto"/>
      </w:divBdr>
    </w:div>
    <w:div w:id="522060273">
      <w:bodyDiv w:val="1"/>
      <w:marLeft w:val="0"/>
      <w:marRight w:val="0"/>
      <w:marTop w:val="0"/>
      <w:marBottom w:val="0"/>
      <w:divBdr>
        <w:top w:val="none" w:sz="0" w:space="0" w:color="auto"/>
        <w:left w:val="none" w:sz="0" w:space="0" w:color="auto"/>
        <w:bottom w:val="none" w:sz="0" w:space="0" w:color="auto"/>
        <w:right w:val="none" w:sz="0" w:space="0" w:color="auto"/>
      </w:divBdr>
    </w:div>
    <w:div w:id="523447294">
      <w:bodyDiv w:val="1"/>
      <w:marLeft w:val="0"/>
      <w:marRight w:val="0"/>
      <w:marTop w:val="0"/>
      <w:marBottom w:val="0"/>
      <w:divBdr>
        <w:top w:val="none" w:sz="0" w:space="0" w:color="auto"/>
        <w:left w:val="none" w:sz="0" w:space="0" w:color="auto"/>
        <w:bottom w:val="none" w:sz="0" w:space="0" w:color="auto"/>
        <w:right w:val="none" w:sz="0" w:space="0" w:color="auto"/>
      </w:divBdr>
    </w:div>
    <w:div w:id="523978853">
      <w:bodyDiv w:val="1"/>
      <w:marLeft w:val="0"/>
      <w:marRight w:val="0"/>
      <w:marTop w:val="0"/>
      <w:marBottom w:val="0"/>
      <w:divBdr>
        <w:top w:val="none" w:sz="0" w:space="0" w:color="auto"/>
        <w:left w:val="none" w:sz="0" w:space="0" w:color="auto"/>
        <w:bottom w:val="none" w:sz="0" w:space="0" w:color="auto"/>
        <w:right w:val="none" w:sz="0" w:space="0" w:color="auto"/>
      </w:divBdr>
    </w:div>
    <w:div w:id="524639563">
      <w:bodyDiv w:val="1"/>
      <w:marLeft w:val="0"/>
      <w:marRight w:val="0"/>
      <w:marTop w:val="0"/>
      <w:marBottom w:val="0"/>
      <w:divBdr>
        <w:top w:val="none" w:sz="0" w:space="0" w:color="auto"/>
        <w:left w:val="none" w:sz="0" w:space="0" w:color="auto"/>
        <w:bottom w:val="none" w:sz="0" w:space="0" w:color="auto"/>
        <w:right w:val="none" w:sz="0" w:space="0" w:color="auto"/>
      </w:divBdr>
    </w:div>
    <w:div w:id="524828573">
      <w:bodyDiv w:val="1"/>
      <w:marLeft w:val="0"/>
      <w:marRight w:val="0"/>
      <w:marTop w:val="0"/>
      <w:marBottom w:val="0"/>
      <w:divBdr>
        <w:top w:val="none" w:sz="0" w:space="0" w:color="auto"/>
        <w:left w:val="none" w:sz="0" w:space="0" w:color="auto"/>
        <w:bottom w:val="none" w:sz="0" w:space="0" w:color="auto"/>
        <w:right w:val="none" w:sz="0" w:space="0" w:color="auto"/>
      </w:divBdr>
    </w:div>
    <w:div w:id="524904402">
      <w:bodyDiv w:val="1"/>
      <w:marLeft w:val="0"/>
      <w:marRight w:val="0"/>
      <w:marTop w:val="0"/>
      <w:marBottom w:val="0"/>
      <w:divBdr>
        <w:top w:val="none" w:sz="0" w:space="0" w:color="auto"/>
        <w:left w:val="none" w:sz="0" w:space="0" w:color="auto"/>
        <w:bottom w:val="none" w:sz="0" w:space="0" w:color="auto"/>
        <w:right w:val="none" w:sz="0" w:space="0" w:color="auto"/>
      </w:divBdr>
    </w:div>
    <w:div w:id="526522232">
      <w:bodyDiv w:val="1"/>
      <w:marLeft w:val="0"/>
      <w:marRight w:val="0"/>
      <w:marTop w:val="0"/>
      <w:marBottom w:val="0"/>
      <w:divBdr>
        <w:top w:val="none" w:sz="0" w:space="0" w:color="auto"/>
        <w:left w:val="none" w:sz="0" w:space="0" w:color="auto"/>
        <w:bottom w:val="none" w:sz="0" w:space="0" w:color="auto"/>
        <w:right w:val="none" w:sz="0" w:space="0" w:color="auto"/>
      </w:divBdr>
    </w:div>
    <w:div w:id="527135079">
      <w:bodyDiv w:val="1"/>
      <w:marLeft w:val="0"/>
      <w:marRight w:val="0"/>
      <w:marTop w:val="0"/>
      <w:marBottom w:val="0"/>
      <w:divBdr>
        <w:top w:val="none" w:sz="0" w:space="0" w:color="auto"/>
        <w:left w:val="none" w:sz="0" w:space="0" w:color="auto"/>
        <w:bottom w:val="none" w:sz="0" w:space="0" w:color="auto"/>
        <w:right w:val="none" w:sz="0" w:space="0" w:color="auto"/>
      </w:divBdr>
    </w:div>
    <w:div w:id="528839870">
      <w:bodyDiv w:val="1"/>
      <w:marLeft w:val="0"/>
      <w:marRight w:val="0"/>
      <w:marTop w:val="0"/>
      <w:marBottom w:val="0"/>
      <w:divBdr>
        <w:top w:val="none" w:sz="0" w:space="0" w:color="auto"/>
        <w:left w:val="none" w:sz="0" w:space="0" w:color="auto"/>
        <w:bottom w:val="none" w:sz="0" w:space="0" w:color="auto"/>
        <w:right w:val="none" w:sz="0" w:space="0" w:color="auto"/>
      </w:divBdr>
    </w:div>
    <w:div w:id="529030563">
      <w:bodyDiv w:val="1"/>
      <w:marLeft w:val="0"/>
      <w:marRight w:val="0"/>
      <w:marTop w:val="0"/>
      <w:marBottom w:val="0"/>
      <w:divBdr>
        <w:top w:val="none" w:sz="0" w:space="0" w:color="auto"/>
        <w:left w:val="none" w:sz="0" w:space="0" w:color="auto"/>
        <w:bottom w:val="none" w:sz="0" w:space="0" w:color="auto"/>
        <w:right w:val="none" w:sz="0" w:space="0" w:color="auto"/>
      </w:divBdr>
    </w:div>
    <w:div w:id="529607091">
      <w:bodyDiv w:val="1"/>
      <w:marLeft w:val="0"/>
      <w:marRight w:val="0"/>
      <w:marTop w:val="0"/>
      <w:marBottom w:val="0"/>
      <w:divBdr>
        <w:top w:val="none" w:sz="0" w:space="0" w:color="auto"/>
        <w:left w:val="none" w:sz="0" w:space="0" w:color="auto"/>
        <w:bottom w:val="none" w:sz="0" w:space="0" w:color="auto"/>
        <w:right w:val="none" w:sz="0" w:space="0" w:color="auto"/>
      </w:divBdr>
    </w:div>
    <w:div w:id="529999327">
      <w:bodyDiv w:val="1"/>
      <w:marLeft w:val="0"/>
      <w:marRight w:val="0"/>
      <w:marTop w:val="0"/>
      <w:marBottom w:val="0"/>
      <w:divBdr>
        <w:top w:val="none" w:sz="0" w:space="0" w:color="auto"/>
        <w:left w:val="none" w:sz="0" w:space="0" w:color="auto"/>
        <w:bottom w:val="none" w:sz="0" w:space="0" w:color="auto"/>
        <w:right w:val="none" w:sz="0" w:space="0" w:color="auto"/>
      </w:divBdr>
    </w:div>
    <w:div w:id="530606904">
      <w:bodyDiv w:val="1"/>
      <w:marLeft w:val="0"/>
      <w:marRight w:val="0"/>
      <w:marTop w:val="0"/>
      <w:marBottom w:val="0"/>
      <w:divBdr>
        <w:top w:val="none" w:sz="0" w:space="0" w:color="auto"/>
        <w:left w:val="none" w:sz="0" w:space="0" w:color="auto"/>
        <w:bottom w:val="none" w:sz="0" w:space="0" w:color="auto"/>
        <w:right w:val="none" w:sz="0" w:space="0" w:color="auto"/>
      </w:divBdr>
    </w:div>
    <w:div w:id="530607544">
      <w:bodyDiv w:val="1"/>
      <w:marLeft w:val="0"/>
      <w:marRight w:val="0"/>
      <w:marTop w:val="0"/>
      <w:marBottom w:val="0"/>
      <w:divBdr>
        <w:top w:val="none" w:sz="0" w:space="0" w:color="auto"/>
        <w:left w:val="none" w:sz="0" w:space="0" w:color="auto"/>
        <w:bottom w:val="none" w:sz="0" w:space="0" w:color="auto"/>
        <w:right w:val="none" w:sz="0" w:space="0" w:color="auto"/>
      </w:divBdr>
    </w:div>
    <w:div w:id="530724665">
      <w:bodyDiv w:val="1"/>
      <w:marLeft w:val="0"/>
      <w:marRight w:val="0"/>
      <w:marTop w:val="0"/>
      <w:marBottom w:val="0"/>
      <w:divBdr>
        <w:top w:val="none" w:sz="0" w:space="0" w:color="auto"/>
        <w:left w:val="none" w:sz="0" w:space="0" w:color="auto"/>
        <w:bottom w:val="none" w:sz="0" w:space="0" w:color="auto"/>
        <w:right w:val="none" w:sz="0" w:space="0" w:color="auto"/>
      </w:divBdr>
    </w:div>
    <w:div w:id="531111197">
      <w:bodyDiv w:val="1"/>
      <w:marLeft w:val="0"/>
      <w:marRight w:val="0"/>
      <w:marTop w:val="0"/>
      <w:marBottom w:val="0"/>
      <w:divBdr>
        <w:top w:val="none" w:sz="0" w:space="0" w:color="auto"/>
        <w:left w:val="none" w:sz="0" w:space="0" w:color="auto"/>
        <w:bottom w:val="none" w:sz="0" w:space="0" w:color="auto"/>
        <w:right w:val="none" w:sz="0" w:space="0" w:color="auto"/>
      </w:divBdr>
    </w:div>
    <w:div w:id="531380462">
      <w:bodyDiv w:val="1"/>
      <w:marLeft w:val="0"/>
      <w:marRight w:val="0"/>
      <w:marTop w:val="0"/>
      <w:marBottom w:val="0"/>
      <w:divBdr>
        <w:top w:val="none" w:sz="0" w:space="0" w:color="auto"/>
        <w:left w:val="none" w:sz="0" w:space="0" w:color="auto"/>
        <w:bottom w:val="none" w:sz="0" w:space="0" w:color="auto"/>
        <w:right w:val="none" w:sz="0" w:space="0" w:color="auto"/>
      </w:divBdr>
    </w:div>
    <w:div w:id="531457493">
      <w:bodyDiv w:val="1"/>
      <w:marLeft w:val="0"/>
      <w:marRight w:val="0"/>
      <w:marTop w:val="0"/>
      <w:marBottom w:val="0"/>
      <w:divBdr>
        <w:top w:val="none" w:sz="0" w:space="0" w:color="auto"/>
        <w:left w:val="none" w:sz="0" w:space="0" w:color="auto"/>
        <w:bottom w:val="none" w:sz="0" w:space="0" w:color="auto"/>
        <w:right w:val="none" w:sz="0" w:space="0" w:color="auto"/>
      </w:divBdr>
    </w:div>
    <w:div w:id="532426560">
      <w:bodyDiv w:val="1"/>
      <w:marLeft w:val="0"/>
      <w:marRight w:val="0"/>
      <w:marTop w:val="0"/>
      <w:marBottom w:val="0"/>
      <w:divBdr>
        <w:top w:val="none" w:sz="0" w:space="0" w:color="auto"/>
        <w:left w:val="none" w:sz="0" w:space="0" w:color="auto"/>
        <w:bottom w:val="none" w:sz="0" w:space="0" w:color="auto"/>
        <w:right w:val="none" w:sz="0" w:space="0" w:color="auto"/>
      </w:divBdr>
    </w:div>
    <w:div w:id="532427048">
      <w:bodyDiv w:val="1"/>
      <w:marLeft w:val="0"/>
      <w:marRight w:val="0"/>
      <w:marTop w:val="0"/>
      <w:marBottom w:val="0"/>
      <w:divBdr>
        <w:top w:val="none" w:sz="0" w:space="0" w:color="auto"/>
        <w:left w:val="none" w:sz="0" w:space="0" w:color="auto"/>
        <w:bottom w:val="none" w:sz="0" w:space="0" w:color="auto"/>
        <w:right w:val="none" w:sz="0" w:space="0" w:color="auto"/>
      </w:divBdr>
    </w:div>
    <w:div w:id="532613741">
      <w:bodyDiv w:val="1"/>
      <w:marLeft w:val="0"/>
      <w:marRight w:val="0"/>
      <w:marTop w:val="0"/>
      <w:marBottom w:val="0"/>
      <w:divBdr>
        <w:top w:val="none" w:sz="0" w:space="0" w:color="auto"/>
        <w:left w:val="none" w:sz="0" w:space="0" w:color="auto"/>
        <w:bottom w:val="none" w:sz="0" w:space="0" w:color="auto"/>
        <w:right w:val="none" w:sz="0" w:space="0" w:color="auto"/>
      </w:divBdr>
    </w:div>
    <w:div w:id="533612378">
      <w:bodyDiv w:val="1"/>
      <w:marLeft w:val="0"/>
      <w:marRight w:val="0"/>
      <w:marTop w:val="0"/>
      <w:marBottom w:val="0"/>
      <w:divBdr>
        <w:top w:val="none" w:sz="0" w:space="0" w:color="auto"/>
        <w:left w:val="none" w:sz="0" w:space="0" w:color="auto"/>
        <w:bottom w:val="none" w:sz="0" w:space="0" w:color="auto"/>
        <w:right w:val="none" w:sz="0" w:space="0" w:color="auto"/>
      </w:divBdr>
    </w:div>
    <w:div w:id="535310985">
      <w:bodyDiv w:val="1"/>
      <w:marLeft w:val="0"/>
      <w:marRight w:val="0"/>
      <w:marTop w:val="0"/>
      <w:marBottom w:val="0"/>
      <w:divBdr>
        <w:top w:val="none" w:sz="0" w:space="0" w:color="auto"/>
        <w:left w:val="none" w:sz="0" w:space="0" w:color="auto"/>
        <w:bottom w:val="none" w:sz="0" w:space="0" w:color="auto"/>
        <w:right w:val="none" w:sz="0" w:space="0" w:color="auto"/>
      </w:divBdr>
    </w:div>
    <w:div w:id="536358962">
      <w:bodyDiv w:val="1"/>
      <w:marLeft w:val="0"/>
      <w:marRight w:val="0"/>
      <w:marTop w:val="0"/>
      <w:marBottom w:val="0"/>
      <w:divBdr>
        <w:top w:val="none" w:sz="0" w:space="0" w:color="auto"/>
        <w:left w:val="none" w:sz="0" w:space="0" w:color="auto"/>
        <w:bottom w:val="none" w:sz="0" w:space="0" w:color="auto"/>
        <w:right w:val="none" w:sz="0" w:space="0" w:color="auto"/>
      </w:divBdr>
    </w:div>
    <w:div w:id="536504802">
      <w:bodyDiv w:val="1"/>
      <w:marLeft w:val="0"/>
      <w:marRight w:val="0"/>
      <w:marTop w:val="0"/>
      <w:marBottom w:val="0"/>
      <w:divBdr>
        <w:top w:val="none" w:sz="0" w:space="0" w:color="auto"/>
        <w:left w:val="none" w:sz="0" w:space="0" w:color="auto"/>
        <w:bottom w:val="none" w:sz="0" w:space="0" w:color="auto"/>
        <w:right w:val="none" w:sz="0" w:space="0" w:color="auto"/>
      </w:divBdr>
    </w:div>
    <w:div w:id="536544793">
      <w:bodyDiv w:val="1"/>
      <w:marLeft w:val="0"/>
      <w:marRight w:val="0"/>
      <w:marTop w:val="0"/>
      <w:marBottom w:val="0"/>
      <w:divBdr>
        <w:top w:val="none" w:sz="0" w:space="0" w:color="auto"/>
        <w:left w:val="none" w:sz="0" w:space="0" w:color="auto"/>
        <w:bottom w:val="none" w:sz="0" w:space="0" w:color="auto"/>
        <w:right w:val="none" w:sz="0" w:space="0" w:color="auto"/>
      </w:divBdr>
    </w:div>
    <w:div w:id="536621010">
      <w:bodyDiv w:val="1"/>
      <w:marLeft w:val="0"/>
      <w:marRight w:val="0"/>
      <w:marTop w:val="0"/>
      <w:marBottom w:val="0"/>
      <w:divBdr>
        <w:top w:val="none" w:sz="0" w:space="0" w:color="auto"/>
        <w:left w:val="none" w:sz="0" w:space="0" w:color="auto"/>
        <w:bottom w:val="none" w:sz="0" w:space="0" w:color="auto"/>
        <w:right w:val="none" w:sz="0" w:space="0" w:color="auto"/>
      </w:divBdr>
    </w:div>
    <w:div w:id="536741020">
      <w:bodyDiv w:val="1"/>
      <w:marLeft w:val="0"/>
      <w:marRight w:val="0"/>
      <w:marTop w:val="0"/>
      <w:marBottom w:val="0"/>
      <w:divBdr>
        <w:top w:val="none" w:sz="0" w:space="0" w:color="auto"/>
        <w:left w:val="none" w:sz="0" w:space="0" w:color="auto"/>
        <w:bottom w:val="none" w:sz="0" w:space="0" w:color="auto"/>
        <w:right w:val="none" w:sz="0" w:space="0" w:color="auto"/>
      </w:divBdr>
    </w:div>
    <w:div w:id="536889680">
      <w:bodyDiv w:val="1"/>
      <w:marLeft w:val="0"/>
      <w:marRight w:val="0"/>
      <w:marTop w:val="0"/>
      <w:marBottom w:val="0"/>
      <w:divBdr>
        <w:top w:val="none" w:sz="0" w:space="0" w:color="auto"/>
        <w:left w:val="none" w:sz="0" w:space="0" w:color="auto"/>
        <w:bottom w:val="none" w:sz="0" w:space="0" w:color="auto"/>
        <w:right w:val="none" w:sz="0" w:space="0" w:color="auto"/>
      </w:divBdr>
    </w:div>
    <w:div w:id="539245859">
      <w:bodyDiv w:val="1"/>
      <w:marLeft w:val="0"/>
      <w:marRight w:val="0"/>
      <w:marTop w:val="0"/>
      <w:marBottom w:val="0"/>
      <w:divBdr>
        <w:top w:val="none" w:sz="0" w:space="0" w:color="auto"/>
        <w:left w:val="none" w:sz="0" w:space="0" w:color="auto"/>
        <w:bottom w:val="none" w:sz="0" w:space="0" w:color="auto"/>
        <w:right w:val="none" w:sz="0" w:space="0" w:color="auto"/>
      </w:divBdr>
    </w:div>
    <w:div w:id="539322703">
      <w:bodyDiv w:val="1"/>
      <w:marLeft w:val="0"/>
      <w:marRight w:val="0"/>
      <w:marTop w:val="0"/>
      <w:marBottom w:val="0"/>
      <w:divBdr>
        <w:top w:val="none" w:sz="0" w:space="0" w:color="auto"/>
        <w:left w:val="none" w:sz="0" w:space="0" w:color="auto"/>
        <w:bottom w:val="none" w:sz="0" w:space="0" w:color="auto"/>
        <w:right w:val="none" w:sz="0" w:space="0" w:color="auto"/>
      </w:divBdr>
    </w:div>
    <w:div w:id="539366180">
      <w:bodyDiv w:val="1"/>
      <w:marLeft w:val="0"/>
      <w:marRight w:val="0"/>
      <w:marTop w:val="0"/>
      <w:marBottom w:val="0"/>
      <w:divBdr>
        <w:top w:val="none" w:sz="0" w:space="0" w:color="auto"/>
        <w:left w:val="none" w:sz="0" w:space="0" w:color="auto"/>
        <w:bottom w:val="none" w:sz="0" w:space="0" w:color="auto"/>
        <w:right w:val="none" w:sz="0" w:space="0" w:color="auto"/>
      </w:divBdr>
    </w:div>
    <w:div w:id="539707724">
      <w:bodyDiv w:val="1"/>
      <w:marLeft w:val="0"/>
      <w:marRight w:val="0"/>
      <w:marTop w:val="0"/>
      <w:marBottom w:val="0"/>
      <w:divBdr>
        <w:top w:val="none" w:sz="0" w:space="0" w:color="auto"/>
        <w:left w:val="none" w:sz="0" w:space="0" w:color="auto"/>
        <w:bottom w:val="none" w:sz="0" w:space="0" w:color="auto"/>
        <w:right w:val="none" w:sz="0" w:space="0" w:color="auto"/>
      </w:divBdr>
    </w:div>
    <w:div w:id="540485605">
      <w:bodyDiv w:val="1"/>
      <w:marLeft w:val="0"/>
      <w:marRight w:val="0"/>
      <w:marTop w:val="0"/>
      <w:marBottom w:val="0"/>
      <w:divBdr>
        <w:top w:val="none" w:sz="0" w:space="0" w:color="auto"/>
        <w:left w:val="none" w:sz="0" w:space="0" w:color="auto"/>
        <w:bottom w:val="none" w:sz="0" w:space="0" w:color="auto"/>
        <w:right w:val="none" w:sz="0" w:space="0" w:color="auto"/>
      </w:divBdr>
    </w:div>
    <w:div w:id="540674476">
      <w:bodyDiv w:val="1"/>
      <w:marLeft w:val="0"/>
      <w:marRight w:val="0"/>
      <w:marTop w:val="0"/>
      <w:marBottom w:val="0"/>
      <w:divBdr>
        <w:top w:val="none" w:sz="0" w:space="0" w:color="auto"/>
        <w:left w:val="none" w:sz="0" w:space="0" w:color="auto"/>
        <w:bottom w:val="none" w:sz="0" w:space="0" w:color="auto"/>
        <w:right w:val="none" w:sz="0" w:space="0" w:color="auto"/>
      </w:divBdr>
    </w:div>
    <w:div w:id="541403097">
      <w:bodyDiv w:val="1"/>
      <w:marLeft w:val="0"/>
      <w:marRight w:val="0"/>
      <w:marTop w:val="0"/>
      <w:marBottom w:val="0"/>
      <w:divBdr>
        <w:top w:val="none" w:sz="0" w:space="0" w:color="auto"/>
        <w:left w:val="none" w:sz="0" w:space="0" w:color="auto"/>
        <w:bottom w:val="none" w:sz="0" w:space="0" w:color="auto"/>
        <w:right w:val="none" w:sz="0" w:space="0" w:color="auto"/>
      </w:divBdr>
    </w:div>
    <w:div w:id="541669510">
      <w:bodyDiv w:val="1"/>
      <w:marLeft w:val="0"/>
      <w:marRight w:val="0"/>
      <w:marTop w:val="0"/>
      <w:marBottom w:val="0"/>
      <w:divBdr>
        <w:top w:val="none" w:sz="0" w:space="0" w:color="auto"/>
        <w:left w:val="none" w:sz="0" w:space="0" w:color="auto"/>
        <w:bottom w:val="none" w:sz="0" w:space="0" w:color="auto"/>
        <w:right w:val="none" w:sz="0" w:space="0" w:color="auto"/>
      </w:divBdr>
    </w:div>
    <w:div w:id="541985140">
      <w:bodyDiv w:val="1"/>
      <w:marLeft w:val="0"/>
      <w:marRight w:val="0"/>
      <w:marTop w:val="0"/>
      <w:marBottom w:val="0"/>
      <w:divBdr>
        <w:top w:val="none" w:sz="0" w:space="0" w:color="auto"/>
        <w:left w:val="none" w:sz="0" w:space="0" w:color="auto"/>
        <w:bottom w:val="none" w:sz="0" w:space="0" w:color="auto"/>
        <w:right w:val="none" w:sz="0" w:space="0" w:color="auto"/>
      </w:divBdr>
    </w:div>
    <w:div w:id="542250055">
      <w:bodyDiv w:val="1"/>
      <w:marLeft w:val="0"/>
      <w:marRight w:val="0"/>
      <w:marTop w:val="0"/>
      <w:marBottom w:val="0"/>
      <w:divBdr>
        <w:top w:val="none" w:sz="0" w:space="0" w:color="auto"/>
        <w:left w:val="none" w:sz="0" w:space="0" w:color="auto"/>
        <w:bottom w:val="none" w:sz="0" w:space="0" w:color="auto"/>
        <w:right w:val="none" w:sz="0" w:space="0" w:color="auto"/>
      </w:divBdr>
    </w:div>
    <w:div w:id="542864313">
      <w:bodyDiv w:val="1"/>
      <w:marLeft w:val="0"/>
      <w:marRight w:val="0"/>
      <w:marTop w:val="0"/>
      <w:marBottom w:val="0"/>
      <w:divBdr>
        <w:top w:val="none" w:sz="0" w:space="0" w:color="auto"/>
        <w:left w:val="none" w:sz="0" w:space="0" w:color="auto"/>
        <w:bottom w:val="none" w:sz="0" w:space="0" w:color="auto"/>
        <w:right w:val="none" w:sz="0" w:space="0" w:color="auto"/>
      </w:divBdr>
    </w:div>
    <w:div w:id="543754893">
      <w:bodyDiv w:val="1"/>
      <w:marLeft w:val="0"/>
      <w:marRight w:val="0"/>
      <w:marTop w:val="0"/>
      <w:marBottom w:val="0"/>
      <w:divBdr>
        <w:top w:val="none" w:sz="0" w:space="0" w:color="auto"/>
        <w:left w:val="none" w:sz="0" w:space="0" w:color="auto"/>
        <w:bottom w:val="none" w:sz="0" w:space="0" w:color="auto"/>
        <w:right w:val="none" w:sz="0" w:space="0" w:color="auto"/>
      </w:divBdr>
    </w:div>
    <w:div w:id="543954537">
      <w:bodyDiv w:val="1"/>
      <w:marLeft w:val="0"/>
      <w:marRight w:val="0"/>
      <w:marTop w:val="0"/>
      <w:marBottom w:val="0"/>
      <w:divBdr>
        <w:top w:val="none" w:sz="0" w:space="0" w:color="auto"/>
        <w:left w:val="none" w:sz="0" w:space="0" w:color="auto"/>
        <w:bottom w:val="none" w:sz="0" w:space="0" w:color="auto"/>
        <w:right w:val="none" w:sz="0" w:space="0" w:color="auto"/>
      </w:divBdr>
    </w:div>
    <w:div w:id="545141193">
      <w:bodyDiv w:val="1"/>
      <w:marLeft w:val="0"/>
      <w:marRight w:val="0"/>
      <w:marTop w:val="0"/>
      <w:marBottom w:val="0"/>
      <w:divBdr>
        <w:top w:val="none" w:sz="0" w:space="0" w:color="auto"/>
        <w:left w:val="none" w:sz="0" w:space="0" w:color="auto"/>
        <w:bottom w:val="none" w:sz="0" w:space="0" w:color="auto"/>
        <w:right w:val="none" w:sz="0" w:space="0" w:color="auto"/>
      </w:divBdr>
    </w:div>
    <w:div w:id="545525164">
      <w:bodyDiv w:val="1"/>
      <w:marLeft w:val="0"/>
      <w:marRight w:val="0"/>
      <w:marTop w:val="0"/>
      <w:marBottom w:val="0"/>
      <w:divBdr>
        <w:top w:val="none" w:sz="0" w:space="0" w:color="auto"/>
        <w:left w:val="none" w:sz="0" w:space="0" w:color="auto"/>
        <w:bottom w:val="none" w:sz="0" w:space="0" w:color="auto"/>
        <w:right w:val="none" w:sz="0" w:space="0" w:color="auto"/>
      </w:divBdr>
    </w:div>
    <w:div w:id="548690487">
      <w:bodyDiv w:val="1"/>
      <w:marLeft w:val="0"/>
      <w:marRight w:val="0"/>
      <w:marTop w:val="0"/>
      <w:marBottom w:val="0"/>
      <w:divBdr>
        <w:top w:val="none" w:sz="0" w:space="0" w:color="auto"/>
        <w:left w:val="none" w:sz="0" w:space="0" w:color="auto"/>
        <w:bottom w:val="none" w:sz="0" w:space="0" w:color="auto"/>
        <w:right w:val="none" w:sz="0" w:space="0" w:color="auto"/>
      </w:divBdr>
    </w:div>
    <w:div w:id="548761203">
      <w:bodyDiv w:val="1"/>
      <w:marLeft w:val="0"/>
      <w:marRight w:val="0"/>
      <w:marTop w:val="0"/>
      <w:marBottom w:val="0"/>
      <w:divBdr>
        <w:top w:val="none" w:sz="0" w:space="0" w:color="auto"/>
        <w:left w:val="none" w:sz="0" w:space="0" w:color="auto"/>
        <w:bottom w:val="none" w:sz="0" w:space="0" w:color="auto"/>
        <w:right w:val="none" w:sz="0" w:space="0" w:color="auto"/>
      </w:divBdr>
    </w:div>
    <w:div w:id="548997487">
      <w:bodyDiv w:val="1"/>
      <w:marLeft w:val="0"/>
      <w:marRight w:val="0"/>
      <w:marTop w:val="0"/>
      <w:marBottom w:val="0"/>
      <w:divBdr>
        <w:top w:val="none" w:sz="0" w:space="0" w:color="auto"/>
        <w:left w:val="none" w:sz="0" w:space="0" w:color="auto"/>
        <w:bottom w:val="none" w:sz="0" w:space="0" w:color="auto"/>
        <w:right w:val="none" w:sz="0" w:space="0" w:color="auto"/>
      </w:divBdr>
    </w:div>
    <w:div w:id="549071285">
      <w:bodyDiv w:val="1"/>
      <w:marLeft w:val="0"/>
      <w:marRight w:val="0"/>
      <w:marTop w:val="0"/>
      <w:marBottom w:val="0"/>
      <w:divBdr>
        <w:top w:val="none" w:sz="0" w:space="0" w:color="auto"/>
        <w:left w:val="none" w:sz="0" w:space="0" w:color="auto"/>
        <w:bottom w:val="none" w:sz="0" w:space="0" w:color="auto"/>
        <w:right w:val="none" w:sz="0" w:space="0" w:color="auto"/>
      </w:divBdr>
    </w:div>
    <w:div w:id="549223061">
      <w:bodyDiv w:val="1"/>
      <w:marLeft w:val="0"/>
      <w:marRight w:val="0"/>
      <w:marTop w:val="0"/>
      <w:marBottom w:val="0"/>
      <w:divBdr>
        <w:top w:val="none" w:sz="0" w:space="0" w:color="auto"/>
        <w:left w:val="none" w:sz="0" w:space="0" w:color="auto"/>
        <w:bottom w:val="none" w:sz="0" w:space="0" w:color="auto"/>
        <w:right w:val="none" w:sz="0" w:space="0" w:color="auto"/>
      </w:divBdr>
    </w:div>
    <w:div w:id="550386333">
      <w:bodyDiv w:val="1"/>
      <w:marLeft w:val="0"/>
      <w:marRight w:val="0"/>
      <w:marTop w:val="0"/>
      <w:marBottom w:val="0"/>
      <w:divBdr>
        <w:top w:val="none" w:sz="0" w:space="0" w:color="auto"/>
        <w:left w:val="none" w:sz="0" w:space="0" w:color="auto"/>
        <w:bottom w:val="none" w:sz="0" w:space="0" w:color="auto"/>
        <w:right w:val="none" w:sz="0" w:space="0" w:color="auto"/>
      </w:divBdr>
    </w:div>
    <w:div w:id="551190452">
      <w:bodyDiv w:val="1"/>
      <w:marLeft w:val="0"/>
      <w:marRight w:val="0"/>
      <w:marTop w:val="0"/>
      <w:marBottom w:val="0"/>
      <w:divBdr>
        <w:top w:val="none" w:sz="0" w:space="0" w:color="auto"/>
        <w:left w:val="none" w:sz="0" w:space="0" w:color="auto"/>
        <w:bottom w:val="none" w:sz="0" w:space="0" w:color="auto"/>
        <w:right w:val="none" w:sz="0" w:space="0" w:color="auto"/>
      </w:divBdr>
    </w:div>
    <w:div w:id="551842213">
      <w:bodyDiv w:val="1"/>
      <w:marLeft w:val="0"/>
      <w:marRight w:val="0"/>
      <w:marTop w:val="0"/>
      <w:marBottom w:val="0"/>
      <w:divBdr>
        <w:top w:val="none" w:sz="0" w:space="0" w:color="auto"/>
        <w:left w:val="none" w:sz="0" w:space="0" w:color="auto"/>
        <w:bottom w:val="none" w:sz="0" w:space="0" w:color="auto"/>
        <w:right w:val="none" w:sz="0" w:space="0" w:color="auto"/>
      </w:divBdr>
    </w:div>
    <w:div w:id="552354202">
      <w:bodyDiv w:val="1"/>
      <w:marLeft w:val="0"/>
      <w:marRight w:val="0"/>
      <w:marTop w:val="0"/>
      <w:marBottom w:val="0"/>
      <w:divBdr>
        <w:top w:val="none" w:sz="0" w:space="0" w:color="auto"/>
        <w:left w:val="none" w:sz="0" w:space="0" w:color="auto"/>
        <w:bottom w:val="none" w:sz="0" w:space="0" w:color="auto"/>
        <w:right w:val="none" w:sz="0" w:space="0" w:color="auto"/>
      </w:divBdr>
    </w:div>
    <w:div w:id="552810760">
      <w:bodyDiv w:val="1"/>
      <w:marLeft w:val="0"/>
      <w:marRight w:val="0"/>
      <w:marTop w:val="0"/>
      <w:marBottom w:val="0"/>
      <w:divBdr>
        <w:top w:val="none" w:sz="0" w:space="0" w:color="auto"/>
        <w:left w:val="none" w:sz="0" w:space="0" w:color="auto"/>
        <w:bottom w:val="none" w:sz="0" w:space="0" w:color="auto"/>
        <w:right w:val="none" w:sz="0" w:space="0" w:color="auto"/>
      </w:divBdr>
    </w:div>
    <w:div w:id="555707503">
      <w:bodyDiv w:val="1"/>
      <w:marLeft w:val="0"/>
      <w:marRight w:val="0"/>
      <w:marTop w:val="0"/>
      <w:marBottom w:val="0"/>
      <w:divBdr>
        <w:top w:val="none" w:sz="0" w:space="0" w:color="auto"/>
        <w:left w:val="none" w:sz="0" w:space="0" w:color="auto"/>
        <w:bottom w:val="none" w:sz="0" w:space="0" w:color="auto"/>
        <w:right w:val="none" w:sz="0" w:space="0" w:color="auto"/>
      </w:divBdr>
    </w:div>
    <w:div w:id="555776129">
      <w:bodyDiv w:val="1"/>
      <w:marLeft w:val="0"/>
      <w:marRight w:val="0"/>
      <w:marTop w:val="0"/>
      <w:marBottom w:val="0"/>
      <w:divBdr>
        <w:top w:val="none" w:sz="0" w:space="0" w:color="auto"/>
        <w:left w:val="none" w:sz="0" w:space="0" w:color="auto"/>
        <w:bottom w:val="none" w:sz="0" w:space="0" w:color="auto"/>
        <w:right w:val="none" w:sz="0" w:space="0" w:color="auto"/>
      </w:divBdr>
    </w:div>
    <w:div w:id="556091242">
      <w:bodyDiv w:val="1"/>
      <w:marLeft w:val="0"/>
      <w:marRight w:val="0"/>
      <w:marTop w:val="0"/>
      <w:marBottom w:val="0"/>
      <w:divBdr>
        <w:top w:val="none" w:sz="0" w:space="0" w:color="auto"/>
        <w:left w:val="none" w:sz="0" w:space="0" w:color="auto"/>
        <w:bottom w:val="none" w:sz="0" w:space="0" w:color="auto"/>
        <w:right w:val="none" w:sz="0" w:space="0" w:color="auto"/>
      </w:divBdr>
    </w:div>
    <w:div w:id="557279696">
      <w:bodyDiv w:val="1"/>
      <w:marLeft w:val="0"/>
      <w:marRight w:val="0"/>
      <w:marTop w:val="0"/>
      <w:marBottom w:val="0"/>
      <w:divBdr>
        <w:top w:val="none" w:sz="0" w:space="0" w:color="auto"/>
        <w:left w:val="none" w:sz="0" w:space="0" w:color="auto"/>
        <w:bottom w:val="none" w:sz="0" w:space="0" w:color="auto"/>
        <w:right w:val="none" w:sz="0" w:space="0" w:color="auto"/>
      </w:divBdr>
    </w:div>
    <w:div w:id="557667163">
      <w:bodyDiv w:val="1"/>
      <w:marLeft w:val="0"/>
      <w:marRight w:val="0"/>
      <w:marTop w:val="0"/>
      <w:marBottom w:val="0"/>
      <w:divBdr>
        <w:top w:val="none" w:sz="0" w:space="0" w:color="auto"/>
        <w:left w:val="none" w:sz="0" w:space="0" w:color="auto"/>
        <w:bottom w:val="none" w:sz="0" w:space="0" w:color="auto"/>
        <w:right w:val="none" w:sz="0" w:space="0" w:color="auto"/>
      </w:divBdr>
    </w:div>
    <w:div w:id="558059240">
      <w:bodyDiv w:val="1"/>
      <w:marLeft w:val="0"/>
      <w:marRight w:val="0"/>
      <w:marTop w:val="0"/>
      <w:marBottom w:val="0"/>
      <w:divBdr>
        <w:top w:val="none" w:sz="0" w:space="0" w:color="auto"/>
        <w:left w:val="none" w:sz="0" w:space="0" w:color="auto"/>
        <w:bottom w:val="none" w:sz="0" w:space="0" w:color="auto"/>
        <w:right w:val="none" w:sz="0" w:space="0" w:color="auto"/>
      </w:divBdr>
    </w:div>
    <w:div w:id="558174635">
      <w:bodyDiv w:val="1"/>
      <w:marLeft w:val="0"/>
      <w:marRight w:val="0"/>
      <w:marTop w:val="0"/>
      <w:marBottom w:val="0"/>
      <w:divBdr>
        <w:top w:val="none" w:sz="0" w:space="0" w:color="auto"/>
        <w:left w:val="none" w:sz="0" w:space="0" w:color="auto"/>
        <w:bottom w:val="none" w:sz="0" w:space="0" w:color="auto"/>
        <w:right w:val="none" w:sz="0" w:space="0" w:color="auto"/>
      </w:divBdr>
    </w:div>
    <w:div w:id="559899379">
      <w:bodyDiv w:val="1"/>
      <w:marLeft w:val="0"/>
      <w:marRight w:val="0"/>
      <w:marTop w:val="0"/>
      <w:marBottom w:val="0"/>
      <w:divBdr>
        <w:top w:val="none" w:sz="0" w:space="0" w:color="auto"/>
        <w:left w:val="none" w:sz="0" w:space="0" w:color="auto"/>
        <w:bottom w:val="none" w:sz="0" w:space="0" w:color="auto"/>
        <w:right w:val="none" w:sz="0" w:space="0" w:color="auto"/>
      </w:divBdr>
    </w:div>
    <w:div w:id="560095338">
      <w:bodyDiv w:val="1"/>
      <w:marLeft w:val="0"/>
      <w:marRight w:val="0"/>
      <w:marTop w:val="0"/>
      <w:marBottom w:val="0"/>
      <w:divBdr>
        <w:top w:val="none" w:sz="0" w:space="0" w:color="auto"/>
        <w:left w:val="none" w:sz="0" w:space="0" w:color="auto"/>
        <w:bottom w:val="none" w:sz="0" w:space="0" w:color="auto"/>
        <w:right w:val="none" w:sz="0" w:space="0" w:color="auto"/>
      </w:divBdr>
    </w:div>
    <w:div w:id="561403388">
      <w:bodyDiv w:val="1"/>
      <w:marLeft w:val="0"/>
      <w:marRight w:val="0"/>
      <w:marTop w:val="0"/>
      <w:marBottom w:val="0"/>
      <w:divBdr>
        <w:top w:val="none" w:sz="0" w:space="0" w:color="auto"/>
        <w:left w:val="none" w:sz="0" w:space="0" w:color="auto"/>
        <w:bottom w:val="none" w:sz="0" w:space="0" w:color="auto"/>
        <w:right w:val="none" w:sz="0" w:space="0" w:color="auto"/>
      </w:divBdr>
    </w:div>
    <w:div w:id="561910902">
      <w:bodyDiv w:val="1"/>
      <w:marLeft w:val="0"/>
      <w:marRight w:val="0"/>
      <w:marTop w:val="0"/>
      <w:marBottom w:val="0"/>
      <w:divBdr>
        <w:top w:val="none" w:sz="0" w:space="0" w:color="auto"/>
        <w:left w:val="none" w:sz="0" w:space="0" w:color="auto"/>
        <w:bottom w:val="none" w:sz="0" w:space="0" w:color="auto"/>
        <w:right w:val="none" w:sz="0" w:space="0" w:color="auto"/>
      </w:divBdr>
    </w:div>
    <w:div w:id="562447506">
      <w:bodyDiv w:val="1"/>
      <w:marLeft w:val="0"/>
      <w:marRight w:val="0"/>
      <w:marTop w:val="0"/>
      <w:marBottom w:val="0"/>
      <w:divBdr>
        <w:top w:val="none" w:sz="0" w:space="0" w:color="auto"/>
        <w:left w:val="none" w:sz="0" w:space="0" w:color="auto"/>
        <w:bottom w:val="none" w:sz="0" w:space="0" w:color="auto"/>
        <w:right w:val="none" w:sz="0" w:space="0" w:color="auto"/>
      </w:divBdr>
    </w:div>
    <w:div w:id="562642616">
      <w:bodyDiv w:val="1"/>
      <w:marLeft w:val="0"/>
      <w:marRight w:val="0"/>
      <w:marTop w:val="0"/>
      <w:marBottom w:val="0"/>
      <w:divBdr>
        <w:top w:val="none" w:sz="0" w:space="0" w:color="auto"/>
        <w:left w:val="none" w:sz="0" w:space="0" w:color="auto"/>
        <w:bottom w:val="none" w:sz="0" w:space="0" w:color="auto"/>
        <w:right w:val="none" w:sz="0" w:space="0" w:color="auto"/>
      </w:divBdr>
    </w:div>
    <w:div w:id="562759440">
      <w:bodyDiv w:val="1"/>
      <w:marLeft w:val="0"/>
      <w:marRight w:val="0"/>
      <w:marTop w:val="0"/>
      <w:marBottom w:val="0"/>
      <w:divBdr>
        <w:top w:val="none" w:sz="0" w:space="0" w:color="auto"/>
        <w:left w:val="none" w:sz="0" w:space="0" w:color="auto"/>
        <w:bottom w:val="none" w:sz="0" w:space="0" w:color="auto"/>
        <w:right w:val="none" w:sz="0" w:space="0" w:color="auto"/>
      </w:divBdr>
    </w:div>
    <w:div w:id="563104104">
      <w:bodyDiv w:val="1"/>
      <w:marLeft w:val="0"/>
      <w:marRight w:val="0"/>
      <w:marTop w:val="0"/>
      <w:marBottom w:val="0"/>
      <w:divBdr>
        <w:top w:val="none" w:sz="0" w:space="0" w:color="auto"/>
        <w:left w:val="none" w:sz="0" w:space="0" w:color="auto"/>
        <w:bottom w:val="none" w:sz="0" w:space="0" w:color="auto"/>
        <w:right w:val="none" w:sz="0" w:space="0" w:color="auto"/>
      </w:divBdr>
    </w:div>
    <w:div w:id="563105926">
      <w:bodyDiv w:val="1"/>
      <w:marLeft w:val="0"/>
      <w:marRight w:val="0"/>
      <w:marTop w:val="0"/>
      <w:marBottom w:val="0"/>
      <w:divBdr>
        <w:top w:val="none" w:sz="0" w:space="0" w:color="auto"/>
        <w:left w:val="none" w:sz="0" w:space="0" w:color="auto"/>
        <w:bottom w:val="none" w:sz="0" w:space="0" w:color="auto"/>
        <w:right w:val="none" w:sz="0" w:space="0" w:color="auto"/>
      </w:divBdr>
    </w:div>
    <w:div w:id="563680102">
      <w:bodyDiv w:val="1"/>
      <w:marLeft w:val="0"/>
      <w:marRight w:val="0"/>
      <w:marTop w:val="0"/>
      <w:marBottom w:val="0"/>
      <w:divBdr>
        <w:top w:val="none" w:sz="0" w:space="0" w:color="auto"/>
        <w:left w:val="none" w:sz="0" w:space="0" w:color="auto"/>
        <w:bottom w:val="none" w:sz="0" w:space="0" w:color="auto"/>
        <w:right w:val="none" w:sz="0" w:space="0" w:color="auto"/>
      </w:divBdr>
    </w:div>
    <w:div w:id="563834328">
      <w:bodyDiv w:val="1"/>
      <w:marLeft w:val="0"/>
      <w:marRight w:val="0"/>
      <w:marTop w:val="0"/>
      <w:marBottom w:val="0"/>
      <w:divBdr>
        <w:top w:val="none" w:sz="0" w:space="0" w:color="auto"/>
        <w:left w:val="none" w:sz="0" w:space="0" w:color="auto"/>
        <w:bottom w:val="none" w:sz="0" w:space="0" w:color="auto"/>
        <w:right w:val="none" w:sz="0" w:space="0" w:color="auto"/>
      </w:divBdr>
    </w:div>
    <w:div w:id="564142246">
      <w:bodyDiv w:val="1"/>
      <w:marLeft w:val="0"/>
      <w:marRight w:val="0"/>
      <w:marTop w:val="0"/>
      <w:marBottom w:val="0"/>
      <w:divBdr>
        <w:top w:val="none" w:sz="0" w:space="0" w:color="auto"/>
        <w:left w:val="none" w:sz="0" w:space="0" w:color="auto"/>
        <w:bottom w:val="none" w:sz="0" w:space="0" w:color="auto"/>
        <w:right w:val="none" w:sz="0" w:space="0" w:color="auto"/>
      </w:divBdr>
    </w:div>
    <w:div w:id="565607365">
      <w:bodyDiv w:val="1"/>
      <w:marLeft w:val="0"/>
      <w:marRight w:val="0"/>
      <w:marTop w:val="0"/>
      <w:marBottom w:val="0"/>
      <w:divBdr>
        <w:top w:val="none" w:sz="0" w:space="0" w:color="auto"/>
        <w:left w:val="none" w:sz="0" w:space="0" w:color="auto"/>
        <w:bottom w:val="none" w:sz="0" w:space="0" w:color="auto"/>
        <w:right w:val="none" w:sz="0" w:space="0" w:color="auto"/>
      </w:divBdr>
    </w:div>
    <w:div w:id="565841964">
      <w:bodyDiv w:val="1"/>
      <w:marLeft w:val="0"/>
      <w:marRight w:val="0"/>
      <w:marTop w:val="0"/>
      <w:marBottom w:val="0"/>
      <w:divBdr>
        <w:top w:val="none" w:sz="0" w:space="0" w:color="auto"/>
        <w:left w:val="none" w:sz="0" w:space="0" w:color="auto"/>
        <w:bottom w:val="none" w:sz="0" w:space="0" w:color="auto"/>
        <w:right w:val="none" w:sz="0" w:space="0" w:color="auto"/>
      </w:divBdr>
    </w:div>
    <w:div w:id="566451137">
      <w:bodyDiv w:val="1"/>
      <w:marLeft w:val="0"/>
      <w:marRight w:val="0"/>
      <w:marTop w:val="0"/>
      <w:marBottom w:val="0"/>
      <w:divBdr>
        <w:top w:val="none" w:sz="0" w:space="0" w:color="auto"/>
        <w:left w:val="none" w:sz="0" w:space="0" w:color="auto"/>
        <w:bottom w:val="none" w:sz="0" w:space="0" w:color="auto"/>
        <w:right w:val="none" w:sz="0" w:space="0" w:color="auto"/>
      </w:divBdr>
    </w:div>
    <w:div w:id="566846979">
      <w:bodyDiv w:val="1"/>
      <w:marLeft w:val="0"/>
      <w:marRight w:val="0"/>
      <w:marTop w:val="0"/>
      <w:marBottom w:val="0"/>
      <w:divBdr>
        <w:top w:val="none" w:sz="0" w:space="0" w:color="auto"/>
        <w:left w:val="none" w:sz="0" w:space="0" w:color="auto"/>
        <w:bottom w:val="none" w:sz="0" w:space="0" w:color="auto"/>
        <w:right w:val="none" w:sz="0" w:space="0" w:color="auto"/>
      </w:divBdr>
    </w:div>
    <w:div w:id="567303505">
      <w:bodyDiv w:val="1"/>
      <w:marLeft w:val="0"/>
      <w:marRight w:val="0"/>
      <w:marTop w:val="0"/>
      <w:marBottom w:val="0"/>
      <w:divBdr>
        <w:top w:val="none" w:sz="0" w:space="0" w:color="auto"/>
        <w:left w:val="none" w:sz="0" w:space="0" w:color="auto"/>
        <w:bottom w:val="none" w:sz="0" w:space="0" w:color="auto"/>
        <w:right w:val="none" w:sz="0" w:space="0" w:color="auto"/>
      </w:divBdr>
    </w:div>
    <w:div w:id="567764352">
      <w:bodyDiv w:val="1"/>
      <w:marLeft w:val="0"/>
      <w:marRight w:val="0"/>
      <w:marTop w:val="0"/>
      <w:marBottom w:val="0"/>
      <w:divBdr>
        <w:top w:val="none" w:sz="0" w:space="0" w:color="auto"/>
        <w:left w:val="none" w:sz="0" w:space="0" w:color="auto"/>
        <w:bottom w:val="none" w:sz="0" w:space="0" w:color="auto"/>
        <w:right w:val="none" w:sz="0" w:space="0" w:color="auto"/>
      </w:divBdr>
    </w:div>
    <w:div w:id="568731151">
      <w:bodyDiv w:val="1"/>
      <w:marLeft w:val="0"/>
      <w:marRight w:val="0"/>
      <w:marTop w:val="0"/>
      <w:marBottom w:val="0"/>
      <w:divBdr>
        <w:top w:val="none" w:sz="0" w:space="0" w:color="auto"/>
        <w:left w:val="none" w:sz="0" w:space="0" w:color="auto"/>
        <w:bottom w:val="none" w:sz="0" w:space="0" w:color="auto"/>
        <w:right w:val="none" w:sz="0" w:space="0" w:color="auto"/>
      </w:divBdr>
    </w:div>
    <w:div w:id="568930966">
      <w:bodyDiv w:val="1"/>
      <w:marLeft w:val="0"/>
      <w:marRight w:val="0"/>
      <w:marTop w:val="0"/>
      <w:marBottom w:val="0"/>
      <w:divBdr>
        <w:top w:val="none" w:sz="0" w:space="0" w:color="auto"/>
        <w:left w:val="none" w:sz="0" w:space="0" w:color="auto"/>
        <w:bottom w:val="none" w:sz="0" w:space="0" w:color="auto"/>
        <w:right w:val="none" w:sz="0" w:space="0" w:color="auto"/>
      </w:divBdr>
    </w:div>
    <w:div w:id="569386201">
      <w:bodyDiv w:val="1"/>
      <w:marLeft w:val="0"/>
      <w:marRight w:val="0"/>
      <w:marTop w:val="0"/>
      <w:marBottom w:val="0"/>
      <w:divBdr>
        <w:top w:val="none" w:sz="0" w:space="0" w:color="auto"/>
        <w:left w:val="none" w:sz="0" w:space="0" w:color="auto"/>
        <w:bottom w:val="none" w:sz="0" w:space="0" w:color="auto"/>
        <w:right w:val="none" w:sz="0" w:space="0" w:color="auto"/>
      </w:divBdr>
    </w:div>
    <w:div w:id="569773008">
      <w:bodyDiv w:val="1"/>
      <w:marLeft w:val="0"/>
      <w:marRight w:val="0"/>
      <w:marTop w:val="0"/>
      <w:marBottom w:val="0"/>
      <w:divBdr>
        <w:top w:val="none" w:sz="0" w:space="0" w:color="auto"/>
        <w:left w:val="none" w:sz="0" w:space="0" w:color="auto"/>
        <w:bottom w:val="none" w:sz="0" w:space="0" w:color="auto"/>
        <w:right w:val="none" w:sz="0" w:space="0" w:color="auto"/>
      </w:divBdr>
    </w:div>
    <w:div w:id="569925934">
      <w:bodyDiv w:val="1"/>
      <w:marLeft w:val="0"/>
      <w:marRight w:val="0"/>
      <w:marTop w:val="0"/>
      <w:marBottom w:val="0"/>
      <w:divBdr>
        <w:top w:val="none" w:sz="0" w:space="0" w:color="auto"/>
        <w:left w:val="none" w:sz="0" w:space="0" w:color="auto"/>
        <w:bottom w:val="none" w:sz="0" w:space="0" w:color="auto"/>
        <w:right w:val="none" w:sz="0" w:space="0" w:color="auto"/>
      </w:divBdr>
    </w:div>
    <w:div w:id="569927467">
      <w:bodyDiv w:val="1"/>
      <w:marLeft w:val="0"/>
      <w:marRight w:val="0"/>
      <w:marTop w:val="0"/>
      <w:marBottom w:val="0"/>
      <w:divBdr>
        <w:top w:val="none" w:sz="0" w:space="0" w:color="auto"/>
        <w:left w:val="none" w:sz="0" w:space="0" w:color="auto"/>
        <w:bottom w:val="none" w:sz="0" w:space="0" w:color="auto"/>
        <w:right w:val="none" w:sz="0" w:space="0" w:color="auto"/>
      </w:divBdr>
    </w:div>
    <w:div w:id="570121109">
      <w:bodyDiv w:val="1"/>
      <w:marLeft w:val="0"/>
      <w:marRight w:val="0"/>
      <w:marTop w:val="0"/>
      <w:marBottom w:val="0"/>
      <w:divBdr>
        <w:top w:val="none" w:sz="0" w:space="0" w:color="auto"/>
        <w:left w:val="none" w:sz="0" w:space="0" w:color="auto"/>
        <w:bottom w:val="none" w:sz="0" w:space="0" w:color="auto"/>
        <w:right w:val="none" w:sz="0" w:space="0" w:color="auto"/>
      </w:divBdr>
    </w:div>
    <w:div w:id="570382712">
      <w:bodyDiv w:val="1"/>
      <w:marLeft w:val="0"/>
      <w:marRight w:val="0"/>
      <w:marTop w:val="0"/>
      <w:marBottom w:val="0"/>
      <w:divBdr>
        <w:top w:val="none" w:sz="0" w:space="0" w:color="auto"/>
        <w:left w:val="none" w:sz="0" w:space="0" w:color="auto"/>
        <w:bottom w:val="none" w:sz="0" w:space="0" w:color="auto"/>
        <w:right w:val="none" w:sz="0" w:space="0" w:color="auto"/>
      </w:divBdr>
    </w:div>
    <w:div w:id="570696508">
      <w:bodyDiv w:val="1"/>
      <w:marLeft w:val="0"/>
      <w:marRight w:val="0"/>
      <w:marTop w:val="0"/>
      <w:marBottom w:val="0"/>
      <w:divBdr>
        <w:top w:val="none" w:sz="0" w:space="0" w:color="auto"/>
        <w:left w:val="none" w:sz="0" w:space="0" w:color="auto"/>
        <w:bottom w:val="none" w:sz="0" w:space="0" w:color="auto"/>
        <w:right w:val="none" w:sz="0" w:space="0" w:color="auto"/>
      </w:divBdr>
    </w:div>
    <w:div w:id="571161865">
      <w:bodyDiv w:val="1"/>
      <w:marLeft w:val="0"/>
      <w:marRight w:val="0"/>
      <w:marTop w:val="0"/>
      <w:marBottom w:val="0"/>
      <w:divBdr>
        <w:top w:val="none" w:sz="0" w:space="0" w:color="auto"/>
        <w:left w:val="none" w:sz="0" w:space="0" w:color="auto"/>
        <w:bottom w:val="none" w:sz="0" w:space="0" w:color="auto"/>
        <w:right w:val="none" w:sz="0" w:space="0" w:color="auto"/>
      </w:divBdr>
    </w:div>
    <w:div w:id="572666575">
      <w:bodyDiv w:val="1"/>
      <w:marLeft w:val="0"/>
      <w:marRight w:val="0"/>
      <w:marTop w:val="0"/>
      <w:marBottom w:val="0"/>
      <w:divBdr>
        <w:top w:val="none" w:sz="0" w:space="0" w:color="auto"/>
        <w:left w:val="none" w:sz="0" w:space="0" w:color="auto"/>
        <w:bottom w:val="none" w:sz="0" w:space="0" w:color="auto"/>
        <w:right w:val="none" w:sz="0" w:space="0" w:color="auto"/>
      </w:divBdr>
    </w:div>
    <w:div w:id="572853138">
      <w:bodyDiv w:val="1"/>
      <w:marLeft w:val="0"/>
      <w:marRight w:val="0"/>
      <w:marTop w:val="0"/>
      <w:marBottom w:val="0"/>
      <w:divBdr>
        <w:top w:val="none" w:sz="0" w:space="0" w:color="auto"/>
        <w:left w:val="none" w:sz="0" w:space="0" w:color="auto"/>
        <w:bottom w:val="none" w:sz="0" w:space="0" w:color="auto"/>
        <w:right w:val="none" w:sz="0" w:space="0" w:color="auto"/>
      </w:divBdr>
    </w:div>
    <w:div w:id="572934510">
      <w:bodyDiv w:val="1"/>
      <w:marLeft w:val="0"/>
      <w:marRight w:val="0"/>
      <w:marTop w:val="0"/>
      <w:marBottom w:val="0"/>
      <w:divBdr>
        <w:top w:val="none" w:sz="0" w:space="0" w:color="auto"/>
        <w:left w:val="none" w:sz="0" w:space="0" w:color="auto"/>
        <w:bottom w:val="none" w:sz="0" w:space="0" w:color="auto"/>
        <w:right w:val="none" w:sz="0" w:space="0" w:color="auto"/>
      </w:divBdr>
    </w:div>
    <w:div w:id="572936850">
      <w:bodyDiv w:val="1"/>
      <w:marLeft w:val="0"/>
      <w:marRight w:val="0"/>
      <w:marTop w:val="0"/>
      <w:marBottom w:val="0"/>
      <w:divBdr>
        <w:top w:val="none" w:sz="0" w:space="0" w:color="auto"/>
        <w:left w:val="none" w:sz="0" w:space="0" w:color="auto"/>
        <w:bottom w:val="none" w:sz="0" w:space="0" w:color="auto"/>
        <w:right w:val="none" w:sz="0" w:space="0" w:color="auto"/>
      </w:divBdr>
    </w:div>
    <w:div w:id="573127268">
      <w:bodyDiv w:val="1"/>
      <w:marLeft w:val="0"/>
      <w:marRight w:val="0"/>
      <w:marTop w:val="0"/>
      <w:marBottom w:val="0"/>
      <w:divBdr>
        <w:top w:val="none" w:sz="0" w:space="0" w:color="auto"/>
        <w:left w:val="none" w:sz="0" w:space="0" w:color="auto"/>
        <w:bottom w:val="none" w:sz="0" w:space="0" w:color="auto"/>
        <w:right w:val="none" w:sz="0" w:space="0" w:color="auto"/>
      </w:divBdr>
    </w:div>
    <w:div w:id="573244053">
      <w:bodyDiv w:val="1"/>
      <w:marLeft w:val="0"/>
      <w:marRight w:val="0"/>
      <w:marTop w:val="0"/>
      <w:marBottom w:val="0"/>
      <w:divBdr>
        <w:top w:val="none" w:sz="0" w:space="0" w:color="auto"/>
        <w:left w:val="none" w:sz="0" w:space="0" w:color="auto"/>
        <w:bottom w:val="none" w:sz="0" w:space="0" w:color="auto"/>
        <w:right w:val="none" w:sz="0" w:space="0" w:color="auto"/>
      </w:divBdr>
    </w:div>
    <w:div w:id="573511801">
      <w:bodyDiv w:val="1"/>
      <w:marLeft w:val="0"/>
      <w:marRight w:val="0"/>
      <w:marTop w:val="0"/>
      <w:marBottom w:val="0"/>
      <w:divBdr>
        <w:top w:val="none" w:sz="0" w:space="0" w:color="auto"/>
        <w:left w:val="none" w:sz="0" w:space="0" w:color="auto"/>
        <w:bottom w:val="none" w:sz="0" w:space="0" w:color="auto"/>
        <w:right w:val="none" w:sz="0" w:space="0" w:color="auto"/>
      </w:divBdr>
    </w:div>
    <w:div w:id="574703958">
      <w:bodyDiv w:val="1"/>
      <w:marLeft w:val="0"/>
      <w:marRight w:val="0"/>
      <w:marTop w:val="0"/>
      <w:marBottom w:val="0"/>
      <w:divBdr>
        <w:top w:val="none" w:sz="0" w:space="0" w:color="auto"/>
        <w:left w:val="none" w:sz="0" w:space="0" w:color="auto"/>
        <w:bottom w:val="none" w:sz="0" w:space="0" w:color="auto"/>
        <w:right w:val="none" w:sz="0" w:space="0" w:color="auto"/>
      </w:divBdr>
    </w:div>
    <w:div w:id="575168381">
      <w:bodyDiv w:val="1"/>
      <w:marLeft w:val="0"/>
      <w:marRight w:val="0"/>
      <w:marTop w:val="0"/>
      <w:marBottom w:val="0"/>
      <w:divBdr>
        <w:top w:val="none" w:sz="0" w:space="0" w:color="auto"/>
        <w:left w:val="none" w:sz="0" w:space="0" w:color="auto"/>
        <w:bottom w:val="none" w:sz="0" w:space="0" w:color="auto"/>
        <w:right w:val="none" w:sz="0" w:space="0" w:color="auto"/>
      </w:divBdr>
    </w:div>
    <w:div w:id="575556660">
      <w:bodyDiv w:val="1"/>
      <w:marLeft w:val="0"/>
      <w:marRight w:val="0"/>
      <w:marTop w:val="0"/>
      <w:marBottom w:val="0"/>
      <w:divBdr>
        <w:top w:val="none" w:sz="0" w:space="0" w:color="auto"/>
        <w:left w:val="none" w:sz="0" w:space="0" w:color="auto"/>
        <w:bottom w:val="none" w:sz="0" w:space="0" w:color="auto"/>
        <w:right w:val="none" w:sz="0" w:space="0" w:color="auto"/>
      </w:divBdr>
    </w:div>
    <w:div w:id="575558092">
      <w:bodyDiv w:val="1"/>
      <w:marLeft w:val="0"/>
      <w:marRight w:val="0"/>
      <w:marTop w:val="0"/>
      <w:marBottom w:val="0"/>
      <w:divBdr>
        <w:top w:val="none" w:sz="0" w:space="0" w:color="auto"/>
        <w:left w:val="none" w:sz="0" w:space="0" w:color="auto"/>
        <w:bottom w:val="none" w:sz="0" w:space="0" w:color="auto"/>
        <w:right w:val="none" w:sz="0" w:space="0" w:color="auto"/>
      </w:divBdr>
    </w:div>
    <w:div w:id="575631603">
      <w:bodyDiv w:val="1"/>
      <w:marLeft w:val="0"/>
      <w:marRight w:val="0"/>
      <w:marTop w:val="0"/>
      <w:marBottom w:val="0"/>
      <w:divBdr>
        <w:top w:val="none" w:sz="0" w:space="0" w:color="auto"/>
        <w:left w:val="none" w:sz="0" w:space="0" w:color="auto"/>
        <w:bottom w:val="none" w:sz="0" w:space="0" w:color="auto"/>
        <w:right w:val="none" w:sz="0" w:space="0" w:color="auto"/>
      </w:divBdr>
    </w:div>
    <w:div w:id="576746458">
      <w:bodyDiv w:val="1"/>
      <w:marLeft w:val="0"/>
      <w:marRight w:val="0"/>
      <w:marTop w:val="0"/>
      <w:marBottom w:val="0"/>
      <w:divBdr>
        <w:top w:val="none" w:sz="0" w:space="0" w:color="auto"/>
        <w:left w:val="none" w:sz="0" w:space="0" w:color="auto"/>
        <w:bottom w:val="none" w:sz="0" w:space="0" w:color="auto"/>
        <w:right w:val="none" w:sz="0" w:space="0" w:color="auto"/>
      </w:divBdr>
    </w:div>
    <w:div w:id="576748825">
      <w:bodyDiv w:val="1"/>
      <w:marLeft w:val="0"/>
      <w:marRight w:val="0"/>
      <w:marTop w:val="0"/>
      <w:marBottom w:val="0"/>
      <w:divBdr>
        <w:top w:val="none" w:sz="0" w:space="0" w:color="auto"/>
        <w:left w:val="none" w:sz="0" w:space="0" w:color="auto"/>
        <w:bottom w:val="none" w:sz="0" w:space="0" w:color="auto"/>
        <w:right w:val="none" w:sz="0" w:space="0" w:color="auto"/>
      </w:divBdr>
    </w:div>
    <w:div w:id="576936499">
      <w:bodyDiv w:val="1"/>
      <w:marLeft w:val="0"/>
      <w:marRight w:val="0"/>
      <w:marTop w:val="0"/>
      <w:marBottom w:val="0"/>
      <w:divBdr>
        <w:top w:val="none" w:sz="0" w:space="0" w:color="auto"/>
        <w:left w:val="none" w:sz="0" w:space="0" w:color="auto"/>
        <w:bottom w:val="none" w:sz="0" w:space="0" w:color="auto"/>
        <w:right w:val="none" w:sz="0" w:space="0" w:color="auto"/>
      </w:divBdr>
    </w:div>
    <w:div w:id="577325967">
      <w:bodyDiv w:val="1"/>
      <w:marLeft w:val="0"/>
      <w:marRight w:val="0"/>
      <w:marTop w:val="0"/>
      <w:marBottom w:val="0"/>
      <w:divBdr>
        <w:top w:val="none" w:sz="0" w:space="0" w:color="auto"/>
        <w:left w:val="none" w:sz="0" w:space="0" w:color="auto"/>
        <w:bottom w:val="none" w:sz="0" w:space="0" w:color="auto"/>
        <w:right w:val="none" w:sz="0" w:space="0" w:color="auto"/>
      </w:divBdr>
    </w:div>
    <w:div w:id="578441420">
      <w:bodyDiv w:val="1"/>
      <w:marLeft w:val="0"/>
      <w:marRight w:val="0"/>
      <w:marTop w:val="0"/>
      <w:marBottom w:val="0"/>
      <w:divBdr>
        <w:top w:val="none" w:sz="0" w:space="0" w:color="auto"/>
        <w:left w:val="none" w:sz="0" w:space="0" w:color="auto"/>
        <w:bottom w:val="none" w:sz="0" w:space="0" w:color="auto"/>
        <w:right w:val="none" w:sz="0" w:space="0" w:color="auto"/>
      </w:divBdr>
    </w:div>
    <w:div w:id="578487284">
      <w:bodyDiv w:val="1"/>
      <w:marLeft w:val="0"/>
      <w:marRight w:val="0"/>
      <w:marTop w:val="0"/>
      <w:marBottom w:val="0"/>
      <w:divBdr>
        <w:top w:val="none" w:sz="0" w:space="0" w:color="auto"/>
        <w:left w:val="none" w:sz="0" w:space="0" w:color="auto"/>
        <w:bottom w:val="none" w:sz="0" w:space="0" w:color="auto"/>
        <w:right w:val="none" w:sz="0" w:space="0" w:color="auto"/>
      </w:divBdr>
    </w:div>
    <w:div w:id="578826436">
      <w:bodyDiv w:val="1"/>
      <w:marLeft w:val="0"/>
      <w:marRight w:val="0"/>
      <w:marTop w:val="0"/>
      <w:marBottom w:val="0"/>
      <w:divBdr>
        <w:top w:val="none" w:sz="0" w:space="0" w:color="auto"/>
        <w:left w:val="none" w:sz="0" w:space="0" w:color="auto"/>
        <w:bottom w:val="none" w:sz="0" w:space="0" w:color="auto"/>
        <w:right w:val="none" w:sz="0" w:space="0" w:color="auto"/>
      </w:divBdr>
    </w:div>
    <w:div w:id="579410288">
      <w:bodyDiv w:val="1"/>
      <w:marLeft w:val="0"/>
      <w:marRight w:val="0"/>
      <w:marTop w:val="0"/>
      <w:marBottom w:val="0"/>
      <w:divBdr>
        <w:top w:val="none" w:sz="0" w:space="0" w:color="auto"/>
        <w:left w:val="none" w:sz="0" w:space="0" w:color="auto"/>
        <w:bottom w:val="none" w:sz="0" w:space="0" w:color="auto"/>
        <w:right w:val="none" w:sz="0" w:space="0" w:color="auto"/>
      </w:divBdr>
    </w:div>
    <w:div w:id="581111741">
      <w:bodyDiv w:val="1"/>
      <w:marLeft w:val="0"/>
      <w:marRight w:val="0"/>
      <w:marTop w:val="0"/>
      <w:marBottom w:val="0"/>
      <w:divBdr>
        <w:top w:val="none" w:sz="0" w:space="0" w:color="auto"/>
        <w:left w:val="none" w:sz="0" w:space="0" w:color="auto"/>
        <w:bottom w:val="none" w:sz="0" w:space="0" w:color="auto"/>
        <w:right w:val="none" w:sz="0" w:space="0" w:color="auto"/>
      </w:divBdr>
    </w:div>
    <w:div w:id="581524041">
      <w:bodyDiv w:val="1"/>
      <w:marLeft w:val="0"/>
      <w:marRight w:val="0"/>
      <w:marTop w:val="0"/>
      <w:marBottom w:val="0"/>
      <w:divBdr>
        <w:top w:val="none" w:sz="0" w:space="0" w:color="auto"/>
        <w:left w:val="none" w:sz="0" w:space="0" w:color="auto"/>
        <w:bottom w:val="none" w:sz="0" w:space="0" w:color="auto"/>
        <w:right w:val="none" w:sz="0" w:space="0" w:color="auto"/>
      </w:divBdr>
    </w:div>
    <w:div w:id="581525613">
      <w:bodyDiv w:val="1"/>
      <w:marLeft w:val="0"/>
      <w:marRight w:val="0"/>
      <w:marTop w:val="0"/>
      <w:marBottom w:val="0"/>
      <w:divBdr>
        <w:top w:val="none" w:sz="0" w:space="0" w:color="auto"/>
        <w:left w:val="none" w:sz="0" w:space="0" w:color="auto"/>
        <w:bottom w:val="none" w:sz="0" w:space="0" w:color="auto"/>
        <w:right w:val="none" w:sz="0" w:space="0" w:color="auto"/>
      </w:divBdr>
    </w:div>
    <w:div w:id="581833841">
      <w:bodyDiv w:val="1"/>
      <w:marLeft w:val="0"/>
      <w:marRight w:val="0"/>
      <w:marTop w:val="0"/>
      <w:marBottom w:val="0"/>
      <w:divBdr>
        <w:top w:val="none" w:sz="0" w:space="0" w:color="auto"/>
        <w:left w:val="none" w:sz="0" w:space="0" w:color="auto"/>
        <w:bottom w:val="none" w:sz="0" w:space="0" w:color="auto"/>
        <w:right w:val="none" w:sz="0" w:space="0" w:color="auto"/>
      </w:divBdr>
    </w:div>
    <w:div w:id="582033184">
      <w:bodyDiv w:val="1"/>
      <w:marLeft w:val="0"/>
      <w:marRight w:val="0"/>
      <w:marTop w:val="0"/>
      <w:marBottom w:val="0"/>
      <w:divBdr>
        <w:top w:val="none" w:sz="0" w:space="0" w:color="auto"/>
        <w:left w:val="none" w:sz="0" w:space="0" w:color="auto"/>
        <w:bottom w:val="none" w:sz="0" w:space="0" w:color="auto"/>
        <w:right w:val="none" w:sz="0" w:space="0" w:color="auto"/>
      </w:divBdr>
    </w:div>
    <w:div w:id="583613466">
      <w:bodyDiv w:val="1"/>
      <w:marLeft w:val="0"/>
      <w:marRight w:val="0"/>
      <w:marTop w:val="0"/>
      <w:marBottom w:val="0"/>
      <w:divBdr>
        <w:top w:val="none" w:sz="0" w:space="0" w:color="auto"/>
        <w:left w:val="none" w:sz="0" w:space="0" w:color="auto"/>
        <w:bottom w:val="none" w:sz="0" w:space="0" w:color="auto"/>
        <w:right w:val="none" w:sz="0" w:space="0" w:color="auto"/>
      </w:divBdr>
    </w:div>
    <w:div w:id="583686305">
      <w:bodyDiv w:val="1"/>
      <w:marLeft w:val="0"/>
      <w:marRight w:val="0"/>
      <w:marTop w:val="0"/>
      <w:marBottom w:val="0"/>
      <w:divBdr>
        <w:top w:val="none" w:sz="0" w:space="0" w:color="auto"/>
        <w:left w:val="none" w:sz="0" w:space="0" w:color="auto"/>
        <w:bottom w:val="none" w:sz="0" w:space="0" w:color="auto"/>
        <w:right w:val="none" w:sz="0" w:space="0" w:color="auto"/>
      </w:divBdr>
    </w:div>
    <w:div w:id="584151154">
      <w:bodyDiv w:val="1"/>
      <w:marLeft w:val="0"/>
      <w:marRight w:val="0"/>
      <w:marTop w:val="0"/>
      <w:marBottom w:val="0"/>
      <w:divBdr>
        <w:top w:val="none" w:sz="0" w:space="0" w:color="auto"/>
        <w:left w:val="none" w:sz="0" w:space="0" w:color="auto"/>
        <w:bottom w:val="none" w:sz="0" w:space="0" w:color="auto"/>
        <w:right w:val="none" w:sz="0" w:space="0" w:color="auto"/>
      </w:divBdr>
    </w:div>
    <w:div w:id="584152566">
      <w:bodyDiv w:val="1"/>
      <w:marLeft w:val="0"/>
      <w:marRight w:val="0"/>
      <w:marTop w:val="0"/>
      <w:marBottom w:val="0"/>
      <w:divBdr>
        <w:top w:val="none" w:sz="0" w:space="0" w:color="auto"/>
        <w:left w:val="none" w:sz="0" w:space="0" w:color="auto"/>
        <w:bottom w:val="none" w:sz="0" w:space="0" w:color="auto"/>
        <w:right w:val="none" w:sz="0" w:space="0" w:color="auto"/>
      </w:divBdr>
    </w:div>
    <w:div w:id="585190778">
      <w:bodyDiv w:val="1"/>
      <w:marLeft w:val="0"/>
      <w:marRight w:val="0"/>
      <w:marTop w:val="0"/>
      <w:marBottom w:val="0"/>
      <w:divBdr>
        <w:top w:val="none" w:sz="0" w:space="0" w:color="auto"/>
        <w:left w:val="none" w:sz="0" w:space="0" w:color="auto"/>
        <w:bottom w:val="none" w:sz="0" w:space="0" w:color="auto"/>
        <w:right w:val="none" w:sz="0" w:space="0" w:color="auto"/>
      </w:divBdr>
    </w:div>
    <w:div w:id="586891919">
      <w:bodyDiv w:val="1"/>
      <w:marLeft w:val="0"/>
      <w:marRight w:val="0"/>
      <w:marTop w:val="0"/>
      <w:marBottom w:val="0"/>
      <w:divBdr>
        <w:top w:val="none" w:sz="0" w:space="0" w:color="auto"/>
        <w:left w:val="none" w:sz="0" w:space="0" w:color="auto"/>
        <w:bottom w:val="none" w:sz="0" w:space="0" w:color="auto"/>
        <w:right w:val="none" w:sz="0" w:space="0" w:color="auto"/>
      </w:divBdr>
    </w:div>
    <w:div w:id="586960958">
      <w:bodyDiv w:val="1"/>
      <w:marLeft w:val="0"/>
      <w:marRight w:val="0"/>
      <w:marTop w:val="0"/>
      <w:marBottom w:val="0"/>
      <w:divBdr>
        <w:top w:val="none" w:sz="0" w:space="0" w:color="auto"/>
        <w:left w:val="none" w:sz="0" w:space="0" w:color="auto"/>
        <w:bottom w:val="none" w:sz="0" w:space="0" w:color="auto"/>
        <w:right w:val="none" w:sz="0" w:space="0" w:color="auto"/>
      </w:divBdr>
    </w:div>
    <w:div w:id="587925192">
      <w:bodyDiv w:val="1"/>
      <w:marLeft w:val="0"/>
      <w:marRight w:val="0"/>
      <w:marTop w:val="0"/>
      <w:marBottom w:val="0"/>
      <w:divBdr>
        <w:top w:val="none" w:sz="0" w:space="0" w:color="auto"/>
        <w:left w:val="none" w:sz="0" w:space="0" w:color="auto"/>
        <w:bottom w:val="none" w:sz="0" w:space="0" w:color="auto"/>
        <w:right w:val="none" w:sz="0" w:space="0" w:color="auto"/>
      </w:divBdr>
    </w:div>
    <w:div w:id="588199861">
      <w:bodyDiv w:val="1"/>
      <w:marLeft w:val="0"/>
      <w:marRight w:val="0"/>
      <w:marTop w:val="0"/>
      <w:marBottom w:val="0"/>
      <w:divBdr>
        <w:top w:val="none" w:sz="0" w:space="0" w:color="auto"/>
        <w:left w:val="none" w:sz="0" w:space="0" w:color="auto"/>
        <w:bottom w:val="none" w:sz="0" w:space="0" w:color="auto"/>
        <w:right w:val="none" w:sz="0" w:space="0" w:color="auto"/>
      </w:divBdr>
    </w:div>
    <w:div w:id="588386701">
      <w:bodyDiv w:val="1"/>
      <w:marLeft w:val="0"/>
      <w:marRight w:val="0"/>
      <w:marTop w:val="0"/>
      <w:marBottom w:val="0"/>
      <w:divBdr>
        <w:top w:val="none" w:sz="0" w:space="0" w:color="auto"/>
        <w:left w:val="none" w:sz="0" w:space="0" w:color="auto"/>
        <w:bottom w:val="none" w:sz="0" w:space="0" w:color="auto"/>
        <w:right w:val="none" w:sz="0" w:space="0" w:color="auto"/>
      </w:divBdr>
    </w:div>
    <w:div w:id="589192986">
      <w:bodyDiv w:val="1"/>
      <w:marLeft w:val="0"/>
      <w:marRight w:val="0"/>
      <w:marTop w:val="0"/>
      <w:marBottom w:val="0"/>
      <w:divBdr>
        <w:top w:val="none" w:sz="0" w:space="0" w:color="auto"/>
        <w:left w:val="none" w:sz="0" w:space="0" w:color="auto"/>
        <w:bottom w:val="none" w:sz="0" w:space="0" w:color="auto"/>
        <w:right w:val="none" w:sz="0" w:space="0" w:color="auto"/>
      </w:divBdr>
    </w:div>
    <w:div w:id="589850190">
      <w:bodyDiv w:val="1"/>
      <w:marLeft w:val="0"/>
      <w:marRight w:val="0"/>
      <w:marTop w:val="0"/>
      <w:marBottom w:val="0"/>
      <w:divBdr>
        <w:top w:val="none" w:sz="0" w:space="0" w:color="auto"/>
        <w:left w:val="none" w:sz="0" w:space="0" w:color="auto"/>
        <w:bottom w:val="none" w:sz="0" w:space="0" w:color="auto"/>
        <w:right w:val="none" w:sz="0" w:space="0" w:color="auto"/>
      </w:divBdr>
    </w:div>
    <w:div w:id="589970819">
      <w:bodyDiv w:val="1"/>
      <w:marLeft w:val="0"/>
      <w:marRight w:val="0"/>
      <w:marTop w:val="0"/>
      <w:marBottom w:val="0"/>
      <w:divBdr>
        <w:top w:val="none" w:sz="0" w:space="0" w:color="auto"/>
        <w:left w:val="none" w:sz="0" w:space="0" w:color="auto"/>
        <w:bottom w:val="none" w:sz="0" w:space="0" w:color="auto"/>
        <w:right w:val="none" w:sz="0" w:space="0" w:color="auto"/>
      </w:divBdr>
    </w:div>
    <w:div w:id="591547545">
      <w:bodyDiv w:val="1"/>
      <w:marLeft w:val="0"/>
      <w:marRight w:val="0"/>
      <w:marTop w:val="0"/>
      <w:marBottom w:val="0"/>
      <w:divBdr>
        <w:top w:val="none" w:sz="0" w:space="0" w:color="auto"/>
        <w:left w:val="none" w:sz="0" w:space="0" w:color="auto"/>
        <w:bottom w:val="none" w:sz="0" w:space="0" w:color="auto"/>
        <w:right w:val="none" w:sz="0" w:space="0" w:color="auto"/>
      </w:divBdr>
    </w:div>
    <w:div w:id="592008452">
      <w:bodyDiv w:val="1"/>
      <w:marLeft w:val="0"/>
      <w:marRight w:val="0"/>
      <w:marTop w:val="0"/>
      <w:marBottom w:val="0"/>
      <w:divBdr>
        <w:top w:val="none" w:sz="0" w:space="0" w:color="auto"/>
        <w:left w:val="none" w:sz="0" w:space="0" w:color="auto"/>
        <w:bottom w:val="none" w:sz="0" w:space="0" w:color="auto"/>
        <w:right w:val="none" w:sz="0" w:space="0" w:color="auto"/>
      </w:divBdr>
    </w:div>
    <w:div w:id="592008546">
      <w:bodyDiv w:val="1"/>
      <w:marLeft w:val="0"/>
      <w:marRight w:val="0"/>
      <w:marTop w:val="0"/>
      <w:marBottom w:val="0"/>
      <w:divBdr>
        <w:top w:val="none" w:sz="0" w:space="0" w:color="auto"/>
        <w:left w:val="none" w:sz="0" w:space="0" w:color="auto"/>
        <w:bottom w:val="none" w:sz="0" w:space="0" w:color="auto"/>
        <w:right w:val="none" w:sz="0" w:space="0" w:color="auto"/>
      </w:divBdr>
    </w:div>
    <w:div w:id="592134090">
      <w:bodyDiv w:val="1"/>
      <w:marLeft w:val="0"/>
      <w:marRight w:val="0"/>
      <w:marTop w:val="0"/>
      <w:marBottom w:val="0"/>
      <w:divBdr>
        <w:top w:val="none" w:sz="0" w:space="0" w:color="auto"/>
        <w:left w:val="none" w:sz="0" w:space="0" w:color="auto"/>
        <w:bottom w:val="none" w:sz="0" w:space="0" w:color="auto"/>
        <w:right w:val="none" w:sz="0" w:space="0" w:color="auto"/>
      </w:divBdr>
    </w:div>
    <w:div w:id="592318595">
      <w:bodyDiv w:val="1"/>
      <w:marLeft w:val="0"/>
      <w:marRight w:val="0"/>
      <w:marTop w:val="0"/>
      <w:marBottom w:val="0"/>
      <w:divBdr>
        <w:top w:val="none" w:sz="0" w:space="0" w:color="auto"/>
        <w:left w:val="none" w:sz="0" w:space="0" w:color="auto"/>
        <w:bottom w:val="none" w:sz="0" w:space="0" w:color="auto"/>
        <w:right w:val="none" w:sz="0" w:space="0" w:color="auto"/>
      </w:divBdr>
    </w:div>
    <w:div w:id="592595422">
      <w:bodyDiv w:val="1"/>
      <w:marLeft w:val="0"/>
      <w:marRight w:val="0"/>
      <w:marTop w:val="0"/>
      <w:marBottom w:val="0"/>
      <w:divBdr>
        <w:top w:val="none" w:sz="0" w:space="0" w:color="auto"/>
        <w:left w:val="none" w:sz="0" w:space="0" w:color="auto"/>
        <w:bottom w:val="none" w:sz="0" w:space="0" w:color="auto"/>
        <w:right w:val="none" w:sz="0" w:space="0" w:color="auto"/>
      </w:divBdr>
    </w:div>
    <w:div w:id="593048814">
      <w:bodyDiv w:val="1"/>
      <w:marLeft w:val="0"/>
      <w:marRight w:val="0"/>
      <w:marTop w:val="0"/>
      <w:marBottom w:val="0"/>
      <w:divBdr>
        <w:top w:val="none" w:sz="0" w:space="0" w:color="auto"/>
        <w:left w:val="none" w:sz="0" w:space="0" w:color="auto"/>
        <w:bottom w:val="none" w:sz="0" w:space="0" w:color="auto"/>
        <w:right w:val="none" w:sz="0" w:space="0" w:color="auto"/>
      </w:divBdr>
    </w:div>
    <w:div w:id="593317741">
      <w:bodyDiv w:val="1"/>
      <w:marLeft w:val="0"/>
      <w:marRight w:val="0"/>
      <w:marTop w:val="0"/>
      <w:marBottom w:val="0"/>
      <w:divBdr>
        <w:top w:val="none" w:sz="0" w:space="0" w:color="auto"/>
        <w:left w:val="none" w:sz="0" w:space="0" w:color="auto"/>
        <w:bottom w:val="none" w:sz="0" w:space="0" w:color="auto"/>
        <w:right w:val="none" w:sz="0" w:space="0" w:color="auto"/>
      </w:divBdr>
    </w:div>
    <w:div w:id="593367709">
      <w:bodyDiv w:val="1"/>
      <w:marLeft w:val="0"/>
      <w:marRight w:val="0"/>
      <w:marTop w:val="0"/>
      <w:marBottom w:val="0"/>
      <w:divBdr>
        <w:top w:val="none" w:sz="0" w:space="0" w:color="auto"/>
        <w:left w:val="none" w:sz="0" w:space="0" w:color="auto"/>
        <w:bottom w:val="none" w:sz="0" w:space="0" w:color="auto"/>
        <w:right w:val="none" w:sz="0" w:space="0" w:color="auto"/>
      </w:divBdr>
    </w:div>
    <w:div w:id="593440153">
      <w:bodyDiv w:val="1"/>
      <w:marLeft w:val="0"/>
      <w:marRight w:val="0"/>
      <w:marTop w:val="0"/>
      <w:marBottom w:val="0"/>
      <w:divBdr>
        <w:top w:val="none" w:sz="0" w:space="0" w:color="auto"/>
        <w:left w:val="none" w:sz="0" w:space="0" w:color="auto"/>
        <w:bottom w:val="none" w:sz="0" w:space="0" w:color="auto"/>
        <w:right w:val="none" w:sz="0" w:space="0" w:color="auto"/>
      </w:divBdr>
    </w:div>
    <w:div w:id="593441079">
      <w:bodyDiv w:val="1"/>
      <w:marLeft w:val="0"/>
      <w:marRight w:val="0"/>
      <w:marTop w:val="0"/>
      <w:marBottom w:val="0"/>
      <w:divBdr>
        <w:top w:val="none" w:sz="0" w:space="0" w:color="auto"/>
        <w:left w:val="none" w:sz="0" w:space="0" w:color="auto"/>
        <w:bottom w:val="none" w:sz="0" w:space="0" w:color="auto"/>
        <w:right w:val="none" w:sz="0" w:space="0" w:color="auto"/>
      </w:divBdr>
    </w:div>
    <w:div w:id="593589353">
      <w:bodyDiv w:val="1"/>
      <w:marLeft w:val="0"/>
      <w:marRight w:val="0"/>
      <w:marTop w:val="0"/>
      <w:marBottom w:val="0"/>
      <w:divBdr>
        <w:top w:val="none" w:sz="0" w:space="0" w:color="auto"/>
        <w:left w:val="none" w:sz="0" w:space="0" w:color="auto"/>
        <w:bottom w:val="none" w:sz="0" w:space="0" w:color="auto"/>
        <w:right w:val="none" w:sz="0" w:space="0" w:color="auto"/>
      </w:divBdr>
    </w:div>
    <w:div w:id="593779713">
      <w:bodyDiv w:val="1"/>
      <w:marLeft w:val="0"/>
      <w:marRight w:val="0"/>
      <w:marTop w:val="0"/>
      <w:marBottom w:val="0"/>
      <w:divBdr>
        <w:top w:val="none" w:sz="0" w:space="0" w:color="auto"/>
        <w:left w:val="none" w:sz="0" w:space="0" w:color="auto"/>
        <w:bottom w:val="none" w:sz="0" w:space="0" w:color="auto"/>
        <w:right w:val="none" w:sz="0" w:space="0" w:color="auto"/>
      </w:divBdr>
    </w:div>
    <w:div w:id="593787735">
      <w:bodyDiv w:val="1"/>
      <w:marLeft w:val="0"/>
      <w:marRight w:val="0"/>
      <w:marTop w:val="0"/>
      <w:marBottom w:val="0"/>
      <w:divBdr>
        <w:top w:val="none" w:sz="0" w:space="0" w:color="auto"/>
        <w:left w:val="none" w:sz="0" w:space="0" w:color="auto"/>
        <w:bottom w:val="none" w:sz="0" w:space="0" w:color="auto"/>
        <w:right w:val="none" w:sz="0" w:space="0" w:color="auto"/>
      </w:divBdr>
    </w:div>
    <w:div w:id="593825145">
      <w:bodyDiv w:val="1"/>
      <w:marLeft w:val="0"/>
      <w:marRight w:val="0"/>
      <w:marTop w:val="0"/>
      <w:marBottom w:val="0"/>
      <w:divBdr>
        <w:top w:val="none" w:sz="0" w:space="0" w:color="auto"/>
        <w:left w:val="none" w:sz="0" w:space="0" w:color="auto"/>
        <w:bottom w:val="none" w:sz="0" w:space="0" w:color="auto"/>
        <w:right w:val="none" w:sz="0" w:space="0" w:color="auto"/>
      </w:divBdr>
    </w:div>
    <w:div w:id="595330348">
      <w:bodyDiv w:val="1"/>
      <w:marLeft w:val="0"/>
      <w:marRight w:val="0"/>
      <w:marTop w:val="0"/>
      <w:marBottom w:val="0"/>
      <w:divBdr>
        <w:top w:val="none" w:sz="0" w:space="0" w:color="auto"/>
        <w:left w:val="none" w:sz="0" w:space="0" w:color="auto"/>
        <w:bottom w:val="none" w:sz="0" w:space="0" w:color="auto"/>
        <w:right w:val="none" w:sz="0" w:space="0" w:color="auto"/>
      </w:divBdr>
    </w:div>
    <w:div w:id="595551535">
      <w:bodyDiv w:val="1"/>
      <w:marLeft w:val="0"/>
      <w:marRight w:val="0"/>
      <w:marTop w:val="0"/>
      <w:marBottom w:val="0"/>
      <w:divBdr>
        <w:top w:val="none" w:sz="0" w:space="0" w:color="auto"/>
        <w:left w:val="none" w:sz="0" w:space="0" w:color="auto"/>
        <w:bottom w:val="none" w:sz="0" w:space="0" w:color="auto"/>
        <w:right w:val="none" w:sz="0" w:space="0" w:color="auto"/>
      </w:divBdr>
    </w:div>
    <w:div w:id="596057814">
      <w:bodyDiv w:val="1"/>
      <w:marLeft w:val="0"/>
      <w:marRight w:val="0"/>
      <w:marTop w:val="0"/>
      <w:marBottom w:val="0"/>
      <w:divBdr>
        <w:top w:val="none" w:sz="0" w:space="0" w:color="auto"/>
        <w:left w:val="none" w:sz="0" w:space="0" w:color="auto"/>
        <w:bottom w:val="none" w:sz="0" w:space="0" w:color="auto"/>
        <w:right w:val="none" w:sz="0" w:space="0" w:color="auto"/>
      </w:divBdr>
    </w:div>
    <w:div w:id="596060921">
      <w:bodyDiv w:val="1"/>
      <w:marLeft w:val="0"/>
      <w:marRight w:val="0"/>
      <w:marTop w:val="0"/>
      <w:marBottom w:val="0"/>
      <w:divBdr>
        <w:top w:val="none" w:sz="0" w:space="0" w:color="auto"/>
        <w:left w:val="none" w:sz="0" w:space="0" w:color="auto"/>
        <w:bottom w:val="none" w:sz="0" w:space="0" w:color="auto"/>
        <w:right w:val="none" w:sz="0" w:space="0" w:color="auto"/>
      </w:divBdr>
    </w:div>
    <w:div w:id="596475408">
      <w:bodyDiv w:val="1"/>
      <w:marLeft w:val="0"/>
      <w:marRight w:val="0"/>
      <w:marTop w:val="0"/>
      <w:marBottom w:val="0"/>
      <w:divBdr>
        <w:top w:val="none" w:sz="0" w:space="0" w:color="auto"/>
        <w:left w:val="none" w:sz="0" w:space="0" w:color="auto"/>
        <w:bottom w:val="none" w:sz="0" w:space="0" w:color="auto"/>
        <w:right w:val="none" w:sz="0" w:space="0" w:color="auto"/>
      </w:divBdr>
    </w:div>
    <w:div w:id="596719487">
      <w:bodyDiv w:val="1"/>
      <w:marLeft w:val="0"/>
      <w:marRight w:val="0"/>
      <w:marTop w:val="0"/>
      <w:marBottom w:val="0"/>
      <w:divBdr>
        <w:top w:val="none" w:sz="0" w:space="0" w:color="auto"/>
        <w:left w:val="none" w:sz="0" w:space="0" w:color="auto"/>
        <w:bottom w:val="none" w:sz="0" w:space="0" w:color="auto"/>
        <w:right w:val="none" w:sz="0" w:space="0" w:color="auto"/>
      </w:divBdr>
    </w:div>
    <w:div w:id="598760798">
      <w:bodyDiv w:val="1"/>
      <w:marLeft w:val="0"/>
      <w:marRight w:val="0"/>
      <w:marTop w:val="0"/>
      <w:marBottom w:val="0"/>
      <w:divBdr>
        <w:top w:val="none" w:sz="0" w:space="0" w:color="auto"/>
        <w:left w:val="none" w:sz="0" w:space="0" w:color="auto"/>
        <w:bottom w:val="none" w:sz="0" w:space="0" w:color="auto"/>
        <w:right w:val="none" w:sz="0" w:space="0" w:color="auto"/>
      </w:divBdr>
    </w:div>
    <w:div w:id="598952891">
      <w:bodyDiv w:val="1"/>
      <w:marLeft w:val="0"/>
      <w:marRight w:val="0"/>
      <w:marTop w:val="0"/>
      <w:marBottom w:val="0"/>
      <w:divBdr>
        <w:top w:val="none" w:sz="0" w:space="0" w:color="auto"/>
        <w:left w:val="none" w:sz="0" w:space="0" w:color="auto"/>
        <w:bottom w:val="none" w:sz="0" w:space="0" w:color="auto"/>
        <w:right w:val="none" w:sz="0" w:space="0" w:color="auto"/>
      </w:divBdr>
    </w:div>
    <w:div w:id="599528215">
      <w:bodyDiv w:val="1"/>
      <w:marLeft w:val="0"/>
      <w:marRight w:val="0"/>
      <w:marTop w:val="0"/>
      <w:marBottom w:val="0"/>
      <w:divBdr>
        <w:top w:val="none" w:sz="0" w:space="0" w:color="auto"/>
        <w:left w:val="none" w:sz="0" w:space="0" w:color="auto"/>
        <w:bottom w:val="none" w:sz="0" w:space="0" w:color="auto"/>
        <w:right w:val="none" w:sz="0" w:space="0" w:color="auto"/>
      </w:divBdr>
    </w:div>
    <w:div w:id="599796004">
      <w:bodyDiv w:val="1"/>
      <w:marLeft w:val="0"/>
      <w:marRight w:val="0"/>
      <w:marTop w:val="0"/>
      <w:marBottom w:val="0"/>
      <w:divBdr>
        <w:top w:val="none" w:sz="0" w:space="0" w:color="auto"/>
        <w:left w:val="none" w:sz="0" w:space="0" w:color="auto"/>
        <w:bottom w:val="none" w:sz="0" w:space="0" w:color="auto"/>
        <w:right w:val="none" w:sz="0" w:space="0" w:color="auto"/>
      </w:divBdr>
    </w:div>
    <w:div w:id="600113849">
      <w:bodyDiv w:val="1"/>
      <w:marLeft w:val="0"/>
      <w:marRight w:val="0"/>
      <w:marTop w:val="0"/>
      <w:marBottom w:val="0"/>
      <w:divBdr>
        <w:top w:val="none" w:sz="0" w:space="0" w:color="auto"/>
        <w:left w:val="none" w:sz="0" w:space="0" w:color="auto"/>
        <w:bottom w:val="none" w:sz="0" w:space="0" w:color="auto"/>
        <w:right w:val="none" w:sz="0" w:space="0" w:color="auto"/>
      </w:divBdr>
    </w:div>
    <w:div w:id="600181881">
      <w:bodyDiv w:val="1"/>
      <w:marLeft w:val="0"/>
      <w:marRight w:val="0"/>
      <w:marTop w:val="0"/>
      <w:marBottom w:val="0"/>
      <w:divBdr>
        <w:top w:val="none" w:sz="0" w:space="0" w:color="auto"/>
        <w:left w:val="none" w:sz="0" w:space="0" w:color="auto"/>
        <w:bottom w:val="none" w:sz="0" w:space="0" w:color="auto"/>
        <w:right w:val="none" w:sz="0" w:space="0" w:color="auto"/>
      </w:divBdr>
    </w:div>
    <w:div w:id="600261017">
      <w:bodyDiv w:val="1"/>
      <w:marLeft w:val="0"/>
      <w:marRight w:val="0"/>
      <w:marTop w:val="0"/>
      <w:marBottom w:val="0"/>
      <w:divBdr>
        <w:top w:val="none" w:sz="0" w:space="0" w:color="auto"/>
        <w:left w:val="none" w:sz="0" w:space="0" w:color="auto"/>
        <w:bottom w:val="none" w:sz="0" w:space="0" w:color="auto"/>
        <w:right w:val="none" w:sz="0" w:space="0" w:color="auto"/>
      </w:divBdr>
    </w:div>
    <w:div w:id="600451318">
      <w:bodyDiv w:val="1"/>
      <w:marLeft w:val="0"/>
      <w:marRight w:val="0"/>
      <w:marTop w:val="0"/>
      <w:marBottom w:val="0"/>
      <w:divBdr>
        <w:top w:val="none" w:sz="0" w:space="0" w:color="auto"/>
        <w:left w:val="none" w:sz="0" w:space="0" w:color="auto"/>
        <w:bottom w:val="none" w:sz="0" w:space="0" w:color="auto"/>
        <w:right w:val="none" w:sz="0" w:space="0" w:color="auto"/>
      </w:divBdr>
    </w:div>
    <w:div w:id="600722638">
      <w:bodyDiv w:val="1"/>
      <w:marLeft w:val="0"/>
      <w:marRight w:val="0"/>
      <w:marTop w:val="0"/>
      <w:marBottom w:val="0"/>
      <w:divBdr>
        <w:top w:val="none" w:sz="0" w:space="0" w:color="auto"/>
        <w:left w:val="none" w:sz="0" w:space="0" w:color="auto"/>
        <w:bottom w:val="none" w:sz="0" w:space="0" w:color="auto"/>
        <w:right w:val="none" w:sz="0" w:space="0" w:color="auto"/>
      </w:divBdr>
    </w:div>
    <w:div w:id="601493846">
      <w:bodyDiv w:val="1"/>
      <w:marLeft w:val="0"/>
      <w:marRight w:val="0"/>
      <w:marTop w:val="0"/>
      <w:marBottom w:val="0"/>
      <w:divBdr>
        <w:top w:val="none" w:sz="0" w:space="0" w:color="auto"/>
        <w:left w:val="none" w:sz="0" w:space="0" w:color="auto"/>
        <w:bottom w:val="none" w:sz="0" w:space="0" w:color="auto"/>
        <w:right w:val="none" w:sz="0" w:space="0" w:color="auto"/>
      </w:divBdr>
    </w:div>
    <w:div w:id="601651640">
      <w:bodyDiv w:val="1"/>
      <w:marLeft w:val="0"/>
      <w:marRight w:val="0"/>
      <w:marTop w:val="0"/>
      <w:marBottom w:val="0"/>
      <w:divBdr>
        <w:top w:val="none" w:sz="0" w:space="0" w:color="auto"/>
        <w:left w:val="none" w:sz="0" w:space="0" w:color="auto"/>
        <w:bottom w:val="none" w:sz="0" w:space="0" w:color="auto"/>
        <w:right w:val="none" w:sz="0" w:space="0" w:color="auto"/>
      </w:divBdr>
    </w:div>
    <w:div w:id="601694228">
      <w:bodyDiv w:val="1"/>
      <w:marLeft w:val="0"/>
      <w:marRight w:val="0"/>
      <w:marTop w:val="0"/>
      <w:marBottom w:val="0"/>
      <w:divBdr>
        <w:top w:val="none" w:sz="0" w:space="0" w:color="auto"/>
        <w:left w:val="none" w:sz="0" w:space="0" w:color="auto"/>
        <w:bottom w:val="none" w:sz="0" w:space="0" w:color="auto"/>
        <w:right w:val="none" w:sz="0" w:space="0" w:color="auto"/>
      </w:divBdr>
    </w:div>
    <w:div w:id="602038427">
      <w:bodyDiv w:val="1"/>
      <w:marLeft w:val="0"/>
      <w:marRight w:val="0"/>
      <w:marTop w:val="0"/>
      <w:marBottom w:val="0"/>
      <w:divBdr>
        <w:top w:val="none" w:sz="0" w:space="0" w:color="auto"/>
        <w:left w:val="none" w:sz="0" w:space="0" w:color="auto"/>
        <w:bottom w:val="none" w:sz="0" w:space="0" w:color="auto"/>
        <w:right w:val="none" w:sz="0" w:space="0" w:color="auto"/>
      </w:divBdr>
    </w:div>
    <w:div w:id="602107639">
      <w:bodyDiv w:val="1"/>
      <w:marLeft w:val="0"/>
      <w:marRight w:val="0"/>
      <w:marTop w:val="0"/>
      <w:marBottom w:val="0"/>
      <w:divBdr>
        <w:top w:val="none" w:sz="0" w:space="0" w:color="auto"/>
        <w:left w:val="none" w:sz="0" w:space="0" w:color="auto"/>
        <w:bottom w:val="none" w:sz="0" w:space="0" w:color="auto"/>
        <w:right w:val="none" w:sz="0" w:space="0" w:color="auto"/>
      </w:divBdr>
    </w:div>
    <w:div w:id="603002910">
      <w:bodyDiv w:val="1"/>
      <w:marLeft w:val="0"/>
      <w:marRight w:val="0"/>
      <w:marTop w:val="0"/>
      <w:marBottom w:val="0"/>
      <w:divBdr>
        <w:top w:val="none" w:sz="0" w:space="0" w:color="auto"/>
        <w:left w:val="none" w:sz="0" w:space="0" w:color="auto"/>
        <w:bottom w:val="none" w:sz="0" w:space="0" w:color="auto"/>
        <w:right w:val="none" w:sz="0" w:space="0" w:color="auto"/>
      </w:divBdr>
    </w:div>
    <w:div w:id="603609596">
      <w:bodyDiv w:val="1"/>
      <w:marLeft w:val="0"/>
      <w:marRight w:val="0"/>
      <w:marTop w:val="0"/>
      <w:marBottom w:val="0"/>
      <w:divBdr>
        <w:top w:val="none" w:sz="0" w:space="0" w:color="auto"/>
        <w:left w:val="none" w:sz="0" w:space="0" w:color="auto"/>
        <w:bottom w:val="none" w:sz="0" w:space="0" w:color="auto"/>
        <w:right w:val="none" w:sz="0" w:space="0" w:color="auto"/>
      </w:divBdr>
    </w:div>
    <w:div w:id="603730235">
      <w:bodyDiv w:val="1"/>
      <w:marLeft w:val="0"/>
      <w:marRight w:val="0"/>
      <w:marTop w:val="0"/>
      <w:marBottom w:val="0"/>
      <w:divBdr>
        <w:top w:val="none" w:sz="0" w:space="0" w:color="auto"/>
        <w:left w:val="none" w:sz="0" w:space="0" w:color="auto"/>
        <w:bottom w:val="none" w:sz="0" w:space="0" w:color="auto"/>
        <w:right w:val="none" w:sz="0" w:space="0" w:color="auto"/>
      </w:divBdr>
    </w:div>
    <w:div w:id="603880116">
      <w:bodyDiv w:val="1"/>
      <w:marLeft w:val="0"/>
      <w:marRight w:val="0"/>
      <w:marTop w:val="0"/>
      <w:marBottom w:val="0"/>
      <w:divBdr>
        <w:top w:val="none" w:sz="0" w:space="0" w:color="auto"/>
        <w:left w:val="none" w:sz="0" w:space="0" w:color="auto"/>
        <w:bottom w:val="none" w:sz="0" w:space="0" w:color="auto"/>
        <w:right w:val="none" w:sz="0" w:space="0" w:color="auto"/>
      </w:divBdr>
    </w:div>
    <w:div w:id="603923114">
      <w:bodyDiv w:val="1"/>
      <w:marLeft w:val="0"/>
      <w:marRight w:val="0"/>
      <w:marTop w:val="0"/>
      <w:marBottom w:val="0"/>
      <w:divBdr>
        <w:top w:val="none" w:sz="0" w:space="0" w:color="auto"/>
        <w:left w:val="none" w:sz="0" w:space="0" w:color="auto"/>
        <w:bottom w:val="none" w:sz="0" w:space="0" w:color="auto"/>
        <w:right w:val="none" w:sz="0" w:space="0" w:color="auto"/>
      </w:divBdr>
    </w:div>
    <w:div w:id="604386185">
      <w:bodyDiv w:val="1"/>
      <w:marLeft w:val="0"/>
      <w:marRight w:val="0"/>
      <w:marTop w:val="0"/>
      <w:marBottom w:val="0"/>
      <w:divBdr>
        <w:top w:val="none" w:sz="0" w:space="0" w:color="auto"/>
        <w:left w:val="none" w:sz="0" w:space="0" w:color="auto"/>
        <w:bottom w:val="none" w:sz="0" w:space="0" w:color="auto"/>
        <w:right w:val="none" w:sz="0" w:space="0" w:color="auto"/>
      </w:divBdr>
    </w:div>
    <w:div w:id="605117194">
      <w:bodyDiv w:val="1"/>
      <w:marLeft w:val="0"/>
      <w:marRight w:val="0"/>
      <w:marTop w:val="0"/>
      <w:marBottom w:val="0"/>
      <w:divBdr>
        <w:top w:val="none" w:sz="0" w:space="0" w:color="auto"/>
        <w:left w:val="none" w:sz="0" w:space="0" w:color="auto"/>
        <w:bottom w:val="none" w:sz="0" w:space="0" w:color="auto"/>
        <w:right w:val="none" w:sz="0" w:space="0" w:color="auto"/>
      </w:divBdr>
    </w:div>
    <w:div w:id="606011565">
      <w:bodyDiv w:val="1"/>
      <w:marLeft w:val="0"/>
      <w:marRight w:val="0"/>
      <w:marTop w:val="0"/>
      <w:marBottom w:val="0"/>
      <w:divBdr>
        <w:top w:val="none" w:sz="0" w:space="0" w:color="auto"/>
        <w:left w:val="none" w:sz="0" w:space="0" w:color="auto"/>
        <w:bottom w:val="none" w:sz="0" w:space="0" w:color="auto"/>
        <w:right w:val="none" w:sz="0" w:space="0" w:color="auto"/>
      </w:divBdr>
    </w:div>
    <w:div w:id="606347496">
      <w:bodyDiv w:val="1"/>
      <w:marLeft w:val="0"/>
      <w:marRight w:val="0"/>
      <w:marTop w:val="0"/>
      <w:marBottom w:val="0"/>
      <w:divBdr>
        <w:top w:val="none" w:sz="0" w:space="0" w:color="auto"/>
        <w:left w:val="none" w:sz="0" w:space="0" w:color="auto"/>
        <w:bottom w:val="none" w:sz="0" w:space="0" w:color="auto"/>
        <w:right w:val="none" w:sz="0" w:space="0" w:color="auto"/>
      </w:divBdr>
    </w:div>
    <w:div w:id="608388612">
      <w:bodyDiv w:val="1"/>
      <w:marLeft w:val="0"/>
      <w:marRight w:val="0"/>
      <w:marTop w:val="0"/>
      <w:marBottom w:val="0"/>
      <w:divBdr>
        <w:top w:val="none" w:sz="0" w:space="0" w:color="auto"/>
        <w:left w:val="none" w:sz="0" w:space="0" w:color="auto"/>
        <w:bottom w:val="none" w:sz="0" w:space="0" w:color="auto"/>
        <w:right w:val="none" w:sz="0" w:space="0" w:color="auto"/>
      </w:divBdr>
    </w:div>
    <w:div w:id="608704763">
      <w:bodyDiv w:val="1"/>
      <w:marLeft w:val="0"/>
      <w:marRight w:val="0"/>
      <w:marTop w:val="0"/>
      <w:marBottom w:val="0"/>
      <w:divBdr>
        <w:top w:val="none" w:sz="0" w:space="0" w:color="auto"/>
        <w:left w:val="none" w:sz="0" w:space="0" w:color="auto"/>
        <w:bottom w:val="none" w:sz="0" w:space="0" w:color="auto"/>
        <w:right w:val="none" w:sz="0" w:space="0" w:color="auto"/>
      </w:divBdr>
    </w:div>
    <w:div w:id="609821666">
      <w:bodyDiv w:val="1"/>
      <w:marLeft w:val="0"/>
      <w:marRight w:val="0"/>
      <w:marTop w:val="0"/>
      <w:marBottom w:val="0"/>
      <w:divBdr>
        <w:top w:val="none" w:sz="0" w:space="0" w:color="auto"/>
        <w:left w:val="none" w:sz="0" w:space="0" w:color="auto"/>
        <w:bottom w:val="none" w:sz="0" w:space="0" w:color="auto"/>
        <w:right w:val="none" w:sz="0" w:space="0" w:color="auto"/>
      </w:divBdr>
    </w:div>
    <w:div w:id="610284283">
      <w:bodyDiv w:val="1"/>
      <w:marLeft w:val="0"/>
      <w:marRight w:val="0"/>
      <w:marTop w:val="0"/>
      <w:marBottom w:val="0"/>
      <w:divBdr>
        <w:top w:val="none" w:sz="0" w:space="0" w:color="auto"/>
        <w:left w:val="none" w:sz="0" w:space="0" w:color="auto"/>
        <w:bottom w:val="none" w:sz="0" w:space="0" w:color="auto"/>
        <w:right w:val="none" w:sz="0" w:space="0" w:color="auto"/>
      </w:divBdr>
    </w:div>
    <w:div w:id="610863814">
      <w:bodyDiv w:val="1"/>
      <w:marLeft w:val="0"/>
      <w:marRight w:val="0"/>
      <w:marTop w:val="0"/>
      <w:marBottom w:val="0"/>
      <w:divBdr>
        <w:top w:val="none" w:sz="0" w:space="0" w:color="auto"/>
        <w:left w:val="none" w:sz="0" w:space="0" w:color="auto"/>
        <w:bottom w:val="none" w:sz="0" w:space="0" w:color="auto"/>
        <w:right w:val="none" w:sz="0" w:space="0" w:color="auto"/>
      </w:divBdr>
    </w:div>
    <w:div w:id="612708008">
      <w:bodyDiv w:val="1"/>
      <w:marLeft w:val="0"/>
      <w:marRight w:val="0"/>
      <w:marTop w:val="0"/>
      <w:marBottom w:val="0"/>
      <w:divBdr>
        <w:top w:val="none" w:sz="0" w:space="0" w:color="auto"/>
        <w:left w:val="none" w:sz="0" w:space="0" w:color="auto"/>
        <w:bottom w:val="none" w:sz="0" w:space="0" w:color="auto"/>
        <w:right w:val="none" w:sz="0" w:space="0" w:color="auto"/>
      </w:divBdr>
    </w:div>
    <w:div w:id="612975525">
      <w:bodyDiv w:val="1"/>
      <w:marLeft w:val="0"/>
      <w:marRight w:val="0"/>
      <w:marTop w:val="0"/>
      <w:marBottom w:val="0"/>
      <w:divBdr>
        <w:top w:val="none" w:sz="0" w:space="0" w:color="auto"/>
        <w:left w:val="none" w:sz="0" w:space="0" w:color="auto"/>
        <w:bottom w:val="none" w:sz="0" w:space="0" w:color="auto"/>
        <w:right w:val="none" w:sz="0" w:space="0" w:color="auto"/>
      </w:divBdr>
    </w:div>
    <w:div w:id="613556038">
      <w:bodyDiv w:val="1"/>
      <w:marLeft w:val="0"/>
      <w:marRight w:val="0"/>
      <w:marTop w:val="0"/>
      <w:marBottom w:val="0"/>
      <w:divBdr>
        <w:top w:val="none" w:sz="0" w:space="0" w:color="auto"/>
        <w:left w:val="none" w:sz="0" w:space="0" w:color="auto"/>
        <w:bottom w:val="none" w:sz="0" w:space="0" w:color="auto"/>
        <w:right w:val="none" w:sz="0" w:space="0" w:color="auto"/>
      </w:divBdr>
    </w:div>
    <w:div w:id="613827886">
      <w:bodyDiv w:val="1"/>
      <w:marLeft w:val="0"/>
      <w:marRight w:val="0"/>
      <w:marTop w:val="0"/>
      <w:marBottom w:val="0"/>
      <w:divBdr>
        <w:top w:val="none" w:sz="0" w:space="0" w:color="auto"/>
        <w:left w:val="none" w:sz="0" w:space="0" w:color="auto"/>
        <w:bottom w:val="none" w:sz="0" w:space="0" w:color="auto"/>
        <w:right w:val="none" w:sz="0" w:space="0" w:color="auto"/>
      </w:divBdr>
    </w:div>
    <w:div w:id="615330629">
      <w:bodyDiv w:val="1"/>
      <w:marLeft w:val="0"/>
      <w:marRight w:val="0"/>
      <w:marTop w:val="0"/>
      <w:marBottom w:val="0"/>
      <w:divBdr>
        <w:top w:val="none" w:sz="0" w:space="0" w:color="auto"/>
        <w:left w:val="none" w:sz="0" w:space="0" w:color="auto"/>
        <w:bottom w:val="none" w:sz="0" w:space="0" w:color="auto"/>
        <w:right w:val="none" w:sz="0" w:space="0" w:color="auto"/>
      </w:divBdr>
    </w:div>
    <w:div w:id="615478362">
      <w:bodyDiv w:val="1"/>
      <w:marLeft w:val="0"/>
      <w:marRight w:val="0"/>
      <w:marTop w:val="0"/>
      <w:marBottom w:val="0"/>
      <w:divBdr>
        <w:top w:val="none" w:sz="0" w:space="0" w:color="auto"/>
        <w:left w:val="none" w:sz="0" w:space="0" w:color="auto"/>
        <w:bottom w:val="none" w:sz="0" w:space="0" w:color="auto"/>
        <w:right w:val="none" w:sz="0" w:space="0" w:color="auto"/>
      </w:divBdr>
    </w:div>
    <w:div w:id="616327643">
      <w:bodyDiv w:val="1"/>
      <w:marLeft w:val="0"/>
      <w:marRight w:val="0"/>
      <w:marTop w:val="0"/>
      <w:marBottom w:val="0"/>
      <w:divBdr>
        <w:top w:val="none" w:sz="0" w:space="0" w:color="auto"/>
        <w:left w:val="none" w:sz="0" w:space="0" w:color="auto"/>
        <w:bottom w:val="none" w:sz="0" w:space="0" w:color="auto"/>
        <w:right w:val="none" w:sz="0" w:space="0" w:color="auto"/>
      </w:divBdr>
    </w:div>
    <w:div w:id="616834790">
      <w:bodyDiv w:val="1"/>
      <w:marLeft w:val="0"/>
      <w:marRight w:val="0"/>
      <w:marTop w:val="0"/>
      <w:marBottom w:val="0"/>
      <w:divBdr>
        <w:top w:val="none" w:sz="0" w:space="0" w:color="auto"/>
        <w:left w:val="none" w:sz="0" w:space="0" w:color="auto"/>
        <w:bottom w:val="none" w:sz="0" w:space="0" w:color="auto"/>
        <w:right w:val="none" w:sz="0" w:space="0" w:color="auto"/>
      </w:divBdr>
    </w:div>
    <w:div w:id="617638152">
      <w:bodyDiv w:val="1"/>
      <w:marLeft w:val="0"/>
      <w:marRight w:val="0"/>
      <w:marTop w:val="0"/>
      <w:marBottom w:val="0"/>
      <w:divBdr>
        <w:top w:val="none" w:sz="0" w:space="0" w:color="auto"/>
        <w:left w:val="none" w:sz="0" w:space="0" w:color="auto"/>
        <w:bottom w:val="none" w:sz="0" w:space="0" w:color="auto"/>
        <w:right w:val="none" w:sz="0" w:space="0" w:color="auto"/>
      </w:divBdr>
    </w:div>
    <w:div w:id="618803183">
      <w:bodyDiv w:val="1"/>
      <w:marLeft w:val="0"/>
      <w:marRight w:val="0"/>
      <w:marTop w:val="0"/>
      <w:marBottom w:val="0"/>
      <w:divBdr>
        <w:top w:val="none" w:sz="0" w:space="0" w:color="auto"/>
        <w:left w:val="none" w:sz="0" w:space="0" w:color="auto"/>
        <w:bottom w:val="none" w:sz="0" w:space="0" w:color="auto"/>
        <w:right w:val="none" w:sz="0" w:space="0" w:color="auto"/>
      </w:divBdr>
    </w:div>
    <w:div w:id="618994703">
      <w:bodyDiv w:val="1"/>
      <w:marLeft w:val="0"/>
      <w:marRight w:val="0"/>
      <w:marTop w:val="0"/>
      <w:marBottom w:val="0"/>
      <w:divBdr>
        <w:top w:val="none" w:sz="0" w:space="0" w:color="auto"/>
        <w:left w:val="none" w:sz="0" w:space="0" w:color="auto"/>
        <w:bottom w:val="none" w:sz="0" w:space="0" w:color="auto"/>
        <w:right w:val="none" w:sz="0" w:space="0" w:color="auto"/>
      </w:divBdr>
    </w:div>
    <w:div w:id="619191250">
      <w:bodyDiv w:val="1"/>
      <w:marLeft w:val="0"/>
      <w:marRight w:val="0"/>
      <w:marTop w:val="0"/>
      <w:marBottom w:val="0"/>
      <w:divBdr>
        <w:top w:val="none" w:sz="0" w:space="0" w:color="auto"/>
        <w:left w:val="none" w:sz="0" w:space="0" w:color="auto"/>
        <w:bottom w:val="none" w:sz="0" w:space="0" w:color="auto"/>
        <w:right w:val="none" w:sz="0" w:space="0" w:color="auto"/>
      </w:divBdr>
    </w:div>
    <w:div w:id="620768112">
      <w:bodyDiv w:val="1"/>
      <w:marLeft w:val="0"/>
      <w:marRight w:val="0"/>
      <w:marTop w:val="0"/>
      <w:marBottom w:val="0"/>
      <w:divBdr>
        <w:top w:val="none" w:sz="0" w:space="0" w:color="auto"/>
        <w:left w:val="none" w:sz="0" w:space="0" w:color="auto"/>
        <w:bottom w:val="none" w:sz="0" w:space="0" w:color="auto"/>
        <w:right w:val="none" w:sz="0" w:space="0" w:color="auto"/>
      </w:divBdr>
    </w:div>
    <w:div w:id="623005513">
      <w:bodyDiv w:val="1"/>
      <w:marLeft w:val="0"/>
      <w:marRight w:val="0"/>
      <w:marTop w:val="0"/>
      <w:marBottom w:val="0"/>
      <w:divBdr>
        <w:top w:val="none" w:sz="0" w:space="0" w:color="auto"/>
        <w:left w:val="none" w:sz="0" w:space="0" w:color="auto"/>
        <w:bottom w:val="none" w:sz="0" w:space="0" w:color="auto"/>
        <w:right w:val="none" w:sz="0" w:space="0" w:color="auto"/>
      </w:divBdr>
    </w:div>
    <w:div w:id="623006941">
      <w:bodyDiv w:val="1"/>
      <w:marLeft w:val="0"/>
      <w:marRight w:val="0"/>
      <w:marTop w:val="0"/>
      <w:marBottom w:val="0"/>
      <w:divBdr>
        <w:top w:val="none" w:sz="0" w:space="0" w:color="auto"/>
        <w:left w:val="none" w:sz="0" w:space="0" w:color="auto"/>
        <w:bottom w:val="none" w:sz="0" w:space="0" w:color="auto"/>
        <w:right w:val="none" w:sz="0" w:space="0" w:color="auto"/>
      </w:divBdr>
    </w:div>
    <w:div w:id="623124381">
      <w:bodyDiv w:val="1"/>
      <w:marLeft w:val="0"/>
      <w:marRight w:val="0"/>
      <w:marTop w:val="0"/>
      <w:marBottom w:val="0"/>
      <w:divBdr>
        <w:top w:val="none" w:sz="0" w:space="0" w:color="auto"/>
        <w:left w:val="none" w:sz="0" w:space="0" w:color="auto"/>
        <w:bottom w:val="none" w:sz="0" w:space="0" w:color="auto"/>
        <w:right w:val="none" w:sz="0" w:space="0" w:color="auto"/>
      </w:divBdr>
    </w:div>
    <w:div w:id="623125099">
      <w:bodyDiv w:val="1"/>
      <w:marLeft w:val="0"/>
      <w:marRight w:val="0"/>
      <w:marTop w:val="0"/>
      <w:marBottom w:val="0"/>
      <w:divBdr>
        <w:top w:val="none" w:sz="0" w:space="0" w:color="auto"/>
        <w:left w:val="none" w:sz="0" w:space="0" w:color="auto"/>
        <w:bottom w:val="none" w:sz="0" w:space="0" w:color="auto"/>
        <w:right w:val="none" w:sz="0" w:space="0" w:color="auto"/>
      </w:divBdr>
    </w:div>
    <w:div w:id="623270131">
      <w:bodyDiv w:val="1"/>
      <w:marLeft w:val="0"/>
      <w:marRight w:val="0"/>
      <w:marTop w:val="0"/>
      <w:marBottom w:val="0"/>
      <w:divBdr>
        <w:top w:val="none" w:sz="0" w:space="0" w:color="auto"/>
        <w:left w:val="none" w:sz="0" w:space="0" w:color="auto"/>
        <w:bottom w:val="none" w:sz="0" w:space="0" w:color="auto"/>
        <w:right w:val="none" w:sz="0" w:space="0" w:color="auto"/>
      </w:divBdr>
    </w:div>
    <w:div w:id="623735658">
      <w:bodyDiv w:val="1"/>
      <w:marLeft w:val="0"/>
      <w:marRight w:val="0"/>
      <w:marTop w:val="0"/>
      <w:marBottom w:val="0"/>
      <w:divBdr>
        <w:top w:val="none" w:sz="0" w:space="0" w:color="auto"/>
        <w:left w:val="none" w:sz="0" w:space="0" w:color="auto"/>
        <w:bottom w:val="none" w:sz="0" w:space="0" w:color="auto"/>
        <w:right w:val="none" w:sz="0" w:space="0" w:color="auto"/>
      </w:divBdr>
    </w:div>
    <w:div w:id="623853740">
      <w:bodyDiv w:val="1"/>
      <w:marLeft w:val="0"/>
      <w:marRight w:val="0"/>
      <w:marTop w:val="0"/>
      <w:marBottom w:val="0"/>
      <w:divBdr>
        <w:top w:val="none" w:sz="0" w:space="0" w:color="auto"/>
        <w:left w:val="none" w:sz="0" w:space="0" w:color="auto"/>
        <w:bottom w:val="none" w:sz="0" w:space="0" w:color="auto"/>
        <w:right w:val="none" w:sz="0" w:space="0" w:color="auto"/>
      </w:divBdr>
    </w:div>
    <w:div w:id="624390714">
      <w:bodyDiv w:val="1"/>
      <w:marLeft w:val="0"/>
      <w:marRight w:val="0"/>
      <w:marTop w:val="0"/>
      <w:marBottom w:val="0"/>
      <w:divBdr>
        <w:top w:val="none" w:sz="0" w:space="0" w:color="auto"/>
        <w:left w:val="none" w:sz="0" w:space="0" w:color="auto"/>
        <w:bottom w:val="none" w:sz="0" w:space="0" w:color="auto"/>
        <w:right w:val="none" w:sz="0" w:space="0" w:color="auto"/>
      </w:divBdr>
    </w:div>
    <w:div w:id="624773608">
      <w:bodyDiv w:val="1"/>
      <w:marLeft w:val="0"/>
      <w:marRight w:val="0"/>
      <w:marTop w:val="0"/>
      <w:marBottom w:val="0"/>
      <w:divBdr>
        <w:top w:val="none" w:sz="0" w:space="0" w:color="auto"/>
        <w:left w:val="none" w:sz="0" w:space="0" w:color="auto"/>
        <w:bottom w:val="none" w:sz="0" w:space="0" w:color="auto"/>
        <w:right w:val="none" w:sz="0" w:space="0" w:color="auto"/>
      </w:divBdr>
    </w:div>
    <w:div w:id="625161222">
      <w:bodyDiv w:val="1"/>
      <w:marLeft w:val="0"/>
      <w:marRight w:val="0"/>
      <w:marTop w:val="0"/>
      <w:marBottom w:val="0"/>
      <w:divBdr>
        <w:top w:val="none" w:sz="0" w:space="0" w:color="auto"/>
        <w:left w:val="none" w:sz="0" w:space="0" w:color="auto"/>
        <w:bottom w:val="none" w:sz="0" w:space="0" w:color="auto"/>
        <w:right w:val="none" w:sz="0" w:space="0" w:color="auto"/>
      </w:divBdr>
    </w:div>
    <w:div w:id="627128897">
      <w:bodyDiv w:val="1"/>
      <w:marLeft w:val="0"/>
      <w:marRight w:val="0"/>
      <w:marTop w:val="0"/>
      <w:marBottom w:val="0"/>
      <w:divBdr>
        <w:top w:val="none" w:sz="0" w:space="0" w:color="auto"/>
        <w:left w:val="none" w:sz="0" w:space="0" w:color="auto"/>
        <w:bottom w:val="none" w:sz="0" w:space="0" w:color="auto"/>
        <w:right w:val="none" w:sz="0" w:space="0" w:color="auto"/>
      </w:divBdr>
    </w:div>
    <w:div w:id="627205690">
      <w:bodyDiv w:val="1"/>
      <w:marLeft w:val="0"/>
      <w:marRight w:val="0"/>
      <w:marTop w:val="0"/>
      <w:marBottom w:val="0"/>
      <w:divBdr>
        <w:top w:val="none" w:sz="0" w:space="0" w:color="auto"/>
        <w:left w:val="none" w:sz="0" w:space="0" w:color="auto"/>
        <w:bottom w:val="none" w:sz="0" w:space="0" w:color="auto"/>
        <w:right w:val="none" w:sz="0" w:space="0" w:color="auto"/>
      </w:divBdr>
    </w:div>
    <w:div w:id="627659837">
      <w:bodyDiv w:val="1"/>
      <w:marLeft w:val="0"/>
      <w:marRight w:val="0"/>
      <w:marTop w:val="0"/>
      <w:marBottom w:val="0"/>
      <w:divBdr>
        <w:top w:val="none" w:sz="0" w:space="0" w:color="auto"/>
        <w:left w:val="none" w:sz="0" w:space="0" w:color="auto"/>
        <w:bottom w:val="none" w:sz="0" w:space="0" w:color="auto"/>
        <w:right w:val="none" w:sz="0" w:space="0" w:color="auto"/>
      </w:divBdr>
    </w:div>
    <w:div w:id="627928659">
      <w:bodyDiv w:val="1"/>
      <w:marLeft w:val="0"/>
      <w:marRight w:val="0"/>
      <w:marTop w:val="0"/>
      <w:marBottom w:val="0"/>
      <w:divBdr>
        <w:top w:val="none" w:sz="0" w:space="0" w:color="auto"/>
        <w:left w:val="none" w:sz="0" w:space="0" w:color="auto"/>
        <w:bottom w:val="none" w:sz="0" w:space="0" w:color="auto"/>
        <w:right w:val="none" w:sz="0" w:space="0" w:color="auto"/>
      </w:divBdr>
    </w:div>
    <w:div w:id="628559270">
      <w:bodyDiv w:val="1"/>
      <w:marLeft w:val="0"/>
      <w:marRight w:val="0"/>
      <w:marTop w:val="0"/>
      <w:marBottom w:val="0"/>
      <w:divBdr>
        <w:top w:val="none" w:sz="0" w:space="0" w:color="auto"/>
        <w:left w:val="none" w:sz="0" w:space="0" w:color="auto"/>
        <w:bottom w:val="none" w:sz="0" w:space="0" w:color="auto"/>
        <w:right w:val="none" w:sz="0" w:space="0" w:color="auto"/>
      </w:divBdr>
    </w:div>
    <w:div w:id="629284674">
      <w:bodyDiv w:val="1"/>
      <w:marLeft w:val="0"/>
      <w:marRight w:val="0"/>
      <w:marTop w:val="0"/>
      <w:marBottom w:val="0"/>
      <w:divBdr>
        <w:top w:val="none" w:sz="0" w:space="0" w:color="auto"/>
        <w:left w:val="none" w:sz="0" w:space="0" w:color="auto"/>
        <w:bottom w:val="none" w:sz="0" w:space="0" w:color="auto"/>
        <w:right w:val="none" w:sz="0" w:space="0" w:color="auto"/>
      </w:divBdr>
    </w:div>
    <w:div w:id="629897946">
      <w:bodyDiv w:val="1"/>
      <w:marLeft w:val="0"/>
      <w:marRight w:val="0"/>
      <w:marTop w:val="0"/>
      <w:marBottom w:val="0"/>
      <w:divBdr>
        <w:top w:val="none" w:sz="0" w:space="0" w:color="auto"/>
        <w:left w:val="none" w:sz="0" w:space="0" w:color="auto"/>
        <w:bottom w:val="none" w:sz="0" w:space="0" w:color="auto"/>
        <w:right w:val="none" w:sz="0" w:space="0" w:color="auto"/>
      </w:divBdr>
    </w:div>
    <w:div w:id="630132614">
      <w:bodyDiv w:val="1"/>
      <w:marLeft w:val="0"/>
      <w:marRight w:val="0"/>
      <w:marTop w:val="0"/>
      <w:marBottom w:val="0"/>
      <w:divBdr>
        <w:top w:val="none" w:sz="0" w:space="0" w:color="auto"/>
        <w:left w:val="none" w:sz="0" w:space="0" w:color="auto"/>
        <w:bottom w:val="none" w:sz="0" w:space="0" w:color="auto"/>
        <w:right w:val="none" w:sz="0" w:space="0" w:color="auto"/>
      </w:divBdr>
    </w:div>
    <w:div w:id="630672264">
      <w:bodyDiv w:val="1"/>
      <w:marLeft w:val="0"/>
      <w:marRight w:val="0"/>
      <w:marTop w:val="0"/>
      <w:marBottom w:val="0"/>
      <w:divBdr>
        <w:top w:val="none" w:sz="0" w:space="0" w:color="auto"/>
        <w:left w:val="none" w:sz="0" w:space="0" w:color="auto"/>
        <w:bottom w:val="none" w:sz="0" w:space="0" w:color="auto"/>
        <w:right w:val="none" w:sz="0" w:space="0" w:color="auto"/>
      </w:divBdr>
    </w:div>
    <w:div w:id="630984874">
      <w:bodyDiv w:val="1"/>
      <w:marLeft w:val="0"/>
      <w:marRight w:val="0"/>
      <w:marTop w:val="0"/>
      <w:marBottom w:val="0"/>
      <w:divBdr>
        <w:top w:val="none" w:sz="0" w:space="0" w:color="auto"/>
        <w:left w:val="none" w:sz="0" w:space="0" w:color="auto"/>
        <w:bottom w:val="none" w:sz="0" w:space="0" w:color="auto"/>
        <w:right w:val="none" w:sz="0" w:space="0" w:color="auto"/>
      </w:divBdr>
    </w:div>
    <w:div w:id="631131161">
      <w:bodyDiv w:val="1"/>
      <w:marLeft w:val="0"/>
      <w:marRight w:val="0"/>
      <w:marTop w:val="0"/>
      <w:marBottom w:val="0"/>
      <w:divBdr>
        <w:top w:val="none" w:sz="0" w:space="0" w:color="auto"/>
        <w:left w:val="none" w:sz="0" w:space="0" w:color="auto"/>
        <w:bottom w:val="none" w:sz="0" w:space="0" w:color="auto"/>
        <w:right w:val="none" w:sz="0" w:space="0" w:color="auto"/>
      </w:divBdr>
    </w:div>
    <w:div w:id="632372819">
      <w:bodyDiv w:val="1"/>
      <w:marLeft w:val="0"/>
      <w:marRight w:val="0"/>
      <w:marTop w:val="0"/>
      <w:marBottom w:val="0"/>
      <w:divBdr>
        <w:top w:val="none" w:sz="0" w:space="0" w:color="auto"/>
        <w:left w:val="none" w:sz="0" w:space="0" w:color="auto"/>
        <w:bottom w:val="none" w:sz="0" w:space="0" w:color="auto"/>
        <w:right w:val="none" w:sz="0" w:space="0" w:color="auto"/>
      </w:divBdr>
    </w:div>
    <w:div w:id="632712042">
      <w:bodyDiv w:val="1"/>
      <w:marLeft w:val="0"/>
      <w:marRight w:val="0"/>
      <w:marTop w:val="0"/>
      <w:marBottom w:val="0"/>
      <w:divBdr>
        <w:top w:val="none" w:sz="0" w:space="0" w:color="auto"/>
        <w:left w:val="none" w:sz="0" w:space="0" w:color="auto"/>
        <w:bottom w:val="none" w:sz="0" w:space="0" w:color="auto"/>
        <w:right w:val="none" w:sz="0" w:space="0" w:color="auto"/>
      </w:divBdr>
    </w:div>
    <w:div w:id="633408846">
      <w:bodyDiv w:val="1"/>
      <w:marLeft w:val="0"/>
      <w:marRight w:val="0"/>
      <w:marTop w:val="0"/>
      <w:marBottom w:val="0"/>
      <w:divBdr>
        <w:top w:val="none" w:sz="0" w:space="0" w:color="auto"/>
        <w:left w:val="none" w:sz="0" w:space="0" w:color="auto"/>
        <w:bottom w:val="none" w:sz="0" w:space="0" w:color="auto"/>
        <w:right w:val="none" w:sz="0" w:space="0" w:color="auto"/>
      </w:divBdr>
    </w:div>
    <w:div w:id="633602374">
      <w:bodyDiv w:val="1"/>
      <w:marLeft w:val="0"/>
      <w:marRight w:val="0"/>
      <w:marTop w:val="0"/>
      <w:marBottom w:val="0"/>
      <w:divBdr>
        <w:top w:val="none" w:sz="0" w:space="0" w:color="auto"/>
        <w:left w:val="none" w:sz="0" w:space="0" w:color="auto"/>
        <w:bottom w:val="none" w:sz="0" w:space="0" w:color="auto"/>
        <w:right w:val="none" w:sz="0" w:space="0" w:color="auto"/>
      </w:divBdr>
    </w:div>
    <w:div w:id="634021224">
      <w:bodyDiv w:val="1"/>
      <w:marLeft w:val="0"/>
      <w:marRight w:val="0"/>
      <w:marTop w:val="0"/>
      <w:marBottom w:val="0"/>
      <w:divBdr>
        <w:top w:val="none" w:sz="0" w:space="0" w:color="auto"/>
        <w:left w:val="none" w:sz="0" w:space="0" w:color="auto"/>
        <w:bottom w:val="none" w:sz="0" w:space="0" w:color="auto"/>
        <w:right w:val="none" w:sz="0" w:space="0" w:color="auto"/>
      </w:divBdr>
    </w:div>
    <w:div w:id="634021782">
      <w:bodyDiv w:val="1"/>
      <w:marLeft w:val="0"/>
      <w:marRight w:val="0"/>
      <w:marTop w:val="0"/>
      <w:marBottom w:val="0"/>
      <w:divBdr>
        <w:top w:val="none" w:sz="0" w:space="0" w:color="auto"/>
        <w:left w:val="none" w:sz="0" w:space="0" w:color="auto"/>
        <w:bottom w:val="none" w:sz="0" w:space="0" w:color="auto"/>
        <w:right w:val="none" w:sz="0" w:space="0" w:color="auto"/>
      </w:divBdr>
    </w:div>
    <w:div w:id="634915412">
      <w:bodyDiv w:val="1"/>
      <w:marLeft w:val="0"/>
      <w:marRight w:val="0"/>
      <w:marTop w:val="0"/>
      <w:marBottom w:val="0"/>
      <w:divBdr>
        <w:top w:val="none" w:sz="0" w:space="0" w:color="auto"/>
        <w:left w:val="none" w:sz="0" w:space="0" w:color="auto"/>
        <w:bottom w:val="none" w:sz="0" w:space="0" w:color="auto"/>
        <w:right w:val="none" w:sz="0" w:space="0" w:color="auto"/>
      </w:divBdr>
    </w:div>
    <w:div w:id="635333421">
      <w:bodyDiv w:val="1"/>
      <w:marLeft w:val="0"/>
      <w:marRight w:val="0"/>
      <w:marTop w:val="0"/>
      <w:marBottom w:val="0"/>
      <w:divBdr>
        <w:top w:val="none" w:sz="0" w:space="0" w:color="auto"/>
        <w:left w:val="none" w:sz="0" w:space="0" w:color="auto"/>
        <w:bottom w:val="none" w:sz="0" w:space="0" w:color="auto"/>
        <w:right w:val="none" w:sz="0" w:space="0" w:color="auto"/>
      </w:divBdr>
    </w:div>
    <w:div w:id="635649975">
      <w:bodyDiv w:val="1"/>
      <w:marLeft w:val="0"/>
      <w:marRight w:val="0"/>
      <w:marTop w:val="0"/>
      <w:marBottom w:val="0"/>
      <w:divBdr>
        <w:top w:val="none" w:sz="0" w:space="0" w:color="auto"/>
        <w:left w:val="none" w:sz="0" w:space="0" w:color="auto"/>
        <w:bottom w:val="none" w:sz="0" w:space="0" w:color="auto"/>
        <w:right w:val="none" w:sz="0" w:space="0" w:color="auto"/>
      </w:divBdr>
    </w:div>
    <w:div w:id="635911341">
      <w:bodyDiv w:val="1"/>
      <w:marLeft w:val="0"/>
      <w:marRight w:val="0"/>
      <w:marTop w:val="0"/>
      <w:marBottom w:val="0"/>
      <w:divBdr>
        <w:top w:val="none" w:sz="0" w:space="0" w:color="auto"/>
        <w:left w:val="none" w:sz="0" w:space="0" w:color="auto"/>
        <w:bottom w:val="none" w:sz="0" w:space="0" w:color="auto"/>
        <w:right w:val="none" w:sz="0" w:space="0" w:color="auto"/>
      </w:divBdr>
    </w:div>
    <w:div w:id="636420480">
      <w:bodyDiv w:val="1"/>
      <w:marLeft w:val="0"/>
      <w:marRight w:val="0"/>
      <w:marTop w:val="0"/>
      <w:marBottom w:val="0"/>
      <w:divBdr>
        <w:top w:val="none" w:sz="0" w:space="0" w:color="auto"/>
        <w:left w:val="none" w:sz="0" w:space="0" w:color="auto"/>
        <w:bottom w:val="none" w:sz="0" w:space="0" w:color="auto"/>
        <w:right w:val="none" w:sz="0" w:space="0" w:color="auto"/>
      </w:divBdr>
    </w:div>
    <w:div w:id="637148680">
      <w:bodyDiv w:val="1"/>
      <w:marLeft w:val="0"/>
      <w:marRight w:val="0"/>
      <w:marTop w:val="0"/>
      <w:marBottom w:val="0"/>
      <w:divBdr>
        <w:top w:val="none" w:sz="0" w:space="0" w:color="auto"/>
        <w:left w:val="none" w:sz="0" w:space="0" w:color="auto"/>
        <w:bottom w:val="none" w:sz="0" w:space="0" w:color="auto"/>
        <w:right w:val="none" w:sz="0" w:space="0" w:color="auto"/>
      </w:divBdr>
    </w:div>
    <w:div w:id="637685194">
      <w:bodyDiv w:val="1"/>
      <w:marLeft w:val="0"/>
      <w:marRight w:val="0"/>
      <w:marTop w:val="0"/>
      <w:marBottom w:val="0"/>
      <w:divBdr>
        <w:top w:val="none" w:sz="0" w:space="0" w:color="auto"/>
        <w:left w:val="none" w:sz="0" w:space="0" w:color="auto"/>
        <w:bottom w:val="none" w:sz="0" w:space="0" w:color="auto"/>
        <w:right w:val="none" w:sz="0" w:space="0" w:color="auto"/>
      </w:divBdr>
    </w:div>
    <w:div w:id="638150200">
      <w:bodyDiv w:val="1"/>
      <w:marLeft w:val="0"/>
      <w:marRight w:val="0"/>
      <w:marTop w:val="0"/>
      <w:marBottom w:val="0"/>
      <w:divBdr>
        <w:top w:val="none" w:sz="0" w:space="0" w:color="auto"/>
        <w:left w:val="none" w:sz="0" w:space="0" w:color="auto"/>
        <w:bottom w:val="none" w:sz="0" w:space="0" w:color="auto"/>
        <w:right w:val="none" w:sz="0" w:space="0" w:color="auto"/>
      </w:divBdr>
    </w:div>
    <w:div w:id="639967596">
      <w:bodyDiv w:val="1"/>
      <w:marLeft w:val="0"/>
      <w:marRight w:val="0"/>
      <w:marTop w:val="0"/>
      <w:marBottom w:val="0"/>
      <w:divBdr>
        <w:top w:val="none" w:sz="0" w:space="0" w:color="auto"/>
        <w:left w:val="none" w:sz="0" w:space="0" w:color="auto"/>
        <w:bottom w:val="none" w:sz="0" w:space="0" w:color="auto"/>
        <w:right w:val="none" w:sz="0" w:space="0" w:color="auto"/>
      </w:divBdr>
    </w:div>
    <w:div w:id="640888320">
      <w:bodyDiv w:val="1"/>
      <w:marLeft w:val="0"/>
      <w:marRight w:val="0"/>
      <w:marTop w:val="0"/>
      <w:marBottom w:val="0"/>
      <w:divBdr>
        <w:top w:val="none" w:sz="0" w:space="0" w:color="auto"/>
        <w:left w:val="none" w:sz="0" w:space="0" w:color="auto"/>
        <w:bottom w:val="none" w:sz="0" w:space="0" w:color="auto"/>
        <w:right w:val="none" w:sz="0" w:space="0" w:color="auto"/>
      </w:divBdr>
    </w:div>
    <w:div w:id="641153689">
      <w:bodyDiv w:val="1"/>
      <w:marLeft w:val="0"/>
      <w:marRight w:val="0"/>
      <w:marTop w:val="0"/>
      <w:marBottom w:val="0"/>
      <w:divBdr>
        <w:top w:val="none" w:sz="0" w:space="0" w:color="auto"/>
        <w:left w:val="none" w:sz="0" w:space="0" w:color="auto"/>
        <w:bottom w:val="none" w:sz="0" w:space="0" w:color="auto"/>
        <w:right w:val="none" w:sz="0" w:space="0" w:color="auto"/>
      </w:divBdr>
    </w:div>
    <w:div w:id="641352055">
      <w:bodyDiv w:val="1"/>
      <w:marLeft w:val="0"/>
      <w:marRight w:val="0"/>
      <w:marTop w:val="0"/>
      <w:marBottom w:val="0"/>
      <w:divBdr>
        <w:top w:val="none" w:sz="0" w:space="0" w:color="auto"/>
        <w:left w:val="none" w:sz="0" w:space="0" w:color="auto"/>
        <w:bottom w:val="none" w:sz="0" w:space="0" w:color="auto"/>
        <w:right w:val="none" w:sz="0" w:space="0" w:color="auto"/>
      </w:divBdr>
    </w:div>
    <w:div w:id="641690657">
      <w:bodyDiv w:val="1"/>
      <w:marLeft w:val="0"/>
      <w:marRight w:val="0"/>
      <w:marTop w:val="0"/>
      <w:marBottom w:val="0"/>
      <w:divBdr>
        <w:top w:val="none" w:sz="0" w:space="0" w:color="auto"/>
        <w:left w:val="none" w:sz="0" w:space="0" w:color="auto"/>
        <w:bottom w:val="none" w:sz="0" w:space="0" w:color="auto"/>
        <w:right w:val="none" w:sz="0" w:space="0" w:color="auto"/>
      </w:divBdr>
    </w:div>
    <w:div w:id="642001368">
      <w:bodyDiv w:val="1"/>
      <w:marLeft w:val="0"/>
      <w:marRight w:val="0"/>
      <w:marTop w:val="0"/>
      <w:marBottom w:val="0"/>
      <w:divBdr>
        <w:top w:val="none" w:sz="0" w:space="0" w:color="auto"/>
        <w:left w:val="none" w:sz="0" w:space="0" w:color="auto"/>
        <w:bottom w:val="none" w:sz="0" w:space="0" w:color="auto"/>
        <w:right w:val="none" w:sz="0" w:space="0" w:color="auto"/>
      </w:divBdr>
    </w:div>
    <w:div w:id="643897743">
      <w:bodyDiv w:val="1"/>
      <w:marLeft w:val="0"/>
      <w:marRight w:val="0"/>
      <w:marTop w:val="0"/>
      <w:marBottom w:val="0"/>
      <w:divBdr>
        <w:top w:val="none" w:sz="0" w:space="0" w:color="auto"/>
        <w:left w:val="none" w:sz="0" w:space="0" w:color="auto"/>
        <w:bottom w:val="none" w:sz="0" w:space="0" w:color="auto"/>
        <w:right w:val="none" w:sz="0" w:space="0" w:color="auto"/>
      </w:divBdr>
    </w:div>
    <w:div w:id="644117326">
      <w:bodyDiv w:val="1"/>
      <w:marLeft w:val="0"/>
      <w:marRight w:val="0"/>
      <w:marTop w:val="0"/>
      <w:marBottom w:val="0"/>
      <w:divBdr>
        <w:top w:val="none" w:sz="0" w:space="0" w:color="auto"/>
        <w:left w:val="none" w:sz="0" w:space="0" w:color="auto"/>
        <w:bottom w:val="none" w:sz="0" w:space="0" w:color="auto"/>
        <w:right w:val="none" w:sz="0" w:space="0" w:color="auto"/>
      </w:divBdr>
    </w:div>
    <w:div w:id="645739197">
      <w:bodyDiv w:val="1"/>
      <w:marLeft w:val="0"/>
      <w:marRight w:val="0"/>
      <w:marTop w:val="0"/>
      <w:marBottom w:val="0"/>
      <w:divBdr>
        <w:top w:val="none" w:sz="0" w:space="0" w:color="auto"/>
        <w:left w:val="none" w:sz="0" w:space="0" w:color="auto"/>
        <w:bottom w:val="none" w:sz="0" w:space="0" w:color="auto"/>
        <w:right w:val="none" w:sz="0" w:space="0" w:color="auto"/>
      </w:divBdr>
    </w:div>
    <w:div w:id="645937958">
      <w:bodyDiv w:val="1"/>
      <w:marLeft w:val="0"/>
      <w:marRight w:val="0"/>
      <w:marTop w:val="0"/>
      <w:marBottom w:val="0"/>
      <w:divBdr>
        <w:top w:val="none" w:sz="0" w:space="0" w:color="auto"/>
        <w:left w:val="none" w:sz="0" w:space="0" w:color="auto"/>
        <w:bottom w:val="none" w:sz="0" w:space="0" w:color="auto"/>
        <w:right w:val="none" w:sz="0" w:space="0" w:color="auto"/>
      </w:divBdr>
    </w:div>
    <w:div w:id="646010874">
      <w:bodyDiv w:val="1"/>
      <w:marLeft w:val="0"/>
      <w:marRight w:val="0"/>
      <w:marTop w:val="0"/>
      <w:marBottom w:val="0"/>
      <w:divBdr>
        <w:top w:val="none" w:sz="0" w:space="0" w:color="auto"/>
        <w:left w:val="none" w:sz="0" w:space="0" w:color="auto"/>
        <w:bottom w:val="none" w:sz="0" w:space="0" w:color="auto"/>
        <w:right w:val="none" w:sz="0" w:space="0" w:color="auto"/>
      </w:divBdr>
    </w:div>
    <w:div w:id="647633392">
      <w:bodyDiv w:val="1"/>
      <w:marLeft w:val="0"/>
      <w:marRight w:val="0"/>
      <w:marTop w:val="0"/>
      <w:marBottom w:val="0"/>
      <w:divBdr>
        <w:top w:val="none" w:sz="0" w:space="0" w:color="auto"/>
        <w:left w:val="none" w:sz="0" w:space="0" w:color="auto"/>
        <w:bottom w:val="none" w:sz="0" w:space="0" w:color="auto"/>
        <w:right w:val="none" w:sz="0" w:space="0" w:color="auto"/>
      </w:divBdr>
    </w:div>
    <w:div w:id="647783253">
      <w:bodyDiv w:val="1"/>
      <w:marLeft w:val="0"/>
      <w:marRight w:val="0"/>
      <w:marTop w:val="0"/>
      <w:marBottom w:val="0"/>
      <w:divBdr>
        <w:top w:val="none" w:sz="0" w:space="0" w:color="auto"/>
        <w:left w:val="none" w:sz="0" w:space="0" w:color="auto"/>
        <w:bottom w:val="none" w:sz="0" w:space="0" w:color="auto"/>
        <w:right w:val="none" w:sz="0" w:space="0" w:color="auto"/>
      </w:divBdr>
    </w:div>
    <w:div w:id="647826692">
      <w:bodyDiv w:val="1"/>
      <w:marLeft w:val="0"/>
      <w:marRight w:val="0"/>
      <w:marTop w:val="0"/>
      <w:marBottom w:val="0"/>
      <w:divBdr>
        <w:top w:val="none" w:sz="0" w:space="0" w:color="auto"/>
        <w:left w:val="none" w:sz="0" w:space="0" w:color="auto"/>
        <w:bottom w:val="none" w:sz="0" w:space="0" w:color="auto"/>
        <w:right w:val="none" w:sz="0" w:space="0" w:color="auto"/>
      </w:divBdr>
    </w:div>
    <w:div w:id="648049477">
      <w:bodyDiv w:val="1"/>
      <w:marLeft w:val="0"/>
      <w:marRight w:val="0"/>
      <w:marTop w:val="0"/>
      <w:marBottom w:val="0"/>
      <w:divBdr>
        <w:top w:val="none" w:sz="0" w:space="0" w:color="auto"/>
        <w:left w:val="none" w:sz="0" w:space="0" w:color="auto"/>
        <w:bottom w:val="none" w:sz="0" w:space="0" w:color="auto"/>
        <w:right w:val="none" w:sz="0" w:space="0" w:color="auto"/>
      </w:divBdr>
    </w:div>
    <w:div w:id="648096016">
      <w:bodyDiv w:val="1"/>
      <w:marLeft w:val="0"/>
      <w:marRight w:val="0"/>
      <w:marTop w:val="0"/>
      <w:marBottom w:val="0"/>
      <w:divBdr>
        <w:top w:val="none" w:sz="0" w:space="0" w:color="auto"/>
        <w:left w:val="none" w:sz="0" w:space="0" w:color="auto"/>
        <w:bottom w:val="none" w:sz="0" w:space="0" w:color="auto"/>
        <w:right w:val="none" w:sz="0" w:space="0" w:color="auto"/>
      </w:divBdr>
    </w:div>
    <w:div w:id="648284893">
      <w:bodyDiv w:val="1"/>
      <w:marLeft w:val="0"/>
      <w:marRight w:val="0"/>
      <w:marTop w:val="0"/>
      <w:marBottom w:val="0"/>
      <w:divBdr>
        <w:top w:val="none" w:sz="0" w:space="0" w:color="auto"/>
        <w:left w:val="none" w:sz="0" w:space="0" w:color="auto"/>
        <w:bottom w:val="none" w:sz="0" w:space="0" w:color="auto"/>
        <w:right w:val="none" w:sz="0" w:space="0" w:color="auto"/>
      </w:divBdr>
    </w:div>
    <w:div w:id="648677151">
      <w:bodyDiv w:val="1"/>
      <w:marLeft w:val="0"/>
      <w:marRight w:val="0"/>
      <w:marTop w:val="0"/>
      <w:marBottom w:val="0"/>
      <w:divBdr>
        <w:top w:val="none" w:sz="0" w:space="0" w:color="auto"/>
        <w:left w:val="none" w:sz="0" w:space="0" w:color="auto"/>
        <w:bottom w:val="none" w:sz="0" w:space="0" w:color="auto"/>
        <w:right w:val="none" w:sz="0" w:space="0" w:color="auto"/>
      </w:divBdr>
    </w:div>
    <w:div w:id="648826355">
      <w:bodyDiv w:val="1"/>
      <w:marLeft w:val="0"/>
      <w:marRight w:val="0"/>
      <w:marTop w:val="0"/>
      <w:marBottom w:val="0"/>
      <w:divBdr>
        <w:top w:val="none" w:sz="0" w:space="0" w:color="auto"/>
        <w:left w:val="none" w:sz="0" w:space="0" w:color="auto"/>
        <w:bottom w:val="none" w:sz="0" w:space="0" w:color="auto"/>
        <w:right w:val="none" w:sz="0" w:space="0" w:color="auto"/>
      </w:divBdr>
    </w:div>
    <w:div w:id="649794378">
      <w:bodyDiv w:val="1"/>
      <w:marLeft w:val="0"/>
      <w:marRight w:val="0"/>
      <w:marTop w:val="0"/>
      <w:marBottom w:val="0"/>
      <w:divBdr>
        <w:top w:val="none" w:sz="0" w:space="0" w:color="auto"/>
        <w:left w:val="none" w:sz="0" w:space="0" w:color="auto"/>
        <w:bottom w:val="none" w:sz="0" w:space="0" w:color="auto"/>
        <w:right w:val="none" w:sz="0" w:space="0" w:color="auto"/>
      </w:divBdr>
    </w:div>
    <w:div w:id="651064875">
      <w:bodyDiv w:val="1"/>
      <w:marLeft w:val="0"/>
      <w:marRight w:val="0"/>
      <w:marTop w:val="0"/>
      <w:marBottom w:val="0"/>
      <w:divBdr>
        <w:top w:val="none" w:sz="0" w:space="0" w:color="auto"/>
        <w:left w:val="none" w:sz="0" w:space="0" w:color="auto"/>
        <w:bottom w:val="none" w:sz="0" w:space="0" w:color="auto"/>
        <w:right w:val="none" w:sz="0" w:space="0" w:color="auto"/>
      </w:divBdr>
    </w:div>
    <w:div w:id="653799774">
      <w:bodyDiv w:val="1"/>
      <w:marLeft w:val="0"/>
      <w:marRight w:val="0"/>
      <w:marTop w:val="0"/>
      <w:marBottom w:val="0"/>
      <w:divBdr>
        <w:top w:val="none" w:sz="0" w:space="0" w:color="auto"/>
        <w:left w:val="none" w:sz="0" w:space="0" w:color="auto"/>
        <w:bottom w:val="none" w:sz="0" w:space="0" w:color="auto"/>
        <w:right w:val="none" w:sz="0" w:space="0" w:color="auto"/>
      </w:divBdr>
    </w:div>
    <w:div w:id="655646996">
      <w:bodyDiv w:val="1"/>
      <w:marLeft w:val="0"/>
      <w:marRight w:val="0"/>
      <w:marTop w:val="0"/>
      <w:marBottom w:val="0"/>
      <w:divBdr>
        <w:top w:val="none" w:sz="0" w:space="0" w:color="auto"/>
        <w:left w:val="none" w:sz="0" w:space="0" w:color="auto"/>
        <w:bottom w:val="none" w:sz="0" w:space="0" w:color="auto"/>
        <w:right w:val="none" w:sz="0" w:space="0" w:color="auto"/>
      </w:divBdr>
    </w:div>
    <w:div w:id="656343891">
      <w:bodyDiv w:val="1"/>
      <w:marLeft w:val="0"/>
      <w:marRight w:val="0"/>
      <w:marTop w:val="0"/>
      <w:marBottom w:val="0"/>
      <w:divBdr>
        <w:top w:val="none" w:sz="0" w:space="0" w:color="auto"/>
        <w:left w:val="none" w:sz="0" w:space="0" w:color="auto"/>
        <w:bottom w:val="none" w:sz="0" w:space="0" w:color="auto"/>
        <w:right w:val="none" w:sz="0" w:space="0" w:color="auto"/>
      </w:divBdr>
    </w:div>
    <w:div w:id="656692408">
      <w:bodyDiv w:val="1"/>
      <w:marLeft w:val="0"/>
      <w:marRight w:val="0"/>
      <w:marTop w:val="0"/>
      <w:marBottom w:val="0"/>
      <w:divBdr>
        <w:top w:val="none" w:sz="0" w:space="0" w:color="auto"/>
        <w:left w:val="none" w:sz="0" w:space="0" w:color="auto"/>
        <w:bottom w:val="none" w:sz="0" w:space="0" w:color="auto"/>
        <w:right w:val="none" w:sz="0" w:space="0" w:color="auto"/>
      </w:divBdr>
    </w:div>
    <w:div w:id="656693283">
      <w:bodyDiv w:val="1"/>
      <w:marLeft w:val="0"/>
      <w:marRight w:val="0"/>
      <w:marTop w:val="0"/>
      <w:marBottom w:val="0"/>
      <w:divBdr>
        <w:top w:val="none" w:sz="0" w:space="0" w:color="auto"/>
        <w:left w:val="none" w:sz="0" w:space="0" w:color="auto"/>
        <w:bottom w:val="none" w:sz="0" w:space="0" w:color="auto"/>
        <w:right w:val="none" w:sz="0" w:space="0" w:color="auto"/>
      </w:divBdr>
    </w:div>
    <w:div w:id="657922894">
      <w:bodyDiv w:val="1"/>
      <w:marLeft w:val="0"/>
      <w:marRight w:val="0"/>
      <w:marTop w:val="0"/>
      <w:marBottom w:val="0"/>
      <w:divBdr>
        <w:top w:val="none" w:sz="0" w:space="0" w:color="auto"/>
        <w:left w:val="none" w:sz="0" w:space="0" w:color="auto"/>
        <w:bottom w:val="none" w:sz="0" w:space="0" w:color="auto"/>
        <w:right w:val="none" w:sz="0" w:space="0" w:color="auto"/>
      </w:divBdr>
    </w:div>
    <w:div w:id="658969548">
      <w:bodyDiv w:val="1"/>
      <w:marLeft w:val="0"/>
      <w:marRight w:val="0"/>
      <w:marTop w:val="0"/>
      <w:marBottom w:val="0"/>
      <w:divBdr>
        <w:top w:val="none" w:sz="0" w:space="0" w:color="auto"/>
        <w:left w:val="none" w:sz="0" w:space="0" w:color="auto"/>
        <w:bottom w:val="none" w:sz="0" w:space="0" w:color="auto"/>
        <w:right w:val="none" w:sz="0" w:space="0" w:color="auto"/>
      </w:divBdr>
    </w:div>
    <w:div w:id="659116385">
      <w:bodyDiv w:val="1"/>
      <w:marLeft w:val="0"/>
      <w:marRight w:val="0"/>
      <w:marTop w:val="0"/>
      <w:marBottom w:val="0"/>
      <w:divBdr>
        <w:top w:val="none" w:sz="0" w:space="0" w:color="auto"/>
        <w:left w:val="none" w:sz="0" w:space="0" w:color="auto"/>
        <w:bottom w:val="none" w:sz="0" w:space="0" w:color="auto"/>
        <w:right w:val="none" w:sz="0" w:space="0" w:color="auto"/>
      </w:divBdr>
    </w:div>
    <w:div w:id="659698026">
      <w:bodyDiv w:val="1"/>
      <w:marLeft w:val="0"/>
      <w:marRight w:val="0"/>
      <w:marTop w:val="0"/>
      <w:marBottom w:val="0"/>
      <w:divBdr>
        <w:top w:val="none" w:sz="0" w:space="0" w:color="auto"/>
        <w:left w:val="none" w:sz="0" w:space="0" w:color="auto"/>
        <w:bottom w:val="none" w:sz="0" w:space="0" w:color="auto"/>
        <w:right w:val="none" w:sz="0" w:space="0" w:color="auto"/>
      </w:divBdr>
    </w:div>
    <w:div w:id="659889613">
      <w:bodyDiv w:val="1"/>
      <w:marLeft w:val="0"/>
      <w:marRight w:val="0"/>
      <w:marTop w:val="0"/>
      <w:marBottom w:val="0"/>
      <w:divBdr>
        <w:top w:val="none" w:sz="0" w:space="0" w:color="auto"/>
        <w:left w:val="none" w:sz="0" w:space="0" w:color="auto"/>
        <w:bottom w:val="none" w:sz="0" w:space="0" w:color="auto"/>
        <w:right w:val="none" w:sz="0" w:space="0" w:color="auto"/>
      </w:divBdr>
    </w:div>
    <w:div w:id="660542868">
      <w:bodyDiv w:val="1"/>
      <w:marLeft w:val="0"/>
      <w:marRight w:val="0"/>
      <w:marTop w:val="0"/>
      <w:marBottom w:val="0"/>
      <w:divBdr>
        <w:top w:val="none" w:sz="0" w:space="0" w:color="auto"/>
        <w:left w:val="none" w:sz="0" w:space="0" w:color="auto"/>
        <w:bottom w:val="none" w:sz="0" w:space="0" w:color="auto"/>
        <w:right w:val="none" w:sz="0" w:space="0" w:color="auto"/>
      </w:divBdr>
    </w:div>
    <w:div w:id="661659941">
      <w:bodyDiv w:val="1"/>
      <w:marLeft w:val="0"/>
      <w:marRight w:val="0"/>
      <w:marTop w:val="0"/>
      <w:marBottom w:val="0"/>
      <w:divBdr>
        <w:top w:val="none" w:sz="0" w:space="0" w:color="auto"/>
        <w:left w:val="none" w:sz="0" w:space="0" w:color="auto"/>
        <w:bottom w:val="none" w:sz="0" w:space="0" w:color="auto"/>
        <w:right w:val="none" w:sz="0" w:space="0" w:color="auto"/>
      </w:divBdr>
    </w:div>
    <w:div w:id="661735003">
      <w:bodyDiv w:val="1"/>
      <w:marLeft w:val="0"/>
      <w:marRight w:val="0"/>
      <w:marTop w:val="0"/>
      <w:marBottom w:val="0"/>
      <w:divBdr>
        <w:top w:val="none" w:sz="0" w:space="0" w:color="auto"/>
        <w:left w:val="none" w:sz="0" w:space="0" w:color="auto"/>
        <w:bottom w:val="none" w:sz="0" w:space="0" w:color="auto"/>
        <w:right w:val="none" w:sz="0" w:space="0" w:color="auto"/>
      </w:divBdr>
    </w:div>
    <w:div w:id="661782989">
      <w:bodyDiv w:val="1"/>
      <w:marLeft w:val="0"/>
      <w:marRight w:val="0"/>
      <w:marTop w:val="0"/>
      <w:marBottom w:val="0"/>
      <w:divBdr>
        <w:top w:val="none" w:sz="0" w:space="0" w:color="auto"/>
        <w:left w:val="none" w:sz="0" w:space="0" w:color="auto"/>
        <w:bottom w:val="none" w:sz="0" w:space="0" w:color="auto"/>
        <w:right w:val="none" w:sz="0" w:space="0" w:color="auto"/>
      </w:divBdr>
    </w:div>
    <w:div w:id="662051283">
      <w:bodyDiv w:val="1"/>
      <w:marLeft w:val="0"/>
      <w:marRight w:val="0"/>
      <w:marTop w:val="0"/>
      <w:marBottom w:val="0"/>
      <w:divBdr>
        <w:top w:val="none" w:sz="0" w:space="0" w:color="auto"/>
        <w:left w:val="none" w:sz="0" w:space="0" w:color="auto"/>
        <w:bottom w:val="none" w:sz="0" w:space="0" w:color="auto"/>
        <w:right w:val="none" w:sz="0" w:space="0" w:color="auto"/>
      </w:divBdr>
    </w:div>
    <w:div w:id="662317098">
      <w:bodyDiv w:val="1"/>
      <w:marLeft w:val="0"/>
      <w:marRight w:val="0"/>
      <w:marTop w:val="0"/>
      <w:marBottom w:val="0"/>
      <w:divBdr>
        <w:top w:val="none" w:sz="0" w:space="0" w:color="auto"/>
        <w:left w:val="none" w:sz="0" w:space="0" w:color="auto"/>
        <w:bottom w:val="none" w:sz="0" w:space="0" w:color="auto"/>
        <w:right w:val="none" w:sz="0" w:space="0" w:color="auto"/>
      </w:divBdr>
    </w:div>
    <w:div w:id="662391246">
      <w:bodyDiv w:val="1"/>
      <w:marLeft w:val="0"/>
      <w:marRight w:val="0"/>
      <w:marTop w:val="0"/>
      <w:marBottom w:val="0"/>
      <w:divBdr>
        <w:top w:val="none" w:sz="0" w:space="0" w:color="auto"/>
        <w:left w:val="none" w:sz="0" w:space="0" w:color="auto"/>
        <w:bottom w:val="none" w:sz="0" w:space="0" w:color="auto"/>
        <w:right w:val="none" w:sz="0" w:space="0" w:color="auto"/>
      </w:divBdr>
    </w:div>
    <w:div w:id="662438006">
      <w:bodyDiv w:val="1"/>
      <w:marLeft w:val="0"/>
      <w:marRight w:val="0"/>
      <w:marTop w:val="0"/>
      <w:marBottom w:val="0"/>
      <w:divBdr>
        <w:top w:val="none" w:sz="0" w:space="0" w:color="auto"/>
        <w:left w:val="none" w:sz="0" w:space="0" w:color="auto"/>
        <w:bottom w:val="none" w:sz="0" w:space="0" w:color="auto"/>
        <w:right w:val="none" w:sz="0" w:space="0" w:color="auto"/>
      </w:divBdr>
    </w:div>
    <w:div w:id="663242581">
      <w:bodyDiv w:val="1"/>
      <w:marLeft w:val="0"/>
      <w:marRight w:val="0"/>
      <w:marTop w:val="0"/>
      <w:marBottom w:val="0"/>
      <w:divBdr>
        <w:top w:val="none" w:sz="0" w:space="0" w:color="auto"/>
        <w:left w:val="none" w:sz="0" w:space="0" w:color="auto"/>
        <w:bottom w:val="none" w:sz="0" w:space="0" w:color="auto"/>
        <w:right w:val="none" w:sz="0" w:space="0" w:color="auto"/>
      </w:divBdr>
    </w:div>
    <w:div w:id="663314803">
      <w:bodyDiv w:val="1"/>
      <w:marLeft w:val="0"/>
      <w:marRight w:val="0"/>
      <w:marTop w:val="0"/>
      <w:marBottom w:val="0"/>
      <w:divBdr>
        <w:top w:val="none" w:sz="0" w:space="0" w:color="auto"/>
        <w:left w:val="none" w:sz="0" w:space="0" w:color="auto"/>
        <w:bottom w:val="none" w:sz="0" w:space="0" w:color="auto"/>
        <w:right w:val="none" w:sz="0" w:space="0" w:color="auto"/>
      </w:divBdr>
    </w:div>
    <w:div w:id="663626674">
      <w:bodyDiv w:val="1"/>
      <w:marLeft w:val="0"/>
      <w:marRight w:val="0"/>
      <w:marTop w:val="0"/>
      <w:marBottom w:val="0"/>
      <w:divBdr>
        <w:top w:val="none" w:sz="0" w:space="0" w:color="auto"/>
        <w:left w:val="none" w:sz="0" w:space="0" w:color="auto"/>
        <w:bottom w:val="none" w:sz="0" w:space="0" w:color="auto"/>
        <w:right w:val="none" w:sz="0" w:space="0" w:color="auto"/>
      </w:divBdr>
    </w:div>
    <w:div w:id="663818796">
      <w:bodyDiv w:val="1"/>
      <w:marLeft w:val="0"/>
      <w:marRight w:val="0"/>
      <w:marTop w:val="0"/>
      <w:marBottom w:val="0"/>
      <w:divBdr>
        <w:top w:val="none" w:sz="0" w:space="0" w:color="auto"/>
        <w:left w:val="none" w:sz="0" w:space="0" w:color="auto"/>
        <w:bottom w:val="none" w:sz="0" w:space="0" w:color="auto"/>
        <w:right w:val="none" w:sz="0" w:space="0" w:color="auto"/>
      </w:divBdr>
    </w:div>
    <w:div w:id="664095153">
      <w:bodyDiv w:val="1"/>
      <w:marLeft w:val="0"/>
      <w:marRight w:val="0"/>
      <w:marTop w:val="0"/>
      <w:marBottom w:val="0"/>
      <w:divBdr>
        <w:top w:val="none" w:sz="0" w:space="0" w:color="auto"/>
        <w:left w:val="none" w:sz="0" w:space="0" w:color="auto"/>
        <w:bottom w:val="none" w:sz="0" w:space="0" w:color="auto"/>
        <w:right w:val="none" w:sz="0" w:space="0" w:color="auto"/>
      </w:divBdr>
    </w:div>
    <w:div w:id="664741559">
      <w:bodyDiv w:val="1"/>
      <w:marLeft w:val="0"/>
      <w:marRight w:val="0"/>
      <w:marTop w:val="0"/>
      <w:marBottom w:val="0"/>
      <w:divBdr>
        <w:top w:val="none" w:sz="0" w:space="0" w:color="auto"/>
        <w:left w:val="none" w:sz="0" w:space="0" w:color="auto"/>
        <w:bottom w:val="none" w:sz="0" w:space="0" w:color="auto"/>
        <w:right w:val="none" w:sz="0" w:space="0" w:color="auto"/>
      </w:divBdr>
    </w:div>
    <w:div w:id="664821855">
      <w:bodyDiv w:val="1"/>
      <w:marLeft w:val="0"/>
      <w:marRight w:val="0"/>
      <w:marTop w:val="0"/>
      <w:marBottom w:val="0"/>
      <w:divBdr>
        <w:top w:val="none" w:sz="0" w:space="0" w:color="auto"/>
        <w:left w:val="none" w:sz="0" w:space="0" w:color="auto"/>
        <w:bottom w:val="none" w:sz="0" w:space="0" w:color="auto"/>
        <w:right w:val="none" w:sz="0" w:space="0" w:color="auto"/>
      </w:divBdr>
    </w:div>
    <w:div w:id="665523687">
      <w:bodyDiv w:val="1"/>
      <w:marLeft w:val="0"/>
      <w:marRight w:val="0"/>
      <w:marTop w:val="0"/>
      <w:marBottom w:val="0"/>
      <w:divBdr>
        <w:top w:val="none" w:sz="0" w:space="0" w:color="auto"/>
        <w:left w:val="none" w:sz="0" w:space="0" w:color="auto"/>
        <w:bottom w:val="none" w:sz="0" w:space="0" w:color="auto"/>
        <w:right w:val="none" w:sz="0" w:space="0" w:color="auto"/>
      </w:divBdr>
    </w:div>
    <w:div w:id="665591062">
      <w:bodyDiv w:val="1"/>
      <w:marLeft w:val="0"/>
      <w:marRight w:val="0"/>
      <w:marTop w:val="0"/>
      <w:marBottom w:val="0"/>
      <w:divBdr>
        <w:top w:val="none" w:sz="0" w:space="0" w:color="auto"/>
        <w:left w:val="none" w:sz="0" w:space="0" w:color="auto"/>
        <w:bottom w:val="none" w:sz="0" w:space="0" w:color="auto"/>
        <w:right w:val="none" w:sz="0" w:space="0" w:color="auto"/>
      </w:divBdr>
    </w:div>
    <w:div w:id="666372129">
      <w:bodyDiv w:val="1"/>
      <w:marLeft w:val="0"/>
      <w:marRight w:val="0"/>
      <w:marTop w:val="0"/>
      <w:marBottom w:val="0"/>
      <w:divBdr>
        <w:top w:val="none" w:sz="0" w:space="0" w:color="auto"/>
        <w:left w:val="none" w:sz="0" w:space="0" w:color="auto"/>
        <w:bottom w:val="none" w:sz="0" w:space="0" w:color="auto"/>
        <w:right w:val="none" w:sz="0" w:space="0" w:color="auto"/>
      </w:divBdr>
    </w:div>
    <w:div w:id="666447317">
      <w:bodyDiv w:val="1"/>
      <w:marLeft w:val="0"/>
      <w:marRight w:val="0"/>
      <w:marTop w:val="0"/>
      <w:marBottom w:val="0"/>
      <w:divBdr>
        <w:top w:val="none" w:sz="0" w:space="0" w:color="auto"/>
        <w:left w:val="none" w:sz="0" w:space="0" w:color="auto"/>
        <w:bottom w:val="none" w:sz="0" w:space="0" w:color="auto"/>
        <w:right w:val="none" w:sz="0" w:space="0" w:color="auto"/>
      </w:divBdr>
    </w:div>
    <w:div w:id="667176964">
      <w:bodyDiv w:val="1"/>
      <w:marLeft w:val="0"/>
      <w:marRight w:val="0"/>
      <w:marTop w:val="0"/>
      <w:marBottom w:val="0"/>
      <w:divBdr>
        <w:top w:val="none" w:sz="0" w:space="0" w:color="auto"/>
        <w:left w:val="none" w:sz="0" w:space="0" w:color="auto"/>
        <w:bottom w:val="none" w:sz="0" w:space="0" w:color="auto"/>
        <w:right w:val="none" w:sz="0" w:space="0" w:color="auto"/>
      </w:divBdr>
    </w:div>
    <w:div w:id="667485536">
      <w:bodyDiv w:val="1"/>
      <w:marLeft w:val="0"/>
      <w:marRight w:val="0"/>
      <w:marTop w:val="0"/>
      <w:marBottom w:val="0"/>
      <w:divBdr>
        <w:top w:val="none" w:sz="0" w:space="0" w:color="auto"/>
        <w:left w:val="none" w:sz="0" w:space="0" w:color="auto"/>
        <w:bottom w:val="none" w:sz="0" w:space="0" w:color="auto"/>
        <w:right w:val="none" w:sz="0" w:space="0" w:color="auto"/>
      </w:divBdr>
    </w:div>
    <w:div w:id="667485787">
      <w:bodyDiv w:val="1"/>
      <w:marLeft w:val="0"/>
      <w:marRight w:val="0"/>
      <w:marTop w:val="0"/>
      <w:marBottom w:val="0"/>
      <w:divBdr>
        <w:top w:val="none" w:sz="0" w:space="0" w:color="auto"/>
        <w:left w:val="none" w:sz="0" w:space="0" w:color="auto"/>
        <w:bottom w:val="none" w:sz="0" w:space="0" w:color="auto"/>
        <w:right w:val="none" w:sz="0" w:space="0" w:color="auto"/>
      </w:divBdr>
    </w:div>
    <w:div w:id="668485034">
      <w:bodyDiv w:val="1"/>
      <w:marLeft w:val="0"/>
      <w:marRight w:val="0"/>
      <w:marTop w:val="0"/>
      <w:marBottom w:val="0"/>
      <w:divBdr>
        <w:top w:val="none" w:sz="0" w:space="0" w:color="auto"/>
        <w:left w:val="none" w:sz="0" w:space="0" w:color="auto"/>
        <w:bottom w:val="none" w:sz="0" w:space="0" w:color="auto"/>
        <w:right w:val="none" w:sz="0" w:space="0" w:color="auto"/>
      </w:divBdr>
    </w:div>
    <w:div w:id="668562684">
      <w:bodyDiv w:val="1"/>
      <w:marLeft w:val="0"/>
      <w:marRight w:val="0"/>
      <w:marTop w:val="0"/>
      <w:marBottom w:val="0"/>
      <w:divBdr>
        <w:top w:val="none" w:sz="0" w:space="0" w:color="auto"/>
        <w:left w:val="none" w:sz="0" w:space="0" w:color="auto"/>
        <w:bottom w:val="none" w:sz="0" w:space="0" w:color="auto"/>
        <w:right w:val="none" w:sz="0" w:space="0" w:color="auto"/>
      </w:divBdr>
    </w:div>
    <w:div w:id="669253721">
      <w:bodyDiv w:val="1"/>
      <w:marLeft w:val="0"/>
      <w:marRight w:val="0"/>
      <w:marTop w:val="0"/>
      <w:marBottom w:val="0"/>
      <w:divBdr>
        <w:top w:val="none" w:sz="0" w:space="0" w:color="auto"/>
        <w:left w:val="none" w:sz="0" w:space="0" w:color="auto"/>
        <w:bottom w:val="none" w:sz="0" w:space="0" w:color="auto"/>
        <w:right w:val="none" w:sz="0" w:space="0" w:color="auto"/>
      </w:divBdr>
    </w:div>
    <w:div w:id="669983762">
      <w:bodyDiv w:val="1"/>
      <w:marLeft w:val="0"/>
      <w:marRight w:val="0"/>
      <w:marTop w:val="0"/>
      <w:marBottom w:val="0"/>
      <w:divBdr>
        <w:top w:val="none" w:sz="0" w:space="0" w:color="auto"/>
        <w:left w:val="none" w:sz="0" w:space="0" w:color="auto"/>
        <w:bottom w:val="none" w:sz="0" w:space="0" w:color="auto"/>
        <w:right w:val="none" w:sz="0" w:space="0" w:color="auto"/>
      </w:divBdr>
    </w:div>
    <w:div w:id="669986259">
      <w:bodyDiv w:val="1"/>
      <w:marLeft w:val="0"/>
      <w:marRight w:val="0"/>
      <w:marTop w:val="0"/>
      <w:marBottom w:val="0"/>
      <w:divBdr>
        <w:top w:val="none" w:sz="0" w:space="0" w:color="auto"/>
        <w:left w:val="none" w:sz="0" w:space="0" w:color="auto"/>
        <w:bottom w:val="none" w:sz="0" w:space="0" w:color="auto"/>
        <w:right w:val="none" w:sz="0" w:space="0" w:color="auto"/>
      </w:divBdr>
    </w:div>
    <w:div w:id="670640829">
      <w:bodyDiv w:val="1"/>
      <w:marLeft w:val="0"/>
      <w:marRight w:val="0"/>
      <w:marTop w:val="0"/>
      <w:marBottom w:val="0"/>
      <w:divBdr>
        <w:top w:val="none" w:sz="0" w:space="0" w:color="auto"/>
        <w:left w:val="none" w:sz="0" w:space="0" w:color="auto"/>
        <w:bottom w:val="none" w:sz="0" w:space="0" w:color="auto"/>
        <w:right w:val="none" w:sz="0" w:space="0" w:color="auto"/>
      </w:divBdr>
    </w:div>
    <w:div w:id="672954349">
      <w:bodyDiv w:val="1"/>
      <w:marLeft w:val="0"/>
      <w:marRight w:val="0"/>
      <w:marTop w:val="0"/>
      <w:marBottom w:val="0"/>
      <w:divBdr>
        <w:top w:val="none" w:sz="0" w:space="0" w:color="auto"/>
        <w:left w:val="none" w:sz="0" w:space="0" w:color="auto"/>
        <w:bottom w:val="none" w:sz="0" w:space="0" w:color="auto"/>
        <w:right w:val="none" w:sz="0" w:space="0" w:color="auto"/>
      </w:divBdr>
    </w:div>
    <w:div w:id="673722076">
      <w:bodyDiv w:val="1"/>
      <w:marLeft w:val="0"/>
      <w:marRight w:val="0"/>
      <w:marTop w:val="0"/>
      <w:marBottom w:val="0"/>
      <w:divBdr>
        <w:top w:val="none" w:sz="0" w:space="0" w:color="auto"/>
        <w:left w:val="none" w:sz="0" w:space="0" w:color="auto"/>
        <w:bottom w:val="none" w:sz="0" w:space="0" w:color="auto"/>
        <w:right w:val="none" w:sz="0" w:space="0" w:color="auto"/>
      </w:divBdr>
    </w:div>
    <w:div w:id="674696909">
      <w:bodyDiv w:val="1"/>
      <w:marLeft w:val="0"/>
      <w:marRight w:val="0"/>
      <w:marTop w:val="0"/>
      <w:marBottom w:val="0"/>
      <w:divBdr>
        <w:top w:val="none" w:sz="0" w:space="0" w:color="auto"/>
        <w:left w:val="none" w:sz="0" w:space="0" w:color="auto"/>
        <w:bottom w:val="none" w:sz="0" w:space="0" w:color="auto"/>
        <w:right w:val="none" w:sz="0" w:space="0" w:color="auto"/>
      </w:divBdr>
    </w:div>
    <w:div w:id="675035589">
      <w:bodyDiv w:val="1"/>
      <w:marLeft w:val="0"/>
      <w:marRight w:val="0"/>
      <w:marTop w:val="0"/>
      <w:marBottom w:val="0"/>
      <w:divBdr>
        <w:top w:val="none" w:sz="0" w:space="0" w:color="auto"/>
        <w:left w:val="none" w:sz="0" w:space="0" w:color="auto"/>
        <w:bottom w:val="none" w:sz="0" w:space="0" w:color="auto"/>
        <w:right w:val="none" w:sz="0" w:space="0" w:color="auto"/>
      </w:divBdr>
    </w:div>
    <w:div w:id="675041159">
      <w:bodyDiv w:val="1"/>
      <w:marLeft w:val="0"/>
      <w:marRight w:val="0"/>
      <w:marTop w:val="0"/>
      <w:marBottom w:val="0"/>
      <w:divBdr>
        <w:top w:val="none" w:sz="0" w:space="0" w:color="auto"/>
        <w:left w:val="none" w:sz="0" w:space="0" w:color="auto"/>
        <w:bottom w:val="none" w:sz="0" w:space="0" w:color="auto"/>
        <w:right w:val="none" w:sz="0" w:space="0" w:color="auto"/>
      </w:divBdr>
    </w:div>
    <w:div w:id="675770533">
      <w:bodyDiv w:val="1"/>
      <w:marLeft w:val="0"/>
      <w:marRight w:val="0"/>
      <w:marTop w:val="0"/>
      <w:marBottom w:val="0"/>
      <w:divBdr>
        <w:top w:val="none" w:sz="0" w:space="0" w:color="auto"/>
        <w:left w:val="none" w:sz="0" w:space="0" w:color="auto"/>
        <w:bottom w:val="none" w:sz="0" w:space="0" w:color="auto"/>
        <w:right w:val="none" w:sz="0" w:space="0" w:color="auto"/>
      </w:divBdr>
    </w:div>
    <w:div w:id="675839121">
      <w:bodyDiv w:val="1"/>
      <w:marLeft w:val="0"/>
      <w:marRight w:val="0"/>
      <w:marTop w:val="0"/>
      <w:marBottom w:val="0"/>
      <w:divBdr>
        <w:top w:val="none" w:sz="0" w:space="0" w:color="auto"/>
        <w:left w:val="none" w:sz="0" w:space="0" w:color="auto"/>
        <w:bottom w:val="none" w:sz="0" w:space="0" w:color="auto"/>
        <w:right w:val="none" w:sz="0" w:space="0" w:color="auto"/>
      </w:divBdr>
    </w:div>
    <w:div w:id="676079433">
      <w:bodyDiv w:val="1"/>
      <w:marLeft w:val="0"/>
      <w:marRight w:val="0"/>
      <w:marTop w:val="0"/>
      <w:marBottom w:val="0"/>
      <w:divBdr>
        <w:top w:val="none" w:sz="0" w:space="0" w:color="auto"/>
        <w:left w:val="none" w:sz="0" w:space="0" w:color="auto"/>
        <w:bottom w:val="none" w:sz="0" w:space="0" w:color="auto"/>
        <w:right w:val="none" w:sz="0" w:space="0" w:color="auto"/>
      </w:divBdr>
    </w:div>
    <w:div w:id="676079976">
      <w:bodyDiv w:val="1"/>
      <w:marLeft w:val="0"/>
      <w:marRight w:val="0"/>
      <w:marTop w:val="0"/>
      <w:marBottom w:val="0"/>
      <w:divBdr>
        <w:top w:val="none" w:sz="0" w:space="0" w:color="auto"/>
        <w:left w:val="none" w:sz="0" w:space="0" w:color="auto"/>
        <w:bottom w:val="none" w:sz="0" w:space="0" w:color="auto"/>
        <w:right w:val="none" w:sz="0" w:space="0" w:color="auto"/>
      </w:divBdr>
    </w:div>
    <w:div w:id="676345882">
      <w:bodyDiv w:val="1"/>
      <w:marLeft w:val="0"/>
      <w:marRight w:val="0"/>
      <w:marTop w:val="0"/>
      <w:marBottom w:val="0"/>
      <w:divBdr>
        <w:top w:val="none" w:sz="0" w:space="0" w:color="auto"/>
        <w:left w:val="none" w:sz="0" w:space="0" w:color="auto"/>
        <w:bottom w:val="none" w:sz="0" w:space="0" w:color="auto"/>
        <w:right w:val="none" w:sz="0" w:space="0" w:color="auto"/>
      </w:divBdr>
    </w:div>
    <w:div w:id="676619560">
      <w:bodyDiv w:val="1"/>
      <w:marLeft w:val="0"/>
      <w:marRight w:val="0"/>
      <w:marTop w:val="0"/>
      <w:marBottom w:val="0"/>
      <w:divBdr>
        <w:top w:val="none" w:sz="0" w:space="0" w:color="auto"/>
        <w:left w:val="none" w:sz="0" w:space="0" w:color="auto"/>
        <w:bottom w:val="none" w:sz="0" w:space="0" w:color="auto"/>
        <w:right w:val="none" w:sz="0" w:space="0" w:color="auto"/>
      </w:divBdr>
    </w:div>
    <w:div w:id="676736359">
      <w:bodyDiv w:val="1"/>
      <w:marLeft w:val="0"/>
      <w:marRight w:val="0"/>
      <w:marTop w:val="0"/>
      <w:marBottom w:val="0"/>
      <w:divBdr>
        <w:top w:val="none" w:sz="0" w:space="0" w:color="auto"/>
        <w:left w:val="none" w:sz="0" w:space="0" w:color="auto"/>
        <w:bottom w:val="none" w:sz="0" w:space="0" w:color="auto"/>
        <w:right w:val="none" w:sz="0" w:space="0" w:color="auto"/>
      </w:divBdr>
    </w:div>
    <w:div w:id="677661775">
      <w:bodyDiv w:val="1"/>
      <w:marLeft w:val="0"/>
      <w:marRight w:val="0"/>
      <w:marTop w:val="0"/>
      <w:marBottom w:val="0"/>
      <w:divBdr>
        <w:top w:val="none" w:sz="0" w:space="0" w:color="auto"/>
        <w:left w:val="none" w:sz="0" w:space="0" w:color="auto"/>
        <w:bottom w:val="none" w:sz="0" w:space="0" w:color="auto"/>
        <w:right w:val="none" w:sz="0" w:space="0" w:color="auto"/>
      </w:divBdr>
    </w:div>
    <w:div w:id="678385824">
      <w:bodyDiv w:val="1"/>
      <w:marLeft w:val="0"/>
      <w:marRight w:val="0"/>
      <w:marTop w:val="0"/>
      <w:marBottom w:val="0"/>
      <w:divBdr>
        <w:top w:val="none" w:sz="0" w:space="0" w:color="auto"/>
        <w:left w:val="none" w:sz="0" w:space="0" w:color="auto"/>
        <w:bottom w:val="none" w:sz="0" w:space="0" w:color="auto"/>
        <w:right w:val="none" w:sz="0" w:space="0" w:color="auto"/>
      </w:divBdr>
    </w:div>
    <w:div w:id="678703135">
      <w:bodyDiv w:val="1"/>
      <w:marLeft w:val="0"/>
      <w:marRight w:val="0"/>
      <w:marTop w:val="0"/>
      <w:marBottom w:val="0"/>
      <w:divBdr>
        <w:top w:val="none" w:sz="0" w:space="0" w:color="auto"/>
        <w:left w:val="none" w:sz="0" w:space="0" w:color="auto"/>
        <w:bottom w:val="none" w:sz="0" w:space="0" w:color="auto"/>
        <w:right w:val="none" w:sz="0" w:space="0" w:color="auto"/>
      </w:divBdr>
    </w:div>
    <w:div w:id="678774229">
      <w:bodyDiv w:val="1"/>
      <w:marLeft w:val="0"/>
      <w:marRight w:val="0"/>
      <w:marTop w:val="0"/>
      <w:marBottom w:val="0"/>
      <w:divBdr>
        <w:top w:val="none" w:sz="0" w:space="0" w:color="auto"/>
        <w:left w:val="none" w:sz="0" w:space="0" w:color="auto"/>
        <w:bottom w:val="none" w:sz="0" w:space="0" w:color="auto"/>
        <w:right w:val="none" w:sz="0" w:space="0" w:color="auto"/>
      </w:divBdr>
    </w:div>
    <w:div w:id="678894549">
      <w:bodyDiv w:val="1"/>
      <w:marLeft w:val="0"/>
      <w:marRight w:val="0"/>
      <w:marTop w:val="0"/>
      <w:marBottom w:val="0"/>
      <w:divBdr>
        <w:top w:val="none" w:sz="0" w:space="0" w:color="auto"/>
        <w:left w:val="none" w:sz="0" w:space="0" w:color="auto"/>
        <w:bottom w:val="none" w:sz="0" w:space="0" w:color="auto"/>
        <w:right w:val="none" w:sz="0" w:space="0" w:color="auto"/>
      </w:divBdr>
    </w:div>
    <w:div w:id="680206662">
      <w:bodyDiv w:val="1"/>
      <w:marLeft w:val="0"/>
      <w:marRight w:val="0"/>
      <w:marTop w:val="0"/>
      <w:marBottom w:val="0"/>
      <w:divBdr>
        <w:top w:val="none" w:sz="0" w:space="0" w:color="auto"/>
        <w:left w:val="none" w:sz="0" w:space="0" w:color="auto"/>
        <w:bottom w:val="none" w:sz="0" w:space="0" w:color="auto"/>
        <w:right w:val="none" w:sz="0" w:space="0" w:color="auto"/>
      </w:divBdr>
    </w:div>
    <w:div w:id="680401116">
      <w:bodyDiv w:val="1"/>
      <w:marLeft w:val="0"/>
      <w:marRight w:val="0"/>
      <w:marTop w:val="0"/>
      <w:marBottom w:val="0"/>
      <w:divBdr>
        <w:top w:val="none" w:sz="0" w:space="0" w:color="auto"/>
        <w:left w:val="none" w:sz="0" w:space="0" w:color="auto"/>
        <w:bottom w:val="none" w:sz="0" w:space="0" w:color="auto"/>
        <w:right w:val="none" w:sz="0" w:space="0" w:color="auto"/>
      </w:divBdr>
    </w:div>
    <w:div w:id="680475134">
      <w:bodyDiv w:val="1"/>
      <w:marLeft w:val="0"/>
      <w:marRight w:val="0"/>
      <w:marTop w:val="0"/>
      <w:marBottom w:val="0"/>
      <w:divBdr>
        <w:top w:val="none" w:sz="0" w:space="0" w:color="auto"/>
        <w:left w:val="none" w:sz="0" w:space="0" w:color="auto"/>
        <w:bottom w:val="none" w:sz="0" w:space="0" w:color="auto"/>
        <w:right w:val="none" w:sz="0" w:space="0" w:color="auto"/>
      </w:divBdr>
    </w:div>
    <w:div w:id="681013264">
      <w:bodyDiv w:val="1"/>
      <w:marLeft w:val="0"/>
      <w:marRight w:val="0"/>
      <w:marTop w:val="0"/>
      <w:marBottom w:val="0"/>
      <w:divBdr>
        <w:top w:val="none" w:sz="0" w:space="0" w:color="auto"/>
        <w:left w:val="none" w:sz="0" w:space="0" w:color="auto"/>
        <w:bottom w:val="none" w:sz="0" w:space="0" w:color="auto"/>
        <w:right w:val="none" w:sz="0" w:space="0" w:color="auto"/>
      </w:divBdr>
    </w:div>
    <w:div w:id="681129554">
      <w:bodyDiv w:val="1"/>
      <w:marLeft w:val="0"/>
      <w:marRight w:val="0"/>
      <w:marTop w:val="0"/>
      <w:marBottom w:val="0"/>
      <w:divBdr>
        <w:top w:val="none" w:sz="0" w:space="0" w:color="auto"/>
        <w:left w:val="none" w:sz="0" w:space="0" w:color="auto"/>
        <w:bottom w:val="none" w:sz="0" w:space="0" w:color="auto"/>
        <w:right w:val="none" w:sz="0" w:space="0" w:color="auto"/>
      </w:divBdr>
    </w:div>
    <w:div w:id="681199596">
      <w:bodyDiv w:val="1"/>
      <w:marLeft w:val="0"/>
      <w:marRight w:val="0"/>
      <w:marTop w:val="0"/>
      <w:marBottom w:val="0"/>
      <w:divBdr>
        <w:top w:val="none" w:sz="0" w:space="0" w:color="auto"/>
        <w:left w:val="none" w:sz="0" w:space="0" w:color="auto"/>
        <w:bottom w:val="none" w:sz="0" w:space="0" w:color="auto"/>
        <w:right w:val="none" w:sz="0" w:space="0" w:color="auto"/>
      </w:divBdr>
    </w:div>
    <w:div w:id="681395856">
      <w:bodyDiv w:val="1"/>
      <w:marLeft w:val="0"/>
      <w:marRight w:val="0"/>
      <w:marTop w:val="0"/>
      <w:marBottom w:val="0"/>
      <w:divBdr>
        <w:top w:val="none" w:sz="0" w:space="0" w:color="auto"/>
        <w:left w:val="none" w:sz="0" w:space="0" w:color="auto"/>
        <w:bottom w:val="none" w:sz="0" w:space="0" w:color="auto"/>
        <w:right w:val="none" w:sz="0" w:space="0" w:color="auto"/>
      </w:divBdr>
    </w:div>
    <w:div w:id="681399813">
      <w:bodyDiv w:val="1"/>
      <w:marLeft w:val="0"/>
      <w:marRight w:val="0"/>
      <w:marTop w:val="0"/>
      <w:marBottom w:val="0"/>
      <w:divBdr>
        <w:top w:val="none" w:sz="0" w:space="0" w:color="auto"/>
        <w:left w:val="none" w:sz="0" w:space="0" w:color="auto"/>
        <w:bottom w:val="none" w:sz="0" w:space="0" w:color="auto"/>
        <w:right w:val="none" w:sz="0" w:space="0" w:color="auto"/>
      </w:divBdr>
    </w:div>
    <w:div w:id="682173872">
      <w:bodyDiv w:val="1"/>
      <w:marLeft w:val="0"/>
      <w:marRight w:val="0"/>
      <w:marTop w:val="0"/>
      <w:marBottom w:val="0"/>
      <w:divBdr>
        <w:top w:val="none" w:sz="0" w:space="0" w:color="auto"/>
        <w:left w:val="none" w:sz="0" w:space="0" w:color="auto"/>
        <w:bottom w:val="none" w:sz="0" w:space="0" w:color="auto"/>
        <w:right w:val="none" w:sz="0" w:space="0" w:color="auto"/>
      </w:divBdr>
    </w:div>
    <w:div w:id="682434972">
      <w:bodyDiv w:val="1"/>
      <w:marLeft w:val="0"/>
      <w:marRight w:val="0"/>
      <w:marTop w:val="0"/>
      <w:marBottom w:val="0"/>
      <w:divBdr>
        <w:top w:val="none" w:sz="0" w:space="0" w:color="auto"/>
        <w:left w:val="none" w:sz="0" w:space="0" w:color="auto"/>
        <w:bottom w:val="none" w:sz="0" w:space="0" w:color="auto"/>
        <w:right w:val="none" w:sz="0" w:space="0" w:color="auto"/>
      </w:divBdr>
    </w:div>
    <w:div w:id="682443286">
      <w:bodyDiv w:val="1"/>
      <w:marLeft w:val="0"/>
      <w:marRight w:val="0"/>
      <w:marTop w:val="0"/>
      <w:marBottom w:val="0"/>
      <w:divBdr>
        <w:top w:val="none" w:sz="0" w:space="0" w:color="auto"/>
        <w:left w:val="none" w:sz="0" w:space="0" w:color="auto"/>
        <w:bottom w:val="none" w:sz="0" w:space="0" w:color="auto"/>
        <w:right w:val="none" w:sz="0" w:space="0" w:color="auto"/>
      </w:divBdr>
    </w:div>
    <w:div w:id="683090668">
      <w:bodyDiv w:val="1"/>
      <w:marLeft w:val="0"/>
      <w:marRight w:val="0"/>
      <w:marTop w:val="0"/>
      <w:marBottom w:val="0"/>
      <w:divBdr>
        <w:top w:val="none" w:sz="0" w:space="0" w:color="auto"/>
        <w:left w:val="none" w:sz="0" w:space="0" w:color="auto"/>
        <w:bottom w:val="none" w:sz="0" w:space="0" w:color="auto"/>
        <w:right w:val="none" w:sz="0" w:space="0" w:color="auto"/>
      </w:divBdr>
    </w:div>
    <w:div w:id="683628239">
      <w:bodyDiv w:val="1"/>
      <w:marLeft w:val="0"/>
      <w:marRight w:val="0"/>
      <w:marTop w:val="0"/>
      <w:marBottom w:val="0"/>
      <w:divBdr>
        <w:top w:val="none" w:sz="0" w:space="0" w:color="auto"/>
        <w:left w:val="none" w:sz="0" w:space="0" w:color="auto"/>
        <w:bottom w:val="none" w:sz="0" w:space="0" w:color="auto"/>
        <w:right w:val="none" w:sz="0" w:space="0" w:color="auto"/>
      </w:divBdr>
    </w:div>
    <w:div w:id="684478256">
      <w:bodyDiv w:val="1"/>
      <w:marLeft w:val="0"/>
      <w:marRight w:val="0"/>
      <w:marTop w:val="0"/>
      <w:marBottom w:val="0"/>
      <w:divBdr>
        <w:top w:val="none" w:sz="0" w:space="0" w:color="auto"/>
        <w:left w:val="none" w:sz="0" w:space="0" w:color="auto"/>
        <w:bottom w:val="none" w:sz="0" w:space="0" w:color="auto"/>
        <w:right w:val="none" w:sz="0" w:space="0" w:color="auto"/>
      </w:divBdr>
    </w:div>
    <w:div w:id="684943785">
      <w:bodyDiv w:val="1"/>
      <w:marLeft w:val="0"/>
      <w:marRight w:val="0"/>
      <w:marTop w:val="0"/>
      <w:marBottom w:val="0"/>
      <w:divBdr>
        <w:top w:val="none" w:sz="0" w:space="0" w:color="auto"/>
        <w:left w:val="none" w:sz="0" w:space="0" w:color="auto"/>
        <w:bottom w:val="none" w:sz="0" w:space="0" w:color="auto"/>
        <w:right w:val="none" w:sz="0" w:space="0" w:color="auto"/>
      </w:divBdr>
    </w:div>
    <w:div w:id="685403164">
      <w:bodyDiv w:val="1"/>
      <w:marLeft w:val="0"/>
      <w:marRight w:val="0"/>
      <w:marTop w:val="0"/>
      <w:marBottom w:val="0"/>
      <w:divBdr>
        <w:top w:val="none" w:sz="0" w:space="0" w:color="auto"/>
        <w:left w:val="none" w:sz="0" w:space="0" w:color="auto"/>
        <w:bottom w:val="none" w:sz="0" w:space="0" w:color="auto"/>
        <w:right w:val="none" w:sz="0" w:space="0" w:color="auto"/>
      </w:divBdr>
    </w:div>
    <w:div w:id="685517315">
      <w:bodyDiv w:val="1"/>
      <w:marLeft w:val="0"/>
      <w:marRight w:val="0"/>
      <w:marTop w:val="0"/>
      <w:marBottom w:val="0"/>
      <w:divBdr>
        <w:top w:val="none" w:sz="0" w:space="0" w:color="auto"/>
        <w:left w:val="none" w:sz="0" w:space="0" w:color="auto"/>
        <w:bottom w:val="none" w:sz="0" w:space="0" w:color="auto"/>
        <w:right w:val="none" w:sz="0" w:space="0" w:color="auto"/>
      </w:divBdr>
    </w:div>
    <w:div w:id="686637912">
      <w:bodyDiv w:val="1"/>
      <w:marLeft w:val="0"/>
      <w:marRight w:val="0"/>
      <w:marTop w:val="0"/>
      <w:marBottom w:val="0"/>
      <w:divBdr>
        <w:top w:val="none" w:sz="0" w:space="0" w:color="auto"/>
        <w:left w:val="none" w:sz="0" w:space="0" w:color="auto"/>
        <w:bottom w:val="none" w:sz="0" w:space="0" w:color="auto"/>
        <w:right w:val="none" w:sz="0" w:space="0" w:color="auto"/>
      </w:divBdr>
    </w:div>
    <w:div w:id="686757403">
      <w:bodyDiv w:val="1"/>
      <w:marLeft w:val="0"/>
      <w:marRight w:val="0"/>
      <w:marTop w:val="0"/>
      <w:marBottom w:val="0"/>
      <w:divBdr>
        <w:top w:val="none" w:sz="0" w:space="0" w:color="auto"/>
        <w:left w:val="none" w:sz="0" w:space="0" w:color="auto"/>
        <w:bottom w:val="none" w:sz="0" w:space="0" w:color="auto"/>
        <w:right w:val="none" w:sz="0" w:space="0" w:color="auto"/>
      </w:divBdr>
    </w:div>
    <w:div w:id="688291574">
      <w:bodyDiv w:val="1"/>
      <w:marLeft w:val="0"/>
      <w:marRight w:val="0"/>
      <w:marTop w:val="0"/>
      <w:marBottom w:val="0"/>
      <w:divBdr>
        <w:top w:val="none" w:sz="0" w:space="0" w:color="auto"/>
        <w:left w:val="none" w:sz="0" w:space="0" w:color="auto"/>
        <w:bottom w:val="none" w:sz="0" w:space="0" w:color="auto"/>
        <w:right w:val="none" w:sz="0" w:space="0" w:color="auto"/>
      </w:divBdr>
    </w:div>
    <w:div w:id="688338963">
      <w:bodyDiv w:val="1"/>
      <w:marLeft w:val="0"/>
      <w:marRight w:val="0"/>
      <w:marTop w:val="0"/>
      <w:marBottom w:val="0"/>
      <w:divBdr>
        <w:top w:val="none" w:sz="0" w:space="0" w:color="auto"/>
        <w:left w:val="none" w:sz="0" w:space="0" w:color="auto"/>
        <w:bottom w:val="none" w:sz="0" w:space="0" w:color="auto"/>
        <w:right w:val="none" w:sz="0" w:space="0" w:color="auto"/>
      </w:divBdr>
    </w:div>
    <w:div w:id="688679803">
      <w:bodyDiv w:val="1"/>
      <w:marLeft w:val="0"/>
      <w:marRight w:val="0"/>
      <w:marTop w:val="0"/>
      <w:marBottom w:val="0"/>
      <w:divBdr>
        <w:top w:val="none" w:sz="0" w:space="0" w:color="auto"/>
        <w:left w:val="none" w:sz="0" w:space="0" w:color="auto"/>
        <w:bottom w:val="none" w:sz="0" w:space="0" w:color="auto"/>
        <w:right w:val="none" w:sz="0" w:space="0" w:color="auto"/>
      </w:divBdr>
    </w:div>
    <w:div w:id="688797370">
      <w:bodyDiv w:val="1"/>
      <w:marLeft w:val="0"/>
      <w:marRight w:val="0"/>
      <w:marTop w:val="0"/>
      <w:marBottom w:val="0"/>
      <w:divBdr>
        <w:top w:val="none" w:sz="0" w:space="0" w:color="auto"/>
        <w:left w:val="none" w:sz="0" w:space="0" w:color="auto"/>
        <w:bottom w:val="none" w:sz="0" w:space="0" w:color="auto"/>
        <w:right w:val="none" w:sz="0" w:space="0" w:color="auto"/>
      </w:divBdr>
    </w:div>
    <w:div w:id="689257453">
      <w:bodyDiv w:val="1"/>
      <w:marLeft w:val="0"/>
      <w:marRight w:val="0"/>
      <w:marTop w:val="0"/>
      <w:marBottom w:val="0"/>
      <w:divBdr>
        <w:top w:val="none" w:sz="0" w:space="0" w:color="auto"/>
        <w:left w:val="none" w:sz="0" w:space="0" w:color="auto"/>
        <w:bottom w:val="none" w:sz="0" w:space="0" w:color="auto"/>
        <w:right w:val="none" w:sz="0" w:space="0" w:color="auto"/>
      </w:divBdr>
    </w:div>
    <w:div w:id="689335806">
      <w:bodyDiv w:val="1"/>
      <w:marLeft w:val="0"/>
      <w:marRight w:val="0"/>
      <w:marTop w:val="0"/>
      <w:marBottom w:val="0"/>
      <w:divBdr>
        <w:top w:val="none" w:sz="0" w:space="0" w:color="auto"/>
        <w:left w:val="none" w:sz="0" w:space="0" w:color="auto"/>
        <w:bottom w:val="none" w:sz="0" w:space="0" w:color="auto"/>
        <w:right w:val="none" w:sz="0" w:space="0" w:color="auto"/>
      </w:divBdr>
    </w:div>
    <w:div w:id="689450125">
      <w:bodyDiv w:val="1"/>
      <w:marLeft w:val="0"/>
      <w:marRight w:val="0"/>
      <w:marTop w:val="0"/>
      <w:marBottom w:val="0"/>
      <w:divBdr>
        <w:top w:val="none" w:sz="0" w:space="0" w:color="auto"/>
        <w:left w:val="none" w:sz="0" w:space="0" w:color="auto"/>
        <w:bottom w:val="none" w:sz="0" w:space="0" w:color="auto"/>
        <w:right w:val="none" w:sz="0" w:space="0" w:color="auto"/>
      </w:divBdr>
    </w:div>
    <w:div w:id="689643943">
      <w:bodyDiv w:val="1"/>
      <w:marLeft w:val="0"/>
      <w:marRight w:val="0"/>
      <w:marTop w:val="0"/>
      <w:marBottom w:val="0"/>
      <w:divBdr>
        <w:top w:val="none" w:sz="0" w:space="0" w:color="auto"/>
        <w:left w:val="none" w:sz="0" w:space="0" w:color="auto"/>
        <w:bottom w:val="none" w:sz="0" w:space="0" w:color="auto"/>
        <w:right w:val="none" w:sz="0" w:space="0" w:color="auto"/>
      </w:divBdr>
    </w:div>
    <w:div w:id="690686438">
      <w:bodyDiv w:val="1"/>
      <w:marLeft w:val="0"/>
      <w:marRight w:val="0"/>
      <w:marTop w:val="0"/>
      <w:marBottom w:val="0"/>
      <w:divBdr>
        <w:top w:val="none" w:sz="0" w:space="0" w:color="auto"/>
        <w:left w:val="none" w:sz="0" w:space="0" w:color="auto"/>
        <w:bottom w:val="none" w:sz="0" w:space="0" w:color="auto"/>
        <w:right w:val="none" w:sz="0" w:space="0" w:color="auto"/>
      </w:divBdr>
    </w:div>
    <w:div w:id="690838017">
      <w:bodyDiv w:val="1"/>
      <w:marLeft w:val="0"/>
      <w:marRight w:val="0"/>
      <w:marTop w:val="0"/>
      <w:marBottom w:val="0"/>
      <w:divBdr>
        <w:top w:val="none" w:sz="0" w:space="0" w:color="auto"/>
        <w:left w:val="none" w:sz="0" w:space="0" w:color="auto"/>
        <w:bottom w:val="none" w:sz="0" w:space="0" w:color="auto"/>
        <w:right w:val="none" w:sz="0" w:space="0" w:color="auto"/>
      </w:divBdr>
    </w:div>
    <w:div w:id="691150758">
      <w:bodyDiv w:val="1"/>
      <w:marLeft w:val="0"/>
      <w:marRight w:val="0"/>
      <w:marTop w:val="0"/>
      <w:marBottom w:val="0"/>
      <w:divBdr>
        <w:top w:val="none" w:sz="0" w:space="0" w:color="auto"/>
        <w:left w:val="none" w:sz="0" w:space="0" w:color="auto"/>
        <w:bottom w:val="none" w:sz="0" w:space="0" w:color="auto"/>
        <w:right w:val="none" w:sz="0" w:space="0" w:color="auto"/>
      </w:divBdr>
    </w:div>
    <w:div w:id="692069908">
      <w:bodyDiv w:val="1"/>
      <w:marLeft w:val="0"/>
      <w:marRight w:val="0"/>
      <w:marTop w:val="0"/>
      <w:marBottom w:val="0"/>
      <w:divBdr>
        <w:top w:val="none" w:sz="0" w:space="0" w:color="auto"/>
        <w:left w:val="none" w:sz="0" w:space="0" w:color="auto"/>
        <w:bottom w:val="none" w:sz="0" w:space="0" w:color="auto"/>
        <w:right w:val="none" w:sz="0" w:space="0" w:color="auto"/>
      </w:divBdr>
    </w:div>
    <w:div w:id="692268857">
      <w:bodyDiv w:val="1"/>
      <w:marLeft w:val="0"/>
      <w:marRight w:val="0"/>
      <w:marTop w:val="0"/>
      <w:marBottom w:val="0"/>
      <w:divBdr>
        <w:top w:val="none" w:sz="0" w:space="0" w:color="auto"/>
        <w:left w:val="none" w:sz="0" w:space="0" w:color="auto"/>
        <w:bottom w:val="none" w:sz="0" w:space="0" w:color="auto"/>
        <w:right w:val="none" w:sz="0" w:space="0" w:color="auto"/>
      </w:divBdr>
    </w:div>
    <w:div w:id="692538591">
      <w:bodyDiv w:val="1"/>
      <w:marLeft w:val="0"/>
      <w:marRight w:val="0"/>
      <w:marTop w:val="0"/>
      <w:marBottom w:val="0"/>
      <w:divBdr>
        <w:top w:val="none" w:sz="0" w:space="0" w:color="auto"/>
        <w:left w:val="none" w:sz="0" w:space="0" w:color="auto"/>
        <w:bottom w:val="none" w:sz="0" w:space="0" w:color="auto"/>
        <w:right w:val="none" w:sz="0" w:space="0" w:color="auto"/>
      </w:divBdr>
    </w:div>
    <w:div w:id="692920912">
      <w:bodyDiv w:val="1"/>
      <w:marLeft w:val="0"/>
      <w:marRight w:val="0"/>
      <w:marTop w:val="0"/>
      <w:marBottom w:val="0"/>
      <w:divBdr>
        <w:top w:val="none" w:sz="0" w:space="0" w:color="auto"/>
        <w:left w:val="none" w:sz="0" w:space="0" w:color="auto"/>
        <w:bottom w:val="none" w:sz="0" w:space="0" w:color="auto"/>
        <w:right w:val="none" w:sz="0" w:space="0" w:color="auto"/>
      </w:divBdr>
    </w:div>
    <w:div w:id="694188486">
      <w:bodyDiv w:val="1"/>
      <w:marLeft w:val="0"/>
      <w:marRight w:val="0"/>
      <w:marTop w:val="0"/>
      <w:marBottom w:val="0"/>
      <w:divBdr>
        <w:top w:val="none" w:sz="0" w:space="0" w:color="auto"/>
        <w:left w:val="none" w:sz="0" w:space="0" w:color="auto"/>
        <w:bottom w:val="none" w:sz="0" w:space="0" w:color="auto"/>
        <w:right w:val="none" w:sz="0" w:space="0" w:color="auto"/>
      </w:divBdr>
    </w:div>
    <w:div w:id="694578834">
      <w:bodyDiv w:val="1"/>
      <w:marLeft w:val="0"/>
      <w:marRight w:val="0"/>
      <w:marTop w:val="0"/>
      <w:marBottom w:val="0"/>
      <w:divBdr>
        <w:top w:val="none" w:sz="0" w:space="0" w:color="auto"/>
        <w:left w:val="none" w:sz="0" w:space="0" w:color="auto"/>
        <w:bottom w:val="none" w:sz="0" w:space="0" w:color="auto"/>
        <w:right w:val="none" w:sz="0" w:space="0" w:color="auto"/>
      </w:divBdr>
    </w:div>
    <w:div w:id="695155569">
      <w:bodyDiv w:val="1"/>
      <w:marLeft w:val="0"/>
      <w:marRight w:val="0"/>
      <w:marTop w:val="0"/>
      <w:marBottom w:val="0"/>
      <w:divBdr>
        <w:top w:val="none" w:sz="0" w:space="0" w:color="auto"/>
        <w:left w:val="none" w:sz="0" w:space="0" w:color="auto"/>
        <w:bottom w:val="none" w:sz="0" w:space="0" w:color="auto"/>
        <w:right w:val="none" w:sz="0" w:space="0" w:color="auto"/>
      </w:divBdr>
    </w:div>
    <w:div w:id="695157832">
      <w:bodyDiv w:val="1"/>
      <w:marLeft w:val="0"/>
      <w:marRight w:val="0"/>
      <w:marTop w:val="0"/>
      <w:marBottom w:val="0"/>
      <w:divBdr>
        <w:top w:val="none" w:sz="0" w:space="0" w:color="auto"/>
        <w:left w:val="none" w:sz="0" w:space="0" w:color="auto"/>
        <w:bottom w:val="none" w:sz="0" w:space="0" w:color="auto"/>
        <w:right w:val="none" w:sz="0" w:space="0" w:color="auto"/>
      </w:divBdr>
    </w:div>
    <w:div w:id="695736818">
      <w:bodyDiv w:val="1"/>
      <w:marLeft w:val="0"/>
      <w:marRight w:val="0"/>
      <w:marTop w:val="0"/>
      <w:marBottom w:val="0"/>
      <w:divBdr>
        <w:top w:val="none" w:sz="0" w:space="0" w:color="auto"/>
        <w:left w:val="none" w:sz="0" w:space="0" w:color="auto"/>
        <w:bottom w:val="none" w:sz="0" w:space="0" w:color="auto"/>
        <w:right w:val="none" w:sz="0" w:space="0" w:color="auto"/>
      </w:divBdr>
    </w:div>
    <w:div w:id="696081970">
      <w:bodyDiv w:val="1"/>
      <w:marLeft w:val="0"/>
      <w:marRight w:val="0"/>
      <w:marTop w:val="0"/>
      <w:marBottom w:val="0"/>
      <w:divBdr>
        <w:top w:val="none" w:sz="0" w:space="0" w:color="auto"/>
        <w:left w:val="none" w:sz="0" w:space="0" w:color="auto"/>
        <w:bottom w:val="none" w:sz="0" w:space="0" w:color="auto"/>
        <w:right w:val="none" w:sz="0" w:space="0" w:color="auto"/>
      </w:divBdr>
    </w:div>
    <w:div w:id="696540130">
      <w:bodyDiv w:val="1"/>
      <w:marLeft w:val="0"/>
      <w:marRight w:val="0"/>
      <w:marTop w:val="0"/>
      <w:marBottom w:val="0"/>
      <w:divBdr>
        <w:top w:val="none" w:sz="0" w:space="0" w:color="auto"/>
        <w:left w:val="none" w:sz="0" w:space="0" w:color="auto"/>
        <w:bottom w:val="none" w:sz="0" w:space="0" w:color="auto"/>
        <w:right w:val="none" w:sz="0" w:space="0" w:color="auto"/>
      </w:divBdr>
    </w:div>
    <w:div w:id="696932174">
      <w:bodyDiv w:val="1"/>
      <w:marLeft w:val="0"/>
      <w:marRight w:val="0"/>
      <w:marTop w:val="0"/>
      <w:marBottom w:val="0"/>
      <w:divBdr>
        <w:top w:val="none" w:sz="0" w:space="0" w:color="auto"/>
        <w:left w:val="none" w:sz="0" w:space="0" w:color="auto"/>
        <w:bottom w:val="none" w:sz="0" w:space="0" w:color="auto"/>
        <w:right w:val="none" w:sz="0" w:space="0" w:color="auto"/>
      </w:divBdr>
    </w:div>
    <w:div w:id="699670863">
      <w:bodyDiv w:val="1"/>
      <w:marLeft w:val="0"/>
      <w:marRight w:val="0"/>
      <w:marTop w:val="0"/>
      <w:marBottom w:val="0"/>
      <w:divBdr>
        <w:top w:val="none" w:sz="0" w:space="0" w:color="auto"/>
        <w:left w:val="none" w:sz="0" w:space="0" w:color="auto"/>
        <w:bottom w:val="none" w:sz="0" w:space="0" w:color="auto"/>
        <w:right w:val="none" w:sz="0" w:space="0" w:color="auto"/>
      </w:divBdr>
    </w:div>
    <w:div w:id="699824228">
      <w:bodyDiv w:val="1"/>
      <w:marLeft w:val="0"/>
      <w:marRight w:val="0"/>
      <w:marTop w:val="0"/>
      <w:marBottom w:val="0"/>
      <w:divBdr>
        <w:top w:val="none" w:sz="0" w:space="0" w:color="auto"/>
        <w:left w:val="none" w:sz="0" w:space="0" w:color="auto"/>
        <w:bottom w:val="none" w:sz="0" w:space="0" w:color="auto"/>
        <w:right w:val="none" w:sz="0" w:space="0" w:color="auto"/>
      </w:divBdr>
    </w:div>
    <w:div w:id="700008715">
      <w:bodyDiv w:val="1"/>
      <w:marLeft w:val="0"/>
      <w:marRight w:val="0"/>
      <w:marTop w:val="0"/>
      <w:marBottom w:val="0"/>
      <w:divBdr>
        <w:top w:val="none" w:sz="0" w:space="0" w:color="auto"/>
        <w:left w:val="none" w:sz="0" w:space="0" w:color="auto"/>
        <w:bottom w:val="none" w:sz="0" w:space="0" w:color="auto"/>
        <w:right w:val="none" w:sz="0" w:space="0" w:color="auto"/>
      </w:divBdr>
    </w:div>
    <w:div w:id="701637004">
      <w:bodyDiv w:val="1"/>
      <w:marLeft w:val="0"/>
      <w:marRight w:val="0"/>
      <w:marTop w:val="0"/>
      <w:marBottom w:val="0"/>
      <w:divBdr>
        <w:top w:val="none" w:sz="0" w:space="0" w:color="auto"/>
        <w:left w:val="none" w:sz="0" w:space="0" w:color="auto"/>
        <w:bottom w:val="none" w:sz="0" w:space="0" w:color="auto"/>
        <w:right w:val="none" w:sz="0" w:space="0" w:color="auto"/>
      </w:divBdr>
    </w:div>
    <w:div w:id="702249107">
      <w:bodyDiv w:val="1"/>
      <w:marLeft w:val="0"/>
      <w:marRight w:val="0"/>
      <w:marTop w:val="0"/>
      <w:marBottom w:val="0"/>
      <w:divBdr>
        <w:top w:val="none" w:sz="0" w:space="0" w:color="auto"/>
        <w:left w:val="none" w:sz="0" w:space="0" w:color="auto"/>
        <w:bottom w:val="none" w:sz="0" w:space="0" w:color="auto"/>
        <w:right w:val="none" w:sz="0" w:space="0" w:color="auto"/>
      </w:divBdr>
    </w:div>
    <w:div w:id="702707263">
      <w:bodyDiv w:val="1"/>
      <w:marLeft w:val="0"/>
      <w:marRight w:val="0"/>
      <w:marTop w:val="0"/>
      <w:marBottom w:val="0"/>
      <w:divBdr>
        <w:top w:val="none" w:sz="0" w:space="0" w:color="auto"/>
        <w:left w:val="none" w:sz="0" w:space="0" w:color="auto"/>
        <w:bottom w:val="none" w:sz="0" w:space="0" w:color="auto"/>
        <w:right w:val="none" w:sz="0" w:space="0" w:color="auto"/>
      </w:divBdr>
    </w:div>
    <w:div w:id="702707317">
      <w:bodyDiv w:val="1"/>
      <w:marLeft w:val="0"/>
      <w:marRight w:val="0"/>
      <w:marTop w:val="0"/>
      <w:marBottom w:val="0"/>
      <w:divBdr>
        <w:top w:val="none" w:sz="0" w:space="0" w:color="auto"/>
        <w:left w:val="none" w:sz="0" w:space="0" w:color="auto"/>
        <w:bottom w:val="none" w:sz="0" w:space="0" w:color="auto"/>
        <w:right w:val="none" w:sz="0" w:space="0" w:color="auto"/>
      </w:divBdr>
    </w:div>
    <w:div w:id="702826905">
      <w:bodyDiv w:val="1"/>
      <w:marLeft w:val="0"/>
      <w:marRight w:val="0"/>
      <w:marTop w:val="0"/>
      <w:marBottom w:val="0"/>
      <w:divBdr>
        <w:top w:val="none" w:sz="0" w:space="0" w:color="auto"/>
        <w:left w:val="none" w:sz="0" w:space="0" w:color="auto"/>
        <w:bottom w:val="none" w:sz="0" w:space="0" w:color="auto"/>
        <w:right w:val="none" w:sz="0" w:space="0" w:color="auto"/>
      </w:divBdr>
    </w:div>
    <w:div w:id="703025205">
      <w:bodyDiv w:val="1"/>
      <w:marLeft w:val="0"/>
      <w:marRight w:val="0"/>
      <w:marTop w:val="0"/>
      <w:marBottom w:val="0"/>
      <w:divBdr>
        <w:top w:val="none" w:sz="0" w:space="0" w:color="auto"/>
        <w:left w:val="none" w:sz="0" w:space="0" w:color="auto"/>
        <w:bottom w:val="none" w:sz="0" w:space="0" w:color="auto"/>
        <w:right w:val="none" w:sz="0" w:space="0" w:color="auto"/>
      </w:divBdr>
    </w:div>
    <w:div w:id="703094435">
      <w:bodyDiv w:val="1"/>
      <w:marLeft w:val="0"/>
      <w:marRight w:val="0"/>
      <w:marTop w:val="0"/>
      <w:marBottom w:val="0"/>
      <w:divBdr>
        <w:top w:val="none" w:sz="0" w:space="0" w:color="auto"/>
        <w:left w:val="none" w:sz="0" w:space="0" w:color="auto"/>
        <w:bottom w:val="none" w:sz="0" w:space="0" w:color="auto"/>
        <w:right w:val="none" w:sz="0" w:space="0" w:color="auto"/>
      </w:divBdr>
    </w:div>
    <w:div w:id="703402604">
      <w:bodyDiv w:val="1"/>
      <w:marLeft w:val="0"/>
      <w:marRight w:val="0"/>
      <w:marTop w:val="0"/>
      <w:marBottom w:val="0"/>
      <w:divBdr>
        <w:top w:val="none" w:sz="0" w:space="0" w:color="auto"/>
        <w:left w:val="none" w:sz="0" w:space="0" w:color="auto"/>
        <w:bottom w:val="none" w:sz="0" w:space="0" w:color="auto"/>
        <w:right w:val="none" w:sz="0" w:space="0" w:color="auto"/>
      </w:divBdr>
    </w:div>
    <w:div w:id="703988233">
      <w:bodyDiv w:val="1"/>
      <w:marLeft w:val="0"/>
      <w:marRight w:val="0"/>
      <w:marTop w:val="0"/>
      <w:marBottom w:val="0"/>
      <w:divBdr>
        <w:top w:val="none" w:sz="0" w:space="0" w:color="auto"/>
        <w:left w:val="none" w:sz="0" w:space="0" w:color="auto"/>
        <w:bottom w:val="none" w:sz="0" w:space="0" w:color="auto"/>
        <w:right w:val="none" w:sz="0" w:space="0" w:color="auto"/>
      </w:divBdr>
    </w:div>
    <w:div w:id="704064407">
      <w:bodyDiv w:val="1"/>
      <w:marLeft w:val="0"/>
      <w:marRight w:val="0"/>
      <w:marTop w:val="0"/>
      <w:marBottom w:val="0"/>
      <w:divBdr>
        <w:top w:val="none" w:sz="0" w:space="0" w:color="auto"/>
        <w:left w:val="none" w:sz="0" w:space="0" w:color="auto"/>
        <w:bottom w:val="none" w:sz="0" w:space="0" w:color="auto"/>
        <w:right w:val="none" w:sz="0" w:space="0" w:color="auto"/>
      </w:divBdr>
    </w:div>
    <w:div w:id="704215183">
      <w:bodyDiv w:val="1"/>
      <w:marLeft w:val="0"/>
      <w:marRight w:val="0"/>
      <w:marTop w:val="0"/>
      <w:marBottom w:val="0"/>
      <w:divBdr>
        <w:top w:val="none" w:sz="0" w:space="0" w:color="auto"/>
        <w:left w:val="none" w:sz="0" w:space="0" w:color="auto"/>
        <w:bottom w:val="none" w:sz="0" w:space="0" w:color="auto"/>
        <w:right w:val="none" w:sz="0" w:space="0" w:color="auto"/>
      </w:divBdr>
    </w:div>
    <w:div w:id="704646904">
      <w:bodyDiv w:val="1"/>
      <w:marLeft w:val="0"/>
      <w:marRight w:val="0"/>
      <w:marTop w:val="0"/>
      <w:marBottom w:val="0"/>
      <w:divBdr>
        <w:top w:val="none" w:sz="0" w:space="0" w:color="auto"/>
        <w:left w:val="none" w:sz="0" w:space="0" w:color="auto"/>
        <w:bottom w:val="none" w:sz="0" w:space="0" w:color="auto"/>
        <w:right w:val="none" w:sz="0" w:space="0" w:color="auto"/>
      </w:divBdr>
    </w:div>
    <w:div w:id="705368552">
      <w:bodyDiv w:val="1"/>
      <w:marLeft w:val="0"/>
      <w:marRight w:val="0"/>
      <w:marTop w:val="0"/>
      <w:marBottom w:val="0"/>
      <w:divBdr>
        <w:top w:val="none" w:sz="0" w:space="0" w:color="auto"/>
        <w:left w:val="none" w:sz="0" w:space="0" w:color="auto"/>
        <w:bottom w:val="none" w:sz="0" w:space="0" w:color="auto"/>
        <w:right w:val="none" w:sz="0" w:space="0" w:color="auto"/>
      </w:divBdr>
    </w:div>
    <w:div w:id="706219346">
      <w:bodyDiv w:val="1"/>
      <w:marLeft w:val="0"/>
      <w:marRight w:val="0"/>
      <w:marTop w:val="0"/>
      <w:marBottom w:val="0"/>
      <w:divBdr>
        <w:top w:val="none" w:sz="0" w:space="0" w:color="auto"/>
        <w:left w:val="none" w:sz="0" w:space="0" w:color="auto"/>
        <w:bottom w:val="none" w:sz="0" w:space="0" w:color="auto"/>
        <w:right w:val="none" w:sz="0" w:space="0" w:color="auto"/>
      </w:divBdr>
    </w:div>
    <w:div w:id="706566665">
      <w:bodyDiv w:val="1"/>
      <w:marLeft w:val="0"/>
      <w:marRight w:val="0"/>
      <w:marTop w:val="0"/>
      <w:marBottom w:val="0"/>
      <w:divBdr>
        <w:top w:val="none" w:sz="0" w:space="0" w:color="auto"/>
        <w:left w:val="none" w:sz="0" w:space="0" w:color="auto"/>
        <w:bottom w:val="none" w:sz="0" w:space="0" w:color="auto"/>
        <w:right w:val="none" w:sz="0" w:space="0" w:color="auto"/>
      </w:divBdr>
    </w:div>
    <w:div w:id="706759992">
      <w:bodyDiv w:val="1"/>
      <w:marLeft w:val="0"/>
      <w:marRight w:val="0"/>
      <w:marTop w:val="0"/>
      <w:marBottom w:val="0"/>
      <w:divBdr>
        <w:top w:val="none" w:sz="0" w:space="0" w:color="auto"/>
        <w:left w:val="none" w:sz="0" w:space="0" w:color="auto"/>
        <w:bottom w:val="none" w:sz="0" w:space="0" w:color="auto"/>
        <w:right w:val="none" w:sz="0" w:space="0" w:color="auto"/>
      </w:divBdr>
    </w:div>
    <w:div w:id="707486895">
      <w:bodyDiv w:val="1"/>
      <w:marLeft w:val="0"/>
      <w:marRight w:val="0"/>
      <w:marTop w:val="0"/>
      <w:marBottom w:val="0"/>
      <w:divBdr>
        <w:top w:val="none" w:sz="0" w:space="0" w:color="auto"/>
        <w:left w:val="none" w:sz="0" w:space="0" w:color="auto"/>
        <w:bottom w:val="none" w:sz="0" w:space="0" w:color="auto"/>
        <w:right w:val="none" w:sz="0" w:space="0" w:color="auto"/>
      </w:divBdr>
    </w:div>
    <w:div w:id="707990943">
      <w:bodyDiv w:val="1"/>
      <w:marLeft w:val="0"/>
      <w:marRight w:val="0"/>
      <w:marTop w:val="0"/>
      <w:marBottom w:val="0"/>
      <w:divBdr>
        <w:top w:val="none" w:sz="0" w:space="0" w:color="auto"/>
        <w:left w:val="none" w:sz="0" w:space="0" w:color="auto"/>
        <w:bottom w:val="none" w:sz="0" w:space="0" w:color="auto"/>
        <w:right w:val="none" w:sz="0" w:space="0" w:color="auto"/>
      </w:divBdr>
    </w:div>
    <w:div w:id="709886114">
      <w:bodyDiv w:val="1"/>
      <w:marLeft w:val="0"/>
      <w:marRight w:val="0"/>
      <w:marTop w:val="0"/>
      <w:marBottom w:val="0"/>
      <w:divBdr>
        <w:top w:val="none" w:sz="0" w:space="0" w:color="auto"/>
        <w:left w:val="none" w:sz="0" w:space="0" w:color="auto"/>
        <w:bottom w:val="none" w:sz="0" w:space="0" w:color="auto"/>
        <w:right w:val="none" w:sz="0" w:space="0" w:color="auto"/>
      </w:divBdr>
    </w:div>
    <w:div w:id="710694879">
      <w:bodyDiv w:val="1"/>
      <w:marLeft w:val="0"/>
      <w:marRight w:val="0"/>
      <w:marTop w:val="0"/>
      <w:marBottom w:val="0"/>
      <w:divBdr>
        <w:top w:val="none" w:sz="0" w:space="0" w:color="auto"/>
        <w:left w:val="none" w:sz="0" w:space="0" w:color="auto"/>
        <w:bottom w:val="none" w:sz="0" w:space="0" w:color="auto"/>
        <w:right w:val="none" w:sz="0" w:space="0" w:color="auto"/>
      </w:divBdr>
    </w:div>
    <w:div w:id="711074194">
      <w:bodyDiv w:val="1"/>
      <w:marLeft w:val="0"/>
      <w:marRight w:val="0"/>
      <w:marTop w:val="0"/>
      <w:marBottom w:val="0"/>
      <w:divBdr>
        <w:top w:val="none" w:sz="0" w:space="0" w:color="auto"/>
        <w:left w:val="none" w:sz="0" w:space="0" w:color="auto"/>
        <w:bottom w:val="none" w:sz="0" w:space="0" w:color="auto"/>
        <w:right w:val="none" w:sz="0" w:space="0" w:color="auto"/>
      </w:divBdr>
    </w:div>
    <w:div w:id="711619088">
      <w:bodyDiv w:val="1"/>
      <w:marLeft w:val="0"/>
      <w:marRight w:val="0"/>
      <w:marTop w:val="0"/>
      <w:marBottom w:val="0"/>
      <w:divBdr>
        <w:top w:val="none" w:sz="0" w:space="0" w:color="auto"/>
        <w:left w:val="none" w:sz="0" w:space="0" w:color="auto"/>
        <w:bottom w:val="none" w:sz="0" w:space="0" w:color="auto"/>
        <w:right w:val="none" w:sz="0" w:space="0" w:color="auto"/>
      </w:divBdr>
    </w:div>
    <w:div w:id="711809580">
      <w:bodyDiv w:val="1"/>
      <w:marLeft w:val="0"/>
      <w:marRight w:val="0"/>
      <w:marTop w:val="0"/>
      <w:marBottom w:val="0"/>
      <w:divBdr>
        <w:top w:val="none" w:sz="0" w:space="0" w:color="auto"/>
        <w:left w:val="none" w:sz="0" w:space="0" w:color="auto"/>
        <w:bottom w:val="none" w:sz="0" w:space="0" w:color="auto"/>
        <w:right w:val="none" w:sz="0" w:space="0" w:color="auto"/>
      </w:divBdr>
    </w:div>
    <w:div w:id="712077720">
      <w:bodyDiv w:val="1"/>
      <w:marLeft w:val="0"/>
      <w:marRight w:val="0"/>
      <w:marTop w:val="0"/>
      <w:marBottom w:val="0"/>
      <w:divBdr>
        <w:top w:val="none" w:sz="0" w:space="0" w:color="auto"/>
        <w:left w:val="none" w:sz="0" w:space="0" w:color="auto"/>
        <w:bottom w:val="none" w:sz="0" w:space="0" w:color="auto"/>
        <w:right w:val="none" w:sz="0" w:space="0" w:color="auto"/>
      </w:divBdr>
    </w:div>
    <w:div w:id="712191843">
      <w:bodyDiv w:val="1"/>
      <w:marLeft w:val="0"/>
      <w:marRight w:val="0"/>
      <w:marTop w:val="0"/>
      <w:marBottom w:val="0"/>
      <w:divBdr>
        <w:top w:val="none" w:sz="0" w:space="0" w:color="auto"/>
        <w:left w:val="none" w:sz="0" w:space="0" w:color="auto"/>
        <w:bottom w:val="none" w:sz="0" w:space="0" w:color="auto"/>
        <w:right w:val="none" w:sz="0" w:space="0" w:color="auto"/>
      </w:divBdr>
    </w:div>
    <w:div w:id="712270976">
      <w:bodyDiv w:val="1"/>
      <w:marLeft w:val="0"/>
      <w:marRight w:val="0"/>
      <w:marTop w:val="0"/>
      <w:marBottom w:val="0"/>
      <w:divBdr>
        <w:top w:val="none" w:sz="0" w:space="0" w:color="auto"/>
        <w:left w:val="none" w:sz="0" w:space="0" w:color="auto"/>
        <w:bottom w:val="none" w:sz="0" w:space="0" w:color="auto"/>
        <w:right w:val="none" w:sz="0" w:space="0" w:color="auto"/>
      </w:divBdr>
    </w:div>
    <w:div w:id="712314256">
      <w:bodyDiv w:val="1"/>
      <w:marLeft w:val="0"/>
      <w:marRight w:val="0"/>
      <w:marTop w:val="0"/>
      <w:marBottom w:val="0"/>
      <w:divBdr>
        <w:top w:val="none" w:sz="0" w:space="0" w:color="auto"/>
        <w:left w:val="none" w:sz="0" w:space="0" w:color="auto"/>
        <w:bottom w:val="none" w:sz="0" w:space="0" w:color="auto"/>
        <w:right w:val="none" w:sz="0" w:space="0" w:color="auto"/>
      </w:divBdr>
    </w:div>
    <w:div w:id="713509638">
      <w:bodyDiv w:val="1"/>
      <w:marLeft w:val="0"/>
      <w:marRight w:val="0"/>
      <w:marTop w:val="0"/>
      <w:marBottom w:val="0"/>
      <w:divBdr>
        <w:top w:val="none" w:sz="0" w:space="0" w:color="auto"/>
        <w:left w:val="none" w:sz="0" w:space="0" w:color="auto"/>
        <w:bottom w:val="none" w:sz="0" w:space="0" w:color="auto"/>
        <w:right w:val="none" w:sz="0" w:space="0" w:color="auto"/>
      </w:divBdr>
    </w:div>
    <w:div w:id="715131173">
      <w:bodyDiv w:val="1"/>
      <w:marLeft w:val="0"/>
      <w:marRight w:val="0"/>
      <w:marTop w:val="0"/>
      <w:marBottom w:val="0"/>
      <w:divBdr>
        <w:top w:val="none" w:sz="0" w:space="0" w:color="auto"/>
        <w:left w:val="none" w:sz="0" w:space="0" w:color="auto"/>
        <w:bottom w:val="none" w:sz="0" w:space="0" w:color="auto"/>
        <w:right w:val="none" w:sz="0" w:space="0" w:color="auto"/>
      </w:divBdr>
    </w:div>
    <w:div w:id="715659655">
      <w:bodyDiv w:val="1"/>
      <w:marLeft w:val="0"/>
      <w:marRight w:val="0"/>
      <w:marTop w:val="0"/>
      <w:marBottom w:val="0"/>
      <w:divBdr>
        <w:top w:val="none" w:sz="0" w:space="0" w:color="auto"/>
        <w:left w:val="none" w:sz="0" w:space="0" w:color="auto"/>
        <w:bottom w:val="none" w:sz="0" w:space="0" w:color="auto"/>
        <w:right w:val="none" w:sz="0" w:space="0" w:color="auto"/>
      </w:divBdr>
    </w:div>
    <w:div w:id="716274869">
      <w:bodyDiv w:val="1"/>
      <w:marLeft w:val="0"/>
      <w:marRight w:val="0"/>
      <w:marTop w:val="0"/>
      <w:marBottom w:val="0"/>
      <w:divBdr>
        <w:top w:val="none" w:sz="0" w:space="0" w:color="auto"/>
        <w:left w:val="none" w:sz="0" w:space="0" w:color="auto"/>
        <w:bottom w:val="none" w:sz="0" w:space="0" w:color="auto"/>
        <w:right w:val="none" w:sz="0" w:space="0" w:color="auto"/>
      </w:divBdr>
    </w:div>
    <w:div w:id="717365215">
      <w:bodyDiv w:val="1"/>
      <w:marLeft w:val="0"/>
      <w:marRight w:val="0"/>
      <w:marTop w:val="0"/>
      <w:marBottom w:val="0"/>
      <w:divBdr>
        <w:top w:val="none" w:sz="0" w:space="0" w:color="auto"/>
        <w:left w:val="none" w:sz="0" w:space="0" w:color="auto"/>
        <w:bottom w:val="none" w:sz="0" w:space="0" w:color="auto"/>
        <w:right w:val="none" w:sz="0" w:space="0" w:color="auto"/>
      </w:divBdr>
    </w:div>
    <w:div w:id="717437236">
      <w:bodyDiv w:val="1"/>
      <w:marLeft w:val="0"/>
      <w:marRight w:val="0"/>
      <w:marTop w:val="0"/>
      <w:marBottom w:val="0"/>
      <w:divBdr>
        <w:top w:val="none" w:sz="0" w:space="0" w:color="auto"/>
        <w:left w:val="none" w:sz="0" w:space="0" w:color="auto"/>
        <w:bottom w:val="none" w:sz="0" w:space="0" w:color="auto"/>
        <w:right w:val="none" w:sz="0" w:space="0" w:color="auto"/>
      </w:divBdr>
    </w:div>
    <w:div w:id="717820207">
      <w:bodyDiv w:val="1"/>
      <w:marLeft w:val="0"/>
      <w:marRight w:val="0"/>
      <w:marTop w:val="0"/>
      <w:marBottom w:val="0"/>
      <w:divBdr>
        <w:top w:val="none" w:sz="0" w:space="0" w:color="auto"/>
        <w:left w:val="none" w:sz="0" w:space="0" w:color="auto"/>
        <w:bottom w:val="none" w:sz="0" w:space="0" w:color="auto"/>
        <w:right w:val="none" w:sz="0" w:space="0" w:color="auto"/>
      </w:divBdr>
    </w:div>
    <w:div w:id="717825771">
      <w:bodyDiv w:val="1"/>
      <w:marLeft w:val="0"/>
      <w:marRight w:val="0"/>
      <w:marTop w:val="0"/>
      <w:marBottom w:val="0"/>
      <w:divBdr>
        <w:top w:val="none" w:sz="0" w:space="0" w:color="auto"/>
        <w:left w:val="none" w:sz="0" w:space="0" w:color="auto"/>
        <w:bottom w:val="none" w:sz="0" w:space="0" w:color="auto"/>
        <w:right w:val="none" w:sz="0" w:space="0" w:color="auto"/>
      </w:divBdr>
    </w:div>
    <w:div w:id="718088020">
      <w:bodyDiv w:val="1"/>
      <w:marLeft w:val="0"/>
      <w:marRight w:val="0"/>
      <w:marTop w:val="0"/>
      <w:marBottom w:val="0"/>
      <w:divBdr>
        <w:top w:val="none" w:sz="0" w:space="0" w:color="auto"/>
        <w:left w:val="none" w:sz="0" w:space="0" w:color="auto"/>
        <w:bottom w:val="none" w:sz="0" w:space="0" w:color="auto"/>
        <w:right w:val="none" w:sz="0" w:space="0" w:color="auto"/>
      </w:divBdr>
    </w:div>
    <w:div w:id="719130461">
      <w:bodyDiv w:val="1"/>
      <w:marLeft w:val="0"/>
      <w:marRight w:val="0"/>
      <w:marTop w:val="0"/>
      <w:marBottom w:val="0"/>
      <w:divBdr>
        <w:top w:val="none" w:sz="0" w:space="0" w:color="auto"/>
        <w:left w:val="none" w:sz="0" w:space="0" w:color="auto"/>
        <w:bottom w:val="none" w:sz="0" w:space="0" w:color="auto"/>
        <w:right w:val="none" w:sz="0" w:space="0" w:color="auto"/>
      </w:divBdr>
    </w:div>
    <w:div w:id="720053519">
      <w:bodyDiv w:val="1"/>
      <w:marLeft w:val="0"/>
      <w:marRight w:val="0"/>
      <w:marTop w:val="0"/>
      <w:marBottom w:val="0"/>
      <w:divBdr>
        <w:top w:val="none" w:sz="0" w:space="0" w:color="auto"/>
        <w:left w:val="none" w:sz="0" w:space="0" w:color="auto"/>
        <w:bottom w:val="none" w:sz="0" w:space="0" w:color="auto"/>
        <w:right w:val="none" w:sz="0" w:space="0" w:color="auto"/>
      </w:divBdr>
    </w:div>
    <w:div w:id="720640567">
      <w:bodyDiv w:val="1"/>
      <w:marLeft w:val="0"/>
      <w:marRight w:val="0"/>
      <w:marTop w:val="0"/>
      <w:marBottom w:val="0"/>
      <w:divBdr>
        <w:top w:val="none" w:sz="0" w:space="0" w:color="auto"/>
        <w:left w:val="none" w:sz="0" w:space="0" w:color="auto"/>
        <w:bottom w:val="none" w:sz="0" w:space="0" w:color="auto"/>
        <w:right w:val="none" w:sz="0" w:space="0" w:color="auto"/>
      </w:divBdr>
    </w:div>
    <w:div w:id="720785088">
      <w:bodyDiv w:val="1"/>
      <w:marLeft w:val="0"/>
      <w:marRight w:val="0"/>
      <w:marTop w:val="0"/>
      <w:marBottom w:val="0"/>
      <w:divBdr>
        <w:top w:val="none" w:sz="0" w:space="0" w:color="auto"/>
        <w:left w:val="none" w:sz="0" w:space="0" w:color="auto"/>
        <w:bottom w:val="none" w:sz="0" w:space="0" w:color="auto"/>
        <w:right w:val="none" w:sz="0" w:space="0" w:color="auto"/>
      </w:divBdr>
    </w:div>
    <w:div w:id="720983325">
      <w:bodyDiv w:val="1"/>
      <w:marLeft w:val="0"/>
      <w:marRight w:val="0"/>
      <w:marTop w:val="0"/>
      <w:marBottom w:val="0"/>
      <w:divBdr>
        <w:top w:val="none" w:sz="0" w:space="0" w:color="auto"/>
        <w:left w:val="none" w:sz="0" w:space="0" w:color="auto"/>
        <w:bottom w:val="none" w:sz="0" w:space="0" w:color="auto"/>
        <w:right w:val="none" w:sz="0" w:space="0" w:color="auto"/>
      </w:divBdr>
    </w:div>
    <w:div w:id="721368764">
      <w:bodyDiv w:val="1"/>
      <w:marLeft w:val="0"/>
      <w:marRight w:val="0"/>
      <w:marTop w:val="0"/>
      <w:marBottom w:val="0"/>
      <w:divBdr>
        <w:top w:val="none" w:sz="0" w:space="0" w:color="auto"/>
        <w:left w:val="none" w:sz="0" w:space="0" w:color="auto"/>
        <w:bottom w:val="none" w:sz="0" w:space="0" w:color="auto"/>
        <w:right w:val="none" w:sz="0" w:space="0" w:color="auto"/>
      </w:divBdr>
    </w:div>
    <w:div w:id="721826491">
      <w:bodyDiv w:val="1"/>
      <w:marLeft w:val="0"/>
      <w:marRight w:val="0"/>
      <w:marTop w:val="0"/>
      <w:marBottom w:val="0"/>
      <w:divBdr>
        <w:top w:val="none" w:sz="0" w:space="0" w:color="auto"/>
        <w:left w:val="none" w:sz="0" w:space="0" w:color="auto"/>
        <w:bottom w:val="none" w:sz="0" w:space="0" w:color="auto"/>
        <w:right w:val="none" w:sz="0" w:space="0" w:color="auto"/>
      </w:divBdr>
    </w:div>
    <w:div w:id="723523567">
      <w:bodyDiv w:val="1"/>
      <w:marLeft w:val="0"/>
      <w:marRight w:val="0"/>
      <w:marTop w:val="0"/>
      <w:marBottom w:val="0"/>
      <w:divBdr>
        <w:top w:val="none" w:sz="0" w:space="0" w:color="auto"/>
        <w:left w:val="none" w:sz="0" w:space="0" w:color="auto"/>
        <w:bottom w:val="none" w:sz="0" w:space="0" w:color="auto"/>
        <w:right w:val="none" w:sz="0" w:space="0" w:color="auto"/>
      </w:divBdr>
    </w:div>
    <w:div w:id="723798972">
      <w:bodyDiv w:val="1"/>
      <w:marLeft w:val="0"/>
      <w:marRight w:val="0"/>
      <w:marTop w:val="0"/>
      <w:marBottom w:val="0"/>
      <w:divBdr>
        <w:top w:val="none" w:sz="0" w:space="0" w:color="auto"/>
        <w:left w:val="none" w:sz="0" w:space="0" w:color="auto"/>
        <w:bottom w:val="none" w:sz="0" w:space="0" w:color="auto"/>
        <w:right w:val="none" w:sz="0" w:space="0" w:color="auto"/>
      </w:divBdr>
    </w:div>
    <w:div w:id="725224915">
      <w:bodyDiv w:val="1"/>
      <w:marLeft w:val="0"/>
      <w:marRight w:val="0"/>
      <w:marTop w:val="0"/>
      <w:marBottom w:val="0"/>
      <w:divBdr>
        <w:top w:val="none" w:sz="0" w:space="0" w:color="auto"/>
        <w:left w:val="none" w:sz="0" w:space="0" w:color="auto"/>
        <w:bottom w:val="none" w:sz="0" w:space="0" w:color="auto"/>
        <w:right w:val="none" w:sz="0" w:space="0" w:color="auto"/>
      </w:divBdr>
    </w:div>
    <w:div w:id="725379186">
      <w:bodyDiv w:val="1"/>
      <w:marLeft w:val="0"/>
      <w:marRight w:val="0"/>
      <w:marTop w:val="0"/>
      <w:marBottom w:val="0"/>
      <w:divBdr>
        <w:top w:val="none" w:sz="0" w:space="0" w:color="auto"/>
        <w:left w:val="none" w:sz="0" w:space="0" w:color="auto"/>
        <w:bottom w:val="none" w:sz="0" w:space="0" w:color="auto"/>
        <w:right w:val="none" w:sz="0" w:space="0" w:color="auto"/>
      </w:divBdr>
    </w:div>
    <w:div w:id="726145626">
      <w:bodyDiv w:val="1"/>
      <w:marLeft w:val="0"/>
      <w:marRight w:val="0"/>
      <w:marTop w:val="0"/>
      <w:marBottom w:val="0"/>
      <w:divBdr>
        <w:top w:val="none" w:sz="0" w:space="0" w:color="auto"/>
        <w:left w:val="none" w:sz="0" w:space="0" w:color="auto"/>
        <w:bottom w:val="none" w:sz="0" w:space="0" w:color="auto"/>
        <w:right w:val="none" w:sz="0" w:space="0" w:color="auto"/>
      </w:divBdr>
    </w:div>
    <w:div w:id="726681107">
      <w:bodyDiv w:val="1"/>
      <w:marLeft w:val="0"/>
      <w:marRight w:val="0"/>
      <w:marTop w:val="0"/>
      <w:marBottom w:val="0"/>
      <w:divBdr>
        <w:top w:val="none" w:sz="0" w:space="0" w:color="auto"/>
        <w:left w:val="none" w:sz="0" w:space="0" w:color="auto"/>
        <w:bottom w:val="none" w:sz="0" w:space="0" w:color="auto"/>
        <w:right w:val="none" w:sz="0" w:space="0" w:color="auto"/>
      </w:divBdr>
    </w:div>
    <w:div w:id="726875742">
      <w:bodyDiv w:val="1"/>
      <w:marLeft w:val="0"/>
      <w:marRight w:val="0"/>
      <w:marTop w:val="0"/>
      <w:marBottom w:val="0"/>
      <w:divBdr>
        <w:top w:val="none" w:sz="0" w:space="0" w:color="auto"/>
        <w:left w:val="none" w:sz="0" w:space="0" w:color="auto"/>
        <w:bottom w:val="none" w:sz="0" w:space="0" w:color="auto"/>
        <w:right w:val="none" w:sz="0" w:space="0" w:color="auto"/>
      </w:divBdr>
    </w:div>
    <w:div w:id="727921898">
      <w:bodyDiv w:val="1"/>
      <w:marLeft w:val="0"/>
      <w:marRight w:val="0"/>
      <w:marTop w:val="0"/>
      <w:marBottom w:val="0"/>
      <w:divBdr>
        <w:top w:val="none" w:sz="0" w:space="0" w:color="auto"/>
        <w:left w:val="none" w:sz="0" w:space="0" w:color="auto"/>
        <w:bottom w:val="none" w:sz="0" w:space="0" w:color="auto"/>
        <w:right w:val="none" w:sz="0" w:space="0" w:color="auto"/>
      </w:divBdr>
    </w:div>
    <w:div w:id="728500487">
      <w:bodyDiv w:val="1"/>
      <w:marLeft w:val="0"/>
      <w:marRight w:val="0"/>
      <w:marTop w:val="0"/>
      <w:marBottom w:val="0"/>
      <w:divBdr>
        <w:top w:val="none" w:sz="0" w:space="0" w:color="auto"/>
        <w:left w:val="none" w:sz="0" w:space="0" w:color="auto"/>
        <w:bottom w:val="none" w:sz="0" w:space="0" w:color="auto"/>
        <w:right w:val="none" w:sz="0" w:space="0" w:color="auto"/>
      </w:divBdr>
    </w:div>
    <w:div w:id="729156333">
      <w:bodyDiv w:val="1"/>
      <w:marLeft w:val="0"/>
      <w:marRight w:val="0"/>
      <w:marTop w:val="0"/>
      <w:marBottom w:val="0"/>
      <w:divBdr>
        <w:top w:val="none" w:sz="0" w:space="0" w:color="auto"/>
        <w:left w:val="none" w:sz="0" w:space="0" w:color="auto"/>
        <w:bottom w:val="none" w:sz="0" w:space="0" w:color="auto"/>
        <w:right w:val="none" w:sz="0" w:space="0" w:color="auto"/>
      </w:divBdr>
    </w:div>
    <w:div w:id="730269261">
      <w:bodyDiv w:val="1"/>
      <w:marLeft w:val="0"/>
      <w:marRight w:val="0"/>
      <w:marTop w:val="0"/>
      <w:marBottom w:val="0"/>
      <w:divBdr>
        <w:top w:val="none" w:sz="0" w:space="0" w:color="auto"/>
        <w:left w:val="none" w:sz="0" w:space="0" w:color="auto"/>
        <w:bottom w:val="none" w:sz="0" w:space="0" w:color="auto"/>
        <w:right w:val="none" w:sz="0" w:space="0" w:color="auto"/>
      </w:divBdr>
    </w:div>
    <w:div w:id="731005771">
      <w:bodyDiv w:val="1"/>
      <w:marLeft w:val="0"/>
      <w:marRight w:val="0"/>
      <w:marTop w:val="0"/>
      <w:marBottom w:val="0"/>
      <w:divBdr>
        <w:top w:val="none" w:sz="0" w:space="0" w:color="auto"/>
        <w:left w:val="none" w:sz="0" w:space="0" w:color="auto"/>
        <w:bottom w:val="none" w:sz="0" w:space="0" w:color="auto"/>
        <w:right w:val="none" w:sz="0" w:space="0" w:color="auto"/>
      </w:divBdr>
    </w:div>
    <w:div w:id="731199065">
      <w:bodyDiv w:val="1"/>
      <w:marLeft w:val="0"/>
      <w:marRight w:val="0"/>
      <w:marTop w:val="0"/>
      <w:marBottom w:val="0"/>
      <w:divBdr>
        <w:top w:val="none" w:sz="0" w:space="0" w:color="auto"/>
        <w:left w:val="none" w:sz="0" w:space="0" w:color="auto"/>
        <w:bottom w:val="none" w:sz="0" w:space="0" w:color="auto"/>
        <w:right w:val="none" w:sz="0" w:space="0" w:color="auto"/>
      </w:divBdr>
    </w:div>
    <w:div w:id="732040869">
      <w:bodyDiv w:val="1"/>
      <w:marLeft w:val="0"/>
      <w:marRight w:val="0"/>
      <w:marTop w:val="0"/>
      <w:marBottom w:val="0"/>
      <w:divBdr>
        <w:top w:val="none" w:sz="0" w:space="0" w:color="auto"/>
        <w:left w:val="none" w:sz="0" w:space="0" w:color="auto"/>
        <w:bottom w:val="none" w:sz="0" w:space="0" w:color="auto"/>
        <w:right w:val="none" w:sz="0" w:space="0" w:color="auto"/>
      </w:divBdr>
    </w:div>
    <w:div w:id="732853782">
      <w:bodyDiv w:val="1"/>
      <w:marLeft w:val="0"/>
      <w:marRight w:val="0"/>
      <w:marTop w:val="0"/>
      <w:marBottom w:val="0"/>
      <w:divBdr>
        <w:top w:val="none" w:sz="0" w:space="0" w:color="auto"/>
        <w:left w:val="none" w:sz="0" w:space="0" w:color="auto"/>
        <w:bottom w:val="none" w:sz="0" w:space="0" w:color="auto"/>
        <w:right w:val="none" w:sz="0" w:space="0" w:color="auto"/>
      </w:divBdr>
    </w:div>
    <w:div w:id="733117147">
      <w:bodyDiv w:val="1"/>
      <w:marLeft w:val="0"/>
      <w:marRight w:val="0"/>
      <w:marTop w:val="0"/>
      <w:marBottom w:val="0"/>
      <w:divBdr>
        <w:top w:val="none" w:sz="0" w:space="0" w:color="auto"/>
        <w:left w:val="none" w:sz="0" w:space="0" w:color="auto"/>
        <w:bottom w:val="none" w:sz="0" w:space="0" w:color="auto"/>
        <w:right w:val="none" w:sz="0" w:space="0" w:color="auto"/>
      </w:divBdr>
    </w:div>
    <w:div w:id="733889882">
      <w:bodyDiv w:val="1"/>
      <w:marLeft w:val="0"/>
      <w:marRight w:val="0"/>
      <w:marTop w:val="0"/>
      <w:marBottom w:val="0"/>
      <w:divBdr>
        <w:top w:val="none" w:sz="0" w:space="0" w:color="auto"/>
        <w:left w:val="none" w:sz="0" w:space="0" w:color="auto"/>
        <w:bottom w:val="none" w:sz="0" w:space="0" w:color="auto"/>
        <w:right w:val="none" w:sz="0" w:space="0" w:color="auto"/>
      </w:divBdr>
    </w:div>
    <w:div w:id="733897147">
      <w:bodyDiv w:val="1"/>
      <w:marLeft w:val="0"/>
      <w:marRight w:val="0"/>
      <w:marTop w:val="0"/>
      <w:marBottom w:val="0"/>
      <w:divBdr>
        <w:top w:val="none" w:sz="0" w:space="0" w:color="auto"/>
        <w:left w:val="none" w:sz="0" w:space="0" w:color="auto"/>
        <w:bottom w:val="none" w:sz="0" w:space="0" w:color="auto"/>
        <w:right w:val="none" w:sz="0" w:space="0" w:color="auto"/>
      </w:divBdr>
    </w:div>
    <w:div w:id="733964995">
      <w:bodyDiv w:val="1"/>
      <w:marLeft w:val="0"/>
      <w:marRight w:val="0"/>
      <w:marTop w:val="0"/>
      <w:marBottom w:val="0"/>
      <w:divBdr>
        <w:top w:val="none" w:sz="0" w:space="0" w:color="auto"/>
        <w:left w:val="none" w:sz="0" w:space="0" w:color="auto"/>
        <w:bottom w:val="none" w:sz="0" w:space="0" w:color="auto"/>
        <w:right w:val="none" w:sz="0" w:space="0" w:color="auto"/>
      </w:divBdr>
    </w:div>
    <w:div w:id="734397118">
      <w:bodyDiv w:val="1"/>
      <w:marLeft w:val="0"/>
      <w:marRight w:val="0"/>
      <w:marTop w:val="0"/>
      <w:marBottom w:val="0"/>
      <w:divBdr>
        <w:top w:val="none" w:sz="0" w:space="0" w:color="auto"/>
        <w:left w:val="none" w:sz="0" w:space="0" w:color="auto"/>
        <w:bottom w:val="none" w:sz="0" w:space="0" w:color="auto"/>
        <w:right w:val="none" w:sz="0" w:space="0" w:color="auto"/>
      </w:divBdr>
    </w:div>
    <w:div w:id="734665142">
      <w:bodyDiv w:val="1"/>
      <w:marLeft w:val="0"/>
      <w:marRight w:val="0"/>
      <w:marTop w:val="0"/>
      <w:marBottom w:val="0"/>
      <w:divBdr>
        <w:top w:val="none" w:sz="0" w:space="0" w:color="auto"/>
        <w:left w:val="none" w:sz="0" w:space="0" w:color="auto"/>
        <w:bottom w:val="none" w:sz="0" w:space="0" w:color="auto"/>
        <w:right w:val="none" w:sz="0" w:space="0" w:color="auto"/>
      </w:divBdr>
    </w:div>
    <w:div w:id="735052395">
      <w:bodyDiv w:val="1"/>
      <w:marLeft w:val="0"/>
      <w:marRight w:val="0"/>
      <w:marTop w:val="0"/>
      <w:marBottom w:val="0"/>
      <w:divBdr>
        <w:top w:val="none" w:sz="0" w:space="0" w:color="auto"/>
        <w:left w:val="none" w:sz="0" w:space="0" w:color="auto"/>
        <w:bottom w:val="none" w:sz="0" w:space="0" w:color="auto"/>
        <w:right w:val="none" w:sz="0" w:space="0" w:color="auto"/>
      </w:divBdr>
    </w:div>
    <w:div w:id="735275149">
      <w:bodyDiv w:val="1"/>
      <w:marLeft w:val="0"/>
      <w:marRight w:val="0"/>
      <w:marTop w:val="0"/>
      <w:marBottom w:val="0"/>
      <w:divBdr>
        <w:top w:val="none" w:sz="0" w:space="0" w:color="auto"/>
        <w:left w:val="none" w:sz="0" w:space="0" w:color="auto"/>
        <w:bottom w:val="none" w:sz="0" w:space="0" w:color="auto"/>
        <w:right w:val="none" w:sz="0" w:space="0" w:color="auto"/>
      </w:divBdr>
    </w:div>
    <w:div w:id="735400189">
      <w:bodyDiv w:val="1"/>
      <w:marLeft w:val="0"/>
      <w:marRight w:val="0"/>
      <w:marTop w:val="0"/>
      <w:marBottom w:val="0"/>
      <w:divBdr>
        <w:top w:val="none" w:sz="0" w:space="0" w:color="auto"/>
        <w:left w:val="none" w:sz="0" w:space="0" w:color="auto"/>
        <w:bottom w:val="none" w:sz="0" w:space="0" w:color="auto"/>
        <w:right w:val="none" w:sz="0" w:space="0" w:color="auto"/>
      </w:divBdr>
    </w:div>
    <w:div w:id="737636083">
      <w:bodyDiv w:val="1"/>
      <w:marLeft w:val="0"/>
      <w:marRight w:val="0"/>
      <w:marTop w:val="0"/>
      <w:marBottom w:val="0"/>
      <w:divBdr>
        <w:top w:val="none" w:sz="0" w:space="0" w:color="auto"/>
        <w:left w:val="none" w:sz="0" w:space="0" w:color="auto"/>
        <w:bottom w:val="none" w:sz="0" w:space="0" w:color="auto"/>
        <w:right w:val="none" w:sz="0" w:space="0" w:color="auto"/>
      </w:divBdr>
    </w:div>
    <w:div w:id="738554275">
      <w:bodyDiv w:val="1"/>
      <w:marLeft w:val="0"/>
      <w:marRight w:val="0"/>
      <w:marTop w:val="0"/>
      <w:marBottom w:val="0"/>
      <w:divBdr>
        <w:top w:val="none" w:sz="0" w:space="0" w:color="auto"/>
        <w:left w:val="none" w:sz="0" w:space="0" w:color="auto"/>
        <w:bottom w:val="none" w:sz="0" w:space="0" w:color="auto"/>
        <w:right w:val="none" w:sz="0" w:space="0" w:color="auto"/>
      </w:divBdr>
    </w:div>
    <w:div w:id="739055772">
      <w:bodyDiv w:val="1"/>
      <w:marLeft w:val="0"/>
      <w:marRight w:val="0"/>
      <w:marTop w:val="0"/>
      <w:marBottom w:val="0"/>
      <w:divBdr>
        <w:top w:val="none" w:sz="0" w:space="0" w:color="auto"/>
        <w:left w:val="none" w:sz="0" w:space="0" w:color="auto"/>
        <w:bottom w:val="none" w:sz="0" w:space="0" w:color="auto"/>
        <w:right w:val="none" w:sz="0" w:space="0" w:color="auto"/>
      </w:divBdr>
    </w:div>
    <w:div w:id="739249468">
      <w:bodyDiv w:val="1"/>
      <w:marLeft w:val="0"/>
      <w:marRight w:val="0"/>
      <w:marTop w:val="0"/>
      <w:marBottom w:val="0"/>
      <w:divBdr>
        <w:top w:val="none" w:sz="0" w:space="0" w:color="auto"/>
        <w:left w:val="none" w:sz="0" w:space="0" w:color="auto"/>
        <w:bottom w:val="none" w:sz="0" w:space="0" w:color="auto"/>
        <w:right w:val="none" w:sz="0" w:space="0" w:color="auto"/>
      </w:divBdr>
    </w:div>
    <w:div w:id="741028727">
      <w:bodyDiv w:val="1"/>
      <w:marLeft w:val="0"/>
      <w:marRight w:val="0"/>
      <w:marTop w:val="0"/>
      <w:marBottom w:val="0"/>
      <w:divBdr>
        <w:top w:val="none" w:sz="0" w:space="0" w:color="auto"/>
        <w:left w:val="none" w:sz="0" w:space="0" w:color="auto"/>
        <w:bottom w:val="none" w:sz="0" w:space="0" w:color="auto"/>
        <w:right w:val="none" w:sz="0" w:space="0" w:color="auto"/>
      </w:divBdr>
    </w:div>
    <w:div w:id="741295986">
      <w:bodyDiv w:val="1"/>
      <w:marLeft w:val="0"/>
      <w:marRight w:val="0"/>
      <w:marTop w:val="0"/>
      <w:marBottom w:val="0"/>
      <w:divBdr>
        <w:top w:val="none" w:sz="0" w:space="0" w:color="auto"/>
        <w:left w:val="none" w:sz="0" w:space="0" w:color="auto"/>
        <w:bottom w:val="none" w:sz="0" w:space="0" w:color="auto"/>
        <w:right w:val="none" w:sz="0" w:space="0" w:color="auto"/>
      </w:divBdr>
    </w:div>
    <w:div w:id="741832479">
      <w:bodyDiv w:val="1"/>
      <w:marLeft w:val="0"/>
      <w:marRight w:val="0"/>
      <w:marTop w:val="0"/>
      <w:marBottom w:val="0"/>
      <w:divBdr>
        <w:top w:val="none" w:sz="0" w:space="0" w:color="auto"/>
        <w:left w:val="none" w:sz="0" w:space="0" w:color="auto"/>
        <w:bottom w:val="none" w:sz="0" w:space="0" w:color="auto"/>
        <w:right w:val="none" w:sz="0" w:space="0" w:color="auto"/>
      </w:divBdr>
    </w:div>
    <w:div w:id="742142996">
      <w:bodyDiv w:val="1"/>
      <w:marLeft w:val="0"/>
      <w:marRight w:val="0"/>
      <w:marTop w:val="0"/>
      <w:marBottom w:val="0"/>
      <w:divBdr>
        <w:top w:val="none" w:sz="0" w:space="0" w:color="auto"/>
        <w:left w:val="none" w:sz="0" w:space="0" w:color="auto"/>
        <w:bottom w:val="none" w:sz="0" w:space="0" w:color="auto"/>
        <w:right w:val="none" w:sz="0" w:space="0" w:color="auto"/>
      </w:divBdr>
    </w:div>
    <w:div w:id="742681539">
      <w:bodyDiv w:val="1"/>
      <w:marLeft w:val="0"/>
      <w:marRight w:val="0"/>
      <w:marTop w:val="0"/>
      <w:marBottom w:val="0"/>
      <w:divBdr>
        <w:top w:val="none" w:sz="0" w:space="0" w:color="auto"/>
        <w:left w:val="none" w:sz="0" w:space="0" w:color="auto"/>
        <w:bottom w:val="none" w:sz="0" w:space="0" w:color="auto"/>
        <w:right w:val="none" w:sz="0" w:space="0" w:color="auto"/>
      </w:divBdr>
    </w:div>
    <w:div w:id="742797959">
      <w:bodyDiv w:val="1"/>
      <w:marLeft w:val="0"/>
      <w:marRight w:val="0"/>
      <w:marTop w:val="0"/>
      <w:marBottom w:val="0"/>
      <w:divBdr>
        <w:top w:val="none" w:sz="0" w:space="0" w:color="auto"/>
        <w:left w:val="none" w:sz="0" w:space="0" w:color="auto"/>
        <w:bottom w:val="none" w:sz="0" w:space="0" w:color="auto"/>
        <w:right w:val="none" w:sz="0" w:space="0" w:color="auto"/>
      </w:divBdr>
    </w:div>
    <w:div w:id="742800145">
      <w:bodyDiv w:val="1"/>
      <w:marLeft w:val="0"/>
      <w:marRight w:val="0"/>
      <w:marTop w:val="0"/>
      <w:marBottom w:val="0"/>
      <w:divBdr>
        <w:top w:val="none" w:sz="0" w:space="0" w:color="auto"/>
        <w:left w:val="none" w:sz="0" w:space="0" w:color="auto"/>
        <w:bottom w:val="none" w:sz="0" w:space="0" w:color="auto"/>
        <w:right w:val="none" w:sz="0" w:space="0" w:color="auto"/>
      </w:divBdr>
    </w:div>
    <w:div w:id="743143945">
      <w:bodyDiv w:val="1"/>
      <w:marLeft w:val="0"/>
      <w:marRight w:val="0"/>
      <w:marTop w:val="0"/>
      <w:marBottom w:val="0"/>
      <w:divBdr>
        <w:top w:val="none" w:sz="0" w:space="0" w:color="auto"/>
        <w:left w:val="none" w:sz="0" w:space="0" w:color="auto"/>
        <w:bottom w:val="none" w:sz="0" w:space="0" w:color="auto"/>
        <w:right w:val="none" w:sz="0" w:space="0" w:color="auto"/>
      </w:divBdr>
    </w:div>
    <w:div w:id="743769880">
      <w:bodyDiv w:val="1"/>
      <w:marLeft w:val="0"/>
      <w:marRight w:val="0"/>
      <w:marTop w:val="0"/>
      <w:marBottom w:val="0"/>
      <w:divBdr>
        <w:top w:val="none" w:sz="0" w:space="0" w:color="auto"/>
        <w:left w:val="none" w:sz="0" w:space="0" w:color="auto"/>
        <w:bottom w:val="none" w:sz="0" w:space="0" w:color="auto"/>
        <w:right w:val="none" w:sz="0" w:space="0" w:color="auto"/>
      </w:divBdr>
    </w:div>
    <w:div w:id="743914551">
      <w:bodyDiv w:val="1"/>
      <w:marLeft w:val="0"/>
      <w:marRight w:val="0"/>
      <w:marTop w:val="0"/>
      <w:marBottom w:val="0"/>
      <w:divBdr>
        <w:top w:val="none" w:sz="0" w:space="0" w:color="auto"/>
        <w:left w:val="none" w:sz="0" w:space="0" w:color="auto"/>
        <w:bottom w:val="none" w:sz="0" w:space="0" w:color="auto"/>
        <w:right w:val="none" w:sz="0" w:space="0" w:color="auto"/>
      </w:divBdr>
    </w:div>
    <w:div w:id="744885774">
      <w:bodyDiv w:val="1"/>
      <w:marLeft w:val="0"/>
      <w:marRight w:val="0"/>
      <w:marTop w:val="0"/>
      <w:marBottom w:val="0"/>
      <w:divBdr>
        <w:top w:val="none" w:sz="0" w:space="0" w:color="auto"/>
        <w:left w:val="none" w:sz="0" w:space="0" w:color="auto"/>
        <w:bottom w:val="none" w:sz="0" w:space="0" w:color="auto"/>
        <w:right w:val="none" w:sz="0" w:space="0" w:color="auto"/>
      </w:divBdr>
    </w:div>
    <w:div w:id="744959327">
      <w:bodyDiv w:val="1"/>
      <w:marLeft w:val="0"/>
      <w:marRight w:val="0"/>
      <w:marTop w:val="0"/>
      <w:marBottom w:val="0"/>
      <w:divBdr>
        <w:top w:val="none" w:sz="0" w:space="0" w:color="auto"/>
        <w:left w:val="none" w:sz="0" w:space="0" w:color="auto"/>
        <w:bottom w:val="none" w:sz="0" w:space="0" w:color="auto"/>
        <w:right w:val="none" w:sz="0" w:space="0" w:color="auto"/>
      </w:divBdr>
    </w:div>
    <w:div w:id="745037891">
      <w:bodyDiv w:val="1"/>
      <w:marLeft w:val="0"/>
      <w:marRight w:val="0"/>
      <w:marTop w:val="0"/>
      <w:marBottom w:val="0"/>
      <w:divBdr>
        <w:top w:val="none" w:sz="0" w:space="0" w:color="auto"/>
        <w:left w:val="none" w:sz="0" w:space="0" w:color="auto"/>
        <w:bottom w:val="none" w:sz="0" w:space="0" w:color="auto"/>
        <w:right w:val="none" w:sz="0" w:space="0" w:color="auto"/>
      </w:divBdr>
    </w:div>
    <w:div w:id="746151168">
      <w:bodyDiv w:val="1"/>
      <w:marLeft w:val="0"/>
      <w:marRight w:val="0"/>
      <w:marTop w:val="0"/>
      <w:marBottom w:val="0"/>
      <w:divBdr>
        <w:top w:val="none" w:sz="0" w:space="0" w:color="auto"/>
        <w:left w:val="none" w:sz="0" w:space="0" w:color="auto"/>
        <w:bottom w:val="none" w:sz="0" w:space="0" w:color="auto"/>
        <w:right w:val="none" w:sz="0" w:space="0" w:color="auto"/>
      </w:divBdr>
    </w:div>
    <w:div w:id="746340156">
      <w:bodyDiv w:val="1"/>
      <w:marLeft w:val="0"/>
      <w:marRight w:val="0"/>
      <w:marTop w:val="0"/>
      <w:marBottom w:val="0"/>
      <w:divBdr>
        <w:top w:val="none" w:sz="0" w:space="0" w:color="auto"/>
        <w:left w:val="none" w:sz="0" w:space="0" w:color="auto"/>
        <w:bottom w:val="none" w:sz="0" w:space="0" w:color="auto"/>
        <w:right w:val="none" w:sz="0" w:space="0" w:color="auto"/>
      </w:divBdr>
    </w:div>
    <w:div w:id="746457270">
      <w:bodyDiv w:val="1"/>
      <w:marLeft w:val="0"/>
      <w:marRight w:val="0"/>
      <w:marTop w:val="0"/>
      <w:marBottom w:val="0"/>
      <w:divBdr>
        <w:top w:val="none" w:sz="0" w:space="0" w:color="auto"/>
        <w:left w:val="none" w:sz="0" w:space="0" w:color="auto"/>
        <w:bottom w:val="none" w:sz="0" w:space="0" w:color="auto"/>
        <w:right w:val="none" w:sz="0" w:space="0" w:color="auto"/>
      </w:divBdr>
    </w:div>
    <w:div w:id="746538711">
      <w:bodyDiv w:val="1"/>
      <w:marLeft w:val="0"/>
      <w:marRight w:val="0"/>
      <w:marTop w:val="0"/>
      <w:marBottom w:val="0"/>
      <w:divBdr>
        <w:top w:val="none" w:sz="0" w:space="0" w:color="auto"/>
        <w:left w:val="none" w:sz="0" w:space="0" w:color="auto"/>
        <w:bottom w:val="none" w:sz="0" w:space="0" w:color="auto"/>
        <w:right w:val="none" w:sz="0" w:space="0" w:color="auto"/>
      </w:divBdr>
    </w:div>
    <w:div w:id="747580024">
      <w:bodyDiv w:val="1"/>
      <w:marLeft w:val="0"/>
      <w:marRight w:val="0"/>
      <w:marTop w:val="0"/>
      <w:marBottom w:val="0"/>
      <w:divBdr>
        <w:top w:val="none" w:sz="0" w:space="0" w:color="auto"/>
        <w:left w:val="none" w:sz="0" w:space="0" w:color="auto"/>
        <w:bottom w:val="none" w:sz="0" w:space="0" w:color="auto"/>
        <w:right w:val="none" w:sz="0" w:space="0" w:color="auto"/>
      </w:divBdr>
    </w:div>
    <w:div w:id="747843772">
      <w:bodyDiv w:val="1"/>
      <w:marLeft w:val="0"/>
      <w:marRight w:val="0"/>
      <w:marTop w:val="0"/>
      <w:marBottom w:val="0"/>
      <w:divBdr>
        <w:top w:val="none" w:sz="0" w:space="0" w:color="auto"/>
        <w:left w:val="none" w:sz="0" w:space="0" w:color="auto"/>
        <w:bottom w:val="none" w:sz="0" w:space="0" w:color="auto"/>
        <w:right w:val="none" w:sz="0" w:space="0" w:color="auto"/>
      </w:divBdr>
    </w:div>
    <w:div w:id="747921161">
      <w:bodyDiv w:val="1"/>
      <w:marLeft w:val="0"/>
      <w:marRight w:val="0"/>
      <w:marTop w:val="0"/>
      <w:marBottom w:val="0"/>
      <w:divBdr>
        <w:top w:val="none" w:sz="0" w:space="0" w:color="auto"/>
        <w:left w:val="none" w:sz="0" w:space="0" w:color="auto"/>
        <w:bottom w:val="none" w:sz="0" w:space="0" w:color="auto"/>
        <w:right w:val="none" w:sz="0" w:space="0" w:color="auto"/>
      </w:divBdr>
    </w:div>
    <w:div w:id="749236332">
      <w:bodyDiv w:val="1"/>
      <w:marLeft w:val="0"/>
      <w:marRight w:val="0"/>
      <w:marTop w:val="0"/>
      <w:marBottom w:val="0"/>
      <w:divBdr>
        <w:top w:val="none" w:sz="0" w:space="0" w:color="auto"/>
        <w:left w:val="none" w:sz="0" w:space="0" w:color="auto"/>
        <w:bottom w:val="none" w:sz="0" w:space="0" w:color="auto"/>
        <w:right w:val="none" w:sz="0" w:space="0" w:color="auto"/>
      </w:divBdr>
    </w:div>
    <w:div w:id="749304656">
      <w:bodyDiv w:val="1"/>
      <w:marLeft w:val="0"/>
      <w:marRight w:val="0"/>
      <w:marTop w:val="0"/>
      <w:marBottom w:val="0"/>
      <w:divBdr>
        <w:top w:val="none" w:sz="0" w:space="0" w:color="auto"/>
        <w:left w:val="none" w:sz="0" w:space="0" w:color="auto"/>
        <w:bottom w:val="none" w:sz="0" w:space="0" w:color="auto"/>
        <w:right w:val="none" w:sz="0" w:space="0" w:color="auto"/>
      </w:divBdr>
    </w:div>
    <w:div w:id="749811271">
      <w:bodyDiv w:val="1"/>
      <w:marLeft w:val="0"/>
      <w:marRight w:val="0"/>
      <w:marTop w:val="0"/>
      <w:marBottom w:val="0"/>
      <w:divBdr>
        <w:top w:val="none" w:sz="0" w:space="0" w:color="auto"/>
        <w:left w:val="none" w:sz="0" w:space="0" w:color="auto"/>
        <w:bottom w:val="none" w:sz="0" w:space="0" w:color="auto"/>
        <w:right w:val="none" w:sz="0" w:space="0" w:color="auto"/>
      </w:divBdr>
    </w:div>
    <w:div w:id="751468125">
      <w:bodyDiv w:val="1"/>
      <w:marLeft w:val="0"/>
      <w:marRight w:val="0"/>
      <w:marTop w:val="0"/>
      <w:marBottom w:val="0"/>
      <w:divBdr>
        <w:top w:val="none" w:sz="0" w:space="0" w:color="auto"/>
        <w:left w:val="none" w:sz="0" w:space="0" w:color="auto"/>
        <w:bottom w:val="none" w:sz="0" w:space="0" w:color="auto"/>
        <w:right w:val="none" w:sz="0" w:space="0" w:color="auto"/>
      </w:divBdr>
    </w:div>
    <w:div w:id="752628838">
      <w:bodyDiv w:val="1"/>
      <w:marLeft w:val="0"/>
      <w:marRight w:val="0"/>
      <w:marTop w:val="0"/>
      <w:marBottom w:val="0"/>
      <w:divBdr>
        <w:top w:val="none" w:sz="0" w:space="0" w:color="auto"/>
        <w:left w:val="none" w:sz="0" w:space="0" w:color="auto"/>
        <w:bottom w:val="none" w:sz="0" w:space="0" w:color="auto"/>
        <w:right w:val="none" w:sz="0" w:space="0" w:color="auto"/>
      </w:divBdr>
    </w:div>
    <w:div w:id="753552397">
      <w:bodyDiv w:val="1"/>
      <w:marLeft w:val="0"/>
      <w:marRight w:val="0"/>
      <w:marTop w:val="0"/>
      <w:marBottom w:val="0"/>
      <w:divBdr>
        <w:top w:val="none" w:sz="0" w:space="0" w:color="auto"/>
        <w:left w:val="none" w:sz="0" w:space="0" w:color="auto"/>
        <w:bottom w:val="none" w:sz="0" w:space="0" w:color="auto"/>
        <w:right w:val="none" w:sz="0" w:space="0" w:color="auto"/>
      </w:divBdr>
    </w:div>
    <w:div w:id="753863702">
      <w:bodyDiv w:val="1"/>
      <w:marLeft w:val="0"/>
      <w:marRight w:val="0"/>
      <w:marTop w:val="0"/>
      <w:marBottom w:val="0"/>
      <w:divBdr>
        <w:top w:val="none" w:sz="0" w:space="0" w:color="auto"/>
        <w:left w:val="none" w:sz="0" w:space="0" w:color="auto"/>
        <w:bottom w:val="none" w:sz="0" w:space="0" w:color="auto"/>
        <w:right w:val="none" w:sz="0" w:space="0" w:color="auto"/>
      </w:divBdr>
    </w:div>
    <w:div w:id="754132481">
      <w:bodyDiv w:val="1"/>
      <w:marLeft w:val="0"/>
      <w:marRight w:val="0"/>
      <w:marTop w:val="0"/>
      <w:marBottom w:val="0"/>
      <w:divBdr>
        <w:top w:val="none" w:sz="0" w:space="0" w:color="auto"/>
        <w:left w:val="none" w:sz="0" w:space="0" w:color="auto"/>
        <w:bottom w:val="none" w:sz="0" w:space="0" w:color="auto"/>
        <w:right w:val="none" w:sz="0" w:space="0" w:color="auto"/>
      </w:divBdr>
    </w:div>
    <w:div w:id="754788063">
      <w:bodyDiv w:val="1"/>
      <w:marLeft w:val="0"/>
      <w:marRight w:val="0"/>
      <w:marTop w:val="0"/>
      <w:marBottom w:val="0"/>
      <w:divBdr>
        <w:top w:val="none" w:sz="0" w:space="0" w:color="auto"/>
        <w:left w:val="none" w:sz="0" w:space="0" w:color="auto"/>
        <w:bottom w:val="none" w:sz="0" w:space="0" w:color="auto"/>
        <w:right w:val="none" w:sz="0" w:space="0" w:color="auto"/>
      </w:divBdr>
    </w:div>
    <w:div w:id="754866313">
      <w:bodyDiv w:val="1"/>
      <w:marLeft w:val="0"/>
      <w:marRight w:val="0"/>
      <w:marTop w:val="0"/>
      <w:marBottom w:val="0"/>
      <w:divBdr>
        <w:top w:val="none" w:sz="0" w:space="0" w:color="auto"/>
        <w:left w:val="none" w:sz="0" w:space="0" w:color="auto"/>
        <w:bottom w:val="none" w:sz="0" w:space="0" w:color="auto"/>
        <w:right w:val="none" w:sz="0" w:space="0" w:color="auto"/>
      </w:divBdr>
    </w:div>
    <w:div w:id="754935219">
      <w:bodyDiv w:val="1"/>
      <w:marLeft w:val="0"/>
      <w:marRight w:val="0"/>
      <w:marTop w:val="0"/>
      <w:marBottom w:val="0"/>
      <w:divBdr>
        <w:top w:val="none" w:sz="0" w:space="0" w:color="auto"/>
        <w:left w:val="none" w:sz="0" w:space="0" w:color="auto"/>
        <w:bottom w:val="none" w:sz="0" w:space="0" w:color="auto"/>
        <w:right w:val="none" w:sz="0" w:space="0" w:color="auto"/>
      </w:divBdr>
    </w:div>
    <w:div w:id="755251729">
      <w:bodyDiv w:val="1"/>
      <w:marLeft w:val="0"/>
      <w:marRight w:val="0"/>
      <w:marTop w:val="0"/>
      <w:marBottom w:val="0"/>
      <w:divBdr>
        <w:top w:val="none" w:sz="0" w:space="0" w:color="auto"/>
        <w:left w:val="none" w:sz="0" w:space="0" w:color="auto"/>
        <w:bottom w:val="none" w:sz="0" w:space="0" w:color="auto"/>
        <w:right w:val="none" w:sz="0" w:space="0" w:color="auto"/>
      </w:divBdr>
    </w:div>
    <w:div w:id="755444969">
      <w:bodyDiv w:val="1"/>
      <w:marLeft w:val="0"/>
      <w:marRight w:val="0"/>
      <w:marTop w:val="0"/>
      <w:marBottom w:val="0"/>
      <w:divBdr>
        <w:top w:val="none" w:sz="0" w:space="0" w:color="auto"/>
        <w:left w:val="none" w:sz="0" w:space="0" w:color="auto"/>
        <w:bottom w:val="none" w:sz="0" w:space="0" w:color="auto"/>
        <w:right w:val="none" w:sz="0" w:space="0" w:color="auto"/>
      </w:divBdr>
    </w:div>
    <w:div w:id="755781797">
      <w:bodyDiv w:val="1"/>
      <w:marLeft w:val="0"/>
      <w:marRight w:val="0"/>
      <w:marTop w:val="0"/>
      <w:marBottom w:val="0"/>
      <w:divBdr>
        <w:top w:val="none" w:sz="0" w:space="0" w:color="auto"/>
        <w:left w:val="none" w:sz="0" w:space="0" w:color="auto"/>
        <w:bottom w:val="none" w:sz="0" w:space="0" w:color="auto"/>
        <w:right w:val="none" w:sz="0" w:space="0" w:color="auto"/>
      </w:divBdr>
    </w:div>
    <w:div w:id="757681214">
      <w:bodyDiv w:val="1"/>
      <w:marLeft w:val="0"/>
      <w:marRight w:val="0"/>
      <w:marTop w:val="0"/>
      <w:marBottom w:val="0"/>
      <w:divBdr>
        <w:top w:val="none" w:sz="0" w:space="0" w:color="auto"/>
        <w:left w:val="none" w:sz="0" w:space="0" w:color="auto"/>
        <w:bottom w:val="none" w:sz="0" w:space="0" w:color="auto"/>
        <w:right w:val="none" w:sz="0" w:space="0" w:color="auto"/>
      </w:divBdr>
    </w:div>
    <w:div w:id="758019653">
      <w:bodyDiv w:val="1"/>
      <w:marLeft w:val="0"/>
      <w:marRight w:val="0"/>
      <w:marTop w:val="0"/>
      <w:marBottom w:val="0"/>
      <w:divBdr>
        <w:top w:val="none" w:sz="0" w:space="0" w:color="auto"/>
        <w:left w:val="none" w:sz="0" w:space="0" w:color="auto"/>
        <w:bottom w:val="none" w:sz="0" w:space="0" w:color="auto"/>
        <w:right w:val="none" w:sz="0" w:space="0" w:color="auto"/>
      </w:divBdr>
    </w:div>
    <w:div w:id="758142680">
      <w:bodyDiv w:val="1"/>
      <w:marLeft w:val="0"/>
      <w:marRight w:val="0"/>
      <w:marTop w:val="0"/>
      <w:marBottom w:val="0"/>
      <w:divBdr>
        <w:top w:val="none" w:sz="0" w:space="0" w:color="auto"/>
        <w:left w:val="none" w:sz="0" w:space="0" w:color="auto"/>
        <w:bottom w:val="none" w:sz="0" w:space="0" w:color="auto"/>
        <w:right w:val="none" w:sz="0" w:space="0" w:color="auto"/>
      </w:divBdr>
    </w:div>
    <w:div w:id="759107409">
      <w:bodyDiv w:val="1"/>
      <w:marLeft w:val="0"/>
      <w:marRight w:val="0"/>
      <w:marTop w:val="0"/>
      <w:marBottom w:val="0"/>
      <w:divBdr>
        <w:top w:val="none" w:sz="0" w:space="0" w:color="auto"/>
        <w:left w:val="none" w:sz="0" w:space="0" w:color="auto"/>
        <w:bottom w:val="none" w:sz="0" w:space="0" w:color="auto"/>
        <w:right w:val="none" w:sz="0" w:space="0" w:color="auto"/>
      </w:divBdr>
    </w:div>
    <w:div w:id="759563871">
      <w:bodyDiv w:val="1"/>
      <w:marLeft w:val="0"/>
      <w:marRight w:val="0"/>
      <w:marTop w:val="0"/>
      <w:marBottom w:val="0"/>
      <w:divBdr>
        <w:top w:val="none" w:sz="0" w:space="0" w:color="auto"/>
        <w:left w:val="none" w:sz="0" w:space="0" w:color="auto"/>
        <w:bottom w:val="none" w:sz="0" w:space="0" w:color="auto"/>
        <w:right w:val="none" w:sz="0" w:space="0" w:color="auto"/>
      </w:divBdr>
    </w:div>
    <w:div w:id="760443359">
      <w:bodyDiv w:val="1"/>
      <w:marLeft w:val="0"/>
      <w:marRight w:val="0"/>
      <w:marTop w:val="0"/>
      <w:marBottom w:val="0"/>
      <w:divBdr>
        <w:top w:val="none" w:sz="0" w:space="0" w:color="auto"/>
        <w:left w:val="none" w:sz="0" w:space="0" w:color="auto"/>
        <w:bottom w:val="none" w:sz="0" w:space="0" w:color="auto"/>
        <w:right w:val="none" w:sz="0" w:space="0" w:color="auto"/>
      </w:divBdr>
    </w:div>
    <w:div w:id="760686366">
      <w:bodyDiv w:val="1"/>
      <w:marLeft w:val="0"/>
      <w:marRight w:val="0"/>
      <w:marTop w:val="0"/>
      <w:marBottom w:val="0"/>
      <w:divBdr>
        <w:top w:val="none" w:sz="0" w:space="0" w:color="auto"/>
        <w:left w:val="none" w:sz="0" w:space="0" w:color="auto"/>
        <w:bottom w:val="none" w:sz="0" w:space="0" w:color="auto"/>
        <w:right w:val="none" w:sz="0" w:space="0" w:color="auto"/>
      </w:divBdr>
    </w:div>
    <w:div w:id="760879263">
      <w:bodyDiv w:val="1"/>
      <w:marLeft w:val="0"/>
      <w:marRight w:val="0"/>
      <w:marTop w:val="0"/>
      <w:marBottom w:val="0"/>
      <w:divBdr>
        <w:top w:val="none" w:sz="0" w:space="0" w:color="auto"/>
        <w:left w:val="none" w:sz="0" w:space="0" w:color="auto"/>
        <w:bottom w:val="none" w:sz="0" w:space="0" w:color="auto"/>
        <w:right w:val="none" w:sz="0" w:space="0" w:color="auto"/>
      </w:divBdr>
    </w:div>
    <w:div w:id="761488219">
      <w:bodyDiv w:val="1"/>
      <w:marLeft w:val="0"/>
      <w:marRight w:val="0"/>
      <w:marTop w:val="0"/>
      <w:marBottom w:val="0"/>
      <w:divBdr>
        <w:top w:val="none" w:sz="0" w:space="0" w:color="auto"/>
        <w:left w:val="none" w:sz="0" w:space="0" w:color="auto"/>
        <w:bottom w:val="none" w:sz="0" w:space="0" w:color="auto"/>
        <w:right w:val="none" w:sz="0" w:space="0" w:color="auto"/>
      </w:divBdr>
    </w:div>
    <w:div w:id="762729819">
      <w:bodyDiv w:val="1"/>
      <w:marLeft w:val="0"/>
      <w:marRight w:val="0"/>
      <w:marTop w:val="0"/>
      <w:marBottom w:val="0"/>
      <w:divBdr>
        <w:top w:val="none" w:sz="0" w:space="0" w:color="auto"/>
        <w:left w:val="none" w:sz="0" w:space="0" w:color="auto"/>
        <w:bottom w:val="none" w:sz="0" w:space="0" w:color="auto"/>
        <w:right w:val="none" w:sz="0" w:space="0" w:color="auto"/>
      </w:divBdr>
    </w:div>
    <w:div w:id="762994827">
      <w:bodyDiv w:val="1"/>
      <w:marLeft w:val="0"/>
      <w:marRight w:val="0"/>
      <w:marTop w:val="0"/>
      <w:marBottom w:val="0"/>
      <w:divBdr>
        <w:top w:val="none" w:sz="0" w:space="0" w:color="auto"/>
        <w:left w:val="none" w:sz="0" w:space="0" w:color="auto"/>
        <w:bottom w:val="none" w:sz="0" w:space="0" w:color="auto"/>
        <w:right w:val="none" w:sz="0" w:space="0" w:color="auto"/>
      </w:divBdr>
    </w:div>
    <w:div w:id="763382287">
      <w:bodyDiv w:val="1"/>
      <w:marLeft w:val="0"/>
      <w:marRight w:val="0"/>
      <w:marTop w:val="0"/>
      <w:marBottom w:val="0"/>
      <w:divBdr>
        <w:top w:val="none" w:sz="0" w:space="0" w:color="auto"/>
        <w:left w:val="none" w:sz="0" w:space="0" w:color="auto"/>
        <w:bottom w:val="none" w:sz="0" w:space="0" w:color="auto"/>
        <w:right w:val="none" w:sz="0" w:space="0" w:color="auto"/>
      </w:divBdr>
    </w:div>
    <w:div w:id="765462548">
      <w:bodyDiv w:val="1"/>
      <w:marLeft w:val="0"/>
      <w:marRight w:val="0"/>
      <w:marTop w:val="0"/>
      <w:marBottom w:val="0"/>
      <w:divBdr>
        <w:top w:val="none" w:sz="0" w:space="0" w:color="auto"/>
        <w:left w:val="none" w:sz="0" w:space="0" w:color="auto"/>
        <w:bottom w:val="none" w:sz="0" w:space="0" w:color="auto"/>
        <w:right w:val="none" w:sz="0" w:space="0" w:color="auto"/>
      </w:divBdr>
    </w:div>
    <w:div w:id="766270468">
      <w:bodyDiv w:val="1"/>
      <w:marLeft w:val="0"/>
      <w:marRight w:val="0"/>
      <w:marTop w:val="0"/>
      <w:marBottom w:val="0"/>
      <w:divBdr>
        <w:top w:val="none" w:sz="0" w:space="0" w:color="auto"/>
        <w:left w:val="none" w:sz="0" w:space="0" w:color="auto"/>
        <w:bottom w:val="none" w:sz="0" w:space="0" w:color="auto"/>
        <w:right w:val="none" w:sz="0" w:space="0" w:color="auto"/>
      </w:divBdr>
    </w:div>
    <w:div w:id="767890946">
      <w:bodyDiv w:val="1"/>
      <w:marLeft w:val="0"/>
      <w:marRight w:val="0"/>
      <w:marTop w:val="0"/>
      <w:marBottom w:val="0"/>
      <w:divBdr>
        <w:top w:val="none" w:sz="0" w:space="0" w:color="auto"/>
        <w:left w:val="none" w:sz="0" w:space="0" w:color="auto"/>
        <w:bottom w:val="none" w:sz="0" w:space="0" w:color="auto"/>
        <w:right w:val="none" w:sz="0" w:space="0" w:color="auto"/>
      </w:divBdr>
    </w:div>
    <w:div w:id="768354451">
      <w:bodyDiv w:val="1"/>
      <w:marLeft w:val="0"/>
      <w:marRight w:val="0"/>
      <w:marTop w:val="0"/>
      <w:marBottom w:val="0"/>
      <w:divBdr>
        <w:top w:val="none" w:sz="0" w:space="0" w:color="auto"/>
        <w:left w:val="none" w:sz="0" w:space="0" w:color="auto"/>
        <w:bottom w:val="none" w:sz="0" w:space="0" w:color="auto"/>
        <w:right w:val="none" w:sz="0" w:space="0" w:color="auto"/>
      </w:divBdr>
    </w:div>
    <w:div w:id="769350356">
      <w:bodyDiv w:val="1"/>
      <w:marLeft w:val="0"/>
      <w:marRight w:val="0"/>
      <w:marTop w:val="0"/>
      <w:marBottom w:val="0"/>
      <w:divBdr>
        <w:top w:val="none" w:sz="0" w:space="0" w:color="auto"/>
        <w:left w:val="none" w:sz="0" w:space="0" w:color="auto"/>
        <w:bottom w:val="none" w:sz="0" w:space="0" w:color="auto"/>
        <w:right w:val="none" w:sz="0" w:space="0" w:color="auto"/>
      </w:divBdr>
    </w:div>
    <w:div w:id="769659849">
      <w:bodyDiv w:val="1"/>
      <w:marLeft w:val="0"/>
      <w:marRight w:val="0"/>
      <w:marTop w:val="0"/>
      <w:marBottom w:val="0"/>
      <w:divBdr>
        <w:top w:val="none" w:sz="0" w:space="0" w:color="auto"/>
        <w:left w:val="none" w:sz="0" w:space="0" w:color="auto"/>
        <w:bottom w:val="none" w:sz="0" w:space="0" w:color="auto"/>
        <w:right w:val="none" w:sz="0" w:space="0" w:color="auto"/>
      </w:divBdr>
    </w:div>
    <w:div w:id="770975631">
      <w:bodyDiv w:val="1"/>
      <w:marLeft w:val="0"/>
      <w:marRight w:val="0"/>
      <w:marTop w:val="0"/>
      <w:marBottom w:val="0"/>
      <w:divBdr>
        <w:top w:val="none" w:sz="0" w:space="0" w:color="auto"/>
        <w:left w:val="none" w:sz="0" w:space="0" w:color="auto"/>
        <w:bottom w:val="none" w:sz="0" w:space="0" w:color="auto"/>
        <w:right w:val="none" w:sz="0" w:space="0" w:color="auto"/>
      </w:divBdr>
    </w:div>
    <w:div w:id="771629276">
      <w:bodyDiv w:val="1"/>
      <w:marLeft w:val="0"/>
      <w:marRight w:val="0"/>
      <w:marTop w:val="0"/>
      <w:marBottom w:val="0"/>
      <w:divBdr>
        <w:top w:val="none" w:sz="0" w:space="0" w:color="auto"/>
        <w:left w:val="none" w:sz="0" w:space="0" w:color="auto"/>
        <w:bottom w:val="none" w:sz="0" w:space="0" w:color="auto"/>
        <w:right w:val="none" w:sz="0" w:space="0" w:color="auto"/>
      </w:divBdr>
    </w:div>
    <w:div w:id="771631293">
      <w:bodyDiv w:val="1"/>
      <w:marLeft w:val="0"/>
      <w:marRight w:val="0"/>
      <w:marTop w:val="0"/>
      <w:marBottom w:val="0"/>
      <w:divBdr>
        <w:top w:val="none" w:sz="0" w:space="0" w:color="auto"/>
        <w:left w:val="none" w:sz="0" w:space="0" w:color="auto"/>
        <w:bottom w:val="none" w:sz="0" w:space="0" w:color="auto"/>
        <w:right w:val="none" w:sz="0" w:space="0" w:color="auto"/>
      </w:divBdr>
    </w:div>
    <w:div w:id="771706865">
      <w:bodyDiv w:val="1"/>
      <w:marLeft w:val="0"/>
      <w:marRight w:val="0"/>
      <w:marTop w:val="0"/>
      <w:marBottom w:val="0"/>
      <w:divBdr>
        <w:top w:val="none" w:sz="0" w:space="0" w:color="auto"/>
        <w:left w:val="none" w:sz="0" w:space="0" w:color="auto"/>
        <w:bottom w:val="none" w:sz="0" w:space="0" w:color="auto"/>
        <w:right w:val="none" w:sz="0" w:space="0" w:color="auto"/>
      </w:divBdr>
    </w:div>
    <w:div w:id="771902862">
      <w:bodyDiv w:val="1"/>
      <w:marLeft w:val="0"/>
      <w:marRight w:val="0"/>
      <w:marTop w:val="0"/>
      <w:marBottom w:val="0"/>
      <w:divBdr>
        <w:top w:val="none" w:sz="0" w:space="0" w:color="auto"/>
        <w:left w:val="none" w:sz="0" w:space="0" w:color="auto"/>
        <w:bottom w:val="none" w:sz="0" w:space="0" w:color="auto"/>
        <w:right w:val="none" w:sz="0" w:space="0" w:color="auto"/>
      </w:divBdr>
    </w:div>
    <w:div w:id="774714437">
      <w:bodyDiv w:val="1"/>
      <w:marLeft w:val="0"/>
      <w:marRight w:val="0"/>
      <w:marTop w:val="0"/>
      <w:marBottom w:val="0"/>
      <w:divBdr>
        <w:top w:val="none" w:sz="0" w:space="0" w:color="auto"/>
        <w:left w:val="none" w:sz="0" w:space="0" w:color="auto"/>
        <w:bottom w:val="none" w:sz="0" w:space="0" w:color="auto"/>
        <w:right w:val="none" w:sz="0" w:space="0" w:color="auto"/>
      </w:divBdr>
    </w:div>
    <w:div w:id="775489421">
      <w:bodyDiv w:val="1"/>
      <w:marLeft w:val="0"/>
      <w:marRight w:val="0"/>
      <w:marTop w:val="0"/>
      <w:marBottom w:val="0"/>
      <w:divBdr>
        <w:top w:val="none" w:sz="0" w:space="0" w:color="auto"/>
        <w:left w:val="none" w:sz="0" w:space="0" w:color="auto"/>
        <w:bottom w:val="none" w:sz="0" w:space="0" w:color="auto"/>
        <w:right w:val="none" w:sz="0" w:space="0" w:color="auto"/>
      </w:divBdr>
    </w:div>
    <w:div w:id="776405906">
      <w:bodyDiv w:val="1"/>
      <w:marLeft w:val="0"/>
      <w:marRight w:val="0"/>
      <w:marTop w:val="0"/>
      <w:marBottom w:val="0"/>
      <w:divBdr>
        <w:top w:val="none" w:sz="0" w:space="0" w:color="auto"/>
        <w:left w:val="none" w:sz="0" w:space="0" w:color="auto"/>
        <w:bottom w:val="none" w:sz="0" w:space="0" w:color="auto"/>
        <w:right w:val="none" w:sz="0" w:space="0" w:color="auto"/>
      </w:divBdr>
    </w:div>
    <w:div w:id="776561609">
      <w:bodyDiv w:val="1"/>
      <w:marLeft w:val="0"/>
      <w:marRight w:val="0"/>
      <w:marTop w:val="0"/>
      <w:marBottom w:val="0"/>
      <w:divBdr>
        <w:top w:val="none" w:sz="0" w:space="0" w:color="auto"/>
        <w:left w:val="none" w:sz="0" w:space="0" w:color="auto"/>
        <w:bottom w:val="none" w:sz="0" w:space="0" w:color="auto"/>
        <w:right w:val="none" w:sz="0" w:space="0" w:color="auto"/>
      </w:divBdr>
    </w:div>
    <w:div w:id="777411392">
      <w:bodyDiv w:val="1"/>
      <w:marLeft w:val="0"/>
      <w:marRight w:val="0"/>
      <w:marTop w:val="0"/>
      <w:marBottom w:val="0"/>
      <w:divBdr>
        <w:top w:val="none" w:sz="0" w:space="0" w:color="auto"/>
        <w:left w:val="none" w:sz="0" w:space="0" w:color="auto"/>
        <w:bottom w:val="none" w:sz="0" w:space="0" w:color="auto"/>
        <w:right w:val="none" w:sz="0" w:space="0" w:color="auto"/>
      </w:divBdr>
    </w:div>
    <w:div w:id="779254914">
      <w:bodyDiv w:val="1"/>
      <w:marLeft w:val="0"/>
      <w:marRight w:val="0"/>
      <w:marTop w:val="0"/>
      <w:marBottom w:val="0"/>
      <w:divBdr>
        <w:top w:val="none" w:sz="0" w:space="0" w:color="auto"/>
        <w:left w:val="none" w:sz="0" w:space="0" w:color="auto"/>
        <w:bottom w:val="none" w:sz="0" w:space="0" w:color="auto"/>
        <w:right w:val="none" w:sz="0" w:space="0" w:color="auto"/>
      </w:divBdr>
    </w:div>
    <w:div w:id="779446959">
      <w:bodyDiv w:val="1"/>
      <w:marLeft w:val="0"/>
      <w:marRight w:val="0"/>
      <w:marTop w:val="0"/>
      <w:marBottom w:val="0"/>
      <w:divBdr>
        <w:top w:val="none" w:sz="0" w:space="0" w:color="auto"/>
        <w:left w:val="none" w:sz="0" w:space="0" w:color="auto"/>
        <w:bottom w:val="none" w:sz="0" w:space="0" w:color="auto"/>
        <w:right w:val="none" w:sz="0" w:space="0" w:color="auto"/>
      </w:divBdr>
    </w:div>
    <w:div w:id="779567799">
      <w:bodyDiv w:val="1"/>
      <w:marLeft w:val="0"/>
      <w:marRight w:val="0"/>
      <w:marTop w:val="0"/>
      <w:marBottom w:val="0"/>
      <w:divBdr>
        <w:top w:val="none" w:sz="0" w:space="0" w:color="auto"/>
        <w:left w:val="none" w:sz="0" w:space="0" w:color="auto"/>
        <w:bottom w:val="none" w:sz="0" w:space="0" w:color="auto"/>
        <w:right w:val="none" w:sz="0" w:space="0" w:color="auto"/>
      </w:divBdr>
    </w:div>
    <w:div w:id="779837490">
      <w:bodyDiv w:val="1"/>
      <w:marLeft w:val="0"/>
      <w:marRight w:val="0"/>
      <w:marTop w:val="0"/>
      <w:marBottom w:val="0"/>
      <w:divBdr>
        <w:top w:val="none" w:sz="0" w:space="0" w:color="auto"/>
        <w:left w:val="none" w:sz="0" w:space="0" w:color="auto"/>
        <w:bottom w:val="none" w:sz="0" w:space="0" w:color="auto"/>
        <w:right w:val="none" w:sz="0" w:space="0" w:color="auto"/>
      </w:divBdr>
    </w:div>
    <w:div w:id="780028883">
      <w:bodyDiv w:val="1"/>
      <w:marLeft w:val="0"/>
      <w:marRight w:val="0"/>
      <w:marTop w:val="0"/>
      <w:marBottom w:val="0"/>
      <w:divBdr>
        <w:top w:val="none" w:sz="0" w:space="0" w:color="auto"/>
        <w:left w:val="none" w:sz="0" w:space="0" w:color="auto"/>
        <w:bottom w:val="none" w:sz="0" w:space="0" w:color="auto"/>
        <w:right w:val="none" w:sz="0" w:space="0" w:color="auto"/>
      </w:divBdr>
    </w:div>
    <w:div w:id="780227847">
      <w:bodyDiv w:val="1"/>
      <w:marLeft w:val="0"/>
      <w:marRight w:val="0"/>
      <w:marTop w:val="0"/>
      <w:marBottom w:val="0"/>
      <w:divBdr>
        <w:top w:val="none" w:sz="0" w:space="0" w:color="auto"/>
        <w:left w:val="none" w:sz="0" w:space="0" w:color="auto"/>
        <w:bottom w:val="none" w:sz="0" w:space="0" w:color="auto"/>
        <w:right w:val="none" w:sz="0" w:space="0" w:color="auto"/>
      </w:divBdr>
    </w:div>
    <w:div w:id="780489289">
      <w:bodyDiv w:val="1"/>
      <w:marLeft w:val="0"/>
      <w:marRight w:val="0"/>
      <w:marTop w:val="0"/>
      <w:marBottom w:val="0"/>
      <w:divBdr>
        <w:top w:val="none" w:sz="0" w:space="0" w:color="auto"/>
        <w:left w:val="none" w:sz="0" w:space="0" w:color="auto"/>
        <w:bottom w:val="none" w:sz="0" w:space="0" w:color="auto"/>
        <w:right w:val="none" w:sz="0" w:space="0" w:color="auto"/>
      </w:divBdr>
    </w:div>
    <w:div w:id="780800438">
      <w:bodyDiv w:val="1"/>
      <w:marLeft w:val="0"/>
      <w:marRight w:val="0"/>
      <w:marTop w:val="0"/>
      <w:marBottom w:val="0"/>
      <w:divBdr>
        <w:top w:val="none" w:sz="0" w:space="0" w:color="auto"/>
        <w:left w:val="none" w:sz="0" w:space="0" w:color="auto"/>
        <w:bottom w:val="none" w:sz="0" w:space="0" w:color="auto"/>
        <w:right w:val="none" w:sz="0" w:space="0" w:color="auto"/>
      </w:divBdr>
    </w:div>
    <w:div w:id="781803327">
      <w:bodyDiv w:val="1"/>
      <w:marLeft w:val="0"/>
      <w:marRight w:val="0"/>
      <w:marTop w:val="0"/>
      <w:marBottom w:val="0"/>
      <w:divBdr>
        <w:top w:val="none" w:sz="0" w:space="0" w:color="auto"/>
        <w:left w:val="none" w:sz="0" w:space="0" w:color="auto"/>
        <w:bottom w:val="none" w:sz="0" w:space="0" w:color="auto"/>
        <w:right w:val="none" w:sz="0" w:space="0" w:color="auto"/>
      </w:divBdr>
    </w:div>
    <w:div w:id="781804243">
      <w:bodyDiv w:val="1"/>
      <w:marLeft w:val="0"/>
      <w:marRight w:val="0"/>
      <w:marTop w:val="0"/>
      <w:marBottom w:val="0"/>
      <w:divBdr>
        <w:top w:val="none" w:sz="0" w:space="0" w:color="auto"/>
        <w:left w:val="none" w:sz="0" w:space="0" w:color="auto"/>
        <w:bottom w:val="none" w:sz="0" w:space="0" w:color="auto"/>
        <w:right w:val="none" w:sz="0" w:space="0" w:color="auto"/>
      </w:divBdr>
    </w:div>
    <w:div w:id="782379434">
      <w:bodyDiv w:val="1"/>
      <w:marLeft w:val="0"/>
      <w:marRight w:val="0"/>
      <w:marTop w:val="0"/>
      <w:marBottom w:val="0"/>
      <w:divBdr>
        <w:top w:val="none" w:sz="0" w:space="0" w:color="auto"/>
        <w:left w:val="none" w:sz="0" w:space="0" w:color="auto"/>
        <w:bottom w:val="none" w:sz="0" w:space="0" w:color="auto"/>
        <w:right w:val="none" w:sz="0" w:space="0" w:color="auto"/>
      </w:divBdr>
    </w:div>
    <w:div w:id="782648646">
      <w:bodyDiv w:val="1"/>
      <w:marLeft w:val="0"/>
      <w:marRight w:val="0"/>
      <w:marTop w:val="0"/>
      <w:marBottom w:val="0"/>
      <w:divBdr>
        <w:top w:val="none" w:sz="0" w:space="0" w:color="auto"/>
        <w:left w:val="none" w:sz="0" w:space="0" w:color="auto"/>
        <w:bottom w:val="none" w:sz="0" w:space="0" w:color="auto"/>
        <w:right w:val="none" w:sz="0" w:space="0" w:color="auto"/>
      </w:divBdr>
    </w:div>
    <w:div w:id="782725009">
      <w:bodyDiv w:val="1"/>
      <w:marLeft w:val="0"/>
      <w:marRight w:val="0"/>
      <w:marTop w:val="0"/>
      <w:marBottom w:val="0"/>
      <w:divBdr>
        <w:top w:val="none" w:sz="0" w:space="0" w:color="auto"/>
        <w:left w:val="none" w:sz="0" w:space="0" w:color="auto"/>
        <w:bottom w:val="none" w:sz="0" w:space="0" w:color="auto"/>
        <w:right w:val="none" w:sz="0" w:space="0" w:color="auto"/>
      </w:divBdr>
    </w:div>
    <w:div w:id="782768915">
      <w:bodyDiv w:val="1"/>
      <w:marLeft w:val="0"/>
      <w:marRight w:val="0"/>
      <w:marTop w:val="0"/>
      <w:marBottom w:val="0"/>
      <w:divBdr>
        <w:top w:val="none" w:sz="0" w:space="0" w:color="auto"/>
        <w:left w:val="none" w:sz="0" w:space="0" w:color="auto"/>
        <w:bottom w:val="none" w:sz="0" w:space="0" w:color="auto"/>
        <w:right w:val="none" w:sz="0" w:space="0" w:color="auto"/>
      </w:divBdr>
    </w:div>
    <w:div w:id="782844542">
      <w:bodyDiv w:val="1"/>
      <w:marLeft w:val="0"/>
      <w:marRight w:val="0"/>
      <w:marTop w:val="0"/>
      <w:marBottom w:val="0"/>
      <w:divBdr>
        <w:top w:val="none" w:sz="0" w:space="0" w:color="auto"/>
        <w:left w:val="none" w:sz="0" w:space="0" w:color="auto"/>
        <w:bottom w:val="none" w:sz="0" w:space="0" w:color="auto"/>
        <w:right w:val="none" w:sz="0" w:space="0" w:color="auto"/>
      </w:divBdr>
    </w:div>
    <w:div w:id="783311312">
      <w:bodyDiv w:val="1"/>
      <w:marLeft w:val="0"/>
      <w:marRight w:val="0"/>
      <w:marTop w:val="0"/>
      <w:marBottom w:val="0"/>
      <w:divBdr>
        <w:top w:val="none" w:sz="0" w:space="0" w:color="auto"/>
        <w:left w:val="none" w:sz="0" w:space="0" w:color="auto"/>
        <w:bottom w:val="none" w:sz="0" w:space="0" w:color="auto"/>
        <w:right w:val="none" w:sz="0" w:space="0" w:color="auto"/>
      </w:divBdr>
    </w:div>
    <w:div w:id="785389811">
      <w:bodyDiv w:val="1"/>
      <w:marLeft w:val="0"/>
      <w:marRight w:val="0"/>
      <w:marTop w:val="0"/>
      <w:marBottom w:val="0"/>
      <w:divBdr>
        <w:top w:val="none" w:sz="0" w:space="0" w:color="auto"/>
        <w:left w:val="none" w:sz="0" w:space="0" w:color="auto"/>
        <w:bottom w:val="none" w:sz="0" w:space="0" w:color="auto"/>
        <w:right w:val="none" w:sz="0" w:space="0" w:color="auto"/>
      </w:divBdr>
    </w:div>
    <w:div w:id="785806843">
      <w:bodyDiv w:val="1"/>
      <w:marLeft w:val="0"/>
      <w:marRight w:val="0"/>
      <w:marTop w:val="0"/>
      <w:marBottom w:val="0"/>
      <w:divBdr>
        <w:top w:val="none" w:sz="0" w:space="0" w:color="auto"/>
        <w:left w:val="none" w:sz="0" w:space="0" w:color="auto"/>
        <w:bottom w:val="none" w:sz="0" w:space="0" w:color="auto"/>
        <w:right w:val="none" w:sz="0" w:space="0" w:color="auto"/>
      </w:divBdr>
    </w:div>
    <w:div w:id="786242040">
      <w:bodyDiv w:val="1"/>
      <w:marLeft w:val="0"/>
      <w:marRight w:val="0"/>
      <w:marTop w:val="0"/>
      <w:marBottom w:val="0"/>
      <w:divBdr>
        <w:top w:val="none" w:sz="0" w:space="0" w:color="auto"/>
        <w:left w:val="none" w:sz="0" w:space="0" w:color="auto"/>
        <w:bottom w:val="none" w:sz="0" w:space="0" w:color="auto"/>
        <w:right w:val="none" w:sz="0" w:space="0" w:color="auto"/>
      </w:divBdr>
    </w:div>
    <w:div w:id="787360124">
      <w:bodyDiv w:val="1"/>
      <w:marLeft w:val="0"/>
      <w:marRight w:val="0"/>
      <w:marTop w:val="0"/>
      <w:marBottom w:val="0"/>
      <w:divBdr>
        <w:top w:val="none" w:sz="0" w:space="0" w:color="auto"/>
        <w:left w:val="none" w:sz="0" w:space="0" w:color="auto"/>
        <w:bottom w:val="none" w:sz="0" w:space="0" w:color="auto"/>
        <w:right w:val="none" w:sz="0" w:space="0" w:color="auto"/>
      </w:divBdr>
    </w:div>
    <w:div w:id="788203840">
      <w:bodyDiv w:val="1"/>
      <w:marLeft w:val="0"/>
      <w:marRight w:val="0"/>
      <w:marTop w:val="0"/>
      <w:marBottom w:val="0"/>
      <w:divBdr>
        <w:top w:val="none" w:sz="0" w:space="0" w:color="auto"/>
        <w:left w:val="none" w:sz="0" w:space="0" w:color="auto"/>
        <w:bottom w:val="none" w:sz="0" w:space="0" w:color="auto"/>
        <w:right w:val="none" w:sz="0" w:space="0" w:color="auto"/>
      </w:divBdr>
    </w:div>
    <w:div w:id="788738704">
      <w:bodyDiv w:val="1"/>
      <w:marLeft w:val="0"/>
      <w:marRight w:val="0"/>
      <w:marTop w:val="0"/>
      <w:marBottom w:val="0"/>
      <w:divBdr>
        <w:top w:val="none" w:sz="0" w:space="0" w:color="auto"/>
        <w:left w:val="none" w:sz="0" w:space="0" w:color="auto"/>
        <w:bottom w:val="none" w:sz="0" w:space="0" w:color="auto"/>
        <w:right w:val="none" w:sz="0" w:space="0" w:color="auto"/>
      </w:divBdr>
    </w:div>
    <w:div w:id="788857031">
      <w:bodyDiv w:val="1"/>
      <w:marLeft w:val="0"/>
      <w:marRight w:val="0"/>
      <w:marTop w:val="0"/>
      <w:marBottom w:val="0"/>
      <w:divBdr>
        <w:top w:val="none" w:sz="0" w:space="0" w:color="auto"/>
        <w:left w:val="none" w:sz="0" w:space="0" w:color="auto"/>
        <w:bottom w:val="none" w:sz="0" w:space="0" w:color="auto"/>
        <w:right w:val="none" w:sz="0" w:space="0" w:color="auto"/>
      </w:divBdr>
    </w:div>
    <w:div w:id="789786592">
      <w:bodyDiv w:val="1"/>
      <w:marLeft w:val="0"/>
      <w:marRight w:val="0"/>
      <w:marTop w:val="0"/>
      <w:marBottom w:val="0"/>
      <w:divBdr>
        <w:top w:val="none" w:sz="0" w:space="0" w:color="auto"/>
        <w:left w:val="none" w:sz="0" w:space="0" w:color="auto"/>
        <w:bottom w:val="none" w:sz="0" w:space="0" w:color="auto"/>
        <w:right w:val="none" w:sz="0" w:space="0" w:color="auto"/>
      </w:divBdr>
    </w:div>
    <w:div w:id="790175149">
      <w:bodyDiv w:val="1"/>
      <w:marLeft w:val="0"/>
      <w:marRight w:val="0"/>
      <w:marTop w:val="0"/>
      <w:marBottom w:val="0"/>
      <w:divBdr>
        <w:top w:val="none" w:sz="0" w:space="0" w:color="auto"/>
        <w:left w:val="none" w:sz="0" w:space="0" w:color="auto"/>
        <w:bottom w:val="none" w:sz="0" w:space="0" w:color="auto"/>
        <w:right w:val="none" w:sz="0" w:space="0" w:color="auto"/>
      </w:divBdr>
    </w:div>
    <w:div w:id="790517312">
      <w:bodyDiv w:val="1"/>
      <w:marLeft w:val="0"/>
      <w:marRight w:val="0"/>
      <w:marTop w:val="0"/>
      <w:marBottom w:val="0"/>
      <w:divBdr>
        <w:top w:val="none" w:sz="0" w:space="0" w:color="auto"/>
        <w:left w:val="none" w:sz="0" w:space="0" w:color="auto"/>
        <w:bottom w:val="none" w:sz="0" w:space="0" w:color="auto"/>
        <w:right w:val="none" w:sz="0" w:space="0" w:color="auto"/>
      </w:divBdr>
    </w:div>
    <w:div w:id="790828926">
      <w:bodyDiv w:val="1"/>
      <w:marLeft w:val="0"/>
      <w:marRight w:val="0"/>
      <w:marTop w:val="0"/>
      <w:marBottom w:val="0"/>
      <w:divBdr>
        <w:top w:val="none" w:sz="0" w:space="0" w:color="auto"/>
        <w:left w:val="none" w:sz="0" w:space="0" w:color="auto"/>
        <w:bottom w:val="none" w:sz="0" w:space="0" w:color="auto"/>
        <w:right w:val="none" w:sz="0" w:space="0" w:color="auto"/>
      </w:divBdr>
    </w:div>
    <w:div w:id="790897388">
      <w:bodyDiv w:val="1"/>
      <w:marLeft w:val="0"/>
      <w:marRight w:val="0"/>
      <w:marTop w:val="0"/>
      <w:marBottom w:val="0"/>
      <w:divBdr>
        <w:top w:val="none" w:sz="0" w:space="0" w:color="auto"/>
        <w:left w:val="none" w:sz="0" w:space="0" w:color="auto"/>
        <w:bottom w:val="none" w:sz="0" w:space="0" w:color="auto"/>
        <w:right w:val="none" w:sz="0" w:space="0" w:color="auto"/>
      </w:divBdr>
    </w:div>
    <w:div w:id="791166578">
      <w:bodyDiv w:val="1"/>
      <w:marLeft w:val="0"/>
      <w:marRight w:val="0"/>
      <w:marTop w:val="0"/>
      <w:marBottom w:val="0"/>
      <w:divBdr>
        <w:top w:val="none" w:sz="0" w:space="0" w:color="auto"/>
        <w:left w:val="none" w:sz="0" w:space="0" w:color="auto"/>
        <w:bottom w:val="none" w:sz="0" w:space="0" w:color="auto"/>
        <w:right w:val="none" w:sz="0" w:space="0" w:color="auto"/>
      </w:divBdr>
    </w:div>
    <w:div w:id="791173873">
      <w:bodyDiv w:val="1"/>
      <w:marLeft w:val="0"/>
      <w:marRight w:val="0"/>
      <w:marTop w:val="0"/>
      <w:marBottom w:val="0"/>
      <w:divBdr>
        <w:top w:val="none" w:sz="0" w:space="0" w:color="auto"/>
        <w:left w:val="none" w:sz="0" w:space="0" w:color="auto"/>
        <w:bottom w:val="none" w:sz="0" w:space="0" w:color="auto"/>
        <w:right w:val="none" w:sz="0" w:space="0" w:color="auto"/>
      </w:divBdr>
    </w:div>
    <w:div w:id="791560970">
      <w:bodyDiv w:val="1"/>
      <w:marLeft w:val="0"/>
      <w:marRight w:val="0"/>
      <w:marTop w:val="0"/>
      <w:marBottom w:val="0"/>
      <w:divBdr>
        <w:top w:val="none" w:sz="0" w:space="0" w:color="auto"/>
        <w:left w:val="none" w:sz="0" w:space="0" w:color="auto"/>
        <w:bottom w:val="none" w:sz="0" w:space="0" w:color="auto"/>
        <w:right w:val="none" w:sz="0" w:space="0" w:color="auto"/>
      </w:divBdr>
    </w:div>
    <w:div w:id="791675652">
      <w:bodyDiv w:val="1"/>
      <w:marLeft w:val="0"/>
      <w:marRight w:val="0"/>
      <w:marTop w:val="0"/>
      <w:marBottom w:val="0"/>
      <w:divBdr>
        <w:top w:val="none" w:sz="0" w:space="0" w:color="auto"/>
        <w:left w:val="none" w:sz="0" w:space="0" w:color="auto"/>
        <w:bottom w:val="none" w:sz="0" w:space="0" w:color="auto"/>
        <w:right w:val="none" w:sz="0" w:space="0" w:color="auto"/>
      </w:divBdr>
    </w:div>
    <w:div w:id="792289497">
      <w:bodyDiv w:val="1"/>
      <w:marLeft w:val="0"/>
      <w:marRight w:val="0"/>
      <w:marTop w:val="0"/>
      <w:marBottom w:val="0"/>
      <w:divBdr>
        <w:top w:val="none" w:sz="0" w:space="0" w:color="auto"/>
        <w:left w:val="none" w:sz="0" w:space="0" w:color="auto"/>
        <w:bottom w:val="none" w:sz="0" w:space="0" w:color="auto"/>
        <w:right w:val="none" w:sz="0" w:space="0" w:color="auto"/>
      </w:divBdr>
    </w:div>
    <w:div w:id="792404194">
      <w:bodyDiv w:val="1"/>
      <w:marLeft w:val="0"/>
      <w:marRight w:val="0"/>
      <w:marTop w:val="0"/>
      <w:marBottom w:val="0"/>
      <w:divBdr>
        <w:top w:val="none" w:sz="0" w:space="0" w:color="auto"/>
        <w:left w:val="none" w:sz="0" w:space="0" w:color="auto"/>
        <w:bottom w:val="none" w:sz="0" w:space="0" w:color="auto"/>
        <w:right w:val="none" w:sz="0" w:space="0" w:color="auto"/>
      </w:divBdr>
    </w:div>
    <w:div w:id="792598127">
      <w:bodyDiv w:val="1"/>
      <w:marLeft w:val="0"/>
      <w:marRight w:val="0"/>
      <w:marTop w:val="0"/>
      <w:marBottom w:val="0"/>
      <w:divBdr>
        <w:top w:val="none" w:sz="0" w:space="0" w:color="auto"/>
        <w:left w:val="none" w:sz="0" w:space="0" w:color="auto"/>
        <w:bottom w:val="none" w:sz="0" w:space="0" w:color="auto"/>
        <w:right w:val="none" w:sz="0" w:space="0" w:color="auto"/>
      </w:divBdr>
    </w:div>
    <w:div w:id="793526353">
      <w:bodyDiv w:val="1"/>
      <w:marLeft w:val="0"/>
      <w:marRight w:val="0"/>
      <w:marTop w:val="0"/>
      <w:marBottom w:val="0"/>
      <w:divBdr>
        <w:top w:val="none" w:sz="0" w:space="0" w:color="auto"/>
        <w:left w:val="none" w:sz="0" w:space="0" w:color="auto"/>
        <w:bottom w:val="none" w:sz="0" w:space="0" w:color="auto"/>
        <w:right w:val="none" w:sz="0" w:space="0" w:color="auto"/>
      </w:divBdr>
    </w:div>
    <w:div w:id="793642224">
      <w:bodyDiv w:val="1"/>
      <w:marLeft w:val="0"/>
      <w:marRight w:val="0"/>
      <w:marTop w:val="0"/>
      <w:marBottom w:val="0"/>
      <w:divBdr>
        <w:top w:val="none" w:sz="0" w:space="0" w:color="auto"/>
        <w:left w:val="none" w:sz="0" w:space="0" w:color="auto"/>
        <w:bottom w:val="none" w:sz="0" w:space="0" w:color="auto"/>
        <w:right w:val="none" w:sz="0" w:space="0" w:color="auto"/>
      </w:divBdr>
    </w:div>
    <w:div w:id="794787626">
      <w:bodyDiv w:val="1"/>
      <w:marLeft w:val="0"/>
      <w:marRight w:val="0"/>
      <w:marTop w:val="0"/>
      <w:marBottom w:val="0"/>
      <w:divBdr>
        <w:top w:val="none" w:sz="0" w:space="0" w:color="auto"/>
        <w:left w:val="none" w:sz="0" w:space="0" w:color="auto"/>
        <w:bottom w:val="none" w:sz="0" w:space="0" w:color="auto"/>
        <w:right w:val="none" w:sz="0" w:space="0" w:color="auto"/>
      </w:divBdr>
    </w:div>
    <w:div w:id="794906502">
      <w:bodyDiv w:val="1"/>
      <w:marLeft w:val="0"/>
      <w:marRight w:val="0"/>
      <w:marTop w:val="0"/>
      <w:marBottom w:val="0"/>
      <w:divBdr>
        <w:top w:val="none" w:sz="0" w:space="0" w:color="auto"/>
        <w:left w:val="none" w:sz="0" w:space="0" w:color="auto"/>
        <w:bottom w:val="none" w:sz="0" w:space="0" w:color="auto"/>
        <w:right w:val="none" w:sz="0" w:space="0" w:color="auto"/>
      </w:divBdr>
    </w:div>
    <w:div w:id="794954754">
      <w:bodyDiv w:val="1"/>
      <w:marLeft w:val="0"/>
      <w:marRight w:val="0"/>
      <w:marTop w:val="0"/>
      <w:marBottom w:val="0"/>
      <w:divBdr>
        <w:top w:val="none" w:sz="0" w:space="0" w:color="auto"/>
        <w:left w:val="none" w:sz="0" w:space="0" w:color="auto"/>
        <w:bottom w:val="none" w:sz="0" w:space="0" w:color="auto"/>
        <w:right w:val="none" w:sz="0" w:space="0" w:color="auto"/>
      </w:divBdr>
    </w:div>
    <w:div w:id="795559914">
      <w:bodyDiv w:val="1"/>
      <w:marLeft w:val="0"/>
      <w:marRight w:val="0"/>
      <w:marTop w:val="0"/>
      <w:marBottom w:val="0"/>
      <w:divBdr>
        <w:top w:val="none" w:sz="0" w:space="0" w:color="auto"/>
        <w:left w:val="none" w:sz="0" w:space="0" w:color="auto"/>
        <w:bottom w:val="none" w:sz="0" w:space="0" w:color="auto"/>
        <w:right w:val="none" w:sz="0" w:space="0" w:color="auto"/>
      </w:divBdr>
    </w:div>
    <w:div w:id="795561310">
      <w:bodyDiv w:val="1"/>
      <w:marLeft w:val="0"/>
      <w:marRight w:val="0"/>
      <w:marTop w:val="0"/>
      <w:marBottom w:val="0"/>
      <w:divBdr>
        <w:top w:val="none" w:sz="0" w:space="0" w:color="auto"/>
        <w:left w:val="none" w:sz="0" w:space="0" w:color="auto"/>
        <w:bottom w:val="none" w:sz="0" w:space="0" w:color="auto"/>
        <w:right w:val="none" w:sz="0" w:space="0" w:color="auto"/>
      </w:divBdr>
    </w:div>
    <w:div w:id="797383189">
      <w:bodyDiv w:val="1"/>
      <w:marLeft w:val="0"/>
      <w:marRight w:val="0"/>
      <w:marTop w:val="0"/>
      <w:marBottom w:val="0"/>
      <w:divBdr>
        <w:top w:val="none" w:sz="0" w:space="0" w:color="auto"/>
        <w:left w:val="none" w:sz="0" w:space="0" w:color="auto"/>
        <w:bottom w:val="none" w:sz="0" w:space="0" w:color="auto"/>
        <w:right w:val="none" w:sz="0" w:space="0" w:color="auto"/>
      </w:divBdr>
    </w:div>
    <w:div w:id="797573603">
      <w:bodyDiv w:val="1"/>
      <w:marLeft w:val="0"/>
      <w:marRight w:val="0"/>
      <w:marTop w:val="0"/>
      <w:marBottom w:val="0"/>
      <w:divBdr>
        <w:top w:val="none" w:sz="0" w:space="0" w:color="auto"/>
        <w:left w:val="none" w:sz="0" w:space="0" w:color="auto"/>
        <w:bottom w:val="none" w:sz="0" w:space="0" w:color="auto"/>
        <w:right w:val="none" w:sz="0" w:space="0" w:color="auto"/>
      </w:divBdr>
    </w:div>
    <w:div w:id="797915229">
      <w:bodyDiv w:val="1"/>
      <w:marLeft w:val="0"/>
      <w:marRight w:val="0"/>
      <w:marTop w:val="0"/>
      <w:marBottom w:val="0"/>
      <w:divBdr>
        <w:top w:val="none" w:sz="0" w:space="0" w:color="auto"/>
        <w:left w:val="none" w:sz="0" w:space="0" w:color="auto"/>
        <w:bottom w:val="none" w:sz="0" w:space="0" w:color="auto"/>
        <w:right w:val="none" w:sz="0" w:space="0" w:color="auto"/>
      </w:divBdr>
    </w:div>
    <w:div w:id="797987150">
      <w:bodyDiv w:val="1"/>
      <w:marLeft w:val="0"/>
      <w:marRight w:val="0"/>
      <w:marTop w:val="0"/>
      <w:marBottom w:val="0"/>
      <w:divBdr>
        <w:top w:val="none" w:sz="0" w:space="0" w:color="auto"/>
        <w:left w:val="none" w:sz="0" w:space="0" w:color="auto"/>
        <w:bottom w:val="none" w:sz="0" w:space="0" w:color="auto"/>
        <w:right w:val="none" w:sz="0" w:space="0" w:color="auto"/>
      </w:divBdr>
    </w:div>
    <w:div w:id="798303893">
      <w:bodyDiv w:val="1"/>
      <w:marLeft w:val="0"/>
      <w:marRight w:val="0"/>
      <w:marTop w:val="0"/>
      <w:marBottom w:val="0"/>
      <w:divBdr>
        <w:top w:val="none" w:sz="0" w:space="0" w:color="auto"/>
        <w:left w:val="none" w:sz="0" w:space="0" w:color="auto"/>
        <w:bottom w:val="none" w:sz="0" w:space="0" w:color="auto"/>
        <w:right w:val="none" w:sz="0" w:space="0" w:color="auto"/>
      </w:divBdr>
    </w:div>
    <w:div w:id="798306307">
      <w:bodyDiv w:val="1"/>
      <w:marLeft w:val="0"/>
      <w:marRight w:val="0"/>
      <w:marTop w:val="0"/>
      <w:marBottom w:val="0"/>
      <w:divBdr>
        <w:top w:val="none" w:sz="0" w:space="0" w:color="auto"/>
        <w:left w:val="none" w:sz="0" w:space="0" w:color="auto"/>
        <w:bottom w:val="none" w:sz="0" w:space="0" w:color="auto"/>
        <w:right w:val="none" w:sz="0" w:space="0" w:color="auto"/>
      </w:divBdr>
    </w:div>
    <w:div w:id="799036010">
      <w:bodyDiv w:val="1"/>
      <w:marLeft w:val="0"/>
      <w:marRight w:val="0"/>
      <w:marTop w:val="0"/>
      <w:marBottom w:val="0"/>
      <w:divBdr>
        <w:top w:val="none" w:sz="0" w:space="0" w:color="auto"/>
        <w:left w:val="none" w:sz="0" w:space="0" w:color="auto"/>
        <w:bottom w:val="none" w:sz="0" w:space="0" w:color="auto"/>
        <w:right w:val="none" w:sz="0" w:space="0" w:color="auto"/>
      </w:divBdr>
    </w:div>
    <w:div w:id="799348264">
      <w:bodyDiv w:val="1"/>
      <w:marLeft w:val="0"/>
      <w:marRight w:val="0"/>
      <w:marTop w:val="0"/>
      <w:marBottom w:val="0"/>
      <w:divBdr>
        <w:top w:val="none" w:sz="0" w:space="0" w:color="auto"/>
        <w:left w:val="none" w:sz="0" w:space="0" w:color="auto"/>
        <w:bottom w:val="none" w:sz="0" w:space="0" w:color="auto"/>
        <w:right w:val="none" w:sz="0" w:space="0" w:color="auto"/>
      </w:divBdr>
    </w:div>
    <w:div w:id="799693418">
      <w:bodyDiv w:val="1"/>
      <w:marLeft w:val="0"/>
      <w:marRight w:val="0"/>
      <w:marTop w:val="0"/>
      <w:marBottom w:val="0"/>
      <w:divBdr>
        <w:top w:val="none" w:sz="0" w:space="0" w:color="auto"/>
        <w:left w:val="none" w:sz="0" w:space="0" w:color="auto"/>
        <w:bottom w:val="none" w:sz="0" w:space="0" w:color="auto"/>
        <w:right w:val="none" w:sz="0" w:space="0" w:color="auto"/>
      </w:divBdr>
    </w:div>
    <w:div w:id="802045995">
      <w:bodyDiv w:val="1"/>
      <w:marLeft w:val="0"/>
      <w:marRight w:val="0"/>
      <w:marTop w:val="0"/>
      <w:marBottom w:val="0"/>
      <w:divBdr>
        <w:top w:val="none" w:sz="0" w:space="0" w:color="auto"/>
        <w:left w:val="none" w:sz="0" w:space="0" w:color="auto"/>
        <w:bottom w:val="none" w:sz="0" w:space="0" w:color="auto"/>
        <w:right w:val="none" w:sz="0" w:space="0" w:color="auto"/>
      </w:divBdr>
    </w:div>
    <w:div w:id="802381359">
      <w:bodyDiv w:val="1"/>
      <w:marLeft w:val="0"/>
      <w:marRight w:val="0"/>
      <w:marTop w:val="0"/>
      <w:marBottom w:val="0"/>
      <w:divBdr>
        <w:top w:val="none" w:sz="0" w:space="0" w:color="auto"/>
        <w:left w:val="none" w:sz="0" w:space="0" w:color="auto"/>
        <w:bottom w:val="none" w:sz="0" w:space="0" w:color="auto"/>
        <w:right w:val="none" w:sz="0" w:space="0" w:color="auto"/>
      </w:divBdr>
    </w:div>
    <w:div w:id="802384728">
      <w:bodyDiv w:val="1"/>
      <w:marLeft w:val="0"/>
      <w:marRight w:val="0"/>
      <w:marTop w:val="0"/>
      <w:marBottom w:val="0"/>
      <w:divBdr>
        <w:top w:val="none" w:sz="0" w:space="0" w:color="auto"/>
        <w:left w:val="none" w:sz="0" w:space="0" w:color="auto"/>
        <w:bottom w:val="none" w:sz="0" w:space="0" w:color="auto"/>
        <w:right w:val="none" w:sz="0" w:space="0" w:color="auto"/>
      </w:divBdr>
    </w:div>
    <w:div w:id="803809949">
      <w:bodyDiv w:val="1"/>
      <w:marLeft w:val="0"/>
      <w:marRight w:val="0"/>
      <w:marTop w:val="0"/>
      <w:marBottom w:val="0"/>
      <w:divBdr>
        <w:top w:val="none" w:sz="0" w:space="0" w:color="auto"/>
        <w:left w:val="none" w:sz="0" w:space="0" w:color="auto"/>
        <w:bottom w:val="none" w:sz="0" w:space="0" w:color="auto"/>
        <w:right w:val="none" w:sz="0" w:space="0" w:color="auto"/>
      </w:divBdr>
    </w:div>
    <w:div w:id="803810815">
      <w:bodyDiv w:val="1"/>
      <w:marLeft w:val="0"/>
      <w:marRight w:val="0"/>
      <w:marTop w:val="0"/>
      <w:marBottom w:val="0"/>
      <w:divBdr>
        <w:top w:val="none" w:sz="0" w:space="0" w:color="auto"/>
        <w:left w:val="none" w:sz="0" w:space="0" w:color="auto"/>
        <w:bottom w:val="none" w:sz="0" w:space="0" w:color="auto"/>
        <w:right w:val="none" w:sz="0" w:space="0" w:color="auto"/>
      </w:divBdr>
    </w:div>
    <w:div w:id="804128333">
      <w:bodyDiv w:val="1"/>
      <w:marLeft w:val="0"/>
      <w:marRight w:val="0"/>
      <w:marTop w:val="0"/>
      <w:marBottom w:val="0"/>
      <w:divBdr>
        <w:top w:val="none" w:sz="0" w:space="0" w:color="auto"/>
        <w:left w:val="none" w:sz="0" w:space="0" w:color="auto"/>
        <w:bottom w:val="none" w:sz="0" w:space="0" w:color="auto"/>
        <w:right w:val="none" w:sz="0" w:space="0" w:color="auto"/>
      </w:divBdr>
    </w:div>
    <w:div w:id="804349606">
      <w:bodyDiv w:val="1"/>
      <w:marLeft w:val="0"/>
      <w:marRight w:val="0"/>
      <w:marTop w:val="0"/>
      <w:marBottom w:val="0"/>
      <w:divBdr>
        <w:top w:val="none" w:sz="0" w:space="0" w:color="auto"/>
        <w:left w:val="none" w:sz="0" w:space="0" w:color="auto"/>
        <w:bottom w:val="none" w:sz="0" w:space="0" w:color="auto"/>
        <w:right w:val="none" w:sz="0" w:space="0" w:color="auto"/>
      </w:divBdr>
    </w:div>
    <w:div w:id="805002907">
      <w:bodyDiv w:val="1"/>
      <w:marLeft w:val="0"/>
      <w:marRight w:val="0"/>
      <w:marTop w:val="0"/>
      <w:marBottom w:val="0"/>
      <w:divBdr>
        <w:top w:val="none" w:sz="0" w:space="0" w:color="auto"/>
        <w:left w:val="none" w:sz="0" w:space="0" w:color="auto"/>
        <w:bottom w:val="none" w:sz="0" w:space="0" w:color="auto"/>
        <w:right w:val="none" w:sz="0" w:space="0" w:color="auto"/>
      </w:divBdr>
    </w:div>
    <w:div w:id="805120900">
      <w:bodyDiv w:val="1"/>
      <w:marLeft w:val="0"/>
      <w:marRight w:val="0"/>
      <w:marTop w:val="0"/>
      <w:marBottom w:val="0"/>
      <w:divBdr>
        <w:top w:val="none" w:sz="0" w:space="0" w:color="auto"/>
        <w:left w:val="none" w:sz="0" w:space="0" w:color="auto"/>
        <w:bottom w:val="none" w:sz="0" w:space="0" w:color="auto"/>
        <w:right w:val="none" w:sz="0" w:space="0" w:color="auto"/>
      </w:divBdr>
    </w:div>
    <w:div w:id="806162767">
      <w:bodyDiv w:val="1"/>
      <w:marLeft w:val="0"/>
      <w:marRight w:val="0"/>
      <w:marTop w:val="0"/>
      <w:marBottom w:val="0"/>
      <w:divBdr>
        <w:top w:val="none" w:sz="0" w:space="0" w:color="auto"/>
        <w:left w:val="none" w:sz="0" w:space="0" w:color="auto"/>
        <w:bottom w:val="none" w:sz="0" w:space="0" w:color="auto"/>
        <w:right w:val="none" w:sz="0" w:space="0" w:color="auto"/>
      </w:divBdr>
    </w:div>
    <w:div w:id="806624144">
      <w:bodyDiv w:val="1"/>
      <w:marLeft w:val="0"/>
      <w:marRight w:val="0"/>
      <w:marTop w:val="0"/>
      <w:marBottom w:val="0"/>
      <w:divBdr>
        <w:top w:val="none" w:sz="0" w:space="0" w:color="auto"/>
        <w:left w:val="none" w:sz="0" w:space="0" w:color="auto"/>
        <w:bottom w:val="none" w:sz="0" w:space="0" w:color="auto"/>
        <w:right w:val="none" w:sz="0" w:space="0" w:color="auto"/>
      </w:divBdr>
    </w:div>
    <w:div w:id="808019109">
      <w:bodyDiv w:val="1"/>
      <w:marLeft w:val="0"/>
      <w:marRight w:val="0"/>
      <w:marTop w:val="0"/>
      <w:marBottom w:val="0"/>
      <w:divBdr>
        <w:top w:val="none" w:sz="0" w:space="0" w:color="auto"/>
        <w:left w:val="none" w:sz="0" w:space="0" w:color="auto"/>
        <w:bottom w:val="none" w:sz="0" w:space="0" w:color="auto"/>
        <w:right w:val="none" w:sz="0" w:space="0" w:color="auto"/>
      </w:divBdr>
    </w:div>
    <w:div w:id="808133048">
      <w:bodyDiv w:val="1"/>
      <w:marLeft w:val="0"/>
      <w:marRight w:val="0"/>
      <w:marTop w:val="0"/>
      <w:marBottom w:val="0"/>
      <w:divBdr>
        <w:top w:val="none" w:sz="0" w:space="0" w:color="auto"/>
        <w:left w:val="none" w:sz="0" w:space="0" w:color="auto"/>
        <w:bottom w:val="none" w:sz="0" w:space="0" w:color="auto"/>
        <w:right w:val="none" w:sz="0" w:space="0" w:color="auto"/>
      </w:divBdr>
    </w:div>
    <w:div w:id="808480525">
      <w:bodyDiv w:val="1"/>
      <w:marLeft w:val="0"/>
      <w:marRight w:val="0"/>
      <w:marTop w:val="0"/>
      <w:marBottom w:val="0"/>
      <w:divBdr>
        <w:top w:val="none" w:sz="0" w:space="0" w:color="auto"/>
        <w:left w:val="none" w:sz="0" w:space="0" w:color="auto"/>
        <w:bottom w:val="none" w:sz="0" w:space="0" w:color="auto"/>
        <w:right w:val="none" w:sz="0" w:space="0" w:color="auto"/>
      </w:divBdr>
    </w:div>
    <w:div w:id="808791744">
      <w:bodyDiv w:val="1"/>
      <w:marLeft w:val="0"/>
      <w:marRight w:val="0"/>
      <w:marTop w:val="0"/>
      <w:marBottom w:val="0"/>
      <w:divBdr>
        <w:top w:val="none" w:sz="0" w:space="0" w:color="auto"/>
        <w:left w:val="none" w:sz="0" w:space="0" w:color="auto"/>
        <w:bottom w:val="none" w:sz="0" w:space="0" w:color="auto"/>
        <w:right w:val="none" w:sz="0" w:space="0" w:color="auto"/>
      </w:divBdr>
    </w:div>
    <w:div w:id="810437554">
      <w:bodyDiv w:val="1"/>
      <w:marLeft w:val="0"/>
      <w:marRight w:val="0"/>
      <w:marTop w:val="0"/>
      <w:marBottom w:val="0"/>
      <w:divBdr>
        <w:top w:val="none" w:sz="0" w:space="0" w:color="auto"/>
        <w:left w:val="none" w:sz="0" w:space="0" w:color="auto"/>
        <w:bottom w:val="none" w:sz="0" w:space="0" w:color="auto"/>
        <w:right w:val="none" w:sz="0" w:space="0" w:color="auto"/>
      </w:divBdr>
    </w:div>
    <w:div w:id="810439150">
      <w:bodyDiv w:val="1"/>
      <w:marLeft w:val="0"/>
      <w:marRight w:val="0"/>
      <w:marTop w:val="0"/>
      <w:marBottom w:val="0"/>
      <w:divBdr>
        <w:top w:val="none" w:sz="0" w:space="0" w:color="auto"/>
        <w:left w:val="none" w:sz="0" w:space="0" w:color="auto"/>
        <w:bottom w:val="none" w:sz="0" w:space="0" w:color="auto"/>
        <w:right w:val="none" w:sz="0" w:space="0" w:color="auto"/>
      </w:divBdr>
    </w:div>
    <w:div w:id="810902138">
      <w:bodyDiv w:val="1"/>
      <w:marLeft w:val="0"/>
      <w:marRight w:val="0"/>
      <w:marTop w:val="0"/>
      <w:marBottom w:val="0"/>
      <w:divBdr>
        <w:top w:val="none" w:sz="0" w:space="0" w:color="auto"/>
        <w:left w:val="none" w:sz="0" w:space="0" w:color="auto"/>
        <w:bottom w:val="none" w:sz="0" w:space="0" w:color="auto"/>
        <w:right w:val="none" w:sz="0" w:space="0" w:color="auto"/>
      </w:divBdr>
    </w:div>
    <w:div w:id="811139831">
      <w:bodyDiv w:val="1"/>
      <w:marLeft w:val="0"/>
      <w:marRight w:val="0"/>
      <w:marTop w:val="0"/>
      <w:marBottom w:val="0"/>
      <w:divBdr>
        <w:top w:val="none" w:sz="0" w:space="0" w:color="auto"/>
        <w:left w:val="none" w:sz="0" w:space="0" w:color="auto"/>
        <w:bottom w:val="none" w:sz="0" w:space="0" w:color="auto"/>
        <w:right w:val="none" w:sz="0" w:space="0" w:color="auto"/>
      </w:divBdr>
    </w:div>
    <w:div w:id="812530244">
      <w:bodyDiv w:val="1"/>
      <w:marLeft w:val="0"/>
      <w:marRight w:val="0"/>
      <w:marTop w:val="0"/>
      <w:marBottom w:val="0"/>
      <w:divBdr>
        <w:top w:val="none" w:sz="0" w:space="0" w:color="auto"/>
        <w:left w:val="none" w:sz="0" w:space="0" w:color="auto"/>
        <w:bottom w:val="none" w:sz="0" w:space="0" w:color="auto"/>
        <w:right w:val="none" w:sz="0" w:space="0" w:color="auto"/>
      </w:divBdr>
    </w:div>
    <w:div w:id="812717519">
      <w:bodyDiv w:val="1"/>
      <w:marLeft w:val="0"/>
      <w:marRight w:val="0"/>
      <w:marTop w:val="0"/>
      <w:marBottom w:val="0"/>
      <w:divBdr>
        <w:top w:val="none" w:sz="0" w:space="0" w:color="auto"/>
        <w:left w:val="none" w:sz="0" w:space="0" w:color="auto"/>
        <w:bottom w:val="none" w:sz="0" w:space="0" w:color="auto"/>
        <w:right w:val="none" w:sz="0" w:space="0" w:color="auto"/>
      </w:divBdr>
    </w:div>
    <w:div w:id="813107037">
      <w:bodyDiv w:val="1"/>
      <w:marLeft w:val="0"/>
      <w:marRight w:val="0"/>
      <w:marTop w:val="0"/>
      <w:marBottom w:val="0"/>
      <w:divBdr>
        <w:top w:val="none" w:sz="0" w:space="0" w:color="auto"/>
        <w:left w:val="none" w:sz="0" w:space="0" w:color="auto"/>
        <w:bottom w:val="none" w:sz="0" w:space="0" w:color="auto"/>
        <w:right w:val="none" w:sz="0" w:space="0" w:color="auto"/>
      </w:divBdr>
    </w:div>
    <w:div w:id="813258977">
      <w:bodyDiv w:val="1"/>
      <w:marLeft w:val="0"/>
      <w:marRight w:val="0"/>
      <w:marTop w:val="0"/>
      <w:marBottom w:val="0"/>
      <w:divBdr>
        <w:top w:val="none" w:sz="0" w:space="0" w:color="auto"/>
        <w:left w:val="none" w:sz="0" w:space="0" w:color="auto"/>
        <w:bottom w:val="none" w:sz="0" w:space="0" w:color="auto"/>
        <w:right w:val="none" w:sz="0" w:space="0" w:color="auto"/>
      </w:divBdr>
    </w:div>
    <w:div w:id="813260293">
      <w:bodyDiv w:val="1"/>
      <w:marLeft w:val="0"/>
      <w:marRight w:val="0"/>
      <w:marTop w:val="0"/>
      <w:marBottom w:val="0"/>
      <w:divBdr>
        <w:top w:val="none" w:sz="0" w:space="0" w:color="auto"/>
        <w:left w:val="none" w:sz="0" w:space="0" w:color="auto"/>
        <w:bottom w:val="none" w:sz="0" w:space="0" w:color="auto"/>
        <w:right w:val="none" w:sz="0" w:space="0" w:color="auto"/>
      </w:divBdr>
    </w:div>
    <w:div w:id="813303295">
      <w:bodyDiv w:val="1"/>
      <w:marLeft w:val="0"/>
      <w:marRight w:val="0"/>
      <w:marTop w:val="0"/>
      <w:marBottom w:val="0"/>
      <w:divBdr>
        <w:top w:val="none" w:sz="0" w:space="0" w:color="auto"/>
        <w:left w:val="none" w:sz="0" w:space="0" w:color="auto"/>
        <w:bottom w:val="none" w:sz="0" w:space="0" w:color="auto"/>
        <w:right w:val="none" w:sz="0" w:space="0" w:color="auto"/>
      </w:divBdr>
    </w:div>
    <w:div w:id="813987615">
      <w:bodyDiv w:val="1"/>
      <w:marLeft w:val="0"/>
      <w:marRight w:val="0"/>
      <w:marTop w:val="0"/>
      <w:marBottom w:val="0"/>
      <w:divBdr>
        <w:top w:val="none" w:sz="0" w:space="0" w:color="auto"/>
        <w:left w:val="none" w:sz="0" w:space="0" w:color="auto"/>
        <w:bottom w:val="none" w:sz="0" w:space="0" w:color="auto"/>
        <w:right w:val="none" w:sz="0" w:space="0" w:color="auto"/>
      </w:divBdr>
    </w:div>
    <w:div w:id="814178330">
      <w:bodyDiv w:val="1"/>
      <w:marLeft w:val="0"/>
      <w:marRight w:val="0"/>
      <w:marTop w:val="0"/>
      <w:marBottom w:val="0"/>
      <w:divBdr>
        <w:top w:val="none" w:sz="0" w:space="0" w:color="auto"/>
        <w:left w:val="none" w:sz="0" w:space="0" w:color="auto"/>
        <w:bottom w:val="none" w:sz="0" w:space="0" w:color="auto"/>
        <w:right w:val="none" w:sz="0" w:space="0" w:color="auto"/>
      </w:divBdr>
    </w:div>
    <w:div w:id="814225603">
      <w:bodyDiv w:val="1"/>
      <w:marLeft w:val="0"/>
      <w:marRight w:val="0"/>
      <w:marTop w:val="0"/>
      <w:marBottom w:val="0"/>
      <w:divBdr>
        <w:top w:val="none" w:sz="0" w:space="0" w:color="auto"/>
        <w:left w:val="none" w:sz="0" w:space="0" w:color="auto"/>
        <w:bottom w:val="none" w:sz="0" w:space="0" w:color="auto"/>
        <w:right w:val="none" w:sz="0" w:space="0" w:color="auto"/>
      </w:divBdr>
    </w:div>
    <w:div w:id="814955042">
      <w:bodyDiv w:val="1"/>
      <w:marLeft w:val="0"/>
      <w:marRight w:val="0"/>
      <w:marTop w:val="0"/>
      <w:marBottom w:val="0"/>
      <w:divBdr>
        <w:top w:val="none" w:sz="0" w:space="0" w:color="auto"/>
        <w:left w:val="none" w:sz="0" w:space="0" w:color="auto"/>
        <w:bottom w:val="none" w:sz="0" w:space="0" w:color="auto"/>
        <w:right w:val="none" w:sz="0" w:space="0" w:color="auto"/>
      </w:divBdr>
    </w:div>
    <w:div w:id="815414104">
      <w:bodyDiv w:val="1"/>
      <w:marLeft w:val="0"/>
      <w:marRight w:val="0"/>
      <w:marTop w:val="0"/>
      <w:marBottom w:val="0"/>
      <w:divBdr>
        <w:top w:val="none" w:sz="0" w:space="0" w:color="auto"/>
        <w:left w:val="none" w:sz="0" w:space="0" w:color="auto"/>
        <w:bottom w:val="none" w:sz="0" w:space="0" w:color="auto"/>
        <w:right w:val="none" w:sz="0" w:space="0" w:color="auto"/>
      </w:divBdr>
    </w:div>
    <w:div w:id="816072650">
      <w:bodyDiv w:val="1"/>
      <w:marLeft w:val="0"/>
      <w:marRight w:val="0"/>
      <w:marTop w:val="0"/>
      <w:marBottom w:val="0"/>
      <w:divBdr>
        <w:top w:val="none" w:sz="0" w:space="0" w:color="auto"/>
        <w:left w:val="none" w:sz="0" w:space="0" w:color="auto"/>
        <w:bottom w:val="none" w:sz="0" w:space="0" w:color="auto"/>
        <w:right w:val="none" w:sz="0" w:space="0" w:color="auto"/>
      </w:divBdr>
    </w:div>
    <w:div w:id="817263604">
      <w:bodyDiv w:val="1"/>
      <w:marLeft w:val="0"/>
      <w:marRight w:val="0"/>
      <w:marTop w:val="0"/>
      <w:marBottom w:val="0"/>
      <w:divBdr>
        <w:top w:val="none" w:sz="0" w:space="0" w:color="auto"/>
        <w:left w:val="none" w:sz="0" w:space="0" w:color="auto"/>
        <w:bottom w:val="none" w:sz="0" w:space="0" w:color="auto"/>
        <w:right w:val="none" w:sz="0" w:space="0" w:color="auto"/>
      </w:divBdr>
    </w:div>
    <w:div w:id="817890361">
      <w:bodyDiv w:val="1"/>
      <w:marLeft w:val="0"/>
      <w:marRight w:val="0"/>
      <w:marTop w:val="0"/>
      <w:marBottom w:val="0"/>
      <w:divBdr>
        <w:top w:val="none" w:sz="0" w:space="0" w:color="auto"/>
        <w:left w:val="none" w:sz="0" w:space="0" w:color="auto"/>
        <w:bottom w:val="none" w:sz="0" w:space="0" w:color="auto"/>
        <w:right w:val="none" w:sz="0" w:space="0" w:color="auto"/>
      </w:divBdr>
    </w:div>
    <w:div w:id="819151733">
      <w:bodyDiv w:val="1"/>
      <w:marLeft w:val="0"/>
      <w:marRight w:val="0"/>
      <w:marTop w:val="0"/>
      <w:marBottom w:val="0"/>
      <w:divBdr>
        <w:top w:val="none" w:sz="0" w:space="0" w:color="auto"/>
        <w:left w:val="none" w:sz="0" w:space="0" w:color="auto"/>
        <w:bottom w:val="none" w:sz="0" w:space="0" w:color="auto"/>
        <w:right w:val="none" w:sz="0" w:space="0" w:color="auto"/>
      </w:divBdr>
    </w:div>
    <w:div w:id="819467931">
      <w:bodyDiv w:val="1"/>
      <w:marLeft w:val="0"/>
      <w:marRight w:val="0"/>
      <w:marTop w:val="0"/>
      <w:marBottom w:val="0"/>
      <w:divBdr>
        <w:top w:val="none" w:sz="0" w:space="0" w:color="auto"/>
        <w:left w:val="none" w:sz="0" w:space="0" w:color="auto"/>
        <w:bottom w:val="none" w:sz="0" w:space="0" w:color="auto"/>
        <w:right w:val="none" w:sz="0" w:space="0" w:color="auto"/>
      </w:divBdr>
    </w:div>
    <w:div w:id="820538263">
      <w:bodyDiv w:val="1"/>
      <w:marLeft w:val="0"/>
      <w:marRight w:val="0"/>
      <w:marTop w:val="0"/>
      <w:marBottom w:val="0"/>
      <w:divBdr>
        <w:top w:val="none" w:sz="0" w:space="0" w:color="auto"/>
        <w:left w:val="none" w:sz="0" w:space="0" w:color="auto"/>
        <w:bottom w:val="none" w:sz="0" w:space="0" w:color="auto"/>
        <w:right w:val="none" w:sz="0" w:space="0" w:color="auto"/>
      </w:divBdr>
    </w:div>
    <w:div w:id="821191936">
      <w:bodyDiv w:val="1"/>
      <w:marLeft w:val="0"/>
      <w:marRight w:val="0"/>
      <w:marTop w:val="0"/>
      <w:marBottom w:val="0"/>
      <w:divBdr>
        <w:top w:val="none" w:sz="0" w:space="0" w:color="auto"/>
        <w:left w:val="none" w:sz="0" w:space="0" w:color="auto"/>
        <w:bottom w:val="none" w:sz="0" w:space="0" w:color="auto"/>
        <w:right w:val="none" w:sz="0" w:space="0" w:color="auto"/>
      </w:divBdr>
    </w:div>
    <w:div w:id="821241550">
      <w:bodyDiv w:val="1"/>
      <w:marLeft w:val="0"/>
      <w:marRight w:val="0"/>
      <w:marTop w:val="0"/>
      <w:marBottom w:val="0"/>
      <w:divBdr>
        <w:top w:val="none" w:sz="0" w:space="0" w:color="auto"/>
        <w:left w:val="none" w:sz="0" w:space="0" w:color="auto"/>
        <w:bottom w:val="none" w:sz="0" w:space="0" w:color="auto"/>
        <w:right w:val="none" w:sz="0" w:space="0" w:color="auto"/>
      </w:divBdr>
    </w:div>
    <w:div w:id="821383964">
      <w:bodyDiv w:val="1"/>
      <w:marLeft w:val="0"/>
      <w:marRight w:val="0"/>
      <w:marTop w:val="0"/>
      <w:marBottom w:val="0"/>
      <w:divBdr>
        <w:top w:val="none" w:sz="0" w:space="0" w:color="auto"/>
        <w:left w:val="none" w:sz="0" w:space="0" w:color="auto"/>
        <w:bottom w:val="none" w:sz="0" w:space="0" w:color="auto"/>
        <w:right w:val="none" w:sz="0" w:space="0" w:color="auto"/>
      </w:divBdr>
    </w:div>
    <w:div w:id="821577005">
      <w:bodyDiv w:val="1"/>
      <w:marLeft w:val="0"/>
      <w:marRight w:val="0"/>
      <w:marTop w:val="0"/>
      <w:marBottom w:val="0"/>
      <w:divBdr>
        <w:top w:val="none" w:sz="0" w:space="0" w:color="auto"/>
        <w:left w:val="none" w:sz="0" w:space="0" w:color="auto"/>
        <w:bottom w:val="none" w:sz="0" w:space="0" w:color="auto"/>
        <w:right w:val="none" w:sz="0" w:space="0" w:color="auto"/>
      </w:divBdr>
    </w:div>
    <w:div w:id="822938544">
      <w:bodyDiv w:val="1"/>
      <w:marLeft w:val="0"/>
      <w:marRight w:val="0"/>
      <w:marTop w:val="0"/>
      <w:marBottom w:val="0"/>
      <w:divBdr>
        <w:top w:val="none" w:sz="0" w:space="0" w:color="auto"/>
        <w:left w:val="none" w:sz="0" w:space="0" w:color="auto"/>
        <w:bottom w:val="none" w:sz="0" w:space="0" w:color="auto"/>
        <w:right w:val="none" w:sz="0" w:space="0" w:color="auto"/>
      </w:divBdr>
    </w:div>
    <w:div w:id="823667787">
      <w:bodyDiv w:val="1"/>
      <w:marLeft w:val="0"/>
      <w:marRight w:val="0"/>
      <w:marTop w:val="0"/>
      <w:marBottom w:val="0"/>
      <w:divBdr>
        <w:top w:val="none" w:sz="0" w:space="0" w:color="auto"/>
        <w:left w:val="none" w:sz="0" w:space="0" w:color="auto"/>
        <w:bottom w:val="none" w:sz="0" w:space="0" w:color="auto"/>
        <w:right w:val="none" w:sz="0" w:space="0" w:color="auto"/>
      </w:divBdr>
    </w:div>
    <w:div w:id="825784598">
      <w:bodyDiv w:val="1"/>
      <w:marLeft w:val="0"/>
      <w:marRight w:val="0"/>
      <w:marTop w:val="0"/>
      <w:marBottom w:val="0"/>
      <w:divBdr>
        <w:top w:val="none" w:sz="0" w:space="0" w:color="auto"/>
        <w:left w:val="none" w:sz="0" w:space="0" w:color="auto"/>
        <w:bottom w:val="none" w:sz="0" w:space="0" w:color="auto"/>
        <w:right w:val="none" w:sz="0" w:space="0" w:color="auto"/>
      </w:divBdr>
    </w:div>
    <w:div w:id="827672212">
      <w:bodyDiv w:val="1"/>
      <w:marLeft w:val="0"/>
      <w:marRight w:val="0"/>
      <w:marTop w:val="0"/>
      <w:marBottom w:val="0"/>
      <w:divBdr>
        <w:top w:val="none" w:sz="0" w:space="0" w:color="auto"/>
        <w:left w:val="none" w:sz="0" w:space="0" w:color="auto"/>
        <w:bottom w:val="none" w:sz="0" w:space="0" w:color="auto"/>
        <w:right w:val="none" w:sz="0" w:space="0" w:color="auto"/>
      </w:divBdr>
    </w:div>
    <w:div w:id="827752317">
      <w:bodyDiv w:val="1"/>
      <w:marLeft w:val="0"/>
      <w:marRight w:val="0"/>
      <w:marTop w:val="0"/>
      <w:marBottom w:val="0"/>
      <w:divBdr>
        <w:top w:val="none" w:sz="0" w:space="0" w:color="auto"/>
        <w:left w:val="none" w:sz="0" w:space="0" w:color="auto"/>
        <w:bottom w:val="none" w:sz="0" w:space="0" w:color="auto"/>
        <w:right w:val="none" w:sz="0" w:space="0" w:color="auto"/>
      </w:divBdr>
    </w:div>
    <w:div w:id="827790893">
      <w:bodyDiv w:val="1"/>
      <w:marLeft w:val="0"/>
      <w:marRight w:val="0"/>
      <w:marTop w:val="0"/>
      <w:marBottom w:val="0"/>
      <w:divBdr>
        <w:top w:val="none" w:sz="0" w:space="0" w:color="auto"/>
        <w:left w:val="none" w:sz="0" w:space="0" w:color="auto"/>
        <w:bottom w:val="none" w:sz="0" w:space="0" w:color="auto"/>
        <w:right w:val="none" w:sz="0" w:space="0" w:color="auto"/>
      </w:divBdr>
    </w:div>
    <w:div w:id="828054626">
      <w:bodyDiv w:val="1"/>
      <w:marLeft w:val="0"/>
      <w:marRight w:val="0"/>
      <w:marTop w:val="0"/>
      <w:marBottom w:val="0"/>
      <w:divBdr>
        <w:top w:val="none" w:sz="0" w:space="0" w:color="auto"/>
        <w:left w:val="none" w:sz="0" w:space="0" w:color="auto"/>
        <w:bottom w:val="none" w:sz="0" w:space="0" w:color="auto"/>
        <w:right w:val="none" w:sz="0" w:space="0" w:color="auto"/>
      </w:divBdr>
    </w:div>
    <w:div w:id="828329659">
      <w:bodyDiv w:val="1"/>
      <w:marLeft w:val="0"/>
      <w:marRight w:val="0"/>
      <w:marTop w:val="0"/>
      <w:marBottom w:val="0"/>
      <w:divBdr>
        <w:top w:val="none" w:sz="0" w:space="0" w:color="auto"/>
        <w:left w:val="none" w:sz="0" w:space="0" w:color="auto"/>
        <w:bottom w:val="none" w:sz="0" w:space="0" w:color="auto"/>
        <w:right w:val="none" w:sz="0" w:space="0" w:color="auto"/>
      </w:divBdr>
    </w:div>
    <w:div w:id="828786129">
      <w:bodyDiv w:val="1"/>
      <w:marLeft w:val="0"/>
      <w:marRight w:val="0"/>
      <w:marTop w:val="0"/>
      <w:marBottom w:val="0"/>
      <w:divBdr>
        <w:top w:val="none" w:sz="0" w:space="0" w:color="auto"/>
        <w:left w:val="none" w:sz="0" w:space="0" w:color="auto"/>
        <w:bottom w:val="none" w:sz="0" w:space="0" w:color="auto"/>
        <w:right w:val="none" w:sz="0" w:space="0" w:color="auto"/>
      </w:divBdr>
    </w:div>
    <w:div w:id="830020248">
      <w:bodyDiv w:val="1"/>
      <w:marLeft w:val="0"/>
      <w:marRight w:val="0"/>
      <w:marTop w:val="0"/>
      <w:marBottom w:val="0"/>
      <w:divBdr>
        <w:top w:val="none" w:sz="0" w:space="0" w:color="auto"/>
        <w:left w:val="none" w:sz="0" w:space="0" w:color="auto"/>
        <w:bottom w:val="none" w:sz="0" w:space="0" w:color="auto"/>
        <w:right w:val="none" w:sz="0" w:space="0" w:color="auto"/>
      </w:divBdr>
    </w:div>
    <w:div w:id="830679962">
      <w:bodyDiv w:val="1"/>
      <w:marLeft w:val="0"/>
      <w:marRight w:val="0"/>
      <w:marTop w:val="0"/>
      <w:marBottom w:val="0"/>
      <w:divBdr>
        <w:top w:val="none" w:sz="0" w:space="0" w:color="auto"/>
        <w:left w:val="none" w:sz="0" w:space="0" w:color="auto"/>
        <w:bottom w:val="none" w:sz="0" w:space="0" w:color="auto"/>
        <w:right w:val="none" w:sz="0" w:space="0" w:color="auto"/>
      </w:divBdr>
    </w:div>
    <w:div w:id="830758530">
      <w:bodyDiv w:val="1"/>
      <w:marLeft w:val="0"/>
      <w:marRight w:val="0"/>
      <w:marTop w:val="0"/>
      <w:marBottom w:val="0"/>
      <w:divBdr>
        <w:top w:val="none" w:sz="0" w:space="0" w:color="auto"/>
        <w:left w:val="none" w:sz="0" w:space="0" w:color="auto"/>
        <w:bottom w:val="none" w:sz="0" w:space="0" w:color="auto"/>
        <w:right w:val="none" w:sz="0" w:space="0" w:color="auto"/>
      </w:divBdr>
    </w:div>
    <w:div w:id="830949464">
      <w:bodyDiv w:val="1"/>
      <w:marLeft w:val="0"/>
      <w:marRight w:val="0"/>
      <w:marTop w:val="0"/>
      <w:marBottom w:val="0"/>
      <w:divBdr>
        <w:top w:val="none" w:sz="0" w:space="0" w:color="auto"/>
        <w:left w:val="none" w:sz="0" w:space="0" w:color="auto"/>
        <w:bottom w:val="none" w:sz="0" w:space="0" w:color="auto"/>
        <w:right w:val="none" w:sz="0" w:space="0" w:color="auto"/>
      </w:divBdr>
    </w:div>
    <w:div w:id="831873574">
      <w:bodyDiv w:val="1"/>
      <w:marLeft w:val="0"/>
      <w:marRight w:val="0"/>
      <w:marTop w:val="0"/>
      <w:marBottom w:val="0"/>
      <w:divBdr>
        <w:top w:val="none" w:sz="0" w:space="0" w:color="auto"/>
        <w:left w:val="none" w:sz="0" w:space="0" w:color="auto"/>
        <w:bottom w:val="none" w:sz="0" w:space="0" w:color="auto"/>
        <w:right w:val="none" w:sz="0" w:space="0" w:color="auto"/>
      </w:divBdr>
    </w:div>
    <w:div w:id="831875270">
      <w:bodyDiv w:val="1"/>
      <w:marLeft w:val="0"/>
      <w:marRight w:val="0"/>
      <w:marTop w:val="0"/>
      <w:marBottom w:val="0"/>
      <w:divBdr>
        <w:top w:val="none" w:sz="0" w:space="0" w:color="auto"/>
        <w:left w:val="none" w:sz="0" w:space="0" w:color="auto"/>
        <w:bottom w:val="none" w:sz="0" w:space="0" w:color="auto"/>
        <w:right w:val="none" w:sz="0" w:space="0" w:color="auto"/>
      </w:divBdr>
    </w:div>
    <w:div w:id="831943807">
      <w:bodyDiv w:val="1"/>
      <w:marLeft w:val="0"/>
      <w:marRight w:val="0"/>
      <w:marTop w:val="0"/>
      <w:marBottom w:val="0"/>
      <w:divBdr>
        <w:top w:val="none" w:sz="0" w:space="0" w:color="auto"/>
        <w:left w:val="none" w:sz="0" w:space="0" w:color="auto"/>
        <w:bottom w:val="none" w:sz="0" w:space="0" w:color="auto"/>
        <w:right w:val="none" w:sz="0" w:space="0" w:color="auto"/>
      </w:divBdr>
    </w:div>
    <w:div w:id="832263801">
      <w:bodyDiv w:val="1"/>
      <w:marLeft w:val="0"/>
      <w:marRight w:val="0"/>
      <w:marTop w:val="0"/>
      <w:marBottom w:val="0"/>
      <w:divBdr>
        <w:top w:val="none" w:sz="0" w:space="0" w:color="auto"/>
        <w:left w:val="none" w:sz="0" w:space="0" w:color="auto"/>
        <w:bottom w:val="none" w:sz="0" w:space="0" w:color="auto"/>
        <w:right w:val="none" w:sz="0" w:space="0" w:color="auto"/>
      </w:divBdr>
    </w:div>
    <w:div w:id="835195451">
      <w:bodyDiv w:val="1"/>
      <w:marLeft w:val="0"/>
      <w:marRight w:val="0"/>
      <w:marTop w:val="0"/>
      <w:marBottom w:val="0"/>
      <w:divBdr>
        <w:top w:val="none" w:sz="0" w:space="0" w:color="auto"/>
        <w:left w:val="none" w:sz="0" w:space="0" w:color="auto"/>
        <w:bottom w:val="none" w:sz="0" w:space="0" w:color="auto"/>
        <w:right w:val="none" w:sz="0" w:space="0" w:color="auto"/>
      </w:divBdr>
    </w:div>
    <w:div w:id="835807134">
      <w:bodyDiv w:val="1"/>
      <w:marLeft w:val="0"/>
      <w:marRight w:val="0"/>
      <w:marTop w:val="0"/>
      <w:marBottom w:val="0"/>
      <w:divBdr>
        <w:top w:val="none" w:sz="0" w:space="0" w:color="auto"/>
        <w:left w:val="none" w:sz="0" w:space="0" w:color="auto"/>
        <w:bottom w:val="none" w:sz="0" w:space="0" w:color="auto"/>
        <w:right w:val="none" w:sz="0" w:space="0" w:color="auto"/>
      </w:divBdr>
    </w:div>
    <w:div w:id="836383203">
      <w:bodyDiv w:val="1"/>
      <w:marLeft w:val="0"/>
      <w:marRight w:val="0"/>
      <w:marTop w:val="0"/>
      <w:marBottom w:val="0"/>
      <w:divBdr>
        <w:top w:val="none" w:sz="0" w:space="0" w:color="auto"/>
        <w:left w:val="none" w:sz="0" w:space="0" w:color="auto"/>
        <w:bottom w:val="none" w:sz="0" w:space="0" w:color="auto"/>
        <w:right w:val="none" w:sz="0" w:space="0" w:color="auto"/>
      </w:divBdr>
    </w:div>
    <w:div w:id="837383548">
      <w:bodyDiv w:val="1"/>
      <w:marLeft w:val="0"/>
      <w:marRight w:val="0"/>
      <w:marTop w:val="0"/>
      <w:marBottom w:val="0"/>
      <w:divBdr>
        <w:top w:val="none" w:sz="0" w:space="0" w:color="auto"/>
        <w:left w:val="none" w:sz="0" w:space="0" w:color="auto"/>
        <w:bottom w:val="none" w:sz="0" w:space="0" w:color="auto"/>
        <w:right w:val="none" w:sz="0" w:space="0" w:color="auto"/>
      </w:divBdr>
    </w:div>
    <w:div w:id="837815339">
      <w:bodyDiv w:val="1"/>
      <w:marLeft w:val="0"/>
      <w:marRight w:val="0"/>
      <w:marTop w:val="0"/>
      <w:marBottom w:val="0"/>
      <w:divBdr>
        <w:top w:val="none" w:sz="0" w:space="0" w:color="auto"/>
        <w:left w:val="none" w:sz="0" w:space="0" w:color="auto"/>
        <w:bottom w:val="none" w:sz="0" w:space="0" w:color="auto"/>
        <w:right w:val="none" w:sz="0" w:space="0" w:color="auto"/>
      </w:divBdr>
    </w:div>
    <w:div w:id="838034857">
      <w:bodyDiv w:val="1"/>
      <w:marLeft w:val="0"/>
      <w:marRight w:val="0"/>
      <w:marTop w:val="0"/>
      <w:marBottom w:val="0"/>
      <w:divBdr>
        <w:top w:val="none" w:sz="0" w:space="0" w:color="auto"/>
        <w:left w:val="none" w:sz="0" w:space="0" w:color="auto"/>
        <w:bottom w:val="none" w:sz="0" w:space="0" w:color="auto"/>
        <w:right w:val="none" w:sz="0" w:space="0" w:color="auto"/>
      </w:divBdr>
    </w:div>
    <w:div w:id="838152847">
      <w:bodyDiv w:val="1"/>
      <w:marLeft w:val="0"/>
      <w:marRight w:val="0"/>
      <w:marTop w:val="0"/>
      <w:marBottom w:val="0"/>
      <w:divBdr>
        <w:top w:val="none" w:sz="0" w:space="0" w:color="auto"/>
        <w:left w:val="none" w:sz="0" w:space="0" w:color="auto"/>
        <w:bottom w:val="none" w:sz="0" w:space="0" w:color="auto"/>
        <w:right w:val="none" w:sz="0" w:space="0" w:color="auto"/>
      </w:divBdr>
    </w:div>
    <w:div w:id="838352753">
      <w:bodyDiv w:val="1"/>
      <w:marLeft w:val="0"/>
      <w:marRight w:val="0"/>
      <w:marTop w:val="0"/>
      <w:marBottom w:val="0"/>
      <w:divBdr>
        <w:top w:val="none" w:sz="0" w:space="0" w:color="auto"/>
        <w:left w:val="none" w:sz="0" w:space="0" w:color="auto"/>
        <w:bottom w:val="none" w:sz="0" w:space="0" w:color="auto"/>
        <w:right w:val="none" w:sz="0" w:space="0" w:color="auto"/>
      </w:divBdr>
    </w:div>
    <w:div w:id="838737703">
      <w:bodyDiv w:val="1"/>
      <w:marLeft w:val="0"/>
      <w:marRight w:val="0"/>
      <w:marTop w:val="0"/>
      <w:marBottom w:val="0"/>
      <w:divBdr>
        <w:top w:val="none" w:sz="0" w:space="0" w:color="auto"/>
        <w:left w:val="none" w:sz="0" w:space="0" w:color="auto"/>
        <w:bottom w:val="none" w:sz="0" w:space="0" w:color="auto"/>
        <w:right w:val="none" w:sz="0" w:space="0" w:color="auto"/>
      </w:divBdr>
    </w:div>
    <w:div w:id="838808759">
      <w:bodyDiv w:val="1"/>
      <w:marLeft w:val="0"/>
      <w:marRight w:val="0"/>
      <w:marTop w:val="0"/>
      <w:marBottom w:val="0"/>
      <w:divBdr>
        <w:top w:val="none" w:sz="0" w:space="0" w:color="auto"/>
        <w:left w:val="none" w:sz="0" w:space="0" w:color="auto"/>
        <w:bottom w:val="none" w:sz="0" w:space="0" w:color="auto"/>
        <w:right w:val="none" w:sz="0" w:space="0" w:color="auto"/>
      </w:divBdr>
    </w:div>
    <w:div w:id="841166440">
      <w:bodyDiv w:val="1"/>
      <w:marLeft w:val="0"/>
      <w:marRight w:val="0"/>
      <w:marTop w:val="0"/>
      <w:marBottom w:val="0"/>
      <w:divBdr>
        <w:top w:val="none" w:sz="0" w:space="0" w:color="auto"/>
        <w:left w:val="none" w:sz="0" w:space="0" w:color="auto"/>
        <w:bottom w:val="none" w:sz="0" w:space="0" w:color="auto"/>
        <w:right w:val="none" w:sz="0" w:space="0" w:color="auto"/>
      </w:divBdr>
    </w:div>
    <w:div w:id="841772130">
      <w:bodyDiv w:val="1"/>
      <w:marLeft w:val="0"/>
      <w:marRight w:val="0"/>
      <w:marTop w:val="0"/>
      <w:marBottom w:val="0"/>
      <w:divBdr>
        <w:top w:val="none" w:sz="0" w:space="0" w:color="auto"/>
        <w:left w:val="none" w:sz="0" w:space="0" w:color="auto"/>
        <w:bottom w:val="none" w:sz="0" w:space="0" w:color="auto"/>
        <w:right w:val="none" w:sz="0" w:space="0" w:color="auto"/>
      </w:divBdr>
    </w:div>
    <w:div w:id="841822191">
      <w:bodyDiv w:val="1"/>
      <w:marLeft w:val="0"/>
      <w:marRight w:val="0"/>
      <w:marTop w:val="0"/>
      <w:marBottom w:val="0"/>
      <w:divBdr>
        <w:top w:val="none" w:sz="0" w:space="0" w:color="auto"/>
        <w:left w:val="none" w:sz="0" w:space="0" w:color="auto"/>
        <w:bottom w:val="none" w:sz="0" w:space="0" w:color="auto"/>
        <w:right w:val="none" w:sz="0" w:space="0" w:color="auto"/>
      </w:divBdr>
    </w:div>
    <w:div w:id="842401367">
      <w:bodyDiv w:val="1"/>
      <w:marLeft w:val="0"/>
      <w:marRight w:val="0"/>
      <w:marTop w:val="0"/>
      <w:marBottom w:val="0"/>
      <w:divBdr>
        <w:top w:val="none" w:sz="0" w:space="0" w:color="auto"/>
        <w:left w:val="none" w:sz="0" w:space="0" w:color="auto"/>
        <w:bottom w:val="none" w:sz="0" w:space="0" w:color="auto"/>
        <w:right w:val="none" w:sz="0" w:space="0" w:color="auto"/>
      </w:divBdr>
    </w:div>
    <w:div w:id="842890762">
      <w:bodyDiv w:val="1"/>
      <w:marLeft w:val="0"/>
      <w:marRight w:val="0"/>
      <w:marTop w:val="0"/>
      <w:marBottom w:val="0"/>
      <w:divBdr>
        <w:top w:val="none" w:sz="0" w:space="0" w:color="auto"/>
        <w:left w:val="none" w:sz="0" w:space="0" w:color="auto"/>
        <w:bottom w:val="none" w:sz="0" w:space="0" w:color="auto"/>
        <w:right w:val="none" w:sz="0" w:space="0" w:color="auto"/>
      </w:divBdr>
    </w:div>
    <w:div w:id="843394896">
      <w:bodyDiv w:val="1"/>
      <w:marLeft w:val="0"/>
      <w:marRight w:val="0"/>
      <w:marTop w:val="0"/>
      <w:marBottom w:val="0"/>
      <w:divBdr>
        <w:top w:val="none" w:sz="0" w:space="0" w:color="auto"/>
        <w:left w:val="none" w:sz="0" w:space="0" w:color="auto"/>
        <w:bottom w:val="none" w:sz="0" w:space="0" w:color="auto"/>
        <w:right w:val="none" w:sz="0" w:space="0" w:color="auto"/>
      </w:divBdr>
    </w:div>
    <w:div w:id="843403189">
      <w:bodyDiv w:val="1"/>
      <w:marLeft w:val="0"/>
      <w:marRight w:val="0"/>
      <w:marTop w:val="0"/>
      <w:marBottom w:val="0"/>
      <w:divBdr>
        <w:top w:val="none" w:sz="0" w:space="0" w:color="auto"/>
        <w:left w:val="none" w:sz="0" w:space="0" w:color="auto"/>
        <w:bottom w:val="none" w:sz="0" w:space="0" w:color="auto"/>
        <w:right w:val="none" w:sz="0" w:space="0" w:color="auto"/>
      </w:divBdr>
    </w:div>
    <w:div w:id="844321716">
      <w:bodyDiv w:val="1"/>
      <w:marLeft w:val="0"/>
      <w:marRight w:val="0"/>
      <w:marTop w:val="0"/>
      <w:marBottom w:val="0"/>
      <w:divBdr>
        <w:top w:val="none" w:sz="0" w:space="0" w:color="auto"/>
        <w:left w:val="none" w:sz="0" w:space="0" w:color="auto"/>
        <w:bottom w:val="none" w:sz="0" w:space="0" w:color="auto"/>
        <w:right w:val="none" w:sz="0" w:space="0" w:color="auto"/>
      </w:divBdr>
    </w:div>
    <w:div w:id="844906719">
      <w:bodyDiv w:val="1"/>
      <w:marLeft w:val="0"/>
      <w:marRight w:val="0"/>
      <w:marTop w:val="0"/>
      <w:marBottom w:val="0"/>
      <w:divBdr>
        <w:top w:val="none" w:sz="0" w:space="0" w:color="auto"/>
        <w:left w:val="none" w:sz="0" w:space="0" w:color="auto"/>
        <w:bottom w:val="none" w:sz="0" w:space="0" w:color="auto"/>
        <w:right w:val="none" w:sz="0" w:space="0" w:color="auto"/>
      </w:divBdr>
    </w:div>
    <w:div w:id="845360912">
      <w:bodyDiv w:val="1"/>
      <w:marLeft w:val="0"/>
      <w:marRight w:val="0"/>
      <w:marTop w:val="0"/>
      <w:marBottom w:val="0"/>
      <w:divBdr>
        <w:top w:val="none" w:sz="0" w:space="0" w:color="auto"/>
        <w:left w:val="none" w:sz="0" w:space="0" w:color="auto"/>
        <w:bottom w:val="none" w:sz="0" w:space="0" w:color="auto"/>
        <w:right w:val="none" w:sz="0" w:space="0" w:color="auto"/>
      </w:divBdr>
    </w:div>
    <w:div w:id="845706787">
      <w:bodyDiv w:val="1"/>
      <w:marLeft w:val="0"/>
      <w:marRight w:val="0"/>
      <w:marTop w:val="0"/>
      <w:marBottom w:val="0"/>
      <w:divBdr>
        <w:top w:val="none" w:sz="0" w:space="0" w:color="auto"/>
        <w:left w:val="none" w:sz="0" w:space="0" w:color="auto"/>
        <w:bottom w:val="none" w:sz="0" w:space="0" w:color="auto"/>
        <w:right w:val="none" w:sz="0" w:space="0" w:color="auto"/>
      </w:divBdr>
    </w:div>
    <w:div w:id="846745895">
      <w:bodyDiv w:val="1"/>
      <w:marLeft w:val="0"/>
      <w:marRight w:val="0"/>
      <w:marTop w:val="0"/>
      <w:marBottom w:val="0"/>
      <w:divBdr>
        <w:top w:val="none" w:sz="0" w:space="0" w:color="auto"/>
        <w:left w:val="none" w:sz="0" w:space="0" w:color="auto"/>
        <w:bottom w:val="none" w:sz="0" w:space="0" w:color="auto"/>
        <w:right w:val="none" w:sz="0" w:space="0" w:color="auto"/>
      </w:divBdr>
    </w:div>
    <w:div w:id="847526405">
      <w:bodyDiv w:val="1"/>
      <w:marLeft w:val="0"/>
      <w:marRight w:val="0"/>
      <w:marTop w:val="0"/>
      <w:marBottom w:val="0"/>
      <w:divBdr>
        <w:top w:val="none" w:sz="0" w:space="0" w:color="auto"/>
        <w:left w:val="none" w:sz="0" w:space="0" w:color="auto"/>
        <w:bottom w:val="none" w:sz="0" w:space="0" w:color="auto"/>
        <w:right w:val="none" w:sz="0" w:space="0" w:color="auto"/>
      </w:divBdr>
    </w:div>
    <w:div w:id="847789248">
      <w:bodyDiv w:val="1"/>
      <w:marLeft w:val="0"/>
      <w:marRight w:val="0"/>
      <w:marTop w:val="0"/>
      <w:marBottom w:val="0"/>
      <w:divBdr>
        <w:top w:val="none" w:sz="0" w:space="0" w:color="auto"/>
        <w:left w:val="none" w:sz="0" w:space="0" w:color="auto"/>
        <w:bottom w:val="none" w:sz="0" w:space="0" w:color="auto"/>
        <w:right w:val="none" w:sz="0" w:space="0" w:color="auto"/>
      </w:divBdr>
    </w:div>
    <w:div w:id="850072650">
      <w:bodyDiv w:val="1"/>
      <w:marLeft w:val="0"/>
      <w:marRight w:val="0"/>
      <w:marTop w:val="0"/>
      <w:marBottom w:val="0"/>
      <w:divBdr>
        <w:top w:val="none" w:sz="0" w:space="0" w:color="auto"/>
        <w:left w:val="none" w:sz="0" w:space="0" w:color="auto"/>
        <w:bottom w:val="none" w:sz="0" w:space="0" w:color="auto"/>
        <w:right w:val="none" w:sz="0" w:space="0" w:color="auto"/>
      </w:divBdr>
    </w:div>
    <w:div w:id="851340781">
      <w:bodyDiv w:val="1"/>
      <w:marLeft w:val="0"/>
      <w:marRight w:val="0"/>
      <w:marTop w:val="0"/>
      <w:marBottom w:val="0"/>
      <w:divBdr>
        <w:top w:val="none" w:sz="0" w:space="0" w:color="auto"/>
        <w:left w:val="none" w:sz="0" w:space="0" w:color="auto"/>
        <w:bottom w:val="none" w:sz="0" w:space="0" w:color="auto"/>
        <w:right w:val="none" w:sz="0" w:space="0" w:color="auto"/>
      </w:divBdr>
    </w:div>
    <w:div w:id="851408520">
      <w:bodyDiv w:val="1"/>
      <w:marLeft w:val="0"/>
      <w:marRight w:val="0"/>
      <w:marTop w:val="0"/>
      <w:marBottom w:val="0"/>
      <w:divBdr>
        <w:top w:val="none" w:sz="0" w:space="0" w:color="auto"/>
        <w:left w:val="none" w:sz="0" w:space="0" w:color="auto"/>
        <w:bottom w:val="none" w:sz="0" w:space="0" w:color="auto"/>
        <w:right w:val="none" w:sz="0" w:space="0" w:color="auto"/>
      </w:divBdr>
    </w:div>
    <w:div w:id="852458077">
      <w:bodyDiv w:val="1"/>
      <w:marLeft w:val="0"/>
      <w:marRight w:val="0"/>
      <w:marTop w:val="0"/>
      <w:marBottom w:val="0"/>
      <w:divBdr>
        <w:top w:val="none" w:sz="0" w:space="0" w:color="auto"/>
        <w:left w:val="none" w:sz="0" w:space="0" w:color="auto"/>
        <w:bottom w:val="none" w:sz="0" w:space="0" w:color="auto"/>
        <w:right w:val="none" w:sz="0" w:space="0" w:color="auto"/>
      </w:divBdr>
    </w:div>
    <w:div w:id="852646729">
      <w:bodyDiv w:val="1"/>
      <w:marLeft w:val="0"/>
      <w:marRight w:val="0"/>
      <w:marTop w:val="0"/>
      <w:marBottom w:val="0"/>
      <w:divBdr>
        <w:top w:val="none" w:sz="0" w:space="0" w:color="auto"/>
        <w:left w:val="none" w:sz="0" w:space="0" w:color="auto"/>
        <w:bottom w:val="none" w:sz="0" w:space="0" w:color="auto"/>
        <w:right w:val="none" w:sz="0" w:space="0" w:color="auto"/>
      </w:divBdr>
    </w:div>
    <w:div w:id="853346792">
      <w:bodyDiv w:val="1"/>
      <w:marLeft w:val="0"/>
      <w:marRight w:val="0"/>
      <w:marTop w:val="0"/>
      <w:marBottom w:val="0"/>
      <w:divBdr>
        <w:top w:val="none" w:sz="0" w:space="0" w:color="auto"/>
        <w:left w:val="none" w:sz="0" w:space="0" w:color="auto"/>
        <w:bottom w:val="none" w:sz="0" w:space="0" w:color="auto"/>
        <w:right w:val="none" w:sz="0" w:space="0" w:color="auto"/>
      </w:divBdr>
    </w:div>
    <w:div w:id="854417163">
      <w:bodyDiv w:val="1"/>
      <w:marLeft w:val="0"/>
      <w:marRight w:val="0"/>
      <w:marTop w:val="0"/>
      <w:marBottom w:val="0"/>
      <w:divBdr>
        <w:top w:val="none" w:sz="0" w:space="0" w:color="auto"/>
        <w:left w:val="none" w:sz="0" w:space="0" w:color="auto"/>
        <w:bottom w:val="none" w:sz="0" w:space="0" w:color="auto"/>
        <w:right w:val="none" w:sz="0" w:space="0" w:color="auto"/>
      </w:divBdr>
    </w:div>
    <w:div w:id="854615597">
      <w:bodyDiv w:val="1"/>
      <w:marLeft w:val="0"/>
      <w:marRight w:val="0"/>
      <w:marTop w:val="0"/>
      <w:marBottom w:val="0"/>
      <w:divBdr>
        <w:top w:val="none" w:sz="0" w:space="0" w:color="auto"/>
        <w:left w:val="none" w:sz="0" w:space="0" w:color="auto"/>
        <w:bottom w:val="none" w:sz="0" w:space="0" w:color="auto"/>
        <w:right w:val="none" w:sz="0" w:space="0" w:color="auto"/>
      </w:divBdr>
    </w:div>
    <w:div w:id="856626382">
      <w:bodyDiv w:val="1"/>
      <w:marLeft w:val="0"/>
      <w:marRight w:val="0"/>
      <w:marTop w:val="0"/>
      <w:marBottom w:val="0"/>
      <w:divBdr>
        <w:top w:val="none" w:sz="0" w:space="0" w:color="auto"/>
        <w:left w:val="none" w:sz="0" w:space="0" w:color="auto"/>
        <w:bottom w:val="none" w:sz="0" w:space="0" w:color="auto"/>
        <w:right w:val="none" w:sz="0" w:space="0" w:color="auto"/>
      </w:divBdr>
    </w:div>
    <w:div w:id="857735891">
      <w:bodyDiv w:val="1"/>
      <w:marLeft w:val="0"/>
      <w:marRight w:val="0"/>
      <w:marTop w:val="0"/>
      <w:marBottom w:val="0"/>
      <w:divBdr>
        <w:top w:val="none" w:sz="0" w:space="0" w:color="auto"/>
        <w:left w:val="none" w:sz="0" w:space="0" w:color="auto"/>
        <w:bottom w:val="none" w:sz="0" w:space="0" w:color="auto"/>
        <w:right w:val="none" w:sz="0" w:space="0" w:color="auto"/>
      </w:divBdr>
    </w:div>
    <w:div w:id="858855908">
      <w:bodyDiv w:val="1"/>
      <w:marLeft w:val="0"/>
      <w:marRight w:val="0"/>
      <w:marTop w:val="0"/>
      <w:marBottom w:val="0"/>
      <w:divBdr>
        <w:top w:val="none" w:sz="0" w:space="0" w:color="auto"/>
        <w:left w:val="none" w:sz="0" w:space="0" w:color="auto"/>
        <w:bottom w:val="none" w:sz="0" w:space="0" w:color="auto"/>
        <w:right w:val="none" w:sz="0" w:space="0" w:color="auto"/>
      </w:divBdr>
    </w:div>
    <w:div w:id="859201312">
      <w:bodyDiv w:val="1"/>
      <w:marLeft w:val="0"/>
      <w:marRight w:val="0"/>
      <w:marTop w:val="0"/>
      <w:marBottom w:val="0"/>
      <w:divBdr>
        <w:top w:val="none" w:sz="0" w:space="0" w:color="auto"/>
        <w:left w:val="none" w:sz="0" w:space="0" w:color="auto"/>
        <w:bottom w:val="none" w:sz="0" w:space="0" w:color="auto"/>
        <w:right w:val="none" w:sz="0" w:space="0" w:color="auto"/>
      </w:divBdr>
    </w:div>
    <w:div w:id="859511214">
      <w:bodyDiv w:val="1"/>
      <w:marLeft w:val="0"/>
      <w:marRight w:val="0"/>
      <w:marTop w:val="0"/>
      <w:marBottom w:val="0"/>
      <w:divBdr>
        <w:top w:val="none" w:sz="0" w:space="0" w:color="auto"/>
        <w:left w:val="none" w:sz="0" w:space="0" w:color="auto"/>
        <w:bottom w:val="none" w:sz="0" w:space="0" w:color="auto"/>
        <w:right w:val="none" w:sz="0" w:space="0" w:color="auto"/>
      </w:divBdr>
    </w:div>
    <w:div w:id="859515475">
      <w:bodyDiv w:val="1"/>
      <w:marLeft w:val="0"/>
      <w:marRight w:val="0"/>
      <w:marTop w:val="0"/>
      <w:marBottom w:val="0"/>
      <w:divBdr>
        <w:top w:val="none" w:sz="0" w:space="0" w:color="auto"/>
        <w:left w:val="none" w:sz="0" w:space="0" w:color="auto"/>
        <w:bottom w:val="none" w:sz="0" w:space="0" w:color="auto"/>
        <w:right w:val="none" w:sz="0" w:space="0" w:color="auto"/>
      </w:divBdr>
    </w:div>
    <w:div w:id="859859769">
      <w:bodyDiv w:val="1"/>
      <w:marLeft w:val="0"/>
      <w:marRight w:val="0"/>
      <w:marTop w:val="0"/>
      <w:marBottom w:val="0"/>
      <w:divBdr>
        <w:top w:val="none" w:sz="0" w:space="0" w:color="auto"/>
        <w:left w:val="none" w:sz="0" w:space="0" w:color="auto"/>
        <w:bottom w:val="none" w:sz="0" w:space="0" w:color="auto"/>
        <w:right w:val="none" w:sz="0" w:space="0" w:color="auto"/>
      </w:divBdr>
    </w:div>
    <w:div w:id="860047928">
      <w:bodyDiv w:val="1"/>
      <w:marLeft w:val="0"/>
      <w:marRight w:val="0"/>
      <w:marTop w:val="0"/>
      <w:marBottom w:val="0"/>
      <w:divBdr>
        <w:top w:val="none" w:sz="0" w:space="0" w:color="auto"/>
        <w:left w:val="none" w:sz="0" w:space="0" w:color="auto"/>
        <w:bottom w:val="none" w:sz="0" w:space="0" w:color="auto"/>
        <w:right w:val="none" w:sz="0" w:space="0" w:color="auto"/>
      </w:divBdr>
    </w:div>
    <w:div w:id="860358967">
      <w:bodyDiv w:val="1"/>
      <w:marLeft w:val="0"/>
      <w:marRight w:val="0"/>
      <w:marTop w:val="0"/>
      <w:marBottom w:val="0"/>
      <w:divBdr>
        <w:top w:val="none" w:sz="0" w:space="0" w:color="auto"/>
        <w:left w:val="none" w:sz="0" w:space="0" w:color="auto"/>
        <w:bottom w:val="none" w:sz="0" w:space="0" w:color="auto"/>
        <w:right w:val="none" w:sz="0" w:space="0" w:color="auto"/>
      </w:divBdr>
    </w:div>
    <w:div w:id="861406521">
      <w:bodyDiv w:val="1"/>
      <w:marLeft w:val="0"/>
      <w:marRight w:val="0"/>
      <w:marTop w:val="0"/>
      <w:marBottom w:val="0"/>
      <w:divBdr>
        <w:top w:val="none" w:sz="0" w:space="0" w:color="auto"/>
        <w:left w:val="none" w:sz="0" w:space="0" w:color="auto"/>
        <w:bottom w:val="none" w:sz="0" w:space="0" w:color="auto"/>
        <w:right w:val="none" w:sz="0" w:space="0" w:color="auto"/>
      </w:divBdr>
    </w:div>
    <w:div w:id="861743047">
      <w:bodyDiv w:val="1"/>
      <w:marLeft w:val="0"/>
      <w:marRight w:val="0"/>
      <w:marTop w:val="0"/>
      <w:marBottom w:val="0"/>
      <w:divBdr>
        <w:top w:val="none" w:sz="0" w:space="0" w:color="auto"/>
        <w:left w:val="none" w:sz="0" w:space="0" w:color="auto"/>
        <w:bottom w:val="none" w:sz="0" w:space="0" w:color="auto"/>
        <w:right w:val="none" w:sz="0" w:space="0" w:color="auto"/>
      </w:divBdr>
    </w:div>
    <w:div w:id="862326569">
      <w:bodyDiv w:val="1"/>
      <w:marLeft w:val="0"/>
      <w:marRight w:val="0"/>
      <w:marTop w:val="0"/>
      <w:marBottom w:val="0"/>
      <w:divBdr>
        <w:top w:val="none" w:sz="0" w:space="0" w:color="auto"/>
        <w:left w:val="none" w:sz="0" w:space="0" w:color="auto"/>
        <w:bottom w:val="none" w:sz="0" w:space="0" w:color="auto"/>
        <w:right w:val="none" w:sz="0" w:space="0" w:color="auto"/>
      </w:divBdr>
    </w:div>
    <w:div w:id="862785202">
      <w:bodyDiv w:val="1"/>
      <w:marLeft w:val="0"/>
      <w:marRight w:val="0"/>
      <w:marTop w:val="0"/>
      <w:marBottom w:val="0"/>
      <w:divBdr>
        <w:top w:val="none" w:sz="0" w:space="0" w:color="auto"/>
        <w:left w:val="none" w:sz="0" w:space="0" w:color="auto"/>
        <w:bottom w:val="none" w:sz="0" w:space="0" w:color="auto"/>
        <w:right w:val="none" w:sz="0" w:space="0" w:color="auto"/>
      </w:divBdr>
    </w:div>
    <w:div w:id="862937713">
      <w:bodyDiv w:val="1"/>
      <w:marLeft w:val="0"/>
      <w:marRight w:val="0"/>
      <w:marTop w:val="0"/>
      <w:marBottom w:val="0"/>
      <w:divBdr>
        <w:top w:val="none" w:sz="0" w:space="0" w:color="auto"/>
        <w:left w:val="none" w:sz="0" w:space="0" w:color="auto"/>
        <w:bottom w:val="none" w:sz="0" w:space="0" w:color="auto"/>
        <w:right w:val="none" w:sz="0" w:space="0" w:color="auto"/>
      </w:divBdr>
    </w:div>
    <w:div w:id="863399106">
      <w:bodyDiv w:val="1"/>
      <w:marLeft w:val="0"/>
      <w:marRight w:val="0"/>
      <w:marTop w:val="0"/>
      <w:marBottom w:val="0"/>
      <w:divBdr>
        <w:top w:val="none" w:sz="0" w:space="0" w:color="auto"/>
        <w:left w:val="none" w:sz="0" w:space="0" w:color="auto"/>
        <w:bottom w:val="none" w:sz="0" w:space="0" w:color="auto"/>
        <w:right w:val="none" w:sz="0" w:space="0" w:color="auto"/>
      </w:divBdr>
    </w:div>
    <w:div w:id="864446059">
      <w:bodyDiv w:val="1"/>
      <w:marLeft w:val="0"/>
      <w:marRight w:val="0"/>
      <w:marTop w:val="0"/>
      <w:marBottom w:val="0"/>
      <w:divBdr>
        <w:top w:val="none" w:sz="0" w:space="0" w:color="auto"/>
        <w:left w:val="none" w:sz="0" w:space="0" w:color="auto"/>
        <w:bottom w:val="none" w:sz="0" w:space="0" w:color="auto"/>
        <w:right w:val="none" w:sz="0" w:space="0" w:color="auto"/>
      </w:divBdr>
    </w:div>
    <w:div w:id="864515637">
      <w:bodyDiv w:val="1"/>
      <w:marLeft w:val="0"/>
      <w:marRight w:val="0"/>
      <w:marTop w:val="0"/>
      <w:marBottom w:val="0"/>
      <w:divBdr>
        <w:top w:val="none" w:sz="0" w:space="0" w:color="auto"/>
        <w:left w:val="none" w:sz="0" w:space="0" w:color="auto"/>
        <w:bottom w:val="none" w:sz="0" w:space="0" w:color="auto"/>
        <w:right w:val="none" w:sz="0" w:space="0" w:color="auto"/>
      </w:divBdr>
    </w:div>
    <w:div w:id="864560966">
      <w:bodyDiv w:val="1"/>
      <w:marLeft w:val="0"/>
      <w:marRight w:val="0"/>
      <w:marTop w:val="0"/>
      <w:marBottom w:val="0"/>
      <w:divBdr>
        <w:top w:val="none" w:sz="0" w:space="0" w:color="auto"/>
        <w:left w:val="none" w:sz="0" w:space="0" w:color="auto"/>
        <w:bottom w:val="none" w:sz="0" w:space="0" w:color="auto"/>
        <w:right w:val="none" w:sz="0" w:space="0" w:color="auto"/>
      </w:divBdr>
    </w:div>
    <w:div w:id="864565148">
      <w:bodyDiv w:val="1"/>
      <w:marLeft w:val="0"/>
      <w:marRight w:val="0"/>
      <w:marTop w:val="0"/>
      <w:marBottom w:val="0"/>
      <w:divBdr>
        <w:top w:val="none" w:sz="0" w:space="0" w:color="auto"/>
        <w:left w:val="none" w:sz="0" w:space="0" w:color="auto"/>
        <w:bottom w:val="none" w:sz="0" w:space="0" w:color="auto"/>
        <w:right w:val="none" w:sz="0" w:space="0" w:color="auto"/>
      </w:divBdr>
    </w:div>
    <w:div w:id="865102694">
      <w:bodyDiv w:val="1"/>
      <w:marLeft w:val="0"/>
      <w:marRight w:val="0"/>
      <w:marTop w:val="0"/>
      <w:marBottom w:val="0"/>
      <w:divBdr>
        <w:top w:val="none" w:sz="0" w:space="0" w:color="auto"/>
        <w:left w:val="none" w:sz="0" w:space="0" w:color="auto"/>
        <w:bottom w:val="none" w:sz="0" w:space="0" w:color="auto"/>
        <w:right w:val="none" w:sz="0" w:space="0" w:color="auto"/>
      </w:divBdr>
    </w:div>
    <w:div w:id="865871928">
      <w:bodyDiv w:val="1"/>
      <w:marLeft w:val="0"/>
      <w:marRight w:val="0"/>
      <w:marTop w:val="0"/>
      <w:marBottom w:val="0"/>
      <w:divBdr>
        <w:top w:val="none" w:sz="0" w:space="0" w:color="auto"/>
        <w:left w:val="none" w:sz="0" w:space="0" w:color="auto"/>
        <w:bottom w:val="none" w:sz="0" w:space="0" w:color="auto"/>
        <w:right w:val="none" w:sz="0" w:space="0" w:color="auto"/>
      </w:divBdr>
    </w:div>
    <w:div w:id="866069373">
      <w:bodyDiv w:val="1"/>
      <w:marLeft w:val="0"/>
      <w:marRight w:val="0"/>
      <w:marTop w:val="0"/>
      <w:marBottom w:val="0"/>
      <w:divBdr>
        <w:top w:val="none" w:sz="0" w:space="0" w:color="auto"/>
        <w:left w:val="none" w:sz="0" w:space="0" w:color="auto"/>
        <w:bottom w:val="none" w:sz="0" w:space="0" w:color="auto"/>
        <w:right w:val="none" w:sz="0" w:space="0" w:color="auto"/>
      </w:divBdr>
    </w:div>
    <w:div w:id="866408562">
      <w:bodyDiv w:val="1"/>
      <w:marLeft w:val="0"/>
      <w:marRight w:val="0"/>
      <w:marTop w:val="0"/>
      <w:marBottom w:val="0"/>
      <w:divBdr>
        <w:top w:val="none" w:sz="0" w:space="0" w:color="auto"/>
        <w:left w:val="none" w:sz="0" w:space="0" w:color="auto"/>
        <w:bottom w:val="none" w:sz="0" w:space="0" w:color="auto"/>
        <w:right w:val="none" w:sz="0" w:space="0" w:color="auto"/>
      </w:divBdr>
    </w:div>
    <w:div w:id="866598901">
      <w:bodyDiv w:val="1"/>
      <w:marLeft w:val="0"/>
      <w:marRight w:val="0"/>
      <w:marTop w:val="0"/>
      <w:marBottom w:val="0"/>
      <w:divBdr>
        <w:top w:val="none" w:sz="0" w:space="0" w:color="auto"/>
        <w:left w:val="none" w:sz="0" w:space="0" w:color="auto"/>
        <w:bottom w:val="none" w:sz="0" w:space="0" w:color="auto"/>
        <w:right w:val="none" w:sz="0" w:space="0" w:color="auto"/>
      </w:divBdr>
    </w:div>
    <w:div w:id="866720014">
      <w:bodyDiv w:val="1"/>
      <w:marLeft w:val="0"/>
      <w:marRight w:val="0"/>
      <w:marTop w:val="0"/>
      <w:marBottom w:val="0"/>
      <w:divBdr>
        <w:top w:val="none" w:sz="0" w:space="0" w:color="auto"/>
        <w:left w:val="none" w:sz="0" w:space="0" w:color="auto"/>
        <w:bottom w:val="none" w:sz="0" w:space="0" w:color="auto"/>
        <w:right w:val="none" w:sz="0" w:space="0" w:color="auto"/>
      </w:divBdr>
    </w:div>
    <w:div w:id="867984082">
      <w:bodyDiv w:val="1"/>
      <w:marLeft w:val="0"/>
      <w:marRight w:val="0"/>
      <w:marTop w:val="0"/>
      <w:marBottom w:val="0"/>
      <w:divBdr>
        <w:top w:val="none" w:sz="0" w:space="0" w:color="auto"/>
        <w:left w:val="none" w:sz="0" w:space="0" w:color="auto"/>
        <w:bottom w:val="none" w:sz="0" w:space="0" w:color="auto"/>
        <w:right w:val="none" w:sz="0" w:space="0" w:color="auto"/>
      </w:divBdr>
    </w:div>
    <w:div w:id="868221829">
      <w:bodyDiv w:val="1"/>
      <w:marLeft w:val="0"/>
      <w:marRight w:val="0"/>
      <w:marTop w:val="0"/>
      <w:marBottom w:val="0"/>
      <w:divBdr>
        <w:top w:val="none" w:sz="0" w:space="0" w:color="auto"/>
        <w:left w:val="none" w:sz="0" w:space="0" w:color="auto"/>
        <w:bottom w:val="none" w:sz="0" w:space="0" w:color="auto"/>
        <w:right w:val="none" w:sz="0" w:space="0" w:color="auto"/>
      </w:divBdr>
    </w:div>
    <w:div w:id="871304711">
      <w:bodyDiv w:val="1"/>
      <w:marLeft w:val="0"/>
      <w:marRight w:val="0"/>
      <w:marTop w:val="0"/>
      <w:marBottom w:val="0"/>
      <w:divBdr>
        <w:top w:val="none" w:sz="0" w:space="0" w:color="auto"/>
        <w:left w:val="none" w:sz="0" w:space="0" w:color="auto"/>
        <w:bottom w:val="none" w:sz="0" w:space="0" w:color="auto"/>
        <w:right w:val="none" w:sz="0" w:space="0" w:color="auto"/>
      </w:divBdr>
    </w:div>
    <w:div w:id="873156933">
      <w:bodyDiv w:val="1"/>
      <w:marLeft w:val="0"/>
      <w:marRight w:val="0"/>
      <w:marTop w:val="0"/>
      <w:marBottom w:val="0"/>
      <w:divBdr>
        <w:top w:val="none" w:sz="0" w:space="0" w:color="auto"/>
        <w:left w:val="none" w:sz="0" w:space="0" w:color="auto"/>
        <w:bottom w:val="none" w:sz="0" w:space="0" w:color="auto"/>
        <w:right w:val="none" w:sz="0" w:space="0" w:color="auto"/>
      </w:divBdr>
    </w:div>
    <w:div w:id="874002034">
      <w:bodyDiv w:val="1"/>
      <w:marLeft w:val="0"/>
      <w:marRight w:val="0"/>
      <w:marTop w:val="0"/>
      <w:marBottom w:val="0"/>
      <w:divBdr>
        <w:top w:val="none" w:sz="0" w:space="0" w:color="auto"/>
        <w:left w:val="none" w:sz="0" w:space="0" w:color="auto"/>
        <w:bottom w:val="none" w:sz="0" w:space="0" w:color="auto"/>
        <w:right w:val="none" w:sz="0" w:space="0" w:color="auto"/>
      </w:divBdr>
    </w:div>
    <w:div w:id="874654423">
      <w:bodyDiv w:val="1"/>
      <w:marLeft w:val="0"/>
      <w:marRight w:val="0"/>
      <w:marTop w:val="0"/>
      <w:marBottom w:val="0"/>
      <w:divBdr>
        <w:top w:val="none" w:sz="0" w:space="0" w:color="auto"/>
        <w:left w:val="none" w:sz="0" w:space="0" w:color="auto"/>
        <w:bottom w:val="none" w:sz="0" w:space="0" w:color="auto"/>
        <w:right w:val="none" w:sz="0" w:space="0" w:color="auto"/>
      </w:divBdr>
    </w:div>
    <w:div w:id="875628830">
      <w:bodyDiv w:val="1"/>
      <w:marLeft w:val="0"/>
      <w:marRight w:val="0"/>
      <w:marTop w:val="0"/>
      <w:marBottom w:val="0"/>
      <w:divBdr>
        <w:top w:val="none" w:sz="0" w:space="0" w:color="auto"/>
        <w:left w:val="none" w:sz="0" w:space="0" w:color="auto"/>
        <w:bottom w:val="none" w:sz="0" w:space="0" w:color="auto"/>
        <w:right w:val="none" w:sz="0" w:space="0" w:color="auto"/>
      </w:divBdr>
    </w:div>
    <w:div w:id="876088651">
      <w:bodyDiv w:val="1"/>
      <w:marLeft w:val="0"/>
      <w:marRight w:val="0"/>
      <w:marTop w:val="0"/>
      <w:marBottom w:val="0"/>
      <w:divBdr>
        <w:top w:val="none" w:sz="0" w:space="0" w:color="auto"/>
        <w:left w:val="none" w:sz="0" w:space="0" w:color="auto"/>
        <w:bottom w:val="none" w:sz="0" w:space="0" w:color="auto"/>
        <w:right w:val="none" w:sz="0" w:space="0" w:color="auto"/>
      </w:divBdr>
    </w:div>
    <w:div w:id="876896653">
      <w:bodyDiv w:val="1"/>
      <w:marLeft w:val="0"/>
      <w:marRight w:val="0"/>
      <w:marTop w:val="0"/>
      <w:marBottom w:val="0"/>
      <w:divBdr>
        <w:top w:val="none" w:sz="0" w:space="0" w:color="auto"/>
        <w:left w:val="none" w:sz="0" w:space="0" w:color="auto"/>
        <w:bottom w:val="none" w:sz="0" w:space="0" w:color="auto"/>
        <w:right w:val="none" w:sz="0" w:space="0" w:color="auto"/>
      </w:divBdr>
    </w:div>
    <w:div w:id="877741611">
      <w:bodyDiv w:val="1"/>
      <w:marLeft w:val="0"/>
      <w:marRight w:val="0"/>
      <w:marTop w:val="0"/>
      <w:marBottom w:val="0"/>
      <w:divBdr>
        <w:top w:val="none" w:sz="0" w:space="0" w:color="auto"/>
        <w:left w:val="none" w:sz="0" w:space="0" w:color="auto"/>
        <w:bottom w:val="none" w:sz="0" w:space="0" w:color="auto"/>
        <w:right w:val="none" w:sz="0" w:space="0" w:color="auto"/>
      </w:divBdr>
    </w:div>
    <w:div w:id="878708163">
      <w:bodyDiv w:val="1"/>
      <w:marLeft w:val="0"/>
      <w:marRight w:val="0"/>
      <w:marTop w:val="0"/>
      <w:marBottom w:val="0"/>
      <w:divBdr>
        <w:top w:val="none" w:sz="0" w:space="0" w:color="auto"/>
        <w:left w:val="none" w:sz="0" w:space="0" w:color="auto"/>
        <w:bottom w:val="none" w:sz="0" w:space="0" w:color="auto"/>
        <w:right w:val="none" w:sz="0" w:space="0" w:color="auto"/>
      </w:divBdr>
    </w:div>
    <w:div w:id="879442484">
      <w:bodyDiv w:val="1"/>
      <w:marLeft w:val="0"/>
      <w:marRight w:val="0"/>
      <w:marTop w:val="0"/>
      <w:marBottom w:val="0"/>
      <w:divBdr>
        <w:top w:val="none" w:sz="0" w:space="0" w:color="auto"/>
        <w:left w:val="none" w:sz="0" w:space="0" w:color="auto"/>
        <w:bottom w:val="none" w:sz="0" w:space="0" w:color="auto"/>
        <w:right w:val="none" w:sz="0" w:space="0" w:color="auto"/>
      </w:divBdr>
    </w:div>
    <w:div w:id="879976924">
      <w:bodyDiv w:val="1"/>
      <w:marLeft w:val="0"/>
      <w:marRight w:val="0"/>
      <w:marTop w:val="0"/>
      <w:marBottom w:val="0"/>
      <w:divBdr>
        <w:top w:val="none" w:sz="0" w:space="0" w:color="auto"/>
        <w:left w:val="none" w:sz="0" w:space="0" w:color="auto"/>
        <w:bottom w:val="none" w:sz="0" w:space="0" w:color="auto"/>
        <w:right w:val="none" w:sz="0" w:space="0" w:color="auto"/>
      </w:divBdr>
    </w:div>
    <w:div w:id="881090286">
      <w:bodyDiv w:val="1"/>
      <w:marLeft w:val="0"/>
      <w:marRight w:val="0"/>
      <w:marTop w:val="0"/>
      <w:marBottom w:val="0"/>
      <w:divBdr>
        <w:top w:val="none" w:sz="0" w:space="0" w:color="auto"/>
        <w:left w:val="none" w:sz="0" w:space="0" w:color="auto"/>
        <w:bottom w:val="none" w:sz="0" w:space="0" w:color="auto"/>
        <w:right w:val="none" w:sz="0" w:space="0" w:color="auto"/>
      </w:divBdr>
    </w:div>
    <w:div w:id="881139438">
      <w:bodyDiv w:val="1"/>
      <w:marLeft w:val="0"/>
      <w:marRight w:val="0"/>
      <w:marTop w:val="0"/>
      <w:marBottom w:val="0"/>
      <w:divBdr>
        <w:top w:val="none" w:sz="0" w:space="0" w:color="auto"/>
        <w:left w:val="none" w:sz="0" w:space="0" w:color="auto"/>
        <w:bottom w:val="none" w:sz="0" w:space="0" w:color="auto"/>
        <w:right w:val="none" w:sz="0" w:space="0" w:color="auto"/>
      </w:divBdr>
    </w:div>
    <w:div w:id="881207660">
      <w:bodyDiv w:val="1"/>
      <w:marLeft w:val="0"/>
      <w:marRight w:val="0"/>
      <w:marTop w:val="0"/>
      <w:marBottom w:val="0"/>
      <w:divBdr>
        <w:top w:val="none" w:sz="0" w:space="0" w:color="auto"/>
        <w:left w:val="none" w:sz="0" w:space="0" w:color="auto"/>
        <w:bottom w:val="none" w:sz="0" w:space="0" w:color="auto"/>
        <w:right w:val="none" w:sz="0" w:space="0" w:color="auto"/>
      </w:divBdr>
    </w:div>
    <w:div w:id="882667661">
      <w:bodyDiv w:val="1"/>
      <w:marLeft w:val="0"/>
      <w:marRight w:val="0"/>
      <w:marTop w:val="0"/>
      <w:marBottom w:val="0"/>
      <w:divBdr>
        <w:top w:val="none" w:sz="0" w:space="0" w:color="auto"/>
        <w:left w:val="none" w:sz="0" w:space="0" w:color="auto"/>
        <w:bottom w:val="none" w:sz="0" w:space="0" w:color="auto"/>
        <w:right w:val="none" w:sz="0" w:space="0" w:color="auto"/>
      </w:divBdr>
    </w:div>
    <w:div w:id="882668629">
      <w:bodyDiv w:val="1"/>
      <w:marLeft w:val="0"/>
      <w:marRight w:val="0"/>
      <w:marTop w:val="0"/>
      <w:marBottom w:val="0"/>
      <w:divBdr>
        <w:top w:val="none" w:sz="0" w:space="0" w:color="auto"/>
        <w:left w:val="none" w:sz="0" w:space="0" w:color="auto"/>
        <w:bottom w:val="none" w:sz="0" w:space="0" w:color="auto"/>
        <w:right w:val="none" w:sz="0" w:space="0" w:color="auto"/>
      </w:divBdr>
    </w:div>
    <w:div w:id="883784757">
      <w:bodyDiv w:val="1"/>
      <w:marLeft w:val="0"/>
      <w:marRight w:val="0"/>
      <w:marTop w:val="0"/>
      <w:marBottom w:val="0"/>
      <w:divBdr>
        <w:top w:val="none" w:sz="0" w:space="0" w:color="auto"/>
        <w:left w:val="none" w:sz="0" w:space="0" w:color="auto"/>
        <w:bottom w:val="none" w:sz="0" w:space="0" w:color="auto"/>
        <w:right w:val="none" w:sz="0" w:space="0" w:color="auto"/>
      </w:divBdr>
    </w:div>
    <w:div w:id="884025050">
      <w:bodyDiv w:val="1"/>
      <w:marLeft w:val="0"/>
      <w:marRight w:val="0"/>
      <w:marTop w:val="0"/>
      <w:marBottom w:val="0"/>
      <w:divBdr>
        <w:top w:val="none" w:sz="0" w:space="0" w:color="auto"/>
        <w:left w:val="none" w:sz="0" w:space="0" w:color="auto"/>
        <w:bottom w:val="none" w:sz="0" w:space="0" w:color="auto"/>
        <w:right w:val="none" w:sz="0" w:space="0" w:color="auto"/>
      </w:divBdr>
    </w:div>
    <w:div w:id="885680705">
      <w:bodyDiv w:val="1"/>
      <w:marLeft w:val="0"/>
      <w:marRight w:val="0"/>
      <w:marTop w:val="0"/>
      <w:marBottom w:val="0"/>
      <w:divBdr>
        <w:top w:val="none" w:sz="0" w:space="0" w:color="auto"/>
        <w:left w:val="none" w:sz="0" w:space="0" w:color="auto"/>
        <w:bottom w:val="none" w:sz="0" w:space="0" w:color="auto"/>
        <w:right w:val="none" w:sz="0" w:space="0" w:color="auto"/>
      </w:divBdr>
    </w:div>
    <w:div w:id="885992715">
      <w:bodyDiv w:val="1"/>
      <w:marLeft w:val="0"/>
      <w:marRight w:val="0"/>
      <w:marTop w:val="0"/>
      <w:marBottom w:val="0"/>
      <w:divBdr>
        <w:top w:val="none" w:sz="0" w:space="0" w:color="auto"/>
        <w:left w:val="none" w:sz="0" w:space="0" w:color="auto"/>
        <w:bottom w:val="none" w:sz="0" w:space="0" w:color="auto"/>
        <w:right w:val="none" w:sz="0" w:space="0" w:color="auto"/>
      </w:divBdr>
    </w:div>
    <w:div w:id="887454392">
      <w:bodyDiv w:val="1"/>
      <w:marLeft w:val="0"/>
      <w:marRight w:val="0"/>
      <w:marTop w:val="0"/>
      <w:marBottom w:val="0"/>
      <w:divBdr>
        <w:top w:val="none" w:sz="0" w:space="0" w:color="auto"/>
        <w:left w:val="none" w:sz="0" w:space="0" w:color="auto"/>
        <w:bottom w:val="none" w:sz="0" w:space="0" w:color="auto"/>
        <w:right w:val="none" w:sz="0" w:space="0" w:color="auto"/>
      </w:divBdr>
    </w:div>
    <w:div w:id="887838781">
      <w:bodyDiv w:val="1"/>
      <w:marLeft w:val="0"/>
      <w:marRight w:val="0"/>
      <w:marTop w:val="0"/>
      <w:marBottom w:val="0"/>
      <w:divBdr>
        <w:top w:val="none" w:sz="0" w:space="0" w:color="auto"/>
        <w:left w:val="none" w:sz="0" w:space="0" w:color="auto"/>
        <w:bottom w:val="none" w:sz="0" w:space="0" w:color="auto"/>
        <w:right w:val="none" w:sz="0" w:space="0" w:color="auto"/>
      </w:divBdr>
    </w:div>
    <w:div w:id="889196617">
      <w:bodyDiv w:val="1"/>
      <w:marLeft w:val="0"/>
      <w:marRight w:val="0"/>
      <w:marTop w:val="0"/>
      <w:marBottom w:val="0"/>
      <w:divBdr>
        <w:top w:val="none" w:sz="0" w:space="0" w:color="auto"/>
        <w:left w:val="none" w:sz="0" w:space="0" w:color="auto"/>
        <w:bottom w:val="none" w:sz="0" w:space="0" w:color="auto"/>
        <w:right w:val="none" w:sz="0" w:space="0" w:color="auto"/>
      </w:divBdr>
    </w:div>
    <w:div w:id="889733544">
      <w:bodyDiv w:val="1"/>
      <w:marLeft w:val="0"/>
      <w:marRight w:val="0"/>
      <w:marTop w:val="0"/>
      <w:marBottom w:val="0"/>
      <w:divBdr>
        <w:top w:val="none" w:sz="0" w:space="0" w:color="auto"/>
        <w:left w:val="none" w:sz="0" w:space="0" w:color="auto"/>
        <w:bottom w:val="none" w:sz="0" w:space="0" w:color="auto"/>
        <w:right w:val="none" w:sz="0" w:space="0" w:color="auto"/>
      </w:divBdr>
    </w:div>
    <w:div w:id="889921433">
      <w:bodyDiv w:val="1"/>
      <w:marLeft w:val="0"/>
      <w:marRight w:val="0"/>
      <w:marTop w:val="0"/>
      <w:marBottom w:val="0"/>
      <w:divBdr>
        <w:top w:val="none" w:sz="0" w:space="0" w:color="auto"/>
        <w:left w:val="none" w:sz="0" w:space="0" w:color="auto"/>
        <w:bottom w:val="none" w:sz="0" w:space="0" w:color="auto"/>
        <w:right w:val="none" w:sz="0" w:space="0" w:color="auto"/>
      </w:divBdr>
    </w:div>
    <w:div w:id="890309141">
      <w:bodyDiv w:val="1"/>
      <w:marLeft w:val="0"/>
      <w:marRight w:val="0"/>
      <w:marTop w:val="0"/>
      <w:marBottom w:val="0"/>
      <w:divBdr>
        <w:top w:val="none" w:sz="0" w:space="0" w:color="auto"/>
        <w:left w:val="none" w:sz="0" w:space="0" w:color="auto"/>
        <w:bottom w:val="none" w:sz="0" w:space="0" w:color="auto"/>
        <w:right w:val="none" w:sz="0" w:space="0" w:color="auto"/>
      </w:divBdr>
    </w:div>
    <w:div w:id="890532608">
      <w:bodyDiv w:val="1"/>
      <w:marLeft w:val="0"/>
      <w:marRight w:val="0"/>
      <w:marTop w:val="0"/>
      <w:marBottom w:val="0"/>
      <w:divBdr>
        <w:top w:val="none" w:sz="0" w:space="0" w:color="auto"/>
        <w:left w:val="none" w:sz="0" w:space="0" w:color="auto"/>
        <w:bottom w:val="none" w:sz="0" w:space="0" w:color="auto"/>
        <w:right w:val="none" w:sz="0" w:space="0" w:color="auto"/>
      </w:divBdr>
    </w:div>
    <w:div w:id="890726997">
      <w:bodyDiv w:val="1"/>
      <w:marLeft w:val="0"/>
      <w:marRight w:val="0"/>
      <w:marTop w:val="0"/>
      <w:marBottom w:val="0"/>
      <w:divBdr>
        <w:top w:val="none" w:sz="0" w:space="0" w:color="auto"/>
        <w:left w:val="none" w:sz="0" w:space="0" w:color="auto"/>
        <w:bottom w:val="none" w:sz="0" w:space="0" w:color="auto"/>
        <w:right w:val="none" w:sz="0" w:space="0" w:color="auto"/>
      </w:divBdr>
    </w:div>
    <w:div w:id="894587968">
      <w:bodyDiv w:val="1"/>
      <w:marLeft w:val="0"/>
      <w:marRight w:val="0"/>
      <w:marTop w:val="0"/>
      <w:marBottom w:val="0"/>
      <w:divBdr>
        <w:top w:val="none" w:sz="0" w:space="0" w:color="auto"/>
        <w:left w:val="none" w:sz="0" w:space="0" w:color="auto"/>
        <w:bottom w:val="none" w:sz="0" w:space="0" w:color="auto"/>
        <w:right w:val="none" w:sz="0" w:space="0" w:color="auto"/>
      </w:divBdr>
    </w:div>
    <w:div w:id="894975721">
      <w:bodyDiv w:val="1"/>
      <w:marLeft w:val="0"/>
      <w:marRight w:val="0"/>
      <w:marTop w:val="0"/>
      <w:marBottom w:val="0"/>
      <w:divBdr>
        <w:top w:val="none" w:sz="0" w:space="0" w:color="auto"/>
        <w:left w:val="none" w:sz="0" w:space="0" w:color="auto"/>
        <w:bottom w:val="none" w:sz="0" w:space="0" w:color="auto"/>
        <w:right w:val="none" w:sz="0" w:space="0" w:color="auto"/>
      </w:divBdr>
    </w:div>
    <w:div w:id="896279690">
      <w:bodyDiv w:val="1"/>
      <w:marLeft w:val="0"/>
      <w:marRight w:val="0"/>
      <w:marTop w:val="0"/>
      <w:marBottom w:val="0"/>
      <w:divBdr>
        <w:top w:val="none" w:sz="0" w:space="0" w:color="auto"/>
        <w:left w:val="none" w:sz="0" w:space="0" w:color="auto"/>
        <w:bottom w:val="none" w:sz="0" w:space="0" w:color="auto"/>
        <w:right w:val="none" w:sz="0" w:space="0" w:color="auto"/>
      </w:divBdr>
    </w:div>
    <w:div w:id="896402885">
      <w:bodyDiv w:val="1"/>
      <w:marLeft w:val="0"/>
      <w:marRight w:val="0"/>
      <w:marTop w:val="0"/>
      <w:marBottom w:val="0"/>
      <w:divBdr>
        <w:top w:val="none" w:sz="0" w:space="0" w:color="auto"/>
        <w:left w:val="none" w:sz="0" w:space="0" w:color="auto"/>
        <w:bottom w:val="none" w:sz="0" w:space="0" w:color="auto"/>
        <w:right w:val="none" w:sz="0" w:space="0" w:color="auto"/>
      </w:divBdr>
    </w:div>
    <w:div w:id="896432016">
      <w:bodyDiv w:val="1"/>
      <w:marLeft w:val="0"/>
      <w:marRight w:val="0"/>
      <w:marTop w:val="0"/>
      <w:marBottom w:val="0"/>
      <w:divBdr>
        <w:top w:val="none" w:sz="0" w:space="0" w:color="auto"/>
        <w:left w:val="none" w:sz="0" w:space="0" w:color="auto"/>
        <w:bottom w:val="none" w:sz="0" w:space="0" w:color="auto"/>
        <w:right w:val="none" w:sz="0" w:space="0" w:color="auto"/>
      </w:divBdr>
    </w:div>
    <w:div w:id="897126742">
      <w:bodyDiv w:val="1"/>
      <w:marLeft w:val="0"/>
      <w:marRight w:val="0"/>
      <w:marTop w:val="0"/>
      <w:marBottom w:val="0"/>
      <w:divBdr>
        <w:top w:val="none" w:sz="0" w:space="0" w:color="auto"/>
        <w:left w:val="none" w:sz="0" w:space="0" w:color="auto"/>
        <w:bottom w:val="none" w:sz="0" w:space="0" w:color="auto"/>
        <w:right w:val="none" w:sz="0" w:space="0" w:color="auto"/>
      </w:divBdr>
    </w:div>
    <w:div w:id="897520562">
      <w:bodyDiv w:val="1"/>
      <w:marLeft w:val="0"/>
      <w:marRight w:val="0"/>
      <w:marTop w:val="0"/>
      <w:marBottom w:val="0"/>
      <w:divBdr>
        <w:top w:val="none" w:sz="0" w:space="0" w:color="auto"/>
        <w:left w:val="none" w:sz="0" w:space="0" w:color="auto"/>
        <w:bottom w:val="none" w:sz="0" w:space="0" w:color="auto"/>
        <w:right w:val="none" w:sz="0" w:space="0" w:color="auto"/>
      </w:divBdr>
    </w:div>
    <w:div w:id="897546241">
      <w:bodyDiv w:val="1"/>
      <w:marLeft w:val="0"/>
      <w:marRight w:val="0"/>
      <w:marTop w:val="0"/>
      <w:marBottom w:val="0"/>
      <w:divBdr>
        <w:top w:val="none" w:sz="0" w:space="0" w:color="auto"/>
        <w:left w:val="none" w:sz="0" w:space="0" w:color="auto"/>
        <w:bottom w:val="none" w:sz="0" w:space="0" w:color="auto"/>
        <w:right w:val="none" w:sz="0" w:space="0" w:color="auto"/>
      </w:divBdr>
    </w:div>
    <w:div w:id="897596600">
      <w:bodyDiv w:val="1"/>
      <w:marLeft w:val="0"/>
      <w:marRight w:val="0"/>
      <w:marTop w:val="0"/>
      <w:marBottom w:val="0"/>
      <w:divBdr>
        <w:top w:val="none" w:sz="0" w:space="0" w:color="auto"/>
        <w:left w:val="none" w:sz="0" w:space="0" w:color="auto"/>
        <w:bottom w:val="none" w:sz="0" w:space="0" w:color="auto"/>
        <w:right w:val="none" w:sz="0" w:space="0" w:color="auto"/>
      </w:divBdr>
    </w:div>
    <w:div w:id="898051715">
      <w:bodyDiv w:val="1"/>
      <w:marLeft w:val="0"/>
      <w:marRight w:val="0"/>
      <w:marTop w:val="0"/>
      <w:marBottom w:val="0"/>
      <w:divBdr>
        <w:top w:val="none" w:sz="0" w:space="0" w:color="auto"/>
        <w:left w:val="none" w:sz="0" w:space="0" w:color="auto"/>
        <w:bottom w:val="none" w:sz="0" w:space="0" w:color="auto"/>
        <w:right w:val="none" w:sz="0" w:space="0" w:color="auto"/>
      </w:divBdr>
    </w:div>
    <w:div w:id="899098220">
      <w:bodyDiv w:val="1"/>
      <w:marLeft w:val="0"/>
      <w:marRight w:val="0"/>
      <w:marTop w:val="0"/>
      <w:marBottom w:val="0"/>
      <w:divBdr>
        <w:top w:val="none" w:sz="0" w:space="0" w:color="auto"/>
        <w:left w:val="none" w:sz="0" w:space="0" w:color="auto"/>
        <w:bottom w:val="none" w:sz="0" w:space="0" w:color="auto"/>
        <w:right w:val="none" w:sz="0" w:space="0" w:color="auto"/>
      </w:divBdr>
    </w:div>
    <w:div w:id="899291268">
      <w:bodyDiv w:val="1"/>
      <w:marLeft w:val="0"/>
      <w:marRight w:val="0"/>
      <w:marTop w:val="0"/>
      <w:marBottom w:val="0"/>
      <w:divBdr>
        <w:top w:val="none" w:sz="0" w:space="0" w:color="auto"/>
        <w:left w:val="none" w:sz="0" w:space="0" w:color="auto"/>
        <w:bottom w:val="none" w:sz="0" w:space="0" w:color="auto"/>
        <w:right w:val="none" w:sz="0" w:space="0" w:color="auto"/>
      </w:divBdr>
    </w:div>
    <w:div w:id="899822391">
      <w:bodyDiv w:val="1"/>
      <w:marLeft w:val="0"/>
      <w:marRight w:val="0"/>
      <w:marTop w:val="0"/>
      <w:marBottom w:val="0"/>
      <w:divBdr>
        <w:top w:val="none" w:sz="0" w:space="0" w:color="auto"/>
        <w:left w:val="none" w:sz="0" w:space="0" w:color="auto"/>
        <w:bottom w:val="none" w:sz="0" w:space="0" w:color="auto"/>
        <w:right w:val="none" w:sz="0" w:space="0" w:color="auto"/>
      </w:divBdr>
    </w:div>
    <w:div w:id="900213572">
      <w:bodyDiv w:val="1"/>
      <w:marLeft w:val="0"/>
      <w:marRight w:val="0"/>
      <w:marTop w:val="0"/>
      <w:marBottom w:val="0"/>
      <w:divBdr>
        <w:top w:val="none" w:sz="0" w:space="0" w:color="auto"/>
        <w:left w:val="none" w:sz="0" w:space="0" w:color="auto"/>
        <w:bottom w:val="none" w:sz="0" w:space="0" w:color="auto"/>
        <w:right w:val="none" w:sz="0" w:space="0" w:color="auto"/>
      </w:divBdr>
    </w:div>
    <w:div w:id="900674781">
      <w:bodyDiv w:val="1"/>
      <w:marLeft w:val="0"/>
      <w:marRight w:val="0"/>
      <w:marTop w:val="0"/>
      <w:marBottom w:val="0"/>
      <w:divBdr>
        <w:top w:val="none" w:sz="0" w:space="0" w:color="auto"/>
        <w:left w:val="none" w:sz="0" w:space="0" w:color="auto"/>
        <w:bottom w:val="none" w:sz="0" w:space="0" w:color="auto"/>
        <w:right w:val="none" w:sz="0" w:space="0" w:color="auto"/>
      </w:divBdr>
    </w:div>
    <w:div w:id="901519904">
      <w:bodyDiv w:val="1"/>
      <w:marLeft w:val="0"/>
      <w:marRight w:val="0"/>
      <w:marTop w:val="0"/>
      <w:marBottom w:val="0"/>
      <w:divBdr>
        <w:top w:val="none" w:sz="0" w:space="0" w:color="auto"/>
        <w:left w:val="none" w:sz="0" w:space="0" w:color="auto"/>
        <w:bottom w:val="none" w:sz="0" w:space="0" w:color="auto"/>
        <w:right w:val="none" w:sz="0" w:space="0" w:color="auto"/>
      </w:divBdr>
    </w:div>
    <w:div w:id="901520332">
      <w:bodyDiv w:val="1"/>
      <w:marLeft w:val="0"/>
      <w:marRight w:val="0"/>
      <w:marTop w:val="0"/>
      <w:marBottom w:val="0"/>
      <w:divBdr>
        <w:top w:val="none" w:sz="0" w:space="0" w:color="auto"/>
        <w:left w:val="none" w:sz="0" w:space="0" w:color="auto"/>
        <w:bottom w:val="none" w:sz="0" w:space="0" w:color="auto"/>
        <w:right w:val="none" w:sz="0" w:space="0" w:color="auto"/>
      </w:divBdr>
    </w:div>
    <w:div w:id="903444157">
      <w:bodyDiv w:val="1"/>
      <w:marLeft w:val="0"/>
      <w:marRight w:val="0"/>
      <w:marTop w:val="0"/>
      <w:marBottom w:val="0"/>
      <w:divBdr>
        <w:top w:val="none" w:sz="0" w:space="0" w:color="auto"/>
        <w:left w:val="none" w:sz="0" w:space="0" w:color="auto"/>
        <w:bottom w:val="none" w:sz="0" w:space="0" w:color="auto"/>
        <w:right w:val="none" w:sz="0" w:space="0" w:color="auto"/>
      </w:divBdr>
    </w:div>
    <w:div w:id="903760432">
      <w:bodyDiv w:val="1"/>
      <w:marLeft w:val="0"/>
      <w:marRight w:val="0"/>
      <w:marTop w:val="0"/>
      <w:marBottom w:val="0"/>
      <w:divBdr>
        <w:top w:val="none" w:sz="0" w:space="0" w:color="auto"/>
        <w:left w:val="none" w:sz="0" w:space="0" w:color="auto"/>
        <w:bottom w:val="none" w:sz="0" w:space="0" w:color="auto"/>
        <w:right w:val="none" w:sz="0" w:space="0" w:color="auto"/>
      </w:divBdr>
      <w:divsChild>
        <w:div w:id="1331450533">
          <w:marLeft w:val="0"/>
          <w:marRight w:val="0"/>
          <w:marTop w:val="0"/>
          <w:marBottom w:val="0"/>
          <w:divBdr>
            <w:top w:val="none" w:sz="0" w:space="0" w:color="auto"/>
            <w:left w:val="none" w:sz="0" w:space="0" w:color="auto"/>
            <w:bottom w:val="none" w:sz="0" w:space="0" w:color="auto"/>
            <w:right w:val="none" w:sz="0" w:space="0" w:color="auto"/>
          </w:divBdr>
        </w:div>
        <w:div w:id="1605188324">
          <w:marLeft w:val="1122"/>
          <w:marRight w:val="1122"/>
          <w:marTop w:val="1122"/>
          <w:marBottom w:val="94"/>
          <w:divBdr>
            <w:top w:val="none" w:sz="0" w:space="0" w:color="auto"/>
            <w:left w:val="none" w:sz="0" w:space="0" w:color="auto"/>
            <w:bottom w:val="none" w:sz="0" w:space="0" w:color="auto"/>
            <w:right w:val="none" w:sz="0" w:space="0" w:color="auto"/>
          </w:divBdr>
        </w:div>
      </w:divsChild>
    </w:div>
    <w:div w:id="904489212">
      <w:bodyDiv w:val="1"/>
      <w:marLeft w:val="0"/>
      <w:marRight w:val="0"/>
      <w:marTop w:val="0"/>
      <w:marBottom w:val="0"/>
      <w:divBdr>
        <w:top w:val="none" w:sz="0" w:space="0" w:color="auto"/>
        <w:left w:val="none" w:sz="0" w:space="0" w:color="auto"/>
        <w:bottom w:val="none" w:sz="0" w:space="0" w:color="auto"/>
        <w:right w:val="none" w:sz="0" w:space="0" w:color="auto"/>
      </w:divBdr>
    </w:div>
    <w:div w:id="904729964">
      <w:bodyDiv w:val="1"/>
      <w:marLeft w:val="0"/>
      <w:marRight w:val="0"/>
      <w:marTop w:val="0"/>
      <w:marBottom w:val="0"/>
      <w:divBdr>
        <w:top w:val="none" w:sz="0" w:space="0" w:color="auto"/>
        <w:left w:val="none" w:sz="0" w:space="0" w:color="auto"/>
        <w:bottom w:val="none" w:sz="0" w:space="0" w:color="auto"/>
        <w:right w:val="none" w:sz="0" w:space="0" w:color="auto"/>
      </w:divBdr>
    </w:div>
    <w:div w:id="904996360">
      <w:bodyDiv w:val="1"/>
      <w:marLeft w:val="0"/>
      <w:marRight w:val="0"/>
      <w:marTop w:val="0"/>
      <w:marBottom w:val="0"/>
      <w:divBdr>
        <w:top w:val="none" w:sz="0" w:space="0" w:color="auto"/>
        <w:left w:val="none" w:sz="0" w:space="0" w:color="auto"/>
        <w:bottom w:val="none" w:sz="0" w:space="0" w:color="auto"/>
        <w:right w:val="none" w:sz="0" w:space="0" w:color="auto"/>
      </w:divBdr>
    </w:div>
    <w:div w:id="907500650">
      <w:bodyDiv w:val="1"/>
      <w:marLeft w:val="0"/>
      <w:marRight w:val="0"/>
      <w:marTop w:val="0"/>
      <w:marBottom w:val="0"/>
      <w:divBdr>
        <w:top w:val="none" w:sz="0" w:space="0" w:color="auto"/>
        <w:left w:val="none" w:sz="0" w:space="0" w:color="auto"/>
        <w:bottom w:val="none" w:sz="0" w:space="0" w:color="auto"/>
        <w:right w:val="none" w:sz="0" w:space="0" w:color="auto"/>
      </w:divBdr>
    </w:div>
    <w:div w:id="908461619">
      <w:bodyDiv w:val="1"/>
      <w:marLeft w:val="0"/>
      <w:marRight w:val="0"/>
      <w:marTop w:val="0"/>
      <w:marBottom w:val="0"/>
      <w:divBdr>
        <w:top w:val="none" w:sz="0" w:space="0" w:color="auto"/>
        <w:left w:val="none" w:sz="0" w:space="0" w:color="auto"/>
        <w:bottom w:val="none" w:sz="0" w:space="0" w:color="auto"/>
        <w:right w:val="none" w:sz="0" w:space="0" w:color="auto"/>
      </w:divBdr>
    </w:div>
    <w:div w:id="910190762">
      <w:bodyDiv w:val="1"/>
      <w:marLeft w:val="0"/>
      <w:marRight w:val="0"/>
      <w:marTop w:val="0"/>
      <w:marBottom w:val="0"/>
      <w:divBdr>
        <w:top w:val="none" w:sz="0" w:space="0" w:color="auto"/>
        <w:left w:val="none" w:sz="0" w:space="0" w:color="auto"/>
        <w:bottom w:val="none" w:sz="0" w:space="0" w:color="auto"/>
        <w:right w:val="none" w:sz="0" w:space="0" w:color="auto"/>
      </w:divBdr>
    </w:div>
    <w:div w:id="911424187">
      <w:bodyDiv w:val="1"/>
      <w:marLeft w:val="0"/>
      <w:marRight w:val="0"/>
      <w:marTop w:val="0"/>
      <w:marBottom w:val="0"/>
      <w:divBdr>
        <w:top w:val="none" w:sz="0" w:space="0" w:color="auto"/>
        <w:left w:val="none" w:sz="0" w:space="0" w:color="auto"/>
        <w:bottom w:val="none" w:sz="0" w:space="0" w:color="auto"/>
        <w:right w:val="none" w:sz="0" w:space="0" w:color="auto"/>
      </w:divBdr>
    </w:div>
    <w:div w:id="913126818">
      <w:bodyDiv w:val="1"/>
      <w:marLeft w:val="0"/>
      <w:marRight w:val="0"/>
      <w:marTop w:val="0"/>
      <w:marBottom w:val="0"/>
      <w:divBdr>
        <w:top w:val="none" w:sz="0" w:space="0" w:color="auto"/>
        <w:left w:val="none" w:sz="0" w:space="0" w:color="auto"/>
        <w:bottom w:val="none" w:sz="0" w:space="0" w:color="auto"/>
        <w:right w:val="none" w:sz="0" w:space="0" w:color="auto"/>
      </w:divBdr>
    </w:div>
    <w:div w:id="913392090">
      <w:bodyDiv w:val="1"/>
      <w:marLeft w:val="0"/>
      <w:marRight w:val="0"/>
      <w:marTop w:val="0"/>
      <w:marBottom w:val="0"/>
      <w:divBdr>
        <w:top w:val="none" w:sz="0" w:space="0" w:color="auto"/>
        <w:left w:val="none" w:sz="0" w:space="0" w:color="auto"/>
        <w:bottom w:val="none" w:sz="0" w:space="0" w:color="auto"/>
        <w:right w:val="none" w:sz="0" w:space="0" w:color="auto"/>
      </w:divBdr>
    </w:div>
    <w:div w:id="913930275">
      <w:bodyDiv w:val="1"/>
      <w:marLeft w:val="0"/>
      <w:marRight w:val="0"/>
      <w:marTop w:val="0"/>
      <w:marBottom w:val="0"/>
      <w:divBdr>
        <w:top w:val="none" w:sz="0" w:space="0" w:color="auto"/>
        <w:left w:val="none" w:sz="0" w:space="0" w:color="auto"/>
        <w:bottom w:val="none" w:sz="0" w:space="0" w:color="auto"/>
        <w:right w:val="none" w:sz="0" w:space="0" w:color="auto"/>
      </w:divBdr>
    </w:div>
    <w:div w:id="914634575">
      <w:bodyDiv w:val="1"/>
      <w:marLeft w:val="0"/>
      <w:marRight w:val="0"/>
      <w:marTop w:val="0"/>
      <w:marBottom w:val="0"/>
      <w:divBdr>
        <w:top w:val="none" w:sz="0" w:space="0" w:color="auto"/>
        <w:left w:val="none" w:sz="0" w:space="0" w:color="auto"/>
        <w:bottom w:val="none" w:sz="0" w:space="0" w:color="auto"/>
        <w:right w:val="none" w:sz="0" w:space="0" w:color="auto"/>
      </w:divBdr>
    </w:div>
    <w:div w:id="914707780">
      <w:bodyDiv w:val="1"/>
      <w:marLeft w:val="0"/>
      <w:marRight w:val="0"/>
      <w:marTop w:val="0"/>
      <w:marBottom w:val="0"/>
      <w:divBdr>
        <w:top w:val="none" w:sz="0" w:space="0" w:color="auto"/>
        <w:left w:val="none" w:sz="0" w:space="0" w:color="auto"/>
        <w:bottom w:val="none" w:sz="0" w:space="0" w:color="auto"/>
        <w:right w:val="none" w:sz="0" w:space="0" w:color="auto"/>
      </w:divBdr>
    </w:div>
    <w:div w:id="916014062">
      <w:bodyDiv w:val="1"/>
      <w:marLeft w:val="0"/>
      <w:marRight w:val="0"/>
      <w:marTop w:val="0"/>
      <w:marBottom w:val="0"/>
      <w:divBdr>
        <w:top w:val="none" w:sz="0" w:space="0" w:color="auto"/>
        <w:left w:val="none" w:sz="0" w:space="0" w:color="auto"/>
        <w:bottom w:val="none" w:sz="0" w:space="0" w:color="auto"/>
        <w:right w:val="none" w:sz="0" w:space="0" w:color="auto"/>
      </w:divBdr>
    </w:div>
    <w:div w:id="916204330">
      <w:bodyDiv w:val="1"/>
      <w:marLeft w:val="0"/>
      <w:marRight w:val="0"/>
      <w:marTop w:val="0"/>
      <w:marBottom w:val="0"/>
      <w:divBdr>
        <w:top w:val="none" w:sz="0" w:space="0" w:color="auto"/>
        <w:left w:val="none" w:sz="0" w:space="0" w:color="auto"/>
        <w:bottom w:val="none" w:sz="0" w:space="0" w:color="auto"/>
        <w:right w:val="none" w:sz="0" w:space="0" w:color="auto"/>
      </w:divBdr>
    </w:div>
    <w:div w:id="916863666">
      <w:bodyDiv w:val="1"/>
      <w:marLeft w:val="0"/>
      <w:marRight w:val="0"/>
      <w:marTop w:val="0"/>
      <w:marBottom w:val="0"/>
      <w:divBdr>
        <w:top w:val="none" w:sz="0" w:space="0" w:color="auto"/>
        <w:left w:val="none" w:sz="0" w:space="0" w:color="auto"/>
        <w:bottom w:val="none" w:sz="0" w:space="0" w:color="auto"/>
        <w:right w:val="none" w:sz="0" w:space="0" w:color="auto"/>
      </w:divBdr>
    </w:div>
    <w:div w:id="918442416">
      <w:bodyDiv w:val="1"/>
      <w:marLeft w:val="0"/>
      <w:marRight w:val="0"/>
      <w:marTop w:val="0"/>
      <w:marBottom w:val="0"/>
      <w:divBdr>
        <w:top w:val="none" w:sz="0" w:space="0" w:color="auto"/>
        <w:left w:val="none" w:sz="0" w:space="0" w:color="auto"/>
        <w:bottom w:val="none" w:sz="0" w:space="0" w:color="auto"/>
        <w:right w:val="none" w:sz="0" w:space="0" w:color="auto"/>
      </w:divBdr>
    </w:div>
    <w:div w:id="919294651">
      <w:bodyDiv w:val="1"/>
      <w:marLeft w:val="0"/>
      <w:marRight w:val="0"/>
      <w:marTop w:val="0"/>
      <w:marBottom w:val="0"/>
      <w:divBdr>
        <w:top w:val="none" w:sz="0" w:space="0" w:color="auto"/>
        <w:left w:val="none" w:sz="0" w:space="0" w:color="auto"/>
        <w:bottom w:val="none" w:sz="0" w:space="0" w:color="auto"/>
        <w:right w:val="none" w:sz="0" w:space="0" w:color="auto"/>
      </w:divBdr>
    </w:div>
    <w:div w:id="919607400">
      <w:bodyDiv w:val="1"/>
      <w:marLeft w:val="0"/>
      <w:marRight w:val="0"/>
      <w:marTop w:val="0"/>
      <w:marBottom w:val="0"/>
      <w:divBdr>
        <w:top w:val="none" w:sz="0" w:space="0" w:color="auto"/>
        <w:left w:val="none" w:sz="0" w:space="0" w:color="auto"/>
        <w:bottom w:val="none" w:sz="0" w:space="0" w:color="auto"/>
        <w:right w:val="none" w:sz="0" w:space="0" w:color="auto"/>
      </w:divBdr>
    </w:div>
    <w:div w:id="919947332">
      <w:bodyDiv w:val="1"/>
      <w:marLeft w:val="0"/>
      <w:marRight w:val="0"/>
      <w:marTop w:val="0"/>
      <w:marBottom w:val="0"/>
      <w:divBdr>
        <w:top w:val="none" w:sz="0" w:space="0" w:color="auto"/>
        <w:left w:val="none" w:sz="0" w:space="0" w:color="auto"/>
        <w:bottom w:val="none" w:sz="0" w:space="0" w:color="auto"/>
        <w:right w:val="none" w:sz="0" w:space="0" w:color="auto"/>
      </w:divBdr>
    </w:div>
    <w:div w:id="920063579">
      <w:bodyDiv w:val="1"/>
      <w:marLeft w:val="0"/>
      <w:marRight w:val="0"/>
      <w:marTop w:val="0"/>
      <w:marBottom w:val="0"/>
      <w:divBdr>
        <w:top w:val="none" w:sz="0" w:space="0" w:color="auto"/>
        <w:left w:val="none" w:sz="0" w:space="0" w:color="auto"/>
        <w:bottom w:val="none" w:sz="0" w:space="0" w:color="auto"/>
        <w:right w:val="none" w:sz="0" w:space="0" w:color="auto"/>
      </w:divBdr>
    </w:div>
    <w:div w:id="921062302">
      <w:bodyDiv w:val="1"/>
      <w:marLeft w:val="0"/>
      <w:marRight w:val="0"/>
      <w:marTop w:val="0"/>
      <w:marBottom w:val="0"/>
      <w:divBdr>
        <w:top w:val="none" w:sz="0" w:space="0" w:color="auto"/>
        <w:left w:val="none" w:sz="0" w:space="0" w:color="auto"/>
        <w:bottom w:val="none" w:sz="0" w:space="0" w:color="auto"/>
        <w:right w:val="none" w:sz="0" w:space="0" w:color="auto"/>
      </w:divBdr>
    </w:div>
    <w:div w:id="921379239">
      <w:bodyDiv w:val="1"/>
      <w:marLeft w:val="0"/>
      <w:marRight w:val="0"/>
      <w:marTop w:val="0"/>
      <w:marBottom w:val="0"/>
      <w:divBdr>
        <w:top w:val="none" w:sz="0" w:space="0" w:color="auto"/>
        <w:left w:val="none" w:sz="0" w:space="0" w:color="auto"/>
        <w:bottom w:val="none" w:sz="0" w:space="0" w:color="auto"/>
        <w:right w:val="none" w:sz="0" w:space="0" w:color="auto"/>
      </w:divBdr>
    </w:div>
    <w:div w:id="922255076">
      <w:bodyDiv w:val="1"/>
      <w:marLeft w:val="0"/>
      <w:marRight w:val="0"/>
      <w:marTop w:val="0"/>
      <w:marBottom w:val="0"/>
      <w:divBdr>
        <w:top w:val="none" w:sz="0" w:space="0" w:color="auto"/>
        <w:left w:val="none" w:sz="0" w:space="0" w:color="auto"/>
        <w:bottom w:val="none" w:sz="0" w:space="0" w:color="auto"/>
        <w:right w:val="none" w:sz="0" w:space="0" w:color="auto"/>
      </w:divBdr>
    </w:div>
    <w:div w:id="923225656">
      <w:bodyDiv w:val="1"/>
      <w:marLeft w:val="0"/>
      <w:marRight w:val="0"/>
      <w:marTop w:val="0"/>
      <w:marBottom w:val="0"/>
      <w:divBdr>
        <w:top w:val="none" w:sz="0" w:space="0" w:color="auto"/>
        <w:left w:val="none" w:sz="0" w:space="0" w:color="auto"/>
        <w:bottom w:val="none" w:sz="0" w:space="0" w:color="auto"/>
        <w:right w:val="none" w:sz="0" w:space="0" w:color="auto"/>
      </w:divBdr>
    </w:div>
    <w:div w:id="924189217">
      <w:bodyDiv w:val="1"/>
      <w:marLeft w:val="0"/>
      <w:marRight w:val="0"/>
      <w:marTop w:val="0"/>
      <w:marBottom w:val="0"/>
      <w:divBdr>
        <w:top w:val="none" w:sz="0" w:space="0" w:color="auto"/>
        <w:left w:val="none" w:sz="0" w:space="0" w:color="auto"/>
        <w:bottom w:val="none" w:sz="0" w:space="0" w:color="auto"/>
        <w:right w:val="none" w:sz="0" w:space="0" w:color="auto"/>
      </w:divBdr>
    </w:div>
    <w:div w:id="924267632">
      <w:bodyDiv w:val="1"/>
      <w:marLeft w:val="0"/>
      <w:marRight w:val="0"/>
      <w:marTop w:val="0"/>
      <w:marBottom w:val="0"/>
      <w:divBdr>
        <w:top w:val="none" w:sz="0" w:space="0" w:color="auto"/>
        <w:left w:val="none" w:sz="0" w:space="0" w:color="auto"/>
        <w:bottom w:val="none" w:sz="0" w:space="0" w:color="auto"/>
        <w:right w:val="none" w:sz="0" w:space="0" w:color="auto"/>
      </w:divBdr>
    </w:div>
    <w:div w:id="924338594">
      <w:bodyDiv w:val="1"/>
      <w:marLeft w:val="0"/>
      <w:marRight w:val="0"/>
      <w:marTop w:val="0"/>
      <w:marBottom w:val="0"/>
      <w:divBdr>
        <w:top w:val="none" w:sz="0" w:space="0" w:color="auto"/>
        <w:left w:val="none" w:sz="0" w:space="0" w:color="auto"/>
        <w:bottom w:val="none" w:sz="0" w:space="0" w:color="auto"/>
        <w:right w:val="none" w:sz="0" w:space="0" w:color="auto"/>
      </w:divBdr>
    </w:div>
    <w:div w:id="924342935">
      <w:bodyDiv w:val="1"/>
      <w:marLeft w:val="0"/>
      <w:marRight w:val="0"/>
      <w:marTop w:val="0"/>
      <w:marBottom w:val="0"/>
      <w:divBdr>
        <w:top w:val="none" w:sz="0" w:space="0" w:color="auto"/>
        <w:left w:val="none" w:sz="0" w:space="0" w:color="auto"/>
        <w:bottom w:val="none" w:sz="0" w:space="0" w:color="auto"/>
        <w:right w:val="none" w:sz="0" w:space="0" w:color="auto"/>
      </w:divBdr>
    </w:div>
    <w:div w:id="924656061">
      <w:bodyDiv w:val="1"/>
      <w:marLeft w:val="0"/>
      <w:marRight w:val="0"/>
      <w:marTop w:val="0"/>
      <w:marBottom w:val="0"/>
      <w:divBdr>
        <w:top w:val="none" w:sz="0" w:space="0" w:color="auto"/>
        <w:left w:val="none" w:sz="0" w:space="0" w:color="auto"/>
        <w:bottom w:val="none" w:sz="0" w:space="0" w:color="auto"/>
        <w:right w:val="none" w:sz="0" w:space="0" w:color="auto"/>
      </w:divBdr>
    </w:div>
    <w:div w:id="925187718">
      <w:bodyDiv w:val="1"/>
      <w:marLeft w:val="0"/>
      <w:marRight w:val="0"/>
      <w:marTop w:val="0"/>
      <w:marBottom w:val="0"/>
      <w:divBdr>
        <w:top w:val="none" w:sz="0" w:space="0" w:color="auto"/>
        <w:left w:val="none" w:sz="0" w:space="0" w:color="auto"/>
        <w:bottom w:val="none" w:sz="0" w:space="0" w:color="auto"/>
        <w:right w:val="none" w:sz="0" w:space="0" w:color="auto"/>
      </w:divBdr>
    </w:div>
    <w:div w:id="925842032">
      <w:bodyDiv w:val="1"/>
      <w:marLeft w:val="0"/>
      <w:marRight w:val="0"/>
      <w:marTop w:val="0"/>
      <w:marBottom w:val="0"/>
      <w:divBdr>
        <w:top w:val="none" w:sz="0" w:space="0" w:color="auto"/>
        <w:left w:val="none" w:sz="0" w:space="0" w:color="auto"/>
        <w:bottom w:val="none" w:sz="0" w:space="0" w:color="auto"/>
        <w:right w:val="none" w:sz="0" w:space="0" w:color="auto"/>
      </w:divBdr>
    </w:div>
    <w:div w:id="926764393">
      <w:bodyDiv w:val="1"/>
      <w:marLeft w:val="0"/>
      <w:marRight w:val="0"/>
      <w:marTop w:val="0"/>
      <w:marBottom w:val="0"/>
      <w:divBdr>
        <w:top w:val="none" w:sz="0" w:space="0" w:color="auto"/>
        <w:left w:val="none" w:sz="0" w:space="0" w:color="auto"/>
        <w:bottom w:val="none" w:sz="0" w:space="0" w:color="auto"/>
        <w:right w:val="none" w:sz="0" w:space="0" w:color="auto"/>
      </w:divBdr>
    </w:div>
    <w:div w:id="928389447">
      <w:bodyDiv w:val="1"/>
      <w:marLeft w:val="0"/>
      <w:marRight w:val="0"/>
      <w:marTop w:val="0"/>
      <w:marBottom w:val="0"/>
      <w:divBdr>
        <w:top w:val="none" w:sz="0" w:space="0" w:color="auto"/>
        <w:left w:val="none" w:sz="0" w:space="0" w:color="auto"/>
        <w:bottom w:val="none" w:sz="0" w:space="0" w:color="auto"/>
        <w:right w:val="none" w:sz="0" w:space="0" w:color="auto"/>
      </w:divBdr>
    </w:div>
    <w:div w:id="929041536">
      <w:bodyDiv w:val="1"/>
      <w:marLeft w:val="0"/>
      <w:marRight w:val="0"/>
      <w:marTop w:val="0"/>
      <w:marBottom w:val="0"/>
      <w:divBdr>
        <w:top w:val="none" w:sz="0" w:space="0" w:color="auto"/>
        <w:left w:val="none" w:sz="0" w:space="0" w:color="auto"/>
        <w:bottom w:val="none" w:sz="0" w:space="0" w:color="auto"/>
        <w:right w:val="none" w:sz="0" w:space="0" w:color="auto"/>
      </w:divBdr>
    </w:div>
    <w:div w:id="929042326">
      <w:bodyDiv w:val="1"/>
      <w:marLeft w:val="0"/>
      <w:marRight w:val="0"/>
      <w:marTop w:val="0"/>
      <w:marBottom w:val="0"/>
      <w:divBdr>
        <w:top w:val="none" w:sz="0" w:space="0" w:color="auto"/>
        <w:left w:val="none" w:sz="0" w:space="0" w:color="auto"/>
        <w:bottom w:val="none" w:sz="0" w:space="0" w:color="auto"/>
        <w:right w:val="none" w:sz="0" w:space="0" w:color="auto"/>
      </w:divBdr>
    </w:div>
    <w:div w:id="929240832">
      <w:bodyDiv w:val="1"/>
      <w:marLeft w:val="0"/>
      <w:marRight w:val="0"/>
      <w:marTop w:val="0"/>
      <w:marBottom w:val="0"/>
      <w:divBdr>
        <w:top w:val="none" w:sz="0" w:space="0" w:color="auto"/>
        <w:left w:val="none" w:sz="0" w:space="0" w:color="auto"/>
        <w:bottom w:val="none" w:sz="0" w:space="0" w:color="auto"/>
        <w:right w:val="none" w:sz="0" w:space="0" w:color="auto"/>
      </w:divBdr>
    </w:div>
    <w:div w:id="929658208">
      <w:bodyDiv w:val="1"/>
      <w:marLeft w:val="0"/>
      <w:marRight w:val="0"/>
      <w:marTop w:val="0"/>
      <w:marBottom w:val="0"/>
      <w:divBdr>
        <w:top w:val="none" w:sz="0" w:space="0" w:color="auto"/>
        <w:left w:val="none" w:sz="0" w:space="0" w:color="auto"/>
        <w:bottom w:val="none" w:sz="0" w:space="0" w:color="auto"/>
        <w:right w:val="none" w:sz="0" w:space="0" w:color="auto"/>
      </w:divBdr>
    </w:div>
    <w:div w:id="930315745">
      <w:bodyDiv w:val="1"/>
      <w:marLeft w:val="0"/>
      <w:marRight w:val="0"/>
      <w:marTop w:val="0"/>
      <w:marBottom w:val="0"/>
      <w:divBdr>
        <w:top w:val="none" w:sz="0" w:space="0" w:color="auto"/>
        <w:left w:val="none" w:sz="0" w:space="0" w:color="auto"/>
        <w:bottom w:val="none" w:sz="0" w:space="0" w:color="auto"/>
        <w:right w:val="none" w:sz="0" w:space="0" w:color="auto"/>
      </w:divBdr>
    </w:div>
    <w:div w:id="931014985">
      <w:bodyDiv w:val="1"/>
      <w:marLeft w:val="0"/>
      <w:marRight w:val="0"/>
      <w:marTop w:val="0"/>
      <w:marBottom w:val="0"/>
      <w:divBdr>
        <w:top w:val="none" w:sz="0" w:space="0" w:color="auto"/>
        <w:left w:val="none" w:sz="0" w:space="0" w:color="auto"/>
        <w:bottom w:val="none" w:sz="0" w:space="0" w:color="auto"/>
        <w:right w:val="none" w:sz="0" w:space="0" w:color="auto"/>
      </w:divBdr>
    </w:div>
    <w:div w:id="931667541">
      <w:bodyDiv w:val="1"/>
      <w:marLeft w:val="0"/>
      <w:marRight w:val="0"/>
      <w:marTop w:val="0"/>
      <w:marBottom w:val="0"/>
      <w:divBdr>
        <w:top w:val="none" w:sz="0" w:space="0" w:color="auto"/>
        <w:left w:val="none" w:sz="0" w:space="0" w:color="auto"/>
        <w:bottom w:val="none" w:sz="0" w:space="0" w:color="auto"/>
        <w:right w:val="none" w:sz="0" w:space="0" w:color="auto"/>
      </w:divBdr>
    </w:div>
    <w:div w:id="932395790">
      <w:bodyDiv w:val="1"/>
      <w:marLeft w:val="0"/>
      <w:marRight w:val="0"/>
      <w:marTop w:val="0"/>
      <w:marBottom w:val="0"/>
      <w:divBdr>
        <w:top w:val="none" w:sz="0" w:space="0" w:color="auto"/>
        <w:left w:val="none" w:sz="0" w:space="0" w:color="auto"/>
        <w:bottom w:val="none" w:sz="0" w:space="0" w:color="auto"/>
        <w:right w:val="none" w:sz="0" w:space="0" w:color="auto"/>
      </w:divBdr>
    </w:div>
    <w:div w:id="933437976">
      <w:bodyDiv w:val="1"/>
      <w:marLeft w:val="0"/>
      <w:marRight w:val="0"/>
      <w:marTop w:val="0"/>
      <w:marBottom w:val="0"/>
      <w:divBdr>
        <w:top w:val="none" w:sz="0" w:space="0" w:color="auto"/>
        <w:left w:val="none" w:sz="0" w:space="0" w:color="auto"/>
        <w:bottom w:val="none" w:sz="0" w:space="0" w:color="auto"/>
        <w:right w:val="none" w:sz="0" w:space="0" w:color="auto"/>
      </w:divBdr>
    </w:div>
    <w:div w:id="933897510">
      <w:bodyDiv w:val="1"/>
      <w:marLeft w:val="0"/>
      <w:marRight w:val="0"/>
      <w:marTop w:val="0"/>
      <w:marBottom w:val="0"/>
      <w:divBdr>
        <w:top w:val="none" w:sz="0" w:space="0" w:color="auto"/>
        <w:left w:val="none" w:sz="0" w:space="0" w:color="auto"/>
        <w:bottom w:val="none" w:sz="0" w:space="0" w:color="auto"/>
        <w:right w:val="none" w:sz="0" w:space="0" w:color="auto"/>
      </w:divBdr>
    </w:div>
    <w:div w:id="934821743">
      <w:bodyDiv w:val="1"/>
      <w:marLeft w:val="0"/>
      <w:marRight w:val="0"/>
      <w:marTop w:val="0"/>
      <w:marBottom w:val="0"/>
      <w:divBdr>
        <w:top w:val="none" w:sz="0" w:space="0" w:color="auto"/>
        <w:left w:val="none" w:sz="0" w:space="0" w:color="auto"/>
        <w:bottom w:val="none" w:sz="0" w:space="0" w:color="auto"/>
        <w:right w:val="none" w:sz="0" w:space="0" w:color="auto"/>
      </w:divBdr>
    </w:div>
    <w:div w:id="935097555">
      <w:bodyDiv w:val="1"/>
      <w:marLeft w:val="0"/>
      <w:marRight w:val="0"/>
      <w:marTop w:val="0"/>
      <w:marBottom w:val="0"/>
      <w:divBdr>
        <w:top w:val="none" w:sz="0" w:space="0" w:color="auto"/>
        <w:left w:val="none" w:sz="0" w:space="0" w:color="auto"/>
        <w:bottom w:val="none" w:sz="0" w:space="0" w:color="auto"/>
        <w:right w:val="none" w:sz="0" w:space="0" w:color="auto"/>
      </w:divBdr>
    </w:div>
    <w:div w:id="935140492">
      <w:bodyDiv w:val="1"/>
      <w:marLeft w:val="0"/>
      <w:marRight w:val="0"/>
      <w:marTop w:val="0"/>
      <w:marBottom w:val="0"/>
      <w:divBdr>
        <w:top w:val="none" w:sz="0" w:space="0" w:color="auto"/>
        <w:left w:val="none" w:sz="0" w:space="0" w:color="auto"/>
        <w:bottom w:val="none" w:sz="0" w:space="0" w:color="auto"/>
        <w:right w:val="none" w:sz="0" w:space="0" w:color="auto"/>
      </w:divBdr>
    </w:div>
    <w:div w:id="935210354">
      <w:bodyDiv w:val="1"/>
      <w:marLeft w:val="0"/>
      <w:marRight w:val="0"/>
      <w:marTop w:val="0"/>
      <w:marBottom w:val="0"/>
      <w:divBdr>
        <w:top w:val="none" w:sz="0" w:space="0" w:color="auto"/>
        <w:left w:val="none" w:sz="0" w:space="0" w:color="auto"/>
        <w:bottom w:val="none" w:sz="0" w:space="0" w:color="auto"/>
        <w:right w:val="none" w:sz="0" w:space="0" w:color="auto"/>
      </w:divBdr>
    </w:div>
    <w:div w:id="935868300">
      <w:bodyDiv w:val="1"/>
      <w:marLeft w:val="0"/>
      <w:marRight w:val="0"/>
      <w:marTop w:val="0"/>
      <w:marBottom w:val="0"/>
      <w:divBdr>
        <w:top w:val="none" w:sz="0" w:space="0" w:color="auto"/>
        <w:left w:val="none" w:sz="0" w:space="0" w:color="auto"/>
        <w:bottom w:val="none" w:sz="0" w:space="0" w:color="auto"/>
        <w:right w:val="none" w:sz="0" w:space="0" w:color="auto"/>
      </w:divBdr>
    </w:div>
    <w:div w:id="936904277">
      <w:bodyDiv w:val="1"/>
      <w:marLeft w:val="0"/>
      <w:marRight w:val="0"/>
      <w:marTop w:val="0"/>
      <w:marBottom w:val="0"/>
      <w:divBdr>
        <w:top w:val="none" w:sz="0" w:space="0" w:color="auto"/>
        <w:left w:val="none" w:sz="0" w:space="0" w:color="auto"/>
        <w:bottom w:val="none" w:sz="0" w:space="0" w:color="auto"/>
        <w:right w:val="none" w:sz="0" w:space="0" w:color="auto"/>
      </w:divBdr>
    </w:div>
    <w:div w:id="937099835">
      <w:bodyDiv w:val="1"/>
      <w:marLeft w:val="0"/>
      <w:marRight w:val="0"/>
      <w:marTop w:val="0"/>
      <w:marBottom w:val="0"/>
      <w:divBdr>
        <w:top w:val="none" w:sz="0" w:space="0" w:color="auto"/>
        <w:left w:val="none" w:sz="0" w:space="0" w:color="auto"/>
        <w:bottom w:val="none" w:sz="0" w:space="0" w:color="auto"/>
        <w:right w:val="none" w:sz="0" w:space="0" w:color="auto"/>
      </w:divBdr>
    </w:div>
    <w:div w:id="938097320">
      <w:bodyDiv w:val="1"/>
      <w:marLeft w:val="0"/>
      <w:marRight w:val="0"/>
      <w:marTop w:val="0"/>
      <w:marBottom w:val="0"/>
      <w:divBdr>
        <w:top w:val="none" w:sz="0" w:space="0" w:color="auto"/>
        <w:left w:val="none" w:sz="0" w:space="0" w:color="auto"/>
        <w:bottom w:val="none" w:sz="0" w:space="0" w:color="auto"/>
        <w:right w:val="none" w:sz="0" w:space="0" w:color="auto"/>
      </w:divBdr>
    </w:div>
    <w:div w:id="938103048">
      <w:bodyDiv w:val="1"/>
      <w:marLeft w:val="0"/>
      <w:marRight w:val="0"/>
      <w:marTop w:val="0"/>
      <w:marBottom w:val="0"/>
      <w:divBdr>
        <w:top w:val="none" w:sz="0" w:space="0" w:color="auto"/>
        <w:left w:val="none" w:sz="0" w:space="0" w:color="auto"/>
        <w:bottom w:val="none" w:sz="0" w:space="0" w:color="auto"/>
        <w:right w:val="none" w:sz="0" w:space="0" w:color="auto"/>
      </w:divBdr>
    </w:div>
    <w:div w:id="938412032">
      <w:bodyDiv w:val="1"/>
      <w:marLeft w:val="0"/>
      <w:marRight w:val="0"/>
      <w:marTop w:val="0"/>
      <w:marBottom w:val="0"/>
      <w:divBdr>
        <w:top w:val="none" w:sz="0" w:space="0" w:color="auto"/>
        <w:left w:val="none" w:sz="0" w:space="0" w:color="auto"/>
        <w:bottom w:val="none" w:sz="0" w:space="0" w:color="auto"/>
        <w:right w:val="none" w:sz="0" w:space="0" w:color="auto"/>
      </w:divBdr>
    </w:div>
    <w:div w:id="939221910">
      <w:bodyDiv w:val="1"/>
      <w:marLeft w:val="0"/>
      <w:marRight w:val="0"/>
      <w:marTop w:val="0"/>
      <w:marBottom w:val="0"/>
      <w:divBdr>
        <w:top w:val="none" w:sz="0" w:space="0" w:color="auto"/>
        <w:left w:val="none" w:sz="0" w:space="0" w:color="auto"/>
        <w:bottom w:val="none" w:sz="0" w:space="0" w:color="auto"/>
        <w:right w:val="none" w:sz="0" w:space="0" w:color="auto"/>
      </w:divBdr>
    </w:div>
    <w:div w:id="939996223">
      <w:bodyDiv w:val="1"/>
      <w:marLeft w:val="0"/>
      <w:marRight w:val="0"/>
      <w:marTop w:val="0"/>
      <w:marBottom w:val="0"/>
      <w:divBdr>
        <w:top w:val="none" w:sz="0" w:space="0" w:color="auto"/>
        <w:left w:val="none" w:sz="0" w:space="0" w:color="auto"/>
        <w:bottom w:val="none" w:sz="0" w:space="0" w:color="auto"/>
        <w:right w:val="none" w:sz="0" w:space="0" w:color="auto"/>
      </w:divBdr>
    </w:div>
    <w:div w:id="940188087">
      <w:bodyDiv w:val="1"/>
      <w:marLeft w:val="0"/>
      <w:marRight w:val="0"/>
      <w:marTop w:val="0"/>
      <w:marBottom w:val="0"/>
      <w:divBdr>
        <w:top w:val="none" w:sz="0" w:space="0" w:color="auto"/>
        <w:left w:val="none" w:sz="0" w:space="0" w:color="auto"/>
        <w:bottom w:val="none" w:sz="0" w:space="0" w:color="auto"/>
        <w:right w:val="none" w:sz="0" w:space="0" w:color="auto"/>
      </w:divBdr>
    </w:div>
    <w:div w:id="940261170">
      <w:bodyDiv w:val="1"/>
      <w:marLeft w:val="0"/>
      <w:marRight w:val="0"/>
      <w:marTop w:val="0"/>
      <w:marBottom w:val="0"/>
      <w:divBdr>
        <w:top w:val="none" w:sz="0" w:space="0" w:color="auto"/>
        <w:left w:val="none" w:sz="0" w:space="0" w:color="auto"/>
        <w:bottom w:val="none" w:sz="0" w:space="0" w:color="auto"/>
        <w:right w:val="none" w:sz="0" w:space="0" w:color="auto"/>
      </w:divBdr>
    </w:div>
    <w:div w:id="940451371">
      <w:bodyDiv w:val="1"/>
      <w:marLeft w:val="0"/>
      <w:marRight w:val="0"/>
      <w:marTop w:val="0"/>
      <w:marBottom w:val="0"/>
      <w:divBdr>
        <w:top w:val="none" w:sz="0" w:space="0" w:color="auto"/>
        <w:left w:val="none" w:sz="0" w:space="0" w:color="auto"/>
        <w:bottom w:val="none" w:sz="0" w:space="0" w:color="auto"/>
        <w:right w:val="none" w:sz="0" w:space="0" w:color="auto"/>
      </w:divBdr>
    </w:div>
    <w:div w:id="940650164">
      <w:bodyDiv w:val="1"/>
      <w:marLeft w:val="0"/>
      <w:marRight w:val="0"/>
      <w:marTop w:val="0"/>
      <w:marBottom w:val="0"/>
      <w:divBdr>
        <w:top w:val="none" w:sz="0" w:space="0" w:color="auto"/>
        <w:left w:val="none" w:sz="0" w:space="0" w:color="auto"/>
        <w:bottom w:val="none" w:sz="0" w:space="0" w:color="auto"/>
        <w:right w:val="none" w:sz="0" w:space="0" w:color="auto"/>
      </w:divBdr>
    </w:div>
    <w:div w:id="941034668">
      <w:bodyDiv w:val="1"/>
      <w:marLeft w:val="0"/>
      <w:marRight w:val="0"/>
      <w:marTop w:val="0"/>
      <w:marBottom w:val="0"/>
      <w:divBdr>
        <w:top w:val="none" w:sz="0" w:space="0" w:color="auto"/>
        <w:left w:val="none" w:sz="0" w:space="0" w:color="auto"/>
        <w:bottom w:val="none" w:sz="0" w:space="0" w:color="auto"/>
        <w:right w:val="none" w:sz="0" w:space="0" w:color="auto"/>
      </w:divBdr>
    </w:div>
    <w:div w:id="941034970">
      <w:bodyDiv w:val="1"/>
      <w:marLeft w:val="0"/>
      <w:marRight w:val="0"/>
      <w:marTop w:val="0"/>
      <w:marBottom w:val="0"/>
      <w:divBdr>
        <w:top w:val="none" w:sz="0" w:space="0" w:color="auto"/>
        <w:left w:val="none" w:sz="0" w:space="0" w:color="auto"/>
        <w:bottom w:val="none" w:sz="0" w:space="0" w:color="auto"/>
        <w:right w:val="none" w:sz="0" w:space="0" w:color="auto"/>
      </w:divBdr>
    </w:div>
    <w:div w:id="941912332">
      <w:bodyDiv w:val="1"/>
      <w:marLeft w:val="0"/>
      <w:marRight w:val="0"/>
      <w:marTop w:val="0"/>
      <w:marBottom w:val="0"/>
      <w:divBdr>
        <w:top w:val="none" w:sz="0" w:space="0" w:color="auto"/>
        <w:left w:val="none" w:sz="0" w:space="0" w:color="auto"/>
        <w:bottom w:val="none" w:sz="0" w:space="0" w:color="auto"/>
        <w:right w:val="none" w:sz="0" w:space="0" w:color="auto"/>
      </w:divBdr>
    </w:div>
    <w:div w:id="942154666">
      <w:bodyDiv w:val="1"/>
      <w:marLeft w:val="0"/>
      <w:marRight w:val="0"/>
      <w:marTop w:val="0"/>
      <w:marBottom w:val="0"/>
      <w:divBdr>
        <w:top w:val="none" w:sz="0" w:space="0" w:color="auto"/>
        <w:left w:val="none" w:sz="0" w:space="0" w:color="auto"/>
        <w:bottom w:val="none" w:sz="0" w:space="0" w:color="auto"/>
        <w:right w:val="none" w:sz="0" w:space="0" w:color="auto"/>
      </w:divBdr>
    </w:div>
    <w:div w:id="942688890">
      <w:bodyDiv w:val="1"/>
      <w:marLeft w:val="0"/>
      <w:marRight w:val="0"/>
      <w:marTop w:val="0"/>
      <w:marBottom w:val="0"/>
      <w:divBdr>
        <w:top w:val="none" w:sz="0" w:space="0" w:color="auto"/>
        <w:left w:val="none" w:sz="0" w:space="0" w:color="auto"/>
        <w:bottom w:val="none" w:sz="0" w:space="0" w:color="auto"/>
        <w:right w:val="none" w:sz="0" w:space="0" w:color="auto"/>
      </w:divBdr>
    </w:div>
    <w:div w:id="945117775">
      <w:bodyDiv w:val="1"/>
      <w:marLeft w:val="0"/>
      <w:marRight w:val="0"/>
      <w:marTop w:val="0"/>
      <w:marBottom w:val="0"/>
      <w:divBdr>
        <w:top w:val="none" w:sz="0" w:space="0" w:color="auto"/>
        <w:left w:val="none" w:sz="0" w:space="0" w:color="auto"/>
        <w:bottom w:val="none" w:sz="0" w:space="0" w:color="auto"/>
        <w:right w:val="none" w:sz="0" w:space="0" w:color="auto"/>
      </w:divBdr>
    </w:div>
    <w:div w:id="945774542">
      <w:bodyDiv w:val="1"/>
      <w:marLeft w:val="0"/>
      <w:marRight w:val="0"/>
      <w:marTop w:val="0"/>
      <w:marBottom w:val="0"/>
      <w:divBdr>
        <w:top w:val="none" w:sz="0" w:space="0" w:color="auto"/>
        <w:left w:val="none" w:sz="0" w:space="0" w:color="auto"/>
        <w:bottom w:val="none" w:sz="0" w:space="0" w:color="auto"/>
        <w:right w:val="none" w:sz="0" w:space="0" w:color="auto"/>
      </w:divBdr>
    </w:div>
    <w:div w:id="945818665">
      <w:bodyDiv w:val="1"/>
      <w:marLeft w:val="0"/>
      <w:marRight w:val="0"/>
      <w:marTop w:val="0"/>
      <w:marBottom w:val="0"/>
      <w:divBdr>
        <w:top w:val="none" w:sz="0" w:space="0" w:color="auto"/>
        <w:left w:val="none" w:sz="0" w:space="0" w:color="auto"/>
        <w:bottom w:val="none" w:sz="0" w:space="0" w:color="auto"/>
        <w:right w:val="none" w:sz="0" w:space="0" w:color="auto"/>
      </w:divBdr>
    </w:div>
    <w:div w:id="945890471">
      <w:bodyDiv w:val="1"/>
      <w:marLeft w:val="0"/>
      <w:marRight w:val="0"/>
      <w:marTop w:val="0"/>
      <w:marBottom w:val="0"/>
      <w:divBdr>
        <w:top w:val="none" w:sz="0" w:space="0" w:color="auto"/>
        <w:left w:val="none" w:sz="0" w:space="0" w:color="auto"/>
        <w:bottom w:val="none" w:sz="0" w:space="0" w:color="auto"/>
        <w:right w:val="none" w:sz="0" w:space="0" w:color="auto"/>
      </w:divBdr>
    </w:div>
    <w:div w:id="945893561">
      <w:bodyDiv w:val="1"/>
      <w:marLeft w:val="0"/>
      <w:marRight w:val="0"/>
      <w:marTop w:val="0"/>
      <w:marBottom w:val="0"/>
      <w:divBdr>
        <w:top w:val="none" w:sz="0" w:space="0" w:color="auto"/>
        <w:left w:val="none" w:sz="0" w:space="0" w:color="auto"/>
        <w:bottom w:val="none" w:sz="0" w:space="0" w:color="auto"/>
        <w:right w:val="none" w:sz="0" w:space="0" w:color="auto"/>
      </w:divBdr>
    </w:div>
    <w:div w:id="946697395">
      <w:bodyDiv w:val="1"/>
      <w:marLeft w:val="0"/>
      <w:marRight w:val="0"/>
      <w:marTop w:val="0"/>
      <w:marBottom w:val="0"/>
      <w:divBdr>
        <w:top w:val="none" w:sz="0" w:space="0" w:color="auto"/>
        <w:left w:val="none" w:sz="0" w:space="0" w:color="auto"/>
        <w:bottom w:val="none" w:sz="0" w:space="0" w:color="auto"/>
        <w:right w:val="none" w:sz="0" w:space="0" w:color="auto"/>
      </w:divBdr>
    </w:div>
    <w:div w:id="946883951">
      <w:bodyDiv w:val="1"/>
      <w:marLeft w:val="0"/>
      <w:marRight w:val="0"/>
      <w:marTop w:val="0"/>
      <w:marBottom w:val="0"/>
      <w:divBdr>
        <w:top w:val="none" w:sz="0" w:space="0" w:color="auto"/>
        <w:left w:val="none" w:sz="0" w:space="0" w:color="auto"/>
        <w:bottom w:val="none" w:sz="0" w:space="0" w:color="auto"/>
        <w:right w:val="none" w:sz="0" w:space="0" w:color="auto"/>
      </w:divBdr>
    </w:div>
    <w:div w:id="947466692">
      <w:bodyDiv w:val="1"/>
      <w:marLeft w:val="0"/>
      <w:marRight w:val="0"/>
      <w:marTop w:val="0"/>
      <w:marBottom w:val="0"/>
      <w:divBdr>
        <w:top w:val="none" w:sz="0" w:space="0" w:color="auto"/>
        <w:left w:val="none" w:sz="0" w:space="0" w:color="auto"/>
        <w:bottom w:val="none" w:sz="0" w:space="0" w:color="auto"/>
        <w:right w:val="none" w:sz="0" w:space="0" w:color="auto"/>
      </w:divBdr>
    </w:div>
    <w:div w:id="947617689">
      <w:bodyDiv w:val="1"/>
      <w:marLeft w:val="0"/>
      <w:marRight w:val="0"/>
      <w:marTop w:val="0"/>
      <w:marBottom w:val="0"/>
      <w:divBdr>
        <w:top w:val="none" w:sz="0" w:space="0" w:color="auto"/>
        <w:left w:val="none" w:sz="0" w:space="0" w:color="auto"/>
        <w:bottom w:val="none" w:sz="0" w:space="0" w:color="auto"/>
        <w:right w:val="none" w:sz="0" w:space="0" w:color="auto"/>
      </w:divBdr>
    </w:div>
    <w:div w:id="948388270">
      <w:bodyDiv w:val="1"/>
      <w:marLeft w:val="0"/>
      <w:marRight w:val="0"/>
      <w:marTop w:val="0"/>
      <w:marBottom w:val="0"/>
      <w:divBdr>
        <w:top w:val="none" w:sz="0" w:space="0" w:color="auto"/>
        <w:left w:val="none" w:sz="0" w:space="0" w:color="auto"/>
        <w:bottom w:val="none" w:sz="0" w:space="0" w:color="auto"/>
        <w:right w:val="none" w:sz="0" w:space="0" w:color="auto"/>
      </w:divBdr>
    </w:div>
    <w:div w:id="948512109">
      <w:bodyDiv w:val="1"/>
      <w:marLeft w:val="0"/>
      <w:marRight w:val="0"/>
      <w:marTop w:val="0"/>
      <w:marBottom w:val="0"/>
      <w:divBdr>
        <w:top w:val="none" w:sz="0" w:space="0" w:color="auto"/>
        <w:left w:val="none" w:sz="0" w:space="0" w:color="auto"/>
        <w:bottom w:val="none" w:sz="0" w:space="0" w:color="auto"/>
        <w:right w:val="none" w:sz="0" w:space="0" w:color="auto"/>
      </w:divBdr>
    </w:div>
    <w:div w:id="948700463">
      <w:bodyDiv w:val="1"/>
      <w:marLeft w:val="0"/>
      <w:marRight w:val="0"/>
      <w:marTop w:val="0"/>
      <w:marBottom w:val="0"/>
      <w:divBdr>
        <w:top w:val="none" w:sz="0" w:space="0" w:color="auto"/>
        <w:left w:val="none" w:sz="0" w:space="0" w:color="auto"/>
        <w:bottom w:val="none" w:sz="0" w:space="0" w:color="auto"/>
        <w:right w:val="none" w:sz="0" w:space="0" w:color="auto"/>
      </w:divBdr>
    </w:div>
    <w:div w:id="948853084">
      <w:bodyDiv w:val="1"/>
      <w:marLeft w:val="0"/>
      <w:marRight w:val="0"/>
      <w:marTop w:val="0"/>
      <w:marBottom w:val="0"/>
      <w:divBdr>
        <w:top w:val="none" w:sz="0" w:space="0" w:color="auto"/>
        <w:left w:val="none" w:sz="0" w:space="0" w:color="auto"/>
        <w:bottom w:val="none" w:sz="0" w:space="0" w:color="auto"/>
        <w:right w:val="none" w:sz="0" w:space="0" w:color="auto"/>
      </w:divBdr>
    </w:div>
    <w:div w:id="948901450">
      <w:bodyDiv w:val="1"/>
      <w:marLeft w:val="0"/>
      <w:marRight w:val="0"/>
      <w:marTop w:val="0"/>
      <w:marBottom w:val="0"/>
      <w:divBdr>
        <w:top w:val="none" w:sz="0" w:space="0" w:color="auto"/>
        <w:left w:val="none" w:sz="0" w:space="0" w:color="auto"/>
        <w:bottom w:val="none" w:sz="0" w:space="0" w:color="auto"/>
        <w:right w:val="none" w:sz="0" w:space="0" w:color="auto"/>
      </w:divBdr>
    </w:div>
    <w:div w:id="949779647">
      <w:bodyDiv w:val="1"/>
      <w:marLeft w:val="0"/>
      <w:marRight w:val="0"/>
      <w:marTop w:val="0"/>
      <w:marBottom w:val="0"/>
      <w:divBdr>
        <w:top w:val="none" w:sz="0" w:space="0" w:color="auto"/>
        <w:left w:val="none" w:sz="0" w:space="0" w:color="auto"/>
        <w:bottom w:val="none" w:sz="0" w:space="0" w:color="auto"/>
        <w:right w:val="none" w:sz="0" w:space="0" w:color="auto"/>
      </w:divBdr>
    </w:div>
    <w:div w:id="950629723">
      <w:bodyDiv w:val="1"/>
      <w:marLeft w:val="0"/>
      <w:marRight w:val="0"/>
      <w:marTop w:val="0"/>
      <w:marBottom w:val="0"/>
      <w:divBdr>
        <w:top w:val="none" w:sz="0" w:space="0" w:color="auto"/>
        <w:left w:val="none" w:sz="0" w:space="0" w:color="auto"/>
        <w:bottom w:val="none" w:sz="0" w:space="0" w:color="auto"/>
        <w:right w:val="none" w:sz="0" w:space="0" w:color="auto"/>
      </w:divBdr>
    </w:div>
    <w:div w:id="951279274">
      <w:bodyDiv w:val="1"/>
      <w:marLeft w:val="0"/>
      <w:marRight w:val="0"/>
      <w:marTop w:val="0"/>
      <w:marBottom w:val="0"/>
      <w:divBdr>
        <w:top w:val="none" w:sz="0" w:space="0" w:color="auto"/>
        <w:left w:val="none" w:sz="0" w:space="0" w:color="auto"/>
        <w:bottom w:val="none" w:sz="0" w:space="0" w:color="auto"/>
        <w:right w:val="none" w:sz="0" w:space="0" w:color="auto"/>
      </w:divBdr>
    </w:div>
    <w:div w:id="951976834">
      <w:bodyDiv w:val="1"/>
      <w:marLeft w:val="0"/>
      <w:marRight w:val="0"/>
      <w:marTop w:val="0"/>
      <w:marBottom w:val="0"/>
      <w:divBdr>
        <w:top w:val="none" w:sz="0" w:space="0" w:color="auto"/>
        <w:left w:val="none" w:sz="0" w:space="0" w:color="auto"/>
        <w:bottom w:val="none" w:sz="0" w:space="0" w:color="auto"/>
        <w:right w:val="none" w:sz="0" w:space="0" w:color="auto"/>
      </w:divBdr>
    </w:div>
    <w:div w:id="952708779">
      <w:bodyDiv w:val="1"/>
      <w:marLeft w:val="0"/>
      <w:marRight w:val="0"/>
      <w:marTop w:val="0"/>
      <w:marBottom w:val="0"/>
      <w:divBdr>
        <w:top w:val="none" w:sz="0" w:space="0" w:color="auto"/>
        <w:left w:val="none" w:sz="0" w:space="0" w:color="auto"/>
        <w:bottom w:val="none" w:sz="0" w:space="0" w:color="auto"/>
        <w:right w:val="none" w:sz="0" w:space="0" w:color="auto"/>
      </w:divBdr>
    </w:div>
    <w:div w:id="953250976">
      <w:bodyDiv w:val="1"/>
      <w:marLeft w:val="0"/>
      <w:marRight w:val="0"/>
      <w:marTop w:val="0"/>
      <w:marBottom w:val="0"/>
      <w:divBdr>
        <w:top w:val="none" w:sz="0" w:space="0" w:color="auto"/>
        <w:left w:val="none" w:sz="0" w:space="0" w:color="auto"/>
        <w:bottom w:val="none" w:sz="0" w:space="0" w:color="auto"/>
        <w:right w:val="none" w:sz="0" w:space="0" w:color="auto"/>
      </w:divBdr>
    </w:div>
    <w:div w:id="953437978">
      <w:bodyDiv w:val="1"/>
      <w:marLeft w:val="0"/>
      <w:marRight w:val="0"/>
      <w:marTop w:val="0"/>
      <w:marBottom w:val="0"/>
      <w:divBdr>
        <w:top w:val="none" w:sz="0" w:space="0" w:color="auto"/>
        <w:left w:val="none" w:sz="0" w:space="0" w:color="auto"/>
        <w:bottom w:val="none" w:sz="0" w:space="0" w:color="auto"/>
        <w:right w:val="none" w:sz="0" w:space="0" w:color="auto"/>
      </w:divBdr>
    </w:div>
    <w:div w:id="953558102">
      <w:bodyDiv w:val="1"/>
      <w:marLeft w:val="0"/>
      <w:marRight w:val="0"/>
      <w:marTop w:val="0"/>
      <w:marBottom w:val="0"/>
      <w:divBdr>
        <w:top w:val="none" w:sz="0" w:space="0" w:color="auto"/>
        <w:left w:val="none" w:sz="0" w:space="0" w:color="auto"/>
        <w:bottom w:val="none" w:sz="0" w:space="0" w:color="auto"/>
        <w:right w:val="none" w:sz="0" w:space="0" w:color="auto"/>
      </w:divBdr>
    </w:div>
    <w:div w:id="953904719">
      <w:bodyDiv w:val="1"/>
      <w:marLeft w:val="0"/>
      <w:marRight w:val="0"/>
      <w:marTop w:val="0"/>
      <w:marBottom w:val="0"/>
      <w:divBdr>
        <w:top w:val="none" w:sz="0" w:space="0" w:color="auto"/>
        <w:left w:val="none" w:sz="0" w:space="0" w:color="auto"/>
        <w:bottom w:val="none" w:sz="0" w:space="0" w:color="auto"/>
        <w:right w:val="none" w:sz="0" w:space="0" w:color="auto"/>
      </w:divBdr>
    </w:div>
    <w:div w:id="953946492">
      <w:bodyDiv w:val="1"/>
      <w:marLeft w:val="0"/>
      <w:marRight w:val="0"/>
      <w:marTop w:val="0"/>
      <w:marBottom w:val="0"/>
      <w:divBdr>
        <w:top w:val="none" w:sz="0" w:space="0" w:color="auto"/>
        <w:left w:val="none" w:sz="0" w:space="0" w:color="auto"/>
        <w:bottom w:val="none" w:sz="0" w:space="0" w:color="auto"/>
        <w:right w:val="none" w:sz="0" w:space="0" w:color="auto"/>
      </w:divBdr>
    </w:div>
    <w:div w:id="954092569">
      <w:bodyDiv w:val="1"/>
      <w:marLeft w:val="0"/>
      <w:marRight w:val="0"/>
      <w:marTop w:val="0"/>
      <w:marBottom w:val="0"/>
      <w:divBdr>
        <w:top w:val="none" w:sz="0" w:space="0" w:color="auto"/>
        <w:left w:val="none" w:sz="0" w:space="0" w:color="auto"/>
        <w:bottom w:val="none" w:sz="0" w:space="0" w:color="auto"/>
        <w:right w:val="none" w:sz="0" w:space="0" w:color="auto"/>
      </w:divBdr>
    </w:div>
    <w:div w:id="955066504">
      <w:bodyDiv w:val="1"/>
      <w:marLeft w:val="0"/>
      <w:marRight w:val="0"/>
      <w:marTop w:val="0"/>
      <w:marBottom w:val="0"/>
      <w:divBdr>
        <w:top w:val="none" w:sz="0" w:space="0" w:color="auto"/>
        <w:left w:val="none" w:sz="0" w:space="0" w:color="auto"/>
        <w:bottom w:val="none" w:sz="0" w:space="0" w:color="auto"/>
        <w:right w:val="none" w:sz="0" w:space="0" w:color="auto"/>
      </w:divBdr>
    </w:div>
    <w:div w:id="955142777">
      <w:bodyDiv w:val="1"/>
      <w:marLeft w:val="0"/>
      <w:marRight w:val="0"/>
      <w:marTop w:val="0"/>
      <w:marBottom w:val="0"/>
      <w:divBdr>
        <w:top w:val="none" w:sz="0" w:space="0" w:color="auto"/>
        <w:left w:val="none" w:sz="0" w:space="0" w:color="auto"/>
        <w:bottom w:val="none" w:sz="0" w:space="0" w:color="auto"/>
        <w:right w:val="none" w:sz="0" w:space="0" w:color="auto"/>
      </w:divBdr>
    </w:div>
    <w:div w:id="956445685">
      <w:bodyDiv w:val="1"/>
      <w:marLeft w:val="0"/>
      <w:marRight w:val="0"/>
      <w:marTop w:val="0"/>
      <w:marBottom w:val="0"/>
      <w:divBdr>
        <w:top w:val="none" w:sz="0" w:space="0" w:color="auto"/>
        <w:left w:val="none" w:sz="0" w:space="0" w:color="auto"/>
        <w:bottom w:val="none" w:sz="0" w:space="0" w:color="auto"/>
        <w:right w:val="none" w:sz="0" w:space="0" w:color="auto"/>
      </w:divBdr>
    </w:div>
    <w:div w:id="956764861">
      <w:bodyDiv w:val="1"/>
      <w:marLeft w:val="0"/>
      <w:marRight w:val="0"/>
      <w:marTop w:val="0"/>
      <w:marBottom w:val="0"/>
      <w:divBdr>
        <w:top w:val="none" w:sz="0" w:space="0" w:color="auto"/>
        <w:left w:val="none" w:sz="0" w:space="0" w:color="auto"/>
        <w:bottom w:val="none" w:sz="0" w:space="0" w:color="auto"/>
        <w:right w:val="none" w:sz="0" w:space="0" w:color="auto"/>
      </w:divBdr>
    </w:div>
    <w:div w:id="956835245">
      <w:bodyDiv w:val="1"/>
      <w:marLeft w:val="0"/>
      <w:marRight w:val="0"/>
      <w:marTop w:val="0"/>
      <w:marBottom w:val="0"/>
      <w:divBdr>
        <w:top w:val="none" w:sz="0" w:space="0" w:color="auto"/>
        <w:left w:val="none" w:sz="0" w:space="0" w:color="auto"/>
        <w:bottom w:val="none" w:sz="0" w:space="0" w:color="auto"/>
        <w:right w:val="none" w:sz="0" w:space="0" w:color="auto"/>
      </w:divBdr>
    </w:div>
    <w:div w:id="956986050">
      <w:bodyDiv w:val="1"/>
      <w:marLeft w:val="0"/>
      <w:marRight w:val="0"/>
      <w:marTop w:val="0"/>
      <w:marBottom w:val="0"/>
      <w:divBdr>
        <w:top w:val="none" w:sz="0" w:space="0" w:color="auto"/>
        <w:left w:val="none" w:sz="0" w:space="0" w:color="auto"/>
        <w:bottom w:val="none" w:sz="0" w:space="0" w:color="auto"/>
        <w:right w:val="none" w:sz="0" w:space="0" w:color="auto"/>
      </w:divBdr>
    </w:div>
    <w:div w:id="957102696">
      <w:bodyDiv w:val="1"/>
      <w:marLeft w:val="0"/>
      <w:marRight w:val="0"/>
      <w:marTop w:val="0"/>
      <w:marBottom w:val="0"/>
      <w:divBdr>
        <w:top w:val="none" w:sz="0" w:space="0" w:color="auto"/>
        <w:left w:val="none" w:sz="0" w:space="0" w:color="auto"/>
        <w:bottom w:val="none" w:sz="0" w:space="0" w:color="auto"/>
        <w:right w:val="none" w:sz="0" w:space="0" w:color="auto"/>
      </w:divBdr>
    </w:div>
    <w:div w:id="957371478">
      <w:bodyDiv w:val="1"/>
      <w:marLeft w:val="0"/>
      <w:marRight w:val="0"/>
      <w:marTop w:val="0"/>
      <w:marBottom w:val="0"/>
      <w:divBdr>
        <w:top w:val="none" w:sz="0" w:space="0" w:color="auto"/>
        <w:left w:val="none" w:sz="0" w:space="0" w:color="auto"/>
        <w:bottom w:val="none" w:sz="0" w:space="0" w:color="auto"/>
        <w:right w:val="none" w:sz="0" w:space="0" w:color="auto"/>
      </w:divBdr>
    </w:div>
    <w:div w:id="957876838">
      <w:bodyDiv w:val="1"/>
      <w:marLeft w:val="0"/>
      <w:marRight w:val="0"/>
      <w:marTop w:val="0"/>
      <w:marBottom w:val="0"/>
      <w:divBdr>
        <w:top w:val="none" w:sz="0" w:space="0" w:color="auto"/>
        <w:left w:val="none" w:sz="0" w:space="0" w:color="auto"/>
        <w:bottom w:val="none" w:sz="0" w:space="0" w:color="auto"/>
        <w:right w:val="none" w:sz="0" w:space="0" w:color="auto"/>
      </w:divBdr>
    </w:div>
    <w:div w:id="959192864">
      <w:bodyDiv w:val="1"/>
      <w:marLeft w:val="0"/>
      <w:marRight w:val="0"/>
      <w:marTop w:val="0"/>
      <w:marBottom w:val="0"/>
      <w:divBdr>
        <w:top w:val="none" w:sz="0" w:space="0" w:color="auto"/>
        <w:left w:val="none" w:sz="0" w:space="0" w:color="auto"/>
        <w:bottom w:val="none" w:sz="0" w:space="0" w:color="auto"/>
        <w:right w:val="none" w:sz="0" w:space="0" w:color="auto"/>
      </w:divBdr>
    </w:div>
    <w:div w:id="960039230">
      <w:bodyDiv w:val="1"/>
      <w:marLeft w:val="0"/>
      <w:marRight w:val="0"/>
      <w:marTop w:val="0"/>
      <w:marBottom w:val="0"/>
      <w:divBdr>
        <w:top w:val="none" w:sz="0" w:space="0" w:color="auto"/>
        <w:left w:val="none" w:sz="0" w:space="0" w:color="auto"/>
        <w:bottom w:val="none" w:sz="0" w:space="0" w:color="auto"/>
        <w:right w:val="none" w:sz="0" w:space="0" w:color="auto"/>
      </w:divBdr>
    </w:div>
    <w:div w:id="961114508">
      <w:bodyDiv w:val="1"/>
      <w:marLeft w:val="0"/>
      <w:marRight w:val="0"/>
      <w:marTop w:val="0"/>
      <w:marBottom w:val="0"/>
      <w:divBdr>
        <w:top w:val="none" w:sz="0" w:space="0" w:color="auto"/>
        <w:left w:val="none" w:sz="0" w:space="0" w:color="auto"/>
        <w:bottom w:val="none" w:sz="0" w:space="0" w:color="auto"/>
        <w:right w:val="none" w:sz="0" w:space="0" w:color="auto"/>
      </w:divBdr>
    </w:div>
    <w:div w:id="961693325">
      <w:bodyDiv w:val="1"/>
      <w:marLeft w:val="0"/>
      <w:marRight w:val="0"/>
      <w:marTop w:val="0"/>
      <w:marBottom w:val="0"/>
      <w:divBdr>
        <w:top w:val="none" w:sz="0" w:space="0" w:color="auto"/>
        <w:left w:val="none" w:sz="0" w:space="0" w:color="auto"/>
        <w:bottom w:val="none" w:sz="0" w:space="0" w:color="auto"/>
        <w:right w:val="none" w:sz="0" w:space="0" w:color="auto"/>
      </w:divBdr>
    </w:div>
    <w:div w:id="961694065">
      <w:bodyDiv w:val="1"/>
      <w:marLeft w:val="0"/>
      <w:marRight w:val="0"/>
      <w:marTop w:val="0"/>
      <w:marBottom w:val="0"/>
      <w:divBdr>
        <w:top w:val="none" w:sz="0" w:space="0" w:color="auto"/>
        <w:left w:val="none" w:sz="0" w:space="0" w:color="auto"/>
        <w:bottom w:val="none" w:sz="0" w:space="0" w:color="auto"/>
        <w:right w:val="none" w:sz="0" w:space="0" w:color="auto"/>
      </w:divBdr>
    </w:div>
    <w:div w:id="961838398">
      <w:bodyDiv w:val="1"/>
      <w:marLeft w:val="0"/>
      <w:marRight w:val="0"/>
      <w:marTop w:val="0"/>
      <w:marBottom w:val="0"/>
      <w:divBdr>
        <w:top w:val="none" w:sz="0" w:space="0" w:color="auto"/>
        <w:left w:val="none" w:sz="0" w:space="0" w:color="auto"/>
        <w:bottom w:val="none" w:sz="0" w:space="0" w:color="auto"/>
        <w:right w:val="none" w:sz="0" w:space="0" w:color="auto"/>
      </w:divBdr>
    </w:div>
    <w:div w:id="963194668">
      <w:bodyDiv w:val="1"/>
      <w:marLeft w:val="0"/>
      <w:marRight w:val="0"/>
      <w:marTop w:val="0"/>
      <w:marBottom w:val="0"/>
      <w:divBdr>
        <w:top w:val="none" w:sz="0" w:space="0" w:color="auto"/>
        <w:left w:val="none" w:sz="0" w:space="0" w:color="auto"/>
        <w:bottom w:val="none" w:sz="0" w:space="0" w:color="auto"/>
        <w:right w:val="none" w:sz="0" w:space="0" w:color="auto"/>
      </w:divBdr>
    </w:div>
    <w:div w:id="963467577">
      <w:bodyDiv w:val="1"/>
      <w:marLeft w:val="0"/>
      <w:marRight w:val="0"/>
      <w:marTop w:val="0"/>
      <w:marBottom w:val="0"/>
      <w:divBdr>
        <w:top w:val="none" w:sz="0" w:space="0" w:color="auto"/>
        <w:left w:val="none" w:sz="0" w:space="0" w:color="auto"/>
        <w:bottom w:val="none" w:sz="0" w:space="0" w:color="auto"/>
        <w:right w:val="none" w:sz="0" w:space="0" w:color="auto"/>
      </w:divBdr>
    </w:div>
    <w:div w:id="963853152">
      <w:bodyDiv w:val="1"/>
      <w:marLeft w:val="0"/>
      <w:marRight w:val="0"/>
      <w:marTop w:val="0"/>
      <w:marBottom w:val="0"/>
      <w:divBdr>
        <w:top w:val="none" w:sz="0" w:space="0" w:color="auto"/>
        <w:left w:val="none" w:sz="0" w:space="0" w:color="auto"/>
        <w:bottom w:val="none" w:sz="0" w:space="0" w:color="auto"/>
        <w:right w:val="none" w:sz="0" w:space="0" w:color="auto"/>
      </w:divBdr>
    </w:div>
    <w:div w:id="965309334">
      <w:bodyDiv w:val="1"/>
      <w:marLeft w:val="0"/>
      <w:marRight w:val="0"/>
      <w:marTop w:val="0"/>
      <w:marBottom w:val="0"/>
      <w:divBdr>
        <w:top w:val="none" w:sz="0" w:space="0" w:color="auto"/>
        <w:left w:val="none" w:sz="0" w:space="0" w:color="auto"/>
        <w:bottom w:val="none" w:sz="0" w:space="0" w:color="auto"/>
        <w:right w:val="none" w:sz="0" w:space="0" w:color="auto"/>
      </w:divBdr>
      <w:divsChild>
        <w:div w:id="591746983">
          <w:marLeft w:val="0"/>
          <w:marRight w:val="0"/>
          <w:marTop w:val="0"/>
          <w:marBottom w:val="0"/>
          <w:divBdr>
            <w:top w:val="none" w:sz="0" w:space="0" w:color="auto"/>
            <w:left w:val="none" w:sz="0" w:space="0" w:color="auto"/>
            <w:bottom w:val="none" w:sz="0" w:space="0" w:color="auto"/>
            <w:right w:val="none" w:sz="0" w:space="0" w:color="auto"/>
          </w:divBdr>
        </w:div>
        <w:div w:id="1165319085">
          <w:marLeft w:val="1122"/>
          <w:marRight w:val="1122"/>
          <w:marTop w:val="1122"/>
          <w:marBottom w:val="94"/>
          <w:divBdr>
            <w:top w:val="none" w:sz="0" w:space="0" w:color="auto"/>
            <w:left w:val="none" w:sz="0" w:space="0" w:color="auto"/>
            <w:bottom w:val="none" w:sz="0" w:space="0" w:color="auto"/>
            <w:right w:val="none" w:sz="0" w:space="0" w:color="auto"/>
          </w:divBdr>
        </w:div>
      </w:divsChild>
    </w:div>
    <w:div w:id="965427390">
      <w:bodyDiv w:val="1"/>
      <w:marLeft w:val="0"/>
      <w:marRight w:val="0"/>
      <w:marTop w:val="0"/>
      <w:marBottom w:val="0"/>
      <w:divBdr>
        <w:top w:val="none" w:sz="0" w:space="0" w:color="auto"/>
        <w:left w:val="none" w:sz="0" w:space="0" w:color="auto"/>
        <w:bottom w:val="none" w:sz="0" w:space="0" w:color="auto"/>
        <w:right w:val="none" w:sz="0" w:space="0" w:color="auto"/>
      </w:divBdr>
    </w:div>
    <w:div w:id="965429605">
      <w:bodyDiv w:val="1"/>
      <w:marLeft w:val="0"/>
      <w:marRight w:val="0"/>
      <w:marTop w:val="0"/>
      <w:marBottom w:val="0"/>
      <w:divBdr>
        <w:top w:val="none" w:sz="0" w:space="0" w:color="auto"/>
        <w:left w:val="none" w:sz="0" w:space="0" w:color="auto"/>
        <w:bottom w:val="none" w:sz="0" w:space="0" w:color="auto"/>
        <w:right w:val="none" w:sz="0" w:space="0" w:color="auto"/>
      </w:divBdr>
    </w:div>
    <w:div w:id="965938105">
      <w:bodyDiv w:val="1"/>
      <w:marLeft w:val="0"/>
      <w:marRight w:val="0"/>
      <w:marTop w:val="0"/>
      <w:marBottom w:val="0"/>
      <w:divBdr>
        <w:top w:val="none" w:sz="0" w:space="0" w:color="auto"/>
        <w:left w:val="none" w:sz="0" w:space="0" w:color="auto"/>
        <w:bottom w:val="none" w:sz="0" w:space="0" w:color="auto"/>
        <w:right w:val="none" w:sz="0" w:space="0" w:color="auto"/>
      </w:divBdr>
    </w:div>
    <w:div w:id="966086416">
      <w:bodyDiv w:val="1"/>
      <w:marLeft w:val="0"/>
      <w:marRight w:val="0"/>
      <w:marTop w:val="0"/>
      <w:marBottom w:val="0"/>
      <w:divBdr>
        <w:top w:val="none" w:sz="0" w:space="0" w:color="auto"/>
        <w:left w:val="none" w:sz="0" w:space="0" w:color="auto"/>
        <w:bottom w:val="none" w:sz="0" w:space="0" w:color="auto"/>
        <w:right w:val="none" w:sz="0" w:space="0" w:color="auto"/>
      </w:divBdr>
    </w:div>
    <w:div w:id="966349710">
      <w:bodyDiv w:val="1"/>
      <w:marLeft w:val="0"/>
      <w:marRight w:val="0"/>
      <w:marTop w:val="0"/>
      <w:marBottom w:val="0"/>
      <w:divBdr>
        <w:top w:val="none" w:sz="0" w:space="0" w:color="auto"/>
        <w:left w:val="none" w:sz="0" w:space="0" w:color="auto"/>
        <w:bottom w:val="none" w:sz="0" w:space="0" w:color="auto"/>
        <w:right w:val="none" w:sz="0" w:space="0" w:color="auto"/>
      </w:divBdr>
    </w:div>
    <w:div w:id="966621397">
      <w:bodyDiv w:val="1"/>
      <w:marLeft w:val="0"/>
      <w:marRight w:val="0"/>
      <w:marTop w:val="0"/>
      <w:marBottom w:val="0"/>
      <w:divBdr>
        <w:top w:val="none" w:sz="0" w:space="0" w:color="auto"/>
        <w:left w:val="none" w:sz="0" w:space="0" w:color="auto"/>
        <w:bottom w:val="none" w:sz="0" w:space="0" w:color="auto"/>
        <w:right w:val="none" w:sz="0" w:space="0" w:color="auto"/>
      </w:divBdr>
    </w:div>
    <w:div w:id="967129589">
      <w:bodyDiv w:val="1"/>
      <w:marLeft w:val="0"/>
      <w:marRight w:val="0"/>
      <w:marTop w:val="0"/>
      <w:marBottom w:val="0"/>
      <w:divBdr>
        <w:top w:val="none" w:sz="0" w:space="0" w:color="auto"/>
        <w:left w:val="none" w:sz="0" w:space="0" w:color="auto"/>
        <w:bottom w:val="none" w:sz="0" w:space="0" w:color="auto"/>
        <w:right w:val="none" w:sz="0" w:space="0" w:color="auto"/>
      </w:divBdr>
    </w:div>
    <w:div w:id="967400063">
      <w:bodyDiv w:val="1"/>
      <w:marLeft w:val="0"/>
      <w:marRight w:val="0"/>
      <w:marTop w:val="0"/>
      <w:marBottom w:val="0"/>
      <w:divBdr>
        <w:top w:val="none" w:sz="0" w:space="0" w:color="auto"/>
        <w:left w:val="none" w:sz="0" w:space="0" w:color="auto"/>
        <w:bottom w:val="none" w:sz="0" w:space="0" w:color="auto"/>
        <w:right w:val="none" w:sz="0" w:space="0" w:color="auto"/>
      </w:divBdr>
    </w:div>
    <w:div w:id="967472162">
      <w:bodyDiv w:val="1"/>
      <w:marLeft w:val="0"/>
      <w:marRight w:val="0"/>
      <w:marTop w:val="0"/>
      <w:marBottom w:val="0"/>
      <w:divBdr>
        <w:top w:val="none" w:sz="0" w:space="0" w:color="auto"/>
        <w:left w:val="none" w:sz="0" w:space="0" w:color="auto"/>
        <w:bottom w:val="none" w:sz="0" w:space="0" w:color="auto"/>
        <w:right w:val="none" w:sz="0" w:space="0" w:color="auto"/>
      </w:divBdr>
    </w:div>
    <w:div w:id="967667519">
      <w:bodyDiv w:val="1"/>
      <w:marLeft w:val="0"/>
      <w:marRight w:val="0"/>
      <w:marTop w:val="0"/>
      <w:marBottom w:val="0"/>
      <w:divBdr>
        <w:top w:val="none" w:sz="0" w:space="0" w:color="auto"/>
        <w:left w:val="none" w:sz="0" w:space="0" w:color="auto"/>
        <w:bottom w:val="none" w:sz="0" w:space="0" w:color="auto"/>
        <w:right w:val="none" w:sz="0" w:space="0" w:color="auto"/>
      </w:divBdr>
    </w:div>
    <w:div w:id="968515463">
      <w:bodyDiv w:val="1"/>
      <w:marLeft w:val="0"/>
      <w:marRight w:val="0"/>
      <w:marTop w:val="0"/>
      <w:marBottom w:val="0"/>
      <w:divBdr>
        <w:top w:val="none" w:sz="0" w:space="0" w:color="auto"/>
        <w:left w:val="none" w:sz="0" w:space="0" w:color="auto"/>
        <w:bottom w:val="none" w:sz="0" w:space="0" w:color="auto"/>
        <w:right w:val="none" w:sz="0" w:space="0" w:color="auto"/>
      </w:divBdr>
    </w:div>
    <w:div w:id="969242185">
      <w:bodyDiv w:val="1"/>
      <w:marLeft w:val="0"/>
      <w:marRight w:val="0"/>
      <w:marTop w:val="0"/>
      <w:marBottom w:val="0"/>
      <w:divBdr>
        <w:top w:val="none" w:sz="0" w:space="0" w:color="auto"/>
        <w:left w:val="none" w:sz="0" w:space="0" w:color="auto"/>
        <w:bottom w:val="none" w:sz="0" w:space="0" w:color="auto"/>
        <w:right w:val="none" w:sz="0" w:space="0" w:color="auto"/>
      </w:divBdr>
    </w:div>
    <w:div w:id="970481458">
      <w:bodyDiv w:val="1"/>
      <w:marLeft w:val="0"/>
      <w:marRight w:val="0"/>
      <w:marTop w:val="0"/>
      <w:marBottom w:val="0"/>
      <w:divBdr>
        <w:top w:val="none" w:sz="0" w:space="0" w:color="auto"/>
        <w:left w:val="none" w:sz="0" w:space="0" w:color="auto"/>
        <w:bottom w:val="none" w:sz="0" w:space="0" w:color="auto"/>
        <w:right w:val="none" w:sz="0" w:space="0" w:color="auto"/>
      </w:divBdr>
    </w:div>
    <w:div w:id="970742978">
      <w:bodyDiv w:val="1"/>
      <w:marLeft w:val="0"/>
      <w:marRight w:val="0"/>
      <w:marTop w:val="0"/>
      <w:marBottom w:val="0"/>
      <w:divBdr>
        <w:top w:val="none" w:sz="0" w:space="0" w:color="auto"/>
        <w:left w:val="none" w:sz="0" w:space="0" w:color="auto"/>
        <w:bottom w:val="none" w:sz="0" w:space="0" w:color="auto"/>
        <w:right w:val="none" w:sz="0" w:space="0" w:color="auto"/>
      </w:divBdr>
    </w:div>
    <w:div w:id="971249108">
      <w:bodyDiv w:val="1"/>
      <w:marLeft w:val="0"/>
      <w:marRight w:val="0"/>
      <w:marTop w:val="0"/>
      <w:marBottom w:val="0"/>
      <w:divBdr>
        <w:top w:val="none" w:sz="0" w:space="0" w:color="auto"/>
        <w:left w:val="none" w:sz="0" w:space="0" w:color="auto"/>
        <w:bottom w:val="none" w:sz="0" w:space="0" w:color="auto"/>
        <w:right w:val="none" w:sz="0" w:space="0" w:color="auto"/>
      </w:divBdr>
    </w:div>
    <w:div w:id="971440369">
      <w:bodyDiv w:val="1"/>
      <w:marLeft w:val="0"/>
      <w:marRight w:val="0"/>
      <w:marTop w:val="0"/>
      <w:marBottom w:val="0"/>
      <w:divBdr>
        <w:top w:val="none" w:sz="0" w:space="0" w:color="auto"/>
        <w:left w:val="none" w:sz="0" w:space="0" w:color="auto"/>
        <w:bottom w:val="none" w:sz="0" w:space="0" w:color="auto"/>
        <w:right w:val="none" w:sz="0" w:space="0" w:color="auto"/>
      </w:divBdr>
    </w:div>
    <w:div w:id="972441020">
      <w:bodyDiv w:val="1"/>
      <w:marLeft w:val="0"/>
      <w:marRight w:val="0"/>
      <w:marTop w:val="0"/>
      <w:marBottom w:val="0"/>
      <w:divBdr>
        <w:top w:val="none" w:sz="0" w:space="0" w:color="auto"/>
        <w:left w:val="none" w:sz="0" w:space="0" w:color="auto"/>
        <w:bottom w:val="none" w:sz="0" w:space="0" w:color="auto"/>
        <w:right w:val="none" w:sz="0" w:space="0" w:color="auto"/>
      </w:divBdr>
    </w:div>
    <w:div w:id="972760310">
      <w:bodyDiv w:val="1"/>
      <w:marLeft w:val="0"/>
      <w:marRight w:val="0"/>
      <w:marTop w:val="0"/>
      <w:marBottom w:val="0"/>
      <w:divBdr>
        <w:top w:val="none" w:sz="0" w:space="0" w:color="auto"/>
        <w:left w:val="none" w:sz="0" w:space="0" w:color="auto"/>
        <w:bottom w:val="none" w:sz="0" w:space="0" w:color="auto"/>
        <w:right w:val="none" w:sz="0" w:space="0" w:color="auto"/>
      </w:divBdr>
    </w:div>
    <w:div w:id="973019339">
      <w:bodyDiv w:val="1"/>
      <w:marLeft w:val="0"/>
      <w:marRight w:val="0"/>
      <w:marTop w:val="0"/>
      <w:marBottom w:val="0"/>
      <w:divBdr>
        <w:top w:val="none" w:sz="0" w:space="0" w:color="auto"/>
        <w:left w:val="none" w:sz="0" w:space="0" w:color="auto"/>
        <w:bottom w:val="none" w:sz="0" w:space="0" w:color="auto"/>
        <w:right w:val="none" w:sz="0" w:space="0" w:color="auto"/>
      </w:divBdr>
    </w:div>
    <w:div w:id="973830989">
      <w:bodyDiv w:val="1"/>
      <w:marLeft w:val="0"/>
      <w:marRight w:val="0"/>
      <w:marTop w:val="0"/>
      <w:marBottom w:val="0"/>
      <w:divBdr>
        <w:top w:val="none" w:sz="0" w:space="0" w:color="auto"/>
        <w:left w:val="none" w:sz="0" w:space="0" w:color="auto"/>
        <w:bottom w:val="none" w:sz="0" w:space="0" w:color="auto"/>
        <w:right w:val="none" w:sz="0" w:space="0" w:color="auto"/>
      </w:divBdr>
    </w:div>
    <w:div w:id="973943723">
      <w:bodyDiv w:val="1"/>
      <w:marLeft w:val="0"/>
      <w:marRight w:val="0"/>
      <w:marTop w:val="0"/>
      <w:marBottom w:val="0"/>
      <w:divBdr>
        <w:top w:val="none" w:sz="0" w:space="0" w:color="auto"/>
        <w:left w:val="none" w:sz="0" w:space="0" w:color="auto"/>
        <w:bottom w:val="none" w:sz="0" w:space="0" w:color="auto"/>
        <w:right w:val="none" w:sz="0" w:space="0" w:color="auto"/>
      </w:divBdr>
    </w:div>
    <w:div w:id="973950041">
      <w:bodyDiv w:val="1"/>
      <w:marLeft w:val="0"/>
      <w:marRight w:val="0"/>
      <w:marTop w:val="0"/>
      <w:marBottom w:val="0"/>
      <w:divBdr>
        <w:top w:val="none" w:sz="0" w:space="0" w:color="auto"/>
        <w:left w:val="none" w:sz="0" w:space="0" w:color="auto"/>
        <w:bottom w:val="none" w:sz="0" w:space="0" w:color="auto"/>
        <w:right w:val="none" w:sz="0" w:space="0" w:color="auto"/>
      </w:divBdr>
    </w:div>
    <w:div w:id="976303397">
      <w:bodyDiv w:val="1"/>
      <w:marLeft w:val="0"/>
      <w:marRight w:val="0"/>
      <w:marTop w:val="0"/>
      <w:marBottom w:val="0"/>
      <w:divBdr>
        <w:top w:val="none" w:sz="0" w:space="0" w:color="auto"/>
        <w:left w:val="none" w:sz="0" w:space="0" w:color="auto"/>
        <w:bottom w:val="none" w:sz="0" w:space="0" w:color="auto"/>
        <w:right w:val="none" w:sz="0" w:space="0" w:color="auto"/>
      </w:divBdr>
    </w:div>
    <w:div w:id="976447184">
      <w:bodyDiv w:val="1"/>
      <w:marLeft w:val="0"/>
      <w:marRight w:val="0"/>
      <w:marTop w:val="0"/>
      <w:marBottom w:val="0"/>
      <w:divBdr>
        <w:top w:val="none" w:sz="0" w:space="0" w:color="auto"/>
        <w:left w:val="none" w:sz="0" w:space="0" w:color="auto"/>
        <w:bottom w:val="none" w:sz="0" w:space="0" w:color="auto"/>
        <w:right w:val="none" w:sz="0" w:space="0" w:color="auto"/>
      </w:divBdr>
    </w:div>
    <w:div w:id="976492398">
      <w:bodyDiv w:val="1"/>
      <w:marLeft w:val="0"/>
      <w:marRight w:val="0"/>
      <w:marTop w:val="0"/>
      <w:marBottom w:val="0"/>
      <w:divBdr>
        <w:top w:val="none" w:sz="0" w:space="0" w:color="auto"/>
        <w:left w:val="none" w:sz="0" w:space="0" w:color="auto"/>
        <w:bottom w:val="none" w:sz="0" w:space="0" w:color="auto"/>
        <w:right w:val="none" w:sz="0" w:space="0" w:color="auto"/>
      </w:divBdr>
    </w:div>
    <w:div w:id="977957077">
      <w:bodyDiv w:val="1"/>
      <w:marLeft w:val="0"/>
      <w:marRight w:val="0"/>
      <w:marTop w:val="0"/>
      <w:marBottom w:val="0"/>
      <w:divBdr>
        <w:top w:val="none" w:sz="0" w:space="0" w:color="auto"/>
        <w:left w:val="none" w:sz="0" w:space="0" w:color="auto"/>
        <w:bottom w:val="none" w:sz="0" w:space="0" w:color="auto"/>
        <w:right w:val="none" w:sz="0" w:space="0" w:color="auto"/>
      </w:divBdr>
    </w:div>
    <w:div w:id="978460985">
      <w:bodyDiv w:val="1"/>
      <w:marLeft w:val="0"/>
      <w:marRight w:val="0"/>
      <w:marTop w:val="0"/>
      <w:marBottom w:val="0"/>
      <w:divBdr>
        <w:top w:val="none" w:sz="0" w:space="0" w:color="auto"/>
        <w:left w:val="none" w:sz="0" w:space="0" w:color="auto"/>
        <w:bottom w:val="none" w:sz="0" w:space="0" w:color="auto"/>
        <w:right w:val="none" w:sz="0" w:space="0" w:color="auto"/>
      </w:divBdr>
    </w:div>
    <w:div w:id="978995307">
      <w:bodyDiv w:val="1"/>
      <w:marLeft w:val="0"/>
      <w:marRight w:val="0"/>
      <w:marTop w:val="0"/>
      <w:marBottom w:val="0"/>
      <w:divBdr>
        <w:top w:val="none" w:sz="0" w:space="0" w:color="auto"/>
        <w:left w:val="none" w:sz="0" w:space="0" w:color="auto"/>
        <w:bottom w:val="none" w:sz="0" w:space="0" w:color="auto"/>
        <w:right w:val="none" w:sz="0" w:space="0" w:color="auto"/>
      </w:divBdr>
    </w:div>
    <w:div w:id="979383993">
      <w:bodyDiv w:val="1"/>
      <w:marLeft w:val="0"/>
      <w:marRight w:val="0"/>
      <w:marTop w:val="0"/>
      <w:marBottom w:val="0"/>
      <w:divBdr>
        <w:top w:val="none" w:sz="0" w:space="0" w:color="auto"/>
        <w:left w:val="none" w:sz="0" w:space="0" w:color="auto"/>
        <w:bottom w:val="none" w:sz="0" w:space="0" w:color="auto"/>
        <w:right w:val="none" w:sz="0" w:space="0" w:color="auto"/>
      </w:divBdr>
    </w:div>
    <w:div w:id="979768603">
      <w:bodyDiv w:val="1"/>
      <w:marLeft w:val="0"/>
      <w:marRight w:val="0"/>
      <w:marTop w:val="0"/>
      <w:marBottom w:val="0"/>
      <w:divBdr>
        <w:top w:val="none" w:sz="0" w:space="0" w:color="auto"/>
        <w:left w:val="none" w:sz="0" w:space="0" w:color="auto"/>
        <w:bottom w:val="none" w:sz="0" w:space="0" w:color="auto"/>
        <w:right w:val="none" w:sz="0" w:space="0" w:color="auto"/>
      </w:divBdr>
    </w:div>
    <w:div w:id="980043374">
      <w:bodyDiv w:val="1"/>
      <w:marLeft w:val="0"/>
      <w:marRight w:val="0"/>
      <w:marTop w:val="0"/>
      <w:marBottom w:val="0"/>
      <w:divBdr>
        <w:top w:val="none" w:sz="0" w:space="0" w:color="auto"/>
        <w:left w:val="none" w:sz="0" w:space="0" w:color="auto"/>
        <w:bottom w:val="none" w:sz="0" w:space="0" w:color="auto"/>
        <w:right w:val="none" w:sz="0" w:space="0" w:color="auto"/>
      </w:divBdr>
    </w:div>
    <w:div w:id="980572860">
      <w:bodyDiv w:val="1"/>
      <w:marLeft w:val="0"/>
      <w:marRight w:val="0"/>
      <w:marTop w:val="0"/>
      <w:marBottom w:val="0"/>
      <w:divBdr>
        <w:top w:val="none" w:sz="0" w:space="0" w:color="auto"/>
        <w:left w:val="none" w:sz="0" w:space="0" w:color="auto"/>
        <w:bottom w:val="none" w:sz="0" w:space="0" w:color="auto"/>
        <w:right w:val="none" w:sz="0" w:space="0" w:color="auto"/>
      </w:divBdr>
    </w:div>
    <w:div w:id="980696459">
      <w:bodyDiv w:val="1"/>
      <w:marLeft w:val="0"/>
      <w:marRight w:val="0"/>
      <w:marTop w:val="0"/>
      <w:marBottom w:val="0"/>
      <w:divBdr>
        <w:top w:val="none" w:sz="0" w:space="0" w:color="auto"/>
        <w:left w:val="none" w:sz="0" w:space="0" w:color="auto"/>
        <w:bottom w:val="none" w:sz="0" w:space="0" w:color="auto"/>
        <w:right w:val="none" w:sz="0" w:space="0" w:color="auto"/>
      </w:divBdr>
    </w:div>
    <w:div w:id="981276757">
      <w:bodyDiv w:val="1"/>
      <w:marLeft w:val="0"/>
      <w:marRight w:val="0"/>
      <w:marTop w:val="0"/>
      <w:marBottom w:val="0"/>
      <w:divBdr>
        <w:top w:val="none" w:sz="0" w:space="0" w:color="auto"/>
        <w:left w:val="none" w:sz="0" w:space="0" w:color="auto"/>
        <w:bottom w:val="none" w:sz="0" w:space="0" w:color="auto"/>
        <w:right w:val="none" w:sz="0" w:space="0" w:color="auto"/>
      </w:divBdr>
    </w:div>
    <w:div w:id="981933621">
      <w:bodyDiv w:val="1"/>
      <w:marLeft w:val="0"/>
      <w:marRight w:val="0"/>
      <w:marTop w:val="0"/>
      <w:marBottom w:val="0"/>
      <w:divBdr>
        <w:top w:val="none" w:sz="0" w:space="0" w:color="auto"/>
        <w:left w:val="none" w:sz="0" w:space="0" w:color="auto"/>
        <w:bottom w:val="none" w:sz="0" w:space="0" w:color="auto"/>
        <w:right w:val="none" w:sz="0" w:space="0" w:color="auto"/>
      </w:divBdr>
    </w:div>
    <w:div w:id="982613387">
      <w:bodyDiv w:val="1"/>
      <w:marLeft w:val="0"/>
      <w:marRight w:val="0"/>
      <w:marTop w:val="0"/>
      <w:marBottom w:val="0"/>
      <w:divBdr>
        <w:top w:val="none" w:sz="0" w:space="0" w:color="auto"/>
        <w:left w:val="none" w:sz="0" w:space="0" w:color="auto"/>
        <w:bottom w:val="none" w:sz="0" w:space="0" w:color="auto"/>
        <w:right w:val="none" w:sz="0" w:space="0" w:color="auto"/>
      </w:divBdr>
    </w:div>
    <w:div w:id="983390407">
      <w:bodyDiv w:val="1"/>
      <w:marLeft w:val="0"/>
      <w:marRight w:val="0"/>
      <w:marTop w:val="0"/>
      <w:marBottom w:val="0"/>
      <w:divBdr>
        <w:top w:val="none" w:sz="0" w:space="0" w:color="auto"/>
        <w:left w:val="none" w:sz="0" w:space="0" w:color="auto"/>
        <w:bottom w:val="none" w:sz="0" w:space="0" w:color="auto"/>
        <w:right w:val="none" w:sz="0" w:space="0" w:color="auto"/>
      </w:divBdr>
    </w:div>
    <w:div w:id="984316149">
      <w:bodyDiv w:val="1"/>
      <w:marLeft w:val="0"/>
      <w:marRight w:val="0"/>
      <w:marTop w:val="0"/>
      <w:marBottom w:val="0"/>
      <w:divBdr>
        <w:top w:val="none" w:sz="0" w:space="0" w:color="auto"/>
        <w:left w:val="none" w:sz="0" w:space="0" w:color="auto"/>
        <w:bottom w:val="none" w:sz="0" w:space="0" w:color="auto"/>
        <w:right w:val="none" w:sz="0" w:space="0" w:color="auto"/>
      </w:divBdr>
    </w:div>
    <w:div w:id="984547920">
      <w:bodyDiv w:val="1"/>
      <w:marLeft w:val="0"/>
      <w:marRight w:val="0"/>
      <w:marTop w:val="0"/>
      <w:marBottom w:val="0"/>
      <w:divBdr>
        <w:top w:val="none" w:sz="0" w:space="0" w:color="auto"/>
        <w:left w:val="none" w:sz="0" w:space="0" w:color="auto"/>
        <w:bottom w:val="none" w:sz="0" w:space="0" w:color="auto"/>
        <w:right w:val="none" w:sz="0" w:space="0" w:color="auto"/>
      </w:divBdr>
    </w:div>
    <w:div w:id="984744495">
      <w:bodyDiv w:val="1"/>
      <w:marLeft w:val="0"/>
      <w:marRight w:val="0"/>
      <w:marTop w:val="0"/>
      <w:marBottom w:val="0"/>
      <w:divBdr>
        <w:top w:val="none" w:sz="0" w:space="0" w:color="auto"/>
        <w:left w:val="none" w:sz="0" w:space="0" w:color="auto"/>
        <w:bottom w:val="none" w:sz="0" w:space="0" w:color="auto"/>
        <w:right w:val="none" w:sz="0" w:space="0" w:color="auto"/>
      </w:divBdr>
    </w:div>
    <w:div w:id="985014833">
      <w:bodyDiv w:val="1"/>
      <w:marLeft w:val="0"/>
      <w:marRight w:val="0"/>
      <w:marTop w:val="0"/>
      <w:marBottom w:val="0"/>
      <w:divBdr>
        <w:top w:val="none" w:sz="0" w:space="0" w:color="auto"/>
        <w:left w:val="none" w:sz="0" w:space="0" w:color="auto"/>
        <w:bottom w:val="none" w:sz="0" w:space="0" w:color="auto"/>
        <w:right w:val="none" w:sz="0" w:space="0" w:color="auto"/>
      </w:divBdr>
    </w:div>
    <w:div w:id="985283589">
      <w:bodyDiv w:val="1"/>
      <w:marLeft w:val="0"/>
      <w:marRight w:val="0"/>
      <w:marTop w:val="0"/>
      <w:marBottom w:val="0"/>
      <w:divBdr>
        <w:top w:val="none" w:sz="0" w:space="0" w:color="auto"/>
        <w:left w:val="none" w:sz="0" w:space="0" w:color="auto"/>
        <w:bottom w:val="none" w:sz="0" w:space="0" w:color="auto"/>
        <w:right w:val="none" w:sz="0" w:space="0" w:color="auto"/>
      </w:divBdr>
    </w:div>
    <w:div w:id="985822729">
      <w:bodyDiv w:val="1"/>
      <w:marLeft w:val="0"/>
      <w:marRight w:val="0"/>
      <w:marTop w:val="0"/>
      <w:marBottom w:val="0"/>
      <w:divBdr>
        <w:top w:val="none" w:sz="0" w:space="0" w:color="auto"/>
        <w:left w:val="none" w:sz="0" w:space="0" w:color="auto"/>
        <w:bottom w:val="none" w:sz="0" w:space="0" w:color="auto"/>
        <w:right w:val="none" w:sz="0" w:space="0" w:color="auto"/>
      </w:divBdr>
    </w:div>
    <w:div w:id="986476687">
      <w:bodyDiv w:val="1"/>
      <w:marLeft w:val="0"/>
      <w:marRight w:val="0"/>
      <w:marTop w:val="0"/>
      <w:marBottom w:val="0"/>
      <w:divBdr>
        <w:top w:val="none" w:sz="0" w:space="0" w:color="auto"/>
        <w:left w:val="none" w:sz="0" w:space="0" w:color="auto"/>
        <w:bottom w:val="none" w:sz="0" w:space="0" w:color="auto"/>
        <w:right w:val="none" w:sz="0" w:space="0" w:color="auto"/>
      </w:divBdr>
    </w:div>
    <w:div w:id="986518213">
      <w:bodyDiv w:val="1"/>
      <w:marLeft w:val="0"/>
      <w:marRight w:val="0"/>
      <w:marTop w:val="0"/>
      <w:marBottom w:val="0"/>
      <w:divBdr>
        <w:top w:val="none" w:sz="0" w:space="0" w:color="auto"/>
        <w:left w:val="none" w:sz="0" w:space="0" w:color="auto"/>
        <w:bottom w:val="none" w:sz="0" w:space="0" w:color="auto"/>
        <w:right w:val="none" w:sz="0" w:space="0" w:color="auto"/>
      </w:divBdr>
    </w:div>
    <w:div w:id="986784398">
      <w:bodyDiv w:val="1"/>
      <w:marLeft w:val="0"/>
      <w:marRight w:val="0"/>
      <w:marTop w:val="0"/>
      <w:marBottom w:val="0"/>
      <w:divBdr>
        <w:top w:val="none" w:sz="0" w:space="0" w:color="auto"/>
        <w:left w:val="none" w:sz="0" w:space="0" w:color="auto"/>
        <w:bottom w:val="none" w:sz="0" w:space="0" w:color="auto"/>
        <w:right w:val="none" w:sz="0" w:space="0" w:color="auto"/>
      </w:divBdr>
    </w:div>
    <w:div w:id="987241826">
      <w:bodyDiv w:val="1"/>
      <w:marLeft w:val="0"/>
      <w:marRight w:val="0"/>
      <w:marTop w:val="0"/>
      <w:marBottom w:val="0"/>
      <w:divBdr>
        <w:top w:val="none" w:sz="0" w:space="0" w:color="auto"/>
        <w:left w:val="none" w:sz="0" w:space="0" w:color="auto"/>
        <w:bottom w:val="none" w:sz="0" w:space="0" w:color="auto"/>
        <w:right w:val="none" w:sz="0" w:space="0" w:color="auto"/>
      </w:divBdr>
    </w:div>
    <w:div w:id="988020769">
      <w:bodyDiv w:val="1"/>
      <w:marLeft w:val="0"/>
      <w:marRight w:val="0"/>
      <w:marTop w:val="0"/>
      <w:marBottom w:val="0"/>
      <w:divBdr>
        <w:top w:val="none" w:sz="0" w:space="0" w:color="auto"/>
        <w:left w:val="none" w:sz="0" w:space="0" w:color="auto"/>
        <w:bottom w:val="none" w:sz="0" w:space="0" w:color="auto"/>
        <w:right w:val="none" w:sz="0" w:space="0" w:color="auto"/>
      </w:divBdr>
    </w:div>
    <w:div w:id="988753891">
      <w:bodyDiv w:val="1"/>
      <w:marLeft w:val="0"/>
      <w:marRight w:val="0"/>
      <w:marTop w:val="0"/>
      <w:marBottom w:val="0"/>
      <w:divBdr>
        <w:top w:val="none" w:sz="0" w:space="0" w:color="auto"/>
        <w:left w:val="none" w:sz="0" w:space="0" w:color="auto"/>
        <w:bottom w:val="none" w:sz="0" w:space="0" w:color="auto"/>
        <w:right w:val="none" w:sz="0" w:space="0" w:color="auto"/>
      </w:divBdr>
    </w:div>
    <w:div w:id="988903236">
      <w:bodyDiv w:val="1"/>
      <w:marLeft w:val="0"/>
      <w:marRight w:val="0"/>
      <w:marTop w:val="0"/>
      <w:marBottom w:val="0"/>
      <w:divBdr>
        <w:top w:val="none" w:sz="0" w:space="0" w:color="auto"/>
        <w:left w:val="none" w:sz="0" w:space="0" w:color="auto"/>
        <w:bottom w:val="none" w:sz="0" w:space="0" w:color="auto"/>
        <w:right w:val="none" w:sz="0" w:space="0" w:color="auto"/>
      </w:divBdr>
    </w:div>
    <w:div w:id="989167092">
      <w:bodyDiv w:val="1"/>
      <w:marLeft w:val="0"/>
      <w:marRight w:val="0"/>
      <w:marTop w:val="0"/>
      <w:marBottom w:val="0"/>
      <w:divBdr>
        <w:top w:val="none" w:sz="0" w:space="0" w:color="auto"/>
        <w:left w:val="none" w:sz="0" w:space="0" w:color="auto"/>
        <w:bottom w:val="none" w:sz="0" w:space="0" w:color="auto"/>
        <w:right w:val="none" w:sz="0" w:space="0" w:color="auto"/>
      </w:divBdr>
    </w:div>
    <w:div w:id="989215038">
      <w:bodyDiv w:val="1"/>
      <w:marLeft w:val="0"/>
      <w:marRight w:val="0"/>
      <w:marTop w:val="0"/>
      <w:marBottom w:val="0"/>
      <w:divBdr>
        <w:top w:val="none" w:sz="0" w:space="0" w:color="auto"/>
        <w:left w:val="none" w:sz="0" w:space="0" w:color="auto"/>
        <w:bottom w:val="none" w:sz="0" w:space="0" w:color="auto"/>
        <w:right w:val="none" w:sz="0" w:space="0" w:color="auto"/>
      </w:divBdr>
    </w:div>
    <w:div w:id="989403921">
      <w:bodyDiv w:val="1"/>
      <w:marLeft w:val="0"/>
      <w:marRight w:val="0"/>
      <w:marTop w:val="0"/>
      <w:marBottom w:val="0"/>
      <w:divBdr>
        <w:top w:val="none" w:sz="0" w:space="0" w:color="auto"/>
        <w:left w:val="none" w:sz="0" w:space="0" w:color="auto"/>
        <w:bottom w:val="none" w:sz="0" w:space="0" w:color="auto"/>
        <w:right w:val="none" w:sz="0" w:space="0" w:color="auto"/>
      </w:divBdr>
    </w:div>
    <w:div w:id="990060430">
      <w:bodyDiv w:val="1"/>
      <w:marLeft w:val="0"/>
      <w:marRight w:val="0"/>
      <w:marTop w:val="0"/>
      <w:marBottom w:val="0"/>
      <w:divBdr>
        <w:top w:val="none" w:sz="0" w:space="0" w:color="auto"/>
        <w:left w:val="none" w:sz="0" w:space="0" w:color="auto"/>
        <w:bottom w:val="none" w:sz="0" w:space="0" w:color="auto"/>
        <w:right w:val="none" w:sz="0" w:space="0" w:color="auto"/>
      </w:divBdr>
    </w:div>
    <w:div w:id="990327108">
      <w:bodyDiv w:val="1"/>
      <w:marLeft w:val="0"/>
      <w:marRight w:val="0"/>
      <w:marTop w:val="0"/>
      <w:marBottom w:val="0"/>
      <w:divBdr>
        <w:top w:val="none" w:sz="0" w:space="0" w:color="auto"/>
        <w:left w:val="none" w:sz="0" w:space="0" w:color="auto"/>
        <w:bottom w:val="none" w:sz="0" w:space="0" w:color="auto"/>
        <w:right w:val="none" w:sz="0" w:space="0" w:color="auto"/>
      </w:divBdr>
    </w:div>
    <w:div w:id="990402731">
      <w:bodyDiv w:val="1"/>
      <w:marLeft w:val="0"/>
      <w:marRight w:val="0"/>
      <w:marTop w:val="0"/>
      <w:marBottom w:val="0"/>
      <w:divBdr>
        <w:top w:val="none" w:sz="0" w:space="0" w:color="auto"/>
        <w:left w:val="none" w:sz="0" w:space="0" w:color="auto"/>
        <w:bottom w:val="none" w:sz="0" w:space="0" w:color="auto"/>
        <w:right w:val="none" w:sz="0" w:space="0" w:color="auto"/>
      </w:divBdr>
    </w:div>
    <w:div w:id="990793147">
      <w:bodyDiv w:val="1"/>
      <w:marLeft w:val="0"/>
      <w:marRight w:val="0"/>
      <w:marTop w:val="0"/>
      <w:marBottom w:val="0"/>
      <w:divBdr>
        <w:top w:val="none" w:sz="0" w:space="0" w:color="auto"/>
        <w:left w:val="none" w:sz="0" w:space="0" w:color="auto"/>
        <w:bottom w:val="none" w:sz="0" w:space="0" w:color="auto"/>
        <w:right w:val="none" w:sz="0" w:space="0" w:color="auto"/>
      </w:divBdr>
    </w:div>
    <w:div w:id="992102516">
      <w:bodyDiv w:val="1"/>
      <w:marLeft w:val="0"/>
      <w:marRight w:val="0"/>
      <w:marTop w:val="0"/>
      <w:marBottom w:val="0"/>
      <w:divBdr>
        <w:top w:val="none" w:sz="0" w:space="0" w:color="auto"/>
        <w:left w:val="none" w:sz="0" w:space="0" w:color="auto"/>
        <w:bottom w:val="none" w:sz="0" w:space="0" w:color="auto"/>
        <w:right w:val="none" w:sz="0" w:space="0" w:color="auto"/>
      </w:divBdr>
    </w:div>
    <w:div w:id="992181167">
      <w:bodyDiv w:val="1"/>
      <w:marLeft w:val="0"/>
      <w:marRight w:val="0"/>
      <w:marTop w:val="0"/>
      <w:marBottom w:val="0"/>
      <w:divBdr>
        <w:top w:val="none" w:sz="0" w:space="0" w:color="auto"/>
        <w:left w:val="none" w:sz="0" w:space="0" w:color="auto"/>
        <w:bottom w:val="none" w:sz="0" w:space="0" w:color="auto"/>
        <w:right w:val="none" w:sz="0" w:space="0" w:color="auto"/>
      </w:divBdr>
    </w:div>
    <w:div w:id="993994333">
      <w:bodyDiv w:val="1"/>
      <w:marLeft w:val="0"/>
      <w:marRight w:val="0"/>
      <w:marTop w:val="0"/>
      <w:marBottom w:val="0"/>
      <w:divBdr>
        <w:top w:val="none" w:sz="0" w:space="0" w:color="auto"/>
        <w:left w:val="none" w:sz="0" w:space="0" w:color="auto"/>
        <w:bottom w:val="none" w:sz="0" w:space="0" w:color="auto"/>
        <w:right w:val="none" w:sz="0" w:space="0" w:color="auto"/>
      </w:divBdr>
    </w:div>
    <w:div w:id="994063201">
      <w:bodyDiv w:val="1"/>
      <w:marLeft w:val="0"/>
      <w:marRight w:val="0"/>
      <w:marTop w:val="0"/>
      <w:marBottom w:val="0"/>
      <w:divBdr>
        <w:top w:val="none" w:sz="0" w:space="0" w:color="auto"/>
        <w:left w:val="none" w:sz="0" w:space="0" w:color="auto"/>
        <w:bottom w:val="none" w:sz="0" w:space="0" w:color="auto"/>
        <w:right w:val="none" w:sz="0" w:space="0" w:color="auto"/>
      </w:divBdr>
    </w:div>
    <w:div w:id="994459424">
      <w:bodyDiv w:val="1"/>
      <w:marLeft w:val="0"/>
      <w:marRight w:val="0"/>
      <w:marTop w:val="0"/>
      <w:marBottom w:val="0"/>
      <w:divBdr>
        <w:top w:val="none" w:sz="0" w:space="0" w:color="auto"/>
        <w:left w:val="none" w:sz="0" w:space="0" w:color="auto"/>
        <w:bottom w:val="none" w:sz="0" w:space="0" w:color="auto"/>
        <w:right w:val="none" w:sz="0" w:space="0" w:color="auto"/>
      </w:divBdr>
    </w:div>
    <w:div w:id="994531915">
      <w:bodyDiv w:val="1"/>
      <w:marLeft w:val="0"/>
      <w:marRight w:val="0"/>
      <w:marTop w:val="0"/>
      <w:marBottom w:val="0"/>
      <w:divBdr>
        <w:top w:val="none" w:sz="0" w:space="0" w:color="auto"/>
        <w:left w:val="none" w:sz="0" w:space="0" w:color="auto"/>
        <w:bottom w:val="none" w:sz="0" w:space="0" w:color="auto"/>
        <w:right w:val="none" w:sz="0" w:space="0" w:color="auto"/>
      </w:divBdr>
    </w:div>
    <w:div w:id="994919684">
      <w:bodyDiv w:val="1"/>
      <w:marLeft w:val="0"/>
      <w:marRight w:val="0"/>
      <w:marTop w:val="0"/>
      <w:marBottom w:val="0"/>
      <w:divBdr>
        <w:top w:val="none" w:sz="0" w:space="0" w:color="auto"/>
        <w:left w:val="none" w:sz="0" w:space="0" w:color="auto"/>
        <w:bottom w:val="none" w:sz="0" w:space="0" w:color="auto"/>
        <w:right w:val="none" w:sz="0" w:space="0" w:color="auto"/>
      </w:divBdr>
    </w:div>
    <w:div w:id="997149694">
      <w:bodyDiv w:val="1"/>
      <w:marLeft w:val="0"/>
      <w:marRight w:val="0"/>
      <w:marTop w:val="0"/>
      <w:marBottom w:val="0"/>
      <w:divBdr>
        <w:top w:val="none" w:sz="0" w:space="0" w:color="auto"/>
        <w:left w:val="none" w:sz="0" w:space="0" w:color="auto"/>
        <w:bottom w:val="none" w:sz="0" w:space="0" w:color="auto"/>
        <w:right w:val="none" w:sz="0" w:space="0" w:color="auto"/>
      </w:divBdr>
    </w:div>
    <w:div w:id="997806097">
      <w:bodyDiv w:val="1"/>
      <w:marLeft w:val="0"/>
      <w:marRight w:val="0"/>
      <w:marTop w:val="0"/>
      <w:marBottom w:val="0"/>
      <w:divBdr>
        <w:top w:val="none" w:sz="0" w:space="0" w:color="auto"/>
        <w:left w:val="none" w:sz="0" w:space="0" w:color="auto"/>
        <w:bottom w:val="none" w:sz="0" w:space="0" w:color="auto"/>
        <w:right w:val="none" w:sz="0" w:space="0" w:color="auto"/>
      </w:divBdr>
    </w:div>
    <w:div w:id="998314155">
      <w:bodyDiv w:val="1"/>
      <w:marLeft w:val="0"/>
      <w:marRight w:val="0"/>
      <w:marTop w:val="0"/>
      <w:marBottom w:val="0"/>
      <w:divBdr>
        <w:top w:val="none" w:sz="0" w:space="0" w:color="auto"/>
        <w:left w:val="none" w:sz="0" w:space="0" w:color="auto"/>
        <w:bottom w:val="none" w:sz="0" w:space="0" w:color="auto"/>
        <w:right w:val="none" w:sz="0" w:space="0" w:color="auto"/>
      </w:divBdr>
    </w:div>
    <w:div w:id="998771103">
      <w:bodyDiv w:val="1"/>
      <w:marLeft w:val="0"/>
      <w:marRight w:val="0"/>
      <w:marTop w:val="0"/>
      <w:marBottom w:val="0"/>
      <w:divBdr>
        <w:top w:val="none" w:sz="0" w:space="0" w:color="auto"/>
        <w:left w:val="none" w:sz="0" w:space="0" w:color="auto"/>
        <w:bottom w:val="none" w:sz="0" w:space="0" w:color="auto"/>
        <w:right w:val="none" w:sz="0" w:space="0" w:color="auto"/>
      </w:divBdr>
    </w:div>
    <w:div w:id="999503184">
      <w:bodyDiv w:val="1"/>
      <w:marLeft w:val="0"/>
      <w:marRight w:val="0"/>
      <w:marTop w:val="0"/>
      <w:marBottom w:val="0"/>
      <w:divBdr>
        <w:top w:val="none" w:sz="0" w:space="0" w:color="auto"/>
        <w:left w:val="none" w:sz="0" w:space="0" w:color="auto"/>
        <w:bottom w:val="none" w:sz="0" w:space="0" w:color="auto"/>
        <w:right w:val="none" w:sz="0" w:space="0" w:color="auto"/>
      </w:divBdr>
    </w:div>
    <w:div w:id="1001392947">
      <w:bodyDiv w:val="1"/>
      <w:marLeft w:val="0"/>
      <w:marRight w:val="0"/>
      <w:marTop w:val="0"/>
      <w:marBottom w:val="0"/>
      <w:divBdr>
        <w:top w:val="none" w:sz="0" w:space="0" w:color="auto"/>
        <w:left w:val="none" w:sz="0" w:space="0" w:color="auto"/>
        <w:bottom w:val="none" w:sz="0" w:space="0" w:color="auto"/>
        <w:right w:val="none" w:sz="0" w:space="0" w:color="auto"/>
      </w:divBdr>
    </w:div>
    <w:div w:id="1003356489">
      <w:bodyDiv w:val="1"/>
      <w:marLeft w:val="0"/>
      <w:marRight w:val="0"/>
      <w:marTop w:val="0"/>
      <w:marBottom w:val="0"/>
      <w:divBdr>
        <w:top w:val="none" w:sz="0" w:space="0" w:color="auto"/>
        <w:left w:val="none" w:sz="0" w:space="0" w:color="auto"/>
        <w:bottom w:val="none" w:sz="0" w:space="0" w:color="auto"/>
        <w:right w:val="none" w:sz="0" w:space="0" w:color="auto"/>
      </w:divBdr>
    </w:div>
    <w:div w:id="1003431508">
      <w:bodyDiv w:val="1"/>
      <w:marLeft w:val="0"/>
      <w:marRight w:val="0"/>
      <w:marTop w:val="0"/>
      <w:marBottom w:val="0"/>
      <w:divBdr>
        <w:top w:val="none" w:sz="0" w:space="0" w:color="auto"/>
        <w:left w:val="none" w:sz="0" w:space="0" w:color="auto"/>
        <w:bottom w:val="none" w:sz="0" w:space="0" w:color="auto"/>
        <w:right w:val="none" w:sz="0" w:space="0" w:color="auto"/>
      </w:divBdr>
    </w:div>
    <w:div w:id="1004286292">
      <w:bodyDiv w:val="1"/>
      <w:marLeft w:val="0"/>
      <w:marRight w:val="0"/>
      <w:marTop w:val="0"/>
      <w:marBottom w:val="0"/>
      <w:divBdr>
        <w:top w:val="none" w:sz="0" w:space="0" w:color="auto"/>
        <w:left w:val="none" w:sz="0" w:space="0" w:color="auto"/>
        <w:bottom w:val="none" w:sz="0" w:space="0" w:color="auto"/>
        <w:right w:val="none" w:sz="0" w:space="0" w:color="auto"/>
      </w:divBdr>
    </w:div>
    <w:div w:id="1006446755">
      <w:bodyDiv w:val="1"/>
      <w:marLeft w:val="0"/>
      <w:marRight w:val="0"/>
      <w:marTop w:val="0"/>
      <w:marBottom w:val="0"/>
      <w:divBdr>
        <w:top w:val="none" w:sz="0" w:space="0" w:color="auto"/>
        <w:left w:val="none" w:sz="0" w:space="0" w:color="auto"/>
        <w:bottom w:val="none" w:sz="0" w:space="0" w:color="auto"/>
        <w:right w:val="none" w:sz="0" w:space="0" w:color="auto"/>
      </w:divBdr>
    </w:div>
    <w:div w:id="1006716086">
      <w:bodyDiv w:val="1"/>
      <w:marLeft w:val="0"/>
      <w:marRight w:val="0"/>
      <w:marTop w:val="0"/>
      <w:marBottom w:val="0"/>
      <w:divBdr>
        <w:top w:val="none" w:sz="0" w:space="0" w:color="auto"/>
        <w:left w:val="none" w:sz="0" w:space="0" w:color="auto"/>
        <w:bottom w:val="none" w:sz="0" w:space="0" w:color="auto"/>
        <w:right w:val="none" w:sz="0" w:space="0" w:color="auto"/>
      </w:divBdr>
    </w:div>
    <w:div w:id="1006782081">
      <w:bodyDiv w:val="1"/>
      <w:marLeft w:val="0"/>
      <w:marRight w:val="0"/>
      <w:marTop w:val="0"/>
      <w:marBottom w:val="0"/>
      <w:divBdr>
        <w:top w:val="none" w:sz="0" w:space="0" w:color="auto"/>
        <w:left w:val="none" w:sz="0" w:space="0" w:color="auto"/>
        <w:bottom w:val="none" w:sz="0" w:space="0" w:color="auto"/>
        <w:right w:val="none" w:sz="0" w:space="0" w:color="auto"/>
      </w:divBdr>
    </w:div>
    <w:div w:id="1008824378">
      <w:bodyDiv w:val="1"/>
      <w:marLeft w:val="0"/>
      <w:marRight w:val="0"/>
      <w:marTop w:val="0"/>
      <w:marBottom w:val="0"/>
      <w:divBdr>
        <w:top w:val="none" w:sz="0" w:space="0" w:color="auto"/>
        <w:left w:val="none" w:sz="0" w:space="0" w:color="auto"/>
        <w:bottom w:val="none" w:sz="0" w:space="0" w:color="auto"/>
        <w:right w:val="none" w:sz="0" w:space="0" w:color="auto"/>
      </w:divBdr>
    </w:div>
    <w:div w:id="1009023136">
      <w:bodyDiv w:val="1"/>
      <w:marLeft w:val="0"/>
      <w:marRight w:val="0"/>
      <w:marTop w:val="0"/>
      <w:marBottom w:val="0"/>
      <w:divBdr>
        <w:top w:val="none" w:sz="0" w:space="0" w:color="auto"/>
        <w:left w:val="none" w:sz="0" w:space="0" w:color="auto"/>
        <w:bottom w:val="none" w:sz="0" w:space="0" w:color="auto"/>
        <w:right w:val="none" w:sz="0" w:space="0" w:color="auto"/>
      </w:divBdr>
    </w:div>
    <w:div w:id="1009254680">
      <w:bodyDiv w:val="1"/>
      <w:marLeft w:val="0"/>
      <w:marRight w:val="0"/>
      <w:marTop w:val="0"/>
      <w:marBottom w:val="0"/>
      <w:divBdr>
        <w:top w:val="none" w:sz="0" w:space="0" w:color="auto"/>
        <w:left w:val="none" w:sz="0" w:space="0" w:color="auto"/>
        <w:bottom w:val="none" w:sz="0" w:space="0" w:color="auto"/>
        <w:right w:val="none" w:sz="0" w:space="0" w:color="auto"/>
      </w:divBdr>
    </w:div>
    <w:div w:id="1009523685">
      <w:bodyDiv w:val="1"/>
      <w:marLeft w:val="0"/>
      <w:marRight w:val="0"/>
      <w:marTop w:val="0"/>
      <w:marBottom w:val="0"/>
      <w:divBdr>
        <w:top w:val="none" w:sz="0" w:space="0" w:color="auto"/>
        <w:left w:val="none" w:sz="0" w:space="0" w:color="auto"/>
        <w:bottom w:val="none" w:sz="0" w:space="0" w:color="auto"/>
        <w:right w:val="none" w:sz="0" w:space="0" w:color="auto"/>
      </w:divBdr>
    </w:div>
    <w:div w:id="1010331829">
      <w:bodyDiv w:val="1"/>
      <w:marLeft w:val="0"/>
      <w:marRight w:val="0"/>
      <w:marTop w:val="0"/>
      <w:marBottom w:val="0"/>
      <w:divBdr>
        <w:top w:val="none" w:sz="0" w:space="0" w:color="auto"/>
        <w:left w:val="none" w:sz="0" w:space="0" w:color="auto"/>
        <w:bottom w:val="none" w:sz="0" w:space="0" w:color="auto"/>
        <w:right w:val="none" w:sz="0" w:space="0" w:color="auto"/>
      </w:divBdr>
    </w:div>
    <w:div w:id="1010332363">
      <w:bodyDiv w:val="1"/>
      <w:marLeft w:val="0"/>
      <w:marRight w:val="0"/>
      <w:marTop w:val="0"/>
      <w:marBottom w:val="0"/>
      <w:divBdr>
        <w:top w:val="none" w:sz="0" w:space="0" w:color="auto"/>
        <w:left w:val="none" w:sz="0" w:space="0" w:color="auto"/>
        <w:bottom w:val="none" w:sz="0" w:space="0" w:color="auto"/>
        <w:right w:val="none" w:sz="0" w:space="0" w:color="auto"/>
      </w:divBdr>
    </w:div>
    <w:div w:id="1010447670">
      <w:bodyDiv w:val="1"/>
      <w:marLeft w:val="0"/>
      <w:marRight w:val="0"/>
      <w:marTop w:val="0"/>
      <w:marBottom w:val="0"/>
      <w:divBdr>
        <w:top w:val="none" w:sz="0" w:space="0" w:color="auto"/>
        <w:left w:val="none" w:sz="0" w:space="0" w:color="auto"/>
        <w:bottom w:val="none" w:sz="0" w:space="0" w:color="auto"/>
        <w:right w:val="none" w:sz="0" w:space="0" w:color="auto"/>
      </w:divBdr>
    </w:div>
    <w:div w:id="1011489546">
      <w:bodyDiv w:val="1"/>
      <w:marLeft w:val="0"/>
      <w:marRight w:val="0"/>
      <w:marTop w:val="0"/>
      <w:marBottom w:val="0"/>
      <w:divBdr>
        <w:top w:val="none" w:sz="0" w:space="0" w:color="auto"/>
        <w:left w:val="none" w:sz="0" w:space="0" w:color="auto"/>
        <w:bottom w:val="none" w:sz="0" w:space="0" w:color="auto"/>
        <w:right w:val="none" w:sz="0" w:space="0" w:color="auto"/>
      </w:divBdr>
    </w:div>
    <w:div w:id="1012537697">
      <w:bodyDiv w:val="1"/>
      <w:marLeft w:val="0"/>
      <w:marRight w:val="0"/>
      <w:marTop w:val="0"/>
      <w:marBottom w:val="0"/>
      <w:divBdr>
        <w:top w:val="none" w:sz="0" w:space="0" w:color="auto"/>
        <w:left w:val="none" w:sz="0" w:space="0" w:color="auto"/>
        <w:bottom w:val="none" w:sz="0" w:space="0" w:color="auto"/>
        <w:right w:val="none" w:sz="0" w:space="0" w:color="auto"/>
      </w:divBdr>
    </w:div>
    <w:div w:id="1012607498">
      <w:bodyDiv w:val="1"/>
      <w:marLeft w:val="0"/>
      <w:marRight w:val="0"/>
      <w:marTop w:val="0"/>
      <w:marBottom w:val="0"/>
      <w:divBdr>
        <w:top w:val="none" w:sz="0" w:space="0" w:color="auto"/>
        <w:left w:val="none" w:sz="0" w:space="0" w:color="auto"/>
        <w:bottom w:val="none" w:sz="0" w:space="0" w:color="auto"/>
        <w:right w:val="none" w:sz="0" w:space="0" w:color="auto"/>
      </w:divBdr>
    </w:div>
    <w:div w:id="1015301636">
      <w:bodyDiv w:val="1"/>
      <w:marLeft w:val="0"/>
      <w:marRight w:val="0"/>
      <w:marTop w:val="0"/>
      <w:marBottom w:val="0"/>
      <w:divBdr>
        <w:top w:val="none" w:sz="0" w:space="0" w:color="auto"/>
        <w:left w:val="none" w:sz="0" w:space="0" w:color="auto"/>
        <w:bottom w:val="none" w:sz="0" w:space="0" w:color="auto"/>
        <w:right w:val="none" w:sz="0" w:space="0" w:color="auto"/>
      </w:divBdr>
    </w:div>
    <w:div w:id="1016231545">
      <w:bodyDiv w:val="1"/>
      <w:marLeft w:val="0"/>
      <w:marRight w:val="0"/>
      <w:marTop w:val="0"/>
      <w:marBottom w:val="0"/>
      <w:divBdr>
        <w:top w:val="none" w:sz="0" w:space="0" w:color="auto"/>
        <w:left w:val="none" w:sz="0" w:space="0" w:color="auto"/>
        <w:bottom w:val="none" w:sz="0" w:space="0" w:color="auto"/>
        <w:right w:val="none" w:sz="0" w:space="0" w:color="auto"/>
      </w:divBdr>
    </w:div>
    <w:div w:id="1017078314">
      <w:bodyDiv w:val="1"/>
      <w:marLeft w:val="0"/>
      <w:marRight w:val="0"/>
      <w:marTop w:val="0"/>
      <w:marBottom w:val="0"/>
      <w:divBdr>
        <w:top w:val="none" w:sz="0" w:space="0" w:color="auto"/>
        <w:left w:val="none" w:sz="0" w:space="0" w:color="auto"/>
        <w:bottom w:val="none" w:sz="0" w:space="0" w:color="auto"/>
        <w:right w:val="none" w:sz="0" w:space="0" w:color="auto"/>
      </w:divBdr>
    </w:div>
    <w:div w:id="1017079256">
      <w:bodyDiv w:val="1"/>
      <w:marLeft w:val="0"/>
      <w:marRight w:val="0"/>
      <w:marTop w:val="0"/>
      <w:marBottom w:val="0"/>
      <w:divBdr>
        <w:top w:val="none" w:sz="0" w:space="0" w:color="auto"/>
        <w:left w:val="none" w:sz="0" w:space="0" w:color="auto"/>
        <w:bottom w:val="none" w:sz="0" w:space="0" w:color="auto"/>
        <w:right w:val="none" w:sz="0" w:space="0" w:color="auto"/>
      </w:divBdr>
    </w:div>
    <w:div w:id="1017195081">
      <w:bodyDiv w:val="1"/>
      <w:marLeft w:val="0"/>
      <w:marRight w:val="0"/>
      <w:marTop w:val="0"/>
      <w:marBottom w:val="0"/>
      <w:divBdr>
        <w:top w:val="none" w:sz="0" w:space="0" w:color="auto"/>
        <w:left w:val="none" w:sz="0" w:space="0" w:color="auto"/>
        <w:bottom w:val="none" w:sz="0" w:space="0" w:color="auto"/>
        <w:right w:val="none" w:sz="0" w:space="0" w:color="auto"/>
      </w:divBdr>
    </w:div>
    <w:div w:id="1017459819">
      <w:bodyDiv w:val="1"/>
      <w:marLeft w:val="0"/>
      <w:marRight w:val="0"/>
      <w:marTop w:val="0"/>
      <w:marBottom w:val="0"/>
      <w:divBdr>
        <w:top w:val="none" w:sz="0" w:space="0" w:color="auto"/>
        <w:left w:val="none" w:sz="0" w:space="0" w:color="auto"/>
        <w:bottom w:val="none" w:sz="0" w:space="0" w:color="auto"/>
        <w:right w:val="none" w:sz="0" w:space="0" w:color="auto"/>
      </w:divBdr>
    </w:div>
    <w:div w:id="1017733146">
      <w:bodyDiv w:val="1"/>
      <w:marLeft w:val="0"/>
      <w:marRight w:val="0"/>
      <w:marTop w:val="0"/>
      <w:marBottom w:val="0"/>
      <w:divBdr>
        <w:top w:val="none" w:sz="0" w:space="0" w:color="auto"/>
        <w:left w:val="none" w:sz="0" w:space="0" w:color="auto"/>
        <w:bottom w:val="none" w:sz="0" w:space="0" w:color="auto"/>
        <w:right w:val="none" w:sz="0" w:space="0" w:color="auto"/>
      </w:divBdr>
    </w:div>
    <w:div w:id="1018389668">
      <w:bodyDiv w:val="1"/>
      <w:marLeft w:val="0"/>
      <w:marRight w:val="0"/>
      <w:marTop w:val="0"/>
      <w:marBottom w:val="0"/>
      <w:divBdr>
        <w:top w:val="none" w:sz="0" w:space="0" w:color="auto"/>
        <w:left w:val="none" w:sz="0" w:space="0" w:color="auto"/>
        <w:bottom w:val="none" w:sz="0" w:space="0" w:color="auto"/>
        <w:right w:val="none" w:sz="0" w:space="0" w:color="auto"/>
      </w:divBdr>
    </w:div>
    <w:div w:id="1018429959">
      <w:bodyDiv w:val="1"/>
      <w:marLeft w:val="0"/>
      <w:marRight w:val="0"/>
      <w:marTop w:val="0"/>
      <w:marBottom w:val="0"/>
      <w:divBdr>
        <w:top w:val="none" w:sz="0" w:space="0" w:color="auto"/>
        <w:left w:val="none" w:sz="0" w:space="0" w:color="auto"/>
        <w:bottom w:val="none" w:sz="0" w:space="0" w:color="auto"/>
        <w:right w:val="none" w:sz="0" w:space="0" w:color="auto"/>
      </w:divBdr>
    </w:div>
    <w:div w:id="1019089382">
      <w:bodyDiv w:val="1"/>
      <w:marLeft w:val="0"/>
      <w:marRight w:val="0"/>
      <w:marTop w:val="0"/>
      <w:marBottom w:val="0"/>
      <w:divBdr>
        <w:top w:val="none" w:sz="0" w:space="0" w:color="auto"/>
        <w:left w:val="none" w:sz="0" w:space="0" w:color="auto"/>
        <w:bottom w:val="none" w:sz="0" w:space="0" w:color="auto"/>
        <w:right w:val="none" w:sz="0" w:space="0" w:color="auto"/>
      </w:divBdr>
    </w:div>
    <w:div w:id="1019745782">
      <w:bodyDiv w:val="1"/>
      <w:marLeft w:val="0"/>
      <w:marRight w:val="0"/>
      <w:marTop w:val="0"/>
      <w:marBottom w:val="0"/>
      <w:divBdr>
        <w:top w:val="none" w:sz="0" w:space="0" w:color="auto"/>
        <w:left w:val="none" w:sz="0" w:space="0" w:color="auto"/>
        <w:bottom w:val="none" w:sz="0" w:space="0" w:color="auto"/>
        <w:right w:val="none" w:sz="0" w:space="0" w:color="auto"/>
      </w:divBdr>
    </w:div>
    <w:div w:id="1020621444">
      <w:bodyDiv w:val="1"/>
      <w:marLeft w:val="0"/>
      <w:marRight w:val="0"/>
      <w:marTop w:val="0"/>
      <w:marBottom w:val="0"/>
      <w:divBdr>
        <w:top w:val="none" w:sz="0" w:space="0" w:color="auto"/>
        <w:left w:val="none" w:sz="0" w:space="0" w:color="auto"/>
        <w:bottom w:val="none" w:sz="0" w:space="0" w:color="auto"/>
        <w:right w:val="none" w:sz="0" w:space="0" w:color="auto"/>
      </w:divBdr>
    </w:div>
    <w:div w:id="1021859702">
      <w:bodyDiv w:val="1"/>
      <w:marLeft w:val="0"/>
      <w:marRight w:val="0"/>
      <w:marTop w:val="0"/>
      <w:marBottom w:val="0"/>
      <w:divBdr>
        <w:top w:val="none" w:sz="0" w:space="0" w:color="auto"/>
        <w:left w:val="none" w:sz="0" w:space="0" w:color="auto"/>
        <w:bottom w:val="none" w:sz="0" w:space="0" w:color="auto"/>
        <w:right w:val="none" w:sz="0" w:space="0" w:color="auto"/>
      </w:divBdr>
    </w:div>
    <w:div w:id="1021972277">
      <w:bodyDiv w:val="1"/>
      <w:marLeft w:val="0"/>
      <w:marRight w:val="0"/>
      <w:marTop w:val="0"/>
      <w:marBottom w:val="0"/>
      <w:divBdr>
        <w:top w:val="none" w:sz="0" w:space="0" w:color="auto"/>
        <w:left w:val="none" w:sz="0" w:space="0" w:color="auto"/>
        <w:bottom w:val="none" w:sz="0" w:space="0" w:color="auto"/>
        <w:right w:val="none" w:sz="0" w:space="0" w:color="auto"/>
      </w:divBdr>
    </w:div>
    <w:div w:id="1022780110">
      <w:bodyDiv w:val="1"/>
      <w:marLeft w:val="0"/>
      <w:marRight w:val="0"/>
      <w:marTop w:val="0"/>
      <w:marBottom w:val="0"/>
      <w:divBdr>
        <w:top w:val="none" w:sz="0" w:space="0" w:color="auto"/>
        <w:left w:val="none" w:sz="0" w:space="0" w:color="auto"/>
        <w:bottom w:val="none" w:sz="0" w:space="0" w:color="auto"/>
        <w:right w:val="none" w:sz="0" w:space="0" w:color="auto"/>
      </w:divBdr>
    </w:div>
    <w:div w:id="1023552063">
      <w:bodyDiv w:val="1"/>
      <w:marLeft w:val="0"/>
      <w:marRight w:val="0"/>
      <w:marTop w:val="0"/>
      <w:marBottom w:val="0"/>
      <w:divBdr>
        <w:top w:val="none" w:sz="0" w:space="0" w:color="auto"/>
        <w:left w:val="none" w:sz="0" w:space="0" w:color="auto"/>
        <w:bottom w:val="none" w:sz="0" w:space="0" w:color="auto"/>
        <w:right w:val="none" w:sz="0" w:space="0" w:color="auto"/>
      </w:divBdr>
    </w:div>
    <w:div w:id="1024018109">
      <w:bodyDiv w:val="1"/>
      <w:marLeft w:val="0"/>
      <w:marRight w:val="0"/>
      <w:marTop w:val="0"/>
      <w:marBottom w:val="0"/>
      <w:divBdr>
        <w:top w:val="none" w:sz="0" w:space="0" w:color="auto"/>
        <w:left w:val="none" w:sz="0" w:space="0" w:color="auto"/>
        <w:bottom w:val="none" w:sz="0" w:space="0" w:color="auto"/>
        <w:right w:val="none" w:sz="0" w:space="0" w:color="auto"/>
      </w:divBdr>
    </w:div>
    <w:div w:id="1024332193">
      <w:bodyDiv w:val="1"/>
      <w:marLeft w:val="0"/>
      <w:marRight w:val="0"/>
      <w:marTop w:val="0"/>
      <w:marBottom w:val="0"/>
      <w:divBdr>
        <w:top w:val="none" w:sz="0" w:space="0" w:color="auto"/>
        <w:left w:val="none" w:sz="0" w:space="0" w:color="auto"/>
        <w:bottom w:val="none" w:sz="0" w:space="0" w:color="auto"/>
        <w:right w:val="none" w:sz="0" w:space="0" w:color="auto"/>
      </w:divBdr>
    </w:div>
    <w:div w:id="1024988331">
      <w:bodyDiv w:val="1"/>
      <w:marLeft w:val="0"/>
      <w:marRight w:val="0"/>
      <w:marTop w:val="0"/>
      <w:marBottom w:val="0"/>
      <w:divBdr>
        <w:top w:val="none" w:sz="0" w:space="0" w:color="auto"/>
        <w:left w:val="none" w:sz="0" w:space="0" w:color="auto"/>
        <w:bottom w:val="none" w:sz="0" w:space="0" w:color="auto"/>
        <w:right w:val="none" w:sz="0" w:space="0" w:color="auto"/>
      </w:divBdr>
    </w:div>
    <w:div w:id="1026371736">
      <w:bodyDiv w:val="1"/>
      <w:marLeft w:val="0"/>
      <w:marRight w:val="0"/>
      <w:marTop w:val="0"/>
      <w:marBottom w:val="0"/>
      <w:divBdr>
        <w:top w:val="none" w:sz="0" w:space="0" w:color="auto"/>
        <w:left w:val="none" w:sz="0" w:space="0" w:color="auto"/>
        <w:bottom w:val="none" w:sz="0" w:space="0" w:color="auto"/>
        <w:right w:val="none" w:sz="0" w:space="0" w:color="auto"/>
      </w:divBdr>
    </w:div>
    <w:div w:id="1026906297">
      <w:bodyDiv w:val="1"/>
      <w:marLeft w:val="0"/>
      <w:marRight w:val="0"/>
      <w:marTop w:val="0"/>
      <w:marBottom w:val="0"/>
      <w:divBdr>
        <w:top w:val="none" w:sz="0" w:space="0" w:color="auto"/>
        <w:left w:val="none" w:sz="0" w:space="0" w:color="auto"/>
        <w:bottom w:val="none" w:sz="0" w:space="0" w:color="auto"/>
        <w:right w:val="none" w:sz="0" w:space="0" w:color="auto"/>
      </w:divBdr>
    </w:div>
    <w:div w:id="1027368321">
      <w:bodyDiv w:val="1"/>
      <w:marLeft w:val="0"/>
      <w:marRight w:val="0"/>
      <w:marTop w:val="0"/>
      <w:marBottom w:val="0"/>
      <w:divBdr>
        <w:top w:val="none" w:sz="0" w:space="0" w:color="auto"/>
        <w:left w:val="none" w:sz="0" w:space="0" w:color="auto"/>
        <w:bottom w:val="none" w:sz="0" w:space="0" w:color="auto"/>
        <w:right w:val="none" w:sz="0" w:space="0" w:color="auto"/>
      </w:divBdr>
    </w:div>
    <w:div w:id="1028870492">
      <w:bodyDiv w:val="1"/>
      <w:marLeft w:val="0"/>
      <w:marRight w:val="0"/>
      <w:marTop w:val="0"/>
      <w:marBottom w:val="0"/>
      <w:divBdr>
        <w:top w:val="none" w:sz="0" w:space="0" w:color="auto"/>
        <w:left w:val="none" w:sz="0" w:space="0" w:color="auto"/>
        <w:bottom w:val="none" w:sz="0" w:space="0" w:color="auto"/>
        <w:right w:val="none" w:sz="0" w:space="0" w:color="auto"/>
      </w:divBdr>
    </w:div>
    <w:div w:id="1029523730">
      <w:bodyDiv w:val="1"/>
      <w:marLeft w:val="0"/>
      <w:marRight w:val="0"/>
      <w:marTop w:val="0"/>
      <w:marBottom w:val="0"/>
      <w:divBdr>
        <w:top w:val="none" w:sz="0" w:space="0" w:color="auto"/>
        <w:left w:val="none" w:sz="0" w:space="0" w:color="auto"/>
        <w:bottom w:val="none" w:sz="0" w:space="0" w:color="auto"/>
        <w:right w:val="none" w:sz="0" w:space="0" w:color="auto"/>
      </w:divBdr>
    </w:div>
    <w:div w:id="1030185630">
      <w:bodyDiv w:val="1"/>
      <w:marLeft w:val="0"/>
      <w:marRight w:val="0"/>
      <w:marTop w:val="0"/>
      <w:marBottom w:val="0"/>
      <w:divBdr>
        <w:top w:val="none" w:sz="0" w:space="0" w:color="auto"/>
        <w:left w:val="none" w:sz="0" w:space="0" w:color="auto"/>
        <w:bottom w:val="none" w:sz="0" w:space="0" w:color="auto"/>
        <w:right w:val="none" w:sz="0" w:space="0" w:color="auto"/>
      </w:divBdr>
    </w:div>
    <w:div w:id="1030490563">
      <w:bodyDiv w:val="1"/>
      <w:marLeft w:val="0"/>
      <w:marRight w:val="0"/>
      <w:marTop w:val="0"/>
      <w:marBottom w:val="0"/>
      <w:divBdr>
        <w:top w:val="none" w:sz="0" w:space="0" w:color="auto"/>
        <w:left w:val="none" w:sz="0" w:space="0" w:color="auto"/>
        <w:bottom w:val="none" w:sz="0" w:space="0" w:color="auto"/>
        <w:right w:val="none" w:sz="0" w:space="0" w:color="auto"/>
      </w:divBdr>
    </w:div>
    <w:div w:id="1030836433">
      <w:bodyDiv w:val="1"/>
      <w:marLeft w:val="0"/>
      <w:marRight w:val="0"/>
      <w:marTop w:val="0"/>
      <w:marBottom w:val="0"/>
      <w:divBdr>
        <w:top w:val="none" w:sz="0" w:space="0" w:color="auto"/>
        <w:left w:val="none" w:sz="0" w:space="0" w:color="auto"/>
        <w:bottom w:val="none" w:sz="0" w:space="0" w:color="auto"/>
        <w:right w:val="none" w:sz="0" w:space="0" w:color="auto"/>
      </w:divBdr>
    </w:div>
    <w:div w:id="1031145615">
      <w:bodyDiv w:val="1"/>
      <w:marLeft w:val="0"/>
      <w:marRight w:val="0"/>
      <w:marTop w:val="0"/>
      <w:marBottom w:val="0"/>
      <w:divBdr>
        <w:top w:val="none" w:sz="0" w:space="0" w:color="auto"/>
        <w:left w:val="none" w:sz="0" w:space="0" w:color="auto"/>
        <w:bottom w:val="none" w:sz="0" w:space="0" w:color="auto"/>
        <w:right w:val="none" w:sz="0" w:space="0" w:color="auto"/>
      </w:divBdr>
    </w:div>
    <w:div w:id="1031225889">
      <w:bodyDiv w:val="1"/>
      <w:marLeft w:val="0"/>
      <w:marRight w:val="0"/>
      <w:marTop w:val="0"/>
      <w:marBottom w:val="0"/>
      <w:divBdr>
        <w:top w:val="none" w:sz="0" w:space="0" w:color="auto"/>
        <w:left w:val="none" w:sz="0" w:space="0" w:color="auto"/>
        <w:bottom w:val="none" w:sz="0" w:space="0" w:color="auto"/>
        <w:right w:val="none" w:sz="0" w:space="0" w:color="auto"/>
      </w:divBdr>
    </w:div>
    <w:div w:id="1031295717">
      <w:bodyDiv w:val="1"/>
      <w:marLeft w:val="0"/>
      <w:marRight w:val="0"/>
      <w:marTop w:val="0"/>
      <w:marBottom w:val="0"/>
      <w:divBdr>
        <w:top w:val="none" w:sz="0" w:space="0" w:color="auto"/>
        <w:left w:val="none" w:sz="0" w:space="0" w:color="auto"/>
        <w:bottom w:val="none" w:sz="0" w:space="0" w:color="auto"/>
        <w:right w:val="none" w:sz="0" w:space="0" w:color="auto"/>
      </w:divBdr>
    </w:div>
    <w:div w:id="1031304934">
      <w:bodyDiv w:val="1"/>
      <w:marLeft w:val="0"/>
      <w:marRight w:val="0"/>
      <w:marTop w:val="0"/>
      <w:marBottom w:val="0"/>
      <w:divBdr>
        <w:top w:val="none" w:sz="0" w:space="0" w:color="auto"/>
        <w:left w:val="none" w:sz="0" w:space="0" w:color="auto"/>
        <w:bottom w:val="none" w:sz="0" w:space="0" w:color="auto"/>
        <w:right w:val="none" w:sz="0" w:space="0" w:color="auto"/>
      </w:divBdr>
    </w:div>
    <w:div w:id="1031495287">
      <w:bodyDiv w:val="1"/>
      <w:marLeft w:val="0"/>
      <w:marRight w:val="0"/>
      <w:marTop w:val="0"/>
      <w:marBottom w:val="0"/>
      <w:divBdr>
        <w:top w:val="none" w:sz="0" w:space="0" w:color="auto"/>
        <w:left w:val="none" w:sz="0" w:space="0" w:color="auto"/>
        <w:bottom w:val="none" w:sz="0" w:space="0" w:color="auto"/>
        <w:right w:val="none" w:sz="0" w:space="0" w:color="auto"/>
      </w:divBdr>
    </w:div>
    <w:div w:id="1031565187">
      <w:bodyDiv w:val="1"/>
      <w:marLeft w:val="0"/>
      <w:marRight w:val="0"/>
      <w:marTop w:val="0"/>
      <w:marBottom w:val="0"/>
      <w:divBdr>
        <w:top w:val="none" w:sz="0" w:space="0" w:color="auto"/>
        <w:left w:val="none" w:sz="0" w:space="0" w:color="auto"/>
        <w:bottom w:val="none" w:sz="0" w:space="0" w:color="auto"/>
        <w:right w:val="none" w:sz="0" w:space="0" w:color="auto"/>
      </w:divBdr>
    </w:div>
    <w:div w:id="1032069730">
      <w:bodyDiv w:val="1"/>
      <w:marLeft w:val="0"/>
      <w:marRight w:val="0"/>
      <w:marTop w:val="0"/>
      <w:marBottom w:val="0"/>
      <w:divBdr>
        <w:top w:val="none" w:sz="0" w:space="0" w:color="auto"/>
        <w:left w:val="none" w:sz="0" w:space="0" w:color="auto"/>
        <w:bottom w:val="none" w:sz="0" w:space="0" w:color="auto"/>
        <w:right w:val="none" w:sz="0" w:space="0" w:color="auto"/>
      </w:divBdr>
    </w:div>
    <w:div w:id="1032413594">
      <w:bodyDiv w:val="1"/>
      <w:marLeft w:val="0"/>
      <w:marRight w:val="0"/>
      <w:marTop w:val="0"/>
      <w:marBottom w:val="0"/>
      <w:divBdr>
        <w:top w:val="none" w:sz="0" w:space="0" w:color="auto"/>
        <w:left w:val="none" w:sz="0" w:space="0" w:color="auto"/>
        <w:bottom w:val="none" w:sz="0" w:space="0" w:color="auto"/>
        <w:right w:val="none" w:sz="0" w:space="0" w:color="auto"/>
      </w:divBdr>
    </w:div>
    <w:div w:id="1032419748">
      <w:bodyDiv w:val="1"/>
      <w:marLeft w:val="0"/>
      <w:marRight w:val="0"/>
      <w:marTop w:val="0"/>
      <w:marBottom w:val="0"/>
      <w:divBdr>
        <w:top w:val="none" w:sz="0" w:space="0" w:color="auto"/>
        <w:left w:val="none" w:sz="0" w:space="0" w:color="auto"/>
        <w:bottom w:val="none" w:sz="0" w:space="0" w:color="auto"/>
        <w:right w:val="none" w:sz="0" w:space="0" w:color="auto"/>
      </w:divBdr>
    </w:div>
    <w:div w:id="1032536891">
      <w:bodyDiv w:val="1"/>
      <w:marLeft w:val="0"/>
      <w:marRight w:val="0"/>
      <w:marTop w:val="0"/>
      <w:marBottom w:val="0"/>
      <w:divBdr>
        <w:top w:val="none" w:sz="0" w:space="0" w:color="auto"/>
        <w:left w:val="none" w:sz="0" w:space="0" w:color="auto"/>
        <w:bottom w:val="none" w:sz="0" w:space="0" w:color="auto"/>
        <w:right w:val="none" w:sz="0" w:space="0" w:color="auto"/>
      </w:divBdr>
    </w:div>
    <w:div w:id="1034230401">
      <w:bodyDiv w:val="1"/>
      <w:marLeft w:val="0"/>
      <w:marRight w:val="0"/>
      <w:marTop w:val="0"/>
      <w:marBottom w:val="0"/>
      <w:divBdr>
        <w:top w:val="none" w:sz="0" w:space="0" w:color="auto"/>
        <w:left w:val="none" w:sz="0" w:space="0" w:color="auto"/>
        <w:bottom w:val="none" w:sz="0" w:space="0" w:color="auto"/>
        <w:right w:val="none" w:sz="0" w:space="0" w:color="auto"/>
      </w:divBdr>
    </w:div>
    <w:div w:id="1034233138">
      <w:bodyDiv w:val="1"/>
      <w:marLeft w:val="0"/>
      <w:marRight w:val="0"/>
      <w:marTop w:val="0"/>
      <w:marBottom w:val="0"/>
      <w:divBdr>
        <w:top w:val="none" w:sz="0" w:space="0" w:color="auto"/>
        <w:left w:val="none" w:sz="0" w:space="0" w:color="auto"/>
        <w:bottom w:val="none" w:sz="0" w:space="0" w:color="auto"/>
        <w:right w:val="none" w:sz="0" w:space="0" w:color="auto"/>
      </w:divBdr>
    </w:div>
    <w:div w:id="1034815268">
      <w:bodyDiv w:val="1"/>
      <w:marLeft w:val="0"/>
      <w:marRight w:val="0"/>
      <w:marTop w:val="0"/>
      <w:marBottom w:val="0"/>
      <w:divBdr>
        <w:top w:val="none" w:sz="0" w:space="0" w:color="auto"/>
        <w:left w:val="none" w:sz="0" w:space="0" w:color="auto"/>
        <w:bottom w:val="none" w:sz="0" w:space="0" w:color="auto"/>
        <w:right w:val="none" w:sz="0" w:space="0" w:color="auto"/>
      </w:divBdr>
    </w:div>
    <w:div w:id="1035469799">
      <w:bodyDiv w:val="1"/>
      <w:marLeft w:val="0"/>
      <w:marRight w:val="0"/>
      <w:marTop w:val="0"/>
      <w:marBottom w:val="0"/>
      <w:divBdr>
        <w:top w:val="none" w:sz="0" w:space="0" w:color="auto"/>
        <w:left w:val="none" w:sz="0" w:space="0" w:color="auto"/>
        <w:bottom w:val="none" w:sz="0" w:space="0" w:color="auto"/>
        <w:right w:val="none" w:sz="0" w:space="0" w:color="auto"/>
      </w:divBdr>
    </w:div>
    <w:div w:id="1036198690">
      <w:bodyDiv w:val="1"/>
      <w:marLeft w:val="0"/>
      <w:marRight w:val="0"/>
      <w:marTop w:val="0"/>
      <w:marBottom w:val="0"/>
      <w:divBdr>
        <w:top w:val="none" w:sz="0" w:space="0" w:color="auto"/>
        <w:left w:val="none" w:sz="0" w:space="0" w:color="auto"/>
        <w:bottom w:val="none" w:sz="0" w:space="0" w:color="auto"/>
        <w:right w:val="none" w:sz="0" w:space="0" w:color="auto"/>
      </w:divBdr>
    </w:div>
    <w:div w:id="1036615113">
      <w:bodyDiv w:val="1"/>
      <w:marLeft w:val="0"/>
      <w:marRight w:val="0"/>
      <w:marTop w:val="0"/>
      <w:marBottom w:val="0"/>
      <w:divBdr>
        <w:top w:val="none" w:sz="0" w:space="0" w:color="auto"/>
        <w:left w:val="none" w:sz="0" w:space="0" w:color="auto"/>
        <w:bottom w:val="none" w:sz="0" w:space="0" w:color="auto"/>
        <w:right w:val="none" w:sz="0" w:space="0" w:color="auto"/>
      </w:divBdr>
    </w:div>
    <w:div w:id="1036656116">
      <w:bodyDiv w:val="1"/>
      <w:marLeft w:val="0"/>
      <w:marRight w:val="0"/>
      <w:marTop w:val="0"/>
      <w:marBottom w:val="0"/>
      <w:divBdr>
        <w:top w:val="none" w:sz="0" w:space="0" w:color="auto"/>
        <w:left w:val="none" w:sz="0" w:space="0" w:color="auto"/>
        <w:bottom w:val="none" w:sz="0" w:space="0" w:color="auto"/>
        <w:right w:val="none" w:sz="0" w:space="0" w:color="auto"/>
      </w:divBdr>
    </w:div>
    <w:div w:id="1037240623">
      <w:bodyDiv w:val="1"/>
      <w:marLeft w:val="0"/>
      <w:marRight w:val="0"/>
      <w:marTop w:val="0"/>
      <w:marBottom w:val="0"/>
      <w:divBdr>
        <w:top w:val="none" w:sz="0" w:space="0" w:color="auto"/>
        <w:left w:val="none" w:sz="0" w:space="0" w:color="auto"/>
        <w:bottom w:val="none" w:sz="0" w:space="0" w:color="auto"/>
        <w:right w:val="none" w:sz="0" w:space="0" w:color="auto"/>
      </w:divBdr>
    </w:div>
    <w:div w:id="1037312483">
      <w:bodyDiv w:val="1"/>
      <w:marLeft w:val="0"/>
      <w:marRight w:val="0"/>
      <w:marTop w:val="0"/>
      <w:marBottom w:val="0"/>
      <w:divBdr>
        <w:top w:val="none" w:sz="0" w:space="0" w:color="auto"/>
        <w:left w:val="none" w:sz="0" w:space="0" w:color="auto"/>
        <w:bottom w:val="none" w:sz="0" w:space="0" w:color="auto"/>
        <w:right w:val="none" w:sz="0" w:space="0" w:color="auto"/>
      </w:divBdr>
    </w:div>
    <w:div w:id="1037660910">
      <w:bodyDiv w:val="1"/>
      <w:marLeft w:val="0"/>
      <w:marRight w:val="0"/>
      <w:marTop w:val="0"/>
      <w:marBottom w:val="0"/>
      <w:divBdr>
        <w:top w:val="none" w:sz="0" w:space="0" w:color="auto"/>
        <w:left w:val="none" w:sz="0" w:space="0" w:color="auto"/>
        <w:bottom w:val="none" w:sz="0" w:space="0" w:color="auto"/>
        <w:right w:val="none" w:sz="0" w:space="0" w:color="auto"/>
      </w:divBdr>
    </w:div>
    <w:div w:id="1037974737">
      <w:bodyDiv w:val="1"/>
      <w:marLeft w:val="0"/>
      <w:marRight w:val="0"/>
      <w:marTop w:val="0"/>
      <w:marBottom w:val="0"/>
      <w:divBdr>
        <w:top w:val="none" w:sz="0" w:space="0" w:color="auto"/>
        <w:left w:val="none" w:sz="0" w:space="0" w:color="auto"/>
        <w:bottom w:val="none" w:sz="0" w:space="0" w:color="auto"/>
        <w:right w:val="none" w:sz="0" w:space="0" w:color="auto"/>
      </w:divBdr>
    </w:div>
    <w:div w:id="1038359753">
      <w:bodyDiv w:val="1"/>
      <w:marLeft w:val="0"/>
      <w:marRight w:val="0"/>
      <w:marTop w:val="0"/>
      <w:marBottom w:val="0"/>
      <w:divBdr>
        <w:top w:val="none" w:sz="0" w:space="0" w:color="auto"/>
        <w:left w:val="none" w:sz="0" w:space="0" w:color="auto"/>
        <w:bottom w:val="none" w:sz="0" w:space="0" w:color="auto"/>
        <w:right w:val="none" w:sz="0" w:space="0" w:color="auto"/>
      </w:divBdr>
    </w:div>
    <w:div w:id="1039161205">
      <w:bodyDiv w:val="1"/>
      <w:marLeft w:val="0"/>
      <w:marRight w:val="0"/>
      <w:marTop w:val="0"/>
      <w:marBottom w:val="0"/>
      <w:divBdr>
        <w:top w:val="none" w:sz="0" w:space="0" w:color="auto"/>
        <w:left w:val="none" w:sz="0" w:space="0" w:color="auto"/>
        <w:bottom w:val="none" w:sz="0" w:space="0" w:color="auto"/>
        <w:right w:val="none" w:sz="0" w:space="0" w:color="auto"/>
      </w:divBdr>
    </w:div>
    <w:div w:id="1039354431">
      <w:bodyDiv w:val="1"/>
      <w:marLeft w:val="0"/>
      <w:marRight w:val="0"/>
      <w:marTop w:val="0"/>
      <w:marBottom w:val="0"/>
      <w:divBdr>
        <w:top w:val="none" w:sz="0" w:space="0" w:color="auto"/>
        <w:left w:val="none" w:sz="0" w:space="0" w:color="auto"/>
        <w:bottom w:val="none" w:sz="0" w:space="0" w:color="auto"/>
        <w:right w:val="none" w:sz="0" w:space="0" w:color="auto"/>
      </w:divBdr>
    </w:div>
    <w:div w:id="1039430108">
      <w:bodyDiv w:val="1"/>
      <w:marLeft w:val="0"/>
      <w:marRight w:val="0"/>
      <w:marTop w:val="0"/>
      <w:marBottom w:val="0"/>
      <w:divBdr>
        <w:top w:val="none" w:sz="0" w:space="0" w:color="auto"/>
        <w:left w:val="none" w:sz="0" w:space="0" w:color="auto"/>
        <w:bottom w:val="none" w:sz="0" w:space="0" w:color="auto"/>
        <w:right w:val="none" w:sz="0" w:space="0" w:color="auto"/>
      </w:divBdr>
    </w:div>
    <w:div w:id="1040931508">
      <w:bodyDiv w:val="1"/>
      <w:marLeft w:val="0"/>
      <w:marRight w:val="0"/>
      <w:marTop w:val="0"/>
      <w:marBottom w:val="0"/>
      <w:divBdr>
        <w:top w:val="none" w:sz="0" w:space="0" w:color="auto"/>
        <w:left w:val="none" w:sz="0" w:space="0" w:color="auto"/>
        <w:bottom w:val="none" w:sz="0" w:space="0" w:color="auto"/>
        <w:right w:val="none" w:sz="0" w:space="0" w:color="auto"/>
      </w:divBdr>
    </w:div>
    <w:div w:id="1041445531">
      <w:bodyDiv w:val="1"/>
      <w:marLeft w:val="0"/>
      <w:marRight w:val="0"/>
      <w:marTop w:val="0"/>
      <w:marBottom w:val="0"/>
      <w:divBdr>
        <w:top w:val="none" w:sz="0" w:space="0" w:color="auto"/>
        <w:left w:val="none" w:sz="0" w:space="0" w:color="auto"/>
        <w:bottom w:val="none" w:sz="0" w:space="0" w:color="auto"/>
        <w:right w:val="none" w:sz="0" w:space="0" w:color="auto"/>
      </w:divBdr>
    </w:div>
    <w:div w:id="1042093443">
      <w:bodyDiv w:val="1"/>
      <w:marLeft w:val="0"/>
      <w:marRight w:val="0"/>
      <w:marTop w:val="0"/>
      <w:marBottom w:val="0"/>
      <w:divBdr>
        <w:top w:val="none" w:sz="0" w:space="0" w:color="auto"/>
        <w:left w:val="none" w:sz="0" w:space="0" w:color="auto"/>
        <w:bottom w:val="none" w:sz="0" w:space="0" w:color="auto"/>
        <w:right w:val="none" w:sz="0" w:space="0" w:color="auto"/>
      </w:divBdr>
    </w:div>
    <w:div w:id="1042368978">
      <w:bodyDiv w:val="1"/>
      <w:marLeft w:val="0"/>
      <w:marRight w:val="0"/>
      <w:marTop w:val="0"/>
      <w:marBottom w:val="0"/>
      <w:divBdr>
        <w:top w:val="none" w:sz="0" w:space="0" w:color="auto"/>
        <w:left w:val="none" w:sz="0" w:space="0" w:color="auto"/>
        <w:bottom w:val="none" w:sz="0" w:space="0" w:color="auto"/>
        <w:right w:val="none" w:sz="0" w:space="0" w:color="auto"/>
      </w:divBdr>
    </w:div>
    <w:div w:id="1043795707">
      <w:bodyDiv w:val="1"/>
      <w:marLeft w:val="0"/>
      <w:marRight w:val="0"/>
      <w:marTop w:val="0"/>
      <w:marBottom w:val="0"/>
      <w:divBdr>
        <w:top w:val="none" w:sz="0" w:space="0" w:color="auto"/>
        <w:left w:val="none" w:sz="0" w:space="0" w:color="auto"/>
        <w:bottom w:val="none" w:sz="0" w:space="0" w:color="auto"/>
        <w:right w:val="none" w:sz="0" w:space="0" w:color="auto"/>
      </w:divBdr>
    </w:div>
    <w:div w:id="1044872173">
      <w:bodyDiv w:val="1"/>
      <w:marLeft w:val="0"/>
      <w:marRight w:val="0"/>
      <w:marTop w:val="0"/>
      <w:marBottom w:val="0"/>
      <w:divBdr>
        <w:top w:val="none" w:sz="0" w:space="0" w:color="auto"/>
        <w:left w:val="none" w:sz="0" w:space="0" w:color="auto"/>
        <w:bottom w:val="none" w:sz="0" w:space="0" w:color="auto"/>
        <w:right w:val="none" w:sz="0" w:space="0" w:color="auto"/>
      </w:divBdr>
    </w:div>
    <w:div w:id="1045562332">
      <w:bodyDiv w:val="1"/>
      <w:marLeft w:val="0"/>
      <w:marRight w:val="0"/>
      <w:marTop w:val="0"/>
      <w:marBottom w:val="0"/>
      <w:divBdr>
        <w:top w:val="none" w:sz="0" w:space="0" w:color="auto"/>
        <w:left w:val="none" w:sz="0" w:space="0" w:color="auto"/>
        <w:bottom w:val="none" w:sz="0" w:space="0" w:color="auto"/>
        <w:right w:val="none" w:sz="0" w:space="0" w:color="auto"/>
      </w:divBdr>
    </w:div>
    <w:div w:id="1045719632">
      <w:bodyDiv w:val="1"/>
      <w:marLeft w:val="0"/>
      <w:marRight w:val="0"/>
      <w:marTop w:val="0"/>
      <w:marBottom w:val="0"/>
      <w:divBdr>
        <w:top w:val="none" w:sz="0" w:space="0" w:color="auto"/>
        <w:left w:val="none" w:sz="0" w:space="0" w:color="auto"/>
        <w:bottom w:val="none" w:sz="0" w:space="0" w:color="auto"/>
        <w:right w:val="none" w:sz="0" w:space="0" w:color="auto"/>
      </w:divBdr>
      <w:divsChild>
        <w:div w:id="1291352294">
          <w:blockQuote w:val="1"/>
          <w:marLeft w:val="374"/>
          <w:marRight w:val="0"/>
          <w:marTop w:val="374"/>
          <w:marBottom w:val="374"/>
          <w:divBdr>
            <w:top w:val="none" w:sz="0" w:space="9" w:color="auto"/>
            <w:left w:val="single" w:sz="36" w:space="9" w:color="CCCCCC"/>
            <w:bottom w:val="none" w:sz="0" w:space="1" w:color="auto"/>
            <w:right w:val="none" w:sz="0" w:space="9" w:color="auto"/>
          </w:divBdr>
          <w:divsChild>
            <w:div w:id="1306202907">
              <w:marLeft w:val="0"/>
              <w:marRight w:val="0"/>
              <w:marTop w:val="0"/>
              <w:marBottom w:val="0"/>
              <w:divBdr>
                <w:top w:val="none" w:sz="0" w:space="0" w:color="auto"/>
                <w:left w:val="none" w:sz="0" w:space="0" w:color="auto"/>
                <w:bottom w:val="none" w:sz="0" w:space="0" w:color="auto"/>
                <w:right w:val="none" w:sz="0" w:space="0" w:color="auto"/>
              </w:divBdr>
            </w:div>
            <w:div w:id="1557160075">
              <w:marLeft w:val="0"/>
              <w:marRight w:val="0"/>
              <w:marTop w:val="0"/>
              <w:marBottom w:val="0"/>
              <w:divBdr>
                <w:top w:val="none" w:sz="0" w:space="0" w:color="auto"/>
                <w:left w:val="none" w:sz="0" w:space="0" w:color="auto"/>
                <w:bottom w:val="none" w:sz="0" w:space="0" w:color="auto"/>
                <w:right w:val="none" w:sz="0" w:space="0" w:color="auto"/>
              </w:divBdr>
            </w:div>
            <w:div w:id="1559705900">
              <w:marLeft w:val="0"/>
              <w:marRight w:val="0"/>
              <w:marTop w:val="0"/>
              <w:marBottom w:val="0"/>
              <w:divBdr>
                <w:top w:val="none" w:sz="0" w:space="0" w:color="auto"/>
                <w:left w:val="none" w:sz="0" w:space="0" w:color="auto"/>
                <w:bottom w:val="none" w:sz="0" w:space="0" w:color="auto"/>
                <w:right w:val="none" w:sz="0" w:space="0" w:color="auto"/>
              </w:divBdr>
            </w:div>
            <w:div w:id="192749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5725">
      <w:bodyDiv w:val="1"/>
      <w:marLeft w:val="0"/>
      <w:marRight w:val="0"/>
      <w:marTop w:val="0"/>
      <w:marBottom w:val="0"/>
      <w:divBdr>
        <w:top w:val="none" w:sz="0" w:space="0" w:color="auto"/>
        <w:left w:val="none" w:sz="0" w:space="0" w:color="auto"/>
        <w:bottom w:val="none" w:sz="0" w:space="0" w:color="auto"/>
        <w:right w:val="none" w:sz="0" w:space="0" w:color="auto"/>
      </w:divBdr>
    </w:div>
    <w:div w:id="1047607569">
      <w:bodyDiv w:val="1"/>
      <w:marLeft w:val="0"/>
      <w:marRight w:val="0"/>
      <w:marTop w:val="0"/>
      <w:marBottom w:val="0"/>
      <w:divBdr>
        <w:top w:val="none" w:sz="0" w:space="0" w:color="auto"/>
        <w:left w:val="none" w:sz="0" w:space="0" w:color="auto"/>
        <w:bottom w:val="none" w:sz="0" w:space="0" w:color="auto"/>
        <w:right w:val="none" w:sz="0" w:space="0" w:color="auto"/>
      </w:divBdr>
    </w:div>
    <w:div w:id="1049257201">
      <w:bodyDiv w:val="1"/>
      <w:marLeft w:val="0"/>
      <w:marRight w:val="0"/>
      <w:marTop w:val="0"/>
      <w:marBottom w:val="0"/>
      <w:divBdr>
        <w:top w:val="none" w:sz="0" w:space="0" w:color="auto"/>
        <w:left w:val="none" w:sz="0" w:space="0" w:color="auto"/>
        <w:bottom w:val="none" w:sz="0" w:space="0" w:color="auto"/>
        <w:right w:val="none" w:sz="0" w:space="0" w:color="auto"/>
      </w:divBdr>
    </w:div>
    <w:div w:id="1049576557">
      <w:bodyDiv w:val="1"/>
      <w:marLeft w:val="0"/>
      <w:marRight w:val="0"/>
      <w:marTop w:val="0"/>
      <w:marBottom w:val="0"/>
      <w:divBdr>
        <w:top w:val="none" w:sz="0" w:space="0" w:color="auto"/>
        <w:left w:val="none" w:sz="0" w:space="0" w:color="auto"/>
        <w:bottom w:val="none" w:sz="0" w:space="0" w:color="auto"/>
        <w:right w:val="none" w:sz="0" w:space="0" w:color="auto"/>
      </w:divBdr>
    </w:div>
    <w:div w:id="1049841268">
      <w:bodyDiv w:val="1"/>
      <w:marLeft w:val="0"/>
      <w:marRight w:val="0"/>
      <w:marTop w:val="0"/>
      <w:marBottom w:val="0"/>
      <w:divBdr>
        <w:top w:val="none" w:sz="0" w:space="0" w:color="auto"/>
        <w:left w:val="none" w:sz="0" w:space="0" w:color="auto"/>
        <w:bottom w:val="none" w:sz="0" w:space="0" w:color="auto"/>
        <w:right w:val="none" w:sz="0" w:space="0" w:color="auto"/>
      </w:divBdr>
    </w:div>
    <w:div w:id="1050110131">
      <w:bodyDiv w:val="1"/>
      <w:marLeft w:val="0"/>
      <w:marRight w:val="0"/>
      <w:marTop w:val="0"/>
      <w:marBottom w:val="0"/>
      <w:divBdr>
        <w:top w:val="none" w:sz="0" w:space="0" w:color="auto"/>
        <w:left w:val="none" w:sz="0" w:space="0" w:color="auto"/>
        <w:bottom w:val="none" w:sz="0" w:space="0" w:color="auto"/>
        <w:right w:val="none" w:sz="0" w:space="0" w:color="auto"/>
      </w:divBdr>
    </w:div>
    <w:div w:id="1050149038">
      <w:bodyDiv w:val="1"/>
      <w:marLeft w:val="0"/>
      <w:marRight w:val="0"/>
      <w:marTop w:val="0"/>
      <w:marBottom w:val="0"/>
      <w:divBdr>
        <w:top w:val="none" w:sz="0" w:space="0" w:color="auto"/>
        <w:left w:val="none" w:sz="0" w:space="0" w:color="auto"/>
        <w:bottom w:val="none" w:sz="0" w:space="0" w:color="auto"/>
        <w:right w:val="none" w:sz="0" w:space="0" w:color="auto"/>
      </w:divBdr>
    </w:div>
    <w:div w:id="1050763408">
      <w:bodyDiv w:val="1"/>
      <w:marLeft w:val="0"/>
      <w:marRight w:val="0"/>
      <w:marTop w:val="0"/>
      <w:marBottom w:val="0"/>
      <w:divBdr>
        <w:top w:val="none" w:sz="0" w:space="0" w:color="auto"/>
        <w:left w:val="none" w:sz="0" w:space="0" w:color="auto"/>
        <w:bottom w:val="none" w:sz="0" w:space="0" w:color="auto"/>
        <w:right w:val="none" w:sz="0" w:space="0" w:color="auto"/>
      </w:divBdr>
    </w:div>
    <w:div w:id="1050880397">
      <w:bodyDiv w:val="1"/>
      <w:marLeft w:val="0"/>
      <w:marRight w:val="0"/>
      <w:marTop w:val="0"/>
      <w:marBottom w:val="0"/>
      <w:divBdr>
        <w:top w:val="none" w:sz="0" w:space="0" w:color="auto"/>
        <w:left w:val="none" w:sz="0" w:space="0" w:color="auto"/>
        <w:bottom w:val="none" w:sz="0" w:space="0" w:color="auto"/>
        <w:right w:val="none" w:sz="0" w:space="0" w:color="auto"/>
      </w:divBdr>
    </w:div>
    <w:div w:id="1051076667">
      <w:bodyDiv w:val="1"/>
      <w:marLeft w:val="0"/>
      <w:marRight w:val="0"/>
      <w:marTop w:val="0"/>
      <w:marBottom w:val="0"/>
      <w:divBdr>
        <w:top w:val="none" w:sz="0" w:space="0" w:color="auto"/>
        <w:left w:val="none" w:sz="0" w:space="0" w:color="auto"/>
        <w:bottom w:val="none" w:sz="0" w:space="0" w:color="auto"/>
        <w:right w:val="none" w:sz="0" w:space="0" w:color="auto"/>
      </w:divBdr>
    </w:div>
    <w:div w:id="1051535246">
      <w:bodyDiv w:val="1"/>
      <w:marLeft w:val="0"/>
      <w:marRight w:val="0"/>
      <w:marTop w:val="0"/>
      <w:marBottom w:val="0"/>
      <w:divBdr>
        <w:top w:val="none" w:sz="0" w:space="0" w:color="auto"/>
        <w:left w:val="none" w:sz="0" w:space="0" w:color="auto"/>
        <w:bottom w:val="none" w:sz="0" w:space="0" w:color="auto"/>
        <w:right w:val="none" w:sz="0" w:space="0" w:color="auto"/>
      </w:divBdr>
    </w:div>
    <w:div w:id="1051659820">
      <w:bodyDiv w:val="1"/>
      <w:marLeft w:val="0"/>
      <w:marRight w:val="0"/>
      <w:marTop w:val="0"/>
      <w:marBottom w:val="0"/>
      <w:divBdr>
        <w:top w:val="none" w:sz="0" w:space="0" w:color="auto"/>
        <w:left w:val="none" w:sz="0" w:space="0" w:color="auto"/>
        <w:bottom w:val="none" w:sz="0" w:space="0" w:color="auto"/>
        <w:right w:val="none" w:sz="0" w:space="0" w:color="auto"/>
      </w:divBdr>
    </w:div>
    <w:div w:id="1051730923">
      <w:bodyDiv w:val="1"/>
      <w:marLeft w:val="0"/>
      <w:marRight w:val="0"/>
      <w:marTop w:val="0"/>
      <w:marBottom w:val="0"/>
      <w:divBdr>
        <w:top w:val="none" w:sz="0" w:space="0" w:color="auto"/>
        <w:left w:val="none" w:sz="0" w:space="0" w:color="auto"/>
        <w:bottom w:val="none" w:sz="0" w:space="0" w:color="auto"/>
        <w:right w:val="none" w:sz="0" w:space="0" w:color="auto"/>
      </w:divBdr>
    </w:div>
    <w:div w:id="1052968057">
      <w:bodyDiv w:val="1"/>
      <w:marLeft w:val="0"/>
      <w:marRight w:val="0"/>
      <w:marTop w:val="0"/>
      <w:marBottom w:val="0"/>
      <w:divBdr>
        <w:top w:val="none" w:sz="0" w:space="0" w:color="auto"/>
        <w:left w:val="none" w:sz="0" w:space="0" w:color="auto"/>
        <w:bottom w:val="none" w:sz="0" w:space="0" w:color="auto"/>
        <w:right w:val="none" w:sz="0" w:space="0" w:color="auto"/>
      </w:divBdr>
    </w:div>
    <w:div w:id="1053112785">
      <w:bodyDiv w:val="1"/>
      <w:marLeft w:val="0"/>
      <w:marRight w:val="0"/>
      <w:marTop w:val="0"/>
      <w:marBottom w:val="0"/>
      <w:divBdr>
        <w:top w:val="none" w:sz="0" w:space="0" w:color="auto"/>
        <w:left w:val="none" w:sz="0" w:space="0" w:color="auto"/>
        <w:bottom w:val="none" w:sz="0" w:space="0" w:color="auto"/>
        <w:right w:val="none" w:sz="0" w:space="0" w:color="auto"/>
      </w:divBdr>
    </w:div>
    <w:div w:id="1053309108">
      <w:bodyDiv w:val="1"/>
      <w:marLeft w:val="0"/>
      <w:marRight w:val="0"/>
      <w:marTop w:val="0"/>
      <w:marBottom w:val="0"/>
      <w:divBdr>
        <w:top w:val="none" w:sz="0" w:space="0" w:color="auto"/>
        <w:left w:val="none" w:sz="0" w:space="0" w:color="auto"/>
        <w:bottom w:val="none" w:sz="0" w:space="0" w:color="auto"/>
        <w:right w:val="none" w:sz="0" w:space="0" w:color="auto"/>
      </w:divBdr>
    </w:div>
    <w:div w:id="1053843878">
      <w:bodyDiv w:val="1"/>
      <w:marLeft w:val="0"/>
      <w:marRight w:val="0"/>
      <w:marTop w:val="0"/>
      <w:marBottom w:val="0"/>
      <w:divBdr>
        <w:top w:val="none" w:sz="0" w:space="0" w:color="auto"/>
        <w:left w:val="none" w:sz="0" w:space="0" w:color="auto"/>
        <w:bottom w:val="none" w:sz="0" w:space="0" w:color="auto"/>
        <w:right w:val="none" w:sz="0" w:space="0" w:color="auto"/>
      </w:divBdr>
    </w:div>
    <w:div w:id="1054811393">
      <w:bodyDiv w:val="1"/>
      <w:marLeft w:val="0"/>
      <w:marRight w:val="0"/>
      <w:marTop w:val="0"/>
      <w:marBottom w:val="0"/>
      <w:divBdr>
        <w:top w:val="none" w:sz="0" w:space="0" w:color="auto"/>
        <w:left w:val="none" w:sz="0" w:space="0" w:color="auto"/>
        <w:bottom w:val="none" w:sz="0" w:space="0" w:color="auto"/>
        <w:right w:val="none" w:sz="0" w:space="0" w:color="auto"/>
      </w:divBdr>
    </w:div>
    <w:div w:id="1055740430">
      <w:bodyDiv w:val="1"/>
      <w:marLeft w:val="0"/>
      <w:marRight w:val="0"/>
      <w:marTop w:val="0"/>
      <w:marBottom w:val="0"/>
      <w:divBdr>
        <w:top w:val="none" w:sz="0" w:space="0" w:color="auto"/>
        <w:left w:val="none" w:sz="0" w:space="0" w:color="auto"/>
        <w:bottom w:val="none" w:sz="0" w:space="0" w:color="auto"/>
        <w:right w:val="none" w:sz="0" w:space="0" w:color="auto"/>
      </w:divBdr>
    </w:div>
    <w:div w:id="1057554821">
      <w:bodyDiv w:val="1"/>
      <w:marLeft w:val="0"/>
      <w:marRight w:val="0"/>
      <w:marTop w:val="0"/>
      <w:marBottom w:val="0"/>
      <w:divBdr>
        <w:top w:val="none" w:sz="0" w:space="0" w:color="auto"/>
        <w:left w:val="none" w:sz="0" w:space="0" w:color="auto"/>
        <w:bottom w:val="none" w:sz="0" w:space="0" w:color="auto"/>
        <w:right w:val="none" w:sz="0" w:space="0" w:color="auto"/>
      </w:divBdr>
    </w:div>
    <w:div w:id="1057702300">
      <w:bodyDiv w:val="1"/>
      <w:marLeft w:val="0"/>
      <w:marRight w:val="0"/>
      <w:marTop w:val="0"/>
      <w:marBottom w:val="0"/>
      <w:divBdr>
        <w:top w:val="none" w:sz="0" w:space="0" w:color="auto"/>
        <w:left w:val="none" w:sz="0" w:space="0" w:color="auto"/>
        <w:bottom w:val="none" w:sz="0" w:space="0" w:color="auto"/>
        <w:right w:val="none" w:sz="0" w:space="0" w:color="auto"/>
      </w:divBdr>
    </w:div>
    <w:div w:id="1060252855">
      <w:bodyDiv w:val="1"/>
      <w:marLeft w:val="0"/>
      <w:marRight w:val="0"/>
      <w:marTop w:val="0"/>
      <w:marBottom w:val="0"/>
      <w:divBdr>
        <w:top w:val="none" w:sz="0" w:space="0" w:color="auto"/>
        <w:left w:val="none" w:sz="0" w:space="0" w:color="auto"/>
        <w:bottom w:val="none" w:sz="0" w:space="0" w:color="auto"/>
        <w:right w:val="none" w:sz="0" w:space="0" w:color="auto"/>
      </w:divBdr>
    </w:div>
    <w:div w:id="1060440045">
      <w:bodyDiv w:val="1"/>
      <w:marLeft w:val="0"/>
      <w:marRight w:val="0"/>
      <w:marTop w:val="0"/>
      <w:marBottom w:val="0"/>
      <w:divBdr>
        <w:top w:val="none" w:sz="0" w:space="0" w:color="auto"/>
        <w:left w:val="none" w:sz="0" w:space="0" w:color="auto"/>
        <w:bottom w:val="none" w:sz="0" w:space="0" w:color="auto"/>
        <w:right w:val="none" w:sz="0" w:space="0" w:color="auto"/>
      </w:divBdr>
    </w:div>
    <w:div w:id="1062018714">
      <w:bodyDiv w:val="1"/>
      <w:marLeft w:val="0"/>
      <w:marRight w:val="0"/>
      <w:marTop w:val="0"/>
      <w:marBottom w:val="0"/>
      <w:divBdr>
        <w:top w:val="none" w:sz="0" w:space="0" w:color="auto"/>
        <w:left w:val="none" w:sz="0" w:space="0" w:color="auto"/>
        <w:bottom w:val="none" w:sz="0" w:space="0" w:color="auto"/>
        <w:right w:val="none" w:sz="0" w:space="0" w:color="auto"/>
      </w:divBdr>
    </w:div>
    <w:div w:id="1062294646">
      <w:bodyDiv w:val="1"/>
      <w:marLeft w:val="0"/>
      <w:marRight w:val="0"/>
      <w:marTop w:val="0"/>
      <w:marBottom w:val="0"/>
      <w:divBdr>
        <w:top w:val="none" w:sz="0" w:space="0" w:color="auto"/>
        <w:left w:val="none" w:sz="0" w:space="0" w:color="auto"/>
        <w:bottom w:val="none" w:sz="0" w:space="0" w:color="auto"/>
        <w:right w:val="none" w:sz="0" w:space="0" w:color="auto"/>
      </w:divBdr>
    </w:div>
    <w:div w:id="1062605016">
      <w:bodyDiv w:val="1"/>
      <w:marLeft w:val="0"/>
      <w:marRight w:val="0"/>
      <w:marTop w:val="0"/>
      <w:marBottom w:val="0"/>
      <w:divBdr>
        <w:top w:val="none" w:sz="0" w:space="0" w:color="auto"/>
        <w:left w:val="none" w:sz="0" w:space="0" w:color="auto"/>
        <w:bottom w:val="none" w:sz="0" w:space="0" w:color="auto"/>
        <w:right w:val="none" w:sz="0" w:space="0" w:color="auto"/>
      </w:divBdr>
    </w:div>
    <w:div w:id="1062825241">
      <w:bodyDiv w:val="1"/>
      <w:marLeft w:val="0"/>
      <w:marRight w:val="0"/>
      <w:marTop w:val="0"/>
      <w:marBottom w:val="0"/>
      <w:divBdr>
        <w:top w:val="none" w:sz="0" w:space="0" w:color="auto"/>
        <w:left w:val="none" w:sz="0" w:space="0" w:color="auto"/>
        <w:bottom w:val="none" w:sz="0" w:space="0" w:color="auto"/>
        <w:right w:val="none" w:sz="0" w:space="0" w:color="auto"/>
      </w:divBdr>
    </w:div>
    <w:div w:id="1062873470">
      <w:bodyDiv w:val="1"/>
      <w:marLeft w:val="0"/>
      <w:marRight w:val="0"/>
      <w:marTop w:val="0"/>
      <w:marBottom w:val="0"/>
      <w:divBdr>
        <w:top w:val="none" w:sz="0" w:space="0" w:color="auto"/>
        <w:left w:val="none" w:sz="0" w:space="0" w:color="auto"/>
        <w:bottom w:val="none" w:sz="0" w:space="0" w:color="auto"/>
        <w:right w:val="none" w:sz="0" w:space="0" w:color="auto"/>
      </w:divBdr>
    </w:div>
    <w:div w:id="1063606172">
      <w:bodyDiv w:val="1"/>
      <w:marLeft w:val="0"/>
      <w:marRight w:val="0"/>
      <w:marTop w:val="0"/>
      <w:marBottom w:val="0"/>
      <w:divBdr>
        <w:top w:val="none" w:sz="0" w:space="0" w:color="auto"/>
        <w:left w:val="none" w:sz="0" w:space="0" w:color="auto"/>
        <w:bottom w:val="none" w:sz="0" w:space="0" w:color="auto"/>
        <w:right w:val="none" w:sz="0" w:space="0" w:color="auto"/>
      </w:divBdr>
    </w:div>
    <w:div w:id="1063718520">
      <w:bodyDiv w:val="1"/>
      <w:marLeft w:val="0"/>
      <w:marRight w:val="0"/>
      <w:marTop w:val="0"/>
      <w:marBottom w:val="0"/>
      <w:divBdr>
        <w:top w:val="none" w:sz="0" w:space="0" w:color="auto"/>
        <w:left w:val="none" w:sz="0" w:space="0" w:color="auto"/>
        <w:bottom w:val="none" w:sz="0" w:space="0" w:color="auto"/>
        <w:right w:val="none" w:sz="0" w:space="0" w:color="auto"/>
      </w:divBdr>
    </w:div>
    <w:div w:id="1064331103">
      <w:bodyDiv w:val="1"/>
      <w:marLeft w:val="0"/>
      <w:marRight w:val="0"/>
      <w:marTop w:val="0"/>
      <w:marBottom w:val="0"/>
      <w:divBdr>
        <w:top w:val="none" w:sz="0" w:space="0" w:color="auto"/>
        <w:left w:val="none" w:sz="0" w:space="0" w:color="auto"/>
        <w:bottom w:val="none" w:sz="0" w:space="0" w:color="auto"/>
        <w:right w:val="none" w:sz="0" w:space="0" w:color="auto"/>
      </w:divBdr>
    </w:div>
    <w:div w:id="1065951690">
      <w:bodyDiv w:val="1"/>
      <w:marLeft w:val="0"/>
      <w:marRight w:val="0"/>
      <w:marTop w:val="0"/>
      <w:marBottom w:val="0"/>
      <w:divBdr>
        <w:top w:val="none" w:sz="0" w:space="0" w:color="auto"/>
        <w:left w:val="none" w:sz="0" w:space="0" w:color="auto"/>
        <w:bottom w:val="none" w:sz="0" w:space="0" w:color="auto"/>
        <w:right w:val="none" w:sz="0" w:space="0" w:color="auto"/>
      </w:divBdr>
    </w:div>
    <w:div w:id="1065951761">
      <w:bodyDiv w:val="1"/>
      <w:marLeft w:val="0"/>
      <w:marRight w:val="0"/>
      <w:marTop w:val="0"/>
      <w:marBottom w:val="0"/>
      <w:divBdr>
        <w:top w:val="none" w:sz="0" w:space="0" w:color="auto"/>
        <w:left w:val="none" w:sz="0" w:space="0" w:color="auto"/>
        <w:bottom w:val="none" w:sz="0" w:space="0" w:color="auto"/>
        <w:right w:val="none" w:sz="0" w:space="0" w:color="auto"/>
      </w:divBdr>
    </w:div>
    <w:div w:id="1066684766">
      <w:bodyDiv w:val="1"/>
      <w:marLeft w:val="0"/>
      <w:marRight w:val="0"/>
      <w:marTop w:val="0"/>
      <w:marBottom w:val="0"/>
      <w:divBdr>
        <w:top w:val="none" w:sz="0" w:space="0" w:color="auto"/>
        <w:left w:val="none" w:sz="0" w:space="0" w:color="auto"/>
        <w:bottom w:val="none" w:sz="0" w:space="0" w:color="auto"/>
        <w:right w:val="none" w:sz="0" w:space="0" w:color="auto"/>
      </w:divBdr>
    </w:div>
    <w:div w:id="1067461567">
      <w:bodyDiv w:val="1"/>
      <w:marLeft w:val="0"/>
      <w:marRight w:val="0"/>
      <w:marTop w:val="0"/>
      <w:marBottom w:val="0"/>
      <w:divBdr>
        <w:top w:val="none" w:sz="0" w:space="0" w:color="auto"/>
        <w:left w:val="none" w:sz="0" w:space="0" w:color="auto"/>
        <w:bottom w:val="none" w:sz="0" w:space="0" w:color="auto"/>
        <w:right w:val="none" w:sz="0" w:space="0" w:color="auto"/>
      </w:divBdr>
    </w:div>
    <w:div w:id="1069038409">
      <w:bodyDiv w:val="1"/>
      <w:marLeft w:val="0"/>
      <w:marRight w:val="0"/>
      <w:marTop w:val="0"/>
      <w:marBottom w:val="0"/>
      <w:divBdr>
        <w:top w:val="none" w:sz="0" w:space="0" w:color="auto"/>
        <w:left w:val="none" w:sz="0" w:space="0" w:color="auto"/>
        <w:bottom w:val="none" w:sz="0" w:space="0" w:color="auto"/>
        <w:right w:val="none" w:sz="0" w:space="0" w:color="auto"/>
      </w:divBdr>
    </w:div>
    <w:div w:id="1070230604">
      <w:bodyDiv w:val="1"/>
      <w:marLeft w:val="0"/>
      <w:marRight w:val="0"/>
      <w:marTop w:val="0"/>
      <w:marBottom w:val="0"/>
      <w:divBdr>
        <w:top w:val="none" w:sz="0" w:space="0" w:color="auto"/>
        <w:left w:val="none" w:sz="0" w:space="0" w:color="auto"/>
        <w:bottom w:val="none" w:sz="0" w:space="0" w:color="auto"/>
        <w:right w:val="none" w:sz="0" w:space="0" w:color="auto"/>
      </w:divBdr>
    </w:div>
    <w:div w:id="1070421454">
      <w:bodyDiv w:val="1"/>
      <w:marLeft w:val="0"/>
      <w:marRight w:val="0"/>
      <w:marTop w:val="0"/>
      <w:marBottom w:val="0"/>
      <w:divBdr>
        <w:top w:val="none" w:sz="0" w:space="0" w:color="auto"/>
        <w:left w:val="none" w:sz="0" w:space="0" w:color="auto"/>
        <w:bottom w:val="none" w:sz="0" w:space="0" w:color="auto"/>
        <w:right w:val="none" w:sz="0" w:space="0" w:color="auto"/>
      </w:divBdr>
    </w:div>
    <w:div w:id="1071319239">
      <w:bodyDiv w:val="1"/>
      <w:marLeft w:val="0"/>
      <w:marRight w:val="0"/>
      <w:marTop w:val="0"/>
      <w:marBottom w:val="0"/>
      <w:divBdr>
        <w:top w:val="none" w:sz="0" w:space="0" w:color="auto"/>
        <w:left w:val="none" w:sz="0" w:space="0" w:color="auto"/>
        <w:bottom w:val="none" w:sz="0" w:space="0" w:color="auto"/>
        <w:right w:val="none" w:sz="0" w:space="0" w:color="auto"/>
      </w:divBdr>
    </w:div>
    <w:div w:id="1071538187">
      <w:bodyDiv w:val="1"/>
      <w:marLeft w:val="0"/>
      <w:marRight w:val="0"/>
      <w:marTop w:val="0"/>
      <w:marBottom w:val="0"/>
      <w:divBdr>
        <w:top w:val="none" w:sz="0" w:space="0" w:color="auto"/>
        <w:left w:val="none" w:sz="0" w:space="0" w:color="auto"/>
        <w:bottom w:val="none" w:sz="0" w:space="0" w:color="auto"/>
        <w:right w:val="none" w:sz="0" w:space="0" w:color="auto"/>
      </w:divBdr>
    </w:div>
    <w:div w:id="1072118146">
      <w:bodyDiv w:val="1"/>
      <w:marLeft w:val="0"/>
      <w:marRight w:val="0"/>
      <w:marTop w:val="0"/>
      <w:marBottom w:val="0"/>
      <w:divBdr>
        <w:top w:val="none" w:sz="0" w:space="0" w:color="auto"/>
        <w:left w:val="none" w:sz="0" w:space="0" w:color="auto"/>
        <w:bottom w:val="none" w:sz="0" w:space="0" w:color="auto"/>
        <w:right w:val="none" w:sz="0" w:space="0" w:color="auto"/>
      </w:divBdr>
    </w:div>
    <w:div w:id="1072309388">
      <w:bodyDiv w:val="1"/>
      <w:marLeft w:val="0"/>
      <w:marRight w:val="0"/>
      <w:marTop w:val="0"/>
      <w:marBottom w:val="0"/>
      <w:divBdr>
        <w:top w:val="none" w:sz="0" w:space="0" w:color="auto"/>
        <w:left w:val="none" w:sz="0" w:space="0" w:color="auto"/>
        <w:bottom w:val="none" w:sz="0" w:space="0" w:color="auto"/>
        <w:right w:val="none" w:sz="0" w:space="0" w:color="auto"/>
      </w:divBdr>
      <w:divsChild>
        <w:div w:id="982928314">
          <w:marLeft w:val="0"/>
          <w:marRight w:val="0"/>
          <w:marTop w:val="0"/>
          <w:marBottom w:val="0"/>
          <w:divBdr>
            <w:top w:val="none" w:sz="0" w:space="0" w:color="auto"/>
            <w:left w:val="none" w:sz="0" w:space="0" w:color="auto"/>
            <w:bottom w:val="none" w:sz="0" w:space="0" w:color="auto"/>
            <w:right w:val="none" w:sz="0" w:space="0" w:color="auto"/>
          </w:divBdr>
          <w:divsChild>
            <w:div w:id="1965844365">
              <w:marLeft w:val="0"/>
              <w:marRight w:val="0"/>
              <w:marTop w:val="0"/>
              <w:marBottom w:val="0"/>
              <w:divBdr>
                <w:top w:val="none" w:sz="0" w:space="0" w:color="auto"/>
                <w:left w:val="none" w:sz="0" w:space="0" w:color="auto"/>
                <w:bottom w:val="none" w:sz="0" w:space="0" w:color="auto"/>
                <w:right w:val="none" w:sz="0" w:space="0" w:color="auto"/>
              </w:divBdr>
              <w:divsChild>
                <w:div w:id="1835609581">
                  <w:marLeft w:val="0"/>
                  <w:marRight w:val="0"/>
                  <w:marTop w:val="0"/>
                  <w:marBottom w:val="0"/>
                  <w:divBdr>
                    <w:top w:val="none" w:sz="0" w:space="0" w:color="auto"/>
                    <w:left w:val="none" w:sz="0" w:space="0" w:color="auto"/>
                    <w:bottom w:val="none" w:sz="0" w:space="0" w:color="auto"/>
                    <w:right w:val="none" w:sz="0" w:space="0" w:color="auto"/>
                  </w:divBdr>
                  <w:divsChild>
                    <w:div w:id="1251697343">
                      <w:marLeft w:val="0"/>
                      <w:marRight w:val="0"/>
                      <w:marTop w:val="0"/>
                      <w:marBottom w:val="0"/>
                      <w:divBdr>
                        <w:top w:val="none" w:sz="0" w:space="0" w:color="auto"/>
                        <w:left w:val="none" w:sz="0" w:space="0" w:color="auto"/>
                        <w:bottom w:val="none" w:sz="0" w:space="0" w:color="auto"/>
                        <w:right w:val="none" w:sz="0" w:space="0" w:color="auto"/>
                      </w:divBdr>
                      <w:divsChild>
                        <w:div w:id="300616430">
                          <w:marLeft w:val="0"/>
                          <w:marRight w:val="0"/>
                          <w:marTop w:val="0"/>
                          <w:marBottom w:val="0"/>
                          <w:divBdr>
                            <w:top w:val="none" w:sz="0" w:space="0" w:color="auto"/>
                            <w:left w:val="none" w:sz="0" w:space="0" w:color="auto"/>
                            <w:bottom w:val="none" w:sz="0" w:space="0" w:color="auto"/>
                            <w:right w:val="none" w:sz="0" w:space="0" w:color="auto"/>
                          </w:divBdr>
                          <w:divsChild>
                            <w:div w:id="318577895">
                              <w:marLeft w:val="0"/>
                              <w:marRight w:val="0"/>
                              <w:marTop w:val="0"/>
                              <w:marBottom w:val="0"/>
                              <w:divBdr>
                                <w:top w:val="none" w:sz="0" w:space="0" w:color="auto"/>
                                <w:left w:val="none" w:sz="0" w:space="0" w:color="auto"/>
                                <w:bottom w:val="none" w:sz="0" w:space="0" w:color="auto"/>
                                <w:right w:val="none" w:sz="0" w:space="0" w:color="auto"/>
                              </w:divBdr>
                            </w:div>
                            <w:div w:id="522672136">
                              <w:marLeft w:val="0"/>
                              <w:marRight w:val="0"/>
                              <w:marTop w:val="0"/>
                              <w:marBottom w:val="0"/>
                              <w:divBdr>
                                <w:top w:val="none" w:sz="0" w:space="0" w:color="auto"/>
                                <w:left w:val="none" w:sz="0" w:space="0" w:color="auto"/>
                                <w:bottom w:val="none" w:sz="0" w:space="0" w:color="auto"/>
                                <w:right w:val="none" w:sz="0" w:space="0" w:color="auto"/>
                              </w:divBdr>
                            </w:div>
                            <w:div w:id="703363662">
                              <w:marLeft w:val="0"/>
                              <w:marRight w:val="0"/>
                              <w:marTop w:val="0"/>
                              <w:marBottom w:val="0"/>
                              <w:divBdr>
                                <w:top w:val="none" w:sz="0" w:space="0" w:color="auto"/>
                                <w:left w:val="none" w:sz="0" w:space="0" w:color="auto"/>
                                <w:bottom w:val="none" w:sz="0" w:space="0" w:color="auto"/>
                                <w:right w:val="none" w:sz="0" w:space="0" w:color="auto"/>
                              </w:divBdr>
                              <w:divsChild>
                                <w:div w:id="128478589">
                                  <w:marLeft w:val="0"/>
                                  <w:marRight w:val="0"/>
                                  <w:marTop w:val="0"/>
                                  <w:marBottom w:val="129"/>
                                  <w:divBdr>
                                    <w:top w:val="none" w:sz="0" w:space="0" w:color="auto"/>
                                    <w:left w:val="none" w:sz="0" w:space="0" w:color="auto"/>
                                    <w:bottom w:val="none" w:sz="0" w:space="0" w:color="auto"/>
                                    <w:right w:val="none" w:sz="0" w:space="0" w:color="auto"/>
                                  </w:divBdr>
                                </w:div>
                                <w:div w:id="169411398">
                                  <w:marLeft w:val="0"/>
                                  <w:marRight w:val="0"/>
                                  <w:marTop w:val="0"/>
                                  <w:marBottom w:val="0"/>
                                  <w:divBdr>
                                    <w:top w:val="none" w:sz="0" w:space="0" w:color="auto"/>
                                    <w:left w:val="none" w:sz="0" w:space="0" w:color="auto"/>
                                    <w:bottom w:val="none" w:sz="0" w:space="0" w:color="auto"/>
                                    <w:right w:val="none" w:sz="0" w:space="0" w:color="auto"/>
                                  </w:divBdr>
                                </w:div>
                              </w:divsChild>
                            </w:div>
                            <w:div w:id="737018884">
                              <w:marLeft w:val="0"/>
                              <w:marRight w:val="0"/>
                              <w:marTop w:val="0"/>
                              <w:marBottom w:val="0"/>
                              <w:divBdr>
                                <w:top w:val="none" w:sz="0" w:space="0" w:color="auto"/>
                                <w:left w:val="none" w:sz="0" w:space="0" w:color="auto"/>
                                <w:bottom w:val="none" w:sz="0" w:space="0" w:color="auto"/>
                                <w:right w:val="none" w:sz="0" w:space="0" w:color="auto"/>
                              </w:divBdr>
                            </w:div>
                            <w:div w:id="1136336448">
                              <w:marLeft w:val="0"/>
                              <w:marRight w:val="0"/>
                              <w:marTop w:val="0"/>
                              <w:marBottom w:val="0"/>
                              <w:divBdr>
                                <w:top w:val="none" w:sz="0" w:space="0" w:color="auto"/>
                                <w:left w:val="none" w:sz="0" w:space="0" w:color="auto"/>
                                <w:bottom w:val="none" w:sz="0" w:space="0" w:color="auto"/>
                                <w:right w:val="none" w:sz="0" w:space="0" w:color="auto"/>
                              </w:divBdr>
                            </w:div>
                            <w:div w:id="130700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3506067">
      <w:bodyDiv w:val="1"/>
      <w:marLeft w:val="0"/>
      <w:marRight w:val="0"/>
      <w:marTop w:val="0"/>
      <w:marBottom w:val="0"/>
      <w:divBdr>
        <w:top w:val="none" w:sz="0" w:space="0" w:color="auto"/>
        <w:left w:val="none" w:sz="0" w:space="0" w:color="auto"/>
        <w:bottom w:val="none" w:sz="0" w:space="0" w:color="auto"/>
        <w:right w:val="none" w:sz="0" w:space="0" w:color="auto"/>
      </w:divBdr>
    </w:div>
    <w:div w:id="1073507293">
      <w:bodyDiv w:val="1"/>
      <w:marLeft w:val="0"/>
      <w:marRight w:val="0"/>
      <w:marTop w:val="0"/>
      <w:marBottom w:val="0"/>
      <w:divBdr>
        <w:top w:val="none" w:sz="0" w:space="0" w:color="auto"/>
        <w:left w:val="none" w:sz="0" w:space="0" w:color="auto"/>
        <w:bottom w:val="none" w:sz="0" w:space="0" w:color="auto"/>
        <w:right w:val="none" w:sz="0" w:space="0" w:color="auto"/>
      </w:divBdr>
    </w:div>
    <w:div w:id="1073812802">
      <w:bodyDiv w:val="1"/>
      <w:marLeft w:val="0"/>
      <w:marRight w:val="0"/>
      <w:marTop w:val="0"/>
      <w:marBottom w:val="0"/>
      <w:divBdr>
        <w:top w:val="none" w:sz="0" w:space="0" w:color="auto"/>
        <w:left w:val="none" w:sz="0" w:space="0" w:color="auto"/>
        <w:bottom w:val="none" w:sz="0" w:space="0" w:color="auto"/>
        <w:right w:val="none" w:sz="0" w:space="0" w:color="auto"/>
      </w:divBdr>
    </w:div>
    <w:div w:id="1074815918">
      <w:bodyDiv w:val="1"/>
      <w:marLeft w:val="0"/>
      <w:marRight w:val="0"/>
      <w:marTop w:val="0"/>
      <w:marBottom w:val="0"/>
      <w:divBdr>
        <w:top w:val="none" w:sz="0" w:space="0" w:color="auto"/>
        <w:left w:val="none" w:sz="0" w:space="0" w:color="auto"/>
        <w:bottom w:val="none" w:sz="0" w:space="0" w:color="auto"/>
        <w:right w:val="none" w:sz="0" w:space="0" w:color="auto"/>
      </w:divBdr>
    </w:div>
    <w:div w:id="1075469866">
      <w:bodyDiv w:val="1"/>
      <w:marLeft w:val="0"/>
      <w:marRight w:val="0"/>
      <w:marTop w:val="0"/>
      <w:marBottom w:val="0"/>
      <w:divBdr>
        <w:top w:val="none" w:sz="0" w:space="0" w:color="auto"/>
        <w:left w:val="none" w:sz="0" w:space="0" w:color="auto"/>
        <w:bottom w:val="none" w:sz="0" w:space="0" w:color="auto"/>
        <w:right w:val="none" w:sz="0" w:space="0" w:color="auto"/>
      </w:divBdr>
    </w:div>
    <w:div w:id="1075933535">
      <w:bodyDiv w:val="1"/>
      <w:marLeft w:val="0"/>
      <w:marRight w:val="0"/>
      <w:marTop w:val="0"/>
      <w:marBottom w:val="0"/>
      <w:divBdr>
        <w:top w:val="none" w:sz="0" w:space="0" w:color="auto"/>
        <w:left w:val="none" w:sz="0" w:space="0" w:color="auto"/>
        <w:bottom w:val="none" w:sz="0" w:space="0" w:color="auto"/>
        <w:right w:val="none" w:sz="0" w:space="0" w:color="auto"/>
      </w:divBdr>
    </w:div>
    <w:div w:id="1076198622">
      <w:bodyDiv w:val="1"/>
      <w:marLeft w:val="0"/>
      <w:marRight w:val="0"/>
      <w:marTop w:val="0"/>
      <w:marBottom w:val="0"/>
      <w:divBdr>
        <w:top w:val="none" w:sz="0" w:space="0" w:color="auto"/>
        <w:left w:val="none" w:sz="0" w:space="0" w:color="auto"/>
        <w:bottom w:val="none" w:sz="0" w:space="0" w:color="auto"/>
        <w:right w:val="none" w:sz="0" w:space="0" w:color="auto"/>
      </w:divBdr>
    </w:div>
    <w:div w:id="1076318241">
      <w:bodyDiv w:val="1"/>
      <w:marLeft w:val="0"/>
      <w:marRight w:val="0"/>
      <w:marTop w:val="0"/>
      <w:marBottom w:val="0"/>
      <w:divBdr>
        <w:top w:val="none" w:sz="0" w:space="0" w:color="auto"/>
        <w:left w:val="none" w:sz="0" w:space="0" w:color="auto"/>
        <w:bottom w:val="none" w:sz="0" w:space="0" w:color="auto"/>
        <w:right w:val="none" w:sz="0" w:space="0" w:color="auto"/>
      </w:divBdr>
    </w:div>
    <w:div w:id="1076778062">
      <w:bodyDiv w:val="1"/>
      <w:marLeft w:val="0"/>
      <w:marRight w:val="0"/>
      <w:marTop w:val="0"/>
      <w:marBottom w:val="0"/>
      <w:divBdr>
        <w:top w:val="none" w:sz="0" w:space="0" w:color="auto"/>
        <w:left w:val="none" w:sz="0" w:space="0" w:color="auto"/>
        <w:bottom w:val="none" w:sz="0" w:space="0" w:color="auto"/>
        <w:right w:val="none" w:sz="0" w:space="0" w:color="auto"/>
      </w:divBdr>
    </w:div>
    <w:div w:id="1077245944">
      <w:bodyDiv w:val="1"/>
      <w:marLeft w:val="0"/>
      <w:marRight w:val="0"/>
      <w:marTop w:val="0"/>
      <w:marBottom w:val="0"/>
      <w:divBdr>
        <w:top w:val="none" w:sz="0" w:space="0" w:color="auto"/>
        <w:left w:val="none" w:sz="0" w:space="0" w:color="auto"/>
        <w:bottom w:val="none" w:sz="0" w:space="0" w:color="auto"/>
        <w:right w:val="none" w:sz="0" w:space="0" w:color="auto"/>
      </w:divBdr>
    </w:div>
    <w:div w:id="1078213857">
      <w:bodyDiv w:val="1"/>
      <w:marLeft w:val="0"/>
      <w:marRight w:val="0"/>
      <w:marTop w:val="0"/>
      <w:marBottom w:val="0"/>
      <w:divBdr>
        <w:top w:val="none" w:sz="0" w:space="0" w:color="auto"/>
        <w:left w:val="none" w:sz="0" w:space="0" w:color="auto"/>
        <w:bottom w:val="none" w:sz="0" w:space="0" w:color="auto"/>
        <w:right w:val="none" w:sz="0" w:space="0" w:color="auto"/>
      </w:divBdr>
    </w:div>
    <w:div w:id="1079911807">
      <w:bodyDiv w:val="1"/>
      <w:marLeft w:val="0"/>
      <w:marRight w:val="0"/>
      <w:marTop w:val="0"/>
      <w:marBottom w:val="0"/>
      <w:divBdr>
        <w:top w:val="none" w:sz="0" w:space="0" w:color="auto"/>
        <w:left w:val="none" w:sz="0" w:space="0" w:color="auto"/>
        <w:bottom w:val="none" w:sz="0" w:space="0" w:color="auto"/>
        <w:right w:val="none" w:sz="0" w:space="0" w:color="auto"/>
      </w:divBdr>
    </w:div>
    <w:div w:id="1080366659">
      <w:bodyDiv w:val="1"/>
      <w:marLeft w:val="0"/>
      <w:marRight w:val="0"/>
      <w:marTop w:val="0"/>
      <w:marBottom w:val="0"/>
      <w:divBdr>
        <w:top w:val="none" w:sz="0" w:space="0" w:color="auto"/>
        <w:left w:val="none" w:sz="0" w:space="0" w:color="auto"/>
        <w:bottom w:val="none" w:sz="0" w:space="0" w:color="auto"/>
        <w:right w:val="none" w:sz="0" w:space="0" w:color="auto"/>
      </w:divBdr>
    </w:div>
    <w:div w:id="1081100391">
      <w:bodyDiv w:val="1"/>
      <w:marLeft w:val="0"/>
      <w:marRight w:val="0"/>
      <w:marTop w:val="0"/>
      <w:marBottom w:val="0"/>
      <w:divBdr>
        <w:top w:val="none" w:sz="0" w:space="0" w:color="auto"/>
        <w:left w:val="none" w:sz="0" w:space="0" w:color="auto"/>
        <w:bottom w:val="none" w:sz="0" w:space="0" w:color="auto"/>
        <w:right w:val="none" w:sz="0" w:space="0" w:color="auto"/>
      </w:divBdr>
    </w:div>
    <w:div w:id="1081220325">
      <w:bodyDiv w:val="1"/>
      <w:marLeft w:val="0"/>
      <w:marRight w:val="0"/>
      <w:marTop w:val="0"/>
      <w:marBottom w:val="0"/>
      <w:divBdr>
        <w:top w:val="none" w:sz="0" w:space="0" w:color="auto"/>
        <w:left w:val="none" w:sz="0" w:space="0" w:color="auto"/>
        <w:bottom w:val="none" w:sz="0" w:space="0" w:color="auto"/>
        <w:right w:val="none" w:sz="0" w:space="0" w:color="auto"/>
      </w:divBdr>
    </w:div>
    <w:div w:id="1081412751">
      <w:bodyDiv w:val="1"/>
      <w:marLeft w:val="0"/>
      <w:marRight w:val="0"/>
      <w:marTop w:val="0"/>
      <w:marBottom w:val="0"/>
      <w:divBdr>
        <w:top w:val="none" w:sz="0" w:space="0" w:color="auto"/>
        <w:left w:val="none" w:sz="0" w:space="0" w:color="auto"/>
        <w:bottom w:val="none" w:sz="0" w:space="0" w:color="auto"/>
        <w:right w:val="none" w:sz="0" w:space="0" w:color="auto"/>
      </w:divBdr>
    </w:div>
    <w:div w:id="1081415194">
      <w:bodyDiv w:val="1"/>
      <w:marLeft w:val="0"/>
      <w:marRight w:val="0"/>
      <w:marTop w:val="0"/>
      <w:marBottom w:val="0"/>
      <w:divBdr>
        <w:top w:val="none" w:sz="0" w:space="0" w:color="auto"/>
        <w:left w:val="none" w:sz="0" w:space="0" w:color="auto"/>
        <w:bottom w:val="none" w:sz="0" w:space="0" w:color="auto"/>
        <w:right w:val="none" w:sz="0" w:space="0" w:color="auto"/>
      </w:divBdr>
    </w:div>
    <w:div w:id="1081486596">
      <w:bodyDiv w:val="1"/>
      <w:marLeft w:val="0"/>
      <w:marRight w:val="0"/>
      <w:marTop w:val="0"/>
      <w:marBottom w:val="0"/>
      <w:divBdr>
        <w:top w:val="none" w:sz="0" w:space="0" w:color="auto"/>
        <w:left w:val="none" w:sz="0" w:space="0" w:color="auto"/>
        <w:bottom w:val="none" w:sz="0" w:space="0" w:color="auto"/>
        <w:right w:val="none" w:sz="0" w:space="0" w:color="auto"/>
      </w:divBdr>
    </w:div>
    <w:div w:id="1081684785">
      <w:bodyDiv w:val="1"/>
      <w:marLeft w:val="0"/>
      <w:marRight w:val="0"/>
      <w:marTop w:val="0"/>
      <w:marBottom w:val="0"/>
      <w:divBdr>
        <w:top w:val="none" w:sz="0" w:space="0" w:color="auto"/>
        <w:left w:val="none" w:sz="0" w:space="0" w:color="auto"/>
        <w:bottom w:val="none" w:sz="0" w:space="0" w:color="auto"/>
        <w:right w:val="none" w:sz="0" w:space="0" w:color="auto"/>
      </w:divBdr>
    </w:div>
    <w:div w:id="1081947345">
      <w:bodyDiv w:val="1"/>
      <w:marLeft w:val="0"/>
      <w:marRight w:val="0"/>
      <w:marTop w:val="0"/>
      <w:marBottom w:val="0"/>
      <w:divBdr>
        <w:top w:val="none" w:sz="0" w:space="0" w:color="auto"/>
        <w:left w:val="none" w:sz="0" w:space="0" w:color="auto"/>
        <w:bottom w:val="none" w:sz="0" w:space="0" w:color="auto"/>
        <w:right w:val="none" w:sz="0" w:space="0" w:color="auto"/>
      </w:divBdr>
    </w:div>
    <w:div w:id="1082262624">
      <w:bodyDiv w:val="1"/>
      <w:marLeft w:val="0"/>
      <w:marRight w:val="0"/>
      <w:marTop w:val="0"/>
      <w:marBottom w:val="0"/>
      <w:divBdr>
        <w:top w:val="none" w:sz="0" w:space="0" w:color="auto"/>
        <w:left w:val="none" w:sz="0" w:space="0" w:color="auto"/>
        <w:bottom w:val="none" w:sz="0" w:space="0" w:color="auto"/>
        <w:right w:val="none" w:sz="0" w:space="0" w:color="auto"/>
      </w:divBdr>
    </w:div>
    <w:div w:id="1082334114">
      <w:bodyDiv w:val="1"/>
      <w:marLeft w:val="0"/>
      <w:marRight w:val="0"/>
      <w:marTop w:val="0"/>
      <w:marBottom w:val="0"/>
      <w:divBdr>
        <w:top w:val="none" w:sz="0" w:space="0" w:color="auto"/>
        <w:left w:val="none" w:sz="0" w:space="0" w:color="auto"/>
        <w:bottom w:val="none" w:sz="0" w:space="0" w:color="auto"/>
        <w:right w:val="none" w:sz="0" w:space="0" w:color="auto"/>
      </w:divBdr>
    </w:div>
    <w:div w:id="1082339298">
      <w:bodyDiv w:val="1"/>
      <w:marLeft w:val="0"/>
      <w:marRight w:val="0"/>
      <w:marTop w:val="0"/>
      <w:marBottom w:val="0"/>
      <w:divBdr>
        <w:top w:val="none" w:sz="0" w:space="0" w:color="auto"/>
        <w:left w:val="none" w:sz="0" w:space="0" w:color="auto"/>
        <w:bottom w:val="none" w:sz="0" w:space="0" w:color="auto"/>
        <w:right w:val="none" w:sz="0" w:space="0" w:color="auto"/>
      </w:divBdr>
    </w:div>
    <w:div w:id="1082948885">
      <w:bodyDiv w:val="1"/>
      <w:marLeft w:val="0"/>
      <w:marRight w:val="0"/>
      <w:marTop w:val="0"/>
      <w:marBottom w:val="0"/>
      <w:divBdr>
        <w:top w:val="none" w:sz="0" w:space="0" w:color="auto"/>
        <w:left w:val="none" w:sz="0" w:space="0" w:color="auto"/>
        <w:bottom w:val="none" w:sz="0" w:space="0" w:color="auto"/>
        <w:right w:val="none" w:sz="0" w:space="0" w:color="auto"/>
      </w:divBdr>
    </w:div>
    <w:div w:id="1083186517">
      <w:bodyDiv w:val="1"/>
      <w:marLeft w:val="0"/>
      <w:marRight w:val="0"/>
      <w:marTop w:val="0"/>
      <w:marBottom w:val="0"/>
      <w:divBdr>
        <w:top w:val="none" w:sz="0" w:space="0" w:color="auto"/>
        <w:left w:val="none" w:sz="0" w:space="0" w:color="auto"/>
        <w:bottom w:val="none" w:sz="0" w:space="0" w:color="auto"/>
        <w:right w:val="none" w:sz="0" w:space="0" w:color="auto"/>
      </w:divBdr>
    </w:div>
    <w:div w:id="1084766682">
      <w:bodyDiv w:val="1"/>
      <w:marLeft w:val="0"/>
      <w:marRight w:val="0"/>
      <w:marTop w:val="0"/>
      <w:marBottom w:val="0"/>
      <w:divBdr>
        <w:top w:val="none" w:sz="0" w:space="0" w:color="auto"/>
        <w:left w:val="none" w:sz="0" w:space="0" w:color="auto"/>
        <w:bottom w:val="none" w:sz="0" w:space="0" w:color="auto"/>
        <w:right w:val="none" w:sz="0" w:space="0" w:color="auto"/>
      </w:divBdr>
    </w:div>
    <w:div w:id="1084912125">
      <w:bodyDiv w:val="1"/>
      <w:marLeft w:val="0"/>
      <w:marRight w:val="0"/>
      <w:marTop w:val="0"/>
      <w:marBottom w:val="0"/>
      <w:divBdr>
        <w:top w:val="none" w:sz="0" w:space="0" w:color="auto"/>
        <w:left w:val="none" w:sz="0" w:space="0" w:color="auto"/>
        <w:bottom w:val="none" w:sz="0" w:space="0" w:color="auto"/>
        <w:right w:val="none" w:sz="0" w:space="0" w:color="auto"/>
      </w:divBdr>
    </w:div>
    <w:div w:id="1085346848">
      <w:bodyDiv w:val="1"/>
      <w:marLeft w:val="0"/>
      <w:marRight w:val="0"/>
      <w:marTop w:val="0"/>
      <w:marBottom w:val="0"/>
      <w:divBdr>
        <w:top w:val="none" w:sz="0" w:space="0" w:color="auto"/>
        <w:left w:val="none" w:sz="0" w:space="0" w:color="auto"/>
        <w:bottom w:val="none" w:sz="0" w:space="0" w:color="auto"/>
        <w:right w:val="none" w:sz="0" w:space="0" w:color="auto"/>
      </w:divBdr>
    </w:div>
    <w:div w:id="1085689254">
      <w:bodyDiv w:val="1"/>
      <w:marLeft w:val="0"/>
      <w:marRight w:val="0"/>
      <w:marTop w:val="0"/>
      <w:marBottom w:val="0"/>
      <w:divBdr>
        <w:top w:val="none" w:sz="0" w:space="0" w:color="auto"/>
        <w:left w:val="none" w:sz="0" w:space="0" w:color="auto"/>
        <w:bottom w:val="none" w:sz="0" w:space="0" w:color="auto"/>
        <w:right w:val="none" w:sz="0" w:space="0" w:color="auto"/>
      </w:divBdr>
    </w:div>
    <w:div w:id="1085883946">
      <w:bodyDiv w:val="1"/>
      <w:marLeft w:val="0"/>
      <w:marRight w:val="0"/>
      <w:marTop w:val="0"/>
      <w:marBottom w:val="0"/>
      <w:divBdr>
        <w:top w:val="none" w:sz="0" w:space="0" w:color="auto"/>
        <w:left w:val="none" w:sz="0" w:space="0" w:color="auto"/>
        <w:bottom w:val="none" w:sz="0" w:space="0" w:color="auto"/>
        <w:right w:val="none" w:sz="0" w:space="0" w:color="auto"/>
      </w:divBdr>
    </w:div>
    <w:div w:id="1086462201">
      <w:bodyDiv w:val="1"/>
      <w:marLeft w:val="0"/>
      <w:marRight w:val="0"/>
      <w:marTop w:val="0"/>
      <w:marBottom w:val="0"/>
      <w:divBdr>
        <w:top w:val="none" w:sz="0" w:space="0" w:color="auto"/>
        <w:left w:val="none" w:sz="0" w:space="0" w:color="auto"/>
        <w:bottom w:val="none" w:sz="0" w:space="0" w:color="auto"/>
        <w:right w:val="none" w:sz="0" w:space="0" w:color="auto"/>
      </w:divBdr>
    </w:div>
    <w:div w:id="1086465396">
      <w:bodyDiv w:val="1"/>
      <w:marLeft w:val="0"/>
      <w:marRight w:val="0"/>
      <w:marTop w:val="0"/>
      <w:marBottom w:val="0"/>
      <w:divBdr>
        <w:top w:val="none" w:sz="0" w:space="0" w:color="auto"/>
        <w:left w:val="none" w:sz="0" w:space="0" w:color="auto"/>
        <w:bottom w:val="none" w:sz="0" w:space="0" w:color="auto"/>
        <w:right w:val="none" w:sz="0" w:space="0" w:color="auto"/>
      </w:divBdr>
    </w:div>
    <w:div w:id="1087385295">
      <w:bodyDiv w:val="1"/>
      <w:marLeft w:val="0"/>
      <w:marRight w:val="0"/>
      <w:marTop w:val="0"/>
      <w:marBottom w:val="0"/>
      <w:divBdr>
        <w:top w:val="none" w:sz="0" w:space="0" w:color="auto"/>
        <w:left w:val="none" w:sz="0" w:space="0" w:color="auto"/>
        <w:bottom w:val="none" w:sz="0" w:space="0" w:color="auto"/>
        <w:right w:val="none" w:sz="0" w:space="0" w:color="auto"/>
      </w:divBdr>
    </w:div>
    <w:div w:id="1088115185">
      <w:bodyDiv w:val="1"/>
      <w:marLeft w:val="0"/>
      <w:marRight w:val="0"/>
      <w:marTop w:val="0"/>
      <w:marBottom w:val="0"/>
      <w:divBdr>
        <w:top w:val="none" w:sz="0" w:space="0" w:color="auto"/>
        <w:left w:val="none" w:sz="0" w:space="0" w:color="auto"/>
        <w:bottom w:val="none" w:sz="0" w:space="0" w:color="auto"/>
        <w:right w:val="none" w:sz="0" w:space="0" w:color="auto"/>
      </w:divBdr>
    </w:div>
    <w:div w:id="1088119295">
      <w:bodyDiv w:val="1"/>
      <w:marLeft w:val="0"/>
      <w:marRight w:val="0"/>
      <w:marTop w:val="0"/>
      <w:marBottom w:val="0"/>
      <w:divBdr>
        <w:top w:val="none" w:sz="0" w:space="0" w:color="auto"/>
        <w:left w:val="none" w:sz="0" w:space="0" w:color="auto"/>
        <w:bottom w:val="none" w:sz="0" w:space="0" w:color="auto"/>
        <w:right w:val="none" w:sz="0" w:space="0" w:color="auto"/>
      </w:divBdr>
    </w:div>
    <w:div w:id="1088189803">
      <w:bodyDiv w:val="1"/>
      <w:marLeft w:val="0"/>
      <w:marRight w:val="0"/>
      <w:marTop w:val="0"/>
      <w:marBottom w:val="0"/>
      <w:divBdr>
        <w:top w:val="none" w:sz="0" w:space="0" w:color="auto"/>
        <w:left w:val="none" w:sz="0" w:space="0" w:color="auto"/>
        <w:bottom w:val="none" w:sz="0" w:space="0" w:color="auto"/>
        <w:right w:val="none" w:sz="0" w:space="0" w:color="auto"/>
      </w:divBdr>
    </w:div>
    <w:div w:id="1088650023">
      <w:bodyDiv w:val="1"/>
      <w:marLeft w:val="0"/>
      <w:marRight w:val="0"/>
      <w:marTop w:val="0"/>
      <w:marBottom w:val="0"/>
      <w:divBdr>
        <w:top w:val="none" w:sz="0" w:space="0" w:color="auto"/>
        <w:left w:val="none" w:sz="0" w:space="0" w:color="auto"/>
        <w:bottom w:val="none" w:sz="0" w:space="0" w:color="auto"/>
        <w:right w:val="none" w:sz="0" w:space="0" w:color="auto"/>
      </w:divBdr>
    </w:div>
    <w:div w:id="1088890659">
      <w:bodyDiv w:val="1"/>
      <w:marLeft w:val="0"/>
      <w:marRight w:val="0"/>
      <w:marTop w:val="0"/>
      <w:marBottom w:val="0"/>
      <w:divBdr>
        <w:top w:val="none" w:sz="0" w:space="0" w:color="auto"/>
        <w:left w:val="none" w:sz="0" w:space="0" w:color="auto"/>
        <w:bottom w:val="none" w:sz="0" w:space="0" w:color="auto"/>
        <w:right w:val="none" w:sz="0" w:space="0" w:color="auto"/>
      </w:divBdr>
    </w:div>
    <w:div w:id="1089547941">
      <w:bodyDiv w:val="1"/>
      <w:marLeft w:val="0"/>
      <w:marRight w:val="0"/>
      <w:marTop w:val="0"/>
      <w:marBottom w:val="0"/>
      <w:divBdr>
        <w:top w:val="none" w:sz="0" w:space="0" w:color="auto"/>
        <w:left w:val="none" w:sz="0" w:space="0" w:color="auto"/>
        <w:bottom w:val="none" w:sz="0" w:space="0" w:color="auto"/>
        <w:right w:val="none" w:sz="0" w:space="0" w:color="auto"/>
      </w:divBdr>
    </w:div>
    <w:div w:id="1089888298">
      <w:bodyDiv w:val="1"/>
      <w:marLeft w:val="0"/>
      <w:marRight w:val="0"/>
      <w:marTop w:val="0"/>
      <w:marBottom w:val="0"/>
      <w:divBdr>
        <w:top w:val="none" w:sz="0" w:space="0" w:color="auto"/>
        <w:left w:val="none" w:sz="0" w:space="0" w:color="auto"/>
        <w:bottom w:val="none" w:sz="0" w:space="0" w:color="auto"/>
        <w:right w:val="none" w:sz="0" w:space="0" w:color="auto"/>
      </w:divBdr>
    </w:div>
    <w:div w:id="1091317499">
      <w:bodyDiv w:val="1"/>
      <w:marLeft w:val="0"/>
      <w:marRight w:val="0"/>
      <w:marTop w:val="0"/>
      <w:marBottom w:val="0"/>
      <w:divBdr>
        <w:top w:val="none" w:sz="0" w:space="0" w:color="auto"/>
        <w:left w:val="none" w:sz="0" w:space="0" w:color="auto"/>
        <w:bottom w:val="none" w:sz="0" w:space="0" w:color="auto"/>
        <w:right w:val="none" w:sz="0" w:space="0" w:color="auto"/>
      </w:divBdr>
    </w:div>
    <w:div w:id="1092121288">
      <w:bodyDiv w:val="1"/>
      <w:marLeft w:val="0"/>
      <w:marRight w:val="0"/>
      <w:marTop w:val="0"/>
      <w:marBottom w:val="0"/>
      <w:divBdr>
        <w:top w:val="none" w:sz="0" w:space="0" w:color="auto"/>
        <w:left w:val="none" w:sz="0" w:space="0" w:color="auto"/>
        <w:bottom w:val="none" w:sz="0" w:space="0" w:color="auto"/>
        <w:right w:val="none" w:sz="0" w:space="0" w:color="auto"/>
      </w:divBdr>
    </w:div>
    <w:div w:id="1093166228">
      <w:bodyDiv w:val="1"/>
      <w:marLeft w:val="0"/>
      <w:marRight w:val="0"/>
      <w:marTop w:val="0"/>
      <w:marBottom w:val="0"/>
      <w:divBdr>
        <w:top w:val="none" w:sz="0" w:space="0" w:color="auto"/>
        <w:left w:val="none" w:sz="0" w:space="0" w:color="auto"/>
        <w:bottom w:val="none" w:sz="0" w:space="0" w:color="auto"/>
        <w:right w:val="none" w:sz="0" w:space="0" w:color="auto"/>
      </w:divBdr>
    </w:div>
    <w:div w:id="1094016232">
      <w:bodyDiv w:val="1"/>
      <w:marLeft w:val="0"/>
      <w:marRight w:val="0"/>
      <w:marTop w:val="0"/>
      <w:marBottom w:val="0"/>
      <w:divBdr>
        <w:top w:val="none" w:sz="0" w:space="0" w:color="auto"/>
        <w:left w:val="none" w:sz="0" w:space="0" w:color="auto"/>
        <w:bottom w:val="none" w:sz="0" w:space="0" w:color="auto"/>
        <w:right w:val="none" w:sz="0" w:space="0" w:color="auto"/>
      </w:divBdr>
    </w:div>
    <w:div w:id="1095053427">
      <w:bodyDiv w:val="1"/>
      <w:marLeft w:val="0"/>
      <w:marRight w:val="0"/>
      <w:marTop w:val="0"/>
      <w:marBottom w:val="0"/>
      <w:divBdr>
        <w:top w:val="none" w:sz="0" w:space="0" w:color="auto"/>
        <w:left w:val="none" w:sz="0" w:space="0" w:color="auto"/>
        <w:bottom w:val="none" w:sz="0" w:space="0" w:color="auto"/>
        <w:right w:val="none" w:sz="0" w:space="0" w:color="auto"/>
      </w:divBdr>
    </w:div>
    <w:div w:id="1095399288">
      <w:bodyDiv w:val="1"/>
      <w:marLeft w:val="0"/>
      <w:marRight w:val="0"/>
      <w:marTop w:val="0"/>
      <w:marBottom w:val="0"/>
      <w:divBdr>
        <w:top w:val="none" w:sz="0" w:space="0" w:color="auto"/>
        <w:left w:val="none" w:sz="0" w:space="0" w:color="auto"/>
        <w:bottom w:val="none" w:sz="0" w:space="0" w:color="auto"/>
        <w:right w:val="none" w:sz="0" w:space="0" w:color="auto"/>
      </w:divBdr>
    </w:div>
    <w:div w:id="1095712951">
      <w:bodyDiv w:val="1"/>
      <w:marLeft w:val="0"/>
      <w:marRight w:val="0"/>
      <w:marTop w:val="0"/>
      <w:marBottom w:val="0"/>
      <w:divBdr>
        <w:top w:val="none" w:sz="0" w:space="0" w:color="auto"/>
        <w:left w:val="none" w:sz="0" w:space="0" w:color="auto"/>
        <w:bottom w:val="none" w:sz="0" w:space="0" w:color="auto"/>
        <w:right w:val="none" w:sz="0" w:space="0" w:color="auto"/>
      </w:divBdr>
    </w:div>
    <w:div w:id="1098061995">
      <w:bodyDiv w:val="1"/>
      <w:marLeft w:val="0"/>
      <w:marRight w:val="0"/>
      <w:marTop w:val="0"/>
      <w:marBottom w:val="0"/>
      <w:divBdr>
        <w:top w:val="none" w:sz="0" w:space="0" w:color="auto"/>
        <w:left w:val="none" w:sz="0" w:space="0" w:color="auto"/>
        <w:bottom w:val="none" w:sz="0" w:space="0" w:color="auto"/>
        <w:right w:val="none" w:sz="0" w:space="0" w:color="auto"/>
      </w:divBdr>
    </w:div>
    <w:div w:id="1098258869">
      <w:bodyDiv w:val="1"/>
      <w:marLeft w:val="0"/>
      <w:marRight w:val="0"/>
      <w:marTop w:val="0"/>
      <w:marBottom w:val="0"/>
      <w:divBdr>
        <w:top w:val="none" w:sz="0" w:space="0" w:color="auto"/>
        <w:left w:val="none" w:sz="0" w:space="0" w:color="auto"/>
        <w:bottom w:val="none" w:sz="0" w:space="0" w:color="auto"/>
        <w:right w:val="none" w:sz="0" w:space="0" w:color="auto"/>
      </w:divBdr>
    </w:div>
    <w:div w:id="1099371723">
      <w:bodyDiv w:val="1"/>
      <w:marLeft w:val="0"/>
      <w:marRight w:val="0"/>
      <w:marTop w:val="0"/>
      <w:marBottom w:val="0"/>
      <w:divBdr>
        <w:top w:val="none" w:sz="0" w:space="0" w:color="auto"/>
        <w:left w:val="none" w:sz="0" w:space="0" w:color="auto"/>
        <w:bottom w:val="none" w:sz="0" w:space="0" w:color="auto"/>
        <w:right w:val="none" w:sz="0" w:space="0" w:color="auto"/>
      </w:divBdr>
    </w:div>
    <w:div w:id="1099641189">
      <w:bodyDiv w:val="1"/>
      <w:marLeft w:val="0"/>
      <w:marRight w:val="0"/>
      <w:marTop w:val="0"/>
      <w:marBottom w:val="0"/>
      <w:divBdr>
        <w:top w:val="none" w:sz="0" w:space="0" w:color="auto"/>
        <w:left w:val="none" w:sz="0" w:space="0" w:color="auto"/>
        <w:bottom w:val="none" w:sz="0" w:space="0" w:color="auto"/>
        <w:right w:val="none" w:sz="0" w:space="0" w:color="auto"/>
      </w:divBdr>
    </w:div>
    <w:div w:id="1099762802">
      <w:bodyDiv w:val="1"/>
      <w:marLeft w:val="0"/>
      <w:marRight w:val="0"/>
      <w:marTop w:val="0"/>
      <w:marBottom w:val="0"/>
      <w:divBdr>
        <w:top w:val="none" w:sz="0" w:space="0" w:color="auto"/>
        <w:left w:val="none" w:sz="0" w:space="0" w:color="auto"/>
        <w:bottom w:val="none" w:sz="0" w:space="0" w:color="auto"/>
        <w:right w:val="none" w:sz="0" w:space="0" w:color="auto"/>
      </w:divBdr>
    </w:div>
    <w:div w:id="1100299906">
      <w:bodyDiv w:val="1"/>
      <w:marLeft w:val="0"/>
      <w:marRight w:val="0"/>
      <w:marTop w:val="0"/>
      <w:marBottom w:val="0"/>
      <w:divBdr>
        <w:top w:val="none" w:sz="0" w:space="0" w:color="auto"/>
        <w:left w:val="none" w:sz="0" w:space="0" w:color="auto"/>
        <w:bottom w:val="none" w:sz="0" w:space="0" w:color="auto"/>
        <w:right w:val="none" w:sz="0" w:space="0" w:color="auto"/>
      </w:divBdr>
    </w:div>
    <w:div w:id="1100686707">
      <w:bodyDiv w:val="1"/>
      <w:marLeft w:val="0"/>
      <w:marRight w:val="0"/>
      <w:marTop w:val="0"/>
      <w:marBottom w:val="0"/>
      <w:divBdr>
        <w:top w:val="none" w:sz="0" w:space="0" w:color="auto"/>
        <w:left w:val="none" w:sz="0" w:space="0" w:color="auto"/>
        <w:bottom w:val="none" w:sz="0" w:space="0" w:color="auto"/>
        <w:right w:val="none" w:sz="0" w:space="0" w:color="auto"/>
      </w:divBdr>
    </w:div>
    <w:div w:id="1100754681">
      <w:bodyDiv w:val="1"/>
      <w:marLeft w:val="0"/>
      <w:marRight w:val="0"/>
      <w:marTop w:val="0"/>
      <w:marBottom w:val="0"/>
      <w:divBdr>
        <w:top w:val="none" w:sz="0" w:space="0" w:color="auto"/>
        <w:left w:val="none" w:sz="0" w:space="0" w:color="auto"/>
        <w:bottom w:val="none" w:sz="0" w:space="0" w:color="auto"/>
        <w:right w:val="none" w:sz="0" w:space="0" w:color="auto"/>
      </w:divBdr>
    </w:div>
    <w:div w:id="1101098882">
      <w:bodyDiv w:val="1"/>
      <w:marLeft w:val="0"/>
      <w:marRight w:val="0"/>
      <w:marTop w:val="0"/>
      <w:marBottom w:val="0"/>
      <w:divBdr>
        <w:top w:val="none" w:sz="0" w:space="0" w:color="auto"/>
        <w:left w:val="none" w:sz="0" w:space="0" w:color="auto"/>
        <w:bottom w:val="none" w:sz="0" w:space="0" w:color="auto"/>
        <w:right w:val="none" w:sz="0" w:space="0" w:color="auto"/>
      </w:divBdr>
    </w:div>
    <w:div w:id="1101683133">
      <w:bodyDiv w:val="1"/>
      <w:marLeft w:val="0"/>
      <w:marRight w:val="0"/>
      <w:marTop w:val="0"/>
      <w:marBottom w:val="0"/>
      <w:divBdr>
        <w:top w:val="none" w:sz="0" w:space="0" w:color="auto"/>
        <w:left w:val="none" w:sz="0" w:space="0" w:color="auto"/>
        <w:bottom w:val="none" w:sz="0" w:space="0" w:color="auto"/>
        <w:right w:val="none" w:sz="0" w:space="0" w:color="auto"/>
      </w:divBdr>
    </w:div>
    <w:div w:id="1101726469">
      <w:bodyDiv w:val="1"/>
      <w:marLeft w:val="0"/>
      <w:marRight w:val="0"/>
      <w:marTop w:val="0"/>
      <w:marBottom w:val="0"/>
      <w:divBdr>
        <w:top w:val="none" w:sz="0" w:space="0" w:color="auto"/>
        <w:left w:val="none" w:sz="0" w:space="0" w:color="auto"/>
        <w:bottom w:val="none" w:sz="0" w:space="0" w:color="auto"/>
        <w:right w:val="none" w:sz="0" w:space="0" w:color="auto"/>
      </w:divBdr>
    </w:div>
    <w:div w:id="1101803730">
      <w:bodyDiv w:val="1"/>
      <w:marLeft w:val="0"/>
      <w:marRight w:val="0"/>
      <w:marTop w:val="0"/>
      <w:marBottom w:val="0"/>
      <w:divBdr>
        <w:top w:val="none" w:sz="0" w:space="0" w:color="auto"/>
        <w:left w:val="none" w:sz="0" w:space="0" w:color="auto"/>
        <w:bottom w:val="none" w:sz="0" w:space="0" w:color="auto"/>
        <w:right w:val="none" w:sz="0" w:space="0" w:color="auto"/>
      </w:divBdr>
    </w:div>
    <w:div w:id="1102264087">
      <w:bodyDiv w:val="1"/>
      <w:marLeft w:val="0"/>
      <w:marRight w:val="0"/>
      <w:marTop w:val="0"/>
      <w:marBottom w:val="0"/>
      <w:divBdr>
        <w:top w:val="none" w:sz="0" w:space="0" w:color="auto"/>
        <w:left w:val="none" w:sz="0" w:space="0" w:color="auto"/>
        <w:bottom w:val="none" w:sz="0" w:space="0" w:color="auto"/>
        <w:right w:val="none" w:sz="0" w:space="0" w:color="auto"/>
      </w:divBdr>
    </w:div>
    <w:div w:id="1102921136">
      <w:bodyDiv w:val="1"/>
      <w:marLeft w:val="0"/>
      <w:marRight w:val="0"/>
      <w:marTop w:val="0"/>
      <w:marBottom w:val="0"/>
      <w:divBdr>
        <w:top w:val="none" w:sz="0" w:space="0" w:color="auto"/>
        <w:left w:val="none" w:sz="0" w:space="0" w:color="auto"/>
        <w:bottom w:val="none" w:sz="0" w:space="0" w:color="auto"/>
        <w:right w:val="none" w:sz="0" w:space="0" w:color="auto"/>
      </w:divBdr>
    </w:div>
    <w:div w:id="1103498236">
      <w:bodyDiv w:val="1"/>
      <w:marLeft w:val="0"/>
      <w:marRight w:val="0"/>
      <w:marTop w:val="0"/>
      <w:marBottom w:val="0"/>
      <w:divBdr>
        <w:top w:val="none" w:sz="0" w:space="0" w:color="auto"/>
        <w:left w:val="none" w:sz="0" w:space="0" w:color="auto"/>
        <w:bottom w:val="none" w:sz="0" w:space="0" w:color="auto"/>
        <w:right w:val="none" w:sz="0" w:space="0" w:color="auto"/>
      </w:divBdr>
    </w:div>
    <w:div w:id="1103920887">
      <w:bodyDiv w:val="1"/>
      <w:marLeft w:val="0"/>
      <w:marRight w:val="0"/>
      <w:marTop w:val="0"/>
      <w:marBottom w:val="0"/>
      <w:divBdr>
        <w:top w:val="none" w:sz="0" w:space="0" w:color="auto"/>
        <w:left w:val="none" w:sz="0" w:space="0" w:color="auto"/>
        <w:bottom w:val="none" w:sz="0" w:space="0" w:color="auto"/>
        <w:right w:val="none" w:sz="0" w:space="0" w:color="auto"/>
      </w:divBdr>
    </w:div>
    <w:div w:id="1104837282">
      <w:bodyDiv w:val="1"/>
      <w:marLeft w:val="0"/>
      <w:marRight w:val="0"/>
      <w:marTop w:val="0"/>
      <w:marBottom w:val="0"/>
      <w:divBdr>
        <w:top w:val="none" w:sz="0" w:space="0" w:color="auto"/>
        <w:left w:val="none" w:sz="0" w:space="0" w:color="auto"/>
        <w:bottom w:val="none" w:sz="0" w:space="0" w:color="auto"/>
        <w:right w:val="none" w:sz="0" w:space="0" w:color="auto"/>
      </w:divBdr>
    </w:div>
    <w:div w:id="1104963635">
      <w:bodyDiv w:val="1"/>
      <w:marLeft w:val="0"/>
      <w:marRight w:val="0"/>
      <w:marTop w:val="0"/>
      <w:marBottom w:val="0"/>
      <w:divBdr>
        <w:top w:val="none" w:sz="0" w:space="0" w:color="auto"/>
        <w:left w:val="none" w:sz="0" w:space="0" w:color="auto"/>
        <w:bottom w:val="none" w:sz="0" w:space="0" w:color="auto"/>
        <w:right w:val="none" w:sz="0" w:space="0" w:color="auto"/>
      </w:divBdr>
    </w:div>
    <w:div w:id="1105032075">
      <w:bodyDiv w:val="1"/>
      <w:marLeft w:val="0"/>
      <w:marRight w:val="0"/>
      <w:marTop w:val="0"/>
      <w:marBottom w:val="0"/>
      <w:divBdr>
        <w:top w:val="none" w:sz="0" w:space="0" w:color="auto"/>
        <w:left w:val="none" w:sz="0" w:space="0" w:color="auto"/>
        <w:bottom w:val="none" w:sz="0" w:space="0" w:color="auto"/>
        <w:right w:val="none" w:sz="0" w:space="0" w:color="auto"/>
      </w:divBdr>
    </w:div>
    <w:div w:id="1105075871">
      <w:bodyDiv w:val="1"/>
      <w:marLeft w:val="0"/>
      <w:marRight w:val="0"/>
      <w:marTop w:val="0"/>
      <w:marBottom w:val="0"/>
      <w:divBdr>
        <w:top w:val="none" w:sz="0" w:space="0" w:color="auto"/>
        <w:left w:val="none" w:sz="0" w:space="0" w:color="auto"/>
        <w:bottom w:val="none" w:sz="0" w:space="0" w:color="auto"/>
        <w:right w:val="none" w:sz="0" w:space="0" w:color="auto"/>
      </w:divBdr>
    </w:div>
    <w:div w:id="1105610040">
      <w:bodyDiv w:val="1"/>
      <w:marLeft w:val="0"/>
      <w:marRight w:val="0"/>
      <w:marTop w:val="0"/>
      <w:marBottom w:val="0"/>
      <w:divBdr>
        <w:top w:val="none" w:sz="0" w:space="0" w:color="auto"/>
        <w:left w:val="none" w:sz="0" w:space="0" w:color="auto"/>
        <w:bottom w:val="none" w:sz="0" w:space="0" w:color="auto"/>
        <w:right w:val="none" w:sz="0" w:space="0" w:color="auto"/>
      </w:divBdr>
    </w:div>
    <w:div w:id="1106971058">
      <w:bodyDiv w:val="1"/>
      <w:marLeft w:val="0"/>
      <w:marRight w:val="0"/>
      <w:marTop w:val="0"/>
      <w:marBottom w:val="0"/>
      <w:divBdr>
        <w:top w:val="none" w:sz="0" w:space="0" w:color="auto"/>
        <w:left w:val="none" w:sz="0" w:space="0" w:color="auto"/>
        <w:bottom w:val="none" w:sz="0" w:space="0" w:color="auto"/>
        <w:right w:val="none" w:sz="0" w:space="0" w:color="auto"/>
      </w:divBdr>
    </w:div>
    <w:div w:id="1107041371">
      <w:bodyDiv w:val="1"/>
      <w:marLeft w:val="0"/>
      <w:marRight w:val="0"/>
      <w:marTop w:val="0"/>
      <w:marBottom w:val="0"/>
      <w:divBdr>
        <w:top w:val="none" w:sz="0" w:space="0" w:color="auto"/>
        <w:left w:val="none" w:sz="0" w:space="0" w:color="auto"/>
        <w:bottom w:val="none" w:sz="0" w:space="0" w:color="auto"/>
        <w:right w:val="none" w:sz="0" w:space="0" w:color="auto"/>
      </w:divBdr>
    </w:div>
    <w:div w:id="1107114983">
      <w:bodyDiv w:val="1"/>
      <w:marLeft w:val="0"/>
      <w:marRight w:val="0"/>
      <w:marTop w:val="0"/>
      <w:marBottom w:val="0"/>
      <w:divBdr>
        <w:top w:val="none" w:sz="0" w:space="0" w:color="auto"/>
        <w:left w:val="none" w:sz="0" w:space="0" w:color="auto"/>
        <w:bottom w:val="none" w:sz="0" w:space="0" w:color="auto"/>
        <w:right w:val="none" w:sz="0" w:space="0" w:color="auto"/>
      </w:divBdr>
    </w:div>
    <w:div w:id="1107888154">
      <w:bodyDiv w:val="1"/>
      <w:marLeft w:val="0"/>
      <w:marRight w:val="0"/>
      <w:marTop w:val="0"/>
      <w:marBottom w:val="0"/>
      <w:divBdr>
        <w:top w:val="none" w:sz="0" w:space="0" w:color="auto"/>
        <w:left w:val="none" w:sz="0" w:space="0" w:color="auto"/>
        <w:bottom w:val="none" w:sz="0" w:space="0" w:color="auto"/>
        <w:right w:val="none" w:sz="0" w:space="0" w:color="auto"/>
      </w:divBdr>
    </w:div>
    <w:div w:id="1108041837">
      <w:bodyDiv w:val="1"/>
      <w:marLeft w:val="0"/>
      <w:marRight w:val="0"/>
      <w:marTop w:val="0"/>
      <w:marBottom w:val="0"/>
      <w:divBdr>
        <w:top w:val="none" w:sz="0" w:space="0" w:color="auto"/>
        <w:left w:val="none" w:sz="0" w:space="0" w:color="auto"/>
        <w:bottom w:val="none" w:sz="0" w:space="0" w:color="auto"/>
        <w:right w:val="none" w:sz="0" w:space="0" w:color="auto"/>
      </w:divBdr>
    </w:div>
    <w:div w:id="1108550154">
      <w:bodyDiv w:val="1"/>
      <w:marLeft w:val="0"/>
      <w:marRight w:val="0"/>
      <w:marTop w:val="0"/>
      <w:marBottom w:val="0"/>
      <w:divBdr>
        <w:top w:val="none" w:sz="0" w:space="0" w:color="auto"/>
        <w:left w:val="none" w:sz="0" w:space="0" w:color="auto"/>
        <w:bottom w:val="none" w:sz="0" w:space="0" w:color="auto"/>
        <w:right w:val="none" w:sz="0" w:space="0" w:color="auto"/>
      </w:divBdr>
    </w:div>
    <w:div w:id="1109154816">
      <w:bodyDiv w:val="1"/>
      <w:marLeft w:val="0"/>
      <w:marRight w:val="0"/>
      <w:marTop w:val="0"/>
      <w:marBottom w:val="0"/>
      <w:divBdr>
        <w:top w:val="none" w:sz="0" w:space="0" w:color="auto"/>
        <w:left w:val="none" w:sz="0" w:space="0" w:color="auto"/>
        <w:bottom w:val="none" w:sz="0" w:space="0" w:color="auto"/>
        <w:right w:val="none" w:sz="0" w:space="0" w:color="auto"/>
      </w:divBdr>
    </w:div>
    <w:div w:id="1109857805">
      <w:bodyDiv w:val="1"/>
      <w:marLeft w:val="0"/>
      <w:marRight w:val="0"/>
      <w:marTop w:val="0"/>
      <w:marBottom w:val="0"/>
      <w:divBdr>
        <w:top w:val="none" w:sz="0" w:space="0" w:color="auto"/>
        <w:left w:val="none" w:sz="0" w:space="0" w:color="auto"/>
        <w:bottom w:val="none" w:sz="0" w:space="0" w:color="auto"/>
        <w:right w:val="none" w:sz="0" w:space="0" w:color="auto"/>
      </w:divBdr>
    </w:div>
    <w:div w:id="1109929700">
      <w:bodyDiv w:val="1"/>
      <w:marLeft w:val="0"/>
      <w:marRight w:val="0"/>
      <w:marTop w:val="0"/>
      <w:marBottom w:val="0"/>
      <w:divBdr>
        <w:top w:val="none" w:sz="0" w:space="0" w:color="auto"/>
        <w:left w:val="none" w:sz="0" w:space="0" w:color="auto"/>
        <w:bottom w:val="none" w:sz="0" w:space="0" w:color="auto"/>
        <w:right w:val="none" w:sz="0" w:space="0" w:color="auto"/>
      </w:divBdr>
    </w:div>
    <w:div w:id="1110583294">
      <w:bodyDiv w:val="1"/>
      <w:marLeft w:val="0"/>
      <w:marRight w:val="0"/>
      <w:marTop w:val="0"/>
      <w:marBottom w:val="0"/>
      <w:divBdr>
        <w:top w:val="none" w:sz="0" w:space="0" w:color="auto"/>
        <w:left w:val="none" w:sz="0" w:space="0" w:color="auto"/>
        <w:bottom w:val="none" w:sz="0" w:space="0" w:color="auto"/>
        <w:right w:val="none" w:sz="0" w:space="0" w:color="auto"/>
      </w:divBdr>
    </w:div>
    <w:div w:id="1110668202">
      <w:bodyDiv w:val="1"/>
      <w:marLeft w:val="0"/>
      <w:marRight w:val="0"/>
      <w:marTop w:val="0"/>
      <w:marBottom w:val="0"/>
      <w:divBdr>
        <w:top w:val="none" w:sz="0" w:space="0" w:color="auto"/>
        <w:left w:val="none" w:sz="0" w:space="0" w:color="auto"/>
        <w:bottom w:val="none" w:sz="0" w:space="0" w:color="auto"/>
        <w:right w:val="none" w:sz="0" w:space="0" w:color="auto"/>
      </w:divBdr>
    </w:div>
    <w:div w:id="1111048362">
      <w:bodyDiv w:val="1"/>
      <w:marLeft w:val="0"/>
      <w:marRight w:val="0"/>
      <w:marTop w:val="0"/>
      <w:marBottom w:val="0"/>
      <w:divBdr>
        <w:top w:val="none" w:sz="0" w:space="0" w:color="auto"/>
        <w:left w:val="none" w:sz="0" w:space="0" w:color="auto"/>
        <w:bottom w:val="none" w:sz="0" w:space="0" w:color="auto"/>
        <w:right w:val="none" w:sz="0" w:space="0" w:color="auto"/>
      </w:divBdr>
    </w:div>
    <w:div w:id="1111826190">
      <w:bodyDiv w:val="1"/>
      <w:marLeft w:val="0"/>
      <w:marRight w:val="0"/>
      <w:marTop w:val="0"/>
      <w:marBottom w:val="0"/>
      <w:divBdr>
        <w:top w:val="none" w:sz="0" w:space="0" w:color="auto"/>
        <w:left w:val="none" w:sz="0" w:space="0" w:color="auto"/>
        <w:bottom w:val="none" w:sz="0" w:space="0" w:color="auto"/>
        <w:right w:val="none" w:sz="0" w:space="0" w:color="auto"/>
      </w:divBdr>
    </w:div>
    <w:div w:id="1113133975">
      <w:bodyDiv w:val="1"/>
      <w:marLeft w:val="0"/>
      <w:marRight w:val="0"/>
      <w:marTop w:val="0"/>
      <w:marBottom w:val="0"/>
      <w:divBdr>
        <w:top w:val="none" w:sz="0" w:space="0" w:color="auto"/>
        <w:left w:val="none" w:sz="0" w:space="0" w:color="auto"/>
        <w:bottom w:val="none" w:sz="0" w:space="0" w:color="auto"/>
        <w:right w:val="none" w:sz="0" w:space="0" w:color="auto"/>
      </w:divBdr>
    </w:div>
    <w:div w:id="1113206830">
      <w:bodyDiv w:val="1"/>
      <w:marLeft w:val="0"/>
      <w:marRight w:val="0"/>
      <w:marTop w:val="0"/>
      <w:marBottom w:val="0"/>
      <w:divBdr>
        <w:top w:val="none" w:sz="0" w:space="0" w:color="auto"/>
        <w:left w:val="none" w:sz="0" w:space="0" w:color="auto"/>
        <w:bottom w:val="none" w:sz="0" w:space="0" w:color="auto"/>
        <w:right w:val="none" w:sz="0" w:space="0" w:color="auto"/>
      </w:divBdr>
    </w:div>
    <w:div w:id="1113280188">
      <w:bodyDiv w:val="1"/>
      <w:marLeft w:val="0"/>
      <w:marRight w:val="0"/>
      <w:marTop w:val="0"/>
      <w:marBottom w:val="0"/>
      <w:divBdr>
        <w:top w:val="none" w:sz="0" w:space="0" w:color="auto"/>
        <w:left w:val="none" w:sz="0" w:space="0" w:color="auto"/>
        <w:bottom w:val="none" w:sz="0" w:space="0" w:color="auto"/>
        <w:right w:val="none" w:sz="0" w:space="0" w:color="auto"/>
      </w:divBdr>
    </w:div>
    <w:div w:id="1114399923">
      <w:bodyDiv w:val="1"/>
      <w:marLeft w:val="0"/>
      <w:marRight w:val="0"/>
      <w:marTop w:val="0"/>
      <w:marBottom w:val="0"/>
      <w:divBdr>
        <w:top w:val="none" w:sz="0" w:space="0" w:color="auto"/>
        <w:left w:val="none" w:sz="0" w:space="0" w:color="auto"/>
        <w:bottom w:val="none" w:sz="0" w:space="0" w:color="auto"/>
        <w:right w:val="none" w:sz="0" w:space="0" w:color="auto"/>
      </w:divBdr>
    </w:div>
    <w:div w:id="1114668121">
      <w:bodyDiv w:val="1"/>
      <w:marLeft w:val="0"/>
      <w:marRight w:val="0"/>
      <w:marTop w:val="0"/>
      <w:marBottom w:val="0"/>
      <w:divBdr>
        <w:top w:val="none" w:sz="0" w:space="0" w:color="auto"/>
        <w:left w:val="none" w:sz="0" w:space="0" w:color="auto"/>
        <w:bottom w:val="none" w:sz="0" w:space="0" w:color="auto"/>
        <w:right w:val="none" w:sz="0" w:space="0" w:color="auto"/>
      </w:divBdr>
    </w:div>
    <w:div w:id="1115095859">
      <w:bodyDiv w:val="1"/>
      <w:marLeft w:val="0"/>
      <w:marRight w:val="0"/>
      <w:marTop w:val="0"/>
      <w:marBottom w:val="0"/>
      <w:divBdr>
        <w:top w:val="none" w:sz="0" w:space="0" w:color="auto"/>
        <w:left w:val="none" w:sz="0" w:space="0" w:color="auto"/>
        <w:bottom w:val="none" w:sz="0" w:space="0" w:color="auto"/>
        <w:right w:val="none" w:sz="0" w:space="0" w:color="auto"/>
      </w:divBdr>
    </w:div>
    <w:div w:id="1115252808">
      <w:bodyDiv w:val="1"/>
      <w:marLeft w:val="0"/>
      <w:marRight w:val="0"/>
      <w:marTop w:val="0"/>
      <w:marBottom w:val="0"/>
      <w:divBdr>
        <w:top w:val="none" w:sz="0" w:space="0" w:color="auto"/>
        <w:left w:val="none" w:sz="0" w:space="0" w:color="auto"/>
        <w:bottom w:val="none" w:sz="0" w:space="0" w:color="auto"/>
        <w:right w:val="none" w:sz="0" w:space="0" w:color="auto"/>
      </w:divBdr>
    </w:div>
    <w:div w:id="1115323614">
      <w:bodyDiv w:val="1"/>
      <w:marLeft w:val="0"/>
      <w:marRight w:val="0"/>
      <w:marTop w:val="0"/>
      <w:marBottom w:val="0"/>
      <w:divBdr>
        <w:top w:val="none" w:sz="0" w:space="0" w:color="auto"/>
        <w:left w:val="none" w:sz="0" w:space="0" w:color="auto"/>
        <w:bottom w:val="none" w:sz="0" w:space="0" w:color="auto"/>
        <w:right w:val="none" w:sz="0" w:space="0" w:color="auto"/>
      </w:divBdr>
    </w:div>
    <w:div w:id="1115978306">
      <w:bodyDiv w:val="1"/>
      <w:marLeft w:val="0"/>
      <w:marRight w:val="0"/>
      <w:marTop w:val="0"/>
      <w:marBottom w:val="0"/>
      <w:divBdr>
        <w:top w:val="none" w:sz="0" w:space="0" w:color="auto"/>
        <w:left w:val="none" w:sz="0" w:space="0" w:color="auto"/>
        <w:bottom w:val="none" w:sz="0" w:space="0" w:color="auto"/>
        <w:right w:val="none" w:sz="0" w:space="0" w:color="auto"/>
      </w:divBdr>
    </w:div>
    <w:div w:id="1116370118">
      <w:bodyDiv w:val="1"/>
      <w:marLeft w:val="0"/>
      <w:marRight w:val="0"/>
      <w:marTop w:val="0"/>
      <w:marBottom w:val="0"/>
      <w:divBdr>
        <w:top w:val="none" w:sz="0" w:space="0" w:color="auto"/>
        <w:left w:val="none" w:sz="0" w:space="0" w:color="auto"/>
        <w:bottom w:val="none" w:sz="0" w:space="0" w:color="auto"/>
        <w:right w:val="none" w:sz="0" w:space="0" w:color="auto"/>
      </w:divBdr>
    </w:div>
    <w:div w:id="1116757451">
      <w:bodyDiv w:val="1"/>
      <w:marLeft w:val="0"/>
      <w:marRight w:val="0"/>
      <w:marTop w:val="0"/>
      <w:marBottom w:val="0"/>
      <w:divBdr>
        <w:top w:val="none" w:sz="0" w:space="0" w:color="auto"/>
        <w:left w:val="none" w:sz="0" w:space="0" w:color="auto"/>
        <w:bottom w:val="none" w:sz="0" w:space="0" w:color="auto"/>
        <w:right w:val="none" w:sz="0" w:space="0" w:color="auto"/>
      </w:divBdr>
    </w:div>
    <w:div w:id="1116948733">
      <w:bodyDiv w:val="1"/>
      <w:marLeft w:val="0"/>
      <w:marRight w:val="0"/>
      <w:marTop w:val="0"/>
      <w:marBottom w:val="0"/>
      <w:divBdr>
        <w:top w:val="none" w:sz="0" w:space="0" w:color="auto"/>
        <w:left w:val="none" w:sz="0" w:space="0" w:color="auto"/>
        <w:bottom w:val="none" w:sz="0" w:space="0" w:color="auto"/>
        <w:right w:val="none" w:sz="0" w:space="0" w:color="auto"/>
      </w:divBdr>
    </w:div>
    <w:div w:id="1117791963">
      <w:bodyDiv w:val="1"/>
      <w:marLeft w:val="0"/>
      <w:marRight w:val="0"/>
      <w:marTop w:val="0"/>
      <w:marBottom w:val="0"/>
      <w:divBdr>
        <w:top w:val="none" w:sz="0" w:space="0" w:color="auto"/>
        <w:left w:val="none" w:sz="0" w:space="0" w:color="auto"/>
        <w:bottom w:val="none" w:sz="0" w:space="0" w:color="auto"/>
        <w:right w:val="none" w:sz="0" w:space="0" w:color="auto"/>
      </w:divBdr>
    </w:div>
    <w:div w:id="1117874489">
      <w:bodyDiv w:val="1"/>
      <w:marLeft w:val="0"/>
      <w:marRight w:val="0"/>
      <w:marTop w:val="0"/>
      <w:marBottom w:val="0"/>
      <w:divBdr>
        <w:top w:val="none" w:sz="0" w:space="0" w:color="auto"/>
        <w:left w:val="none" w:sz="0" w:space="0" w:color="auto"/>
        <w:bottom w:val="none" w:sz="0" w:space="0" w:color="auto"/>
        <w:right w:val="none" w:sz="0" w:space="0" w:color="auto"/>
      </w:divBdr>
    </w:div>
    <w:div w:id="1118139722">
      <w:bodyDiv w:val="1"/>
      <w:marLeft w:val="0"/>
      <w:marRight w:val="0"/>
      <w:marTop w:val="0"/>
      <w:marBottom w:val="0"/>
      <w:divBdr>
        <w:top w:val="none" w:sz="0" w:space="0" w:color="auto"/>
        <w:left w:val="none" w:sz="0" w:space="0" w:color="auto"/>
        <w:bottom w:val="none" w:sz="0" w:space="0" w:color="auto"/>
        <w:right w:val="none" w:sz="0" w:space="0" w:color="auto"/>
      </w:divBdr>
    </w:div>
    <w:div w:id="1118911858">
      <w:bodyDiv w:val="1"/>
      <w:marLeft w:val="0"/>
      <w:marRight w:val="0"/>
      <w:marTop w:val="0"/>
      <w:marBottom w:val="0"/>
      <w:divBdr>
        <w:top w:val="none" w:sz="0" w:space="0" w:color="auto"/>
        <w:left w:val="none" w:sz="0" w:space="0" w:color="auto"/>
        <w:bottom w:val="none" w:sz="0" w:space="0" w:color="auto"/>
        <w:right w:val="none" w:sz="0" w:space="0" w:color="auto"/>
      </w:divBdr>
    </w:div>
    <w:div w:id="1119301136">
      <w:bodyDiv w:val="1"/>
      <w:marLeft w:val="0"/>
      <w:marRight w:val="0"/>
      <w:marTop w:val="0"/>
      <w:marBottom w:val="0"/>
      <w:divBdr>
        <w:top w:val="none" w:sz="0" w:space="0" w:color="auto"/>
        <w:left w:val="none" w:sz="0" w:space="0" w:color="auto"/>
        <w:bottom w:val="none" w:sz="0" w:space="0" w:color="auto"/>
        <w:right w:val="none" w:sz="0" w:space="0" w:color="auto"/>
      </w:divBdr>
    </w:div>
    <w:div w:id="1119883727">
      <w:bodyDiv w:val="1"/>
      <w:marLeft w:val="0"/>
      <w:marRight w:val="0"/>
      <w:marTop w:val="0"/>
      <w:marBottom w:val="0"/>
      <w:divBdr>
        <w:top w:val="none" w:sz="0" w:space="0" w:color="auto"/>
        <w:left w:val="none" w:sz="0" w:space="0" w:color="auto"/>
        <w:bottom w:val="none" w:sz="0" w:space="0" w:color="auto"/>
        <w:right w:val="none" w:sz="0" w:space="0" w:color="auto"/>
      </w:divBdr>
    </w:div>
    <w:div w:id="1120800220">
      <w:bodyDiv w:val="1"/>
      <w:marLeft w:val="0"/>
      <w:marRight w:val="0"/>
      <w:marTop w:val="0"/>
      <w:marBottom w:val="0"/>
      <w:divBdr>
        <w:top w:val="none" w:sz="0" w:space="0" w:color="auto"/>
        <w:left w:val="none" w:sz="0" w:space="0" w:color="auto"/>
        <w:bottom w:val="none" w:sz="0" w:space="0" w:color="auto"/>
        <w:right w:val="none" w:sz="0" w:space="0" w:color="auto"/>
      </w:divBdr>
    </w:div>
    <w:div w:id="1121001606">
      <w:bodyDiv w:val="1"/>
      <w:marLeft w:val="0"/>
      <w:marRight w:val="0"/>
      <w:marTop w:val="0"/>
      <w:marBottom w:val="0"/>
      <w:divBdr>
        <w:top w:val="none" w:sz="0" w:space="0" w:color="auto"/>
        <w:left w:val="none" w:sz="0" w:space="0" w:color="auto"/>
        <w:bottom w:val="none" w:sz="0" w:space="0" w:color="auto"/>
        <w:right w:val="none" w:sz="0" w:space="0" w:color="auto"/>
      </w:divBdr>
    </w:div>
    <w:div w:id="1121462916">
      <w:bodyDiv w:val="1"/>
      <w:marLeft w:val="0"/>
      <w:marRight w:val="0"/>
      <w:marTop w:val="0"/>
      <w:marBottom w:val="0"/>
      <w:divBdr>
        <w:top w:val="none" w:sz="0" w:space="0" w:color="auto"/>
        <w:left w:val="none" w:sz="0" w:space="0" w:color="auto"/>
        <w:bottom w:val="none" w:sz="0" w:space="0" w:color="auto"/>
        <w:right w:val="none" w:sz="0" w:space="0" w:color="auto"/>
      </w:divBdr>
    </w:div>
    <w:div w:id="1121849699">
      <w:bodyDiv w:val="1"/>
      <w:marLeft w:val="0"/>
      <w:marRight w:val="0"/>
      <w:marTop w:val="0"/>
      <w:marBottom w:val="0"/>
      <w:divBdr>
        <w:top w:val="none" w:sz="0" w:space="0" w:color="auto"/>
        <w:left w:val="none" w:sz="0" w:space="0" w:color="auto"/>
        <w:bottom w:val="none" w:sz="0" w:space="0" w:color="auto"/>
        <w:right w:val="none" w:sz="0" w:space="0" w:color="auto"/>
      </w:divBdr>
    </w:div>
    <w:div w:id="1122460273">
      <w:bodyDiv w:val="1"/>
      <w:marLeft w:val="0"/>
      <w:marRight w:val="0"/>
      <w:marTop w:val="0"/>
      <w:marBottom w:val="0"/>
      <w:divBdr>
        <w:top w:val="none" w:sz="0" w:space="0" w:color="auto"/>
        <w:left w:val="none" w:sz="0" w:space="0" w:color="auto"/>
        <w:bottom w:val="none" w:sz="0" w:space="0" w:color="auto"/>
        <w:right w:val="none" w:sz="0" w:space="0" w:color="auto"/>
      </w:divBdr>
    </w:div>
    <w:div w:id="1122504398">
      <w:bodyDiv w:val="1"/>
      <w:marLeft w:val="0"/>
      <w:marRight w:val="0"/>
      <w:marTop w:val="0"/>
      <w:marBottom w:val="0"/>
      <w:divBdr>
        <w:top w:val="none" w:sz="0" w:space="0" w:color="auto"/>
        <w:left w:val="none" w:sz="0" w:space="0" w:color="auto"/>
        <w:bottom w:val="none" w:sz="0" w:space="0" w:color="auto"/>
        <w:right w:val="none" w:sz="0" w:space="0" w:color="auto"/>
      </w:divBdr>
    </w:div>
    <w:div w:id="1125079758">
      <w:bodyDiv w:val="1"/>
      <w:marLeft w:val="0"/>
      <w:marRight w:val="0"/>
      <w:marTop w:val="0"/>
      <w:marBottom w:val="0"/>
      <w:divBdr>
        <w:top w:val="none" w:sz="0" w:space="0" w:color="auto"/>
        <w:left w:val="none" w:sz="0" w:space="0" w:color="auto"/>
        <w:bottom w:val="none" w:sz="0" w:space="0" w:color="auto"/>
        <w:right w:val="none" w:sz="0" w:space="0" w:color="auto"/>
      </w:divBdr>
    </w:div>
    <w:div w:id="1125539229">
      <w:bodyDiv w:val="1"/>
      <w:marLeft w:val="0"/>
      <w:marRight w:val="0"/>
      <w:marTop w:val="0"/>
      <w:marBottom w:val="0"/>
      <w:divBdr>
        <w:top w:val="none" w:sz="0" w:space="0" w:color="auto"/>
        <w:left w:val="none" w:sz="0" w:space="0" w:color="auto"/>
        <w:bottom w:val="none" w:sz="0" w:space="0" w:color="auto"/>
        <w:right w:val="none" w:sz="0" w:space="0" w:color="auto"/>
      </w:divBdr>
    </w:div>
    <w:div w:id="1125809623">
      <w:bodyDiv w:val="1"/>
      <w:marLeft w:val="0"/>
      <w:marRight w:val="0"/>
      <w:marTop w:val="0"/>
      <w:marBottom w:val="0"/>
      <w:divBdr>
        <w:top w:val="none" w:sz="0" w:space="0" w:color="auto"/>
        <w:left w:val="none" w:sz="0" w:space="0" w:color="auto"/>
        <w:bottom w:val="none" w:sz="0" w:space="0" w:color="auto"/>
        <w:right w:val="none" w:sz="0" w:space="0" w:color="auto"/>
      </w:divBdr>
    </w:div>
    <w:div w:id="1126658010">
      <w:bodyDiv w:val="1"/>
      <w:marLeft w:val="0"/>
      <w:marRight w:val="0"/>
      <w:marTop w:val="0"/>
      <w:marBottom w:val="0"/>
      <w:divBdr>
        <w:top w:val="none" w:sz="0" w:space="0" w:color="auto"/>
        <w:left w:val="none" w:sz="0" w:space="0" w:color="auto"/>
        <w:bottom w:val="none" w:sz="0" w:space="0" w:color="auto"/>
        <w:right w:val="none" w:sz="0" w:space="0" w:color="auto"/>
      </w:divBdr>
    </w:div>
    <w:div w:id="1128470426">
      <w:bodyDiv w:val="1"/>
      <w:marLeft w:val="0"/>
      <w:marRight w:val="0"/>
      <w:marTop w:val="0"/>
      <w:marBottom w:val="0"/>
      <w:divBdr>
        <w:top w:val="none" w:sz="0" w:space="0" w:color="auto"/>
        <w:left w:val="none" w:sz="0" w:space="0" w:color="auto"/>
        <w:bottom w:val="none" w:sz="0" w:space="0" w:color="auto"/>
        <w:right w:val="none" w:sz="0" w:space="0" w:color="auto"/>
      </w:divBdr>
    </w:div>
    <w:div w:id="1130054441">
      <w:bodyDiv w:val="1"/>
      <w:marLeft w:val="0"/>
      <w:marRight w:val="0"/>
      <w:marTop w:val="0"/>
      <w:marBottom w:val="0"/>
      <w:divBdr>
        <w:top w:val="none" w:sz="0" w:space="0" w:color="auto"/>
        <w:left w:val="none" w:sz="0" w:space="0" w:color="auto"/>
        <w:bottom w:val="none" w:sz="0" w:space="0" w:color="auto"/>
        <w:right w:val="none" w:sz="0" w:space="0" w:color="auto"/>
      </w:divBdr>
    </w:div>
    <w:div w:id="1130055701">
      <w:bodyDiv w:val="1"/>
      <w:marLeft w:val="0"/>
      <w:marRight w:val="0"/>
      <w:marTop w:val="0"/>
      <w:marBottom w:val="0"/>
      <w:divBdr>
        <w:top w:val="none" w:sz="0" w:space="0" w:color="auto"/>
        <w:left w:val="none" w:sz="0" w:space="0" w:color="auto"/>
        <w:bottom w:val="none" w:sz="0" w:space="0" w:color="auto"/>
        <w:right w:val="none" w:sz="0" w:space="0" w:color="auto"/>
      </w:divBdr>
    </w:div>
    <w:div w:id="1130515434">
      <w:bodyDiv w:val="1"/>
      <w:marLeft w:val="0"/>
      <w:marRight w:val="0"/>
      <w:marTop w:val="0"/>
      <w:marBottom w:val="0"/>
      <w:divBdr>
        <w:top w:val="none" w:sz="0" w:space="0" w:color="auto"/>
        <w:left w:val="none" w:sz="0" w:space="0" w:color="auto"/>
        <w:bottom w:val="none" w:sz="0" w:space="0" w:color="auto"/>
        <w:right w:val="none" w:sz="0" w:space="0" w:color="auto"/>
      </w:divBdr>
    </w:div>
    <w:div w:id="1131168595">
      <w:bodyDiv w:val="1"/>
      <w:marLeft w:val="0"/>
      <w:marRight w:val="0"/>
      <w:marTop w:val="0"/>
      <w:marBottom w:val="0"/>
      <w:divBdr>
        <w:top w:val="none" w:sz="0" w:space="0" w:color="auto"/>
        <w:left w:val="none" w:sz="0" w:space="0" w:color="auto"/>
        <w:bottom w:val="none" w:sz="0" w:space="0" w:color="auto"/>
        <w:right w:val="none" w:sz="0" w:space="0" w:color="auto"/>
      </w:divBdr>
    </w:div>
    <w:div w:id="1131173712">
      <w:bodyDiv w:val="1"/>
      <w:marLeft w:val="0"/>
      <w:marRight w:val="0"/>
      <w:marTop w:val="0"/>
      <w:marBottom w:val="0"/>
      <w:divBdr>
        <w:top w:val="none" w:sz="0" w:space="0" w:color="auto"/>
        <w:left w:val="none" w:sz="0" w:space="0" w:color="auto"/>
        <w:bottom w:val="none" w:sz="0" w:space="0" w:color="auto"/>
        <w:right w:val="none" w:sz="0" w:space="0" w:color="auto"/>
      </w:divBdr>
    </w:div>
    <w:div w:id="1131241166">
      <w:bodyDiv w:val="1"/>
      <w:marLeft w:val="0"/>
      <w:marRight w:val="0"/>
      <w:marTop w:val="0"/>
      <w:marBottom w:val="0"/>
      <w:divBdr>
        <w:top w:val="none" w:sz="0" w:space="0" w:color="auto"/>
        <w:left w:val="none" w:sz="0" w:space="0" w:color="auto"/>
        <w:bottom w:val="none" w:sz="0" w:space="0" w:color="auto"/>
        <w:right w:val="none" w:sz="0" w:space="0" w:color="auto"/>
      </w:divBdr>
    </w:div>
    <w:div w:id="1132023005">
      <w:bodyDiv w:val="1"/>
      <w:marLeft w:val="0"/>
      <w:marRight w:val="0"/>
      <w:marTop w:val="0"/>
      <w:marBottom w:val="0"/>
      <w:divBdr>
        <w:top w:val="none" w:sz="0" w:space="0" w:color="auto"/>
        <w:left w:val="none" w:sz="0" w:space="0" w:color="auto"/>
        <w:bottom w:val="none" w:sz="0" w:space="0" w:color="auto"/>
        <w:right w:val="none" w:sz="0" w:space="0" w:color="auto"/>
      </w:divBdr>
    </w:div>
    <w:div w:id="1132557712">
      <w:bodyDiv w:val="1"/>
      <w:marLeft w:val="0"/>
      <w:marRight w:val="0"/>
      <w:marTop w:val="0"/>
      <w:marBottom w:val="0"/>
      <w:divBdr>
        <w:top w:val="none" w:sz="0" w:space="0" w:color="auto"/>
        <w:left w:val="none" w:sz="0" w:space="0" w:color="auto"/>
        <w:bottom w:val="none" w:sz="0" w:space="0" w:color="auto"/>
        <w:right w:val="none" w:sz="0" w:space="0" w:color="auto"/>
      </w:divBdr>
    </w:div>
    <w:div w:id="1132595416">
      <w:bodyDiv w:val="1"/>
      <w:marLeft w:val="0"/>
      <w:marRight w:val="0"/>
      <w:marTop w:val="0"/>
      <w:marBottom w:val="0"/>
      <w:divBdr>
        <w:top w:val="none" w:sz="0" w:space="0" w:color="auto"/>
        <w:left w:val="none" w:sz="0" w:space="0" w:color="auto"/>
        <w:bottom w:val="none" w:sz="0" w:space="0" w:color="auto"/>
        <w:right w:val="none" w:sz="0" w:space="0" w:color="auto"/>
      </w:divBdr>
    </w:div>
    <w:div w:id="1132678358">
      <w:bodyDiv w:val="1"/>
      <w:marLeft w:val="0"/>
      <w:marRight w:val="0"/>
      <w:marTop w:val="0"/>
      <w:marBottom w:val="0"/>
      <w:divBdr>
        <w:top w:val="none" w:sz="0" w:space="0" w:color="auto"/>
        <w:left w:val="none" w:sz="0" w:space="0" w:color="auto"/>
        <w:bottom w:val="none" w:sz="0" w:space="0" w:color="auto"/>
        <w:right w:val="none" w:sz="0" w:space="0" w:color="auto"/>
      </w:divBdr>
    </w:div>
    <w:div w:id="1132946744">
      <w:bodyDiv w:val="1"/>
      <w:marLeft w:val="0"/>
      <w:marRight w:val="0"/>
      <w:marTop w:val="0"/>
      <w:marBottom w:val="0"/>
      <w:divBdr>
        <w:top w:val="none" w:sz="0" w:space="0" w:color="auto"/>
        <w:left w:val="none" w:sz="0" w:space="0" w:color="auto"/>
        <w:bottom w:val="none" w:sz="0" w:space="0" w:color="auto"/>
        <w:right w:val="none" w:sz="0" w:space="0" w:color="auto"/>
      </w:divBdr>
    </w:div>
    <w:div w:id="1133018356">
      <w:bodyDiv w:val="1"/>
      <w:marLeft w:val="0"/>
      <w:marRight w:val="0"/>
      <w:marTop w:val="0"/>
      <w:marBottom w:val="0"/>
      <w:divBdr>
        <w:top w:val="none" w:sz="0" w:space="0" w:color="auto"/>
        <w:left w:val="none" w:sz="0" w:space="0" w:color="auto"/>
        <w:bottom w:val="none" w:sz="0" w:space="0" w:color="auto"/>
        <w:right w:val="none" w:sz="0" w:space="0" w:color="auto"/>
      </w:divBdr>
    </w:div>
    <w:div w:id="1133061043">
      <w:bodyDiv w:val="1"/>
      <w:marLeft w:val="0"/>
      <w:marRight w:val="0"/>
      <w:marTop w:val="0"/>
      <w:marBottom w:val="0"/>
      <w:divBdr>
        <w:top w:val="none" w:sz="0" w:space="0" w:color="auto"/>
        <w:left w:val="none" w:sz="0" w:space="0" w:color="auto"/>
        <w:bottom w:val="none" w:sz="0" w:space="0" w:color="auto"/>
        <w:right w:val="none" w:sz="0" w:space="0" w:color="auto"/>
      </w:divBdr>
    </w:div>
    <w:div w:id="1133401225">
      <w:bodyDiv w:val="1"/>
      <w:marLeft w:val="0"/>
      <w:marRight w:val="0"/>
      <w:marTop w:val="0"/>
      <w:marBottom w:val="0"/>
      <w:divBdr>
        <w:top w:val="none" w:sz="0" w:space="0" w:color="auto"/>
        <w:left w:val="none" w:sz="0" w:space="0" w:color="auto"/>
        <w:bottom w:val="none" w:sz="0" w:space="0" w:color="auto"/>
        <w:right w:val="none" w:sz="0" w:space="0" w:color="auto"/>
      </w:divBdr>
    </w:div>
    <w:div w:id="1134525110">
      <w:bodyDiv w:val="1"/>
      <w:marLeft w:val="0"/>
      <w:marRight w:val="0"/>
      <w:marTop w:val="0"/>
      <w:marBottom w:val="0"/>
      <w:divBdr>
        <w:top w:val="none" w:sz="0" w:space="0" w:color="auto"/>
        <w:left w:val="none" w:sz="0" w:space="0" w:color="auto"/>
        <w:bottom w:val="none" w:sz="0" w:space="0" w:color="auto"/>
        <w:right w:val="none" w:sz="0" w:space="0" w:color="auto"/>
      </w:divBdr>
    </w:div>
    <w:div w:id="1134905451">
      <w:bodyDiv w:val="1"/>
      <w:marLeft w:val="0"/>
      <w:marRight w:val="0"/>
      <w:marTop w:val="0"/>
      <w:marBottom w:val="0"/>
      <w:divBdr>
        <w:top w:val="none" w:sz="0" w:space="0" w:color="auto"/>
        <w:left w:val="none" w:sz="0" w:space="0" w:color="auto"/>
        <w:bottom w:val="none" w:sz="0" w:space="0" w:color="auto"/>
        <w:right w:val="none" w:sz="0" w:space="0" w:color="auto"/>
      </w:divBdr>
    </w:div>
    <w:div w:id="1134979838">
      <w:bodyDiv w:val="1"/>
      <w:marLeft w:val="0"/>
      <w:marRight w:val="0"/>
      <w:marTop w:val="0"/>
      <w:marBottom w:val="0"/>
      <w:divBdr>
        <w:top w:val="none" w:sz="0" w:space="0" w:color="auto"/>
        <w:left w:val="none" w:sz="0" w:space="0" w:color="auto"/>
        <w:bottom w:val="none" w:sz="0" w:space="0" w:color="auto"/>
        <w:right w:val="none" w:sz="0" w:space="0" w:color="auto"/>
      </w:divBdr>
    </w:div>
    <w:div w:id="1135178699">
      <w:bodyDiv w:val="1"/>
      <w:marLeft w:val="0"/>
      <w:marRight w:val="0"/>
      <w:marTop w:val="0"/>
      <w:marBottom w:val="0"/>
      <w:divBdr>
        <w:top w:val="none" w:sz="0" w:space="0" w:color="auto"/>
        <w:left w:val="none" w:sz="0" w:space="0" w:color="auto"/>
        <w:bottom w:val="none" w:sz="0" w:space="0" w:color="auto"/>
        <w:right w:val="none" w:sz="0" w:space="0" w:color="auto"/>
      </w:divBdr>
    </w:div>
    <w:div w:id="1135294349">
      <w:bodyDiv w:val="1"/>
      <w:marLeft w:val="0"/>
      <w:marRight w:val="0"/>
      <w:marTop w:val="0"/>
      <w:marBottom w:val="0"/>
      <w:divBdr>
        <w:top w:val="none" w:sz="0" w:space="0" w:color="auto"/>
        <w:left w:val="none" w:sz="0" w:space="0" w:color="auto"/>
        <w:bottom w:val="none" w:sz="0" w:space="0" w:color="auto"/>
        <w:right w:val="none" w:sz="0" w:space="0" w:color="auto"/>
      </w:divBdr>
    </w:div>
    <w:div w:id="1136753068">
      <w:bodyDiv w:val="1"/>
      <w:marLeft w:val="0"/>
      <w:marRight w:val="0"/>
      <w:marTop w:val="0"/>
      <w:marBottom w:val="0"/>
      <w:divBdr>
        <w:top w:val="none" w:sz="0" w:space="0" w:color="auto"/>
        <w:left w:val="none" w:sz="0" w:space="0" w:color="auto"/>
        <w:bottom w:val="none" w:sz="0" w:space="0" w:color="auto"/>
        <w:right w:val="none" w:sz="0" w:space="0" w:color="auto"/>
      </w:divBdr>
    </w:div>
    <w:div w:id="1136950262">
      <w:bodyDiv w:val="1"/>
      <w:marLeft w:val="0"/>
      <w:marRight w:val="0"/>
      <w:marTop w:val="0"/>
      <w:marBottom w:val="0"/>
      <w:divBdr>
        <w:top w:val="none" w:sz="0" w:space="0" w:color="auto"/>
        <w:left w:val="none" w:sz="0" w:space="0" w:color="auto"/>
        <w:bottom w:val="none" w:sz="0" w:space="0" w:color="auto"/>
        <w:right w:val="none" w:sz="0" w:space="0" w:color="auto"/>
      </w:divBdr>
    </w:div>
    <w:div w:id="1137332459">
      <w:bodyDiv w:val="1"/>
      <w:marLeft w:val="0"/>
      <w:marRight w:val="0"/>
      <w:marTop w:val="0"/>
      <w:marBottom w:val="0"/>
      <w:divBdr>
        <w:top w:val="none" w:sz="0" w:space="0" w:color="auto"/>
        <w:left w:val="none" w:sz="0" w:space="0" w:color="auto"/>
        <w:bottom w:val="none" w:sz="0" w:space="0" w:color="auto"/>
        <w:right w:val="none" w:sz="0" w:space="0" w:color="auto"/>
      </w:divBdr>
    </w:div>
    <w:div w:id="1140611825">
      <w:bodyDiv w:val="1"/>
      <w:marLeft w:val="0"/>
      <w:marRight w:val="0"/>
      <w:marTop w:val="0"/>
      <w:marBottom w:val="0"/>
      <w:divBdr>
        <w:top w:val="none" w:sz="0" w:space="0" w:color="auto"/>
        <w:left w:val="none" w:sz="0" w:space="0" w:color="auto"/>
        <w:bottom w:val="none" w:sz="0" w:space="0" w:color="auto"/>
        <w:right w:val="none" w:sz="0" w:space="0" w:color="auto"/>
      </w:divBdr>
    </w:div>
    <w:div w:id="1142622009">
      <w:bodyDiv w:val="1"/>
      <w:marLeft w:val="0"/>
      <w:marRight w:val="0"/>
      <w:marTop w:val="0"/>
      <w:marBottom w:val="0"/>
      <w:divBdr>
        <w:top w:val="none" w:sz="0" w:space="0" w:color="auto"/>
        <w:left w:val="none" w:sz="0" w:space="0" w:color="auto"/>
        <w:bottom w:val="none" w:sz="0" w:space="0" w:color="auto"/>
        <w:right w:val="none" w:sz="0" w:space="0" w:color="auto"/>
      </w:divBdr>
    </w:div>
    <w:div w:id="1143738023">
      <w:bodyDiv w:val="1"/>
      <w:marLeft w:val="0"/>
      <w:marRight w:val="0"/>
      <w:marTop w:val="0"/>
      <w:marBottom w:val="0"/>
      <w:divBdr>
        <w:top w:val="none" w:sz="0" w:space="0" w:color="auto"/>
        <w:left w:val="none" w:sz="0" w:space="0" w:color="auto"/>
        <w:bottom w:val="none" w:sz="0" w:space="0" w:color="auto"/>
        <w:right w:val="none" w:sz="0" w:space="0" w:color="auto"/>
      </w:divBdr>
    </w:div>
    <w:div w:id="1144274247">
      <w:bodyDiv w:val="1"/>
      <w:marLeft w:val="0"/>
      <w:marRight w:val="0"/>
      <w:marTop w:val="0"/>
      <w:marBottom w:val="0"/>
      <w:divBdr>
        <w:top w:val="none" w:sz="0" w:space="0" w:color="auto"/>
        <w:left w:val="none" w:sz="0" w:space="0" w:color="auto"/>
        <w:bottom w:val="none" w:sz="0" w:space="0" w:color="auto"/>
        <w:right w:val="none" w:sz="0" w:space="0" w:color="auto"/>
      </w:divBdr>
    </w:div>
    <w:div w:id="1144352602">
      <w:bodyDiv w:val="1"/>
      <w:marLeft w:val="0"/>
      <w:marRight w:val="0"/>
      <w:marTop w:val="0"/>
      <w:marBottom w:val="0"/>
      <w:divBdr>
        <w:top w:val="none" w:sz="0" w:space="0" w:color="auto"/>
        <w:left w:val="none" w:sz="0" w:space="0" w:color="auto"/>
        <w:bottom w:val="none" w:sz="0" w:space="0" w:color="auto"/>
        <w:right w:val="none" w:sz="0" w:space="0" w:color="auto"/>
      </w:divBdr>
    </w:div>
    <w:div w:id="1145312982">
      <w:bodyDiv w:val="1"/>
      <w:marLeft w:val="0"/>
      <w:marRight w:val="0"/>
      <w:marTop w:val="0"/>
      <w:marBottom w:val="0"/>
      <w:divBdr>
        <w:top w:val="none" w:sz="0" w:space="0" w:color="auto"/>
        <w:left w:val="none" w:sz="0" w:space="0" w:color="auto"/>
        <w:bottom w:val="none" w:sz="0" w:space="0" w:color="auto"/>
        <w:right w:val="none" w:sz="0" w:space="0" w:color="auto"/>
      </w:divBdr>
    </w:div>
    <w:div w:id="1145664933">
      <w:bodyDiv w:val="1"/>
      <w:marLeft w:val="0"/>
      <w:marRight w:val="0"/>
      <w:marTop w:val="0"/>
      <w:marBottom w:val="0"/>
      <w:divBdr>
        <w:top w:val="none" w:sz="0" w:space="0" w:color="auto"/>
        <w:left w:val="none" w:sz="0" w:space="0" w:color="auto"/>
        <w:bottom w:val="none" w:sz="0" w:space="0" w:color="auto"/>
        <w:right w:val="none" w:sz="0" w:space="0" w:color="auto"/>
      </w:divBdr>
    </w:div>
    <w:div w:id="1145858066">
      <w:bodyDiv w:val="1"/>
      <w:marLeft w:val="0"/>
      <w:marRight w:val="0"/>
      <w:marTop w:val="0"/>
      <w:marBottom w:val="0"/>
      <w:divBdr>
        <w:top w:val="none" w:sz="0" w:space="0" w:color="auto"/>
        <w:left w:val="none" w:sz="0" w:space="0" w:color="auto"/>
        <w:bottom w:val="none" w:sz="0" w:space="0" w:color="auto"/>
        <w:right w:val="none" w:sz="0" w:space="0" w:color="auto"/>
      </w:divBdr>
    </w:div>
    <w:div w:id="1146165364">
      <w:bodyDiv w:val="1"/>
      <w:marLeft w:val="0"/>
      <w:marRight w:val="0"/>
      <w:marTop w:val="0"/>
      <w:marBottom w:val="0"/>
      <w:divBdr>
        <w:top w:val="none" w:sz="0" w:space="0" w:color="auto"/>
        <w:left w:val="none" w:sz="0" w:space="0" w:color="auto"/>
        <w:bottom w:val="none" w:sz="0" w:space="0" w:color="auto"/>
        <w:right w:val="none" w:sz="0" w:space="0" w:color="auto"/>
      </w:divBdr>
    </w:div>
    <w:div w:id="1146363718">
      <w:bodyDiv w:val="1"/>
      <w:marLeft w:val="0"/>
      <w:marRight w:val="0"/>
      <w:marTop w:val="0"/>
      <w:marBottom w:val="0"/>
      <w:divBdr>
        <w:top w:val="none" w:sz="0" w:space="0" w:color="auto"/>
        <w:left w:val="none" w:sz="0" w:space="0" w:color="auto"/>
        <w:bottom w:val="none" w:sz="0" w:space="0" w:color="auto"/>
        <w:right w:val="none" w:sz="0" w:space="0" w:color="auto"/>
      </w:divBdr>
    </w:div>
    <w:div w:id="1147630495">
      <w:bodyDiv w:val="1"/>
      <w:marLeft w:val="0"/>
      <w:marRight w:val="0"/>
      <w:marTop w:val="0"/>
      <w:marBottom w:val="0"/>
      <w:divBdr>
        <w:top w:val="none" w:sz="0" w:space="0" w:color="auto"/>
        <w:left w:val="none" w:sz="0" w:space="0" w:color="auto"/>
        <w:bottom w:val="none" w:sz="0" w:space="0" w:color="auto"/>
        <w:right w:val="none" w:sz="0" w:space="0" w:color="auto"/>
      </w:divBdr>
    </w:div>
    <w:div w:id="1148549233">
      <w:bodyDiv w:val="1"/>
      <w:marLeft w:val="0"/>
      <w:marRight w:val="0"/>
      <w:marTop w:val="0"/>
      <w:marBottom w:val="0"/>
      <w:divBdr>
        <w:top w:val="none" w:sz="0" w:space="0" w:color="auto"/>
        <w:left w:val="none" w:sz="0" w:space="0" w:color="auto"/>
        <w:bottom w:val="none" w:sz="0" w:space="0" w:color="auto"/>
        <w:right w:val="none" w:sz="0" w:space="0" w:color="auto"/>
      </w:divBdr>
      <w:divsChild>
        <w:div w:id="50465250">
          <w:marLeft w:val="-2400"/>
          <w:marRight w:val="-480"/>
          <w:marTop w:val="0"/>
          <w:marBottom w:val="0"/>
          <w:divBdr>
            <w:top w:val="none" w:sz="0" w:space="0" w:color="auto"/>
            <w:left w:val="none" w:sz="0" w:space="0" w:color="auto"/>
            <w:bottom w:val="none" w:sz="0" w:space="0" w:color="auto"/>
            <w:right w:val="none" w:sz="0" w:space="0" w:color="auto"/>
          </w:divBdr>
        </w:div>
        <w:div w:id="276521795">
          <w:marLeft w:val="-2400"/>
          <w:marRight w:val="-480"/>
          <w:marTop w:val="0"/>
          <w:marBottom w:val="0"/>
          <w:divBdr>
            <w:top w:val="none" w:sz="0" w:space="0" w:color="auto"/>
            <w:left w:val="none" w:sz="0" w:space="0" w:color="auto"/>
            <w:bottom w:val="none" w:sz="0" w:space="0" w:color="auto"/>
            <w:right w:val="none" w:sz="0" w:space="0" w:color="auto"/>
          </w:divBdr>
        </w:div>
        <w:div w:id="392236833">
          <w:marLeft w:val="-2400"/>
          <w:marRight w:val="-480"/>
          <w:marTop w:val="0"/>
          <w:marBottom w:val="0"/>
          <w:divBdr>
            <w:top w:val="none" w:sz="0" w:space="0" w:color="auto"/>
            <w:left w:val="none" w:sz="0" w:space="0" w:color="auto"/>
            <w:bottom w:val="none" w:sz="0" w:space="0" w:color="auto"/>
            <w:right w:val="none" w:sz="0" w:space="0" w:color="auto"/>
          </w:divBdr>
        </w:div>
        <w:div w:id="472408308">
          <w:marLeft w:val="-2400"/>
          <w:marRight w:val="-480"/>
          <w:marTop w:val="0"/>
          <w:marBottom w:val="0"/>
          <w:divBdr>
            <w:top w:val="none" w:sz="0" w:space="0" w:color="auto"/>
            <w:left w:val="none" w:sz="0" w:space="0" w:color="auto"/>
            <w:bottom w:val="none" w:sz="0" w:space="0" w:color="auto"/>
            <w:right w:val="none" w:sz="0" w:space="0" w:color="auto"/>
          </w:divBdr>
        </w:div>
        <w:div w:id="476075465">
          <w:marLeft w:val="-2400"/>
          <w:marRight w:val="-480"/>
          <w:marTop w:val="0"/>
          <w:marBottom w:val="0"/>
          <w:divBdr>
            <w:top w:val="none" w:sz="0" w:space="0" w:color="auto"/>
            <w:left w:val="none" w:sz="0" w:space="0" w:color="auto"/>
            <w:bottom w:val="none" w:sz="0" w:space="0" w:color="auto"/>
            <w:right w:val="none" w:sz="0" w:space="0" w:color="auto"/>
          </w:divBdr>
        </w:div>
        <w:div w:id="631979796">
          <w:marLeft w:val="-2400"/>
          <w:marRight w:val="-480"/>
          <w:marTop w:val="0"/>
          <w:marBottom w:val="0"/>
          <w:divBdr>
            <w:top w:val="none" w:sz="0" w:space="0" w:color="auto"/>
            <w:left w:val="none" w:sz="0" w:space="0" w:color="auto"/>
            <w:bottom w:val="none" w:sz="0" w:space="0" w:color="auto"/>
            <w:right w:val="none" w:sz="0" w:space="0" w:color="auto"/>
          </w:divBdr>
        </w:div>
        <w:div w:id="672075578">
          <w:marLeft w:val="-2400"/>
          <w:marRight w:val="-480"/>
          <w:marTop w:val="0"/>
          <w:marBottom w:val="0"/>
          <w:divBdr>
            <w:top w:val="none" w:sz="0" w:space="0" w:color="auto"/>
            <w:left w:val="none" w:sz="0" w:space="0" w:color="auto"/>
            <w:bottom w:val="none" w:sz="0" w:space="0" w:color="auto"/>
            <w:right w:val="none" w:sz="0" w:space="0" w:color="auto"/>
          </w:divBdr>
        </w:div>
        <w:div w:id="746920355">
          <w:marLeft w:val="-2400"/>
          <w:marRight w:val="-480"/>
          <w:marTop w:val="0"/>
          <w:marBottom w:val="0"/>
          <w:divBdr>
            <w:top w:val="none" w:sz="0" w:space="0" w:color="auto"/>
            <w:left w:val="none" w:sz="0" w:space="0" w:color="auto"/>
            <w:bottom w:val="none" w:sz="0" w:space="0" w:color="auto"/>
            <w:right w:val="none" w:sz="0" w:space="0" w:color="auto"/>
          </w:divBdr>
        </w:div>
        <w:div w:id="769549747">
          <w:marLeft w:val="-2400"/>
          <w:marRight w:val="-480"/>
          <w:marTop w:val="0"/>
          <w:marBottom w:val="0"/>
          <w:divBdr>
            <w:top w:val="none" w:sz="0" w:space="0" w:color="auto"/>
            <w:left w:val="none" w:sz="0" w:space="0" w:color="auto"/>
            <w:bottom w:val="none" w:sz="0" w:space="0" w:color="auto"/>
            <w:right w:val="none" w:sz="0" w:space="0" w:color="auto"/>
          </w:divBdr>
        </w:div>
        <w:div w:id="858080420">
          <w:marLeft w:val="-2400"/>
          <w:marRight w:val="-480"/>
          <w:marTop w:val="0"/>
          <w:marBottom w:val="0"/>
          <w:divBdr>
            <w:top w:val="none" w:sz="0" w:space="0" w:color="auto"/>
            <w:left w:val="none" w:sz="0" w:space="0" w:color="auto"/>
            <w:bottom w:val="none" w:sz="0" w:space="0" w:color="auto"/>
            <w:right w:val="none" w:sz="0" w:space="0" w:color="auto"/>
          </w:divBdr>
        </w:div>
        <w:div w:id="878592830">
          <w:marLeft w:val="-2400"/>
          <w:marRight w:val="-480"/>
          <w:marTop w:val="0"/>
          <w:marBottom w:val="0"/>
          <w:divBdr>
            <w:top w:val="none" w:sz="0" w:space="0" w:color="auto"/>
            <w:left w:val="none" w:sz="0" w:space="0" w:color="auto"/>
            <w:bottom w:val="none" w:sz="0" w:space="0" w:color="auto"/>
            <w:right w:val="none" w:sz="0" w:space="0" w:color="auto"/>
          </w:divBdr>
        </w:div>
        <w:div w:id="1129015314">
          <w:marLeft w:val="-2400"/>
          <w:marRight w:val="-480"/>
          <w:marTop w:val="0"/>
          <w:marBottom w:val="0"/>
          <w:divBdr>
            <w:top w:val="none" w:sz="0" w:space="0" w:color="auto"/>
            <w:left w:val="none" w:sz="0" w:space="0" w:color="auto"/>
            <w:bottom w:val="none" w:sz="0" w:space="0" w:color="auto"/>
            <w:right w:val="none" w:sz="0" w:space="0" w:color="auto"/>
          </w:divBdr>
        </w:div>
        <w:div w:id="1423649317">
          <w:marLeft w:val="-2400"/>
          <w:marRight w:val="-480"/>
          <w:marTop w:val="0"/>
          <w:marBottom w:val="0"/>
          <w:divBdr>
            <w:top w:val="none" w:sz="0" w:space="0" w:color="auto"/>
            <w:left w:val="none" w:sz="0" w:space="0" w:color="auto"/>
            <w:bottom w:val="none" w:sz="0" w:space="0" w:color="auto"/>
            <w:right w:val="none" w:sz="0" w:space="0" w:color="auto"/>
          </w:divBdr>
        </w:div>
        <w:div w:id="1478565773">
          <w:marLeft w:val="-2400"/>
          <w:marRight w:val="-480"/>
          <w:marTop w:val="0"/>
          <w:marBottom w:val="0"/>
          <w:divBdr>
            <w:top w:val="none" w:sz="0" w:space="0" w:color="auto"/>
            <w:left w:val="none" w:sz="0" w:space="0" w:color="auto"/>
            <w:bottom w:val="none" w:sz="0" w:space="0" w:color="auto"/>
            <w:right w:val="none" w:sz="0" w:space="0" w:color="auto"/>
          </w:divBdr>
        </w:div>
        <w:div w:id="1549029627">
          <w:marLeft w:val="-2400"/>
          <w:marRight w:val="-480"/>
          <w:marTop w:val="0"/>
          <w:marBottom w:val="0"/>
          <w:divBdr>
            <w:top w:val="none" w:sz="0" w:space="0" w:color="auto"/>
            <w:left w:val="none" w:sz="0" w:space="0" w:color="auto"/>
            <w:bottom w:val="none" w:sz="0" w:space="0" w:color="auto"/>
            <w:right w:val="none" w:sz="0" w:space="0" w:color="auto"/>
          </w:divBdr>
        </w:div>
        <w:div w:id="1637950254">
          <w:marLeft w:val="-2400"/>
          <w:marRight w:val="-480"/>
          <w:marTop w:val="0"/>
          <w:marBottom w:val="0"/>
          <w:divBdr>
            <w:top w:val="none" w:sz="0" w:space="0" w:color="auto"/>
            <w:left w:val="none" w:sz="0" w:space="0" w:color="auto"/>
            <w:bottom w:val="none" w:sz="0" w:space="0" w:color="auto"/>
            <w:right w:val="none" w:sz="0" w:space="0" w:color="auto"/>
          </w:divBdr>
        </w:div>
        <w:div w:id="1647586506">
          <w:marLeft w:val="-2400"/>
          <w:marRight w:val="-480"/>
          <w:marTop w:val="0"/>
          <w:marBottom w:val="0"/>
          <w:divBdr>
            <w:top w:val="none" w:sz="0" w:space="0" w:color="auto"/>
            <w:left w:val="none" w:sz="0" w:space="0" w:color="auto"/>
            <w:bottom w:val="none" w:sz="0" w:space="0" w:color="auto"/>
            <w:right w:val="none" w:sz="0" w:space="0" w:color="auto"/>
          </w:divBdr>
        </w:div>
        <w:div w:id="1730641794">
          <w:marLeft w:val="-2400"/>
          <w:marRight w:val="-480"/>
          <w:marTop w:val="0"/>
          <w:marBottom w:val="0"/>
          <w:divBdr>
            <w:top w:val="none" w:sz="0" w:space="0" w:color="auto"/>
            <w:left w:val="none" w:sz="0" w:space="0" w:color="auto"/>
            <w:bottom w:val="none" w:sz="0" w:space="0" w:color="auto"/>
            <w:right w:val="none" w:sz="0" w:space="0" w:color="auto"/>
          </w:divBdr>
        </w:div>
      </w:divsChild>
    </w:div>
    <w:div w:id="1149008982">
      <w:bodyDiv w:val="1"/>
      <w:marLeft w:val="0"/>
      <w:marRight w:val="0"/>
      <w:marTop w:val="0"/>
      <w:marBottom w:val="0"/>
      <w:divBdr>
        <w:top w:val="none" w:sz="0" w:space="0" w:color="auto"/>
        <w:left w:val="none" w:sz="0" w:space="0" w:color="auto"/>
        <w:bottom w:val="none" w:sz="0" w:space="0" w:color="auto"/>
        <w:right w:val="none" w:sz="0" w:space="0" w:color="auto"/>
      </w:divBdr>
    </w:div>
    <w:div w:id="1149325077">
      <w:bodyDiv w:val="1"/>
      <w:marLeft w:val="0"/>
      <w:marRight w:val="0"/>
      <w:marTop w:val="0"/>
      <w:marBottom w:val="0"/>
      <w:divBdr>
        <w:top w:val="none" w:sz="0" w:space="0" w:color="auto"/>
        <w:left w:val="none" w:sz="0" w:space="0" w:color="auto"/>
        <w:bottom w:val="none" w:sz="0" w:space="0" w:color="auto"/>
        <w:right w:val="none" w:sz="0" w:space="0" w:color="auto"/>
      </w:divBdr>
    </w:div>
    <w:div w:id="1149444059">
      <w:bodyDiv w:val="1"/>
      <w:marLeft w:val="0"/>
      <w:marRight w:val="0"/>
      <w:marTop w:val="0"/>
      <w:marBottom w:val="0"/>
      <w:divBdr>
        <w:top w:val="none" w:sz="0" w:space="0" w:color="auto"/>
        <w:left w:val="none" w:sz="0" w:space="0" w:color="auto"/>
        <w:bottom w:val="none" w:sz="0" w:space="0" w:color="auto"/>
        <w:right w:val="none" w:sz="0" w:space="0" w:color="auto"/>
      </w:divBdr>
    </w:div>
    <w:div w:id="1150170784">
      <w:bodyDiv w:val="1"/>
      <w:marLeft w:val="0"/>
      <w:marRight w:val="0"/>
      <w:marTop w:val="0"/>
      <w:marBottom w:val="0"/>
      <w:divBdr>
        <w:top w:val="none" w:sz="0" w:space="0" w:color="auto"/>
        <w:left w:val="none" w:sz="0" w:space="0" w:color="auto"/>
        <w:bottom w:val="none" w:sz="0" w:space="0" w:color="auto"/>
        <w:right w:val="none" w:sz="0" w:space="0" w:color="auto"/>
      </w:divBdr>
    </w:div>
    <w:div w:id="1150293643">
      <w:bodyDiv w:val="1"/>
      <w:marLeft w:val="0"/>
      <w:marRight w:val="0"/>
      <w:marTop w:val="0"/>
      <w:marBottom w:val="0"/>
      <w:divBdr>
        <w:top w:val="none" w:sz="0" w:space="0" w:color="auto"/>
        <w:left w:val="none" w:sz="0" w:space="0" w:color="auto"/>
        <w:bottom w:val="none" w:sz="0" w:space="0" w:color="auto"/>
        <w:right w:val="none" w:sz="0" w:space="0" w:color="auto"/>
      </w:divBdr>
    </w:div>
    <w:div w:id="1150440216">
      <w:bodyDiv w:val="1"/>
      <w:marLeft w:val="0"/>
      <w:marRight w:val="0"/>
      <w:marTop w:val="0"/>
      <w:marBottom w:val="0"/>
      <w:divBdr>
        <w:top w:val="none" w:sz="0" w:space="0" w:color="auto"/>
        <w:left w:val="none" w:sz="0" w:space="0" w:color="auto"/>
        <w:bottom w:val="none" w:sz="0" w:space="0" w:color="auto"/>
        <w:right w:val="none" w:sz="0" w:space="0" w:color="auto"/>
      </w:divBdr>
    </w:div>
    <w:div w:id="1150944062">
      <w:bodyDiv w:val="1"/>
      <w:marLeft w:val="0"/>
      <w:marRight w:val="0"/>
      <w:marTop w:val="0"/>
      <w:marBottom w:val="0"/>
      <w:divBdr>
        <w:top w:val="none" w:sz="0" w:space="0" w:color="auto"/>
        <w:left w:val="none" w:sz="0" w:space="0" w:color="auto"/>
        <w:bottom w:val="none" w:sz="0" w:space="0" w:color="auto"/>
        <w:right w:val="none" w:sz="0" w:space="0" w:color="auto"/>
      </w:divBdr>
    </w:div>
    <w:div w:id="1153990045">
      <w:bodyDiv w:val="1"/>
      <w:marLeft w:val="0"/>
      <w:marRight w:val="0"/>
      <w:marTop w:val="0"/>
      <w:marBottom w:val="0"/>
      <w:divBdr>
        <w:top w:val="none" w:sz="0" w:space="0" w:color="auto"/>
        <w:left w:val="none" w:sz="0" w:space="0" w:color="auto"/>
        <w:bottom w:val="none" w:sz="0" w:space="0" w:color="auto"/>
        <w:right w:val="none" w:sz="0" w:space="0" w:color="auto"/>
      </w:divBdr>
    </w:div>
    <w:div w:id="1154449243">
      <w:bodyDiv w:val="1"/>
      <w:marLeft w:val="0"/>
      <w:marRight w:val="0"/>
      <w:marTop w:val="0"/>
      <w:marBottom w:val="0"/>
      <w:divBdr>
        <w:top w:val="none" w:sz="0" w:space="0" w:color="auto"/>
        <w:left w:val="none" w:sz="0" w:space="0" w:color="auto"/>
        <w:bottom w:val="none" w:sz="0" w:space="0" w:color="auto"/>
        <w:right w:val="none" w:sz="0" w:space="0" w:color="auto"/>
      </w:divBdr>
    </w:div>
    <w:div w:id="1154687298">
      <w:bodyDiv w:val="1"/>
      <w:marLeft w:val="0"/>
      <w:marRight w:val="0"/>
      <w:marTop w:val="0"/>
      <w:marBottom w:val="0"/>
      <w:divBdr>
        <w:top w:val="none" w:sz="0" w:space="0" w:color="auto"/>
        <w:left w:val="none" w:sz="0" w:space="0" w:color="auto"/>
        <w:bottom w:val="none" w:sz="0" w:space="0" w:color="auto"/>
        <w:right w:val="none" w:sz="0" w:space="0" w:color="auto"/>
      </w:divBdr>
    </w:div>
    <w:div w:id="1154763479">
      <w:bodyDiv w:val="1"/>
      <w:marLeft w:val="0"/>
      <w:marRight w:val="0"/>
      <w:marTop w:val="0"/>
      <w:marBottom w:val="0"/>
      <w:divBdr>
        <w:top w:val="none" w:sz="0" w:space="0" w:color="auto"/>
        <w:left w:val="none" w:sz="0" w:space="0" w:color="auto"/>
        <w:bottom w:val="none" w:sz="0" w:space="0" w:color="auto"/>
        <w:right w:val="none" w:sz="0" w:space="0" w:color="auto"/>
      </w:divBdr>
    </w:div>
    <w:div w:id="1154879924">
      <w:bodyDiv w:val="1"/>
      <w:marLeft w:val="0"/>
      <w:marRight w:val="0"/>
      <w:marTop w:val="0"/>
      <w:marBottom w:val="0"/>
      <w:divBdr>
        <w:top w:val="none" w:sz="0" w:space="0" w:color="auto"/>
        <w:left w:val="none" w:sz="0" w:space="0" w:color="auto"/>
        <w:bottom w:val="none" w:sz="0" w:space="0" w:color="auto"/>
        <w:right w:val="none" w:sz="0" w:space="0" w:color="auto"/>
      </w:divBdr>
    </w:div>
    <w:div w:id="1155101312">
      <w:bodyDiv w:val="1"/>
      <w:marLeft w:val="0"/>
      <w:marRight w:val="0"/>
      <w:marTop w:val="0"/>
      <w:marBottom w:val="0"/>
      <w:divBdr>
        <w:top w:val="none" w:sz="0" w:space="0" w:color="auto"/>
        <w:left w:val="none" w:sz="0" w:space="0" w:color="auto"/>
        <w:bottom w:val="none" w:sz="0" w:space="0" w:color="auto"/>
        <w:right w:val="none" w:sz="0" w:space="0" w:color="auto"/>
      </w:divBdr>
    </w:div>
    <w:div w:id="1155296280">
      <w:bodyDiv w:val="1"/>
      <w:marLeft w:val="0"/>
      <w:marRight w:val="0"/>
      <w:marTop w:val="0"/>
      <w:marBottom w:val="0"/>
      <w:divBdr>
        <w:top w:val="none" w:sz="0" w:space="0" w:color="auto"/>
        <w:left w:val="none" w:sz="0" w:space="0" w:color="auto"/>
        <w:bottom w:val="none" w:sz="0" w:space="0" w:color="auto"/>
        <w:right w:val="none" w:sz="0" w:space="0" w:color="auto"/>
      </w:divBdr>
    </w:div>
    <w:div w:id="1155493777">
      <w:bodyDiv w:val="1"/>
      <w:marLeft w:val="0"/>
      <w:marRight w:val="0"/>
      <w:marTop w:val="0"/>
      <w:marBottom w:val="0"/>
      <w:divBdr>
        <w:top w:val="none" w:sz="0" w:space="0" w:color="auto"/>
        <w:left w:val="none" w:sz="0" w:space="0" w:color="auto"/>
        <w:bottom w:val="none" w:sz="0" w:space="0" w:color="auto"/>
        <w:right w:val="none" w:sz="0" w:space="0" w:color="auto"/>
      </w:divBdr>
    </w:div>
    <w:div w:id="1155530838">
      <w:bodyDiv w:val="1"/>
      <w:marLeft w:val="0"/>
      <w:marRight w:val="0"/>
      <w:marTop w:val="0"/>
      <w:marBottom w:val="0"/>
      <w:divBdr>
        <w:top w:val="none" w:sz="0" w:space="0" w:color="auto"/>
        <w:left w:val="none" w:sz="0" w:space="0" w:color="auto"/>
        <w:bottom w:val="none" w:sz="0" w:space="0" w:color="auto"/>
        <w:right w:val="none" w:sz="0" w:space="0" w:color="auto"/>
      </w:divBdr>
    </w:div>
    <w:div w:id="1156335234">
      <w:bodyDiv w:val="1"/>
      <w:marLeft w:val="0"/>
      <w:marRight w:val="0"/>
      <w:marTop w:val="0"/>
      <w:marBottom w:val="0"/>
      <w:divBdr>
        <w:top w:val="none" w:sz="0" w:space="0" w:color="auto"/>
        <w:left w:val="none" w:sz="0" w:space="0" w:color="auto"/>
        <w:bottom w:val="none" w:sz="0" w:space="0" w:color="auto"/>
        <w:right w:val="none" w:sz="0" w:space="0" w:color="auto"/>
      </w:divBdr>
    </w:div>
    <w:div w:id="1156720751">
      <w:bodyDiv w:val="1"/>
      <w:marLeft w:val="0"/>
      <w:marRight w:val="0"/>
      <w:marTop w:val="0"/>
      <w:marBottom w:val="0"/>
      <w:divBdr>
        <w:top w:val="none" w:sz="0" w:space="0" w:color="auto"/>
        <w:left w:val="none" w:sz="0" w:space="0" w:color="auto"/>
        <w:bottom w:val="none" w:sz="0" w:space="0" w:color="auto"/>
        <w:right w:val="none" w:sz="0" w:space="0" w:color="auto"/>
      </w:divBdr>
    </w:div>
    <w:div w:id="1156873931">
      <w:bodyDiv w:val="1"/>
      <w:marLeft w:val="0"/>
      <w:marRight w:val="0"/>
      <w:marTop w:val="0"/>
      <w:marBottom w:val="0"/>
      <w:divBdr>
        <w:top w:val="none" w:sz="0" w:space="0" w:color="auto"/>
        <w:left w:val="none" w:sz="0" w:space="0" w:color="auto"/>
        <w:bottom w:val="none" w:sz="0" w:space="0" w:color="auto"/>
        <w:right w:val="none" w:sz="0" w:space="0" w:color="auto"/>
      </w:divBdr>
    </w:div>
    <w:div w:id="1157065069">
      <w:bodyDiv w:val="1"/>
      <w:marLeft w:val="0"/>
      <w:marRight w:val="0"/>
      <w:marTop w:val="0"/>
      <w:marBottom w:val="0"/>
      <w:divBdr>
        <w:top w:val="none" w:sz="0" w:space="0" w:color="auto"/>
        <w:left w:val="none" w:sz="0" w:space="0" w:color="auto"/>
        <w:bottom w:val="none" w:sz="0" w:space="0" w:color="auto"/>
        <w:right w:val="none" w:sz="0" w:space="0" w:color="auto"/>
      </w:divBdr>
    </w:div>
    <w:div w:id="1157377515">
      <w:bodyDiv w:val="1"/>
      <w:marLeft w:val="0"/>
      <w:marRight w:val="0"/>
      <w:marTop w:val="0"/>
      <w:marBottom w:val="0"/>
      <w:divBdr>
        <w:top w:val="none" w:sz="0" w:space="0" w:color="auto"/>
        <w:left w:val="none" w:sz="0" w:space="0" w:color="auto"/>
        <w:bottom w:val="none" w:sz="0" w:space="0" w:color="auto"/>
        <w:right w:val="none" w:sz="0" w:space="0" w:color="auto"/>
      </w:divBdr>
    </w:div>
    <w:div w:id="1157577162">
      <w:bodyDiv w:val="1"/>
      <w:marLeft w:val="0"/>
      <w:marRight w:val="0"/>
      <w:marTop w:val="0"/>
      <w:marBottom w:val="0"/>
      <w:divBdr>
        <w:top w:val="none" w:sz="0" w:space="0" w:color="auto"/>
        <w:left w:val="none" w:sz="0" w:space="0" w:color="auto"/>
        <w:bottom w:val="none" w:sz="0" w:space="0" w:color="auto"/>
        <w:right w:val="none" w:sz="0" w:space="0" w:color="auto"/>
      </w:divBdr>
    </w:div>
    <w:div w:id="1157915136">
      <w:bodyDiv w:val="1"/>
      <w:marLeft w:val="0"/>
      <w:marRight w:val="0"/>
      <w:marTop w:val="0"/>
      <w:marBottom w:val="0"/>
      <w:divBdr>
        <w:top w:val="none" w:sz="0" w:space="0" w:color="auto"/>
        <w:left w:val="none" w:sz="0" w:space="0" w:color="auto"/>
        <w:bottom w:val="none" w:sz="0" w:space="0" w:color="auto"/>
        <w:right w:val="none" w:sz="0" w:space="0" w:color="auto"/>
      </w:divBdr>
    </w:div>
    <w:div w:id="1158308275">
      <w:bodyDiv w:val="1"/>
      <w:marLeft w:val="0"/>
      <w:marRight w:val="0"/>
      <w:marTop w:val="0"/>
      <w:marBottom w:val="0"/>
      <w:divBdr>
        <w:top w:val="none" w:sz="0" w:space="0" w:color="auto"/>
        <w:left w:val="none" w:sz="0" w:space="0" w:color="auto"/>
        <w:bottom w:val="none" w:sz="0" w:space="0" w:color="auto"/>
        <w:right w:val="none" w:sz="0" w:space="0" w:color="auto"/>
      </w:divBdr>
    </w:div>
    <w:div w:id="1159618235">
      <w:bodyDiv w:val="1"/>
      <w:marLeft w:val="0"/>
      <w:marRight w:val="0"/>
      <w:marTop w:val="0"/>
      <w:marBottom w:val="0"/>
      <w:divBdr>
        <w:top w:val="none" w:sz="0" w:space="0" w:color="auto"/>
        <w:left w:val="none" w:sz="0" w:space="0" w:color="auto"/>
        <w:bottom w:val="none" w:sz="0" w:space="0" w:color="auto"/>
        <w:right w:val="none" w:sz="0" w:space="0" w:color="auto"/>
      </w:divBdr>
    </w:div>
    <w:div w:id="1160274000">
      <w:bodyDiv w:val="1"/>
      <w:marLeft w:val="0"/>
      <w:marRight w:val="0"/>
      <w:marTop w:val="0"/>
      <w:marBottom w:val="0"/>
      <w:divBdr>
        <w:top w:val="none" w:sz="0" w:space="0" w:color="auto"/>
        <w:left w:val="none" w:sz="0" w:space="0" w:color="auto"/>
        <w:bottom w:val="none" w:sz="0" w:space="0" w:color="auto"/>
        <w:right w:val="none" w:sz="0" w:space="0" w:color="auto"/>
      </w:divBdr>
    </w:div>
    <w:div w:id="1160775424">
      <w:bodyDiv w:val="1"/>
      <w:marLeft w:val="0"/>
      <w:marRight w:val="0"/>
      <w:marTop w:val="0"/>
      <w:marBottom w:val="0"/>
      <w:divBdr>
        <w:top w:val="none" w:sz="0" w:space="0" w:color="auto"/>
        <w:left w:val="none" w:sz="0" w:space="0" w:color="auto"/>
        <w:bottom w:val="none" w:sz="0" w:space="0" w:color="auto"/>
        <w:right w:val="none" w:sz="0" w:space="0" w:color="auto"/>
      </w:divBdr>
    </w:div>
    <w:div w:id="1160853165">
      <w:bodyDiv w:val="1"/>
      <w:marLeft w:val="0"/>
      <w:marRight w:val="0"/>
      <w:marTop w:val="0"/>
      <w:marBottom w:val="0"/>
      <w:divBdr>
        <w:top w:val="none" w:sz="0" w:space="0" w:color="auto"/>
        <w:left w:val="none" w:sz="0" w:space="0" w:color="auto"/>
        <w:bottom w:val="none" w:sz="0" w:space="0" w:color="auto"/>
        <w:right w:val="none" w:sz="0" w:space="0" w:color="auto"/>
      </w:divBdr>
    </w:div>
    <w:div w:id="1161311225">
      <w:bodyDiv w:val="1"/>
      <w:marLeft w:val="0"/>
      <w:marRight w:val="0"/>
      <w:marTop w:val="0"/>
      <w:marBottom w:val="0"/>
      <w:divBdr>
        <w:top w:val="none" w:sz="0" w:space="0" w:color="auto"/>
        <w:left w:val="none" w:sz="0" w:space="0" w:color="auto"/>
        <w:bottom w:val="none" w:sz="0" w:space="0" w:color="auto"/>
        <w:right w:val="none" w:sz="0" w:space="0" w:color="auto"/>
      </w:divBdr>
    </w:div>
    <w:div w:id="1162041157">
      <w:bodyDiv w:val="1"/>
      <w:marLeft w:val="0"/>
      <w:marRight w:val="0"/>
      <w:marTop w:val="0"/>
      <w:marBottom w:val="0"/>
      <w:divBdr>
        <w:top w:val="none" w:sz="0" w:space="0" w:color="auto"/>
        <w:left w:val="none" w:sz="0" w:space="0" w:color="auto"/>
        <w:bottom w:val="none" w:sz="0" w:space="0" w:color="auto"/>
        <w:right w:val="none" w:sz="0" w:space="0" w:color="auto"/>
      </w:divBdr>
    </w:div>
    <w:div w:id="1163592662">
      <w:bodyDiv w:val="1"/>
      <w:marLeft w:val="0"/>
      <w:marRight w:val="0"/>
      <w:marTop w:val="0"/>
      <w:marBottom w:val="0"/>
      <w:divBdr>
        <w:top w:val="none" w:sz="0" w:space="0" w:color="auto"/>
        <w:left w:val="none" w:sz="0" w:space="0" w:color="auto"/>
        <w:bottom w:val="none" w:sz="0" w:space="0" w:color="auto"/>
        <w:right w:val="none" w:sz="0" w:space="0" w:color="auto"/>
      </w:divBdr>
    </w:div>
    <w:div w:id="1165633896">
      <w:bodyDiv w:val="1"/>
      <w:marLeft w:val="0"/>
      <w:marRight w:val="0"/>
      <w:marTop w:val="0"/>
      <w:marBottom w:val="0"/>
      <w:divBdr>
        <w:top w:val="none" w:sz="0" w:space="0" w:color="auto"/>
        <w:left w:val="none" w:sz="0" w:space="0" w:color="auto"/>
        <w:bottom w:val="none" w:sz="0" w:space="0" w:color="auto"/>
        <w:right w:val="none" w:sz="0" w:space="0" w:color="auto"/>
      </w:divBdr>
    </w:div>
    <w:div w:id="1165820286">
      <w:bodyDiv w:val="1"/>
      <w:marLeft w:val="0"/>
      <w:marRight w:val="0"/>
      <w:marTop w:val="0"/>
      <w:marBottom w:val="0"/>
      <w:divBdr>
        <w:top w:val="none" w:sz="0" w:space="0" w:color="auto"/>
        <w:left w:val="none" w:sz="0" w:space="0" w:color="auto"/>
        <w:bottom w:val="none" w:sz="0" w:space="0" w:color="auto"/>
        <w:right w:val="none" w:sz="0" w:space="0" w:color="auto"/>
      </w:divBdr>
    </w:div>
    <w:div w:id="1165973690">
      <w:bodyDiv w:val="1"/>
      <w:marLeft w:val="0"/>
      <w:marRight w:val="0"/>
      <w:marTop w:val="0"/>
      <w:marBottom w:val="0"/>
      <w:divBdr>
        <w:top w:val="none" w:sz="0" w:space="0" w:color="auto"/>
        <w:left w:val="none" w:sz="0" w:space="0" w:color="auto"/>
        <w:bottom w:val="none" w:sz="0" w:space="0" w:color="auto"/>
        <w:right w:val="none" w:sz="0" w:space="0" w:color="auto"/>
      </w:divBdr>
    </w:div>
    <w:div w:id="1166558530">
      <w:bodyDiv w:val="1"/>
      <w:marLeft w:val="0"/>
      <w:marRight w:val="0"/>
      <w:marTop w:val="0"/>
      <w:marBottom w:val="0"/>
      <w:divBdr>
        <w:top w:val="none" w:sz="0" w:space="0" w:color="auto"/>
        <w:left w:val="none" w:sz="0" w:space="0" w:color="auto"/>
        <w:bottom w:val="none" w:sz="0" w:space="0" w:color="auto"/>
        <w:right w:val="none" w:sz="0" w:space="0" w:color="auto"/>
      </w:divBdr>
    </w:div>
    <w:div w:id="1167357799">
      <w:bodyDiv w:val="1"/>
      <w:marLeft w:val="0"/>
      <w:marRight w:val="0"/>
      <w:marTop w:val="0"/>
      <w:marBottom w:val="0"/>
      <w:divBdr>
        <w:top w:val="none" w:sz="0" w:space="0" w:color="auto"/>
        <w:left w:val="none" w:sz="0" w:space="0" w:color="auto"/>
        <w:bottom w:val="none" w:sz="0" w:space="0" w:color="auto"/>
        <w:right w:val="none" w:sz="0" w:space="0" w:color="auto"/>
      </w:divBdr>
    </w:div>
    <w:div w:id="1167405388">
      <w:bodyDiv w:val="1"/>
      <w:marLeft w:val="0"/>
      <w:marRight w:val="0"/>
      <w:marTop w:val="0"/>
      <w:marBottom w:val="0"/>
      <w:divBdr>
        <w:top w:val="none" w:sz="0" w:space="0" w:color="auto"/>
        <w:left w:val="none" w:sz="0" w:space="0" w:color="auto"/>
        <w:bottom w:val="none" w:sz="0" w:space="0" w:color="auto"/>
        <w:right w:val="none" w:sz="0" w:space="0" w:color="auto"/>
      </w:divBdr>
    </w:div>
    <w:div w:id="1168135834">
      <w:bodyDiv w:val="1"/>
      <w:marLeft w:val="0"/>
      <w:marRight w:val="0"/>
      <w:marTop w:val="0"/>
      <w:marBottom w:val="0"/>
      <w:divBdr>
        <w:top w:val="none" w:sz="0" w:space="0" w:color="auto"/>
        <w:left w:val="none" w:sz="0" w:space="0" w:color="auto"/>
        <w:bottom w:val="none" w:sz="0" w:space="0" w:color="auto"/>
        <w:right w:val="none" w:sz="0" w:space="0" w:color="auto"/>
      </w:divBdr>
    </w:div>
    <w:div w:id="1168247568">
      <w:bodyDiv w:val="1"/>
      <w:marLeft w:val="0"/>
      <w:marRight w:val="0"/>
      <w:marTop w:val="0"/>
      <w:marBottom w:val="0"/>
      <w:divBdr>
        <w:top w:val="none" w:sz="0" w:space="0" w:color="auto"/>
        <w:left w:val="none" w:sz="0" w:space="0" w:color="auto"/>
        <w:bottom w:val="none" w:sz="0" w:space="0" w:color="auto"/>
        <w:right w:val="none" w:sz="0" w:space="0" w:color="auto"/>
      </w:divBdr>
    </w:div>
    <w:div w:id="1168639952">
      <w:bodyDiv w:val="1"/>
      <w:marLeft w:val="0"/>
      <w:marRight w:val="0"/>
      <w:marTop w:val="0"/>
      <w:marBottom w:val="0"/>
      <w:divBdr>
        <w:top w:val="none" w:sz="0" w:space="0" w:color="auto"/>
        <w:left w:val="none" w:sz="0" w:space="0" w:color="auto"/>
        <w:bottom w:val="none" w:sz="0" w:space="0" w:color="auto"/>
        <w:right w:val="none" w:sz="0" w:space="0" w:color="auto"/>
      </w:divBdr>
    </w:div>
    <w:div w:id="1168792942">
      <w:bodyDiv w:val="1"/>
      <w:marLeft w:val="0"/>
      <w:marRight w:val="0"/>
      <w:marTop w:val="0"/>
      <w:marBottom w:val="0"/>
      <w:divBdr>
        <w:top w:val="none" w:sz="0" w:space="0" w:color="auto"/>
        <w:left w:val="none" w:sz="0" w:space="0" w:color="auto"/>
        <w:bottom w:val="none" w:sz="0" w:space="0" w:color="auto"/>
        <w:right w:val="none" w:sz="0" w:space="0" w:color="auto"/>
      </w:divBdr>
    </w:div>
    <w:div w:id="1170175244">
      <w:bodyDiv w:val="1"/>
      <w:marLeft w:val="0"/>
      <w:marRight w:val="0"/>
      <w:marTop w:val="0"/>
      <w:marBottom w:val="0"/>
      <w:divBdr>
        <w:top w:val="none" w:sz="0" w:space="0" w:color="auto"/>
        <w:left w:val="none" w:sz="0" w:space="0" w:color="auto"/>
        <w:bottom w:val="none" w:sz="0" w:space="0" w:color="auto"/>
        <w:right w:val="none" w:sz="0" w:space="0" w:color="auto"/>
      </w:divBdr>
    </w:div>
    <w:div w:id="1170176376">
      <w:bodyDiv w:val="1"/>
      <w:marLeft w:val="0"/>
      <w:marRight w:val="0"/>
      <w:marTop w:val="0"/>
      <w:marBottom w:val="0"/>
      <w:divBdr>
        <w:top w:val="none" w:sz="0" w:space="0" w:color="auto"/>
        <w:left w:val="none" w:sz="0" w:space="0" w:color="auto"/>
        <w:bottom w:val="none" w:sz="0" w:space="0" w:color="auto"/>
        <w:right w:val="none" w:sz="0" w:space="0" w:color="auto"/>
      </w:divBdr>
    </w:div>
    <w:div w:id="1170944398">
      <w:bodyDiv w:val="1"/>
      <w:marLeft w:val="0"/>
      <w:marRight w:val="0"/>
      <w:marTop w:val="0"/>
      <w:marBottom w:val="0"/>
      <w:divBdr>
        <w:top w:val="none" w:sz="0" w:space="0" w:color="auto"/>
        <w:left w:val="none" w:sz="0" w:space="0" w:color="auto"/>
        <w:bottom w:val="none" w:sz="0" w:space="0" w:color="auto"/>
        <w:right w:val="none" w:sz="0" w:space="0" w:color="auto"/>
      </w:divBdr>
    </w:div>
    <w:div w:id="1171405158">
      <w:bodyDiv w:val="1"/>
      <w:marLeft w:val="0"/>
      <w:marRight w:val="0"/>
      <w:marTop w:val="0"/>
      <w:marBottom w:val="0"/>
      <w:divBdr>
        <w:top w:val="none" w:sz="0" w:space="0" w:color="auto"/>
        <w:left w:val="none" w:sz="0" w:space="0" w:color="auto"/>
        <w:bottom w:val="none" w:sz="0" w:space="0" w:color="auto"/>
        <w:right w:val="none" w:sz="0" w:space="0" w:color="auto"/>
      </w:divBdr>
    </w:div>
    <w:div w:id="1171413911">
      <w:bodyDiv w:val="1"/>
      <w:marLeft w:val="0"/>
      <w:marRight w:val="0"/>
      <w:marTop w:val="0"/>
      <w:marBottom w:val="0"/>
      <w:divBdr>
        <w:top w:val="none" w:sz="0" w:space="0" w:color="auto"/>
        <w:left w:val="none" w:sz="0" w:space="0" w:color="auto"/>
        <w:bottom w:val="none" w:sz="0" w:space="0" w:color="auto"/>
        <w:right w:val="none" w:sz="0" w:space="0" w:color="auto"/>
      </w:divBdr>
    </w:div>
    <w:div w:id="1171722509">
      <w:bodyDiv w:val="1"/>
      <w:marLeft w:val="0"/>
      <w:marRight w:val="0"/>
      <w:marTop w:val="0"/>
      <w:marBottom w:val="0"/>
      <w:divBdr>
        <w:top w:val="none" w:sz="0" w:space="0" w:color="auto"/>
        <w:left w:val="none" w:sz="0" w:space="0" w:color="auto"/>
        <w:bottom w:val="none" w:sz="0" w:space="0" w:color="auto"/>
        <w:right w:val="none" w:sz="0" w:space="0" w:color="auto"/>
      </w:divBdr>
    </w:div>
    <w:div w:id="1171797268">
      <w:bodyDiv w:val="1"/>
      <w:marLeft w:val="0"/>
      <w:marRight w:val="0"/>
      <w:marTop w:val="0"/>
      <w:marBottom w:val="0"/>
      <w:divBdr>
        <w:top w:val="none" w:sz="0" w:space="0" w:color="auto"/>
        <w:left w:val="none" w:sz="0" w:space="0" w:color="auto"/>
        <w:bottom w:val="none" w:sz="0" w:space="0" w:color="auto"/>
        <w:right w:val="none" w:sz="0" w:space="0" w:color="auto"/>
      </w:divBdr>
    </w:div>
    <w:div w:id="1172716833">
      <w:bodyDiv w:val="1"/>
      <w:marLeft w:val="0"/>
      <w:marRight w:val="0"/>
      <w:marTop w:val="0"/>
      <w:marBottom w:val="0"/>
      <w:divBdr>
        <w:top w:val="none" w:sz="0" w:space="0" w:color="auto"/>
        <w:left w:val="none" w:sz="0" w:space="0" w:color="auto"/>
        <w:bottom w:val="none" w:sz="0" w:space="0" w:color="auto"/>
        <w:right w:val="none" w:sz="0" w:space="0" w:color="auto"/>
      </w:divBdr>
    </w:div>
    <w:div w:id="1172838949">
      <w:bodyDiv w:val="1"/>
      <w:marLeft w:val="0"/>
      <w:marRight w:val="0"/>
      <w:marTop w:val="0"/>
      <w:marBottom w:val="0"/>
      <w:divBdr>
        <w:top w:val="none" w:sz="0" w:space="0" w:color="auto"/>
        <w:left w:val="none" w:sz="0" w:space="0" w:color="auto"/>
        <w:bottom w:val="none" w:sz="0" w:space="0" w:color="auto"/>
        <w:right w:val="none" w:sz="0" w:space="0" w:color="auto"/>
      </w:divBdr>
    </w:div>
    <w:div w:id="1173686449">
      <w:bodyDiv w:val="1"/>
      <w:marLeft w:val="0"/>
      <w:marRight w:val="0"/>
      <w:marTop w:val="0"/>
      <w:marBottom w:val="0"/>
      <w:divBdr>
        <w:top w:val="none" w:sz="0" w:space="0" w:color="auto"/>
        <w:left w:val="none" w:sz="0" w:space="0" w:color="auto"/>
        <w:bottom w:val="none" w:sz="0" w:space="0" w:color="auto"/>
        <w:right w:val="none" w:sz="0" w:space="0" w:color="auto"/>
      </w:divBdr>
    </w:div>
    <w:div w:id="1173836009">
      <w:bodyDiv w:val="1"/>
      <w:marLeft w:val="0"/>
      <w:marRight w:val="0"/>
      <w:marTop w:val="0"/>
      <w:marBottom w:val="0"/>
      <w:divBdr>
        <w:top w:val="none" w:sz="0" w:space="0" w:color="auto"/>
        <w:left w:val="none" w:sz="0" w:space="0" w:color="auto"/>
        <w:bottom w:val="none" w:sz="0" w:space="0" w:color="auto"/>
        <w:right w:val="none" w:sz="0" w:space="0" w:color="auto"/>
      </w:divBdr>
    </w:div>
    <w:div w:id="1176071475">
      <w:bodyDiv w:val="1"/>
      <w:marLeft w:val="0"/>
      <w:marRight w:val="0"/>
      <w:marTop w:val="0"/>
      <w:marBottom w:val="0"/>
      <w:divBdr>
        <w:top w:val="none" w:sz="0" w:space="0" w:color="auto"/>
        <w:left w:val="none" w:sz="0" w:space="0" w:color="auto"/>
        <w:bottom w:val="none" w:sz="0" w:space="0" w:color="auto"/>
        <w:right w:val="none" w:sz="0" w:space="0" w:color="auto"/>
      </w:divBdr>
    </w:div>
    <w:div w:id="1176111085">
      <w:bodyDiv w:val="1"/>
      <w:marLeft w:val="0"/>
      <w:marRight w:val="0"/>
      <w:marTop w:val="0"/>
      <w:marBottom w:val="0"/>
      <w:divBdr>
        <w:top w:val="none" w:sz="0" w:space="0" w:color="auto"/>
        <w:left w:val="none" w:sz="0" w:space="0" w:color="auto"/>
        <w:bottom w:val="none" w:sz="0" w:space="0" w:color="auto"/>
        <w:right w:val="none" w:sz="0" w:space="0" w:color="auto"/>
      </w:divBdr>
    </w:div>
    <w:div w:id="1176534106">
      <w:bodyDiv w:val="1"/>
      <w:marLeft w:val="0"/>
      <w:marRight w:val="0"/>
      <w:marTop w:val="0"/>
      <w:marBottom w:val="0"/>
      <w:divBdr>
        <w:top w:val="none" w:sz="0" w:space="0" w:color="auto"/>
        <w:left w:val="none" w:sz="0" w:space="0" w:color="auto"/>
        <w:bottom w:val="none" w:sz="0" w:space="0" w:color="auto"/>
        <w:right w:val="none" w:sz="0" w:space="0" w:color="auto"/>
      </w:divBdr>
    </w:div>
    <w:div w:id="1176727561">
      <w:bodyDiv w:val="1"/>
      <w:marLeft w:val="0"/>
      <w:marRight w:val="0"/>
      <w:marTop w:val="0"/>
      <w:marBottom w:val="0"/>
      <w:divBdr>
        <w:top w:val="none" w:sz="0" w:space="0" w:color="auto"/>
        <w:left w:val="none" w:sz="0" w:space="0" w:color="auto"/>
        <w:bottom w:val="none" w:sz="0" w:space="0" w:color="auto"/>
        <w:right w:val="none" w:sz="0" w:space="0" w:color="auto"/>
      </w:divBdr>
    </w:div>
    <w:div w:id="1177502149">
      <w:bodyDiv w:val="1"/>
      <w:marLeft w:val="0"/>
      <w:marRight w:val="0"/>
      <w:marTop w:val="0"/>
      <w:marBottom w:val="0"/>
      <w:divBdr>
        <w:top w:val="none" w:sz="0" w:space="0" w:color="auto"/>
        <w:left w:val="none" w:sz="0" w:space="0" w:color="auto"/>
        <w:bottom w:val="none" w:sz="0" w:space="0" w:color="auto"/>
        <w:right w:val="none" w:sz="0" w:space="0" w:color="auto"/>
      </w:divBdr>
    </w:div>
    <w:div w:id="1177576973">
      <w:bodyDiv w:val="1"/>
      <w:marLeft w:val="0"/>
      <w:marRight w:val="0"/>
      <w:marTop w:val="0"/>
      <w:marBottom w:val="0"/>
      <w:divBdr>
        <w:top w:val="none" w:sz="0" w:space="0" w:color="auto"/>
        <w:left w:val="none" w:sz="0" w:space="0" w:color="auto"/>
        <w:bottom w:val="none" w:sz="0" w:space="0" w:color="auto"/>
        <w:right w:val="none" w:sz="0" w:space="0" w:color="auto"/>
      </w:divBdr>
    </w:div>
    <w:div w:id="1178081166">
      <w:bodyDiv w:val="1"/>
      <w:marLeft w:val="0"/>
      <w:marRight w:val="0"/>
      <w:marTop w:val="0"/>
      <w:marBottom w:val="0"/>
      <w:divBdr>
        <w:top w:val="none" w:sz="0" w:space="0" w:color="auto"/>
        <w:left w:val="none" w:sz="0" w:space="0" w:color="auto"/>
        <w:bottom w:val="none" w:sz="0" w:space="0" w:color="auto"/>
        <w:right w:val="none" w:sz="0" w:space="0" w:color="auto"/>
      </w:divBdr>
    </w:div>
    <w:div w:id="1178347667">
      <w:bodyDiv w:val="1"/>
      <w:marLeft w:val="0"/>
      <w:marRight w:val="0"/>
      <w:marTop w:val="0"/>
      <w:marBottom w:val="0"/>
      <w:divBdr>
        <w:top w:val="none" w:sz="0" w:space="0" w:color="auto"/>
        <w:left w:val="none" w:sz="0" w:space="0" w:color="auto"/>
        <w:bottom w:val="none" w:sz="0" w:space="0" w:color="auto"/>
        <w:right w:val="none" w:sz="0" w:space="0" w:color="auto"/>
      </w:divBdr>
    </w:div>
    <w:div w:id="1179273555">
      <w:bodyDiv w:val="1"/>
      <w:marLeft w:val="0"/>
      <w:marRight w:val="0"/>
      <w:marTop w:val="0"/>
      <w:marBottom w:val="0"/>
      <w:divBdr>
        <w:top w:val="none" w:sz="0" w:space="0" w:color="auto"/>
        <w:left w:val="none" w:sz="0" w:space="0" w:color="auto"/>
        <w:bottom w:val="none" w:sz="0" w:space="0" w:color="auto"/>
        <w:right w:val="none" w:sz="0" w:space="0" w:color="auto"/>
      </w:divBdr>
    </w:div>
    <w:div w:id="1179730557">
      <w:bodyDiv w:val="1"/>
      <w:marLeft w:val="0"/>
      <w:marRight w:val="0"/>
      <w:marTop w:val="0"/>
      <w:marBottom w:val="0"/>
      <w:divBdr>
        <w:top w:val="none" w:sz="0" w:space="0" w:color="auto"/>
        <w:left w:val="none" w:sz="0" w:space="0" w:color="auto"/>
        <w:bottom w:val="none" w:sz="0" w:space="0" w:color="auto"/>
        <w:right w:val="none" w:sz="0" w:space="0" w:color="auto"/>
      </w:divBdr>
    </w:div>
    <w:div w:id="1179928513">
      <w:bodyDiv w:val="1"/>
      <w:marLeft w:val="0"/>
      <w:marRight w:val="0"/>
      <w:marTop w:val="0"/>
      <w:marBottom w:val="0"/>
      <w:divBdr>
        <w:top w:val="none" w:sz="0" w:space="0" w:color="auto"/>
        <w:left w:val="none" w:sz="0" w:space="0" w:color="auto"/>
        <w:bottom w:val="none" w:sz="0" w:space="0" w:color="auto"/>
        <w:right w:val="none" w:sz="0" w:space="0" w:color="auto"/>
      </w:divBdr>
    </w:div>
    <w:div w:id="1180002386">
      <w:bodyDiv w:val="1"/>
      <w:marLeft w:val="0"/>
      <w:marRight w:val="0"/>
      <w:marTop w:val="0"/>
      <w:marBottom w:val="0"/>
      <w:divBdr>
        <w:top w:val="none" w:sz="0" w:space="0" w:color="auto"/>
        <w:left w:val="none" w:sz="0" w:space="0" w:color="auto"/>
        <w:bottom w:val="none" w:sz="0" w:space="0" w:color="auto"/>
        <w:right w:val="none" w:sz="0" w:space="0" w:color="auto"/>
      </w:divBdr>
    </w:div>
    <w:div w:id="1180043197">
      <w:bodyDiv w:val="1"/>
      <w:marLeft w:val="0"/>
      <w:marRight w:val="0"/>
      <w:marTop w:val="0"/>
      <w:marBottom w:val="0"/>
      <w:divBdr>
        <w:top w:val="none" w:sz="0" w:space="0" w:color="auto"/>
        <w:left w:val="none" w:sz="0" w:space="0" w:color="auto"/>
        <w:bottom w:val="none" w:sz="0" w:space="0" w:color="auto"/>
        <w:right w:val="none" w:sz="0" w:space="0" w:color="auto"/>
      </w:divBdr>
    </w:div>
    <w:div w:id="1180047119">
      <w:bodyDiv w:val="1"/>
      <w:marLeft w:val="0"/>
      <w:marRight w:val="0"/>
      <w:marTop w:val="0"/>
      <w:marBottom w:val="0"/>
      <w:divBdr>
        <w:top w:val="none" w:sz="0" w:space="0" w:color="auto"/>
        <w:left w:val="none" w:sz="0" w:space="0" w:color="auto"/>
        <w:bottom w:val="none" w:sz="0" w:space="0" w:color="auto"/>
        <w:right w:val="none" w:sz="0" w:space="0" w:color="auto"/>
      </w:divBdr>
    </w:div>
    <w:div w:id="1180240333">
      <w:bodyDiv w:val="1"/>
      <w:marLeft w:val="0"/>
      <w:marRight w:val="0"/>
      <w:marTop w:val="0"/>
      <w:marBottom w:val="0"/>
      <w:divBdr>
        <w:top w:val="none" w:sz="0" w:space="0" w:color="auto"/>
        <w:left w:val="none" w:sz="0" w:space="0" w:color="auto"/>
        <w:bottom w:val="none" w:sz="0" w:space="0" w:color="auto"/>
        <w:right w:val="none" w:sz="0" w:space="0" w:color="auto"/>
      </w:divBdr>
    </w:div>
    <w:div w:id="1180851618">
      <w:bodyDiv w:val="1"/>
      <w:marLeft w:val="0"/>
      <w:marRight w:val="0"/>
      <w:marTop w:val="0"/>
      <w:marBottom w:val="0"/>
      <w:divBdr>
        <w:top w:val="none" w:sz="0" w:space="0" w:color="auto"/>
        <w:left w:val="none" w:sz="0" w:space="0" w:color="auto"/>
        <w:bottom w:val="none" w:sz="0" w:space="0" w:color="auto"/>
        <w:right w:val="none" w:sz="0" w:space="0" w:color="auto"/>
      </w:divBdr>
    </w:div>
    <w:div w:id="1180897318">
      <w:bodyDiv w:val="1"/>
      <w:marLeft w:val="0"/>
      <w:marRight w:val="0"/>
      <w:marTop w:val="0"/>
      <w:marBottom w:val="0"/>
      <w:divBdr>
        <w:top w:val="none" w:sz="0" w:space="0" w:color="auto"/>
        <w:left w:val="none" w:sz="0" w:space="0" w:color="auto"/>
        <w:bottom w:val="none" w:sz="0" w:space="0" w:color="auto"/>
        <w:right w:val="none" w:sz="0" w:space="0" w:color="auto"/>
      </w:divBdr>
    </w:div>
    <w:div w:id="1181703495">
      <w:bodyDiv w:val="1"/>
      <w:marLeft w:val="0"/>
      <w:marRight w:val="0"/>
      <w:marTop w:val="0"/>
      <w:marBottom w:val="0"/>
      <w:divBdr>
        <w:top w:val="none" w:sz="0" w:space="0" w:color="auto"/>
        <w:left w:val="none" w:sz="0" w:space="0" w:color="auto"/>
        <w:bottom w:val="none" w:sz="0" w:space="0" w:color="auto"/>
        <w:right w:val="none" w:sz="0" w:space="0" w:color="auto"/>
      </w:divBdr>
    </w:div>
    <w:div w:id="1181816416">
      <w:bodyDiv w:val="1"/>
      <w:marLeft w:val="0"/>
      <w:marRight w:val="0"/>
      <w:marTop w:val="0"/>
      <w:marBottom w:val="0"/>
      <w:divBdr>
        <w:top w:val="none" w:sz="0" w:space="0" w:color="auto"/>
        <w:left w:val="none" w:sz="0" w:space="0" w:color="auto"/>
        <w:bottom w:val="none" w:sz="0" w:space="0" w:color="auto"/>
        <w:right w:val="none" w:sz="0" w:space="0" w:color="auto"/>
      </w:divBdr>
    </w:div>
    <w:div w:id="1183085518">
      <w:bodyDiv w:val="1"/>
      <w:marLeft w:val="0"/>
      <w:marRight w:val="0"/>
      <w:marTop w:val="0"/>
      <w:marBottom w:val="0"/>
      <w:divBdr>
        <w:top w:val="none" w:sz="0" w:space="0" w:color="auto"/>
        <w:left w:val="none" w:sz="0" w:space="0" w:color="auto"/>
        <w:bottom w:val="none" w:sz="0" w:space="0" w:color="auto"/>
        <w:right w:val="none" w:sz="0" w:space="0" w:color="auto"/>
      </w:divBdr>
    </w:div>
    <w:div w:id="1185560004">
      <w:bodyDiv w:val="1"/>
      <w:marLeft w:val="0"/>
      <w:marRight w:val="0"/>
      <w:marTop w:val="0"/>
      <w:marBottom w:val="0"/>
      <w:divBdr>
        <w:top w:val="none" w:sz="0" w:space="0" w:color="auto"/>
        <w:left w:val="none" w:sz="0" w:space="0" w:color="auto"/>
        <w:bottom w:val="none" w:sz="0" w:space="0" w:color="auto"/>
        <w:right w:val="none" w:sz="0" w:space="0" w:color="auto"/>
      </w:divBdr>
    </w:div>
    <w:div w:id="1185629627">
      <w:bodyDiv w:val="1"/>
      <w:marLeft w:val="0"/>
      <w:marRight w:val="0"/>
      <w:marTop w:val="0"/>
      <w:marBottom w:val="0"/>
      <w:divBdr>
        <w:top w:val="none" w:sz="0" w:space="0" w:color="auto"/>
        <w:left w:val="none" w:sz="0" w:space="0" w:color="auto"/>
        <w:bottom w:val="none" w:sz="0" w:space="0" w:color="auto"/>
        <w:right w:val="none" w:sz="0" w:space="0" w:color="auto"/>
      </w:divBdr>
    </w:div>
    <w:div w:id="1186745669">
      <w:bodyDiv w:val="1"/>
      <w:marLeft w:val="0"/>
      <w:marRight w:val="0"/>
      <w:marTop w:val="0"/>
      <w:marBottom w:val="0"/>
      <w:divBdr>
        <w:top w:val="none" w:sz="0" w:space="0" w:color="auto"/>
        <w:left w:val="none" w:sz="0" w:space="0" w:color="auto"/>
        <w:bottom w:val="none" w:sz="0" w:space="0" w:color="auto"/>
        <w:right w:val="none" w:sz="0" w:space="0" w:color="auto"/>
      </w:divBdr>
    </w:div>
    <w:div w:id="1186864041">
      <w:bodyDiv w:val="1"/>
      <w:marLeft w:val="0"/>
      <w:marRight w:val="0"/>
      <w:marTop w:val="0"/>
      <w:marBottom w:val="0"/>
      <w:divBdr>
        <w:top w:val="none" w:sz="0" w:space="0" w:color="auto"/>
        <w:left w:val="none" w:sz="0" w:space="0" w:color="auto"/>
        <w:bottom w:val="none" w:sz="0" w:space="0" w:color="auto"/>
        <w:right w:val="none" w:sz="0" w:space="0" w:color="auto"/>
      </w:divBdr>
    </w:div>
    <w:div w:id="1187522681">
      <w:bodyDiv w:val="1"/>
      <w:marLeft w:val="0"/>
      <w:marRight w:val="0"/>
      <w:marTop w:val="0"/>
      <w:marBottom w:val="0"/>
      <w:divBdr>
        <w:top w:val="none" w:sz="0" w:space="0" w:color="auto"/>
        <w:left w:val="none" w:sz="0" w:space="0" w:color="auto"/>
        <w:bottom w:val="none" w:sz="0" w:space="0" w:color="auto"/>
        <w:right w:val="none" w:sz="0" w:space="0" w:color="auto"/>
      </w:divBdr>
    </w:div>
    <w:div w:id="1188715669">
      <w:bodyDiv w:val="1"/>
      <w:marLeft w:val="0"/>
      <w:marRight w:val="0"/>
      <w:marTop w:val="0"/>
      <w:marBottom w:val="0"/>
      <w:divBdr>
        <w:top w:val="none" w:sz="0" w:space="0" w:color="auto"/>
        <w:left w:val="none" w:sz="0" w:space="0" w:color="auto"/>
        <w:bottom w:val="none" w:sz="0" w:space="0" w:color="auto"/>
        <w:right w:val="none" w:sz="0" w:space="0" w:color="auto"/>
      </w:divBdr>
    </w:div>
    <w:div w:id="1190147683">
      <w:bodyDiv w:val="1"/>
      <w:marLeft w:val="0"/>
      <w:marRight w:val="0"/>
      <w:marTop w:val="0"/>
      <w:marBottom w:val="0"/>
      <w:divBdr>
        <w:top w:val="none" w:sz="0" w:space="0" w:color="auto"/>
        <w:left w:val="none" w:sz="0" w:space="0" w:color="auto"/>
        <w:bottom w:val="none" w:sz="0" w:space="0" w:color="auto"/>
        <w:right w:val="none" w:sz="0" w:space="0" w:color="auto"/>
      </w:divBdr>
    </w:div>
    <w:div w:id="1190492967">
      <w:bodyDiv w:val="1"/>
      <w:marLeft w:val="0"/>
      <w:marRight w:val="0"/>
      <w:marTop w:val="0"/>
      <w:marBottom w:val="0"/>
      <w:divBdr>
        <w:top w:val="none" w:sz="0" w:space="0" w:color="auto"/>
        <w:left w:val="none" w:sz="0" w:space="0" w:color="auto"/>
        <w:bottom w:val="none" w:sz="0" w:space="0" w:color="auto"/>
        <w:right w:val="none" w:sz="0" w:space="0" w:color="auto"/>
      </w:divBdr>
    </w:div>
    <w:div w:id="1191214147">
      <w:bodyDiv w:val="1"/>
      <w:marLeft w:val="0"/>
      <w:marRight w:val="0"/>
      <w:marTop w:val="0"/>
      <w:marBottom w:val="0"/>
      <w:divBdr>
        <w:top w:val="none" w:sz="0" w:space="0" w:color="auto"/>
        <w:left w:val="none" w:sz="0" w:space="0" w:color="auto"/>
        <w:bottom w:val="none" w:sz="0" w:space="0" w:color="auto"/>
        <w:right w:val="none" w:sz="0" w:space="0" w:color="auto"/>
      </w:divBdr>
    </w:div>
    <w:div w:id="1194149929">
      <w:bodyDiv w:val="1"/>
      <w:marLeft w:val="0"/>
      <w:marRight w:val="0"/>
      <w:marTop w:val="0"/>
      <w:marBottom w:val="0"/>
      <w:divBdr>
        <w:top w:val="none" w:sz="0" w:space="0" w:color="auto"/>
        <w:left w:val="none" w:sz="0" w:space="0" w:color="auto"/>
        <w:bottom w:val="none" w:sz="0" w:space="0" w:color="auto"/>
        <w:right w:val="none" w:sz="0" w:space="0" w:color="auto"/>
      </w:divBdr>
    </w:div>
    <w:div w:id="1195122070">
      <w:bodyDiv w:val="1"/>
      <w:marLeft w:val="0"/>
      <w:marRight w:val="0"/>
      <w:marTop w:val="0"/>
      <w:marBottom w:val="0"/>
      <w:divBdr>
        <w:top w:val="none" w:sz="0" w:space="0" w:color="auto"/>
        <w:left w:val="none" w:sz="0" w:space="0" w:color="auto"/>
        <w:bottom w:val="none" w:sz="0" w:space="0" w:color="auto"/>
        <w:right w:val="none" w:sz="0" w:space="0" w:color="auto"/>
      </w:divBdr>
    </w:div>
    <w:div w:id="1195383752">
      <w:bodyDiv w:val="1"/>
      <w:marLeft w:val="0"/>
      <w:marRight w:val="0"/>
      <w:marTop w:val="0"/>
      <w:marBottom w:val="0"/>
      <w:divBdr>
        <w:top w:val="none" w:sz="0" w:space="0" w:color="auto"/>
        <w:left w:val="none" w:sz="0" w:space="0" w:color="auto"/>
        <w:bottom w:val="none" w:sz="0" w:space="0" w:color="auto"/>
        <w:right w:val="none" w:sz="0" w:space="0" w:color="auto"/>
      </w:divBdr>
    </w:div>
    <w:div w:id="1196583240">
      <w:bodyDiv w:val="1"/>
      <w:marLeft w:val="0"/>
      <w:marRight w:val="0"/>
      <w:marTop w:val="0"/>
      <w:marBottom w:val="0"/>
      <w:divBdr>
        <w:top w:val="none" w:sz="0" w:space="0" w:color="auto"/>
        <w:left w:val="none" w:sz="0" w:space="0" w:color="auto"/>
        <w:bottom w:val="none" w:sz="0" w:space="0" w:color="auto"/>
        <w:right w:val="none" w:sz="0" w:space="0" w:color="auto"/>
      </w:divBdr>
    </w:div>
    <w:div w:id="1196623413">
      <w:bodyDiv w:val="1"/>
      <w:marLeft w:val="0"/>
      <w:marRight w:val="0"/>
      <w:marTop w:val="0"/>
      <w:marBottom w:val="0"/>
      <w:divBdr>
        <w:top w:val="none" w:sz="0" w:space="0" w:color="auto"/>
        <w:left w:val="none" w:sz="0" w:space="0" w:color="auto"/>
        <w:bottom w:val="none" w:sz="0" w:space="0" w:color="auto"/>
        <w:right w:val="none" w:sz="0" w:space="0" w:color="auto"/>
      </w:divBdr>
    </w:div>
    <w:div w:id="1196849997">
      <w:bodyDiv w:val="1"/>
      <w:marLeft w:val="0"/>
      <w:marRight w:val="0"/>
      <w:marTop w:val="0"/>
      <w:marBottom w:val="0"/>
      <w:divBdr>
        <w:top w:val="none" w:sz="0" w:space="0" w:color="auto"/>
        <w:left w:val="none" w:sz="0" w:space="0" w:color="auto"/>
        <w:bottom w:val="none" w:sz="0" w:space="0" w:color="auto"/>
        <w:right w:val="none" w:sz="0" w:space="0" w:color="auto"/>
      </w:divBdr>
    </w:div>
    <w:div w:id="1196960734">
      <w:bodyDiv w:val="1"/>
      <w:marLeft w:val="0"/>
      <w:marRight w:val="0"/>
      <w:marTop w:val="0"/>
      <w:marBottom w:val="0"/>
      <w:divBdr>
        <w:top w:val="none" w:sz="0" w:space="0" w:color="auto"/>
        <w:left w:val="none" w:sz="0" w:space="0" w:color="auto"/>
        <w:bottom w:val="none" w:sz="0" w:space="0" w:color="auto"/>
        <w:right w:val="none" w:sz="0" w:space="0" w:color="auto"/>
      </w:divBdr>
    </w:div>
    <w:div w:id="1197159066">
      <w:bodyDiv w:val="1"/>
      <w:marLeft w:val="0"/>
      <w:marRight w:val="0"/>
      <w:marTop w:val="0"/>
      <w:marBottom w:val="0"/>
      <w:divBdr>
        <w:top w:val="none" w:sz="0" w:space="0" w:color="auto"/>
        <w:left w:val="none" w:sz="0" w:space="0" w:color="auto"/>
        <w:bottom w:val="none" w:sz="0" w:space="0" w:color="auto"/>
        <w:right w:val="none" w:sz="0" w:space="0" w:color="auto"/>
      </w:divBdr>
    </w:div>
    <w:div w:id="1198470919">
      <w:bodyDiv w:val="1"/>
      <w:marLeft w:val="0"/>
      <w:marRight w:val="0"/>
      <w:marTop w:val="0"/>
      <w:marBottom w:val="0"/>
      <w:divBdr>
        <w:top w:val="none" w:sz="0" w:space="0" w:color="auto"/>
        <w:left w:val="none" w:sz="0" w:space="0" w:color="auto"/>
        <w:bottom w:val="none" w:sz="0" w:space="0" w:color="auto"/>
        <w:right w:val="none" w:sz="0" w:space="0" w:color="auto"/>
      </w:divBdr>
    </w:div>
    <w:div w:id="1200514261">
      <w:bodyDiv w:val="1"/>
      <w:marLeft w:val="0"/>
      <w:marRight w:val="0"/>
      <w:marTop w:val="0"/>
      <w:marBottom w:val="0"/>
      <w:divBdr>
        <w:top w:val="none" w:sz="0" w:space="0" w:color="auto"/>
        <w:left w:val="none" w:sz="0" w:space="0" w:color="auto"/>
        <w:bottom w:val="none" w:sz="0" w:space="0" w:color="auto"/>
        <w:right w:val="none" w:sz="0" w:space="0" w:color="auto"/>
      </w:divBdr>
    </w:div>
    <w:div w:id="1201547747">
      <w:bodyDiv w:val="1"/>
      <w:marLeft w:val="0"/>
      <w:marRight w:val="0"/>
      <w:marTop w:val="0"/>
      <w:marBottom w:val="0"/>
      <w:divBdr>
        <w:top w:val="none" w:sz="0" w:space="0" w:color="auto"/>
        <w:left w:val="none" w:sz="0" w:space="0" w:color="auto"/>
        <w:bottom w:val="none" w:sz="0" w:space="0" w:color="auto"/>
        <w:right w:val="none" w:sz="0" w:space="0" w:color="auto"/>
      </w:divBdr>
    </w:div>
    <w:div w:id="1202208712">
      <w:bodyDiv w:val="1"/>
      <w:marLeft w:val="0"/>
      <w:marRight w:val="0"/>
      <w:marTop w:val="0"/>
      <w:marBottom w:val="0"/>
      <w:divBdr>
        <w:top w:val="none" w:sz="0" w:space="0" w:color="auto"/>
        <w:left w:val="none" w:sz="0" w:space="0" w:color="auto"/>
        <w:bottom w:val="none" w:sz="0" w:space="0" w:color="auto"/>
        <w:right w:val="none" w:sz="0" w:space="0" w:color="auto"/>
      </w:divBdr>
    </w:div>
    <w:div w:id="1203326158">
      <w:bodyDiv w:val="1"/>
      <w:marLeft w:val="0"/>
      <w:marRight w:val="0"/>
      <w:marTop w:val="0"/>
      <w:marBottom w:val="0"/>
      <w:divBdr>
        <w:top w:val="none" w:sz="0" w:space="0" w:color="auto"/>
        <w:left w:val="none" w:sz="0" w:space="0" w:color="auto"/>
        <w:bottom w:val="none" w:sz="0" w:space="0" w:color="auto"/>
        <w:right w:val="none" w:sz="0" w:space="0" w:color="auto"/>
      </w:divBdr>
    </w:div>
    <w:div w:id="1203396738">
      <w:bodyDiv w:val="1"/>
      <w:marLeft w:val="0"/>
      <w:marRight w:val="0"/>
      <w:marTop w:val="0"/>
      <w:marBottom w:val="0"/>
      <w:divBdr>
        <w:top w:val="none" w:sz="0" w:space="0" w:color="auto"/>
        <w:left w:val="none" w:sz="0" w:space="0" w:color="auto"/>
        <w:bottom w:val="none" w:sz="0" w:space="0" w:color="auto"/>
        <w:right w:val="none" w:sz="0" w:space="0" w:color="auto"/>
      </w:divBdr>
    </w:div>
    <w:div w:id="1203908395">
      <w:bodyDiv w:val="1"/>
      <w:marLeft w:val="0"/>
      <w:marRight w:val="0"/>
      <w:marTop w:val="0"/>
      <w:marBottom w:val="0"/>
      <w:divBdr>
        <w:top w:val="none" w:sz="0" w:space="0" w:color="auto"/>
        <w:left w:val="none" w:sz="0" w:space="0" w:color="auto"/>
        <w:bottom w:val="none" w:sz="0" w:space="0" w:color="auto"/>
        <w:right w:val="none" w:sz="0" w:space="0" w:color="auto"/>
      </w:divBdr>
    </w:div>
    <w:div w:id="1204101802">
      <w:bodyDiv w:val="1"/>
      <w:marLeft w:val="0"/>
      <w:marRight w:val="0"/>
      <w:marTop w:val="0"/>
      <w:marBottom w:val="0"/>
      <w:divBdr>
        <w:top w:val="none" w:sz="0" w:space="0" w:color="auto"/>
        <w:left w:val="none" w:sz="0" w:space="0" w:color="auto"/>
        <w:bottom w:val="none" w:sz="0" w:space="0" w:color="auto"/>
        <w:right w:val="none" w:sz="0" w:space="0" w:color="auto"/>
      </w:divBdr>
    </w:div>
    <w:div w:id="1204900466">
      <w:bodyDiv w:val="1"/>
      <w:marLeft w:val="0"/>
      <w:marRight w:val="0"/>
      <w:marTop w:val="0"/>
      <w:marBottom w:val="0"/>
      <w:divBdr>
        <w:top w:val="none" w:sz="0" w:space="0" w:color="auto"/>
        <w:left w:val="none" w:sz="0" w:space="0" w:color="auto"/>
        <w:bottom w:val="none" w:sz="0" w:space="0" w:color="auto"/>
        <w:right w:val="none" w:sz="0" w:space="0" w:color="auto"/>
      </w:divBdr>
    </w:div>
    <w:div w:id="1206025158">
      <w:bodyDiv w:val="1"/>
      <w:marLeft w:val="0"/>
      <w:marRight w:val="0"/>
      <w:marTop w:val="0"/>
      <w:marBottom w:val="0"/>
      <w:divBdr>
        <w:top w:val="none" w:sz="0" w:space="0" w:color="auto"/>
        <w:left w:val="none" w:sz="0" w:space="0" w:color="auto"/>
        <w:bottom w:val="none" w:sz="0" w:space="0" w:color="auto"/>
        <w:right w:val="none" w:sz="0" w:space="0" w:color="auto"/>
      </w:divBdr>
    </w:div>
    <w:div w:id="1206602268">
      <w:bodyDiv w:val="1"/>
      <w:marLeft w:val="0"/>
      <w:marRight w:val="0"/>
      <w:marTop w:val="0"/>
      <w:marBottom w:val="0"/>
      <w:divBdr>
        <w:top w:val="none" w:sz="0" w:space="0" w:color="auto"/>
        <w:left w:val="none" w:sz="0" w:space="0" w:color="auto"/>
        <w:bottom w:val="none" w:sz="0" w:space="0" w:color="auto"/>
        <w:right w:val="none" w:sz="0" w:space="0" w:color="auto"/>
      </w:divBdr>
    </w:div>
    <w:div w:id="1207179521">
      <w:bodyDiv w:val="1"/>
      <w:marLeft w:val="0"/>
      <w:marRight w:val="0"/>
      <w:marTop w:val="0"/>
      <w:marBottom w:val="0"/>
      <w:divBdr>
        <w:top w:val="none" w:sz="0" w:space="0" w:color="auto"/>
        <w:left w:val="none" w:sz="0" w:space="0" w:color="auto"/>
        <w:bottom w:val="none" w:sz="0" w:space="0" w:color="auto"/>
        <w:right w:val="none" w:sz="0" w:space="0" w:color="auto"/>
      </w:divBdr>
    </w:div>
    <w:div w:id="1207329009">
      <w:bodyDiv w:val="1"/>
      <w:marLeft w:val="0"/>
      <w:marRight w:val="0"/>
      <w:marTop w:val="0"/>
      <w:marBottom w:val="0"/>
      <w:divBdr>
        <w:top w:val="none" w:sz="0" w:space="0" w:color="auto"/>
        <w:left w:val="none" w:sz="0" w:space="0" w:color="auto"/>
        <w:bottom w:val="none" w:sz="0" w:space="0" w:color="auto"/>
        <w:right w:val="none" w:sz="0" w:space="0" w:color="auto"/>
      </w:divBdr>
    </w:div>
    <w:div w:id="1207568129">
      <w:bodyDiv w:val="1"/>
      <w:marLeft w:val="0"/>
      <w:marRight w:val="0"/>
      <w:marTop w:val="0"/>
      <w:marBottom w:val="0"/>
      <w:divBdr>
        <w:top w:val="none" w:sz="0" w:space="0" w:color="auto"/>
        <w:left w:val="none" w:sz="0" w:space="0" w:color="auto"/>
        <w:bottom w:val="none" w:sz="0" w:space="0" w:color="auto"/>
        <w:right w:val="none" w:sz="0" w:space="0" w:color="auto"/>
      </w:divBdr>
    </w:div>
    <w:div w:id="1207793889">
      <w:bodyDiv w:val="1"/>
      <w:marLeft w:val="0"/>
      <w:marRight w:val="0"/>
      <w:marTop w:val="0"/>
      <w:marBottom w:val="0"/>
      <w:divBdr>
        <w:top w:val="none" w:sz="0" w:space="0" w:color="auto"/>
        <w:left w:val="none" w:sz="0" w:space="0" w:color="auto"/>
        <w:bottom w:val="none" w:sz="0" w:space="0" w:color="auto"/>
        <w:right w:val="none" w:sz="0" w:space="0" w:color="auto"/>
      </w:divBdr>
    </w:div>
    <w:div w:id="1207912064">
      <w:bodyDiv w:val="1"/>
      <w:marLeft w:val="0"/>
      <w:marRight w:val="0"/>
      <w:marTop w:val="0"/>
      <w:marBottom w:val="0"/>
      <w:divBdr>
        <w:top w:val="none" w:sz="0" w:space="0" w:color="auto"/>
        <w:left w:val="none" w:sz="0" w:space="0" w:color="auto"/>
        <w:bottom w:val="none" w:sz="0" w:space="0" w:color="auto"/>
        <w:right w:val="none" w:sz="0" w:space="0" w:color="auto"/>
      </w:divBdr>
    </w:div>
    <w:div w:id="1208107016">
      <w:bodyDiv w:val="1"/>
      <w:marLeft w:val="0"/>
      <w:marRight w:val="0"/>
      <w:marTop w:val="0"/>
      <w:marBottom w:val="0"/>
      <w:divBdr>
        <w:top w:val="none" w:sz="0" w:space="0" w:color="auto"/>
        <w:left w:val="none" w:sz="0" w:space="0" w:color="auto"/>
        <w:bottom w:val="none" w:sz="0" w:space="0" w:color="auto"/>
        <w:right w:val="none" w:sz="0" w:space="0" w:color="auto"/>
      </w:divBdr>
    </w:div>
    <w:div w:id="1209027247">
      <w:bodyDiv w:val="1"/>
      <w:marLeft w:val="0"/>
      <w:marRight w:val="0"/>
      <w:marTop w:val="0"/>
      <w:marBottom w:val="0"/>
      <w:divBdr>
        <w:top w:val="none" w:sz="0" w:space="0" w:color="auto"/>
        <w:left w:val="none" w:sz="0" w:space="0" w:color="auto"/>
        <w:bottom w:val="none" w:sz="0" w:space="0" w:color="auto"/>
        <w:right w:val="none" w:sz="0" w:space="0" w:color="auto"/>
      </w:divBdr>
    </w:div>
    <w:div w:id="1209031380">
      <w:bodyDiv w:val="1"/>
      <w:marLeft w:val="0"/>
      <w:marRight w:val="0"/>
      <w:marTop w:val="0"/>
      <w:marBottom w:val="0"/>
      <w:divBdr>
        <w:top w:val="none" w:sz="0" w:space="0" w:color="auto"/>
        <w:left w:val="none" w:sz="0" w:space="0" w:color="auto"/>
        <w:bottom w:val="none" w:sz="0" w:space="0" w:color="auto"/>
        <w:right w:val="none" w:sz="0" w:space="0" w:color="auto"/>
      </w:divBdr>
    </w:div>
    <w:div w:id="1209297162">
      <w:bodyDiv w:val="1"/>
      <w:marLeft w:val="0"/>
      <w:marRight w:val="0"/>
      <w:marTop w:val="0"/>
      <w:marBottom w:val="0"/>
      <w:divBdr>
        <w:top w:val="none" w:sz="0" w:space="0" w:color="auto"/>
        <w:left w:val="none" w:sz="0" w:space="0" w:color="auto"/>
        <w:bottom w:val="none" w:sz="0" w:space="0" w:color="auto"/>
        <w:right w:val="none" w:sz="0" w:space="0" w:color="auto"/>
      </w:divBdr>
    </w:div>
    <w:div w:id="1209343852">
      <w:bodyDiv w:val="1"/>
      <w:marLeft w:val="0"/>
      <w:marRight w:val="0"/>
      <w:marTop w:val="0"/>
      <w:marBottom w:val="0"/>
      <w:divBdr>
        <w:top w:val="none" w:sz="0" w:space="0" w:color="auto"/>
        <w:left w:val="none" w:sz="0" w:space="0" w:color="auto"/>
        <w:bottom w:val="none" w:sz="0" w:space="0" w:color="auto"/>
        <w:right w:val="none" w:sz="0" w:space="0" w:color="auto"/>
      </w:divBdr>
    </w:div>
    <w:div w:id="1211261739">
      <w:bodyDiv w:val="1"/>
      <w:marLeft w:val="0"/>
      <w:marRight w:val="0"/>
      <w:marTop w:val="0"/>
      <w:marBottom w:val="0"/>
      <w:divBdr>
        <w:top w:val="none" w:sz="0" w:space="0" w:color="auto"/>
        <w:left w:val="none" w:sz="0" w:space="0" w:color="auto"/>
        <w:bottom w:val="none" w:sz="0" w:space="0" w:color="auto"/>
        <w:right w:val="none" w:sz="0" w:space="0" w:color="auto"/>
      </w:divBdr>
    </w:div>
    <w:div w:id="1211965371">
      <w:bodyDiv w:val="1"/>
      <w:marLeft w:val="0"/>
      <w:marRight w:val="0"/>
      <w:marTop w:val="0"/>
      <w:marBottom w:val="0"/>
      <w:divBdr>
        <w:top w:val="none" w:sz="0" w:space="0" w:color="auto"/>
        <w:left w:val="none" w:sz="0" w:space="0" w:color="auto"/>
        <w:bottom w:val="none" w:sz="0" w:space="0" w:color="auto"/>
        <w:right w:val="none" w:sz="0" w:space="0" w:color="auto"/>
      </w:divBdr>
    </w:div>
    <w:div w:id="1212572052">
      <w:bodyDiv w:val="1"/>
      <w:marLeft w:val="0"/>
      <w:marRight w:val="0"/>
      <w:marTop w:val="0"/>
      <w:marBottom w:val="0"/>
      <w:divBdr>
        <w:top w:val="none" w:sz="0" w:space="0" w:color="auto"/>
        <w:left w:val="none" w:sz="0" w:space="0" w:color="auto"/>
        <w:bottom w:val="none" w:sz="0" w:space="0" w:color="auto"/>
        <w:right w:val="none" w:sz="0" w:space="0" w:color="auto"/>
      </w:divBdr>
    </w:div>
    <w:div w:id="1212573137">
      <w:bodyDiv w:val="1"/>
      <w:marLeft w:val="0"/>
      <w:marRight w:val="0"/>
      <w:marTop w:val="0"/>
      <w:marBottom w:val="0"/>
      <w:divBdr>
        <w:top w:val="none" w:sz="0" w:space="0" w:color="auto"/>
        <w:left w:val="none" w:sz="0" w:space="0" w:color="auto"/>
        <w:bottom w:val="none" w:sz="0" w:space="0" w:color="auto"/>
        <w:right w:val="none" w:sz="0" w:space="0" w:color="auto"/>
      </w:divBdr>
    </w:div>
    <w:div w:id="1214267145">
      <w:bodyDiv w:val="1"/>
      <w:marLeft w:val="0"/>
      <w:marRight w:val="0"/>
      <w:marTop w:val="0"/>
      <w:marBottom w:val="0"/>
      <w:divBdr>
        <w:top w:val="none" w:sz="0" w:space="0" w:color="auto"/>
        <w:left w:val="none" w:sz="0" w:space="0" w:color="auto"/>
        <w:bottom w:val="none" w:sz="0" w:space="0" w:color="auto"/>
        <w:right w:val="none" w:sz="0" w:space="0" w:color="auto"/>
      </w:divBdr>
    </w:div>
    <w:div w:id="1214460764">
      <w:bodyDiv w:val="1"/>
      <w:marLeft w:val="0"/>
      <w:marRight w:val="0"/>
      <w:marTop w:val="0"/>
      <w:marBottom w:val="0"/>
      <w:divBdr>
        <w:top w:val="none" w:sz="0" w:space="0" w:color="auto"/>
        <w:left w:val="none" w:sz="0" w:space="0" w:color="auto"/>
        <w:bottom w:val="none" w:sz="0" w:space="0" w:color="auto"/>
        <w:right w:val="none" w:sz="0" w:space="0" w:color="auto"/>
      </w:divBdr>
    </w:div>
    <w:div w:id="1214544576">
      <w:bodyDiv w:val="1"/>
      <w:marLeft w:val="0"/>
      <w:marRight w:val="0"/>
      <w:marTop w:val="0"/>
      <w:marBottom w:val="0"/>
      <w:divBdr>
        <w:top w:val="none" w:sz="0" w:space="0" w:color="auto"/>
        <w:left w:val="none" w:sz="0" w:space="0" w:color="auto"/>
        <w:bottom w:val="none" w:sz="0" w:space="0" w:color="auto"/>
        <w:right w:val="none" w:sz="0" w:space="0" w:color="auto"/>
      </w:divBdr>
    </w:div>
    <w:div w:id="1215433768">
      <w:bodyDiv w:val="1"/>
      <w:marLeft w:val="0"/>
      <w:marRight w:val="0"/>
      <w:marTop w:val="0"/>
      <w:marBottom w:val="0"/>
      <w:divBdr>
        <w:top w:val="none" w:sz="0" w:space="0" w:color="auto"/>
        <w:left w:val="none" w:sz="0" w:space="0" w:color="auto"/>
        <w:bottom w:val="none" w:sz="0" w:space="0" w:color="auto"/>
        <w:right w:val="none" w:sz="0" w:space="0" w:color="auto"/>
      </w:divBdr>
    </w:div>
    <w:div w:id="1216428097">
      <w:bodyDiv w:val="1"/>
      <w:marLeft w:val="0"/>
      <w:marRight w:val="0"/>
      <w:marTop w:val="0"/>
      <w:marBottom w:val="0"/>
      <w:divBdr>
        <w:top w:val="none" w:sz="0" w:space="0" w:color="auto"/>
        <w:left w:val="none" w:sz="0" w:space="0" w:color="auto"/>
        <w:bottom w:val="none" w:sz="0" w:space="0" w:color="auto"/>
        <w:right w:val="none" w:sz="0" w:space="0" w:color="auto"/>
      </w:divBdr>
    </w:div>
    <w:div w:id="1217279287">
      <w:bodyDiv w:val="1"/>
      <w:marLeft w:val="0"/>
      <w:marRight w:val="0"/>
      <w:marTop w:val="0"/>
      <w:marBottom w:val="0"/>
      <w:divBdr>
        <w:top w:val="none" w:sz="0" w:space="0" w:color="auto"/>
        <w:left w:val="none" w:sz="0" w:space="0" w:color="auto"/>
        <w:bottom w:val="none" w:sz="0" w:space="0" w:color="auto"/>
        <w:right w:val="none" w:sz="0" w:space="0" w:color="auto"/>
      </w:divBdr>
    </w:div>
    <w:div w:id="1217740478">
      <w:bodyDiv w:val="1"/>
      <w:marLeft w:val="0"/>
      <w:marRight w:val="0"/>
      <w:marTop w:val="0"/>
      <w:marBottom w:val="0"/>
      <w:divBdr>
        <w:top w:val="none" w:sz="0" w:space="0" w:color="auto"/>
        <w:left w:val="none" w:sz="0" w:space="0" w:color="auto"/>
        <w:bottom w:val="none" w:sz="0" w:space="0" w:color="auto"/>
        <w:right w:val="none" w:sz="0" w:space="0" w:color="auto"/>
      </w:divBdr>
    </w:div>
    <w:div w:id="1217857450">
      <w:bodyDiv w:val="1"/>
      <w:marLeft w:val="0"/>
      <w:marRight w:val="0"/>
      <w:marTop w:val="0"/>
      <w:marBottom w:val="0"/>
      <w:divBdr>
        <w:top w:val="none" w:sz="0" w:space="0" w:color="auto"/>
        <w:left w:val="none" w:sz="0" w:space="0" w:color="auto"/>
        <w:bottom w:val="none" w:sz="0" w:space="0" w:color="auto"/>
        <w:right w:val="none" w:sz="0" w:space="0" w:color="auto"/>
      </w:divBdr>
    </w:div>
    <w:div w:id="1218707869">
      <w:bodyDiv w:val="1"/>
      <w:marLeft w:val="0"/>
      <w:marRight w:val="0"/>
      <w:marTop w:val="0"/>
      <w:marBottom w:val="0"/>
      <w:divBdr>
        <w:top w:val="none" w:sz="0" w:space="0" w:color="auto"/>
        <w:left w:val="none" w:sz="0" w:space="0" w:color="auto"/>
        <w:bottom w:val="none" w:sz="0" w:space="0" w:color="auto"/>
        <w:right w:val="none" w:sz="0" w:space="0" w:color="auto"/>
      </w:divBdr>
    </w:div>
    <w:div w:id="1218974794">
      <w:bodyDiv w:val="1"/>
      <w:marLeft w:val="0"/>
      <w:marRight w:val="0"/>
      <w:marTop w:val="0"/>
      <w:marBottom w:val="0"/>
      <w:divBdr>
        <w:top w:val="none" w:sz="0" w:space="0" w:color="auto"/>
        <w:left w:val="none" w:sz="0" w:space="0" w:color="auto"/>
        <w:bottom w:val="none" w:sz="0" w:space="0" w:color="auto"/>
        <w:right w:val="none" w:sz="0" w:space="0" w:color="auto"/>
      </w:divBdr>
    </w:div>
    <w:div w:id="1219853438">
      <w:bodyDiv w:val="1"/>
      <w:marLeft w:val="0"/>
      <w:marRight w:val="0"/>
      <w:marTop w:val="0"/>
      <w:marBottom w:val="0"/>
      <w:divBdr>
        <w:top w:val="none" w:sz="0" w:space="0" w:color="auto"/>
        <w:left w:val="none" w:sz="0" w:space="0" w:color="auto"/>
        <w:bottom w:val="none" w:sz="0" w:space="0" w:color="auto"/>
        <w:right w:val="none" w:sz="0" w:space="0" w:color="auto"/>
      </w:divBdr>
    </w:div>
    <w:div w:id="1220021871">
      <w:bodyDiv w:val="1"/>
      <w:marLeft w:val="0"/>
      <w:marRight w:val="0"/>
      <w:marTop w:val="0"/>
      <w:marBottom w:val="0"/>
      <w:divBdr>
        <w:top w:val="none" w:sz="0" w:space="0" w:color="auto"/>
        <w:left w:val="none" w:sz="0" w:space="0" w:color="auto"/>
        <w:bottom w:val="none" w:sz="0" w:space="0" w:color="auto"/>
        <w:right w:val="none" w:sz="0" w:space="0" w:color="auto"/>
      </w:divBdr>
    </w:div>
    <w:div w:id="1220089815">
      <w:bodyDiv w:val="1"/>
      <w:marLeft w:val="0"/>
      <w:marRight w:val="0"/>
      <w:marTop w:val="0"/>
      <w:marBottom w:val="0"/>
      <w:divBdr>
        <w:top w:val="none" w:sz="0" w:space="0" w:color="auto"/>
        <w:left w:val="none" w:sz="0" w:space="0" w:color="auto"/>
        <w:bottom w:val="none" w:sz="0" w:space="0" w:color="auto"/>
        <w:right w:val="none" w:sz="0" w:space="0" w:color="auto"/>
      </w:divBdr>
    </w:div>
    <w:div w:id="1220820403">
      <w:bodyDiv w:val="1"/>
      <w:marLeft w:val="0"/>
      <w:marRight w:val="0"/>
      <w:marTop w:val="0"/>
      <w:marBottom w:val="0"/>
      <w:divBdr>
        <w:top w:val="none" w:sz="0" w:space="0" w:color="auto"/>
        <w:left w:val="none" w:sz="0" w:space="0" w:color="auto"/>
        <w:bottom w:val="none" w:sz="0" w:space="0" w:color="auto"/>
        <w:right w:val="none" w:sz="0" w:space="0" w:color="auto"/>
      </w:divBdr>
    </w:div>
    <w:div w:id="1223522520">
      <w:bodyDiv w:val="1"/>
      <w:marLeft w:val="0"/>
      <w:marRight w:val="0"/>
      <w:marTop w:val="0"/>
      <w:marBottom w:val="0"/>
      <w:divBdr>
        <w:top w:val="none" w:sz="0" w:space="0" w:color="auto"/>
        <w:left w:val="none" w:sz="0" w:space="0" w:color="auto"/>
        <w:bottom w:val="none" w:sz="0" w:space="0" w:color="auto"/>
        <w:right w:val="none" w:sz="0" w:space="0" w:color="auto"/>
      </w:divBdr>
    </w:div>
    <w:div w:id="1223637025">
      <w:bodyDiv w:val="1"/>
      <w:marLeft w:val="0"/>
      <w:marRight w:val="0"/>
      <w:marTop w:val="0"/>
      <w:marBottom w:val="0"/>
      <w:divBdr>
        <w:top w:val="none" w:sz="0" w:space="0" w:color="auto"/>
        <w:left w:val="none" w:sz="0" w:space="0" w:color="auto"/>
        <w:bottom w:val="none" w:sz="0" w:space="0" w:color="auto"/>
        <w:right w:val="none" w:sz="0" w:space="0" w:color="auto"/>
      </w:divBdr>
    </w:div>
    <w:div w:id="1225335800">
      <w:bodyDiv w:val="1"/>
      <w:marLeft w:val="0"/>
      <w:marRight w:val="0"/>
      <w:marTop w:val="0"/>
      <w:marBottom w:val="0"/>
      <w:divBdr>
        <w:top w:val="none" w:sz="0" w:space="0" w:color="auto"/>
        <w:left w:val="none" w:sz="0" w:space="0" w:color="auto"/>
        <w:bottom w:val="none" w:sz="0" w:space="0" w:color="auto"/>
        <w:right w:val="none" w:sz="0" w:space="0" w:color="auto"/>
      </w:divBdr>
    </w:div>
    <w:div w:id="1225678606">
      <w:bodyDiv w:val="1"/>
      <w:marLeft w:val="0"/>
      <w:marRight w:val="0"/>
      <w:marTop w:val="0"/>
      <w:marBottom w:val="0"/>
      <w:divBdr>
        <w:top w:val="none" w:sz="0" w:space="0" w:color="auto"/>
        <w:left w:val="none" w:sz="0" w:space="0" w:color="auto"/>
        <w:bottom w:val="none" w:sz="0" w:space="0" w:color="auto"/>
        <w:right w:val="none" w:sz="0" w:space="0" w:color="auto"/>
      </w:divBdr>
    </w:div>
    <w:div w:id="1226065860">
      <w:bodyDiv w:val="1"/>
      <w:marLeft w:val="0"/>
      <w:marRight w:val="0"/>
      <w:marTop w:val="0"/>
      <w:marBottom w:val="0"/>
      <w:divBdr>
        <w:top w:val="none" w:sz="0" w:space="0" w:color="auto"/>
        <w:left w:val="none" w:sz="0" w:space="0" w:color="auto"/>
        <w:bottom w:val="none" w:sz="0" w:space="0" w:color="auto"/>
        <w:right w:val="none" w:sz="0" w:space="0" w:color="auto"/>
      </w:divBdr>
    </w:div>
    <w:div w:id="1226259581">
      <w:bodyDiv w:val="1"/>
      <w:marLeft w:val="0"/>
      <w:marRight w:val="0"/>
      <w:marTop w:val="0"/>
      <w:marBottom w:val="0"/>
      <w:divBdr>
        <w:top w:val="none" w:sz="0" w:space="0" w:color="auto"/>
        <w:left w:val="none" w:sz="0" w:space="0" w:color="auto"/>
        <w:bottom w:val="none" w:sz="0" w:space="0" w:color="auto"/>
        <w:right w:val="none" w:sz="0" w:space="0" w:color="auto"/>
      </w:divBdr>
    </w:div>
    <w:div w:id="1228568600">
      <w:bodyDiv w:val="1"/>
      <w:marLeft w:val="0"/>
      <w:marRight w:val="0"/>
      <w:marTop w:val="0"/>
      <w:marBottom w:val="0"/>
      <w:divBdr>
        <w:top w:val="none" w:sz="0" w:space="0" w:color="auto"/>
        <w:left w:val="none" w:sz="0" w:space="0" w:color="auto"/>
        <w:bottom w:val="none" w:sz="0" w:space="0" w:color="auto"/>
        <w:right w:val="none" w:sz="0" w:space="0" w:color="auto"/>
      </w:divBdr>
    </w:div>
    <w:div w:id="1228999509">
      <w:bodyDiv w:val="1"/>
      <w:marLeft w:val="0"/>
      <w:marRight w:val="0"/>
      <w:marTop w:val="0"/>
      <w:marBottom w:val="0"/>
      <w:divBdr>
        <w:top w:val="none" w:sz="0" w:space="0" w:color="auto"/>
        <w:left w:val="none" w:sz="0" w:space="0" w:color="auto"/>
        <w:bottom w:val="none" w:sz="0" w:space="0" w:color="auto"/>
        <w:right w:val="none" w:sz="0" w:space="0" w:color="auto"/>
      </w:divBdr>
    </w:div>
    <w:div w:id="1229028154">
      <w:bodyDiv w:val="1"/>
      <w:marLeft w:val="0"/>
      <w:marRight w:val="0"/>
      <w:marTop w:val="0"/>
      <w:marBottom w:val="0"/>
      <w:divBdr>
        <w:top w:val="none" w:sz="0" w:space="0" w:color="auto"/>
        <w:left w:val="none" w:sz="0" w:space="0" w:color="auto"/>
        <w:bottom w:val="none" w:sz="0" w:space="0" w:color="auto"/>
        <w:right w:val="none" w:sz="0" w:space="0" w:color="auto"/>
      </w:divBdr>
    </w:div>
    <w:div w:id="1229069857">
      <w:bodyDiv w:val="1"/>
      <w:marLeft w:val="0"/>
      <w:marRight w:val="0"/>
      <w:marTop w:val="0"/>
      <w:marBottom w:val="0"/>
      <w:divBdr>
        <w:top w:val="none" w:sz="0" w:space="0" w:color="auto"/>
        <w:left w:val="none" w:sz="0" w:space="0" w:color="auto"/>
        <w:bottom w:val="none" w:sz="0" w:space="0" w:color="auto"/>
        <w:right w:val="none" w:sz="0" w:space="0" w:color="auto"/>
      </w:divBdr>
    </w:div>
    <w:div w:id="1229456209">
      <w:bodyDiv w:val="1"/>
      <w:marLeft w:val="0"/>
      <w:marRight w:val="0"/>
      <w:marTop w:val="0"/>
      <w:marBottom w:val="0"/>
      <w:divBdr>
        <w:top w:val="none" w:sz="0" w:space="0" w:color="auto"/>
        <w:left w:val="none" w:sz="0" w:space="0" w:color="auto"/>
        <w:bottom w:val="none" w:sz="0" w:space="0" w:color="auto"/>
        <w:right w:val="none" w:sz="0" w:space="0" w:color="auto"/>
      </w:divBdr>
    </w:div>
    <w:div w:id="1229925671">
      <w:bodyDiv w:val="1"/>
      <w:marLeft w:val="0"/>
      <w:marRight w:val="0"/>
      <w:marTop w:val="0"/>
      <w:marBottom w:val="0"/>
      <w:divBdr>
        <w:top w:val="none" w:sz="0" w:space="0" w:color="auto"/>
        <w:left w:val="none" w:sz="0" w:space="0" w:color="auto"/>
        <w:bottom w:val="none" w:sz="0" w:space="0" w:color="auto"/>
        <w:right w:val="none" w:sz="0" w:space="0" w:color="auto"/>
      </w:divBdr>
    </w:div>
    <w:div w:id="1230266019">
      <w:bodyDiv w:val="1"/>
      <w:marLeft w:val="0"/>
      <w:marRight w:val="0"/>
      <w:marTop w:val="0"/>
      <w:marBottom w:val="0"/>
      <w:divBdr>
        <w:top w:val="none" w:sz="0" w:space="0" w:color="auto"/>
        <w:left w:val="none" w:sz="0" w:space="0" w:color="auto"/>
        <w:bottom w:val="none" w:sz="0" w:space="0" w:color="auto"/>
        <w:right w:val="none" w:sz="0" w:space="0" w:color="auto"/>
      </w:divBdr>
    </w:div>
    <w:div w:id="1230535086">
      <w:bodyDiv w:val="1"/>
      <w:marLeft w:val="0"/>
      <w:marRight w:val="0"/>
      <w:marTop w:val="0"/>
      <w:marBottom w:val="0"/>
      <w:divBdr>
        <w:top w:val="none" w:sz="0" w:space="0" w:color="auto"/>
        <w:left w:val="none" w:sz="0" w:space="0" w:color="auto"/>
        <w:bottom w:val="none" w:sz="0" w:space="0" w:color="auto"/>
        <w:right w:val="none" w:sz="0" w:space="0" w:color="auto"/>
      </w:divBdr>
    </w:div>
    <w:div w:id="1230574489">
      <w:bodyDiv w:val="1"/>
      <w:marLeft w:val="0"/>
      <w:marRight w:val="0"/>
      <w:marTop w:val="0"/>
      <w:marBottom w:val="0"/>
      <w:divBdr>
        <w:top w:val="none" w:sz="0" w:space="0" w:color="auto"/>
        <w:left w:val="none" w:sz="0" w:space="0" w:color="auto"/>
        <w:bottom w:val="none" w:sz="0" w:space="0" w:color="auto"/>
        <w:right w:val="none" w:sz="0" w:space="0" w:color="auto"/>
      </w:divBdr>
    </w:div>
    <w:div w:id="1230648649">
      <w:bodyDiv w:val="1"/>
      <w:marLeft w:val="0"/>
      <w:marRight w:val="0"/>
      <w:marTop w:val="0"/>
      <w:marBottom w:val="0"/>
      <w:divBdr>
        <w:top w:val="none" w:sz="0" w:space="0" w:color="auto"/>
        <w:left w:val="none" w:sz="0" w:space="0" w:color="auto"/>
        <w:bottom w:val="none" w:sz="0" w:space="0" w:color="auto"/>
        <w:right w:val="none" w:sz="0" w:space="0" w:color="auto"/>
      </w:divBdr>
    </w:div>
    <w:div w:id="1230923120">
      <w:bodyDiv w:val="1"/>
      <w:marLeft w:val="0"/>
      <w:marRight w:val="0"/>
      <w:marTop w:val="0"/>
      <w:marBottom w:val="0"/>
      <w:divBdr>
        <w:top w:val="none" w:sz="0" w:space="0" w:color="auto"/>
        <w:left w:val="none" w:sz="0" w:space="0" w:color="auto"/>
        <w:bottom w:val="none" w:sz="0" w:space="0" w:color="auto"/>
        <w:right w:val="none" w:sz="0" w:space="0" w:color="auto"/>
      </w:divBdr>
    </w:div>
    <w:div w:id="1232083122">
      <w:bodyDiv w:val="1"/>
      <w:marLeft w:val="0"/>
      <w:marRight w:val="0"/>
      <w:marTop w:val="0"/>
      <w:marBottom w:val="0"/>
      <w:divBdr>
        <w:top w:val="none" w:sz="0" w:space="0" w:color="auto"/>
        <w:left w:val="none" w:sz="0" w:space="0" w:color="auto"/>
        <w:bottom w:val="none" w:sz="0" w:space="0" w:color="auto"/>
        <w:right w:val="none" w:sz="0" w:space="0" w:color="auto"/>
      </w:divBdr>
    </w:div>
    <w:div w:id="1232157424">
      <w:bodyDiv w:val="1"/>
      <w:marLeft w:val="0"/>
      <w:marRight w:val="0"/>
      <w:marTop w:val="0"/>
      <w:marBottom w:val="0"/>
      <w:divBdr>
        <w:top w:val="none" w:sz="0" w:space="0" w:color="auto"/>
        <w:left w:val="none" w:sz="0" w:space="0" w:color="auto"/>
        <w:bottom w:val="none" w:sz="0" w:space="0" w:color="auto"/>
        <w:right w:val="none" w:sz="0" w:space="0" w:color="auto"/>
      </w:divBdr>
    </w:div>
    <w:div w:id="1232616872">
      <w:bodyDiv w:val="1"/>
      <w:marLeft w:val="0"/>
      <w:marRight w:val="0"/>
      <w:marTop w:val="0"/>
      <w:marBottom w:val="0"/>
      <w:divBdr>
        <w:top w:val="none" w:sz="0" w:space="0" w:color="auto"/>
        <w:left w:val="none" w:sz="0" w:space="0" w:color="auto"/>
        <w:bottom w:val="none" w:sz="0" w:space="0" w:color="auto"/>
        <w:right w:val="none" w:sz="0" w:space="0" w:color="auto"/>
      </w:divBdr>
    </w:div>
    <w:div w:id="1232618947">
      <w:bodyDiv w:val="1"/>
      <w:marLeft w:val="0"/>
      <w:marRight w:val="0"/>
      <w:marTop w:val="0"/>
      <w:marBottom w:val="0"/>
      <w:divBdr>
        <w:top w:val="none" w:sz="0" w:space="0" w:color="auto"/>
        <w:left w:val="none" w:sz="0" w:space="0" w:color="auto"/>
        <w:bottom w:val="none" w:sz="0" w:space="0" w:color="auto"/>
        <w:right w:val="none" w:sz="0" w:space="0" w:color="auto"/>
      </w:divBdr>
    </w:div>
    <w:div w:id="1233780751">
      <w:bodyDiv w:val="1"/>
      <w:marLeft w:val="0"/>
      <w:marRight w:val="0"/>
      <w:marTop w:val="0"/>
      <w:marBottom w:val="0"/>
      <w:divBdr>
        <w:top w:val="none" w:sz="0" w:space="0" w:color="auto"/>
        <w:left w:val="none" w:sz="0" w:space="0" w:color="auto"/>
        <w:bottom w:val="none" w:sz="0" w:space="0" w:color="auto"/>
        <w:right w:val="none" w:sz="0" w:space="0" w:color="auto"/>
      </w:divBdr>
    </w:div>
    <w:div w:id="1234006484">
      <w:bodyDiv w:val="1"/>
      <w:marLeft w:val="0"/>
      <w:marRight w:val="0"/>
      <w:marTop w:val="0"/>
      <w:marBottom w:val="0"/>
      <w:divBdr>
        <w:top w:val="none" w:sz="0" w:space="0" w:color="auto"/>
        <w:left w:val="none" w:sz="0" w:space="0" w:color="auto"/>
        <w:bottom w:val="none" w:sz="0" w:space="0" w:color="auto"/>
        <w:right w:val="none" w:sz="0" w:space="0" w:color="auto"/>
      </w:divBdr>
    </w:div>
    <w:div w:id="1234465686">
      <w:bodyDiv w:val="1"/>
      <w:marLeft w:val="0"/>
      <w:marRight w:val="0"/>
      <w:marTop w:val="0"/>
      <w:marBottom w:val="0"/>
      <w:divBdr>
        <w:top w:val="none" w:sz="0" w:space="0" w:color="auto"/>
        <w:left w:val="none" w:sz="0" w:space="0" w:color="auto"/>
        <w:bottom w:val="none" w:sz="0" w:space="0" w:color="auto"/>
        <w:right w:val="none" w:sz="0" w:space="0" w:color="auto"/>
      </w:divBdr>
    </w:div>
    <w:div w:id="1234588225">
      <w:bodyDiv w:val="1"/>
      <w:marLeft w:val="0"/>
      <w:marRight w:val="0"/>
      <w:marTop w:val="0"/>
      <w:marBottom w:val="0"/>
      <w:divBdr>
        <w:top w:val="none" w:sz="0" w:space="0" w:color="auto"/>
        <w:left w:val="none" w:sz="0" w:space="0" w:color="auto"/>
        <w:bottom w:val="none" w:sz="0" w:space="0" w:color="auto"/>
        <w:right w:val="none" w:sz="0" w:space="0" w:color="auto"/>
      </w:divBdr>
    </w:div>
    <w:div w:id="1235698960">
      <w:bodyDiv w:val="1"/>
      <w:marLeft w:val="0"/>
      <w:marRight w:val="0"/>
      <w:marTop w:val="0"/>
      <w:marBottom w:val="0"/>
      <w:divBdr>
        <w:top w:val="none" w:sz="0" w:space="0" w:color="auto"/>
        <w:left w:val="none" w:sz="0" w:space="0" w:color="auto"/>
        <w:bottom w:val="none" w:sz="0" w:space="0" w:color="auto"/>
        <w:right w:val="none" w:sz="0" w:space="0" w:color="auto"/>
      </w:divBdr>
    </w:div>
    <w:div w:id="1236090333">
      <w:bodyDiv w:val="1"/>
      <w:marLeft w:val="0"/>
      <w:marRight w:val="0"/>
      <w:marTop w:val="0"/>
      <w:marBottom w:val="0"/>
      <w:divBdr>
        <w:top w:val="none" w:sz="0" w:space="0" w:color="auto"/>
        <w:left w:val="none" w:sz="0" w:space="0" w:color="auto"/>
        <w:bottom w:val="none" w:sz="0" w:space="0" w:color="auto"/>
        <w:right w:val="none" w:sz="0" w:space="0" w:color="auto"/>
      </w:divBdr>
    </w:div>
    <w:div w:id="1236161943">
      <w:bodyDiv w:val="1"/>
      <w:marLeft w:val="0"/>
      <w:marRight w:val="0"/>
      <w:marTop w:val="0"/>
      <w:marBottom w:val="0"/>
      <w:divBdr>
        <w:top w:val="none" w:sz="0" w:space="0" w:color="auto"/>
        <w:left w:val="none" w:sz="0" w:space="0" w:color="auto"/>
        <w:bottom w:val="none" w:sz="0" w:space="0" w:color="auto"/>
        <w:right w:val="none" w:sz="0" w:space="0" w:color="auto"/>
      </w:divBdr>
    </w:div>
    <w:div w:id="1236863115">
      <w:bodyDiv w:val="1"/>
      <w:marLeft w:val="0"/>
      <w:marRight w:val="0"/>
      <w:marTop w:val="0"/>
      <w:marBottom w:val="0"/>
      <w:divBdr>
        <w:top w:val="none" w:sz="0" w:space="0" w:color="auto"/>
        <w:left w:val="none" w:sz="0" w:space="0" w:color="auto"/>
        <w:bottom w:val="none" w:sz="0" w:space="0" w:color="auto"/>
        <w:right w:val="none" w:sz="0" w:space="0" w:color="auto"/>
      </w:divBdr>
    </w:div>
    <w:div w:id="1238712151">
      <w:bodyDiv w:val="1"/>
      <w:marLeft w:val="0"/>
      <w:marRight w:val="0"/>
      <w:marTop w:val="0"/>
      <w:marBottom w:val="0"/>
      <w:divBdr>
        <w:top w:val="none" w:sz="0" w:space="0" w:color="auto"/>
        <w:left w:val="none" w:sz="0" w:space="0" w:color="auto"/>
        <w:bottom w:val="none" w:sz="0" w:space="0" w:color="auto"/>
        <w:right w:val="none" w:sz="0" w:space="0" w:color="auto"/>
      </w:divBdr>
    </w:div>
    <w:div w:id="1239055162">
      <w:bodyDiv w:val="1"/>
      <w:marLeft w:val="0"/>
      <w:marRight w:val="0"/>
      <w:marTop w:val="0"/>
      <w:marBottom w:val="0"/>
      <w:divBdr>
        <w:top w:val="none" w:sz="0" w:space="0" w:color="auto"/>
        <w:left w:val="none" w:sz="0" w:space="0" w:color="auto"/>
        <w:bottom w:val="none" w:sz="0" w:space="0" w:color="auto"/>
        <w:right w:val="none" w:sz="0" w:space="0" w:color="auto"/>
      </w:divBdr>
    </w:div>
    <w:div w:id="1239973261">
      <w:bodyDiv w:val="1"/>
      <w:marLeft w:val="0"/>
      <w:marRight w:val="0"/>
      <w:marTop w:val="0"/>
      <w:marBottom w:val="0"/>
      <w:divBdr>
        <w:top w:val="none" w:sz="0" w:space="0" w:color="auto"/>
        <w:left w:val="none" w:sz="0" w:space="0" w:color="auto"/>
        <w:bottom w:val="none" w:sz="0" w:space="0" w:color="auto"/>
        <w:right w:val="none" w:sz="0" w:space="0" w:color="auto"/>
      </w:divBdr>
    </w:div>
    <w:div w:id="1240090827">
      <w:bodyDiv w:val="1"/>
      <w:marLeft w:val="0"/>
      <w:marRight w:val="0"/>
      <w:marTop w:val="0"/>
      <w:marBottom w:val="0"/>
      <w:divBdr>
        <w:top w:val="none" w:sz="0" w:space="0" w:color="auto"/>
        <w:left w:val="none" w:sz="0" w:space="0" w:color="auto"/>
        <w:bottom w:val="none" w:sz="0" w:space="0" w:color="auto"/>
        <w:right w:val="none" w:sz="0" w:space="0" w:color="auto"/>
      </w:divBdr>
    </w:div>
    <w:div w:id="1240675884">
      <w:bodyDiv w:val="1"/>
      <w:marLeft w:val="0"/>
      <w:marRight w:val="0"/>
      <w:marTop w:val="0"/>
      <w:marBottom w:val="0"/>
      <w:divBdr>
        <w:top w:val="none" w:sz="0" w:space="0" w:color="auto"/>
        <w:left w:val="none" w:sz="0" w:space="0" w:color="auto"/>
        <w:bottom w:val="none" w:sz="0" w:space="0" w:color="auto"/>
        <w:right w:val="none" w:sz="0" w:space="0" w:color="auto"/>
      </w:divBdr>
    </w:div>
    <w:div w:id="1240868766">
      <w:bodyDiv w:val="1"/>
      <w:marLeft w:val="0"/>
      <w:marRight w:val="0"/>
      <w:marTop w:val="0"/>
      <w:marBottom w:val="0"/>
      <w:divBdr>
        <w:top w:val="none" w:sz="0" w:space="0" w:color="auto"/>
        <w:left w:val="none" w:sz="0" w:space="0" w:color="auto"/>
        <w:bottom w:val="none" w:sz="0" w:space="0" w:color="auto"/>
        <w:right w:val="none" w:sz="0" w:space="0" w:color="auto"/>
      </w:divBdr>
    </w:div>
    <w:div w:id="1240946685">
      <w:bodyDiv w:val="1"/>
      <w:marLeft w:val="0"/>
      <w:marRight w:val="0"/>
      <w:marTop w:val="0"/>
      <w:marBottom w:val="0"/>
      <w:divBdr>
        <w:top w:val="none" w:sz="0" w:space="0" w:color="auto"/>
        <w:left w:val="none" w:sz="0" w:space="0" w:color="auto"/>
        <w:bottom w:val="none" w:sz="0" w:space="0" w:color="auto"/>
        <w:right w:val="none" w:sz="0" w:space="0" w:color="auto"/>
      </w:divBdr>
    </w:div>
    <w:div w:id="1241253774">
      <w:bodyDiv w:val="1"/>
      <w:marLeft w:val="0"/>
      <w:marRight w:val="0"/>
      <w:marTop w:val="0"/>
      <w:marBottom w:val="0"/>
      <w:divBdr>
        <w:top w:val="none" w:sz="0" w:space="0" w:color="auto"/>
        <w:left w:val="none" w:sz="0" w:space="0" w:color="auto"/>
        <w:bottom w:val="none" w:sz="0" w:space="0" w:color="auto"/>
        <w:right w:val="none" w:sz="0" w:space="0" w:color="auto"/>
      </w:divBdr>
    </w:div>
    <w:div w:id="1242059318">
      <w:bodyDiv w:val="1"/>
      <w:marLeft w:val="0"/>
      <w:marRight w:val="0"/>
      <w:marTop w:val="0"/>
      <w:marBottom w:val="0"/>
      <w:divBdr>
        <w:top w:val="none" w:sz="0" w:space="0" w:color="auto"/>
        <w:left w:val="none" w:sz="0" w:space="0" w:color="auto"/>
        <w:bottom w:val="none" w:sz="0" w:space="0" w:color="auto"/>
        <w:right w:val="none" w:sz="0" w:space="0" w:color="auto"/>
      </w:divBdr>
    </w:div>
    <w:div w:id="1242718167">
      <w:bodyDiv w:val="1"/>
      <w:marLeft w:val="0"/>
      <w:marRight w:val="0"/>
      <w:marTop w:val="0"/>
      <w:marBottom w:val="0"/>
      <w:divBdr>
        <w:top w:val="none" w:sz="0" w:space="0" w:color="auto"/>
        <w:left w:val="none" w:sz="0" w:space="0" w:color="auto"/>
        <w:bottom w:val="none" w:sz="0" w:space="0" w:color="auto"/>
        <w:right w:val="none" w:sz="0" w:space="0" w:color="auto"/>
      </w:divBdr>
    </w:div>
    <w:div w:id="1242789041">
      <w:bodyDiv w:val="1"/>
      <w:marLeft w:val="0"/>
      <w:marRight w:val="0"/>
      <w:marTop w:val="0"/>
      <w:marBottom w:val="0"/>
      <w:divBdr>
        <w:top w:val="none" w:sz="0" w:space="0" w:color="auto"/>
        <w:left w:val="none" w:sz="0" w:space="0" w:color="auto"/>
        <w:bottom w:val="none" w:sz="0" w:space="0" w:color="auto"/>
        <w:right w:val="none" w:sz="0" w:space="0" w:color="auto"/>
      </w:divBdr>
    </w:div>
    <w:div w:id="1243030910">
      <w:bodyDiv w:val="1"/>
      <w:marLeft w:val="0"/>
      <w:marRight w:val="0"/>
      <w:marTop w:val="0"/>
      <w:marBottom w:val="0"/>
      <w:divBdr>
        <w:top w:val="none" w:sz="0" w:space="0" w:color="auto"/>
        <w:left w:val="none" w:sz="0" w:space="0" w:color="auto"/>
        <w:bottom w:val="none" w:sz="0" w:space="0" w:color="auto"/>
        <w:right w:val="none" w:sz="0" w:space="0" w:color="auto"/>
      </w:divBdr>
    </w:div>
    <w:div w:id="1243486472">
      <w:bodyDiv w:val="1"/>
      <w:marLeft w:val="0"/>
      <w:marRight w:val="0"/>
      <w:marTop w:val="0"/>
      <w:marBottom w:val="0"/>
      <w:divBdr>
        <w:top w:val="none" w:sz="0" w:space="0" w:color="auto"/>
        <w:left w:val="none" w:sz="0" w:space="0" w:color="auto"/>
        <w:bottom w:val="none" w:sz="0" w:space="0" w:color="auto"/>
        <w:right w:val="none" w:sz="0" w:space="0" w:color="auto"/>
      </w:divBdr>
    </w:div>
    <w:div w:id="1243682079">
      <w:bodyDiv w:val="1"/>
      <w:marLeft w:val="0"/>
      <w:marRight w:val="0"/>
      <w:marTop w:val="0"/>
      <w:marBottom w:val="0"/>
      <w:divBdr>
        <w:top w:val="none" w:sz="0" w:space="0" w:color="auto"/>
        <w:left w:val="none" w:sz="0" w:space="0" w:color="auto"/>
        <w:bottom w:val="none" w:sz="0" w:space="0" w:color="auto"/>
        <w:right w:val="none" w:sz="0" w:space="0" w:color="auto"/>
      </w:divBdr>
    </w:div>
    <w:div w:id="1244488266">
      <w:bodyDiv w:val="1"/>
      <w:marLeft w:val="0"/>
      <w:marRight w:val="0"/>
      <w:marTop w:val="0"/>
      <w:marBottom w:val="0"/>
      <w:divBdr>
        <w:top w:val="none" w:sz="0" w:space="0" w:color="auto"/>
        <w:left w:val="none" w:sz="0" w:space="0" w:color="auto"/>
        <w:bottom w:val="none" w:sz="0" w:space="0" w:color="auto"/>
        <w:right w:val="none" w:sz="0" w:space="0" w:color="auto"/>
      </w:divBdr>
    </w:div>
    <w:div w:id="1246525915">
      <w:bodyDiv w:val="1"/>
      <w:marLeft w:val="0"/>
      <w:marRight w:val="0"/>
      <w:marTop w:val="0"/>
      <w:marBottom w:val="0"/>
      <w:divBdr>
        <w:top w:val="none" w:sz="0" w:space="0" w:color="auto"/>
        <w:left w:val="none" w:sz="0" w:space="0" w:color="auto"/>
        <w:bottom w:val="none" w:sz="0" w:space="0" w:color="auto"/>
        <w:right w:val="none" w:sz="0" w:space="0" w:color="auto"/>
      </w:divBdr>
    </w:div>
    <w:div w:id="1246955357">
      <w:bodyDiv w:val="1"/>
      <w:marLeft w:val="0"/>
      <w:marRight w:val="0"/>
      <w:marTop w:val="0"/>
      <w:marBottom w:val="0"/>
      <w:divBdr>
        <w:top w:val="none" w:sz="0" w:space="0" w:color="auto"/>
        <w:left w:val="none" w:sz="0" w:space="0" w:color="auto"/>
        <w:bottom w:val="none" w:sz="0" w:space="0" w:color="auto"/>
        <w:right w:val="none" w:sz="0" w:space="0" w:color="auto"/>
      </w:divBdr>
    </w:div>
    <w:div w:id="1248005137">
      <w:bodyDiv w:val="1"/>
      <w:marLeft w:val="0"/>
      <w:marRight w:val="0"/>
      <w:marTop w:val="0"/>
      <w:marBottom w:val="0"/>
      <w:divBdr>
        <w:top w:val="none" w:sz="0" w:space="0" w:color="auto"/>
        <w:left w:val="none" w:sz="0" w:space="0" w:color="auto"/>
        <w:bottom w:val="none" w:sz="0" w:space="0" w:color="auto"/>
        <w:right w:val="none" w:sz="0" w:space="0" w:color="auto"/>
      </w:divBdr>
    </w:div>
    <w:div w:id="1248079515">
      <w:bodyDiv w:val="1"/>
      <w:marLeft w:val="0"/>
      <w:marRight w:val="0"/>
      <w:marTop w:val="0"/>
      <w:marBottom w:val="0"/>
      <w:divBdr>
        <w:top w:val="none" w:sz="0" w:space="0" w:color="auto"/>
        <w:left w:val="none" w:sz="0" w:space="0" w:color="auto"/>
        <w:bottom w:val="none" w:sz="0" w:space="0" w:color="auto"/>
        <w:right w:val="none" w:sz="0" w:space="0" w:color="auto"/>
      </w:divBdr>
    </w:div>
    <w:div w:id="1248152391">
      <w:bodyDiv w:val="1"/>
      <w:marLeft w:val="0"/>
      <w:marRight w:val="0"/>
      <w:marTop w:val="0"/>
      <w:marBottom w:val="0"/>
      <w:divBdr>
        <w:top w:val="none" w:sz="0" w:space="0" w:color="auto"/>
        <w:left w:val="none" w:sz="0" w:space="0" w:color="auto"/>
        <w:bottom w:val="none" w:sz="0" w:space="0" w:color="auto"/>
        <w:right w:val="none" w:sz="0" w:space="0" w:color="auto"/>
      </w:divBdr>
    </w:div>
    <w:div w:id="1248274122">
      <w:bodyDiv w:val="1"/>
      <w:marLeft w:val="0"/>
      <w:marRight w:val="0"/>
      <w:marTop w:val="0"/>
      <w:marBottom w:val="0"/>
      <w:divBdr>
        <w:top w:val="none" w:sz="0" w:space="0" w:color="auto"/>
        <w:left w:val="none" w:sz="0" w:space="0" w:color="auto"/>
        <w:bottom w:val="none" w:sz="0" w:space="0" w:color="auto"/>
        <w:right w:val="none" w:sz="0" w:space="0" w:color="auto"/>
      </w:divBdr>
    </w:div>
    <w:div w:id="1248729983">
      <w:bodyDiv w:val="1"/>
      <w:marLeft w:val="0"/>
      <w:marRight w:val="0"/>
      <w:marTop w:val="0"/>
      <w:marBottom w:val="0"/>
      <w:divBdr>
        <w:top w:val="none" w:sz="0" w:space="0" w:color="auto"/>
        <w:left w:val="none" w:sz="0" w:space="0" w:color="auto"/>
        <w:bottom w:val="none" w:sz="0" w:space="0" w:color="auto"/>
        <w:right w:val="none" w:sz="0" w:space="0" w:color="auto"/>
      </w:divBdr>
    </w:div>
    <w:div w:id="1249384634">
      <w:bodyDiv w:val="1"/>
      <w:marLeft w:val="0"/>
      <w:marRight w:val="0"/>
      <w:marTop w:val="0"/>
      <w:marBottom w:val="0"/>
      <w:divBdr>
        <w:top w:val="none" w:sz="0" w:space="0" w:color="auto"/>
        <w:left w:val="none" w:sz="0" w:space="0" w:color="auto"/>
        <w:bottom w:val="none" w:sz="0" w:space="0" w:color="auto"/>
        <w:right w:val="none" w:sz="0" w:space="0" w:color="auto"/>
      </w:divBdr>
    </w:div>
    <w:div w:id="1250427698">
      <w:bodyDiv w:val="1"/>
      <w:marLeft w:val="0"/>
      <w:marRight w:val="0"/>
      <w:marTop w:val="0"/>
      <w:marBottom w:val="0"/>
      <w:divBdr>
        <w:top w:val="none" w:sz="0" w:space="0" w:color="auto"/>
        <w:left w:val="none" w:sz="0" w:space="0" w:color="auto"/>
        <w:bottom w:val="none" w:sz="0" w:space="0" w:color="auto"/>
        <w:right w:val="none" w:sz="0" w:space="0" w:color="auto"/>
      </w:divBdr>
    </w:div>
    <w:div w:id="1250769201">
      <w:bodyDiv w:val="1"/>
      <w:marLeft w:val="0"/>
      <w:marRight w:val="0"/>
      <w:marTop w:val="0"/>
      <w:marBottom w:val="0"/>
      <w:divBdr>
        <w:top w:val="none" w:sz="0" w:space="0" w:color="auto"/>
        <w:left w:val="none" w:sz="0" w:space="0" w:color="auto"/>
        <w:bottom w:val="none" w:sz="0" w:space="0" w:color="auto"/>
        <w:right w:val="none" w:sz="0" w:space="0" w:color="auto"/>
      </w:divBdr>
    </w:div>
    <w:div w:id="1251542209">
      <w:bodyDiv w:val="1"/>
      <w:marLeft w:val="0"/>
      <w:marRight w:val="0"/>
      <w:marTop w:val="0"/>
      <w:marBottom w:val="0"/>
      <w:divBdr>
        <w:top w:val="none" w:sz="0" w:space="0" w:color="auto"/>
        <w:left w:val="none" w:sz="0" w:space="0" w:color="auto"/>
        <w:bottom w:val="none" w:sz="0" w:space="0" w:color="auto"/>
        <w:right w:val="none" w:sz="0" w:space="0" w:color="auto"/>
      </w:divBdr>
    </w:div>
    <w:div w:id="1252853305">
      <w:bodyDiv w:val="1"/>
      <w:marLeft w:val="0"/>
      <w:marRight w:val="0"/>
      <w:marTop w:val="0"/>
      <w:marBottom w:val="0"/>
      <w:divBdr>
        <w:top w:val="none" w:sz="0" w:space="0" w:color="auto"/>
        <w:left w:val="none" w:sz="0" w:space="0" w:color="auto"/>
        <w:bottom w:val="none" w:sz="0" w:space="0" w:color="auto"/>
        <w:right w:val="none" w:sz="0" w:space="0" w:color="auto"/>
      </w:divBdr>
    </w:div>
    <w:div w:id="1253780051">
      <w:bodyDiv w:val="1"/>
      <w:marLeft w:val="0"/>
      <w:marRight w:val="0"/>
      <w:marTop w:val="0"/>
      <w:marBottom w:val="0"/>
      <w:divBdr>
        <w:top w:val="none" w:sz="0" w:space="0" w:color="auto"/>
        <w:left w:val="none" w:sz="0" w:space="0" w:color="auto"/>
        <w:bottom w:val="none" w:sz="0" w:space="0" w:color="auto"/>
        <w:right w:val="none" w:sz="0" w:space="0" w:color="auto"/>
      </w:divBdr>
    </w:div>
    <w:div w:id="1253860649">
      <w:bodyDiv w:val="1"/>
      <w:marLeft w:val="0"/>
      <w:marRight w:val="0"/>
      <w:marTop w:val="0"/>
      <w:marBottom w:val="0"/>
      <w:divBdr>
        <w:top w:val="none" w:sz="0" w:space="0" w:color="auto"/>
        <w:left w:val="none" w:sz="0" w:space="0" w:color="auto"/>
        <w:bottom w:val="none" w:sz="0" w:space="0" w:color="auto"/>
        <w:right w:val="none" w:sz="0" w:space="0" w:color="auto"/>
      </w:divBdr>
    </w:div>
    <w:div w:id="1254363125">
      <w:bodyDiv w:val="1"/>
      <w:marLeft w:val="0"/>
      <w:marRight w:val="0"/>
      <w:marTop w:val="0"/>
      <w:marBottom w:val="0"/>
      <w:divBdr>
        <w:top w:val="none" w:sz="0" w:space="0" w:color="auto"/>
        <w:left w:val="none" w:sz="0" w:space="0" w:color="auto"/>
        <w:bottom w:val="none" w:sz="0" w:space="0" w:color="auto"/>
        <w:right w:val="none" w:sz="0" w:space="0" w:color="auto"/>
      </w:divBdr>
    </w:div>
    <w:div w:id="1254363658">
      <w:bodyDiv w:val="1"/>
      <w:marLeft w:val="0"/>
      <w:marRight w:val="0"/>
      <w:marTop w:val="0"/>
      <w:marBottom w:val="0"/>
      <w:divBdr>
        <w:top w:val="none" w:sz="0" w:space="0" w:color="auto"/>
        <w:left w:val="none" w:sz="0" w:space="0" w:color="auto"/>
        <w:bottom w:val="none" w:sz="0" w:space="0" w:color="auto"/>
        <w:right w:val="none" w:sz="0" w:space="0" w:color="auto"/>
      </w:divBdr>
    </w:div>
    <w:div w:id="1254775107">
      <w:bodyDiv w:val="1"/>
      <w:marLeft w:val="0"/>
      <w:marRight w:val="0"/>
      <w:marTop w:val="0"/>
      <w:marBottom w:val="0"/>
      <w:divBdr>
        <w:top w:val="none" w:sz="0" w:space="0" w:color="auto"/>
        <w:left w:val="none" w:sz="0" w:space="0" w:color="auto"/>
        <w:bottom w:val="none" w:sz="0" w:space="0" w:color="auto"/>
        <w:right w:val="none" w:sz="0" w:space="0" w:color="auto"/>
      </w:divBdr>
    </w:div>
    <w:div w:id="1254970371">
      <w:bodyDiv w:val="1"/>
      <w:marLeft w:val="0"/>
      <w:marRight w:val="0"/>
      <w:marTop w:val="0"/>
      <w:marBottom w:val="0"/>
      <w:divBdr>
        <w:top w:val="none" w:sz="0" w:space="0" w:color="auto"/>
        <w:left w:val="none" w:sz="0" w:space="0" w:color="auto"/>
        <w:bottom w:val="none" w:sz="0" w:space="0" w:color="auto"/>
        <w:right w:val="none" w:sz="0" w:space="0" w:color="auto"/>
      </w:divBdr>
    </w:div>
    <w:div w:id="1256522682">
      <w:bodyDiv w:val="1"/>
      <w:marLeft w:val="0"/>
      <w:marRight w:val="0"/>
      <w:marTop w:val="0"/>
      <w:marBottom w:val="0"/>
      <w:divBdr>
        <w:top w:val="none" w:sz="0" w:space="0" w:color="auto"/>
        <w:left w:val="none" w:sz="0" w:space="0" w:color="auto"/>
        <w:bottom w:val="none" w:sz="0" w:space="0" w:color="auto"/>
        <w:right w:val="none" w:sz="0" w:space="0" w:color="auto"/>
      </w:divBdr>
    </w:div>
    <w:div w:id="1256868485">
      <w:bodyDiv w:val="1"/>
      <w:marLeft w:val="0"/>
      <w:marRight w:val="0"/>
      <w:marTop w:val="0"/>
      <w:marBottom w:val="0"/>
      <w:divBdr>
        <w:top w:val="none" w:sz="0" w:space="0" w:color="auto"/>
        <w:left w:val="none" w:sz="0" w:space="0" w:color="auto"/>
        <w:bottom w:val="none" w:sz="0" w:space="0" w:color="auto"/>
        <w:right w:val="none" w:sz="0" w:space="0" w:color="auto"/>
      </w:divBdr>
    </w:div>
    <w:div w:id="1257058482">
      <w:bodyDiv w:val="1"/>
      <w:marLeft w:val="0"/>
      <w:marRight w:val="0"/>
      <w:marTop w:val="0"/>
      <w:marBottom w:val="0"/>
      <w:divBdr>
        <w:top w:val="none" w:sz="0" w:space="0" w:color="auto"/>
        <w:left w:val="none" w:sz="0" w:space="0" w:color="auto"/>
        <w:bottom w:val="none" w:sz="0" w:space="0" w:color="auto"/>
        <w:right w:val="none" w:sz="0" w:space="0" w:color="auto"/>
      </w:divBdr>
    </w:div>
    <w:div w:id="1257128001">
      <w:bodyDiv w:val="1"/>
      <w:marLeft w:val="0"/>
      <w:marRight w:val="0"/>
      <w:marTop w:val="0"/>
      <w:marBottom w:val="0"/>
      <w:divBdr>
        <w:top w:val="none" w:sz="0" w:space="0" w:color="auto"/>
        <w:left w:val="none" w:sz="0" w:space="0" w:color="auto"/>
        <w:bottom w:val="none" w:sz="0" w:space="0" w:color="auto"/>
        <w:right w:val="none" w:sz="0" w:space="0" w:color="auto"/>
      </w:divBdr>
    </w:div>
    <w:div w:id="1257131324">
      <w:bodyDiv w:val="1"/>
      <w:marLeft w:val="0"/>
      <w:marRight w:val="0"/>
      <w:marTop w:val="0"/>
      <w:marBottom w:val="0"/>
      <w:divBdr>
        <w:top w:val="none" w:sz="0" w:space="0" w:color="auto"/>
        <w:left w:val="none" w:sz="0" w:space="0" w:color="auto"/>
        <w:bottom w:val="none" w:sz="0" w:space="0" w:color="auto"/>
        <w:right w:val="none" w:sz="0" w:space="0" w:color="auto"/>
      </w:divBdr>
    </w:div>
    <w:div w:id="1257209062">
      <w:bodyDiv w:val="1"/>
      <w:marLeft w:val="0"/>
      <w:marRight w:val="0"/>
      <w:marTop w:val="0"/>
      <w:marBottom w:val="0"/>
      <w:divBdr>
        <w:top w:val="none" w:sz="0" w:space="0" w:color="auto"/>
        <w:left w:val="none" w:sz="0" w:space="0" w:color="auto"/>
        <w:bottom w:val="none" w:sz="0" w:space="0" w:color="auto"/>
        <w:right w:val="none" w:sz="0" w:space="0" w:color="auto"/>
      </w:divBdr>
    </w:div>
    <w:div w:id="1257326144">
      <w:bodyDiv w:val="1"/>
      <w:marLeft w:val="0"/>
      <w:marRight w:val="0"/>
      <w:marTop w:val="0"/>
      <w:marBottom w:val="0"/>
      <w:divBdr>
        <w:top w:val="none" w:sz="0" w:space="0" w:color="auto"/>
        <w:left w:val="none" w:sz="0" w:space="0" w:color="auto"/>
        <w:bottom w:val="none" w:sz="0" w:space="0" w:color="auto"/>
        <w:right w:val="none" w:sz="0" w:space="0" w:color="auto"/>
      </w:divBdr>
    </w:div>
    <w:div w:id="1257439866">
      <w:bodyDiv w:val="1"/>
      <w:marLeft w:val="0"/>
      <w:marRight w:val="0"/>
      <w:marTop w:val="0"/>
      <w:marBottom w:val="0"/>
      <w:divBdr>
        <w:top w:val="none" w:sz="0" w:space="0" w:color="auto"/>
        <w:left w:val="none" w:sz="0" w:space="0" w:color="auto"/>
        <w:bottom w:val="none" w:sz="0" w:space="0" w:color="auto"/>
        <w:right w:val="none" w:sz="0" w:space="0" w:color="auto"/>
      </w:divBdr>
    </w:div>
    <w:div w:id="1257984962">
      <w:bodyDiv w:val="1"/>
      <w:marLeft w:val="0"/>
      <w:marRight w:val="0"/>
      <w:marTop w:val="0"/>
      <w:marBottom w:val="0"/>
      <w:divBdr>
        <w:top w:val="none" w:sz="0" w:space="0" w:color="auto"/>
        <w:left w:val="none" w:sz="0" w:space="0" w:color="auto"/>
        <w:bottom w:val="none" w:sz="0" w:space="0" w:color="auto"/>
        <w:right w:val="none" w:sz="0" w:space="0" w:color="auto"/>
      </w:divBdr>
    </w:div>
    <w:div w:id="1258827604">
      <w:bodyDiv w:val="1"/>
      <w:marLeft w:val="0"/>
      <w:marRight w:val="0"/>
      <w:marTop w:val="0"/>
      <w:marBottom w:val="0"/>
      <w:divBdr>
        <w:top w:val="none" w:sz="0" w:space="0" w:color="auto"/>
        <w:left w:val="none" w:sz="0" w:space="0" w:color="auto"/>
        <w:bottom w:val="none" w:sz="0" w:space="0" w:color="auto"/>
        <w:right w:val="none" w:sz="0" w:space="0" w:color="auto"/>
      </w:divBdr>
    </w:div>
    <w:div w:id="1260023190">
      <w:bodyDiv w:val="1"/>
      <w:marLeft w:val="0"/>
      <w:marRight w:val="0"/>
      <w:marTop w:val="0"/>
      <w:marBottom w:val="0"/>
      <w:divBdr>
        <w:top w:val="none" w:sz="0" w:space="0" w:color="auto"/>
        <w:left w:val="none" w:sz="0" w:space="0" w:color="auto"/>
        <w:bottom w:val="none" w:sz="0" w:space="0" w:color="auto"/>
        <w:right w:val="none" w:sz="0" w:space="0" w:color="auto"/>
      </w:divBdr>
    </w:div>
    <w:div w:id="1260409054">
      <w:bodyDiv w:val="1"/>
      <w:marLeft w:val="0"/>
      <w:marRight w:val="0"/>
      <w:marTop w:val="0"/>
      <w:marBottom w:val="0"/>
      <w:divBdr>
        <w:top w:val="none" w:sz="0" w:space="0" w:color="auto"/>
        <w:left w:val="none" w:sz="0" w:space="0" w:color="auto"/>
        <w:bottom w:val="none" w:sz="0" w:space="0" w:color="auto"/>
        <w:right w:val="none" w:sz="0" w:space="0" w:color="auto"/>
      </w:divBdr>
    </w:div>
    <w:div w:id="1260412081">
      <w:bodyDiv w:val="1"/>
      <w:marLeft w:val="0"/>
      <w:marRight w:val="0"/>
      <w:marTop w:val="0"/>
      <w:marBottom w:val="0"/>
      <w:divBdr>
        <w:top w:val="none" w:sz="0" w:space="0" w:color="auto"/>
        <w:left w:val="none" w:sz="0" w:space="0" w:color="auto"/>
        <w:bottom w:val="none" w:sz="0" w:space="0" w:color="auto"/>
        <w:right w:val="none" w:sz="0" w:space="0" w:color="auto"/>
      </w:divBdr>
    </w:div>
    <w:div w:id="1260412161">
      <w:bodyDiv w:val="1"/>
      <w:marLeft w:val="0"/>
      <w:marRight w:val="0"/>
      <w:marTop w:val="0"/>
      <w:marBottom w:val="0"/>
      <w:divBdr>
        <w:top w:val="none" w:sz="0" w:space="0" w:color="auto"/>
        <w:left w:val="none" w:sz="0" w:space="0" w:color="auto"/>
        <w:bottom w:val="none" w:sz="0" w:space="0" w:color="auto"/>
        <w:right w:val="none" w:sz="0" w:space="0" w:color="auto"/>
      </w:divBdr>
    </w:div>
    <w:div w:id="1260605314">
      <w:bodyDiv w:val="1"/>
      <w:marLeft w:val="0"/>
      <w:marRight w:val="0"/>
      <w:marTop w:val="0"/>
      <w:marBottom w:val="0"/>
      <w:divBdr>
        <w:top w:val="none" w:sz="0" w:space="0" w:color="auto"/>
        <w:left w:val="none" w:sz="0" w:space="0" w:color="auto"/>
        <w:bottom w:val="none" w:sz="0" w:space="0" w:color="auto"/>
        <w:right w:val="none" w:sz="0" w:space="0" w:color="auto"/>
      </w:divBdr>
    </w:div>
    <w:div w:id="1260673151">
      <w:bodyDiv w:val="1"/>
      <w:marLeft w:val="0"/>
      <w:marRight w:val="0"/>
      <w:marTop w:val="0"/>
      <w:marBottom w:val="0"/>
      <w:divBdr>
        <w:top w:val="none" w:sz="0" w:space="0" w:color="auto"/>
        <w:left w:val="none" w:sz="0" w:space="0" w:color="auto"/>
        <w:bottom w:val="none" w:sz="0" w:space="0" w:color="auto"/>
        <w:right w:val="none" w:sz="0" w:space="0" w:color="auto"/>
      </w:divBdr>
    </w:div>
    <w:div w:id="1260794215">
      <w:bodyDiv w:val="1"/>
      <w:marLeft w:val="0"/>
      <w:marRight w:val="0"/>
      <w:marTop w:val="0"/>
      <w:marBottom w:val="0"/>
      <w:divBdr>
        <w:top w:val="none" w:sz="0" w:space="0" w:color="auto"/>
        <w:left w:val="none" w:sz="0" w:space="0" w:color="auto"/>
        <w:bottom w:val="none" w:sz="0" w:space="0" w:color="auto"/>
        <w:right w:val="none" w:sz="0" w:space="0" w:color="auto"/>
      </w:divBdr>
    </w:div>
    <w:div w:id="1261181293">
      <w:bodyDiv w:val="1"/>
      <w:marLeft w:val="0"/>
      <w:marRight w:val="0"/>
      <w:marTop w:val="0"/>
      <w:marBottom w:val="0"/>
      <w:divBdr>
        <w:top w:val="none" w:sz="0" w:space="0" w:color="auto"/>
        <w:left w:val="none" w:sz="0" w:space="0" w:color="auto"/>
        <w:bottom w:val="none" w:sz="0" w:space="0" w:color="auto"/>
        <w:right w:val="none" w:sz="0" w:space="0" w:color="auto"/>
      </w:divBdr>
    </w:div>
    <w:div w:id="1261765632">
      <w:bodyDiv w:val="1"/>
      <w:marLeft w:val="0"/>
      <w:marRight w:val="0"/>
      <w:marTop w:val="0"/>
      <w:marBottom w:val="0"/>
      <w:divBdr>
        <w:top w:val="none" w:sz="0" w:space="0" w:color="auto"/>
        <w:left w:val="none" w:sz="0" w:space="0" w:color="auto"/>
        <w:bottom w:val="none" w:sz="0" w:space="0" w:color="auto"/>
        <w:right w:val="none" w:sz="0" w:space="0" w:color="auto"/>
      </w:divBdr>
    </w:div>
    <w:div w:id="1261913264">
      <w:bodyDiv w:val="1"/>
      <w:marLeft w:val="0"/>
      <w:marRight w:val="0"/>
      <w:marTop w:val="0"/>
      <w:marBottom w:val="0"/>
      <w:divBdr>
        <w:top w:val="none" w:sz="0" w:space="0" w:color="auto"/>
        <w:left w:val="none" w:sz="0" w:space="0" w:color="auto"/>
        <w:bottom w:val="none" w:sz="0" w:space="0" w:color="auto"/>
        <w:right w:val="none" w:sz="0" w:space="0" w:color="auto"/>
      </w:divBdr>
    </w:div>
    <w:div w:id="1262030567">
      <w:bodyDiv w:val="1"/>
      <w:marLeft w:val="0"/>
      <w:marRight w:val="0"/>
      <w:marTop w:val="0"/>
      <w:marBottom w:val="0"/>
      <w:divBdr>
        <w:top w:val="none" w:sz="0" w:space="0" w:color="auto"/>
        <w:left w:val="none" w:sz="0" w:space="0" w:color="auto"/>
        <w:bottom w:val="none" w:sz="0" w:space="0" w:color="auto"/>
        <w:right w:val="none" w:sz="0" w:space="0" w:color="auto"/>
      </w:divBdr>
    </w:div>
    <w:div w:id="1262299436">
      <w:bodyDiv w:val="1"/>
      <w:marLeft w:val="0"/>
      <w:marRight w:val="0"/>
      <w:marTop w:val="0"/>
      <w:marBottom w:val="0"/>
      <w:divBdr>
        <w:top w:val="none" w:sz="0" w:space="0" w:color="auto"/>
        <w:left w:val="none" w:sz="0" w:space="0" w:color="auto"/>
        <w:bottom w:val="none" w:sz="0" w:space="0" w:color="auto"/>
        <w:right w:val="none" w:sz="0" w:space="0" w:color="auto"/>
      </w:divBdr>
    </w:div>
    <w:div w:id="1263294947">
      <w:bodyDiv w:val="1"/>
      <w:marLeft w:val="0"/>
      <w:marRight w:val="0"/>
      <w:marTop w:val="0"/>
      <w:marBottom w:val="0"/>
      <w:divBdr>
        <w:top w:val="none" w:sz="0" w:space="0" w:color="auto"/>
        <w:left w:val="none" w:sz="0" w:space="0" w:color="auto"/>
        <w:bottom w:val="none" w:sz="0" w:space="0" w:color="auto"/>
        <w:right w:val="none" w:sz="0" w:space="0" w:color="auto"/>
      </w:divBdr>
    </w:div>
    <w:div w:id="1263416463">
      <w:bodyDiv w:val="1"/>
      <w:marLeft w:val="0"/>
      <w:marRight w:val="0"/>
      <w:marTop w:val="0"/>
      <w:marBottom w:val="0"/>
      <w:divBdr>
        <w:top w:val="none" w:sz="0" w:space="0" w:color="auto"/>
        <w:left w:val="none" w:sz="0" w:space="0" w:color="auto"/>
        <w:bottom w:val="none" w:sz="0" w:space="0" w:color="auto"/>
        <w:right w:val="none" w:sz="0" w:space="0" w:color="auto"/>
      </w:divBdr>
    </w:div>
    <w:div w:id="1263682824">
      <w:bodyDiv w:val="1"/>
      <w:marLeft w:val="0"/>
      <w:marRight w:val="0"/>
      <w:marTop w:val="0"/>
      <w:marBottom w:val="0"/>
      <w:divBdr>
        <w:top w:val="none" w:sz="0" w:space="0" w:color="auto"/>
        <w:left w:val="none" w:sz="0" w:space="0" w:color="auto"/>
        <w:bottom w:val="none" w:sz="0" w:space="0" w:color="auto"/>
        <w:right w:val="none" w:sz="0" w:space="0" w:color="auto"/>
      </w:divBdr>
    </w:div>
    <w:div w:id="1264267182">
      <w:bodyDiv w:val="1"/>
      <w:marLeft w:val="0"/>
      <w:marRight w:val="0"/>
      <w:marTop w:val="0"/>
      <w:marBottom w:val="0"/>
      <w:divBdr>
        <w:top w:val="none" w:sz="0" w:space="0" w:color="auto"/>
        <w:left w:val="none" w:sz="0" w:space="0" w:color="auto"/>
        <w:bottom w:val="none" w:sz="0" w:space="0" w:color="auto"/>
        <w:right w:val="none" w:sz="0" w:space="0" w:color="auto"/>
      </w:divBdr>
      <w:divsChild>
        <w:div w:id="609511947">
          <w:marLeft w:val="0"/>
          <w:marRight w:val="0"/>
          <w:marTop w:val="0"/>
          <w:marBottom w:val="0"/>
          <w:divBdr>
            <w:top w:val="single" w:sz="8" w:space="1" w:color="E3E3E3"/>
            <w:left w:val="single" w:sz="8" w:space="0" w:color="E3E3E3"/>
            <w:bottom w:val="single" w:sz="8" w:space="4" w:color="E3E3E3"/>
            <w:right w:val="single" w:sz="8" w:space="0" w:color="E3E3E3"/>
          </w:divBdr>
        </w:div>
        <w:div w:id="1609850718">
          <w:marLeft w:val="0"/>
          <w:marRight w:val="0"/>
          <w:marTop w:val="0"/>
          <w:marBottom w:val="0"/>
          <w:divBdr>
            <w:top w:val="none" w:sz="0" w:space="0" w:color="auto"/>
            <w:left w:val="none" w:sz="0" w:space="0" w:color="auto"/>
            <w:bottom w:val="single" w:sz="8" w:space="0" w:color="D0D0D0"/>
            <w:right w:val="none" w:sz="0" w:space="0" w:color="auto"/>
          </w:divBdr>
          <w:divsChild>
            <w:div w:id="1044452045">
              <w:marLeft w:val="0"/>
              <w:marRight w:val="0"/>
              <w:marTop w:val="0"/>
              <w:marBottom w:val="0"/>
              <w:divBdr>
                <w:top w:val="none" w:sz="0" w:space="0" w:color="auto"/>
                <w:left w:val="none" w:sz="0" w:space="0" w:color="auto"/>
                <w:bottom w:val="none" w:sz="0" w:space="0" w:color="auto"/>
                <w:right w:val="single" w:sz="8" w:space="5" w:color="D0D0D0"/>
              </w:divBdr>
            </w:div>
          </w:divsChild>
        </w:div>
      </w:divsChild>
    </w:div>
    <w:div w:id="1265191773">
      <w:bodyDiv w:val="1"/>
      <w:marLeft w:val="0"/>
      <w:marRight w:val="0"/>
      <w:marTop w:val="0"/>
      <w:marBottom w:val="0"/>
      <w:divBdr>
        <w:top w:val="none" w:sz="0" w:space="0" w:color="auto"/>
        <w:left w:val="none" w:sz="0" w:space="0" w:color="auto"/>
        <w:bottom w:val="none" w:sz="0" w:space="0" w:color="auto"/>
        <w:right w:val="none" w:sz="0" w:space="0" w:color="auto"/>
      </w:divBdr>
    </w:div>
    <w:div w:id="1266229139">
      <w:bodyDiv w:val="1"/>
      <w:marLeft w:val="0"/>
      <w:marRight w:val="0"/>
      <w:marTop w:val="0"/>
      <w:marBottom w:val="0"/>
      <w:divBdr>
        <w:top w:val="none" w:sz="0" w:space="0" w:color="auto"/>
        <w:left w:val="none" w:sz="0" w:space="0" w:color="auto"/>
        <w:bottom w:val="none" w:sz="0" w:space="0" w:color="auto"/>
        <w:right w:val="none" w:sz="0" w:space="0" w:color="auto"/>
      </w:divBdr>
    </w:div>
    <w:div w:id="1266423921">
      <w:bodyDiv w:val="1"/>
      <w:marLeft w:val="0"/>
      <w:marRight w:val="0"/>
      <w:marTop w:val="0"/>
      <w:marBottom w:val="0"/>
      <w:divBdr>
        <w:top w:val="none" w:sz="0" w:space="0" w:color="auto"/>
        <w:left w:val="none" w:sz="0" w:space="0" w:color="auto"/>
        <w:bottom w:val="none" w:sz="0" w:space="0" w:color="auto"/>
        <w:right w:val="none" w:sz="0" w:space="0" w:color="auto"/>
      </w:divBdr>
    </w:div>
    <w:div w:id="1266961425">
      <w:bodyDiv w:val="1"/>
      <w:marLeft w:val="0"/>
      <w:marRight w:val="0"/>
      <w:marTop w:val="0"/>
      <w:marBottom w:val="0"/>
      <w:divBdr>
        <w:top w:val="none" w:sz="0" w:space="0" w:color="auto"/>
        <w:left w:val="none" w:sz="0" w:space="0" w:color="auto"/>
        <w:bottom w:val="none" w:sz="0" w:space="0" w:color="auto"/>
        <w:right w:val="none" w:sz="0" w:space="0" w:color="auto"/>
      </w:divBdr>
    </w:div>
    <w:div w:id="1267076009">
      <w:bodyDiv w:val="1"/>
      <w:marLeft w:val="0"/>
      <w:marRight w:val="0"/>
      <w:marTop w:val="0"/>
      <w:marBottom w:val="0"/>
      <w:divBdr>
        <w:top w:val="none" w:sz="0" w:space="0" w:color="auto"/>
        <w:left w:val="none" w:sz="0" w:space="0" w:color="auto"/>
        <w:bottom w:val="none" w:sz="0" w:space="0" w:color="auto"/>
        <w:right w:val="none" w:sz="0" w:space="0" w:color="auto"/>
      </w:divBdr>
    </w:div>
    <w:div w:id="1267419698">
      <w:bodyDiv w:val="1"/>
      <w:marLeft w:val="0"/>
      <w:marRight w:val="0"/>
      <w:marTop w:val="0"/>
      <w:marBottom w:val="0"/>
      <w:divBdr>
        <w:top w:val="none" w:sz="0" w:space="0" w:color="auto"/>
        <w:left w:val="none" w:sz="0" w:space="0" w:color="auto"/>
        <w:bottom w:val="none" w:sz="0" w:space="0" w:color="auto"/>
        <w:right w:val="none" w:sz="0" w:space="0" w:color="auto"/>
      </w:divBdr>
    </w:div>
    <w:div w:id="1269850269">
      <w:bodyDiv w:val="1"/>
      <w:marLeft w:val="0"/>
      <w:marRight w:val="0"/>
      <w:marTop w:val="0"/>
      <w:marBottom w:val="0"/>
      <w:divBdr>
        <w:top w:val="none" w:sz="0" w:space="0" w:color="auto"/>
        <w:left w:val="none" w:sz="0" w:space="0" w:color="auto"/>
        <w:bottom w:val="none" w:sz="0" w:space="0" w:color="auto"/>
        <w:right w:val="none" w:sz="0" w:space="0" w:color="auto"/>
      </w:divBdr>
    </w:div>
    <w:div w:id="1269852448">
      <w:bodyDiv w:val="1"/>
      <w:marLeft w:val="0"/>
      <w:marRight w:val="0"/>
      <w:marTop w:val="0"/>
      <w:marBottom w:val="0"/>
      <w:divBdr>
        <w:top w:val="none" w:sz="0" w:space="0" w:color="auto"/>
        <w:left w:val="none" w:sz="0" w:space="0" w:color="auto"/>
        <w:bottom w:val="none" w:sz="0" w:space="0" w:color="auto"/>
        <w:right w:val="none" w:sz="0" w:space="0" w:color="auto"/>
      </w:divBdr>
    </w:div>
    <w:div w:id="1269973087">
      <w:bodyDiv w:val="1"/>
      <w:marLeft w:val="0"/>
      <w:marRight w:val="0"/>
      <w:marTop w:val="0"/>
      <w:marBottom w:val="0"/>
      <w:divBdr>
        <w:top w:val="none" w:sz="0" w:space="0" w:color="auto"/>
        <w:left w:val="none" w:sz="0" w:space="0" w:color="auto"/>
        <w:bottom w:val="none" w:sz="0" w:space="0" w:color="auto"/>
        <w:right w:val="none" w:sz="0" w:space="0" w:color="auto"/>
      </w:divBdr>
    </w:div>
    <w:div w:id="1270116309">
      <w:bodyDiv w:val="1"/>
      <w:marLeft w:val="0"/>
      <w:marRight w:val="0"/>
      <w:marTop w:val="0"/>
      <w:marBottom w:val="0"/>
      <w:divBdr>
        <w:top w:val="none" w:sz="0" w:space="0" w:color="auto"/>
        <w:left w:val="none" w:sz="0" w:space="0" w:color="auto"/>
        <w:bottom w:val="none" w:sz="0" w:space="0" w:color="auto"/>
        <w:right w:val="none" w:sz="0" w:space="0" w:color="auto"/>
      </w:divBdr>
    </w:div>
    <w:div w:id="1270619799">
      <w:bodyDiv w:val="1"/>
      <w:marLeft w:val="0"/>
      <w:marRight w:val="0"/>
      <w:marTop w:val="0"/>
      <w:marBottom w:val="0"/>
      <w:divBdr>
        <w:top w:val="none" w:sz="0" w:space="0" w:color="auto"/>
        <w:left w:val="none" w:sz="0" w:space="0" w:color="auto"/>
        <w:bottom w:val="none" w:sz="0" w:space="0" w:color="auto"/>
        <w:right w:val="none" w:sz="0" w:space="0" w:color="auto"/>
      </w:divBdr>
    </w:div>
    <w:div w:id="1271204357">
      <w:bodyDiv w:val="1"/>
      <w:marLeft w:val="0"/>
      <w:marRight w:val="0"/>
      <w:marTop w:val="0"/>
      <w:marBottom w:val="0"/>
      <w:divBdr>
        <w:top w:val="none" w:sz="0" w:space="0" w:color="auto"/>
        <w:left w:val="none" w:sz="0" w:space="0" w:color="auto"/>
        <w:bottom w:val="none" w:sz="0" w:space="0" w:color="auto"/>
        <w:right w:val="none" w:sz="0" w:space="0" w:color="auto"/>
      </w:divBdr>
    </w:div>
    <w:div w:id="1271277062">
      <w:bodyDiv w:val="1"/>
      <w:marLeft w:val="0"/>
      <w:marRight w:val="0"/>
      <w:marTop w:val="0"/>
      <w:marBottom w:val="0"/>
      <w:divBdr>
        <w:top w:val="none" w:sz="0" w:space="0" w:color="auto"/>
        <w:left w:val="none" w:sz="0" w:space="0" w:color="auto"/>
        <w:bottom w:val="none" w:sz="0" w:space="0" w:color="auto"/>
        <w:right w:val="none" w:sz="0" w:space="0" w:color="auto"/>
      </w:divBdr>
    </w:div>
    <w:div w:id="1272013220">
      <w:bodyDiv w:val="1"/>
      <w:marLeft w:val="0"/>
      <w:marRight w:val="0"/>
      <w:marTop w:val="0"/>
      <w:marBottom w:val="0"/>
      <w:divBdr>
        <w:top w:val="none" w:sz="0" w:space="0" w:color="auto"/>
        <w:left w:val="none" w:sz="0" w:space="0" w:color="auto"/>
        <w:bottom w:val="none" w:sz="0" w:space="0" w:color="auto"/>
        <w:right w:val="none" w:sz="0" w:space="0" w:color="auto"/>
      </w:divBdr>
    </w:div>
    <w:div w:id="1272398997">
      <w:bodyDiv w:val="1"/>
      <w:marLeft w:val="0"/>
      <w:marRight w:val="0"/>
      <w:marTop w:val="0"/>
      <w:marBottom w:val="0"/>
      <w:divBdr>
        <w:top w:val="none" w:sz="0" w:space="0" w:color="auto"/>
        <w:left w:val="none" w:sz="0" w:space="0" w:color="auto"/>
        <w:bottom w:val="none" w:sz="0" w:space="0" w:color="auto"/>
        <w:right w:val="none" w:sz="0" w:space="0" w:color="auto"/>
      </w:divBdr>
    </w:div>
    <w:div w:id="1273436096">
      <w:bodyDiv w:val="1"/>
      <w:marLeft w:val="0"/>
      <w:marRight w:val="0"/>
      <w:marTop w:val="0"/>
      <w:marBottom w:val="0"/>
      <w:divBdr>
        <w:top w:val="none" w:sz="0" w:space="0" w:color="auto"/>
        <w:left w:val="none" w:sz="0" w:space="0" w:color="auto"/>
        <w:bottom w:val="none" w:sz="0" w:space="0" w:color="auto"/>
        <w:right w:val="none" w:sz="0" w:space="0" w:color="auto"/>
      </w:divBdr>
    </w:div>
    <w:div w:id="1273854539">
      <w:bodyDiv w:val="1"/>
      <w:marLeft w:val="0"/>
      <w:marRight w:val="0"/>
      <w:marTop w:val="0"/>
      <w:marBottom w:val="0"/>
      <w:divBdr>
        <w:top w:val="none" w:sz="0" w:space="0" w:color="auto"/>
        <w:left w:val="none" w:sz="0" w:space="0" w:color="auto"/>
        <w:bottom w:val="none" w:sz="0" w:space="0" w:color="auto"/>
        <w:right w:val="none" w:sz="0" w:space="0" w:color="auto"/>
      </w:divBdr>
    </w:div>
    <w:div w:id="1274435478">
      <w:bodyDiv w:val="1"/>
      <w:marLeft w:val="0"/>
      <w:marRight w:val="0"/>
      <w:marTop w:val="0"/>
      <w:marBottom w:val="0"/>
      <w:divBdr>
        <w:top w:val="none" w:sz="0" w:space="0" w:color="auto"/>
        <w:left w:val="none" w:sz="0" w:space="0" w:color="auto"/>
        <w:bottom w:val="none" w:sz="0" w:space="0" w:color="auto"/>
        <w:right w:val="none" w:sz="0" w:space="0" w:color="auto"/>
      </w:divBdr>
    </w:div>
    <w:div w:id="1274440630">
      <w:bodyDiv w:val="1"/>
      <w:marLeft w:val="0"/>
      <w:marRight w:val="0"/>
      <w:marTop w:val="0"/>
      <w:marBottom w:val="0"/>
      <w:divBdr>
        <w:top w:val="none" w:sz="0" w:space="0" w:color="auto"/>
        <w:left w:val="none" w:sz="0" w:space="0" w:color="auto"/>
        <w:bottom w:val="none" w:sz="0" w:space="0" w:color="auto"/>
        <w:right w:val="none" w:sz="0" w:space="0" w:color="auto"/>
      </w:divBdr>
    </w:div>
    <w:div w:id="1275022048">
      <w:bodyDiv w:val="1"/>
      <w:marLeft w:val="0"/>
      <w:marRight w:val="0"/>
      <w:marTop w:val="0"/>
      <w:marBottom w:val="0"/>
      <w:divBdr>
        <w:top w:val="none" w:sz="0" w:space="0" w:color="auto"/>
        <w:left w:val="none" w:sz="0" w:space="0" w:color="auto"/>
        <w:bottom w:val="none" w:sz="0" w:space="0" w:color="auto"/>
        <w:right w:val="none" w:sz="0" w:space="0" w:color="auto"/>
      </w:divBdr>
    </w:div>
    <w:div w:id="1275943351">
      <w:bodyDiv w:val="1"/>
      <w:marLeft w:val="0"/>
      <w:marRight w:val="0"/>
      <w:marTop w:val="0"/>
      <w:marBottom w:val="0"/>
      <w:divBdr>
        <w:top w:val="none" w:sz="0" w:space="0" w:color="auto"/>
        <w:left w:val="none" w:sz="0" w:space="0" w:color="auto"/>
        <w:bottom w:val="none" w:sz="0" w:space="0" w:color="auto"/>
        <w:right w:val="none" w:sz="0" w:space="0" w:color="auto"/>
      </w:divBdr>
    </w:div>
    <w:div w:id="1276673367">
      <w:bodyDiv w:val="1"/>
      <w:marLeft w:val="0"/>
      <w:marRight w:val="0"/>
      <w:marTop w:val="0"/>
      <w:marBottom w:val="0"/>
      <w:divBdr>
        <w:top w:val="none" w:sz="0" w:space="0" w:color="auto"/>
        <w:left w:val="none" w:sz="0" w:space="0" w:color="auto"/>
        <w:bottom w:val="none" w:sz="0" w:space="0" w:color="auto"/>
        <w:right w:val="none" w:sz="0" w:space="0" w:color="auto"/>
      </w:divBdr>
    </w:div>
    <w:div w:id="1277254529">
      <w:bodyDiv w:val="1"/>
      <w:marLeft w:val="0"/>
      <w:marRight w:val="0"/>
      <w:marTop w:val="0"/>
      <w:marBottom w:val="0"/>
      <w:divBdr>
        <w:top w:val="none" w:sz="0" w:space="0" w:color="auto"/>
        <w:left w:val="none" w:sz="0" w:space="0" w:color="auto"/>
        <w:bottom w:val="none" w:sz="0" w:space="0" w:color="auto"/>
        <w:right w:val="none" w:sz="0" w:space="0" w:color="auto"/>
      </w:divBdr>
    </w:div>
    <w:div w:id="1277758039">
      <w:bodyDiv w:val="1"/>
      <w:marLeft w:val="0"/>
      <w:marRight w:val="0"/>
      <w:marTop w:val="0"/>
      <w:marBottom w:val="0"/>
      <w:divBdr>
        <w:top w:val="none" w:sz="0" w:space="0" w:color="auto"/>
        <w:left w:val="none" w:sz="0" w:space="0" w:color="auto"/>
        <w:bottom w:val="none" w:sz="0" w:space="0" w:color="auto"/>
        <w:right w:val="none" w:sz="0" w:space="0" w:color="auto"/>
      </w:divBdr>
    </w:div>
    <w:div w:id="1278415204">
      <w:bodyDiv w:val="1"/>
      <w:marLeft w:val="0"/>
      <w:marRight w:val="0"/>
      <w:marTop w:val="0"/>
      <w:marBottom w:val="0"/>
      <w:divBdr>
        <w:top w:val="none" w:sz="0" w:space="0" w:color="auto"/>
        <w:left w:val="none" w:sz="0" w:space="0" w:color="auto"/>
        <w:bottom w:val="none" w:sz="0" w:space="0" w:color="auto"/>
        <w:right w:val="none" w:sz="0" w:space="0" w:color="auto"/>
      </w:divBdr>
    </w:div>
    <w:div w:id="1278566631">
      <w:bodyDiv w:val="1"/>
      <w:marLeft w:val="0"/>
      <w:marRight w:val="0"/>
      <w:marTop w:val="0"/>
      <w:marBottom w:val="0"/>
      <w:divBdr>
        <w:top w:val="none" w:sz="0" w:space="0" w:color="auto"/>
        <w:left w:val="none" w:sz="0" w:space="0" w:color="auto"/>
        <w:bottom w:val="none" w:sz="0" w:space="0" w:color="auto"/>
        <w:right w:val="none" w:sz="0" w:space="0" w:color="auto"/>
      </w:divBdr>
    </w:div>
    <w:div w:id="1278953814">
      <w:bodyDiv w:val="1"/>
      <w:marLeft w:val="0"/>
      <w:marRight w:val="0"/>
      <w:marTop w:val="0"/>
      <w:marBottom w:val="0"/>
      <w:divBdr>
        <w:top w:val="none" w:sz="0" w:space="0" w:color="auto"/>
        <w:left w:val="none" w:sz="0" w:space="0" w:color="auto"/>
        <w:bottom w:val="none" w:sz="0" w:space="0" w:color="auto"/>
        <w:right w:val="none" w:sz="0" w:space="0" w:color="auto"/>
      </w:divBdr>
    </w:div>
    <w:div w:id="1280836602">
      <w:bodyDiv w:val="1"/>
      <w:marLeft w:val="0"/>
      <w:marRight w:val="0"/>
      <w:marTop w:val="0"/>
      <w:marBottom w:val="0"/>
      <w:divBdr>
        <w:top w:val="none" w:sz="0" w:space="0" w:color="auto"/>
        <w:left w:val="none" w:sz="0" w:space="0" w:color="auto"/>
        <w:bottom w:val="none" w:sz="0" w:space="0" w:color="auto"/>
        <w:right w:val="none" w:sz="0" w:space="0" w:color="auto"/>
      </w:divBdr>
    </w:div>
    <w:div w:id="1280918114">
      <w:bodyDiv w:val="1"/>
      <w:marLeft w:val="0"/>
      <w:marRight w:val="0"/>
      <w:marTop w:val="0"/>
      <w:marBottom w:val="0"/>
      <w:divBdr>
        <w:top w:val="none" w:sz="0" w:space="0" w:color="auto"/>
        <w:left w:val="none" w:sz="0" w:space="0" w:color="auto"/>
        <w:bottom w:val="none" w:sz="0" w:space="0" w:color="auto"/>
        <w:right w:val="none" w:sz="0" w:space="0" w:color="auto"/>
      </w:divBdr>
    </w:div>
    <w:div w:id="1281302390">
      <w:bodyDiv w:val="1"/>
      <w:marLeft w:val="0"/>
      <w:marRight w:val="0"/>
      <w:marTop w:val="0"/>
      <w:marBottom w:val="0"/>
      <w:divBdr>
        <w:top w:val="none" w:sz="0" w:space="0" w:color="auto"/>
        <w:left w:val="none" w:sz="0" w:space="0" w:color="auto"/>
        <w:bottom w:val="none" w:sz="0" w:space="0" w:color="auto"/>
        <w:right w:val="none" w:sz="0" w:space="0" w:color="auto"/>
      </w:divBdr>
    </w:div>
    <w:div w:id="1281495876">
      <w:bodyDiv w:val="1"/>
      <w:marLeft w:val="0"/>
      <w:marRight w:val="0"/>
      <w:marTop w:val="0"/>
      <w:marBottom w:val="0"/>
      <w:divBdr>
        <w:top w:val="none" w:sz="0" w:space="0" w:color="auto"/>
        <w:left w:val="none" w:sz="0" w:space="0" w:color="auto"/>
        <w:bottom w:val="none" w:sz="0" w:space="0" w:color="auto"/>
        <w:right w:val="none" w:sz="0" w:space="0" w:color="auto"/>
      </w:divBdr>
    </w:div>
    <w:div w:id="1282539700">
      <w:bodyDiv w:val="1"/>
      <w:marLeft w:val="0"/>
      <w:marRight w:val="0"/>
      <w:marTop w:val="150"/>
      <w:marBottom w:val="0"/>
      <w:divBdr>
        <w:top w:val="none" w:sz="0" w:space="0" w:color="auto"/>
        <w:left w:val="none" w:sz="0" w:space="0" w:color="auto"/>
        <w:bottom w:val="none" w:sz="0" w:space="0" w:color="auto"/>
        <w:right w:val="none" w:sz="0" w:space="0" w:color="auto"/>
      </w:divBdr>
      <w:divsChild>
        <w:div w:id="1941836009">
          <w:marLeft w:val="0"/>
          <w:marRight w:val="0"/>
          <w:marTop w:val="0"/>
          <w:marBottom w:val="0"/>
          <w:divBdr>
            <w:top w:val="none" w:sz="0" w:space="0" w:color="auto"/>
            <w:left w:val="none" w:sz="0" w:space="0" w:color="auto"/>
            <w:bottom w:val="none" w:sz="0" w:space="0" w:color="auto"/>
            <w:right w:val="none" w:sz="0" w:space="0" w:color="auto"/>
          </w:divBdr>
          <w:divsChild>
            <w:div w:id="1496215699">
              <w:marLeft w:val="0"/>
              <w:marRight w:val="0"/>
              <w:marTop w:val="0"/>
              <w:marBottom w:val="0"/>
              <w:divBdr>
                <w:top w:val="none" w:sz="0" w:space="0" w:color="auto"/>
                <w:left w:val="none" w:sz="0" w:space="0" w:color="auto"/>
                <w:bottom w:val="none" w:sz="0" w:space="0" w:color="auto"/>
                <w:right w:val="none" w:sz="0" w:space="0" w:color="auto"/>
              </w:divBdr>
              <w:divsChild>
                <w:div w:id="1620646292">
                  <w:marLeft w:val="0"/>
                  <w:marRight w:val="0"/>
                  <w:marTop w:val="0"/>
                  <w:marBottom w:val="0"/>
                  <w:divBdr>
                    <w:top w:val="none" w:sz="0" w:space="0" w:color="auto"/>
                    <w:left w:val="none" w:sz="0" w:space="0" w:color="auto"/>
                    <w:bottom w:val="none" w:sz="0" w:space="0" w:color="auto"/>
                    <w:right w:val="none" w:sz="0" w:space="0" w:color="auto"/>
                  </w:divBdr>
                  <w:divsChild>
                    <w:div w:id="1853639921">
                      <w:marLeft w:val="0"/>
                      <w:marRight w:val="0"/>
                      <w:marTop w:val="0"/>
                      <w:marBottom w:val="0"/>
                      <w:divBdr>
                        <w:top w:val="none" w:sz="0" w:space="0" w:color="auto"/>
                        <w:left w:val="none" w:sz="0" w:space="0" w:color="auto"/>
                        <w:bottom w:val="none" w:sz="0" w:space="0" w:color="auto"/>
                        <w:right w:val="none" w:sz="0" w:space="0" w:color="auto"/>
                      </w:divBdr>
                      <w:divsChild>
                        <w:div w:id="320503263">
                          <w:marLeft w:val="0"/>
                          <w:marRight w:val="0"/>
                          <w:marTop w:val="0"/>
                          <w:marBottom w:val="0"/>
                          <w:divBdr>
                            <w:top w:val="none" w:sz="0" w:space="0" w:color="auto"/>
                            <w:left w:val="none" w:sz="0" w:space="0" w:color="auto"/>
                            <w:bottom w:val="none" w:sz="0" w:space="0" w:color="auto"/>
                            <w:right w:val="none" w:sz="0" w:space="0" w:color="auto"/>
                          </w:divBdr>
                          <w:divsChild>
                            <w:div w:id="598871431">
                              <w:marLeft w:val="0"/>
                              <w:marRight w:val="0"/>
                              <w:marTop w:val="0"/>
                              <w:marBottom w:val="0"/>
                              <w:divBdr>
                                <w:top w:val="none" w:sz="0" w:space="0" w:color="auto"/>
                                <w:left w:val="none" w:sz="0" w:space="0" w:color="auto"/>
                                <w:bottom w:val="none" w:sz="0" w:space="0" w:color="auto"/>
                                <w:right w:val="none" w:sz="0" w:space="0" w:color="auto"/>
                              </w:divBdr>
                              <w:divsChild>
                                <w:div w:id="289094913">
                                  <w:marLeft w:val="0"/>
                                  <w:marRight w:val="0"/>
                                  <w:marTop w:val="0"/>
                                  <w:marBottom w:val="0"/>
                                  <w:divBdr>
                                    <w:top w:val="none" w:sz="0" w:space="0" w:color="auto"/>
                                    <w:left w:val="none" w:sz="0" w:space="0" w:color="auto"/>
                                    <w:bottom w:val="none" w:sz="0" w:space="0" w:color="auto"/>
                                    <w:right w:val="none" w:sz="0" w:space="0" w:color="auto"/>
                                  </w:divBdr>
                                </w:div>
                                <w:div w:id="18837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071186">
      <w:bodyDiv w:val="1"/>
      <w:marLeft w:val="0"/>
      <w:marRight w:val="0"/>
      <w:marTop w:val="0"/>
      <w:marBottom w:val="0"/>
      <w:divBdr>
        <w:top w:val="none" w:sz="0" w:space="0" w:color="auto"/>
        <w:left w:val="none" w:sz="0" w:space="0" w:color="auto"/>
        <w:bottom w:val="none" w:sz="0" w:space="0" w:color="auto"/>
        <w:right w:val="none" w:sz="0" w:space="0" w:color="auto"/>
      </w:divBdr>
    </w:div>
    <w:div w:id="1284456944">
      <w:bodyDiv w:val="1"/>
      <w:marLeft w:val="0"/>
      <w:marRight w:val="0"/>
      <w:marTop w:val="0"/>
      <w:marBottom w:val="0"/>
      <w:divBdr>
        <w:top w:val="none" w:sz="0" w:space="0" w:color="auto"/>
        <w:left w:val="none" w:sz="0" w:space="0" w:color="auto"/>
        <w:bottom w:val="none" w:sz="0" w:space="0" w:color="auto"/>
        <w:right w:val="none" w:sz="0" w:space="0" w:color="auto"/>
      </w:divBdr>
    </w:div>
    <w:div w:id="1285501304">
      <w:bodyDiv w:val="1"/>
      <w:marLeft w:val="0"/>
      <w:marRight w:val="0"/>
      <w:marTop w:val="0"/>
      <w:marBottom w:val="0"/>
      <w:divBdr>
        <w:top w:val="none" w:sz="0" w:space="0" w:color="auto"/>
        <w:left w:val="none" w:sz="0" w:space="0" w:color="auto"/>
        <w:bottom w:val="none" w:sz="0" w:space="0" w:color="auto"/>
        <w:right w:val="none" w:sz="0" w:space="0" w:color="auto"/>
      </w:divBdr>
    </w:div>
    <w:div w:id="1285620882">
      <w:bodyDiv w:val="1"/>
      <w:marLeft w:val="0"/>
      <w:marRight w:val="0"/>
      <w:marTop w:val="0"/>
      <w:marBottom w:val="0"/>
      <w:divBdr>
        <w:top w:val="none" w:sz="0" w:space="0" w:color="auto"/>
        <w:left w:val="none" w:sz="0" w:space="0" w:color="auto"/>
        <w:bottom w:val="none" w:sz="0" w:space="0" w:color="auto"/>
        <w:right w:val="none" w:sz="0" w:space="0" w:color="auto"/>
      </w:divBdr>
    </w:div>
    <w:div w:id="1286430302">
      <w:bodyDiv w:val="1"/>
      <w:marLeft w:val="0"/>
      <w:marRight w:val="0"/>
      <w:marTop w:val="0"/>
      <w:marBottom w:val="0"/>
      <w:divBdr>
        <w:top w:val="none" w:sz="0" w:space="0" w:color="auto"/>
        <w:left w:val="none" w:sz="0" w:space="0" w:color="auto"/>
        <w:bottom w:val="none" w:sz="0" w:space="0" w:color="auto"/>
        <w:right w:val="none" w:sz="0" w:space="0" w:color="auto"/>
      </w:divBdr>
    </w:div>
    <w:div w:id="1287158391">
      <w:bodyDiv w:val="1"/>
      <w:marLeft w:val="0"/>
      <w:marRight w:val="0"/>
      <w:marTop w:val="0"/>
      <w:marBottom w:val="0"/>
      <w:divBdr>
        <w:top w:val="none" w:sz="0" w:space="0" w:color="auto"/>
        <w:left w:val="none" w:sz="0" w:space="0" w:color="auto"/>
        <w:bottom w:val="none" w:sz="0" w:space="0" w:color="auto"/>
        <w:right w:val="none" w:sz="0" w:space="0" w:color="auto"/>
      </w:divBdr>
    </w:div>
    <w:div w:id="1287397348">
      <w:bodyDiv w:val="1"/>
      <w:marLeft w:val="0"/>
      <w:marRight w:val="0"/>
      <w:marTop w:val="0"/>
      <w:marBottom w:val="0"/>
      <w:divBdr>
        <w:top w:val="none" w:sz="0" w:space="0" w:color="auto"/>
        <w:left w:val="none" w:sz="0" w:space="0" w:color="auto"/>
        <w:bottom w:val="none" w:sz="0" w:space="0" w:color="auto"/>
        <w:right w:val="none" w:sz="0" w:space="0" w:color="auto"/>
      </w:divBdr>
    </w:div>
    <w:div w:id="1287858408">
      <w:bodyDiv w:val="1"/>
      <w:marLeft w:val="0"/>
      <w:marRight w:val="0"/>
      <w:marTop w:val="0"/>
      <w:marBottom w:val="0"/>
      <w:divBdr>
        <w:top w:val="none" w:sz="0" w:space="0" w:color="auto"/>
        <w:left w:val="none" w:sz="0" w:space="0" w:color="auto"/>
        <w:bottom w:val="none" w:sz="0" w:space="0" w:color="auto"/>
        <w:right w:val="none" w:sz="0" w:space="0" w:color="auto"/>
      </w:divBdr>
    </w:div>
    <w:div w:id="1288001713">
      <w:bodyDiv w:val="1"/>
      <w:marLeft w:val="0"/>
      <w:marRight w:val="0"/>
      <w:marTop w:val="0"/>
      <w:marBottom w:val="0"/>
      <w:divBdr>
        <w:top w:val="none" w:sz="0" w:space="0" w:color="auto"/>
        <w:left w:val="none" w:sz="0" w:space="0" w:color="auto"/>
        <w:bottom w:val="none" w:sz="0" w:space="0" w:color="auto"/>
        <w:right w:val="none" w:sz="0" w:space="0" w:color="auto"/>
      </w:divBdr>
    </w:div>
    <w:div w:id="1288243764">
      <w:bodyDiv w:val="1"/>
      <w:marLeft w:val="0"/>
      <w:marRight w:val="0"/>
      <w:marTop w:val="0"/>
      <w:marBottom w:val="0"/>
      <w:divBdr>
        <w:top w:val="none" w:sz="0" w:space="0" w:color="auto"/>
        <w:left w:val="none" w:sz="0" w:space="0" w:color="auto"/>
        <w:bottom w:val="none" w:sz="0" w:space="0" w:color="auto"/>
        <w:right w:val="none" w:sz="0" w:space="0" w:color="auto"/>
      </w:divBdr>
    </w:div>
    <w:div w:id="1289122208">
      <w:bodyDiv w:val="1"/>
      <w:marLeft w:val="0"/>
      <w:marRight w:val="0"/>
      <w:marTop w:val="0"/>
      <w:marBottom w:val="0"/>
      <w:divBdr>
        <w:top w:val="none" w:sz="0" w:space="0" w:color="auto"/>
        <w:left w:val="none" w:sz="0" w:space="0" w:color="auto"/>
        <w:bottom w:val="none" w:sz="0" w:space="0" w:color="auto"/>
        <w:right w:val="none" w:sz="0" w:space="0" w:color="auto"/>
      </w:divBdr>
    </w:div>
    <w:div w:id="1289167025">
      <w:bodyDiv w:val="1"/>
      <w:marLeft w:val="0"/>
      <w:marRight w:val="0"/>
      <w:marTop w:val="0"/>
      <w:marBottom w:val="0"/>
      <w:divBdr>
        <w:top w:val="none" w:sz="0" w:space="0" w:color="auto"/>
        <w:left w:val="none" w:sz="0" w:space="0" w:color="auto"/>
        <w:bottom w:val="none" w:sz="0" w:space="0" w:color="auto"/>
        <w:right w:val="none" w:sz="0" w:space="0" w:color="auto"/>
      </w:divBdr>
    </w:div>
    <w:div w:id="1290236170">
      <w:bodyDiv w:val="1"/>
      <w:marLeft w:val="0"/>
      <w:marRight w:val="0"/>
      <w:marTop w:val="0"/>
      <w:marBottom w:val="0"/>
      <w:divBdr>
        <w:top w:val="none" w:sz="0" w:space="0" w:color="auto"/>
        <w:left w:val="none" w:sz="0" w:space="0" w:color="auto"/>
        <w:bottom w:val="none" w:sz="0" w:space="0" w:color="auto"/>
        <w:right w:val="none" w:sz="0" w:space="0" w:color="auto"/>
      </w:divBdr>
    </w:div>
    <w:div w:id="1290942356">
      <w:bodyDiv w:val="1"/>
      <w:marLeft w:val="0"/>
      <w:marRight w:val="0"/>
      <w:marTop w:val="0"/>
      <w:marBottom w:val="0"/>
      <w:divBdr>
        <w:top w:val="none" w:sz="0" w:space="0" w:color="auto"/>
        <w:left w:val="none" w:sz="0" w:space="0" w:color="auto"/>
        <w:bottom w:val="none" w:sz="0" w:space="0" w:color="auto"/>
        <w:right w:val="none" w:sz="0" w:space="0" w:color="auto"/>
      </w:divBdr>
    </w:div>
    <w:div w:id="1291789114">
      <w:bodyDiv w:val="1"/>
      <w:marLeft w:val="0"/>
      <w:marRight w:val="0"/>
      <w:marTop w:val="0"/>
      <w:marBottom w:val="0"/>
      <w:divBdr>
        <w:top w:val="none" w:sz="0" w:space="0" w:color="auto"/>
        <w:left w:val="none" w:sz="0" w:space="0" w:color="auto"/>
        <w:bottom w:val="none" w:sz="0" w:space="0" w:color="auto"/>
        <w:right w:val="none" w:sz="0" w:space="0" w:color="auto"/>
      </w:divBdr>
    </w:div>
    <w:div w:id="1293056959">
      <w:bodyDiv w:val="1"/>
      <w:marLeft w:val="0"/>
      <w:marRight w:val="0"/>
      <w:marTop w:val="0"/>
      <w:marBottom w:val="0"/>
      <w:divBdr>
        <w:top w:val="none" w:sz="0" w:space="0" w:color="auto"/>
        <w:left w:val="none" w:sz="0" w:space="0" w:color="auto"/>
        <w:bottom w:val="none" w:sz="0" w:space="0" w:color="auto"/>
        <w:right w:val="none" w:sz="0" w:space="0" w:color="auto"/>
      </w:divBdr>
    </w:div>
    <w:div w:id="1293249355">
      <w:bodyDiv w:val="1"/>
      <w:marLeft w:val="0"/>
      <w:marRight w:val="0"/>
      <w:marTop w:val="0"/>
      <w:marBottom w:val="0"/>
      <w:divBdr>
        <w:top w:val="none" w:sz="0" w:space="0" w:color="auto"/>
        <w:left w:val="none" w:sz="0" w:space="0" w:color="auto"/>
        <w:bottom w:val="none" w:sz="0" w:space="0" w:color="auto"/>
        <w:right w:val="none" w:sz="0" w:space="0" w:color="auto"/>
      </w:divBdr>
    </w:div>
    <w:div w:id="1293822557">
      <w:bodyDiv w:val="1"/>
      <w:marLeft w:val="0"/>
      <w:marRight w:val="0"/>
      <w:marTop w:val="0"/>
      <w:marBottom w:val="0"/>
      <w:divBdr>
        <w:top w:val="none" w:sz="0" w:space="0" w:color="auto"/>
        <w:left w:val="none" w:sz="0" w:space="0" w:color="auto"/>
        <w:bottom w:val="none" w:sz="0" w:space="0" w:color="auto"/>
        <w:right w:val="none" w:sz="0" w:space="0" w:color="auto"/>
      </w:divBdr>
    </w:div>
    <w:div w:id="1294748864">
      <w:bodyDiv w:val="1"/>
      <w:marLeft w:val="0"/>
      <w:marRight w:val="0"/>
      <w:marTop w:val="0"/>
      <w:marBottom w:val="0"/>
      <w:divBdr>
        <w:top w:val="none" w:sz="0" w:space="0" w:color="auto"/>
        <w:left w:val="none" w:sz="0" w:space="0" w:color="auto"/>
        <w:bottom w:val="none" w:sz="0" w:space="0" w:color="auto"/>
        <w:right w:val="none" w:sz="0" w:space="0" w:color="auto"/>
      </w:divBdr>
    </w:div>
    <w:div w:id="1294756089">
      <w:bodyDiv w:val="1"/>
      <w:marLeft w:val="0"/>
      <w:marRight w:val="0"/>
      <w:marTop w:val="0"/>
      <w:marBottom w:val="0"/>
      <w:divBdr>
        <w:top w:val="none" w:sz="0" w:space="0" w:color="auto"/>
        <w:left w:val="none" w:sz="0" w:space="0" w:color="auto"/>
        <w:bottom w:val="none" w:sz="0" w:space="0" w:color="auto"/>
        <w:right w:val="none" w:sz="0" w:space="0" w:color="auto"/>
      </w:divBdr>
    </w:div>
    <w:div w:id="1295404110">
      <w:bodyDiv w:val="1"/>
      <w:marLeft w:val="0"/>
      <w:marRight w:val="0"/>
      <w:marTop w:val="0"/>
      <w:marBottom w:val="0"/>
      <w:divBdr>
        <w:top w:val="none" w:sz="0" w:space="0" w:color="auto"/>
        <w:left w:val="none" w:sz="0" w:space="0" w:color="auto"/>
        <w:bottom w:val="none" w:sz="0" w:space="0" w:color="auto"/>
        <w:right w:val="none" w:sz="0" w:space="0" w:color="auto"/>
      </w:divBdr>
    </w:div>
    <w:div w:id="1295671543">
      <w:bodyDiv w:val="1"/>
      <w:marLeft w:val="0"/>
      <w:marRight w:val="0"/>
      <w:marTop w:val="0"/>
      <w:marBottom w:val="0"/>
      <w:divBdr>
        <w:top w:val="none" w:sz="0" w:space="0" w:color="auto"/>
        <w:left w:val="none" w:sz="0" w:space="0" w:color="auto"/>
        <w:bottom w:val="none" w:sz="0" w:space="0" w:color="auto"/>
        <w:right w:val="none" w:sz="0" w:space="0" w:color="auto"/>
      </w:divBdr>
    </w:div>
    <w:div w:id="1296137165">
      <w:bodyDiv w:val="1"/>
      <w:marLeft w:val="0"/>
      <w:marRight w:val="0"/>
      <w:marTop w:val="0"/>
      <w:marBottom w:val="0"/>
      <w:divBdr>
        <w:top w:val="none" w:sz="0" w:space="0" w:color="auto"/>
        <w:left w:val="none" w:sz="0" w:space="0" w:color="auto"/>
        <w:bottom w:val="none" w:sz="0" w:space="0" w:color="auto"/>
        <w:right w:val="none" w:sz="0" w:space="0" w:color="auto"/>
      </w:divBdr>
    </w:div>
    <w:div w:id="1298485124">
      <w:bodyDiv w:val="1"/>
      <w:marLeft w:val="0"/>
      <w:marRight w:val="0"/>
      <w:marTop w:val="0"/>
      <w:marBottom w:val="0"/>
      <w:divBdr>
        <w:top w:val="none" w:sz="0" w:space="0" w:color="auto"/>
        <w:left w:val="none" w:sz="0" w:space="0" w:color="auto"/>
        <w:bottom w:val="none" w:sz="0" w:space="0" w:color="auto"/>
        <w:right w:val="none" w:sz="0" w:space="0" w:color="auto"/>
      </w:divBdr>
    </w:div>
    <w:div w:id="1298873856">
      <w:bodyDiv w:val="1"/>
      <w:marLeft w:val="0"/>
      <w:marRight w:val="0"/>
      <w:marTop w:val="0"/>
      <w:marBottom w:val="0"/>
      <w:divBdr>
        <w:top w:val="none" w:sz="0" w:space="0" w:color="auto"/>
        <w:left w:val="none" w:sz="0" w:space="0" w:color="auto"/>
        <w:bottom w:val="none" w:sz="0" w:space="0" w:color="auto"/>
        <w:right w:val="none" w:sz="0" w:space="0" w:color="auto"/>
      </w:divBdr>
    </w:div>
    <w:div w:id="1299265680">
      <w:bodyDiv w:val="1"/>
      <w:marLeft w:val="0"/>
      <w:marRight w:val="0"/>
      <w:marTop w:val="0"/>
      <w:marBottom w:val="0"/>
      <w:divBdr>
        <w:top w:val="none" w:sz="0" w:space="0" w:color="auto"/>
        <w:left w:val="none" w:sz="0" w:space="0" w:color="auto"/>
        <w:bottom w:val="none" w:sz="0" w:space="0" w:color="auto"/>
        <w:right w:val="none" w:sz="0" w:space="0" w:color="auto"/>
      </w:divBdr>
    </w:div>
    <w:div w:id="1299988669">
      <w:bodyDiv w:val="1"/>
      <w:marLeft w:val="0"/>
      <w:marRight w:val="0"/>
      <w:marTop w:val="0"/>
      <w:marBottom w:val="0"/>
      <w:divBdr>
        <w:top w:val="none" w:sz="0" w:space="0" w:color="auto"/>
        <w:left w:val="none" w:sz="0" w:space="0" w:color="auto"/>
        <w:bottom w:val="none" w:sz="0" w:space="0" w:color="auto"/>
        <w:right w:val="none" w:sz="0" w:space="0" w:color="auto"/>
      </w:divBdr>
    </w:div>
    <w:div w:id="1301182583">
      <w:bodyDiv w:val="1"/>
      <w:marLeft w:val="0"/>
      <w:marRight w:val="0"/>
      <w:marTop w:val="0"/>
      <w:marBottom w:val="0"/>
      <w:divBdr>
        <w:top w:val="none" w:sz="0" w:space="0" w:color="auto"/>
        <w:left w:val="none" w:sz="0" w:space="0" w:color="auto"/>
        <w:bottom w:val="none" w:sz="0" w:space="0" w:color="auto"/>
        <w:right w:val="none" w:sz="0" w:space="0" w:color="auto"/>
      </w:divBdr>
    </w:div>
    <w:div w:id="1301493369">
      <w:bodyDiv w:val="1"/>
      <w:marLeft w:val="0"/>
      <w:marRight w:val="0"/>
      <w:marTop w:val="0"/>
      <w:marBottom w:val="0"/>
      <w:divBdr>
        <w:top w:val="none" w:sz="0" w:space="0" w:color="auto"/>
        <w:left w:val="none" w:sz="0" w:space="0" w:color="auto"/>
        <w:bottom w:val="none" w:sz="0" w:space="0" w:color="auto"/>
        <w:right w:val="none" w:sz="0" w:space="0" w:color="auto"/>
      </w:divBdr>
    </w:div>
    <w:div w:id="1302148295">
      <w:bodyDiv w:val="1"/>
      <w:marLeft w:val="0"/>
      <w:marRight w:val="0"/>
      <w:marTop w:val="0"/>
      <w:marBottom w:val="0"/>
      <w:divBdr>
        <w:top w:val="none" w:sz="0" w:space="0" w:color="auto"/>
        <w:left w:val="none" w:sz="0" w:space="0" w:color="auto"/>
        <w:bottom w:val="none" w:sz="0" w:space="0" w:color="auto"/>
        <w:right w:val="none" w:sz="0" w:space="0" w:color="auto"/>
      </w:divBdr>
    </w:div>
    <w:div w:id="1302807891">
      <w:bodyDiv w:val="1"/>
      <w:marLeft w:val="0"/>
      <w:marRight w:val="0"/>
      <w:marTop w:val="0"/>
      <w:marBottom w:val="0"/>
      <w:divBdr>
        <w:top w:val="none" w:sz="0" w:space="0" w:color="auto"/>
        <w:left w:val="none" w:sz="0" w:space="0" w:color="auto"/>
        <w:bottom w:val="none" w:sz="0" w:space="0" w:color="auto"/>
        <w:right w:val="none" w:sz="0" w:space="0" w:color="auto"/>
      </w:divBdr>
    </w:div>
    <w:div w:id="1303121839">
      <w:bodyDiv w:val="1"/>
      <w:marLeft w:val="0"/>
      <w:marRight w:val="0"/>
      <w:marTop w:val="0"/>
      <w:marBottom w:val="0"/>
      <w:divBdr>
        <w:top w:val="none" w:sz="0" w:space="0" w:color="auto"/>
        <w:left w:val="none" w:sz="0" w:space="0" w:color="auto"/>
        <w:bottom w:val="none" w:sz="0" w:space="0" w:color="auto"/>
        <w:right w:val="none" w:sz="0" w:space="0" w:color="auto"/>
      </w:divBdr>
    </w:div>
    <w:div w:id="1303733612">
      <w:bodyDiv w:val="1"/>
      <w:marLeft w:val="0"/>
      <w:marRight w:val="0"/>
      <w:marTop w:val="0"/>
      <w:marBottom w:val="0"/>
      <w:divBdr>
        <w:top w:val="none" w:sz="0" w:space="0" w:color="auto"/>
        <w:left w:val="none" w:sz="0" w:space="0" w:color="auto"/>
        <w:bottom w:val="none" w:sz="0" w:space="0" w:color="auto"/>
        <w:right w:val="none" w:sz="0" w:space="0" w:color="auto"/>
      </w:divBdr>
    </w:div>
    <w:div w:id="1304308783">
      <w:bodyDiv w:val="1"/>
      <w:marLeft w:val="0"/>
      <w:marRight w:val="0"/>
      <w:marTop w:val="0"/>
      <w:marBottom w:val="0"/>
      <w:divBdr>
        <w:top w:val="none" w:sz="0" w:space="0" w:color="auto"/>
        <w:left w:val="none" w:sz="0" w:space="0" w:color="auto"/>
        <w:bottom w:val="none" w:sz="0" w:space="0" w:color="auto"/>
        <w:right w:val="none" w:sz="0" w:space="0" w:color="auto"/>
      </w:divBdr>
    </w:div>
    <w:div w:id="1304652162">
      <w:bodyDiv w:val="1"/>
      <w:marLeft w:val="0"/>
      <w:marRight w:val="0"/>
      <w:marTop w:val="0"/>
      <w:marBottom w:val="0"/>
      <w:divBdr>
        <w:top w:val="none" w:sz="0" w:space="0" w:color="auto"/>
        <w:left w:val="none" w:sz="0" w:space="0" w:color="auto"/>
        <w:bottom w:val="none" w:sz="0" w:space="0" w:color="auto"/>
        <w:right w:val="none" w:sz="0" w:space="0" w:color="auto"/>
      </w:divBdr>
    </w:div>
    <w:div w:id="1305771192">
      <w:bodyDiv w:val="1"/>
      <w:marLeft w:val="0"/>
      <w:marRight w:val="0"/>
      <w:marTop w:val="0"/>
      <w:marBottom w:val="0"/>
      <w:divBdr>
        <w:top w:val="none" w:sz="0" w:space="0" w:color="auto"/>
        <w:left w:val="none" w:sz="0" w:space="0" w:color="auto"/>
        <w:bottom w:val="none" w:sz="0" w:space="0" w:color="auto"/>
        <w:right w:val="none" w:sz="0" w:space="0" w:color="auto"/>
      </w:divBdr>
    </w:div>
    <w:div w:id="1305965359">
      <w:bodyDiv w:val="1"/>
      <w:marLeft w:val="0"/>
      <w:marRight w:val="0"/>
      <w:marTop w:val="0"/>
      <w:marBottom w:val="0"/>
      <w:divBdr>
        <w:top w:val="none" w:sz="0" w:space="0" w:color="auto"/>
        <w:left w:val="none" w:sz="0" w:space="0" w:color="auto"/>
        <w:bottom w:val="none" w:sz="0" w:space="0" w:color="auto"/>
        <w:right w:val="none" w:sz="0" w:space="0" w:color="auto"/>
      </w:divBdr>
    </w:div>
    <w:div w:id="1306545068">
      <w:bodyDiv w:val="1"/>
      <w:marLeft w:val="0"/>
      <w:marRight w:val="0"/>
      <w:marTop w:val="0"/>
      <w:marBottom w:val="0"/>
      <w:divBdr>
        <w:top w:val="none" w:sz="0" w:space="0" w:color="auto"/>
        <w:left w:val="none" w:sz="0" w:space="0" w:color="auto"/>
        <w:bottom w:val="none" w:sz="0" w:space="0" w:color="auto"/>
        <w:right w:val="none" w:sz="0" w:space="0" w:color="auto"/>
      </w:divBdr>
    </w:div>
    <w:div w:id="1306856095">
      <w:bodyDiv w:val="1"/>
      <w:marLeft w:val="0"/>
      <w:marRight w:val="0"/>
      <w:marTop w:val="0"/>
      <w:marBottom w:val="0"/>
      <w:divBdr>
        <w:top w:val="none" w:sz="0" w:space="0" w:color="auto"/>
        <w:left w:val="none" w:sz="0" w:space="0" w:color="auto"/>
        <w:bottom w:val="none" w:sz="0" w:space="0" w:color="auto"/>
        <w:right w:val="none" w:sz="0" w:space="0" w:color="auto"/>
      </w:divBdr>
    </w:div>
    <w:div w:id="1307396077">
      <w:bodyDiv w:val="1"/>
      <w:marLeft w:val="0"/>
      <w:marRight w:val="0"/>
      <w:marTop w:val="0"/>
      <w:marBottom w:val="0"/>
      <w:divBdr>
        <w:top w:val="none" w:sz="0" w:space="0" w:color="auto"/>
        <w:left w:val="none" w:sz="0" w:space="0" w:color="auto"/>
        <w:bottom w:val="none" w:sz="0" w:space="0" w:color="auto"/>
        <w:right w:val="none" w:sz="0" w:space="0" w:color="auto"/>
      </w:divBdr>
    </w:div>
    <w:div w:id="1307777227">
      <w:bodyDiv w:val="1"/>
      <w:marLeft w:val="0"/>
      <w:marRight w:val="0"/>
      <w:marTop w:val="0"/>
      <w:marBottom w:val="0"/>
      <w:divBdr>
        <w:top w:val="none" w:sz="0" w:space="0" w:color="auto"/>
        <w:left w:val="none" w:sz="0" w:space="0" w:color="auto"/>
        <w:bottom w:val="none" w:sz="0" w:space="0" w:color="auto"/>
        <w:right w:val="none" w:sz="0" w:space="0" w:color="auto"/>
      </w:divBdr>
    </w:div>
    <w:div w:id="1308172596">
      <w:bodyDiv w:val="1"/>
      <w:marLeft w:val="0"/>
      <w:marRight w:val="0"/>
      <w:marTop w:val="0"/>
      <w:marBottom w:val="0"/>
      <w:divBdr>
        <w:top w:val="none" w:sz="0" w:space="0" w:color="auto"/>
        <w:left w:val="none" w:sz="0" w:space="0" w:color="auto"/>
        <w:bottom w:val="none" w:sz="0" w:space="0" w:color="auto"/>
        <w:right w:val="none" w:sz="0" w:space="0" w:color="auto"/>
      </w:divBdr>
    </w:div>
    <w:div w:id="1308559332">
      <w:bodyDiv w:val="1"/>
      <w:marLeft w:val="0"/>
      <w:marRight w:val="0"/>
      <w:marTop w:val="0"/>
      <w:marBottom w:val="0"/>
      <w:divBdr>
        <w:top w:val="none" w:sz="0" w:space="0" w:color="auto"/>
        <w:left w:val="none" w:sz="0" w:space="0" w:color="auto"/>
        <w:bottom w:val="none" w:sz="0" w:space="0" w:color="auto"/>
        <w:right w:val="none" w:sz="0" w:space="0" w:color="auto"/>
      </w:divBdr>
    </w:div>
    <w:div w:id="1308587715">
      <w:bodyDiv w:val="1"/>
      <w:marLeft w:val="0"/>
      <w:marRight w:val="0"/>
      <w:marTop w:val="0"/>
      <w:marBottom w:val="0"/>
      <w:divBdr>
        <w:top w:val="none" w:sz="0" w:space="0" w:color="auto"/>
        <w:left w:val="none" w:sz="0" w:space="0" w:color="auto"/>
        <w:bottom w:val="none" w:sz="0" w:space="0" w:color="auto"/>
        <w:right w:val="none" w:sz="0" w:space="0" w:color="auto"/>
      </w:divBdr>
    </w:div>
    <w:div w:id="1308629121">
      <w:bodyDiv w:val="1"/>
      <w:marLeft w:val="0"/>
      <w:marRight w:val="0"/>
      <w:marTop w:val="0"/>
      <w:marBottom w:val="0"/>
      <w:divBdr>
        <w:top w:val="none" w:sz="0" w:space="0" w:color="auto"/>
        <w:left w:val="none" w:sz="0" w:space="0" w:color="auto"/>
        <w:bottom w:val="none" w:sz="0" w:space="0" w:color="auto"/>
        <w:right w:val="none" w:sz="0" w:space="0" w:color="auto"/>
      </w:divBdr>
    </w:div>
    <w:div w:id="1308785155">
      <w:bodyDiv w:val="1"/>
      <w:marLeft w:val="0"/>
      <w:marRight w:val="0"/>
      <w:marTop w:val="0"/>
      <w:marBottom w:val="0"/>
      <w:divBdr>
        <w:top w:val="none" w:sz="0" w:space="0" w:color="auto"/>
        <w:left w:val="none" w:sz="0" w:space="0" w:color="auto"/>
        <w:bottom w:val="none" w:sz="0" w:space="0" w:color="auto"/>
        <w:right w:val="none" w:sz="0" w:space="0" w:color="auto"/>
      </w:divBdr>
    </w:div>
    <w:div w:id="1309433884">
      <w:bodyDiv w:val="1"/>
      <w:marLeft w:val="0"/>
      <w:marRight w:val="0"/>
      <w:marTop w:val="0"/>
      <w:marBottom w:val="0"/>
      <w:divBdr>
        <w:top w:val="none" w:sz="0" w:space="0" w:color="auto"/>
        <w:left w:val="none" w:sz="0" w:space="0" w:color="auto"/>
        <w:bottom w:val="none" w:sz="0" w:space="0" w:color="auto"/>
        <w:right w:val="none" w:sz="0" w:space="0" w:color="auto"/>
      </w:divBdr>
    </w:div>
    <w:div w:id="1309823758">
      <w:bodyDiv w:val="1"/>
      <w:marLeft w:val="0"/>
      <w:marRight w:val="0"/>
      <w:marTop w:val="0"/>
      <w:marBottom w:val="0"/>
      <w:divBdr>
        <w:top w:val="none" w:sz="0" w:space="0" w:color="auto"/>
        <w:left w:val="none" w:sz="0" w:space="0" w:color="auto"/>
        <w:bottom w:val="none" w:sz="0" w:space="0" w:color="auto"/>
        <w:right w:val="none" w:sz="0" w:space="0" w:color="auto"/>
      </w:divBdr>
    </w:div>
    <w:div w:id="1310741539">
      <w:bodyDiv w:val="1"/>
      <w:marLeft w:val="0"/>
      <w:marRight w:val="0"/>
      <w:marTop w:val="0"/>
      <w:marBottom w:val="0"/>
      <w:divBdr>
        <w:top w:val="none" w:sz="0" w:space="0" w:color="auto"/>
        <w:left w:val="none" w:sz="0" w:space="0" w:color="auto"/>
        <w:bottom w:val="none" w:sz="0" w:space="0" w:color="auto"/>
        <w:right w:val="none" w:sz="0" w:space="0" w:color="auto"/>
      </w:divBdr>
    </w:div>
    <w:div w:id="1311520083">
      <w:bodyDiv w:val="1"/>
      <w:marLeft w:val="0"/>
      <w:marRight w:val="0"/>
      <w:marTop w:val="0"/>
      <w:marBottom w:val="0"/>
      <w:divBdr>
        <w:top w:val="none" w:sz="0" w:space="0" w:color="auto"/>
        <w:left w:val="none" w:sz="0" w:space="0" w:color="auto"/>
        <w:bottom w:val="none" w:sz="0" w:space="0" w:color="auto"/>
        <w:right w:val="none" w:sz="0" w:space="0" w:color="auto"/>
      </w:divBdr>
    </w:div>
    <w:div w:id="1312103040">
      <w:bodyDiv w:val="1"/>
      <w:marLeft w:val="0"/>
      <w:marRight w:val="0"/>
      <w:marTop w:val="0"/>
      <w:marBottom w:val="0"/>
      <w:divBdr>
        <w:top w:val="none" w:sz="0" w:space="0" w:color="auto"/>
        <w:left w:val="none" w:sz="0" w:space="0" w:color="auto"/>
        <w:bottom w:val="none" w:sz="0" w:space="0" w:color="auto"/>
        <w:right w:val="none" w:sz="0" w:space="0" w:color="auto"/>
      </w:divBdr>
    </w:div>
    <w:div w:id="1313098336">
      <w:bodyDiv w:val="1"/>
      <w:marLeft w:val="0"/>
      <w:marRight w:val="0"/>
      <w:marTop w:val="0"/>
      <w:marBottom w:val="0"/>
      <w:divBdr>
        <w:top w:val="none" w:sz="0" w:space="0" w:color="auto"/>
        <w:left w:val="none" w:sz="0" w:space="0" w:color="auto"/>
        <w:bottom w:val="none" w:sz="0" w:space="0" w:color="auto"/>
        <w:right w:val="none" w:sz="0" w:space="0" w:color="auto"/>
      </w:divBdr>
    </w:div>
    <w:div w:id="1313217074">
      <w:bodyDiv w:val="1"/>
      <w:marLeft w:val="0"/>
      <w:marRight w:val="0"/>
      <w:marTop w:val="0"/>
      <w:marBottom w:val="0"/>
      <w:divBdr>
        <w:top w:val="none" w:sz="0" w:space="0" w:color="auto"/>
        <w:left w:val="none" w:sz="0" w:space="0" w:color="auto"/>
        <w:bottom w:val="none" w:sz="0" w:space="0" w:color="auto"/>
        <w:right w:val="none" w:sz="0" w:space="0" w:color="auto"/>
      </w:divBdr>
    </w:div>
    <w:div w:id="1315454930">
      <w:bodyDiv w:val="1"/>
      <w:marLeft w:val="0"/>
      <w:marRight w:val="0"/>
      <w:marTop w:val="0"/>
      <w:marBottom w:val="0"/>
      <w:divBdr>
        <w:top w:val="none" w:sz="0" w:space="0" w:color="auto"/>
        <w:left w:val="none" w:sz="0" w:space="0" w:color="auto"/>
        <w:bottom w:val="none" w:sz="0" w:space="0" w:color="auto"/>
        <w:right w:val="none" w:sz="0" w:space="0" w:color="auto"/>
      </w:divBdr>
    </w:div>
    <w:div w:id="1316180541">
      <w:bodyDiv w:val="1"/>
      <w:marLeft w:val="0"/>
      <w:marRight w:val="0"/>
      <w:marTop w:val="0"/>
      <w:marBottom w:val="0"/>
      <w:divBdr>
        <w:top w:val="none" w:sz="0" w:space="0" w:color="auto"/>
        <w:left w:val="none" w:sz="0" w:space="0" w:color="auto"/>
        <w:bottom w:val="none" w:sz="0" w:space="0" w:color="auto"/>
        <w:right w:val="none" w:sz="0" w:space="0" w:color="auto"/>
      </w:divBdr>
    </w:div>
    <w:div w:id="1316302181">
      <w:bodyDiv w:val="1"/>
      <w:marLeft w:val="0"/>
      <w:marRight w:val="0"/>
      <w:marTop w:val="0"/>
      <w:marBottom w:val="0"/>
      <w:divBdr>
        <w:top w:val="none" w:sz="0" w:space="0" w:color="auto"/>
        <w:left w:val="none" w:sz="0" w:space="0" w:color="auto"/>
        <w:bottom w:val="none" w:sz="0" w:space="0" w:color="auto"/>
        <w:right w:val="none" w:sz="0" w:space="0" w:color="auto"/>
      </w:divBdr>
    </w:div>
    <w:div w:id="1316568010">
      <w:bodyDiv w:val="1"/>
      <w:marLeft w:val="0"/>
      <w:marRight w:val="0"/>
      <w:marTop w:val="0"/>
      <w:marBottom w:val="0"/>
      <w:divBdr>
        <w:top w:val="none" w:sz="0" w:space="0" w:color="auto"/>
        <w:left w:val="none" w:sz="0" w:space="0" w:color="auto"/>
        <w:bottom w:val="none" w:sz="0" w:space="0" w:color="auto"/>
        <w:right w:val="none" w:sz="0" w:space="0" w:color="auto"/>
      </w:divBdr>
    </w:div>
    <w:div w:id="1318144734">
      <w:bodyDiv w:val="1"/>
      <w:marLeft w:val="0"/>
      <w:marRight w:val="0"/>
      <w:marTop w:val="0"/>
      <w:marBottom w:val="0"/>
      <w:divBdr>
        <w:top w:val="none" w:sz="0" w:space="0" w:color="auto"/>
        <w:left w:val="none" w:sz="0" w:space="0" w:color="auto"/>
        <w:bottom w:val="none" w:sz="0" w:space="0" w:color="auto"/>
        <w:right w:val="none" w:sz="0" w:space="0" w:color="auto"/>
      </w:divBdr>
    </w:div>
    <w:div w:id="1320109916">
      <w:bodyDiv w:val="1"/>
      <w:marLeft w:val="0"/>
      <w:marRight w:val="0"/>
      <w:marTop w:val="0"/>
      <w:marBottom w:val="0"/>
      <w:divBdr>
        <w:top w:val="none" w:sz="0" w:space="0" w:color="auto"/>
        <w:left w:val="none" w:sz="0" w:space="0" w:color="auto"/>
        <w:bottom w:val="none" w:sz="0" w:space="0" w:color="auto"/>
        <w:right w:val="none" w:sz="0" w:space="0" w:color="auto"/>
      </w:divBdr>
    </w:div>
    <w:div w:id="1320502262">
      <w:bodyDiv w:val="1"/>
      <w:marLeft w:val="0"/>
      <w:marRight w:val="0"/>
      <w:marTop w:val="0"/>
      <w:marBottom w:val="0"/>
      <w:divBdr>
        <w:top w:val="none" w:sz="0" w:space="0" w:color="auto"/>
        <w:left w:val="none" w:sz="0" w:space="0" w:color="auto"/>
        <w:bottom w:val="none" w:sz="0" w:space="0" w:color="auto"/>
        <w:right w:val="none" w:sz="0" w:space="0" w:color="auto"/>
      </w:divBdr>
    </w:div>
    <w:div w:id="1321234742">
      <w:bodyDiv w:val="1"/>
      <w:marLeft w:val="0"/>
      <w:marRight w:val="0"/>
      <w:marTop w:val="0"/>
      <w:marBottom w:val="0"/>
      <w:divBdr>
        <w:top w:val="none" w:sz="0" w:space="0" w:color="auto"/>
        <w:left w:val="none" w:sz="0" w:space="0" w:color="auto"/>
        <w:bottom w:val="none" w:sz="0" w:space="0" w:color="auto"/>
        <w:right w:val="none" w:sz="0" w:space="0" w:color="auto"/>
      </w:divBdr>
    </w:div>
    <w:div w:id="1321738623">
      <w:bodyDiv w:val="1"/>
      <w:marLeft w:val="0"/>
      <w:marRight w:val="0"/>
      <w:marTop w:val="0"/>
      <w:marBottom w:val="0"/>
      <w:divBdr>
        <w:top w:val="none" w:sz="0" w:space="0" w:color="auto"/>
        <w:left w:val="none" w:sz="0" w:space="0" w:color="auto"/>
        <w:bottom w:val="none" w:sz="0" w:space="0" w:color="auto"/>
        <w:right w:val="none" w:sz="0" w:space="0" w:color="auto"/>
      </w:divBdr>
    </w:div>
    <w:div w:id="1322196977">
      <w:bodyDiv w:val="1"/>
      <w:marLeft w:val="0"/>
      <w:marRight w:val="0"/>
      <w:marTop w:val="0"/>
      <w:marBottom w:val="0"/>
      <w:divBdr>
        <w:top w:val="none" w:sz="0" w:space="0" w:color="auto"/>
        <w:left w:val="none" w:sz="0" w:space="0" w:color="auto"/>
        <w:bottom w:val="none" w:sz="0" w:space="0" w:color="auto"/>
        <w:right w:val="none" w:sz="0" w:space="0" w:color="auto"/>
      </w:divBdr>
    </w:div>
    <w:div w:id="1322655857">
      <w:bodyDiv w:val="1"/>
      <w:marLeft w:val="0"/>
      <w:marRight w:val="0"/>
      <w:marTop w:val="0"/>
      <w:marBottom w:val="0"/>
      <w:divBdr>
        <w:top w:val="none" w:sz="0" w:space="0" w:color="auto"/>
        <w:left w:val="none" w:sz="0" w:space="0" w:color="auto"/>
        <w:bottom w:val="none" w:sz="0" w:space="0" w:color="auto"/>
        <w:right w:val="none" w:sz="0" w:space="0" w:color="auto"/>
      </w:divBdr>
    </w:div>
    <w:div w:id="1322662728">
      <w:bodyDiv w:val="1"/>
      <w:marLeft w:val="0"/>
      <w:marRight w:val="0"/>
      <w:marTop w:val="0"/>
      <w:marBottom w:val="0"/>
      <w:divBdr>
        <w:top w:val="none" w:sz="0" w:space="0" w:color="auto"/>
        <w:left w:val="none" w:sz="0" w:space="0" w:color="auto"/>
        <w:bottom w:val="none" w:sz="0" w:space="0" w:color="auto"/>
        <w:right w:val="none" w:sz="0" w:space="0" w:color="auto"/>
      </w:divBdr>
    </w:div>
    <w:div w:id="1323198151">
      <w:bodyDiv w:val="1"/>
      <w:marLeft w:val="0"/>
      <w:marRight w:val="0"/>
      <w:marTop w:val="0"/>
      <w:marBottom w:val="0"/>
      <w:divBdr>
        <w:top w:val="none" w:sz="0" w:space="0" w:color="auto"/>
        <w:left w:val="none" w:sz="0" w:space="0" w:color="auto"/>
        <w:bottom w:val="none" w:sz="0" w:space="0" w:color="auto"/>
        <w:right w:val="none" w:sz="0" w:space="0" w:color="auto"/>
      </w:divBdr>
    </w:div>
    <w:div w:id="1323434063">
      <w:bodyDiv w:val="1"/>
      <w:marLeft w:val="0"/>
      <w:marRight w:val="0"/>
      <w:marTop w:val="0"/>
      <w:marBottom w:val="0"/>
      <w:divBdr>
        <w:top w:val="none" w:sz="0" w:space="0" w:color="auto"/>
        <w:left w:val="none" w:sz="0" w:space="0" w:color="auto"/>
        <w:bottom w:val="none" w:sz="0" w:space="0" w:color="auto"/>
        <w:right w:val="none" w:sz="0" w:space="0" w:color="auto"/>
      </w:divBdr>
    </w:div>
    <w:div w:id="1323971239">
      <w:bodyDiv w:val="1"/>
      <w:marLeft w:val="0"/>
      <w:marRight w:val="0"/>
      <w:marTop w:val="0"/>
      <w:marBottom w:val="0"/>
      <w:divBdr>
        <w:top w:val="none" w:sz="0" w:space="0" w:color="auto"/>
        <w:left w:val="none" w:sz="0" w:space="0" w:color="auto"/>
        <w:bottom w:val="none" w:sz="0" w:space="0" w:color="auto"/>
        <w:right w:val="none" w:sz="0" w:space="0" w:color="auto"/>
      </w:divBdr>
    </w:div>
    <w:div w:id="1324550568">
      <w:bodyDiv w:val="1"/>
      <w:marLeft w:val="0"/>
      <w:marRight w:val="0"/>
      <w:marTop w:val="0"/>
      <w:marBottom w:val="0"/>
      <w:divBdr>
        <w:top w:val="none" w:sz="0" w:space="0" w:color="auto"/>
        <w:left w:val="none" w:sz="0" w:space="0" w:color="auto"/>
        <w:bottom w:val="none" w:sz="0" w:space="0" w:color="auto"/>
        <w:right w:val="none" w:sz="0" w:space="0" w:color="auto"/>
      </w:divBdr>
    </w:div>
    <w:div w:id="1324579138">
      <w:bodyDiv w:val="1"/>
      <w:marLeft w:val="0"/>
      <w:marRight w:val="0"/>
      <w:marTop w:val="0"/>
      <w:marBottom w:val="0"/>
      <w:divBdr>
        <w:top w:val="none" w:sz="0" w:space="0" w:color="auto"/>
        <w:left w:val="none" w:sz="0" w:space="0" w:color="auto"/>
        <w:bottom w:val="none" w:sz="0" w:space="0" w:color="auto"/>
        <w:right w:val="none" w:sz="0" w:space="0" w:color="auto"/>
      </w:divBdr>
    </w:div>
    <w:div w:id="1324620195">
      <w:bodyDiv w:val="1"/>
      <w:marLeft w:val="0"/>
      <w:marRight w:val="0"/>
      <w:marTop w:val="0"/>
      <w:marBottom w:val="0"/>
      <w:divBdr>
        <w:top w:val="none" w:sz="0" w:space="0" w:color="auto"/>
        <w:left w:val="none" w:sz="0" w:space="0" w:color="auto"/>
        <w:bottom w:val="none" w:sz="0" w:space="0" w:color="auto"/>
        <w:right w:val="none" w:sz="0" w:space="0" w:color="auto"/>
      </w:divBdr>
    </w:div>
    <w:div w:id="1325859730">
      <w:bodyDiv w:val="1"/>
      <w:marLeft w:val="0"/>
      <w:marRight w:val="0"/>
      <w:marTop w:val="0"/>
      <w:marBottom w:val="0"/>
      <w:divBdr>
        <w:top w:val="none" w:sz="0" w:space="0" w:color="auto"/>
        <w:left w:val="none" w:sz="0" w:space="0" w:color="auto"/>
        <w:bottom w:val="none" w:sz="0" w:space="0" w:color="auto"/>
        <w:right w:val="none" w:sz="0" w:space="0" w:color="auto"/>
      </w:divBdr>
    </w:div>
    <w:div w:id="1326058087">
      <w:bodyDiv w:val="1"/>
      <w:marLeft w:val="0"/>
      <w:marRight w:val="0"/>
      <w:marTop w:val="0"/>
      <w:marBottom w:val="0"/>
      <w:divBdr>
        <w:top w:val="none" w:sz="0" w:space="0" w:color="auto"/>
        <w:left w:val="none" w:sz="0" w:space="0" w:color="auto"/>
        <w:bottom w:val="none" w:sz="0" w:space="0" w:color="auto"/>
        <w:right w:val="none" w:sz="0" w:space="0" w:color="auto"/>
      </w:divBdr>
    </w:div>
    <w:div w:id="1326281276">
      <w:bodyDiv w:val="1"/>
      <w:marLeft w:val="0"/>
      <w:marRight w:val="0"/>
      <w:marTop w:val="0"/>
      <w:marBottom w:val="0"/>
      <w:divBdr>
        <w:top w:val="none" w:sz="0" w:space="0" w:color="auto"/>
        <w:left w:val="none" w:sz="0" w:space="0" w:color="auto"/>
        <w:bottom w:val="none" w:sz="0" w:space="0" w:color="auto"/>
        <w:right w:val="none" w:sz="0" w:space="0" w:color="auto"/>
      </w:divBdr>
    </w:div>
    <w:div w:id="1326322608">
      <w:bodyDiv w:val="1"/>
      <w:marLeft w:val="0"/>
      <w:marRight w:val="0"/>
      <w:marTop w:val="0"/>
      <w:marBottom w:val="0"/>
      <w:divBdr>
        <w:top w:val="none" w:sz="0" w:space="0" w:color="auto"/>
        <w:left w:val="none" w:sz="0" w:space="0" w:color="auto"/>
        <w:bottom w:val="none" w:sz="0" w:space="0" w:color="auto"/>
        <w:right w:val="none" w:sz="0" w:space="0" w:color="auto"/>
      </w:divBdr>
    </w:div>
    <w:div w:id="1326519209">
      <w:bodyDiv w:val="1"/>
      <w:marLeft w:val="0"/>
      <w:marRight w:val="0"/>
      <w:marTop w:val="0"/>
      <w:marBottom w:val="0"/>
      <w:divBdr>
        <w:top w:val="none" w:sz="0" w:space="0" w:color="auto"/>
        <w:left w:val="none" w:sz="0" w:space="0" w:color="auto"/>
        <w:bottom w:val="none" w:sz="0" w:space="0" w:color="auto"/>
        <w:right w:val="none" w:sz="0" w:space="0" w:color="auto"/>
      </w:divBdr>
    </w:div>
    <w:div w:id="1327128196">
      <w:bodyDiv w:val="1"/>
      <w:marLeft w:val="0"/>
      <w:marRight w:val="0"/>
      <w:marTop w:val="0"/>
      <w:marBottom w:val="0"/>
      <w:divBdr>
        <w:top w:val="none" w:sz="0" w:space="0" w:color="auto"/>
        <w:left w:val="none" w:sz="0" w:space="0" w:color="auto"/>
        <w:bottom w:val="none" w:sz="0" w:space="0" w:color="auto"/>
        <w:right w:val="none" w:sz="0" w:space="0" w:color="auto"/>
      </w:divBdr>
    </w:div>
    <w:div w:id="1327974316">
      <w:bodyDiv w:val="1"/>
      <w:marLeft w:val="0"/>
      <w:marRight w:val="0"/>
      <w:marTop w:val="0"/>
      <w:marBottom w:val="0"/>
      <w:divBdr>
        <w:top w:val="none" w:sz="0" w:space="0" w:color="auto"/>
        <w:left w:val="none" w:sz="0" w:space="0" w:color="auto"/>
        <w:bottom w:val="none" w:sz="0" w:space="0" w:color="auto"/>
        <w:right w:val="none" w:sz="0" w:space="0" w:color="auto"/>
      </w:divBdr>
    </w:div>
    <w:div w:id="1328166520">
      <w:bodyDiv w:val="1"/>
      <w:marLeft w:val="0"/>
      <w:marRight w:val="0"/>
      <w:marTop w:val="0"/>
      <w:marBottom w:val="0"/>
      <w:divBdr>
        <w:top w:val="none" w:sz="0" w:space="0" w:color="auto"/>
        <w:left w:val="none" w:sz="0" w:space="0" w:color="auto"/>
        <w:bottom w:val="none" w:sz="0" w:space="0" w:color="auto"/>
        <w:right w:val="none" w:sz="0" w:space="0" w:color="auto"/>
      </w:divBdr>
    </w:div>
    <w:div w:id="1328173466">
      <w:bodyDiv w:val="1"/>
      <w:marLeft w:val="0"/>
      <w:marRight w:val="0"/>
      <w:marTop w:val="0"/>
      <w:marBottom w:val="0"/>
      <w:divBdr>
        <w:top w:val="none" w:sz="0" w:space="0" w:color="auto"/>
        <w:left w:val="none" w:sz="0" w:space="0" w:color="auto"/>
        <w:bottom w:val="none" w:sz="0" w:space="0" w:color="auto"/>
        <w:right w:val="none" w:sz="0" w:space="0" w:color="auto"/>
      </w:divBdr>
    </w:div>
    <w:div w:id="1329290794">
      <w:bodyDiv w:val="1"/>
      <w:marLeft w:val="0"/>
      <w:marRight w:val="0"/>
      <w:marTop w:val="0"/>
      <w:marBottom w:val="0"/>
      <w:divBdr>
        <w:top w:val="none" w:sz="0" w:space="0" w:color="auto"/>
        <w:left w:val="none" w:sz="0" w:space="0" w:color="auto"/>
        <w:bottom w:val="none" w:sz="0" w:space="0" w:color="auto"/>
        <w:right w:val="none" w:sz="0" w:space="0" w:color="auto"/>
      </w:divBdr>
    </w:div>
    <w:div w:id="1329362757">
      <w:bodyDiv w:val="1"/>
      <w:marLeft w:val="0"/>
      <w:marRight w:val="0"/>
      <w:marTop w:val="0"/>
      <w:marBottom w:val="0"/>
      <w:divBdr>
        <w:top w:val="none" w:sz="0" w:space="0" w:color="auto"/>
        <w:left w:val="none" w:sz="0" w:space="0" w:color="auto"/>
        <w:bottom w:val="none" w:sz="0" w:space="0" w:color="auto"/>
        <w:right w:val="none" w:sz="0" w:space="0" w:color="auto"/>
      </w:divBdr>
    </w:div>
    <w:div w:id="1330255211">
      <w:bodyDiv w:val="1"/>
      <w:marLeft w:val="0"/>
      <w:marRight w:val="0"/>
      <w:marTop w:val="0"/>
      <w:marBottom w:val="0"/>
      <w:divBdr>
        <w:top w:val="none" w:sz="0" w:space="0" w:color="auto"/>
        <w:left w:val="none" w:sz="0" w:space="0" w:color="auto"/>
        <w:bottom w:val="none" w:sz="0" w:space="0" w:color="auto"/>
        <w:right w:val="none" w:sz="0" w:space="0" w:color="auto"/>
      </w:divBdr>
    </w:div>
    <w:div w:id="1330673109">
      <w:bodyDiv w:val="1"/>
      <w:marLeft w:val="0"/>
      <w:marRight w:val="0"/>
      <w:marTop w:val="0"/>
      <w:marBottom w:val="0"/>
      <w:divBdr>
        <w:top w:val="none" w:sz="0" w:space="0" w:color="auto"/>
        <w:left w:val="none" w:sz="0" w:space="0" w:color="auto"/>
        <w:bottom w:val="none" w:sz="0" w:space="0" w:color="auto"/>
        <w:right w:val="none" w:sz="0" w:space="0" w:color="auto"/>
      </w:divBdr>
    </w:div>
    <w:div w:id="1330712505">
      <w:bodyDiv w:val="1"/>
      <w:marLeft w:val="0"/>
      <w:marRight w:val="0"/>
      <w:marTop w:val="0"/>
      <w:marBottom w:val="0"/>
      <w:divBdr>
        <w:top w:val="none" w:sz="0" w:space="0" w:color="auto"/>
        <w:left w:val="none" w:sz="0" w:space="0" w:color="auto"/>
        <w:bottom w:val="none" w:sz="0" w:space="0" w:color="auto"/>
        <w:right w:val="none" w:sz="0" w:space="0" w:color="auto"/>
      </w:divBdr>
    </w:div>
    <w:div w:id="1331979263">
      <w:bodyDiv w:val="1"/>
      <w:marLeft w:val="0"/>
      <w:marRight w:val="0"/>
      <w:marTop w:val="0"/>
      <w:marBottom w:val="0"/>
      <w:divBdr>
        <w:top w:val="none" w:sz="0" w:space="0" w:color="auto"/>
        <w:left w:val="none" w:sz="0" w:space="0" w:color="auto"/>
        <w:bottom w:val="none" w:sz="0" w:space="0" w:color="auto"/>
        <w:right w:val="none" w:sz="0" w:space="0" w:color="auto"/>
      </w:divBdr>
    </w:div>
    <w:div w:id="1332023069">
      <w:bodyDiv w:val="1"/>
      <w:marLeft w:val="0"/>
      <w:marRight w:val="0"/>
      <w:marTop w:val="0"/>
      <w:marBottom w:val="0"/>
      <w:divBdr>
        <w:top w:val="none" w:sz="0" w:space="0" w:color="auto"/>
        <w:left w:val="none" w:sz="0" w:space="0" w:color="auto"/>
        <w:bottom w:val="none" w:sz="0" w:space="0" w:color="auto"/>
        <w:right w:val="none" w:sz="0" w:space="0" w:color="auto"/>
      </w:divBdr>
    </w:div>
    <w:div w:id="1332100286">
      <w:bodyDiv w:val="1"/>
      <w:marLeft w:val="0"/>
      <w:marRight w:val="0"/>
      <w:marTop w:val="0"/>
      <w:marBottom w:val="0"/>
      <w:divBdr>
        <w:top w:val="none" w:sz="0" w:space="0" w:color="auto"/>
        <w:left w:val="none" w:sz="0" w:space="0" w:color="auto"/>
        <w:bottom w:val="none" w:sz="0" w:space="0" w:color="auto"/>
        <w:right w:val="none" w:sz="0" w:space="0" w:color="auto"/>
      </w:divBdr>
    </w:div>
    <w:div w:id="1332953954">
      <w:bodyDiv w:val="1"/>
      <w:marLeft w:val="0"/>
      <w:marRight w:val="0"/>
      <w:marTop w:val="0"/>
      <w:marBottom w:val="0"/>
      <w:divBdr>
        <w:top w:val="none" w:sz="0" w:space="0" w:color="auto"/>
        <w:left w:val="none" w:sz="0" w:space="0" w:color="auto"/>
        <w:bottom w:val="none" w:sz="0" w:space="0" w:color="auto"/>
        <w:right w:val="none" w:sz="0" w:space="0" w:color="auto"/>
      </w:divBdr>
    </w:div>
    <w:div w:id="1333945750">
      <w:bodyDiv w:val="1"/>
      <w:marLeft w:val="0"/>
      <w:marRight w:val="0"/>
      <w:marTop w:val="0"/>
      <w:marBottom w:val="0"/>
      <w:divBdr>
        <w:top w:val="none" w:sz="0" w:space="0" w:color="auto"/>
        <w:left w:val="none" w:sz="0" w:space="0" w:color="auto"/>
        <w:bottom w:val="none" w:sz="0" w:space="0" w:color="auto"/>
        <w:right w:val="none" w:sz="0" w:space="0" w:color="auto"/>
      </w:divBdr>
    </w:div>
    <w:div w:id="1334263563">
      <w:bodyDiv w:val="1"/>
      <w:marLeft w:val="0"/>
      <w:marRight w:val="0"/>
      <w:marTop w:val="0"/>
      <w:marBottom w:val="0"/>
      <w:divBdr>
        <w:top w:val="none" w:sz="0" w:space="0" w:color="auto"/>
        <w:left w:val="none" w:sz="0" w:space="0" w:color="auto"/>
        <w:bottom w:val="none" w:sz="0" w:space="0" w:color="auto"/>
        <w:right w:val="none" w:sz="0" w:space="0" w:color="auto"/>
      </w:divBdr>
    </w:div>
    <w:div w:id="1335064475">
      <w:bodyDiv w:val="1"/>
      <w:marLeft w:val="0"/>
      <w:marRight w:val="0"/>
      <w:marTop w:val="0"/>
      <w:marBottom w:val="0"/>
      <w:divBdr>
        <w:top w:val="none" w:sz="0" w:space="0" w:color="auto"/>
        <w:left w:val="none" w:sz="0" w:space="0" w:color="auto"/>
        <w:bottom w:val="none" w:sz="0" w:space="0" w:color="auto"/>
        <w:right w:val="none" w:sz="0" w:space="0" w:color="auto"/>
      </w:divBdr>
    </w:div>
    <w:div w:id="1335381366">
      <w:bodyDiv w:val="1"/>
      <w:marLeft w:val="0"/>
      <w:marRight w:val="0"/>
      <w:marTop w:val="0"/>
      <w:marBottom w:val="0"/>
      <w:divBdr>
        <w:top w:val="none" w:sz="0" w:space="0" w:color="auto"/>
        <w:left w:val="none" w:sz="0" w:space="0" w:color="auto"/>
        <w:bottom w:val="none" w:sz="0" w:space="0" w:color="auto"/>
        <w:right w:val="none" w:sz="0" w:space="0" w:color="auto"/>
      </w:divBdr>
    </w:div>
    <w:div w:id="1335641840">
      <w:bodyDiv w:val="1"/>
      <w:marLeft w:val="0"/>
      <w:marRight w:val="0"/>
      <w:marTop w:val="0"/>
      <w:marBottom w:val="0"/>
      <w:divBdr>
        <w:top w:val="none" w:sz="0" w:space="0" w:color="auto"/>
        <w:left w:val="none" w:sz="0" w:space="0" w:color="auto"/>
        <w:bottom w:val="none" w:sz="0" w:space="0" w:color="auto"/>
        <w:right w:val="none" w:sz="0" w:space="0" w:color="auto"/>
      </w:divBdr>
    </w:div>
    <w:div w:id="1335691279">
      <w:bodyDiv w:val="1"/>
      <w:marLeft w:val="0"/>
      <w:marRight w:val="0"/>
      <w:marTop w:val="0"/>
      <w:marBottom w:val="0"/>
      <w:divBdr>
        <w:top w:val="none" w:sz="0" w:space="0" w:color="auto"/>
        <w:left w:val="none" w:sz="0" w:space="0" w:color="auto"/>
        <w:bottom w:val="none" w:sz="0" w:space="0" w:color="auto"/>
        <w:right w:val="none" w:sz="0" w:space="0" w:color="auto"/>
      </w:divBdr>
    </w:div>
    <w:div w:id="1336567202">
      <w:bodyDiv w:val="1"/>
      <w:marLeft w:val="0"/>
      <w:marRight w:val="0"/>
      <w:marTop w:val="0"/>
      <w:marBottom w:val="0"/>
      <w:divBdr>
        <w:top w:val="none" w:sz="0" w:space="0" w:color="auto"/>
        <w:left w:val="none" w:sz="0" w:space="0" w:color="auto"/>
        <w:bottom w:val="none" w:sz="0" w:space="0" w:color="auto"/>
        <w:right w:val="none" w:sz="0" w:space="0" w:color="auto"/>
      </w:divBdr>
    </w:div>
    <w:div w:id="1336960379">
      <w:bodyDiv w:val="1"/>
      <w:marLeft w:val="0"/>
      <w:marRight w:val="0"/>
      <w:marTop w:val="0"/>
      <w:marBottom w:val="0"/>
      <w:divBdr>
        <w:top w:val="none" w:sz="0" w:space="0" w:color="auto"/>
        <w:left w:val="none" w:sz="0" w:space="0" w:color="auto"/>
        <w:bottom w:val="none" w:sz="0" w:space="0" w:color="auto"/>
        <w:right w:val="none" w:sz="0" w:space="0" w:color="auto"/>
      </w:divBdr>
    </w:div>
    <w:div w:id="1337073364">
      <w:bodyDiv w:val="1"/>
      <w:marLeft w:val="0"/>
      <w:marRight w:val="0"/>
      <w:marTop w:val="0"/>
      <w:marBottom w:val="0"/>
      <w:divBdr>
        <w:top w:val="none" w:sz="0" w:space="0" w:color="auto"/>
        <w:left w:val="none" w:sz="0" w:space="0" w:color="auto"/>
        <w:bottom w:val="none" w:sz="0" w:space="0" w:color="auto"/>
        <w:right w:val="none" w:sz="0" w:space="0" w:color="auto"/>
      </w:divBdr>
    </w:div>
    <w:div w:id="1338653424">
      <w:bodyDiv w:val="1"/>
      <w:marLeft w:val="0"/>
      <w:marRight w:val="0"/>
      <w:marTop w:val="0"/>
      <w:marBottom w:val="0"/>
      <w:divBdr>
        <w:top w:val="none" w:sz="0" w:space="0" w:color="auto"/>
        <w:left w:val="none" w:sz="0" w:space="0" w:color="auto"/>
        <w:bottom w:val="none" w:sz="0" w:space="0" w:color="auto"/>
        <w:right w:val="none" w:sz="0" w:space="0" w:color="auto"/>
      </w:divBdr>
    </w:div>
    <w:div w:id="1339229487">
      <w:bodyDiv w:val="1"/>
      <w:marLeft w:val="0"/>
      <w:marRight w:val="0"/>
      <w:marTop w:val="0"/>
      <w:marBottom w:val="0"/>
      <w:divBdr>
        <w:top w:val="none" w:sz="0" w:space="0" w:color="auto"/>
        <w:left w:val="none" w:sz="0" w:space="0" w:color="auto"/>
        <w:bottom w:val="none" w:sz="0" w:space="0" w:color="auto"/>
        <w:right w:val="none" w:sz="0" w:space="0" w:color="auto"/>
      </w:divBdr>
    </w:div>
    <w:div w:id="1339235834">
      <w:bodyDiv w:val="1"/>
      <w:marLeft w:val="0"/>
      <w:marRight w:val="0"/>
      <w:marTop w:val="0"/>
      <w:marBottom w:val="0"/>
      <w:divBdr>
        <w:top w:val="none" w:sz="0" w:space="0" w:color="auto"/>
        <w:left w:val="none" w:sz="0" w:space="0" w:color="auto"/>
        <w:bottom w:val="none" w:sz="0" w:space="0" w:color="auto"/>
        <w:right w:val="none" w:sz="0" w:space="0" w:color="auto"/>
      </w:divBdr>
    </w:div>
    <w:div w:id="1339844994">
      <w:bodyDiv w:val="1"/>
      <w:marLeft w:val="0"/>
      <w:marRight w:val="0"/>
      <w:marTop w:val="0"/>
      <w:marBottom w:val="0"/>
      <w:divBdr>
        <w:top w:val="none" w:sz="0" w:space="0" w:color="auto"/>
        <w:left w:val="none" w:sz="0" w:space="0" w:color="auto"/>
        <w:bottom w:val="none" w:sz="0" w:space="0" w:color="auto"/>
        <w:right w:val="none" w:sz="0" w:space="0" w:color="auto"/>
      </w:divBdr>
    </w:div>
    <w:div w:id="1340306846">
      <w:bodyDiv w:val="1"/>
      <w:marLeft w:val="0"/>
      <w:marRight w:val="0"/>
      <w:marTop w:val="0"/>
      <w:marBottom w:val="0"/>
      <w:divBdr>
        <w:top w:val="none" w:sz="0" w:space="0" w:color="auto"/>
        <w:left w:val="none" w:sz="0" w:space="0" w:color="auto"/>
        <w:bottom w:val="none" w:sz="0" w:space="0" w:color="auto"/>
        <w:right w:val="none" w:sz="0" w:space="0" w:color="auto"/>
      </w:divBdr>
    </w:div>
    <w:div w:id="1340350118">
      <w:bodyDiv w:val="1"/>
      <w:marLeft w:val="0"/>
      <w:marRight w:val="0"/>
      <w:marTop w:val="0"/>
      <w:marBottom w:val="0"/>
      <w:divBdr>
        <w:top w:val="none" w:sz="0" w:space="0" w:color="auto"/>
        <w:left w:val="none" w:sz="0" w:space="0" w:color="auto"/>
        <w:bottom w:val="none" w:sz="0" w:space="0" w:color="auto"/>
        <w:right w:val="none" w:sz="0" w:space="0" w:color="auto"/>
      </w:divBdr>
    </w:div>
    <w:div w:id="1341271387">
      <w:bodyDiv w:val="1"/>
      <w:marLeft w:val="0"/>
      <w:marRight w:val="0"/>
      <w:marTop w:val="0"/>
      <w:marBottom w:val="0"/>
      <w:divBdr>
        <w:top w:val="none" w:sz="0" w:space="0" w:color="auto"/>
        <w:left w:val="none" w:sz="0" w:space="0" w:color="auto"/>
        <w:bottom w:val="none" w:sz="0" w:space="0" w:color="auto"/>
        <w:right w:val="none" w:sz="0" w:space="0" w:color="auto"/>
      </w:divBdr>
    </w:div>
    <w:div w:id="1341545519">
      <w:bodyDiv w:val="1"/>
      <w:marLeft w:val="0"/>
      <w:marRight w:val="0"/>
      <w:marTop w:val="0"/>
      <w:marBottom w:val="0"/>
      <w:divBdr>
        <w:top w:val="none" w:sz="0" w:space="0" w:color="auto"/>
        <w:left w:val="none" w:sz="0" w:space="0" w:color="auto"/>
        <w:bottom w:val="none" w:sz="0" w:space="0" w:color="auto"/>
        <w:right w:val="none" w:sz="0" w:space="0" w:color="auto"/>
      </w:divBdr>
    </w:div>
    <w:div w:id="1342853463">
      <w:bodyDiv w:val="1"/>
      <w:marLeft w:val="0"/>
      <w:marRight w:val="0"/>
      <w:marTop w:val="0"/>
      <w:marBottom w:val="0"/>
      <w:divBdr>
        <w:top w:val="none" w:sz="0" w:space="0" w:color="auto"/>
        <w:left w:val="none" w:sz="0" w:space="0" w:color="auto"/>
        <w:bottom w:val="none" w:sz="0" w:space="0" w:color="auto"/>
        <w:right w:val="none" w:sz="0" w:space="0" w:color="auto"/>
      </w:divBdr>
    </w:div>
    <w:div w:id="1344168684">
      <w:bodyDiv w:val="1"/>
      <w:marLeft w:val="0"/>
      <w:marRight w:val="0"/>
      <w:marTop w:val="0"/>
      <w:marBottom w:val="0"/>
      <w:divBdr>
        <w:top w:val="none" w:sz="0" w:space="0" w:color="auto"/>
        <w:left w:val="none" w:sz="0" w:space="0" w:color="auto"/>
        <w:bottom w:val="none" w:sz="0" w:space="0" w:color="auto"/>
        <w:right w:val="none" w:sz="0" w:space="0" w:color="auto"/>
      </w:divBdr>
    </w:div>
    <w:div w:id="1344436059">
      <w:bodyDiv w:val="1"/>
      <w:marLeft w:val="0"/>
      <w:marRight w:val="0"/>
      <w:marTop w:val="0"/>
      <w:marBottom w:val="0"/>
      <w:divBdr>
        <w:top w:val="none" w:sz="0" w:space="0" w:color="auto"/>
        <w:left w:val="none" w:sz="0" w:space="0" w:color="auto"/>
        <w:bottom w:val="none" w:sz="0" w:space="0" w:color="auto"/>
        <w:right w:val="none" w:sz="0" w:space="0" w:color="auto"/>
      </w:divBdr>
    </w:div>
    <w:div w:id="1344940005">
      <w:bodyDiv w:val="1"/>
      <w:marLeft w:val="0"/>
      <w:marRight w:val="0"/>
      <w:marTop w:val="0"/>
      <w:marBottom w:val="0"/>
      <w:divBdr>
        <w:top w:val="none" w:sz="0" w:space="0" w:color="auto"/>
        <w:left w:val="none" w:sz="0" w:space="0" w:color="auto"/>
        <w:bottom w:val="none" w:sz="0" w:space="0" w:color="auto"/>
        <w:right w:val="none" w:sz="0" w:space="0" w:color="auto"/>
      </w:divBdr>
    </w:div>
    <w:div w:id="1345014549">
      <w:bodyDiv w:val="1"/>
      <w:marLeft w:val="0"/>
      <w:marRight w:val="0"/>
      <w:marTop w:val="0"/>
      <w:marBottom w:val="0"/>
      <w:divBdr>
        <w:top w:val="none" w:sz="0" w:space="0" w:color="auto"/>
        <w:left w:val="none" w:sz="0" w:space="0" w:color="auto"/>
        <w:bottom w:val="none" w:sz="0" w:space="0" w:color="auto"/>
        <w:right w:val="none" w:sz="0" w:space="0" w:color="auto"/>
      </w:divBdr>
    </w:div>
    <w:div w:id="1345089120">
      <w:bodyDiv w:val="1"/>
      <w:marLeft w:val="0"/>
      <w:marRight w:val="0"/>
      <w:marTop w:val="0"/>
      <w:marBottom w:val="0"/>
      <w:divBdr>
        <w:top w:val="none" w:sz="0" w:space="0" w:color="auto"/>
        <w:left w:val="none" w:sz="0" w:space="0" w:color="auto"/>
        <w:bottom w:val="none" w:sz="0" w:space="0" w:color="auto"/>
        <w:right w:val="none" w:sz="0" w:space="0" w:color="auto"/>
      </w:divBdr>
    </w:div>
    <w:div w:id="1345551725">
      <w:bodyDiv w:val="1"/>
      <w:marLeft w:val="0"/>
      <w:marRight w:val="0"/>
      <w:marTop w:val="0"/>
      <w:marBottom w:val="0"/>
      <w:divBdr>
        <w:top w:val="none" w:sz="0" w:space="0" w:color="auto"/>
        <w:left w:val="none" w:sz="0" w:space="0" w:color="auto"/>
        <w:bottom w:val="none" w:sz="0" w:space="0" w:color="auto"/>
        <w:right w:val="none" w:sz="0" w:space="0" w:color="auto"/>
      </w:divBdr>
    </w:div>
    <w:div w:id="1346244854">
      <w:bodyDiv w:val="1"/>
      <w:marLeft w:val="0"/>
      <w:marRight w:val="0"/>
      <w:marTop w:val="0"/>
      <w:marBottom w:val="0"/>
      <w:divBdr>
        <w:top w:val="none" w:sz="0" w:space="0" w:color="auto"/>
        <w:left w:val="none" w:sz="0" w:space="0" w:color="auto"/>
        <w:bottom w:val="none" w:sz="0" w:space="0" w:color="auto"/>
        <w:right w:val="none" w:sz="0" w:space="0" w:color="auto"/>
      </w:divBdr>
    </w:div>
    <w:div w:id="1346326332">
      <w:bodyDiv w:val="1"/>
      <w:marLeft w:val="0"/>
      <w:marRight w:val="0"/>
      <w:marTop w:val="0"/>
      <w:marBottom w:val="0"/>
      <w:divBdr>
        <w:top w:val="none" w:sz="0" w:space="0" w:color="auto"/>
        <w:left w:val="none" w:sz="0" w:space="0" w:color="auto"/>
        <w:bottom w:val="none" w:sz="0" w:space="0" w:color="auto"/>
        <w:right w:val="none" w:sz="0" w:space="0" w:color="auto"/>
      </w:divBdr>
    </w:div>
    <w:div w:id="1346395508">
      <w:bodyDiv w:val="1"/>
      <w:marLeft w:val="0"/>
      <w:marRight w:val="0"/>
      <w:marTop w:val="0"/>
      <w:marBottom w:val="0"/>
      <w:divBdr>
        <w:top w:val="none" w:sz="0" w:space="0" w:color="auto"/>
        <w:left w:val="none" w:sz="0" w:space="0" w:color="auto"/>
        <w:bottom w:val="none" w:sz="0" w:space="0" w:color="auto"/>
        <w:right w:val="none" w:sz="0" w:space="0" w:color="auto"/>
      </w:divBdr>
    </w:div>
    <w:div w:id="1346397407">
      <w:bodyDiv w:val="1"/>
      <w:marLeft w:val="0"/>
      <w:marRight w:val="0"/>
      <w:marTop w:val="0"/>
      <w:marBottom w:val="0"/>
      <w:divBdr>
        <w:top w:val="none" w:sz="0" w:space="0" w:color="auto"/>
        <w:left w:val="none" w:sz="0" w:space="0" w:color="auto"/>
        <w:bottom w:val="none" w:sz="0" w:space="0" w:color="auto"/>
        <w:right w:val="none" w:sz="0" w:space="0" w:color="auto"/>
      </w:divBdr>
    </w:div>
    <w:div w:id="1346788281">
      <w:bodyDiv w:val="1"/>
      <w:marLeft w:val="0"/>
      <w:marRight w:val="0"/>
      <w:marTop w:val="0"/>
      <w:marBottom w:val="0"/>
      <w:divBdr>
        <w:top w:val="none" w:sz="0" w:space="0" w:color="auto"/>
        <w:left w:val="none" w:sz="0" w:space="0" w:color="auto"/>
        <w:bottom w:val="none" w:sz="0" w:space="0" w:color="auto"/>
        <w:right w:val="none" w:sz="0" w:space="0" w:color="auto"/>
      </w:divBdr>
    </w:div>
    <w:div w:id="1346974777">
      <w:bodyDiv w:val="1"/>
      <w:marLeft w:val="0"/>
      <w:marRight w:val="0"/>
      <w:marTop w:val="0"/>
      <w:marBottom w:val="0"/>
      <w:divBdr>
        <w:top w:val="none" w:sz="0" w:space="0" w:color="auto"/>
        <w:left w:val="none" w:sz="0" w:space="0" w:color="auto"/>
        <w:bottom w:val="none" w:sz="0" w:space="0" w:color="auto"/>
        <w:right w:val="none" w:sz="0" w:space="0" w:color="auto"/>
      </w:divBdr>
    </w:div>
    <w:div w:id="1347175197">
      <w:bodyDiv w:val="1"/>
      <w:marLeft w:val="0"/>
      <w:marRight w:val="0"/>
      <w:marTop w:val="0"/>
      <w:marBottom w:val="0"/>
      <w:divBdr>
        <w:top w:val="none" w:sz="0" w:space="0" w:color="auto"/>
        <w:left w:val="none" w:sz="0" w:space="0" w:color="auto"/>
        <w:bottom w:val="none" w:sz="0" w:space="0" w:color="auto"/>
        <w:right w:val="none" w:sz="0" w:space="0" w:color="auto"/>
      </w:divBdr>
    </w:div>
    <w:div w:id="1348361359">
      <w:bodyDiv w:val="1"/>
      <w:marLeft w:val="0"/>
      <w:marRight w:val="0"/>
      <w:marTop w:val="0"/>
      <w:marBottom w:val="0"/>
      <w:divBdr>
        <w:top w:val="none" w:sz="0" w:space="0" w:color="auto"/>
        <w:left w:val="none" w:sz="0" w:space="0" w:color="auto"/>
        <w:bottom w:val="none" w:sz="0" w:space="0" w:color="auto"/>
        <w:right w:val="none" w:sz="0" w:space="0" w:color="auto"/>
      </w:divBdr>
    </w:div>
    <w:div w:id="1348362601">
      <w:bodyDiv w:val="1"/>
      <w:marLeft w:val="0"/>
      <w:marRight w:val="0"/>
      <w:marTop w:val="0"/>
      <w:marBottom w:val="0"/>
      <w:divBdr>
        <w:top w:val="none" w:sz="0" w:space="0" w:color="auto"/>
        <w:left w:val="none" w:sz="0" w:space="0" w:color="auto"/>
        <w:bottom w:val="none" w:sz="0" w:space="0" w:color="auto"/>
        <w:right w:val="none" w:sz="0" w:space="0" w:color="auto"/>
      </w:divBdr>
    </w:div>
    <w:div w:id="1348604309">
      <w:bodyDiv w:val="1"/>
      <w:marLeft w:val="0"/>
      <w:marRight w:val="0"/>
      <w:marTop w:val="0"/>
      <w:marBottom w:val="0"/>
      <w:divBdr>
        <w:top w:val="none" w:sz="0" w:space="0" w:color="auto"/>
        <w:left w:val="none" w:sz="0" w:space="0" w:color="auto"/>
        <w:bottom w:val="none" w:sz="0" w:space="0" w:color="auto"/>
        <w:right w:val="none" w:sz="0" w:space="0" w:color="auto"/>
      </w:divBdr>
    </w:div>
    <w:div w:id="1348754578">
      <w:bodyDiv w:val="1"/>
      <w:marLeft w:val="0"/>
      <w:marRight w:val="0"/>
      <w:marTop w:val="0"/>
      <w:marBottom w:val="0"/>
      <w:divBdr>
        <w:top w:val="none" w:sz="0" w:space="0" w:color="auto"/>
        <w:left w:val="none" w:sz="0" w:space="0" w:color="auto"/>
        <w:bottom w:val="none" w:sz="0" w:space="0" w:color="auto"/>
        <w:right w:val="none" w:sz="0" w:space="0" w:color="auto"/>
      </w:divBdr>
    </w:div>
    <w:div w:id="1348948017">
      <w:bodyDiv w:val="1"/>
      <w:marLeft w:val="0"/>
      <w:marRight w:val="0"/>
      <w:marTop w:val="0"/>
      <w:marBottom w:val="0"/>
      <w:divBdr>
        <w:top w:val="none" w:sz="0" w:space="0" w:color="auto"/>
        <w:left w:val="none" w:sz="0" w:space="0" w:color="auto"/>
        <w:bottom w:val="none" w:sz="0" w:space="0" w:color="auto"/>
        <w:right w:val="none" w:sz="0" w:space="0" w:color="auto"/>
      </w:divBdr>
    </w:div>
    <w:div w:id="1349529075">
      <w:bodyDiv w:val="1"/>
      <w:marLeft w:val="0"/>
      <w:marRight w:val="0"/>
      <w:marTop w:val="0"/>
      <w:marBottom w:val="0"/>
      <w:divBdr>
        <w:top w:val="none" w:sz="0" w:space="0" w:color="auto"/>
        <w:left w:val="none" w:sz="0" w:space="0" w:color="auto"/>
        <w:bottom w:val="none" w:sz="0" w:space="0" w:color="auto"/>
        <w:right w:val="none" w:sz="0" w:space="0" w:color="auto"/>
      </w:divBdr>
    </w:div>
    <w:div w:id="1350134895">
      <w:bodyDiv w:val="1"/>
      <w:marLeft w:val="0"/>
      <w:marRight w:val="0"/>
      <w:marTop w:val="0"/>
      <w:marBottom w:val="0"/>
      <w:divBdr>
        <w:top w:val="none" w:sz="0" w:space="0" w:color="auto"/>
        <w:left w:val="none" w:sz="0" w:space="0" w:color="auto"/>
        <w:bottom w:val="none" w:sz="0" w:space="0" w:color="auto"/>
        <w:right w:val="none" w:sz="0" w:space="0" w:color="auto"/>
      </w:divBdr>
    </w:div>
    <w:div w:id="1350908473">
      <w:bodyDiv w:val="1"/>
      <w:marLeft w:val="0"/>
      <w:marRight w:val="0"/>
      <w:marTop w:val="0"/>
      <w:marBottom w:val="0"/>
      <w:divBdr>
        <w:top w:val="none" w:sz="0" w:space="0" w:color="auto"/>
        <w:left w:val="none" w:sz="0" w:space="0" w:color="auto"/>
        <w:bottom w:val="none" w:sz="0" w:space="0" w:color="auto"/>
        <w:right w:val="none" w:sz="0" w:space="0" w:color="auto"/>
      </w:divBdr>
    </w:div>
    <w:div w:id="1350984164">
      <w:bodyDiv w:val="1"/>
      <w:marLeft w:val="0"/>
      <w:marRight w:val="0"/>
      <w:marTop w:val="0"/>
      <w:marBottom w:val="0"/>
      <w:divBdr>
        <w:top w:val="none" w:sz="0" w:space="0" w:color="auto"/>
        <w:left w:val="none" w:sz="0" w:space="0" w:color="auto"/>
        <w:bottom w:val="none" w:sz="0" w:space="0" w:color="auto"/>
        <w:right w:val="none" w:sz="0" w:space="0" w:color="auto"/>
      </w:divBdr>
    </w:div>
    <w:div w:id="1351101498">
      <w:bodyDiv w:val="1"/>
      <w:marLeft w:val="0"/>
      <w:marRight w:val="0"/>
      <w:marTop w:val="0"/>
      <w:marBottom w:val="0"/>
      <w:divBdr>
        <w:top w:val="none" w:sz="0" w:space="0" w:color="auto"/>
        <w:left w:val="none" w:sz="0" w:space="0" w:color="auto"/>
        <w:bottom w:val="none" w:sz="0" w:space="0" w:color="auto"/>
        <w:right w:val="none" w:sz="0" w:space="0" w:color="auto"/>
      </w:divBdr>
    </w:div>
    <w:div w:id="1352686257">
      <w:bodyDiv w:val="1"/>
      <w:marLeft w:val="0"/>
      <w:marRight w:val="0"/>
      <w:marTop w:val="0"/>
      <w:marBottom w:val="0"/>
      <w:divBdr>
        <w:top w:val="none" w:sz="0" w:space="0" w:color="auto"/>
        <w:left w:val="none" w:sz="0" w:space="0" w:color="auto"/>
        <w:bottom w:val="none" w:sz="0" w:space="0" w:color="auto"/>
        <w:right w:val="none" w:sz="0" w:space="0" w:color="auto"/>
      </w:divBdr>
    </w:div>
    <w:div w:id="1352879786">
      <w:bodyDiv w:val="1"/>
      <w:marLeft w:val="0"/>
      <w:marRight w:val="0"/>
      <w:marTop w:val="0"/>
      <w:marBottom w:val="0"/>
      <w:divBdr>
        <w:top w:val="none" w:sz="0" w:space="0" w:color="auto"/>
        <w:left w:val="none" w:sz="0" w:space="0" w:color="auto"/>
        <w:bottom w:val="none" w:sz="0" w:space="0" w:color="auto"/>
        <w:right w:val="none" w:sz="0" w:space="0" w:color="auto"/>
      </w:divBdr>
    </w:div>
    <w:div w:id="1352995539">
      <w:bodyDiv w:val="1"/>
      <w:marLeft w:val="0"/>
      <w:marRight w:val="0"/>
      <w:marTop w:val="0"/>
      <w:marBottom w:val="0"/>
      <w:divBdr>
        <w:top w:val="none" w:sz="0" w:space="0" w:color="auto"/>
        <w:left w:val="none" w:sz="0" w:space="0" w:color="auto"/>
        <w:bottom w:val="none" w:sz="0" w:space="0" w:color="auto"/>
        <w:right w:val="none" w:sz="0" w:space="0" w:color="auto"/>
      </w:divBdr>
    </w:div>
    <w:div w:id="1353069491">
      <w:bodyDiv w:val="1"/>
      <w:marLeft w:val="0"/>
      <w:marRight w:val="0"/>
      <w:marTop w:val="0"/>
      <w:marBottom w:val="0"/>
      <w:divBdr>
        <w:top w:val="none" w:sz="0" w:space="0" w:color="auto"/>
        <w:left w:val="none" w:sz="0" w:space="0" w:color="auto"/>
        <w:bottom w:val="none" w:sz="0" w:space="0" w:color="auto"/>
        <w:right w:val="none" w:sz="0" w:space="0" w:color="auto"/>
      </w:divBdr>
    </w:div>
    <w:div w:id="1353218044">
      <w:bodyDiv w:val="1"/>
      <w:marLeft w:val="0"/>
      <w:marRight w:val="0"/>
      <w:marTop w:val="0"/>
      <w:marBottom w:val="0"/>
      <w:divBdr>
        <w:top w:val="none" w:sz="0" w:space="0" w:color="auto"/>
        <w:left w:val="none" w:sz="0" w:space="0" w:color="auto"/>
        <w:bottom w:val="none" w:sz="0" w:space="0" w:color="auto"/>
        <w:right w:val="none" w:sz="0" w:space="0" w:color="auto"/>
      </w:divBdr>
    </w:div>
    <w:div w:id="1354112483">
      <w:bodyDiv w:val="1"/>
      <w:marLeft w:val="0"/>
      <w:marRight w:val="0"/>
      <w:marTop w:val="0"/>
      <w:marBottom w:val="0"/>
      <w:divBdr>
        <w:top w:val="none" w:sz="0" w:space="0" w:color="auto"/>
        <w:left w:val="none" w:sz="0" w:space="0" w:color="auto"/>
        <w:bottom w:val="none" w:sz="0" w:space="0" w:color="auto"/>
        <w:right w:val="none" w:sz="0" w:space="0" w:color="auto"/>
      </w:divBdr>
    </w:div>
    <w:div w:id="1354112512">
      <w:bodyDiv w:val="1"/>
      <w:marLeft w:val="0"/>
      <w:marRight w:val="0"/>
      <w:marTop w:val="0"/>
      <w:marBottom w:val="0"/>
      <w:divBdr>
        <w:top w:val="none" w:sz="0" w:space="0" w:color="auto"/>
        <w:left w:val="none" w:sz="0" w:space="0" w:color="auto"/>
        <w:bottom w:val="none" w:sz="0" w:space="0" w:color="auto"/>
        <w:right w:val="none" w:sz="0" w:space="0" w:color="auto"/>
      </w:divBdr>
    </w:div>
    <w:div w:id="1354719959">
      <w:bodyDiv w:val="1"/>
      <w:marLeft w:val="0"/>
      <w:marRight w:val="0"/>
      <w:marTop w:val="0"/>
      <w:marBottom w:val="0"/>
      <w:divBdr>
        <w:top w:val="none" w:sz="0" w:space="0" w:color="auto"/>
        <w:left w:val="none" w:sz="0" w:space="0" w:color="auto"/>
        <w:bottom w:val="none" w:sz="0" w:space="0" w:color="auto"/>
        <w:right w:val="none" w:sz="0" w:space="0" w:color="auto"/>
      </w:divBdr>
    </w:div>
    <w:div w:id="1355306173">
      <w:bodyDiv w:val="1"/>
      <w:marLeft w:val="0"/>
      <w:marRight w:val="0"/>
      <w:marTop w:val="0"/>
      <w:marBottom w:val="0"/>
      <w:divBdr>
        <w:top w:val="none" w:sz="0" w:space="0" w:color="auto"/>
        <w:left w:val="none" w:sz="0" w:space="0" w:color="auto"/>
        <w:bottom w:val="none" w:sz="0" w:space="0" w:color="auto"/>
        <w:right w:val="none" w:sz="0" w:space="0" w:color="auto"/>
      </w:divBdr>
    </w:div>
    <w:div w:id="1355770530">
      <w:bodyDiv w:val="1"/>
      <w:marLeft w:val="0"/>
      <w:marRight w:val="0"/>
      <w:marTop w:val="0"/>
      <w:marBottom w:val="0"/>
      <w:divBdr>
        <w:top w:val="none" w:sz="0" w:space="0" w:color="auto"/>
        <w:left w:val="none" w:sz="0" w:space="0" w:color="auto"/>
        <w:bottom w:val="none" w:sz="0" w:space="0" w:color="auto"/>
        <w:right w:val="none" w:sz="0" w:space="0" w:color="auto"/>
      </w:divBdr>
    </w:div>
    <w:div w:id="1356081130">
      <w:bodyDiv w:val="1"/>
      <w:marLeft w:val="0"/>
      <w:marRight w:val="0"/>
      <w:marTop w:val="0"/>
      <w:marBottom w:val="0"/>
      <w:divBdr>
        <w:top w:val="none" w:sz="0" w:space="0" w:color="auto"/>
        <w:left w:val="none" w:sz="0" w:space="0" w:color="auto"/>
        <w:bottom w:val="none" w:sz="0" w:space="0" w:color="auto"/>
        <w:right w:val="none" w:sz="0" w:space="0" w:color="auto"/>
      </w:divBdr>
    </w:div>
    <w:div w:id="1356156347">
      <w:bodyDiv w:val="1"/>
      <w:marLeft w:val="0"/>
      <w:marRight w:val="0"/>
      <w:marTop w:val="0"/>
      <w:marBottom w:val="0"/>
      <w:divBdr>
        <w:top w:val="none" w:sz="0" w:space="0" w:color="auto"/>
        <w:left w:val="none" w:sz="0" w:space="0" w:color="auto"/>
        <w:bottom w:val="none" w:sz="0" w:space="0" w:color="auto"/>
        <w:right w:val="none" w:sz="0" w:space="0" w:color="auto"/>
      </w:divBdr>
    </w:div>
    <w:div w:id="1359116992">
      <w:bodyDiv w:val="1"/>
      <w:marLeft w:val="0"/>
      <w:marRight w:val="0"/>
      <w:marTop w:val="0"/>
      <w:marBottom w:val="0"/>
      <w:divBdr>
        <w:top w:val="none" w:sz="0" w:space="0" w:color="auto"/>
        <w:left w:val="none" w:sz="0" w:space="0" w:color="auto"/>
        <w:bottom w:val="none" w:sz="0" w:space="0" w:color="auto"/>
        <w:right w:val="none" w:sz="0" w:space="0" w:color="auto"/>
      </w:divBdr>
    </w:div>
    <w:div w:id="1359164462">
      <w:bodyDiv w:val="1"/>
      <w:marLeft w:val="0"/>
      <w:marRight w:val="0"/>
      <w:marTop w:val="0"/>
      <w:marBottom w:val="0"/>
      <w:divBdr>
        <w:top w:val="none" w:sz="0" w:space="0" w:color="auto"/>
        <w:left w:val="none" w:sz="0" w:space="0" w:color="auto"/>
        <w:bottom w:val="none" w:sz="0" w:space="0" w:color="auto"/>
        <w:right w:val="none" w:sz="0" w:space="0" w:color="auto"/>
      </w:divBdr>
    </w:div>
    <w:div w:id="1359308741">
      <w:bodyDiv w:val="1"/>
      <w:marLeft w:val="0"/>
      <w:marRight w:val="0"/>
      <w:marTop w:val="0"/>
      <w:marBottom w:val="0"/>
      <w:divBdr>
        <w:top w:val="none" w:sz="0" w:space="0" w:color="auto"/>
        <w:left w:val="none" w:sz="0" w:space="0" w:color="auto"/>
        <w:bottom w:val="none" w:sz="0" w:space="0" w:color="auto"/>
        <w:right w:val="none" w:sz="0" w:space="0" w:color="auto"/>
      </w:divBdr>
    </w:div>
    <w:div w:id="1361276321">
      <w:bodyDiv w:val="1"/>
      <w:marLeft w:val="0"/>
      <w:marRight w:val="0"/>
      <w:marTop w:val="0"/>
      <w:marBottom w:val="0"/>
      <w:divBdr>
        <w:top w:val="none" w:sz="0" w:space="0" w:color="auto"/>
        <w:left w:val="none" w:sz="0" w:space="0" w:color="auto"/>
        <w:bottom w:val="none" w:sz="0" w:space="0" w:color="auto"/>
        <w:right w:val="none" w:sz="0" w:space="0" w:color="auto"/>
      </w:divBdr>
    </w:div>
    <w:div w:id="1361777489">
      <w:bodyDiv w:val="1"/>
      <w:marLeft w:val="0"/>
      <w:marRight w:val="0"/>
      <w:marTop w:val="0"/>
      <w:marBottom w:val="0"/>
      <w:divBdr>
        <w:top w:val="none" w:sz="0" w:space="0" w:color="auto"/>
        <w:left w:val="none" w:sz="0" w:space="0" w:color="auto"/>
        <w:bottom w:val="none" w:sz="0" w:space="0" w:color="auto"/>
        <w:right w:val="none" w:sz="0" w:space="0" w:color="auto"/>
      </w:divBdr>
    </w:div>
    <w:div w:id="1362512306">
      <w:bodyDiv w:val="1"/>
      <w:marLeft w:val="0"/>
      <w:marRight w:val="0"/>
      <w:marTop w:val="0"/>
      <w:marBottom w:val="0"/>
      <w:divBdr>
        <w:top w:val="none" w:sz="0" w:space="0" w:color="auto"/>
        <w:left w:val="none" w:sz="0" w:space="0" w:color="auto"/>
        <w:bottom w:val="none" w:sz="0" w:space="0" w:color="auto"/>
        <w:right w:val="none" w:sz="0" w:space="0" w:color="auto"/>
      </w:divBdr>
    </w:div>
    <w:div w:id="1363018439">
      <w:bodyDiv w:val="1"/>
      <w:marLeft w:val="0"/>
      <w:marRight w:val="0"/>
      <w:marTop w:val="0"/>
      <w:marBottom w:val="0"/>
      <w:divBdr>
        <w:top w:val="none" w:sz="0" w:space="0" w:color="auto"/>
        <w:left w:val="none" w:sz="0" w:space="0" w:color="auto"/>
        <w:bottom w:val="none" w:sz="0" w:space="0" w:color="auto"/>
        <w:right w:val="none" w:sz="0" w:space="0" w:color="auto"/>
      </w:divBdr>
    </w:div>
    <w:div w:id="1363166887">
      <w:bodyDiv w:val="1"/>
      <w:marLeft w:val="0"/>
      <w:marRight w:val="0"/>
      <w:marTop w:val="0"/>
      <w:marBottom w:val="0"/>
      <w:divBdr>
        <w:top w:val="none" w:sz="0" w:space="0" w:color="auto"/>
        <w:left w:val="none" w:sz="0" w:space="0" w:color="auto"/>
        <w:bottom w:val="none" w:sz="0" w:space="0" w:color="auto"/>
        <w:right w:val="none" w:sz="0" w:space="0" w:color="auto"/>
      </w:divBdr>
    </w:div>
    <w:div w:id="1364092297">
      <w:bodyDiv w:val="1"/>
      <w:marLeft w:val="0"/>
      <w:marRight w:val="0"/>
      <w:marTop w:val="0"/>
      <w:marBottom w:val="0"/>
      <w:divBdr>
        <w:top w:val="none" w:sz="0" w:space="0" w:color="auto"/>
        <w:left w:val="none" w:sz="0" w:space="0" w:color="auto"/>
        <w:bottom w:val="none" w:sz="0" w:space="0" w:color="auto"/>
        <w:right w:val="none" w:sz="0" w:space="0" w:color="auto"/>
      </w:divBdr>
    </w:div>
    <w:div w:id="1364092735">
      <w:bodyDiv w:val="1"/>
      <w:marLeft w:val="0"/>
      <w:marRight w:val="0"/>
      <w:marTop w:val="0"/>
      <w:marBottom w:val="0"/>
      <w:divBdr>
        <w:top w:val="none" w:sz="0" w:space="0" w:color="auto"/>
        <w:left w:val="none" w:sz="0" w:space="0" w:color="auto"/>
        <w:bottom w:val="none" w:sz="0" w:space="0" w:color="auto"/>
        <w:right w:val="none" w:sz="0" w:space="0" w:color="auto"/>
      </w:divBdr>
    </w:div>
    <w:div w:id="1364861190">
      <w:bodyDiv w:val="1"/>
      <w:marLeft w:val="0"/>
      <w:marRight w:val="0"/>
      <w:marTop w:val="0"/>
      <w:marBottom w:val="0"/>
      <w:divBdr>
        <w:top w:val="none" w:sz="0" w:space="0" w:color="auto"/>
        <w:left w:val="none" w:sz="0" w:space="0" w:color="auto"/>
        <w:bottom w:val="none" w:sz="0" w:space="0" w:color="auto"/>
        <w:right w:val="none" w:sz="0" w:space="0" w:color="auto"/>
      </w:divBdr>
    </w:div>
    <w:div w:id="1365325888">
      <w:bodyDiv w:val="1"/>
      <w:marLeft w:val="0"/>
      <w:marRight w:val="0"/>
      <w:marTop w:val="0"/>
      <w:marBottom w:val="0"/>
      <w:divBdr>
        <w:top w:val="none" w:sz="0" w:space="0" w:color="auto"/>
        <w:left w:val="none" w:sz="0" w:space="0" w:color="auto"/>
        <w:bottom w:val="none" w:sz="0" w:space="0" w:color="auto"/>
        <w:right w:val="none" w:sz="0" w:space="0" w:color="auto"/>
      </w:divBdr>
    </w:div>
    <w:div w:id="1365985807">
      <w:bodyDiv w:val="1"/>
      <w:marLeft w:val="0"/>
      <w:marRight w:val="0"/>
      <w:marTop w:val="0"/>
      <w:marBottom w:val="0"/>
      <w:divBdr>
        <w:top w:val="none" w:sz="0" w:space="0" w:color="auto"/>
        <w:left w:val="none" w:sz="0" w:space="0" w:color="auto"/>
        <w:bottom w:val="none" w:sz="0" w:space="0" w:color="auto"/>
        <w:right w:val="none" w:sz="0" w:space="0" w:color="auto"/>
      </w:divBdr>
    </w:div>
    <w:div w:id="1366710481">
      <w:bodyDiv w:val="1"/>
      <w:marLeft w:val="0"/>
      <w:marRight w:val="0"/>
      <w:marTop w:val="0"/>
      <w:marBottom w:val="0"/>
      <w:divBdr>
        <w:top w:val="none" w:sz="0" w:space="0" w:color="auto"/>
        <w:left w:val="none" w:sz="0" w:space="0" w:color="auto"/>
        <w:bottom w:val="none" w:sz="0" w:space="0" w:color="auto"/>
        <w:right w:val="none" w:sz="0" w:space="0" w:color="auto"/>
      </w:divBdr>
    </w:div>
    <w:div w:id="1366903379">
      <w:bodyDiv w:val="1"/>
      <w:marLeft w:val="0"/>
      <w:marRight w:val="0"/>
      <w:marTop w:val="0"/>
      <w:marBottom w:val="0"/>
      <w:divBdr>
        <w:top w:val="none" w:sz="0" w:space="0" w:color="auto"/>
        <w:left w:val="none" w:sz="0" w:space="0" w:color="auto"/>
        <w:bottom w:val="none" w:sz="0" w:space="0" w:color="auto"/>
        <w:right w:val="none" w:sz="0" w:space="0" w:color="auto"/>
      </w:divBdr>
    </w:div>
    <w:div w:id="1367369062">
      <w:bodyDiv w:val="1"/>
      <w:marLeft w:val="0"/>
      <w:marRight w:val="0"/>
      <w:marTop w:val="0"/>
      <w:marBottom w:val="0"/>
      <w:divBdr>
        <w:top w:val="none" w:sz="0" w:space="0" w:color="auto"/>
        <w:left w:val="none" w:sz="0" w:space="0" w:color="auto"/>
        <w:bottom w:val="none" w:sz="0" w:space="0" w:color="auto"/>
        <w:right w:val="none" w:sz="0" w:space="0" w:color="auto"/>
      </w:divBdr>
    </w:div>
    <w:div w:id="1368532854">
      <w:bodyDiv w:val="1"/>
      <w:marLeft w:val="0"/>
      <w:marRight w:val="0"/>
      <w:marTop w:val="0"/>
      <w:marBottom w:val="0"/>
      <w:divBdr>
        <w:top w:val="none" w:sz="0" w:space="0" w:color="auto"/>
        <w:left w:val="none" w:sz="0" w:space="0" w:color="auto"/>
        <w:bottom w:val="none" w:sz="0" w:space="0" w:color="auto"/>
        <w:right w:val="none" w:sz="0" w:space="0" w:color="auto"/>
      </w:divBdr>
    </w:div>
    <w:div w:id="1368724129">
      <w:bodyDiv w:val="1"/>
      <w:marLeft w:val="0"/>
      <w:marRight w:val="0"/>
      <w:marTop w:val="0"/>
      <w:marBottom w:val="0"/>
      <w:divBdr>
        <w:top w:val="none" w:sz="0" w:space="0" w:color="auto"/>
        <w:left w:val="none" w:sz="0" w:space="0" w:color="auto"/>
        <w:bottom w:val="none" w:sz="0" w:space="0" w:color="auto"/>
        <w:right w:val="none" w:sz="0" w:space="0" w:color="auto"/>
      </w:divBdr>
    </w:div>
    <w:div w:id="1369068120">
      <w:bodyDiv w:val="1"/>
      <w:marLeft w:val="0"/>
      <w:marRight w:val="0"/>
      <w:marTop w:val="0"/>
      <w:marBottom w:val="0"/>
      <w:divBdr>
        <w:top w:val="none" w:sz="0" w:space="0" w:color="auto"/>
        <w:left w:val="none" w:sz="0" w:space="0" w:color="auto"/>
        <w:bottom w:val="none" w:sz="0" w:space="0" w:color="auto"/>
        <w:right w:val="none" w:sz="0" w:space="0" w:color="auto"/>
      </w:divBdr>
    </w:div>
    <w:div w:id="1370455696">
      <w:bodyDiv w:val="1"/>
      <w:marLeft w:val="0"/>
      <w:marRight w:val="0"/>
      <w:marTop w:val="0"/>
      <w:marBottom w:val="0"/>
      <w:divBdr>
        <w:top w:val="none" w:sz="0" w:space="0" w:color="auto"/>
        <w:left w:val="none" w:sz="0" w:space="0" w:color="auto"/>
        <w:bottom w:val="none" w:sz="0" w:space="0" w:color="auto"/>
        <w:right w:val="none" w:sz="0" w:space="0" w:color="auto"/>
      </w:divBdr>
    </w:div>
    <w:div w:id="1370643896">
      <w:bodyDiv w:val="1"/>
      <w:marLeft w:val="0"/>
      <w:marRight w:val="0"/>
      <w:marTop w:val="0"/>
      <w:marBottom w:val="0"/>
      <w:divBdr>
        <w:top w:val="none" w:sz="0" w:space="0" w:color="auto"/>
        <w:left w:val="none" w:sz="0" w:space="0" w:color="auto"/>
        <w:bottom w:val="none" w:sz="0" w:space="0" w:color="auto"/>
        <w:right w:val="none" w:sz="0" w:space="0" w:color="auto"/>
      </w:divBdr>
    </w:div>
    <w:div w:id="1370685610">
      <w:bodyDiv w:val="1"/>
      <w:marLeft w:val="0"/>
      <w:marRight w:val="0"/>
      <w:marTop w:val="0"/>
      <w:marBottom w:val="0"/>
      <w:divBdr>
        <w:top w:val="none" w:sz="0" w:space="0" w:color="auto"/>
        <w:left w:val="none" w:sz="0" w:space="0" w:color="auto"/>
        <w:bottom w:val="none" w:sz="0" w:space="0" w:color="auto"/>
        <w:right w:val="none" w:sz="0" w:space="0" w:color="auto"/>
      </w:divBdr>
    </w:div>
    <w:div w:id="1370957225">
      <w:bodyDiv w:val="1"/>
      <w:marLeft w:val="0"/>
      <w:marRight w:val="0"/>
      <w:marTop w:val="0"/>
      <w:marBottom w:val="0"/>
      <w:divBdr>
        <w:top w:val="none" w:sz="0" w:space="0" w:color="auto"/>
        <w:left w:val="none" w:sz="0" w:space="0" w:color="auto"/>
        <w:bottom w:val="none" w:sz="0" w:space="0" w:color="auto"/>
        <w:right w:val="none" w:sz="0" w:space="0" w:color="auto"/>
      </w:divBdr>
    </w:div>
    <w:div w:id="1371611693">
      <w:bodyDiv w:val="1"/>
      <w:marLeft w:val="0"/>
      <w:marRight w:val="0"/>
      <w:marTop w:val="0"/>
      <w:marBottom w:val="0"/>
      <w:divBdr>
        <w:top w:val="none" w:sz="0" w:space="0" w:color="auto"/>
        <w:left w:val="none" w:sz="0" w:space="0" w:color="auto"/>
        <w:bottom w:val="none" w:sz="0" w:space="0" w:color="auto"/>
        <w:right w:val="none" w:sz="0" w:space="0" w:color="auto"/>
      </w:divBdr>
    </w:div>
    <w:div w:id="1371765137">
      <w:bodyDiv w:val="1"/>
      <w:marLeft w:val="0"/>
      <w:marRight w:val="0"/>
      <w:marTop w:val="0"/>
      <w:marBottom w:val="0"/>
      <w:divBdr>
        <w:top w:val="none" w:sz="0" w:space="0" w:color="auto"/>
        <w:left w:val="none" w:sz="0" w:space="0" w:color="auto"/>
        <w:bottom w:val="none" w:sz="0" w:space="0" w:color="auto"/>
        <w:right w:val="none" w:sz="0" w:space="0" w:color="auto"/>
      </w:divBdr>
    </w:div>
    <w:div w:id="1372194325">
      <w:bodyDiv w:val="1"/>
      <w:marLeft w:val="0"/>
      <w:marRight w:val="0"/>
      <w:marTop w:val="0"/>
      <w:marBottom w:val="0"/>
      <w:divBdr>
        <w:top w:val="none" w:sz="0" w:space="0" w:color="auto"/>
        <w:left w:val="none" w:sz="0" w:space="0" w:color="auto"/>
        <w:bottom w:val="none" w:sz="0" w:space="0" w:color="auto"/>
        <w:right w:val="none" w:sz="0" w:space="0" w:color="auto"/>
      </w:divBdr>
    </w:div>
    <w:div w:id="1372269772">
      <w:bodyDiv w:val="1"/>
      <w:marLeft w:val="0"/>
      <w:marRight w:val="0"/>
      <w:marTop w:val="0"/>
      <w:marBottom w:val="0"/>
      <w:divBdr>
        <w:top w:val="none" w:sz="0" w:space="0" w:color="auto"/>
        <w:left w:val="none" w:sz="0" w:space="0" w:color="auto"/>
        <w:bottom w:val="none" w:sz="0" w:space="0" w:color="auto"/>
        <w:right w:val="none" w:sz="0" w:space="0" w:color="auto"/>
      </w:divBdr>
    </w:div>
    <w:div w:id="1372918645">
      <w:bodyDiv w:val="1"/>
      <w:marLeft w:val="0"/>
      <w:marRight w:val="0"/>
      <w:marTop w:val="0"/>
      <w:marBottom w:val="0"/>
      <w:divBdr>
        <w:top w:val="none" w:sz="0" w:space="0" w:color="auto"/>
        <w:left w:val="none" w:sz="0" w:space="0" w:color="auto"/>
        <w:bottom w:val="none" w:sz="0" w:space="0" w:color="auto"/>
        <w:right w:val="none" w:sz="0" w:space="0" w:color="auto"/>
      </w:divBdr>
    </w:div>
    <w:div w:id="1372919978">
      <w:bodyDiv w:val="1"/>
      <w:marLeft w:val="0"/>
      <w:marRight w:val="0"/>
      <w:marTop w:val="0"/>
      <w:marBottom w:val="0"/>
      <w:divBdr>
        <w:top w:val="none" w:sz="0" w:space="0" w:color="auto"/>
        <w:left w:val="none" w:sz="0" w:space="0" w:color="auto"/>
        <w:bottom w:val="none" w:sz="0" w:space="0" w:color="auto"/>
        <w:right w:val="none" w:sz="0" w:space="0" w:color="auto"/>
      </w:divBdr>
    </w:div>
    <w:div w:id="1373191473">
      <w:bodyDiv w:val="1"/>
      <w:marLeft w:val="0"/>
      <w:marRight w:val="0"/>
      <w:marTop w:val="0"/>
      <w:marBottom w:val="0"/>
      <w:divBdr>
        <w:top w:val="none" w:sz="0" w:space="0" w:color="auto"/>
        <w:left w:val="none" w:sz="0" w:space="0" w:color="auto"/>
        <w:bottom w:val="none" w:sz="0" w:space="0" w:color="auto"/>
        <w:right w:val="none" w:sz="0" w:space="0" w:color="auto"/>
      </w:divBdr>
    </w:div>
    <w:div w:id="1374229976">
      <w:bodyDiv w:val="1"/>
      <w:marLeft w:val="0"/>
      <w:marRight w:val="0"/>
      <w:marTop w:val="0"/>
      <w:marBottom w:val="0"/>
      <w:divBdr>
        <w:top w:val="none" w:sz="0" w:space="0" w:color="auto"/>
        <w:left w:val="none" w:sz="0" w:space="0" w:color="auto"/>
        <w:bottom w:val="none" w:sz="0" w:space="0" w:color="auto"/>
        <w:right w:val="none" w:sz="0" w:space="0" w:color="auto"/>
      </w:divBdr>
    </w:div>
    <w:div w:id="1374307107">
      <w:bodyDiv w:val="1"/>
      <w:marLeft w:val="0"/>
      <w:marRight w:val="0"/>
      <w:marTop w:val="0"/>
      <w:marBottom w:val="0"/>
      <w:divBdr>
        <w:top w:val="none" w:sz="0" w:space="0" w:color="auto"/>
        <w:left w:val="none" w:sz="0" w:space="0" w:color="auto"/>
        <w:bottom w:val="none" w:sz="0" w:space="0" w:color="auto"/>
        <w:right w:val="none" w:sz="0" w:space="0" w:color="auto"/>
      </w:divBdr>
    </w:div>
    <w:div w:id="1374576703">
      <w:bodyDiv w:val="1"/>
      <w:marLeft w:val="0"/>
      <w:marRight w:val="0"/>
      <w:marTop w:val="0"/>
      <w:marBottom w:val="0"/>
      <w:divBdr>
        <w:top w:val="none" w:sz="0" w:space="0" w:color="auto"/>
        <w:left w:val="none" w:sz="0" w:space="0" w:color="auto"/>
        <w:bottom w:val="none" w:sz="0" w:space="0" w:color="auto"/>
        <w:right w:val="none" w:sz="0" w:space="0" w:color="auto"/>
      </w:divBdr>
    </w:div>
    <w:div w:id="1375034962">
      <w:bodyDiv w:val="1"/>
      <w:marLeft w:val="0"/>
      <w:marRight w:val="0"/>
      <w:marTop w:val="0"/>
      <w:marBottom w:val="0"/>
      <w:divBdr>
        <w:top w:val="none" w:sz="0" w:space="0" w:color="auto"/>
        <w:left w:val="none" w:sz="0" w:space="0" w:color="auto"/>
        <w:bottom w:val="none" w:sz="0" w:space="0" w:color="auto"/>
        <w:right w:val="none" w:sz="0" w:space="0" w:color="auto"/>
      </w:divBdr>
    </w:div>
    <w:div w:id="1375426135">
      <w:bodyDiv w:val="1"/>
      <w:marLeft w:val="0"/>
      <w:marRight w:val="0"/>
      <w:marTop w:val="0"/>
      <w:marBottom w:val="0"/>
      <w:divBdr>
        <w:top w:val="none" w:sz="0" w:space="0" w:color="auto"/>
        <w:left w:val="none" w:sz="0" w:space="0" w:color="auto"/>
        <w:bottom w:val="none" w:sz="0" w:space="0" w:color="auto"/>
        <w:right w:val="none" w:sz="0" w:space="0" w:color="auto"/>
      </w:divBdr>
    </w:div>
    <w:div w:id="1377047885">
      <w:bodyDiv w:val="1"/>
      <w:marLeft w:val="0"/>
      <w:marRight w:val="0"/>
      <w:marTop w:val="0"/>
      <w:marBottom w:val="0"/>
      <w:divBdr>
        <w:top w:val="none" w:sz="0" w:space="0" w:color="auto"/>
        <w:left w:val="none" w:sz="0" w:space="0" w:color="auto"/>
        <w:bottom w:val="none" w:sz="0" w:space="0" w:color="auto"/>
        <w:right w:val="none" w:sz="0" w:space="0" w:color="auto"/>
      </w:divBdr>
    </w:div>
    <w:div w:id="1377782014">
      <w:bodyDiv w:val="1"/>
      <w:marLeft w:val="0"/>
      <w:marRight w:val="0"/>
      <w:marTop w:val="0"/>
      <w:marBottom w:val="0"/>
      <w:divBdr>
        <w:top w:val="none" w:sz="0" w:space="0" w:color="auto"/>
        <w:left w:val="none" w:sz="0" w:space="0" w:color="auto"/>
        <w:bottom w:val="none" w:sz="0" w:space="0" w:color="auto"/>
        <w:right w:val="none" w:sz="0" w:space="0" w:color="auto"/>
      </w:divBdr>
    </w:div>
    <w:div w:id="1378313651">
      <w:bodyDiv w:val="1"/>
      <w:marLeft w:val="0"/>
      <w:marRight w:val="0"/>
      <w:marTop w:val="0"/>
      <w:marBottom w:val="0"/>
      <w:divBdr>
        <w:top w:val="none" w:sz="0" w:space="0" w:color="auto"/>
        <w:left w:val="none" w:sz="0" w:space="0" w:color="auto"/>
        <w:bottom w:val="none" w:sz="0" w:space="0" w:color="auto"/>
        <w:right w:val="none" w:sz="0" w:space="0" w:color="auto"/>
      </w:divBdr>
    </w:div>
    <w:div w:id="1378435617">
      <w:bodyDiv w:val="1"/>
      <w:marLeft w:val="0"/>
      <w:marRight w:val="0"/>
      <w:marTop w:val="0"/>
      <w:marBottom w:val="0"/>
      <w:divBdr>
        <w:top w:val="none" w:sz="0" w:space="0" w:color="auto"/>
        <w:left w:val="none" w:sz="0" w:space="0" w:color="auto"/>
        <w:bottom w:val="none" w:sz="0" w:space="0" w:color="auto"/>
        <w:right w:val="none" w:sz="0" w:space="0" w:color="auto"/>
      </w:divBdr>
    </w:div>
    <w:div w:id="1379016455">
      <w:bodyDiv w:val="1"/>
      <w:marLeft w:val="0"/>
      <w:marRight w:val="0"/>
      <w:marTop w:val="0"/>
      <w:marBottom w:val="0"/>
      <w:divBdr>
        <w:top w:val="none" w:sz="0" w:space="0" w:color="auto"/>
        <w:left w:val="none" w:sz="0" w:space="0" w:color="auto"/>
        <w:bottom w:val="none" w:sz="0" w:space="0" w:color="auto"/>
        <w:right w:val="none" w:sz="0" w:space="0" w:color="auto"/>
      </w:divBdr>
    </w:div>
    <w:div w:id="1379160008">
      <w:bodyDiv w:val="1"/>
      <w:marLeft w:val="0"/>
      <w:marRight w:val="0"/>
      <w:marTop w:val="0"/>
      <w:marBottom w:val="0"/>
      <w:divBdr>
        <w:top w:val="none" w:sz="0" w:space="0" w:color="auto"/>
        <w:left w:val="none" w:sz="0" w:space="0" w:color="auto"/>
        <w:bottom w:val="none" w:sz="0" w:space="0" w:color="auto"/>
        <w:right w:val="none" w:sz="0" w:space="0" w:color="auto"/>
      </w:divBdr>
    </w:div>
    <w:div w:id="1380009491">
      <w:bodyDiv w:val="1"/>
      <w:marLeft w:val="0"/>
      <w:marRight w:val="0"/>
      <w:marTop w:val="0"/>
      <w:marBottom w:val="0"/>
      <w:divBdr>
        <w:top w:val="none" w:sz="0" w:space="0" w:color="auto"/>
        <w:left w:val="none" w:sz="0" w:space="0" w:color="auto"/>
        <w:bottom w:val="none" w:sz="0" w:space="0" w:color="auto"/>
        <w:right w:val="none" w:sz="0" w:space="0" w:color="auto"/>
      </w:divBdr>
    </w:div>
    <w:div w:id="1380666786">
      <w:bodyDiv w:val="1"/>
      <w:marLeft w:val="0"/>
      <w:marRight w:val="0"/>
      <w:marTop w:val="0"/>
      <w:marBottom w:val="0"/>
      <w:divBdr>
        <w:top w:val="none" w:sz="0" w:space="0" w:color="auto"/>
        <w:left w:val="none" w:sz="0" w:space="0" w:color="auto"/>
        <w:bottom w:val="none" w:sz="0" w:space="0" w:color="auto"/>
        <w:right w:val="none" w:sz="0" w:space="0" w:color="auto"/>
      </w:divBdr>
    </w:div>
    <w:div w:id="1380856245">
      <w:bodyDiv w:val="1"/>
      <w:marLeft w:val="0"/>
      <w:marRight w:val="0"/>
      <w:marTop w:val="0"/>
      <w:marBottom w:val="0"/>
      <w:divBdr>
        <w:top w:val="none" w:sz="0" w:space="0" w:color="auto"/>
        <w:left w:val="none" w:sz="0" w:space="0" w:color="auto"/>
        <w:bottom w:val="none" w:sz="0" w:space="0" w:color="auto"/>
        <w:right w:val="none" w:sz="0" w:space="0" w:color="auto"/>
      </w:divBdr>
    </w:div>
    <w:div w:id="1381319389">
      <w:bodyDiv w:val="1"/>
      <w:marLeft w:val="0"/>
      <w:marRight w:val="0"/>
      <w:marTop w:val="0"/>
      <w:marBottom w:val="0"/>
      <w:divBdr>
        <w:top w:val="none" w:sz="0" w:space="0" w:color="auto"/>
        <w:left w:val="none" w:sz="0" w:space="0" w:color="auto"/>
        <w:bottom w:val="none" w:sz="0" w:space="0" w:color="auto"/>
        <w:right w:val="none" w:sz="0" w:space="0" w:color="auto"/>
      </w:divBdr>
    </w:div>
    <w:div w:id="1381973751">
      <w:bodyDiv w:val="1"/>
      <w:marLeft w:val="0"/>
      <w:marRight w:val="0"/>
      <w:marTop w:val="0"/>
      <w:marBottom w:val="0"/>
      <w:divBdr>
        <w:top w:val="none" w:sz="0" w:space="0" w:color="auto"/>
        <w:left w:val="none" w:sz="0" w:space="0" w:color="auto"/>
        <w:bottom w:val="none" w:sz="0" w:space="0" w:color="auto"/>
        <w:right w:val="none" w:sz="0" w:space="0" w:color="auto"/>
      </w:divBdr>
    </w:div>
    <w:div w:id="1382942447">
      <w:bodyDiv w:val="1"/>
      <w:marLeft w:val="0"/>
      <w:marRight w:val="0"/>
      <w:marTop w:val="0"/>
      <w:marBottom w:val="0"/>
      <w:divBdr>
        <w:top w:val="none" w:sz="0" w:space="0" w:color="auto"/>
        <w:left w:val="none" w:sz="0" w:space="0" w:color="auto"/>
        <w:bottom w:val="none" w:sz="0" w:space="0" w:color="auto"/>
        <w:right w:val="none" w:sz="0" w:space="0" w:color="auto"/>
      </w:divBdr>
    </w:div>
    <w:div w:id="1384141378">
      <w:bodyDiv w:val="1"/>
      <w:marLeft w:val="0"/>
      <w:marRight w:val="0"/>
      <w:marTop w:val="0"/>
      <w:marBottom w:val="0"/>
      <w:divBdr>
        <w:top w:val="none" w:sz="0" w:space="0" w:color="auto"/>
        <w:left w:val="none" w:sz="0" w:space="0" w:color="auto"/>
        <w:bottom w:val="none" w:sz="0" w:space="0" w:color="auto"/>
        <w:right w:val="none" w:sz="0" w:space="0" w:color="auto"/>
      </w:divBdr>
    </w:div>
    <w:div w:id="1384595701">
      <w:bodyDiv w:val="1"/>
      <w:marLeft w:val="0"/>
      <w:marRight w:val="0"/>
      <w:marTop w:val="0"/>
      <w:marBottom w:val="0"/>
      <w:divBdr>
        <w:top w:val="none" w:sz="0" w:space="0" w:color="auto"/>
        <w:left w:val="none" w:sz="0" w:space="0" w:color="auto"/>
        <w:bottom w:val="none" w:sz="0" w:space="0" w:color="auto"/>
        <w:right w:val="none" w:sz="0" w:space="0" w:color="auto"/>
      </w:divBdr>
    </w:div>
    <w:div w:id="1386294385">
      <w:bodyDiv w:val="1"/>
      <w:marLeft w:val="0"/>
      <w:marRight w:val="0"/>
      <w:marTop w:val="0"/>
      <w:marBottom w:val="0"/>
      <w:divBdr>
        <w:top w:val="none" w:sz="0" w:space="0" w:color="auto"/>
        <w:left w:val="none" w:sz="0" w:space="0" w:color="auto"/>
        <w:bottom w:val="none" w:sz="0" w:space="0" w:color="auto"/>
        <w:right w:val="none" w:sz="0" w:space="0" w:color="auto"/>
      </w:divBdr>
    </w:div>
    <w:div w:id="1386484296">
      <w:bodyDiv w:val="1"/>
      <w:marLeft w:val="0"/>
      <w:marRight w:val="0"/>
      <w:marTop w:val="0"/>
      <w:marBottom w:val="0"/>
      <w:divBdr>
        <w:top w:val="none" w:sz="0" w:space="0" w:color="auto"/>
        <w:left w:val="none" w:sz="0" w:space="0" w:color="auto"/>
        <w:bottom w:val="none" w:sz="0" w:space="0" w:color="auto"/>
        <w:right w:val="none" w:sz="0" w:space="0" w:color="auto"/>
      </w:divBdr>
    </w:div>
    <w:div w:id="1387875058">
      <w:bodyDiv w:val="1"/>
      <w:marLeft w:val="0"/>
      <w:marRight w:val="0"/>
      <w:marTop w:val="0"/>
      <w:marBottom w:val="0"/>
      <w:divBdr>
        <w:top w:val="none" w:sz="0" w:space="0" w:color="auto"/>
        <w:left w:val="none" w:sz="0" w:space="0" w:color="auto"/>
        <w:bottom w:val="none" w:sz="0" w:space="0" w:color="auto"/>
        <w:right w:val="none" w:sz="0" w:space="0" w:color="auto"/>
      </w:divBdr>
    </w:div>
    <w:div w:id="1389036980">
      <w:bodyDiv w:val="1"/>
      <w:marLeft w:val="0"/>
      <w:marRight w:val="0"/>
      <w:marTop w:val="0"/>
      <w:marBottom w:val="0"/>
      <w:divBdr>
        <w:top w:val="none" w:sz="0" w:space="0" w:color="auto"/>
        <w:left w:val="none" w:sz="0" w:space="0" w:color="auto"/>
        <w:bottom w:val="none" w:sz="0" w:space="0" w:color="auto"/>
        <w:right w:val="none" w:sz="0" w:space="0" w:color="auto"/>
      </w:divBdr>
    </w:div>
    <w:div w:id="1389063479">
      <w:bodyDiv w:val="1"/>
      <w:marLeft w:val="0"/>
      <w:marRight w:val="0"/>
      <w:marTop w:val="0"/>
      <w:marBottom w:val="0"/>
      <w:divBdr>
        <w:top w:val="none" w:sz="0" w:space="0" w:color="auto"/>
        <w:left w:val="none" w:sz="0" w:space="0" w:color="auto"/>
        <w:bottom w:val="none" w:sz="0" w:space="0" w:color="auto"/>
        <w:right w:val="none" w:sz="0" w:space="0" w:color="auto"/>
      </w:divBdr>
    </w:div>
    <w:div w:id="1389112141">
      <w:bodyDiv w:val="1"/>
      <w:marLeft w:val="0"/>
      <w:marRight w:val="0"/>
      <w:marTop w:val="0"/>
      <w:marBottom w:val="0"/>
      <w:divBdr>
        <w:top w:val="none" w:sz="0" w:space="0" w:color="auto"/>
        <w:left w:val="none" w:sz="0" w:space="0" w:color="auto"/>
        <w:bottom w:val="none" w:sz="0" w:space="0" w:color="auto"/>
        <w:right w:val="none" w:sz="0" w:space="0" w:color="auto"/>
      </w:divBdr>
    </w:div>
    <w:div w:id="1391424211">
      <w:bodyDiv w:val="1"/>
      <w:marLeft w:val="0"/>
      <w:marRight w:val="0"/>
      <w:marTop w:val="0"/>
      <w:marBottom w:val="0"/>
      <w:divBdr>
        <w:top w:val="none" w:sz="0" w:space="0" w:color="auto"/>
        <w:left w:val="none" w:sz="0" w:space="0" w:color="auto"/>
        <w:bottom w:val="none" w:sz="0" w:space="0" w:color="auto"/>
        <w:right w:val="none" w:sz="0" w:space="0" w:color="auto"/>
      </w:divBdr>
    </w:div>
    <w:div w:id="1392312383">
      <w:bodyDiv w:val="1"/>
      <w:marLeft w:val="0"/>
      <w:marRight w:val="0"/>
      <w:marTop w:val="0"/>
      <w:marBottom w:val="0"/>
      <w:divBdr>
        <w:top w:val="none" w:sz="0" w:space="0" w:color="auto"/>
        <w:left w:val="none" w:sz="0" w:space="0" w:color="auto"/>
        <w:bottom w:val="none" w:sz="0" w:space="0" w:color="auto"/>
        <w:right w:val="none" w:sz="0" w:space="0" w:color="auto"/>
      </w:divBdr>
    </w:div>
    <w:div w:id="1393232095">
      <w:bodyDiv w:val="1"/>
      <w:marLeft w:val="0"/>
      <w:marRight w:val="0"/>
      <w:marTop w:val="0"/>
      <w:marBottom w:val="0"/>
      <w:divBdr>
        <w:top w:val="none" w:sz="0" w:space="0" w:color="auto"/>
        <w:left w:val="none" w:sz="0" w:space="0" w:color="auto"/>
        <w:bottom w:val="none" w:sz="0" w:space="0" w:color="auto"/>
        <w:right w:val="none" w:sz="0" w:space="0" w:color="auto"/>
      </w:divBdr>
    </w:div>
    <w:div w:id="1393428060">
      <w:bodyDiv w:val="1"/>
      <w:marLeft w:val="0"/>
      <w:marRight w:val="0"/>
      <w:marTop w:val="0"/>
      <w:marBottom w:val="0"/>
      <w:divBdr>
        <w:top w:val="none" w:sz="0" w:space="0" w:color="auto"/>
        <w:left w:val="none" w:sz="0" w:space="0" w:color="auto"/>
        <w:bottom w:val="none" w:sz="0" w:space="0" w:color="auto"/>
        <w:right w:val="none" w:sz="0" w:space="0" w:color="auto"/>
      </w:divBdr>
    </w:div>
    <w:div w:id="1394693884">
      <w:bodyDiv w:val="1"/>
      <w:marLeft w:val="0"/>
      <w:marRight w:val="0"/>
      <w:marTop w:val="0"/>
      <w:marBottom w:val="0"/>
      <w:divBdr>
        <w:top w:val="none" w:sz="0" w:space="0" w:color="auto"/>
        <w:left w:val="none" w:sz="0" w:space="0" w:color="auto"/>
        <w:bottom w:val="none" w:sz="0" w:space="0" w:color="auto"/>
        <w:right w:val="none" w:sz="0" w:space="0" w:color="auto"/>
      </w:divBdr>
    </w:div>
    <w:div w:id="1395736376">
      <w:bodyDiv w:val="1"/>
      <w:marLeft w:val="0"/>
      <w:marRight w:val="0"/>
      <w:marTop w:val="0"/>
      <w:marBottom w:val="0"/>
      <w:divBdr>
        <w:top w:val="none" w:sz="0" w:space="0" w:color="auto"/>
        <w:left w:val="none" w:sz="0" w:space="0" w:color="auto"/>
        <w:bottom w:val="none" w:sz="0" w:space="0" w:color="auto"/>
        <w:right w:val="none" w:sz="0" w:space="0" w:color="auto"/>
      </w:divBdr>
    </w:div>
    <w:div w:id="1396396378">
      <w:bodyDiv w:val="1"/>
      <w:marLeft w:val="0"/>
      <w:marRight w:val="0"/>
      <w:marTop w:val="0"/>
      <w:marBottom w:val="0"/>
      <w:divBdr>
        <w:top w:val="none" w:sz="0" w:space="0" w:color="auto"/>
        <w:left w:val="none" w:sz="0" w:space="0" w:color="auto"/>
        <w:bottom w:val="none" w:sz="0" w:space="0" w:color="auto"/>
        <w:right w:val="none" w:sz="0" w:space="0" w:color="auto"/>
      </w:divBdr>
    </w:div>
    <w:div w:id="1396972469">
      <w:bodyDiv w:val="1"/>
      <w:marLeft w:val="0"/>
      <w:marRight w:val="0"/>
      <w:marTop w:val="0"/>
      <w:marBottom w:val="0"/>
      <w:divBdr>
        <w:top w:val="none" w:sz="0" w:space="0" w:color="auto"/>
        <w:left w:val="none" w:sz="0" w:space="0" w:color="auto"/>
        <w:bottom w:val="none" w:sz="0" w:space="0" w:color="auto"/>
        <w:right w:val="none" w:sz="0" w:space="0" w:color="auto"/>
      </w:divBdr>
    </w:div>
    <w:div w:id="1397628503">
      <w:bodyDiv w:val="1"/>
      <w:marLeft w:val="0"/>
      <w:marRight w:val="0"/>
      <w:marTop w:val="0"/>
      <w:marBottom w:val="0"/>
      <w:divBdr>
        <w:top w:val="none" w:sz="0" w:space="0" w:color="auto"/>
        <w:left w:val="none" w:sz="0" w:space="0" w:color="auto"/>
        <w:bottom w:val="none" w:sz="0" w:space="0" w:color="auto"/>
        <w:right w:val="none" w:sz="0" w:space="0" w:color="auto"/>
      </w:divBdr>
    </w:div>
    <w:div w:id="1399015886">
      <w:bodyDiv w:val="1"/>
      <w:marLeft w:val="0"/>
      <w:marRight w:val="0"/>
      <w:marTop w:val="0"/>
      <w:marBottom w:val="0"/>
      <w:divBdr>
        <w:top w:val="none" w:sz="0" w:space="0" w:color="auto"/>
        <w:left w:val="none" w:sz="0" w:space="0" w:color="auto"/>
        <w:bottom w:val="none" w:sz="0" w:space="0" w:color="auto"/>
        <w:right w:val="none" w:sz="0" w:space="0" w:color="auto"/>
      </w:divBdr>
    </w:div>
    <w:div w:id="1399860984">
      <w:bodyDiv w:val="1"/>
      <w:marLeft w:val="0"/>
      <w:marRight w:val="0"/>
      <w:marTop w:val="0"/>
      <w:marBottom w:val="0"/>
      <w:divBdr>
        <w:top w:val="none" w:sz="0" w:space="0" w:color="auto"/>
        <w:left w:val="none" w:sz="0" w:space="0" w:color="auto"/>
        <w:bottom w:val="none" w:sz="0" w:space="0" w:color="auto"/>
        <w:right w:val="none" w:sz="0" w:space="0" w:color="auto"/>
      </w:divBdr>
    </w:div>
    <w:div w:id="1399862898">
      <w:bodyDiv w:val="1"/>
      <w:marLeft w:val="0"/>
      <w:marRight w:val="0"/>
      <w:marTop w:val="0"/>
      <w:marBottom w:val="0"/>
      <w:divBdr>
        <w:top w:val="none" w:sz="0" w:space="0" w:color="auto"/>
        <w:left w:val="none" w:sz="0" w:space="0" w:color="auto"/>
        <w:bottom w:val="none" w:sz="0" w:space="0" w:color="auto"/>
        <w:right w:val="none" w:sz="0" w:space="0" w:color="auto"/>
      </w:divBdr>
    </w:div>
    <w:div w:id="1400010584">
      <w:bodyDiv w:val="1"/>
      <w:marLeft w:val="0"/>
      <w:marRight w:val="0"/>
      <w:marTop w:val="0"/>
      <w:marBottom w:val="0"/>
      <w:divBdr>
        <w:top w:val="none" w:sz="0" w:space="0" w:color="auto"/>
        <w:left w:val="none" w:sz="0" w:space="0" w:color="auto"/>
        <w:bottom w:val="none" w:sz="0" w:space="0" w:color="auto"/>
        <w:right w:val="none" w:sz="0" w:space="0" w:color="auto"/>
      </w:divBdr>
    </w:div>
    <w:div w:id="1400247928">
      <w:bodyDiv w:val="1"/>
      <w:marLeft w:val="0"/>
      <w:marRight w:val="0"/>
      <w:marTop w:val="0"/>
      <w:marBottom w:val="0"/>
      <w:divBdr>
        <w:top w:val="none" w:sz="0" w:space="0" w:color="auto"/>
        <w:left w:val="none" w:sz="0" w:space="0" w:color="auto"/>
        <w:bottom w:val="none" w:sz="0" w:space="0" w:color="auto"/>
        <w:right w:val="none" w:sz="0" w:space="0" w:color="auto"/>
      </w:divBdr>
    </w:div>
    <w:div w:id="1400326356">
      <w:bodyDiv w:val="1"/>
      <w:marLeft w:val="0"/>
      <w:marRight w:val="0"/>
      <w:marTop w:val="0"/>
      <w:marBottom w:val="0"/>
      <w:divBdr>
        <w:top w:val="none" w:sz="0" w:space="0" w:color="auto"/>
        <w:left w:val="none" w:sz="0" w:space="0" w:color="auto"/>
        <w:bottom w:val="none" w:sz="0" w:space="0" w:color="auto"/>
        <w:right w:val="none" w:sz="0" w:space="0" w:color="auto"/>
      </w:divBdr>
    </w:div>
    <w:div w:id="1401366059">
      <w:bodyDiv w:val="1"/>
      <w:marLeft w:val="0"/>
      <w:marRight w:val="0"/>
      <w:marTop w:val="0"/>
      <w:marBottom w:val="0"/>
      <w:divBdr>
        <w:top w:val="none" w:sz="0" w:space="0" w:color="auto"/>
        <w:left w:val="none" w:sz="0" w:space="0" w:color="auto"/>
        <w:bottom w:val="none" w:sz="0" w:space="0" w:color="auto"/>
        <w:right w:val="none" w:sz="0" w:space="0" w:color="auto"/>
      </w:divBdr>
    </w:div>
    <w:div w:id="1402873932">
      <w:bodyDiv w:val="1"/>
      <w:marLeft w:val="0"/>
      <w:marRight w:val="0"/>
      <w:marTop w:val="0"/>
      <w:marBottom w:val="0"/>
      <w:divBdr>
        <w:top w:val="none" w:sz="0" w:space="0" w:color="auto"/>
        <w:left w:val="none" w:sz="0" w:space="0" w:color="auto"/>
        <w:bottom w:val="none" w:sz="0" w:space="0" w:color="auto"/>
        <w:right w:val="none" w:sz="0" w:space="0" w:color="auto"/>
      </w:divBdr>
    </w:div>
    <w:div w:id="1403062676">
      <w:bodyDiv w:val="1"/>
      <w:marLeft w:val="0"/>
      <w:marRight w:val="0"/>
      <w:marTop w:val="0"/>
      <w:marBottom w:val="0"/>
      <w:divBdr>
        <w:top w:val="none" w:sz="0" w:space="0" w:color="auto"/>
        <w:left w:val="none" w:sz="0" w:space="0" w:color="auto"/>
        <w:bottom w:val="none" w:sz="0" w:space="0" w:color="auto"/>
        <w:right w:val="none" w:sz="0" w:space="0" w:color="auto"/>
      </w:divBdr>
    </w:div>
    <w:div w:id="1403332044">
      <w:bodyDiv w:val="1"/>
      <w:marLeft w:val="0"/>
      <w:marRight w:val="0"/>
      <w:marTop w:val="0"/>
      <w:marBottom w:val="0"/>
      <w:divBdr>
        <w:top w:val="none" w:sz="0" w:space="0" w:color="auto"/>
        <w:left w:val="none" w:sz="0" w:space="0" w:color="auto"/>
        <w:bottom w:val="none" w:sz="0" w:space="0" w:color="auto"/>
        <w:right w:val="none" w:sz="0" w:space="0" w:color="auto"/>
      </w:divBdr>
    </w:div>
    <w:div w:id="1403796646">
      <w:bodyDiv w:val="1"/>
      <w:marLeft w:val="0"/>
      <w:marRight w:val="0"/>
      <w:marTop w:val="0"/>
      <w:marBottom w:val="0"/>
      <w:divBdr>
        <w:top w:val="none" w:sz="0" w:space="0" w:color="auto"/>
        <w:left w:val="none" w:sz="0" w:space="0" w:color="auto"/>
        <w:bottom w:val="none" w:sz="0" w:space="0" w:color="auto"/>
        <w:right w:val="none" w:sz="0" w:space="0" w:color="auto"/>
      </w:divBdr>
    </w:div>
    <w:div w:id="1404520780">
      <w:bodyDiv w:val="1"/>
      <w:marLeft w:val="0"/>
      <w:marRight w:val="0"/>
      <w:marTop w:val="0"/>
      <w:marBottom w:val="0"/>
      <w:divBdr>
        <w:top w:val="none" w:sz="0" w:space="0" w:color="auto"/>
        <w:left w:val="none" w:sz="0" w:space="0" w:color="auto"/>
        <w:bottom w:val="none" w:sz="0" w:space="0" w:color="auto"/>
        <w:right w:val="none" w:sz="0" w:space="0" w:color="auto"/>
      </w:divBdr>
    </w:div>
    <w:div w:id="1404640745">
      <w:bodyDiv w:val="1"/>
      <w:marLeft w:val="0"/>
      <w:marRight w:val="0"/>
      <w:marTop w:val="0"/>
      <w:marBottom w:val="0"/>
      <w:divBdr>
        <w:top w:val="none" w:sz="0" w:space="0" w:color="auto"/>
        <w:left w:val="none" w:sz="0" w:space="0" w:color="auto"/>
        <w:bottom w:val="none" w:sz="0" w:space="0" w:color="auto"/>
        <w:right w:val="none" w:sz="0" w:space="0" w:color="auto"/>
      </w:divBdr>
    </w:div>
    <w:div w:id="1404641800">
      <w:bodyDiv w:val="1"/>
      <w:marLeft w:val="0"/>
      <w:marRight w:val="0"/>
      <w:marTop w:val="0"/>
      <w:marBottom w:val="0"/>
      <w:divBdr>
        <w:top w:val="none" w:sz="0" w:space="0" w:color="auto"/>
        <w:left w:val="none" w:sz="0" w:space="0" w:color="auto"/>
        <w:bottom w:val="none" w:sz="0" w:space="0" w:color="auto"/>
        <w:right w:val="none" w:sz="0" w:space="0" w:color="auto"/>
      </w:divBdr>
    </w:div>
    <w:div w:id="1405223192">
      <w:bodyDiv w:val="1"/>
      <w:marLeft w:val="0"/>
      <w:marRight w:val="0"/>
      <w:marTop w:val="0"/>
      <w:marBottom w:val="0"/>
      <w:divBdr>
        <w:top w:val="none" w:sz="0" w:space="0" w:color="auto"/>
        <w:left w:val="none" w:sz="0" w:space="0" w:color="auto"/>
        <w:bottom w:val="none" w:sz="0" w:space="0" w:color="auto"/>
        <w:right w:val="none" w:sz="0" w:space="0" w:color="auto"/>
      </w:divBdr>
    </w:div>
    <w:div w:id="1405226651">
      <w:bodyDiv w:val="1"/>
      <w:marLeft w:val="0"/>
      <w:marRight w:val="0"/>
      <w:marTop w:val="0"/>
      <w:marBottom w:val="0"/>
      <w:divBdr>
        <w:top w:val="none" w:sz="0" w:space="0" w:color="auto"/>
        <w:left w:val="none" w:sz="0" w:space="0" w:color="auto"/>
        <w:bottom w:val="none" w:sz="0" w:space="0" w:color="auto"/>
        <w:right w:val="none" w:sz="0" w:space="0" w:color="auto"/>
      </w:divBdr>
    </w:div>
    <w:div w:id="1405495556">
      <w:bodyDiv w:val="1"/>
      <w:marLeft w:val="0"/>
      <w:marRight w:val="0"/>
      <w:marTop w:val="0"/>
      <w:marBottom w:val="0"/>
      <w:divBdr>
        <w:top w:val="none" w:sz="0" w:space="0" w:color="auto"/>
        <w:left w:val="none" w:sz="0" w:space="0" w:color="auto"/>
        <w:bottom w:val="none" w:sz="0" w:space="0" w:color="auto"/>
        <w:right w:val="none" w:sz="0" w:space="0" w:color="auto"/>
      </w:divBdr>
    </w:div>
    <w:div w:id="1406294761">
      <w:bodyDiv w:val="1"/>
      <w:marLeft w:val="0"/>
      <w:marRight w:val="0"/>
      <w:marTop w:val="0"/>
      <w:marBottom w:val="0"/>
      <w:divBdr>
        <w:top w:val="none" w:sz="0" w:space="0" w:color="auto"/>
        <w:left w:val="none" w:sz="0" w:space="0" w:color="auto"/>
        <w:bottom w:val="none" w:sz="0" w:space="0" w:color="auto"/>
        <w:right w:val="none" w:sz="0" w:space="0" w:color="auto"/>
      </w:divBdr>
    </w:div>
    <w:div w:id="1406415579">
      <w:bodyDiv w:val="1"/>
      <w:marLeft w:val="0"/>
      <w:marRight w:val="0"/>
      <w:marTop w:val="0"/>
      <w:marBottom w:val="0"/>
      <w:divBdr>
        <w:top w:val="none" w:sz="0" w:space="0" w:color="auto"/>
        <w:left w:val="none" w:sz="0" w:space="0" w:color="auto"/>
        <w:bottom w:val="none" w:sz="0" w:space="0" w:color="auto"/>
        <w:right w:val="none" w:sz="0" w:space="0" w:color="auto"/>
      </w:divBdr>
    </w:div>
    <w:div w:id="1406613714">
      <w:bodyDiv w:val="1"/>
      <w:marLeft w:val="0"/>
      <w:marRight w:val="0"/>
      <w:marTop w:val="0"/>
      <w:marBottom w:val="0"/>
      <w:divBdr>
        <w:top w:val="none" w:sz="0" w:space="0" w:color="auto"/>
        <w:left w:val="none" w:sz="0" w:space="0" w:color="auto"/>
        <w:bottom w:val="none" w:sz="0" w:space="0" w:color="auto"/>
        <w:right w:val="none" w:sz="0" w:space="0" w:color="auto"/>
      </w:divBdr>
    </w:div>
    <w:div w:id="1406807082">
      <w:bodyDiv w:val="1"/>
      <w:marLeft w:val="0"/>
      <w:marRight w:val="0"/>
      <w:marTop w:val="0"/>
      <w:marBottom w:val="0"/>
      <w:divBdr>
        <w:top w:val="none" w:sz="0" w:space="0" w:color="auto"/>
        <w:left w:val="none" w:sz="0" w:space="0" w:color="auto"/>
        <w:bottom w:val="none" w:sz="0" w:space="0" w:color="auto"/>
        <w:right w:val="none" w:sz="0" w:space="0" w:color="auto"/>
      </w:divBdr>
    </w:div>
    <w:div w:id="1406874919">
      <w:bodyDiv w:val="1"/>
      <w:marLeft w:val="0"/>
      <w:marRight w:val="0"/>
      <w:marTop w:val="0"/>
      <w:marBottom w:val="0"/>
      <w:divBdr>
        <w:top w:val="none" w:sz="0" w:space="0" w:color="auto"/>
        <w:left w:val="none" w:sz="0" w:space="0" w:color="auto"/>
        <w:bottom w:val="none" w:sz="0" w:space="0" w:color="auto"/>
        <w:right w:val="none" w:sz="0" w:space="0" w:color="auto"/>
      </w:divBdr>
    </w:div>
    <w:div w:id="1408110291">
      <w:bodyDiv w:val="1"/>
      <w:marLeft w:val="0"/>
      <w:marRight w:val="0"/>
      <w:marTop w:val="0"/>
      <w:marBottom w:val="0"/>
      <w:divBdr>
        <w:top w:val="none" w:sz="0" w:space="0" w:color="auto"/>
        <w:left w:val="none" w:sz="0" w:space="0" w:color="auto"/>
        <w:bottom w:val="none" w:sz="0" w:space="0" w:color="auto"/>
        <w:right w:val="none" w:sz="0" w:space="0" w:color="auto"/>
      </w:divBdr>
    </w:div>
    <w:div w:id="1408532014">
      <w:bodyDiv w:val="1"/>
      <w:marLeft w:val="0"/>
      <w:marRight w:val="0"/>
      <w:marTop w:val="0"/>
      <w:marBottom w:val="0"/>
      <w:divBdr>
        <w:top w:val="none" w:sz="0" w:space="0" w:color="auto"/>
        <w:left w:val="none" w:sz="0" w:space="0" w:color="auto"/>
        <w:bottom w:val="none" w:sz="0" w:space="0" w:color="auto"/>
        <w:right w:val="none" w:sz="0" w:space="0" w:color="auto"/>
      </w:divBdr>
    </w:div>
    <w:div w:id="1408920821">
      <w:bodyDiv w:val="1"/>
      <w:marLeft w:val="0"/>
      <w:marRight w:val="0"/>
      <w:marTop w:val="0"/>
      <w:marBottom w:val="0"/>
      <w:divBdr>
        <w:top w:val="none" w:sz="0" w:space="0" w:color="auto"/>
        <w:left w:val="none" w:sz="0" w:space="0" w:color="auto"/>
        <w:bottom w:val="none" w:sz="0" w:space="0" w:color="auto"/>
        <w:right w:val="none" w:sz="0" w:space="0" w:color="auto"/>
      </w:divBdr>
    </w:div>
    <w:div w:id="1409305255">
      <w:bodyDiv w:val="1"/>
      <w:marLeft w:val="0"/>
      <w:marRight w:val="0"/>
      <w:marTop w:val="0"/>
      <w:marBottom w:val="0"/>
      <w:divBdr>
        <w:top w:val="none" w:sz="0" w:space="0" w:color="auto"/>
        <w:left w:val="none" w:sz="0" w:space="0" w:color="auto"/>
        <w:bottom w:val="none" w:sz="0" w:space="0" w:color="auto"/>
        <w:right w:val="none" w:sz="0" w:space="0" w:color="auto"/>
      </w:divBdr>
    </w:div>
    <w:div w:id="1409691330">
      <w:bodyDiv w:val="1"/>
      <w:marLeft w:val="0"/>
      <w:marRight w:val="0"/>
      <w:marTop w:val="0"/>
      <w:marBottom w:val="0"/>
      <w:divBdr>
        <w:top w:val="none" w:sz="0" w:space="0" w:color="auto"/>
        <w:left w:val="none" w:sz="0" w:space="0" w:color="auto"/>
        <w:bottom w:val="none" w:sz="0" w:space="0" w:color="auto"/>
        <w:right w:val="none" w:sz="0" w:space="0" w:color="auto"/>
      </w:divBdr>
    </w:div>
    <w:div w:id="1410496689">
      <w:bodyDiv w:val="1"/>
      <w:marLeft w:val="0"/>
      <w:marRight w:val="0"/>
      <w:marTop w:val="0"/>
      <w:marBottom w:val="0"/>
      <w:divBdr>
        <w:top w:val="none" w:sz="0" w:space="0" w:color="auto"/>
        <w:left w:val="none" w:sz="0" w:space="0" w:color="auto"/>
        <w:bottom w:val="none" w:sz="0" w:space="0" w:color="auto"/>
        <w:right w:val="none" w:sz="0" w:space="0" w:color="auto"/>
      </w:divBdr>
    </w:div>
    <w:div w:id="1410496793">
      <w:bodyDiv w:val="1"/>
      <w:marLeft w:val="0"/>
      <w:marRight w:val="0"/>
      <w:marTop w:val="0"/>
      <w:marBottom w:val="0"/>
      <w:divBdr>
        <w:top w:val="none" w:sz="0" w:space="0" w:color="auto"/>
        <w:left w:val="none" w:sz="0" w:space="0" w:color="auto"/>
        <w:bottom w:val="none" w:sz="0" w:space="0" w:color="auto"/>
        <w:right w:val="none" w:sz="0" w:space="0" w:color="auto"/>
      </w:divBdr>
    </w:div>
    <w:div w:id="1410731262">
      <w:bodyDiv w:val="1"/>
      <w:marLeft w:val="0"/>
      <w:marRight w:val="0"/>
      <w:marTop w:val="0"/>
      <w:marBottom w:val="0"/>
      <w:divBdr>
        <w:top w:val="none" w:sz="0" w:space="0" w:color="auto"/>
        <w:left w:val="none" w:sz="0" w:space="0" w:color="auto"/>
        <w:bottom w:val="none" w:sz="0" w:space="0" w:color="auto"/>
        <w:right w:val="none" w:sz="0" w:space="0" w:color="auto"/>
      </w:divBdr>
    </w:div>
    <w:div w:id="1410881223">
      <w:bodyDiv w:val="1"/>
      <w:marLeft w:val="0"/>
      <w:marRight w:val="0"/>
      <w:marTop w:val="0"/>
      <w:marBottom w:val="0"/>
      <w:divBdr>
        <w:top w:val="none" w:sz="0" w:space="0" w:color="auto"/>
        <w:left w:val="none" w:sz="0" w:space="0" w:color="auto"/>
        <w:bottom w:val="none" w:sz="0" w:space="0" w:color="auto"/>
        <w:right w:val="none" w:sz="0" w:space="0" w:color="auto"/>
      </w:divBdr>
    </w:div>
    <w:div w:id="1411543863">
      <w:bodyDiv w:val="1"/>
      <w:marLeft w:val="0"/>
      <w:marRight w:val="0"/>
      <w:marTop w:val="0"/>
      <w:marBottom w:val="0"/>
      <w:divBdr>
        <w:top w:val="none" w:sz="0" w:space="0" w:color="auto"/>
        <w:left w:val="none" w:sz="0" w:space="0" w:color="auto"/>
        <w:bottom w:val="none" w:sz="0" w:space="0" w:color="auto"/>
        <w:right w:val="none" w:sz="0" w:space="0" w:color="auto"/>
      </w:divBdr>
    </w:div>
    <w:div w:id="1412699508">
      <w:bodyDiv w:val="1"/>
      <w:marLeft w:val="0"/>
      <w:marRight w:val="0"/>
      <w:marTop w:val="0"/>
      <w:marBottom w:val="0"/>
      <w:divBdr>
        <w:top w:val="none" w:sz="0" w:space="0" w:color="auto"/>
        <w:left w:val="none" w:sz="0" w:space="0" w:color="auto"/>
        <w:bottom w:val="none" w:sz="0" w:space="0" w:color="auto"/>
        <w:right w:val="none" w:sz="0" w:space="0" w:color="auto"/>
      </w:divBdr>
    </w:div>
    <w:div w:id="1413314109">
      <w:bodyDiv w:val="1"/>
      <w:marLeft w:val="0"/>
      <w:marRight w:val="0"/>
      <w:marTop w:val="0"/>
      <w:marBottom w:val="0"/>
      <w:divBdr>
        <w:top w:val="none" w:sz="0" w:space="0" w:color="auto"/>
        <w:left w:val="none" w:sz="0" w:space="0" w:color="auto"/>
        <w:bottom w:val="none" w:sz="0" w:space="0" w:color="auto"/>
        <w:right w:val="none" w:sz="0" w:space="0" w:color="auto"/>
      </w:divBdr>
    </w:div>
    <w:div w:id="1415129906">
      <w:bodyDiv w:val="1"/>
      <w:marLeft w:val="0"/>
      <w:marRight w:val="0"/>
      <w:marTop w:val="0"/>
      <w:marBottom w:val="0"/>
      <w:divBdr>
        <w:top w:val="none" w:sz="0" w:space="0" w:color="auto"/>
        <w:left w:val="none" w:sz="0" w:space="0" w:color="auto"/>
        <w:bottom w:val="none" w:sz="0" w:space="0" w:color="auto"/>
        <w:right w:val="none" w:sz="0" w:space="0" w:color="auto"/>
      </w:divBdr>
    </w:div>
    <w:div w:id="1415318169">
      <w:bodyDiv w:val="1"/>
      <w:marLeft w:val="0"/>
      <w:marRight w:val="0"/>
      <w:marTop w:val="0"/>
      <w:marBottom w:val="0"/>
      <w:divBdr>
        <w:top w:val="none" w:sz="0" w:space="0" w:color="auto"/>
        <w:left w:val="none" w:sz="0" w:space="0" w:color="auto"/>
        <w:bottom w:val="none" w:sz="0" w:space="0" w:color="auto"/>
        <w:right w:val="none" w:sz="0" w:space="0" w:color="auto"/>
      </w:divBdr>
    </w:div>
    <w:div w:id="1415396747">
      <w:bodyDiv w:val="1"/>
      <w:marLeft w:val="0"/>
      <w:marRight w:val="0"/>
      <w:marTop w:val="0"/>
      <w:marBottom w:val="0"/>
      <w:divBdr>
        <w:top w:val="none" w:sz="0" w:space="0" w:color="auto"/>
        <w:left w:val="none" w:sz="0" w:space="0" w:color="auto"/>
        <w:bottom w:val="none" w:sz="0" w:space="0" w:color="auto"/>
        <w:right w:val="none" w:sz="0" w:space="0" w:color="auto"/>
      </w:divBdr>
    </w:div>
    <w:div w:id="1415588861">
      <w:bodyDiv w:val="1"/>
      <w:marLeft w:val="0"/>
      <w:marRight w:val="0"/>
      <w:marTop w:val="0"/>
      <w:marBottom w:val="0"/>
      <w:divBdr>
        <w:top w:val="none" w:sz="0" w:space="0" w:color="auto"/>
        <w:left w:val="none" w:sz="0" w:space="0" w:color="auto"/>
        <w:bottom w:val="none" w:sz="0" w:space="0" w:color="auto"/>
        <w:right w:val="none" w:sz="0" w:space="0" w:color="auto"/>
      </w:divBdr>
    </w:div>
    <w:div w:id="1416049535">
      <w:bodyDiv w:val="1"/>
      <w:marLeft w:val="0"/>
      <w:marRight w:val="0"/>
      <w:marTop w:val="0"/>
      <w:marBottom w:val="0"/>
      <w:divBdr>
        <w:top w:val="none" w:sz="0" w:space="0" w:color="auto"/>
        <w:left w:val="none" w:sz="0" w:space="0" w:color="auto"/>
        <w:bottom w:val="none" w:sz="0" w:space="0" w:color="auto"/>
        <w:right w:val="none" w:sz="0" w:space="0" w:color="auto"/>
      </w:divBdr>
    </w:div>
    <w:div w:id="1416124961">
      <w:bodyDiv w:val="1"/>
      <w:marLeft w:val="0"/>
      <w:marRight w:val="0"/>
      <w:marTop w:val="0"/>
      <w:marBottom w:val="0"/>
      <w:divBdr>
        <w:top w:val="none" w:sz="0" w:space="0" w:color="auto"/>
        <w:left w:val="none" w:sz="0" w:space="0" w:color="auto"/>
        <w:bottom w:val="none" w:sz="0" w:space="0" w:color="auto"/>
        <w:right w:val="none" w:sz="0" w:space="0" w:color="auto"/>
      </w:divBdr>
    </w:div>
    <w:div w:id="1417940981">
      <w:bodyDiv w:val="1"/>
      <w:marLeft w:val="0"/>
      <w:marRight w:val="0"/>
      <w:marTop w:val="0"/>
      <w:marBottom w:val="0"/>
      <w:divBdr>
        <w:top w:val="none" w:sz="0" w:space="0" w:color="auto"/>
        <w:left w:val="none" w:sz="0" w:space="0" w:color="auto"/>
        <w:bottom w:val="none" w:sz="0" w:space="0" w:color="auto"/>
        <w:right w:val="none" w:sz="0" w:space="0" w:color="auto"/>
      </w:divBdr>
    </w:div>
    <w:div w:id="1418136756">
      <w:bodyDiv w:val="1"/>
      <w:marLeft w:val="0"/>
      <w:marRight w:val="0"/>
      <w:marTop w:val="0"/>
      <w:marBottom w:val="0"/>
      <w:divBdr>
        <w:top w:val="none" w:sz="0" w:space="0" w:color="auto"/>
        <w:left w:val="none" w:sz="0" w:space="0" w:color="auto"/>
        <w:bottom w:val="none" w:sz="0" w:space="0" w:color="auto"/>
        <w:right w:val="none" w:sz="0" w:space="0" w:color="auto"/>
      </w:divBdr>
    </w:div>
    <w:div w:id="1418476321">
      <w:bodyDiv w:val="1"/>
      <w:marLeft w:val="0"/>
      <w:marRight w:val="0"/>
      <w:marTop w:val="0"/>
      <w:marBottom w:val="0"/>
      <w:divBdr>
        <w:top w:val="none" w:sz="0" w:space="0" w:color="auto"/>
        <w:left w:val="none" w:sz="0" w:space="0" w:color="auto"/>
        <w:bottom w:val="none" w:sz="0" w:space="0" w:color="auto"/>
        <w:right w:val="none" w:sz="0" w:space="0" w:color="auto"/>
      </w:divBdr>
    </w:div>
    <w:div w:id="1419710377">
      <w:bodyDiv w:val="1"/>
      <w:marLeft w:val="0"/>
      <w:marRight w:val="0"/>
      <w:marTop w:val="0"/>
      <w:marBottom w:val="0"/>
      <w:divBdr>
        <w:top w:val="none" w:sz="0" w:space="0" w:color="auto"/>
        <w:left w:val="none" w:sz="0" w:space="0" w:color="auto"/>
        <w:bottom w:val="none" w:sz="0" w:space="0" w:color="auto"/>
        <w:right w:val="none" w:sz="0" w:space="0" w:color="auto"/>
      </w:divBdr>
    </w:div>
    <w:div w:id="1419903998">
      <w:bodyDiv w:val="1"/>
      <w:marLeft w:val="0"/>
      <w:marRight w:val="0"/>
      <w:marTop w:val="0"/>
      <w:marBottom w:val="0"/>
      <w:divBdr>
        <w:top w:val="none" w:sz="0" w:space="0" w:color="auto"/>
        <w:left w:val="none" w:sz="0" w:space="0" w:color="auto"/>
        <w:bottom w:val="none" w:sz="0" w:space="0" w:color="auto"/>
        <w:right w:val="none" w:sz="0" w:space="0" w:color="auto"/>
      </w:divBdr>
    </w:div>
    <w:div w:id="1419904650">
      <w:bodyDiv w:val="1"/>
      <w:marLeft w:val="0"/>
      <w:marRight w:val="0"/>
      <w:marTop w:val="0"/>
      <w:marBottom w:val="0"/>
      <w:divBdr>
        <w:top w:val="none" w:sz="0" w:space="0" w:color="auto"/>
        <w:left w:val="none" w:sz="0" w:space="0" w:color="auto"/>
        <w:bottom w:val="none" w:sz="0" w:space="0" w:color="auto"/>
        <w:right w:val="none" w:sz="0" w:space="0" w:color="auto"/>
      </w:divBdr>
    </w:div>
    <w:div w:id="1420784573">
      <w:bodyDiv w:val="1"/>
      <w:marLeft w:val="0"/>
      <w:marRight w:val="0"/>
      <w:marTop w:val="0"/>
      <w:marBottom w:val="0"/>
      <w:divBdr>
        <w:top w:val="none" w:sz="0" w:space="0" w:color="auto"/>
        <w:left w:val="none" w:sz="0" w:space="0" w:color="auto"/>
        <w:bottom w:val="none" w:sz="0" w:space="0" w:color="auto"/>
        <w:right w:val="none" w:sz="0" w:space="0" w:color="auto"/>
      </w:divBdr>
    </w:div>
    <w:div w:id="1421876156">
      <w:bodyDiv w:val="1"/>
      <w:marLeft w:val="0"/>
      <w:marRight w:val="0"/>
      <w:marTop w:val="0"/>
      <w:marBottom w:val="0"/>
      <w:divBdr>
        <w:top w:val="none" w:sz="0" w:space="0" w:color="auto"/>
        <w:left w:val="none" w:sz="0" w:space="0" w:color="auto"/>
        <w:bottom w:val="none" w:sz="0" w:space="0" w:color="auto"/>
        <w:right w:val="none" w:sz="0" w:space="0" w:color="auto"/>
      </w:divBdr>
    </w:div>
    <w:div w:id="1422095874">
      <w:bodyDiv w:val="1"/>
      <w:marLeft w:val="0"/>
      <w:marRight w:val="0"/>
      <w:marTop w:val="0"/>
      <w:marBottom w:val="0"/>
      <w:divBdr>
        <w:top w:val="none" w:sz="0" w:space="0" w:color="auto"/>
        <w:left w:val="none" w:sz="0" w:space="0" w:color="auto"/>
        <w:bottom w:val="none" w:sz="0" w:space="0" w:color="auto"/>
        <w:right w:val="none" w:sz="0" w:space="0" w:color="auto"/>
      </w:divBdr>
    </w:div>
    <w:div w:id="1422602422">
      <w:bodyDiv w:val="1"/>
      <w:marLeft w:val="0"/>
      <w:marRight w:val="0"/>
      <w:marTop w:val="0"/>
      <w:marBottom w:val="0"/>
      <w:divBdr>
        <w:top w:val="none" w:sz="0" w:space="0" w:color="auto"/>
        <w:left w:val="none" w:sz="0" w:space="0" w:color="auto"/>
        <w:bottom w:val="none" w:sz="0" w:space="0" w:color="auto"/>
        <w:right w:val="none" w:sz="0" w:space="0" w:color="auto"/>
      </w:divBdr>
    </w:div>
    <w:div w:id="1424716221">
      <w:bodyDiv w:val="1"/>
      <w:marLeft w:val="0"/>
      <w:marRight w:val="0"/>
      <w:marTop w:val="0"/>
      <w:marBottom w:val="0"/>
      <w:divBdr>
        <w:top w:val="none" w:sz="0" w:space="0" w:color="auto"/>
        <w:left w:val="none" w:sz="0" w:space="0" w:color="auto"/>
        <w:bottom w:val="none" w:sz="0" w:space="0" w:color="auto"/>
        <w:right w:val="none" w:sz="0" w:space="0" w:color="auto"/>
      </w:divBdr>
    </w:div>
    <w:div w:id="1425102870">
      <w:bodyDiv w:val="1"/>
      <w:marLeft w:val="0"/>
      <w:marRight w:val="0"/>
      <w:marTop w:val="0"/>
      <w:marBottom w:val="0"/>
      <w:divBdr>
        <w:top w:val="none" w:sz="0" w:space="0" w:color="auto"/>
        <w:left w:val="none" w:sz="0" w:space="0" w:color="auto"/>
        <w:bottom w:val="none" w:sz="0" w:space="0" w:color="auto"/>
        <w:right w:val="none" w:sz="0" w:space="0" w:color="auto"/>
      </w:divBdr>
    </w:div>
    <w:div w:id="1425106200">
      <w:bodyDiv w:val="1"/>
      <w:marLeft w:val="0"/>
      <w:marRight w:val="0"/>
      <w:marTop w:val="0"/>
      <w:marBottom w:val="0"/>
      <w:divBdr>
        <w:top w:val="none" w:sz="0" w:space="0" w:color="auto"/>
        <w:left w:val="none" w:sz="0" w:space="0" w:color="auto"/>
        <w:bottom w:val="none" w:sz="0" w:space="0" w:color="auto"/>
        <w:right w:val="none" w:sz="0" w:space="0" w:color="auto"/>
      </w:divBdr>
    </w:div>
    <w:div w:id="1425147076">
      <w:bodyDiv w:val="1"/>
      <w:marLeft w:val="0"/>
      <w:marRight w:val="0"/>
      <w:marTop w:val="0"/>
      <w:marBottom w:val="0"/>
      <w:divBdr>
        <w:top w:val="none" w:sz="0" w:space="0" w:color="auto"/>
        <w:left w:val="none" w:sz="0" w:space="0" w:color="auto"/>
        <w:bottom w:val="none" w:sz="0" w:space="0" w:color="auto"/>
        <w:right w:val="none" w:sz="0" w:space="0" w:color="auto"/>
      </w:divBdr>
    </w:div>
    <w:div w:id="1425223071">
      <w:bodyDiv w:val="1"/>
      <w:marLeft w:val="0"/>
      <w:marRight w:val="0"/>
      <w:marTop w:val="0"/>
      <w:marBottom w:val="0"/>
      <w:divBdr>
        <w:top w:val="none" w:sz="0" w:space="0" w:color="auto"/>
        <w:left w:val="none" w:sz="0" w:space="0" w:color="auto"/>
        <w:bottom w:val="none" w:sz="0" w:space="0" w:color="auto"/>
        <w:right w:val="none" w:sz="0" w:space="0" w:color="auto"/>
      </w:divBdr>
    </w:div>
    <w:div w:id="1426224164">
      <w:bodyDiv w:val="1"/>
      <w:marLeft w:val="0"/>
      <w:marRight w:val="0"/>
      <w:marTop w:val="0"/>
      <w:marBottom w:val="0"/>
      <w:divBdr>
        <w:top w:val="none" w:sz="0" w:space="0" w:color="auto"/>
        <w:left w:val="none" w:sz="0" w:space="0" w:color="auto"/>
        <w:bottom w:val="none" w:sz="0" w:space="0" w:color="auto"/>
        <w:right w:val="none" w:sz="0" w:space="0" w:color="auto"/>
      </w:divBdr>
    </w:div>
    <w:div w:id="1426851685">
      <w:bodyDiv w:val="1"/>
      <w:marLeft w:val="0"/>
      <w:marRight w:val="0"/>
      <w:marTop w:val="0"/>
      <w:marBottom w:val="0"/>
      <w:divBdr>
        <w:top w:val="none" w:sz="0" w:space="0" w:color="auto"/>
        <w:left w:val="none" w:sz="0" w:space="0" w:color="auto"/>
        <w:bottom w:val="none" w:sz="0" w:space="0" w:color="auto"/>
        <w:right w:val="none" w:sz="0" w:space="0" w:color="auto"/>
      </w:divBdr>
    </w:div>
    <w:div w:id="1427068778">
      <w:bodyDiv w:val="1"/>
      <w:marLeft w:val="0"/>
      <w:marRight w:val="0"/>
      <w:marTop w:val="0"/>
      <w:marBottom w:val="0"/>
      <w:divBdr>
        <w:top w:val="none" w:sz="0" w:space="0" w:color="auto"/>
        <w:left w:val="none" w:sz="0" w:space="0" w:color="auto"/>
        <w:bottom w:val="none" w:sz="0" w:space="0" w:color="auto"/>
        <w:right w:val="none" w:sz="0" w:space="0" w:color="auto"/>
      </w:divBdr>
    </w:div>
    <w:div w:id="1427189484">
      <w:bodyDiv w:val="1"/>
      <w:marLeft w:val="0"/>
      <w:marRight w:val="0"/>
      <w:marTop w:val="0"/>
      <w:marBottom w:val="0"/>
      <w:divBdr>
        <w:top w:val="none" w:sz="0" w:space="0" w:color="auto"/>
        <w:left w:val="none" w:sz="0" w:space="0" w:color="auto"/>
        <w:bottom w:val="none" w:sz="0" w:space="0" w:color="auto"/>
        <w:right w:val="none" w:sz="0" w:space="0" w:color="auto"/>
      </w:divBdr>
    </w:div>
    <w:div w:id="1427382340">
      <w:bodyDiv w:val="1"/>
      <w:marLeft w:val="0"/>
      <w:marRight w:val="0"/>
      <w:marTop w:val="0"/>
      <w:marBottom w:val="0"/>
      <w:divBdr>
        <w:top w:val="none" w:sz="0" w:space="0" w:color="auto"/>
        <w:left w:val="none" w:sz="0" w:space="0" w:color="auto"/>
        <w:bottom w:val="none" w:sz="0" w:space="0" w:color="auto"/>
        <w:right w:val="none" w:sz="0" w:space="0" w:color="auto"/>
      </w:divBdr>
    </w:div>
    <w:div w:id="1427767953">
      <w:bodyDiv w:val="1"/>
      <w:marLeft w:val="0"/>
      <w:marRight w:val="0"/>
      <w:marTop w:val="0"/>
      <w:marBottom w:val="0"/>
      <w:divBdr>
        <w:top w:val="none" w:sz="0" w:space="0" w:color="auto"/>
        <w:left w:val="none" w:sz="0" w:space="0" w:color="auto"/>
        <w:bottom w:val="none" w:sz="0" w:space="0" w:color="auto"/>
        <w:right w:val="none" w:sz="0" w:space="0" w:color="auto"/>
      </w:divBdr>
    </w:div>
    <w:div w:id="1428774359">
      <w:bodyDiv w:val="1"/>
      <w:marLeft w:val="0"/>
      <w:marRight w:val="0"/>
      <w:marTop w:val="0"/>
      <w:marBottom w:val="0"/>
      <w:divBdr>
        <w:top w:val="none" w:sz="0" w:space="0" w:color="auto"/>
        <w:left w:val="none" w:sz="0" w:space="0" w:color="auto"/>
        <w:bottom w:val="none" w:sz="0" w:space="0" w:color="auto"/>
        <w:right w:val="none" w:sz="0" w:space="0" w:color="auto"/>
      </w:divBdr>
    </w:div>
    <w:div w:id="1429544112">
      <w:bodyDiv w:val="1"/>
      <w:marLeft w:val="0"/>
      <w:marRight w:val="0"/>
      <w:marTop w:val="0"/>
      <w:marBottom w:val="0"/>
      <w:divBdr>
        <w:top w:val="none" w:sz="0" w:space="0" w:color="auto"/>
        <w:left w:val="none" w:sz="0" w:space="0" w:color="auto"/>
        <w:bottom w:val="none" w:sz="0" w:space="0" w:color="auto"/>
        <w:right w:val="none" w:sz="0" w:space="0" w:color="auto"/>
      </w:divBdr>
    </w:div>
    <w:div w:id="1430271144">
      <w:bodyDiv w:val="1"/>
      <w:marLeft w:val="0"/>
      <w:marRight w:val="0"/>
      <w:marTop w:val="0"/>
      <w:marBottom w:val="0"/>
      <w:divBdr>
        <w:top w:val="none" w:sz="0" w:space="0" w:color="auto"/>
        <w:left w:val="none" w:sz="0" w:space="0" w:color="auto"/>
        <w:bottom w:val="none" w:sz="0" w:space="0" w:color="auto"/>
        <w:right w:val="none" w:sz="0" w:space="0" w:color="auto"/>
      </w:divBdr>
    </w:div>
    <w:div w:id="1430275972">
      <w:bodyDiv w:val="1"/>
      <w:marLeft w:val="0"/>
      <w:marRight w:val="0"/>
      <w:marTop w:val="0"/>
      <w:marBottom w:val="0"/>
      <w:divBdr>
        <w:top w:val="none" w:sz="0" w:space="0" w:color="auto"/>
        <w:left w:val="none" w:sz="0" w:space="0" w:color="auto"/>
        <w:bottom w:val="none" w:sz="0" w:space="0" w:color="auto"/>
        <w:right w:val="none" w:sz="0" w:space="0" w:color="auto"/>
      </w:divBdr>
    </w:div>
    <w:div w:id="1430276409">
      <w:bodyDiv w:val="1"/>
      <w:marLeft w:val="0"/>
      <w:marRight w:val="0"/>
      <w:marTop w:val="0"/>
      <w:marBottom w:val="0"/>
      <w:divBdr>
        <w:top w:val="none" w:sz="0" w:space="0" w:color="auto"/>
        <w:left w:val="none" w:sz="0" w:space="0" w:color="auto"/>
        <w:bottom w:val="none" w:sz="0" w:space="0" w:color="auto"/>
        <w:right w:val="none" w:sz="0" w:space="0" w:color="auto"/>
      </w:divBdr>
    </w:div>
    <w:div w:id="1430277956">
      <w:bodyDiv w:val="1"/>
      <w:marLeft w:val="0"/>
      <w:marRight w:val="0"/>
      <w:marTop w:val="0"/>
      <w:marBottom w:val="0"/>
      <w:divBdr>
        <w:top w:val="none" w:sz="0" w:space="0" w:color="auto"/>
        <w:left w:val="none" w:sz="0" w:space="0" w:color="auto"/>
        <w:bottom w:val="none" w:sz="0" w:space="0" w:color="auto"/>
        <w:right w:val="none" w:sz="0" w:space="0" w:color="auto"/>
      </w:divBdr>
    </w:div>
    <w:div w:id="1430392217">
      <w:bodyDiv w:val="1"/>
      <w:marLeft w:val="0"/>
      <w:marRight w:val="0"/>
      <w:marTop w:val="0"/>
      <w:marBottom w:val="0"/>
      <w:divBdr>
        <w:top w:val="none" w:sz="0" w:space="0" w:color="auto"/>
        <w:left w:val="none" w:sz="0" w:space="0" w:color="auto"/>
        <w:bottom w:val="none" w:sz="0" w:space="0" w:color="auto"/>
        <w:right w:val="none" w:sz="0" w:space="0" w:color="auto"/>
      </w:divBdr>
    </w:div>
    <w:div w:id="1430464513">
      <w:bodyDiv w:val="1"/>
      <w:marLeft w:val="0"/>
      <w:marRight w:val="0"/>
      <w:marTop w:val="0"/>
      <w:marBottom w:val="0"/>
      <w:divBdr>
        <w:top w:val="none" w:sz="0" w:space="0" w:color="auto"/>
        <w:left w:val="none" w:sz="0" w:space="0" w:color="auto"/>
        <w:bottom w:val="none" w:sz="0" w:space="0" w:color="auto"/>
        <w:right w:val="none" w:sz="0" w:space="0" w:color="auto"/>
      </w:divBdr>
    </w:div>
    <w:div w:id="1430471431">
      <w:bodyDiv w:val="1"/>
      <w:marLeft w:val="0"/>
      <w:marRight w:val="0"/>
      <w:marTop w:val="0"/>
      <w:marBottom w:val="0"/>
      <w:divBdr>
        <w:top w:val="none" w:sz="0" w:space="0" w:color="auto"/>
        <w:left w:val="none" w:sz="0" w:space="0" w:color="auto"/>
        <w:bottom w:val="none" w:sz="0" w:space="0" w:color="auto"/>
        <w:right w:val="none" w:sz="0" w:space="0" w:color="auto"/>
      </w:divBdr>
    </w:div>
    <w:div w:id="1431273413">
      <w:bodyDiv w:val="1"/>
      <w:marLeft w:val="0"/>
      <w:marRight w:val="0"/>
      <w:marTop w:val="0"/>
      <w:marBottom w:val="0"/>
      <w:divBdr>
        <w:top w:val="none" w:sz="0" w:space="0" w:color="auto"/>
        <w:left w:val="none" w:sz="0" w:space="0" w:color="auto"/>
        <w:bottom w:val="none" w:sz="0" w:space="0" w:color="auto"/>
        <w:right w:val="none" w:sz="0" w:space="0" w:color="auto"/>
      </w:divBdr>
    </w:div>
    <w:div w:id="1431899209">
      <w:bodyDiv w:val="1"/>
      <w:marLeft w:val="0"/>
      <w:marRight w:val="0"/>
      <w:marTop w:val="0"/>
      <w:marBottom w:val="0"/>
      <w:divBdr>
        <w:top w:val="none" w:sz="0" w:space="0" w:color="auto"/>
        <w:left w:val="none" w:sz="0" w:space="0" w:color="auto"/>
        <w:bottom w:val="none" w:sz="0" w:space="0" w:color="auto"/>
        <w:right w:val="none" w:sz="0" w:space="0" w:color="auto"/>
      </w:divBdr>
    </w:div>
    <w:div w:id="1432510014">
      <w:bodyDiv w:val="1"/>
      <w:marLeft w:val="0"/>
      <w:marRight w:val="0"/>
      <w:marTop w:val="0"/>
      <w:marBottom w:val="0"/>
      <w:divBdr>
        <w:top w:val="none" w:sz="0" w:space="0" w:color="auto"/>
        <w:left w:val="none" w:sz="0" w:space="0" w:color="auto"/>
        <w:bottom w:val="none" w:sz="0" w:space="0" w:color="auto"/>
        <w:right w:val="none" w:sz="0" w:space="0" w:color="auto"/>
      </w:divBdr>
    </w:div>
    <w:div w:id="1432969589">
      <w:bodyDiv w:val="1"/>
      <w:marLeft w:val="0"/>
      <w:marRight w:val="0"/>
      <w:marTop w:val="0"/>
      <w:marBottom w:val="0"/>
      <w:divBdr>
        <w:top w:val="none" w:sz="0" w:space="0" w:color="auto"/>
        <w:left w:val="none" w:sz="0" w:space="0" w:color="auto"/>
        <w:bottom w:val="none" w:sz="0" w:space="0" w:color="auto"/>
        <w:right w:val="none" w:sz="0" w:space="0" w:color="auto"/>
      </w:divBdr>
    </w:div>
    <w:div w:id="1434520004">
      <w:bodyDiv w:val="1"/>
      <w:marLeft w:val="0"/>
      <w:marRight w:val="0"/>
      <w:marTop w:val="0"/>
      <w:marBottom w:val="0"/>
      <w:divBdr>
        <w:top w:val="none" w:sz="0" w:space="0" w:color="auto"/>
        <w:left w:val="none" w:sz="0" w:space="0" w:color="auto"/>
        <w:bottom w:val="none" w:sz="0" w:space="0" w:color="auto"/>
        <w:right w:val="none" w:sz="0" w:space="0" w:color="auto"/>
      </w:divBdr>
    </w:div>
    <w:div w:id="1436245081">
      <w:bodyDiv w:val="1"/>
      <w:marLeft w:val="0"/>
      <w:marRight w:val="0"/>
      <w:marTop w:val="0"/>
      <w:marBottom w:val="0"/>
      <w:divBdr>
        <w:top w:val="none" w:sz="0" w:space="0" w:color="auto"/>
        <w:left w:val="none" w:sz="0" w:space="0" w:color="auto"/>
        <w:bottom w:val="none" w:sz="0" w:space="0" w:color="auto"/>
        <w:right w:val="none" w:sz="0" w:space="0" w:color="auto"/>
      </w:divBdr>
    </w:div>
    <w:div w:id="1436949186">
      <w:bodyDiv w:val="1"/>
      <w:marLeft w:val="0"/>
      <w:marRight w:val="0"/>
      <w:marTop w:val="0"/>
      <w:marBottom w:val="0"/>
      <w:divBdr>
        <w:top w:val="none" w:sz="0" w:space="0" w:color="auto"/>
        <w:left w:val="none" w:sz="0" w:space="0" w:color="auto"/>
        <w:bottom w:val="none" w:sz="0" w:space="0" w:color="auto"/>
        <w:right w:val="none" w:sz="0" w:space="0" w:color="auto"/>
      </w:divBdr>
    </w:div>
    <w:div w:id="1437359357">
      <w:bodyDiv w:val="1"/>
      <w:marLeft w:val="0"/>
      <w:marRight w:val="0"/>
      <w:marTop w:val="0"/>
      <w:marBottom w:val="0"/>
      <w:divBdr>
        <w:top w:val="none" w:sz="0" w:space="0" w:color="auto"/>
        <w:left w:val="none" w:sz="0" w:space="0" w:color="auto"/>
        <w:bottom w:val="none" w:sz="0" w:space="0" w:color="auto"/>
        <w:right w:val="none" w:sz="0" w:space="0" w:color="auto"/>
      </w:divBdr>
    </w:div>
    <w:div w:id="1438409845">
      <w:bodyDiv w:val="1"/>
      <w:marLeft w:val="0"/>
      <w:marRight w:val="0"/>
      <w:marTop w:val="0"/>
      <w:marBottom w:val="0"/>
      <w:divBdr>
        <w:top w:val="none" w:sz="0" w:space="0" w:color="auto"/>
        <w:left w:val="none" w:sz="0" w:space="0" w:color="auto"/>
        <w:bottom w:val="none" w:sz="0" w:space="0" w:color="auto"/>
        <w:right w:val="none" w:sz="0" w:space="0" w:color="auto"/>
      </w:divBdr>
    </w:div>
    <w:div w:id="1438676447">
      <w:bodyDiv w:val="1"/>
      <w:marLeft w:val="0"/>
      <w:marRight w:val="0"/>
      <w:marTop w:val="0"/>
      <w:marBottom w:val="0"/>
      <w:divBdr>
        <w:top w:val="none" w:sz="0" w:space="0" w:color="auto"/>
        <w:left w:val="none" w:sz="0" w:space="0" w:color="auto"/>
        <w:bottom w:val="none" w:sz="0" w:space="0" w:color="auto"/>
        <w:right w:val="none" w:sz="0" w:space="0" w:color="auto"/>
      </w:divBdr>
    </w:div>
    <w:div w:id="1439106285">
      <w:bodyDiv w:val="1"/>
      <w:marLeft w:val="0"/>
      <w:marRight w:val="0"/>
      <w:marTop w:val="0"/>
      <w:marBottom w:val="0"/>
      <w:divBdr>
        <w:top w:val="none" w:sz="0" w:space="0" w:color="auto"/>
        <w:left w:val="none" w:sz="0" w:space="0" w:color="auto"/>
        <w:bottom w:val="none" w:sz="0" w:space="0" w:color="auto"/>
        <w:right w:val="none" w:sz="0" w:space="0" w:color="auto"/>
      </w:divBdr>
    </w:div>
    <w:div w:id="1439711605">
      <w:bodyDiv w:val="1"/>
      <w:marLeft w:val="0"/>
      <w:marRight w:val="0"/>
      <w:marTop w:val="0"/>
      <w:marBottom w:val="0"/>
      <w:divBdr>
        <w:top w:val="none" w:sz="0" w:space="0" w:color="auto"/>
        <w:left w:val="none" w:sz="0" w:space="0" w:color="auto"/>
        <w:bottom w:val="none" w:sz="0" w:space="0" w:color="auto"/>
        <w:right w:val="none" w:sz="0" w:space="0" w:color="auto"/>
      </w:divBdr>
    </w:div>
    <w:div w:id="1440563471">
      <w:bodyDiv w:val="1"/>
      <w:marLeft w:val="0"/>
      <w:marRight w:val="0"/>
      <w:marTop w:val="0"/>
      <w:marBottom w:val="0"/>
      <w:divBdr>
        <w:top w:val="none" w:sz="0" w:space="0" w:color="auto"/>
        <w:left w:val="none" w:sz="0" w:space="0" w:color="auto"/>
        <w:bottom w:val="none" w:sz="0" w:space="0" w:color="auto"/>
        <w:right w:val="none" w:sz="0" w:space="0" w:color="auto"/>
      </w:divBdr>
    </w:div>
    <w:div w:id="1440612438">
      <w:bodyDiv w:val="1"/>
      <w:marLeft w:val="0"/>
      <w:marRight w:val="0"/>
      <w:marTop w:val="0"/>
      <w:marBottom w:val="0"/>
      <w:divBdr>
        <w:top w:val="none" w:sz="0" w:space="0" w:color="auto"/>
        <w:left w:val="none" w:sz="0" w:space="0" w:color="auto"/>
        <w:bottom w:val="none" w:sz="0" w:space="0" w:color="auto"/>
        <w:right w:val="none" w:sz="0" w:space="0" w:color="auto"/>
      </w:divBdr>
    </w:div>
    <w:div w:id="1440684246">
      <w:bodyDiv w:val="1"/>
      <w:marLeft w:val="0"/>
      <w:marRight w:val="0"/>
      <w:marTop w:val="0"/>
      <w:marBottom w:val="0"/>
      <w:divBdr>
        <w:top w:val="none" w:sz="0" w:space="0" w:color="auto"/>
        <w:left w:val="none" w:sz="0" w:space="0" w:color="auto"/>
        <w:bottom w:val="none" w:sz="0" w:space="0" w:color="auto"/>
        <w:right w:val="none" w:sz="0" w:space="0" w:color="auto"/>
      </w:divBdr>
    </w:div>
    <w:div w:id="1440955302">
      <w:bodyDiv w:val="1"/>
      <w:marLeft w:val="0"/>
      <w:marRight w:val="0"/>
      <w:marTop w:val="0"/>
      <w:marBottom w:val="0"/>
      <w:divBdr>
        <w:top w:val="none" w:sz="0" w:space="0" w:color="auto"/>
        <w:left w:val="none" w:sz="0" w:space="0" w:color="auto"/>
        <w:bottom w:val="none" w:sz="0" w:space="0" w:color="auto"/>
        <w:right w:val="none" w:sz="0" w:space="0" w:color="auto"/>
      </w:divBdr>
    </w:div>
    <w:div w:id="1441415338">
      <w:bodyDiv w:val="1"/>
      <w:marLeft w:val="0"/>
      <w:marRight w:val="0"/>
      <w:marTop w:val="0"/>
      <w:marBottom w:val="0"/>
      <w:divBdr>
        <w:top w:val="none" w:sz="0" w:space="0" w:color="auto"/>
        <w:left w:val="none" w:sz="0" w:space="0" w:color="auto"/>
        <w:bottom w:val="none" w:sz="0" w:space="0" w:color="auto"/>
        <w:right w:val="none" w:sz="0" w:space="0" w:color="auto"/>
      </w:divBdr>
    </w:div>
    <w:div w:id="1441756760">
      <w:bodyDiv w:val="1"/>
      <w:marLeft w:val="0"/>
      <w:marRight w:val="0"/>
      <w:marTop w:val="0"/>
      <w:marBottom w:val="0"/>
      <w:divBdr>
        <w:top w:val="none" w:sz="0" w:space="0" w:color="auto"/>
        <w:left w:val="none" w:sz="0" w:space="0" w:color="auto"/>
        <w:bottom w:val="none" w:sz="0" w:space="0" w:color="auto"/>
        <w:right w:val="none" w:sz="0" w:space="0" w:color="auto"/>
      </w:divBdr>
    </w:div>
    <w:div w:id="1441872665">
      <w:bodyDiv w:val="1"/>
      <w:marLeft w:val="0"/>
      <w:marRight w:val="0"/>
      <w:marTop w:val="0"/>
      <w:marBottom w:val="0"/>
      <w:divBdr>
        <w:top w:val="none" w:sz="0" w:space="0" w:color="auto"/>
        <w:left w:val="none" w:sz="0" w:space="0" w:color="auto"/>
        <w:bottom w:val="none" w:sz="0" w:space="0" w:color="auto"/>
        <w:right w:val="none" w:sz="0" w:space="0" w:color="auto"/>
      </w:divBdr>
    </w:div>
    <w:div w:id="1442528423">
      <w:bodyDiv w:val="1"/>
      <w:marLeft w:val="0"/>
      <w:marRight w:val="0"/>
      <w:marTop w:val="0"/>
      <w:marBottom w:val="0"/>
      <w:divBdr>
        <w:top w:val="none" w:sz="0" w:space="0" w:color="auto"/>
        <w:left w:val="none" w:sz="0" w:space="0" w:color="auto"/>
        <w:bottom w:val="none" w:sz="0" w:space="0" w:color="auto"/>
        <w:right w:val="none" w:sz="0" w:space="0" w:color="auto"/>
      </w:divBdr>
    </w:div>
    <w:div w:id="1442799458">
      <w:bodyDiv w:val="1"/>
      <w:marLeft w:val="0"/>
      <w:marRight w:val="0"/>
      <w:marTop w:val="0"/>
      <w:marBottom w:val="0"/>
      <w:divBdr>
        <w:top w:val="none" w:sz="0" w:space="0" w:color="auto"/>
        <w:left w:val="none" w:sz="0" w:space="0" w:color="auto"/>
        <w:bottom w:val="none" w:sz="0" w:space="0" w:color="auto"/>
        <w:right w:val="none" w:sz="0" w:space="0" w:color="auto"/>
      </w:divBdr>
    </w:div>
    <w:div w:id="1443646033">
      <w:bodyDiv w:val="1"/>
      <w:marLeft w:val="0"/>
      <w:marRight w:val="0"/>
      <w:marTop w:val="0"/>
      <w:marBottom w:val="0"/>
      <w:divBdr>
        <w:top w:val="none" w:sz="0" w:space="0" w:color="auto"/>
        <w:left w:val="none" w:sz="0" w:space="0" w:color="auto"/>
        <w:bottom w:val="none" w:sz="0" w:space="0" w:color="auto"/>
        <w:right w:val="none" w:sz="0" w:space="0" w:color="auto"/>
      </w:divBdr>
    </w:div>
    <w:div w:id="1444228075">
      <w:bodyDiv w:val="1"/>
      <w:marLeft w:val="0"/>
      <w:marRight w:val="0"/>
      <w:marTop w:val="0"/>
      <w:marBottom w:val="0"/>
      <w:divBdr>
        <w:top w:val="none" w:sz="0" w:space="0" w:color="auto"/>
        <w:left w:val="none" w:sz="0" w:space="0" w:color="auto"/>
        <w:bottom w:val="none" w:sz="0" w:space="0" w:color="auto"/>
        <w:right w:val="none" w:sz="0" w:space="0" w:color="auto"/>
      </w:divBdr>
    </w:div>
    <w:div w:id="1444420611">
      <w:bodyDiv w:val="1"/>
      <w:marLeft w:val="0"/>
      <w:marRight w:val="0"/>
      <w:marTop w:val="0"/>
      <w:marBottom w:val="0"/>
      <w:divBdr>
        <w:top w:val="none" w:sz="0" w:space="0" w:color="auto"/>
        <w:left w:val="none" w:sz="0" w:space="0" w:color="auto"/>
        <w:bottom w:val="none" w:sz="0" w:space="0" w:color="auto"/>
        <w:right w:val="none" w:sz="0" w:space="0" w:color="auto"/>
      </w:divBdr>
    </w:div>
    <w:div w:id="1444761565">
      <w:bodyDiv w:val="1"/>
      <w:marLeft w:val="0"/>
      <w:marRight w:val="0"/>
      <w:marTop w:val="0"/>
      <w:marBottom w:val="0"/>
      <w:divBdr>
        <w:top w:val="none" w:sz="0" w:space="0" w:color="auto"/>
        <w:left w:val="none" w:sz="0" w:space="0" w:color="auto"/>
        <w:bottom w:val="none" w:sz="0" w:space="0" w:color="auto"/>
        <w:right w:val="none" w:sz="0" w:space="0" w:color="auto"/>
      </w:divBdr>
    </w:div>
    <w:div w:id="1444887531">
      <w:bodyDiv w:val="1"/>
      <w:marLeft w:val="0"/>
      <w:marRight w:val="0"/>
      <w:marTop w:val="0"/>
      <w:marBottom w:val="0"/>
      <w:divBdr>
        <w:top w:val="none" w:sz="0" w:space="0" w:color="auto"/>
        <w:left w:val="none" w:sz="0" w:space="0" w:color="auto"/>
        <w:bottom w:val="none" w:sz="0" w:space="0" w:color="auto"/>
        <w:right w:val="none" w:sz="0" w:space="0" w:color="auto"/>
      </w:divBdr>
    </w:div>
    <w:div w:id="1445464219">
      <w:bodyDiv w:val="1"/>
      <w:marLeft w:val="0"/>
      <w:marRight w:val="0"/>
      <w:marTop w:val="0"/>
      <w:marBottom w:val="0"/>
      <w:divBdr>
        <w:top w:val="none" w:sz="0" w:space="0" w:color="auto"/>
        <w:left w:val="none" w:sz="0" w:space="0" w:color="auto"/>
        <w:bottom w:val="none" w:sz="0" w:space="0" w:color="auto"/>
        <w:right w:val="none" w:sz="0" w:space="0" w:color="auto"/>
      </w:divBdr>
    </w:div>
    <w:div w:id="1445466490">
      <w:bodyDiv w:val="1"/>
      <w:marLeft w:val="0"/>
      <w:marRight w:val="0"/>
      <w:marTop w:val="0"/>
      <w:marBottom w:val="0"/>
      <w:divBdr>
        <w:top w:val="none" w:sz="0" w:space="0" w:color="auto"/>
        <w:left w:val="none" w:sz="0" w:space="0" w:color="auto"/>
        <w:bottom w:val="none" w:sz="0" w:space="0" w:color="auto"/>
        <w:right w:val="none" w:sz="0" w:space="0" w:color="auto"/>
      </w:divBdr>
    </w:div>
    <w:div w:id="1446121738">
      <w:bodyDiv w:val="1"/>
      <w:marLeft w:val="0"/>
      <w:marRight w:val="0"/>
      <w:marTop w:val="0"/>
      <w:marBottom w:val="0"/>
      <w:divBdr>
        <w:top w:val="none" w:sz="0" w:space="0" w:color="auto"/>
        <w:left w:val="none" w:sz="0" w:space="0" w:color="auto"/>
        <w:bottom w:val="none" w:sz="0" w:space="0" w:color="auto"/>
        <w:right w:val="none" w:sz="0" w:space="0" w:color="auto"/>
      </w:divBdr>
    </w:div>
    <w:div w:id="1446315524">
      <w:bodyDiv w:val="1"/>
      <w:marLeft w:val="0"/>
      <w:marRight w:val="0"/>
      <w:marTop w:val="0"/>
      <w:marBottom w:val="0"/>
      <w:divBdr>
        <w:top w:val="none" w:sz="0" w:space="0" w:color="auto"/>
        <w:left w:val="none" w:sz="0" w:space="0" w:color="auto"/>
        <w:bottom w:val="none" w:sz="0" w:space="0" w:color="auto"/>
        <w:right w:val="none" w:sz="0" w:space="0" w:color="auto"/>
      </w:divBdr>
    </w:div>
    <w:div w:id="1446464035">
      <w:bodyDiv w:val="1"/>
      <w:marLeft w:val="0"/>
      <w:marRight w:val="0"/>
      <w:marTop w:val="0"/>
      <w:marBottom w:val="0"/>
      <w:divBdr>
        <w:top w:val="none" w:sz="0" w:space="0" w:color="auto"/>
        <w:left w:val="none" w:sz="0" w:space="0" w:color="auto"/>
        <w:bottom w:val="none" w:sz="0" w:space="0" w:color="auto"/>
        <w:right w:val="none" w:sz="0" w:space="0" w:color="auto"/>
      </w:divBdr>
    </w:div>
    <w:div w:id="1447505635">
      <w:bodyDiv w:val="1"/>
      <w:marLeft w:val="0"/>
      <w:marRight w:val="0"/>
      <w:marTop w:val="0"/>
      <w:marBottom w:val="0"/>
      <w:divBdr>
        <w:top w:val="none" w:sz="0" w:space="0" w:color="auto"/>
        <w:left w:val="none" w:sz="0" w:space="0" w:color="auto"/>
        <w:bottom w:val="none" w:sz="0" w:space="0" w:color="auto"/>
        <w:right w:val="none" w:sz="0" w:space="0" w:color="auto"/>
      </w:divBdr>
    </w:div>
    <w:div w:id="1447653514">
      <w:bodyDiv w:val="1"/>
      <w:marLeft w:val="0"/>
      <w:marRight w:val="0"/>
      <w:marTop w:val="0"/>
      <w:marBottom w:val="0"/>
      <w:divBdr>
        <w:top w:val="none" w:sz="0" w:space="0" w:color="auto"/>
        <w:left w:val="none" w:sz="0" w:space="0" w:color="auto"/>
        <w:bottom w:val="none" w:sz="0" w:space="0" w:color="auto"/>
        <w:right w:val="none" w:sz="0" w:space="0" w:color="auto"/>
      </w:divBdr>
    </w:div>
    <w:div w:id="1447849957">
      <w:bodyDiv w:val="1"/>
      <w:marLeft w:val="0"/>
      <w:marRight w:val="0"/>
      <w:marTop w:val="0"/>
      <w:marBottom w:val="0"/>
      <w:divBdr>
        <w:top w:val="none" w:sz="0" w:space="0" w:color="auto"/>
        <w:left w:val="none" w:sz="0" w:space="0" w:color="auto"/>
        <w:bottom w:val="none" w:sz="0" w:space="0" w:color="auto"/>
        <w:right w:val="none" w:sz="0" w:space="0" w:color="auto"/>
      </w:divBdr>
    </w:div>
    <w:div w:id="1449012499">
      <w:bodyDiv w:val="1"/>
      <w:marLeft w:val="0"/>
      <w:marRight w:val="0"/>
      <w:marTop w:val="0"/>
      <w:marBottom w:val="0"/>
      <w:divBdr>
        <w:top w:val="none" w:sz="0" w:space="0" w:color="auto"/>
        <w:left w:val="none" w:sz="0" w:space="0" w:color="auto"/>
        <w:bottom w:val="none" w:sz="0" w:space="0" w:color="auto"/>
        <w:right w:val="none" w:sz="0" w:space="0" w:color="auto"/>
      </w:divBdr>
    </w:div>
    <w:div w:id="1449163714">
      <w:bodyDiv w:val="1"/>
      <w:marLeft w:val="0"/>
      <w:marRight w:val="0"/>
      <w:marTop w:val="0"/>
      <w:marBottom w:val="0"/>
      <w:divBdr>
        <w:top w:val="none" w:sz="0" w:space="0" w:color="auto"/>
        <w:left w:val="none" w:sz="0" w:space="0" w:color="auto"/>
        <w:bottom w:val="none" w:sz="0" w:space="0" w:color="auto"/>
        <w:right w:val="none" w:sz="0" w:space="0" w:color="auto"/>
      </w:divBdr>
    </w:div>
    <w:div w:id="1449861392">
      <w:bodyDiv w:val="1"/>
      <w:marLeft w:val="0"/>
      <w:marRight w:val="0"/>
      <w:marTop w:val="0"/>
      <w:marBottom w:val="0"/>
      <w:divBdr>
        <w:top w:val="none" w:sz="0" w:space="0" w:color="auto"/>
        <w:left w:val="none" w:sz="0" w:space="0" w:color="auto"/>
        <w:bottom w:val="none" w:sz="0" w:space="0" w:color="auto"/>
        <w:right w:val="none" w:sz="0" w:space="0" w:color="auto"/>
      </w:divBdr>
    </w:div>
    <w:div w:id="1450272301">
      <w:bodyDiv w:val="1"/>
      <w:marLeft w:val="0"/>
      <w:marRight w:val="0"/>
      <w:marTop w:val="0"/>
      <w:marBottom w:val="0"/>
      <w:divBdr>
        <w:top w:val="none" w:sz="0" w:space="0" w:color="auto"/>
        <w:left w:val="none" w:sz="0" w:space="0" w:color="auto"/>
        <w:bottom w:val="none" w:sz="0" w:space="0" w:color="auto"/>
        <w:right w:val="none" w:sz="0" w:space="0" w:color="auto"/>
      </w:divBdr>
    </w:div>
    <w:div w:id="1450315084">
      <w:bodyDiv w:val="1"/>
      <w:marLeft w:val="0"/>
      <w:marRight w:val="0"/>
      <w:marTop w:val="0"/>
      <w:marBottom w:val="0"/>
      <w:divBdr>
        <w:top w:val="none" w:sz="0" w:space="0" w:color="auto"/>
        <w:left w:val="none" w:sz="0" w:space="0" w:color="auto"/>
        <w:bottom w:val="none" w:sz="0" w:space="0" w:color="auto"/>
        <w:right w:val="none" w:sz="0" w:space="0" w:color="auto"/>
      </w:divBdr>
    </w:div>
    <w:div w:id="1452088074">
      <w:bodyDiv w:val="1"/>
      <w:marLeft w:val="0"/>
      <w:marRight w:val="0"/>
      <w:marTop w:val="0"/>
      <w:marBottom w:val="0"/>
      <w:divBdr>
        <w:top w:val="none" w:sz="0" w:space="0" w:color="auto"/>
        <w:left w:val="none" w:sz="0" w:space="0" w:color="auto"/>
        <w:bottom w:val="none" w:sz="0" w:space="0" w:color="auto"/>
        <w:right w:val="none" w:sz="0" w:space="0" w:color="auto"/>
      </w:divBdr>
    </w:div>
    <w:div w:id="1452166338">
      <w:bodyDiv w:val="1"/>
      <w:marLeft w:val="0"/>
      <w:marRight w:val="0"/>
      <w:marTop w:val="0"/>
      <w:marBottom w:val="0"/>
      <w:divBdr>
        <w:top w:val="none" w:sz="0" w:space="0" w:color="auto"/>
        <w:left w:val="none" w:sz="0" w:space="0" w:color="auto"/>
        <w:bottom w:val="none" w:sz="0" w:space="0" w:color="auto"/>
        <w:right w:val="none" w:sz="0" w:space="0" w:color="auto"/>
      </w:divBdr>
    </w:div>
    <w:div w:id="1452742372">
      <w:bodyDiv w:val="1"/>
      <w:marLeft w:val="0"/>
      <w:marRight w:val="0"/>
      <w:marTop w:val="0"/>
      <w:marBottom w:val="0"/>
      <w:divBdr>
        <w:top w:val="none" w:sz="0" w:space="0" w:color="auto"/>
        <w:left w:val="none" w:sz="0" w:space="0" w:color="auto"/>
        <w:bottom w:val="none" w:sz="0" w:space="0" w:color="auto"/>
        <w:right w:val="none" w:sz="0" w:space="0" w:color="auto"/>
      </w:divBdr>
    </w:div>
    <w:div w:id="1453092412">
      <w:bodyDiv w:val="1"/>
      <w:marLeft w:val="0"/>
      <w:marRight w:val="0"/>
      <w:marTop w:val="0"/>
      <w:marBottom w:val="0"/>
      <w:divBdr>
        <w:top w:val="none" w:sz="0" w:space="0" w:color="auto"/>
        <w:left w:val="none" w:sz="0" w:space="0" w:color="auto"/>
        <w:bottom w:val="none" w:sz="0" w:space="0" w:color="auto"/>
        <w:right w:val="none" w:sz="0" w:space="0" w:color="auto"/>
      </w:divBdr>
    </w:div>
    <w:div w:id="1453942165">
      <w:bodyDiv w:val="1"/>
      <w:marLeft w:val="0"/>
      <w:marRight w:val="0"/>
      <w:marTop w:val="0"/>
      <w:marBottom w:val="0"/>
      <w:divBdr>
        <w:top w:val="none" w:sz="0" w:space="0" w:color="auto"/>
        <w:left w:val="none" w:sz="0" w:space="0" w:color="auto"/>
        <w:bottom w:val="none" w:sz="0" w:space="0" w:color="auto"/>
        <w:right w:val="none" w:sz="0" w:space="0" w:color="auto"/>
      </w:divBdr>
    </w:div>
    <w:div w:id="1456410521">
      <w:bodyDiv w:val="1"/>
      <w:marLeft w:val="0"/>
      <w:marRight w:val="0"/>
      <w:marTop w:val="0"/>
      <w:marBottom w:val="0"/>
      <w:divBdr>
        <w:top w:val="none" w:sz="0" w:space="0" w:color="auto"/>
        <w:left w:val="none" w:sz="0" w:space="0" w:color="auto"/>
        <w:bottom w:val="none" w:sz="0" w:space="0" w:color="auto"/>
        <w:right w:val="none" w:sz="0" w:space="0" w:color="auto"/>
      </w:divBdr>
    </w:div>
    <w:div w:id="1456756648">
      <w:bodyDiv w:val="1"/>
      <w:marLeft w:val="0"/>
      <w:marRight w:val="0"/>
      <w:marTop w:val="0"/>
      <w:marBottom w:val="0"/>
      <w:divBdr>
        <w:top w:val="none" w:sz="0" w:space="0" w:color="auto"/>
        <w:left w:val="none" w:sz="0" w:space="0" w:color="auto"/>
        <w:bottom w:val="none" w:sz="0" w:space="0" w:color="auto"/>
        <w:right w:val="none" w:sz="0" w:space="0" w:color="auto"/>
      </w:divBdr>
    </w:div>
    <w:div w:id="1457528214">
      <w:bodyDiv w:val="1"/>
      <w:marLeft w:val="0"/>
      <w:marRight w:val="0"/>
      <w:marTop w:val="0"/>
      <w:marBottom w:val="0"/>
      <w:divBdr>
        <w:top w:val="none" w:sz="0" w:space="0" w:color="auto"/>
        <w:left w:val="none" w:sz="0" w:space="0" w:color="auto"/>
        <w:bottom w:val="none" w:sz="0" w:space="0" w:color="auto"/>
        <w:right w:val="none" w:sz="0" w:space="0" w:color="auto"/>
      </w:divBdr>
    </w:div>
    <w:div w:id="1459182062">
      <w:bodyDiv w:val="1"/>
      <w:marLeft w:val="0"/>
      <w:marRight w:val="0"/>
      <w:marTop w:val="0"/>
      <w:marBottom w:val="0"/>
      <w:divBdr>
        <w:top w:val="none" w:sz="0" w:space="0" w:color="auto"/>
        <w:left w:val="none" w:sz="0" w:space="0" w:color="auto"/>
        <w:bottom w:val="none" w:sz="0" w:space="0" w:color="auto"/>
        <w:right w:val="none" w:sz="0" w:space="0" w:color="auto"/>
      </w:divBdr>
    </w:div>
    <w:div w:id="1459303185">
      <w:bodyDiv w:val="1"/>
      <w:marLeft w:val="0"/>
      <w:marRight w:val="0"/>
      <w:marTop w:val="0"/>
      <w:marBottom w:val="0"/>
      <w:divBdr>
        <w:top w:val="none" w:sz="0" w:space="0" w:color="auto"/>
        <w:left w:val="none" w:sz="0" w:space="0" w:color="auto"/>
        <w:bottom w:val="none" w:sz="0" w:space="0" w:color="auto"/>
        <w:right w:val="none" w:sz="0" w:space="0" w:color="auto"/>
      </w:divBdr>
    </w:div>
    <w:div w:id="1459638690">
      <w:bodyDiv w:val="1"/>
      <w:marLeft w:val="0"/>
      <w:marRight w:val="0"/>
      <w:marTop w:val="0"/>
      <w:marBottom w:val="0"/>
      <w:divBdr>
        <w:top w:val="none" w:sz="0" w:space="0" w:color="auto"/>
        <w:left w:val="none" w:sz="0" w:space="0" w:color="auto"/>
        <w:bottom w:val="none" w:sz="0" w:space="0" w:color="auto"/>
        <w:right w:val="none" w:sz="0" w:space="0" w:color="auto"/>
      </w:divBdr>
    </w:div>
    <w:div w:id="1459760286">
      <w:bodyDiv w:val="1"/>
      <w:marLeft w:val="0"/>
      <w:marRight w:val="0"/>
      <w:marTop w:val="0"/>
      <w:marBottom w:val="0"/>
      <w:divBdr>
        <w:top w:val="none" w:sz="0" w:space="0" w:color="auto"/>
        <w:left w:val="none" w:sz="0" w:space="0" w:color="auto"/>
        <w:bottom w:val="none" w:sz="0" w:space="0" w:color="auto"/>
        <w:right w:val="none" w:sz="0" w:space="0" w:color="auto"/>
      </w:divBdr>
    </w:div>
    <w:div w:id="1460026555">
      <w:bodyDiv w:val="1"/>
      <w:marLeft w:val="0"/>
      <w:marRight w:val="0"/>
      <w:marTop w:val="0"/>
      <w:marBottom w:val="0"/>
      <w:divBdr>
        <w:top w:val="none" w:sz="0" w:space="0" w:color="auto"/>
        <w:left w:val="none" w:sz="0" w:space="0" w:color="auto"/>
        <w:bottom w:val="none" w:sz="0" w:space="0" w:color="auto"/>
        <w:right w:val="none" w:sz="0" w:space="0" w:color="auto"/>
      </w:divBdr>
    </w:div>
    <w:div w:id="1460300805">
      <w:bodyDiv w:val="1"/>
      <w:marLeft w:val="0"/>
      <w:marRight w:val="0"/>
      <w:marTop w:val="0"/>
      <w:marBottom w:val="0"/>
      <w:divBdr>
        <w:top w:val="none" w:sz="0" w:space="0" w:color="auto"/>
        <w:left w:val="none" w:sz="0" w:space="0" w:color="auto"/>
        <w:bottom w:val="none" w:sz="0" w:space="0" w:color="auto"/>
        <w:right w:val="none" w:sz="0" w:space="0" w:color="auto"/>
      </w:divBdr>
    </w:div>
    <w:div w:id="1460414079">
      <w:bodyDiv w:val="1"/>
      <w:marLeft w:val="0"/>
      <w:marRight w:val="0"/>
      <w:marTop w:val="0"/>
      <w:marBottom w:val="0"/>
      <w:divBdr>
        <w:top w:val="none" w:sz="0" w:space="0" w:color="auto"/>
        <w:left w:val="none" w:sz="0" w:space="0" w:color="auto"/>
        <w:bottom w:val="none" w:sz="0" w:space="0" w:color="auto"/>
        <w:right w:val="none" w:sz="0" w:space="0" w:color="auto"/>
      </w:divBdr>
    </w:div>
    <w:div w:id="1461222964">
      <w:bodyDiv w:val="1"/>
      <w:marLeft w:val="0"/>
      <w:marRight w:val="0"/>
      <w:marTop w:val="0"/>
      <w:marBottom w:val="0"/>
      <w:divBdr>
        <w:top w:val="none" w:sz="0" w:space="0" w:color="auto"/>
        <w:left w:val="none" w:sz="0" w:space="0" w:color="auto"/>
        <w:bottom w:val="none" w:sz="0" w:space="0" w:color="auto"/>
        <w:right w:val="none" w:sz="0" w:space="0" w:color="auto"/>
      </w:divBdr>
    </w:div>
    <w:div w:id="1461461779">
      <w:bodyDiv w:val="1"/>
      <w:marLeft w:val="0"/>
      <w:marRight w:val="0"/>
      <w:marTop w:val="0"/>
      <w:marBottom w:val="0"/>
      <w:divBdr>
        <w:top w:val="none" w:sz="0" w:space="0" w:color="auto"/>
        <w:left w:val="none" w:sz="0" w:space="0" w:color="auto"/>
        <w:bottom w:val="none" w:sz="0" w:space="0" w:color="auto"/>
        <w:right w:val="none" w:sz="0" w:space="0" w:color="auto"/>
      </w:divBdr>
    </w:div>
    <w:div w:id="1461729631">
      <w:bodyDiv w:val="1"/>
      <w:marLeft w:val="0"/>
      <w:marRight w:val="0"/>
      <w:marTop w:val="0"/>
      <w:marBottom w:val="0"/>
      <w:divBdr>
        <w:top w:val="none" w:sz="0" w:space="0" w:color="auto"/>
        <w:left w:val="none" w:sz="0" w:space="0" w:color="auto"/>
        <w:bottom w:val="none" w:sz="0" w:space="0" w:color="auto"/>
        <w:right w:val="none" w:sz="0" w:space="0" w:color="auto"/>
      </w:divBdr>
    </w:div>
    <w:div w:id="1462503753">
      <w:bodyDiv w:val="1"/>
      <w:marLeft w:val="0"/>
      <w:marRight w:val="0"/>
      <w:marTop w:val="0"/>
      <w:marBottom w:val="0"/>
      <w:divBdr>
        <w:top w:val="none" w:sz="0" w:space="0" w:color="auto"/>
        <w:left w:val="none" w:sz="0" w:space="0" w:color="auto"/>
        <w:bottom w:val="none" w:sz="0" w:space="0" w:color="auto"/>
        <w:right w:val="none" w:sz="0" w:space="0" w:color="auto"/>
      </w:divBdr>
    </w:div>
    <w:div w:id="1462529585">
      <w:bodyDiv w:val="1"/>
      <w:marLeft w:val="0"/>
      <w:marRight w:val="0"/>
      <w:marTop w:val="0"/>
      <w:marBottom w:val="0"/>
      <w:divBdr>
        <w:top w:val="none" w:sz="0" w:space="0" w:color="auto"/>
        <w:left w:val="none" w:sz="0" w:space="0" w:color="auto"/>
        <w:bottom w:val="none" w:sz="0" w:space="0" w:color="auto"/>
        <w:right w:val="none" w:sz="0" w:space="0" w:color="auto"/>
      </w:divBdr>
    </w:div>
    <w:div w:id="1462730053">
      <w:bodyDiv w:val="1"/>
      <w:marLeft w:val="0"/>
      <w:marRight w:val="0"/>
      <w:marTop w:val="0"/>
      <w:marBottom w:val="0"/>
      <w:divBdr>
        <w:top w:val="none" w:sz="0" w:space="0" w:color="auto"/>
        <w:left w:val="none" w:sz="0" w:space="0" w:color="auto"/>
        <w:bottom w:val="none" w:sz="0" w:space="0" w:color="auto"/>
        <w:right w:val="none" w:sz="0" w:space="0" w:color="auto"/>
      </w:divBdr>
    </w:div>
    <w:div w:id="1463226193">
      <w:bodyDiv w:val="1"/>
      <w:marLeft w:val="0"/>
      <w:marRight w:val="0"/>
      <w:marTop w:val="0"/>
      <w:marBottom w:val="0"/>
      <w:divBdr>
        <w:top w:val="none" w:sz="0" w:space="0" w:color="auto"/>
        <w:left w:val="none" w:sz="0" w:space="0" w:color="auto"/>
        <w:bottom w:val="none" w:sz="0" w:space="0" w:color="auto"/>
        <w:right w:val="none" w:sz="0" w:space="0" w:color="auto"/>
      </w:divBdr>
    </w:div>
    <w:div w:id="1464732506">
      <w:bodyDiv w:val="1"/>
      <w:marLeft w:val="0"/>
      <w:marRight w:val="0"/>
      <w:marTop w:val="0"/>
      <w:marBottom w:val="0"/>
      <w:divBdr>
        <w:top w:val="none" w:sz="0" w:space="0" w:color="auto"/>
        <w:left w:val="none" w:sz="0" w:space="0" w:color="auto"/>
        <w:bottom w:val="none" w:sz="0" w:space="0" w:color="auto"/>
        <w:right w:val="none" w:sz="0" w:space="0" w:color="auto"/>
      </w:divBdr>
    </w:div>
    <w:div w:id="1465810225">
      <w:bodyDiv w:val="1"/>
      <w:marLeft w:val="0"/>
      <w:marRight w:val="0"/>
      <w:marTop w:val="0"/>
      <w:marBottom w:val="0"/>
      <w:divBdr>
        <w:top w:val="none" w:sz="0" w:space="0" w:color="auto"/>
        <w:left w:val="none" w:sz="0" w:space="0" w:color="auto"/>
        <w:bottom w:val="none" w:sz="0" w:space="0" w:color="auto"/>
        <w:right w:val="none" w:sz="0" w:space="0" w:color="auto"/>
      </w:divBdr>
    </w:div>
    <w:div w:id="1466193694">
      <w:bodyDiv w:val="1"/>
      <w:marLeft w:val="0"/>
      <w:marRight w:val="0"/>
      <w:marTop w:val="0"/>
      <w:marBottom w:val="0"/>
      <w:divBdr>
        <w:top w:val="none" w:sz="0" w:space="0" w:color="auto"/>
        <w:left w:val="none" w:sz="0" w:space="0" w:color="auto"/>
        <w:bottom w:val="none" w:sz="0" w:space="0" w:color="auto"/>
        <w:right w:val="none" w:sz="0" w:space="0" w:color="auto"/>
      </w:divBdr>
    </w:div>
    <w:div w:id="1466391365">
      <w:bodyDiv w:val="1"/>
      <w:marLeft w:val="0"/>
      <w:marRight w:val="0"/>
      <w:marTop w:val="0"/>
      <w:marBottom w:val="0"/>
      <w:divBdr>
        <w:top w:val="none" w:sz="0" w:space="0" w:color="auto"/>
        <w:left w:val="none" w:sz="0" w:space="0" w:color="auto"/>
        <w:bottom w:val="none" w:sz="0" w:space="0" w:color="auto"/>
        <w:right w:val="none" w:sz="0" w:space="0" w:color="auto"/>
      </w:divBdr>
    </w:div>
    <w:div w:id="1466656270">
      <w:bodyDiv w:val="1"/>
      <w:marLeft w:val="0"/>
      <w:marRight w:val="0"/>
      <w:marTop w:val="0"/>
      <w:marBottom w:val="0"/>
      <w:divBdr>
        <w:top w:val="none" w:sz="0" w:space="0" w:color="auto"/>
        <w:left w:val="none" w:sz="0" w:space="0" w:color="auto"/>
        <w:bottom w:val="none" w:sz="0" w:space="0" w:color="auto"/>
        <w:right w:val="none" w:sz="0" w:space="0" w:color="auto"/>
      </w:divBdr>
    </w:div>
    <w:div w:id="1466657373">
      <w:bodyDiv w:val="1"/>
      <w:marLeft w:val="0"/>
      <w:marRight w:val="0"/>
      <w:marTop w:val="0"/>
      <w:marBottom w:val="0"/>
      <w:divBdr>
        <w:top w:val="none" w:sz="0" w:space="0" w:color="auto"/>
        <w:left w:val="none" w:sz="0" w:space="0" w:color="auto"/>
        <w:bottom w:val="none" w:sz="0" w:space="0" w:color="auto"/>
        <w:right w:val="none" w:sz="0" w:space="0" w:color="auto"/>
      </w:divBdr>
    </w:div>
    <w:div w:id="1466696277">
      <w:bodyDiv w:val="1"/>
      <w:marLeft w:val="0"/>
      <w:marRight w:val="0"/>
      <w:marTop w:val="0"/>
      <w:marBottom w:val="0"/>
      <w:divBdr>
        <w:top w:val="none" w:sz="0" w:space="0" w:color="auto"/>
        <w:left w:val="none" w:sz="0" w:space="0" w:color="auto"/>
        <w:bottom w:val="none" w:sz="0" w:space="0" w:color="auto"/>
        <w:right w:val="none" w:sz="0" w:space="0" w:color="auto"/>
      </w:divBdr>
    </w:div>
    <w:div w:id="1466698372">
      <w:bodyDiv w:val="1"/>
      <w:marLeft w:val="0"/>
      <w:marRight w:val="0"/>
      <w:marTop w:val="0"/>
      <w:marBottom w:val="0"/>
      <w:divBdr>
        <w:top w:val="none" w:sz="0" w:space="0" w:color="auto"/>
        <w:left w:val="none" w:sz="0" w:space="0" w:color="auto"/>
        <w:bottom w:val="none" w:sz="0" w:space="0" w:color="auto"/>
        <w:right w:val="none" w:sz="0" w:space="0" w:color="auto"/>
      </w:divBdr>
    </w:div>
    <w:div w:id="1467427811">
      <w:bodyDiv w:val="1"/>
      <w:marLeft w:val="0"/>
      <w:marRight w:val="0"/>
      <w:marTop w:val="0"/>
      <w:marBottom w:val="0"/>
      <w:divBdr>
        <w:top w:val="none" w:sz="0" w:space="0" w:color="auto"/>
        <w:left w:val="none" w:sz="0" w:space="0" w:color="auto"/>
        <w:bottom w:val="none" w:sz="0" w:space="0" w:color="auto"/>
        <w:right w:val="none" w:sz="0" w:space="0" w:color="auto"/>
      </w:divBdr>
    </w:div>
    <w:div w:id="1468470022">
      <w:bodyDiv w:val="1"/>
      <w:marLeft w:val="0"/>
      <w:marRight w:val="0"/>
      <w:marTop w:val="0"/>
      <w:marBottom w:val="0"/>
      <w:divBdr>
        <w:top w:val="none" w:sz="0" w:space="0" w:color="auto"/>
        <w:left w:val="none" w:sz="0" w:space="0" w:color="auto"/>
        <w:bottom w:val="none" w:sz="0" w:space="0" w:color="auto"/>
        <w:right w:val="none" w:sz="0" w:space="0" w:color="auto"/>
      </w:divBdr>
    </w:div>
    <w:div w:id="1468671007">
      <w:bodyDiv w:val="1"/>
      <w:marLeft w:val="0"/>
      <w:marRight w:val="0"/>
      <w:marTop w:val="0"/>
      <w:marBottom w:val="0"/>
      <w:divBdr>
        <w:top w:val="none" w:sz="0" w:space="0" w:color="auto"/>
        <w:left w:val="none" w:sz="0" w:space="0" w:color="auto"/>
        <w:bottom w:val="none" w:sz="0" w:space="0" w:color="auto"/>
        <w:right w:val="none" w:sz="0" w:space="0" w:color="auto"/>
      </w:divBdr>
    </w:div>
    <w:div w:id="1470048937">
      <w:bodyDiv w:val="1"/>
      <w:marLeft w:val="0"/>
      <w:marRight w:val="0"/>
      <w:marTop w:val="0"/>
      <w:marBottom w:val="0"/>
      <w:divBdr>
        <w:top w:val="none" w:sz="0" w:space="0" w:color="auto"/>
        <w:left w:val="none" w:sz="0" w:space="0" w:color="auto"/>
        <w:bottom w:val="none" w:sz="0" w:space="0" w:color="auto"/>
        <w:right w:val="none" w:sz="0" w:space="0" w:color="auto"/>
      </w:divBdr>
    </w:div>
    <w:div w:id="1470589342">
      <w:bodyDiv w:val="1"/>
      <w:marLeft w:val="0"/>
      <w:marRight w:val="0"/>
      <w:marTop w:val="0"/>
      <w:marBottom w:val="0"/>
      <w:divBdr>
        <w:top w:val="none" w:sz="0" w:space="0" w:color="auto"/>
        <w:left w:val="none" w:sz="0" w:space="0" w:color="auto"/>
        <w:bottom w:val="none" w:sz="0" w:space="0" w:color="auto"/>
        <w:right w:val="none" w:sz="0" w:space="0" w:color="auto"/>
      </w:divBdr>
      <w:divsChild>
        <w:div w:id="1840805722">
          <w:marLeft w:val="0"/>
          <w:marRight w:val="0"/>
          <w:marTop w:val="0"/>
          <w:marBottom w:val="0"/>
          <w:divBdr>
            <w:top w:val="none" w:sz="0" w:space="0" w:color="auto"/>
            <w:left w:val="none" w:sz="0" w:space="0" w:color="auto"/>
            <w:bottom w:val="none" w:sz="0" w:space="0" w:color="auto"/>
            <w:right w:val="none" w:sz="0" w:space="0" w:color="auto"/>
          </w:divBdr>
          <w:divsChild>
            <w:div w:id="1208182287">
              <w:marLeft w:val="0"/>
              <w:marRight w:val="0"/>
              <w:marTop w:val="0"/>
              <w:marBottom w:val="0"/>
              <w:divBdr>
                <w:top w:val="none" w:sz="0" w:space="0" w:color="auto"/>
                <w:left w:val="none" w:sz="0" w:space="0" w:color="auto"/>
                <w:bottom w:val="none" w:sz="0" w:space="0" w:color="auto"/>
                <w:right w:val="none" w:sz="0" w:space="0" w:color="auto"/>
              </w:divBdr>
              <w:divsChild>
                <w:div w:id="1212612820">
                  <w:marLeft w:val="0"/>
                  <w:marRight w:val="0"/>
                  <w:marTop w:val="0"/>
                  <w:marBottom w:val="0"/>
                  <w:divBdr>
                    <w:top w:val="none" w:sz="0" w:space="0" w:color="auto"/>
                    <w:left w:val="none" w:sz="0" w:space="0" w:color="auto"/>
                    <w:bottom w:val="none" w:sz="0" w:space="0" w:color="auto"/>
                    <w:right w:val="none" w:sz="0" w:space="0" w:color="auto"/>
                  </w:divBdr>
                  <w:divsChild>
                    <w:div w:id="2139565454">
                      <w:marLeft w:val="0"/>
                      <w:marRight w:val="0"/>
                      <w:marTop w:val="0"/>
                      <w:marBottom w:val="0"/>
                      <w:divBdr>
                        <w:top w:val="none" w:sz="0" w:space="0" w:color="auto"/>
                        <w:left w:val="none" w:sz="0" w:space="0" w:color="auto"/>
                        <w:bottom w:val="none" w:sz="0" w:space="0" w:color="auto"/>
                        <w:right w:val="none" w:sz="0" w:space="0" w:color="auto"/>
                      </w:divBdr>
                      <w:divsChild>
                        <w:div w:id="1016033821">
                          <w:marLeft w:val="0"/>
                          <w:marRight w:val="0"/>
                          <w:marTop w:val="0"/>
                          <w:marBottom w:val="0"/>
                          <w:divBdr>
                            <w:top w:val="none" w:sz="0" w:space="0" w:color="auto"/>
                            <w:left w:val="none" w:sz="0" w:space="0" w:color="auto"/>
                            <w:bottom w:val="none" w:sz="0" w:space="0" w:color="auto"/>
                            <w:right w:val="none" w:sz="0" w:space="0" w:color="auto"/>
                          </w:divBdr>
                          <w:divsChild>
                            <w:div w:id="1835681498">
                              <w:marLeft w:val="0"/>
                              <w:marRight w:val="0"/>
                              <w:marTop w:val="0"/>
                              <w:marBottom w:val="0"/>
                              <w:divBdr>
                                <w:top w:val="none" w:sz="0" w:space="0" w:color="auto"/>
                                <w:left w:val="none" w:sz="0" w:space="0" w:color="auto"/>
                                <w:bottom w:val="none" w:sz="0" w:space="0" w:color="auto"/>
                                <w:right w:val="none" w:sz="0" w:space="0" w:color="auto"/>
                              </w:divBdr>
                              <w:divsChild>
                                <w:div w:id="1246843792">
                                  <w:marLeft w:val="0"/>
                                  <w:marRight w:val="0"/>
                                  <w:marTop w:val="0"/>
                                  <w:marBottom w:val="0"/>
                                  <w:divBdr>
                                    <w:top w:val="none" w:sz="0" w:space="0" w:color="auto"/>
                                    <w:left w:val="none" w:sz="0" w:space="0" w:color="auto"/>
                                    <w:bottom w:val="none" w:sz="0" w:space="0" w:color="auto"/>
                                    <w:right w:val="none" w:sz="0" w:space="0" w:color="auto"/>
                                  </w:divBdr>
                                  <w:divsChild>
                                    <w:div w:id="241065559">
                                      <w:marLeft w:val="0"/>
                                      <w:marRight w:val="0"/>
                                      <w:marTop w:val="0"/>
                                      <w:marBottom w:val="0"/>
                                      <w:divBdr>
                                        <w:top w:val="none" w:sz="0" w:space="0" w:color="auto"/>
                                        <w:left w:val="none" w:sz="0" w:space="0" w:color="auto"/>
                                        <w:bottom w:val="none" w:sz="0" w:space="0" w:color="auto"/>
                                        <w:right w:val="none" w:sz="0" w:space="0" w:color="auto"/>
                                      </w:divBdr>
                                      <w:divsChild>
                                        <w:div w:id="1681616180">
                                          <w:marLeft w:val="0"/>
                                          <w:marRight w:val="0"/>
                                          <w:marTop w:val="0"/>
                                          <w:marBottom w:val="0"/>
                                          <w:divBdr>
                                            <w:top w:val="none" w:sz="0" w:space="0" w:color="auto"/>
                                            <w:left w:val="none" w:sz="0" w:space="0" w:color="auto"/>
                                            <w:bottom w:val="none" w:sz="0" w:space="0" w:color="auto"/>
                                            <w:right w:val="none" w:sz="0" w:space="0" w:color="auto"/>
                                          </w:divBdr>
                                          <w:divsChild>
                                            <w:div w:id="419956689">
                                              <w:marLeft w:val="0"/>
                                              <w:marRight w:val="497"/>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71361251">
      <w:bodyDiv w:val="1"/>
      <w:marLeft w:val="0"/>
      <w:marRight w:val="0"/>
      <w:marTop w:val="0"/>
      <w:marBottom w:val="0"/>
      <w:divBdr>
        <w:top w:val="none" w:sz="0" w:space="0" w:color="auto"/>
        <w:left w:val="none" w:sz="0" w:space="0" w:color="auto"/>
        <w:bottom w:val="none" w:sz="0" w:space="0" w:color="auto"/>
        <w:right w:val="none" w:sz="0" w:space="0" w:color="auto"/>
      </w:divBdr>
    </w:div>
    <w:div w:id="1472551324">
      <w:bodyDiv w:val="1"/>
      <w:marLeft w:val="0"/>
      <w:marRight w:val="0"/>
      <w:marTop w:val="0"/>
      <w:marBottom w:val="0"/>
      <w:divBdr>
        <w:top w:val="none" w:sz="0" w:space="0" w:color="auto"/>
        <w:left w:val="none" w:sz="0" w:space="0" w:color="auto"/>
        <w:bottom w:val="none" w:sz="0" w:space="0" w:color="auto"/>
        <w:right w:val="none" w:sz="0" w:space="0" w:color="auto"/>
      </w:divBdr>
    </w:div>
    <w:div w:id="1472598658">
      <w:bodyDiv w:val="1"/>
      <w:marLeft w:val="0"/>
      <w:marRight w:val="0"/>
      <w:marTop w:val="0"/>
      <w:marBottom w:val="0"/>
      <w:divBdr>
        <w:top w:val="none" w:sz="0" w:space="0" w:color="auto"/>
        <w:left w:val="none" w:sz="0" w:space="0" w:color="auto"/>
        <w:bottom w:val="none" w:sz="0" w:space="0" w:color="auto"/>
        <w:right w:val="none" w:sz="0" w:space="0" w:color="auto"/>
      </w:divBdr>
    </w:div>
    <w:div w:id="1472675883">
      <w:bodyDiv w:val="1"/>
      <w:marLeft w:val="0"/>
      <w:marRight w:val="0"/>
      <w:marTop w:val="0"/>
      <w:marBottom w:val="0"/>
      <w:divBdr>
        <w:top w:val="none" w:sz="0" w:space="0" w:color="auto"/>
        <w:left w:val="none" w:sz="0" w:space="0" w:color="auto"/>
        <w:bottom w:val="none" w:sz="0" w:space="0" w:color="auto"/>
        <w:right w:val="none" w:sz="0" w:space="0" w:color="auto"/>
      </w:divBdr>
    </w:div>
    <w:div w:id="1473907154">
      <w:bodyDiv w:val="1"/>
      <w:marLeft w:val="0"/>
      <w:marRight w:val="0"/>
      <w:marTop w:val="0"/>
      <w:marBottom w:val="0"/>
      <w:divBdr>
        <w:top w:val="none" w:sz="0" w:space="0" w:color="auto"/>
        <w:left w:val="none" w:sz="0" w:space="0" w:color="auto"/>
        <w:bottom w:val="none" w:sz="0" w:space="0" w:color="auto"/>
        <w:right w:val="none" w:sz="0" w:space="0" w:color="auto"/>
      </w:divBdr>
    </w:div>
    <w:div w:id="1474102257">
      <w:bodyDiv w:val="1"/>
      <w:marLeft w:val="0"/>
      <w:marRight w:val="0"/>
      <w:marTop w:val="0"/>
      <w:marBottom w:val="0"/>
      <w:divBdr>
        <w:top w:val="none" w:sz="0" w:space="0" w:color="auto"/>
        <w:left w:val="none" w:sz="0" w:space="0" w:color="auto"/>
        <w:bottom w:val="none" w:sz="0" w:space="0" w:color="auto"/>
        <w:right w:val="none" w:sz="0" w:space="0" w:color="auto"/>
      </w:divBdr>
    </w:div>
    <w:div w:id="1474450204">
      <w:bodyDiv w:val="1"/>
      <w:marLeft w:val="0"/>
      <w:marRight w:val="0"/>
      <w:marTop w:val="0"/>
      <w:marBottom w:val="0"/>
      <w:divBdr>
        <w:top w:val="none" w:sz="0" w:space="0" w:color="auto"/>
        <w:left w:val="none" w:sz="0" w:space="0" w:color="auto"/>
        <w:bottom w:val="none" w:sz="0" w:space="0" w:color="auto"/>
        <w:right w:val="none" w:sz="0" w:space="0" w:color="auto"/>
      </w:divBdr>
    </w:div>
    <w:div w:id="1476071787">
      <w:bodyDiv w:val="1"/>
      <w:marLeft w:val="0"/>
      <w:marRight w:val="0"/>
      <w:marTop w:val="0"/>
      <w:marBottom w:val="0"/>
      <w:divBdr>
        <w:top w:val="none" w:sz="0" w:space="0" w:color="auto"/>
        <w:left w:val="none" w:sz="0" w:space="0" w:color="auto"/>
        <w:bottom w:val="none" w:sz="0" w:space="0" w:color="auto"/>
        <w:right w:val="none" w:sz="0" w:space="0" w:color="auto"/>
      </w:divBdr>
    </w:div>
    <w:div w:id="1476534198">
      <w:bodyDiv w:val="1"/>
      <w:marLeft w:val="0"/>
      <w:marRight w:val="0"/>
      <w:marTop w:val="0"/>
      <w:marBottom w:val="0"/>
      <w:divBdr>
        <w:top w:val="none" w:sz="0" w:space="0" w:color="auto"/>
        <w:left w:val="none" w:sz="0" w:space="0" w:color="auto"/>
        <w:bottom w:val="none" w:sz="0" w:space="0" w:color="auto"/>
        <w:right w:val="none" w:sz="0" w:space="0" w:color="auto"/>
      </w:divBdr>
    </w:div>
    <w:div w:id="1477063713">
      <w:bodyDiv w:val="1"/>
      <w:marLeft w:val="0"/>
      <w:marRight w:val="0"/>
      <w:marTop w:val="0"/>
      <w:marBottom w:val="0"/>
      <w:divBdr>
        <w:top w:val="none" w:sz="0" w:space="0" w:color="auto"/>
        <w:left w:val="none" w:sz="0" w:space="0" w:color="auto"/>
        <w:bottom w:val="none" w:sz="0" w:space="0" w:color="auto"/>
        <w:right w:val="none" w:sz="0" w:space="0" w:color="auto"/>
      </w:divBdr>
    </w:div>
    <w:div w:id="1477336130">
      <w:bodyDiv w:val="1"/>
      <w:marLeft w:val="0"/>
      <w:marRight w:val="0"/>
      <w:marTop w:val="0"/>
      <w:marBottom w:val="0"/>
      <w:divBdr>
        <w:top w:val="none" w:sz="0" w:space="0" w:color="auto"/>
        <w:left w:val="none" w:sz="0" w:space="0" w:color="auto"/>
        <w:bottom w:val="none" w:sz="0" w:space="0" w:color="auto"/>
        <w:right w:val="none" w:sz="0" w:space="0" w:color="auto"/>
      </w:divBdr>
    </w:div>
    <w:div w:id="1477455999">
      <w:bodyDiv w:val="1"/>
      <w:marLeft w:val="0"/>
      <w:marRight w:val="0"/>
      <w:marTop w:val="0"/>
      <w:marBottom w:val="0"/>
      <w:divBdr>
        <w:top w:val="none" w:sz="0" w:space="0" w:color="auto"/>
        <w:left w:val="none" w:sz="0" w:space="0" w:color="auto"/>
        <w:bottom w:val="none" w:sz="0" w:space="0" w:color="auto"/>
        <w:right w:val="none" w:sz="0" w:space="0" w:color="auto"/>
      </w:divBdr>
    </w:div>
    <w:div w:id="1479104731">
      <w:bodyDiv w:val="1"/>
      <w:marLeft w:val="0"/>
      <w:marRight w:val="0"/>
      <w:marTop w:val="0"/>
      <w:marBottom w:val="0"/>
      <w:divBdr>
        <w:top w:val="none" w:sz="0" w:space="0" w:color="auto"/>
        <w:left w:val="none" w:sz="0" w:space="0" w:color="auto"/>
        <w:bottom w:val="none" w:sz="0" w:space="0" w:color="auto"/>
        <w:right w:val="none" w:sz="0" w:space="0" w:color="auto"/>
      </w:divBdr>
    </w:div>
    <w:div w:id="1479834577">
      <w:bodyDiv w:val="1"/>
      <w:marLeft w:val="0"/>
      <w:marRight w:val="0"/>
      <w:marTop w:val="0"/>
      <w:marBottom w:val="0"/>
      <w:divBdr>
        <w:top w:val="none" w:sz="0" w:space="0" w:color="auto"/>
        <w:left w:val="none" w:sz="0" w:space="0" w:color="auto"/>
        <w:bottom w:val="none" w:sz="0" w:space="0" w:color="auto"/>
        <w:right w:val="none" w:sz="0" w:space="0" w:color="auto"/>
      </w:divBdr>
    </w:div>
    <w:div w:id="1480538752">
      <w:bodyDiv w:val="1"/>
      <w:marLeft w:val="0"/>
      <w:marRight w:val="0"/>
      <w:marTop w:val="0"/>
      <w:marBottom w:val="0"/>
      <w:divBdr>
        <w:top w:val="none" w:sz="0" w:space="0" w:color="auto"/>
        <w:left w:val="none" w:sz="0" w:space="0" w:color="auto"/>
        <w:bottom w:val="none" w:sz="0" w:space="0" w:color="auto"/>
        <w:right w:val="none" w:sz="0" w:space="0" w:color="auto"/>
      </w:divBdr>
    </w:div>
    <w:div w:id="1481271315">
      <w:bodyDiv w:val="1"/>
      <w:marLeft w:val="0"/>
      <w:marRight w:val="0"/>
      <w:marTop w:val="0"/>
      <w:marBottom w:val="0"/>
      <w:divBdr>
        <w:top w:val="none" w:sz="0" w:space="0" w:color="auto"/>
        <w:left w:val="none" w:sz="0" w:space="0" w:color="auto"/>
        <w:bottom w:val="none" w:sz="0" w:space="0" w:color="auto"/>
        <w:right w:val="none" w:sz="0" w:space="0" w:color="auto"/>
      </w:divBdr>
    </w:div>
    <w:div w:id="1482312162">
      <w:bodyDiv w:val="1"/>
      <w:marLeft w:val="0"/>
      <w:marRight w:val="0"/>
      <w:marTop w:val="0"/>
      <w:marBottom w:val="0"/>
      <w:divBdr>
        <w:top w:val="none" w:sz="0" w:space="0" w:color="auto"/>
        <w:left w:val="none" w:sz="0" w:space="0" w:color="auto"/>
        <w:bottom w:val="none" w:sz="0" w:space="0" w:color="auto"/>
        <w:right w:val="none" w:sz="0" w:space="0" w:color="auto"/>
      </w:divBdr>
    </w:div>
    <w:div w:id="1482386845">
      <w:bodyDiv w:val="1"/>
      <w:marLeft w:val="0"/>
      <w:marRight w:val="0"/>
      <w:marTop w:val="0"/>
      <w:marBottom w:val="0"/>
      <w:divBdr>
        <w:top w:val="none" w:sz="0" w:space="0" w:color="auto"/>
        <w:left w:val="none" w:sz="0" w:space="0" w:color="auto"/>
        <w:bottom w:val="none" w:sz="0" w:space="0" w:color="auto"/>
        <w:right w:val="none" w:sz="0" w:space="0" w:color="auto"/>
      </w:divBdr>
    </w:div>
    <w:div w:id="1482693826">
      <w:bodyDiv w:val="1"/>
      <w:marLeft w:val="0"/>
      <w:marRight w:val="0"/>
      <w:marTop w:val="0"/>
      <w:marBottom w:val="0"/>
      <w:divBdr>
        <w:top w:val="none" w:sz="0" w:space="0" w:color="auto"/>
        <w:left w:val="none" w:sz="0" w:space="0" w:color="auto"/>
        <w:bottom w:val="none" w:sz="0" w:space="0" w:color="auto"/>
        <w:right w:val="none" w:sz="0" w:space="0" w:color="auto"/>
      </w:divBdr>
    </w:div>
    <w:div w:id="1483736806">
      <w:bodyDiv w:val="1"/>
      <w:marLeft w:val="0"/>
      <w:marRight w:val="0"/>
      <w:marTop w:val="0"/>
      <w:marBottom w:val="0"/>
      <w:divBdr>
        <w:top w:val="none" w:sz="0" w:space="0" w:color="auto"/>
        <w:left w:val="none" w:sz="0" w:space="0" w:color="auto"/>
        <w:bottom w:val="none" w:sz="0" w:space="0" w:color="auto"/>
        <w:right w:val="none" w:sz="0" w:space="0" w:color="auto"/>
      </w:divBdr>
    </w:div>
    <w:div w:id="1485465215">
      <w:bodyDiv w:val="1"/>
      <w:marLeft w:val="0"/>
      <w:marRight w:val="0"/>
      <w:marTop w:val="0"/>
      <w:marBottom w:val="0"/>
      <w:divBdr>
        <w:top w:val="none" w:sz="0" w:space="0" w:color="auto"/>
        <w:left w:val="none" w:sz="0" w:space="0" w:color="auto"/>
        <w:bottom w:val="none" w:sz="0" w:space="0" w:color="auto"/>
        <w:right w:val="none" w:sz="0" w:space="0" w:color="auto"/>
      </w:divBdr>
    </w:div>
    <w:div w:id="1485780265">
      <w:bodyDiv w:val="1"/>
      <w:marLeft w:val="0"/>
      <w:marRight w:val="0"/>
      <w:marTop w:val="0"/>
      <w:marBottom w:val="0"/>
      <w:divBdr>
        <w:top w:val="none" w:sz="0" w:space="0" w:color="auto"/>
        <w:left w:val="none" w:sz="0" w:space="0" w:color="auto"/>
        <w:bottom w:val="none" w:sz="0" w:space="0" w:color="auto"/>
        <w:right w:val="none" w:sz="0" w:space="0" w:color="auto"/>
      </w:divBdr>
    </w:div>
    <w:div w:id="1486042544">
      <w:bodyDiv w:val="1"/>
      <w:marLeft w:val="0"/>
      <w:marRight w:val="0"/>
      <w:marTop w:val="0"/>
      <w:marBottom w:val="0"/>
      <w:divBdr>
        <w:top w:val="none" w:sz="0" w:space="0" w:color="auto"/>
        <w:left w:val="none" w:sz="0" w:space="0" w:color="auto"/>
        <w:bottom w:val="none" w:sz="0" w:space="0" w:color="auto"/>
        <w:right w:val="none" w:sz="0" w:space="0" w:color="auto"/>
      </w:divBdr>
    </w:div>
    <w:div w:id="1487088459">
      <w:bodyDiv w:val="1"/>
      <w:marLeft w:val="0"/>
      <w:marRight w:val="0"/>
      <w:marTop w:val="0"/>
      <w:marBottom w:val="0"/>
      <w:divBdr>
        <w:top w:val="none" w:sz="0" w:space="0" w:color="auto"/>
        <w:left w:val="none" w:sz="0" w:space="0" w:color="auto"/>
        <w:bottom w:val="none" w:sz="0" w:space="0" w:color="auto"/>
        <w:right w:val="none" w:sz="0" w:space="0" w:color="auto"/>
      </w:divBdr>
    </w:div>
    <w:div w:id="1487279446">
      <w:bodyDiv w:val="1"/>
      <w:marLeft w:val="0"/>
      <w:marRight w:val="0"/>
      <w:marTop w:val="0"/>
      <w:marBottom w:val="0"/>
      <w:divBdr>
        <w:top w:val="none" w:sz="0" w:space="0" w:color="auto"/>
        <w:left w:val="none" w:sz="0" w:space="0" w:color="auto"/>
        <w:bottom w:val="none" w:sz="0" w:space="0" w:color="auto"/>
        <w:right w:val="none" w:sz="0" w:space="0" w:color="auto"/>
      </w:divBdr>
    </w:div>
    <w:div w:id="1487547784">
      <w:bodyDiv w:val="1"/>
      <w:marLeft w:val="0"/>
      <w:marRight w:val="0"/>
      <w:marTop w:val="0"/>
      <w:marBottom w:val="0"/>
      <w:divBdr>
        <w:top w:val="none" w:sz="0" w:space="0" w:color="auto"/>
        <w:left w:val="none" w:sz="0" w:space="0" w:color="auto"/>
        <w:bottom w:val="none" w:sz="0" w:space="0" w:color="auto"/>
        <w:right w:val="none" w:sz="0" w:space="0" w:color="auto"/>
      </w:divBdr>
    </w:div>
    <w:div w:id="1487743151">
      <w:bodyDiv w:val="1"/>
      <w:marLeft w:val="0"/>
      <w:marRight w:val="0"/>
      <w:marTop w:val="0"/>
      <w:marBottom w:val="0"/>
      <w:divBdr>
        <w:top w:val="none" w:sz="0" w:space="0" w:color="auto"/>
        <w:left w:val="none" w:sz="0" w:space="0" w:color="auto"/>
        <w:bottom w:val="none" w:sz="0" w:space="0" w:color="auto"/>
        <w:right w:val="none" w:sz="0" w:space="0" w:color="auto"/>
      </w:divBdr>
    </w:div>
    <w:div w:id="1489059351">
      <w:bodyDiv w:val="1"/>
      <w:marLeft w:val="0"/>
      <w:marRight w:val="0"/>
      <w:marTop w:val="0"/>
      <w:marBottom w:val="0"/>
      <w:divBdr>
        <w:top w:val="none" w:sz="0" w:space="0" w:color="auto"/>
        <w:left w:val="none" w:sz="0" w:space="0" w:color="auto"/>
        <w:bottom w:val="none" w:sz="0" w:space="0" w:color="auto"/>
        <w:right w:val="none" w:sz="0" w:space="0" w:color="auto"/>
      </w:divBdr>
    </w:div>
    <w:div w:id="1489633611">
      <w:bodyDiv w:val="1"/>
      <w:marLeft w:val="0"/>
      <w:marRight w:val="0"/>
      <w:marTop w:val="0"/>
      <w:marBottom w:val="0"/>
      <w:divBdr>
        <w:top w:val="none" w:sz="0" w:space="0" w:color="auto"/>
        <w:left w:val="none" w:sz="0" w:space="0" w:color="auto"/>
        <w:bottom w:val="none" w:sz="0" w:space="0" w:color="auto"/>
        <w:right w:val="none" w:sz="0" w:space="0" w:color="auto"/>
      </w:divBdr>
    </w:div>
    <w:div w:id="1489974704">
      <w:bodyDiv w:val="1"/>
      <w:marLeft w:val="0"/>
      <w:marRight w:val="0"/>
      <w:marTop w:val="0"/>
      <w:marBottom w:val="0"/>
      <w:divBdr>
        <w:top w:val="none" w:sz="0" w:space="0" w:color="auto"/>
        <w:left w:val="none" w:sz="0" w:space="0" w:color="auto"/>
        <w:bottom w:val="none" w:sz="0" w:space="0" w:color="auto"/>
        <w:right w:val="none" w:sz="0" w:space="0" w:color="auto"/>
      </w:divBdr>
    </w:div>
    <w:div w:id="1490755403">
      <w:bodyDiv w:val="1"/>
      <w:marLeft w:val="0"/>
      <w:marRight w:val="0"/>
      <w:marTop w:val="0"/>
      <w:marBottom w:val="0"/>
      <w:divBdr>
        <w:top w:val="none" w:sz="0" w:space="0" w:color="auto"/>
        <w:left w:val="none" w:sz="0" w:space="0" w:color="auto"/>
        <w:bottom w:val="none" w:sz="0" w:space="0" w:color="auto"/>
        <w:right w:val="none" w:sz="0" w:space="0" w:color="auto"/>
      </w:divBdr>
    </w:div>
    <w:div w:id="1491293100">
      <w:bodyDiv w:val="1"/>
      <w:marLeft w:val="0"/>
      <w:marRight w:val="0"/>
      <w:marTop w:val="0"/>
      <w:marBottom w:val="0"/>
      <w:divBdr>
        <w:top w:val="none" w:sz="0" w:space="0" w:color="auto"/>
        <w:left w:val="none" w:sz="0" w:space="0" w:color="auto"/>
        <w:bottom w:val="none" w:sz="0" w:space="0" w:color="auto"/>
        <w:right w:val="none" w:sz="0" w:space="0" w:color="auto"/>
      </w:divBdr>
    </w:div>
    <w:div w:id="1491367157">
      <w:bodyDiv w:val="1"/>
      <w:marLeft w:val="0"/>
      <w:marRight w:val="0"/>
      <w:marTop w:val="0"/>
      <w:marBottom w:val="0"/>
      <w:divBdr>
        <w:top w:val="none" w:sz="0" w:space="0" w:color="auto"/>
        <w:left w:val="none" w:sz="0" w:space="0" w:color="auto"/>
        <w:bottom w:val="none" w:sz="0" w:space="0" w:color="auto"/>
        <w:right w:val="none" w:sz="0" w:space="0" w:color="auto"/>
      </w:divBdr>
    </w:div>
    <w:div w:id="1491410923">
      <w:bodyDiv w:val="1"/>
      <w:marLeft w:val="0"/>
      <w:marRight w:val="0"/>
      <w:marTop w:val="0"/>
      <w:marBottom w:val="0"/>
      <w:divBdr>
        <w:top w:val="none" w:sz="0" w:space="0" w:color="auto"/>
        <w:left w:val="none" w:sz="0" w:space="0" w:color="auto"/>
        <w:bottom w:val="none" w:sz="0" w:space="0" w:color="auto"/>
        <w:right w:val="none" w:sz="0" w:space="0" w:color="auto"/>
      </w:divBdr>
    </w:div>
    <w:div w:id="1491480986">
      <w:bodyDiv w:val="1"/>
      <w:marLeft w:val="0"/>
      <w:marRight w:val="0"/>
      <w:marTop w:val="0"/>
      <w:marBottom w:val="0"/>
      <w:divBdr>
        <w:top w:val="none" w:sz="0" w:space="0" w:color="auto"/>
        <w:left w:val="none" w:sz="0" w:space="0" w:color="auto"/>
        <w:bottom w:val="none" w:sz="0" w:space="0" w:color="auto"/>
        <w:right w:val="none" w:sz="0" w:space="0" w:color="auto"/>
      </w:divBdr>
    </w:div>
    <w:div w:id="1491604694">
      <w:bodyDiv w:val="1"/>
      <w:marLeft w:val="0"/>
      <w:marRight w:val="0"/>
      <w:marTop w:val="0"/>
      <w:marBottom w:val="0"/>
      <w:divBdr>
        <w:top w:val="none" w:sz="0" w:space="0" w:color="auto"/>
        <w:left w:val="none" w:sz="0" w:space="0" w:color="auto"/>
        <w:bottom w:val="none" w:sz="0" w:space="0" w:color="auto"/>
        <w:right w:val="none" w:sz="0" w:space="0" w:color="auto"/>
      </w:divBdr>
    </w:div>
    <w:div w:id="1492602732">
      <w:bodyDiv w:val="1"/>
      <w:marLeft w:val="0"/>
      <w:marRight w:val="0"/>
      <w:marTop w:val="0"/>
      <w:marBottom w:val="0"/>
      <w:divBdr>
        <w:top w:val="none" w:sz="0" w:space="0" w:color="auto"/>
        <w:left w:val="none" w:sz="0" w:space="0" w:color="auto"/>
        <w:bottom w:val="none" w:sz="0" w:space="0" w:color="auto"/>
        <w:right w:val="none" w:sz="0" w:space="0" w:color="auto"/>
      </w:divBdr>
    </w:div>
    <w:div w:id="1493059362">
      <w:bodyDiv w:val="1"/>
      <w:marLeft w:val="0"/>
      <w:marRight w:val="0"/>
      <w:marTop w:val="0"/>
      <w:marBottom w:val="0"/>
      <w:divBdr>
        <w:top w:val="none" w:sz="0" w:space="0" w:color="auto"/>
        <w:left w:val="none" w:sz="0" w:space="0" w:color="auto"/>
        <w:bottom w:val="none" w:sz="0" w:space="0" w:color="auto"/>
        <w:right w:val="none" w:sz="0" w:space="0" w:color="auto"/>
      </w:divBdr>
    </w:div>
    <w:div w:id="1493135384">
      <w:bodyDiv w:val="1"/>
      <w:marLeft w:val="0"/>
      <w:marRight w:val="0"/>
      <w:marTop w:val="0"/>
      <w:marBottom w:val="0"/>
      <w:divBdr>
        <w:top w:val="none" w:sz="0" w:space="0" w:color="auto"/>
        <w:left w:val="none" w:sz="0" w:space="0" w:color="auto"/>
        <w:bottom w:val="none" w:sz="0" w:space="0" w:color="auto"/>
        <w:right w:val="none" w:sz="0" w:space="0" w:color="auto"/>
      </w:divBdr>
    </w:div>
    <w:div w:id="1493375067">
      <w:bodyDiv w:val="1"/>
      <w:marLeft w:val="0"/>
      <w:marRight w:val="0"/>
      <w:marTop w:val="0"/>
      <w:marBottom w:val="0"/>
      <w:divBdr>
        <w:top w:val="none" w:sz="0" w:space="0" w:color="auto"/>
        <w:left w:val="none" w:sz="0" w:space="0" w:color="auto"/>
        <w:bottom w:val="none" w:sz="0" w:space="0" w:color="auto"/>
        <w:right w:val="none" w:sz="0" w:space="0" w:color="auto"/>
      </w:divBdr>
    </w:div>
    <w:div w:id="1493787866">
      <w:bodyDiv w:val="1"/>
      <w:marLeft w:val="0"/>
      <w:marRight w:val="0"/>
      <w:marTop w:val="0"/>
      <w:marBottom w:val="0"/>
      <w:divBdr>
        <w:top w:val="none" w:sz="0" w:space="0" w:color="auto"/>
        <w:left w:val="none" w:sz="0" w:space="0" w:color="auto"/>
        <w:bottom w:val="none" w:sz="0" w:space="0" w:color="auto"/>
        <w:right w:val="none" w:sz="0" w:space="0" w:color="auto"/>
      </w:divBdr>
    </w:div>
    <w:div w:id="1494300485">
      <w:bodyDiv w:val="1"/>
      <w:marLeft w:val="0"/>
      <w:marRight w:val="0"/>
      <w:marTop w:val="0"/>
      <w:marBottom w:val="0"/>
      <w:divBdr>
        <w:top w:val="none" w:sz="0" w:space="0" w:color="auto"/>
        <w:left w:val="none" w:sz="0" w:space="0" w:color="auto"/>
        <w:bottom w:val="none" w:sz="0" w:space="0" w:color="auto"/>
        <w:right w:val="none" w:sz="0" w:space="0" w:color="auto"/>
      </w:divBdr>
    </w:div>
    <w:div w:id="1495336953">
      <w:bodyDiv w:val="1"/>
      <w:marLeft w:val="0"/>
      <w:marRight w:val="0"/>
      <w:marTop w:val="0"/>
      <w:marBottom w:val="0"/>
      <w:divBdr>
        <w:top w:val="none" w:sz="0" w:space="0" w:color="auto"/>
        <w:left w:val="none" w:sz="0" w:space="0" w:color="auto"/>
        <w:bottom w:val="none" w:sz="0" w:space="0" w:color="auto"/>
        <w:right w:val="none" w:sz="0" w:space="0" w:color="auto"/>
      </w:divBdr>
    </w:div>
    <w:div w:id="1496384866">
      <w:bodyDiv w:val="1"/>
      <w:marLeft w:val="0"/>
      <w:marRight w:val="0"/>
      <w:marTop w:val="0"/>
      <w:marBottom w:val="0"/>
      <w:divBdr>
        <w:top w:val="none" w:sz="0" w:space="0" w:color="auto"/>
        <w:left w:val="none" w:sz="0" w:space="0" w:color="auto"/>
        <w:bottom w:val="none" w:sz="0" w:space="0" w:color="auto"/>
        <w:right w:val="none" w:sz="0" w:space="0" w:color="auto"/>
      </w:divBdr>
    </w:div>
    <w:div w:id="1496412581">
      <w:bodyDiv w:val="1"/>
      <w:marLeft w:val="0"/>
      <w:marRight w:val="0"/>
      <w:marTop w:val="0"/>
      <w:marBottom w:val="0"/>
      <w:divBdr>
        <w:top w:val="none" w:sz="0" w:space="0" w:color="auto"/>
        <w:left w:val="none" w:sz="0" w:space="0" w:color="auto"/>
        <w:bottom w:val="none" w:sz="0" w:space="0" w:color="auto"/>
        <w:right w:val="none" w:sz="0" w:space="0" w:color="auto"/>
      </w:divBdr>
    </w:div>
    <w:div w:id="1496873873">
      <w:bodyDiv w:val="1"/>
      <w:marLeft w:val="0"/>
      <w:marRight w:val="0"/>
      <w:marTop w:val="0"/>
      <w:marBottom w:val="0"/>
      <w:divBdr>
        <w:top w:val="none" w:sz="0" w:space="0" w:color="auto"/>
        <w:left w:val="none" w:sz="0" w:space="0" w:color="auto"/>
        <w:bottom w:val="none" w:sz="0" w:space="0" w:color="auto"/>
        <w:right w:val="none" w:sz="0" w:space="0" w:color="auto"/>
      </w:divBdr>
    </w:div>
    <w:div w:id="1497108957">
      <w:bodyDiv w:val="1"/>
      <w:marLeft w:val="0"/>
      <w:marRight w:val="0"/>
      <w:marTop w:val="0"/>
      <w:marBottom w:val="0"/>
      <w:divBdr>
        <w:top w:val="none" w:sz="0" w:space="0" w:color="auto"/>
        <w:left w:val="none" w:sz="0" w:space="0" w:color="auto"/>
        <w:bottom w:val="none" w:sz="0" w:space="0" w:color="auto"/>
        <w:right w:val="none" w:sz="0" w:space="0" w:color="auto"/>
      </w:divBdr>
    </w:div>
    <w:div w:id="1497114896">
      <w:bodyDiv w:val="1"/>
      <w:marLeft w:val="0"/>
      <w:marRight w:val="0"/>
      <w:marTop w:val="0"/>
      <w:marBottom w:val="0"/>
      <w:divBdr>
        <w:top w:val="none" w:sz="0" w:space="0" w:color="auto"/>
        <w:left w:val="none" w:sz="0" w:space="0" w:color="auto"/>
        <w:bottom w:val="none" w:sz="0" w:space="0" w:color="auto"/>
        <w:right w:val="none" w:sz="0" w:space="0" w:color="auto"/>
      </w:divBdr>
    </w:div>
    <w:div w:id="1497912823">
      <w:bodyDiv w:val="1"/>
      <w:marLeft w:val="0"/>
      <w:marRight w:val="0"/>
      <w:marTop w:val="0"/>
      <w:marBottom w:val="0"/>
      <w:divBdr>
        <w:top w:val="none" w:sz="0" w:space="0" w:color="auto"/>
        <w:left w:val="none" w:sz="0" w:space="0" w:color="auto"/>
        <w:bottom w:val="none" w:sz="0" w:space="0" w:color="auto"/>
        <w:right w:val="none" w:sz="0" w:space="0" w:color="auto"/>
      </w:divBdr>
    </w:div>
    <w:div w:id="1498030960">
      <w:bodyDiv w:val="1"/>
      <w:marLeft w:val="0"/>
      <w:marRight w:val="0"/>
      <w:marTop w:val="0"/>
      <w:marBottom w:val="0"/>
      <w:divBdr>
        <w:top w:val="none" w:sz="0" w:space="0" w:color="auto"/>
        <w:left w:val="none" w:sz="0" w:space="0" w:color="auto"/>
        <w:bottom w:val="none" w:sz="0" w:space="0" w:color="auto"/>
        <w:right w:val="none" w:sz="0" w:space="0" w:color="auto"/>
      </w:divBdr>
    </w:div>
    <w:div w:id="1499153922">
      <w:bodyDiv w:val="1"/>
      <w:marLeft w:val="0"/>
      <w:marRight w:val="0"/>
      <w:marTop w:val="0"/>
      <w:marBottom w:val="0"/>
      <w:divBdr>
        <w:top w:val="none" w:sz="0" w:space="0" w:color="auto"/>
        <w:left w:val="none" w:sz="0" w:space="0" w:color="auto"/>
        <w:bottom w:val="none" w:sz="0" w:space="0" w:color="auto"/>
        <w:right w:val="none" w:sz="0" w:space="0" w:color="auto"/>
      </w:divBdr>
    </w:div>
    <w:div w:id="1499736450">
      <w:bodyDiv w:val="1"/>
      <w:marLeft w:val="0"/>
      <w:marRight w:val="0"/>
      <w:marTop w:val="0"/>
      <w:marBottom w:val="0"/>
      <w:divBdr>
        <w:top w:val="none" w:sz="0" w:space="0" w:color="auto"/>
        <w:left w:val="none" w:sz="0" w:space="0" w:color="auto"/>
        <w:bottom w:val="none" w:sz="0" w:space="0" w:color="auto"/>
        <w:right w:val="none" w:sz="0" w:space="0" w:color="auto"/>
      </w:divBdr>
    </w:div>
    <w:div w:id="1499925953">
      <w:bodyDiv w:val="1"/>
      <w:marLeft w:val="0"/>
      <w:marRight w:val="0"/>
      <w:marTop w:val="0"/>
      <w:marBottom w:val="0"/>
      <w:divBdr>
        <w:top w:val="none" w:sz="0" w:space="0" w:color="auto"/>
        <w:left w:val="none" w:sz="0" w:space="0" w:color="auto"/>
        <w:bottom w:val="none" w:sz="0" w:space="0" w:color="auto"/>
        <w:right w:val="none" w:sz="0" w:space="0" w:color="auto"/>
      </w:divBdr>
    </w:div>
    <w:div w:id="1500080651">
      <w:bodyDiv w:val="1"/>
      <w:marLeft w:val="0"/>
      <w:marRight w:val="0"/>
      <w:marTop w:val="0"/>
      <w:marBottom w:val="0"/>
      <w:divBdr>
        <w:top w:val="none" w:sz="0" w:space="0" w:color="auto"/>
        <w:left w:val="none" w:sz="0" w:space="0" w:color="auto"/>
        <w:bottom w:val="none" w:sz="0" w:space="0" w:color="auto"/>
        <w:right w:val="none" w:sz="0" w:space="0" w:color="auto"/>
      </w:divBdr>
    </w:div>
    <w:div w:id="1500190066">
      <w:bodyDiv w:val="1"/>
      <w:marLeft w:val="0"/>
      <w:marRight w:val="0"/>
      <w:marTop w:val="0"/>
      <w:marBottom w:val="0"/>
      <w:divBdr>
        <w:top w:val="none" w:sz="0" w:space="0" w:color="auto"/>
        <w:left w:val="none" w:sz="0" w:space="0" w:color="auto"/>
        <w:bottom w:val="none" w:sz="0" w:space="0" w:color="auto"/>
        <w:right w:val="none" w:sz="0" w:space="0" w:color="auto"/>
      </w:divBdr>
    </w:div>
    <w:div w:id="1500464640">
      <w:bodyDiv w:val="1"/>
      <w:marLeft w:val="0"/>
      <w:marRight w:val="0"/>
      <w:marTop w:val="0"/>
      <w:marBottom w:val="0"/>
      <w:divBdr>
        <w:top w:val="none" w:sz="0" w:space="0" w:color="auto"/>
        <w:left w:val="none" w:sz="0" w:space="0" w:color="auto"/>
        <w:bottom w:val="none" w:sz="0" w:space="0" w:color="auto"/>
        <w:right w:val="none" w:sz="0" w:space="0" w:color="auto"/>
      </w:divBdr>
    </w:div>
    <w:div w:id="1501316090">
      <w:bodyDiv w:val="1"/>
      <w:marLeft w:val="0"/>
      <w:marRight w:val="0"/>
      <w:marTop w:val="0"/>
      <w:marBottom w:val="0"/>
      <w:divBdr>
        <w:top w:val="none" w:sz="0" w:space="0" w:color="auto"/>
        <w:left w:val="none" w:sz="0" w:space="0" w:color="auto"/>
        <w:bottom w:val="none" w:sz="0" w:space="0" w:color="auto"/>
        <w:right w:val="none" w:sz="0" w:space="0" w:color="auto"/>
      </w:divBdr>
    </w:div>
    <w:div w:id="1501891661">
      <w:bodyDiv w:val="1"/>
      <w:marLeft w:val="0"/>
      <w:marRight w:val="0"/>
      <w:marTop w:val="0"/>
      <w:marBottom w:val="0"/>
      <w:divBdr>
        <w:top w:val="none" w:sz="0" w:space="0" w:color="auto"/>
        <w:left w:val="none" w:sz="0" w:space="0" w:color="auto"/>
        <w:bottom w:val="none" w:sz="0" w:space="0" w:color="auto"/>
        <w:right w:val="none" w:sz="0" w:space="0" w:color="auto"/>
      </w:divBdr>
    </w:div>
    <w:div w:id="1501970483">
      <w:bodyDiv w:val="1"/>
      <w:marLeft w:val="0"/>
      <w:marRight w:val="0"/>
      <w:marTop w:val="0"/>
      <w:marBottom w:val="0"/>
      <w:divBdr>
        <w:top w:val="none" w:sz="0" w:space="0" w:color="auto"/>
        <w:left w:val="none" w:sz="0" w:space="0" w:color="auto"/>
        <w:bottom w:val="none" w:sz="0" w:space="0" w:color="auto"/>
        <w:right w:val="none" w:sz="0" w:space="0" w:color="auto"/>
      </w:divBdr>
    </w:div>
    <w:div w:id="1502886715">
      <w:bodyDiv w:val="1"/>
      <w:marLeft w:val="0"/>
      <w:marRight w:val="0"/>
      <w:marTop w:val="0"/>
      <w:marBottom w:val="0"/>
      <w:divBdr>
        <w:top w:val="none" w:sz="0" w:space="0" w:color="auto"/>
        <w:left w:val="none" w:sz="0" w:space="0" w:color="auto"/>
        <w:bottom w:val="none" w:sz="0" w:space="0" w:color="auto"/>
        <w:right w:val="none" w:sz="0" w:space="0" w:color="auto"/>
      </w:divBdr>
    </w:div>
    <w:div w:id="1503739641">
      <w:bodyDiv w:val="1"/>
      <w:marLeft w:val="0"/>
      <w:marRight w:val="0"/>
      <w:marTop w:val="0"/>
      <w:marBottom w:val="0"/>
      <w:divBdr>
        <w:top w:val="none" w:sz="0" w:space="0" w:color="auto"/>
        <w:left w:val="none" w:sz="0" w:space="0" w:color="auto"/>
        <w:bottom w:val="none" w:sz="0" w:space="0" w:color="auto"/>
        <w:right w:val="none" w:sz="0" w:space="0" w:color="auto"/>
      </w:divBdr>
    </w:div>
    <w:div w:id="1504200163">
      <w:bodyDiv w:val="1"/>
      <w:marLeft w:val="0"/>
      <w:marRight w:val="0"/>
      <w:marTop w:val="0"/>
      <w:marBottom w:val="0"/>
      <w:divBdr>
        <w:top w:val="none" w:sz="0" w:space="0" w:color="auto"/>
        <w:left w:val="none" w:sz="0" w:space="0" w:color="auto"/>
        <w:bottom w:val="none" w:sz="0" w:space="0" w:color="auto"/>
        <w:right w:val="none" w:sz="0" w:space="0" w:color="auto"/>
      </w:divBdr>
    </w:div>
    <w:div w:id="1504467577">
      <w:bodyDiv w:val="1"/>
      <w:marLeft w:val="0"/>
      <w:marRight w:val="0"/>
      <w:marTop w:val="0"/>
      <w:marBottom w:val="0"/>
      <w:divBdr>
        <w:top w:val="none" w:sz="0" w:space="0" w:color="auto"/>
        <w:left w:val="none" w:sz="0" w:space="0" w:color="auto"/>
        <w:bottom w:val="none" w:sz="0" w:space="0" w:color="auto"/>
        <w:right w:val="none" w:sz="0" w:space="0" w:color="auto"/>
      </w:divBdr>
    </w:div>
    <w:div w:id="1504469789">
      <w:bodyDiv w:val="1"/>
      <w:marLeft w:val="0"/>
      <w:marRight w:val="0"/>
      <w:marTop w:val="0"/>
      <w:marBottom w:val="0"/>
      <w:divBdr>
        <w:top w:val="none" w:sz="0" w:space="0" w:color="auto"/>
        <w:left w:val="none" w:sz="0" w:space="0" w:color="auto"/>
        <w:bottom w:val="none" w:sz="0" w:space="0" w:color="auto"/>
        <w:right w:val="none" w:sz="0" w:space="0" w:color="auto"/>
      </w:divBdr>
    </w:div>
    <w:div w:id="1504780446">
      <w:bodyDiv w:val="1"/>
      <w:marLeft w:val="0"/>
      <w:marRight w:val="0"/>
      <w:marTop w:val="0"/>
      <w:marBottom w:val="0"/>
      <w:divBdr>
        <w:top w:val="none" w:sz="0" w:space="0" w:color="auto"/>
        <w:left w:val="none" w:sz="0" w:space="0" w:color="auto"/>
        <w:bottom w:val="none" w:sz="0" w:space="0" w:color="auto"/>
        <w:right w:val="none" w:sz="0" w:space="0" w:color="auto"/>
      </w:divBdr>
    </w:div>
    <w:div w:id="1504781492">
      <w:bodyDiv w:val="1"/>
      <w:marLeft w:val="0"/>
      <w:marRight w:val="0"/>
      <w:marTop w:val="0"/>
      <w:marBottom w:val="0"/>
      <w:divBdr>
        <w:top w:val="none" w:sz="0" w:space="0" w:color="auto"/>
        <w:left w:val="none" w:sz="0" w:space="0" w:color="auto"/>
        <w:bottom w:val="none" w:sz="0" w:space="0" w:color="auto"/>
        <w:right w:val="none" w:sz="0" w:space="0" w:color="auto"/>
      </w:divBdr>
    </w:div>
    <w:div w:id="1505629363">
      <w:bodyDiv w:val="1"/>
      <w:marLeft w:val="0"/>
      <w:marRight w:val="0"/>
      <w:marTop w:val="0"/>
      <w:marBottom w:val="0"/>
      <w:divBdr>
        <w:top w:val="none" w:sz="0" w:space="0" w:color="auto"/>
        <w:left w:val="none" w:sz="0" w:space="0" w:color="auto"/>
        <w:bottom w:val="none" w:sz="0" w:space="0" w:color="auto"/>
        <w:right w:val="none" w:sz="0" w:space="0" w:color="auto"/>
      </w:divBdr>
    </w:div>
    <w:div w:id="1505824208">
      <w:bodyDiv w:val="1"/>
      <w:marLeft w:val="0"/>
      <w:marRight w:val="0"/>
      <w:marTop w:val="0"/>
      <w:marBottom w:val="0"/>
      <w:divBdr>
        <w:top w:val="none" w:sz="0" w:space="0" w:color="auto"/>
        <w:left w:val="none" w:sz="0" w:space="0" w:color="auto"/>
        <w:bottom w:val="none" w:sz="0" w:space="0" w:color="auto"/>
        <w:right w:val="none" w:sz="0" w:space="0" w:color="auto"/>
      </w:divBdr>
    </w:div>
    <w:div w:id="1506286303">
      <w:bodyDiv w:val="1"/>
      <w:marLeft w:val="0"/>
      <w:marRight w:val="0"/>
      <w:marTop w:val="0"/>
      <w:marBottom w:val="0"/>
      <w:divBdr>
        <w:top w:val="none" w:sz="0" w:space="0" w:color="auto"/>
        <w:left w:val="none" w:sz="0" w:space="0" w:color="auto"/>
        <w:bottom w:val="none" w:sz="0" w:space="0" w:color="auto"/>
        <w:right w:val="none" w:sz="0" w:space="0" w:color="auto"/>
      </w:divBdr>
    </w:div>
    <w:div w:id="1506433457">
      <w:bodyDiv w:val="1"/>
      <w:marLeft w:val="0"/>
      <w:marRight w:val="0"/>
      <w:marTop w:val="0"/>
      <w:marBottom w:val="0"/>
      <w:divBdr>
        <w:top w:val="none" w:sz="0" w:space="0" w:color="auto"/>
        <w:left w:val="none" w:sz="0" w:space="0" w:color="auto"/>
        <w:bottom w:val="none" w:sz="0" w:space="0" w:color="auto"/>
        <w:right w:val="none" w:sz="0" w:space="0" w:color="auto"/>
      </w:divBdr>
    </w:div>
    <w:div w:id="1506482558">
      <w:bodyDiv w:val="1"/>
      <w:marLeft w:val="0"/>
      <w:marRight w:val="0"/>
      <w:marTop w:val="0"/>
      <w:marBottom w:val="0"/>
      <w:divBdr>
        <w:top w:val="none" w:sz="0" w:space="0" w:color="auto"/>
        <w:left w:val="none" w:sz="0" w:space="0" w:color="auto"/>
        <w:bottom w:val="none" w:sz="0" w:space="0" w:color="auto"/>
        <w:right w:val="none" w:sz="0" w:space="0" w:color="auto"/>
      </w:divBdr>
    </w:div>
    <w:div w:id="1506748806">
      <w:bodyDiv w:val="1"/>
      <w:marLeft w:val="0"/>
      <w:marRight w:val="0"/>
      <w:marTop w:val="0"/>
      <w:marBottom w:val="0"/>
      <w:divBdr>
        <w:top w:val="none" w:sz="0" w:space="0" w:color="auto"/>
        <w:left w:val="none" w:sz="0" w:space="0" w:color="auto"/>
        <w:bottom w:val="none" w:sz="0" w:space="0" w:color="auto"/>
        <w:right w:val="none" w:sz="0" w:space="0" w:color="auto"/>
      </w:divBdr>
    </w:div>
    <w:div w:id="1507399732">
      <w:bodyDiv w:val="1"/>
      <w:marLeft w:val="0"/>
      <w:marRight w:val="0"/>
      <w:marTop w:val="0"/>
      <w:marBottom w:val="0"/>
      <w:divBdr>
        <w:top w:val="none" w:sz="0" w:space="0" w:color="auto"/>
        <w:left w:val="none" w:sz="0" w:space="0" w:color="auto"/>
        <w:bottom w:val="none" w:sz="0" w:space="0" w:color="auto"/>
        <w:right w:val="none" w:sz="0" w:space="0" w:color="auto"/>
      </w:divBdr>
    </w:div>
    <w:div w:id="1507667606">
      <w:bodyDiv w:val="1"/>
      <w:marLeft w:val="0"/>
      <w:marRight w:val="0"/>
      <w:marTop w:val="0"/>
      <w:marBottom w:val="0"/>
      <w:divBdr>
        <w:top w:val="none" w:sz="0" w:space="0" w:color="auto"/>
        <w:left w:val="none" w:sz="0" w:space="0" w:color="auto"/>
        <w:bottom w:val="none" w:sz="0" w:space="0" w:color="auto"/>
        <w:right w:val="none" w:sz="0" w:space="0" w:color="auto"/>
      </w:divBdr>
    </w:div>
    <w:div w:id="1507670491">
      <w:bodyDiv w:val="1"/>
      <w:marLeft w:val="0"/>
      <w:marRight w:val="0"/>
      <w:marTop w:val="0"/>
      <w:marBottom w:val="0"/>
      <w:divBdr>
        <w:top w:val="none" w:sz="0" w:space="0" w:color="auto"/>
        <w:left w:val="none" w:sz="0" w:space="0" w:color="auto"/>
        <w:bottom w:val="none" w:sz="0" w:space="0" w:color="auto"/>
        <w:right w:val="none" w:sz="0" w:space="0" w:color="auto"/>
      </w:divBdr>
    </w:div>
    <w:div w:id="1508131743">
      <w:bodyDiv w:val="1"/>
      <w:marLeft w:val="0"/>
      <w:marRight w:val="0"/>
      <w:marTop w:val="0"/>
      <w:marBottom w:val="0"/>
      <w:divBdr>
        <w:top w:val="none" w:sz="0" w:space="0" w:color="auto"/>
        <w:left w:val="none" w:sz="0" w:space="0" w:color="auto"/>
        <w:bottom w:val="none" w:sz="0" w:space="0" w:color="auto"/>
        <w:right w:val="none" w:sz="0" w:space="0" w:color="auto"/>
      </w:divBdr>
    </w:div>
    <w:div w:id="1509446423">
      <w:bodyDiv w:val="1"/>
      <w:marLeft w:val="0"/>
      <w:marRight w:val="0"/>
      <w:marTop w:val="0"/>
      <w:marBottom w:val="0"/>
      <w:divBdr>
        <w:top w:val="none" w:sz="0" w:space="0" w:color="auto"/>
        <w:left w:val="none" w:sz="0" w:space="0" w:color="auto"/>
        <w:bottom w:val="none" w:sz="0" w:space="0" w:color="auto"/>
        <w:right w:val="none" w:sz="0" w:space="0" w:color="auto"/>
      </w:divBdr>
    </w:div>
    <w:div w:id="1510951465">
      <w:bodyDiv w:val="1"/>
      <w:marLeft w:val="0"/>
      <w:marRight w:val="0"/>
      <w:marTop w:val="0"/>
      <w:marBottom w:val="0"/>
      <w:divBdr>
        <w:top w:val="none" w:sz="0" w:space="0" w:color="auto"/>
        <w:left w:val="none" w:sz="0" w:space="0" w:color="auto"/>
        <w:bottom w:val="none" w:sz="0" w:space="0" w:color="auto"/>
        <w:right w:val="none" w:sz="0" w:space="0" w:color="auto"/>
      </w:divBdr>
    </w:div>
    <w:div w:id="1511260661">
      <w:bodyDiv w:val="1"/>
      <w:marLeft w:val="0"/>
      <w:marRight w:val="0"/>
      <w:marTop w:val="0"/>
      <w:marBottom w:val="0"/>
      <w:divBdr>
        <w:top w:val="none" w:sz="0" w:space="0" w:color="auto"/>
        <w:left w:val="none" w:sz="0" w:space="0" w:color="auto"/>
        <w:bottom w:val="none" w:sz="0" w:space="0" w:color="auto"/>
        <w:right w:val="none" w:sz="0" w:space="0" w:color="auto"/>
      </w:divBdr>
    </w:div>
    <w:div w:id="1511606642">
      <w:bodyDiv w:val="1"/>
      <w:marLeft w:val="0"/>
      <w:marRight w:val="0"/>
      <w:marTop w:val="0"/>
      <w:marBottom w:val="0"/>
      <w:divBdr>
        <w:top w:val="none" w:sz="0" w:space="0" w:color="auto"/>
        <w:left w:val="none" w:sz="0" w:space="0" w:color="auto"/>
        <w:bottom w:val="none" w:sz="0" w:space="0" w:color="auto"/>
        <w:right w:val="none" w:sz="0" w:space="0" w:color="auto"/>
      </w:divBdr>
    </w:div>
    <w:div w:id="1511680350">
      <w:bodyDiv w:val="1"/>
      <w:marLeft w:val="0"/>
      <w:marRight w:val="0"/>
      <w:marTop w:val="0"/>
      <w:marBottom w:val="0"/>
      <w:divBdr>
        <w:top w:val="none" w:sz="0" w:space="0" w:color="auto"/>
        <w:left w:val="none" w:sz="0" w:space="0" w:color="auto"/>
        <w:bottom w:val="none" w:sz="0" w:space="0" w:color="auto"/>
        <w:right w:val="none" w:sz="0" w:space="0" w:color="auto"/>
      </w:divBdr>
    </w:div>
    <w:div w:id="1511800122">
      <w:bodyDiv w:val="1"/>
      <w:marLeft w:val="0"/>
      <w:marRight w:val="0"/>
      <w:marTop w:val="0"/>
      <w:marBottom w:val="0"/>
      <w:divBdr>
        <w:top w:val="none" w:sz="0" w:space="0" w:color="auto"/>
        <w:left w:val="none" w:sz="0" w:space="0" w:color="auto"/>
        <w:bottom w:val="none" w:sz="0" w:space="0" w:color="auto"/>
        <w:right w:val="none" w:sz="0" w:space="0" w:color="auto"/>
      </w:divBdr>
    </w:div>
    <w:div w:id="1512060692">
      <w:bodyDiv w:val="1"/>
      <w:marLeft w:val="0"/>
      <w:marRight w:val="0"/>
      <w:marTop w:val="0"/>
      <w:marBottom w:val="0"/>
      <w:divBdr>
        <w:top w:val="none" w:sz="0" w:space="0" w:color="auto"/>
        <w:left w:val="none" w:sz="0" w:space="0" w:color="auto"/>
        <w:bottom w:val="none" w:sz="0" w:space="0" w:color="auto"/>
        <w:right w:val="none" w:sz="0" w:space="0" w:color="auto"/>
      </w:divBdr>
    </w:div>
    <w:div w:id="1512448461">
      <w:bodyDiv w:val="1"/>
      <w:marLeft w:val="0"/>
      <w:marRight w:val="0"/>
      <w:marTop w:val="0"/>
      <w:marBottom w:val="0"/>
      <w:divBdr>
        <w:top w:val="none" w:sz="0" w:space="0" w:color="auto"/>
        <w:left w:val="none" w:sz="0" w:space="0" w:color="auto"/>
        <w:bottom w:val="none" w:sz="0" w:space="0" w:color="auto"/>
        <w:right w:val="none" w:sz="0" w:space="0" w:color="auto"/>
      </w:divBdr>
    </w:div>
    <w:div w:id="1513646340">
      <w:bodyDiv w:val="1"/>
      <w:marLeft w:val="0"/>
      <w:marRight w:val="0"/>
      <w:marTop w:val="0"/>
      <w:marBottom w:val="0"/>
      <w:divBdr>
        <w:top w:val="none" w:sz="0" w:space="0" w:color="auto"/>
        <w:left w:val="none" w:sz="0" w:space="0" w:color="auto"/>
        <w:bottom w:val="none" w:sz="0" w:space="0" w:color="auto"/>
        <w:right w:val="none" w:sz="0" w:space="0" w:color="auto"/>
      </w:divBdr>
    </w:div>
    <w:div w:id="1514799266">
      <w:bodyDiv w:val="1"/>
      <w:marLeft w:val="0"/>
      <w:marRight w:val="0"/>
      <w:marTop w:val="0"/>
      <w:marBottom w:val="0"/>
      <w:divBdr>
        <w:top w:val="none" w:sz="0" w:space="0" w:color="auto"/>
        <w:left w:val="none" w:sz="0" w:space="0" w:color="auto"/>
        <w:bottom w:val="none" w:sz="0" w:space="0" w:color="auto"/>
        <w:right w:val="none" w:sz="0" w:space="0" w:color="auto"/>
      </w:divBdr>
    </w:div>
    <w:div w:id="1514876672">
      <w:bodyDiv w:val="1"/>
      <w:marLeft w:val="0"/>
      <w:marRight w:val="0"/>
      <w:marTop w:val="0"/>
      <w:marBottom w:val="0"/>
      <w:divBdr>
        <w:top w:val="none" w:sz="0" w:space="0" w:color="auto"/>
        <w:left w:val="none" w:sz="0" w:space="0" w:color="auto"/>
        <w:bottom w:val="none" w:sz="0" w:space="0" w:color="auto"/>
        <w:right w:val="none" w:sz="0" w:space="0" w:color="auto"/>
      </w:divBdr>
    </w:div>
    <w:div w:id="1514996681">
      <w:bodyDiv w:val="1"/>
      <w:marLeft w:val="0"/>
      <w:marRight w:val="0"/>
      <w:marTop w:val="0"/>
      <w:marBottom w:val="0"/>
      <w:divBdr>
        <w:top w:val="none" w:sz="0" w:space="0" w:color="auto"/>
        <w:left w:val="none" w:sz="0" w:space="0" w:color="auto"/>
        <w:bottom w:val="none" w:sz="0" w:space="0" w:color="auto"/>
        <w:right w:val="none" w:sz="0" w:space="0" w:color="auto"/>
      </w:divBdr>
    </w:div>
    <w:div w:id="1516069393">
      <w:bodyDiv w:val="1"/>
      <w:marLeft w:val="0"/>
      <w:marRight w:val="0"/>
      <w:marTop w:val="0"/>
      <w:marBottom w:val="0"/>
      <w:divBdr>
        <w:top w:val="none" w:sz="0" w:space="0" w:color="auto"/>
        <w:left w:val="none" w:sz="0" w:space="0" w:color="auto"/>
        <w:bottom w:val="none" w:sz="0" w:space="0" w:color="auto"/>
        <w:right w:val="none" w:sz="0" w:space="0" w:color="auto"/>
      </w:divBdr>
    </w:div>
    <w:div w:id="1516767673">
      <w:bodyDiv w:val="1"/>
      <w:marLeft w:val="0"/>
      <w:marRight w:val="0"/>
      <w:marTop w:val="0"/>
      <w:marBottom w:val="0"/>
      <w:divBdr>
        <w:top w:val="none" w:sz="0" w:space="0" w:color="auto"/>
        <w:left w:val="none" w:sz="0" w:space="0" w:color="auto"/>
        <w:bottom w:val="none" w:sz="0" w:space="0" w:color="auto"/>
        <w:right w:val="none" w:sz="0" w:space="0" w:color="auto"/>
      </w:divBdr>
    </w:div>
    <w:div w:id="1517427056">
      <w:bodyDiv w:val="1"/>
      <w:marLeft w:val="0"/>
      <w:marRight w:val="0"/>
      <w:marTop w:val="0"/>
      <w:marBottom w:val="0"/>
      <w:divBdr>
        <w:top w:val="none" w:sz="0" w:space="0" w:color="auto"/>
        <w:left w:val="none" w:sz="0" w:space="0" w:color="auto"/>
        <w:bottom w:val="none" w:sz="0" w:space="0" w:color="auto"/>
        <w:right w:val="none" w:sz="0" w:space="0" w:color="auto"/>
      </w:divBdr>
    </w:div>
    <w:div w:id="1518079511">
      <w:bodyDiv w:val="1"/>
      <w:marLeft w:val="0"/>
      <w:marRight w:val="0"/>
      <w:marTop w:val="0"/>
      <w:marBottom w:val="0"/>
      <w:divBdr>
        <w:top w:val="none" w:sz="0" w:space="0" w:color="auto"/>
        <w:left w:val="none" w:sz="0" w:space="0" w:color="auto"/>
        <w:bottom w:val="none" w:sz="0" w:space="0" w:color="auto"/>
        <w:right w:val="none" w:sz="0" w:space="0" w:color="auto"/>
      </w:divBdr>
    </w:div>
    <w:div w:id="1520001527">
      <w:bodyDiv w:val="1"/>
      <w:marLeft w:val="0"/>
      <w:marRight w:val="0"/>
      <w:marTop w:val="0"/>
      <w:marBottom w:val="0"/>
      <w:divBdr>
        <w:top w:val="none" w:sz="0" w:space="0" w:color="auto"/>
        <w:left w:val="none" w:sz="0" w:space="0" w:color="auto"/>
        <w:bottom w:val="none" w:sz="0" w:space="0" w:color="auto"/>
        <w:right w:val="none" w:sz="0" w:space="0" w:color="auto"/>
      </w:divBdr>
    </w:div>
    <w:div w:id="1521696050">
      <w:bodyDiv w:val="1"/>
      <w:marLeft w:val="0"/>
      <w:marRight w:val="0"/>
      <w:marTop w:val="0"/>
      <w:marBottom w:val="0"/>
      <w:divBdr>
        <w:top w:val="none" w:sz="0" w:space="0" w:color="auto"/>
        <w:left w:val="none" w:sz="0" w:space="0" w:color="auto"/>
        <w:bottom w:val="none" w:sz="0" w:space="0" w:color="auto"/>
        <w:right w:val="none" w:sz="0" w:space="0" w:color="auto"/>
      </w:divBdr>
    </w:div>
    <w:div w:id="1521772681">
      <w:bodyDiv w:val="1"/>
      <w:marLeft w:val="0"/>
      <w:marRight w:val="0"/>
      <w:marTop w:val="0"/>
      <w:marBottom w:val="0"/>
      <w:divBdr>
        <w:top w:val="none" w:sz="0" w:space="0" w:color="auto"/>
        <w:left w:val="none" w:sz="0" w:space="0" w:color="auto"/>
        <w:bottom w:val="none" w:sz="0" w:space="0" w:color="auto"/>
        <w:right w:val="none" w:sz="0" w:space="0" w:color="auto"/>
      </w:divBdr>
    </w:div>
    <w:div w:id="1522355682">
      <w:bodyDiv w:val="1"/>
      <w:marLeft w:val="0"/>
      <w:marRight w:val="0"/>
      <w:marTop w:val="0"/>
      <w:marBottom w:val="0"/>
      <w:divBdr>
        <w:top w:val="none" w:sz="0" w:space="0" w:color="auto"/>
        <w:left w:val="none" w:sz="0" w:space="0" w:color="auto"/>
        <w:bottom w:val="none" w:sz="0" w:space="0" w:color="auto"/>
        <w:right w:val="none" w:sz="0" w:space="0" w:color="auto"/>
      </w:divBdr>
    </w:div>
    <w:div w:id="1522470232">
      <w:bodyDiv w:val="1"/>
      <w:marLeft w:val="0"/>
      <w:marRight w:val="0"/>
      <w:marTop w:val="0"/>
      <w:marBottom w:val="0"/>
      <w:divBdr>
        <w:top w:val="none" w:sz="0" w:space="0" w:color="auto"/>
        <w:left w:val="none" w:sz="0" w:space="0" w:color="auto"/>
        <w:bottom w:val="none" w:sz="0" w:space="0" w:color="auto"/>
        <w:right w:val="none" w:sz="0" w:space="0" w:color="auto"/>
      </w:divBdr>
    </w:div>
    <w:div w:id="1522738289">
      <w:bodyDiv w:val="1"/>
      <w:marLeft w:val="0"/>
      <w:marRight w:val="0"/>
      <w:marTop w:val="0"/>
      <w:marBottom w:val="0"/>
      <w:divBdr>
        <w:top w:val="none" w:sz="0" w:space="0" w:color="auto"/>
        <w:left w:val="none" w:sz="0" w:space="0" w:color="auto"/>
        <w:bottom w:val="none" w:sz="0" w:space="0" w:color="auto"/>
        <w:right w:val="none" w:sz="0" w:space="0" w:color="auto"/>
      </w:divBdr>
    </w:div>
    <w:div w:id="1522863400">
      <w:bodyDiv w:val="1"/>
      <w:marLeft w:val="0"/>
      <w:marRight w:val="0"/>
      <w:marTop w:val="0"/>
      <w:marBottom w:val="0"/>
      <w:divBdr>
        <w:top w:val="none" w:sz="0" w:space="0" w:color="auto"/>
        <w:left w:val="none" w:sz="0" w:space="0" w:color="auto"/>
        <w:bottom w:val="none" w:sz="0" w:space="0" w:color="auto"/>
        <w:right w:val="none" w:sz="0" w:space="0" w:color="auto"/>
      </w:divBdr>
    </w:div>
    <w:div w:id="1524129074">
      <w:bodyDiv w:val="1"/>
      <w:marLeft w:val="0"/>
      <w:marRight w:val="0"/>
      <w:marTop w:val="0"/>
      <w:marBottom w:val="0"/>
      <w:divBdr>
        <w:top w:val="none" w:sz="0" w:space="0" w:color="auto"/>
        <w:left w:val="none" w:sz="0" w:space="0" w:color="auto"/>
        <w:bottom w:val="none" w:sz="0" w:space="0" w:color="auto"/>
        <w:right w:val="none" w:sz="0" w:space="0" w:color="auto"/>
      </w:divBdr>
    </w:div>
    <w:div w:id="1524200126">
      <w:bodyDiv w:val="1"/>
      <w:marLeft w:val="0"/>
      <w:marRight w:val="0"/>
      <w:marTop w:val="0"/>
      <w:marBottom w:val="0"/>
      <w:divBdr>
        <w:top w:val="none" w:sz="0" w:space="0" w:color="auto"/>
        <w:left w:val="none" w:sz="0" w:space="0" w:color="auto"/>
        <w:bottom w:val="none" w:sz="0" w:space="0" w:color="auto"/>
        <w:right w:val="none" w:sz="0" w:space="0" w:color="auto"/>
      </w:divBdr>
    </w:div>
    <w:div w:id="1525052953">
      <w:bodyDiv w:val="1"/>
      <w:marLeft w:val="0"/>
      <w:marRight w:val="0"/>
      <w:marTop w:val="0"/>
      <w:marBottom w:val="0"/>
      <w:divBdr>
        <w:top w:val="none" w:sz="0" w:space="0" w:color="auto"/>
        <w:left w:val="none" w:sz="0" w:space="0" w:color="auto"/>
        <w:bottom w:val="none" w:sz="0" w:space="0" w:color="auto"/>
        <w:right w:val="none" w:sz="0" w:space="0" w:color="auto"/>
      </w:divBdr>
    </w:div>
    <w:div w:id="1525903263">
      <w:bodyDiv w:val="1"/>
      <w:marLeft w:val="0"/>
      <w:marRight w:val="0"/>
      <w:marTop w:val="0"/>
      <w:marBottom w:val="0"/>
      <w:divBdr>
        <w:top w:val="none" w:sz="0" w:space="0" w:color="auto"/>
        <w:left w:val="none" w:sz="0" w:space="0" w:color="auto"/>
        <w:bottom w:val="none" w:sz="0" w:space="0" w:color="auto"/>
        <w:right w:val="none" w:sz="0" w:space="0" w:color="auto"/>
      </w:divBdr>
    </w:div>
    <w:div w:id="1526402780">
      <w:bodyDiv w:val="1"/>
      <w:marLeft w:val="0"/>
      <w:marRight w:val="0"/>
      <w:marTop w:val="0"/>
      <w:marBottom w:val="0"/>
      <w:divBdr>
        <w:top w:val="none" w:sz="0" w:space="0" w:color="auto"/>
        <w:left w:val="none" w:sz="0" w:space="0" w:color="auto"/>
        <w:bottom w:val="none" w:sz="0" w:space="0" w:color="auto"/>
        <w:right w:val="none" w:sz="0" w:space="0" w:color="auto"/>
      </w:divBdr>
    </w:div>
    <w:div w:id="1526865241">
      <w:bodyDiv w:val="1"/>
      <w:marLeft w:val="0"/>
      <w:marRight w:val="0"/>
      <w:marTop w:val="0"/>
      <w:marBottom w:val="0"/>
      <w:divBdr>
        <w:top w:val="none" w:sz="0" w:space="0" w:color="auto"/>
        <w:left w:val="none" w:sz="0" w:space="0" w:color="auto"/>
        <w:bottom w:val="none" w:sz="0" w:space="0" w:color="auto"/>
        <w:right w:val="none" w:sz="0" w:space="0" w:color="auto"/>
      </w:divBdr>
    </w:div>
    <w:div w:id="1527402865">
      <w:bodyDiv w:val="1"/>
      <w:marLeft w:val="0"/>
      <w:marRight w:val="0"/>
      <w:marTop w:val="0"/>
      <w:marBottom w:val="0"/>
      <w:divBdr>
        <w:top w:val="none" w:sz="0" w:space="0" w:color="auto"/>
        <w:left w:val="none" w:sz="0" w:space="0" w:color="auto"/>
        <w:bottom w:val="none" w:sz="0" w:space="0" w:color="auto"/>
        <w:right w:val="none" w:sz="0" w:space="0" w:color="auto"/>
      </w:divBdr>
    </w:div>
    <w:div w:id="1527403604">
      <w:bodyDiv w:val="1"/>
      <w:marLeft w:val="0"/>
      <w:marRight w:val="0"/>
      <w:marTop w:val="0"/>
      <w:marBottom w:val="0"/>
      <w:divBdr>
        <w:top w:val="none" w:sz="0" w:space="0" w:color="auto"/>
        <w:left w:val="none" w:sz="0" w:space="0" w:color="auto"/>
        <w:bottom w:val="none" w:sz="0" w:space="0" w:color="auto"/>
        <w:right w:val="none" w:sz="0" w:space="0" w:color="auto"/>
      </w:divBdr>
    </w:div>
    <w:div w:id="1527870542">
      <w:bodyDiv w:val="1"/>
      <w:marLeft w:val="0"/>
      <w:marRight w:val="0"/>
      <w:marTop w:val="0"/>
      <w:marBottom w:val="0"/>
      <w:divBdr>
        <w:top w:val="none" w:sz="0" w:space="0" w:color="auto"/>
        <w:left w:val="none" w:sz="0" w:space="0" w:color="auto"/>
        <w:bottom w:val="none" w:sz="0" w:space="0" w:color="auto"/>
        <w:right w:val="none" w:sz="0" w:space="0" w:color="auto"/>
      </w:divBdr>
    </w:div>
    <w:div w:id="1527985050">
      <w:bodyDiv w:val="1"/>
      <w:marLeft w:val="0"/>
      <w:marRight w:val="0"/>
      <w:marTop w:val="0"/>
      <w:marBottom w:val="0"/>
      <w:divBdr>
        <w:top w:val="none" w:sz="0" w:space="0" w:color="auto"/>
        <w:left w:val="none" w:sz="0" w:space="0" w:color="auto"/>
        <w:bottom w:val="none" w:sz="0" w:space="0" w:color="auto"/>
        <w:right w:val="none" w:sz="0" w:space="0" w:color="auto"/>
      </w:divBdr>
    </w:div>
    <w:div w:id="1528519440">
      <w:bodyDiv w:val="1"/>
      <w:marLeft w:val="0"/>
      <w:marRight w:val="0"/>
      <w:marTop w:val="0"/>
      <w:marBottom w:val="0"/>
      <w:divBdr>
        <w:top w:val="none" w:sz="0" w:space="0" w:color="auto"/>
        <w:left w:val="none" w:sz="0" w:space="0" w:color="auto"/>
        <w:bottom w:val="none" w:sz="0" w:space="0" w:color="auto"/>
        <w:right w:val="none" w:sz="0" w:space="0" w:color="auto"/>
      </w:divBdr>
    </w:div>
    <w:div w:id="1528566612">
      <w:bodyDiv w:val="1"/>
      <w:marLeft w:val="0"/>
      <w:marRight w:val="0"/>
      <w:marTop w:val="0"/>
      <w:marBottom w:val="0"/>
      <w:divBdr>
        <w:top w:val="none" w:sz="0" w:space="0" w:color="auto"/>
        <w:left w:val="none" w:sz="0" w:space="0" w:color="auto"/>
        <w:bottom w:val="none" w:sz="0" w:space="0" w:color="auto"/>
        <w:right w:val="none" w:sz="0" w:space="0" w:color="auto"/>
      </w:divBdr>
    </w:div>
    <w:div w:id="1530291519">
      <w:bodyDiv w:val="1"/>
      <w:marLeft w:val="0"/>
      <w:marRight w:val="0"/>
      <w:marTop w:val="0"/>
      <w:marBottom w:val="0"/>
      <w:divBdr>
        <w:top w:val="none" w:sz="0" w:space="0" w:color="auto"/>
        <w:left w:val="none" w:sz="0" w:space="0" w:color="auto"/>
        <w:bottom w:val="none" w:sz="0" w:space="0" w:color="auto"/>
        <w:right w:val="none" w:sz="0" w:space="0" w:color="auto"/>
      </w:divBdr>
    </w:div>
    <w:div w:id="1530293095">
      <w:bodyDiv w:val="1"/>
      <w:marLeft w:val="0"/>
      <w:marRight w:val="0"/>
      <w:marTop w:val="0"/>
      <w:marBottom w:val="0"/>
      <w:divBdr>
        <w:top w:val="none" w:sz="0" w:space="0" w:color="auto"/>
        <w:left w:val="none" w:sz="0" w:space="0" w:color="auto"/>
        <w:bottom w:val="none" w:sz="0" w:space="0" w:color="auto"/>
        <w:right w:val="none" w:sz="0" w:space="0" w:color="auto"/>
      </w:divBdr>
    </w:div>
    <w:div w:id="1531260823">
      <w:bodyDiv w:val="1"/>
      <w:marLeft w:val="0"/>
      <w:marRight w:val="0"/>
      <w:marTop w:val="0"/>
      <w:marBottom w:val="0"/>
      <w:divBdr>
        <w:top w:val="none" w:sz="0" w:space="0" w:color="auto"/>
        <w:left w:val="none" w:sz="0" w:space="0" w:color="auto"/>
        <w:bottom w:val="none" w:sz="0" w:space="0" w:color="auto"/>
        <w:right w:val="none" w:sz="0" w:space="0" w:color="auto"/>
      </w:divBdr>
    </w:div>
    <w:div w:id="1531450103">
      <w:bodyDiv w:val="1"/>
      <w:marLeft w:val="0"/>
      <w:marRight w:val="0"/>
      <w:marTop w:val="0"/>
      <w:marBottom w:val="0"/>
      <w:divBdr>
        <w:top w:val="none" w:sz="0" w:space="0" w:color="auto"/>
        <w:left w:val="none" w:sz="0" w:space="0" w:color="auto"/>
        <w:bottom w:val="none" w:sz="0" w:space="0" w:color="auto"/>
        <w:right w:val="none" w:sz="0" w:space="0" w:color="auto"/>
      </w:divBdr>
    </w:div>
    <w:div w:id="1531720438">
      <w:bodyDiv w:val="1"/>
      <w:marLeft w:val="0"/>
      <w:marRight w:val="0"/>
      <w:marTop w:val="0"/>
      <w:marBottom w:val="0"/>
      <w:divBdr>
        <w:top w:val="none" w:sz="0" w:space="0" w:color="auto"/>
        <w:left w:val="none" w:sz="0" w:space="0" w:color="auto"/>
        <w:bottom w:val="none" w:sz="0" w:space="0" w:color="auto"/>
        <w:right w:val="none" w:sz="0" w:space="0" w:color="auto"/>
      </w:divBdr>
    </w:div>
    <w:div w:id="1532645606">
      <w:bodyDiv w:val="1"/>
      <w:marLeft w:val="0"/>
      <w:marRight w:val="0"/>
      <w:marTop w:val="0"/>
      <w:marBottom w:val="0"/>
      <w:divBdr>
        <w:top w:val="none" w:sz="0" w:space="0" w:color="auto"/>
        <w:left w:val="none" w:sz="0" w:space="0" w:color="auto"/>
        <w:bottom w:val="none" w:sz="0" w:space="0" w:color="auto"/>
        <w:right w:val="none" w:sz="0" w:space="0" w:color="auto"/>
      </w:divBdr>
    </w:div>
    <w:div w:id="1533760291">
      <w:bodyDiv w:val="1"/>
      <w:marLeft w:val="0"/>
      <w:marRight w:val="0"/>
      <w:marTop w:val="0"/>
      <w:marBottom w:val="0"/>
      <w:divBdr>
        <w:top w:val="none" w:sz="0" w:space="0" w:color="auto"/>
        <w:left w:val="none" w:sz="0" w:space="0" w:color="auto"/>
        <w:bottom w:val="none" w:sz="0" w:space="0" w:color="auto"/>
        <w:right w:val="none" w:sz="0" w:space="0" w:color="auto"/>
      </w:divBdr>
    </w:div>
    <w:div w:id="1533767967">
      <w:bodyDiv w:val="1"/>
      <w:marLeft w:val="0"/>
      <w:marRight w:val="0"/>
      <w:marTop w:val="0"/>
      <w:marBottom w:val="0"/>
      <w:divBdr>
        <w:top w:val="none" w:sz="0" w:space="0" w:color="auto"/>
        <w:left w:val="none" w:sz="0" w:space="0" w:color="auto"/>
        <w:bottom w:val="none" w:sz="0" w:space="0" w:color="auto"/>
        <w:right w:val="none" w:sz="0" w:space="0" w:color="auto"/>
      </w:divBdr>
    </w:div>
    <w:div w:id="1533807540">
      <w:bodyDiv w:val="1"/>
      <w:marLeft w:val="0"/>
      <w:marRight w:val="0"/>
      <w:marTop w:val="0"/>
      <w:marBottom w:val="0"/>
      <w:divBdr>
        <w:top w:val="none" w:sz="0" w:space="0" w:color="auto"/>
        <w:left w:val="none" w:sz="0" w:space="0" w:color="auto"/>
        <w:bottom w:val="none" w:sz="0" w:space="0" w:color="auto"/>
        <w:right w:val="none" w:sz="0" w:space="0" w:color="auto"/>
      </w:divBdr>
    </w:div>
    <w:div w:id="1533884272">
      <w:bodyDiv w:val="1"/>
      <w:marLeft w:val="0"/>
      <w:marRight w:val="0"/>
      <w:marTop w:val="0"/>
      <w:marBottom w:val="0"/>
      <w:divBdr>
        <w:top w:val="none" w:sz="0" w:space="0" w:color="auto"/>
        <w:left w:val="none" w:sz="0" w:space="0" w:color="auto"/>
        <w:bottom w:val="none" w:sz="0" w:space="0" w:color="auto"/>
        <w:right w:val="none" w:sz="0" w:space="0" w:color="auto"/>
      </w:divBdr>
    </w:div>
    <w:div w:id="1533959686">
      <w:bodyDiv w:val="1"/>
      <w:marLeft w:val="0"/>
      <w:marRight w:val="0"/>
      <w:marTop w:val="0"/>
      <w:marBottom w:val="0"/>
      <w:divBdr>
        <w:top w:val="none" w:sz="0" w:space="0" w:color="auto"/>
        <w:left w:val="none" w:sz="0" w:space="0" w:color="auto"/>
        <w:bottom w:val="none" w:sz="0" w:space="0" w:color="auto"/>
        <w:right w:val="none" w:sz="0" w:space="0" w:color="auto"/>
      </w:divBdr>
    </w:div>
    <w:div w:id="1535270907">
      <w:bodyDiv w:val="1"/>
      <w:marLeft w:val="0"/>
      <w:marRight w:val="0"/>
      <w:marTop w:val="0"/>
      <w:marBottom w:val="0"/>
      <w:divBdr>
        <w:top w:val="none" w:sz="0" w:space="0" w:color="auto"/>
        <w:left w:val="none" w:sz="0" w:space="0" w:color="auto"/>
        <w:bottom w:val="none" w:sz="0" w:space="0" w:color="auto"/>
        <w:right w:val="none" w:sz="0" w:space="0" w:color="auto"/>
      </w:divBdr>
    </w:div>
    <w:div w:id="1537693225">
      <w:bodyDiv w:val="1"/>
      <w:marLeft w:val="0"/>
      <w:marRight w:val="0"/>
      <w:marTop w:val="0"/>
      <w:marBottom w:val="0"/>
      <w:divBdr>
        <w:top w:val="none" w:sz="0" w:space="0" w:color="auto"/>
        <w:left w:val="none" w:sz="0" w:space="0" w:color="auto"/>
        <w:bottom w:val="none" w:sz="0" w:space="0" w:color="auto"/>
        <w:right w:val="none" w:sz="0" w:space="0" w:color="auto"/>
      </w:divBdr>
    </w:div>
    <w:div w:id="1537888482">
      <w:bodyDiv w:val="1"/>
      <w:marLeft w:val="0"/>
      <w:marRight w:val="0"/>
      <w:marTop w:val="0"/>
      <w:marBottom w:val="0"/>
      <w:divBdr>
        <w:top w:val="none" w:sz="0" w:space="0" w:color="auto"/>
        <w:left w:val="none" w:sz="0" w:space="0" w:color="auto"/>
        <w:bottom w:val="none" w:sz="0" w:space="0" w:color="auto"/>
        <w:right w:val="none" w:sz="0" w:space="0" w:color="auto"/>
      </w:divBdr>
    </w:div>
    <w:div w:id="1538616071">
      <w:bodyDiv w:val="1"/>
      <w:marLeft w:val="0"/>
      <w:marRight w:val="0"/>
      <w:marTop w:val="0"/>
      <w:marBottom w:val="0"/>
      <w:divBdr>
        <w:top w:val="none" w:sz="0" w:space="0" w:color="auto"/>
        <w:left w:val="none" w:sz="0" w:space="0" w:color="auto"/>
        <w:bottom w:val="none" w:sz="0" w:space="0" w:color="auto"/>
        <w:right w:val="none" w:sz="0" w:space="0" w:color="auto"/>
      </w:divBdr>
    </w:div>
    <w:div w:id="1540631255">
      <w:bodyDiv w:val="1"/>
      <w:marLeft w:val="0"/>
      <w:marRight w:val="0"/>
      <w:marTop w:val="0"/>
      <w:marBottom w:val="0"/>
      <w:divBdr>
        <w:top w:val="none" w:sz="0" w:space="0" w:color="auto"/>
        <w:left w:val="none" w:sz="0" w:space="0" w:color="auto"/>
        <w:bottom w:val="none" w:sz="0" w:space="0" w:color="auto"/>
        <w:right w:val="none" w:sz="0" w:space="0" w:color="auto"/>
      </w:divBdr>
    </w:div>
    <w:div w:id="1541236890">
      <w:bodyDiv w:val="1"/>
      <w:marLeft w:val="0"/>
      <w:marRight w:val="0"/>
      <w:marTop w:val="0"/>
      <w:marBottom w:val="0"/>
      <w:divBdr>
        <w:top w:val="none" w:sz="0" w:space="0" w:color="auto"/>
        <w:left w:val="none" w:sz="0" w:space="0" w:color="auto"/>
        <w:bottom w:val="none" w:sz="0" w:space="0" w:color="auto"/>
        <w:right w:val="none" w:sz="0" w:space="0" w:color="auto"/>
      </w:divBdr>
    </w:div>
    <w:div w:id="1541359385">
      <w:bodyDiv w:val="1"/>
      <w:marLeft w:val="0"/>
      <w:marRight w:val="0"/>
      <w:marTop w:val="0"/>
      <w:marBottom w:val="0"/>
      <w:divBdr>
        <w:top w:val="none" w:sz="0" w:space="0" w:color="auto"/>
        <w:left w:val="none" w:sz="0" w:space="0" w:color="auto"/>
        <w:bottom w:val="none" w:sz="0" w:space="0" w:color="auto"/>
        <w:right w:val="none" w:sz="0" w:space="0" w:color="auto"/>
      </w:divBdr>
    </w:div>
    <w:div w:id="1541701254">
      <w:bodyDiv w:val="1"/>
      <w:marLeft w:val="0"/>
      <w:marRight w:val="0"/>
      <w:marTop w:val="0"/>
      <w:marBottom w:val="0"/>
      <w:divBdr>
        <w:top w:val="none" w:sz="0" w:space="0" w:color="auto"/>
        <w:left w:val="none" w:sz="0" w:space="0" w:color="auto"/>
        <w:bottom w:val="none" w:sz="0" w:space="0" w:color="auto"/>
        <w:right w:val="none" w:sz="0" w:space="0" w:color="auto"/>
      </w:divBdr>
    </w:div>
    <w:div w:id="1543248407">
      <w:bodyDiv w:val="1"/>
      <w:marLeft w:val="0"/>
      <w:marRight w:val="0"/>
      <w:marTop w:val="0"/>
      <w:marBottom w:val="0"/>
      <w:divBdr>
        <w:top w:val="none" w:sz="0" w:space="0" w:color="auto"/>
        <w:left w:val="none" w:sz="0" w:space="0" w:color="auto"/>
        <w:bottom w:val="none" w:sz="0" w:space="0" w:color="auto"/>
        <w:right w:val="none" w:sz="0" w:space="0" w:color="auto"/>
      </w:divBdr>
    </w:div>
    <w:div w:id="1543595241">
      <w:bodyDiv w:val="1"/>
      <w:marLeft w:val="0"/>
      <w:marRight w:val="0"/>
      <w:marTop w:val="0"/>
      <w:marBottom w:val="0"/>
      <w:divBdr>
        <w:top w:val="none" w:sz="0" w:space="0" w:color="auto"/>
        <w:left w:val="none" w:sz="0" w:space="0" w:color="auto"/>
        <w:bottom w:val="none" w:sz="0" w:space="0" w:color="auto"/>
        <w:right w:val="none" w:sz="0" w:space="0" w:color="auto"/>
      </w:divBdr>
    </w:div>
    <w:div w:id="1544172461">
      <w:bodyDiv w:val="1"/>
      <w:marLeft w:val="0"/>
      <w:marRight w:val="0"/>
      <w:marTop w:val="0"/>
      <w:marBottom w:val="0"/>
      <w:divBdr>
        <w:top w:val="none" w:sz="0" w:space="0" w:color="auto"/>
        <w:left w:val="none" w:sz="0" w:space="0" w:color="auto"/>
        <w:bottom w:val="none" w:sz="0" w:space="0" w:color="auto"/>
        <w:right w:val="none" w:sz="0" w:space="0" w:color="auto"/>
      </w:divBdr>
    </w:div>
    <w:div w:id="1544757653">
      <w:bodyDiv w:val="1"/>
      <w:marLeft w:val="0"/>
      <w:marRight w:val="0"/>
      <w:marTop w:val="0"/>
      <w:marBottom w:val="0"/>
      <w:divBdr>
        <w:top w:val="none" w:sz="0" w:space="0" w:color="auto"/>
        <w:left w:val="none" w:sz="0" w:space="0" w:color="auto"/>
        <w:bottom w:val="none" w:sz="0" w:space="0" w:color="auto"/>
        <w:right w:val="none" w:sz="0" w:space="0" w:color="auto"/>
      </w:divBdr>
    </w:div>
    <w:div w:id="1545408873">
      <w:bodyDiv w:val="1"/>
      <w:marLeft w:val="0"/>
      <w:marRight w:val="0"/>
      <w:marTop w:val="0"/>
      <w:marBottom w:val="0"/>
      <w:divBdr>
        <w:top w:val="none" w:sz="0" w:space="0" w:color="auto"/>
        <w:left w:val="none" w:sz="0" w:space="0" w:color="auto"/>
        <w:bottom w:val="none" w:sz="0" w:space="0" w:color="auto"/>
        <w:right w:val="none" w:sz="0" w:space="0" w:color="auto"/>
      </w:divBdr>
    </w:div>
    <w:div w:id="1545673076">
      <w:bodyDiv w:val="1"/>
      <w:marLeft w:val="0"/>
      <w:marRight w:val="0"/>
      <w:marTop w:val="0"/>
      <w:marBottom w:val="0"/>
      <w:divBdr>
        <w:top w:val="none" w:sz="0" w:space="0" w:color="auto"/>
        <w:left w:val="none" w:sz="0" w:space="0" w:color="auto"/>
        <w:bottom w:val="none" w:sz="0" w:space="0" w:color="auto"/>
        <w:right w:val="none" w:sz="0" w:space="0" w:color="auto"/>
      </w:divBdr>
    </w:div>
    <w:div w:id="1546016676">
      <w:bodyDiv w:val="1"/>
      <w:marLeft w:val="0"/>
      <w:marRight w:val="0"/>
      <w:marTop w:val="0"/>
      <w:marBottom w:val="0"/>
      <w:divBdr>
        <w:top w:val="none" w:sz="0" w:space="0" w:color="auto"/>
        <w:left w:val="none" w:sz="0" w:space="0" w:color="auto"/>
        <w:bottom w:val="none" w:sz="0" w:space="0" w:color="auto"/>
        <w:right w:val="none" w:sz="0" w:space="0" w:color="auto"/>
      </w:divBdr>
    </w:div>
    <w:div w:id="1547257743">
      <w:bodyDiv w:val="1"/>
      <w:marLeft w:val="0"/>
      <w:marRight w:val="0"/>
      <w:marTop w:val="0"/>
      <w:marBottom w:val="0"/>
      <w:divBdr>
        <w:top w:val="none" w:sz="0" w:space="0" w:color="auto"/>
        <w:left w:val="none" w:sz="0" w:space="0" w:color="auto"/>
        <w:bottom w:val="none" w:sz="0" w:space="0" w:color="auto"/>
        <w:right w:val="none" w:sz="0" w:space="0" w:color="auto"/>
      </w:divBdr>
    </w:div>
    <w:div w:id="1548491922">
      <w:bodyDiv w:val="1"/>
      <w:marLeft w:val="0"/>
      <w:marRight w:val="0"/>
      <w:marTop w:val="0"/>
      <w:marBottom w:val="0"/>
      <w:divBdr>
        <w:top w:val="none" w:sz="0" w:space="0" w:color="auto"/>
        <w:left w:val="none" w:sz="0" w:space="0" w:color="auto"/>
        <w:bottom w:val="none" w:sz="0" w:space="0" w:color="auto"/>
        <w:right w:val="none" w:sz="0" w:space="0" w:color="auto"/>
      </w:divBdr>
    </w:div>
    <w:div w:id="1549296974">
      <w:bodyDiv w:val="1"/>
      <w:marLeft w:val="0"/>
      <w:marRight w:val="0"/>
      <w:marTop w:val="0"/>
      <w:marBottom w:val="0"/>
      <w:divBdr>
        <w:top w:val="none" w:sz="0" w:space="0" w:color="auto"/>
        <w:left w:val="none" w:sz="0" w:space="0" w:color="auto"/>
        <w:bottom w:val="none" w:sz="0" w:space="0" w:color="auto"/>
        <w:right w:val="none" w:sz="0" w:space="0" w:color="auto"/>
      </w:divBdr>
    </w:div>
    <w:div w:id="1550604903">
      <w:bodyDiv w:val="1"/>
      <w:marLeft w:val="0"/>
      <w:marRight w:val="0"/>
      <w:marTop w:val="0"/>
      <w:marBottom w:val="0"/>
      <w:divBdr>
        <w:top w:val="none" w:sz="0" w:space="0" w:color="auto"/>
        <w:left w:val="none" w:sz="0" w:space="0" w:color="auto"/>
        <w:bottom w:val="none" w:sz="0" w:space="0" w:color="auto"/>
        <w:right w:val="none" w:sz="0" w:space="0" w:color="auto"/>
      </w:divBdr>
    </w:div>
    <w:div w:id="1550608745">
      <w:bodyDiv w:val="1"/>
      <w:marLeft w:val="0"/>
      <w:marRight w:val="0"/>
      <w:marTop w:val="0"/>
      <w:marBottom w:val="0"/>
      <w:divBdr>
        <w:top w:val="none" w:sz="0" w:space="0" w:color="auto"/>
        <w:left w:val="none" w:sz="0" w:space="0" w:color="auto"/>
        <w:bottom w:val="none" w:sz="0" w:space="0" w:color="auto"/>
        <w:right w:val="none" w:sz="0" w:space="0" w:color="auto"/>
      </w:divBdr>
    </w:div>
    <w:div w:id="1551110934">
      <w:bodyDiv w:val="1"/>
      <w:marLeft w:val="0"/>
      <w:marRight w:val="0"/>
      <w:marTop w:val="0"/>
      <w:marBottom w:val="0"/>
      <w:divBdr>
        <w:top w:val="none" w:sz="0" w:space="0" w:color="auto"/>
        <w:left w:val="none" w:sz="0" w:space="0" w:color="auto"/>
        <w:bottom w:val="none" w:sz="0" w:space="0" w:color="auto"/>
        <w:right w:val="none" w:sz="0" w:space="0" w:color="auto"/>
      </w:divBdr>
    </w:div>
    <w:div w:id="1554074370">
      <w:bodyDiv w:val="1"/>
      <w:marLeft w:val="0"/>
      <w:marRight w:val="0"/>
      <w:marTop w:val="0"/>
      <w:marBottom w:val="0"/>
      <w:divBdr>
        <w:top w:val="none" w:sz="0" w:space="0" w:color="auto"/>
        <w:left w:val="none" w:sz="0" w:space="0" w:color="auto"/>
        <w:bottom w:val="none" w:sz="0" w:space="0" w:color="auto"/>
        <w:right w:val="none" w:sz="0" w:space="0" w:color="auto"/>
      </w:divBdr>
    </w:div>
    <w:div w:id="1554730840">
      <w:bodyDiv w:val="1"/>
      <w:marLeft w:val="0"/>
      <w:marRight w:val="0"/>
      <w:marTop w:val="0"/>
      <w:marBottom w:val="0"/>
      <w:divBdr>
        <w:top w:val="none" w:sz="0" w:space="0" w:color="auto"/>
        <w:left w:val="none" w:sz="0" w:space="0" w:color="auto"/>
        <w:bottom w:val="none" w:sz="0" w:space="0" w:color="auto"/>
        <w:right w:val="none" w:sz="0" w:space="0" w:color="auto"/>
      </w:divBdr>
    </w:div>
    <w:div w:id="1556311031">
      <w:bodyDiv w:val="1"/>
      <w:marLeft w:val="0"/>
      <w:marRight w:val="0"/>
      <w:marTop w:val="0"/>
      <w:marBottom w:val="0"/>
      <w:divBdr>
        <w:top w:val="none" w:sz="0" w:space="0" w:color="auto"/>
        <w:left w:val="none" w:sz="0" w:space="0" w:color="auto"/>
        <w:bottom w:val="none" w:sz="0" w:space="0" w:color="auto"/>
        <w:right w:val="none" w:sz="0" w:space="0" w:color="auto"/>
      </w:divBdr>
    </w:div>
    <w:div w:id="1556743226">
      <w:bodyDiv w:val="1"/>
      <w:marLeft w:val="0"/>
      <w:marRight w:val="0"/>
      <w:marTop w:val="0"/>
      <w:marBottom w:val="0"/>
      <w:divBdr>
        <w:top w:val="none" w:sz="0" w:space="0" w:color="auto"/>
        <w:left w:val="none" w:sz="0" w:space="0" w:color="auto"/>
        <w:bottom w:val="none" w:sz="0" w:space="0" w:color="auto"/>
        <w:right w:val="none" w:sz="0" w:space="0" w:color="auto"/>
      </w:divBdr>
    </w:div>
    <w:div w:id="1557163165">
      <w:bodyDiv w:val="1"/>
      <w:marLeft w:val="0"/>
      <w:marRight w:val="0"/>
      <w:marTop w:val="0"/>
      <w:marBottom w:val="0"/>
      <w:divBdr>
        <w:top w:val="none" w:sz="0" w:space="0" w:color="auto"/>
        <w:left w:val="none" w:sz="0" w:space="0" w:color="auto"/>
        <w:bottom w:val="none" w:sz="0" w:space="0" w:color="auto"/>
        <w:right w:val="none" w:sz="0" w:space="0" w:color="auto"/>
      </w:divBdr>
    </w:div>
    <w:div w:id="1557665374">
      <w:bodyDiv w:val="1"/>
      <w:marLeft w:val="0"/>
      <w:marRight w:val="0"/>
      <w:marTop w:val="0"/>
      <w:marBottom w:val="0"/>
      <w:divBdr>
        <w:top w:val="none" w:sz="0" w:space="0" w:color="auto"/>
        <w:left w:val="none" w:sz="0" w:space="0" w:color="auto"/>
        <w:bottom w:val="none" w:sz="0" w:space="0" w:color="auto"/>
        <w:right w:val="none" w:sz="0" w:space="0" w:color="auto"/>
      </w:divBdr>
    </w:div>
    <w:div w:id="1557860380">
      <w:bodyDiv w:val="1"/>
      <w:marLeft w:val="0"/>
      <w:marRight w:val="0"/>
      <w:marTop w:val="0"/>
      <w:marBottom w:val="0"/>
      <w:divBdr>
        <w:top w:val="none" w:sz="0" w:space="0" w:color="auto"/>
        <w:left w:val="none" w:sz="0" w:space="0" w:color="auto"/>
        <w:bottom w:val="none" w:sz="0" w:space="0" w:color="auto"/>
        <w:right w:val="none" w:sz="0" w:space="0" w:color="auto"/>
      </w:divBdr>
    </w:div>
    <w:div w:id="1557862297">
      <w:bodyDiv w:val="1"/>
      <w:marLeft w:val="0"/>
      <w:marRight w:val="0"/>
      <w:marTop w:val="0"/>
      <w:marBottom w:val="0"/>
      <w:divBdr>
        <w:top w:val="none" w:sz="0" w:space="0" w:color="auto"/>
        <w:left w:val="none" w:sz="0" w:space="0" w:color="auto"/>
        <w:bottom w:val="none" w:sz="0" w:space="0" w:color="auto"/>
        <w:right w:val="none" w:sz="0" w:space="0" w:color="auto"/>
      </w:divBdr>
    </w:div>
    <w:div w:id="1558056075">
      <w:bodyDiv w:val="1"/>
      <w:marLeft w:val="0"/>
      <w:marRight w:val="0"/>
      <w:marTop w:val="0"/>
      <w:marBottom w:val="0"/>
      <w:divBdr>
        <w:top w:val="none" w:sz="0" w:space="0" w:color="auto"/>
        <w:left w:val="none" w:sz="0" w:space="0" w:color="auto"/>
        <w:bottom w:val="none" w:sz="0" w:space="0" w:color="auto"/>
        <w:right w:val="none" w:sz="0" w:space="0" w:color="auto"/>
      </w:divBdr>
    </w:div>
    <w:div w:id="1558856925">
      <w:bodyDiv w:val="1"/>
      <w:marLeft w:val="0"/>
      <w:marRight w:val="0"/>
      <w:marTop w:val="0"/>
      <w:marBottom w:val="0"/>
      <w:divBdr>
        <w:top w:val="none" w:sz="0" w:space="0" w:color="auto"/>
        <w:left w:val="none" w:sz="0" w:space="0" w:color="auto"/>
        <w:bottom w:val="none" w:sz="0" w:space="0" w:color="auto"/>
        <w:right w:val="none" w:sz="0" w:space="0" w:color="auto"/>
      </w:divBdr>
    </w:div>
    <w:div w:id="1559052628">
      <w:bodyDiv w:val="1"/>
      <w:marLeft w:val="0"/>
      <w:marRight w:val="0"/>
      <w:marTop w:val="0"/>
      <w:marBottom w:val="0"/>
      <w:divBdr>
        <w:top w:val="none" w:sz="0" w:space="0" w:color="auto"/>
        <w:left w:val="none" w:sz="0" w:space="0" w:color="auto"/>
        <w:bottom w:val="none" w:sz="0" w:space="0" w:color="auto"/>
        <w:right w:val="none" w:sz="0" w:space="0" w:color="auto"/>
      </w:divBdr>
    </w:div>
    <w:div w:id="1560093274">
      <w:bodyDiv w:val="1"/>
      <w:marLeft w:val="0"/>
      <w:marRight w:val="0"/>
      <w:marTop w:val="0"/>
      <w:marBottom w:val="0"/>
      <w:divBdr>
        <w:top w:val="none" w:sz="0" w:space="0" w:color="auto"/>
        <w:left w:val="none" w:sz="0" w:space="0" w:color="auto"/>
        <w:bottom w:val="none" w:sz="0" w:space="0" w:color="auto"/>
        <w:right w:val="none" w:sz="0" w:space="0" w:color="auto"/>
      </w:divBdr>
    </w:div>
    <w:div w:id="1560284486">
      <w:bodyDiv w:val="1"/>
      <w:marLeft w:val="0"/>
      <w:marRight w:val="0"/>
      <w:marTop w:val="0"/>
      <w:marBottom w:val="0"/>
      <w:divBdr>
        <w:top w:val="none" w:sz="0" w:space="0" w:color="auto"/>
        <w:left w:val="none" w:sz="0" w:space="0" w:color="auto"/>
        <w:bottom w:val="none" w:sz="0" w:space="0" w:color="auto"/>
        <w:right w:val="none" w:sz="0" w:space="0" w:color="auto"/>
      </w:divBdr>
    </w:div>
    <w:div w:id="1561092749">
      <w:bodyDiv w:val="1"/>
      <w:marLeft w:val="0"/>
      <w:marRight w:val="0"/>
      <w:marTop w:val="0"/>
      <w:marBottom w:val="0"/>
      <w:divBdr>
        <w:top w:val="none" w:sz="0" w:space="0" w:color="auto"/>
        <w:left w:val="none" w:sz="0" w:space="0" w:color="auto"/>
        <w:bottom w:val="none" w:sz="0" w:space="0" w:color="auto"/>
        <w:right w:val="none" w:sz="0" w:space="0" w:color="auto"/>
      </w:divBdr>
    </w:div>
    <w:div w:id="1564098709">
      <w:bodyDiv w:val="1"/>
      <w:marLeft w:val="0"/>
      <w:marRight w:val="0"/>
      <w:marTop w:val="0"/>
      <w:marBottom w:val="0"/>
      <w:divBdr>
        <w:top w:val="none" w:sz="0" w:space="0" w:color="auto"/>
        <w:left w:val="none" w:sz="0" w:space="0" w:color="auto"/>
        <w:bottom w:val="none" w:sz="0" w:space="0" w:color="auto"/>
        <w:right w:val="none" w:sz="0" w:space="0" w:color="auto"/>
      </w:divBdr>
    </w:div>
    <w:div w:id="1565917853">
      <w:bodyDiv w:val="1"/>
      <w:marLeft w:val="0"/>
      <w:marRight w:val="0"/>
      <w:marTop w:val="0"/>
      <w:marBottom w:val="0"/>
      <w:divBdr>
        <w:top w:val="none" w:sz="0" w:space="0" w:color="auto"/>
        <w:left w:val="none" w:sz="0" w:space="0" w:color="auto"/>
        <w:bottom w:val="none" w:sz="0" w:space="0" w:color="auto"/>
        <w:right w:val="none" w:sz="0" w:space="0" w:color="auto"/>
      </w:divBdr>
    </w:div>
    <w:div w:id="1566068519">
      <w:bodyDiv w:val="1"/>
      <w:marLeft w:val="0"/>
      <w:marRight w:val="0"/>
      <w:marTop w:val="0"/>
      <w:marBottom w:val="0"/>
      <w:divBdr>
        <w:top w:val="none" w:sz="0" w:space="0" w:color="auto"/>
        <w:left w:val="none" w:sz="0" w:space="0" w:color="auto"/>
        <w:bottom w:val="none" w:sz="0" w:space="0" w:color="auto"/>
        <w:right w:val="none" w:sz="0" w:space="0" w:color="auto"/>
      </w:divBdr>
    </w:div>
    <w:div w:id="1567183654">
      <w:bodyDiv w:val="1"/>
      <w:marLeft w:val="0"/>
      <w:marRight w:val="0"/>
      <w:marTop w:val="0"/>
      <w:marBottom w:val="0"/>
      <w:divBdr>
        <w:top w:val="none" w:sz="0" w:space="0" w:color="auto"/>
        <w:left w:val="none" w:sz="0" w:space="0" w:color="auto"/>
        <w:bottom w:val="none" w:sz="0" w:space="0" w:color="auto"/>
        <w:right w:val="none" w:sz="0" w:space="0" w:color="auto"/>
      </w:divBdr>
    </w:div>
    <w:div w:id="1567564816">
      <w:bodyDiv w:val="1"/>
      <w:marLeft w:val="0"/>
      <w:marRight w:val="0"/>
      <w:marTop w:val="0"/>
      <w:marBottom w:val="0"/>
      <w:divBdr>
        <w:top w:val="none" w:sz="0" w:space="0" w:color="auto"/>
        <w:left w:val="none" w:sz="0" w:space="0" w:color="auto"/>
        <w:bottom w:val="none" w:sz="0" w:space="0" w:color="auto"/>
        <w:right w:val="none" w:sz="0" w:space="0" w:color="auto"/>
      </w:divBdr>
    </w:div>
    <w:div w:id="1567765695">
      <w:bodyDiv w:val="1"/>
      <w:marLeft w:val="0"/>
      <w:marRight w:val="0"/>
      <w:marTop w:val="0"/>
      <w:marBottom w:val="0"/>
      <w:divBdr>
        <w:top w:val="none" w:sz="0" w:space="0" w:color="auto"/>
        <w:left w:val="none" w:sz="0" w:space="0" w:color="auto"/>
        <w:bottom w:val="none" w:sz="0" w:space="0" w:color="auto"/>
        <w:right w:val="none" w:sz="0" w:space="0" w:color="auto"/>
      </w:divBdr>
    </w:div>
    <w:div w:id="1567834775">
      <w:bodyDiv w:val="1"/>
      <w:marLeft w:val="0"/>
      <w:marRight w:val="0"/>
      <w:marTop w:val="0"/>
      <w:marBottom w:val="0"/>
      <w:divBdr>
        <w:top w:val="none" w:sz="0" w:space="0" w:color="auto"/>
        <w:left w:val="none" w:sz="0" w:space="0" w:color="auto"/>
        <w:bottom w:val="none" w:sz="0" w:space="0" w:color="auto"/>
        <w:right w:val="none" w:sz="0" w:space="0" w:color="auto"/>
      </w:divBdr>
    </w:div>
    <w:div w:id="1568300593">
      <w:bodyDiv w:val="1"/>
      <w:marLeft w:val="0"/>
      <w:marRight w:val="0"/>
      <w:marTop w:val="0"/>
      <w:marBottom w:val="0"/>
      <w:divBdr>
        <w:top w:val="none" w:sz="0" w:space="0" w:color="auto"/>
        <w:left w:val="none" w:sz="0" w:space="0" w:color="auto"/>
        <w:bottom w:val="none" w:sz="0" w:space="0" w:color="auto"/>
        <w:right w:val="none" w:sz="0" w:space="0" w:color="auto"/>
      </w:divBdr>
    </w:div>
    <w:div w:id="1568422100">
      <w:bodyDiv w:val="1"/>
      <w:marLeft w:val="0"/>
      <w:marRight w:val="0"/>
      <w:marTop w:val="0"/>
      <w:marBottom w:val="0"/>
      <w:divBdr>
        <w:top w:val="none" w:sz="0" w:space="0" w:color="auto"/>
        <w:left w:val="none" w:sz="0" w:space="0" w:color="auto"/>
        <w:bottom w:val="none" w:sz="0" w:space="0" w:color="auto"/>
        <w:right w:val="none" w:sz="0" w:space="0" w:color="auto"/>
      </w:divBdr>
    </w:div>
    <w:div w:id="1568683157">
      <w:bodyDiv w:val="1"/>
      <w:marLeft w:val="0"/>
      <w:marRight w:val="0"/>
      <w:marTop w:val="0"/>
      <w:marBottom w:val="0"/>
      <w:divBdr>
        <w:top w:val="none" w:sz="0" w:space="0" w:color="auto"/>
        <w:left w:val="none" w:sz="0" w:space="0" w:color="auto"/>
        <w:bottom w:val="none" w:sz="0" w:space="0" w:color="auto"/>
        <w:right w:val="none" w:sz="0" w:space="0" w:color="auto"/>
      </w:divBdr>
    </w:div>
    <w:div w:id="1568956394">
      <w:bodyDiv w:val="1"/>
      <w:marLeft w:val="0"/>
      <w:marRight w:val="0"/>
      <w:marTop w:val="0"/>
      <w:marBottom w:val="0"/>
      <w:divBdr>
        <w:top w:val="none" w:sz="0" w:space="0" w:color="auto"/>
        <w:left w:val="none" w:sz="0" w:space="0" w:color="auto"/>
        <w:bottom w:val="none" w:sz="0" w:space="0" w:color="auto"/>
        <w:right w:val="none" w:sz="0" w:space="0" w:color="auto"/>
      </w:divBdr>
    </w:div>
    <w:div w:id="1570849236">
      <w:bodyDiv w:val="1"/>
      <w:marLeft w:val="0"/>
      <w:marRight w:val="0"/>
      <w:marTop w:val="0"/>
      <w:marBottom w:val="0"/>
      <w:divBdr>
        <w:top w:val="none" w:sz="0" w:space="0" w:color="auto"/>
        <w:left w:val="none" w:sz="0" w:space="0" w:color="auto"/>
        <w:bottom w:val="none" w:sz="0" w:space="0" w:color="auto"/>
        <w:right w:val="none" w:sz="0" w:space="0" w:color="auto"/>
      </w:divBdr>
    </w:div>
    <w:div w:id="1571425608">
      <w:bodyDiv w:val="1"/>
      <w:marLeft w:val="0"/>
      <w:marRight w:val="0"/>
      <w:marTop w:val="0"/>
      <w:marBottom w:val="0"/>
      <w:divBdr>
        <w:top w:val="none" w:sz="0" w:space="0" w:color="auto"/>
        <w:left w:val="none" w:sz="0" w:space="0" w:color="auto"/>
        <w:bottom w:val="none" w:sz="0" w:space="0" w:color="auto"/>
        <w:right w:val="none" w:sz="0" w:space="0" w:color="auto"/>
      </w:divBdr>
    </w:div>
    <w:div w:id="1571498803">
      <w:bodyDiv w:val="1"/>
      <w:marLeft w:val="0"/>
      <w:marRight w:val="0"/>
      <w:marTop w:val="0"/>
      <w:marBottom w:val="0"/>
      <w:divBdr>
        <w:top w:val="none" w:sz="0" w:space="0" w:color="auto"/>
        <w:left w:val="none" w:sz="0" w:space="0" w:color="auto"/>
        <w:bottom w:val="none" w:sz="0" w:space="0" w:color="auto"/>
        <w:right w:val="none" w:sz="0" w:space="0" w:color="auto"/>
      </w:divBdr>
    </w:div>
    <w:div w:id="1571690113">
      <w:bodyDiv w:val="1"/>
      <w:marLeft w:val="0"/>
      <w:marRight w:val="0"/>
      <w:marTop w:val="0"/>
      <w:marBottom w:val="0"/>
      <w:divBdr>
        <w:top w:val="none" w:sz="0" w:space="0" w:color="auto"/>
        <w:left w:val="none" w:sz="0" w:space="0" w:color="auto"/>
        <w:bottom w:val="none" w:sz="0" w:space="0" w:color="auto"/>
        <w:right w:val="none" w:sz="0" w:space="0" w:color="auto"/>
      </w:divBdr>
    </w:div>
    <w:div w:id="1572740229">
      <w:bodyDiv w:val="1"/>
      <w:marLeft w:val="0"/>
      <w:marRight w:val="0"/>
      <w:marTop w:val="0"/>
      <w:marBottom w:val="0"/>
      <w:divBdr>
        <w:top w:val="none" w:sz="0" w:space="0" w:color="auto"/>
        <w:left w:val="none" w:sz="0" w:space="0" w:color="auto"/>
        <w:bottom w:val="none" w:sz="0" w:space="0" w:color="auto"/>
        <w:right w:val="none" w:sz="0" w:space="0" w:color="auto"/>
      </w:divBdr>
    </w:div>
    <w:div w:id="1573006134">
      <w:bodyDiv w:val="1"/>
      <w:marLeft w:val="0"/>
      <w:marRight w:val="0"/>
      <w:marTop w:val="0"/>
      <w:marBottom w:val="0"/>
      <w:divBdr>
        <w:top w:val="none" w:sz="0" w:space="0" w:color="auto"/>
        <w:left w:val="none" w:sz="0" w:space="0" w:color="auto"/>
        <w:bottom w:val="none" w:sz="0" w:space="0" w:color="auto"/>
        <w:right w:val="none" w:sz="0" w:space="0" w:color="auto"/>
      </w:divBdr>
    </w:div>
    <w:div w:id="1574393492">
      <w:bodyDiv w:val="1"/>
      <w:marLeft w:val="0"/>
      <w:marRight w:val="0"/>
      <w:marTop w:val="0"/>
      <w:marBottom w:val="0"/>
      <w:divBdr>
        <w:top w:val="none" w:sz="0" w:space="0" w:color="auto"/>
        <w:left w:val="none" w:sz="0" w:space="0" w:color="auto"/>
        <w:bottom w:val="none" w:sz="0" w:space="0" w:color="auto"/>
        <w:right w:val="none" w:sz="0" w:space="0" w:color="auto"/>
      </w:divBdr>
    </w:div>
    <w:div w:id="1574851923">
      <w:bodyDiv w:val="1"/>
      <w:marLeft w:val="0"/>
      <w:marRight w:val="0"/>
      <w:marTop w:val="0"/>
      <w:marBottom w:val="0"/>
      <w:divBdr>
        <w:top w:val="none" w:sz="0" w:space="0" w:color="auto"/>
        <w:left w:val="none" w:sz="0" w:space="0" w:color="auto"/>
        <w:bottom w:val="none" w:sz="0" w:space="0" w:color="auto"/>
        <w:right w:val="none" w:sz="0" w:space="0" w:color="auto"/>
      </w:divBdr>
    </w:div>
    <w:div w:id="1574969403">
      <w:bodyDiv w:val="1"/>
      <w:marLeft w:val="0"/>
      <w:marRight w:val="0"/>
      <w:marTop w:val="0"/>
      <w:marBottom w:val="0"/>
      <w:divBdr>
        <w:top w:val="none" w:sz="0" w:space="0" w:color="auto"/>
        <w:left w:val="none" w:sz="0" w:space="0" w:color="auto"/>
        <w:bottom w:val="none" w:sz="0" w:space="0" w:color="auto"/>
        <w:right w:val="none" w:sz="0" w:space="0" w:color="auto"/>
      </w:divBdr>
    </w:div>
    <w:div w:id="1575041595">
      <w:bodyDiv w:val="1"/>
      <w:marLeft w:val="0"/>
      <w:marRight w:val="0"/>
      <w:marTop w:val="0"/>
      <w:marBottom w:val="0"/>
      <w:divBdr>
        <w:top w:val="none" w:sz="0" w:space="0" w:color="auto"/>
        <w:left w:val="none" w:sz="0" w:space="0" w:color="auto"/>
        <w:bottom w:val="none" w:sz="0" w:space="0" w:color="auto"/>
        <w:right w:val="none" w:sz="0" w:space="0" w:color="auto"/>
      </w:divBdr>
    </w:div>
    <w:div w:id="1575435914">
      <w:bodyDiv w:val="1"/>
      <w:marLeft w:val="0"/>
      <w:marRight w:val="0"/>
      <w:marTop w:val="0"/>
      <w:marBottom w:val="0"/>
      <w:divBdr>
        <w:top w:val="none" w:sz="0" w:space="0" w:color="auto"/>
        <w:left w:val="none" w:sz="0" w:space="0" w:color="auto"/>
        <w:bottom w:val="none" w:sz="0" w:space="0" w:color="auto"/>
        <w:right w:val="none" w:sz="0" w:space="0" w:color="auto"/>
      </w:divBdr>
    </w:div>
    <w:div w:id="1576816293">
      <w:bodyDiv w:val="1"/>
      <w:marLeft w:val="0"/>
      <w:marRight w:val="0"/>
      <w:marTop w:val="0"/>
      <w:marBottom w:val="0"/>
      <w:divBdr>
        <w:top w:val="none" w:sz="0" w:space="0" w:color="auto"/>
        <w:left w:val="none" w:sz="0" w:space="0" w:color="auto"/>
        <w:bottom w:val="none" w:sz="0" w:space="0" w:color="auto"/>
        <w:right w:val="none" w:sz="0" w:space="0" w:color="auto"/>
      </w:divBdr>
    </w:div>
    <w:div w:id="1576935163">
      <w:bodyDiv w:val="1"/>
      <w:marLeft w:val="0"/>
      <w:marRight w:val="0"/>
      <w:marTop w:val="0"/>
      <w:marBottom w:val="0"/>
      <w:divBdr>
        <w:top w:val="none" w:sz="0" w:space="0" w:color="auto"/>
        <w:left w:val="none" w:sz="0" w:space="0" w:color="auto"/>
        <w:bottom w:val="none" w:sz="0" w:space="0" w:color="auto"/>
        <w:right w:val="none" w:sz="0" w:space="0" w:color="auto"/>
      </w:divBdr>
    </w:div>
    <w:div w:id="1578587387">
      <w:bodyDiv w:val="1"/>
      <w:marLeft w:val="0"/>
      <w:marRight w:val="0"/>
      <w:marTop w:val="0"/>
      <w:marBottom w:val="0"/>
      <w:divBdr>
        <w:top w:val="none" w:sz="0" w:space="0" w:color="auto"/>
        <w:left w:val="none" w:sz="0" w:space="0" w:color="auto"/>
        <w:bottom w:val="none" w:sz="0" w:space="0" w:color="auto"/>
        <w:right w:val="none" w:sz="0" w:space="0" w:color="auto"/>
      </w:divBdr>
    </w:div>
    <w:div w:id="1578708496">
      <w:bodyDiv w:val="1"/>
      <w:marLeft w:val="0"/>
      <w:marRight w:val="0"/>
      <w:marTop w:val="0"/>
      <w:marBottom w:val="0"/>
      <w:divBdr>
        <w:top w:val="none" w:sz="0" w:space="0" w:color="auto"/>
        <w:left w:val="none" w:sz="0" w:space="0" w:color="auto"/>
        <w:bottom w:val="none" w:sz="0" w:space="0" w:color="auto"/>
        <w:right w:val="none" w:sz="0" w:space="0" w:color="auto"/>
      </w:divBdr>
    </w:div>
    <w:div w:id="1579173110">
      <w:bodyDiv w:val="1"/>
      <w:marLeft w:val="0"/>
      <w:marRight w:val="0"/>
      <w:marTop w:val="0"/>
      <w:marBottom w:val="0"/>
      <w:divBdr>
        <w:top w:val="none" w:sz="0" w:space="0" w:color="auto"/>
        <w:left w:val="none" w:sz="0" w:space="0" w:color="auto"/>
        <w:bottom w:val="none" w:sz="0" w:space="0" w:color="auto"/>
        <w:right w:val="none" w:sz="0" w:space="0" w:color="auto"/>
      </w:divBdr>
    </w:div>
    <w:div w:id="1579365354">
      <w:bodyDiv w:val="1"/>
      <w:marLeft w:val="0"/>
      <w:marRight w:val="0"/>
      <w:marTop w:val="0"/>
      <w:marBottom w:val="0"/>
      <w:divBdr>
        <w:top w:val="none" w:sz="0" w:space="0" w:color="auto"/>
        <w:left w:val="none" w:sz="0" w:space="0" w:color="auto"/>
        <w:bottom w:val="none" w:sz="0" w:space="0" w:color="auto"/>
        <w:right w:val="none" w:sz="0" w:space="0" w:color="auto"/>
      </w:divBdr>
    </w:div>
    <w:div w:id="1579435410">
      <w:bodyDiv w:val="1"/>
      <w:marLeft w:val="0"/>
      <w:marRight w:val="0"/>
      <w:marTop w:val="0"/>
      <w:marBottom w:val="0"/>
      <w:divBdr>
        <w:top w:val="none" w:sz="0" w:space="0" w:color="auto"/>
        <w:left w:val="none" w:sz="0" w:space="0" w:color="auto"/>
        <w:bottom w:val="none" w:sz="0" w:space="0" w:color="auto"/>
        <w:right w:val="none" w:sz="0" w:space="0" w:color="auto"/>
      </w:divBdr>
    </w:div>
    <w:div w:id="1580215028">
      <w:bodyDiv w:val="1"/>
      <w:marLeft w:val="0"/>
      <w:marRight w:val="0"/>
      <w:marTop w:val="0"/>
      <w:marBottom w:val="0"/>
      <w:divBdr>
        <w:top w:val="none" w:sz="0" w:space="0" w:color="auto"/>
        <w:left w:val="none" w:sz="0" w:space="0" w:color="auto"/>
        <w:bottom w:val="none" w:sz="0" w:space="0" w:color="auto"/>
        <w:right w:val="none" w:sz="0" w:space="0" w:color="auto"/>
      </w:divBdr>
    </w:div>
    <w:div w:id="1580599357">
      <w:bodyDiv w:val="1"/>
      <w:marLeft w:val="0"/>
      <w:marRight w:val="0"/>
      <w:marTop w:val="0"/>
      <w:marBottom w:val="0"/>
      <w:divBdr>
        <w:top w:val="none" w:sz="0" w:space="0" w:color="auto"/>
        <w:left w:val="none" w:sz="0" w:space="0" w:color="auto"/>
        <w:bottom w:val="none" w:sz="0" w:space="0" w:color="auto"/>
        <w:right w:val="none" w:sz="0" w:space="0" w:color="auto"/>
      </w:divBdr>
    </w:div>
    <w:div w:id="1580869725">
      <w:bodyDiv w:val="1"/>
      <w:marLeft w:val="0"/>
      <w:marRight w:val="0"/>
      <w:marTop w:val="0"/>
      <w:marBottom w:val="0"/>
      <w:divBdr>
        <w:top w:val="none" w:sz="0" w:space="0" w:color="auto"/>
        <w:left w:val="none" w:sz="0" w:space="0" w:color="auto"/>
        <w:bottom w:val="none" w:sz="0" w:space="0" w:color="auto"/>
        <w:right w:val="none" w:sz="0" w:space="0" w:color="auto"/>
      </w:divBdr>
    </w:div>
    <w:div w:id="1581595821">
      <w:bodyDiv w:val="1"/>
      <w:marLeft w:val="0"/>
      <w:marRight w:val="0"/>
      <w:marTop w:val="0"/>
      <w:marBottom w:val="0"/>
      <w:divBdr>
        <w:top w:val="none" w:sz="0" w:space="0" w:color="auto"/>
        <w:left w:val="none" w:sz="0" w:space="0" w:color="auto"/>
        <w:bottom w:val="none" w:sz="0" w:space="0" w:color="auto"/>
        <w:right w:val="none" w:sz="0" w:space="0" w:color="auto"/>
      </w:divBdr>
    </w:div>
    <w:div w:id="1582059308">
      <w:bodyDiv w:val="1"/>
      <w:marLeft w:val="0"/>
      <w:marRight w:val="0"/>
      <w:marTop w:val="0"/>
      <w:marBottom w:val="0"/>
      <w:divBdr>
        <w:top w:val="none" w:sz="0" w:space="0" w:color="auto"/>
        <w:left w:val="none" w:sz="0" w:space="0" w:color="auto"/>
        <w:bottom w:val="none" w:sz="0" w:space="0" w:color="auto"/>
        <w:right w:val="none" w:sz="0" w:space="0" w:color="auto"/>
      </w:divBdr>
    </w:div>
    <w:div w:id="1582907794">
      <w:bodyDiv w:val="1"/>
      <w:marLeft w:val="0"/>
      <w:marRight w:val="0"/>
      <w:marTop w:val="0"/>
      <w:marBottom w:val="0"/>
      <w:divBdr>
        <w:top w:val="none" w:sz="0" w:space="0" w:color="auto"/>
        <w:left w:val="none" w:sz="0" w:space="0" w:color="auto"/>
        <w:bottom w:val="none" w:sz="0" w:space="0" w:color="auto"/>
        <w:right w:val="none" w:sz="0" w:space="0" w:color="auto"/>
      </w:divBdr>
    </w:div>
    <w:div w:id="1583174016">
      <w:bodyDiv w:val="1"/>
      <w:marLeft w:val="0"/>
      <w:marRight w:val="0"/>
      <w:marTop w:val="0"/>
      <w:marBottom w:val="0"/>
      <w:divBdr>
        <w:top w:val="none" w:sz="0" w:space="0" w:color="auto"/>
        <w:left w:val="none" w:sz="0" w:space="0" w:color="auto"/>
        <w:bottom w:val="none" w:sz="0" w:space="0" w:color="auto"/>
        <w:right w:val="none" w:sz="0" w:space="0" w:color="auto"/>
      </w:divBdr>
    </w:div>
    <w:div w:id="1583642679">
      <w:bodyDiv w:val="1"/>
      <w:marLeft w:val="0"/>
      <w:marRight w:val="0"/>
      <w:marTop w:val="0"/>
      <w:marBottom w:val="0"/>
      <w:divBdr>
        <w:top w:val="none" w:sz="0" w:space="0" w:color="auto"/>
        <w:left w:val="none" w:sz="0" w:space="0" w:color="auto"/>
        <w:bottom w:val="none" w:sz="0" w:space="0" w:color="auto"/>
        <w:right w:val="none" w:sz="0" w:space="0" w:color="auto"/>
      </w:divBdr>
    </w:div>
    <w:div w:id="1584337712">
      <w:bodyDiv w:val="1"/>
      <w:marLeft w:val="0"/>
      <w:marRight w:val="0"/>
      <w:marTop w:val="0"/>
      <w:marBottom w:val="0"/>
      <w:divBdr>
        <w:top w:val="none" w:sz="0" w:space="0" w:color="auto"/>
        <w:left w:val="none" w:sz="0" w:space="0" w:color="auto"/>
        <w:bottom w:val="none" w:sz="0" w:space="0" w:color="auto"/>
        <w:right w:val="none" w:sz="0" w:space="0" w:color="auto"/>
      </w:divBdr>
    </w:div>
    <w:div w:id="1584492169">
      <w:bodyDiv w:val="1"/>
      <w:marLeft w:val="0"/>
      <w:marRight w:val="0"/>
      <w:marTop w:val="0"/>
      <w:marBottom w:val="0"/>
      <w:divBdr>
        <w:top w:val="none" w:sz="0" w:space="0" w:color="auto"/>
        <w:left w:val="none" w:sz="0" w:space="0" w:color="auto"/>
        <w:bottom w:val="none" w:sz="0" w:space="0" w:color="auto"/>
        <w:right w:val="none" w:sz="0" w:space="0" w:color="auto"/>
      </w:divBdr>
    </w:div>
    <w:div w:id="1585337119">
      <w:bodyDiv w:val="1"/>
      <w:marLeft w:val="0"/>
      <w:marRight w:val="0"/>
      <w:marTop w:val="0"/>
      <w:marBottom w:val="0"/>
      <w:divBdr>
        <w:top w:val="none" w:sz="0" w:space="0" w:color="auto"/>
        <w:left w:val="none" w:sz="0" w:space="0" w:color="auto"/>
        <w:bottom w:val="none" w:sz="0" w:space="0" w:color="auto"/>
        <w:right w:val="none" w:sz="0" w:space="0" w:color="auto"/>
      </w:divBdr>
    </w:div>
    <w:div w:id="1585726499">
      <w:bodyDiv w:val="1"/>
      <w:marLeft w:val="0"/>
      <w:marRight w:val="0"/>
      <w:marTop w:val="0"/>
      <w:marBottom w:val="0"/>
      <w:divBdr>
        <w:top w:val="none" w:sz="0" w:space="0" w:color="auto"/>
        <w:left w:val="none" w:sz="0" w:space="0" w:color="auto"/>
        <w:bottom w:val="none" w:sz="0" w:space="0" w:color="auto"/>
        <w:right w:val="none" w:sz="0" w:space="0" w:color="auto"/>
      </w:divBdr>
    </w:div>
    <w:div w:id="1586106719">
      <w:bodyDiv w:val="1"/>
      <w:marLeft w:val="0"/>
      <w:marRight w:val="0"/>
      <w:marTop w:val="0"/>
      <w:marBottom w:val="0"/>
      <w:divBdr>
        <w:top w:val="none" w:sz="0" w:space="0" w:color="auto"/>
        <w:left w:val="none" w:sz="0" w:space="0" w:color="auto"/>
        <w:bottom w:val="none" w:sz="0" w:space="0" w:color="auto"/>
        <w:right w:val="none" w:sz="0" w:space="0" w:color="auto"/>
      </w:divBdr>
    </w:div>
    <w:div w:id="1586455603">
      <w:bodyDiv w:val="1"/>
      <w:marLeft w:val="0"/>
      <w:marRight w:val="0"/>
      <w:marTop w:val="0"/>
      <w:marBottom w:val="0"/>
      <w:divBdr>
        <w:top w:val="none" w:sz="0" w:space="0" w:color="auto"/>
        <w:left w:val="none" w:sz="0" w:space="0" w:color="auto"/>
        <w:bottom w:val="none" w:sz="0" w:space="0" w:color="auto"/>
        <w:right w:val="none" w:sz="0" w:space="0" w:color="auto"/>
      </w:divBdr>
    </w:div>
    <w:div w:id="1586499150">
      <w:bodyDiv w:val="1"/>
      <w:marLeft w:val="0"/>
      <w:marRight w:val="0"/>
      <w:marTop w:val="0"/>
      <w:marBottom w:val="0"/>
      <w:divBdr>
        <w:top w:val="none" w:sz="0" w:space="0" w:color="auto"/>
        <w:left w:val="none" w:sz="0" w:space="0" w:color="auto"/>
        <w:bottom w:val="none" w:sz="0" w:space="0" w:color="auto"/>
        <w:right w:val="none" w:sz="0" w:space="0" w:color="auto"/>
      </w:divBdr>
    </w:div>
    <w:div w:id="1586911336">
      <w:bodyDiv w:val="1"/>
      <w:marLeft w:val="0"/>
      <w:marRight w:val="0"/>
      <w:marTop w:val="0"/>
      <w:marBottom w:val="0"/>
      <w:divBdr>
        <w:top w:val="none" w:sz="0" w:space="0" w:color="auto"/>
        <w:left w:val="none" w:sz="0" w:space="0" w:color="auto"/>
        <w:bottom w:val="none" w:sz="0" w:space="0" w:color="auto"/>
        <w:right w:val="none" w:sz="0" w:space="0" w:color="auto"/>
      </w:divBdr>
    </w:div>
    <w:div w:id="1588466941">
      <w:bodyDiv w:val="1"/>
      <w:marLeft w:val="0"/>
      <w:marRight w:val="0"/>
      <w:marTop w:val="0"/>
      <w:marBottom w:val="0"/>
      <w:divBdr>
        <w:top w:val="none" w:sz="0" w:space="0" w:color="auto"/>
        <w:left w:val="none" w:sz="0" w:space="0" w:color="auto"/>
        <w:bottom w:val="none" w:sz="0" w:space="0" w:color="auto"/>
        <w:right w:val="none" w:sz="0" w:space="0" w:color="auto"/>
      </w:divBdr>
    </w:div>
    <w:div w:id="1588806035">
      <w:bodyDiv w:val="1"/>
      <w:marLeft w:val="0"/>
      <w:marRight w:val="0"/>
      <w:marTop w:val="0"/>
      <w:marBottom w:val="0"/>
      <w:divBdr>
        <w:top w:val="none" w:sz="0" w:space="0" w:color="auto"/>
        <w:left w:val="none" w:sz="0" w:space="0" w:color="auto"/>
        <w:bottom w:val="none" w:sz="0" w:space="0" w:color="auto"/>
        <w:right w:val="none" w:sz="0" w:space="0" w:color="auto"/>
      </w:divBdr>
    </w:div>
    <w:div w:id="1588926562">
      <w:bodyDiv w:val="1"/>
      <w:marLeft w:val="0"/>
      <w:marRight w:val="0"/>
      <w:marTop w:val="0"/>
      <w:marBottom w:val="0"/>
      <w:divBdr>
        <w:top w:val="none" w:sz="0" w:space="0" w:color="auto"/>
        <w:left w:val="none" w:sz="0" w:space="0" w:color="auto"/>
        <w:bottom w:val="none" w:sz="0" w:space="0" w:color="auto"/>
        <w:right w:val="none" w:sz="0" w:space="0" w:color="auto"/>
      </w:divBdr>
    </w:div>
    <w:div w:id="1588999085">
      <w:bodyDiv w:val="1"/>
      <w:marLeft w:val="0"/>
      <w:marRight w:val="0"/>
      <w:marTop w:val="0"/>
      <w:marBottom w:val="0"/>
      <w:divBdr>
        <w:top w:val="none" w:sz="0" w:space="0" w:color="auto"/>
        <w:left w:val="none" w:sz="0" w:space="0" w:color="auto"/>
        <w:bottom w:val="none" w:sz="0" w:space="0" w:color="auto"/>
        <w:right w:val="none" w:sz="0" w:space="0" w:color="auto"/>
      </w:divBdr>
    </w:div>
    <w:div w:id="1590431198">
      <w:bodyDiv w:val="1"/>
      <w:marLeft w:val="0"/>
      <w:marRight w:val="0"/>
      <w:marTop w:val="0"/>
      <w:marBottom w:val="0"/>
      <w:divBdr>
        <w:top w:val="none" w:sz="0" w:space="0" w:color="auto"/>
        <w:left w:val="none" w:sz="0" w:space="0" w:color="auto"/>
        <w:bottom w:val="none" w:sz="0" w:space="0" w:color="auto"/>
        <w:right w:val="none" w:sz="0" w:space="0" w:color="auto"/>
      </w:divBdr>
    </w:div>
    <w:div w:id="1591088453">
      <w:bodyDiv w:val="1"/>
      <w:marLeft w:val="0"/>
      <w:marRight w:val="0"/>
      <w:marTop w:val="0"/>
      <w:marBottom w:val="0"/>
      <w:divBdr>
        <w:top w:val="none" w:sz="0" w:space="0" w:color="auto"/>
        <w:left w:val="none" w:sz="0" w:space="0" w:color="auto"/>
        <w:bottom w:val="none" w:sz="0" w:space="0" w:color="auto"/>
        <w:right w:val="none" w:sz="0" w:space="0" w:color="auto"/>
      </w:divBdr>
    </w:div>
    <w:div w:id="1592161102">
      <w:bodyDiv w:val="1"/>
      <w:marLeft w:val="0"/>
      <w:marRight w:val="0"/>
      <w:marTop w:val="0"/>
      <w:marBottom w:val="0"/>
      <w:divBdr>
        <w:top w:val="none" w:sz="0" w:space="0" w:color="auto"/>
        <w:left w:val="none" w:sz="0" w:space="0" w:color="auto"/>
        <w:bottom w:val="none" w:sz="0" w:space="0" w:color="auto"/>
        <w:right w:val="none" w:sz="0" w:space="0" w:color="auto"/>
      </w:divBdr>
    </w:div>
    <w:div w:id="1592664380">
      <w:bodyDiv w:val="1"/>
      <w:marLeft w:val="0"/>
      <w:marRight w:val="0"/>
      <w:marTop w:val="0"/>
      <w:marBottom w:val="0"/>
      <w:divBdr>
        <w:top w:val="none" w:sz="0" w:space="0" w:color="auto"/>
        <w:left w:val="none" w:sz="0" w:space="0" w:color="auto"/>
        <w:bottom w:val="none" w:sz="0" w:space="0" w:color="auto"/>
        <w:right w:val="none" w:sz="0" w:space="0" w:color="auto"/>
      </w:divBdr>
    </w:div>
    <w:div w:id="1593010275">
      <w:bodyDiv w:val="1"/>
      <w:marLeft w:val="0"/>
      <w:marRight w:val="0"/>
      <w:marTop w:val="0"/>
      <w:marBottom w:val="0"/>
      <w:divBdr>
        <w:top w:val="none" w:sz="0" w:space="0" w:color="auto"/>
        <w:left w:val="none" w:sz="0" w:space="0" w:color="auto"/>
        <w:bottom w:val="none" w:sz="0" w:space="0" w:color="auto"/>
        <w:right w:val="none" w:sz="0" w:space="0" w:color="auto"/>
      </w:divBdr>
    </w:div>
    <w:div w:id="1593393848">
      <w:bodyDiv w:val="1"/>
      <w:marLeft w:val="0"/>
      <w:marRight w:val="0"/>
      <w:marTop w:val="0"/>
      <w:marBottom w:val="0"/>
      <w:divBdr>
        <w:top w:val="none" w:sz="0" w:space="0" w:color="auto"/>
        <w:left w:val="none" w:sz="0" w:space="0" w:color="auto"/>
        <w:bottom w:val="none" w:sz="0" w:space="0" w:color="auto"/>
        <w:right w:val="none" w:sz="0" w:space="0" w:color="auto"/>
      </w:divBdr>
    </w:div>
    <w:div w:id="1593464064">
      <w:bodyDiv w:val="1"/>
      <w:marLeft w:val="0"/>
      <w:marRight w:val="0"/>
      <w:marTop w:val="0"/>
      <w:marBottom w:val="0"/>
      <w:divBdr>
        <w:top w:val="none" w:sz="0" w:space="0" w:color="auto"/>
        <w:left w:val="none" w:sz="0" w:space="0" w:color="auto"/>
        <w:bottom w:val="none" w:sz="0" w:space="0" w:color="auto"/>
        <w:right w:val="none" w:sz="0" w:space="0" w:color="auto"/>
      </w:divBdr>
    </w:div>
    <w:div w:id="1593931750">
      <w:bodyDiv w:val="1"/>
      <w:marLeft w:val="0"/>
      <w:marRight w:val="0"/>
      <w:marTop w:val="0"/>
      <w:marBottom w:val="0"/>
      <w:divBdr>
        <w:top w:val="none" w:sz="0" w:space="0" w:color="auto"/>
        <w:left w:val="none" w:sz="0" w:space="0" w:color="auto"/>
        <w:bottom w:val="none" w:sz="0" w:space="0" w:color="auto"/>
        <w:right w:val="none" w:sz="0" w:space="0" w:color="auto"/>
      </w:divBdr>
    </w:div>
    <w:div w:id="1594893170">
      <w:bodyDiv w:val="1"/>
      <w:marLeft w:val="0"/>
      <w:marRight w:val="0"/>
      <w:marTop w:val="0"/>
      <w:marBottom w:val="0"/>
      <w:divBdr>
        <w:top w:val="none" w:sz="0" w:space="0" w:color="auto"/>
        <w:left w:val="none" w:sz="0" w:space="0" w:color="auto"/>
        <w:bottom w:val="none" w:sz="0" w:space="0" w:color="auto"/>
        <w:right w:val="none" w:sz="0" w:space="0" w:color="auto"/>
      </w:divBdr>
    </w:div>
    <w:div w:id="1595047582">
      <w:bodyDiv w:val="1"/>
      <w:marLeft w:val="0"/>
      <w:marRight w:val="0"/>
      <w:marTop w:val="0"/>
      <w:marBottom w:val="0"/>
      <w:divBdr>
        <w:top w:val="none" w:sz="0" w:space="0" w:color="auto"/>
        <w:left w:val="none" w:sz="0" w:space="0" w:color="auto"/>
        <w:bottom w:val="none" w:sz="0" w:space="0" w:color="auto"/>
        <w:right w:val="none" w:sz="0" w:space="0" w:color="auto"/>
      </w:divBdr>
    </w:div>
    <w:div w:id="1596984447">
      <w:bodyDiv w:val="1"/>
      <w:marLeft w:val="0"/>
      <w:marRight w:val="0"/>
      <w:marTop w:val="0"/>
      <w:marBottom w:val="0"/>
      <w:divBdr>
        <w:top w:val="none" w:sz="0" w:space="0" w:color="auto"/>
        <w:left w:val="none" w:sz="0" w:space="0" w:color="auto"/>
        <w:bottom w:val="none" w:sz="0" w:space="0" w:color="auto"/>
        <w:right w:val="none" w:sz="0" w:space="0" w:color="auto"/>
      </w:divBdr>
    </w:div>
    <w:div w:id="1598369371">
      <w:bodyDiv w:val="1"/>
      <w:marLeft w:val="0"/>
      <w:marRight w:val="0"/>
      <w:marTop w:val="0"/>
      <w:marBottom w:val="0"/>
      <w:divBdr>
        <w:top w:val="none" w:sz="0" w:space="0" w:color="auto"/>
        <w:left w:val="none" w:sz="0" w:space="0" w:color="auto"/>
        <w:bottom w:val="none" w:sz="0" w:space="0" w:color="auto"/>
        <w:right w:val="none" w:sz="0" w:space="0" w:color="auto"/>
      </w:divBdr>
    </w:div>
    <w:div w:id="1598829320">
      <w:bodyDiv w:val="1"/>
      <w:marLeft w:val="0"/>
      <w:marRight w:val="0"/>
      <w:marTop w:val="0"/>
      <w:marBottom w:val="0"/>
      <w:divBdr>
        <w:top w:val="none" w:sz="0" w:space="0" w:color="auto"/>
        <w:left w:val="none" w:sz="0" w:space="0" w:color="auto"/>
        <w:bottom w:val="none" w:sz="0" w:space="0" w:color="auto"/>
        <w:right w:val="none" w:sz="0" w:space="0" w:color="auto"/>
      </w:divBdr>
    </w:div>
    <w:div w:id="1599174633">
      <w:bodyDiv w:val="1"/>
      <w:marLeft w:val="0"/>
      <w:marRight w:val="0"/>
      <w:marTop w:val="0"/>
      <w:marBottom w:val="0"/>
      <w:divBdr>
        <w:top w:val="none" w:sz="0" w:space="0" w:color="auto"/>
        <w:left w:val="none" w:sz="0" w:space="0" w:color="auto"/>
        <w:bottom w:val="none" w:sz="0" w:space="0" w:color="auto"/>
        <w:right w:val="none" w:sz="0" w:space="0" w:color="auto"/>
      </w:divBdr>
    </w:div>
    <w:div w:id="1599865970">
      <w:bodyDiv w:val="1"/>
      <w:marLeft w:val="0"/>
      <w:marRight w:val="0"/>
      <w:marTop w:val="0"/>
      <w:marBottom w:val="0"/>
      <w:divBdr>
        <w:top w:val="none" w:sz="0" w:space="0" w:color="auto"/>
        <w:left w:val="none" w:sz="0" w:space="0" w:color="auto"/>
        <w:bottom w:val="none" w:sz="0" w:space="0" w:color="auto"/>
        <w:right w:val="none" w:sz="0" w:space="0" w:color="auto"/>
      </w:divBdr>
    </w:div>
    <w:div w:id="1600218320">
      <w:bodyDiv w:val="1"/>
      <w:marLeft w:val="0"/>
      <w:marRight w:val="0"/>
      <w:marTop w:val="0"/>
      <w:marBottom w:val="0"/>
      <w:divBdr>
        <w:top w:val="none" w:sz="0" w:space="0" w:color="auto"/>
        <w:left w:val="none" w:sz="0" w:space="0" w:color="auto"/>
        <w:bottom w:val="none" w:sz="0" w:space="0" w:color="auto"/>
        <w:right w:val="none" w:sz="0" w:space="0" w:color="auto"/>
      </w:divBdr>
    </w:div>
    <w:div w:id="1600290703">
      <w:bodyDiv w:val="1"/>
      <w:marLeft w:val="0"/>
      <w:marRight w:val="0"/>
      <w:marTop w:val="0"/>
      <w:marBottom w:val="0"/>
      <w:divBdr>
        <w:top w:val="none" w:sz="0" w:space="0" w:color="auto"/>
        <w:left w:val="none" w:sz="0" w:space="0" w:color="auto"/>
        <w:bottom w:val="none" w:sz="0" w:space="0" w:color="auto"/>
        <w:right w:val="none" w:sz="0" w:space="0" w:color="auto"/>
      </w:divBdr>
    </w:div>
    <w:div w:id="1600869481">
      <w:bodyDiv w:val="1"/>
      <w:marLeft w:val="0"/>
      <w:marRight w:val="0"/>
      <w:marTop w:val="0"/>
      <w:marBottom w:val="0"/>
      <w:divBdr>
        <w:top w:val="none" w:sz="0" w:space="0" w:color="auto"/>
        <w:left w:val="none" w:sz="0" w:space="0" w:color="auto"/>
        <w:bottom w:val="none" w:sz="0" w:space="0" w:color="auto"/>
        <w:right w:val="none" w:sz="0" w:space="0" w:color="auto"/>
      </w:divBdr>
    </w:div>
    <w:div w:id="1601259273">
      <w:bodyDiv w:val="1"/>
      <w:marLeft w:val="0"/>
      <w:marRight w:val="0"/>
      <w:marTop w:val="0"/>
      <w:marBottom w:val="0"/>
      <w:divBdr>
        <w:top w:val="none" w:sz="0" w:space="0" w:color="auto"/>
        <w:left w:val="none" w:sz="0" w:space="0" w:color="auto"/>
        <w:bottom w:val="none" w:sz="0" w:space="0" w:color="auto"/>
        <w:right w:val="none" w:sz="0" w:space="0" w:color="auto"/>
      </w:divBdr>
    </w:div>
    <w:div w:id="1601333139">
      <w:bodyDiv w:val="1"/>
      <w:marLeft w:val="0"/>
      <w:marRight w:val="0"/>
      <w:marTop w:val="0"/>
      <w:marBottom w:val="0"/>
      <w:divBdr>
        <w:top w:val="none" w:sz="0" w:space="0" w:color="auto"/>
        <w:left w:val="none" w:sz="0" w:space="0" w:color="auto"/>
        <w:bottom w:val="none" w:sz="0" w:space="0" w:color="auto"/>
        <w:right w:val="none" w:sz="0" w:space="0" w:color="auto"/>
      </w:divBdr>
    </w:div>
    <w:div w:id="1602033278">
      <w:bodyDiv w:val="1"/>
      <w:marLeft w:val="0"/>
      <w:marRight w:val="0"/>
      <w:marTop w:val="0"/>
      <w:marBottom w:val="0"/>
      <w:divBdr>
        <w:top w:val="none" w:sz="0" w:space="0" w:color="auto"/>
        <w:left w:val="none" w:sz="0" w:space="0" w:color="auto"/>
        <w:bottom w:val="none" w:sz="0" w:space="0" w:color="auto"/>
        <w:right w:val="none" w:sz="0" w:space="0" w:color="auto"/>
      </w:divBdr>
    </w:div>
    <w:div w:id="1602298663">
      <w:bodyDiv w:val="1"/>
      <w:marLeft w:val="0"/>
      <w:marRight w:val="0"/>
      <w:marTop w:val="0"/>
      <w:marBottom w:val="0"/>
      <w:divBdr>
        <w:top w:val="none" w:sz="0" w:space="0" w:color="auto"/>
        <w:left w:val="none" w:sz="0" w:space="0" w:color="auto"/>
        <w:bottom w:val="none" w:sz="0" w:space="0" w:color="auto"/>
        <w:right w:val="none" w:sz="0" w:space="0" w:color="auto"/>
      </w:divBdr>
    </w:div>
    <w:div w:id="1602912200">
      <w:bodyDiv w:val="1"/>
      <w:marLeft w:val="0"/>
      <w:marRight w:val="0"/>
      <w:marTop w:val="0"/>
      <w:marBottom w:val="0"/>
      <w:divBdr>
        <w:top w:val="none" w:sz="0" w:space="0" w:color="auto"/>
        <w:left w:val="none" w:sz="0" w:space="0" w:color="auto"/>
        <w:bottom w:val="none" w:sz="0" w:space="0" w:color="auto"/>
        <w:right w:val="none" w:sz="0" w:space="0" w:color="auto"/>
      </w:divBdr>
    </w:div>
    <w:div w:id="1603149297">
      <w:bodyDiv w:val="1"/>
      <w:marLeft w:val="0"/>
      <w:marRight w:val="0"/>
      <w:marTop w:val="0"/>
      <w:marBottom w:val="0"/>
      <w:divBdr>
        <w:top w:val="none" w:sz="0" w:space="0" w:color="auto"/>
        <w:left w:val="none" w:sz="0" w:space="0" w:color="auto"/>
        <w:bottom w:val="none" w:sz="0" w:space="0" w:color="auto"/>
        <w:right w:val="none" w:sz="0" w:space="0" w:color="auto"/>
      </w:divBdr>
    </w:div>
    <w:div w:id="1603612917">
      <w:bodyDiv w:val="1"/>
      <w:marLeft w:val="0"/>
      <w:marRight w:val="0"/>
      <w:marTop w:val="0"/>
      <w:marBottom w:val="0"/>
      <w:divBdr>
        <w:top w:val="none" w:sz="0" w:space="0" w:color="auto"/>
        <w:left w:val="none" w:sz="0" w:space="0" w:color="auto"/>
        <w:bottom w:val="none" w:sz="0" w:space="0" w:color="auto"/>
        <w:right w:val="none" w:sz="0" w:space="0" w:color="auto"/>
      </w:divBdr>
    </w:div>
    <w:div w:id="1604923899">
      <w:bodyDiv w:val="1"/>
      <w:marLeft w:val="0"/>
      <w:marRight w:val="0"/>
      <w:marTop w:val="0"/>
      <w:marBottom w:val="0"/>
      <w:divBdr>
        <w:top w:val="none" w:sz="0" w:space="0" w:color="auto"/>
        <w:left w:val="none" w:sz="0" w:space="0" w:color="auto"/>
        <w:bottom w:val="none" w:sz="0" w:space="0" w:color="auto"/>
        <w:right w:val="none" w:sz="0" w:space="0" w:color="auto"/>
      </w:divBdr>
    </w:div>
    <w:div w:id="1604998360">
      <w:bodyDiv w:val="1"/>
      <w:marLeft w:val="0"/>
      <w:marRight w:val="0"/>
      <w:marTop w:val="0"/>
      <w:marBottom w:val="0"/>
      <w:divBdr>
        <w:top w:val="none" w:sz="0" w:space="0" w:color="auto"/>
        <w:left w:val="none" w:sz="0" w:space="0" w:color="auto"/>
        <w:bottom w:val="none" w:sz="0" w:space="0" w:color="auto"/>
        <w:right w:val="none" w:sz="0" w:space="0" w:color="auto"/>
      </w:divBdr>
    </w:div>
    <w:div w:id="1605456521">
      <w:bodyDiv w:val="1"/>
      <w:marLeft w:val="0"/>
      <w:marRight w:val="0"/>
      <w:marTop w:val="0"/>
      <w:marBottom w:val="0"/>
      <w:divBdr>
        <w:top w:val="none" w:sz="0" w:space="0" w:color="auto"/>
        <w:left w:val="none" w:sz="0" w:space="0" w:color="auto"/>
        <w:bottom w:val="none" w:sz="0" w:space="0" w:color="auto"/>
        <w:right w:val="none" w:sz="0" w:space="0" w:color="auto"/>
      </w:divBdr>
    </w:div>
    <w:div w:id="1605723422">
      <w:bodyDiv w:val="1"/>
      <w:marLeft w:val="0"/>
      <w:marRight w:val="0"/>
      <w:marTop w:val="0"/>
      <w:marBottom w:val="0"/>
      <w:divBdr>
        <w:top w:val="none" w:sz="0" w:space="0" w:color="auto"/>
        <w:left w:val="none" w:sz="0" w:space="0" w:color="auto"/>
        <w:bottom w:val="none" w:sz="0" w:space="0" w:color="auto"/>
        <w:right w:val="none" w:sz="0" w:space="0" w:color="auto"/>
      </w:divBdr>
    </w:div>
    <w:div w:id="1608124800">
      <w:bodyDiv w:val="1"/>
      <w:marLeft w:val="0"/>
      <w:marRight w:val="0"/>
      <w:marTop w:val="0"/>
      <w:marBottom w:val="0"/>
      <w:divBdr>
        <w:top w:val="none" w:sz="0" w:space="0" w:color="auto"/>
        <w:left w:val="none" w:sz="0" w:space="0" w:color="auto"/>
        <w:bottom w:val="none" w:sz="0" w:space="0" w:color="auto"/>
        <w:right w:val="none" w:sz="0" w:space="0" w:color="auto"/>
      </w:divBdr>
    </w:div>
    <w:div w:id="1608389411">
      <w:bodyDiv w:val="1"/>
      <w:marLeft w:val="0"/>
      <w:marRight w:val="0"/>
      <w:marTop w:val="0"/>
      <w:marBottom w:val="0"/>
      <w:divBdr>
        <w:top w:val="none" w:sz="0" w:space="0" w:color="auto"/>
        <w:left w:val="none" w:sz="0" w:space="0" w:color="auto"/>
        <w:bottom w:val="none" w:sz="0" w:space="0" w:color="auto"/>
        <w:right w:val="none" w:sz="0" w:space="0" w:color="auto"/>
      </w:divBdr>
    </w:div>
    <w:div w:id="1608807254">
      <w:bodyDiv w:val="1"/>
      <w:marLeft w:val="0"/>
      <w:marRight w:val="0"/>
      <w:marTop w:val="0"/>
      <w:marBottom w:val="0"/>
      <w:divBdr>
        <w:top w:val="none" w:sz="0" w:space="0" w:color="auto"/>
        <w:left w:val="none" w:sz="0" w:space="0" w:color="auto"/>
        <w:bottom w:val="none" w:sz="0" w:space="0" w:color="auto"/>
        <w:right w:val="none" w:sz="0" w:space="0" w:color="auto"/>
      </w:divBdr>
    </w:div>
    <w:div w:id="1609583023">
      <w:bodyDiv w:val="1"/>
      <w:marLeft w:val="0"/>
      <w:marRight w:val="0"/>
      <w:marTop w:val="0"/>
      <w:marBottom w:val="0"/>
      <w:divBdr>
        <w:top w:val="none" w:sz="0" w:space="0" w:color="auto"/>
        <w:left w:val="none" w:sz="0" w:space="0" w:color="auto"/>
        <w:bottom w:val="none" w:sz="0" w:space="0" w:color="auto"/>
        <w:right w:val="none" w:sz="0" w:space="0" w:color="auto"/>
      </w:divBdr>
    </w:div>
    <w:div w:id="1609654461">
      <w:bodyDiv w:val="1"/>
      <w:marLeft w:val="0"/>
      <w:marRight w:val="0"/>
      <w:marTop w:val="0"/>
      <w:marBottom w:val="0"/>
      <w:divBdr>
        <w:top w:val="none" w:sz="0" w:space="0" w:color="auto"/>
        <w:left w:val="none" w:sz="0" w:space="0" w:color="auto"/>
        <w:bottom w:val="none" w:sz="0" w:space="0" w:color="auto"/>
        <w:right w:val="none" w:sz="0" w:space="0" w:color="auto"/>
      </w:divBdr>
    </w:div>
    <w:div w:id="1610040271">
      <w:bodyDiv w:val="1"/>
      <w:marLeft w:val="0"/>
      <w:marRight w:val="0"/>
      <w:marTop w:val="0"/>
      <w:marBottom w:val="0"/>
      <w:divBdr>
        <w:top w:val="none" w:sz="0" w:space="0" w:color="auto"/>
        <w:left w:val="none" w:sz="0" w:space="0" w:color="auto"/>
        <w:bottom w:val="none" w:sz="0" w:space="0" w:color="auto"/>
        <w:right w:val="none" w:sz="0" w:space="0" w:color="auto"/>
      </w:divBdr>
    </w:div>
    <w:div w:id="1610432983">
      <w:bodyDiv w:val="1"/>
      <w:marLeft w:val="0"/>
      <w:marRight w:val="0"/>
      <w:marTop w:val="0"/>
      <w:marBottom w:val="0"/>
      <w:divBdr>
        <w:top w:val="none" w:sz="0" w:space="0" w:color="auto"/>
        <w:left w:val="none" w:sz="0" w:space="0" w:color="auto"/>
        <w:bottom w:val="none" w:sz="0" w:space="0" w:color="auto"/>
        <w:right w:val="none" w:sz="0" w:space="0" w:color="auto"/>
      </w:divBdr>
    </w:div>
    <w:div w:id="1610552788">
      <w:bodyDiv w:val="1"/>
      <w:marLeft w:val="0"/>
      <w:marRight w:val="0"/>
      <w:marTop w:val="0"/>
      <w:marBottom w:val="0"/>
      <w:divBdr>
        <w:top w:val="none" w:sz="0" w:space="0" w:color="auto"/>
        <w:left w:val="none" w:sz="0" w:space="0" w:color="auto"/>
        <w:bottom w:val="none" w:sz="0" w:space="0" w:color="auto"/>
        <w:right w:val="none" w:sz="0" w:space="0" w:color="auto"/>
      </w:divBdr>
    </w:div>
    <w:div w:id="1611350956">
      <w:bodyDiv w:val="1"/>
      <w:marLeft w:val="0"/>
      <w:marRight w:val="0"/>
      <w:marTop w:val="0"/>
      <w:marBottom w:val="0"/>
      <w:divBdr>
        <w:top w:val="none" w:sz="0" w:space="0" w:color="auto"/>
        <w:left w:val="none" w:sz="0" w:space="0" w:color="auto"/>
        <w:bottom w:val="none" w:sz="0" w:space="0" w:color="auto"/>
        <w:right w:val="none" w:sz="0" w:space="0" w:color="auto"/>
      </w:divBdr>
    </w:div>
    <w:div w:id="1612854299">
      <w:bodyDiv w:val="1"/>
      <w:marLeft w:val="0"/>
      <w:marRight w:val="0"/>
      <w:marTop w:val="0"/>
      <w:marBottom w:val="0"/>
      <w:divBdr>
        <w:top w:val="none" w:sz="0" w:space="0" w:color="auto"/>
        <w:left w:val="none" w:sz="0" w:space="0" w:color="auto"/>
        <w:bottom w:val="none" w:sz="0" w:space="0" w:color="auto"/>
        <w:right w:val="none" w:sz="0" w:space="0" w:color="auto"/>
      </w:divBdr>
    </w:div>
    <w:div w:id="1613200548">
      <w:bodyDiv w:val="1"/>
      <w:marLeft w:val="0"/>
      <w:marRight w:val="0"/>
      <w:marTop w:val="0"/>
      <w:marBottom w:val="0"/>
      <w:divBdr>
        <w:top w:val="none" w:sz="0" w:space="0" w:color="auto"/>
        <w:left w:val="none" w:sz="0" w:space="0" w:color="auto"/>
        <w:bottom w:val="none" w:sz="0" w:space="0" w:color="auto"/>
        <w:right w:val="none" w:sz="0" w:space="0" w:color="auto"/>
      </w:divBdr>
    </w:div>
    <w:div w:id="1613591109">
      <w:bodyDiv w:val="1"/>
      <w:marLeft w:val="0"/>
      <w:marRight w:val="0"/>
      <w:marTop w:val="0"/>
      <w:marBottom w:val="0"/>
      <w:divBdr>
        <w:top w:val="none" w:sz="0" w:space="0" w:color="auto"/>
        <w:left w:val="none" w:sz="0" w:space="0" w:color="auto"/>
        <w:bottom w:val="none" w:sz="0" w:space="0" w:color="auto"/>
        <w:right w:val="none" w:sz="0" w:space="0" w:color="auto"/>
      </w:divBdr>
    </w:div>
    <w:div w:id="1613782429">
      <w:bodyDiv w:val="1"/>
      <w:marLeft w:val="0"/>
      <w:marRight w:val="0"/>
      <w:marTop w:val="0"/>
      <w:marBottom w:val="0"/>
      <w:divBdr>
        <w:top w:val="none" w:sz="0" w:space="0" w:color="auto"/>
        <w:left w:val="none" w:sz="0" w:space="0" w:color="auto"/>
        <w:bottom w:val="none" w:sz="0" w:space="0" w:color="auto"/>
        <w:right w:val="none" w:sz="0" w:space="0" w:color="auto"/>
      </w:divBdr>
    </w:div>
    <w:div w:id="1613855484">
      <w:bodyDiv w:val="1"/>
      <w:marLeft w:val="0"/>
      <w:marRight w:val="0"/>
      <w:marTop w:val="0"/>
      <w:marBottom w:val="0"/>
      <w:divBdr>
        <w:top w:val="none" w:sz="0" w:space="0" w:color="auto"/>
        <w:left w:val="none" w:sz="0" w:space="0" w:color="auto"/>
        <w:bottom w:val="none" w:sz="0" w:space="0" w:color="auto"/>
        <w:right w:val="none" w:sz="0" w:space="0" w:color="auto"/>
      </w:divBdr>
    </w:div>
    <w:div w:id="1613971432">
      <w:bodyDiv w:val="1"/>
      <w:marLeft w:val="0"/>
      <w:marRight w:val="0"/>
      <w:marTop w:val="0"/>
      <w:marBottom w:val="0"/>
      <w:divBdr>
        <w:top w:val="none" w:sz="0" w:space="0" w:color="auto"/>
        <w:left w:val="none" w:sz="0" w:space="0" w:color="auto"/>
        <w:bottom w:val="none" w:sz="0" w:space="0" w:color="auto"/>
        <w:right w:val="none" w:sz="0" w:space="0" w:color="auto"/>
      </w:divBdr>
    </w:div>
    <w:div w:id="1614290952">
      <w:bodyDiv w:val="1"/>
      <w:marLeft w:val="0"/>
      <w:marRight w:val="0"/>
      <w:marTop w:val="0"/>
      <w:marBottom w:val="0"/>
      <w:divBdr>
        <w:top w:val="none" w:sz="0" w:space="0" w:color="auto"/>
        <w:left w:val="none" w:sz="0" w:space="0" w:color="auto"/>
        <w:bottom w:val="none" w:sz="0" w:space="0" w:color="auto"/>
        <w:right w:val="none" w:sz="0" w:space="0" w:color="auto"/>
      </w:divBdr>
    </w:div>
    <w:div w:id="1616445587">
      <w:bodyDiv w:val="1"/>
      <w:marLeft w:val="0"/>
      <w:marRight w:val="0"/>
      <w:marTop w:val="0"/>
      <w:marBottom w:val="0"/>
      <w:divBdr>
        <w:top w:val="none" w:sz="0" w:space="0" w:color="auto"/>
        <w:left w:val="none" w:sz="0" w:space="0" w:color="auto"/>
        <w:bottom w:val="none" w:sz="0" w:space="0" w:color="auto"/>
        <w:right w:val="none" w:sz="0" w:space="0" w:color="auto"/>
      </w:divBdr>
    </w:div>
    <w:div w:id="1616864241">
      <w:bodyDiv w:val="1"/>
      <w:marLeft w:val="0"/>
      <w:marRight w:val="0"/>
      <w:marTop w:val="0"/>
      <w:marBottom w:val="0"/>
      <w:divBdr>
        <w:top w:val="none" w:sz="0" w:space="0" w:color="auto"/>
        <w:left w:val="none" w:sz="0" w:space="0" w:color="auto"/>
        <w:bottom w:val="none" w:sz="0" w:space="0" w:color="auto"/>
        <w:right w:val="none" w:sz="0" w:space="0" w:color="auto"/>
      </w:divBdr>
    </w:div>
    <w:div w:id="1617563357">
      <w:bodyDiv w:val="1"/>
      <w:marLeft w:val="0"/>
      <w:marRight w:val="0"/>
      <w:marTop w:val="0"/>
      <w:marBottom w:val="0"/>
      <w:divBdr>
        <w:top w:val="none" w:sz="0" w:space="0" w:color="auto"/>
        <w:left w:val="none" w:sz="0" w:space="0" w:color="auto"/>
        <w:bottom w:val="none" w:sz="0" w:space="0" w:color="auto"/>
        <w:right w:val="none" w:sz="0" w:space="0" w:color="auto"/>
      </w:divBdr>
    </w:div>
    <w:div w:id="1619754418">
      <w:bodyDiv w:val="1"/>
      <w:marLeft w:val="0"/>
      <w:marRight w:val="0"/>
      <w:marTop w:val="0"/>
      <w:marBottom w:val="0"/>
      <w:divBdr>
        <w:top w:val="none" w:sz="0" w:space="0" w:color="auto"/>
        <w:left w:val="none" w:sz="0" w:space="0" w:color="auto"/>
        <w:bottom w:val="none" w:sz="0" w:space="0" w:color="auto"/>
        <w:right w:val="none" w:sz="0" w:space="0" w:color="auto"/>
      </w:divBdr>
    </w:div>
    <w:div w:id="1620919129">
      <w:bodyDiv w:val="1"/>
      <w:marLeft w:val="0"/>
      <w:marRight w:val="0"/>
      <w:marTop w:val="0"/>
      <w:marBottom w:val="0"/>
      <w:divBdr>
        <w:top w:val="none" w:sz="0" w:space="0" w:color="auto"/>
        <w:left w:val="none" w:sz="0" w:space="0" w:color="auto"/>
        <w:bottom w:val="none" w:sz="0" w:space="0" w:color="auto"/>
        <w:right w:val="none" w:sz="0" w:space="0" w:color="auto"/>
      </w:divBdr>
    </w:div>
    <w:div w:id="1621306261">
      <w:bodyDiv w:val="1"/>
      <w:marLeft w:val="0"/>
      <w:marRight w:val="0"/>
      <w:marTop w:val="0"/>
      <w:marBottom w:val="0"/>
      <w:divBdr>
        <w:top w:val="none" w:sz="0" w:space="0" w:color="auto"/>
        <w:left w:val="none" w:sz="0" w:space="0" w:color="auto"/>
        <w:bottom w:val="none" w:sz="0" w:space="0" w:color="auto"/>
        <w:right w:val="none" w:sz="0" w:space="0" w:color="auto"/>
      </w:divBdr>
    </w:div>
    <w:div w:id="1622223875">
      <w:bodyDiv w:val="1"/>
      <w:marLeft w:val="0"/>
      <w:marRight w:val="0"/>
      <w:marTop w:val="0"/>
      <w:marBottom w:val="0"/>
      <w:divBdr>
        <w:top w:val="none" w:sz="0" w:space="0" w:color="auto"/>
        <w:left w:val="none" w:sz="0" w:space="0" w:color="auto"/>
        <w:bottom w:val="none" w:sz="0" w:space="0" w:color="auto"/>
        <w:right w:val="none" w:sz="0" w:space="0" w:color="auto"/>
      </w:divBdr>
    </w:div>
    <w:div w:id="1622298877">
      <w:bodyDiv w:val="1"/>
      <w:marLeft w:val="0"/>
      <w:marRight w:val="0"/>
      <w:marTop w:val="0"/>
      <w:marBottom w:val="0"/>
      <w:divBdr>
        <w:top w:val="none" w:sz="0" w:space="0" w:color="auto"/>
        <w:left w:val="none" w:sz="0" w:space="0" w:color="auto"/>
        <w:bottom w:val="none" w:sz="0" w:space="0" w:color="auto"/>
        <w:right w:val="none" w:sz="0" w:space="0" w:color="auto"/>
      </w:divBdr>
    </w:div>
    <w:div w:id="1623150120">
      <w:bodyDiv w:val="1"/>
      <w:marLeft w:val="0"/>
      <w:marRight w:val="0"/>
      <w:marTop w:val="0"/>
      <w:marBottom w:val="0"/>
      <w:divBdr>
        <w:top w:val="none" w:sz="0" w:space="0" w:color="auto"/>
        <w:left w:val="none" w:sz="0" w:space="0" w:color="auto"/>
        <w:bottom w:val="none" w:sz="0" w:space="0" w:color="auto"/>
        <w:right w:val="none" w:sz="0" w:space="0" w:color="auto"/>
      </w:divBdr>
    </w:div>
    <w:div w:id="1623266953">
      <w:bodyDiv w:val="1"/>
      <w:marLeft w:val="0"/>
      <w:marRight w:val="0"/>
      <w:marTop w:val="0"/>
      <w:marBottom w:val="0"/>
      <w:divBdr>
        <w:top w:val="none" w:sz="0" w:space="0" w:color="auto"/>
        <w:left w:val="none" w:sz="0" w:space="0" w:color="auto"/>
        <w:bottom w:val="none" w:sz="0" w:space="0" w:color="auto"/>
        <w:right w:val="none" w:sz="0" w:space="0" w:color="auto"/>
      </w:divBdr>
    </w:div>
    <w:div w:id="1623615321">
      <w:bodyDiv w:val="1"/>
      <w:marLeft w:val="0"/>
      <w:marRight w:val="0"/>
      <w:marTop w:val="0"/>
      <w:marBottom w:val="0"/>
      <w:divBdr>
        <w:top w:val="none" w:sz="0" w:space="0" w:color="auto"/>
        <w:left w:val="none" w:sz="0" w:space="0" w:color="auto"/>
        <w:bottom w:val="none" w:sz="0" w:space="0" w:color="auto"/>
        <w:right w:val="none" w:sz="0" w:space="0" w:color="auto"/>
      </w:divBdr>
    </w:div>
    <w:div w:id="1623882428">
      <w:bodyDiv w:val="1"/>
      <w:marLeft w:val="0"/>
      <w:marRight w:val="0"/>
      <w:marTop w:val="0"/>
      <w:marBottom w:val="0"/>
      <w:divBdr>
        <w:top w:val="none" w:sz="0" w:space="0" w:color="auto"/>
        <w:left w:val="none" w:sz="0" w:space="0" w:color="auto"/>
        <w:bottom w:val="none" w:sz="0" w:space="0" w:color="auto"/>
        <w:right w:val="none" w:sz="0" w:space="0" w:color="auto"/>
      </w:divBdr>
    </w:div>
    <w:div w:id="1624115492">
      <w:bodyDiv w:val="1"/>
      <w:marLeft w:val="0"/>
      <w:marRight w:val="0"/>
      <w:marTop w:val="0"/>
      <w:marBottom w:val="0"/>
      <w:divBdr>
        <w:top w:val="none" w:sz="0" w:space="0" w:color="auto"/>
        <w:left w:val="none" w:sz="0" w:space="0" w:color="auto"/>
        <w:bottom w:val="none" w:sz="0" w:space="0" w:color="auto"/>
        <w:right w:val="none" w:sz="0" w:space="0" w:color="auto"/>
      </w:divBdr>
    </w:div>
    <w:div w:id="1625188978">
      <w:bodyDiv w:val="1"/>
      <w:marLeft w:val="0"/>
      <w:marRight w:val="0"/>
      <w:marTop w:val="0"/>
      <w:marBottom w:val="0"/>
      <w:divBdr>
        <w:top w:val="none" w:sz="0" w:space="0" w:color="auto"/>
        <w:left w:val="none" w:sz="0" w:space="0" w:color="auto"/>
        <w:bottom w:val="none" w:sz="0" w:space="0" w:color="auto"/>
        <w:right w:val="none" w:sz="0" w:space="0" w:color="auto"/>
      </w:divBdr>
    </w:div>
    <w:div w:id="1625306783">
      <w:bodyDiv w:val="1"/>
      <w:marLeft w:val="0"/>
      <w:marRight w:val="0"/>
      <w:marTop w:val="0"/>
      <w:marBottom w:val="0"/>
      <w:divBdr>
        <w:top w:val="none" w:sz="0" w:space="0" w:color="auto"/>
        <w:left w:val="none" w:sz="0" w:space="0" w:color="auto"/>
        <w:bottom w:val="none" w:sz="0" w:space="0" w:color="auto"/>
        <w:right w:val="none" w:sz="0" w:space="0" w:color="auto"/>
      </w:divBdr>
    </w:div>
    <w:div w:id="1625383982">
      <w:bodyDiv w:val="1"/>
      <w:marLeft w:val="0"/>
      <w:marRight w:val="0"/>
      <w:marTop w:val="0"/>
      <w:marBottom w:val="0"/>
      <w:divBdr>
        <w:top w:val="none" w:sz="0" w:space="0" w:color="auto"/>
        <w:left w:val="none" w:sz="0" w:space="0" w:color="auto"/>
        <w:bottom w:val="none" w:sz="0" w:space="0" w:color="auto"/>
        <w:right w:val="none" w:sz="0" w:space="0" w:color="auto"/>
      </w:divBdr>
    </w:div>
    <w:div w:id="1625503534">
      <w:bodyDiv w:val="1"/>
      <w:marLeft w:val="0"/>
      <w:marRight w:val="0"/>
      <w:marTop w:val="0"/>
      <w:marBottom w:val="0"/>
      <w:divBdr>
        <w:top w:val="none" w:sz="0" w:space="0" w:color="auto"/>
        <w:left w:val="none" w:sz="0" w:space="0" w:color="auto"/>
        <w:bottom w:val="none" w:sz="0" w:space="0" w:color="auto"/>
        <w:right w:val="none" w:sz="0" w:space="0" w:color="auto"/>
      </w:divBdr>
    </w:div>
    <w:div w:id="1625769260">
      <w:bodyDiv w:val="1"/>
      <w:marLeft w:val="0"/>
      <w:marRight w:val="0"/>
      <w:marTop w:val="0"/>
      <w:marBottom w:val="0"/>
      <w:divBdr>
        <w:top w:val="none" w:sz="0" w:space="0" w:color="auto"/>
        <w:left w:val="none" w:sz="0" w:space="0" w:color="auto"/>
        <w:bottom w:val="none" w:sz="0" w:space="0" w:color="auto"/>
        <w:right w:val="none" w:sz="0" w:space="0" w:color="auto"/>
      </w:divBdr>
    </w:div>
    <w:div w:id="1626277545">
      <w:bodyDiv w:val="1"/>
      <w:marLeft w:val="0"/>
      <w:marRight w:val="0"/>
      <w:marTop w:val="0"/>
      <w:marBottom w:val="0"/>
      <w:divBdr>
        <w:top w:val="none" w:sz="0" w:space="0" w:color="auto"/>
        <w:left w:val="none" w:sz="0" w:space="0" w:color="auto"/>
        <w:bottom w:val="none" w:sz="0" w:space="0" w:color="auto"/>
        <w:right w:val="none" w:sz="0" w:space="0" w:color="auto"/>
      </w:divBdr>
    </w:div>
    <w:div w:id="1627924600">
      <w:bodyDiv w:val="1"/>
      <w:marLeft w:val="0"/>
      <w:marRight w:val="0"/>
      <w:marTop w:val="0"/>
      <w:marBottom w:val="0"/>
      <w:divBdr>
        <w:top w:val="none" w:sz="0" w:space="0" w:color="auto"/>
        <w:left w:val="none" w:sz="0" w:space="0" w:color="auto"/>
        <w:bottom w:val="none" w:sz="0" w:space="0" w:color="auto"/>
        <w:right w:val="none" w:sz="0" w:space="0" w:color="auto"/>
      </w:divBdr>
    </w:div>
    <w:div w:id="1628197021">
      <w:bodyDiv w:val="1"/>
      <w:marLeft w:val="0"/>
      <w:marRight w:val="0"/>
      <w:marTop w:val="0"/>
      <w:marBottom w:val="0"/>
      <w:divBdr>
        <w:top w:val="none" w:sz="0" w:space="0" w:color="auto"/>
        <w:left w:val="none" w:sz="0" w:space="0" w:color="auto"/>
        <w:bottom w:val="none" w:sz="0" w:space="0" w:color="auto"/>
        <w:right w:val="none" w:sz="0" w:space="0" w:color="auto"/>
      </w:divBdr>
    </w:div>
    <w:div w:id="1628394535">
      <w:bodyDiv w:val="1"/>
      <w:marLeft w:val="0"/>
      <w:marRight w:val="0"/>
      <w:marTop w:val="0"/>
      <w:marBottom w:val="0"/>
      <w:divBdr>
        <w:top w:val="none" w:sz="0" w:space="0" w:color="auto"/>
        <w:left w:val="none" w:sz="0" w:space="0" w:color="auto"/>
        <w:bottom w:val="none" w:sz="0" w:space="0" w:color="auto"/>
        <w:right w:val="none" w:sz="0" w:space="0" w:color="auto"/>
      </w:divBdr>
    </w:div>
    <w:div w:id="1628929331">
      <w:bodyDiv w:val="1"/>
      <w:marLeft w:val="0"/>
      <w:marRight w:val="0"/>
      <w:marTop w:val="0"/>
      <w:marBottom w:val="0"/>
      <w:divBdr>
        <w:top w:val="none" w:sz="0" w:space="0" w:color="auto"/>
        <w:left w:val="none" w:sz="0" w:space="0" w:color="auto"/>
        <w:bottom w:val="none" w:sz="0" w:space="0" w:color="auto"/>
        <w:right w:val="none" w:sz="0" w:space="0" w:color="auto"/>
      </w:divBdr>
    </w:div>
    <w:div w:id="1628969647">
      <w:bodyDiv w:val="1"/>
      <w:marLeft w:val="0"/>
      <w:marRight w:val="0"/>
      <w:marTop w:val="0"/>
      <w:marBottom w:val="0"/>
      <w:divBdr>
        <w:top w:val="none" w:sz="0" w:space="0" w:color="auto"/>
        <w:left w:val="none" w:sz="0" w:space="0" w:color="auto"/>
        <w:bottom w:val="none" w:sz="0" w:space="0" w:color="auto"/>
        <w:right w:val="none" w:sz="0" w:space="0" w:color="auto"/>
      </w:divBdr>
    </w:div>
    <w:div w:id="1629167662">
      <w:bodyDiv w:val="1"/>
      <w:marLeft w:val="0"/>
      <w:marRight w:val="0"/>
      <w:marTop w:val="0"/>
      <w:marBottom w:val="0"/>
      <w:divBdr>
        <w:top w:val="none" w:sz="0" w:space="0" w:color="auto"/>
        <w:left w:val="none" w:sz="0" w:space="0" w:color="auto"/>
        <w:bottom w:val="none" w:sz="0" w:space="0" w:color="auto"/>
        <w:right w:val="none" w:sz="0" w:space="0" w:color="auto"/>
      </w:divBdr>
    </w:div>
    <w:div w:id="1629361717">
      <w:bodyDiv w:val="1"/>
      <w:marLeft w:val="0"/>
      <w:marRight w:val="0"/>
      <w:marTop w:val="0"/>
      <w:marBottom w:val="0"/>
      <w:divBdr>
        <w:top w:val="none" w:sz="0" w:space="0" w:color="auto"/>
        <w:left w:val="none" w:sz="0" w:space="0" w:color="auto"/>
        <w:bottom w:val="none" w:sz="0" w:space="0" w:color="auto"/>
        <w:right w:val="none" w:sz="0" w:space="0" w:color="auto"/>
      </w:divBdr>
    </w:div>
    <w:div w:id="1631132306">
      <w:bodyDiv w:val="1"/>
      <w:marLeft w:val="0"/>
      <w:marRight w:val="0"/>
      <w:marTop w:val="0"/>
      <w:marBottom w:val="0"/>
      <w:divBdr>
        <w:top w:val="none" w:sz="0" w:space="0" w:color="auto"/>
        <w:left w:val="none" w:sz="0" w:space="0" w:color="auto"/>
        <w:bottom w:val="none" w:sz="0" w:space="0" w:color="auto"/>
        <w:right w:val="none" w:sz="0" w:space="0" w:color="auto"/>
      </w:divBdr>
    </w:div>
    <w:div w:id="1632516946">
      <w:bodyDiv w:val="1"/>
      <w:marLeft w:val="0"/>
      <w:marRight w:val="0"/>
      <w:marTop w:val="0"/>
      <w:marBottom w:val="0"/>
      <w:divBdr>
        <w:top w:val="none" w:sz="0" w:space="0" w:color="auto"/>
        <w:left w:val="none" w:sz="0" w:space="0" w:color="auto"/>
        <w:bottom w:val="none" w:sz="0" w:space="0" w:color="auto"/>
        <w:right w:val="none" w:sz="0" w:space="0" w:color="auto"/>
      </w:divBdr>
    </w:div>
    <w:div w:id="1634823749">
      <w:bodyDiv w:val="1"/>
      <w:marLeft w:val="0"/>
      <w:marRight w:val="0"/>
      <w:marTop w:val="0"/>
      <w:marBottom w:val="0"/>
      <w:divBdr>
        <w:top w:val="none" w:sz="0" w:space="0" w:color="auto"/>
        <w:left w:val="none" w:sz="0" w:space="0" w:color="auto"/>
        <w:bottom w:val="none" w:sz="0" w:space="0" w:color="auto"/>
        <w:right w:val="none" w:sz="0" w:space="0" w:color="auto"/>
      </w:divBdr>
    </w:div>
    <w:div w:id="1635527528">
      <w:bodyDiv w:val="1"/>
      <w:marLeft w:val="0"/>
      <w:marRight w:val="0"/>
      <w:marTop w:val="0"/>
      <w:marBottom w:val="0"/>
      <w:divBdr>
        <w:top w:val="none" w:sz="0" w:space="0" w:color="auto"/>
        <w:left w:val="none" w:sz="0" w:space="0" w:color="auto"/>
        <w:bottom w:val="none" w:sz="0" w:space="0" w:color="auto"/>
        <w:right w:val="none" w:sz="0" w:space="0" w:color="auto"/>
      </w:divBdr>
    </w:div>
    <w:div w:id="1636713819">
      <w:bodyDiv w:val="1"/>
      <w:marLeft w:val="0"/>
      <w:marRight w:val="0"/>
      <w:marTop w:val="0"/>
      <w:marBottom w:val="0"/>
      <w:divBdr>
        <w:top w:val="none" w:sz="0" w:space="0" w:color="auto"/>
        <w:left w:val="none" w:sz="0" w:space="0" w:color="auto"/>
        <w:bottom w:val="none" w:sz="0" w:space="0" w:color="auto"/>
        <w:right w:val="none" w:sz="0" w:space="0" w:color="auto"/>
      </w:divBdr>
    </w:div>
    <w:div w:id="1637292774">
      <w:bodyDiv w:val="1"/>
      <w:marLeft w:val="0"/>
      <w:marRight w:val="0"/>
      <w:marTop w:val="0"/>
      <w:marBottom w:val="0"/>
      <w:divBdr>
        <w:top w:val="none" w:sz="0" w:space="0" w:color="auto"/>
        <w:left w:val="none" w:sz="0" w:space="0" w:color="auto"/>
        <w:bottom w:val="none" w:sz="0" w:space="0" w:color="auto"/>
        <w:right w:val="none" w:sz="0" w:space="0" w:color="auto"/>
      </w:divBdr>
    </w:div>
    <w:div w:id="1637832471">
      <w:bodyDiv w:val="1"/>
      <w:marLeft w:val="0"/>
      <w:marRight w:val="0"/>
      <w:marTop w:val="0"/>
      <w:marBottom w:val="0"/>
      <w:divBdr>
        <w:top w:val="none" w:sz="0" w:space="0" w:color="auto"/>
        <w:left w:val="none" w:sz="0" w:space="0" w:color="auto"/>
        <w:bottom w:val="none" w:sz="0" w:space="0" w:color="auto"/>
        <w:right w:val="none" w:sz="0" w:space="0" w:color="auto"/>
      </w:divBdr>
    </w:div>
    <w:div w:id="1639069159">
      <w:bodyDiv w:val="1"/>
      <w:marLeft w:val="0"/>
      <w:marRight w:val="0"/>
      <w:marTop w:val="0"/>
      <w:marBottom w:val="0"/>
      <w:divBdr>
        <w:top w:val="none" w:sz="0" w:space="0" w:color="auto"/>
        <w:left w:val="none" w:sz="0" w:space="0" w:color="auto"/>
        <w:bottom w:val="none" w:sz="0" w:space="0" w:color="auto"/>
        <w:right w:val="none" w:sz="0" w:space="0" w:color="auto"/>
      </w:divBdr>
    </w:div>
    <w:div w:id="1639994635">
      <w:bodyDiv w:val="1"/>
      <w:marLeft w:val="0"/>
      <w:marRight w:val="0"/>
      <w:marTop w:val="0"/>
      <w:marBottom w:val="0"/>
      <w:divBdr>
        <w:top w:val="none" w:sz="0" w:space="0" w:color="auto"/>
        <w:left w:val="none" w:sz="0" w:space="0" w:color="auto"/>
        <w:bottom w:val="none" w:sz="0" w:space="0" w:color="auto"/>
        <w:right w:val="none" w:sz="0" w:space="0" w:color="auto"/>
      </w:divBdr>
    </w:div>
    <w:div w:id="1640723494">
      <w:bodyDiv w:val="1"/>
      <w:marLeft w:val="0"/>
      <w:marRight w:val="0"/>
      <w:marTop w:val="0"/>
      <w:marBottom w:val="0"/>
      <w:divBdr>
        <w:top w:val="none" w:sz="0" w:space="0" w:color="auto"/>
        <w:left w:val="none" w:sz="0" w:space="0" w:color="auto"/>
        <w:bottom w:val="none" w:sz="0" w:space="0" w:color="auto"/>
        <w:right w:val="none" w:sz="0" w:space="0" w:color="auto"/>
      </w:divBdr>
    </w:div>
    <w:div w:id="1641570195">
      <w:bodyDiv w:val="1"/>
      <w:marLeft w:val="0"/>
      <w:marRight w:val="0"/>
      <w:marTop w:val="0"/>
      <w:marBottom w:val="0"/>
      <w:divBdr>
        <w:top w:val="none" w:sz="0" w:space="0" w:color="auto"/>
        <w:left w:val="none" w:sz="0" w:space="0" w:color="auto"/>
        <w:bottom w:val="none" w:sz="0" w:space="0" w:color="auto"/>
        <w:right w:val="none" w:sz="0" w:space="0" w:color="auto"/>
      </w:divBdr>
    </w:div>
    <w:div w:id="1643075140">
      <w:bodyDiv w:val="1"/>
      <w:marLeft w:val="0"/>
      <w:marRight w:val="0"/>
      <w:marTop w:val="0"/>
      <w:marBottom w:val="0"/>
      <w:divBdr>
        <w:top w:val="none" w:sz="0" w:space="0" w:color="auto"/>
        <w:left w:val="none" w:sz="0" w:space="0" w:color="auto"/>
        <w:bottom w:val="none" w:sz="0" w:space="0" w:color="auto"/>
        <w:right w:val="none" w:sz="0" w:space="0" w:color="auto"/>
      </w:divBdr>
    </w:div>
    <w:div w:id="1645893985">
      <w:bodyDiv w:val="1"/>
      <w:marLeft w:val="0"/>
      <w:marRight w:val="0"/>
      <w:marTop w:val="0"/>
      <w:marBottom w:val="0"/>
      <w:divBdr>
        <w:top w:val="none" w:sz="0" w:space="0" w:color="auto"/>
        <w:left w:val="none" w:sz="0" w:space="0" w:color="auto"/>
        <w:bottom w:val="none" w:sz="0" w:space="0" w:color="auto"/>
        <w:right w:val="none" w:sz="0" w:space="0" w:color="auto"/>
      </w:divBdr>
    </w:div>
    <w:div w:id="1646156383">
      <w:bodyDiv w:val="1"/>
      <w:marLeft w:val="0"/>
      <w:marRight w:val="0"/>
      <w:marTop w:val="0"/>
      <w:marBottom w:val="0"/>
      <w:divBdr>
        <w:top w:val="none" w:sz="0" w:space="0" w:color="auto"/>
        <w:left w:val="none" w:sz="0" w:space="0" w:color="auto"/>
        <w:bottom w:val="none" w:sz="0" w:space="0" w:color="auto"/>
        <w:right w:val="none" w:sz="0" w:space="0" w:color="auto"/>
      </w:divBdr>
    </w:div>
    <w:div w:id="1646278163">
      <w:bodyDiv w:val="1"/>
      <w:marLeft w:val="0"/>
      <w:marRight w:val="0"/>
      <w:marTop w:val="0"/>
      <w:marBottom w:val="0"/>
      <w:divBdr>
        <w:top w:val="none" w:sz="0" w:space="0" w:color="auto"/>
        <w:left w:val="none" w:sz="0" w:space="0" w:color="auto"/>
        <w:bottom w:val="none" w:sz="0" w:space="0" w:color="auto"/>
        <w:right w:val="none" w:sz="0" w:space="0" w:color="auto"/>
      </w:divBdr>
    </w:div>
    <w:div w:id="1647582728">
      <w:bodyDiv w:val="1"/>
      <w:marLeft w:val="0"/>
      <w:marRight w:val="0"/>
      <w:marTop w:val="0"/>
      <w:marBottom w:val="0"/>
      <w:divBdr>
        <w:top w:val="none" w:sz="0" w:space="0" w:color="auto"/>
        <w:left w:val="none" w:sz="0" w:space="0" w:color="auto"/>
        <w:bottom w:val="none" w:sz="0" w:space="0" w:color="auto"/>
        <w:right w:val="none" w:sz="0" w:space="0" w:color="auto"/>
      </w:divBdr>
    </w:div>
    <w:div w:id="1647707902">
      <w:bodyDiv w:val="1"/>
      <w:marLeft w:val="0"/>
      <w:marRight w:val="0"/>
      <w:marTop w:val="0"/>
      <w:marBottom w:val="0"/>
      <w:divBdr>
        <w:top w:val="none" w:sz="0" w:space="0" w:color="auto"/>
        <w:left w:val="none" w:sz="0" w:space="0" w:color="auto"/>
        <w:bottom w:val="none" w:sz="0" w:space="0" w:color="auto"/>
        <w:right w:val="none" w:sz="0" w:space="0" w:color="auto"/>
      </w:divBdr>
    </w:div>
    <w:div w:id="1647931763">
      <w:bodyDiv w:val="1"/>
      <w:marLeft w:val="0"/>
      <w:marRight w:val="0"/>
      <w:marTop w:val="0"/>
      <w:marBottom w:val="0"/>
      <w:divBdr>
        <w:top w:val="none" w:sz="0" w:space="0" w:color="auto"/>
        <w:left w:val="none" w:sz="0" w:space="0" w:color="auto"/>
        <w:bottom w:val="none" w:sz="0" w:space="0" w:color="auto"/>
        <w:right w:val="none" w:sz="0" w:space="0" w:color="auto"/>
      </w:divBdr>
    </w:div>
    <w:div w:id="1648705270">
      <w:bodyDiv w:val="1"/>
      <w:marLeft w:val="0"/>
      <w:marRight w:val="0"/>
      <w:marTop w:val="0"/>
      <w:marBottom w:val="0"/>
      <w:divBdr>
        <w:top w:val="none" w:sz="0" w:space="0" w:color="auto"/>
        <w:left w:val="none" w:sz="0" w:space="0" w:color="auto"/>
        <w:bottom w:val="none" w:sz="0" w:space="0" w:color="auto"/>
        <w:right w:val="none" w:sz="0" w:space="0" w:color="auto"/>
      </w:divBdr>
    </w:div>
    <w:div w:id="1648706988">
      <w:bodyDiv w:val="1"/>
      <w:marLeft w:val="0"/>
      <w:marRight w:val="0"/>
      <w:marTop w:val="0"/>
      <w:marBottom w:val="0"/>
      <w:divBdr>
        <w:top w:val="none" w:sz="0" w:space="0" w:color="auto"/>
        <w:left w:val="none" w:sz="0" w:space="0" w:color="auto"/>
        <w:bottom w:val="none" w:sz="0" w:space="0" w:color="auto"/>
        <w:right w:val="none" w:sz="0" w:space="0" w:color="auto"/>
      </w:divBdr>
    </w:div>
    <w:div w:id="1648820389">
      <w:bodyDiv w:val="1"/>
      <w:marLeft w:val="0"/>
      <w:marRight w:val="0"/>
      <w:marTop w:val="0"/>
      <w:marBottom w:val="0"/>
      <w:divBdr>
        <w:top w:val="none" w:sz="0" w:space="0" w:color="auto"/>
        <w:left w:val="none" w:sz="0" w:space="0" w:color="auto"/>
        <w:bottom w:val="none" w:sz="0" w:space="0" w:color="auto"/>
        <w:right w:val="none" w:sz="0" w:space="0" w:color="auto"/>
      </w:divBdr>
    </w:div>
    <w:div w:id="1649287719">
      <w:bodyDiv w:val="1"/>
      <w:marLeft w:val="0"/>
      <w:marRight w:val="0"/>
      <w:marTop w:val="0"/>
      <w:marBottom w:val="0"/>
      <w:divBdr>
        <w:top w:val="none" w:sz="0" w:space="0" w:color="auto"/>
        <w:left w:val="none" w:sz="0" w:space="0" w:color="auto"/>
        <w:bottom w:val="none" w:sz="0" w:space="0" w:color="auto"/>
        <w:right w:val="none" w:sz="0" w:space="0" w:color="auto"/>
      </w:divBdr>
    </w:div>
    <w:div w:id="1649433021">
      <w:bodyDiv w:val="1"/>
      <w:marLeft w:val="0"/>
      <w:marRight w:val="0"/>
      <w:marTop w:val="0"/>
      <w:marBottom w:val="0"/>
      <w:divBdr>
        <w:top w:val="none" w:sz="0" w:space="0" w:color="auto"/>
        <w:left w:val="none" w:sz="0" w:space="0" w:color="auto"/>
        <w:bottom w:val="none" w:sz="0" w:space="0" w:color="auto"/>
        <w:right w:val="none" w:sz="0" w:space="0" w:color="auto"/>
      </w:divBdr>
    </w:div>
    <w:div w:id="1649895377">
      <w:bodyDiv w:val="1"/>
      <w:marLeft w:val="0"/>
      <w:marRight w:val="0"/>
      <w:marTop w:val="0"/>
      <w:marBottom w:val="0"/>
      <w:divBdr>
        <w:top w:val="none" w:sz="0" w:space="0" w:color="auto"/>
        <w:left w:val="none" w:sz="0" w:space="0" w:color="auto"/>
        <w:bottom w:val="none" w:sz="0" w:space="0" w:color="auto"/>
        <w:right w:val="none" w:sz="0" w:space="0" w:color="auto"/>
      </w:divBdr>
    </w:div>
    <w:div w:id="1649943001">
      <w:bodyDiv w:val="1"/>
      <w:marLeft w:val="0"/>
      <w:marRight w:val="0"/>
      <w:marTop w:val="0"/>
      <w:marBottom w:val="0"/>
      <w:divBdr>
        <w:top w:val="none" w:sz="0" w:space="0" w:color="auto"/>
        <w:left w:val="none" w:sz="0" w:space="0" w:color="auto"/>
        <w:bottom w:val="none" w:sz="0" w:space="0" w:color="auto"/>
        <w:right w:val="none" w:sz="0" w:space="0" w:color="auto"/>
      </w:divBdr>
    </w:div>
    <w:div w:id="1650018013">
      <w:bodyDiv w:val="1"/>
      <w:marLeft w:val="0"/>
      <w:marRight w:val="0"/>
      <w:marTop w:val="0"/>
      <w:marBottom w:val="0"/>
      <w:divBdr>
        <w:top w:val="none" w:sz="0" w:space="0" w:color="auto"/>
        <w:left w:val="none" w:sz="0" w:space="0" w:color="auto"/>
        <w:bottom w:val="none" w:sz="0" w:space="0" w:color="auto"/>
        <w:right w:val="none" w:sz="0" w:space="0" w:color="auto"/>
      </w:divBdr>
    </w:div>
    <w:div w:id="1650281789">
      <w:bodyDiv w:val="1"/>
      <w:marLeft w:val="0"/>
      <w:marRight w:val="0"/>
      <w:marTop w:val="0"/>
      <w:marBottom w:val="0"/>
      <w:divBdr>
        <w:top w:val="none" w:sz="0" w:space="0" w:color="auto"/>
        <w:left w:val="none" w:sz="0" w:space="0" w:color="auto"/>
        <w:bottom w:val="none" w:sz="0" w:space="0" w:color="auto"/>
        <w:right w:val="none" w:sz="0" w:space="0" w:color="auto"/>
      </w:divBdr>
    </w:div>
    <w:div w:id="1651205229">
      <w:bodyDiv w:val="1"/>
      <w:marLeft w:val="0"/>
      <w:marRight w:val="0"/>
      <w:marTop w:val="0"/>
      <w:marBottom w:val="0"/>
      <w:divBdr>
        <w:top w:val="none" w:sz="0" w:space="0" w:color="auto"/>
        <w:left w:val="none" w:sz="0" w:space="0" w:color="auto"/>
        <w:bottom w:val="none" w:sz="0" w:space="0" w:color="auto"/>
        <w:right w:val="none" w:sz="0" w:space="0" w:color="auto"/>
      </w:divBdr>
    </w:div>
    <w:div w:id="1651325741">
      <w:bodyDiv w:val="1"/>
      <w:marLeft w:val="0"/>
      <w:marRight w:val="0"/>
      <w:marTop w:val="0"/>
      <w:marBottom w:val="0"/>
      <w:divBdr>
        <w:top w:val="none" w:sz="0" w:space="0" w:color="auto"/>
        <w:left w:val="none" w:sz="0" w:space="0" w:color="auto"/>
        <w:bottom w:val="none" w:sz="0" w:space="0" w:color="auto"/>
        <w:right w:val="none" w:sz="0" w:space="0" w:color="auto"/>
      </w:divBdr>
    </w:div>
    <w:div w:id="1651712856">
      <w:bodyDiv w:val="1"/>
      <w:marLeft w:val="0"/>
      <w:marRight w:val="0"/>
      <w:marTop w:val="0"/>
      <w:marBottom w:val="0"/>
      <w:divBdr>
        <w:top w:val="none" w:sz="0" w:space="0" w:color="auto"/>
        <w:left w:val="none" w:sz="0" w:space="0" w:color="auto"/>
        <w:bottom w:val="none" w:sz="0" w:space="0" w:color="auto"/>
        <w:right w:val="none" w:sz="0" w:space="0" w:color="auto"/>
      </w:divBdr>
    </w:div>
    <w:div w:id="1653562081">
      <w:bodyDiv w:val="1"/>
      <w:marLeft w:val="0"/>
      <w:marRight w:val="0"/>
      <w:marTop w:val="0"/>
      <w:marBottom w:val="0"/>
      <w:divBdr>
        <w:top w:val="none" w:sz="0" w:space="0" w:color="auto"/>
        <w:left w:val="none" w:sz="0" w:space="0" w:color="auto"/>
        <w:bottom w:val="none" w:sz="0" w:space="0" w:color="auto"/>
        <w:right w:val="none" w:sz="0" w:space="0" w:color="auto"/>
      </w:divBdr>
    </w:div>
    <w:div w:id="1654917745">
      <w:bodyDiv w:val="1"/>
      <w:marLeft w:val="0"/>
      <w:marRight w:val="0"/>
      <w:marTop w:val="0"/>
      <w:marBottom w:val="0"/>
      <w:divBdr>
        <w:top w:val="none" w:sz="0" w:space="0" w:color="auto"/>
        <w:left w:val="none" w:sz="0" w:space="0" w:color="auto"/>
        <w:bottom w:val="none" w:sz="0" w:space="0" w:color="auto"/>
        <w:right w:val="none" w:sz="0" w:space="0" w:color="auto"/>
      </w:divBdr>
    </w:div>
    <w:div w:id="1655375665">
      <w:bodyDiv w:val="1"/>
      <w:marLeft w:val="0"/>
      <w:marRight w:val="0"/>
      <w:marTop w:val="0"/>
      <w:marBottom w:val="0"/>
      <w:divBdr>
        <w:top w:val="none" w:sz="0" w:space="0" w:color="auto"/>
        <w:left w:val="none" w:sz="0" w:space="0" w:color="auto"/>
        <w:bottom w:val="none" w:sz="0" w:space="0" w:color="auto"/>
        <w:right w:val="none" w:sz="0" w:space="0" w:color="auto"/>
      </w:divBdr>
    </w:div>
    <w:div w:id="1655837324">
      <w:bodyDiv w:val="1"/>
      <w:marLeft w:val="0"/>
      <w:marRight w:val="0"/>
      <w:marTop w:val="0"/>
      <w:marBottom w:val="0"/>
      <w:divBdr>
        <w:top w:val="none" w:sz="0" w:space="0" w:color="auto"/>
        <w:left w:val="none" w:sz="0" w:space="0" w:color="auto"/>
        <w:bottom w:val="none" w:sz="0" w:space="0" w:color="auto"/>
        <w:right w:val="none" w:sz="0" w:space="0" w:color="auto"/>
      </w:divBdr>
    </w:div>
    <w:div w:id="1655984278">
      <w:bodyDiv w:val="1"/>
      <w:marLeft w:val="0"/>
      <w:marRight w:val="0"/>
      <w:marTop w:val="0"/>
      <w:marBottom w:val="0"/>
      <w:divBdr>
        <w:top w:val="none" w:sz="0" w:space="0" w:color="auto"/>
        <w:left w:val="none" w:sz="0" w:space="0" w:color="auto"/>
        <w:bottom w:val="none" w:sz="0" w:space="0" w:color="auto"/>
        <w:right w:val="none" w:sz="0" w:space="0" w:color="auto"/>
      </w:divBdr>
    </w:div>
    <w:div w:id="1655986588">
      <w:bodyDiv w:val="1"/>
      <w:marLeft w:val="0"/>
      <w:marRight w:val="0"/>
      <w:marTop w:val="0"/>
      <w:marBottom w:val="0"/>
      <w:divBdr>
        <w:top w:val="none" w:sz="0" w:space="0" w:color="auto"/>
        <w:left w:val="none" w:sz="0" w:space="0" w:color="auto"/>
        <w:bottom w:val="none" w:sz="0" w:space="0" w:color="auto"/>
        <w:right w:val="none" w:sz="0" w:space="0" w:color="auto"/>
      </w:divBdr>
    </w:div>
    <w:div w:id="1656642683">
      <w:bodyDiv w:val="1"/>
      <w:marLeft w:val="0"/>
      <w:marRight w:val="0"/>
      <w:marTop w:val="0"/>
      <w:marBottom w:val="0"/>
      <w:divBdr>
        <w:top w:val="none" w:sz="0" w:space="0" w:color="auto"/>
        <w:left w:val="none" w:sz="0" w:space="0" w:color="auto"/>
        <w:bottom w:val="none" w:sz="0" w:space="0" w:color="auto"/>
        <w:right w:val="none" w:sz="0" w:space="0" w:color="auto"/>
      </w:divBdr>
    </w:div>
    <w:div w:id="1656690713">
      <w:bodyDiv w:val="1"/>
      <w:marLeft w:val="0"/>
      <w:marRight w:val="0"/>
      <w:marTop w:val="0"/>
      <w:marBottom w:val="0"/>
      <w:divBdr>
        <w:top w:val="none" w:sz="0" w:space="0" w:color="auto"/>
        <w:left w:val="none" w:sz="0" w:space="0" w:color="auto"/>
        <w:bottom w:val="none" w:sz="0" w:space="0" w:color="auto"/>
        <w:right w:val="none" w:sz="0" w:space="0" w:color="auto"/>
      </w:divBdr>
    </w:div>
    <w:div w:id="1656834917">
      <w:bodyDiv w:val="1"/>
      <w:marLeft w:val="0"/>
      <w:marRight w:val="0"/>
      <w:marTop w:val="0"/>
      <w:marBottom w:val="0"/>
      <w:divBdr>
        <w:top w:val="none" w:sz="0" w:space="0" w:color="auto"/>
        <w:left w:val="none" w:sz="0" w:space="0" w:color="auto"/>
        <w:bottom w:val="none" w:sz="0" w:space="0" w:color="auto"/>
        <w:right w:val="none" w:sz="0" w:space="0" w:color="auto"/>
      </w:divBdr>
    </w:div>
    <w:div w:id="1657144408">
      <w:bodyDiv w:val="1"/>
      <w:marLeft w:val="0"/>
      <w:marRight w:val="0"/>
      <w:marTop w:val="0"/>
      <w:marBottom w:val="0"/>
      <w:divBdr>
        <w:top w:val="none" w:sz="0" w:space="0" w:color="auto"/>
        <w:left w:val="none" w:sz="0" w:space="0" w:color="auto"/>
        <w:bottom w:val="none" w:sz="0" w:space="0" w:color="auto"/>
        <w:right w:val="none" w:sz="0" w:space="0" w:color="auto"/>
      </w:divBdr>
    </w:div>
    <w:div w:id="1657564221">
      <w:bodyDiv w:val="1"/>
      <w:marLeft w:val="0"/>
      <w:marRight w:val="0"/>
      <w:marTop w:val="0"/>
      <w:marBottom w:val="0"/>
      <w:divBdr>
        <w:top w:val="none" w:sz="0" w:space="0" w:color="auto"/>
        <w:left w:val="none" w:sz="0" w:space="0" w:color="auto"/>
        <w:bottom w:val="none" w:sz="0" w:space="0" w:color="auto"/>
        <w:right w:val="none" w:sz="0" w:space="0" w:color="auto"/>
      </w:divBdr>
    </w:div>
    <w:div w:id="1658418426">
      <w:bodyDiv w:val="1"/>
      <w:marLeft w:val="0"/>
      <w:marRight w:val="0"/>
      <w:marTop w:val="0"/>
      <w:marBottom w:val="0"/>
      <w:divBdr>
        <w:top w:val="none" w:sz="0" w:space="0" w:color="auto"/>
        <w:left w:val="none" w:sz="0" w:space="0" w:color="auto"/>
        <w:bottom w:val="none" w:sz="0" w:space="0" w:color="auto"/>
        <w:right w:val="none" w:sz="0" w:space="0" w:color="auto"/>
      </w:divBdr>
    </w:div>
    <w:div w:id="1659846635">
      <w:bodyDiv w:val="1"/>
      <w:marLeft w:val="0"/>
      <w:marRight w:val="0"/>
      <w:marTop w:val="0"/>
      <w:marBottom w:val="0"/>
      <w:divBdr>
        <w:top w:val="none" w:sz="0" w:space="0" w:color="auto"/>
        <w:left w:val="none" w:sz="0" w:space="0" w:color="auto"/>
        <w:bottom w:val="none" w:sz="0" w:space="0" w:color="auto"/>
        <w:right w:val="none" w:sz="0" w:space="0" w:color="auto"/>
      </w:divBdr>
    </w:div>
    <w:div w:id="1660040943">
      <w:bodyDiv w:val="1"/>
      <w:marLeft w:val="0"/>
      <w:marRight w:val="0"/>
      <w:marTop w:val="0"/>
      <w:marBottom w:val="0"/>
      <w:divBdr>
        <w:top w:val="none" w:sz="0" w:space="0" w:color="auto"/>
        <w:left w:val="none" w:sz="0" w:space="0" w:color="auto"/>
        <w:bottom w:val="none" w:sz="0" w:space="0" w:color="auto"/>
        <w:right w:val="none" w:sz="0" w:space="0" w:color="auto"/>
      </w:divBdr>
    </w:div>
    <w:div w:id="1660690657">
      <w:bodyDiv w:val="1"/>
      <w:marLeft w:val="0"/>
      <w:marRight w:val="0"/>
      <w:marTop w:val="0"/>
      <w:marBottom w:val="0"/>
      <w:divBdr>
        <w:top w:val="none" w:sz="0" w:space="0" w:color="auto"/>
        <w:left w:val="none" w:sz="0" w:space="0" w:color="auto"/>
        <w:bottom w:val="none" w:sz="0" w:space="0" w:color="auto"/>
        <w:right w:val="none" w:sz="0" w:space="0" w:color="auto"/>
      </w:divBdr>
    </w:div>
    <w:div w:id="1660765806">
      <w:bodyDiv w:val="1"/>
      <w:marLeft w:val="0"/>
      <w:marRight w:val="0"/>
      <w:marTop w:val="0"/>
      <w:marBottom w:val="0"/>
      <w:divBdr>
        <w:top w:val="none" w:sz="0" w:space="0" w:color="auto"/>
        <w:left w:val="none" w:sz="0" w:space="0" w:color="auto"/>
        <w:bottom w:val="none" w:sz="0" w:space="0" w:color="auto"/>
        <w:right w:val="none" w:sz="0" w:space="0" w:color="auto"/>
      </w:divBdr>
    </w:div>
    <w:div w:id="1660842547">
      <w:bodyDiv w:val="1"/>
      <w:marLeft w:val="0"/>
      <w:marRight w:val="0"/>
      <w:marTop w:val="0"/>
      <w:marBottom w:val="0"/>
      <w:divBdr>
        <w:top w:val="none" w:sz="0" w:space="0" w:color="auto"/>
        <w:left w:val="none" w:sz="0" w:space="0" w:color="auto"/>
        <w:bottom w:val="none" w:sz="0" w:space="0" w:color="auto"/>
        <w:right w:val="none" w:sz="0" w:space="0" w:color="auto"/>
      </w:divBdr>
    </w:div>
    <w:div w:id="1661079369">
      <w:bodyDiv w:val="1"/>
      <w:marLeft w:val="0"/>
      <w:marRight w:val="0"/>
      <w:marTop w:val="0"/>
      <w:marBottom w:val="0"/>
      <w:divBdr>
        <w:top w:val="none" w:sz="0" w:space="0" w:color="auto"/>
        <w:left w:val="none" w:sz="0" w:space="0" w:color="auto"/>
        <w:bottom w:val="none" w:sz="0" w:space="0" w:color="auto"/>
        <w:right w:val="none" w:sz="0" w:space="0" w:color="auto"/>
      </w:divBdr>
    </w:div>
    <w:div w:id="1661274984">
      <w:bodyDiv w:val="1"/>
      <w:marLeft w:val="0"/>
      <w:marRight w:val="0"/>
      <w:marTop w:val="0"/>
      <w:marBottom w:val="0"/>
      <w:divBdr>
        <w:top w:val="none" w:sz="0" w:space="0" w:color="auto"/>
        <w:left w:val="none" w:sz="0" w:space="0" w:color="auto"/>
        <w:bottom w:val="none" w:sz="0" w:space="0" w:color="auto"/>
        <w:right w:val="none" w:sz="0" w:space="0" w:color="auto"/>
      </w:divBdr>
    </w:div>
    <w:div w:id="1661735645">
      <w:bodyDiv w:val="1"/>
      <w:marLeft w:val="0"/>
      <w:marRight w:val="0"/>
      <w:marTop w:val="0"/>
      <w:marBottom w:val="0"/>
      <w:divBdr>
        <w:top w:val="none" w:sz="0" w:space="0" w:color="auto"/>
        <w:left w:val="none" w:sz="0" w:space="0" w:color="auto"/>
        <w:bottom w:val="none" w:sz="0" w:space="0" w:color="auto"/>
        <w:right w:val="none" w:sz="0" w:space="0" w:color="auto"/>
      </w:divBdr>
    </w:div>
    <w:div w:id="1662850880">
      <w:bodyDiv w:val="1"/>
      <w:marLeft w:val="0"/>
      <w:marRight w:val="0"/>
      <w:marTop w:val="0"/>
      <w:marBottom w:val="0"/>
      <w:divBdr>
        <w:top w:val="none" w:sz="0" w:space="0" w:color="auto"/>
        <w:left w:val="none" w:sz="0" w:space="0" w:color="auto"/>
        <w:bottom w:val="none" w:sz="0" w:space="0" w:color="auto"/>
        <w:right w:val="none" w:sz="0" w:space="0" w:color="auto"/>
      </w:divBdr>
    </w:div>
    <w:div w:id="1664619880">
      <w:bodyDiv w:val="1"/>
      <w:marLeft w:val="0"/>
      <w:marRight w:val="0"/>
      <w:marTop w:val="0"/>
      <w:marBottom w:val="0"/>
      <w:divBdr>
        <w:top w:val="none" w:sz="0" w:space="0" w:color="auto"/>
        <w:left w:val="none" w:sz="0" w:space="0" w:color="auto"/>
        <w:bottom w:val="none" w:sz="0" w:space="0" w:color="auto"/>
        <w:right w:val="none" w:sz="0" w:space="0" w:color="auto"/>
      </w:divBdr>
    </w:div>
    <w:div w:id="1666127274">
      <w:bodyDiv w:val="1"/>
      <w:marLeft w:val="0"/>
      <w:marRight w:val="0"/>
      <w:marTop w:val="0"/>
      <w:marBottom w:val="0"/>
      <w:divBdr>
        <w:top w:val="none" w:sz="0" w:space="0" w:color="auto"/>
        <w:left w:val="none" w:sz="0" w:space="0" w:color="auto"/>
        <w:bottom w:val="none" w:sz="0" w:space="0" w:color="auto"/>
        <w:right w:val="none" w:sz="0" w:space="0" w:color="auto"/>
      </w:divBdr>
    </w:div>
    <w:div w:id="1666394298">
      <w:bodyDiv w:val="1"/>
      <w:marLeft w:val="0"/>
      <w:marRight w:val="0"/>
      <w:marTop w:val="0"/>
      <w:marBottom w:val="0"/>
      <w:divBdr>
        <w:top w:val="none" w:sz="0" w:space="0" w:color="auto"/>
        <w:left w:val="none" w:sz="0" w:space="0" w:color="auto"/>
        <w:bottom w:val="none" w:sz="0" w:space="0" w:color="auto"/>
        <w:right w:val="none" w:sz="0" w:space="0" w:color="auto"/>
      </w:divBdr>
    </w:div>
    <w:div w:id="1666974737">
      <w:bodyDiv w:val="1"/>
      <w:marLeft w:val="0"/>
      <w:marRight w:val="0"/>
      <w:marTop w:val="0"/>
      <w:marBottom w:val="0"/>
      <w:divBdr>
        <w:top w:val="none" w:sz="0" w:space="0" w:color="auto"/>
        <w:left w:val="none" w:sz="0" w:space="0" w:color="auto"/>
        <w:bottom w:val="none" w:sz="0" w:space="0" w:color="auto"/>
        <w:right w:val="none" w:sz="0" w:space="0" w:color="auto"/>
      </w:divBdr>
    </w:div>
    <w:div w:id="1666980554">
      <w:bodyDiv w:val="1"/>
      <w:marLeft w:val="0"/>
      <w:marRight w:val="0"/>
      <w:marTop w:val="0"/>
      <w:marBottom w:val="0"/>
      <w:divBdr>
        <w:top w:val="none" w:sz="0" w:space="0" w:color="auto"/>
        <w:left w:val="none" w:sz="0" w:space="0" w:color="auto"/>
        <w:bottom w:val="none" w:sz="0" w:space="0" w:color="auto"/>
        <w:right w:val="none" w:sz="0" w:space="0" w:color="auto"/>
      </w:divBdr>
    </w:div>
    <w:div w:id="1667199982">
      <w:bodyDiv w:val="1"/>
      <w:marLeft w:val="0"/>
      <w:marRight w:val="0"/>
      <w:marTop w:val="0"/>
      <w:marBottom w:val="0"/>
      <w:divBdr>
        <w:top w:val="none" w:sz="0" w:space="0" w:color="auto"/>
        <w:left w:val="none" w:sz="0" w:space="0" w:color="auto"/>
        <w:bottom w:val="none" w:sz="0" w:space="0" w:color="auto"/>
        <w:right w:val="none" w:sz="0" w:space="0" w:color="auto"/>
      </w:divBdr>
    </w:div>
    <w:div w:id="1667630295">
      <w:bodyDiv w:val="1"/>
      <w:marLeft w:val="0"/>
      <w:marRight w:val="0"/>
      <w:marTop w:val="0"/>
      <w:marBottom w:val="0"/>
      <w:divBdr>
        <w:top w:val="none" w:sz="0" w:space="0" w:color="auto"/>
        <w:left w:val="none" w:sz="0" w:space="0" w:color="auto"/>
        <w:bottom w:val="none" w:sz="0" w:space="0" w:color="auto"/>
        <w:right w:val="none" w:sz="0" w:space="0" w:color="auto"/>
      </w:divBdr>
    </w:div>
    <w:div w:id="1668096311">
      <w:bodyDiv w:val="1"/>
      <w:marLeft w:val="0"/>
      <w:marRight w:val="0"/>
      <w:marTop w:val="0"/>
      <w:marBottom w:val="0"/>
      <w:divBdr>
        <w:top w:val="none" w:sz="0" w:space="0" w:color="auto"/>
        <w:left w:val="none" w:sz="0" w:space="0" w:color="auto"/>
        <w:bottom w:val="none" w:sz="0" w:space="0" w:color="auto"/>
        <w:right w:val="none" w:sz="0" w:space="0" w:color="auto"/>
      </w:divBdr>
    </w:div>
    <w:div w:id="1668440526">
      <w:bodyDiv w:val="1"/>
      <w:marLeft w:val="0"/>
      <w:marRight w:val="0"/>
      <w:marTop w:val="0"/>
      <w:marBottom w:val="0"/>
      <w:divBdr>
        <w:top w:val="none" w:sz="0" w:space="0" w:color="auto"/>
        <w:left w:val="none" w:sz="0" w:space="0" w:color="auto"/>
        <w:bottom w:val="none" w:sz="0" w:space="0" w:color="auto"/>
        <w:right w:val="none" w:sz="0" w:space="0" w:color="auto"/>
      </w:divBdr>
    </w:div>
    <w:div w:id="1668821172">
      <w:bodyDiv w:val="1"/>
      <w:marLeft w:val="0"/>
      <w:marRight w:val="0"/>
      <w:marTop w:val="0"/>
      <w:marBottom w:val="0"/>
      <w:divBdr>
        <w:top w:val="none" w:sz="0" w:space="0" w:color="auto"/>
        <w:left w:val="none" w:sz="0" w:space="0" w:color="auto"/>
        <w:bottom w:val="none" w:sz="0" w:space="0" w:color="auto"/>
        <w:right w:val="none" w:sz="0" w:space="0" w:color="auto"/>
      </w:divBdr>
    </w:div>
    <w:div w:id="1669405251">
      <w:bodyDiv w:val="1"/>
      <w:marLeft w:val="0"/>
      <w:marRight w:val="0"/>
      <w:marTop w:val="0"/>
      <w:marBottom w:val="0"/>
      <w:divBdr>
        <w:top w:val="none" w:sz="0" w:space="0" w:color="auto"/>
        <w:left w:val="none" w:sz="0" w:space="0" w:color="auto"/>
        <w:bottom w:val="none" w:sz="0" w:space="0" w:color="auto"/>
        <w:right w:val="none" w:sz="0" w:space="0" w:color="auto"/>
      </w:divBdr>
    </w:div>
    <w:div w:id="1669599560">
      <w:bodyDiv w:val="1"/>
      <w:marLeft w:val="0"/>
      <w:marRight w:val="0"/>
      <w:marTop w:val="0"/>
      <w:marBottom w:val="0"/>
      <w:divBdr>
        <w:top w:val="none" w:sz="0" w:space="0" w:color="auto"/>
        <w:left w:val="none" w:sz="0" w:space="0" w:color="auto"/>
        <w:bottom w:val="none" w:sz="0" w:space="0" w:color="auto"/>
        <w:right w:val="none" w:sz="0" w:space="0" w:color="auto"/>
      </w:divBdr>
    </w:div>
    <w:div w:id="1670063348">
      <w:bodyDiv w:val="1"/>
      <w:marLeft w:val="0"/>
      <w:marRight w:val="0"/>
      <w:marTop w:val="0"/>
      <w:marBottom w:val="0"/>
      <w:divBdr>
        <w:top w:val="none" w:sz="0" w:space="0" w:color="auto"/>
        <w:left w:val="none" w:sz="0" w:space="0" w:color="auto"/>
        <w:bottom w:val="none" w:sz="0" w:space="0" w:color="auto"/>
        <w:right w:val="none" w:sz="0" w:space="0" w:color="auto"/>
      </w:divBdr>
    </w:div>
    <w:div w:id="1670408206">
      <w:bodyDiv w:val="1"/>
      <w:marLeft w:val="0"/>
      <w:marRight w:val="0"/>
      <w:marTop w:val="0"/>
      <w:marBottom w:val="0"/>
      <w:divBdr>
        <w:top w:val="none" w:sz="0" w:space="0" w:color="auto"/>
        <w:left w:val="none" w:sz="0" w:space="0" w:color="auto"/>
        <w:bottom w:val="none" w:sz="0" w:space="0" w:color="auto"/>
        <w:right w:val="none" w:sz="0" w:space="0" w:color="auto"/>
      </w:divBdr>
    </w:div>
    <w:div w:id="1671057117">
      <w:bodyDiv w:val="1"/>
      <w:marLeft w:val="0"/>
      <w:marRight w:val="0"/>
      <w:marTop w:val="0"/>
      <w:marBottom w:val="0"/>
      <w:divBdr>
        <w:top w:val="none" w:sz="0" w:space="0" w:color="auto"/>
        <w:left w:val="none" w:sz="0" w:space="0" w:color="auto"/>
        <w:bottom w:val="none" w:sz="0" w:space="0" w:color="auto"/>
        <w:right w:val="none" w:sz="0" w:space="0" w:color="auto"/>
      </w:divBdr>
    </w:div>
    <w:div w:id="1671104374">
      <w:bodyDiv w:val="1"/>
      <w:marLeft w:val="0"/>
      <w:marRight w:val="0"/>
      <w:marTop w:val="0"/>
      <w:marBottom w:val="0"/>
      <w:divBdr>
        <w:top w:val="none" w:sz="0" w:space="0" w:color="auto"/>
        <w:left w:val="none" w:sz="0" w:space="0" w:color="auto"/>
        <w:bottom w:val="none" w:sz="0" w:space="0" w:color="auto"/>
        <w:right w:val="none" w:sz="0" w:space="0" w:color="auto"/>
      </w:divBdr>
    </w:div>
    <w:div w:id="1671181834">
      <w:bodyDiv w:val="1"/>
      <w:marLeft w:val="0"/>
      <w:marRight w:val="0"/>
      <w:marTop w:val="0"/>
      <w:marBottom w:val="0"/>
      <w:divBdr>
        <w:top w:val="none" w:sz="0" w:space="0" w:color="auto"/>
        <w:left w:val="none" w:sz="0" w:space="0" w:color="auto"/>
        <w:bottom w:val="none" w:sz="0" w:space="0" w:color="auto"/>
        <w:right w:val="none" w:sz="0" w:space="0" w:color="auto"/>
      </w:divBdr>
    </w:div>
    <w:div w:id="1671444775">
      <w:bodyDiv w:val="1"/>
      <w:marLeft w:val="0"/>
      <w:marRight w:val="0"/>
      <w:marTop w:val="0"/>
      <w:marBottom w:val="0"/>
      <w:divBdr>
        <w:top w:val="none" w:sz="0" w:space="0" w:color="auto"/>
        <w:left w:val="none" w:sz="0" w:space="0" w:color="auto"/>
        <w:bottom w:val="none" w:sz="0" w:space="0" w:color="auto"/>
        <w:right w:val="none" w:sz="0" w:space="0" w:color="auto"/>
      </w:divBdr>
    </w:div>
    <w:div w:id="1671715572">
      <w:bodyDiv w:val="1"/>
      <w:marLeft w:val="0"/>
      <w:marRight w:val="0"/>
      <w:marTop w:val="0"/>
      <w:marBottom w:val="0"/>
      <w:divBdr>
        <w:top w:val="none" w:sz="0" w:space="0" w:color="auto"/>
        <w:left w:val="none" w:sz="0" w:space="0" w:color="auto"/>
        <w:bottom w:val="none" w:sz="0" w:space="0" w:color="auto"/>
        <w:right w:val="none" w:sz="0" w:space="0" w:color="auto"/>
      </w:divBdr>
    </w:div>
    <w:div w:id="1673100306">
      <w:bodyDiv w:val="1"/>
      <w:marLeft w:val="0"/>
      <w:marRight w:val="0"/>
      <w:marTop w:val="0"/>
      <w:marBottom w:val="0"/>
      <w:divBdr>
        <w:top w:val="none" w:sz="0" w:space="0" w:color="auto"/>
        <w:left w:val="none" w:sz="0" w:space="0" w:color="auto"/>
        <w:bottom w:val="none" w:sz="0" w:space="0" w:color="auto"/>
        <w:right w:val="none" w:sz="0" w:space="0" w:color="auto"/>
      </w:divBdr>
    </w:div>
    <w:div w:id="1673297724">
      <w:bodyDiv w:val="1"/>
      <w:marLeft w:val="0"/>
      <w:marRight w:val="0"/>
      <w:marTop w:val="0"/>
      <w:marBottom w:val="0"/>
      <w:divBdr>
        <w:top w:val="none" w:sz="0" w:space="0" w:color="auto"/>
        <w:left w:val="none" w:sz="0" w:space="0" w:color="auto"/>
        <w:bottom w:val="none" w:sz="0" w:space="0" w:color="auto"/>
        <w:right w:val="none" w:sz="0" w:space="0" w:color="auto"/>
      </w:divBdr>
    </w:div>
    <w:div w:id="1673794842">
      <w:bodyDiv w:val="1"/>
      <w:marLeft w:val="0"/>
      <w:marRight w:val="0"/>
      <w:marTop w:val="0"/>
      <w:marBottom w:val="0"/>
      <w:divBdr>
        <w:top w:val="none" w:sz="0" w:space="0" w:color="auto"/>
        <w:left w:val="none" w:sz="0" w:space="0" w:color="auto"/>
        <w:bottom w:val="none" w:sz="0" w:space="0" w:color="auto"/>
        <w:right w:val="none" w:sz="0" w:space="0" w:color="auto"/>
      </w:divBdr>
    </w:div>
    <w:div w:id="1674452785">
      <w:bodyDiv w:val="1"/>
      <w:marLeft w:val="0"/>
      <w:marRight w:val="0"/>
      <w:marTop w:val="0"/>
      <w:marBottom w:val="0"/>
      <w:divBdr>
        <w:top w:val="none" w:sz="0" w:space="0" w:color="auto"/>
        <w:left w:val="none" w:sz="0" w:space="0" w:color="auto"/>
        <w:bottom w:val="none" w:sz="0" w:space="0" w:color="auto"/>
        <w:right w:val="none" w:sz="0" w:space="0" w:color="auto"/>
      </w:divBdr>
    </w:div>
    <w:div w:id="1675377892">
      <w:bodyDiv w:val="1"/>
      <w:marLeft w:val="0"/>
      <w:marRight w:val="0"/>
      <w:marTop w:val="0"/>
      <w:marBottom w:val="0"/>
      <w:divBdr>
        <w:top w:val="none" w:sz="0" w:space="0" w:color="auto"/>
        <w:left w:val="none" w:sz="0" w:space="0" w:color="auto"/>
        <w:bottom w:val="none" w:sz="0" w:space="0" w:color="auto"/>
        <w:right w:val="none" w:sz="0" w:space="0" w:color="auto"/>
      </w:divBdr>
    </w:div>
    <w:div w:id="1675454328">
      <w:bodyDiv w:val="1"/>
      <w:marLeft w:val="0"/>
      <w:marRight w:val="0"/>
      <w:marTop w:val="0"/>
      <w:marBottom w:val="0"/>
      <w:divBdr>
        <w:top w:val="none" w:sz="0" w:space="0" w:color="auto"/>
        <w:left w:val="none" w:sz="0" w:space="0" w:color="auto"/>
        <w:bottom w:val="none" w:sz="0" w:space="0" w:color="auto"/>
        <w:right w:val="none" w:sz="0" w:space="0" w:color="auto"/>
      </w:divBdr>
    </w:div>
    <w:div w:id="1675912758">
      <w:bodyDiv w:val="1"/>
      <w:marLeft w:val="0"/>
      <w:marRight w:val="0"/>
      <w:marTop w:val="0"/>
      <w:marBottom w:val="0"/>
      <w:divBdr>
        <w:top w:val="none" w:sz="0" w:space="0" w:color="auto"/>
        <w:left w:val="none" w:sz="0" w:space="0" w:color="auto"/>
        <w:bottom w:val="none" w:sz="0" w:space="0" w:color="auto"/>
        <w:right w:val="none" w:sz="0" w:space="0" w:color="auto"/>
      </w:divBdr>
    </w:div>
    <w:div w:id="1675916145">
      <w:bodyDiv w:val="1"/>
      <w:marLeft w:val="0"/>
      <w:marRight w:val="0"/>
      <w:marTop w:val="0"/>
      <w:marBottom w:val="0"/>
      <w:divBdr>
        <w:top w:val="none" w:sz="0" w:space="0" w:color="auto"/>
        <w:left w:val="none" w:sz="0" w:space="0" w:color="auto"/>
        <w:bottom w:val="none" w:sz="0" w:space="0" w:color="auto"/>
        <w:right w:val="none" w:sz="0" w:space="0" w:color="auto"/>
      </w:divBdr>
    </w:div>
    <w:div w:id="1676958584">
      <w:bodyDiv w:val="1"/>
      <w:marLeft w:val="0"/>
      <w:marRight w:val="0"/>
      <w:marTop w:val="0"/>
      <w:marBottom w:val="0"/>
      <w:divBdr>
        <w:top w:val="none" w:sz="0" w:space="0" w:color="auto"/>
        <w:left w:val="none" w:sz="0" w:space="0" w:color="auto"/>
        <w:bottom w:val="none" w:sz="0" w:space="0" w:color="auto"/>
        <w:right w:val="none" w:sz="0" w:space="0" w:color="auto"/>
      </w:divBdr>
      <w:divsChild>
        <w:div w:id="2089033449">
          <w:marLeft w:val="0"/>
          <w:marRight w:val="0"/>
          <w:marTop w:val="0"/>
          <w:marBottom w:val="0"/>
          <w:divBdr>
            <w:top w:val="none" w:sz="0" w:space="0" w:color="auto"/>
            <w:left w:val="none" w:sz="0" w:space="0" w:color="auto"/>
            <w:bottom w:val="none" w:sz="0" w:space="0" w:color="auto"/>
            <w:right w:val="none" w:sz="0" w:space="0" w:color="auto"/>
          </w:divBdr>
          <w:divsChild>
            <w:div w:id="1867787504">
              <w:marLeft w:val="0"/>
              <w:marRight w:val="0"/>
              <w:marTop w:val="0"/>
              <w:marBottom w:val="0"/>
              <w:divBdr>
                <w:top w:val="none" w:sz="0" w:space="0" w:color="auto"/>
                <w:left w:val="none" w:sz="0" w:space="0" w:color="auto"/>
                <w:bottom w:val="none" w:sz="0" w:space="0" w:color="auto"/>
                <w:right w:val="none" w:sz="0" w:space="0" w:color="auto"/>
              </w:divBdr>
              <w:divsChild>
                <w:div w:id="2105570669">
                  <w:marLeft w:val="0"/>
                  <w:marRight w:val="0"/>
                  <w:marTop w:val="0"/>
                  <w:marBottom w:val="0"/>
                  <w:divBdr>
                    <w:top w:val="none" w:sz="0" w:space="0" w:color="auto"/>
                    <w:left w:val="none" w:sz="0" w:space="0" w:color="auto"/>
                    <w:bottom w:val="none" w:sz="0" w:space="0" w:color="auto"/>
                    <w:right w:val="none" w:sz="0" w:space="0" w:color="auto"/>
                  </w:divBdr>
                  <w:divsChild>
                    <w:div w:id="108665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922431">
      <w:bodyDiv w:val="1"/>
      <w:marLeft w:val="0"/>
      <w:marRight w:val="0"/>
      <w:marTop w:val="0"/>
      <w:marBottom w:val="0"/>
      <w:divBdr>
        <w:top w:val="none" w:sz="0" w:space="0" w:color="auto"/>
        <w:left w:val="none" w:sz="0" w:space="0" w:color="auto"/>
        <w:bottom w:val="none" w:sz="0" w:space="0" w:color="auto"/>
        <w:right w:val="none" w:sz="0" w:space="0" w:color="auto"/>
      </w:divBdr>
    </w:div>
    <w:div w:id="1678271287">
      <w:bodyDiv w:val="1"/>
      <w:marLeft w:val="0"/>
      <w:marRight w:val="0"/>
      <w:marTop w:val="0"/>
      <w:marBottom w:val="0"/>
      <w:divBdr>
        <w:top w:val="none" w:sz="0" w:space="0" w:color="auto"/>
        <w:left w:val="none" w:sz="0" w:space="0" w:color="auto"/>
        <w:bottom w:val="none" w:sz="0" w:space="0" w:color="auto"/>
        <w:right w:val="none" w:sz="0" w:space="0" w:color="auto"/>
      </w:divBdr>
    </w:div>
    <w:div w:id="1678850321">
      <w:bodyDiv w:val="1"/>
      <w:marLeft w:val="0"/>
      <w:marRight w:val="0"/>
      <w:marTop w:val="0"/>
      <w:marBottom w:val="0"/>
      <w:divBdr>
        <w:top w:val="none" w:sz="0" w:space="0" w:color="auto"/>
        <w:left w:val="none" w:sz="0" w:space="0" w:color="auto"/>
        <w:bottom w:val="none" w:sz="0" w:space="0" w:color="auto"/>
        <w:right w:val="none" w:sz="0" w:space="0" w:color="auto"/>
      </w:divBdr>
    </w:div>
    <w:div w:id="1679889701">
      <w:bodyDiv w:val="1"/>
      <w:marLeft w:val="0"/>
      <w:marRight w:val="0"/>
      <w:marTop w:val="0"/>
      <w:marBottom w:val="0"/>
      <w:divBdr>
        <w:top w:val="none" w:sz="0" w:space="0" w:color="auto"/>
        <w:left w:val="none" w:sz="0" w:space="0" w:color="auto"/>
        <w:bottom w:val="none" w:sz="0" w:space="0" w:color="auto"/>
        <w:right w:val="none" w:sz="0" w:space="0" w:color="auto"/>
      </w:divBdr>
    </w:div>
    <w:div w:id="1679891592">
      <w:bodyDiv w:val="1"/>
      <w:marLeft w:val="0"/>
      <w:marRight w:val="0"/>
      <w:marTop w:val="0"/>
      <w:marBottom w:val="0"/>
      <w:divBdr>
        <w:top w:val="none" w:sz="0" w:space="0" w:color="auto"/>
        <w:left w:val="none" w:sz="0" w:space="0" w:color="auto"/>
        <w:bottom w:val="none" w:sz="0" w:space="0" w:color="auto"/>
        <w:right w:val="none" w:sz="0" w:space="0" w:color="auto"/>
      </w:divBdr>
    </w:div>
    <w:div w:id="1681396306">
      <w:bodyDiv w:val="1"/>
      <w:marLeft w:val="0"/>
      <w:marRight w:val="0"/>
      <w:marTop w:val="0"/>
      <w:marBottom w:val="0"/>
      <w:divBdr>
        <w:top w:val="none" w:sz="0" w:space="0" w:color="auto"/>
        <w:left w:val="none" w:sz="0" w:space="0" w:color="auto"/>
        <w:bottom w:val="none" w:sz="0" w:space="0" w:color="auto"/>
        <w:right w:val="none" w:sz="0" w:space="0" w:color="auto"/>
      </w:divBdr>
    </w:div>
    <w:div w:id="1681469236">
      <w:bodyDiv w:val="1"/>
      <w:marLeft w:val="0"/>
      <w:marRight w:val="0"/>
      <w:marTop w:val="0"/>
      <w:marBottom w:val="0"/>
      <w:divBdr>
        <w:top w:val="none" w:sz="0" w:space="0" w:color="auto"/>
        <w:left w:val="none" w:sz="0" w:space="0" w:color="auto"/>
        <w:bottom w:val="none" w:sz="0" w:space="0" w:color="auto"/>
        <w:right w:val="none" w:sz="0" w:space="0" w:color="auto"/>
      </w:divBdr>
    </w:div>
    <w:div w:id="1681540816">
      <w:bodyDiv w:val="1"/>
      <w:marLeft w:val="0"/>
      <w:marRight w:val="0"/>
      <w:marTop w:val="0"/>
      <w:marBottom w:val="0"/>
      <w:divBdr>
        <w:top w:val="none" w:sz="0" w:space="0" w:color="auto"/>
        <w:left w:val="none" w:sz="0" w:space="0" w:color="auto"/>
        <w:bottom w:val="none" w:sz="0" w:space="0" w:color="auto"/>
        <w:right w:val="none" w:sz="0" w:space="0" w:color="auto"/>
      </w:divBdr>
    </w:div>
    <w:div w:id="1681542433">
      <w:bodyDiv w:val="1"/>
      <w:marLeft w:val="0"/>
      <w:marRight w:val="0"/>
      <w:marTop w:val="0"/>
      <w:marBottom w:val="0"/>
      <w:divBdr>
        <w:top w:val="none" w:sz="0" w:space="0" w:color="auto"/>
        <w:left w:val="none" w:sz="0" w:space="0" w:color="auto"/>
        <w:bottom w:val="none" w:sz="0" w:space="0" w:color="auto"/>
        <w:right w:val="none" w:sz="0" w:space="0" w:color="auto"/>
      </w:divBdr>
    </w:div>
    <w:div w:id="1681543031">
      <w:bodyDiv w:val="1"/>
      <w:marLeft w:val="0"/>
      <w:marRight w:val="0"/>
      <w:marTop w:val="0"/>
      <w:marBottom w:val="0"/>
      <w:divBdr>
        <w:top w:val="none" w:sz="0" w:space="0" w:color="auto"/>
        <w:left w:val="none" w:sz="0" w:space="0" w:color="auto"/>
        <w:bottom w:val="none" w:sz="0" w:space="0" w:color="auto"/>
        <w:right w:val="none" w:sz="0" w:space="0" w:color="auto"/>
      </w:divBdr>
    </w:div>
    <w:div w:id="1682125568">
      <w:bodyDiv w:val="1"/>
      <w:marLeft w:val="0"/>
      <w:marRight w:val="0"/>
      <w:marTop w:val="0"/>
      <w:marBottom w:val="0"/>
      <w:divBdr>
        <w:top w:val="none" w:sz="0" w:space="0" w:color="auto"/>
        <w:left w:val="none" w:sz="0" w:space="0" w:color="auto"/>
        <w:bottom w:val="none" w:sz="0" w:space="0" w:color="auto"/>
        <w:right w:val="none" w:sz="0" w:space="0" w:color="auto"/>
      </w:divBdr>
    </w:div>
    <w:div w:id="1684746082">
      <w:bodyDiv w:val="1"/>
      <w:marLeft w:val="0"/>
      <w:marRight w:val="0"/>
      <w:marTop w:val="0"/>
      <w:marBottom w:val="0"/>
      <w:divBdr>
        <w:top w:val="none" w:sz="0" w:space="0" w:color="auto"/>
        <w:left w:val="none" w:sz="0" w:space="0" w:color="auto"/>
        <w:bottom w:val="none" w:sz="0" w:space="0" w:color="auto"/>
        <w:right w:val="none" w:sz="0" w:space="0" w:color="auto"/>
      </w:divBdr>
    </w:div>
    <w:div w:id="1684746608">
      <w:bodyDiv w:val="1"/>
      <w:marLeft w:val="0"/>
      <w:marRight w:val="0"/>
      <w:marTop w:val="0"/>
      <w:marBottom w:val="0"/>
      <w:divBdr>
        <w:top w:val="none" w:sz="0" w:space="0" w:color="auto"/>
        <w:left w:val="none" w:sz="0" w:space="0" w:color="auto"/>
        <w:bottom w:val="none" w:sz="0" w:space="0" w:color="auto"/>
        <w:right w:val="none" w:sz="0" w:space="0" w:color="auto"/>
      </w:divBdr>
    </w:div>
    <w:div w:id="1685211121">
      <w:bodyDiv w:val="1"/>
      <w:marLeft w:val="0"/>
      <w:marRight w:val="0"/>
      <w:marTop w:val="0"/>
      <w:marBottom w:val="0"/>
      <w:divBdr>
        <w:top w:val="none" w:sz="0" w:space="0" w:color="auto"/>
        <w:left w:val="none" w:sz="0" w:space="0" w:color="auto"/>
        <w:bottom w:val="none" w:sz="0" w:space="0" w:color="auto"/>
        <w:right w:val="none" w:sz="0" w:space="0" w:color="auto"/>
      </w:divBdr>
    </w:div>
    <w:div w:id="1685401882">
      <w:bodyDiv w:val="1"/>
      <w:marLeft w:val="0"/>
      <w:marRight w:val="0"/>
      <w:marTop w:val="0"/>
      <w:marBottom w:val="0"/>
      <w:divBdr>
        <w:top w:val="none" w:sz="0" w:space="0" w:color="auto"/>
        <w:left w:val="none" w:sz="0" w:space="0" w:color="auto"/>
        <w:bottom w:val="none" w:sz="0" w:space="0" w:color="auto"/>
        <w:right w:val="none" w:sz="0" w:space="0" w:color="auto"/>
      </w:divBdr>
    </w:div>
    <w:div w:id="1686636262">
      <w:bodyDiv w:val="1"/>
      <w:marLeft w:val="0"/>
      <w:marRight w:val="0"/>
      <w:marTop w:val="0"/>
      <w:marBottom w:val="0"/>
      <w:divBdr>
        <w:top w:val="none" w:sz="0" w:space="0" w:color="auto"/>
        <w:left w:val="none" w:sz="0" w:space="0" w:color="auto"/>
        <w:bottom w:val="none" w:sz="0" w:space="0" w:color="auto"/>
        <w:right w:val="none" w:sz="0" w:space="0" w:color="auto"/>
      </w:divBdr>
    </w:div>
    <w:div w:id="1686899273">
      <w:bodyDiv w:val="1"/>
      <w:marLeft w:val="0"/>
      <w:marRight w:val="0"/>
      <w:marTop w:val="0"/>
      <w:marBottom w:val="0"/>
      <w:divBdr>
        <w:top w:val="none" w:sz="0" w:space="0" w:color="auto"/>
        <w:left w:val="none" w:sz="0" w:space="0" w:color="auto"/>
        <w:bottom w:val="none" w:sz="0" w:space="0" w:color="auto"/>
        <w:right w:val="none" w:sz="0" w:space="0" w:color="auto"/>
      </w:divBdr>
    </w:div>
    <w:div w:id="1687441901">
      <w:bodyDiv w:val="1"/>
      <w:marLeft w:val="0"/>
      <w:marRight w:val="0"/>
      <w:marTop w:val="0"/>
      <w:marBottom w:val="0"/>
      <w:divBdr>
        <w:top w:val="none" w:sz="0" w:space="0" w:color="auto"/>
        <w:left w:val="none" w:sz="0" w:space="0" w:color="auto"/>
        <w:bottom w:val="none" w:sz="0" w:space="0" w:color="auto"/>
        <w:right w:val="none" w:sz="0" w:space="0" w:color="auto"/>
      </w:divBdr>
    </w:div>
    <w:div w:id="1688749548">
      <w:bodyDiv w:val="1"/>
      <w:marLeft w:val="0"/>
      <w:marRight w:val="0"/>
      <w:marTop w:val="0"/>
      <w:marBottom w:val="0"/>
      <w:divBdr>
        <w:top w:val="none" w:sz="0" w:space="0" w:color="auto"/>
        <w:left w:val="none" w:sz="0" w:space="0" w:color="auto"/>
        <w:bottom w:val="none" w:sz="0" w:space="0" w:color="auto"/>
        <w:right w:val="none" w:sz="0" w:space="0" w:color="auto"/>
      </w:divBdr>
    </w:div>
    <w:div w:id="1689024363">
      <w:bodyDiv w:val="1"/>
      <w:marLeft w:val="0"/>
      <w:marRight w:val="0"/>
      <w:marTop w:val="0"/>
      <w:marBottom w:val="0"/>
      <w:divBdr>
        <w:top w:val="none" w:sz="0" w:space="0" w:color="auto"/>
        <w:left w:val="none" w:sz="0" w:space="0" w:color="auto"/>
        <w:bottom w:val="none" w:sz="0" w:space="0" w:color="auto"/>
        <w:right w:val="none" w:sz="0" w:space="0" w:color="auto"/>
      </w:divBdr>
    </w:div>
    <w:div w:id="1689091986">
      <w:bodyDiv w:val="1"/>
      <w:marLeft w:val="0"/>
      <w:marRight w:val="0"/>
      <w:marTop w:val="0"/>
      <w:marBottom w:val="0"/>
      <w:divBdr>
        <w:top w:val="none" w:sz="0" w:space="0" w:color="auto"/>
        <w:left w:val="none" w:sz="0" w:space="0" w:color="auto"/>
        <w:bottom w:val="none" w:sz="0" w:space="0" w:color="auto"/>
        <w:right w:val="none" w:sz="0" w:space="0" w:color="auto"/>
      </w:divBdr>
    </w:div>
    <w:div w:id="1689260069">
      <w:bodyDiv w:val="1"/>
      <w:marLeft w:val="0"/>
      <w:marRight w:val="0"/>
      <w:marTop w:val="0"/>
      <w:marBottom w:val="0"/>
      <w:divBdr>
        <w:top w:val="none" w:sz="0" w:space="0" w:color="auto"/>
        <w:left w:val="none" w:sz="0" w:space="0" w:color="auto"/>
        <w:bottom w:val="none" w:sz="0" w:space="0" w:color="auto"/>
        <w:right w:val="none" w:sz="0" w:space="0" w:color="auto"/>
      </w:divBdr>
    </w:div>
    <w:div w:id="1689403834">
      <w:bodyDiv w:val="1"/>
      <w:marLeft w:val="0"/>
      <w:marRight w:val="0"/>
      <w:marTop w:val="0"/>
      <w:marBottom w:val="0"/>
      <w:divBdr>
        <w:top w:val="none" w:sz="0" w:space="0" w:color="auto"/>
        <w:left w:val="none" w:sz="0" w:space="0" w:color="auto"/>
        <w:bottom w:val="none" w:sz="0" w:space="0" w:color="auto"/>
        <w:right w:val="none" w:sz="0" w:space="0" w:color="auto"/>
      </w:divBdr>
    </w:div>
    <w:div w:id="1690594627">
      <w:bodyDiv w:val="1"/>
      <w:marLeft w:val="0"/>
      <w:marRight w:val="0"/>
      <w:marTop w:val="0"/>
      <w:marBottom w:val="0"/>
      <w:divBdr>
        <w:top w:val="none" w:sz="0" w:space="0" w:color="auto"/>
        <w:left w:val="none" w:sz="0" w:space="0" w:color="auto"/>
        <w:bottom w:val="none" w:sz="0" w:space="0" w:color="auto"/>
        <w:right w:val="none" w:sz="0" w:space="0" w:color="auto"/>
      </w:divBdr>
    </w:div>
    <w:div w:id="1690833934">
      <w:bodyDiv w:val="1"/>
      <w:marLeft w:val="0"/>
      <w:marRight w:val="0"/>
      <w:marTop w:val="0"/>
      <w:marBottom w:val="0"/>
      <w:divBdr>
        <w:top w:val="none" w:sz="0" w:space="0" w:color="auto"/>
        <w:left w:val="none" w:sz="0" w:space="0" w:color="auto"/>
        <w:bottom w:val="none" w:sz="0" w:space="0" w:color="auto"/>
        <w:right w:val="none" w:sz="0" w:space="0" w:color="auto"/>
      </w:divBdr>
    </w:div>
    <w:div w:id="1693799007">
      <w:bodyDiv w:val="1"/>
      <w:marLeft w:val="0"/>
      <w:marRight w:val="0"/>
      <w:marTop w:val="0"/>
      <w:marBottom w:val="0"/>
      <w:divBdr>
        <w:top w:val="none" w:sz="0" w:space="0" w:color="auto"/>
        <w:left w:val="none" w:sz="0" w:space="0" w:color="auto"/>
        <w:bottom w:val="none" w:sz="0" w:space="0" w:color="auto"/>
        <w:right w:val="none" w:sz="0" w:space="0" w:color="auto"/>
      </w:divBdr>
    </w:div>
    <w:div w:id="1694261313">
      <w:bodyDiv w:val="1"/>
      <w:marLeft w:val="0"/>
      <w:marRight w:val="0"/>
      <w:marTop w:val="0"/>
      <w:marBottom w:val="0"/>
      <w:divBdr>
        <w:top w:val="none" w:sz="0" w:space="0" w:color="auto"/>
        <w:left w:val="none" w:sz="0" w:space="0" w:color="auto"/>
        <w:bottom w:val="none" w:sz="0" w:space="0" w:color="auto"/>
        <w:right w:val="none" w:sz="0" w:space="0" w:color="auto"/>
      </w:divBdr>
    </w:div>
    <w:div w:id="1694842768">
      <w:bodyDiv w:val="1"/>
      <w:marLeft w:val="0"/>
      <w:marRight w:val="0"/>
      <w:marTop w:val="0"/>
      <w:marBottom w:val="0"/>
      <w:divBdr>
        <w:top w:val="none" w:sz="0" w:space="0" w:color="auto"/>
        <w:left w:val="none" w:sz="0" w:space="0" w:color="auto"/>
        <w:bottom w:val="none" w:sz="0" w:space="0" w:color="auto"/>
        <w:right w:val="none" w:sz="0" w:space="0" w:color="auto"/>
      </w:divBdr>
    </w:div>
    <w:div w:id="1696954188">
      <w:bodyDiv w:val="1"/>
      <w:marLeft w:val="0"/>
      <w:marRight w:val="0"/>
      <w:marTop w:val="0"/>
      <w:marBottom w:val="0"/>
      <w:divBdr>
        <w:top w:val="none" w:sz="0" w:space="0" w:color="auto"/>
        <w:left w:val="none" w:sz="0" w:space="0" w:color="auto"/>
        <w:bottom w:val="none" w:sz="0" w:space="0" w:color="auto"/>
        <w:right w:val="none" w:sz="0" w:space="0" w:color="auto"/>
      </w:divBdr>
    </w:div>
    <w:div w:id="1696955216">
      <w:bodyDiv w:val="1"/>
      <w:marLeft w:val="0"/>
      <w:marRight w:val="0"/>
      <w:marTop w:val="0"/>
      <w:marBottom w:val="0"/>
      <w:divBdr>
        <w:top w:val="none" w:sz="0" w:space="0" w:color="auto"/>
        <w:left w:val="none" w:sz="0" w:space="0" w:color="auto"/>
        <w:bottom w:val="none" w:sz="0" w:space="0" w:color="auto"/>
        <w:right w:val="none" w:sz="0" w:space="0" w:color="auto"/>
      </w:divBdr>
    </w:div>
    <w:div w:id="1697073137">
      <w:bodyDiv w:val="1"/>
      <w:marLeft w:val="0"/>
      <w:marRight w:val="0"/>
      <w:marTop w:val="0"/>
      <w:marBottom w:val="0"/>
      <w:divBdr>
        <w:top w:val="none" w:sz="0" w:space="0" w:color="auto"/>
        <w:left w:val="none" w:sz="0" w:space="0" w:color="auto"/>
        <w:bottom w:val="none" w:sz="0" w:space="0" w:color="auto"/>
        <w:right w:val="none" w:sz="0" w:space="0" w:color="auto"/>
      </w:divBdr>
    </w:div>
    <w:div w:id="1698192746">
      <w:bodyDiv w:val="1"/>
      <w:marLeft w:val="0"/>
      <w:marRight w:val="0"/>
      <w:marTop w:val="0"/>
      <w:marBottom w:val="0"/>
      <w:divBdr>
        <w:top w:val="none" w:sz="0" w:space="0" w:color="auto"/>
        <w:left w:val="none" w:sz="0" w:space="0" w:color="auto"/>
        <w:bottom w:val="none" w:sz="0" w:space="0" w:color="auto"/>
        <w:right w:val="none" w:sz="0" w:space="0" w:color="auto"/>
      </w:divBdr>
    </w:div>
    <w:div w:id="1699156577">
      <w:bodyDiv w:val="1"/>
      <w:marLeft w:val="0"/>
      <w:marRight w:val="0"/>
      <w:marTop w:val="0"/>
      <w:marBottom w:val="0"/>
      <w:divBdr>
        <w:top w:val="none" w:sz="0" w:space="0" w:color="auto"/>
        <w:left w:val="none" w:sz="0" w:space="0" w:color="auto"/>
        <w:bottom w:val="none" w:sz="0" w:space="0" w:color="auto"/>
        <w:right w:val="none" w:sz="0" w:space="0" w:color="auto"/>
      </w:divBdr>
    </w:div>
    <w:div w:id="1701280665">
      <w:bodyDiv w:val="1"/>
      <w:marLeft w:val="0"/>
      <w:marRight w:val="0"/>
      <w:marTop w:val="0"/>
      <w:marBottom w:val="0"/>
      <w:divBdr>
        <w:top w:val="none" w:sz="0" w:space="0" w:color="auto"/>
        <w:left w:val="none" w:sz="0" w:space="0" w:color="auto"/>
        <w:bottom w:val="none" w:sz="0" w:space="0" w:color="auto"/>
        <w:right w:val="none" w:sz="0" w:space="0" w:color="auto"/>
      </w:divBdr>
    </w:div>
    <w:div w:id="1702631827">
      <w:bodyDiv w:val="1"/>
      <w:marLeft w:val="0"/>
      <w:marRight w:val="0"/>
      <w:marTop w:val="0"/>
      <w:marBottom w:val="0"/>
      <w:divBdr>
        <w:top w:val="none" w:sz="0" w:space="0" w:color="auto"/>
        <w:left w:val="none" w:sz="0" w:space="0" w:color="auto"/>
        <w:bottom w:val="none" w:sz="0" w:space="0" w:color="auto"/>
        <w:right w:val="none" w:sz="0" w:space="0" w:color="auto"/>
      </w:divBdr>
    </w:div>
    <w:div w:id="1702969729">
      <w:bodyDiv w:val="1"/>
      <w:marLeft w:val="0"/>
      <w:marRight w:val="0"/>
      <w:marTop w:val="0"/>
      <w:marBottom w:val="0"/>
      <w:divBdr>
        <w:top w:val="none" w:sz="0" w:space="0" w:color="auto"/>
        <w:left w:val="none" w:sz="0" w:space="0" w:color="auto"/>
        <w:bottom w:val="none" w:sz="0" w:space="0" w:color="auto"/>
        <w:right w:val="none" w:sz="0" w:space="0" w:color="auto"/>
      </w:divBdr>
    </w:div>
    <w:div w:id="1703092390">
      <w:bodyDiv w:val="1"/>
      <w:marLeft w:val="0"/>
      <w:marRight w:val="0"/>
      <w:marTop w:val="0"/>
      <w:marBottom w:val="0"/>
      <w:divBdr>
        <w:top w:val="none" w:sz="0" w:space="0" w:color="auto"/>
        <w:left w:val="none" w:sz="0" w:space="0" w:color="auto"/>
        <w:bottom w:val="none" w:sz="0" w:space="0" w:color="auto"/>
        <w:right w:val="none" w:sz="0" w:space="0" w:color="auto"/>
      </w:divBdr>
    </w:div>
    <w:div w:id="1703630726">
      <w:bodyDiv w:val="1"/>
      <w:marLeft w:val="0"/>
      <w:marRight w:val="0"/>
      <w:marTop w:val="0"/>
      <w:marBottom w:val="0"/>
      <w:divBdr>
        <w:top w:val="none" w:sz="0" w:space="0" w:color="auto"/>
        <w:left w:val="none" w:sz="0" w:space="0" w:color="auto"/>
        <w:bottom w:val="none" w:sz="0" w:space="0" w:color="auto"/>
        <w:right w:val="none" w:sz="0" w:space="0" w:color="auto"/>
      </w:divBdr>
    </w:div>
    <w:div w:id="1703940260">
      <w:bodyDiv w:val="1"/>
      <w:marLeft w:val="0"/>
      <w:marRight w:val="0"/>
      <w:marTop w:val="0"/>
      <w:marBottom w:val="0"/>
      <w:divBdr>
        <w:top w:val="none" w:sz="0" w:space="0" w:color="auto"/>
        <w:left w:val="none" w:sz="0" w:space="0" w:color="auto"/>
        <w:bottom w:val="none" w:sz="0" w:space="0" w:color="auto"/>
        <w:right w:val="none" w:sz="0" w:space="0" w:color="auto"/>
      </w:divBdr>
    </w:div>
    <w:div w:id="1704285979">
      <w:bodyDiv w:val="1"/>
      <w:marLeft w:val="0"/>
      <w:marRight w:val="0"/>
      <w:marTop w:val="0"/>
      <w:marBottom w:val="0"/>
      <w:divBdr>
        <w:top w:val="none" w:sz="0" w:space="0" w:color="auto"/>
        <w:left w:val="none" w:sz="0" w:space="0" w:color="auto"/>
        <w:bottom w:val="none" w:sz="0" w:space="0" w:color="auto"/>
        <w:right w:val="none" w:sz="0" w:space="0" w:color="auto"/>
      </w:divBdr>
    </w:div>
    <w:div w:id="1705133489">
      <w:bodyDiv w:val="1"/>
      <w:marLeft w:val="0"/>
      <w:marRight w:val="0"/>
      <w:marTop w:val="0"/>
      <w:marBottom w:val="0"/>
      <w:divBdr>
        <w:top w:val="none" w:sz="0" w:space="0" w:color="auto"/>
        <w:left w:val="none" w:sz="0" w:space="0" w:color="auto"/>
        <w:bottom w:val="none" w:sz="0" w:space="0" w:color="auto"/>
        <w:right w:val="none" w:sz="0" w:space="0" w:color="auto"/>
      </w:divBdr>
    </w:div>
    <w:div w:id="1705405433">
      <w:bodyDiv w:val="1"/>
      <w:marLeft w:val="0"/>
      <w:marRight w:val="0"/>
      <w:marTop w:val="0"/>
      <w:marBottom w:val="0"/>
      <w:divBdr>
        <w:top w:val="none" w:sz="0" w:space="0" w:color="auto"/>
        <w:left w:val="none" w:sz="0" w:space="0" w:color="auto"/>
        <w:bottom w:val="none" w:sz="0" w:space="0" w:color="auto"/>
        <w:right w:val="none" w:sz="0" w:space="0" w:color="auto"/>
      </w:divBdr>
    </w:div>
    <w:div w:id="1705598463">
      <w:bodyDiv w:val="1"/>
      <w:marLeft w:val="0"/>
      <w:marRight w:val="0"/>
      <w:marTop w:val="0"/>
      <w:marBottom w:val="0"/>
      <w:divBdr>
        <w:top w:val="none" w:sz="0" w:space="0" w:color="auto"/>
        <w:left w:val="none" w:sz="0" w:space="0" w:color="auto"/>
        <w:bottom w:val="none" w:sz="0" w:space="0" w:color="auto"/>
        <w:right w:val="none" w:sz="0" w:space="0" w:color="auto"/>
      </w:divBdr>
    </w:div>
    <w:div w:id="1705977459">
      <w:bodyDiv w:val="1"/>
      <w:marLeft w:val="0"/>
      <w:marRight w:val="0"/>
      <w:marTop w:val="0"/>
      <w:marBottom w:val="0"/>
      <w:divBdr>
        <w:top w:val="none" w:sz="0" w:space="0" w:color="auto"/>
        <w:left w:val="none" w:sz="0" w:space="0" w:color="auto"/>
        <w:bottom w:val="none" w:sz="0" w:space="0" w:color="auto"/>
        <w:right w:val="none" w:sz="0" w:space="0" w:color="auto"/>
      </w:divBdr>
    </w:div>
    <w:div w:id="1706247767">
      <w:bodyDiv w:val="1"/>
      <w:marLeft w:val="0"/>
      <w:marRight w:val="0"/>
      <w:marTop w:val="0"/>
      <w:marBottom w:val="0"/>
      <w:divBdr>
        <w:top w:val="none" w:sz="0" w:space="0" w:color="auto"/>
        <w:left w:val="none" w:sz="0" w:space="0" w:color="auto"/>
        <w:bottom w:val="none" w:sz="0" w:space="0" w:color="auto"/>
        <w:right w:val="none" w:sz="0" w:space="0" w:color="auto"/>
      </w:divBdr>
    </w:div>
    <w:div w:id="1706367749">
      <w:bodyDiv w:val="1"/>
      <w:marLeft w:val="0"/>
      <w:marRight w:val="0"/>
      <w:marTop w:val="0"/>
      <w:marBottom w:val="0"/>
      <w:divBdr>
        <w:top w:val="none" w:sz="0" w:space="0" w:color="auto"/>
        <w:left w:val="none" w:sz="0" w:space="0" w:color="auto"/>
        <w:bottom w:val="none" w:sz="0" w:space="0" w:color="auto"/>
        <w:right w:val="none" w:sz="0" w:space="0" w:color="auto"/>
      </w:divBdr>
    </w:div>
    <w:div w:id="1707606246">
      <w:bodyDiv w:val="1"/>
      <w:marLeft w:val="0"/>
      <w:marRight w:val="0"/>
      <w:marTop w:val="0"/>
      <w:marBottom w:val="0"/>
      <w:divBdr>
        <w:top w:val="none" w:sz="0" w:space="0" w:color="auto"/>
        <w:left w:val="none" w:sz="0" w:space="0" w:color="auto"/>
        <w:bottom w:val="none" w:sz="0" w:space="0" w:color="auto"/>
        <w:right w:val="none" w:sz="0" w:space="0" w:color="auto"/>
      </w:divBdr>
    </w:div>
    <w:div w:id="1708489036">
      <w:bodyDiv w:val="1"/>
      <w:marLeft w:val="0"/>
      <w:marRight w:val="0"/>
      <w:marTop w:val="0"/>
      <w:marBottom w:val="0"/>
      <w:divBdr>
        <w:top w:val="none" w:sz="0" w:space="0" w:color="auto"/>
        <w:left w:val="none" w:sz="0" w:space="0" w:color="auto"/>
        <w:bottom w:val="none" w:sz="0" w:space="0" w:color="auto"/>
        <w:right w:val="none" w:sz="0" w:space="0" w:color="auto"/>
      </w:divBdr>
    </w:div>
    <w:div w:id="1708870793">
      <w:bodyDiv w:val="1"/>
      <w:marLeft w:val="0"/>
      <w:marRight w:val="0"/>
      <w:marTop w:val="0"/>
      <w:marBottom w:val="0"/>
      <w:divBdr>
        <w:top w:val="none" w:sz="0" w:space="0" w:color="auto"/>
        <w:left w:val="none" w:sz="0" w:space="0" w:color="auto"/>
        <w:bottom w:val="none" w:sz="0" w:space="0" w:color="auto"/>
        <w:right w:val="none" w:sz="0" w:space="0" w:color="auto"/>
      </w:divBdr>
    </w:div>
    <w:div w:id="1711223712">
      <w:bodyDiv w:val="1"/>
      <w:marLeft w:val="0"/>
      <w:marRight w:val="0"/>
      <w:marTop w:val="0"/>
      <w:marBottom w:val="0"/>
      <w:divBdr>
        <w:top w:val="none" w:sz="0" w:space="0" w:color="auto"/>
        <w:left w:val="none" w:sz="0" w:space="0" w:color="auto"/>
        <w:bottom w:val="none" w:sz="0" w:space="0" w:color="auto"/>
        <w:right w:val="none" w:sz="0" w:space="0" w:color="auto"/>
      </w:divBdr>
    </w:div>
    <w:div w:id="1711805235">
      <w:bodyDiv w:val="1"/>
      <w:marLeft w:val="0"/>
      <w:marRight w:val="0"/>
      <w:marTop w:val="0"/>
      <w:marBottom w:val="0"/>
      <w:divBdr>
        <w:top w:val="none" w:sz="0" w:space="0" w:color="auto"/>
        <w:left w:val="none" w:sz="0" w:space="0" w:color="auto"/>
        <w:bottom w:val="none" w:sz="0" w:space="0" w:color="auto"/>
        <w:right w:val="none" w:sz="0" w:space="0" w:color="auto"/>
      </w:divBdr>
    </w:div>
    <w:div w:id="1712684664">
      <w:bodyDiv w:val="1"/>
      <w:marLeft w:val="0"/>
      <w:marRight w:val="0"/>
      <w:marTop w:val="0"/>
      <w:marBottom w:val="0"/>
      <w:divBdr>
        <w:top w:val="none" w:sz="0" w:space="0" w:color="auto"/>
        <w:left w:val="none" w:sz="0" w:space="0" w:color="auto"/>
        <w:bottom w:val="none" w:sz="0" w:space="0" w:color="auto"/>
        <w:right w:val="none" w:sz="0" w:space="0" w:color="auto"/>
      </w:divBdr>
    </w:div>
    <w:div w:id="1712798693">
      <w:bodyDiv w:val="1"/>
      <w:marLeft w:val="0"/>
      <w:marRight w:val="0"/>
      <w:marTop w:val="0"/>
      <w:marBottom w:val="0"/>
      <w:divBdr>
        <w:top w:val="none" w:sz="0" w:space="0" w:color="auto"/>
        <w:left w:val="none" w:sz="0" w:space="0" w:color="auto"/>
        <w:bottom w:val="none" w:sz="0" w:space="0" w:color="auto"/>
        <w:right w:val="none" w:sz="0" w:space="0" w:color="auto"/>
      </w:divBdr>
    </w:div>
    <w:div w:id="1712923511">
      <w:bodyDiv w:val="1"/>
      <w:marLeft w:val="0"/>
      <w:marRight w:val="0"/>
      <w:marTop w:val="0"/>
      <w:marBottom w:val="0"/>
      <w:divBdr>
        <w:top w:val="none" w:sz="0" w:space="0" w:color="auto"/>
        <w:left w:val="none" w:sz="0" w:space="0" w:color="auto"/>
        <w:bottom w:val="none" w:sz="0" w:space="0" w:color="auto"/>
        <w:right w:val="none" w:sz="0" w:space="0" w:color="auto"/>
      </w:divBdr>
    </w:div>
    <w:div w:id="1712924812">
      <w:bodyDiv w:val="1"/>
      <w:marLeft w:val="0"/>
      <w:marRight w:val="0"/>
      <w:marTop w:val="0"/>
      <w:marBottom w:val="0"/>
      <w:divBdr>
        <w:top w:val="none" w:sz="0" w:space="0" w:color="auto"/>
        <w:left w:val="none" w:sz="0" w:space="0" w:color="auto"/>
        <w:bottom w:val="none" w:sz="0" w:space="0" w:color="auto"/>
        <w:right w:val="none" w:sz="0" w:space="0" w:color="auto"/>
      </w:divBdr>
    </w:div>
    <w:div w:id="1713260883">
      <w:bodyDiv w:val="1"/>
      <w:marLeft w:val="0"/>
      <w:marRight w:val="0"/>
      <w:marTop w:val="0"/>
      <w:marBottom w:val="0"/>
      <w:divBdr>
        <w:top w:val="none" w:sz="0" w:space="0" w:color="auto"/>
        <w:left w:val="none" w:sz="0" w:space="0" w:color="auto"/>
        <w:bottom w:val="none" w:sz="0" w:space="0" w:color="auto"/>
        <w:right w:val="none" w:sz="0" w:space="0" w:color="auto"/>
      </w:divBdr>
    </w:div>
    <w:div w:id="1713769702">
      <w:bodyDiv w:val="1"/>
      <w:marLeft w:val="0"/>
      <w:marRight w:val="0"/>
      <w:marTop w:val="0"/>
      <w:marBottom w:val="0"/>
      <w:divBdr>
        <w:top w:val="none" w:sz="0" w:space="0" w:color="auto"/>
        <w:left w:val="none" w:sz="0" w:space="0" w:color="auto"/>
        <w:bottom w:val="none" w:sz="0" w:space="0" w:color="auto"/>
        <w:right w:val="none" w:sz="0" w:space="0" w:color="auto"/>
      </w:divBdr>
    </w:div>
    <w:div w:id="1713916053">
      <w:bodyDiv w:val="1"/>
      <w:marLeft w:val="0"/>
      <w:marRight w:val="0"/>
      <w:marTop w:val="0"/>
      <w:marBottom w:val="0"/>
      <w:divBdr>
        <w:top w:val="none" w:sz="0" w:space="0" w:color="auto"/>
        <w:left w:val="none" w:sz="0" w:space="0" w:color="auto"/>
        <w:bottom w:val="none" w:sz="0" w:space="0" w:color="auto"/>
        <w:right w:val="none" w:sz="0" w:space="0" w:color="auto"/>
      </w:divBdr>
    </w:div>
    <w:div w:id="1713967764">
      <w:bodyDiv w:val="1"/>
      <w:marLeft w:val="0"/>
      <w:marRight w:val="0"/>
      <w:marTop w:val="0"/>
      <w:marBottom w:val="0"/>
      <w:divBdr>
        <w:top w:val="none" w:sz="0" w:space="0" w:color="auto"/>
        <w:left w:val="none" w:sz="0" w:space="0" w:color="auto"/>
        <w:bottom w:val="none" w:sz="0" w:space="0" w:color="auto"/>
        <w:right w:val="none" w:sz="0" w:space="0" w:color="auto"/>
      </w:divBdr>
    </w:div>
    <w:div w:id="1714231361">
      <w:bodyDiv w:val="1"/>
      <w:marLeft w:val="0"/>
      <w:marRight w:val="0"/>
      <w:marTop w:val="0"/>
      <w:marBottom w:val="0"/>
      <w:divBdr>
        <w:top w:val="none" w:sz="0" w:space="0" w:color="auto"/>
        <w:left w:val="none" w:sz="0" w:space="0" w:color="auto"/>
        <w:bottom w:val="none" w:sz="0" w:space="0" w:color="auto"/>
        <w:right w:val="none" w:sz="0" w:space="0" w:color="auto"/>
      </w:divBdr>
    </w:div>
    <w:div w:id="1714964944">
      <w:bodyDiv w:val="1"/>
      <w:marLeft w:val="0"/>
      <w:marRight w:val="0"/>
      <w:marTop w:val="0"/>
      <w:marBottom w:val="0"/>
      <w:divBdr>
        <w:top w:val="none" w:sz="0" w:space="0" w:color="auto"/>
        <w:left w:val="none" w:sz="0" w:space="0" w:color="auto"/>
        <w:bottom w:val="none" w:sz="0" w:space="0" w:color="auto"/>
        <w:right w:val="none" w:sz="0" w:space="0" w:color="auto"/>
      </w:divBdr>
    </w:div>
    <w:div w:id="1715344021">
      <w:bodyDiv w:val="1"/>
      <w:marLeft w:val="0"/>
      <w:marRight w:val="0"/>
      <w:marTop w:val="0"/>
      <w:marBottom w:val="0"/>
      <w:divBdr>
        <w:top w:val="none" w:sz="0" w:space="0" w:color="auto"/>
        <w:left w:val="none" w:sz="0" w:space="0" w:color="auto"/>
        <w:bottom w:val="none" w:sz="0" w:space="0" w:color="auto"/>
        <w:right w:val="none" w:sz="0" w:space="0" w:color="auto"/>
      </w:divBdr>
    </w:div>
    <w:div w:id="1715619486">
      <w:bodyDiv w:val="1"/>
      <w:marLeft w:val="0"/>
      <w:marRight w:val="0"/>
      <w:marTop w:val="0"/>
      <w:marBottom w:val="0"/>
      <w:divBdr>
        <w:top w:val="none" w:sz="0" w:space="0" w:color="auto"/>
        <w:left w:val="none" w:sz="0" w:space="0" w:color="auto"/>
        <w:bottom w:val="none" w:sz="0" w:space="0" w:color="auto"/>
        <w:right w:val="none" w:sz="0" w:space="0" w:color="auto"/>
      </w:divBdr>
    </w:div>
    <w:div w:id="1718889855">
      <w:bodyDiv w:val="1"/>
      <w:marLeft w:val="0"/>
      <w:marRight w:val="0"/>
      <w:marTop w:val="0"/>
      <w:marBottom w:val="0"/>
      <w:divBdr>
        <w:top w:val="none" w:sz="0" w:space="0" w:color="auto"/>
        <w:left w:val="none" w:sz="0" w:space="0" w:color="auto"/>
        <w:bottom w:val="none" w:sz="0" w:space="0" w:color="auto"/>
        <w:right w:val="none" w:sz="0" w:space="0" w:color="auto"/>
      </w:divBdr>
    </w:div>
    <w:div w:id="1719814738">
      <w:bodyDiv w:val="1"/>
      <w:marLeft w:val="0"/>
      <w:marRight w:val="0"/>
      <w:marTop w:val="0"/>
      <w:marBottom w:val="0"/>
      <w:divBdr>
        <w:top w:val="none" w:sz="0" w:space="0" w:color="auto"/>
        <w:left w:val="none" w:sz="0" w:space="0" w:color="auto"/>
        <w:bottom w:val="none" w:sz="0" w:space="0" w:color="auto"/>
        <w:right w:val="none" w:sz="0" w:space="0" w:color="auto"/>
      </w:divBdr>
    </w:div>
    <w:div w:id="1720283674">
      <w:bodyDiv w:val="1"/>
      <w:marLeft w:val="0"/>
      <w:marRight w:val="0"/>
      <w:marTop w:val="0"/>
      <w:marBottom w:val="0"/>
      <w:divBdr>
        <w:top w:val="none" w:sz="0" w:space="0" w:color="auto"/>
        <w:left w:val="none" w:sz="0" w:space="0" w:color="auto"/>
        <w:bottom w:val="none" w:sz="0" w:space="0" w:color="auto"/>
        <w:right w:val="none" w:sz="0" w:space="0" w:color="auto"/>
      </w:divBdr>
    </w:div>
    <w:div w:id="1720476861">
      <w:bodyDiv w:val="1"/>
      <w:marLeft w:val="0"/>
      <w:marRight w:val="0"/>
      <w:marTop w:val="0"/>
      <w:marBottom w:val="0"/>
      <w:divBdr>
        <w:top w:val="none" w:sz="0" w:space="0" w:color="auto"/>
        <w:left w:val="none" w:sz="0" w:space="0" w:color="auto"/>
        <w:bottom w:val="none" w:sz="0" w:space="0" w:color="auto"/>
        <w:right w:val="none" w:sz="0" w:space="0" w:color="auto"/>
      </w:divBdr>
    </w:div>
    <w:div w:id="1720862045">
      <w:bodyDiv w:val="1"/>
      <w:marLeft w:val="0"/>
      <w:marRight w:val="0"/>
      <w:marTop w:val="0"/>
      <w:marBottom w:val="0"/>
      <w:divBdr>
        <w:top w:val="none" w:sz="0" w:space="0" w:color="auto"/>
        <w:left w:val="none" w:sz="0" w:space="0" w:color="auto"/>
        <w:bottom w:val="none" w:sz="0" w:space="0" w:color="auto"/>
        <w:right w:val="none" w:sz="0" w:space="0" w:color="auto"/>
      </w:divBdr>
    </w:div>
    <w:div w:id="1720979042">
      <w:bodyDiv w:val="1"/>
      <w:marLeft w:val="0"/>
      <w:marRight w:val="0"/>
      <w:marTop w:val="0"/>
      <w:marBottom w:val="0"/>
      <w:divBdr>
        <w:top w:val="none" w:sz="0" w:space="0" w:color="auto"/>
        <w:left w:val="none" w:sz="0" w:space="0" w:color="auto"/>
        <w:bottom w:val="none" w:sz="0" w:space="0" w:color="auto"/>
        <w:right w:val="none" w:sz="0" w:space="0" w:color="auto"/>
      </w:divBdr>
    </w:div>
    <w:div w:id="1721393012">
      <w:bodyDiv w:val="1"/>
      <w:marLeft w:val="0"/>
      <w:marRight w:val="0"/>
      <w:marTop w:val="0"/>
      <w:marBottom w:val="0"/>
      <w:divBdr>
        <w:top w:val="none" w:sz="0" w:space="0" w:color="auto"/>
        <w:left w:val="none" w:sz="0" w:space="0" w:color="auto"/>
        <w:bottom w:val="none" w:sz="0" w:space="0" w:color="auto"/>
        <w:right w:val="none" w:sz="0" w:space="0" w:color="auto"/>
      </w:divBdr>
    </w:div>
    <w:div w:id="1723018597">
      <w:bodyDiv w:val="1"/>
      <w:marLeft w:val="0"/>
      <w:marRight w:val="0"/>
      <w:marTop w:val="0"/>
      <w:marBottom w:val="0"/>
      <w:divBdr>
        <w:top w:val="none" w:sz="0" w:space="0" w:color="auto"/>
        <w:left w:val="none" w:sz="0" w:space="0" w:color="auto"/>
        <w:bottom w:val="none" w:sz="0" w:space="0" w:color="auto"/>
        <w:right w:val="none" w:sz="0" w:space="0" w:color="auto"/>
      </w:divBdr>
    </w:div>
    <w:div w:id="1723367367">
      <w:bodyDiv w:val="1"/>
      <w:marLeft w:val="0"/>
      <w:marRight w:val="0"/>
      <w:marTop w:val="0"/>
      <w:marBottom w:val="0"/>
      <w:divBdr>
        <w:top w:val="none" w:sz="0" w:space="0" w:color="auto"/>
        <w:left w:val="none" w:sz="0" w:space="0" w:color="auto"/>
        <w:bottom w:val="none" w:sz="0" w:space="0" w:color="auto"/>
        <w:right w:val="none" w:sz="0" w:space="0" w:color="auto"/>
      </w:divBdr>
    </w:div>
    <w:div w:id="1723603502">
      <w:bodyDiv w:val="1"/>
      <w:marLeft w:val="0"/>
      <w:marRight w:val="0"/>
      <w:marTop w:val="0"/>
      <w:marBottom w:val="0"/>
      <w:divBdr>
        <w:top w:val="none" w:sz="0" w:space="0" w:color="auto"/>
        <w:left w:val="none" w:sz="0" w:space="0" w:color="auto"/>
        <w:bottom w:val="none" w:sz="0" w:space="0" w:color="auto"/>
        <w:right w:val="none" w:sz="0" w:space="0" w:color="auto"/>
      </w:divBdr>
    </w:div>
    <w:div w:id="1723627997">
      <w:bodyDiv w:val="1"/>
      <w:marLeft w:val="0"/>
      <w:marRight w:val="0"/>
      <w:marTop w:val="0"/>
      <w:marBottom w:val="0"/>
      <w:divBdr>
        <w:top w:val="none" w:sz="0" w:space="0" w:color="auto"/>
        <w:left w:val="none" w:sz="0" w:space="0" w:color="auto"/>
        <w:bottom w:val="none" w:sz="0" w:space="0" w:color="auto"/>
        <w:right w:val="none" w:sz="0" w:space="0" w:color="auto"/>
      </w:divBdr>
    </w:div>
    <w:div w:id="1723796018">
      <w:bodyDiv w:val="1"/>
      <w:marLeft w:val="0"/>
      <w:marRight w:val="0"/>
      <w:marTop w:val="0"/>
      <w:marBottom w:val="0"/>
      <w:divBdr>
        <w:top w:val="none" w:sz="0" w:space="0" w:color="auto"/>
        <w:left w:val="none" w:sz="0" w:space="0" w:color="auto"/>
        <w:bottom w:val="none" w:sz="0" w:space="0" w:color="auto"/>
        <w:right w:val="none" w:sz="0" w:space="0" w:color="auto"/>
      </w:divBdr>
    </w:div>
    <w:div w:id="1724015077">
      <w:bodyDiv w:val="1"/>
      <w:marLeft w:val="0"/>
      <w:marRight w:val="0"/>
      <w:marTop w:val="0"/>
      <w:marBottom w:val="0"/>
      <w:divBdr>
        <w:top w:val="none" w:sz="0" w:space="0" w:color="auto"/>
        <w:left w:val="none" w:sz="0" w:space="0" w:color="auto"/>
        <w:bottom w:val="none" w:sz="0" w:space="0" w:color="auto"/>
        <w:right w:val="none" w:sz="0" w:space="0" w:color="auto"/>
      </w:divBdr>
    </w:div>
    <w:div w:id="1724333282">
      <w:bodyDiv w:val="1"/>
      <w:marLeft w:val="0"/>
      <w:marRight w:val="0"/>
      <w:marTop w:val="0"/>
      <w:marBottom w:val="0"/>
      <w:divBdr>
        <w:top w:val="none" w:sz="0" w:space="0" w:color="auto"/>
        <w:left w:val="none" w:sz="0" w:space="0" w:color="auto"/>
        <w:bottom w:val="none" w:sz="0" w:space="0" w:color="auto"/>
        <w:right w:val="none" w:sz="0" w:space="0" w:color="auto"/>
      </w:divBdr>
    </w:div>
    <w:div w:id="1725059278">
      <w:bodyDiv w:val="1"/>
      <w:marLeft w:val="0"/>
      <w:marRight w:val="0"/>
      <w:marTop w:val="0"/>
      <w:marBottom w:val="0"/>
      <w:divBdr>
        <w:top w:val="none" w:sz="0" w:space="0" w:color="auto"/>
        <w:left w:val="none" w:sz="0" w:space="0" w:color="auto"/>
        <w:bottom w:val="none" w:sz="0" w:space="0" w:color="auto"/>
        <w:right w:val="none" w:sz="0" w:space="0" w:color="auto"/>
      </w:divBdr>
    </w:div>
    <w:div w:id="1726876968">
      <w:bodyDiv w:val="1"/>
      <w:marLeft w:val="0"/>
      <w:marRight w:val="0"/>
      <w:marTop w:val="0"/>
      <w:marBottom w:val="0"/>
      <w:divBdr>
        <w:top w:val="none" w:sz="0" w:space="0" w:color="auto"/>
        <w:left w:val="none" w:sz="0" w:space="0" w:color="auto"/>
        <w:bottom w:val="none" w:sz="0" w:space="0" w:color="auto"/>
        <w:right w:val="none" w:sz="0" w:space="0" w:color="auto"/>
      </w:divBdr>
    </w:div>
    <w:div w:id="1728064976">
      <w:bodyDiv w:val="1"/>
      <w:marLeft w:val="0"/>
      <w:marRight w:val="0"/>
      <w:marTop w:val="0"/>
      <w:marBottom w:val="0"/>
      <w:divBdr>
        <w:top w:val="none" w:sz="0" w:space="0" w:color="auto"/>
        <w:left w:val="none" w:sz="0" w:space="0" w:color="auto"/>
        <w:bottom w:val="none" w:sz="0" w:space="0" w:color="auto"/>
        <w:right w:val="none" w:sz="0" w:space="0" w:color="auto"/>
      </w:divBdr>
    </w:div>
    <w:div w:id="1729067818">
      <w:bodyDiv w:val="1"/>
      <w:marLeft w:val="0"/>
      <w:marRight w:val="0"/>
      <w:marTop w:val="0"/>
      <w:marBottom w:val="0"/>
      <w:divBdr>
        <w:top w:val="none" w:sz="0" w:space="0" w:color="auto"/>
        <w:left w:val="none" w:sz="0" w:space="0" w:color="auto"/>
        <w:bottom w:val="none" w:sz="0" w:space="0" w:color="auto"/>
        <w:right w:val="none" w:sz="0" w:space="0" w:color="auto"/>
      </w:divBdr>
    </w:div>
    <w:div w:id="1730304579">
      <w:bodyDiv w:val="1"/>
      <w:marLeft w:val="0"/>
      <w:marRight w:val="0"/>
      <w:marTop w:val="0"/>
      <w:marBottom w:val="0"/>
      <w:divBdr>
        <w:top w:val="none" w:sz="0" w:space="0" w:color="auto"/>
        <w:left w:val="none" w:sz="0" w:space="0" w:color="auto"/>
        <w:bottom w:val="none" w:sz="0" w:space="0" w:color="auto"/>
        <w:right w:val="none" w:sz="0" w:space="0" w:color="auto"/>
      </w:divBdr>
    </w:div>
    <w:div w:id="1730372807">
      <w:bodyDiv w:val="1"/>
      <w:marLeft w:val="0"/>
      <w:marRight w:val="0"/>
      <w:marTop w:val="0"/>
      <w:marBottom w:val="0"/>
      <w:divBdr>
        <w:top w:val="none" w:sz="0" w:space="0" w:color="auto"/>
        <w:left w:val="none" w:sz="0" w:space="0" w:color="auto"/>
        <w:bottom w:val="none" w:sz="0" w:space="0" w:color="auto"/>
        <w:right w:val="none" w:sz="0" w:space="0" w:color="auto"/>
      </w:divBdr>
    </w:div>
    <w:div w:id="1730376367">
      <w:bodyDiv w:val="1"/>
      <w:marLeft w:val="0"/>
      <w:marRight w:val="0"/>
      <w:marTop w:val="0"/>
      <w:marBottom w:val="0"/>
      <w:divBdr>
        <w:top w:val="none" w:sz="0" w:space="0" w:color="auto"/>
        <w:left w:val="none" w:sz="0" w:space="0" w:color="auto"/>
        <w:bottom w:val="none" w:sz="0" w:space="0" w:color="auto"/>
        <w:right w:val="none" w:sz="0" w:space="0" w:color="auto"/>
      </w:divBdr>
    </w:div>
    <w:div w:id="1730615593">
      <w:bodyDiv w:val="1"/>
      <w:marLeft w:val="0"/>
      <w:marRight w:val="0"/>
      <w:marTop w:val="0"/>
      <w:marBottom w:val="0"/>
      <w:divBdr>
        <w:top w:val="none" w:sz="0" w:space="0" w:color="auto"/>
        <w:left w:val="none" w:sz="0" w:space="0" w:color="auto"/>
        <w:bottom w:val="none" w:sz="0" w:space="0" w:color="auto"/>
        <w:right w:val="none" w:sz="0" w:space="0" w:color="auto"/>
      </w:divBdr>
    </w:div>
    <w:div w:id="1731465266">
      <w:bodyDiv w:val="1"/>
      <w:marLeft w:val="0"/>
      <w:marRight w:val="0"/>
      <w:marTop w:val="0"/>
      <w:marBottom w:val="0"/>
      <w:divBdr>
        <w:top w:val="none" w:sz="0" w:space="0" w:color="auto"/>
        <w:left w:val="none" w:sz="0" w:space="0" w:color="auto"/>
        <w:bottom w:val="none" w:sz="0" w:space="0" w:color="auto"/>
        <w:right w:val="none" w:sz="0" w:space="0" w:color="auto"/>
      </w:divBdr>
    </w:div>
    <w:div w:id="1731465289">
      <w:bodyDiv w:val="1"/>
      <w:marLeft w:val="0"/>
      <w:marRight w:val="0"/>
      <w:marTop w:val="0"/>
      <w:marBottom w:val="0"/>
      <w:divBdr>
        <w:top w:val="none" w:sz="0" w:space="0" w:color="auto"/>
        <w:left w:val="none" w:sz="0" w:space="0" w:color="auto"/>
        <w:bottom w:val="none" w:sz="0" w:space="0" w:color="auto"/>
        <w:right w:val="none" w:sz="0" w:space="0" w:color="auto"/>
      </w:divBdr>
    </w:div>
    <w:div w:id="1732727715">
      <w:bodyDiv w:val="1"/>
      <w:marLeft w:val="0"/>
      <w:marRight w:val="0"/>
      <w:marTop w:val="0"/>
      <w:marBottom w:val="0"/>
      <w:divBdr>
        <w:top w:val="none" w:sz="0" w:space="0" w:color="auto"/>
        <w:left w:val="none" w:sz="0" w:space="0" w:color="auto"/>
        <w:bottom w:val="none" w:sz="0" w:space="0" w:color="auto"/>
        <w:right w:val="none" w:sz="0" w:space="0" w:color="auto"/>
      </w:divBdr>
    </w:div>
    <w:div w:id="1734429279">
      <w:bodyDiv w:val="1"/>
      <w:marLeft w:val="0"/>
      <w:marRight w:val="0"/>
      <w:marTop w:val="0"/>
      <w:marBottom w:val="0"/>
      <w:divBdr>
        <w:top w:val="none" w:sz="0" w:space="0" w:color="auto"/>
        <w:left w:val="none" w:sz="0" w:space="0" w:color="auto"/>
        <w:bottom w:val="none" w:sz="0" w:space="0" w:color="auto"/>
        <w:right w:val="none" w:sz="0" w:space="0" w:color="auto"/>
      </w:divBdr>
    </w:div>
    <w:div w:id="1734960154">
      <w:bodyDiv w:val="1"/>
      <w:marLeft w:val="0"/>
      <w:marRight w:val="0"/>
      <w:marTop w:val="0"/>
      <w:marBottom w:val="0"/>
      <w:divBdr>
        <w:top w:val="none" w:sz="0" w:space="0" w:color="auto"/>
        <w:left w:val="none" w:sz="0" w:space="0" w:color="auto"/>
        <w:bottom w:val="none" w:sz="0" w:space="0" w:color="auto"/>
        <w:right w:val="none" w:sz="0" w:space="0" w:color="auto"/>
      </w:divBdr>
    </w:div>
    <w:div w:id="1736008126">
      <w:bodyDiv w:val="1"/>
      <w:marLeft w:val="0"/>
      <w:marRight w:val="0"/>
      <w:marTop w:val="0"/>
      <w:marBottom w:val="0"/>
      <w:divBdr>
        <w:top w:val="none" w:sz="0" w:space="0" w:color="auto"/>
        <w:left w:val="none" w:sz="0" w:space="0" w:color="auto"/>
        <w:bottom w:val="none" w:sz="0" w:space="0" w:color="auto"/>
        <w:right w:val="none" w:sz="0" w:space="0" w:color="auto"/>
      </w:divBdr>
    </w:div>
    <w:div w:id="1736195486">
      <w:bodyDiv w:val="1"/>
      <w:marLeft w:val="0"/>
      <w:marRight w:val="0"/>
      <w:marTop w:val="0"/>
      <w:marBottom w:val="0"/>
      <w:divBdr>
        <w:top w:val="none" w:sz="0" w:space="0" w:color="auto"/>
        <w:left w:val="none" w:sz="0" w:space="0" w:color="auto"/>
        <w:bottom w:val="none" w:sz="0" w:space="0" w:color="auto"/>
        <w:right w:val="none" w:sz="0" w:space="0" w:color="auto"/>
      </w:divBdr>
    </w:div>
    <w:div w:id="1736389593">
      <w:bodyDiv w:val="1"/>
      <w:marLeft w:val="0"/>
      <w:marRight w:val="0"/>
      <w:marTop w:val="0"/>
      <w:marBottom w:val="0"/>
      <w:divBdr>
        <w:top w:val="none" w:sz="0" w:space="0" w:color="auto"/>
        <w:left w:val="none" w:sz="0" w:space="0" w:color="auto"/>
        <w:bottom w:val="none" w:sz="0" w:space="0" w:color="auto"/>
        <w:right w:val="none" w:sz="0" w:space="0" w:color="auto"/>
      </w:divBdr>
    </w:div>
    <w:div w:id="1736968978">
      <w:bodyDiv w:val="1"/>
      <w:marLeft w:val="0"/>
      <w:marRight w:val="0"/>
      <w:marTop w:val="0"/>
      <w:marBottom w:val="0"/>
      <w:divBdr>
        <w:top w:val="none" w:sz="0" w:space="0" w:color="auto"/>
        <w:left w:val="none" w:sz="0" w:space="0" w:color="auto"/>
        <w:bottom w:val="none" w:sz="0" w:space="0" w:color="auto"/>
        <w:right w:val="none" w:sz="0" w:space="0" w:color="auto"/>
      </w:divBdr>
    </w:div>
    <w:div w:id="1736976719">
      <w:bodyDiv w:val="1"/>
      <w:marLeft w:val="0"/>
      <w:marRight w:val="0"/>
      <w:marTop w:val="0"/>
      <w:marBottom w:val="0"/>
      <w:divBdr>
        <w:top w:val="none" w:sz="0" w:space="0" w:color="auto"/>
        <w:left w:val="none" w:sz="0" w:space="0" w:color="auto"/>
        <w:bottom w:val="none" w:sz="0" w:space="0" w:color="auto"/>
        <w:right w:val="none" w:sz="0" w:space="0" w:color="auto"/>
      </w:divBdr>
    </w:div>
    <w:div w:id="1740010009">
      <w:bodyDiv w:val="1"/>
      <w:marLeft w:val="0"/>
      <w:marRight w:val="0"/>
      <w:marTop w:val="0"/>
      <w:marBottom w:val="0"/>
      <w:divBdr>
        <w:top w:val="none" w:sz="0" w:space="0" w:color="auto"/>
        <w:left w:val="none" w:sz="0" w:space="0" w:color="auto"/>
        <w:bottom w:val="none" w:sz="0" w:space="0" w:color="auto"/>
        <w:right w:val="none" w:sz="0" w:space="0" w:color="auto"/>
      </w:divBdr>
    </w:div>
    <w:div w:id="1740400255">
      <w:bodyDiv w:val="1"/>
      <w:marLeft w:val="0"/>
      <w:marRight w:val="0"/>
      <w:marTop w:val="0"/>
      <w:marBottom w:val="0"/>
      <w:divBdr>
        <w:top w:val="none" w:sz="0" w:space="0" w:color="auto"/>
        <w:left w:val="none" w:sz="0" w:space="0" w:color="auto"/>
        <w:bottom w:val="none" w:sz="0" w:space="0" w:color="auto"/>
        <w:right w:val="none" w:sz="0" w:space="0" w:color="auto"/>
      </w:divBdr>
    </w:div>
    <w:div w:id="1740470897">
      <w:bodyDiv w:val="1"/>
      <w:marLeft w:val="0"/>
      <w:marRight w:val="0"/>
      <w:marTop w:val="0"/>
      <w:marBottom w:val="0"/>
      <w:divBdr>
        <w:top w:val="none" w:sz="0" w:space="0" w:color="auto"/>
        <w:left w:val="none" w:sz="0" w:space="0" w:color="auto"/>
        <w:bottom w:val="none" w:sz="0" w:space="0" w:color="auto"/>
        <w:right w:val="none" w:sz="0" w:space="0" w:color="auto"/>
      </w:divBdr>
    </w:div>
    <w:div w:id="1740593885">
      <w:bodyDiv w:val="1"/>
      <w:marLeft w:val="0"/>
      <w:marRight w:val="0"/>
      <w:marTop w:val="0"/>
      <w:marBottom w:val="0"/>
      <w:divBdr>
        <w:top w:val="none" w:sz="0" w:space="0" w:color="auto"/>
        <w:left w:val="none" w:sz="0" w:space="0" w:color="auto"/>
        <w:bottom w:val="none" w:sz="0" w:space="0" w:color="auto"/>
        <w:right w:val="none" w:sz="0" w:space="0" w:color="auto"/>
      </w:divBdr>
    </w:div>
    <w:div w:id="1741976089">
      <w:bodyDiv w:val="1"/>
      <w:marLeft w:val="0"/>
      <w:marRight w:val="0"/>
      <w:marTop w:val="0"/>
      <w:marBottom w:val="0"/>
      <w:divBdr>
        <w:top w:val="none" w:sz="0" w:space="0" w:color="auto"/>
        <w:left w:val="none" w:sz="0" w:space="0" w:color="auto"/>
        <w:bottom w:val="none" w:sz="0" w:space="0" w:color="auto"/>
        <w:right w:val="none" w:sz="0" w:space="0" w:color="auto"/>
      </w:divBdr>
    </w:div>
    <w:div w:id="1743526947">
      <w:bodyDiv w:val="1"/>
      <w:marLeft w:val="0"/>
      <w:marRight w:val="0"/>
      <w:marTop w:val="0"/>
      <w:marBottom w:val="0"/>
      <w:divBdr>
        <w:top w:val="none" w:sz="0" w:space="0" w:color="auto"/>
        <w:left w:val="none" w:sz="0" w:space="0" w:color="auto"/>
        <w:bottom w:val="none" w:sz="0" w:space="0" w:color="auto"/>
        <w:right w:val="none" w:sz="0" w:space="0" w:color="auto"/>
      </w:divBdr>
    </w:div>
    <w:div w:id="1743795809">
      <w:bodyDiv w:val="1"/>
      <w:marLeft w:val="0"/>
      <w:marRight w:val="0"/>
      <w:marTop w:val="0"/>
      <w:marBottom w:val="0"/>
      <w:divBdr>
        <w:top w:val="none" w:sz="0" w:space="0" w:color="auto"/>
        <w:left w:val="none" w:sz="0" w:space="0" w:color="auto"/>
        <w:bottom w:val="none" w:sz="0" w:space="0" w:color="auto"/>
        <w:right w:val="none" w:sz="0" w:space="0" w:color="auto"/>
      </w:divBdr>
    </w:div>
    <w:div w:id="1745058901">
      <w:bodyDiv w:val="1"/>
      <w:marLeft w:val="0"/>
      <w:marRight w:val="0"/>
      <w:marTop w:val="0"/>
      <w:marBottom w:val="0"/>
      <w:divBdr>
        <w:top w:val="none" w:sz="0" w:space="0" w:color="auto"/>
        <w:left w:val="none" w:sz="0" w:space="0" w:color="auto"/>
        <w:bottom w:val="none" w:sz="0" w:space="0" w:color="auto"/>
        <w:right w:val="none" w:sz="0" w:space="0" w:color="auto"/>
      </w:divBdr>
    </w:div>
    <w:div w:id="1745643809">
      <w:bodyDiv w:val="1"/>
      <w:marLeft w:val="0"/>
      <w:marRight w:val="0"/>
      <w:marTop w:val="0"/>
      <w:marBottom w:val="0"/>
      <w:divBdr>
        <w:top w:val="none" w:sz="0" w:space="0" w:color="auto"/>
        <w:left w:val="none" w:sz="0" w:space="0" w:color="auto"/>
        <w:bottom w:val="none" w:sz="0" w:space="0" w:color="auto"/>
        <w:right w:val="none" w:sz="0" w:space="0" w:color="auto"/>
      </w:divBdr>
    </w:div>
    <w:div w:id="1746031101">
      <w:bodyDiv w:val="1"/>
      <w:marLeft w:val="0"/>
      <w:marRight w:val="0"/>
      <w:marTop w:val="0"/>
      <w:marBottom w:val="0"/>
      <w:divBdr>
        <w:top w:val="none" w:sz="0" w:space="0" w:color="auto"/>
        <w:left w:val="none" w:sz="0" w:space="0" w:color="auto"/>
        <w:bottom w:val="none" w:sz="0" w:space="0" w:color="auto"/>
        <w:right w:val="none" w:sz="0" w:space="0" w:color="auto"/>
      </w:divBdr>
    </w:div>
    <w:div w:id="1746413497">
      <w:bodyDiv w:val="1"/>
      <w:marLeft w:val="0"/>
      <w:marRight w:val="0"/>
      <w:marTop w:val="0"/>
      <w:marBottom w:val="0"/>
      <w:divBdr>
        <w:top w:val="none" w:sz="0" w:space="0" w:color="auto"/>
        <w:left w:val="none" w:sz="0" w:space="0" w:color="auto"/>
        <w:bottom w:val="none" w:sz="0" w:space="0" w:color="auto"/>
        <w:right w:val="none" w:sz="0" w:space="0" w:color="auto"/>
      </w:divBdr>
    </w:div>
    <w:div w:id="1746417686">
      <w:bodyDiv w:val="1"/>
      <w:marLeft w:val="0"/>
      <w:marRight w:val="0"/>
      <w:marTop w:val="0"/>
      <w:marBottom w:val="0"/>
      <w:divBdr>
        <w:top w:val="none" w:sz="0" w:space="0" w:color="auto"/>
        <w:left w:val="none" w:sz="0" w:space="0" w:color="auto"/>
        <w:bottom w:val="none" w:sz="0" w:space="0" w:color="auto"/>
        <w:right w:val="none" w:sz="0" w:space="0" w:color="auto"/>
      </w:divBdr>
    </w:div>
    <w:div w:id="1747678552">
      <w:bodyDiv w:val="1"/>
      <w:marLeft w:val="0"/>
      <w:marRight w:val="0"/>
      <w:marTop w:val="0"/>
      <w:marBottom w:val="0"/>
      <w:divBdr>
        <w:top w:val="none" w:sz="0" w:space="0" w:color="auto"/>
        <w:left w:val="none" w:sz="0" w:space="0" w:color="auto"/>
        <w:bottom w:val="none" w:sz="0" w:space="0" w:color="auto"/>
        <w:right w:val="none" w:sz="0" w:space="0" w:color="auto"/>
      </w:divBdr>
    </w:div>
    <w:div w:id="1748454507">
      <w:bodyDiv w:val="1"/>
      <w:marLeft w:val="0"/>
      <w:marRight w:val="0"/>
      <w:marTop w:val="0"/>
      <w:marBottom w:val="0"/>
      <w:divBdr>
        <w:top w:val="none" w:sz="0" w:space="0" w:color="auto"/>
        <w:left w:val="none" w:sz="0" w:space="0" w:color="auto"/>
        <w:bottom w:val="none" w:sz="0" w:space="0" w:color="auto"/>
        <w:right w:val="none" w:sz="0" w:space="0" w:color="auto"/>
      </w:divBdr>
    </w:div>
    <w:div w:id="1748648972">
      <w:bodyDiv w:val="1"/>
      <w:marLeft w:val="0"/>
      <w:marRight w:val="0"/>
      <w:marTop w:val="0"/>
      <w:marBottom w:val="0"/>
      <w:divBdr>
        <w:top w:val="none" w:sz="0" w:space="0" w:color="auto"/>
        <w:left w:val="none" w:sz="0" w:space="0" w:color="auto"/>
        <w:bottom w:val="none" w:sz="0" w:space="0" w:color="auto"/>
        <w:right w:val="none" w:sz="0" w:space="0" w:color="auto"/>
      </w:divBdr>
    </w:div>
    <w:div w:id="1748963637">
      <w:bodyDiv w:val="1"/>
      <w:marLeft w:val="0"/>
      <w:marRight w:val="0"/>
      <w:marTop w:val="0"/>
      <w:marBottom w:val="0"/>
      <w:divBdr>
        <w:top w:val="none" w:sz="0" w:space="0" w:color="auto"/>
        <w:left w:val="none" w:sz="0" w:space="0" w:color="auto"/>
        <w:bottom w:val="none" w:sz="0" w:space="0" w:color="auto"/>
        <w:right w:val="none" w:sz="0" w:space="0" w:color="auto"/>
      </w:divBdr>
    </w:div>
    <w:div w:id="1749034888">
      <w:bodyDiv w:val="1"/>
      <w:marLeft w:val="0"/>
      <w:marRight w:val="0"/>
      <w:marTop w:val="0"/>
      <w:marBottom w:val="0"/>
      <w:divBdr>
        <w:top w:val="none" w:sz="0" w:space="0" w:color="auto"/>
        <w:left w:val="none" w:sz="0" w:space="0" w:color="auto"/>
        <w:bottom w:val="none" w:sz="0" w:space="0" w:color="auto"/>
        <w:right w:val="none" w:sz="0" w:space="0" w:color="auto"/>
      </w:divBdr>
    </w:div>
    <w:div w:id="1751384106">
      <w:bodyDiv w:val="1"/>
      <w:marLeft w:val="0"/>
      <w:marRight w:val="0"/>
      <w:marTop w:val="0"/>
      <w:marBottom w:val="0"/>
      <w:divBdr>
        <w:top w:val="none" w:sz="0" w:space="0" w:color="auto"/>
        <w:left w:val="none" w:sz="0" w:space="0" w:color="auto"/>
        <w:bottom w:val="none" w:sz="0" w:space="0" w:color="auto"/>
        <w:right w:val="none" w:sz="0" w:space="0" w:color="auto"/>
      </w:divBdr>
    </w:div>
    <w:div w:id="1751391226">
      <w:bodyDiv w:val="1"/>
      <w:marLeft w:val="0"/>
      <w:marRight w:val="0"/>
      <w:marTop w:val="0"/>
      <w:marBottom w:val="0"/>
      <w:divBdr>
        <w:top w:val="none" w:sz="0" w:space="0" w:color="auto"/>
        <w:left w:val="none" w:sz="0" w:space="0" w:color="auto"/>
        <w:bottom w:val="none" w:sz="0" w:space="0" w:color="auto"/>
        <w:right w:val="none" w:sz="0" w:space="0" w:color="auto"/>
      </w:divBdr>
    </w:div>
    <w:div w:id="1751539182">
      <w:bodyDiv w:val="1"/>
      <w:marLeft w:val="0"/>
      <w:marRight w:val="0"/>
      <w:marTop w:val="0"/>
      <w:marBottom w:val="0"/>
      <w:divBdr>
        <w:top w:val="none" w:sz="0" w:space="0" w:color="auto"/>
        <w:left w:val="none" w:sz="0" w:space="0" w:color="auto"/>
        <w:bottom w:val="none" w:sz="0" w:space="0" w:color="auto"/>
        <w:right w:val="none" w:sz="0" w:space="0" w:color="auto"/>
      </w:divBdr>
    </w:div>
    <w:div w:id="1751612293">
      <w:bodyDiv w:val="1"/>
      <w:marLeft w:val="0"/>
      <w:marRight w:val="0"/>
      <w:marTop w:val="0"/>
      <w:marBottom w:val="0"/>
      <w:divBdr>
        <w:top w:val="none" w:sz="0" w:space="0" w:color="auto"/>
        <w:left w:val="none" w:sz="0" w:space="0" w:color="auto"/>
        <w:bottom w:val="none" w:sz="0" w:space="0" w:color="auto"/>
        <w:right w:val="none" w:sz="0" w:space="0" w:color="auto"/>
      </w:divBdr>
    </w:div>
    <w:div w:id="1751807028">
      <w:bodyDiv w:val="1"/>
      <w:marLeft w:val="0"/>
      <w:marRight w:val="0"/>
      <w:marTop w:val="0"/>
      <w:marBottom w:val="0"/>
      <w:divBdr>
        <w:top w:val="none" w:sz="0" w:space="0" w:color="auto"/>
        <w:left w:val="none" w:sz="0" w:space="0" w:color="auto"/>
        <w:bottom w:val="none" w:sz="0" w:space="0" w:color="auto"/>
        <w:right w:val="none" w:sz="0" w:space="0" w:color="auto"/>
      </w:divBdr>
    </w:div>
    <w:div w:id="1752581610">
      <w:bodyDiv w:val="1"/>
      <w:marLeft w:val="0"/>
      <w:marRight w:val="0"/>
      <w:marTop w:val="0"/>
      <w:marBottom w:val="0"/>
      <w:divBdr>
        <w:top w:val="none" w:sz="0" w:space="0" w:color="auto"/>
        <w:left w:val="none" w:sz="0" w:space="0" w:color="auto"/>
        <w:bottom w:val="none" w:sz="0" w:space="0" w:color="auto"/>
        <w:right w:val="none" w:sz="0" w:space="0" w:color="auto"/>
      </w:divBdr>
    </w:div>
    <w:div w:id="1752697597">
      <w:bodyDiv w:val="1"/>
      <w:marLeft w:val="0"/>
      <w:marRight w:val="0"/>
      <w:marTop w:val="0"/>
      <w:marBottom w:val="0"/>
      <w:divBdr>
        <w:top w:val="none" w:sz="0" w:space="0" w:color="auto"/>
        <w:left w:val="none" w:sz="0" w:space="0" w:color="auto"/>
        <w:bottom w:val="none" w:sz="0" w:space="0" w:color="auto"/>
        <w:right w:val="none" w:sz="0" w:space="0" w:color="auto"/>
      </w:divBdr>
    </w:div>
    <w:div w:id="1753089934">
      <w:bodyDiv w:val="1"/>
      <w:marLeft w:val="0"/>
      <w:marRight w:val="0"/>
      <w:marTop w:val="0"/>
      <w:marBottom w:val="0"/>
      <w:divBdr>
        <w:top w:val="none" w:sz="0" w:space="0" w:color="auto"/>
        <w:left w:val="none" w:sz="0" w:space="0" w:color="auto"/>
        <w:bottom w:val="none" w:sz="0" w:space="0" w:color="auto"/>
        <w:right w:val="none" w:sz="0" w:space="0" w:color="auto"/>
      </w:divBdr>
    </w:div>
    <w:div w:id="1753812092">
      <w:bodyDiv w:val="1"/>
      <w:marLeft w:val="0"/>
      <w:marRight w:val="0"/>
      <w:marTop w:val="0"/>
      <w:marBottom w:val="0"/>
      <w:divBdr>
        <w:top w:val="none" w:sz="0" w:space="0" w:color="auto"/>
        <w:left w:val="none" w:sz="0" w:space="0" w:color="auto"/>
        <w:bottom w:val="none" w:sz="0" w:space="0" w:color="auto"/>
        <w:right w:val="none" w:sz="0" w:space="0" w:color="auto"/>
      </w:divBdr>
    </w:div>
    <w:div w:id="1754158068">
      <w:bodyDiv w:val="1"/>
      <w:marLeft w:val="0"/>
      <w:marRight w:val="0"/>
      <w:marTop w:val="0"/>
      <w:marBottom w:val="0"/>
      <w:divBdr>
        <w:top w:val="none" w:sz="0" w:space="0" w:color="auto"/>
        <w:left w:val="none" w:sz="0" w:space="0" w:color="auto"/>
        <w:bottom w:val="none" w:sz="0" w:space="0" w:color="auto"/>
        <w:right w:val="none" w:sz="0" w:space="0" w:color="auto"/>
      </w:divBdr>
      <w:divsChild>
        <w:div w:id="448158882">
          <w:marLeft w:val="0"/>
          <w:marRight w:val="0"/>
          <w:marTop w:val="0"/>
          <w:marBottom w:val="0"/>
          <w:divBdr>
            <w:top w:val="none" w:sz="0" w:space="0" w:color="auto"/>
            <w:left w:val="none" w:sz="0" w:space="0" w:color="auto"/>
            <w:bottom w:val="none" w:sz="0" w:space="0" w:color="auto"/>
            <w:right w:val="none" w:sz="0" w:space="0" w:color="auto"/>
          </w:divBdr>
          <w:divsChild>
            <w:div w:id="1302493049">
              <w:marLeft w:val="0"/>
              <w:marRight w:val="0"/>
              <w:marTop w:val="0"/>
              <w:marBottom w:val="0"/>
              <w:divBdr>
                <w:top w:val="none" w:sz="0" w:space="0" w:color="auto"/>
                <w:left w:val="none" w:sz="0" w:space="0" w:color="auto"/>
                <w:bottom w:val="none" w:sz="0" w:space="0" w:color="auto"/>
                <w:right w:val="none" w:sz="0" w:space="0" w:color="auto"/>
              </w:divBdr>
              <w:divsChild>
                <w:div w:id="1961302723">
                  <w:marLeft w:val="0"/>
                  <w:marRight w:val="0"/>
                  <w:marTop w:val="0"/>
                  <w:marBottom w:val="0"/>
                  <w:divBdr>
                    <w:top w:val="none" w:sz="0" w:space="0" w:color="auto"/>
                    <w:left w:val="none" w:sz="0" w:space="0" w:color="auto"/>
                    <w:bottom w:val="none" w:sz="0" w:space="0" w:color="auto"/>
                    <w:right w:val="none" w:sz="0" w:space="0" w:color="auto"/>
                  </w:divBdr>
                  <w:divsChild>
                    <w:div w:id="1518614708">
                      <w:marLeft w:val="0"/>
                      <w:marRight w:val="0"/>
                      <w:marTop w:val="0"/>
                      <w:marBottom w:val="0"/>
                      <w:divBdr>
                        <w:top w:val="none" w:sz="0" w:space="0" w:color="auto"/>
                        <w:left w:val="none" w:sz="0" w:space="0" w:color="auto"/>
                        <w:bottom w:val="none" w:sz="0" w:space="0" w:color="auto"/>
                        <w:right w:val="none" w:sz="0" w:space="0" w:color="auto"/>
                      </w:divBdr>
                      <w:divsChild>
                        <w:div w:id="521359348">
                          <w:marLeft w:val="0"/>
                          <w:marRight w:val="0"/>
                          <w:marTop w:val="0"/>
                          <w:marBottom w:val="0"/>
                          <w:divBdr>
                            <w:top w:val="none" w:sz="0" w:space="0" w:color="auto"/>
                            <w:left w:val="none" w:sz="0" w:space="0" w:color="auto"/>
                            <w:bottom w:val="none" w:sz="0" w:space="0" w:color="auto"/>
                            <w:right w:val="none" w:sz="0" w:space="0" w:color="auto"/>
                          </w:divBdr>
                          <w:divsChild>
                            <w:div w:id="1648784560">
                              <w:marLeft w:val="0"/>
                              <w:marRight w:val="0"/>
                              <w:marTop w:val="0"/>
                              <w:marBottom w:val="0"/>
                              <w:divBdr>
                                <w:top w:val="none" w:sz="0" w:space="0" w:color="auto"/>
                                <w:left w:val="none" w:sz="0" w:space="0" w:color="auto"/>
                                <w:bottom w:val="none" w:sz="0" w:space="0" w:color="auto"/>
                                <w:right w:val="none" w:sz="0" w:space="0" w:color="auto"/>
                              </w:divBdr>
                              <w:divsChild>
                                <w:div w:id="880677762">
                                  <w:marLeft w:val="0"/>
                                  <w:marRight w:val="0"/>
                                  <w:marTop w:val="0"/>
                                  <w:marBottom w:val="0"/>
                                  <w:divBdr>
                                    <w:top w:val="none" w:sz="0" w:space="0" w:color="auto"/>
                                    <w:left w:val="none" w:sz="0" w:space="0" w:color="auto"/>
                                    <w:bottom w:val="none" w:sz="0" w:space="0" w:color="auto"/>
                                    <w:right w:val="none" w:sz="0" w:space="0" w:color="auto"/>
                                  </w:divBdr>
                                  <w:divsChild>
                                    <w:div w:id="778642763">
                                      <w:marLeft w:val="0"/>
                                      <w:marRight w:val="0"/>
                                      <w:marTop w:val="0"/>
                                      <w:marBottom w:val="0"/>
                                      <w:divBdr>
                                        <w:top w:val="none" w:sz="0" w:space="0" w:color="auto"/>
                                        <w:left w:val="none" w:sz="0" w:space="0" w:color="auto"/>
                                        <w:bottom w:val="none" w:sz="0" w:space="0" w:color="auto"/>
                                        <w:right w:val="none" w:sz="0" w:space="0" w:color="auto"/>
                                      </w:divBdr>
                                      <w:divsChild>
                                        <w:div w:id="22748894">
                                          <w:marLeft w:val="0"/>
                                          <w:marRight w:val="0"/>
                                          <w:marTop w:val="0"/>
                                          <w:marBottom w:val="0"/>
                                          <w:divBdr>
                                            <w:top w:val="none" w:sz="0" w:space="0" w:color="auto"/>
                                            <w:left w:val="none" w:sz="0" w:space="0" w:color="auto"/>
                                            <w:bottom w:val="none" w:sz="0" w:space="0" w:color="auto"/>
                                            <w:right w:val="none" w:sz="0" w:space="0" w:color="auto"/>
                                          </w:divBdr>
                                          <w:divsChild>
                                            <w:div w:id="9363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4668897">
      <w:bodyDiv w:val="1"/>
      <w:marLeft w:val="0"/>
      <w:marRight w:val="0"/>
      <w:marTop w:val="0"/>
      <w:marBottom w:val="0"/>
      <w:divBdr>
        <w:top w:val="none" w:sz="0" w:space="0" w:color="auto"/>
        <w:left w:val="none" w:sz="0" w:space="0" w:color="auto"/>
        <w:bottom w:val="none" w:sz="0" w:space="0" w:color="auto"/>
        <w:right w:val="none" w:sz="0" w:space="0" w:color="auto"/>
      </w:divBdr>
    </w:div>
    <w:div w:id="1755122261">
      <w:bodyDiv w:val="1"/>
      <w:marLeft w:val="0"/>
      <w:marRight w:val="0"/>
      <w:marTop w:val="0"/>
      <w:marBottom w:val="0"/>
      <w:divBdr>
        <w:top w:val="none" w:sz="0" w:space="0" w:color="auto"/>
        <w:left w:val="none" w:sz="0" w:space="0" w:color="auto"/>
        <w:bottom w:val="none" w:sz="0" w:space="0" w:color="auto"/>
        <w:right w:val="none" w:sz="0" w:space="0" w:color="auto"/>
      </w:divBdr>
    </w:div>
    <w:div w:id="1755320920">
      <w:bodyDiv w:val="1"/>
      <w:marLeft w:val="0"/>
      <w:marRight w:val="0"/>
      <w:marTop w:val="0"/>
      <w:marBottom w:val="0"/>
      <w:divBdr>
        <w:top w:val="none" w:sz="0" w:space="0" w:color="auto"/>
        <w:left w:val="none" w:sz="0" w:space="0" w:color="auto"/>
        <w:bottom w:val="none" w:sz="0" w:space="0" w:color="auto"/>
        <w:right w:val="none" w:sz="0" w:space="0" w:color="auto"/>
      </w:divBdr>
    </w:div>
    <w:div w:id="1755661620">
      <w:bodyDiv w:val="1"/>
      <w:marLeft w:val="0"/>
      <w:marRight w:val="0"/>
      <w:marTop w:val="0"/>
      <w:marBottom w:val="0"/>
      <w:divBdr>
        <w:top w:val="none" w:sz="0" w:space="0" w:color="auto"/>
        <w:left w:val="none" w:sz="0" w:space="0" w:color="auto"/>
        <w:bottom w:val="none" w:sz="0" w:space="0" w:color="auto"/>
        <w:right w:val="none" w:sz="0" w:space="0" w:color="auto"/>
      </w:divBdr>
    </w:div>
    <w:div w:id="1755669152">
      <w:bodyDiv w:val="1"/>
      <w:marLeft w:val="0"/>
      <w:marRight w:val="0"/>
      <w:marTop w:val="0"/>
      <w:marBottom w:val="0"/>
      <w:divBdr>
        <w:top w:val="none" w:sz="0" w:space="0" w:color="auto"/>
        <w:left w:val="none" w:sz="0" w:space="0" w:color="auto"/>
        <w:bottom w:val="none" w:sz="0" w:space="0" w:color="auto"/>
        <w:right w:val="none" w:sz="0" w:space="0" w:color="auto"/>
      </w:divBdr>
    </w:div>
    <w:div w:id="1755977864">
      <w:bodyDiv w:val="1"/>
      <w:marLeft w:val="0"/>
      <w:marRight w:val="0"/>
      <w:marTop w:val="0"/>
      <w:marBottom w:val="0"/>
      <w:divBdr>
        <w:top w:val="none" w:sz="0" w:space="0" w:color="auto"/>
        <w:left w:val="none" w:sz="0" w:space="0" w:color="auto"/>
        <w:bottom w:val="none" w:sz="0" w:space="0" w:color="auto"/>
        <w:right w:val="none" w:sz="0" w:space="0" w:color="auto"/>
      </w:divBdr>
    </w:div>
    <w:div w:id="1756125647">
      <w:bodyDiv w:val="1"/>
      <w:marLeft w:val="0"/>
      <w:marRight w:val="0"/>
      <w:marTop w:val="0"/>
      <w:marBottom w:val="0"/>
      <w:divBdr>
        <w:top w:val="none" w:sz="0" w:space="0" w:color="auto"/>
        <w:left w:val="none" w:sz="0" w:space="0" w:color="auto"/>
        <w:bottom w:val="none" w:sz="0" w:space="0" w:color="auto"/>
        <w:right w:val="none" w:sz="0" w:space="0" w:color="auto"/>
      </w:divBdr>
    </w:div>
    <w:div w:id="1756248867">
      <w:bodyDiv w:val="1"/>
      <w:marLeft w:val="0"/>
      <w:marRight w:val="0"/>
      <w:marTop w:val="0"/>
      <w:marBottom w:val="0"/>
      <w:divBdr>
        <w:top w:val="none" w:sz="0" w:space="0" w:color="auto"/>
        <w:left w:val="none" w:sz="0" w:space="0" w:color="auto"/>
        <w:bottom w:val="none" w:sz="0" w:space="0" w:color="auto"/>
        <w:right w:val="none" w:sz="0" w:space="0" w:color="auto"/>
      </w:divBdr>
    </w:div>
    <w:div w:id="1756709443">
      <w:bodyDiv w:val="1"/>
      <w:marLeft w:val="0"/>
      <w:marRight w:val="0"/>
      <w:marTop w:val="0"/>
      <w:marBottom w:val="0"/>
      <w:divBdr>
        <w:top w:val="none" w:sz="0" w:space="0" w:color="auto"/>
        <w:left w:val="none" w:sz="0" w:space="0" w:color="auto"/>
        <w:bottom w:val="none" w:sz="0" w:space="0" w:color="auto"/>
        <w:right w:val="none" w:sz="0" w:space="0" w:color="auto"/>
      </w:divBdr>
    </w:div>
    <w:div w:id="1756781236">
      <w:bodyDiv w:val="1"/>
      <w:marLeft w:val="0"/>
      <w:marRight w:val="0"/>
      <w:marTop w:val="0"/>
      <w:marBottom w:val="0"/>
      <w:divBdr>
        <w:top w:val="none" w:sz="0" w:space="0" w:color="auto"/>
        <w:left w:val="none" w:sz="0" w:space="0" w:color="auto"/>
        <w:bottom w:val="none" w:sz="0" w:space="0" w:color="auto"/>
        <w:right w:val="none" w:sz="0" w:space="0" w:color="auto"/>
      </w:divBdr>
    </w:div>
    <w:div w:id="1757095181">
      <w:bodyDiv w:val="1"/>
      <w:marLeft w:val="0"/>
      <w:marRight w:val="0"/>
      <w:marTop w:val="0"/>
      <w:marBottom w:val="0"/>
      <w:divBdr>
        <w:top w:val="none" w:sz="0" w:space="0" w:color="auto"/>
        <w:left w:val="none" w:sz="0" w:space="0" w:color="auto"/>
        <w:bottom w:val="none" w:sz="0" w:space="0" w:color="auto"/>
        <w:right w:val="none" w:sz="0" w:space="0" w:color="auto"/>
      </w:divBdr>
    </w:div>
    <w:div w:id="1757821280">
      <w:bodyDiv w:val="1"/>
      <w:marLeft w:val="0"/>
      <w:marRight w:val="0"/>
      <w:marTop w:val="0"/>
      <w:marBottom w:val="0"/>
      <w:divBdr>
        <w:top w:val="none" w:sz="0" w:space="0" w:color="auto"/>
        <w:left w:val="none" w:sz="0" w:space="0" w:color="auto"/>
        <w:bottom w:val="none" w:sz="0" w:space="0" w:color="auto"/>
        <w:right w:val="none" w:sz="0" w:space="0" w:color="auto"/>
      </w:divBdr>
    </w:div>
    <w:div w:id="1758012015">
      <w:bodyDiv w:val="1"/>
      <w:marLeft w:val="0"/>
      <w:marRight w:val="0"/>
      <w:marTop w:val="0"/>
      <w:marBottom w:val="0"/>
      <w:divBdr>
        <w:top w:val="none" w:sz="0" w:space="0" w:color="auto"/>
        <w:left w:val="none" w:sz="0" w:space="0" w:color="auto"/>
        <w:bottom w:val="none" w:sz="0" w:space="0" w:color="auto"/>
        <w:right w:val="none" w:sz="0" w:space="0" w:color="auto"/>
      </w:divBdr>
    </w:div>
    <w:div w:id="1758750510">
      <w:bodyDiv w:val="1"/>
      <w:marLeft w:val="0"/>
      <w:marRight w:val="0"/>
      <w:marTop w:val="0"/>
      <w:marBottom w:val="0"/>
      <w:divBdr>
        <w:top w:val="none" w:sz="0" w:space="0" w:color="auto"/>
        <w:left w:val="none" w:sz="0" w:space="0" w:color="auto"/>
        <w:bottom w:val="none" w:sz="0" w:space="0" w:color="auto"/>
        <w:right w:val="none" w:sz="0" w:space="0" w:color="auto"/>
      </w:divBdr>
    </w:div>
    <w:div w:id="1758821620">
      <w:bodyDiv w:val="1"/>
      <w:marLeft w:val="0"/>
      <w:marRight w:val="0"/>
      <w:marTop w:val="0"/>
      <w:marBottom w:val="0"/>
      <w:divBdr>
        <w:top w:val="none" w:sz="0" w:space="0" w:color="auto"/>
        <w:left w:val="none" w:sz="0" w:space="0" w:color="auto"/>
        <w:bottom w:val="none" w:sz="0" w:space="0" w:color="auto"/>
        <w:right w:val="none" w:sz="0" w:space="0" w:color="auto"/>
      </w:divBdr>
    </w:div>
    <w:div w:id="1759406688">
      <w:bodyDiv w:val="1"/>
      <w:marLeft w:val="0"/>
      <w:marRight w:val="0"/>
      <w:marTop w:val="0"/>
      <w:marBottom w:val="0"/>
      <w:divBdr>
        <w:top w:val="none" w:sz="0" w:space="0" w:color="auto"/>
        <w:left w:val="none" w:sz="0" w:space="0" w:color="auto"/>
        <w:bottom w:val="none" w:sz="0" w:space="0" w:color="auto"/>
        <w:right w:val="none" w:sz="0" w:space="0" w:color="auto"/>
      </w:divBdr>
    </w:div>
    <w:div w:id="1759716103">
      <w:bodyDiv w:val="1"/>
      <w:marLeft w:val="0"/>
      <w:marRight w:val="0"/>
      <w:marTop w:val="0"/>
      <w:marBottom w:val="0"/>
      <w:divBdr>
        <w:top w:val="none" w:sz="0" w:space="0" w:color="auto"/>
        <w:left w:val="none" w:sz="0" w:space="0" w:color="auto"/>
        <w:bottom w:val="none" w:sz="0" w:space="0" w:color="auto"/>
        <w:right w:val="none" w:sz="0" w:space="0" w:color="auto"/>
      </w:divBdr>
    </w:div>
    <w:div w:id="1760562899">
      <w:bodyDiv w:val="1"/>
      <w:marLeft w:val="0"/>
      <w:marRight w:val="0"/>
      <w:marTop w:val="0"/>
      <w:marBottom w:val="0"/>
      <w:divBdr>
        <w:top w:val="none" w:sz="0" w:space="0" w:color="auto"/>
        <w:left w:val="none" w:sz="0" w:space="0" w:color="auto"/>
        <w:bottom w:val="none" w:sz="0" w:space="0" w:color="auto"/>
        <w:right w:val="none" w:sz="0" w:space="0" w:color="auto"/>
      </w:divBdr>
    </w:div>
    <w:div w:id="1760566698">
      <w:bodyDiv w:val="1"/>
      <w:marLeft w:val="0"/>
      <w:marRight w:val="0"/>
      <w:marTop w:val="0"/>
      <w:marBottom w:val="0"/>
      <w:divBdr>
        <w:top w:val="none" w:sz="0" w:space="0" w:color="auto"/>
        <w:left w:val="none" w:sz="0" w:space="0" w:color="auto"/>
        <w:bottom w:val="none" w:sz="0" w:space="0" w:color="auto"/>
        <w:right w:val="none" w:sz="0" w:space="0" w:color="auto"/>
      </w:divBdr>
    </w:div>
    <w:div w:id="1762602761">
      <w:bodyDiv w:val="1"/>
      <w:marLeft w:val="0"/>
      <w:marRight w:val="0"/>
      <w:marTop w:val="0"/>
      <w:marBottom w:val="0"/>
      <w:divBdr>
        <w:top w:val="none" w:sz="0" w:space="0" w:color="auto"/>
        <w:left w:val="none" w:sz="0" w:space="0" w:color="auto"/>
        <w:bottom w:val="none" w:sz="0" w:space="0" w:color="auto"/>
        <w:right w:val="none" w:sz="0" w:space="0" w:color="auto"/>
      </w:divBdr>
    </w:div>
    <w:div w:id="1762604209">
      <w:bodyDiv w:val="1"/>
      <w:marLeft w:val="0"/>
      <w:marRight w:val="0"/>
      <w:marTop w:val="0"/>
      <w:marBottom w:val="0"/>
      <w:divBdr>
        <w:top w:val="none" w:sz="0" w:space="0" w:color="auto"/>
        <w:left w:val="none" w:sz="0" w:space="0" w:color="auto"/>
        <w:bottom w:val="none" w:sz="0" w:space="0" w:color="auto"/>
        <w:right w:val="none" w:sz="0" w:space="0" w:color="auto"/>
      </w:divBdr>
    </w:div>
    <w:div w:id="1762990767">
      <w:bodyDiv w:val="1"/>
      <w:marLeft w:val="0"/>
      <w:marRight w:val="0"/>
      <w:marTop w:val="0"/>
      <w:marBottom w:val="0"/>
      <w:divBdr>
        <w:top w:val="none" w:sz="0" w:space="0" w:color="auto"/>
        <w:left w:val="none" w:sz="0" w:space="0" w:color="auto"/>
        <w:bottom w:val="none" w:sz="0" w:space="0" w:color="auto"/>
        <w:right w:val="none" w:sz="0" w:space="0" w:color="auto"/>
      </w:divBdr>
    </w:div>
    <w:div w:id="1763180662">
      <w:bodyDiv w:val="1"/>
      <w:marLeft w:val="0"/>
      <w:marRight w:val="0"/>
      <w:marTop w:val="0"/>
      <w:marBottom w:val="0"/>
      <w:divBdr>
        <w:top w:val="none" w:sz="0" w:space="0" w:color="auto"/>
        <w:left w:val="none" w:sz="0" w:space="0" w:color="auto"/>
        <w:bottom w:val="none" w:sz="0" w:space="0" w:color="auto"/>
        <w:right w:val="none" w:sz="0" w:space="0" w:color="auto"/>
      </w:divBdr>
    </w:div>
    <w:div w:id="1763918812">
      <w:bodyDiv w:val="1"/>
      <w:marLeft w:val="0"/>
      <w:marRight w:val="0"/>
      <w:marTop w:val="0"/>
      <w:marBottom w:val="0"/>
      <w:divBdr>
        <w:top w:val="none" w:sz="0" w:space="0" w:color="auto"/>
        <w:left w:val="none" w:sz="0" w:space="0" w:color="auto"/>
        <w:bottom w:val="none" w:sz="0" w:space="0" w:color="auto"/>
        <w:right w:val="none" w:sz="0" w:space="0" w:color="auto"/>
      </w:divBdr>
    </w:div>
    <w:div w:id="1764373993">
      <w:bodyDiv w:val="1"/>
      <w:marLeft w:val="0"/>
      <w:marRight w:val="0"/>
      <w:marTop w:val="0"/>
      <w:marBottom w:val="0"/>
      <w:divBdr>
        <w:top w:val="none" w:sz="0" w:space="0" w:color="auto"/>
        <w:left w:val="none" w:sz="0" w:space="0" w:color="auto"/>
        <w:bottom w:val="none" w:sz="0" w:space="0" w:color="auto"/>
        <w:right w:val="none" w:sz="0" w:space="0" w:color="auto"/>
      </w:divBdr>
    </w:div>
    <w:div w:id="1764955678">
      <w:bodyDiv w:val="1"/>
      <w:marLeft w:val="0"/>
      <w:marRight w:val="0"/>
      <w:marTop w:val="0"/>
      <w:marBottom w:val="0"/>
      <w:divBdr>
        <w:top w:val="none" w:sz="0" w:space="0" w:color="auto"/>
        <w:left w:val="none" w:sz="0" w:space="0" w:color="auto"/>
        <w:bottom w:val="none" w:sz="0" w:space="0" w:color="auto"/>
        <w:right w:val="none" w:sz="0" w:space="0" w:color="auto"/>
      </w:divBdr>
    </w:div>
    <w:div w:id="1765879341">
      <w:bodyDiv w:val="1"/>
      <w:marLeft w:val="0"/>
      <w:marRight w:val="0"/>
      <w:marTop w:val="0"/>
      <w:marBottom w:val="0"/>
      <w:divBdr>
        <w:top w:val="none" w:sz="0" w:space="0" w:color="auto"/>
        <w:left w:val="none" w:sz="0" w:space="0" w:color="auto"/>
        <w:bottom w:val="none" w:sz="0" w:space="0" w:color="auto"/>
        <w:right w:val="none" w:sz="0" w:space="0" w:color="auto"/>
      </w:divBdr>
    </w:div>
    <w:div w:id="1766536373">
      <w:bodyDiv w:val="1"/>
      <w:marLeft w:val="0"/>
      <w:marRight w:val="0"/>
      <w:marTop w:val="0"/>
      <w:marBottom w:val="0"/>
      <w:divBdr>
        <w:top w:val="none" w:sz="0" w:space="0" w:color="auto"/>
        <w:left w:val="none" w:sz="0" w:space="0" w:color="auto"/>
        <w:bottom w:val="none" w:sz="0" w:space="0" w:color="auto"/>
        <w:right w:val="none" w:sz="0" w:space="0" w:color="auto"/>
      </w:divBdr>
    </w:div>
    <w:div w:id="1767380326">
      <w:bodyDiv w:val="1"/>
      <w:marLeft w:val="0"/>
      <w:marRight w:val="0"/>
      <w:marTop w:val="0"/>
      <w:marBottom w:val="0"/>
      <w:divBdr>
        <w:top w:val="none" w:sz="0" w:space="0" w:color="auto"/>
        <w:left w:val="none" w:sz="0" w:space="0" w:color="auto"/>
        <w:bottom w:val="none" w:sz="0" w:space="0" w:color="auto"/>
        <w:right w:val="none" w:sz="0" w:space="0" w:color="auto"/>
      </w:divBdr>
    </w:div>
    <w:div w:id="1768111830">
      <w:bodyDiv w:val="1"/>
      <w:marLeft w:val="0"/>
      <w:marRight w:val="0"/>
      <w:marTop w:val="0"/>
      <w:marBottom w:val="0"/>
      <w:divBdr>
        <w:top w:val="none" w:sz="0" w:space="0" w:color="auto"/>
        <w:left w:val="none" w:sz="0" w:space="0" w:color="auto"/>
        <w:bottom w:val="none" w:sz="0" w:space="0" w:color="auto"/>
        <w:right w:val="none" w:sz="0" w:space="0" w:color="auto"/>
      </w:divBdr>
    </w:div>
    <w:div w:id="1768233814">
      <w:bodyDiv w:val="1"/>
      <w:marLeft w:val="0"/>
      <w:marRight w:val="0"/>
      <w:marTop w:val="0"/>
      <w:marBottom w:val="0"/>
      <w:divBdr>
        <w:top w:val="none" w:sz="0" w:space="0" w:color="auto"/>
        <w:left w:val="none" w:sz="0" w:space="0" w:color="auto"/>
        <w:bottom w:val="none" w:sz="0" w:space="0" w:color="auto"/>
        <w:right w:val="none" w:sz="0" w:space="0" w:color="auto"/>
      </w:divBdr>
    </w:div>
    <w:div w:id="1768381541">
      <w:bodyDiv w:val="1"/>
      <w:marLeft w:val="0"/>
      <w:marRight w:val="0"/>
      <w:marTop w:val="0"/>
      <w:marBottom w:val="0"/>
      <w:divBdr>
        <w:top w:val="none" w:sz="0" w:space="0" w:color="auto"/>
        <w:left w:val="none" w:sz="0" w:space="0" w:color="auto"/>
        <w:bottom w:val="none" w:sz="0" w:space="0" w:color="auto"/>
        <w:right w:val="none" w:sz="0" w:space="0" w:color="auto"/>
      </w:divBdr>
    </w:div>
    <w:div w:id="1768456143">
      <w:bodyDiv w:val="1"/>
      <w:marLeft w:val="0"/>
      <w:marRight w:val="0"/>
      <w:marTop w:val="0"/>
      <w:marBottom w:val="0"/>
      <w:divBdr>
        <w:top w:val="none" w:sz="0" w:space="0" w:color="auto"/>
        <w:left w:val="none" w:sz="0" w:space="0" w:color="auto"/>
        <w:bottom w:val="none" w:sz="0" w:space="0" w:color="auto"/>
        <w:right w:val="none" w:sz="0" w:space="0" w:color="auto"/>
      </w:divBdr>
    </w:div>
    <w:div w:id="1768650506">
      <w:bodyDiv w:val="1"/>
      <w:marLeft w:val="0"/>
      <w:marRight w:val="0"/>
      <w:marTop w:val="0"/>
      <w:marBottom w:val="0"/>
      <w:divBdr>
        <w:top w:val="none" w:sz="0" w:space="0" w:color="auto"/>
        <w:left w:val="none" w:sz="0" w:space="0" w:color="auto"/>
        <w:bottom w:val="none" w:sz="0" w:space="0" w:color="auto"/>
        <w:right w:val="none" w:sz="0" w:space="0" w:color="auto"/>
      </w:divBdr>
    </w:div>
    <w:div w:id="1769815240">
      <w:bodyDiv w:val="1"/>
      <w:marLeft w:val="0"/>
      <w:marRight w:val="0"/>
      <w:marTop w:val="0"/>
      <w:marBottom w:val="0"/>
      <w:divBdr>
        <w:top w:val="none" w:sz="0" w:space="0" w:color="auto"/>
        <w:left w:val="none" w:sz="0" w:space="0" w:color="auto"/>
        <w:bottom w:val="none" w:sz="0" w:space="0" w:color="auto"/>
        <w:right w:val="none" w:sz="0" w:space="0" w:color="auto"/>
      </w:divBdr>
    </w:div>
    <w:div w:id="1770658154">
      <w:bodyDiv w:val="1"/>
      <w:marLeft w:val="0"/>
      <w:marRight w:val="0"/>
      <w:marTop w:val="0"/>
      <w:marBottom w:val="0"/>
      <w:divBdr>
        <w:top w:val="none" w:sz="0" w:space="0" w:color="auto"/>
        <w:left w:val="none" w:sz="0" w:space="0" w:color="auto"/>
        <w:bottom w:val="none" w:sz="0" w:space="0" w:color="auto"/>
        <w:right w:val="none" w:sz="0" w:space="0" w:color="auto"/>
      </w:divBdr>
    </w:div>
    <w:div w:id="1771732314">
      <w:bodyDiv w:val="1"/>
      <w:marLeft w:val="0"/>
      <w:marRight w:val="0"/>
      <w:marTop w:val="0"/>
      <w:marBottom w:val="0"/>
      <w:divBdr>
        <w:top w:val="none" w:sz="0" w:space="0" w:color="auto"/>
        <w:left w:val="none" w:sz="0" w:space="0" w:color="auto"/>
        <w:bottom w:val="none" w:sz="0" w:space="0" w:color="auto"/>
        <w:right w:val="none" w:sz="0" w:space="0" w:color="auto"/>
      </w:divBdr>
    </w:div>
    <w:div w:id="1773158644">
      <w:bodyDiv w:val="1"/>
      <w:marLeft w:val="0"/>
      <w:marRight w:val="0"/>
      <w:marTop w:val="0"/>
      <w:marBottom w:val="0"/>
      <w:divBdr>
        <w:top w:val="none" w:sz="0" w:space="0" w:color="auto"/>
        <w:left w:val="none" w:sz="0" w:space="0" w:color="auto"/>
        <w:bottom w:val="none" w:sz="0" w:space="0" w:color="auto"/>
        <w:right w:val="none" w:sz="0" w:space="0" w:color="auto"/>
      </w:divBdr>
    </w:div>
    <w:div w:id="1773208696">
      <w:bodyDiv w:val="1"/>
      <w:marLeft w:val="0"/>
      <w:marRight w:val="0"/>
      <w:marTop w:val="0"/>
      <w:marBottom w:val="0"/>
      <w:divBdr>
        <w:top w:val="none" w:sz="0" w:space="0" w:color="auto"/>
        <w:left w:val="none" w:sz="0" w:space="0" w:color="auto"/>
        <w:bottom w:val="none" w:sz="0" w:space="0" w:color="auto"/>
        <w:right w:val="none" w:sz="0" w:space="0" w:color="auto"/>
      </w:divBdr>
    </w:div>
    <w:div w:id="1773472848">
      <w:bodyDiv w:val="1"/>
      <w:marLeft w:val="0"/>
      <w:marRight w:val="0"/>
      <w:marTop w:val="0"/>
      <w:marBottom w:val="0"/>
      <w:divBdr>
        <w:top w:val="none" w:sz="0" w:space="0" w:color="auto"/>
        <w:left w:val="none" w:sz="0" w:space="0" w:color="auto"/>
        <w:bottom w:val="none" w:sz="0" w:space="0" w:color="auto"/>
        <w:right w:val="none" w:sz="0" w:space="0" w:color="auto"/>
      </w:divBdr>
    </w:div>
    <w:div w:id="1773672067">
      <w:bodyDiv w:val="1"/>
      <w:marLeft w:val="0"/>
      <w:marRight w:val="0"/>
      <w:marTop w:val="0"/>
      <w:marBottom w:val="0"/>
      <w:divBdr>
        <w:top w:val="none" w:sz="0" w:space="0" w:color="auto"/>
        <w:left w:val="none" w:sz="0" w:space="0" w:color="auto"/>
        <w:bottom w:val="none" w:sz="0" w:space="0" w:color="auto"/>
        <w:right w:val="none" w:sz="0" w:space="0" w:color="auto"/>
      </w:divBdr>
    </w:div>
    <w:div w:id="1773813710">
      <w:bodyDiv w:val="1"/>
      <w:marLeft w:val="0"/>
      <w:marRight w:val="0"/>
      <w:marTop w:val="0"/>
      <w:marBottom w:val="0"/>
      <w:divBdr>
        <w:top w:val="none" w:sz="0" w:space="0" w:color="auto"/>
        <w:left w:val="none" w:sz="0" w:space="0" w:color="auto"/>
        <w:bottom w:val="none" w:sz="0" w:space="0" w:color="auto"/>
        <w:right w:val="none" w:sz="0" w:space="0" w:color="auto"/>
      </w:divBdr>
    </w:div>
    <w:div w:id="1774012580">
      <w:bodyDiv w:val="1"/>
      <w:marLeft w:val="0"/>
      <w:marRight w:val="0"/>
      <w:marTop w:val="0"/>
      <w:marBottom w:val="0"/>
      <w:divBdr>
        <w:top w:val="none" w:sz="0" w:space="0" w:color="auto"/>
        <w:left w:val="none" w:sz="0" w:space="0" w:color="auto"/>
        <w:bottom w:val="none" w:sz="0" w:space="0" w:color="auto"/>
        <w:right w:val="none" w:sz="0" w:space="0" w:color="auto"/>
      </w:divBdr>
    </w:div>
    <w:div w:id="1776050537">
      <w:bodyDiv w:val="1"/>
      <w:marLeft w:val="0"/>
      <w:marRight w:val="0"/>
      <w:marTop w:val="0"/>
      <w:marBottom w:val="0"/>
      <w:divBdr>
        <w:top w:val="none" w:sz="0" w:space="0" w:color="auto"/>
        <w:left w:val="none" w:sz="0" w:space="0" w:color="auto"/>
        <w:bottom w:val="none" w:sz="0" w:space="0" w:color="auto"/>
        <w:right w:val="none" w:sz="0" w:space="0" w:color="auto"/>
      </w:divBdr>
    </w:div>
    <w:div w:id="1776095573">
      <w:bodyDiv w:val="1"/>
      <w:marLeft w:val="0"/>
      <w:marRight w:val="0"/>
      <w:marTop w:val="0"/>
      <w:marBottom w:val="0"/>
      <w:divBdr>
        <w:top w:val="none" w:sz="0" w:space="0" w:color="auto"/>
        <w:left w:val="none" w:sz="0" w:space="0" w:color="auto"/>
        <w:bottom w:val="none" w:sz="0" w:space="0" w:color="auto"/>
        <w:right w:val="none" w:sz="0" w:space="0" w:color="auto"/>
      </w:divBdr>
    </w:div>
    <w:div w:id="1776511751">
      <w:bodyDiv w:val="1"/>
      <w:marLeft w:val="0"/>
      <w:marRight w:val="0"/>
      <w:marTop w:val="0"/>
      <w:marBottom w:val="0"/>
      <w:divBdr>
        <w:top w:val="none" w:sz="0" w:space="0" w:color="auto"/>
        <w:left w:val="none" w:sz="0" w:space="0" w:color="auto"/>
        <w:bottom w:val="none" w:sz="0" w:space="0" w:color="auto"/>
        <w:right w:val="none" w:sz="0" w:space="0" w:color="auto"/>
      </w:divBdr>
    </w:div>
    <w:div w:id="1777291650">
      <w:bodyDiv w:val="1"/>
      <w:marLeft w:val="0"/>
      <w:marRight w:val="0"/>
      <w:marTop w:val="0"/>
      <w:marBottom w:val="0"/>
      <w:divBdr>
        <w:top w:val="none" w:sz="0" w:space="0" w:color="auto"/>
        <w:left w:val="none" w:sz="0" w:space="0" w:color="auto"/>
        <w:bottom w:val="none" w:sz="0" w:space="0" w:color="auto"/>
        <w:right w:val="none" w:sz="0" w:space="0" w:color="auto"/>
      </w:divBdr>
    </w:div>
    <w:div w:id="1777482166">
      <w:bodyDiv w:val="1"/>
      <w:marLeft w:val="0"/>
      <w:marRight w:val="0"/>
      <w:marTop w:val="0"/>
      <w:marBottom w:val="0"/>
      <w:divBdr>
        <w:top w:val="none" w:sz="0" w:space="0" w:color="auto"/>
        <w:left w:val="none" w:sz="0" w:space="0" w:color="auto"/>
        <w:bottom w:val="none" w:sz="0" w:space="0" w:color="auto"/>
        <w:right w:val="none" w:sz="0" w:space="0" w:color="auto"/>
      </w:divBdr>
    </w:div>
    <w:div w:id="1777753455">
      <w:bodyDiv w:val="1"/>
      <w:marLeft w:val="0"/>
      <w:marRight w:val="0"/>
      <w:marTop w:val="0"/>
      <w:marBottom w:val="0"/>
      <w:divBdr>
        <w:top w:val="none" w:sz="0" w:space="0" w:color="auto"/>
        <w:left w:val="none" w:sz="0" w:space="0" w:color="auto"/>
        <w:bottom w:val="none" w:sz="0" w:space="0" w:color="auto"/>
        <w:right w:val="none" w:sz="0" w:space="0" w:color="auto"/>
      </w:divBdr>
    </w:div>
    <w:div w:id="1778133286">
      <w:bodyDiv w:val="1"/>
      <w:marLeft w:val="0"/>
      <w:marRight w:val="0"/>
      <w:marTop w:val="0"/>
      <w:marBottom w:val="0"/>
      <w:divBdr>
        <w:top w:val="none" w:sz="0" w:space="0" w:color="auto"/>
        <w:left w:val="none" w:sz="0" w:space="0" w:color="auto"/>
        <w:bottom w:val="none" w:sz="0" w:space="0" w:color="auto"/>
        <w:right w:val="none" w:sz="0" w:space="0" w:color="auto"/>
      </w:divBdr>
    </w:div>
    <w:div w:id="1778256562">
      <w:bodyDiv w:val="1"/>
      <w:marLeft w:val="0"/>
      <w:marRight w:val="0"/>
      <w:marTop w:val="0"/>
      <w:marBottom w:val="0"/>
      <w:divBdr>
        <w:top w:val="none" w:sz="0" w:space="0" w:color="auto"/>
        <w:left w:val="none" w:sz="0" w:space="0" w:color="auto"/>
        <w:bottom w:val="none" w:sz="0" w:space="0" w:color="auto"/>
        <w:right w:val="none" w:sz="0" w:space="0" w:color="auto"/>
      </w:divBdr>
    </w:div>
    <w:div w:id="1778406661">
      <w:bodyDiv w:val="1"/>
      <w:marLeft w:val="0"/>
      <w:marRight w:val="0"/>
      <w:marTop w:val="0"/>
      <w:marBottom w:val="0"/>
      <w:divBdr>
        <w:top w:val="none" w:sz="0" w:space="0" w:color="auto"/>
        <w:left w:val="none" w:sz="0" w:space="0" w:color="auto"/>
        <w:bottom w:val="none" w:sz="0" w:space="0" w:color="auto"/>
        <w:right w:val="none" w:sz="0" w:space="0" w:color="auto"/>
      </w:divBdr>
    </w:div>
    <w:div w:id="1779181182">
      <w:bodyDiv w:val="1"/>
      <w:marLeft w:val="0"/>
      <w:marRight w:val="0"/>
      <w:marTop w:val="0"/>
      <w:marBottom w:val="0"/>
      <w:divBdr>
        <w:top w:val="none" w:sz="0" w:space="0" w:color="auto"/>
        <w:left w:val="none" w:sz="0" w:space="0" w:color="auto"/>
        <w:bottom w:val="none" w:sz="0" w:space="0" w:color="auto"/>
        <w:right w:val="none" w:sz="0" w:space="0" w:color="auto"/>
      </w:divBdr>
    </w:div>
    <w:div w:id="1779567780">
      <w:bodyDiv w:val="1"/>
      <w:marLeft w:val="0"/>
      <w:marRight w:val="0"/>
      <w:marTop w:val="0"/>
      <w:marBottom w:val="0"/>
      <w:divBdr>
        <w:top w:val="none" w:sz="0" w:space="0" w:color="auto"/>
        <w:left w:val="none" w:sz="0" w:space="0" w:color="auto"/>
        <w:bottom w:val="none" w:sz="0" w:space="0" w:color="auto"/>
        <w:right w:val="none" w:sz="0" w:space="0" w:color="auto"/>
      </w:divBdr>
    </w:div>
    <w:div w:id="1781728590">
      <w:bodyDiv w:val="1"/>
      <w:marLeft w:val="0"/>
      <w:marRight w:val="0"/>
      <w:marTop w:val="0"/>
      <w:marBottom w:val="0"/>
      <w:divBdr>
        <w:top w:val="none" w:sz="0" w:space="0" w:color="auto"/>
        <w:left w:val="none" w:sz="0" w:space="0" w:color="auto"/>
        <w:bottom w:val="none" w:sz="0" w:space="0" w:color="auto"/>
        <w:right w:val="none" w:sz="0" w:space="0" w:color="auto"/>
      </w:divBdr>
    </w:div>
    <w:div w:id="1781948201">
      <w:bodyDiv w:val="1"/>
      <w:marLeft w:val="0"/>
      <w:marRight w:val="0"/>
      <w:marTop w:val="0"/>
      <w:marBottom w:val="0"/>
      <w:divBdr>
        <w:top w:val="none" w:sz="0" w:space="0" w:color="auto"/>
        <w:left w:val="none" w:sz="0" w:space="0" w:color="auto"/>
        <w:bottom w:val="none" w:sz="0" w:space="0" w:color="auto"/>
        <w:right w:val="none" w:sz="0" w:space="0" w:color="auto"/>
      </w:divBdr>
    </w:div>
    <w:div w:id="1783069886">
      <w:bodyDiv w:val="1"/>
      <w:marLeft w:val="0"/>
      <w:marRight w:val="0"/>
      <w:marTop w:val="0"/>
      <w:marBottom w:val="0"/>
      <w:divBdr>
        <w:top w:val="none" w:sz="0" w:space="0" w:color="auto"/>
        <w:left w:val="none" w:sz="0" w:space="0" w:color="auto"/>
        <w:bottom w:val="none" w:sz="0" w:space="0" w:color="auto"/>
        <w:right w:val="none" w:sz="0" w:space="0" w:color="auto"/>
      </w:divBdr>
    </w:div>
    <w:div w:id="1784037965">
      <w:bodyDiv w:val="1"/>
      <w:marLeft w:val="0"/>
      <w:marRight w:val="0"/>
      <w:marTop w:val="0"/>
      <w:marBottom w:val="0"/>
      <w:divBdr>
        <w:top w:val="none" w:sz="0" w:space="0" w:color="auto"/>
        <w:left w:val="none" w:sz="0" w:space="0" w:color="auto"/>
        <w:bottom w:val="none" w:sz="0" w:space="0" w:color="auto"/>
        <w:right w:val="none" w:sz="0" w:space="0" w:color="auto"/>
      </w:divBdr>
    </w:div>
    <w:div w:id="1784037987">
      <w:bodyDiv w:val="1"/>
      <w:marLeft w:val="0"/>
      <w:marRight w:val="0"/>
      <w:marTop w:val="0"/>
      <w:marBottom w:val="0"/>
      <w:divBdr>
        <w:top w:val="none" w:sz="0" w:space="0" w:color="auto"/>
        <w:left w:val="none" w:sz="0" w:space="0" w:color="auto"/>
        <w:bottom w:val="none" w:sz="0" w:space="0" w:color="auto"/>
        <w:right w:val="none" w:sz="0" w:space="0" w:color="auto"/>
      </w:divBdr>
    </w:div>
    <w:div w:id="1784811402">
      <w:bodyDiv w:val="1"/>
      <w:marLeft w:val="0"/>
      <w:marRight w:val="0"/>
      <w:marTop w:val="0"/>
      <w:marBottom w:val="0"/>
      <w:divBdr>
        <w:top w:val="none" w:sz="0" w:space="0" w:color="auto"/>
        <w:left w:val="none" w:sz="0" w:space="0" w:color="auto"/>
        <w:bottom w:val="none" w:sz="0" w:space="0" w:color="auto"/>
        <w:right w:val="none" w:sz="0" w:space="0" w:color="auto"/>
      </w:divBdr>
    </w:div>
    <w:div w:id="1785036017">
      <w:bodyDiv w:val="1"/>
      <w:marLeft w:val="0"/>
      <w:marRight w:val="0"/>
      <w:marTop w:val="0"/>
      <w:marBottom w:val="0"/>
      <w:divBdr>
        <w:top w:val="none" w:sz="0" w:space="0" w:color="auto"/>
        <w:left w:val="none" w:sz="0" w:space="0" w:color="auto"/>
        <w:bottom w:val="none" w:sz="0" w:space="0" w:color="auto"/>
        <w:right w:val="none" w:sz="0" w:space="0" w:color="auto"/>
      </w:divBdr>
    </w:div>
    <w:div w:id="1785611098">
      <w:bodyDiv w:val="1"/>
      <w:marLeft w:val="0"/>
      <w:marRight w:val="0"/>
      <w:marTop w:val="0"/>
      <w:marBottom w:val="0"/>
      <w:divBdr>
        <w:top w:val="none" w:sz="0" w:space="0" w:color="auto"/>
        <w:left w:val="none" w:sz="0" w:space="0" w:color="auto"/>
        <w:bottom w:val="none" w:sz="0" w:space="0" w:color="auto"/>
        <w:right w:val="none" w:sz="0" w:space="0" w:color="auto"/>
      </w:divBdr>
    </w:div>
    <w:div w:id="1786540022">
      <w:bodyDiv w:val="1"/>
      <w:marLeft w:val="0"/>
      <w:marRight w:val="0"/>
      <w:marTop w:val="0"/>
      <w:marBottom w:val="0"/>
      <w:divBdr>
        <w:top w:val="none" w:sz="0" w:space="0" w:color="auto"/>
        <w:left w:val="none" w:sz="0" w:space="0" w:color="auto"/>
        <w:bottom w:val="none" w:sz="0" w:space="0" w:color="auto"/>
        <w:right w:val="none" w:sz="0" w:space="0" w:color="auto"/>
      </w:divBdr>
    </w:div>
    <w:div w:id="1786733789">
      <w:bodyDiv w:val="1"/>
      <w:marLeft w:val="0"/>
      <w:marRight w:val="0"/>
      <w:marTop w:val="0"/>
      <w:marBottom w:val="0"/>
      <w:divBdr>
        <w:top w:val="none" w:sz="0" w:space="0" w:color="auto"/>
        <w:left w:val="none" w:sz="0" w:space="0" w:color="auto"/>
        <w:bottom w:val="none" w:sz="0" w:space="0" w:color="auto"/>
        <w:right w:val="none" w:sz="0" w:space="0" w:color="auto"/>
      </w:divBdr>
    </w:div>
    <w:div w:id="1788238259">
      <w:bodyDiv w:val="1"/>
      <w:marLeft w:val="0"/>
      <w:marRight w:val="0"/>
      <w:marTop w:val="0"/>
      <w:marBottom w:val="0"/>
      <w:divBdr>
        <w:top w:val="none" w:sz="0" w:space="0" w:color="auto"/>
        <w:left w:val="none" w:sz="0" w:space="0" w:color="auto"/>
        <w:bottom w:val="none" w:sz="0" w:space="0" w:color="auto"/>
        <w:right w:val="none" w:sz="0" w:space="0" w:color="auto"/>
      </w:divBdr>
    </w:div>
    <w:div w:id="1788348129">
      <w:bodyDiv w:val="1"/>
      <w:marLeft w:val="0"/>
      <w:marRight w:val="0"/>
      <w:marTop w:val="0"/>
      <w:marBottom w:val="0"/>
      <w:divBdr>
        <w:top w:val="none" w:sz="0" w:space="0" w:color="auto"/>
        <w:left w:val="none" w:sz="0" w:space="0" w:color="auto"/>
        <w:bottom w:val="none" w:sz="0" w:space="0" w:color="auto"/>
        <w:right w:val="none" w:sz="0" w:space="0" w:color="auto"/>
      </w:divBdr>
    </w:div>
    <w:div w:id="1788814373">
      <w:bodyDiv w:val="1"/>
      <w:marLeft w:val="0"/>
      <w:marRight w:val="0"/>
      <w:marTop w:val="0"/>
      <w:marBottom w:val="0"/>
      <w:divBdr>
        <w:top w:val="none" w:sz="0" w:space="0" w:color="auto"/>
        <w:left w:val="none" w:sz="0" w:space="0" w:color="auto"/>
        <w:bottom w:val="none" w:sz="0" w:space="0" w:color="auto"/>
        <w:right w:val="none" w:sz="0" w:space="0" w:color="auto"/>
      </w:divBdr>
    </w:div>
    <w:div w:id="1789271522">
      <w:bodyDiv w:val="1"/>
      <w:marLeft w:val="0"/>
      <w:marRight w:val="0"/>
      <w:marTop w:val="0"/>
      <w:marBottom w:val="0"/>
      <w:divBdr>
        <w:top w:val="none" w:sz="0" w:space="0" w:color="auto"/>
        <w:left w:val="none" w:sz="0" w:space="0" w:color="auto"/>
        <w:bottom w:val="none" w:sz="0" w:space="0" w:color="auto"/>
        <w:right w:val="none" w:sz="0" w:space="0" w:color="auto"/>
      </w:divBdr>
    </w:div>
    <w:div w:id="1789816209">
      <w:bodyDiv w:val="1"/>
      <w:marLeft w:val="0"/>
      <w:marRight w:val="0"/>
      <w:marTop w:val="0"/>
      <w:marBottom w:val="0"/>
      <w:divBdr>
        <w:top w:val="none" w:sz="0" w:space="0" w:color="auto"/>
        <w:left w:val="none" w:sz="0" w:space="0" w:color="auto"/>
        <w:bottom w:val="none" w:sz="0" w:space="0" w:color="auto"/>
        <w:right w:val="none" w:sz="0" w:space="0" w:color="auto"/>
      </w:divBdr>
    </w:div>
    <w:div w:id="1790082959">
      <w:bodyDiv w:val="1"/>
      <w:marLeft w:val="0"/>
      <w:marRight w:val="0"/>
      <w:marTop w:val="0"/>
      <w:marBottom w:val="0"/>
      <w:divBdr>
        <w:top w:val="none" w:sz="0" w:space="0" w:color="auto"/>
        <w:left w:val="none" w:sz="0" w:space="0" w:color="auto"/>
        <w:bottom w:val="none" w:sz="0" w:space="0" w:color="auto"/>
        <w:right w:val="none" w:sz="0" w:space="0" w:color="auto"/>
      </w:divBdr>
    </w:div>
    <w:div w:id="1790466328">
      <w:bodyDiv w:val="1"/>
      <w:marLeft w:val="0"/>
      <w:marRight w:val="0"/>
      <w:marTop w:val="0"/>
      <w:marBottom w:val="0"/>
      <w:divBdr>
        <w:top w:val="none" w:sz="0" w:space="0" w:color="auto"/>
        <w:left w:val="none" w:sz="0" w:space="0" w:color="auto"/>
        <w:bottom w:val="none" w:sz="0" w:space="0" w:color="auto"/>
        <w:right w:val="none" w:sz="0" w:space="0" w:color="auto"/>
      </w:divBdr>
    </w:div>
    <w:div w:id="1790513254">
      <w:bodyDiv w:val="1"/>
      <w:marLeft w:val="0"/>
      <w:marRight w:val="0"/>
      <w:marTop w:val="0"/>
      <w:marBottom w:val="0"/>
      <w:divBdr>
        <w:top w:val="none" w:sz="0" w:space="0" w:color="auto"/>
        <w:left w:val="none" w:sz="0" w:space="0" w:color="auto"/>
        <w:bottom w:val="none" w:sz="0" w:space="0" w:color="auto"/>
        <w:right w:val="none" w:sz="0" w:space="0" w:color="auto"/>
      </w:divBdr>
    </w:div>
    <w:div w:id="1790976034">
      <w:bodyDiv w:val="1"/>
      <w:marLeft w:val="0"/>
      <w:marRight w:val="0"/>
      <w:marTop w:val="0"/>
      <w:marBottom w:val="0"/>
      <w:divBdr>
        <w:top w:val="none" w:sz="0" w:space="0" w:color="auto"/>
        <w:left w:val="none" w:sz="0" w:space="0" w:color="auto"/>
        <w:bottom w:val="none" w:sz="0" w:space="0" w:color="auto"/>
        <w:right w:val="none" w:sz="0" w:space="0" w:color="auto"/>
      </w:divBdr>
    </w:div>
    <w:div w:id="1791047819">
      <w:bodyDiv w:val="1"/>
      <w:marLeft w:val="0"/>
      <w:marRight w:val="0"/>
      <w:marTop w:val="0"/>
      <w:marBottom w:val="0"/>
      <w:divBdr>
        <w:top w:val="none" w:sz="0" w:space="0" w:color="auto"/>
        <w:left w:val="none" w:sz="0" w:space="0" w:color="auto"/>
        <w:bottom w:val="none" w:sz="0" w:space="0" w:color="auto"/>
        <w:right w:val="none" w:sz="0" w:space="0" w:color="auto"/>
      </w:divBdr>
    </w:div>
    <w:div w:id="1791166732">
      <w:bodyDiv w:val="1"/>
      <w:marLeft w:val="0"/>
      <w:marRight w:val="0"/>
      <w:marTop w:val="0"/>
      <w:marBottom w:val="0"/>
      <w:divBdr>
        <w:top w:val="none" w:sz="0" w:space="0" w:color="auto"/>
        <w:left w:val="none" w:sz="0" w:space="0" w:color="auto"/>
        <w:bottom w:val="none" w:sz="0" w:space="0" w:color="auto"/>
        <w:right w:val="none" w:sz="0" w:space="0" w:color="auto"/>
      </w:divBdr>
    </w:div>
    <w:div w:id="1791321964">
      <w:bodyDiv w:val="1"/>
      <w:marLeft w:val="0"/>
      <w:marRight w:val="0"/>
      <w:marTop w:val="0"/>
      <w:marBottom w:val="0"/>
      <w:divBdr>
        <w:top w:val="none" w:sz="0" w:space="0" w:color="auto"/>
        <w:left w:val="none" w:sz="0" w:space="0" w:color="auto"/>
        <w:bottom w:val="none" w:sz="0" w:space="0" w:color="auto"/>
        <w:right w:val="none" w:sz="0" w:space="0" w:color="auto"/>
      </w:divBdr>
    </w:div>
    <w:div w:id="1791388762">
      <w:bodyDiv w:val="1"/>
      <w:marLeft w:val="0"/>
      <w:marRight w:val="0"/>
      <w:marTop w:val="0"/>
      <w:marBottom w:val="0"/>
      <w:divBdr>
        <w:top w:val="none" w:sz="0" w:space="0" w:color="auto"/>
        <w:left w:val="none" w:sz="0" w:space="0" w:color="auto"/>
        <w:bottom w:val="none" w:sz="0" w:space="0" w:color="auto"/>
        <w:right w:val="none" w:sz="0" w:space="0" w:color="auto"/>
      </w:divBdr>
    </w:div>
    <w:div w:id="1792281217">
      <w:bodyDiv w:val="1"/>
      <w:marLeft w:val="0"/>
      <w:marRight w:val="0"/>
      <w:marTop w:val="0"/>
      <w:marBottom w:val="0"/>
      <w:divBdr>
        <w:top w:val="none" w:sz="0" w:space="0" w:color="auto"/>
        <w:left w:val="none" w:sz="0" w:space="0" w:color="auto"/>
        <w:bottom w:val="none" w:sz="0" w:space="0" w:color="auto"/>
        <w:right w:val="none" w:sz="0" w:space="0" w:color="auto"/>
      </w:divBdr>
    </w:div>
    <w:div w:id="1792357516">
      <w:bodyDiv w:val="1"/>
      <w:marLeft w:val="0"/>
      <w:marRight w:val="0"/>
      <w:marTop w:val="0"/>
      <w:marBottom w:val="0"/>
      <w:divBdr>
        <w:top w:val="none" w:sz="0" w:space="0" w:color="auto"/>
        <w:left w:val="none" w:sz="0" w:space="0" w:color="auto"/>
        <w:bottom w:val="none" w:sz="0" w:space="0" w:color="auto"/>
        <w:right w:val="none" w:sz="0" w:space="0" w:color="auto"/>
      </w:divBdr>
    </w:div>
    <w:div w:id="1792438106">
      <w:bodyDiv w:val="1"/>
      <w:marLeft w:val="0"/>
      <w:marRight w:val="0"/>
      <w:marTop w:val="0"/>
      <w:marBottom w:val="0"/>
      <w:divBdr>
        <w:top w:val="none" w:sz="0" w:space="0" w:color="auto"/>
        <w:left w:val="none" w:sz="0" w:space="0" w:color="auto"/>
        <w:bottom w:val="none" w:sz="0" w:space="0" w:color="auto"/>
        <w:right w:val="none" w:sz="0" w:space="0" w:color="auto"/>
      </w:divBdr>
    </w:div>
    <w:div w:id="1793743491">
      <w:bodyDiv w:val="1"/>
      <w:marLeft w:val="0"/>
      <w:marRight w:val="0"/>
      <w:marTop w:val="0"/>
      <w:marBottom w:val="0"/>
      <w:divBdr>
        <w:top w:val="none" w:sz="0" w:space="0" w:color="auto"/>
        <w:left w:val="none" w:sz="0" w:space="0" w:color="auto"/>
        <w:bottom w:val="none" w:sz="0" w:space="0" w:color="auto"/>
        <w:right w:val="none" w:sz="0" w:space="0" w:color="auto"/>
      </w:divBdr>
    </w:div>
    <w:div w:id="1793746406">
      <w:bodyDiv w:val="1"/>
      <w:marLeft w:val="0"/>
      <w:marRight w:val="0"/>
      <w:marTop w:val="0"/>
      <w:marBottom w:val="0"/>
      <w:divBdr>
        <w:top w:val="none" w:sz="0" w:space="0" w:color="auto"/>
        <w:left w:val="none" w:sz="0" w:space="0" w:color="auto"/>
        <w:bottom w:val="none" w:sz="0" w:space="0" w:color="auto"/>
        <w:right w:val="none" w:sz="0" w:space="0" w:color="auto"/>
      </w:divBdr>
    </w:div>
    <w:div w:id="1794975719">
      <w:bodyDiv w:val="1"/>
      <w:marLeft w:val="0"/>
      <w:marRight w:val="0"/>
      <w:marTop w:val="0"/>
      <w:marBottom w:val="0"/>
      <w:divBdr>
        <w:top w:val="none" w:sz="0" w:space="0" w:color="auto"/>
        <w:left w:val="none" w:sz="0" w:space="0" w:color="auto"/>
        <w:bottom w:val="none" w:sz="0" w:space="0" w:color="auto"/>
        <w:right w:val="none" w:sz="0" w:space="0" w:color="auto"/>
      </w:divBdr>
    </w:div>
    <w:div w:id="1795248892">
      <w:bodyDiv w:val="1"/>
      <w:marLeft w:val="0"/>
      <w:marRight w:val="0"/>
      <w:marTop w:val="0"/>
      <w:marBottom w:val="0"/>
      <w:divBdr>
        <w:top w:val="none" w:sz="0" w:space="0" w:color="auto"/>
        <w:left w:val="none" w:sz="0" w:space="0" w:color="auto"/>
        <w:bottom w:val="none" w:sz="0" w:space="0" w:color="auto"/>
        <w:right w:val="none" w:sz="0" w:space="0" w:color="auto"/>
      </w:divBdr>
    </w:div>
    <w:div w:id="1796102384">
      <w:bodyDiv w:val="1"/>
      <w:marLeft w:val="0"/>
      <w:marRight w:val="0"/>
      <w:marTop w:val="0"/>
      <w:marBottom w:val="0"/>
      <w:divBdr>
        <w:top w:val="none" w:sz="0" w:space="0" w:color="auto"/>
        <w:left w:val="none" w:sz="0" w:space="0" w:color="auto"/>
        <w:bottom w:val="none" w:sz="0" w:space="0" w:color="auto"/>
        <w:right w:val="none" w:sz="0" w:space="0" w:color="auto"/>
      </w:divBdr>
    </w:div>
    <w:div w:id="1796290144">
      <w:bodyDiv w:val="1"/>
      <w:marLeft w:val="0"/>
      <w:marRight w:val="0"/>
      <w:marTop w:val="0"/>
      <w:marBottom w:val="0"/>
      <w:divBdr>
        <w:top w:val="none" w:sz="0" w:space="0" w:color="auto"/>
        <w:left w:val="none" w:sz="0" w:space="0" w:color="auto"/>
        <w:bottom w:val="none" w:sz="0" w:space="0" w:color="auto"/>
        <w:right w:val="none" w:sz="0" w:space="0" w:color="auto"/>
      </w:divBdr>
    </w:div>
    <w:div w:id="1796561378">
      <w:bodyDiv w:val="1"/>
      <w:marLeft w:val="0"/>
      <w:marRight w:val="0"/>
      <w:marTop w:val="0"/>
      <w:marBottom w:val="0"/>
      <w:divBdr>
        <w:top w:val="none" w:sz="0" w:space="0" w:color="auto"/>
        <w:left w:val="none" w:sz="0" w:space="0" w:color="auto"/>
        <w:bottom w:val="none" w:sz="0" w:space="0" w:color="auto"/>
        <w:right w:val="none" w:sz="0" w:space="0" w:color="auto"/>
      </w:divBdr>
    </w:div>
    <w:div w:id="1797138545">
      <w:bodyDiv w:val="1"/>
      <w:marLeft w:val="0"/>
      <w:marRight w:val="0"/>
      <w:marTop w:val="0"/>
      <w:marBottom w:val="0"/>
      <w:divBdr>
        <w:top w:val="none" w:sz="0" w:space="0" w:color="auto"/>
        <w:left w:val="none" w:sz="0" w:space="0" w:color="auto"/>
        <w:bottom w:val="none" w:sz="0" w:space="0" w:color="auto"/>
        <w:right w:val="none" w:sz="0" w:space="0" w:color="auto"/>
      </w:divBdr>
    </w:div>
    <w:div w:id="1797406966">
      <w:bodyDiv w:val="1"/>
      <w:marLeft w:val="0"/>
      <w:marRight w:val="0"/>
      <w:marTop w:val="0"/>
      <w:marBottom w:val="0"/>
      <w:divBdr>
        <w:top w:val="none" w:sz="0" w:space="0" w:color="auto"/>
        <w:left w:val="none" w:sz="0" w:space="0" w:color="auto"/>
        <w:bottom w:val="none" w:sz="0" w:space="0" w:color="auto"/>
        <w:right w:val="none" w:sz="0" w:space="0" w:color="auto"/>
      </w:divBdr>
    </w:div>
    <w:div w:id="1797408095">
      <w:bodyDiv w:val="1"/>
      <w:marLeft w:val="0"/>
      <w:marRight w:val="0"/>
      <w:marTop w:val="0"/>
      <w:marBottom w:val="0"/>
      <w:divBdr>
        <w:top w:val="none" w:sz="0" w:space="0" w:color="auto"/>
        <w:left w:val="none" w:sz="0" w:space="0" w:color="auto"/>
        <w:bottom w:val="none" w:sz="0" w:space="0" w:color="auto"/>
        <w:right w:val="none" w:sz="0" w:space="0" w:color="auto"/>
      </w:divBdr>
    </w:div>
    <w:div w:id="1799562574">
      <w:bodyDiv w:val="1"/>
      <w:marLeft w:val="0"/>
      <w:marRight w:val="0"/>
      <w:marTop w:val="0"/>
      <w:marBottom w:val="0"/>
      <w:divBdr>
        <w:top w:val="none" w:sz="0" w:space="0" w:color="auto"/>
        <w:left w:val="none" w:sz="0" w:space="0" w:color="auto"/>
        <w:bottom w:val="none" w:sz="0" w:space="0" w:color="auto"/>
        <w:right w:val="none" w:sz="0" w:space="0" w:color="auto"/>
      </w:divBdr>
    </w:div>
    <w:div w:id="1800951812">
      <w:bodyDiv w:val="1"/>
      <w:marLeft w:val="0"/>
      <w:marRight w:val="0"/>
      <w:marTop w:val="0"/>
      <w:marBottom w:val="0"/>
      <w:divBdr>
        <w:top w:val="none" w:sz="0" w:space="0" w:color="auto"/>
        <w:left w:val="none" w:sz="0" w:space="0" w:color="auto"/>
        <w:bottom w:val="none" w:sz="0" w:space="0" w:color="auto"/>
        <w:right w:val="none" w:sz="0" w:space="0" w:color="auto"/>
      </w:divBdr>
    </w:div>
    <w:div w:id="1800997836">
      <w:bodyDiv w:val="1"/>
      <w:marLeft w:val="0"/>
      <w:marRight w:val="0"/>
      <w:marTop w:val="0"/>
      <w:marBottom w:val="0"/>
      <w:divBdr>
        <w:top w:val="none" w:sz="0" w:space="0" w:color="auto"/>
        <w:left w:val="none" w:sz="0" w:space="0" w:color="auto"/>
        <w:bottom w:val="none" w:sz="0" w:space="0" w:color="auto"/>
        <w:right w:val="none" w:sz="0" w:space="0" w:color="auto"/>
      </w:divBdr>
    </w:div>
    <w:div w:id="1801075919">
      <w:bodyDiv w:val="1"/>
      <w:marLeft w:val="0"/>
      <w:marRight w:val="0"/>
      <w:marTop w:val="0"/>
      <w:marBottom w:val="0"/>
      <w:divBdr>
        <w:top w:val="none" w:sz="0" w:space="0" w:color="auto"/>
        <w:left w:val="none" w:sz="0" w:space="0" w:color="auto"/>
        <w:bottom w:val="none" w:sz="0" w:space="0" w:color="auto"/>
        <w:right w:val="none" w:sz="0" w:space="0" w:color="auto"/>
      </w:divBdr>
    </w:div>
    <w:div w:id="1801145006">
      <w:bodyDiv w:val="1"/>
      <w:marLeft w:val="0"/>
      <w:marRight w:val="0"/>
      <w:marTop w:val="0"/>
      <w:marBottom w:val="0"/>
      <w:divBdr>
        <w:top w:val="none" w:sz="0" w:space="0" w:color="auto"/>
        <w:left w:val="none" w:sz="0" w:space="0" w:color="auto"/>
        <w:bottom w:val="none" w:sz="0" w:space="0" w:color="auto"/>
        <w:right w:val="none" w:sz="0" w:space="0" w:color="auto"/>
      </w:divBdr>
    </w:div>
    <w:div w:id="1801344610">
      <w:bodyDiv w:val="1"/>
      <w:marLeft w:val="0"/>
      <w:marRight w:val="0"/>
      <w:marTop w:val="0"/>
      <w:marBottom w:val="0"/>
      <w:divBdr>
        <w:top w:val="none" w:sz="0" w:space="0" w:color="auto"/>
        <w:left w:val="none" w:sz="0" w:space="0" w:color="auto"/>
        <w:bottom w:val="none" w:sz="0" w:space="0" w:color="auto"/>
        <w:right w:val="none" w:sz="0" w:space="0" w:color="auto"/>
      </w:divBdr>
    </w:div>
    <w:div w:id="1801873544">
      <w:bodyDiv w:val="1"/>
      <w:marLeft w:val="0"/>
      <w:marRight w:val="0"/>
      <w:marTop w:val="0"/>
      <w:marBottom w:val="0"/>
      <w:divBdr>
        <w:top w:val="none" w:sz="0" w:space="0" w:color="auto"/>
        <w:left w:val="none" w:sz="0" w:space="0" w:color="auto"/>
        <w:bottom w:val="none" w:sz="0" w:space="0" w:color="auto"/>
        <w:right w:val="none" w:sz="0" w:space="0" w:color="auto"/>
      </w:divBdr>
    </w:div>
    <w:div w:id="1803112211">
      <w:bodyDiv w:val="1"/>
      <w:marLeft w:val="0"/>
      <w:marRight w:val="0"/>
      <w:marTop w:val="0"/>
      <w:marBottom w:val="0"/>
      <w:divBdr>
        <w:top w:val="none" w:sz="0" w:space="0" w:color="auto"/>
        <w:left w:val="none" w:sz="0" w:space="0" w:color="auto"/>
        <w:bottom w:val="none" w:sz="0" w:space="0" w:color="auto"/>
        <w:right w:val="none" w:sz="0" w:space="0" w:color="auto"/>
      </w:divBdr>
    </w:div>
    <w:div w:id="1803189784">
      <w:bodyDiv w:val="1"/>
      <w:marLeft w:val="0"/>
      <w:marRight w:val="0"/>
      <w:marTop w:val="0"/>
      <w:marBottom w:val="0"/>
      <w:divBdr>
        <w:top w:val="none" w:sz="0" w:space="0" w:color="auto"/>
        <w:left w:val="none" w:sz="0" w:space="0" w:color="auto"/>
        <w:bottom w:val="none" w:sz="0" w:space="0" w:color="auto"/>
        <w:right w:val="none" w:sz="0" w:space="0" w:color="auto"/>
      </w:divBdr>
    </w:div>
    <w:div w:id="1803307014">
      <w:bodyDiv w:val="1"/>
      <w:marLeft w:val="0"/>
      <w:marRight w:val="0"/>
      <w:marTop w:val="0"/>
      <w:marBottom w:val="0"/>
      <w:divBdr>
        <w:top w:val="none" w:sz="0" w:space="0" w:color="auto"/>
        <w:left w:val="none" w:sz="0" w:space="0" w:color="auto"/>
        <w:bottom w:val="none" w:sz="0" w:space="0" w:color="auto"/>
        <w:right w:val="none" w:sz="0" w:space="0" w:color="auto"/>
      </w:divBdr>
    </w:div>
    <w:div w:id="1804078329">
      <w:bodyDiv w:val="1"/>
      <w:marLeft w:val="0"/>
      <w:marRight w:val="0"/>
      <w:marTop w:val="0"/>
      <w:marBottom w:val="0"/>
      <w:divBdr>
        <w:top w:val="none" w:sz="0" w:space="0" w:color="auto"/>
        <w:left w:val="none" w:sz="0" w:space="0" w:color="auto"/>
        <w:bottom w:val="none" w:sz="0" w:space="0" w:color="auto"/>
        <w:right w:val="none" w:sz="0" w:space="0" w:color="auto"/>
      </w:divBdr>
    </w:div>
    <w:div w:id="1804081991">
      <w:bodyDiv w:val="1"/>
      <w:marLeft w:val="0"/>
      <w:marRight w:val="0"/>
      <w:marTop w:val="0"/>
      <w:marBottom w:val="0"/>
      <w:divBdr>
        <w:top w:val="none" w:sz="0" w:space="0" w:color="auto"/>
        <w:left w:val="none" w:sz="0" w:space="0" w:color="auto"/>
        <w:bottom w:val="none" w:sz="0" w:space="0" w:color="auto"/>
        <w:right w:val="none" w:sz="0" w:space="0" w:color="auto"/>
      </w:divBdr>
    </w:div>
    <w:div w:id="1804344241">
      <w:bodyDiv w:val="1"/>
      <w:marLeft w:val="0"/>
      <w:marRight w:val="0"/>
      <w:marTop w:val="0"/>
      <w:marBottom w:val="0"/>
      <w:divBdr>
        <w:top w:val="none" w:sz="0" w:space="0" w:color="auto"/>
        <w:left w:val="none" w:sz="0" w:space="0" w:color="auto"/>
        <w:bottom w:val="none" w:sz="0" w:space="0" w:color="auto"/>
        <w:right w:val="none" w:sz="0" w:space="0" w:color="auto"/>
      </w:divBdr>
    </w:div>
    <w:div w:id="1804689063">
      <w:bodyDiv w:val="1"/>
      <w:marLeft w:val="0"/>
      <w:marRight w:val="0"/>
      <w:marTop w:val="0"/>
      <w:marBottom w:val="0"/>
      <w:divBdr>
        <w:top w:val="none" w:sz="0" w:space="0" w:color="auto"/>
        <w:left w:val="none" w:sz="0" w:space="0" w:color="auto"/>
        <w:bottom w:val="none" w:sz="0" w:space="0" w:color="auto"/>
        <w:right w:val="none" w:sz="0" w:space="0" w:color="auto"/>
      </w:divBdr>
    </w:div>
    <w:div w:id="1804888439">
      <w:bodyDiv w:val="1"/>
      <w:marLeft w:val="0"/>
      <w:marRight w:val="0"/>
      <w:marTop w:val="0"/>
      <w:marBottom w:val="0"/>
      <w:divBdr>
        <w:top w:val="none" w:sz="0" w:space="0" w:color="auto"/>
        <w:left w:val="none" w:sz="0" w:space="0" w:color="auto"/>
        <w:bottom w:val="none" w:sz="0" w:space="0" w:color="auto"/>
        <w:right w:val="none" w:sz="0" w:space="0" w:color="auto"/>
      </w:divBdr>
    </w:div>
    <w:div w:id="1805192411">
      <w:bodyDiv w:val="1"/>
      <w:marLeft w:val="0"/>
      <w:marRight w:val="0"/>
      <w:marTop w:val="0"/>
      <w:marBottom w:val="0"/>
      <w:divBdr>
        <w:top w:val="none" w:sz="0" w:space="0" w:color="auto"/>
        <w:left w:val="none" w:sz="0" w:space="0" w:color="auto"/>
        <w:bottom w:val="none" w:sz="0" w:space="0" w:color="auto"/>
        <w:right w:val="none" w:sz="0" w:space="0" w:color="auto"/>
      </w:divBdr>
    </w:div>
    <w:div w:id="1806581617">
      <w:bodyDiv w:val="1"/>
      <w:marLeft w:val="0"/>
      <w:marRight w:val="0"/>
      <w:marTop w:val="0"/>
      <w:marBottom w:val="0"/>
      <w:divBdr>
        <w:top w:val="none" w:sz="0" w:space="0" w:color="auto"/>
        <w:left w:val="none" w:sz="0" w:space="0" w:color="auto"/>
        <w:bottom w:val="none" w:sz="0" w:space="0" w:color="auto"/>
        <w:right w:val="none" w:sz="0" w:space="0" w:color="auto"/>
      </w:divBdr>
    </w:div>
    <w:div w:id="1807359368">
      <w:bodyDiv w:val="1"/>
      <w:marLeft w:val="0"/>
      <w:marRight w:val="0"/>
      <w:marTop w:val="0"/>
      <w:marBottom w:val="0"/>
      <w:divBdr>
        <w:top w:val="none" w:sz="0" w:space="0" w:color="auto"/>
        <w:left w:val="none" w:sz="0" w:space="0" w:color="auto"/>
        <w:bottom w:val="none" w:sz="0" w:space="0" w:color="auto"/>
        <w:right w:val="none" w:sz="0" w:space="0" w:color="auto"/>
      </w:divBdr>
    </w:div>
    <w:div w:id="1808011336">
      <w:bodyDiv w:val="1"/>
      <w:marLeft w:val="0"/>
      <w:marRight w:val="0"/>
      <w:marTop w:val="0"/>
      <w:marBottom w:val="0"/>
      <w:divBdr>
        <w:top w:val="none" w:sz="0" w:space="0" w:color="auto"/>
        <w:left w:val="none" w:sz="0" w:space="0" w:color="auto"/>
        <w:bottom w:val="none" w:sz="0" w:space="0" w:color="auto"/>
        <w:right w:val="none" w:sz="0" w:space="0" w:color="auto"/>
      </w:divBdr>
    </w:div>
    <w:div w:id="1808472034">
      <w:bodyDiv w:val="1"/>
      <w:marLeft w:val="0"/>
      <w:marRight w:val="0"/>
      <w:marTop w:val="0"/>
      <w:marBottom w:val="0"/>
      <w:divBdr>
        <w:top w:val="none" w:sz="0" w:space="0" w:color="auto"/>
        <w:left w:val="none" w:sz="0" w:space="0" w:color="auto"/>
        <w:bottom w:val="none" w:sz="0" w:space="0" w:color="auto"/>
        <w:right w:val="none" w:sz="0" w:space="0" w:color="auto"/>
      </w:divBdr>
    </w:div>
    <w:div w:id="1809087670">
      <w:bodyDiv w:val="1"/>
      <w:marLeft w:val="0"/>
      <w:marRight w:val="0"/>
      <w:marTop w:val="0"/>
      <w:marBottom w:val="0"/>
      <w:divBdr>
        <w:top w:val="none" w:sz="0" w:space="0" w:color="auto"/>
        <w:left w:val="none" w:sz="0" w:space="0" w:color="auto"/>
        <w:bottom w:val="none" w:sz="0" w:space="0" w:color="auto"/>
        <w:right w:val="none" w:sz="0" w:space="0" w:color="auto"/>
      </w:divBdr>
    </w:div>
    <w:div w:id="1809324466">
      <w:bodyDiv w:val="1"/>
      <w:marLeft w:val="0"/>
      <w:marRight w:val="0"/>
      <w:marTop w:val="0"/>
      <w:marBottom w:val="0"/>
      <w:divBdr>
        <w:top w:val="none" w:sz="0" w:space="0" w:color="auto"/>
        <w:left w:val="none" w:sz="0" w:space="0" w:color="auto"/>
        <w:bottom w:val="none" w:sz="0" w:space="0" w:color="auto"/>
        <w:right w:val="none" w:sz="0" w:space="0" w:color="auto"/>
      </w:divBdr>
    </w:div>
    <w:div w:id="1810170593">
      <w:bodyDiv w:val="1"/>
      <w:marLeft w:val="0"/>
      <w:marRight w:val="0"/>
      <w:marTop w:val="0"/>
      <w:marBottom w:val="0"/>
      <w:divBdr>
        <w:top w:val="none" w:sz="0" w:space="0" w:color="auto"/>
        <w:left w:val="none" w:sz="0" w:space="0" w:color="auto"/>
        <w:bottom w:val="none" w:sz="0" w:space="0" w:color="auto"/>
        <w:right w:val="none" w:sz="0" w:space="0" w:color="auto"/>
      </w:divBdr>
    </w:div>
    <w:div w:id="1810317674">
      <w:bodyDiv w:val="1"/>
      <w:marLeft w:val="0"/>
      <w:marRight w:val="0"/>
      <w:marTop w:val="0"/>
      <w:marBottom w:val="0"/>
      <w:divBdr>
        <w:top w:val="none" w:sz="0" w:space="0" w:color="auto"/>
        <w:left w:val="none" w:sz="0" w:space="0" w:color="auto"/>
        <w:bottom w:val="none" w:sz="0" w:space="0" w:color="auto"/>
        <w:right w:val="none" w:sz="0" w:space="0" w:color="auto"/>
      </w:divBdr>
    </w:div>
    <w:div w:id="1810636317">
      <w:bodyDiv w:val="1"/>
      <w:marLeft w:val="0"/>
      <w:marRight w:val="0"/>
      <w:marTop w:val="0"/>
      <w:marBottom w:val="0"/>
      <w:divBdr>
        <w:top w:val="none" w:sz="0" w:space="0" w:color="auto"/>
        <w:left w:val="none" w:sz="0" w:space="0" w:color="auto"/>
        <w:bottom w:val="none" w:sz="0" w:space="0" w:color="auto"/>
        <w:right w:val="none" w:sz="0" w:space="0" w:color="auto"/>
      </w:divBdr>
    </w:div>
    <w:div w:id="1812357953">
      <w:bodyDiv w:val="1"/>
      <w:marLeft w:val="0"/>
      <w:marRight w:val="0"/>
      <w:marTop w:val="0"/>
      <w:marBottom w:val="0"/>
      <w:divBdr>
        <w:top w:val="none" w:sz="0" w:space="0" w:color="auto"/>
        <w:left w:val="none" w:sz="0" w:space="0" w:color="auto"/>
        <w:bottom w:val="none" w:sz="0" w:space="0" w:color="auto"/>
        <w:right w:val="none" w:sz="0" w:space="0" w:color="auto"/>
      </w:divBdr>
    </w:div>
    <w:div w:id="1812673976">
      <w:bodyDiv w:val="1"/>
      <w:marLeft w:val="0"/>
      <w:marRight w:val="0"/>
      <w:marTop w:val="0"/>
      <w:marBottom w:val="0"/>
      <w:divBdr>
        <w:top w:val="none" w:sz="0" w:space="0" w:color="auto"/>
        <w:left w:val="none" w:sz="0" w:space="0" w:color="auto"/>
        <w:bottom w:val="none" w:sz="0" w:space="0" w:color="auto"/>
        <w:right w:val="none" w:sz="0" w:space="0" w:color="auto"/>
      </w:divBdr>
    </w:div>
    <w:div w:id="1812819623">
      <w:bodyDiv w:val="1"/>
      <w:marLeft w:val="0"/>
      <w:marRight w:val="0"/>
      <w:marTop w:val="0"/>
      <w:marBottom w:val="0"/>
      <w:divBdr>
        <w:top w:val="none" w:sz="0" w:space="0" w:color="auto"/>
        <w:left w:val="none" w:sz="0" w:space="0" w:color="auto"/>
        <w:bottom w:val="none" w:sz="0" w:space="0" w:color="auto"/>
        <w:right w:val="none" w:sz="0" w:space="0" w:color="auto"/>
      </w:divBdr>
    </w:div>
    <w:div w:id="1814831099">
      <w:bodyDiv w:val="1"/>
      <w:marLeft w:val="0"/>
      <w:marRight w:val="0"/>
      <w:marTop w:val="0"/>
      <w:marBottom w:val="0"/>
      <w:divBdr>
        <w:top w:val="none" w:sz="0" w:space="0" w:color="auto"/>
        <w:left w:val="none" w:sz="0" w:space="0" w:color="auto"/>
        <w:bottom w:val="none" w:sz="0" w:space="0" w:color="auto"/>
        <w:right w:val="none" w:sz="0" w:space="0" w:color="auto"/>
      </w:divBdr>
    </w:div>
    <w:div w:id="1815557678">
      <w:bodyDiv w:val="1"/>
      <w:marLeft w:val="0"/>
      <w:marRight w:val="0"/>
      <w:marTop w:val="0"/>
      <w:marBottom w:val="0"/>
      <w:divBdr>
        <w:top w:val="none" w:sz="0" w:space="0" w:color="auto"/>
        <w:left w:val="none" w:sz="0" w:space="0" w:color="auto"/>
        <w:bottom w:val="none" w:sz="0" w:space="0" w:color="auto"/>
        <w:right w:val="none" w:sz="0" w:space="0" w:color="auto"/>
      </w:divBdr>
    </w:div>
    <w:div w:id="1816144959">
      <w:bodyDiv w:val="1"/>
      <w:marLeft w:val="0"/>
      <w:marRight w:val="0"/>
      <w:marTop w:val="0"/>
      <w:marBottom w:val="0"/>
      <w:divBdr>
        <w:top w:val="none" w:sz="0" w:space="0" w:color="auto"/>
        <w:left w:val="none" w:sz="0" w:space="0" w:color="auto"/>
        <w:bottom w:val="none" w:sz="0" w:space="0" w:color="auto"/>
        <w:right w:val="none" w:sz="0" w:space="0" w:color="auto"/>
      </w:divBdr>
    </w:div>
    <w:div w:id="1816289292">
      <w:bodyDiv w:val="1"/>
      <w:marLeft w:val="0"/>
      <w:marRight w:val="0"/>
      <w:marTop w:val="0"/>
      <w:marBottom w:val="0"/>
      <w:divBdr>
        <w:top w:val="none" w:sz="0" w:space="0" w:color="auto"/>
        <w:left w:val="none" w:sz="0" w:space="0" w:color="auto"/>
        <w:bottom w:val="none" w:sz="0" w:space="0" w:color="auto"/>
        <w:right w:val="none" w:sz="0" w:space="0" w:color="auto"/>
      </w:divBdr>
    </w:div>
    <w:div w:id="1816406467">
      <w:bodyDiv w:val="1"/>
      <w:marLeft w:val="0"/>
      <w:marRight w:val="0"/>
      <w:marTop w:val="0"/>
      <w:marBottom w:val="0"/>
      <w:divBdr>
        <w:top w:val="none" w:sz="0" w:space="0" w:color="auto"/>
        <w:left w:val="none" w:sz="0" w:space="0" w:color="auto"/>
        <w:bottom w:val="none" w:sz="0" w:space="0" w:color="auto"/>
        <w:right w:val="none" w:sz="0" w:space="0" w:color="auto"/>
      </w:divBdr>
    </w:div>
    <w:div w:id="1816603490">
      <w:bodyDiv w:val="1"/>
      <w:marLeft w:val="0"/>
      <w:marRight w:val="0"/>
      <w:marTop w:val="0"/>
      <w:marBottom w:val="0"/>
      <w:divBdr>
        <w:top w:val="none" w:sz="0" w:space="0" w:color="auto"/>
        <w:left w:val="none" w:sz="0" w:space="0" w:color="auto"/>
        <w:bottom w:val="none" w:sz="0" w:space="0" w:color="auto"/>
        <w:right w:val="none" w:sz="0" w:space="0" w:color="auto"/>
      </w:divBdr>
    </w:div>
    <w:div w:id="1817987171">
      <w:bodyDiv w:val="1"/>
      <w:marLeft w:val="0"/>
      <w:marRight w:val="0"/>
      <w:marTop w:val="0"/>
      <w:marBottom w:val="0"/>
      <w:divBdr>
        <w:top w:val="none" w:sz="0" w:space="0" w:color="auto"/>
        <w:left w:val="none" w:sz="0" w:space="0" w:color="auto"/>
        <w:bottom w:val="none" w:sz="0" w:space="0" w:color="auto"/>
        <w:right w:val="none" w:sz="0" w:space="0" w:color="auto"/>
      </w:divBdr>
    </w:div>
    <w:div w:id="1820340451">
      <w:bodyDiv w:val="1"/>
      <w:marLeft w:val="0"/>
      <w:marRight w:val="0"/>
      <w:marTop w:val="0"/>
      <w:marBottom w:val="0"/>
      <w:divBdr>
        <w:top w:val="none" w:sz="0" w:space="0" w:color="auto"/>
        <w:left w:val="none" w:sz="0" w:space="0" w:color="auto"/>
        <w:bottom w:val="none" w:sz="0" w:space="0" w:color="auto"/>
        <w:right w:val="none" w:sz="0" w:space="0" w:color="auto"/>
      </w:divBdr>
    </w:div>
    <w:div w:id="1821578914">
      <w:bodyDiv w:val="1"/>
      <w:marLeft w:val="0"/>
      <w:marRight w:val="0"/>
      <w:marTop w:val="0"/>
      <w:marBottom w:val="0"/>
      <w:divBdr>
        <w:top w:val="none" w:sz="0" w:space="0" w:color="auto"/>
        <w:left w:val="none" w:sz="0" w:space="0" w:color="auto"/>
        <w:bottom w:val="none" w:sz="0" w:space="0" w:color="auto"/>
        <w:right w:val="none" w:sz="0" w:space="0" w:color="auto"/>
      </w:divBdr>
    </w:div>
    <w:div w:id="1821657176">
      <w:bodyDiv w:val="1"/>
      <w:marLeft w:val="0"/>
      <w:marRight w:val="0"/>
      <w:marTop w:val="0"/>
      <w:marBottom w:val="0"/>
      <w:divBdr>
        <w:top w:val="none" w:sz="0" w:space="0" w:color="auto"/>
        <w:left w:val="none" w:sz="0" w:space="0" w:color="auto"/>
        <w:bottom w:val="none" w:sz="0" w:space="0" w:color="auto"/>
        <w:right w:val="none" w:sz="0" w:space="0" w:color="auto"/>
      </w:divBdr>
    </w:div>
    <w:div w:id="1822304045">
      <w:bodyDiv w:val="1"/>
      <w:marLeft w:val="0"/>
      <w:marRight w:val="0"/>
      <w:marTop w:val="0"/>
      <w:marBottom w:val="0"/>
      <w:divBdr>
        <w:top w:val="none" w:sz="0" w:space="0" w:color="auto"/>
        <w:left w:val="none" w:sz="0" w:space="0" w:color="auto"/>
        <w:bottom w:val="none" w:sz="0" w:space="0" w:color="auto"/>
        <w:right w:val="none" w:sz="0" w:space="0" w:color="auto"/>
      </w:divBdr>
    </w:div>
    <w:div w:id="1823036517">
      <w:bodyDiv w:val="1"/>
      <w:marLeft w:val="0"/>
      <w:marRight w:val="0"/>
      <w:marTop w:val="0"/>
      <w:marBottom w:val="0"/>
      <w:divBdr>
        <w:top w:val="none" w:sz="0" w:space="0" w:color="auto"/>
        <w:left w:val="none" w:sz="0" w:space="0" w:color="auto"/>
        <w:bottom w:val="none" w:sz="0" w:space="0" w:color="auto"/>
        <w:right w:val="none" w:sz="0" w:space="0" w:color="auto"/>
      </w:divBdr>
    </w:div>
    <w:div w:id="1824812176">
      <w:bodyDiv w:val="1"/>
      <w:marLeft w:val="0"/>
      <w:marRight w:val="0"/>
      <w:marTop w:val="0"/>
      <w:marBottom w:val="0"/>
      <w:divBdr>
        <w:top w:val="none" w:sz="0" w:space="0" w:color="auto"/>
        <w:left w:val="none" w:sz="0" w:space="0" w:color="auto"/>
        <w:bottom w:val="none" w:sz="0" w:space="0" w:color="auto"/>
        <w:right w:val="none" w:sz="0" w:space="0" w:color="auto"/>
      </w:divBdr>
    </w:div>
    <w:div w:id="1824927429">
      <w:bodyDiv w:val="1"/>
      <w:marLeft w:val="0"/>
      <w:marRight w:val="0"/>
      <w:marTop w:val="0"/>
      <w:marBottom w:val="0"/>
      <w:divBdr>
        <w:top w:val="none" w:sz="0" w:space="0" w:color="auto"/>
        <w:left w:val="none" w:sz="0" w:space="0" w:color="auto"/>
        <w:bottom w:val="none" w:sz="0" w:space="0" w:color="auto"/>
        <w:right w:val="none" w:sz="0" w:space="0" w:color="auto"/>
      </w:divBdr>
    </w:div>
    <w:div w:id="1825580365">
      <w:bodyDiv w:val="1"/>
      <w:marLeft w:val="0"/>
      <w:marRight w:val="0"/>
      <w:marTop w:val="0"/>
      <w:marBottom w:val="0"/>
      <w:divBdr>
        <w:top w:val="none" w:sz="0" w:space="0" w:color="auto"/>
        <w:left w:val="none" w:sz="0" w:space="0" w:color="auto"/>
        <w:bottom w:val="none" w:sz="0" w:space="0" w:color="auto"/>
        <w:right w:val="none" w:sz="0" w:space="0" w:color="auto"/>
      </w:divBdr>
    </w:div>
    <w:div w:id="1825968017">
      <w:bodyDiv w:val="1"/>
      <w:marLeft w:val="0"/>
      <w:marRight w:val="0"/>
      <w:marTop w:val="0"/>
      <w:marBottom w:val="0"/>
      <w:divBdr>
        <w:top w:val="none" w:sz="0" w:space="0" w:color="auto"/>
        <w:left w:val="none" w:sz="0" w:space="0" w:color="auto"/>
        <w:bottom w:val="none" w:sz="0" w:space="0" w:color="auto"/>
        <w:right w:val="none" w:sz="0" w:space="0" w:color="auto"/>
      </w:divBdr>
    </w:div>
    <w:div w:id="1826312806">
      <w:bodyDiv w:val="1"/>
      <w:marLeft w:val="0"/>
      <w:marRight w:val="0"/>
      <w:marTop w:val="0"/>
      <w:marBottom w:val="0"/>
      <w:divBdr>
        <w:top w:val="none" w:sz="0" w:space="0" w:color="auto"/>
        <w:left w:val="none" w:sz="0" w:space="0" w:color="auto"/>
        <w:bottom w:val="none" w:sz="0" w:space="0" w:color="auto"/>
        <w:right w:val="none" w:sz="0" w:space="0" w:color="auto"/>
      </w:divBdr>
    </w:div>
    <w:div w:id="1828210036">
      <w:bodyDiv w:val="1"/>
      <w:marLeft w:val="0"/>
      <w:marRight w:val="0"/>
      <w:marTop w:val="0"/>
      <w:marBottom w:val="0"/>
      <w:divBdr>
        <w:top w:val="none" w:sz="0" w:space="0" w:color="auto"/>
        <w:left w:val="none" w:sz="0" w:space="0" w:color="auto"/>
        <w:bottom w:val="none" w:sz="0" w:space="0" w:color="auto"/>
        <w:right w:val="none" w:sz="0" w:space="0" w:color="auto"/>
      </w:divBdr>
    </w:div>
    <w:div w:id="1829784294">
      <w:bodyDiv w:val="1"/>
      <w:marLeft w:val="0"/>
      <w:marRight w:val="0"/>
      <w:marTop w:val="0"/>
      <w:marBottom w:val="0"/>
      <w:divBdr>
        <w:top w:val="none" w:sz="0" w:space="0" w:color="auto"/>
        <w:left w:val="none" w:sz="0" w:space="0" w:color="auto"/>
        <w:bottom w:val="none" w:sz="0" w:space="0" w:color="auto"/>
        <w:right w:val="none" w:sz="0" w:space="0" w:color="auto"/>
      </w:divBdr>
    </w:div>
    <w:div w:id="1830243043">
      <w:bodyDiv w:val="1"/>
      <w:marLeft w:val="0"/>
      <w:marRight w:val="0"/>
      <w:marTop w:val="0"/>
      <w:marBottom w:val="0"/>
      <w:divBdr>
        <w:top w:val="none" w:sz="0" w:space="0" w:color="auto"/>
        <w:left w:val="none" w:sz="0" w:space="0" w:color="auto"/>
        <w:bottom w:val="none" w:sz="0" w:space="0" w:color="auto"/>
        <w:right w:val="none" w:sz="0" w:space="0" w:color="auto"/>
      </w:divBdr>
    </w:div>
    <w:div w:id="1831939262">
      <w:bodyDiv w:val="1"/>
      <w:marLeft w:val="0"/>
      <w:marRight w:val="0"/>
      <w:marTop w:val="0"/>
      <w:marBottom w:val="0"/>
      <w:divBdr>
        <w:top w:val="none" w:sz="0" w:space="0" w:color="auto"/>
        <w:left w:val="none" w:sz="0" w:space="0" w:color="auto"/>
        <w:bottom w:val="none" w:sz="0" w:space="0" w:color="auto"/>
        <w:right w:val="none" w:sz="0" w:space="0" w:color="auto"/>
      </w:divBdr>
    </w:div>
    <w:div w:id="1832332762">
      <w:bodyDiv w:val="1"/>
      <w:marLeft w:val="0"/>
      <w:marRight w:val="0"/>
      <w:marTop w:val="0"/>
      <w:marBottom w:val="0"/>
      <w:divBdr>
        <w:top w:val="none" w:sz="0" w:space="0" w:color="auto"/>
        <w:left w:val="none" w:sz="0" w:space="0" w:color="auto"/>
        <w:bottom w:val="none" w:sz="0" w:space="0" w:color="auto"/>
        <w:right w:val="none" w:sz="0" w:space="0" w:color="auto"/>
      </w:divBdr>
    </w:div>
    <w:div w:id="1832401746">
      <w:bodyDiv w:val="1"/>
      <w:marLeft w:val="0"/>
      <w:marRight w:val="0"/>
      <w:marTop w:val="0"/>
      <w:marBottom w:val="0"/>
      <w:divBdr>
        <w:top w:val="none" w:sz="0" w:space="0" w:color="auto"/>
        <w:left w:val="none" w:sz="0" w:space="0" w:color="auto"/>
        <w:bottom w:val="none" w:sz="0" w:space="0" w:color="auto"/>
        <w:right w:val="none" w:sz="0" w:space="0" w:color="auto"/>
      </w:divBdr>
    </w:div>
    <w:div w:id="1832404081">
      <w:bodyDiv w:val="1"/>
      <w:marLeft w:val="0"/>
      <w:marRight w:val="0"/>
      <w:marTop w:val="0"/>
      <w:marBottom w:val="0"/>
      <w:divBdr>
        <w:top w:val="none" w:sz="0" w:space="0" w:color="auto"/>
        <w:left w:val="none" w:sz="0" w:space="0" w:color="auto"/>
        <w:bottom w:val="none" w:sz="0" w:space="0" w:color="auto"/>
        <w:right w:val="none" w:sz="0" w:space="0" w:color="auto"/>
      </w:divBdr>
    </w:div>
    <w:div w:id="1832477968">
      <w:bodyDiv w:val="1"/>
      <w:marLeft w:val="0"/>
      <w:marRight w:val="0"/>
      <w:marTop w:val="0"/>
      <w:marBottom w:val="0"/>
      <w:divBdr>
        <w:top w:val="none" w:sz="0" w:space="0" w:color="auto"/>
        <w:left w:val="none" w:sz="0" w:space="0" w:color="auto"/>
        <w:bottom w:val="none" w:sz="0" w:space="0" w:color="auto"/>
        <w:right w:val="none" w:sz="0" w:space="0" w:color="auto"/>
      </w:divBdr>
    </w:div>
    <w:div w:id="1832480985">
      <w:bodyDiv w:val="1"/>
      <w:marLeft w:val="0"/>
      <w:marRight w:val="0"/>
      <w:marTop w:val="0"/>
      <w:marBottom w:val="0"/>
      <w:divBdr>
        <w:top w:val="none" w:sz="0" w:space="0" w:color="auto"/>
        <w:left w:val="none" w:sz="0" w:space="0" w:color="auto"/>
        <w:bottom w:val="none" w:sz="0" w:space="0" w:color="auto"/>
        <w:right w:val="none" w:sz="0" w:space="0" w:color="auto"/>
      </w:divBdr>
    </w:div>
    <w:div w:id="1832716321">
      <w:bodyDiv w:val="1"/>
      <w:marLeft w:val="0"/>
      <w:marRight w:val="0"/>
      <w:marTop w:val="0"/>
      <w:marBottom w:val="0"/>
      <w:divBdr>
        <w:top w:val="none" w:sz="0" w:space="0" w:color="auto"/>
        <w:left w:val="none" w:sz="0" w:space="0" w:color="auto"/>
        <w:bottom w:val="none" w:sz="0" w:space="0" w:color="auto"/>
        <w:right w:val="none" w:sz="0" w:space="0" w:color="auto"/>
      </w:divBdr>
    </w:div>
    <w:div w:id="1832941589">
      <w:bodyDiv w:val="1"/>
      <w:marLeft w:val="0"/>
      <w:marRight w:val="0"/>
      <w:marTop w:val="0"/>
      <w:marBottom w:val="0"/>
      <w:divBdr>
        <w:top w:val="none" w:sz="0" w:space="0" w:color="auto"/>
        <w:left w:val="none" w:sz="0" w:space="0" w:color="auto"/>
        <w:bottom w:val="none" w:sz="0" w:space="0" w:color="auto"/>
        <w:right w:val="none" w:sz="0" w:space="0" w:color="auto"/>
      </w:divBdr>
    </w:div>
    <w:div w:id="1833372293">
      <w:bodyDiv w:val="1"/>
      <w:marLeft w:val="0"/>
      <w:marRight w:val="0"/>
      <w:marTop w:val="0"/>
      <w:marBottom w:val="0"/>
      <w:divBdr>
        <w:top w:val="none" w:sz="0" w:space="0" w:color="auto"/>
        <w:left w:val="none" w:sz="0" w:space="0" w:color="auto"/>
        <w:bottom w:val="none" w:sz="0" w:space="0" w:color="auto"/>
        <w:right w:val="none" w:sz="0" w:space="0" w:color="auto"/>
      </w:divBdr>
    </w:div>
    <w:div w:id="1833448025">
      <w:bodyDiv w:val="1"/>
      <w:marLeft w:val="0"/>
      <w:marRight w:val="0"/>
      <w:marTop w:val="0"/>
      <w:marBottom w:val="0"/>
      <w:divBdr>
        <w:top w:val="none" w:sz="0" w:space="0" w:color="auto"/>
        <w:left w:val="none" w:sz="0" w:space="0" w:color="auto"/>
        <w:bottom w:val="none" w:sz="0" w:space="0" w:color="auto"/>
        <w:right w:val="none" w:sz="0" w:space="0" w:color="auto"/>
      </w:divBdr>
    </w:div>
    <w:div w:id="1833527670">
      <w:bodyDiv w:val="1"/>
      <w:marLeft w:val="0"/>
      <w:marRight w:val="0"/>
      <w:marTop w:val="0"/>
      <w:marBottom w:val="0"/>
      <w:divBdr>
        <w:top w:val="none" w:sz="0" w:space="0" w:color="auto"/>
        <w:left w:val="none" w:sz="0" w:space="0" w:color="auto"/>
        <w:bottom w:val="none" w:sz="0" w:space="0" w:color="auto"/>
        <w:right w:val="none" w:sz="0" w:space="0" w:color="auto"/>
      </w:divBdr>
    </w:div>
    <w:div w:id="1833636678">
      <w:bodyDiv w:val="1"/>
      <w:marLeft w:val="0"/>
      <w:marRight w:val="0"/>
      <w:marTop w:val="0"/>
      <w:marBottom w:val="0"/>
      <w:divBdr>
        <w:top w:val="none" w:sz="0" w:space="0" w:color="auto"/>
        <w:left w:val="none" w:sz="0" w:space="0" w:color="auto"/>
        <w:bottom w:val="none" w:sz="0" w:space="0" w:color="auto"/>
        <w:right w:val="none" w:sz="0" w:space="0" w:color="auto"/>
      </w:divBdr>
    </w:div>
    <w:div w:id="1834099891">
      <w:bodyDiv w:val="1"/>
      <w:marLeft w:val="0"/>
      <w:marRight w:val="0"/>
      <w:marTop w:val="0"/>
      <w:marBottom w:val="0"/>
      <w:divBdr>
        <w:top w:val="none" w:sz="0" w:space="0" w:color="auto"/>
        <w:left w:val="none" w:sz="0" w:space="0" w:color="auto"/>
        <w:bottom w:val="none" w:sz="0" w:space="0" w:color="auto"/>
        <w:right w:val="none" w:sz="0" w:space="0" w:color="auto"/>
      </w:divBdr>
    </w:div>
    <w:div w:id="1834224873">
      <w:bodyDiv w:val="1"/>
      <w:marLeft w:val="0"/>
      <w:marRight w:val="0"/>
      <w:marTop w:val="0"/>
      <w:marBottom w:val="0"/>
      <w:divBdr>
        <w:top w:val="none" w:sz="0" w:space="0" w:color="auto"/>
        <w:left w:val="none" w:sz="0" w:space="0" w:color="auto"/>
        <w:bottom w:val="none" w:sz="0" w:space="0" w:color="auto"/>
        <w:right w:val="none" w:sz="0" w:space="0" w:color="auto"/>
      </w:divBdr>
    </w:div>
    <w:div w:id="1835340247">
      <w:bodyDiv w:val="1"/>
      <w:marLeft w:val="0"/>
      <w:marRight w:val="0"/>
      <w:marTop w:val="0"/>
      <w:marBottom w:val="0"/>
      <w:divBdr>
        <w:top w:val="none" w:sz="0" w:space="0" w:color="auto"/>
        <w:left w:val="none" w:sz="0" w:space="0" w:color="auto"/>
        <w:bottom w:val="none" w:sz="0" w:space="0" w:color="auto"/>
        <w:right w:val="none" w:sz="0" w:space="0" w:color="auto"/>
      </w:divBdr>
    </w:div>
    <w:div w:id="1836870446">
      <w:bodyDiv w:val="1"/>
      <w:marLeft w:val="0"/>
      <w:marRight w:val="0"/>
      <w:marTop w:val="0"/>
      <w:marBottom w:val="0"/>
      <w:divBdr>
        <w:top w:val="none" w:sz="0" w:space="0" w:color="auto"/>
        <w:left w:val="none" w:sz="0" w:space="0" w:color="auto"/>
        <w:bottom w:val="none" w:sz="0" w:space="0" w:color="auto"/>
        <w:right w:val="none" w:sz="0" w:space="0" w:color="auto"/>
      </w:divBdr>
    </w:div>
    <w:div w:id="1837382296">
      <w:bodyDiv w:val="1"/>
      <w:marLeft w:val="0"/>
      <w:marRight w:val="0"/>
      <w:marTop w:val="0"/>
      <w:marBottom w:val="0"/>
      <w:divBdr>
        <w:top w:val="none" w:sz="0" w:space="0" w:color="auto"/>
        <w:left w:val="none" w:sz="0" w:space="0" w:color="auto"/>
        <w:bottom w:val="none" w:sz="0" w:space="0" w:color="auto"/>
        <w:right w:val="none" w:sz="0" w:space="0" w:color="auto"/>
      </w:divBdr>
    </w:div>
    <w:div w:id="1837453043">
      <w:bodyDiv w:val="1"/>
      <w:marLeft w:val="0"/>
      <w:marRight w:val="0"/>
      <w:marTop w:val="0"/>
      <w:marBottom w:val="0"/>
      <w:divBdr>
        <w:top w:val="none" w:sz="0" w:space="0" w:color="auto"/>
        <w:left w:val="none" w:sz="0" w:space="0" w:color="auto"/>
        <w:bottom w:val="none" w:sz="0" w:space="0" w:color="auto"/>
        <w:right w:val="none" w:sz="0" w:space="0" w:color="auto"/>
      </w:divBdr>
    </w:div>
    <w:div w:id="1837649229">
      <w:bodyDiv w:val="1"/>
      <w:marLeft w:val="0"/>
      <w:marRight w:val="0"/>
      <w:marTop w:val="0"/>
      <w:marBottom w:val="0"/>
      <w:divBdr>
        <w:top w:val="none" w:sz="0" w:space="0" w:color="auto"/>
        <w:left w:val="none" w:sz="0" w:space="0" w:color="auto"/>
        <w:bottom w:val="none" w:sz="0" w:space="0" w:color="auto"/>
        <w:right w:val="none" w:sz="0" w:space="0" w:color="auto"/>
      </w:divBdr>
    </w:div>
    <w:div w:id="1838958322">
      <w:bodyDiv w:val="1"/>
      <w:marLeft w:val="0"/>
      <w:marRight w:val="0"/>
      <w:marTop w:val="0"/>
      <w:marBottom w:val="0"/>
      <w:divBdr>
        <w:top w:val="none" w:sz="0" w:space="0" w:color="auto"/>
        <w:left w:val="none" w:sz="0" w:space="0" w:color="auto"/>
        <w:bottom w:val="none" w:sz="0" w:space="0" w:color="auto"/>
        <w:right w:val="none" w:sz="0" w:space="0" w:color="auto"/>
      </w:divBdr>
    </w:div>
    <w:div w:id="1839029624">
      <w:bodyDiv w:val="1"/>
      <w:marLeft w:val="0"/>
      <w:marRight w:val="0"/>
      <w:marTop w:val="0"/>
      <w:marBottom w:val="0"/>
      <w:divBdr>
        <w:top w:val="none" w:sz="0" w:space="0" w:color="auto"/>
        <w:left w:val="none" w:sz="0" w:space="0" w:color="auto"/>
        <w:bottom w:val="none" w:sz="0" w:space="0" w:color="auto"/>
        <w:right w:val="none" w:sz="0" w:space="0" w:color="auto"/>
      </w:divBdr>
    </w:div>
    <w:div w:id="1839342662">
      <w:bodyDiv w:val="1"/>
      <w:marLeft w:val="0"/>
      <w:marRight w:val="0"/>
      <w:marTop w:val="0"/>
      <w:marBottom w:val="0"/>
      <w:divBdr>
        <w:top w:val="none" w:sz="0" w:space="0" w:color="auto"/>
        <w:left w:val="none" w:sz="0" w:space="0" w:color="auto"/>
        <w:bottom w:val="none" w:sz="0" w:space="0" w:color="auto"/>
        <w:right w:val="none" w:sz="0" w:space="0" w:color="auto"/>
      </w:divBdr>
    </w:div>
    <w:div w:id="1840193467">
      <w:bodyDiv w:val="1"/>
      <w:marLeft w:val="0"/>
      <w:marRight w:val="0"/>
      <w:marTop w:val="0"/>
      <w:marBottom w:val="0"/>
      <w:divBdr>
        <w:top w:val="none" w:sz="0" w:space="0" w:color="auto"/>
        <w:left w:val="none" w:sz="0" w:space="0" w:color="auto"/>
        <w:bottom w:val="none" w:sz="0" w:space="0" w:color="auto"/>
        <w:right w:val="none" w:sz="0" w:space="0" w:color="auto"/>
      </w:divBdr>
    </w:div>
    <w:div w:id="1841580999">
      <w:bodyDiv w:val="1"/>
      <w:marLeft w:val="0"/>
      <w:marRight w:val="0"/>
      <w:marTop w:val="0"/>
      <w:marBottom w:val="0"/>
      <w:divBdr>
        <w:top w:val="none" w:sz="0" w:space="0" w:color="auto"/>
        <w:left w:val="none" w:sz="0" w:space="0" w:color="auto"/>
        <w:bottom w:val="none" w:sz="0" w:space="0" w:color="auto"/>
        <w:right w:val="none" w:sz="0" w:space="0" w:color="auto"/>
      </w:divBdr>
    </w:div>
    <w:div w:id="1842239993">
      <w:bodyDiv w:val="1"/>
      <w:marLeft w:val="0"/>
      <w:marRight w:val="0"/>
      <w:marTop w:val="0"/>
      <w:marBottom w:val="0"/>
      <w:divBdr>
        <w:top w:val="none" w:sz="0" w:space="0" w:color="auto"/>
        <w:left w:val="none" w:sz="0" w:space="0" w:color="auto"/>
        <w:bottom w:val="none" w:sz="0" w:space="0" w:color="auto"/>
        <w:right w:val="none" w:sz="0" w:space="0" w:color="auto"/>
      </w:divBdr>
    </w:div>
    <w:div w:id="1844082877">
      <w:bodyDiv w:val="1"/>
      <w:marLeft w:val="0"/>
      <w:marRight w:val="0"/>
      <w:marTop w:val="0"/>
      <w:marBottom w:val="0"/>
      <w:divBdr>
        <w:top w:val="none" w:sz="0" w:space="0" w:color="auto"/>
        <w:left w:val="none" w:sz="0" w:space="0" w:color="auto"/>
        <w:bottom w:val="none" w:sz="0" w:space="0" w:color="auto"/>
        <w:right w:val="none" w:sz="0" w:space="0" w:color="auto"/>
      </w:divBdr>
    </w:div>
    <w:div w:id="1844126358">
      <w:bodyDiv w:val="1"/>
      <w:marLeft w:val="0"/>
      <w:marRight w:val="0"/>
      <w:marTop w:val="0"/>
      <w:marBottom w:val="0"/>
      <w:divBdr>
        <w:top w:val="none" w:sz="0" w:space="0" w:color="auto"/>
        <w:left w:val="none" w:sz="0" w:space="0" w:color="auto"/>
        <w:bottom w:val="none" w:sz="0" w:space="0" w:color="auto"/>
        <w:right w:val="none" w:sz="0" w:space="0" w:color="auto"/>
      </w:divBdr>
    </w:div>
    <w:div w:id="1844974181">
      <w:bodyDiv w:val="1"/>
      <w:marLeft w:val="0"/>
      <w:marRight w:val="0"/>
      <w:marTop w:val="0"/>
      <w:marBottom w:val="0"/>
      <w:divBdr>
        <w:top w:val="none" w:sz="0" w:space="0" w:color="auto"/>
        <w:left w:val="none" w:sz="0" w:space="0" w:color="auto"/>
        <w:bottom w:val="none" w:sz="0" w:space="0" w:color="auto"/>
        <w:right w:val="none" w:sz="0" w:space="0" w:color="auto"/>
      </w:divBdr>
    </w:div>
    <w:div w:id="1845315128">
      <w:bodyDiv w:val="1"/>
      <w:marLeft w:val="0"/>
      <w:marRight w:val="0"/>
      <w:marTop w:val="0"/>
      <w:marBottom w:val="0"/>
      <w:divBdr>
        <w:top w:val="none" w:sz="0" w:space="0" w:color="auto"/>
        <w:left w:val="none" w:sz="0" w:space="0" w:color="auto"/>
        <w:bottom w:val="none" w:sz="0" w:space="0" w:color="auto"/>
        <w:right w:val="none" w:sz="0" w:space="0" w:color="auto"/>
      </w:divBdr>
    </w:div>
    <w:div w:id="1845973456">
      <w:bodyDiv w:val="1"/>
      <w:marLeft w:val="0"/>
      <w:marRight w:val="0"/>
      <w:marTop w:val="0"/>
      <w:marBottom w:val="0"/>
      <w:divBdr>
        <w:top w:val="none" w:sz="0" w:space="0" w:color="auto"/>
        <w:left w:val="none" w:sz="0" w:space="0" w:color="auto"/>
        <w:bottom w:val="none" w:sz="0" w:space="0" w:color="auto"/>
        <w:right w:val="none" w:sz="0" w:space="0" w:color="auto"/>
      </w:divBdr>
    </w:div>
    <w:div w:id="1846281004">
      <w:bodyDiv w:val="1"/>
      <w:marLeft w:val="0"/>
      <w:marRight w:val="0"/>
      <w:marTop w:val="0"/>
      <w:marBottom w:val="0"/>
      <w:divBdr>
        <w:top w:val="none" w:sz="0" w:space="0" w:color="auto"/>
        <w:left w:val="none" w:sz="0" w:space="0" w:color="auto"/>
        <w:bottom w:val="none" w:sz="0" w:space="0" w:color="auto"/>
        <w:right w:val="none" w:sz="0" w:space="0" w:color="auto"/>
      </w:divBdr>
    </w:div>
    <w:div w:id="1846745691">
      <w:bodyDiv w:val="1"/>
      <w:marLeft w:val="0"/>
      <w:marRight w:val="0"/>
      <w:marTop w:val="0"/>
      <w:marBottom w:val="0"/>
      <w:divBdr>
        <w:top w:val="none" w:sz="0" w:space="0" w:color="auto"/>
        <w:left w:val="none" w:sz="0" w:space="0" w:color="auto"/>
        <w:bottom w:val="none" w:sz="0" w:space="0" w:color="auto"/>
        <w:right w:val="none" w:sz="0" w:space="0" w:color="auto"/>
      </w:divBdr>
    </w:div>
    <w:div w:id="1846818688">
      <w:bodyDiv w:val="1"/>
      <w:marLeft w:val="0"/>
      <w:marRight w:val="0"/>
      <w:marTop w:val="0"/>
      <w:marBottom w:val="0"/>
      <w:divBdr>
        <w:top w:val="none" w:sz="0" w:space="0" w:color="auto"/>
        <w:left w:val="none" w:sz="0" w:space="0" w:color="auto"/>
        <w:bottom w:val="none" w:sz="0" w:space="0" w:color="auto"/>
        <w:right w:val="none" w:sz="0" w:space="0" w:color="auto"/>
      </w:divBdr>
    </w:div>
    <w:div w:id="1846901441">
      <w:bodyDiv w:val="1"/>
      <w:marLeft w:val="0"/>
      <w:marRight w:val="0"/>
      <w:marTop w:val="0"/>
      <w:marBottom w:val="0"/>
      <w:divBdr>
        <w:top w:val="none" w:sz="0" w:space="0" w:color="auto"/>
        <w:left w:val="none" w:sz="0" w:space="0" w:color="auto"/>
        <w:bottom w:val="none" w:sz="0" w:space="0" w:color="auto"/>
        <w:right w:val="none" w:sz="0" w:space="0" w:color="auto"/>
      </w:divBdr>
    </w:div>
    <w:div w:id="1847550861">
      <w:bodyDiv w:val="1"/>
      <w:marLeft w:val="0"/>
      <w:marRight w:val="0"/>
      <w:marTop w:val="0"/>
      <w:marBottom w:val="0"/>
      <w:divBdr>
        <w:top w:val="none" w:sz="0" w:space="0" w:color="auto"/>
        <w:left w:val="none" w:sz="0" w:space="0" w:color="auto"/>
        <w:bottom w:val="none" w:sz="0" w:space="0" w:color="auto"/>
        <w:right w:val="none" w:sz="0" w:space="0" w:color="auto"/>
      </w:divBdr>
    </w:div>
    <w:div w:id="1847986606">
      <w:bodyDiv w:val="1"/>
      <w:marLeft w:val="0"/>
      <w:marRight w:val="0"/>
      <w:marTop w:val="0"/>
      <w:marBottom w:val="0"/>
      <w:divBdr>
        <w:top w:val="none" w:sz="0" w:space="0" w:color="auto"/>
        <w:left w:val="none" w:sz="0" w:space="0" w:color="auto"/>
        <w:bottom w:val="none" w:sz="0" w:space="0" w:color="auto"/>
        <w:right w:val="none" w:sz="0" w:space="0" w:color="auto"/>
      </w:divBdr>
    </w:div>
    <w:div w:id="1848015700">
      <w:bodyDiv w:val="1"/>
      <w:marLeft w:val="0"/>
      <w:marRight w:val="0"/>
      <w:marTop w:val="0"/>
      <w:marBottom w:val="0"/>
      <w:divBdr>
        <w:top w:val="none" w:sz="0" w:space="0" w:color="auto"/>
        <w:left w:val="none" w:sz="0" w:space="0" w:color="auto"/>
        <w:bottom w:val="none" w:sz="0" w:space="0" w:color="auto"/>
        <w:right w:val="none" w:sz="0" w:space="0" w:color="auto"/>
      </w:divBdr>
    </w:div>
    <w:div w:id="1848329174">
      <w:bodyDiv w:val="1"/>
      <w:marLeft w:val="0"/>
      <w:marRight w:val="0"/>
      <w:marTop w:val="0"/>
      <w:marBottom w:val="0"/>
      <w:divBdr>
        <w:top w:val="none" w:sz="0" w:space="0" w:color="auto"/>
        <w:left w:val="none" w:sz="0" w:space="0" w:color="auto"/>
        <w:bottom w:val="none" w:sz="0" w:space="0" w:color="auto"/>
        <w:right w:val="none" w:sz="0" w:space="0" w:color="auto"/>
      </w:divBdr>
    </w:div>
    <w:div w:id="1848446694">
      <w:bodyDiv w:val="1"/>
      <w:marLeft w:val="0"/>
      <w:marRight w:val="0"/>
      <w:marTop w:val="0"/>
      <w:marBottom w:val="0"/>
      <w:divBdr>
        <w:top w:val="none" w:sz="0" w:space="0" w:color="auto"/>
        <w:left w:val="none" w:sz="0" w:space="0" w:color="auto"/>
        <w:bottom w:val="none" w:sz="0" w:space="0" w:color="auto"/>
        <w:right w:val="none" w:sz="0" w:space="0" w:color="auto"/>
      </w:divBdr>
    </w:div>
    <w:div w:id="1848595247">
      <w:bodyDiv w:val="1"/>
      <w:marLeft w:val="0"/>
      <w:marRight w:val="0"/>
      <w:marTop w:val="0"/>
      <w:marBottom w:val="0"/>
      <w:divBdr>
        <w:top w:val="none" w:sz="0" w:space="0" w:color="auto"/>
        <w:left w:val="none" w:sz="0" w:space="0" w:color="auto"/>
        <w:bottom w:val="none" w:sz="0" w:space="0" w:color="auto"/>
        <w:right w:val="none" w:sz="0" w:space="0" w:color="auto"/>
      </w:divBdr>
    </w:div>
    <w:div w:id="1848709138">
      <w:bodyDiv w:val="1"/>
      <w:marLeft w:val="0"/>
      <w:marRight w:val="0"/>
      <w:marTop w:val="0"/>
      <w:marBottom w:val="0"/>
      <w:divBdr>
        <w:top w:val="none" w:sz="0" w:space="0" w:color="auto"/>
        <w:left w:val="none" w:sz="0" w:space="0" w:color="auto"/>
        <w:bottom w:val="none" w:sz="0" w:space="0" w:color="auto"/>
        <w:right w:val="none" w:sz="0" w:space="0" w:color="auto"/>
      </w:divBdr>
    </w:div>
    <w:div w:id="1848784826">
      <w:bodyDiv w:val="1"/>
      <w:marLeft w:val="0"/>
      <w:marRight w:val="0"/>
      <w:marTop w:val="0"/>
      <w:marBottom w:val="0"/>
      <w:divBdr>
        <w:top w:val="none" w:sz="0" w:space="0" w:color="auto"/>
        <w:left w:val="none" w:sz="0" w:space="0" w:color="auto"/>
        <w:bottom w:val="none" w:sz="0" w:space="0" w:color="auto"/>
        <w:right w:val="none" w:sz="0" w:space="0" w:color="auto"/>
      </w:divBdr>
    </w:div>
    <w:div w:id="1848982692">
      <w:bodyDiv w:val="1"/>
      <w:marLeft w:val="0"/>
      <w:marRight w:val="0"/>
      <w:marTop w:val="0"/>
      <w:marBottom w:val="0"/>
      <w:divBdr>
        <w:top w:val="none" w:sz="0" w:space="0" w:color="auto"/>
        <w:left w:val="none" w:sz="0" w:space="0" w:color="auto"/>
        <w:bottom w:val="none" w:sz="0" w:space="0" w:color="auto"/>
        <w:right w:val="none" w:sz="0" w:space="0" w:color="auto"/>
      </w:divBdr>
    </w:div>
    <w:div w:id="1849513615">
      <w:bodyDiv w:val="1"/>
      <w:marLeft w:val="0"/>
      <w:marRight w:val="0"/>
      <w:marTop w:val="0"/>
      <w:marBottom w:val="0"/>
      <w:divBdr>
        <w:top w:val="none" w:sz="0" w:space="0" w:color="auto"/>
        <w:left w:val="none" w:sz="0" w:space="0" w:color="auto"/>
        <w:bottom w:val="none" w:sz="0" w:space="0" w:color="auto"/>
        <w:right w:val="none" w:sz="0" w:space="0" w:color="auto"/>
      </w:divBdr>
    </w:div>
    <w:div w:id="1850480092">
      <w:bodyDiv w:val="1"/>
      <w:marLeft w:val="0"/>
      <w:marRight w:val="0"/>
      <w:marTop w:val="0"/>
      <w:marBottom w:val="0"/>
      <w:divBdr>
        <w:top w:val="none" w:sz="0" w:space="0" w:color="auto"/>
        <w:left w:val="none" w:sz="0" w:space="0" w:color="auto"/>
        <w:bottom w:val="none" w:sz="0" w:space="0" w:color="auto"/>
        <w:right w:val="none" w:sz="0" w:space="0" w:color="auto"/>
      </w:divBdr>
    </w:div>
    <w:div w:id="1850633633">
      <w:bodyDiv w:val="1"/>
      <w:marLeft w:val="0"/>
      <w:marRight w:val="0"/>
      <w:marTop w:val="0"/>
      <w:marBottom w:val="0"/>
      <w:divBdr>
        <w:top w:val="none" w:sz="0" w:space="0" w:color="auto"/>
        <w:left w:val="none" w:sz="0" w:space="0" w:color="auto"/>
        <w:bottom w:val="none" w:sz="0" w:space="0" w:color="auto"/>
        <w:right w:val="none" w:sz="0" w:space="0" w:color="auto"/>
      </w:divBdr>
    </w:div>
    <w:div w:id="1850750022">
      <w:bodyDiv w:val="1"/>
      <w:marLeft w:val="0"/>
      <w:marRight w:val="0"/>
      <w:marTop w:val="0"/>
      <w:marBottom w:val="0"/>
      <w:divBdr>
        <w:top w:val="none" w:sz="0" w:space="0" w:color="auto"/>
        <w:left w:val="none" w:sz="0" w:space="0" w:color="auto"/>
        <w:bottom w:val="none" w:sz="0" w:space="0" w:color="auto"/>
        <w:right w:val="none" w:sz="0" w:space="0" w:color="auto"/>
      </w:divBdr>
    </w:div>
    <w:div w:id="1850827665">
      <w:bodyDiv w:val="1"/>
      <w:marLeft w:val="0"/>
      <w:marRight w:val="0"/>
      <w:marTop w:val="0"/>
      <w:marBottom w:val="0"/>
      <w:divBdr>
        <w:top w:val="none" w:sz="0" w:space="0" w:color="auto"/>
        <w:left w:val="none" w:sz="0" w:space="0" w:color="auto"/>
        <w:bottom w:val="none" w:sz="0" w:space="0" w:color="auto"/>
        <w:right w:val="none" w:sz="0" w:space="0" w:color="auto"/>
      </w:divBdr>
    </w:div>
    <w:div w:id="1851293527">
      <w:bodyDiv w:val="1"/>
      <w:marLeft w:val="0"/>
      <w:marRight w:val="0"/>
      <w:marTop w:val="0"/>
      <w:marBottom w:val="0"/>
      <w:divBdr>
        <w:top w:val="none" w:sz="0" w:space="0" w:color="auto"/>
        <w:left w:val="none" w:sz="0" w:space="0" w:color="auto"/>
        <w:bottom w:val="none" w:sz="0" w:space="0" w:color="auto"/>
        <w:right w:val="none" w:sz="0" w:space="0" w:color="auto"/>
      </w:divBdr>
    </w:div>
    <w:div w:id="1851406034">
      <w:bodyDiv w:val="1"/>
      <w:marLeft w:val="0"/>
      <w:marRight w:val="0"/>
      <w:marTop w:val="0"/>
      <w:marBottom w:val="0"/>
      <w:divBdr>
        <w:top w:val="none" w:sz="0" w:space="0" w:color="auto"/>
        <w:left w:val="none" w:sz="0" w:space="0" w:color="auto"/>
        <w:bottom w:val="none" w:sz="0" w:space="0" w:color="auto"/>
        <w:right w:val="none" w:sz="0" w:space="0" w:color="auto"/>
      </w:divBdr>
    </w:div>
    <w:div w:id="1851681911">
      <w:bodyDiv w:val="1"/>
      <w:marLeft w:val="0"/>
      <w:marRight w:val="0"/>
      <w:marTop w:val="0"/>
      <w:marBottom w:val="0"/>
      <w:divBdr>
        <w:top w:val="none" w:sz="0" w:space="0" w:color="auto"/>
        <w:left w:val="none" w:sz="0" w:space="0" w:color="auto"/>
        <w:bottom w:val="none" w:sz="0" w:space="0" w:color="auto"/>
        <w:right w:val="none" w:sz="0" w:space="0" w:color="auto"/>
      </w:divBdr>
    </w:div>
    <w:div w:id="1852182081">
      <w:bodyDiv w:val="1"/>
      <w:marLeft w:val="0"/>
      <w:marRight w:val="0"/>
      <w:marTop w:val="0"/>
      <w:marBottom w:val="0"/>
      <w:divBdr>
        <w:top w:val="none" w:sz="0" w:space="0" w:color="auto"/>
        <w:left w:val="none" w:sz="0" w:space="0" w:color="auto"/>
        <w:bottom w:val="none" w:sz="0" w:space="0" w:color="auto"/>
        <w:right w:val="none" w:sz="0" w:space="0" w:color="auto"/>
      </w:divBdr>
    </w:div>
    <w:div w:id="1853371472">
      <w:bodyDiv w:val="1"/>
      <w:marLeft w:val="0"/>
      <w:marRight w:val="0"/>
      <w:marTop w:val="0"/>
      <w:marBottom w:val="0"/>
      <w:divBdr>
        <w:top w:val="none" w:sz="0" w:space="0" w:color="auto"/>
        <w:left w:val="none" w:sz="0" w:space="0" w:color="auto"/>
        <w:bottom w:val="none" w:sz="0" w:space="0" w:color="auto"/>
        <w:right w:val="none" w:sz="0" w:space="0" w:color="auto"/>
      </w:divBdr>
    </w:div>
    <w:div w:id="1853834241">
      <w:bodyDiv w:val="1"/>
      <w:marLeft w:val="0"/>
      <w:marRight w:val="0"/>
      <w:marTop w:val="0"/>
      <w:marBottom w:val="0"/>
      <w:divBdr>
        <w:top w:val="none" w:sz="0" w:space="0" w:color="auto"/>
        <w:left w:val="none" w:sz="0" w:space="0" w:color="auto"/>
        <w:bottom w:val="none" w:sz="0" w:space="0" w:color="auto"/>
        <w:right w:val="none" w:sz="0" w:space="0" w:color="auto"/>
      </w:divBdr>
    </w:div>
    <w:div w:id="1854370631">
      <w:bodyDiv w:val="1"/>
      <w:marLeft w:val="0"/>
      <w:marRight w:val="0"/>
      <w:marTop w:val="0"/>
      <w:marBottom w:val="0"/>
      <w:divBdr>
        <w:top w:val="none" w:sz="0" w:space="0" w:color="auto"/>
        <w:left w:val="none" w:sz="0" w:space="0" w:color="auto"/>
        <w:bottom w:val="none" w:sz="0" w:space="0" w:color="auto"/>
        <w:right w:val="none" w:sz="0" w:space="0" w:color="auto"/>
      </w:divBdr>
    </w:div>
    <w:div w:id="1855143061">
      <w:bodyDiv w:val="1"/>
      <w:marLeft w:val="0"/>
      <w:marRight w:val="0"/>
      <w:marTop w:val="0"/>
      <w:marBottom w:val="0"/>
      <w:divBdr>
        <w:top w:val="none" w:sz="0" w:space="0" w:color="auto"/>
        <w:left w:val="none" w:sz="0" w:space="0" w:color="auto"/>
        <w:bottom w:val="none" w:sz="0" w:space="0" w:color="auto"/>
        <w:right w:val="none" w:sz="0" w:space="0" w:color="auto"/>
      </w:divBdr>
    </w:div>
    <w:div w:id="1855337880">
      <w:bodyDiv w:val="1"/>
      <w:marLeft w:val="0"/>
      <w:marRight w:val="0"/>
      <w:marTop w:val="0"/>
      <w:marBottom w:val="0"/>
      <w:divBdr>
        <w:top w:val="none" w:sz="0" w:space="0" w:color="auto"/>
        <w:left w:val="none" w:sz="0" w:space="0" w:color="auto"/>
        <w:bottom w:val="none" w:sz="0" w:space="0" w:color="auto"/>
        <w:right w:val="none" w:sz="0" w:space="0" w:color="auto"/>
      </w:divBdr>
    </w:div>
    <w:div w:id="1855613953">
      <w:bodyDiv w:val="1"/>
      <w:marLeft w:val="0"/>
      <w:marRight w:val="0"/>
      <w:marTop w:val="0"/>
      <w:marBottom w:val="0"/>
      <w:divBdr>
        <w:top w:val="none" w:sz="0" w:space="0" w:color="auto"/>
        <w:left w:val="none" w:sz="0" w:space="0" w:color="auto"/>
        <w:bottom w:val="none" w:sz="0" w:space="0" w:color="auto"/>
        <w:right w:val="none" w:sz="0" w:space="0" w:color="auto"/>
      </w:divBdr>
    </w:div>
    <w:div w:id="1855803748">
      <w:bodyDiv w:val="1"/>
      <w:marLeft w:val="0"/>
      <w:marRight w:val="0"/>
      <w:marTop w:val="0"/>
      <w:marBottom w:val="0"/>
      <w:divBdr>
        <w:top w:val="none" w:sz="0" w:space="0" w:color="auto"/>
        <w:left w:val="none" w:sz="0" w:space="0" w:color="auto"/>
        <w:bottom w:val="none" w:sz="0" w:space="0" w:color="auto"/>
        <w:right w:val="none" w:sz="0" w:space="0" w:color="auto"/>
      </w:divBdr>
    </w:div>
    <w:div w:id="1856454410">
      <w:bodyDiv w:val="1"/>
      <w:marLeft w:val="0"/>
      <w:marRight w:val="0"/>
      <w:marTop w:val="0"/>
      <w:marBottom w:val="0"/>
      <w:divBdr>
        <w:top w:val="none" w:sz="0" w:space="0" w:color="auto"/>
        <w:left w:val="none" w:sz="0" w:space="0" w:color="auto"/>
        <w:bottom w:val="none" w:sz="0" w:space="0" w:color="auto"/>
        <w:right w:val="none" w:sz="0" w:space="0" w:color="auto"/>
      </w:divBdr>
    </w:div>
    <w:div w:id="1857382410">
      <w:bodyDiv w:val="1"/>
      <w:marLeft w:val="0"/>
      <w:marRight w:val="0"/>
      <w:marTop w:val="0"/>
      <w:marBottom w:val="0"/>
      <w:divBdr>
        <w:top w:val="none" w:sz="0" w:space="0" w:color="auto"/>
        <w:left w:val="none" w:sz="0" w:space="0" w:color="auto"/>
        <w:bottom w:val="none" w:sz="0" w:space="0" w:color="auto"/>
        <w:right w:val="none" w:sz="0" w:space="0" w:color="auto"/>
      </w:divBdr>
    </w:div>
    <w:div w:id="1858932099">
      <w:bodyDiv w:val="1"/>
      <w:marLeft w:val="0"/>
      <w:marRight w:val="0"/>
      <w:marTop w:val="0"/>
      <w:marBottom w:val="0"/>
      <w:divBdr>
        <w:top w:val="none" w:sz="0" w:space="0" w:color="auto"/>
        <w:left w:val="none" w:sz="0" w:space="0" w:color="auto"/>
        <w:bottom w:val="none" w:sz="0" w:space="0" w:color="auto"/>
        <w:right w:val="none" w:sz="0" w:space="0" w:color="auto"/>
      </w:divBdr>
    </w:div>
    <w:div w:id="1859199188">
      <w:bodyDiv w:val="1"/>
      <w:marLeft w:val="0"/>
      <w:marRight w:val="0"/>
      <w:marTop w:val="0"/>
      <w:marBottom w:val="0"/>
      <w:divBdr>
        <w:top w:val="none" w:sz="0" w:space="0" w:color="auto"/>
        <w:left w:val="none" w:sz="0" w:space="0" w:color="auto"/>
        <w:bottom w:val="none" w:sz="0" w:space="0" w:color="auto"/>
        <w:right w:val="none" w:sz="0" w:space="0" w:color="auto"/>
      </w:divBdr>
    </w:div>
    <w:div w:id="1859654277">
      <w:bodyDiv w:val="1"/>
      <w:marLeft w:val="0"/>
      <w:marRight w:val="0"/>
      <w:marTop w:val="0"/>
      <w:marBottom w:val="0"/>
      <w:divBdr>
        <w:top w:val="none" w:sz="0" w:space="0" w:color="auto"/>
        <w:left w:val="none" w:sz="0" w:space="0" w:color="auto"/>
        <w:bottom w:val="none" w:sz="0" w:space="0" w:color="auto"/>
        <w:right w:val="none" w:sz="0" w:space="0" w:color="auto"/>
      </w:divBdr>
    </w:div>
    <w:div w:id="1859922846">
      <w:bodyDiv w:val="1"/>
      <w:marLeft w:val="0"/>
      <w:marRight w:val="0"/>
      <w:marTop w:val="0"/>
      <w:marBottom w:val="0"/>
      <w:divBdr>
        <w:top w:val="none" w:sz="0" w:space="0" w:color="auto"/>
        <w:left w:val="none" w:sz="0" w:space="0" w:color="auto"/>
        <w:bottom w:val="none" w:sz="0" w:space="0" w:color="auto"/>
        <w:right w:val="none" w:sz="0" w:space="0" w:color="auto"/>
      </w:divBdr>
    </w:div>
    <w:div w:id="1860317966">
      <w:bodyDiv w:val="1"/>
      <w:marLeft w:val="0"/>
      <w:marRight w:val="0"/>
      <w:marTop w:val="0"/>
      <w:marBottom w:val="0"/>
      <w:divBdr>
        <w:top w:val="none" w:sz="0" w:space="0" w:color="auto"/>
        <w:left w:val="none" w:sz="0" w:space="0" w:color="auto"/>
        <w:bottom w:val="none" w:sz="0" w:space="0" w:color="auto"/>
        <w:right w:val="none" w:sz="0" w:space="0" w:color="auto"/>
      </w:divBdr>
    </w:div>
    <w:div w:id="1860387987">
      <w:bodyDiv w:val="1"/>
      <w:marLeft w:val="0"/>
      <w:marRight w:val="0"/>
      <w:marTop w:val="0"/>
      <w:marBottom w:val="0"/>
      <w:divBdr>
        <w:top w:val="none" w:sz="0" w:space="0" w:color="auto"/>
        <w:left w:val="none" w:sz="0" w:space="0" w:color="auto"/>
        <w:bottom w:val="none" w:sz="0" w:space="0" w:color="auto"/>
        <w:right w:val="none" w:sz="0" w:space="0" w:color="auto"/>
      </w:divBdr>
    </w:div>
    <w:div w:id="1861582416">
      <w:bodyDiv w:val="1"/>
      <w:marLeft w:val="0"/>
      <w:marRight w:val="0"/>
      <w:marTop w:val="0"/>
      <w:marBottom w:val="0"/>
      <w:divBdr>
        <w:top w:val="none" w:sz="0" w:space="0" w:color="auto"/>
        <w:left w:val="none" w:sz="0" w:space="0" w:color="auto"/>
        <w:bottom w:val="none" w:sz="0" w:space="0" w:color="auto"/>
        <w:right w:val="none" w:sz="0" w:space="0" w:color="auto"/>
      </w:divBdr>
    </w:div>
    <w:div w:id="1862040000">
      <w:bodyDiv w:val="1"/>
      <w:marLeft w:val="0"/>
      <w:marRight w:val="0"/>
      <w:marTop w:val="0"/>
      <w:marBottom w:val="0"/>
      <w:divBdr>
        <w:top w:val="none" w:sz="0" w:space="0" w:color="auto"/>
        <w:left w:val="none" w:sz="0" w:space="0" w:color="auto"/>
        <w:bottom w:val="none" w:sz="0" w:space="0" w:color="auto"/>
        <w:right w:val="none" w:sz="0" w:space="0" w:color="auto"/>
      </w:divBdr>
    </w:div>
    <w:div w:id="1863128104">
      <w:bodyDiv w:val="1"/>
      <w:marLeft w:val="0"/>
      <w:marRight w:val="0"/>
      <w:marTop w:val="0"/>
      <w:marBottom w:val="0"/>
      <w:divBdr>
        <w:top w:val="none" w:sz="0" w:space="0" w:color="auto"/>
        <w:left w:val="none" w:sz="0" w:space="0" w:color="auto"/>
        <w:bottom w:val="none" w:sz="0" w:space="0" w:color="auto"/>
        <w:right w:val="none" w:sz="0" w:space="0" w:color="auto"/>
      </w:divBdr>
    </w:div>
    <w:div w:id="1864702964">
      <w:bodyDiv w:val="1"/>
      <w:marLeft w:val="0"/>
      <w:marRight w:val="0"/>
      <w:marTop w:val="0"/>
      <w:marBottom w:val="0"/>
      <w:divBdr>
        <w:top w:val="none" w:sz="0" w:space="0" w:color="auto"/>
        <w:left w:val="none" w:sz="0" w:space="0" w:color="auto"/>
        <w:bottom w:val="none" w:sz="0" w:space="0" w:color="auto"/>
        <w:right w:val="none" w:sz="0" w:space="0" w:color="auto"/>
      </w:divBdr>
    </w:div>
    <w:div w:id="1865895609">
      <w:bodyDiv w:val="1"/>
      <w:marLeft w:val="0"/>
      <w:marRight w:val="0"/>
      <w:marTop w:val="0"/>
      <w:marBottom w:val="0"/>
      <w:divBdr>
        <w:top w:val="none" w:sz="0" w:space="0" w:color="auto"/>
        <w:left w:val="none" w:sz="0" w:space="0" w:color="auto"/>
        <w:bottom w:val="none" w:sz="0" w:space="0" w:color="auto"/>
        <w:right w:val="none" w:sz="0" w:space="0" w:color="auto"/>
      </w:divBdr>
    </w:div>
    <w:div w:id="1865941757">
      <w:bodyDiv w:val="1"/>
      <w:marLeft w:val="0"/>
      <w:marRight w:val="0"/>
      <w:marTop w:val="0"/>
      <w:marBottom w:val="0"/>
      <w:divBdr>
        <w:top w:val="none" w:sz="0" w:space="0" w:color="auto"/>
        <w:left w:val="none" w:sz="0" w:space="0" w:color="auto"/>
        <w:bottom w:val="none" w:sz="0" w:space="0" w:color="auto"/>
        <w:right w:val="none" w:sz="0" w:space="0" w:color="auto"/>
      </w:divBdr>
    </w:div>
    <w:div w:id="1866017348">
      <w:bodyDiv w:val="1"/>
      <w:marLeft w:val="0"/>
      <w:marRight w:val="0"/>
      <w:marTop w:val="0"/>
      <w:marBottom w:val="0"/>
      <w:divBdr>
        <w:top w:val="none" w:sz="0" w:space="0" w:color="auto"/>
        <w:left w:val="none" w:sz="0" w:space="0" w:color="auto"/>
        <w:bottom w:val="none" w:sz="0" w:space="0" w:color="auto"/>
        <w:right w:val="none" w:sz="0" w:space="0" w:color="auto"/>
      </w:divBdr>
    </w:div>
    <w:div w:id="1866676337">
      <w:bodyDiv w:val="1"/>
      <w:marLeft w:val="0"/>
      <w:marRight w:val="0"/>
      <w:marTop w:val="0"/>
      <w:marBottom w:val="0"/>
      <w:divBdr>
        <w:top w:val="none" w:sz="0" w:space="0" w:color="auto"/>
        <w:left w:val="none" w:sz="0" w:space="0" w:color="auto"/>
        <w:bottom w:val="none" w:sz="0" w:space="0" w:color="auto"/>
        <w:right w:val="none" w:sz="0" w:space="0" w:color="auto"/>
      </w:divBdr>
    </w:div>
    <w:div w:id="1867016782">
      <w:bodyDiv w:val="1"/>
      <w:marLeft w:val="0"/>
      <w:marRight w:val="0"/>
      <w:marTop w:val="0"/>
      <w:marBottom w:val="0"/>
      <w:divBdr>
        <w:top w:val="none" w:sz="0" w:space="0" w:color="auto"/>
        <w:left w:val="none" w:sz="0" w:space="0" w:color="auto"/>
        <w:bottom w:val="none" w:sz="0" w:space="0" w:color="auto"/>
        <w:right w:val="none" w:sz="0" w:space="0" w:color="auto"/>
      </w:divBdr>
    </w:div>
    <w:div w:id="1867252163">
      <w:bodyDiv w:val="1"/>
      <w:marLeft w:val="0"/>
      <w:marRight w:val="0"/>
      <w:marTop w:val="0"/>
      <w:marBottom w:val="0"/>
      <w:divBdr>
        <w:top w:val="none" w:sz="0" w:space="0" w:color="auto"/>
        <w:left w:val="none" w:sz="0" w:space="0" w:color="auto"/>
        <w:bottom w:val="none" w:sz="0" w:space="0" w:color="auto"/>
        <w:right w:val="none" w:sz="0" w:space="0" w:color="auto"/>
      </w:divBdr>
    </w:div>
    <w:div w:id="1867525962">
      <w:bodyDiv w:val="1"/>
      <w:marLeft w:val="0"/>
      <w:marRight w:val="0"/>
      <w:marTop w:val="0"/>
      <w:marBottom w:val="0"/>
      <w:divBdr>
        <w:top w:val="none" w:sz="0" w:space="0" w:color="auto"/>
        <w:left w:val="none" w:sz="0" w:space="0" w:color="auto"/>
        <w:bottom w:val="none" w:sz="0" w:space="0" w:color="auto"/>
        <w:right w:val="none" w:sz="0" w:space="0" w:color="auto"/>
      </w:divBdr>
    </w:div>
    <w:div w:id="1868057948">
      <w:bodyDiv w:val="1"/>
      <w:marLeft w:val="0"/>
      <w:marRight w:val="0"/>
      <w:marTop w:val="0"/>
      <w:marBottom w:val="0"/>
      <w:divBdr>
        <w:top w:val="none" w:sz="0" w:space="0" w:color="auto"/>
        <w:left w:val="none" w:sz="0" w:space="0" w:color="auto"/>
        <w:bottom w:val="none" w:sz="0" w:space="0" w:color="auto"/>
        <w:right w:val="none" w:sz="0" w:space="0" w:color="auto"/>
      </w:divBdr>
    </w:div>
    <w:div w:id="1868450539">
      <w:bodyDiv w:val="1"/>
      <w:marLeft w:val="0"/>
      <w:marRight w:val="0"/>
      <w:marTop w:val="0"/>
      <w:marBottom w:val="0"/>
      <w:divBdr>
        <w:top w:val="none" w:sz="0" w:space="0" w:color="auto"/>
        <w:left w:val="none" w:sz="0" w:space="0" w:color="auto"/>
        <w:bottom w:val="none" w:sz="0" w:space="0" w:color="auto"/>
        <w:right w:val="none" w:sz="0" w:space="0" w:color="auto"/>
      </w:divBdr>
    </w:div>
    <w:div w:id="1869297685">
      <w:bodyDiv w:val="1"/>
      <w:marLeft w:val="0"/>
      <w:marRight w:val="0"/>
      <w:marTop w:val="0"/>
      <w:marBottom w:val="0"/>
      <w:divBdr>
        <w:top w:val="none" w:sz="0" w:space="0" w:color="auto"/>
        <w:left w:val="none" w:sz="0" w:space="0" w:color="auto"/>
        <w:bottom w:val="none" w:sz="0" w:space="0" w:color="auto"/>
        <w:right w:val="none" w:sz="0" w:space="0" w:color="auto"/>
      </w:divBdr>
    </w:div>
    <w:div w:id="1869642236">
      <w:bodyDiv w:val="1"/>
      <w:marLeft w:val="0"/>
      <w:marRight w:val="0"/>
      <w:marTop w:val="0"/>
      <w:marBottom w:val="0"/>
      <w:divBdr>
        <w:top w:val="none" w:sz="0" w:space="0" w:color="auto"/>
        <w:left w:val="none" w:sz="0" w:space="0" w:color="auto"/>
        <w:bottom w:val="none" w:sz="0" w:space="0" w:color="auto"/>
        <w:right w:val="none" w:sz="0" w:space="0" w:color="auto"/>
      </w:divBdr>
    </w:div>
    <w:div w:id="1869681904">
      <w:bodyDiv w:val="1"/>
      <w:marLeft w:val="0"/>
      <w:marRight w:val="0"/>
      <w:marTop w:val="0"/>
      <w:marBottom w:val="0"/>
      <w:divBdr>
        <w:top w:val="none" w:sz="0" w:space="0" w:color="auto"/>
        <w:left w:val="none" w:sz="0" w:space="0" w:color="auto"/>
        <w:bottom w:val="none" w:sz="0" w:space="0" w:color="auto"/>
        <w:right w:val="none" w:sz="0" w:space="0" w:color="auto"/>
      </w:divBdr>
    </w:div>
    <w:div w:id="1870101641">
      <w:bodyDiv w:val="1"/>
      <w:marLeft w:val="0"/>
      <w:marRight w:val="0"/>
      <w:marTop w:val="0"/>
      <w:marBottom w:val="0"/>
      <w:divBdr>
        <w:top w:val="none" w:sz="0" w:space="0" w:color="auto"/>
        <w:left w:val="none" w:sz="0" w:space="0" w:color="auto"/>
        <w:bottom w:val="none" w:sz="0" w:space="0" w:color="auto"/>
        <w:right w:val="none" w:sz="0" w:space="0" w:color="auto"/>
      </w:divBdr>
    </w:div>
    <w:div w:id="1870684023">
      <w:bodyDiv w:val="1"/>
      <w:marLeft w:val="0"/>
      <w:marRight w:val="0"/>
      <w:marTop w:val="0"/>
      <w:marBottom w:val="0"/>
      <w:divBdr>
        <w:top w:val="none" w:sz="0" w:space="0" w:color="auto"/>
        <w:left w:val="none" w:sz="0" w:space="0" w:color="auto"/>
        <w:bottom w:val="none" w:sz="0" w:space="0" w:color="auto"/>
        <w:right w:val="none" w:sz="0" w:space="0" w:color="auto"/>
      </w:divBdr>
    </w:div>
    <w:div w:id="1871719259">
      <w:bodyDiv w:val="1"/>
      <w:marLeft w:val="0"/>
      <w:marRight w:val="0"/>
      <w:marTop w:val="0"/>
      <w:marBottom w:val="0"/>
      <w:divBdr>
        <w:top w:val="none" w:sz="0" w:space="0" w:color="auto"/>
        <w:left w:val="none" w:sz="0" w:space="0" w:color="auto"/>
        <w:bottom w:val="none" w:sz="0" w:space="0" w:color="auto"/>
        <w:right w:val="none" w:sz="0" w:space="0" w:color="auto"/>
      </w:divBdr>
    </w:div>
    <w:div w:id="1872499870">
      <w:bodyDiv w:val="1"/>
      <w:marLeft w:val="0"/>
      <w:marRight w:val="0"/>
      <w:marTop w:val="0"/>
      <w:marBottom w:val="0"/>
      <w:divBdr>
        <w:top w:val="none" w:sz="0" w:space="0" w:color="auto"/>
        <w:left w:val="none" w:sz="0" w:space="0" w:color="auto"/>
        <w:bottom w:val="none" w:sz="0" w:space="0" w:color="auto"/>
        <w:right w:val="none" w:sz="0" w:space="0" w:color="auto"/>
      </w:divBdr>
    </w:div>
    <w:div w:id="1872836506">
      <w:bodyDiv w:val="1"/>
      <w:marLeft w:val="0"/>
      <w:marRight w:val="0"/>
      <w:marTop w:val="0"/>
      <w:marBottom w:val="0"/>
      <w:divBdr>
        <w:top w:val="none" w:sz="0" w:space="0" w:color="auto"/>
        <w:left w:val="none" w:sz="0" w:space="0" w:color="auto"/>
        <w:bottom w:val="none" w:sz="0" w:space="0" w:color="auto"/>
        <w:right w:val="none" w:sz="0" w:space="0" w:color="auto"/>
      </w:divBdr>
    </w:div>
    <w:div w:id="1873223764">
      <w:bodyDiv w:val="1"/>
      <w:marLeft w:val="0"/>
      <w:marRight w:val="0"/>
      <w:marTop w:val="0"/>
      <w:marBottom w:val="0"/>
      <w:divBdr>
        <w:top w:val="none" w:sz="0" w:space="0" w:color="auto"/>
        <w:left w:val="none" w:sz="0" w:space="0" w:color="auto"/>
        <w:bottom w:val="none" w:sz="0" w:space="0" w:color="auto"/>
        <w:right w:val="none" w:sz="0" w:space="0" w:color="auto"/>
      </w:divBdr>
    </w:div>
    <w:div w:id="1873617229">
      <w:bodyDiv w:val="1"/>
      <w:marLeft w:val="0"/>
      <w:marRight w:val="0"/>
      <w:marTop w:val="0"/>
      <w:marBottom w:val="0"/>
      <w:divBdr>
        <w:top w:val="none" w:sz="0" w:space="0" w:color="auto"/>
        <w:left w:val="none" w:sz="0" w:space="0" w:color="auto"/>
        <w:bottom w:val="none" w:sz="0" w:space="0" w:color="auto"/>
        <w:right w:val="none" w:sz="0" w:space="0" w:color="auto"/>
      </w:divBdr>
    </w:div>
    <w:div w:id="1873883818">
      <w:bodyDiv w:val="1"/>
      <w:marLeft w:val="0"/>
      <w:marRight w:val="0"/>
      <w:marTop w:val="0"/>
      <w:marBottom w:val="0"/>
      <w:divBdr>
        <w:top w:val="none" w:sz="0" w:space="0" w:color="auto"/>
        <w:left w:val="none" w:sz="0" w:space="0" w:color="auto"/>
        <w:bottom w:val="none" w:sz="0" w:space="0" w:color="auto"/>
        <w:right w:val="none" w:sz="0" w:space="0" w:color="auto"/>
      </w:divBdr>
    </w:div>
    <w:div w:id="1874223619">
      <w:bodyDiv w:val="1"/>
      <w:marLeft w:val="0"/>
      <w:marRight w:val="0"/>
      <w:marTop w:val="0"/>
      <w:marBottom w:val="0"/>
      <w:divBdr>
        <w:top w:val="none" w:sz="0" w:space="0" w:color="auto"/>
        <w:left w:val="none" w:sz="0" w:space="0" w:color="auto"/>
        <w:bottom w:val="none" w:sz="0" w:space="0" w:color="auto"/>
        <w:right w:val="none" w:sz="0" w:space="0" w:color="auto"/>
      </w:divBdr>
    </w:div>
    <w:div w:id="1874418464">
      <w:bodyDiv w:val="1"/>
      <w:marLeft w:val="0"/>
      <w:marRight w:val="0"/>
      <w:marTop w:val="0"/>
      <w:marBottom w:val="0"/>
      <w:divBdr>
        <w:top w:val="none" w:sz="0" w:space="0" w:color="auto"/>
        <w:left w:val="none" w:sz="0" w:space="0" w:color="auto"/>
        <w:bottom w:val="none" w:sz="0" w:space="0" w:color="auto"/>
        <w:right w:val="none" w:sz="0" w:space="0" w:color="auto"/>
      </w:divBdr>
    </w:div>
    <w:div w:id="1874492853">
      <w:bodyDiv w:val="1"/>
      <w:marLeft w:val="0"/>
      <w:marRight w:val="0"/>
      <w:marTop w:val="0"/>
      <w:marBottom w:val="0"/>
      <w:divBdr>
        <w:top w:val="none" w:sz="0" w:space="0" w:color="auto"/>
        <w:left w:val="none" w:sz="0" w:space="0" w:color="auto"/>
        <w:bottom w:val="none" w:sz="0" w:space="0" w:color="auto"/>
        <w:right w:val="none" w:sz="0" w:space="0" w:color="auto"/>
      </w:divBdr>
    </w:div>
    <w:div w:id="1874613487">
      <w:bodyDiv w:val="1"/>
      <w:marLeft w:val="0"/>
      <w:marRight w:val="0"/>
      <w:marTop w:val="0"/>
      <w:marBottom w:val="0"/>
      <w:divBdr>
        <w:top w:val="none" w:sz="0" w:space="0" w:color="auto"/>
        <w:left w:val="none" w:sz="0" w:space="0" w:color="auto"/>
        <w:bottom w:val="none" w:sz="0" w:space="0" w:color="auto"/>
        <w:right w:val="none" w:sz="0" w:space="0" w:color="auto"/>
      </w:divBdr>
    </w:div>
    <w:div w:id="1874729019">
      <w:bodyDiv w:val="1"/>
      <w:marLeft w:val="0"/>
      <w:marRight w:val="0"/>
      <w:marTop w:val="0"/>
      <w:marBottom w:val="0"/>
      <w:divBdr>
        <w:top w:val="none" w:sz="0" w:space="0" w:color="auto"/>
        <w:left w:val="none" w:sz="0" w:space="0" w:color="auto"/>
        <w:bottom w:val="none" w:sz="0" w:space="0" w:color="auto"/>
        <w:right w:val="none" w:sz="0" w:space="0" w:color="auto"/>
      </w:divBdr>
    </w:div>
    <w:div w:id="1875269055">
      <w:bodyDiv w:val="1"/>
      <w:marLeft w:val="0"/>
      <w:marRight w:val="0"/>
      <w:marTop w:val="0"/>
      <w:marBottom w:val="0"/>
      <w:divBdr>
        <w:top w:val="none" w:sz="0" w:space="0" w:color="auto"/>
        <w:left w:val="none" w:sz="0" w:space="0" w:color="auto"/>
        <w:bottom w:val="none" w:sz="0" w:space="0" w:color="auto"/>
        <w:right w:val="none" w:sz="0" w:space="0" w:color="auto"/>
      </w:divBdr>
    </w:div>
    <w:div w:id="1875655743">
      <w:bodyDiv w:val="1"/>
      <w:marLeft w:val="0"/>
      <w:marRight w:val="0"/>
      <w:marTop w:val="0"/>
      <w:marBottom w:val="0"/>
      <w:divBdr>
        <w:top w:val="none" w:sz="0" w:space="0" w:color="auto"/>
        <w:left w:val="none" w:sz="0" w:space="0" w:color="auto"/>
        <w:bottom w:val="none" w:sz="0" w:space="0" w:color="auto"/>
        <w:right w:val="none" w:sz="0" w:space="0" w:color="auto"/>
      </w:divBdr>
    </w:div>
    <w:div w:id="1876186492">
      <w:bodyDiv w:val="1"/>
      <w:marLeft w:val="0"/>
      <w:marRight w:val="0"/>
      <w:marTop w:val="0"/>
      <w:marBottom w:val="0"/>
      <w:divBdr>
        <w:top w:val="none" w:sz="0" w:space="0" w:color="auto"/>
        <w:left w:val="none" w:sz="0" w:space="0" w:color="auto"/>
        <w:bottom w:val="none" w:sz="0" w:space="0" w:color="auto"/>
        <w:right w:val="none" w:sz="0" w:space="0" w:color="auto"/>
      </w:divBdr>
    </w:div>
    <w:div w:id="1877040009">
      <w:bodyDiv w:val="1"/>
      <w:marLeft w:val="0"/>
      <w:marRight w:val="0"/>
      <w:marTop w:val="0"/>
      <w:marBottom w:val="0"/>
      <w:divBdr>
        <w:top w:val="none" w:sz="0" w:space="0" w:color="auto"/>
        <w:left w:val="none" w:sz="0" w:space="0" w:color="auto"/>
        <w:bottom w:val="none" w:sz="0" w:space="0" w:color="auto"/>
        <w:right w:val="none" w:sz="0" w:space="0" w:color="auto"/>
      </w:divBdr>
    </w:div>
    <w:div w:id="1877547979">
      <w:bodyDiv w:val="1"/>
      <w:marLeft w:val="0"/>
      <w:marRight w:val="0"/>
      <w:marTop w:val="0"/>
      <w:marBottom w:val="0"/>
      <w:divBdr>
        <w:top w:val="none" w:sz="0" w:space="0" w:color="auto"/>
        <w:left w:val="none" w:sz="0" w:space="0" w:color="auto"/>
        <w:bottom w:val="none" w:sz="0" w:space="0" w:color="auto"/>
        <w:right w:val="none" w:sz="0" w:space="0" w:color="auto"/>
      </w:divBdr>
    </w:div>
    <w:div w:id="1877963727">
      <w:bodyDiv w:val="1"/>
      <w:marLeft w:val="0"/>
      <w:marRight w:val="0"/>
      <w:marTop w:val="0"/>
      <w:marBottom w:val="0"/>
      <w:divBdr>
        <w:top w:val="none" w:sz="0" w:space="0" w:color="auto"/>
        <w:left w:val="none" w:sz="0" w:space="0" w:color="auto"/>
        <w:bottom w:val="none" w:sz="0" w:space="0" w:color="auto"/>
        <w:right w:val="none" w:sz="0" w:space="0" w:color="auto"/>
      </w:divBdr>
      <w:divsChild>
        <w:div w:id="559631763">
          <w:marLeft w:val="0"/>
          <w:marRight w:val="0"/>
          <w:marTop w:val="0"/>
          <w:marBottom w:val="0"/>
          <w:divBdr>
            <w:top w:val="none" w:sz="0" w:space="0" w:color="auto"/>
            <w:left w:val="none" w:sz="0" w:space="0" w:color="auto"/>
            <w:bottom w:val="none" w:sz="0" w:space="0" w:color="auto"/>
            <w:right w:val="none" w:sz="0" w:space="0" w:color="auto"/>
          </w:divBdr>
          <w:divsChild>
            <w:div w:id="1495879479">
              <w:marLeft w:val="0"/>
              <w:marRight w:val="0"/>
              <w:marTop w:val="0"/>
              <w:marBottom w:val="0"/>
              <w:divBdr>
                <w:top w:val="none" w:sz="0" w:space="0" w:color="auto"/>
                <w:left w:val="none" w:sz="0" w:space="0" w:color="auto"/>
                <w:bottom w:val="none" w:sz="0" w:space="0" w:color="auto"/>
                <w:right w:val="none" w:sz="0" w:space="0" w:color="auto"/>
              </w:divBdr>
            </w:div>
          </w:divsChild>
        </w:div>
        <w:div w:id="1328091976">
          <w:marLeft w:val="0"/>
          <w:marRight w:val="0"/>
          <w:marTop w:val="0"/>
          <w:marBottom w:val="0"/>
          <w:divBdr>
            <w:top w:val="none" w:sz="0" w:space="0" w:color="auto"/>
            <w:left w:val="none" w:sz="0" w:space="0" w:color="auto"/>
            <w:bottom w:val="none" w:sz="0" w:space="0" w:color="auto"/>
            <w:right w:val="none" w:sz="0" w:space="0" w:color="auto"/>
          </w:divBdr>
          <w:divsChild>
            <w:div w:id="266696287">
              <w:marLeft w:val="0"/>
              <w:marRight w:val="0"/>
              <w:marTop w:val="0"/>
              <w:marBottom w:val="0"/>
              <w:divBdr>
                <w:top w:val="none" w:sz="0" w:space="0" w:color="auto"/>
                <w:left w:val="none" w:sz="0" w:space="0" w:color="auto"/>
                <w:bottom w:val="none" w:sz="0" w:space="0" w:color="auto"/>
                <w:right w:val="none" w:sz="0" w:space="0" w:color="auto"/>
              </w:divBdr>
            </w:div>
          </w:divsChild>
        </w:div>
        <w:div w:id="1841653263">
          <w:marLeft w:val="374"/>
          <w:marRight w:val="374"/>
          <w:marTop w:val="468"/>
          <w:marBottom w:val="0"/>
          <w:divBdr>
            <w:top w:val="none" w:sz="0" w:space="0" w:color="auto"/>
            <w:left w:val="none" w:sz="0" w:space="0" w:color="auto"/>
            <w:bottom w:val="none" w:sz="0" w:space="0" w:color="auto"/>
            <w:right w:val="none" w:sz="0" w:space="0" w:color="auto"/>
          </w:divBdr>
          <w:divsChild>
            <w:div w:id="363092184">
              <w:marLeft w:val="0"/>
              <w:marRight w:val="0"/>
              <w:marTop w:val="0"/>
              <w:marBottom w:val="0"/>
              <w:divBdr>
                <w:top w:val="none" w:sz="0" w:space="0" w:color="auto"/>
                <w:left w:val="none" w:sz="0" w:space="0" w:color="auto"/>
                <w:bottom w:val="none" w:sz="0" w:space="0" w:color="auto"/>
                <w:right w:val="none" w:sz="0" w:space="0" w:color="auto"/>
              </w:divBdr>
            </w:div>
            <w:div w:id="8514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7658">
      <w:bodyDiv w:val="1"/>
      <w:marLeft w:val="0"/>
      <w:marRight w:val="0"/>
      <w:marTop w:val="0"/>
      <w:marBottom w:val="0"/>
      <w:divBdr>
        <w:top w:val="none" w:sz="0" w:space="0" w:color="auto"/>
        <w:left w:val="none" w:sz="0" w:space="0" w:color="auto"/>
        <w:bottom w:val="none" w:sz="0" w:space="0" w:color="auto"/>
        <w:right w:val="none" w:sz="0" w:space="0" w:color="auto"/>
      </w:divBdr>
    </w:div>
    <w:div w:id="1880511877">
      <w:bodyDiv w:val="1"/>
      <w:marLeft w:val="0"/>
      <w:marRight w:val="0"/>
      <w:marTop w:val="0"/>
      <w:marBottom w:val="0"/>
      <w:divBdr>
        <w:top w:val="none" w:sz="0" w:space="0" w:color="auto"/>
        <w:left w:val="none" w:sz="0" w:space="0" w:color="auto"/>
        <w:bottom w:val="none" w:sz="0" w:space="0" w:color="auto"/>
        <w:right w:val="none" w:sz="0" w:space="0" w:color="auto"/>
      </w:divBdr>
    </w:div>
    <w:div w:id="1881475289">
      <w:bodyDiv w:val="1"/>
      <w:marLeft w:val="0"/>
      <w:marRight w:val="0"/>
      <w:marTop w:val="0"/>
      <w:marBottom w:val="0"/>
      <w:divBdr>
        <w:top w:val="none" w:sz="0" w:space="0" w:color="auto"/>
        <w:left w:val="none" w:sz="0" w:space="0" w:color="auto"/>
        <w:bottom w:val="none" w:sz="0" w:space="0" w:color="auto"/>
        <w:right w:val="none" w:sz="0" w:space="0" w:color="auto"/>
      </w:divBdr>
    </w:div>
    <w:div w:id="1881670156">
      <w:bodyDiv w:val="1"/>
      <w:marLeft w:val="0"/>
      <w:marRight w:val="0"/>
      <w:marTop w:val="0"/>
      <w:marBottom w:val="0"/>
      <w:divBdr>
        <w:top w:val="none" w:sz="0" w:space="0" w:color="auto"/>
        <w:left w:val="none" w:sz="0" w:space="0" w:color="auto"/>
        <w:bottom w:val="none" w:sz="0" w:space="0" w:color="auto"/>
        <w:right w:val="none" w:sz="0" w:space="0" w:color="auto"/>
      </w:divBdr>
    </w:div>
    <w:div w:id="1882012895">
      <w:bodyDiv w:val="1"/>
      <w:marLeft w:val="0"/>
      <w:marRight w:val="0"/>
      <w:marTop w:val="0"/>
      <w:marBottom w:val="0"/>
      <w:divBdr>
        <w:top w:val="none" w:sz="0" w:space="0" w:color="auto"/>
        <w:left w:val="none" w:sz="0" w:space="0" w:color="auto"/>
        <w:bottom w:val="none" w:sz="0" w:space="0" w:color="auto"/>
        <w:right w:val="none" w:sz="0" w:space="0" w:color="auto"/>
      </w:divBdr>
    </w:div>
    <w:div w:id="1882592859">
      <w:bodyDiv w:val="1"/>
      <w:marLeft w:val="0"/>
      <w:marRight w:val="0"/>
      <w:marTop w:val="0"/>
      <w:marBottom w:val="0"/>
      <w:divBdr>
        <w:top w:val="none" w:sz="0" w:space="0" w:color="auto"/>
        <w:left w:val="none" w:sz="0" w:space="0" w:color="auto"/>
        <w:bottom w:val="none" w:sz="0" w:space="0" w:color="auto"/>
        <w:right w:val="none" w:sz="0" w:space="0" w:color="auto"/>
      </w:divBdr>
    </w:div>
    <w:div w:id="1883857231">
      <w:bodyDiv w:val="1"/>
      <w:marLeft w:val="0"/>
      <w:marRight w:val="0"/>
      <w:marTop w:val="0"/>
      <w:marBottom w:val="0"/>
      <w:divBdr>
        <w:top w:val="none" w:sz="0" w:space="0" w:color="auto"/>
        <w:left w:val="none" w:sz="0" w:space="0" w:color="auto"/>
        <w:bottom w:val="none" w:sz="0" w:space="0" w:color="auto"/>
        <w:right w:val="none" w:sz="0" w:space="0" w:color="auto"/>
      </w:divBdr>
    </w:div>
    <w:div w:id="1884707948">
      <w:bodyDiv w:val="1"/>
      <w:marLeft w:val="0"/>
      <w:marRight w:val="0"/>
      <w:marTop w:val="0"/>
      <w:marBottom w:val="0"/>
      <w:divBdr>
        <w:top w:val="none" w:sz="0" w:space="0" w:color="auto"/>
        <w:left w:val="none" w:sz="0" w:space="0" w:color="auto"/>
        <w:bottom w:val="none" w:sz="0" w:space="0" w:color="auto"/>
        <w:right w:val="none" w:sz="0" w:space="0" w:color="auto"/>
      </w:divBdr>
    </w:div>
    <w:div w:id="1884907599">
      <w:bodyDiv w:val="1"/>
      <w:marLeft w:val="0"/>
      <w:marRight w:val="0"/>
      <w:marTop w:val="0"/>
      <w:marBottom w:val="0"/>
      <w:divBdr>
        <w:top w:val="none" w:sz="0" w:space="0" w:color="auto"/>
        <w:left w:val="none" w:sz="0" w:space="0" w:color="auto"/>
        <w:bottom w:val="none" w:sz="0" w:space="0" w:color="auto"/>
        <w:right w:val="none" w:sz="0" w:space="0" w:color="auto"/>
      </w:divBdr>
    </w:div>
    <w:div w:id="1885827104">
      <w:bodyDiv w:val="1"/>
      <w:marLeft w:val="0"/>
      <w:marRight w:val="0"/>
      <w:marTop w:val="0"/>
      <w:marBottom w:val="0"/>
      <w:divBdr>
        <w:top w:val="none" w:sz="0" w:space="0" w:color="auto"/>
        <w:left w:val="none" w:sz="0" w:space="0" w:color="auto"/>
        <w:bottom w:val="none" w:sz="0" w:space="0" w:color="auto"/>
        <w:right w:val="none" w:sz="0" w:space="0" w:color="auto"/>
      </w:divBdr>
    </w:div>
    <w:div w:id="1886719864">
      <w:bodyDiv w:val="1"/>
      <w:marLeft w:val="0"/>
      <w:marRight w:val="0"/>
      <w:marTop w:val="0"/>
      <w:marBottom w:val="0"/>
      <w:divBdr>
        <w:top w:val="none" w:sz="0" w:space="0" w:color="auto"/>
        <w:left w:val="none" w:sz="0" w:space="0" w:color="auto"/>
        <w:bottom w:val="none" w:sz="0" w:space="0" w:color="auto"/>
        <w:right w:val="none" w:sz="0" w:space="0" w:color="auto"/>
      </w:divBdr>
    </w:div>
    <w:div w:id="1887175231">
      <w:bodyDiv w:val="1"/>
      <w:marLeft w:val="0"/>
      <w:marRight w:val="0"/>
      <w:marTop w:val="0"/>
      <w:marBottom w:val="0"/>
      <w:divBdr>
        <w:top w:val="none" w:sz="0" w:space="0" w:color="auto"/>
        <w:left w:val="none" w:sz="0" w:space="0" w:color="auto"/>
        <w:bottom w:val="none" w:sz="0" w:space="0" w:color="auto"/>
        <w:right w:val="none" w:sz="0" w:space="0" w:color="auto"/>
      </w:divBdr>
    </w:div>
    <w:div w:id="1887250818">
      <w:bodyDiv w:val="1"/>
      <w:marLeft w:val="0"/>
      <w:marRight w:val="0"/>
      <w:marTop w:val="0"/>
      <w:marBottom w:val="0"/>
      <w:divBdr>
        <w:top w:val="none" w:sz="0" w:space="0" w:color="auto"/>
        <w:left w:val="none" w:sz="0" w:space="0" w:color="auto"/>
        <w:bottom w:val="none" w:sz="0" w:space="0" w:color="auto"/>
        <w:right w:val="none" w:sz="0" w:space="0" w:color="auto"/>
      </w:divBdr>
    </w:div>
    <w:div w:id="1887253304">
      <w:bodyDiv w:val="1"/>
      <w:marLeft w:val="0"/>
      <w:marRight w:val="0"/>
      <w:marTop w:val="0"/>
      <w:marBottom w:val="0"/>
      <w:divBdr>
        <w:top w:val="none" w:sz="0" w:space="0" w:color="auto"/>
        <w:left w:val="none" w:sz="0" w:space="0" w:color="auto"/>
        <w:bottom w:val="none" w:sz="0" w:space="0" w:color="auto"/>
        <w:right w:val="none" w:sz="0" w:space="0" w:color="auto"/>
      </w:divBdr>
    </w:div>
    <w:div w:id="1887377722">
      <w:bodyDiv w:val="1"/>
      <w:marLeft w:val="0"/>
      <w:marRight w:val="0"/>
      <w:marTop w:val="0"/>
      <w:marBottom w:val="0"/>
      <w:divBdr>
        <w:top w:val="none" w:sz="0" w:space="0" w:color="auto"/>
        <w:left w:val="none" w:sz="0" w:space="0" w:color="auto"/>
        <w:bottom w:val="none" w:sz="0" w:space="0" w:color="auto"/>
        <w:right w:val="none" w:sz="0" w:space="0" w:color="auto"/>
      </w:divBdr>
    </w:div>
    <w:div w:id="1887449439">
      <w:bodyDiv w:val="1"/>
      <w:marLeft w:val="0"/>
      <w:marRight w:val="0"/>
      <w:marTop w:val="0"/>
      <w:marBottom w:val="0"/>
      <w:divBdr>
        <w:top w:val="none" w:sz="0" w:space="0" w:color="auto"/>
        <w:left w:val="none" w:sz="0" w:space="0" w:color="auto"/>
        <w:bottom w:val="none" w:sz="0" w:space="0" w:color="auto"/>
        <w:right w:val="none" w:sz="0" w:space="0" w:color="auto"/>
      </w:divBdr>
    </w:div>
    <w:div w:id="1887790949">
      <w:bodyDiv w:val="1"/>
      <w:marLeft w:val="0"/>
      <w:marRight w:val="0"/>
      <w:marTop w:val="0"/>
      <w:marBottom w:val="0"/>
      <w:divBdr>
        <w:top w:val="none" w:sz="0" w:space="0" w:color="auto"/>
        <w:left w:val="none" w:sz="0" w:space="0" w:color="auto"/>
        <w:bottom w:val="none" w:sz="0" w:space="0" w:color="auto"/>
        <w:right w:val="none" w:sz="0" w:space="0" w:color="auto"/>
      </w:divBdr>
    </w:div>
    <w:div w:id="1888252639">
      <w:bodyDiv w:val="1"/>
      <w:marLeft w:val="0"/>
      <w:marRight w:val="0"/>
      <w:marTop w:val="0"/>
      <w:marBottom w:val="0"/>
      <w:divBdr>
        <w:top w:val="none" w:sz="0" w:space="0" w:color="auto"/>
        <w:left w:val="none" w:sz="0" w:space="0" w:color="auto"/>
        <w:bottom w:val="none" w:sz="0" w:space="0" w:color="auto"/>
        <w:right w:val="none" w:sz="0" w:space="0" w:color="auto"/>
      </w:divBdr>
    </w:div>
    <w:div w:id="1888368153">
      <w:bodyDiv w:val="1"/>
      <w:marLeft w:val="0"/>
      <w:marRight w:val="0"/>
      <w:marTop w:val="0"/>
      <w:marBottom w:val="0"/>
      <w:divBdr>
        <w:top w:val="none" w:sz="0" w:space="0" w:color="auto"/>
        <w:left w:val="none" w:sz="0" w:space="0" w:color="auto"/>
        <w:bottom w:val="none" w:sz="0" w:space="0" w:color="auto"/>
        <w:right w:val="none" w:sz="0" w:space="0" w:color="auto"/>
      </w:divBdr>
    </w:div>
    <w:div w:id="1889100005">
      <w:bodyDiv w:val="1"/>
      <w:marLeft w:val="0"/>
      <w:marRight w:val="0"/>
      <w:marTop w:val="0"/>
      <w:marBottom w:val="0"/>
      <w:divBdr>
        <w:top w:val="none" w:sz="0" w:space="0" w:color="auto"/>
        <w:left w:val="none" w:sz="0" w:space="0" w:color="auto"/>
        <w:bottom w:val="none" w:sz="0" w:space="0" w:color="auto"/>
        <w:right w:val="none" w:sz="0" w:space="0" w:color="auto"/>
      </w:divBdr>
    </w:div>
    <w:div w:id="1889605578">
      <w:bodyDiv w:val="1"/>
      <w:marLeft w:val="0"/>
      <w:marRight w:val="0"/>
      <w:marTop w:val="0"/>
      <w:marBottom w:val="0"/>
      <w:divBdr>
        <w:top w:val="none" w:sz="0" w:space="0" w:color="auto"/>
        <w:left w:val="none" w:sz="0" w:space="0" w:color="auto"/>
        <w:bottom w:val="none" w:sz="0" w:space="0" w:color="auto"/>
        <w:right w:val="none" w:sz="0" w:space="0" w:color="auto"/>
      </w:divBdr>
    </w:div>
    <w:div w:id="1890217705">
      <w:bodyDiv w:val="1"/>
      <w:marLeft w:val="0"/>
      <w:marRight w:val="0"/>
      <w:marTop w:val="0"/>
      <w:marBottom w:val="0"/>
      <w:divBdr>
        <w:top w:val="none" w:sz="0" w:space="0" w:color="auto"/>
        <w:left w:val="none" w:sz="0" w:space="0" w:color="auto"/>
        <w:bottom w:val="none" w:sz="0" w:space="0" w:color="auto"/>
        <w:right w:val="none" w:sz="0" w:space="0" w:color="auto"/>
      </w:divBdr>
    </w:div>
    <w:div w:id="1890993002">
      <w:bodyDiv w:val="1"/>
      <w:marLeft w:val="0"/>
      <w:marRight w:val="0"/>
      <w:marTop w:val="0"/>
      <w:marBottom w:val="0"/>
      <w:divBdr>
        <w:top w:val="none" w:sz="0" w:space="0" w:color="auto"/>
        <w:left w:val="none" w:sz="0" w:space="0" w:color="auto"/>
        <w:bottom w:val="none" w:sz="0" w:space="0" w:color="auto"/>
        <w:right w:val="none" w:sz="0" w:space="0" w:color="auto"/>
      </w:divBdr>
    </w:div>
    <w:div w:id="1891569313">
      <w:bodyDiv w:val="1"/>
      <w:marLeft w:val="0"/>
      <w:marRight w:val="0"/>
      <w:marTop w:val="0"/>
      <w:marBottom w:val="0"/>
      <w:divBdr>
        <w:top w:val="none" w:sz="0" w:space="0" w:color="auto"/>
        <w:left w:val="none" w:sz="0" w:space="0" w:color="auto"/>
        <w:bottom w:val="none" w:sz="0" w:space="0" w:color="auto"/>
        <w:right w:val="none" w:sz="0" w:space="0" w:color="auto"/>
      </w:divBdr>
    </w:div>
    <w:div w:id="1892421440">
      <w:bodyDiv w:val="1"/>
      <w:marLeft w:val="0"/>
      <w:marRight w:val="0"/>
      <w:marTop w:val="0"/>
      <w:marBottom w:val="0"/>
      <w:divBdr>
        <w:top w:val="none" w:sz="0" w:space="0" w:color="auto"/>
        <w:left w:val="none" w:sz="0" w:space="0" w:color="auto"/>
        <w:bottom w:val="none" w:sz="0" w:space="0" w:color="auto"/>
        <w:right w:val="none" w:sz="0" w:space="0" w:color="auto"/>
      </w:divBdr>
    </w:div>
    <w:div w:id="1892501049">
      <w:bodyDiv w:val="1"/>
      <w:marLeft w:val="0"/>
      <w:marRight w:val="0"/>
      <w:marTop w:val="0"/>
      <w:marBottom w:val="0"/>
      <w:divBdr>
        <w:top w:val="none" w:sz="0" w:space="0" w:color="auto"/>
        <w:left w:val="none" w:sz="0" w:space="0" w:color="auto"/>
        <w:bottom w:val="none" w:sz="0" w:space="0" w:color="auto"/>
        <w:right w:val="none" w:sz="0" w:space="0" w:color="auto"/>
      </w:divBdr>
    </w:div>
    <w:div w:id="1892615561">
      <w:bodyDiv w:val="1"/>
      <w:marLeft w:val="0"/>
      <w:marRight w:val="0"/>
      <w:marTop w:val="0"/>
      <w:marBottom w:val="0"/>
      <w:divBdr>
        <w:top w:val="none" w:sz="0" w:space="0" w:color="auto"/>
        <w:left w:val="none" w:sz="0" w:space="0" w:color="auto"/>
        <w:bottom w:val="none" w:sz="0" w:space="0" w:color="auto"/>
        <w:right w:val="none" w:sz="0" w:space="0" w:color="auto"/>
      </w:divBdr>
    </w:div>
    <w:div w:id="1893033905">
      <w:bodyDiv w:val="1"/>
      <w:marLeft w:val="0"/>
      <w:marRight w:val="0"/>
      <w:marTop w:val="0"/>
      <w:marBottom w:val="0"/>
      <w:divBdr>
        <w:top w:val="none" w:sz="0" w:space="0" w:color="auto"/>
        <w:left w:val="none" w:sz="0" w:space="0" w:color="auto"/>
        <w:bottom w:val="none" w:sz="0" w:space="0" w:color="auto"/>
        <w:right w:val="none" w:sz="0" w:space="0" w:color="auto"/>
      </w:divBdr>
    </w:div>
    <w:div w:id="1894197035">
      <w:bodyDiv w:val="1"/>
      <w:marLeft w:val="0"/>
      <w:marRight w:val="0"/>
      <w:marTop w:val="0"/>
      <w:marBottom w:val="0"/>
      <w:divBdr>
        <w:top w:val="none" w:sz="0" w:space="0" w:color="auto"/>
        <w:left w:val="none" w:sz="0" w:space="0" w:color="auto"/>
        <w:bottom w:val="none" w:sz="0" w:space="0" w:color="auto"/>
        <w:right w:val="none" w:sz="0" w:space="0" w:color="auto"/>
      </w:divBdr>
    </w:div>
    <w:div w:id="1894809459">
      <w:bodyDiv w:val="1"/>
      <w:marLeft w:val="0"/>
      <w:marRight w:val="0"/>
      <w:marTop w:val="0"/>
      <w:marBottom w:val="0"/>
      <w:divBdr>
        <w:top w:val="none" w:sz="0" w:space="0" w:color="auto"/>
        <w:left w:val="none" w:sz="0" w:space="0" w:color="auto"/>
        <w:bottom w:val="none" w:sz="0" w:space="0" w:color="auto"/>
        <w:right w:val="none" w:sz="0" w:space="0" w:color="auto"/>
      </w:divBdr>
    </w:div>
    <w:div w:id="1894925784">
      <w:bodyDiv w:val="1"/>
      <w:marLeft w:val="0"/>
      <w:marRight w:val="0"/>
      <w:marTop w:val="0"/>
      <w:marBottom w:val="0"/>
      <w:divBdr>
        <w:top w:val="none" w:sz="0" w:space="0" w:color="auto"/>
        <w:left w:val="none" w:sz="0" w:space="0" w:color="auto"/>
        <w:bottom w:val="none" w:sz="0" w:space="0" w:color="auto"/>
        <w:right w:val="none" w:sz="0" w:space="0" w:color="auto"/>
      </w:divBdr>
    </w:div>
    <w:div w:id="1894925863">
      <w:bodyDiv w:val="1"/>
      <w:marLeft w:val="0"/>
      <w:marRight w:val="0"/>
      <w:marTop w:val="0"/>
      <w:marBottom w:val="0"/>
      <w:divBdr>
        <w:top w:val="none" w:sz="0" w:space="0" w:color="auto"/>
        <w:left w:val="none" w:sz="0" w:space="0" w:color="auto"/>
        <w:bottom w:val="none" w:sz="0" w:space="0" w:color="auto"/>
        <w:right w:val="none" w:sz="0" w:space="0" w:color="auto"/>
      </w:divBdr>
    </w:div>
    <w:div w:id="1895042473">
      <w:bodyDiv w:val="1"/>
      <w:marLeft w:val="0"/>
      <w:marRight w:val="0"/>
      <w:marTop w:val="0"/>
      <w:marBottom w:val="0"/>
      <w:divBdr>
        <w:top w:val="none" w:sz="0" w:space="0" w:color="auto"/>
        <w:left w:val="none" w:sz="0" w:space="0" w:color="auto"/>
        <w:bottom w:val="none" w:sz="0" w:space="0" w:color="auto"/>
        <w:right w:val="none" w:sz="0" w:space="0" w:color="auto"/>
      </w:divBdr>
    </w:div>
    <w:div w:id="1895391920">
      <w:bodyDiv w:val="1"/>
      <w:marLeft w:val="0"/>
      <w:marRight w:val="0"/>
      <w:marTop w:val="0"/>
      <w:marBottom w:val="0"/>
      <w:divBdr>
        <w:top w:val="none" w:sz="0" w:space="0" w:color="auto"/>
        <w:left w:val="none" w:sz="0" w:space="0" w:color="auto"/>
        <w:bottom w:val="none" w:sz="0" w:space="0" w:color="auto"/>
        <w:right w:val="none" w:sz="0" w:space="0" w:color="auto"/>
      </w:divBdr>
    </w:div>
    <w:div w:id="1895501214">
      <w:bodyDiv w:val="1"/>
      <w:marLeft w:val="0"/>
      <w:marRight w:val="0"/>
      <w:marTop w:val="0"/>
      <w:marBottom w:val="0"/>
      <w:divBdr>
        <w:top w:val="none" w:sz="0" w:space="0" w:color="auto"/>
        <w:left w:val="none" w:sz="0" w:space="0" w:color="auto"/>
        <w:bottom w:val="none" w:sz="0" w:space="0" w:color="auto"/>
        <w:right w:val="none" w:sz="0" w:space="0" w:color="auto"/>
      </w:divBdr>
    </w:div>
    <w:div w:id="1895576867">
      <w:bodyDiv w:val="1"/>
      <w:marLeft w:val="0"/>
      <w:marRight w:val="0"/>
      <w:marTop w:val="0"/>
      <w:marBottom w:val="0"/>
      <w:divBdr>
        <w:top w:val="none" w:sz="0" w:space="0" w:color="auto"/>
        <w:left w:val="none" w:sz="0" w:space="0" w:color="auto"/>
        <w:bottom w:val="none" w:sz="0" w:space="0" w:color="auto"/>
        <w:right w:val="none" w:sz="0" w:space="0" w:color="auto"/>
      </w:divBdr>
    </w:div>
    <w:div w:id="1895896393">
      <w:bodyDiv w:val="1"/>
      <w:marLeft w:val="0"/>
      <w:marRight w:val="0"/>
      <w:marTop w:val="0"/>
      <w:marBottom w:val="0"/>
      <w:divBdr>
        <w:top w:val="none" w:sz="0" w:space="0" w:color="auto"/>
        <w:left w:val="none" w:sz="0" w:space="0" w:color="auto"/>
        <w:bottom w:val="none" w:sz="0" w:space="0" w:color="auto"/>
        <w:right w:val="none" w:sz="0" w:space="0" w:color="auto"/>
      </w:divBdr>
    </w:div>
    <w:div w:id="1896233681">
      <w:bodyDiv w:val="1"/>
      <w:marLeft w:val="0"/>
      <w:marRight w:val="0"/>
      <w:marTop w:val="0"/>
      <w:marBottom w:val="0"/>
      <w:divBdr>
        <w:top w:val="none" w:sz="0" w:space="0" w:color="auto"/>
        <w:left w:val="none" w:sz="0" w:space="0" w:color="auto"/>
        <w:bottom w:val="none" w:sz="0" w:space="0" w:color="auto"/>
        <w:right w:val="none" w:sz="0" w:space="0" w:color="auto"/>
      </w:divBdr>
    </w:div>
    <w:div w:id="1896966703">
      <w:bodyDiv w:val="1"/>
      <w:marLeft w:val="0"/>
      <w:marRight w:val="0"/>
      <w:marTop w:val="0"/>
      <w:marBottom w:val="0"/>
      <w:divBdr>
        <w:top w:val="none" w:sz="0" w:space="0" w:color="auto"/>
        <w:left w:val="none" w:sz="0" w:space="0" w:color="auto"/>
        <w:bottom w:val="none" w:sz="0" w:space="0" w:color="auto"/>
        <w:right w:val="none" w:sz="0" w:space="0" w:color="auto"/>
      </w:divBdr>
    </w:div>
    <w:div w:id="1897012989">
      <w:bodyDiv w:val="1"/>
      <w:marLeft w:val="0"/>
      <w:marRight w:val="0"/>
      <w:marTop w:val="0"/>
      <w:marBottom w:val="0"/>
      <w:divBdr>
        <w:top w:val="none" w:sz="0" w:space="0" w:color="auto"/>
        <w:left w:val="none" w:sz="0" w:space="0" w:color="auto"/>
        <w:bottom w:val="none" w:sz="0" w:space="0" w:color="auto"/>
        <w:right w:val="none" w:sz="0" w:space="0" w:color="auto"/>
      </w:divBdr>
    </w:div>
    <w:div w:id="1898124269">
      <w:bodyDiv w:val="1"/>
      <w:marLeft w:val="0"/>
      <w:marRight w:val="0"/>
      <w:marTop w:val="0"/>
      <w:marBottom w:val="0"/>
      <w:divBdr>
        <w:top w:val="none" w:sz="0" w:space="0" w:color="auto"/>
        <w:left w:val="none" w:sz="0" w:space="0" w:color="auto"/>
        <w:bottom w:val="none" w:sz="0" w:space="0" w:color="auto"/>
        <w:right w:val="none" w:sz="0" w:space="0" w:color="auto"/>
      </w:divBdr>
    </w:div>
    <w:div w:id="1899510145">
      <w:bodyDiv w:val="1"/>
      <w:marLeft w:val="0"/>
      <w:marRight w:val="0"/>
      <w:marTop w:val="0"/>
      <w:marBottom w:val="0"/>
      <w:divBdr>
        <w:top w:val="none" w:sz="0" w:space="0" w:color="auto"/>
        <w:left w:val="none" w:sz="0" w:space="0" w:color="auto"/>
        <w:bottom w:val="none" w:sz="0" w:space="0" w:color="auto"/>
        <w:right w:val="none" w:sz="0" w:space="0" w:color="auto"/>
      </w:divBdr>
    </w:div>
    <w:div w:id="1899783978">
      <w:bodyDiv w:val="1"/>
      <w:marLeft w:val="0"/>
      <w:marRight w:val="0"/>
      <w:marTop w:val="0"/>
      <w:marBottom w:val="0"/>
      <w:divBdr>
        <w:top w:val="none" w:sz="0" w:space="0" w:color="auto"/>
        <w:left w:val="none" w:sz="0" w:space="0" w:color="auto"/>
        <w:bottom w:val="none" w:sz="0" w:space="0" w:color="auto"/>
        <w:right w:val="none" w:sz="0" w:space="0" w:color="auto"/>
      </w:divBdr>
    </w:div>
    <w:div w:id="1899854847">
      <w:bodyDiv w:val="1"/>
      <w:marLeft w:val="0"/>
      <w:marRight w:val="0"/>
      <w:marTop w:val="0"/>
      <w:marBottom w:val="0"/>
      <w:divBdr>
        <w:top w:val="none" w:sz="0" w:space="0" w:color="auto"/>
        <w:left w:val="none" w:sz="0" w:space="0" w:color="auto"/>
        <w:bottom w:val="none" w:sz="0" w:space="0" w:color="auto"/>
        <w:right w:val="none" w:sz="0" w:space="0" w:color="auto"/>
      </w:divBdr>
    </w:div>
    <w:div w:id="1900088301">
      <w:bodyDiv w:val="1"/>
      <w:marLeft w:val="0"/>
      <w:marRight w:val="0"/>
      <w:marTop w:val="0"/>
      <w:marBottom w:val="0"/>
      <w:divBdr>
        <w:top w:val="none" w:sz="0" w:space="0" w:color="auto"/>
        <w:left w:val="none" w:sz="0" w:space="0" w:color="auto"/>
        <w:bottom w:val="none" w:sz="0" w:space="0" w:color="auto"/>
        <w:right w:val="none" w:sz="0" w:space="0" w:color="auto"/>
      </w:divBdr>
    </w:div>
    <w:div w:id="1900314615">
      <w:bodyDiv w:val="1"/>
      <w:marLeft w:val="0"/>
      <w:marRight w:val="0"/>
      <w:marTop w:val="0"/>
      <w:marBottom w:val="0"/>
      <w:divBdr>
        <w:top w:val="none" w:sz="0" w:space="0" w:color="auto"/>
        <w:left w:val="none" w:sz="0" w:space="0" w:color="auto"/>
        <w:bottom w:val="none" w:sz="0" w:space="0" w:color="auto"/>
        <w:right w:val="none" w:sz="0" w:space="0" w:color="auto"/>
      </w:divBdr>
    </w:div>
    <w:div w:id="1900506901">
      <w:bodyDiv w:val="1"/>
      <w:marLeft w:val="0"/>
      <w:marRight w:val="0"/>
      <w:marTop w:val="0"/>
      <w:marBottom w:val="0"/>
      <w:divBdr>
        <w:top w:val="none" w:sz="0" w:space="0" w:color="auto"/>
        <w:left w:val="none" w:sz="0" w:space="0" w:color="auto"/>
        <w:bottom w:val="none" w:sz="0" w:space="0" w:color="auto"/>
        <w:right w:val="none" w:sz="0" w:space="0" w:color="auto"/>
      </w:divBdr>
    </w:div>
    <w:div w:id="1900510433">
      <w:bodyDiv w:val="1"/>
      <w:marLeft w:val="0"/>
      <w:marRight w:val="0"/>
      <w:marTop w:val="0"/>
      <w:marBottom w:val="0"/>
      <w:divBdr>
        <w:top w:val="none" w:sz="0" w:space="0" w:color="auto"/>
        <w:left w:val="none" w:sz="0" w:space="0" w:color="auto"/>
        <w:bottom w:val="none" w:sz="0" w:space="0" w:color="auto"/>
        <w:right w:val="none" w:sz="0" w:space="0" w:color="auto"/>
      </w:divBdr>
    </w:div>
    <w:div w:id="1901399276">
      <w:bodyDiv w:val="1"/>
      <w:marLeft w:val="0"/>
      <w:marRight w:val="0"/>
      <w:marTop w:val="0"/>
      <w:marBottom w:val="0"/>
      <w:divBdr>
        <w:top w:val="none" w:sz="0" w:space="0" w:color="auto"/>
        <w:left w:val="none" w:sz="0" w:space="0" w:color="auto"/>
        <w:bottom w:val="none" w:sz="0" w:space="0" w:color="auto"/>
        <w:right w:val="none" w:sz="0" w:space="0" w:color="auto"/>
      </w:divBdr>
    </w:div>
    <w:div w:id="1901597288">
      <w:bodyDiv w:val="1"/>
      <w:marLeft w:val="0"/>
      <w:marRight w:val="0"/>
      <w:marTop w:val="0"/>
      <w:marBottom w:val="0"/>
      <w:divBdr>
        <w:top w:val="none" w:sz="0" w:space="0" w:color="auto"/>
        <w:left w:val="none" w:sz="0" w:space="0" w:color="auto"/>
        <w:bottom w:val="none" w:sz="0" w:space="0" w:color="auto"/>
        <w:right w:val="none" w:sz="0" w:space="0" w:color="auto"/>
      </w:divBdr>
    </w:div>
    <w:div w:id="1901667821">
      <w:bodyDiv w:val="1"/>
      <w:marLeft w:val="0"/>
      <w:marRight w:val="0"/>
      <w:marTop w:val="0"/>
      <w:marBottom w:val="0"/>
      <w:divBdr>
        <w:top w:val="none" w:sz="0" w:space="0" w:color="auto"/>
        <w:left w:val="none" w:sz="0" w:space="0" w:color="auto"/>
        <w:bottom w:val="none" w:sz="0" w:space="0" w:color="auto"/>
        <w:right w:val="none" w:sz="0" w:space="0" w:color="auto"/>
      </w:divBdr>
    </w:div>
    <w:div w:id="1901749620">
      <w:bodyDiv w:val="1"/>
      <w:marLeft w:val="0"/>
      <w:marRight w:val="0"/>
      <w:marTop w:val="0"/>
      <w:marBottom w:val="0"/>
      <w:divBdr>
        <w:top w:val="none" w:sz="0" w:space="0" w:color="auto"/>
        <w:left w:val="none" w:sz="0" w:space="0" w:color="auto"/>
        <w:bottom w:val="none" w:sz="0" w:space="0" w:color="auto"/>
        <w:right w:val="none" w:sz="0" w:space="0" w:color="auto"/>
      </w:divBdr>
    </w:div>
    <w:div w:id="1902591903">
      <w:bodyDiv w:val="1"/>
      <w:marLeft w:val="0"/>
      <w:marRight w:val="0"/>
      <w:marTop w:val="0"/>
      <w:marBottom w:val="0"/>
      <w:divBdr>
        <w:top w:val="none" w:sz="0" w:space="0" w:color="auto"/>
        <w:left w:val="none" w:sz="0" w:space="0" w:color="auto"/>
        <w:bottom w:val="none" w:sz="0" w:space="0" w:color="auto"/>
        <w:right w:val="none" w:sz="0" w:space="0" w:color="auto"/>
      </w:divBdr>
    </w:div>
    <w:div w:id="1902672888">
      <w:bodyDiv w:val="1"/>
      <w:marLeft w:val="0"/>
      <w:marRight w:val="0"/>
      <w:marTop w:val="0"/>
      <w:marBottom w:val="0"/>
      <w:divBdr>
        <w:top w:val="none" w:sz="0" w:space="0" w:color="auto"/>
        <w:left w:val="none" w:sz="0" w:space="0" w:color="auto"/>
        <w:bottom w:val="none" w:sz="0" w:space="0" w:color="auto"/>
        <w:right w:val="none" w:sz="0" w:space="0" w:color="auto"/>
      </w:divBdr>
    </w:div>
    <w:div w:id="1903171176">
      <w:bodyDiv w:val="1"/>
      <w:marLeft w:val="0"/>
      <w:marRight w:val="0"/>
      <w:marTop w:val="0"/>
      <w:marBottom w:val="0"/>
      <w:divBdr>
        <w:top w:val="none" w:sz="0" w:space="0" w:color="auto"/>
        <w:left w:val="none" w:sz="0" w:space="0" w:color="auto"/>
        <w:bottom w:val="none" w:sz="0" w:space="0" w:color="auto"/>
        <w:right w:val="none" w:sz="0" w:space="0" w:color="auto"/>
      </w:divBdr>
    </w:div>
    <w:div w:id="1903559997">
      <w:bodyDiv w:val="1"/>
      <w:marLeft w:val="0"/>
      <w:marRight w:val="0"/>
      <w:marTop w:val="0"/>
      <w:marBottom w:val="0"/>
      <w:divBdr>
        <w:top w:val="none" w:sz="0" w:space="0" w:color="auto"/>
        <w:left w:val="none" w:sz="0" w:space="0" w:color="auto"/>
        <w:bottom w:val="none" w:sz="0" w:space="0" w:color="auto"/>
        <w:right w:val="none" w:sz="0" w:space="0" w:color="auto"/>
      </w:divBdr>
    </w:div>
    <w:div w:id="1903560063">
      <w:bodyDiv w:val="1"/>
      <w:marLeft w:val="0"/>
      <w:marRight w:val="0"/>
      <w:marTop w:val="0"/>
      <w:marBottom w:val="0"/>
      <w:divBdr>
        <w:top w:val="none" w:sz="0" w:space="0" w:color="auto"/>
        <w:left w:val="none" w:sz="0" w:space="0" w:color="auto"/>
        <w:bottom w:val="none" w:sz="0" w:space="0" w:color="auto"/>
        <w:right w:val="none" w:sz="0" w:space="0" w:color="auto"/>
      </w:divBdr>
    </w:div>
    <w:div w:id="1903759223">
      <w:bodyDiv w:val="1"/>
      <w:marLeft w:val="0"/>
      <w:marRight w:val="0"/>
      <w:marTop w:val="0"/>
      <w:marBottom w:val="0"/>
      <w:divBdr>
        <w:top w:val="none" w:sz="0" w:space="0" w:color="auto"/>
        <w:left w:val="none" w:sz="0" w:space="0" w:color="auto"/>
        <w:bottom w:val="none" w:sz="0" w:space="0" w:color="auto"/>
        <w:right w:val="none" w:sz="0" w:space="0" w:color="auto"/>
      </w:divBdr>
    </w:div>
    <w:div w:id="1904177040">
      <w:bodyDiv w:val="1"/>
      <w:marLeft w:val="0"/>
      <w:marRight w:val="0"/>
      <w:marTop w:val="0"/>
      <w:marBottom w:val="0"/>
      <w:divBdr>
        <w:top w:val="none" w:sz="0" w:space="0" w:color="auto"/>
        <w:left w:val="none" w:sz="0" w:space="0" w:color="auto"/>
        <w:bottom w:val="none" w:sz="0" w:space="0" w:color="auto"/>
        <w:right w:val="none" w:sz="0" w:space="0" w:color="auto"/>
      </w:divBdr>
    </w:div>
    <w:div w:id="1904220776">
      <w:bodyDiv w:val="1"/>
      <w:marLeft w:val="0"/>
      <w:marRight w:val="0"/>
      <w:marTop w:val="0"/>
      <w:marBottom w:val="0"/>
      <w:divBdr>
        <w:top w:val="none" w:sz="0" w:space="0" w:color="auto"/>
        <w:left w:val="none" w:sz="0" w:space="0" w:color="auto"/>
        <w:bottom w:val="none" w:sz="0" w:space="0" w:color="auto"/>
        <w:right w:val="none" w:sz="0" w:space="0" w:color="auto"/>
      </w:divBdr>
    </w:div>
    <w:div w:id="1906068496">
      <w:bodyDiv w:val="1"/>
      <w:marLeft w:val="0"/>
      <w:marRight w:val="0"/>
      <w:marTop w:val="0"/>
      <w:marBottom w:val="0"/>
      <w:divBdr>
        <w:top w:val="none" w:sz="0" w:space="0" w:color="auto"/>
        <w:left w:val="none" w:sz="0" w:space="0" w:color="auto"/>
        <w:bottom w:val="none" w:sz="0" w:space="0" w:color="auto"/>
        <w:right w:val="none" w:sz="0" w:space="0" w:color="auto"/>
      </w:divBdr>
    </w:div>
    <w:div w:id="1906642113">
      <w:bodyDiv w:val="1"/>
      <w:marLeft w:val="0"/>
      <w:marRight w:val="0"/>
      <w:marTop w:val="0"/>
      <w:marBottom w:val="0"/>
      <w:divBdr>
        <w:top w:val="none" w:sz="0" w:space="0" w:color="auto"/>
        <w:left w:val="none" w:sz="0" w:space="0" w:color="auto"/>
        <w:bottom w:val="none" w:sz="0" w:space="0" w:color="auto"/>
        <w:right w:val="none" w:sz="0" w:space="0" w:color="auto"/>
      </w:divBdr>
    </w:div>
    <w:div w:id="1908108393">
      <w:bodyDiv w:val="1"/>
      <w:marLeft w:val="0"/>
      <w:marRight w:val="0"/>
      <w:marTop w:val="0"/>
      <w:marBottom w:val="0"/>
      <w:divBdr>
        <w:top w:val="none" w:sz="0" w:space="0" w:color="auto"/>
        <w:left w:val="none" w:sz="0" w:space="0" w:color="auto"/>
        <w:bottom w:val="none" w:sz="0" w:space="0" w:color="auto"/>
        <w:right w:val="none" w:sz="0" w:space="0" w:color="auto"/>
      </w:divBdr>
    </w:div>
    <w:div w:id="1908220167">
      <w:bodyDiv w:val="1"/>
      <w:marLeft w:val="0"/>
      <w:marRight w:val="0"/>
      <w:marTop w:val="0"/>
      <w:marBottom w:val="0"/>
      <w:divBdr>
        <w:top w:val="none" w:sz="0" w:space="0" w:color="auto"/>
        <w:left w:val="none" w:sz="0" w:space="0" w:color="auto"/>
        <w:bottom w:val="none" w:sz="0" w:space="0" w:color="auto"/>
        <w:right w:val="none" w:sz="0" w:space="0" w:color="auto"/>
      </w:divBdr>
    </w:div>
    <w:div w:id="1908222088">
      <w:bodyDiv w:val="1"/>
      <w:marLeft w:val="0"/>
      <w:marRight w:val="0"/>
      <w:marTop w:val="0"/>
      <w:marBottom w:val="0"/>
      <w:divBdr>
        <w:top w:val="none" w:sz="0" w:space="0" w:color="auto"/>
        <w:left w:val="none" w:sz="0" w:space="0" w:color="auto"/>
        <w:bottom w:val="none" w:sz="0" w:space="0" w:color="auto"/>
        <w:right w:val="none" w:sz="0" w:space="0" w:color="auto"/>
      </w:divBdr>
    </w:div>
    <w:div w:id="1908375276">
      <w:bodyDiv w:val="1"/>
      <w:marLeft w:val="0"/>
      <w:marRight w:val="0"/>
      <w:marTop w:val="0"/>
      <w:marBottom w:val="0"/>
      <w:divBdr>
        <w:top w:val="none" w:sz="0" w:space="0" w:color="auto"/>
        <w:left w:val="none" w:sz="0" w:space="0" w:color="auto"/>
        <w:bottom w:val="none" w:sz="0" w:space="0" w:color="auto"/>
        <w:right w:val="none" w:sz="0" w:space="0" w:color="auto"/>
      </w:divBdr>
    </w:div>
    <w:div w:id="1909001066">
      <w:bodyDiv w:val="1"/>
      <w:marLeft w:val="0"/>
      <w:marRight w:val="0"/>
      <w:marTop w:val="0"/>
      <w:marBottom w:val="0"/>
      <w:divBdr>
        <w:top w:val="none" w:sz="0" w:space="0" w:color="auto"/>
        <w:left w:val="none" w:sz="0" w:space="0" w:color="auto"/>
        <w:bottom w:val="none" w:sz="0" w:space="0" w:color="auto"/>
        <w:right w:val="none" w:sz="0" w:space="0" w:color="auto"/>
      </w:divBdr>
    </w:div>
    <w:div w:id="1909614113">
      <w:bodyDiv w:val="1"/>
      <w:marLeft w:val="0"/>
      <w:marRight w:val="0"/>
      <w:marTop w:val="0"/>
      <w:marBottom w:val="0"/>
      <w:divBdr>
        <w:top w:val="none" w:sz="0" w:space="0" w:color="auto"/>
        <w:left w:val="none" w:sz="0" w:space="0" w:color="auto"/>
        <w:bottom w:val="none" w:sz="0" w:space="0" w:color="auto"/>
        <w:right w:val="none" w:sz="0" w:space="0" w:color="auto"/>
      </w:divBdr>
    </w:div>
    <w:div w:id="1912035608">
      <w:bodyDiv w:val="1"/>
      <w:marLeft w:val="0"/>
      <w:marRight w:val="0"/>
      <w:marTop w:val="0"/>
      <w:marBottom w:val="0"/>
      <w:divBdr>
        <w:top w:val="none" w:sz="0" w:space="0" w:color="auto"/>
        <w:left w:val="none" w:sz="0" w:space="0" w:color="auto"/>
        <w:bottom w:val="none" w:sz="0" w:space="0" w:color="auto"/>
        <w:right w:val="none" w:sz="0" w:space="0" w:color="auto"/>
      </w:divBdr>
    </w:div>
    <w:div w:id="1912423282">
      <w:bodyDiv w:val="1"/>
      <w:marLeft w:val="0"/>
      <w:marRight w:val="0"/>
      <w:marTop w:val="0"/>
      <w:marBottom w:val="0"/>
      <w:divBdr>
        <w:top w:val="none" w:sz="0" w:space="0" w:color="auto"/>
        <w:left w:val="none" w:sz="0" w:space="0" w:color="auto"/>
        <w:bottom w:val="none" w:sz="0" w:space="0" w:color="auto"/>
        <w:right w:val="none" w:sz="0" w:space="0" w:color="auto"/>
      </w:divBdr>
    </w:div>
    <w:div w:id="1912425220">
      <w:bodyDiv w:val="1"/>
      <w:marLeft w:val="0"/>
      <w:marRight w:val="0"/>
      <w:marTop w:val="0"/>
      <w:marBottom w:val="0"/>
      <w:divBdr>
        <w:top w:val="none" w:sz="0" w:space="0" w:color="auto"/>
        <w:left w:val="none" w:sz="0" w:space="0" w:color="auto"/>
        <w:bottom w:val="none" w:sz="0" w:space="0" w:color="auto"/>
        <w:right w:val="none" w:sz="0" w:space="0" w:color="auto"/>
      </w:divBdr>
    </w:div>
    <w:div w:id="1912693647">
      <w:bodyDiv w:val="1"/>
      <w:marLeft w:val="0"/>
      <w:marRight w:val="0"/>
      <w:marTop w:val="0"/>
      <w:marBottom w:val="0"/>
      <w:divBdr>
        <w:top w:val="none" w:sz="0" w:space="0" w:color="auto"/>
        <w:left w:val="none" w:sz="0" w:space="0" w:color="auto"/>
        <w:bottom w:val="none" w:sz="0" w:space="0" w:color="auto"/>
        <w:right w:val="none" w:sz="0" w:space="0" w:color="auto"/>
      </w:divBdr>
    </w:div>
    <w:div w:id="1912696509">
      <w:bodyDiv w:val="1"/>
      <w:marLeft w:val="0"/>
      <w:marRight w:val="0"/>
      <w:marTop w:val="0"/>
      <w:marBottom w:val="0"/>
      <w:divBdr>
        <w:top w:val="none" w:sz="0" w:space="0" w:color="auto"/>
        <w:left w:val="none" w:sz="0" w:space="0" w:color="auto"/>
        <w:bottom w:val="none" w:sz="0" w:space="0" w:color="auto"/>
        <w:right w:val="none" w:sz="0" w:space="0" w:color="auto"/>
      </w:divBdr>
    </w:div>
    <w:div w:id="1913613223">
      <w:bodyDiv w:val="1"/>
      <w:marLeft w:val="0"/>
      <w:marRight w:val="0"/>
      <w:marTop w:val="0"/>
      <w:marBottom w:val="0"/>
      <w:divBdr>
        <w:top w:val="none" w:sz="0" w:space="0" w:color="auto"/>
        <w:left w:val="none" w:sz="0" w:space="0" w:color="auto"/>
        <w:bottom w:val="none" w:sz="0" w:space="0" w:color="auto"/>
        <w:right w:val="none" w:sz="0" w:space="0" w:color="auto"/>
      </w:divBdr>
    </w:div>
    <w:div w:id="1914007171">
      <w:bodyDiv w:val="1"/>
      <w:marLeft w:val="0"/>
      <w:marRight w:val="0"/>
      <w:marTop w:val="0"/>
      <w:marBottom w:val="0"/>
      <w:divBdr>
        <w:top w:val="none" w:sz="0" w:space="0" w:color="auto"/>
        <w:left w:val="none" w:sz="0" w:space="0" w:color="auto"/>
        <w:bottom w:val="none" w:sz="0" w:space="0" w:color="auto"/>
        <w:right w:val="none" w:sz="0" w:space="0" w:color="auto"/>
      </w:divBdr>
    </w:div>
    <w:div w:id="1914848440">
      <w:bodyDiv w:val="1"/>
      <w:marLeft w:val="0"/>
      <w:marRight w:val="0"/>
      <w:marTop w:val="0"/>
      <w:marBottom w:val="0"/>
      <w:divBdr>
        <w:top w:val="none" w:sz="0" w:space="0" w:color="auto"/>
        <w:left w:val="none" w:sz="0" w:space="0" w:color="auto"/>
        <w:bottom w:val="none" w:sz="0" w:space="0" w:color="auto"/>
        <w:right w:val="none" w:sz="0" w:space="0" w:color="auto"/>
      </w:divBdr>
    </w:div>
    <w:div w:id="1914972035">
      <w:bodyDiv w:val="1"/>
      <w:marLeft w:val="0"/>
      <w:marRight w:val="0"/>
      <w:marTop w:val="0"/>
      <w:marBottom w:val="0"/>
      <w:divBdr>
        <w:top w:val="none" w:sz="0" w:space="0" w:color="auto"/>
        <w:left w:val="none" w:sz="0" w:space="0" w:color="auto"/>
        <w:bottom w:val="none" w:sz="0" w:space="0" w:color="auto"/>
        <w:right w:val="none" w:sz="0" w:space="0" w:color="auto"/>
      </w:divBdr>
    </w:div>
    <w:div w:id="1915312079">
      <w:bodyDiv w:val="1"/>
      <w:marLeft w:val="0"/>
      <w:marRight w:val="0"/>
      <w:marTop w:val="0"/>
      <w:marBottom w:val="0"/>
      <w:divBdr>
        <w:top w:val="none" w:sz="0" w:space="0" w:color="auto"/>
        <w:left w:val="none" w:sz="0" w:space="0" w:color="auto"/>
        <w:bottom w:val="none" w:sz="0" w:space="0" w:color="auto"/>
        <w:right w:val="none" w:sz="0" w:space="0" w:color="auto"/>
      </w:divBdr>
    </w:div>
    <w:div w:id="1917857088">
      <w:bodyDiv w:val="1"/>
      <w:marLeft w:val="0"/>
      <w:marRight w:val="0"/>
      <w:marTop w:val="0"/>
      <w:marBottom w:val="0"/>
      <w:divBdr>
        <w:top w:val="none" w:sz="0" w:space="0" w:color="auto"/>
        <w:left w:val="none" w:sz="0" w:space="0" w:color="auto"/>
        <w:bottom w:val="none" w:sz="0" w:space="0" w:color="auto"/>
        <w:right w:val="none" w:sz="0" w:space="0" w:color="auto"/>
      </w:divBdr>
    </w:div>
    <w:div w:id="1919053021">
      <w:bodyDiv w:val="1"/>
      <w:marLeft w:val="0"/>
      <w:marRight w:val="0"/>
      <w:marTop w:val="0"/>
      <w:marBottom w:val="0"/>
      <w:divBdr>
        <w:top w:val="none" w:sz="0" w:space="0" w:color="auto"/>
        <w:left w:val="none" w:sz="0" w:space="0" w:color="auto"/>
        <w:bottom w:val="none" w:sz="0" w:space="0" w:color="auto"/>
        <w:right w:val="none" w:sz="0" w:space="0" w:color="auto"/>
      </w:divBdr>
    </w:div>
    <w:div w:id="1919484179">
      <w:bodyDiv w:val="1"/>
      <w:marLeft w:val="0"/>
      <w:marRight w:val="0"/>
      <w:marTop w:val="0"/>
      <w:marBottom w:val="0"/>
      <w:divBdr>
        <w:top w:val="none" w:sz="0" w:space="0" w:color="auto"/>
        <w:left w:val="none" w:sz="0" w:space="0" w:color="auto"/>
        <w:bottom w:val="none" w:sz="0" w:space="0" w:color="auto"/>
        <w:right w:val="none" w:sz="0" w:space="0" w:color="auto"/>
      </w:divBdr>
      <w:divsChild>
        <w:div w:id="2027249013">
          <w:marLeft w:val="0"/>
          <w:marRight w:val="0"/>
          <w:marTop w:val="0"/>
          <w:marBottom w:val="0"/>
          <w:divBdr>
            <w:top w:val="none" w:sz="0" w:space="0" w:color="auto"/>
            <w:left w:val="none" w:sz="0" w:space="0" w:color="auto"/>
            <w:bottom w:val="none" w:sz="0" w:space="0" w:color="auto"/>
            <w:right w:val="none" w:sz="0" w:space="0" w:color="auto"/>
          </w:divBdr>
          <w:divsChild>
            <w:div w:id="1692805419">
              <w:marLeft w:val="0"/>
              <w:marRight w:val="0"/>
              <w:marTop w:val="0"/>
              <w:marBottom w:val="0"/>
              <w:divBdr>
                <w:top w:val="none" w:sz="0" w:space="0" w:color="auto"/>
                <w:left w:val="none" w:sz="0" w:space="0" w:color="auto"/>
                <w:bottom w:val="none" w:sz="0" w:space="0" w:color="auto"/>
                <w:right w:val="none" w:sz="0" w:space="0" w:color="auto"/>
              </w:divBdr>
              <w:divsChild>
                <w:div w:id="330372660">
                  <w:marLeft w:val="0"/>
                  <w:marRight w:val="0"/>
                  <w:marTop w:val="0"/>
                  <w:marBottom w:val="0"/>
                  <w:divBdr>
                    <w:top w:val="none" w:sz="0" w:space="0" w:color="auto"/>
                    <w:left w:val="none" w:sz="0" w:space="0" w:color="auto"/>
                    <w:bottom w:val="none" w:sz="0" w:space="0" w:color="auto"/>
                    <w:right w:val="none" w:sz="0" w:space="0" w:color="auto"/>
                  </w:divBdr>
                  <w:divsChild>
                    <w:div w:id="1268580563">
                      <w:marLeft w:val="0"/>
                      <w:marRight w:val="0"/>
                      <w:marTop w:val="0"/>
                      <w:marBottom w:val="0"/>
                      <w:divBdr>
                        <w:top w:val="none" w:sz="0" w:space="0" w:color="auto"/>
                        <w:left w:val="none" w:sz="0" w:space="0" w:color="auto"/>
                        <w:bottom w:val="none" w:sz="0" w:space="0" w:color="auto"/>
                        <w:right w:val="none" w:sz="0" w:space="0" w:color="auto"/>
                      </w:divBdr>
                      <w:divsChild>
                        <w:div w:id="252052659">
                          <w:marLeft w:val="0"/>
                          <w:marRight w:val="0"/>
                          <w:marTop w:val="0"/>
                          <w:marBottom w:val="0"/>
                          <w:divBdr>
                            <w:top w:val="none" w:sz="0" w:space="0" w:color="auto"/>
                            <w:left w:val="none" w:sz="0" w:space="0" w:color="auto"/>
                            <w:bottom w:val="none" w:sz="0" w:space="0" w:color="auto"/>
                            <w:right w:val="none" w:sz="0" w:space="0" w:color="auto"/>
                          </w:divBdr>
                          <w:divsChild>
                            <w:div w:id="858079547">
                              <w:marLeft w:val="0"/>
                              <w:marRight w:val="0"/>
                              <w:marTop w:val="0"/>
                              <w:marBottom w:val="0"/>
                              <w:divBdr>
                                <w:top w:val="none" w:sz="0" w:space="0" w:color="auto"/>
                                <w:left w:val="none" w:sz="0" w:space="0" w:color="auto"/>
                                <w:bottom w:val="none" w:sz="0" w:space="0" w:color="auto"/>
                                <w:right w:val="none" w:sz="0" w:space="0" w:color="auto"/>
                              </w:divBdr>
                              <w:divsChild>
                                <w:div w:id="1778989088">
                                  <w:marLeft w:val="0"/>
                                  <w:marRight w:val="0"/>
                                  <w:marTop w:val="0"/>
                                  <w:marBottom w:val="0"/>
                                  <w:divBdr>
                                    <w:top w:val="none" w:sz="0" w:space="0" w:color="auto"/>
                                    <w:left w:val="none" w:sz="0" w:space="0" w:color="auto"/>
                                    <w:bottom w:val="none" w:sz="0" w:space="0" w:color="auto"/>
                                    <w:right w:val="none" w:sz="0" w:space="0" w:color="auto"/>
                                  </w:divBdr>
                                </w:div>
                              </w:divsChild>
                            </w:div>
                            <w:div w:id="86509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0098909">
      <w:bodyDiv w:val="1"/>
      <w:marLeft w:val="0"/>
      <w:marRight w:val="0"/>
      <w:marTop w:val="0"/>
      <w:marBottom w:val="0"/>
      <w:divBdr>
        <w:top w:val="none" w:sz="0" w:space="0" w:color="auto"/>
        <w:left w:val="none" w:sz="0" w:space="0" w:color="auto"/>
        <w:bottom w:val="none" w:sz="0" w:space="0" w:color="auto"/>
        <w:right w:val="none" w:sz="0" w:space="0" w:color="auto"/>
      </w:divBdr>
    </w:div>
    <w:div w:id="1920943022">
      <w:bodyDiv w:val="1"/>
      <w:marLeft w:val="0"/>
      <w:marRight w:val="0"/>
      <w:marTop w:val="0"/>
      <w:marBottom w:val="0"/>
      <w:divBdr>
        <w:top w:val="none" w:sz="0" w:space="0" w:color="auto"/>
        <w:left w:val="none" w:sz="0" w:space="0" w:color="auto"/>
        <w:bottom w:val="none" w:sz="0" w:space="0" w:color="auto"/>
        <w:right w:val="none" w:sz="0" w:space="0" w:color="auto"/>
      </w:divBdr>
    </w:div>
    <w:div w:id="1921061338">
      <w:bodyDiv w:val="1"/>
      <w:marLeft w:val="0"/>
      <w:marRight w:val="0"/>
      <w:marTop w:val="0"/>
      <w:marBottom w:val="0"/>
      <w:divBdr>
        <w:top w:val="none" w:sz="0" w:space="0" w:color="auto"/>
        <w:left w:val="none" w:sz="0" w:space="0" w:color="auto"/>
        <w:bottom w:val="none" w:sz="0" w:space="0" w:color="auto"/>
        <w:right w:val="none" w:sz="0" w:space="0" w:color="auto"/>
      </w:divBdr>
    </w:div>
    <w:div w:id="1921328819">
      <w:bodyDiv w:val="1"/>
      <w:marLeft w:val="0"/>
      <w:marRight w:val="0"/>
      <w:marTop w:val="0"/>
      <w:marBottom w:val="0"/>
      <w:divBdr>
        <w:top w:val="none" w:sz="0" w:space="0" w:color="auto"/>
        <w:left w:val="none" w:sz="0" w:space="0" w:color="auto"/>
        <w:bottom w:val="none" w:sz="0" w:space="0" w:color="auto"/>
        <w:right w:val="none" w:sz="0" w:space="0" w:color="auto"/>
      </w:divBdr>
    </w:div>
    <w:div w:id="1921713296">
      <w:bodyDiv w:val="1"/>
      <w:marLeft w:val="0"/>
      <w:marRight w:val="0"/>
      <w:marTop w:val="0"/>
      <w:marBottom w:val="0"/>
      <w:divBdr>
        <w:top w:val="none" w:sz="0" w:space="0" w:color="auto"/>
        <w:left w:val="none" w:sz="0" w:space="0" w:color="auto"/>
        <w:bottom w:val="none" w:sz="0" w:space="0" w:color="auto"/>
        <w:right w:val="none" w:sz="0" w:space="0" w:color="auto"/>
      </w:divBdr>
    </w:div>
    <w:div w:id="1921795366">
      <w:bodyDiv w:val="1"/>
      <w:marLeft w:val="0"/>
      <w:marRight w:val="0"/>
      <w:marTop w:val="0"/>
      <w:marBottom w:val="0"/>
      <w:divBdr>
        <w:top w:val="none" w:sz="0" w:space="0" w:color="auto"/>
        <w:left w:val="none" w:sz="0" w:space="0" w:color="auto"/>
        <w:bottom w:val="none" w:sz="0" w:space="0" w:color="auto"/>
        <w:right w:val="none" w:sz="0" w:space="0" w:color="auto"/>
      </w:divBdr>
    </w:div>
    <w:div w:id="1921982753">
      <w:bodyDiv w:val="1"/>
      <w:marLeft w:val="0"/>
      <w:marRight w:val="0"/>
      <w:marTop w:val="0"/>
      <w:marBottom w:val="0"/>
      <w:divBdr>
        <w:top w:val="none" w:sz="0" w:space="0" w:color="auto"/>
        <w:left w:val="none" w:sz="0" w:space="0" w:color="auto"/>
        <w:bottom w:val="none" w:sz="0" w:space="0" w:color="auto"/>
        <w:right w:val="none" w:sz="0" w:space="0" w:color="auto"/>
      </w:divBdr>
    </w:div>
    <w:div w:id="1922059153">
      <w:bodyDiv w:val="1"/>
      <w:marLeft w:val="0"/>
      <w:marRight w:val="0"/>
      <w:marTop w:val="0"/>
      <w:marBottom w:val="0"/>
      <w:divBdr>
        <w:top w:val="none" w:sz="0" w:space="0" w:color="auto"/>
        <w:left w:val="none" w:sz="0" w:space="0" w:color="auto"/>
        <w:bottom w:val="none" w:sz="0" w:space="0" w:color="auto"/>
        <w:right w:val="none" w:sz="0" w:space="0" w:color="auto"/>
      </w:divBdr>
    </w:div>
    <w:div w:id="1922517427">
      <w:bodyDiv w:val="1"/>
      <w:marLeft w:val="0"/>
      <w:marRight w:val="0"/>
      <w:marTop w:val="0"/>
      <w:marBottom w:val="0"/>
      <w:divBdr>
        <w:top w:val="none" w:sz="0" w:space="0" w:color="auto"/>
        <w:left w:val="none" w:sz="0" w:space="0" w:color="auto"/>
        <w:bottom w:val="none" w:sz="0" w:space="0" w:color="auto"/>
        <w:right w:val="none" w:sz="0" w:space="0" w:color="auto"/>
      </w:divBdr>
    </w:div>
    <w:div w:id="1922713879">
      <w:bodyDiv w:val="1"/>
      <w:marLeft w:val="0"/>
      <w:marRight w:val="0"/>
      <w:marTop w:val="0"/>
      <w:marBottom w:val="0"/>
      <w:divBdr>
        <w:top w:val="none" w:sz="0" w:space="0" w:color="auto"/>
        <w:left w:val="none" w:sz="0" w:space="0" w:color="auto"/>
        <w:bottom w:val="none" w:sz="0" w:space="0" w:color="auto"/>
        <w:right w:val="none" w:sz="0" w:space="0" w:color="auto"/>
      </w:divBdr>
    </w:div>
    <w:div w:id="1922833539">
      <w:bodyDiv w:val="1"/>
      <w:marLeft w:val="0"/>
      <w:marRight w:val="0"/>
      <w:marTop w:val="0"/>
      <w:marBottom w:val="0"/>
      <w:divBdr>
        <w:top w:val="none" w:sz="0" w:space="0" w:color="auto"/>
        <w:left w:val="none" w:sz="0" w:space="0" w:color="auto"/>
        <w:bottom w:val="none" w:sz="0" w:space="0" w:color="auto"/>
        <w:right w:val="none" w:sz="0" w:space="0" w:color="auto"/>
      </w:divBdr>
    </w:div>
    <w:div w:id="1923174999">
      <w:bodyDiv w:val="1"/>
      <w:marLeft w:val="0"/>
      <w:marRight w:val="0"/>
      <w:marTop w:val="0"/>
      <w:marBottom w:val="0"/>
      <w:divBdr>
        <w:top w:val="none" w:sz="0" w:space="0" w:color="auto"/>
        <w:left w:val="none" w:sz="0" w:space="0" w:color="auto"/>
        <w:bottom w:val="none" w:sz="0" w:space="0" w:color="auto"/>
        <w:right w:val="none" w:sz="0" w:space="0" w:color="auto"/>
      </w:divBdr>
    </w:div>
    <w:div w:id="1924410594">
      <w:bodyDiv w:val="1"/>
      <w:marLeft w:val="0"/>
      <w:marRight w:val="0"/>
      <w:marTop w:val="0"/>
      <w:marBottom w:val="0"/>
      <w:divBdr>
        <w:top w:val="none" w:sz="0" w:space="0" w:color="auto"/>
        <w:left w:val="none" w:sz="0" w:space="0" w:color="auto"/>
        <w:bottom w:val="none" w:sz="0" w:space="0" w:color="auto"/>
        <w:right w:val="none" w:sz="0" w:space="0" w:color="auto"/>
      </w:divBdr>
    </w:div>
    <w:div w:id="1925340976">
      <w:bodyDiv w:val="1"/>
      <w:marLeft w:val="0"/>
      <w:marRight w:val="0"/>
      <w:marTop w:val="0"/>
      <w:marBottom w:val="0"/>
      <w:divBdr>
        <w:top w:val="none" w:sz="0" w:space="0" w:color="auto"/>
        <w:left w:val="none" w:sz="0" w:space="0" w:color="auto"/>
        <w:bottom w:val="none" w:sz="0" w:space="0" w:color="auto"/>
        <w:right w:val="none" w:sz="0" w:space="0" w:color="auto"/>
      </w:divBdr>
    </w:div>
    <w:div w:id="1925993448">
      <w:bodyDiv w:val="1"/>
      <w:marLeft w:val="0"/>
      <w:marRight w:val="0"/>
      <w:marTop w:val="0"/>
      <w:marBottom w:val="0"/>
      <w:divBdr>
        <w:top w:val="none" w:sz="0" w:space="0" w:color="auto"/>
        <w:left w:val="none" w:sz="0" w:space="0" w:color="auto"/>
        <w:bottom w:val="none" w:sz="0" w:space="0" w:color="auto"/>
        <w:right w:val="none" w:sz="0" w:space="0" w:color="auto"/>
      </w:divBdr>
    </w:div>
    <w:div w:id="1926109428">
      <w:bodyDiv w:val="1"/>
      <w:marLeft w:val="0"/>
      <w:marRight w:val="0"/>
      <w:marTop w:val="0"/>
      <w:marBottom w:val="0"/>
      <w:divBdr>
        <w:top w:val="none" w:sz="0" w:space="0" w:color="auto"/>
        <w:left w:val="none" w:sz="0" w:space="0" w:color="auto"/>
        <w:bottom w:val="none" w:sz="0" w:space="0" w:color="auto"/>
        <w:right w:val="none" w:sz="0" w:space="0" w:color="auto"/>
      </w:divBdr>
    </w:div>
    <w:div w:id="1926380101">
      <w:bodyDiv w:val="1"/>
      <w:marLeft w:val="0"/>
      <w:marRight w:val="0"/>
      <w:marTop w:val="0"/>
      <w:marBottom w:val="0"/>
      <w:divBdr>
        <w:top w:val="none" w:sz="0" w:space="0" w:color="auto"/>
        <w:left w:val="none" w:sz="0" w:space="0" w:color="auto"/>
        <w:bottom w:val="none" w:sz="0" w:space="0" w:color="auto"/>
        <w:right w:val="none" w:sz="0" w:space="0" w:color="auto"/>
      </w:divBdr>
    </w:div>
    <w:div w:id="1927231034">
      <w:bodyDiv w:val="1"/>
      <w:marLeft w:val="0"/>
      <w:marRight w:val="0"/>
      <w:marTop w:val="0"/>
      <w:marBottom w:val="0"/>
      <w:divBdr>
        <w:top w:val="none" w:sz="0" w:space="0" w:color="auto"/>
        <w:left w:val="none" w:sz="0" w:space="0" w:color="auto"/>
        <w:bottom w:val="none" w:sz="0" w:space="0" w:color="auto"/>
        <w:right w:val="none" w:sz="0" w:space="0" w:color="auto"/>
      </w:divBdr>
    </w:div>
    <w:div w:id="1927376463">
      <w:bodyDiv w:val="1"/>
      <w:marLeft w:val="0"/>
      <w:marRight w:val="0"/>
      <w:marTop w:val="0"/>
      <w:marBottom w:val="0"/>
      <w:divBdr>
        <w:top w:val="none" w:sz="0" w:space="0" w:color="auto"/>
        <w:left w:val="none" w:sz="0" w:space="0" w:color="auto"/>
        <w:bottom w:val="none" w:sz="0" w:space="0" w:color="auto"/>
        <w:right w:val="none" w:sz="0" w:space="0" w:color="auto"/>
      </w:divBdr>
    </w:div>
    <w:div w:id="1927492881">
      <w:bodyDiv w:val="1"/>
      <w:marLeft w:val="0"/>
      <w:marRight w:val="0"/>
      <w:marTop w:val="0"/>
      <w:marBottom w:val="0"/>
      <w:divBdr>
        <w:top w:val="none" w:sz="0" w:space="0" w:color="auto"/>
        <w:left w:val="none" w:sz="0" w:space="0" w:color="auto"/>
        <w:bottom w:val="none" w:sz="0" w:space="0" w:color="auto"/>
        <w:right w:val="none" w:sz="0" w:space="0" w:color="auto"/>
      </w:divBdr>
    </w:div>
    <w:div w:id="1928418826">
      <w:bodyDiv w:val="1"/>
      <w:marLeft w:val="0"/>
      <w:marRight w:val="0"/>
      <w:marTop w:val="0"/>
      <w:marBottom w:val="0"/>
      <w:divBdr>
        <w:top w:val="none" w:sz="0" w:space="0" w:color="auto"/>
        <w:left w:val="none" w:sz="0" w:space="0" w:color="auto"/>
        <w:bottom w:val="none" w:sz="0" w:space="0" w:color="auto"/>
        <w:right w:val="none" w:sz="0" w:space="0" w:color="auto"/>
      </w:divBdr>
    </w:div>
    <w:div w:id="1928880678">
      <w:bodyDiv w:val="1"/>
      <w:marLeft w:val="0"/>
      <w:marRight w:val="0"/>
      <w:marTop w:val="0"/>
      <w:marBottom w:val="0"/>
      <w:divBdr>
        <w:top w:val="none" w:sz="0" w:space="0" w:color="auto"/>
        <w:left w:val="none" w:sz="0" w:space="0" w:color="auto"/>
        <w:bottom w:val="none" w:sz="0" w:space="0" w:color="auto"/>
        <w:right w:val="none" w:sz="0" w:space="0" w:color="auto"/>
      </w:divBdr>
    </w:div>
    <w:div w:id="1929270286">
      <w:bodyDiv w:val="1"/>
      <w:marLeft w:val="0"/>
      <w:marRight w:val="0"/>
      <w:marTop w:val="0"/>
      <w:marBottom w:val="0"/>
      <w:divBdr>
        <w:top w:val="none" w:sz="0" w:space="0" w:color="auto"/>
        <w:left w:val="none" w:sz="0" w:space="0" w:color="auto"/>
        <w:bottom w:val="none" w:sz="0" w:space="0" w:color="auto"/>
        <w:right w:val="none" w:sz="0" w:space="0" w:color="auto"/>
      </w:divBdr>
    </w:div>
    <w:div w:id="1930191325">
      <w:bodyDiv w:val="1"/>
      <w:marLeft w:val="0"/>
      <w:marRight w:val="0"/>
      <w:marTop w:val="0"/>
      <w:marBottom w:val="0"/>
      <w:divBdr>
        <w:top w:val="none" w:sz="0" w:space="0" w:color="auto"/>
        <w:left w:val="none" w:sz="0" w:space="0" w:color="auto"/>
        <w:bottom w:val="none" w:sz="0" w:space="0" w:color="auto"/>
        <w:right w:val="none" w:sz="0" w:space="0" w:color="auto"/>
      </w:divBdr>
    </w:div>
    <w:div w:id="1930767130">
      <w:bodyDiv w:val="1"/>
      <w:marLeft w:val="0"/>
      <w:marRight w:val="0"/>
      <w:marTop w:val="0"/>
      <w:marBottom w:val="0"/>
      <w:divBdr>
        <w:top w:val="none" w:sz="0" w:space="0" w:color="auto"/>
        <w:left w:val="none" w:sz="0" w:space="0" w:color="auto"/>
        <w:bottom w:val="none" w:sz="0" w:space="0" w:color="auto"/>
        <w:right w:val="none" w:sz="0" w:space="0" w:color="auto"/>
      </w:divBdr>
    </w:div>
    <w:div w:id="1931044778">
      <w:bodyDiv w:val="1"/>
      <w:marLeft w:val="0"/>
      <w:marRight w:val="0"/>
      <w:marTop w:val="0"/>
      <w:marBottom w:val="0"/>
      <w:divBdr>
        <w:top w:val="none" w:sz="0" w:space="0" w:color="auto"/>
        <w:left w:val="none" w:sz="0" w:space="0" w:color="auto"/>
        <w:bottom w:val="none" w:sz="0" w:space="0" w:color="auto"/>
        <w:right w:val="none" w:sz="0" w:space="0" w:color="auto"/>
      </w:divBdr>
    </w:div>
    <w:div w:id="1931574294">
      <w:bodyDiv w:val="1"/>
      <w:marLeft w:val="0"/>
      <w:marRight w:val="0"/>
      <w:marTop w:val="0"/>
      <w:marBottom w:val="0"/>
      <w:divBdr>
        <w:top w:val="none" w:sz="0" w:space="0" w:color="auto"/>
        <w:left w:val="none" w:sz="0" w:space="0" w:color="auto"/>
        <w:bottom w:val="none" w:sz="0" w:space="0" w:color="auto"/>
        <w:right w:val="none" w:sz="0" w:space="0" w:color="auto"/>
      </w:divBdr>
    </w:div>
    <w:div w:id="1932741770">
      <w:bodyDiv w:val="1"/>
      <w:marLeft w:val="0"/>
      <w:marRight w:val="0"/>
      <w:marTop w:val="0"/>
      <w:marBottom w:val="0"/>
      <w:divBdr>
        <w:top w:val="none" w:sz="0" w:space="0" w:color="auto"/>
        <w:left w:val="none" w:sz="0" w:space="0" w:color="auto"/>
        <w:bottom w:val="none" w:sz="0" w:space="0" w:color="auto"/>
        <w:right w:val="none" w:sz="0" w:space="0" w:color="auto"/>
      </w:divBdr>
    </w:div>
    <w:div w:id="1933128271">
      <w:bodyDiv w:val="1"/>
      <w:marLeft w:val="0"/>
      <w:marRight w:val="0"/>
      <w:marTop w:val="0"/>
      <w:marBottom w:val="0"/>
      <w:divBdr>
        <w:top w:val="none" w:sz="0" w:space="0" w:color="auto"/>
        <w:left w:val="none" w:sz="0" w:space="0" w:color="auto"/>
        <w:bottom w:val="none" w:sz="0" w:space="0" w:color="auto"/>
        <w:right w:val="none" w:sz="0" w:space="0" w:color="auto"/>
      </w:divBdr>
    </w:div>
    <w:div w:id="1933968992">
      <w:bodyDiv w:val="1"/>
      <w:marLeft w:val="0"/>
      <w:marRight w:val="0"/>
      <w:marTop w:val="0"/>
      <w:marBottom w:val="0"/>
      <w:divBdr>
        <w:top w:val="none" w:sz="0" w:space="0" w:color="auto"/>
        <w:left w:val="none" w:sz="0" w:space="0" w:color="auto"/>
        <w:bottom w:val="none" w:sz="0" w:space="0" w:color="auto"/>
        <w:right w:val="none" w:sz="0" w:space="0" w:color="auto"/>
      </w:divBdr>
    </w:div>
    <w:div w:id="1933976633">
      <w:bodyDiv w:val="1"/>
      <w:marLeft w:val="0"/>
      <w:marRight w:val="0"/>
      <w:marTop w:val="0"/>
      <w:marBottom w:val="0"/>
      <w:divBdr>
        <w:top w:val="none" w:sz="0" w:space="0" w:color="auto"/>
        <w:left w:val="none" w:sz="0" w:space="0" w:color="auto"/>
        <w:bottom w:val="none" w:sz="0" w:space="0" w:color="auto"/>
        <w:right w:val="none" w:sz="0" w:space="0" w:color="auto"/>
      </w:divBdr>
    </w:div>
    <w:div w:id="1935894872">
      <w:bodyDiv w:val="1"/>
      <w:marLeft w:val="0"/>
      <w:marRight w:val="0"/>
      <w:marTop w:val="0"/>
      <w:marBottom w:val="0"/>
      <w:divBdr>
        <w:top w:val="none" w:sz="0" w:space="0" w:color="auto"/>
        <w:left w:val="none" w:sz="0" w:space="0" w:color="auto"/>
        <w:bottom w:val="none" w:sz="0" w:space="0" w:color="auto"/>
        <w:right w:val="none" w:sz="0" w:space="0" w:color="auto"/>
      </w:divBdr>
    </w:div>
    <w:div w:id="1936283371">
      <w:bodyDiv w:val="1"/>
      <w:marLeft w:val="0"/>
      <w:marRight w:val="0"/>
      <w:marTop w:val="0"/>
      <w:marBottom w:val="0"/>
      <w:divBdr>
        <w:top w:val="none" w:sz="0" w:space="0" w:color="auto"/>
        <w:left w:val="none" w:sz="0" w:space="0" w:color="auto"/>
        <w:bottom w:val="none" w:sz="0" w:space="0" w:color="auto"/>
        <w:right w:val="none" w:sz="0" w:space="0" w:color="auto"/>
      </w:divBdr>
    </w:div>
    <w:div w:id="1936555892">
      <w:bodyDiv w:val="1"/>
      <w:marLeft w:val="0"/>
      <w:marRight w:val="0"/>
      <w:marTop w:val="0"/>
      <w:marBottom w:val="0"/>
      <w:divBdr>
        <w:top w:val="none" w:sz="0" w:space="0" w:color="auto"/>
        <w:left w:val="none" w:sz="0" w:space="0" w:color="auto"/>
        <w:bottom w:val="none" w:sz="0" w:space="0" w:color="auto"/>
        <w:right w:val="none" w:sz="0" w:space="0" w:color="auto"/>
      </w:divBdr>
    </w:div>
    <w:div w:id="1936936454">
      <w:bodyDiv w:val="1"/>
      <w:marLeft w:val="0"/>
      <w:marRight w:val="0"/>
      <w:marTop w:val="0"/>
      <w:marBottom w:val="0"/>
      <w:divBdr>
        <w:top w:val="none" w:sz="0" w:space="0" w:color="auto"/>
        <w:left w:val="none" w:sz="0" w:space="0" w:color="auto"/>
        <w:bottom w:val="none" w:sz="0" w:space="0" w:color="auto"/>
        <w:right w:val="none" w:sz="0" w:space="0" w:color="auto"/>
      </w:divBdr>
    </w:div>
    <w:div w:id="1937595537">
      <w:bodyDiv w:val="1"/>
      <w:marLeft w:val="0"/>
      <w:marRight w:val="0"/>
      <w:marTop w:val="0"/>
      <w:marBottom w:val="0"/>
      <w:divBdr>
        <w:top w:val="none" w:sz="0" w:space="0" w:color="auto"/>
        <w:left w:val="none" w:sz="0" w:space="0" w:color="auto"/>
        <w:bottom w:val="none" w:sz="0" w:space="0" w:color="auto"/>
        <w:right w:val="none" w:sz="0" w:space="0" w:color="auto"/>
      </w:divBdr>
    </w:div>
    <w:div w:id="1939481820">
      <w:bodyDiv w:val="1"/>
      <w:marLeft w:val="0"/>
      <w:marRight w:val="0"/>
      <w:marTop w:val="0"/>
      <w:marBottom w:val="0"/>
      <w:divBdr>
        <w:top w:val="none" w:sz="0" w:space="0" w:color="auto"/>
        <w:left w:val="none" w:sz="0" w:space="0" w:color="auto"/>
        <w:bottom w:val="none" w:sz="0" w:space="0" w:color="auto"/>
        <w:right w:val="none" w:sz="0" w:space="0" w:color="auto"/>
      </w:divBdr>
    </w:div>
    <w:div w:id="1940487694">
      <w:bodyDiv w:val="1"/>
      <w:marLeft w:val="0"/>
      <w:marRight w:val="0"/>
      <w:marTop w:val="0"/>
      <w:marBottom w:val="0"/>
      <w:divBdr>
        <w:top w:val="none" w:sz="0" w:space="0" w:color="auto"/>
        <w:left w:val="none" w:sz="0" w:space="0" w:color="auto"/>
        <w:bottom w:val="none" w:sz="0" w:space="0" w:color="auto"/>
        <w:right w:val="none" w:sz="0" w:space="0" w:color="auto"/>
      </w:divBdr>
    </w:div>
    <w:div w:id="1940984468">
      <w:bodyDiv w:val="1"/>
      <w:marLeft w:val="0"/>
      <w:marRight w:val="0"/>
      <w:marTop w:val="0"/>
      <w:marBottom w:val="0"/>
      <w:divBdr>
        <w:top w:val="none" w:sz="0" w:space="0" w:color="auto"/>
        <w:left w:val="none" w:sz="0" w:space="0" w:color="auto"/>
        <w:bottom w:val="none" w:sz="0" w:space="0" w:color="auto"/>
        <w:right w:val="none" w:sz="0" w:space="0" w:color="auto"/>
      </w:divBdr>
    </w:div>
    <w:div w:id="1940992226">
      <w:bodyDiv w:val="1"/>
      <w:marLeft w:val="0"/>
      <w:marRight w:val="0"/>
      <w:marTop w:val="0"/>
      <w:marBottom w:val="0"/>
      <w:divBdr>
        <w:top w:val="none" w:sz="0" w:space="0" w:color="auto"/>
        <w:left w:val="none" w:sz="0" w:space="0" w:color="auto"/>
        <w:bottom w:val="none" w:sz="0" w:space="0" w:color="auto"/>
        <w:right w:val="none" w:sz="0" w:space="0" w:color="auto"/>
      </w:divBdr>
    </w:div>
    <w:div w:id="1941067023">
      <w:bodyDiv w:val="1"/>
      <w:marLeft w:val="0"/>
      <w:marRight w:val="0"/>
      <w:marTop w:val="0"/>
      <w:marBottom w:val="0"/>
      <w:divBdr>
        <w:top w:val="none" w:sz="0" w:space="0" w:color="auto"/>
        <w:left w:val="none" w:sz="0" w:space="0" w:color="auto"/>
        <w:bottom w:val="none" w:sz="0" w:space="0" w:color="auto"/>
        <w:right w:val="none" w:sz="0" w:space="0" w:color="auto"/>
      </w:divBdr>
    </w:div>
    <w:div w:id="1941524825">
      <w:bodyDiv w:val="1"/>
      <w:marLeft w:val="0"/>
      <w:marRight w:val="0"/>
      <w:marTop w:val="0"/>
      <w:marBottom w:val="0"/>
      <w:divBdr>
        <w:top w:val="none" w:sz="0" w:space="0" w:color="auto"/>
        <w:left w:val="none" w:sz="0" w:space="0" w:color="auto"/>
        <w:bottom w:val="none" w:sz="0" w:space="0" w:color="auto"/>
        <w:right w:val="none" w:sz="0" w:space="0" w:color="auto"/>
      </w:divBdr>
    </w:div>
    <w:div w:id="1942033334">
      <w:bodyDiv w:val="1"/>
      <w:marLeft w:val="0"/>
      <w:marRight w:val="0"/>
      <w:marTop w:val="0"/>
      <w:marBottom w:val="0"/>
      <w:divBdr>
        <w:top w:val="none" w:sz="0" w:space="0" w:color="auto"/>
        <w:left w:val="none" w:sz="0" w:space="0" w:color="auto"/>
        <w:bottom w:val="none" w:sz="0" w:space="0" w:color="auto"/>
        <w:right w:val="none" w:sz="0" w:space="0" w:color="auto"/>
      </w:divBdr>
    </w:div>
    <w:div w:id="1942104386">
      <w:bodyDiv w:val="1"/>
      <w:marLeft w:val="0"/>
      <w:marRight w:val="0"/>
      <w:marTop w:val="0"/>
      <w:marBottom w:val="0"/>
      <w:divBdr>
        <w:top w:val="none" w:sz="0" w:space="0" w:color="auto"/>
        <w:left w:val="none" w:sz="0" w:space="0" w:color="auto"/>
        <w:bottom w:val="none" w:sz="0" w:space="0" w:color="auto"/>
        <w:right w:val="none" w:sz="0" w:space="0" w:color="auto"/>
      </w:divBdr>
    </w:div>
    <w:div w:id="1942564703">
      <w:bodyDiv w:val="1"/>
      <w:marLeft w:val="0"/>
      <w:marRight w:val="0"/>
      <w:marTop w:val="0"/>
      <w:marBottom w:val="0"/>
      <w:divBdr>
        <w:top w:val="none" w:sz="0" w:space="0" w:color="auto"/>
        <w:left w:val="none" w:sz="0" w:space="0" w:color="auto"/>
        <w:bottom w:val="none" w:sz="0" w:space="0" w:color="auto"/>
        <w:right w:val="none" w:sz="0" w:space="0" w:color="auto"/>
      </w:divBdr>
    </w:div>
    <w:div w:id="1942761039">
      <w:bodyDiv w:val="1"/>
      <w:marLeft w:val="0"/>
      <w:marRight w:val="0"/>
      <w:marTop w:val="0"/>
      <w:marBottom w:val="0"/>
      <w:divBdr>
        <w:top w:val="none" w:sz="0" w:space="0" w:color="auto"/>
        <w:left w:val="none" w:sz="0" w:space="0" w:color="auto"/>
        <w:bottom w:val="none" w:sz="0" w:space="0" w:color="auto"/>
        <w:right w:val="none" w:sz="0" w:space="0" w:color="auto"/>
      </w:divBdr>
    </w:div>
    <w:div w:id="1944532050">
      <w:bodyDiv w:val="1"/>
      <w:marLeft w:val="0"/>
      <w:marRight w:val="0"/>
      <w:marTop w:val="0"/>
      <w:marBottom w:val="0"/>
      <w:divBdr>
        <w:top w:val="none" w:sz="0" w:space="0" w:color="auto"/>
        <w:left w:val="none" w:sz="0" w:space="0" w:color="auto"/>
        <w:bottom w:val="none" w:sz="0" w:space="0" w:color="auto"/>
        <w:right w:val="none" w:sz="0" w:space="0" w:color="auto"/>
      </w:divBdr>
    </w:div>
    <w:div w:id="1944532449">
      <w:bodyDiv w:val="1"/>
      <w:marLeft w:val="0"/>
      <w:marRight w:val="0"/>
      <w:marTop w:val="0"/>
      <w:marBottom w:val="0"/>
      <w:divBdr>
        <w:top w:val="none" w:sz="0" w:space="0" w:color="auto"/>
        <w:left w:val="none" w:sz="0" w:space="0" w:color="auto"/>
        <w:bottom w:val="none" w:sz="0" w:space="0" w:color="auto"/>
        <w:right w:val="none" w:sz="0" w:space="0" w:color="auto"/>
      </w:divBdr>
    </w:div>
    <w:div w:id="1944878804">
      <w:bodyDiv w:val="1"/>
      <w:marLeft w:val="0"/>
      <w:marRight w:val="0"/>
      <w:marTop w:val="0"/>
      <w:marBottom w:val="0"/>
      <w:divBdr>
        <w:top w:val="none" w:sz="0" w:space="0" w:color="auto"/>
        <w:left w:val="none" w:sz="0" w:space="0" w:color="auto"/>
        <w:bottom w:val="none" w:sz="0" w:space="0" w:color="auto"/>
        <w:right w:val="none" w:sz="0" w:space="0" w:color="auto"/>
      </w:divBdr>
    </w:div>
    <w:div w:id="1945262890">
      <w:bodyDiv w:val="1"/>
      <w:marLeft w:val="0"/>
      <w:marRight w:val="0"/>
      <w:marTop w:val="0"/>
      <w:marBottom w:val="0"/>
      <w:divBdr>
        <w:top w:val="none" w:sz="0" w:space="0" w:color="auto"/>
        <w:left w:val="none" w:sz="0" w:space="0" w:color="auto"/>
        <w:bottom w:val="none" w:sz="0" w:space="0" w:color="auto"/>
        <w:right w:val="none" w:sz="0" w:space="0" w:color="auto"/>
      </w:divBdr>
    </w:div>
    <w:div w:id="1946493564">
      <w:bodyDiv w:val="1"/>
      <w:marLeft w:val="0"/>
      <w:marRight w:val="0"/>
      <w:marTop w:val="0"/>
      <w:marBottom w:val="0"/>
      <w:divBdr>
        <w:top w:val="none" w:sz="0" w:space="0" w:color="auto"/>
        <w:left w:val="none" w:sz="0" w:space="0" w:color="auto"/>
        <w:bottom w:val="none" w:sz="0" w:space="0" w:color="auto"/>
        <w:right w:val="none" w:sz="0" w:space="0" w:color="auto"/>
      </w:divBdr>
    </w:div>
    <w:div w:id="1946496599">
      <w:bodyDiv w:val="1"/>
      <w:marLeft w:val="0"/>
      <w:marRight w:val="0"/>
      <w:marTop w:val="0"/>
      <w:marBottom w:val="0"/>
      <w:divBdr>
        <w:top w:val="none" w:sz="0" w:space="0" w:color="auto"/>
        <w:left w:val="none" w:sz="0" w:space="0" w:color="auto"/>
        <w:bottom w:val="none" w:sz="0" w:space="0" w:color="auto"/>
        <w:right w:val="none" w:sz="0" w:space="0" w:color="auto"/>
      </w:divBdr>
    </w:div>
    <w:div w:id="1947037967">
      <w:bodyDiv w:val="1"/>
      <w:marLeft w:val="0"/>
      <w:marRight w:val="0"/>
      <w:marTop w:val="0"/>
      <w:marBottom w:val="0"/>
      <w:divBdr>
        <w:top w:val="none" w:sz="0" w:space="0" w:color="auto"/>
        <w:left w:val="none" w:sz="0" w:space="0" w:color="auto"/>
        <w:bottom w:val="none" w:sz="0" w:space="0" w:color="auto"/>
        <w:right w:val="none" w:sz="0" w:space="0" w:color="auto"/>
      </w:divBdr>
    </w:div>
    <w:div w:id="1947273116">
      <w:bodyDiv w:val="1"/>
      <w:marLeft w:val="0"/>
      <w:marRight w:val="0"/>
      <w:marTop w:val="0"/>
      <w:marBottom w:val="0"/>
      <w:divBdr>
        <w:top w:val="none" w:sz="0" w:space="0" w:color="auto"/>
        <w:left w:val="none" w:sz="0" w:space="0" w:color="auto"/>
        <w:bottom w:val="none" w:sz="0" w:space="0" w:color="auto"/>
        <w:right w:val="none" w:sz="0" w:space="0" w:color="auto"/>
      </w:divBdr>
    </w:div>
    <w:div w:id="1947419941">
      <w:bodyDiv w:val="1"/>
      <w:marLeft w:val="0"/>
      <w:marRight w:val="0"/>
      <w:marTop w:val="0"/>
      <w:marBottom w:val="0"/>
      <w:divBdr>
        <w:top w:val="none" w:sz="0" w:space="0" w:color="auto"/>
        <w:left w:val="none" w:sz="0" w:space="0" w:color="auto"/>
        <w:bottom w:val="none" w:sz="0" w:space="0" w:color="auto"/>
        <w:right w:val="none" w:sz="0" w:space="0" w:color="auto"/>
      </w:divBdr>
    </w:div>
    <w:div w:id="1947812847">
      <w:bodyDiv w:val="1"/>
      <w:marLeft w:val="0"/>
      <w:marRight w:val="0"/>
      <w:marTop w:val="0"/>
      <w:marBottom w:val="0"/>
      <w:divBdr>
        <w:top w:val="none" w:sz="0" w:space="0" w:color="auto"/>
        <w:left w:val="none" w:sz="0" w:space="0" w:color="auto"/>
        <w:bottom w:val="none" w:sz="0" w:space="0" w:color="auto"/>
        <w:right w:val="none" w:sz="0" w:space="0" w:color="auto"/>
      </w:divBdr>
    </w:div>
    <w:div w:id="1948923636">
      <w:bodyDiv w:val="1"/>
      <w:marLeft w:val="0"/>
      <w:marRight w:val="0"/>
      <w:marTop w:val="0"/>
      <w:marBottom w:val="0"/>
      <w:divBdr>
        <w:top w:val="none" w:sz="0" w:space="0" w:color="auto"/>
        <w:left w:val="none" w:sz="0" w:space="0" w:color="auto"/>
        <w:bottom w:val="none" w:sz="0" w:space="0" w:color="auto"/>
        <w:right w:val="none" w:sz="0" w:space="0" w:color="auto"/>
      </w:divBdr>
    </w:div>
    <w:div w:id="1949578597">
      <w:bodyDiv w:val="1"/>
      <w:marLeft w:val="0"/>
      <w:marRight w:val="0"/>
      <w:marTop w:val="0"/>
      <w:marBottom w:val="0"/>
      <w:divBdr>
        <w:top w:val="none" w:sz="0" w:space="0" w:color="auto"/>
        <w:left w:val="none" w:sz="0" w:space="0" w:color="auto"/>
        <w:bottom w:val="none" w:sz="0" w:space="0" w:color="auto"/>
        <w:right w:val="none" w:sz="0" w:space="0" w:color="auto"/>
      </w:divBdr>
    </w:div>
    <w:div w:id="1949702015">
      <w:bodyDiv w:val="1"/>
      <w:marLeft w:val="0"/>
      <w:marRight w:val="0"/>
      <w:marTop w:val="0"/>
      <w:marBottom w:val="0"/>
      <w:divBdr>
        <w:top w:val="none" w:sz="0" w:space="0" w:color="auto"/>
        <w:left w:val="none" w:sz="0" w:space="0" w:color="auto"/>
        <w:bottom w:val="none" w:sz="0" w:space="0" w:color="auto"/>
        <w:right w:val="none" w:sz="0" w:space="0" w:color="auto"/>
      </w:divBdr>
    </w:div>
    <w:div w:id="1950426690">
      <w:bodyDiv w:val="1"/>
      <w:marLeft w:val="0"/>
      <w:marRight w:val="0"/>
      <w:marTop w:val="0"/>
      <w:marBottom w:val="0"/>
      <w:divBdr>
        <w:top w:val="none" w:sz="0" w:space="0" w:color="auto"/>
        <w:left w:val="none" w:sz="0" w:space="0" w:color="auto"/>
        <w:bottom w:val="none" w:sz="0" w:space="0" w:color="auto"/>
        <w:right w:val="none" w:sz="0" w:space="0" w:color="auto"/>
      </w:divBdr>
    </w:div>
    <w:div w:id="1951207772">
      <w:bodyDiv w:val="1"/>
      <w:marLeft w:val="0"/>
      <w:marRight w:val="0"/>
      <w:marTop w:val="0"/>
      <w:marBottom w:val="0"/>
      <w:divBdr>
        <w:top w:val="none" w:sz="0" w:space="0" w:color="auto"/>
        <w:left w:val="none" w:sz="0" w:space="0" w:color="auto"/>
        <w:bottom w:val="none" w:sz="0" w:space="0" w:color="auto"/>
        <w:right w:val="none" w:sz="0" w:space="0" w:color="auto"/>
      </w:divBdr>
    </w:div>
    <w:div w:id="1952130279">
      <w:bodyDiv w:val="1"/>
      <w:marLeft w:val="0"/>
      <w:marRight w:val="0"/>
      <w:marTop w:val="0"/>
      <w:marBottom w:val="0"/>
      <w:divBdr>
        <w:top w:val="none" w:sz="0" w:space="0" w:color="auto"/>
        <w:left w:val="none" w:sz="0" w:space="0" w:color="auto"/>
        <w:bottom w:val="none" w:sz="0" w:space="0" w:color="auto"/>
        <w:right w:val="none" w:sz="0" w:space="0" w:color="auto"/>
      </w:divBdr>
    </w:div>
    <w:div w:id="1952324807">
      <w:bodyDiv w:val="1"/>
      <w:marLeft w:val="0"/>
      <w:marRight w:val="0"/>
      <w:marTop w:val="0"/>
      <w:marBottom w:val="0"/>
      <w:divBdr>
        <w:top w:val="none" w:sz="0" w:space="0" w:color="auto"/>
        <w:left w:val="none" w:sz="0" w:space="0" w:color="auto"/>
        <w:bottom w:val="none" w:sz="0" w:space="0" w:color="auto"/>
        <w:right w:val="none" w:sz="0" w:space="0" w:color="auto"/>
      </w:divBdr>
    </w:div>
    <w:div w:id="1952785264">
      <w:bodyDiv w:val="1"/>
      <w:marLeft w:val="0"/>
      <w:marRight w:val="0"/>
      <w:marTop w:val="0"/>
      <w:marBottom w:val="0"/>
      <w:divBdr>
        <w:top w:val="none" w:sz="0" w:space="0" w:color="auto"/>
        <w:left w:val="none" w:sz="0" w:space="0" w:color="auto"/>
        <w:bottom w:val="none" w:sz="0" w:space="0" w:color="auto"/>
        <w:right w:val="none" w:sz="0" w:space="0" w:color="auto"/>
      </w:divBdr>
    </w:div>
    <w:div w:id="1953130929">
      <w:bodyDiv w:val="1"/>
      <w:marLeft w:val="0"/>
      <w:marRight w:val="0"/>
      <w:marTop w:val="0"/>
      <w:marBottom w:val="0"/>
      <w:divBdr>
        <w:top w:val="none" w:sz="0" w:space="0" w:color="auto"/>
        <w:left w:val="none" w:sz="0" w:space="0" w:color="auto"/>
        <w:bottom w:val="none" w:sz="0" w:space="0" w:color="auto"/>
        <w:right w:val="none" w:sz="0" w:space="0" w:color="auto"/>
      </w:divBdr>
    </w:div>
    <w:div w:id="1953199253">
      <w:bodyDiv w:val="1"/>
      <w:marLeft w:val="0"/>
      <w:marRight w:val="0"/>
      <w:marTop w:val="0"/>
      <w:marBottom w:val="0"/>
      <w:divBdr>
        <w:top w:val="none" w:sz="0" w:space="0" w:color="auto"/>
        <w:left w:val="none" w:sz="0" w:space="0" w:color="auto"/>
        <w:bottom w:val="none" w:sz="0" w:space="0" w:color="auto"/>
        <w:right w:val="none" w:sz="0" w:space="0" w:color="auto"/>
      </w:divBdr>
    </w:div>
    <w:div w:id="1953827568">
      <w:bodyDiv w:val="1"/>
      <w:marLeft w:val="0"/>
      <w:marRight w:val="0"/>
      <w:marTop w:val="0"/>
      <w:marBottom w:val="0"/>
      <w:divBdr>
        <w:top w:val="none" w:sz="0" w:space="0" w:color="auto"/>
        <w:left w:val="none" w:sz="0" w:space="0" w:color="auto"/>
        <w:bottom w:val="none" w:sz="0" w:space="0" w:color="auto"/>
        <w:right w:val="none" w:sz="0" w:space="0" w:color="auto"/>
      </w:divBdr>
    </w:div>
    <w:div w:id="1954049734">
      <w:bodyDiv w:val="1"/>
      <w:marLeft w:val="0"/>
      <w:marRight w:val="0"/>
      <w:marTop w:val="0"/>
      <w:marBottom w:val="0"/>
      <w:divBdr>
        <w:top w:val="none" w:sz="0" w:space="0" w:color="auto"/>
        <w:left w:val="none" w:sz="0" w:space="0" w:color="auto"/>
        <w:bottom w:val="none" w:sz="0" w:space="0" w:color="auto"/>
        <w:right w:val="none" w:sz="0" w:space="0" w:color="auto"/>
      </w:divBdr>
    </w:div>
    <w:div w:id="1954091969">
      <w:bodyDiv w:val="1"/>
      <w:marLeft w:val="0"/>
      <w:marRight w:val="0"/>
      <w:marTop w:val="0"/>
      <w:marBottom w:val="0"/>
      <w:divBdr>
        <w:top w:val="none" w:sz="0" w:space="0" w:color="auto"/>
        <w:left w:val="none" w:sz="0" w:space="0" w:color="auto"/>
        <w:bottom w:val="none" w:sz="0" w:space="0" w:color="auto"/>
        <w:right w:val="none" w:sz="0" w:space="0" w:color="auto"/>
      </w:divBdr>
    </w:div>
    <w:div w:id="1954366163">
      <w:bodyDiv w:val="1"/>
      <w:marLeft w:val="0"/>
      <w:marRight w:val="0"/>
      <w:marTop w:val="0"/>
      <w:marBottom w:val="0"/>
      <w:divBdr>
        <w:top w:val="none" w:sz="0" w:space="0" w:color="auto"/>
        <w:left w:val="none" w:sz="0" w:space="0" w:color="auto"/>
        <w:bottom w:val="none" w:sz="0" w:space="0" w:color="auto"/>
        <w:right w:val="none" w:sz="0" w:space="0" w:color="auto"/>
      </w:divBdr>
    </w:div>
    <w:div w:id="1954559638">
      <w:bodyDiv w:val="1"/>
      <w:marLeft w:val="0"/>
      <w:marRight w:val="0"/>
      <w:marTop w:val="0"/>
      <w:marBottom w:val="0"/>
      <w:divBdr>
        <w:top w:val="none" w:sz="0" w:space="0" w:color="auto"/>
        <w:left w:val="none" w:sz="0" w:space="0" w:color="auto"/>
        <w:bottom w:val="none" w:sz="0" w:space="0" w:color="auto"/>
        <w:right w:val="none" w:sz="0" w:space="0" w:color="auto"/>
      </w:divBdr>
    </w:div>
    <w:div w:id="1956322478">
      <w:bodyDiv w:val="1"/>
      <w:marLeft w:val="0"/>
      <w:marRight w:val="0"/>
      <w:marTop w:val="0"/>
      <w:marBottom w:val="0"/>
      <w:divBdr>
        <w:top w:val="none" w:sz="0" w:space="0" w:color="auto"/>
        <w:left w:val="none" w:sz="0" w:space="0" w:color="auto"/>
        <w:bottom w:val="none" w:sz="0" w:space="0" w:color="auto"/>
        <w:right w:val="none" w:sz="0" w:space="0" w:color="auto"/>
      </w:divBdr>
    </w:div>
    <w:div w:id="1956450137">
      <w:bodyDiv w:val="1"/>
      <w:marLeft w:val="0"/>
      <w:marRight w:val="0"/>
      <w:marTop w:val="0"/>
      <w:marBottom w:val="0"/>
      <w:divBdr>
        <w:top w:val="none" w:sz="0" w:space="0" w:color="auto"/>
        <w:left w:val="none" w:sz="0" w:space="0" w:color="auto"/>
        <w:bottom w:val="none" w:sz="0" w:space="0" w:color="auto"/>
        <w:right w:val="none" w:sz="0" w:space="0" w:color="auto"/>
      </w:divBdr>
    </w:div>
    <w:div w:id="1958178319">
      <w:bodyDiv w:val="1"/>
      <w:marLeft w:val="0"/>
      <w:marRight w:val="0"/>
      <w:marTop w:val="0"/>
      <w:marBottom w:val="0"/>
      <w:divBdr>
        <w:top w:val="none" w:sz="0" w:space="0" w:color="auto"/>
        <w:left w:val="none" w:sz="0" w:space="0" w:color="auto"/>
        <w:bottom w:val="none" w:sz="0" w:space="0" w:color="auto"/>
        <w:right w:val="none" w:sz="0" w:space="0" w:color="auto"/>
      </w:divBdr>
    </w:div>
    <w:div w:id="1959484591">
      <w:bodyDiv w:val="1"/>
      <w:marLeft w:val="0"/>
      <w:marRight w:val="0"/>
      <w:marTop w:val="0"/>
      <w:marBottom w:val="0"/>
      <w:divBdr>
        <w:top w:val="none" w:sz="0" w:space="0" w:color="auto"/>
        <w:left w:val="none" w:sz="0" w:space="0" w:color="auto"/>
        <w:bottom w:val="none" w:sz="0" w:space="0" w:color="auto"/>
        <w:right w:val="none" w:sz="0" w:space="0" w:color="auto"/>
      </w:divBdr>
    </w:div>
    <w:div w:id="1959752377">
      <w:bodyDiv w:val="1"/>
      <w:marLeft w:val="0"/>
      <w:marRight w:val="0"/>
      <w:marTop w:val="0"/>
      <w:marBottom w:val="0"/>
      <w:divBdr>
        <w:top w:val="none" w:sz="0" w:space="0" w:color="auto"/>
        <w:left w:val="none" w:sz="0" w:space="0" w:color="auto"/>
        <w:bottom w:val="none" w:sz="0" w:space="0" w:color="auto"/>
        <w:right w:val="none" w:sz="0" w:space="0" w:color="auto"/>
      </w:divBdr>
    </w:div>
    <w:div w:id="1959987929">
      <w:bodyDiv w:val="1"/>
      <w:marLeft w:val="0"/>
      <w:marRight w:val="0"/>
      <w:marTop w:val="0"/>
      <w:marBottom w:val="0"/>
      <w:divBdr>
        <w:top w:val="none" w:sz="0" w:space="0" w:color="auto"/>
        <w:left w:val="none" w:sz="0" w:space="0" w:color="auto"/>
        <w:bottom w:val="none" w:sz="0" w:space="0" w:color="auto"/>
        <w:right w:val="none" w:sz="0" w:space="0" w:color="auto"/>
      </w:divBdr>
    </w:div>
    <w:div w:id="1960062569">
      <w:bodyDiv w:val="1"/>
      <w:marLeft w:val="0"/>
      <w:marRight w:val="0"/>
      <w:marTop w:val="0"/>
      <w:marBottom w:val="0"/>
      <w:divBdr>
        <w:top w:val="none" w:sz="0" w:space="0" w:color="auto"/>
        <w:left w:val="none" w:sz="0" w:space="0" w:color="auto"/>
        <w:bottom w:val="none" w:sz="0" w:space="0" w:color="auto"/>
        <w:right w:val="none" w:sz="0" w:space="0" w:color="auto"/>
      </w:divBdr>
    </w:div>
    <w:div w:id="1960914620">
      <w:bodyDiv w:val="1"/>
      <w:marLeft w:val="0"/>
      <w:marRight w:val="0"/>
      <w:marTop w:val="0"/>
      <w:marBottom w:val="0"/>
      <w:divBdr>
        <w:top w:val="none" w:sz="0" w:space="0" w:color="auto"/>
        <w:left w:val="none" w:sz="0" w:space="0" w:color="auto"/>
        <w:bottom w:val="none" w:sz="0" w:space="0" w:color="auto"/>
        <w:right w:val="none" w:sz="0" w:space="0" w:color="auto"/>
      </w:divBdr>
    </w:div>
    <w:div w:id="1961523809">
      <w:bodyDiv w:val="1"/>
      <w:marLeft w:val="0"/>
      <w:marRight w:val="0"/>
      <w:marTop w:val="0"/>
      <w:marBottom w:val="0"/>
      <w:divBdr>
        <w:top w:val="none" w:sz="0" w:space="0" w:color="auto"/>
        <w:left w:val="none" w:sz="0" w:space="0" w:color="auto"/>
        <w:bottom w:val="none" w:sz="0" w:space="0" w:color="auto"/>
        <w:right w:val="none" w:sz="0" w:space="0" w:color="auto"/>
      </w:divBdr>
    </w:div>
    <w:div w:id="1961840574">
      <w:bodyDiv w:val="1"/>
      <w:marLeft w:val="0"/>
      <w:marRight w:val="0"/>
      <w:marTop w:val="0"/>
      <w:marBottom w:val="0"/>
      <w:divBdr>
        <w:top w:val="none" w:sz="0" w:space="0" w:color="auto"/>
        <w:left w:val="none" w:sz="0" w:space="0" w:color="auto"/>
        <w:bottom w:val="none" w:sz="0" w:space="0" w:color="auto"/>
        <w:right w:val="none" w:sz="0" w:space="0" w:color="auto"/>
      </w:divBdr>
    </w:div>
    <w:div w:id="1961910235">
      <w:bodyDiv w:val="1"/>
      <w:marLeft w:val="0"/>
      <w:marRight w:val="0"/>
      <w:marTop w:val="0"/>
      <w:marBottom w:val="0"/>
      <w:divBdr>
        <w:top w:val="none" w:sz="0" w:space="0" w:color="auto"/>
        <w:left w:val="none" w:sz="0" w:space="0" w:color="auto"/>
        <w:bottom w:val="none" w:sz="0" w:space="0" w:color="auto"/>
        <w:right w:val="none" w:sz="0" w:space="0" w:color="auto"/>
      </w:divBdr>
    </w:div>
    <w:div w:id="1963491189">
      <w:bodyDiv w:val="1"/>
      <w:marLeft w:val="0"/>
      <w:marRight w:val="0"/>
      <w:marTop w:val="0"/>
      <w:marBottom w:val="0"/>
      <w:divBdr>
        <w:top w:val="none" w:sz="0" w:space="0" w:color="auto"/>
        <w:left w:val="none" w:sz="0" w:space="0" w:color="auto"/>
        <w:bottom w:val="none" w:sz="0" w:space="0" w:color="auto"/>
        <w:right w:val="none" w:sz="0" w:space="0" w:color="auto"/>
      </w:divBdr>
    </w:div>
    <w:div w:id="1963682739">
      <w:bodyDiv w:val="1"/>
      <w:marLeft w:val="0"/>
      <w:marRight w:val="0"/>
      <w:marTop w:val="0"/>
      <w:marBottom w:val="0"/>
      <w:divBdr>
        <w:top w:val="none" w:sz="0" w:space="0" w:color="auto"/>
        <w:left w:val="none" w:sz="0" w:space="0" w:color="auto"/>
        <w:bottom w:val="none" w:sz="0" w:space="0" w:color="auto"/>
        <w:right w:val="none" w:sz="0" w:space="0" w:color="auto"/>
      </w:divBdr>
    </w:div>
    <w:div w:id="1964144934">
      <w:bodyDiv w:val="1"/>
      <w:marLeft w:val="0"/>
      <w:marRight w:val="0"/>
      <w:marTop w:val="0"/>
      <w:marBottom w:val="0"/>
      <w:divBdr>
        <w:top w:val="none" w:sz="0" w:space="0" w:color="auto"/>
        <w:left w:val="none" w:sz="0" w:space="0" w:color="auto"/>
        <w:bottom w:val="none" w:sz="0" w:space="0" w:color="auto"/>
        <w:right w:val="none" w:sz="0" w:space="0" w:color="auto"/>
      </w:divBdr>
    </w:div>
    <w:div w:id="1964728163">
      <w:bodyDiv w:val="1"/>
      <w:marLeft w:val="0"/>
      <w:marRight w:val="0"/>
      <w:marTop w:val="0"/>
      <w:marBottom w:val="0"/>
      <w:divBdr>
        <w:top w:val="none" w:sz="0" w:space="0" w:color="auto"/>
        <w:left w:val="none" w:sz="0" w:space="0" w:color="auto"/>
        <w:bottom w:val="none" w:sz="0" w:space="0" w:color="auto"/>
        <w:right w:val="none" w:sz="0" w:space="0" w:color="auto"/>
      </w:divBdr>
    </w:div>
    <w:div w:id="1965118401">
      <w:bodyDiv w:val="1"/>
      <w:marLeft w:val="0"/>
      <w:marRight w:val="0"/>
      <w:marTop w:val="0"/>
      <w:marBottom w:val="0"/>
      <w:divBdr>
        <w:top w:val="none" w:sz="0" w:space="0" w:color="auto"/>
        <w:left w:val="none" w:sz="0" w:space="0" w:color="auto"/>
        <w:bottom w:val="none" w:sz="0" w:space="0" w:color="auto"/>
        <w:right w:val="none" w:sz="0" w:space="0" w:color="auto"/>
      </w:divBdr>
    </w:div>
    <w:div w:id="1965232752">
      <w:bodyDiv w:val="1"/>
      <w:marLeft w:val="0"/>
      <w:marRight w:val="0"/>
      <w:marTop w:val="0"/>
      <w:marBottom w:val="0"/>
      <w:divBdr>
        <w:top w:val="none" w:sz="0" w:space="0" w:color="auto"/>
        <w:left w:val="none" w:sz="0" w:space="0" w:color="auto"/>
        <w:bottom w:val="none" w:sz="0" w:space="0" w:color="auto"/>
        <w:right w:val="none" w:sz="0" w:space="0" w:color="auto"/>
      </w:divBdr>
    </w:div>
    <w:div w:id="1965497787">
      <w:bodyDiv w:val="1"/>
      <w:marLeft w:val="0"/>
      <w:marRight w:val="0"/>
      <w:marTop w:val="0"/>
      <w:marBottom w:val="0"/>
      <w:divBdr>
        <w:top w:val="none" w:sz="0" w:space="0" w:color="auto"/>
        <w:left w:val="none" w:sz="0" w:space="0" w:color="auto"/>
        <w:bottom w:val="none" w:sz="0" w:space="0" w:color="auto"/>
        <w:right w:val="none" w:sz="0" w:space="0" w:color="auto"/>
      </w:divBdr>
    </w:div>
    <w:div w:id="1965915823">
      <w:bodyDiv w:val="1"/>
      <w:marLeft w:val="0"/>
      <w:marRight w:val="0"/>
      <w:marTop w:val="0"/>
      <w:marBottom w:val="0"/>
      <w:divBdr>
        <w:top w:val="none" w:sz="0" w:space="0" w:color="auto"/>
        <w:left w:val="none" w:sz="0" w:space="0" w:color="auto"/>
        <w:bottom w:val="none" w:sz="0" w:space="0" w:color="auto"/>
        <w:right w:val="none" w:sz="0" w:space="0" w:color="auto"/>
      </w:divBdr>
    </w:div>
    <w:div w:id="1966353074">
      <w:bodyDiv w:val="1"/>
      <w:marLeft w:val="0"/>
      <w:marRight w:val="0"/>
      <w:marTop w:val="0"/>
      <w:marBottom w:val="0"/>
      <w:divBdr>
        <w:top w:val="none" w:sz="0" w:space="0" w:color="auto"/>
        <w:left w:val="none" w:sz="0" w:space="0" w:color="auto"/>
        <w:bottom w:val="none" w:sz="0" w:space="0" w:color="auto"/>
        <w:right w:val="none" w:sz="0" w:space="0" w:color="auto"/>
      </w:divBdr>
    </w:div>
    <w:div w:id="1966615174">
      <w:bodyDiv w:val="1"/>
      <w:marLeft w:val="0"/>
      <w:marRight w:val="0"/>
      <w:marTop w:val="0"/>
      <w:marBottom w:val="0"/>
      <w:divBdr>
        <w:top w:val="none" w:sz="0" w:space="0" w:color="auto"/>
        <w:left w:val="none" w:sz="0" w:space="0" w:color="auto"/>
        <w:bottom w:val="none" w:sz="0" w:space="0" w:color="auto"/>
        <w:right w:val="none" w:sz="0" w:space="0" w:color="auto"/>
      </w:divBdr>
    </w:div>
    <w:div w:id="1966767562">
      <w:bodyDiv w:val="1"/>
      <w:marLeft w:val="0"/>
      <w:marRight w:val="0"/>
      <w:marTop w:val="0"/>
      <w:marBottom w:val="0"/>
      <w:divBdr>
        <w:top w:val="none" w:sz="0" w:space="0" w:color="auto"/>
        <w:left w:val="none" w:sz="0" w:space="0" w:color="auto"/>
        <w:bottom w:val="none" w:sz="0" w:space="0" w:color="auto"/>
        <w:right w:val="none" w:sz="0" w:space="0" w:color="auto"/>
      </w:divBdr>
    </w:div>
    <w:div w:id="1967808176">
      <w:bodyDiv w:val="1"/>
      <w:marLeft w:val="0"/>
      <w:marRight w:val="0"/>
      <w:marTop w:val="0"/>
      <w:marBottom w:val="0"/>
      <w:divBdr>
        <w:top w:val="none" w:sz="0" w:space="0" w:color="auto"/>
        <w:left w:val="none" w:sz="0" w:space="0" w:color="auto"/>
        <w:bottom w:val="none" w:sz="0" w:space="0" w:color="auto"/>
        <w:right w:val="none" w:sz="0" w:space="0" w:color="auto"/>
      </w:divBdr>
    </w:div>
    <w:div w:id="1967808753">
      <w:bodyDiv w:val="1"/>
      <w:marLeft w:val="0"/>
      <w:marRight w:val="0"/>
      <w:marTop w:val="0"/>
      <w:marBottom w:val="0"/>
      <w:divBdr>
        <w:top w:val="none" w:sz="0" w:space="0" w:color="auto"/>
        <w:left w:val="none" w:sz="0" w:space="0" w:color="auto"/>
        <w:bottom w:val="none" w:sz="0" w:space="0" w:color="auto"/>
        <w:right w:val="none" w:sz="0" w:space="0" w:color="auto"/>
      </w:divBdr>
    </w:div>
    <w:div w:id="1968268365">
      <w:bodyDiv w:val="1"/>
      <w:marLeft w:val="0"/>
      <w:marRight w:val="0"/>
      <w:marTop w:val="0"/>
      <w:marBottom w:val="0"/>
      <w:divBdr>
        <w:top w:val="none" w:sz="0" w:space="0" w:color="auto"/>
        <w:left w:val="none" w:sz="0" w:space="0" w:color="auto"/>
        <w:bottom w:val="none" w:sz="0" w:space="0" w:color="auto"/>
        <w:right w:val="none" w:sz="0" w:space="0" w:color="auto"/>
      </w:divBdr>
    </w:div>
    <w:div w:id="1969160446">
      <w:bodyDiv w:val="1"/>
      <w:marLeft w:val="0"/>
      <w:marRight w:val="0"/>
      <w:marTop w:val="0"/>
      <w:marBottom w:val="0"/>
      <w:divBdr>
        <w:top w:val="none" w:sz="0" w:space="0" w:color="auto"/>
        <w:left w:val="none" w:sz="0" w:space="0" w:color="auto"/>
        <w:bottom w:val="none" w:sz="0" w:space="0" w:color="auto"/>
        <w:right w:val="none" w:sz="0" w:space="0" w:color="auto"/>
      </w:divBdr>
    </w:div>
    <w:div w:id="1969974350">
      <w:bodyDiv w:val="1"/>
      <w:marLeft w:val="0"/>
      <w:marRight w:val="0"/>
      <w:marTop w:val="0"/>
      <w:marBottom w:val="0"/>
      <w:divBdr>
        <w:top w:val="none" w:sz="0" w:space="0" w:color="auto"/>
        <w:left w:val="none" w:sz="0" w:space="0" w:color="auto"/>
        <w:bottom w:val="none" w:sz="0" w:space="0" w:color="auto"/>
        <w:right w:val="none" w:sz="0" w:space="0" w:color="auto"/>
      </w:divBdr>
    </w:div>
    <w:div w:id="1970088691">
      <w:bodyDiv w:val="1"/>
      <w:marLeft w:val="0"/>
      <w:marRight w:val="0"/>
      <w:marTop w:val="0"/>
      <w:marBottom w:val="0"/>
      <w:divBdr>
        <w:top w:val="none" w:sz="0" w:space="0" w:color="auto"/>
        <w:left w:val="none" w:sz="0" w:space="0" w:color="auto"/>
        <w:bottom w:val="none" w:sz="0" w:space="0" w:color="auto"/>
        <w:right w:val="none" w:sz="0" w:space="0" w:color="auto"/>
      </w:divBdr>
    </w:div>
    <w:div w:id="1970168016">
      <w:bodyDiv w:val="1"/>
      <w:marLeft w:val="0"/>
      <w:marRight w:val="0"/>
      <w:marTop w:val="0"/>
      <w:marBottom w:val="0"/>
      <w:divBdr>
        <w:top w:val="none" w:sz="0" w:space="0" w:color="auto"/>
        <w:left w:val="none" w:sz="0" w:space="0" w:color="auto"/>
        <w:bottom w:val="none" w:sz="0" w:space="0" w:color="auto"/>
        <w:right w:val="none" w:sz="0" w:space="0" w:color="auto"/>
      </w:divBdr>
    </w:div>
    <w:div w:id="1970554501">
      <w:bodyDiv w:val="1"/>
      <w:marLeft w:val="0"/>
      <w:marRight w:val="0"/>
      <w:marTop w:val="0"/>
      <w:marBottom w:val="0"/>
      <w:divBdr>
        <w:top w:val="none" w:sz="0" w:space="0" w:color="auto"/>
        <w:left w:val="none" w:sz="0" w:space="0" w:color="auto"/>
        <w:bottom w:val="none" w:sz="0" w:space="0" w:color="auto"/>
        <w:right w:val="none" w:sz="0" w:space="0" w:color="auto"/>
      </w:divBdr>
    </w:div>
    <w:div w:id="1970697710">
      <w:bodyDiv w:val="1"/>
      <w:marLeft w:val="0"/>
      <w:marRight w:val="0"/>
      <w:marTop w:val="0"/>
      <w:marBottom w:val="0"/>
      <w:divBdr>
        <w:top w:val="none" w:sz="0" w:space="0" w:color="auto"/>
        <w:left w:val="none" w:sz="0" w:space="0" w:color="auto"/>
        <w:bottom w:val="none" w:sz="0" w:space="0" w:color="auto"/>
        <w:right w:val="none" w:sz="0" w:space="0" w:color="auto"/>
      </w:divBdr>
    </w:div>
    <w:div w:id="1970746695">
      <w:bodyDiv w:val="1"/>
      <w:marLeft w:val="0"/>
      <w:marRight w:val="0"/>
      <w:marTop w:val="0"/>
      <w:marBottom w:val="0"/>
      <w:divBdr>
        <w:top w:val="none" w:sz="0" w:space="0" w:color="auto"/>
        <w:left w:val="none" w:sz="0" w:space="0" w:color="auto"/>
        <w:bottom w:val="none" w:sz="0" w:space="0" w:color="auto"/>
        <w:right w:val="none" w:sz="0" w:space="0" w:color="auto"/>
      </w:divBdr>
    </w:div>
    <w:div w:id="1971276055">
      <w:bodyDiv w:val="1"/>
      <w:marLeft w:val="0"/>
      <w:marRight w:val="0"/>
      <w:marTop w:val="0"/>
      <w:marBottom w:val="0"/>
      <w:divBdr>
        <w:top w:val="none" w:sz="0" w:space="0" w:color="auto"/>
        <w:left w:val="none" w:sz="0" w:space="0" w:color="auto"/>
        <w:bottom w:val="none" w:sz="0" w:space="0" w:color="auto"/>
        <w:right w:val="none" w:sz="0" w:space="0" w:color="auto"/>
      </w:divBdr>
    </w:div>
    <w:div w:id="1971855885">
      <w:bodyDiv w:val="1"/>
      <w:marLeft w:val="0"/>
      <w:marRight w:val="0"/>
      <w:marTop w:val="0"/>
      <w:marBottom w:val="0"/>
      <w:divBdr>
        <w:top w:val="none" w:sz="0" w:space="0" w:color="auto"/>
        <w:left w:val="none" w:sz="0" w:space="0" w:color="auto"/>
        <w:bottom w:val="none" w:sz="0" w:space="0" w:color="auto"/>
        <w:right w:val="none" w:sz="0" w:space="0" w:color="auto"/>
      </w:divBdr>
    </w:div>
    <w:div w:id="1971978994">
      <w:bodyDiv w:val="1"/>
      <w:marLeft w:val="0"/>
      <w:marRight w:val="0"/>
      <w:marTop w:val="0"/>
      <w:marBottom w:val="0"/>
      <w:divBdr>
        <w:top w:val="none" w:sz="0" w:space="0" w:color="auto"/>
        <w:left w:val="none" w:sz="0" w:space="0" w:color="auto"/>
        <w:bottom w:val="none" w:sz="0" w:space="0" w:color="auto"/>
        <w:right w:val="none" w:sz="0" w:space="0" w:color="auto"/>
      </w:divBdr>
    </w:div>
    <w:div w:id="1972207409">
      <w:bodyDiv w:val="1"/>
      <w:marLeft w:val="0"/>
      <w:marRight w:val="0"/>
      <w:marTop w:val="0"/>
      <w:marBottom w:val="0"/>
      <w:divBdr>
        <w:top w:val="none" w:sz="0" w:space="0" w:color="auto"/>
        <w:left w:val="none" w:sz="0" w:space="0" w:color="auto"/>
        <w:bottom w:val="none" w:sz="0" w:space="0" w:color="auto"/>
        <w:right w:val="none" w:sz="0" w:space="0" w:color="auto"/>
      </w:divBdr>
    </w:div>
    <w:div w:id="1972590523">
      <w:bodyDiv w:val="1"/>
      <w:marLeft w:val="0"/>
      <w:marRight w:val="0"/>
      <w:marTop w:val="0"/>
      <w:marBottom w:val="0"/>
      <w:divBdr>
        <w:top w:val="none" w:sz="0" w:space="0" w:color="auto"/>
        <w:left w:val="none" w:sz="0" w:space="0" w:color="auto"/>
        <w:bottom w:val="none" w:sz="0" w:space="0" w:color="auto"/>
        <w:right w:val="none" w:sz="0" w:space="0" w:color="auto"/>
      </w:divBdr>
    </w:div>
    <w:div w:id="1974750705">
      <w:bodyDiv w:val="1"/>
      <w:marLeft w:val="0"/>
      <w:marRight w:val="0"/>
      <w:marTop w:val="0"/>
      <w:marBottom w:val="0"/>
      <w:divBdr>
        <w:top w:val="none" w:sz="0" w:space="0" w:color="auto"/>
        <w:left w:val="none" w:sz="0" w:space="0" w:color="auto"/>
        <w:bottom w:val="none" w:sz="0" w:space="0" w:color="auto"/>
        <w:right w:val="none" w:sz="0" w:space="0" w:color="auto"/>
      </w:divBdr>
    </w:div>
    <w:div w:id="1974863392">
      <w:bodyDiv w:val="1"/>
      <w:marLeft w:val="0"/>
      <w:marRight w:val="0"/>
      <w:marTop w:val="0"/>
      <w:marBottom w:val="0"/>
      <w:divBdr>
        <w:top w:val="none" w:sz="0" w:space="0" w:color="auto"/>
        <w:left w:val="none" w:sz="0" w:space="0" w:color="auto"/>
        <w:bottom w:val="none" w:sz="0" w:space="0" w:color="auto"/>
        <w:right w:val="none" w:sz="0" w:space="0" w:color="auto"/>
      </w:divBdr>
    </w:div>
    <w:div w:id="1975134987">
      <w:bodyDiv w:val="1"/>
      <w:marLeft w:val="0"/>
      <w:marRight w:val="0"/>
      <w:marTop w:val="0"/>
      <w:marBottom w:val="0"/>
      <w:divBdr>
        <w:top w:val="none" w:sz="0" w:space="0" w:color="auto"/>
        <w:left w:val="none" w:sz="0" w:space="0" w:color="auto"/>
        <w:bottom w:val="none" w:sz="0" w:space="0" w:color="auto"/>
        <w:right w:val="none" w:sz="0" w:space="0" w:color="auto"/>
      </w:divBdr>
    </w:div>
    <w:div w:id="1975745595">
      <w:bodyDiv w:val="1"/>
      <w:marLeft w:val="0"/>
      <w:marRight w:val="0"/>
      <w:marTop w:val="0"/>
      <w:marBottom w:val="0"/>
      <w:divBdr>
        <w:top w:val="none" w:sz="0" w:space="0" w:color="auto"/>
        <w:left w:val="none" w:sz="0" w:space="0" w:color="auto"/>
        <w:bottom w:val="none" w:sz="0" w:space="0" w:color="auto"/>
        <w:right w:val="none" w:sz="0" w:space="0" w:color="auto"/>
      </w:divBdr>
    </w:div>
    <w:div w:id="1976182951">
      <w:bodyDiv w:val="1"/>
      <w:marLeft w:val="0"/>
      <w:marRight w:val="0"/>
      <w:marTop w:val="0"/>
      <w:marBottom w:val="0"/>
      <w:divBdr>
        <w:top w:val="none" w:sz="0" w:space="0" w:color="auto"/>
        <w:left w:val="none" w:sz="0" w:space="0" w:color="auto"/>
        <w:bottom w:val="none" w:sz="0" w:space="0" w:color="auto"/>
        <w:right w:val="none" w:sz="0" w:space="0" w:color="auto"/>
      </w:divBdr>
    </w:div>
    <w:div w:id="1976251102">
      <w:bodyDiv w:val="1"/>
      <w:marLeft w:val="0"/>
      <w:marRight w:val="0"/>
      <w:marTop w:val="0"/>
      <w:marBottom w:val="0"/>
      <w:divBdr>
        <w:top w:val="none" w:sz="0" w:space="0" w:color="auto"/>
        <w:left w:val="none" w:sz="0" w:space="0" w:color="auto"/>
        <w:bottom w:val="none" w:sz="0" w:space="0" w:color="auto"/>
        <w:right w:val="none" w:sz="0" w:space="0" w:color="auto"/>
      </w:divBdr>
    </w:div>
    <w:div w:id="1976328262">
      <w:bodyDiv w:val="1"/>
      <w:marLeft w:val="0"/>
      <w:marRight w:val="0"/>
      <w:marTop w:val="0"/>
      <w:marBottom w:val="0"/>
      <w:divBdr>
        <w:top w:val="none" w:sz="0" w:space="0" w:color="auto"/>
        <w:left w:val="none" w:sz="0" w:space="0" w:color="auto"/>
        <w:bottom w:val="none" w:sz="0" w:space="0" w:color="auto"/>
        <w:right w:val="none" w:sz="0" w:space="0" w:color="auto"/>
      </w:divBdr>
    </w:div>
    <w:div w:id="1976518848">
      <w:bodyDiv w:val="1"/>
      <w:marLeft w:val="0"/>
      <w:marRight w:val="0"/>
      <w:marTop w:val="0"/>
      <w:marBottom w:val="0"/>
      <w:divBdr>
        <w:top w:val="none" w:sz="0" w:space="0" w:color="auto"/>
        <w:left w:val="none" w:sz="0" w:space="0" w:color="auto"/>
        <w:bottom w:val="none" w:sz="0" w:space="0" w:color="auto"/>
        <w:right w:val="none" w:sz="0" w:space="0" w:color="auto"/>
      </w:divBdr>
    </w:div>
    <w:div w:id="1976638678">
      <w:bodyDiv w:val="1"/>
      <w:marLeft w:val="0"/>
      <w:marRight w:val="0"/>
      <w:marTop w:val="0"/>
      <w:marBottom w:val="0"/>
      <w:divBdr>
        <w:top w:val="none" w:sz="0" w:space="0" w:color="auto"/>
        <w:left w:val="none" w:sz="0" w:space="0" w:color="auto"/>
        <w:bottom w:val="none" w:sz="0" w:space="0" w:color="auto"/>
        <w:right w:val="none" w:sz="0" w:space="0" w:color="auto"/>
      </w:divBdr>
    </w:div>
    <w:div w:id="1976786481">
      <w:bodyDiv w:val="1"/>
      <w:marLeft w:val="0"/>
      <w:marRight w:val="0"/>
      <w:marTop w:val="0"/>
      <w:marBottom w:val="0"/>
      <w:divBdr>
        <w:top w:val="none" w:sz="0" w:space="0" w:color="auto"/>
        <w:left w:val="none" w:sz="0" w:space="0" w:color="auto"/>
        <w:bottom w:val="none" w:sz="0" w:space="0" w:color="auto"/>
        <w:right w:val="none" w:sz="0" w:space="0" w:color="auto"/>
      </w:divBdr>
    </w:div>
    <w:div w:id="1977180341">
      <w:bodyDiv w:val="1"/>
      <w:marLeft w:val="0"/>
      <w:marRight w:val="0"/>
      <w:marTop w:val="0"/>
      <w:marBottom w:val="0"/>
      <w:divBdr>
        <w:top w:val="none" w:sz="0" w:space="0" w:color="auto"/>
        <w:left w:val="none" w:sz="0" w:space="0" w:color="auto"/>
        <w:bottom w:val="none" w:sz="0" w:space="0" w:color="auto"/>
        <w:right w:val="none" w:sz="0" w:space="0" w:color="auto"/>
      </w:divBdr>
      <w:divsChild>
        <w:div w:id="1838350896">
          <w:marLeft w:val="0"/>
          <w:marRight w:val="0"/>
          <w:marTop w:val="0"/>
          <w:marBottom w:val="0"/>
          <w:divBdr>
            <w:top w:val="none" w:sz="0" w:space="0" w:color="auto"/>
            <w:left w:val="none" w:sz="0" w:space="0" w:color="auto"/>
            <w:bottom w:val="none" w:sz="0" w:space="0" w:color="auto"/>
            <w:right w:val="none" w:sz="0" w:space="0" w:color="auto"/>
          </w:divBdr>
          <w:divsChild>
            <w:div w:id="343823248">
              <w:marLeft w:val="0"/>
              <w:marRight w:val="0"/>
              <w:marTop w:val="0"/>
              <w:marBottom w:val="0"/>
              <w:divBdr>
                <w:top w:val="none" w:sz="0" w:space="0" w:color="auto"/>
                <w:left w:val="none" w:sz="0" w:space="0" w:color="auto"/>
                <w:bottom w:val="none" w:sz="0" w:space="0" w:color="auto"/>
                <w:right w:val="none" w:sz="0" w:space="0" w:color="auto"/>
              </w:divBdr>
              <w:divsChild>
                <w:div w:id="1371150755">
                  <w:marLeft w:val="0"/>
                  <w:marRight w:val="0"/>
                  <w:marTop w:val="0"/>
                  <w:marBottom w:val="0"/>
                  <w:divBdr>
                    <w:top w:val="none" w:sz="0" w:space="0" w:color="auto"/>
                    <w:left w:val="none" w:sz="0" w:space="0" w:color="auto"/>
                    <w:bottom w:val="none" w:sz="0" w:space="0" w:color="auto"/>
                    <w:right w:val="none" w:sz="0" w:space="0" w:color="auto"/>
                  </w:divBdr>
                  <w:divsChild>
                    <w:div w:id="1440029133">
                      <w:marLeft w:val="0"/>
                      <w:marRight w:val="0"/>
                      <w:marTop w:val="0"/>
                      <w:marBottom w:val="0"/>
                      <w:divBdr>
                        <w:top w:val="none" w:sz="0" w:space="0" w:color="auto"/>
                        <w:left w:val="none" w:sz="0" w:space="0" w:color="auto"/>
                        <w:bottom w:val="none" w:sz="0" w:space="0" w:color="auto"/>
                        <w:right w:val="none" w:sz="0" w:space="0" w:color="auto"/>
                      </w:divBdr>
                      <w:divsChild>
                        <w:div w:id="250504515">
                          <w:marLeft w:val="0"/>
                          <w:marRight w:val="0"/>
                          <w:marTop w:val="0"/>
                          <w:marBottom w:val="0"/>
                          <w:divBdr>
                            <w:top w:val="none" w:sz="0" w:space="0" w:color="auto"/>
                            <w:left w:val="none" w:sz="0" w:space="0" w:color="auto"/>
                            <w:bottom w:val="none" w:sz="0" w:space="0" w:color="auto"/>
                            <w:right w:val="none" w:sz="0" w:space="0" w:color="auto"/>
                          </w:divBdr>
                        </w:div>
                        <w:div w:id="159574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448420">
      <w:bodyDiv w:val="1"/>
      <w:marLeft w:val="0"/>
      <w:marRight w:val="0"/>
      <w:marTop w:val="0"/>
      <w:marBottom w:val="0"/>
      <w:divBdr>
        <w:top w:val="none" w:sz="0" w:space="0" w:color="auto"/>
        <w:left w:val="none" w:sz="0" w:space="0" w:color="auto"/>
        <w:bottom w:val="none" w:sz="0" w:space="0" w:color="auto"/>
        <w:right w:val="none" w:sz="0" w:space="0" w:color="auto"/>
      </w:divBdr>
    </w:div>
    <w:div w:id="1979726335">
      <w:bodyDiv w:val="1"/>
      <w:marLeft w:val="0"/>
      <w:marRight w:val="0"/>
      <w:marTop w:val="0"/>
      <w:marBottom w:val="0"/>
      <w:divBdr>
        <w:top w:val="none" w:sz="0" w:space="0" w:color="auto"/>
        <w:left w:val="none" w:sz="0" w:space="0" w:color="auto"/>
        <w:bottom w:val="none" w:sz="0" w:space="0" w:color="auto"/>
        <w:right w:val="none" w:sz="0" w:space="0" w:color="auto"/>
      </w:divBdr>
    </w:div>
    <w:div w:id="1979918547">
      <w:bodyDiv w:val="1"/>
      <w:marLeft w:val="0"/>
      <w:marRight w:val="0"/>
      <w:marTop w:val="0"/>
      <w:marBottom w:val="0"/>
      <w:divBdr>
        <w:top w:val="none" w:sz="0" w:space="0" w:color="auto"/>
        <w:left w:val="none" w:sz="0" w:space="0" w:color="auto"/>
        <w:bottom w:val="none" w:sz="0" w:space="0" w:color="auto"/>
        <w:right w:val="none" w:sz="0" w:space="0" w:color="auto"/>
      </w:divBdr>
    </w:div>
    <w:div w:id="1980069277">
      <w:bodyDiv w:val="1"/>
      <w:marLeft w:val="0"/>
      <w:marRight w:val="0"/>
      <w:marTop w:val="0"/>
      <w:marBottom w:val="0"/>
      <w:divBdr>
        <w:top w:val="none" w:sz="0" w:space="0" w:color="auto"/>
        <w:left w:val="none" w:sz="0" w:space="0" w:color="auto"/>
        <w:bottom w:val="none" w:sz="0" w:space="0" w:color="auto"/>
        <w:right w:val="none" w:sz="0" w:space="0" w:color="auto"/>
      </w:divBdr>
    </w:div>
    <w:div w:id="1981959096">
      <w:bodyDiv w:val="1"/>
      <w:marLeft w:val="0"/>
      <w:marRight w:val="0"/>
      <w:marTop w:val="0"/>
      <w:marBottom w:val="0"/>
      <w:divBdr>
        <w:top w:val="none" w:sz="0" w:space="0" w:color="auto"/>
        <w:left w:val="none" w:sz="0" w:space="0" w:color="auto"/>
        <w:bottom w:val="none" w:sz="0" w:space="0" w:color="auto"/>
        <w:right w:val="none" w:sz="0" w:space="0" w:color="auto"/>
      </w:divBdr>
    </w:div>
    <w:div w:id="1983578330">
      <w:bodyDiv w:val="1"/>
      <w:marLeft w:val="0"/>
      <w:marRight w:val="0"/>
      <w:marTop w:val="0"/>
      <w:marBottom w:val="0"/>
      <w:divBdr>
        <w:top w:val="none" w:sz="0" w:space="0" w:color="auto"/>
        <w:left w:val="none" w:sz="0" w:space="0" w:color="auto"/>
        <w:bottom w:val="none" w:sz="0" w:space="0" w:color="auto"/>
        <w:right w:val="none" w:sz="0" w:space="0" w:color="auto"/>
      </w:divBdr>
    </w:div>
    <w:div w:id="1983802077">
      <w:bodyDiv w:val="1"/>
      <w:marLeft w:val="0"/>
      <w:marRight w:val="0"/>
      <w:marTop w:val="0"/>
      <w:marBottom w:val="0"/>
      <w:divBdr>
        <w:top w:val="none" w:sz="0" w:space="0" w:color="auto"/>
        <w:left w:val="none" w:sz="0" w:space="0" w:color="auto"/>
        <w:bottom w:val="none" w:sz="0" w:space="0" w:color="auto"/>
        <w:right w:val="none" w:sz="0" w:space="0" w:color="auto"/>
      </w:divBdr>
    </w:div>
    <w:div w:id="1984001706">
      <w:bodyDiv w:val="1"/>
      <w:marLeft w:val="0"/>
      <w:marRight w:val="0"/>
      <w:marTop w:val="0"/>
      <w:marBottom w:val="0"/>
      <w:divBdr>
        <w:top w:val="none" w:sz="0" w:space="0" w:color="auto"/>
        <w:left w:val="none" w:sz="0" w:space="0" w:color="auto"/>
        <w:bottom w:val="none" w:sz="0" w:space="0" w:color="auto"/>
        <w:right w:val="none" w:sz="0" w:space="0" w:color="auto"/>
      </w:divBdr>
    </w:div>
    <w:div w:id="1984431637">
      <w:bodyDiv w:val="1"/>
      <w:marLeft w:val="0"/>
      <w:marRight w:val="0"/>
      <w:marTop w:val="0"/>
      <w:marBottom w:val="0"/>
      <w:divBdr>
        <w:top w:val="none" w:sz="0" w:space="0" w:color="auto"/>
        <w:left w:val="none" w:sz="0" w:space="0" w:color="auto"/>
        <w:bottom w:val="none" w:sz="0" w:space="0" w:color="auto"/>
        <w:right w:val="none" w:sz="0" w:space="0" w:color="auto"/>
      </w:divBdr>
    </w:div>
    <w:div w:id="1984460569">
      <w:bodyDiv w:val="1"/>
      <w:marLeft w:val="0"/>
      <w:marRight w:val="0"/>
      <w:marTop w:val="0"/>
      <w:marBottom w:val="0"/>
      <w:divBdr>
        <w:top w:val="none" w:sz="0" w:space="0" w:color="auto"/>
        <w:left w:val="none" w:sz="0" w:space="0" w:color="auto"/>
        <w:bottom w:val="none" w:sz="0" w:space="0" w:color="auto"/>
        <w:right w:val="none" w:sz="0" w:space="0" w:color="auto"/>
      </w:divBdr>
    </w:div>
    <w:div w:id="1984699975">
      <w:bodyDiv w:val="1"/>
      <w:marLeft w:val="0"/>
      <w:marRight w:val="0"/>
      <w:marTop w:val="0"/>
      <w:marBottom w:val="0"/>
      <w:divBdr>
        <w:top w:val="none" w:sz="0" w:space="0" w:color="auto"/>
        <w:left w:val="none" w:sz="0" w:space="0" w:color="auto"/>
        <w:bottom w:val="none" w:sz="0" w:space="0" w:color="auto"/>
        <w:right w:val="none" w:sz="0" w:space="0" w:color="auto"/>
      </w:divBdr>
    </w:div>
    <w:div w:id="1984769044">
      <w:bodyDiv w:val="1"/>
      <w:marLeft w:val="0"/>
      <w:marRight w:val="0"/>
      <w:marTop w:val="0"/>
      <w:marBottom w:val="0"/>
      <w:divBdr>
        <w:top w:val="none" w:sz="0" w:space="0" w:color="auto"/>
        <w:left w:val="none" w:sz="0" w:space="0" w:color="auto"/>
        <w:bottom w:val="none" w:sz="0" w:space="0" w:color="auto"/>
        <w:right w:val="none" w:sz="0" w:space="0" w:color="auto"/>
      </w:divBdr>
    </w:div>
    <w:div w:id="1985423024">
      <w:bodyDiv w:val="1"/>
      <w:marLeft w:val="0"/>
      <w:marRight w:val="0"/>
      <w:marTop w:val="0"/>
      <w:marBottom w:val="0"/>
      <w:divBdr>
        <w:top w:val="none" w:sz="0" w:space="0" w:color="auto"/>
        <w:left w:val="none" w:sz="0" w:space="0" w:color="auto"/>
        <w:bottom w:val="none" w:sz="0" w:space="0" w:color="auto"/>
        <w:right w:val="none" w:sz="0" w:space="0" w:color="auto"/>
      </w:divBdr>
    </w:div>
    <w:div w:id="1985697135">
      <w:bodyDiv w:val="1"/>
      <w:marLeft w:val="0"/>
      <w:marRight w:val="0"/>
      <w:marTop w:val="0"/>
      <w:marBottom w:val="0"/>
      <w:divBdr>
        <w:top w:val="none" w:sz="0" w:space="0" w:color="auto"/>
        <w:left w:val="none" w:sz="0" w:space="0" w:color="auto"/>
        <w:bottom w:val="none" w:sz="0" w:space="0" w:color="auto"/>
        <w:right w:val="none" w:sz="0" w:space="0" w:color="auto"/>
      </w:divBdr>
    </w:div>
    <w:div w:id="1985770785">
      <w:bodyDiv w:val="1"/>
      <w:marLeft w:val="0"/>
      <w:marRight w:val="0"/>
      <w:marTop w:val="0"/>
      <w:marBottom w:val="0"/>
      <w:divBdr>
        <w:top w:val="none" w:sz="0" w:space="0" w:color="auto"/>
        <w:left w:val="none" w:sz="0" w:space="0" w:color="auto"/>
        <w:bottom w:val="none" w:sz="0" w:space="0" w:color="auto"/>
        <w:right w:val="none" w:sz="0" w:space="0" w:color="auto"/>
      </w:divBdr>
    </w:div>
    <w:div w:id="1986425588">
      <w:bodyDiv w:val="1"/>
      <w:marLeft w:val="0"/>
      <w:marRight w:val="0"/>
      <w:marTop w:val="0"/>
      <w:marBottom w:val="0"/>
      <w:divBdr>
        <w:top w:val="none" w:sz="0" w:space="0" w:color="auto"/>
        <w:left w:val="none" w:sz="0" w:space="0" w:color="auto"/>
        <w:bottom w:val="none" w:sz="0" w:space="0" w:color="auto"/>
        <w:right w:val="none" w:sz="0" w:space="0" w:color="auto"/>
      </w:divBdr>
    </w:div>
    <w:div w:id="1986546531">
      <w:bodyDiv w:val="1"/>
      <w:marLeft w:val="0"/>
      <w:marRight w:val="0"/>
      <w:marTop w:val="0"/>
      <w:marBottom w:val="0"/>
      <w:divBdr>
        <w:top w:val="none" w:sz="0" w:space="0" w:color="auto"/>
        <w:left w:val="none" w:sz="0" w:space="0" w:color="auto"/>
        <w:bottom w:val="none" w:sz="0" w:space="0" w:color="auto"/>
        <w:right w:val="none" w:sz="0" w:space="0" w:color="auto"/>
      </w:divBdr>
    </w:div>
    <w:div w:id="1986547805">
      <w:bodyDiv w:val="1"/>
      <w:marLeft w:val="0"/>
      <w:marRight w:val="0"/>
      <w:marTop w:val="0"/>
      <w:marBottom w:val="0"/>
      <w:divBdr>
        <w:top w:val="none" w:sz="0" w:space="0" w:color="auto"/>
        <w:left w:val="none" w:sz="0" w:space="0" w:color="auto"/>
        <w:bottom w:val="none" w:sz="0" w:space="0" w:color="auto"/>
        <w:right w:val="none" w:sz="0" w:space="0" w:color="auto"/>
      </w:divBdr>
    </w:div>
    <w:div w:id="1987274248">
      <w:bodyDiv w:val="1"/>
      <w:marLeft w:val="0"/>
      <w:marRight w:val="0"/>
      <w:marTop w:val="0"/>
      <w:marBottom w:val="0"/>
      <w:divBdr>
        <w:top w:val="none" w:sz="0" w:space="0" w:color="auto"/>
        <w:left w:val="none" w:sz="0" w:space="0" w:color="auto"/>
        <w:bottom w:val="none" w:sz="0" w:space="0" w:color="auto"/>
        <w:right w:val="none" w:sz="0" w:space="0" w:color="auto"/>
      </w:divBdr>
    </w:div>
    <w:div w:id="1987515057">
      <w:bodyDiv w:val="1"/>
      <w:marLeft w:val="0"/>
      <w:marRight w:val="0"/>
      <w:marTop w:val="0"/>
      <w:marBottom w:val="0"/>
      <w:divBdr>
        <w:top w:val="none" w:sz="0" w:space="0" w:color="auto"/>
        <w:left w:val="none" w:sz="0" w:space="0" w:color="auto"/>
        <w:bottom w:val="none" w:sz="0" w:space="0" w:color="auto"/>
        <w:right w:val="none" w:sz="0" w:space="0" w:color="auto"/>
      </w:divBdr>
    </w:div>
    <w:div w:id="1988585767">
      <w:bodyDiv w:val="1"/>
      <w:marLeft w:val="0"/>
      <w:marRight w:val="0"/>
      <w:marTop w:val="0"/>
      <w:marBottom w:val="0"/>
      <w:divBdr>
        <w:top w:val="none" w:sz="0" w:space="0" w:color="auto"/>
        <w:left w:val="none" w:sz="0" w:space="0" w:color="auto"/>
        <w:bottom w:val="none" w:sz="0" w:space="0" w:color="auto"/>
        <w:right w:val="none" w:sz="0" w:space="0" w:color="auto"/>
      </w:divBdr>
    </w:div>
    <w:div w:id="1988776891">
      <w:bodyDiv w:val="1"/>
      <w:marLeft w:val="0"/>
      <w:marRight w:val="0"/>
      <w:marTop w:val="0"/>
      <w:marBottom w:val="0"/>
      <w:divBdr>
        <w:top w:val="none" w:sz="0" w:space="0" w:color="auto"/>
        <w:left w:val="none" w:sz="0" w:space="0" w:color="auto"/>
        <w:bottom w:val="none" w:sz="0" w:space="0" w:color="auto"/>
        <w:right w:val="none" w:sz="0" w:space="0" w:color="auto"/>
      </w:divBdr>
    </w:div>
    <w:div w:id="1989240944">
      <w:bodyDiv w:val="1"/>
      <w:marLeft w:val="0"/>
      <w:marRight w:val="0"/>
      <w:marTop w:val="0"/>
      <w:marBottom w:val="0"/>
      <w:divBdr>
        <w:top w:val="none" w:sz="0" w:space="0" w:color="auto"/>
        <w:left w:val="none" w:sz="0" w:space="0" w:color="auto"/>
        <w:bottom w:val="none" w:sz="0" w:space="0" w:color="auto"/>
        <w:right w:val="none" w:sz="0" w:space="0" w:color="auto"/>
      </w:divBdr>
    </w:div>
    <w:div w:id="1989281043">
      <w:bodyDiv w:val="1"/>
      <w:marLeft w:val="0"/>
      <w:marRight w:val="0"/>
      <w:marTop w:val="0"/>
      <w:marBottom w:val="0"/>
      <w:divBdr>
        <w:top w:val="none" w:sz="0" w:space="0" w:color="auto"/>
        <w:left w:val="none" w:sz="0" w:space="0" w:color="auto"/>
        <w:bottom w:val="none" w:sz="0" w:space="0" w:color="auto"/>
        <w:right w:val="none" w:sz="0" w:space="0" w:color="auto"/>
      </w:divBdr>
    </w:div>
    <w:div w:id="1990017489">
      <w:bodyDiv w:val="1"/>
      <w:marLeft w:val="0"/>
      <w:marRight w:val="0"/>
      <w:marTop w:val="0"/>
      <w:marBottom w:val="0"/>
      <w:divBdr>
        <w:top w:val="none" w:sz="0" w:space="0" w:color="auto"/>
        <w:left w:val="none" w:sz="0" w:space="0" w:color="auto"/>
        <w:bottom w:val="none" w:sz="0" w:space="0" w:color="auto"/>
        <w:right w:val="none" w:sz="0" w:space="0" w:color="auto"/>
      </w:divBdr>
    </w:div>
    <w:div w:id="1991590401">
      <w:bodyDiv w:val="1"/>
      <w:marLeft w:val="0"/>
      <w:marRight w:val="0"/>
      <w:marTop w:val="0"/>
      <w:marBottom w:val="0"/>
      <w:divBdr>
        <w:top w:val="none" w:sz="0" w:space="0" w:color="auto"/>
        <w:left w:val="none" w:sz="0" w:space="0" w:color="auto"/>
        <w:bottom w:val="none" w:sz="0" w:space="0" w:color="auto"/>
        <w:right w:val="none" w:sz="0" w:space="0" w:color="auto"/>
      </w:divBdr>
    </w:div>
    <w:div w:id="1991593853">
      <w:bodyDiv w:val="1"/>
      <w:marLeft w:val="0"/>
      <w:marRight w:val="0"/>
      <w:marTop w:val="0"/>
      <w:marBottom w:val="0"/>
      <w:divBdr>
        <w:top w:val="none" w:sz="0" w:space="0" w:color="auto"/>
        <w:left w:val="none" w:sz="0" w:space="0" w:color="auto"/>
        <w:bottom w:val="none" w:sz="0" w:space="0" w:color="auto"/>
        <w:right w:val="none" w:sz="0" w:space="0" w:color="auto"/>
      </w:divBdr>
    </w:div>
    <w:div w:id="1991713802">
      <w:bodyDiv w:val="1"/>
      <w:marLeft w:val="0"/>
      <w:marRight w:val="0"/>
      <w:marTop w:val="0"/>
      <w:marBottom w:val="0"/>
      <w:divBdr>
        <w:top w:val="none" w:sz="0" w:space="0" w:color="auto"/>
        <w:left w:val="none" w:sz="0" w:space="0" w:color="auto"/>
        <w:bottom w:val="none" w:sz="0" w:space="0" w:color="auto"/>
        <w:right w:val="none" w:sz="0" w:space="0" w:color="auto"/>
      </w:divBdr>
    </w:div>
    <w:div w:id="1991977856">
      <w:bodyDiv w:val="1"/>
      <w:marLeft w:val="0"/>
      <w:marRight w:val="0"/>
      <w:marTop w:val="0"/>
      <w:marBottom w:val="0"/>
      <w:divBdr>
        <w:top w:val="none" w:sz="0" w:space="0" w:color="auto"/>
        <w:left w:val="none" w:sz="0" w:space="0" w:color="auto"/>
        <w:bottom w:val="none" w:sz="0" w:space="0" w:color="auto"/>
        <w:right w:val="none" w:sz="0" w:space="0" w:color="auto"/>
      </w:divBdr>
    </w:div>
    <w:div w:id="1991978035">
      <w:bodyDiv w:val="1"/>
      <w:marLeft w:val="0"/>
      <w:marRight w:val="0"/>
      <w:marTop w:val="0"/>
      <w:marBottom w:val="0"/>
      <w:divBdr>
        <w:top w:val="none" w:sz="0" w:space="0" w:color="auto"/>
        <w:left w:val="none" w:sz="0" w:space="0" w:color="auto"/>
        <w:bottom w:val="none" w:sz="0" w:space="0" w:color="auto"/>
        <w:right w:val="none" w:sz="0" w:space="0" w:color="auto"/>
      </w:divBdr>
    </w:div>
    <w:div w:id="1992098980">
      <w:bodyDiv w:val="1"/>
      <w:marLeft w:val="0"/>
      <w:marRight w:val="0"/>
      <w:marTop w:val="0"/>
      <w:marBottom w:val="0"/>
      <w:divBdr>
        <w:top w:val="none" w:sz="0" w:space="0" w:color="auto"/>
        <w:left w:val="none" w:sz="0" w:space="0" w:color="auto"/>
        <w:bottom w:val="none" w:sz="0" w:space="0" w:color="auto"/>
        <w:right w:val="none" w:sz="0" w:space="0" w:color="auto"/>
      </w:divBdr>
    </w:div>
    <w:div w:id="1992323223">
      <w:bodyDiv w:val="1"/>
      <w:marLeft w:val="0"/>
      <w:marRight w:val="0"/>
      <w:marTop w:val="0"/>
      <w:marBottom w:val="0"/>
      <w:divBdr>
        <w:top w:val="none" w:sz="0" w:space="0" w:color="auto"/>
        <w:left w:val="none" w:sz="0" w:space="0" w:color="auto"/>
        <w:bottom w:val="none" w:sz="0" w:space="0" w:color="auto"/>
        <w:right w:val="none" w:sz="0" w:space="0" w:color="auto"/>
      </w:divBdr>
    </w:div>
    <w:div w:id="1993023831">
      <w:bodyDiv w:val="1"/>
      <w:marLeft w:val="0"/>
      <w:marRight w:val="0"/>
      <w:marTop w:val="0"/>
      <w:marBottom w:val="0"/>
      <w:divBdr>
        <w:top w:val="none" w:sz="0" w:space="0" w:color="auto"/>
        <w:left w:val="none" w:sz="0" w:space="0" w:color="auto"/>
        <w:bottom w:val="none" w:sz="0" w:space="0" w:color="auto"/>
        <w:right w:val="none" w:sz="0" w:space="0" w:color="auto"/>
      </w:divBdr>
    </w:div>
    <w:div w:id="1995178183">
      <w:bodyDiv w:val="1"/>
      <w:marLeft w:val="0"/>
      <w:marRight w:val="0"/>
      <w:marTop w:val="0"/>
      <w:marBottom w:val="0"/>
      <w:divBdr>
        <w:top w:val="none" w:sz="0" w:space="0" w:color="auto"/>
        <w:left w:val="none" w:sz="0" w:space="0" w:color="auto"/>
        <w:bottom w:val="none" w:sz="0" w:space="0" w:color="auto"/>
        <w:right w:val="none" w:sz="0" w:space="0" w:color="auto"/>
      </w:divBdr>
    </w:div>
    <w:div w:id="1995379456">
      <w:bodyDiv w:val="1"/>
      <w:marLeft w:val="0"/>
      <w:marRight w:val="0"/>
      <w:marTop w:val="0"/>
      <w:marBottom w:val="0"/>
      <w:divBdr>
        <w:top w:val="none" w:sz="0" w:space="0" w:color="auto"/>
        <w:left w:val="none" w:sz="0" w:space="0" w:color="auto"/>
        <w:bottom w:val="none" w:sz="0" w:space="0" w:color="auto"/>
        <w:right w:val="none" w:sz="0" w:space="0" w:color="auto"/>
      </w:divBdr>
    </w:div>
    <w:div w:id="1996906821">
      <w:bodyDiv w:val="1"/>
      <w:marLeft w:val="0"/>
      <w:marRight w:val="0"/>
      <w:marTop w:val="0"/>
      <w:marBottom w:val="0"/>
      <w:divBdr>
        <w:top w:val="none" w:sz="0" w:space="0" w:color="auto"/>
        <w:left w:val="none" w:sz="0" w:space="0" w:color="auto"/>
        <w:bottom w:val="none" w:sz="0" w:space="0" w:color="auto"/>
        <w:right w:val="none" w:sz="0" w:space="0" w:color="auto"/>
      </w:divBdr>
    </w:div>
    <w:div w:id="1997297200">
      <w:bodyDiv w:val="1"/>
      <w:marLeft w:val="0"/>
      <w:marRight w:val="0"/>
      <w:marTop w:val="0"/>
      <w:marBottom w:val="0"/>
      <w:divBdr>
        <w:top w:val="none" w:sz="0" w:space="0" w:color="auto"/>
        <w:left w:val="none" w:sz="0" w:space="0" w:color="auto"/>
        <w:bottom w:val="none" w:sz="0" w:space="0" w:color="auto"/>
        <w:right w:val="none" w:sz="0" w:space="0" w:color="auto"/>
      </w:divBdr>
    </w:div>
    <w:div w:id="1999334887">
      <w:bodyDiv w:val="1"/>
      <w:marLeft w:val="0"/>
      <w:marRight w:val="0"/>
      <w:marTop w:val="0"/>
      <w:marBottom w:val="0"/>
      <w:divBdr>
        <w:top w:val="none" w:sz="0" w:space="0" w:color="auto"/>
        <w:left w:val="none" w:sz="0" w:space="0" w:color="auto"/>
        <w:bottom w:val="none" w:sz="0" w:space="0" w:color="auto"/>
        <w:right w:val="none" w:sz="0" w:space="0" w:color="auto"/>
      </w:divBdr>
    </w:div>
    <w:div w:id="1999337417">
      <w:bodyDiv w:val="1"/>
      <w:marLeft w:val="0"/>
      <w:marRight w:val="0"/>
      <w:marTop w:val="0"/>
      <w:marBottom w:val="0"/>
      <w:divBdr>
        <w:top w:val="none" w:sz="0" w:space="0" w:color="auto"/>
        <w:left w:val="none" w:sz="0" w:space="0" w:color="auto"/>
        <w:bottom w:val="none" w:sz="0" w:space="0" w:color="auto"/>
        <w:right w:val="none" w:sz="0" w:space="0" w:color="auto"/>
      </w:divBdr>
    </w:div>
    <w:div w:id="2000109183">
      <w:bodyDiv w:val="1"/>
      <w:marLeft w:val="0"/>
      <w:marRight w:val="0"/>
      <w:marTop w:val="0"/>
      <w:marBottom w:val="0"/>
      <w:divBdr>
        <w:top w:val="none" w:sz="0" w:space="0" w:color="auto"/>
        <w:left w:val="none" w:sz="0" w:space="0" w:color="auto"/>
        <w:bottom w:val="none" w:sz="0" w:space="0" w:color="auto"/>
        <w:right w:val="none" w:sz="0" w:space="0" w:color="auto"/>
      </w:divBdr>
    </w:div>
    <w:div w:id="2000763243">
      <w:bodyDiv w:val="1"/>
      <w:marLeft w:val="0"/>
      <w:marRight w:val="0"/>
      <w:marTop w:val="0"/>
      <w:marBottom w:val="0"/>
      <w:divBdr>
        <w:top w:val="none" w:sz="0" w:space="0" w:color="auto"/>
        <w:left w:val="none" w:sz="0" w:space="0" w:color="auto"/>
        <w:bottom w:val="none" w:sz="0" w:space="0" w:color="auto"/>
        <w:right w:val="none" w:sz="0" w:space="0" w:color="auto"/>
      </w:divBdr>
    </w:div>
    <w:div w:id="2000765764">
      <w:bodyDiv w:val="1"/>
      <w:marLeft w:val="0"/>
      <w:marRight w:val="0"/>
      <w:marTop w:val="0"/>
      <w:marBottom w:val="0"/>
      <w:divBdr>
        <w:top w:val="none" w:sz="0" w:space="0" w:color="auto"/>
        <w:left w:val="none" w:sz="0" w:space="0" w:color="auto"/>
        <w:bottom w:val="none" w:sz="0" w:space="0" w:color="auto"/>
        <w:right w:val="none" w:sz="0" w:space="0" w:color="auto"/>
      </w:divBdr>
    </w:div>
    <w:div w:id="2001544769">
      <w:bodyDiv w:val="1"/>
      <w:marLeft w:val="0"/>
      <w:marRight w:val="0"/>
      <w:marTop w:val="0"/>
      <w:marBottom w:val="0"/>
      <w:divBdr>
        <w:top w:val="none" w:sz="0" w:space="0" w:color="auto"/>
        <w:left w:val="none" w:sz="0" w:space="0" w:color="auto"/>
        <w:bottom w:val="none" w:sz="0" w:space="0" w:color="auto"/>
        <w:right w:val="none" w:sz="0" w:space="0" w:color="auto"/>
      </w:divBdr>
    </w:div>
    <w:div w:id="2001615766">
      <w:bodyDiv w:val="1"/>
      <w:marLeft w:val="0"/>
      <w:marRight w:val="0"/>
      <w:marTop w:val="0"/>
      <w:marBottom w:val="0"/>
      <w:divBdr>
        <w:top w:val="none" w:sz="0" w:space="0" w:color="auto"/>
        <w:left w:val="none" w:sz="0" w:space="0" w:color="auto"/>
        <w:bottom w:val="none" w:sz="0" w:space="0" w:color="auto"/>
        <w:right w:val="none" w:sz="0" w:space="0" w:color="auto"/>
      </w:divBdr>
    </w:div>
    <w:div w:id="2002729607">
      <w:bodyDiv w:val="1"/>
      <w:marLeft w:val="0"/>
      <w:marRight w:val="0"/>
      <w:marTop w:val="0"/>
      <w:marBottom w:val="0"/>
      <w:divBdr>
        <w:top w:val="none" w:sz="0" w:space="0" w:color="auto"/>
        <w:left w:val="none" w:sz="0" w:space="0" w:color="auto"/>
        <w:bottom w:val="none" w:sz="0" w:space="0" w:color="auto"/>
        <w:right w:val="none" w:sz="0" w:space="0" w:color="auto"/>
      </w:divBdr>
    </w:div>
    <w:div w:id="2003000229">
      <w:bodyDiv w:val="1"/>
      <w:marLeft w:val="0"/>
      <w:marRight w:val="0"/>
      <w:marTop w:val="0"/>
      <w:marBottom w:val="0"/>
      <w:divBdr>
        <w:top w:val="none" w:sz="0" w:space="0" w:color="auto"/>
        <w:left w:val="none" w:sz="0" w:space="0" w:color="auto"/>
        <w:bottom w:val="none" w:sz="0" w:space="0" w:color="auto"/>
        <w:right w:val="none" w:sz="0" w:space="0" w:color="auto"/>
      </w:divBdr>
    </w:div>
    <w:div w:id="2003654584">
      <w:bodyDiv w:val="1"/>
      <w:marLeft w:val="0"/>
      <w:marRight w:val="0"/>
      <w:marTop w:val="0"/>
      <w:marBottom w:val="0"/>
      <w:divBdr>
        <w:top w:val="none" w:sz="0" w:space="0" w:color="auto"/>
        <w:left w:val="none" w:sz="0" w:space="0" w:color="auto"/>
        <w:bottom w:val="none" w:sz="0" w:space="0" w:color="auto"/>
        <w:right w:val="none" w:sz="0" w:space="0" w:color="auto"/>
      </w:divBdr>
    </w:div>
    <w:div w:id="2003775663">
      <w:bodyDiv w:val="1"/>
      <w:marLeft w:val="0"/>
      <w:marRight w:val="0"/>
      <w:marTop w:val="0"/>
      <w:marBottom w:val="0"/>
      <w:divBdr>
        <w:top w:val="none" w:sz="0" w:space="0" w:color="auto"/>
        <w:left w:val="none" w:sz="0" w:space="0" w:color="auto"/>
        <w:bottom w:val="none" w:sz="0" w:space="0" w:color="auto"/>
        <w:right w:val="none" w:sz="0" w:space="0" w:color="auto"/>
      </w:divBdr>
    </w:div>
    <w:div w:id="2004578626">
      <w:bodyDiv w:val="1"/>
      <w:marLeft w:val="0"/>
      <w:marRight w:val="0"/>
      <w:marTop w:val="0"/>
      <w:marBottom w:val="0"/>
      <w:divBdr>
        <w:top w:val="none" w:sz="0" w:space="0" w:color="auto"/>
        <w:left w:val="none" w:sz="0" w:space="0" w:color="auto"/>
        <w:bottom w:val="none" w:sz="0" w:space="0" w:color="auto"/>
        <w:right w:val="none" w:sz="0" w:space="0" w:color="auto"/>
      </w:divBdr>
    </w:div>
    <w:div w:id="2004967022">
      <w:bodyDiv w:val="1"/>
      <w:marLeft w:val="0"/>
      <w:marRight w:val="0"/>
      <w:marTop w:val="0"/>
      <w:marBottom w:val="0"/>
      <w:divBdr>
        <w:top w:val="none" w:sz="0" w:space="0" w:color="auto"/>
        <w:left w:val="none" w:sz="0" w:space="0" w:color="auto"/>
        <w:bottom w:val="none" w:sz="0" w:space="0" w:color="auto"/>
        <w:right w:val="none" w:sz="0" w:space="0" w:color="auto"/>
      </w:divBdr>
    </w:div>
    <w:div w:id="2005280117">
      <w:bodyDiv w:val="1"/>
      <w:marLeft w:val="0"/>
      <w:marRight w:val="0"/>
      <w:marTop w:val="0"/>
      <w:marBottom w:val="0"/>
      <w:divBdr>
        <w:top w:val="none" w:sz="0" w:space="0" w:color="auto"/>
        <w:left w:val="none" w:sz="0" w:space="0" w:color="auto"/>
        <w:bottom w:val="none" w:sz="0" w:space="0" w:color="auto"/>
        <w:right w:val="none" w:sz="0" w:space="0" w:color="auto"/>
      </w:divBdr>
    </w:div>
    <w:div w:id="2005887883">
      <w:bodyDiv w:val="1"/>
      <w:marLeft w:val="0"/>
      <w:marRight w:val="0"/>
      <w:marTop w:val="0"/>
      <w:marBottom w:val="0"/>
      <w:divBdr>
        <w:top w:val="none" w:sz="0" w:space="0" w:color="auto"/>
        <w:left w:val="none" w:sz="0" w:space="0" w:color="auto"/>
        <w:bottom w:val="none" w:sz="0" w:space="0" w:color="auto"/>
        <w:right w:val="none" w:sz="0" w:space="0" w:color="auto"/>
      </w:divBdr>
    </w:div>
    <w:div w:id="2006005046">
      <w:bodyDiv w:val="1"/>
      <w:marLeft w:val="0"/>
      <w:marRight w:val="0"/>
      <w:marTop w:val="0"/>
      <w:marBottom w:val="0"/>
      <w:divBdr>
        <w:top w:val="none" w:sz="0" w:space="0" w:color="auto"/>
        <w:left w:val="none" w:sz="0" w:space="0" w:color="auto"/>
        <w:bottom w:val="none" w:sz="0" w:space="0" w:color="auto"/>
        <w:right w:val="none" w:sz="0" w:space="0" w:color="auto"/>
      </w:divBdr>
    </w:div>
    <w:div w:id="2006542325">
      <w:bodyDiv w:val="1"/>
      <w:marLeft w:val="0"/>
      <w:marRight w:val="0"/>
      <w:marTop w:val="0"/>
      <w:marBottom w:val="0"/>
      <w:divBdr>
        <w:top w:val="none" w:sz="0" w:space="0" w:color="auto"/>
        <w:left w:val="none" w:sz="0" w:space="0" w:color="auto"/>
        <w:bottom w:val="none" w:sz="0" w:space="0" w:color="auto"/>
        <w:right w:val="none" w:sz="0" w:space="0" w:color="auto"/>
      </w:divBdr>
    </w:div>
    <w:div w:id="2007325167">
      <w:bodyDiv w:val="1"/>
      <w:marLeft w:val="0"/>
      <w:marRight w:val="0"/>
      <w:marTop w:val="0"/>
      <w:marBottom w:val="0"/>
      <w:divBdr>
        <w:top w:val="none" w:sz="0" w:space="0" w:color="auto"/>
        <w:left w:val="none" w:sz="0" w:space="0" w:color="auto"/>
        <w:bottom w:val="none" w:sz="0" w:space="0" w:color="auto"/>
        <w:right w:val="none" w:sz="0" w:space="0" w:color="auto"/>
      </w:divBdr>
    </w:div>
    <w:div w:id="2007636088">
      <w:bodyDiv w:val="1"/>
      <w:marLeft w:val="0"/>
      <w:marRight w:val="0"/>
      <w:marTop w:val="0"/>
      <w:marBottom w:val="0"/>
      <w:divBdr>
        <w:top w:val="none" w:sz="0" w:space="0" w:color="auto"/>
        <w:left w:val="none" w:sz="0" w:space="0" w:color="auto"/>
        <w:bottom w:val="none" w:sz="0" w:space="0" w:color="auto"/>
        <w:right w:val="none" w:sz="0" w:space="0" w:color="auto"/>
      </w:divBdr>
    </w:div>
    <w:div w:id="2008364888">
      <w:bodyDiv w:val="1"/>
      <w:marLeft w:val="0"/>
      <w:marRight w:val="0"/>
      <w:marTop w:val="0"/>
      <w:marBottom w:val="0"/>
      <w:divBdr>
        <w:top w:val="none" w:sz="0" w:space="0" w:color="auto"/>
        <w:left w:val="none" w:sz="0" w:space="0" w:color="auto"/>
        <w:bottom w:val="none" w:sz="0" w:space="0" w:color="auto"/>
        <w:right w:val="none" w:sz="0" w:space="0" w:color="auto"/>
      </w:divBdr>
    </w:div>
    <w:div w:id="2008753518">
      <w:bodyDiv w:val="1"/>
      <w:marLeft w:val="0"/>
      <w:marRight w:val="0"/>
      <w:marTop w:val="0"/>
      <w:marBottom w:val="0"/>
      <w:divBdr>
        <w:top w:val="none" w:sz="0" w:space="0" w:color="auto"/>
        <w:left w:val="none" w:sz="0" w:space="0" w:color="auto"/>
        <w:bottom w:val="none" w:sz="0" w:space="0" w:color="auto"/>
        <w:right w:val="none" w:sz="0" w:space="0" w:color="auto"/>
      </w:divBdr>
    </w:div>
    <w:div w:id="2009598979">
      <w:bodyDiv w:val="1"/>
      <w:marLeft w:val="0"/>
      <w:marRight w:val="0"/>
      <w:marTop w:val="0"/>
      <w:marBottom w:val="0"/>
      <w:divBdr>
        <w:top w:val="none" w:sz="0" w:space="0" w:color="auto"/>
        <w:left w:val="none" w:sz="0" w:space="0" w:color="auto"/>
        <w:bottom w:val="none" w:sz="0" w:space="0" w:color="auto"/>
        <w:right w:val="none" w:sz="0" w:space="0" w:color="auto"/>
      </w:divBdr>
    </w:div>
    <w:div w:id="2010131198">
      <w:bodyDiv w:val="1"/>
      <w:marLeft w:val="0"/>
      <w:marRight w:val="0"/>
      <w:marTop w:val="0"/>
      <w:marBottom w:val="0"/>
      <w:divBdr>
        <w:top w:val="none" w:sz="0" w:space="0" w:color="auto"/>
        <w:left w:val="none" w:sz="0" w:space="0" w:color="auto"/>
        <w:bottom w:val="none" w:sz="0" w:space="0" w:color="auto"/>
        <w:right w:val="none" w:sz="0" w:space="0" w:color="auto"/>
      </w:divBdr>
    </w:div>
    <w:div w:id="2010206235">
      <w:bodyDiv w:val="1"/>
      <w:marLeft w:val="0"/>
      <w:marRight w:val="0"/>
      <w:marTop w:val="0"/>
      <w:marBottom w:val="0"/>
      <w:divBdr>
        <w:top w:val="none" w:sz="0" w:space="0" w:color="auto"/>
        <w:left w:val="none" w:sz="0" w:space="0" w:color="auto"/>
        <w:bottom w:val="none" w:sz="0" w:space="0" w:color="auto"/>
        <w:right w:val="none" w:sz="0" w:space="0" w:color="auto"/>
      </w:divBdr>
    </w:div>
    <w:div w:id="2011177090">
      <w:bodyDiv w:val="1"/>
      <w:marLeft w:val="0"/>
      <w:marRight w:val="0"/>
      <w:marTop w:val="0"/>
      <w:marBottom w:val="0"/>
      <w:divBdr>
        <w:top w:val="none" w:sz="0" w:space="0" w:color="auto"/>
        <w:left w:val="none" w:sz="0" w:space="0" w:color="auto"/>
        <w:bottom w:val="none" w:sz="0" w:space="0" w:color="auto"/>
        <w:right w:val="none" w:sz="0" w:space="0" w:color="auto"/>
      </w:divBdr>
    </w:div>
    <w:div w:id="2011713863">
      <w:bodyDiv w:val="1"/>
      <w:marLeft w:val="0"/>
      <w:marRight w:val="0"/>
      <w:marTop w:val="0"/>
      <w:marBottom w:val="0"/>
      <w:divBdr>
        <w:top w:val="none" w:sz="0" w:space="0" w:color="auto"/>
        <w:left w:val="none" w:sz="0" w:space="0" w:color="auto"/>
        <w:bottom w:val="none" w:sz="0" w:space="0" w:color="auto"/>
        <w:right w:val="none" w:sz="0" w:space="0" w:color="auto"/>
      </w:divBdr>
    </w:div>
    <w:div w:id="2011717198">
      <w:bodyDiv w:val="1"/>
      <w:marLeft w:val="0"/>
      <w:marRight w:val="0"/>
      <w:marTop w:val="0"/>
      <w:marBottom w:val="0"/>
      <w:divBdr>
        <w:top w:val="none" w:sz="0" w:space="0" w:color="auto"/>
        <w:left w:val="none" w:sz="0" w:space="0" w:color="auto"/>
        <w:bottom w:val="none" w:sz="0" w:space="0" w:color="auto"/>
        <w:right w:val="none" w:sz="0" w:space="0" w:color="auto"/>
      </w:divBdr>
    </w:div>
    <w:div w:id="2011789291">
      <w:bodyDiv w:val="1"/>
      <w:marLeft w:val="0"/>
      <w:marRight w:val="0"/>
      <w:marTop w:val="0"/>
      <w:marBottom w:val="0"/>
      <w:divBdr>
        <w:top w:val="none" w:sz="0" w:space="0" w:color="auto"/>
        <w:left w:val="none" w:sz="0" w:space="0" w:color="auto"/>
        <w:bottom w:val="none" w:sz="0" w:space="0" w:color="auto"/>
        <w:right w:val="none" w:sz="0" w:space="0" w:color="auto"/>
      </w:divBdr>
    </w:div>
    <w:div w:id="2012559911">
      <w:bodyDiv w:val="1"/>
      <w:marLeft w:val="0"/>
      <w:marRight w:val="0"/>
      <w:marTop w:val="0"/>
      <w:marBottom w:val="0"/>
      <w:divBdr>
        <w:top w:val="none" w:sz="0" w:space="0" w:color="auto"/>
        <w:left w:val="none" w:sz="0" w:space="0" w:color="auto"/>
        <w:bottom w:val="none" w:sz="0" w:space="0" w:color="auto"/>
        <w:right w:val="none" w:sz="0" w:space="0" w:color="auto"/>
      </w:divBdr>
    </w:div>
    <w:div w:id="2012757185">
      <w:bodyDiv w:val="1"/>
      <w:marLeft w:val="0"/>
      <w:marRight w:val="0"/>
      <w:marTop w:val="0"/>
      <w:marBottom w:val="0"/>
      <w:divBdr>
        <w:top w:val="none" w:sz="0" w:space="0" w:color="auto"/>
        <w:left w:val="none" w:sz="0" w:space="0" w:color="auto"/>
        <w:bottom w:val="none" w:sz="0" w:space="0" w:color="auto"/>
        <w:right w:val="none" w:sz="0" w:space="0" w:color="auto"/>
      </w:divBdr>
    </w:div>
    <w:div w:id="2012828904">
      <w:bodyDiv w:val="1"/>
      <w:marLeft w:val="0"/>
      <w:marRight w:val="0"/>
      <w:marTop w:val="0"/>
      <w:marBottom w:val="0"/>
      <w:divBdr>
        <w:top w:val="none" w:sz="0" w:space="0" w:color="auto"/>
        <w:left w:val="none" w:sz="0" w:space="0" w:color="auto"/>
        <w:bottom w:val="none" w:sz="0" w:space="0" w:color="auto"/>
        <w:right w:val="none" w:sz="0" w:space="0" w:color="auto"/>
      </w:divBdr>
    </w:div>
    <w:div w:id="2012948318">
      <w:bodyDiv w:val="1"/>
      <w:marLeft w:val="0"/>
      <w:marRight w:val="0"/>
      <w:marTop w:val="0"/>
      <w:marBottom w:val="0"/>
      <w:divBdr>
        <w:top w:val="none" w:sz="0" w:space="0" w:color="auto"/>
        <w:left w:val="none" w:sz="0" w:space="0" w:color="auto"/>
        <w:bottom w:val="none" w:sz="0" w:space="0" w:color="auto"/>
        <w:right w:val="none" w:sz="0" w:space="0" w:color="auto"/>
      </w:divBdr>
    </w:div>
    <w:div w:id="2013214865">
      <w:bodyDiv w:val="1"/>
      <w:marLeft w:val="0"/>
      <w:marRight w:val="0"/>
      <w:marTop w:val="0"/>
      <w:marBottom w:val="0"/>
      <w:divBdr>
        <w:top w:val="none" w:sz="0" w:space="0" w:color="auto"/>
        <w:left w:val="none" w:sz="0" w:space="0" w:color="auto"/>
        <w:bottom w:val="none" w:sz="0" w:space="0" w:color="auto"/>
        <w:right w:val="none" w:sz="0" w:space="0" w:color="auto"/>
      </w:divBdr>
    </w:div>
    <w:div w:id="2013414334">
      <w:bodyDiv w:val="1"/>
      <w:marLeft w:val="0"/>
      <w:marRight w:val="0"/>
      <w:marTop w:val="0"/>
      <w:marBottom w:val="0"/>
      <w:divBdr>
        <w:top w:val="none" w:sz="0" w:space="0" w:color="auto"/>
        <w:left w:val="none" w:sz="0" w:space="0" w:color="auto"/>
        <w:bottom w:val="none" w:sz="0" w:space="0" w:color="auto"/>
        <w:right w:val="none" w:sz="0" w:space="0" w:color="auto"/>
      </w:divBdr>
    </w:div>
    <w:div w:id="2013488333">
      <w:bodyDiv w:val="1"/>
      <w:marLeft w:val="0"/>
      <w:marRight w:val="0"/>
      <w:marTop w:val="0"/>
      <w:marBottom w:val="0"/>
      <w:divBdr>
        <w:top w:val="none" w:sz="0" w:space="0" w:color="auto"/>
        <w:left w:val="none" w:sz="0" w:space="0" w:color="auto"/>
        <w:bottom w:val="none" w:sz="0" w:space="0" w:color="auto"/>
        <w:right w:val="none" w:sz="0" w:space="0" w:color="auto"/>
      </w:divBdr>
    </w:div>
    <w:div w:id="2014215742">
      <w:bodyDiv w:val="1"/>
      <w:marLeft w:val="0"/>
      <w:marRight w:val="0"/>
      <w:marTop w:val="0"/>
      <w:marBottom w:val="0"/>
      <w:divBdr>
        <w:top w:val="none" w:sz="0" w:space="0" w:color="auto"/>
        <w:left w:val="none" w:sz="0" w:space="0" w:color="auto"/>
        <w:bottom w:val="none" w:sz="0" w:space="0" w:color="auto"/>
        <w:right w:val="none" w:sz="0" w:space="0" w:color="auto"/>
      </w:divBdr>
    </w:div>
    <w:div w:id="2014992272">
      <w:bodyDiv w:val="1"/>
      <w:marLeft w:val="0"/>
      <w:marRight w:val="0"/>
      <w:marTop w:val="0"/>
      <w:marBottom w:val="0"/>
      <w:divBdr>
        <w:top w:val="none" w:sz="0" w:space="0" w:color="auto"/>
        <w:left w:val="none" w:sz="0" w:space="0" w:color="auto"/>
        <w:bottom w:val="none" w:sz="0" w:space="0" w:color="auto"/>
        <w:right w:val="none" w:sz="0" w:space="0" w:color="auto"/>
      </w:divBdr>
    </w:div>
    <w:div w:id="2015064475">
      <w:bodyDiv w:val="1"/>
      <w:marLeft w:val="0"/>
      <w:marRight w:val="0"/>
      <w:marTop w:val="0"/>
      <w:marBottom w:val="0"/>
      <w:divBdr>
        <w:top w:val="none" w:sz="0" w:space="0" w:color="auto"/>
        <w:left w:val="none" w:sz="0" w:space="0" w:color="auto"/>
        <w:bottom w:val="none" w:sz="0" w:space="0" w:color="auto"/>
        <w:right w:val="none" w:sz="0" w:space="0" w:color="auto"/>
      </w:divBdr>
    </w:div>
    <w:div w:id="2015956420">
      <w:bodyDiv w:val="1"/>
      <w:marLeft w:val="0"/>
      <w:marRight w:val="0"/>
      <w:marTop w:val="0"/>
      <w:marBottom w:val="0"/>
      <w:divBdr>
        <w:top w:val="none" w:sz="0" w:space="0" w:color="auto"/>
        <w:left w:val="none" w:sz="0" w:space="0" w:color="auto"/>
        <w:bottom w:val="none" w:sz="0" w:space="0" w:color="auto"/>
        <w:right w:val="none" w:sz="0" w:space="0" w:color="auto"/>
      </w:divBdr>
    </w:div>
    <w:div w:id="2015985330">
      <w:bodyDiv w:val="1"/>
      <w:marLeft w:val="0"/>
      <w:marRight w:val="0"/>
      <w:marTop w:val="0"/>
      <w:marBottom w:val="0"/>
      <w:divBdr>
        <w:top w:val="none" w:sz="0" w:space="0" w:color="auto"/>
        <w:left w:val="none" w:sz="0" w:space="0" w:color="auto"/>
        <w:bottom w:val="none" w:sz="0" w:space="0" w:color="auto"/>
        <w:right w:val="none" w:sz="0" w:space="0" w:color="auto"/>
      </w:divBdr>
    </w:div>
    <w:div w:id="2016225491">
      <w:bodyDiv w:val="1"/>
      <w:marLeft w:val="0"/>
      <w:marRight w:val="0"/>
      <w:marTop w:val="0"/>
      <w:marBottom w:val="0"/>
      <w:divBdr>
        <w:top w:val="none" w:sz="0" w:space="0" w:color="auto"/>
        <w:left w:val="none" w:sz="0" w:space="0" w:color="auto"/>
        <w:bottom w:val="none" w:sz="0" w:space="0" w:color="auto"/>
        <w:right w:val="none" w:sz="0" w:space="0" w:color="auto"/>
      </w:divBdr>
    </w:div>
    <w:div w:id="2016758766">
      <w:bodyDiv w:val="1"/>
      <w:marLeft w:val="0"/>
      <w:marRight w:val="0"/>
      <w:marTop w:val="0"/>
      <w:marBottom w:val="0"/>
      <w:divBdr>
        <w:top w:val="none" w:sz="0" w:space="0" w:color="auto"/>
        <w:left w:val="none" w:sz="0" w:space="0" w:color="auto"/>
        <w:bottom w:val="none" w:sz="0" w:space="0" w:color="auto"/>
        <w:right w:val="none" w:sz="0" w:space="0" w:color="auto"/>
      </w:divBdr>
    </w:div>
    <w:div w:id="2017002171">
      <w:bodyDiv w:val="1"/>
      <w:marLeft w:val="0"/>
      <w:marRight w:val="0"/>
      <w:marTop w:val="0"/>
      <w:marBottom w:val="0"/>
      <w:divBdr>
        <w:top w:val="none" w:sz="0" w:space="0" w:color="auto"/>
        <w:left w:val="none" w:sz="0" w:space="0" w:color="auto"/>
        <w:bottom w:val="none" w:sz="0" w:space="0" w:color="auto"/>
        <w:right w:val="none" w:sz="0" w:space="0" w:color="auto"/>
      </w:divBdr>
    </w:div>
    <w:div w:id="2017729693">
      <w:bodyDiv w:val="1"/>
      <w:marLeft w:val="0"/>
      <w:marRight w:val="0"/>
      <w:marTop w:val="0"/>
      <w:marBottom w:val="0"/>
      <w:divBdr>
        <w:top w:val="none" w:sz="0" w:space="0" w:color="auto"/>
        <w:left w:val="none" w:sz="0" w:space="0" w:color="auto"/>
        <w:bottom w:val="none" w:sz="0" w:space="0" w:color="auto"/>
        <w:right w:val="none" w:sz="0" w:space="0" w:color="auto"/>
      </w:divBdr>
    </w:div>
    <w:div w:id="2017999514">
      <w:bodyDiv w:val="1"/>
      <w:marLeft w:val="0"/>
      <w:marRight w:val="0"/>
      <w:marTop w:val="0"/>
      <w:marBottom w:val="0"/>
      <w:divBdr>
        <w:top w:val="none" w:sz="0" w:space="0" w:color="auto"/>
        <w:left w:val="none" w:sz="0" w:space="0" w:color="auto"/>
        <w:bottom w:val="none" w:sz="0" w:space="0" w:color="auto"/>
        <w:right w:val="none" w:sz="0" w:space="0" w:color="auto"/>
      </w:divBdr>
    </w:div>
    <w:div w:id="2018144691">
      <w:bodyDiv w:val="1"/>
      <w:marLeft w:val="0"/>
      <w:marRight w:val="0"/>
      <w:marTop w:val="0"/>
      <w:marBottom w:val="0"/>
      <w:divBdr>
        <w:top w:val="none" w:sz="0" w:space="0" w:color="auto"/>
        <w:left w:val="none" w:sz="0" w:space="0" w:color="auto"/>
        <w:bottom w:val="none" w:sz="0" w:space="0" w:color="auto"/>
        <w:right w:val="none" w:sz="0" w:space="0" w:color="auto"/>
      </w:divBdr>
    </w:div>
    <w:div w:id="2018388979">
      <w:bodyDiv w:val="1"/>
      <w:marLeft w:val="0"/>
      <w:marRight w:val="0"/>
      <w:marTop w:val="0"/>
      <w:marBottom w:val="0"/>
      <w:divBdr>
        <w:top w:val="none" w:sz="0" w:space="0" w:color="auto"/>
        <w:left w:val="none" w:sz="0" w:space="0" w:color="auto"/>
        <w:bottom w:val="none" w:sz="0" w:space="0" w:color="auto"/>
        <w:right w:val="none" w:sz="0" w:space="0" w:color="auto"/>
      </w:divBdr>
    </w:div>
    <w:div w:id="2018457942">
      <w:bodyDiv w:val="1"/>
      <w:marLeft w:val="0"/>
      <w:marRight w:val="0"/>
      <w:marTop w:val="0"/>
      <w:marBottom w:val="0"/>
      <w:divBdr>
        <w:top w:val="none" w:sz="0" w:space="0" w:color="auto"/>
        <w:left w:val="none" w:sz="0" w:space="0" w:color="auto"/>
        <w:bottom w:val="none" w:sz="0" w:space="0" w:color="auto"/>
        <w:right w:val="none" w:sz="0" w:space="0" w:color="auto"/>
      </w:divBdr>
    </w:div>
    <w:div w:id="2018463831">
      <w:bodyDiv w:val="1"/>
      <w:marLeft w:val="0"/>
      <w:marRight w:val="0"/>
      <w:marTop w:val="0"/>
      <w:marBottom w:val="0"/>
      <w:divBdr>
        <w:top w:val="none" w:sz="0" w:space="0" w:color="auto"/>
        <w:left w:val="none" w:sz="0" w:space="0" w:color="auto"/>
        <w:bottom w:val="none" w:sz="0" w:space="0" w:color="auto"/>
        <w:right w:val="none" w:sz="0" w:space="0" w:color="auto"/>
      </w:divBdr>
    </w:div>
    <w:div w:id="2019235955">
      <w:bodyDiv w:val="1"/>
      <w:marLeft w:val="0"/>
      <w:marRight w:val="0"/>
      <w:marTop w:val="0"/>
      <w:marBottom w:val="0"/>
      <w:divBdr>
        <w:top w:val="none" w:sz="0" w:space="0" w:color="auto"/>
        <w:left w:val="none" w:sz="0" w:space="0" w:color="auto"/>
        <w:bottom w:val="none" w:sz="0" w:space="0" w:color="auto"/>
        <w:right w:val="none" w:sz="0" w:space="0" w:color="auto"/>
      </w:divBdr>
    </w:div>
    <w:div w:id="2019236150">
      <w:bodyDiv w:val="1"/>
      <w:marLeft w:val="0"/>
      <w:marRight w:val="0"/>
      <w:marTop w:val="0"/>
      <w:marBottom w:val="0"/>
      <w:divBdr>
        <w:top w:val="none" w:sz="0" w:space="0" w:color="auto"/>
        <w:left w:val="none" w:sz="0" w:space="0" w:color="auto"/>
        <w:bottom w:val="none" w:sz="0" w:space="0" w:color="auto"/>
        <w:right w:val="none" w:sz="0" w:space="0" w:color="auto"/>
      </w:divBdr>
    </w:div>
    <w:div w:id="2019963938">
      <w:bodyDiv w:val="1"/>
      <w:marLeft w:val="0"/>
      <w:marRight w:val="0"/>
      <w:marTop w:val="0"/>
      <w:marBottom w:val="0"/>
      <w:divBdr>
        <w:top w:val="none" w:sz="0" w:space="0" w:color="auto"/>
        <w:left w:val="none" w:sz="0" w:space="0" w:color="auto"/>
        <w:bottom w:val="none" w:sz="0" w:space="0" w:color="auto"/>
        <w:right w:val="none" w:sz="0" w:space="0" w:color="auto"/>
      </w:divBdr>
    </w:div>
    <w:div w:id="2020112592">
      <w:bodyDiv w:val="1"/>
      <w:marLeft w:val="0"/>
      <w:marRight w:val="0"/>
      <w:marTop w:val="0"/>
      <w:marBottom w:val="0"/>
      <w:divBdr>
        <w:top w:val="none" w:sz="0" w:space="0" w:color="auto"/>
        <w:left w:val="none" w:sz="0" w:space="0" w:color="auto"/>
        <w:bottom w:val="none" w:sz="0" w:space="0" w:color="auto"/>
        <w:right w:val="none" w:sz="0" w:space="0" w:color="auto"/>
      </w:divBdr>
    </w:div>
    <w:div w:id="2020307058">
      <w:bodyDiv w:val="1"/>
      <w:marLeft w:val="0"/>
      <w:marRight w:val="0"/>
      <w:marTop w:val="0"/>
      <w:marBottom w:val="0"/>
      <w:divBdr>
        <w:top w:val="none" w:sz="0" w:space="0" w:color="auto"/>
        <w:left w:val="none" w:sz="0" w:space="0" w:color="auto"/>
        <w:bottom w:val="none" w:sz="0" w:space="0" w:color="auto"/>
        <w:right w:val="none" w:sz="0" w:space="0" w:color="auto"/>
      </w:divBdr>
    </w:div>
    <w:div w:id="2020504344">
      <w:bodyDiv w:val="1"/>
      <w:marLeft w:val="0"/>
      <w:marRight w:val="0"/>
      <w:marTop w:val="0"/>
      <w:marBottom w:val="0"/>
      <w:divBdr>
        <w:top w:val="none" w:sz="0" w:space="0" w:color="auto"/>
        <w:left w:val="none" w:sz="0" w:space="0" w:color="auto"/>
        <w:bottom w:val="none" w:sz="0" w:space="0" w:color="auto"/>
        <w:right w:val="none" w:sz="0" w:space="0" w:color="auto"/>
      </w:divBdr>
    </w:div>
    <w:div w:id="2021197231">
      <w:bodyDiv w:val="1"/>
      <w:marLeft w:val="0"/>
      <w:marRight w:val="0"/>
      <w:marTop w:val="0"/>
      <w:marBottom w:val="0"/>
      <w:divBdr>
        <w:top w:val="none" w:sz="0" w:space="0" w:color="auto"/>
        <w:left w:val="none" w:sz="0" w:space="0" w:color="auto"/>
        <w:bottom w:val="none" w:sz="0" w:space="0" w:color="auto"/>
        <w:right w:val="none" w:sz="0" w:space="0" w:color="auto"/>
      </w:divBdr>
    </w:div>
    <w:div w:id="2021656334">
      <w:bodyDiv w:val="1"/>
      <w:marLeft w:val="0"/>
      <w:marRight w:val="0"/>
      <w:marTop w:val="0"/>
      <w:marBottom w:val="0"/>
      <w:divBdr>
        <w:top w:val="none" w:sz="0" w:space="0" w:color="auto"/>
        <w:left w:val="none" w:sz="0" w:space="0" w:color="auto"/>
        <w:bottom w:val="none" w:sz="0" w:space="0" w:color="auto"/>
        <w:right w:val="none" w:sz="0" w:space="0" w:color="auto"/>
      </w:divBdr>
    </w:div>
    <w:div w:id="2022202927">
      <w:bodyDiv w:val="1"/>
      <w:marLeft w:val="0"/>
      <w:marRight w:val="0"/>
      <w:marTop w:val="0"/>
      <w:marBottom w:val="0"/>
      <w:divBdr>
        <w:top w:val="none" w:sz="0" w:space="0" w:color="auto"/>
        <w:left w:val="none" w:sz="0" w:space="0" w:color="auto"/>
        <w:bottom w:val="none" w:sz="0" w:space="0" w:color="auto"/>
        <w:right w:val="none" w:sz="0" w:space="0" w:color="auto"/>
      </w:divBdr>
    </w:div>
    <w:div w:id="2022469505">
      <w:bodyDiv w:val="1"/>
      <w:marLeft w:val="0"/>
      <w:marRight w:val="0"/>
      <w:marTop w:val="0"/>
      <w:marBottom w:val="0"/>
      <w:divBdr>
        <w:top w:val="none" w:sz="0" w:space="0" w:color="auto"/>
        <w:left w:val="none" w:sz="0" w:space="0" w:color="auto"/>
        <w:bottom w:val="none" w:sz="0" w:space="0" w:color="auto"/>
        <w:right w:val="none" w:sz="0" w:space="0" w:color="auto"/>
      </w:divBdr>
    </w:div>
    <w:div w:id="2023049626">
      <w:bodyDiv w:val="1"/>
      <w:marLeft w:val="0"/>
      <w:marRight w:val="0"/>
      <w:marTop w:val="0"/>
      <w:marBottom w:val="0"/>
      <w:divBdr>
        <w:top w:val="none" w:sz="0" w:space="0" w:color="auto"/>
        <w:left w:val="none" w:sz="0" w:space="0" w:color="auto"/>
        <w:bottom w:val="none" w:sz="0" w:space="0" w:color="auto"/>
        <w:right w:val="none" w:sz="0" w:space="0" w:color="auto"/>
      </w:divBdr>
    </w:div>
    <w:div w:id="2023509964">
      <w:bodyDiv w:val="1"/>
      <w:marLeft w:val="0"/>
      <w:marRight w:val="0"/>
      <w:marTop w:val="0"/>
      <w:marBottom w:val="0"/>
      <w:divBdr>
        <w:top w:val="none" w:sz="0" w:space="0" w:color="auto"/>
        <w:left w:val="none" w:sz="0" w:space="0" w:color="auto"/>
        <w:bottom w:val="none" w:sz="0" w:space="0" w:color="auto"/>
        <w:right w:val="none" w:sz="0" w:space="0" w:color="auto"/>
      </w:divBdr>
    </w:div>
    <w:div w:id="2025092087">
      <w:bodyDiv w:val="1"/>
      <w:marLeft w:val="0"/>
      <w:marRight w:val="0"/>
      <w:marTop w:val="0"/>
      <w:marBottom w:val="0"/>
      <w:divBdr>
        <w:top w:val="none" w:sz="0" w:space="0" w:color="auto"/>
        <w:left w:val="none" w:sz="0" w:space="0" w:color="auto"/>
        <w:bottom w:val="none" w:sz="0" w:space="0" w:color="auto"/>
        <w:right w:val="none" w:sz="0" w:space="0" w:color="auto"/>
      </w:divBdr>
    </w:div>
    <w:div w:id="2025277675">
      <w:bodyDiv w:val="1"/>
      <w:marLeft w:val="0"/>
      <w:marRight w:val="0"/>
      <w:marTop w:val="0"/>
      <w:marBottom w:val="0"/>
      <w:divBdr>
        <w:top w:val="none" w:sz="0" w:space="0" w:color="auto"/>
        <w:left w:val="none" w:sz="0" w:space="0" w:color="auto"/>
        <w:bottom w:val="none" w:sz="0" w:space="0" w:color="auto"/>
        <w:right w:val="none" w:sz="0" w:space="0" w:color="auto"/>
      </w:divBdr>
    </w:div>
    <w:div w:id="2025477926">
      <w:bodyDiv w:val="1"/>
      <w:marLeft w:val="0"/>
      <w:marRight w:val="0"/>
      <w:marTop w:val="0"/>
      <w:marBottom w:val="0"/>
      <w:divBdr>
        <w:top w:val="none" w:sz="0" w:space="0" w:color="auto"/>
        <w:left w:val="none" w:sz="0" w:space="0" w:color="auto"/>
        <w:bottom w:val="none" w:sz="0" w:space="0" w:color="auto"/>
        <w:right w:val="none" w:sz="0" w:space="0" w:color="auto"/>
      </w:divBdr>
    </w:div>
    <w:div w:id="2025788995">
      <w:bodyDiv w:val="1"/>
      <w:marLeft w:val="0"/>
      <w:marRight w:val="0"/>
      <w:marTop w:val="0"/>
      <w:marBottom w:val="0"/>
      <w:divBdr>
        <w:top w:val="none" w:sz="0" w:space="0" w:color="auto"/>
        <w:left w:val="none" w:sz="0" w:space="0" w:color="auto"/>
        <w:bottom w:val="none" w:sz="0" w:space="0" w:color="auto"/>
        <w:right w:val="none" w:sz="0" w:space="0" w:color="auto"/>
      </w:divBdr>
    </w:div>
    <w:div w:id="2026247525">
      <w:bodyDiv w:val="1"/>
      <w:marLeft w:val="0"/>
      <w:marRight w:val="0"/>
      <w:marTop w:val="0"/>
      <w:marBottom w:val="0"/>
      <w:divBdr>
        <w:top w:val="none" w:sz="0" w:space="0" w:color="auto"/>
        <w:left w:val="none" w:sz="0" w:space="0" w:color="auto"/>
        <w:bottom w:val="none" w:sz="0" w:space="0" w:color="auto"/>
        <w:right w:val="none" w:sz="0" w:space="0" w:color="auto"/>
      </w:divBdr>
    </w:div>
    <w:div w:id="2026320072">
      <w:bodyDiv w:val="1"/>
      <w:marLeft w:val="0"/>
      <w:marRight w:val="0"/>
      <w:marTop w:val="0"/>
      <w:marBottom w:val="0"/>
      <w:divBdr>
        <w:top w:val="none" w:sz="0" w:space="0" w:color="auto"/>
        <w:left w:val="none" w:sz="0" w:space="0" w:color="auto"/>
        <w:bottom w:val="none" w:sz="0" w:space="0" w:color="auto"/>
        <w:right w:val="none" w:sz="0" w:space="0" w:color="auto"/>
      </w:divBdr>
    </w:div>
    <w:div w:id="2026705999">
      <w:bodyDiv w:val="1"/>
      <w:marLeft w:val="0"/>
      <w:marRight w:val="0"/>
      <w:marTop w:val="0"/>
      <w:marBottom w:val="0"/>
      <w:divBdr>
        <w:top w:val="none" w:sz="0" w:space="0" w:color="auto"/>
        <w:left w:val="none" w:sz="0" w:space="0" w:color="auto"/>
        <w:bottom w:val="none" w:sz="0" w:space="0" w:color="auto"/>
        <w:right w:val="none" w:sz="0" w:space="0" w:color="auto"/>
      </w:divBdr>
    </w:div>
    <w:div w:id="2026973491">
      <w:bodyDiv w:val="1"/>
      <w:marLeft w:val="0"/>
      <w:marRight w:val="0"/>
      <w:marTop w:val="0"/>
      <w:marBottom w:val="0"/>
      <w:divBdr>
        <w:top w:val="none" w:sz="0" w:space="0" w:color="auto"/>
        <w:left w:val="none" w:sz="0" w:space="0" w:color="auto"/>
        <w:bottom w:val="none" w:sz="0" w:space="0" w:color="auto"/>
        <w:right w:val="none" w:sz="0" w:space="0" w:color="auto"/>
      </w:divBdr>
    </w:div>
    <w:div w:id="2026974871">
      <w:bodyDiv w:val="1"/>
      <w:marLeft w:val="0"/>
      <w:marRight w:val="0"/>
      <w:marTop w:val="0"/>
      <w:marBottom w:val="0"/>
      <w:divBdr>
        <w:top w:val="none" w:sz="0" w:space="0" w:color="auto"/>
        <w:left w:val="none" w:sz="0" w:space="0" w:color="auto"/>
        <w:bottom w:val="none" w:sz="0" w:space="0" w:color="auto"/>
        <w:right w:val="none" w:sz="0" w:space="0" w:color="auto"/>
      </w:divBdr>
    </w:div>
    <w:div w:id="2027829015">
      <w:bodyDiv w:val="1"/>
      <w:marLeft w:val="0"/>
      <w:marRight w:val="0"/>
      <w:marTop w:val="0"/>
      <w:marBottom w:val="0"/>
      <w:divBdr>
        <w:top w:val="none" w:sz="0" w:space="0" w:color="auto"/>
        <w:left w:val="none" w:sz="0" w:space="0" w:color="auto"/>
        <w:bottom w:val="none" w:sz="0" w:space="0" w:color="auto"/>
        <w:right w:val="none" w:sz="0" w:space="0" w:color="auto"/>
      </w:divBdr>
    </w:div>
    <w:div w:id="2028213014">
      <w:bodyDiv w:val="1"/>
      <w:marLeft w:val="0"/>
      <w:marRight w:val="0"/>
      <w:marTop w:val="0"/>
      <w:marBottom w:val="0"/>
      <w:divBdr>
        <w:top w:val="none" w:sz="0" w:space="0" w:color="auto"/>
        <w:left w:val="none" w:sz="0" w:space="0" w:color="auto"/>
        <w:bottom w:val="none" w:sz="0" w:space="0" w:color="auto"/>
        <w:right w:val="none" w:sz="0" w:space="0" w:color="auto"/>
      </w:divBdr>
    </w:div>
    <w:div w:id="2028753684">
      <w:bodyDiv w:val="1"/>
      <w:marLeft w:val="0"/>
      <w:marRight w:val="0"/>
      <w:marTop w:val="0"/>
      <w:marBottom w:val="0"/>
      <w:divBdr>
        <w:top w:val="none" w:sz="0" w:space="0" w:color="auto"/>
        <w:left w:val="none" w:sz="0" w:space="0" w:color="auto"/>
        <w:bottom w:val="none" w:sz="0" w:space="0" w:color="auto"/>
        <w:right w:val="none" w:sz="0" w:space="0" w:color="auto"/>
      </w:divBdr>
    </w:div>
    <w:div w:id="2028943497">
      <w:bodyDiv w:val="1"/>
      <w:marLeft w:val="0"/>
      <w:marRight w:val="0"/>
      <w:marTop w:val="0"/>
      <w:marBottom w:val="0"/>
      <w:divBdr>
        <w:top w:val="none" w:sz="0" w:space="0" w:color="auto"/>
        <w:left w:val="none" w:sz="0" w:space="0" w:color="auto"/>
        <w:bottom w:val="none" w:sz="0" w:space="0" w:color="auto"/>
        <w:right w:val="none" w:sz="0" w:space="0" w:color="auto"/>
      </w:divBdr>
    </w:div>
    <w:div w:id="2029405739">
      <w:bodyDiv w:val="1"/>
      <w:marLeft w:val="0"/>
      <w:marRight w:val="0"/>
      <w:marTop w:val="0"/>
      <w:marBottom w:val="0"/>
      <w:divBdr>
        <w:top w:val="none" w:sz="0" w:space="0" w:color="auto"/>
        <w:left w:val="none" w:sz="0" w:space="0" w:color="auto"/>
        <w:bottom w:val="none" w:sz="0" w:space="0" w:color="auto"/>
        <w:right w:val="none" w:sz="0" w:space="0" w:color="auto"/>
      </w:divBdr>
    </w:div>
    <w:div w:id="2029481543">
      <w:bodyDiv w:val="1"/>
      <w:marLeft w:val="0"/>
      <w:marRight w:val="0"/>
      <w:marTop w:val="0"/>
      <w:marBottom w:val="0"/>
      <w:divBdr>
        <w:top w:val="none" w:sz="0" w:space="0" w:color="auto"/>
        <w:left w:val="none" w:sz="0" w:space="0" w:color="auto"/>
        <w:bottom w:val="none" w:sz="0" w:space="0" w:color="auto"/>
        <w:right w:val="none" w:sz="0" w:space="0" w:color="auto"/>
      </w:divBdr>
    </w:div>
    <w:div w:id="2029482624">
      <w:bodyDiv w:val="1"/>
      <w:marLeft w:val="0"/>
      <w:marRight w:val="0"/>
      <w:marTop w:val="0"/>
      <w:marBottom w:val="0"/>
      <w:divBdr>
        <w:top w:val="none" w:sz="0" w:space="0" w:color="auto"/>
        <w:left w:val="none" w:sz="0" w:space="0" w:color="auto"/>
        <w:bottom w:val="none" w:sz="0" w:space="0" w:color="auto"/>
        <w:right w:val="none" w:sz="0" w:space="0" w:color="auto"/>
      </w:divBdr>
    </w:div>
    <w:div w:id="2030132711">
      <w:bodyDiv w:val="1"/>
      <w:marLeft w:val="0"/>
      <w:marRight w:val="0"/>
      <w:marTop w:val="0"/>
      <w:marBottom w:val="0"/>
      <w:divBdr>
        <w:top w:val="none" w:sz="0" w:space="0" w:color="auto"/>
        <w:left w:val="none" w:sz="0" w:space="0" w:color="auto"/>
        <w:bottom w:val="none" w:sz="0" w:space="0" w:color="auto"/>
        <w:right w:val="none" w:sz="0" w:space="0" w:color="auto"/>
      </w:divBdr>
    </w:div>
    <w:div w:id="2030373491">
      <w:bodyDiv w:val="1"/>
      <w:marLeft w:val="0"/>
      <w:marRight w:val="0"/>
      <w:marTop w:val="0"/>
      <w:marBottom w:val="0"/>
      <w:divBdr>
        <w:top w:val="none" w:sz="0" w:space="0" w:color="auto"/>
        <w:left w:val="none" w:sz="0" w:space="0" w:color="auto"/>
        <w:bottom w:val="none" w:sz="0" w:space="0" w:color="auto"/>
        <w:right w:val="none" w:sz="0" w:space="0" w:color="auto"/>
      </w:divBdr>
    </w:div>
    <w:div w:id="2030568590">
      <w:bodyDiv w:val="1"/>
      <w:marLeft w:val="0"/>
      <w:marRight w:val="0"/>
      <w:marTop w:val="0"/>
      <w:marBottom w:val="0"/>
      <w:divBdr>
        <w:top w:val="none" w:sz="0" w:space="0" w:color="auto"/>
        <w:left w:val="none" w:sz="0" w:space="0" w:color="auto"/>
        <w:bottom w:val="none" w:sz="0" w:space="0" w:color="auto"/>
        <w:right w:val="none" w:sz="0" w:space="0" w:color="auto"/>
      </w:divBdr>
    </w:div>
    <w:div w:id="2032609684">
      <w:bodyDiv w:val="1"/>
      <w:marLeft w:val="0"/>
      <w:marRight w:val="0"/>
      <w:marTop w:val="0"/>
      <w:marBottom w:val="0"/>
      <w:divBdr>
        <w:top w:val="none" w:sz="0" w:space="0" w:color="auto"/>
        <w:left w:val="none" w:sz="0" w:space="0" w:color="auto"/>
        <w:bottom w:val="none" w:sz="0" w:space="0" w:color="auto"/>
        <w:right w:val="none" w:sz="0" w:space="0" w:color="auto"/>
      </w:divBdr>
    </w:div>
    <w:div w:id="2034457352">
      <w:bodyDiv w:val="1"/>
      <w:marLeft w:val="0"/>
      <w:marRight w:val="0"/>
      <w:marTop w:val="0"/>
      <w:marBottom w:val="0"/>
      <w:divBdr>
        <w:top w:val="none" w:sz="0" w:space="0" w:color="auto"/>
        <w:left w:val="none" w:sz="0" w:space="0" w:color="auto"/>
        <w:bottom w:val="none" w:sz="0" w:space="0" w:color="auto"/>
        <w:right w:val="none" w:sz="0" w:space="0" w:color="auto"/>
      </w:divBdr>
    </w:div>
    <w:div w:id="2035376039">
      <w:bodyDiv w:val="1"/>
      <w:marLeft w:val="0"/>
      <w:marRight w:val="0"/>
      <w:marTop w:val="0"/>
      <w:marBottom w:val="0"/>
      <w:divBdr>
        <w:top w:val="none" w:sz="0" w:space="0" w:color="auto"/>
        <w:left w:val="none" w:sz="0" w:space="0" w:color="auto"/>
        <w:bottom w:val="none" w:sz="0" w:space="0" w:color="auto"/>
        <w:right w:val="none" w:sz="0" w:space="0" w:color="auto"/>
      </w:divBdr>
    </w:div>
    <w:div w:id="2035618865">
      <w:bodyDiv w:val="1"/>
      <w:marLeft w:val="0"/>
      <w:marRight w:val="0"/>
      <w:marTop w:val="0"/>
      <w:marBottom w:val="0"/>
      <w:divBdr>
        <w:top w:val="none" w:sz="0" w:space="0" w:color="auto"/>
        <w:left w:val="none" w:sz="0" w:space="0" w:color="auto"/>
        <w:bottom w:val="none" w:sz="0" w:space="0" w:color="auto"/>
        <w:right w:val="none" w:sz="0" w:space="0" w:color="auto"/>
      </w:divBdr>
    </w:div>
    <w:div w:id="2035692134">
      <w:bodyDiv w:val="1"/>
      <w:marLeft w:val="0"/>
      <w:marRight w:val="0"/>
      <w:marTop w:val="0"/>
      <w:marBottom w:val="0"/>
      <w:divBdr>
        <w:top w:val="none" w:sz="0" w:space="0" w:color="auto"/>
        <w:left w:val="none" w:sz="0" w:space="0" w:color="auto"/>
        <w:bottom w:val="none" w:sz="0" w:space="0" w:color="auto"/>
        <w:right w:val="none" w:sz="0" w:space="0" w:color="auto"/>
      </w:divBdr>
    </w:div>
    <w:div w:id="2035882652">
      <w:bodyDiv w:val="1"/>
      <w:marLeft w:val="0"/>
      <w:marRight w:val="0"/>
      <w:marTop w:val="0"/>
      <w:marBottom w:val="0"/>
      <w:divBdr>
        <w:top w:val="none" w:sz="0" w:space="0" w:color="auto"/>
        <w:left w:val="none" w:sz="0" w:space="0" w:color="auto"/>
        <w:bottom w:val="none" w:sz="0" w:space="0" w:color="auto"/>
        <w:right w:val="none" w:sz="0" w:space="0" w:color="auto"/>
      </w:divBdr>
    </w:div>
    <w:div w:id="2036078315">
      <w:bodyDiv w:val="1"/>
      <w:marLeft w:val="0"/>
      <w:marRight w:val="0"/>
      <w:marTop w:val="0"/>
      <w:marBottom w:val="0"/>
      <w:divBdr>
        <w:top w:val="none" w:sz="0" w:space="0" w:color="auto"/>
        <w:left w:val="none" w:sz="0" w:space="0" w:color="auto"/>
        <w:bottom w:val="none" w:sz="0" w:space="0" w:color="auto"/>
        <w:right w:val="none" w:sz="0" w:space="0" w:color="auto"/>
      </w:divBdr>
    </w:div>
    <w:div w:id="2038040112">
      <w:bodyDiv w:val="1"/>
      <w:marLeft w:val="0"/>
      <w:marRight w:val="0"/>
      <w:marTop w:val="0"/>
      <w:marBottom w:val="0"/>
      <w:divBdr>
        <w:top w:val="none" w:sz="0" w:space="0" w:color="auto"/>
        <w:left w:val="none" w:sz="0" w:space="0" w:color="auto"/>
        <w:bottom w:val="none" w:sz="0" w:space="0" w:color="auto"/>
        <w:right w:val="none" w:sz="0" w:space="0" w:color="auto"/>
      </w:divBdr>
    </w:div>
    <w:div w:id="2038197740">
      <w:bodyDiv w:val="1"/>
      <w:marLeft w:val="0"/>
      <w:marRight w:val="0"/>
      <w:marTop w:val="0"/>
      <w:marBottom w:val="0"/>
      <w:divBdr>
        <w:top w:val="none" w:sz="0" w:space="0" w:color="auto"/>
        <w:left w:val="none" w:sz="0" w:space="0" w:color="auto"/>
        <w:bottom w:val="none" w:sz="0" w:space="0" w:color="auto"/>
        <w:right w:val="none" w:sz="0" w:space="0" w:color="auto"/>
      </w:divBdr>
    </w:div>
    <w:div w:id="2038457530">
      <w:bodyDiv w:val="1"/>
      <w:marLeft w:val="0"/>
      <w:marRight w:val="0"/>
      <w:marTop w:val="0"/>
      <w:marBottom w:val="0"/>
      <w:divBdr>
        <w:top w:val="none" w:sz="0" w:space="0" w:color="auto"/>
        <w:left w:val="none" w:sz="0" w:space="0" w:color="auto"/>
        <w:bottom w:val="none" w:sz="0" w:space="0" w:color="auto"/>
        <w:right w:val="none" w:sz="0" w:space="0" w:color="auto"/>
      </w:divBdr>
    </w:div>
    <w:div w:id="2038697000">
      <w:bodyDiv w:val="1"/>
      <w:marLeft w:val="0"/>
      <w:marRight w:val="0"/>
      <w:marTop w:val="0"/>
      <w:marBottom w:val="0"/>
      <w:divBdr>
        <w:top w:val="none" w:sz="0" w:space="0" w:color="auto"/>
        <w:left w:val="none" w:sz="0" w:space="0" w:color="auto"/>
        <w:bottom w:val="none" w:sz="0" w:space="0" w:color="auto"/>
        <w:right w:val="none" w:sz="0" w:space="0" w:color="auto"/>
      </w:divBdr>
    </w:div>
    <w:div w:id="2038700275">
      <w:bodyDiv w:val="1"/>
      <w:marLeft w:val="0"/>
      <w:marRight w:val="0"/>
      <w:marTop w:val="0"/>
      <w:marBottom w:val="0"/>
      <w:divBdr>
        <w:top w:val="none" w:sz="0" w:space="0" w:color="auto"/>
        <w:left w:val="none" w:sz="0" w:space="0" w:color="auto"/>
        <w:bottom w:val="none" w:sz="0" w:space="0" w:color="auto"/>
        <w:right w:val="none" w:sz="0" w:space="0" w:color="auto"/>
      </w:divBdr>
    </w:div>
    <w:div w:id="2039504597">
      <w:bodyDiv w:val="1"/>
      <w:marLeft w:val="0"/>
      <w:marRight w:val="0"/>
      <w:marTop w:val="0"/>
      <w:marBottom w:val="0"/>
      <w:divBdr>
        <w:top w:val="none" w:sz="0" w:space="0" w:color="auto"/>
        <w:left w:val="none" w:sz="0" w:space="0" w:color="auto"/>
        <w:bottom w:val="none" w:sz="0" w:space="0" w:color="auto"/>
        <w:right w:val="none" w:sz="0" w:space="0" w:color="auto"/>
      </w:divBdr>
    </w:div>
    <w:div w:id="2039693813">
      <w:bodyDiv w:val="1"/>
      <w:marLeft w:val="0"/>
      <w:marRight w:val="0"/>
      <w:marTop w:val="0"/>
      <w:marBottom w:val="0"/>
      <w:divBdr>
        <w:top w:val="none" w:sz="0" w:space="0" w:color="auto"/>
        <w:left w:val="none" w:sz="0" w:space="0" w:color="auto"/>
        <w:bottom w:val="none" w:sz="0" w:space="0" w:color="auto"/>
        <w:right w:val="none" w:sz="0" w:space="0" w:color="auto"/>
      </w:divBdr>
    </w:div>
    <w:div w:id="2040005311">
      <w:bodyDiv w:val="1"/>
      <w:marLeft w:val="0"/>
      <w:marRight w:val="0"/>
      <w:marTop w:val="0"/>
      <w:marBottom w:val="0"/>
      <w:divBdr>
        <w:top w:val="none" w:sz="0" w:space="0" w:color="auto"/>
        <w:left w:val="none" w:sz="0" w:space="0" w:color="auto"/>
        <w:bottom w:val="none" w:sz="0" w:space="0" w:color="auto"/>
        <w:right w:val="none" w:sz="0" w:space="0" w:color="auto"/>
      </w:divBdr>
    </w:div>
    <w:div w:id="2041003035">
      <w:bodyDiv w:val="1"/>
      <w:marLeft w:val="0"/>
      <w:marRight w:val="0"/>
      <w:marTop w:val="0"/>
      <w:marBottom w:val="0"/>
      <w:divBdr>
        <w:top w:val="none" w:sz="0" w:space="0" w:color="auto"/>
        <w:left w:val="none" w:sz="0" w:space="0" w:color="auto"/>
        <w:bottom w:val="none" w:sz="0" w:space="0" w:color="auto"/>
        <w:right w:val="none" w:sz="0" w:space="0" w:color="auto"/>
      </w:divBdr>
    </w:div>
    <w:div w:id="2041124899">
      <w:bodyDiv w:val="1"/>
      <w:marLeft w:val="0"/>
      <w:marRight w:val="0"/>
      <w:marTop w:val="0"/>
      <w:marBottom w:val="0"/>
      <w:divBdr>
        <w:top w:val="none" w:sz="0" w:space="0" w:color="auto"/>
        <w:left w:val="none" w:sz="0" w:space="0" w:color="auto"/>
        <w:bottom w:val="none" w:sz="0" w:space="0" w:color="auto"/>
        <w:right w:val="none" w:sz="0" w:space="0" w:color="auto"/>
      </w:divBdr>
    </w:div>
    <w:div w:id="2041316516">
      <w:bodyDiv w:val="1"/>
      <w:marLeft w:val="0"/>
      <w:marRight w:val="0"/>
      <w:marTop w:val="0"/>
      <w:marBottom w:val="0"/>
      <w:divBdr>
        <w:top w:val="none" w:sz="0" w:space="0" w:color="auto"/>
        <w:left w:val="none" w:sz="0" w:space="0" w:color="auto"/>
        <w:bottom w:val="none" w:sz="0" w:space="0" w:color="auto"/>
        <w:right w:val="none" w:sz="0" w:space="0" w:color="auto"/>
      </w:divBdr>
    </w:div>
    <w:div w:id="2042127435">
      <w:bodyDiv w:val="1"/>
      <w:marLeft w:val="0"/>
      <w:marRight w:val="0"/>
      <w:marTop w:val="0"/>
      <w:marBottom w:val="0"/>
      <w:divBdr>
        <w:top w:val="none" w:sz="0" w:space="0" w:color="auto"/>
        <w:left w:val="none" w:sz="0" w:space="0" w:color="auto"/>
        <w:bottom w:val="none" w:sz="0" w:space="0" w:color="auto"/>
        <w:right w:val="none" w:sz="0" w:space="0" w:color="auto"/>
      </w:divBdr>
    </w:div>
    <w:div w:id="2043286284">
      <w:bodyDiv w:val="1"/>
      <w:marLeft w:val="0"/>
      <w:marRight w:val="0"/>
      <w:marTop w:val="0"/>
      <w:marBottom w:val="0"/>
      <w:divBdr>
        <w:top w:val="none" w:sz="0" w:space="0" w:color="auto"/>
        <w:left w:val="none" w:sz="0" w:space="0" w:color="auto"/>
        <w:bottom w:val="none" w:sz="0" w:space="0" w:color="auto"/>
        <w:right w:val="none" w:sz="0" w:space="0" w:color="auto"/>
      </w:divBdr>
    </w:div>
    <w:div w:id="2043702109">
      <w:bodyDiv w:val="1"/>
      <w:marLeft w:val="0"/>
      <w:marRight w:val="0"/>
      <w:marTop w:val="0"/>
      <w:marBottom w:val="0"/>
      <w:divBdr>
        <w:top w:val="none" w:sz="0" w:space="0" w:color="auto"/>
        <w:left w:val="none" w:sz="0" w:space="0" w:color="auto"/>
        <w:bottom w:val="none" w:sz="0" w:space="0" w:color="auto"/>
        <w:right w:val="none" w:sz="0" w:space="0" w:color="auto"/>
      </w:divBdr>
    </w:div>
    <w:div w:id="2043703149">
      <w:bodyDiv w:val="1"/>
      <w:marLeft w:val="0"/>
      <w:marRight w:val="0"/>
      <w:marTop w:val="0"/>
      <w:marBottom w:val="0"/>
      <w:divBdr>
        <w:top w:val="none" w:sz="0" w:space="0" w:color="auto"/>
        <w:left w:val="none" w:sz="0" w:space="0" w:color="auto"/>
        <w:bottom w:val="none" w:sz="0" w:space="0" w:color="auto"/>
        <w:right w:val="none" w:sz="0" w:space="0" w:color="auto"/>
      </w:divBdr>
    </w:div>
    <w:div w:id="2044014672">
      <w:bodyDiv w:val="1"/>
      <w:marLeft w:val="0"/>
      <w:marRight w:val="0"/>
      <w:marTop w:val="0"/>
      <w:marBottom w:val="0"/>
      <w:divBdr>
        <w:top w:val="none" w:sz="0" w:space="0" w:color="auto"/>
        <w:left w:val="none" w:sz="0" w:space="0" w:color="auto"/>
        <w:bottom w:val="none" w:sz="0" w:space="0" w:color="auto"/>
        <w:right w:val="none" w:sz="0" w:space="0" w:color="auto"/>
      </w:divBdr>
    </w:div>
    <w:div w:id="2045212606">
      <w:bodyDiv w:val="1"/>
      <w:marLeft w:val="0"/>
      <w:marRight w:val="0"/>
      <w:marTop w:val="0"/>
      <w:marBottom w:val="0"/>
      <w:divBdr>
        <w:top w:val="none" w:sz="0" w:space="0" w:color="auto"/>
        <w:left w:val="none" w:sz="0" w:space="0" w:color="auto"/>
        <w:bottom w:val="none" w:sz="0" w:space="0" w:color="auto"/>
        <w:right w:val="none" w:sz="0" w:space="0" w:color="auto"/>
      </w:divBdr>
    </w:div>
    <w:div w:id="2046172851">
      <w:bodyDiv w:val="1"/>
      <w:marLeft w:val="0"/>
      <w:marRight w:val="0"/>
      <w:marTop w:val="0"/>
      <w:marBottom w:val="0"/>
      <w:divBdr>
        <w:top w:val="none" w:sz="0" w:space="0" w:color="auto"/>
        <w:left w:val="none" w:sz="0" w:space="0" w:color="auto"/>
        <w:bottom w:val="none" w:sz="0" w:space="0" w:color="auto"/>
        <w:right w:val="none" w:sz="0" w:space="0" w:color="auto"/>
      </w:divBdr>
    </w:div>
    <w:div w:id="2046564515">
      <w:bodyDiv w:val="1"/>
      <w:marLeft w:val="0"/>
      <w:marRight w:val="0"/>
      <w:marTop w:val="0"/>
      <w:marBottom w:val="0"/>
      <w:divBdr>
        <w:top w:val="none" w:sz="0" w:space="0" w:color="auto"/>
        <w:left w:val="none" w:sz="0" w:space="0" w:color="auto"/>
        <w:bottom w:val="none" w:sz="0" w:space="0" w:color="auto"/>
        <w:right w:val="none" w:sz="0" w:space="0" w:color="auto"/>
      </w:divBdr>
    </w:div>
    <w:div w:id="2046639377">
      <w:bodyDiv w:val="1"/>
      <w:marLeft w:val="0"/>
      <w:marRight w:val="0"/>
      <w:marTop w:val="0"/>
      <w:marBottom w:val="0"/>
      <w:divBdr>
        <w:top w:val="none" w:sz="0" w:space="0" w:color="auto"/>
        <w:left w:val="none" w:sz="0" w:space="0" w:color="auto"/>
        <w:bottom w:val="none" w:sz="0" w:space="0" w:color="auto"/>
        <w:right w:val="none" w:sz="0" w:space="0" w:color="auto"/>
      </w:divBdr>
    </w:div>
    <w:div w:id="2047293259">
      <w:bodyDiv w:val="1"/>
      <w:marLeft w:val="0"/>
      <w:marRight w:val="0"/>
      <w:marTop w:val="0"/>
      <w:marBottom w:val="0"/>
      <w:divBdr>
        <w:top w:val="none" w:sz="0" w:space="0" w:color="auto"/>
        <w:left w:val="none" w:sz="0" w:space="0" w:color="auto"/>
        <w:bottom w:val="none" w:sz="0" w:space="0" w:color="auto"/>
        <w:right w:val="none" w:sz="0" w:space="0" w:color="auto"/>
      </w:divBdr>
    </w:div>
    <w:div w:id="2048917872">
      <w:bodyDiv w:val="1"/>
      <w:marLeft w:val="0"/>
      <w:marRight w:val="0"/>
      <w:marTop w:val="0"/>
      <w:marBottom w:val="0"/>
      <w:divBdr>
        <w:top w:val="none" w:sz="0" w:space="0" w:color="auto"/>
        <w:left w:val="none" w:sz="0" w:space="0" w:color="auto"/>
        <w:bottom w:val="none" w:sz="0" w:space="0" w:color="auto"/>
        <w:right w:val="none" w:sz="0" w:space="0" w:color="auto"/>
      </w:divBdr>
    </w:div>
    <w:div w:id="2049330035">
      <w:bodyDiv w:val="1"/>
      <w:marLeft w:val="0"/>
      <w:marRight w:val="0"/>
      <w:marTop w:val="0"/>
      <w:marBottom w:val="0"/>
      <w:divBdr>
        <w:top w:val="none" w:sz="0" w:space="0" w:color="auto"/>
        <w:left w:val="none" w:sz="0" w:space="0" w:color="auto"/>
        <w:bottom w:val="none" w:sz="0" w:space="0" w:color="auto"/>
        <w:right w:val="none" w:sz="0" w:space="0" w:color="auto"/>
      </w:divBdr>
    </w:div>
    <w:div w:id="2051219783">
      <w:bodyDiv w:val="1"/>
      <w:marLeft w:val="0"/>
      <w:marRight w:val="0"/>
      <w:marTop w:val="0"/>
      <w:marBottom w:val="0"/>
      <w:divBdr>
        <w:top w:val="none" w:sz="0" w:space="0" w:color="auto"/>
        <w:left w:val="none" w:sz="0" w:space="0" w:color="auto"/>
        <w:bottom w:val="none" w:sz="0" w:space="0" w:color="auto"/>
        <w:right w:val="none" w:sz="0" w:space="0" w:color="auto"/>
      </w:divBdr>
    </w:div>
    <w:div w:id="2051999680">
      <w:bodyDiv w:val="1"/>
      <w:marLeft w:val="0"/>
      <w:marRight w:val="0"/>
      <w:marTop w:val="0"/>
      <w:marBottom w:val="0"/>
      <w:divBdr>
        <w:top w:val="none" w:sz="0" w:space="0" w:color="auto"/>
        <w:left w:val="none" w:sz="0" w:space="0" w:color="auto"/>
        <w:bottom w:val="none" w:sz="0" w:space="0" w:color="auto"/>
        <w:right w:val="none" w:sz="0" w:space="0" w:color="auto"/>
      </w:divBdr>
    </w:div>
    <w:div w:id="2052799813">
      <w:bodyDiv w:val="1"/>
      <w:marLeft w:val="0"/>
      <w:marRight w:val="0"/>
      <w:marTop w:val="0"/>
      <w:marBottom w:val="0"/>
      <w:divBdr>
        <w:top w:val="none" w:sz="0" w:space="0" w:color="auto"/>
        <w:left w:val="none" w:sz="0" w:space="0" w:color="auto"/>
        <w:bottom w:val="none" w:sz="0" w:space="0" w:color="auto"/>
        <w:right w:val="none" w:sz="0" w:space="0" w:color="auto"/>
      </w:divBdr>
    </w:div>
    <w:div w:id="2053075509">
      <w:bodyDiv w:val="1"/>
      <w:marLeft w:val="0"/>
      <w:marRight w:val="0"/>
      <w:marTop w:val="0"/>
      <w:marBottom w:val="0"/>
      <w:divBdr>
        <w:top w:val="none" w:sz="0" w:space="0" w:color="auto"/>
        <w:left w:val="none" w:sz="0" w:space="0" w:color="auto"/>
        <w:bottom w:val="none" w:sz="0" w:space="0" w:color="auto"/>
        <w:right w:val="none" w:sz="0" w:space="0" w:color="auto"/>
      </w:divBdr>
    </w:div>
    <w:div w:id="2055040286">
      <w:bodyDiv w:val="1"/>
      <w:marLeft w:val="0"/>
      <w:marRight w:val="0"/>
      <w:marTop w:val="0"/>
      <w:marBottom w:val="0"/>
      <w:divBdr>
        <w:top w:val="none" w:sz="0" w:space="0" w:color="auto"/>
        <w:left w:val="none" w:sz="0" w:space="0" w:color="auto"/>
        <w:bottom w:val="none" w:sz="0" w:space="0" w:color="auto"/>
        <w:right w:val="none" w:sz="0" w:space="0" w:color="auto"/>
      </w:divBdr>
    </w:div>
    <w:div w:id="2055233019">
      <w:bodyDiv w:val="1"/>
      <w:marLeft w:val="0"/>
      <w:marRight w:val="0"/>
      <w:marTop w:val="0"/>
      <w:marBottom w:val="0"/>
      <w:divBdr>
        <w:top w:val="none" w:sz="0" w:space="0" w:color="auto"/>
        <w:left w:val="none" w:sz="0" w:space="0" w:color="auto"/>
        <w:bottom w:val="none" w:sz="0" w:space="0" w:color="auto"/>
        <w:right w:val="none" w:sz="0" w:space="0" w:color="auto"/>
      </w:divBdr>
    </w:div>
    <w:div w:id="2055422160">
      <w:bodyDiv w:val="1"/>
      <w:marLeft w:val="0"/>
      <w:marRight w:val="0"/>
      <w:marTop w:val="0"/>
      <w:marBottom w:val="0"/>
      <w:divBdr>
        <w:top w:val="none" w:sz="0" w:space="0" w:color="auto"/>
        <w:left w:val="none" w:sz="0" w:space="0" w:color="auto"/>
        <w:bottom w:val="none" w:sz="0" w:space="0" w:color="auto"/>
        <w:right w:val="none" w:sz="0" w:space="0" w:color="auto"/>
      </w:divBdr>
    </w:div>
    <w:div w:id="2055426738">
      <w:bodyDiv w:val="1"/>
      <w:marLeft w:val="0"/>
      <w:marRight w:val="0"/>
      <w:marTop w:val="0"/>
      <w:marBottom w:val="0"/>
      <w:divBdr>
        <w:top w:val="none" w:sz="0" w:space="0" w:color="auto"/>
        <w:left w:val="none" w:sz="0" w:space="0" w:color="auto"/>
        <w:bottom w:val="none" w:sz="0" w:space="0" w:color="auto"/>
        <w:right w:val="none" w:sz="0" w:space="0" w:color="auto"/>
      </w:divBdr>
    </w:div>
    <w:div w:id="2055961181">
      <w:bodyDiv w:val="1"/>
      <w:marLeft w:val="0"/>
      <w:marRight w:val="0"/>
      <w:marTop w:val="0"/>
      <w:marBottom w:val="0"/>
      <w:divBdr>
        <w:top w:val="none" w:sz="0" w:space="0" w:color="auto"/>
        <w:left w:val="none" w:sz="0" w:space="0" w:color="auto"/>
        <w:bottom w:val="none" w:sz="0" w:space="0" w:color="auto"/>
        <w:right w:val="none" w:sz="0" w:space="0" w:color="auto"/>
      </w:divBdr>
    </w:div>
    <w:div w:id="2056542237">
      <w:bodyDiv w:val="1"/>
      <w:marLeft w:val="0"/>
      <w:marRight w:val="0"/>
      <w:marTop w:val="0"/>
      <w:marBottom w:val="0"/>
      <w:divBdr>
        <w:top w:val="none" w:sz="0" w:space="0" w:color="auto"/>
        <w:left w:val="none" w:sz="0" w:space="0" w:color="auto"/>
        <w:bottom w:val="none" w:sz="0" w:space="0" w:color="auto"/>
        <w:right w:val="none" w:sz="0" w:space="0" w:color="auto"/>
      </w:divBdr>
    </w:div>
    <w:div w:id="2057195363">
      <w:bodyDiv w:val="1"/>
      <w:marLeft w:val="0"/>
      <w:marRight w:val="0"/>
      <w:marTop w:val="0"/>
      <w:marBottom w:val="0"/>
      <w:divBdr>
        <w:top w:val="none" w:sz="0" w:space="0" w:color="auto"/>
        <w:left w:val="none" w:sz="0" w:space="0" w:color="auto"/>
        <w:bottom w:val="none" w:sz="0" w:space="0" w:color="auto"/>
        <w:right w:val="none" w:sz="0" w:space="0" w:color="auto"/>
      </w:divBdr>
    </w:div>
    <w:div w:id="2057465172">
      <w:bodyDiv w:val="1"/>
      <w:marLeft w:val="0"/>
      <w:marRight w:val="0"/>
      <w:marTop w:val="0"/>
      <w:marBottom w:val="0"/>
      <w:divBdr>
        <w:top w:val="none" w:sz="0" w:space="0" w:color="auto"/>
        <w:left w:val="none" w:sz="0" w:space="0" w:color="auto"/>
        <w:bottom w:val="none" w:sz="0" w:space="0" w:color="auto"/>
        <w:right w:val="none" w:sz="0" w:space="0" w:color="auto"/>
      </w:divBdr>
    </w:div>
    <w:div w:id="2057465601">
      <w:bodyDiv w:val="1"/>
      <w:marLeft w:val="0"/>
      <w:marRight w:val="0"/>
      <w:marTop w:val="0"/>
      <w:marBottom w:val="0"/>
      <w:divBdr>
        <w:top w:val="none" w:sz="0" w:space="0" w:color="auto"/>
        <w:left w:val="none" w:sz="0" w:space="0" w:color="auto"/>
        <w:bottom w:val="none" w:sz="0" w:space="0" w:color="auto"/>
        <w:right w:val="none" w:sz="0" w:space="0" w:color="auto"/>
      </w:divBdr>
    </w:div>
    <w:div w:id="2058233703">
      <w:bodyDiv w:val="1"/>
      <w:marLeft w:val="0"/>
      <w:marRight w:val="0"/>
      <w:marTop w:val="0"/>
      <w:marBottom w:val="0"/>
      <w:divBdr>
        <w:top w:val="none" w:sz="0" w:space="0" w:color="auto"/>
        <w:left w:val="none" w:sz="0" w:space="0" w:color="auto"/>
        <w:bottom w:val="none" w:sz="0" w:space="0" w:color="auto"/>
        <w:right w:val="none" w:sz="0" w:space="0" w:color="auto"/>
      </w:divBdr>
    </w:div>
    <w:div w:id="2059083358">
      <w:bodyDiv w:val="1"/>
      <w:marLeft w:val="0"/>
      <w:marRight w:val="0"/>
      <w:marTop w:val="0"/>
      <w:marBottom w:val="0"/>
      <w:divBdr>
        <w:top w:val="none" w:sz="0" w:space="0" w:color="auto"/>
        <w:left w:val="none" w:sz="0" w:space="0" w:color="auto"/>
        <w:bottom w:val="none" w:sz="0" w:space="0" w:color="auto"/>
        <w:right w:val="none" w:sz="0" w:space="0" w:color="auto"/>
      </w:divBdr>
    </w:div>
    <w:div w:id="2059207341">
      <w:bodyDiv w:val="1"/>
      <w:marLeft w:val="0"/>
      <w:marRight w:val="0"/>
      <w:marTop w:val="0"/>
      <w:marBottom w:val="0"/>
      <w:divBdr>
        <w:top w:val="none" w:sz="0" w:space="0" w:color="auto"/>
        <w:left w:val="none" w:sz="0" w:space="0" w:color="auto"/>
        <w:bottom w:val="none" w:sz="0" w:space="0" w:color="auto"/>
        <w:right w:val="none" w:sz="0" w:space="0" w:color="auto"/>
      </w:divBdr>
    </w:div>
    <w:div w:id="2059353939">
      <w:bodyDiv w:val="1"/>
      <w:marLeft w:val="0"/>
      <w:marRight w:val="0"/>
      <w:marTop w:val="0"/>
      <w:marBottom w:val="0"/>
      <w:divBdr>
        <w:top w:val="none" w:sz="0" w:space="0" w:color="auto"/>
        <w:left w:val="none" w:sz="0" w:space="0" w:color="auto"/>
        <w:bottom w:val="none" w:sz="0" w:space="0" w:color="auto"/>
        <w:right w:val="none" w:sz="0" w:space="0" w:color="auto"/>
      </w:divBdr>
    </w:div>
    <w:div w:id="2061053434">
      <w:bodyDiv w:val="1"/>
      <w:marLeft w:val="0"/>
      <w:marRight w:val="0"/>
      <w:marTop w:val="0"/>
      <w:marBottom w:val="0"/>
      <w:divBdr>
        <w:top w:val="none" w:sz="0" w:space="0" w:color="auto"/>
        <w:left w:val="none" w:sz="0" w:space="0" w:color="auto"/>
        <w:bottom w:val="none" w:sz="0" w:space="0" w:color="auto"/>
        <w:right w:val="none" w:sz="0" w:space="0" w:color="auto"/>
      </w:divBdr>
    </w:div>
    <w:div w:id="2061317927">
      <w:bodyDiv w:val="1"/>
      <w:marLeft w:val="0"/>
      <w:marRight w:val="0"/>
      <w:marTop w:val="0"/>
      <w:marBottom w:val="0"/>
      <w:divBdr>
        <w:top w:val="none" w:sz="0" w:space="0" w:color="auto"/>
        <w:left w:val="none" w:sz="0" w:space="0" w:color="auto"/>
        <w:bottom w:val="none" w:sz="0" w:space="0" w:color="auto"/>
        <w:right w:val="none" w:sz="0" w:space="0" w:color="auto"/>
      </w:divBdr>
    </w:div>
    <w:div w:id="2061509822">
      <w:bodyDiv w:val="1"/>
      <w:marLeft w:val="0"/>
      <w:marRight w:val="0"/>
      <w:marTop w:val="0"/>
      <w:marBottom w:val="0"/>
      <w:divBdr>
        <w:top w:val="none" w:sz="0" w:space="0" w:color="auto"/>
        <w:left w:val="none" w:sz="0" w:space="0" w:color="auto"/>
        <w:bottom w:val="none" w:sz="0" w:space="0" w:color="auto"/>
        <w:right w:val="none" w:sz="0" w:space="0" w:color="auto"/>
      </w:divBdr>
    </w:div>
    <w:div w:id="2061591315">
      <w:bodyDiv w:val="1"/>
      <w:marLeft w:val="0"/>
      <w:marRight w:val="0"/>
      <w:marTop w:val="0"/>
      <w:marBottom w:val="0"/>
      <w:divBdr>
        <w:top w:val="none" w:sz="0" w:space="0" w:color="auto"/>
        <w:left w:val="none" w:sz="0" w:space="0" w:color="auto"/>
        <w:bottom w:val="none" w:sz="0" w:space="0" w:color="auto"/>
        <w:right w:val="none" w:sz="0" w:space="0" w:color="auto"/>
      </w:divBdr>
    </w:div>
    <w:div w:id="2063290521">
      <w:bodyDiv w:val="1"/>
      <w:marLeft w:val="0"/>
      <w:marRight w:val="0"/>
      <w:marTop w:val="0"/>
      <w:marBottom w:val="0"/>
      <w:divBdr>
        <w:top w:val="none" w:sz="0" w:space="0" w:color="auto"/>
        <w:left w:val="none" w:sz="0" w:space="0" w:color="auto"/>
        <w:bottom w:val="none" w:sz="0" w:space="0" w:color="auto"/>
        <w:right w:val="none" w:sz="0" w:space="0" w:color="auto"/>
      </w:divBdr>
    </w:div>
    <w:div w:id="2063404747">
      <w:bodyDiv w:val="1"/>
      <w:marLeft w:val="0"/>
      <w:marRight w:val="0"/>
      <w:marTop w:val="0"/>
      <w:marBottom w:val="0"/>
      <w:divBdr>
        <w:top w:val="none" w:sz="0" w:space="0" w:color="auto"/>
        <w:left w:val="none" w:sz="0" w:space="0" w:color="auto"/>
        <w:bottom w:val="none" w:sz="0" w:space="0" w:color="auto"/>
        <w:right w:val="none" w:sz="0" w:space="0" w:color="auto"/>
      </w:divBdr>
    </w:div>
    <w:div w:id="2064131658">
      <w:bodyDiv w:val="1"/>
      <w:marLeft w:val="0"/>
      <w:marRight w:val="0"/>
      <w:marTop w:val="0"/>
      <w:marBottom w:val="0"/>
      <w:divBdr>
        <w:top w:val="none" w:sz="0" w:space="0" w:color="auto"/>
        <w:left w:val="none" w:sz="0" w:space="0" w:color="auto"/>
        <w:bottom w:val="none" w:sz="0" w:space="0" w:color="auto"/>
        <w:right w:val="none" w:sz="0" w:space="0" w:color="auto"/>
      </w:divBdr>
    </w:div>
    <w:div w:id="2064212769">
      <w:bodyDiv w:val="1"/>
      <w:marLeft w:val="0"/>
      <w:marRight w:val="0"/>
      <w:marTop w:val="0"/>
      <w:marBottom w:val="0"/>
      <w:divBdr>
        <w:top w:val="none" w:sz="0" w:space="0" w:color="auto"/>
        <w:left w:val="none" w:sz="0" w:space="0" w:color="auto"/>
        <w:bottom w:val="none" w:sz="0" w:space="0" w:color="auto"/>
        <w:right w:val="none" w:sz="0" w:space="0" w:color="auto"/>
      </w:divBdr>
    </w:div>
    <w:div w:id="2065904457">
      <w:bodyDiv w:val="1"/>
      <w:marLeft w:val="0"/>
      <w:marRight w:val="0"/>
      <w:marTop w:val="0"/>
      <w:marBottom w:val="0"/>
      <w:divBdr>
        <w:top w:val="none" w:sz="0" w:space="0" w:color="auto"/>
        <w:left w:val="none" w:sz="0" w:space="0" w:color="auto"/>
        <w:bottom w:val="none" w:sz="0" w:space="0" w:color="auto"/>
        <w:right w:val="none" w:sz="0" w:space="0" w:color="auto"/>
      </w:divBdr>
    </w:div>
    <w:div w:id="2065909679">
      <w:bodyDiv w:val="1"/>
      <w:marLeft w:val="0"/>
      <w:marRight w:val="0"/>
      <w:marTop w:val="0"/>
      <w:marBottom w:val="0"/>
      <w:divBdr>
        <w:top w:val="none" w:sz="0" w:space="0" w:color="auto"/>
        <w:left w:val="none" w:sz="0" w:space="0" w:color="auto"/>
        <w:bottom w:val="none" w:sz="0" w:space="0" w:color="auto"/>
        <w:right w:val="none" w:sz="0" w:space="0" w:color="auto"/>
      </w:divBdr>
    </w:div>
    <w:div w:id="2067802684">
      <w:bodyDiv w:val="1"/>
      <w:marLeft w:val="0"/>
      <w:marRight w:val="0"/>
      <w:marTop w:val="0"/>
      <w:marBottom w:val="0"/>
      <w:divBdr>
        <w:top w:val="none" w:sz="0" w:space="0" w:color="auto"/>
        <w:left w:val="none" w:sz="0" w:space="0" w:color="auto"/>
        <w:bottom w:val="none" w:sz="0" w:space="0" w:color="auto"/>
        <w:right w:val="none" w:sz="0" w:space="0" w:color="auto"/>
      </w:divBdr>
    </w:div>
    <w:div w:id="2068019639">
      <w:bodyDiv w:val="1"/>
      <w:marLeft w:val="0"/>
      <w:marRight w:val="0"/>
      <w:marTop w:val="0"/>
      <w:marBottom w:val="0"/>
      <w:divBdr>
        <w:top w:val="none" w:sz="0" w:space="0" w:color="auto"/>
        <w:left w:val="none" w:sz="0" w:space="0" w:color="auto"/>
        <w:bottom w:val="none" w:sz="0" w:space="0" w:color="auto"/>
        <w:right w:val="none" w:sz="0" w:space="0" w:color="auto"/>
      </w:divBdr>
    </w:div>
    <w:div w:id="2068141498">
      <w:bodyDiv w:val="1"/>
      <w:marLeft w:val="0"/>
      <w:marRight w:val="0"/>
      <w:marTop w:val="0"/>
      <w:marBottom w:val="0"/>
      <w:divBdr>
        <w:top w:val="none" w:sz="0" w:space="0" w:color="auto"/>
        <w:left w:val="none" w:sz="0" w:space="0" w:color="auto"/>
        <w:bottom w:val="none" w:sz="0" w:space="0" w:color="auto"/>
        <w:right w:val="none" w:sz="0" w:space="0" w:color="auto"/>
      </w:divBdr>
    </w:div>
    <w:div w:id="2071032472">
      <w:bodyDiv w:val="1"/>
      <w:marLeft w:val="0"/>
      <w:marRight w:val="0"/>
      <w:marTop w:val="0"/>
      <w:marBottom w:val="0"/>
      <w:divBdr>
        <w:top w:val="none" w:sz="0" w:space="0" w:color="auto"/>
        <w:left w:val="none" w:sz="0" w:space="0" w:color="auto"/>
        <w:bottom w:val="none" w:sz="0" w:space="0" w:color="auto"/>
        <w:right w:val="none" w:sz="0" w:space="0" w:color="auto"/>
      </w:divBdr>
    </w:div>
    <w:div w:id="2071152113">
      <w:bodyDiv w:val="1"/>
      <w:marLeft w:val="0"/>
      <w:marRight w:val="0"/>
      <w:marTop w:val="0"/>
      <w:marBottom w:val="0"/>
      <w:divBdr>
        <w:top w:val="none" w:sz="0" w:space="0" w:color="auto"/>
        <w:left w:val="none" w:sz="0" w:space="0" w:color="auto"/>
        <w:bottom w:val="none" w:sz="0" w:space="0" w:color="auto"/>
        <w:right w:val="none" w:sz="0" w:space="0" w:color="auto"/>
      </w:divBdr>
    </w:div>
    <w:div w:id="2072263011">
      <w:bodyDiv w:val="1"/>
      <w:marLeft w:val="0"/>
      <w:marRight w:val="0"/>
      <w:marTop w:val="0"/>
      <w:marBottom w:val="0"/>
      <w:divBdr>
        <w:top w:val="none" w:sz="0" w:space="0" w:color="auto"/>
        <w:left w:val="none" w:sz="0" w:space="0" w:color="auto"/>
        <w:bottom w:val="none" w:sz="0" w:space="0" w:color="auto"/>
        <w:right w:val="none" w:sz="0" w:space="0" w:color="auto"/>
      </w:divBdr>
    </w:div>
    <w:div w:id="2072271241">
      <w:bodyDiv w:val="1"/>
      <w:marLeft w:val="0"/>
      <w:marRight w:val="0"/>
      <w:marTop w:val="0"/>
      <w:marBottom w:val="0"/>
      <w:divBdr>
        <w:top w:val="none" w:sz="0" w:space="0" w:color="auto"/>
        <w:left w:val="none" w:sz="0" w:space="0" w:color="auto"/>
        <w:bottom w:val="none" w:sz="0" w:space="0" w:color="auto"/>
        <w:right w:val="none" w:sz="0" w:space="0" w:color="auto"/>
      </w:divBdr>
    </w:div>
    <w:div w:id="2072385495">
      <w:bodyDiv w:val="1"/>
      <w:marLeft w:val="0"/>
      <w:marRight w:val="0"/>
      <w:marTop w:val="0"/>
      <w:marBottom w:val="0"/>
      <w:divBdr>
        <w:top w:val="none" w:sz="0" w:space="0" w:color="auto"/>
        <w:left w:val="none" w:sz="0" w:space="0" w:color="auto"/>
        <w:bottom w:val="none" w:sz="0" w:space="0" w:color="auto"/>
        <w:right w:val="none" w:sz="0" w:space="0" w:color="auto"/>
      </w:divBdr>
    </w:div>
    <w:div w:id="2072917792">
      <w:bodyDiv w:val="1"/>
      <w:marLeft w:val="0"/>
      <w:marRight w:val="0"/>
      <w:marTop w:val="0"/>
      <w:marBottom w:val="0"/>
      <w:divBdr>
        <w:top w:val="none" w:sz="0" w:space="0" w:color="auto"/>
        <w:left w:val="none" w:sz="0" w:space="0" w:color="auto"/>
        <w:bottom w:val="none" w:sz="0" w:space="0" w:color="auto"/>
        <w:right w:val="none" w:sz="0" w:space="0" w:color="auto"/>
      </w:divBdr>
    </w:div>
    <w:div w:id="2073917323">
      <w:bodyDiv w:val="1"/>
      <w:marLeft w:val="0"/>
      <w:marRight w:val="0"/>
      <w:marTop w:val="0"/>
      <w:marBottom w:val="0"/>
      <w:divBdr>
        <w:top w:val="none" w:sz="0" w:space="0" w:color="auto"/>
        <w:left w:val="none" w:sz="0" w:space="0" w:color="auto"/>
        <w:bottom w:val="none" w:sz="0" w:space="0" w:color="auto"/>
        <w:right w:val="none" w:sz="0" w:space="0" w:color="auto"/>
      </w:divBdr>
    </w:div>
    <w:div w:id="2074035287">
      <w:bodyDiv w:val="1"/>
      <w:marLeft w:val="0"/>
      <w:marRight w:val="0"/>
      <w:marTop w:val="0"/>
      <w:marBottom w:val="0"/>
      <w:divBdr>
        <w:top w:val="none" w:sz="0" w:space="0" w:color="auto"/>
        <w:left w:val="none" w:sz="0" w:space="0" w:color="auto"/>
        <w:bottom w:val="none" w:sz="0" w:space="0" w:color="auto"/>
        <w:right w:val="none" w:sz="0" w:space="0" w:color="auto"/>
      </w:divBdr>
    </w:div>
    <w:div w:id="2074036239">
      <w:bodyDiv w:val="1"/>
      <w:marLeft w:val="0"/>
      <w:marRight w:val="0"/>
      <w:marTop w:val="0"/>
      <w:marBottom w:val="0"/>
      <w:divBdr>
        <w:top w:val="none" w:sz="0" w:space="0" w:color="auto"/>
        <w:left w:val="none" w:sz="0" w:space="0" w:color="auto"/>
        <w:bottom w:val="none" w:sz="0" w:space="0" w:color="auto"/>
        <w:right w:val="none" w:sz="0" w:space="0" w:color="auto"/>
      </w:divBdr>
    </w:div>
    <w:div w:id="2074040388">
      <w:bodyDiv w:val="1"/>
      <w:marLeft w:val="0"/>
      <w:marRight w:val="0"/>
      <w:marTop w:val="0"/>
      <w:marBottom w:val="0"/>
      <w:divBdr>
        <w:top w:val="none" w:sz="0" w:space="0" w:color="auto"/>
        <w:left w:val="none" w:sz="0" w:space="0" w:color="auto"/>
        <w:bottom w:val="none" w:sz="0" w:space="0" w:color="auto"/>
        <w:right w:val="none" w:sz="0" w:space="0" w:color="auto"/>
      </w:divBdr>
    </w:div>
    <w:div w:id="2076010517">
      <w:bodyDiv w:val="1"/>
      <w:marLeft w:val="0"/>
      <w:marRight w:val="0"/>
      <w:marTop w:val="0"/>
      <w:marBottom w:val="0"/>
      <w:divBdr>
        <w:top w:val="none" w:sz="0" w:space="0" w:color="auto"/>
        <w:left w:val="none" w:sz="0" w:space="0" w:color="auto"/>
        <w:bottom w:val="none" w:sz="0" w:space="0" w:color="auto"/>
        <w:right w:val="none" w:sz="0" w:space="0" w:color="auto"/>
      </w:divBdr>
    </w:div>
    <w:div w:id="2076513234">
      <w:bodyDiv w:val="1"/>
      <w:marLeft w:val="0"/>
      <w:marRight w:val="0"/>
      <w:marTop w:val="0"/>
      <w:marBottom w:val="0"/>
      <w:divBdr>
        <w:top w:val="none" w:sz="0" w:space="0" w:color="auto"/>
        <w:left w:val="none" w:sz="0" w:space="0" w:color="auto"/>
        <w:bottom w:val="none" w:sz="0" w:space="0" w:color="auto"/>
        <w:right w:val="none" w:sz="0" w:space="0" w:color="auto"/>
      </w:divBdr>
    </w:div>
    <w:div w:id="2076586036">
      <w:bodyDiv w:val="1"/>
      <w:marLeft w:val="0"/>
      <w:marRight w:val="0"/>
      <w:marTop w:val="0"/>
      <w:marBottom w:val="0"/>
      <w:divBdr>
        <w:top w:val="none" w:sz="0" w:space="0" w:color="auto"/>
        <w:left w:val="none" w:sz="0" w:space="0" w:color="auto"/>
        <w:bottom w:val="none" w:sz="0" w:space="0" w:color="auto"/>
        <w:right w:val="none" w:sz="0" w:space="0" w:color="auto"/>
      </w:divBdr>
    </w:div>
    <w:div w:id="2077236414">
      <w:bodyDiv w:val="1"/>
      <w:marLeft w:val="0"/>
      <w:marRight w:val="0"/>
      <w:marTop w:val="0"/>
      <w:marBottom w:val="0"/>
      <w:divBdr>
        <w:top w:val="none" w:sz="0" w:space="0" w:color="auto"/>
        <w:left w:val="none" w:sz="0" w:space="0" w:color="auto"/>
        <w:bottom w:val="none" w:sz="0" w:space="0" w:color="auto"/>
        <w:right w:val="none" w:sz="0" w:space="0" w:color="auto"/>
      </w:divBdr>
    </w:div>
    <w:div w:id="2077627310">
      <w:bodyDiv w:val="1"/>
      <w:marLeft w:val="0"/>
      <w:marRight w:val="0"/>
      <w:marTop w:val="0"/>
      <w:marBottom w:val="0"/>
      <w:divBdr>
        <w:top w:val="none" w:sz="0" w:space="0" w:color="auto"/>
        <w:left w:val="none" w:sz="0" w:space="0" w:color="auto"/>
        <w:bottom w:val="none" w:sz="0" w:space="0" w:color="auto"/>
        <w:right w:val="none" w:sz="0" w:space="0" w:color="auto"/>
      </w:divBdr>
    </w:div>
    <w:div w:id="2078162228">
      <w:bodyDiv w:val="1"/>
      <w:marLeft w:val="0"/>
      <w:marRight w:val="0"/>
      <w:marTop w:val="0"/>
      <w:marBottom w:val="0"/>
      <w:divBdr>
        <w:top w:val="none" w:sz="0" w:space="0" w:color="auto"/>
        <w:left w:val="none" w:sz="0" w:space="0" w:color="auto"/>
        <w:bottom w:val="none" w:sz="0" w:space="0" w:color="auto"/>
        <w:right w:val="none" w:sz="0" w:space="0" w:color="auto"/>
      </w:divBdr>
    </w:div>
    <w:div w:id="2078819980">
      <w:bodyDiv w:val="1"/>
      <w:marLeft w:val="0"/>
      <w:marRight w:val="0"/>
      <w:marTop w:val="0"/>
      <w:marBottom w:val="0"/>
      <w:divBdr>
        <w:top w:val="none" w:sz="0" w:space="0" w:color="auto"/>
        <w:left w:val="none" w:sz="0" w:space="0" w:color="auto"/>
        <w:bottom w:val="none" w:sz="0" w:space="0" w:color="auto"/>
        <w:right w:val="none" w:sz="0" w:space="0" w:color="auto"/>
      </w:divBdr>
    </w:div>
    <w:div w:id="2078934459">
      <w:bodyDiv w:val="1"/>
      <w:marLeft w:val="0"/>
      <w:marRight w:val="0"/>
      <w:marTop w:val="0"/>
      <w:marBottom w:val="0"/>
      <w:divBdr>
        <w:top w:val="none" w:sz="0" w:space="0" w:color="auto"/>
        <w:left w:val="none" w:sz="0" w:space="0" w:color="auto"/>
        <w:bottom w:val="none" w:sz="0" w:space="0" w:color="auto"/>
        <w:right w:val="none" w:sz="0" w:space="0" w:color="auto"/>
      </w:divBdr>
    </w:div>
    <w:div w:id="2079398931">
      <w:bodyDiv w:val="1"/>
      <w:marLeft w:val="0"/>
      <w:marRight w:val="0"/>
      <w:marTop w:val="0"/>
      <w:marBottom w:val="0"/>
      <w:divBdr>
        <w:top w:val="none" w:sz="0" w:space="0" w:color="auto"/>
        <w:left w:val="none" w:sz="0" w:space="0" w:color="auto"/>
        <w:bottom w:val="none" w:sz="0" w:space="0" w:color="auto"/>
        <w:right w:val="none" w:sz="0" w:space="0" w:color="auto"/>
      </w:divBdr>
    </w:div>
    <w:div w:id="2081369348">
      <w:bodyDiv w:val="1"/>
      <w:marLeft w:val="0"/>
      <w:marRight w:val="0"/>
      <w:marTop w:val="0"/>
      <w:marBottom w:val="0"/>
      <w:divBdr>
        <w:top w:val="none" w:sz="0" w:space="0" w:color="auto"/>
        <w:left w:val="none" w:sz="0" w:space="0" w:color="auto"/>
        <w:bottom w:val="none" w:sz="0" w:space="0" w:color="auto"/>
        <w:right w:val="none" w:sz="0" w:space="0" w:color="auto"/>
      </w:divBdr>
    </w:div>
    <w:div w:id="2081440037">
      <w:bodyDiv w:val="1"/>
      <w:marLeft w:val="0"/>
      <w:marRight w:val="0"/>
      <w:marTop w:val="0"/>
      <w:marBottom w:val="0"/>
      <w:divBdr>
        <w:top w:val="none" w:sz="0" w:space="0" w:color="auto"/>
        <w:left w:val="none" w:sz="0" w:space="0" w:color="auto"/>
        <w:bottom w:val="none" w:sz="0" w:space="0" w:color="auto"/>
        <w:right w:val="none" w:sz="0" w:space="0" w:color="auto"/>
      </w:divBdr>
    </w:div>
    <w:div w:id="2082019584">
      <w:bodyDiv w:val="1"/>
      <w:marLeft w:val="0"/>
      <w:marRight w:val="0"/>
      <w:marTop w:val="0"/>
      <w:marBottom w:val="0"/>
      <w:divBdr>
        <w:top w:val="none" w:sz="0" w:space="0" w:color="auto"/>
        <w:left w:val="none" w:sz="0" w:space="0" w:color="auto"/>
        <w:bottom w:val="none" w:sz="0" w:space="0" w:color="auto"/>
        <w:right w:val="none" w:sz="0" w:space="0" w:color="auto"/>
      </w:divBdr>
    </w:div>
    <w:div w:id="2083214503">
      <w:bodyDiv w:val="1"/>
      <w:marLeft w:val="0"/>
      <w:marRight w:val="0"/>
      <w:marTop w:val="0"/>
      <w:marBottom w:val="0"/>
      <w:divBdr>
        <w:top w:val="none" w:sz="0" w:space="0" w:color="auto"/>
        <w:left w:val="none" w:sz="0" w:space="0" w:color="auto"/>
        <w:bottom w:val="none" w:sz="0" w:space="0" w:color="auto"/>
        <w:right w:val="none" w:sz="0" w:space="0" w:color="auto"/>
      </w:divBdr>
    </w:div>
    <w:div w:id="2084599072">
      <w:bodyDiv w:val="1"/>
      <w:marLeft w:val="0"/>
      <w:marRight w:val="0"/>
      <w:marTop w:val="0"/>
      <w:marBottom w:val="0"/>
      <w:divBdr>
        <w:top w:val="none" w:sz="0" w:space="0" w:color="auto"/>
        <w:left w:val="none" w:sz="0" w:space="0" w:color="auto"/>
        <w:bottom w:val="none" w:sz="0" w:space="0" w:color="auto"/>
        <w:right w:val="none" w:sz="0" w:space="0" w:color="auto"/>
      </w:divBdr>
    </w:div>
    <w:div w:id="2084795118">
      <w:bodyDiv w:val="1"/>
      <w:marLeft w:val="0"/>
      <w:marRight w:val="0"/>
      <w:marTop w:val="0"/>
      <w:marBottom w:val="0"/>
      <w:divBdr>
        <w:top w:val="none" w:sz="0" w:space="0" w:color="auto"/>
        <w:left w:val="none" w:sz="0" w:space="0" w:color="auto"/>
        <w:bottom w:val="none" w:sz="0" w:space="0" w:color="auto"/>
        <w:right w:val="none" w:sz="0" w:space="0" w:color="auto"/>
      </w:divBdr>
    </w:div>
    <w:div w:id="2089879991">
      <w:bodyDiv w:val="1"/>
      <w:marLeft w:val="0"/>
      <w:marRight w:val="0"/>
      <w:marTop w:val="0"/>
      <w:marBottom w:val="0"/>
      <w:divBdr>
        <w:top w:val="none" w:sz="0" w:space="0" w:color="auto"/>
        <w:left w:val="none" w:sz="0" w:space="0" w:color="auto"/>
        <w:bottom w:val="none" w:sz="0" w:space="0" w:color="auto"/>
        <w:right w:val="none" w:sz="0" w:space="0" w:color="auto"/>
      </w:divBdr>
    </w:div>
    <w:div w:id="2090343724">
      <w:bodyDiv w:val="1"/>
      <w:marLeft w:val="0"/>
      <w:marRight w:val="0"/>
      <w:marTop w:val="0"/>
      <w:marBottom w:val="0"/>
      <w:divBdr>
        <w:top w:val="none" w:sz="0" w:space="0" w:color="auto"/>
        <w:left w:val="none" w:sz="0" w:space="0" w:color="auto"/>
        <w:bottom w:val="none" w:sz="0" w:space="0" w:color="auto"/>
        <w:right w:val="none" w:sz="0" w:space="0" w:color="auto"/>
      </w:divBdr>
    </w:div>
    <w:div w:id="2090498154">
      <w:bodyDiv w:val="1"/>
      <w:marLeft w:val="0"/>
      <w:marRight w:val="0"/>
      <w:marTop w:val="0"/>
      <w:marBottom w:val="0"/>
      <w:divBdr>
        <w:top w:val="none" w:sz="0" w:space="0" w:color="auto"/>
        <w:left w:val="none" w:sz="0" w:space="0" w:color="auto"/>
        <w:bottom w:val="none" w:sz="0" w:space="0" w:color="auto"/>
        <w:right w:val="none" w:sz="0" w:space="0" w:color="auto"/>
      </w:divBdr>
    </w:div>
    <w:div w:id="2091389575">
      <w:bodyDiv w:val="1"/>
      <w:marLeft w:val="0"/>
      <w:marRight w:val="0"/>
      <w:marTop w:val="0"/>
      <w:marBottom w:val="0"/>
      <w:divBdr>
        <w:top w:val="none" w:sz="0" w:space="0" w:color="auto"/>
        <w:left w:val="none" w:sz="0" w:space="0" w:color="auto"/>
        <w:bottom w:val="none" w:sz="0" w:space="0" w:color="auto"/>
        <w:right w:val="none" w:sz="0" w:space="0" w:color="auto"/>
      </w:divBdr>
    </w:div>
    <w:div w:id="2092311981">
      <w:bodyDiv w:val="1"/>
      <w:marLeft w:val="0"/>
      <w:marRight w:val="0"/>
      <w:marTop w:val="0"/>
      <w:marBottom w:val="0"/>
      <w:divBdr>
        <w:top w:val="none" w:sz="0" w:space="0" w:color="auto"/>
        <w:left w:val="none" w:sz="0" w:space="0" w:color="auto"/>
        <w:bottom w:val="none" w:sz="0" w:space="0" w:color="auto"/>
        <w:right w:val="none" w:sz="0" w:space="0" w:color="auto"/>
      </w:divBdr>
    </w:div>
    <w:div w:id="2093237484">
      <w:bodyDiv w:val="1"/>
      <w:marLeft w:val="0"/>
      <w:marRight w:val="0"/>
      <w:marTop w:val="0"/>
      <w:marBottom w:val="0"/>
      <w:divBdr>
        <w:top w:val="none" w:sz="0" w:space="0" w:color="auto"/>
        <w:left w:val="none" w:sz="0" w:space="0" w:color="auto"/>
        <w:bottom w:val="none" w:sz="0" w:space="0" w:color="auto"/>
        <w:right w:val="none" w:sz="0" w:space="0" w:color="auto"/>
      </w:divBdr>
    </w:div>
    <w:div w:id="2095930879">
      <w:bodyDiv w:val="1"/>
      <w:marLeft w:val="0"/>
      <w:marRight w:val="0"/>
      <w:marTop w:val="0"/>
      <w:marBottom w:val="0"/>
      <w:divBdr>
        <w:top w:val="none" w:sz="0" w:space="0" w:color="auto"/>
        <w:left w:val="none" w:sz="0" w:space="0" w:color="auto"/>
        <w:bottom w:val="none" w:sz="0" w:space="0" w:color="auto"/>
        <w:right w:val="none" w:sz="0" w:space="0" w:color="auto"/>
      </w:divBdr>
    </w:div>
    <w:div w:id="2097482984">
      <w:bodyDiv w:val="1"/>
      <w:marLeft w:val="0"/>
      <w:marRight w:val="0"/>
      <w:marTop w:val="0"/>
      <w:marBottom w:val="0"/>
      <w:divBdr>
        <w:top w:val="none" w:sz="0" w:space="0" w:color="auto"/>
        <w:left w:val="none" w:sz="0" w:space="0" w:color="auto"/>
        <w:bottom w:val="none" w:sz="0" w:space="0" w:color="auto"/>
        <w:right w:val="none" w:sz="0" w:space="0" w:color="auto"/>
      </w:divBdr>
    </w:div>
    <w:div w:id="2097627500">
      <w:bodyDiv w:val="1"/>
      <w:marLeft w:val="0"/>
      <w:marRight w:val="0"/>
      <w:marTop w:val="0"/>
      <w:marBottom w:val="0"/>
      <w:divBdr>
        <w:top w:val="none" w:sz="0" w:space="0" w:color="auto"/>
        <w:left w:val="none" w:sz="0" w:space="0" w:color="auto"/>
        <w:bottom w:val="none" w:sz="0" w:space="0" w:color="auto"/>
        <w:right w:val="none" w:sz="0" w:space="0" w:color="auto"/>
      </w:divBdr>
    </w:div>
    <w:div w:id="2098332027">
      <w:bodyDiv w:val="1"/>
      <w:marLeft w:val="0"/>
      <w:marRight w:val="0"/>
      <w:marTop w:val="0"/>
      <w:marBottom w:val="0"/>
      <w:divBdr>
        <w:top w:val="none" w:sz="0" w:space="0" w:color="auto"/>
        <w:left w:val="none" w:sz="0" w:space="0" w:color="auto"/>
        <w:bottom w:val="none" w:sz="0" w:space="0" w:color="auto"/>
        <w:right w:val="none" w:sz="0" w:space="0" w:color="auto"/>
      </w:divBdr>
    </w:div>
    <w:div w:id="2099014131">
      <w:bodyDiv w:val="1"/>
      <w:marLeft w:val="0"/>
      <w:marRight w:val="0"/>
      <w:marTop w:val="0"/>
      <w:marBottom w:val="0"/>
      <w:divBdr>
        <w:top w:val="none" w:sz="0" w:space="0" w:color="auto"/>
        <w:left w:val="none" w:sz="0" w:space="0" w:color="auto"/>
        <w:bottom w:val="none" w:sz="0" w:space="0" w:color="auto"/>
        <w:right w:val="none" w:sz="0" w:space="0" w:color="auto"/>
      </w:divBdr>
    </w:div>
    <w:div w:id="2099596559">
      <w:bodyDiv w:val="1"/>
      <w:marLeft w:val="0"/>
      <w:marRight w:val="0"/>
      <w:marTop w:val="0"/>
      <w:marBottom w:val="0"/>
      <w:divBdr>
        <w:top w:val="none" w:sz="0" w:space="0" w:color="auto"/>
        <w:left w:val="none" w:sz="0" w:space="0" w:color="auto"/>
        <w:bottom w:val="none" w:sz="0" w:space="0" w:color="auto"/>
        <w:right w:val="none" w:sz="0" w:space="0" w:color="auto"/>
      </w:divBdr>
    </w:div>
    <w:div w:id="2099978321">
      <w:bodyDiv w:val="1"/>
      <w:marLeft w:val="0"/>
      <w:marRight w:val="0"/>
      <w:marTop w:val="0"/>
      <w:marBottom w:val="0"/>
      <w:divBdr>
        <w:top w:val="none" w:sz="0" w:space="0" w:color="auto"/>
        <w:left w:val="none" w:sz="0" w:space="0" w:color="auto"/>
        <w:bottom w:val="none" w:sz="0" w:space="0" w:color="auto"/>
        <w:right w:val="none" w:sz="0" w:space="0" w:color="auto"/>
      </w:divBdr>
    </w:div>
    <w:div w:id="2100249727">
      <w:bodyDiv w:val="1"/>
      <w:marLeft w:val="0"/>
      <w:marRight w:val="0"/>
      <w:marTop w:val="0"/>
      <w:marBottom w:val="0"/>
      <w:divBdr>
        <w:top w:val="none" w:sz="0" w:space="0" w:color="auto"/>
        <w:left w:val="none" w:sz="0" w:space="0" w:color="auto"/>
        <w:bottom w:val="none" w:sz="0" w:space="0" w:color="auto"/>
        <w:right w:val="none" w:sz="0" w:space="0" w:color="auto"/>
      </w:divBdr>
    </w:div>
    <w:div w:id="2100515653">
      <w:bodyDiv w:val="1"/>
      <w:marLeft w:val="0"/>
      <w:marRight w:val="0"/>
      <w:marTop w:val="0"/>
      <w:marBottom w:val="0"/>
      <w:divBdr>
        <w:top w:val="none" w:sz="0" w:space="0" w:color="auto"/>
        <w:left w:val="none" w:sz="0" w:space="0" w:color="auto"/>
        <w:bottom w:val="none" w:sz="0" w:space="0" w:color="auto"/>
        <w:right w:val="none" w:sz="0" w:space="0" w:color="auto"/>
      </w:divBdr>
    </w:div>
    <w:div w:id="2100708210">
      <w:bodyDiv w:val="1"/>
      <w:marLeft w:val="0"/>
      <w:marRight w:val="0"/>
      <w:marTop w:val="0"/>
      <w:marBottom w:val="0"/>
      <w:divBdr>
        <w:top w:val="none" w:sz="0" w:space="0" w:color="auto"/>
        <w:left w:val="none" w:sz="0" w:space="0" w:color="auto"/>
        <w:bottom w:val="none" w:sz="0" w:space="0" w:color="auto"/>
        <w:right w:val="none" w:sz="0" w:space="0" w:color="auto"/>
      </w:divBdr>
    </w:div>
    <w:div w:id="2101221888">
      <w:bodyDiv w:val="1"/>
      <w:marLeft w:val="0"/>
      <w:marRight w:val="0"/>
      <w:marTop w:val="0"/>
      <w:marBottom w:val="0"/>
      <w:divBdr>
        <w:top w:val="none" w:sz="0" w:space="0" w:color="auto"/>
        <w:left w:val="none" w:sz="0" w:space="0" w:color="auto"/>
        <w:bottom w:val="none" w:sz="0" w:space="0" w:color="auto"/>
        <w:right w:val="none" w:sz="0" w:space="0" w:color="auto"/>
      </w:divBdr>
    </w:div>
    <w:div w:id="2102484893">
      <w:bodyDiv w:val="1"/>
      <w:marLeft w:val="0"/>
      <w:marRight w:val="0"/>
      <w:marTop w:val="0"/>
      <w:marBottom w:val="0"/>
      <w:divBdr>
        <w:top w:val="none" w:sz="0" w:space="0" w:color="auto"/>
        <w:left w:val="none" w:sz="0" w:space="0" w:color="auto"/>
        <w:bottom w:val="none" w:sz="0" w:space="0" w:color="auto"/>
        <w:right w:val="none" w:sz="0" w:space="0" w:color="auto"/>
      </w:divBdr>
    </w:div>
    <w:div w:id="2103987428">
      <w:bodyDiv w:val="1"/>
      <w:marLeft w:val="0"/>
      <w:marRight w:val="0"/>
      <w:marTop w:val="0"/>
      <w:marBottom w:val="0"/>
      <w:divBdr>
        <w:top w:val="none" w:sz="0" w:space="0" w:color="auto"/>
        <w:left w:val="none" w:sz="0" w:space="0" w:color="auto"/>
        <w:bottom w:val="none" w:sz="0" w:space="0" w:color="auto"/>
        <w:right w:val="none" w:sz="0" w:space="0" w:color="auto"/>
      </w:divBdr>
    </w:div>
    <w:div w:id="2104952903">
      <w:bodyDiv w:val="1"/>
      <w:marLeft w:val="0"/>
      <w:marRight w:val="0"/>
      <w:marTop w:val="0"/>
      <w:marBottom w:val="0"/>
      <w:divBdr>
        <w:top w:val="none" w:sz="0" w:space="0" w:color="auto"/>
        <w:left w:val="none" w:sz="0" w:space="0" w:color="auto"/>
        <w:bottom w:val="none" w:sz="0" w:space="0" w:color="auto"/>
        <w:right w:val="none" w:sz="0" w:space="0" w:color="auto"/>
      </w:divBdr>
    </w:div>
    <w:div w:id="2105177480">
      <w:bodyDiv w:val="1"/>
      <w:marLeft w:val="0"/>
      <w:marRight w:val="0"/>
      <w:marTop w:val="0"/>
      <w:marBottom w:val="0"/>
      <w:divBdr>
        <w:top w:val="none" w:sz="0" w:space="0" w:color="auto"/>
        <w:left w:val="none" w:sz="0" w:space="0" w:color="auto"/>
        <w:bottom w:val="none" w:sz="0" w:space="0" w:color="auto"/>
        <w:right w:val="none" w:sz="0" w:space="0" w:color="auto"/>
      </w:divBdr>
    </w:div>
    <w:div w:id="2105804820">
      <w:bodyDiv w:val="1"/>
      <w:marLeft w:val="0"/>
      <w:marRight w:val="0"/>
      <w:marTop w:val="0"/>
      <w:marBottom w:val="0"/>
      <w:divBdr>
        <w:top w:val="none" w:sz="0" w:space="0" w:color="auto"/>
        <w:left w:val="none" w:sz="0" w:space="0" w:color="auto"/>
        <w:bottom w:val="none" w:sz="0" w:space="0" w:color="auto"/>
        <w:right w:val="none" w:sz="0" w:space="0" w:color="auto"/>
      </w:divBdr>
    </w:div>
    <w:div w:id="2106420945">
      <w:bodyDiv w:val="1"/>
      <w:marLeft w:val="0"/>
      <w:marRight w:val="0"/>
      <w:marTop w:val="0"/>
      <w:marBottom w:val="0"/>
      <w:divBdr>
        <w:top w:val="none" w:sz="0" w:space="0" w:color="auto"/>
        <w:left w:val="none" w:sz="0" w:space="0" w:color="auto"/>
        <w:bottom w:val="none" w:sz="0" w:space="0" w:color="auto"/>
        <w:right w:val="none" w:sz="0" w:space="0" w:color="auto"/>
      </w:divBdr>
    </w:div>
    <w:div w:id="2106686975">
      <w:bodyDiv w:val="1"/>
      <w:marLeft w:val="0"/>
      <w:marRight w:val="0"/>
      <w:marTop w:val="0"/>
      <w:marBottom w:val="0"/>
      <w:divBdr>
        <w:top w:val="none" w:sz="0" w:space="0" w:color="auto"/>
        <w:left w:val="none" w:sz="0" w:space="0" w:color="auto"/>
        <w:bottom w:val="none" w:sz="0" w:space="0" w:color="auto"/>
        <w:right w:val="none" w:sz="0" w:space="0" w:color="auto"/>
      </w:divBdr>
    </w:div>
    <w:div w:id="2107459368">
      <w:bodyDiv w:val="1"/>
      <w:marLeft w:val="0"/>
      <w:marRight w:val="0"/>
      <w:marTop w:val="0"/>
      <w:marBottom w:val="0"/>
      <w:divBdr>
        <w:top w:val="none" w:sz="0" w:space="0" w:color="auto"/>
        <w:left w:val="none" w:sz="0" w:space="0" w:color="auto"/>
        <w:bottom w:val="none" w:sz="0" w:space="0" w:color="auto"/>
        <w:right w:val="none" w:sz="0" w:space="0" w:color="auto"/>
      </w:divBdr>
    </w:div>
    <w:div w:id="2108036701">
      <w:bodyDiv w:val="1"/>
      <w:marLeft w:val="0"/>
      <w:marRight w:val="0"/>
      <w:marTop w:val="0"/>
      <w:marBottom w:val="0"/>
      <w:divBdr>
        <w:top w:val="none" w:sz="0" w:space="0" w:color="auto"/>
        <w:left w:val="none" w:sz="0" w:space="0" w:color="auto"/>
        <w:bottom w:val="none" w:sz="0" w:space="0" w:color="auto"/>
        <w:right w:val="none" w:sz="0" w:space="0" w:color="auto"/>
      </w:divBdr>
    </w:div>
    <w:div w:id="2109305434">
      <w:bodyDiv w:val="1"/>
      <w:marLeft w:val="0"/>
      <w:marRight w:val="0"/>
      <w:marTop w:val="0"/>
      <w:marBottom w:val="0"/>
      <w:divBdr>
        <w:top w:val="none" w:sz="0" w:space="0" w:color="auto"/>
        <w:left w:val="none" w:sz="0" w:space="0" w:color="auto"/>
        <w:bottom w:val="none" w:sz="0" w:space="0" w:color="auto"/>
        <w:right w:val="none" w:sz="0" w:space="0" w:color="auto"/>
      </w:divBdr>
    </w:div>
    <w:div w:id="2110079957">
      <w:bodyDiv w:val="1"/>
      <w:marLeft w:val="0"/>
      <w:marRight w:val="0"/>
      <w:marTop w:val="0"/>
      <w:marBottom w:val="0"/>
      <w:divBdr>
        <w:top w:val="none" w:sz="0" w:space="0" w:color="auto"/>
        <w:left w:val="none" w:sz="0" w:space="0" w:color="auto"/>
        <w:bottom w:val="none" w:sz="0" w:space="0" w:color="auto"/>
        <w:right w:val="none" w:sz="0" w:space="0" w:color="auto"/>
      </w:divBdr>
    </w:div>
    <w:div w:id="2110854022">
      <w:bodyDiv w:val="1"/>
      <w:marLeft w:val="0"/>
      <w:marRight w:val="0"/>
      <w:marTop w:val="0"/>
      <w:marBottom w:val="0"/>
      <w:divBdr>
        <w:top w:val="none" w:sz="0" w:space="0" w:color="auto"/>
        <w:left w:val="none" w:sz="0" w:space="0" w:color="auto"/>
        <w:bottom w:val="none" w:sz="0" w:space="0" w:color="auto"/>
        <w:right w:val="none" w:sz="0" w:space="0" w:color="auto"/>
      </w:divBdr>
    </w:div>
    <w:div w:id="2111274971">
      <w:bodyDiv w:val="1"/>
      <w:marLeft w:val="0"/>
      <w:marRight w:val="0"/>
      <w:marTop w:val="0"/>
      <w:marBottom w:val="0"/>
      <w:divBdr>
        <w:top w:val="none" w:sz="0" w:space="0" w:color="auto"/>
        <w:left w:val="none" w:sz="0" w:space="0" w:color="auto"/>
        <w:bottom w:val="none" w:sz="0" w:space="0" w:color="auto"/>
        <w:right w:val="none" w:sz="0" w:space="0" w:color="auto"/>
      </w:divBdr>
    </w:div>
    <w:div w:id="2111731433">
      <w:bodyDiv w:val="1"/>
      <w:marLeft w:val="0"/>
      <w:marRight w:val="0"/>
      <w:marTop w:val="0"/>
      <w:marBottom w:val="0"/>
      <w:divBdr>
        <w:top w:val="none" w:sz="0" w:space="0" w:color="auto"/>
        <w:left w:val="none" w:sz="0" w:space="0" w:color="auto"/>
        <w:bottom w:val="none" w:sz="0" w:space="0" w:color="auto"/>
        <w:right w:val="none" w:sz="0" w:space="0" w:color="auto"/>
      </w:divBdr>
    </w:div>
    <w:div w:id="2112165809">
      <w:bodyDiv w:val="1"/>
      <w:marLeft w:val="0"/>
      <w:marRight w:val="0"/>
      <w:marTop w:val="0"/>
      <w:marBottom w:val="0"/>
      <w:divBdr>
        <w:top w:val="none" w:sz="0" w:space="0" w:color="auto"/>
        <w:left w:val="none" w:sz="0" w:space="0" w:color="auto"/>
        <w:bottom w:val="none" w:sz="0" w:space="0" w:color="auto"/>
        <w:right w:val="none" w:sz="0" w:space="0" w:color="auto"/>
      </w:divBdr>
    </w:div>
    <w:div w:id="2112898269">
      <w:bodyDiv w:val="1"/>
      <w:marLeft w:val="0"/>
      <w:marRight w:val="0"/>
      <w:marTop w:val="0"/>
      <w:marBottom w:val="0"/>
      <w:divBdr>
        <w:top w:val="none" w:sz="0" w:space="0" w:color="auto"/>
        <w:left w:val="none" w:sz="0" w:space="0" w:color="auto"/>
        <w:bottom w:val="none" w:sz="0" w:space="0" w:color="auto"/>
        <w:right w:val="none" w:sz="0" w:space="0" w:color="auto"/>
      </w:divBdr>
    </w:div>
    <w:div w:id="2113620731">
      <w:bodyDiv w:val="1"/>
      <w:marLeft w:val="0"/>
      <w:marRight w:val="0"/>
      <w:marTop w:val="0"/>
      <w:marBottom w:val="0"/>
      <w:divBdr>
        <w:top w:val="none" w:sz="0" w:space="0" w:color="auto"/>
        <w:left w:val="none" w:sz="0" w:space="0" w:color="auto"/>
        <w:bottom w:val="none" w:sz="0" w:space="0" w:color="auto"/>
        <w:right w:val="none" w:sz="0" w:space="0" w:color="auto"/>
      </w:divBdr>
    </w:div>
    <w:div w:id="2113931734">
      <w:bodyDiv w:val="1"/>
      <w:marLeft w:val="0"/>
      <w:marRight w:val="0"/>
      <w:marTop w:val="0"/>
      <w:marBottom w:val="0"/>
      <w:divBdr>
        <w:top w:val="none" w:sz="0" w:space="0" w:color="auto"/>
        <w:left w:val="none" w:sz="0" w:space="0" w:color="auto"/>
        <w:bottom w:val="none" w:sz="0" w:space="0" w:color="auto"/>
        <w:right w:val="none" w:sz="0" w:space="0" w:color="auto"/>
      </w:divBdr>
    </w:div>
    <w:div w:id="2113935094">
      <w:bodyDiv w:val="1"/>
      <w:marLeft w:val="0"/>
      <w:marRight w:val="0"/>
      <w:marTop w:val="0"/>
      <w:marBottom w:val="0"/>
      <w:divBdr>
        <w:top w:val="none" w:sz="0" w:space="0" w:color="auto"/>
        <w:left w:val="none" w:sz="0" w:space="0" w:color="auto"/>
        <w:bottom w:val="none" w:sz="0" w:space="0" w:color="auto"/>
        <w:right w:val="none" w:sz="0" w:space="0" w:color="auto"/>
      </w:divBdr>
    </w:div>
    <w:div w:id="2114546772">
      <w:bodyDiv w:val="1"/>
      <w:marLeft w:val="0"/>
      <w:marRight w:val="0"/>
      <w:marTop w:val="0"/>
      <w:marBottom w:val="0"/>
      <w:divBdr>
        <w:top w:val="none" w:sz="0" w:space="0" w:color="auto"/>
        <w:left w:val="none" w:sz="0" w:space="0" w:color="auto"/>
        <w:bottom w:val="none" w:sz="0" w:space="0" w:color="auto"/>
        <w:right w:val="none" w:sz="0" w:space="0" w:color="auto"/>
      </w:divBdr>
    </w:div>
    <w:div w:id="2115009738">
      <w:bodyDiv w:val="1"/>
      <w:marLeft w:val="0"/>
      <w:marRight w:val="0"/>
      <w:marTop w:val="0"/>
      <w:marBottom w:val="0"/>
      <w:divBdr>
        <w:top w:val="none" w:sz="0" w:space="0" w:color="auto"/>
        <w:left w:val="none" w:sz="0" w:space="0" w:color="auto"/>
        <w:bottom w:val="none" w:sz="0" w:space="0" w:color="auto"/>
        <w:right w:val="none" w:sz="0" w:space="0" w:color="auto"/>
      </w:divBdr>
    </w:div>
    <w:div w:id="2115054642">
      <w:bodyDiv w:val="1"/>
      <w:marLeft w:val="0"/>
      <w:marRight w:val="0"/>
      <w:marTop w:val="0"/>
      <w:marBottom w:val="0"/>
      <w:divBdr>
        <w:top w:val="none" w:sz="0" w:space="0" w:color="auto"/>
        <w:left w:val="none" w:sz="0" w:space="0" w:color="auto"/>
        <w:bottom w:val="none" w:sz="0" w:space="0" w:color="auto"/>
        <w:right w:val="none" w:sz="0" w:space="0" w:color="auto"/>
      </w:divBdr>
    </w:div>
    <w:div w:id="2116169328">
      <w:bodyDiv w:val="1"/>
      <w:marLeft w:val="0"/>
      <w:marRight w:val="0"/>
      <w:marTop w:val="0"/>
      <w:marBottom w:val="0"/>
      <w:divBdr>
        <w:top w:val="none" w:sz="0" w:space="0" w:color="auto"/>
        <w:left w:val="none" w:sz="0" w:space="0" w:color="auto"/>
        <w:bottom w:val="none" w:sz="0" w:space="0" w:color="auto"/>
        <w:right w:val="none" w:sz="0" w:space="0" w:color="auto"/>
      </w:divBdr>
    </w:div>
    <w:div w:id="2116630071">
      <w:bodyDiv w:val="1"/>
      <w:marLeft w:val="0"/>
      <w:marRight w:val="0"/>
      <w:marTop w:val="0"/>
      <w:marBottom w:val="0"/>
      <w:divBdr>
        <w:top w:val="none" w:sz="0" w:space="0" w:color="auto"/>
        <w:left w:val="none" w:sz="0" w:space="0" w:color="auto"/>
        <w:bottom w:val="none" w:sz="0" w:space="0" w:color="auto"/>
        <w:right w:val="none" w:sz="0" w:space="0" w:color="auto"/>
      </w:divBdr>
    </w:div>
    <w:div w:id="2116635074">
      <w:bodyDiv w:val="1"/>
      <w:marLeft w:val="0"/>
      <w:marRight w:val="0"/>
      <w:marTop w:val="0"/>
      <w:marBottom w:val="0"/>
      <w:divBdr>
        <w:top w:val="none" w:sz="0" w:space="0" w:color="auto"/>
        <w:left w:val="none" w:sz="0" w:space="0" w:color="auto"/>
        <w:bottom w:val="none" w:sz="0" w:space="0" w:color="auto"/>
        <w:right w:val="none" w:sz="0" w:space="0" w:color="auto"/>
      </w:divBdr>
    </w:div>
    <w:div w:id="2117551331">
      <w:bodyDiv w:val="1"/>
      <w:marLeft w:val="0"/>
      <w:marRight w:val="0"/>
      <w:marTop w:val="0"/>
      <w:marBottom w:val="0"/>
      <w:divBdr>
        <w:top w:val="none" w:sz="0" w:space="0" w:color="auto"/>
        <w:left w:val="none" w:sz="0" w:space="0" w:color="auto"/>
        <w:bottom w:val="none" w:sz="0" w:space="0" w:color="auto"/>
        <w:right w:val="none" w:sz="0" w:space="0" w:color="auto"/>
      </w:divBdr>
    </w:div>
    <w:div w:id="2117941507">
      <w:bodyDiv w:val="1"/>
      <w:marLeft w:val="0"/>
      <w:marRight w:val="0"/>
      <w:marTop w:val="0"/>
      <w:marBottom w:val="0"/>
      <w:divBdr>
        <w:top w:val="none" w:sz="0" w:space="0" w:color="auto"/>
        <w:left w:val="none" w:sz="0" w:space="0" w:color="auto"/>
        <w:bottom w:val="none" w:sz="0" w:space="0" w:color="auto"/>
        <w:right w:val="none" w:sz="0" w:space="0" w:color="auto"/>
      </w:divBdr>
    </w:div>
    <w:div w:id="2119138054">
      <w:bodyDiv w:val="1"/>
      <w:marLeft w:val="0"/>
      <w:marRight w:val="0"/>
      <w:marTop w:val="0"/>
      <w:marBottom w:val="0"/>
      <w:divBdr>
        <w:top w:val="none" w:sz="0" w:space="0" w:color="auto"/>
        <w:left w:val="none" w:sz="0" w:space="0" w:color="auto"/>
        <w:bottom w:val="none" w:sz="0" w:space="0" w:color="auto"/>
        <w:right w:val="none" w:sz="0" w:space="0" w:color="auto"/>
      </w:divBdr>
    </w:div>
    <w:div w:id="2120172893">
      <w:bodyDiv w:val="1"/>
      <w:marLeft w:val="0"/>
      <w:marRight w:val="0"/>
      <w:marTop w:val="0"/>
      <w:marBottom w:val="0"/>
      <w:divBdr>
        <w:top w:val="none" w:sz="0" w:space="0" w:color="auto"/>
        <w:left w:val="none" w:sz="0" w:space="0" w:color="auto"/>
        <w:bottom w:val="none" w:sz="0" w:space="0" w:color="auto"/>
        <w:right w:val="none" w:sz="0" w:space="0" w:color="auto"/>
      </w:divBdr>
    </w:div>
    <w:div w:id="2120833154">
      <w:bodyDiv w:val="1"/>
      <w:marLeft w:val="0"/>
      <w:marRight w:val="0"/>
      <w:marTop w:val="0"/>
      <w:marBottom w:val="0"/>
      <w:divBdr>
        <w:top w:val="none" w:sz="0" w:space="0" w:color="auto"/>
        <w:left w:val="none" w:sz="0" w:space="0" w:color="auto"/>
        <w:bottom w:val="none" w:sz="0" w:space="0" w:color="auto"/>
        <w:right w:val="none" w:sz="0" w:space="0" w:color="auto"/>
      </w:divBdr>
    </w:div>
    <w:div w:id="2120876455">
      <w:bodyDiv w:val="1"/>
      <w:marLeft w:val="0"/>
      <w:marRight w:val="0"/>
      <w:marTop w:val="0"/>
      <w:marBottom w:val="0"/>
      <w:divBdr>
        <w:top w:val="none" w:sz="0" w:space="0" w:color="auto"/>
        <w:left w:val="none" w:sz="0" w:space="0" w:color="auto"/>
        <w:bottom w:val="none" w:sz="0" w:space="0" w:color="auto"/>
        <w:right w:val="none" w:sz="0" w:space="0" w:color="auto"/>
      </w:divBdr>
    </w:div>
    <w:div w:id="2120949010">
      <w:bodyDiv w:val="1"/>
      <w:marLeft w:val="0"/>
      <w:marRight w:val="0"/>
      <w:marTop w:val="0"/>
      <w:marBottom w:val="0"/>
      <w:divBdr>
        <w:top w:val="none" w:sz="0" w:space="0" w:color="auto"/>
        <w:left w:val="none" w:sz="0" w:space="0" w:color="auto"/>
        <w:bottom w:val="none" w:sz="0" w:space="0" w:color="auto"/>
        <w:right w:val="none" w:sz="0" w:space="0" w:color="auto"/>
      </w:divBdr>
    </w:div>
    <w:div w:id="2122457790">
      <w:bodyDiv w:val="1"/>
      <w:marLeft w:val="0"/>
      <w:marRight w:val="0"/>
      <w:marTop w:val="0"/>
      <w:marBottom w:val="0"/>
      <w:divBdr>
        <w:top w:val="none" w:sz="0" w:space="0" w:color="auto"/>
        <w:left w:val="none" w:sz="0" w:space="0" w:color="auto"/>
        <w:bottom w:val="none" w:sz="0" w:space="0" w:color="auto"/>
        <w:right w:val="none" w:sz="0" w:space="0" w:color="auto"/>
      </w:divBdr>
    </w:div>
    <w:div w:id="2123915124">
      <w:bodyDiv w:val="1"/>
      <w:marLeft w:val="0"/>
      <w:marRight w:val="0"/>
      <w:marTop w:val="0"/>
      <w:marBottom w:val="0"/>
      <w:divBdr>
        <w:top w:val="none" w:sz="0" w:space="0" w:color="auto"/>
        <w:left w:val="none" w:sz="0" w:space="0" w:color="auto"/>
        <w:bottom w:val="none" w:sz="0" w:space="0" w:color="auto"/>
        <w:right w:val="none" w:sz="0" w:space="0" w:color="auto"/>
      </w:divBdr>
    </w:div>
    <w:div w:id="2124223441">
      <w:bodyDiv w:val="1"/>
      <w:marLeft w:val="0"/>
      <w:marRight w:val="0"/>
      <w:marTop w:val="0"/>
      <w:marBottom w:val="0"/>
      <w:divBdr>
        <w:top w:val="none" w:sz="0" w:space="0" w:color="auto"/>
        <w:left w:val="none" w:sz="0" w:space="0" w:color="auto"/>
        <w:bottom w:val="none" w:sz="0" w:space="0" w:color="auto"/>
        <w:right w:val="none" w:sz="0" w:space="0" w:color="auto"/>
      </w:divBdr>
    </w:div>
    <w:div w:id="2124644229">
      <w:bodyDiv w:val="1"/>
      <w:marLeft w:val="0"/>
      <w:marRight w:val="0"/>
      <w:marTop w:val="0"/>
      <w:marBottom w:val="0"/>
      <w:divBdr>
        <w:top w:val="none" w:sz="0" w:space="0" w:color="auto"/>
        <w:left w:val="none" w:sz="0" w:space="0" w:color="auto"/>
        <w:bottom w:val="none" w:sz="0" w:space="0" w:color="auto"/>
        <w:right w:val="none" w:sz="0" w:space="0" w:color="auto"/>
      </w:divBdr>
    </w:div>
    <w:div w:id="2124763682">
      <w:bodyDiv w:val="1"/>
      <w:marLeft w:val="0"/>
      <w:marRight w:val="0"/>
      <w:marTop w:val="0"/>
      <w:marBottom w:val="0"/>
      <w:divBdr>
        <w:top w:val="none" w:sz="0" w:space="0" w:color="auto"/>
        <w:left w:val="none" w:sz="0" w:space="0" w:color="auto"/>
        <w:bottom w:val="none" w:sz="0" w:space="0" w:color="auto"/>
        <w:right w:val="none" w:sz="0" w:space="0" w:color="auto"/>
      </w:divBdr>
    </w:div>
    <w:div w:id="2125226092">
      <w:bodyDiv w:val="1"/>
      <w:marLeft w:val="0"/>
      <w:marRight w:val="0"/>
      <w:marTop w:val="0"/>
      <w:marBottom w:val="0"/>
      <w:divBdr>
        <w:top w:val="none" w:sz="0" w:space="0" w:color="auto"/>
        <w:left w:val="none" w:sz="0" w:space="0" w:color="auto"/>
        <w:bottom w:val="none" w:sz="0" w:space="0" w:color="auto"/>
        <w:right w:val="none" w:sz="0" w:space="0" w:color="auto"/>
      </w:divBdr>
    </w:div>
    <w:div w:id="2125341383">
      <w:bodyDiv w:val="1"/>
      <w:marLeft w:val="0"/>
      <w:marRight w:val="0"/>
      <w:marTop w:val="0"/>
      <w:marBottom w:val="0"/>
      <w:divBdr>
        <w:top w:val="none" w:sz="0" w:space="0" w:color="auto"/>
        <w:left w:val="none" w:sz="0" w:space="0" w:color="auto"/>
        <w:bottom w:val="none" w:sz="0" w:space="0" w:color="auto"/>
        <w:right w:val="none" w:sz="0" w:space="0" w:color="auto"/>
      </w:divBdr>
    </w:div>
    <w:div w:id="2125609720">
      <w:bodyDiv w:val="1"/>
      <w:marLeft w:val="0"/>
      <w:marRight w:val="0"/>
      <w:marTop w:val="0"/>
      <w:marBottom w:val="0"/>
      <w:divBdr>
        <w:top w:val="none" w:sz="0" w:space="0" w:color="auto"/>
        <w:left w:val="none" w:sz="0" w:space="0" w:color="auto"/>
        <w:bottom w:val="none" w:sz="0" w:space="0" w:color="auto"/>
        <w:right w:val="none" w:sz="0" w:space="0" w:color="auto"/>
      </w:divBdr>
    </w:div>
    <w:div w:id="2126658404">
      <w:bodyDiv w:val="1"/>
      <w:marLeft w:val="0"/>
      <w:marRight w:val="0"/>
      <w:marTop w:val="0"/>
      <w:marBottom w:val="0"/>
      <w:divBdr>
        <w:top w:val="none" w:sz="0" w:space="0" w:color="auto"/>
        <w:left w:val="none" w:sz="0" w:space="0" w:color="auto"/>
        <w:bottom w:val="none" w:sz="0" w:space="0" w:color="auto"/>
        <w:right w:val="none" w:sz="0" w:space="0" w:color="auto"/>
      </w:divBdr>
    </w:div>
    <w:div w:id="2128430619">
      <w:bodyDiv w:val="1"/>
      <w:marLeft w:val="0"/>
      <w:marRight w:val="0"/>
      <w:marTop w:val="0"/>
      <w:marBottom w:val="0"/>
      <w:divBdr>
        <w:top w:val="none" w:sz="0" w:space="0" w:color="auto"/>
        <w:left w:val="none" w:sz="0" w:space="0" w:color="auto"/>
        <w:bottom w:val="none" w:sz="0" w:space="0" w:color="auto"/>
        <w:right w:val="none" w:sz="0" w:space="0" w:color="auto"/>
      </w:divBdr>
    </w:div>
    <w:div w:id="2128967703">
      <w:bodyDiv w:val="1"/>
      <w:marLeft w:val="0"/>
      <w:marRight w:val="0"/>
      <w:marTop w:val="0"/>
      <w:marBottom w:val="0"/>
      <w:divBdr>
        <w:top w:val="none" w:sz="0" w:space="0" w:color="auto"/>
        <w:left w:val="none" w:sz="0" w:space="0" w:color="auto"/>
        <w:bottom w:val="none" w:sz="0" w:space="0" w:color="auto"/>
        <w:right w:val="none" w:sz="0" w:space="0" w:color="auto"/>
      </w:divBdr>
    </w:div>
    <w:div w:id="2129658936">
      <w:bodyDiv w:val="1"/>
      <w:marLeft w:val="0"/>
      <w:marRight w:val="0"/>
      <w:marTop w:val="0"/>
      <w:marBottom w:val="0"/>
      <w:divBdr>
        <w:top w:val="none" w:sz="0" w:space="0" w:color="auto"/>
        <w:left w:val="none" w:sz="0" w:space="0" w:color="auto"/>
        <w:bottom w:val="none" w:sz="0" w:space="0" w:color="auto"/>
        <w:right w:val="none" w:sz="0" w:space="0" w:color="auto"/>
      </w:divBdr>
    </w:div>
    <w:div w:id="2130201272">
      <w:bodyDiv w:val="1"/>
      <w:marLeft w:val="0"/>
      <w:marRight w:val="0"/>
      <w:marTop w:val="0"/>
      <w:marBottom w:val="0"/>
      <w:divBdr>
        <w:top w:val="none" w:sz="0" w:space="0" w:color="auto"/>
        <w:left w:val="none" w:sz="0" w:space="0" w:color="auto"/>
        <w:bottom w:val="none" w:sz="0" w:space="0" w:color="auto"/>
        <w:right w:val="none" w:sz="0" w:space="0" w:color="auto"/>
      </w:divBdr>
    </w:div>
    <w:div w:id="2130203117">
      <w:bodyDiv w:val="1"/>
      <w:marLeft w:val="0"/>
      <w:marRight w:val="0"/>
      <w:marTop w:val="0"/>
      <w:marBottom w:val="0"/>
      <w:divBdr>
        <w:top w:val="none" w:sz="0" w:space="0" w:color="auto"/>
        <w:left w:val="none" w:sz="0" w:space="0" w:color="auto"/>
        <w:bottom w:val="none" w:sz="0" w:space="0" w:color="auto"/>
        <w:right w:val="none" w:sz="0" w:space="0" w:color="auto"/>
      </w:divBdr>
    </w:div>
    <w:div w:id="2130316483">
      <w:bodyDiv w:val="1"/>
      <w:marLeft w:val="0"/>
      <w:marRight w:val="0"/>
      <w:marTop w:val="0"/>
      <w:marBottom w:val="0"/>
      <w:divBdr>
        <w:top w:val="none" w:sz="0" w:space="0" w:color="auto"/>
        <w:left w:val="none" w:sz="0" w:space="0" w:color="auto"/>
        <w:bottom w:val="none" w:sz="0" w:space="0" w:color="auto"/>
        <w:right w:val="none" w:sz="0" w:space="0" w:color="auto"/>
      </w:divBdr>
    </w:div>
    <w:div w:id="2131505343">
      <w:bodyDiv w:val="1"/>
      <w:marLeft w:val="0"/>
      <w:marRight w:val="0"/>
      <w:marTop w:val="0"/>
      <w:marBottom w:val="0"/>
      <w:divBdr>
        <w:top w:val="none" w:sz="0" w:space="0" w:color="auto"/>
        <w:left w:val="none" w:sz="0" w:space="0" w:color="auto"/>
        <w:bottom w:val="none" w:sz="0" w:space="0" w:color="auto"/>
        <w:right w:val="none" w:sz="0" w:space="0" w:color="auto"/>
      </w:divBdr>
    </w:div>
    <w:div w:id="2132042782">
      <w:bodyDiv w:val="1"/>
      <w:marLeft w:val="0"/>
      <w:marRight w:val="0"/>
      <w:marTop w:val="0"/>
      <w:marBottom w:val="0"/>
      <w:divBdr>
        <w:top w:val="none" w:sz="0" w:space="0" w:color="auto"/>
        <w:left w:val="none" w:sz="0" w:space="0" w:color="auto"/>
        <w:bottom w:val="none" w:sz="0" w:space="0" w:color="auto"/>
        <w:right w:val="none" w:sz="0" w:space="0" w:color="auto"/>
      </w:divBdr>
    </w:div>
    <w:div w:id="2133745793">
      <w:bodyDiv w:val="1"/>
      <w:marLeft w:val="0"/>
      <w:marRight w:val="0"/>
      <w:marTop w:val="0"/>
      <w:marBottom w:val="0"/>
      <w:divBdr>
        <w:top w:val="none" w:sz="0" w:space="0" w:color="auto"/>
        <w:left w:val="none" w:sz="0" w:space="0" w:color="auto"/>
        <w:bottom w:val="none" w:sz="0" w:space="0" w:color="auto"/>
        <w:right w:val="none" w:sz="0" w:space="0" w:color="auto"/>
      </w:divBdr>
    </w:div>
    <w:div w:id="2133790859">
      <w:bodyDiv w:val="1"/>
      <w:marLeft w:val="0"/>
      <w:marRight w:val="0"/>
      <w:marTop w:val="0"/>
      <w:marBottom w:val="0"/>
      <w:divBdr>
        <w:top w:val="none" w:sz="0" w:space="0" w:color="auto"/>
        <w:left w:val="none" w:sz="0" w:space="0" w:color="auto"/>
        <w:bottom w:val="none" w:sz="0" w:space="0" w:color="auto"/>
        <w:right w:val="none" w:sz="0" w:space="0" w:color="auto"/>
      </w:divBdr>
    </w:div>
    <w:div w:id="2133933108">
      <w:bodyDiv w:val="1"/>
      <w:marLeft w:val="0"/>
      <w:marRight w:val="0"/>
      <w:marTop w:val="0"/>
      <w:marBottom w:val="0"/>
      <w:divBdr>
        <w:top w:val="none" w:sz="0" w:space="0" w:color="auto"/>
        <w:left w:val="none" w:sz="0" w:space="0" w:color="auto"/>
        <w:bottom w:val="none" w:sz="0" w:space="0" w:color="auto"/>
        <w:right w:val="none" w:sz="0" w:space="0" w:color="auto"/>
      </w:divBdr>
    </w:div>
    <w:div w:id="2134203821">
      <w:bodyDiv w:val="1"/>
      <w:marLeft w:val="0"/>
      <w:marRight w:val="0"/>
      <w:marTop w:val="0"/>
      <w:marBottom w:val="0"/>
      <w:divBdr>
        <w:top w:val="none" w:sz="0" w:space="0" w:color="auto"/>
        <w:left w:val="none" w:sz="0" w:space="0" w:color="auto"/>
        <w:bottom w:val="none" w:sz="0" w:space="0" w:color="auto"/>
        <w:right w:val="none" w:sz="0" w:space="0" w:color="auto"/>
      </w:divBdr>
      <w:divsChild>
        <w:div w:id="1189836855">
          <w:marLeft w:val="0"/>
          <w:marRight w:val="0"/>
          <w:marTop w:val="0"/>
          <w:marBottom w:val="0"/>
          <w:divBdr>
            <w:top w:val="none" w:sz="0" w:space="0" w:color="auto"/>
            <w:left w:val="none" w:sz="0" w:space="0" w:color="auto"/>
            <w:bottom w:val="none" w:sz="0" w:space="0" w:color="auto"/>
            <w:right w:val="none" w:sz="0" w:space="0" w:color="auto"/>
          </w:divBdr>
          <w:divsChild>
            <w:div w:id="171915683">
              <w:marLeft w:val="0"/>
              <w:marRight w:val="0"/>
              <w:marTop w:val="0"/>
              <w:marBottom w:val="167"/>
              <w:divBdr>
                <w:top w:val="none" w:sz="0" w:space="0" w:color="auto"/>
                <w:left w:val="none" w:sz="0" w:space="0" w:color="auto"/>
                <w:bottom w:val="none" w:sz="0" w:space="0" w:color="auto"/>
                <w:right w:val="none" w:sz="0" w:space="0" w:color="auto"/>
              </w:divBdr>
              <w:divsChild>
                <w:div w:id="1427648155">
                  <w:marLeft w:val="0"/>
                  <w:marRight w:val="167"/>
                  <w:marTop w:val="0"/>
                  <w:marBottom w:val="0"/>
                  <w:divBdr>
                    <w:top w:val="none" w:sz="0" w:space="0" w:color="auto"/>
                    <w:left w:val="none" w:sz="0" w:space="0" w:color="auto"/>
                    <w:bottom w:val="none" w:sz="0" w:space="0" w:color="auto"/>
                    <w:right w:val="none" w:sz="0" w:space="0" w:color="auto"/>
                  </w:divBdr>
                </w:div>
                <w:div w:id="2088112828">
                  <w:marLeft w:val="0"/>
                  <w:marRight w:val="167"/>
                  <w:marTop w:val="0"/>
                  <w:marBottom w:val="0"/>
                  <w:divBdr>
                    <w:top w:val="none" w:sz="0" w:space="0" w:color="auto"/>
                    <w:left w:val="none" w:sz="0" w:space="0" w:color="auto"/>
                    <w:bottom w:val="none" w:sz="0" w:space="0" w:color="auto"/>
                    <w:right w:val="none" w:sz="0" w:space="0" w:color="auto"/>
                  </w:divBdr>
                </w:div>
              </w:divsChild>
            </w:div>
            <w:div w:id="2109427869">
              <w:marLeft w:val="0"/>
              <w:marRight w:val="167"/>
              <w:marTop w:val="0"/>
              <w:marBottom w:val="0"/>
              <w:divBdr>
                <w:top w:val="none" w:sz="0" w:space="0" w:color="auto"/>
                <w:left w:val="none" w:sz="0" w:space="0" w:color="auto"/>
                <w:bottom w:val="none" w:sz="0" w:space="0" w:color="auto"/>
                <w:right w:val="none" w:sz="0" w:space="0" w:color="auto"/>
              </w:divBdr>
              <w:divsChild>
                <w:div w:id="535699028">
                  <w:marLeft w:val="0"/>
                  <w:marRight w:val="0"/>
                  <w:marTop w:val="0"/>
                  <w:marBottom w:val="0"/>
                  <w:divBdr>
                    <w:top w:val="none" w:sz="0" w:space="0" w:color="auto"/>
                    <w:left w:val="none" w:sz="0" w:space="0" w:color="auto"/>
                    <w:bottom w:val="none" w:sz="0" w:space="0" w:color="auto"/>
                    <w:right w:val="none" w:sz="0" w:space="0" w:color="auto"/>
                  </w:divBdr>
                </w:div>
                <w:div w:id="1021666183">
                  <w:marLeft w:val="0"/>
                  <w:marRight w:val="0"/>
                  <w:marTop w:val="0"/>
                  <w:marBottom w:val="385"/>
                  <w:divBdr>
                    <w:top w:val="none" w:sz="0" w:space="0" w:color="auto"/>
                    <w:left w:val="none" w:sz="0" w:space="0" w:color="auto"/>
                    <w:bottom w:val="none" w:sz="0" w:space="0" w:color="auto"/>
                    <w:right w:val="none" w:sz="0" w:space="0" w:color="auto"/>
                  </w:divBdr>
                  <w:divsChild>
                    <w:div w:id="33698934">
                      <w:marLeft w:val="0"/>
                      <w:marRight w:val="0"/>
                      <w:marTop w:val="0"/>
                      <w:marBottom w:val="0"/>
                      <w:divBdr>
                        <w:top w:val="none" w:sz="0" w:space="0" w:color="auto"/>
                        <w:left w:val="none" w:sz="0" w:space="0" w:color="auto"/>
                        <w:bottom w:val="none" w:sz="0" w:space="0" w:color="auto"/>
                        <w:right w:val="single" w:sz="6" w:space="0" w:color="D6D6D6"/>
                      </w:divBdr>
                      <w:divsChild>
                        <w:div w:id="1860658757">
                          <w:marLeft w:val="0"/>
                          <w:marRight w:val="0"/>
                          <w:marTop w:val="0"/>
                          <w:marBottom w:val="0"/>
                          <w:divBdr>
                            <w:top w:val="none" w:sz="0" w:space="0" w:color="auto"/>
                            <w:left w:val="none" w:sz="0" w:space="0" w:color="auto"/>
                            <w:bottom w:val="none" w:sz="0" w:space="0" w:color="auto"/>
                            <w:right w:val="none" w:sz="0" w:space="0" w:color="auto"/>
                          </w:divBdr>
                        </w:div>
                      </w:divsChild>
                    </w:div>
                    <w:div w:id="803087312">
                      <w:marLeft w:val="0"/>
                      <w:marRight w:val="0"/>
                      <w:marTop w:val="0"/>
                      <w:marBottom w:val="0"/>
                      <w:divBdr>
                        <w:top w:val="none" w:sz="0" w:space="0" w:color="auto"/>
                        <w:left w:val="none" w:sz="0" w:space="0" w:color="auto"/>
                        <w:bottom w:val="none" w:sz="0" w:space="0" w:color="auto"/>
                        <w:right w:val="none" w:sz="0" w:space="0" w:color="auto"/>
                      </w:divBdr>
                    </w:div>
                  </w:divsChild>
                </w:div>
                <w:div w:id="1710884508">
                  <w:marLeft w:val="0"/>
                  <w:marRight w:val="0"/>
                  <w:marTop w:val="0"/>
                  <w:marBottom w:val="0"/>
                  <w:divBdr>
                    <w:top w:val="none" w:sz="0" w:space="0" w:color="auto"/>
                    <w:left w:val="none" w:sz="0" w:space="0" w:color="auto"/>
                    <w:bottom w:val="none" w:sz="0" w:space="0" w:color="auto"/>
                    <w:right w:val="none" w:sz="0" w:space="0" w:color="auto"/>
                  </w:divBdr>
                  <w:divsChild>
                    <w:div w:id="735669505">
                      <w:marLeft w:val="0"/>
                      <w:marRight w:val="0"/>
                      <w:marTop w:val="0"/>
                      <w:marBottom w:val="0"/>
                      <w:divBdr>
                        <w:top w:val="single" w:sz="36" w:space="0" w:color="E4E1DA"/>
                        <w:left w:val="none" w:sz="0" w:space="0" w:color="auto"/>
                        <w:bottom w:val="single" w:sz="6" w:space="0" w:color="D0CBC8"/>
                        <w:right w:val="none" w:sz="0" w:space="0" w:color="auto"/>
                      </w:divBdr>
                      <w:divsChild>
                        <w:div w:id="131868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48510">
          <w:marLeft w:val="0"/>
          <w:marRight w:val="0"/>
          <w:marTop w:val="385"/>
          <w:marBottom w:val="251"/>
          <w:divBdr>
            <w:top w:val="none" w:sz="0" w:space="0" w:color="auto"/>
            <w:left w:val="none" w:sz="0" w:space="0" w:color="auto"/>
            <w:bottom w:val="none" w:sz="0" w:space="0" w:color="auto"/>
            <w:right w:val="none" w:sz="0" w:space="0" w:color="auto"/>
          </w:divBdr>
          <w:divsChild>
            <w:div w:id="148714278">
              <w:marLeft w:val="0"/>
              <w:marRight w:val="167"/>
              <w:marTop w:val="0"/>
              <w:marBottom w:val="0"/>
              <w:divBdr>
                <w:top w:val="none" w:sz="0" w:space="0" w:color="auto"/>
                <w:left w:val="none" w:sz="0" w:space="0" w:color="auto"/>
                <w:bottom w:val="none" w:sz="0" w:space="0" w:color="auto"/>
                <w:right w:val="none" w:sz="0" w:space="0" w:color="auto"/>
              </w:divBdr>
              <w:divsChild>
                <w:div w:id="48723670">
                  <w:marLeft w:val="0"/>
                  <w:marRight w:val="0"/>
                  <w:marTop w:val="0"/>
                  <w:marBottom w:val="167"/>
                  <w:divBdr>
                    <w:top w:val="single" w:sz="6" w:space="8" w:color="DDD9D2"/>
                    <w:left w:val="single" w:sz="6" w:space="8" w:color="DDD9D2"/>
                    <w:bottom w:val="single" w:sz="6" w:space="8" w:color="DDD9D2"/>
                    <w:right w:val="single" w:sz="6" w:space="8" w:color="DDD9D2"/>
                  </w:divBdr>
                </w:div>
              </w:divsChild>
            </w:div>
            <w:div w:id="546455797">
              <w:marLeft w:val="0"/>
              <w:marRight w:val="167"/>
              <w:marTop w:val="0"/>
              <w:marBottom w:val="0"/>
              <w:divBdr>
                <w:top w:val="none" w:sz="0" w:space="0" w:color="auto"/>
                <w:left w:val="none" w:sz="0" w:space="0" w:color="auto"/>
                <w:bottom w:val="none" w:sz="0" w:space="0" w:color="auto"/>
                <w:right w:val="none" w:sz="0" w:space="0" w:color="auto"/>
              </w:divBdr>
            </w:div>
          </w:divsChild>
        </w:div>
      </w:divsChild>
    </w:div>
    <w:div w:id="2134669464">
      <w:bodyDiv w:val="1"/>
      <w:marLeft w:val="0"/>
      <w:marRight w:val="0"/>
      <w:marTop w:val="0"/>
      <w:marBottom w:val="0"/>
      <w:divBdr>
        <w:top w:val="none" w:sz="0" w:space="0" w:color="auto"/>
        <w:left w:val="none" w:sz="0" w:space="0" w:color="auto"/>
        <w:bottom w:val="none" w:sz="0" w:space="0" w:color="auto"/>
        <w:right w:val="none" w:sz="0" w:space="0" w:color="auto"/>
      </w:divBdr>
    </w:div>
    <w:div w:id="2135560061">
      <w:bodyDiv w:val="1"/>
      <w:marLeft w:val="0"/>
      <w:marRight w:val="0"/>
      <w:marTop w:val="0"/>
      <w:marBottom w:val="0"/>
      <w:divBdr>
        <w:top w:val="none" w:sz="0" w:space="0" w:color="auto"/>
        <w:left w:val="none" w:sz="0" w:space="0" w:color="auto"/>
        <w:bottom w:val="none" w:sz="0" w:space="0" w:color="auto"/>
        <w:right w:val="none" w:sz="0" w:space="0" w:color="auto"/>
      </w:divBdr>
    </w:div>
    <w:div w:id="2136408821">
      <w:bodyDiv w:val="1"/>
      <w:marLeft w:val="0"/>
      <w:marRight w:val="0"/>
      <w:marTop w:val="0"/>
      <w:marBottom w:val="0"/>
      <w:divBdr>
        <w:top w:val="none" w:sz="0" w:space="0" w:color="auto"/>
        <w:left w:val="none" w:sz="0" w:space="0" w:color="auto"/>
        <w:bottom w:val="none" w:sz="0" w:space="0" w:color="auto"/>
        <w:right w:val="none" w:sz="0" w:space="0" w:color="auto"/>
      </w:divBdr>
    </w:div>
    <w:div w:id="2137868552">
      <w:bodyDiv w:val="1"/>
      <w:marLeft w:val="0"/>
      <w:marRight w:val="0"/>
      <w:marTop w:val="0"/>
      <w:marBottom w:val="0"/>
      <w:divBdr>
        <w:top w:val="none" w:sz="0" w:space="0" w:color="auto"/>
        <w:left w:val="none" w:sz="0" w:space="0" w:color="auto"/>
        <w:bottom w:val="none" w:sz="0" w:space="0" w:color="auto"/>
        <w:right w:val="none" w:sz="0" w:space="0" w:color="auto"/>
      </w:divBdr>
    </w:div>
    <w:div w:id="2137871134">
      <w:bodyDiv w:val="1"/>
      <w:marLeft w:val="0"/>
      <w:marRight w:val="0"/>
      <w:marTop w:val="0"/>
      <w:marBottom w:val="0"/>
      <w:divBdr>
        <w:top w:val="none" w:sz="0" w:space="0" w:color="auto"/>
        <w:left w:val="none" w:sz="0" w:space="0" w:color="auto"/>
        <w:bottom w:val="none" w:sz="0" w:space="0" w:color="auto"/>
        <w:right w:val="none" w:sz="0" w:space="0" w:color="auto"/>
      </w:divBdr>
    </w:div>
    <w:div w:id="2138521439">
      <w:bodyDiv w:val="1"/>
      <w:marLeft w:val="0"/>
      <w:marRight w:val="0"/>
      <w:marTop w:val="0"/>
      <w:marBottom w:val="0"/>
      <w:divBdr>
        <w:top w:val="none" w:sz="0" w:space="0" w:color="auto"/>
        <w:left w:val="none" w:sz="0" w:space="0" w:color="auto"/>
        <w:bottom w:val="none" w:sz="0" w:space="0" w:color="auto"/>
        <w:right w:val="none" w:sz="0" w:space="0" w:color="auto"/>
      </w:divBdr>
    </w:div>
    <w:div w:id="2139104652">
      <w:bodyDiv w:val="1"/>
      <w:marLeft w:val="0"/>
      <w:marRight w:val="0"/>
      <w:marTop w:val="0"/>
      <w:marBottom w:val="0"/>
      <w:divBdr>
        <w:top w:val="none" w:sz="0" w:space="0" w:color="auto"/>
        <w:left w:val="none" w:sz="0" w:space="0" w:color="auto"/>
        <w:bottom w:val="none" w:sz="0" w:space="0" w:color="auto"/>
        <w:right w:val="none" w:sz="0" w:space="0" w:color="auto"/>
      </w:divBdr>
    </w:div>
    <w:div w:id="2139492891">
      <w:bodyDiv w:val="1"/>
      <w:marLeft w:val="0"/>
      <w:marRight w:val="0"/>
      <w:marTop w:val="0"/>
      <w:marBottom w:val="0"/>
      <w:divBdr>
        <w:top w:val="none" w:sz="0" w:space="0" w:color="auto"/>
        <w:left w:val="none" w:sz="0" w:space="0" w:color="auto"/>
        <w:bottom w:val="none" w:sz="0" w:space="0" w:color="auto"/>
        <w:right w:val="none" w:sz="0" w:space="0" w:color="auto"/>
      </w:divBdr>
    </w:div>
    <w:div w:id="2140879612">
      <w:bodyDiv w:val="1"/>
      <w:marLeft w:val="0"/>
      <w:marRight w:val="0"/>
      <w:marTop w:val="0"/>
      <w:marBottom w:val="0"/>
      <w:divBdr>
        <w:top w:val="none" w:sz="0" w:space="0" w:color="auto"/>
        <w:left w:val="none" w:sz="0" w:space="0" w:color="auto"/>
        <w:bottom w:val="none" w:sz="0" w:space="0" w:color="auto"/>
        <w:right w:val="none" w:sz="0" w:space="0" w:color="auto"/>
      </w:divBdr>
    </w:div>
    <w:div w:id="2141218975">
      <w:bodyDiv w:val="1"/>
      <w:marLeft w:val="0"/>
      <w:marRight w:val="0"/>
      <w:marTop w:val="0"/>
      <w:marBottom w:val="0"/>
      <w:divBdr>
        <w:top w:val="none" w:sz="0" w:space="0" w:color="auto"/>
        <w:left w:val="none" w:sz="0" w:space="0" w:color="auto"/>
        <w:bottom w:val="none" w:sz="0" w:space="0" w:color="auto"/>
        <w:right w:val="none" w:sz="0" w:space="0" w:color="auto"/>
      </w:divBdr>
    </w:div>
    <w:div w:id="2141486216">
      <w:bodyDiv w:val="1"/>
      <w:marLeft w:val="0"/>
      <w:marRight w:val="0"/>
      <w:marTop w:val="0"/>
      <w:marBottom w:val="0"/>
      <w:divBdr>
        <w:top w:val="none" w:sz="0" w:space="0" w:color="auto"/>
        <w:left w:val="none" w:sz="0" w:space="0" w:color="auto"/>
        <w:bottom w:val="none" w:sz="0" w:space="0" w:color="auto"/>
        <w:right w:val="none" w:sz="0" w:space="0" w:color="auto"/>
      </w:divBdr>
    </w:div>
    <w:div w:id="2142187414">
      <w:bodyDiv w:val="1"/>
      <w:marLeft w:val="0"/>
      <w:marRight w:val="0"/>
      <w:marTop w:val="0"/>
      <w:marBottom w:val="0"/>
      <w:divBdr>
        <w:top w:val="none" w:sz="0" w:space="0" w:color="auto"/>
        <w:left w:val="none" w:sz="0" w:space="0" w:color="auto"/>
        <w:bottom w:val="none" w:sz="0" w:space="0" w:color="auto"/>
        <w:right w:val="none" w:sz="0" w:space="0" w:color="auto"/>
      </w:divBdr>
    </w:div>
    <w:div w:id="2143494497">
      <w:bodyDiv w:val="1"/>
      <w:marLeft w:val="0"/>
      <w:marRight w:val="0"/>
      <w:marTop w:val="0"/>
      <w:marBottom w:val="0"/>
      <w:divBdr>
        <w:top w:val="none" w:sz="0" w:space="0" w:color="auto"/>
        <w:left w:val="none" w:sz="0" w:space="0" w:color="auto"/>
        <w:bottom w:val="none" w:sz="0" w:space="0" w:color="auto"/>
        <w:right w:val="none" w:sz="0" w:space="0" w:color="auto"/>
      </w:divBdr>
    </w:div>
    <w:div w:id="2144274058">
      <w:bodyDiv w:val="1"/>
      <w:marLeft w:val="0"/>
      <w:marRight w:val="0"/>
      <w:marTop w:val="0"/>
      <w:marBottom w:val="0"/>
      <w:divBdr>
        <w:top w:val="none" w:sz="0" w:space="0" w:color="auto"/>
        <w:left w:val="none" w:sz="0" w:space="0" w:color="auto"/>
        <w:bottom w:val="none" w:sz="0" w:space="0" w:color="auto"/>
        <w:right w:val="none" w:sz="0" w:space="0" w:color="auto"/>
      </w:divBdr>
    </w:div>
    <w:div w:id="2144342592">
      <w:bodyDiv w:val="1"/>
      <w:marLeft w:val="0"/>
      <w:marRight w:val="0"/>
      <w:marTop w:val="0"/>
      <w:marBottom w:val="0"/>
      <w:divBdr>
        <w:top w:val="none" w:sz="0" w:space="0" w:color="auto"/>
        <w:left w:val="none" w:sz="0" w:space="0" w:color="auto"/>
        <w:bottom w:val="none" w:sz="0" w:space="0" w:color="auto"/>
        <w:right w:val="none" w:sz="0" w:space="0" w:color="auto"/>
      </w:divBdr>
    </w:div>
    <w:div w:id="2144885862">
      <w:bodyDiv w:val="1"/>
      <w:marLeft w:val="0"/>
      <w:marRight w:val="0"/>
      <w:marTop w:val="0"/>
      <w:marBottom w:val="0"/>
      <w:divBdr>
        <w:top w:val="none" w:sz="0" w:space="0" w:color="auto"/>
        <w:left w:val="none" w:sz="0" w:space="0" w:color="auto"/>
        <w:bottom w:val="none" w:sz="0" w:space="0" w:color="auto"/>
        <w:right w:val="none" w:sz="0" w:space="0" w:color="auto"/>
      </w:divBdr>
    </w:div>
    <w:div w:id="2145149328">
      <w:bodyDiv w:val="1"/>
      <w:marLeft w:val="0"/>
      <w:marRight w:val="0"/>
      <w:marTop w:val="0"/>
      <w:marBottom w:val="0"/>
      <w:divBdr>
        <w:top w:val="none" w:sz="0" w:space="0" w:color="auto"/>
        <w:left w:val="none" w:sz="0" w:space="0" w:color="auto"/>
        <w:bottom w:val="none" w:sz="0" w:space="0" w:color="auto"/>
        <w:right w:val="none" w:sz="0" w:space="0" w:color="auto"/>
      </w:divBdr>
    </w:div>
    <w:div w:id="2145349051">
      <w:bodyDiv w:val="1"/>
      <w:marLeft w:val="0"/>
      <w:marRight w:val="0"/>
      <w:marTop w:val="0"/>
      <w:marBottom w:val="0"/>
      <w:divBdr>
        <w:top w:val="none" w:sz="0" w:space="0" w:color="auto"/>
        <w:left w:val="none" w:sz="0" w:space="0" w:color="auto"/>
        <w:bottom w:val="none" w:sz="0" w:space="0" w:color="auto"/>
        <w:right w:val="none" w:sz="0" w:space="0" w:color="auto"/>
      </w:divBdr>
    </w:div>
    <w:div w:id="2146851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fondazionestuditributari.com"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9855C5-1B3C-4D7B-B714-D1450480BC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9964</TotalTime>
  <Pages>510</Pages>
  <Words>116775</Words>
  <Characters>697153</Characters>
  <Application>Microsoft Office Word</Application>
  <DocSecurity>0</DocSecurity>
  <Lines>8606</Lines>
  <Paragraphs>2325</Paragraphs>
  <ScaleCrop>false</ScaleCrop>
  <HeadingPairs>
    <vt:vector size="2" baseType="variant">
      <vt:variant>
        <vt:lpstr>Titolo</vt:lpstr>
      </vt:variant>
      <vt:variant>
        <vt:i4>1</vt:i4>
      </vt:variant>
    </vt:vector>
  </HeadingPairs>
  <TitlesOfParts>
    <vt:vector size="1" baseType="lpstr">
      <vt:lpstr>INDICE</vt:lpstr>
    </vt:vector>
  </TitlesOfParts>
  <Company/>
  <LinksUpToDate>false</LinksUpToDate>
  <CharactersWithSpaces>811603</CharactersWithSpaces>
  <SharedDoc>false</SharedDoc>
  <HLinks>
    <vt:vector size="948" baseType="variant">
      <vt:variant>
        <vt:i4>5111898</vt:i4>
      </vt:variant>
      <vt:variant>
        <vt:i4>825</vt:i4>
      </vt:variant>
      <vt:variant>
        <vt:i4>0</vt:i4>
      </vt:variant>
      <vt:variant>
        <vt:i4>5</vt:i4>
      </vt:variant>
      <vt:variant>
        <vt:lpwstr>https://www.dropbox.com/s/ipf8uxw5gclextc/LUPI Societ%2B%C3%A1%2C Diritto e Tributi.pdf?dl=0</vt:lpwstr>
      </vt:variant>
      <vt:variant>
        <vt:lpwstr/>
      </vt:variant>
      <vt:variant>
        <vt:i4>8126584</vt:i4>
      </vt:variant>
      <vt:variant>
        <vt:i4>822</vt:i4>
      </vt:variant>
      <vt:variant>
        <vt:i4>0</vt:i4>
      </vt:variant>
      <vt:variant>
        <vt:i4>5</vt:i4>
      </vt:variant>
      <vt:variant>
        <vt:lpwstr>https://www.dropbox.com/s/o6ar8y8vbeglbls/Compendio Scienza Finanze 2014 %28def%29.pdf?dl=0</vt:lpwstr>
      </vt:variant>
      <vt:variant>
        <vt:lpwstr/>
      </vt:variant>
      <vt:variant>
        <vt:i4>3080303</vt:i4>
      </vt:variant>
      <vt:variant>
        <vt:i4>819</vt:i4>
      </vt:variant>
      <vt:variant>
        <vt:i4>0</vt:i4>
      </vt:variant>
      <vt:variant>
        <vt:i4>5</vt:i4>
      </vt:variant>
      <vt:variant>
        <vt:lpwstr>https://www.dropbox.com/s/17nlcqms60rakor/LUPI manuale giuridico di scienza delle finanze-integrale.3-344.pdf?dl=0</vt:lpwstr>
      </vt:variant>
      <vt:variant>
        <vt:lpwstr/>
      </vt:variant>
      <vt:variant>
        <vt:i4>7340084</vt:i4>
      </vt:variant>
      <vt:variant>
        <vt:i4>816</vt:i4>
      </vt:variant>
      <vt:variant>
        <vt:i4>0</vt:i4>
      </vt:variant>
      <vt:variant>
        <vt:i4>5</vt:i4>
      </vt:variant>
      <vt:variant>
        <vt:lpwstr>http://didattica.uniroma2.it/files/scarica/insegnamento/154806-Diritto-Tributario/26494-Diritto-tributario-amministrativo-dei-tributi-al-2-gennaio-integrato-quasi-giornalmente-i-file-delle-lezioni-invece-sono-httpswww.dropbox.comshe194bhyx3py0g90AAD1FuXAaKe0JX0B1CjO4bOhadl0</vt:lpwstr>
      </vt:variant>
      <vt:variant>
        <vt:lpwstr/>
      </vt:variant>
      <vt:variant>
        <vt:i4>6750308</vt:i4>
      </vt:variant>
      <vt:variant>
        <vt:i4>813</vt:i4>
      </vt:variant>
      <vt:variant>
        <vt:i4>0</vt:i4>
      </vt:variant>
      <vt:variant>
        <vt:i4>5</vt:i4>
      </vt:variant>
      <vt:variant>
        <vt:lpwstr>http://didattica.uniroma2.it/files/index/insegnamento/154806-Diritto-Tributario</vt:lpwstr>
      </vt:variant>
      <vt:variant>
        <vt:lpwstr/>
      </vt:variant>
      <vt:variant>
        <vt:i4>1572913</vt:i4>
      </vt:variant>
      <vt:variant>
        <vt:i4>806</vt:i4>
      </vt:variant>
      <vt:variant>
        <vt:i4>0</vt:i4>
      </vt:variant>
      <vt:variant>
        <vt:i4>5</vt:i4>
      </vt:variant>
      <vt:variant>
        <vt:lpwstr/>
      </vt:variant>
      <vt:variant>
        <vt:lpwstr>_Toc514532392</vt:lpwstr>
      </vt:variant>
      <vt:variant>
        <vt:i4>1572913</vt:i4>
      </vt:variant>
      <vt:variant>
        <vt:i4>800</vt:i4>
      </vt:variant>
      <vt:variant>
        <vt:i4>0</vt:i4>
      </vt:variant>
      <vt:variant>
        <vt:i4>5</vt:i4>
      </vt:variant>
      <vt:variant>
        <vt:lpwstr/>
      </vt:variant>
      <vt:variant>
        <vt:lpwstr>_Toc514532391</vt:lpwstr>
      </vt:variant>
      <vt:variant>
        <vt:i4>1572913</vt:i4>
      </vt:variant>
      <vt:variant>
        <vt:i4>794</vt:i4>
      </vt:variant>
      <vt:variant>
        <vt:i4>0</vt:i4>
      </vt:variant>
      <vt:variant>
        <vt:i4>5</vt:i4>
      </vt:variant>
      <vt:variant>
        <vt:lpwstr/>
      </vt:variant>
      <vt:variant>
        <vt:lpwstr>_Toc514532390</vt:lpwstr>
      </vt:variant>
      <vt:variant>
        <vt:i4>1638449</vt:i4>
      </vt:variant>
      <vt:variant>
        <vt:i4>788</vt:i4>
      </vt:variant>
      <vt:variant>
        <vt:i4>0</vt:i4>
      </vt:variant>
      <vt:variant>
        <vt:i4>5</vt:i4>
      </vt:variant>
      <vt:variant>
        <vt:lpwstr/>
      </vt:variant>
      <vt:variant>
        <vt:lpwstr>_Toc514532389</vt:lpwstr>
      </vt:variant>
      <vt:variant>
        <vt:i4>1638449</vt:i4>
      </vt:variant>
      <vt:variant>
        <vt:i4>782</vt:i4>
      </vt:variant>
      <vt:variant>
        <vt:i4>0</vt:i4>
      </vt:variant>
      <vt:variant>
        <vt:i4>5</vt:i4>
      </vt:variant>
      <vt:variant>
        <vt:lpwstr/>
      </vt:variant>
      <vt:variant>
        <vt:lpwstr>_Toc514532388</vt:lpwstr>
      </vt:variant>
      <vt:variant>
        <vt:i4>1638449</vt:i4>
      </vt:variant>
      <vt:variant>
        <vt:i4>776</vt:i4>
      </vt:variant>
      <vt:variant>
        <vt:i4>0</vt:i4>
      </vt:variant>
      <vt:variant>
        <vt:i4>5</vt:i4>
      </vt:variant>
      <vt:variant>
        <vt:lpwstr/>
      </vt:variant>
      <vt:variant>
        <vt:lpwstr>_Toc514532387</vt:lpwstr>
      </vt:variant>
      <vt:variant>
        <vt:i4>1638449</vt:i4>
      </vt:variant>
      <vt:variant>
        <vt:i4>770</vt:i4>
      </vt:variant>
      <vt:variant>
        <vt:i4>0</vt:i4>
      </vt:variant>
      <vt:variant>
        <vt:i4>5</vt:i4>
      </vt:variant>
      <vt:variant>
        <vt:lpwstr/>
      </vt:variant>
      <vt:variant>
        <vt:lpwstr>_Toc514532386</vt:lpwstr>
      </vt:variant>
      <vt:variant>
        <vt:i4>1638449</vt:i4>
      </vt:variant>
      <vt:variant>
        <vt:i4>764</vt:i4>
      </vt:variant>
      <vt:variant>
        <vt:i4>0</vt:i4>
      </vt:variant>
      <vt:variant>
        <vt:i4>5</vt:i4>
      </vt:variant>
      <vt:variant>
        <vt:lpwstr/>
      </vt:variant>
      <vt:variant>
        <vt:lpwstr>_Toc514532385</vt:lpwstr>
      </vt:variant>
      <vt:variant>
        <vt:i4>1638449</vt:i4>
      </vt:variant>
      <vt:variant>
        <vt:i4>758</vt:i4>
      </vt:variant>
      <vt:variant>
        <vt:i4>0</vt:i4>
      </vt:variant>
      <vt:variant>
        <vt:i4>5</vt:i4>
      </vt:variant>
      <vt:variant>
        <vt:lpwstr/>
      </vt:variant>
      <vt:variant>
        <vt:lpwstr>_Toc514532384</vt:lpwstr>
      </vt:variant>
      <vt:variant>
        <vt:i4>1638449</vt:i4>
      </vt:variant>
      <vt:variant>
        <vt:i4>752</vt:i4>
      </vt:variant>
      <vt:variant>
        <vt:i4>0</vt:i4>
      </vt:variant>
      <vt:variant>
        <vt:i4>5</vt:i4>
      </vt:variant>
      <vt:variant>
        <vt:lpwstr/>
      </vt:variant>
      <vt:variant>
        <vt:lpwstr>_Toc514532383</vt:lpwstr>
      </vt:variant>
      <vt:variant>
        <vt:i4>1638449</vt:i4>
      </vt:variant>
      <vt:variant>
        <vt:i4>746</vt:i4>
      </vt:variant>
      <vt:variant>
        <vt:i4>0</vt:i4>
      </vt:variant>
      <vt:variant>
        <vt:i4>5</vt:i4>
      </vt:variant>
      <vt:variant>
        <vt:lpwstr/>
      </vt:variant>
      <vt:variant>
        <vt:lpwstr>_Toc514532382</vt:lpwstr>
      </vt:variant>
      <vt:variant>
        <vt:i4>1638449</vt:i4>
      </vt:variant>
      <vt:variant>
        <vt:i4>740</vt:i4>
      </vt:variant>
      <vt:variant>
        <vt:i4>0</vt:i4>
      </vt:variant>
      <vt:variant>
        <vt:i4>5</vt:i4>
      </vt:variant>
      <vt:variant>
        <vt:lpwstr/>
      </vt:variant>
      <vt:variant>
        <vt:lpwstr>_Toc514532381</vt:lpwstr>
      </vt:variant>
      <vt:variant>
        <vt:i4>1638449</vt:i4>
      </vt:variant>
      <vt:variant>
        <vt:i4>734</vt:i4>
      </vt:variant>
      <vt:variant>
        <vt:i4>0</vt:i4>
      </vt:variant>
      <vt:variant>
        <vt:i4>5</vt:i4>
      </vt:variant>
      <vt:variant>
        <vt:lpwstr/>
      </vt:variant>
      <vt:variant>
        <vt:lpwstr>_Toc514532380</vt:lpwstr>
      </vt:variant>
      <vt:variant>
        <vt:i4>1441841</vt:i4>
      </vt:variant>
      <vt:variant>
        <vt:i4>728</vt:i4>
      </vt:variant>
      <vt:variant>
        <vt:i4>0</vt:i4>
      </vt:variant>
      <vt:variant>
        <vt:i4>5</vt:i4>
      </vt:variant>
      <vt:variant>
        <vt:lpwstr/>
      </vt:variant>
      <vt:variant>
        <vt:lpwstr>_Toc514532379</vt:lpwstr>
      </vt:variant>
      <vt:variant>
        <vt:i4>1441841</vt:i4>
      </vt:variant>
      <vt:variant>
        <vt:i4>722</vt:i4>
      </vt:variant>
      <vt:variant>
        <vt:i4>0</vt:i4>
      </vt:variant>
      <vt:variant>
        <vt:i4>5</vt:i4>
      </vt:variant>
      <vt:variant>
        <vt:lpwstr/>
      </vt:variant>
      <vt:variant>
        <vt:lpwstr>_Toc514532378</vt:lpwstr>
      </vt:variant>
      <vt:variant>
        <vt:i4>1441841</vt:i4>
      </vt:variant>
      <vt:variant>
        <vt:i4>716</vt:i4>
      </vt:variant>
      <vt:variant>
        <vt:i4>0</vt:i4>
      </vt:variant>
      <vt:variant>
        <vt:i4>5</vt:i4>
      </vt:variant>
      <vt:variant>
        <vt:lpwstr/>
      </vt:variant>
      <vt:variant>
        <vt:lpwstr>_Toc514532377</vt:lpwstr>
      </vt:variant>
      <vt:variant>
        <vt:i4>1441841</vt:i4>
      </vt:variant>
      <vt:variant>
        <vt:i4>710</vt:i4>
      </vt:variant>
      <vt:variant>
        <vt:i4>0</vt:i4>
      </vt:variant>
      <vt:variant>
        <vt:i4>5</vt:i4>
      </vt:variant>
      <vt:variant>
        <vt:lpwstr/>
      </vt:variant>
      <vt:variant>
        <vt:lpwstr>_Toc514532376</vt:lpwstr>
      </vt:variant>
      <vt:variant>
        <vt:i4>1441841</vt:i4>
      </vt:variant>
      <vt:variant>
        <vt:i4>704</vt:i4>
      </vt:variant>
      <vt:variant>
        <vt:i4>0</vt:i4>
      </vt:variant>
      <vt:variant>
        <vt:i4>5</vt:i4>
      </vt:variant>
      <vt:variant>
        <vt:lpwstr/>
      </vt:variant>
      <vt:variant>
        <vt:lpwstr>_Toc514532375</vt:lpwstr>
      </vt:variant>
      <vt:variant>
        <vt:i4>1441841</vt:i4>
      </vt:variant>
      <vt:variant>
        <vt:i4>698</vt:i4>
      </vt:variant>
      <vt:variant>
        <vt:i4>0</vt:i4>
      </vt:variant>
      <vt:variant>
        <vt:i4>5</vt:i4>
      </vt:variant>
      <vt:variant>
        <vt:lpwstr/>
      </vt:variant>
      <vt:variant>
        <vt:lpwstr>_Toc514532374</vt:lpwstr>
      </vt:variant>
      <vt:variant>
        <vt:i4>1441841</vt:i4>
      </vt:variant>
      <vt:variant>
        <vt:i4>692</vt:i4>
      </vt:variant>
      <vt:variant>
        <vt:i4>0</vt:i4>
      </vt:variant>
      <vt:variant>
        <vt:i4>5</vt:i4>
      </vt:variant>
      <vt:variant>
        <vt:lpwstr/>
      </vt:variant>
      <vt:variant>
        <vt:lpwstr>_Toc514532373</vt:lpwstr>
      </vt:variant>
      <vt:variant>
        <vt:i4>1441841</vt:i4>
      </vt:variant>
      <vt:variant>
        <vt:i4>686</vt:i4>
      </vt:variant>
      <vt:variant>
        <vt:i4>0</vt:i4>
      </vt:variant>
      <vt:variant>
        <vt:i4>5</vt:i4>
      </vt:variant>
      <vt:variant>
        <vt:lpwstr/>
      </vt:variant>
      <vt:variant>
        <vt:lpwstr>_Toc514532372</vt:lpwstr>
      </vt:variant>
      <vt:variant>
        <vt:i4>1441841</vt:i4>
      </vt:variant>
      <vt:variant>
        <vt:i4>680</vt:i4>
      </vt:variant>
      <vt:variant>
        <vt:i4>0</vt:i4>
      </vt:variant>
      <vt:variant>
        <vt:i4>5</vt:i4>
      </vt:variant>
      <vt:variant>
        <vt:lpwstr/>
      </vt:variant>
      <vt:variant>
        <vt:lpwstr>_Toc514532371</vt:lpwstr>
      </vt:variant>
      <vt:variant>
        <vt:i4>1441841</vt:i4>
      </vt:variant>
      <vt:variant>
        <vt:i4>674</vt:i4>
      </vt:variant>
      <vt:variant>
        <vt:i4>0</vt:i4>
      </vt:variant>
      <vt:variant>
        <vt:i4>5</vt:i4>
      </vt:variant>
      <vt:variant>
        <vt:lpwstr/>
      </vt:variant>
      <vt:variant>
        <vt:lpwstr>_Toc514532370</vt:lpwstr>
      </vt:variant>
      <vt:variant>
        <vt:i4>1507377</vt:i4>
      </vt:variant>
      <vt:variant>
        <vt:i4>668</vt:i4>
      </vt:variant>
      <vt:variant>
        <vt:i4>0</vt:i4>
      </vt:variant>
      <vt:variant>
        <vt:i4>5</vt:i4>
      </vt:variant>
      <vt:variant>
        <vt:lpwstr/>
      </vt:variant>
      <vt:variant>
        <vt:lpwstr>_Toc514532369</vt:lpwstr>
      </vt:variant>
      <vt:variant>
        <vt:i4>1507377</vt:i4>
      </vt:variant>
      <vt:variant>
        <vt:i4>662</vt:i4>
      </vt:variant>
      <vt:variant>
        <vt:i4>0</vt:i4>
      </vt:variant>
      <vt:variant>
        <vt:i4>5</vt:i4>
      </vt:variant>
      <vt:variant>
        <vt:lpwstr/>
      </vt:variant>
      <vt:variant>
        <vt:lpwstr>_Toc514532368</vt:lpwstr>
      </vt:variant>
      <vt:variant>
        <vt:i4>1507377</vt:i4>
      </vt:variant>
      <vt:variant>
        <vt:i4>656</vt:i4>
      </vt:variant>
      <vt:variant>
        <vt:i4>0</vt:i4>
      </vt:variant>
      <vt:variant>
        <vt:i4>5</vt:i4>
      </vt:variant>
      <vt:variant>
        <vt:lpwstr/>
      </vt:variant>
      <vt:variant>
        <vt:lpwstr>_Toc514532367</vt:lpwstr>
      </vt:variant>
      <vt:variant>
        <vt:i4>1507377</vt:i4>
      </vt:variant>
      <vt:variant>
        <vt:i4>650</vt:i4>
      </vt:variant>
      <vt:variant>
        <vt:i4>0</vt:i4>
      </vt:variant>
      <vt:variant>
        <vt:i4>5</vt:i4>
      </vt:variant>
      <vt:variant>
        <vt:lpwstr/>
      </vt:variant>
      <vt:variant>
        <vt:lpwstr>_Toc514532366</vt:lpwstr>
      </vt:variant>
      <vt:variant>
        <vt:i4>1507377</vt:i4>
      </vt:variant>
      <vt:variant>
        <vt:i4>644</vt:i4>
      </vt:variant>
      <vt:variant>
        <vt:i4>0</vt:i4>
      </vt:variant>
      <vt:variant>
        <vt:i4>5</vt:i4>
      </vt:variant>
      <vt:variant>
        <vt:lpwstr/>
      </vt:variant>
      <vt:variant>
        <vt:lpwstr>_Toc514532365</vt:lpwstr>
      </vt:variant>
      <vt:variant>
        <vt:i4>1507377</vt:i4>
      </vt:variant>
      <vt:variant>
        <vt:i4>638</vt:i4>
      </vt:variant>
      <vt:variant>
        <vt:i4>0</vt:i4>
      </vt:variant>
      <vt:variant>
        <vt:i4>5</vt:i4>
      </vt:variant>
      <vt:variant>
        <vt:lpwstr/>
      </vt:variant>
      <vt:variant>
        <vt:lpwstr>_Toc514532364</vt:lpwstr>
      </vt:variant>
      <vt:variant>
        <vt:i4>1507377</vt:i4>
      </vt:variant>
      <vt:variant>
        <vt:i4>632</vt:i4>
      </vt:variant>
      <vt:variant>
        <vt:i4>0</vt:i4>
      </vt:variant>
      <vt:variant>
        <vt:i4>5</vt:i4>
      </vt:variant>
      <vt:variant>
        <vt:lpwstr/>
      </vt:variant>
      <vt:variant>
        <vt:lpwstr>_Toc514532363</vt:lpwstr>
      </vt:variant>
      <vt:variant>
        <vt:i4>1507377</vt:i4>
      </vt:variant>
      <vt:variant>
        <vt:i4>626</vt:i4>
      </vt:variant>
      <vt:variant>
        <vt:i4>0</vt:i4>
      </vt:variant>
      <vt:variant>
        <vt:i4>5</vt:i4>
      </vt:variant>
      <vt:variant>
        <vt:lpwstr/>
      </vt:variant>
      <vt:variant>
        <vt:lpwstr>_Toc514532362</vt:lpwstr>
      </vt:variant>
      <vt:variant>
        <vt:i4>1507377</vt:i4>
      </vt:variant>
      <vt:variant>
        <vt:i4>620</vt:i4>
      </vt:variant>
      <vt:variant>
        <vt:i4>0</vt:i4>
      </vt:variant>
      <vt:variant>
        <vt:i4>5</vt:i4>
      </vt:variant>
      <vt:variant>
        <vt:lpwstr/>
      </vt:variant>
      <vt:variant>
        <vt:lpwstr>_Toc514532361</vt:lpwstr>
      </vt:variant>
      <vt:variant>
        <vt:i4>1507377</vt:i4>
      </vt:variant>
      <vt:variant>
        <vt:i4>614</vt:i4>
      </vt:variant>
      <vt:variant>
        <vt:i4>0</vt:i4>
      </vt:variant>
      <vt:variant>
        <vt:i4>5</vt:i4>
      </vt:variant>
      <vt:variant>
        <vt:lpwstr/>
      </vt:variant>
      <vt:variant>
        <vt:lpwstr>_Toc514532360</vt:lpwstr>
      </vt:variant>
      <vt:variant>
        <vt:i4>1310769</vt:i4>
      </vt:variant>
      <vt:variant>
        <vt:i4>608</vt:i4>
      </vt:variant>
      <vt:variant>
        <vt:i4>0</vt:i4>
      </vt:variant>
      <vt:variant>
        <vt:i4>5</vt:i4>
      </vt:variant>
      <vt:variant>
        <vt:lpwstr/>
      </vt:variant>
      <vt:variant>
        <vt:lpwstr>_Toc514532359</vt:lpwstr>
      </vt:variant>
      <vt:variant>
        <vt:i4>1310769</vt:i4>
      </vt:variant>
      <vt:variant>
        <vt:i4>602</vt:i4>
      </vt:variant>
      <vt:variant>
        <vt:i4>0</vt:i4>
      </vt:variant>
      <vt:variant>
        <vt:i4>5</vt:i4>
      </vt:variant>
      <vt:variant>
        <vt:lpwstr/>
      </vt:variant>
      <vt:variant>
        <vt:lpwstr>_Toc514532358</vt:lpwstr>
      </vt:variant>
      <vt:variant>
        <vt:i4>1310769</vt:i4>
      </vt:variant>
      <vt:variant>
        <vt:i4>596</vt:i4>
      </vt:variant>
      <vt:variant>
        <vt:i4>0</vt:i4>
      </vt:variant>
      <vt:variant>
        <vt:i4>5</vt:i4>
      </vt:variant>
      <vt:variant>
        <vt:lpwstr/>
      </vt:variant>
      <vt:variant>
        <vt:lpwstr>_Toc514532357</vt:lpwstr>
      </vt:variant>
      <vt:variant>
        <vt:i4>1310769</vt:i4>
      </vt:variant>
      <vt:variant>
        <vt:i4>590</vt:i4>
      </vt:variant>
      <vt:variant>
        <vt:i4>0</vt:i4>
      </vt:variant>
      <vt:variant>
        <vt:i4>5</vt:i4>
      </vt:variant>
      <vt:variant>
        <vt:lpwstr/>
      </vt:variant>
      <vt:variant>
        <vt:lpwstr>_Toc514532356</vt:lpwstr>
      </vt:variant>
      <vt:variant>
        <vt:i4>1310769</vt:i4>
      </vt:variant>
      <vt:variant>
        <vt:i4>584</vt:i4>
      </vt:variant>
      <vt:variant>
        <vt:i4>0</vt:i4>
      </vt:variant>
      <vt:variant>
        <vt:i4>5</vt:i4>
      </vt:variant>
      <vt:variant>
        <vt:lpwstr/>
      </vt:variant>
      <vt:variant>
        <vt:lpwstr>_Toc514532355</vt:lpwstr>
      </vt:variant>
      <vt:variant>
        <vt:i4>1310769</vt:i4>
      </vt:variant>
      <vt:variant>
        <vt:i4>578</vt:i4>
      </vt:variant>
      <vt:variant>
        <vt:i4>0</vt:i4>
      </vt:variant>
      <vt:variant>
        <vt:i4>5</vt:i4>
      </vt:variant>
      <vt:variant>
        <vt:lpwstr/>
      </vt:variant>
      <vt:variant>
        <vt:lpwstr>_Toc514532354</vt:lpwstr>
      </vt:variant>
      <vt:variant>
        <vt:i4>1310769</vt:i4>
      </vt:variant>
      <vt:variant>
        <vt:i4>572</vt:i4>
      </vt:variant>
      <vt:variant>
        <vt:i4>0</vt:i4>
      </vt:variant>
      <vt:variant>
        <vt:i4>5</vt:i4>
      </vt:variant>
      <vt:variant>
        <vt:lpwstr/>
      </vt:variant>
      <vt:variant>
        <vt:lpwstr>_Toc514532353</vt:lpwstr>
      </vt:variant>
      <vt:variant>
        <vt:i4>1310769</vt:i4>
      </vt:variant>
      <vt:variant>
        <vt:i4>566</vt:i4>
      </vt:variant>
      <vt:variant>
        <vt:i4>0</vt:i4>
      </vt:variant>
      <vt:variant>
        <vt:i4>5</vt:i4>
      </vt:variant>
      <vt:variant>
        <vt:lpwstr/>
      </vt:variant>
      <vt:variant>
        <vt:lpwstr>_Toc514532352</vt:lpwstr>
      </vt:variant>
      <vt:variant>
        <vt:i4>1310769</vt:i4>
      </vt:variant>
      <vt:variant>
        <vt:i4>560</vt:i4>
      </vt:variant>
      <vt:variant>
        <vt:i4>0</vt:i4>
      </vt:variant>
      <vt:variant>
        <vt:i4>5</vt:i4>
      </vt:variant>
      <vt:variant>
        <vt:lpwstr/>
      </vt:variant>
      <vt:variant>
        <vt:lpwstr>_Toc514532351</vt:lpwstr>
      </vt:variant>
      <vt:variant>
        <vt:i4>1310769</vt:i4>
      </vt:variant>
      <vt:variant>
        <vt:i4>554</vt:i4>
      </vt:variant>
      <vt:variant>
        <vt:i4>0</vt:i4>
      </vt:variant>
      <vt:variant>
        <vt:i4>5</vt:i4>
      </vt:variant>
      <vt:variant>
        <vt:lpwstr/>
      </vt:variant>
      <vt:variant>
        <vt:lpwstr>_Toc514532350</vt:lpwstr>
      </vt:variant>
      <vt:variant>
        <vt:i4>1376305</vt:i4>
      </vt:variant>
      <vt:variant>
        <vt:i4>548</vt:i4>
      </vt:variant>
      <vt:variant>
        <vt:i4>0</vt:i4>
      </vt:variant>
      <vt:variant>
        <vt:i4>5</vt:i4>
      </vt:variant>
      <vt:variant>
        <vt:lpwstr/>
      </vt:variant>
      <vt:variant>
        <vt:lpwstr>_Toc514532349</vt:lpwstr>
      </vt:variant>
      <vt:variant>
        <vt:i4>1376305</vt:i4>
      </vt:variant>
      <vt:variant>
        <vt:i4>542</vt:i4>
      </vt:variant>
      <vt:variant>
        <vt:i4>0</vt:i4>
      </vt:variant>
      <vt:variant>
        <vt:i4>5</vt:i4>
      </vt:variant>
      <vt:variant>
        <vt:lpwstr/>
      </vt:variant>
      <vt:variant>
        <vt:lpwstr>_Toc514532348</vt:lpwstr>
      </vt:variant>
      <vt:variant>
        <vt:i4>1376305</vt:i4>
      </vt:variant>
      <vt:variant>
        <vt:i4>536</vt:i4>
      </vt:variant>
      <vt:variant>
        <vt:i4>0</vt:i4>
      </vt:variant>
      <vt:variant>
        <vt:i4>5</vt:i4>
      </vt:variant>
      <vt:variant>
        <vt:lpwstr/>
      </vt:variant>
      <vt:variant>
        <vt:lpwstr>_Toc514532347</vt:lpwstr>
      </vt:variant>
      <vt:variant>
        <vt:i4>1376305</vt:i4>
      </vt:variant>
      <vt:variant>
        <vt:i4>530</vt:i4>
      </vt:variant>
      <vt:variant>
        <vt:i4>0</vt:i4>
      </vt:variant>
      <vt:variant>
        <vt:i4>5</vt:i4>
      </vt:variant>
      <vt:variant>
        <vt:lpwstr/>
      </vt:variant>
      <vt:variant>
        <vt:lpwstr>_Toc514532346</vt:lpwstr>
      </vt:variant>
      <vt:variant>
        <vt:i4>1376305</vt:i4>
      </vt:variant>
      <vt:variant>
        <vt:i4>524</vt:i4>
      </vt:variant>
      <vt:variant>
        <vt:i4>0</vt:i4>
      </vt:variant>
      <vt:variant>
        <vt:i4>5</vt:i4>
      </vt:variant>
      <vt:variant>
        <vt:lpwstr/>
      </vt:variant>
      <vt:variant>
        <vt:lpwstr>_Toc514532345</vt:lpwstr>
      </vt:variant>
      <vt:variant>
        <vt:i4>1376305</vt:i4>
      </vt:variant>
      <vt:variant>
        <vt:i4>518</vt:i4>
      </vt:variant>
      <vt:variant>
        <vt:i4>0</vt:i4>
      </vt:variant>
      <vt:variant>
        <vt:i4>5</vt:i4>
      </vt:variant>
      <vt:variant>
        <vt:lpwstr/>
      </vt:variant>
      <vt:variant>
        <vt:lpwstr>_Toc514532344</vt:lpwstr>
      </vt:variant>
      <vt:variant>
        <vt:i4>1376305</vt:i4>
      </vt:variant>
      <vt:variant>
        <vt:i4>512</vt:i4>
      </vt:variant>
      <vt:variant>
        <vt:i4>0</vt:i4>
      </vt:variant>
      <vt:variant>
        <vt:i4>5</vt:i4>
      </vt:variant>
      <vt:variant>
        <vt:lpwstr/>
      </vt:variant>
      <vt:variant>
        <vt:lpwstr>_Toc514532343</vt:lpwstr>
      </vt:variant>
      <vt:variant>
        <vt:i4>1376305</vt:i4>
      </vt:variant>
      <vt:variant>
        <vt:i4>506</vt:i4>
      </vt:variant>
      <vt:variant>
        <vt:i4>0</vt:i4>
      </vt:variant>
      <vt:variant>
        <vt:i4>5</vt:i4>
      </vt:variant>
      <vt:variant>
        <vt:lpwstr/>
      </vt:variant>
      <vt:variant>
        <vt:lpwstr>_Toc514532342</vt:lpwstr>
      </vt:variant>
      <vt:variant>
        <vt:i4>1376305</vt:i4>
      </vt:variant>
      <vt:variant>
        <vt:i4>500</vt:i4>
      </vt:variant>
      <vt:variant>
        <vt:i4>0</vt:i4>
      </vt:variant>
      <vt:variant>
        <vt:i4>5</vt:i4>
      </vt:variant>
      <vt:variant>
        <vt:lpwstr/>
      </vt:variant>
      <vt:variant>
        <vt:lpwstr>_Toc514532341</vt:lpwstr>
      </vt:variant>
      <vt:variant>
        <vt:i4>1376305</vt:i4>
      </vt:variant>
      <vt:variant>
        <vt:i4>494</vt:i4>
      </vt:variant>
      <vt:variant>
        <vt:i4>0</vt:i4>
      </vt:variant>
      <vt:variant>
        <vt:i4>5</vt:i4>
      </vt:variant>
      <vt:variant>
        <vt:lpwstr/>
      </vt:variant>
      <vt:variant>
        <vt:lpwstr>_Toc514532340</vt:lpwstr>
      </vt:variant>
      <vt:variant>
        <vt:i4>1179697</vt:i4>
      </vt:variant>
      <vt:variant>
        <vt:i4>488</vt:i4>
      </vt:variant>
      <vt:variant>
        <vt:i4>0</vt:i4>
      </vt:variant>
      <vt:variant>
        <vt:i4>5</vt:i4>
      </vt:variant>
      <vt:variant>
        <vt:lpwstr/>
      </vt:variant>
      <vt:variant>
        <vt:lpwstr>_Toc514532339</vt:lpwstr>
      </vt:variant>
      <vt:variant>
        <vt:i4>1179697</vt:i4>
      </vt:variant>
      <vt:variant>
        <vt:i4>482</vt:i4>
      </vt:variant>
      <vt:variant>
        <vt:i4>0</vt:i4>
      </vt:variant>
      <vt:variant>
        <vt:i4>5</vt:i4>
      </vt:variant>
      <vt:variant>
        <vt:lpwstr/>
      </vt:variant>
      <vt:variant>
        <vt:lpwstr>_Toc514532338</vt:lpwstr>
      </vt:variant>
      <vt:variant>
        <vt:i4>1179697</vt:i4>
      </vt:variant>
      <vt:variant>
        <vt:i4>476</vt:i4>
      </vt:variant>
      <vt:variant>
        <vt:i4>0</vt:i4>
      </vt:variant>
      <vt:variant>
        <vt:i4>5</vt:i4>
      </vt:variant>
      <vt:variant>
        <vt:lpwstr/>
      </vt:variant>
      <vt:variant>
        <vt:lpwstr>_Toc514532337</vt:lpwstr>
      </vt:variant>
      <vt:variant>
        <vt:i4>1179697</vt:i4>
      </vt:variant>
      <vt:variant>
        <vt:i4>470</vt:i4>
      </vt:variant>
      <vt:variant>
        <vt:i4>0</vt:i4>
      </vt:variant>
      <vt:variant>
        <vt:i4>5</vt:i4>
      </vt:variant>
      <vt:variant>
        <vt:lpwstr/>
      </vt:variant>
      <vt:variant>
        <vt:lpwstr>_Toc514532336</vt:lpwstr>
      </vt:variant>
      <vt:variant>
        <vt:i4>1179697</vt:i4>
      </vt:variant>
      <vt:variant>
        <vt:i4>464</vt:i4>
      </vt:variant>
      <vt:variant>
        <vt:i4>0</vt:i4>
      </vt:variant>
      <vt:variant>
        <vt:i4>5</vt:i4>
      </vt:variant>
      <vt:variant>
        <vt:lpwstr/>
      </vt:variant>
      <vt:variant>
        <vt:lpwstr>_Toc514532335</vt:lpwstr>
      </vt:variant>
      <vt:variant>
        <vt:i4>1179697</vt:i4>
      </vt:variant>
      <vt:variant>
        <vt:i4>458</vt:i4>
      </vt:variant>
      <vt:variant>
        <vt:i4>0</vt:i4>
      </vt:variant>
      <vt:variant>
        <vt:i4>5</vt:i4>
      </vt:variant>
      <vt:variant>
        <vt:lpwstr/>
      </vt:variant>
      <vt:variant>
        <vt:lpwstr>_Toc514532334</vt:lpwstr>
      </vt:variant>
      <vt:variant>
        <vt:i4>1179697</vt:i4>
      </vt:variant>
      <vt:variant>
        <vt:i4>452</vt:i4>
      </vt:variant>
      <vt:variant>
        <vt:i4>0</vt:i4>
      </vt:variant>
      <vt:variant>
        <vt:i4>5</vt:i4>
      </vt:variant>
      <vt:variant>
        <vt:lpwstr/>
      </vt:variant>
      <vt:variant>
        <vt:lpwstr>_Toc514532333</vt:lpwstr>
      </vt:variant>
      <vt:variant>
        <vt:i4>1179697</vt:i4>
      </vt:variant>
      <vt:variant>
        <vt:i4>446</vt:i4>
      </vt:variant>
      <vt:variant>
        <vt:i4>0</vt:i4>
      </vt:variant>
      <vt:variant>
        <vt:i4>5</vt:i4>
      </vt:variant>
      <vt:variant>
        <vt:lpwstr/>
      </vt:variant>
      <vt:variant>
        <vt:lpwstr>_Toc514532332</vt:lpwstr>
      </vt:variant>
      <vt:variant>
        <vt:i4>1179697</vt:i4>
      </vt:variant>
      <vt:variant>
        <vt:i4>440</vt:i4>
      </vt:variant>
      <vt:variant>
        <vt:i4>0</vt:i4>
      </vt:variant>
      <vt:variant>
        <vt:i4>5</vt:i4>
      </vt:variant>
      <vt:variant>
        <vt:lpwstr/>
      </vt:variant>
      <vt:variant>
        <vt:lpwstr>_Toc514532331</vt:lpwstr>
      </vt:variant>
      <vt:variant>
        <vt:i4>1179697</vt:i4>
      </vt:variant>
      <vt:variant>
        <vt:i4>434</vt:i4>
      </vt:variant>
      <vt:variant>
        <vt:i4>0</vt:i4>
      </vt:variant>
      <vt:variant>
        <vt:i4>5</vt:i4>
      </vt:variant>
      <vt:variant>
        <vt:lpwstr/>
      </vt:variant>
      <vt:variant>
        <vt:lpwstr>_Toc514532330</vt:lpwstr>
      </vt:variant>
      <vt:variant>
        <vt:i4>1245233</vt:i4>
      </vt:variant>
      <vt:variant>
        <vt:i4>428</vt:i4>
      </vt:variant>
      <vt:variant>
        <vt:i4>0</vt:i4>
      </vt:variant>
      <vt:variant>
        <vt:i4>5</vt:i4>
      </vt:variant>
      <vt:variant>
        <vt:lpwstr/>
      </vt:variant>
      <vt:variant>
        <vt:lpwstr>_Toc514532329</vt:lpwstr>
      </vt:variant>
      <vt:variant>
        <vt:i4>1245233</vt:i4>
      </vt:variant>
      <vt:variant>
        <vt:i4>422</vt:i4>
      </vt:variant>
      <vt:variant>
        <vt:i4>0</vt:i4>
      </vt:variant>
      <vt:variant>
        <vt:i4>5</vt:i4>
      </vt:variant>
      <vt:variant>
        <vt:lpwstr/>
      </vt:variant>
      <vt:variant>
        <vt:lpwstr>_Toc514532328</vt:lpwstr>
      </vt:variant>
      <vt:variant>
        <vt:i4>1245233</vt:i4>
      </vt:variant>
      <vt:variant>
        <vt:i4>416</vt:i4>
      </vt:variant>
      <vt:variant>
        <vt:i4>0</vt:i4>
      </vt:variant>
      <vt:variant>
        <vt:i4>5</vt:i4>
      </vt:variant>
      <vt:variant>
        <vt:lpwstr/>
      </vt:variant>
      <vt:variant>
        <vt:lpwstr>_Toc514532327</vt:lpwstr>
      </vt:variant>
      <vt:variant>
        <vt:i4>1245233</vt:i4>
      </vt:variant>
      <vt:variant>
        <vt:i4>410</vt:i4>
      </vt:variant>
      <vt:variant>
        <vt:i4>0</vt:i4>
      </vt:variant>
      <vt:variant>
        <vt:i4>5</vt:i4>
      </vt:variant>
      <vt:variant>
        <vt:lpwstr/>
      </vt:variant>
      <vt:variant>
        <vt:lpwstr>_Toc514532326</vt:lpwstr>
      </vt:variant>
      <vt:variant>
        <vt:i4>1245233</vt:i4>
      </vt:variant>
      <vt:variant>
        <vt:i4>404</vt:i4>
      </vt:variant>
      <vt:variant>
        <vt:i4>0</vt:i4>
      </vt:variant>
      <vt:variant>
        <vt:i4>5</vt:i4>
      </vt:variant>
      <vt:variant>
        <vt:lpwstr/>
      </vt:variant>
      <vt:variant>
        <vt:lpwstr>_Toc514532325</vt:lpwstr>
      </vt:variant>
      <vt:variant>
        <vt:i4>1245233</vt:i4>
      </vt:variant>
      <vt:variant>
        <vt:i4>398</vt:i4>
      </vt:variant>
      <vt:variant>
        <vt:i4>0</vt:i4>
      </vt:variant>
      <vt:variant>
        <vt:i4>5</vt:i4>
      </vt:variant>
      <vt:variant>
        <vt:lpwstr/>
      </vt:variant>
      <vt:variant>
        <vt:lpwstr>_Toc514532324</vt:lpwstr>
      </vt:variant>
      <vt:variant>
        <vt:i4>1245233</vt:i4>
      </vt:variant>
      <vt:variant>
        <vt:i4>392</vt:i4>
      </vt:variant>
      <vt:variant>
        <vt:i4>0</vt:i4>
      </vt:variant>
      <vt:variant>
        <vt:i4>5</vt:i4>
      </vt:variant>
      <vt:variant>
        <vt:lpwstr/>
      </vt:variant>
      <vt:variant>
        <vt:lpwstr>_Toc514532323</vt:lpwstr>
      </vt:variant>
      <vt:variant>
        <vt:i4>1245233</vt:i4>
      </vt:variant>
      <vt:variant>
        <vt:i4>386</vt:i4>
      </vt:variant>
      <vt:variant>
        <vt:i4>0</vt:i4>
      </vt:variant>
      <vt:variant>
        <vt:i4>5</vt:i4>
      </vt:variant>
      <vt:variant>
        <vt:lpwstr/>
      </vt:variant>
      <vt:variant>
        <vt:lpwstr>_Toc514532322</vt:lpwstr>
      </vt:variant>
      <vt:variant>
        <vt:i4>1245233</vt:i4>
      </vt:variant>
      <vt:variant>
        <vt:i4>380</vt:i4>
      </vt:variant>
      <vt:variant>
        <vt:i4>0</vt:i4>
      </vt:variant>
      <vt:variant>
        <vt:i4>5</vt:i4>
      </vt:variant>
      <vt:variant>
        <vt:lpwstr/>
      </vt:variant>
      <vt:variant>
        <vt:lpwstr>_Toc514532321</vt:lpwstr>
      </vt:variant>
      <vt:variant>
        <vt:i4>1245233</vt:i4>
      </vt:variant>
      <vt:variant>
        <vt:i4>374</vt:i4>
      </vt:variant>
      <vt:variant>
        <vt:i4>0</vt:i4>
      </vt:variant>
      <vt:variant>
        <vt:i4>5</vt:i4>
      </vt:variant>
      <vt:variant>
        <vt:lpwstr/>
      </vt:variant>
      <vt:variant>
        <vt:lpwstr>_Toc514532320</vt:lpwstr>
      </vt:variant>
      <vt:variant>
        <vt:i4>1048625</vt:i4>
      </vt:variant>
      <vt:variant>
        <vt:i4>368</vt:i4>
      </vt:variant>
      <vt:variant>
        <vt:i4>0</vt:i4>
      </vt:variant>
      <vt:variant>
        <vt:i4>5</vt:i4>
      </vt:variant>
      <vt:variant>
        <vt:lpwstr/>
      </vt:variant>
      <vt:variant>
        <vt:lpwstr>_Toc514532319</vt:lpwstr>
      </vt:variant>
      <vt:variant>
        <vt:i4>1048625</vt:i4>
      </vt:variant>
      <vt:variant>
        <vt:i4>362</vt:i4>
      </vt:variant>
      <vt:variant>
        <vt:i4>0</vt:i4>
      </vt:variant>
      <vt:variant>
        <vt:i4>5</vt:i4>
      </vt:variant>
      <vt:variant>
        <vt:lpwstr/>
      </vt:variant>
      <vt:variant>
        <vt:lpwstr>_Toc514532318</vt:lpwstr>
      </vt:variant>
      <vt:variant>
        <vt:i4>1048625</vt:i4>
      </vt:variant>
      <vt:variant>
        <vt:i4>356</vt:i4>
      </vt:variant>
      <vt:variant>
        <vt:i4>0</vt:i4>
      </vt:variant>
      <vt:variant>
        <vt:i4>5</vt:i4>
      </vt:variant>
      <vt:variant>
        <vt:lpwstr/>
      </vt:variant>
      <vt:variant>
        <vt:lpwstr>_Toc514532317</vt:lpwstr>
      </vt:variant>
      <vt:variant>
        <vt:i4>1048625</vt:i4>
      </vt:variant>
      <vt:variant>
        <vt:i4>350</vt:i4>
      </vt:variant>
      <vt:variant>
        <vt:i4>0</vt:i4>
      </vt:variant>
      <vt:variant>
        <vt:i4>5</vt:i4>
      </vt:variant>
      <vt:variant>
        <vt:lpwstr/>
      </vt:variant>
      <vt:variant>
        <vt:lpwstr>_Toc514532316</vt:lpwstr>
      </vt:variant>
      <vt:variant>
        <vt:i4>1048625</vt:i4>
      </vt:variant>
      <vt:variant>
        <vt:i4>344</vt:i4>
      </vt:variant>
      <vt:variant>
        <vt:i4>0</vt:i4>
      </vt:variant>
      <vt:variant>
        <vt:i4>5</vt:i4>
      </vt:variant>
      <vt:variant>
        <vt:lpwstr/>
      </vt:variant>
      <vt:variant>
        <vt:lpwstr>_Toc514532315</vt:lpwstr>
      </vt:variant>
      <vt:variant>
        <vt:i4>1048625</vt:i4>
      </vt:variant>
      <vt:variant>
        <vt:i4>338</vt:i4>
      </vt:variant>
      <vt:variant>
        <vt:i4>0</vt:i4>
      </vt:variant>
      <vt:variant>
        <vt:i4>5</vt:i4>
      </vt:variant>
      <vt:variant>
        <vt:lpwstr/>
      </vt:variant>
      <vt:variant>
        <vt:lpwstr>_Toc514532314</vt:lpwstr>
      </vt:variant>
      <vt:variant>
        <vt:i4>1048625</vt:i4>
      </vt:variant>
      <vt:variant>
        <vt:i4>332</vt:i4>
      </vt:variant>
      <vt:variant>
        <vt:i4>0</vt:i4>
      </vt:variant>
      <vt:variant>
        <vt:i4>5</vt:i4>
      </vt:variant>
      <vt:variant>
        <vt:lpwstr/>
      </vt:variant>
      <vt:variant>
        <vt:lpwstr>_Toc514532313</vt:lpwstr>
      </vt:variant>
      <vt:variant>
        <vt:i4>1048625</vt:i4>
      </vt:variant>
      <vt:variant>
        <vt:i4>326</vt:i4>
      </vt:variant>
      <vt:variant>
        <vt:i4>0</vt:i4>
      </vt:variant>
      <vt:variant>
        <vt:i4>5</vt:i4>
      </vt:variant>
      <vt:variant>
        <vt:lpwstr/>
      </vt:variant>
      <vt:variant>
        <vt:lpwstr>_Toc514532312</vt:lpwstr>
      </vt:variant>
      <vt:variant>
        <vt:i4>1048625</vt:i4>
      </vt:variant>
      <vt:variant>
        <vt:i4>320</vt:i4>
      </vt:variant>
      <vt:variant>
        <vt:i4>0</vt:i4>
      </vt:variant>
      <vt:variant>
        <vt:i4>5</vt:i4>
      </vt:variant>
      <vt:variant>
        <vt:lpwstr/>
      </vt:variant>
      <vt:variant>
        <vt:lpwstr>_Toc514532311</vt:lpwstr>
      </vt:variant>
      <vt:variant>
        <vt:i4>1048625</vt:i4>
      </vt:variant>
      <vt:variant>
        <vt:i4>314</vt:i4>
      </vt:variant>
      <vt:variant>
        <vt:i4>0</vt:i4>
      </vt:variant>
      <vt:variant>
        <vt:i4>5</vt:i4>
      </vt:variant>
      <vt:variant>
        <vt:lpwstr/>
      </vt:variant>
      <vt:variant>
        <vt:lpwstr>_Toc514532310</vt:lpwstr>
      </vt:variant>
      <vt:variant>
        <vt:i4>1114161</vt:i4>
      </vt:variant>
      <vt:variant>
        <vt:i4>308</vt:i4>
      </vt:variant>
      <vt:variant>
        <vt:i4>0</vt:i4>
      </vt:variant>
      <vt:variant>
        <vt:i4>5</vt:i4>
      </vt:variant>
      <vt:variant>
        <vt:lpwstr/>
      </vt:variant>
      <vt:variant>
        <vt:lpwstr>_Toc514532309</vt:lpwstr>
      </vt:variant>
      <vt:variant>
        <vt:i4>1114161</vt:i4>
      </vt:variant>
      <vt:variant>
        <vt:i4>302</vt:i4>
      </vt:variant>
      <vt:variant>
        <vt:i4>0</vt:i4>
      </vt:variant>
      <vt:variant>
        <vt:i4>5</vt:i4>
      </vt:variant>
      <vt:variant>
        <vt:lpwstr/>
      </vt:variant>
      <vt:variant>
        <vt:lpwstr>_Toc514532308</vt:lpwstr>
      </vt:variant>
      <vt:variant>
        <vt:i4>1114161</vt:i4>
      </vt:variant>
      <vt:variant>
        <vt:i4>296</vt:i4>
      </vt:variant>
      <vt:variant>
        <vt:i4>0</vt:i4>
      </vt:variant>
      <vt:variant>
        <vt:i4>5</vt:i4>
      </vt:variant>
      <vt:variant>
        <vt:lpwstr/>
      </vt:variant>
      <vt:variant>
        <vt:lpwstr>_Toc514532307</vt:lpwstr>
      </vt:variant>
      <vt:variant>
        <vt:i4>1114161</vt:i4>
      </vt:variant>
      <vt:variant>
        <vt:i4>290</vt:i4>
      </vt:variant>
      <vt:variant>
        <vt:i4>0</vt:i4>
      </vt:variant>
      <vt:variant>
        <vt:i4>5</vt:i4>
      </vt:variant>
      <vt:variant>
        <vt:lpwstr/>
      </vt:variant>
      <vt:variant>
        <vt:lpwstr>_Toc514532306</vt:lpwstr>
      </vt:variant>
      <vt:variant>
        <vt:i4>1114161</vt:i4>
      </vt:variant>
      <vt:variant>
        <vt:i4>284</vt:i4>
      </vt:variant>
      <vt:variant>
        <vt:i4>0</vt:i4>
      </vt:variant>
      <vt:variant>
        <vt:i4>5</vt:i4>
      </vt:variant>
      <vt:variant>
        <vt:lpwstr/>
      </vt:variant>
      <vt:variant>
        <vt:lpwstr>_Toc514532305</vt:lpwstr>
      </vt:variant>
      <vt:variant>
        <vt:i4>1114161</vt:i4>
      </vt:variant>
      <vt:variant>
        <vt:i4>278</vt:i4>
      </vt:variant>
      <vt:variant>
        <vt:i4>0</vt:i4>
      </vt:variant>
      <vt:variant>
        <vt:i4>5</vt:i4>
      </vt:variant>
      <vt:variant>
        <vt:lpwstr/>
      </vt:variant>
      <vt:variant>
        <vt:lpwstr>_Toc514532304</vt:lpwstr>
      </vt:variant>
      <vt:variant>
        <vt:i4>1114161</vt:i4>
      </vt:variant>
      <vt:variant>
        <vt:i4>272</vt:i4>
      </vt:variant>
      <vt:variant>
        <vt:i4>0</vt:i4>
      </vt:variant>
      <vt:variant>
        <vt:i4>5</vt:i4>
      </vt:variant>
      <vt:variant>
        <vt:lpwstr/>
      </vt:variant>
      <vt:variant>
        <vt:lpwstr>_Toc514532303</vt:lpwstr>
      </vt:variant>
      <vt:variant>
        <vt:i4>1114161</vt:i4>
      </vt:variant>
      <vt:variant>
        <vt:i4>266</vt:i4>
      </vt:variant>
      <vt:variant>
        <vt:i4>0</vt:i4>
      </vt:variant>
      <vt:variant>
        <vt:i4>5</vt:i4>
      </vt:variant>
      <vt:variant>
        <vt:lpwstr/>
      </vt:variant>
      <vt:variant>
        <vt:lpwstr>_Toc514532302</vt:lpwstr>
      </vt:variant>
      <vt:variant>
        <vt:i4>1114161</vt:i4>
      </vt:variant>
      <vt:variant>
        <vt:i4>260</vt:i4>
      </vt:variant>
      <vt:variant>
        <vt:i4>0</vt:i4>
      </vt:variant>
      <vt:variant>
        <vt:i4>5</vt:i4>
      </vt:variant>
      <vt:variant>
        <vt:lpwstr/>
      </vt:variant>
      <vt:variant>
        <vt:lpwstr>_Toc514532301</vt:lpwstr>
      </vt:variant>
      <vt:variant>
        <vt:i4>1114161</vt:i4>
      </vt:variant>
      <vt:variant>
        <vt:i4>254</vt:i4>
      </vt:variant>
      <vt:variant>
        <vt:i4>0</vt:i4>
      </vt:variant>
      <vt:variant>
        <vt:i4>5</vt:i4>
      </vt:variant>
      <vt:variant>
        <vt:lpwstr/>
      </vt:variant>
      <vt:variant>
        <vt:lpwstr>_Toc514532300</vt:lpwstr>
      </vt:variant>
      <vt:variant>
        <vt:i4>1572912</vt:i4>
      </vt:variant>
      <vt:variant>
        <vt:i4>248</vt:i4>
      </vt:variant>
      <vt:variant>
        <vt:i4>0</vt:i4>
      </vt:variant>
      <vt:variant>
        <vt:i4>5</vt:i4>
      </vt:variant>
      <vt:variant>
        <vt:lpwstr/>
      </vt:variant>
      <vt:variant>
        <vt:lpwstr>_Toc514532299</vt:lpwstr>
      </vt:variant>
      <vt:variant>
        <vt:i4>1572912</vt:i4>
      </vt:variant>
      <vt:variant>
        <vt:i4>242</vt:i4>
      </vt:variant>
      <vt:variant>
        <vt:i4>0</vt:i4>
      </vt:variant>
      <vt:variant>
        <vt:i4>5</vt:i4>
      </vt:variant>
      <vt:variant>
        <vt:lpwstr/>
      </vt:variant>
      <vt:variant>
        <vt:lpwstr>_Toc514532298</vt:lpwstr>
      </vt:variant>
      <vt:variant>
        <vt:i4>1572912</vt:i4>
      </vt:variant>
      <vt:variant>
        <vt:i4>236</vt:i4>
      </vt:variant>
      <vt:variant>
        <vt:i4>0</vt:i4>
      </vt:variant>
      <vt:variant>
        <vt:i4>5</vt:i4>
      </vt:variant>
      <vt:variant>
        <vt:lpwstr/>
      </vt:variant>
      <vt:variant>
        <vt:lpwstr>_Toc514532297</vt:lpwstr>
      </vt:variant>
      <vt:variant>
        <vt:i4>1572912</vt:i4>
      </vt:variant>
      <vt:variant>
        <vt:i4>230</vt:i4>
      </vt:variant>
      <vt:variant>
        <vt:i4>0</vt:i4>
      </vt:variant>
      <vt:variant>
        <vt:i4>5</vt:i4>
      </vt:variant>
      <vt:variant>
        <vt:lpwstr/>
      </vt:variant>
      <vt:variant>
        <vt:lpwstr>_Toc514532296</vt:lpwstr>
      </vt:variant>
      <vt:variant>
        <vt:i4>1572912</vt:i4>
      </vt:variant>
      <vt:variant>
        <vt:i4>224</vt:i4>
      </vt:variant>
      <vt:variant>
        <vt:i4>0</vt:i4>
      </vt:variant>
      <vt:variant>
        <vt:i4>5</vt:i4>
      </vt:variant>
      <vt:variant>
        <vt:lpwstr/>
      </vt:variant>
      <vt:variant>
        <vt:lpwstr>_Toc514532295</vt:lpwstr>
      </vt:variant>
      <vt:variant>
        <vt:i4>1572912</vt:i4>
      </vt:variant>
      <vt:variant>
        <vt:i4>218</vt:i4>
      </vt:variant>
      <vt:variant>
        <vt:i4>0</vt:i4>
      </vt:variant>
      <vt:variant>
        <vt:i4>5</vt:i4>
      </vt:variant>
      <vt:variant>
        <vt:lpwstr/>
      </vt:variant>
      <vt:variant>
        <vt:lpwstr>_Toc514532294</vt:lpwstr>
      </vt:variant>
      <vt:variant>
        <vt:i4>1572912</vt:i4>
      </vt:variant>
      <vt:variant>
        <vt:i4>212</vt:i4>
      </vt:variant>
      <vt:variant>
        <vt:i4>0</vt:i4>
      </vt:variant>
      <vt:variant>
        <vt:i4>5</vt:i4>
      </vt:variant>
      <vt:variant>
        <vt:lpwstr/>
      </vt:variant>
      <vt:variant>
        <vt:lpwstr>_Toc514532293</vt:lpwstr>
      </vt:variant>
      <vt:variant>
        <vt:i4>1572912</vt:i4>
      </vt:variant>
      <vt:variant>
        <vt:i4>206</vt:i4>
      </vt:variant>
      <vt:variant>
        <vt:i4>0</vt:i4>
      </vt:variant>
      <vt:variant>
        <vt:i4>5</vt:i4>
      </vt:variant>
      <vt:variant>
        <vt:lpwstr/>
      </vt:variant>
      <vt:variant>
        <vt:lpwstr>_Toc514532292</vt:lpwstr>
      </vt:variant>
      <vt:variant>
        <vt:i4>1572912</vt:i4>
      </vt:variant>
      <vt:variant>
        <vt:i4>200</vt:i4>
      </vt:variant>
      <vt:variant>
        <vt:i4>0</vt:i4>
      </vt:variant>
      <vt:variant>
        <vt:i4>5</vt:i4>
      </vt:variant>
      <vt:variant>
        <vt:lpwstr/>
      </vt:variant>
      <vt:variant>
        <vt:lpwstr>_Toc514532291</vt:lpwstr>
      </vt:variant>
      <vt:variant>
        <vt:i4>1572912</vt:i4>
      </vt:variant>
      <vt:variant>
        <vt:i4>194</vt:i4>
      </vt:variant>
      <vt:variant>
        <vt:i4>0</vt:i4>
      </vt:variant>
      <vt:variant>
        <vt:i4>5</vt:i4>
      </vt:variant>
      <vt:variant>
        <vt:lpwstr/>
      </vt:variant>
      <vt:variant>
        <vt:lpwstr>_Toc514532290</vt:lpwstr>
      </vt:variant>
      <vt:variant>
        <vt:i4>1638448</vt:i4>
      </vt:variant>
      <vt:variant>
        <vt:i4>188</vt:i4>
      </vt:variant>
      <vt:variant>
        <vt:i4>0</vt:i4>
      </vt:variant>
      <vt:variant>
        <vt:i4>5</vt:i4>
      </vt:variant>
      <vt:variant>
        <vt:lpwstr/>
      </vt:variant>
      <vt:variant>
        <vt:lpwstr>_Toc514532289</vt:lpwstr>
      </vt:variant>
      <vt:variant>
        <vt:i4>1638448</vt:i4>
      </vt:variant>
      <vt:variant>
        <vt:i4>182</vt:i4>
      </vt:variant>
      <vt:variant>
        <vt:i4>0</vt:i4>
      </vt:variant>
      <vt:variant>
        <vt:i4>5</vt:i4>
      </vt:variant>
      <vt:variant>
        <vt:lpwstr/>
      </vt:variant>
      <vt:variant>
        <vt:lpwstr>_Toc514532288</vt:lpwstr>
      </vt:variant>
      <vt:variant>
        <vt:i4>1638448</vt:i4>
      </vt:variant>
      <vt:variant>
        <vt:i4>176</vt:i4>
      </vt:variant>
      <vt:variant>
        <vt:i4>0</vt:i4>
      </vt:variant>
      <vt:variant>
        <vt:i4>5</vt:i4>
      </vt:variant>
      <vt:variant>
        <vt:lpwstr/>
      </vt:variant>
      <vt:variant>
        <vt:lpwstr>_Toc514532287</vt:lpwstr>
      </vt:variant>
      <vt:variant>
        <vt:i4>1638448</vt:i4>
      </vt:variant>
      <vt:variant>
        <vt:i4>170</vt:i4>
      </vt:variant>
      <vt:variant>
        <vt:i4>0</vt:i4>
      </vt:variant>
      <vt:variant>
        <vt:i4>5</vt:i4>
      </vt:variant>
      <vt:variant>
        <vt:lpwstr/>
      </vt:variant>
      <vt:variant>
        <vt:lpwstr>_Toc514532286</vt:lpwstr>
      </vt:variant>
      <vt:variant>
        <vt:i4>1638448</vt:i4>
      </vt:variant>
      <vt:variant>
        <vt:i4>164</vt:i4>
      </vt:variant>
      <vt:variant>
        <vt:i4>0</vt:i4>
      </vt:variant>
      <vt:variant>
        <vt:i4>5</vt:i4>
      </vt:variant>
      <vt:variant>
        <vt:lpwstr/>
      </vt:variant>
      <vt:variant>
        <vt:lpwstr>_Toc514532285</vt:lpwstr>
      </vt:variant>
      <vt:variant>
        <vt:i4>1638448</vt:i4>
      </vt:variant>
      <vt:variant>
        <vt:i4>158</vt:i4>
      </vt:variant>
      <vt:variant>
        <vt:i4>0</vt:i4>
      </vt:variant>
      <vt:variant>
        <vt:i4>5</vt:i4>
      </vt:variant>
      <vt:variant>
        <vt:lpwstr/>
      </vt:variant>
      <vt:variant>
        <vt:lpwstr>_Toc514532284</vt:lpwstr>
      </vt:variant>
      <vt:variant>
        <vt:i4>1638448</vt:i4>
      </vt:variant>
      <vt:variant>
        <vt:i4>152</vt:i4>
      </vt:variant>
      <vt:variant>
        <vt:i4>0</vt:i4>
      </vt:variant>
      <vt:variant>
        <vt:i4>5</vt:i4>
      </vt:variant>
      <vt:variant>
        <vt:lpwstr/>
      </vt:variant>
      <vt:variant>
        <vt:lpwstr>_Toc514532283</vt:lpwstr>
      </vt:variant>
      <vt:variant>
        <vt:i4>1638448</vt:i4>
      </vt:variant>
      <vt:variant>
        <vt:i4>146</vt:i4>
      </vt:variant>
      <vt:variant>
        <vt:i4>0</vt:i4>
      </vt:variant>
      <vt:variant>
        <vt:i4>5</vt:i4>
      </vt:variant>
      <vt:variant>
        <vt:lpwstr/>
      </vt:variant>
      <vt:variant>
        <vt:lpwstr>_Toc514532282</vt:lpwstr>
      </vt:variant>
      <vt:variant>
        <vt:i4>1638448</vt:i4>
      </vt:variant>
      <vt:variant>
        <vt:i4>140</vt:i4>
      </vt:variant>
      <vt:variant>
        <vt:i4>0</vt:i4>
      </vt:variant>
      <vt:variant>
        <vt:i4>5</vt:i4>
      </vt:variant>
      <vt:variant>
        <vt:lpwstr/>
      </vt:variant>
      <vt:variant>
        <vt:lpwstr>_Toc514532281</vt:lpwstr>
      </vt:variant>
      <vt:variant>
        <vt:i4>1638448</vt:i4>
      </vt:variant>
      <vt:variant>
        <vt:i4>134</vt:i4>
      </vt:variant>
      <vt:variant>
        <vt:i4>0</vt:i4>
      </vt:variant>
      <vt:variant>
        <vt:i4>5</vt:i4>
      </vt:variant>
      <vt:variant>
        <vt:lpwstr/>
      </vt:variant>
      <vt:variant>
        <vt:lpwstr>_Toc514532280</vt:lpwstr>
      </vt:variant>
      <vt:variant>
        <vt:i4>1441840</vt:i4>
      </vt:variant>
      <vt:variant>
        <vt:i4>128</vt:i4>
      </vt:variant>
      <vt:variant>
        <vt:i4>0</vt:i4>
      </vt:variant>
      <vt:variant>
        <vt:i4>5</vt:i4>
      </vt:variant>
      <vt:variant>
        <vt:lpwstr/>
      </vt:variant>
      <vt:variant>
        <vt:lpwstr>_Toc514532279</vt:lpwstr>
      </vt:variant>
      <vt:variant>
        <vt:i4>1441840</vt:i4>
      </vt:variant>
      <vt:variant>
        <vt:i4>122</vt:i4>
      </vt:variant>
      <vt:variant>
        <vt:i4>0</vt:i4>
      </vt:variant>
      <vt:variant>
        <vt:i4>5</vt:i4>
      </vt:variant>
      <vt:variant>
        <vt:lpwstr/>
      </vt:variant>
      <vt:variant>
        <vt:lpwstr>_Toc514532278</vt:lpwstr>
      </vt:variant>
      <vt:variant>
        <vt:i4>1441840</vt:i4>
      </vt:variant>
      <vt:variant>
        <vt:i4>116</vt:i4>
      </vt:variant>
      <vt:variant>
        <vt:i4>0</vt:i4>
      </vt:variant>
      <vt:variant>
        <vt:i4>5</vt:i4>
      </vt:variant>
      <vt:variant>
        <vt:lpwstr/>
      </vt:variant>
      <vt:variant>
        <vt:lpwstr>_Toc514532277</vt:lpwstr>
      </vt:variant>
      <vt:variant>
        <vt:i4>1441840</vt:i4>
      </vt:variant>
      <vt:variant>
        <vt:i4>110</vt:i4>
      </vt:variant>
      <vt:variant>
        <vt:i4>0</vt:i4>
      </vt:variant>
      <vt:variant>
        <vt:i4>5</vt:i4>
      </vt:variant>
      <vt:variant>
        <vt:lpwstr/>
      </vt:variant>
      <vt:variant>
        <vt:lpwstr>_Toc514532276</vt:lpwstr>
      </vt:variant>
      <vt:variant>
        <vt:i4>1441840</vt:i4>
      </vt:variant>
      <vt:variant>
        <vt:i4>104</vt:i4>
      </vt:variant>
      <vt:variant>
        <vt:i4>0</vt:i4>
      </vt:variant>
      <vt:variant>
        <vt:i4>5</vt:i4>
      </vt:variant>
      <vt:variant>
        <vt:lpwstr/>
      </vt:variant>
      <vt:variant>
        <vt:lpwstr>_Toc514532275</vt:lpwstr>
      </vt:variant>
      <vt:variant>
        <vt:i4>1441840</vt:i4>
      </vt:variant>
      <vt:variant>
        <vt:i4>98</vt:i4>
      </vt:variant>
      <vt:variant>
        <vt:i4>0</vt:i4>
      </vt:variant>
      <vt:variant>
        <vt:i4>5</vt:i4>
      </vt:variant>
      <vt:variant>
        <vt:lpwstr/>
      </vt:variant>
      <vt:variant>
        <vt:lpwstr>_Toc514532274</vt:lpwstr>
      </vt:variant>
      <vt:variant>
        <vt:i4>1441840</vt:i4>
      </vt:variant>
      <vt:variant>
        <vt:i4>92</vt:i4>
      </vt:variant>
      <vt:variant>
        <vt:i4>0</vt:i4>
      </vt:variant>
      <vt:variant>
        <vt:i4>5</vt:i4>
      </vt:variant>
      <vt:variant>
        <vt:lpwstr/>
      </vt:variant>
      <vt:variant>
        <vt:lpwstr>_Toc514532273</vt:lpwstr>
      </vt:variant>
      <vt:variant>
        <vt:i4>1441840</vt:i4>
      </vt:variant>
      <vt:variant>
        <vt:i4>86</vt:i4>
      </vt:variant>
      <vt:variant>
        <vt:i4>0</vt:i4>
      </vt:variant>
      <vt:variant>
        <vt:i4>5</vt:i4>
      </vt:variant>
      <vt:variant>
        <vt:lpwstr/>
      </vt:variant>
      <vt:variant>
        <vt:lpwstr>_Toc514532272</vt:lpwstr>
      </vt:variant>
      <vt:variant>
        <vt:i4>1441840</vt:i4>
      </vt:variant>
      <vt:variant>
        <vt:i4>80</vt:i4>
      </vt:variant>
      <vt:variant>
        <vt:i4>0</vt:i4>
      </vt:variant>
      <vt:variant>
        <vt:i4>5</vt:i4>
      </vt:variant>
      <vt:variant>
        <vt:lpwstr/>
      </vt:variant>
      <vt:variant>
        <vt:lpwstr>_Toc514532271</vt:lpwstr>
      </vt:variant>
      <vt:variant>
        <vt:i4>1441840</vt:i4>
      </vt:variant>
      <vt:variant>
        <vt:i4>74</vt:i4>
      </vt:variant>
      <vt:variant>
        <vt:i4>0</vt:i4>
      </vt:variant>
      <vt:variant>
        <vt:i4>5</vt:i4>
      </vt:variant>
      <vt:variant>
        <vt:lpwstr/>
      </vt:variant>
      <vt:variant>
        <vt:lpwstr>_Toc514532270</vt:lpwstr>
      </vt:variant>
      <vt:variant>
        <vt:i4>1507376</vt:i4>
      </vt:variant>
      <vt:variant>
        <vt:i4>68</vt:i4>
      </vt:variant>
      <vt:variant>
        <vt:i4>0</vt:i4>
      </vt:variant>
      <vt:variant>
        <vt:i4>5</vt:i4>
      </vt:variant>
      <vt:variant>
        <vt:lpwstr/>
      </vt:variant>
      <vt:variant>
        <vt:lpwstr>_Toc514532269</vt:lpwstr>
      </vt:variant>
      <vt:variant>
        <vt:i4>1507376</vt:i4>
      </vt:variant>
      <vt:variant>
        <vt:i4>62</vt:i4>
      </vt:variant>
      <vt:variant>
        <vt:i4>0</vt:i4>
      </vt:variant>
      <vt:variant>
        <vt:i4>5</vt:i4>
      </vt:variant>
      <vt:variant>
        <vt:lpwstr/>
      </vt:variant>
      <vt:variant>
        <vt:lpwstr>_Toc514532268</vt:lpwstr>
      </vt:variant>
      <vt:variant>
        <vt:i4>1507376</vt:i4>
      </vt:variant>
      <vt:variant>
        <vt:i4>56</vt:i4>
      </vt:variant>
      <vt:variant>
        <vt:i4>0</vt:i4>
      </vt:variant>
      <vt:variant>
        <vt:i4>5</vt:i4>
      </vt:variant>
      <vt:variant>
        <vt:lpwstr/>
      </vt:variant>
      <vt:variant>
        <vt:lpwstr>_Toc514532267</vt:lpwstr>
      </vt:variant>
      <vt:variant>
        <vt:i4>1507376</vt:i4>
      </vt:variant>
      <vt:variant>
        <vt:i4>50</vt:i4>
      </vt:variant>
      <vt:variant>
        <vt:i4>0</vt:i4>
      </vt:variant>
      <vt:variant>
        <vt:i4>5</vt:i4>
      </vt:variant>
      <vt:variant>
        <vt:lpwstr/>
      </vt:variant>
      <vt:variant>
        <vt:lpwstr>_Toc514532266</vt:lpwstr>
      </vt:variant>
      <vt:variant>
        <vt:i4>1507376</vt:i4>
      </vt:variant>
      <vt:variant>
        <vt:i4>44</vt:i4>
      </vt:variant>
      <vt:variant>
        <vt:i4>0</vt:i4>
      </vt:variant>
      <vt:variant>
        <vt:i4>5</vt:i4>
      </vt:variant>
      <vt:variant>
        <vt:lpwstr/>
      </vt:variant>
      <vt:variant>
        <vt:lpwstr>_Toc514532265</vt:lpwstr>
      </vt:variant>
      <vt:variant>
        <vt:i4>1507376</vt:i4>
      </vt:variant>
      <vt:variant>
        <vt:i4>38</vt:i4>
      </vt:variant>
      <vt:variant>
        <vt:i4>0</vt:i4>
      </vt:variant>
      <vt:variant>
        <vt:i4>5</vt:i4>
      </vt:variant>
      <vt:variant>
        <vt:lpwstr/>
      </vt:variant>
      <vt:variant>
        <vt:lpwstr>_Toc514532264</vt:lpwstr>
      </vt:variant>
      <vt:variant>
        <vt:i4>1507376</vt:i4>
      </vt:variant>
      <vt:variant>
        <vt:i4>32</vt:i4>
      </vt:variant>
      <vt:variant>
        <vt:i4>0</vt:i4>
      </vt:variant>
      <vt:variant>
        <vt:i4>5</vt:i4>
      </vt:variant>
      <vt:variant>
        <vt:lpwstr/>
      </vt:variant>
      <vt:variant>
        <vt:lpwstr>_Toc514532263</vt:lpwstr>
      </vt:variant>
      <vt:variant>
        <vt:i4>1507376</vt:i4>
      </vt:variant>
      <vt:variant>
        <vt:i4>26</vt:i4>
      </vt:variant>
      <vt:variant>
        <vt:i4>0</vt:i4>
      </vt:variant>
      <vt:variant>
        <vt:i4>5</vt:i4>
      </vt:variant>
      <vt:variant>
        <vt:lpwstr/>
      </vt:variant>
      <vt:variant>
        <vt:lpwstr>_Toc514532262</vt:lpwstr>
      </vt:variant>
      <vt:variant>
        <vt:i4>1507376</vt:i4>
      </vt:variant>
      <vt:variant>
        <vt:i4>20</vt:i4>
      </vt:variant>
      <vt:variant>
        <vt:i4>0</vt:i4>
      </vt:variant>
      <vt:variant>
        <vt:i4>5</vt:i4>
      </vt:variant>
      <vt:variant>
        <vt:lpwstr/>
      </vt:variant>
      <vt:variant>
        <vt:lpwstr>_Toc514532261</vt:lpwstr>
      </vt:variant>
      <vt:variant>
        <vt:i4>1507376</vt:i4>
      </vt:variant>
      <vt:variant>
        <vt:i4>14</vt:i4>
      </vt:variant>
      <vt:variant>
        <vt:i4>0</vt:i4>
      </vt:variant>
      <vt:variant>
        <vt:i4>5</vt:i4>
      </vt:variant>
      <vt:variant>
        <vt:lpwstr/>
      </vt:variant>
      <vt:variant>
        <vt:lpwstr>_Toc514532260</vt:lpwstr>
      </vt:variant>
      <vt:variant>
        <vt:i4>1310768</vt:i4>
      </vt:variant>
      <vt:variant>
        <vt:i4>8</vt:i4>
      </vt:variant>
      <vt:variant>
        <vt:i4>0</vt:i4>
      </vt:variant>
      <vt:variant>
        <vt:i4>5</vt:i4>
      </vt:variant>
      <vt:variant>
        <vt:lpwstr/>
      </vt:variant>
      <vt:variant>
        <vt:lpwstr>_Toc514532259</vt:lpwstr>
      </vt:variant>
      <vt:variant>
        <vt:i4>1310768</vt:i4>
      </vt:variant>
      <vt:variant>
        <vt:i4>2</vt:i4>
      </vt:variant>
      <vt:variant>
        <vt:i4>0</vt:i4>
      </vt:variant>
      <vt:variant>
        <vt:i4>5</vt:i4>
      </vt:variant>
      <vt:variant>
        <vt:lpwstr/>
      </vt:variant>
      <vt:variant>
        <vt:lpwstr>_Toc514532258</vt:lpwstr>
      </vt:variant>
      <vt:variant>
        <vt:i4>5374037</vt:i4>
      </vt:variant>
      <vt:variant>
        <vt:i4>51</vt:i4>
      </vt:variant>
      <vt:variant>
        <vt:i4>0</vt:i4>
      </vt:variant>
      <vt:variant>
        <vt:i4>5</vt:i4>
      </vt:variant>
      <vt:variant>
        <vt:lpwstr>http://www.fondazionestuditributari.com/</vt:lpwstr>
      </vt:variant>
      <vt:variant>
        <vt:lpwstr/>
      </vt:variant>
      <vt:variant>
        <vt:i4>5374037</vt:i4>
      </vt:variant>
      <vt:variant>
        <vt:i4>48</vt:i4>
      </vt:variant>
      <vt:variant>
        <vt:i4>0</vt:i4>
      </vt:variant>
      <vt:variant>
        <vt:i4>5</vt:i4>
      </vt:variant>
      <vt:variant>
        <vt:lpwstr>http://www.fondazionestuditributari.com/</vt:lpwstr>
      </vt:variant>
      <vt:variant>
        <vt:lpwstr/>
      </vt:variant>
      <vt:variant>
        <vt:i4>524290</vt:i4>
      </vt:variant>
      <vt:variant>
        <vt:i4>45</vt:i4>
      </vt:variant>
      <vt:variant>
        <vt:i4>0</vt:i4>
      </vt:variant>
      <vt:variant>
        <vt:i4>5</vt:i4>
      </vt:variant>
      <vt:variant>
        <vt:lpwstr>https://avideospento.wordpress.com/2014/11/03/charles-m-schulz-e-i-suoi-peanuts-charlie-brown-ho-perso-un-libro-della-biblioteca-lucy-lhai-perso-diamine-sei-un-uomo-finito/</vt:lpwstr>
      </vt:variant>
      <vt:variant>
        <vt:lpwstr/>
      </vt:variant>
      <vt:variant>
        <vt:i4>3538970</vt:i4>
      </vt:variant>
      <vt:variant>
        <vt:i4>42</vt:i4>
      </vt:variant>
      <vt:variant>
        <vt:i4>0</vt:i4>
      </vt:variant>
      <vt:variant>
        <vt:i4>5</vt:i4>
      </vt:variant>
      <vt:variant>
        <vt:lpwstr>https://www.youtube.com/watch?v=cqZfZriJ_fo</vt:lpwstr>
      </vt:variant>
      <vt:variant>
        <vt:lpwstr/>
      </vt:variant>
      <vt:variant>
        <vt:i4>5374037</vt:i4>
      </vt:variant>
      <vt:variant>
        <vt:i4>39</vt:i4>
      </vt:variant>
      <vt:variant>
        <vt:i4>0</vt:i4>
      </vt:variant>
      <vt:variant>
        <vt:i4>5</vt:i4>
      </vt:variant>
      <vt:variant>
        <vt:lpwstr>http://www.fondazionestuditributari.com/</vt:lpwstr>
      </vt:variant>
      <vt:variant>
        <vt:lpwstr/>
      </vt:variant>
      <vt:variant>
        <vt:i4>2687029</vt:i4>
      </vt:variant>
      <vt:variant>
        <vt:i4>36</vt:i4>
      </vt:variant>
      <vt:variant>
        <vt:i4>0</vt:i4>
      </vt:variant>
      <vt:variant>
        <vt:i4>5</vt:i4>
      </vt:variant>
      <vt:variant>
        <vt:lpwstr>http://www.aedon.mulino.it/archivio/2014/3/lupi.htm</vt:lpwstr>
      </vt:variant>
      <vt:variant>
        <vt:lpwstr/>
      </vt:variant>
      <vt:variant>
        <vt:i4>5374037</vt:i4>
      </vt:variant>
      <vt:variant>
        <vt:i4>33</vt:i4>
      </vt:variant>
      <vt:variant>
        <vt:i4>0</vt:i4>
      </vt:variant>
      <vt:variant>
        <vt:i4>5</vt:i4>
      </vt:variant>
      <vt:variant>
        <vt:lpwstr>http://www.fondazionestuditributari.com/</vt:lpwstr>
      </vt:variant>
      <vt:variant>
        <vt:lpwstr/>
      </vt:variant>
      <vt:variant>
        <vt:i4>6160469</vt:i4>
      </vt:variant>
      <vt:variant>
        <vt:i4>30</vt:i4>
      </vt:variant>
      <vt:variant>
        <vt:i4>0</vt:i4>
      </vt:variant>
      <vt:variant>
        <vt:i4>5</vt:i4>
      </vt:variant>
      <vt:variant>
        <vt:lpwstr>http://www.giustiziafiscale.com/</vt:lpwstr>
      </vt:variant>
      <vt:variant>
        <vt:lpwstr/>
      </vt:variant>
      <vt:variant>
        <vt:i4>5374037</vt:i4>
      </vt:variant>
      <vt:variant>
        <vt:i4>27</vt:i4>
      </vt:variant>
      <vt:variant>
        <vt:i4>0</vt:i4>
      </vt:variant>
      <vt:variant>
        <vt:i4>5</vt:i4>
      </vt:variant>
      <vt:variant>
        <vt:lpwstr>http://www.fondazionestuditributari.com/</vt:lpwstr>
      </vt:variant>
      <vt:variant>
        <vt:lpwstr/>
      </vt:variant>
      <vt:variant>
        <vt:i4>5242968</vt:i4>
      </vt:variant>
      <vt:variant>
        <vt:i4>24</vt:i4>
      </vt:variant>
      <vt:variant>
        <vt:i4>0</vt:i4>
      </vt:variant>
      <vt:variant>
        <vt:i4>5</vt:i4>
      </vt:variant>
      <vt:variant>
        <vt:lpwstr>https://twitter.com/hashtag/bullshit?src=hash</vt:lpwstr>
      </vt:variant>
      <vt:variant>
        <vt:lpwstr/>
      </vt:variant>
      <vt:variant>
        <vt:i4>6881382</vt:i4>
      </vt:variant>
      <vt:variant>
        <vt:i4>21</vt:i4>
      </vt:variant>
      <vt:variant>
        <vt:i4>0</vt:i4>
      </vt:variant>
      <vt:variant>
        <vt:i4>5</vt:i4>
      </vt:variant>
      <vt:variant>
        <vt:lpwstr>https://www.youtube.com/watch?v=-t15Ez1iads</vt:lpwstr>
      </vt:variant>
      <vt:variant>
        <vt:lpwstr/>
      </vt:variant>
      <vt:variant>
        <vt:i4>5374037</vt:i4>
      </vt:variant>
      <vt:variant>
        <vt:i4>18</vt:i4>
      </vt:variant>
      <vt:variant>
        <vt:i4>0</vt:i4>
      </vt:variant>
      <vt:variant>
        <vt:i4>5</vt:i4>
      </vt:variant>
      <vt:variant>
        <vt:lpwstr>http://www.fondazionestuditributari.com/</vt:lpwstr>
      </vt:variant>
      <vt:variant>
        <vt:lpwstr/>
      </vt:variant>
      <vt:variant>
        <vt:i4>1638477</vt:i4>
      </vt:variant>
      <vt:variant>
        <vt:i4>15</vt:i4>
      </vt:variant>
      <vt:variant>
        <vt:i4>0</vt:i4>
      </vt:variant>
      <vt:variant>
        <vt:i4>5</vt:i4>
      </vt:variant>
      <vt:variant>
        <vt:lpwstr>http://video.repubblica.it/webseries/non-c-e-problema/non-c-e-problema-cosi-luca-perse-la-verginita-fiscale/217227/216423</vt:lpwstr>
      </vt:variant>
      <vt:variant>
        <vt:lpwstr/>
      </vt:variant>
      <vt:variant>
        <vt:i4>6160469</vt:i4>
      </vt:variant>
      <vt:variant>
        <vt:i4>12</vt:i4>
      </vt:variant>
      <vt:variant>
        <vt:i4>0</vt:i4>
      </vt:variant>
      <vt:variant>
        <vt:i4>5</vt:i4>
      </vt:variant>
      <vt:variant>
        <vt:lpwstr>http://www.giustiziafiscale.com/</vt:lpwstr>
      </vt:variant>
      <vt:variant>
        <vt:lpwstr/>
      </vt:variant>
      <vt:variant>
        <vt:i4>3276905</vt:i4>
      </vt:variant>
      <vt:variant>
        <vt:i4>9</vt:i4>
      </vt:variant>
      <vt:variant>
        <vt:i4>0</vt:i4>
      </vt:variant>
      <vt:variant>
        <vt:i4>5</vt:i4>
      </vt:variant>
      <vt:variant>
        <vt:lpwstr>https://www.youtube.com/watch?v=Xq7zu2K2wFU</vt:lpwstr>
      </vt:variant>
      <vt:variant>
        <vt:lpwstr/>
      </vt:variant>
      <vt:variant>
        <vt:i4>3014695</vt:i4>
      </vt:variant>
      <vt:variant>
        <vt:i4>6</vt:i4>
      </vt:variant>
      <vt:variant>
        <vt:i4>0</vt:i4>
      </vt:variant>
      <vt:variant>
        <vt:i4>5</vt:i4>
      </vt:variant>
      <vt:variant>
        <vt:lpwstr>http://www.organizzazionesociale.com/economia-pubblica/866-quantitative-easing-e-creazione-redditi</vt:lpwstr>
      </vt:variant>
      <vt:variant>
        <vt:lpwstr/>
      </vt:variant>
      <vt:variant>
        <vt:i4>4915211</vt:i4>
      </vt:variant>
      <vt:variant>
        <vt:i4>3</vt:i4>
      </vt:variant>
      <vt:variant>
        <vt:i4>0</vt:i4>
      </vt:variant>
      <vt:variant>
        <vt:i4>5</vt:i4>
      </vt:variant>
      <vt:variant>
        <vt:lpwstr>http://www.organizzazionesociale.com/</vt:lpwstr>
      </vt:variant>
      <vt:variant>
        <vt:lpwstr/>
      </vt:variant>
      <vt:variant>
        <vt:i4>4915211</vt:i4>
      </vt:variant>
      <vt:variant>
        <vt:i4>0</vt:i4>
      </vt:variant>
      <vt:variant>
        <vt:i4>0</vt:i4>
      </vt:variant>
      <vt:variant>
        <vt:i4>5</vt:i4>
      </vt:variant>
      <vt:variant>
        <vt:lpwstr>http://www.organizzazionesociale.com/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INDICE</dc:title>
  <dc:subject/>
  <dc:creator>Leda Rita Corrado</dc:creator>
  <cp:keywords/>
  <dc:description/>
  <cp:lastModifiedBy>raffaello lupi</cp:lastModifiedBy>
  <cp:revision>746</cp:revision>
  <cp:lastPrinted>2018-11-02T11:23:00Z</cp:lastPrinted>
  <dcterms:created xsi:type="dcterms:W3CDTF">2021-01-23T09:53:00Z</dcterms:created>
  <dcterms:modified xsi:type="dcterms:W3CDTF">2021-02-05T22:09:00Z</dcterms:modified>
</cp:coreProperties>
</file>